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5.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6.xml" ContentType="application/vnd.openxmlformats-officedocument.drawingml.chartshapes+xml"/>
  <Override PartName="/word/charts/chart10.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7.xml" ContentType="application/vnd.openxmlformats-officedocument.drawingml.chartshapes+xml"/>
  <Override PartName="/word/charts/chart11.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8.xml" ContentType="application/vnd.openxmlformats-officedocument.drawingml.chartshapes+xml"/>
  <Override PartName="/word/charts/chart12.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9.xml" ContentType="application/vnd.openxmlformats-officedocument.drawingml.chartshapes+xml"/>
  <Override PartName="/word/charts/chart13.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0.xml" ContentType="application/vnd.openxmlformats-officedocument.drawingml.chartshapes+xml"/>
  <Override PartName="/word/charts/chart14.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1.xml" ContentType="application/vnd.openxmlformats-officedocument.drawingml.chartshapes+xml"/>
  <Override PartName="/word/charts/chart15.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12.xml" ContentType="application/vnd.openxmlformats-officedocument.drawingml.chartshapes+xml"/>
  <Override PartName="/word/charts/chart16.xml" ContentType="application/vnd.openxmlformats-officedocument.drawingml.chart+xml"/>
  <Override PartName="/word/drawings/drawing13.xml" ContentType="application/vnd.openxmlformats-officedocument.drawingml.chartshapes+xml"/>
  <Override PartName="/word/charts/chart17.xml" ContentType="application/vnd.openxmlformats-officedocument.drawingml.chart+xml"/>
  <Override PartName="/word/drawings/drawing14.xml" ContentType="application/vnd.openxmlformats-officedocument.drawingml.chartshapes+xml"/>
  <Override PartName="/word/charts/chart18.xml" ContentType="application/vnd.openxmlformats-officedocument.drawingml.chart+xml"/>
  <Override PartName="/word/drawings/drawing15.xml" ContentType="application/vnd.openxmlformats-officedocument.drawingml.chartshapes+xml"/>
  <Override PartName="/word/charts/chart19.xml" ContentType="application/vnd.openxmlformats-officedocument.drawingml.chart+xml"/>
  <Override PartName="/word/drawings/drawing16.xml" ContentType="application/vnd.openxmlformats-officedocument.drawingml.chartshapes+xml"/>
  <Override PartName="/word/charts/chart20.xml" ContentType="application/vnd.openxmlformats-officedocument.drawingml.chart+xml"/>
  <Override PartName="/word/drawings/drawing17.xml" ContentType="application/vnd.openxmlformats-officedocument.drawingml.chartshapes+xml"/>
  <Override PartName="/word/charts/chart21.xml" ContentType="application/vnd.openxmlformats-officedocument.drawingml.chart+xml"/>
  <Override PartName="/word/theme/themeOverride10.xml" ContentType="application/vnd.openxmlformats-officedocument.themeOverride+xml"/>
  <Override PartName="/word/charts/chart22.xml" ContentType="application/vnd.openxmlformats-officedocument.drawingml.chart+xml"/>
  <Override PartName="/word/theme/themeOverride11.xml" ContentType="application/vnd.openxmlformats-officedocument.themeOverride+xml"/>
  <Override PartName="/word/charts/chart23.xml" ContentType="application/vnd.openxmlformats-officedocument.drawingml.chart+xml"/>
  <Override PartName="/word/theme/themeOverride12.xml" ContentType="application/vnd.openxmlformats-officedocument.themeOverride+xml"/>
  <Override PartName="/word/charts/chart24.xml" ContentType="application/vnd.openxmlformats-officedocument.drawingml.chart+xml"/>
  <Override PartName="/word/theme/themeOverride13.xml" ContentType="application/vnd.openxmlformats-officedocument.themeOverride+xml"/>
  <Override PartName="/word/charts/chart25.xml" ContentType="application/vnd.openxmlformats-officedocument.drawingml.chart+xml"/>
  <Override PartName="/word/theme/themeOverride14.xml" ContentType="application/vnd.openxmlformats-officedocument.themeOverride+xml"/>
  <Override PartName="/word/charts/chart26.xml" ContentType="application/vnd.openxmlformats-officedocument.drawingml.chart+xml"/>
  <Override PartName="/word/theme/themeOverride15.xml" ContentType="application/vnd.openxmlformats-officedocument.themeOverride+xml"/>
  <Override PartName="/word/charts/chart27.xml" ContentType="application/vnd.openxmlformats-officedocument.drawingml.chart+xml"/>
  <Override PartName="/word/theme/themeOverride16.xml" ContentType="application/vnd.openxmlformats-officedocument.themeOverride+xml"/>
  <Override PartName="/word/charts/chart28.xml" ContentType="application/vnd.openxmlformats-officedocument.drawingml.chart+xml"/>
  <Override PartName="/word/theme/themeOverride17.xml" ContentType="application/vnd.openxmlformats-officedocument.themeOverride+xml"/>
  <Override PartName="/word/charts/chart29.xml" ContentType="application/vnd.openxmlformats-officedocument.drawingml.chart+xml"/>
  <Override PartName="/word/theme/themeOverride18.xml" ContentType="application/vnd.openxmlformats-officedocument.themeOverride+xml"/>
  <Override PartName="/word/drawings/drawing18.xml" ContentType="application/vnd.openxmlformats-officedocument.drawingml.chartshapes+xml"/>
  <Override PartName="/word/charts/chart30.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9.xml" ContentType="application/vnd.openxmlformats-officedocument.themeOverride+xml"/>
  <Override PartName="/word/charts/chart31.xml" ContentType="application/vnd.openxmlformats-officedocument.drawingml.chart+xml"/>
  <Override PartName="/word/theme/themeOverride20.xml" ContentType="application/vnd.openxmlformats-officedocument.themeOverride+xml"/>
  <Override PartName="/word/drawings/drawing19.xml" ContentType="application/vnd.openxmlformats-officedocument.drawingml.chartshapes+xml"/>
  <Override PartName="/word/charts/chart32.xml" ContentType="application/vnd.openxmlformats-officedocument.drawingml.chart+xml"/>
  <Override PartName="/word/theme/themeOverride21.xml" ContentType="application/vnd.openxmlformats-officedocument.themeOverride+xml"/>
  <Override PartName="/word/drawings/drawing20.xml" ContentType="application/vnd.openxmlformats-officedocument.drawingml.chartshapes+xml"/>
  <Override PartName="/word/charts/chart33.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21.xml" ContentType="application/vnd.openxmlformats-officedocument.drawingml.chartshapes+xml"/>
  <Override PartName="/word/charts/chart34.xml" ContentType="application/vnd.openxmlformats-officedocument.drawingml.chart+xml"/>
  <Override PartName="/word/theme/themeOverride22.xml" ContentType="application/vnd.openxmlformats-officedocument.themeOverride+xml"/>
  <Override PartName="/word/drawings/drawing22.xml" ContentType="application/vnd.openxmlformats-officedocument.drawingml.chartshapes+xml"/>
  <Override PartName="/word/charts/chart35.xml" ContentType="application/vnd.openxmlformats-officedocument.drawingml.chart+xml"/>
  <Override PartName="/word/theme/themeOverride23.xml" ContentType="application/vnd.openxmlformats-officedocument.themeOverride+xml"/>
  <Override PartName="/word/drawings/drawing23.xml" ContentType="application/vnd.openxmlformats-officedocument.drawingml.chartshapes+xml"/>
  <Override PartName="/word/charts/chart36.xml" ContentType="application/vnd.openxmlformats-officedocument.drawingml.chart+xml"/>
  <Override PartName="/word/theme/themeOverride24.xml" ContentType="application/vnd.openxmlformats-officedocument.themeOverride+xml"/>
  <Override PartName="/word/charts/chart37.xml" ContentType="application/vnd.openxmlformats-officedocument.drawingml.chart+xml"/>
  <Override PartName="/word/theme/themeOverride25.xml" ContentType="application/vnd.openxmlformats-officedocument.themeOverride+xml"/>
  <Override PartName="/word/charts/chart38.xml" ContentType="application/vnd.openxmlformats-officedocument.drawingml.chart+xml"/>
  <Override PartName="/word/theme/themeOverride26.xml" ContentType="application/vnd.openxmlformats-officedocument.themeOverride+xml"/>
  <Override PartName="/word/drawings/drawing24.xml" ContentType="application/vnd.openxmlformats-officedocument.drawingml.chartshapes+xml"/>
  <Override PartName="/word/charts/chart39.xml" ContentType="application/vnd.openxmlformats-officedocument.drawingml.chart+xml"/>
  <Override PartName="/word/theme/themeOverride27.xml" ContentType="application/vnd.openxmlformats-officedocument.themeOverride+xml"/>
  <Override PartName="/word/drawings/drawing25.xml" ContentType="application/vnd.openxmlformats-officedocument.drawingml.chartshapes+xml"/>
  <Override PartName="/word/charts/chart40.xml" ContentType="application/vnd.openxmlformats-officedocument.drawingml.chart+xml"/>
  <Override PartName="/word/theme/themeOverride28.xml" ContentType="application/vnd.openxmlformats-officedocument.themeOverride+xml"/>
  <Override PartName="/word/charts/chart41.xml" ContentType="application/vnd.openxmlformats-officedocument.drawingml.chart+xml"/>
  <Override PartName="/word/theme/themeOverride29.xml" ContentType="application/vnd.openxmlformats-officedocument.themeOverride+xml"/>
  <Override PartName="/word/charts/chart42.xml" ContentType="application/vnd.openxmlformats-officedocument.drawingml.chart+xml"/>
  <Override PartName="/word/theme/themeOverride30.xml" ContentType="application/vnd.openxmlformats-officedocument.themeOverride+xml"/>
  <Override PartName="/word/drawings/drawing26.xml" ContentType="application/vnd.openxmlformats-officedocument.drawingml.chartshapes+xml"/>
  <Override PartName="/word/charts/chart43.xml" ContentType="application/vnd.openxmlformats-officedocument.drawingml.chart+xml"/>
  <Override PartName="/word/theme/themeOverride31.xml" ContentType="application/vnd.openxmlformats-officedocument.themeOverride+xml"/>
  <Override PartName="/word/drawings/drawing27.xml" ContentType="application/vnd.openxmlformats-officedocument.drawingml.chartshapes+xml"/>
  <Override PartName="/word/charts/chart44.xml" ContentType="application/vnd.openxmlformats-officedocument.drawingml.chart+xml"/>
  <Override PartName="/word/theme/themeOverride32.xml" ContentType="application/vnd.openxmlformats-officedocument.themeOverride+xml"/>
  <Override PartName="/word/drawings/drawing28.xml" ContentType="application/vnd.openxmlformats-officedocument.drawingml.chartshapes+xml"/>
  <Override PartName="/word/charts/chart45.xml" ContentType="application/vnd.openxmlformats-officedocument.drawingml.chart+xml"/>
  <Override PartName="/word/theme/themeOverride33.xml" ContentType="application/vnd.openxmlformats-officedocument.themeOverride+xml"/>
  <Override PartName="/word/drawings/drawing29.xml" ContentType="application/vnd.openxmlformats-officedocument.drawingml.chartshapes+xml"/>
  <Override PartName="/word/charts/chart46.xml" ContentType="application/vnd.openxmlformats-officedocument.drawingml.chart+xml"/>
  <Override PartName="/word/theme/themeOverride34.xml" ContentType="application/vnd.openxmlformats-officedocument.themeOverride+xml"/>
  <Override PartName="/word/charts/chart47.xml" ContentType="application/vnd.openxmlformats-officedocument.drawingml.chart+xml"/>
  <Override PartName="/word/theme/themeOverride35.xml" ContentType="application/vnd.openxmlformats-officedocument.themeOverride+xml"/>
  <Override PartName="/word/charts/chart48.xml" ContentType="application/vnd.openxmlformats-officedocument.drawingml.chart+xml"/>
  <Override PartName="/word/theme/themeOverride36.xml" ContentType="application/vnd.openxmlformats-officedocument.themeOverride+xml"/>
  <Override PartName="/word/charts/chart49.xml" ContentType="application/vnd.openxmlformats-officedocument.drawingml.chart+xml"/>
  <Override PartName="/word/theme/themeOverride37.xml" ContentType="application/vnd.openxmlformats-officedocument.themeOverride+xml"/>
  <Override PartName="/word/charts/chart50.xml" ContentType="application/vnd.openxmlformats-officedocument.drawingml.chart+xml"/>
  <Override PartName="/word/theme/themeOverride38.xml" ContentType="application/vnd.openxmlformats-officedocument.themeOverride+xml"/>
  <Override PartName="/word/charts/chart51.xml" ContentType="application/vnd.openxmlformats-officedocument.drawingml.chart+xml"/>
  <Override PartName="/word/theme/themeOverride39.xml" ContentType="application/vnd.openxmlformats-officedocument.themeOverride+xml"/>
  <Override PartName="/word/drawings/drawing30.xml" ContentType="application/vnd.openxmlformats-officedocument.drawingml.chartshapes+xml"/>
  <Override PartName="/word/charts/chart52.xml" ContentType="application/vnd.openxmlformats-officedocument.drawingml.chart+xml"/>
  <Override PartName="/word/theme/themeOverride40.xml" ContentType="application/vnd.openxmlformats-officedocument.themeOverride+xml"/>
  <Override PartName="/word/charts/chart53.xml" ContentType="application/vnd.openxmlformats-officedocument.drawingml.chart+xml"/>
  <Override PartName="/word/theme/themeOverride41.xml" ContentType="application/vnd.openxmlformats-officedocument.themeOverride+xml"/>
  <Override PartName="/word/charts/chart54.xml" ContentType="application/vnd.openxmlformats-officedocument.drawingml.chart+xml"/>
  <Override PartName="/word/theme/themeOverride42.xml" ContentType="application/vnd.openxmlformats-officedocument.themeOverride+xml"/>
  <Override PartName="/word/charts/chart55.xml" ContentType="application/vnd.openxmlformats-officedocument.drawingml.chart+xml"/>
  <Override PartName="/word/charts/chart56.xml" ContentType="application/vnd.openxmlformats-officedocument.drawingml.chart+xml"/>
  <Override PartName="/word/theme/themeOverride43.xml" ContentType="application/vnd.openxmlformats-officedocument.themeOverride+xml"/>
  <Override PartName="/word/charts/chart57.xml" ContentType="application/vnd.openxmlformats-officedocument.drawingml.chart+xml"/>
  <Override PartName="/word/theme/themeOverride44.xml" ContentType="application/vnd.openxmlformats-officedocument.themeOverride+xml"/>
  <Override PartName="/word/charts/chart58.xml" ContentType="application/vnd.openxmlformats-officedocument.drawingml.chart+xml"/>
  <Override PartName="/word/theme/themeOverride45.xml" ContentType="application/vnd.openxmlformats-officedocument.themeOverride+xml"/>
  <Override PartName="/word/charts/chart59.xml" ContentType="application/vnd.openxmlformats-officedocument.drawingml.chart+xml"/>
  <Override PartName="/word/theme/themeOverride46.xml" ContentType="application/vnd.openxmlformats-officedocument.themeOverride+xml"/>
  <Override PartName="/word/drawings/drawing31.xml" ContentType="application/vnd.openxmlformats-officedocument.drawingml.chartshapes+xml"/>
  <Override PartName="/word/charts/chart60.xml" ContentType="application/vnd.openxmlformats-officedocument.drawingml.chart+xml"/>
  <Override PartName="/word/theme/themeOverride47.xml" ContentType="application/vnd.openxmlformats-officedocument.themeOverride+xml"/>
  <Override PartName="/word/drawings/drawing32.xml" ContentType="application/vnd.openxmlformats-officedocument.drawingml.chartshapes+xml"/>
  <Override PartName="/word/charts/chart61.xml" ContentType="application/vnd.openxmlformats-officedocument.drawingml.chart+xml"/>
  <Override PartName="/word/theme/themeOverride48.xml" ContentType="application/vnd.openxmlformats-officedocument.themeOverride+xml"/>
  <Override PartName="/word/drawings/drawing33.xml" ContentType="application/vnd.openxmlformats-officedocument.drawingml.chartshapes+xml"/>
  <Override PartName="/word/charts/chart62.xml" ContentType="application/vnd.openxmlformats-officedocument.drawingml.chart+xml"/>
  <Override PartName="/word/theme/themeOverride49.xml" ContentType="application/vnd.openxmlformats-officedocument.themeOverride+xml"/>
  <Override PartName="/word/drawings/drawing34.xml" ContentType="application/vnd.openxmlformats-officedocument.drawingml.chartshapes+xml"/>
  <Override PartName="/word/charts/chart63.xml" ContentType="application/vnd.openxmlformats-officedocument.drawingml.chart+xml"/>
  <Override PartName="/word/theme/themeOverride50.xml" ContentType="application/vnd.openxmlformats-officedocument.themeOverride+xml"/>
  <Override PartName="/word/drawings/drawing35.xml" ContentType="application/vnd.openxmlformats-officedocument.drawingml.chartshapes+xml"/>
  <Override PartName="/word/charts/chart64.xml" ContentType="application/vnd.openxmlformats-officedocument.drawingml.chart+xml"/>
  <Override PartName="/word/theme/themeOverride51.xml" ContentType="application/vnd.openxmlformats-officedocument.themeOverride+xml"/>
  <Override PartName="/word/drawings/drawing36.xml" ContentType="application/vnd.openxmlformats-officedocument.drawingml.chartshapes+xml"/>
  <Override PartName="/word/charts/chart65.xml" ContentType="application/vnd.openxmlformats-officedocument.drawingml.chart+xml"/>
  <Override PartName="/word/theme/themeOverride52.xml" ContentType="application/vnd.openxmlformats-officedocument.themeOverride+xml"/>
  <Override PartName="/word/drawings/drawing37.xml" ContentType="application/vnd.openxmlformats-officedocument.drawingml.chartshapes+xml"/>
  <Override PartName="/word/charts/chart66.xml" ContentType="application/vnd.openxmlformats-officedocument.drawingml.chart+xml"/>
  <Override PartName="/word/theme/themeOverride53.xml" ContentType="application/vnd.openxmlformats-officedocument.themeOverride+xml"/>
  <Override PartName="/word/charts/chart67.xml" ContentType="application/vnd.openxmlformats-officedocument.drawingml.chart+xml"/>
  <Override PartName="/word/theme/themeOverride54.xml" ContentType="application/vnd.openxmlformats-officedocument.themeOverride+xml"/>
  <Override PartName="/word/charts/chart68.xml" ContentType="application/vnd.openxmlformats-officedocument.drawingml.chart+xml"/>
  <Override PartName="/word/theme/themeOverride55.xml" ContentType="application/vnd.openxmlformats-officedocument.themeOverride+xml"/>
  <Override PartName="/word/charts/chart69.xml" ContentType="application/vnd.openxmlformats-officedocument.drawingml.chart+xml"/>
  <Override PartName="/word/theme/themeOverride56.xml" ContentType="application/vnd.openxmlformats-officedocument.themeOverride+xml"/>
  <Override PartName="/word/charts/chart70.xml" ContentType="application/vnd.openxmlformats-officedocument.drawingml.chart+xml"/>
  <Override PartName="/word/theme/themeOverride57.xml" ContentType="application/vnd.openxmlformats-officedocument.themeOverride+xml"/>
  <Override PartName="/word/charts/chart71.xml" ContentType="application/vnd.openxmlformats-officedocument.drawingml.chart+xml"/>
  <Override PartName="/word/theme/themeOverride58.xml" ContentType="application/vnd.openxmlformats-officedocument.themeOverride+xml"/>
  <Override PartName="/word/charts/chart72.xml" ContentType="application/vnd.openxmlformats-officedocument.drawingml.chart+xml"/>
  <Override PartName="/word/theme/themeOverride59.xml" ContentType="application/vnd.openxmlformats-officedocument.themeOverride+xml"/>
  <Override PartName="/word/drawings/drawing38.xml" ContentType="application/vnd.openxmlformats-officedocument.drawingml.chartshapes+xml"/>
  <Override PartName="/word/charts/chart73.xml" ContentType="application/vnd.openxmlformats-officedocument.drawingml.chart+xml"/>
  <Override PartName="/word/theme/themeOverride60.xml" ContentType="application/vnd.openxmlformats-officedocument.themeOverride+xml"/>
  <Override PartName="/word/drawings/drawing39.xml" ContentType="application/vnd.openxmlformats-officedocument.drawingml.chartshapes+xml"/>
  <Override PartName="/word/charts/chart74.xml" ContentType="application/vnd.openxmlformats-officedocument.drawingml.chart+xml"/>
  <Override PartName="/word/theme/themeOverride61.xml" ContentType="application/vnd.openxmlformats-officedocument.themeOverride+xml"/>
  <Override PartName="/word/drawings/drawing40.xml" ContentType="application/vnd.openxmlformats-officedocument.drawingml.chartshapes+xml"/>
  <Override PartName="/word/footer4.xml" ContentType="application/vnd.openxmlformats-officedocument.wordprocessingml.footer+xml"/>
  <Override PartName="/word/charts/chart75.xml" ContentType="application/vnd.openxmlformats-officedocument.drawingml.chart+xml"/>
  <Override PartName="/word/theme/themeOverride62.xml" ContentType="application/vnd.openxmlformats-officedocument.themeOverride+xml"/>
  <Override PartName="/word/charts/chart76.xml" ContentType="application/vnd.openxmlformats-officedocument.drawingml.chart+xml"/>
  <Override PartName="/word/theme/themeOverride63.xml" ContentType="application/vnd.openxmlformats-officedocument.themeOverride+xml"/>
  <Override PartName="/word/drawings/drawing41.xml" ContentType="application/vnd.openxmlformats-officedocument.drawingml.chartshapes+xml"/>
  <Override PartName="/word/charts/chart77.xml" ContentType="application/vnd.openxmlformats-officedocument.drawingml.chart+xml"/>
  <Override PartName="/word/theme/themeOverride64.xml" ContentType="application/vnd.openxmlformats-officedocument.themeOverride+xml"/>
  <Override PartName="/word/charts/chart78.xml" ContentType="application/vnd.openxmlformats-officedocument.drawingml.chart+xml"/>
  <Override PartName="/word/theme/themeOverride65.xml" ContentType="application/vnd.openxmlformats-officedocument.themeOverride+xml"/>
  <Override PartName="/word/drawings/drawing42.xml" ContentType="application/vnd.openxmlformats-officedocument.drawingml.chartshapes+xml"/>
  <Override PartName="/word/charts/chart79.xml" ContentType="application/vnd.openxmlformats-officedocument.drawingml.chart+xml"/>
  <Override PartName="/word/theme/themeOverride66.xml" ContentType="application/vnd.openxmlformats-officedocument.themeOverride+xml"/>
  <Override PartName="/word/drawings/drawing43.xml" ContentType="application/vnd.openxmlformats-officedocument.drawingml.chartshapes+xml"/>
  <Override PartName="/word/charts/chart80.xml" ContentType="application/vnd.openxmlformats-officedocument.drawingml.chart+xml"/>
  <Override PartName="/word/charts/chart8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82.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44.xml" ContentType="application/vnd.openxmlformats-officedocument.drawingml.chartshapes+xml"/>
  <Override PartName="/word/charts/chart8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84.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45.xml" ContentType="application/vnd.openxmlformats-officedocument.drawingml.chartshapes+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9F602F" w14:textId="41552789" w:rsidR="00DA0E15" w:rsidRPr="00D2536E" w:rsidRDefault="00362131" w:rsidP="009B7D4F">
      <w:pPr>
        <w:pStyle w:val="mechtex"/>
        <w:widowControl w:val="0"/>
        <w:spacing w:before="0" w:line="240" w:lineRule="auto"/>
        <w:ind w:firstLine="0"/>
        <w:jc w:val="right"/>
        <w:rPr>
          <w:color w:val="000000" w:themeColor="text1"/>
        </w:rPr>
      </w:pPr>
      <w:bookmarkStart w:id="0" w:name="_Toc107052575"/>
      <w:bookmarkStart w:id="1" w:name="_GoBack"/>
      <w:bookmarkEnd w:id="1"/>
      <w:r w:rsidRPr="00D2536E">
        <w:rPr>
          <w:color w:val="000000" w:themeColor="text1"/>
        </w:rPr>
        <w:t>Հավելված</w:t>
      </w:r>
      <w:r w:rsidR="00487360">
        <w:rPr>
          <w:color w:val="000000" w:themeColor="text1"/>
        </w:rPr>
        <w:t xml:space="preserve"> 1</w:t>
      </w:r>
    </w:p>
    <w:p w14:paraId="0939DE3E" w14:textId="77777777" w:rsidR="00DA0E15" w:rsidRDefault="00362131" w:rsidP="003B331F">
      <w:pPr>
        <w:pStyle w:val="mechtex"/>
        <w:spacing w:line="240" w:lineRule="auto"/>
        <w:jc w:val="right"/>
      </w:pPr>
      <w:r>
        <w:t xml:space="preserve">                                                                     ՀՀ կառավարության 2021 թվականի</w:t>
      </w:r>
    </w:p>
    <w:p w14:paraId="0C0FAB0C" w14:textId="39518735" w:rsidR="00DA0E15" w:rsidRDefault="00362131" w:rsidP="003B331F">
      <w:pPr>
        <w:pStyle w:val="mechtex"/>
        <w:spacing w:line="240" w:lineRule="auto"/>
        <w:jc w:val="right"/>
      </w:pPr>
      <w:r>
        <w:t xml:space="preserve">                                                                        հուլիսի </w:t>
      </w:r>
      <w:r w:rsidR="006F1E83">
        <w:rPr>
          <w:lang w:val="hy-AM"/>
        </w:rPr>
        <w:t>12</w:t>
      </w:r>
      <w:r>
        <w:t>-ի N</w:t>
      </w:r>
      <w:r>
        <w:rPr>
          <w:lang w:val="hy-AM"/>
        </w:rPr>
        <w:t xml:space="preserve"> </w:t>
      </w:r>
      <w:r>
        <w:t xml:space="preserve"> </w:t>
      </w:r>
      <w:r w:rsidR="008B067E">
        <w:t>1171</w:t>
      </w:r>
      <w:r>
        <w:t xml:space="preserve"> -Ն որոշման</w:t>
      </w:r>
    </w:p>
    <w:p w14:paraId="50219984" w14:textId="77777777" w:rsidR="00DA0E15" w:rsidRDefault="00DA0E15">
      <w:pPr>
        <w:spacing w:after="120" w:line="360" w:lineRule="auto"/>
        <w:ind w:hanging="180"/>
        <w:jc w:val="right"/>
        <w:rPr>
          <w:rFonts w:cs="Sylfaen"/>
          <w:b/>
          <w:spacing w:val="70"/>
          <w:sz w:val="28"/>
          <w:szCs w:val="28"/>
        </w:rPr>
      </w:pPr>
    </w:p>
    <w:p w14:paraId="340B3299" w14:textId="77777777" w:rsidR="00DA0E15" w:rsidRDefault="00DA0E15">
      <w:pPr>
        <w:tabs>
          <w:tab w:val="left" w:pos="993"/>
        </w:tabs>
        <w:spacing w:line="360" w:lineRule="auto"/>
        <w:rPr>
          <w:rFonts w:cs="Sylfaen"/>
          <w:b/>
          <w:spacing w:val="70"/>
          <w:sz w:val="28"/>
          <w:szCs w:val="28"/>
        </w:rPr>
      </w:pPr>
    </w:p>
    <w:p w14:paraId="2CA0E2A9" w14:textId="77777777" w:rsidR="003B331F" w:rsidRDefault="003B331F">
      <w:pPr>
        <w:spacing w:after="120" w:line="360" w:lineRule="auto"/>
        <w:ind w:hanging="180"/>
        <w:jc w:val="center"/>
        <w:rPr>
          <w:rFonts w:cs="Sylfaen"/>
          <w:b/>
          <w:spacing w:val="64"/>
          <w:sz w:val="28"/>
          <w:szCs w:val="28"/>
        </w:rPr>
      </w:pPr>
    </w:p>
    <w:p w14:paraId="33244762" w14:textId="77777777" w:rsidR="00EE29B8" w:rsidRDefault="00EE29B8">
      <w:pPr>
        <w:spacing w:after="120" w:line="360" w:lineRule="auto"/>
        <w:ind w:hanging="180"/>
        <w:jc w:val="center"/>
        <w:rPr>
          <w:rFonts w:cs="Sylfaen"/>
          <w:b/>
          <w:spacing w:val="64"/>
          <w:sz w:val="28"/>
          <w:szCs w:val="28"/>
        </w:rPr>
      </w:pPr>
    </w:p>
    <w:p w14:paraId="11D35A37" w14:textId="77777777" w:rsidR="00DA0E15" w:rsidRDefault="00362131">
      <w:pPr>
        <w:spacing w:after="120" w:line="360" w:lineRule="auto"/>
        <w:ind w:hanging="180"/>
        <w:jc w:val="center"/>
        <w:rPr>
          <w:rFonts w:cs="Sylfaen"/>
          <w:b/>
          <w:spacing w:val="64"/>
          <w:sz w:val="28"/>
          <w:szCs w:val="28"/>
          <w:lang w:val="hy-AM"/>
        </w:rPr>
      </w:pPr>
      <w:r>
        <w:rPr>
          <w:rFonts w:cs="Sylfaen"/>
          <w:b/>
          <w:spacing w:val="64"/>
          <w:sz w:val="28"/>
          <w:szCs w:val="28"/>
        </w:rPr>
        <w:t>ՀԱՅԱՍՏԱՆԻ ՀԱՆՐԱՊԵՏՈՒԹՅԱՆ</w:t>
      </w:r>
    </w:p>
    <w:p w14:paraId="74389AC3" w14:textId="77777777" w:rsidR="00DA0E15" w:rsidRDefault="00362131">
      <w:pPr>
        <w:spacing w:after="120" w:line="360" w:lineRule="auto"/>
        <w:ind w:hanging="180"/>
        <w:jc w:val="center"/>
        <w:rPr>
          <w:rFonts w:cs="Sylfaen"/>
          <w:b/>
          <w:spacing w:val="64"/>
          <w:sz w:val="28"/>
          <w:szCs w:val="28"/>
          <w:lang w:val="hy-AM"/>
        </w:rPr>
      </w:pPr>
      <w:r>
        <w:rPr>
          <w:rFonts w:cs="Sylfaen"/>
          <w:b/>
          <w:spacing w:val="64"/>
          <w:sz w:val="28"/>
          <w:szCs w:val="28"/>
          <w:lang w:val="hy-AM"/>
        </w:rPr>
        <w:t>2022-2024 ԹՎԱԿԱՆՆԵՐԻ ՊԵՏԱԿԱՆ ՄԻՋՆԱԺԱՄԿԵՏ ԾԱԽՍԵՐԻ ԾՐԱԳԻՐ</w:t>
      </w:r>
    </w:p>
    <w:p w14:paraId="3A96202E" w14:textId="77777777" w:rsidR="00DA0E15" w:rsidRDefault="00DA0E15">
      <w:pPr>
        <w:rPr>
          <w:lang w:val="hy-AM"/>
        </w:rPr>
      </w:pPr>
    </w:p>
    <w:p w14:paraId="2C5D4992" w14:textId="77777777" w:rsidR="00DA0E15" w:rsidRDefault="00DA0E15">
      <w:pPr>
        <w:jc w:val="right"/>
        <w:rPr>
          <w:rFonts w:cs="Sylfaen"/>
          <w:lang w:val="hy-AM"/>
        </w:rPr>
      </w:pPr>
    </w:p>
    <w:p w14:paraId="11DC3D1C" w14:textId="77777777" w:rsidR="00DA0E15" w:rsidRDefault="00362131">
      <w:pPr>
        <w:tabs>
          <w:tab w:val="left" w:pos="993"/>
        </w:tabs>
        <w:spacing w:line="360" w:lineRule="auto"/>
        <w:jc w:val="center"/>
        <w:rPr>
          <w:b/>
          <w:sz w:val="24"/>
          <w:szCs w:val="24"/>
          <w:lang w:val="hy-AM"/>
        </w:rPr>
      </w:pPr>
      <w:r>
        <w:rPr>
          <w:lang w:val="hy-AM"/>
        </w:rPr>
        <w:br w:type="page"/>
      </w:r>
      <w:bookmarkStart w:id="2" w:name="_Toc265687172"/>
      <w:bookmarkStart w:id="3" w:name="_Toc296702337"/>
      <w:bookmarkStart w:id="4" w:name="_Toc519513604"/>
      <w:r>
        <w:rPr>
          <w:b/>
          <w:sz w:val="24"/>
          <w:szCs w:val="24"/>
          <w:lang w:val="hy-AM"/>
        </w:rPr>
        <w:lastRenderedPageBreak/>
        <w:t>ԲՈՎԱՆԴԱԿՈՒԹՅՈՒՆ</w:t>
      </w:r>
    </w:p>
    <w:sdt>
      <w:sdtPr>
        <w:rPr>
          <w:rFonts w:eastAsiaTheme="minorEastAsia" w:cstheme="minorBidi"/>
          <w:b w:val="0"/>
          <w:bCs w:val="0"/>
          <w:color w:val="000000" w:themeColor="text1"/>
          <w:sz w:val="22"/>
          <w:szCs w:val="22"/>
          <w:lang w:bidi="ar-SA"/>
        </w:rPr>
        <w:id w:val="1531296690"/>
        <w:docPartObj>
          <w:docPartGallery w:val="Table of Contents"/>
          <w:docPartUnique/>
        </w:docPartObj>
      </w:sdtPr>
      <w:sdtEndPr/>
      <w:sdtContent>
        <w:p w14:paraId="49211132" w14:textId="77777777" w:rsidR="00DA0E15" w:rsidRPr="00945A5A" w:rsidRDefault="00DA0E15">
          <w:pPr>
            <w:pStyle w:val="TOCHeading1"/>
            <w:rPr>
              <w:color w:val="000000" w:themeColor="text1"/>
            </w:rPr>
          </w:pPr>
        </w:p>
        <w:p w14:paraId="108FFAC8" w14:textId="699A61AE" w:rsidR="00151838" w:rsidRDefault="0045493E">
          <w:pPr>
            <w:pStyle w:val="TOC1"/>
            <w:tabs>
              <w:tab w:val="right" w:leader="dot" w:pos="10073"/>
            </w:tabs>
            <w:rPr>
              <w:rFonts w:cstheme="minorBidi"/>
              <w:b w:val="0"/>
              <w:bCs w:val="0"/>
              <w:i w:val="0"/>
              <w:iCs w:val="0"/>
              <w:noProof/>
              <w:sz w:val="22"/>
              <w:szCs w:val="22"/>
            </w:rPr>
          </w:pPr>
          <w:r w:rsidRPr="00945A5A">
            <w:rPr>
              <w:rFonts w:ascii="GHEA Grapalat" w:hAnsi="GHEA Grapalat"/>
              <w:b w:val="0"/>
              <w:bCs w:val="0"/>
              <w:color w:val="000000" w:themeColor="text1"/>
            </w:rPr>
            <w:fldChar w:fldCharType="begin"/>
          </w:r>
          <w:r w:rsidR="00362131" w:rsidRPr="00945A5A">
            <w:rPr>
              <w:rFonts w:ascii="GHEA Grapalat" w:hAnsi="GHEA Grapalat"/>
              <w:color w:val="000000" w:themeColor="text1"/>
            </w:rPr>
            <w:instrText xml:space="preserve"> TOC \o "1-3" \h \z \u </w:instrText>
          </w:r>
          <w:r w:rsidRPr="00945A5A">
            <w:rPr>
              <w:rFonts w:ascii="GHEA Grapalat" w:hAnsi="GHEA Grapalat"/>
              <w:b w:val="0"/>
              <w:bCs w:val="0"/>
              <w:color w:val="000000" w:themeColor="text1"/>
            </w:rPr>
            <w:fldChar w:fldCharType="separate"/>
          </w:r>
          <w:hyperlink w:anchor="_Toc77837840" w:history="1">
            <w:r w:rsidR="00151838" w:rsidRPr="00A3701C">
              <w:rPr>
                <w:rStyle w:val="Hyperlink"/>
                <w:noProof/>
                <w:lang w:val="hy-AM"/>
              </w:rPr>
              <w:t>ՆԵՐԱԾՈՒԹՅՈՒՆ</w:t>
            </w:r>
            <w:r w:rsidR="00151838">
              <w:rPr>
                <w:noProof/>
                <w:webHidden/>
              </w:rPr>
              <w:tab/>
            </w:r>
            <w:r w:rsidR="00151838">
              <w:rPr>
                <w:noProof/>
                <w:webHidden/>
              </w:rPr>
              <w:fldChar w:fldCharType="begin"/>
            </w:r>
            <w:r w:rsidR="00151838">
              <w:rPr>
                <w:noProof/>
                <w:webHidden/>
              </w:rPr>
              <w:instrText xml:space="preserve"> PAGEREF _Toc77837840 \h </w:instrText>
            </w:r>
            <w:r w:rsidR="00151838">
              <w:rPr>
                <w:noProof/>
                <w:webHidden/>
              </w:rPr>
            </w:r>
            <w:r w:rsidR="00151838">
              <w:rPr>
                <w:noProof/>
                <w:webHidden/>
              </w:rPr>
              <w:fldChar w:fldCharType="separate"/>
            </w:r>
            <w:r w:rsidR="00151838">
              <w:rPr>
                <w:noProof/>
                <w:webHidden/>
              </w:rPr>
              <w:t>5</w:t>
            </w:r>
            <w:r w:rsidR="00151838">
              <w:rPr>
                <w:noProof/>
                <w:webHidden/>
              </w:rPr>
              <w:fldChar w:fldCharType="end"/>
            </w:r>
          </w:hyperlink>
        </w:p>
        <w:p w14:paraId="7E94748A" w14:textId="0C0DA6F6" w:rsidR="00151838" w:rsidRDefault="004F1221">
          <w:pPr>
            <w:pStyle w:val="TOC1"/>
            <w:tabs>
              <w:tab w:val="right" w:leader="dot" w:pos="10073"/>
            </w:tabs>
            <w:rPr>
              <w:rFonts w:cstheme="minorBidi"/>
              <w:b w:val="0"/>
              <w:bCs w:val="0"/>
              <w:i w:val="0"/>
              <w:iCs w:val="0"/>
              <w:noProof/>
              <w:sz w:val="22"/>
              <w:szCs w:val="22"/>
            </w:rPr>
          </w:pPr>
          <w:hyperlink w:anchor="_Toc77837841" w:history="1">
            <w:r w:rsidR="00151838" w:rsidRPr="00A3701C">
              <w:rPr>
                <w:rStyle w:val="Hyperlink"/>
                <w:noProof/>
                <w:lang w:val="hy-AM"/>
              </w:rPr>
              <w:t>ՄԱՍ I. ՀԱՐԿԱԲՅՈՒՋԵՏԱՅԻՆ ՔԱՂԱՔԱԿԱՆՈՒԹՅՈՒՆԸ</w:t>
            </w:r>
            <w:r w:rsidR="00151838">
              <w:rPr>
                <w:noProof/>
                <w:webHidden/>
              </w:rPr>
              <w:tab/>
            </w:r>
            <w:r w:rsidR="00151838">
              <w:rPr>
                <w:noProof/>
                <w:webHidden/>
              </w:rPr>
              <w:fldChar w:fldCharType="begin"/>
            </w:r>
            <w:r w:rsidR="00151838">
              <w:rPr>
                <w:noProof/>
                <w:webHidden/>
              </w:rPr>
              <w:instrText xml:space="preserve"> PAGEREF _Toc77837841 \h </w:instrText>
            </w:r>
            <w:r w:rsidR="00151838">
              <w:rPr>
                <w:noProof/>
                <w:webHidden/>
              </w:rPr>
            </w:r>
            <w:r w:rsidR="00151838">
              <w:rPr>
                <w:noProof/>
                <w:webHidden/>
              </w:rPr>
              <w:fldChar w:fldCharType="separate"/>
            </w:r>
            <w:r w:rsidR="00151838">
              <w:rPr>
                <w:noProof/>
                <w:webHidden/>
              </w:rPr>
              <w:t>8</w:t>
            </w:r>
            <w:r w:rsidR="00151838">
              <w:rPr>
                <w:noProof/>
                <w:webHidden/>
              </w:rPr>
              <w:fldChar w:fldCharType="end"/>
            </w:r>
          </w:hyperlink>
        </w:p>
        <w:p w14:paraId="2047C094" w14:textId="499727AE" w:rsidR="00151838" w:rsidRDefault="004F1221">
          <w:pPr>
            <w:pStyle w:val="TOC2"/>
            <w:tabs>
              <w:tab w:val="right" w:leader="dot" w:pos="10073"/>
            </w:tabs>
            <w:rPr>
              <w:rFonts w:cstheme="minorBidi"/>
              <w:b w:val="0"/>
              <w:bCs w:val="0"/>
              <w:noProof/>
            </w:rPr>
          </w:pPr>
          <w:hyperlink w:anchor="_Toc77837842" w:history="1">
            <w:r w:rsidR="00151838" w:rsidRPr="00A3701C">
              <w:rPr>
                <w:rStyle w:val="Hyperlink"/>
                <w:noProof/>
              </w:rPr>
              <w:t>ԳԼՈՒԽ 1. ՄԱԿՐՈՏՆՏԵՍԱԿԱՆ ԿԱՆԽԱՏԵՍՈՒՄՆԵՐ</w:t>
            </w:r>
            <w:r w:rsidR="00151838">
              <w:rPr>
                <w:noProof/>
                <w:webHidden/>
              </w:rPr>
              <w:tab/>
            </w:r>
            <w:r w:rsidR="00151838">
              <w:rPr>
                <w:noProof/>
                <w:webHidden/>
              </w:rPr>
              <w:fldChar w:fldCharType="begin"/>
            </w:r>
            <w:r w:rsidR="00151838">
              <w:rPr>
                <w:noProof/>
                <w:webHidden/>
              </w:rPr>
              <w:instrText xml:space="preserve"> PAGEREF _Toc77837842 \h </w:instrText>
            </w:r>
            <w:r w:rsidR="00151838">
              <w:rPr>
                <w:noProof/>
                <w:webHidden/>
              </w:rPr>
            </w:r>
            <w:r w:rsidR="00151838">
              <w:rPr>
                <w:noProof/>
                <w:webHidden/>
              </w:rPr>
              <w:fldChar w:fldCharType="separate"/>
            </w:r>
            <w:r w:rsidR="00151838">
              <w:rPr>
                <w:noProof/>
                <w:webHidden/>
              </w:rPr>
              <w:t>9</w:t>
            </w:r>
            <w:r w:rsidR="00151838">
              <w:rPr>
                <w:noProof/>
                <w:webHidden/>
              </w:rPr>
              <w:fldChar w:fldCharType="end"/>
            </w:r>
          </w:hyperlink>
        </w:p>
        <w:p w14:paraId="7BB3BDB6" w14:textId="7C025DFB" w:rsidR="00151838" w:rsidRDefault="004F1221">
          <w:pPr>
            <w:pStyle w:val="TOC3"/>
            <w:tabs>
              <w:tab w:val="right" w:leader="dot" w:pos="10073"/>
            </w:tabs>
            <w:rPr>
              <w:rFonts w:cstheme="minorBidi"/>
              <w:noProof/>
              <w:sz w:val="22"/>
              <w:szCs w:val="22"/>
            </w:rPr>
          </w:pPr>
          <w:hyperlink w:anchor="_Toc77837843" w:history="1">
            <w:r w:rsidR="00151838" w:rsidRPr="00A3701C">
              <w:rPr>
                <w:rStyle w:val="Hyperlink"/>
                <w:bCs/>
                <w:noProof/>
              </w:rPr>
              <w:t>1</w:t>
            </w:r>
            <w:r w:rsidR="00151838" w:rsidRPr="00A3701C">
              <w:rPr>
                <w:rStyle w:val="Hyperlink"/>
                <w:bCs/>
                <w:noProof/>
                <w:lang w:val="af-ZA"/>
              </w:rPr>
              <w:t xml:space="preserve">.1. </w:t>
            </w:r>
            <w:r w:rsidR="00151838" w:rsidRPr="00A3701C">
              <w:rPr>
                <w:rStyle w:val="Hyperlink"/>
                <w:rFonts w:cs="Sylfaen"/>
                <w:bCs/>
                <w:noProof/>
              </w:rPr>
              <w:t>ՄԱԿՐՈՏՆՏԵՍԱԿԱՆ</w:t>
            </w:r>
            <w:r w:rsidR="00151838" w:rsidRPr="00A3701C">
              <w:rPr>
                <w:rStyle w:val="Hyperlink"/>
                <w:bCs/>
                <w:noProof/>
              </w:rPr>
              <w:t xml:space="preserve"> </w:t>
            </w:r>
            <w:r w:rsidR="00151838" w:rsidRPr="00A3701C">
              <w:rPr>
                <w:rStyle w:val="Hyperlink"/>
                <w:rFonts w:cs="Sylfaen"/>
                <w:bCs/>
                <w:noProof/>
              </w:rPr>
              <w:t>ԱՄՓՈՓԱԳԻՐ</w:t>
            </w:r>
            <w:r w:rsidR="00151838" w:rsidRPr="00A3701C">
              <w:rPr>
                <w:rStyle w:val="Hyperlink"/>
                <w:bCs/>
                <w:noProof/>
              </w:rPr>
              <w:t xml:space="preserve"> </w:t>
            </w:r>
            <w:r w:rsidR="00151838" w:rsidRPr="00A3701C">
              <w:rPr>
                <w:rStyle w:val="Hyperlink"/>
                <w:rFonts w:cs="Sylfaen"/>
                <w:bCs/>
                <w:noProof/>
              </w:rPr>
              <w:t>ԵՎ</w:t>
            </w:r>
            <w:r w:rsidR="00151838" w:rsidRPr="00A3701C">
              <w:rPr>
                <w:rStyle w:val="Hyperlink"/>
                <w:bCs/>
                <w:noProof/>
              </w:rPr>
              <w:t xml:space="preserve"> </w:t>
            </w:r>
            <w:r w:rsidR="00151838" w:rsidRPr="00A3701C">
              <w:rPr>
                <w:rStyle w:val="Hyperlink"/>
                <w:rFonts w:cs="Sylfaen"/>
                <w:bCs/>
                <w:noProof/>
              </w:rPr>
              <w:t>ՇՐՋԱՆԱԿ</w:t>
            </w:r>
            <w:r w:rsidR="00151838">
              <w:rPr>
                <w:noProof/>
                <w:webHidden/>
              </w:rPr>
              <w:tab/>
            </w:r>
            <w:r w:rsidR="00151838">
              <w:rPr>
                <w:noProof/>
                <w:webHidden/>
              </w:rPr>
              <w:fldChar w:fldCharType="begin"/>
            </w:r>
            <w:r w:rsidR="00151838">
              <w:rPr>
                <w:noProof/>
                <w:webHidden/>
              </w:rPr>
              <w:instrText xml:space="preserve"> PAGEREF _Toc77837843 \h </w:instrText>
            </w:r>
            <w:r w:rsidR="00151838">
              <w:rPr>
                <w:noProof/>
                <w:webHidden/>
              </w:rPr>
            </w:r>
            <w:r w:rsidR="00151838">
              <w:rPr>
                <w:noProof/>
                <w:webHidden/>
              </w:rPr>
              <w:fldChar w:fldCharType="separate"/>
            </w:r>
            <w:r w:rsidR="00151838">
              <w:rPr>
                <w:noProof/>
                <w:webHidden/>
              </w:rPr>
              <w:t>9</w:t>
            </w:r>
            <w:r w:rsidR="00151838">
              <w:rPr>
                <w:noProof/>
                <w:webHidden/>
              </w:rPr>
              <w:fldChar w:fldCharType="end"/>
            </w:r>
          </w:hyperlink>
        </w:p>
        <w:p w14:paraId="3981E80D" w14:textId="5DEF875C" w:rsidR="00151838" w:rsidRDefault="004F1221">
          <w:pPr>
            <w:pStyle w:val="TOC3"/>
            <w:tabs>
              <w:tab w:val="right" w:leader="dot" w:pos="10073"/>
            </w:tabs>
            <w:rPr>
              <w:rFonts w:cstheme="minorBidi"/>
              <w:noProof/>
              <w:sz w:val="22"/>
              <w:szCs w:val="22"/>
            </w:rPr>
          </w:pPr>
          <w:hyperlink w:anchor="_Toc77837844" w:history="1">
            <w:r w:rsidR="00151838" w:rsidRPr="00A3701C">
              <w:rPr>
                <w:rStyle w:val="Hyperlink"/>
                <w:rFonts w:cs="Sylfaen"/>
                <w:bCs/>
                <w:noProof/>
              </w:rPr>
              <w:t>1.2. ՀԱՄԱՇԽԱՐՀԱՅԻՆ ՏՆՏԵՍՈՒԹՅԱՆ ԵՎ ԳՈՐԾԸՆԿԵՐ ԵՐԿՐՆԵՐԻ ԶԱՐԳԱՑՈՒՄՆԵՐ ԵՎ ԿԱՆԽԱՏԵՍՈՒՄՆԵՐ</w:t>
            </w:r>
            <w:r w:rsidR="00151838">
              <w:rPr>
                <w:noProof/>
                <w:webHidden/>
              </w:rPr>
              <w:tab/>
            </w:r>
            <w:r w:rsidR="00151838">
              <w:rPr>
                <w:noProof/>
                <w:webHidden/>
              </w:rPr>
              <w:fldChar w:fldCharType="begin"/>
            </w:r>
            <w:r w:rsidR="00151838">
              <w:rPr>
                <w:noProof/>
                <w:webHidden/>
              </w:rPr>
              <w:instrText xml:space="preserve"> PAGEREF _Toc77837844 \h </w:instrText>
            </w:r>
            <w:r w:rsidR="00151838">
              <w:rPr>
                <w:noProof/>
                <w:webHidden/>
              </w:rPr>
            </w:r>
            <w:r w:rsidR="00151838">
              <w:rPr>
                <w:noProof/>
                <w:webHidden/>
              </w:rPr>
              <w:fldChar w:fldCharType="separate"/>
            </w:r>
            <w:r w:rsidR="00151838">
              <w:rPr>
                <w:noProof/>
                <w:webHidden/>
              </w:rPr>
              <w:t>15</w:t>
            </w:r>
            <w:r w:rsidR="00151838">
              <w:rPr>
                <w:noProof/>
                <w:webHidden/>
              </w:rPr>
              <w:fldChar w:fldCharType="end"/>
            </w:r>
          </w:hyperlink>
        </w:p>
        <w:p w14:paraId="47B01B28" w14:textId="62477870" w:rsidR="00151838" w:rsidRDefault="004F1221">
          <w:pPr>
            <w:pStyle w:val="TOC3"/>
            <w:tabs>
              <w:tab w:val="right" w:leader="dot" w:pos="10073"/>
            </w:tabs>
            <w:rPr>
              <w:rFonts w:cstheme="minorBidi"/>
              <w:noProof/>
              <w:sz w:val="22"/>
              <w:szCs w:val="22"/>
            </w:rPr>
          </w:pPr>
          <w:hyperlink w:anchor="_Toc77837845" w:history="1">
            <w:r w:rsidR="00151838" w:rsidRPr="00A3701C">
              <w:rPr>
                <w:rStyle w:val="Hyperlink"/>
                <w:rFonts w:cs="Sylfaen"/>
                <w:bCs/>
                <w:noProof/>
              </w:rPr>
              <w:t>1.3. ՀՀ ՄԱԿՐՈՏՆՏԵՍԱԿԱՆ ԶԱՐԳԱՑՈՒՄՆԵՐ ԵՎ ԿԱՆԽԱՏԵՍՈՒՄՆԵՐ</w:t>
            </w:r>
            <w:r w:rsidR="00151838">
              <w:rPr>
                <w:noProof/>
                <w:webHidden/>
              </w:rPr>
              <w:tab/>
            </w:r>
            <w:r w:rsidR="00151838">
              <w:rPr>
                <w:noProof/>
                <w:webHidden/>
              </w:rPr>
              <w:fldChar w:fldCharType="begin"/>
            </w:r>
            <w:r w:rsidR="00151838">
              <w:rPr>
                <w:noProof/>
                <w:webHidden/>
              </w:rPr>
              <w:instrText xml:space="preserve"> PAGEREF _Toc77837845 \h </w:instrText>
            </w:r>
            <w:r w:rsidR="00151838">
              <w:rPr>
                <w:noProof/>
                <w:webHidden/>
              </w:rPr>
            </w:r>
            <w:r w:rsidR="00151838">
              <w:rPr>
                <w:noProof/>
                <w:webHidden/>
              </w:rPr>
              <w:fldChar w:fldCharType="separate"/>
            </w:r>
            <w:r w:rsidR="00151838">
              <w:rPr>
                <w:noProof/>
                <w:webHidden/>
              </w:rPr>
              <w:t>20</w:t>
            </w:r>
            <w:r w:rsidR="00151838">
              <w:rPr>
                <w:noProof/>
                <w:webHidden/>
              </w:rPr>
              <w:fldChar w:fldCharType="end"/>
            </w:r>
          </w:hyperlink>
        </w:p>
        <w:p w14:paraId="4A0E9E9A" w14:textId="3C1B516A" w:rsidR="00151838" w:rsidRDefault="004F1221">
          <w:pPr>
            <w:pStyle w:val="TOC3"/>
            <w:tabs>
              <w:tab w:val="right" w:leader="dot" w:pos="10073"/>
            </w:tabs>
            <w:rPr>
              <w:rFonts w:cstheme="minorBidi"/>
              <w:noProof/>
              <w:sz w:val="22"/>
              <w:szCs w:val="22"/>
            </w:rPr>
          </w:pPr>
          <w:hyperlink w:anchor="_Toc77837846" w:history="1">
            <w:r w:rsidR="00151838" w:rsidRPr="00A3701C">
              <w:rPr>
                <w:rStyle w:val="Hyperlink"/>
                <w:rFonts w:eastAsia="SimSun" w:cs="Times New Roman"/>
                <w:noProof/>
              </w:rPr>
              <w:t>1.3.1. ԹԻՐԱԽԱՅԻՆ (ԲԱՐՁՐ) ՏՆՏԵՍԱԿԱՆ ԱՃԻ ՍՑԵՆԱՐ</w:t>
            </w:r>
            <w:r w:rsidR="00151838">
              <w:rPr>
                <w:noProof/>
                <w:webHidden/>
              </w:rPr>
              <w:tab/>
            </w:r>
            <w:r w:rsidR="00151838">
              <w:rPr>
                <w:noProof/>
                <w:webHidden/>
              </w:rPr>
              <w:fldChar w:fldCharType="begin"/>
            </w:r>
            <w:r w:rsidR="00151838">
              <w:rPr>
                <w:noProof/>
                <w:webHidden/>
              </w:rPr>
              <w:instrText xml:space="preserve"> PAGEREF _Toc77837846 \h </w:instrText>
            </w:r>
            <w:r w:rsidR="00151838">
              <w:rPr>
                <w:noProof/>
                <w:webHidden/>
              </w:rPr>
            </w:r>
            <w:r w:rsidR="00151838">
              <w:rPr>
                <w:noProof/>
                <w:webHidden/>
              </w:rPr>
              <w:fldChar w:fldCharType="separate"/>
            </w:r>
            <w:r w:rsidR="00151838">
              <w:rPr>
                <w:noProof/>
                <w:webHidden/>
              </w:rPr>
              <w:t>20</w:t>
            </w:r>
            <w:r w:rsidR="00151838">
              <w:rPr>
                <w:noProof/>
                <w:webHidden/>
              </w:rPr>
              <w:fldChar w:fldCharType="end"/>
            </w:r>
          </w:hyperlink>
        </w:p>
        <w:p w14:paraId="2DE76851" w14:textId="4471DE1B" w:rsidR="00151838" w:rsidRDefault="004F1221">
          <w:pPr>
            <w:pStyle w:val="TOC3"/>
            <w:tabs>
              <w:tab w:val="right" w:leader="dot" w:pos="10073"/>
            </w:tabs>
            <w:rPr>
              <w:rFonts w:cstheme="minorBidi"/>
              <w:noProof/>
              <w:sz w:val="22"/>
              <w:szCs w:val="22"/>
            </w:rPr>
          </w:pPr>
          <w:hyperlink w:anchor="_Toc77837847" w:history="1">
            <w:r w:rsidR="00151838" w:rsidRPr="00A3701C">
              <w:rPr>
                <w:rStyle w:val="Hyperlink"/>
                <w:rFonts w:eastAsia="SimSun" w:cs="Times New Roman"/>
                <w:noProof/>
              </w:rPr>
              <w:t>1.3.2. 2022-2024թթ. ՄԺԾԾ ՄԱԿՐՈՏՆՏԵՍԱԿԱՆ ՍՑԵՆԱՐ (ԲՅՈՒՋԵՏԱՅԻՆ ՇՐՋԱՆԱԿ)</w:t>
            </w:r>
            <w:r w:rsidR="00151838">
              <w:rPr>
                <w:noProof/>
                <w:webHidden/>
              </w:rPr>
              <w:tab/>
            </w:r>
            <w:r w:rsidR="00151838">
              <w:rPr>
                <w:noProof/>
                <w:webHidden/>
              </w:rPr>
              <w:fldChar w:fldCharType="begin"/>
            </w:r>
            <w:r w:rsidR="00151838">
              <w:rPr>
                <w:noProof/>
                <w:webHidden/>
              </w:rPr>
              <w:instrText xml:space="preserve"> PAGEREF _Toc77837847 \h </w:instrText>
            </w:r>
            <w:r w:rsidR="00151838">
              <w:rPr>
                <w:noProof/>
                <w:webHidden/>
              </w:rPr>
            </w:r>
            <w:r w:rsidR="00151838">
              <w:rPr>
                <w:noProof/>
                <w:webHidden/>
              </w:rPr>
              <w:fldChar w:fldCharType="separate"/>
            </w:r>
            <w:r w:rsidR="00151838">
              <w:rPr>
                <w:noProof/>
                <w:webHidden/>
              </w:rPr>
              <w:t>26</w:t>
            </w:r>
            <w:r w:rsidR="00151838">
              <w:rPr>
                <w:noProof/>
                <w:webHidden/>
              </w:rPr>
              <w:fldChar w:fldCharType="end"/>
            </w:r>
          </w:hyperlink>
        </w:p>
        <w:p w14:paraId="2199B442" w14:textId="5453D67E" w:rsidR="00151838" w:rsidRDefault="004F1221">
          <w:pPr>
            <w:pStyle w:val="TOC3"/>
            <w:tabs>
              <w:tab w:val="right" w:leader="dot" w:pos="10073"/>
            </w:tabs>
            <w:rPr>
              <w:rFonts w:cstheme="minorBidi"/>
              <w:noProof/>
              <w:sz w:val="22"/>
              <w:szCs w:val="22"/>
            </w:rPr>
          </w:pPr>
          <w:hyperlink w:anchor="_Toc77837848" w:history="1">
            <w:r w:rsidR="00151838" w:rsidRPr="00A3701C">
              <w:rPr>
                <w:rStyle w:val="Hyperlink"/>
                <w:rFonts w:cs="Sylfaen"/>
                <w:bCs/>
                <w:noProof/>
              </w:rPr>
              <w:t>1.4. ԿԱՆԽԱՏԵՍՈՒՄՆԵՐԻ ՀԻՄՔՈՒՄ ԸՆԿԱԾ ԵՆԹԱԴՐՈՒԹՅՈՒՆՆԵՐԸ</w:t>
            </w:r>
            <w:r w:rsidR="00151838">
              <w:rPr>
                <w:noProof/>
                <w:webHidden/>
              </w:rPr>
              <w:tab/>
            </w:r>
            <w:r w:rsidR="00151838">
              <w:rPr>
                <w:noProof/>
                <w:webHidden/>
              </w:rPr>
              <w:fldChar w:fldCharType="begin"/>
            </w:r>
            <w:r w:rsidR="00151838">
              <w:rPr>
                <w:noProof/>
                <w:webHidden/>
              </w:rPr>
              <w:instrText xml:space="preserve"> PAGEREF _Toc77837848 \h </w:instrText>
            </w:r>
            <w:r w:rsidR="00151838">
              <w:rPr>
                <w:noProof/>
                <w:webHidden/>
              </w:rPr>
            </w:r>
            <w:r w:rsidR="00151838">
              <w:rPr>
                <w:noProof/>
                <w:webHidden/>
              </w:rPr>
              <w:fldChar w:fldCharType="separate"/>
            </w:r>
            <w:r w:rsidR="00151838">
              <w:rPr>
                <w:noProof/>
                <w:webHidden/>
              </w:rPr>
              <w:t>46</w:t>
            </w:r>
            <w:r w:rsidR="00151838">
              <w:rPr>
                <w:noProof/>
                <w:webHidden/>
              </w:rPr>
              <w:fldChar w:fldCharType="end"/>
            </w:r>
          </w:hyperlink>
        </w:p>
        <w:p w14:paraId="20A510BC" w14:textId="37C8C4A2" w:rsidR="00151838" w:rsidRDefault="004F1221">
          <w:pPr>
            <w:pStyle w:val="TOC3"/>
            <w:tabs>
              <w:tab w:val="right" w:leader="dot" w:pos="10073"/>
            </w:tabs>
            <w:rPr>
              <w:rFonts w:cstheme="minorBidi"/>
              <w:noProof/>
              <w:sz w:val="22"/>
              <w:szCs w:val="22"/>
            </w:rPr>
          </w:pPr>
          <w:hyperlink w:anchor="_Toc77837849" w:history="1">
            <w:r w:rsidR="00151838" w:rsidRPr="00A3701C">
              <w:rPr>
                <w:rStyle w:val="Hyperlink"/>
                <w:rFonts w:cs="Sylfaen"/>
                <w:bCs/>
                <w:noProof/>
              </w:rPr>
              <w:t>1.5. ՄԱԿՐՈՏՆՏԵՍԱԿԱՆ ԿԱՆԽԱՏԵՍՈՒՄՆԵՐԻ ՌԻՍԿԵՐԸ</w:t>
            </w:r>
            <w:r w:rsidR="00151838">
              <w:rPr>
                <w:noProof/>
                <w:webHidden/>
              </w:rPr>
              <w:tab/>
            </w:r>
            <w:r w:rsidR="00151838">
              <w:rPr>
                <w:noProof/>
                <w:webHidden/>
              </w:rPr>
              <w:fldChar w:fldCharType="begin"/>
            </w:r>
            <w:r w:rsidR="00151838">
              <w:rPr>
                <w:noProof/>
                <w:webHidden/>
              </w:rPr>
              <w:instrText xml:space="preserve"> PAGEREF _Toc77837849 \h </w:instrText>
            </w:r>
            <w:r w:rsidR="00151838">
              <w:rPr>
                <w:noProof/>
                <w:webHidden/>
              </w:rPr>
            </w:r>
            <w:r w:rsidR="00151838">
              <w:rPr>
                <w:noProof/>
                <w:webHidden/>
              </w:rPr>
              <w:fldChar w:fldCharType="separate"/>
            </w:r>
            <w:r w:rsidR="00151838">
              <w:rPr>
                <w:noProof/>
                <w:webHidden/>
              </w:rPr>
              <w:t>49</w:t>
            </w:r>
            <w:r w:rsidR="00151838">
              <w:rPr>
                <w:noProof/>
                <w:webHidden/>
              </w:rPr>
              <w:fldChar w:fldCharType="end"/>
            </w:r>
          </w:hyperlink>
        </w:p>
        <w:p w14:paraId="777FBE15" w14:textId="76D80415" w:rsidR="00151838" w:rsidRDefault="004F1221">
          <w:pPr>
            <w:pStyle w:val="TOC3"/>
            <w:tabs>
              <w:tab w:val="right" w:leader="dot" w:pos="10073"/>
            </w:tabs>
            <w:rPr>
              <w:rFonts w:cstheme="minorBidi"/>
              <w:noProof/>
              <w:sz w:val="22"/>
              <w:szCs w:val="22"/>
            </w:rPr>
          </w:pPr>
          <w:hyperlink w:anchor="_Toc77837850" w:history="1">
            <w:r w:rsidR="00151838" w:rsidRPr="00A3701C">
              <w:rPr>
                <w:rStyle w:val="Hyperlink"/>
                <w:rFonts w:cs="Sylfaen"/>
                <w:bCs/>
                <w:noProof/>
              </w:rPr>
              <w:t>1.6. ՀԱՄԵՄԱՏՈՒԹՅՈՒՆ ՆԱԽՈՐԴ ԿԱՆԽԱՏԵՍՈՒՄՆԵՐԻ ՀԵՏ</w:t>
            </w:r>
            <w:r w:rsidR="00151838">
              <w:rPr>
                <w:noProof/>
                <w:webHidden/>
              </w:rPr>
              <w:tab/>
            </w:r>
            <w:r w:rsidR="00151838">
              <w:rPr>
                <w:noProof/>
                <w:webHidden/>
              </w:rPr>
              <w:fldChar w:fldCharType="begin"/>
            </w:r>
            <w:r w:rsidR="00151838">
              <w:rPr>
                <w:noProof/>
                <w:webHidden/>
              </w:rPr>
              <w:instrText xml:space="preserve"> PAGEREF _Toc77837850 \h </w:instrText>
            </w:r>
            <w:r w:rsidR="00151838">
              <w:rPr>
                <w:noProof/>
                <w:webHidden/>
              </w:rPr>
            </w:r>
            <w:r w:rsidR="00151838">
              <w:rPr>
                <w:noProof/>
                <w:webHidden/>
              </w:rPr>
              <w:fldChar w:fldCharType="separate"/>
            </w:r>
            <w:r w:rsidR="00151838">
              <w:rPr>
                <w:noProof/>
                <w:webHidden/>
              </w:rPr>
              <w:t>52</w:t>
            </w:r>
            <w:r w:rsidR="00151838">
              <w:rPr>
                <w:noProof/>
                <w:webHidden/>
              </w:rPr>
              <w:fldChar w:fldCharType="end"/>
            </w:r>
          </w:hyperlink>
        </w:p>
        <w:p w14:paraId="7AAC17E6" w14:textId="449269ED" w:rsidR="00151838" w:rsidRDefault="004F1221">
          <w:pPr>
            <w:pStyle w:val="TOC2"/>
            <w:tabs>
              <w:tab w:val="right" w:leader="dot" w:pos="10073"/>
            </w:tabs>
            <w:rPr>
              <w:rFonts w:cstheme="minorBidi"/>
              <w:b w:val="0"/>
              <w:bCs w:val="0"/>
              <w:noProof/>
            </w:rPr>
          </w:pPr>
          <w:hyperlink w:anchor="_Toc77837851" w:history="1">
            <w:r w:rsidR="00151838" w:rsidRPr="00A3701C">
              <w:rPr>
                <w:rStyle w:val="Hyperlink"/>
                <w:noProof/>
              </w:rPr>
              <w:t>ԳԼՈՒԽ 2. ՀԱՐԿԱԲՅՈՒՋԵՏԱՅԻՆ ՔԱՂԱՔԱԿԱՆՈՒԹՅԱՆ ՀԻՄՆԱԿԱՆ ՈՒՂՂՈՒԹՅՈՒՆՆԵՐԸ ԵՎ ԿԱՆԽԱՏԵՍՈՒՄՆԵՐԸ</w:t>
            </w:r>
            <w:r w:rsidR="00151838">
              <w:rPr>
                <w:noProof/>
                <w:webHidden/>
              </w:rPr>
              <w:tab/>
            </w:r>
            <w:r w:rsidR="00151838">
              <w:rPr>
                <w:noProof/>
                <w:webHidden/>
              </w:rPr>
              <w:fldChar w:fldCharType="begin"/>
            </w:r>
            <w:r w:rsidR="00151838">
              <w:rPr>
                <w:noProof/>
                <w:webHidden/>
              </w:rPr>
              <w:instrText xml:space="preserve"> PAGEREF _Toc77837851 \h </w:instrText>
            </w:r>
            <w:r w:rsidR="00151838">
              <w:rPr>
                <w:noProof/>
                <w:webHidden/>
              </w:rPr>
            </w:r>
            <w:r w:rsidR="00151838">
              <w:rPr>
                <w:noProof/>
                <w:webHidden/>
              </w:rPr>
              <w:fldChar w:fldCharType="separate"/>
            </w:r>
            <w:r w:rsidR="00151838">
              <w:rPr>
                <w:noProof/>
                <w:webHidden/>
              </w:rPr>
              <w:t>54</w:t>
            </w:r>
            <w:r w:rsidR="00151838">
              <w:rPr>
                <w:noProof/>
                <w:webHidden/>
              </w:rPr>
              <w:fldChar w:fldCharType="end"/>
            </w:r>
          </w:hyperlink>
        </w:p>
        <w:p w14:paraId="371DBE87" w14:textId="73A9FA00" w:rsidR="00151838" w:rsidRDefault="004F1221">
          <w:pPr>
            <w:pStyle w:val="TOC3"/>
            <w:tabs>
              <w:tab w:val="right" w:leader="dot" w:pos="10073"/>
            </w:tabs>
            <w:rPr>
              <w:rFonts w:cstheme="minorBidi"/>
              <w:noProof/>
              <w:sz w:val="22"/>
              <w:szCs w:val="22"/>
            </w:rPr>
          </w:pPr>
          <w:hyperlink w:anchor="_Toc77837852" w:history="1">
            <w:r w:rsidR="00151838" w:rsidRPr="00A3701C">
              <w:rPr>
                <w:rStyle w:val="Hyperlink"/>
                <w:rFonts w:eastAsia="Times New Roman" w:cs="Times New Roman"/>
                <w:noProof/>
              </w:rPr>
              <w:t>2.1. ՀԱՐԿԱԲՅՈՒՋԵՏԱՅԻՆ ԸՆԴՀԱՆՈՒՐ ԱԿՆԱՐԿ ԵՎ ՀԱՐԿԱԲՅՈՒՋԵՏԱՅԻՆ ՇՐՋԱՆԱԿ</w:t>
            </w:r>
            <w:r w:rsidR="00151838">
              <w:rPr>
                <w:noProof/>
                <w:webHidden/>
              </w:rPr>
              <w:tab/>
            </w:r>
            <w:r w:rsidR="00151838">
              <w:rPr>
                <w:noProof/>
                <w:webHidden/>
              </w:rPr>
              <w:fldChar w:fldCharType="begin"/>
            </w:r>
            <w:r w:rsidR="00151838">
              <w:rPr>
                <w:noProof/>
                <w:webHidden/>
              </w:rPr>
              <w:instrText xml:space="preserve"> PAGEREF _Toc77837852 \h </w:instrText>
            </w:r>
            <w:r w:rsidR="00151838">
              <w:rPr>
                <w:noProof/>
                <w:webHidden/>
              </w:rPr>
            </w:r>
            <w:r w:rsidR="00151838">
              <w:rPr>
                <w:noProof/>
                <w:webHidden/>
              </w:rPr>
              <w:fldChar w:fldCharType="separate"/>
            </w:r>
            <w:r w:rsidR="00151838">
              <w:rPr>
                <w:noProof/>
                <w:webHidden/>
              </w:rPr>
              <w:t>54</w:t>
            </w:r>
            <w:r w:rsidR="00151838">
              <w:rPr>
                <w:noProof/>
                <w:webHidden/>
              </w:rPr>
              <w:fldChar w:fldCharType="end"/>
            </w:r>
          </w:hyperlink>
        </w:p>
        <w:p w14:paraId="0B231125" w14:textId="6BFB6043" w:rsidR="00151838" w:rsidRDefault="004F1221">
          <w:pPr>
            <w:pStyle w:val="TOC3"/>
            <w:tabs>
              <w:tab w:val="right" w:leader="dot" w:pos="10073"/>
            </w:tabs>
            <w:rPr>
              <w:rFonts w:cstheme="minorBidi"/>
              <w:noProof/>
              <w:sz w:val="22"/>
              <w:szCs w:val="22"/>
            </w:rPr>
          </w:pPr>
          <w:hyperlink w:anchor="_Toc77837853" w:history="1">
            <w:r w:rsidR="00151838" w:rsidRPr="00A3701C">
              <w:rPr>
                <w:rStyle w:val="Hyperlink"/>
                <w:rFonts w:eastAsia="Times New Roman" w:cs="Times New Roman"/>
                <w:noProof/>
              </w:rPr>
              <w:t>2.2. ՄԻՋՆԱԺԱՄԿԵՏ ՀԱՐԿԱԲՅՈՒՋԵՏԱՅԻՆ ՔԱՂԱՔԱԿԱՆՈՒԹՅԱՆ ԱՌԱՋՆԱՀԵՐԹՈՒԹՅՈՒՆՆԵՐԸ ԵՎ ՆՊԱՏԱԿՆԵՐԸ</w:t>
            </w:r>
            <w:r w:rsidR="00151838">
              <w:rPr>
                <w:noProof/>
                <w:webHidden/>
              </w:rPr>
              <w:tab/>
            </w:r>
            <w:r w:rsidR="00151838">
              <w:rPr>
                <w:noProof/>
                <w:webHidden/>
              </w:rPr>
              <w:fldChar w:fldCharType="begin"/>
            </w:r>
            <w:r w:rsidR="00151838">
              <w:rPr>
                <w:noProof/>
                <w:webHidden/>
              </w:rPr>
              <w:instrText xml:space="preserve"> PAGEREF _Toc77837853 \h </w:instrText>
            </w:r>
            <w:r w:rsidR="00151838">
              <w:rPr>
                <w:noProof/>
                <w:webHidden/>
              </w:rPr>
            </w:r>
            <w:r w:rsidR="00151838">
              <w:rPr>
                <w:noProof/>
                <w:webHidden/>
              </w:rPr>
              <w:fldChar w:fldCharType="separate"/>
            </w:r>
            <w:r w:rsidR="00151838">
              <w:rPr>
                <w:noProof/>
                <w:webHidden/>
              </w:rPr>
              <w:t>56</w:t>
            </w:r>
            <w:r w:rsidR="00151838">
              <w:rPr>
                <w:noProof/>
                <w:webHidden/>
              </w:rPr>
              <w:fldChar w:fldCharType="end"/>
            </w:r>
          </w:hyperlink>
        </w:p>
        <w:p w14:paraId="5B557296" w14:textId="0682F9B1" w:rsidR="00151838" w:rsidRDefault="004F1221">
          <w:pPr>
            <w:pStyle w:val="TOC3"/>
            <w:tabs>
              <w:tab w:val="right" w:leader="dot" w:pos="10073"/>
            </w:tabs>
            <w:rPr>
              <w:rFonts w:cstheme="minorBidi"/>
              <w:noProof/>
              <w:sz w:val="22"/>
              <w:szCs w:val="22"/>
            </w:rPr>
          </w:pPr>
          <w:hyperlink w:anchor="_Toc77837854" w:history="1">
            <w:r w:rsidR="00151838" w:rsidRPr="00A3701C">
              <w:rPr>
                <w:rStyle w:val="Hyperlink"/>
                <w:rFonts w:eastAsia="Times New Roman" w:cs="Times New Roman"/>
                <w:noProof/>
              </w:rPr>
              <w:t>2.3. ՀԱՐԿԱԲՅՈՒՋԵՏԱՅԻՆ ՔԱՂԱՔԱԿԱՆՈՒԹՅԱՆ ՄԻՏՈՒՄՆԵՐԸ ԵՎ ԿԱՆԽԱՏԵՍՈՒՄՆԵՐԸ</w:t>
            </w:r>
            <w:r w:rsidR="00151838">
              <w:rPr>
                <w:noProof/>
                <w:webHidden/>
              </w:rPr>
              <w:tab/>
            </w:r>
            <w:r w:rsidR="00151838">
              <w:rPr>
                <w:noProof/>
                <w:webHidden/>
              </w:rPr>
              <w:fldChar w:fldCharType="begin"/>
            </w:r>
            <w:r w:rsidR="00151838">
              <w:rPr>
                <w:noProof/>
                <w:webHidden/>
              </w:rPr>
              <w:instrText xml:space="preserve"> PAGEREF _Toc77837854 \h </w:instrText>
            </w:r>
            <w:r w:rsidR="00151838">
              <w:rPr>
                <w:noProof/>
                <w:webHidden/>
              </w:rPr>
            </w:r>
            <w:r w:rsidR="00151838">
              <w:rPr>
                <w:noProof/>
                <w:webHidden/>
              </w:rPr>
              <w:fldChar w:fldCharType="separate"/>
            </w:r>
            <w:r w:rsidR="00151838">
              <w:rPr>
                <w:noProof/>
                <w:webHidden/>
              </w:rPr>
              <w:t>58</w:t>
            </w:r>
            <w:r w:rsidR="00151838">
              <w:rPr>
                <w:noProof/>
                <w:webHidden/>
              </w:rPr>
              <w:fldChar w:fldCharType="end"/>
            </w:r>
          </w:hyperlink>
        </w:p>
        <w:p w14:paraId="7819BC88" w14:textId="1ABE91CA" w:rsidR="00151838" w:rsidRDefault="004F1221">
          <w:pPr>
            <w:pStyle w:val="TOC3"/>
            <w:tabs>
              <w:tab w:val="right" w:leader="dot" w:pos="10073"/>
            </w:tabs>
            <w:rPr>
              <w:rFonts w:cstheme="minorBidi"/>
              <w:noProof/>
              <w:sz w:val="22"/>
              <w:szCs w:val="22"/>
            </w:rPr>
          </w:pPr>
          <w:hyperlink w:anchor="_Toc77837855" w:history="1">
            <w:r w:rsidR="00151838" w:rsidRPr="00A3701C">
              <w:rPr>
                <w:rStyle w:val="Hyperlink"/>
                <w:rFonts w:eastAsia="Times New Roman" w:cs="Times New Roman"/>
                <w:noProof/>
              </w:rPr>
              <w:t>2.4. ՀԱՐԿԱԲՅՈՒՋԵՏԱՅԻՆ ՌԻՍԿԵՐ</w:t>
            </w:r>
            <w:r w:rsidR="00151838">
              <w:rPr>
                <w:noProof/>
                <w:webHidden/>
              </w:rPr>
              <w:tab/>
            </w:r>
            <w:r w:rsidR="00151838">
              <w:rPr>
                <w:noProof/>
                <w:webHidden/>
              </w:rPr>
              <w:fldChar w:fldCharType="begin"/>
            </w:r>
            <w:r w:rsidR="00151838">
              <w:rPr>
                <w:noProof/>
                <w:webHidden/>
              </w:rPr>
              <w:instrText xml:space="preserve"> PAGEREF _Toc77837855 \h </w:instrText>
            </w:r>
            <w:r w:rsidR="00151838">
              <w:rPr>
                <w:noProof/>
                <w:webHidden/>
              </w:rPr>
            </w:r>
            <w:r w:rsidR="00151838">
              <w:rPr>
                <w:noProof/>
                <w:webHidden/>
              </w:rPr>
              <w:fldChar w:fldCharType="separate"/>
            </w:r>
            <w:r w:rsidR="00151838">
              <w:rPr>
                <w:noProof/>
                <w:webHidden/>
              </w:rPr>
              <w:t>68</w:t>
            </w:r>
            <w:r w:rsidR="00151838">
              <w:rPr>
                <w:noProof/>
                <w:webHidden/>
              </w:rPr>
              <w:fldChar w:fldCharType="end"/>
            </w:r>
          </w:hyperlink>
        </w:p>
        <w:p w14:paraId="0E6297A8" w14:textId="1F28C267" w:rsidR="00151838" w:rsidRDefault="004F1221">
          <w:pPr>
            <w:pStyle w:val="TOC3"/>
            <w:tabs>
              <w:tab w:val="right" w:leader="dot" w:pos="10073"/>
            </w:tabs>
            <w:rPr>
              <w:rFonts w:cstheme="minorBidi"/>
              <w:noProof/>
              <w:sz w:val="22"/>
              <w:szCs w:val="22"/>
            </w:rPr>
          </w:pPr>
          <w:hyperlink w:anchor="_Toc77837856" w:history="1">
            <w:r w:rsidR="00151838" w:rsidRPr="00A3701C">
              <w:rPr>
                <w:rStyle w:val="Hyperlink"/>
                <w:rFonts w:eastAsia="Times New Roman" w:cs="Times New Roman"/>
                <w:noProof/>
              </w:rPr>
              <w:t>2.5. ՀԱՐԿԱԲՅՈՒՋԵՏԱՅԻՆ ՔԱՂԱՔԱԿԱՆՈՒԹՅԱՆ ՀԱՄԱՊԱՏԱՍԽԱՆՈՒԹՅՈՒՆԸ ՀԱՐԿԱԲՅՈՒՋԵՏԱՅԻՆ ԿԱՆՈՆՆԵՐԻՆ</w:t>
            </w:r>
            <w:r w:rsidR="00151838">
              <w:rPr>
                <w:noProof/>
                <w:webHidden/>
              </w:rPr>
              <w:tab/>
            </w:r>
            <w:r w:rsidR="00151838">
              <w:rPr>
                <w:noProof/>
                <w:webHidden/>
              </w:rPr>
              <w:fldChar w:fldCharType="begin"/>
            </w:r>
            <w:r w:rsidR="00151838">
              <w:rPr>
                <w:noProof/>
                <w:webHidden/>
              </w:rPr>
              <w:instrText xml:space="preserve"> PAGEREF _Toc77837856 \h </w:instrText>
            </w:r>
            <w:r w:rsidR="00151838">
              <w:rPr>
                <w:noProof/>
                <w:webHidden/>
              </w:rPr>
            </w:r>
            <w:r w:rsidR="00151838">
              <w:rPr>
                <w:noProof/>
                <w:webHidden/>
              </w:rPr>
              <w:fldChar w:fldCharType="separate"/>
            </w:r>
            <w:r w:rsidR="00151838">
              <w:rPr>
                <w:noProof/>
                <w:webHidden/>
              </w:rPr>
              <w:t>71</w:t>
            </w:r>
            <w:r w:rsidR="00151838">
              <w:rPr>
                <w:noProof/>
                <w:webHidden/>
              </w:rPr>
              <w:fldChar w:fldCharType="end"/>
            </w:r>
          </w:hyperlink>
        </w:p>
        <w:p w14:paraId="7760D162" w14:textId="74107E32" w:rsidR="00151838" w:rsidRDefault="004F1221">
          <w:pPr>
            <w:pStyle w:val="TOC3"/>
            <w:tabs>
              <w:tab w:val="right" w:leader="dot" w:pos="10073"/>
            </w:tabs>
            <w:rPr>
              <w:rFonts w:cstheme="minorBidi"/>
              <w:noProof/>
              <w:sz w:val="22"/>
              <w:szCs w:val="22"/>
            </w:rPr>
          </w:pPr>
          <w:hyperlink w:anchor="_Toc77837857" w:history="1">
            <w:r w:rsidR="00151838" w:rsidRPr="00A3701C">
              <w:rPr>
                <w:rStyle w:val="Hyperlink"/>
                <w:rFonts w:eastAsia="Times New Roman" w:cs="Times New Roman"/>
                <w:noProof/>
              </w:rPr>
              <w:t>2.6. ՊԵՏԱԿԱՆ ԲՅՈՒՋԵԻ ՑՈՒՑԱՆԻՇՆԵՐԻ ԿԱՆԽԱՏԵՍՈՒՄՆԵՐԻ ՀԱՄԵՄԱՏԱԿԱՆ ԱՂՅՈՒՍԱԿՆԵՐ</w:t>
            </w:r>
            <w:r w:rsidR="00151838">
              <w:rPr>
                <w:noProof/>
                <w:webHidden/>
              </w:rPr>
              <w:tab/>
            </w:r>
            <w:r w:rsidR="00151838">
              <w:rPr>
                <w:noProof/>
                <w:webHidden/>
              </w:rPr>
              <w:fldChar w:fldCharType="begin"/>
            </w:r>
            <w:r w:rsidR="00151838">
              <w:rPr>
                <w:noProof/>
                <w:webHidden/>
              </w:rPr>
              <w:instrText xml:space="preserve"> PAGEREF _Toc77837857 \h </w:instrText>
            </w:r>
            <w:r w:rsidR="00151838">
              <w:rPr>
                <w:noProof/>
                <w:webHidden/>
              </w:rPr>
            </w:r>
            <w:r w:rsidR="00151838">
              <w:rPr>
                <w:noProof/>
                <w:webHidden/>
              </w:rPr>
              <w:fldChar w:fldCharType="separate"/>
            </w:r>
            <w:r w:rsidR="00151838">
              <w:rPr>
                <w:noProof/>
                <w:webHidden/>
              </w:rPr>
              <w:t>75</w:t>
            </w:r>
            <w:r w:rsidR="00151838">
              <w:rPr>
                <w:noProof/>
                <w:webHidden/>
              </w:rPr>
              <w:fldChar w:fldCharType="end"/>
            </w:r>
          </w:hyperlink>
        </w:p>
        <w:p w14:paraId="584D9622" w14:textId="657B5557" w:rsidR="00151838" w:rsidRDefault="004F1221">
          <w:pPr>
            <w:pStyle w:val="TOC2"/>
            <w:tabs>
              <w:tab w:val="right" w:leader="dot" w:pos="10073"/>
            </w:tabs>
            <w:rPr>
              <w:rFonts w:cstheme="minorBidi"/>
              <w:b w:val="0"/>
              <w:bCs w:val="0"/>
              <w:noProof/>
            </w:rPr>
          </w:pPr>
          <w:hyperlink w:anchor="_Toc77837858" w:history="1">
            <w:r w:rsidR="00151838" w:rsidRPr="00A3701C">
              <w:rPr>
                <w:rStyle w:val="Hyperlink"/>
                <w:noProof/>
                <w:lang w:val="hy-AM"/>
              </w:rPr>
              <w:t xml:space="preserve">ԳԼՈՒԽ 3. </w:t>
            </w:r>
            <w:r w:rsidR="00151838" w:rsidRPr="00A3701C">
              <w:rPr>
                <w:rStyle w:val="Hyperlink"/>
                <w:noProof/>
              </w:rPr>
              <w:t>ՀՀ 202</w:t>
            </w:r>
            <w:r w:rsidR="00151838" w:rsidRPr="00A3701C">
              <w:rPr>
                <w:rStyle w:val="Hyperlink"/>
                <w:noProof/>
                <w:lang w:val="hy-AM"/>
              </w:rPr>
              <w:t>2</w:t>
            </w:r>
            <w:r w:rsidR="00151838" w:rsidRPr="00A3701C">
              <w:rPr>
                <w:rStyle w:val="Hyperlink"/>
                <w:noProof/>
              </w:rPr>
              <w:t>–202</w:t>
            </w:r>
            <w:r w:rsidR="00151838" w:rsidRPr="00A3701C">
              <w:rPr>
                <w:rStyle w:val="Hyperlink"/>
                <w:noProof/>
                <w:lang w:val="hy-AM"/>
              </w:rPr>
              <w:t>4</w:t>
            </w:r>
            <w:r w:rsidR="00151838" w:rsidRPr="00A3701C">
              <w:rPr>
                <w:rStyle w:val="Hyperlink"/>
                <w:noProof/>
              </w:rPr>
              <w:t>ԹԹ ՊԵՏԱԿԱՆ ԲՅՈՒՋԵՆԵՐԻ ԵԿԱՄՈՒՏՆԵՐԻ ՔԱՂԱՔԱԿԱՆՈՒԹՅՈՒՆ ԵՎ ԿԱՆԽԱՏԵՍՈՒՄ</w:t>
            </w:r>
            <w:r w:rsidR="00151838">
              <w:rPr>
                <w:noProof/>
                <w:webHidden/>
              </w:rPr>
              <w:tab/>
            </w:r>
            <w:r w:rsidR="00151838">
              <w:rPr>
                <w:noProof/>
                <w:webHidden/>
              </w:rPr>
              <w:fldChar w:fldCharType="begin"/>
            </w:r>
            <w:r w:rsidR="00151838">
              <w:rPr>
                <w:noProof/>
                <w:webHidden/>
              </w:rPr>
              <w:instrText xml:space="preserve"> PAGEREF _Toc77837858 \h </w:instrText>
            </w:r>
            <w:r w:rsidR="00151838">
              <w:rPr>
                <w:noProof/>
                <w:webHidden/>
              </w:rPr>
            </w:r>
            <w:r w:rsidR="00151838">
              <w:rPr>
                <w:noProof/>
                <w:webHidden/>
              </w:rPr>
              <w:fldChar w:fldCharType="separate"/>
            </w:r>
            <w:r w:rsidR="00151838">
              <w:rPr>
                <w:noProof/>
                <w:webHidden/>
              </w:rPr>
              <w:t>78</w:t>
            </w:r>
            <w:r w:rsidR="00151838">
              <w:rPr>
                <w:noProof/>
                <w:webHidden/>
              </w:rPr>
              <w:fldChar w:fldCharType="end"/>
            </w:r>
          </w:hyperlink>
        </w:p>
        <w:p w14:paraId="3385882B" w14:textId="4B08C7DE" w:rsidR="00151838" w:rsidRDefault="004F1221">
          <w:pPr>
            <w:pStyle w:val="TOC3"/>
            <w:tabs>
              <w:tab w:val="right" w:leader="dot" w:pos="10073"/>
            </w:tabs>
            <w:rPr>
              <w:rFonts w:cstheme="minorBidi"/>
              <w:noProof/>
              <w:sz w:val="22"/>
              <w:szCs w:val="22"/>
            </w:rPr>
          </w:pPr>
          <w:hyperlink w:anchor="_Toc77837859" w:history="1">
            <w:r w:rsidR="00151838" w:rsidRPr="00A3701C">
              <w:rPr>
                <w:rStyle w:val="Hyperlink"/>
                <w:rFonts w:eastAsia="Times New Roman" w:cs="Times New Roman"/>
                <w:noProof/>
              </w:rPr>
              <w:t>3.1. ՊԵՏԱԿԱՆ ԵԿԱՄՈՒՏՆԵՐԻ ՔԱՂԱՔԱԿԱՆՈՒԹՅԱՆ ՀԻՄՆԱԿԱՆ ԱՌԱՆՁՆԱՀԱՏԿՈՒԹՅՈՒՆՆԵՐԸ 2022-2024 ԹՎԱԿԱՆՆԵՐԻՆ</w:t>
            </w:r>
            <w:r w:rsidR="00151838">
              <w:rPr>
                <w:noProof/>
                <w:webHidden/>
              </w:rPr>
              <w:tab/>
            </w:r>
            <w:r w:rsidR="00151838">
              <w:rPr>
                <w:noProof/>
                <w:webHidden/>
              </w:rPr>
              <w:fldChar w:fldCharType="begin"/>
            </w:r>
            <w:r w:rsidR="00151838">
              <w:rPr>
                <w:noProof/>
                <w:webHidden/>
              </w:rPr>
              <w:instrText xml:space="preserve"> PAGEREF _Toc77837859 \h </w:instrText>
            </w:r>
            <w:r w:rsidR="00151838">
              <w:rPr>
                <w:noProof/>
                <w:webHidden/>
              </w:rPr>
            </w:r>
            <w:r w:rsidR="00151838">
              <w:rPr>
                <w:noProof/>
                <w:webHidden/>
              </w:rPr>
              <w:fldChar w:fldCharType="separate"/>
            </w:r>
            <w:r w:rsidR="00151838">
              <w:rPr>
                <w:noProof/>
                <w:webHidden/>
              </w:rPr>
              <w:t>78</w:t>
            </w:r>
            <w:r w:rsidR="00151838">
              <w:rPr>
                <w:noProof/>
                <w:webHidden/>
              </w:rPr>
              <w:fldChar w:fldCharType="end"/>
            </w:r>
          </w:hyperlink>
        </w:p>
        <w:p w14:paraId="24C5B017" w14:textId="5C930548" w:rsidR="00151838" w:rsidRDefault="004F1221">
          <w:pPr>
            <w:pStyle w:val="TOC3"/>
            <w:tabs>
              <w:tab w:val="right" w:leader="dot" w:pos="10073"/>
            </w:tabs>
            <w:rPr>
              <w:rFonts w:cstheme="minorBidi"/>
              <w:noProof/>
              <w:sz w:val="22"/>
              <w:szCs w:val="22"/>
            </w:rPr>
          </w:pPr>
          <w:hyperlink w:anchor="_Toc77837860" w:history="1">
            <w:r w:rsidR="00151838" w:rsidRPr="00A3701C">
              <w:rPr>
                <w:rStyle w:val="Hyperlink"/>
                <w:rFonts w:eastAsia="Times New Roman" w:cs="Times New Roman"/>
                <w:noProof/>
              </w:rPr>
              <w:t>3.2. ՀՀ 2022-2024 ԹՎԱԿԱՆՆԵՐԻ ՊԵՏԱԿԱՆ ԲՅՈՒՋԵՆԵՐԻ ԵԿԱՄՈՒՏՆԵՐԻ ԿԱՆԽԱՏԵՍՈՒՄԸ</w:t>
            </w:r>
            <w:r w:rsidR="00151838">
              <w:rPr>
                <w:noProof/>
                <w:webHidden/>
              </w:rPr>
              <w:tab/>
            </w:r>
            <w:r w:rsidR="00151838">
              <w:rPr>
                <w:noProof/>
                <w:webHidden/>
              </w:rPr>
              <w:fldChar w:fldCharType="begin"/>
            </w:r>
            <w:r w:rsidR="00151838">
              <w:rPr>
                <w:noProof/>
                <w:webHidden/>
              </w:rPr>
              <w:instrText xml:space="preserve"> PAGEREF _Toc77837860 \h </w:instrText>
            </w:r>
            <w:r w:rsidR="00151838">
              <w:rPr>
                <w:noProof/>
                <w:webHidden/>
              </w:rPr>
            </w:r>
            <w:r w:rsidR="00151838">
              <w:rPr>
                <w:noProof/>
                <w:webHidden/>
              </w:rPr>
              <w:fldChar w:fldCharType="separate"/>
            </w:r>
            <w:r w:rsidR="00151838">
              <w:rPr>
                <w:noProof/>
                <w:webHidden/>
              </w:rPr>
              <w:t>79</w:t>
            </w:r>
            <w:r w:rsidR="00151838">
              <w:rPr>
                <w:noProof/>
                <w:webHidden/>
              </w:rPr>
              <w:fldChar w:fldCharType="end"/>
            </w:r>
          </w:hyperlink>
        </w:p>
        <w:p w14:paraId="4F012D5C" w14:textId="03ADAD05" w:rsidR="00151838" w:rsidRDefault="004F1221">
          <w:pPr>
            <w:pStyle w:val="TOC2"/>
            <w:tabs>
              <w:tab w:val="right" w:leader="dot" w:pos="10073"/>
            </w:tabs>
            <w:rPr>
              <w:rFonts w:cstheme="minorBidi"/>
              <w:b w:val="0"/>
              <w:bCs w:val="0"/>
              <w:noProof/>
            </w:rPr>
          </w:pPr>
          <w:hyperlink w:anchor="_Toc77837861" w:history="1">
            <w:r w:rsidR="00151838" w:rsidRPr="00A3701C">
              <w:rPr>
                <w:rStyle w:val="Hyperlink"/>
                <w:noProof/>
                <w:lang w:val="hy-AM"/>
              </w:rPr>
              <w:t xml:space="preserve">ԳԼՈՒԽ 4. </w:t>
            </w:r>
            <w:r w:rsidR="00151838" w:rsidRPr="00A3701C">
              <w:rPr>
                <w:rStyle w:val="Hyperlink"/>
                <w:noProof/>
              </w:rPr>
              <w:t>ԲՅՈՒՋԵՏԱՅԻՆ ՇՐՋԱՆԱԿ</w:t>
            </w:r>
            <w:r w:rsidR="00151838">
              <w:rPr>
                <w:noProof/>
                <w:webHidden/>
              </w:rPr>
              <w:tab/>
            </w:r>
            <w:r w:rsidR="00151838">
              <w:rPr>
                <w:noProof/>
                <w:webHidden/>
              </w:rPr>
              <w:fldChar w:fldCharType="begin"/>
            </w:r>
            <w:r w:rsidR="00151838">
              <w:rPr>
                <w:noProof/>
                <w:webHidden/>
              </w:rPr>
              <w:instrText xml:space="preserve"> PAGEREF _Toc77837861 \h </w:instrText>
            </w:r>
            <w:r w:rsidR="00151838">
              <w:rPr>
                <w:noProof/>
                <w:webHidden/>
              </w:rPr>
            </w:r>
            <w:r w:rsidR="00151838">
              <w:rPr>
                <w:noProof/>
                <w:webHidden/>
              </w:rPr>
              <w:fldChar w:fldCharType="separate"/>
            </w:r>
            <w:r w:rsidR="00151838">
              <w:rPr>
                <w:noProof/>
                <w:webHidden/>
              </w:rPr>
              <w:t>84</w:t>
            </w:r>
            <w:r w:rsidR="00151838">
              <w:rPr>
                <w:noProof/>
                <w:webHidden/>
              </w:rPr>
              <w:fldChar w:fldCharType="end"/>
            </w:r>
          </w:hyperlink>
        </w:p>
        <w:p w14:paraId="7B35F570" w14:textId="1BC2C0B2" w:rsidR="00151838" w:rsidRDefault="004F1221">
          <w:pPr>
            <w:pStyle w:val="TOC3"/>
            <w:tabs>
              <w:tab w:val="right" w:leader="dot" w:pos="10073"/>
            </w:tabs>
            <w:rPr>
              <w:rFonts w:cstheme="minorBidi"/>
              <w:noProof/>
              <w:sz w:val="22"/>
              <w:szCs w:val="22"/>
            </w:rPr>
          </w:pPr>
          <w:hyperlink w:anchor="_Toc77837862" w:history="1">
            <w:r w:rsidR="00151838" w:rsidRPr="00A3701C">
              <w:rPr>
                <w:rStyle w:val="Hyperlink"/>
                <w:rFonts w:eastAsia="Times New Roman" w:cs="Times New Roman"/>
                <w:noProof/>
              </w:rPr>
              <w:t>4.1. ՊԵՏԱԿԱՆ ԲՅՈՒՋԵԻ ԴԵՖԻՑԻՏԸ</w:t>
            </w:r>
            <w:r w:rsidR="00151838">
              <w:rPr>
                <w:noProof/>
                <w:webHidden/>
              </w:rPr>
              <w:tab/>
            </w:r>
            <w:r w:rsidR="00151838">
              <w:rPr>
                <w:noProof/>
                <w:webHidden/>
              </w:rPr>
              <w:fldChar w:fldCharType="begin"/>
            </w:r>
            <w:r w:rsidR="00151838">
              <w:rPr>
                <w:noProof/>
                <w:webHidden/>
              </w:rPr>
              <w:instrText xml:space="preserve"> PAGEREF _Toc77837862 \h </w:instrText>
            </w:r>
            <w:r w:rsidR="00151838">
              <w:rPr>
                <w:noProof/>
                <w:webHidden/>
              </w:rPr>
            </w:r>
            <w:r w:rsidR="00151838">
              <w:rPr>
                <w:noProof/>
                <w:webHidden/>
              </w:rPr>
              <w:fldChar w:fldCharType="separate"/>
            </w:r>
            <w:r w:rsidR="00151838">
              <w:rPr>
                <w:noProof/>
                <w:webHidden/>
              </w:rPr>
              <w:t>84</w:t>
            </w:r>
            <w:r w:rsidR="00151838">
              <w:rPr>
                <w:noProof/>
                <w:webHidden/>
              </w:rPr>
              <w:fldChar w:fldCharType="end"/>
            </w:r>
          </w:hyperlink>
        </w:p>
        <w:p w14:paraId="6015D3C7" w14:textId="6B48F874" w:rsidR="00151838" w:rsidRDefault="004F1221">
          <w:pPr>
            <w:pStyle w:val="TOC3"/>
            <w:tabs>
              <w:tab w:val="right" w:leader="dot" w:pos="10073"/>
            </w:tabs>
            <w:rPr>
              <w:rFonts w:cstheme="minorBidi"/>
              <w:noProof/>
              <w:sz w:val="22"/>
              <w:szCs w:val="22"/>
            </w:rPr>
          </w:pPr>
          <w:hyperlink w:anchor="_Toc77837863" w:history="1">
            <w:r w:rsidR="00151838" w:rsidRPr="00A3701C">
              <w:rPr>
                <w:rStyle w:val="Hyperlink"/>
                <w:rFonts w:eastAsia="Times New Roman" w:cs="Times New Roman"/>
                <w:noProof/>
              </w:rPr>
              <w:t>4.2. ՀՀ ՊԵՏԱԿԱՆ ԲՅՈՒՋԵԻ ՌԵՍՈՒՐՍՆԵՐԻ ԵՎ ԾԱԽՍԵՐԻ ՓԱԹԵԹՈՒՄ 2022-2024ԹԹ ԿԱՆԽԱՏԵՍՎՈՂ ՓՈՓՈԽՈՒԹՅՈՒՆՆԵՐԸ</w:t>
            </w:r>
            <w:r w:rsidR="00151838">
              <w:rPr>
                <w:noProof/>
                <w:webHidden/>
              </w:rPr>
              <w:tab/>
            </w:r>
            <w:r w:rsidR="00151838">
              <w:rPr>
                <w:noProof/>
                <w:webHidden/>
              </w:rPr>
              <w:fldChar w:fldCharType="begin"/>
            </w:r>
            <w:r w:rsidR="00151838">
              <w:rPr>
                <w:noProof/>
                <w:webHidden/>
              </w:rPr>
              <w:instrText xml:space="preserve"> PAGEREF _Toc77837863 \h </w:instrText>
            </w:r>
            <w:r w:rsidR="00151838">
              <w:rPr>
                <w:noProof/>
                <w:webHidden/>
              </w:rPr>
            </w:r>
            <w:r w:rsidR="00151838">
              <w:rPr>
                <w:noProof/>
                <w:webHidden/>
              </w:rPr>
              <w:fldChar w:fldCharType="separate"/>
            </w:r>
            <w:r w:rsidR="00151838">
              <w:rPr>
                <w:noProof/>
                <w:webHidden/>
              </w:rPr>
              <w:t>85</w:t>
            </w:r>
            <w:r w:rsidR="00151838">
              <w:rPr>
                <w:noProof/>
                <w:webHidden/>
              </w:rPr>
              <w:fldChar w:fldCharType="end"/>
            </w:r>
          </w:hyperlink>
        </w:p>
        <w:p w14:paraId="406A7081" w14:textId="18714FA7" w:rsidR="00151838" w:rsidRDefault="004F1221">
          <w:pPr>
            <w:pStyle w:val="TOC3"/>
            <w:tabs>
              <w:tab w:val="right" w:leader="dot" w:pos="10073"/>
            </w:tabs>
            <w:rPr>
              <w:rFonts w:cstheme="minorBidi"/>
              <w:noProof/>
              <w:sz w:val="22"/>
              <w:szCs w:val="22"/>
            </w:rPr>
          </w:pPr>
          <w:hyperlink w:anchor="_Toc77837864" w:history="1">
            <w:r w:rsidR="00151838" w:rsidRPr="00A3701C">
              <w:rPr>
                <w:rStyle w:val="Hyperlink"/>
                <w:rFonts w:eastAsia="Times New Roman" w:cs="Times New Roman"/>
                <w:noProof/>
              </w:rPr>
              <w:t>4.3. 2022-2024ԹԹ ՊԵՏԱԿԱՆ ԲՅՈՒՋԵՆԵՐԻ ԾԱԽՍԵՐԻ ԿԱՆԽԱՏԵՍՈՒՄԸ` ԸՍՏ ՈԼՈՐՏՆԵՐԻ</w:t>
            </w:r>
            <w:r w:rsidR="00151838">
              <w:rPr>
                <w:noProof/>
                <w:webHidden/>
              </w:rPr>
              <w:tab/>
            </w:r>
            <w:r w:rsidR="00151838">
              <w:rPr>
                <w:noProof/>
                <w:webHidden/>
              </w:rPr>
              <w:fldChar w:fldCharType="begin"/>
            </w:r>
            <w:r w:rsidR="00151838">
              <w:rPr>
                <w:noProof/>
                <w:webHidden/>
              </w:rPr>
              <w:instrText xml:space="preserve"> PAGEREF _Toc77837864 \h </w:instrText>
            </w:r>
            <w:r w:rsidR="00151838">
              <w:rPr>
                <w:noProof/>
                <w:webHidden/>
              </w:rPr>
            </w:r>
            <w:r w:rsidR="00151838">
              <w:rPr>
                <w:noProof/>
                <w:webHidden/>
              </w:rPr>
              <w:fldChar w:fldCharType="separate"/>
            </w:r>
            <w:r w:rsidR="00151838">
              <w:rPr>
                <w:noProof/>
                <w:webHidden/>
              </w:rPr>
              <w:t>86</w:t>
            </w:r>
            <w:r w:rsidR="00151838">
              <w:rPr>
                <w:noProof/>
                <w:webHidden/>
              </w:rPr>
              <w:fldChar w:fldCharType="end"/>
            </w:r>
          </w:hyperlink>
        </w:p>
        <w:p w14:paraId="4E6ADE54" w14:textId="27DA754A" w:rsidR="00151838" w:rsidRDefault="004F1221">
          <w:pPr>
            <w:pStyle w:val="TOC3"/>
            <w:tabs>
              <w:tab w:val="right" w:leader="dot" w:pos="10073"/>
            </w:tabs>
            <w:rPr>
              <w:rFonts w:cstheme="minorBidi"/>
              <w:noProof/>
              <w:sz w:val="22"/>
              <w:szCs w:val="22"/>
            </w:rPr>
          </w:pPr>
          <w:hyperlink w:anchor="_Toc77837865" w:history="1">
            <w:r w:rsidR="00151838" w:rsidRPr="00A3701C">
              <w:rPr>
                <w:rStyle w:val="Hyperlink"/>
                <w:rFonts w:eastAsia="Times New Roman" w:cs="Times New Roman"/>
                <w:noProof/>
              </w:rPr>
              <w:t>4.4.  ԿԱՆԽԱՏԵՍՎՈՂ ՓՈՓՈԽՈՒԹՅՈՒՆՆԵՐՆ ԸՍՏ ՏՆՏԵՍԱԳԻՏԱԿԱՆ ԴԱՍԱԿԱՐԳՄԱՆ</w:t>
            </w:r>
            <w:r w:rsidR="00151838">
              <w:rPr>
                <w:noProof/>
                <w:webHidden/>
              </w:rPr>
              <w:tab/>
            </w:r>
            <w:r w:rsidR="00151838">
              <w:rPr>
                <w:noProof/>
                <w:webHidden/>
              </w:rPr>
              <w:fldChar w:fldCharType="begin"/>
            </w:r>
            <w:r w:rsidR="00151838">
              <w:rPr>
                <w:noProof/>
                <w:webHidden/>
              </w:rPr>
              <w:instrText xml:space="preserve"> PAGEREF _Toc77837865 \h </w:instrText>
            </w:r>
            <w:r w:rsidR="00151838">
              <w:rPr>
                <w:noProof/>
                <w:webHidden/>
              </w:rPr>
            </w:r>
            <w:r w:rsidR="00151838">
              <w:rPr>
                <w:noProof/>
                <w:webHidden/>
              </w:rPr>
              <w:fldChar w:fldCharType="separate"/>
            </w:r>
            <w:r w:rsidR="00151838">
              <w:rPr>
                <w:noProof/>
                <w:webHidden/>
              </w:rPr>
              <w:t>93</w:t>
            </w:r>
            <w:r w:rsidR="00151838">
              <w:rPr>
                <w:noProof/>
                <w:webHidden/>
              </w:rPr>
              <w:fldChar w:fldCharType="end"/>
            </w:r>
          </w:hyperlink>
        </w:p>
        <w:p w14:paraId="74E011B5" w14:textId="375CF19D" w:rsidR="00151838" w:rsidRDefault="004F1221">
          <w:pPr>
            <w:pStyle w:val="TOC3"/>
            <w:tabs>
              <w:tab w:val="right" w:leader="dot" w:pos="10073"/>
            </w:tabs>
            <w:rPr>
              <w:rFonts w:cstheme="minorBidi"/>
              <w:noProof/>
              <w:sz w:val="22"/>
              <w:szCs w:val="22"/>
            </w:rPr>
          </w:pPr>
          <w:hyperlink w:anchor="_Toc77837866" w:history="1">
            <w:r w:rsidR="00151838" w:rsidRPr="00A3701C">
              <w:rPr>
                <w:rStyle w:val="Hyperlink"/>
                <w:rFonts w:eastAsia="Times New Roman" w:cs="Times New Roman"/>
                <w:noProof/>
              </w:rPr>
              <w:t>4.5. 2022-2024ԹԹ ՄԺԾԾ  ԱՌԱՋՆԱՀԵՐԹՈՒԹՅՈՒՆՆԵՐ</w:t>
            </w:r>
            <w:r w:rsidR="00151838">
              <w:rPr>
                <w:noProof/>
                <w:webHidden/>
              </w:rPr>
              <w:tab/>
            </w:r>
            <w:r w:rsidR="00151838">
              <w:rPr>
                <w:noProof/>
                <w:webHidden/>
              </w:rPr>
              <w:fldChar w:fldCharType="begin"/>
            </w:r>
            <w:r w:rsidR="00151838">
              <w:rPr>
                <w:noProof/>
                <w:webHidden/>
              </w:rPr>
              <w:instrText xml:space="preserve"> PAGEREF _Toc77837866 \h </w:instrText>
            </w:r>
            <w:r w:rsidR="00151838">
              <w:rPr>
                <w:noProof/>
                <w:webHidden/>
              </w:rPr>
            </w:r>
            <w:r w:rsidR="00151838">
              <w:rPr>
                <w:noProof/>
                <w:webHidden/>
              </w:rPr>
              <w:fldChar w:fldCharType="separate"/>
            </w:r>
            <w:r w:rsidR="00151838">
              <w:rPr>
                <w:noProof/>
                <w:webHidden/>
              </w:rPr>
              <w:t>99</w:t>
            </w:r>
            <w:r w:rsidR="00151838">
              <w:rPr>
                <w:noProof/>
                <w:webHidden/>
              </w:rPr>
              <w:fldChar w:fldCharType="end"/>
            </w:r>
          </w:hyperlink>
        </w:p>
        <w:p w14:paraId="53143ABF" w14:textId="75FDBAC0" w:rsidR="00151838" w:rsidRDefault="004F1221">
          <w:pPr>
            <w:pStyle w:val="TOC3"/>
            <w:tabs>
              <w:tab w:val="right" w:leader="dot" w:pos="10073"/>
            </w:tabs>
            <w:rPr>
              <w:rFonts w:cstheme="minorBidi"/>
              <w:noProof/>
              <w:sz w:val="22"/>
              <w:szCs w:val="22"/>
            </w:rPr>
          </w:pPr>
          <w:hyperlink w:anchor="_Toc77837867" w:history="1">
            <w:r w:rsidR="00151838" w:rsidRPr="00A3701C">
              <w:rPr>
                <w:rStyle w:val="Hyperlink"/>
                <w:rFonts w:eastAsia="Times New Roman" w:cs="Times New Roman"/>
                <w:noProof/>
              </w:rPr>
              <w:t>4.6. 2022-2024ԹԹ ՄԺԾԾ  ԺԱՄԱՆԱԿԱՀԱՏՎԱԾՈՒՄ ՀՀ ՊԵՏԱԿԱՆ ԲՅՈՒՋԵԻՑ ՀԱՄԱՅՆՔՆԵՐԻՆ ՏՐՎՈՂ ՀԱՏԿԱՑՈՒՄՆԵՐԸ</w:t>
            </w:r>
            <w:r w:rsidR="00151838">
              <w:rPr>
                <w:noProof/>
                <w:webHidden/>
              </w:rPr>
              <w:tab/>
            </w:r>
            <w:r w:rsidR="00151838">
              <w:rPr>
                <w:noProof/>
                <w:webHidden/>
              </w:rPr>
              <w:fldChar w:fldCharType="begin"/>
            </w:r>
            <w:r w:rsidR="00151838">
              <w:rPr>
                <w:noProof/>
                <w:webHidden/>
              </w:rPr>
              <w:instrText xml:space="preserve"> PAGEREF _Toc77837867 \h </w:instrText>
            </w:r>
            <w:r w:rsidR="00151838">
              <w:rPr>
                <w:noProof/>
                <w:webHidden/>
              </w:rPr>
            </w:r>
            <w:r w:rsidR="00151838">
              <w:rPr>
                <w:noProof/>
                <w:webHidden/>
              </w:rPr>
              <w:fldChar w:fldCharType="separate"/>
            </w:r>
            <w:r w:rsidR="00151838">
              <w:rPr>
                <w:noProof/>
                <w:webHidden/>
              </w:rPr>
              <w:t>100</w:t>
            </w:r>
            <w:r w:rsidR="00151838">
              <w:rPr>
                <w:noProof/>
                <w:webHidden/>
              </w:rPr>
              <w:fldChar w:fldCharType="end"/>
            </w:r>
          </w:hyperlink>
        </w:p>
        <w:p w14:paraId="4A1EA41A" w14:textId="1E6B0F03" w:rsidR="00151838" w:rsidRDefault="004F1221">
          <w:pPr>
            <w:pStyle w:val="TOC1"/>
            <w:tabs>
              <w:tab w:val="right" w:leader="dot" w:pos="10073"/>
            </w:tabs>
            <w:rPr>
              <w:rFonts w:cstheme="minorBidi"/>
              <w:b w:val="0"/>
              <w:bCs w:val="0"/>
              <w:i w:val="0"/>
              <w:iCs w:val="0"/>
              <w:noProof/>
              <w:sz w:val="22"/>
              <w:szCs w:val="22"/>
            </w:rPr>
          </w:pPr>
          <w:hyperlink w:anchor="_Toc77837868" w:history="1">
            <w:r w:rsidR="00151838" w:rsidRPr="00A3701C">
              <w:rPr>
                <w:rStyle w:val="Hyperlink"/>
                <w:noProof/>
                <w:lang w:val="hy-AM"/>
              </w:rPr>
              <w:t>ՄԱՍ II. ԾԱԽՍԱՅԻՆ ՔԱՂԱՔԱԿԱՆՈՒԹՅԱՆ ՌԱԶՄԱՎԱՐՈՒԹՅՈՒՆԸ</w:t>
            </w:r>
            <w:r w:rsidR="00151838">
              <w:rPr>
                <w:noProof/>
                <w:webHidden/>
              </w:rPr>
              <w:tab/>
            </w:r>
            <w:r w:rsidR="00151838">
              <w:rPr>
                <w:noProof/>
                <w:webHidden/>
              </w:rPr>
              <w:fldChar w:fldCharType="begin"/>
            </w:r>
            <w:r w:rsidR="00151838">
              <w:rPr>
                <w:noProof/>
                <w:webHidden/>
              </w:rPr>
              <w:instrText xml:space="preserve"> PAGEREF _Toc77837868 \h </w:instrText>
            </w:r>
            <w:r w:rsidR="00151838">
              <w:rPr>
                <w:noProof/>
                <w:webHidden/>
              </w:rPr>
            </w:r>
            <w:r w:rsidR="00151838">
              <w:rPr>
                <w:noProof/>
                <w:webHidden/>
              </w:rPr>
              <w:fldChar w:fldCharType="separate"/>
            </w:r>
            <w:r w:rsidR="00151838">
              <w:rPr>
                <w:noProof/>
                <w:webHidden/>
              </w:rPr>
              <w:t>101</w:t>
            </w:r>
            <w:r w:rsidR="00151838">
              <w:rPr>
                <w:noProof/>
                <w:webHidden/>
              </w:rPr>
              <w:fldChar w:fldCharType="end"/>
            </w:r>
          </w:hyperlink>
        </w:p>
        <w:p w14:paraId="148A56CF" w14:textId="0E44B418" w:rsidR="00151838" w:rsidRDefault="004F1221">
          <w:pPr>
            <w:pStyle w:val="TOC2"/>
            <w:tabs>
              <w:tab w:val="right" w:leader="dot" w:pos="10073"/>
            </w:tabs>
            <w:rPr>
              <w:rFonts w:cstheme="minorBidi"/>
              <w:b w:val="0"/>
              <w:bCs w:val="0"/>
              <w:noProof/>
            </w:rPr>
          </w:pPr>
          <w:hyperlink w:anchor="_Toc77837869" w:history="1">
            <w:r w:rsidR="00151838" w:rsidRPr="00A3701C">
              <w:rPr>
                <w:rStyle w:val="Hyperlink"/>
                <w:noProof/>
              </w:rPr>
              <w:t>ՀՀ 2022-2024ԹԹ</w:t>
            </w:r>
            <w:r w:rsidR="00151838" w:rsidRPr="00A3701C">
              <w:rPr>
                <w:rStyle w:val="Hyperlink"/>
                <w:noProof/>
                <w:lang w:val="hy-AM"/>
              </w:rPr>
              <w:t>.</w:t>
            </w:r>
            <w:r w:rsidR="00151838" w:rsidRPr="00A3701C">
              <w:rPr>
                <w:rStyle w:val="Hyperlink"/>
                <w:noProof/>
              </w:rPr>
              <w:t xml:space="preserve"> ՊԵՏԱԿԱՆ ԲՅՈՒՋԵՆԵՐԻ ԾԱԽՍԱՅԻՆ ԳԵՐԱԿԱՅՈՒԹՅՈՒՆՆԵՐԸ</w:t>
            </w:r>
            <w:r w:rsidR="00151838">
              <w:rPr>
                <w:noProof/>
                <w:webHidden/>
              </w:rPr>
              <w:tab/>
            </w:r>
            <w:r w:rsidR="00151838">
              <w:rPr>
                <w:noProof/>
                <w:webHidden/>
              </w:rPr>
              <w:fldChar w:fldCharType="begin"/>
            </w:r>
            <w:r w:rsidR="00151838">
              <w:rPr>
                <w:noProof/>
                <w:webHidden/>
              </w:rPr>
              <w:instrText xml:space="preserve"> PAGEREF _Toc77837869 \h </w:instrText>
            </w:r>
            <w:r w:rsidR="00151838">
              <w:rPr>
                <w:noProof/>
                <w:webHidden/>
              </w:rPr>
            </w:r>
            <w:r w:rsidR="00151838">
              <w:rPr>
                <w:noProof/>
                <w:webHidden/>
              </w:rPr>
              <w:fldChar w:fldCharType="separate"/>
            </w:r>
            <w:r w:rsidR="00151838">
              <w:rPr>
                <w:noProof/>
                <w:webHidden/>
              </w:rPr>
              <w:t>102</w:t>
            </w:r>
            <w:r w:rsidR="00151838">
              <w:rPr>
                <w:noProof/>
                <w:webHidden/>
              </w:rPr>
              <w:fldChar w:fldCharType="end"/>
            </w:r>
          </w:hyperlink>
        </w:p>
        <w:p w14:paraId="1A31031E" w14:textId="0C97D102" w:rsidR="00151838" w:rsidRDefault="004F1221">
          <w:pPr>
            <w:pStyle w:val="TOC3"/>
            <w:tabs>
              <w:tab w:val="right" w:leader="dot" w:pos="10073"/>
            </w:tabs>
            <w:rPr>
              <w:rFonts w:cstheme="minorBidi"/>
              <w:noProof/>
              <w:sz w:val="22"/>
              <w:szCs w:val="22"/>
            </w:rPr>
          </w:pPr>
          <w:hyperlink w:anchor="_Toc77837870" w:history="1">
            <w:r w:rsidR="00151838" w:rsidRPr="00A3701C">
              <w:rPr>
                <w:rStyle w:val="Hyperlink"/>
                <w:rFonts w:eastAsia="Times New Roman" w:cs="Times New Roman"/>
                <w:noProof/>
              </w:rPr>
              <w:t>1.</w:t>
            </w:r>
            <w:r w:rsidR="00151838" w:rsidRPr="00A3701C">
              <w:rPr>
                <w:rStyle w:val="Hyperlink"/>
                <w:noProof/>
              </w:rPr>
              <w:t xml:space="preserve"> </w:t>
            </w:r>
            <w:r w:rsidR="00151838" w:rsidRPr="00A3701C">
              <w:rPr>
                <w:rStyle w:val="Hyperlink"/>
                <w:rFonts w:eastAsia="Times New Roman" w:cs="Times New Roman"/>
                <w:noProof/>
              </w:rPr>
              <w:t>ԿՐԹՈՒԹՅՈԻՆ, ԳԻՏՈՒԹՅՈԻՆ, ՄՇԱԿՈՒՅԹ, ՍՊՈՐՏ ԵՎ ԵՐԻՏԱՍԱՐԴՈՒԹՅՈՒՆ</w:t>
            </w:r>
            <w:r w:rsidR="00151838">
              <w:rPr>
                <w:noProof/>
                <w:webHidden/>
              </w:rPr>
              <w:tab/>
            </w:r>
            <w:r w:rsidR="00151838">
              <w:rPr>
                <w:noProof/>
                <w:webHidden/>
              </w:rPr>
              <w:fldChar w:fldCharType="begin"/>
            </w:r>
            <w:r w:rsidR="00151838">
              <w:rPr>
                <w:noProof/>
                <w:webHidden/>
              </w:rPr>
              <w:instrText xml:space="preserve"> PAGEREF _Toc77837870 \h </w:instrText>
            </w:r>
            <w:r w:rsidR="00151838">
              <w:rPr>
                <w:noProof/>
                <w:webHidden/>
              </w:rPr>
            </w:r>
            <w:r w:rsidR="00151838">
              <w:rPr>
                <w:noProof/>
                <w:webHidden/>
              </w:rPr>
              <w:fldChar w:fldCharType="separate"/>
            </w:r>
            <w:r w:rsidR="00151838">
              <w:rPr>
                <w:noProof/>
                <w:webHidden/>
              </w:rPr>
              <w:t>102</w:t>
            </w:r>
            <w:r w:rsidR="00151838">
              <w:rPr>
                <w:noProof/>
                <w:webHidden/>
              </w:rPr>
              <w:fldChar w:fldCharType="end"/>
            </w:r>
          </w:hyperlink>
        </w:p>
        <w:p w14:paraId="6551470D" w14:textId="6894ED9F" w:rsidR="00151838" w:rsidRDefault="004F1221">
          <w:pPr>
            <w:pStyle w:val="TOC3"/>
            <w:tabs>
              <w:tab w:val="right" w:leader="dot" w:pos="10073"/>
            </w:tabs>
            <w:rPr>
              <w:rFonts w:cstheme="minorBidi"/>
              <w:noProof/>
              <w:sz w:val="22"/>
              <w:szCs w:val="22"/>
            </w:rPr>
          </w:pPr>
          <w:hyperlink w:anchor="_Toc77837871" w:history="1">
            <w:r w:rsidR="00151838" w:rsidRPr="00A3701C">
              <w:rPr>
                <w:rStyle w:val="Hyperlink"/>
                <w:rFonts w:eastAsia="Times New Roman" w:cs="Times New Roman"/>
                <w:noProof/>
              </w:rPr>
              <w:t>2. ԱՌՈՂՋԱՊԱՀՈՒԹՅՈՒՆ</w:t>
            </w:r>
            <w:r w:rsidR="00151838">
              <w:rPr>
                <w:noProof/>
                <w:webHidden/>
              </w:rPr>
              <w:tab/>
            </w:r>
            <w:r w:rsidR="00151838">
              <w:rPr>
                <w:noProof/>
                <w:webHidden/>
              </w:rPr>
              <w:fldChar w:fldCharType="begin"/>
            </w:r>
            <w:r w:rsidR="00151838">
              <w:rPr>
                <w:noProof/>
                <w:webHidden/>
              </w:rPr>
              <w:instrText xml:space="preserve"> PAGEREF _Toc77837871 \h </w:instrText>
            </w:r>
            <w:r w:rsidR="00151838">
              <w:rPr>
                <w:noProof/>
                <w:webHidden/>
              </w:rPr>
            </w:r>
            <w:r w:rsidR="00151838">
              <w:rPr>
                <w:noProof/>
                <w:webHidden/>
              </w:rPr>
              <w:fldChar w:fldCharType="separate"/>
            </w:r>
            <w:r w:rsidR="00151838">
              <w:rPr>
                <w:noProof/>
                <w:webHidden/>
              </w:rPr>
              <w:t>115</w:t>
            </w:r>
            <w:r w:rsidR="00151838">
              <w:rPr>
                <w:noProof/>
                <w:webHidden/>
              </w:rPr>
              <w:fldChar w:fldCharType="end"/>
            </w:r>
          </w:hyperlink>
        </w:p>
        <w:p w14:paraId="7A1F9D8D" w14:textId="145ADC12" w:rsidR="00151838" w:rsidRDefault="004F1221">
          <w:pPr>
            <w:pStyle w:val="TOC3"/>
            <w:tabs>
              <w:tab w:val="right" w:leader="dot" w:pos="10073"/>
            </w:tabs>
            <w:rPr>
              <w:rFonts w:cstheme="minorBidi"/>
              <w:noProof/>
              <w:sz w:val="22"/>
              <w:szCs w:val="22"/>
            </w:rPr>
          </w:pPr>
          <w:hyperlink w:anchor="_Toc77837872" w:history="1">
            <w:r w:rsidR="00151838" w:rsidRPr="00A3701C">
              <w:rPr>
                <w:rStyle w:val="Hyperlink"/>
                <w:rFonts w:eastAsia="Times New Roman" w:cs="Times New Roman"/>
                <w:noProof/>
              </w:rPr>
              <w:t>3. ՍՈՑԻԱԼԱԿԱՆ ՊԱՇՏՊԱՆՈՒԹՅՈՒՆ</w:t>
            </w:r>
            <w:r w:rsidR="00151838">
              <w:rPr>
                <w:noProof/>
                <w:webHidden/>
              </w:rPr>
              <w:tab/>
            </w:r>
            <w:r w:rsidR="00151838">
              <w:rPr>
                <w:noProof/>
                <w:webHidden/>
              </w:rPr>
              <w:fldChar w:fldCharType="begin"/>
            </w:r>
            <w:r w:rsidR="00151838">
              <w:rPr>
                <w:noProof/>
                <w:webHidden/>
              </w:rPr>
              <w:instrText xml:space="preserve"> PAGEREF _Toc77837872 \h </w:instrText>
            </w:r>
            <w:r w:rsidR="00151838">
              <w:rPr>
                <w:noProof/>
                <w:webHidden/>
              </w:rPr>
            </w:r>
            <w:r w:rsidR="00151838">
              <w:rPr>
                <w:noProof/>
                <w:webHidden/>
              </w:rPr>
              <w:fldChar w:fldCharType="separate"/>
            </w:r>
            <w:r w:rsidR="00151838">
              <w:rPr>
                <w:noProof/>
                <w:webHidden/>
              </w:rPr>
              <w:t>118</w:t>
            </w:r>
            <w:r w:rsidR="00151838">
              <w:rPr>
                <w:noProof/>
                <w:webHidden/>
              </w:rPr>
              <w:fldChar w:fldCharType="end"/>
            </w:r>
          </w:hyperlink>
        </w:p>
        <w:p w14:paraId="29EC36A4" w14:textId="3E3E39EE" w:rsidR="00151838" w:rsidRDefault="004F1221">
          <w:pPr>
            <w:pStyle w:val="TOC3"/>
            <w:tabs>
              <w:tab w:val="right" w:leader="dot" w:pos="10073"/>
            </w:tabs>
            <w:rPr>
              <w:rFonts w:cstheme="minorBidi"/>
              <w:noProof/>
              <w:sz w:val="22"/>
              <w:szCs w:val="22"/>
            </w:rPr>
          </w:pPr>
          <w:hyperlink w:anchor="_Toc77837873" w:history="1">
            <w:r w:rsidR="00151838" w:rsidRPr="00A3701C">
              <w:rPr>
                <w:rStyle w:val="Hyperlink"/>
                <w:rFonts w:eastAsia="Times New Roman" w:cs="Times New Roman"/>
                <w:noProof/>
                <w:lang w:val="fr-FR"/>
              </w:rPr>
              <w:t>4</w:t>
            </w:r>
            <w:r w:rsidR="00151838" w:rsidRPr="00A3701C">
              <w:rPr>
                <w:rStyle w:val="Hyperlink"/>
                <w:rFonts w:eastAsia="Times New Roman" w:cs="Times New Roman"/>
                <w:noProof/>
              </w:rPr>
              <w:t>. ՇՐՋԱԿԱ ՄԻՋԱՎԱՅՐ</w:t>
            </w:r>
            <w:r w:rsidR="00151838">
              <w:rPr>
                <w:noProof/>
                <w:webHidden/>
              </w:rPr>
              <w:tab/>
            </w:r>
            <w:r w:rsidR="00151838">
              <w:rPr>
                <w:noProof/>
                <w:webHidden/>
              </w:rPr>
              <w:fldChar w:fldCharType="begin"/>
            </w:r>
            <w:r w:rsidR="00151838">
              <w:rPr>
                <w:noProof/>
                <w:webHidden/>
              </w:rPr>
              <w:instrText xml:space="preserve"> PAGEREF _Toc77837873 \h </w:instrText>
            </w:r>
            <w:r w:rsidR="00151838">
              <w:rPr>
                <w:noProof/>
                <w:webHidden/>
              </w:rPr>
            </w:r>
            <w:r w:rsidR="00151838">
              <w:rPr>
                <w:noProof/>
                <w:webHidden/>
              </w:rPr>
              <w:fldChar w:fldCharType="separate"/>
            </w:r>
            <w:r w:rsidR="00151838">
              <w:rPr>
                <w:noProof/>
                <w:webHidden/>
              </w:rPr>
              <w:t>121</w:t>
            </w:r>
            <w:r w:rsidR="00151838">
              <w:rPr>
                <w:noProof/>
                <w:webHidden/>
              </w:rPr>
              <w:fldChar w:fldCharType="end"/>
            </w:r>
          </w:hyperlink>
        </w:p>
        <w:p w14:paraId="65F8F456" w14:textId="5B01B64F" w:rsidR="00151838" w:rsidRDefault="004F1221">
          <w:pPr>
            <w:pStyle w:val="TOC3"/>
            <w:tabs>
              <w:tab w:val="right" w:leader="dot" w:pos="10073"/>
            </w:tabs>
            <w:rPr>
              <w:rFonts w:cstheme="minorBidi"/>
              <w:noProof/>
              <w:sz w:val="22"/>
              <w:szCs w:val="22"/>
            </w:rPr>
          </w:pPr>
          <w:hyperlink w:anchor="_Toc77837874" w:history="1">
            <w:r w:rsidR="00151838" w:rsidRPr="00A3701C">
              <w:rPr>
                <w:rStyle w:val="Hyperlink"/>
                <w:rFonts w:eastAsia="Times New Roman" w:cs="Times New Roman"/>
                <w:noProof/>
              </w:rPr>
              <w:t>5. ԲԱՐՁՐ ՏԵԽՆՈԼՈԳԻԱԿԱՆ ԱՐԴՅՈՒՆԱԲԵՐՈՒԹՅՈԻՆ</w:t>
            </w:r>
            <w:r w:rsidR="00151838">
              <w:rPr>
                <w:noProof/>
                <w:webHidden/>
              </w:rPr>
              <w:tab/>
            </w:r>
            <w:r w:rsidR="00151838">
              <w:rPr>
                <w:noProof/>
                <w:webHidden/>
              </w:rPr>
              <w:fldChar w:fldCharType="begin"/>
            </w:r>
            <w:r w:rsidR="00151838">
              <w:rPr>
                <w:noProof/>
                <w:webHidden/>
              </w:rPr>
              <w:instrText xml:space="preserve"> PAGEREF _Toc77837874 \h </w:instrText>
            </w:r>
            <w:r w:rsidR="00151838">
              <w:rPr>
                <w:noProof/>
                <w:webHidden/>
              </w:rPr>
            </w:r>
            <w:r w:rsidR="00151838">
              <w:rPr>
                <w:noProof/>
                <w:webHidden/>
              </w:rPr>
              <w:fldChar w:fldCharType="separate"/>
            </w:r>
            <w:r w:rsidR="00151838">
              <w:rPr>
                <w:noProof/>
                <w:webHidden/>
              </w:rPr>
              <w:t>123</w:t>
            </w:r>
            <w:r w:rsidR="00151838">
              <w:rPr>
                <w:noProof/>
                <w:webHidden/>
              </w:rPr>
              <w:fldChar w:fldCharType="end"/>
            </w:r>
          </w:hyperlink>
        </w:p>
        <w:p w14:paraId="1AC28161" w14:textId="58DB8D54" w:rsidR="00151838" w:rsidRDefault="004F1221">
          <w:pPr>
            <w:pStyle w:val="TOC3"/>
            <w:tabs>
              <w:tab w:val="right" w:leader="dot" w:pos="10073"/>
            </w:tabs>
            <w:rPr>
              <w:rFonts w:cstheme="minorBidi"/>
              <w:noProof/>
              <w:sz w:val="22"/>
              <w:szCs w:val="22"/>
            </w:rPr>
          </w:pPr>
          <w:hyperlink w:anchor="_Toc77837875" w:history="1">
            <w:r w:rsidR="00151838" w:rsidRPr="00A3701C">
              <w:rPr>
                <w:rStyle w:val="Hyperlink"/>
                <w:rFonts w:eastAsia="Times New Roman" w:cs="Times New Roman"/>
                <w:noProof/>
              </w:rPr>
              <w:t>6. ՏԱՐԱԾՔԱՅԻՆ ԿԱՌԱՎԱՐՈՒՄ ԵՎ ԵՆԹԱԿԱՌՈՒՑՎԱԾՔՆԵՐ</w:t>
            </w:r>
            <w:r w:rsidR="00151838">
              <w:rPr>
                <w:noProof/>
                <w:webHidden/>
              </w:rPr>
              <w:tab/>
            </w:r>
            <w:r w:rsidR="00151838">
              <w:rPr>
                <w:noProof/>
                <w:webHidden/>
              </w:rPr>
              <w:fldChar w:fldCharType="begin"/>
            </w:r>
            <w:r w:rsidR="00151838">
              <w:rPr>
                <w:noProof/>
                <w:webHidden/>
              </w:rPr>
              <w:instrText xml:space="preserve"> PAGEREF _Toc77837875 \h </w:instrText>
            </w:r>
            <w:r w:rsidR="00151838">
              <w:rPr>
                <w:noProof/>
                <w:webHidden/>
              </w:rPr>
            </w:r>
            <w:r w:rsidR="00151838">
              <w:rPr>
                <w:noProof/>
                <w:webHidden/>
              </w:rPr>
              <w:fldChar w:fldCharType="separate"/>
            </w:r>
            <w:r w:rsidR="00151838">
              <w:rPr>
                <w:noProof/>
                <w:webHidden/>
              </w:rPr>
              <w:t>125</w:t>
            </w:r>
            <w:r w:rsidR="00151838">
              <w:rPr>
                <w:noProof/>
                <w:webHidden/>
              </w:rPr>
              <w:fldChar w:fldCharType="end"/>
            </w:r>
          </w:hyperlink>
        </w:p>
        <w:p w14:paraId="32EA1C90" w14:textId="15D10FF8" w:rsidR="00151838" w:rsidRDefault="004F1221">
          <w:pPr>
            <w:pStyle w:val="TOC3"/>
            <w:tabs>
              <w:tab w:val="right" w:leader="dot" w:pos="10073"/>
            </w:tabs>
            <w:rPr>
              <w:rFonts w:cstheme="minorBidi"/>
              <w:noProof/>
              <w:sz w:val="22"/>
              <w:szCs w:val="22"/>
            </w:rPr>
          </w:pPr>
          <w:hyperlink w:anchor="_Toc77837876" w:history="1">
            <w:r w:rsidR="00151838" w:rsidRPr="00A3701C">
              <w:rPr>
                <w:rStyle w:val="Hyperlink"/>
                <w:rFonts w:eastAsia="Times New Roman" w:cs="Times New Roman"/>
                <w:noProof/>
              </w:rPr>
              <w:t>7. ԷԿՈՆՈՄԻԿԱ</w:t>
            </w:r>
            <w:r w:rsidR="00151838">
              <w:rPr>
                <w:noProof/>
                <w:webHidden/>
              </w:rPr>
              <w:tab/>
            </w:r>
            <w:r w:rsidR="00151838">
              <w:rPr>
                <w:noProof/>
                <w:webHidden/>
              </w:rPr>
              <w:fldChar w:fldCharType="begin"/>
            </w:r>
            <w:r w:rsidR="00151838">
              <w:rPr>
                <w:noProof/>
                <w:webHidden/>
              </w:rPr>
              <w:instrText xml:space="preserve"> PAGEREF _Toc77837876 \h </w:instrText>
            </w:r>
            <w:r w:rsidR="00151838">
              <w:rPr>
                <w:noProof/>
                <w:webHidden/>
              </w:rPr>
            </w:r>
            <w:r w:rsidR="00151838">
              <w:rPr>
                <w:noProof/>
                <w:webHidden/>
              </w:rPr>
              <w:fldChar w:fldCharType="separate"/>
            </w:r>
            <w:r w:rsidR="00151838">
              <w:rPr>
                <w:noProof/>
                <w:webHidden/>
              </w:rPr>
              <w:t>128</w:t>
            </w:r>
            <w:r w:rsidR="00151838">
              <w:rPr>
                <w:noProof/>
                <w:webHidden/>
              </w:rPr>
              <w:fldChar w:fldCharType="end"/>
            </w:r>
          </w:hyperlink>
        </w:p>
        <w:p w14:paraId="5A568E3D" w14:textId="461C0E09" w:rsidR="00151838" w:rsidRDefault="004F1221">
          <w:pPr>
            <w:pStyle w:val="TOC3"/>
            <w:tabs>
              <w:tab w:val="right" w:leader="dot" w:pos="10073"/>
            </w:tabs>
            <w:rPr>
              <w:rFonts w:cstheme="minorBidi"/>
              <w:noProof/>
              <w:sz w:val="22"/>
              <w:szCs w:val="22"/>
            </w:rPr>
          </w:pPr>
          <w:hyperlink w:anchor="_Toc77837877" w:history="1">
            <w:r w:rsidR="00151838" w:rsidRPr="00A3701C">
              <w:rPr>
                <w:rStyle w:val="Hyperlink"/>
                <w:rFonts w:eastAsia="Times New Roman" w:cs="Times New Roman"/>
                <w:noProof/>
              </w:rPr>
              <w:t>8. ԱՐՏԱԿԱՐԳ ԻՐԱՎԻՃԱԿՆԵՐ</w:t>
            </w:r>
            <w:r w:rsidR="00151838">
              <w:rPr>
                <w:noProof/>
                <w:webHidden/>
              </w:rPr>
              <w:tab/>
            </w:r>
            <w:r w:rsidR="00151838">
              <w:rPr>
                <w:noProof/>
                <w:webHidden/>
              </w:rPr>
              <w:fldChar w:fldCharType="begin"/>
            </w:r>
            <w:r w:rsidR="00151838">
              <w:rPr>
                <w:noProof/>
                <w:webHidden/>
              </w:rPr>
              <w:instrText xml:space="preserve"> PAGEREF _Toc77837877 \h </w:instrText>
            </w:r>
            <w:r w:rsidR="00151838">
              <w:rPr>
                <w:noProof/>
                <w:webHidden/>
              </w:rPr>
            </w:r>
            <w:r w:rsidR="00151838">
              <w:rPr>
                <w:noProof/>
                <w:webHidden/>
              </w:rPr>
              <w:fldChar w:fldCharType="separate"/>
            </w:r>
            <w:r w:rsidR="00151838">
              <w:rPr>
                <w:noProof/>
                <w:webHidden/>
              </w:rPr>
              <w:t>132</w:t>
            </w:r>
            <w:r w:rsidR="00151838">
              <w:rPr>
                <w:noProof/>
                <w:webHidden/>
              </w:rPr>
              <w:fldChar w:fldCharType="end"/>
            </w:r>
          </w:hyperlink>
        </w:p>
        <w:p w14:paraId="459B9067" w14:textId="0A3EE158" w:rsidR="00151838" w:rsidRDefault="004F1221">
          <w:pPr>
            <w:pStyle w:val="TOC3"/>
            <w:tabs>
              <w:tab w:val="right" w:leader="dot" w:pos="10073"/>
            </w:tabs>
            <w:rPr>
              <w:rFonts w:cstheme="minorBidi"/>
              <w:noProof/>
              <w:sz w:val="22"/>
              <w:szCs w:val="22"/>
            </w:rPr>
          </w:pPr>
          <w:hyperlink w:anchor="_Toc77837878" w:history="1">
            <w:r w:rsidR="00151838" w:rsidRPr="00A3701C">
              <w:rPr>
                <w:rStyle w:val="Hyperlink"/>
                <w:rFonts w:eastAsia="Times New Roman" w:cs="Times New Roman"/>
                <w:noProof/>
              </w:rPr>
              <w:t>9. ԱՐԴԱՐԱԴԱՏՈՒԹՅՈՒՆ</w:t>
            </w:r>
            <w:r w:rsidR="00151838">
              <w:rPr>
                <w:noProof/>
                <w:webHidden/>
              </w:rPr>
              <w:tab/>
            </w:r>
            <w:r w:rsidR="00151838">
              <w:rPr>
                <w:noProof/>
                <w:webHidden/>
              </w:rPr>
              <w:fldChar w:fldCharType="begin"/>
            </w:r>
            <w:r w:rsidR="00151838">
              <w:rPr>
                <w:noProof/>
                <w:webHidden/>
              </w:rPr>
              <w:instrText xml:space="preserve"> PAGEREF _Toc77837878 \h </w:instrText>
            </w:r>
            <w:r w:rsidR="00151838">
              <w:rPr>
                <w:noProof/>
                <w:webHidden/>
              </w:rPr>
            </w:r>
            <w:r w:rsidR="00151838">
              <w:rPr>
                <w:noProof/>
                <w:webHidden/>
              </w:rPr>
              <w:fldChar w:fldCharType="separate"/>
            </w:r>
            <w:r w:rsidR="00151838">
              <w:rPr>
                <w:noProof/>
                <w:webHidden/>
              </w:rPr>
              <w:t>135</w:t>
            </w:r>
            <w:r w:rsidR="00151838">
              <w:rPr>
                <w:noProof/>
                <w:webHidden/>
              </w:rPr>
              <w:fldChar w:fldCharType="end"/>
            </w:r>
          </w:hyperlink>
        </w:p>
        <w:p w14:paraId="7BFF9BE0" w14:textId="355DF481" w:rsidR="00151838" w:rsidRDefault="004F1221">
          <w:pPr>
            <w:pStyle w:val="TOC3"/>
            <w:tabs>
              <w:tab w:val="right" w:leader="dot" w:pos="10073"/>
            </w:tabs>
            <w:rPr>
              <w:rFonts w:cstheme="minorBidi"/>
              <w:noProof/>
              <w:sz w:val="22"/>
              <w:szCs w:val="22"/>
            </w:rPr>
          </w:pPr>
          <w:hyperlink w:anchor="_Toc77837879" w:history="1">
            <w:r w:rsidR="00151838" w:rsidRPr="00A3701C">
              <w:rPr>
                <w:rStyle w:val="Hyperlink"/>
                <w:rFonts w:eastAsia="Times New Roman" w:cs="Times New Roman"/>
                <w:noProof/>
              </w:rPr>
              <w:t>10. ԱՐՏԱՔԻՆ ՀԱՐԱԲԵՐՈՒԹՅՈՒՆՆԵՐ</w:t>
            </w:r>
            <w:r w:rsidR="00151838">
              <w:rPr>
                <w:noProof/>
                <w:webHidden/>
              </w:rPr>
              <w:tab/>
            </w:r>
            <w:r w:rsidR="00151838">
              <w:rPr>
                <w:noProof/>
                <w:webHidden/>
              </w:rPr>
              <w:fldChar w:fldCharType="begin"/>
            </w:r>
            <w:r w:rsidR="00151838">
              <w:rPr>
                <w:noProof/>
                <w:webHidden/>
              </w:rPr>
              <w:instrText xml:space="preserve"> PAGEREF _Toc77837879 \h </w:instrText>
            </w:r>
            <w:r w:rsidR="00151838">
              <w:rPr>
                <w:noProof/>
                <w:webHidden/>
              </w:rPr>
            </w:r>
            <w:r w:rsidR="00151838">
              <w:rPr>
                <w:noProof/>
                <w:webHidden/>
              </w:rPr>
              <w:fldChar w:fldCharType="separate"/>
            </w:r>
            <w:r w:rsidR="00151838">
              <w:rPr>
                <w:noProof/>
                <w:webHidden/>
              </w:rPr>
              <w:t>138</w:t>
            </w:r>
            <w:r w:rsidR="00151838">
              <w:rPr>
                <w:noProof/>
                <w:webHidden/>
              </w:rPr>
              <w:fldChar w:fldCharType="end"/>
            </w:r>
          </w:hyperlink>
        </w:p>
        <w:p w14:paraId="180BE620" w14:textId="58008DCA" w:rsidR="00151838" w:rsidRDefault="004F1221">
          <w:pPr>
            <w:pStyle w:val="TOC3"/>
            <w:tabs>
              <w:tab w:val="right" w:leader="dot" w:pos="10073"/>
            </w:tabs>
            <w:rPr>
              <w:rFonts w:cstheme="minorBidi"/>
              <w:noProof/>
              <w:sz w:val="22"/>
              <w:szCs w:val="22"/>
            </w:rPr>
          </w:pPr>
          <w:hyperlink w:anchor="_Toc77837880" w:history="1">
            <w:r w:rsidR="00151838" w:rsidRPr="00A3701C">
              <w:rPr>
                <w:rStyle w:val="Hyperlink"/>
                <w:rFonts w:eastAsia="Times New Roman" w:cs="Times New Roman"/>
                <w:noProof/>
              </w:rPr>
              <w:t>11. ՖԻՆԱՆՍՆԵՐ</w:t>
            </w:r>
            <w:r w:rsidR="00151838">
              <w:rPr>
                <w:noProof/>
                <w:webHidden/>
              </w:rPr>
              <w:tab/>
            </w:r>
            <w:r w:rsidR="00151838">
              <w:rPr>
                <w:noProof/>
                <w:webHidden/>
              </w:rPr>
              <w:fldChar w:fldCharType="begin"/>
            </w:r>
            <w:r w:rsidR="00151838">
              <w:rPr>
                <w:noProof/>
                <w:webHidden/>
              </w:rPr>
              <w:instrText xml:space="preserve"> PAGEREF _Toc77837880 \h </w:instrText>
            </w:r>
            <w:r w:rsidR="00151838">
              <w:rPr>
                <w:noProof/>
                <w:webHidden/>
              </w:rPr>
            </w:r>
            <w:r w:rsidR="00151838">
              <w:rPr>
                <w:noProof/>
                <w:webHidden/>
              </w:rPr>
              <w:fldChar w:fldCharType="separate"/>
            </w:r>
            <w:r w:rsidR="00151838">
              <w:rPr>
                <w:noProof/>
                <w:webHidden/>
              </w:rPr>
              <w:t>142</w:t>
            </w:r>
            <w:r w:rsidR="00151838">
              <w:rPr>
                <w:noProof/>
                <w:webHidden/>
              </w:rPr>
              <w:fldChar w:fldCharType="end"/>
            </w:r>
          </w:hyperlink>
        </w:p>
        <w:p w14:paraId="1B8815F2" w14:textId="2F0664E3" w:rsidR="00151838" w:rsidRDefault="004F1221">
          <w:pPr>
            <w:pStyle w:val="TOC3"/>
            <w:tabs>
              <w:tab w:val="right" w:leader="dot" w:pos="10073"/>
            </w:tabs>
            <w:rPr>
              <w:rFonts w:cstheme="minorBidi"/>
              <w:noProof/>
              <w:sz w:val="22"/>
              <w:szCs w:val="22"/>
            </w:rPr>
          </w:pPr>
          <w:hyperlink w:anchor="_Toc77837881" w:history="1">
            <w:r w:rsidR="00151838" w:rsidRPr="00A3701C">
              <w:rPr>
                <w:rStyle w:val="Hyperlink"/>
                <w:rFonts w:eastAsia="Times New Roman" w:cs="Times New Roman"/>
                <w:noProof/>
              </w:rPr>
              <w:t>12. ՊԱՇՏՊԱՆՈՒԹՅՈՒՆ</w:t>
            </w:r>
            <w:r w:rsidR="00151838">
              <w:rPr>
                <w:noProof/>
                <w:webHidden/>
              </w:rPr>
              <w:tab/>
            </w:r>
            <w:r w:rsidR="00151838">
              <w:rPr>
                <w:noProof/>
                <w:webHidden/>
              </w:rPr>
              <w:fldChar w:fldCharType="begin"/>
            </w:r>
            <w:r w:rsidR="00151838">
              <w:rPr>
                <w:noProof/>
                <w:webHidden/>
              </w:rPr>
              <w:instrText xml:space="preserve"> PAGEREF _Toc77837881 \h </w:instrText>
            </w:r>
            <w:r w:rsidR="00151838">
              <w:rPr>
                <w:noProof/>
                <w:webHidden/>
              </w:rPr>
            </w:r>
            <w:r w:rsidR="00151838">
              <w:rPr>
                <w:noProof/>
                <w:webHidden/>
              </w:rPr>
              <w:fldChar w:fldCharType="separate"/>
            </w:r>
            <w:r w:rsidR="00151838">
              <w:rPr>
                <w:noProof/>
                <w:webHidden/>
              </w:rPr>
              <w:t>143</w:t>
            </w:r>
            <w:r w:rsidR="00151838">
              <w:rPr>
                <w:noProof/>
                <w:webHidden/>
              </w:rPr>
              <w:fldChar w:fldCharType="end"/>
            </w:r>
          </w:hyperlink>
        </w:p>
        <w:p w14:paraId="4EBEA0DB" w14:textId="04BECE1A" w:rsidR="00151838" w:rsidRDefault="004F1221">
          <w:pPr>
            <w:pStyle w:val="TOC3"/>
            <w:tabs>
              <w:tab w:val="right" w:leader="dot" w:pos="10073"/>
            </w:tabs>
            <w:rPr>
              <w:rFonts w:cstheme="minorBidi"/>
              <w:noProof/>
              <w:sz w:val="22"/>
              <w:szCs w:val="22"/>
            </w:rPr>
          </w:pPr>
          <w:hyperlink w:anchor="_Toc77837882" w:history="1">
            <w:r w:rsidR="00151838" w:rsidRPr="00A3701C">
              <w:rPr>
                <w:rStyle w:val="Hyperlink"/>
                <w:rFonts w:eastAsia="Times New Roman" w:cs="Times New Roman"/>
                <w:noProof/>
              </w:rPr>
              <w:t>13. ՈՍՏԻԿԱՆՈՒԹՅՈՒՆ</w:t>
            </w:r>
            <w:r w:rsidR="00151838">
              <w:rPr>
                <w:noProof/>
                <w:webHidden/>
              </w:rPr>
              <w:tab/>
            </w:r>
            <w:r w:rsidR="00151838">
              <w:rPr>
                <w:noProof/>
                <w:webHidden/>
              </w:rPr>
              <w:fldChar w:fldCharType="begin"/>
            </w:r>
            <w:r w:rsidR="00151838">
              <w:rPr>
                <w:noProof/>
                <w:webHidden/>
              </w:rPr>
              <w:instrText xml:space="preserve"> PAGEREF _Toc77837882 \h </w:instrText>
            </w:r>
            <w:r w:rsidR="00151838">
              <w:rPr>
                <w:noProof/>
                <w:webHidden/>
              </w:rPr>
            </w:r>
            <w:r w:rsidR="00151838">
              <w:rPr>
                <w:noProof/>
                <w:webHidden/>
              </w:rPr>
              <w:fldChar w:fldCharType="separate"/>
            </w:r>
            <w:r w:rsidR="00151838">
              <w:rPr>
                <w:noProof/>
                <w:webHidden/>
              </w:rPr>
              <w:t>143</w:t>
            </w:r>
            <w:r w:rsidR="00151838">
              <w:rPr>
                <w:noProof/>
                <w:webHidden/>
              </w:rPr>
              <w:fldChar w:fldCharType="end"/>
            </w:r>
          </w:hyperlink>
        </w:p>
        <w:p w14:paraId="022DD764" w14:textId="595C5BB6" w:rsidR="00151838" w:rsidRDefault="004F1221">
          <w:pPr>
            <w:pStyle w:val="TOC3"/>
            <w:tabs>
              <w:tab w:val="right" w:leader="dot" w:pos="10073"/>
            </w:tabs>
            <w:rPr>
              <w:rFonts w:cstheme="minorBidi"/>
              <w:noProof/>
              <w:sz w:val="22"/>
              <w:szCs w:val="22"/>
            </w:rPr>
          </w:pPr>
          <w:hyperlink w:anchor="_Toc77837883" w:history="1">
            <w:r w:rsidR="00151838" w:rsidRPr="00A3701C">
              <w:rPr>
                <w:rStyle w:val="Hyperlink"/>
                <w:rFonts w:eastAsia="Times New Roman" w:cs="Times New Roman"/>
                <w:noProof/>
              </w:rPr>
              <w:t>14. ԱԶԳԱՅԻՆ ԱՆՎՏԱՆԳՈՒԹՅՈՒՆ</w:t>
            </w:r>
            <w:r w:rsidR="00151838">
              <w:rPr>
                <w:noProof/>
                <w:webHidden/>
              </w:rPr>
              <w:tab/>
            </w:r>
            <w:r w:rsidR="00151838">
              <w:rPr>
                <w:noProof/>
                <w:webHidden/>
              </w:rPr>
              <w:fldChar w:fldCharType="begin"/>
            </w:r>
            <w:r w:rsidR="00151838">
              <w:rPr>
                <w:noProof/>
                <w:webHidden/>
              </w:rPr>
              <w:instrText xml:space="preserve"> PAGEREF _Toc77837883 \h </w:instrText>
            </w:r>
            <w:r w:rsidR="00151838">
              <w:rPr>
                <w:noProof/>
                <w:webHidden/>
              </w:rPr>
            </w:r>
            <w:r w:rsidR="00151838">
              <w:rPr>
                <w:noProof/>
                <w:webHidden/>
              </w:rPr>
              <w:fldChar w:fldCharType="separate"/>
            </w:r>
            <w:r w:rsidR="00151838">
              <w:rPr>
                <w:noProof/>
                <w:webHidden/>
              </w:rPr>
              <w:t>145</w:t>
            </w:r>
            <w:r w:rsidR="00151838">
              <w:rPr>
                <w:noProof/>
                <w:webHidden/>
              </w:rPr>
              <w:fldChar w:fldCharType="end"/>
            </w:r>
          </w:hyperlink>
        </w:p>
        <w:p w14:paraId="33ACC509" w14:textId="1191D6FF" w:rsidR="00151838" w:rsidRDefault="004F1221">
          <w:pPr>
            <w:pStyle w:val="TOC3"/>
            <w:tabs>
              <w:tab w:val="right" w:leader="dot" w:pos="10073"/>
            </w:tabs>
            <w:rPr>
              <w:rFonts w:cstheme="minorBidi"/>
              <w:noProof/>
              <w:sz w:val="22"/>
              <w:szCs w:val="22"/>
            </w:rPr>
          </w:pPr>
          <w:hyperlink w:anchor="_Toc77837884" w:history="1">
            <w:r w:rsidR="00151838" w:rsidRPr="00A3701C">
              <w:rPr>
                <w:rStyle w:val="Hyperlink"/>
                <w:rFonts w:eastAsia="Times New Roman" w:cs="Times New Roman"/>
                <w:noProof/>
              </w:rPr>
              <w:t>15.ՊԵՏԱԿԱՆ ԵԿԱՄՈՒՏՆԵՐ</w:t>
            </w:r>
            <w:r w:rsidR="00151838">
              <w:rPr>
                <w:noProof/>
                <w:webHidden/>
              </w:rPr>
              <w:tab/>
            </w:r>
            <w:r w:rsidR="00151838">
              <w:rPr>
                <w:noProof/>
                <w:webHidden/>
              </w:rPr>
              <w:fldChar w:fldCharType="begin"/>
            </w:r>
            <w:r w:rsidR="00151838">
              <w:rPr>
                <w:noProof/>
                <w:webHidden/>
              </w:rPr>
              <w:instrText xml:space="preserve"> PAGEREF _Toc77837884 \h </w:instrText>
            </w:r>
            <w:r w:rsidR="00151838">
              <w:rPr>
                <w:noProof/>
                <w:webHidden/>
              </w:rPr>
            </w:r>
            <w:r w:rsidR="00151838">
              <w:rPr>
                <w:noProof/>
                <w:webHidden/>
              </w:rPr>
              <w:fldChar w:fldCharType="separate"/>
            </w:r>
            <w:r w:rsidR="00151838">
              <w:rPr>
                <w:noProof/>
                <w:webHidden/>
              </w:rPr>
              <w:t>147</w:t>
            </w:r>
            <w:r w:rsidR="00151838">
              <w:rPr>
                <w:noProof/>
                <w:webHidden/>
              </w:rPr>
              <w:fldChar w:fldCharType="end"/>
            </w:r>
          </w:hyperlink>
        </w:p>
        <w:p w14:paraId="060FBC79" w14:textId="145FAB4B" w:rsidR="00151838" w:rsidRDefault="004F1221">
          <w:pPr>
            <w:pStyle w:val="TOC3"/>
            <w:tabs>
              <w:tab w:val="right" w:leader="dot" w:pos="10073"/>
            </w:tabs>
            <w:rPr>
              <w:rFonts w:cstheme="minorBidi"/>
              <w:noProof/>
              <w:sz w:val="22"/>
              <w:szCs w:val="22"/>
            </w:rPr>
          </w:pPr>
          <w:hyperlink w:anchor="_Toc77837885" w:history="1">
            <w:r w:rsidR="00151838" w:rsidRPr="00A3701C">
              <w:rPr>
                <w:rStyle w:val="Hyperlink"/>
                <w:rFonts w:eastAsia="Times New Roman" w:cs="Times New Roman"/>
                <w:noProof/>
              </w:rPr>
              <w:t>16. ԱՆՇԱՐԺ ԳՈՒՅՔԻ ԿԱԴԱՍՏՐ</w:t>
            </w:r>
            <w:r w:rsidR="00151838">
              <w:rPr>
                <w:noProof/>
                <w:webHidden/>
              </w:rPr>
              <w:tab/>
            </w:r>
            <w:r w:rsidR="00151838">
              <w:rPr>
                <w:noProof/>
                <w:webHidden/>
              </w:rPr>
              <w:fldChar w:fldCharType="begin"/>
            </w:r>
            <w:r w:rsidR="00151838">
              <w:rPr>
                <w:noProof/>
                <w:webHidden/>
              </w:rPr>
              <w:instrText xml:space="preserve"> PAGEREF _Toc77837885 \h </w:instrText>
            </w:r>
            <w:r w:rsidR="00151838">
              <w:rPr>
                <w:noProof/>
                <w:webHidden/>
              </w:rPr>
            </w:r>
            <w:r w:rsidR="00151838">
              <w:rPr>
                <w:noProof/>
                <w:webHidden/>
              </w:rPr>
              <w:fldChar w:fldCharType="separate"/>
            </w:r>
            <w:r w:rsidR="00151838">
              <w:rPr>
                <w:noProof/>
                <w:webHidden/>
              </w:rPr>
              <w:t>148</w:t>
            </w:r>
            <w:r w:rsidR="00151838">
              <w:rPr>
                <w:noProof/>
                <w:webHidden/>
              </w:rPr>
              <w:fldChar w:fldCharType="end"/>
            </w:r>
          </w:hyperlink>
        </w:p>
        <w:p w14:paraId="24BE1C0A" w14:textId="64FA9779" w:rsidR="00151838" w:rsidRDefault="004F1221">
          <w:pPr>
            <w:pStyle w:val="TOC3"/>
            <w:tabs>
              <w:tab w:val="right" w:leader="dot" w:pos="10073"/>
            </w:tabs>
            <w:rPr>
              <w:rFonts w:cstheme="minorBidi"/>
              <w:noProof/>
              <w:sz w:val="22"/>
              <w:szCs w:val="22"/>
            </w:rPr>
          </w:pPr>
          <w:hyperlink w:anchor="_Toc77837886" w:history="1">
            <w:r w:rsidR="00151838" w:rsidRPr="00A3701C">
              <w:rPr>
                <w:rStyle w:val="Hyperlink"/>
                <w:rFonts w:eastAsia="Times New Roman" w:cs="Times New Roman"/>
                <w:noProof/>
              </w:rPr>
              <w:t>1</w:t>
            </w:r>
            <w:r w:rsidR="00151838" w:rsidRPr="00A3701C">
              <w:rPr>
                <w:rStyle w:val="Hyperlink"/>
                <w:rFonts w:eastAsia="Times New Roman" w:cs="Times New Roman"/>
                <w:noProof/>
                <w:lang w:val="es-ES"/>
              </w:rPr>
              <w:t>7</w:t>
            </w:r>
            <w:r w:rsidR="00151838" w:rsidRPr="00A3701C">
              <w:rPr>
                <w:rStyle w:val="Hyperlink"/>
                <w:rFonts w:eastAsia="Times New Roman" w:cs="Times New Roman"/>
                <w:noProof/>
              </w:rPr>
              <w:t>. ՀՀ ՎԱՐՉԱՊԵՏԻ ԱՇԽԱՏԱԿԱԶՄ</w:t>
            </w:r>
            <w:r w:rsidR="00151838">
              <w:rPr>
                <w:noProof/>
                <w:webHidden/>
              </w:rPr>
              <w:tab/>
            </w:r>
            <w:r w:rsidR="00151838">
              <w:rPr>
                <w:noProof/>
                <w:webHidden/>
              </w:rPr>
              <w:fldChar w:fldCharType="begin"/>
            </w:r>
            <w:r w:rsidR="00151838">
              <w:rPr>
                <w:noProof/>
                <w:webHidden/>
              </w:rPr>
              <w:instrText xml:space="preserve"> PAGEREF _Toc77837886 \h </w:instrText>
            </w:r>
            <w:r w:rsidR="00151838">
              <w:rPr>
                <w:noProof/>
                <w:webHidden/>
              </w:rPr>
            </w:r>
            <w:r w:rsidR="00151838">
              <w:rPr>
                <w:noProof/>
                <w:webHidden/>
              </w:rPr>
              <w:fldChar w:fldCharType="separate"/>
            </w:r>
            <w:r w:rsidR="00151838">
              <w:rPr>
                <w:noProof/>
                <w:webHidden/>
              </w:rPr>
              <w:t>150</w:t>
            </w:r>
            <w:r w:rsidR="00151838">
              <w:rPr>
                <w:noProof/>
                <w:webHidden/>
              </w:rPr>
              <w:fldChar w:fldCharType="end"/>
            </w:r>
          </w:hyperlink>
        </w:p>
        <w:p w14:paraId="2C467A4F" w14:textId="57DCC4EA" w:rsidR="00151838" w:rsidRDefault="004F1221">
          <w:pPr>
            <w:pStyle w:val="TOC3"/>
            <w:tabs>
              <w:tab w:val="right" w:leader="dot" w:pos="10073"/>
            </w:tabs>
            <w:rPr>
              <w:rFonts w:cstheme="minorBidi"/>
              <w:noProof/>
              <w:sz w:val="22"/>
              <w:szCs w:val="22"/>
            </w:rPr>
          </w:pPr>
          <w:hyperlink w:anchor="_Toc77837887" w:history="1">
            <w:r w:rsidR="00151838" w:rsidRPr="00A3701C">
              <w:rPr>
                <w:rStyle w:val="Hyperlink"/>
                <w:rFonts w:eastAsia="Times New Roman" w:cs="Times New Roman"/>
                <w:noProof/>
              </w:rPr>
              <w:t>1</w:t>
            </w:r>
            <w:r w:rsidR="00151838" w:rsidRPr="00A3701C">
              <w:rPr>
                <w:rStyle w:val="Hyperlink"/>
                <w:rFonts w:eastAsia="Times New Roman" w:cs="Times New Roman"/>
                <w:noProof/>
                <w:lang w:val="es-ES"/>
              </w:rPr>
              <w:t>8</w:t>
            </w:r>
            <w:r w:rsidR="00151838" w:rsidRPr="00A3701C">
              <w:rPr>
                <w:rStyle w:val="Hyperlink"/>
                <w:rFonts w:eastAsia="Times New Roman" w:cs="Times New Roman"/>
                <w:noProof/>
              </w:rPr>
              <w:t>. ՌԱԴԻՈ ԵՎ ՀԵՌՈՒՍՏԱՀԱՂՈՐԴՈՒՄՆԵՐԻ ՀԵՌԱՐՁԱԿՈՒՄ</w:t>
            </w:r>
            <w:r w:rsidR="00151838">
              <w:rPr>
                <w:noProof/>
                <w:webHidden/>
              </w:rPr>
              <w:tab/>
            </w:r>
            <w:r w:rsidR="00151838">
              <w:rPr>
                <w:noProof/>
                <w:webHidden/>
              </w:rPr>
              <w:fldChar w:fldCharType="begin"/>
            </w:r>
            <w:r w:rsidR="00151838">
              <w:rPr>
                <w:noProof/>
                <w:webHidden/>
              </w:rPr>
              <w:instrText xml:space="preserve"> PAGEREF _Toc77837887 \h </w:instrText>
            </w:r>
            <w:r w:rsidR="00151838">
              <w:rPr>
                <w:noProof/>
                <w:webHidden/>
              </w:rPr>
            </w:r>
            <w:r w:rsidR="00151838">
              <w:rPr>
                <w:noProof/>
                <w:webHidden/>
              </w:rPr>
              <w:fldChar w:fldCharType="separate"/>
            </w:r>
            <w:r w:rsidR="00151838">
              <w:rPr>
                <w:noProof/>
                <w:webHidden/>
              </w:rPr>
              <w:t>153</w:t>
            </w:r>
            <w:r w:rsidR="00151838">
              <w:rPr>
                <w:noProof/>
                <w:webHidden/>
              </w:rPr>
              <w:fldChar w:fldCharType="end"/>
            </w:r>
          </w:hyperlink>
        </w:p>
        <w:p w14:paraId="26CEF7E6" w14:textId="0656C521" w:rsidR="00151838" w:rsidRDefault="004F1221">
          <w:pPr>
            <w:pStyle w:val="TOC3"/>
            <w:tabs>
              <w:tab w:val="right" w:leader="dot" w:pos="10073"/>
            </w:tabs>
            <w:rPr>
              <w:rFonts w:cstheme="minorBidi"/>
              <w:noProof/>
              <w:sz w:val="22"/>
              <w:szCs w:val="22"/>
            </w:rPr>
          </w:pPr>
          <w:hyperlink w:anchor="_Toc77837888" w:history="1">
            <w:r w:rsidR="00151838" w:rsidRPr="00A3701C">
              <w:rPr>
                <w:rStyle w:val="Hyperlink"/>
                <w:rFonts w:eastAsia="Times New Roman" w:cs="Times New Roman"/>
                <w:noProof/>
              </w:rPr>
              <w:t>19. ՔԱՂԱՔԱՇԻՆՈՒԹՅՈՒՆ</w:t>
            </w:r>
            <w:r w:rsidR="00151838">
              <w:rPr>
                <w:noProof/>
                <w:webHidden/>
              </w:rPr>
              <w:tab/>
            </w:r>
            <w:r w:rsidR="00151838">
              <w:rPr>
                <w:noProof/>
                <w:webHidden/>
              </w:rPr>
              <w:fldChar w:fldCharType="begin"/>
            </w:r>
            <w:r w:rsidR="00151838">
              <w:rPr>
                <w:noProof/>
                <w:webHidden/>
              </w:rPr>
              <w:instrText xml:space="preserve"> PAGEREF _Toc77837888 \h </w:instrText>
            </w:r>
            <w:r w:rsidR="00151838">
              <w:rPr>
                <w:noProof/>
                <w:webHidden/>
              </w:rPr>
            </w:r>
            <w:r w:rsidR="00151838">
              <w:rPr>
                <w:noProof/>
                <w:webHidden/>
              </w:rPr>
              <w:fldChar w:fldCharType="separate"/>
            </w:r>
            <w:r w:rsidR="00151838">
              <w:rPr>
                <w:noProof/>
                <w:webHidden/>
              </w:rPr>
              <w:t>154</w:t>
            </w:r>
            <w:r w:rsidR="00151838">
              <w:rPr>
                <w:noProof/>
                <w:webHidden/>
              </w:rPr>
              <w:fldChar w:fldCharType="end"/>
            </w:r>
          </w:hyperlink>
        </w:p>
        <w:p w14:paraId="6D090C2B" w14:textId="1057E8A7" w:rsidR="00151838" w:rsidRDefault="004F1221">
          <w:pPr>
            <w:pStyle w:val="TOC3"/>
            <w:tabs>
              <w:tab w:val="right" w:leader="dot" w:pos="10073"/>
            </w:tabs>
            <w:rPr>
              <w:rFonts w:cstheme="minorBidi"/>
              <w:noProof/>
              <w:sz w:val="22"/>
              <w:szCs w:val="22"/>
            </w:rPr>
          </w:pPr>
          <w:hyperlink w:anchor="_Toc77837889" w:history="1">
            <w:r w:rsidR="00151838" w:rsidRPr="00A3701C">
              <w:rPr>
                <w:rStyle w:val="Hyperlink"/>
                <w:rFonts w:eastAsia="Times New Roman" w:cs="Times New Roman"/>
                <w:noProof/>
              </w:rPr>
              <w:t>20. ՎԻՃԱԿԱԳՐՈՒԹՅՈՒՆ</w:t>
            </w:r>
            <w:r w:rsidR="00151838">
              <w:rPr>
                <w:noProof/>
                <w:webHidden/>
              </w:rPr>
              <w:tab/>
            </w:r>
            <w:r w:rsidR="00151838">
              <w:rPr>
                <w:noProof/>
                <w:webHidden/>
              </w:rPr>
              <w:fldChar w:fldCharType="begin"/>
            </w:r>
            <w:r w:rsidR="00151838">
              <w:rPr>
                <w:noProof/>
                <w:webHidden/>
              </w:rPr>
              <w:instrText xml:space="preserve"> PAGEREF _Toc77837889 \h </w:instrText>
            </w:r>
            <w:r w:rsidR="00151838">
              <w:rPr>
                <w:noProof/>
                <w:webHidden/>
              </w:rPr>
            </w:r>
            <w:r w:rsidR="00151838">
              <w:rPr>
                <w:noProof/>
                <w:webHidden/>
              </w:rPr>
              <w:fldChar w:fldCharType="separate"/>
            </w:r>
            <w:r w:rsidR="00151838">
              <w:rPr>
                <w:noProof/>
                <w:webHidden/>
              </w:rPr>
              <w:t>155</w:t>
            </w:r>
            <w:r w:rsidR="00151838">
              <w:rPr>
                <w:noProof/>
                <w:webHidden/>
              </w:rPr>
              <w:fldChar w:fldCharType="end"/>
            </w:r>
          </w:hyperlink>
        </w:p>
        <w:p w14:paraId="0F24B0C1" w14:textId="06A553DE" w:rsidR="00151838" w:rsidRDefault="004F1221">
          <w:pPr>
            <w:pStyle w:val="TOC3"/>
            <w:tabs>
              <w:tab w:val="right" w:leader="dot" w:pos="10073"/>
            </w:tabs>
            <w:rPr>
              <w:rFonts w:cstheme="minorBidi"/>
              <w:noProof/>
              <w:sz w:val="22"/>
              <w:szCs w:val="22"/>
            </w:rPr>
          </w:pPr>
          <w:hyperlink w:anchor="_Toc77837890" w:history="1">
            <w:r w:rsidR="00151838" w:rsidRPr="00A3701C">
              <w:rPr>
                <w:rStyle w:val="Hyperlink"/>
                <w:rFonts w:eastAsia="Times New Roman" w:cs="Times New Roman"/>
                <w:noProof/>
              </w:rPr>
              <w:t>21</w:t>
            </w:r>
            <w:r w:rsidR="00151838" w:rsidRPr="00A3701C">
              <w:rPr>
                <w:rStyle w:val="Hyperlink"/>
                <w:rFonts w:eastAsia="Times New Roman" w:cs="Times New Roman"/>
                <w:noProof/>
                <w:lang w:val="es-ES"/>
              </w:rPr>
              <w:t>.</w:t>
            </w:r>
            <w:r w:rsidR="00151838" w:rsidRPr="00A3701C">
              <w:rPr>
                <w:rStyle w:val="Hyperlink"/>
                <w:rFonts w:eastAsia="Times New Roman" w:cs="Times New Roman"/>
                <w:noProof/>
              </w:rPr>
              <w:t xml:space="preserve"> ՊԵՏԱԿԱՆ ՄԱՐՄԻՆՆԵՐԻ ՊԱՀՊԱՆՄԱՆ ԾԱԽՍԵՐ</w:t>
            </w:r>
            <w:r w:rsidR="00151838">
              <w:rPr>
                <w:noProof/>
                <w:webHidden/>
              </w:rPr>
              <w:tab/>
            </w:r>
            <w:r w:rsidR="00151838">
              <w:rPr>
                <w:noProof/>
                <w:webHidden/>
              </w:rPr>
              <w:fldChar w:fldCharType="begin"/>
            </w:r>
            <w:r w:rsidR="00151838">
              <w:rPr>
                <w:noProof/>
                <w:webHidden/>
              </w:rPr>
              <w:instrText xml:space="preserve"> PAGEREF _Toc77837890 \h </w:instrText>
            </w:r>
            <w:r w:rsidR="00151838">
              <w:rPr>
                <w:noProof/>
                <w:webHidden/>
              </w:rPr>
            </w:r>
            <w:r w:rsidR="00151838">
              <w:rPr>
                <w:noProof/>
                <w:webHidden/>
              </w:rPr>
              <w:fldChar w:fldCharType="separate"/>
            </w:r>
            <w:r w:rsidR="00151838">
              <w:rPr>
                <w:noProof/>
                <w:webHidden/>
              </w:rPr>
              <w:t>157</w:t>
            </w:r>
            <w:r w:rsidR="00151838">
              <w:rPr>
                <w:noProof/>
                <w:webHidden/>
              </w:rPr>
              <w:fldChar w:fldCharType="end"/>
            </w:r>
          </w:hyperlink>
        </w:p>
        <w:p w14:paraId="0D9D9B95" w14:textId="1FFB0CFB" w:rsidR="00151838" w:rsidRDefault="004F1221">
          <w:pPr>
            <w:pStyle w:val="TOC3"/>
            <w:tabs>
              <w:tab w:val="right" w:leader="dot" w:pos="10073"/>
            </w:tabs>
            <w:rPr>
              <w:rFonts w:cstheme="minorBidi"/>
              <w:noProof/>
              <w:sz w:val="22"/>
              <w:szCs w:val="22"/>
            </w:rPr>
          </w:pPr>
          <w:hyperlink w:anchor="_Toc77837891" w:history="1">
            <w:r w:rsidR="00151838" w:rsidRPr="00A3701C">
              <w:rPr>
                <w:rStyle w:val="Hyperlink"/>
                <w:rFonts w:eastAsia="Times New Roman" w:cs="Times New Roman"/>
                <w:noProof/>
              </w:rPr>
              <w:t>22. ՀԱՆՐԱՅԻՆ ԻՇԽԱՆՈՒԹՅԱՆ ԱՅԼ ՄԱՐՄԻՆՆԵՐԻ ԳՈՐԾՈՒՆԵՈՒԹՅԱՆ ՀԻՄՆԱԿԱՆ  ՈՒՂՂՈՒԹՅՈՒՆՆԵՐԸ ԵՎ ԳԵՐԱԿԱՅՈՒԹՅՈՒՆՆԵՐԸ</w:t>
            </w:r>
            <w:r w:rsidR="00151838">
              <w:rPr>
                <w:noProof/>
                <w:webHidden/>
              </w:rPr>
              <w:tab/>
            </w:r>
            <w:r w:rsidR="00151838">
              <w:rPr>
                <w:noProof/>
                <w:webHidden/>
              </w:rPr>
              <w:fldChar w:fldCharType="begin"/>
            </w:r>
            <w:r w:rsidR="00151838">
              <w:rPr>
                <w:noProof/>
                <w:webHidden/>
              </w:rPr>
              <w:instrText xml:space="preserve"> PAGEREF _Toc77837891 \h </w:instrText>
            </w:r>
            <w:r w:rsidR="00151838">
              <w:rPr>
                <w:noProof/>
                <w:webHidden/>
              </w:rPr>
            </w:r>
            <w:r w:rsidR="00151838">
              <w:rPr>
                <w:noProof/>
                <w:webHidden/>
              </w:rPr>
              <w:fldChar w:fldCharType="separate"/>
            </w:r>
            <w:r w:rsidR="00151838">
              <w:rPr>
                <w:noProof/>
                <w:webHidden/>
              </w:rPr>
              <w:t>159</w:t>
            </w:r>
            <w:r w:rsidR="00151838">
              <w:rPr>
                <w:noProof/>
                <w:webHidden/>
              </w:rPr>
              <w:fldChar w:fldCharType="end"/>
            </w:r>
          </w:hyperlink>
        </w:p>
        <w:p w14:paraId="726650D5" w14:textId="3B8F80BE" w:rsidR="00151838" w:rsidRDefault="004F1221">
          <w:pPr>
            <w:pStyle w:val="TOC3"/>
            <w:tabs>
              <w:tab w:val="right" w:leader="dot" w:pos="10073"/>
            </w:tabs>
            <w:rPr>
              <w:rFonts w:cstheme="minorBidi"/>
              <w:noProof/>
              <w:sz w:val="22"/>
              <w:szCs w:val="22"/>
            </w:rPr>
          </w:pPr>
          <w:hyperlink w:anchor="_Toc77837892" w:history="1">
            <w:r w:rsidR="00151838" w:rsidRPr="00A3701C">
              <w:rPr>
                <w:rStyle w:val="Hyperlink"/>
                <w:noProof/>
              </w:rPr>
              <w:t xml:space="preserve">22.1. </w:t>
            </w:r>
            <w:r w:rsidR="00151838" w:rsidRPr="00A3701C">
              <w:rPr>
                <w:rStyle w:val="Hyperlink"/>
                <w:rFonts w:cs="Sylfaen"/>
                <w:noProof/>
              </w:rPr>
              <w:t>ՆԱԽԱԳԱՀԻ ԱՇԽԱՏԱԿԱԶՄ</w:t>
            </w:r>
            <w:r w:rsidR="00151838">
              <w:rPr>
                <w:noProof/>
                <w:webHidden/>
              </w:rPr>
              <w:tab/>
            </w:r>
            <w:r w:rsidR="00151838">
              <w:rPr>
                <w:noProof/>
                <w:webHidden/>
              </w:rPr>
              <w:fldChar w:fldCharType="begin"/>
            </w:r>
            <w:r w:rsidR="00151838">
              <w:rPr>
                <w:noProof/>
                <w:webHidden/>
              </w:rPr>
              <w:instrText xml:space="preserve"> PAGEREF _Toc77837892 \h </w:instrText>
            </w:r>
            <w:r w:rsidR="00151838">
              <w:rPr>
                <w:noProof/>
                <w:webHidden/>
              </w:rPr>
            </w:r>
            <w:r w:rsidR="00151838">
              <w:rPr>
                <w:noProof/>
                <w:webHidden/>
              </w:rPr>
              <w:fldChar w:fldCharType="separate"/>
            </w:r>
            <w:r w:rsidR="00151838">
              <w:rPr>
                <w:noProof/>
                <w:webHidden/>
              </w:rPr>
              <w:t>159</w:t>
            </w:r>
            <w:r w:rsidR="00151838">
              <w:rPr>
                <w:noProof/>
                <w:webHidden/>
              </w:rPr>
              <w:fldChar w:fldCharType="end"/>
            </w:r>
          </w:hyperlink>
        </w:p>
        <w:p w14:paraId="5A37F3F0" w14:textId="2AB4F176" w:rsidR="00151838" w:rsidRDefault="004F1221">
          <w:pPr>
            <w:pStyle w:val="TOC3"/>
            <w:tabs>
              <w:tab w:val="right" w:leader="dot" w:pos="10073"/>
            </w:tabs>
            <w:rPr>
              <w:rFonts w:cstheme="minorBidi"/>
              <w:noProof/>
              <w:sz w:val="22"/>
              <w:szCs w:val="22"/>
            </w:rPr>
          </w:pPr>
          <w:hyperlink w:anchor="_Toc77837893" w:history="1">
            <w:r w:rsidR="00151838" w:rsidRPr="00A3701C">
              <w:rPr>
                <w:rStyle w:val="Hyperlink"/>
                <w:noProof/>
              </w:rPr>
              <w:t xml:space="preserve">22.2. </w:t>
            </w:r>
            <w:r w:rsidR="00151838" w:rsidRPr="00A3701C">
              <w:rPr>
                <w:rStyle w:val="Hyperlink"/>
                <w:rFonts w:cs="Sylfaen"/>
                <w:noProof/>
              </w:rPr>
              <w:t>ԱԶԳԱՅԻՆ ԺՈՂՈՎ</w:t>
            </w:r>
            <w:r w:rsidR="00151838">
              <w:rPr>
                <w:noProof/>
                <w:webHidden/>
              </w:rPr>
              <w:tab/>
            </w:r>
            <w:r w:rsidR="00151838">
              <w:rPr>
                <w:noProof/>
                <w:webHidden/>
              </w:rPr>
              <w:fldChar w:fldCharType="begin"/>
            </w:r>
            <w:r w:rsidR="00151838">
              <w:rPr>
                <w:noProof/>
                <w:webHidden/>
              </w:rPr>
              <w:instrText xml:space="preserve"> PAGEREF _Toc77837893 \h </w:instrText>
            </w:r>
            <w:r w:rsidR="00151838">
              <w:rPr>
                <w:noProof/>
                <w:webHidden/>
              </w:rPr>
            </w:r>
            <w:r w:rsidR="00151838">
              <w:rPr>
                <w:noProof/>
                <w:webHidden/>
              </w:rPr>
              <w:fldChar w:fldCharType="separate"/>
            </w:r>
            <w:r w:rsidR="00151838">
              <w:rPr>
                <w:noProof/>
                <w:webHidden/>
              </w:rPr>
              <w:t>160</w:t>
            </w:r>
            <w:r w:rsidR="00151838">
              <w:rPr>
                <w:noProof/>
                <w:webHidden/>
              </w:rPr>
              <w:fldChar w:fldCharType="end"/>
            </w:r>
          </w:hyperlink>
        </w:p>
        <w:p w14:paraId="2F962211" w14:textId="5C033EFE" w:rsidR="00151838" w:rsidRDefault="004F1221">
          <w:pPr>
            <w:pStyle w:val="TOC3"/>
            <w:tabs>
              <w:tab w:val="right" w:leader="dot" w:pos="10073"/>
            </w:tabs>
            <w:rPr>
              <w:rFonts w:cstheme="minorBidi"/>
              <w:noProof/>
              <w:sz w:val="22"/>
              <w:szCs w:val="22"/>
            </w:rPr>
          </w:pPr>
          <w:hyperlink w:anchor="_Toc77837894" w:history="1">
            <w:r w:rsidR="00151838" w:rsidRPr="00A3701C">
              <w:rPr>
                <w:rStyle w:val="Hyperlink"/>
                <w:noProof/>
              </w:rPr>
              <w:t>22.3. ՀՀ ԴԱՏԱԽԱԶՈՒԹՅՈՒՆ</w:t>
            </w:r>
            <w:r w:rsidR="00151838">
              <w:rPr>
                <w:noProof/>
                <w:webHidden/>
              </w:rPr>
              <w:tab/>
            </w:r>
            <w:r w:rsidR="00151838">
              <w:rPr>
                <w:noProof/>
                <w:webHidden/>
              </w:rPr>
              <w:fldChar w:fldCharType="begin"/>
            </w:r>
            <w:r w:rsidR="00151838">
              <w:rPr>
                <w:noProof/>
                <w:webHidden/>
              </w:rPr>
              <w:instrText xml:space="preserve"> PAGEREF _Toc77837894 \h </w:instrText>
            </w:r>
            <w:r w:rsidR="00151838">
              <w:rPr>
                <w:noProof/>
                <w:webHidden/>
              </w:rPr>
            </w:r>
            <w:r w:rsidR="00151838">
              <w:rPr>
                <w:noProof/>
                <w:webHidden/>
              </w:rPr>
              <w:fldChar w:fldCharType="separate"/>
            </w:r>
            <w:r w:rsidR="00151838">
              <w:rPr>
                <w:noProof/>
                <w:webHidden/>
              </w:rPr>
              <w:t>161</w:t>
            </w:r>
            <w:r w:rsidR="00151838">
              <w:rPr>
                <w:noProof/>
                <w:webHidden/>
              </w:rPr>
              <w:fldChar w:fldCharType="end"/>
            </w:r>
          </w:hyperlink>
        </w:p>
        <w:p w14:paraId="2DA5C4E3" w14:textId="42B63856" w:rsidR="00151838" w:rsidRDefault="004F1221">
          <w:pPr>
            <w:pStyle w:val="TOC3"/>
            <w:tabs>
              <w:tab w:val="right" w:leader="dot" w:pos="10073"/>
            </w:tabs>
            <w:rPr>
              <w:rFonts w:cstheme="minorBidi"/>
              <w:noProof/>
              <w:sz w:val="22"/>
              <w:szCs w:val="22"/>
            </w:rPr>
          </w:pPr>
          <w:hyperlink w:anchor="_Toc77837895" w:history="1">
            <w:r w:rsidR="00151838" w:rsidRPr="00A3701C">
              <w:rPr>
                <w:rStyle w:val="Hyperlink"/>
                <w:noProof/>
              </w:rPr>
              <w:t xml:space="preserve">22.4. </w:t>
            </w:r>
            <w:r w:rsidR="00151838" w:rsidRPr="00A3701C">
              <w:rPr>
                <w:rStyle w:val="Hyperlink"/>
                <w:rFonts w:cs="Sylfaen"/>
                <w:noProof/>
              </w:rPr>
              <w:t>ՀՀ ՔՆՆՉԱԿԱՆ ԿՈՄԻՏԵ</w:t>
            </w:r>
            <w:r w:rsidR="00151838">
              <w:rPr>
                <w:noProof/>
                <w:webHidden/>
              </w:rPr>
              <w:tab/>
            </w:r>
            <w:r w:rsidR="00151838">
              <w:rPr>
                <w:noProof/>
                <w:webHidden/>
              </w:rPr>
              <w:fldChar w:fldCharType="begin"/>
            </w:r>
            <w:r w:rsidR="00151838">
              <w:rPr>
                <w:noProof/>
                <w:webHidden/>
              </w:rPr>
              <w:instrText xml:space="preserve"> PAGEREF _Toc77837895 \h </w:instrText>
            </w:r>
            <w:r w:rsidR="00151838">
              <w:rPr>
                <w:noProof/>
                <w:webHidden/>
              </w:rPr>
            </w:r>
            <w:r w:rsidR="00151838">
              <w:rPr>
                <w:noProof/>
                <w:webHidden/>
              </w:rPr>
              <w:fldChar w:fldCharType="separate"/>
            </w:r>
            <w:r w:rsidR="00151838">
              <w:rPr>
                <w:noProof/>
                <w:webHidden/>
              </w:rPr>
              <w:t>164</w:t>
            </w:r>
            <w:r w:rsidR="00151838">
              <w:rPr>
                <w:noProof/>
                <w:webHidden/>
              </w:rPr>
              <w:fldChar w:fldCharType="end"/>
            </w:r>
          </w:hyperlink>
        </w:p>
        <w:p w14:paraId="4B7F02B8" w14:textId="419C6A5B" w:rsidR="00151838" w:rsidRDefault="004F1221">
          <w:pPr>
            <w:pStyle w:val="TOC3"/>
            <w:tabs>
              <w:tab w:val="right" w:leader="dot" w:pos="10073"/>
            </w:tabs>
            <w:rPr>
              <w:rFonts w:cstheme="minorBidi"/>
              <w:noProof/>
              <w:sz w:val="22"/>
              <w:szCs w:val="22"/>
            </w:rPr>
          </w:pPr>
          <w:hyperlink w:anchor="_Toc77837896" w:history="1">
            <w:r w:rsidR="00151838" w:rsidRPr="00A3701C">
              <w:rPr>
                <w:rStyle w:val="Hyperlink"/>
                <w:noProof/>
              </w:rPr>
              <w:t>22.5. ՍԱՀՄԱՆԱԴՐԱԿԱՆ ԴԱՏԱՐԱՆ</w:t>
            </w:r>
            <w:r w:rsidR="00151838">
              <w:rPr>
                <w:noProof/>
                <w:webHidden/>
              </w:rPr>
              <w:tab/>
            </w:r>
            <w:r w:rsidR="00151838">
              <w:rPr>
                <w:noProof/>
                <w:webHidden/>
              </w:rPr>
              <w:fldChar w:fldCharType="begin"/>
            </w:r>
            <w:r w:rsidR="00151838">
              <w:rPr>
                <w:noProof/>
                <w:webHidden/>
              </w:rPr>
              <w:instrText xml:space="preserve"> PAGEREF _Toc77837896 \h </w:instrText>
            </w:r>
            <w:r w:rsidR="00151838">
              <w:rPr>
                <w:noProof/>
                <w:webHidden/>
              </w:rPr>
            </w:r>
            <w:r w:rsidR="00151838">
              <w:rPr>
                <w:noProof/>
                <w:webHidden/>
              </w:rPr>
              <w:fldChar w:fldCharType="separate"/>
            </w:r>
            <w:r w:rsidR="00151838">
              <w:rPr>
                <w:noProof/>
                <w:webHidden/>
              </w:rPr>
              <w:t>165</w:t>
            </w:r>
            <w:r w:rsidR="00151838">
              <w:rPr>
                <w:noProof/>
                <w:webHidden/>
              </w:rPr>
              <w:fldChar w:fldCharType="end"/>
            </w:r>
          </w:hyperlink>
        </w:p>
        <w:p w14:paraId="629826E8" w14:textId="3053AB57" w:rsidR="00151838" w:rsidRDefault="004F1221">
          <w:pPr>
            <w:pStyle w:val="TOC3"/>
            <w:tabs>
              <w:tab w:val="right" w:leader="dot" w:pos="10073"/>
            </w:tabs>
            <w:rPr>
              <w:rFonts w:cstheme="minorBidi"/>
              <w:noProof/>
              <w:sz w:val="22"/>
              <w:szCs w:val="22"/>
            </w:rPr>
          </w:pPr>
          <w:hyperlink w:anchor="_Toc77837897" w:history="1">
            <w:r w:rsidR="00151838" w:rsidRPr="00A3701C">
              <w:rPr>
                <w:rStyle w:val="Hyperlink"/>
                <w:noProof/>
              </w:rPr>
              <w:t xml:space="preserve">22.6. </w:t>
            </w:r>
            <w:r w:rsidR="00151838" w:rsidRPr="00A3701C">
              <w:rPr>
                <w:rStyle w:val="Hyperlink"/>
                <w:rFonts w:cs="Sylfaen"/>
                <w:noProof/>
              </w:rPr>
              <w:t>ՀՀ ՄԱՐԴՈՒ ԻՐԱՎՈՒՆՔՆԵՐԻ ՊԱՇՏՊԱՆ</w:t>
            </w:r>
            <w:r w:rsidR="00151838">
              <w:rPr>
                <w:noProof/>
                <w:webHidden/>
              </w:rPr>
              <w:tab/>
            </w:r>
            <w:r w:rsidR="00151838">
              <w:rPr>
                <w:noProof/>
                <w:webHidden/>
              </w:rPr>
              <w:fldChar w:fldCharType="begin"/>
            </w:r>
            <w:r w:rsidR="00151838">
              <w:rPr>
                <w:noProof/>
                <w:webHidden/>
              </w:rPr>
              <w:instrText xml:space="preserve"> PAGEREF _Toc77837897 \h </w:instrText>
            </w:r>
            <w:r w:rsidR="00151838">
              <w:rPr>
                <w:noProof/>
                <w:webHidden/>
              </w:rPr>
            </w:r>
            <w:r w:rsidR="00151838">
              <w:rPr>
                <w:noProof/>
                <w:webHidden/>
              </w:rPr>
              <w:fldChar w:fldCharType="separate"/>
            </w:r>
            <w:r w:rsidR="00151838">
              <w:rPr>
                <w:noProof/>
                <w:webHidden/>
              </w:rPr>
              <w:t>166</w:t>
            </w:r>
            <w:r w:rsidR="00151838">
              <w:rPr>
                <w:noProof/>
                <w:webHidden/>
              </w:rPr>
              <w:fldChar w:fldCharType="end"/>
            </w:r>
          </w:hyperlink>
        </w:p>
        <w:p w14:paraId="021978DD" w14:textId="59E1750D" w:rsidR="00151838" w:rsidRDefault="004F1221">
          <w:pPr>
            <w:pStyle w:val="TOC3"/>
            <w:tabs>
              <w:tab w:val="right" w:leader="dot" w:pos="10073"/>
            </w:tabs>
            <w:rPr>
              <w:rFonts w:cstheme="minorBidi"/>
              <w:noProof/>
              <w:sz w:val="22"/>
              <w:szCs w:val="22"/>
            </w:rPr>
          </w:pPr>
          <w:hyperlink w:anchor="_Toc77837898" w:history="1">
            <w:r w:rsidR="00151838" w:rsidRPr="00A3701C">
              <w:rPr>
                <w:rStyle w:val="Hyperlink"/>
                <w:noProof/>
              </w:rPr>
              <w:t xml:space="preserve">22.7. </w:t>
            </w:r>
            <w:r w:rsidR="00151838" w:rsidRPr="00A3701C">
              <w:rPr>
                <w:rStyle w:val="Hyperlink"/>
                <w:rFonts w:cs="Sylfaen"/>
                <w:noProof/>
              </w:rPr>
              <w:t>ԲԱՐՁՐԱԳՈՒՅՆ ԴԱՏԱԿԱՆ ԽՈՐՀՈՒՐԴ</w:t>
            </w:r>
            <w:r w:rsidR="00151838">
              <w:rPr>
                <w:noProof/>
                <w:webHidden/>
              </w:rPr>
              <w:tab/>
            </w:r>
            <w:r w:rsidR="00151838">
              <w:rPr>
                <w:noProof/>
                <w:webHidden/>
              </w:rPr>
              <w:fldChar w:fldCharType="begin"/>
            </w:r>
            <w:r w:rsidR="00151838">
              <w:rPr>
                <w:noProof/>
                <w:webHidden/>
              </w:rPr>
              <w:instrText xml:space="preserve"> PAGEREF _Toc77837898 \h </w:instrText>
            </w:r>
            <w:r w:rsidR="00151838">
              <w:rPr>
                <w:noProof/>
                <w:webHidden/>
              </w:rPr>
            </w:r>
            <w:r w:rsidR="00151838">
              <w:rPr>
                <w:noProof/>
                <w:webHidden/>
              </w:rPr>
              <w:fldChar w:fldCharType="separate"/>
            </w:r>
            <w:r w:rsidR="00151838">
              <w:rPr>
                <w:noProof/>
                <w:webHidden/>
              </w:rPr>
              <w:t>167</w:t>
            </w:r>
            <w:r w:rsidR="00151838">
              <w:rPr>
                <w:noProof/>
                <w:webHidden/>
              </w:rPr>
              <w:fldChar w:fldCharType="end"/>
            </w:r>
          </w:hyperlink>
        </w:p>
        <w:p w14:paraId="263E5CF3" w14:textId="56BEF774" w:rsidR="00151838" w:rsidRDefault="004F1221">
          <w:pPr>
            <w:pStyle w:val="TOC3"/>
            <w:tabs>
              <w:tab w:val="right" w:leader="dot" w:pos="10073"/>
            </w:tabs>
            <w:rPr>
              <w:rFonts w:cstheme="minorBidi"/>
              <w:noProof/>
              <w:sz w:val="22"/>
              <w:szCs w:val="22"/>
            </w:rPr>
          </w:pPr>
          <w:hyperlink w:anchor="_Toc77837899" w:history="1">
            <w:r w:rsidR="00151838" w:rsidRPr="00A3701C">
              <w:rPr>
                <w:rStyle w:val="Hyperlink"/>
                <w:noProof/>
              </w:rPr>
              <w:t xml:space="preserve">22.8. </w:t>
            </w:r>
            <w:r w:rsidR="00151838" w:rsidRPr="00A3701C">
              <w:rPr>
                <w:rStyle w:val="Hyperlink"/>
                <w:rFonts w:cs="Sylfaen"/>
                <w:noProof/>
              </w:rPr>
              <w:t>ԿՈՌՈՒՊՑԻԱՅԻ ԿԱՆԽԱՐԳԵԼՄԱՆ ՀԱՆՁՆԱԺՈՂՈՎ</w:t>
            </w:r>
            <w:r w:rsidR="00151838">
              <w:rPr>
                <w:noProof/>
                <w:webHidden/>
              </w:rPr>
              <w:tab/>
            </w:r>
            <w:r w:rsidR="00151838">
              <w:rPr>
                <w:noProof/>
                <w:webHidden/>
              </w:rPr>
              <w:fldChar w:fldCharType="begin"/>
            </w:r>
            <w:r w:rsidR="00151838">
              <w:rPr>
                <w:noProof/>
                <w:webHidden/>
              </w:rPr>
              <w:instrText xml:space="preserve"> PAGEREF _Toc77837899 \h </w:instrText>
            </w:r>
            <w:r w:rsidR="00151838">
              <w:rPr>
                <w:noProof/>
                <w:webHidden/>
              </w:rPr>
            </w:r>
            <w:r w:rsidR="00151838">
              <w:rPr>
                <w:noProof/>
                <w:webHidden/>
              </w:rPr>
              <w:fldChar w:fldCharType="separate"/>
            </w:r>
            <w:r w:rsidR="00151838">
              <w:rPr>
                <w:noProof/>
                <w:webHidden/>
              </w:rPr>
              <w:t>168</w:t>
            </w:r>
            <w:r w:rsidR="00151838">
              <w:rPr>
                <w:noProof/>
                <w:webHidden/>
              </w:rPr>
              <w:fldChar w:fldCharType="end"/>
            </w:r>
          </w:hyperlink>
        </w:p>
        <w:p w14:paraId="4180A5A1" w14:textId="6B690432" w:rsidR="00151838" w:rsidRDefault="004F1221">
          <w:pPr>
            <w:pStyle w:val="TOC3"/>
            <w:tabs>
              <w:tab w:val="right" w:leader="dot" w:pos="10073"/>
            </w:tabs>
            <w:rPr>
              <w:rFonts w:cstheme="minorBidi"/>
              <w:noProof/>
              <w:sz w:val="22"/>
              <w:szCs w:val="22"/>
            </w:rPr>
          </w:pPr>
          <w:hyperlink w:anchor="_Toc77837900" w:history="1">
            <w:r w:rsidR="00151838" w:rsidRPr="00A3701C">
              <w:rPr>
                <w:rStyle w:val="Hyperlink"/>
                <w:noProof/>
              </w:rPr>
              <w:t xml:space="preserve">22.9. </w:t>
            </w:r>
            <w:r w:rsidR="00151838" w:rsidRPr="00A3701C">
              <w:rPr>
                <w:rStyle w:val="Hyperlink"/>
                <w:rFonts w:cs="Sylfaen"/>
                <w:noProof/>
              </w:rPr>
              <w:t>ՄՐՑԱԿՑՈՒԹՅԱՆ ՊԱՇՏՊԱՆՈՒԹՅԱՆ ՀԱՆՁՆԱԺՈՂՈՎ</w:t>
            </w:r>
            <w:r w:rsidR="00151838">
              <w:rPr>
                <w:noProof/>
                <w:webHidden/>
              </w:rPr>
              <w:tab/>
            </w:r>
            <w:r w:rsidR="00151838">
              <w:rPr>
                <w:noProof/>
                <w:webHidden/>
              </w:rPr>
              <w:fldChar w:fldCharType="begin"/>
            </w:r>
            <w:r w:rsidR="00151838">
              <w:rPr>
                <w:noProof/>
                <w:webHidden/>
              </w:rPr>
              <w:instrText xml:space="preserve"> PAGEREF _Toc77837900 \h </w:instrText>
            </w:r>
            <w:r w:rsidR="00151838">
              <w:rPr>
                <w:noProof/>
                <w:webHidden/>
              </w:rPr>
            </w:r>
            <w:r w:rsidR="00151838">
              <w:rPr>
                <w:noProof/>
                <w:webHidden/>
              </w:rPr>
              <w:fldChar w:fldCharType="separate"/>
            </w:r>
            <w:r w:rsidR="00151838">
              <w:rPr>
                <w:noProof/>
                <w:webHidden/>
              </w:rPr>
              <w:t>170</w:t>
            </w:r>
            <w:r w:rsidR="00151838">
              <w:rPr>
                <w:noProof/>
                <w:webHidden/>
              </w:rPr>
              <w:fldChar w:fldCharType="end"/>
            </w:r>
          </w:hyperlink>
        </w:p>
        <w:p w14:paraId="7F5EE9AD" w14:textId="6D270E29" w:rsidR="00151838" w:rsidRDefault="004F1221">
          <w:pPr>
            <w:pStyle w:val="TOC3"/>
            <w:tabs>
              <w:tab w:val="right" w:leader="dot" w:pos="10073"/>
            </w:tabs>
            <w:rPr>
              <w:rFonts w:cstheme="minorBidi"/>
              <w:noProof/>
              <w:sz w:val="22"/>
              <w:szCs w:val="22"/>
            </w:rPr>
          </w:pPr>
          <w:hyperlink w:anchor="_Toc77837901" w:history="1">
            <w:r w:rsidR="00151838" w:rsidRPr="00A3701C">
              <w:rPr>
                <w:rStyle w:val="Hyperlink"/>
                <w:noProof/>
              </w:rPr>
              <w:t xml:space="preserve">22.10. </w:t>
            </w:r>
            <w:r w:rsidR="00151838" w:rsidRPr="00A3701C">
              <w:rPr>
                <w:rStyle w:val="Hyperlink"/>
                <w:rFonts w:cs="Sylfaen"/>
                <w:noProof/>
              </w:rPr>
              <w:t>ՀԵՌՈՒՍՏԱՏԵՍՈՒԹՅԱՆ ԵՎ ՌԱԴԻՈՅԻ ՀԱՆՁՆԱԺՈՂՈՎ</w:t>
            </w:r>
            <w:r w:rsidR="00151838">
              <w:rPr>
                <w:noProof/>
                <w:webHidden/>
              </w:rPr>
              <w:tab/>
            </w:r>
            <w:r w:rsidR="00151838">
              <w:rPr>
                <w:noProof/>
                <w:webHidden/>
              </w:rPr>
              <w:fldChar w:fldCharType="begin"/>
            </w:r>
            <w:r w:rsidR="00151838">
              <w:rPr>
                <w:noProof/>
                <w:webHidden/>
              </w:rPr>
              <w:instrText xml:space="preserve"> PAGEREF _Toc77837901 \h </w:instrText>
            </w:r>
            <w:r w:rsidR="00151838">
              <w:rPr>
                <w:noProof/>
                <w:webHidden/>
              </w:rPr>
            </w:r>
            <w:r w:rsidR="00151838">
              <w:rPr>
                <w:noProof/>
                <w:webHidden/>
              </w:rPr>
              <w:fldChar w:fldCharType="separate"/>
            </w:r>
            <w:r w:rsidR="00151838">
              <w:rPr>
                <w:noProof/>
                <w:webHidden/>
              </w:rPr>
              <w:t>170</w:t>
            </w:r>
            <w:r w:rsidR="00151838">
              <w:rPr>
                <w:noProof/>
                <w:webHidden/>
              </w:rPr>
              <w:fldChar w:fldCharType="end"/>
            </w:r>
          </w:hyperlink>
        </w:p>
        <w:p w14:paraId="77378A08" w14:textId="10277EE5" w:rsidR="00151838" w:rsidRDefault="004F1221">
          <w:pPr>
            <w:pStyle w:val="TOC3"/>
            <w:tabs>
              <w:tab w:val="right" w:leader="dot" w:pos="10073"/>
            </w:tabs>
            <w:rPr>
              <w:rFonts w:cstheme="minorBidi"/>
              <w:noProof/>
              <w:sz w:val="22"/>
              <w:szCs w:val="22"/>
            </w:rPr>
          </w:pPr>
          <w:hyperlink w:anchor="_Toc77837902" w:history="1">
            <w:r w:rsidR="00151838" w:rsidRPr="00A3701C">
              <w:rPr>
                <w:rStyle w:val="Hyperlink"/>
                <w:noProof/>
              </w:rPr>
              <w:t xml:space="preserve">22.11. </w:t>
            </w:r>
            <w:r w:rsidR="00151838" w:rsidRPr="00A3701C">
              <w:rPr>
                <w:rStyle w:val="Hyperlink"/>
                <w:rFonts w:cs="Sylfaen"/>
                <w:noProof/>
              </w:rPr>
              <w:t>ԿԵՆՏՐՈՆԱԿԱՆ ԸՆՏՐԱԿԱՆ ՀԱՆՁՆԱԺՈՂՈՎ</w:t>
            </w:r>
            <w:r w:rsidR="00151838">
              <w:rPr>
                <w:noProof/>
                <w:webHidden/>
              </w:rPr>
              <w:tab/>
            </w:r>
            <w:r w:rsidR="00151838">
              <w:rPr>
                <w:noProof/>
                <w:webHidden/>
              </w:rPr>
              <w:fldChar w:fldCharType="begin"/>
            </w:r>
            <w:r w:rsidR="00151838">
              <w:rPr>
                <w:noProof/>
                <w:webHidden/>
              </w:rPr>
              <w:instrText xml:space="preserve"> PAGEREF _Toc77837902 \h </w:instrText>
            </w:r>
            <w:r w:rsidR="00151838">
              <w:rPr>
                <w:noProof/>
                <w:webHidden/>
              </w:rPr>
            </w:r>
            <w:r w:rsidR="00151838">
              <w:rPr>
                <w:noProof/>
                <w:webHidden/>
              </w:rPr>
              <w:fldChar w:fldCharType="separate"/>
            </w:r>
            <w:r w:rsidR="00151838">
              <w:rPr>
                <w:noProof/>
                <w:webHidden/>
              </w:rPr>
              <w:t>172</w:t>
            </w:r>
            <w:r w:rsidR="00151838">
              <w:rPr>
                <w:noProof/>
                <w:webHidden/>
              </w:rPr>
              <w:fldChar w:fldCharType="end"/>
            </w:r>
          </w:hyperlink>
        </w:p>
        <w:p w14:paraId="28B73C3C" w14:textId="4971281B" w:rsidR="00151838" w:rsidRDefault="004F1221">
          <w:pPr>
            <w:pStyle w:val="TOC3"/>
            <w:tabs>
              <w:tab w:val="right" w:leader="dot" w:pos="10073"/>
            </w:tabs>
            <w:rPr>
              <w:rFonts w:cstheme="minorBidi"/>
              <w:noProof/>
              <w:sz w:val="22"/>
              <w:szCs w:val="22"/>
            </w:rPr>
          </w:pPr>
          <w:hyperlink w:anchor="_Toc77837903" w:history="1">
            <w:r w:rsidR="00151838" w:rsidRPr="00A3701C">
              <w:rPr>
                <w:rStyle w:val="Hyperlink"/>
                <w:noProof/>
              </w:rPr>
              <w:t xml:space="preserve">22.12. </w:t>
            </w:r>
            <w:r w:rsidR="00151838" w:rsidRPr="00A3701C">
              <w:rPr>
                <w:rStyle w:val="Hyperlink"/>
                <w:rFonts w:cs="Sylfaen"/>
                <w:noProof/>
              </w:rPr>
              <w:t>ՀԱՆՐԱՅԻՆ ԾԱՌԱՅՈՒԹՅՈՒՆՆԵՐԸ ԿԱՐԳԱՎՈՐՈՂ ՀԱՆՁՆԱԺՈՂՈՎ</w:t>
            </w:r>
            <w:r w:rsidR="00151838">
              <w:rPr>
                <w:noProof/>
                <w:webHidden/>
              </w:rPr>
              <w:tab/>
            </w:r>
            <w:r w:rsidR="00151838">
              <w:rPr>
                <w:noProof/>
                <w:webHidden/>
              </w:rPr>
              <w:fldChar w:fldCharType="begin"/>
            </w:r>
            <w:r w:rsidR="00151838">
              <w:rPr>
                <w:noProof/>
                <w:webHidden/>
              </w:rPr>
              <w:instrText xml:space="preserve"> PAGEREF _Toc77837903 \h </w:instrText>
            </w:r>
            <w:r w:rsidR="00151838">
              <w:rPr>
                <w:noProof/>
                <w:webHidden/>
              </w:rPr>
            </w:r>
            <w:r w:rsidR="00151838">
              <w:rPr>
                <w:noProof/>
                <w:webHidden/>
              </w:rPr>
              <w:fldChar w:fldCharType="separate"/>
            </w:r>
            <w:r w:rsidR="00151838">
              <w:rPr>
                <w:noProof/>
                <w:webHidden/>
              </w:rPr>
              <w:t>174</w:t>
            </w:r>
            <w:r w:rsidR="00151838">
              <w:rPr>
                <w:noProof/>
                <w:webHidden/>
              </w:rPr>
              <w:fldChar w:fldCharType="end"/>
            </w:r>
          </w:hyperlink>
        </w:p>
        <w:p w14:paraId="188E8FDC" w14:textId="51D784D2" w:rsidR="00151838" w:rsidRDefault="004F1221">
          <w:pPr>
            <w:pStyle w:val="TOC3"/>
            <w:tabs>
              <w:tab w:val="right" w:leader="dot" w:pos="10073"/>
            </w:tabs>
            <w:rPr>
              <w:rFonts w:cstheme="minorBidi"/>
              <w:noProof/>
              <w:sz w:val="22"/>
              <w:szCs w:val="22"/>
            </w:rPr>
          </w:pPr>
          <w:hyperlink w:anchor="_Toc77837904" w:history="1">
            <w:r w:rsidR="00151838" w:rsidRPr="00A3701C">
              <w:rPr>
                <w:rStyle w:val="Hyperlink"/>
                <w:noProof/>
              </w:rPr>
              <w:t>22.13. ՊԵՏԱԿԱՆ ՎԵՐԱՀՍԿՈՂԱԿԱՆ ԾԱՌԱՅՈՒԹՅՈՒՆ</w:t>
            </w:r>
            <w:r w:rsidR="00151838">
              <w:rPr>
                <w:noProof/>
                <w:webHidden/>
              </w:rPr>
              <w:tab/>
            </w:r>
            <w:r w:rsidR="00151838">
              <w:rPr>
                <w:noProof/>
                <w:webHidden/>
              </w:rPr>
              <w:fldChar w:fldCharType="begin"/>
            </w:r>
            <w:r w:rsidR="00151838">
              <w:rPr>
                <w:noProof/>
                <w:webHidden/>
              </w:rPr>
              <w:instrText xml:space="preserve"> PAGEREF _Toc77837904 \h </w:instrText>
            </w:r>
            <w:r w:rsidR="00151838">
              <w:rPr>
                <w:noProof/>
                <w:webHidden/>
              </w:rPr>
            </w:r>
            <w:r w:rsidR="00151838">
              <w:rPr>
                <w:noProof/>
                <w:webHidden/>
              </w:rPr>
              <w:fldChar w:fldCharType="separate"/>
            </w:r>
            <w:r w:rsidR="00151838">
              <w:rPr>
                <w:noProof/>
                <w:webHidden/>
              </w:rPr>
              <w:t>177</w:t>
            </w:r>
            <w:r w:rsidR="00151838">
              <w:rPr>
                <w:noProof/>
                <w:webHidden/>
              </w:rPr>
              <w:fldChar w:fldCharType="end"/>
            </w:r>
          </w:hyperlink>
        </w:p>
        <w:p w14:paraId="30319808" w14:textId="208EB67B" w:rsidR="00151838" w:rsidRDefault="004F1221">
          <w:pPr>
            <w:pStyle w:val="TOC3"/>
            <w:tabs>
              <w:tab w:val="right" w:leader="dot" w:pos="10073"/>
            </w:tabs>
            <w:rPr>
              <w:rFonts w:cstheme="minorBidi"/>
              <w:noProof/>
              <w:sz w:val="22"/>
              <w:szCs w:val="22"/>
            </w:rPr>
          </w:pPr>
          <w:hyperlink w:anchor="_Toc77837905" w:history="1">
            <w:r w:rsidR="00151838" w:rsidRPr="00A3701C">
              <w:rPr>
                <w:rStyle w:val="Hyperlink"/>
                <w:noProof/>
              </w:rPr>
              <w:t xml:space="preserve">22.14. </w:t>
            </w:r>
            <w:r w:rsidR="00151838" w:rsidRPr="00A3701C">
              <w:rPr>
                <w:rStyle w:val="Hyperlink"/>
                <w:rFonts w:cs="Sylfaen"/>
                <w:noProof/>
              </w:rPr>
              <w:t>ՄԻՋՈՒԿԱՅԻՆ ԱՆՎՏԱՆԳՈՒԹՅԱՆ ԿԱՐԳԱՎՈՐՄԱՆ ԿՈՄԻՏԵ</w:t>
            </w:r>
            <w:r w:rsidR="00151838">
              <w:rPr>
                <w:noProof/>
                <w:webHidden/>
              </w:rPr>
              <w:tab/>
            </w:r>
            <w:r w:rsidR="00151838">
              <w:rPr>
                <w:noProof/>
                <w:webHidden/>
              </w:rPr>
              <w:fldChar w:fldCharType="begin"/>
            </w:r>
            <w:r w:rsidR="00151838">
              <w:rPr>
                <w:noProof/>
                <w:webHidden/>
              </w:rPr>
              <w:instrText xml:space="preserve"> PAGEREF _Toc77837905 \h </w:instrText>
            </w:r>
            <w:r w:rsidR="00151838">
              <w:rPr>
                <w:noProof/>
                <w:webHidden/>
              </w:rPr>
            </w:r>
            <w:r w:rsidR="00151838">
              <w:rPr>
                <w:noProof/>
                <w:webHidden/>
              </w:rPr>
              <w:fldChar w:fldCharType="separate"/>
            </w:r>
            <w:r w:rsidR="00151838">
              <w:rPr>
                <w:noProof/>
                <w:webHidden/>
              </w:rPr>
              <w:t>179</w:t>
            </w:r>
            <w:r w:rsidR="00151838">
              <w:rPr>
                <w:noProof/>
                <w:webHidden/>
              </w:rPr>
              <w:fldChar w:fldCharType="end"/>
            </w:r>
          </w:hyperlink>
        </w:p>
        <w:p w14:paraId="79A22BB7" w14:textId="37CC411A" w:rsidR="00151838" w:rsidRDefault="004F1221">
          <w:pPr>
            <w:pStyle w:val="TOC3"/>
            <w:tabs>
              <w:tab w:val="right" w:leader="dot" w:pos="10073"/>
            </w:tabs>
            <w:rPr>
              <w:rFonts w:cstheme="minorBidi"/>
              <w:noProof/>
              <w:sz w:val="22"/>
              <w:szCs w:val="22"/>
            </w:rPr>
          </w:pPr>
          <w:hyperlink w:anchor="_Toc77837906" w:history="1">
            <w:r w:rsidR="00151838" w:rsidRPr="00A3701C">
              <w:rPr>
                <w:rStyle w:val="Hyperlink"/>
                <w:noProof/>
              </w:rPr>
              <w:t xml:space="preserve">22.15. </w:t>
            </w:r>
            <w:r w:rsidR="00151838" w:rsidRPr="00A3701C">
              <w:rPr>
                <w:rStyle w:val="Hyperlink"/>
                <w:rFonts w:cs="Sylfaen"/>
                <w:noProof/>
              </w:rPr>
              <w:t>ՀՀ ՀԱՇՎԵՔՆՆԻՉ ՊԱԼԱՏ</w:t>
            </w:r>
            <w:r w:rsidR="00151838">
              <w:rPr>
                <w:noProof/>
                <w:webHidden/>
              </w:rPr>
              <w:tab/>
            </w:r>
            <w:r w:rsidR="00151838">
              <w:rPr>
                <w:noProof/>
                <w:webHidden/>
              </w:rPr>
              <w:fldChar w:fldCharType="begin"/>
            </w:r>
            <w:r w:rsidR="00151838">
              <w:rPr>
                <w:noProof/>
                <w:webHidden/>
              </w:rPr>
              <w:instrText xml:space="preserve"> PAGEREF _Toc77837906 \h </w:instrText>
            </w:r>
            <w:r w:rsidR="00151838">
              <w:rPr>
                <w:noProof/>
                <w:webHidden/>
              </w:rPr>
            </w:r>
            <w:r w:rsidR="00151838">
              <w:rPr>
                <w:noProof/>
                <w:webHidden/>
              </w:rPr>
              <w:fldChar w:fldCharType="separate"/>
            </w:r>
            <w:r w:rsidR="00151838">
              <w:rPr>
                <w:noProof/>
                <w:webHidden/>
              </w:rPr>
              <w:t>180</w:t>
            </w:r>
            <w:r w:rsidR="00151838">
              <w:rPr>
                <w:noProof/>
                <w:webHidden/>
              </w:rPr>
              <w:fldChar w:fldCharType="end"/>
            </w:r>
          </w:hyperlink>
        </w:p>
        <w:p w14:paraId="5D741040" w14:textId="74E1DC3E" w:rsidR="00151838" w:rsidRDefault="004F1221">
          <w:pPr>
            <w:pStyle w:val="TOC1"/>
            <w:tabs>
              <w:tab w:val="right" w:leader="dot" w:pos="10073"/>
            </w:tabs>
            <w:rPr>
              <w:rFonts w:cstheme="minorBidi"/>
              <w:b w:val="0"/>
              <w:bCs w:val="0"/>
              <w:i w:val="0"/>
              <w:iCs w:val="0"/>
              <w:noProof/>
              <w:sz w:val="22"/>
              <w:szCs w:val="22"/>
            </w:rPr>
          </w:pPr>
          <w:hyperlink w:anchor="_Toc77837907" w:history="1">
            <w:r w:rsidR="00151838" w:rsidRPr="00A3701C">
              <w:rPr>
                <w:rStyle w:val="Hyperlink"/>
                <w:noProof/>
                <w:lang w:val="hy-AM"/>
              </w:rPr>
              <w:t>ՎԵՐԼՈՒԾՈՒԹՅՈՒՆՆԵՐ</w:t>
            </w:r>
            <w:r w:rsidR="00151838">
              <w:rPr>
                <w:noProof/>
                <w:webHidden/>
              </w:rPr>
              <w:tab/>
            </w:r>
            <w:r w:rsidR="00151838">
              <w:rPr>
                <w:noProof/>
                <w:webHidden/>
              </w:rPr>
              <w:fldChar w:fldCharType="begin"/>
            </w:r>
            <w:r w:rsidR="00151838">
              <w:rPr>
                <w:noProof/>
                <w:webHidden/>
              </w:rPr>
              <w:instrText xml:space="preserve"> PAGEREF _Toc77837907 \h </w:instrText>
            </w:r>
            <w:r w:rsidR="00151838">
              <w:rPr>
                <w:noProof/>
                <w:webHidden/>
              </w:rPr>
            </w:r>
            <w:r w:rsidR="00151838">
              <w:rPr>
                <w:noProof/>
                <w:webHidden/>
              </w:rPr>
              <w:fldChar w:fldCharType="separate"/>
            </w:r>
            <w:r w:rsidR="00151838">
              <w:rPr>
                <w:noProof/>
                <w:webHidden/>
              </w:rPr>
              <w:t>182</w:t>
            </w:r>
            <w:r w:rsidR="00151838">
              <w:rPr>
                <w:noProof/>
                <w:webHidden/>
              </w:rPr>
              <w:fldChar w:fldCharType="end"/>
            </w:r>
          </w:hyperlink>
        </w:p>
        <w:p w14:paraId="48A0625B" w14:textId="6FE7C847" w:rsidR="00151838" w:rsidRDefault="004F1221">
          <w:pPr>
            <w:pStyle w:val="TOC3"/>
            <w:tabs>
              <w:tab w:val="right" w:leader="dot" w:pos="10073"/>
            </w:tabs>
            <w:rPr>
              <w:rFonts w:cstheme="minorBidi"/>
              <w:noProof/>
              <w:sz w:val="22"/>
              <w:szCs w:val="22"/>
            </w:rPr>
          </w:pPr>
          <w:hyperlink w:anchor="_Toc77837908" w:history="1">
            <w:r w:rsidR="00151838" w:rsidRPr="00A3701C">
              <w:rPr>
                <w:rStyle w:val="Hyperlink"/>
                <w:rFonts w:eastAsia="Times New Roman" w:cs="Times New Roman"/>
                <w:noProof/>
              </w:rPr>
              <w:t>1. ՀՀ ԿԱՌԱՎԱՐՈՒԹՅԱՆ ՊԱՐՏՔԻ ԿԱՌԱՎԱՐՄԱՆ 2022-2024 ԹՎԱԿԱՆՆԵՐԻ ՌԱԶՄԱՎԱՐԱԿԱՆ ԾՐԱԳԻՐ</w:t>
            </w:r>
            <w:r w:rsidR="00151838">
              <w:rPr>
                <w:noProof/>
                <w:webHidden/>
              </w:rPr>
              <w:tab/>
            </w:r>
            <w:r w:rsidR="00151838">
              <w:rPr>
                <w:noProof/>
                <w:webHidden/>
              </w:rPr>
              <w:fldChar w:fldCharType="begin"/>
            </w:r>
            <w:r w:rsidR="00151838">
              <w:rPr>
                <w:noProof/>
                <w:webHidden/>
              </w:rPr>
              <w:instrText xml:space="preserve"> PAGEREF _Toc77837908 \h </w:instrText>
            </w:r>
            <w:r w:rsidR="00151838">
              <w:rPr>
                <w:noProof/>
                <w:webHidden/>
              </w:rPr>
            </w:r>
            <w:r w:rsidR="00151838">
              <w:rPr>
                <w:noProof/>
                <w:webHidden/>
              </w:rPr>
              <w:fldChar w:fldCharType="separate"/>
            </w:r>
            <w:r w:rsidR="00151838">
              <w:rPr>
                <w:noProof/>
                <w:webHidden/>
              </w:rPr>
              <w:t>184</w:t>
            </w:r>
            <w:r w:rsidR="00151838">
              <w:rPr>
                <w:noProof/>
                <w:webHidden/>
              </w:rPr>
              <w:fldChar w:fldCharType="end"/>
            </w:r>
          </w:hyperlink>
        </w:p>
        <w:p w14:paraId="4BEA279B" w14:textId="5659ED96" w:rsidR="00151838" w:rsidRDefault="004F1221">
          <w:pPr>
            <w:pStyle w:val="TOC3"/>
            <w:tabs>
              <w:tab w:val="right" w:leader="dot" w:pos="10073"/>
            </w:tabs>
            <w:rPr>
              <w:rFonts w:cstheme="minorBidi"/>
              <w:noProof/>
              <w:sz w:val="22"/>
              <w:szCs w:val="22"/>
            </w:rPr>
          </w:pPr>
          <w:hyperlink w:anchor="_Toc77837909" w:history="1">
            <w:r w:rsidR="00151838" w:rsidRPr="00A3701C">
              <w:rPr>
                <w:rStyle w:val="Hyperlink"/>
                <w:rFonts w:eastAsia="Times New Roman" w:cs="Times New Roman"/>
                <w:noProof/>
              </w:rPr>
              <w:t>2. ԱՅԼ ԿԱՌՈՒՅՑՆԵՐԻ ԿՈՂՄԻՑ ՀՀ ՏՆՏԵՍԱԿԱՆ ԱՃԻ ԿԱՆԽԱՏԵՍՈՒՄՆԵՐԻ ՀԵՏ ՀԱՄԵՄԱՏԱԿԱՆ</w:t>
            </w:r>
            <w:r w:rsidR="00151838">
              <w:rPr>
                <w:noProof/>
                <w:webHidden/>
              </w:rPr>
              <w:tab/>
            </w:r>
            <w:r w:rsidR="00151838">
              <w:rPr>
                <w:noProof/>
                <w:webHidden/>
              </w:rPr>
              <w:fldChar w:fldCharType="begin"/>
            </w:r>
            <w:r w:rsidR="00151838">
              <w:rPr>
                <w:noProof/>
                <w:webHidden/>
              </w:rPr>
              <w:instrText xml:space="preserve"> PAGEREF _Toc77837909 \h </w:instrText>
            </w:r>
            <w:r w:rsidR="00151838">
              <w:rPr>
                <w:noProof/>
                <w:webHidden/>
              </w:rPr>
            </w:r>
            <w:r w:rsidR="00151838">
              <w:rPr>
                <w:noProof/>
                <w:webHidden/>
              </w:rPr>
              <w:fldChar w:fldCharType="separate"/>
            </w:r>
            <w:r w:rsidR="00151838">
              <w:rPr>
                <w:noProof/>
                <w:webHidden/>
              </w:rPr>
              <w:t>224</w:t>
            </w:r>
            <w:r w:rsidR="00151838">
              <w:rPr>
                <w:noProof/>
                <w:webHidden/>
              </w:rPr>
              <w:fldChar w:fldCharType="end"/>
            </w:r>
          </w:hyperlink>
        </w:p>
        <w:p w14:paraId="70FE4A62" w14:textId="30B5E0C2" w:rsidR="00151838" w:rsidRDefault="004F1221">
          <w:pPr>
            <w:pStyle w:val="TOC3"/>
            <w:tabs>
              <w:tab w:val="right" w:leader="dot" w:pos="10073"/>
            </w:tabs>
            <w:rPr>
              <w:rFonts w:cstheme="minorBidi"/>
              <w:noProof/>
              <w:sz w:val="22"/>
              <w:szCs w:val="22"/>
            </w:rPr>
          </w:pPr>
          <w:hyperlink w:anchor="_Toc77837910" w:history="1">
            <w:r w:rsidR="00151838" w:rsidRPr="00A3701C">
              <w:rPr>
                <w:rStyle w:val="Hyperlink"/>
                <w:rFonts w:eastAsia="Times New Roman" w:cs="Times New Roman"/>
                <w:noProof/>
              </w:rPr>
              <w:t>3. ՊԵՏԱԿԱՆ ԲՅՈՒՋԵԻ ՎՐԱ ՄԱԿՐՈՏՆՏԵՍԱԿԱՆ ԿԱՆԽԱՏԵՍՎԱԾ ՑՈՒՑԱՆԻՇՆԵՐԻՑ ՇԵՂՄԱՆ ՌԻՍԿԵՐԻ ԱԶԴԵՑՈՒԹՅԱՆ ՔԱՆԱԿԱԿԱՆ ԳՆԱՀԱՏՈՒՄ</w:t>
            </w:r>
            <w:r w:rsidR="00151838">
              <w:rPr>
                <w:noProof/>
                <w:webHidden/>
              </w:rPr>
              <w:tab/>
            </w:r>
            <w:r w:rsidR="00151838">
              <w:rPr>
                <w:noProof/>
                <w:webHidden/>
              </w:rPr>
              <w:fldChar w:fldCharType="begin"/>
            </w:r>
            <w:r w:rsidR="00151838">
              <w:rPr>
                <w:noProof/>
                <w:webHidden/>
              </w:rPr>
              <w:instrText xml:space="preserve"> PAGEREF _Toc77837910 \h </w:instrText>
            </w:r>
            <w:r w:rsidR="00151838">
              <w:rPr>
                <w:noProof/>
                <w:webHidden/>
              </w:rPr>
            </w:r>
            <w:r w:rsidR="00151838">
              <w:rPr>
                <w:noProof/>
                <w:webHidden/>
              </w:rPr>
              <w:fldChar w:fldCharType="separate"/>
            </w:r>
            <w:r w:rsidR="00151838">
              <w:rPr>
                <w:noProof/>
                <w:webHidden/>
              </w:rPr>
              <w:t>225</w:t>
            </w:r>
            <w:r w:rsidR="00151838">
              <w:rPr>
                <w:noProof/>
                <w:webHidden/>
              </w:rPr>
              <w:fldChar w:fldCharType="end"/>
            </w:r>
          </w:hyperlink>
        </w:p>
        <w:p w14:paraId="66789313" w14:textId="1266C12D" w:rsidR="00151838" w:rsidRDefault="004F1221">
          <w:pPr>
            <w:pStyle w:val="TOC3"/>
            <w:tabs>
              <w:tab w:val="right" w:leader="dot" w:pos="10073"/>
            </w:tabs>
            <w:rPr>
              <w:rFonts w:cstheme="minorBidi"/>
              <w:noProof/>
              <w:sz w:val="22"/>
              <w:szCs w:val="22"/>
            </w:rPr>
          </w:pPr>
          <w:hyperlink w:anchor="_Toc77837911" w:history="1">
            <w:r w:rsidR="00151838" w:rsidRPr="00A3701C">
              <w:rPr>
                <w:rStyle w:val="Hyperlink"/>
                <w:rFonts w:eastAsia="Times New Roman" w:cs="Times New Roman"/>
                <w:noProof/>
              </w:rPr>
              <w:t>4. ՀՀ ԿԱՌԱՎԱՐՈՒԹՅԱՆ ՊԱՐՏՔԻ ԿԱՅՈՒՆՈՒԹՅԱՆ ՎԵՐԼՈՒԾՈՒԹՅՈՒՆԸ</w:t>
            </w:r>
            <w:r w:rsidR="00151838">
              <w:rPr>
                <w:noProof/>
                <w:webHidden/>
              </w:rPr>
              <w:tab/>
            </w:r>
            <w:r w:rsidR="00151838">
              <w:rPr>
                <w:noProof/>
                <w:webHidden/>
              </w:rPr>
              <w:fldChar w:fldCharType="begin"/>
            </w:r>
            <w:r w:rsidR="00151838">
              <w:rPr>
                <w:noProof/>
                <w:webHidden/>
              </w:rPr>
              <w:instrText xml:space="preserve"> PAGEREF _Toc77837911 \h </w:instrText>
            </w:r>
            <w:r w:rsidR="00151838">
              <w:rPr>
                <w:noProof/>
                <w:webHidden/>
              </w:rPr>
            </w:r>
            <w:r w:rsidR="00151838">
              <w:rPr>
                <w:noProof/>
                <w:webHidden/>
              </w:rPr>
              <w:fldChar w:fldCharType="separate"/>
            </w:r>
            <w:r w:rsidR="00151838">
              <w:rPr>
                <w:noProof/>
                <w:webHidden/>
              </w:rPr>
              <w:t>233</w:t>
            </w:r>
            <w:r w:rsidR="00151838">
              <w:rPr>
                <w:noProof/>
                <w:webHidden/>
              </w:rPr>
              <w:fldChar w:fldCharType="end"/>
            </w:r>
          </w:hyperlink>
        </w:p>
        <w:p w14:paraId="3AAF3B4F" w14:textId="0107C5D0" w:rsidR="00151838" w:rsidRDefault="004F1221">
          <w:pPr>
            <w:pStyle w:val="TOC3"/>
            <w:tabs>
              <w:tab w:val="right" w:leader="dot" w:pos="10073"/>
            </w:tabs>
            <w:rPr>
              <w:rFonts w:cstheme="minorBidi"/>
              <w:noProof/>
              <w:sz w:val="22"/>
              <w:szCs w:val="22"/>
            </w:rPr>
          </w:pPr>
          <w:hyperlink w:anchor="_Toc77837912" w:history="1">
            <w:r w:rsidR="00151838" w:rsidRPr="00A3701C">
              <w:rPr>
                <w:rStyle w:val="Hyperlink"/>
                <w:rFonts w:eastAsia="Times New Roman" w:cs="Times New Roman"/>
                <w:noProof/>
              </w:rPr>
              <w:t>5. ԵՆԹԱԿԱՌՈՒՑՎԱԾՔԱՅԻՆ ԵՎ</w:t>
            </w:r>
            <w:r w:rsidR="00151838" w:rsidRPr="00A3701C">
              <w:rPr>
                <w:rStyle w:val="Hyperlink"/>
                <w:rFonts w:eastAsia="Times New Roman" w:cs="Times New Roman"/>
                <w:noProof/>
                <w:lang w:val="it-IT"/>
              </w:rPr>
              <w:t xml:space="preserve"> </w:t>
            </w:r>
            <w:r w:rsidR="00151838" w:rsidRPr="00A3701C">
              <w:rPr>
                <w:rStyle w:val="Hyperlink"/>
                <w:rFonts w:eastAsia="Times New Roman" w:cs="Times New Roman"/>
                <w:noProof/>
              </w:rPr>
              <w:t>ԱՅԼ</w:t>
            </w:r>
            <w:r w:rsidR="00151838" w:rsidRPr="00A3701C">
              <w:rPr>
                <w:rStyle w:val="Hyperlink"/>
                <w:rFonts w:eastAsia="Times New Roman" w:cs="Times New Roman"/>
                <w:noProof/>
                <w:lang w:val="it-IT"/>
              </w:rPr>
              <w:t xml:space="preserve"> </w:t>
            </w:r>
            <w:r w:rsidR="00151838" w:rsidRPr="00A3701C">
              <w:rPr>
                <w:rStyle w:val="Hyperlink"/>
                <w:rFonts w:eastAsia="Times New Roman" w:cs="Times New Roman"/>
                <w:noProof/>
              </w:rPr>
              <w:t>ՈԼՈՐՏՆԵՐՈՒՄ ՀԱՐԿԱԲՅՈՒՋԵՏԱՅԻՆ ՌԻՍԿԵՐԻ ԳՆԱՀԱՏԱԿԱՆԸ</w:t>
            </w:r>
            <w:r w:rsidR="00151838">
              <w:rPr>
                <w:noProof/>
                <w:webHidden/>
              </w:rPr>
              <w:tab/>
            </w:r>
            <w:r w:rsidR="00151838">
              <w:rPr>
                <w:noProof/>
                <w:webHidden/>
              </w:rPr>
              <w:fldChar w:fldCharType="begin"/>
            </w:r>
            <w:r w:rsidR="00151838">
              <w:rPr>
                <w:noProof/>
                <w:webHidden/>
              </w:rPr>
              <w:instrText xml:space="preserve"> PAGEREF _Toc77837912 \h </w:instrText>
            </w:r>
            <w:r w:rsidR="00151838">
              <w:rPr>
                <w:noProof/>
                <w:webHidden/>
              </w:rPr>
            </w:r>
            <w:r w:rsidR="00151838">
              <w:rPr>
                <w:noProof/>
                <w:webHidden/>
              </w:rPr>
              <w:fldChar w:fldCharType="separate"/>
            </w:r>
            <w:r w:rsidR="00151838">
              <w:rPr>
                <w:noProof/>
                <w:webHidden/>
              </w:rPr>
              <w:t>237</w:t>
            </w:r>
            <w:r w:rsidR="00151838">
              <w:rPr>
                <w:noProof/>
                <w:webHidden/>
              </w:rPr>
              <w:fldChar w:fldCharType="end"/>
            </w:r>
          </w:hyperlink>
        </w:p>
        <w:p w14:paraId="6F8325C1" w14:textId="4AA3FA46" w:rsidR="00151838" w:rsidRDefault="004F1221">
          <w:pPr>
            <w:pStyle w:val="TOC1"/>
            <w:tabs>
              <w:tab w:val="right" w:leader="dot" w:pos="10073"/>
            </w:tabs>
            <w:rPr>
              <w:rFonts w:cstheme="minorBidi"/>
              <w:b w:val="0"/>
              <w:bCs w:val="0"/>
              <w:i w:val="0"/>
              <w:iCs w:val="0"/>
              <w:noProof/>
              <w:sz w:val="22"/>
              <w:szCs w:val="22"/>
            </w:rPr>
          </w:pPr>
          <w:hyperlink w:anchor="_Toc77837913" w:history="1">
            <w:r w:rsidR="00151838" w:rsidRPr="00A3701C">
              <w:rPr>
                <w:rStyle w:val="Hyperlink"/>
                <w:noProof/>
                <w:lang w:val="hy-AM"/>
              </w:rPr>
              <w:t>ՀԱՎԵԼՎԱԾՆԵՐ</w:t>
            </w:r>
            <w:r w:rsidR="00151838">
              <w:rPr>
                <w:noProof/>
                <w:webHidden/>
              </w:rPr>
              <w:tab/>
            </w:r>
            <w:r w:rsidR="00151838">
              <w:rPr>
                <w:noProof/>
                <w:webHidden/>
              </w:rPr>
              <w:fldChar w:fldCharType="begin"/>
            </w:r>
            <w:r w:rsidR="00151838">
              <w:rPr>
                <w:noProof/>
                <w:webHidden/>
              </w:rPr>
              <w:instrText xml:space="preserve"> PAGEREF _Toc77837913 \h </w:instrText>
            </w:r>
            <w:r w:rsidR="00151838">
              <w:rPr>
                <w:noProof/>
                <w:webHidden/>
              </w:rPr>
            </w:r>
            <w:r w:rsidR="00151838">
              <w:rPr>
                <w:noProof/>
                <w:webHidden/>
              </w:rPr>
              <w:fldChar w:fldCharType="separate"/>
            </w:r>
            <w:r w:rsidR="00151838">
              <w:rPr>
                <w:noProof/>
                <w:webHidden/>
              </w:rPr>
              <w:t>260</w:t>
            </w:r>
            <w:r w:rsidR="00151838">
              <w:rPr>
                <w:noProof/>
                <w:webHidden/>
              </w:rPr>
              <w:fldChar w:fldCharType="end"/>
            </w:r>
          </w:hyperlink>
        </w:p>
        <w:p w14:paraId="54D678D5" w14:textId="50C0D3F3" w:rsidR="00DA0E15" w:rsidRDefault="0045493E">
          <w:r w:rsidRPr="00945A5A">
            <w:rPr>
              <w:b/>
              <w:bCs/>
              <w:color w:val="000000" w:themeColor="text1"/>
            </w:rPr>
            <w:fldChar w:fldCharType="end"/>
          </w:r>
        </w:p>
      </w:sdtContent>
    </w:sdt>
    <w:p w14:paraId="42E66336" w14:textId="77777777" w:rsidR="00BF45C7" w:rsidRDefault="00BF45C7">
      <w:pPr>
        <w:pStyle w:val="Heading1"/>
        <w:rPr>
          <w:sz w:val="24"/>
          <w:lang w:val="hy-AM"/>
        </w:rPr>
      </w:pPr>
      <w:bookmarkStart w:id="5" w:name="_Toc13837261"/>
      <w:bookmarkStart w:id="6" w:name="_Toc45838510"/>
    </w:p>
    <w:p w14:paraId="1B78F4AC" w14:textId="77777777" w:rsidR="00BF45C7" w:rsidRDefault="00BF45C7">
      <w:pPr>
        <w:pStyle w:val="Heading1"/>
        <w:rPr>
          <w:sz w:val="24"/>
          <w:lang w:val="hy-AM"/>
        </w:rPr>
      </w:pPr>
    </w:p>
    <w:p w14:paraId="0A4F2D19" w14:textId="77777777" w:rsidR="00BF45C7" w:rsidRDefault="00BF45C7">
      <w:pPr>
        <w:pStyle w:val="Heading1"/>
        <w:rPr>
          <w:sz w:val="24"/>
          <w:lang w:val="hy-AM"/>
        </w:rPr>
      </w:pPr>
    </w:p>
    <w:p w14:paraId="1A81DDEB" w14:textId="77777777" w:rsidR="00BF45C7" w:rsidRDefault="00BF45C7">
      <w:pPr>
        <w:pStyle w:val="Heading1"/>
        <w:rPr>
          <w:sz w:val="24"/>
          <w:lang w:val="hy-AM"/>
        </w:rPr>
      </w:pPr>
    </w:p>
    <w:p w14:paraId="032B3EF1" w14:textId="77777777" w:rsidR="00BF45C7" w:rsidRDefault="00BF45C7">
      <w:pPr>
        <w:pStyle w:val="Heading1"/>
        <w:rPr>
          <w:sz w:val="24"/>
          <w:lang w:val="hy-AM"/>
        </w:rPr>
      </w:pPr>
    </w:p>
    <w:p w14:paraId="2D1A4A5D" w14:textId="77777777" w:rsidR="00CB1FE5" w:rsidRDefault="00CB1FE5" w:rsidP="00CB1FE5">
      <w:pPr>
        <w:rPr>
          <w:lang w:val="hy-AM"/>
        </w:rPr>
      </w:pPr>
    </w:p>
    <w:p w14:paraId="64A3AF12" w14:textId="77777777" w:rsidR="00CB1FE5" w:rsidRDefault="00CB1FE5" w:rsidP="00CB1FE5">
      <w:pPr>
        <w:rPr>
          <w:lang w:val="hy-AM"/>
        </w:rPr>
      </w:pPr>
    </w:p>
    <w:p w14:paraId="76803BD9" w14:textId="77777777" w:rsidR="00CB1FE5" w:rsidRDefault="00CB1FE5" w:rsidP="00CB1FE5">
      <w:pPr>
        <w:rPr>
          <w:lang w:val="hy-AM"/>
        </w:rPr>
      </w:pPr>
    </w:p>
    <w:p w14:paraId="3084ECC4" w14:textId="77777777" w:rsidR="00CB1FE5" w:rsidRDefault="00CB1FE5" w:rsidP="00CB1FE5">
      <w:pPr>
        <w:rPr>
          <w:lang w:val="hy-AM"/>
        </w:rPr>
      </w:pPr>
    </w:p>
    <w:p w14:paraId="767BFBA2" w14:textId="77777777" w:rsidR="00566B64" w:rsidRDefault="00566B64" w:rsidP="00CB1FE5">
      <w:pPr>
        <w:rPr>
          <w:lang w:val="hy-AM"/>
        </w:rPr>
      </w:pPr>
    </w:p>
    <w:p w14:paraId="0D716D4A" w14:textId="77777777" w:rsidR="00CB1FE5" w:rsidRDefault="00CB1FE5" w:rsidP="00CB1FE5">
      <w:pPr>
        <w:rPr>
          <w:lang w:val="hy-AM"/>
        </w:rPr>
      </w:pPr>
    </w:p>
    <w:p w14:paraId="537A780A" w14:textId="77777777" w:rsidR="00CB1FE5" w:rsidRDefault="00CB1FE5" w:rsidP="00CB1FE5">
      <w:pPr>
        <w:rPr>
          <w:lang w:val="hy-AM"/>
        </w:rPr>
      </w:pPr>
    </w:p>
    <w:p w14:paraId="1C5BEE67" w14:textId="77777777" w:rsidR="00CB1FE5" w:rsidRPr="00CB1FE5" w:rsidRDefault="00CB1FE5" w:rsidP="00CB1FE5">
      <w:pPr>
        <w:rPr>
          <w:lang w:val="hy-AM"/>
        </w:rPr>
      </w:pPr>
    </w:p>
    <w:p w14:paraId="0DD5A5EF" w14:textId="77777777" w:rsidR="00BF45C7" w:rsidRDefault="00BF45C7">
      <w:pPr>
        <w:pStyle w:val="Heading1"/>
        <w:rPr>
          <w:sz w:val="24"/>
          <w:lang w:val="hy-AM"/>
        </w:rPr>
      </w:pPr>
    </w:p>
    <w:p w14:paraId="584B845C" w14:textId="77777777" w:rsidR="00CA632E" w:rsidRPr="00CA632E" w:rsidRDefault="00CA632E" w:rsidP="00CA632E">
      <w:pPr>
        <w:rPr>
          <w:lang w:val="es-ES"/>
        </w:rPr>
        <w:sectPr w:rsidR="00CA632E" w:rsidRPr="00CA632E" w:rsidSect="002A04BF">
          <w:headerReference w:type="even" r:id="rId9"/>
          <w:headerReference w:type="default" r:id="rId10"/>
          <w:footerReference w:type="even" r:id="rId11"/>
          <w:footerReference w:type="default" r:id="rId12"/>
          <w:headerReference w:type="first" r:id="rId13"/>
          <w:footerReference w:type="first" r:id="rId14"/>
          <w:type w:val="continuous"/>
          <w:pgSz w:w="11907" w:h="16840" w:code="9"/>
          <w:pgMar w:top="1140" w:right="747" w:bottom="1140" w:left="1077" w:header="561" w:footer="130" w:gutter="0"/>
          <w:cols w:space="720"/>
          <w:vAlign w:val="center"/>
          <w:titlePg/>
          <w:docGrid w:linePitch="360"/>
        </w:sectPr>
      </w:pPr>
      <w:bookmarkStart w:id="7" w:name="_Toc45797377"/>
      <w:bookmarkStart w:id="8" w:name="_Toc45797964"/>
      <w:bookmarkStart w:id="9" w:name="_Toc45798033"/>
      <w:bookmarkStart w:id="10" w:name="_Toc45798103"/>
      <w:bookmarkStart w:id="11" w:name="_Toc45889209"/>
      <w:bookmarkStart w:id="12" w:name="_Toc45889844"/>
      <w:bookmarkStart w:id="13" w:name="_Toc45889924"/>
      <w:bookmarkStart w:id="14" w:name="_Toc45890044"/>
      <w:bookmarkStart w:id="15" w:name="_Toc45890143"/>
      <w:bookmarkStart w:id="16" w:name="_Toc45890244"/>
      <w:bookmarkStart w:id="17" w:name="_Toc45890320"/>
      <w:bookmarkStart w:id="18" w:name="_Toc45890397"/>
      <w:bookmarkStart w:id="19" w:name="_Toc45890474"/>
      <w:bookmarkStart w:id="20" w:name="_Toc45890940"/>
      <w:bookmarkStart w:id="21" w:name="_Toc45891015"/>
      <w:bookmarkStart w:id="22" w:name="_Toc45891370"/>
      <w:bookmarkStart w:id="23" w:name="_Toc45891691"/>
      <w:bookmarkStart w:id="24" w:name="_Toc45891878"/>
      <w:bookmarkStart w:id="25" w:name="_Toc45892166"/>
      <w:bookmarkStart w:id="26" w:name="_Toc45892252"/>
      <w:bookmarkStart w:id="27" w:name="_Toc45892418"/>
      <w:bookmarkStart w:id="28" w:name="_Toc45893641"/>
      <w:bookmarkStart w:id="29" w:name="_Toc45893962"/>
      <w:bookmarkStart w:id="30" w:name="_Toc45894398"/>
      <w:bookmarkStart w:id="31" w:name="_Toc45894519"/>
      <w:bookmarkStart w:id="32" w:name="_Toc45894909"/>
      <w:bookmarkStart w:id="33" w:name="_Toc45797382"/>
      <w:bookmarkStart w:id="34" w:name="_Toc45797969"/>
      <w:bookmarkStart w:id="35" w:name="_Toc45798038"/>
      <w:bookmarkStart w:id="36" w:name="_Toc45798108"/>
      <w:bookmarkStart w:id="37" w:name="_Toc45889214"/>
      <w:bookmarkStart w:id="38" w:name="_Toc45889849"/>
      <w:bookmarkStart w:id="39" w:name="_Toc45889929"/>
      <w:bookmarkStart w:id="40" w:name="_Toc45890049"/>
      <w:bookmarkStart w:id="41" w:name="_Toc45890148"/>
      <w:bookmarkStart w:id="42" w:name="_Toc45890249"/>
      <w:bookmarkStart w:id="43" w:name="_Toc45890325"/>
      <w:bookmarkStart w:id="44" w:name="_Toc45890402"/>
      <w:bookmarkStart w:id="45" w:name="_Toc45890479"/>
      <w:bookmarkStart w:id="46" w:name="_Toc45890945"/>
      <w:bookmarkStart w:id="47" w:name="_Toc45891020"/>
      <w:bookmarkStart w:id="48" w:name="_Toc45891375"/>
      <w:bookmarkStart w:id="49" w:name="_Toc45891696"/>
      <w:bookmarkStart w:id="50" w:name="_Toc45891883"/>
      <w:bookmarkStart w:id="51" w:name="_Toc45892171"/>
      <w:bookmarkStart w:id="52" w:name="_Toc45892257"/>
      <w:bookmarkStart w:id="53" w:name="_Toc45892423"/>
      <w:bookmarkStart w:id="54" w:name="_Toc45893646"/>
      <w:bookmarkStart w:id="55" w:name="_Toc45893967"/>
      <w:bookmarkStart w:id="56" w:name="_Toc45894403"/>
      <w:bookmarkStart w:id="57" w:name="_Toc45894524"/>
      <w:bookmarkStart w:id="58" w:name="_Toc45894914"/>
      <w:bookmarkStart w:id="59" w:name="_Toc45797383"/>
      <w:bookmarkStart w:id="60" w:name="_Toc45797970"/>
      <w:bookmarkStart w:id="61" w:name="_Toc45798039"/>
      <w:bookmarkStart w:id="62" w:name="_Toc45798109"/>
      <w:bookmarkStart w:id="63" w:name="_Toc45889215"/>
      <w:bookmarkStart w:id="64" w:name="_Toc45889850"/>
      <w:bookmarkStart w:id="65" w:name="_Toc45889930"/>
      <w:bookmarkStart w:id="66" w:name="_Toc45890050"/>
      <w:bookmarkStart w:id="67" w:name="_Toc45890149"/>
      <w:bookmarkStart w:id="68" w:name="_Toc45890250"/>
      <w:bookmarkStart w:id="69" w:name="_Toc45890326"/>
      <w:bookmarkStart w:id="70" w:name="_Toc45890403"/>
      <w:bookmarkStart w:id="71" w:name="_Toc45890480"/>
      <w:bookmarkStart w:id="72" w:name="_Toc45890946"/>
      <w:bookmarkStart w:id="73" w:name="_Toc45891021"/>
      <w:bookmarkStart w:id="74" w:name="_Toc45891376"/>
      <w:bookmarkStart w:id="75" w:name="_Toc45891697"/>
      <w:bookmarkStart w:id="76" w:name="_Toc45891884"/>
      <w:bookmarkStart w:id="77" w:name="_Toc45892172"/>
      <w:bookmarkStart w:id="78" w:name="_Toc45892258"/>
      <w:bookmarkStart w:id="79" w:name="_Toc45892424"/>
      <w:bookmarkStart w:id="80" w:name="_Toc45893647"/>
      <w:bookmarkStart w:id="81" w:name="_Toc45893968"/>
      <w:bookmarkStart w:id="82" w:name="_Toc45894404"/>
      <w:bookmarkStart w:id="83" w:name="_Toc45894525"/>
      <w:bookmarkStart w:id="84" w:name="_Toc45894915"/>
      <w:bookmarkStart w:id="85" w:name="_Toc45797384"/>
      <w:bookmarkStart w:id="86" w:name="_Toc45797971"/>
      <w:bookmarkStart w:id="87" w:name="_Toc45798040"/>
      <w:bookmarkStart w:id="88" w:name="_Toc45798110"/>
      <w:bookmarkStart w:id="89" w:name="_Toc45889216"/>
      <w:bookmarkStart w:id="90" w:name="_Toc45889851"/>
      <w:bookmarkStart w:id="91" w:name="_Toc45889931"/>
      <w:bookmarkStart w:id="92" w:name="_Toc45890051"/>
      <w:bookmarkStart w:id="93" w:name="_Toc45890150"/>
      <w:bookmarkStart w:id="94" w:name="_Toc45890251"/>
      <w:bookmarkStart w:id="95" w:name="_Toc45890327"/>
      <w:bookmarkStart w:id="96" w:name="_Toc45890404"/>
      <w:bookmarkStart w:id="97" w:name="_Toc45890481"/>
      <w:bookmarkStart w:id="98" w:name="_Toc45890947"/>
      <w:bookmarkStart w:id="99" w:name="_Toc45891022"/>
      <w:bookmarkStart w:id="100" w:name="_Toc45891377"/>
      <w:bookmarkStart w:id="101" w:name="_Toc45891698"/>
      <w:bookmarkStart w:id="102" w:name="_Toc45891885"/>
      <w:bookmarkStart w:id="103" w:name="_Toc45892173"/>
      <w:bookmarkStart w:id="104" w:name="_Toc45892259"/>
      <w:bookmarkStart w:id="105" w:name="_Toc45892425"/>
      <w:bookmarkStart w:id="106" w:name="_Toc45893648"/>
      <w:bookmarkStart w:id="107" w:name="_Toc45893969"/>
      <w:bookmarkStart w:id="108" w:name="_Toc45894405"/>
      <w:bookmarkStart w:id="109" w:name="_Toc45894526"/>
      <w:bookmarkStart w:id="110" w:name="_Toc45894916"/>
      <w:bookmarkStart w:id="111" w:name="_Toc13837263"/>
      <w:bookmarkStart w:id="112" w:name="_Toc519513609"/>
      <w:bookmarkStart w:id="113" w:name="_Toc296702343"/>
      <w:bookmarkStart w:id="114" w:name="_Toc265687174"/>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6421A2A6" w14:textId="77777777" w:rsidR="008A4F28" w:rsidRDefault="008A4F28" w:rsidP="008A4F28">
      <w:pPr>
        <w:pStyle w:val="Heading1"/>
        <w:rPr>
          <w:sz w:val="24"/>
          <w:lang w:val="hy-AM"/>
        </w:rPr>
      </w:pPr>
      <w:bookmarkStart w:id="115" w:name="_Toc77837840"/>
      <w:bookmarkStart w:id="116" w:name="_Toc45838512"/>
      <w:bookmarkStart w:id="117" w:name="_Toc46154342"/>
      <w:bookmarkStart w:id="118" w:name="_Toc45269226"/>
      <w:bookmarkEnd w:id="111"/>
      <w:bookmarkEnd w:id="112"/>
      <w:bookmarkEnd w:id="113"/>
      <w:bookmarkEnd w:id="114"/>
      <w:r>
        <w:rPr>
          <w:sz w:val="24"/>
          <w:lang w:val="hy-AM"/>
        </w:rPr>
        <w:lastRenderedPageBreak/>
        <w:t>ՆԵՐԱԾՈՒԹՅՈՒՆ</w:t>
      </w:r>
      <w:bookmarkEnd w:id="115"/>
    </w:p>
    <w:p w14:paraId="4A0E0226" w14:textId="77777777" w:rsidR="007D2D1C" w:rsidRDefault="007D2D1C" w:rsidP="007D2D1C">
      <w:pPr>
        <w:spacing w:line="276" w:lineRule="auto"/>
        <w:rPr>
          <w:lang w:val="hy-AM"/>
        </w:rPr>
      </w:pPr>
      <w:r w:rsidRPr="007D2D1C">
        <w:rPr>
          <w:lang w:val="hy-AM"/>
        </w:rPr>
        <w:t>ՀՀ 2022 թվականի բյուջետային գործընթացը մեկնարկել է տարեսկզբին։ Գործող օրենսդրությամբ բյուջետային գործընթացը բավականաչափ կանոնակարգված է թե՜ բովանդակության և թե՜ ժամկետների առումով։ Եվ ըստ այդմ՝ 2022 թվականի բյուջետային գործընթացի շրջանակում նախատեսված է 2022-2024 թվականների միջնաժամկետ ծախսային ծրագրի (այսուհետև՝ ՄԺԾԾ) հաստատումը, որը ներառում է նաև 2022 թվականի պետական բյուջեի նախագծի նախնական տարբերակը։</w:t>
      </w:r>
    </w:p>
    <w:p w14:paraId="125DF94F" w14:textId="77777777" w:rsidR="007D2D1C" w:rsidRDefault="007D2D1C" w:rsidP="007D2D1C">
      <w:pPr>
        <w:spacing w:line="276" w:lineRule="auto"/>
        <w:rPr>
          <w:lang w:val="hy-AM"/>
        </w:rPr>
      </w:pPr>
      <w:r w:rsidRPr="007D2D1C">
        <w:rPr>
          <w:lang w:val="hy-AM"/>
        </w:rPr>
        <w:t xml:space="preserve">ՄԺԾԾ-ը եռամյա ժամանակահատվածի համար բացահայտում է կառավարության տնտեսական, հարկաբյուջետային, պարտքային և ոլորտային քաղաքականությունների հիմնական ուղղությունները, դրանց շրջանակում իրականացման ենթակա միջոցառումները՝ արտացոլելով վարվող պետական քաղաքականությունները։ Վերջիններս ձևավորվում են հանրային պահանջով և կոչված են զարգացնելու երկրի հանրային կյանքը։ Այդ առումով, անառարկելի է, որ պետական քաղաքականությունների հաջողությունը էականորեն կախված է դրանց իրականացմանը հանրության և բոլոր շահագրգիռ տնտեսական միավորների ներգրավվածության ու համագործակցության աստիճանից։ Իսկ հանրության լայն շերտերի մասնակցությունը նախ, ԱԺ ընտրությունների ժամանակ իրենց քվեով քաղաքական իշխանության ձևավորման մանդատի տրամադրումն է և երկրորդ, ընտրությունների արդյունքում ձևավորված կառավարության ծրագրին որպես սեփականի վերաբերվելը։ Եվ այսպիսի արդյունքի հասնելու համար անհրաժեշտ է, որպեսզի պետության (կառավարության) վարքագիծը լինի թափանցիկ և կանխատեսելի, որի ապահովմանն ուղղված միջոցառումներից է ՄԺԾԾ-ի հաստատումը և հանրայնացումը։ </w:t>
      </w:r>
    </w:p>
    <w:p w14:paraId="2D1FABB4" w14:textId="77777777" w:rsidR="007D2D1C" w:rsidRDefault="007D2D1C" w:rsidP="007D2D1C">
      <w:pPr>
        <w:spacing w:line="276" w:lineRule="auto"/>
        <w:rPr>
          <w:lang w:val="hy-AM"/>
        </w:rPr>
      </w:pPr>
      <w:r w:rsidRPr="007D2D1C">
        <w:rPr>
          <w:lang w:val="hy-AM"/>
        </w:rPr>
        <w:t xml:space="preserve">ՀՀ ներկա իրողությունն այն է, որ վերջերս տեղի է ունեցել հանրային կյանքի տեսակետից ամենանշանակալի իրադարձությունը՝ ՀՀ Ազգային Ժողովի արտահերթ ընտրությունները։ Ընտրությունների արդյունքներով՝ իշխանություն ձևավորելու և ներկայացված նախընտրական ծրագիրն իրագործելու մանդատ է ստացել Քաղաքացիական պայմանագիր կուսակցությունը։ Կուսակցության նախընտրական ծրագրում նախանշված են առաջիկա հնգամյա ժամանակահատվածի համար թիրախային ուղենիշերը, որոնց հասնելուն է միտված լինելու առաջիկայում ձևավորվելիք կառավարության ծրագիրը։ Գործող կարգավորումների համաձայն նորընտիր ԱԺ կձևավորի նոր կառավարություն և կհաստատի ՔՊ կուսակցության նախընտրական ծրագրի վրա խարսխված կառավարության ծրագիրը։ </w:t>
      </w:r>
    </w:p>
    <w:p w14:paraId="4F5380A3" w14:textId="77777777" w:rsidR="007D2D1C" w:rsidRDefault="007D2D1C" w:rsidP="007D2D1C">
      <w:pPr>
        <w:spacing w:line="276" w:lineRule="auto"/>
        <w:rPr>
          <w:lang w:val="hy-AM"/>
        </w:rPr>
      </w:pPr>
      <w:r w:rsidRPr="007D2D1C">
        <w:rPr>
          <w:lang w:val="hy-AM"/>
        </w:rPr>
        <w:t xml:space="preserve">Հաշվի առնելով վերոնշյալը, ինչպես նաև այն, որ ՀՀ ժողովրդի հավանությանն արժանացած նախընտրական քաղաքական ծրագրի իրագործման ելակետը ՀՀ ներկա իրավիճակն է, ՄԺԾԾ նախագծվել և հաստատվել է գործող կառավարության ծրագրի հիման վրա։ Այսպիսի մոտեցումը հիմնավորվում է ինչպես իրավական տեսակետից, քանի որ դեռևս առկա չէ նոր կառավարության հաստատված ծրագիր, այնպես էլ՝ բովանդակային տեսակետից, քանի որ նոր կառավարության ծրագրի առկայությունը ձևական պայման չէ, այլ ճիշտ հակառակը՝ այն պետք է ամբողջությամբ համահունչ լինի քաղաքական մեծամասնության հանձնառություններին։ Իսկ ինչ վերաբերում է քաղաքականությունների բյուջետավորմանը, ապա մեր երկրում գործող բյուջետային գործընթացը սահմանող կարգավորումները բավարար ճկուն են և որևէ պահի, ըստ անհրաժեշտության վերանայված քաղաքականությունները կարող են արտացոլվել բյուջեներում՝ ապահովելով </w:t>
      </w:r>
      <w:r w:rsidRPr="007D2D1C">
        <w:rPr>
          <w:lang w:val="hy-AM"/>
        </w:rPr>
        <w:lastRenderedPageBreak/>
        <w:t xml:space="preserve">հանրային կյանքի անընդհատության միջավայրում քաղաքական հանձնառությունների լավագույնս կատարումը։ </w:t>
      </w:r>
    </w:p>
    <w:p w14:paraId="569402C3" w14:textId="77777777" w:rsidR="007D2D1C" w:rsidRDefault="007D2D1C" w:rsidP="007D2D1C">
      <w:pPr>
        <w:spacing w:line="276" w:lineRule="auto"/>
        <w:rPr>
          <w:lang w:val="hy-AM"/>
        </w:rPr>
      </w:pPr>
      <w:r w:rsidRPr="007D2D1C">
        <w:rPr>
          <w:lang w:val="hy-AM"/>
        </w:rPr>
        <w:t xml:space="preserve">Ըստ այդմ, ՄԺԾԾ հիմքում ընկած, կառավարության գործող ծրագրով նախանշված հիմնական ուղենիշը՝ Հայաստանի Հանրապետությունում բարձր տեխնոլոգիական, արդյունաբերական, ինչպես նաև բնապահպանական բարձր չափանիշներին համապատասխանող, արտահանմանը միտված մրցունակ և ներառական տնտեսության կառուցումը, շարունակում է մնալ արդիական։ Այդ ճանապարհին արձանագրվել են հետևյալ հիմնական խնդիրները՝ մարդկային ներուժի զարգացման և հուսալի ենթակառուցվածքների ձևավորման անհրաժեշտությունը, ինչպես նաև պետական կառավարման արդյունավետության բարձրացման ու տնտեսական գործունեությամբ զբաղվելու իրական հնարավորությունների համար նախադրյալների ստեղծումը։ Մշտապես փոփոխվող արտաքին և ներքին մարտահրավերների միջավայրում՝ հենց այս առանցքային խնդիրների լուծմանն են միտված կառավարության լիազորությունների շրջանակում իրականացվող միջոցառումները։ </w:t>
      </w:r>
    </w:p>
    <w:p w14:paraId="37DE93C7" w14:textId="77777777" w:rsidR="007D2D1C" w:rsidRDefault="007D2D1C" w:rsidP="007D2D1C">
      <w:pPr>
        <w:spacing w:line="276" w:lineRule="auto"/>
        <w:rPr>
          <w:lang w:val="hy-AM"/>
        </w:rPr>
      </w:pPr>
      <w:r w:rsidRPr="007D2D1C">
        <w:rPr>
          <w:lang w:val="hy-AM"/>
        </w:rPr>
        <w:t xml:space="preserve">Պետք է հաշվի առնել, որ նույնիսկ բնականոն համարվող ժամանակահատվածներում առկա են ծրագրերի և քաղաքականությունների հիմքում դրվող կանխատեսումների ռիսկեր, բայց դրանք էապես աճում են ճգնաժամերի ժամանակ, ինչպիսին դեռևս գնահատվում է համաշխարհային իրականությունը՝ կապված համավարակի ու դրանով պայմանավորված անորոշության բարձր աստիճանի հետ։ Այդ առումով, ՄԺԾԾ կարևորագույն հատկանիշ է համարվում դրա իրատեսականությունը։ Մյուս կողմից, ակնհայտ է նաև, որ արդարացված չի այն մոտեցումը, ըստ որի պետք է հնարավորինս ցածր նշաձող թիրախավորվի միջոցառումների իրականացման տեսակետից, որպեսզի նվազագույնի հասցվի իրականացման ռիսկը։ Այս մոտեցումը խնդրահարույց է հատկապես հավակնոտ զարգացում ենթադրող նպատակադրումների իմաստով, հետևաբար, ճշմարտությունն այս երկու մոտեցումների հավասարակշռության կետում է։ </w:t>
      </w:r>
    </w:p>
    <w:p w14:paraId="22FE44A5" w14:textId="77777777" w:rsidR="007D2D1C" w:rsidRDefault="007D2D1C" w:rsidP="007D2D1C">
      <w:pPr>
        <w:spacing w:line="276" w:lineRule="auto"/>
        <w:rPr>
          <w:lang w:val="hy-AM"/>
        </w:rPr>
      </w:pPr>
      <w:r w:rsidRPr="007D2D1C">
        <w:rPr>
          <w:lang w:val="hy-AM"/>
        </w:rPr>
        <w:t xml:space="preserve">Հարկ է նշել, որ ՄԺԾԾ-ում հիմնական գծերով ներկայացված է մակրոտնտեսական և հարկաբյուջետային քաղաքականությունների նկարագիրը, որն ընկած է արտահերթ ընտրություններում ժողովրդի մեծամասնության հավանությանն արժանացած՝ Քաղաքացիական պայմանագիր կուսակցության նախընտրական ծրագրի հիմքում։ Այդուհանդերձ, հաշվի առնելով, որ նշյալ քաղաքականություններն իրենց միջոցառումներով վերջնականացման կարիք ունեն, իսկ բյուջետային գործընթացը՝ անընդհատության, ՄԺԾԾ բյուջետային շրջանակը մշակված է՝ նվազագույնի հասցնելով հարկաբյուջետային և ֆինանսական կայունության անկառավարելի ռիսկերը։ Ինչը նշանակում է, որ քաղաքական մեծամասնության նախընտրական ծրագրային դրույթների ապահովման ուղղությամբ անհրաժեշտ միջոցառումները նյութական արտացոլում կգտնեն բյուջետային փաստաթղթերում։ Այս ընթացքում պիտի որոշակիանա նաեւ Եվրոպական միության կողմից Հայաստանին 2.6 միլիարդ եվրոյի աջակցություն ցուցաբերելու մասին որոշումը, որի ազդեցությունները արտահայտված չեն ընթացիկ փաստաթղթում: </w:t>
      </w:r>
    </w:p>
    <w:p w14:paraId="14DF0F19" w14:textId="77777777" w:rsidR="007D2D1C" w:rsidRDefault="007D2D1C" w:rsidP="007D2D1C">
      <w:pPr>
        <w:spacing w:line="276" w:lineRule="auto"/>
        <w:rPr>
          <w:lang w:val="hy-AM"/>
        </w:rPr>
      </w:pPr>
      <w:r w:rsidRPr="007D2D1C">
        <w:rPr>
          <w:lang w:val="hy-AM"/>
        </w:rPr>
        <w:t xml:space="preserve">Ըստ այդմ ՄԺԾԾ 2022-2024թթ ընթացիկ ծախսերը նշված ժամանակահատվածում ծրագրավորվել են սահող հենքով (rolling baseline) բյուջետավորման սկզբունքով՝ հիմք ընդունելով 2020թ փաստացի, 2021թ ծրագրված ելակետային ցուցանիշները, որոնք ճշգրտվել են համապատասխան շահառուների, պահանջարկի գնահատված գործոններով, ինչպես նաև իրավական ակտերով ի հայտ եկած և կարգավորվող նոր դրույթներով։ </w:t>
      </w:r>
    </w:p>
    <w:p w14:paraId="6134C044" w14:textId="77777777" w:rsidR="007D2D1C" w:rsidRDefault="007D2D1C" w:rsidP="007D2D1C">
      <w:pPr>
        <w:spacing w:line="276" w:lineRule="auto"/>
        <w:rPr>
          <w:lang w:val="hy-AM"/>
        </w:rPr>
      </w:pPr>
      <w:r w:rsidRPr="007D2D1C">
        <w:rPr>
          <w:lang w:val="hy-AM"/>
        </w:rPr>
        <w:t xml:space="preserve">2022-2024թթ ՄԺԾԾ փաստաթղթում առանձին հավելվածով ներկայացված են ռազմավարություններից բխող նախաձեռնությունները, որոնց առաջնահերթությունները՝ նոր կառավարության ծրագրի շրջանակում վերահաստատումից կամ վերանայումից հետո, հնարավոր կլինի իրականացնել հավելյալ ռեսուրսներ գեներացնելու ճանապահով։ </w:t>
      </w:r>
    </w:p>
    <w:p w14:paraId="0B094B44" w14:textId="77777777" w:rsidR="007D2D1C" w:rsidRDefault="007D2D1C" w:rsidP="007D2D1C">
      <w:pPr>
        <w:spacing w:line="276" w:lineRule="auto"/>
        <w:rPr>
          <w:lang w:val="hy-AM"/>
        </w:rPr>
      </w:pPr>
      <w:r w:rsidRPr="007D2D1C">
        <w:rPr>
          <w:lang w:val="hy-AM"/>
        </w:rPr>
        <w:t xml:space="preserve">Այդ առումով, ուշադրության է արժանի այն հանգամանքը, որ թեև ՄԺԾԾ համար հիմք հանդիսացող քաղաքականությունները բովանդակային առումով կարող են վերանայվել, այդուհանդերձ՝ ՄԺԾԾ նախագծման գործընթացի տրամաբանությունը մշտապես կիրառելի է, քանի որ ՄԺԾԾ մշակումը շարունակական գործընթաց է և, ըստ էության, իրենից ներկայացնում է «քաղաքականությունների ձևակերպում - պլանավորում – բյուջետավորում» տրամաբանական ամբողջական շղթա: </w:t>
      </w:r>
    </w:p>
    <w:p w14:paraId="5BCD932C" w14:textId="3A8B3F54" w:rsidR="007D2D1C" w:rsidRPr="007D2D1C" w:rsidRDefault="007D2D1C" w:rsidP="007D2D1C">
      <w:pPr>
        <w:spacing w:line="276" w:lineRule="auto"/>
        <w:rPr>
          <w:lang w:val="hy-AM"/>
        </w:rPr>
      </w:pPr>
      <w:r w:rsidRPr="007D2D1C">
        <w:rPr>
          <w:lang w:val="hy-AM"/>
        </w:rPr>
        <w:t>Բացի վերոնշյալը, ՀՀ օրենդրությամբ նախատեսված հարկաբյուջետային կանոնների շրջանակում, ՀՀ կառավարությունը պարտավորություն ունի ՀՀ Ազգային ժողով և հանրությանը ներկայացնել՝ հնգամյա ժամանակահատվածում կառավարության պարտքի բեռը կառավարելիության ավելի բարձր աստիճանի տիրույթ տեղափոխելու վերաբերյալ ծրագիր, որը նույնպես սույն փաստաթղթի մաս է։</w:t>
      </w:r>
    </w:p>
    <w:p w14:paraId="102C7DB1" w14:textId="77777777" w:rsidR="001F5502" w:rsidRPr="00AD6087" w:rsidRDefault="001F5502" w:rsidP="001F5502">
      <w:pPr>
        <w:spacing w:before="0" w:after="160" w:line="276" w:lineRule="auto"/>
        <w:ind w:firstLine="0"/>
        <w:jc w:val="left"/>
        <w:rPr>
          <w:lang w:val="hy-AM"/>
        </w:rPr>
      </w:pPr>
    </w:p>
    <w:p w14:paraId="462B9251" w14:textId="5E214A4C" w:rsidR="001B5CF2" w:rsidRDefault="001B5CF2">
      <w:pPr>
        <w:spacing w:before="0" w:after="0" w:line="240" w:lineRule="auto"/>
        <w:ind w:firstLine="0"/>
        <w:jc w:val="left"/>
        <w:rPr>
          <w:rFonts w:eastAsiaTheme="majorEastAsia" w:cstheme="majorBidi"/>
          <w:b/>
          <w:bCs/>
          <w:color w:val="1F497D" w:themeColor="text2"/>
          <w:sz w:val="32"/>
          <w:szCs w:val="28"/>
          <w:lang w:val="hy-AM"/>
        </w:rPr>
      </w:pPr>
    </w:p>
    <w:p w14:paraId="10991A4D" w14:textId="77777777" w:rsidR="008A4F28" w:rsidRDefault="008A4F28" w:rsidP="00E328D1">
      <w:pPr>
        <w:pStyle w:val="Heading1"/>
        <w:rPr>
          <w:lang w:val="hy-AM"/>
        </w:rPr>
      </w:pPr>
    </w:p>
    <w:p w14:paraId="5C92AC86" w14:textId="77777777" w:rsidR="008A4F28" w:rsidRDefault="008A4F28" w:rsidP="00E328D1">
      <w:pPr>
        <w:pStyle w:val="Heading1"/>
        <w:rPr>
          <w:lang w:val="hy-AM"/>
        </w:rPr>
      </w:pPr>
    </w:p>
    <w:p w14:paraId="01F1857F" w14:textId="77777777" w:rsidR="008A4F28" w:rsidRDefault="008A4F28" w:rsidP="00E328D1">
      <w:pPr>
        <w:pStyle w:val="Heading1"/>
        <w:rPr>
          <w:lang w:val="hy-AM"/>
        </w:rPr>
      </w:pPr>
    </w:p>
    <w:p w14:paraId="299B136F" w14:textId="77777777" w:rsidR="008A4F28" w:rsidRDefault="008A4F28" w:rsidP="00E328D1">
      <w:pPr>
        <w:pStyle w:val="Heading1"/>
        <w:rPr>
          <w:lang w:val="hy-AM"/>
        </w:rPr>
      </w:pPr>
    </w:p>
    <w:p w14:paraId="3D4548F1" w14:textId="77777777" w:rsidR="002244AB" w:rsidRDefault="002244AB" w:rsidP="002244AB">
      <w:pPr>
        <w:rPr>
          <w:lang w:val="hy-AM"/>
        </w:rPr>
      </w:pPr>
    </w:p>
    <w:p w14:paraId="260C1833" w14:textId="77777777" w:rsidR="002244AB" w:rsidRDefault="002244AB" w:rsidP="002244AB">
      <w:pPr>
        <w:rPr>
          <w:lang w:val="hy-AM"/>
        </w:rPr>
      </w:pPr>
    </w:p>
    <w:p w14:paraId="39091D6A" w14:textId="77777777" w:rsidR="002244AB" w:rsidRDefault="002244AB" w:rsidP="002244AB">
      <w:pPr>
        <w:rPr>
          <w:lang w:val="hy-AM"/>
        </w:rPr>
      </w:pPr>
    </w:p>
    <w:p w14:paraId="2DBA50E3" w14:textId="77777777" w:rsidR="002244AB" w:rsidRDefault="002244AB" w:rsidP="002244AB">
      <w:pPr>
        <w:rPr>
          <w:lang w:val="hy-AM"/>
        </w:rPr>
      </w:pPr>
    </w:p>
    <w:p w14:paraId="5FBDE516" w14:textId="77777777" w:rsidR="002244AB" w:rsidRDefault="002244AB" w:rsidP="002244AB">
      <w:pPr>
        <w:rPr>
          <w:lang w:val="hy-AM"/>
        </w:rPr>
      </w:pPr>
    </w:p>
    <w:p w14:paraId="130A67EB" w14:textId="77777777" w:rsidR="002244AB" w:rsidRDefault="002244AB" w:rsidP="002244AB">
      <w:pPr>
        <w:rPr>
          <w:lang w:val="hy-AM"/>
        </w:rPr>
      </w:pPr>
    </w:p>
    <w:p w14:paraId="11415D91" w14:textId="77777777" w:rsidR="002244AB" w:rsidRDefault="002244AB" w:rsidP="002244AB">
      <w:pPr>
        <w:rPr>
          <w:lang w:val="hy-AM"/>
        </w:rPr>
      </w:pPr>
    </w:p>
    <w:p w14:paraId="13AF4A30" w14:textId="77777777" w:rsidR="002244AB" w:rsidRDefault="002244AB" w:rsidP="002244AB">
      <w:pPr>
        <w:rPr>
          <w:lang w:val="hy-AM"/>
        </w:rPr>
      </w:pPr>
    </w:p>
    <w:p w14:paraId="46BDC3FE" w14:textId="367CAC9A" w:rsidR="002244AB" w:rsidRDefault="002244AB" w:rsidP="002244AB">
      <w:pPr>
        <w:rPr>
          <w:lang w:val="hy-AM"/>
        </w:rPr>
      </w:pPr>
    </w:p>
    <w:p w14:paraId="67F66CC8" w14:textId="11690F04" w:rsidR="00334E5F" w:rsidRDefault="00334E5F" w:rsidP="002244AB">
      <w:pPr>
        <w:rPr>
          <w:lang w:val="hy-AM"/>
        </w:rPr>
      </w:pPr>
    </w:p>
    <w:p w14:paraId="0671D8F5" w14:textId="106799E1" w:rsidR="00334E5F" w:rsidRDefault="00334E5F" w:rsidP="002244AB">
      <w:pPr>
        <w:rPr>
          <w:lang w:val="hy-AM"/>
        </w:rPr>
      </w:pPr>
    </w:p>
    <w:p w14:paraId="7186FF03" w14:textId="65D947C1" w:rsidR="00334E5F" w:rsidRDefault="00334E5F" w:rsidP="002244AB">
      <w:pPr>
        <w:rPr>
          <w:lang w:val="hy-AM"/>
        </w:rPr>
      </w:pPr>
    </w:p>
    <w:p w14:paraId="5BA297C6" w14:textId="77777777" w:rsidR="00334E5F" w:rsidRPr="002244AB" w:rsidRDefault="00334E5F" w:rsidP="002244AB">
      <w:pPr>
        <w:rPr>
          <w:lang w:val="hy-AM"/>
        </w:rPr>
      </w:pPr>
    </w:p>
    <w:p w14:paraId="7914B5B8" w14:textId="77777777" w:rsidR="008A4F28" w:rsidRPr="008A4F28" w:rsidRDefault="008A4F28" w:rsidP="008A4F28">
      <w:pPr>
        <w:ind w:firstLine="0"/>
        <w:rPr>
          <w:lang w:val="hy-AM"/>
        </w:rPr>
      </w:pPr>
    </w:p>
    <w:p w14:paraId="2A8C5ADE" w14:textId="77777777" w:rsidR="00E328D1" w:rsidRPr="00261229" w:rsidRDefault="00E328D1" w:rsidP="00E328D1">
      <w:pPr>
        <w:pStyle w:val="Heading1"/>
        <w:rPr>
          <w:lang w:val="hy-AM"/>
        </w:rPr>
      </w:pPr>
      <w:bookmarkStart w:id="119" w:name="_Toc77837841"/>
      <w:r w:rsidRPr="00261229">
        <w:rPr>
          <w:lang w:val="hy-AM"/>
        </w:rPr>
        <w:t>ՄԱՍ I. ՀԱՐԿԱԲՅՈՒՋԵՏԱՅԻՆ ՔԱՂԱՔԱԿԱՆՈՒԹՅՈՒՆԸ</w:t>
      </w:r>
      <w:bookmarkEnd w:id="119"/>
    </w:p>
    <w:p w14:paraId="6586B669" w14:textId="77777777" w:rsidR="00E328D1" w:rsidRPr="008A4F28" w:rsidRDefault="008A4F28" w:rsidP="008A4F28">
      <w:pPr>
        <w:spacing w:before="0" w:after="0" w:line="240" w:lineRule="auto"/>
        <w:ind w:firstLine="0"/>
        <w:jc w:val="left"/>
        <w:rPr>
          <w:rFonts w:eastAsiaTheme="majorEastAsia" w:cstheme="majorBidi"/>
          <w:b/>
          <w:bCs/>
          <w:caps/>
          <w:color w:val="1F497D" w:themeColor="text2"/>
          <w:sz w:val="28"/>
          <w:szCs w:val="28"/>
          <w:lang w:val="es-ES"/>
        </w:rPr>
      </w:pPr>
      <w:r w:rsidRPr="00E8706A">
        <w:rPr>
          <w:sz w:val="28"/>
          <w:szCs w:val="28"/>
          <w:lang w:val="hy-AM"/>
        </w:rPr>
        <w:br w:type="page"/>
      </w:r>
    </w:p>
    <w:p w14:paraId="7C10CA16" w14:textId="77777777" w:rsidR="00560E10" w:rsidRDefault="00E6325E" w:rsidP="00E6325E">
      <w:pPr>
        <w:pStyle w:val="Heading2"/>
        <w:rPr>
          <w:sz w:val="28"/>
          <w:szCs w:val="28"/>
        </w:rPr>
      </w:pPr>
      <w:bookmarkStart w:id="120" w:name="_Toc77837842"/>
      <w:r>
        <w:rPr>
          <w:sz w:val="28"/>
          <w:szCs w:val="28"/>
        </w:rPr>
        <w:t xml:space="preserve">ԳԼՈՒԽ 1. </w:t>
      </w:r>
      <w:r w:rsidR="00560E10" w:rsidRPr="00003F59">
        <w:rPr>
          <w:sz w:val="28"/>
          <w:szCs w:val="28"/>
        </w:rPr>
        <w:t>ՄԱԿՐՈՏՆՏԵՍԱԿԱՆ ԿԱՆԽԱՏԵՍՈՒՄՆԵՐ</w:t>
      </w:r>
      <w:bookmarkEnd w:id="116"/>
      <w:bookmarkEnd w:id="117"/>
      <w:bookmarkEnd w:id="120"/>
    </w:p>
    <w:p w14:paraId="2B259612" w14:textId="77777777" w:rsidR="00323005" w:rsidRPr="00323005" w:rsidRDefault="00323005" w:rsidP="00323005">
      <w:pPr>
        <w:ind w:firstLine="0"/>
        <w:rPr>
          <w:rFonts w:eastAsia="Calibri"/>
          <w:lang w:val="es-ES"/>
        </w:rPr>
      </w:pPr>
      <w:bookmarkStart w:id="121" w:name="_Toc45831946"/>
      <w:bookmarkStart w:id="122" w:name="_Toc45832161"/>
      <w:bookmarkStart w:id="123" w:name="_Toc45832430"/>
      <w:bookmarkStart w:id="124" w:name="_Toc45834083"/>
      <w:bookmarkStart w:id="125" w:name="_Toc45835153"/>
      <w:bookmarkStart w:id="126" w:name="_Toc45835334"/>
      <w:bookmarkStart w:id="127" w:name="_Toc45835618"/>
      <w:bookmarkStart w:id="128" w:name="_Toc45831947"/>
      <w:bookmarkStart w:id="129" w:name="_Toc45832162"/>
      <w:bookmarkStart w:id="130" w:name="_Toc45832431"/>
      <w:bookmarkStart w:id="131" w:name="_Toc45834084"/>
      <w:bookmarkStart w:id="132" w:name="_Toc45835154"/>
      <w:bookmarkStart w:id="133" w:name="_Toc45835335"/>
      <w:bookmarkStart w:id="134" w:name="_Toc45835619"/>
      <w:bookmarkStart w:id="135" w:name="_Toc45831948"/>
      <w:bookmarkStart w:id="136" w:name="_Toc45832163"/>
      <w:bookmarkStart w:id="137" w:name="_Toc45832432"/>
      <w:bookmarkStart w:id="138" w:name="_Toc45834085"/>
      <w:bookmarkStart w:id="139" w:name="_Toc45835155"/>
      <w:bookmarkStart w:id="140" w:name="_Toc45835336"/>
      <w:bookmarkStart w:id="141" w:name="_Toc45835620"/>
      <w:bookmarkStart w:id="142" w:name="_Toc45831949"/>
      <w:bookmarkStart w:id="143" w:name="_Toc45832164"/>
      <w:bookmarkStart w:id="144" w:name="_Toc45832433"/>
      <w:bookmarkStart w:id="145" w:name="_Toc45834086"/>
      <w:bookmarkStart w:id="146" w:name="_Toc45835156"/>
      <w:bookmarkStart w:id="147" w:name="_Toc45835337"/>
      <w:bookmarkStart w:id="148" w:name="_Toc45835621"/>
      <w:bookmarkStart w:id="149" w:name="_Toc45831950"/>
      <w:bookmarkStart w:id="150" w:name="_Toc45832165"/>
      <w:bookmarkStart w:id="151" w:name="_Toc45832434"/>
      <w:bookmarkStart w:id="152" w:name="_Toc45834087"/>
      <w:bookmarkStart w:id="153" w:name="_Toc45835157"/>
      <w:bookmarkStart w:id="154" w:name="_Toc45835338"/>
      <w:bookmarkStart w:id="155" w:name="_Toc45835622"/>
      <w:bookmarkStart w:id="156" w:name="_Toc45831951"/>
      <w:bookmarkStart w:id="157" w:name="_Toc45832166"/>
      <w:bookmarkStart w:id="158" w:name="_Toc45832435"/>
      <w:bookmarkStart w:id="159" w:name="_Toc45834088"/>
      <w:bookmarkStart w:id="160" w:name="_Toc45835158"/>
      <w:bookmarkStart w:id="161" w:name="_Toc45835339"/>
      <w:bookmarkStart w:id="162" w:name="_Toc45835623"/>
      <w:bookmarkStart w:id="163" w:name="_Toc45831952"/>
      <w:bookmarkStart w:id="164" w:name="_Toc45832167"/>
      <w:bookmarkStart w:id="165" w:name="_Toc45832436"/>
      <w:bookmarkStart w:id="166" w:name="_Toc45834089"/>
      <w:bookmarkStart w:id="167" w:name="_Toc45835159"/>
      <w:bookmarkStart w:id="168" w:name="_Toc45835340"/>
      <w:bookmarkStart w:id="169" w:name="_Toc45835624"/>
      <w:bookmarkStart w:id="170" w:name="_Toc45810524"/>
      <w:bookmarkStart w:id="171" w:name="_Toc45838514"/>
      <w:bookmarkStart w:id="172" w:name="_Toc46154343"/>
      <w:bookmarkStart w:id="173" w:name="_Toc45269218"/>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Pr="002F0B59">
        <w:rPr>
          <w:rFonts w:eastAsia="Calibri"/>
        </w:rPr>
        <w:t>Մակրոտնտեսական</w:t>
      </w:r>
      <w:r w:rsidRPr="00323005">
        <w:rPr>
          <w:rFonts w:eastAsia="Calibri"/>
          <w:lang w:val="es-ES"/>
        </w:rPr>
        <w:t xml:space="preserve"> </w:t>
      </w:r>
      <w:r w:rsidRPr="002F0B59">
        <w:rPr>
          <w:rFonts w:eastAsia="Calibri"/>
        </w:rPr>
        <w:t>կանխատեսումներն</w:t>
      </w:r>
      <w:r w:rsidRPr="00323005">
        <w:rPr>
          <w:rFonts w:eastAsia="Calibri"/>
          <w:lang w:val="es-ES"/>
        </w:rPr>
        <w:t xml:space="preserve"> </w:t>
      </w:r>
      <w:r w:rsidRPr="002F0B59">
        <w:rPr>
          <w:rFonts w:eastAsia="Calibri"/>
        </w:rPr>
        <w:t>իրականացրել</w:t>
      </w:r>
      <w:r w:rsidRPr="00323005">
        <w:rPr>
          <w:rFonts w:eastAsia="Calibri"/>
          <w:lang w:val="es-ES"/>
        </w:rPr>
        <w:t xml:space="preserve"> </w:t>
      </w:r>
      <w:r w:rsidRPr="002F0B59">
        <w:rPr>
          <w:rFonts w:eastAsia="Calibri"/>
        </w:rPr>
        <w:t>է</w:t>
      </w:r>
      <w:r w:rsidRPr="00323005">
        <w:rPr>
          <w:rFonts w:eastAsia="Calibri"/>
          <w:lang w:val="es-ES"/>
        </w:rPr>
        <w:t xml:space="preserve"> </w:t>
      </w:r>
      <w:r w:rsidRPr="002F0B59">
        <w:rPr>
          <w:rFonts w:eastAsia="Calibri"/>
        </w:rPr>
        <w:t>ՀՀ</w:t>
      </w:r>
      <w:r w:rsidRPr="00323005">
        <w:rPr>
          <w:rFonts w:eastAsia="Calibri"/>
          <w:lang w:val="es-ES"/>
        </w:rPr>
        <w:t xml:space="preserve"> </w:t>
      </w:r>
      <w:r w:rsidRPr="002F0B59">
        <w:rPr>
          <w:rFonts w:eastAsia="Calibri"/>
        </w:rPr>
        <w:t>ֆինանսների</w:t>
      </w:r>
      <w:r w:rsidRPr="00323005">
        <w:rPr>
          <w:rFonts w:eastAsia="Calibri"/>
          <w:lang w:val="es-ES"/>
        </w:rPr>
        <w:t xml:space="preserve"> </w:t>
      </w:r>
      <w:r w:rsidRPr="002F0B59">
        <w:rPr>
          <w:rFonts w:eastAsia="Calibri"/>
        </w:rPr>
        <w:t>նախարարությունը</w:t>
      </w:r>
      <w:r w:rsidRPr="00323005">
        <w:rPr>
          <w:rFonts w:eastAsia="Calibri"/>
          <w:lang w:val="es-ES"/>
        </w:rPr>
        <w:t xml:space="preserve"> (</w:t>
      </w:r>
      <w:r w:rsidRPr="002F0B59">
        <w:rPr>
          <w:rFonts w:eastAsia="Calibri"/>
        </w:rPr>
        <w:t>այսուհետև՝</w:t>
      </w:r>
      <w:r w:rsidRPr="00323005">
        <w:rPr>
          <w:rFonts w:eastAsia="Calibri"/>
          <w:lang w:val="es-ES"/>
        </w:rPr>
        <w:t xml:space="preserve"> </w:t>
      </w:r>
      <w:r w:rsidRPr="002F0B59">
        <w:rPr>
          <w:rFonts w:eastAsia="Calibri"/>
        </w:rPr>
        <w:t>ՀՀ</w:t>
      </w:r>
      <w:r w:rsidRPr="00323005">
        <w:rPr>
          <w:rFonts w:eastAsia="Calibri"/>
          <w:lang w:val="es-ES"/>
        </w:rPr>
        <w:t xml:space="preserve"> </w:t>
      </w:r>
      <w:r w:rsidRPr="002F0B59">
        <w:rPr>
          <w:rFonts w:eastAsia="Calibri"/>
        </w:rPr>
        <w:t>ՖՆ</w:t>
      </w:r>
      <w:r w:rsidRPr="00323005">
        <w:rPr>
          <w:rFonts w:eastAsia="Calibri"/>
          <w:lang w:val="es-ES"/>
        </w:rPr>
        <w:t>)</w:t>
      </w:r>
      <w:r w:rsidRPr="002F0B59">
        <w:rPr>
          <w:rFonts w:eastAsia="Calibri"/>
        </w:rPr>
        <w:t>՝</w:t>
      </w:r>
      <w:r w:rsidRPr="00323005">
        <w:rPr>
          <w:rFonts w:eastAsia="Calibri"/>
          <w:lang w:val="es-ES"/>
        </w:rPr>
        <w:t xml:space="preserve"> </w:t>
      </w:r>
      <w:r w:rsidRPr="002F0B59">
        <w:rPr>
          <w:rFonts w:eastAsia="Calibri"/>
        </w:rPr>
        <w:t>կիրառելով</w:t>
      </w:r>
      <w:r w:rsidRPr="00323005">
        <w:rPr>
          <w:rFonts w:eastAsia="Calibri"/>
          <w:lang w:val="es-ES"/>
        </w:rPr>
        <w:t xml:space="preserve"> </w:t>
      </w:r>
      <w:r w:rsidRPr="002F0B59">
        <w:rPr>
          <w:rFonts w:eastAsia="Calibri"/>
        </w:rPr>
        <w:t>տնտեսաչափական</w:t>
      </w:r>
      <w:r w:rsidRPr="00323005">
        <w:rPr>
          <w:rFonts w:eastAsia="Calibri"/>
          <w:lang w:val="es-ES"/>
        </w:rPr>
        <w:t xml:space="preserve"> </w:t>
      </w:r>
      <w:r w:rsidRPr="002F0B59">
        <w:rPr>
          <w:rFonts w:eastAsia="Calibri"/>
        </w:rPr>
        <w:t>մոդելներ</w:t>
      </w:r>
      <w:r w:rsidRPr="00323005">
        <w:rPr>
          <w:rFonts w:eastAsia="Calibri"/>
          <w:lang w:val="es-ES"/>
        </w:rPr>
        <w:t xml:space="preserve">, </w:t>
      </w:r>
      <w:r w:rsidRPr="002F0B59">
        <w:rPr>
          <w:rFonts w:eastAsia="Calibri"/>
        </w:rPr>
        <w:t>ինչպես</w:t>
      </w:r>
      <w:r w:rsidRPr="00323005">
        <w:rPr>
          <w:rFonts w:eastAsia="Calibri"/>
          <w:lang w:val="es-ES"/>
        </w:rPr>
        <w:t xml:space="preserve"> </w:t>
      </w:r>
      <w:r w:rsidRPr="002F0B59">
        <w:rPr>
          <w:rFonts w:eastAsia="Calibri"/>
        </w:rPr>
        <w:t>նաև</w:t>
      </w:r>
      <w:r w:rsidRPr="00323005">
        <w:rPr>
          <w:rFonts w:eastAsia="Calibri"/>
          <w:lang w:val="es-ES"/>
        </w:rPr>
        <w:t xml:space="preserve"> </w:t>
      </w:r>
      <w:r w:rsidRPr="002F0B59">
        <w:rPr>
          <w:rFonts w:eastAsia="Calibri"/>
        </w:rPr>
        <w:t>առանձին</w:t>
      </w:r>
      <w:r w:rsidRPr="00323005">
        <w:rPr>
          <w:rFonts w:eastAsia="Calibri"/>
          <w:lang w:val="es-ES"/>
        </w:rPr>
        <w:t xml:space="preserve"> </w:t>
      </w:r>
      <w:r w:rsidRPr="002F0B59">
        <w:rPr>
          <w:rFonts w:eastAsia="Calibri"/>
        </w:rPr>
        <w:t>շոկերի</w:t>
      </w:r>
      <w:r w:rsidRPr="00323005">
        <w:rPr>
          <w:rFonts w:eastAsia="Calibri"/>
          <w:lang w:val="es-ES"/>
        </w:rPr>
        <w:t xml:space="preserve"> </w:t>
      </w:r>
      <w:r w:rsidRPr="002F0B59">
        <w:rPr>
          <w:rFonts w:eastAsia="Calibri"/>
        </w:rPr>
        <w:t>և</w:t>
      </w:r>
      <w:r w:rsidRPr="00323005">
        <w:rPr>
          <w:rFonts w:eastAsia="Calibri"/>
          <w:lang w:val="es-ES"/>
        </w:rPr>
        <w:t xml:space="preserve"> </w:t>
      </w:r>
      <w:r w:rsidRPr="002F0B59">
        <w:rPr>
          <w:rFonts w:eastAsia="Calibri"/>
        </w:rPr>
        <w:t>հարկաբյուջետային</w:t>
      </w:r>
      <w:r w:rsidRPr="00323005">
        <w:rPr>
          <w:rFonts w:eastAsia="Calibri"/>
          <w:lang w:val="es-ES"/>
        </w:rPr>
        <w:t xml:space="preserve"> </w:t>
      </w:r>
      <w:r w:rsidRPr="002F0B59">
        <w:rPr>
          <w:rFonts w:eastAsia="Calibri"/>
        </w:rPr>
        <w:t>միջոցառումների</w:t>
      </w:r>
      <w:r w:rsidRPr="00323005">
        <w:rPr>
          <w:rFonts w:eastAsia="Calibri"/>
          <w:lang w:val="es-ES"/>
        </w:rPr>
        <w:t xml:space="preserve"> </w:t>
      </w:r>
      <w:r w:rsidRPr="002F0B59">
        <w:rPr>
          <w:rFonts w:eastAsia="Calibri"/>
        </w:rPr>
        <w:t>ազդեցությունների</w:t>
      </w:r>
      <w:r w:rsidRPr="00323005">
        <w:rPr>
          <w:rFonts w:eastAsia="Calibri"/>
          <w:lang w:val="es-ES"/>
        </w:rPr>
        <w:t xml:space="preserve"> </w:t>
      </w:r>
      <w:r w:rsidRPr="002F0B59">
        <w:rPr>
          <w:rFonts w:eastAsia="Calibri"/>
        </w:rPr>
        <w:t>գնահատման</w:t>
      </w:r>
      <w:r w:rsidRPr="00323005">
        <w:rPr>
          <w:rFonts w:eastAsia="Calibri"/>
          <w:lang w:val="es-ES"/>
        </w:rPr>
        <w:t xml:space="preserve"> </w:t>
      </w:r>
      <w:r w:rsidRPr="002F0B59">
        <w:rPr>
          <w:rFonts w:eastAsia="Calibri"/>
        </w:rPr>
        <w:t>համար՝</w:t>
      </w:r>
      <w:r w:rsidRPr="00323005">
        <w:rPr>
          <w:rFonts w:eastAsia="Calibri"/>
          <w:lang w:val="es-ES"/>
        </w:rPr>
        <w:t xml:space="preserve"> </w:t>
      </w:r>
      <w:r w:rsidRPr="002F0B59">
        <w:rPr>
          <w:rFonts w:eastAsia="Calibri"/>
        </w:rPr>
        <w:t>ՀՀ</w:t>
      </w:r>
      <w:r w:rsidRPr="00323005">
        <w:rPr>
          <w:rFonts w:eastAsia="Calibri"/>
          <w:lang w:val="es-ES"/>
        </w:rPr>
        <w:t xml:space="preserve"> </w:t>
      </w:r>
      <w:r w:rsidRPr="002F0B59">
        <w:rPr>
          <w:rFonts w:eastAsia="Calibri"/>
        </w:rPr>
        <w:t>ՖՆ</w:t>
      </w:r>
      <w:r w:rsidRPr="00323005">
        <w:rPr>
          <w:rFonts w:eastAsia="Calibri"/>
          <w:lang w:val="es-ES"/>
        </w:rPr>
        <w:t xml:space="preserve"> </w:t>
      </w:r>
      <w:r w:rsidRPr="002F0B59">
        <w:rPr>
          <w:rFonts w:eastAsia="Calibri"/>
        </w:rPr>
        <w:t>հարկաբյուջետային</w:t>
      </w:r>
      <w:r w:rsidRPr="00323005">
        <w:rPr>
          <w:rFonts w:eastAsia="Calibri"/>
          <w:lang w:val="es-ES"/>
        </w:rPr>
        <w:t xml:space="preserve"> </w:t>
      </w:r>
      <w:r w:rsidRPr="002F0B59">
        <w:rPr>
          <w:rFonts w:eastAsia="Calibri"/>
        </w:rPr>
        <w:t>քաղաքականության</w:t>
      </w:r>
      <w:r w:rsidRPr="00323005">
        <w:rPr>
          <w:rFonts w:eastAsia="Calibri"/>
          <w:lang w:val="es-ES"/>
        </w:rPr>
        <w:t xml:space="preserve"> </w:t>
      </w:r>
      <w:r w:rsidRPr="002F0B59">
        <w:rPr>
          <w:rFonts w:eastAsia="Calibri"/>
        </w:rPr>
        <w:t>դինամիկ</w:t>
      </w:r>
      <w:r w:rsidRPr="00323005">
        <w:rPr>
          <w:rFonts w:eastAsia="Calibri"/>
          <w:lang w:val="es-ES"/>
        </w:rPr>
        <w:t xml:space="preserve"> </w:t>
      </w:r>
      <w:r w:rsidRPr="002F0B59">
        <w:rPr>
          <w:rFonts w:eastAsia="Calibri"/>
        </w:rPr>
        <w:t>ստոխաստիկ</w:t>
      </w:r>
      <w:r w:rsidRPr="00323005">
        <w:rPr>
          <w:rFonts w:eastAsia="Calibri"/>
          <w:lang w:val="es-ES"/>
        </w:rPr>
        <w:t xml:space="preserve"> </w:t>
      </w:r>
      <w:r w:rsidRPr="002F0B59">
        <w:rPr>
          <w:rFonts w:eastAsia="Calibri"/>
        </w:rPr>
        <w:t>ընդհանուր</w:t>
      </w:r>
      <w:r w:rsidRPr="00323005">
        <w:rPr>
          <w:rFonts w:eastAsia="Calibri"/>
          <w:lang w:val="es-ES"/>
        </w:rPr>
        <w:t xml:space="preserve"> </w:t>
      </w:r>
      <w:r w:rsidRPr="002F0B59">
        <w:rPr>
          <w:rFonts w:eastAsia="Calibri"/>
        </w:rPr>
        <w:t>հավասարակշռության</w:t>
      </w:r>
      <w:r w:rsidRPr="00323005">
        <w:rPr>
          <w:rFonts w:eastAsia="Calibri"/>
          <w:lang w:val="es-ES"/>
        </w:rPr>
        <w:t xml:space="preserve"> (The Fiscal Strategy Model: A Structural Framework for Fiscal Policy Analysis in Armenia) </w:t>
      </w:r>
      <w:r w:rsidRPr="002F0B59">
        <w:rPr>
          <w:rFonts w:eastAsia="Calibri"/>
        </w:rPr>
        <w:t>մոդելը</w:t>
      </w:r>
      <w:r w:rsidRPr="002F0B59">
        <w:rPr>
          <w:rFonts w:eastAsia="Calibri"/>
          <w:vertAlign w:val="superscript"/>
          <w:lang w:val="es-ES"/>
        </w:rPr>
        <w:footnoteReference w:id="1"/>
      </w:r>
      <w:r w:rsidRPr="002F0B59">
        <w:rPr>
          <w:rFonts w:eastAsia="Calibri"/>
        </w:rPr>
        <w:t>։</w:t>
      </w:r>
      <w:r w:rsidRPr="002F0B59">
        <w:rPr>
          <w:rFonts w:eastAsia="Calibri"/>
          <w:vertAlign w:val="subscript"/>
          <w:lang w:val="es-ES"/>
        </w:rPr>
        <w:t xml:space="preserve"> </w:t>
      </w:r>
      <w:r w:rsidRPr="00323005">
        <w:rPr>
          <w:rFonts w:eastAsia="Calibri"/>
          <w:vertAlign w:val="subscript"/>
          <w:lang w:val="es-ES"/>
        </w:rPr>
        <w:t xml:space="preserve"> </w:t>
      </w:r>
      <w:r w:rsidRPr="002F0B59">
        <w:rPr>
          <w:rFonts w:eastAsia="Calibri"/>
        </w:rPr>
        <w:t>Վերջիններիս</w:t>
      </w:r>
      <w:r w:rsidRPr="00323005">
        <w:rPr>
          <w:rFonts w:eastAsia="Calibri"/>
          <w:lang w:val="es-ES"/>
        </w:rPr>
        <w:t xml:space="preserve"> </w:t>
      </w:r>
      <w:r w:rsidRPr="002F0B59">
        <w:rPr>
          <w:rFonts w:eastAsia="Calibri"/>
        </w:rPr>
        <w:t>համար</w:t>
      </w:r>
      <w:r w:rsidRPr="00323005">
        <w:rPr>
          <w:rFonts w:eastAsia="Calibri"/>
          <w:lang w:val="es-ES"/>
        </w:rPr>
        <w:t xml:space="preserve"> </w:t>
      </w:r>
      <w:r w:rsidRPr="002F0B59">
        <w:rPr>
          <w:rFonts w:eastAsia="Calibri"/>
        </w:rPr>
        <w:t>տեղեկատվական</w:t>
      </w:r>
      <w:r w:rsidRPr="00323005">
        <w:rPr>
          <w:rFonts w:eastAsia="Calibri"/>
          <w:lang w:val="es-ES"/>
        </w:rPr>
        <w:t xml:space="preserve"> </w:t>
      </w:r>
      <w:r w:rsidRPr="002F0B59">
        <w:rPr>
          <w:rFonts w:eastAsia="Calibri"/>
        </w:rPr>
        <w:t>հիմք</w:t>
      </w:r>
      <w:r w:rsidRPr="00323005">
        <w:rPr>
          <w:rFonts w:eastAsia="Calibri"/>
          <w:lang w:val="es-ES"/>
        </w:rPr>
        <w:t xml:space="preserve"> </w:t>
      </w:r>
      <w:r w:rsidRPr="002F0B59">
        <w:rPr>
          <w:rFonts w:eastAsia="Calibri"/>
        </w:rPr>
        <w:t>են</w:t>
      </w:r>
      <w:r w:rsidRPr="00323005">
        <w:rPr>
          <w:rFonts w:eastAsia="Calibri"/>
          <w:lang w:val="es-ES"/>
        </w:rPr>
        <w:t xml:space="preserve"> </w:t>
      </w:r>
      <w:r w:rsidRPr="002F0B59">
        <w:rPr>
          <w:rFonts w:eastAsia="Calibri"/>
        </w:rPr>
        <w:t>հանդիսացել</w:t>
      </w:r>
      <w:r w:rsidRPr="00323005">
        <w:rPr>
          <w:rFonts w:eastAsia="Calibri"/>
          <w:lang w:val="es-ES"/>
        </w:rPr>
        <w:t xml:space="preserve"> </w:t>
      </w:r>
      <w:r w:rsidRPr="002F0B59">
        <w:rPr>
          <w:rFonts w:eastAsia="Calibri"/>
        </w:rPr>
        <w:t>ՀՀ</w:t>
      </w:r>
      <w:r w:rsidRPr="00323005">
        <w:rPr>
          <w:rFonts w:eastAsia="Calibri"/>
          <w:lang w:val="es-ES"/>
        </w:rPr>
        <w:t xml:space="preserve"> </w:t>
      </w:r>
      <w:r w:rsidRPr="002F0B59">
        <w:rPr>
          <w:rFonts w:eastAsia="Calibri"/>
        </w:rPr>
        <w:t>և</w:t>
      </w:r>
      <w:r w:rsidRPr="00323005">
        <w:rPr>
          <w:rFonts w:eastAsia="Calibri"/>
          <w:lang w:val="es-ES"/>
        </w:rPr>
        <w:t xml:space="preserve"> </w:t>
      </w:r>
      <w:r w:rsidRPr="002F0B59">
        <w:rPr>
          <w:rFonts w:eastAsia="Calibri"/>
        </w:rPr>
        <w:t>արտաքին</w:t>
      </w:r>
      <w:r w:rsidRPr="00323005">
        <w:rPr>
          <w:rFonts w:eastAsia="Calibri"/>
          <w:lang w:val="es-ES"/>
        </w:rPr>
        <w:t xml:space="preserve"> </w:t>
      </w:r>
      <w:r w:rsidRPr="002F0B59">
        <w:rPr>
          <w:rFonts w:eastAsia="Calibri"/>
        </w:rPr>
        <w:t>ֆինանսատնտեսական</w:t>
      </w:r>
      <w:r w:rsidRPr="00323005">
        <w:rPr>
          <w:rFonts w:eastAsia="Calibri"/>
          <w:lang w:val="es-ES"/>
        </w:rPr>
        <w:t xml:space="preserve"> </w:t>
      </w:r>
      <w:r w:rsidRPr="002F0B59">
        <w:rPr>
          <w:rFonts w:eastAsia="Calibri"/>
        </w:rPr>
        <w:t>զարգացումները</w:t>
      </w:r>
      <w:r w:rsidRPr="00323005">
        <w:rPr>
          <w:rFonts w:eastAsia="Calibri"/>
          <w:lang w:val="es-ES"/>
        </w:rPr>
        <w:t xml:space="preserve">, </w:t>
      </w:r>
      <w:r w:rsidRPr="002F0B59">
        <w:rPr>
          <w:rFonts w:eastAsia="Calibri"/>
        </w:rPr>
        <w:t>Արցախյան</w:t>
      </w:r>
      <w:r w:rsidRPr="00323005">
        <w:rPr>
          <w:rFonts w:eastAsia="Calibri"/>
          <w:lang w:val="es-ES"/>
        </w:rPr>
        <w:t xml:space="preserve"> </w:t>
      </w:r>
      <w:r w:rsidRPr="002F0B59">
        <w:rPr>
          <w:rFonts w:eastAsia="Calibri"/>
        </w:rPr>
        <w:t>պատերազմի</w:t>
      </w:r>
      <w:r w:rsidRPr="00323005">
        <w:rPr>
          <w:rFonts w:eastAsia="Calibri"/>
          <w:lang w:val="es-ES"/>
        </w:rPr>
        <w:t xml:space="preserve"> </w:t>
      </w:r>
      <w:r w:rsidRPr="002F0B59">
        <w:rPr>
          <w:rFonts w:eastAsia="Calibri"/>
        </w:rPr>
        <w:t>տնտեսական</w:t>
      </w:r>
      <w:r w:rsidRPr="00323005">
        <w:rPr>
          <w:rFonts w:eastAsia="Calibri"/>
          <w:lang w:val="es-ES"/>
        </w:rPr>
        <w:t xml:space="preserve"> </w:t>
      </w:r>
      <w:r w:rsidRPr="002F0B59">
        <w:rPr>
          <w:rFonts w:eastAsia="Calibri"/>
        </w:rPr>
        <w:t>հետևանքների</w:t>
      </w:r>
      <w:r w:rsidRPr="00323005">
        <w:rPr>
          <w:rFonts w:eastAsia="Calibri"/>
          <w:lang w:val="es-ES"/>
        </w:rPr>
        <w:t xml:space="preserve"> </w:t>
      </w:r>
      <w:r w:rsidRPr="002F0B59">
        <w:rPr>
          <w:rFonts w:eastAsia="Calibri"/>
        </w:rPr>
        <w:t>վերաբերյալ</w:t>
      </w:r>
      <w:r w:rsidRPr="00323005">
        <w:rPr>
          <w:rFonts w:eastAsia="Calibri"/>
          <w:lang w:val="es-ES"/>
        </w:rPr>
        <w:t xml:space="preserve"> </w:t>
      </w:r>
      <w:r w:rsidRPr="002F0B59">
        <w:rPr>
          <w:rFonts w:eastAsia="Calibri"/>
        </w:rPr>
        <w:t>ՀՀ</w:t>
      </w:r>
      <w:r w:rsidRPr="00323005">
        <w:rPr>
          <w:rFonts w:eastAsia="Calibri"/>
          <w:lang w:val="es-ES"/>
        </w:rPr>
        <w:t xml:space="preserve"> </w:t>
      </w:r>
      <w:r w:rsidRPr="002F0B59">
        <w:rPr>
          <w:rFonts w:eastAsia="Calibri"/>
        </w:rPr>
        <w:t>ՖՆ</w:t>
      </w:r>
      <w:r w:rsidRPr="00323005">
        <w:rPr>
          <w:rFonts w:eastAsia="Calibri"/>
          <w:lang w:val="es-ES"/>
        </w:rPr>
        <w:t xml:space="preserve"> </w:t>
      </w:r>
      <w:r w:rsidRPr="002F0B59">
        <w:rPr>
          <w:rFonts w:eastAsia="Calibri"/>
        </w:rPr>
        <w:t>գնահատականները</w:t>
      </w:r>
      <w:r w:rsidRPr="00323005">
        <w:rPr>
          <w:rFonts w:eastAsia="Calibri"/>
          <w:lang w:val="es-ES"/>
        </w:rPr>
        <w:t xml:space="preserve">, </w:t>
      </w:r>
      <w:r w:rsidRPr="002F0B59">
        <w:rPr>
          <w:rFonts w:eastAsia="Calibri"/>
        </w:rPr>
        <w:t>ինչպես</w:t>
      </w:r>
      <w:r w:rsidRPr="00323005">
        <w:rPr>
          <w:rFonts w:eastAsia="Calibri"/>
          <w:lang w:val="es-ES"/>
        </w:rPr>
        <w:t xml:space="preserve"> </w:t>
      </w:r>
      <w:r w:rsidRPr="002F0B59">
        <w:rPr>
          <w:rFonts w:eastAsia="Calibri"/>
        </w:rPr>
        <w:t>նաև</w:t>
      </w:r>
      <w:r w:rsidRPr="00323005">
        <w:rPr>
          <w:rFonts w:eastAsia="Calibri"/>
          <w:lang w:val="es-ES"/>
        </w:rPr>
        <w:t xml:space="preserve"> </w:t>
      </w:r>
      <w:r w:rsidRPr="002F0B59">
        <w:rPr>
          <w:rFonts w:eastAsia="Calibri"/>
        </w:rPr>
        <w:t>ՀՀ</w:t>
      </w:r>
      <w:r w:rsidRPr="00323005">
        <w:rPr>
          <w:rFonts w:eastAsia="Calibri"/>
          <w:lang w:val="es-ES"/>
        </w:rPr>
        <w:t xml:space="preserve"> </w:t>
      </w:r>
      <w:r w:rsidRPr="002F0B59">
        <w:rPr>
          <w:rFonts w:eastAsia="Calibri"/>
        </w:rPr>
        <w:t>գործընկեր</w:t>
      </w:r>
      <w:r w:rsidRPr="00323005">
        <w:rPr>
          <w:rFonts w:eastAsia="Calibri"/>
          <w:lang w:val="es-ES"/>
        </w:rPr>
        <w:t xml:space="preserve"> </w:t>
      </w:r>
      <w:r w:rsidRPr="002F0B59">
        <w:rPr>
          <w:rFonts w:eastAsia="Calibri"/>
        </w:rPr>
        <w:t>երկրների</w:t>
      </w:r>
      <w:r w:rsidRPr="00323005">
        <w:rPr>
          <w:rFonts w:eastAsia="Calibri"/>
          <w:lang w:val="es-ES"/>
        </w:rPr>
        <w:t xml:space="preserve"> (</w:t>
      </w:r>
      <w:r w:rsidRPr="002F0B59">
        <w:rPr>
          <w:rFonts w:eastAsia="Calibri"/>
        </w:rPr>
        <w:t>միությունների</w:t>
      </w:r>
      <w:r w:rsidRPr="00323005">
        <w:rPr>
          <w:rFonts w:eastAsia="Calibri"/>
          <w:lang w:val="es-ES"/>
        </w:rPr>
        <w:t xml:space="preserve">) </w:t>
      </w:r>
      <w:r w:rsidRPr="002F0B59">
        <w:rPr>
          <w:rFonts w:eastAsia="Calibri"/>
        </w:rPr>
        <w:t>տնտեսական</w:t>
      </w:r>
      <w:r w:rsidRPr="00323005">
        <w:rPr>
          <w:rFonts w:eastAsia="Calibri"/>
          <w:lang w:val="es-ES"/>
        </w:rPr>
        <w:t xml:space="preserve">  </w:t>
      </w:r>
      <w:r w:rsidRPr="002F0B59">
        <w:rPr>
          <w:rFonts w:eastAsia="Calibri"/>
        </w:rPr>
        <w:t>զարգացումների</w:t>
      </w:r>
      <w:r w:rsidRPr="00323005">
        <w:rPr>
          <w:rFonts w:eastAsia="Calibri"/>
          <w:lang w:val="es-ES"/>
        </w:rPr>
        <w:t xml:space="preserve"> </w:t>
      </w:r>
      <w:r w:rsidRPr="002F0B59">
        <w:rPr>
          <w:rFonts w:eastAsia="Calibri"/>
        </w:rPr>
        <w:t>և</w:t>
      </w:r>
      <w:r w:rsidRPr="00323005">
        <w:rPr>
          <w:rFonts w:eastAsia="Calibri"/>
          <w:lang w:val="es-ES"/>
        </w:rPr>
        <w:t xml:space="preserve"> </w:t>
      </w:r>
      <w:r w:rsidRPr="002F0B59">
        <w:rPr>
          <w:rFonts w:eastAsia="Calibri"/>
        </w:rPr>
        <w:t>հումքային</w:t>
      </w:r>
      <w:r w:rsidRPr="00323005">
        <w:rPr>
          <w:rFonts w:eastAsia="Calibri"/>
          <w:lang w:val="es-ES"/>
        </w:rPr>
        <w:t xml:space="preserve"> </w:t>
      </w:r>
      <w:r w:rsidRPr="002F0B59">
        <w:rPr>
          <w:rFonts w:eastAsia="Calibri"/>
        </w:rPr>
        <w:t>ապրանքների</w:t>
      </w:r>
      <w:r w:rsidRPr="00323005">
        <w:rPr>
          <w:rFonts w:eastAsia="Calibri"/>
          <w:lang w:val="es-ES"/>
        </w:rPr>
        <w:t xml:space="preserve"> </w:t>
      </w:r>
      <w:r w:rsidRPr="002F0B59">
        <w:rPr>
          <w:rFonts w:eastAsia="Calibri"/>
        </w:rPr>
        <w:t>համաշխարհային</w:t>
      </w:r>
      <w:r w:rsidRPr="00323005">
        <w:rPr>
          <w:rFonts w:eastAsia="Calibri"/>
          <w:lang w:val="es-ES"/>
        </w:rPr>
        <w:t xml:space="preserve"> </w:t>
      </w:r>
      <w:r w:rsidRPr="002F0B59">
        <w:rPr>
          <w:rFonts w:eastAsia="Calibri"/>
        </w:rPr>
        <w:t>գների</w:t>
      </w:r>
      <w:r w:rsidRPr="00323005">
        <w:rPr>
          <w:rFonts w:eastAsia="Calibri"/>
          <w:lang w:val="es-ES"/>
        </w:rPr>
        <w:t xml:space="preserve"> </w:t>
      </w:r>
      <w:r w:rsidRPr="002F0B59">
        <w:rPr>
          <w:rFonts w:eastAsia="Calibri"/>
        </w:rPr>
        <w:t>համար</w:t>
      </w:r>
      <w:r w:rsidRPr="00323005">
        <w:rPr>
          <w:rFonts w:eastAsia="Calibri"/>
          <w:lang w:val="es-ES"/>
        </w:rPr>
        <w:t xml:space="preserve"> </w:t>
      </w:r>
      <w:r w:rsidRPr="002F0B59">
        <w:rPr>
          <w:rFonts w:eastAsia="Calibri"/>
        </w:rPr>
        <w:t>միջազգային</w:t>
      </w:r>
      <w:r w:rsidRPr="00323005">
        <w:rPr>
          <w:rFonts w:eastAsia="Calibri"/>
          <w:lang w:val="es-ES"/>
        </w:rPr>
        <w:t xml:space="preserve"> </w:t>
      </w:r>
      <w:r w:rsidRPr="002F0B59">
        <w:rPr>
          <w:rFonts w:eastAsia="Calibri"/>
        </w:rPr>
        <w:t>հեղինակավոր</w:t>
      </w:r>
      <w:r w:rsidRPr="00323005">
        <w:rPr>
          <w:rFonts w:eastAsia="Calibri"/>
          <w:lang w:val="es-ES"/>
        </w:rPr>
        <w:t xml:space="preserve"> </w:t>
      </w:r>
      <w:r w:rsidRPr="002F0B59">
        <w:rPr>
          <w:rFonts w:eastAsia="Calibri"/>
        </w:rPr>
        <w:t>կառույցների</w:t>
      </w:r>
      <w:r w:rsidRPr="00323005">
        <w:rPr>
          <w:rFonts w:eastAsia="Calibri"/>
          <w:lang w:val="es-ES"/>
        </w:rPr>
        <w:t xml:space="preserve"> </w:t>
      </w:r>
      <w:r w:rsidRPr="002F0B59">
        <w:rPr>
          <w:rFonts w:eastAsia="Calibri"/>
        </w:rPr>
        <w:t>կողմից</w:t>
      </w:r>
      <w:r w:rsidRPr="00323005">
        <w:rPr>
          <w:rFonts w:eastAsia="Calibri"/>
          <w:lang w:val="es-ES"/>
        </w:rPr>
        <w:t xml:space="preserve"> </w:t>
      </w:r>
      <w:r w:rsidRPr="002F0B59">
        <w:rPr>
          <w:rFonts w:eastAsia="Calibri"/>
        </w:rPr>
        <w:t>արված</w:t>
      </w:r>
      <w:r w:rsidRPr="00323005">
        <w:rPr>
          <w:rFonts w:eastAsia="Calibri"/>
          <w:lang w:val="es-ES"/>
        </w:rPr>
        <w:t xml:space="preserve"> </w:t>
      </w:r>
      <w:r w:rsidRPr="002F0B59">
        <w:rPr>
          <w:rFonts w:eastAsia="Calibri"/>
        </w:rPr>
        <w:t>կանխատեսումները։</w:t>
      </w:r>
    </w:p>
    <w:p w14:paraId="5BFAEF8D" w14:textId="77777777" w:rsidR="00323005" w:rsidRPr="00323005" w:rsidRDefault="00323005" w:rsidP="00560E10">
      <w:pPr>
        <w:pStyle w:val="Heading3"/>
        <w:rPr>
          <w:bCs/>
          <w:caps w:val="0"/>
          <w:color w:val="1F497D" w:themeColor="text2"/>
          <w:sz w:val="28"/>
          <w:szCs w:val="28"/>
          <w:lang w:val="es-ES"/>
        </w:rPr>
      </w:pPr>
    </w:p>
    <w:p w14:paraId="44C4EB35" w14:textId="77777777" w:rsidR="00323005" w:rsidRDefault="00323005" w:rsidP="00560E10">
      <w:pPr>
        <w:pStyle w:val="Heading3"/>
        <w:rPr>
          <w:bCs/>
          <w:caps w:val="0"/>
          <w:color w:val="1F497D" w:themeColor="text2"/>
          <w:sz w:val="28"/>
          <w:szCs w:val="28"/>
        </w:rPr>
      </w:pPr>
    </w:p>
    <w:p w14:paraId="51803B2D" w14:textId="77777777" w:rsidR="00323005" w:rsidRDefault="00560E10" w:rsidP="00560E10">
      <w:pPr>
        <w:pStyle w:val="Heading3"/>
        <w:rPr>
          <w:rFonts w:cs="Sylfaen"/>
          <w:bCs/>
          <w:caps w:val="0"/>
          <w:color w:val="1F497D" w:themeColor="text2"/>
          <w:sz w:val="28"/>
          <w:szCs w:val="28"/>
        </w:rPr>
      </w:pPr>
      <w:bookmarkStart w:id="174" w:name="_Toc77837843"/>
      <w:r w:rsidRPr="00772498">
        <w:rPr>
          <w:bCs/>
          <w:caps w:val="0"/>
          <w:color w:val="1F497D" w:themeColor="text2"/>
          <w:sz w:val="28"/>
          <w:szCs w:val="28"/>
        </w:rPr>
        <w:t>1</w:t>
      </w:r>
      <w:r w:rsidRPr="00772498">
        <w:rPr>
          <w:bCs/>
          <w:caps w:val="0"/>
          <w:color w:val="1F497D" w:themeColor="text2"/>
          <w:sz w:val="28"/>
          <w:szCs w:val="28"/>
          <w:lang w:val="af-ZA"/>
        </w:rPr>
        <w:t>.1</w:t>
      </w:r>
      <w:r w:rsidR="00B7540A">
        <w:rPr>
          <w:bCs/>
          <w:caps w:val="0"/>
          <w:color w:val="1F497D" w:themeColor="text2"/>
          <w:sz w:val="28"/>
          <w:szCs w:val="28"/>
          <w:lang w:val="af-ZA"/>
        </w:rPr>
        <w:t>.</w:t>
      </w:r>
      <w:r w:rsidRPr="00772498">
        <w:rPr>
          <w:bCs/>
          <w:caps w:val="0"/>
          <w:color w:val="1F497D" w:themeColor="text2"/>
          <w:sz w:val="28"/>
          <w:szCs w:val="28"/>
          <w:lang w:val="af-ZA"/>
        </w:rPr>
        <w:t xml:space="preserve"> </w:t>
      </w:r>
      <w:r w:rsidRPr="00772498">
        <w:rPr>
          <w:rFonts w:cs="Sylfaen"/>
          <w:bCs/>
          <w:caps w:val="0"/>
          <w:color w:val="1F497D" w:themeColor="text2"/>
          <w:sz w:val="28"/>
          <w:szCs w:val="28"/>
        </w:rPr>
        <w:t>ՄԱԿՐՈՏՆՏԵՍԱԿԱՆ</w:t>
      </w:r>
      <w:r w:rsidRPr="00772498">
        <w:rPr>
          <w:bCs/>
          <w:caps w:val="0"/>
          <w:color w:val="1F497D" w:themeColor="text2"/>
          <w:sz w:val="28"/>
          <w:szCs w:val="28"/>
        </w:rPr>
        <w:t xml:space="preserve"> </w:t>
      </w:r>
      <w:r w:rsidRPr="00772498">
        <w:rPr>
          <w:rFonts w:cs="Sylfaen"/>
          <w:bCs/>
          <w:caps w:val="0"/>
          <w:color w:val="1F497D" w:themeColor="text2"/>
          <w:sz w:val="28"/>
          <w:szCs w:val="28"/>
        </w:rPr>
        <w:t>ԱՄՓՈՓԱԳԻՐ</w:t>
      </w:r>
      <w:r w:rsidRPr="00772498">
        <w:rPr>
          <w:bCs/>
          <w:caps w:val="0"/>
          <w:color w:val="1F497D" w:themeColor="text2"/>
          <w:sz w:val="28"/>
          <w:szCs w:val="28"/>
        </w:rPr>
        <w:t xml:space="preserve"> </w:t>
      </w:r>
      <w:r w:rsidRPr="00772498">
        <w:rPr>
          <w:rFonts w:cs="Sylfaen"/>
          <w:bCs/>
          <w:caps w:val="0"/>
          <w:color w:val="1F497D" w:themeColor="text2"/>
          <w:sz w:val="28"/>
          <w:szCs w:val="28"/>
        </w:rPr>
        <w:t>ԵՎ</w:t>
      </w:r>
      <w:r w:rsidRPr="00772498">
        <w:rPr>
          <w:bCs/>
          <w:caps w:val="0"/>
          <w:color w:val="1F497D" w:themeColor="text2"/>
          <w:sz w:val="28"/>
          <w:szCs w:val="28"/>
        </w:rPr>
        <w:t xml:space="preserve"> </w:t>
      </w:r>
      <w:r w:rsidRPr="00772498">
        <w:rPr>
          <w:rFonts w:cs="Sylfaen"/>
          <w:bCs/>
          <w:caps w:val="0"/>
          <w:color w:val="1F497D" w:themeColor="text2"/>
          <w:sz w:val="28"/>
          <w:szCs w:val="28"/>
        </w:rPr>
        <w:t>ՇՐՋԱՆԱԿ</w:t>
      </w:r>
      <w:bookmarkEnd w:id="170"/>
      <w:bookmarkEnd w:id="171"/>
      <w:bookmarkEnd w:id="172"/>
      <w:bookmarkEnd w:id="174"/>
    </w:p>
    <w:p w14:paraId="3F6B0EE8" w14:textId="77777777" w:rsidR="00B7540A" w:rsidRPr="00B7540A" w:rsidRDefault="00560E10" w:rsidP="00C0628C">
      <w:pPr>
        <w:pStyle w:val="ListParagraph"/>
        <w:numPr>
          <w:ilvl w:val="0"/>
          <w:numId w:val="54"/>
        </w:numPr>
        <w:spacing w:before="60" w:after="40" w:line="276" w:lineRule="auto"/>
        <w:ind w:left="567"/>
        <w:rPr>
          <w:rFonts w:eastAsia="Calibri"/>
          <w:lang w:val="hy-AM"/>
        </w:rPr>
      </w:pPr>
      <w:r w:rsidRPr="00B7540A">
        <w:rPr>
          <w:bCs/>
          <w:color w:val="1F497D" w:themeColor="text2"/>
          <w:sz w:val="28"/>
          <w:szCs w:val="28"/>
          <w:lang w:val="hy-AM"/>
        </w:rPr>
        <w:t xml:space="preserve"> </w:t>
      </w:r>
      <w:r w:rsidR="00B7540A" w:rsidRPr="00B7540A">
        <w:rPr>
          <w:rFonts w:eastAsia="Calibri"/>
          <w:lang w:val="hy-AM"/>
        </w:rPr>
        <w:t>Ներկայումս աշխարհը դեռևս շարունակում է կրել համավարակի բացասական հետևանքները, սակայն դրանց աստիճանական չեզոքացման սպասումով: Արժույթի միջազգային հիմնադրամը (այսուհետև՝ ԱՄՀ) ապրիլին վերանայել է 2021 թվականի համաշխարհային տնտեսական աճի  կանխատեսումը դեպի վերև՝ հաշվի առնելով ընթացիկ զարգացումները և տարվա հաջորդ ամիսներին տնտեսական ակտիվության աճի սպասումները։ Վերջիններս ամրապնդվել են ի հաշիվ պատվաստանյութերի առկայության և որոշ խոշոր երկրներում 2021թ. համար հայտարարված լրացուցիչ օժանդակության միջոցառումների: ՀՀ գործընկեր երկրների տնտեսությունների համար կանխատեսվում է իրենց պոտենցիալ աճերից բարձր տնտեսական աճեր՝ նախանշելով վերականգման գործընթացը: Պատվաստանյութերը 2021թ. ամռանը լայնորեն մատչելի կլինեն զարգացած երկրներում և որոշ զարգացող երկրներում, իսկ մնացած երկրների մեծ մասում՝ 2022թ</w:t>
      </w:r>
      <w:r w:rsidR="00B7540A" w:rsidRPr="00B7540A">
        <w:rPr>
          <w:rFonts w:ascii="Cambria Math" w:eastAsia="MS Mincho" w:hAnsi="Cambria Math" w:cs="Cambria Math"/>
          <w:lang w:val="hy-AM"/>
        </w:rPr>
        <w:t>․</w:t>
      </w:r>
      <w:r w:rsidR="00B7540A" w:rsidRPr="00B7540A">
        <w:rPr>
          <w:rFonts w:eastAsia="Calibri"/>
          <w:lang w:val="hy-AM"/>
        </w:rPr>
        <w:t xml:space="preserve"> երկրորդ կեսին: Մինչև 2022թ</w:t>
      </w:r>
      <w:r w:rsidR="00B7540A" w:rsidRPr="00B7540A">
        <w:rPr>
          <w:rFonts w:ascii="Cambria Math" w:eastAsia="MS Mincho" w:hAnsi="Cambria Math" w:cs="Cambria Math"/>
          <w:lang w:val="hy-AM"/>
        </w:rPr>
        <w:t>․</w:t>
      </w:r>
      <w:r w:rsidR="00B7540A" w:rsidRPr="00B7540A">
        <w:rPr>
          <w:rFonts w:eastAsia="Calibri"/>
          <w:lang w:val="hy-AM"/>
        </w:rPr>
        <w:t xml:space="preserve"> ավարտը կանխատեսվում է, որ վարակի տարածումն ամենուր կնվազի:</w:t>
      </w:r>
    </w:p>
    <w:p w14:paraId="0927A0CB" w14:textId="77777777" w:rsidR="00B7540A" w:rsidRPr="00B7540A" w:rsidRDefault="00B7540A" w:rsidP="00C0628C">
      <w:pPr>
        <w:pStyle w:val="ListParagraph"/>
        <w:numPr>
          <w:ilvl w:val="0"/>
          <w:numId w:val="54"/>
        </w:numPr>
        <w:spacing w:before="60" w:after="40" w:line="276" w:lineRule="auto"/>
        <w:ind w:left="567"/>
        <w:rPr>
          <w:lang w:val="hy-AM"/>
        </w:rPr>
      </w:pPr>
      <w:r w:rsidRPr="00B7540A">
        <w:rPr>
          <w:lang w:val="hy-AM"/>
        </w:rPr>
        <w:t>2020թ</w:t>
      </w:r>
      <w:r w:rsidRPr="00B7540A">
        <w:rPr>
          <w:rFonts w:ascii="Cambria Math" w:eastAsia="MS Mincho" w:hAnsi="Cambria Math" w:cs="Cambria Math"/>
          <w:lang w:val="hy-AM"/>
        </w:rPr>
        <w:t>․</w:t>
      </w:r>
      <w:r w:rsidRPr="00B7540A">
        <w:rPr>
          <w:lang w:val="hy-AM"/>
        </w:rPr>
        <w:t xml:space="preserve"> սկիզբ առած նոր տիպի կորոնավիրուսի համավարակի, ինչպես նաև սեպտեմբեր-նոյեմբերին սանձազերծված Արցախյան պատերազմի ազդեցություններով պայմանավորված ՀՀ տնտեսության բացասական զարգացումները շարունակվեցին նաև 2021թ</w:t>
      </w:r>
      <w:r w:rsidRPr="00B7540A">
        <w:rPr>
          <w:rFonts w:ascii="Cambria Math" w:eastAsia="MS Mincho" w:hAnsi="Cambria Math" w:cs="Cambria Math"/>
          <w:lang w:val="hy-AM"/>
        </w:rPr>
        <w:t>․</w:t>
      </w:r>
      <w:r w:rsidRPr="00B7540A">
        <w:rPr>
          <w:lang w:val="hy-AM"/>
        </w:rPr>
        <w:t xml:space="preserve"> տարեսկզբին: Համավարակի և Արցախյան պատերազմի բացասական ազդեցությունների մեղմմանն ու տնտեսության վերականգնմանն ուղղված կառավարության կողմից իրականացված և իրականացվող հարկաբյուջետային միջոցառումների, ինչպես նաև Համավարակի համաշխարհային ճգնաժամի աստիճանական հաղթահարման պայմաններում տնտեսական աճը 2021թ. կվերականգնվի և միջնաժամկետ հատվածում կմոտենա իր ներուժային մակարդակին՝ վերջինիս բարձրացման համար նախադրյալներ ձևավորելով:</w:t>
      </w:r>
    </w:p>
    <w:p w14:paraId="50503C4D" w14:textId="77777777" w:rsidR="00B7540A" w:rsidRPr="00B7540A" w:rsidRDefault="00B7540A" w:rsidP="00C0628C">
      <w:pPr>
        <w:pStyle w:val="ListParagraph"/>
        <w:numPr>
          <w:ilvl w:val="0"/>
          <w:numId w:val="54"/>
        </w:numPr>
        <w:spacing w:before="60" w:after="40" w:line="276" w:lineRule="auto"/>
        <w:ind w:left="567"/>
        <w:rPr>
          <w:lang w:val="hy-AM"/>
        </w:rPr>
      </w:pPr>
      <w:r w:rsidRPr="00B7540A">
        <w:rPr>
          <w:lang w:val="hy-AM"/>
        </w:rPr>
        <w:t xml:space="preserve">ՀՀ կառավարությունը միջնաժամկետ հատվածում թիրախավորում է միջինում առնվազն 7% տնտեսական կայուն աճը։ Այս նպատակին հասնելու համար նախատեսվում է ձևավորել ճանապարհային քարտեզ՝ համապատասխան միջոցառումների ծրագրով և դրա իրագործմամբ բեկում մտցնել ՀՀ տնտեսության զարգացման մեջ։ Այդուհանդերձ, մինչ նշյալ միջոցառումների արդյունքների արձանագրումը, միջնաժամկետ ծախսերի ծրագրի բյուջետային շրջանակը նախագծված է մակրոտնտեսական կայունության համար կառավարելի ռիսկեր պարունակող՝ ՀՀ ներկա ներուժի գնահատականների հիման վրա։ </w:t>
      </w:r>
    </w:p>
    <w:p w14:paraId="3126246C" w14:textId="77777777" w:rsidR="00B7540A" w:rsidRPr="00B7540A" w:rsidRDefault="00B7540A" w:rsidP="00C0628C">
      <w:pPr>
        <w:pStyle w:val="ListParagraph"/>
        <w:numPr>
          <w:ilvl w:val="0"/>
          <w:numId w:val="54"/>
        </w:numPr>
        <w:spacing w:before="60" w:after="40" w:line="276" w:lineRule="auto"/>
        <w:ind w:left="567"/>
        <w:rPr>
          <w:lang w:val="hy-AM"/>
        </w:rPr>
      </w:pPr>
      <w:r w:rsidRPr="00B7540A">
        <w:rPr>
          <w:lang w:val="hy-AM"/>
        </w:rPr>
        <w:t xml:space="preserve">Տնտեսական ակտիվության և </w:t>
      </w:r>
      <w:sdt>
        <w:sdtPr>
          <w:tag w:val="goog_rdk_9"/>
          <w:id w:val="1467319611"/>
        </w:sdtPr>
        <w:sdtEndPr/>
        <w:sdtContent>
          <w:r w:rsidRPr="00B7540A">
            <w:rPr>
              <w:lang w:val="hy-AM"/>
            </w:rPr>
            <w:t xml:space="preserve">ներքին ու արտաքին </w:t>
          </w:r>
        </w:sdtContent>
      </w:sdt>
      <w:r w:rsidRPr="00B7540A">
        <w:rPr>
          <w:lang w:val="hy-AM"/>
        </w:rPr>
        <w:t>պահանջարկների աստիճանական վերականգնման պայմաններում կանխատեսվում է, որ 2021թ</w:t>
      </w:r>
      <w:r w:rsidRPr="00B7540A">
        <w:rPr>
          <w:rFonts w:ascii="Cambria Math" w:eastAsia="MS Mincho" w:hAnsi="Cambria Math" w:cs="Cambria Math"/>
          <w:lang w:val="hy-AM"/>
        </w:rPr>
        <w:t>․</w:t>
      </w:r>
      <w:r w:rsidRPr="00B7540A">
        <w:rPr>
          <w:lang w:val="hy-AM"/>
        </w:rPr>
        <w:t xml:space="preserve"> տեղի կունենա և՛ արտահանման, և՛ ներմուծման ծավալների աճ: Հիմնականում դրամական փոխանցումների արագ վերականգմամբ պայմանավորված 2021թ. ընթացիկ հաշվի պակասուրդը կբարելավվի, իսկ միջնաժամկետ հորիզոնում կմոտենա իր երկարաժամկետ հավասարակշիռ մակարդակին:</w:t>
      </w:r>
    </w:p>
    <w:p w14:paraId="1F5023E5" w14:textId="77777777" w:rsidR="00B7540A" w:rsidRPr="00B7540A" w:rsidRDefault="00B7540A" w:rsidP="00C0628C">
      <w:pPr>
        <w:pStyle w:val="ListParagraph"/>
        <w:numPr>
          <w:ilvl w:val="0"/>
          <w:numId w:val="54"/>
        </w:numPr>
        <w:spacing w:before="60" w:after="40" w:line="276" w:lineRule="auto"/>
        <w:ind w:left="567"/>
        <w:rPr>
          <w:lang w:val="hy-AM"/>
        </w:rPr>
      </w:pPr>
      <w:r w:rsidRPr="00B7540A">
        <w:rPr>
          <w:lang w:val="hy-AM"/>
        </w:rPr>
        <w:t>2021թ. ՀՀ Կառավարությունը կիրականացնի սահուն հարկաբյուջետային կոնսոլիդացիա՝ նպատակ ունենալով չխաթարել տնտեսության վերականգնումը և ապահովել պարտքի բեռի աճի տեմպի դանդաղում, իսկ միջնաժամկետում՝ տնտեսության վերականգնմանը զուգահեռ հարկաբյուջետային քաղաքականությունն ուղղված կլինի ՀՆԱ-ի մեջ պարտքի մակարդակի նվազեցմանը և կայունություն պահպանմանը, ինչպես նաև երկարաժամկետ տնտեսական աճի խթանմանը՝ շեշտադրվելով պետական ներդրումների մասնաբաժնի մեծացումը և ծախսերի իրականացման արդյունավետության բարձրացումը:</w:t>
      </w:r>
    </w:p>
    <w:p w14:paraId="607DC7CE" w14:textId="77777777" w:rsidR="00B7540A" w:rsidRPr="00B7540A" w:rsidRDefault="00B7540A" w:rsidP="00C0628C">
      <w:pPr>
        <w:pStyle w:val="ListParagraph"/>
        <w:numPr>
          <w:ilvl w:val="0"/>
          <w:numId w:val="54"/>
        </w:numPr>
        <w:spacing w:before="60" w:after="40" w:line="276" w:lineRule="auto"/>
        <w:ind w:left="567"/>
        <w:rPr>
          <w:lang w:val="hy-AM"/>
        </w:rPr>
      </w:pPr>
      <w:r w:rsidRPr="00B7540A">
        <w:rPr>
          <w:lang w:val="hy-AM"/>
        </w:rPr>
        <w:t>Կարճաժամկետ հատվածում ՀՀ կենտրոնական բանկը կշարունակի իրականացնել գնաճային սպասումների արագացման ռիսկերի չեզոքացմանն ուղղված դրամավարկային քաղաքականություն՝ միևնույն ժամանակ ապահովելով հնարավորին նպաստավոր պայմաններ ամբողջական պահանջարկի վերականգնման համար, իսկ միջնաժամկետ հատվածում գնաճի նպատակային ցուցանիշին հասնելու համար՝ ռիսկերի դրսևորման պարագայում պատրաստ է համապատասխանորեն արձագանքել։</w:t>
      </w:r>
    </w:p>
    <w:p w14:paraId="54670BD7" w14:textId="77777777" w:rsidR="00B7540A" w:rsidRPr="00B7540A" w:rsidRDefault="00B7540A" w:rsidP="00C0628C">
      <w:pPr>
        <w:pStyle w:val="ListParagraph"/>
        <w:numPr>
          <w:ilvl w:val="0"/>
          <w:numId w:val="54"/>
        </w:numPr>
        <w:spacing w:before="60" w:after="40" w:line="276" w:lineRule="auto"/>
        <w:ind w:left="567"/>
        <w:rPr>
          <w:lang w:val="hy-AM"/>
        </w:rPr>
      </w:pPr>
      <w:r w:rsidRPr="00B7540A">
        <w:rPr>
          <w:lang w:val="hy-AM"/>
        </w:rPr>
        <w:t xml:space="preserve">Պետք է նշել, որ համաշխարհային տնտեսության զարգացման ընթացքը մեծապես կախված է COVID-19 համավարակի հաղթահարմանն ուղղված առողջապահական միջոցառումներից, աջակցության փաթեթներից և պատվաստումների ծրագրերից։ Այս պայմաններում, ինչպես աշխարհի և ՀՀ գործընկերների, այնպես էլ ՄԺԾԾ շրջանակում ՀՀ տնտեսական աճի կանխատեսումների համար ռիսկերը գնահատվում են հավասարակշռված։ </w:t>
      </w:r>
    </w:p>
    <w:p w14:paraId="103E276D" w14:textId="77777777" w:rsidR="00B7540A" w:rsidRPr="00B7540A" w:rsidRDefault="00B7540A" w:rsidP="00B7540A">
      <w:pPr>
        <w:spacing w:line="276" w:lineRule="auto"/>
        <w:rPr>
          <w:rFonts w:eastAsia="GHEA Grapalat"/>
          <w:noProof/>
          <w:lang w:val="hy-AM"/>
        </w:rPr>
      </w:pPr>
      <w:r w:rsidRPr="00B7540A">
        <w:rPr>
          <w:rFonts w:eastAsia="GHEA Grapalat"/>
          <w:noProof/>
          <w:lang w:val="hy-AM"/>
        </w:rPr>
        <w:t>Ստորև՝ Աղյուսկա 1.1-ում և 1.2-ում ներկայացված են թիրախային (բարձր) տնտեսական աճի սցենարի և ՄԺԾԾ (բյուջետային) մակրոտնտեսական շրջանակները բնութագրող հիմնական ցուցանիշների համեմատականները և ՄԺԾԾ մակրոտնտեսական շրջանակը։</w:t>
      </w:r>
    </w:p>
    <w:p w14:paraId="3B7B3ECA" w14:textId="77777777" w:rsidR="00B7540A" w:rsidRPr="00586097" w:rsidRDefault="00B7540A" w:rsidP="00B7540A">
      <w:pPr>
        <w:pStyle w:val="afa"/>
        <w:spacing w:line="276" w:lineRule="auto"/>
      </w:pPr>
    </w:p>
    <w:p w14:paraId="02249C16" w14:textId="77777777" w:rsidR="00B7540A" w:rsidRPr="00B7540A" w:rsidRDefault="00B7540A" w:rsidP="00B7540A">
      <w:pPr>
        <w:spacing w:line="276" w:lineRule="auto"/>
        <w:rPr>
          <w:rFonts w:eastAsia="GHEA Grapalat"/>
          <w:noProof/>
          <w:lang w:val="hy-AM"/>
        </w:rPr>
      </w:pPr>
    </w:p>
    <w:p w14:paraId="51849D28" w14:textId="77777777" w:rsidR="00B7540A" w:rsidRPr="00B7540A" w:rsidRDefault="00B7540A" w:rsidP="00B7540A">
      <w:pPr>
        <w:spacing w:line="276" w:lineRule="auto"/>
        <w:rPr>
          <w:rFonts w:eastAsia="GHEA Grapalat"/>
          <w:noProof/>
          <w:lang w:val="hy-AM"/>
        </w:rPr>
        <w:sectPr w:rsidR="00B7540A" w:rsidRPr="00B7540A" w:rsidSect="00B7540A">
          <w:pgSz w:w="11906" w:h="16838" w:code="9"/>
          <w:pgMar w:top="851" w:right="851" w:bottom="851" w:left="1021" w:header="431" w:footer="578" w:gutter="0"/>
          <w:cols w:space="720"/>
          <w:titlePg/>
          <w:docGrid w:linePitch="360"/>
        </w:sectPr>
      </w:pPr>
    </w:p>
    <w:p w14:paraId="678DE4F8" w14:textId="77777777" w:rsidR="00B7540A" w:rsidRPr="00B7540A" w:rsidRDefault="00B7540A" w:rsidP="00B7540A">
      <w:pPr>
        <w:spacing w:line="276" w:lineRule="auto"/>
        <w:rPr>
          <w:rFonts w:eastAsia="GHEA Grapalat"/>
          <w:noProof/>
          <w:lang w:val="hy-AM"/>
        </w:rPr>
      </w:pPr>
    </w:p>
    <w:p w14:paraId="4995DBFB" w14:textId="77777777" w:rsidR="00B7540A" w:rsidRPr="00586097" w:rsidRDefault="00B7540A" w:rsidP="00B7540A">
      <w:pPr>
        <w:pStyle w:val="afa"/>
        <w:spacing w:line="276" w:lineRule="auto"/>
      </w:pPr>
      <w:r w:rsidRPr="00586097">
        <w:t>Աղյուսակ 1.1. 2022-2024թթ. Թիրախային տնտեսական աճի սցենարի և ՄԺԾԾ (բյուջետային՝ ներառյալ 2022թ. պետական բյուջեի) հիմնական մակրոտնտեսական ցուցանիշների համեմատական</w:t>
      </w:r>
    </w:p>
    <w:tbl>
      <w:tblPr>
        <w:tblStyle w:val="GridTable1Light-Accent52"/>
        <w:tblW w:w="4203" w:type="pct"/>
        <w:tblInd w:w="1119"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Layout w:type="fixed"/>
        <w:tblLook w:val="04A0" w:firstRow="1" w:lastRow="0" w:firstColumn="1" w:lastColumn="0" w:noHBand="0" w:noVBand="1"/>
      </w:tblPr>
      <w:tblGrid>
        <w:gridCol w:w="3635"/>
        <w:gridCol w:w="1130"/>
        <w:gridCol w:w="1138"/>
        <w:gridCol w:w="1130"/>
        <w:gridCol w:w="1130"/>
        <w:gridCol w:w="1130"/>
        <w:gridCol w:w="1130"/>
        <w:gridCol w:w="1130"/>
        <w:gridCol w:w="1135"/>
        <w:gridCol w:w="10"/>
      </w:tblGrid>
      <w:tr w:rsidR="00B7540A" w:rsidRPr="00586097" w14:paraId="34AC1EDC" w14:textId="77777777" w:rsidTr="00B7540A">
        <w:trPr>
          <w:cnfStyle w:val="100000000000" w:firstRow="1" w:lastRow="0" w:firstColumn="0" w:lastColumn="0" w:oddVBand="0" w:evenVBand="0" w:oddHBand="0" w:evenHBand="0" w:firstRowFirstColumn="0" w:firstRowLastColumn="0" w:lastRowFirstColumn="0" w:lastRowLastColumn="0"/>
          <w:trHeight w:val="680"/>
          <w:tblHeader/>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shd w:val="clear" w:color="auto" w:fill="B8CCE4" w:themeFill="accent1" w:themeFillTint="66"/>
            <w:noWrap/>
            <w:vAlign w:val="center"/>
          </w:tcPr>
          <w:p w14:paraId="1524F684" w14:textId="77777777" w:rsidR="00B7540A" w:rsidRPr="00586097" w:rsidRDefault="00B7540A" w:rsidP="00B7540A">
            <w:pPr>
              <w:spacing w:line="276" w:lineRule="auto"/>
              <w:ind w:firstLine="31"/>
            </w:pPr>
            <w:r w:rsidRPr="00586097">
              <w:t>Տարեթիվ</w:t>
            </w:r>
          </w:p>
        </w:tc>
        <w:tc>
          <w:tcPr>
            <w:tcW w:w="445" w:type="pct"/>
            <w:shd w:val="clear" w:color="auto" w:fill="B8CCE4" w:themeFill="accent1" w:themeFillTint="66"/>
            <w:noWrap/>
            <w:vAlign w:val="center"/>
          </w:tcPr>
          <w:p w14:paraId="4611E09F"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2020</w:t>
            </w:r>
          </w:p>
        </w:tc>
        <w:tc>
          <w:tcPr>
            <w:tcW w:w="448" w:type="pct"/>
            <w:shd w:val="clear" w:color="auto" w:fill="B8CCE4" w:themeFill="accent1" w:themeFillTint="66"/>
            <w:vAlign w:val="center"/>
          </w:tcPr>
          <w:p w14:paraId="36E31638"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2021</w:t>
            </w:r>
          </w:p>
        </w:tc>
        <w:tc>
          <w:tcPr>
            <w:tcW w:w="890" w:type="pct"/>
            <w:gridSpan w:val="2"/>
            <w:shd w:val="clear" w:color="auto" w:fill="B8CCE4" w:themeFill="accent1" w:themeFillTint="66"/>
            <w:vAlign w:val="center"/>
          </w:tcPr>
          <w:p w14:paraId="40D82FBF"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2022</w:t>
            </w:r>
          </w:p>
        </w:tc>
        <w:tc>
          <w:tcPr>
            <w:tcW w:w="890" w:type="pct"/>
            <w:gridSpan w:val="2"/>
            <w:shd w:val="clear" w:color="auto" w:fill="B8CCE4" w:themeFill="accent1" w:themeFillTint="66"/>
            <w:vAlign w:val="center"/>
          </w:tcPr>
          <w:p w14:paraId="40AC7E37"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2023</w:t>
            </w:r>
          </w:p>
        </w:tc>
        <w:tc>
          <w:tcPr>
            <w:tcW w:w="896" w:type="pct"/>
            <w:gridSpan w:val="3"/>
            <w:tcBorders>
              <w:right w:val="single" w:sz="12" w:space="0" w:color="4BACC6" w:themeColor="accent5"/>
            </w:tcBorders>
            <w:shd w:val="clear" w:color="auto" w:fill="B8CCE4" w:themeFill="accent1" w:themeFillTint="66"/>
            <w:vAlign w:val="center"/>
          </w:tcPr>
          <w:p w14:paraId="3472D6ED"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2024</w:t>
            </w:r>
          </w:p>
        </w:tc>
      </w:tr>
      <w:tr w:rsidR="00B7540A" w:rsidRPr="00586097" w14:paraId="75121F83" w14:textId="77777777" w:rsidTr="00B7540A">
        <w:trPr>
          <w:gridAfter w:val="1"/>
          <w:cnfStyle w:val="100000000000" w:firstRow="1" w:lastRow="0" w:firstColumn="0" w:lastColumn="0" w:oddVBand="0" w:evenVBand="0" w:oddHBand="0" w:evenHBand="0" w:firstRowFirstColumn="0" w:firstRowLastColumn="0" w:lastRowFirstColumn="0" w:lastRowLastColumn="0"/>
          <w:wAfter w:w="4" w:type="pct"/>
          <w:trHeight w:val="1035"/>
          <w:tblHeader/>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shd w:val="clear" w:color="auto" w:fill="DBE5F1" w:themeFill="accent1" w:themeFillTint="33"/>
            <w:noWrap/>
            <w:hideMark/>
          </w:tcPr>
          <w:p w14:paraId="4A28B2D1" w14:textId="77777777" w:rsidR="00B7540A" w:rsidRPr="00586097" w:rsidRDefault="00B7540A" w:rsidP="00B7540A">
            <w:pPr>
              <w:spacing w:line="276" w:lineRule="auto"/>
              <w:ind w:firstLine="31"/>
              <w:rPr>
                <w:b w:val="0"/>
                <w:bCs w:val="0"/>
              </w:rPr>
            </w:pPr>
            <w:r w:rsidRPr="00586097">
              <w:rPr>
                <w:rFonts w:ascii="Calibri" w:hAnsi="Calibri" w:cs="Calibri"/>
              </w:rPr>
              <w:t> </w:t>
            </w:r>
          </w:p>
        </w:tc>
        <w:tc>
          <w:tcPr>
            <w:tcW w:w="445" w:type="pct"/>
            <w:shd w:val="clear" w:color="auto" w:fill="DBE5F1" w:themeFill="accent1" w:themeFillTint="33"/>
            <w:noWrap/>
            <w:vAlign w:val="center"/>
            <w:hideMark/>
          </w:tcPr>
          <w:p w14:paraId="1660CE0D" w14:textId="77777777" w:rsidR="00B7540A" w:rsidRPr="00586097" w:rsidRDefault="00B7540A" w:rsidP="00B7540A">
            <w:pPr>
              <w:spacing w:line="276" w:lineRule="auto"/>
              <w:ind w:firstLine="31"/>
              <w:cnfStyle w:val="100000000000" w:firstRow="1" w:lastRow="0" w:firstColumn="0" w:lastColumn="0" w:oddVBand="0" w:evenVBand="0" w:oddHBand="0" w:evenHBand="0" w:firstRowFirstColumn="0" w:firstRowLastColumn="0" w:lastRowFirstColumn="0" w:lastRowLastColumn="0"/>
            </w:pPr>
            <w:r w:rsidRPr="00586097">
              <w:t>Փաստ</w:t>
            </w:r>
          </w:p>
        </w:tc>
        <w:tc>
          <w:tcPr>
            <w:tcW w:w="448" w:type="pct"/>
            <w:shd w:val="clear" w:color="auto" w:fill="DBE5F1" w:themeFill="accent1" w:themeFillTint="33"/>
          </w:tcPr>
          <w:p w14:paraId="1ACD7F33"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Բյուջետային սցենար</w:t>
            </w:r>
          </w:p>
        </w:tc>
        <w:tc>
          <w:tcPr>
            <w:tcW w:w="445" w:type="pct"/>
            <w:shd w:val="clear" w:color="auto" w:fill="B8CCE4" w:themeFill="accent1" w:themeFillTint="66"/>
          </w:tcPr>
          <w:p w14:paraId="58957D06"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Թիրախային սցենար</w:t>
            </w:r>
          </w:p>
        </w:tc>
        <w:tc>
          <w:tcPr>
            <w:tcW w:w="445" w:type="pct"/>
            <w:shd w:val="clear" w:color="auto" w:fill="DBE5F1" w:themeFill="accent1" w:themeFillTint="33"/>
          </w:tcPr>
          <w:p w14:paraId="79EA438A"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Բյուջետային սցենար</w:t>
            </w:r>
          </w:p>
        </w:tc>
        <w:tc>
          <w:tcPr>
            <w:tcW w:w="445" w:type="pct"/>
            <w:shd w:val="clear" w:color="auto" w:fill="B8CCE4" w:themeFill="accent1" w:themeFillTint="66"/>
          </w:tcPr>
          <w:p w14:paraId="2B2E08B5"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Թիրախային սցենար</w:t>
            </w:r>
          </w:p>
        </w:tc>
        <w:tc>
          <w:tcPr>
            <w:tcW w:w="445" w:type="pct"/>
            <w:shd w:val="clear" w:color="auto" w:fill="DBE5F1" w:themeFill="accent1" w:themeFillTint="33"/>
          </w:tcPr>
          <w:p w14:paraId="2010E019"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Բյուջետային սցենար</w:t>
            </w:r>
          </w:p>
        </w:tc>
        <w:tc>
          <w:tcPr>
            <w:tcW w:w="445" w:type="pct"/>
            <w:shd w:val="clear" w:color="auto" w:fill="B8CCE4" w:themeFill="accent1" w:themeFillTint="66"/>
          </w:tcPr>
          <w:p w14:paraId="4271D87A"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Թիրախային սցենար</w:t>
            </w:r>
          </w:p>
        </w:tc>
        <w:tc>
          <w:tcPr>
            <w:tcW w:w="447" w:type="pct"/>
            <w:tcBorders>
              <w:right w:val="single" w:sz="12" w:space="0" w:color="4BACC6" w:themeColor="accent5"/>
            </w:tcBorders>
            <w:shd w:val="clear" w:color="auto" w:fill="DBE5F1" w:themeFill="accent1" w:themeFillTint="33"/>
          </w:tcPr>
          <w:p w14:paraId="248A9F68"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Բյուջետային սցենար</w:t>
            </w:r>
          </w:p>
        </w:tc>
      </w:tr>
      <w:tr w:rsidR="00B7540A" w:rsidRPr="00586097" w14:paraId="6AC63848" w14:textId="77777777" w:rsidTr="00B7540A">
        <w:trPr>
          <w:gridAfter w:val="1"/>
          <w:cnfStyle w:val="100000000000" w:firstRow="1" w:lastRow="0" w:firstColumn="0" w:lastColumn="0" w:oddVBand="0" w:evenVBand="0" w:oddHBand="0" w:evenHBand="0" w:firstRowFirstColumn="0" w:firstRowLastColumn="0" w:lastRowFirstColumn="0" w:lastRowLastColumn="0"/>
          <w:wAfter w:w="4" w:type="pct"/>
          <w:trHeight w:val="345"/>
          <w:tblHeader/>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shd w:val="clear" w:color="auto" w:fill="B8CCE4" w:themeFill="accent1" w:themeFillTint="66"/>
            <w:noWrap/>
            <w:vAlign w:val="center"/>
          </w:tcPr>
          <w:p w14:paraId="534FD069" w14:textId="77777777" w:rsidR="00B7540A" w:rsidRPr="00586097" w:rsidRDefault="00B7540A" w:rsidP="00B7540A">
            <w:pPr>
              <w:spacing w:line="276" w:lineRule="auto"/>
              <w:ind w:firstLine="31"/>
              <w:jc w:val="center"/>
            </w:pPr>
            <w:r w:rsidRPr="00586097">
              <w:t>1</w:t>
            </w:r>
          </w:p>
        </w:tc>
        <w:tc>
          <w:tcPr>
            <w:tcW w:w="445" w:type="pct"/>
            <w:shd w:val="clear" w:color="auto" w:fill="B8CCE4" w:themeFill="accent1" w:themeFillTint="66"/>
            <w:noWrap/>
            <w:vAlign w:val="center"/>
          </w:tcPr>
          <w:p w14:paraId="37FB34AC"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rPr>
                <w:rFonts w:eastAsia="Calibri"/>
              </w:rPr>
            </w:pPr>
            <w:r w:rsidRPr="00586097">
              <w:rPr>
                <w:rFonts w:eastAsia="Calibri"/>
              </w:rPr>
              <w:t>2</w:t>
            </w:r>
          </w:p>
        </w:tc>
        <w:tc>
          <w:tcPr>
            <w:tcW w:w="448" w:type="pct"/>
            <w:shd w:val="clear" w:color="auto" w:fill="B8CCE4" w:themeFill="accent1" w:themeFillTint="66"/>
            <w:noWrap/>
            <w:vAlign w:val="center"/>
          </w:tcPr>
          <w:p w14:paraId="3B206CDF"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3</w:t>
            </w:r>
          </w:p>
        </w:tc>
        <w:tc>
          <w:tcPr>
            <w:tcW w:w="445" w:type="pct"/>
            <w:shd w:val="clear" w:color="auto" w:fill="B8CCE4" w:themeFill="accent1" w:themeFillTint="66"/>
            <w:noWrap/>
            <w:vAlign w:val="center"/>
          </w:tcPr>
          <w:p w14:paraId="65FD7E4D"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4</w:t>
            </w:r>
          </w:p>
        </w:tc>
        <w:tc>
          <w:tcPr>
            <w:tcW w:w="445" w:type="pct"/>
            <w:shd w:val="clear" w:color="auto" w:fill="B8CCE4" w:themeFill="accent1" w:themeFillTint="66"/>
            <w:noWrap/>
            <w:vAlign w:val="center"/>
          </w:tcPr>
          <w:p w14:paraId="48E34144"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rPr>
                <w:rFonts w:eastAsia="Calibri"/>
              </w:rPr>
            </w:pPr>
            <w:r w:rsidRPr="00586097">
              <w:rPr>
                <w:rFonts w:eastAsia="Calibri"/>
              </w:rPr>
              <w:t>5</w:t>
            </w:r>
          </w:p>
        </w:tc>
        <w:tc>
          <w:tcPr>
            <w:tcW w:w="445" w:type="pct"/>
            <w:shd w:val="clear" w:color="auto" w:fill="B8CCE4" w:themeFill="accent1" w:themeFillTint="66"/>
            <w:noWrap/>
            <w:vAlign w:val="center"/>
          </w:tcPr>
          <w:p w14:paraId="514B99C1"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6</w:t>
            </w:r>
          </w:p>
        </w:tc>
        <w:tc>
          <w:tcPr>
            <w:tcW w:w="445" w:type="pct"/>
            <w:shd w:val="clear" w:color="auto" w:fill="B8CCE4" w:themeFill="accent1" w:themeFillTint="66"/>
            <w:noWrap/>
            <w:vAlign w:val="center"/>
          </w:tcPr>
          <w:p w14:paraId="5C5668F6"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rPr>
                <w:rFonts w:eastAsia="Calibri"/>
              </w:rPr>
            </w:pPr>
            <w:r w:rsidRPr="00586097">
              <w:rPr>
                <w:rFonts w:eastAsia="Calibri"/>
              </w:rPr>
              <w:t>7</w:t>
            </w:r>
          </w:p>
        </w:tc>
        <w:tc>
          <w:tcPr>
            <w:tcW w:w="445" w:type="pct"/>
            <w:shd w:val="clear" w:color="auto" w:fill="B8CCE4" w:themeFill="accent1" w:themeFillTint="66"/>
            <w:noWrap/>
            <w:vAlign w:val="center"/>
          </w:tcPr>
          <w:p w14:paraId="7A059C20"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pPr>
            <w:r w:rsidRPr="00586097">
              <w:t>8</w:t>
            </w:r>
          </w:p>
        </w:tc>
        <w:tc>
          <w:tcPr>
            <w:tcW w:w="447" w:type="pct"/>
            <w:tcBorders>
              <w:right w:val="single" w:sz="12" w:space="0" w:color="4BACC6" w:themeColor="accent5"/>
            </w:tcBorders>
            <w:shd w:val="clear" w:color="auto" w:fill="B8CCE4" w:themeFill="accent1" w:themeFillTint="66"/>
            <w:noWrap/>
            <w:vAlign w:val="center"/>
          </w:tcPr>
          <w:p w14:paraId="44437402" w14:textId="77777777" w:rsidR="00B7540A" w:rsidRPr="00586097" w:rsidRDefault="00B7540A" w:rsidP="00B7540A">
            <w:pPr>
              <w:spacing w:line="276" w:lineRule="auto"/>
              <w:ind w:firstLine="31"/>
              <w:jc w:val="center"/>
              <w:cnfStyle w:val="100000000000" w:firstRow="1" w:lastRow="0" w:firstColumn="0" w:lastColumn="0" w:oddVBand="0" w:evenVBand="0" w:oddHBand="0" w:evenHBand="0" w:firstRowFirstColumn="0" w:firstRowLastColumn="0" w:lastRowFirstColumn="0" w:lastRowLastColumn="0"/>
              <w:rPr>
                <w:rFonts w:eastAsia="Calibri"/>
              </w:rPr>
            </w:pPr>
            <w:r w:rsidRPr="00586097">
              <w:rPr>
                <w:rFonts w:eastAsia="Calibri"/>
              </w:rPr>
              <w:t>9</w:t>
            </w:r>
          </w:p>
        </w:tc>
      </w:tr>
      <w:tr w:rsidR="00B7540A" w:rsidRPr="00586097" w14:paraId="60303C9F" w14:textId="77777777" w:rsidTr="00B7540A">
        <w:trPr>
          <w:gridAfter w:val="1"/>
          <w:wAfter w:w="4" w:type="pct"/>
          <w:trHeight w:val="345"/>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noWrap/>
            <w:vAlign w:val="center"/>
            <w:hideMark/>
          </w:tcPr>
          <w:p w14:paraId="516A0DE7" w14:textId="77777777" w:rsidR="00B7540A" w:rsidRPr="00586097" w:rsidRDefault="00B7540A" w:rsidP="00B7540A">
            <w:pPr>
              <w:spacing w:line="276" w:lineRule="auto"/>
              <w:ind w:firstLine="31"/>
              <w:jc w:val="left"/>
              <w:rPr>
                <w:b w:val="0"/>
                <w:bCs w:val="0"/>
              </w:rPr>
            </w:pPr>
            <w:r w:rsidRPr="00586097">
              <w:t>Անվանական ՀՆԱ, մլրդ դրամ</w:t>
            </w:r>
          </w:p>
        </w:tc>
        <w:tc>
          <w:tcPr>
            <w:tcW w:w="445" w:type="pct"/>
            <w:noWrap/>
            <w:vAlign w:val="center"/>
          </w:tcPr>
          <w:p w14:paraId="6CA4388C"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6,181.7</w:t>
            </w:r>
          </w:p>
        </w:tc>
        <w:tc>
          <w:tcPr>
            <w:tcW w:w="448" w:type="pct"/>
            <w:noWrap/>
            <w:vAlign w:val="center"/>
          </w:tcPr>
          <w:p w14:paraId="731A46B2"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6,880.2</w:t>
            </w:r>
          </w:p>
        </w:tc>
        <w:tc>
          <w:tcPr>
            <w:tcW w:w="445" w:type="pct"/>
            <w:shd w:val="clear" w:color="auto" w:fill="B8CCE4" w:themeFill="accent1" w:themeFillTint="66"/>
            <w:noWrap/>
            <w:vAlign w:val="center"/>
          </w:tcPr>
          <w:p w14:paraId="521713F9"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7,707.6</w:t>
            </w:r>
          </w:p>
        </w:tc>
        <w:tc>
          <w:tcPr>
            <w:tcW w:w="445" w:type="pct"/>
            <w:noWrap/>
            <w:vAlign w:val="center"/>
          </w:tcPr>
          <w:p w14:paraId="5A66144B"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7,570.8</w:t>
            </w:r>
          </w:p>
        </w:tc>
        <w:tc>
          <w:tcPr>
            <w:tcW w:w="445" w:type="pct"/>
            <w:shd w:val="clear" w:color="auto" w:fill="B8CCE4" w:themeFill="accent1" w:themeFillTint="66"/>
            <w:noWrap/>
            <w:vAlign w:val="center"/>
          </w:tcPr>
          <w:p w14:paraId="19255D1C"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8,584.9</w:t>
            </w:r>
          </w:p>
        </w:tc>
        <w:tc>
          <w:tcPr>
            <w:tcW w:w="445" w:type="pct"/>
            <w:noWrap/>
            <w:vAlign w:val="center"/>
          </w:tcPr>
          <w:p w14:paraId="4971C92C"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8,171.1</w:t>
            </w:r>
          </w:p>
        </w:tc>
        <w:tc>
          <w:tcPr>
            <w:tcW w:w="445" w:type="pct"/>
            <w:shd w:val="clear" w:color="auto" w:fill="B8CCE4" w:themeFill="accent1" w:themeFillTint="66"/>
            <w:noWrap/>
            <w:vAlign w:val="center"/>
          </w:tcPr>
          <w:p w14:paraId="2D3F7A32"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9,553.1</w:t>
            </w:r>
          </w:p>
        </w:tc>
        <w:tc>
          <w:tcPr>
            <w:tcW w:w="447" w:type="pct"/>
            <w:tcBorders>
              <w:right w:val="single" w:sz="12" w:space="0" w:color="4BACC6" w:themeColor="accent5"/>
            </w:tcBorders>
            <w:noWrap/>
            <w:vAlign w:val="center"/>
          </w:tcPr>
          <w:p w14:paraId="773FA880"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8,835.4</w:t>
            </w:r>
          </w:p>
        </w:tc>
      </w:tr>
      <w:tr w:rsidR="00B7540A" w:rsidRPr="00586097" w14:paraId="1BC6A71A" w14:textId="77777777" w:rsidTr="00B7540A">
        <w:trPr>
          <w:gridAfter w:val="1"/>
          <w:wAfter w:w="4" w:type="pct"/>
          <w:trHeight w:val="345"/>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shd w:val="clear" w:color="auto" w:fill="B8CCE4" w:themeFill="accent1" w:themeFillTint="66"/>
            <w:noWrap/>
            <w:vAlign w:val="center"/>
            <w:hideMark/>
          </w:tcPr>
          <w:p w14:paraId="35927EFF" w14:textId="77777777" w:rsidR="00B7540A" w:rsidRPr="00586097" w:rsidRDefault="00B7540A" w:rsidP="00B7540A">
            <w:pPr>
              <w:spacing w:line="276" w:lineRule="auto"/>
              <w:ind w:firstLine="31"/>
              <w:jc w:val="left"/>
              <w:rPr>
                <w:b w:val="0"/>
                <w:bCs w:val="0"/>
              </w:rPr>
            </w:pPr>
            <w:r w:rsidRPr="00586097">
              <w:t>Իրական ՀՆԱ աճ,%</w:t>
            </w:r>
          </w:p>
        </w:tc>
        <w:tc>
          <w:tcPr>
            <w:tcW w:w="445" w:type="pct"/>
            <w:shd w:val="clear" w:color="auto" w:fill="B8CCE4" w:themeFill="accent1" w:themeFillTint="66"/>
            <w:noWrap/>
            <w:vAlign w:val="center"/>
          </w:tcPr>
          <w:p w14:paraId="501ED14E"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-7.4</w:t>
            </w:r>
          </w:p>
        </w:tc>
        <w:tc>
          <w:tcPr>
            <w:tcW w:w="448" w:type="pct"/>
            <w:shd w:val="clear" w:color="auto" w:fill="B8CCE4" w:themeFill="accent1" w:themeFillTint="66"/>
            <w:noWrap/>
            <w:vAlign w:val="center"/>
          </w:tcPr>
          <w:p w14:paraId="495080EA"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6.0</w:t>
            </w:r>
          </w:p>
        </w:tc>
        <w:tc>
          <w:tcPr>
            <w:tcW w:w="445" w:type="pct"/>
            <w:shd w:val="clear" w:color="auto" w:fill="B8CCE4" w:themeFill="accent1" w:themeFillTint="66"/>
            <w:noWrap/>
            <w:vAlign w:val="center"/>
          </w:tcPr>
          <w:p w14:paraId="306E7A35"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7.1</w:t>
            </w:r>
          </w:p>
        </w:tc>
        <w:tc>
          <w:tcPr>
            <w:tcW w:w="445" w:type="pct"/>
            <w:shd w:val="clear" w:color="auto" w:fill="B8CCE4" w:themeFill="accent1" w:themeFillTint="66"/>
            <w:noWrap/>
            <w:vAlign w:val="center"/>
          </w:tcPr>
          <w:p w14:paraId="19531DFF"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5.2</w:t>
            </w:r>
          </w:p>
        </w:tc>
        <w:tc>
          <w:tcPr>
            <w:tcW w:w="445" w:type="pct"/>
            <w:shd w:val="clear" w:color="auto" w:fill="B8CCE4" w:themeFill="accent1" w:themeFillTint="66"/>
            <w:noWrap/>
            <w:vAlign w:val="center"/>
          </w:tcPr>
          <w:p w14:paraId="24B271D7"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7.1</w:t>
            </w:r>
          </w:p>
        </w:tc>
        <w:tc>
          <w:tcPr>
            <w:tcW w:w="445" w:type="pct"/>
            <w:shd w:val="clear" w:color="auto" w:fill="B8CCE4" w:themeFill="accent1" w:themeFillTint="66"/>
            <w:noWrap/>
            <w:vAlign w:val="center"/>
          </w:tcPr>
          <w:p w14:paraId="6CC61367"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3.7</w:t>
            </w:r>
          </w:p>
        </w:tc>
        <w:tc>
          <w:tcPr>
            <w:tcW w:w="445" w:type="pct"/>
            <w:shd w:val="clear" w:color="auto" w:fill="B8CCE4" w:themeFill="accent1" w:themeFillTint="66"/>
            <w:noWrap/>
            <w:vAlign w:val="center"/>
          </w:tcPr>
          <w:p w14:paraId="05E34F82"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7.0</w:t>
            </w:r>
          </w:p>
        </w:tc>
        <w:tc>
          <w:tcPr>
            <w:tcW w:w="447" w:type="pct"/>
            <w:tcBorders>
              <w:right w:val="single" w:sz="12" w:space="0" w:color="4BACC6" w:themeColor="accent5"/>
            </w:tcBorders>
            <w:shd w:val="clear" w:color="auto" w:fill="B8CCE4" w:themeFill="accent1" w:themeFillTint="66"/>
            <w:noWrap/>
            <w:vAlign w:val="center"/>
          </w:tcPr>
          <w:p w14:paraId="7C6DCFB7"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4.0</w:t>
            </w:r>
          </w:p>
        </w:tc>
      </w:tr>
      <w:tr w:rsidR="00B7540A" w:rsidRPr="00586097" w14:paraId="46A7D918" w14:textId="77777777" w:rsidTr="00B7540A">
        <w:trPr>
          <w:gridAfter w:val="1"/>
          <w:wAfter w:w="4" w:type="pct"/>
          <w:trHeight w:val="345"/>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noWrap/>
            <w:vAlign w:val="center"/>
            <w:hideMark/>
          </w:tcPr>
          <w:p w14:paraId="2F056198" w14:textId="77777777" w:rsidR="00B7540A" w:rsidRPr="00586097" w:rsidRDefault="00B7540A" w:rsidP="00B7540A">
            <w:pPr>
              <w:spacing w:line="276" w:lineRule="auto"/>
              <w:ind w:firstLine="31"/>
              <w:jc w:val="left"/>
              <w:rPr>
                <w:b w:val="0"/>
                <w:bCs w:val="0"/>
              </w:rPr>
            </w:pPr>
            <w:r w:rsidRPr="00586097">
              <w:t>ՀՆԱ դեֆլյատոր, %</w:t>
            </w:r>
          </w:p>
        </w:tc>
        <w:tc>
          <w:tcPr>
            <w:tcW w:w="445" w:type="pct"/>
            <w:noWrap/>
            <w:vAlign w:val="center"/>
          </w:tcPr>
          <w:p w14:paraId="7C7DD331"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2.0</w:t>
            </w:r>
          </w:p>
        </w:tc>
        <w:tc>
          <w:tcPr>
            <w:tcW w:w="448" w:type="pct"/>
            <w:noWrap/>
            <w:vAlign w:val="center"/>
          </w:tcPr>
          <w:p w14:paraId="021BE9E1"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5.0</w:t>
            </w:r>
          </w:p>
        </w:tc>
        <w:tc>
          <w:tcPr>
            <w:tcW w:w="445" w:type="pct"/>
            <w:shd w:val="clear" w:color="auto" w:fill="B8CCE4" w:themeFill="accent1" w:themeFillTint="66"/>
            <w:noWrap/>
            <w:vAlign w:val="center"/>
          </w:tcPr>
          <w:p w14:paraId="03E7FF95"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4.6</w:t>
            </w:r>
          </w:p>
        </w:tc>
        <w:tc>
          <w:tcPr>
            <w:tcW w:w="445" w:type="pct"/>
            <w:noWrap/>
            <w:vAlign w:val="center"/>
          </w:tcPr>
          <w:p w14:paraId="7644BC5D"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4.6</w:t>
            </w:r>
          </w:p>
        </w:tc>
        <w:tc>
          <w:tcPr>
            <w:tcW w:w="445" w:type="pct"/>
            <w:shd w:val="clear" w:color="auto" w:fill="B8CCE4" w:themeFill="accent1" w:themeFillTint="66"/>
            <w:noWrap/>
            <w:vAlign w:val="center"/>
          </w:tcPr>
          <w:p w14:paraId="45FB2653"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4.0</w:t>
            </w:r>
          </w:p>
        </w:tc>
        <w:tc>
          <w:tcPr>
            <w:tcW w:w="445" w:type="pct"/>
            <w:noWrap/>
            <w:vAlign w:val="center"/>
          </w:tcPr>
          <w:p w14:paraId="4EFA1418"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4.0</w:t>
            </w:r>
          </w:p>
        </w:tc>
        <w:tc>
          <w:tcPr>
            <w:tcW w:w="445" w:type="pct"/>
            <w:shd w:val="clear" w:color="auto" w:fill="B8CCE4" w:themeFill="accent1" w:themeFillTint="66"/>
            <w:noWrap/>
            <w:vAlign w:val="center"/>
          </w:tcPr>
          <w:p w14:paraId="6AE1C3AB"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4.0</w:t>
            </w:r>
          </w:p>
        </w:tc>
        <w:tc>
          <w:tcPr>
            <w:tcW w:w="447" w:type="pct"/>
            <w:tcBorders>
              <w:right w:val="single" w:sz="12" w:space="0" w:color="4BACC6" w:themeColor="accent5"/>
            </w:tcBorders>
            <w:noWrap/>
            <w:vAlign w:val="center"/>
          </w:tcPr>
          <w:p w14:paraId="721C66FC"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rPr>
                <w:rFonts w:eastAsia="Calibri"/>
              </w:rPr>
              <w:t>4.0</w:t>
            </w:r>
          </w:p>
        </w:tc>
      </w:tr>
      <w:tr w:rsidR="00B7540A" w:rsidRPr="00586097" w14:paraId="19B64909" w14:textId="77777777" w:rsidTr="00B7540A">
        <w:trPr>
          <w:gridAfter w:val="1"/>
          <w:wAfter w:w="4" w:type="pct"/>
          <w:trHeight w:val="345"/>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noWrap/>
            <w:vAlign w:val="center"/>
            <w:hideMark/>
          </w:tcPr>
          <w:p w14:paraId="304037D3" w14:textId="77777777" w:rsidR="00B7540A" w:rsidRPr="00586097" w:rsidRDefault="00B7540A" w:rsidP="00B7540A">
            <w:pPr>
              <w:spacing w:line="276" w:lineRule="auto"/>
              <w:ind w:firstLine="31"/>
              <w:jc w:val="left"/>
              <w:rPr>
                <w:b w:val="0"/>
                <w:bCs w:val="0"/>
              </w:rPr>
            </w:pPr>
            <w:r w:rsidRPr="00586097">
              <w:t>1 շնչին ընկնող ՀՆԱ, ԱՄՆ դոլար</w:t>
            </w:r>
          </w:p>
        </w:tc>
        <w:tc>
          <w:tcPr>
            <w:tcW w:w="445" w:type="pct"/>
            <w:noWrap/>
            <w:vAlign w:val="center"/>
          </w:tcPr>
          <w:p w14:paraId="2AAA65C8"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4269</w:t>
            </w:r>
          </w:p>
        </w:tc>
        <w:tc>
          <w:tcPr>
            <w:tcW w:w="448" w:type="pct"/>
            <w:noWrap/>
            <w:vAlign w:val="center"/>
          </w:tcPr>
          <w:p w14:paraId="660F721C"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4561</w:t>
            </w:r>
          </w:p>
        </w:tc>
        <w:tc>
          <w:tcPr>
            <w:tcW w:w="445" w:type="pct"/>
            <w:shd w:val="clear" w:color="auto" w:fill="B8CCE4" w:themeFill="accent1" w:themeFillTint="66"/>
            <w:noWrap/>
            <w:vAlign w:val="center"/>
          </w:tcPr>
          <w:p w14:paraId="79998ECF"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5054</w:t>
            </w:r>
          </w:p>
        </w:tc>
        <w:tc>
          <w:tcPr>
            <w:tcW w:w="445" w:type="pct"/>
            <w:noWrap/>
            <w:vAlign w:val="center"/>
          </w:tcPr>
          <w:p w14:paraId="130897F5"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4964</w:t>
            </w:r>
          </w:p>
        </w:tc>
        <w:tc>
          <w:tcPr>
            <w:tcW w:w="445" w:type="pct"/>
            <w:shd w:val="clear" w:color="auto" w:fill="B8CCE4" w:themeFill="accent1" w:themeFillTint="66"/>
            <w:noWrap/>
            <w:vAlign w:val="center"/>
          </w:tcPr>
          <w:p w14:paraId="4BBA561D"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5601</w:t>
            </w:r>
          </w:p>
        </w:tc>
        <w:tc>
          <w:tcPr>
            <w:tcW w:w="445" w:type="pct"/>
            <w:noWrap/>
            <w:vAlign w:val="center"/>
          </w:tcPr>
          <w:p w14:paraId="468674A5"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5331</w:t>
            </w:r>
          </w:p>
        </w:tc>
        <w:tc>
          <w:tcPr>
            <w:tcW w:w="445" w:type="pct"/>
            <w:shd w:val="clear" w:color="auto" w:fill="B8CCE4" w:themeFill="accent1" w:themeFillTint="66"/>
            <w:noWrap/>
            <w:vAlign w:val="center"/>
          </w:tcPr>
          <w:p w14:paraId="2F35BD2D"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6202</w:t>
            </w:r>
          </w:p>
        </w:tc>
        <w:tc>
          <w:tcPr>
            <w:tcW w:w="447" w:type="pct"/>
            <w:tcBorders>
              <w:right w:val="single" w:sz="12" w:space="0" w:color="4BACC6" w:themeColor="accent5"/>
            </w:tcBorders>
            <w:noWrap/>
            <w:vAlign w:val="center"/>
          </w:tcPr>
          <w:p w14:paraId="3BA73C04"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5736</w:t>
            </w:r>
          </w:p>
        </w:tc>
      </w:tr>
      <w:tr w:rsidR="00B7540A" w:rsidRPr="00586097" w14:paraId="0F7F3BC6" w14:textId="77777777" w:rsidTr="00B7540A">
        <w:trPr>
          <w:gridAfter w:val="1"/>
          <w:wAfter w:w="4" w:type="pct"/>
          <w:trHeight w:val="345"/>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noWrap/>
            <w:vAlign w:val="center"/>
            <w:hideMark/>
          </w:tcPr>
          <w:p w14:paraId="011CA11C" w14:textId="77777777" w:rsidR="00B7540A" w:rsidRPr="00586097" w:rsidRDefault="00B7540A" w:rsidP="00B7540A">
            <w:pPr>
              <w:spacing w:line="276" w:lineRule="auto"/>
              <w:ind w:firstLine="31"/>
              <w:jc w:val="left"/>
              <w:rPr>
                <w:b w:val="0"/>
                <w:bCs w:val="0"/>
              </w:rPr>
            </w:pPr>
            <w:r w:rsidRPr="00586097">
              <w:t>Սպառում, % ՀՆԱ-ում</w:t>
            </w:r>
          </w:p>
        </w:tc>
        <w:tc>
          <w:tcPr>
            <w:tcW w:w="445" w:type="pct"/>
            <w:noWrap/>
            <w:vAlign w:val="center"/>
          </w:tcPr>
          <w:p w14:paraId="425D638C"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91.4</w:t>
            </w:r>
          </w:p>
        </w:tc>
        <w:tc>
          <w:tcPr>
            <w:tcW w:w="448" w:type="pct"/>
            <w:noWrap/>
            <w:vAlign w:val="center"/>
          </w:tcPr>
          <w:p w14:paraId="13C0CA6E"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93.1</w:t>
            </w:r>
          </w:p>
        </w:tc>
        <w:tc>
          <w:tcPr>
            <w:tcW w:w="445" w:type="pct"/>
            <w:shd w:val="clear" w:color="auto" w:fill="B8CCE4" w:themeFill="accent1" w:themeFillTint="66"/>
            <w:noWrap/>
            <w:vAlign w:val="center"/>
          </w:tcPr>
          <w:p w14:paraId="6622915C"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93.4</w:t>
            </w:r>
          </w:p>
        </w:tc>
        <w:tc>
          <w:tcPr>
            <w:tcW w:w="445" w:type="pct"/>
            <w:noWrap/>
            <w:vAlign w:val="center"/>
          </w:tcPr>
          <w:p w14:paraId="572F677D"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93.3</w:t>
            </w:r>
          </w:p>
        </w:tc>
        <w:tc>
          <w:tcPr>
            <w:tcW w:w="445" w:type="pct"/>
            <w:shd w:val="clear" w:color="auto" w:fill="B8CCE4" w:themeFill="accent1" w:themeFillTint="66"/>
            <w:noWrap/>
            <w:vAlign w:val="center"/>
          </w:tcPr>
          <w:p w14:paraId="50A203EC"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92.7</w:t>
            </w:r>
          </w:p>
        </w:tc>
        <w:tc>
          <w:tcPr>
            <w:tcW w:w="445" w:type="pct"/>
            <w:noWrap/>
            <w:vAlign w:val="center"/>
          </w:tcPr>
          <w:p w14:paraId="727D4295"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93.2</w:t>
            </w:r>
          </w:p>
        </w:tc>
        <w:tc>
          <w:tcPr>
            <w:tcW w:w="445" w:type="pct"/>
            <w:shd w:val="clear" w:color="auto" w:fill="B8CCE4" w:themeFill="accent1" w:themeFillTint="66"/>
            <w:noWrap/>
            <w:vAlign w:val="center"/>
          </w:tcPr>
          <w:p w14:paraId="4A7043C4"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91.0</w:t>
            </w:r>
          </w:p>
        </w:tc>
        <w:tc>
          <w:tcPr>
            <w:tcW w:w="447" w:type="pct"/>
            <w:tcBorders>
              <w:right w:val="single" w:sz="12" w:space="0" w:color="4BACC6" w:themeColor="accent5"/>
            </w:tcBorders>
            <w:noWrap/>
            <w:vAlign w:val="center"/>
          </w:tcPr>
          <w:p w14:paraId="4FE496EF"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92.7</w:t>
            </w:r>
          </w:p>
        </w:tc>
      </w:tr>
      <w:tr w:rsidR="00B7540A" w:rsidRPr="00586097" w14:paraId="3D4051B2" w14:textId="77777777" w:rsidTr="00B7540A">
        <w:trPr>
          <w:gridAfter w:val="1"/>
          <w:wAfter w:w="4" w:type="pct"/>
          <w:trHeight w:val="645"/>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shd w:val="clear" w:color="auto" w:fill="B8CCE4" w:themeFill="accent1" w:themeFillTint="66"/>
            <w:vAlign w:val="center"/>
            <w:hideMark/>
          </w:tcPr>
          <w:p w14:paraId="1F24D274" w14:textId="77777777" w:rsidR="00B7540A" w:rsidRPr="00586097" w:rsidRDefault="00B7540A" w:rsidP="00B7540A">
            <w:pPr>
              <w:spacing w:line="276" w:lineRule="auto"/>
              <w:ind w:firstLine="31"/>
              <w:jc w:val="left"/>
              <w:rPr>
                <w:b w:val="0"/>
                <w:bCs w:val="0"/>
              </w:rPr>
            </w:pPr>
            <w:r w:rsidRPr="00586097">
              <w:t>Հիմնական միջոցներում</w:t>
            </w:r>
          </w:p>
          <w:p w14:paraId="62AA7678" w14:textId="77777777" w:rsidR="00B7540A" w:rsidRPr="00586097" w:rsidRDefault="00B7540A" w:rsidP="00B7540A">
            <w:pPr>
              <w:spacing w:line="276" w:lineRule="auto"/>
              <w:ind w:firstLine="31"/>
              <w:jc w:val="left"/>
              <w:rPr>
                <w:b w:val="0"/>
                <w:bCs w:val="0"/>
              </w:rPr>
            </w:pPr>
            <w:r w:rsidRPr="00586097">
              <w:t>ներդրումներ, % ՀՆԱ-ում</w:t>
            </w:r>
          </w:p>
        </w:tc>
        <w:tc>
          <w:tcPr>
            <w:tcW w:w="445" w:type="pct"/>
            <w:shd w:val="clear" w:color="auto" w:fill="B8CCE4" w:themeFill="accent1" w:themeFillTint="66"/>
            <w:noWrap/>
            <w:vAlign w:val="center"/>
          </w:tcPr>
          <w:p w14:paraId="408FBAA0"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16.6</w:t>
            </w:r>
          </w:p>
        </w:tc>
        <w:tc>
          <w:tcPr>
            <w:tcW w:w="448" w:type="pct"/>
            <w:shd w:val="clear" w:color="auto" w:fill="B8CCE4" w:themeFill="accent1" w:themeFillTint="66"/>
            <w:noWrap/>
            <w:vAlign w:val="center"/>
          </w:tcPr>
          <w:p w14:paraId="64F76E94"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16.5</w:t>
            </w:r>
          </w:p>
        </w:tc>
        <w:tc>
          <w:tcPr>
            <w:tcW w:w="445" w:type="pct"/>
            <w:shd w:val="clear" w:color="auto" w:fill="B8CCE4" w:themeFill="accent1" w:themeFillTint="66"/>
            <w:noWrap/>
            <w:vAlign w:val="center"/>
          </w:tcPr>
          <w:p w14:paraId="035A1789"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17.7</w:t>
            </w:r>
          </w:p>
        </w:tc>
        <w:tc>
          <w:tcPr>
            <w:tcW w:w="445" w:type="pct"/>
            <w:shd w:val="clear" w:color="auto" w:fill="B8CCE4" w:themeFill="accent1" w:themeFillTint="66"/>
            <w:noWrap/>
            <w:vAlign w:val="center"/>
          </w:tcPr>
          <w:p w14:paraId="3245883C"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17.0</w:t>
            </w:r>
          </w:p>
        </w:tc>
        <w:tc>
          <w:tcPr>
            <w:tcW w:w="445" w:type="pct"/>
            <w:shd w:val="clear" w:color="auto" w:fill="B8CCE4" w:themeFill="accent1" w:themeFillTint="66"/>
            <w:noWrap/>
            <w:vAlign w:val="center"/>
          </w:tcPr>
          <w:p w14:paraId="308838BE"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18.6</w:t>
            </w:r>
          </w:p>
        </w:tc>
        <w:tc>
          <w:tcPr>
            <w:tcW w:w="445" w:type="pct"/>
            <w:shd w:val="clear" w:color="auto" w:fill="B8CCE4" w:themeFill="accent1" w:themeFillTint="66"/>
            <w:noWrap/>
            <w:vAlign w:val="center"/>
          </w:tcPr>
          <w:p w14:paraId="74F5ADC8"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17.1</w:t>
            </w:r>
          </w:p>
        </w:tc>
        <w:tc>
          <w:tcPr>
            <w:tcW w:w="445" w:type="pct"/>
            <w:shd w:val="clear" w:color="auto" w:fill="B8CCE4" w:themeFill="accent1" w:themeFillTint="66"/>
            <w:noWrap/>
            <w:vAlign w:val="center"/>
          </w:tcPr>
          <w:p w14:paraId="1018CCEB"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19.4</w:t>
            </w:r>
          </w:p>
        </w:tc>
        <w:tc>
          <w:tcPr>
            <w:tcW w:w="447" w:type="pct"/>
            <w:tcBorders>
              <w:right w:val="single" w:sz="12" w:space="0" w:color="4BACC6" w:themeColor="accent5"/>
            </w:tcBorders>
            <w:shd w:val="clear" w:color="auto" w:fill="B8CCE4" w:themeFill="accent1" w:themeFillTint="66"/>
            <w:noWrap/>
            <w:vAlign w:val="center"/>
          </w:tcPr>
          <w:p w14:paraId="2279FF35"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17.4</w:t>
            </w:r>
          </w:p>
        </w:tc>
      </w:tr>
      <w:tr w:rsidR="00B7540A" w:rsidRPr="00586097" w14:paraId="21CC756E" w14:textId="77777777" w:rsidTr="00B7540A">
        <w:trPr>
          <w:gridAfter w:val="1"/>
          <w:wAfter w:w="4" w:type="pct"/>
          <w:trHeight w:val="345"/>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shd w:val="clear" w:color="auto" w:fill="B8CCE4" w:themeFill="accent1" w:themeFillTint="66"/>
            <w:noWrap/>
            <w:vAlign w:val="center"/>
            <w:hideMark/>
          </w:tcPr>
          <w:p w14:paraId="678AF167" w14:textId="77777777" w:rsidR="00B7540A" w:rsidRPr="00586097" w:rsidRDefault="00B7540A" w:rsidP="00B7540A">
            <w:pPr>
              <w:spacing w:line="276" w:lineRule="auto"/>
              <w:ind w:firstLine="31"/>
              <w:jc w:val="left"/>
              <w:rPr>
                <w:b w:val="0"/>
                <w:bCs w:val="0"/>
              </w:rPr>
            </w:pPr>
            <w:r w:rsidRPr="00586097">
              <w:t>Արտահանում, % ՀՆԱ-ում</w:t>
            </w:r>
          </w:p>
        </w:tc>
        <w:tc>
          <w:tcPr>
            <w:tcW w:w="445" w:type="pct"/>
            <w:shd w:val="clear" w:color="auto" w:fill="B8CCE4" w:themeFill="accent1" w:themeFillTint="66"/>
            <w:noWrap/>
            <w:vAlign w:val="center"/>
          </w:tcPr>
          <w:p w14:paraId="585BF128"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30.2</w:t>
            </w:r>
          </w:p>
        </w:tc>
        <w:tc>
          <w:tcPr>
            <w:tcW w:w="448" w:type="pct"/>
            <w:shd w:val="clear" w:color="auto" w:fill="B8CCE4" w:themeFill="accent1" w:themeFillTint="66"/>
            <w:noWrap/>
            <w:vAlign w:val="center"/>
          </w:tcPr>
          <w:p w14:paraId="5A3F6538"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33.4</w:t>
            </w:r>
          </w:p>
        </w:tc>
        <w:tc>
          <w:tcPr>
            <w:tcW w:w="445" w:type="pct"/>
            <w:shd w:val="clear" w:color="auto" w:fill="B8CCE4" w:themeFill="accent1" w:themeFillTint="66"/>
            <w:noWrap/>
            <w:vAlign w:val="center"/>
          </w:tcPr>
          <w:p w14:paraId="4D1AFF71"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37.4</w:t>
            </w:r>
          </w:p>
        </w:tc>
        <w:tc>
          <w:tcPr>
            <w:tcW w:w="445" w:type="pct"/>
            <w:shd w:val="clear" w:color="auto" w:fill="B8CCE4" w:themeFill="accent1" w:themeFillTint="66"/>
            <w:noWrap/>
            <w:vAlign w:val="center"/>
          </w:tcPr>
          <w:p w14:paraId="1FC673AF"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35.3</w:t>
            </w:r>
          </w:p>
        </w:tc>
        <w:tc>
          <w:tcPr>
            <w:tcW w:w="445" w:type="pct"/>
            <w:shd w:val="clear" w:color="auto" w:fill="B8CCE4" w:themeFill="accent1" w:themeFillTint="66"/>
            <w:noWrap/>
            <w:vAlign w:val="center"/>
          </w:tcPr>
          <w:p w14:paraId="1B50CE0D"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40.9</w:t>
            </w:r>
          </w:p>
        </w:tc>
        <w:tc>
          <w:tcPr>
            <w:tcW w:w="445" w:type="pct"/>
            <w:shd w:val="clear" w:color="auto" w:fill="B8CCE4" w:themeFill="accent1" w:themeFillTint="66"/>
            <w:noWrap/>
            <w:vAlign w:val="center"/>
          </w:tcPr>
          <w:p w14:paraId="05FD9B86"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36.8</w:t>
            </w:r>
          </w:p>
        </w:tc>
        <w:tc>
          <w:tcPr>
            <w:tcW w:w="445" w:type="pct"/>
            <w:shd w:val="clear" w:color="auto" w:fill="B8CCE4" w:themeFill="accent1" w:themeFillTint="66"/>
            <w:noWrap/>
            <w:vAlign w:val="center"/>
          </w:tcPr>
          <w:p w14:paraId="6D440C23"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43.8</w:t>
            </w:r>
          </w:p>
        </w:tc>
        <w:tc>
          <w:tcPr>
            <w:tcW w:w="447" w:type="pct"/>
            <w:tcBorders>
              <w:right w:val="single" w:sz="12" w:space="0" w:color="4BACC6" w:themeColor="accent5"/>
            </w:tcBorders>
            <w:shd w:val="clear" w:color="auto" w:fill="B8CCE4" w:themeFill="accent1" w:themeFillTint="66"/>
            <w:noWrap/>
            <w:vAlign w:val="center"/>
          </w:tcPr>
          <w:p w14:paraId="66929E36"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37.8</w:t>
            </w:r>
          </w:p>
        </w:tc>
      </w:tr>
      <w:tr w:rsidR="00B7540A" w:rsidRPr="00586097" w14:paraId="000193FD" w14:textId="77777777" w:rsidTr="00B7540A">
        <w:trPr>
          <w:gridAfter w:val="1"/>
          <w:wAfter w:w="4" w:type="pct"/>
          <w:trHeight w:val="360"/>
        </w:trPr>
        <w:tc>
          <w:tcPr>
            <w:cnfStyle w:val="001000000000" w:firstRow="0" w:lastRow="0" w:firstColumn="1" w:lastColumn="0" w:oddVBand="0" w:evenVBand="0" w:oddHBand="0" w:evenHBand="0" w:firstRowFirstColumn="0" w:firstRowLastColumn="0" w:lastRowFirstColumn="0" w:lastRowLastColumn="0"/>
            <w:tcW w:w="1431" w:type="pct"/>
            <w:tcBorders>
              <w:left w:val="single" w:sz="12" w:space="0" w:color="4BACC6" w:themeColor="accent5"/>
            </w:tcBorders>
            <w:noWrap/>
            <w:vAlign w:val="center"/>
            <w:hideMark/>
          </w:tcPr>
          <w:p w14:paraId="3BC1C172" w14:textId="77777777" w:rsidR="00B7540A" w:rsidRPr="00586097" w:rsidRDefault="00B7540A" w:rsidP="00B7540A">
            <w:pPr>
              <w:spacing w:line="276" w:lineRule="auto"/>
              <w:ind w:firstLine="31"/>
              <w:jc w:val="left"/>
              <w:rPr>
                <w:b w:val="0"/>
                <w:bCs w:val="0"/>
              </w:rPr>
            </w:pPr>
            <w:r w:rsidRPr="00586097">
              <w:t>Ներմուծում, % ՀՆԱ-ում</w:t>
            </w:r>
          </w:p>
        </w:tc>
        <w:tc>
          <w:tcPr>
            <w:tcW w:w="445" w:type="pct"/>
            <w:noWrap/>
            <w:vAlign w:val="center"/>
          </w:tcPr>
          <w:p w14:paraId="13270D01"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39.6</w:t>
            </w:r>
          </w:p>
        </w:tc>
        <w:tc>
          <w:tcPr>
            <w:tcW w:w="448" w:type="pct"/>
            <w:noWrap/>
            <w:vAlign w:val="center"/>
          </w:tcPr>
          <w:p w14:paraId="5C2AA9FE"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43.1</w:t>
            </w:r>
          </w:p>
        </w:tc>
        <w:tc>
          <w:tcPr>
            <w:tcW w:w="445" w:type="pct"/>
            <w:shd w:val="clear" w:color="auto" w:fill="B8CCE4" w:themeFill="accent1" w:themeFillTint="66"/>
            <w:noWrap/>
            <w:vAlign w:val="center"/>
          </w:tcPr>
          <w:p w14:paraId="6BC84BD0"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48.6</w:t>
            </w:r>
          </w:p>
        </w:tc>
        <w:tc>
          <w:tcPr>
            <w:tcW w:w="445" w:type="pct"/>
            <w:noWrap/>
            <w:vAlign w:val="center"/>
          </w:tcPr>
          <w:p w14:paraId="7E1162E5"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45.6</w:t>
            </w:r>
          </w:p>
        </w:tc>
        <w:tc>
          <w:tcPr>
            <w:tcW w:w="445" w:type="pct"/>
            <w:shd w:val="clear" w:color="auto" w:fill="B8CCE4" w:themeFill="accent1" w:themeFillTint="66"/>
            <w:noWrap/>
            <w:vAlign w:val="center"/>
          </w:tcPr>
          <w:p w14:paraId="7C0BE09A"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52.2</w:t>
            </w:r>
          </w:p>
        </w:tc>
        <w:tc>
          <w:tcPr>
            <w:tcW w:w="445" w:type="pct"/>
            <w:noWrap/>
            <w:vAlign w:val="center"/>
          </w:tcPr>
          <w:p w14:paraId="6EB4660F"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47.2</w:t>
            </w:r>
          </w:p>
        </w:tc>
        <w:tc>
          <w:tcPr>
            <w:tcW w:w="445" w:type="pct"/>
            <w:shd w:val="clear" w:color="auto" w:fill="B8CCE4" w:themeFill="accent1" w:themeFillTint="66"/>
            <w:noWrap/>
            <w:vAlign w:val="center"/>
          </w:tcPr>
          <w:p w14:paraId="19BC3FDE"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54.3</w:t>
            </w:r>
          </w:p>
        </w:tc>
        <w:tc>
          <w:tcPr>
            <w:tcW w:w="447" w:type="pct"/>
            <w:tcBorders>
              <w:right w:val="single" w:sz="12" w:space="0" w:color="4BACC6" w:themeColor="accent5"/>
            </w:tcBorders>
            <w:noWrap/>
            <w:vAlign w:val="center"/>
          </w:tcPr>
          <w:p w14:paraId="65EAE935" w14:textId="77777777" w:rsidR="00B7540A" w:rsidRPr="00586097" w:rsidRDefault="00B7540A" w:rsidP="00B7540A">
            <w:pPr>
              <w:spacing w:line="276" w:lineRule="auto"/>
              <w:ind w:firstLine="31"/>
              <w:jc w:val="center"/>
              <w:cnfStyle w:val="000000000000" w:firstRow="0" w:lastRow="0" w:firstColumn="0" w:lastColumn="0" w:oddVBand="0" w:evenVBand="0" w:oddHBand="0" w:evenHBand="0" w:firstRowFirstColumn="0" w:firstRowLastColumn="0" w:lastRowFirstColumn="0" w:lastRowLastColumn="0"/>
            </w:pPr>
            <w:r w:rsidRPr="00586097">
              <w:t>47.9</w:t>
            </w:r>
          </w:p>
        </w:tc>
      </w:tr>
    </w:tbl>
    <w:p w14:paraId="5796FC71" w14:textId="77777777" w:rsidR="00B7540A" w:rsidRPr="00586097" w:rsidRDefault="00B7540A" w:rsidP="00B7540A">
      <w:pPr>
        <w:spacing w:line="276" w:lineRule="auto"/>
        <w:ind w:firstLine="0"/>
        <w:rPr>
          <w:rFonts w:eastAsia="Calibri"/>
        </w:rPr>
        <w:sectPr w:rsidR="00B7540A" w:rsidRPr="00586097" w:rsidSect="00B7540A">
          <w:pgSz w:w="16838" w:h="11906" w:orient="landscape" w:code="9"/>
          <w:pgMar w:top="1021" w:right="851" w:bottom="851" w:left="851" w:header="431" w:footer="578" w:gutter="0"/>
          <w:cols w:space="720"/>
          <w:titlePg/>
          <w:docGrid w:linePitch="360"/>
        </w:sectPr>
      </w:pPr>
    </w:p>
    <w:p w14:paraId="565F6958" w14:textId="77777777" w:rsidR="00B7540A" w:rsidRPr="00586097" w:rsidRDefault="00B7540A" w:rsidP="00B7540A">
      <w:pPr>
        <w:pStyle w:val="afa"/>
        <w:spacing w:line="276" w:lineRule="auto"/>
        <w:rPr>
          <w:rFonts w:cs="Times Armenian"/>
          <w:bCs w:val="0"/>
        </w:rPr>
      </w:pPr>
      <w:bookmarkStart w:id="175" w:name="_Toc77254384"/>
      <w:r w:rsidRPr="00586097">
        <w:t>Աղյուսակ 1.2. 2022-2024թթ. ՄԺԾԾ (ներառյալ 2022թ. պետական բյուջեի) մակրոտնտեսական շրջանակ</w:t>
      </w:r>
    </w:p>
    <w:tbl>
      <w:tblPr>
        <w:tblStyle w:val="GridTable1Light-Accent51111"/>
        <w:tblpPr w:leftFromText="180" w:rightFromText="180" w:vertAnchor="text" w:horzAnchor="margin" w:tblpX="-371" w:tblpY="47"/>
        <w:tblW w:w="11076" w:type="dxa"/>
        <w:tblBorders>
          <w:top w:val="single" w:sz="12" w:space="0" w:color="4472C4"/>
          <w:left w:val="single" w:sz="12" w:space="0" w:color="4472C4"/>
          <w:bottom w:val="single" w:sz="12" w:space="0" w:color="4472C4"/>
          <w:right w:val="single" w:sz="12" w:space="0" w:color="4472C4"/>
          <w:insideH w:val="single" w:sz="6" w:space="0" w:color="4472C4"/>
          <w:insideV w:val="single" w:sz="6" w:space="0" w:color="4472C4"/>
        </w:tblBorders>
        <w:tblLayout w:type="fixed"/>
        <w:tblLook w:val="0000" w:firstRow="0" w:lastRow="0" w:firstColumn="0" w:lastColumn="0" w:noHBand="0" w:noVBand="0"/>
      </w:tblPr>
      <w:tblGrid>
        <w:gridCol w:w="3495"/>
        <w:gridCol w:w="1080"/>
        <w:gridCol w:w="1080"/>
        <w:gridCol w:w="990"/>
        <w:gridCol w:w="1260"/>
        <w:gridCol w:w="1080"/>
        <w:gridCol w:w="990"/>
        <w:gridCol w:w="1101"/>
      </w:tblGrid>
      <w:tr w:rsidR="00D26A99" w:rsidRPr="00586097" w14:paraId="61783617" w14:textId="77777777" w:rsidTr="00D26A99">
        <w:trPr>
          <w:trHeight w:val="258"/>
        </w:trPr>
        <w:tc>
          <w:tcPr>
            <w:tcW w:w="3495" w:type="dxa"/>
            <w:vMerge w:val="restart"/>
            <w:noWrap/>
          </w:tcPr>
          <w:p w14:paraId="25594B0F" w14:textId="77777777" w:rsidR="00B7540A" w:rsidRPr="00586097" w:rsidRDefault="00B7540A" w:rsidP="00920983">
            <w:pPr>
              <w:spacing w:line="276" w:lineRule="auto"/>
              <w:ind w:firstLine="22"/>
              <w:rPr>
                <w:rFonts w:cs="Sylfaen"/>
                <w:i/>
                <w:iCs/>
              </w:rPr>
            </w:pPr>
            <w:r w:rsidRPr="00586097">
              <w:rPr>
                <w:rFonts w:cs="Sylfaen"/>
                <w:i/>
                <w:iCs/>
              </w:rPr>
              <w:t>Հիմնական մակրոտնտեսական ցուցանիշներ</w:t>
            </w:r>
          </w:p>
        </w:tc>
        <w:tc>
          <w:tcPr>
            <w:tcW w:w="1080" w:type="dxa"/>
          </w:tcPr>
          <w:p w14:paraId="6DA13C1D" w14:textId="77777777" w:rsidR="00B7540A" w:rsidRPr="00586097" w:rsidRDefault="00B7540A" w:rsidP="00920983">
            <w:pPr>
              <w:spacing w:line="276" w:lineRule="auto"/>
              <w:ind w:firstLine="0"/>
              <w:jc w:val="center"/>
              <w:rPr>
                <w:rFonts w:cs="Arial"/>
                <w:b/>
                <w:bCs/>
              </w:rPr>
            </w:pPr>
            <w:r w:rsidRPr="00586097">
              <w:rPr>
                <w:rFonts w:cs="Arial"/>
                <w:b/>
                <w:bCs/>
              </w:rPr>
              <w:t>2018</w:t>
            </w:r>
          </w:p>
        </w:tc>
        <w:tc>
          <w:tcPr>
            <w:tcW w:w="1080" w:type="dxa"/>
          </w:tcPr>
          <w:p w14:paraId="5D8C112E" w14:textId="77777777" w:rsidR="00B7540A" w:rsidRPr="00586097" w:rsidRDefault="00B7540A" w:rsidP="00920983">
            <w:pPr>
              <w:spacing w:line="276" w:lineRule="auto"/>
              <w:ind w:firstLine="0"/>
              <w:jc w:val="center"/>
              <w:rPr>
                <w:rFonts w:cs="Arial"/>
                <w:b/>
                <w:bCs/>
              </w:rPr>
            </w:pPr>
            <w:r w:rsidRPr="00586097">
              <w:rPr>
                <w:rFonts w:cs="Arial"/>
                <w:b/>
                <w:bCs/>
              </w:rPr>
              <w:t>2019</w:t>
            </w:r>
          </w:p>
        </w:tc>
        <w:tc>
          <w:tcPr>
            <w:tcW w:w="990" w:type="dxa"/>
          </w:tcPr>
          <w:p w14:paraId="617BFA3C" w14:textId="77777777" w:rsidR="00B7540A" w:rsidRPr="00586097" w:rsidRDefault="00B7540A" w:rsidP="00920983">
            <w:pPr>
              <w:spacing w:line="276" w:lineRule="auto"/>
              <w:ind w:firstLine="0"/>
              <w:jc w:val="center"/>
              <w:rPr>
                <w:rFonts w:cs="Arial"/>
                <w:b/>
                <w:bCs/>
              </w:rPr>
            </w:pPr>
            <w:r w:rsidRPr="00586097">
              <w:rPr>
                <w:rFonts w:cs="Arial"/>
                <w:b/>
                <w:bCs/>
              </w:rPr>
              <w:t>2020</w:t>
            </w:r>
          </w:p>
        </w:tc>
        <w:tc>
          <w:tcPr>
            <w:tcW w:w="1260" w:type="dxa"/>
            <w:shd w:val="clear" w:color="auto" w:fill="D9E2F3"/>
          </w:tcPr>
          <w:p w14:paraId="6C3BB88B" w14:textId="77777777" w:rsidR="00B7540A" w:rsidRPr="00586097" w:rsidRDefault="00B7540A" w:rsidP="00920983">
            <w:pPr>
              <w:spacing w:line="276" w:lineRule="auto"/>
              <w:ind w:firstLine="0"/>
              <w:jc w:val="center"/>
              <w:rPr>
                <w:rFonts w:cs="Arial"/>
                <w:b/>
                <w:bCs/>
              </w:rPr>
            </w:pPr>
            <w:r w:rsidRPr="00586097">
              <w:rPr>
                <w:rFonts w:cs="Arial"/>
                <w:b/>
                <w:bCs/>
              </w:rPr>
              <w:t>2021</w:t>
            </w:r>
          </w:p>
        </w:tc>
        <w:tc>
          <w:tcPr>
            <w:tcW w:w="1080" w:type="dxa"/>
            <w:shd w:val="clear" w:color="auto" w:fill="D9E2F3"/>
          </w:tcPr>
          <w:p w14:paraId="4A23AA27" w14:textId="77777777" w:rsidR="00B7540A" w:rsidRPr="00586097" w:rsidRDefault="00B7540A" w:rsidP="00920983">
            <w:pPr>
              <w:spacing w:line="276" w:lineRule="auto"/>
              <w:ind w:firstLine="0"/>
              <w:jc w:val="center"/>
              <w:rPr>
                <w:rFonts w:cs="Arial"/>
                <w:b/>
                <w:bCs/>
              </w:rPr>
            </w:pPr>
            <w:r w:rsidRPr="00586097">
              <w:rPr>
                <w:rFonts w:cs="Arial"/>
                <w:b/>
                <w:bCs/>
              </w:rPr>
              <w:t>2022</w:t>
            </w:r>
          </w:p>
        </w:tc>
        <w:tc>
          <w:tcPr>
            <w:tcW w:w="990" w:type="dxa"/>
            <w:shd w:val="clear" w:color="auto" w:fill="D9E2F3"/>
          </w:tcPr>
          <w:p w14:paraId="5543652C" w14:textId="77777777" w:rsidR="00B7540A" w:rsidRPr="00586097" w:rsidRDefault="00B7540A" w:rsidP="00920983">
            <w:pPr>
              <w:spacing w:line="276" w:lineRule="auto"/>
              <w:ind w:firstLine="0"/>
              <w:jc w:val="center"/>
              <w:rPr>
                <w:rFonts w:cs="Arial"/>
                <w:b/>
                <w:bCs/>
              </w:rPr>
            </w:pPr>
            <w:r w:rsidRPr="00586097">
              <w:rPr>
                <w:rFonts w:cs="Arial"/>
                <w:b/>
                <w:bCs/>
              </w:rPr>
              <w:t>2023</w:t>
            </w:r>
          </w:p>
        </w:tc>
        <w:tc>
          <w:tcPr>
            <w:tcW w:w="1101" w:type="dxa"/>
            <w:shd w:val="clear" w:color="auto" w:fill="D9E2F3"/>
          </w:tcPr>
          <w:p w14:paraId="158D1C02" w14:textId="77777777" w:rsidR="00B7540A" w:rsidRPr="00586097" w:rsidRDefault="00B7540A" w:rsidP="00920983">
            <w:pPr>
              <w:spacing w:line="276" w:lineRule="auto"/>
              <w:ind w:firstLine="0"/>
              <w:jc w:val="center"/>
              <w:rPr>
                <w:rFonts w:cs="Arial"/>
                <w:b/>
                <w:bCs/>
              </w:rPr>
            </w:pPr>
            <w:r w:rsidRPr="00586097">
              <w:rPr>
                <w:rFonts w:cs="Arial"/>
                <w:b/>
                <w:bCs/>
              </w:rPr>
              <w:t>2024</w:t>
            </w:r>
          </w:p>
        </w:tc>
      </w:tr>
      <w:tr w:rsidR="00D26A99" w:rsidRPr="00586097" w14:paraId="337B431E" w14:textId="77777777" w:rsidTr="00D26A99">
        <w:trPr>
          <w:trHeight w:val="272"/>
        </w:trPr>
        <w:tc>
          <w:tcPr>
            <w:tcW w:w="3495" w:type="dxa"/>
            <w:vMerge/>
            <w:noWrap/>
          </w:tcPr>
          <w:p w14:paraId="5BC0077D" w14:textId="77777777" w:rsidR="00B7540A" w:rsidRPr="00586097" w:rsidRDefault="00B7540A" w:rsidP="00920983">
            <w:pPr>
              <w:spacing w:line="276" w:lineRule="auto"/>
              <w:ind w:firstLine="22"/>
              <w:rPr>
                <w:rFonts w:cs="Sylfaen"/>
              </w:rPr>
            </w:pPr>
          </w:p>
        </w:tc>
        <w:tc>
          <w:tcPr>
            <w:tcW w:w="1080" w:type="dxa"/>
          </w:tcPr>
          <w:p w14:paraId="70EC3F44" w14:textId="77777777" w:rsidR="00B7540A" w:rsidRPr="00586097" w:rsidRDefault="00B7540A" w:rsidP="00920983">
            <w:pPr>
              <w:spacing w:line="276" w:lineRule="auto"/>
              <w:ind w:firstLine="0"/>
              <w:jc w:val="center"/>
              <w:rPr>
                <w:rFonts w:cs="Arial"/>
                <w:b/>
                <w:bCs/>
              </w:rPr>
            </w:pPr>
            <w:r w:rsidRPr="00586097">
              <w:rPr>
                <w:rFonts w:cs="Sylfaen"/>
                <w:b/>
              </w:rPr>
              <w:t>փաստ</w:t>
            </w:r>
          </w:p>
        </w:tc>
        <w:tc>
          <w:tcPr>
            <w:tcW w:w="1080" w:type="dxa"/>
          </w:tcPr>
          <w:p w14:paraId="32441362" w14:textId="77777777" w:rsidR="00B7540A" w:rsidRPr="00586097" w:rsidRDefault="00B7540A" w:rsidP="00920983">
            <w:pPr>
              <w:spacing w:line="276" w:lineRule="auto"/>
              <w:ind w:firstLine="0"/>
              <w:jc w:val="center"/>
              <w:rPr>
                <w:rFonts w:cs="Arial"/>
                <w:b/>
                <w:bCs/>
              </w:rPr>
            </w:pPr>
            <w:r w:rsidRPr="00586097">
              <w:rPr>
                <w:rFonts w:cs="Sylfaen"/>
                <w:b/>
              </w:rPr>
              <w:t>փաստ</w:t>
            </w:r>
          </w:p>
        </w:tc>
        <w:tc>
          <w:tcPr>
            <w:tcW w:w="990" w:type="dxa"/>
          </w:tcPr>
          <w:p w14:paraId="78A85DDB" w14:textId="77777777" w:rsidR="00B7540A" w:rsidRPr="00586097" w:rsidRDefault="00B7540A" w:rsidP="00920983">
            <w:pPr>
              <w:spacing w:line="276" w:lineRule="auto"/>
              <w:ind w:firstLine="0"/>
              <w:jc w:val="center"/>
              <w:rPr>
                <w:rFonts w:cs="Arial"/>
                <w:b/>
                <w:bCs/>
              </w:rPr>
            </w:pPr>
            <w:r w:rsidRPr="00586097">
              <w:rPr>
                <w:rFonts w:cs="Sylfaen"/>
                <w:b/>
              </w:rPr>
              <w:t>փաստ</w:t>
            </w:r>
          </w:p>
        </w:tc>
        <w:tc>
          <w:tcPr>
            <w:tcW w:w="1260" w:type="dxa"/>
            <w:shd w:val="clear" w:color="auto" w:fill="D9E2F3"/>
          </w:tcPr>
          <w:p w14:paraId="6E2590CB" w14:textId="77777777" w:rsidR="00B7540A" w:rsidRPr="00586097" w:rsidRDefault="00B7540A" w:rsidP="00920983">
            <w:pPr>
              <w:spacing w:line="276" w:lineRule="auto"/>
              <w:ind w:firstLine="0"/>
              <w:jc w:val="center"/>
              <w:rPr>
                <w:rFonts w:cs="Arial"/>
                <w:b/>
                <w:bCs/>
              </w:rPr>
            </w:pPr>
            <w:r w:rsidRPr="00586097">
              <w:rPr>
                <w:rFonts w:cs="Sylfaen"/>
                <w:b/>
              </w:rPr>
              <w:t>սպասում</w:t>
            </w:r>
          </w:p>
        </w:tc>
        <w:tc>
          <w:tcPr>
            <w:tcW w:w="1080" w:type="dxa"/>
            <w:shd w:val="clear" w:color="auto" w:fill="D9E2F3"/>
          </w:tcPr>
          <w:p w14:paraId="3230ADDD" w14:textId="77777777" w:rsidR="00B7540A" w:rsidRPr="00586097" w:rsidRDefault="00B7540A" w:rsidP="00920983">
            <w:pPr>
              <w:spacing w:line="276" w:lineRule="auto"/>
              <w:ind w:firstLine="0"/>
              <w:jc w:val="center"/>
              <w:rPr>
                <w:rFonts w:cs="Arial"/>
                <w:b/>
                <w:bCs/>
              </w:rPr>
            </w:pPr>
            <w:r w:rsidRPr="00586097">
              <w:rPr>
                <w:b/>
              </w:rPr>
              <w:t>ծրագիր</w:t>
            </w:r>
          </w:p>
        </w:tc>
        <w:tc>
          <w:tcPr>
            <w:tcW w:w="990" w:type="dxa"/>
            <w:shd w:val="clear" w:color="auto" w:fill="D9E2F3"/>
          </w:tcPr>
          <w:p w14:paraId="108AC357" w14:textId="77777777" w:rsidR="00B7540A" w:rsidRPr="00586097" w:rsidRDefault="00B7540A" w:rsidP="00920983">
            <w:pPr>
              <w:spacing w:line="276" w:lineRule="auto"/>
              <w:ind w:firstLine="0"/>
              <w:jc w:val="center"/>
              <w:rPr>
                <w:rFonts w:cs="Arial"/>
                <w:b/>
                <w:bCs/>
              </w:rPr>
            </w:pPr>
            <w:r w:rsidRPr="00586097">
              <w:rPr>
                <w:rFonts w:cs="Sylfaen"/>
                <w:b/>
              </w:rPr>
              <w:t>կանխ</w:t>
            </w:r>
            <w:r w:rsidRPr="00586097">
              <w:rPr>
                <w:b/>
              </w:rPr>
              <w:t>.</w:t>
            </w:r>
          </w:p>
        </w:tc>
        <w:tc>
          <w:tcPr>
            <w:tcW w:w="1101" w:type="dxa"/>
            <w:shd w:val="clear" w:color="auto" w:fill="D9E2F3"/>
          </w:tcPr>
          <w:p w14:paraId="3674A218" w14:textId="77777777" w:rsidR="00B7540A" w:rsidRPr="00586097" w:rsidRDefault="00B7540A" w:rsidP="00920983">
            <w:pPr>
              <w:spacing w:line="276" w:lineRule="auto"/>
              <w:ind w:firstLine="0"/>
              <w:jc w:val="center"/>
              <w:rPr>
                <w:rFonts w:cs="Arial"/>
                <w:b/>
                <w:bCs/>
              </w:rPr>
            </w:pPr>
            <w:r w:rsidRPr="00586097">
              <w:rPr>
                <w:rFonts w:cs="Sylfaen"/>
                <w:b/>
              </w:rPr>
              <w:t>կանխ</w:t>
            </w:r>
            <w:r w:rsidRPr="00586097">
              <w:rPr>
                <w:b/>
              </w:rPr>
              <w:t>.</w:t>
            </w:r>
          </w:p>
        </w:tc>
      </w:tr>
      <w:tr w:rsidR="00D26A99" w:rsidRPr="00586097" w14:paraId="7DCA8068" w14:textId="77777777" w:rsidTr="00D26A99">
        <w:trPr>
          <w:trHeight w:val="258"/>
        </w:trPr>
        <w:tc>
          <w:tcPr>
            <w:tcW w:w="3495" w:type="dxa"/>
            <w:noWrap/>
          </w:tcPr>
          <w:p w14:paraId="1ACAABEB" w14:textId="77777777" w:rsidR="00B7540A" w:rsidRPr="00586097" w:rsidRDefault="00B7540A" w:rsidP="00920983">
            <w:pPr>
              <w:spacing w:line="276" w:lineRule="auto"/>
              <w:ind w:firstLine="22"/>
              <w:rPr>
                <w:rFonts w:cs="Sylfaen"/>
                <w:b/>
                <w:bCs/>
              </w:rPr>
            </w:pPr>
            <w:r w:rsidRPr="00586097">
              <w:rPr>
                <w:rFonts w:cs="Sylfaen"/>
                <w:b/>
                <w:bCs/>
              </w:rPr>
              <w:t>Անվանական ՀՆԱ, մլրդ դրամ</w:t>
            </w:r>
          </w:p>
        </w:tc>
        <w:tc>
          <w:tcPr>
            <w:tcW w:w="1080" w:type="dxa"/>
          </w:tcPr>
          <w:p w14:paraId="6C321DED" w14:textId="77777777" w:rsidR="00B7540A" w:rsidRPr="00586097" w:rsidRDefault="00B7540A" w:rsidP="00920983">
            <w:pPr>
              <w:spacing w:line="276" w:lineRule="auto"/>
              <w:ind w:firstLine="0"/>
              <w:jc w:val="center"/>
              <w:rPr>
                <w:rFonts w:cs="Arial"/>
                <w:bCs/>
              </w:rPr>
            </w:pPr>
            <w:r w:rsidRPr="00586097">
              <w:rPr>
                <w:rFonts w:cs="Arial"/>
                <w:bCs/>
              </w:rPr>
              <w:t>6,017.0</w:t>
            </w:r>
          </w:p>
        </w:tc>
        <w:tc>
          <w:tcPr>
            <w:tcW w:w="1080" w:type="dxa"/>
          </w:tcPr>
          <w:p w14:paraId="59B2F8D8" w14:textId="77777777" w:rsidR="00B7540A" w:rsidRPr="00586097" w:rsidRDefault="00B7540A" w:rsidP="00920983">
            <w:pPr>
              <w:spacing w:line="276" w:lineRule="auto"/>
              <w:ind w:firstLine="0"/>
              <w:jc w:val="center"/>
              <w:rPr>
                <w:rFonts w:cs="Arial"/>
                <w:bCs/>
              </w:rPr>
            </w:pPr>
            <w:r w:rsidRPr="00586097">
              <w:rPr>
                <w:rFonts w:cs="Arial"/>
                <w:bCs/>
              </w:rPr>
              <w:t>6,543.3</w:t>
            </w:r>
          </w:p>
        </w:tc>
        <w:tc>
          <w:tcPr>
            <w:tcW w:w="990" w:type="dxa"/>
          </w:tcPr>
          <w:p w14:paraId="4201581A" w14:textId="77777777" w:rsidR="00B7540A" w:rsidRPr="00586097" w:rsidRDefault="00B7540A" w:rsidP="00920983">
            <w:pPr>
              <w:spacing w:line="276" w:lineRule="auto"/>
              <w:ind w:firstLine="0"/>
              <w:jc w:val="center"/>
              <w:rPr>
                <w:rFonts w:cs="Arial"/>
                <w:bCs/>
              </w:rPr>
            </w:pPr>
            <w:r w:rsidRPr="00586097">
              <w:rPr>
                <w:rFonts w:cs="Arial"/>
                <w:bCs/>
              </w:rPr>
              <w:t>6,181.7</w:t>
            </w:r>
          </w:p>
        </w:tc>
        <w:tc>
          <w:tcPr>
            <w:tcW w:w="1260" w:type="dxa"/>
            <w:shd w:val="clear" w:color="auto" w:fill="D9E2F3"/>
          </w:tcPr>
          <w:p w14:paraId="489DAAEC" w14:textId="77777777" w:rsidR="00B7540A" w:rsidRPr="00586097" w:rsidRDefault="00B7540A" w:rsidP="00920983">
            <w:pPr>
              <w:spacing w:line="276" w:lineRule="auto"/>
              <w:ind w:firstLine="0"/>
              <w:jc w:val="center"/>
              <w:rPr>
                <w:rFonts w:cs="Arial"/>
                <w:bCs/>
              </w:rPr>
            </w:pPr>
            <w:r w:rsidRPr="00586097">
              <w:rPr>
                <w:rFonts w:cs="Arial"/>
                <w:bCs/>
              </w:rPr>
              <w:t xml:space="preserve"> 6,880.2 </w:t>
            </w:r>
          </w:p>
        </w:tc>
        <w:tc>
          <w:tcPr>
            <w:tcW w:w="1080" w:type="dxa"/>
            <w:shd w:val="clear" w:color="auto" w:fill="D9E2F3"/>
          </w:tcPr>
          <w:p w14:paraId="63B2F287" w14:textId="77777777" w:rsidR="00B7540A" w:rsidRPr="00586097" w:rsidRDefault="00B7540A" w:rsidP="00920983">
            <w:pPr>
              <w:spacing w:line="276" w:lineRule="auto"/>
              <w:ind w:firstLine="0"/>
              <w:jc w:val="center"/>
              <w:rPr>
                <w:rFonts w:cs="Arial"/>
                <w:bCs/>
              </w:rPr>
            </w:pPr>
            <w:r w:rsidRPr="00586097">
              <w:rPr>
                <w:rFonts w:cs="Arial"/>
                <w:bCs/>
              </w:rPr>
              <w:t xml:space="preserve"> 7,570.8 </w:t>
            </w:r>
          </w:p>
        </w:tc>
        <w:tc>
          <w:tcPr>
            <w:tcW w:w="990" w:type="dxa"/>
            <w:shd w:val="clear" w:color="auto" w:fill="D9E2F3"/>
          </w:tcPr>
          <w:p w14:paraId="630F1A3B" w14:textId="77777777" w:rsidR="00B7540A" w:rsidRPr="00586097" w:rsidRDefault="00B7540A" w:rsidP="00920983">
            <w:pPr>
              <w:spacing w:line="276" w:lineRule="auto"/>
              <w:ind w:firstLine="0"/>
              <w:jc w:val="center"/>
              <w:rPr>
                <w:rFonts w:cs="Arial"/>
                <w:bCs/>
              </w:rPr>
            </w:pPr>
            <w:r w:rsidRPr="00586097">
              <w:rPr>
                <w:rFonts w:cs="Arial"/>
                <w:bCs/>
              </w:rPr>
              <w:t xml:space="preserve"> 8,171.1 </w:t>
            </w:r>
          </w:p>
        </w:tc>
        <w:tc>
          <w:tcPr>
            <w:tcW w:w="1101" w:type="dxa"/>
            <w:shd w:val="clear" w:color="auto" w:fill="D9E2F3"/>
          </w:tcPr>
          <w:p w14:paraId="556E2692" w14:textId="77777777" w:rsidR="00B7540A" w:rsidRPr="00586097" w:rsidRDefault="00B7540A" w:rsidP="00920983">
            <w:pPr>
              <w:spacing w:line="276" w:lineRule="auto"/>
              <w:ind w:firstLine="0"/>
              <w:jc w:val="center"/>
              <w:rPr>
                <w:rFonts w:cs="Arial"/>
                <w:bCs/>
              </w:rPr>
            </w:pPr>
            <w:r w:rsidRPr="00586097">
              <w:rPr>
                <w:rFonts w:cs="Arial"/>
                <w:bCs/>
              </w:rPr>
              <w:t xml:space="preserve"> 8,835.4 </w:t>
            </w:r>
          </w:p>
        </w:tc>
      </w:tr>
      <w:tr w:rsidR="00D26A99" w:rsidRPr="00586097" w14:paraId="7FAB554F" w14:textId="77777777" w:rsidTr="00D26A99">
        <w:trPr>
          <w:trHeight w:val="258"/>
        </w:trPr>
        <w:tc>
          <w:tcPr>
            <w:tcW w:w="3495" w:type="dxa"/>
            <w:noWrap/>
          </w:tcPr>
          <w:p w14:paraId="5CAD2006" w14:textId="77777777" w:rsidR="00B7540A" w:rsidRPr="00586097" w:rsidRDefault="00B7540A" w:rsidP="00920983">
            <w:pPr>
              <w:spacing w:line="276" w:lineRule="auto"/>
              <w:ind w:left="284" w:firstLine="22"/>
              <w:rPr>
                <w:rFonts w:cs="Sylfaen"/>
              </w:rPr>
            </w:pPr>
            <w:r w:rsidRPr="00586097">
              <w:rPr>
                <w:rFonts w:cs="Sylfaen"/>
              </w:rPr>
              <w:t>Տնտեսական աճ, %</w:t>
            </w:r>
          </w:p>
        </w:tc>
        <w:tc>
          <w:tcPr>
            <w:tcW w:w="1080" w:type="dxa"/>
          </w:tcPr>
          <w:p w14:paraId="78B264F6" w14:textId="77777777" w:rsidR="00B7540A" w:rsidRPr="00586097" w:rsidRDefault="00B7540A" w:rsidP="00920983">
            <w:pPr>
              <w:spacing w:line="276" w:lineRule="auto"/>
              <w:ind w:firstLine="0"/>
              <w:jc w:val="center"/>
              <w:rPr>
                <w:rFonts w:cs="Arial"/>
                <w:bCs/>
              </w:rPr>
            </w:pPr>
            <w:r w:rsidRPr="00586097">
              <w:rPr>
                <w:rFonts w:cs="Arial"/>
                <w:bCs/>
              </w:rPr>
              <w:t>5.2</w:t>
            </w:r>
          </w:p>
        </w:tc>
        <w:tc>
          <w:tcPr>
            <w:tcW w:w="1080" w:type="dxa"/>
          </w:tcPr>
          <w:p w14:paraId="6ED828F3" w14:textId="77777777" w:rsidR="00B7540A" w:rsidRPr="00586097" w:rsidRDefault="00B7540A" w:rsidP="00920983">
            <w:pPr>
              <w:spacing w:line="276" w:lineRule="auto"/>
              <w:ind w:firstLine="0"/>
              <w:jc w:val="center"/>
              <w:rPr>
                <w:rFonts w:cs="Arial"/>
                <w:bCs/>
              </w:rPr>
            </w:pPr>
            <w:r w:rsidRPr="00586097">
              <w:rPr>
                <w:rFonts w:cs="Arial"/>
                <w:bCs/>
              </w:rPr>
              <w:t>7.6</w:t>
            </w:r>
          </w:p>
        </w:tc>
        <w:tc>
          <w:tcPr>
            <w:tcW w:w="990" w:type="dxa"/>
          </w:tcPr>
          <w:p w14:paraId="75A7EE95" w14:textId="77777777" w:rsidR="00B7540A" w:rsidRPr="00586097" w:rsidRDefault="00B7540A" w:rsidP="00920983">
            <w:pPr>
              <w:spacing w:line="276" w:lineRule="auto"/>
              <w:ind w:firstLine="0"/>
              <w:jc w:val="center"/>
              <w:rPr>
                <w:rFonts w:cs="Arial"/>
                <w:bCs/>
              </w:rPr>
            </w:pPr>
            <w:r w:rsidRPr="00586097">
              <w:rPr>
                <w:rFonts w:cs="Arial"/>
                <w:bCs/>
              </w:rPr>
              <w:t>-7.4</w:t>
            </w:r>
          </w:p>
        </w:tc>
        <w:tc>
          <w:tcPr>
            <w:tcW w:w="1260" w:type="dxa"/>
            <w:shd w:val="clear" w:color="auto" w:fill="D9E2F3"/>
          </w:tcPr>
          <w:p w14:paraId="4678B128" w14:textId="77777777" w:rsidR="00B7540A" w:rsidRPr="00586097" w:rsidRDefault="00B7540A" w:rsidP="00920983">
            <w:pPr>
              <w:spacing w:line="276" w:lineRule="auto"/>
              <w:ind w:firstLine="0"/>
              <w:jc w:val="center"/>
              <w:rPr>
                <w:rFonts w:cs="Arial"/>
                <w:bCs/>
              </w:rPr>
            </w:pPr>
            <w:r w:rsidRPr="00586097">
              <w:rPr>
                <w:rFonts w:cs="Arial"/>
                <w:bCs/>
              </w:rPr>
              <w:t>6.0</w:t>
            </w:r>
          </w:p>
        </w:tc>
        <w:tc>
          <w:tcPr>
            <w:tcW w:w="1080" w:type="dxa"/>
            <w:shd w:val="clear" w:color="auto" w:fill="D9E2F3"/>
          </w:tcPr>
          <w:p w14:paraId="1F311C15" w14:textId="77777777" w:rsidR="00B7540A" w:rsidRPr="00586097" w:rsidRDefault="00B7540A" w:rsidP="00920983">
            <w:pPr>
              <w:spacing w:line="276" w:lineRule="auto"/>
              <w:ind w:firstLine="0"/>
              <w:jc w:val="center"/>
              <w:rPr>
                <w:rFonts w:cs="Arial"/>
                <w:bCs/>
              </w:rPr>
            </w:pPr>
            <w:r w:rsidRPr="00586097">
              <w:rPr>
                <w:rFonts w:cs="Arial"/>
                <w:bCs/>
              </w:rPr>
              <w:t>5.2</w:t>
            </w:r>
          </w:p>
        </w:tc>
        <w:tc>
          <w:tcPr>
            <w:tcW w:w="990" w:type="dxa"/>
            <w:shd w:val="clear" w:color="auto" w:fill="D9E2F3"/>
          </w:tcPr>
          <w:p w14:paraId="3A0F0F38" w14:textId="77777777" w:rsidR="00B7540A" w:rsidRPr="00586097" w:rsidRDefault="00B7540A" w:rsidP="00920983">
            <w:pPr>
              <w:spacing w:line="276" w:lineRule="auto"/>
              <w:ind w:firstLine="0"/>
              <w:jc w:val="center"/>
              <w:rPr>
                <w:rFonts w:cs="Arial"/>
                <w:bCs/>
              </w:rPr>
            </w:pPr>
            <w:r w:rsidRPr="00586097">
              <w:rPr>
                <w:rFonts w:cs="Arial"/>
                <w:bCs/>
              </w:rPr>
              <w:t>3.7</w:t>
            </w:r>
          </w:p>
        </w:tc>
        <w:tc>
          <w:tcPr>
            <w:tcW w:w="1101" w:type="dxa"/>
            <w:shd w:val="clear" w:color="auto" w:fill="D9E2F3"/>
          </w:tcPr>
          <w:p w14:paraId="6EC7BD05" w14:textId="77777777" w:rsidR="00B7540A" w:rsidRPr="00586097" w:rsidRDefault="00B7540A" w:rsidP="00920983">
            <w:pPr>
              <w:spacing w:line="276" w:lineRule="auto"/>
              <w:ind w:firstLine="0"/>
              <w:jc w:val="center"/>
              <w:rPr>
                <w:rFonts w:cs="Arial"/>
                <w:bCs/>
              </w:rPr>
            </w:pPr>
            <w:r w:rsidRPr="00586097">
              <w:rPr>
                <w:rFonts w:cs="Arial"/>
                <w:bCs/>
              </w:rPr>
              <w:t>4.0</w:t>
            </w:r>
          </w:p>
        </w:tc>
      </w:tr>
      <w:tr w:rsidR="00D26A99" w:rsidRPr="00586097" w14:paraId="1E77F02A" w14:textId="77777777" w:rsidTr="00D26A99">
        <w:trPr>
          <w:trHeight w:val="268"/>
        </w:trPr>
        <w:tc>
          <w:tcPr>
            <w:tcW w:w="3495" w:type="dxa"/>
            <w:noWrap/>
          </w:tcPr>
          <w:p w14:paraId="6AF4B880" w14:textId="77777777" w:rsidR="00B7540A" w:rsidRPr="00586097" w:rsidRDefault="00B7540A" w:rsidP="00920983">
            <w:pPr>
              <w:spacing w:line="276" w:lineRule="auto"/>
              <w:ind w:left="284" w:firstLine="22"/>
              <w:rPr>
                <w:rFonts w:cs="Sylfaen"/>
              </w:rPr>
            </w:pPr>
            <w:r w:rsidRPr="00586097">
              <w:rPr>
                <w:rFonts w:cs="Sylfaen"/>
              </w:rPr>
              <w:t>ՀՆԱ դեֆլյատորի աճ, %</w:t>
            </w:r>
          </w:p>
        </w:tc>
        <w:tc>
          <w:tcPr>
            <w:tcW w:w="1080" w:type="dxa"/>
          </w:tcPr>
          <w:p w14:paraId="4956E9A1" w14:textId="77777777" w:rsidR="00B7540A" w:rsidRPr="00586097" w:rsidRDefault="00B7540A" w:rsidP="00920983">
            <w:pPr>
              <w:spacing w:line="276" w:lineRule="auto"/>
              <w:ind w:firstLine="0"/>
              <w:jc w:val="center"/>
              <w:rPr>
                <w:rFonts w:cs="Arial"/>
                <w:bCs/>
              </w:rPr>
            </w:pPr>
            <w:r w:rsidRPr="00586097">
              <w:rPr>
                <w:rFonts w:cs="Arial"/>
                <w:bCs/>
              </w:rPr>
              <w:t>2.8</w:t>
            </w:r>
          </w:p>
        </w:tc>
        <w:tc>
          <w:tcPr>
            <w:tcW w:w="1080" w:type="dxa"/>
          </w:tcPr>
          <w:p w14:paraId="264DAB51" w14:textId="77777777" w:rsidR="00B7540A" w:rsidRPr="00586097" w:rsidRDefault="00B7540A" w:rsidP="00920983">
            <w:pPr>
              <w:spacing w:line="276" w:lineRule="auto"/>
              <w:ind w:firstLine="0"/>
              <w:jc w:val="center"/>
              <w:rPr>
                <w:rFonts w:cs="Arial"/>
                <w:bCs/>
              </w:rPr>
            </w:pPr>
            <w:r w:rsidRPr="00586097">
              <w:rPr>
                <w:rFonts w:cs="Arial"/>
                <w:bCs/>
              </w:rPr>
              <w:t>1.0</w:t>
            </w:r>
          </w:p>
        </w:tc>
        <w:tc>
          <w:tcPr>
            <w:tcW w:w="990" w:type="dxa"/>
          </w:tcPr>
          <w:p w14:paraId="0CB21680" w14:textId="77777777" w:rsidR="00B7540A" w:rsidRPr="00586097" w:rsidRDefault="00B7540A" w:rsidP="00920983">
            <w:pPr>
              <w:spacing w:line="276" w:lineRule="auto"/>
              <w:ind w:firstLine="0"/>
              <w:jc w:val="center"/>
              <w:rPr>
                <w:rFonts w:cs="Arial"/>
                <w:bCs/>
              </w:rPr>
            </w:pPr>
            <w:r w:rsidRPr="00586097">
              <w:rPr>
                <w:rFonts w:cs="Arial"/>
                <w:bCs/>
              </w:rPr>
              <w:t>2.0</w:t>
            </w:r>
          </w:p>
        </w:tc>
        <w:tc>
          <w:tcPr>
            <w:tcW w:w="1260" w:type="dxa"/>
            <w:shd w:val="clear" w:color="auto" w:fill="D9E2F3"/>
          </w:tcPr>
          <w:p w14:paraId="2715D856" w14:textId="77777777" w:rsidR="00B7540A" w:rsidRPr="00586097" w:rsidRDefault="00B7540A" w:rsidP="00920983">
            <w:pPr>
              <w:spacing w:line="276" w:lineRule="auto"/>
              <w:ind w:firstLine="0"/>
              <w:jc w:val="center"/>
              <w:rPr>
                <w:rFonts w:cs="Arial"/>
                <w:bCs/>
              </w:rPr>
            </w:pPr>
            <w:r w:rsidRPr="00586097">
              <w:rPr>
                <w:rFonts w:cs="Arial"/>
                <w:bCs/>
              </w:rPr>
              <w:t>5.0</w:t>
            </w:r>
          </w:p>
        </w:tc>
        <w:tc>
          <w:tcPr>
            <w:tcW w:w="1080" w:type="dxa"/>
            <w:shd w:val="clear" w:color="auto" w:fill="D9E2F3"/>
          </w:tcPr>
          <w:p w14:paraId="0C1918B0" w14:textId="77777777" w:rsidR="00B7540A" w:rsidRPr="00586097" w:rsidRDefault="00B7540A" w:rsidP="00920983">
            <w:pPr>
              <w:spacing w:line="276" w:lineRule="auto"/>
              <w:ind w:firstLine="0"/>
              <w:jc w:val="center"/>
              <w:rPr>
                <w:rFonts w:cs="Arial"/>
                <w:bCs/>
              </w:rPr>
            </w:pPr>
            <w:r w:rsidRPr="00586097">
              <w:rPr>
                <w:rFonts w:cs="Arial"/>
                <w:bCs/>
              </w:rPr>
              <w:t>4.6</w:t>
            </w:r>
          </w:p>
        </w:tc>
        <w:tc>
          <w:tcPr>
            <w:tcW w:w="990" w:type="dxa"/>
            <w:shd w:val="clear" w:color="auto" w:fill="D9E2F3"/>
          </w:tcPr>
          <w:p w14:paraId="39D4C951" w14:textId="77777777" w:rsidR="00B7540A" w:rsidRPr="00586097" w:rsidRDefault="00B7540A" w:rsidP="00920983">
            <w:pPr>
              <w:spacing w:line="276" w:lineRule="auto"/>
              <w:ind w:firstLine="0"/>
              <w:jc w:val="center"/>
              <w:rPr>
                <w:rFonts w:cs="Arial"/>
                <w:bCs/>
              </w:rPr>
            </w:pPr>
            <w:r w:rsidRPr="00586097">
              <w:rPr>
                <w:rFonts w:cs="Arial"/>
                <w:bCs/>
              </w:rPr>
              <w:t>4.0</w:t>
            </w:r>
          </w:p>
        </w:tc>
        <w:tc>
          <w:tcPr>
            <w:tcW w:w="1101" w:type="dxa"/>
            <w:shd w:val="clear" w:color="auto" w:fill="D9E2F3"/>
          </w:tcPr>
          <w:p w14:paraId="333BF6CD" w14:textId="77777777" w:rsidR="00B7540A" w:rsidRPr="00586097" w:rsidRDefault="00B7540A" w:rsidP="00920983">
            <w:pPr>
              <w:spacing w:line="276" w:lineRule="auto"/>
              <w:ind w:firstLine="0"/>
              <w:jc w:val="center"/>
              <w:rPr>
                <w:rFonts w:cs="Arial"/>
                <w:bCs/>
              </w:rPr>
            </w:pPr>
            <w:r w:rsidRPr="00586097">
              <w:rPr>
                <w:rFonts w:cs="Arial"/>
                <w:bCs/>
              </w:rPr>
              <w:t>4.0</w:t>
            </w:r>
          </w:p>
        </w:tc>
      </w:tr>
      <w:tr w:rsidR="00D26A99" w:rsidRPr="00586097" w14:paraId="656D01AE" w14:textId="77777777" w:rsidTr="00D26A99">
        <w:trPr>
          <w:trHeight w:val="258"/>
        </w:trPr>
        <w:tc>
          <w:tcPr>
            <w:tcW w:w="3495" w:type="dxa"/>
            <w:noWrap/>
          </w:tcPr>
          <w:p w14:paraId="7A453EFD" w14:textId="77777777" w:rsidR="00B7540A" w:rsidRPr="00586097" w:rsidRDefault="00B7540A" w:rsidP="00920983">
            <w:pPr>
              <w:spacing w:line="276" w:lineRule="auto"/>
              <w:ind w:firstLine="22"/>
              <w:rPr>
                <w:rFonts w:cs="Sylfaen"/>
              </w:rPr>
            </w:pPr>
            <w:r w:rsidRPr="00586097">
              <w:rPr>
                <w:rFonts w:cs="Sylfaen"/>
              </w:rPr>
              <w:t>Գնաճ (ժամանակաշրջանի վերջ)</w:t>
            </w:r>
            <w:r w:rsidRPr="00586097">
              <w:rPr>
                <w:rFonts w:cs="Sylfaen"/>
                <w:lang w:val="ru-RU"/>
              </w:rPr>
              <w:t>,</w:t>
            </w:r>
            <w:r w:rsidRPr="00586097">
              <w:rPr>
                <w:rFonts w:cs="Sylfaen"/>
              </w:rPr>
              <w:t xml:space="preserve"> %</w:t>
            </w:r>
          </w:p>
        </w:tc>
        <w:tc>
          <w:tcPr>
            <w:tcW w:w="1080" w:type="dxa"/>
          </w:tcPr>
          <w:p w14:paraId="4D8E77E8" w14:textId="77777777" w:rsidR="00B7540A" w:rsidRPr="00586097" w:rsidRDefault="00B7540A" w:rsidP="00920983">
            <w:pPr>
              <w:spacing w:line="276" w:lineRule="auto"/>
              <w:ind w:firstLine="0"/>
              <w:jc w:val="center"/>
              <w:rPr>
                <w:rFonts w:cs="Arial"/>
                <w:bCs/>
              </w:rPr>
            </w:pPr>
            <w:r w:rsidRPr="00586097">
              <w:rPr>
                <w:rFonts w:cs="Arial"/>
                <w:bCs/>
              </w:rPr>
              <w:t>1.8</w:t>
            </w:r>
          </w:p>
        </w:tc>
        <w:tc>
          <w:tcPr>
            <w:tcW w:w="1080" w:type="dxa"/>
          </w:tcPr>
          <w:p w14:paraId="6D9ACCD4" w14:textId="77777777" w:rsidR="00B7540A" w:rsidRPr="00586097" w:rsidRDefault="00B7540A" w:rsidP="00920983">
            <w:pPr>
              <w:spacing w:line="276" w:lineRule="auto"/>
              <w:ind w:firstLine="0"/>
              <w:jc w:val="center"/>
              <w:rPr>
                <w:rFonts w:cs="Arial"/>
                <w:bCs/>
              </w:rPr>
            </w:pPr>
            <w:r w:rsidRPr="00586097">
              <w:rPr>
                <w:rFonts w:cs="Arial"/>
                <w:bCs/>
              </w:rPr>
              <w:t>0.7</w:t>
            </w:r>
          </w:p>
        </w:tc>
        <w:tc>
          <w:tcPr>
            <w:tcW w:w="990" w:type="dxa"/>
          </w:tcPr>
          <w:p w14:paraId="66B0E124" w14:textId="77777777" w:rsidR="00B7540A" w:rsidRPr="00586097" w:rsidRDefault="00B7540A" w:rsidP="00920983">
            <w:pPr>
              <w:spacing w:line="276" w:lineRule="auto"/>
              <w:ind w:firstLine="0"/>
              <w:jc w:val="center"/>
              <w:rPr>
                <w:rFonts w:cs="Arial"/>
                <w:bCs/>
              </w:rPr>
            </w:pPr>
            <w:r w:rsidRPr="00586097">
              <w:rPr>
                <w:rFonts w:cs="Arial"/>
                <w:bCs/>
              </w:rPr>
              <w:t>3.7</w:t>
            </w:r>
          </w:p>
        </w:tc>
        <w:tc>
          <w:tcPr>
            <w:tcW w:w="1260" w:type="dxa"/>
            <w:shd w:val="clear" w:color="auto" w:fill="D9E2F3"/>
          </w:tcPr>
          <w:p w14:paraId="2ABA134C" w14:textId="77777777" w:rsidR="00B7540A" w:rsidRPr="00586097" w:rsidRDefault="00B7540A" w:rsidP="00920983">
            <w:pPr>
              <w:spacing w:line="276" w:lineRule="auto"/>
              <w:ind w:firstLine="0"/>
              <w:jc w:val="center"/>
              <w:rPr>
                <w:rFonts w:cs="Arial"/>
                <w:bCs/>
              </w:rPr>
            </w:pPr>
            <w:r w:rsidRPr="00586097">
              <w:rPr>
                <w:rFonts w:cs="Arial"/>
                <w:bCs/>
              </w:rPr>
              <w:t>5.2</w:t>
            </w:r>
          </w:p>
        </w:tc>
        <w:tc>
          <w:tcPr>
            <w:tcW w:w="1080" w:type="dxa"/>
            <w:shd w:val="clear" w:color="auto" w:fill="D9E2F3"/>
          </w:tcPr>
          <w:p w14:paraId="3F830FB2" w14:textId="77777777" w:rsidR="00B7540A" w:rsidRPr="00586097" w:rsidRDefault="00B7540A" w:rsidP="00920983">
            <w:pPr>
              <w:spacing w:line="276" w:lineRule="auto"/>
              <w:ind w:firstLine="0"/>
              <w:jc w:val="center"/>
              <w:rPr>
                <w:rFonts w:cs="Arial"/>
                <w:bCs/>
              </w:rPr>
            </w:pPr>
            <w:r w:rsidRPr="00586097">
              <w:rPr>
                <w:rFonts w:cs="Arial"/>
                <w:bCs/>
              </w:rPr>
              <w:t>4.0</w:t>
            </w:r>
          </w:p>
        </w:tc>
        <w:tc>
          <w:tcPr>
            <w:tcW w:w="990" w:type="dxa"/>
            <w:shd w:val="clear" w:color="auto" w:fill="D9E2F3"/>
          </w:tcPr>
          <w:p w14:paraId="21FDE546" w14:textId="77777777" w:rsidR="00B7540A" w:rsidRPr="00586097" w:rsidRDefault="00B7540A" w:rsidP="00920983">
            <w:pPr>
              <w:spacing w:line="276" w:lineRule="auto"/>
              <w:ind w:firstLine="0"/>
              <w:jc w:val="center"/>
              <w:rPr>
                <w:rFonts w:cs="Arial"/>
                <w:bCs/>
              </w:rPr>
            </w:pPr>
            <w:r w:rsidRPr="00586097">
              <w:rPr>
                <w:rFonts w:cs="Arial"/>
                <w:bCs/>
              </w:rPr>
              <w:t>4.0</w:t>
            </w:r>
          </w:p>
        </w:tc>
        <w:tc>
          <w:tcPr>
            <w:tcW w:w="1101" w:type="dxa"/>
            <w:shd w:val="clear" w:color="auto" w:fill="D9E2F3"/>
          </w:tcPr>
          <w:p w14:paraId="24517E75" w14:textId="77777777" w:rsidR="00B7540A" w:rsidRPr="00586097" w:rsidRDefault="00B7540A" w:rsidP="00920983">
            <w:pPr>
              <w:spacing w:line="276" w:lineRule="auto"/>
              <w:ind w:firstLine="0"/>
              <w:jc w:val="center"/>
              <w:rPr>
                <w:rFonts w:cs="Arial"/>
                <w:bCs/>
              </w:rPr>
            </w:pPr>
            <w:r w:rsidRPr="00586097">
              <w:rPr>
                <w:rFonts w:cs="Arial"/>
                <w:bCs/>
              </w:rPr>
              <w:t>4.0</w:t>
            </w:r>
          </w:p>
        </w:tc>
      </w:tr>
      <w:tr w:rsidR="00D26A99" w:rsidRPr="00586097" w14:paraId="59B7C2BD" w14:textId="77777777" w:rsidTr="00D26A99">
        <w:trPr>
          <w:trHeight w:val="265"/>
        </w:trPr>
        <w:tc>
          <w:tcPr>
            <w:tcW w:w="3495" w:type="dxa"/>
          </w:tcPr>
          <w:p w14:paraId="21E64C60" w14:textId="77777777" w:rsidR="00B7540A" w:rsidRPr="00586097" w:rsidRDefault="00B7540A" w:rsidP="00920983">
            <w:pPr>
              <w:spacing w:line="276" w:lineRule="auto"/>
              <w:ind w:firstLine="22"/>
              <w:rPr>
                <w:rFonts w:cs="Sylfaen"/>
              </w:rPr>
            </w:pPr>
            <w:r w:rsidRPr="00586097">
              <w:rPr>
                <w:rFonts w:cs="Sylfaen"/>
              </w:rPr>
              <w:t>Գնաճ (միջին), %</w:t>
            </w:r>
          </w:p>
        </w:tc>
        <w:tc>
          <w:tcPr>
            <w:tcW w:w="1080" w:type="dxa"/>
          </w:tcPr>
          <w:p w14:paraId="1B0CC263" w14:textId="77777777" w:rsidR="00B7540A" w:rsidRPr="00586097" w:rsidRDefault="00B7540A" w:rsidP="00920983">
            <w:pPr>
              <w:spacing w:line="276" w:lineRule="auto"/>
              <w:ind w:firstLine="0"/>
              <w:jc w:val="center"/>
              <w:rPr>
                <w:rFonts w:cs="Arial"/>
                <w:bCs/>
              </w:rPr>
            </w:pPr>
            <w:r w:rsidRPr="00586097">
              <w:rPr>
                <w:rFonts w:cs="Arial"/>
                <w:bCs/>
              </w:rPr>
              <w:t>2.5</w:t>
            </w:r>
          </w:p>
        </w:tc>
        <w:tc>
          <w:tcPr>
            <w:tcW w:w="1080" w:type="dxa"/>
          </w:tcPr>
          <w:p w14:paraId="538A1CB1" w14:textId="77777777" w:rsidR="00B7540A" w:rsidRPr="00586097" w:rsidRDefault="00B7540A" w:rsidP="00920983">
            <w:pPr>
              <w:spacing w:line="276" w:lineRule="auto"/>
              <w:ind w:firstLine="0"/>
              <w:jc w:val="center"/>
              <w:rPr>
                <w:rFonts w:cs="Arial"/>
                <w:bCs/>
              </w:rPr>
            </w:pPr>
            <w:r w:rsidRPr="00586097">
              <w:rPr>
                <w:rFonts w:cs="Arial"/>
                <w:bCs/>
              </w:rPr>
              <w:t>1.4</w:t>
            </w:r>
          </w:p>
        </w:tc>
        <w:tc>
          <w:tcPr>
            <w:tcW w:w="990" w:type="dxa"/>
          </w:tcPr>
          <w:p w14:paraId="747B8C23" w14:textId="77777777" w:rsidR="00B7540A" w:rsidRPr="00586097" w:rsidRDefault="00B7540A" w:rsidP="00920983">
            <w:pPr>
              <w:spacing w:line="276" w:lineRule="auto"/>
              <w:ind w:firstLine="0"/>
              <w:jc w:val="center"/>
              <w:rPr>
                <w:rFonts w:cs="Arial"/>
                <w:bCs/>
              </w:rPr>
            </w:pPr>
            <w:r w:rsidRPr="00586097">
              <w:rPr>
                <w:rFonts w:cs="Arial"/>
                <w:bCs/>
              </w:rPr>
              <w:t>1.2</w:t>
            </w:r>
          </w:p>
        </w:tc>
        <w:tc>
          <w:tcPr>
            <w:tcW w:w="1260" w:type="dxa"/>
            <w:shd w:val="clear" w:color="auto" w:fill="D9E2F3"/>
          </w:tcPr>
          <w:p w14:paraId="42BC12C0" w14:textId="77777777" w:rsidR="00B7540A" w:rsidRPr="00586097" w:rsidRDefault="00B7540A" w:rsidP="00920983">
            <w:pPr>
              <w:spacing w:line="276" w:lineRule="auto"/>
              <w:ind w:firstLine="0"/>
              <w:jc w:val="center"/>
              <w:rPr>
                <w:rFonts w:cs="Arial"/>
                <w:bCs/>
              </w:rPr>
            </w:pPr>
            <w:r w:rsidRPr="00586097">
              <w:rPr>
                <w:rFonts w:cs="Arial"/>
                <w:bCs/>
              </w:rPr>
              <w:t>5.3</w:t>
            </w:r>
          </w:p>
        </w:tc>
        <w:tc>
          <w:tcPr>
            <w:tcW w:w="1080" w:type="dxa"/>
            <w:shd w:val="clear" w:color="auto" w:fill="D9E2F3"/>
          </w:tcPr>
          <w:p w14:paraId="4428294A" w14:textId="77777777" w:rsidR="00B7540A" w:rsidRPr="00586097" w:rsidRDefault="00B7540A" w:rsidP="00920983">
            <w:pPr>
              <w:spacing w:line="276" w:lineRule="auto"/>
              <w:ind w:firstLine="0"/>
              <w:jc w:val="center"/>
              <w:rPr>
                <w:rFonts w:cs="Arial"/>
                <w:bCs/>
              </w:rPr>
            </w:pPr>
            <w:r w:rsidRPr="00586097">
              <w:rPr>
                <w:rFonts w:cs="Arial"/>
                <w:bCs/>
              </w:rPr>
              <w:t>4.1</w:t>
            </w:r>
          </w:p>
        </w:tc>
        <w:tc>
          <w:tcPr>
            <w:tcW w:w="990" w:type="dxa"/>
            <w:shd w:val="clear" w:color="auto" w:fill="D9E2F3"/>
          </w:tcPr>
          <w:p w14:paraId="53C4D80B" w14:textId="77777777" w:rsidR="00B7540A" w:rsidRPr="00586097" w:rsidRDefault="00B7540A" w:rsidP="00920983">
            <w:pPr>
              <w:spacing w:line="276" w:lineRule="auto"/>
              <w:ind w:firstLine="0"/>
              <w:jc w:val="center"/>
              <w:rPr>
                <w:rFonts w:cs="Arial"/>
                <w:bCs/>
              </w:rPr>
            </w:pPr>
            <w:r w:rsidRPr="00586097">
              <w:rPr>
                <w:rFonts w:cs="Arial"/>
                <w:bCs/>
              </w:rPr>
              <w:t>4.0</w:t>
            </w:r>
          </w:p>
        </w:tc>
        <w:tc>
          <w:tcPr>
            <w:tcW w:w="1101" w:type="dxa"/>
            <w:shd w:val="clear" w:color="auto" w:fill="D9E2F3"/>
          </w:tcPr>
          <w:p w14:paraId="41A107DF" w14:textId="77777777" w:rsidR="00B7540A" w:rsidRPr="00586097" w:rsidRDefault="00B7540A" w:rsidP="00920983">
            <w:pPr>
              <w:spacing w:line="276" w:lineRule="auto"/>
              <w:ind w:firstLine="0"/>
              <w:jc w:val="center"/>
              <w:rPr>
                <w:rFonts w:cs="Arial"/>
                <w:bCs/>
              </w:rPr>
            </w:pPr>
            <w:r w:rsidRPr="00586097">
              <w:rPr>
                <w:rFonts w:cs="Arial"/>
                <w:bCs/>
              </w:rPr>
              <w:t>4.0</w:t>
            </w:r>
          </w:p>
        </w:tc>
      </w:tr>
      <w:tr w:rsidR="00B7540A" w:rsidRPr="00586097" w14:paraId="6F1E4E2B" w14:textId="77777777" w:rsidTr="00920983">
        <w:trPr>
          <w:trHeight w:val="258"/>
        </w:trPr>
        <w:tc>
          <w:tcPr>
            <w:tcW w:w="11076" w:type="dxa"/>
            <w:gridSpan w:val="8"/>
            <w:shd w:val="clear" w:color="auto" w:fill="auto"/>
            <w:noWrap/>
          </w:tcPr>
          <w:p w14:paraId="79B6A67F" w14:textId="77777777" w:rsidR="00B7540A" w:rsidRPr="00586097" w:rsidRDefault="00B7540A" w:rsidP="00920983">
            <w:pPr>
              <w:spacing w:line="276" w:lineRule="auto"/>
              <w:ind w:firstLine="0"/>
              <w:rPr>
                <w:rFonts w:cs="Arial"/>
                <w:bCs/>
              </w:rPr>
            </w:pPr>
            <w:r w:rsidRPr="00586097">
              <w:rPr>
                <w:rFonts w:cs="Sylfaen"/>
                <w:b/>
                <w:u w:val="single"/>
              </w:rPr>
              <w:t>ՀՆԱ իրական աճն ըստ ճյուղերի ավելացված արժեքների, %</w:t>
            </w:r>
          </w:p>
        </w:tc>
      </w:tr>
      <w:tr w:rsidR="00D26A99" w:rsidRPr="00586097" w14:paraId="7B774E02" w14:textId="77777777" w:rsidTr="00D26A99">
        <w:trPr>
          <w:trHeight w:val="295"/>
        </w:trPr>
        <w:tc>
          <w:tcPr>
            <w:tcW w:w="3495" w:type="dxa"/>
            <w:noWrap/>
          </w:tcPr>
          <w:p w14:paraId="78A9C785" w14:textId="77777777" w:rsidR="00B7540A" w:rsidRPr="00586097" w:rsidRDefault="00B7540A" w:rsidP="00920983">
            <w:pPr>
              <w:spacing w:line="276" w:lineRule="auto"/>
              <w:ind w:firstLineChars="100" w:firstLine="220"/>
              <w:rPr>
                <w:rFonts w:cs="Sylfaen"/>
              </w:rPr>
            </w:pPr>
            <w:r w:rsidRPr="00586097">
              <w:rPr>
                <w:rFonts w:cs="Sylfaen"/>
              </w:rPr>
              <w:t>Արդյունաբերություն</w:t>
            </w:r>
          </w:p>
        </w:tc>
        <w:tc>
          <w:tcPr>
            <w:tcW w:w="1080" w:type="dxa"/>
            <w:vAlign w:val="center"/>
          </w:tcPr>
          <w:p w14:paraId="24583BEB" w14:textId="77777777" w:rsidR="00B7540A" w:rsidRPr="00586097" w:rsidRDefault="00B7540A" w:rsidP="00920983">
            <w:pPr>
              <w:spacing w:line="276" w:lineRule="auto"/>
              <w:ind w:firstLine="0"/>
              <w:jc w:val="center"/>
              <w:rPr>
                <w:rFonts w:cs="Arial"/>
                <w:bCs/>
              </w:rPr>
            </w:pPr>
            <w:r w:rsidRPr="00586097">
              <w:t>4.9</w:t>
            </w:r>
          </w:p>
        </w:tc>
        <w:tc>
          <w:tcPr>
            <w:tcW w:w="1080" w:type="dxa"/>
            <w:vAlign w:val="center"/>
          </w:tcPr>
          <w:p w14:paraId="67FF70EC" w14:textId="77777777" w:rsidR="00B7540A" w:rsidRPr="00586097" w:rsidRDefault="00B7540A" w:rsidP="00920983">
            <w:pPr>
              <w:spacing w:line="276" w:lineRule="auto"/>
              <w:ind w:firstLine="0"/>
              <w:jc w:val="center"/>
              <w:rPr>
                <w:rFonts w:cs="Arial"/>
                <w:bCs/>
              </w:rPr>
            </w:pPr>
            <w:r w:rsidRPr="00586097">
              <w:t>11.9</w:t>
            </w:r>
          </w:p>
        </w:tc>
        <w:tc>
          <w:tcPr>
            <w:tcW w:w="990" w:type="dxa"/>
            <w:vAlign w:val="center"/>
          </w:tcPr>
          <w:p w14:paraId="4D9C03AC" w14:textId="77777777" w:rsidR="00B7540A" w:rsidRPr="00586097" w:rsidRDefault="00B7540A" w:rsidP="00920983">
            <w:pPr>
              <w:spacing w:line="276" w:lineRule="auto"/>
              <w:ind w:firstLine="0"/>
              <w:jc w:val="center"/>
              <w:rPr>
                <w:rFonts w:cs="Arial"/>
                <w:bCs/>
              </w:rPr>
            </w:pPr>
            <w:r w:rsidRPr="00586097">
              <w:t>-1.7</w:t>
            </w:r>
          </w:p>
        </w:tc>
        <w:tc>
          <w:tcPr>
            <w:tcW w:w="1260" w:type="dxa"/>
            <w:shd w:val="clear" w:color="auto" w:fill="D9E2F3"/>
          </w:tcPr>
          <w:p w14:paraId="7545B393" w14:textId="77777777" w:rsidR="00B7540A" w:rsidRPr="00586097" w:rsidRDefault="00B7540A" w:rsidP="00920983">
            <w:pPr>
              <w:spacing w:line="276" w:lineRule="auto"/>
              <w:ind w:firstLine="0"/>
              <w:jc w:val="center"/>
              <w:rPr>
                <w:rFonts w:cs="Arial"/>
                <w:bCs/>
              </w:rPr>
            </w:pPr>
            <w:r w:rsidRPr="00586097">
              <w:t>4.9</w:t>
            </w:r>
          </w:p>
        </w:tc>
        <w:tc>
          <w:tcPr>
            <w:tcW w:w="1080" w:type="dxa"/>
            <w:shd w:val="clear" w:color="auto" w:fill="D9E2F3"/>
          </w:tcPr>
          <w:p w14:paraId="0E07034B" w14:textId="77777777" w:rsidR="00B7540A" w:rsidRPr="00586097" w:rsidRDefault="00B7540A" w:rsidP="00920983">
            <w:pPr>
              <w:spacing w:line="276" w:lineRule="auto"/>
              <w:ind w:firstLine="0"/>
              <w:jc w:val="center"/>
              <w:rPr>
                <w:rFonts w:cs="Arial"/>
                <w:bCs/>
              </w:rPr>
            </w:pPr>
            <w:r w:rsidRPr="00586097">
              <w:t>6.0</w:t>
            </w:r>
          </w:p>
        </w:tc>
        <w:tc>
          <w:tcPr>
            <w:tcW w:w="990" w:type="dxa"/>
            <w:shd w:val="clear" w:color="auto" w:fill="D9E2F3"/>
          </w:tcPr>
          <w:p w14:paraId="3E161582" w14:textId="77777777" w:rsidR="00B7540A" w:rsidRPr="00586097" w:rsidRDefault="00B7540A" w:rsidP="00920983">
            <w:pPr>
              <w:spacing w:line="276" w:lineRule="auto"/>
              <w:ind w:firstLine="0"/>
              <w:jc w:val="center"/>
              <w:rPr>
                <w:rFonts w:cs="Arial"/>
                <w:bCs/>
              </w:rPr>
            </w:pPr>
            <w:r w:rsidRPr="00586097">
              <w:t>4.3</w:t>
            </w:r>
          </w:p>
        </w:tc>
        <w:tc>
          <w:tcPr>
            <w:tcW w:w="1101" w:type="dxa"/>
            <w:shd w:val="clear" w:color="auto" w:fill="D9E2F3"/>
          </w:tcPr>
          <w:p w14:paraId="7043FE15" w14:textId="77777777" w:rsidR="00B7540A" w:rsidRPr="00586097" w:rsidRDefault="00B7540A" w:rsidP="00920983">
            <w:pPr>
              <w:spacing w:line="276" w:lineRule="auto"/>
              <w:ind w:firstLine="0"/>
              <w:jc w:val="center"/>
              <w:rPr>
                <w:rFonts w:cs="Arial"/>
                <w:bCs/>
              </w:rPr>
            </w:pPr>
            <w:r w:rsidRPr="00586097">
              <w:t>4.4</w:t>
            </w:r>
          </w:p>
        </w:tc>
      </w:tr>
      <w:tr w:rsidR="00D26A99" w:rsidRPr="00586097" w14:paraId="78AE8168" w14:textId="77777777" w:rsidTr="00D26A99">
        <w:trPr>
          <w:trHeight w:val="258"/>
        </w:trPr>
        <w:tc>
          <w:tcPr>
            <w:tcW w:w="3495" w:type="dxa"/>
          </w:tcPr>
          <w:p w14:paraId="2AF88F99" w14:textId="77777777" w:rsidR="00B7540A" w:rsidRPr="00586097" w:rsidRDefault="00B7540A" w:rsidP="00920983">
            <w:pPr>
              <w:spacing w:line="276" w:lineRule="auto"/>
              <w:ind w:firstLineChars="100" w:firstLine="220"/>
              <w:rPr>
                <w:rFonts w:cs="Sylfaen"/>
              </w:rPr>
            </w:pPr>
            <w:r w:rsidRPr="00586097">
              <w:rPr>
                <w:rFonts w:cs="Sylfaen"/>
              </w:rPr>
              <w:t xml:space="preserve">Գյուղատնտեսություն </w:t>
            </w:r>
          </w:p>
        </w:tc>
        <w:tc>
          <w:tcPr>
            <w:tcW w:w="1080" w:type="dxa"/>
            <w:vAlign w:val="center"/>
          </w:tcPr>
          <w:p w14:paraId="1CA9B794" w14:textId="77777777" w:rsidR="00B7540A" w:rsidRPr="00586097" w:rsidRDefault="00B7540A" w:rsidP="00920983">
            <w:pPr>
              <w:spacing w:line="276" w:lineRule="auto"/>
              <w:ind w:firstLine="0"/>
              <w:jc w:val="center"/>
              <w:rPr>
                <w:rFonts w:cs="Arial"/>
                <w:bCs/>
              </w:rPr>
            </w:pPr>
            <w:r w:rsidRPr="00586097">
              <w:t>-6.9</w:t>
            </w:r>
          </w:p>
        </w:tc>
        <w:tc>
          <w:tcPr>
            <w:tcW w:w="1080" w:type="dxa"/>
            <w:vAlign w:val="center"/>
          </w:tcPr>
          <w:p w14:paraId="35F457D2" w14:textId="77777777" w:rsidR="00B7540A" w:rsidRPr="00586097" w:rsidRDefault="00B7540A" w:rsidP="00920983">
            <w:pPr>
              <w:spacing w:line="276" w:lineRule="auto"/>
              <w:ind w:firstLine="0"/>
              <w:jc w:val="center"/>
              <w:rPr>
                <w:rFonts w:cs="Arial"/>
                <w:bCs/>
              </w:rPr>
            </w:pPr>
            <w:r w:rsidRPr="00586097">
              <w:t>-5.8</w:t>
            </w:r>
          </w:p>
        </w:tc>
        <w:tc>
          <w:tcPr>
            <w:tcW w:w="990" w:type="dxa"/>
            <w:vAlign w:val="center"/>
          </w:tcPr>
          <w:p w14:paraId="79D9EFD3" w14:textId="77777777" w:rsidR="00B7540A" w:rsidRPr="00586097" w:rsidRDefault="00B7540A" w:rsidP="00920983">
            <w:pPr>
              <w:spacing w:line="276" w:lineRule="auto"/>
              <w:ind w:firstLine="0"/>
              <w:jc w:val="center"/>
              <w:rPr>
                <w:rFonts w:cs="Arial"/>
                <w:bCs/>
              </w:rPr>
            </w:pPr>
            <w:r w:rsidRPr="00586097">
              <w:t>-4.1</w:t>
            </w:r>
          </w:p>
        </w:tc>
        <w:tc>
          <w:tcPr>
            <w:tcW w:w="1260" w:type="dxa"/>
            <w:shd w:val="clear" w:color="auto" w:fill="D9E2F3"/>
          </w:tcPr>
          <w:p w14:paraId="38D25801" w14:textId="77777777" w:rsidR="00B7540A" w:rsidRPr="00586097" w:rsidRDefault="00B7540A" w:rsidP="00920983">
            <w:pPr>
              <w:spacing w:line="276" w:lineRule="auto"/>
              <w:ind w:firstLine="0"/>
              <w:jc w:val="center"/>
              <w:rPr>
                <w:rFonts w:cs="Arial"/>
                <w:bCs/>
              </w:rPr>
            </w:pPr>
            <w:r w:rsidRPr="00586097">
              <w:t>3.1</w:t>
            </w:r>
          </w:p>
        </w:tc>
        <w:tc>
          <w:tcPr>
            <w:tcW w:w="1080" w:type="dxa"/>
            <w:shd w:val="clear" w:color="auto" w:fill="D9E2F3"/>
          </w:tcPr>
          <w:p w14:paraId="7886FCFF" w14:textId="77777777" w:rsidR="00B7540A" w:rsidRPr="00586097" w:rsidRDefault="00B7540A" w:rsidP="00920983">
            <w:pPr>
              <w:spacing w:line="276" w:lineRule="auto"/>
              <w:ind w:firstLine="0"/>
              <w:jc w:val="center"/>
              <w:rPr>
                <w:rFonts w:cs="Arial"/>
                <w:bCs/>
              </w:rPr>
            </w:pPr>
            <w:r w:rsidRPr="00586097">
              <w:t>2.5</w:t>
            </w:r>
          </w:p>
        </w:tc>
        <w:tc>
          <w:tcPr>
            <w:tcW w:w="990" w:type="dxa"/>
            <w:shd w:val="clear" w:color="auto" w:fill="D9E2F3"/>
          </w:tcPr>
          <w:p w14:paraId="6DA4AC48" w14:textId="77777777" w:rsidR="00B7540A" w:rsidRPr="00586097" w:rsidRDefault="00B7540A" w:rsidP="00920983">
            <w:pPr>
              <w:spacing w:line="276" w:lineRule="auto"/>
              <w:ind w:firstLine="0"/>
              <w:jc w:val="center"/>
              <w:rPr>
                <w:rFonts w:cs="Arial"/>
                <w:bCs/>
              </w:rPr>
            </w:pPr>
            <w:r w:rsidRPr="00586097">
              <w:t>2.3</w:t>
            </w:r>
          </w:p>
        </w:tc>
        <w:tc>
          <w:tcPr>
            <w:tcW w:w="1101" w:type="dxa"/>
            <w:shd w:val="clear" w:color="auto" w:fill="D9E2F3"/>
          </w:tcPr>
          <w:p w14:paraId="61724ADA" w14:textId="77777777" w:rsidR="00B7540A" w:rsidRPr="00586097" w:rsidRDefault="00B7540A" w:rsidP="00920983">
            <w:pPr>
              <w:spacing w:line="276" w:lineRule="auto"/>
              <w:ind w:firstLine="0"/>
              <w:jc w:val="center"/>
              <w:rPr>
                <w:rFonts w:cs="Arial"/>
                <w:bCs/>
              </w:rPr>
            </w:pPr>
            <w:r w:rsidRPr="00586097">
              <w:t>2.5</w:t>
            </w:r>
          </w:p>
        </w:tc>
      </w:tr>
      <w:tr w:rsidR="00D26A99" w:rsidRPr="00586097" w14:paraId="41EF7D43" w14:textId="77777777" w:rsidTr="00D26A99">
        <w:trPr>
          <w:trHeight w:val="258"/>
        </w:trPr>
        <w:tc>
          <w:tcPr>
            <w:tcW w:w="3495" w:type="dxa"/>
            <w:noWrap/>
          </w:tcPr>
          <w:p w14:paraId="59A7686B" w14:textId="77777777" w:rsidR="00B7540A" w:rsidRPr="00586097" w:rsidRDefault="00B7540A" w:rsidP="00920983">
            <w:pPr>
              <w:spacing w:line="276" w:lineRule="auto"/>
              <w:ind w:firstLineChars="100" w:firstLine="220"/>
              <w:rPr>
                <w:rFonts w:cs="Sylfaen"/>
              </w:rPr>
            </w:pPr>
            <w:r w:rsidRPr="00586097">
              <w:rPr>
                <w:rFonts w:cs="Sylfaen"/>
              </w:rPr>
              <w:t xml:space="preserve">Շինարարություն </w:t>
            </w:r>
          </w:p>
        </w:tc>
        <w:tc>
          <w:tcPr>
            <w:tcW w:w="1080" w:type="dxa"/>
            <w:vAlign w:val="center"/>
          </w:tcPr>
          <w:p w14:paraId="065DB19B" w14:textId="77777777" w:rsidR="00B7540A" w:rsidRPr="00586097" w:rsidRDefault="00B7540A" w:rsidP="00920983">
            <w:pPr>
              <w:spacing w:line="276" w:lineRule="auto"/>
              <w:ind w:firstLine="0"/>
              <w:jc w:val="center"/>
              <w:rPr>
                <w:rFonts w:cs="Arial"/>
                <w:bCs/>
              </w:rPr>
            </w:pPr>
            <w:r w:rsidRPr="00586097">
              <w:t>0.6</w:t>
            </w:r>
          </w:p>
        </w:tc>
        <w:tc>
          <w:tcPr>
            <w:tcW w:w="1080" w:type="dxa"/>
            <w:vAlign w:val="center"/>
          </w:tcPr>
          <w:p w14:paraId="53734DE4" w14:textId="77777777" w:rsidR="00B7540A" w:rsidRPr="00586097" w:rsidRDefault="00B7540A" w:rsidP="00920983">
            <w:pPr>
              <w:spacing w:line="276" w:lineRule="auto"/>
              <w:ind w:firstLine="0"/>
              <w:jc w:val="center"/>
              <w:rPr>
                <w:rFonts w:cs="Arial"/>
                <w:bCs/>
              </w:rPr>
            </w:pPr>
            <w:r w:rsidRPr="00586097">
              <w:t>6.5</w:t>
            </w:r>
          </w:p>
        </w:tc>
        <w:tc>
          <w:tcPr>
            <w:tcW w:w="990" w:type="dxa"/>
            <w:vAlign w:val="center"/>
          </w:tcPr>
          <w:p w14:paraId="098001B8" w14:textId="77777777" w:rsidR="00B7540A" w:rsidRPr="00586097" w:rsidRDefault="00B7540A" w:rsidP="00920983">
            <w:pPr>
              <w:spacing w:line="276" w:lineRule="auto"/>
              <w:ind w:firstLine="0"/>
              <w:jc w:val="center"/>
              <w:rPr>
                <w:rFonts w:cs="Arial"/>
                <w:bCs/>
              </w:rPr>
            </w:pPr>
            <w:r w:rsidRPr="00586097">
              <w:t>-6.7</w:t>
            </w:r>
          </w:p>
        </w:tc>
        <w:tc>
          <w:tcPr>
            <w:tcW w:w="1260" w:type="dxa"/>
            <w:shd w:val="clear" w:color="auto" w:fill="D9E2F3"/>
          </w:tcPr>
          <w:p w14:paraId="0ECE93D0" w14:textId="77777777" w:rsidR="00B7540A" w:rsidRPr="00586097" w:rsidRDefault="00B7540A" w:rsidP="00920983">
            <w:pPr>
              <w:spacing w:line="276" w:lineRule="auto"/>
              <w:ind w:firstLine="0"/>
              <w:jc w:val="center"/>
              <w:rPr>
                <w:rFonts w:cs="Arial"/>
                <w:bCs/>
              </w:rPr>
            </w:pPr>
            <w:r w:rsidRPr="00586097">
              <w:t>5.5</w:t>
            </w:r>
          </w:p>
        </w:tc>
        <w:tc>
          <w:tcPr>
            <w:tcW w:w="1080" w:type="dxa"/>
            <w:shd w:val="clear" w:color="auto" w:fill="D9E2F3"/>
          </w:tcPr>
          <w:p w14:paraId="26094D3C" w14:textId="77777777" w:rsidR="00B7540A" w:rsidRPr="00586097" w:rsidRDefault="00B7540A" w:rsidP="00920983">
            <w:pPr>
              <w:spacing w:line="276" w:lineRule="auto"/>
              <w:ind w:firstLine="0"/>
              <w:jc w:val="center"/>
              <w:rPr>
                <w:rFonts w:cs="Arial"/>
                <w:bCs/>
              </w:rPr>
            </w:pPr>
            <w:r w:rsidRPr="00586097">
              <w:t>6.3</w:t>
            </w:r>
          </w:p>
        </w:tc>
        <w:tc>
          <w:tcPr>
            <w:tcW w:w="990" w:type="dxa"/>
            <w:shd w:val="clear" w:color="auto" w:fill="D9E2F3"/>
          </w:tcPr>
          <w:p w14:paraId="4DE4B2E4" w14:textId="77777777" w:rsidR="00B7540A" w:rsidRPr="00586097" w:rsidRDefault="00B7540A" w:rsidP="00920983">
            <w:pPr>
              <w:spacing w:line="276" w:lineRule="auto"/>
              <w:ind w:firstLine="0"/>
              <w:jc w:val="center"/>
              <w:rPr>
                <w:rFonts w:cs="Arial"/>
                <w:bCs/>
              </w:rPr>
            </w:pPr>
            <w:r w:rsidRPr="00586097">
              <w:t>3.2</w:t>
            </w:r>
          </w:p>
        </w:tc>
        <w:tc>
          <w:tcPr>
            <w:tcW w:w="1101" w:type="dxa"/>
            <w:shd w:val="clear" w:color="auto" w:fill="D9E2F3"/>
          </w:tcPr>
          <w:p w14:paraId="59AFA23A" w14:textId="77777777" w:rsidR="00B7540A" w:rsidRPr="00586097" w:rsidRDefault="00B7540A" w:rsidP="00920983">
            <w:pPr>
              <w:spacing w:line="276" w:lineRule="auto"/>
              <w:ind w:firstLine="0"/>
              <w:jc w:val="center"/>
              <w:rPr>
                <w:rFonts w:cs="Arial"/>
                <w:bCs/>
              </w:rPr>
            </w:pPr>
            <w:r w:rsidRPr="00586097">
              <w:t>5.2</w:t>
            </w:r>
          </w:p>
        </w:tc>
      </w:tr>
      <w:tr w:rsidR="00D26A99" w:rsidRPr="00586097" w14:paraId="6FBD68D2" w14:textId="77777777" w:rsidTr="00D26A99">
        <w:trPr>
          <w:trHeight w:val="258"/>
        </w:trPr>
        <w:tc>
          <w:tcPr>
            <w:tcW w:w="3495" w:type="dxa"/>
            <w:noWrap/>
          </w:tcPr>
          <w:p w14:paraId="1BA5464A" w14:textId="77777777" w:rsidR="00B7540A" w:rsidRPr="00586097" w:rsidRDefault="00B7540A" w:rsidP="00920983">
            <w:pPr>
              <w:spacing w:line="276" w:lineRule="auto"/>
              <w:ind w:firstLineChars="100" w:firstLine="220"/>
              <w:rPr>
                <w:rFonts w:cs="Sylfaen"/>
              </w:rPr>
            </w:pPr>
            <w:r w:rsidRPr="00586097">
              <w:rPr>
                <w:rFonts w:cs="Sylfaen"/>
              </w:rPr>
              <w:t>Ծառայություններ</w:t>
            </w:r>
          </w:p>
        </w:tc>
        <w:tc>
          <w:tcPr>
            <w:tcW w:w="1080" w:type="dxa"/>
            <w:vAlign w:val="center"/>
          </w:tcPr>
          <w:p w14:paraId="2E863B48" w14:textId="77777777" w:rsidR="00B7540A" w:rsidRPr="00586097" w:rsidRDefault="00B7540A" w:rsidP="00920983">
            <w:pPr>
              <w:spacing w:line="276" w:lineRule="auto"/>
              <w:ind w:firstLine="0"/>
              <w:jc w:val="center"/>
              <w:rPr>
                <w:rFonts w:cs="Arial"/>
                <w:bCs/>
              </w:rPr>
            </w:pPr>
            <w:r w:rsidRPr="00586097">
              <w:t>9.1</w:t>
            </w:r>
          </w:p>
        </w:tc>
        <w:tc>
          <w:tcPr>
            <w:tcW w:w="1080" w:type="dxa"/>
            <w:vAlign w:val="center"/>
          </w:tcPr>
          <w:p w14:paraId="6E9D0E0C" w14:textId="77777777" w:rsidR="00B7540A" w:rsidRPr="00586097" w:rsidRDefault="00B7540A" w:rsidP="00920983">
            <w:pPr>
              <w:spacing w:line="276" w:lineRule="auto"/>
              <w:ind w:firstLine="0"/>
              <w:jc w:val="center"/>
              <w:rPr>
                <w:rFonts w:cs="Arial"/>
                <w:bCs/>
              </w:rPr>
            </w:pPr>
            <w:r w:rsidRPr="00586097">
              <w:t>10.0</w:t>
            </w:r>
          </w:p>
        </w:tc>
        <w:tc>
          <w:tcPr>
            <w:tcW w:w="990" w:type="dxa"/>
            <w:vAlign w:val="center"/>
          </w:tcPr>
          <w:p w14:paraId="1A30DAD9" w14:textId="77777777" w:rsidR="00B7540A" w:rsidRPr="00586097" w:rsidRDefault="00B7540A" w:rsidP="00920983">
            <w:pPr>
              <w:spacing w:line="276" w:lineRule="auto"/>
              <w:ind w:firstLine="0"/>
              <w:jc w:val="center"/>
              <w:rPr>
                <w:rFonts w:cs="Arial"/>
                <w:bCs/>
              </w:rPr>
            </w:pPr>
            <w:r w:rsidRPr="00586097">
              <w:t>-9.7</w:t>
            </w:r>
          </w:p>
        </w:tc>
        <w:tc>
          <w:tcPr>
            <w:tcW w:w="1260" w:type="dxa"/>
            <w:shd w:val="clear" w:color="auto" w:fill="D9E2F3"/>
          </w:tcPr>
          <w:p w14:paraId="5F486D4E" w14:textId="77777777" w:rsidR="00B7540A" w:rsidRPr="00586097" w:rsidRDefault="00B7540A" w:rsidP="00920983">
            <w:pPr>
              <w:spacing w:line="276" w:lineRule="auto"/>
              <w:ind w:firstLine="0"/>
              <w:jc w:val="center"/>
              <w:rPr>
                <w:rFonts w:cs="Arial"/>
                <w:bCs/>
              </w:rPr>
            </w:pPr>
            <w:r w:rsidRPr="00586097">
              <w:t>7.0</w:t>
            </w:r>
          </w:p>
        </w:tc>
        <w:tc>
          <w:tcPr>
            <w:tcW w:w="1080" w:type="dxa"/>
            <w:shd w:val="clear" w:color="auto" w:fill="D9E2F3"/>
          </w:tcPr>
          <w:p w14:paraId="78962532" w14:textId="77777777" w:rsidR="00B7540A" w:rsidRPr="00586097" w:rsidRDefault="00B7540A" w:rsidP="00920983">
            <w:pPr>
              <w:spacing w:line="276" w:lineRule="auto"/>
              <w:ind w:firstLine="0"/>
              <w:jc w:val="center"/>
              <w:rPr>
                <w:rFonts w:cs="Arial"/>
                <w:bCs/>
              </w:rPr>
            </w:pPr>
            <w:r w:rsidRPr="00586097">
              <w:t>5.3</w:t>
            </w:r>
          </w:p>
        </w:tc>
        <w:tc>
          <w:tcPr>
            <w:tcW w:w="990" w:type="dxa"/>
            <w:shd w:val="clear" w:color="auto" w:fill="D9E2F3"/>
          </w:tcPr>
          <w:p w14:paraId="331DE387" w14:textId="77777777" w:rsidR="00B7540A" w:rsidRPr="00586097" w:rsidRDefault="00B7540A" w:rsidP="00920983">
            <w:pPr>
              <w:spacing w:line="276" w:lineRule="auto"/>
              <w:ind w:firstLine="0"/>
              <w:jc w:val="center"/>
              <w:rPr>
                <w:rFonts w:cs="Arial"/>
                <w:bCs/>
              </w:rPr>
            </w:pPr>
            <w:r w:rsidRPr="00586097">
              <w:t>3.9</w:t>
            </w:r>
          </w:p>
        </w:tc>
        <w:tc>
          <w:tcPr>
            <w:tcW w:w="1101" w:type="dxa"/>
            <w:shd w:val="clear" w:color="auto" w:fill="D9E2F3"/>
          </w:tcPr>
          <w:p w14:paraId="1CAE8F55" w14:textId="77777777" w:rsidR="00B7540A" w:rsidRPr="00586097" w:rsidRDefault="00B7540A" w:rsidP="00920983">
            <w:pPr>
              <w:spacing w:line="276" w:lineRule="auto"/>
              <w:ind w:firstLine="0"/>
              <w:jc w:val="center"/>
              <w:rPr>
                <w:rFonts w:cs="Arial"/>
                <w:bCs/>
              </w:rPr>
            </w:pPr>
            <w:r w:rsidRPr="00586097">
              <w:t>4.0</w:t>
            </w:r>
          </w:p>
        </w:tc>
      </w:tr>
      <w:tr w:rsidR="00D26A99" w:rsidRPr="00586097" w14:paraId="417BDBBD" w14:textId="77777777" w:rsidTr="00D26A99">
        <w:trPr>
          <w:trHeight w:val="258"/>
        </w:trPr>
        <w:tc>
          <w:tcPr>
            <w:tcW w:w="3495" w:type="dxa"/>
            <w:noWrap/>
          </w:tcPr>
          <w:p w14:paraId="506B424A" w14:textId="77777777" w:rsidR="00B7540A" w:rsidRPr="00586097" w:rsidRDefault="00B7540A" w:rsidP="00920983">
            <w:pPr>
              <w:spacing w:line="276" w:lineRule="auto"/>
              <w:ind w:firstLineChars="100" w:firstLine="220"/>
              <w:rPr>
                <w:rFonts w:cs="Sylfaen"/>
              </w:rPr>
            </w:pPr>
            <w:r w:rsidRPr="00586097">
              <w:rPr>
                <w:rFonts w:cs="Sylfaen"/>
              </w:rPr>
              <w:t>Զուտ հարկեր</w:t>
            </w:r>
          </w:p>
        </w:tc>
        <w:tc>
          <w:tcPr>
            <w:tcW w:w="1080" w:type="dxa"/>
            <w:vAlign w:val="center"/>
          </w:tcPr>
          <w:p w14:paraId="3DDAF06B" w14:textId="77777777" w:rsidR="00B7540A" w:rsidRPr="00586097" w:rsidRDefault="00B7540A" w:rsidP="00920983">
            <w:pPr>
              <w:spacing w:line="276" w:lineRule="auto"/>
              <w:ind w:firstLine="0"/>
              <w:jc w:val="center"/>
              <w:rPr>
                <w:rFonts w:cs="Arial"/>
                <w:bCs/>
              </w:rPr>
            </w:pPr>
            <w:r w:rsidRPr="00586097">
              <w:t>8.0</w:t>
            </w:r>
          </w:p>
        </w:tc>
        <w:tc>
          <w:tcPr>
            <w:tcW w:w="1080" w:type="dxa"/>
            <w:vAlign w:val="center"/>
          </w:tcPr>
          <w:p w14:paraId="1346030E" w14:textId="77777777" w:rsidR="00B7540A" w:rsidRPr="00586097" w:rsidRDefault="00B7540A" w:rsidP="00920983">
            <w:pPr>
              <w:spacing w:line="276" w:lineRule="auto"/>
              <w:ind w:firstLine="0"/>
              <w:jc w:val="center"/>
              <w:rPr>
                <w:rFonts w:cs="Arial"/>
                <w:bCs/>
              </w:rPr>
            </w:pPr>
            <w:r w:rsidRPr="00586097">
              <w:t>7.1</w:t>
            </w:r>
          </w:p>
        </w:tc>
        <w:tc>
          <w:tcPr>
            <w:tcW w:w="990" w:type="dxa"/>
            <w:vAlign w:val="center"/>
          </w:tcPr>
          <w:p w14:paraId="7FEFDCD1" w14:textId="77777777" w:rsidR="00B7540A" w:rsidRPr="00586097" w:rsidRDefault="00B7540A" w:rsidP="00920983">
            <w:pPr>
              <w:spacing w:line="276" w:lineRule="auto"/>
              <w:ind w:firstLine="0"/>
              <w:jc w:val="center"/>
              <w:rPr>
                <w:rFonts w:cs="Arial"/>
                <w:bCs/>
              </w:rPr>
            </w:pPr>
            <w:r w:rsidRPr="00586097">
              <w:t>-10.0</w:t>
            </w:r>
          </w:p>
        </w:tc>
        <w:tc>
          <w:tcPr>
            <w:tcW w:w="1260" w:type="dxa"/>
            <w:shd w:val="clear" w:color="auto" w:fill="D9E2F3"/>
          </w:tcPr>
          <w:p w14:paraId="2FF728A0" w14:textId="77777777" w:rsidR="00B7540A" w:rsidRPr="00586097" w:rsidRDefault="00B7540A" w:rsidP="00920983">
            <w:pPr>
              <w:spacing w:line="276" w:lineRule="auto"/>
              <w:ind w:firstLine="0"/>
              <w:jc w:val="center"/>
              <w:rPr>
                <w:rFonts w:cs="Arial"/>
                <w:bCs/>
              </w:rPr>
            </w:pPr>
            <w:r w:rsidRPr="00586097">
              <w:t>6.5</w:t>
            </w:r>
          </w:p>
        </w:tc>
        <w:tc>
          <w:tcPr>
            <w:tcW w:w="1080" w:type="dxa"/>
            <w:shd w:val="clear" w:color="auto" w:fill="D9E2F3"/>
          </w:tcPr>
          <w:p w14:paraId="37DE4EC7" w14:textId="77777777" w:rsidR="00B7540A" w:rsidRPr="00586097" w:rsidRDefault="00B7540A" w:rsidP="00920983">
            <w:pPr>
              <w:spacing w:line="276" w:lineRule="auto"/>
              <w:ind w:firstLine="0"/>
              <w:jc w:val="center"/>
              <w:rPr>
                <w:rFonts w:cs="Arial"/>
                <w:bCs/>
              </w:rPr>
            </w:pPr>
            <w:r w:rsidRPr="00586097">
              <w:t>5.3</w:t>
            </w:r>
          </w:p>
        </w:tc>
        <w:tc>
          <w:tcPr>
            <w:tcW w:w="990" w:type="dxa"/>
            <w:shd w:val="clear" w:color="auto" w:fill="D9E2F3"/>
          </w:tcPr>
          <w:p w14:paraId="6680FB29" w14:textId="77777777" w:rsidR="00B7540A" w:rsidRPr="00586097" w:rsidRDefault="00B7540A" w:rsidP="00920983">
            <w:pPr>
              <w:spacing w:line="276" w:lineRule="auto"/>
              <w:ind w:firstLine="0"/>
              <w:jc w:val="center"/>
              <w:rPr>
                <w:rFonts w:cs="Arial"/>
                <w:bCs/>
              </w:rPr>
            </w:pPr>
            <w:r w:rsidRPr="00586097">
              <w:t>3.8</w:t>
            </w:r>
          </w:p>
        </w:tc>
        <w:tc>
          <w:tcPr>
            <w:tcW w:w="1101" w:type="dxa"/>
            <w:shd w:val="clear" w:color="auto" w:fill="D9E2F3"/>
          </w:tcPr>
          <w:p w14:paraId="7D30500C" w14:textId="77777777" w:rsidR="00B7540A" w:rsidRPr="00586097" w:rsidRDefault="00B7540A" w:rsidP="00920983">
            <w:pPr>
              <w:spacing w:line="276" w:lineRule="auto"/>
              <w:ind w:firstLine="0"/>
              <w:jc w:val="center"/>
              <w:rPr>
                <w:rFonts w:cs="Arial"/>
                <w:bCs/>
              </w:rPr>
            </w:pPr>
            <w:r w:rsidRPr="00586097">
              <w:t>3.9</w:t>
            </w:r>
          </w:p>
        </w:tc>
      </w:tr>
      <w:tr w:rsidR="00B7540A" w:rsidRPr="00586097" w14:paraId="54547D23" w14:textId="77777777" w:rsidTr="00920983">
        <w:trPr>
          <w:trHeight w:val="258"/>
        </w:trPr>
        <w:tc>
          <w:tcPr>
            <w:tcW w:w="11076" w:type="dxa"/>
            <w:gridSpan w:val="8"/>
            <w:shd w:val="clear" w:color="auto" w:fill="auto"/>
            <w:noWrap/>
          </w:tcPr>
          <w:p w14:paraId="47A9B368" w14:textId="77777777" w:rsidR="00B7540A" w:rsidRPr="00586097" w:rsidRDefault="00B7540A" w:rsidP="00920983">
            <w:pPr>
              <w:spacing w:line="276" w:lineRule="auto"/>
              <w:ind w:firstLine="0"/>
              <w:rPr>
                <w:rFonts w:cs="Arial"/>
                <w:bCs/>
                <w:highlight w:val="yellow"/>
              </w:rPr>
            </w:pPr>
            <w:r w:rsidRPr="00586097">
              <w:rPr>
                <w:rFonts w:cs="Sylfaen"/>
                <w:b/>
                <w:u w:val="single"/>
              </w:rPr>
              <w:t>ՀՆԱ ծախսային բաղադրիչների իրական աճերը, %</w:t>
            </w:r>
          </w:p>
        </w:tc>
      </w:tr>
      <w:tr w:rsidR="00D26A99" w:rsidRPr="00586097" w14:paraId="70F86894" w14:textId="77777777" w:rsidTr="00D26A99">
        <w:trPr>
          <w:trHeight w:val="258"/>
        </w:trPr>
        <w:tc>
          <w:tcPr>
            <w:tcW w:w="3495" w:type="dxa"/>
          </w:tcPr>
          <w:p w14:paraId="4851982F" w14:textId="77777777" w:rsidR="00B7540A" w:rsidRPr="00586097" w:rsidRDefault="00B7540A" w:rsidP="00920983">
            <w:pPr>
              <w:spacing w:line="276" w:lineRule="auto"/>
              <w:ind w:firstLine="22"/>
              <w:rPr>
                <w:rFonts w:cs="Sylfaen"/>
              </w:rPr>
            </w:pPr>
            <w:r w:rsidRPr="00586097">
              <w:rPr>
                <w:rFonts w:cs="Sylfaen"/>
              </w:rPr>
              <w:t>Վերջնական սպառում</w:t>
            </w:r>
          </w:p>
        </w:tc>
        <w:tc>
          <w:tcPr>
            <w:tcW w:w="1080" w:type="dxa"/>
          </w:tcPr>
          <w:p w14:paraId="7D480F33" w14:textId="77777777" w:rsidR="00B7540A" w:rsidRPr="00586097" w:rsidRDefault="00B7540A" w:rsidP="00920983">
            <w:pPr>
              <w:spacing w:line="276" w:lineRule="auto"/>
              <w:ind w:firstLine="0"/>
              <w:jc w:val="center"/>
              <w:rPr>
                <w:rFonts w:cs="Arial"/>
                <w:bCs/>
              </w:rPr>
            </w:pPr>
            <w:r w:rsidRPr="00586097">
              <w:rPr>
                <w:rFonts w:cs="Arial"/>
                <w:bCs/>
              </w:rPr>
              <w:t>3.8</w:t>
            </w:r>
          </w:p>
        </w:tc>
        <w:tc>
          <w:tcPr>
            <w:tcW w:w="1080" w:type="dxa"/>
          </w:tcPr>
          <w:p w14:paraId="507C0658" w14:textId="77777777" w:rsidR="00B7540A" w:rsidRPr="00586097" w:rsidRDefault="00B7540A" w:rsidP="00920983">
            <w:pPr>
              <w:spacing w:line="276" w:lineRule="auto"/>
              <w:ind w:firstLine="0"/>
              <w:jc w:val="center"/>
              <w:rPr>
                <w:rFonts w:cs="Arial"/>
                <w:bCs/>
              </w:rPr>
            </w:pPr>
            <w:r w:rsidRPr="00586097">
              <w:rPr>
                <w:rFonts w:cs="Arial"/>
                <w:bCs/>
              </w:rPr>
              <w:t>11.7</w:t>
            </w:r>
          </w:p>
        </w:tc>
        <w:tc>
          <w:tcPr>
            <w:tcW w:w="990" w:type="dxa"/>
          </w:tcPr>
          <w:p w14:paraId="410C50AF" w14:textId="77777777" w:rsidR="00B7540A" w:rsidRPr="00586097" w:rsidRDefault="00B7540A" w:rsidP="00920983">
            <w:pPr>
              <w:spacing w:line="276" w:lineRule="auto"/>
              <w:ind w:firstLine="0"/>
              <w:jc w:val="center"/>
              <w:rPr>
                <w:rFonts w:cs="Arial"/>
                <w:bCs/>
              </w:rPr>
            </w:pPr>
            <w:r w:rsidRPr="00586097">
              <w:rPr>
                <w:rFonts w:cs="Arial"/>
                <w:bCs/>
              </w:rPr>
              <w:t>-10.1</w:t>
            </w:r>
          </w:p>
        </w:tc>
        <w:tc>
          <w:tcPr>
            <w:tcW w:w="1260" w:type="dxa"/>
            <w:shd w:val="clear" w:color="auto" w:fill="D9E2F3"/>
          </w:tcPr>
          <w:p w14:paraId="108026F0" w14:textId="77777777" w:rsidR="00B7540A" w:rsidRPr="00586097" w:rsidRDefault="00B7540A" w:rsidP="00920983">
            <w:pPr>
              <w:spacing w:line="276" w:lineRule="auto"/>
              <w:ind w:firstLine="0"/>
              <w:jc w:val="center"/>
              <w:rPr>
                <w:rFonts w:cs="Arial"/>
                <w:bCs/>
              </w:rPr>
            </w:pPr>
            <w:r w:rsidRPr="00586097">
              <w:rPr>
                <w:rFonts w:cs="Arial"/>
                <w:bCs/>
              </w:rPr>
              <w:t>7.7</w:t>
            </w:r>
          </w:p>
        </w:tc>
        <w:tc>
          <w:tcPr>
            <w:tcW w:w="1080" w:type="dxa"/>
            <w:shd w:val="clear" w:color="auto" w:fill="D9E2F3"/>
          </w:tcPr>
          <w:p w14:paraId="1F62851B" w14:textId="77777777" w:rsidR="00B7540A" w:rsidRPr="00586097" w:rsidRDefault="00B7540A" w:rsidP="00920983">
            <w:pPr>
              <w:spacing w:line="276" w:lineRule="auto"/>
              <w:ind w:firstLine="0"/>
              <w:jc w:val="center"/>
              <w:rPr>
                <w:rFonts w:cs="Arial"/>
                <w:bCs/>
              </w:rPr>
            </w:pPr>
            <w:r w:rsidRPr="00586097">
              <w:rPr>
                <w:rFonts w:cs="Arial"/>
                <w:bCs/>
              </w:rPr>
              <w:t>6.0</w:t>
            </w:r>
          </w:p>
        </w:tc>
        <w:tc>
          <w:tcPr>
            <w:tcW w:w="990" w:type="dxa"/>
            <w:shd w:val="clear" w:color="auto" w:fill="D9E2F3"/>
          </w:tcPr>
          <w:p w14:paraId="21990DF7" w14:textId="77777777" w:rsidR="00B7540A" w:rsidRPr="00586097" w:rsidRDefault="00B7540A" w:rsidP="00920983">
            <w:pPr>
              <w:spacing w:line="276" w:lineRule="auto"/>
              <w:ind w:firstLine="0"/>
              <w:jc w:val="center"/>
              <w:rPr>
                <w:rFonts w:cs="Arial"/>
                <w:bCs/>
              </w:rPr>
            </w:pPr>
            <w:r w:rsidRPr="00586097">
              <w:rPr>
                <w:rFonts w:cs="Arial"/>
                <w:bCs/>
              </w:rPr>
              <w:t>3.8</w:t>
            </w:r>
          </w:p>
        </w:tc>
        <w:tc>
          <w:tcPr>
            <w:tcW w:w="1101" w:type="dxa"/>
            <w:shd w:val="clear" w:color="auto" w:fill="D9E2F3"/>
          </w:tcPr>
          <w:p w14:paraId="07B97634" w14:textId="77777777" w:rsidR="00B7540A" w:rsidRPr="00586097" w:rsidRDefault="00B7540A" w:rsidP="00920983">
            <w:pPr>
              <w:spacing w:line="276" w:lineRule="auto"/>
              <w:ind w:firstLine="0"/>
              <w:jc w:val="center"/>
              <w:rPr>
                <w:rFonts w:cs="Arial"/>
                <w:bCs/>
              </w:rPr>
            </w:pPr>
            <w:r w:rsidRPr="00586097">
              <w:rPr>
                <w:rFonts w:cs="Arial"/>
                <w:bCs/>
              </w:rPr>
              <w:t>3.6</w:t>
            </w:r>
          </w:p>
        </w:tc>
      </w:tr>
      <w:tr w:rsidR="00D26A99" w:rsidRPr="00586097" w14:paraId="2160BD66" w14:textId="77777777" w:rsidTr="00D26A99">
        <w:trPr>
          <w:trHeight w:val="258"/>
        </w:trPr>
        <w:tc>
          <w:tcPr>
            <w:tcW w:w="3495" w:type="dxa"/>
          </w:tcPr>
          <w:p w14:paraId="04D0DEBE" w14:textId="77777777" w:rsidR="00B7540A" w:rsidRPr="00586097" w:rsidRDefault="00B7540A" w:rsidP="00920983">
            <w:pPr>
              <w:spacing w:line="276" w:lineRule="auto"/>
              <w:ind w:left="309" w:firstLine="22"/>
              <w:rPr>
                <w:rFonts w:cs="Sylfaen"/>
              </w:rPr>
            </w:pPr>
            <w:r w:rsidRPr="00586097">
              <w:rPr>
                <w:rFonts w:cs="Sylfaen"/>
              </w:rPr>
              <w:t>Պետական</w:t>
            </w:r>
          </w:p>
        </w:tc>
        <w:tc>
          <w:tcPr>
            <w:tcW w:w="1080" w:type="dxa"/>
          </w:tcPr>
          <w:p w14:paraId="5BFDE4EE" w14:textId="77777777" w:rsidR="00B7540A" w:rsidRPr="00586097" w:rsidRDefault="00B7540A" w:rsidP="00920983">
            <w:pPr>
              <w:spacing w:line="276" w:lineRule="auto"/>
              <w:ind w:firstLine="0"/>
              <w:jc w:val="center"/>
              <w:rPr>
                <w:rFonts w:cs="Arial"/>
                <w:bCs/>
              </w:rPr>
            </w:pPr>
            <w:r w:rsidRPr="00586097">
              <w:rPr>
                <w:rFonts w:cs="Arial"/>
                <w:bCs/>
              </w:rPr>
              <w:t>-3.0</w:t>
            </w:r>
          </w:p>
        </w:tc>
        <w:tc>
          <w:tcPr>
            <w:tcW w:w="1080" w:type="dxa"/>
          </w:tcPr>
          <w:p w14:paraId="36446A5C" w14:textId="77777777" w:rsidR="00B7540A" w:rsidRPr="00586097" w:rsidRDefault="00B7540A" w:rsidP="00920983">
            <w:pPr>
              <w:spacing w:line="276" w:lineRule="auto"/>
              <w:ind w:firstLine="0"/>
              <w:jc w:val="center"/>
              <w:rPr>
                <w:rFonts w:cs="Arial"/>
                <w:bCs/>
              </w:rPr>
            </w:pPr>
            <w:r w:rsidRPr="00586097">
              <w:rPr>
                <w:rFonts w:cs="Arial"/>
                <w:bCs/>
              </w:rPr>
              <w:t>12.9</w:t>
            </w:r>
          </w:p>
        </w:tc>
        <w:tc>
          <w:tcPr>
            <w:tcW w:w="990" w:type="dxa"/>
          </w:tcPr>
          <w:p w14:paraId="79B11479" w14:textId="77777777" w:rsidR="00B7540A" w:rsidRPr="00586097" w:rsidRDefault="00B7540A" w:rsidP="00920983">
            <w:pPr>
              <w:spacing w:line="276" w:lineRule="auto"/>
              <w:ind w:firstLine="0"/>
              <w:jc w:val="center"/>
              <w:rPr>
                <w:rFonts w:cs="Arial"/>
                <w:bCs/>
              </w:rPr>
            </w:pPr>
            <w:r w:rsidRPr="00586097">
              <w:rPr>
                <w:rFonts w:cs="Arial"/>
                <w:bCs/>
              </w:rPr>
              <w:t>15.2</w:t>
            </w:r>
          </w:p>
        </w:tc>
        <w:tc>
          <w:tcPr>
            <w:tcW w:w="1260" w:type="dxa"/>
            <w:shd w:val="clear" w:color="auto" w:fill="D9E2F3"/>
          </w:tcPr>
          <w:p w14:paraId="196B69FC" w14:textId="77777777" w:rsidR="00B7540A" w:rsidRPr="00586097" w:rsidRDefault="00B7540A" w:rsidP="00920983">
            <w:pPr>
              <w:spacing w:line="276" w:lineRule="auto"/>
              <w:ind w:firstLine="0"/>
              <w:jc w:val="center"/>
              <w:rPr>
                <w:rFonts w:cs="Arial"/>
                <w:bCs/>
              </w:rPr>
            </w:pPr>
            <w:r w:rsidRPr="00586097">
              <w:rPr>
                <w:rFonts w:cs="Arial"/>
                <w:bCs/>
              </w:rPr>
              <w:t>9.2</w:t>
            </w:r>
          </w:p>
        </w:tc>
        <w:tc>
          <w:tcPr>
            <w:tcW w:w="1080" w:type="dxa"/>
            <w:shd w:val="clear" w:color="auto" w:fill="D9E2F3"/>
          </w:tcPr>
          <w:p w14:paraId="48CD9E1F" w14:textId="77777777" w:rsidR="00B7540A" w:rsidRPr="00586097" w:rsidRDefault="00B7540A" w:rsidP="00920983">
            <w:pPr>
              <w:spacing w:line="276" w:lineRule="auto"/>
              <w:ind w:firstLine="0"/>
              <w:jc w:val="center"/>
              <w:rPr>
                <w:rFonts w:cs="Arial"/>
                <w:bCs/>
              </w:rPr>
            </w:pPr>
            <w:r w:rsidRPr="00586097">
              <w:rPr>
                <w:rFonts w:cs="Arial"/>
                <w:bCs/>
              </w:rPr>
              <w:t>-3.1</w:t>
            </w:r>
          </w:p>
        </w:tc>
        <w:tc>
          <w:tcPr>
            <w:tcW w:w="990" w:type="dxa"/>
            <w:shd w:val="clear" w:color="auto" w:fill="D9E2F3"/>
          </w:tcPr>
          <w:p w14:paraId="1337E03C" w14:textId="77777777" w:rsidR="00B7540A" w:rsidRPr="00586097" w:rsidRDefault="00B7540A" w:rsidP="00920983">
            <w:pPr>
              <w:spacing w:line="276" w:lineRule="auto"/>
              <w:ind w:firstLine="0"/>
              <w:jc w:val="center"/>
              <w:rPr>
                <w:rFonts w:cs="Arial"/>
                <w:bCs/>
              </w:rPr>
            </w:pPr>
            <w:r w:rsidRPr="00586097">
              <w:rPr>
                <w:rFonts w:cs="Arial"/>
                <w:bCs/>
              </w:rPr>
              <w:t>2.4</w:t>
            </w:r>
          </w:p>
        </w:tc>
        <w:tc>
          <w:tcPr>
            <w:tcW w:w="1101" w:type="dxa"/>
            <w:shd w:val="clear" w:color="auto" w:fill="D9E2F3"/>
          </w:tcPr>
          <w:p w14:paraId="61A21086" w14:textId="77777777" w:rsidR="00B7540A" w:rsidRPr="00586097" w:rsidRDefault="00B7540A" w:rsidP="00920983">
            <w:pPr>
              <w:spacing w:line="276" w:lineRule="auto"/>
              <w:ind w:firstLine="0"/>
              <w:jc w:val="center"/>
              <w:rPr>
                <w:rFonts w:cs="Arial"/>
                <w:bCs/>
              </w:rPr>
            </w:pPr>
            <w:r w:rsidRPr="00586097">
              <w:rPr>
                <w:rFonts w:cs="Arial"/>
                <w:bCs/>
              </w:rPr>
              <w:t>9.1</w:t>
            </w:r>
          </w:p>
        </w:tc>
      </w:tr>
      <w:tr w:rsidR="00D26A99" w:rsidRPr="00586097" w14:paraId="055CA8B1" w14:textId="77777777" w:rsidTr="00D26A99">
        <w:trPr>
          <w:trHeight w:val="258"/>
        </w:trPr>
        <w:tc>
          <w:tcPr>
            <w:tcW w:w="3495" w:type="dxa"/>
          </w:tcPr>
          <w:p w14:paraId="174EA7EE" w14:textId="77777777" w:rsidR="00B7540A" w:rsidRPr="00586097" w:rsidRDefault="00B7540A" w:rsidP="00920983">
            <w:pPr>
              <w:spacing w:line="276" w:lineRule="auto"/>
              <w:ind w:left="309" w:firstLine="22"/>
              <w:rPr>
                <w:rFonts w:cs="Sylfaen"/>
                <w:lang w:val="ru-RU"/>
              </w:rPr>
            </w:pPr>
            <w:r w:rsidRPr="00586097">
              <w:rPr>
                <w:rFonts w:cs="Sylfaen"/>
              </w:rPr>
              <w:t>Մասնավոր</w:t>
            </w:r>
          </w:p>
        </w:tc>
        <w:tc>
          <w:tcPr>
            <w:tcW w:w="1080" w:type="dxa"/>
          </w:tcPr>
          <w:p w14:paraId="3F8D1FF1" w14:textId="77777777" w:rsidR="00B7540A" w:rsidRPr="00586097" w:rsidRDefault="00B7540A" w:rsidP="00920983">
            <w:pPr>
              <w:spacing w:line="276" w:lineRule="auto"/>
              <w:ind w:firstLine="0"/>
              <w:jc w:val="center"/>
              <w:rPr>
                <w:rFonts w:cs="Arial"/>
                <w:bCs/>
              </w:rPr>
            </w:pPr>
            <w:r w:rsidRPr="00586097">
              <w:rPr>
                <w:rFonts w:cs="Arial"/>
                <w:bCs/>
              </w:rPr>
              <w:t>4.8</w:t>
            </w:r>
          </w:p>
        </w:tc>
        <w:tc>
          <w:tcPr>
            <w:tcW w:w="1080" w:type="dxa"/>
          </w:tcPr>
          <w:p w14:paraId="240F2929" w14:textId="77777777" w:rsidR="00B7540A" w:rsidRPr="00586097" w:rsidRDefault="00B7540A" w:rsidP="00920983">
            <w:pPr>
              <w:spacing w:line="276" w:lineRule="auto"/>
              <w:ind w:firstLine="0"/>
              <w:jc w:val="center"/>
              <w:rPr>
                <w:rFonts w:cs="Arial"/>
                <w:bCs/>
              </w:rPr>
            </w:pPr>
            <w:r w:rsidRPr="00586097">
              <w:rPr>
                <w:rFonts w:cs="Arial"/>
                <w:bCs/>
              </w:rPr>
              <w:t>11.5</w:t>
            </w:r>
          </w:p>
        </w:tc>
        <w:tc>
          <w:tcPr>
            <w:tcW w:w="990" w:type="dxa"/>
          </w:tcPr>
          <w:p w14:paraId="74AABDBE" w14:textId="77777777" w:rsidR="00B7540A" w:rsidRPr="00586097" w:rsidRDefault="00B7540A" w:rsidP="00920983">
            <w:pPr>
              <w:spacing w:line="276" w:lineRule="auto"/>
              <w:ind w:firstLine="0"/>
              <w:jc w:val="center"/>
              <w:rPr>
                <w:rFonts w:cs="Arial"/>
                <w:bCs/>
              </w:rPr>
            </w:pPr>
            <w:r w:rsidRPr="00586097">
              <w:rPr>
                <w:rFonts w:cs="Arial"/>
                <w:bCs/>
              </w:rPr>
              <w:t>-13.9</w:t>
            </w:r>
          </w:p>
        </w:tc>
        <w:tc>
          <w:tcPr>
            <w:tcW w:w="1260" w:type="dxa"/>
            <w:shd w:val="clear" w:color="auto" w:fill="D9E2F3"/>
          </w:tcPr>
          <w:p w14:paraId="553E1689" w14:textId="77777777" w:rsidR="00B7540A" w:rsidRPr="00586097" w:rsidRDefault="00B7540A" w:rsidP="00920983">
            <w:pPr>
              <w:spacing w:line="276" w:lineRule="auto"/>
              <w:ind w:firstLine="0"/>
              <w:jc w:val="center"/>
              <w:rPr>
                <w:rFonts w:cs="Arial"/>
                <w:bCs/>
              </w:rPr>
            </w:pPr>
            <w:r w:rsidRPr="00586097">
              <w:rPr>
                <w:rFonts w:cs="Arial"/>
                <w:bCs/>
              </w:rPr>
              <w:t>7.4</w:t>
            </w:r>
          </w:p>
        </w:tc>
        <w:tc>
          <w:tcPr>
            <w:tcW w:w="1080" w:type="dxa"/>
            <w:shd w:val="clear" w:color="auto" w:fill="D9E2F3"/>
          </w:tcPr>
          <w:p w14:paraId="49F370FE" w14:textId="77777777" w:rsidR="00B7540A" w:rsidRPr="00586097" w:rsidRDefault="00B7540A" w:rsidP="00920983">
            <w:pPr>
              <w:spacing w:line="276" w:lineRule="auto"/>
              <w:ind w:firstLine="0"/>
              <w:jc w:val="center"/>
              <w:rPr>
                <w:rFonts w:cs="Arial"/>
                <w:bCs/>
              </w:rPr>
            </w:pPr>
            <w:r w:rsidRPr="00586097">
              <w:rPr>
                <w:rFonts w:cs="Arial"/>
                <w:bCs/>
              </w:rPr>
              <w:t>8.0</w:t>
            </w:r>
          </w:p>
        </w:tc>
        <w:tc>
          <w:tcPr>
            <w:tcW w:w="990" w:type="dxa"/>
            <w:shd w:val="clear" w:color="auto" w:fill="D9E2F3"/>
          </w:tcPr>
          <w:p w14:paraId="1B429758" w14:textId="77777777" w:rsidR="00B7540A" w:rsidRPr="00586097" w:rsidRDefault="00B7540A" w:rsidP="00920983">
            <w:pPr>
              <w:spacing w:line="276" w:lineRule="auto"/>
              <w:ind w:firstLine="0"/>
              <w:jc w:val="center"/>
              <w:rPr>
                <w:rFonts w:cs="Arial"/>
                <w:bCs/>
              </w:rPr>
            </w:pPr>
            <w:r w:rsidRPr="00586097">
              <w:rPr>
                <w:rFonts w:cs="Arial"/>
                <w:bCs/>
              </w:rPr>
              <w:t>4.1</w:t>
            </w:r>
          </w:p>
        </w:tc>
        <w:tc>
          <w:tcPr>
            <w:tcW w:w="1101" w:type="dxa"/>
            <w:shd w:val="clear" w:color="auto" w:fill="D9E2F3"/>
          </w:tcPr>
          <w:p w14:paraId="64B4C0FD" w14:textId="77777777" w:rsidR="00B7540A" w:rsidRPr="00586097" w:rsidRDefault="00B7540A" w:rsidP="00920983">
            <w:pPr>
              <w:spacing w:line="276" w:lineRule="auto"/>
              <w:ind w:firstLine="0"/>
              <w:jc w:val="center"/>
              <w:rPr>
                <w:rFonts w:cs="Arial"/>
                <w:bCs/>
              </w:rPr>
            </w:pPr>
            <w:r w:rsidRPr="00586097">
              <w:rPr>
                <w:rFonts w:cs="Arial"/>
                <w:bCs/>
              </w:rPr>
              <w:t>2.5</w:t>
            </w:r>
          </w:p>
        </w:tc>
      </w:tr>
      <w:tr w:rsidR="00D26A99" w:rsidRPr="00586097" w14:paraId="5E9A4395" w14:textId="77777777" w:rsidTr="00D26A99">
        <w:trPr>
          <w:trHeight w:val="258"/>
        </w:trPr>
        <w:tc>
          <w:tcPr>
            <w:tcW w:w="3495" w:type="dxa"/>
          </w:tcPr>
          <w:p w14:paraId="4EC04EAA" w14:textId="77777777" w:rsidR="00B7540A" w:rsidRPr="00586097" w:rsidRDefault="00B7540A" w:rsidP="00920983">
            <w:pPr>
              <w:spacing w:line="276" w:lineRule="auto"/>
              <w:ind w:firstLine="22"/>
              <w:rPr>
                <w:rFonts w:cs="Sylfaen"/>
                <w:lang w:val="ru-RU"/>
              </w:rPr>
            </w:pPr>
            <w:r w:rsidRPr="00586097">
              <w:rPr>
                <w:rFonts w:cs="Sylfaen"/>
              </w:rPr>
              <w:t>Հիմնական միջոցներում ներդրումներ</w:t>
            </w:r>
            <w:r w:rsidRPr="00586097">
              <w:rPr>
                <w:rFonts w:cs="Sylfaen"/>
                <w:vertAlign w:val="superscript"/>
              </w:rPr>
              <w:footnoteReference w:id="2"/>
            </w:r>
          </w:p>
        </w:tc>
        <w:tc>
          <w:tcPr>
            <w:tcW w:w="1080" w:type="dxa"/>
          </w:tcPr>
          <w:p w14:paraId="4296AAB9" w14:textId="77777777" w:rsidR="00B7540A" w:rsidRPr="00586097" w:rsidRDefault="00B7540A" w:rsidP="00920983">
            <w:pPr>
              <w:spacing w:line="276" w:lineRule="auto"/>
              <w:ind w:firstLine="0"/>
              <w:jc w:val="center"/>
              <w:rPr>
                <w:rFonts w:cs="Arial"/>
                <w:bCs/>
              </w:rPr>
            </w:pPr>
            <w:r w:rsidRPr="00586097">
              <w:rPr>
                <w:rFonts w:cs="Arial"/>
                <w:bCs/>
              </w:rPr>
              <w:t>4.8</w:t>
            </w:r>
          </w:p>
        </w:tc>
        <w:tc>
          <w:tcPr>
            <w:tcW w:w="1080" w:type="dxa"/>
          </w:tcPr>
          <w:p w14:paraId="29204251" w14:textId="77777777" w:rsidR="00B7540A" w:rsidRPr="00586097" w:rsidRDefault="00B7540A" w:rsidP="00920983">
            <w:pPr>
              <w:spacing w:line="276" w:lineRule="auto"/>
              <w:ind w:firstLine="0"/>
              <w:jc w:val="center"/>
              <w:rPr>
                <w:rFonts w:cs="Arial"/>
                <w:bCs/>
              </w:rPr>
            </w:pPr>
            <w:r w:rsidRPr="00586097">
              <w:rPr>
                <w:rFonts w:cs="Arial"/>
                <w:bCs/>
              </w:rPr>
              <w:t>4.4</w:t>
            </w:r>
          </w:p>
        </w:tc>
        <w:tc>
          <w:tcPr>
            <w:tcW w:w="990" w:type="dxa"/>
          </w:tcPr>
          <w:p w14:paraId="559CDF5D" w14:textId="77777777" w:rsidR="00B7540A" w:rsidRPr="00586097" w:rsidRDefault="00B7540A" w:rsidP="00920983">
            <w:pPr>
              <w:spacing w:line="276" w:lineRule="auto"/>
              <w:ind w:firstLine="0"/>
              <w:jc w:val="center"/>
              <w:rPr>
                <w:rFonts w:cs="Arial"/>
                <w:bCs/>
              </w:rPr>
            </w:pPr>
            <w:r w:rsidRPr="00586097">
              <w:rPr>
                <w:rFonts w:cs="Arial"/>
                <w:bCs/>
              </w:rPr>
              <w:t>-8.6</w:t>
            </w:r>
          </w:p>
        </w:tc>
        <w:tc>
          <w:tcPr>
            <w:tcW w:w="1260" w:type="dxa"/>
            <w:shd w:val="clear" w:color="auto" w:fill="D9E2F3"/>
          </w:tcPr>
          <w:p w14:paraId="7E31C6A0" w14:textId="77777777" w:rsidR="00B7540A" w:rsidRPr="00586097" w:rsidRDefault="00B7540A" w:rsidP="00920983">
            <w:pPr>
              <w:spacing w:line="276" w:lineRule="auto"/>
              <w:ind w:firstLine="0"/>
              <w:jc w:val="center"/>
              <w:rPr>
                <w:rFonts w:cs="Arial"/>
                <w:bCs/>
              </w:rPr>
            </w:pPr>
            <w:r w:rsidRPr="00586097">
              <w:rPr>
                <w:rFonts w:cs="Arial"/>
                <w:bCs/>
              </w:rPr>
              <w:t>5.8</w:t>
            </w:r>
          </w:p>
        </w:tc>
        <w:tc>
          <w:tcPr>
            <w:tcW w:w="1080" w:type="dxa"/>
            <w:shd w:val="clear" w:color="auto" w:fill="D9E2F3"/>
          </w:tcPr>
          <w:p w14:paraId="569DF224" w14:textId="77777777" w:rsidR="00B7540A" w:rsidRPr="00586097" w:rsidRDefault="00B7540A" w:rsidP="00920983">
            <w:pPr>
              <w:spacing w:line="276" w:lineRule="auto"/>
              <w:ind w:firstLine="0"/>
              <w:jc w:val="center"/>
              <w:rPr>
                <w:rFonts w:cs="Arial"/>
                <w:bCs/>
              </w:rPr>
            </w:pPr>
            <w:r w:rsidRPr="00586097">
              <w:rPr>
                <w:rFonts w:cs="Arial"/>
                <w:bCs/>
              </w:rPr>
              <w:t>8.2</w:t>
            </w:r>
          </w:p>
        </w:tc>
        <w:tc>
          <w:tcPr>
            <w:tcW w:w="990" w:type="dxa"/>
            <w:shd w:val="clear" w:color="auto" w:fill="D9E2F3"/>
          </w:tcPr>
          <w:p w14:paraId="045F3F66" w14:textId="77777777" w:rsidR="00B7540A" w:rsidRPr="00586097" w:rsidRDefault="00B7540A" w:rsidP="00920983">
            <w:pPr>
              <w:spacing w:line="276" w:lineRule="auto"/>
              <w:ind w:firstLine="0"/>
              <w:jc w:val="center"/>
              <w:rPr>
                <w:rFonts w:cs="Arial"/>
                <w:bCs/>
              </w:rPr>
            </w:pPr>
            <w:r w:rsidRPr="00586097">
              <w:rPr>
                <w:rFonts w:cs="Arial"/>
                <w:bCs/>
              </w:rPr>
              <w:t>4.5</w:t>
            </w:r>
          </w:p>
        </w:tc>
        <w:tc>
          <w:tcPr>
            <w:tcW w:w="1101" w:type="dxa"/>
            <w:shd w:val="clear" w:color="auto" w:fill="D9E2F3"/>
          </w:tcPr>
          <w:p w14:paraId="550FEA3F" w14:textId="77777777" w:rsidR="00B7540A" w:rsidRPr="00586097" w:rsidRDefault="00B7540A" w:rsidP="00920983">
            <w:pPr>
              <w:spacing w:line="276" w:lineRule="auto"/>
              <w:ind w:firstLine="0"/>
              <w:jc w:val="center"/>
              <w:rPr>
                <w:rFonts w:cs="Arial"/>
                <w:bCs/>
              </w:rPr>
            </w:pPr>
            <w:r w:rsidRPr="00586097">
              <w:rPr>
                <w:rFonts w:cs="Arial"/>
                <w:bCs/>
              </w:rPr>
              <w:t>5.4</w:t>
            </w:r>
          </w:p>
        </w:tc>
      </w:tr>
      <w:tr w:rsidR="00D26A99" w:rsidRPr="00586097" w14:paraId="27C2C97F" w14:textId="77777777" w:rsidTr="00D26A99">
        <w:trPr>
          <w:trHeight w:val="258"/>
        </w:trPr>
        <w:tc>
          <w:tcPr>
            <w:tcW w:w="3495" w:type="dxa"/>
          </w:tcPr>
          <w:p w14:paraId="5F1F9D05" w14:textId="77777777" w:rsidR="00B7540A" w:rsidRPr="00586097" w:rsidRDefault="00B7540A" w:rsidP="00920983">
            <w:pPr>
              <w:spacing w:line="276" w:lineRule="auto"/>
              <w:ind w:left="309" w:firstLine="22"/>
              <w:rPr>
                <w:rFonts w:cs="Sylfaen"/>
              </w:rPr>
            </w:pPr>
            <w:r w:rsidRPr="00586097">
              <w:rPr>
                <w:rFonts w:cs="Sylfaen"/>
              </w:rPr>
              <w:t>Պետական</w:t>
            </w:r>
          </w:p>
        </w:tc>
        <w:tc>
          <w:tcPr>
            <w:tcW w:w="1080" w:type="dxa"/>
          </w:tcPr>
          <w:p w14:paraId="5AD7A640" w14:textId="77777777" w:rsidR="00B7540A" w:rsidRPr="00586097" w:rsidRDefault="00B7540A" w:rsidP="00920983">
            <w:pPr>
              <w:spacing w:line="276" w:lineRule="auto"/>
              <w:ind w:firstLine="0"/>
              <w:jc w:val="center"/>
              <w:rPr>
                <w:rFonts w:cs="Arial"/>
                <w:bCs/>
              </w:rPr>
            </w:pPr>
            <w:r w:rsidRPr="00586097">
              <w:rPr>
                <w:rFonts w:cs="Arial"/>
                <w:bCs/>
              </w:rPr>
              <w:t>3.4</w:t>
            </w:r>
          </w:p>
        </w:tc>
        <w:tc>
          <w:tcPr>
            <w:tcW w:w="1080" w:type="dxa"/>
          </w:tcPr>
          <w:p w14:paraId="1E11D27F" w14:textId="77777777" w:rsidR="00B7540A" w:rsidRPr="00586097" w:rsidRDefault="00B7540A" w:rsidP="00920983">
            <w:pPr>
              <w:spacing w:line="276" w:lineRule="auto"/>
              <w:ind w:firstLine="0"/>
              <w:jc w:val="center"/>
              <w:rPr>
                <w:rFonts w:cs="Arial"/>
                <w:bCs/>
              </w:rPr>
            </w:pPr>
            <w:r w:rsidRPr="00586097">
              <w:rPr>
                <w:rFonts w:cs="Arial"/>
                <w:bCs/>
              </w:rPr>
              <w:t>13.7</w:t>
            </w:r>
          </w:p>
        </w:tc>
        <w:tc>
          <w:tcPr>
            <w:tcW w:w="990" w:type="dxa"/>
          </w:tcPr>
          <w:p w14:paraId="2CC52589" w14:textId="77777777" w:rsidR="00B7540A" w:rsidRPr="00586097" w:rsidRDefault="00B7540A" w:rsidP="00920983">
            <w:pPr>
              <w:spacing w:line="276" w:lineRule="auto"/>
              <w:ind w:firstLine="0"/>
              <w:jc w:val="center"/>
              <w:rPr>
                <w:rFonts w:cs="Arial"/>
                <w:bCs/>
              </w:rPr>
            </w:pPr>
            <w:r w:rsidRPr="00586097">
              <w:rPr>
                <w:rFonts w:cs="Arial"/>
                <w:bCs/>
              </w:rPr>
              <w:t>7.5</w:t>
            </w:r>
          </w:p>
        </w:tc>
        <w:tc>
          <w:tcPr>
            <w:tcW w:w="1260" w:type="dxa"/>
            <w:shd w:val="clear" w:color="auto" w:fill="D9E2F3"/>
          </w:tcPr>
          <w:p w14:paraId="223DB29E" w14:textId="77777777" w:rsidR="00B7540A" w:rsidRPr="00586097" w:rsidRDefault="00B7540A" w:rsidP="00920983">
            <w:pPr>
              <w:spacing w:line="276" w:lineRule="auto"/>
              <w:ind w:firstLine="0"/>
              <w:jc w:val="center"/>
              <w:rPr>
                <w:rFonts w:cs="Arial"/>
                <w:bCs/>
              </w:rPr>
            </w:pPr>
            <w:r w:rsidRPr="00586097">
              <w:rPr>
                <w:rFonts w:cs="Arial"/>
                <w:bCs/>
              </w:rPr>
              <w:t>4.9</w:t>
            </w:r>
          </w:p>
        </w:tc>
        <w:tc>
          <w:tcPr>
            <w:tcW w:w="1080" w:type="dxa"/>
            <w:shd w:val="clear" w:color="auto" w:fill="D9E2F3"/>
          </w:tcPr>
          <w:p w14:paraId="33FA1391" w14:textId="77777777" w:rsidR="00B7540A" w:rsidRPr="00586097" w:rsidRDefault="00B7540A" w:rsidP="00920983">
            <w:pPr>
              <w:spacing w:line="276" w:lineRule="auto"/>
              <w:ind w:firstLine="0"/>
              <w:jc w:val="center"/>
              <w:rPr>
                <w:rFonts w:cs="Arial"/>
                <w:bCs/>
              </w:rPr>
            </w:pPr>
            <w:r w:rsidRPr="00586097">
              <w:rPr>
                <w:rFonts w:cs="Arial"/>
                <w:bCs/>
              </w:rPr>
              <w:t>28.8</w:t>
            </w:r>
          </w:p>
        </w:tc>
        <w:tc>
          <w:tcPr>
            <w:tcW w:w="990" w:type="dxa"/>
            <w:shd w:val="clear" w:color="auto" w:fill="D9E2F3"/>
          </w:tcPr>
          <w:p w14:paraId="1BCD760C" w14:textId="77777777" w:rsidR="00B7540A" w:rsidRPr="00586097" w:rsidRDefault="00B7540A" w:rsidP="00920983">
            <w:pPr>
              <w:spacing w:line="276" w:lineRule="auto"/>
              <w:ind w:firstLine="0"/>
              <w:jc w:val="center"/>
              <w:rPr>
                <w:rFonts w:cs="Arial"/>
                <w:bCs/>
              </w:rPr>
            </w:pPr>
            <w:r w:rsidRPr="00586097">
              <w:rPr>
                <w:rFonts w:cs="Arial"/>
                <w:bCs/>
              </w:rPr>
              <w:t>7.5</w:t>
            </w:r>
          </w:p>
        </w:tc>
        <w:tc>
          <w:tcPr>
            <w:tcW w:w="1101" w:type="dxa"/>
            <w:shd w:val="clear" w:color="auto" w:fill="D9E2F3"/>
          </w:tcPr>
          <w:p w14:paraId="34367211" w14:textId="77777777" w:rsidR="00B7540A" w:rsidRPr="00586097" w:rsidRDefault="00B7540A" w:rsidP="00920983">
            <w:pPr>
              <w:spacing w:line="276" w:lineRule="auto"/>
              <w:ind w:firstLine="0"/>
              <w:jc w:val="center"/>
              <w:rPr>
                <w:rFonts w:cs="Arial"/>
                <w:bCs/>
              </w:rPr>
            </w:pPr>
            <w:r w:rsidRPr="00586097">
              <w:rPr>
                <w:rFonts w:cs="Arial"/>
                <w:bCs/>
              </w:rPr>
              <w:t>9.7</w:t>
            </w:r>
          </w:p>
        </w:tc>
      </w:tr>
      <w:tr w:rsidR="00D26A99" w:rsidRPr="00586097" w14:paraId="616349BA" w14:textId="77777777" w:rsidTr="00D26A99">
        <w:trPr>
          <w:trHeight w:val="258"/>
        </w:trPr>
        <w:tc>
          <w:tcPr>
            <w:tcW w:w="3495" w:type="dxa"/>
          </w:tcPr>
          <w:p w14:paraId="76B8E660" w14:textId="77777777" w:rsidR="00B7540A" w:rsidRPr="00586097" w:rsidRDefault="00B7540A" w:rsidP="00920983">
            <w:pPr>
              <w:spacing w:line="276" w:lineRule="auto"/>
              <w:ind w:left="309" w:firstLine="22"/>
              <w:rPr>
                <w:rFonts w:cs="Sylfaen"/>
              </w:rPr>
            </w:pPr>
            <w:r w:rsidRPr="00586097">
              <w:rPr>
                <w:rFonts w:cs="Sylfaen"/>
              </w:rPr>
              <w:t>Մասնավոր</w:t>
            </w:r>
          </w:p>
        </w:tc>
        <w:tc>
          <w:tcPr>
            <w:tcW w:w="1080" w:type="dxa"/>
          </w:tcPr>
          <w:p w14:paraId="2E6AD787" w14:textId="77777777" w:rsidR="00B7540A" w:rsidRPr="00586097" w:rsidRDefault="00B7540A" w:rsidP="00920983">
            <w:pPr>
              <w:spacing w:line="276" w:lineRule="auto"/>
              <w:ind w:firstLine="0"/>
              <w:jc w:val="center"/>
              <w:rPr>
                <w:rFonts w:cs="Arial"/>
                <w:bCs/>
              </w:rPr>
            </w:pPr>
            <w:r w:rsidRPr="00586097">
              <w:rPr>
                <w:rFonts w:cs="Arial"/>
                <w:bCs/>
              </w:rPr>
              <w:t>5.1</w:t>
            </w:r>
          </w:p>
        </w:tc>
        <w:tc>
          <w:tcPr>
            <w:tcW w:w="1080" w:type="dxa"/>
          </w:tcPr>
          <w:p w14:paraId="53DB2A30" w14:textId="77777777" w:rsidR="00B7540A" w:rsidRPr="00586097" w:rsidRDefault="00B7540A" w:rsidP="00920983">
            <w:pPr>
              <w:spacing w:line="276" w:lineRule="auto"/>
              <w:ind w:firstLine="0"/>
              <w:jc w:val="center"/>
              <w:rPr>
                <w:rFonts w:cs="Arial"/>
                <w:bCs/>
              </w:rPr>
            </w:pPr>
            <w:r w:rsidRPr="00586097">
              <w:rPr>
                <w:rFonts w:cs="Arial"/>
                <w:bCs/>
              </w:rPr>
              <w:t>2.6</w:t>
            </w:r>
          </w:p>
        </w:tc>
        <w:tc>
          <w:tcPr>
            <w:tcW w:w="990" w:type="dxa"/>
          </w:tcPr>
          <w:p w14:paraId="19EE4C9B" w14:textId="77777777" w:rsidR="00B7540A" w:rsidRPr="00586097" w:rsidRDefault="00B7540A" w:rsidP="00920983">
            <w:pPr>
              <w:spacing w:line="276" w:lineRule="auto"/>
              <w:ind w:firstLine="0"/>
              <w:jc w:val="center"/>
              <w:rPr>
                <w:rFonts w:cs="Arial"/>
                <w:bCs/>
              </w:rPr>
            </w:pPr>
            <w:r w:rsidRPr="00586097">
              <w:rPr>
                <w:rFonts w:cs="Arial"/>
                <w:bCs/>
              </w:rPr>
              <w:t>-12.0</w:t>
            </w:r>
          </w:p>
        </w:tc>
        <w:tc>
          <w:tcPr>
            <w:tcW w:w="1260" w:type="dxa"/>
            <w:shd w:val="clear" w:color="auto" w:fill="D9E2F3"/>
          </w:tcPr>
          <w:p w14:paraId="65FD8FA0" w14:textId="77777777" w:rsidR="00B7540A" w:rsidRPr="00586097" w:rsidRDefault="00B7540A" w:rsidP="00920983">
            <w:pPr>
              <w:spacing w:line="276" w:lineRule="auto"/>
              <w:ind w:firstLine="0"/>
              <w:jc w:val="center"/>
              <w:rPr>
                <w:rFonts w:cs="Arial"/>
                <w:bCs/>
              </w:rPr>
            </w:pPr>
            <w:r w:rsidRPr="00586097">
              <w:rPr>
                <w:rFonts w:cs="Arial"/>
                <w:bCs/>
              </w:rPr>
              <w:t>6.0</w:t>
            </w:r>
          </w:p>
        </w:tc>
        <w:tc>
          <w:tcPr>
            <w:tcW w:w="1080" w:type="dxa"/>
            <w:shd w:val="clear" w:color="auto" w:fill="D9E2F3"/>
          </w:tcPr>
          <w:p w14:paraId="4B7BEB9B" w14:textId="77777777" w:rsidR="00B7540A" w:rsidRPr="00586097" w:rsidRDefault="00B7540A" w:rsidP="00920983">
            <w:pPr>
              <w:spacing w:line="276" w:lineRule="auto"/>
              <w:ind w:firstLine="0"/>
              <w:jc w:val="center"/>
              <w:rPr>
                <w:rFonts w:cs="Arial"/>
                <w:bCs/>
              </w:rPr>
            </w:pPr>
            <w:r w:rsidRPr="00586097">
              <w:rPr>
                <w:rFonts w:cs="Arial"/>
                <w:bCs/>
              </w:rPr>
              <w:t>3.0</w:t>
            </w:r>
          </w:p>
        </w:tc>
        <w:tc>
          <w:tcPr>
            <w:tcW w:w="990" w:type="dxa"/>
            <w:shd w:val="clear" w:color="auto" w:fill="D9E2F3"/>
          </w:tcPr>
          <w:p w14:paraId="6C0A6429" w14:textId="77777777" w:rsidR="00B7540A" w:rsidRPr="00586097" w:rsidRDefault="00B7540A" w:rsidP="00920983">
            <w:pPr>
              <w:spacing w:line="276" w:lineRule="auto"/>
              <w:ind w:firstLine="0"/>
              <w:jc w:val="center"/>
              <w:rPr>
                <w:rFonts w:cs="Arial"/>
                <w:bCs/>
              </w:rPr>
            </w:pPr>
            <w:r w:rsidRPr="00586097">
              <w:rPr>
                <w:rFonts w:cs="Arial"/>
                <w:bCs/>
              </w:rPr>
              <w:t>3.5</w:t>
            </w:r>
          </w:p>
        </w:tc>
        <w:tc>
          <w:tcPr>
            <w:tcW w:w="1101" w:type="dxa"/>
            <w:shd w:val="clear" w:color="auto" w:fill="D9E2F3"/>
          </w:tcPr>
          <w:p w14:paraId="65B16457" w14:textId="77777777" w:rsidR="00B7540A" w:rsidRPr="00586097" w:rsidRDefault="00B7540A" w:rsidP="00920983">
            <w:pPr>
              <w:spacing w:line="276" w:lineRule="auto"/>
              <w:ind w:firstLine="0"/>
              <w:jc w:val="center"/>
              <w:rPr>
                <w:rFonts w:cs="Arial"/>
                <w:bCs/>
              </w:rPr>
            </w:pPr>
            <w:r w:rsidRPr="00586097">
              <w:rPr>
                <w:rFonts w:cs="Arial"/>
                <w:bCs/>
              </w:rPr>
              <w:t>4.0</w:t>
            </w:r>
          </w:p>
        </w:tc>
      </w:tr>
      <w:tr w:rsidR="00D26A99" w:rsidRPr="00586097" w14:paraId="3201D2B6" w14:textId="77777777" w:rsidTr="00D26A99">
        <w:trPr>
          <w:trHeight w:val="258"/>
        </w:trPr>
        <w:tc>
          <w:tcPr>
            <w:tcW w:w="3495" w:type="dxa"/>
          </w:tcPr>
          <w:p w14:paraId="39104288" w14:textId="77777777" w:rsidR="00B7540A" w:rsidRPr="00586097" w:rsidRDefault="00B7540A" w:rsidP="00920983">
            <w:pPr>
              <w:spacing w:line="276" w:lineRule="auto"/>
              <w:ind w:firstLine="22"/>
              <w:rPr>
                <w:rFonts w:cs="Sylfaen"/>
              </w:rPr>
            </w:pPr>
            <w:r w:rsidRPr="00586097">
              <w:rPr>
                <w:rFonts w:cs="Sylfaen"/>
              </w:rPr>
              <w:t xml:space="preserve">Արտահանում </w:t>
            </w:r>
          </w:p>
        </w:tc>
        <w:tc>
          <w:tcPr>
            <w:tcW w:w="1080" w:type="dxa"/>
          </w:tcPr>
          <w:p w14:paraId="3FD52CB4" w14:textId="77777777" w:rsidR="00B7540A" w:rsidRPr="00586097" w:rsidRDefault="00B7540A" w:rsidP="00920983">
            <w:pPr>
              <w:spacing w:line="276" w:lineRule="auto"/>
              <w:ind w:firstLine="0"/>
              <w:jc w:val="center"/>
              <w:rPr>
                <w:rFonts w:cs="Arial"/>
                <w:bCs/>
              </w:rPr>
            </w:pPr>
            <w:r w:rsidRPr="00586097">
              <w:rPr>
                <w:rFonts w:cs="Arial"/>
                <w:bCs/>
              </w:rPr>
              <w:t>5.0</w:t>
            </w:r>
          </w:p>
        </w:tc>
        <w:tc>
          <w:tcPr>
            <w:tcW w:w="1080" w:type="dxa"/>
          </w:tcPr>
          <w:p w14:paraId="7020D24D" w14:textId="77777777" w:rsidR="00B7540A" w:rsidRPr="00586097" w:rsidRDefault="00B7540A" w:rsidP="00920983">
            <w:pPr>
              <w:spacing w:line="276" w:lineRule="auto"/>
              <w:ind w:firstLine="0"/>
              <w:jc w:val="center"/>
              <w:rPr>
                <w:rFonts w:cs="Arial"/>
                <w:bCs/>
              </w:rPr>
            </w:pPr>
            <w:r w:rsidRPr="00586097">
              <w:rPr>
                <w:rFonts w:cs="Arial"/>
                <w:bCs/>
              </w:rPr>
              <w:t>16.0</w:t>
            </w:r>
          </w:p>
        </w:tc>
        <w:tc>
          <w:tcPr>
            <w:tcW w:w="990" w:type="dxa"/>
          </w:tcPr>
          <w:p w14:paraId="3630B6CE" w14:textId="77777777" w:rsidR="00B7540A" w:rsidRPr="00586097" w:rsidRDefault="00B7540A" w:rsidP="00920983">
            <w:pPr>
              <w:spacing w:line="276" w:lineRule="auto"/>
              <w:ind w:firstLine="0"/>
              <w:jc w:val="center"/>
              <w:rPr>
                <w:rFonts w:cs="Arial"/>
                <w:bCs/>
              </w:rPr>
            </w:pPr>
            <w:r w:rsidRPr="00586097">
              <w:rPr>
                <w:rFonts w:cs="Arial"/>
                <w:bCs/>
              </w:rPr>
              <w:t>-32.4</w:t>
            </w:r>
          </w:p>
        </w:tc>
        <w:tc>
          <w:tcPr>
            <w:tcW w:w="1260" w:type="dxa"/>
            <w:shd w:val="clear" w:color="auto" w:fill="D9E2F3"/>
          </w:tcPr>
          <w:p w14:paraId="05E1C6CB" w14:textId="77777777" w:rsidR="00B7540A" w:rsidRPr="00586097" w:rsidRDefault="00B7540A" w:rsidP="00920983">
            <w:pPr>
              <w:spacing w:line="276" w:lineRule="auto"/>
              <w:ind w:firstLine="0"/>
              <w:jc w:val="center"/>
              <w:rPr>
                <w:rFonts w:cs="Arial"/>
                <w:bCs/>
              </w:rPr>
            </w:pPr>
            <w:r w:rsidRPr="00586097">
              <w:rPr>
                <w:rFonts w:cs="Arial"/>
                <w:bCs/>
              </w:rPr>
              <w:t>7.0</w:t>
            </w:r>
          </w:p>
        </w:tc>
        <w:tc>
          <w:tcPr>
            <w:tcW w:w="1080" w:type="dxa"/>
            <w:shd w:val="clear" w:color="auto" w:fill="D9E2F3"/>
          </w:tcPr>
          <w:p w14:paraId="419417F0" w14:textId="77777777" w:rsidR="00B7540A" w:rsidRPr="00586097" w:rsidRDefault="00B7540A" w:rsidP="00920983">
            <w:pPr>
              <w:spacing w:line="276" w:lineRule="auto"/>
              <w:ind w:firstLine="0"/>
              <w:jc w:val="center"/>
              <w:rPr>
                <w:rFonts w:cs="Arial"/>
                <w:bCs/>
              </w:rPr>
            </w:pPr>
            <w:r w:rsidRPr="00586097">
              <w:rPr>
                <w:rFonts w:cs="Arial"/>
                <w:bCs/>
              </w:rPr>
              <w:t>12.7</w:t>
            </w:r>
          </w:p>
        </w:tc>
        <w:tc>
          <w:tcPr>
            <w:tcW w:w="990" w:type="dxa"/>
            <w:shd w:val="clear" w:color="auto" w:fill="D9E2F3"/>
          </w:tcPr>
          <w:p w14:paraId="696722E2" w14:textId="77777777" w:rsidR="00B7540A" w:rsidRPr="00586097" w:rsidRDefault="00B7540A" w:rsidP="00920983">
            <w:pPr>
              <w:spacing w:line="276" w:lineRule="auto"/>
              <w:ind w:firstLine="0"/>
              <w:jc w:val="center"/>
              <w:rPr>
                <w:rFonts w:cs="Arial"/>
                <w:bCs/>
              </w:rPr>
            </w:pPr>
            <w:r w:rsidRPr="00586097">
              <w:rPr>
                <w:rFonts w:cs="Arial"/>
                <w:bCs/>
              </w:rPr>
              <w:t>9.0</w:t>
            </w:r>
          </w:p>
        </w:tc>
        <w:tc>
          <w:tcPr>
            <w:tcW w:w="1101" w:type="dxa"/>
            <w:shd w:val="clear" w:color="auto" w:fill="D9E2F3"/>
          </w:tcPr>
          <w:p w14:paraId="34B229FE" w14:textId="77777777" w:rsidR="00B7540A" w:rsidRPr="00586097" w:rsidRDefault="00B7540A" w:rsidP="00920983">
            <w:pPr>
              <w:spacing w:line="276" w:lineRule="auto"/>
              <w:ind w:firstLine="0"/>
              <w:jc w:val="center"/>
              <w:rPr>
                <w:rFonts w:cs="Arial"/>
                <w:bCs/>
              </w:rPr>
            </w:pPr>
            <w:r w:rsidRPr="00586097">
              <w:rPr>
                <w:rFonts w:cs="Arial"/>
                <w:bCs/>
              </w:rPr>
              <w:t>7.1</w:t>
            </w:r>
          </w:p>
        </w:tc>
      </w:tr>
      <w:tr w:rsidR="00D26A99" w:rsidRPr="00586097" w14:paraId="162F04A9" w14:textId="77777777" w:rsidTr="00D26A99">
        <w:trPr>
          <w:trHeight w:val="272"/>
        </w:trPr>
        <w:tc>
          <w:tcPr>
            <w:tcW w:w="3495" w:type="dxa"/>
          </w:tcPr>
          <w:p w14:paraId="0AFD5701" w14:textId="77777777" w:rsidR="00B7540A" w:rsidRPr="00586097" w:rsidRDefault="00B7540A" w:rsidP="00920983">
            <w:pPr>
              <w:spacing w:line="276" w:lineRule="auto"/>
              <w:ind w:firstLine="22"/>
              <w:rPr>
                <w:rFonts w:cs="Sylfaen"/>
              </w:rPr>
            </w:pPr>
            <w:r w:rsidRPr="00586097">
              <w:rPr>
                <w:rFonts w:cs="Sylfaen"/>
              </w:rPr>
              <w:t xml:space="preserve">Ներմուծում </w:t>
            </w:r>
          </w:p>
        </w:tc>
        <w:tc>
          <w:tcPr>
            <w:tcW w:w="1080" w:type="dxa"/>
          </w:tcPr>
          <w:p w14:paraId="33FF6E65" w14:textId="77777777" w:rsidR="00B7540A" w:rsidRPr="00586097" w:rsidRDefault="00B7540A" w:rsidP="00920983">
            <w:pPr>
              <w:spacing w:line="276" w:lineRule="auto"/>
              <w:ind w:firstLine="0"/>
              <w:jc w:val="center"/>
              <w:rPr>
                <w:rFonts w:cs="Arial"/>
                <w:bCs/>
              </w:rPr>
            </w:pPr>
            <w:r w:rsidRPr="00586097">
              <w:rPr>
                <w:rFonts w:cs="Arial"/>
                <w:bCs/>
              </w:rPr>
              <w:t>13.3</w:t>
            </w:r>
          </w:p>
        </w:tc>
        <w:tc>
          <w:tcPr>
            <w:tcW w:w="1080" w:type="dxa"/>
          </w:tcPr>
          <w:p w14:paraId="693AF8E6" w14:textId="77777777" w:rsidR="00B7540A" w:rsidRPr="00586097" w:rsidRDefault="00B7540A" w:rsidP="00920983">
            <w:pPr>
              <w:spacing w:line="276" w:lineRule="auto"/>
              <w:ind w:firstLine="0"/>
              <w:jc w:val="center"/>
              <w:rPr>
                <w:rFonts w:cs="Arial"/>
                <w:bCs/>
              </w:rPr>
            </w:pPr>
            <w:r w:rsidRPr="00586097">
              <w:rPr>
                <w:rFonts w:cs="Arial"/>
                <w:bCs/>
              </w:rPr>
              <w:t>11.6</w:t>
            </w:r>
          </w:p>
        </w:tc>
        <w:tc>
          <w:tcPr>
            <w:tcW w:w="990" w:type="dxa"/>
          </w:tcPr>
          <w:p w14:paraId="166B7217" w14:textId="77777777" w:rsidR="00B7540A" w:rsidRPr="00586097" w:rsidRDefault="00B7540A" w:rsidP="00920983">
            <w:pPr>
              <w:spacing w:line="276" w:lineRule="auto"/>
              <w:ind w:firstLine="0"/>
              <w:jc w:val="center"/>
              <w:rPr>
                <w:rFonts w:cs="Arial"/>
                <w:bCs/>
              </w:rPr>
            </w:pPr>
            <w:r w:rsidRPr="00586097">
              <w:rPr>
                <w:rFonts w:cs="Arial"/>
                <w:bCs/>
              </w:rPr>
              <w:t>-31.7</w:t>
            </w:r>
          </w:p>
        </w:tc>
        <w:tc>
          <w:tcPr>
            <w:tcW w:w="1260" w:type="dxa"/>
            <w:shd w:val="clear" w:color="auto" w:fill="D9E2F3"/>
          </w:tcPr>
          <w:p w14:paraId="33048A5D" w14:textId="77777777" w:rsidR="00B7540A" w:rsidRPr="00586097" w:rsidRDefault="00B7540A" w:rsidP="00920983">
            <w:pPr>
              <w:spacing w:line="276" w:lineRule="auto"/>
              <w:ind w:firstLine="0"/>
              <w:jc w:val="center"/>
              <w:rPr>
                <w:rFonts w:cs="Arial"/>
                <w:bCs/>
              </w:rPr>
            </w:pPr>
            <w:r w:rsidRPr="00586097">
              <w:rPr>
                <w:rFonts w:cs="Arial"/>
                <w:bCs/>
              </w:rPr>
              <w:t>8.7</w:t>
            </w:r>
          </w:p>
        </w:tc>
        <w:tc>
          <w:tcPr>
            <w:tcW w:w="1080" w:type="dxa"/>
            <w:shd w:val="clear" w:color="auto" w:fill="D9E2F3"/>
          </w:tcPr>
          <w:p w14:paraId="503CD97E" w14:textId="77777777" w:rsidR="00B7540A" w:rsidRPr="00586097" w:rsidRDefault="00B7540A" w:rsidP="00920983">
            <w:pPr>
              <w:spacing w:line="276" w:lineRule="auto"/>
              <w:ind w:firstLine="0"/>
              <w:jc w:val="center"/>
              <w:rPr>
                <w:rFonts w:cs="Arial"/>
                <w:bCs/>
              </w:rPr>
            </w:pPr>
            <w:r w:rsidRPr="00586097">
              <w:rPr>
                <w:rFonts w:cs="Arial"/>
                <w:bCs/>
              </w:rPr>
              <w:t>12.1</w:t>
            </w:r>
          </w:p>
        </w:tc>
        <w:tc>
          <w:tcPr>
            <w:tcW w:w="990" w:type="dxa"/>
            <w:shd w:val="clear" w:color="auto" w:fill="D9E2F3"/>
          </w:tcPr>
          <w:p w14:paraId="49708A18" w14:textId="77777777" w:rsidR="00B7540A" w:rsidRPr="00586097" w:rsidRDefault="00B7540A" w:rsidP="00920983">
            <w:pPr>
              <w:spacing w:line="276" w:lineRule="auto"/>
              <w:ind w:firstLine="0"/>
              <w:jc w:val="center"/>
              <w:rPr>
                <w:rFonts w:cs="Arial"/>
                <w:bCs/>
              </w:rPr>
            </w:pPr>
            <w:r w:rsidRPr="00586097">
              <w:rPr>
                <w:rFonts w:cs="Arial"/>
                <w:bCs/>
              </w:rPr>
              <w:t>8.1</w:t>
            </w:r>
          </w:p>
        </w:tc>
        <w:tc>
          <w:tcPr>
            <w:tcW w:w="1101" w:type="dxa"/>
            <w:shd w:val="clear" w:color="auto" w:fill="D9E2F3"/>
          </w:tcPr>
          <w:p w14:paraId="7D6E93F4" w14:textId="77777777" w:rsidR="00B7540A" w:rsidRPr="00586097" w:rsidRDefault="00B7540A" w:rsidP="00920983">
            <w:pPr>
              <w:spacing w:line="276" w:lineRule="auto"/>
              <w:ind w:firstLine="0"/>
              <w:jc w:val="center"/>
              <w:rPr>
                <w:rFonts w:cs="Arial"/>
                <w:bCs/>
              </w:rPr>
            </w:pPr>
            <w:r w:rsidRPr="00586097">
              <w:rPr>
                <w:rFonts w:cs="Arial"/>
                <w:bCs/>
              </w:rPr>
              <w:t>6.8</w:t>
            </w:r>
          </w:p>
        </w:tc>
      </w:tr>
      <w:tr w:rsidR="00B7540A" w:rsidRPr="00586097" w14:paraId="38E61883" w14:textId="77777777" w:rsidTr="00920983">
        <w:trPr>
          <w:trHeight w:val="258"/>
        </w:trPr>
        <w:tc>
          <w:tcPr>
            <w:tcW w:w="11076" w:type="dxa"/>
            <w:gridSpan w:val="8"/>
            <w:shd w:val="clear" w:color="auto" w:fill="auto"/>
            <w:noWrap/>
          </w:tcPr>
          <w:p w14:paraId="24D2752D" w14:textId="77777777" w:rsidR="00B7540A" w:rsidRPr="00586097" w:rsidRDefault="00B7540A" w:rsidP="00920983">
            <w:pPr>
              <w:spacing w:line="276" w:lineRule="auto"/>
              <w:ind w:firstLine="0"/>
              <w:rPr>
                <w:rFonts w:cs="Arial"/>
                <w:bCs/>
              </w:rPr>
            </w:pPr>
            <w:r w:rsidRPr="00586097">
              <w:rPr>
                <w:rFonts w:cs="Sylfaen"/>
                <w:b/>
                <w:u w:val="single"/>
              </w:rPr>
              <w:t>Արտաքին հատված (մլն ԱՄՆ դոլար)</w:t>
            </w:r>
          </w:p>
        </w:tc>
      </w:tr>
      <w:tr w:rsidR="00D26A99" w:rsidRPr="00586097" w14:paraId="7BC2F0D5" w14:textId="77777777" w:rsidTr="00D26A99">
        <w:trPr>
          <w:trHeight w:val="258"/>
        </w:trPr>
        <w:tc>
          <w:tcPr>
            <w:tcW w:w="3495" w:type="dxa"/>
            <w:shd w:val="clear" w:color="auto" w:fill="auto"/>
          </w:tcPr>
          <w:p w14:paraId="6E473945" w14:textId="77777777" w:rsidR="00B7540A" w:rsidRPr="00586097" w:rsidRDefault="00B7540A" w:rsidP="00920983">
            <w:pPr>
              <w:spacing w:line="276" w:lineRule="auto"/>
              <w:ind w:firstLine="22"/>
              <w:rPr>
                <w:rFonts w:cs="Sylfaen"/>
              </w:rPr>
            </w:pPr>
            <w:r w:rsidRPr="00586097">
              <w:rPr>
                <w:rFonts w:cs="Sylfaen"/>
              </w:rPr>
              <w:t>Ընթացիկ հաշիվ</w:t>
            </w:r>
          </w:p>
        </w:tc>
        <w:tc>
          <w:tcPr>
            <w:tcW w:w="1080" w:type="dxa"/>
          </w:tcPr>
          <w:p w14:paraId="3D6D0A8C" w14:textId="77777777" w:rsidR="00B7540A" w:rsidRPr="00586097" w:rsidRDefault="00B7540A" w:rsidP="00920983">
            <w:pPr>
              <w:spacing w:line="276" w:lineRule="auto"/>
              <w:ind w:firstLine="0"/>
              <w:jc w:val="center"/>
            </w:pPr>
            <w:r w:rsidRPr="00586097">
              <w:t>-875.9</w:t>
            </w:r>
          </w:p>
        </w:tc>
        <w:tc>
          <w:tcPr>
            <w:tcW w:w="1080" w:type="dxa"/>
          </w:tcPr>
          <w:p w14:paraId="1B3A67B7" w14:textId="77777777" w:rsidR="00B7540A" w:rsidRPr="00586097" w:rsidRDefault="00B7540A" w:rsidP="00920983">
            <w:pPr>
              <w:spacing w:line="276" w:lineRule="auto"/>
              <w:ind w:firstLine="0"/>
              <w:jc w:val="center"/>
            </w:pPr>
            <w:r w:rsidRPr="00586097">
              <w:t>-1,002.3</w:t>
            </w:r>
          </w:p>
        </w:tc>
        <w:tc>
          <w:tcPr>
            <w:tcW w:w="990" w:type="dxa"/>
          </w:tcPr>
          <w:p w14:paraId="2AA99C91" w14:textId="77777777" w:rsidR="00B7540A" w:rsidRPr="00586097" w:rsidRDefault="00B7540A" w:rsidP="00920983">
            <w:pPr>
              <w:spacing w:line="276" w:lineRule="auto"/>
              <w:ind w:firstLine="0"/>
              <w:jc w:val="center"/>
            </w:pPr>
            <w:r w:rsidRPr="00586097">
              <w:t>-478.7</w:t>
            </w:r>
          </w:p>
        </w:tc>
        <w:tc>
          <w:tcPr>
            <w:tcW w:w="1260" w:type="dxa"/>
            <w:shd w:val="clear" w:color="auto" w:fill="D9E2F3"/>
          </w:tcPr>
          <w:p w14:paraId="47E82C49" w14:textId="77777777" w:rsidR="00B7540A" w:rsidRPr="00586097" w:rsidRDefault="00B7540A" w:rsidP="00920983">
            <w:pPr>
              <w:spacing w:line="276" w:lineRule="auto"/>
              <w:ind w:firstLine="0"/>
              <w:jc w:val="center"/>
            </w:pPr>
            <w:r w:rsidRPr="00586097">
              <w:t>-281.3</w:t>
            </w:r>
          </w:p>
        </w:tc>
        <w:tc>
          <w:tcPr>
            <w:tcW w:w="1080" w:type="dxa"/>
            <w:shd w:val="clear" w:color="auto" w:fill="D9E2F3"/>
          </w:tcPr>
          <w:p w14:paraId="30F7BC8B" w14:textId="77777777" w:rsidR="00B7540A" w:rsidRPr="00586097" w:rsidRDefault="00B7540A" w:rsidP="00920983">
            <w:pPr>
              <w:spacing w:line="276" w:lineRule="auto"/>
              <w:ind w:firstLine="0"/>
              <w:jc w:val="center"/>
            </w:pPr>
            <w:r w:rsidRPr="00586097">
              <w:t>-421.6</w:t>
            </w:r>
          </w:p>
        </w:tc>
        <w:tc>
          <w:tcPr>
            <w:tcW w:w="990" w:type="dxa"/>
            <w:shd w:val="clear" w:color="auto" w:fill="D9E2F3"/>
          </w:tcPr>
          <w:p w14:paraId="2B08FA09" w14:textId="77777777" w:rsidR="00B7540A" w:rsidRPr="00586097" w:rsidRDefault="00B7540A" w:rsidP="00920983">
            <w:pPr>
              <w:spacing w:line="276" w:lineRule="auto"/>
              <w:ind w:firstLine="0"/>
              <w:jc w:val="center"/>
            </w:pPr>
            <w:r w:rsidRPr="00586097">
              <w:t>-556.9</w:t>
            </w:r>
          </w:p>
        </w:tc>
        <w:tc>
          <w:tcPr>
            <w:tcW w:w="1101" w:type="dxa"/>
            <w:shd w:val="clear" w:color="auto" w:fill="D9E2F3"/>
          </w:tcPr>
          <w:p w14:paraId="126D076F" w14:textId="77777777" w:rsidR="00B7540A" w:rsidRPr="00586097" w:rsidRDefault="00B7540A" w:rsidP="00920983">
            <w:pPr>
              <w:spacing w:line="276" w:lineRule="auto"/>
              <w:ind w:firstLine="0"/>
              <w:jc w:val="center"/>
            </w:pPr>
            <w:r w:rsidRPr="00586097">
              <w:t>-641.3</w:t>
            </w:r>
          </w:p>
        </w:tc>
      </w:tr>
      <w:tr w:rsidR="00D26A99" w:rsidRPr="00586097" w14:paraId="7829BB32" w14:textId="77777777" w:rsidTr="00D26A99">
        <w:trPr>
          <w:trHeight w:val="258"/>
        </w:trPr>
        <w:tc>
          <w:tcPr>
            <w:tcW w:w="3495" w:type="dxa"/>
            <w:shd w:val="clear" w:color="auto" w:fill="auto"/>
          </w:tcPr>
          <w:p w14:paraId="009E0E79" w14:textId="77777777" w:rsidR="00B7540A" w:rsidRPr="00586097" w:rsidRDefault="00B7540A" w:rsidP="00920983">
            <w:pPr>
              <w:spacing w:line="276" w:lineRule="auto"/>
              <w:ind w:firstLine="22"/>
              <w:rPr>
                <w:rFonts w:cs="Sylfaen"/>
              </w:rPr>
            </w:pPr>
            <w:r w:rsidRPr="00586097">
              <w:rPr>
                <w:rFonts w:cs="Sylfaen"/>
              </w:rPr>
              <w:t>Ապրանքների և ծառայությունների հաշվեկշիռ</w:t>
            </w:r>
          </w:p>
        </w:tc>
        <w:tc>
          <w:tcPr>
            <w:tcW w:w="1080" w:type="dxa"/>
          </w:tcPr>
          <w:p w14:paraId="4A9DEB6F" w14:textId="77777777" w:rsidR="00B7540A" w:rsidRPr="00586097" w:rsidRDefault="00B7540A" w:rsidP="00920983">
            <w:pPr>
              <w:spacing w:line="276" w:lineRule="auto"/>
              <w:ind w:firstLine="0"/>
              <w:jc w:val="center"/>
            </w:pPr>
            <w:r w:rsidRPr="00586097">
              <w:t>-1,699.8</w:t>
            </w:r>
          </w:p>
        </w:tc>
        <w:tc>
          <w:tcPr>
            <w:tcW w:w="1080" w:type="dxa"/>
          </w:tcPr>
          <w:p w14:paraId="275DD300" w14:textId="77777777" w:rsidR="00B7540A" w:rsidRPr="00586097" w:rsidRDefault="00B7540A" w:rsidP="00920983">
            <w:pPr>
              <w:spacing w:line="276" w:lineRule="auto"/>
              <w:ind w:firstLine="0"/>
              <w:jc w:val="center"/>
            </w:pPr>
            <w:r w:rsidRPr="00586097">
              <w:t>-1,794.8</w:t>
            </w:r>
          </w:p>
        </w:tc>
        <w:tc>
          <w:tcPr>
            <w:tcW w:w="990" w:type="dxa"/>
          </w:tcPr>
          <w:p w14:paraId="5574657D" w14:textId="77777777" w:rsidR="00B7540A" w:rsidRPr="00586097" w:rsidRDefault="00B7540A" w:rsidP="00920983">
            <w:pPr>
              <w:spacing w:line="276" w:lineRule="auto"/>
              <w:ind w:firstLine="0"/>
              <w:jc w:val="center"/>
            </w:pPr>
            <w:r w:rsidRPr="00586097">
              <w:t>-1,256.1</w:t>
            </w:r>
          </w:p>
        </w:tc>
        <w:tc>
          <w:tcPr>
            <w:tcW w:w="1260" w:type="dxa"/>
            <w:shd w:val="clear" w:color="auto" w:fill="D9E2F3"/>
          </w:tcPr>
          <w:p w14:paraId="6D6658FB" w14:textId="77777777" w:rsidR="00B7540A" w:rsidRPr="00586097" w:rsidRDefault="00B7540A" w:rsidP="00920983">
            <w:pPr>
              <w:spacing w:line="276" w:lineRule="auto"/>
              <w:ind w:firstLine="0"/>
              <w:jc w:val="center"/>
            </w:pPr>
            <w:r w:rsidRPr="00586097">
              <w:t>-1,388.9</w:t>
            </w:r>
          </w:p>
        </w:tc>
        <w:tc>
          <w:tcPr>
            <w:tcW w:w="1080" w:type="dxa"/>
            <w:shd w:val="clear" w:color="auto" w:fill="D9E2F3"/>
          </w:tcPr>
          <w:p w14:paraId="0A707698" w14:textId="77777777" w:rsidR="00B7540A" w:rsidRPr="00586097" w:rsidRDefault="00B7540A" w:rsidP="00920983">
            <w:pPr>
              <w:spacing w:line="276" w:lineRule="auto"/>
              <w:ind w:firstLine="0"/>
              <w:jc w:val="center"/>
            </w:pPr>
            <w:r w:rsidRPr="00586097">
              <w:t>-1,609.5</w:t>
            </w:r>
          </w:p>
        </w:tc>
        <w:tc>
          <w:tcPr>
            <w:tcW w:w="990" w:type="dxa"/>
            <w:shd w:val="clear" w:color="auto" w:fill="D9E2F3"/>
          </w:tcPr>
          <w:p w14:paraId="17825DCB" w14:textId="77777777" w:rsidR="00B7540A" w:rsidRPr="00586097" w:rsidRDefault="00B7540A" w:rsidP="00920983">
            <w:pPr>
              <w:spacing w:line="276" w:lineRule="auto"/>
              <w:ind w:firstLine="0"/>
              <w:jc w:val="center"/>
            </w:pPr>
            <w:r w:rsidRPr="00586097">
              <w:t>-1,740.7</w:t>
            </w:r>
          </w:p>
        </w:tc>
        <w:tc>
          <w:tcPr>
            <w:tcW w:w="1101" w:type="dxa"/>
            <w:shd w:val="clear" w:color="auto" w:fill="D9E2F3"/>
          </w:tcPr>
          <w:p w14:paraId="7F54ED8A" w14:textId="77777777" w:rsidR="00B7540A" w:rsidRPr="00586097" w:rsidRDefault="00B7540A" w:rsidP="00920983">
            <w:pPr>
              <w:spacing w:line="276" w:lineRule="auto"/>
              <w:ind w:firstLine="0"/>
              <w:jc w:val="center"/>
            </w:pPr>
            <w:r w:rsidRPr="00586097">
              <w:t>-1,833.1</w:t>
            </w:r>
          </w:p>
        </w:tc>
      </w:tr>
      <w:tr w:rsidR="00D26A99" w:rsidRPr="00586097" w14:paraId="10C7F7BC" w14:textId="77777777" w:rsidTr="00D26A99">
        <w:trPr>
          <w:trHeight w:val="258"/>
        </w:trPr>
        <w:tc>
          <w:tcPr>
            <w:tcW w:w="3495" w:type="dxa"/>
            <w:shd w:val="clear" w:color="auto" w:fill="auto"/>
          </w:tcPr>
          <w:p w14:paraId="73FF54F0" w14:textId="77777777" w:rsidR="00B7540A" w:rsidRPr="00586097" w:rsidRDefault="00B7540A" w:rsidP="00920983">
            <w:pPr>
              <w:spacing w:line="276" w:lineRule="auto"/>
              <w:ind w:firstLine="22"/>
              <w:rPr>
                <w:rFonts w:cs="Sylfaen"/>
              </w:rPr>
            </w:pPr>
            <w:r w:rsidRPr="00586097">
              <w:rPr>
                <w:rFonts w:cs="Sylfaen"/>
              </w:rPr>
              <w:t>Արտահանում</w:t>
            </w:r>
          </w:p>
        </w:tc>
        <w:tc>
          <w:tcPr>
            <w:tcW w:w="1080" w:type="dxa"/>
          </w:tcPr>
          <w:p w14:paraId="256A6B0F" w14:textId="77777777" w:rsidR="00B7540A" w:rsidRPr="00586097" w:rsidRDefault="00B7540A" w:rsidP="00920983">
            <w:pPr>
              <w:spacing w:line="276" w:lineRule="auto"/>
              <w:ind w:firstLine="0"/>
              <w:jc w:val="center"/>
            </w:pPr>
            <w:r w:rsidRPr="00586097">
              <w:t>4,941.7</w:t>
            </w:r>
          </w:p>
        </w:tc>
        <w:tc>
          <w:tcPr>
            <w:tcW w:w="1080" w:type="dxa"/>
          </w:tcPr>
          <w:p w14:paraId="7E99D944" w14:textId="77777777" w:rsidR="00B7540A" w:rsidRPr="00586097" w:rsidRDefault="00B7540A" w:rsidP="00920983">
            <w:pPr>
              <w:spacing w:line="276" w:lineRule="auto"/>
              <w:ind w:firstLine="0"/>
              <w:jc w:val="center"/>
            </w:pPr>
            <w:r w:rsidRPr="00586097">
              <w:t>5,718.1</w:t>
            </w:r>
          </w:p>
        </w:tc>
        <w:tc>
          <w:tcPr>
            <w:tcW w:w="990" w:type="dxa"/>
          </w:tcPr>
          <w:p w14:paraId="6F30F618" w14:textId="77777777" w:rsidR="00B7540A" w:rsidRPr="00586097" w:rsidRDefault="00B7540A" w:rsidP="00920983">
            <w:pPr>
              <w:spacing w:line="276" w:lineRule="auto"/>
              <w:ind w:firstLine="0"/>
              <w:jc w:val="center"/>
            </w:pPr>
            <w:r w:rsidRPr="00586097">
              <w:t>3,762.6</w:t>
            </w:r>
          </w:p>
        </w:tc>
        <w:tc>
          <w:tcPr>
            <w:tcW w:w="1260" w:type="dxa"/>
            <w:shd w:val="clear" w:color="auto" w:fill="D9E2F3"/>
          </w:tcPr>
          <w:p w14:paraId="445DE23E" w14:textId="77777777" w:rsidR="00B7540A" w:rsidRPr="00586097" w:rsidRDefault="00B7540A" w:rsidP="00920983">
            <w:pPr>
              <w:spacing w:line="276" w:lineRule="auto"/>
              <w:ind w:firstLine="0"/>
              <w:jc w:val="center"/>
            </w:pPr>
            <w:r w:rsidRPr="00586097">
              <w:t>4,446.8</w:t>
            </w:r>
          </w:p>
        </w:tc>
        <w:tc>
          <w:tcPr>
            <w:tcW w:w="1080" w:type="dxa"/>
            <w:shd w:val="clear" w:color="auto" w:fill="D9E2F3"/>
          </w:tcPr>
          <w:p w14:paraId="60BD312C" w14:textId="77777777" w:rsidR="00B7540A" w:rsidRPr="00586097" w:rsidRDefault="00B7540A" w:rsidP="00920983">
            <w:pPr>
              <w:spacing w:line="276" w:lineRule="auto"/>
              <w:ind w:firstLine="0"/>
              <w:jc w:val="center"/>
            </w:pPr>
            <w:r w:rsidRPr="00586097">
              <w:t>5,112.6</w:t>
            </w:r>
          </w:p>
        </w:tc>
        <w:tc>
          <w:tcPr>
            <w:tcW w:w="990" w:type="dxa"/>
            <w:shd w:val="clear" w:color="auto" w:fill="D9E2F3"/>
          </w:tcPr>
          <w:p w14:paraId="55145E38" w14:textId="77777777" w:rsidR="00B7540A" w:rsidRPr="00586097" w:rsidRDefault="00B7540A" w:rsidP="00920983">
            <w:pPr>
              <w:spacing w:line="276" w:lineRule="auto"/>
              <w:ind w:firstLine="0"/>
              <w:jc w:val="center"/>
            </w:pPr>
            <w:r w:rsidRPr="00586097">
              <w:t>5,727.1</w:t>
            </w:r>
          </w:p>
        </w:tc>
        <w:tc>
          <w:tcPr>
            <w:tcW w:w="1101" w:type="dxa"/>
            <w:shd w:val="clear" w:color="auto" w:fill="D9E2F3"/>
          </w:tcPr>
          <w:p w14:paraId="096F6024" w14:textId="77777777" w:rsidR="00B7540A" w:rsidRPr="00586097" w:rsidRDefault="00B7540A" w:rsidP="00920983">
            <w:pPr>
              <w:spacing w:line="276" w:lineRule="auto"/>
              <w:ind w:firstLine="0"/>
              <w:jc w:val="center"/>
            </w:pPr>
            <w:r w:rsidRPr="00586097">
              <w:t>6,322.7</w:t>
            </w:r>
          </w:p>
        </w:tc>
      </w:tr>
      <w:tr w:rsidR="00D26A99" w:rsidRPr="00586097" w14:paraId="477F38C8" w14:textId="77777777" w:rsidTr="00D26A99">
        <w:trPr>
          <w:trHeight w:val="258"/>
        </w:trPr>
        <w:tc>
          <w:tcPr>
            <w:tcW w:w="3495" w:type="dxa"/>
            <w:shd w:val="clear" w:color="auto" w:fill="auto"/>
          </w:tcPr>
          <w:p w14:paraId="627792AE" w14:textId="77777777" w:rsidR="00B7540A" w:rsidRPr="00586097" w:rsidRDefault="00B7540A" w:rsidP="00920983">
            <w:pPr>
              <w:spacing w:line="276" w:lineRule="auto"/>
              <w:ind w:left="309" w:firstLine="22"/>
              <w:rPr>
                <w:rFonts w:cs="Sylfaen"/>
              </w:rPr>
            </w:pPr>
            <w:r w:rsidRPr="00586097">
              <w:rPr>
                <w:rFonts w:cs="Sylfaen"/>
              </w:rPr>
              <w:t>Փոփոխություն, %</w:t>
            </w:r>
          </w:p>
        </w:tc>
        <w:tc>
          <w:tcPr>
            <w:tcW w:w="1080" w:type="dxa"/>
          </w:tcPr>
          <w:p w14:paraId="2042FD92" w14:textId="77777777" w:rsidR="00B7540A" w:rsidRPr="00586097" w:rsidRDefault="00B7540A" w:rsidP="00920983">
            <w:pPr>
              <w:spacing w:line="276" w:lineRule="auto"/>
              <w:ind w:firstLine="0"/>
              <w:jc w:val="center"/>
            </w:pPr>
            <w:r w:rsidRPr="00586097">
              <w:t>12.1</w:t>
            </w:r>
          </w:p>
        </w:tc>
        <w:tc>
          <w:tcPr>
            <w:tcW w:w="1080" w:type="dxa"/>
          </w:tcPr>
          <w:p w14:paraId="45069425" w14:textId="77777777" w:rsidR="00B7540A" w:rsidRPr="00586097" w:rsidRDefault="00B7540A" w:rsidP="00920983">
            <w:pPr>
              <w:spacing w:line="276" w:lineRule="auto"/>
              <w:ind w:firstLine="0"/>
              <w:jc w:val="center"/>
            </w:pPr>
            <w:r w:rsidRPr="00586097">
              <w:t>15.7</w:t>
            </w:r>
          </w:p>
        </w:tc>
        <w:tc>
          <w:tcPr>
            <w:tcW w:w="990" w:type="dxa"/>
          </w:tcPr>
          <w:p w14:paraId="286E1B92" w14:textId="77777777" w:rsidR="00B7540A" w:rsidRPr="00586097" w:rsidRDefault="00B7540A" w:rsidP="00920983">
            <w:pPr>
              <w:spacing w:line="276" w:lineRule="auto"/>
              <w:ind w:firstLine="0"/>
              <w:jc w:val="center"/>
            </w:pPr>
            <w:r w:rsidRPr="00586097">
              <w:t>-34.2</w:t>
            </w:r>
          </w:p>
        </w:tc>
        <w:tc>
          <w:tcPr>
            <w:tcW w:w="1260" w:type="dxa"/>
            <w:shd w:val="clear" w:color="auto" w:fill="D9E2F3"/>
          </w:tcPr>
          <w:p w14:paraId="2324787F" w14:textId="77777777" w:rsidR="00B7540A" w:rsidRPr="00586097" w:rsidRDefault="00B7540A" w:rsidP="00920983">
            <w:pPr>
              <w:spacing w:line="276" w:lineRule="auto"/>
              <w:ind w:firstLine="0"/>
              <w:jc w:val="center"/>
            </w:pPr>
            <w:r w:rsidRPr="00586097">
              <w:t>18.2</w:t>
            </w:r>
          </w:p>
        </w:tc>
        <w:tc>
          <w:tcPr>
            <w:tcW w:w="1080" w:type="dxa"/>
            <w:shd w:val="clear" w:color="auto" w:fill="D9E2F3"/>
          </w:tcPr>
          <w:p w14:paraId="492F6C6A" w14:textId="77777777" w:rsidR="00B7540A" w:rsidRPr="00586097" w:rsidRDefault="00B7540A" w:rsidP="00920983">
            <w:pPr>
              <w:spacing w:line="276" w:lineRule="auto"/>
              <w:ind w:firstLine="0"/>
              <w:jc w:val="center"/>
            </w:pPr>
            <w:r w:rsidRPr="00586097">
              <w:t>15.0</w:t>
            </w:r>
          </w:p>
        </w:tc>
        <w:tc>
          <w:tcPr>
            <w:tcW w:w="990" w:type="dxa"/>
            <w:shd w:val="clear" w:color="auto" w:fill="D9E2F3"/>
          </w:tcPr>
          <w:p w14:paraId="3B5EF4E7" w14:textId="77777777" w:rsidR="00B7540A" w:rsidRPr="00586097" w:rsidRDefault="00B7540A" w:rsidP="00920983">
            <w:pPr>
              <w:spacing w:line="276" w:lineRule="auto"/>
              <w:ind w:firstLine="0"/>
              <w:jc w:val="center"/>
            </w:pPr>
            <w:r w:rsidRPr="00586097">
              <w:t>12.0</w:t>
            </w:r>
          </w:p>
        </w:tc>
        <w:tc>
          <w:tcPr>
            <w:tcW w:w="1101" w:type="dxa"/>
            <w:shd w:val="clear" w:color="auto" w:fill="D9E2F3"/>
          </w:tcPr>
          <w:p w14:paraId="44E605F4" w14:textId="77777777" w:rsidR="00B7540A" w:rsidRPr="00586097" w:rsidRDefault="00B7540A" w:rsidP="00920983">
            <w:pPr>
              <w:spacing w:line="276" w:lineRule="auto"/>
              <w:ind w:firstLine="0"/>
              <w:jc w:val="center"/>
            </w:pPr>
            <w:r w:rsidRPr="00586097">
              <w:t>10.4</w:t>
            </w:r>
          </w:p>
        </w:tc>
      </w:tr>
      <w:tr w:rsidR="00D26A99" w:rsidRPr="00586097" w14:paraId="2390B6FB" w14:textId="77777777" w:rsidTr="00D26A99">
        <w:trPr>
          <w:trHeight w:val="258"/>
        </w:trPr>
        <w:tc>
          <w:tcPr>
            <w:tcW w:w="3495" w:type="dxa"/>
            <w:shd w:val="clear" w:color="auto" w:fill="auto"/>
          </w:tcPr>
          <w:p w14:paraId="76B23402" w14:textId="77777777" w:rsidR="00B7540A" w:rsidRPr="00586097" w:rsidRDefault="00B7540A" w:rsidP="00920983">
            <w:pPr>
              <w:spacing w:line="276" w:lineRule="auto"/>
              <w:ind w:firstLine="22"/>
              <w:rPr>
                <w:rFonts w:cs="Sylfaen"/>
              </w:rPr>
            </w:pPr>
            <w:r w:rsidRPr="00586097">
              <w:rPr>
                <w:rFonts w:cs="Sylfaen"/>
              </w:rPr>
              <w:t>Ներմուծում</w:t>
            </w:r>
          </w:p>
        </w:tc>
        <w:tc>
          <w:tcPr>
            <w:tcW w:w="1080" w:type="dxa"/>
          </w:tcPr>
          <w:p w14:paraId="2D822B63" w14:textId="77777777" w:rsidR="00B7540A" w:rsidRPr="00586097" w:rsidRDefault="00B7540A" w:rsidP="00920983">
            <w:pPr>
              <w:spacing w:line="276" w:lineRule="auto"/>
              <w:ind w:firstLine="0"/>
              <w:jc w:val="center"/>
            </w:pPr>
            <w:r w:rsidRPr="00586097">
              <w:t>6,641.5</w:t>
            </w:r>
          </w:p>
        </w:tc>
        <w:tc>
          <w:tcPr>
            <w:tcW w:w="1080" w:type="dxa"/>
          </w:tcPr>
          <w:p w14:paraId="75C735C6" w14:textId="77777777" w:rsidR="00B7540A" w:rsidRPr="00586097" w:rsidRDefault="00B7540A" w:rsidP="00920983">
            <w:pPr>
              <w:spacing w:line="276" w:lineRule="auto"/>
              <w:ind w:firstLine="0"/>
              <w:jc w:val="center"/>
            </w:pPr>
            <w:r w:rsidRPr="00586097">
              <w:t>7,512.9</w:t>
            </w:r>
          </w:p>
        </w:tc>
        <w:tc>
          <w:tcPr>
            <w:tcW w:w="990" w:type="dxa"/>
          </w:tcPr>
          <w:p w14:paraId="7666F1B3" w14:textId="77777777" w:rsidR="00B7540A" w:rsidRPr="00586097" w:rsidRDefault="00B7540A" w:rsidP="00920983">
            <w:pPr>
              <w:spacing w:line="276" w:lineRule="auto"/>
              <w:ind w:firstLine="0"/>
              <w:jc w:val="center"/>
            </w:pPr>
            <w:r w:rsidRPr="00586097">
              <w:t>5,018.7</w:t>
            </w:r>
          </w:p>
        </w:tc>
        <w:tc>
          <w:tcPr>
            <w:tcW w:w="1260" w:type="dxa"/>
            <w:shd w:val="clear" w:color="auto" w:fill="D9E2F3"/>
          </w:tcPr>
          <w:p w14:paraId="66535B22" w14:textId="77777777" w:rsidR="00B7540A" w:rsidRPr="00586097" w:rsidRDefault="00B7540A" w:rsidP="00920983">
            <w:pPr>
              <w:spacing w:line="276" w:lineRule="auto"/>
              <w:ind w:firstLine="0"/>
              <w:jc w:val="center"/>
            </w:pPr>
            <w:r w:rsidRPr="00586097">
              <w:t>5,835.7</w:t>
            </w:r>
          </w:p>
        </w:tc>
        <w:tc>
          <w:tcPr>
            <w:tcW w:w="1080" w:type="dxa"/>
            <w:shd w:val="clear" w:color="auto" w:fill="D9E2F3"/>
          </w:tcPr>
          <w:p w14:paraId="26DC11FA" w14:textId="77777777" w:rsidR="00B7540A" w:rsidRPr="00586097" w:rsidRDefault="00B7540A" w:rsidP="00920983">
            <w:pPr>
              <w:spacing w:line="276" w:lineRule="auto"/>
              <w:ind w:firstLine="0"/>
              <w:jc w:val="center"/>
            </w:pPr>
            <w:r w:rsidRPr="00586097">
              <w:t>6,722.0</w:t>
            </w:r>
          </w:p>
        </w:tc>
        <w:tc>
          <w:tcPr>
            <w:tcW w:w="990" w:type="dxa"/>
            <w:shd w:val="clear" w:color="auto" w:fill="D9E2F3"/>
          </w:tcPr>
          <w:p w14:paraId="63AA6980" w14:textId="77777777" w:rsidR="00B7540A" w:rsidRPr="00586097" w:rsidRDefault="00B7540A" w:rsidP="00920983">
            <w:pPr>
              <w:spacing w:line="276" w:lineRule="auto"/>
              <w:ind w:firstLine="0"/>
              <w:jc w:val="center"/>
            </w:pPr>
            <w:r w:rsidRPr="00586097">
              <w:t>7,467.8</w:t>
            </w:r>
          </w:p>
        </w:tc>
        <w:tc>
          <w:tcPr>
            <w:tcW w:w="1101" w:type="dxa"/>
            <w:shd w:val="clear" w:color="auto" w:fill="D9E2F3"/>
          </w:tcPr>
          <w:p w14:paraId="1B9E50DC" w14:textId="77777777" w:rsidR="00B7540A" w:rsidRPr="00586097" w:rsidRDefault="00B7540A" w:rsidP="00920983">
            <w:pPr>
              <w:spacing w:line="276" w:lineRule="auto"/>
              <w:ind w:firstLine="0"/>
              <w:jc w:val="center"/>
            </w:pPr>
            <w:r w:rsidRPr="00586097">
              <w:t>8,155.8</w:t>
            </w:r>
          </w:p>
        </w:tc>
      </w:tr>
      <w:tr w:rsidR="00D26A99" w:rsidRPr="00586097" w14:paraId="1A3C9084" w14:textId="77777777" w:rsidTr="00D26A99">
        <w:trPr>
          <w:trHeight w:val="258"/>
        </w:trPr>
        <w:tc>
          <w:tcPr>
            <w:tcW w:w="3495" w:type="dxa"/>
            <w:shd w:val="clear" w:color="auto" w:fill="auto"/>
            <w:noWrap/>
          </w:tcPr>
          <w:p w14:paraId="01C8715C" w14:textId="77777777" w:rsidR="00B7540A" w:rsidRPr="00586097" w:rsidRDefault="00B7540A" w:rsidP="00920983">
            <w:pPr>
              <w:spacing w:line="276" w:lineRule="auto"/>
              <w:ind w:left="309" w:firstLine="22"/>
              <w:rPr>
                <w:rFonts w:cs="Sylfaen"/>
              </w:rPr>
            </w:pPr>
            <w:r w:rsidRPr="00586097">
              <w:rPr>
                <w:rFonts w:cs="Sylfaen"/>
              </w:rPr>
              <w:t>Փոփոխություն, %</w:t>
            </w:r>
          </w:p>
        </w:tc>
        <w:tc>
          <w:tcPr>
            <w:tcW w:w="1080" w:type="dxa"/>
          </w:tcPr>
          <w:p w14:paraId="01B1966A" w14:textId="77777777" w:rsidR="00B7540A" w:rsidRPr="00586097" w:rsidRDefault="00B7540A" w:rsidP="00920983">
            <w:pPr>
              <w:spacing w:line="276" w:lineRule="auto"/>
              <w:ind w:firstLine="0"/>
              <w:jc w:val="center"/>
            </w:pPr>
            <w:r w:rsidRPr="00586097">
              <w:t>17.5</w:t>
            </w:r>
          </w:p>
        </w:tc>
        <w:tc>
          <w:tcPr>
            <w:tcW w:w="1080" w:type="dxa"/>
          </w:tcPr>
          <w:p w14:paraId="14E418A2" w14:textId="77777777" w:rsidR="00B7540A" w:rsidRPr="00586097" w:rsidRDefault="00B7540A" w:rsidP="00920983">
            <w:pPr>
              <w:spacing w:line="276" w:lineRule="auto"/>
              <w:ind w:firstLine="0"/>
              <w:jc w:val="center"/>
            </w:pPr>
            <w:r w:rsidRPr="00586097">
              <w:t>13.1</w:t>
            </w:r>
          </w:p>
        </w:tc>
        <w:tc>
          <w:tcPr>
            <w:tcW w:w="990" w:type="dxa"/>
          </w:tcPr>
          <w:p w14:paraId="0D91CB34" w14:textId="77777777" w:rsidR="00B7540A" w:rsidRPr="00586097" w:rsidRDefault="00B7540A" w:rsidP="00920983">
            <w:pPr>
              <w:spacing w:line="276" w:lineRule="auto"/>
              <w:ind w:firstLine="0"/>
              <w:jc w:val="center"/>
            </w:pPr>
            <w:r w:rsidRPr="00586097">
              <w:t>-33.2</w:t>
            </w:r>
          </w:p>
        </w:tc>
        <w:tc>
          <w:tcPr>
            <w:tcW w:w="1260" w:type="dxa"/>
            <w:shd w:val="clear" w:color="auto" w:fill="D9E2F3"/>
          </w:tcPr>
          <w:p w14:paraId="2D2D3944" w14:textId="77777777" w:rsidR="00B7540A" w:rsidRPr="00586097" w:rsidRDefault="00B7540A" w:rsidP="00920983">
            <w:pPr>
              <w:spacing w:line="276" w:lineRule="auto"/>
              <w:ind w:firstLine="0"/>
              <w:jc w:val="center"/>
            </w:pPr>
            <w:r w:rsidRPr="00586097">
              <w:t>16.3</w:t>
            </w:r>
          </w:p>
        </w:tc>
        <w:tc>
          <w:tcPr>
            <w:tcW w:w="1080" w:type="dxa"/>
            <w:shd w:val="clear" w:color="auto" w:fill="D9E2F3"/>
          </w:tcPr>
          <w:p w14:paraId="3AFAAFE7" w14:textId="77777777" w:rsidR="00B7540A" w:rsidRPr="00586097" w:rsidRDefault="00B7540A" w:rsidP="00920983">
            <w:pPr>
              <w:spacing w:line="276" w:lineRule="auto"/>
              <w:ind w:firstLine="0"/>
              <w:jc w:val="center"/>
            </w:pPr>
            <w:r w:rsidRPr="00586097">
              <w:t>15.2</w:t>
            </w:r>
          </w:p>
        </w:tc>
        <w:tc>
          <w:tcPr>
            <w:tcW w:w="990" w:type="dxa"/>
            <w:shd w:val="clear" w:color="auto" w:fill="D9E2F3"/>
          </w:tcPr>
          <w:p w14:paraId="3E3AFC25" w14:textId="77777777" w:rsidR="00B7540A" w:rsidRPr="00586097" w:rsidRDefault="00B7540A" w:rsidP="00920983">
            <w:pPr>
              <w:spacing w:line="276" w:lineRule="auto"/>
              <w:ind w:firstLine="0"/>
              <w:jc w:val="center"/>
            </w:pPr>
            <w:r w:rsidRPr="00586097">
              <w:t>11.1</w:t>
            </w:r>
          </w:p>
        </w:tc>
        <w:tc>
          <w:tcPr>
            <w:tcW w:w="1101" w:type="dxa"/>
            <w:shd w:val="clear" w:color="auto" w:fill="D9E2F3"/>
          </w:tcPr>
          <w:p w14:paraId="77E7FF5D" w14:textId="77777777" w:rsidR="00B7540A" w:rsidRPr="00586097" w:rsidRDefault="00B7540A" w:rsidP="00920983">
            <w:pPr>
              <w:spacing w:line="276" w:lineRule="auto"/>
              <w:ind w:firstLine="0"/>
              <w:jc w:val="center"/>
            </w:pPr>
            <w:r w:rsidRPr="00586097">
              <w:t>9.2</w:t>
            </w:r>
          </w:p>
        </w:tc>
      </w:tr>
      <w:tr w:rsidR="00D26A99" w:rsidRPr="00586097" w14:paraId="6BB4FE4D" w14:textId="77777777" w:rsidTr="00D26A99">
        <w:trPr>
          <w:trHeight w:val="258"/>
        </w:trPr>
        <w:tc>
          <w:tcPr>
            <w:tcW w:w="3495" w:type="dxa"/>
            <w:shd w:val="clear" w:color="auto" w:fill="auto"/>
            <w:noWrap/>
          </w:tcPr>
          <w:p w14:paraId="2080EA00" w14:textId="77777777" w:rsidR="00B7540A" w:rsidRPr="00586097" w:rsidRDefault="00B7540A" w:rsidP="00920983">
            <w:pPr>
              <w:spacing w:line="276" w:lineRule="auto"/>
              <w:ind w:firstLine="22"/>
              <w:rPr>
                <w:rFonts w:cs="Sylfaen"/>
              </w:rPr>
            </w:pPr>
            <w:r w:rsidRPr="00586097">
              <w:rPr>
                <w:rFonts w:cs="Sylfaen"/>
              </w:rPr>
              <w:t>Դրամական փոխանցումներ</w:t>
            </w:r>
          </w:p>
        </w:tc>
        <w:tc>
          <w:tcPr>
            <w:tcW w:w="1080" w:type="dxa"/>
          </w:tcPr>
          <w:p w14:paraId="0C9DD7DF" w14:textId="77777777" w:rsidR="00B7540A" w:rsidRPr="00586097" w:rsidRDefault="00B7540A" w:rsidP="00920983">
            <w:pPr>
              <w:spacing w:line="276" w:lineRule="auto"/>
              <w:ind w:firstLine="0"/>
              <w:jc w:val="center"/>
            </w:pPr>
            <w:r w:rsidRPr="00586097">
              <w:t>1,136.2</w:t>
            </w:r>
          </w:p>
        </w:tc>
        <w:tc>
          <w:tcPr>
            <w:tcW w:w="1080" w:type="dxa"/>
          </w:tcPr>
          <w:p w14:paraId="1E6F3FA2" w14:textId="77777777" w:rsidR="00B7540A" w:rsidRPr="00586097" w:rsidRDefault="00B7540A" w:rsidP="00920983">
            <w:pPr>
              <w:spacing w:line="276" w:lineRule="auto"/>
              <w:ind w:firstLine="0"/>
              <w:jc w:val="center"/>
            </w:pPr>
            <w:r w:rsidRPr="00586097">
              <w:t>1,143.8</w:t>
            </w:r>
          </w:p>
        </w:tc>
        <w:tc>
          <w:tcPr>
            <w:tcW w:w="990" w:type="dxa"/>
          </w:tcPr>
          <w:p w14:paraId="2CE8F77B" w14:textId="77777777" w:rsidR="00B7540A" w:rsidRPr="00586097" w:rsidRDefault="00B7540A" w:rsidP="00920983">
            <w:pPr>
              <w:spacing w:line="276" w:lineRule="auto"/>
              <w:ind w:firstLine="0"/>
              <w:jc w:val="center"/>
            </w:pPr>
            <w:r w:rsidRPr="00586097">
              <w:t>1,040.2</w:t>
            </w:r>
          </w:p>
        </w:tc>
        <w:tc>
          <w:tcPr>
            <w:tcW w:w="1260" w:type="dxa"/>
            <w:shd w:val="clear" w:color="auto" w:fill="D9E2F3"/>
          </w:tcPr>
          <w:p w14:paraId="006AE40F" w14:textId="77777777" w:rsidR="00B7540A" w:rsidRPr="00586097" w:rsidRDefault="00B7540A" w:rsidP="00920983">
            <w:pPr>
              <w:spacing w:line="276" w:lineRule="auto"/>
              <w:ind w:firstLine="0"/>
              <w:jc w:val="center"/>
            </w:pPr>
            <w:r w:rsidRPr="00586097">
              <w:t>1,404.3</w:t>
            </w:r>
          </w:p>
        </w:tc>
        <w:tc>
          <w:tcPr>
            <w:tcW w:w="1080" w:type="dxa"/>
            <w:shd w:val="clear" w:color="auto" w:fill="D9E2F3"/>
          </w:tcPr>
          <w:p w14:paraId="1FBBB3AC" w14:textId="77777777" w:rsidR="00B7540A" w:rsidRPr="00586097" w:rsidRDefault="00B7540A" w:rsidP="00920983">
            <w:pPr>
              <w:spacing w:line="276" w:lineRule="auto"/>
              <w:ind w:firstLine="0"/>
              <w:jc w:val="center"/>
            </w:pPr>
            <w:r w:rsidRPr="00586097">
              <w:t>1,474.5</w:t>
            </w:r>
          </w:p>
        </w:tc>
        <w:tc>
          <w:tcPr>
            <w:tcW w:w="990" w:type="dxa"/>
            <w:shd w:val="clear" w:color="auto" w:fill="D9E2F3"/>
          </w:tcPr>
          <w:p w14:paraId="7EE88501" w14:textId="77777777" w:rsidR="00B7540A" w:rsidRPr="00586097" w:rsidRDefault="00B7540A" w:rsidP="00920983">
            <w:pPr>
              <w:spacing w:line="276" w:lineRule="auto"/>
              <w:ind w:firstLine="0"/>
              <w:jc w:val="center"/>
            </w:pPr>
            <w:r w:rsidRPr="00586097">
              <w:t>1,548.2</w:t>
            </w:r>
          </w:p>
        </w:tc>
        <w:tc>
          <w:tcPr>
            <w:tcW w:w="1101" w:type="dxa"/>
            <w:shd w:val="clear" w:color="auto" w:fill="D9E2F3"/>
          </w:tcPr>
          <w:p w14:paraId="3943738F" w14:textId="77777777" w:rsidR="00B7540A" w:rsidRPr="00586097" w:rsidRDefault="00B7540A" w:rsidP="00920983">
            <w:pPr>
              <w:spacing w:line="276" w:lineRule="auto"/>
              <w:ind w:firstLine="0"/>
              <w:jc w:val="center"/>
            </w:pPr>
            <w:r w:rsidRPr="00586097">
              <w:t>1,625.6</w:t>
            </w:r>
          </w:p>
        </w:tc>
      </w:tr>
      <w:tr w:rsidR="00B7540A" w:rsidRPr="00586097" w14:paraId="491B4BAE" w14:textId="77777777" w:rsidTr="00920983">
        <w:trPr>
          <w:trHeight w:val="258"/>
        </w:trPr>
        <w:tc>
          <w:tcPr>
            <w:tcW w:w="11076" w:type="dxa"/>
            <w:gridSpan w:val="8"/>
            <w:shd w:val="clear" w:color="auto" w:fill="auto"/>
            <w:noWrap/>
          </w:tcPr>
          <w:p w14:paraId="198CC982" w14:textId="77777777" w:rsidR="00B7540A" w:rsidRPr="00586097" w:rsidRDefault="00B7540A" w:rsidP="00920983">
            <w:pPr>
              <w:spacing w:line="276" w:lineRule="auto"/>
              <w:ind w:firstLine="0"/>
            </w:pPr>
            <w:r w:rsidRPr="00586097">
              <w:rPr>
                <w:rFonts w:cs="Sylfaen"/>
                <w:b/>
                <w:u w:val="single"/>
              </w:rPr>
              <w:t>ՀՆԱ-ի նկատմամբ %</w:t>
            </w:r>
          </w:p>
        </w:tc>
      </w:tr>
      <w:tr w:rsidR="00D26A99" w:rsidRPr="00586097" w14:paraId="6D950BB2" w14:textId="77777777" w:rsidTr="00D26A99">
        <w:trPr>
          <w:trHeight w:val="258"/>
        </w:trPr>
        <w:tc>
          <w:tcPr>
            <w:tcW w:w="3495" w:type="dxa"/>
            <w:shd w:val="clear" w:color="auto" w:fill="auto"/>
            <w:noWrap/>
          </w:tcPr>
          <w:p w14:paraId="373328AE" w14:textId="77777777" w:rsidR="00B7540A" w:rsidRPr="00586097" w:rsidRDefault="00B7540A" w:rsidP="00920983">
            <w:pPr>
              <w:spacing w:line="276" w:lineRule="auto"/>
              <w:ind w:firstLine="22"/>
              <w:rPr>
                <w:rFonts w:cs="Sylfaen"/>
              </w:rPr>
            </w:pPr>
            <w:r w:rsidRPr="00586097">
              <w:rPr>
                <w:rFonts w:cs="Sylfaen"/>
              </w:rPr>
              <w:t xml:space="preserve">Ընթացիկ հաշիվ </w:t>
            </w:r>
          </w:p>
        </w:tc>
        <w:tc>
          <w:tcPr>
            <w:tcW w:w="1080" w:type="dxa"/>
            <w:vAlign w:val="center"/>
          </w:tcPr>
          <w:p w14:paraId="40AC6637" w14:textId="77777777" w:rsidR="00B7540A" w:rsidRPr="00586097" w:rsidRDefault="00B7540A" w:rsidP="00920983">
            <w:pPr>
              <w:spacing w:line="276" w:lineRule="auto"/>
              <w:ind w:firstLine="0"/>
              <w:jc w:val="center"/>
            </w:pPr>
            <w:r w:rsidRPr="00586097">
              <w:t>-7.0</w:t>
            </w:r>
          </w:p>
        </w:tc>
        <w:tc>
          <w:tcPr>
            <w:tcW w:w="1080" w:type="dxa"/>
            <w:vAlign w:val="center"/>
          </w:tcPr>
          <w:p w14:paraId="30DA1F01" w14:textId="77777777" w:rsidR="00B7540A" w:rsidRPr="00586097" w:rsidRDefault="00B7540A" w:rsidP="00920983">
            <w:pPr>
              <w:spacing w:line="276" w:lineRule="auto"/>
              <w:ind w:firstLine="0"/>
              <w:jc w:val="center"/>
            </w:pPr>
            <w:r w:rsidRPr="00586097">
              <w:t>-7.4</w:t>
            </w:r>
          </w:p>
        </w:tc>
        <w:tc>
          <w:tcPr>
            <w:tcW w:w="990" w:type="dxa"/>
            <w:vAlign w:val="center"/>
          </w:tcPr>
          <w:p w14:paraId="3AE426BB" w14:textId="77777777" w:rsidR="00B7540A" w:rsidRPr="00586097" w:rsidRDefault="00B7540A" w:rsidP="00920983">
            <w:pPr>
              <w:spacing w:line="276" w:lineRule="auto"/>
              <w:ind w:firstLine="0"/>
              <w:jc w:val="center"/>
            </w:pPr>
            <w:r w:rsidRPr="00586097">
              <w:t>-3.8</w:t>
            </w:r>
          </w:p>
        </w:tc>
        <w:tc>
          <w:tcPr>
            <w:tcW w:w="1260" w:type="dxa"/>
            <w:shd w:val="clear" w:color="auto" w:fill="D9E2F3"/>
            <w:vAlign w:val="center"/>
          </w:tcPr>
          <w:p w14:paraId="5DAEA4B4" w14:textId="77777777" w:rsidR="00B7540A" w:rsidRPr="00586097" w:rsidRDefault="00B7540A" w:rsidP="00920983">
            <w:pPr>
              <w:spacing w:line="276" w:lineRule="auto"/>
              <w:ind w:firstLine="0"/>
              <w:jc w:val="center"/>
            </w:pPr>
            <w:r w:rsidRPr="00586097">
              <w:t>-2.1</w:t>
            </w:r>
          </w:p>
        </w:tc>
        <w:tc>
          <w:tcPr>
            <w:tcW w:w="1080" w:type="dxa"/>
            <w:shd w:val="clear" w:color="auto" w:fill="D9E2F3"/>
            <w:vAlign w:val="center"/>
          </w:tcPr>
          <w:p w14:paraId="0FF18641" w14:textId="77777777" w:rsidR="00B7540A" w:rsidRPr="00586097" w:rsidRDefault="00B7540A" w:rsidP="00920983">
            <w:pPr>
              <w:spacing w:line="276" w:lineRule="auto"/>
              <w:ind w:firstLine="0"/>
              <w:jc w:val="center"/>
            </w:pPr>
            <w:r w:rsidRPr="00586097">
              <w:t>-2.9</w:t>
            </w:r>
          </w:p>
        </w:tc>
        <w:tc>
          <w:tcPr>
            <w:tcW w:w="990" w:type="dxa"/>
            <w:shd w:val="clear" w:color="auto" w:fill="D9E2F3"/>
            <w:vAlign w:val="center"/>
          </w:tcPr>
          <w:p w14:paraId="3FB81E91" w14:textId="77777777" w:rsidR="00B7540A" w:rsidRPr="00586097" w:rsidRDefault="00B7540A" w:rsidP="00920983">
            <w:pPr>
              <w:spacing w:line="276" w:lineRule="auto"/>
              <w:ind w:firstLine="0"/>
              <w:jc w:val="center"/>
            </w:pPr>
            <w:r w:rsidRPr="00586097">
              <w:t>-3.5</w:t>
            </w:r>
          </w:p>
        </w:tc>
        <w:tc>
          <w:tcPr>
            <w:tcW w:w="1101" w:type="dxa"/>
            <w:shd w:val="clear" w:color="auto" w:fill="D9E2F3"/>
            <w:vAlign w:val="center"/>
          </w:tcPr>
          <w:p w14:paraId="157967EF" w14:textId="77777777" w:rsidR="00B7540A" w:rsidRPr="00586097" w:rsidRDefault="00B7540A" w:rsidP="00920983">
            <w:pPr>
              <w:spacing w:line="276" w:lineRule="auto"/>
              <w:ind w:firstLine="0"/>
              <w:jc w:val="center"/>
            </w:pPr>
            <w:r w:rsidRPr="00586097">
              <w:t>-3.8</w:t>
            </w:r>
          </w:p>
        </w:tc>
      </w:tr>
      <w:tr w:rsidR="00D26A99" w:rsidRPr="00586097" w14:paraId="66734A60" w14:textId="77777777" w:rsidTr="00D26A99">
        <w:trPr>
          <w:trHeight w:val="258"/>
        </w:trPr>
        <w:tc>
          <w:tcPr>
            <w:tcW w:w="3495" w:type="dxa"/>
            <w:shd w:val="clear" w:color="auto" w:fill="auto"/>
            <w:noWrap/>
          </w:tcPr>
          <w:p w14:paraId="09EE9DA2" w14:textId="77777777" w:rsidR="00B7540A" w:rsidRPr="00586097" w:rsidRDefault="00B7540A" w:rsidP="00920983">
            <w:pPr>
              <w:spacing w:line="276" w:lineRule="auto"/>
              <w:ind w:firstLine="22"/>
              <w:rPr>
                <w:rFonts w:cs="Sylfaen"/>
                <w:u w:val="single"/>
              </w:rPr>
            </w:pPr>
            <w:r w:rsidRPr="00586097">
              <w:rPr>
                <w:rFonts w:cs="Sylfaen"/>
              </w:rPr>
              <w:t>Ապրանքների և ծառայությունների հաշվեկշիռ</w:t>
            </w:r>
          </w:p>
        </w:tc>
        <w:tc>
          <w:tcPr>
            <w:tcW w:w="1080" w:type="dxa"/>
            <w:vAlign w:val="center"/>
          </w:tcPr>
          <w:p w14:paraId="22220DF8" w14:textId="77777777" w:rsidR="00B7540A" w:rsidRPr="00586097" w:rsidRDefault="00B7540A" w:rsidP="00920983">
            <w:pPr>
              <w:spacing w:line="276" w:lineRule="auto"/>
              <w:ind w:firstLine="0"/>
              <w:jc w:val="center"/>
            </w:pPr>
            <w:r w:rsidRPr="00586097">
              <w:t>-13.6</w:t>
            </w:r>
          </w:p>
        </w:tc>
        <w:tc>
          <w:tcPr>
            <w:tcW w:w="1080" w:type="dxa"/>
            <w:vAlign w:val="center"/>
          </w:tcPr>
          <w:p w14:paraId="0F7EACD4" w14:textId="77777777" w:rsidR="00B7540A" w:rsidRPr="00586097" w:rsidRDefault="00B7540A" w:rsidP="00920983">
            <w:pPr>
              <w:spacing w:line="276" w:lineRule="auto"/>
              <w:ind w:firstLine="0"/>
              <w:jc w:val="center"/>
            </w:pPr>
            <w:r w:rsidRPr="00586097">
              <w:t>-13.2</w:t>
            </w:r>
          </w:p>
        </w:tc>
        <w:tc>
          <w:tcPr>
            <w:tcW w:w="990" w:type="dxa"/>
            <w:vAlign w:val="center"/>
          </w:tcPr>
          <w:p w14:paraId="09B8EA4E" w14:textId="77777777" w:rsidR="00B7540A" w:rsidRPr="00586097" w:rsidRDefault="00B7540A" w:rsidP="00920983">
            <w:pPr>
              <w:spacing w:line="276" w:lineRule="auto"/>
              <w:ind w:firstLine="0"/>
              <w:jc w:val="center"/>
            </w:pPr>
            <w:r w:rsidRPr="00586097">
              <w:t>-9.9</w:t>
            </w:r>
          </w:p>
        </w:tc>
        <w:tc>
          <w:tcPr>
            <w:tcW w:w="1260" w:type="dxa"/>
            <w:shd w:val="clear" w:color="auto" w:fill="D9E2F3"/>
            <w:vAlign w:val="center"/>
          </w:tcPr>
          <w:p w14:paraId="16016909" w14:textId="77777777" w:rsidR="00B7540A" w:rsidRPr="00586097" w:rsidRDefault="00B7540A" w:rsidP="00920983">
            <w:pPr>
              <w:spacing w:line="276" w:lineRule="auto"/>
              <w:ind w:firstLine="0"/>
              <w:jc w:val="center"/>
            </w:pPr>
            <w:r w:rsidRPr="00586097">
              <w:t>-10.3</w:t>
            </w:r>
          </w:p>
        </w:tc>
        <w:tc>
          <w:tcPr>
            <w:tcW w:w="1080" w:type="dxa"/>
            <w:shd w:val="clear" w:color="auto" w:fill="D9E2F3"/>
            <w:vAlign w:val="center"/>
          </w:tcPr>
          <w:p w14:paraId="4F2748AC" w14:textId="77777777" w:rsidR="00B7540A" w:rsidRPr="00586097" w:rsidRDefault="00B7540A" w:rsidP="00920983">
            <w:pPr>
              <w:spacing w:line="276" w:lineRule="auto"/>
              <w:ind w:firstLine="0"/>
              <w:jc w:val="center"/>
            </w:pPr>
            <w:r w:rsidRPr="00586097">
              <w:t>-10.9</w:t>
            </w:r>
          </w:p>
        </w:tc>
        <w:tc>
          <w:tcPr>
            <w:tcW w:w="990" w:type="dxa"/>
            <w:shd w:val="clear" w:color="auto" w:fill="D9E2F3"/>
            <w:vAlign w:val="center"/>
          </w:tcPr>
          <w:p w14:paraId="311BD67C" w14:textId="77777777" w:rsidR="00B7540A" w:rsidRPr="00586097" w:rsidRDefault="00B7540A" w:rsidP="00920983">
            <w:pPr>
              <w:spacing w:line="276" w:lineRule="auto"/>
              <w:ind w:firstLine="0"/>
              <w:jc w:val="center"/>
            </w:pPr>
            <w:r w:rsidRPr="00586097">
              <w:t>-11.0</w:t>
            </w:r>
          </w:p>
        </w:tc>
        <w:tc>
          <w:tcPr>
            <w:tcW w:w="1101" w:type="dxa"/>
            <w:shd w:val="clear" w:color="auto" w:fill="D9E2F3"/>
            <w:vAlign w:val="center"/>
          </w:tcPr>
          <w:p w14:paraId="14003162" w14:textId="77777777" w:rsidR="00B7540A" w:rsidRPr="00586097" w:rsidRDefault="00B7540A" w:rsidP="00920983">
            <w:pPr>
              <w:spacing w:line="276" w:lineRule="auto"/>
              <w:ind w:firstLine="0"/>
              <w:jc w:val="center"/>
            </w:pPr>
            <w:r w:rsidRPr="00586097">
              <w:t>-10.8</w:t>
            </w:r>
          </w:p>
        </w:tc>
      </w:tr>
      <w:tr w:rsidR="00D26A99" w:rsidRPr="00586097" w14:paraId="5724E941" w14:textId="77777777" w:rsidTr="00D26A99">
        <w:trPr>
          <w:trHeight w:val="258"/>
        </w:trPr>
        <w:tc>
          <w:tcPr>
            <w:tcW w:w="3495" w:type="dxa"/>
            <w:shd w:val="clear" w:color="auto" w:fill="auto"/>
          </w:tcPr>
          <w:p w14:paraId="6FF9338B" w14:textId="77777777" w:rsidR="00B7540A" w:rsidRPr="00586097" w:rsidRDefault="00B7540A" w:rsidP="00920983">
            <w:pPr>
              <w:spacing w:line="276" w:lineRule="auto"/>
              <w:ind w:firstLine="22"/>
              <w:rPr>
                <w:rFonts w:cs="Sylfaen"/>
              </w:rPr>
            </w:pPr>
            <w:r w:rsidRPr="00586097">
              <w:rPr>
                <w:rFonts w:cs="Sylfaen"/>
              </w:rPr>
              <w:t>Արտահանում</w:t>
            </w:r>
          </w:p>
        </w:tc>
        <w:tc>
          <w:tcPr>
            <w:tcW w:w="1080" w:type="dxa"/>
          </w:tcPr>
          <w:p w14:paraId="463B4033" w14:textId="77777777" w:rsidR="00B7540A" w:rsidRPr="00586097" w:rsidRDefault="00B7540A" w:rsidP="00920983">
            <w:pPr>
              <w:spacing w:line="276" w:lineRule="auto"/>
              <w:jc w:val="center"/>
            </w:pPr>
            <w:r w:rsidRPr="00586097">
              <w:t>39.7</w:t>
            </w:r>
          </w:p>
        </w:tc>
        <w:tc>
          <w:tcPr>
            <w:tcW w:w="1080" w:type="dxa"/>
          </w:tcPr>
          <w:p w14:paraId="6A1AC329" w14:textId="77777777" w:rsidR="00B7540A" w:rsidRPr="00586097" w:rsidRDefault="00B7540A" w:rsidP="00920983">
            <w:pPr>
              <w:spacing w:line="276" w:lineRule="auto"/>
              <w:ind w:firstLine="4"/>
              <w:jc w:val="center"/>
            </w:pPr>
            <w:r w:rsidRPr="00586097">
              <w:t>42.0</w:t>
            </w:r>
          </w:p>
        </w:tc>
        <w:tc>
          <w:tcPr>
            <w:tcW w:w="990" w:type="dxa"/>
          </w:tcPr>
          <w:p w14:paraId="1FBDE58C" w14:textId="77777777" w:rsidR="00B7540A" w:rsidRPr="00586097" w:rsidRDefault="00B7540A" w:rsidP="00920983">
            <w:pPr>
              <w:spacing w:line="276" w:lineRule="auto"/>
              <w:ind w:firstLine="4"/>
              <w:jc w:val="center"/>
            </w:pPr>
            <w:r w:rsidRPr="00586097">
              <w:t>29.8</w:t>
            </w:r>
          </w:p>
        </w:tc>
        <w:tc>
          <w:tcPr>
            <w:tcW w:w="1260" w:type="dxa"/>
            <w:shd w:val="clear" w:color="auto" w:fill="D9E2F3"/>
          </w:tcPr>
          <w:p w14:paraId="531BE3AE" w14:textId="77777777" w:rsidR="00B7540A" w:rsidRPr="00586097" w:rsidRDefault="00B7540A" w:rsidP="00920983">
            <w:pPr>
              <w:spacing w:line="276" w:lineRule="auto"/>
              <w:ind w:firstLine="4"/>
              <w:jc w:val="center"/>
            </w:pPr>
            <w:r w:rsidRPr="00586097">
              <w:t>32.9</w:t>
            </w:r>
          </w:p>
        </w:tc>
        <w:tc>
          <w:tcPr>
            <w:tcW w:w="1080" w:type="dxa"/>
            <w:shd w:val="clear" w:color="auto" w:fill="D9E2F3"/>
          </w:tcPr>
          <w:p w14:paraId="6FFA7069" w14:textId="77777777" w:rsidR="00B7540A" w:rsidRPr="00586097" w:rsidRDefault="00B7540A" w:rsidP="00920983">
            <w:pPr>
              <w:spacing w:line="276" w:lineRule="auto"/>
              <w:ind w:firstLine="4"/>
              <w:jc w:val="center"/>
            </w:pPr>
            <w:r w:rsidRPr="00586097">
              <w:t>34.8</w:t>
            </w:r>
          </w:p>
        </w:tc>
        <w:tc>
          <w:tcPr>
            <w:tcW w:w="990" w:type="dxa"/>
            <w:shd w:val="clear" w:color="auto" w:fill="D9E2F3"/>
          </w:tcPr>
          <w:p w14:paraId="75B7630E" w14:textId="77777777" w:rsidR="00B7540A" w:rsidRPr="00586097" w:rsidRDefault="00B7540A" w:rsidP="00920983">
            <w:pPr>
              <w:spacing w:line="276" w:lineRule="auto"/>
              <w:ind w:firstLine="4"/>
              <w:jc w:val="center"/>
            </w:pPr>
            <w:r w:rsidRPr="00586097">
              <w:t>36.3</w:t>
            </w:r>
          </w:p>
        </w:tc>
        <w:tc>
          <w:tcPr>
            <w:tcW w:w="1101" w:type="dxa"/>
            <w:shd w:val="clear" w:color="auto" w:fill="D9E2F3"/>
          </w:tcPr>
          <w:p w14:paraId="175FF41E" w14:textId="77777777" w:rsidR="00B7540A" w:rsidRPr="00586097" w:rsidRDefault="00B7540A" w:rsidP="00920983">
            <w:pPr>
              <w:spacing w:line="276" w:lineRule="auto"/>
              <w:ind w:firstLine="4"/>
              <w:jc w:val="center"/>
            </w:pPr>
            <w:r w:rsidRPr="00586097">
              <w:t>37.2</w:t>
            </w:r>
          </w:p>
        </w:tc>
      </w:tr>
      <w:tr w:rsidR="00D26A99" w:rsidRPr="00586097" w14:paraId="3327B33F" w14:textId="77777777" w:rsidTr="00D26A99">
        <w:trPr>
          <w:trHeight w:val="258"/>
        </w:trPr>
        <w:tc>
          <w:tcPr>
            <w:tcW w:w="3495" w:type="dxa"/>
            <w:shd w:val="clear" w:color="auto" w:fill="auto"/>
          </w:tcPr>
          <w:p w14:paraId="3E1551F5" w14:textId="77777777" w:rsidR="00B7540A" w:rsidRPr="00586097" w:rsidRDefault="00B7540A" w:rsidP="00920983">
            <w:pPr>
              <w:spacing w:line="276" w:lineRule="auto"/>
              <w:ind w:firstLine="22"/>
              <w:rPr>
                <w:rFonts w:cs="Sylfaen"/>
              </w:rPr>
            </w:pPr>
            <w:r w:rsidRPr="00586097">
              <w:rPr>
                <w:rFonts w:cs="Sylfaen"/>
              </w:rPr>
              <w:t>Ներմուծում</w:t>
            </w:r>
          </w:p>
        </w:tc>
        <w:tc>
          <w:tcPr>
            <w:tcW w:w="1080" w:type="dxa"/>
          </w:tcPr>
          <w:p w14:paraId="52F5FAB2" w14:textId="77777777" w:rsidR="00B7540A" w:rsidRPr="00586097" w:rsidRDefault="00B7540A" w:rsidP="00920983">
            <w:pPr>
              <w:spacing w:line="276" w:lineRule="auto"/>
              <w:jc w:val="center"/>
            </w:pPr>
            <w:r w:rsidRPr="00586097">
              <w:t>53.3</w:t>
            </w:r>
          </w:p>
        </w:tc>
        <w:tc>
          <w:tcPr>
            <w:tcW w:w="1080" w:type="dxa"/>
          </w:tcPr>
          <w:p w14:paraId="419F5E93" w14:textId="77777777" w:rsidR="00B7540A" w:rsidRPr="00586097" w:rsidRDefault="00B7540A" w:rsidP="00920983">
            <w:pPr>
              <w:spacing w:line="276" w:lineRule="auto"/>
              <w:ind w:firstLine="4"/>
              <w:jc w:val="center"/>
            </w:pPr>
            <w:r w:rsidRPr="00586097">
              <w:t>55.2</w:t>
            </w:r>
          </w:p>
        </w:tc>
        <w:tc>
          <w:tcPr>
            <w:tcW w:w="990" w:type="dxa"/>
          </w:tcPr>
          <w:p w14:paraId="19FBF410" w14:textId="77777777" w:rsidR="00B7540A" w:rsidRPr="00586097" w:rsidRDefault="00B7540A" w:rsidP="00920983">
            <w:pPr>
              <w:spacing w:line="276" w:lineRule="auto"/>
              <w:ind w:firstLine="4"/>
              <w:jc w:val="center"/>
            </w:pPr>
            <w:r w:rsidRPr="00586097">
              <w:t>39.7</w:t>
            </w:r>
          </w:p>
        </w:tc>
        <w:tc>
          <w:tcPr>
            <w:tcW w:w="1260" w:type="dxa"/>
            <w:shd w:val="clear" w:color="auto" w:fill="D9E2F3"/>
          </w:tcPr>
          <w:p w14:paraId="71CEC84D" w14:textId="77777777" w:rsidR="00B7540A" w:rsidRPr="00586097" w:rsidRDefault="00B7540A" w:rsidP="00920983">
            <w:pPr>
              <w:spacing w:line="276" w:lineRule="auto"/>
              <w:ind w:firstLine="4"/>
              <w:jc w:val="center"/>
            </w:pPr>
            <w:r w:rsidRPr="00586097">
              <w:t>43.2</w:t>
            </w:r>
          </w:p>
        </w:tc>
        <w:tc>
          <w:tcPr>
            <w:tcW w:w="1080" w:type="dxa"/>
            <w:shd w:val="clear" w:color="auto" w:fill="D9E2F3"/>
          </w:tcPr>
          <w:p w14:paraId="24E71E8C" w14:textId="77777777" w:rsidR="00B7540A" w:rsidRPr="00586097" w:rsidRDefault="00B7540A" w:rsidP="00920983">
            <w:pPr>
              <w:spacing w:line="276" w:lineRule="auto"/>
              <w:ind w:firstLine="4"/>
              <w:jc w:val="center"/>
            </w:pPr>
            <w:r w:rsidRPr="00586097">
              <w:t>45.7</w:t>
            </w:r>
          </w:p>
        </w:tc>
        <w:tc>
          <w:tcPr>
            <w:tcW w:w="990" w:type="dxa"/>
            <w:shd w:val="clear" w:color="auto" w:fill="D9E2F3"/>
          </w:tcPr>
          <w:p w14:paraId="518B9BFA" w14:textId="77777777" w:rsidR="00B7540A" w:rsidRPr="00586097" w:rsidRDefault="00B7540A" w:rsidP="00920983">
            <w:pPr>
              <w:spacing w:line="276" w:lineRule="auto"/>
              <w:ind w:firstLine="4"/>
              <w:jc w:val="center"/>
            </w:pPr>
            <w:r w:rsidRPr="00586097">
              <w:t>47.3</w:t>
            </w:r>
          </w:p>
        </w:tc>
        <w:tc>
          <w:tcPr>
            <w:tcW w:w="1101" w:type="dxa"/>
            <w:shd w:val="clear" w:color="auto" w:fill="D9E2F3"/>
          </w:tcPr>
          <w:p w14:paraId="73EBABB8" w14:textId="77777777" w:rsidR="00B7540A" w:rsidRPr="00586097" w:rsidRDefault="00B7540A" w:rsidP="00920983">
            <w:pPr>
              <w:spacing w:line="276" w:lineRule="auto"/>
              <w:ind w:firstLine="4"/>
              <w:jc w:val="center"/>
            </w:pPr>
            <w:r w:rsidRPr="00586097">
              <w:t>48.0</w:t>
            </w:r>
          </w:p>
        </w:tc>
      </w:tr>
      <w:tr w:rsidR="00D26A99" w:rsidRPr="00586097" w14:paraId="4864C597" w14:textId="77777777" w:rsidTr="00D26A99">
        <w:trPr>
          <w:trHeight w:val="258"/>
        </w:trPr>
        <w:tc>
          <w:tcPr>
            <w:tcW w:w="3495" w:type="dxa"/>
            <w:shd w:val="clear" w:color="auto" w:fill="auto"/>
          </w:tcPr>
          <w:p w14:paraId="1514460A" w14:textId="77777777" w:rsidR="00B7540A" w:rsidRPr="00586097" w:rsidRDefault="00B7540A" w:rsidP="00920983">
            <w:pPr>
              <w:spacing w:line="276" w:lineRule="auto"/>
              <w:ind w:firstLine="22"/>
              <w:rPr>
                <w:rFonts w:cs="Sylfaen"/>
              </w:rPr>
            </w:pPr>
            <w:r w:rsidRPr="00586097">
              <w:rPr>
                <w:rFonts w:cs="Sylfaen"/>
              </w:rPr>
              <w:t>Դրամական փոխանցումներ</w:t>
            </w:r>
          </w:p>
        </w:tc>
        <w:tc>
          <w:tcPr>
            <w:tcW w:w="1080" w:type="dxa"/>
          </w:tcPr>
          <w:p w14:paraId="45CFB26B" w14:textId="77777777" w:rsidR="00B7540A" w:rsidRPr="00586097" w:rsidRDefault="00B7540A" w:rsidP="00920983">
            <w:pPr>
              <w:spacing w:line="276" w:lineRule="auto"/>
              <w:jc w:val="center"/>
            </w:pPr>
            <w:r w:rsidRPr="00586097">
              <w:t>9.1</w:t>
            </w:r>
          </w:p>
        </w:tc>
        <w:tc>
          <w:tcPr>
            <w:tcW w:w="1080" w:type="dxa"/>
          </w:tcPr>
          <w:p w14:paraId="4BFC82F8" w14:textId="77777777" w:rsidR="00B7540A" w:rsidRPr="00586097" w:rsidRDefault="00B7540A" w:rsidP="00920983">
            <w:pPr>
              <w:spacing w:line="276" w:lineRule="auto"/>
              <w:ind w:firstLine="4"/>
              <w:jc w:val="center"/>
            </w:pPr>
            <w:r w:rsidRPr="00586097">
              <w:t>8.4</w:t>
            </w:r>
          </w:p>
        </w:tc>
        <w:tc>
          <w:tcPr>
            <w:tcW w:w="990" w:type="dxa"/>
          </w:tcPr>
          <w:p w14:paraId="3139449A" w14:textId="77777777" w:rsidR="00B7540A" w:rsidRPr="00586097" w:rsidRDefault="00B7540A" w:rsidP="00920983">
            <w:pPr>
              <w:spacing w:line="276" w:lineRule="auto"/>
              <w:ind w:firstLine="4"/>
              <w:jc w:val="center"/>
            </w:pPr>
            <w:r w:rsidRPr="00586097">
              <w:t>8.2</w:t>
            </w:r>
          </w:p>
        </w:tc>
        <w:tc>
          <w:tcPr>
            <w:tcW w:w="1260" w:type="dxa"/>
            <w:shd w:val="clear" w:color="auto" w:fill="D9E2F3"/>
          </w:tcPr>
          <w:p w14:paraId="7D099FFC" w14:textId="77777777" w:rsidR="00B7540A" w:rsidRPr="00586097" w:rsidRDefault="00B7540A" w:rsidP="00920983">
            <w:pPr>
              <w:spacing w:line="276" w:lineRule="auto"/>
              <w:ind w:firstLine="4"/>
              <w:jc w:val="center"/>
            </w:pPr>
            <w:r w:rsidRPr="00586097">
              <w:t>10.4</w:t>
            </w:r>
          </w:p>
        </w:tc>
        <w:tc>
          <w:tcPr>
            <w:tcW w:w="1080" w:type="dxa"/>
            <w:shd w:val="clear" w:color="auto" w:fill="D9E2F3"/>
          </w:tcPr>
          <w:p w14:paraId="754B70CB" w14:textId="77777777" w:rsidR="00B7540A" w:rsidRPr="00586097" w:rsidRDefault="00B7540A" w:rsidP="00920983">
            <w:pPr>
              <w:spacing w:line="276" w:lineRule="auto"/>
              <w:ind w:firstLine="4"/>
              <w:jc w:val="center"/>
            </w:pPr>
            <w:r w:rsidRPr="00586097">
              <w:t>10.0</w:t>
            </w:r>
          </w:p>
        </w:tc>
        <w:tc>
          <w:tcPr>
            <w:tcW w:w="990" w:type="dxa"/>
            <w:shd w:val="clear" w:color="auto" w:fill="D9E2F3"/>
          </w:tcPr>
          <w:p w14:paraId="6A330B76" w14:textId="77777777" w:rsidR="00B7540A" w:rsidRPr="00586097" w:rsidRDefault="00B7540A" w:rsidP="00920983">
            <w:pPr>
              <w:spacing w:line="276" w:lineRule="auto"/>
              <w:ind w:firstLine="4"/>
              <w:jc w:val="center"/>
            </w:pPr>
            <w:r w:rsidRPr="00586097">
              <w:t>9.8</w:t>
            </w:r>
          </w:p>
        </w:tc>
        <w:tc>
          <w:tcPr>
            <w:tcW w:w="1101" w:type="dxa"/>
            <w:shd w:val="clear" w:color="auto" w:fill="D9E2F3"/>
          </w:tcPr>
          <w:p w14:paraId="434BA77A" w14:textId="77777777" w:rsidR="00B7540A" w:rsidRPr="00586097" w:rsidRDefault="00B7540A" w:rsidP="00920983">
            <w:pPr>
              <w:spacing w:line="276" w:lineRule="auto"/>
              <w:ind w:firstLine="4"/>
              <w:jc w:val="center"/>
            </w:pPr>
            <w:r w:rsidRPr="00586097">
              <w:t>9.6</w:t>
            </w:r>
          </w:p>
        </w:tc>
      </w:tr>
    </w:tbl>
    <w:p w14:paraId="5CFD1CA0" w14:textId="77777777" w:rsidR="00B7540A" w:rsidRPr="00586097" w:rsidRDefault="00B7540A" w:rsidP="00B7540A">
      <w:pPr>
        <w:pStyle w:val="a"/>
        <w:numPr>
          <w:ilvl w:val="0"/>
          <w:numId w:val="0"/>
        </w:numPr>
        <w:spacing w:line="276" w:lineRule="auto"/>
        <w:rPr>
          <w:sz w:val="22"/>
        </w:rPr>
      </w:pPr>
    </w:p>
    <w:p w14:paraId="7540201B" w14:textId="77777777" w:rsidR="00B7540A" w:rsidRPr="00586097" w:rsidRDefault="00B7540A" w:rsidP="00B7540A">
      <w:pPr>
        <w:spacing w:before="0" w:after="160" w:line="276" w:lineRule="auto"/>
        <w:ind w:firstLine="0"/>
        <w:jc w:val="left"/>
        <w:rPr>
          <w:b/>
          <w:caps/>
          <w:color w:val="0070C0"/>
        </w:rPr>
      </w:pPr>
      <w:r w:rsidRPr="00586097">
        <w:br w:type="page"/>
      </w:r>
    </w:p>
    <w:p w14:paraId="381CA0EC" w14:textId="77777777" w:rsidR="00B7540A" w:rsidRPr="00B7540A" w:rsidRDefault="00B7540A" w:rsidP="00B7540A">
      <w:pPr>
        <w:pStyle w:val="Heading3"/>
        <w:rPr>
          <w:rFonts w:cs="Sylfaen"/>
          <w:bCs/>
          <w:caps w:val="0"/>
          <w:color w:val="1F497D" w:themeColor="text2"/>
          <w:sz w:val="28"/>
          <w:szCs w:val="28"/>
        </w:rPr>
      </w:pPr>
      <w:bookmarkStart w:id="176" w:name="_Toc77451192"/>
      <w:bookmarkStart w:id="177" w:name="_Toc77837844"/>
      <w:r w:rsidRPr="00B7540A">
        <w:rPr>
          <w:rFonts w:cs="Sylfaen"/>
          <w:bCs/>
          <w:caps w:val="0"/>
          <w:color w:val="1F497D" w:themeColor="text2"/>
          <w:sz w:val="28"/>
          <w:szCs w:val="28"/>
        </w:rPr>
        <w:t>1.2. ՀԱՄԱՇԽԱՐՀԱՅԻՆ ՏՆՏԵՍՈՒԹՅԱՆ ԵՎ ԳՈՐԾԸՆԿԵՐ ԵՐԿՐՆԵՐԻ ԶԱՐԳԱՑՈՒՄՆԵՐ ԵՎ ԿԱՆԽԱՏԵՍՈՒՄՆԵՐ</w:t>
      </w:r>
      <w:bookmarkEnd w:id="175"/>
      <w:bookmarkEnd w:id="176"/>
      <w:bookmarkEnd w:id="177"/>
    </w:p>
    <w:p w14:paraId="3D5653FA" w14:textId="77777777" w:rsidR="00B7540A" w:rsidRPr="00B7540A" w:rsidRDefault="00B7540A" w:rsidP="00B7540A">
      <w:pPr>
        <w:spacing w:line="276" w:lineRule="auto"/>
        <w:rPr>
          <w:rFonts w:cs="Courier New"/>
          <w:lang w:val="hy-AM"/>
        </w:rPr>
      </w:pPr>
      <w:r w:rsidRPr="00B7540A">
        <w:rPr>
          <w:rFonts w:eastAsia="Calibri"/>
          <w:b/>
          <w:bCs/>
          <w:lang w:val="hy-AM"/>
        </w:rPr>
        <w:t>Համաշխարհային տնտեսությունը՝ կորոնավիրուսի համավարակի (COVID-19) հետևանքով առաջացած խորը անկումից հետո, սկսել  է արագ վերականգնվել:</w:t>
      </w:r>
      <w:r w:rsidRPr="00B7540A">
        <w:rPr>
          <w:rFonts w:eastAsia="Calibri"/>
          <w:lang w:val="hy-AM"/>
        </w:rPr>
        <w:t xml:space="preserve"> </w:t>
      </w:r>
      <w:r w:rsidRPr="00B7540A">
        <w:rPr>
          <w:rFonts w:cs="Courier New"/>
          <w:lang w:val="hy-AM"/>
        </w:rPr>
        <w:t xml:space="preserve">Համավարակը խաթարեց </w:t>
      </w:r>
      <w:r w:rsidRPr="00B7540A">
        <w:rPr>
          <w:rFonts w:eastAsia="Calibri"/>
          <w:lang w:val="hy-AM"/>
        </w:rPr>
        <w:t>համաշխարհային տնտեսության բնականոն զարգացումն</w:t>
      </w:r>
      <w:r w:rsidRPr="00B7540A">
        <w:rPr>
          <w:rFonts w:cs="Sylfaen"/>
          <w:lang w:val="hy-AM"/>
        </w:rPr>
        <w:t xml:space="preserve"> ինչպես</w:t>
      </w:r>
      <w:r w:rsidRPr="00B7540A">
        <w:rPr>
          <w:rFonts w:cs="Courier New"/>
          <w:lang w:val="hy-AM"/>
        </w:rPr>
        <w:t xml:space="preserve"> </w:t>
      </w:r>
      <w:r w:rsidRPr="00B7540A">
        <w:rPr>
          <w:rFonts w:cs="Sylfaen"/>
          <w:lang w:val="hy-AM"/>
        </w:rPr>
        <w:t>զարգացած</w:t>
      </w:r>
      <w:r w:rsidRPr="00B7540A">
        <w:rPr>
          <w:rFonts w:cs="Courier New"/>
          <w:lang w:val="hy-AM"/>
        </w:rPr>
        <w:t xml:space="preserve">, </w:t>
      </w:r>
      <w:r w:rsidRPr="00B7540A">
        <w:rPr>
          <w:rFonts w:cs="Sylfaen"/>
          <w:lang w:val="hy-AM"/>
        </w:rPr>
        <w:t>այնպես</w:t>
      </w:r>
      <w:r w:rsidRPr="00B7540A">
        <w:rPr>
          <w:rFonts w:cs="Courier New"/>
          <w:lang w:val="hy-AM"/>
        </w:rPr>
        <w:t xml:space="preserve"> </w:t>
      </w:r>
      <w:r w:rsidRPr="00B7540A">
        <w:rPr>
          <w:rFonts w:cs="Sylfaen"/>
          <w:lang w:val="hy-AM"/>
        </w:rPr>
        <w:t>էլ</w:t>
      </w:r>
      <w:r w:rsidRPr="00B7540A">
        <w:rPr>
          <w:rFonts w:cs="Courier New"/>
          <w:lang w:val="hy-AM"/>
        </w:rPr>
        <w:t xml:space="preserve"> </w:t>
      </w:r>
      <w:r w:rsidRPr="00B7540A">
        <w:rPr>
          <w:rFonts w:cs="Sylfaen"/>
          <w:lang w:val="hy-AM"/>
        </w:rPr>
        <w:t>զարգացող երկրներում</w:t>
      </w:r>
      <w:r w:rsidRPr="00B7540A">
        <w:rPr>
          <w:rFonts w:eastAsia="Calibri"/>
          <w:lang w:val="hy-AM"/>
        </w:rPr>
        <w:t xml:space="preserve">՝ հանգեցնելով ամբողջ աշխարհում առողջապահական և տնտեսական ճգնաժամի։ </w:t>
      </w:r>
      <w:r w:rsidRPr="00B7540A">
        <w:rPr>
          <w:rFonts w:cs="Sylfaen"/>
          <w:lang w:val="hy-AM"/>
        </w:rPr>
        <w:t>ԱՄՀ</w:t>
      </w:r>
      <w:r w:rsidRPr="00B7540A">
        <w:rPr>
          <w:rFonts w:cs="Courier New"/>
          <w:lang w:val="hy-AM"/>
        </w:rPr>
        <w:t xml:space="preserve"> </w:t>
      </w:r>
      <w:r w:rsidRPr="00B7540A">
        <w:rPr>
          <w:rFonts w:cs="Sylfaen"/>
          <w:lang w:val="hy-AM"/>
        </w:rPr>
        <w:t xml:space="preserve">գնահատականներով </w:t>
      </w:r>
      <w:r w:rsidRPr="00B7540A">
        <w:rPr>
          <w:rFonts w:cs="Courier New"/>
          <w:lang w:val="hy-AM"/>
        </w:rPr>
        <w:t xml:space="preserve">2020թ. համաշխարհային տնտեսական անկումը </w:t>
      </w:r>
      <w:r w:rsidRPr="00B7540A">
        <w:rPr>
          <w:rFonts w:cs="Sylfaen"/>
          <w:lang w:val="hy-AM"/>
        </w:rPr>
        <w:t xml:space="preserve">կազմել է 3.3%, իսկ </w:t>
      </w:r>
      <w:r w:rsidRPr="00B7540A">
        <w:rPr>
          <w:rFonts w:cs="Courier New"/>
          <w:lang w:val="hy-AM"/>
        </w:rPr>
        <w:t xml:space="preserve">ՀՀ հիմնական գործընկեր երկրներից ՌԴ-ում գրանցվել է 3.1% անկում, Եվրոգոտում 6.6%, ԱՄՆ-ում 3.5% և միայն Չինաստանի տնտեսությունն է գրանցել  2.3% աճ: </w:t>
      </w:r>
    </w:p>
    <w:p w14:paraId="33E07A48" w14:textId="77777777" w:rsidR="00B7540A" w:rsidRPr="00B7540A" w:rsidRDefault="00B7540A" w:rsidP="00B7540A">
      <w:pPr>
        <w:spacing w:line="276" w:lineRule="auto"/>
        <w:rPr>
          <w:rFonts w:eastAsia="GHEA Grapalat"/>
          <w:noProof/>
          <w:lang w:val="hy-AM"/>
        </w:rPr>
      </w:pPr>
      <w:r w:rsidRPr="00B7540A">
        <w:rPr>
          <w:rFonts w:eastAsia="GHEA Grapalat"/>
          <w:b/>
          <w:bCs/>
          <w:noProof/>
          <w:lang w:val="hy-AM"/>
        </w:rPr>
        <w:t>2021թ. առաջին եռամսյակում ՀՀ հիմնական գործընկեր երկրների մեծ մասում գրանցվել է տնտեսական աճ:</w:t>
      </w:r>
      <w:r w:rsidRPr="00B7540A">
        <w:rPr>
          <w:rFonts w:eastAsia="GHEA Grapalat"/>
          <w:noProof/>
          <w:lang w:val="hy-AM"/>
        </w:rPr>
        <w:t xml:space="preserve"> Այսպես, 2021թ. առաջին եռամսյակում նախորդ տարվա համապատասխան եռամսյակի նկատմամբ ԱՄՆ տնտեսությունը գրանցել է 0.4% աճ, որին նպաստում են ունեցել իրականացված խթանող մակրոտնտեսական քաղաքականությունները և սահմանափակումների աստիճանական վերացումը, իսկ Չինաստանի տնտեսությունը գրանցել է 18.3% աճ: 2021թ. առաջին եռամսյակում Եվորգոտու տնտեսությունը ունեցել է 1.3% անկում՝ սահմանափակումների որոշակի խստացման պայմաններում, իսկ ՌԴ  տնտեսությունը գրանցել է 0.7% անկում</w:t>
      </w:r>
      <w:r w:rsidRPr="00586097">
        <w:rPr>
          <w:rStyle w:val="FootnoteReference"/>
          <w:rFonts w:eastAsia="GHEA Grapalat" w:cs="GHEA Grapalat"/>
          <w:noProof/>
        </w:rPr>
        <w:footnoteReference w:id="3"/>
      </w:r>
      <w:r w:rsidRPr="00B7540A">
        <w:rPr>
          <w:rFonts w:eastAsia="GHEA Grapalat"/>
          <w:noProof/>
          <w:lang w:val="hy-AM"/>
        </w:rPr>
        <w:t>:</w:t>
      </w:r>
    </w:p>
    <w:p w14:paraId="45BFFB8A" w14:textId="77777777" w:rsidR="00B7540A" w:rsidRPr="00B7540A" w:rsidRDefault="00B7540A" w:rsidP="00B7540A">
      <w:pPr>
        <w:spacing w:line="276" w:lineRule="auto"/>
        <w:rPr>
          <w:lang w:val="hy-AM"/>
        </w:rPr>
      </w:pPr>
      <w:r w:rsidRPr="00B7540A">
        <w:rPr>
          <w:b/>
          <w:u w:val="single"/>
          <w:lang w:val="hy-AM"/>
        </w:rPr>
        <w:t>Կանխատեսում:</w:t>
      </w:r>
      <w:r w:rsidRPr="00B7540A">
        <w:rPr>
          <w:lang w:val="hy-AM"/>
        </w:rPr>
        <w:t xml:space="preserve"> </w:t>
      </w:r>
      <w:r w:rsidRPr="00B7540A">
        <w:rPr>
          <w:b/>
          <w:bCs/>
          <w:lang w:val="hy-AM"/>
        </w:rPr>
        <w:t>ԱՄՀ ապրիլ ամսվա կանխատեսումների համաձայն 2021թ</w:t>
      </w:r>
      <w:r w:rsidRPr="00B7540A">
        <w:rPr>
          <w:rFonts w:ascii="Cambria Math" w:hAnsi="Cambria Math" w:cs="Cambria Math"/>
          <w:b/>
          <w:bCs/>
          <w:lang w:val="hy-AM"/>
        </w:rPr>
        <w:t>․</w:t>
      </w:r>
      <w:r w:rsidRPr="00B7540A">
        <w:rPr>
          <w:b/>
          <w:bCs/>
          <w:lang w:val="hy-AM"/>
        </w:rPr>
        <w:t xml:space="preserve"> ՀՀ հիմնական գործընկեր երկրների տնտեսություններում տեղի կունենան վերականգման գործընթացներ՝ պայմանավորված կորոնավիրուսի ճգնաժամին հակազդելու նպատակով լայնածավալ հարկաբյուջետային միջոցառումների իրականացմամբ, դրամավարկային պայմանների մեղմացմամբ, սահմանափակումների աստիճանական վերացմամբ, համավարակի հաղթահարման նպատակով պատվաստանյութերի զանգվածային կիրառմամբ և հանքահումքային ապրանքների միջազգային գների բարձրացմամբ:</w:t>
      </w:r>
      <w:r w:rsidRPr="00B7540A" w:rsidDel="00EF70B0">
        <w:rPr>
          <w:lang w:val="hy-AM"/>
        </w:rPr>
        <w:t xml:space="preserve"> </w:t>
      </w:r>
      <w:r w:rsidRPr="00B7540A">
        <w:rPr>
          <w:lang w:val="hy-AM"/>
        </w:rPr>
        <w:t>2021թ. ՌԴ</w:t>
      </w:r>
      <w:r w:rsidRPr="00B7540A">
        <w:rPr>
          <w:lang w:val="hy-AM"/>
        </w:rPr>
        <w:noBreakHyphen/>
        <w:t>ում կանխատեսվում է 3.8%, Եվրոգոտում՝ 4.4, ԱՄՆ</w:t>
      </w:r>
      <w:r w:rsidRPr="00B7540A">
        <w:rPr>
          <w:lang w:val="hy-AM"/>
        </w:rPr>
        <w:noBreakHyphen/>
        <w:t>ում՝ 6.4, իսկ Չինաստանում 8.4% աճ: ԱՄՀ կանխատեսումների համաձայն 2022թ</w:t>
      </w:r>
      <w:r w:rsidRPr="00B7540A">
        <w:rPr>
          <w:rFonts w:ascii="Cambria Math" w:hAnsi="Cambria Math" w:cs="Cambria Math"/>
          <w:lang w:val="hy-AM"/>
        </w:rPr>
        <w:t>․</w:t>
      </w:r>
      <w:r w:rsidRPr="00B7540A">
        <w:rPr>
          <w:lang w:val="hy-AM"/>
        </w:rPr>
        <w:t xml:space="preserve"> համաշխարհային և ՀՀ գործընկեր երկրների տնտեսություններում հիմնականում կգրանցվեն ավելի բարձ տնտեսական աճեր, քան ներուժային աճերը և նախաճգնաժամային 2019թ</w:t>
      </w:r>
      <w:r w:rsidRPr="00B7540A">
        <w:rPr>
          <w:rFonts w:ascii="Cambria Math" w:hAnsi="Cambria Math" w:cs="Cambria Math"/>
          <w:lang w:val="hy-AM"/>
        </w:rPr>
        <w:t>․</w:t>
      </w:r>
      <w:r w:rsidRPr="00B7540A">
        <w:rPr>
          <w:lang w:val="hy-AM"/>
        </w:rPr>
        <w:t xml:space="preserve"> աճերը: Ընդ որում, ի</w:t>
      </w:r>
      <w:r w:rsidRPr="00B7540A">
        <w:rPr>
          <w:rFonts w:cs="Sylfaen"/>
          <w:lang w:val="hy-AM"/>
        </w:rPr>
        <w:t>նչպես համաշխարհային տնտեսության, այնպես էլ ՀՀ հիմնական գործընկեր երկրների 2021 և 2022թթ</w:t>
      </w:r>
      <w:r w:rsidRPr="00B7540A">
        <w:rPr>
          <w:rFonts w:ascii="Cambria Math" w:hAnsi="Cambria Math" w:cs="Cambria Math"/>
          <w:lang w:val="hy-AM"/>
        </w:rPr>
        <w:t>․</w:t>
      </w:r>
      <w:r w:rsidRPr="00B7540A">
        <w:rPr>
          <w:rFonts w:cs="Sylfaen"/>
          <w:lang w:val="hy-AM"/>
        </w:rPr>
        <w:t xml:space="preserve">  </w:t>
      </w:r>
      <w:r w:rsidRPr="00B7540A">
        <w:rPr>
          <w:rFonts w:cs="GHEA Grapalat"/>
          <w:lang w:val="hy-AM"/>
        </w:rPr>
        <w:t>ապրիլյան</w:t>
      </w:r>
      <w:r w:rsidRPr="00B7540A">
        <w:rPr>
          <w:rFonts w:cs="Sylfaen"/>
          <w:lang w:val="hy-AM"/>
        </w:rPr>
        <w:t xml:space="preserve"> </w:t>
      </w:r>
      <w:r w:rsidRPr="00B7540A">
        <w:rPr>
          <w:rFonts w:cs="GHEA Grapalat"/>
          <w:lang w:val="hy-AM"/>
        </w:rPr>
        <w:t>կանխատեսումները՝</w:t>
      </w:r>
      <w:r w:rsidRPr="00B7540A">
        <w:rPr>
          <w:rFonts w:cs="Sylfaen"/>
          <w:lang w:val="hy-AM"/>
        </w:rPr>
        <w:t xml:space="preserve"> հունվարի</w:t>
      </w:r>
      <w:r w:rsidRPr="00586097">
        <w:rPr>
          <w:rStyle w:val="FootnoteReference"/>
          <w:rFonts w:cs="Sylfaen"/>
        </w:rPr>
        <w:footnoteReference w:id="4"/>
      </w:r>
      <w:r w:rsidRPr="00B7540A">
        <w:rPr>
          <w:rFonts w:cs="Sylfaen"/>
          <w:lang w:val="hy-AM"/>
        </w:rPr>
        <w:t xml:space="preserve"> կանխատեսումների համեմատ վերանայվել են հիմնականում դեպի վերև</w:t>
      </w:r>
      <w:r w:rsidRPr="00B7540A">
        <w:rPr>
          <w:lang w:val="hy-AM"/>
        </w:rPr>
        <w:t xml:space="preserve"> (ավելի մանրամասն տե՛ս Աղյուսակ 1.2 -ում), պայմանավորված ընթացիկ տնտեսական զարգացումներով: Այնուամենայնիվ, սպասվում է, որ միայն 2022թ. վերջում տեղի կունենա համաշխարհային տնտեսության վերականգնում, այն էլ նոր՝ նախաճգնաժամային մակարդակից ցածր ներուժային մակարդակի պայմաններում, իսկ գործընկեր երկրներից (միություններից) ԵՄ-ը կվերականգնվի 2022թ. հետո:  </w:t>
      </w:r>
    </w:p>
    <w:p w14:paraId="7121BFBC" w14:textId="77777777" w:rsidR="00B7540A" w:rsidRPr="00586097" w:rsidRDefault="00B7540A" w:rsidP="00B7540A">
      <w:pPr>
        <w:pStyle w:val="afc"/>
        <w:spacing w:line="276" w:lineRule="auto"/>
      </w:pPr>
      <w:r w:rsidRPr="00586097">
        <w:t xml:space="preserve">Աղյուսակ </w:t>
      </w:r>
      <w:r w:rsidRPr="00586097">
        <w:rPr>
          <w:lang w:val="en-US"/>
        </w:rPr>
        <w:t>1.3</w:t>
      </w:r>
      <w:r w:rsidRPr="00586097">
        <w:t>. ԱՄՀ կանխատեսումներ</w:t>
      </w:r>
    </w:p>
    <w:tbl>
      <w:tblPr>
        <w:tblStyle w:val="MediumShading1-Accent111"/>
        <w:tblW w:w="0" w:type="auto"/>
        <w:tblLayout w:type="fixed"/>
        <w:tblLook w:val="04A0" w:firstRow="1" w:lastRow="0" w:firstColumn="1" w:lastColumn="0" w:noHBand="0" w:noVBand="1"/>
      </w:tblPr>
      <w:tblGrid>
        <w:gridCol w:w="2376"/>
        <w:gridCol w:w="851"/>
        <w:gridCol w:w="850"/>
        <w:gridCol w:w="851"/>
        <w:gridCol w:w="850"/>
        <w:gridCol w:w="851"/>
        <w:gridCol w:w="850"/>
        <w:gridCol w:w="851"/>
        <w:gridCol w:w="992"/>
        <w:gridCol w:w="928"/>
      </w:tblGrid>
      <w:tr w:rsidR="00B7540A" w:rsidRPr="00586097" w14:paraId="0C3819C9" w14:textId="77777777" w:rsidTr="00B754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36C59100" w14:textId="77777777" w:rsidR="00B7540A" w:rsidRPr="00586097" w:rsidRDefault="00B7540A" w:rsidP="00B7540A">
            <w:pPr>
              <w:spacing w:after="120" w:line="276" w:lineRule="auto"/>
              <w:ind w:firstLine="0"/>
              <w:rPr>
                <w:rFonts w:cs="Sylfaen"/>
                <w:bCs w:val="0"/>
                <w:i/>
                <w:color w:val="000000"/>
              </w:rPr>
            </w:pPr>
          </w:p>
        </w:tc>
        <w:tc>
          <w:tcPr>
            <w:tcW w:w="851" w:type="dxa"/>
            <w:tcBorders>
              <w:top w:val="single" w:sz="8" w:space="0" w:color="4472C4"/>
              <w:bottom w:val="single" w:sz="8" w:space="0" w:color="4472C4"/>
              <w:right w:val="single" w:sz="4" w:space="0" w:color="auto"/>
            </w:tcBorders>
            <w:shd w:val="clear" w:color="000000" w:fill="4472C4"/>
            <w:vAlign w:val="center"/>
          </w:tcPr>
          <w:p w14:paraId="545870A9" w14:textId="77777777" w:rsidR="00B7540A" w:rsidRPr="00586097" w:rsidRDefault="00B7540A" w:rsidP="00B7540A">
            <w:pPr>
              <w:spacing w:after="120" w:line="276" w:lineRule="auto"/>
              <w:ind w:firstLine="0"/>
              <w:jc w:val="center"/>
              <w:cnfStyle w:val="100000000000" w:firstRow="1" w:lastRow="0" w:firstColumn="0" w:lastColumn="0" w:oddVBand="0" w:evenVBand="0" w:oddHBand="0" w:evenHBand="0" w:firstRowFirstColumn="0" w:firstRowLastColumn="0" w:lastRowFirstColumn="0" w:lastRowLastColumn="0"/>
              <w:rPr>
                <w:rFonts w:cs="Sylfaen"/>
                <w:b w:val="0"/>
                <w:bCs w:val="0"/>
                <w:i/>
                <w:color w:val="000000"/>
              </w:rPr>
            </w:pPr>
            <w:r w:rsidRPr="00586097">
              <w:rPr>
                <w:rFonts w:cs="Calibri"/>
              </w:rPr>
              <w:t>2020</w:t>
            </w:r>
          </w:p>
        </w:tc>
        <w:tc>
          <w:tcPr>
            <w:tcW w:w="5103" w:type="dxa"/>
            <w:gridSpan w:val="6"/>
            <w:tcBorders>
              <w:top w:val="single" w:sz="8" w:space="0" w:color="4472C4"/>
              <w:left w:val="single" w:sz="4" w:space="0" w:color="auto"/>
              <w:bottom w:val="single" w:sz="8" w:space="0" w:color="4472C4"/>
              <w:right w:val="single" w:sz="8" w:space="0" w:color="000000"/>
            </w:tcBorders>
            <w:shd w:val="clear" w:color="000000" w:fill="4472C4"/>
            <w:vAlign w:val="center"/>
          </w:tcPr>
          <w:p w14:paraId="5FE6DE0E" w14:textId="77777777" w:rsidR="00B7540A" w:rsidRPr="00586097" w:rsidRDefault="00B7540A" w:rsidP="00B7540A">
            <w:pPr>
              <w:spacing w:after="120" w:line="276" w:lineRule="auto"/>
              <w:ind w:firstLine="0"/>
              <w:jc w:val="center"/>
              <w:cnfStyle w:val="100000000000" w:firstRow="1" w:lastRow="0" w:firstColumn="0" w:lastColumn="0" w:oddVBand="0" w:evenVBand="0" w:oddHBand="0" w:evenHBand="0" w:firstRowFirstColumn="0" w:firstRowLastColumn="0" w:lastRowFirstColumn="0" w:lastRowLastColumn="0"/>
              <w:rPr>
                <w:rFonts w:cs="Sylfaen"/>
                <w:b w:val="0"/>
                <w:i/>
                <w:color w:val="000000"/>
              </w:rPr>
            </w:pPr>
            <w:r w:rsidRPr="00586097">
              <w:rPr>
                <w:rFonts w:cs="Calibri"/>
              </w:rPr>
              <w:t>2021 թ.-ի կանխատեսում</w:t>
            </w:r>
          </w:p>
        </w:tc>
        <w:tc>
          <w:tcPr>
            <w:tcW w:w="1920" w:type="dxa"/>
            <w:gridSpan w:val="2"/>
            <w:tcBorders>
              <w:top w:val="single" w:sz="8" w:space="0" w:color="4472C4"/>
              <w:bottom w:val="single" w:sz="8" w:space="0" w:color="4472C4"/>
              <w:right w:val="single" w:sz="8" w:space="0" w:color="000000"/>
            </w:tcBorders>
            <w:shd w:val="clear" w:color="000000" w:fill="4472C4"/>
            <w:vAlign w:val="center"/>
          </w:tcPr>
          <w:p w14:paraId="36E1B70C" w14:textId="77777777" w:rsidR="00B7540A" w:rsidRPr="00586097" w:rsidRDefault="00B7540A" w:rsidP="00B7540A">
            <w:pPr>
              <w:spacing w:after="120" w:line="276" w:lineRule="auto"/>
              <w:ind w:firstLine="0"/>
              <w:jc w:val="center"/>
              <w:cnfStyle w:val="100000000000" w:firstRow="1" w:lastRow="0" w:firstColumn="0" w:lastColumn="0" w:oddVBand="0" w:evenVBand="0" w:oddHBand="0" w:evenHBand="0" w:firstRowFirstColumn="0" w:firstRowLastColumn="0" w:lastRowFirstColumn="0" w:lastRowLastColumn="0"/>
              <w:rPr>
                <w:rFonts w:cs="Sylfaen"/>
                <w:b w:val="0"/>
                <w:bCs w:val="0"/>
                <w:i/>
                <w:color w:val="000000"/>
              </w:rPr>
            </w:pPr>
            <w:r w:rsidRPr="00586097">
              <w:rPr>
                <w:rFonts w:cs="Calibri"/>
              </w:rPr>
              <w:t>2022թ.-ի կանխատեսում</w:t>
            </w:r>
          </w:p>
        </w:tc>
      </w:tr>
      <w:tr w:rsidR="00B7540A" w:rsidRPr="00586097" w14:paraId="23181D21" w14:textId="77777777" w:rsidTr="00B75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5F41E000" w14:textId="77777777" w:rsidR="00B7540A" w:rsidRPr="00586097" w:rsidRDefault="00B7540A" w:rsidP="00B7540A">
            <w:pPr>
              <w:spacing w:after="120" w:line="276" w:lineRule="auto"/>
              <w:ind w:firstLine="0"/>
              <w:rPr>
                <w:rFonts w:cs="Calibri"/>
                <w:color w:val="000000"/>
              </w:rPr>
            </w:pPr>
          </w:p>
        </w:tc>
        <w:tc>
          <w:tcPr>
            <w:tcW w:w="851" w:type="dxa"/>
            <w:tcBorders>
              <w:top w:val="nil"/>
              <w:bottom w:val="single" w:sz="8" w:space="0" w:color="8EAADB"/>
              <w:right w:val="single" w:sz="8" w:space="0" w:color="8EAADB"/>
            </w:tcBorders>
            <w:shd w:val="clear" w:color="000000" w:fill="D9E2F3"/>
            <w:vAlign w:val="center"/>
          </w:tcPr>
          <w:p w14:paraId="7D3B51BD" w14:textId="77777777" w:rsidR="00B7540A" w:rsidRPr="00586097" w:rsidRDefault="00B7540A" w:rsidP="00B7540A">
            <w:pPr>
              <w:spacing w:after="120" w:line="276" w:lineRule="auto"/>
              <w:ind w:firstLine="0"/>
              <w:cnfStyle w:val="000000100000" w:firstRow="0" w:lastRow="0" w:firstColumn="0" w:lastColumn="0" w:oddVBand="0" w:evenVBand="0" w:oddHBand="1" w:evenHBand="0" w:firstRowFirstColumn="0" w:firstRowLastColumn="0" w:lastRowFirstColumn="0" w:lastRowLastColumn="0"/>
              <w:rPr>
                <w:rFonts w:cs="Calibri"/>
                <w:color w:val="000000"/>
              </w:rPr>
            </w:pPr>
            <w:r w:rsidRPr="00586097">
              <w:rPr>
                <w:rFonts w:cs="Calibri"/>
                <w:color w:val="000000"/>
              </w:rPr>
              <w:t>Փաստ</w:t>
            </w:r>
          </w:p>
        </w:tc>
        <w:tc>
          <w:tcPr>
            <w:tcW w:w="850" w:type="dxa"/>
            <w:tcBorders>
              <w:top w:val="nil"/>
              <w:bottom w:val="single" w:sz="8" w:space="0" w:color="8EAADB"/>
              <w:right w:val="single" w:sz="8" w:space="0" w:color="8EAADB"/>
            </w:tcBorders>
            <w:shd w:val="clear" w:color="000000" w:fill="D9E2F3"/>
            <w:vAlign w:val="center"/>
          </w:tcPr>
          <w:p w14:paraId="67BBB585" w14:textId="77777777" w:rsidR="00B7540A" w:rsidRPr="00586097" w:rsidRDefault="00B7540A" w:rsidP="00B7540A">
            <w:pPr>
              <w:spacing w:after="120" w:line="276" w:lineRule="auto"/>
              <w:ind w:firstLine="0"/>
              <w:cnfStyle w:val="000000100000" w:firstRow="0" w:lastRow="0" w:firstColumn="0" w:lastColumn="0" w:oddVBand="0" w:evenVBand="0" w:oddHBand="1" w:evenHBand="0" w:firstRowFirstColumn="0" w:firstRowLastColumn="0" w:lastRowFirstColumn="0" w:lastRowLastColumn="0"/>
              <w:rPr>
                <w:rFonts w:cs="Sylfaen"/>
                <w:bCs/>
                <w:i/>
                <w:color w:val="000000"/>
              </w:rPr>
            </w:pPr>
            <w:r w:rsidRPr="00586097">
              <w:rPr>
                <w:rFonts w:cs="Calibri"/>
                <w:color w:val="000000"/>
              </w:rPr>
              <w:t>2020 Հունվ.</w:t>
            </w:r>
          </w:p>
        </w:tc>
        <w:tc>
          <w:tcPr>
            <w:tcW w:w="851" w:type="dxa"/>
            <w:tcBorders>
              <w:top w:val="nil"/>
              <w:bottom w:val="single" w:sz="8" w:space="0" w:color="8EAADB"/>
              <w:right w:val="single" w:sz="8" w:space="0" w:color="8EAADB"/>
            </w:tcBorders>
            <w:shd w:val="clear" w:color="000000" w:fill="D9E2F3"/>
            <w:vAlign w:val="center"/>
          </w:tcPr>
          <w:p w14:paraId="272FA4E1" w14:textId="77777777" w:rsidR="00B7540A" w:rsidRPr="00586097" w:rsidRDefault="00B7540A" w:rsidP="00B7540A">
            <w:pPr>
              <w:spacing w:after="120" w:line="276" w:lineRule="auto"/>
              <w:ind w:firstLine="0"/>
              <w:cnfStyle w:val="000000100000" w:firstRow="0" w:lastRow="0" w:firstColumn="0" w:lastColumn="0" w:oddVBand="0" w:evenVBand="0" w:oddHBand="1" w:evenHBand="0" w:firstRowFirstColumn="0" w:firstRowLastColumn="0" w:lastRowFirstColumn="0" w:lastRowLastColumn="0"/>
              <w:rPr>
                <w:rFonts w:cs="Sylfaen"/>
                <w:bCs/>
                <w:i/>
                <w:color w:val="000000"/>
              </w:rPr>
            </w:pPr>
            <w:r w:rsidRPr="00586097">
              <w:rPr>
                <w:rFonts w:cs="Calibri"/>
                <w:color w:val="000000"/>
              </w:rPr>
              <w:t>2020 Ապրիլ</w:t>
            </w:r>
          </w:p>
        </w:tc>
        <w:tc>
          <w:tcPr>
            <w:tcW w:w="850" w:type="dxa"/>
            <w:tcBorders>
              <w:top w:val="nil"/>
              <w:bottom w:val="single" w:sz="8" w:space="0" w:color="8EAADB"/>
              <w:right w:val="single" w:sz="8" w:space="0" w:color="8EAADB"/>
            </w:tcBorders>
            <w:shd w:val="clear" w:color="000000" w:fill="D9E2F3"/>
            <w:vAlign w:val="center"/>
          </w:tcPr>
          <w:p w14:paraId="69D5255A" w14:textId="77777777" w:rsidR="00B7540A" w:rsidRPr="00586097" w:rsidRDefault="00B7540A" w:rsidP="00B7540A">
            <w:pPr>
              <w:spacing w:after="120" w:line="276" w:lineRule="auto"/>
              <w:ind w:firstLine="0"/>
              <w:cnfStyle w:val="000000100000" w:firstRow="0" w:lastRow="0" w:firstColumn="0" w:lastColumn="0" w:oddVBand="0" w:evenVBand="0" w:oddHBand="1" w:evenHBand="0" w:firstRowFirstColumn="0" w:firstRowLastColumn="0" w:lastRowFirstColumn="0" w:lastRowLastColumn="0"/>
              <w:rPr>
                <w:rFonts w:cs="Sylfaen"/>
                <w:bCs/>
                <w:i/>
                <w:color w:val="000000"/>
              </w:rPr>
            </w:pPr>
            <w:r w:rsidRPr="00586097">
              <w:rPr>
                <w:rFonts w:cs="Calibri"/>
                <w:color w:val="000000"/>
              </w:rPr>
              <w:t>2020 Հունիս</w:t>
            </w:r>
          </w:p>
        </w:tc>
        <w:tc>
          <w:tcPr>
            <w:tcW w:w="851" w:type="dxa"/>
            <w:tcBorders>
              <w:top w:val="nil"/>
              <w:bottom w:val="single" w:sz="8" w:space="0" w:color="8EAADB"/>
              <w:right w:val="single" w:sz="8" w:space="0" w:color="8EAADB"/>
            </w:tcBorders>
            <w:shd w:val="clear" w:color="000000" w:fill="D9E2F3"/>
            <w:vAlign w:val="center"/>
          </w:tcPr>
          <w:p w14:paraId="3106D0D4" w14:textId="77777777" w:rsidR="00B7540A" w:rsidRPr="00586097" w:rsidRDefault="00B7540A" w:rsidP="00B7540A">
            <w:pPr>
              <w:spacing w:after="120" w:line="276" w:lineRule="auto"/>
              <w:ind w:firstLine="0"/>
              <w:cnfStyle w:val="000000100000" w:firstRow="0" w:lastRow="0" w:firstColumn="0" w:lastColumn="0" w:oddVBand="0" w:evenVBand="0" w:oddHBand="1" w:evenHBand="0" w:firstRowFirstColumn="0" w:firstRowLastColumn="0" w:lastRowFirstColumn="0" w:lastRowLastColumn="0"/>
              <w:rPr>
                <w:rFonts w:cs="Sylfaen"/>
                <w:bCs/>
                <w:i/>
                <w:color w:val="000000"/>
              </w:rPr>
            </w:pPr>
            <w:r w:rsidRPr="00586097">
              <w:rPr>
                <w:rFonts w:cs="Calibri"/>
                <w:color w:val="000000"/>
              </w:rPr>
              <w:t>2020 Հոկտ</w:t>
            </w:r>
            <w:r w:rsidRPr="00586097">
              <w:rPr>
                <w:rFonts w:ascii="Cambria Math" w:hAnsi="Cambria Math" w:cs="Cambria Math"/>
                <w:color w:val="000000"/>
              </w:rPr>
              <w:t>․</w:t>
            </w:r>
          </w:p>
        </w:tc>
        <w:tc>
          <w:tcPr>
            <w:tcW w:w="850" w:type="dxa"/>
            <w:tcBorders>
              <w:top w:val="nil"/>
              <w:bottom w:val="single" w:sz="8" w:space="0" w:color="8EAADB"/>
              <w:right w:val="single" w:sz="8" w:space="0" w:color="8EAADB"/>
            </w:tcBorders>
            <w:shd w:val="clear" w:color="000000" w:fill="D9E2F3"/>
            <w:vAlign w:val="center"/>
          </w:tcPr>
          <w:p w14:paraId="6D861467" w14:textId="77777777" w:rsidR="00B7540A" w:rsidRPr="00586097" w:rsidRDefault="00B7540A" w:rsidP="00B7540A">
            <w:pPr>
              <w:spacing w:after="120" w:line="276" w:lineRule="auto"/>
              <w:ind w:firstLine="0"/>
              <w:cnfStyle w:val="000000100000" w:firstRow="0" w:lastRow="0" w:firstColumn="0" w:lastColumn="0" w:oddVBand="0" w:evenVBand="0" w:oddHBand="1" w:evenHBand="0" w:firstRowFirstColumn="0" w:firstRowLastColumn="0" w:lastRowFirstColumn="0" w:lastRowLastColumn="0"/>
              <w:rPr>
                <w:rFonts w:cs="Sylfaen"/>
                <w:bCs/>
                <w:i/>
                <w:color w:val="000000"/>
              </w:rPr>
            </w:pPr>
            <w:r w:rsidRPr="00586097">
              <w:rPr>
                <w:rFonts w:cs="Calibri"/>
                <w:color w:val="000000"/>
              </w:rPr>
              <w:t>2021 Հունվ</w:t>
            </w:r>
            <w:r w:rsidRPr="00586097">
              <w:rPr>
                <w:rFonts w:ascii="Cambria Math" w:hAnsi="Cambria Math" w:cs="Cambria Math"/>
                <w:color w:val="000000"/>
              </w:rPr>
              <w:t>․</w:t>
            </w:r>
          </w:p>
        </w:tc>
        <w:tc>
          <w:tcPr>
            <w:tcW w:w="851" w:type="dxa"/>
            <w:tcBorders>
              <w:top w:val="nil"/>
              <w:bottom w:val="single" w:sz="8" w:space="0" w:color="8EAADB"/>
              <w:right w:val="single" w:sz="8" w:space="0" w:color="8EAADB"/>
            </w:tcBorders>
            <w:shd w:val="clear" w:color="000000" w:fill="D9E2F3"/>
            <w:vAlign w:val="center"/>
          </w:tcPr>
          <w:p w14:paraId="4BC9A6E2" w14:textId="77777777" w:rsidR="00B7540A" w:rsidRPr="00586097" w:rsidRDefault="00B7540A" w:rsidP="00B7540A">
            <w:pPr>
              <w:spacing w:after="120" w:line="276" w:lineRule="auto"/>
              <w:ind w:firstLine="0"/>
              <w:cnfStyle w:val="000000100000" w:firstRow="0" w:lastRow="0" w:firstColumn="0" w:lastColumn="0" w:oddVBand="0" w:evenVBand="0" w:oddHBand="1" w:evenHBand="0" w:firstRowFirstColumn="0" w:firstRowLastColumn="0" w:lastRowFirstColumn="0" w:lastRowLastColumn="0"/>
              <w:rPr>
                <w:rFonts w:cs="Sylfaen"/>
                <w:bCs/>
                <w:i/>
                <w:color w:val="000000"/>
              </w:rPr>
            </w:pPr>
            <w:r w:rsidRPr="00586097">
              <w:rPr>
                <w:rFonts w:cs="Calibri"/>
                <w:color w:val="000000"/>
              </w:rPr>
              <w:t>2021 Ապրիլ</w:t>
            </w:r>
          </w:p>
        </w:tc>
        <w:tc>
          <w:tcPr>
            <w:tcW w:w="992" w:type="dxa"/>
            <w:tcBorders>
              <w:top w:val="nil"/>
              <w:bottom w:val="single" w:sz="8" w:space="0" w:color="8EAADB"/>
              <w:right w:val="single" w:sz="8" w:space="0" w:color="8EAADB"/>
            </w:tcBorders>
            <w:shd w:val="clear" w:color="000000" w:fill="D9E2F3"/>
            <w:vAlign w:val="center"/>
          </w:tcPr>
          <w:p w14:paraId="1214027F" w14:textId="77777777" w:rsidR="00B7540A" w:rsidRPr="00586097" w:rsidRDefault="00B7540A" w:rsidP="00B7540A">
            <w:pPr>
              <w:spacing w:after="120" w:line="276" w:lineRule="auto"/>
              <w:ind w:firstLine="0"/>
              <w:cnfStyle w:val="000000100000" w:firstRow="0" w:lastRow="0" w:firstColumn="0" w:lastColumn="0" w:oddVBand="0" w:evenVBand="0" w:oddHBand="1" w:evenHBand="0" w:firstRowFirstColumn="0" w:firstRowLastColumn="0" w:lastRowFirstColumn="0" w:lastRowLastColumn="0"/>
              <w:rPr>
                <w:rFonts w:cs="Sylfaen"/>
                <w:bCs/>
                <w:i/>
                <w:color w:val="000000"/>
              </w:rPr>
            </w:pPr>
            <w:r w:rsidRPr="00586097">
              <w:rPr>
                <w:rFonts w:cs="Calibri"/>
                <w:color w:val="000000"/>
              </w:rPr>
              <w:t>2021 Հունվ.</w:t>
            </w:r>
          </w:p>
        </w:tc>
        <w:tc>
          <w:tcPr>
            <w:tcW w:w="928" w:type="dxa"/>
            <w:tcBorders>
              <w:top w:val="nil"/>
              <w:bottom w:val="single" w:sz="8" w:space="0" w:color="8EAADB"/>
              <w:right w:val="single" w:sz="8" w:space="0" w:color="8EAADB"/>
            </w:tcBorders>
            <w:shd w:val="clear" w:color="000000" w:fill="D9E2F3"/>
            <w:vAlign w:val="center"/>
          </w:tcPr>
          <w:p w14:paraId="24B0862C" w14:textId="77777777" w:rsidR="00B7540A" w:rsidRPr="00586097" w:rsidRDefault="00B7540A" w:rsidP="00B7540A">
            <w:pPr>
              <w:spacing w:after="120" w:line="276" w:lineRule="auto"/>
              <w:ind w:firstLine="0"/>
              <w:cnfStyle w:val="000000100000" w:firstRow="0" w:lastRow="0" w:firstColumn="0" w:lastColumn="0" w:oddVBand="0" w:evenVBand="0" w:oddHBand="1" w:evenHBand="0" w:firstRowFirstColumn="0" w:firstRowLastColumn="0" w:lastRowFirstColumn="0" w:lastRowLastColumn="0"/>
              <w:rPr>
                <w:rFonts w:cs="Sylfaen"/>
                <w:bCs/>
                <w:i/>
                <w:color w:val="000000"/>
              </w:rPr>
            </w:pPr>
            <w:r w:rsidRPr="00586097">
              <w:rPr>
                <w:rFonts w:cs="Calibri"/>
                <w:color w:val="000000"/>
              </w:rPr>
              <w:t>2021 Ապրիլ</w:t>
            </w:r>
          </w:p>
        </w:tc>
      </w:tr>
      <w:tr w:rsidR="00B7540A" w:rsidRPr="00586097" w14:paraId="16415C3A" w14:textId="77777777" w:rsidTr="00B7540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nil"/>
              <w:left w:val="single" w:sz="8" w:space="0" w:color="8EAADB"/>
              <w:bottom w:val="single" w:sz="8" w:space="0" w:color="8EAADB"/>
              <w:right w:val="single" w:sz="8" w:space="0" w:color="8EAADB"/>
            </w:tcBorders>
            <w:shd w:val="clear" w:color="auto" w:fill="auto"/>
            <w:vAlign w:val="center"/>
          </w:tcPr>
          <w:p w14:paraId="6F2237FA" w14:textId="77777777" w:rsidR="00B7540A" w:rsidRPr="00586097" w:rsidRDefault="00B7540A" w:rsidP="00B7540A">
            <w:pPr>
              <w:spacing w:after="120" w:line="276" w:lineRule="auto"/>
              <w:ind w:firstLine="0"/>
              <w:rPr>
                <w:rFonts w:cs="Sylfaen"/>
                <w:bCs w:val="0"/>
                <w:i/>
                <w:color w:val="000000"/>
              </w:rPr>
            </w:pPr>
            <w:r w:rsidRPr="00586097">
              <w:rPr>
                <w:rFonts w:eastAsia="Calibri"/>
                <w:color w:val="000000"/>
              </w:rPr>
              <w:t>Աշխարհի տնտեսական աճ, %</w:t>
            </w:r>
          </w:p>
        </w:tc>
        <w:tc>
          <w:tcPr>
            <w:tcW w:w="851" w:type="dxa"/>
            <w:tcBorders>
              <w:top w:val="nil"/>
              <w:left w:val="none" w:sz="0" w:space="0" w:color="auto"/>
              <w:bottom w:val="single" w:sz="8" w:space="0" w:color="8EAADB"/>
              <w:right w:val="single" w:sz="8" w:space="0" w:color="8EAADB"/>
            </w:tcBorders>
            <w:shd w:val="clear" w:color="auto" w:fill="auto"/>
            <w:vAlign w:val="center"/>
          </w:tcPr>
          <w:p w14:paraId="0ECA6C7B"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-3.3</w:t>
            </w:r>
          </w:p>
        </w:tc>
        <w:tc>
          <w:tcPr>
            <w:tcW w:w="850" w:type="dxa"/>
            <w:tcBorders>
              <w:top w:val="nil"/>
              <w:left w:val="none" w:sz="0" w:space="0" w:color="auto"/>
              <w:bottom w:val="single" w:sz="8" w:space="0" w:color="8EAADB"/>
              <w:right w:val="single" w:sz="8" w:space="0" w:color="8EAADB"/>
            </w:tcBorders>
            <w:shd w:val="clear" w:color="auto" w:fill="auto"/>
            <w:vAlign w:val="center"/>
          </w:tcPr>
          <w:p w14:paraId="06B06B80"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3.4</w:t>
            </w:r>
          </w:p>
        </w:tc>
        <w:tc>
          <w:tcPr>
            <w:tcW w:w="851" w:type="dxa"/>
            <w:tcBorders>
              <w:top w:val="nil"/>
              <w:left w:val="none" w:sz="0" w:space="0" w:color="auto"/>
              <w:bottom w:val="single" w:sz="8" w:space="0" w:color="8EAADB"/>
              <w:right w:val="single" w:sz="8" w:space="0" w:color="8EAADB"/>
            </w:tcBorders>
            <w:shd w:val="clear" w:color="auto" w:fill="auto"/>
            <w:vAlign w:val="center"/>
          </w:tcPr>
          <w:p w14:paraId="3918C58C"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5.8</w:t>
            </w:r>
          </w:p>
        </w:tc>
        <w:tc>
          <w:tcPr>
            <w:tcW w:w="850" w:type="dxa"/>
            <w:tcBorders>
              <w:top w:val="nil"/>
              <w:left w:val="none" w:sz="0" w:space="0" w:color="auto"/>
              <w:bottom w:val="single" w:sz="8" w:space="0" w:color="8EAADB"/>
              <w:right w:val="single" w:sz="8" w:space="0" w:color="8EAADB"/>
            </w:tcBorders>
            <w:shd w:val="clear" w:color="auto" w:fill="auto"/>
            <w:vAlign w:val="center"/>
          </w:tcPr>
          <w:p w14:paraId="065F609B"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5.4</w:t>
            </w:r>
          </w:p>
        </w:tc>
        <w:tc>
          <w:tcPr>
            <w:tcW w:w="851" w:type="dxa"/>
            <w:tcBorders>
              <w:top w:val="nil"/>
              <w:left w:val="none" w:sz="0" w:space="0" w:color="auto"/>
              <w:bottom w:val="single" w:sz="8" w:space="0" w:color="8EAADB"/>
              <w:right w:val="single" w:sz="8" w:space="0" w:color="8EAADB"/>
            </w:tcBorders>
            <w:shd w:val="clear" w:color="auto" w:fill="auto"/>
            <w:vAlign w:val="center"/>
          </w:tcPr>
          <w:p w14:paraId="1409DE7F"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5.2</w:t>
            </w:r>
          </w:p>
        </w:tc>
        <w:tc>
          <w:tcPr>
            <w:tcW w:w="850" w:type="dxa"/>
            <w:tcBorders>
              <w:top w:val="nil"/>
              <w:left w:val="none" w:sz="0" w:space="0" w:color="auto"/>
              <w:bottom w:val="single" w:sz="8" w:space="0" w:color="8EAADB"/>
              <w:right w:val="single" w:sz="8" w:space="0" w:color="8EAADB"/>
            </w:tcBorders>
            <w:shd w:val="clear" w:color="auto" w:fill="auto"/>
            <w:vAlign w:val="center"/>
          </w:tcPr>
          <w:p w14:paraId="59A96CDA"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5.5</w:t>
            </w:r>
          </w:p>
        </w:tc>
        <w:tc>
          <w:tcPr>
            <w:tcW w:w="851" w:type="dxa"/>
            <w:tcBorders>
              <w:top w:val="nil"/>
              <w:left w:val="none" w:sz="0" w:space="0" w:color="auto"/>
              <w:bottom w:val="single" w:sz="8" w:space="0" w:color="8EAADB"/>
              <w:right w:val="single" w:sz="8" w:space="0" w:color="8EAADB"/>
            </w:tcBorders>
            <w:shd w:val="clear" w:color="auto" w:fill="auto"/>
            <w:vAlign w:val="center"/>
          </w:tcPr>
          <w:p w14:paraId="53C1C24F"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6.0</w:t>
            </w:r>
          </w:p>
        </w:tc>
        <w:tc>
          <w:tcPr>
            <w:tcW w:w="992" w:type="dxa"/>
            <w:tcBorders>
              <w:top w:val="nil"/>
              <w:left w:val="none" w:sz="0" w:space="0" w:color="auto"/>
              <w:bottom w:val="single" w:sz="8" w:space="0" w:color="8EAADB"/>
              <w:right w:val="single" w:sz="8" w:space="0" w:color="8EAADB"/>
            </w:tcBorders>
            <w:shd w:val="clear" w:color="auto" w:fill="auto"/>
            <w:vAlign w:val="center"/>
          </w:tcPr>
          <w:p w14:paraId="4B4825BE"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4.2</w:t>
            </w:r>
          </w:p>
        </w:tc>
        <w:tc>
          <w:tcPr>
            <w:tcW w:w="928" w:type="dxa"/>
            <w:tcBorders>
              <w:top w:val="nil"/>
              <w:left w:val="none" w:sz="0" w:space="0" w:color="auto"/>
              <w:bottom w:val="single" w:sz="8" w:space="0" w:color="8EAADB"/>
              <w:right w:val="single" w:sz="8" w:space="0" w:color="8EAADB"/>
            </w:tcBorders>
            <w:shd w:val="clear" w:color="auto" w:fill="auto"/>
            <w:vAlign w:val="center"/>
          </w:tcPr>
          <w:p w14:paraId="29DCCA15"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4.4</w:t>
            </w:r>
          </w:p>
        </w:tc>
      </w:tr>
      <w:tr w:rsidR="00B7540A" w:rsidRPr="00586097" w14:paraId="5971158D" w14:textId="77777777" w:rsidTr="00B75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nil"/>
              <w:left w:val="single" w:sz="8" w:space="0" w:color="8EAADB"/>
              <w:bottom w:val="single" w:sz="8" w:space="0" w:color="8EAADB"/>
              <w:right w:val="single" w:sz="8" w:space="0" w:color="8EAADB"/>
            </w:tcBorders>
            <w:shd w:val="clear" w:color="000000" w:fill="D9E2F3"/>
            <w:vAlign w:val="center"/>
          </w:tcPr>
          <w:p w14:paraId="647BD351" w14:textId="77777777" w:rsidR="00B7540A" w:rsidRPr="00586097" w:rsidRDefault="00B7540A" w:rsidP="00B7540A">
            <w:pPr>
              <w:spacing w:after="120" w:line="276" w:lineRule="auto"/>
              <w:ind w:firstLine="0"/>
              <w:rPr>
                <w:rFonts w:cs="Sylfaen"/>
                <w:bCs w:val="0"/>
                <w:i/>
                <w:color w:val="000000"/>
              </w:rPr>
            </w:pPr>
            <w:r w:rsidRPr="00586097">
              <w:rPr>
                <w:rFonts w:eastAsia="Calibri"/>
                <w:color w:val="000000"/>
              </w:rPr>
              <w:t>ՌԴ</w:t>
            </w:r>
          </w:p>
        </w:tc>
        <w:tc>
          <w:tcPr>
            <w:tcW w:w="851" w:type="dxa"/>
            <w:tcBorders>
              <w:top w:val="nil"/>
              <w:bottom w:val="single" w:sz="8" w:space="0" w:color="8EAADB"/>
              <w:right w:val="single" w:sz="8" w:space="0" w:color="8EAADB"/>
            </w:tcBorders>
            <w:shd w:val="clear" w:color="000000" w:fill="D9E2F3"/>
            <w:vAlign w:val="center"/>
          </w:tcPr>
          <w:p w14:paraId="7D66B7BE"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-3.1</w:t>
            </w:r>
          </w:p>
        </w:tc>
        <w:tc>
          <w:tcPr>
            <w:tcW w:w="850" w:type="dxa"/>
            <w:tcBorders>
              <w:top w:val="nil"/>
              <w:bottom w:val="single" w:sz="8" w:space="0" w:color="8EAADB"/>
              <w:right w:val="single" w:sz="8" w:space="0" w:color="8EAADB"/>
            </w:tcBorders>
            <w:shd w:val="clear" w:color="000000" w:fill="D9E2F3"/>
            <w:vAlign w:val="center"/>
          </w:tcPr>
          <w:p w14:paraId="68A3F4C0"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2</w:t>
            </w:r>
          </w:p>
        </w:tc>
        <w:tc>
          <w:tcPr>
            <w:tcW w:w="851" w:type="dxa"/>
            <w:tcBorders>
              <w:top w:val="nil"/>
              <w:bottom w:val="single" w:sz="8" w:space="0" w:color="8EAADB"/>
              <w:right w:val="single" w:sz="8" w:space="0" w:color="8EAADB"/>
            </w:tcBorders>
            <w:shd w:val="clear" w:color="000000" w:fill="D9E2F3"/>
            <w:vAlign w:val="center"/>
          </w:tcPr>
          <w:p w14:paraId="74F145FC"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3.5</w:t>
            </w:r>
          </w:p>
        </w:tc>
        <w:tc>
          <w:tcPr>
            <w:tcW w:w="850" w:type="dxa"/>
            <w:tcBorders>
              <w:top w:val="nil"/>
              <w:bottom w:val="single" w:sz="8" w:space="0" w:color="8EAADB"/>
              <w:right w:val="single" w:sz="8" w:space="0" w:color="8EAADB"/>
            </w:tcBorders>
            <w:shd w:val="clear" w:color="000000" w:fill="D9E2F3"/>
            <w:vAlign w:val="center"/>
          </w:tcPr>
          <w:p w14:paraId="6716C563"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4.1</w:t>
            </w:r>
          </w:p>
        </w:tc>
        <w:tc>
          <w:tcPr>
            <w:tcW w:w="851" w:type="dxa"/>
            <w:tcBorders>
              <w:top w:val="nil"/>
              <w:bottom w:val="single" w:sz="8" w:space="0" w:color="8EAADB"/>
              <w:right w:val="single" w:sz="8" w:space="0" w:color="8EAADB"/>
            </w:tcBorders>
            <w:shd w:val="clear" w:color="000000" w:fill="D9E2F3"/>
            <w:vAlign w:val="center"/>
          </w:tcPr>
          <w:p w14:paraId="6F9F5615"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2.8</w:t>
            </w:r>
          </w:p>
        </w:tc>
        <w:tc>
          <w:tcPr>
            <w:tcW w:w="850" w:type="dxa"/>
            <w:tcBorders>
              <w:top w:val="nil"/>
              <w:bottom w:val="single" w:sz="8" w:space="0" w:color="8EAADB"/>
              <w:right w:val="single" w:sz="8" w:space="0" w:color="8EAADB"/>
            </w:tcBorders>
            <w:shd w:val="clear" w:color="000000" w:fill="D9E2F3"/>
          </w:tcPr>
          <w:p w14:paraId="4EB64BC7"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3.0</w:t>
            </w:r>
          </w:p>
        </w:tc>
        <w:tc>
          <w:tcPr>
            <w:tcW w:w="851" w:type="dxa"/>
            <w:tcBorders>
              <w:top w:val="nil"/>
              <w:bottom w:val="single" w:sz="8" w:space="0" w:color="8EAADB"/>
              <w:right w:val="single" w:sz="8" w:space="0" w:color="8EAADB"/>
            </w:tcBorders>
            <w:shd w:val="clear" w:color="000000" w:fill="D9E2F3"/>
            <w:vAlign w:val="center"/>
          </w:tcPr>
          <w:p w14:paraId="4285FDB7"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3.8</w:t>
            </w:r>
          </w:p>
        </w:tc>
        <w:tc>
          <w:tcPr>
            <w:tcW w:w="992" w:type="dxa"/>
            <w:tcBorders>
              <w:top w:val="nil"/>
              <w:bottom w:val="single" w:sz="8" w:space="0" w:color="8EAADB"/>
              <w:right w:val="single" w:sz="8" w:space="0" w:color="8EAADB"/>
            </w:tcBorders>
            <w:shd w:val="clear" w:color="000000" w:fill="D9E2F3"/>
          </w:tcPr>
          <w:p w14:paraId="296328F4"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3.9</w:t>
            </w:r>
          </w:p>
        </w:tc>
        <w:tc>
          <w:tcPr>
            <w:tcW w:w="928" w:type="dxa"/>
            <w:tcBorders>
              <w:top w:val="nil"/>
              <w:bottom w:val="single" w:sz="8" w:space="0" w:color="8EAADB"/>
              <w:right w:val="single" w:sz="8" w:space="0" w:color="8EAADB"/>
            </w:tcBorders>
            <w:shd w:val="clear" w:color="000000" w:fill="D9E2F3"/>
            <w:vAlign w:val="center"/>
          </w:tcPr>
          <w:p w14:paraId="5C26D974"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3.8</w:t>
            </w:r>
          </w:p>
        </w:tc>
      </w:tr>
      <w:tr w:rsidR="00B7540A" w:rsidRPr="00586097" w14:paraId="34A3292F" w14:textId="77777777" w:rsidTr="00B7540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nil"/>
              <w:left w:val="single" w:sz="8" w:space="0" w:color="8EAADB"/>
              <w:bottom w:val="single" w:sz="8" w:space="0" w:color="8EAADB"/>
              <w:right w:val="single" w:sz="8" w:space="0" w:color="8EAADB"/>
            </w:tcBorders>
            <w:shd w:val="clear" w:color="auto" w:fill="auto"/>
            <w:vAlign w:val="center"/>
          </w:tcPr>
          <w:p w14:paraId="625496F7" w14:textId="77777777" w:rsidR="00B7540A" w:rsidRPr="00586097" w:rsidRDefault="00B7540A" w:rsidP="00B7540A">
            <w:pPr>
              <w:spacing w:after="120" w:line="276" w:lineRule="auto"/>
              <w:ind w:firstLine="0"/>
              <w:rPr>
                <w:rFonts w:cs="Sylfaen"/>
                <w:bCs w:val="0"/>
                <w:i/>
                <w:color w:val="000000"/>
              </w:rPr>
            </w:pPr>
            <w:r w:rsidRPr="00586097">
              <w:rPr>
                <w:rFonts w:eastAsia="Calibri"/>
                <w:color w:val="000000"/>
              </w:rPr>
              <w:t>Եվրոգոտի</w:t>
            </w:r>
          </w:p>
        </w:tc>
        <w:tc>
          <w:tcPr>
            <w:tcW w:w="851" w:type="dxa"/>
            <w:tcBorders>
              <w:top w:val="nil"/>
              <w:bottom w:val="single" w:sz="8" w:space="0" w:color="8EAADB"/>
              <w:right w:val="single" w:sz="8" w:space="0" w:color="8EAADB"/>
            </w:tcBorders>
            <w:shd w:val="clear" w:color="auto" w:fill="auto"/>
            <w:vAlign w:val="center"/>
          </w:tcPr>
          <w:p w14:paraId="62306C47"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-6.6</w:t>
            </w:r>
          </w:p>
        </w:tc>
        <w:tc>
          <w:tcPr>
            <w:tcW w:w="850" w:type="dxa"/>
            <w:tcBorders>
              <w:top w:val="nil"/>
              <w:bottom w:val="single" w:sz="8" w:space="0" w:color="8EAADB"/>
              <w:right w:val="single" w:sz="8" w:space="0" w:color="8EAADB"/>
            </w:tcBorders>
            <w:shd w:val="clear" w:color="auto" w:fill="auto"/>
            <w:vAlign w:val="center"/>
          </w:tcPr>
          <w:p w14:paraId="76B6C4DE"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1.4</w:t>
            </w:r>
          </w:p>
        </w:tc>
        <w:tc>
          <w:tcPr>
            <w:tcW w:w="851" w:type="dxa"/>
            <w:tcBorders>
              <w:top w:val="nil"/>
              <w:bottom w:val="single" w:sz="8" w:space="0" w:color="8EAADB"/>
              <w:right w:val="single" w:sz="8" w:space="0" w:color="8EAADB"/>
            </w:tcBorders>
            <w:shd w:val="clear" w:color="auto" w:fill="auto"/>
            <w:vAlign w:val="center"/>
          </w:tcPr>
          <w:p w14:paraId="5CAB7A20"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4.7</w:t>
            </w:r>
          </w:p>
        </w:tc>
        <w:tc>
          <w:tcPr>
            <w:tcW w:w="850" w:type="dxa"/>
            <w:tcBorders>
              <w:top w:val="nil"/>
              <w:bottom w:val="single" w:sz="8" w:space="0" w:color="8EAADB"/>
              <w:right w:val="single" w:sz="8" w:space="0" w:color="8EAADB"/>
            </w:tcBorders>
            <w:shd w:val="clear" w:color="auto" w:fill="auto"/>
            <w:vAlign w:val="center"/>
          </w:tcPr>
          <w:p w14:paraId="3978F2AB"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6.0</w:t>
            </w:r>
          </w:p>
        </w:tc>
        <w:tc>
          <w:tcPr>
            <w:tcW w:w="851" w:type="dxa"/>
            <w:tcBorders>
              <w:top w:val="nil"/>
              <w:bottom w:val="single" w:sz="8" w:space="0" w:color="8EAADB"/>
              <w:right w:val="single" w:sz="8" w:space="0" w:color="8EAADB"/>
            </w:tcBorders>
            <w:shd w:val="clear" w:color="auto" w:fill="auto"/>
            <w:vAlign w:val="center"/>
          </w:tcPr>
          <w:p w14:paraId="70026A2D"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5.2</w:t>
            </w:r>
          </w:p>
        </w:tc>
        <w:tc>
          <w:tcPr>
            <w:tcW w:w="850" w:type="dxa"/>
            <w:tcBorders>
              <w:top w:val="nil"/>
              <w:bottom w:val="single" w:sz="8" w:space="0" w:color="8EAADB"/>
              <w:right w:val="single" w:sz="8" w:space="0" w:color="8EAADB"/>
            </w:tcBorders>
            <w:shd w:val="clear" w:color="auto" w:fill="auto"/>
          </w:tcPr>
          <w:p w14:paraId="27B03B4F"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4.2</w:t>
            </w:r>
          </w:p>
        </w:tc>
        <w:tc>
          <w:tcPr>
            <w:tcW w:w="851" w:type="dxa"/>
            <w:tcBorders>
              <w:top w:val="nil"/>
              <w:bottom w:val="single" w:sz="8" w:space="0" w:color="8EAADB"/>
              <w:right w:val="single" w:sz="8" w:space="0" w:color="8EAADB"/>
            </w:tcBorders>
            <w:shd w:val="clear" w:color="auto" w:fill="auto"/>
            <w:vAlign w:val="center"/>
          </w:tcPr>
          <w:p w14:paraId="2EDFFC06"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4.4</w:t>
            </w:r>
          </w:p>
        </w:tc>
        <w:tc>
          <w:tcPr>
            <w:tcW w:w="992" w:type="dxa"/>
            <w:tcBorders>
              <w:top w:val="nil"/>
              <w:bottom w:val="single" w:sz="8" w:space="0" w:color="8EAADB"/>
              <w:right w:val="single" w:sz="8" w:space="0" w:color="8EAADB"/>
            </w:tcBorders>
            <w:shd w:val="clear" w:color="auto" w:fill="auto"/>
          </w:tcPr>
          <w:p w14:paraId="61D4401A"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3.6</w:t>
            </w:r>
          </w:p>
        </w:tc>
        <w:tc>
          <w:tcPr>
            <w:tcW w:w="928" w:type="dxa"/>
            <w:tcBorders>
              <w:top w:val="nil"/>
              <w:bottom w:val="single" w:sz="8" w:space="0" w:color="8EAADB"/>
              <w:right w:val="single" w:sz="8" w:space="0" w:color="8EAADB"/>
            </w:tcBorders>
            <w:shd w:val="clear" w:color="auto" w:fill="auto"/>
            <w:vAlign w:val="center"/>
          </w:tcPr>
          <w:p w14:paraId="26AC220E"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3.8</w:t>
            </w:r>
          </w:p>
        </w:tc>
      </w:tr>
      <w:tr w:rsidR="00B7540A" w:rsidRPr="00586097" w14:paraId="6A3A4478" w14:textId="77777777" w:rsidTr="00B75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nil"/>
              <w:left w:val="single" w:sz="8" w:space="0" w:color="8EAADB"/>
              <w:bottom w:val="single" w:sz="8" w:space="0" w:color="8EAADB"/>
              <w:right w:val="single" w:sz="8" w:space="0" w:color="8EAADB"/>
            </w:tcBorders>
            <w:shd w:val="clear" w:color="000000" w:fill="D9E2F3"/>
            <w:vAlign w:val="center"/>
          </w:tcPr>
          <w:p w14:paraId="726FCF75" w14:textId="77777777" w:rsidR="00B7540A" w:rsidRPr="00586097" w:rsidRDefault="00B7540A" w:rsidP="00B7540A">
            <w:pPr>
              <w:spacing w:after="120" w:line="276" w:lineRule="auto"/>
              <w:ind w:firstLine="0"/>
              <w:rPr>
                <w:rFonts w:cs="Sylfaen"/>
                <w:bCs w:val="0"/>
                <w:i/>
                <w:color w:val="000000"/>
              </w:rPr>
            </w:pPr>
            <w:r w:rsidRPr="00586097">
              <w:rPr>
                <w:rFonts w:eastAsia="Calibri"/>
                <w:color w:val="000000"/>
              </w:rPr>
              <w:t>Չինաստան</w:t>
            </w:r>
          </w:p>
        </w:tc>
        <w:tc>
          <w:tcPr>
            <w:tcW w:w="851" w:type="dxa"/>
            <w:tcBorders>
              <w:top w:val="nil"/>
              <w:bottom w:val="single" w:sz="8" w:space="0" w:color="8EAADB"/>
              <w:right w:val="single" w:sz="8" w:space="0" w:color="8EAADB"/>
            </w:tcBorders>
            <w:shd w:val="clear" w:color="000000" w:fill="D9E2F3"/>
            <w:vAlign w:val="center"/>
          </w:tcPr>
          <w:p w14:paraId="46769E1C"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2.3</w:t>
            </w:r>
          </w:p>
        </w:tc>
        <w:tc>
          <w:tcPr>
            <w:tcW w:w="850" w:type="dxa"/>
            <w:tcBorders>
              <w:top w:val="nil"/>
              <w:bottom w:val="single" w:sz="8" w:space="0" w:color="8EAADB"/>
              <w:right w:val="single" w:sz="8" w:space="0" w:color="8EAADB"/>
            </w:tcBorders>
            <w:shd w:val="clear" w:color="000000" w:fill="D9E2F3"/>
            <w:vAlign w:val="center"/>
          </w:tcPr>
          <w:p w14:paraId="4F9C7382"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5.8</w:t>
            </w:r>
          </w:p>
        </w:tc>
        <w:tc>
          <w:tcPr>
            <w:tcW w:w="851" w:type="dxa"/>
            <w:tcBorders>
              <w:top w:val="nil"/>
              <w:bottom w:val="single" w:sz="8" w:space="0" w:color="8EAADB"/>
              <w:right w:val="single" w:sz="8" w:space="0" w:color="8EAADB"/>
            </w:tcBorders>
            <w:shd w:val="clear" w:color="000000" w:fill="D9E2F3"/>
            <w:vAlign w:val="center"/>
          </w:tcPr>
          <w:p w14:paraId="40082C2D"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9.2</w:t>
            </w:r>
          </w:p>
        </w:tc>
        <w:tc>
          <w:tcPr>
            <w:tcW w:w="850" w:type="dxa"/>
            <w:tcBorders>
              <w:top w:val="nil"/>
              <w:bottom w:val="single" w:sz="8" w:space="0" w:color="8EAADB"/>
              <w:right w:val="single" w:sz="8" w:space="0" w:color="8EAADB"/>
            </w:tcBorders>
            <w:shd w:val="clear" w:color="000000" w:fill="D9E2F3"/>
            <w:vAlign w:val="center"/>
          </w:tcPr>
          <w:p w14:paraId="14938E0C"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8.2</w:t>
            </w:r>
          </w:p>
        </w:tc>
        <w:tc>
          <w:tcPr>
            <w:tcW w:w="851" w:type="dxa"/>
            <w:tcBorders>
              <w:top w:val="nil"/>
              <w:bottom w:val="single" w:sz="8" w:space="0" w:color="8EAADB"/>
              <w:right w:val="single" w:sz="8" w:space="0" w:color="8EAADB"/>
            </w:tcBorders>
            <w:shd w:val="clear" w:color="000000" w:fill="D9E2F3"/>
            <w:vAlign w:val="center"/>
          </w:tcPr>
          <w:p w14:paraId="7BBD11B6"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8.2</w:t>
            </w:r>
          </w:p>
        </w:tc>
        <w:tc>
          <w:tcPr>
            <w:tcW w:w="850" w:type="dxa"/>
            <w:tcBorders>
              <w:top w:val="nil"/>
              <w:bottom w:val="single" w:sz="8" w:space="0" w:color="8EAADB"/>
              <w:right w:val="single" w:sz="8" w:space="0" w:color="8EAADB"/>
            </w:tcBorders>
            <w:shd w:val="clear" w:color="000000" w:fill="D9E2F3"/>
          </w:tcPr>
          <w:p w14:paraId="1F5D6B87"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8.1</w:t>
            </w:r>
          </w:p>
        </w:tc>
        <w:tc>
          <w:tcPr>
            <w:tcW w:w="851" w:type="dxa"/>
            <w:tcBorders>
              <w:top w:val="nil"/>
              <w:bottom w:val="single" w:sz="8" w:space="0" w:color="8EAADB"/>
              <w:right w:val="single" w:sz="8" w:space="0" w:color="8EAADB"/>
            </w:tcBorders>
            <w:shd w:val="clear" w:color="000000" w:fill="D9E2F3"/>
            <w:vAlign w:val="center"/>
          </w:tcPr>
          <w:p w14:paraId="5DF2EFFC"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8.4</w:t>
            </w:r>
          </w:p>
        </w:tc>
        <w:tc>
          <w:tcPr>
            <w:tcW w:w="992" w:type="dxa"/>
            <w:tcBorders>
              <w:top w:val="nil"/>
              <w:bottom w:val="single" w:sz="8" w:space="0" w:color="8EAADB"/>
              <w:right w:val="single" w:sz="8" w:space="0" w:color="8EAADB"/>
            </w:tcBorders>
            <w:shd w:val="clear" w:color="000000" w:fill="D9E2F3"/>
          </w:tcPr>
          <w:p w14:paraId="4BED7D7F"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5.6</w:t>
            </w:r>
          </w:p>
        </w:tc>
        <w:tc>
          <w:tcPr>
            <w:tcW w:w="928" w:type="dxa"/>
            <w:tcBorders>
              <w:top w:val="nil"/>
              <w:bottom w:val="single" w:sz="8" w:space="0" w:color="8EAADB"/>
              <w:right w:val="single" w:sz="8" w:space="0" w:color="8EAADB"/>
            </w:tcBorders>
            <w:shd w:val="clear" w:color="000000" w:fill="D9E2F3"/>
            <w:vAlign w:val="center"/>
          </w:tcPr>
          <w:p w14:paraId="70F46101" w14:textId="77777777" w:rsidR="00B7540A" w:rsidRPr="00586097" w:rsidRDefault="00B7540A" w:rsidP="00B7540A">
            <w:pPr>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5.6</w:t>
            </w:r>
          </w:p>
        </w:tc>
      </w:tr>
      <w:tr w:rsidR="00B7540A" w:rsidRPr="00586097" w14:paraId="471F9A8C" w14:textId="77777777" w:rsidTr="00B7540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nil"/>
              <w:left w:val="single" w:sz="8" w:space="0" w:color="8EAADB"/>
              <w:bottom w:val="single" w:sz="8" w:space="0" w:color="8EAADB"/>
              <w:right w:val="single" w:sz="8" w:space="0" w:color="8EAADB"/>
            </w:tcBorders>
            <w:shd w:val="clear" w:color="auto" w:fill="auto"/>
            <w:vAlign w:val="center"/>
          </w:tcPr>
          <w:p w14:paraId="58619904" w14:textId="77777777" w:rsidR="00B7540A" w:rsidRPr="00586097" w:rsidRDefault="00B7540A" w:rsidP="00B7540A">
            <w:pPr>
              <w:spacing w:after="120" w:line="276" w:lineRule="auto"/>
              <w:ind w:firstLine="0"/>
              <w:rPr>
                <w:rFonts w:cs="Sylfaen"/>
                <w:bCs w:val="0"/>
                <w:i/>
                <w:color w:val="000000"/>
              </w:rPr>
            </w:pPr>
            <w:r w:rsidRPr="00586097">
              <w:rPr>
                <w:rFonts w:eastAsia="Calibri"/>
                <w:color w:val="000000"/>
              </w:rPr>
              <w:t>ԱՄՆ</w:t>
            </w:r>
          </w:p>
        </w:tc>
        <w:tc>
          <w:tcPr>
            <w:tcW w:w="851" w:type="dxa"/>
            <w:tcBorders>
              <w:top w:val="nil"/>
              <w:bottom w:val="single" w:sz="8" w:space="0" w:color="8EAADB"/>
              <w:right w:val="single" w:sz="8" w:space="0" w:color="8EAADB"/>
            </w:tcBorders>
            <w:shd w:val="clear" w:color="auto" w:fill="auto"/>
            <w:vAlign w:val="center"/>
          </w:tcPr>
          <w:p w14:paraId="33381E19"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-3.5</w:t>
            </w:r>
          </w:p>
        </w:tc>
        <w:tc>
          <w:tcPr>
            <w:tcW w:w="850" w:type="dxa"/>
            <w:tcBorders>
              <w:top w:val="nil"/>
              <w:bottom w:val="single" w:sz="8" w:space="0" w:color="8EAADB"/>
              <w:right w:val="single" w:sz="8" w:space="0" w:color="8EAADB"/>
            </w:tcBorders>
            <w:shd w:val="clear" w:color="auto" w:fill="auto"/>
            <w:vAlign w:val="center"/>
          </w:tcPr>
          <w:p w14:paraId="0AE7714A"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1.7</w:t>
            </w:r>
          </w:p>
        </w:tc>
        <w:tc>
          <w:tcPr>
            <w:tcW w:w="851" w:type="dxa"/>
            <w:tcBorders>
              <w:top w:val="nil"/>
              <w:bottom w:val="single" w:sz="8" w:space="0" w:color="8EAADB"/>
              <w:right w:val="single" w:sz="8" w:space="0" w:color="8EAADB"/>
            </w:tcBorders>
            <w:shd w:val="clear" w:color="auto" w:fill="auto"/>
            <w:vAlign w:val="center"/>
          </w:tcPr>
          <w:p w14:paraId="6BF1CCF1"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4.7</w:t>
            </w:r>
          </w:p>
        </w:tc>
        <w:tc>
          <w:tcPr>
            <w:tcW w:w="850" w:type="dxa"/>
            <w:tcBorders>
              <w:top w:val="nil"/>
              <w:bottom w:val="single" w:sz="8" w:space="0" w:color="8EAADB"/>
              <w:right w:val="single" w:sz="8" w:space="0" w:color="8EAADB"/>
            </w:tcBorders>
            <w:shd w:val="clear" w:color="auto" w:fill="auto"/>
            <w:vAlign w:val="center"/>
          </w:tcPr>
          <w:p w14:paraId="36502812"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4.5</w:t>
            </w:r>
          </w:p>
        </w:tc>
        <w:tc>
          <w:tcPr>
            <w:tcW w:w="851" w:type="dxa"/>
            <w:tcBorders>
              <w:top w:val="nil"/>
              <w:bottom w:val="single" w:sz="8" w:space="0" w:color="8EAADB"/>
              <w:right w:val="single" w:sz="8" w:space="0" w:color="8EAADB"/>
            </w:tcBorders>
            <w:shd w:val="clear" w:color="auto" w:fill="auto"/>
            <w:vAlign w:val="center"/>
          </w:tcPr>
          <w:p w14:paraId="3C1E1162"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3.1</w:t>
            </w:r>
          </w:p>
        </w:tc>
        <w:tc>
          <w:tcPr>
            <w:tcW w:w="850" w:type="dxa"/>
            <w:tcBorders>
              <w:top w:val="nil"/>
              <w:bottom w:val="single" w:sz="8" w:space="0" w:color="8EAADB"/>
              <w:right w:val="single" w:sz="8" w:space="0" w:color="8EAADB"/>
            </w:tcBorders>
            <w:shd w:val="clear" w:color="auto" w:fill="auto"/>
          </w:tcPr>
          <w:p w14:paraId="688DA415"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5.1</w:t>
            </w:r>
          </w:p>
        </w:tc>
        <w:tc>
          <w:tcPr>
            <w:tcW w:w="851" w:type="dxa"/>
            <w:tcBorders>
              <w:top w:val="nil"/>
              <w:bottom w:val="single" w:sz="8" w:space="0" w:color="8EAADB"/>
              <w:right w:val="single" w:sz="8" w:space="0" w:color="8EAADB"/>
            </w:tcBorders>
            <w:shd w:val="clear" w:color="auto" w:fill="auto"/>
            <w:vAlign w:val="center"/>
          </w:tcPr>
          <w:p w14:paraId="1CDC9E69"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6.4</w:t>
            </w:r>
          </w:p>
        </w:tc>
        <w:tc>
          <w:tcPr>
            <w:tcW w:w="992" w:type="dxa"/>
            <w:tcBorders>
              <w:top w:val="nil"/>
              <w:bottom w:val="single" w:sz="8" w:space="0" w:color="8EAADB"/>
              <w:right w:val="single" w:sz="8" w:space="0" w:color="8EAADB"/>
            </w:tcBorders>
            <w:shd w:val="clear" w:color="auto" w:fill="auto"/>
          </w:tcPr>
          <w:p w14:paraId="56B5E162"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2.5</w:t>
            </w:r>
          </w:p>
        </w:tc>
        <w:tc>
          <w:tcPr>
            <w:tcW w:w="928" w:type="dxa"/>
            <w:tcBorders>
              <w:top w:val="nil"/>
              <w:bottom w:val="single" w:sz="8" w:space="0" w:color="8EAADB"/>
              <w:right w:val="single" w:sz="8" w:space="0" w:color="8EAADB"/>
            </w:tcBorders>
            <w:shd w:val="clear" w:color="auto" w:fill="auto"/>
            <w:vAlign w:val="center"/>
          </w:tcPr>
          <w:p w14:paraId="1A945222" w14:textId="77777777" w:rsidR="00B7540A" w:rsidRPr="00586097" w:rsidRDefault="00B7540A" w:rsidP="00B7540A">
            <w:pPr>
              <w:spacing w:before="0" w:after="0" w:line="276" w:lineRule="auto"/>
              <w:ind w:firstLine="0"/>
              <w:jc w:val="center"/>
              <w:cnfStyle w:val="000000010000" w:firstRow="0" w:lastRow="0" w:firstColumn="0" w:lastColumn="0" w:oddVBand="0" w:evenVBand="0" w:oddHBand="0" w:evenHBand="1" w:firstRowFirstColumn="0" w:firstRowLastColumn="0" w:lastRowFirstColumn="0" w:lastRowLastColumn="0"/>
              <w:rPr>
                <w:rFonts w:eastAsia="Calibri" w:cs="Calibri"/>
              </w:rPr>
            </w:pPr>
            <w:r w:rsidRPr="00586097">
              <w:rPr>
                <w:rFonts w:eastAsia="Calibri" w:cs="Calibri"/>
              </w:rPr>
              <w:t>3.5</w:t>
            </w:r>
          </w:p>
        </w:tc>
      </w:tr>
      <w:tr w:rsidR="00B7540A" w:rsidRPr="00586097" w14:paraId="25BBB9FB" w14:textId="77777777" w:rsidTr="00B75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top w:val="nil"/>
              <w:left w:val="single" w:sz="8" w:space="0" w:color="8EAADB"/>
              <w:bottom w:val="single" w:sz="8" w:space="0" w:color="8EAADB"/>
              <w:right w:val="single" w:sz="8" w:space="0" w:color="8EAADB"/>
            </w:tcBorders>
            <w:shd w:val="clear" w:color="000000" w:fill="D9E2F3"/>
            <w:vAlign w:val="center"/>
          </w:tcPr>
          <w:p w14:paraId="2278CF8B" w14:textId="77777777" w:rsidR="00B7540A" w:rsidRPr="00586097" w:rsidRDefault="00B7540A" w:rsidP="00B7540A">
            <w:pPr>
              <w:keepNext/>
              <w:spacing w:after="120" w:line="276" w:lineRule="auto"/>
              <w:ind w:firstLine="0"/>
              <w:rPr>
                <w:rFonts w:cs="Sylfaen"/>
                <w:bCs w:val="0"/>
                <w:i/>
                <w:color w:val="000000"/>
              </w:rPr>
            </w:pPr>
            <w:r w:rsidRPr="00586097">
              <w:rPr>
                <w:rFonts w:eastAsia="Calibri"/>
                <w:color w:val="000000"/>
              </w:rPr>
              <w:t>Համաշխարհային առևտրի աճ, %</w:t>
            </w:r>
          </w:p>
        </w:tc>
        <w:tc>
          <w:tcPr>
            <w:tcW w:w="851" w:type="dxa"/>
            <w:tcBorders>
              <w:top w:val="nil"/>
              <w:bottom w:val="single" w:sz="8" w:space="0" w:color="8EAADB"/>
              <w:right w:val="single" w:sz="8" w:space="0" w:color="8EAADB"/>
            </w:tcBorders>
            <w:shd w:val="clear" w:color="000000" w:fill="D9E2F3"/>
            <w:vAlign w:val="center"/>
          </w:tcPr>
          <w:p w14:paraId="0FBEC371" w14:textId="77777777" w:rsidR="00B7540A" w:rsidRPr="00586097" w:rsidRDefault="00B7540A" w:rsidP="00B7540A">
            <w:pPr>
              <w:keepNext/>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-8.5</w:t>
            </w:r>
          </w:p>
        </w:tc>
        <w:tc>
          <w:tcPr>
            <w:tcW w:w="850" w:type="dxa"/>
            <w:tcBorders>
              <w:top w:val="nil"/>
              <w:bottom w:val="single" w:sz="8" w:space="0" w:color="8EAADB"/>
              <w:right w:val="single" w:sz="8" w:space="0" w:color="8EAADB"/>
            </w:tcBorders>
            <w:shd w:val="clear" w:color="000000" w:fill="D9E2F3"/>
            <w:vAlign w:val="center"/>
          </w:tcPr>
          <w:p w14:paraId="245C8584" w14:textId="77777777" w:rsidR="00B7540A" w:rsidRPr="00586097" w:rsidRDefault="00B7540A" w:rsidP="00B7540A">
            <w:pPr>
              <w:keepNext/>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3.7</w:t>
            </w:r>
          </w:p>
        </w:tc>
        <w:tc>
          <w:tcPr>
            <w:tcW w:w="851" w:type="dxa"/>
            <w:tcBorders>
              <w:top w:val="nil"/>
              <w:bottom w:val="single" w:sz="8" w:space="0" w:color="8EAADB"/>
              <w:right w:val="single" w:sz="8" w:space="0" w:color="8EAADB"/>
            </w:tcBorders>
            <w:shd w:val="clear" w:color="000000" w:fill="D9E2F3"/>
            <w:vAlign w:val="center"/>
          </w:tcPr>
          <w:p w14:paraId="0C7AED07" w14:textId="77777777" w:rsidR="00B7540A" w:rsidRPr="00586097" w:rsidRDefault="00B7540A" w:rsidP="00B7540A">
            <w:pPr>
              <w:keepNext/>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8.4</w:t>
            </w:r>
          </w:p>
        </w:tc>
        <w:tc>
          <w:tcPr>
            <w:tcW w:w="850" w:type="dxa"/>
            <w:tcBorders>
              <w:top w:val="nil"/>
              <w:bottom w:val="single" w:sz="8" w:space="0" w:color="8EAADB"/>
              <w:right w:val="single" w:sz="8" w:space="0" w:color="8EAADB"/>
            </w:tcBorders>
            <w:shd w:val="clear" w:color="000000" w:fill="D9E2F3"/>
            <w:vAlign w:val="center"/>
          </w:tcPr>
          <w:p w14:paraId="62E3D160" w14:textId="77777777" w:rsidR="00B7540A" w:rsidRPr="00586097" w:rsidRDefault="00B7540A" w:rsidP="00B7540A">
            <w:pPr>
              <w:keepNext/>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8.0</w:t>
            </w:r>
          </w:p>
        </w:tc>
        <w:tc>
          <w:tcPr>
            <w:tcW w:w="851" w:type="dxa"/>
            <w:tcBorders>
              <w:top w:val="nil"/>
              <w:bottom w:val="single" w:sz="8" w:space="0" w:color="8EAADB"/>
              <w:right w:val="single" w:sz="8" w:space="0" w:color="8EAADB"/>
            </w:tcBorders>
            <w:shd w:val="clear" w:color="000000" w:fill="D9E2F3"/>
            <w:vAlign w:val="center"/>
          </w:tcPr>
          <w:p w14:paraId="58E433AE" w14:textId="77777777" w:rsidR="00B7540A" w:rsidRPr="00586097" w:rsidRDefault="00B7540A" w:rsidP="00B7540A">
            <w:pPr>
              <w:keepNext/>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8.3</w:t>
            </w:r>
          </w:p>
        </w:tc>
        <w:tc>
          <w:tcPr>
            <w:tcW w:w="850" w:type="dxa"/>
            <w:tcBorders>
              <w:top w:val="nil"/>
              <w:bottom w:val="single" w:sz="8" w:space="0" w:color="8EAADB"/>
              <w:right w:val="single" w:sz="8" w:space="0" w:color="8EAADB"/>
            </w:tcBorders>
            <w:shd w:val="clear" w:color="000000" w:fill="D9E2F3"/>
            <w:vAlign w:val="center"/>
          </w:tcPr>
          <w:p w14:paraId="459F71F4" w14:textId="77777777" w:rsidR="00B7540A" w:rsidRPr="00586097" w:rsidRDefault="00B7540A" w:rsidP="00B7540A">
            <w:pPr>
              <w:keepNext/>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8.1</w:t>
            </w:r>
          </w:p>
        </w:tc>
        <w:tc>
          <w:tcPr>
            <w:tcW w:w="851" w:type="dxa"/>
            <w:tcBorders>
              <w:top w:val="nil"/>
              <w:bottom w:val="single" w:sz="8" w:space="0" w:color="8EAADB"/>
              <w:right w:val="single" w:sz="8" w:space="0" w:color="8EAADB"/>
            </w:tcBorders>
            <w:shd w:val="clear" w:color="000000" w:fill="D9E2F3"/>
            <w:vAlign w:val="center"/>
          </w:tcPr>
          <w:p w14:paraId="10E36C05" w14:textId="77777777" w:rsidR="00B7540A" w:rsidRPr="00586097" w:rsidRDefault="00B7540A" w:rsidP="00B7540A">
            <w:pPr>
              <w:keepNext/>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8.4</w:t>
            </w:r>
          </w:p>
        </w:tc>
        <w:tc>
          <w:tcPr>
            <w:tcW w:w="992" w:type="dxa"/>
            <w:tcBorders>
              <w:top w:val="nil"/>
              <w:bottom w:val="single" w:sz="8" w:space="0" w:color="8EAADB"/>
              <w:right w:val="single" w:sz="8" w:space="0" w:color="8EAADB"/>
            </w:tcBorders>
            <w:shd w:val="clear" w:color="000000" w:fill="D9E2F3"/>
            <w:vAlign w:val="center"/>
          </w:tcPr>
          <w:p w14:paraId="7FB3AF24" w14:textId="77777777" w:rsidR="00B7540A" w:rsidRPr="00586097" w:rsidRDefault="00B7540A" w:rsidP="00B7540A">
            <w:pPr>
              <w:keepNext/>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6.3</w:t>
            </w:r>
          </w:p>
        </w:tc>
        <w:tc>
          <w:tcPr>
            <w:tcW w:w="928" w:type="dxa"/>
            <w:tcBorders>
              <w:top w:val="nil"/>
              <w:bottom w:val="single" w:sz="8" w:space="0" w:color="8EAADB"/>
              <w:right w:val="single" w:sz="8" w:space="0" w:color="8EAADB"/>
            </w:tcBorders>
            <w:shd w:val="clear" w:color="000000" w:fill="D9E2F3"/>
            <w:vAlign w:val="center"/>
          </w:tcPr>
          <w:p w14:paraId="2B52E22E" w14:textId="77777777" w:rsidR="00B7540A" w:rsidRPr="00586097" w:rsidRDefault="00B7540A" w:rsidP="00B7540A">
            <w:pPr>
              <w:keepNext/>
              <w:spacing w:before="0" w:after="0" w:line="276"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Calibri"/>
              </w:rPr>
            </w:pPr>
            <w:r w:rsidRPr="00586097">
              <w:rPr>
                <w:rFonts w:eastAsia="Calibri" w:cs="Calibri"/>
              </w:rPr>
              <w:t>6.5</w:t>
            </w:r>
          </w:p>
        </w:tc>
      </w:tr>
    </w:tbl>
    <w:p w14:paraId="2DDA9FA9" w14:textId="77777777" w:rsidR="00B7540A" w:rsidRPr="00586097" w:rsidRDefault="00B7540A" w:rsidP="0027114B">
      <w:pPr>
        <w:pStyle w:val="afd"/>
      </w:pPr>
      <w:r w:rsidRPr="00586097">
        <w:t>Աղբյուրը` ԱՄՀ «World Economic Outlook»</w:t>
      </w:r>
    </w:p>
    <w:p w14:paraId="372BE931" w14:textId="77777777" w:rsidR="00B7540A" w:rsidRPr="00586097" w:rsidRDefault="00B7540A" w:rsidP="00B7540A">
      <w:pPr>
        <w:spacing w:line="276" w:lineRule="auto"/>
        <w:rPr>
          <w:rFonts w:cs="Sylfaen"/>
          <w:i/>
        </w:rPr>
      </w:pPr>
    </w:p>
    <w:p w14:paraId="2A9DCBA1" w14:textId="77777777" w:rsidR="00B7540A" w:rsidRPr="00586097" w:rsidRDefault="00B7540A" w:rsidP="00B7540A">
      <w:pPr>
        <w:spacing w:line="276" w:lineRule="auto"/>
      </w:pPr>
      <w:r w:rsidRPr="00586097">
        <w:rPr>
          <w:b/>
        </w:rPr>
        <w:t>Հումքային ապրանքների համաշխարհային գները կտրուկ աճում են</w:t>
      </w:r>
      <w:r w:rsidRPr="00586097">
        <w:t>։ Համավարակով պայմանավորված ամբողջ աշխարհում պահանջարկի անկումը, անորոշության բարձրացումը և նավթի շուկայում հիմնական խաղացողների միջև տարաձայնությունները 2020թ</w:t>
      </w:r>
      <w:r w:rsidRPr="00586097">
        <w:rPr>
          <w:rFonts w:ascii="Cambria Math" w:hAnsi="Cambria Math" w:cs="Cambria Math"/>
        </w:rPr>
        <w:t>․</w:t>
      </w:r>
      <w:r w:rsidRPr="00586097">
        <w:t xml:space="preserve"> հանգեցրել են նավթի միջազգային գների շուրջ 34% նվազման, մինչդեռ պղնձի միջազգային գները, պայմանավորված երկրորդ կիսամյակի զարգացումներով, աճել են 2.7%-ով: </w:t>
      </w:r>
    </w:p>
    <w:p w14:paraId="02999644" w14:textId="77777777" w:rsidR="00B7540A" w:rsidRPr="00586097" w:rsidRDefault="00B7540A" w:rsidP="00B7540A">
      <w:pPr>
        <w:spacing w:line="276" w:lineRule="auto"/>
      </w:pPr>
      <w:r w:rsidRPr="00586097">
        <w:t>2021թ</w:t>
      </w:r>
      <w:r w:rsidRPr="00586097">
        <w:rPr>
          <w:rFonts w:ascii="Cambria Math" w:hAnsi="Cambria Math" w:cs="Cambria Math"/>
        </w:rPr>
        <w:t>․</w:t>
      </w:r>
      <w:r w:rsidRPr="00586097">
        <w:t xml:space="preserve"> առաջին կիսամյակում նախորդ տարվա նույն ժամանակահատվածի նկատմամբ պղնձի միջազգային շուկայում գներն աճել են 65.5%-ով, ինչին նպաստել է Չինաստանի բարձր տնտեսական ակտիվությունը, իսկ նավթի միջազգային գները 2021թ</w:t>
      </w:r>
      <w:r w:rsidRPr="00586097">
        <w:rPr>
          <w:rFonts w:ascii="Cambria Math" w:hAnsi="Cambria Math" w:cs="Cambria Math"/>
        </w:rPr>
        <w:t>․</w:t>
      </w:r>
      <w:r w:rsidRPr="00586097">
        <w:t xml:space="preserve"> առաջին կիսամյակում աճել են 57.6%-ով՝ հիմնականում համաշխարհային պահանջարկի վերականգնմամբ պայմանավորված:</w:t>
      </w:r>
    </w:p>
    <w:p w14:paraId="592659B6" w14:textId="77777777" w:rsidR="00B7540A" w:rsidRPr="00586097" w:rsidRDefault="00B7540A" w:rsidP="00B7540A">
      <w:pPr>
        <w:spacing w:line="276" w:lineRule="auto"/>
      </w:pPr>
      <w:r w:rsidRPr="00586097">
        <w:t>«Բլումբերգ» միջազգային հեղինակավոր կազմակերպությունը՝ իր փետրվարի կանխատեսումները մայիսին</w:t>
      </w:r>
      <w:r w:rsidRPr="00586097">
        <w:rPr>
          <w:vertAlign w:val="superscript"/>
        </w:rPr>
        <w:footnoteReference w:id="5"/>
      </w:r>
      <w:r w:rsidRPr="00586097">
        <w:t xml:space="preserve"> վերանայել է դեպի վերև: Մասնավորապես, 2021թ. նավթի և պղնձի բորսային գները կաճեն շուրջ 57%-ով, իսկ 2022թ. նավթի գները կգրանցեն թույլ անկում (2.9%), իսկ պղնձի գները՝ թույլ աճ (2.6%):</w:t>
      </w:r>
    </w:p>
    <w:p w14:paraId="2F4C7F00" w14:textId="77777777" w:rsidR="00B7540A" w:rsidRPr="00586097" w:rsidRDefault="00B7540A" w:rsidP="00B7540A">
      <w:pPr>
        <w:spacing w:line="276" w:lineRule="auto"/>
      </w:pPr>
      <w:r w:rsidRPr="00586097">
        <w:rPr>
          <w:b/>
        </w:rPr>
        <w:t>Զարգացող երկրներում ազգային արժույթները թուլացել են, իսկ երկրների ռիսկի հավելավճարները՝ որոշակի կտրուկ բարձրացումից հետո նվազել են և կայունացել:</w:t>
      </w:r>
      <w:r w:rsidRPr="00586097" w:rsidDel="00F227B8">
        <w:rPr>
          <w:b/>
        </w:rPr>
        <w:t xml:space="preserve"> </w:t>
      </w:r>
      <w:r w:rsidRPr="00586097">
        <w:t>Համավարակն իր բացասական ազդեցությունն է թողել նաև միջազգային ֆինանսական շուկաների վրա, երկրների միջև առևտրային սահմանափակումները, ներդրումային միջավայրի բարձր անորոշությունը թուլացրել են զարգացող երկրների ազգային արժույթները,  երկրների ռիսկի հավելավճարներն՝ անցած տարվա կտրուկ բարձրացումից հետո նվազել են և կայունացել</w:t>
      </w:r>
      <w:r w:rsidRPr="00586097">
        <w:rPr>
          <w:vertAlign w:val="superscript"/>
        </w:rPr>
        <w:footnoteReference w:id="6"/>
      </w:r>
      <w:r w:rsidRPr="00586097">
        <w:t>։</w:t>
      </w:r>
    </w:p>
    <w:p w14:paraId="24B0F25A" w14:textId="77777777" w:rsidR="00B7540A" w:rsidRPr="00586097" w:rsidRDefault="00B7540A" w:rsidP="00B7540A">
      <w:pPr>
        <w:keepNext/>
        <w:keepLines/>
        <w:spacing w:before="0" w:after="0" w:line="276" w:lineRule="auto"/>
        <w:ind w:firstLine="0"/>
        <w:jc w:val="left"/>
        <w:rPr>
          <w:rFonts w:eastAsia="Calibri"/>
          <w:b/>
          <w:i/>
          <w:color w:val="000000"/>
        </w:rPr>
      </w:pPr>
      <w:r w:rsidRPr="00586097">
        <w:rPr>
          <w:rFonts w:eastAsia="Calibri"/>
          <w:b/>
          <w:i/>
          <w:color w:val="000000"/>
        </w:rPr>
        <w:t>Միջազգային տնտեսական և ֆինանսական զարգացումները և կանխատեսումները</w:t>
      </w:r>
    </w:p>
    <w:tbl>
      <w:tblPr>
        <w:tblStyle w:val="TableGrid22141"/>
        <w:tblW w:w="9812" w:type="dxa"/>
        <w:tblInd w:w="-8" w:type="dxa"/>
        <w:tblBorders>
          <w:top w:val="single" w:sz="6" w:space="0" w:color="4F81BD"/>
          <w:left w:val="single" w:sz="6" w:space="0" w:color="4F81BD"/>
          <w:bottom w:val="single" w:sz="6" w:space="0" w:color="4F81BD"/>
          <w:right w:val="single" w:sz="6" w:space="0" w:color="4F81BD"/>
          <w:insideH w:val="single" w:sz="6" w:space="0" w:color="4F81BD"/>
          <w:insideV w:val="single" w:sz="6" w:space="0" w:color="4F81BD"/>
        </w:tblBorders>
        <w:tblLayout w:type="fixed"/>
        <w:tblLook w:val="04A0" w:firstRow="1" w:lastRow="0" w:firstColumn="1" w:lastColumn="0" w:noHBand="0" w:noVBand="1"/>
      </w:tblPr>
      <w:tblGrid>
        <w:gridCol w:w="4890"/>
        <w:gridCol w:w="4922"/>
      </w:tblGrid>
      <w:tr w:rsidR="00B7540A" w:rsidRPr="005849E3" w14:paraId="6EE7337C" w14:textId="77777777" w:rsidTr="00B7540A">
        <w:trPr>
          <w:trHeight w:val="4190"/>
        </w:trPr>
        <w:tc>
          <w:tcPr>
            <w:tcW w:w="4890" w:type="dxa"/>
          </w:tcPr>
          <w:p w14:paraId="334E27E2" w14:textId="77777777" w:rsidR="00B7540A" w:rsidRPr="00F30397" w:rsidRDefault="00B7540A" w:rsidP="00F30397">
            <w:pPr>
              <w:pStyle w:val="afe"/>
            </w:pPr>
            <w:r w:rsidRPr="00F30397">
              <w:drawing>
                <wp:anchor distT="0" distB="0" distL="114300" distR="114300" simplePos="0" relativeHeight="251628032" behindDoc="1" locked="0" layoutInCell="1" allowOverlap="1" wp14:anchorId="136131D7" wp14:editId="12C1CF4A">
                  <wp:simplePos x="0" y="0"/>
                  <wp:positionH relativeFrom="column">
                    <wp:posOffset>-64135</wp:posOffset>
                  </wp:positionH>
                  <wp:positionV relativeFrom="paragraph">
                    <wp:posOffset>559435</wp:posOffset>
                  </wp:positionV>
                  <wp:extent cx="3133725" cy="1852295"/>
                  <wp:effectExtent l="0" t="0" r="9525" b="14605"/>
                  <wp:wrapTight wrapText="bothSides">
                    <wp:wrapPolygon edited="0">
                      <wp:start x="0" y="0"/>
                      <wp:lineTo x="0" y="21548"/>
                      <wp:lineTo x="21534" y="21548"/>
                      <wp:lineTo x="21534" y="0"/>
                      <wp:lineTo x="0" y="0"/>
                    </wp:wrapPolygon>
                  </wp:wrapTight>
                  <wp:docPr id="2063" name="Chart 20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V relativeFrom="margin">
                    <wp14:pctHeight>0</wp14:pctHeight>
                  </wp14:sizeRelV>
                </wp:anchor>
              </w:drawing>
            </w:r>
            <w:r w:rsidRPr="00F30397">
              <w:t>Գծապատկեր 1.1. Համաշխարհային խոր անկումից հետո տնտեսությունները վերականգնվում են (տնտեսական աճեր, %)</w:t>
            </w:r>
          </w:p>
          <w:p w14:paraId="585CE3FD" w14:textId="77777777" w:rsidR="00B7540A" w:rsidRPr="00586097" w:rsidRDefault="00B7540A" w:rsidP="00F30397">
            <w:pPr>
              <w:pStyle w:val="afd"/>
              <w:rPr>
                <w:b/>
              </w:rPr>
            </w:pPr>
            <w:r w:rsidRPr="00586097">
              <w:t xml:space="preserve"> Աղբյուրը՝ ԱՄՀ</w:t>
            </w:r>
          </w:p>
        </w:tc>
        <w:tc>
          <w:tcPr>
            <w:tcW w:w="4922" w:type="dxa"/>
          </w:tcPr>
          <w:p w14:paraId="7EA34769" w14:textId="77777777" w:rsidR="00B7540A" w:rsidRPr="009121FA" w:rsidRDefault="00B7540A" w:rsidP="00F30397">
            <w:pPr>
              <w:pStyle w:val="afe"/>
              <w:rPr>
                <w:lang w:val="hy-AM"/>
              </w:rPr>
            </w:pPr>
            <w:r w:rsidRPr="009121FA">
              <w:rPr>
                <w:lang w:val="hy-AM"/>
              </w:rPr>
              <w:t>Գծապատկեր 1.2. Հումքային ապրանքների գների դինամիկան</w:t>
            </w:r>
          </w:p>
          <w:p w14:paraId="58F77391" w14:textId="77777777" w:rsidR="00B7540A" w:rsidRPr="00B7540A" w:rsidRDefault="00B7540A" w:rsidP="00B7540A">
            <w:pPr>
              <w:spacing w:before="0" w:after="0" w:line="276" w:lineRule="auto"/>
              <w:ind w:firstLine="0"/>
              <w:contextualSpacing/>
              <w:rPr>
                <w:bCs/>
                <w:i/>
                <w:lang w:val="hy-AM"/>
              </w:rPr>
            </w:pPr>
            <w:r w:rsidRPr="00586097">
              <w:rPr>
                <w:b/>
                <w:noProof/>
              </w:rPr>
              <w:drawing>
                <wp:anchor distT="0" distB="0" distL="114300" distR="114300" simplePos="0" relativeHeight="251631104" behindDoc="1" locked="0" layoutInCell="1" allowOverlap="1" wp14:anchorId="3039F69E" wp14:editId="3AB6CFBC">
                  <wp:simplePos x="0" y="0"/>
                  <wp:positionH relativeFrom="column">
                    <wp:posOffset>-62230</wp:posOffset>
                  </wp:positionH>
                  <wp:positionV relativeFrom="paragraph">
                    <wp:posOffset>184785</wp:posOffset>
                  </wp:positionV>
                  <wp:extent cx="3057525" cy="1847850"/>
                  <wp:effectExtent l="0" t="0" r="9525" b="0"/>
                  <wp:wrapTight wrapText="bothSides">
                    <wp:wrapPolygon edited="0">
                      <wp:start x="0" y="0"/>
                      <wp:lineTo x="0" y="21377"/>
                      <wp:lineTo x="21533" y="21377"/>
                      <wp:lineTo x="21533" y="0"/>
                      <wp:lineTo x="0" y="0"/>
                    </wp:wrapPolygon>
                  </wp:wrapTight>
                  <wp:docPr id="2064" name="Chart 20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p>
          <w:p w14:paraId="28195539" w14:textId="77777777" w:rsidR="00B7540A" w:rsidRPr="00586097" w:rsidRDefault="00B7540A" w:rsidP="00F30397">
            <w:pPr>
              <w:pStyle w:val="afd"/>
            </w:pPr>
            <w:r w:rsidRPr="00586097">
              <w:t xml:space="preserve">Աղբյուրը՝ կանխատեսումները ըստ Բլումբերգի </w:t>
            </w:r>
          </w:p>
        </w:tc>
      </w:tr>
      <w:tr w:rsidR="00B7540A" w:rsidRPr="005849E3" w14:paraId="0CB97B71" w14:textId="77777777" w:rsidTr="00B7540A">
        <w:trPr>
          <w:trHeight w:val="202"/>
        </w:trPr>
        <w:tc>
          <w:tcPr>
            <w:tcW w:w="4890" w:type="dxa"/>
          </w:tcPr>
          <w:p w14:paraId="36AF1CB3" w14:textId="77777777" w:rsidR="00B7540A" w:rsidRPr="00586097" w:rsidRDefault="00B7540A" w:rsidP="00B7540A">
            <w:pPr>
              <w:pStyle w:val="afe"/>
              <w:rPr>
                <w:sz w:val="22"/>
                <w:szCs w:val="22"/>
                <w:lang w:val="hy-AM"/>
              </w:rPr>
            </w:pPr>
            <w:r w:rsidRPr="00F30397">
              <w:drawing>
                <wp:anchor distT="0" distB="0" distL="114300" distR="114300" simplePos="0" relativeHeight="251621888" behindDoc="1" locked="0" layoutInCell="1" allowOverlap="1" wp14:anchorId="124C2BF4" wp14:editId="0F3EDC27">
                  <wp:simplePos x="0" y="0"/>
                  <wp:positionH relativeFrom="column">
                    <wp:posOffset>-64135</wp:posOffset>
                  </wp:positionH>
                  <wp:positionV relativeFrom="paragraph">
                    <wp:posOffset>394335</wp:posOffset>
                  </wp:positionV>
                  <wp:extent cx="3096260" cy="1748790"/>
                  <wp:effectExtent l="0" t="0" r="8890" b="3810"/>
                  <wp:wrapTight wrapText="bothSides">
                    <wp:wrapPolygon edited="0">
                      <wp:start x="0" y="0"/>
                      <wp:lineTo x="0" y="21412"/>
                      <wp:lineTo x="21529" y="21412"/>
                      <wp:lineTo x="21529" y="0"/>
                      <wp:lineTo x="0" y="0"/>
                    </wp:wrapPolygon>
                  </wp:wrapTight>
                  <wp:docPr id="2065" name="Chart 20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V relativeFrom="margin">
                    <wp14:pctHeight>0</wp14:pctHeight>
                  </wp14:sizeRelV>
                </wp:anchor>
              </w:drawing>
            </w:r>
            <w:r w:rsidRPr="009121FA">
              <w:rPr>
                <w:lang w:val="hy-AM"/>
              </w:rPr>
              <w:t xml:space="preserve">Գծապատկեր 1.3. Համաշխարհային առևտուրը վերականգնվում է  </w:t>
            </w:r>
          </w:p>
          <w:p w14:paraId="76ECD438" w14:textId="77777777" w:rsidR="00B7540A" w:rsidRPr="00F30397" w:rsidRDefault="00B7540A" w:rsidP="00F30397">
            <w:pPr>
              <w:pStyle w:val="afd"/>
            </w:pPr>
            <w:r w:rsidRPr="00F30397">
              <w:t>Աղբյուրը՝ ԱՄՀ</w:t>
            </w:r>
          </w:p>
        </w:tc>
        <w:tc>
          <w:tcPr>
            <w:tcW w:w="4922" w:type="dxa"/>
          </w:tcPr>
          <w:p w14:paraId="76965656" w14:textId="77777777" w:rsidR="00B7540A" w:rsidRPr="009121FA" w:rsidRDefault="00B7540A" w:rsidP="00F30397">
            <w:pPr>
              <w:pStyle w:val="afe"/>
              <w:rPr>
                <w:lang w:val="hy-AM"/>
              </w:rPr>
            </w:pPr>
            <w:r w:rsidRPr="00F30397">
              <w:drawing>
                <wp:anchor distT="0" distB="0" distL="114300" distR="114300" simplePos="0" relativeHeight="251634176" behindDoc="1" locked="0" layoutInCell="1" allowOverlap="1" wp14:anchorId="79907398" wp14:editId="35AF8D99">
                  <wp:simplePos x="0" y="0"/>
                  <wp:positionH relativeFrom="column">
                    <wp:posOffset>-64135</wp:posOffset>
                  </wp:positionH>
                  <wp:positionV relativeFrom="paragraph">
                    <wp:posOffset>346710</wp:posOffset>
                  </wp:positionV>
                  <wp:extent cx="3123565" cy="1796415"/>
                  <wp:effectExtent l="0" t="0" r="635" b="13335"/>
                  <wp:wrapTight wrapText="bothSides">
                    <wp:wrapPolygon edited="0">
                      <wp:start x="0" y="0"/>
                      <wp:lineTo x="0" y="21531"/>
                      <wp:lineTo x="21473" y="21531"/>
                      <wp:lineTo x="21473" y="0"/>
                      <wp:lineTo x="0" y="0"/>
                    </wp:wrapPolygon>
                  </wp:wrapTight>
                  <wp:docPr id="2066" name="Chart 20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V relativeFrom="margin">
                    <wp14:pctHeight>0</wp14:pctHeight>
                  </wp14:sizeRelV>
                </wp:anchor>
              </w:drawing>
            </w:r>
            <w:r w:rsidRPr="009121FA">
              <w:rPr>
                <w:lang w:val="hy-AM"/>
              </w:rPr>
              <w:t>Գծապատկեր 1.4. Զարգացող երկրներում ազգային արժույթները  դոլարի նկատմամբ թուլացել են</w:t>
            </w:r>
            <w:r w:rsidRPr="00F30397">
              <w:footnoteReference w:id="7"/>
            </w:r>
          </w:p>
          <w:p w14:paraId="007B13F6" w14:textId="77777777" w:rsidR="00B7540A" w:rsidRPr="00F30397" w:rsidRDefault="00B7540A" w:rsidP="00F30397">
            <w:pPr>
              <w:pStyle w:val="afd"/>
            </w:pPr>
            <w:r w:rsidRPr="00F30397">
              <w:t>Աղբյուրը՝ Բլումբերգ, ՀՀ ԿԲ, ՀՀ ՖՆ հաշվարկներ</w:t>
            </w:r>
          </w:p>
        </w:tc>
      </w:tr>
      <w:tr w:rsidR="00B7540A" w:rsidRPr="00586097" w14:paraId="4D82A5FF" w14:textId="77777777" w:rsidTr="00B7540A">
        <w:trPr>
          <w:trHeight w:val="4164"/>
        </w:trPr>
        <w:tc>
          <w:tcPr>
            <w:tcW w:w="4890" w:type="dxa"/>
          </w:tcPr>
          <w:p w14:paraId="42C164EF" w14:textId="77777777" w:rsidR="00B7540A" w:rsidRPr="009121FA" w:rsidRDefault="00B7540A" w:rsidP="00F30397">
            <w:pPr>
              <w:pStyle w:val="afe"/>
              <w:rPr>
                <w:lang w:val="hy-AM"/>
              </w:rPr>
            </w:pPr>
            <w:r w:rsidRPr="00F30397">
              <w:drawing>
                <wp:anchor distT="0" distB="0" distL="114300" distR="114300" simplePos="0" relativeHeight="251624960" behindDoc="1" locked="0" layoutInCell="1" allowOverlap="1" wp14:anchorId="2AD7F855" wp14:editId="3A5E8EE0">
                  <wp:simplePos x="0" y="0"/>
                  <wp:positionH relativeFrom="column">
                    <wp:posOffset>-64135</wp:posOffset>
                  </wp:positionH>
                  <wp:positionV relativeFrom="paragraph">
                    <wp:posOffset>401458</wp:posOffset>
                  </wp:positionV>
                  <wp:extent cx="3157855" cy="1971675"/>
                  <wp:effectExtent l="0" t="0" r="4445" b="9525"/>
                  <wp:wrapTight wrapText="bothSides">
                    <wp:wrapPolygon edited="0">
                      <wp:start x="0" y="0"/>
                      <wp:lineTo x="0" y="21496"/>
                      <wp:lineTo x="21500" y="21496"/>
                      <wp:lineTo x="21500" y="0"/>
                      <wp:lineTo x="0" y="0"/>
                    </wp:wrapPolygon>
                  </wp:wrapTight>
                  <wp:docPr id="2067" name="Chart 20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V relativeFrom="margin">
                    <wp14:pctHeight>0</wp14:pctHeight>
                  </wp14:sizeRelV>
                </wp:anchor>
              </w:drawing>
            </w:r>
            <w:r w:rsidRPr="009121FA">
              <w:rPr>
                <w:lang w:val="hy-AM"/>
              </w:rPr>
              <w:t>Գծապատկեր 1.5. Բաժնետոմսերի միջազգային շուկան  վերականգնվել է</w:t>
            </w:r>
          </w:p>
          <w:p w14:paraId="104A03B9" w14:textId="77777777" w:rsidR="00B7540A" w:rsidRPr="00F30397" w:rsidRDefault="00B7540A" w:rsidP="00F30397">
            <w:pPr>
              <w:pStyle w:val="afd"/>
            </w:pPr>
            <w:r w:rsidRPr="00F30397">
              <w:t>Աղբյուրը՝ Բլումբերգ, ՀՀ ՖՆ հաշվարկներ</w:t>
            </w:r>
          </w:p>
        </w:tc>
        <w:tc>
          <w:tcPr>
            <w:tcW w:w="4922" w:type="dxa"/>
          </w:tcPr>
          <w:p w14:paraId="027D98BE" w14:textId="77777777" w:rsidR="00B7540A" w:rsidRPr="009121FA" w:rsidRDefault="00B7540A" w:rsidP="00F30397">
            <w:pPr>
              <w:pStyle w:val="afe"/>
              <w:rPr>
                <w:lang w:val="hy-AM"/>
              </w:rPr>
            </w:pPr>
            <w:r w:rsidRPr="009121FA">
              <w:rPr>
                <w:lang w:val="hy-AM"/>
              </w:rPr>
              <w:t>Գծապատկեր 1.6. Զարգացող երկրներում ռիսկի հավելավճարները</w:t>
            </w:r>
            <w:r w:rsidRPr="00F30397">
              <w:footnoteReference w:id="8"/>
            </w:r>
            <w:r w:rsidRPr="009121FA">
              <w:rPr>
                <w:lang w:val="hy-AM"/>
              </w:rPr>
              <w:t xml:space="preserve"> կայունացել են </w:t>
            </w:r>
          </w:p>
          <w:p w14:paraId="27595DE8" w14:textId="77777777" w:rsidR="00B7540A" w:rsidRPr="00586097" w:rsidRDefault="00B7540A" w:rsidP="00B7540A">
            <w:pPr>
              <w:spacing w:after="160" w:line="276" w:lineRule="auto"/>
              <w:ind w:firstLine="0"/>
              <w:contextualSpacing/>
              <w:rPr>
                <w:b/>
              </w:rPr>
            </w:pPr>
            <w:r w:rsidRPr="00586097">
              <w:rPr>
                <w:b/>
                <w:noProof/>
              </w:rPr>
              <w:drawing>
                <wp:inline distT="0" distB="0" distL="0" distR="0" wp14:anchorId="589BF17A" wp14:editId="718BC7CF">
                  <wp:extent cx="3181350" cy="2035534"/>
                  <wp:effectExtent l="0" t="0" r="0" b="3175"/>
                  <wp:docPr id="2068" name="Chart 20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A745F8E" w14:textId="77777777" w:rsidR="00B7540A" w:rsidRPr="00F30397" w:rsidRDefault="00B7540A" w:rsidP="00F30397">
            <w:pPr>
              <w:pStyle w:val="afd"/>
            </w:pPr>
            <w:r w:rsidRPr="00F30397">
              <w:t>Աղբյուրը՝ Բլումբերգ</w:t>
            </w:r>
          </w:p>
        </w:tc>
      </w:tr>
    </w:tbl>
    <w:p w14:paraId="2827188E" w14:textId="77777777" w:rsidR="00B7540A" w:rsidRPr="00586097" w:rsidRDefault="00B7540A" w:rsidP="00B7540A">
      <w:pPr>
        <w:spacing w:line="276" w:lineRule="auto"/>
      </w:pPr>
    </w:p>
    <w:p w14:paraId="7EE5CF28" w14:textId="77777777" w:rsidR="00B7540A" w:rsidRPr="00586097" w:rsidRDefault="00B7540A" w:rsidP="00B7540A">
      <w:pPr>
        <w:spacing w:line="276" w:lineRule="auto"/>
      </w:pPr>
      <w:r w:rsidRPr="00586097">
        <w:rPr>
          <w:b/>
        </w:rPr>
        <w:t>Առողջապահական և տնտեսական ճգնաժամին հակազդելու համար աշխարհում Կառավարությունները և Կենտրոնական բանկերը ավելի «ագրեսիվ» են խթանել տնտեսություններին, քան իրականացրել են համաշխարհային ֆինանսական ճգնաճամի ժամանակ</w:t>
      </w:r>
      <w:r w:rsidRPr="00586097">
        <w:t>։ COVID-19 համարավարակի հետևանքները հաղթահարելու համար հարկաբյուջետային քաղաքականությունը առանցքային դերակատարում ունի։ Ընդհանուր առմամբ, համավարակին հակազդելու համար մշակված հարկաբյուջետային փաթեթներն աշխարհի մակարդակով գնահատվում են 16 տրիլիոն դոլար (վերաբերում է ինչպես 2020, այնպես էլ 2021թ</w:t>
      </w:r>
      <w:r w:rsidRPr="00586097">
        <w:rPr>
          <w:rFonts w:ascii="Cambria Math" w:hAnsi="Cambria Math" w:cs="Cambria Math"/>
        </w:rPr>
        <w:t>․</w:t>
      </w:r>
      <w:r w:rsidRPr="00586097">
        <w:t xml:space="preserve"> համար նախատեսված միջոցառումներին)</w:t>
      </w:r>
      <w:r w:rsidRPr="00586097">
        <w:rPr>
          <w:vertAlign w:val="superscript"/>
        </w:rPr>
        <w:footnoteReference w:id="9"/>
      </w:r>
      <w:r w:rsidRPr="00586097">
        <w:t>։ Վերջինից 10 տրիլիոնը վերաբերում է ծախսային և հարկային միջոցառումներին (բյուջեի վրա ուղղակի ազդեցություն ունեցող), իսկ 6 տրիլիոնը՝ պետական վարկերի, կապիտալի ներարկումների և վարկային երաշխիքների տրամադրմանը։ Կենտրոնական բանկերը ևս խթանող դրամավարկային քաղաքականությամբ (տոկոսադրույքների նվազեցում և ֆինանսական շուկայից ակտիվների ձեռք բերման աննախադեպ ծրագրերի իրականացում) հակազդել են համավարակի տարածման տնտեսական ազդեցություններին։</w:t>
      </w:r>
    </w:p>
    <w:p w14:paraId="51492DFD" w14:textId="77777777" w:rsidR="00B7540A" w:rsidRPr="00586097" w:rsidRDefault="00B7540A" w:rsidP="00B7540A">
      <w:pPr>
        <w:spacing w:line="276" w:lineRule="auto"/>
      </w:pPr>
      <w:r w:rsidRPr="00586097">
        <w:t>Խթանող հարկաբյուջետային քաղաքականության պայմաններում 2020թ. աշխարհում գրանցվել է պետական բյուջեի պակասուրդի և պարտքի բեռի էական աճ: 2021թ. սպասվող վերականգնման պայմաններում Կառավարությունները սկսելու են իրականացնել հարկաբյուջետային կոնսոլիդացիա՝ պետական պարտքի բեռի աճը մեղմելու և հետագայում կայունացնելու նպատակադրմամբ:</w:t>
      </w:r>
    </w:p>
    <w:p w14:paraId="7F761182" w14:textId="77777777" w:rsidR="00B7540A" w:rsidRPr="00586097" w:rsidRDefault="00B7540A" w:rsidP="00B7540A">
      <w:pPr>
        <w:pStyle w:val="afc"/>
        <w:spacing w:line="276" w:lineRule="auto"/>
      </w:pPr>
      <w:r w:rsidRPr="00586097">
        <w:t xml:space="preserve">Գծապատկեր 1.7. Համաշխարհային տնտեսության և հարկաբյուջետային քաղաքականության արձագանքը (% ՀՆԱ-ում) ճգնաժամերի և հաջորդող տարիներին </w:t>
      </w:r>
    </w:p>
    <w:tbl>
      <w:tblPr>
        <w:tblStyle w:val="TableGrid41131"/>
        <w:tblW w:w="9619" w:type="dxa"/>
        <w:tblBorders>
          <w:top w:val="single" w:sz="6" w:space="0" w:color="4472C4"/>
          <w:left w:val="single" w:sz="6" w:space="0" w:color="4472C4"/>
          <w:bottom w:val="single" w:sz="6" w:space="0" w:color="4472C4"/>
          <w:right w:val="single" w:sz="6" w:space="0" w:color="4472C4"/>
          <w:insideH w:val="single" w:sz="6" w:space="0" w:color="4472C4"/>
          <w:insideV w:val="single" w:sz="6" w:space="0" w:color="4472C4"/>
        </w:tblBorders>
        <w:tblLook w:val="04A0" w:firstRow="1" w:lastRow="0" w:firstColumn="1" w:lastColumn="0" w:noHBand="0" w:noVBand="1"/>
      </w:tblPr>
      <w:tblGrid>
        <w:gridCol w:w="3290"/>
        <w:gridCol w:w="3409"/>
        <w:gridCol w:w="3319"/>
      </w:tblGrid>
      <w:tr w:rsidR="00B7540A" w:rsidRPr="00586097" w14:paraId="4B17B5F8" w14:textId="77777777" w:rsidTr="00B7540A">
        <w:trPr>
          <w:trHeight w:val="3593"/>
        </w:trPr>
        <w:tc>
          <w:tcPr>
            <w:tcW w:w="3159" w:type="dxa"/>
          </w:tcPr>
          <w:p w14:paraId="6F8A96D1" w14:textId="77777777" w:rsidR="00B7540A" w:rsidRPr="00F30397" w:rsidRDefault="00B7540A" w:rsidP="00F30397">
            <w:pPr>
              <w:pStyle w:val="afd"/>
            </w:pPr>
            <w:r w:rsidRPr="00F30397">
              <w:rPr>
                <w:noProof/>
                <w:lang w:val="en-US"/>
              </w:rPr>
              <w:drawing>
                <wp:anchor distT="0" distB="0" distL="114300" distR="114300" simplePos="0" relativeHeight="251637248" behindDoc="1" locked="0" layoutInCell="1" allowOverlap="1" wp14:anchorId="1A7D3F05" wp14:editId="51E76F2B">
                  <wp:simplePos x="0" y="0"/>
                  <wp:positionH relativeFrom="column">
                    <wp:posOffset>-10160</wp:posOffset>
                  </wp:positionH>
                  <wp:positionV relativeFrom="paragraph">
                    <wp:posOffset>19685</wp:posOffset>
                  </wp:positionV>
                  <wp:extent cx="1943735" cy="2695575"/>
                  <wp:effectExtent l="0" t="0" r="18415" b="9525"/>
                  <wp:wrapTight wrapText="bothSides">
                    <wp:wrapPolygon edited="0">
                      <wp:start x="0" y="0"/>
                      <wp:lineTo x="0" y="21524"/>
                      <wp:lineTo x="21593" y="21524"/>
                      <wp:lineTo x="21593" y="0"/>
                      <wp:lineTo x="0" y="0"/>
                    </wp:wrapPolygon>
                  </wp:wrapTight>
                  <wp:docPr id="2069" name="Chart 20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Pr="00F30397">
              <w:t>Աղբյուրը՝ ԱՄՀ, 2021թ. կանխատեսում:</w:t>
            </w:r>
          </w:p>
        </w:tc>
        <w:tc>
          <w:tcPr>
            <w:tcW w:w="3273" w:type="dxa"/>
          </w:tcPr>
          <w:p w14:paraId="32C8D407" w14:textId="77777777" w:rsidR="00B7540A" w:rsidRPr="00586097" w:rsidRDefault="00B7540A" w:rsidP="00B7540A">
            <w:pPr>
              <w:spacing w:before="0" w:after="0" w:line="276" w:lineRule="auto"/>
              <w:ind w:firstLine="0"/>
              <w:contextualSpacing/>
            </w:pPr>
            <w:r w:rsidRPr="00586097">
              <w:rPr>
                <w:noProof/>
              </w:rPr>
              <w:drawing>
                <wp:anchor distT="0" distB="0" distL="114300" distR="114300" simplePos="0" relativeHeight="251640320" behindDoc="1" locked="0" layoutInCell="1" allowOverlap="1" wp14:anchorId="36A0A1FC" wp14:editId="4B730076">
                  <wp:simplePos x="0" y="0"/>
                  <wp:positionH relativeFrom="column">
                    <wp:posOffset>-4445</wp:posOffset>
                  </wp:positionH>
                  <wp:positionV relativeFrom="paragraph">
                    <wp:posOffset>39370</wp:posOffset>
                  </wp:positionV>
                  <wp:extent cx="2038350" cy="2714625"/>
                  <wp:effectExtent l="0" t="0" r="0" b="9525"/>
                  <wp:wrapTight wrapText="bothSides">
                    <wp:wrapPolygon edited="0">
                      <wp:start x="0" y="0"/>
                      <wp:lineTo x="0" y="21524"/>
                      <wp:lineTo x="21398" y="21524"/>
                      <wp:lineTo x="21398" y="0"/>
                      <wp:lineTo x="0" y="0"/>
                    </wp:wrapPolygon>
                  </wp:wrapTight>
                  <wp:docPr id="2070" name="Chart 207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V relativeFrom="margin">
                    <wp14:pctHeight>0</wp14:pctHeight>
                  </wp14:sizeRelV>
                </wp:anchor>
              </w:drawing>
            </w:r>
          </w:p>
        </w:tc>
        <w:tc>
          <w:tcPr>
            <w:tcW w:w="3187" w:type="dxa"/>
          </w:tcPr>
          <w:p w14:paraId="5D7ACD02" w14:textId="77777777" w:rsidR="00B7540A" w:rsidRPr="00586097" w:rsidRDefault="00B7540A" w:rsidP="00B7540A">
            <w:pPr>
              <w:spacing w:before="0" w:after="0" w:line="276" w:lineRule="auto"/>
              <w:ind w:firstLine="0"/>
              <w:contextualSpacing/>
            </w:pPr>
            <w:r w:rsidRPr="00586097">
              <w:rPr>
                <w:noProof/>
              </w:rPr>
              <w:drawing>
                <wp:anchor distT="0" distB="0" distL="114300" distR="114300" simplePos="0" relativeHeight="251643392" behindDoc="1" locked="0" layoutInCell="1" allowOverlap="1" wp14:anchorId="15E58663" wp14:editId="21613D70">
                  <wp:simplePos x="0" y="0"/>
                  <wp:positionH relativeFrom="column">
                    <wp:posOffset>-55880</wp:posOffset>
                  </wp:positionH>
                  <wp:positionV relativeFrom="paragraph">
                    <wp:posOffset>58420</wp:posOffset>
                  </wp:positionV>
                  <wp:extent cx="1979930" cy="2695575"/>
                  <wp:effectExtent l="0" t="0" r="1270" b="9525"/>
                  <wp:wrapTight wrapText="bothSides">
                    <wp:wrapPolygon edited="0">
                      <wp:start x="0" y="0"/>
                      <wp:lineTo x="0" y="21524"/>
                      <wp:lineTo x="21406" y="21524"/>
                      <wp:lineTo x="21406" y="0"/>
                      <wp:lineTo x="0" y="0"/>
                    </wp:wrapPolygon>
                  </wp:wrapTight>
                  <wp:docPr id="2071" name="Chart 20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V relativeFrom="margin">
                    <wp14:pctHeight>0</wp14:pctHeight>
                  </wp14:sizeRelV>
                </wp:anchor>
              </w:drawing>
            </w:r>
          </w:p>
        </w:tc>
      </w:tr>
    </w:tbl>
    <w:p w14:paraId="67ACC8AD" w14:textId="77777777" w:rsidR="00B7540A" w:rsidRPr="00586097" w:rsidRDefault="00B7540A" w:rsidP="00B7540A">
      <w:pPr>
        <w:spacing w:after="120" w:line="276" w:lineRule="auto"/>
        <w:contextualSpacing/>
      </w:pPr>
    </w:p>
    <w:p w14:paraId="6A9B9007" w14:textId="77777777" w:rsidR="00B7540A" w:rsidRPr="00C0628C" w:rsidRDefault="00B7540A" w:rsidP="00C0628C">
      <w:pPr>
        <w:pStyle w:val="Heading3"/>
        <w:shd w:val="clear" w:color="auto" w:fill="FFFFFF" w:themeFill="background1"/>
        <w:rPr>
          <w:rFonts w:cs="Sylfaen"/>
          <w:bCs/>
          <w:caps w:val="0"/>
          <w:color w:val="1F497D" w:themeColor="text2"/>
          <w:sz w:val="28"/>
          <w:szCs w:val="28"/>
        </w:rPr>
      </w:pPr>
      <w:bookmarkStart w:id="178" w:name="_Toc77249718"/>
      <w:bookmarkStart w:id="179" w:name="_Toc77252785"/>
      <w:bookmarkStart w:id="180" w:name="_Toc77337785"/>
      <w:bookmarkStart w:id="181" w:name="_Toc77338265"/>
      <w:bookmarkStart w:id="182" w:name="_Toc77338412"/>
      <w:bookmarkStart w:id="183" w:name="_Toc77339225"/>
      <w:bookmarkStart w:id="184" w:name="_Toc77249719"/>
      <w:bookmarkStart w:id="185" w:name="_Toc77252786"/>
      <w:bookmarkStart w:id="186" w:name="_Toc77337786"/>
      <w:bookmarkStart w:id="187" w:name="_Toc77338266"/>
      <w:bookmarkStart w:id="188" w:name="_Toc77338413"/>
      <w:bookmarkStart w:id="189" w:name="_Toc77339226"/>
      <w:bookmarkStart w:id="190" w:name="_Toc77337787"/>
      <w:bookmarkStart w:id="191" w:name="_Toc77338267"/>
      <w:bookmarkStart w:id="192" w:name="_Toc77338414"/>
      <w:bookmarkStart w:id="193" w:name="_Toc77339227"/>
      <w:bookmarkStart w:id="194" w:name="_Toc77337788"/>
      <w:bookmarkStart w:id="195" w:name="_Toc77338268"/>
      <w:bookmarkStart w:id="196" w:name="_Toc77338415"/>
      <w:bookmarkStart w:id="197" w:name="_Toc77339228"/>
      <w:bookmarkStart w:id="198" w:name="_Toc77337789"/>
      <w:bookmarkStart w:id="199" w:name="_Toc77338269"/>
      <w:bookmarkStart w:id="200" w:name="_Toc77338416"/>
      <w:bookmarkStart w:id="201" w:name="_Toc77339229"/>
      <w:bookmarkStart w:id="202" w:name="_Toc77337790"/>
      <w:bookmarkStart w:id="203" w:name="_Toc77338270"/>
      <w:bookmarkStart w:id="204" w:name="_Toc77338417"/>
      <w:bookmarkStart w:id="205" w:name="_Toc77339230"/>
      <w:bookmarkStart w:id="206" w:name="_Toc77337791"/>
      <w:bookmarkStart w:id="207" w:name="_Toc77338271"/>
      <w:bookmarkStart w:id="208" w:name="_Toc77338418"/>
      <w:bookmarkStart w:id="209" w:name="_Toc77339231"/>
      <w:bookmarkStart w:id="210" w:name="_Toc77337792"/>
      <w:bookmarkStart w:id="211" w:name="_Toc77338272"/>
      <w:bookmarkStart w:id="212" w:name="_Toc77338419"/>
      <w:bookmarkStart w:id="213" w:name="_Toc77339232"/>
      <w:bookmarkStart w:id="214" w:name="_Toc77337793"/>
      <w:bookmarkStart w:id="215" w:name="_Toc77338273"/>
      <w:bookmarkStart w:id="216" w:name="_Toc77338420"/>
      <w:bookmarkStart w:id="217" w:name="_Toc77339233"/>
      <w:bookmarkStart w:id="218" w:name="_Toc77337794"/>
      <w:bookmarkStart w:id="219" w:name="_Toc77338274"/>
      <w:bookmarkStart w:id="220" w:name="_Toc77338421"/>
      <w:bookmarkStart w:id="221" w:name="_Toc77339234"/>
      <w:bookmarkStart w:id="222" w:name="_Toc77336443"/>
      <w:bookmarkStart w:id="223" w:name="_Toc77336545"/>
      <w:bookmarkStart w:id="224" w:name="_Toc77339237"/>
      <w:bookmarkStart w:id="225" w:name="_Toc77342841"/>
      <w:bookmarkStart w:id="226" w:name="_Toc77351120"/>
      <w:bookmarkStart w:id="227" w:name="_Toc77351568"/>
      <w:bookmarkStart w:id="228" w:name="_Toc77352005"/>
      <w:bookmarkStart w:id="229" w:name="_Toc77353443"/>
      <w:bookmarkStart w:id="230" w:name="_Toc77355423"/>
      <w:bookmarkStart w:id="231" w:name="_Toc77358334"/>
      <w:bookmarkStart w:id="232" w:name="_Toc77359236"/>
      <w:bookmarkStart w:id="233" w:name="_Toc77339247"/>
      <w:bookmarkStart w:id="234" w:name="_Toc77342851"/>
      <w:bookmarkStart w:id="235" w:name="_Toc77351130"/>
      <w:bookmarkStart w:id="236" w:name="_Toc77351578"/>
      <w:bookmarkStart w:id="237" w:name="_Toc77352015"/>
      <w:bookmarkStart w:id="238" w:name="_Toc77353453"/>
      <w:bookmarkStart w:id="239" w:name="_Toc77355433"/>
      <w:bookmarkStart w:id="240" w:name="_Toc77358344"/>
      <w:bookmarkStart w:id="241" w:name="_Toc77359246"/>
      <w:bookmarkStart w:id="242" w:name="_Toc77339534"/>
      <w:bookmarkStart w:id="243" w:name="_Toc77343138"/>
      <w:bookmarkStart w:id="244" w:name="_Toc77351417"/>
      <w:bookmarkStart w:id="245" w:name="_Toc77351865"/>
      <w:bookmarkStart w:id="246" w:name="_Toc77352302"/>
      <w:bookmarkStart w:id="247" w:name="_Toc77353740"/>
      <w:bookmarkStart w:id="248" w:name="_Toc77355720"/>
      <w:bookmarkStart w:id="249" w:name="_Toc77358631"/>
      <w:bookmarkStart w:id="250" w:name="_Toc77359533"/>
      <w:bookmarkStart w:id="251" w:name="_Toc77339535"/>
      <w:bookmarkStart w:id="252" w:name="_Toc77343139"/>
      <w:bookmarkStart w:id="253" w:name="_Toc77351418"/>
      <w:bookmarkStart w:id="254" w:name="_Toc77351866"/>
      <w:bookmarkStart w:id="255" w:name="_Toc77352303"/>
      <w:bookmarkStart w:id="256" w:name="_Toc77353741"/>
      <w:bookmarkStart w:id="257" w:name="_Toc77355721"/>
      <w:bookmarkStart w:id="258" w:name="_Toc77358632"/>
      <w:bookmarkStart w:id="259" w:name="_Toc77359534"/>
      <w:bookmarkStart w:id="260" w:name="_Toc77339536"/>
      <w:bookmarkStart w:id="261" w:name="_Toc77343140"/>
      <w:bookmarkStart w:id="262" w:name="_Toc77351419"/>
      <w:bookmarkStart w:id="263" w:name="_Toc77351867"/>
      <w:bookmarkStart w:id="264" w:name="_Toc77352304"/>
      <w:bookmarkStart w:id="265" w:name="_Toc77353742"/>
      <w:bookmarkStart w:id="266" w:name="_Toc77355722"/>
      <w:bookmarkStart w:id="267" w:name="_Toc77358633"/>
      <w:bookmarkStart w:id="268" w:name="_Toc77359535"/>
      <w:bookmarkStart w:id="269" w:name="_Toc77339537"/>
      <w:bookmarkStart w:id="270" w:name="_Toc77343141"/>
      <w:bookmarkStart w:id="271" w:name="_Toc77351420"/>
      <w:bookmarkStart w:id="272" w:name="_Toc77351868"/>
      <w:bookmarkStart w:id="273" w:name="_Toc77352305"/>
      <w:bookmarkStart w:id="274" w:name="_Toc77353743"/>
      <w:bookmarkStart w:id="275" w:name="_Toc77355723"/>
      <w:bookmarkStart w:id="276" w:name="_Toc77358634"/>
      <w:bookmarkStart w:id="277" w:name="_Toc77359536"/>
      <w:bookmarkStart w:id="278" w:name="_Toc77339538"/>
      <w:bookmarkStart w:id="279" w:name="_Toc77343142"/>
      <w:bookmarkStart w:id="280" w:name="_Toc77351421"/>
      <w:bookmarkStart w:id="281" w:name="_Toc77351869"/>
      <w:bookmarkStart w:id="282" w:name="_Toc77352306"/>
      <w:bookmarkStart w:id="283" w:name="_Toc77353744"/>
      <w:bookmarkStart w:id="284" w:name="_Toc77355724"/>
      <w:bookmarkStart w:id="285" w:name="_Toc77358635"/>
      <w:bookmarkStart w:id="286" w:name="_Toc77359537"/>
      <w:bookmarkStart w:id="287" w:name="_Toc77339539"/>
      <w:bookmarkStart w:id="288" w:name="_Toc77343143"/>
      <w:bookmarkStart w:id="289" w:name="_Toc77351422"/>
      <w:bookmarkStart w:id="290" w:name="_Toc77351870"/>
      <w:bookmarkStart w:id="291" w:name="_Toc77352307"/>
      <w:bookmarkStart w:id="292" w:name="_Toc77353745"/>
      <w:bookmarkStart w:id="293" w:name="_Toc77355725"/>
      <w:bookmarkStart w:id="294" w:name="_Toc77358636"/>
      <w:bookmarkStart w:id="295" w:name="_Toc77359538"/>
      <w:bookmarkStart w:id="296" w:name="_Toc77339540"/>
      <w:bookmarkStart w:id="297" w:name="_Toc77343144"/>
      <w:bookmarkStart w:id="298" w:name="_Toc77351423"/>
      <w:bookmarkStart w:id="299" w:name="_Toc77351871"/>
      <w:bookmarkStart w:id="300" w:name="_Toc77352308"/>
      <w:bookmarkStart w:id="301" w:name="_Toc77353746"/>
      <w:bookmarkStart w:id="302" w:name="_Toc77355726"/>
      <w:bookmarkStart w:id="303" w:name="_Toc77358637"/>
      <w:bookmarkStart w:id="304" w:name="_Toc77359539"/>
      <w:bookmarkStart w:id="305" w:name="_Toc77339541"/>
      <w:bookmarkStart w:id="306" w:name="_Toc77343145"/>
      <w:bookmarkStart w:id="307" w:name="_Toc77351424"/>
      <w:bookmarkStart w:id="308" w:name="_Toc77351872"/>
      <w:bookmarkStart w:id="309" w:name="_Toc77352309"/>
      <w:bookmarkStart w:id="310" w:name="_Toc77353747"/>
      <w:bookmarkStart w:id="311" w:name="_Toc77355727"/>
      <w:bookmarkStart w:id="312" w:name="_Toc77358638"/>
      <w:bookmarkStart w:id="313" w:name="_Toc77359540"/>
      <w:bookmarkStart w:id="314" w:name="_Toc77339542"/>
      <w:bookmarkStart w:id="315" w:name="_Toc77343146"/>
      <w:bookmarkStart w:id="316" w:name="_Toc77351425"/>
      <w:bookmarkStart w:id="317" w:name="_Toc77351873"/>
      <w:bookmarkStart w:id="318" w:name="_Toc77352310"/>
      <w:bookmarkStart w:id="319" w:name="_Toc77353748"/>
      <w:bookmarkStart w:id="320" w:name="_Toc77355728"/>
      <w:bookmarkStart w:id="321" w:name="_Toc77358639"/>
      <w:bookmarkStart w:id="322" w:name="_Toc77359541"/>
      <w:bookmarkStart w:id="323" w:name="_Toc77339543"/>
      <w:bookmarkStart w:id="324" w:name="_Toc77343147"/>
      <w:bookmarkStart w:id="325" w:name="_Toc77351426"/>
      <w:bookmarkStart w:id="326" w:name="_Toc77351874"/>
      <w:bookmarkStart w:id="327" w:name="_Toc77352311"/>
      <w:bookmarkStart w:id="328" w:name="_Toc77353749"/>
      <w:bookmarkStart w:id="329" w:name="_Toc77355729"/>
      <w:bookmarkStart w:id="330" w:name="_Toc77358640"/>
      <w:bookmarkStart w:id="331" w:name="_Toc77359542"/>
      <w:bookmarkStart w:id="332" w:name="_Toc77339548"/>
      <w:bookmarkStart w:id="333" w:name="_Toc77343152"/>
      <w:bookmarkStart w:id="334" w:name="_Toc77351431"/>
      <w:bookmarkStart w:id="335" w:name="_Toc77351879"/>
      <w:bookmarkStart w:id="336" w:name="_Toc77352316"/>
      <w:bookmarkStart w:id="337" w:name="_Toc77353754"/>
      <w:bookmarkStart w:id="338" w:name="_Toc77355734"/>
      <w:bookmarkStart w:id="339" w:name="_Toc77358645"/>
      <w:bookmarkStart w:id="340" w:name="_Toc77359547"/>
      <w:bookmarkStart w:id="341" w:name="_Toc77339625"/>
      <w:bookmarkStart w:id="342" w:name="_Toc77343229"/>
      <w:bookmarkStart w:id="343" w:name="_Toc77351508"/>
      <w:bookmarkStart w:id="344" w:name="_Toc77351956"/>
      <w:bookmarkStart w:id="345" w:name="_Toc77352393"/>
      <w:bookmarkStart w:id="346" w:name="_Toc77353831"/>
      <w:bookmarkStart w:id="347" w:name="_Toc77355811"/>
      <w:bookmarkStart w:id="348" w:name="_Toc77358722"/>
      <w:bookmarkStart w:id="349" w:name="_Toc77359624"/>
      <w:bookmarkStart w:id="350" w:name="_Toc77339626"/>
      <w:bookmarkStart w:id="351" w:name="_Toc77343230"/>
      <w:bookmarkStart w:id="352" w:name="_Toc77351509"/>
      <w:bookmarkStart w:id="353" w:name="_Toc77351957"/>
      <w:bookmarkStart w:id="354" w:name="_Toc77352394"/>
      <w:bookmarkStart w:id="355" w:name="_Toc77353832"/>
      <w:bookmarkStart w:id="356" w:name="_Toc77355812"/>
      <w:bookmarkStart w:id="357" w:name="_Toc77358723"/>
      <w:bookmarkStart w:id="358" w:name="_Toc77359625"/>
      <w:bookmarkStart w:id="359" w:name="_Toc77339627"/>
      <w:bookmarkStart w:id="360" w:name="_Toc77343231"/>
      <w:bookmarkStart w:id="361" w:name="_Toc77351510"/>
      <w:bookmarkStart w:id="362" w:name="_Toc77351958"/>
      <w:bookmarkStart w:id="363" w:name="_Toc77352395"/>
      <w:bookmarkStart w:id="364" w:name="_Toc77353833"/>
      <w:bookmarkStart w:id="365" w:name="_Toc77355813"/>
      <w:bookmarkStart w:id="366" w:name="_Toc77358724"/>
      <w:bookmarkStart w:id="367" w:name="_Toc77359626"/>
      <w:bookmarkStart w:id="368" w:name="_Toc77339628"/>
      <w:bookmarkStart w:id="369" w:name="_Toc77343232"/>
      <w:bookmarkStart w:id="370" w:name="_Toc77351511"/>
      <w:bookmarkStart w:id="371" w:name="_Toc77351959"/>
      <w:bookmarkStart w:id="372" w:name="_Toc77352396"/>
      <w:bookmarkStart w:id="373" w:name="_Toc77353834"/>
      <w:bookmarkStart w:id="374" w:name="_Toc77355814"/>
      <w:bookmarkStart w:id="375" w:name="_Toc77358725"/>
      <w:bookmarkStart w:id="376" w:name="_Toc77359627"/>
      <w:bookmarkStart w:id="377" w:name="_Toc77339629"/>
      <w:bookmarkStart w:id="378" w:name="_Toc77343233"/>
      <w:bookmarkStart w:id="379" w:name="_Toc77351512"/>
      <w:bookmarkStart w:id="380" w:name="_Toc77351960"/>
      <w:bookmarkStart w:id="381" w:name="_Toc77352397"/>
      <w:bookmarkStart w:id="382" w:name="_Toc77353835"/>
      <w:bookmarkStart w:id="383" w:name="_Toc77355815"/>
      <w:bookmarkStart w:id="384" w:name="_Toc77358726"/>
      <w:bookmarkStart w:id="385" w:name="_Toc77359628"/>
      <w:bookmarkStart w:id="386" w:name="_Toc77339630"/>
      <w:bookmarkStart w:id="387" w:name="_Toc77343234"/>
      <w:bookmarkStart w:id="388" w:name="_Toc77351513"/>
      <w:bookmarkStart w:id="389" w:name="_Toc77351961"/>
      <w:bookmarkStart w:id="390" w:name="_Toc77352398"/>
      <w:bookmarkStart w:id="391" w:name="_Toc77353836"/>
      <w:bookmarkStart w:id="392" w:name="_Toc77355816"/>
      <w:bookmarkStart w:id="393" w:name="_Toc77358727"/>
      <w:bookmarkStart w:id="394" w:name="_Toc77359629"/>
      <w:bookmarkStart w:id="395" w:name="_Toc77339631"/>
      <w:bookmarkStart w:id="396" w:name="_Toc77343235"/>
      <w:bookmarkStart w:id="397" w:name="_Toc77351514"/>
      <w:bookmarkStart w:id="398" w:name="_Toc77351962"/>
      <w:bookmarkStart w:id="399" w:name="_Toc77352399"/>
      <w:bookmarkStart w:id="400" w:name="_Toc77353837"/>
      <w:bookmarkStart w:id="401" w:name="_Toc77355817"/>
      <w:bookmarkStart w:id="402" w:name="_Toc77358728"/>
      <w:bookmarkStart w:id="403" w:name="_Toc77359630"/>
      <w:bookmarkStart w:id="404" w:name="_Toc77339650"/>
      <w:bookmarkStart w:id="405" w:name="_Toc77343254"/>
      <w:bookmarkStart w:id="406" w:name="_Toc77351533"/>
      <w:bookmarkStart w:id="407" w:name="_Toc77351981"/>
      <w:bookmarkStart w:id="408" w:name="_Toc77352418"/>
      <w:bookmarkStart w:id="409" w:name="_Toc77353856"/>
      <w:bookmarkStart w:id="410" w:name="_Toc77355836"/>
      <w:bookmarkStart w:id="411" w:name="_Toc77358747"/>
      <w:bookmarkStart w:id="412" w:name="_Toc77359649"/>
      <w:bookmarkStart w:id="413" w:name="_Toc77339651"/>
      <w:bookmarkStart w:id="414" w:name="_Toc77343255"/>
      <w:bookmarkStart w:id="415" w:name="_Toc77351534"/>
      <w:bookmarkStart w:id="416" w:name="_Toc77351982"/>
      <w:bookmarkStart w:id="417" w:name="_Toc77352419"/>
      <w:bookmarkStart w:id="418" w:name="_Toc77353857"/>
      <w:bookmarkStart w:id="419" w:name="_Toc77355837"/>
      <w:bookmarkStart w:id="420" w:name="_Toc77358748"/>
      <w:bookmarkStart w:id="421" w:name="_Toc77359650"/>
      <w:bookmarkStart w:id="422" w:name="_Toc77339652"/>
      <w:bookmarkStart w:id="423" w:name="_Toc77343256"/>
      <w:bookmarkStart w:id="424" w:name="_Toc77351535"/>
      <w:bookmarkStart w:id="425" w:name="_Toc77351983"/>
      <w:bookmarkStart w:id="426" w:name="_Toc77352420"/>
      <w:bookmarkStart w:id="427" w:name="_Toc77353858"/>
      <w:bookmarkStart w:id="428" w:name="_Toc77355838"/>
      <w:bookmarkStart w:id="429" w:name="_Toc77358749"/>
      <w:bookmarkStart w:id="430" w:name="_Toc77359651"/>
      <w:bookmarkStart w:id="431" w:name="_Toc77339653"/>
      <w:bookmarkStart w:id="432" w:name="_Toc77343257"/>
      <w:bookmarkStart w:id="433" w:name="_Toc77351536"/>
      <w:bookmarkStart w:id="434" w:name="_Toc77351984"/>
      <w:bookmarkStart w:id="435" w:name="_Toc77352421"/>
      <w:bookmarkStart w:id="436" w:name="_Toc77353859"/>
      <w:bookmarkStart w:id="437" w:name="_Toc77355839"/>
      <w:bookmarkStart w:id="438" w:name="_Toc77358750"/>
      <w:bookmarkStart w:id="439" w:name="_Toc77359652"/>
      <w:bookmarkStart w:id="440" w:name="_Toc77339658"/>
      <w:bookmarkStart w:id="441" w:name="_Toc77343262"/>
      <w:bookmarkStart w:id="442" w:name="_Toc77351541"/>
      <w:bookmarkStart w:id="443" w:name="_Toc77351989"/>
      <w:bookmarkStart w:id="444" w:name="_Toc77352426"/>
      <w:bookmarkStart w:id="445" w:name="_Toc77353864"/>
      <w:bookmarkStart w:id="446" w:name="_Toc77355844"/>
      <w:bookmarkStart w:id="447" w:name="_Toc77358755"/>
      <w:bookmarkStart w:id="448" w:name="_Toc77359657"/>
      <w:bookmarkStart w:id="449" w:name="_Toc77249723"/>
      <w:bookmarkStart w:id="450" w:name="_Toc77451193"/>
      <w:bookmarkStart w:id="451" w:name="_Toc77837845"/>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r w:rsidRPr="00C0628C">
        <w:rPr>
          <w:rFonts w:cs="Sylfaen"/>
          <w:bCs/>
          <w:caps w:val="0"/>
          <w:color w:val="1F497D" w:themeColor="text2"/>
          <w:sz w:val="28"/>
          <w:szCs w:val="28"/>
        </w:rPr>
        <w:t>1.3. ՀՀ ՄԱԿՐՈՏՆՏԵՍԱԿԱՆ ԶԱՐԳԱՑՈՒՄՆԵՐ ԵՎ ԿԱՆԽԱՏԵՍՈՒՄՆԵՐ</w:t>
      </w:r>
      <w:bookmarkEnd w:id="449"/>
      <w:bookmarkEnd w:id="450"/>
      <w:bookmarkEnd w:id="451"/>
    </w:p>
    <w:p w14:paraId="6CF14E0F" w14:textId="77777777" w:rsidR="00B7540A" w:rsidRPr="00C21B7F" w:rsidRDefault="00B7540A" w:rsidP="00C21B7F">
      <w:pPr>
        <w:pStyle w:val="Heading3"/>
        <w:spacing w:before="40" w:after="0" w:line="240" w:lineRule="auto"/>
        <w:contextualSpacing w:val="0"/>
        <w:rPr>
          <w:rFonts w:eastAsia="SimSun" w:cs="Times New Roman"/>
          <w:caps w:val="0"/>
          <w:color w:val="1F497D" w:themeColor="text2"/>
        </w:rPr>
      </w:pPr>
      <w:bookmarkStart w:id="452" w:name="_Toc77451194"/>
      <w:bookmarkStart w:id="453" w:name="_Toc77837846"/>
      <w:bookmarkStart w:id="454" w:name="_Toc77249724"/>
      <w:r w:rsidRPr="00C21B7F">
        <w:rPr>
          <w:rFonts w:eastAsia="SimSun" w:cs="Times New Roman"/>
          <w:caps w:val="0"/>
          <w:color w:val="1F497D" w:themeColor="text2"/>
        </w:rPr>
        <w:t>1.3.1. ԹԻՐԱԽԱՅԻՆ (ԲԱՐՁՐ) ՏՆՏԵՍԱԿԱՆ ԱՃԻ ՍՑԵՆԱՐ</w:t>
      </w:r>
      <w:bookmarkEnd w:id="452"/>
      <w:bookmarkEnd w:id="453"/>
    </w:p>
    <w:p w14:paraId="004C7669" w14:textId="77777777" w:rsidR="00B7540A" w:rsidRPr="00B7540A" w:rsidRDefault="00B7540A" w:rsidP="00B7540A">
      <w:pPr>
        <w:spacing w:line="276" w:lineRule="auto"/>
        <w:rPr>
          <w:lang w:val="hy-AM"/>
        </w:rPr>
      </w:pPr>
      <w:r w:rsidRPr="00B7540A">
        <w:rPr>
          <w:b/>
          <w:bCs/>
          <w:lang w:val="hy-AM"/>
        </w:rPr>
        <w:t>ՀՀ կառավարությունը նպատակադրում է հասնել միջինում առնվազն 7% տնտեսական աճի:</w:t>
      </w:r>
      <w:r w:rsidRPr="00B7540A">
        <w:rPr>
          <w:lang w:val="hy-AM"/>
        </w:rPr>
        <w:t xml:space="preserve"> Հաշվի առնելով համավարակի և Արցախյան պատերազմի հետևանքով ՀՀ ներուժային տնտեսական աճի նվազումը՝ այդ աճին հնարավոր է հասնել միայն համապատասխան քաղաքականությունների և միջոցառումների միջոցով լրացուցիչ նշանակալի ջանքեր ներդնելու իրատեսական ճանապահով:</w:t>
      </w:r>
    </w:p>
    <w:p w14:paraId="10674F6C" w14:textId="77777777" w:rsidR="00B7540A" w:rsidRPr="00B7540A" w:rsidRDefault="00B7540A" w:rsidP="00B7540A">
      <w:pPr>
        <w:spacing w:line="276" w:lineRule="auto"/>
        <w:rPr>
          <w:lang w:val="hy-AM"/>
        </w:rPr>
      </w:pPr>
      <w:r w:rsidRPr="00B7540A">
        <w:rPr>
          <w:lang w:val="hy-AM"/>
        </w:rPr>
        <w:t xml:space="preserve">Այդ առումով, սույն բաժնում նկարագրվում է 2022-2026թթ. տնտեսության ներուժի աստիճանական բարձրացման և ավելի բարձր տնտեսական աճի ապահովման մակրոտնտեսական սցենարը: Վերջինս առաջիկա 5 տարիների համար նախանշում է առանցքային մակրոտնտեսական ցուցանիշների ուղենշային այն մեծությունները, որոնց թիրախավորման դեպքում հնարավոր կլինի ապահովել ՀՀ տնտեսության ավելի արագ տեմպերով զարգացումը: Անհրաժեշտ է նշել, որ այս սցենարը և դրանում ներառված առանցքային ուղենշային ցուցանիշները կարող են ենթարկվել որոշակի փոփոխությունների՝ հաշվի առնելով  նախատեսվող քննարկումների արդյունքում ձևավորվելիք տնտեսական քաղաքականության հստակ միջոցառումները և դրանց հնարավոր ազդեցությունները: </w:t>
      </w:r>
    </w:p>
    <w:p w14:paraId="665E9B54" w14:textId="77777777" w:rsidR="00B7540A" w:rsidRPr="00B7540A" w:rsidRDefault="00B7540A" w:rsidP="00B7540A">
      <w:pPr>
        <w:spacing w:line="276" w:lineRule="auto"/>
        <w:rPr>
          <w:lang w:val="hy-AM"/>
        </w:rPr>
      </w:pPr>
      <w:r w:rsidRPr="00B7540A">
        <w:rPr>
          <w:b/>
          <w:bCs/>
          <w:u w:val="single"/>
          <w:lang w:val="hy-AM"/>
        </w:rPr>
        <w:t>Տնտեսական աճ:</w:t>
      </w:r>
      <w:r w:rsidRPr="00B7540A">
        <w:rPr>
          <w:b/>
          <w:bCs/>
          <w:lang w:val="hy-AM"/>
        </w:rPr>
        <w:t xml:space="preserve"> 2020թ. COVID-19 համավարակի հետևանքով աշխարհի բոլոր տնտեսությունները, այդ թվում՝ ՀՀ տնտեսությունը կրեցին մեծ վնասներ:</w:t>
      </w:r>
      <w:r w:rsidRPr="00B7540A">
        <w:rPr>
          <w:lang w:val="hy-AM"/>
        </w:rPr>
        <w:t xml:space="preserve"> </w:t>
      </w:r>
      <w:r w:rsidRPr="00B7540A">
        <w:rPr>
          <w:b/>
          <w:bCs/>
          <w:lang w:val="hy-AM"/>
        </w:rPr>
        <w:t>Իսկ ՀՀ տնտեսությունը ենթարկվեց նաև երկրորդ՝ Արցախյան պատերազմի ցնցմանը:</w:t>
      </w:r>
      <w:r w:rsidRPr="00B7540A">
        <w:rPr>
          <w:lang w:val="hy-AM"/>
        </w:rPr>
        <w:t xml:space="preserve"> 2020թ. Համաշխարհային տնտեսությունն իրական արտահայտությամբ նվազեց 3.3%-ով, իսկ  ՀՀ հիմնական գործընկեր երկրներից Եվրոգոտում անկումը կազմեց 6.6%, ՌԴ-ում՝ 3.1%, ԱՄՆ</w:t>
      </w:r>
      <w:r w:rsidRPr="00B7540A">
        <w:rPr>
          <w:lang w:val="hy-AM"/>
        </w:rPr>
        <w:noBreakHyphen/>
        <w:t xml:space="preserve">ում՝ 3.5% և միայն Չինաստանի տնտեսությունը գրանցեց 2.3% տնտեսական աճ:  ՀՀ տնտեսական անկումը եղավ ավելի խորը՝ 7.4%: </w:t>
      </w:r>
    </w:p>
    <w:p w14:paraId="5679DD75" w14:textId="77777777" w:rsidR="00B7540A" w:rsidRPr="00B7540A" w:rsidRDefault="00B7540A" w:rsidP="00B7540A">
      <w:pPr>
        <w:spacing w:line="276" w:lineRule="auto"/>
        <w:rPr>
          <w:lang w:val="hy-AM"/>
        </w:rPr>
      </w:pPr>
      <w:r w:rsidRPr="00B7540A">
        <w:rPr>
          <w:lang w:val="hy-AM"/>
        </w:rPr>
        <w:t>Եվ չնայած 2021թ. ինչպես ՀՀ հիմնական գործընկեր երկրները, այնպես էլ ՀՀ-ն թևակոխել են տնտեսական վերականգման ժամանակաշրջան, համավարակը և Արցախյան պատերազմը սահմանափակել են ՀՀ տնտեսության ներուժը՝ թողնելով միջնաժամկետ «սպիներ»: Այս պայմաններում գնահատվում է, որ ՀՀ տնտեսության ներուժային աճը նախկին 4-5% գնահատված միջակայքից նվազել է՝  հասնելով 3-4% միջակայքի:</w:t>
      </w:r>
    </w:p>
    <w:p w14:paraId="1C31ABCC" w14:textId="77777777" w:rsidR="00B7540A" w:rsidRPr="00B7540A" w:rsidRDefault="00B7540A" w:rsidP="00B7540A">
      <w:pPr>
        <w:spacing w:line="276" w:lineRule="auto"/>
        <w:rPr>
          <w:b/>
          <w:lang w:val="hy-AM"/>
        </w:rPr>
      </w:pPr>
      <w:r w:rsidRPr="00B7540A">
        <w:rPr>
          <w:lang w:val="hy-AM"/>
        </w:rPr>
        <w:t xml:space="preserve">Այդուհանդերձ, ինչպես բոլոր ճգնաժամերը, այս ճգնաժամը նույնպես ևս մեկ անգամ ստիպեց վերանայելու, վերաիմաստավորելու ՀՀ-ում տնտեսական, մակրոտնտեսական և կառուցվածքային  քաղաքականությունների ուղղությունները և իրականացման մեխանիզմները, ինչպես նաև որոնելու և բացահայտելու տնտեսական նոր հնարավորություններ: </w:t>
      </w:r>
      <w:r w:rsidRPr="00B7540A">
        <w:rPr>
          <w:b/>
          <w:lang w:val="hy-AM"/>
        </w:rPr>
        <w:t xml:space="preserve">Այս համատեքստում 2022-2026թթ. համար ՀՀ կառավարությունը թիրախավորում/նպատակադրում է ապահովել տարեկան միջինում առնվազն 7.0% տնտեսական աճ: </w:t>
      </w:r>
      <w:r w:rsidRPr="00B7540A">
        <w:rPr>
          <w:lang w:val="hy-AM"/>
        </w:rPr>
        <w:t>Այսպիսի բարձր աճերի հասնելու համար</w:t>
      </w:r>
      <w:r w:rsidRPr="00B7540A">
        <w:rPr>
          <w:b/>
          <w:lang w:val="hy-AM"/>
        </w:rPr>
        <w:t xml:space="preserve"> </w:t>
      </w:r>
      <w:r w:rsidRPr="00B7540A">
        <w:rPr>
          <w:lang w:val="hy-AM"/>
        </w:rPr>
        <w:t>ապագա տարիներին ՀՀ տնտեսությունը պետք է զարգանա ՀՀ կառավարության գործող ծրագրով նախանշված առաջարկի վրա հիմնված տնտեսական աճի մոդելով (որն իր կենսունակությունն ապացուցել է աշխարհի բազմաթիվ երկրներում), որտեղ տնտեսական աճի առանցքային շարժիչը պետք է լինի արտահանելի հատվածը և արտահանումը (export-led growth model):</w:t>
      </w:r>
    </w:p>
    <w:p w14:paraId="38985FDE" w14:textId="77777777" w:rsidR="00B7540A" w:rsidRPr="00B7540A" w:rsidRDefault="00B7540A" w:rsidP="00B7540A">
      <w:pPr>
        <w:spacing w:line="276" w:lineRule="auto"/>
        <w:rPr>
          <w:lang w:val="hy-AM"/>
        </w:rPr>
      </w:pPr>
      <w:r w:rsidRPr="00B7540A">
        <w:rPr>
          <w:b/>
          <w:u w:val="single"/>
          <w:lang w:val="hy-AM"/>
        </w:rPr>
        <w:t>Ներդրումներ և արտադրողականութուն:</w:t>
      </w:r>
      <w:r w:rsidRPr="00B7540A">
        <w:rPr>
          <w:lang w:val="hy-AM"/>
        </w:rPr>
        <w:t xml:space="preserve"> Միջնաժամկետում (2022-2026թթ.) միջինում 7.0% տնտեսական աճի ապահովման համար անհրաժեշտ է շարունակաբար բարձրացնել տնտեսության ներուժը՝ ինչն իր հերթին կբարձրացնի տնտեսության ներուժային աճը և կհաստատվի նոր՝ առավել բարձր մակարդակում: Վերջինիս ապահովման համար անհրաժեշտ է իրականացնել արդյունավետ ներդրումային քաղաքականություն՝ ներդրումներն ուղղելով տնտեսության արտահանելի հատված, դեպի տեխնոլոգիաներ և ենթակառուցվածքներ, ապահովելով կապիտալի բարձր արտադրողականություն: </w:t>
      </w:r>
      <w:r w:rsidRPr="00B7540A">
        <w:rPr>
          <w:b/>
          <w:lang w:val="hy-AM"/>
        </w:rPr>
        <w:t>Որդեգրված նմանատիպ ներդրումային քաղաքականության պայմաններում միջնաժամկետում 7.0% տնտեսական աճի ապահովման համար անհաժեշտ է հիմնական միջոցներում ներդրումների (և՛ մասնավոր, և՛ պետական)  տարեկան միջինում 12.8% իրական աճ (տարեկան լրացուցիչ միջինում շուրջ 280 մլրդ դրամ), ինչը հիմնական միջոցների կշիռը ՀՆԱ-ում 2021թ. համեմատ 2026թ.-ին կբարձրացնի շուրջ 5 տոկոսային կետով:</w:t>
      </w:r>
      <w:r w:rsidRPr="00B7540A">
        <w:rPr>
          <w:lang w:val="hy-AM"/>
        </w:rPr>
        <w:t xml:space="preserve">  </w:t>
      </w:r>
    </w:p>
    <w:p w14:paraId="48A28850" w14:textId="77777777" w:rsidR="00B7540A" w:rsidRDefault="00B7540A" w:rsidP="00F844BA">
      <w:pPr>
        <w:spacing w:after="120" w:line="276" w:lineRule="auto"/>
        <w:ind w:firstLine="562"/>
        <w:rPr>
          <w:b/>
          <w:lang w:val="hy-AM"/>
        </w:rPr>
      </w:pPr>
      <w:r w:rsidRPr="00B7540A">
        <w:rPr>
          <w:lang w:val="hy-AM"/>
        </w:rPr>
        <w:t xml:space="preserve">Բարձր տնտեսական աճի ապահովման համար կարևոր նախադրյալ է աշխատանքի և կապիտալի արտադրողականության բարձրացումը, ինչը հնարավոր է իրականացնել նոր տեխնոլոգիական լուծումների կիրառմամբ, գործարար և ներդրումային միջավայրի բարելավմամբ, աշխատուժի որակի բարձրացման և կրթական միջոցառումների իրականացմամբ: </w:t>
      </w:r>
      <w:r w:rsidRPr="00B7540A">
        <w:rPr>
          <w:b/>
          <w:lang w:val="hy-AM"/>
        </w:rPr>
        <w:t>Միջնաժամկետում 7.0% տնտեսական աճի ապահովման համար անհրաժեշտ է միջինում 5.3% ընդհանուր գործոնային արտադրողականության աճ:</w:t>
      </w:r>
    </w:p>
    <w:tbl>
      <w:tblPr>
        <w:tblStyle w:val="TableGrid12"/>
        <w:tblW w:w="0" w:type="auto"/>
        <w:tblBorders>
          <w:top w:val="single" w:sz="6" w:space="0" w:color="4F81BD"/>
          <w:left w:val="single" w:sz="6" w:space="0" w:color="4F81BD"/>
          <w:bottom w:val="single" w:sz="6" w:space="0" w:color="4F81BD"/>
          <w:right w:val="single" w:sz="6" w:space="0" w:color="4F81BD"/>
          <w:insideH w:val="single" w:sz="6" w:space="0" w:color="4F81BD"/>
          <w:insideV w:val="single" w:sz="6" w:space="0" w:color="4F81BD"/>
        </w:tblBorders>
        <w:tblLook w:val="04A0" w:firstRow="1" w:lastRow="0" w:firstColumn="1" w:lastColumn="0" w:noHBand="0" w:noVBand="1"/>
      </w:tblPr>
      <w:tblGrid>
        <w:gridCol w:w="5131"/>
        <w:gridCol w:w="4887"/>
      </w:tblGrid>
      <w:tr w:rsidR="00B7540A" w:rsidRPr="00586097" w14:paraId="18DA9EF4" w14:textId="77777777" w:rsidTr="00362F2A">
        <w:trPr>
          <w:trHeight w:val="4129"/>
        </w:trPr>
        <w:tc>
          <w:tcPr>
            <w:tcW w:w="5131" w:type="dxa"/>
            <w:shd w:val="clear" w:color="auto" w:fill="auto"/>
          </w:tcPr>
          <w:p w14:paraId="4F18C4C4" w14:textId="6E4D9E1A" w:rsidR="00B7540A" w:rsidRPr="00A42F0D" w:rsidRDefault="00B7540A" w:rsidP="00A425D5">
            <w:pPr>
              <w:pStyle w:val="afe"/>
              <w:contextualSpacing w:val="0"/>
              <w:rPr>
                <w:lang w:val="hy-AM"/>
              </w:rPr>
            </w:pPr>
            <w:r w:rsidRPr="00A42F0D">
              <w:rPr>
                <w:lang w:val="hy-AM"/>
              </w:rPr>
              <w:t xml:space="preserve">Գծապատկեր 1.8. </w:t>
            </w:r>
            <w:r w:rsidRPr="00F844BA">
              <w:rPr>
                <w:lang w:val="hy-AM"/>
              </w:rPr>
              <w:t>Տնտեսության</w:t>
            </w:r>
            <w:r w:rsidRPr="00A42F0D">
              <w:rPr>
                <w:lang w:val="hy-AM"/>
              </w:rPr>
              <w:t xml:space="preserve"> ճյուղերի նպաստում</w:t>
            </w:r>
            <w:r w:rsidR="00F844BA" w:rsidRPr="00F844BA">
              <w:rPr>
                <w:lang w:val="hy-AM"/>
              </w:rPr>
              <w:t xml:space="preserve">- </w:t>
            </w:r>
            <w:r w:rsidRPr="00A42F0D">
              <w:rPr>
                <w:lang w:val="hy-AM"/>
              </w:rPr>
              <w:t>ները ՀՆԱ-ին (տ.կ.)</w:t>
            </w:r>
          </w:p>
          <w:p w14:paraId="5DA2096D" w14:textId="0A12C6CE" w:rsidR="00B7540A" w:rsidRPr="00A36CD1" w:rsidRDefault="00B7540A" w:rsidP="00406CBF">
            <w:pPr>
              <w:tabs>
                <w:tab w:val="right" w:pos="0"/>
              </w:tabs>
              <w:spacing w:before="120" w:line="240" w:lineRule="auto"/>
              <w:ind w:firstLine="29"/>
              <w:contextualSpacing/>
              <w:rPr>
                <w:rFonts w:cs="Sylfaen"/>
                <w:i/>
              </w:rPr>
            </w:pPr>
            <w:r w:rsidRPr="00586097">
              <w:rPr>
                <w:rFonts w:cs="Sylfaen"/>
                <w:i/>
                <w:noProof/>
              </w:rPr>
              <w:drawing>
                <wp:inline distT="0" distB="0" distL="0" distR="0" wp14:anchorId="2A7EB161" wp14:editId="704F588B">
                  <wp:extent cx="3188335" cy="2018665"/>
                  <wp:effectExtent l="0" t="0" r="12065" b="63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4887" w:type="dxa"/>
            <w:shd w:val="clear" w:color="auto" w:fill="auto"/>
          </w:tcPr>
          <w:p w14:paraId="2C507364" w14:textId="43B767B0" w:rsidR="00B7540A" w:rsidRPr="00A42F0D" w:rsidRDefault="00B7540A" w:rsidP="00A425D5">
            <w:pPr>
              <w:pStyle w:val="afe"/>
              <w:rPr>
                <w:lang w:val="hy-AM"/>
              </w:rPr>
            </w:pPr>
            <w:r w:rsidRPr="00A425D5">
              <w:t>Գծապատկեր</w:t>
            </w:r>
            <w:r w:rsidRPr="00A42F0D">
              <w:rPr>
                <w:lang w:val="hy-AM"/>
              </w:rPr>
              <w:t xml:space="preserve"> 1.9. Ծախսային բաղադրիչների նպաս</w:t>
            </w:r>
            <w:r w:rsidR="00F844BA">
              <w:t xml:space="preserve">- </w:t>
            </w:r>
            <w:r w:rsidRPr="00A42F0D">
              <w:rPr>
                <w:lang w:val="hy-AM"/>
              </w:rPr>
              <w:t>տումները ՀՆԱ-ին (տ.կ.)</w:t>
            </w:r>
          </w:p>
          <w:p w14:paraId="0EACDE58" w14:textId="1EC12C1D" w:rsidR="00B7540A" w:rsidRPr="00586097" w:rsidRDefault="00B7540A" w:rsidP="00406CBF">
            <w:pPr>
              <w:tabs>
                <w:tab w:val="right" w:pos="0"/>
              </w:tabs>
              <w:spacing w:before="120" w:after="0" w:line="240" w:lineRule="auto"/>
              <w:ind w:firstLine="0"/>
              <w:rPr>
                <w:rFonts w:cs="Sylfaen"/>
                <w:i/>
              </w:rPr>
            </w:pPr>
            <w:r w:rsidRPr="00586097">
              <w:rPr>
                <w:noProof/>
              </w:rPr>
              <w:drawing>
                <wp:inline distT="0" distB="0" distL="0" distR="0" wp14:anchorId="765FA907" wp14:editId="091AB494">
                  <wp:extent cx="2997642" cy="2018665"/>
                  <wp:effectExtent l="0" t="0" r="12700" b="63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B7540A" w:rsidRPr="00586097" w14:paraId="75DA7EAF" w14:textId="77777777" w:rsidTr="00362F2A">
        <w:trPr>
          <w:trHeight w:val="411"/>
        </w:trPr>
        <w:tc>
          <w:tcPr>
            <w:tcW w:w="5131" w:type="dxa"/>
            <w:shd w:val="clear" w:color="auto" w:fill="auto"/>
          </w:tcPr>
          <w:p w14:paraId="1610A6F9" w14:textId="77777777" w:rsidR="00B7540A" w:rsidRPr="00A42F0D" w:rsidRDefault="00B7540A" w:rsidP="00B7540A">
            <w:pPr>
              <w:pStyle w:val="afe"/>
              <w:rPr>
                <w:lang w:val="hy-AM"/>
              </w:rPr>
            </w:pPr>
            <w:r w:rsidRPr="00A42F0D">
              <w:rPr>
                <w:bCs/>
                <w:lang w:val="hy-AM"/>
              </w:rPr>
              <w:t>Գծապատկեր 1.10.</w:t>
            </w:r>
            <w:r w:rsidRPr="00A42F0D">
              <w:rPr>
                <w:lang w:val="hy-AM"/>
              </w:rPr>
              <w:t xml:space="preserve"> Տնտեսության ճյուղերի կշիռները ՀՆԱ-ում (%)</w:t>
            </w:r>
          </w:p>
          <w:p w14:paraId="6156E505" w14:textId="6FE354F3" w:rsidR="00B7540A" w:rsidRPr="00586097" w:rsidRDefault="00B7540A" w:rsidP="00406CBF">
            <w:pPr>
              <w:tabs>
                <w:tab w:val="right" w:pos="0"/>
              </w:tabs>
              <w:spacing w:before="120" w:line="276" w:lineRule="auto"/>
              <w:ind w:firstLine="29"/>
              <w:contextualSpacing/>
              <w:rPr>
                <w:rFonts w:cs="Sylfaen"/>
                <w:highlight w:val="yellow"/>
              </w:rPr>
            </w:pPr>
            <w:r w:rsidRPr="00586097">
              <w:rPr>
                <w:rFonts w:cs="Sylfaen"/>
                <w:noProof/>
              </w:rPr>
              <w:drawing>
                <wp:inline distT="0" distB="0" distL="0" distR="0" wp14:anchorId="28D62D36" wp14:editId="6ED2B5A8">
                  <wp:extent cx="3148717" cy="1923415"/>
                  <wp:effectExtent l="0" t="0" r="13970" b="63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4887" w:type="dxa"/>
            <w:shd w:val="clear" w:color="auto" w:fill="auto"/>
          </w:tcPr>
          <w:p w14:paraId="5D9CD5AB" w14:textId="79CCA629" w:rsidR="00B7540A" w:rsidRPr="00A42F0D" w:rsidRDefault="00B7540A" w:rsidP="00B7540A">
            <w:pPr>
              <w:pStyle w:val="afe"/>
              <w:rPr>
                <w:lang w:val="hy-AM"/>
              </w:rPr>
            </w:pPr>
            <w:r w:rsidRPr="00A42F0D">
              <w:rPr>
                <w:lang w:val="hy-AM"/>
              </w:rPr>
              <w:t>Գծապատկեր 1.11. Ծախսային բաղադրիչների կշիռ</w:t>
            </w:r>
            <w:r w:rsidR="00F844BA">
              <w:t xml:space="preserve">- </w:t>
            </w:r>
            <w:r w:rsidRPr="00A42F0D">
              <w:rPr>
                <w:lang w:val="hy-AM"/>
              </w:rPr>
              <w:t>ները ՀՆԱ-ում  (%)</w:t>
            </w:r>
          </w:p>
          <w:p w14:paraId="655480B5" w14:textId="0BAB86B2" w:rsidR="00B7540A" w:rsidRPr="00406CBF" w:rsidRDefault="00B7540A" w:rsidP="00406CBF">
            <w:pPr>
              <w:tabs>
                <w:tab w:val="right" w:pos="0"/>
              </w:tabs>
              <w:spacing w:before="120" w:line="276" w:lineRule="auto"/>
              <w:ind w:firstLine="0"/>
              <w:contextualSpacing/>
              <w:rPr>
                <w:rFonts w:cs="Sylfaen"/>
                <w:i/>
              </w:rPr>
            </w:pPr>
            <w:r w:rsidRPr="00586097">
              <w:rPr>
                <w:noProof/>
              </w:rPr>
              <w:drawing>
                <wp:inline distT="0" distB="0" distL="0" distR="0" wp14:anchorId="4BB20C6A" wp14:editId="16CCA864">
                  <wp:extent cx="2957885" cy="1923415"/>
                  <wp:effectExtent l="0" t="0" r="13970" b="63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B7540A" w:rsidRPr="00586097" w14:paraId="15588376" w14:textId="77777777" w:rsidTr="00362F2A">
        <w:trPr>
          <w:trHeight w:val="411"/>
        </w:trPr>
        <w:tc>
          <w:tcPr>
            <w:tcW w:w="5131" w:type="dxa"/>
            <w:shd w:val="clear" w:color="auto" w:fill="auto"/>
          </w:tcPr>
          <w:p w14:paraId="5A3B0518" w14:textId="77777777" w:rsidR="00B7540A" w:rsidRPr="00A42F0D" w:rsidRDefault="00B7540A" w:rsidP="00B7540A">
            <w:pPr>
              <w:pStyle w:val="afe"/>
              <w:rPr>
                <w:lang w:val="hy-AM"/>
              </w:rPr>
            </w:pPr>
            <w:r w:rsidRPr="00A42F0D">
              <w:rPr>
                <w:bCs/>
                <w:lang w:val="hy-AM"/>
              </w:rPr>
              <w:t>Գծապատկեր 1.12.</w:t>
            </w:r>
            <w:r w:rsidRPr="00A42F0D">
              <w:rPr>
                <w:lang w:val="hy-AM"/>
              </w:rPr>
              <w:t xml:space="preserve"> Անհրաժեշտ լրացուցիչ ներդրումներ հիմնական միջոցներում (մլրդ դրամ) </w:t>
            </w:r>
          </w:p>
          <w:p w14:paraId="253F5DEF" w14:textId="77777777" w:rsidR="00B7540A" w:rsidRPr="00586097" w:rsidRDefault="00B7540A" w:rsidP="00B7540A">
            <w:pPr>
              <w:tabs>
                <w:tab w:val="right" w:pos="0"/>
              </w:tabs>
              <w:spacing w:before="120" w:line="276" w:lineRule="auto"/>
              <w:ind w:firstLine="29"/>
              <w:contextualSpacing/>
              <w:rPr>
                <w:rFonts w:cs="Sylfaen"/>
                <w:b/>
                <w:bCs/>
                <w:i/>
              </w:rPr>
            </w:pPr>
            <w:r w:rsidRPr="00586097">
              <w:rPr>
                <w:rFonts w:cs="Sylfaen"/>
                <w:b/>
                <w:bCs/>
                <w:i/>
                <w:noProof/>
              </w:rPr>
              <w:drawing>
                <wp:inline distT="0" distB="0" distL="0" distR="0" wp14:anchorId="0E6D3C42" wp14:editId="692B10D7">
                  <wp:extent cx="3148330" cy="2004060"/>
                  <wp:effectExtent l="0" t="0" r="13970" b="1524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B03691A" w14:textId="77777777" w:rsidR="00B7540A" w:rsidRPr="00A42F0D" w:rsidRDefault="00B7540A" w:rsidP="0064012E">
            <w:pPr>
              <w:pStyle w:val="afd"/>
              <w:spacing w:after="0"/>
              <w:rPr>
                <w:rFonts w:cs="Sylfaen"/>
                <w:b/>
                <w:bCs/>
                <w:sz w:val="16"/>
              </w:rPr>
            </w:pPr>
            <w:r w:rsidRPr="0067228E">
              <w:t>Աղբյուրը՝ ՀՀ ՎԿ, ՀՀ ՖՆ հաշվարկներ, գնահատականներ և կանխատեսումներ</w:t>
            </w:r>
          </w:p>
        </w:tc>
        <w:tc>
          <w:tcPr>
            <w:tcW w:w="4887" w:type="dxa"/>
            <w:shd w:val="clear" w:color="auto" w:fill="auto"/>
          </w:tcPr>
          <w:p w14:paraId="1CE3C4AB" w14:textId="2C9CD6AD" w:rsidR="00B7540A" w:rsidRPr="00A42F0D" w:rsidRDefault="00B7540A" w:rsidP="00B7540A">
            <w:pPr>
              <w:pStyle w:val="afe"/>
              <w:rPr>
                <w:lang w:val="hy-AM"/>
              </w:rPr>
            </w:pPr>
            <w:r w:rsidRPr="00A42F0D">
              <w:rPr>
                <w:bCs/>
                <w:lang w:val="hy-AM"/>
              </w:rPr>
              <w:t>Գծապատկեր 1.13.</w:t>
            </w:r>
            <w:r w:rsidRPr="00A42F0D">
              <w:rPr>
                <w:lang w:val="hy-AM"/>
              </w:rPr>
              <w:t xml:space="preserve"> Հիմնական միջոցներում ներդրում</w:t>
            </w:r>
            <w:r w:rsidR="007E1714" w:rsidRPr="00052861">
              <w:rPr>
                <w:lang w:val="hy-AM"/>
              </w:rPr>
              <w:t xml:space="preserve">- </w:t>
            </w:r>
            <w:r w:rsidRPr="00A42F0D">
              <w:rPr>
                <w:lang w:val="hy-AM"/>
              </w:rPr>
              <w:t xml:space="preserve">ների կշիռը ՀՆԱ-ում (%) </w:t>
            </w:r>
          </w:p>
          <w:p w14:paraId="68FC8CC4" w14:textId="77777777" w:rsidR="00B7540A" w:rsidRPr="00586097" w:rsidRDefault="00B7540A" w:rsidP="00B7540A">
            <w:pPr>
              <w:tabs>
                <w:tab w:val="right" w:pos="0"/>
              </w:tabs>
              <w:spacing w:before="120" w:line="276" w:lineRule="auto"/>
              <w:ind w:hanging="13"/>
              <w:contextualSpacing/>
              <w:rPr>
                <w:rFonts w:cs="Sylfaen"/>
                <w:i/>
              </w:rPr>
            </w:pPr>
            <w:r w:rsidRPr="00586097">
              <w:rPr>
                <w:rFonts w:cs="Sylfaen"/>
                <w:b/>
                <w:i/>
                <w:noProof/>
              </w:rPr>
              <w:drawing>
                <wp:inline distT="0" distB="0" distL="0" distR="0" wp14:anchorId="09125339" wp14:editId="730D940C">
                  <wp:extent cx="3057525" cy="2004060"/>
                  <wp:effectExtent l="0" t="0" r="9525" b="15240"/>
                  <wp:docPr id="94" name="Chart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BB12155" w14:textId="77777777" w:rsidR="00B7540A" w:rsidRPr="00586097" w:rsidRDefault="00B7540A" w:rsidP="00B7540A">
            <w:pPr>
              <w:tabs>
                <w:tab w:val="right" w:pos="0"/>
              </w:tabs>
              <w:spacing w:before="120" w:line="276" w:lineRule="auto"/>
              <w:contextualSpacing/>
              <w:rPr>
                <w:rFonts w:cs="Sylfaen"/>
                <w:b/>
                <w:i/>
                <w:highlight w:val="yellow"/>
              </w:rPr>
            </w:pPr>
          </w:p>
        </w:tc>
      </w:tr>
    </w:tbl>
    <w:p w14:paraId="52079E11" w14:textId="454A25B6" w:rsidR="00B7540A" w:rsidRPr="00586097" w:rsidRDefault="00B7540A" w:rsidP="009704D2">
      <w:pPr>
        <w:spacing w:before="200" w:line="276" w:lineRule="auto"/>
        <w:ind w:firstLine="562"/>
      </w:pPr>
      <w:r w:rsidRPr="00586097">
        <w:rPr>
          <w:b/>
          <w:bCs/>
          <w:u w:val="single"/>
        </w:rPr>
        <w:t>Արտահանելի հատված և արտահանում:</w:t>
      </w:r>
      <w:r w:rsidRPr="00586097">
        <w:rPr>
          <w:b/>
          <w:bCs/>
        </w:rPr>
        <w:t xml:space="preserve"> Բարձր տնտեսական աճի ապահովման համար անհրաժեշտ է արտահանման տեմպերի արագացում ի հաշիվ ոչ հումքային բարձր ավելացված արժեք ստեղծող ապրանքատեսակների և արտահանելի ծառայությունների:</w:t>
      </w:r>
      <w:r w:rsidRPr="00586097">
        <w:t xml:space="preserve"> Արտաքին հատվածի զարգացումներն արտահանմանն ուղղված բարեփոխումների ներքո էապես կբարելավվեն: Այսպես, ներդրումների բարձր աճին կհաջորդեն կանխատեսվող հորիզոնում ապրանքների և ծառայությունների արտահանման ավելի բարձր աճերը: Այս զարգացումները կարտացոլեն տնտեսության արտահանելի հատվածի արտադրողական ճյուղերի էական բարելավման ազդեցությունը: Ընդ որում՝ կապահովվի նաև ՀՆԱ-ի նկատմամբ արտահանման մակարդակի բարձրացումը: Այսպես, բարձր տնտեսական աճի ապահովման համար անհրաժեշտ է տարեկան միջինում արտահանման 16</w:t>
      </w:r>
      <w:r w:rsidRPr="00586097">
        <w:rPr>
          <w:rFonts w:ascii="Cambria Math" w:hAnsi="Cambria Math" w:cs="Cambria Math"/>
        </w:rPr>
        <w:t>․</w:t>
      </w:r>
      <w:r w:rsidRPr="00586097">
        <w:t>5% և արդյունաբերության 8</w:t>
      </w:r>
      <w:r w:rsidRPr="00586097">
        <w:rPr>
          <w:rFonts w:ascii="Cambria Math" w:hAnsi="Cambria Math" w:cs="Cambria Math"/>
        </w:rPr>
        <w:t>․</w:t>
      </w:r>
      <w:r w:rsidRPr="00586097">
        <w:t>3% իրական աճեր, ինչը 2026թ.-ին 2021թ. համեմատ կբարելավի արտահանման մակարդակը ՀՆԱ-ում 16</w:t>
      </w:r>
      <w:r w:rsidRPr="00586097">
        <w:rPr>
          <w:rFonts w:ascii="Cambria Math" w:hAnsi="Cambria Math" w:cs="Cambria Math"/>
        </w:rPr>
        <w:t>․</w:t>
      </w:r>
      <w:r w:rsidRPr="00586097">
        <w:t>4%-ային կետով։</w:t>
      </w:r>
    </w:p>
    <w:p w14:paraId="0947E232" w14:textId="77777777" w:rsidR="00B7540A" w:rsidRPr="00586097" w:rsidRDefault="00B7540A" w:rsidP="00B7540A">
      <w:pPr>
        <w:pStyle w:val="afc"/>
        <w:spacing w:line="276" w:lineRule="auto"/>
      </w:pPr>
      <w:r w:rsidRPr="00586097">
        <w:t xml:space="preserve">Գծապատկեր 1.14. Արդյունաբերությունը և արտահանումը 2022-2026թթ. </w:t>
      </w:r>
    </w:p>
    <w:p w14:paraId="25BD60D9" w14:textId="77777777" w:rsidR="00B7540A" w:rsidRPr="00586097" w:rsidRDefault="00B7540A" w:rsidP="00B7540A">
      <w:pPr>
        <w:spacing w:line="276" w:lineRule="auto"/>
        <w:ind w:firstLine="0"/>
      </w:pPr>
      <w:r w:rsidRPr="00586097">
        <w:rPr>
          <w:noProof/>
        </w:rPr>
        <w:drawing>
          <wp:inline distT="0" distB="0" distL="0" distR="0" wp14:anchorId="2C7E6FB0" wp14:editId="098F7D6B">
            <wp:extent cx="3152775" cy="2986405"/>
            <wp:effectExtent l="0" t="0" r="9525" b="23495"/>
            <wp:docPr id="95" name="Chart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586097">
        <w:rPr>
          <w:noProof/>
        </w:rPr>
        <w:drawing>
          <wp:inline distT="0" distB="0" distL="0" distR="0" wp14:anchorId="60CB3A7A" wp14:editId="6F8F3488">
            <wp:extent cx="3048000" cy="2990850"/>
            <wp:effectExtent l="0" t="0" r="19050" b="19050"/>
            <wp:docPr id="96" name="Chart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D391FA6" w14:textId="77777777" w:rsidR="00B7540A" w:rsidRPr="0027114B" w:rsidRDefault="00B7540A" w:rsidP="0027114B">
      <w:pPr>
        <w:pStyle w:val="afd"/>
      </w:pPr>
      <w:r w:rsidRPr="0027114B">
        <w:t>Աղբյուրը՝ ՀՀ ՎԿ, ՀՀ ՖՆ հաշվարկներ և  կանխատեսումներ</w:t>
      </w:r>
    </w:p>
    <w:p w14:paraId="438013B2" w14:textId="77777777" w:rsidR="00B7540A" w:rsidRPr="00B7540A" w:rsidRDefault="00B7540A" w:rsidP="00B7540A">
      <w:pPr>
        <w:spacing w:line="276" w:lineRule="auto"/>
        <w:rPr>
          <w:lang w:val="hy-AM"/>
        </w:rPr>
      </w:pPr>
      <w:r w:rsidRPr="00B7540A">
        <w:rPr>
          <w:b/>
          <w:bCs/>
          <w:u w:val="single"/>
          <w:lang w:val="hy-AM"/>
        </w:rPr>
        <w:t xml:space="preserve">Հարկաբյուջետային քաղաքականություն: </w:t>
      </w:r>
      <w:r w:rsidRPr="00B7540A">
        <w:rPr>
          <w:b/>
          <w:bCs/>
          <w:lang w:val="hy-AM"/>
        </w:rPr>
        <w:t>Հարկաբյուջետային քաղաքականու</w:t>
      </w:r>
      <w:r w:rsidRPr="00B7540A">
        <w:rPr>
          <w:b/>
          <w:bCs/>
          <w:lang w:val="hy-AM"/>
        </w:rPr>
        <w:softHyphen/>
        <w:t>թյունը պետք է միտված լինի կառավարության պարտքի բեռի նվազեցմանը և երկարաժամկետ տնտեսական աճի խթանմանը:</w:t>
      </w:r>
      <w:r w:rsidRPr="00B7540A">
        <w:rPr>
          <w:lang w:val="hy-AM"/>
        </w:rPr>
        <w:t xml:space="preserve"> Բարձր տնտեսական աճի պայմաններում նախատեսվում է սահուն կերպով նվազեցնել կառավարության պարտքի բեռը՝ մինչև 2026 թվականը հասցնելով այն ՀՆԱ-ի 52.1%-ին: Հարկաբյուջետային կանոններով սահմանված սահմանային շեմից՝ 60%-ից շուրջ 8 տոկոսային կետով պարտքի բեռի նվազեցումը հնարավորություն կտա ստեղծել «հարկաբյուջետային տարածք» կամ կուտակել հնարավոր շոկերին արձագանքելու համար կենսական նշանակություն ունեցող դիմադրողականության անհրաժեշտ պաշար: </w:t>
      </w:r>
    </w:p>
    <w:p w14:paraId="23807F30" w14:textId="77777777" w:rsidR="00B7540A" w:rsidRPr="00586097" w:rsidRDefault="00B7540A" w:rsidP="00B7540A">
      <w:pPr>
        <w:pStyle w:val="afc"/>
        <w:spacing w:line="276" w:lineRule="auto"/>
      </w:pPr>
      <w:r w:rsidRPr="00586097">
        <w:t>Գծապատկեր 1.15. Բարձր տնտեսական աճին նպաստող և հարկաբյուջետային կայունություն ապահովող հարկաբյուջետային քաղաքականության առաջնահերթությունները</w:t>
      </w:r>
    </w:p>
    <w:p w14:paraId="139C2104" w14:textId="77777777" w:rsidR="00B7540A" w:rsidRPr="00586097" w:rsidRDefault="00B7540A" w:rsidP="00B7540A">
      <w:pPr>
        <w:spacing w:line="276" w:lineRule="auto"/>
        <w:jc w:val="center"/>
      </w:pPr>
      <w:r w:rsidRPr="00586097">
        <w:rPr>
          <w:noProof/>
        </w:rPr>
        <w:drawing>
          <wp:inline distT="0" distB="0" distL="0" distR="0" wp14:anchorId="63DF39EB" wp14:editId="05BDD799">
            <wp:extent cx="5114925" cy="2562225"/>
            <wp:effectExtent l="0" t="0" r="9525" b="9525"/>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14925" cy="2562225"/>
                    </a:xfrm>
                    <a:prstGeom prst="rect">
                      <a:avLst/>
                    </a:prstGeom>
                    <a:noFill/>
                    <a:ln>
                      <a:noFill/>
                    </a:ln>
                  </pic:spPr>
                </pic:pic>
              </a:graphicData>
            </a:graphic>
          </wp:inline>
        </w:drawing>
      </w:r>
    </w:p>
    <w:p w14:paraId="67AB625A" w14:textId="77777777" w:rsidR="00B7540A" w:rsidRPr="00586097" w:rsidRDefault="00B7540A" w:rsidP="00B7540A">
      <w:pPr>
        <w:spacing w:line="276" w:lineRule="auto"/>
      </w:pPr>
      <w:r w:rsidRPr="00586097">
        <w:t xml:space="preserve">Հարկաբյուջետային կոնսոլիդացիայի իրականացումն ապահովելու համար նախատեսվում է նվազեցնել պետական բյուջեի պակասուրդը, որը կանխատեսվող ժամանակահատվածի վերջում կկայունանա ՀՆԱ-ի 2.5%-ի շուրջ: </w:t>
      </w:r>
    </w:p>
    <w:p w14:paraId="34E916F9" w14:textId="77777777" w:rsidR="00B7540A" w:rsidRPr="00586097" w:rsidRDefault="00B7540A" w:rsidP="00B7540A">
      <w:pPr>
        <w:pStyle w:val="afc"/>
        <w:spacing w:line="276" w:lineRule="auto"/>
      </w:pPr>
      <w:r w:rsidRPr="00586097">
        <w:t>Գծապատկեր 1.16. Պետական բյուջեի պակասուրդը և կառավարության պարտքը 2022-2026թթ.</w:t>
      </w:r>
    </w:p>
    <w:p w14:paraId="6D232718" w14:textId="77777777" w:rsidR="00B7540A" w:rsidRPr="00586097" w:rsidRDefault="00B7540A" w:rsidP="00B7540A">
      <w:pPr>
        <w:spacing w:line="276" w:lineRule="auto"/>
      </w:pPr>
      <w:r w:rsidRPr="00586097">
        <w:rPr>
          <w:noProof/>
        </w:rPr>
        <w:drawing>
          <wp:inline distT="0" distB="0" distL="0" distR="0" wp14:anchorId="5F04B949" wp14:editId="534501E8">
            <wp:extent cx="5600700" cy="2505075"/>
            <wp:effectExtent l="0" t="0" r="19050" b="9525"/>
            <wp:docPr id="2060" name="Chart 2060">
              <a:extLst xmlns:a="http://schemas.openxmlformats.org/drawingml/2006/main">
                <a:ext uri="{FF2B5EF4-FFF2-40B4-BE49-F238E27FC236}">
                  <a16:creationId xmlns:a16="http://schemas.microsoft.com/office/drawing/2014/main" id="{F86123FC-9101-47B7-839D-09339365FE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89FBF59" w14:textId="77777777" w:rsidR="00B7540A" w:rsidRPr="0027114B" w:rsidRDefault="00B7540A" w:rsidP="0027114B">
      <w:pPr>
        <w:pStyle w:val="afd"/>
      </w:pPr>
      <w:r w:rsidRPr="0027114B">
        <w:t>Աղբյուրը՝ ՀՀ ՖՆ</w:t>
      </w:r>
    </w:p>
    <w:p w14:paraId="237CAE72" w14:textId="77777777" w:rsidR="00B7540A" w:rsidRPr="00586097" w:rsidRDefault="00B7540A" w:rsidP="00B7540A">
      <w:pPr>
        <w:spacing w:line="276" w:lineRule="auto"/>
      </w:pPr>
    </w:p>
    <w:p w14:paraId="013D21A9" w14:textId="77777777" w:rsidR="00B7540A" w:rsidRPr="00586097" w:rsidRDefault="00B7540A" w:rsidP="00B7540A">
      <w:pPr>
        <w:spacing w:line="276" w:lineRule="auto"/>
      </w:pPr>
      <w:r w:rsidRPr="00586097">
        <w:rPr>
          <w:b/>
          <w:bCs/>
        </w:rPr>
        <w:t>Բարձր տնտեսական աճի պայմաններում միջնաժամկետում ակնկալվում է պետական բյուջեի եկամուտների աճ, որոնք 2024 թվականին կկազմեն կանխատեսվող ՀՆԱ</w:t>
      </w:r>
      <w:r w:rsidRPr="00586097">
        <w:rPr>
          <w:b/>
          <w:bCs/>
        </w:rPr>
        <w:noBreakHyphen/>
        <w:t>ի 25.4%-ը, իսկ 2026թ.՝ 26.6%:</w:t>
      </w:r>
      <w:r w:rsidRPr="00586097">
        <w:t xml:space="preserve"> Հաշվի առնելով առնվազն 3.6% հարկային ճեղքի առկայությունը՝ հարկային վարչարարության լրացուցիչ ջանքի ներդրման միջոցով 2022-2026թթ. անհրաժեշտ է նախատեսել հարկային եկամուտների բարելավում ՀՆԱ-ի նկատմամբ տարեկան միջինում շուրջ 0.7 տոկոսային կետով՝ 2024թ. հասցնելով 24.7%-ի, իսկ 2026թ.՝ 25.9%-ի: Եթե դրան հնարավոր չլինի հասնել վարչարարության ջանքերով, ապա անհրաժեշտ կլինի իրականացնել տնտեսական աճը չխաթարող հարկային քաղաքականության ճեղքի նվազմանն ուղղված միջոցառումներ: Բարձր տնտեսական աճի տեմպերի պայմաններում լրացուցիչ հարկային եկամուտների հավաքագրումը հնարավորություն կընձեռի ավելի մեծ ռեսուրսներ հատկացնել երկարաժամկետ տնտեսական աճը խթանող կապիտալ ծախսեր իրականացնելու համար:</w:t>
      </w:r>
    </w:p>
    <w:p w14:paraId="2141067F" w14:textId="77777777" w:rsidR="00B7540A" w:rsidRPr="00586097" w:rsidRDefault="00B7540A" w:rsidP="00B7540A">
      <w:pPr>
        <w:spacing w:line="276" w:lineRule="auto"/>
      </w:pPr>
      <w:r w:rsidRPr="00586097">
        <w:t>Միջնաժամկետ կանխատեսվող հորիզոնում նախատեսվում է իրականացնել պետական բյուջեի ծախսերի կառուցվածքի բարելավման քաղաքականություն, ինչի արդյունքում պետական բյուջեի կապիտալ ծախսերի կշիռը ՀՆԱ-ում զգալիորեն կաճի, իսկ ընթացիկ առաջնային ծախսերի (առանց տոկոսավճարների) կշիռը՝ կպահպանվի նույն մակարդակում: Այսպես՝ տնտեսական աճի բարձր տեմպերի ապահովմանը նպաստելու նպատակով, նախատեսվում է 2022-2026թթ. բարձրացնել կապիտալ ծախսերի կշիռը ՀՆԱ</w:t>
      </w:r>
      <w:r w:rsidRPr="00586097">
        <w:noBreakHyphen/>
        <w:t>ում՝ 2024թ. հասցնելով շուրջ 4.8%-ի, իսկ մինչև 2026թ.՝ 6.1%: Ընթացիկ առաջնային ծախսերի գծով նախատեսվում է պահպանել ՀՆԱ-ի նկատմամբ կայուն մակարդակ՝ 2022-2026 թվականներին ապահովելով ընթացիկ առաջնային ծախսեր/ՀՆԱ հարաբերակցության կայունացումը 20%-ի շուրջ: Վերջինս սակայն, ենթադրում է հարկաբյուջետային կանոններով նախատեսվածից ավել ընթացիկ ծախսերի իրականացում, քանի որ հարկաբյուջետային կանոններին համապատասխան հաշվարկված ընթացիկ առաջնային ծախսերը ՀՆԱ-ի նկատմամբ կունենան նվազող ուղղություն: Հետևաբար, այս սցենարի իրականացման համար, անհրաժեշտ է որոշակի փոփոխություններ կատարել հարկաբյուջետային կանոնների օրենսդրական կարգավորումներում՝ հնարավորություն ստեղծելով տնտեսական բարձր աճի և բարձր հարկային եկամուտների պայմաններում ավելացնել ընթացիկ ծախսերի կազմում տնտեսության ներուժի և ներուժային տնտեսական աճի բարձրացմանը նպաստող ծախսերը (կրթություն, առողջապահություն, պաշտպանությանն ուղղված ծախսեր և այլն):</w:t>
      </w:r>
    </w:p>
    <w:p w14:paraId="56A2EF28" w14:textId="77777777" w:rsidR="00B7540A" w:rsidRPr="00586097" w:rsidRDefault="00B7540A" w:rsidP="00B7540A">
      <w:pPr>
        <w:pStyle w:val="afc"/>
        <w:spacing w:line="276" w:lineRule="auto"/>
      </w:pPr>
      <w:r w:rsidRPr="00586097">
        <w:t>Գծապատկեր 1.17. Պետական բյուջեի հարկային եկամուտները և ծախսերը 2022-2026 թթ.</w:t>
      </w:r>
    </w:p>
    <w:p w14:paraId="43BDBFA3" w14:textId="77777777" w:rsidR="00B7540A" w:rsidRPr="00B7540A" w:rsidRDefault="00B7540A" w:rsidP="00B7540A">
      <w:pPr>
        <w:spacing w:line="276" w:lineRule="auto"/>
        <w:ind w:firstLine="0"/>
        <w:rPr>
          <w:lang w:val="hy-AM"/>
        </w:rPr>
      </w:pPr>
      <w:r w:rsidRPr="00586097">
        <w:rPr>
          <w:noProof/>
        </w:rPr>
        <w:drawing>
          <wp:inline distT="0" distB="0" distL="0" distR="0" wp14:anchorId="1966F9B3" wp14:editId="1E860865">
            <wp:extent cx="3076575" cy="2886075"/>
            <wp:effectExtent l="0" t="0" r="9525" b="9525"/>
            <wp:docPr id="2061" name="Chart 2061">
              <a:extLst xmlns:a="http://schemas.openxmlformats.org/drawingml/2006/main">
                <a:ext uri="{FF2B5EF4-FFF2-40B4-BE49-F238E27FC236}">
                  <a16:creationId xmlns:a16="http://schemas.microsoft.com/office/drawing/2014/main" id="{FA7ADE50-3A28-4B81-916C-52FAC67118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B7540A">
        <w:rPr>
          <w:lang w:val="hy-AM"/>
        </w:rPr>
        <w:t xml:space="preserve"> </w:t>
      </w:r>
      <w:r w:rsidRPr="00586097">
        <w:rPr>
          <w:noProof/>
        </w:rPr>
        <w:drawing>
          <wp:inline distT="0" distB="0" distL="0" distR="0" wp14:anchorId="16FCBF4B" wp14:editId="7943675A">
            <wp:extent cx="3076575" cy="2886075"/>
            <wp:effectExtent l="0" t="0" r="9525" b="9525"/>
            <wp:docPr id="2062" name="Chart 20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16DBA29" w14:textId="77777777" w:rsidR="00B7540A" w:rsidRPr="0027114B" w:rsidRDefault="00B7540A" w:rsidP="0027114B">
      <w:pPr>
        <w:pStyle w:val="afd"/>
      </w:pPr>
      <w:r w:rsidRPr="0027114B">
        <w:t xml:space="preserve">Աղբյուրը՝ ՀՀ ՖՆ </w:t>
      </w:r>
    </w:p>
    <w:p w14:paraId="498BB0F4" w14:textId="77777777" w:rsidR="00B7540A" w:rsidRPr="00B7540A" w:rsidRDefault="00B7540A" w:rsidP="00B7540A">
      <w:pPr>
        <w:spacing w:line="276" w:lineRule="auto"/>
        <w:rPr>
          <w:b/>
          <w:bCs/>
          <w:lang w:val="hy-AM"/>
        </w:rPr>
      </w:pPr>
      <w:r w:rsidRPr="00B7540A">
        <w:rPr>
          <w:b/>
          <w:bCs/>
          <w:lang w:val="hy-AM"/>
        </w:rPr>
        <w:t>Այսպիսով, թիրախային տնտեսական կայուն աճի կանխատեսումների շրջանակում միջոցառումների իրականացման արդյունքում նախատեսվում է ապահովել ՀՀ տնտեսության կայուն առաջընթացը և մրցունակության բարձրացումը՝ բարելավելով տնտեսության կառուցվածքը ի օգուտ արտահանելի ճյուղերի: Ընդ որում՝ տնտեսության ներուժի բարձրացումը և աճի տեմպերի արագացումը կապահովվի ի հաշիվ ներդրումների բարձր աճի, արտահանման աճի արագացման, պետական բյուջեից ենթակառուցվածքներում կապիտալ ծախսերի ավելացման և կառուցվածքային բարեփոխումների արդյունքում ակնկալվող արտադրողականության աճի:</w:t>
      </w:r>
    </w:p>
    <w:p w14:paraId="0F10565D" w14:textId="77777777" w:rsidR="00B7540A" w:rsidRPr="00B7540A" w:rsidRDefault="00B7540A" w:rsidP="00B7540A">
      <w:pPr>
        <w:spacing w:line="276" w:lineRule="auto"/>
        <w:rPr>
          <w:lang w:val="hy-AM"/>
        </w:rPr>
      </w:pPr>
      <w:r w:rsidRPr="00B7540A">
        <w:rPr>
          <w:lang w:val="hy-AM"/>
        </w:rPr>
        <w:t>Ինչ վերաբերում է վերոնշյալ կանխատեսումների համատեքստում ակնկալվող լրացուցիչ բյուջետային հնարավորություններին, ապա դրանք նախատեսվում է իրացնել առաջացման ժամանակ՝ բյուջետային հարաբերությունները կարգավորող իրավական դաշտի պահանջներին համապատասխան:</w:t>
      </w:r>
    </w:p>
    <w:p w14:paraId="00CDD979" w14:textId="77777777" w:rsidR="00C0628C" w:rsidRDefault="00C0628C" w:rsidP="00C0628C">
      <w:pPr>
        <w:spacing w:line="276" w:lineRule="auto"/>
        <w:rPr>
          <w:b/>
          <w:bCs/>
          <w:lang w:val="hy-AM"/>
        </w:rPr>
      </w:pPr>
      <w:bookmarkStart w:id="455" w:name="_Toc77451195"/>
    </w:p>
    <w:p w14:paraId="741CA675" w14:textId="77777777" w:rsidR="00B7540A" w:rsidRPr="00955271" w:rsidRDefault="00C0628C" w:rsidP="00955271">
      <w:pPr>
        <w:pStyle w:val="Heading3"/>
        <w:spacing w:before="40" w:after="0" w:line="240" w:lineRule="auto"/>
        <w:contextualSpacing w:val="0"/>
        <w:rPr>
          <w:rFonts w:eastAsia="SimSun" w:cs="Times New Roman"/>
          <w:caps w:val="0"/>
          <w:color w:val="1F497D" w:themeColor="text2"/>
        </w:rPr>
      </w:pPr>
      <w:bookmarkStart w:id="456" w:name="_Toc77837847"/>
      <w:r w:rsidRPr="00955271">
        <w:rPr>
          <w:rFonts w:eastAsia="SimSun" w:cs="Times New Roman"/>
          <w:caps w:val="0"/>
          <w:color w:val="1F497D" w:themeColor="text2"/>
        </w:rPr>
        <w:t xml:space="preserve">1.3.2. </w:t>
      </w:r>
      <w:r w:rsidR="00B7540A" w:rsidRPr="00955271">
        <w:rPr>
          <w:rFonts w:eastAsia="SimSun" w:cs="Times New Roman"/>
          <w:caps w:val="0"/>
          <w:color w:val="1F497D" w:themeColor="text2"/>
        </w:rPr>
        <w:t>2022-2024թթ. ՄԺԾԾ ՄԱԿՐՈՏՆՏԵՍԱԿԱՆ ՍՑԵՆԱՐ (ԲՅՈՒՋԵՏԱՅԻՆ ՇՐՋԱՆԱԿ)</w:t>
      </w:r>
      <w:bookmarkEnd w:id="455"/>
      <w:bookmarkEnd w:id="456"/>
    </w:p>
    <w:p w14:paraId="0A2ADCDB" w14:textId="77777777" w:rsidR="00B7540A" w:rsidRPr="00B7540A" w:rsidRDefault="00B7540A" w:rsidP="00B7540A">
      <w:pPr>
        <w:pStyle w:val="Heading6"/>
        <w:spacing w:line="276" w:lineRule="auto"/>
        <w:rPr>
          <w:rFonts w:ascii="GHEA Grapalat" w:hAnsi="GHEA Grapalat"/>
          <w:lang w:val="hy-AM"/>
        </w:rPr>
      </w:pPr>
      <w:r w:rsidRPr="00B7540A">
        <w:rPr>
          <w:rFonts w:ascii="GHEA Grapalat" w:hAnsi="GHEA Grapalat"/>
          <w:lang w:val="hy-AM"/>
        </w:rPr>
        <w:t>ՀՆԱ և տնտեսական աճ</w:t>
      </w:r>
      <w:bookmarkEnd w:id="454"/>
    </w:p>
    <w:p w14:paraId="29677070" w14:textId="77777777" w:rsidR="00B7540A" w:rsidRPr="00B7540A" w:rsidRDefault="00B7540A" w:rsidP="00B7540A">
      <w:pPr>
        <w:spacing w:line="276" w:lineRule="auto"/>
        <w:rPr>
          <w:lang w:val="hy-AM"/>
        </w:rPr>
      </w:pPr>
      <w:r w:rsidRPr="00B7540A">
        <w:rPr>
          <w:rFonts w:eastAsiaTheme="majorEastAsia"/>
          <w:b/>
          <w:bCs/>
          <w:lang w:val="hy-AM"/>
        </w:rPr>
        <w:t>2018-2019թթ. Հայաստանի տնտեսությունը բնութագրվել է տնտեսական աճի բարձր ցուցանիշներով՝ միջինում գրանցելով 6.4% (2019թ.-ին՝ 7.6%) իրական աճ, սակայն կորոնավիրուսի համավարակի և Արցախյան պատերազմի բացասական ազդեցություններով պայմանավորված 2020թ. գրանցվեց 7.4% տնտեսական անկում:</w:t>
      </w:r>
      <w:r w:rsidRPr="00B7540A">
        <w:rPr>
          <w:rFonts w:eastAsiaTheme="majorEastAsia"/>
          <w:lang w:val="hy-AM"/>
        </w:rPr>
        <w:t xml:space="preserve"> 2018-2019թթ. տնտեսական աճին հիմնականում նպաստել են ծառայությունների և արդյունաբերության ճյուղերը` միջինում 4.8 և 1.5 տոկոսային կետերով: Պահանջարկի տեսանկյունից աճին նպաստել է ներքին պահանջարկը, ինչը պայմանվորված է եղել հիմնականում վերջնական սպառման (հատկապես՝ մասնավոր սպառման) աճով։ Նշված զարգացումները շարունակվեցին նաև 2020թ. առաջին եռամսյակի ընթացքում, սակայն, 2020թ. մարտի 1-ից սկիզբ առած Կորոնավիրուսի համավարակի բացասական ազդեցություններով պայմանավորված, 2020թ. երկրորդ եռամսյակից տնտեսական աճը վերափոխվեց տնտեսական անկման՝ իր վրա կրելով նաև սեպտեմբեր-նոյեմբեր ամիսներին տեղի ունեցած Արցախյան պատերազմի բացասական ազդեցությունները: </w:t>
      </w:r>
    </w:p>
    <w:p w14:paraId="005138FB" w14:textId="1F808FB5" w:rsidR="00B7540A" w:rsidRDefault="00B7540A" w:rsidP="00E067FB">
      <w:pPr>
        <w:spacing w:after="120" w:line="276" w:lineRule="auto"/>
        <w:ind w:firstLine="562"/>
        <w:rPr>
          <w:rFonts w:eastAsiaTheme="majorEastAsia"/>
          <w:lang w:val="hy-AM"/>
        </w:rPr>
      </w:pPr>
      <w:r w:rsidRPr="00B7540A">
        <w:rPr>
          <w:rFonts w:eastAsiaTheme="majorEastAsia"/>
          <w:b/>
          <w:bCs/>
          <w:lang w:val="hy-AM"/>
        </w:rPr>
        <w:t>Կորոնավիրուսի համավարակի և Արցախյան պատերազմի բացասական ազդեցությունները շարունակվեցին նաև 2021թ</w:t>
      </w:r>
      <w:r w:rsidRPr="00B7540A">
        <w:rPr>
          <w:rFonts w:ascii="Cambria Math" w:eastAsiaTheme="majorEastAsia" w:hAnsi="Cambria Math" w:cs="Cambria Math"/>
          <w:b/>
          <w:bCs/>
          <w:lang w:val="hy-AM"/>
        </w:rPr>
        <w:t>․</w:t>
      </w:r>
      <w:r w:rsidRPr="00B7540A">
        <w:rPr>
          <w:rFonts w:eastAsiaTheme="majorEastAsia"/>
          <w:b/>
          <w:bCs/>
          <w:lang w:val="hy-AM"/>
        </w:rPr>
        <w:t xml:space="preserve"> տարեսկզբին, սակայն մարտ ամսից արձանագրվեցին տնտեսական ակտիվության վերականգման միտումներ՝ պայմանավորված կիրառված սահմանափակումների վերացմամբ</w:t>
      </w:r>
      <w:r w:rsidRPr="00586097">
        <w:rPr>
          <w:rStyle w:val="FootnoteReference"/>
          <w:rFonts w:eastAsiaTheme="majorEastAsia"/>
          <w:b/>
          <w:bCs/>
        </w:rPr>
        <w:footnoteReference w:id="10"/>
      </w:r>
      <w:r w:rsidRPr="00B7540A">
        <w:rPr>
          <w:rFonts w:eastAsiaTheme="majorEastAsia"/>
          <w:b/>
          <w:bCs/>
          <w:lang w:val="hy-AM"/>
        </w:rPr>
        <w:t>, ներքին պահանջարկի վերականգնմամբ,  2020թ. իրականացված խթանող մակրոտնտեսական քաղաքականություններով և 2021թ. շարունակվող խթանող հարկաբյուջետային քաղաքականությամբ:</w:t>
      </w:r>
      <w:r w:rsidRPr="00B7540A">
        <w:rPr>
          <w:rFonts w:eastAsiaTheme="majorEastAsia"/>
          <w:lang w:val="hy-AM"/>
        </w:rPr>
        <w:t xml:space="preserve"> Արդյունքում 2021թ. առաջին եռամսյակում գրանցվեց ՀՆԱ-ի 3.3% իրական նվազում՝ հիմնականում պայմանավորված ծառայությունների նվազմամբ (նպաստումը՝ 2.2 տոկոսային կետ)։ Իսկ շինարարության և գյուղատնտեսության ճյուղերում արձանագրված աճերը հակազդեցին ՀՆԱ-ի նվազմանը (նպաստումը՝ յուրաքանչյուրը 0.1 տոկոսային կետ): </w:t>
      </w:r>
    </w:p>
    <w:tbl>
      <w:tblPr>
        <w:tblStyle w:val="TableGrid142121"/>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4963"/>
        <w:gridCol w:w="4963"/>
      </w:tblGrid>
      <w:tr w:rsidR="00B7540A" w:rsidRPr="005849E3" w14:paraId="2FD36395" w14:textId="77777777" w:rsidTr="00B7540A">
        <w:trPr>
          <w:trHeight w:val="3430"/>
        </w:trPr>
        <w:tc>
          <w:tcPr>
            <w:tcW w:w="4963" w:type="dxa"/>
          </w:tcPr>
          <w:p w14:paraId="4703A2D1" w14:textId="026519C6" w:rsidR="00B7540A" w:rsidRPr="00A42F0D" w:rsidRDefault="00B7540A" w:rsidP="00B7540A">
            <w:pPr>
              <w:pStyle w:val="afe"/>
              <w:rPr>
                <w:lang w:val="hy-AM"/>
              </w:rPr>
            </w:pPr>
            <w:r w:rsidRPr="00A42F0D">
              <w:rPr>
                <w:lang w:val="hy-AM"/>
              </w:rPr>
              <w:t>Գծապատկեր 1.18. ՀՆԱ աճ (%) և ճյուղերի նպաստում</w:t>
            </w:r>
            <w:r w:rsidR="00FA2BC5" w:rsidRPr="00FA2BC5">
              <w:rPr>
                <w:lang w:val="hy-AM"/>
              </w:rPr>
              <w:t xml:space="preserve">- </w:t>
            </w:r>
            <w:r w:rsidRPr="00A42F0D">
              <w:rPr>
                <w:lang w:val="hy-AM"/>
              </w:rPr>
              <w:t>ները ՀՆԱ աճին (տ.կ.)</w:t>
            </w:r>
          </w:p>
          <w:p w14:paraId="7189F727" w14:textId="77777777" w:rsidR="00B7540A" w:rsidRPr="00586097" w:rsidRDefault="00B7540A" w:rsidP="00B7540A">
            <w:pPr>
              <w:spacing w:line="276" w:lineRule="auto"/>
              <w:ind w:firstLine="29"/>
            </w:pPr>
            <w:r w:rsidRPr="00586097">
              <w:rPr>
                <w:rFonts w:eastAsiaTheme="majorEastAsia" w:cstheme="majorBidi"/>
                <w:noProof/>
                <w:color w:val="244061" w:themeColor="accent1" w:themeShade="80"/>
              </w:rPr>
              <w:drawing>
                <wp:inline distT="0" distB="0" distL="0" distR="0" wp14:anchorId="29E0CFFF" wp14:editId="30983D7C">
                  <wp:extent cx="2904134" cy="1675181"/>
                  <wp:effectExtent l="0" t="0" r="10795" b="20320"/>
                  <wp:docPr id="2073" name="Chart 2073">
                    <a:extLst xmlns:a="http://schemas.openxmlformats.org/drawingml/2006/main">
                      <a:ext uri="{FF2B5EF4-FFF2-40B4-BE49-F238E27FC236}">
                        <a16:creationId xmlns:a16="http://schemas.microsoft.com/office/drawing/2014/main" id="{B706C3B2-915B-4C24-A125-9A8A708CD2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4DB897B" w14:textId="77777777" w:rsidR="00B7540A" w:rsidRPr="00A42F0D" w:rsidRDefault="00B7540A" w:rsidP="00DB6C6E">
            <w:pPr>
              <w:pStyle w:val="afd"/>
              <w:spacing w:before="0" w:after="0"/>
              <w:rPr>
                <w:sz w:val="16"/>
              </w:rPr>
            </w:pPr>
            <w:r w:rsidRPr="0067228E">
              <w:t xml:space="preserve">Աղբյուրը՝ ՀՀ ՎԿ, ՀՀ ՖՆ հաշվարկներ </w:t>
            </w:r>
          </w:p>
        </w:tc>
        <w:tc>
          <w:tcPr>
            <w:tcW w:w="4963" w:type="dxa"/>
          </w:tcPr>
          <w:p w14:paraId="2F47DBA1" w14:textId="1A227307" w:rsidR="00FA2BC5" w:rsidRDefault="00B7540A" w:rsidP="00B7540A">
            <w:pPr>
              <w:pStyle w:val="afe"/>
              <w:rPr>
                <w:lang w:val="hy-AM"/>
              </w:rPr>
            </w:pPr>
            <w:r w:rsidRPr="00A42F0D">
              <w:rPr>
                <w:lang w:val="hy-AM"/>
              </w:rPr>
              <w:t>Գծապատկեր 1.19. ՀՆԱ աճ (%) և պահանջարկի բաղա</w:t>
            </w:r>
            <w:r w:rsidR="00BD4A1A" w:rsidRPr="00BD4A1A">
              <w:rPr>
                <w:lang w:val="hy-AM"/>
              </w:rPr>
              <w:t xml:space="preserve">- </w:t>
            </w:r>
            <w:r w:rsidRPr="00A42F0D">
              <w:rPr>
                <w:lang w:val="hy-AM"/>
              </w:rPr>
              <w:t>դրիչների նպաստումները ՀՆԱ աճին (տ.կ.)</w:t>
            </w:r>
          </w:p>
          <w:p w14:paraId="05360655" w14:textId="7795163A" w:rsidR="00B7540A" w:rsidRPr="00586097" w:rsidRDefault="00B7540A" w:rsidP="00B7540A">
            <w:pPr>
              <w:pStyle w:val="afe"/>
              <w:rPr>
                <w:sz w:val="22"/>
                <w:szCs w:val="22"/>
                <w:lang w:val="hy-AM"/>
              </w:rPr>
            </w:pPr>
            <w:r w:rsidRPr="00586097">
              <w:rPr>
                <w:rFonts w:eastAsiaTheme="majorEastAsia" w:cstheme="majorBidi"/>
                <w:color w:val="244061" w:themeColor="accent1" w:themeShade="80"/>
                <w:sz w:val="22"/>
                <w:szCs w:val="22"/>
              </w:rPr>
              <w:drawing>
                <wp:inline distT="0" distB="0" distL="0" distR="0" wp14:anchorId="5B7B7B56" wp14:editId="544A5169">
                  <wp:extent cx="2962275" cy="1698984"/>
                  <wp:effectExtent l="0" t="0" r="9525" b="15875"/>
                  <wp:docPr id="2074" name="Chart 2074">
                    <a:extLst xmlns:a="http://schemas.openxmlformats.org/drawingml/2006/main">
                      <a:ext uri="{FF2B5EF4-FFF2-40B4-BE49-F238E27FC236}">
                        <a16:creationId xmlns:a16="http://schemas.microsoft.com/office/drawing/2014/main" id="{9315E2B3-D3AE-476A-B7C4-ACF3898E8B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49DABC5" w14:textId="77777777" w:rsidR="00B7540A" w:rsidRPr="00A42F0D" w:rsidRDefault="00B7540A" w:rsidP="00DB6C6E">
            <w:pPr>
              <w:pStyle w:val="afd"/>
              <w:spacing w:after="0"/>
              <w:contextualSpacing w:val="0"/>
              <w:rPr>
                <w:sz w:val="16"/>
              </w:rPr>
            </w:pPr>
            <w:r w:rsidRPr="0067228E">
              <w:t>Աղբյուրը՝ ՀՀ ՎԿ, ՀՀ ՖՆ հաշվարկներ</w:t>
            </w:r>
          </w:p>
        </w:tc>
      </w:tr>
    </w:tbl>
    <w:p w14:paraId="28557FAD" w14:textId="77777777" w:rsidR="00B7540A" w:rsidRPr="00B7540A" w:rsidRDefault="00B7540A" w:rsidP="00DE4931">
      <w:pPr>
        <w:spacing w:before="120" w:after="120" w:line="276" w:lineRule="auto"/>
        <w:ind w:firstLine="562"/>
        <w:rPr>
          <w:lang w:val="hy-AM"/>
        </w:rPr>
      </w:pPr>
      <w:r w:rsidRPr="00B7540A">
        <w:rPr>
          <w:rFonts w:eastAsiaTheme="majorEastAsia"/>
          <w:lang w:val="hy-AM"/>
        </w:rPr>
        <w:t>Չնայած հունվար-փետրվար ամիսների բացասական զարգացումներին և կորոնավիրուսի երրորդ ալիքին՝ մարտ ամսից տնտեսության բոլոր ճյուղերը սկսեցին վերականգնվել, իսկ մարտ-մայիս ամիսներին նախորդ տարվա նույն ամիսների նկատմամբ գրանցվեց տնտեսական ակտիվության (ՏԱՑ) աճ։ Արդյունքում, 2021թ. հունվար-մայիսին արձանագրվեց տնտեսական ակտիվության 4.3% աճ: Տնտեսական ակտիվության աճը պայմանավորված է եղել հիմնականում շինարարության (1.1 տոկոսային կետ) թողարկման իրական աճով, առևտուրը, արդյունաբերությունը և ծառայությունները նույնպես ունեցել են դրական նպաստումներ (համապատասխանաբար՝ 0.9, 0.5 և 0.4 տոկոսային կետեր)</w:t>
      </w:r>
      <w:r w:rsidRPr="00586097">
        <w:rPr>
          <w:rStyle w:val="FootnoteReference"/>
          <w:rFonts w:eastAsiaTheme="majorEastAsia"/>
        </w:rPr>
        <w:footnoteReference w:id="11"/>
      </w:r>
      <w:r w:rsidRPr="00B7540A">
        <w:rPr>
          <w:rFonts w:eastAsiaTheme="majorEastAsia"/>
          <w:lang w:val="hy-AM"/>
        </w:rPr>
        <w:t xml:space="preserve">: </w:t>
      </w:r>
    </w:p>
    <w:tbl>
      <w:tblPr>
        <w:tblStyle w:val="TableGrid12"/>
        <w:tblW w:w="0" w:type="auto"/>
        <w:tblBorders>
          <w:top w:val="single" w:sz="6" w:space="0" w:color="4F81BD"/>
          <w:left w:val="single" w:sz="6" w:space="0" w:color="4F81BD"/>
          <w:bottom w:val="single" w:sz="6" w:space="0" w:color="4F81BD"/>
          <w:right w:val="single" w:sz="6" w:space="0" w:color="4F81BD"/>
          <w:insideH w:val="single" w:sz="6" w:space="0" w:color="4F81BD"/>
          <w:insideV w:val="single" w:sz="6" w:space="0" w:color="4F81BD"/>
        </w:tblBorders>
        <w:tblLook w:val="04A0" w:firstRow="1" w:lastRow="0" w:firstColumn="1" w:lastColumn="0" w:noHBand="0" w:noVBand="1"/>
      </w:tblPr>
      <w:tblGrid>
        <w:gridCol w:w="5069"/>
        <w:gridCol w:w="4949"/>
      </w:tblGrid>
      <w:tr w:rsidR="00B7540A" w:rsidRPr="00586097" w14:paraId="5CA63B5B" w14:textId="77777777" w:rsidTr="00B7540A">
        <w:trPr>
          <w:trHeight w:val="4129"/>
        </w:trPr>
        <w:tc>
          <w:tcPr>
            <w:tcW w:w="5069" w:type="dxa"/>
            <w:shd w:val="clear" w:color="auto" w:fill="auto"/>
          </w:tcPr>
          <w:p w14:paraId="5215E38B" w14:textId="77777777" w:rsidR="00454E64" w:rsidRDefault="00B7540A" w:rsidP="00454E64">
            <w:pPr>
              <w:pStyle w:val="afe"/>
              <w:rPr>
                <w:lang w:val="hy-AM"/>
              </w:rPr>
            </w:pPr>
            <w:r w:rsidRPr="00A42F0D">
              <w:rPr>
                <w:lang w:val="hy-AM"/>
              </w:rPr>
              <w:t>Գծապատկեր 1.20. ՏԱՑ և տնտեսության ճյուղերի իրա</w:t>
            </w:r>
            <w:r w:rsidR="00454E64" w:rsidRPr="00454E64">
              <w:rPr>
                <w:lang w:val="hy-AM"/>
              </w:rPr>
              <w:t xml:space="preserve">- </w:t>
            </w:r>
            <w:r w:rsidRPr="00A42F0D">
              <w:rPr>
                <w:lang w:val="hy-AM"/>
              </w:rPr>
              <w:t>կան աճերը նախորդ տարվա նույն ժամանակահատ</w:t>
            </w:r>
            <w:r w:rsidR="00454E64" w:rsidRPr="00454E64">
              <w:rPr>
                <w:lang w:val="hy-AM"/>
              </w:rPr>
              <w:t xml:space="preserve">- </w:t>
            </w:r>
            <w:r w:rsidRPr="00A42F0D">
              <w:rPr>
                <w:lang w:val="hy-AM"/>
              </w:rPr>
              <w:t>վածի նկատմամբ (%)</w:t>
            </w:r>
          </w:p>
          <w:p w14:paraId="730FCB0A" w14:textId="3DD735AA" w:rsidR="00B7540A" w:rsidRPr="00586097" w:rsidRDefault="00B7540A" w:rsidP="00454E64">
            <w:pPr>
              <w:pStyle w:val="afe"/>
              <w:rPr>
                <w:sz w:val="22"/>
                <w:szCs w:val="22"/>
                <w:lang w:val="hy-AM"/>
              </w:rPr>
            </w:pPr>
            <w:r w:rsidRPr="00586097">
              <w:rPr>
                <w:sz w:val="22"/>
                <w:szCs w:val="22"/>
              </w:rPr>
              <w:drawing>
                <wp:inline distT="0" distB="0" distL="0" distR="0" wp14:anchorId="0B92CCC4" wp14:editId="18C163FB">
                  <wp:extent cx="3064510" cy="2176145"/>
                  <wp:effectExtent l="0" t="0" r="2540" b="14605"/>
                  <wp:docPr id="2075" name="Chart 207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FED2B81" w14:textId="151CBF04" w:rsidR="00B7540A" w:rsidRPr="00A42F0D" w:rsidRDefault="00B7540A" w:rsidP="00300DFD">
            <w:pPr>
              <w:pStyle w:val="afd"/>
              <w:spacing w:before="0" w:after="0"/>
              <w:rPr>
                <w:sz w:val="16"/>
              </w:rPr>
            </w:pPr>
            <w:r w:rsidRPr="0067228E">
              <w:t>Աղբյուրը՝ ՀՀ ՎԿ</w:t>
            </w:r>
          </w:p>
        </w:tc>
        <w:tc>
          <w:tcPr>
            <w:tcW w:w="4949" w:type="dxa"/>
          </w:tcPr>
          <w:p w14:paraId="08AACADC" w14:textId="3FF63274" w:rsidR="00B7540A" w:rsidRPr="00586097" w:rsidRDefault="00B7540A" w:rsidP="00454E64">
            <w:pPr>
              <w:pStyle w:val="afe"/>
              <w:rPr>
                <w:sz w:val="22"/>
                <w:szCs w:val="22"/>
                <w:lang w:val="hy-AM"/>
              </w:rPr>
            </w:pPr>
            <w:r w:rsidRPr="00A42F0D">
              <w:drawing>
                <wp:anchor distT="0" distB="0" distL="114300" distR="114300" simplePos="0" relativeHeight="251661824" behindDoc="1" locked="0" layoutInCell="1" allowOverlap="1" wp14:anchorId="62D71C6F" wp14:editId="37F8007E">
                  <wp:simplePos x="0" y="0"/>
                  <wp:positionH relativeFrom="column">
                    <wp:posOffset>-5715</wp:posOffset>
                  </wp:positionH>
                  <wp:positionV relativeFrom="paragraph">
                    <wp:posOffset>538480</wp:posOffset>
                  </wp:positionV>
                  <wp:extent cx="3028950" cy="2176145"/>
                  <wp:effectExtent l="0" t="0" r="0" b="14605"/>
                  <wp:wrapTight wrapText="bothSides">
                    <wp:wrapPolygon edited="0">
                      <wp:start x="0" y="0"/>
                      <wp:lineTo x="0" y="21556"/>
                      <wp:lineTo x="21464" y="21556"/>
                      <wp:lineTo x="21464" y="0"/>
                      <wp:lineTo x="0" y="0"/>
                    </wp:wrapPolygon>
                  </wp:wrapTight>
                  <wp:docPr id="2076" name="Chart 207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V relativeFrom="margin">
                    <wp14:pctHeight>0</wp14:pctHeight>
                  </wp14:sizeRelV>
                </wp:anchor>
              </w:drawing>
            </w:r>
            <w:r w:rsidRPr="00A42F0D">
              <w:rPr>
                <w:lang w:val="hy-AM"/>
              </w:rPr>
              <w:t>Գծապատկեր 1.21. ՏԱՑ և տնտեսության ճյուղերի իրական աճերը նախորդ տարվա նույն ամսվա նկատ</w:t>
            </w:r>
            <w:r w:rsidR="00454E64" w:rsidRPr="00454E64">
              <w:rPr>
                <w:lang w:val="hy-AM"/>
              </w:rPr>
              <w:t xml:space="preserve">- </w:t>
            </w:r>
            <w:r w:rsidRPr="00A42F0D">
              <w:rPr>
                <w:lang w:val="hy-AM"/>
              </w:rPr>
              <w:t>մամբ (%)</w:t>
            </w:r>
          </w:p>
          <w:p w14:paraId="1B3508FB" w14:textId="77777777" w:rsidR="00B7540A" w:rsidRPr="00A42F0D" w:rsidRDefault="00B7540A" w:rsidP="00300DFD">
            <w:pPr>
              <w:pStyle w:val="afd"/>
              <w:spacing w:before="0" w:after="60"/>
              <w:contextualSpacing w:val="0"/>
              <w:rPr>
                <w:sz w:val="16"/>
              </w:rPr>
            </w:pPr>
            <w:r w:rsidRPr="0067228E">
              <w:t>Աղբյուրը՝ ՀՀ ՎԿ</w:t>
            </w:r>
            <w:r w:rsidRPr="0067228E" w:rsidDel="00DA0563">
              <w:t xml:space="preserve"> </w:t>
            </w:r>
          </w:p>
        </w:tc>
      </w:tr>
      <w:tr w:rsidR="00B7540A" w:rsidRPr="005849E3" w14:paraId="3D6057FC" w14:textId="77777777" w:rsidTr="00B7540A">
        <w:trPr>
          <w:trHeight w:val="411"/>
        </w:trPr>
        <w:tc>
          <w:tcPr>
            <w:tcW w:w="5069" w:type="dxa"/>
          </w:tcPr>
          <w:p w14:paraId="703FF868" w14:textId="30FC20A0" w:rsidR="00B7540A" w:rsidRPr="00586097" w:rsidRDefault="00B7540A" w:rsidP="00577017">
            <w:pPr>
              <w:pStyle w:val="afe"/>
              <w:jc w:val="left"/>
              <w:rPr>
                <w:sz w:val="22"/>
                <w:szCs w:val="22"/>
                <w:lang w:val="hy-AM"/>
              </w:rPr>
            </w:pPr>
            <w:r w:rsidRPr="008E2676">
              <w:rPr>
                <w:lang w:val="hy-AM"/>
              </w:rPr>
              <w:t>Գծապատկեր 1.22. Տնտեսության ճյուղերի նպաստում</w:t>
            </w:r>
            <w:r w:rsidR="00577017" w:rsidRPr="00577017">
              <w:rPr>
                <w:lang w:val="hy-AM"/>
              </w:rPr>
              <w:t xml:space="preserve">- </w:t>
            </w:r>
            <w:r w:rsidRPr="008E2676">
              <w:rPr>
                <w:lang w:val="hy-AM"/>
              </w:rPr>
              <w:t>ները ՏԱՑ-ին (տ.կ.)</w:t>
            </w:r>
            <w:r w:rsidRPr="00586097">
              <w:rPr>
                <w:sz w:val="22"/>
                <w:szCs w:val="22"/>
                <w:lang w:val="hy-AM"/>
              </w:rPr>
              <w:t xml:space="preserve"> </w:t>
            </w:r>
            <w:r w:rsidRPr="00586097">
              <w:rPr>
                <w:sz w:val="22"/>
                <w:szCs w:val="22"/>
              </w:rPr>
              <w:drawing>
                <wp:inline distT="0" distB="0" distL="0" distR="0" wp14:anchorId="255A5291" wp14:editId="7A81F052">
                  <wp:extent cx="3095625" cy="2134235"/>
                  <wp:effectExtent l="0" t="0" r="9525" b="18415"/>
                  <wp:docPr id="2077" name="Chart 207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129B2A1" w14:textId="36BC5A49" w:rsidR="00B7540A" w:rsidRPr="008E2676" w:rsidRDefault="00B7540A" w:rsidP="0067228E">
            <w:pPr>
              <w:pStyle w:val="afd"/>
              <w:spacing w:after="0"/>
              <w:rPr>
                <w:sz w:val="16"/>
              </w:rPr>
            </w:pPr>
            <w:r w:rsidRPr="0067228E">
              <w:t xml:space="preserve">Աղբյուրը՝ ՀՀ ՎԿ, ՀՀ ՖՆ հաշվարկներ </w:t>
            </w:r>
          </w:p>
        </w:tc>
        <w:tc>
          <w:tcPr>
            <w:tcW w:w="4949" w:type="dxa"/>
          </w:tcPr>
          <w:p w14:paraId="797FEB39" w14:textId="77777777" w:rsidR="00577017" w:rsidRDefault="00B7540A" w:rsidP="00577017">
            <w:pPr>
              <w:pStyle w:val="afe"/>
              <w:rPr>
                <w:lang w:val="hy-AM"/>
              </w:rPr>
            </w:pPr>
            <w:r w:rsidRPr="008E2676">
              <w:rPr>
                <w:lang w:val="hy-AM"/>
              </w:rPr>
              <w:t>Գծապատկեր 1.23. Տնտեսության ճյուղերի նպաստում</w:t>
            </w:r>
            <w:r w:rsidR="00577017" w:rsidRPr="00577017">
              <w:rPr>
                <w:lang w:val="hy-AM"/>
              </w:rPr>
              <w:t xml:space="preserve">- </w:t>
            </w:r>
            <w:r w:rsidRPr="008E2676">
              <w:rPr>
                <w:lang w:val="hy-AM"/>
              </w:rPr>
              <w:t>ները ՏԱՑ-ին նախորդ տարվա նույն ամսվա նկատ</w:t>
            </w:r>
            <w:r w:rsidR="00577017" w:rsidRPr="00577017">
              <w:rPr>
                <w:lang w:val="hy-AM"/>
              </w:rPr>
              <w:t xml:space="preserve">- </w:t>
            </w:r>
            <w:r w:rsidRPr="008E2676">
              <w:rPr>
                <w:lang w:val="hy-AM"/>
              </w:rPr>
              <w:t>մամբ (տ.կ.)</w:t>
            </w:r>
          </w:p>
          <w:p w14:paraId="17B6A647" w14:textId="601DFD01" w:rsidR="00B7540A" w:rsidRPr="00586097" w:rsidRDefault="00B7540A" w:rsidP="00577017">
            <w:pPr>
              <w:pStyle w:val="afe"/>
              <w:rPr>
                <w:sz w:val="22"/>
                <w:szCs w:val="22"/>
                <w:lang w:val="hy-AM"/>
              </w:rPr>
            </w:pPr>
            <w:r w:rsidRPr="00586097">
              <w:rPr>
                <w:sz w:val="22"/>
                <w:szCs w:val="22"/>
              </w:rPr>
              <w:drawing>
                <wp:inline distT="0" distB="0" distL="0" distR="0" wp14:anchorId="4795D137" wp14:editId="5987F562">
                  <wp:extent cx="3019425" cy="1959429"/>
                  <wp:effectExtent l="0" t="0" r="9525" b="3175"/>
                  <wp:docPr id="2078" name="Chart 207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515B8D3" w14:textId="77777777" w:rsidR="00B7540A" w:rsidRPr="008E2676" w:rsidRDefault="00B7540A" w:rsidP="0067228E">
            <w:pPr>
              <w:pStyle w:val="afd"/>
              <w:spacing w:after="0"/>
              <w:rPr>
                <w:sz w:val="16"/>
              </w:rPr>
            </w:pPr>
            <w:r w:rsidRPr="0067228E">
              <w:t>Աղբյուրը՝ ՀՀ ՎԿ, ՀՀ ՖՆ հաշվարկներ</w:t>
            </w:r>
          </w:p>
        </w:tc>
      </w:tr>
    </w:tbl>
    <w:p w14:paraId="396422DF" w14:textId="77777777" w:rsidR="00B7540A" w:rsidRPr="00B7540A" w:rsidRDefault="00B7540A" w:rsidP="00137AD1">
      <w:pPr>
        <w:spacing w:after="0" w:line="276" w:lineRule="auto"/>
        <w:ind w:firstLine="562"/>
        <w:rPr>
          <w:lang w:val="hy-AM"/>
        </w:rPr>
      </w:pPr>
      <w:r w:rsidRPr="00B7540A">
        <w:rPr>
          <w:rFonts w:eastAsiaTheme="majorEastAsia"/>
          <w:b/>
          <w:bCs/>
          <w:lang w:val="hy-AM"/>
        </w:rPr>
        <w:t>Համավարակի և Արցախյան պատերազմի բացասական ազդեցություններով պայմանավորված ներքին պահանջարկի նվազման տեմպերը շարունակվեցին նաև 2021թ. առաջին եռամսյակում:</w:t>
      </w:r>
      <w:r w:rsidRPr="00B7540A">
        <w:rPr>
          <w:rFonts w:eastAsiaTheme="majorEastAsia"/>
          <w:lang w:val="hy-AM"/>
        </w:rPr>
        <w:t xml:space="preserve"> 2021թ. հունվար-մարտին, շարունակելով կրել համավարակի և Արցախյան պատերազմի բացասական ազդեցությունները, տնտեսական անկումը պայմանավորվել է մասնավոր հատվածի ներքին պահանջարկի (սպառման և ներդրումների) նվազմամբ: Իսկ խթանող հարկաբյուջետային քաղաքականության արդյունքում պետական սպառման և պետական ներդրումների աճն էականորեն հակազդել է տնտեսական անկմանը։ Նույն ժամանակահատվածում արտահանումն ու ներմուծումը շարունակել են նվազել: </w:t>
      </w:r>
    </w:p>
    <w:p w14:paraId="2EC8504D" w14:textId="2DB25B84" w:rsidR="003D37BF" w:rsidRPr="00DC3BC0" w:rsidRDefault="00B7540A" w:rsidP="006102BB">
      <w:pPr>
        <w:spacing w:line="276" w:lineRule="auto"/>
        <w:ind w:firstLine="562"/>
        <w:rPr>
          <w:rFonts w:eastAsiaTheme="majorEastAsia"/>
          <w:lang w:val="hy-AM"/>
        </w:rPr>
      </w:pPr>
      <w:r w:rsidRPr="00B7540A">
        <w:rPr>
          <w:rFonts w:eastAsiaTheme="majorEastAsia"/>
          <w:b/>
          <w:bCs/>
          <w:lang w:val="hy-AM"/>
        </w:rPr>
        <w:t>Առաջին եռամսյակին հաջորդող ամիսներին նկատվեց ներքին պահանջարկի (մասնավորապես՝ սպառման) վերականգնում՝ պայմանավորված անցած տարի մասնավոր հատվածում կուտակված նախազգուշական խնայողությունների օգտագործմամբ, դրամական փոխանցումների աճով և բարձր գնաճային սպասումներով:</w:t>
      </w:r>
      <w:r w:rsidRPr="00B7540A">
        <w:rPr>
          <w:rFonts w:eastAsiaTheme="majorEastAsia"/>
          <w:lang w:val="hy-AM"/>
        </w:rPr>
        <w:t xml:space="preserve"> Սպառման վերականգնման մասին են վկայում նույն ժամանակաշրջանում առևտրի և ծառայությունների վերականգնումը:</w:t>
      </w:r>
    </w:p>
    <w:tbl>
      <w:tblPr>
        <w:tblStyle w:val="TableGrid1113112"/>
        <w:tblpPr w:leftFromText="180" w:rightFromText="180" w:vertAnchor="text" w:horzAnchor="margin" w:tblpX="-5" w:tblpY="126"/>
        <w:tblW w:w="9923" w:type="dxa"/>
        <w:shd w:val="clear" w:color="auto" w:fill="DBE5F1" w:themeFill="accent1" w:themeFillTint="33"/>
        <w:tblLayout w:type="fixed"/>
        <w:tblLook w:val="04A0" w:firstRow="1" w:lastRow="0" w:firstColumn="1" w:lastColumn="0" w:noHBand="0" w:noVBand="1"/>
      </w:tblPr>
      <w:tblGrid>
        <w:gridCol w:w="9923"/>
      </w:tblGrid>
      <w:tr w:rsidR="00B7540A" w:rsidRPr="005849E3" w14:paraId="5EB7D3C0" w14:textId="77777777" w:rsidTr="00B7540A">
        <w:tc>
          <w:tcPr>
            <w:tcW w:w="9918" w:type="dxa"/>
            <w:shd w:val="clear" w:color="auto" w:fill="DBE5F1" w:themeFill="accent1" w:themeFillTint="33"/>
          </w:tcPr>
          <w:p w14:paraId="55BD6AD2" w14:textId="77777777" w:rsidR="00B7540A" w:rsidRPr="00586097" w:rsidRDefault="00B7540A" w:rsidP="00B7540A">
            <w:pPr>
              <w:pStyle w:val="afc"/>
              <w:spacing w:line="276" w:lineRule="auto"/>
            </w:pPr>
            <w:r w:rsidRPr="00586097">
              <w:t xml:space="preserve">Ներդիր 1. Կորոնավիրուսային համավարակի </w:t>
            </w:r>
            <w:r w:rsidRPr="00586097">
              <w:rPr>
                <w:lang w:val="sk-SK"/>
              </w:rPr>
              <w:t>(COVID-19)</w:t>
            </w:r>
            <w:r w:rsidRPr="00586097">
              <w:t xml:space="preserve"> զարգացման դինամիկան ՀՀ-ում</w:t>
            </w:r>
          </w:p>
        </w:tc>
      </w:tr>
      <w:tr w:rsidR="00B7540A" w:rsidRPr="00586097" w14:paraId="60ADBB27" w14:textId="77777777" w:rsidTr="00B7540A">
        <w:tc>
          <w:tcPr>
            <w:tcW w:w="9923" w:type="dxa"/>
            <w:shd w:val="clear" w:color="auto" w:fill="DBE5F1" w:themeFill="accent1" w:themeFillTint="33"/>
          </w:tcPr>
          <w:p w14:paraId="4D43684E" w14:textId="77777777" w:rsidR="00B7540A" w:rsidRPr="00B7540A" w:rsidRDefault="00B7540A" w:rsidP="00B7540A">
            <w:pPr>
              <w:spacing w:line="276" w:lineRule="auto"/>
              <w:rPr>
                <w:lang w:val="hy-AM"/>
              </w:rPr>
            </w:pPr>
            <w:r w:rsidRPr="00B7540A">
              <w:rPr>
                <w:rFonts w:eastAsiaTheme="majorEastAsia"/>
                <w:lang w:val="hy-AM"/>
              </w:rPr>
              <w:t>ՀՀ-ում կորոնավիրուսի համավարակի տարածումը շարունակվեց նաև 2021թ.:</w:t>
            </w:r>
          </w:p>
          <w:tbl>
            <w:tblPr>
              <w:tblStyle w:val="LightShading-Accent2"/>
              <w:tblW w:w="9779" w:type="dxa"/>
              <w:tblLayout w:type="fixed"/>
              <w:tblLook w:val="04A0" w:firstRow="1" w:lastRow="0" w:firstColumn="1" w:lastColumn="0" w:noHBand="0" w:noVBand="1"/>
            </w:tblPr>
            <w:tblGrid>
              <w:gridCol w:w="9779"/>
            </w:tblGrid>
            <w:tr w:rsidR="00B7540A" w:rsidRPr="005849E3" w14:paraId="763D8FCB" w14:textId="77777777" w:rsidTr="00B7540A">
              <w:trPr>
                <w:cnfStyle w:val="100000000000" w:firstRow="1" w:lastRow="0" w:firstColumn="0" w:lastColumn="0" w:oddVBand="0" w:evenVBand="0" w:oddHBand="0" w:evenHBand="0" w:firstRowFirstColumn="0" w:firstRowLastColumn="0" w:lastRowFirstColumn="0" w:lastRowLastColumn="0"/>
                <w:trHeight w:val="3199"/>
              </w:trPr>
              <w:tc>
                <w:tcPr>
                  <w:cnfStyle w:val="001000000000" w:firstRow="0" w:lastRow="0" w:firstColumn="1" w:lastColumn="0" w:oddVBand="0" w:evenVBand="0" w:oddHBand="0" w:evenHBand="0" w:firstRowFirstColumn="0" w:firstRowLastColumn="0" w:lastRowFirstColumn="0" w:lastRowLastColumn="0"/>
                  <w:tcW w:w="9779" w:type="dxa"/>
                  <w:tcBorders>
                    <w:top w:val="none" w:sz="0" w:space="0" w:color="auto"/>
                    <w:left w:val="none" w:sz="0" w:space="0" w:color="auto"/>
                    <w:bottom w:val="none" w:sz="0" w:space="0" w:color="auto"/>
                    <w:right w:val="none" w:sz="0" w:space="0" w:color="auto"/>
                  </w:tcBorders>
                </w:tcPr>
                <w:p w14:paraId="2E056655" w14:textId="77777777" w:rsidR="00B7540A" w:rsidRPr="00B7540A" w:rsidRDefault="00B7540A" w:rsidP="004F1221">
                  <w:pPr>
                    <w:framePr w:hSpace="180" w:wrap="around" w:vAnchor="text" w:hAnchor="margin" w:x="-5" w:y="126"/>
                    <w:spacing w:line="276" w:lineRule="auto"/>
                    <w:ind w:firstLine="0"/>
                    <w:rPr>
                      <w:lang w:val="hy-AM"/>
                    </w:rPr>
                  </w:pPr>
                  <w:r w:rsidRPr="00586097">
                    <w:rPr>
                      <w:rFonts w:eastAsiaTheme="majorEastAsia" w:cstheme="majorBidi"/>
                      <w:noProof/>
                      <w:color w:val="244061" w:themeColor="accent1" w:themeShade="80"/>
                    </w:rPr>
                    <w:drawing>
                      <wp:inline distT="0" distB="0" distL="0" distR="0" wp14:anchorId="4FDD989A" wp14:editId="1A88DDB1">
                        <wp:extent cx="3587750" cy="1879600"/>
                        <wp:effectExtent l="0" t="0" r="12700" b="6350"/>
                        <wp:docPr id="2079" name="Chart 207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Pr="00B7540A">
                    <w:rPr>
                      <w:rFonts w:eastAsiaTheme="majorEastAsia" w:cstheme="majorBidi"/>
                      <w:color w:val="244061" w:themeColor="accent1" w:themeShade="80"/>
                      <w:lang w:val="hy-AM"/>
                    </w:rPr>
                    <w:t xml:space="preserve"> </w:t>
                  </w:r>
                  <w:r w:rsidRPr="00586097">
                    <w:rPr>
                      <w:rFonts w:eastAsiaTheme="majorEastAsia" w:cstheme="majorBidi"/>
                      <w:noProof/>
                      <w:color w:val="244061" w:themeColor="accent1" w:themeShade="80"/>
                    </w:rPr>
                    <w:drawing>
                      <wp:inline distT="0" distB="0" distL="0" distR="0" wp14:anchorId="0346D9F0" wp14:editId="50236E22">
                        <wp:extent cx="2336800" cy="1879600"/>
                        <wp:effectExtent l="0" t="0" r="25400" b="25400"/>
                        <wp:docPr id="34" name="Chart 34">
                          <a:extLst xmlns:a="http://schemas.openxmlformats.org/drawingml/2006/main">
                            <a:ext uri="{FF2B5EF4-FFF2-40B4-BE49-F238E27FC236}">
                              <a16:creationId xmlns:a16="http://schemas.microsoft.com/office/drawing/2014/main" id="{C774C9BD-AFA9-4100-BDD1-877A41595B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033973C" w14:textId="77777777" w:rsidR="00B7540A" w:rsidRPr="00B7540A" w:rsidRDefault="00B7540A" w:rsidP="004F1221">
                  <w:pPr>
                    <w:framePr w:hSpace="180" w:wrap="around" w:vAnchor="text" w:hAnchor="margin" w:x="-5" w:y="126"/>
                    <w:spacing w:line="276" w:lineRule="auto"/>
                    <w:rPr>
                      <w:lang w:val="hy-AM"/>
                    </w:rPr>
                  </w:pPr>
                  <w:r w:rsidRPr="00B7540A">
                    <w:rPr>
                      <w:rFonts w:eastAsiaTheme="majorEastAsia"/>
                      <w:lang w:val="hy-AM"/>
                    </w:rPr>
                    <w:t>Աղբյուրը՝ ՀՀ առողջապահության նախարարություն</w:t>
                  </w:r>
                </w:p>
              </w:tc>
            </w:tr>
          </w:tbl>
          <w:p w14:paraId="27A28A75" w14:textId="77777777" w:rsidR="003858CC" w:rsidRDefault="003858CC" w:rsidP="00B7540A">
            <w:pPr>
              <w:spacing w:line="276" w:lineRule="auto"/>
              <w:rPr>
                <w:rFonts w:eastAsiaTheme="majorEastAsia"/>
                <w:lang w:val="hy-AM"/>
              </w:rPr>
            </w:pPr>
          </w:p>
          <w:p w14:paraId="61DECEC5" w14:textId="09C6B88C" w:rsidR="00B7540A" w:rsidRPr="00B7540A" w:rsidRDefault="00B7540A" w:rsidP="00B7540A">
            <w:pPr>
              <w:spacing w:line="276" w:lineRule="auto"/>
              <w:rPr>
                <w:lang w:val="hy-AM"/>
              </w:rPr>
            </w:pPr>
            <w:r w:rsidRPr="00B7540A">
              <w:rPr>
                <w:rFonts w:eastAsiaTheme="majorEastAsia"/>
                <w:lang w:val="hy-AM"/>
              </w:rPr>
              <w:t>Իմունականխարգելման 2021-2025թթ. ազգային ծրագրով նախատեսվում է կորոնավիրուսային հիվանդության բնակչության ռիսկային խմբերի շրջանում զանգվածային պատվաստումների իրականացում, 2021թ</w:t>
            </w:r>
            <w:r w:rsidRPr="00B7540A">
              <w:rPr>
                <w:rFonts w:ascii="Cambria Math" w:eastAsiaTheme="majorEastAsia" w:hAnsi="Cambria Math" w:cs="Cambria Math"/>
                <w:lang w:val="hy-AM"/>
              </w:rPr>
              <w:t>․</w:t>
            </w:r>
            <w:r w:rsidRPr="00B7540A">
              <w:rPr>
                <w:rFonts w:eastAsiaTheme="majorEastAsia"/>
                <w:lang w:val="hy-AM"/>
              </w:rPr>
              <w:t xml:space="preserve"> համավարակի աստիճանական չեզոքացում իսկ միջնաժամկետում՝ կայուն համաճարակային իրավիճակ (լաբորատոր հաստատված եզակի դեպքեր)։ Ընդ որում՝ զանգվածային պատվաստումների իրականացումն արդեն իսկ մեկնարկել է, ինչի շրջանակներում՝ </w:t>
            </w:r>
          </w:p>
          <w:p w14:paraId="3BAF425E" w14:textId="77777777" w:rsidR="00B7540A" w:rsidRPr="00B7540A" w:rsidRDefault="00B7540A" w:rsidP="00B7540A">
            <w:pPr>
              <w:spacing w:line="276" w:lineRule="auto"/>
              <w:rPr>
                <w:lang w:val="hy-AM"/>
              </w:rPr>
            </w:pPr>
            <w:r w:rsidRPr="00B7540A">
              <w:rPr>
                <w:rFonts w:eastAsiaTheme="majorEastAsia"/>
                <w:lang w:val="hy-AM"/>
              </w:rPr>
              <w:t>Մարտի 28-ին Հայաստան է ներկրվել «AstraZeneca» պատվաստանյութի առաջին խմբաքանակը` 24000 դեղաչափ: Նախատեսված է եղել 65 և բարձր տարիքի մարդկանց, բուժաշխատողների, 16-54 տարեկան քրոնիկ հիվանդների և  սոցիալական խնամքի կենտրոնի աշխատողների պատվաստման համար։</w:t>
            </w:r>
          </w:p>
          <w:p w14:paraId="4D91F214" w14:textId="77777777" w:rsidR="00B7540A" w:rsidRPr="00B7540A" w:rsidRDefault="00B7540A" w:rsidP="00B7540A">
            <w:pPr>
              <w:spacing w:line="276" w:lineRule="auto"/>
              <w:rPr>
                <w:lang w:val="hy-AM"/>
              </w:rPr>
            </w:pPr>
            <w:r w:rsidRPr="00B7540A">
              <w:rPr>
                <w:rFonts w:eastAsiaTheme="majorEastAsia"/>
                <w:lang w:val="hy-AM"/>
              </w:rPr>
              <w:t>Ապրիլի 8-ին ներկրվել է «Sputnik-V» պատվաստանյութի առաջին խմբաքանակը՝ 15000 դեղաչափ` 7500 անձի համար։</w:t>
            </w:r>
            <w:r w:rsidRPr="00B7540A">
              <w:rPr>
                <w:rFonts w:ascii="Calibri" w:eastAsiaTheme="majorEastAsia" w:hAnsi="Calibri" w:cs="Calibri"/>
                <w:lang w:val="hy-AM"/>
              </w:rPr>
              <w:t> </w:t>
            </w:r>
          </w:p>
          <w:p w14:paraId="7300D29D" w14:textId="77777777" w:rsidR="00B7540A" w:rsidRPr="00B7540A" w:rsidRDefault="00B7540A" w:rsidP="00B7540A">
            <w:pPr>
              <w:spacing w:line="276" w:lineRule="auto"/>
              <w:rPr>
                <w:lang w:val="hy-AM"/>
              </w:rPr>
            </w:pPr>
            <w:r w:rsidRPr="00B7540A">
              <w:rPr>
                <w:rFonts w:eastAsiaTheme="majorEastAsia"/>
                <w:lang w:val="hy-AM"/>
              </w:rPr>
              <w:t>Ապրիլի 26-ին ներկրվել է «Sputnik-V» պատվաստանյութի նոր խմբաքանակ` 14000 անձի համար, իսկ 1000 մարդու պատվաստման համար Ռուսաստանը նվիրել է լրացուցիչ 2000 միավոր դեղաչափ։</w:t>
            </w:r>
          </w:p>
          <w:p w14:paraId="019CB9B7" w14:textId="77777777" w:rsidR="00B7540A" w:rsidRPr="00B7540A" w:rsidRDefault="00B7540A" w:rsidP="00B7540A">
            <w:pPr>
              <w:spacing w:line="276" w:lineRule="auto"/>
              <w:rPr>
                <w:lang w:val="hy-AM"/>
              </w:rPr>
            </w:pPr>
            <w:r w:rsidRPr="00B7540A">
              <w:rPr>
                <w:rFonts w:eastAsiaTheme="majorEastAsia"/>
                <w:lang w:val="hy-AM"/>
              </w:rPr>
              <w:t xml:space="preserve">Մայիսի 12-ին 14000 երկրորդ դեղաչափ «Sputnik-V» պատվաստանյութ է ներկրվել: Դրանք նախատեսված են եղել 18-54 տարեկան` բուժաշխատողների, քրոնիկ հիվանդների, սոցիալական խնամքի կենտրոնների բնակիչների և աշխատակիցների համար: </w:t>
            </w:r>
          </w:p>
          <w:p w14:paraId="748D4B83" w14:textId="77777777" w:rsidR="00B7540A" w:rsidRPr="00B7540A" w:rsidRDefault="00B7540A" w:rsidP="00B7540A">
            <w:pPr>
              <w:spacing w:line="276" w:lineRule="auto"/>
              <w:rPr>
                <w:lang w:val="hy-AM"/>
              </w:rPr>
            </w:pPr>
            <w:r w:rsidRPr="00B7540A">
              <w:rPr>
                <w:rFonts w:eastAsiaTheme="majorEastAsia"/>
                <w:lang w:val="hy-AM"/>
              </w:rPr>
              <w:t>Մայիսի 1-ին ներկրվել է ՉԺՀ կառավարության կողմից ՀՀ-ին որպես նվիրատվություն տրամադրված «Կորոնավակ» պատվաստանյութը` 100 հազար դեղաչափ` 50 հազար անձի համար: Պատվաստանյութով կարող են պատվաստվել 18-ից բարձր բոլոր քաղաքացիները` ըստ դիմելիության և կամավորության սկզբունքի։</w:t>
            </w:r>
          </w:p>
          <w:p w14:paraId="6B96DCF8" w14:textId="77777777" w:rsidR="00B7540A" w:rsidRPr="00B7540A" w:rsidRDefault="00B7540A" w:rsidP="00B7540A">
            <w:pPr>
              <w:spacing w:line="276" w:lineRule="auto"/>
              <w:rPr>
                <w:lang w:val="hy-AM"/>
              </w:rPr>
            </w:pPr>
            <w:r w:rsidRPr="00B7540A">
              <w:rPr>
                <w:rFonts w:eastAsiaTheme="majorEastAsia"/>
                <w:lang w:val="hy-AM"/>
              </w:rPr>
              <w:t>Մայիսի 17-ին ներկրվել է «AstraZeneca» պատվաստանյութի երկրորդ խմբաքանակը` 50 հազար դեղաչափ:</w:t>
            </w:r>
          </w:p>
          <w:p w14:paraId="15A80F8E" w14:textId="77777777" w:rsidR="00B7540A" w:rsidRPr="00B7540A" w:rsidRDefault="00B7540A" w:rsidP="00B7540A">
            <w:pPr>
              <w:spacing w:line="276" w:lineRule="auto"/>
              <w:rPr>
                <w:lang w:val="hy-AM"/>
              </w:rPr>
            </w:pPr>
            <w:r w:rsidRPr="00B7540A">
              <w:rPr>
                <w:rFonts w:eastAsiaTheme="majorEastAsia"/>
                <w:lang w:val="hy-AM"/>
              </w:rPr>
              <w:t xml:space="preserve">«AstraZeneca»-ով կարող են պատվաստվել ՀՀ 18 տարեկանից բարձր բոլոր քաղաքացիները, ինչպես նաև օտարերկրացիները: </w:t>
            </w:r>
          </w:p>
          <w:p w14:paraId="6B697EFE" w14:textId="77777777" w:rsidR="00B7540A" w:rsidRPr="00B7540A" w:rsidRDefault="00B7540A" w:rsidP="00B7540A">
            <w:pPr>
              <w:spacing w:line="276" w:lineRule="auto"/>
              <w:rPr>
                <w:lang w:val="hy-AM"/>
              </w:rPr>
            </w:pPr>
            <w:r w:rsidRPr="00B7540A">
              <w:rPr>
                <w:rFonts w:eastAsiaTheme="majorEastAsia"/>
                <w:lang w:val="hy-AM"/>
              </w:rPr>
              <w:t xml:space="preserve">Մայիսի 22-ին «Sputnik-V» պատվաստանյութից օգտվելու հնարավորություններն ընդլայնվել են և քրոնիկ հիվանդների համար հանվել է պատվաստումների մինչև 54 տարիքային շեմը։ </w:t>
            </w:r>
          </w:p>
          <w:p w14:paraId="4939D042" w14:textId="77777777" w:rsidR="00B7540A" w:rsidRPr="00B7540A" w:rsidRDefault="00B7540A" w:rsidP="00B7540A">
            <w:pPr>
              <w:spacing w:line="276" w:lineRule="auto"/>
              <w:rPr>
                <w:lang w:val="hy-AM"/>
              </w:rPr>
            </w:pPr>
            <w:r w:rsidRPr="00B7540A">
              <w:rPr>
                <w:rFonts w:eastAsiaTheme="majorEastAsia"/>
                <w:lang w:val="hy-AM"/>
              </w:rPr>
              <w:t xml:space="preserve">Հունիսի 28-ից սկսած ՀՀ-ում 18 տարեկանից բարձր անձիք կարող են պատվաստվել առկա պատվաստանյութերից յուրաքանչյուրով՝ ըստ նախընտրության: </w:t>
            </w:r>
          </w:p>
          <w:p w14:paraId="49F742BA" w14:textId="77777777" w:rsidR="00B7540A" w:rsidRPr="00B7540A" w:rsidRDefault="00B7540A" w:rsidP="00B7540A">
            <w:pPr>
              <w:spacing w:line="276" w:lineRule="auto"/>
              <w:rPr>
                <w:lang w:val="hy-AM"/>
              </w:rPr>
            </w:pPr>
            <w:r w:rsidRPr="00B7540A">
              <w:rPr>
                <w:rFonts w:eastAsiaTheme="majorEastAsia"/>
                <w:lang w:val="hy-AM"/>
              </w:rPr>
              <w:t>2021թ. հուլիսի 7-ի դրությամբ ընդհանուր առմամբ ՀՀ ներմուծվել է 294,460 դեղաչափ պատվաստանյութ, որից 120,060  դեղաչափ «Sputnik-V», 100,000 դեղաչափ CoronaVac և 74,400 դեղաչափ «AstraZeneca»:</w:t>
            </w:r>
            <w:r w:rsidRPr="00B7540A" w:rsidDel="007C751A">
              <w:rPr>
                <w:rFonts w:eastAsiaTheme="majorEastAsia"/>
                <w:lang w:val="hy-AM"/>
              </w:rPr>
              <w:t xml:space="preserve"> </w:t>
            </w:r>
            <w:r w:rsidRPr="00B7540A">
              <w:rPr>
                <w:rFonts w:eastAsiaTheme="majorEastAsia"/>
                <w:lang w:val="hy-AM"/>
              </w:rPr>
              <w:t xml:space="preserve">Պատվաստումներն իրականացվում են առողջության առաջնային պահպանման կազմակերպություններում ինչպես նաև շարժական պատվաստումային խմբերի կողմից հանրային վայրերում: Կարող են պատվաստվել նաև Հայաստանում բնակվող օտարերկրյա քաղաքացիները: Պատվաստումներն անվճար են բոլորի համար և իրականացվում են միայն կամավորության սկզբունքով: </w:t>
            </w:r>
          </w:p>
          <w:p w14:paraId="2DC7AFBD" w14:textId="77777777" w:rsidR="00B7540A" w:rsidRPr="00586097" w:rsidRDefault="00B7540A" w:rsidP="00B7540A">
            <w:pPr>
              <w:spacing w:line="276" w:lineRule="auto"/>
            </w:pPr>
            <w:r w:rsidRPr="00B7540A">
              <w:rPr>
                <w:rFonts w:eastAsiaTheme="majorEastAsia"/>
                <w:lang w:val="hy-AM"/>
              </w:rPr>
              <w:t xml:space="preserve">COVID-19-ի դեմ պատվաստումների մեկնարկից ի վեր  հուլիսի 8-ի դրությամբ` հանրապետությունում կատարվել է 103,317 պատվաստում, որից 74,479` առաջին դեղաչափ (33,850 «AstraZeneca», 17,657 «CoronaVac», 22,972 «Sputnik-V») և 28,838` երկրորդ դեղաչափ (6,025 «AstraZeneca», 5,218 «Coronavac», 17,595 «Sputnik-V»): 2021թ. նախատեսվում է պատվաստել բնակչության 10%-ին։ </w:t>
            </w:r>
            <w:r w:rsidRPr="00586097">
              <w:rPr>
                <w:rFonts w:eastAsiaTheme="majorEastAsia"/>
              </w:rPr>
              <w:t xml:space="preserve">Ներկայացված ցուցանիշը կարող է փոխվել՝ համաճարակային իրավիճակով պայմանավորված։ </w:t>
            </w:r>
          </w:p>
        </w:tc>
      </w:tr>
    </w:tbl>
    <w:p w14:paraId="692D6AB7" w14:textId="77777777" w:rsidR="00B7540A" w:rsidRPr="00B7540A" w:rsidRDefault="00B7540A" w:rsidP="000E2105">
      <w:pPr>
        <w:spacing w:before="200" w:line="276" w:lineRule="auto"/>
        <w:ind w:firstLine="562"/>
        <w:rPr>
          <w:lang w:val="hy-AM"/>
        </w:rPr>
      </w:pPr>
      <w:r w:rsidRPr="00B7540A">
        <w:rPr>
          <w:rFonts w:eastAsiaTheme="majorEastAsia"/>
          <w:b/>
          <w:u w:val="single"/>
          <w:lang w:val="hy-AM"/>
        </w:rPr>
        <w:t>Կանխատեսում։</w:t>
      </w:r>
      <w:r w:rsidRPr="00B7540A">
        <w:rPr>
          <w:rFonts w:eastAsiaTheme="majorEastAsia"/>
          <w:b/>
          <w:lang w:val="hy-AM"/>
        </w:rPr>
        <w:t xml:space="preserve"> 2020թ. ընթացքում և 2021թ. տարեսկզբին Համավարակի և Արցախյան պատերազմի բացասական ազդեցությունների մեղմմանն ու տնտեսության վերականգնմանն ուղղված կառավարության կողմից իրականացված և իրականացվող հարկաբյուջետային միջոցառումների, ինչպես նաև Համավարակի համաշխարհային ճգնաժամի աստիճանական հաղթահարման պայմաններում, 2021թ. կանխատեսվում է 6.0%, իսկ միջնաժամկետում՝ միջինում 4.3% աճ:</w:t>
      </w:r>
      <w:r w:rsidRPr="00B7540A">
        <w:rPr>
          <w:rFonts w:eastAsiaTheme="majorEastAsia"/>
          <w:lang w:val="hy-AM"/>
        </w:rPr>
        <w:t xml:space="preserve"> Բացասական ազդեցությունների աստիճանական չեզոքացման հետ մեկտեղ տնտեսական աճը 2021թ. կվերականգնվի, իսկ միջնաժամկետ հատվածում կմոտենա իր ներուժային մակարդակին։ Միջնաժամկետում տնտեսական աճը պայմանավորված կլինի հիմնականում ծառայությունների և արդյունաբերության ճյուղերի աճերով: Ամբողջական պահանջարկը նույնպես կաճի՝ պայմանավորված հիմնականում ներքին սպառողական և ներդրումային պահանջարկի աճերով: </w:t>
      </w:r>
    </w:p>
    <w:p w14:paraId="0E63CD58" w14:textId="77777777" w:rsidR="00B7540A" w:rsidRPr="00B7540A" w:rsidRDefault="00B7540A" w:rsidP="00B7540A">
      <w:pPr>
        <w:spacing w:line="276" w:lineRule="auto"/>
        <w:rPr>
          <w:lang w:val="hy-AM"/>
        </w:rPr>
      </w:pPr>
      <w:r w:rsidRPr="00586097">
        <w:rPr>
          <w:rFonts w:eastAsiaTheme="majorEastAsia"/>
          <w:lang w:val="it-IT"/>
        </w:rPr>
        <w:t>2021</w:t>
      </w:r>
      <w:r w:rsidRPr="00B7540A">
        <w:rPr>
          <w:rFonts w:eastAsiaTheme="majorEastAsia"/>
          <w:lang w:val="hy-AM"/>
        </w:rPr>
        <w:t>թ.</w:t>
      </w:r>
      <w:r w:rsidRPr="00586097">
        <w:rPr>
          <w:rFonts w:eastAsiaTheme="majorEastAsia"/>
          <w:lang w:val="it-IT"/>
        </w:rPr>
        <w:t xml:space="preserve"> </w:t>
      </w:r>
      <w:r w:rsidRPr="00B7540A">
        <w:rPr>
          <w:rFonts w:eastAsiaTheme="majorEastAsia"/>
          <w:lang w:val="hy-AM"/>
        </w:rPr>
        <w:t>և</w:t>
      </w:r>
      <w:r w:rsidRPr="00586097">
        <w:rPr>
          <w:rFonts w:eastAsiaTheme="majorEastAsia"/>
          <w:lang w:val="it-IT"/>
        </w:rPr>
        <w:t xml:space="preserve"> </w:t>
      </w:r>
      <w:r w:rsidRPr="00B7540A">
        <w:rPr>
          <w:rFonts w:eastAsiaTheme="majorEastAsia"/>
          <w:lang w:val="hy-AM"/>
        </w:rPr>
        <w:t>մ</w:t>
      </w:r>
      <w:r w:rsidRPr="00586097">
        <w:rPr>
          <w:rFonts w:eastAsiaTheme="majorEastAsia"/>
          <w:lang w:val="it-IT"/>
        </w:rPr>
        <w:t>իջնաժամկետում դեֆլյատորը կաճի</w:t>
      </w:r>
      <w:r w:rsidRPr="00B7540A">
        <w:rPr>
          <w:rFonts w:eastAsiaTheme="majorEastAsia"/>
          <w:lang w:val="hy-AM"/>
        </w:rPr>
        <w:t>՝</w:t>
      </w:r>
      <w:r w:rsidRPr="00586097">
        <w:rPr>
          <w:rFonts w:eastAsiaTheme="majorEastAsia"/>
          <w:lang w:val="it-IT"/>
        </w:rPr>
        <w:t xml:space="preserve"> </w:t>
      </w:r>
      <w:r w:rsidRPr="00B7540A">
        <w:rPr>
          <w:rFonts w:eastAsiaTheme="majorEastAsia"/>
          <w:lang w:val="hy-AM"/>
        </w:rPr>
        <w:t>պայմանավորված ՍԳԻ-ի և</w:t>
      </w:r>
      <w:r w:rsidRPr="00586097">
        <w:rPr>
          <w:rFonts w:eastAsiaTheme="majorEastAsia"/>
          <w:lang w:val="it-IT"/>
        </w:rPr>
        <w:t xml:space="preserve"> </w:t>
      </w:r>
      <w:r w:rsidRPr="00B7540A">
        <w:rPr>
          <w:rFonts w:eastAsiaTheme="majorEastAsia"/>
          <w:lang w:val="hy-AM"/>
        </w:rPr>
        <w:t>ապրանքների միջազգային գների զարգացումներով:</w:t>
      </w:r>
    </w:p>
    <w:p w14:paraId="25C95ACC" w14:textId="77777777" w:rsidR="00B7540A" w:rsidRPr="00B7540A" w:rsidRDefault="00B7540A" w:rsidP="00AB119C">
      <w:pPr>
        <w:spacing w:after="120" w:line="276" w:lineRule="auto"/>
        <w:ind w:firstLine="562"/>
        <w:rPr>
          <w:b/>
          <w:bCs/>
          <w:lang w:val="hy-AM"/>
        </w:rPr>
      </w:pPr>
      <w:r w:rsidRPr="00B7540A">
        <w:rPr>
          <w:rFonts w:eastAsiaTheme="majorEastAsia"/>
          <w:b/>
          <w:bCs/>
          <w:lang w:val="hy-AM"/>
        </w:rPr>
        <w:t>Վերոնշյալ զարգացումների պայմաններում անվանական ՀՆԱ-ն 2021թ. կկազմի 6,880.2 մլրդ դրամ՝ 484.9 մլրդ դրամով ավել լինելով 2021թ. պետական բյուջեով ծրագրված ցուցանիշից: Իսկ միջնաժակետում անվանական ՀՆԱ-ն կաճի՝ 2024թ. կազմելով 8,835.4 մլրդ դրամ։</w:t>
      </w:r>
    </w:p>
    <w:tbl>
      <w:tblPr>
        <w:tblStyle w:val="TableGrid710"/>
        <w:tblW w:w="0" w:type="auto"/>
        <w:tblBorders>
          <w:top w:val="single" w:sz="6" w:space="0" w:color="4472C4"/>
          <w:left w:val="single" w:sz="6" w:space="0" w:color="4472C4"/>
          <w:bottom w:val="single" w:sz="6" w:space="0" w:color="4472C4"/>
          <w:right w:val="single" w:sz="6" w:space="0" w:color="4472C4"/>
          <w:insideH w:val="single" w:sz="6" w:space="0" w:color="4472C4"/>
          <w:insideV w:val="single" w:sz="6" w:space="0" w:color="4472C4"/>
        </w:tblBorders>
        <w:tblLook w:val="04A0" w:firstRow="1" w:lastRow="0" w:firstColumn="1" w:lastColumn="0" w:noHBand="0" w:noVBand="1"/>
      </w:tblPr>
      <w:tblGrid>
        <w:gridCol w:w="4980"/>
        <w:gridCol w:w="5038"/>
      </w:tblGrid>
      <w:tr w:rsidR="00B7540A" w:rsidRPr="005849E3" w14:paraId="71545891" w14:textId="77777777" w:rsidTr="00B7540A">
        <w:trPr>
          <w:trHeight w:val="3489"/>
        </w:trPr>
        <w:tc>
          <w:tcPr>
            <w:tcW w:w="5140" w:type="dxa"/>
          </w:tcPr>
          <w:p w14:paraId="38AD15EF" w14:textId="1A45DD7A" w:rsidR="00B7540A" w:rsidRPr="00A84819" w:rsidRDefault="00A84819" w:rsidP="00B7540A">
            <w:pPr>
              <w:pStyle w:val="afe"/>
              <w:rPr>
                <w:lang w:val="hy-AM"/>
              </w:rPr>
            </w:pPr>
            <w:r w:rsidRPr="00586097">
              <w:rPr>
                <w:sz w:val="22"/>
                <w:szCs w:val="22"/>
              </w:rPr>
              <w:drawing>
                <wp:anchor distT="0" distB="0" distL="114300" distR="114300" simplePos="0" relativeHeight="251689472" behindDoc="0" locked="0" layoutInCell="1" allowOverlap="1" wp14:anchorId="7A44E3B0" wp14:editId="58729CCE">
                  <wp:simplePos x="0" y="0"/>
                  <wp:positionH relativeFrom="column">
                    <wp:posOffset>-38735</wp:posOffset>
                  </wp:positionH>
                  <wp:positionV relativeFrom="paragraph">
                    <wp:posOffset>375285</wp:posOffset>
                  </wp:positionV>
                  <wp:extent cx="3076575" cy="1842770"/>
                  <wp:effectExtent l="0" t="0" r="9525" b="5080"/>
                  <wp:wrapSquare wrapText="bothSides"/>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r w:rsidR="00B7540A" w:rsidRPr="00A84819">
              <w:rPr>
                <w:lang w:val="hy-AM"/>
              </w:rPr>
              <w:t>Գծապատկեր 1.24. Անվանական ՀՆԱ և տնտեսական աճ</w:t>
            </w:r>
          </w:p>
          <w:p w14:paraId="24BC355E" w14:textId="503C8469" w:rsidR="00B7540A" w:rsidRPr="00A84819" w:rsidRDefault="00B7540A" w:rsidP="00B7540A">
            <w:pPr>
              <w:pStyle w:val="afd"/>
              <w:rPr>
                <w:b/>
                <w:sz w:val="16"/>
                <w:highlight w:val="yellow"/>
              </w:rPr>
            </w:pPr>
            <w:r w:rsidRPr="00AB119C">
              <w:rPr>
                <w:sz w:val="16"/>
              </w:rPr>
              <w:t>Աղբյուրը՝ ՀՀ ՎԿ, ՀՀ ՖՆ հաշվարկներ և կանխատեսումներ</w:t>
            </w:r>
          </w:p>
        </w:tc>
        <w:tc>
          <w:tcPr>
            <w:tcW w:w="5110" w:type="dxa"/>
          </w:tcPr>
          <w:p w14:paraId="635823A6" w14:textId="66B9287D" w:rsidR="00B7540A" w:rsidRPr="00A84819" w:rsidRDefault="00B7540A" w:rsidP="00B7540A">
            <w:pPr>
              <w:pStyle w:val="afe"/>
              <w:rPr>
                <w:lang w:val="hy-AM"/>
              </w:rPr>
            </w:pPr>
            <w:r w:rsidRPr="00A84819">
              <w:rPr>
                <w:lang w:val="hy-AM"/>
              </w:rPr>
              <w:t>Գծապատկեր 1.25.</w:t>
            </w:r>
            <w:r w:rsidRPr="00A84819">
              <w:rPr>
                <w:color w:val="FF0000"/>
                <w:lang w:val="hy-AM"/>
              </w:rPr>
              <w:t xml:space="preserve"> </w:t>
            </w:r>
            <w:r w:rsidRPr="00A84819">
              <w:rPr>
                <w:lang w:val="hy-AM"/>
              </w:rPr>
              <w:t>Իրական ՀՆԱ անկումը/աճը տնտե</w:t>
            </w:r>
            <w:r w:rsidR="00AB119C" w:rsidRPr="00AB119C">
              <w:rPr>
                <w:lang w:val="hy-AM"/>
              </w:rPr>
              <w:t xml:space="preserve">- </w:t>
            </w:r>
            <w:r w:rsidRPr="00A84819">
              <w:rPr>
                <w:lang w:val="hy-AM"/>
              </w:rPr>
              <w:t xml:space="preserve">սական ճգնաժամերի և հաջորդող տարիներին </w:t>
            </w:r>
          </w:p>
          <w:p w14:paraId="1EA31474" w14:textId="4ECBC6DE" w:rsidR="00B7540A" w:rsidRPr="00AB119C" w:rsidRDefault="00A84819" w:rsidP="00AB119C">
            <w:pPr>
              <w:pStyle w:val="afd"/>
              <w:rPr>
                <w:sz w:val="22"/>
              </w:rPr>
            </w:pPr>
            <w:r w:rsidRPr="00586097">
              <w:rPr>
                <w:noProof/>
                <w:lang w:val="en-US"/>
              </w:rPr>
              <w:drawing>
                <wp:inline distT="0" distB="0" distL="0" distR="0" wp14:anchorId="691E2971" wp14:editId="01019F3F">
                  <wp:extent cx="3092450" cy="1834515"/>
                  <wp:effectExtent l="0" t="0" r="12700" b="1333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00B7540A" w:rsidRPr="00AB119C">
              <w:t>Աղբյուրը՝ ՀՀ ՎԿ, ՀՀ ՖՆ կանխատեսում</w:t>
            </w:r>
          </w:p>
        </w:tc>
      </w:tr>
      <w:tr w:rsidR="00B7540A" w:rsidRPr="00586097" w14:paraId="019FB0C5" w14:textId="77777777" w:rsidTr="003D37BF">
        <w:trPr>
          <w:trHeight w:val="628"/>
        </w:trPr>
        <w:tc>
          <w:tcPr>
            <w:tcW w:w="5140" w:type="dxa"/>
          </w:tcPr>
          <w:p w14:paraId="4BD695E1" w14:textId="77777777" w:rsidR="00B7540A" w:rsidRPr="00A84819" w:rsidRDefault="00B7540A" w:rsidP="00B7540A">
            <w:pPr>
              <w:pStyle w:val="afe"/>
              <w:rPr>
                <w:lang w:val="hy-AM"/>
              </w:rPr>
            </w:pPr>
            <w:r w:rsidRPr="00A84819">
              <w:rPr>
                <w:lang w:val="hy-AM"/>
              </w:rPr>
              <w:t xml:space="preserve">Գծապատկեր 1.26. Տնտեսության առանձին ճյուղերի նպաստումները տնտեսական աճին </w:t>
            </w:r>
          </w:p>
          <w:p w14:paraId="0240C577" w14:textId="77777777" w:rsidR="00B7540A" w:rsidRPr="00920983" w:rsidRDefault="00B7540A" w:rsidP="00B7540A">
            <w:pPr>
              <w:spacing w:line="276" w:lineRule="auto"/>
              <w:ind w:firstLine="29"/>
              <w:rPr>
                <w:b/>
                <w:sz w:val="18"/>
                <w:szCs w:val="18"/>
                <w:lang w:val="hy-AM"/>
              </w:rPr>
            </w:pPr>
          </w:p>
          <w:p w14:paraId="09E408DA" w14:textId="77777777" w:rsidR="00B7540A" w:rsidRPr="00586097" w:rsidRDefault="00B7540A" w:rsidP="00B7540A">
            <w:pPr>
              <w:spacing w:line="276" w:lineRule="auto"/>
              <w:ind w:firstLine="29"/>
              <w:rPr>
                <w:b/>
              </w:rPr>
            </w:pPr>
            <w:r w:rsidRPr="00586097">
              <w:rPr>
                <w:noProof/>
                <w:shd w:val="clear" w:color="auto" w:fill="B4C6E7"/>
              </w:rPr>
              <w:drawing>
                <wp:inline distT="0" distB="0" distL="0" distR="0" wp14:anchorId="6BE6BF10" wp14:editId="2187CC43">
                  <wp:extent cx="3021330" cy="1892410"/>
                  <wp:effectExtent l="0" t="0" r="7620" b="1270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C344388" w14:textId="77777777" w:rsidR="00B7540A" w:rsidRPr="00A84819" w:rsidRDefault="00B7540A" w:rsidP="00B12F93">
            <w:pPr>
              <w:pStyle w:val="afd"/>
              <w:spacing w:after="0"/>
              <w:rPr>
                <w:sz w:val="16"/>
                <w:highlight w:val="yellow"/>
              </w:rPr>
            </w:pPr>
            <w:r w:rsidRPr="00146A53">
              <w:rPr>
                <w:sz w:val="16"/>
              </w:rPr>
              <w:t>Աղբյուրը՝ ՀՀ ՎԿ, ՀՀ ՖՆ հաշվարկներ և կանխատեսումներ</w:t>
            </w:r>
          </w:p>
        </w:tc>
        <w:tc>
          <w:tcPr>
            <w:tcW w:w="5110" w:type="dxa"/>
          </w:tcPr>
          <w:p w14:paraId="4C0F6295" w14:textId="77777777" w:rsidR="00B7540A" w:rsidRPr="00A84819" w:rsidRDefault="00B7540A" w:rsidP="00B7540A">
            <w:pPr>
              <w:pStyle w:val="afe"/>
              <w:rPr>
                <w:lang w:val="hy-AM"/>
              </w:rPr>
            </w:pPr>
            <w:r w:rsidRPr="00A84819">
              <w:rPr>
                <w:lang w:val="hy-AM"/>
              </w:rPr>
              <w:t>Գծապատկեր 1.27. Տնտեսական աճին պահանջարկի բաղադրիչների նպաստումները</w:t>
            </w:r>
          </w:p>
          <w:p w14:paraId="0545C2D4" w14:textId="77777777" w:rsidR="00B7540A" w:rsidRPr="00586097" w:rsidRDefault="003D37BF" w:rsidP="00B7540A">
            <w:pPr>
              <w:spacing w:line="276" w:lineRule="auto"/>
              <w:ind w:firstLine="0"/>
            </w:pPr>
            <w:r w:rsidRPr="00586097">
              <w:rPr>
                <w:rFonts w:cs="Sylfaen"/>
                <w:b/>
                <w:noProof/>
              </w:rPr>
              <w:drawing>
                <wp:inline distT="0" distB="0" distL="0" distR="0" wp14:anchorId="488BE327" wp14:editId="1DF45B78">
                  <wp:extent cx="3123565" cy="1868446"/>
                  <wp:effectExtent l="0" t="0" r="635" b="1778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78A8DFD4" w14:textId="3750E48C" w:rsidR="00B7540A" w:rsidRPr="00586097" w:rsidRDefault="00B7540A" w:rsidP="00B12F93">
            <w:pPr>
              <w:pStyle w:val="afd"/>
              <w:spacing w:after="0"/>
              <w:rPr>
                <w:sz w:val="22"/>
                <w:szCs w:val="22"/>
                <w:highlight w:val="yellow"/>
              </w:rPr>
            </w:pPr>
            <w:r w:rsidRPr="00146A53">
              <w:rPr>
                <w:sz w:val="16"/>
              </w:rPr>
              <w:t xml:space="preserve">Աղբյուրը՝ ՀՀ ՎԿ, ՀՀ </w:t>
            </w:r>
            <w:r w:rsidRPr="00146A53">
              <w:t>ՖՆ</w:t>
            </w:r>
            <w:r w:rsidRPr="00146A53">
              <w:rPr>
                <w:sz w:val="16"/>
              </w:rPr>
              <w:t xml:space="preserve"> հաշվարկներ և կանխատեսումներ</w:t>
            </w:r>
          </w:p>
        </w:tc>
      </w:tr>
    </w:tbl>
    <w:p w14:paraId="664D26A4" w14:textId="77777777" w:rsidR="00B7540A" w:rsidRPr="00B7540A" w:rsidRDefault="00B7540A" w:rsidP="00B12F93">
      <w:pPr>
        <w:spacing w:before="120" w:line="276" w:lineRule="auto"/>
        <w:ind w:firstLine="562"/>
        <w:rPr>
          <w:lang w:val="hy-AM"/>
        </w:rPr>
      </w:pPr>
      <w:r w:rsidRPr="00B7540A">
        <w:rPr>
          <w:rFonts w:eastAsiaTheme="majorEastAsia"/>
          <w:b/>
          <w:bCs/>
          <w:u w:val="single"/>
          <w:lang w:val="hy-AM"/>
        </w:rPr>
        <w:t>ՀՀ կառավարության տնտեսական աճի թիրախը:</w:t>
      </w:r>
      <w:r w:rsidRPr="00B7540A">
        <w:rPr>
          <w:rFonts w:eastAsiaTheme="majorEastAsia"/>
          <w:b/>
          <w:bCs/>
          <w:lang w:val="hy-AM"/>
        </w:rPr>
        <w:t xml:space="preserve"> Չնայած միջնաժամկետ ծախսերի ծրագիրը օբյեկտիվորեն հենվում է մակրոտնտեսական կայունության համար ռիսկեր չառաջացնող ՀՀ տնտեսության հնարավորություններից և ներուժից բխող տնտեսական աճի միջնաժամկետ կանխատեսումների և դրան համապատասխանող մակրոտնտեսական շրջանակի վրա ՝ ՀՀ կառավարությունը թիրախավորում է հասնել ավելի բարձր տնտեսական աճի:</w:t>
      </w:r>
      <w:r w:rsidRPr="00B7540A">
        <w:rPr>
          <w:rFonts w:eastAsiaTheme="majorEastAsia"/>
          <w:lang w:val="hy-AM"/>
        </w:rPr>
        <w:t xml:space="preserve"> Միջնաժամկետ հատվածում ՀՀ կառավարությունը նպատակադրում է ապահովել միջինում 7.0% տնտեսական աճ, սակայն վերջինիս իրականացումը պահանջում է բարձր արտադրողական մեծածավալ պետական և մասնավոր ներդրումներ, ինչպես նաև ընդհանուր գործոնային (կապիտալի և աշխատուժի) արտադրողականության կայուն աճ: Այդ նպատակով անհրաժեշտ է մշակել և իրականացնել համապատասխան ներդրումային քաղաքականություն, տնտեսության արտահանելի հատվածի և արտահանման խթանմանը միտված քաղաքականություն, արտադրական գործոնների արտադրողականության բարձրացման քաղաքականություն, ինչպես նաև անհրաժեշտ ռեսուրսներ և միջավայր ձևավորող հարկաբյուջետային, դրամավարկային և ֆինանսական քաղաքականություններ, որոնք թույլ կտան առաջիկա հինգ տարիների ընթացքում էապես բարձրացնել ներուժային տնտեսական աճը</w:t>
      </w:r>
      <w:r w:rsidRPr="00586097">
        <w:rPr>
          <w:rStyle w:val="FootnoteReference"/>
          <w:rFonts w:eastAsiaTheme="majorEastAsia"/>
        </w:rPr>
        <w:footnoteReference w:id="12"/>
      </w:r>
      <w:r w:rsidRPr="00B7540A">
        <w:rPr>
          <w:rFonts w:eastAsiaTheme="majorEastAsia"/>
          <w:lang w:val="hy-AM"/>
        </w:rPr>
        <w:t xml:space="preserve">։ Ըստ էության, նշված նպատակադրումը և դրա իրականացման համար անհրաժեշտ միջոցառումների շուրջ քննարկումները արդեն իսկ մեկնարկել են, իսկ հետագայում կդառնան առավել մանրամասն քննարկման առարկա՝ նպատակադրելով ձևավորել բարձր տնտեսական աճի հասնելու իրատեսական ճանապարհային քարտեզ՝ համապատասխան միջոցառումներով և գործողություններով: Վերջիններս իրենց արտացոլումը պետք է գտնեն նոր ձևավորվելիք կառավարության ծրագրում, ոլորտային ռազմավարություններում և քաղաքականություններում: Հետագայում դրանց արդյունքները պարբերաբար վերլուծելով հնարավոր կլինի բարձր աճի թիրախավորումը դնել պետական բյուջեների և միջնաժամկետ ծախսերի ծրագրերի մշակման հիմքում։ </w:t>
      </w:r>
    </w:p>
    <w:p w14:paraId="38D060CF" w14:textId="36F3EBA2" w:rsidR="00B7540A" w:rsidRPr="003314EB" w:rsidRDefault="00B7540A" w:rsidP="00B7540A">
      <w:pPr>
        <w:pStyle w:val="afc"/>
        <w:spacing w:line="276" w:lineRule="auto"/>
        <w:rPr>
          <w:szCs w:val="20"/>
        </w:rPr>
      </w:pPr>
      <w:r w:rsidRPr="003314EB">
        <w:rPr>
          <w:szCs w:val="20"/>
        </w:rPr>
        <w:t>Գծապատկեր 1.28. 2022-2024թթ. թիրախային տնտեսական աճի և ՄԺԾԾ (բյուջետային՝ ներառյալ 2022թ. պետական բյուջեի) սցենարներ</w:t>
      </w:r>
    </w:p>
    <w:p w14:paraId="2D1EB47A" w14:textId="77777777" w:rsidR="00B7540A" w:rsidRPr="00586097" w:rsidRDefault="00B7540A" w:rsidP="00FD27F1">
      <w:pPr>
        <w:spacing w:line="276" w:lineRule="auto"/>
        <w:ind w:firstLine="0"/>
        <w:jc w:val="center"/>
      </w:pPr>
      <w:r w:rsidRPr="00586097">
        <w:rPr>
          <w:rFonts w:eastAsiaTheme="majorEastAsia"/>
          <w:noProof/>
        </w:rPr>
        <w:drawing>
          <wp:inline distT="0" distB="0" distL="0" distR="0" wp14:anchorId="538742AE" wp14:editId="489583B9">
            <wp:extent cx="5231765" cy="2321781"/>
            <wp:effectExtent l="0" t="0" r="6985" b="254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DFE668B" w14:textId="77777777" w:rsidR="00B7540A" w:rsidRPr="00586097" w:rsidRDefault="00B7540A" w:rsidP="00B7540A">
      <w:pPr>
        <w:pStyle w:val="afd"/>
        <w:rPr>
          <w:sz w:val="22"/>
          <w:szCs w:val="22"/>
        </w:rPr>
      </w:pPr>
      <w:r w:rsidRPr="00203400">
        <w:rPr>
          <w:szCs w:val="22"/>
        </w:rPr>
        <w:t>Աղբյուրը՝ ՀՀ ՎԿ, ՀՀ ՖՆ  կանխատեսումներ</w:t>
      </w:r>
    </w:p>
    <w:p w14:paraId="593C9A34" w14:textId="77777777" w:rsidR="00B7540A" w:rsidRPr="00F30397" w:rsidRDefault="00B7540A" w:rsidP="00831C7C">
      <w:pPr>
        <w:spacing w:before="120" w:line="276" w:lineRule="auto"/>
        <w:ind w:firstLine="562"/>
        <w:rPr>
          <w:lang w:val="hy-AM"/>
        </w:rPr>
      </w:pPr>
      <w:r w:rsidRPr="00F30397">
        <w:rPr>
          <w:rFonts w:eastAsiaTheme="majorEastAsia"/>
          <w:b/>
          <w:bCs/>
          <w:u w:val="single"/>
          <w:lang w:val="hy-AM"/>
        </w:rPr>
        <w:t>Համախառն առաջարկի կանխատեսում.</w:t>
      </w:r>
      <w:r w:rsidRPr="00F30397">
        <w:rPr>
          <w:rFonts w:eastAsiaTheme="majorEastAsia"/>
          <w:lang w:val="hy-AM"/>
        </w:rPr>
        <w:t xml:space="preserve"> 2021թ. համավարակի և Արցախյան պատերազմի բացասական ազդեցությունների աստիճանական չեզոքացման արդյունքում՝ ներքին և արտաքին պահանջարկի վերականգնմամբ պայմանավորված սպասվում է տնտեսության աճի տեմպերի վերականգնում։ Տնտեսական աճը պայմանավորված կլինի հիմնականում ծառայությունների (ներառյալ առևտուրը) և արդյունաբերության աճերով (համապատասխանաբար՝ 7.0%-ով և 4.9%-ով): Շինարարության և գյուղատնտեսության ճյուղերը նույնպես կաճեն (համապատասխանաբար՝ 5.5% և 3.1%)` դրական նպաստելով տնտեսական աճին: </w:t>
      </w:r>
    </w:p>
    <w:p w14:paraId="04F4ACEA" w14:textId="65977AB0" w:rsidR="00B7540A" w:rsidRPr="009121FA" w:rsidRDefault="00B7540A" w:rsidP="006A2905">
      <w:pPr>
        <w:spacing w:after="0" w:line="276" w:lineRule="auto"/>
        <w:ind w:firstLine="562"/>
        <w:rPr>
          <w:lang w:val="hy-AM"/>
        </w:rPr>
      </w:pPr>
      <w:r w:rsidRPr="009121FA">
        <w:rPr>
          <w:rFonts w:eastAsiaTheme="majorEastAsia"/>
          <w:lang w:val="hy-AM"/>
        </w:rPr>
        <w:t>Միջնաժամկետում՝ համավարակի և Արցախյան պատերազմի բացասական ազդեցությունների չեզոքացման հետ մեկտեղ, պայմանավորված ներքին և արտաքին պահանջարկի վերականգնմամբ, պղնձի գների բարձր մակարդակով, տնտեսությունում իրականացվող ներդրումներով, ինչպես նաև ՀՀ կառավարության կողմից համավարակի ու Արցախյան պատերազմի բացասական ազդեցությունների մեղմմանն ուղղված հարկաբյուջետային, ինչպես նաև արտահանման ու ներդրումների խթանմանն ուղղված քաղաքականություններով` ծառայությունները կաճեն միջինում 4.4%-ով, արդյունաբերությունը՝ 4.9%-ով, շինարարության ճյուղը՝ 4.9%-ով, իսկ գյուղատնտեսությունը՝ 2.4%-ով:</w:t>
      </w:r>
    </w:p>
    <w:tbl>
      <w:tblPr>
        <w:tblStyle w:val="TableGrid810"/>
        <w:tblW w:w="0" w:type="auto"/>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ook w:val="04A0" w:firstRow="1" w:lastRow="0" w:firstColumn="1" w:lastColumn="0" w:noHBand="0" w:noVBand="1"/>
      </w:tblPr>
      <w:tblGrid>
        <w:gridCol w:w="4997"/>
        <w:gridCol w:w="5027"/>
      </w:tblGrid>
      <w:tr w:rsidR="00B7540A" w:rsidRPr="005849E3" w14:paraId="0552DE61" w14:textId="77777777" w:rsidTr="006A2905">
        <w:trPr>
          <w:trHeight w:val="3783"/>
        </w:trPr>
        <w:tc>
          <w:tcPr>
            <w:tcW w:w="5215" w:type="dxa"/>
          </w:tcPr>
          <w:p w14:paraId="399A2F53" w14:textId="4174CE2B" w:rsidR="00B7540A" w:rsidRPr="00850279" w:rsidRDefault="00850279" w:rsidP="00B7540A">
            <w:pPr>
              <w:pStyle w:val="afe"/>
              <w:rPr>
                <w:lang w:val="hy-AM"/>
              </w:rPr>
            </w:pPr>
            <w:r w:rsidRPr="00850279">
              <w:drawing>
                <wp:anchor distT="0" distB="0" distL="114300" distR="114300" simplePos="0" relativeHeight="251664896" behindDoc="0" locked="0" layoutInCell="1" allowOverlap="1" wp14:anchorId="6D36DBF0" wp14:editId="6C4A4DD7">
                  <wp:simplePos x="0" y="0"/>
                  <wp:positionH relativeFrom="column">
                    <wp:posOffset>-64770</wp:posOffset>
                  </wp:positionH>
                  <wp:positionV relativeFrom="paragraph">
                    <wp:posOffset>426085</wp:posOffset>
                  </wp:positionV>
                  <wp:extent cx="3102610" cy="1807845"/>
                  <wp:effectExtent l="0" t="0" r="2540" b="635"/>
                  <wp:wrapSquare wrapText="bothSides"/>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14:sizeRelV relativeFrom="margin">
                    <wp14:pctHeight>0</wp14:pctHeight>
                  </wp14:sizeRelV>
                </wp:anchor>
              </w:drawing>
            </w:r>
            <w:r w:rsidR="00B7540A" w:rsidRPr="00850279">
              <w:rPr>
                <w:lang w:val="hy-AM"/>
              </w:rPr>
              <w:t>Գծապատկեր 1.29. Ծախսային բաղադրիչների տեսա</w:t>
            </w:r>
            <w:r w:rsidR="006A2905" w:rsidRPr="006A2905">
              <w:rPr>
                <w:lang w:val="hy-AM"/>
              </w:rPr>
              <w:t xml:space="preserve">- </w:t>
            </w:r>
            <w:r w:rsidR="00B7540A" w:rsidRPr="00850279">
              <w:rPr>
                <w:lang w:val="hy-AM"/>
              </w:rPr>
              <w:t>կարար կշիռները ՀՆԱ-ի կազմում</w:t>
            </w:r>
          </w:p>
          <w:p w14:paraId="6B166455" w14:textId="4D63F52D" w:rsidR="00B7540A" w:rsidRPr="00850279" w:rsidRDefault="00850279" w:rsidP="006A2905">
            <w:pPr>
              <w:pStyle w:val="afd"/>
              <w:spacing w:after="0"/>
              <w:contextualSpacing w:val="0"/>
              <w:rPr>
                <w:sz w:val="16"/>
              </w:rPr>
            </w:pPr>
            <w:r w:rsidRPr="00850279">
              <w:rPr>
                <w:sz w:val="16"/>
              </w:rPr>
              <w:t>Աղբյուրը՝ ՀՀ ՎԿ, ՀՀ ՖՆ հաշվարկներ և կանխատեսումներ</w:t>
            </w:r>
          </w:p>
        </w:tc>
        <w:tc>
          <w:tcPr>
            <w:tcW w:w="5030" w:type="dxa"/>
          </w:tcPr>
          <w:p w14:paraId="55140145" w14:textId="4774CFC5" w:rsidR="00B7540A" w:rsidRPr="00850279" w:rsidRDefault="00850279" w:rsidP="00B7540A">
            <w:pPr>
              <w:pStyle w:val="afe"/>
              <w:rPr>
                <w:lang w:val="hy-AM"/>
              </w:rPr>
            </w:pPr>
            <w:r w:rsidRPr="00586097">
              <w:rPr>
                <w:sz w:val="22"/>
                <w:szCs w:val="22"/>
              </w:rPr>
              <w:drawing>
                <wp:anchor distT="0" distB="0" distL="114300" distR="114300" simplePos="0" relativeHeight="251667968" behindDoc="0" locked="0" layoutInCell="1" allowOverlap="1" wp14:anchorId="61E9832F" wp14:editId="3EB54616">
                  <wp:simplePos x="0" y="0"/>
                  <wp:positionH relativeFrom="column">
                    <wp:posOffset>-45085</wp:posOffset>
                  </wp:positionH>
                  <wp:positionV relativeFrom="paragraph">
                    <wp:posOffset>426085</wp:posOffset>
                  </wp:positionV>
                  <wp:extent cx="3112135" cy="1807845"/>
                  <wp:effectExtent l="0" t="0" r="12065" b="1905"/>
                  <wp:wrapSquare wrapText="bothSides"/>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V relativeFrom="margin">
                    <wp14:pctHeight>0</wp14:pctHeight>
                  </wp14:sizeRelV>
                </wp:anchor>
              </w:drawing>
            </w:r>
            <w:r w:rsidR="00B7540A" w:rsidRPr="00850279">
              <w:rPr>
                <w:lang w:val="hy-AM"/>
              </w:rPr>
              <w:t>Գծապատկեր 1.30. Ճյուղերի տեսակարար կշիռները ՀՆԱ-ի կազմում</w:t>
            </w:r>
          </w:p>
          <w:p w14:paraId="36D4306F" w14:textId="5143C709" w:rsidR="00B7540A" w:rsidRPr="00850279" w:rsidRDefault="00B7540A" w:rsidP="006A2905">
            <w:pPr>
              <w:pStyle w:val="afd"/>
              <w:spacing w:after="0"/>
              <w:contextualSpacing w:val="0"/>
              <w:rPr>
                <w:sz w:val="16"/>
              </w:rPr>
            </w:pPr>
            <w:r w:rsidRPr="00850279">
              <w:rPr>
                <w:sz w:val="16"/>
              </w:rPr>
              <w:t>Աղբյուրը՝ ՀՀ ՎԿ, ՀՀ ՖՆ հաշվարկներ և կանխատեսումներ</w:t>
            </w:r>
          </w:p>
        </w:tc>
      </w:tr>
    </w:tbl>
    <w:p w14:paraId="5729F0B9" w14:textId="77777777" w:rsidR="00B7540A" w:rsidRPr="00B7540A" w:rsidRDefault="00B7540A" w:rsidP="006A2905">
      <w:pPr>
        <w:spacing w:before="120" w:line="276" w:lineRule="auto"/>
        <w:ind w:firstLine="562"/>
        <w:rPr>
          <w:lang w:val="hy-AM"/>
        </w:rPr>
      </w:pPr>
      <w:r w:rsidRPr="00B7540A">
        <w:rPr>
          <w:rFonts w:eastAsiaTheme="majorEastAsia"/>
          <w:b/>
          <w:u w:val="single"/>
          <w:lang w:val="hy-AM"/>
        </w:rPr>
        <w:t>Համախառն պահանջարկի կանխատեսում</w:t>
      </w:r>
      <w:r w:rsidRPr="00B7540A">
        <w:rPr>
          <w:rFonts w:eastAsiaTheme="majorEastAsia"/>
          <w:u w:val="single"/>
          <w:lang w:val="hy-AM"/>
        </w:rPr>
        <w:t>.</w:t>
      </w:r>
      <w:r w:rsidRPr="00B7540A">
        <w:rPr>
          <w:rFonts w:eastAsiaTheme="majorEastAsia"/>
          <w:lang w:val="hy-AM"/>
        </w:rPr>
        <w:t xml:space="preserve"> Համավարակի և Արցախյան պատերազմի բացասական ազդեցությունների աստիճանաբար թուլացման պայմաններում 2021թ. վերջնական սպառումը կաճի 7.7%-ով, իսկ ներդրումները՝ 5.8%-ով։ Սպառման և ներդրումների աճին կնպաստեն տնօրինվող եկամտի աճը, նախորդ տարի մասնավոր հատվածում կուտակված խնայողությունների օգտագործումը, ինչպես նաև 2020թ. իրականացված և 2021թ. շարունակվող  ՀՀ կառավարության կողմից վարվող համավարակի և Արցախյան պատերազմի հետևանքների մեղմանն ու ներդրումային միջավայրի բարելավմանն ուղղված քաղաքա</w:t>
      </w:r>
      <w:r w:rsidRPr="00B7540A">
        <w:rPr>
          <w:rFonts w:eastAsiaTheme="majorEastAsia"/>
          <w:lang w:val="hy-AM"/>
        </w:rPr>
        <w:softHyphen/>
        <w:t>կանությունները։ Միջնաժամկետում՝ սպառումը միջինում կաճի 4.5%-ով, իսկ ներդրումները՝ 6.0%-ով: Միջնաժամկետում ներդրումների վրա դրական ազդեցություն կունենա ՀՀ կառավարության կողմից ենթակառուցվածքներում ներդրումների նախատեսվող շարունակական աճը:</w:t>
      </w:r>
    </w:p>
    <w:p w14:paraId="7F04DFF7" w14:textId="77777777" w:rsidR="00B7540A" w:rsidRPr="00B7540A" w:rsidRDefault="00B7540A" w:rsidP="00075109">
      <w:pPr>
        <w:spacing w:line="276" w:lineRule="auto"/>
        <w:ind w:firstLine="562"/>
        <w:rPr>
          <w:lang w:val="hy-AM"/>
        </w:rPr>
      </w:pPr>
      <w:r w:rsidRPr="00B7540A">
        <w:rPr>
          <w:rFonts w:eastAsiaTheme="majorEastAsia"/>
          <w:lang w:val="hy-AM"/>
        </w:rPr>
        <w:t>2021թ. արտահանումը և ներմուծումը կաճեն 7.0%-ով և 8.7%-ով՝ պայմանավորված ներքին և արտաքին պահանջարկի, ինչպես նաև տնտեսական ակտիվության վերականգմամբ։ ՀՀ և համաշխարհային տնտեսական աճերի, ՀՀ տնտեսության արտահանելի հատվածի զարգացումների, տնօրինվող եկամտի աճի, զբոսաշրջության վերականգման, ինչպես նաև արտահանմանը և ներդրումների խրախուսմանն ուղղված ՀՀ կառավարության քաղաքականության պայմաններում միջնաժամկետում արտահանումն ու ներմուծումը կաճեն միջինում 9.6% և 9.0%։</w:t>
      </w:r>
    </w:p>
    <w:p w14:paraId="7911031C" w14:textId="77777777" w:rsidR="00B7540A" w:rsidRPr="00B7540A" w:rsidRDefault="00B7540A" w:rsidP="00B7540A">
      <w:pPr>
        <w:pStyle w:val="Heading6"/>
        <w:spacing w:line="276" w:lineRule="auto"/>
        <w:rPr>
          <w:rFonts w:ascii="GHEA Grapalat" w:hAnsi="GHEA Grapalat"/>
          <w:lang w:val="hy-AM"/>
        </w:rPr>
      </w:pPr>
      <w:r w:rsidRPr="00B7540A">
        <w:rPr>
          <w:rFonts w:ascii="GHEA Grapalat" w:hAnsi="GHEA Grapalat"/>
          <w:lang w:val="hy-AM"/>
        </w:rPr>
        <w:t>Աշխատանքի շուկա</w:t>
      </w:r>
    </w:p>
    <w:p w14:paraId="1CB13718" w14:textId="77777777" w:rsidR="00B7540A" w:rsidRPr="00B7540A" w:rsidRDefault="00B7540A" w:rsidP="00B7540A">
      <w:pPr>
        <w:spacing w:line="276" w:lineRule="auto"/>
        <w:rPr>
          <w:lang w:val="hy-AM"/>
        </w:rPr>
      </w:pPr>
      <w:r w:rsidRPr="00B7540A">
        <w:rPr>
          <w:rFonts w:eastAsiaTheme="majorEastAsia"/>
          <w:b/>
          <w:bCs/>
          <w:lang w:val="hy-AM"/>
        </w:rPr>
        <w:t>2018-2019թթ. տնտեսական աճին զուգահեռ գործազրկության մակարդակը  նվազել է, իսկ աշխատուժի մասնակցության մակարդակն աճել է: 2020թ. տնտեսական անկման պայմաններում գործազրկության մակարդակն</w:t>
      </w:r>
      <w:r w:rsidRPr="00586097">
        <w:rPr>
          <w:rStyle w:val="FootnoteReference"/>
          <w:rFonts w:eastAsiaTheme="majorEastAsia"/>
          <w:b/>
          <w:bCs/>
        </w:rPr>
        <w:footnoteReference w:id="13"/>
      </w:r>
      <w:r w:rsidRPr="00B7540A">
        <w:rPr>
          <w:rFonts w:eastAsiaTheme="majorEastAsia"/>
          <w:b/>
          <w:bCs/>
          <w:lang w:val="hy-AM"/>
        </w:rPr>
        <w:t xml:space="preserve"> աճել է 0.2 տոկոսային կետով՝</w:t>
      </w:r>
      <w:r w:rsidRPr="00B7540A">
        <w:rPr>
          <w:rFonts w:eastAsiaTheme="majorEastAsia"/>
          <w:lang w:val="hy-AM"/>
        </w:rPr>
        <w:t xml:space="preserve"> 17.9%-ից հասնելով 18.1%-ի, իսկ աշխատուժի մասնակցության մակարդակը նվազել է՝ 58.9%-ից հասնելով 57.7%-ի: Նույն ժամանակաշրջանում կրճատվել է ինչպես զբաղվածների, այնպես էլ գործազուրկների թիվը: Նշենք, որ 3.1%-ով աճել է աշխատուժից դուրս բնակչության թիվը</w:t>
      </w:r>
      <w:r w:rsidRPr="00586097">
        <w:rPr>
          <w:rStyle w:val="FootnoteReference"/>
          <w:rFonts w:eastAsiaTheme="majorEastAsia"/>
        </w:rPr>
        <w:footnoteReference w:id="14"/>
      </w:r>
      <w:r w:rsidRPr="00B7540A">
        <w:rPr>
          <w:rFonts w:eastAsiaTheme="majorEastAsia"/>
          <w:lang w:val="hy-AM"/>
        </w:rPr>
        <w:t xml:space="preserve">, ինչը հիմնականում պայմանավորված է ոչ տնտեսական գործոններով (հատկապես պատերազմի ազդեցությամբ)։ </w:t>
      </w:r>
    </w:p>
    <w:p w14:paraId="559B592D" w14:textId="77777777" w:rsidR="00B7540A" w:rsidRPr="00B7540A" w:rsidRDefault="00B7540A" w:rsidP="00C37645">
      <w:pPr>
        <w:spacing w:line="276" w:lineRule="auto"/>
        <w:ind w:firstLine="562"/>
        <w:rPr>
          <w:lang w:val="hy-AM"/>
        </w:rPr>
      </w:pPr>
      <w:r w:rsidRPr="00B7540A">
        <w:rPr>
          <w:rFonts w:eastAsiaTheme="majorEastAsia"/>
          <w:b/>
          <w:bCs/>
          <w:lang w:val="hy-AM"/>
        </w:rPr>
        <w:t>2021թ. I եռամսյակում գործազրկության մակարդակը նախորդ տարվա նույն եռամսյակի նկատմամբ նվազել է 2.7 տոկոսային կետով՝ կազմելով 17.0%:</w:t>
      </w:r>
      <w:r w:rsidRPr="00B7540A">
        <w:rPr>
          <w:rFonts w:eastAsiaTheme="majorEastAsia"/>
          <w:lang w:val="hy-AM"/>
        </w:rPr>
        <w:t xml:space="preserve"> Գործազուրկների թիվը նվազել է 17.1%-ով՝ կազմելով 193.0 հազար մարդ: Նշենք, որ միաժամանակ 0.2%-ով նվազել է նաև զբաղվածների թիվը՝ կազմելով 943.8 հազ. մարդ: Աշխատուժի առաջարկը (տնտեսապես ակտիվ բնակչություն) ևս նվազել է 3.6%-ով՝ կազմելով 1136.8 հազար մարդ: Աշխատանքի շուկայի ցուցանիշների շարժընթացը հիմնականում բացատրվում է 2020թ. տեղի ունեցած ժողովրդագրական տեղաշարժով:</w:t>
      </w:r>
    </w:p>
    <w:p w14:paraId="43B8FBCC" w14:textId="77777777" w:rsidR="00B7540A" w:rsidRDefault="00B7540A" w:rsidP="00C37645">
      <w:pPr>
        <w:spacing w:after="120" w:line="276" w:lineRule="auto"/>
        <w:ind w:firstLine="562"/>
        <w:rPr>
          <w:rFonts w:eastAsiaTheme="majorEastAsia"/>
        </w:rPr>
      </w:pPr>
      <w:r w:rsidRPr="00B7540A">
        <w:rPr>
          <w:rFonts w:eastAsiaTheme="majorEastAsia"/>
          <w:b/>
          <w:bCs/>
          <w:lang w:val="hy-AM"/>
        </w:rPr>
        <w:t>2021թ. տնտեսական վերականգնման պայմաններում աշխատանքի շուկայում կդրսևորվեն դրական զարգացումներ։</w:t>
      </w:r>
      <w:r w:rsidRPr="00B7540A">
        <w:rPr>
          <w:rFonts w:eastAsiaTheme="majorEastAsia"/>
          <w:lang w:val="hy-AM"/>
        </w:rPr>
        <w:t xml:space="preserve"> </w:t>
      </w:r>
      <w:r w:rsidRPr="00586097">
        <w:rPr>
          <w:rFonts w:eastAsiaTheme="majorEastAsia"/>
        </w:rPr>
        <w:t xml:space="preserve">Այս պայմաններում ակնկալվում է զբաղվածության աճ և գործազրկության նվազում։  </w:t>
      </w:r>
    </w:p>
    <w:tbl>
      <w:tblPr>
        <w:tblStyle w:val="TableGrid12"/>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5004"/>
        <w:gridCol w:w="5020"/>
      </w:tblGrid>
      <w:tr w:rsidR="00B7540A" w:rsidRPr="00586097" w14:paraId="688C518E" w14:textId="77777777" w:rsidTr="00C37645">
        <w:trPr>
          <w:trHeight w:val="3063"/>
        </w:trPr>
        <w:tc>
          <w:tcPr>
            <w:tcW w:w="5004" w:type="dxa"/>
          </w:tcPr>
          <w:p w14:paraId="63C87513" w14:textId="4A5F3023" w:rsidR="00B7540A" w:rsidRPr="00850279" w:rsidRDefault="00B7540A" w:rsidP="00B7540A">
            <w:pPr>
              <w:pStyle w:val="afe"/>
              <w:rPr>
                <w:lang w:val="hy-AM"/>
              </w:rPr>
            </w:pPr>
            <w:r w:rsidRPr="00850279">
              <w:t>Գծապատկեր 1.31. Գործազրկություն և զբաղվածութ</w:t>
            </w:r>
            <w:r w:rsidR="00C37645">
              <w:t xml:space="preserve">- </w:t>
            </w:r>
            <w:r w:rsidRPr="00850279">
              <w:t>յուն</w:t>
            </w:r>
          </w:p>
          <w:p w14:paraId="1C404FEB" w14:textId="77777777" w:rsidR="00B7540A" w:rsidRPr="00586097" w:rsidRDefault="00B7540A" w:rsidP="00B7540A">
            <w:pPr>
              <w:spacing w:line="276" w:lineRule="auto"/>
              <w:ind w:firstLine="0"/>
            </w:pPr>
            <w:r w:rsidRPr="00586097">
              <w:rPr>
                <w:rFonts w:eastAsiaTheme="majorEastAsia" w:cstheme="majorBidi"/>
                <w:color w:val="244061" w:themeColor="accent1" w:themeShade="80"/>
              </w:rPr>
              <w:t xml:space="preserve"> </w:t>
            </w:r>
            <w:r w:rsidRPr="00586097">
              <w:rPr>
                <w:rFonts w:eastAsiaTheme="majorEastAsia" w:cstheme="majorBidi"/>
                <w:noProof/>
                <w:color w:val="244061" w:themeColor="accent1" w:themeShade="80"/>
              </w:rPr>
              <w:drawing>
                <wp:inline distT="0" distB="0" distL="0" distR="0" wp14:anchorId="6B69EDFC" wp14:editId="3100B280">
                  <wp:extent cx="2955290" cy="1796719"/>
                  <wp:effectExtent l="0" t="0" r="16510" b="13335"/>
                  <wp:docPr id="42"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A46A111" w14:textId="23888BC7" w:rsidR="00B7540A" w:rsidRPr="00850279" w:rsidRDefault="00B7540A" w:rsidP="001B0E4D">
            <w:pPr>
              <w:pStyle w:val="afd"/>
              <w:spacing w:after="0"/>
              <w:contextualSpacing w:val="0"/>
              <w:rPr>
                <w:sz w:val="16"/>
              </w:rPr>
            </w:pPr>
            <w:r w:rsidRPr="00AE4CEC">
              <w:t>Աղբյուրը՝ ՀՀ ՎԿ</w:t>
            </w:r>
          </w:p>
        </w:tc>
        <w:tc>
          <w:tcPr>
            <w:tcW w:w="5020" w:type="dxa"/>
          </w:tcPr>
          <w:p w14:paraId="329DF9F2" w14:textId="2A802642" w:rsidR="00B7540A" w:rsidRPr="00850279" w:rsidRDefault="00850279" w:rsidP="00B7540A">
            <w:pPr>
              <w:pStyle w:val="afe"/>
              <w:rPr>
                <w:lang w:val="hy-AM"/>
              </w:rPr>
            </w:pPr>
            <w:r w:rsidRPr="00850279">
              <w:drawing>
                <wp:anchor distT="0" distB="0" distL="114300" distR="114300" simplePos="0" relativeHeight="251686400" behindDoc="1" locked="0" layoutInCell="1" allowOverlap="1" wp14:anchorId="5EE4EF35" wp14:editId="3734BEA7">
                  <wp:simplePos x="0" y="0"/>
                  <wp:positionH relativeFrom="column">
                    <wp:posOffset>-1905</wp:posOffset>
                  </wp:positionH>
                  <wp:positionV relativeFrom="paragraph">
                    <wp:posOffset>372745</wp:posOffset>
                  </wp:positionV>
                  <wp:extent cx="2987040" cy="1804670"/>
                  <wp:effectExtent l="0" t="0" r="3810" b="5080"/>
                  <wp:wrapTight wrapText="bothSides">
                    <wp:wrapPolygon edited="0">
                      <wp:start x="0" y="0"/>
                      <wp:lineTo x="0" y="21433"/>
                      <wp:lineTo x="21490" y="21433"/>
                      <wp:lineTo x="21490" y="0"/>
                      <wp:lineTo x="0" y="0"/>
                    </wp:wrapPolygon>
                  </wp:wrapTight>
                  <wp:docPr id="98"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14:sizeRelV relativeFrom="margin">
                    <wp14:pctHeight>0</wp14:pctHeight>
                  </wp14:sizeRelV>
                </wp:anchor>
              </w:drawing>
            </w:r>
            <w:r w:rsidR="00B7540A" w:rsidRPr="00850279">
              <w:rPr>
                <w:lang w:val="hy-AM"/>
              </w:rPr>
              <w:t>Գծապատկեր 1.32. Աշխատուժի մասնակցության մա</w:t>
            </w:r>
            <w:r w:rsidR="00C37645" w:rsidRPr="00AE4CEC">
              <w:rPr>
                <w:lang w:val="hy-AM"/>
              </w:rPr>
              <w:t xml:space="preserve">- </w:t>
            </w:r>
            <w:r w:rsidR="00B7540A" w:rsidRPr="00850279">
              <w:rPr>
                <w:lang w:val="hy-AM"/>
              </w:rPr>
              <w:t xml:space="preserve">կարդակ և աշխատավարձ </w:t>
            </w:r>
          </w:p>
          <w:p w14:paraId="718A7A8C" w14:textId="465C9D38" w:rsidR="00B7540A" w:rsidRPr="00850279" w:rsidRDefault="00B7540A" w:rsidP="001B0E4D">
            <w:pPr>
              <w:pStyle w:val="afd"/>
              <w:spacing w:before="0" w:after="0" w:line="240" w:lineRule="auto"/>
              <w:contextualSpacing w:val="0"/>
              <w:rPr>
                <w:sz w:val="16"/>
              </w:rPr>
            </w:pPr>
            <w:r w:rsidRPr="00AE4CEC">
              <w:t>Աղբյուրը՝ ՀՀ ՎԿ</w:t>
            </w:r>
          </w:p>
        </w:tc>
      </w:tr>
    </w:tbl>
    <w:p w14:paraId="28558FC0" w14:textId="77777777" w:rsidR="00B7540A" w:rsidRPr="00B7540A" w:rsidRDefault="00B7540A" w:rsidP="00C37645">
      <w:pPr>
        <w:spacing w:before="120" w:line="276" w:lineRule="auto"/>
        <w:ind w:firstLine="562"/>
        <w:rPr>
          <w:lang w:val="hy-AM"/>
        </w:rPr>
      </w:pPr>
      <w:r w:rsidRPr="00B7540A">
        <w:rPr>
          <w:rFonts w:eastAsiaTheme="majorEastAsia"/>
          <w:lang w:val="hy-AM"/>
        </w:rPr>
        <w:t>2018-2019թթ. անվանական աշխատավարձը միջինում աճել է 4.9%-ով՝ պայմանավորված իրական արտադրողականության աճով, սակայն 2020թ. տնտեսական անկման պայմաններում անվանական աշխատավարձի աճի տեմպը նախորդ տարիների համեմատ դանդաղել է և կազմել է 3.9%: 2021թ.՝ հունվար-մայիսին միջին ամսական անվանական աշխատավարձն աճել է 4.4%-ով՝ կազմելով 195,452 դրամ: Ընդ որում՝ սպառողական գների ինդեքսի 5.5% աճի պարագայում իրական աշխատավարձը նվազել է 1.04%-ով: Պետական հատվածում միջին ամսական անվանական աշխատավարձն աճել է 3.7%-ով՝ կազմելով 167,568 դրամ, իսկ մասնավոր հատվածում՝ 4.6%-ով, կազմելով 208,958 դրամ:</w:t>
      </w:r>
    </w:p>
    <w:p w14:paraId="757872F7" w14:textId="77777777" w:rsidR="00B7540A" w:rsidRPr="00B7540A" w:rsidRDefault="00B7540A" w:rsidP="00B7540A">
      <w:pPr>
        <w:pStyle w:val="Heading6"/>
        <w:spacing w:line="276" w:lineRule="auto"/>
        <w:rPr>
          <w:rFonts w:ascii="GHEA Grapalat" w:hAnsi="GHEA Grapalat"/>
          <w:lang w:val="hy-AM"/>
        </w:rPr>
      </w:pPr>
      <w:r w:rsidRPr="00B7540A">
        <w:rPr>
          <w:rFonts w:ascii="GHEA Grapalat" w:hAnsi="GHEA Grapalat"/>
          <w:lang w:val="hy-AM"/>
        </w:rPr>
        <w:t xml:space="preserve">ՀՀ վճարային հաշվեկշիռ, արտահանում և ներմուծում </w:t>
      </w:r>
    </w:p>
    <w:p w14:paraId="28DF731B" w14:textId="77777777" w:rsidR="00B7540A" w:rsidRPr="00B7540A" w:rsidRDefault="00B7540A" w:rsidP="00B7540A">
      <w:pPr>
        <w:spacing w:line="276" w:lineRule="auto"/>
        <w:rPr>
          <w:lang w:val="hy-AM"/>
        </w:rPr>
      </w:pPr>
      <w:r w:rsidRPr="00B7540A">
        <w:rPr>
          <w:rFonts w:eastAsiaTheme="majorEastAsia"/>
          <w:b/>
          <w:bCs/>
          <w:lang w:val="hy-AM"/>
        </w:rPr>
        <w:t>2018-2019թթ.</w:t>
      </w:r>
      <w:r w:rsidRPr="00B7540A" w:rsidDel="00301E27">
        <w:rPr>
          <w:rFonts w:eastAsiaTheme="majorEastAsia"/>
          <w:b/>
          <w:bCs/>
          <w:lang w:val="hy-AM"/>
        </w:rPr>
        <w:t xml:space="preserve"> </w:t>
      </w:r>
      <w:r w:rsidRPr="00B7540A">
        <w:rPr>
          <w:rFonts w:eastAsiaTheme="majorEastAsia"/>
          <w:b/>
          <w:bCs/>
          <w:lang w:val="hy-AM"/>
        </w:rPr>
        <w:t>վճարային հաշվեկշռի ընթացիկ հաշվի պակասուրդը վատթարացել է` միջինում կազմելով ՀՆԱ-ի 7.2%-ը:</w:t>
      </w:r>
      <w:r w:rsidRPr="00B7540A">
        <w:rPr>
          <w:rFonts w:eastAsiaTheme="majorEastAsia"/>
          <w:lang w:val="hy-AM"/>
        </w:rPr>
        <w:t xml:space="preserve"> Նշված տարիներին ընթացիկ հաշիվը բնութագրվել է ապրանքների (հիմնականում՝ ավտոմեքենաների) և ծառայությունների (հիմնականում՝ ճանապարհորդության և մարդատար տրանսպորտի մեջ զբոսաշրջության հետ կապված ծառայությունների) ներմուծման աճի հաշվին հաշվեկշռի որոշակի վատթարացմամբ, ինչպես նաև սկզբնական և երկրորդային եկամուտների ծավալների կրճատմամբ։ </w:t>
      </w:r>
    </w:p>
    <w:p w14:paraId="1F4F9293" w14:textId="77777777" w:rsidR="00B7540A" w:rsidRPr="00586097" w:rsidRDefault="00B7540A" w:rsidP="00B7540A">
      <w:pPr>
        <w:spacing w:line="276" w:lineRule="auto"/>
        <w:rPr>
          <w:lang w:val="it-IT"/>
        </w:rPr>
      </w:pPr>
      <w:r w:rsidRPr="00B7540A">
        <w:rPr>
          <w:rFonts w:eastAsiaTheme="majorEastAsia"/>
          <w:b/>
          <w:bCs/>
          <w:lang w:val="hy-AM"/>
        </w:rPr>
        <w:t>2020թ-ին համավարակի և Արցախյան պատերազմի բացասական ազդեցությունների պայմաններում ընթացիկ հաշվի պակասուրդը նախորդ</w:t>
      </w:r>
      <w:r w:rsidRPr="00586097">
        <w:rPr>
          <w:rFonts w:eastAsiaTheme="majorEastAsia"/>
          <w:b/>
          <w:bCs/>
          <w:lang w:val="it-IT"/>
        </w:rPr>
        <w:t xml:space="preserve"> </w:t>
      </w:r>
      <w:r w:rsidRPr="00B7540A">
        <w:rPr>
          <w:rFonts w:eastAsiaTheme="majorEastAsia"/>
          <w:b/>
          <w:bCs/>
          <w:lang w:val="hy-AM"/>
        </w:rPr>
        <w:t>տարվա</w:t>
      </w:r>
      <w:r w:rsidRPr="00586097">
        <w:rPr>
          <w:rFonts w:eastAsiaTheme="majorEastAsia"/>
          <w:b/>
          <w:bCs/>
          <w:lang w:val="it-IT"/>
        </w:rPr>
        <w:t xml:space="preserve"> </w:t>
      </w:r>
      <w:r w:rsidRPr="00B7540A">
        <w:rPr>
          <w:rFonts w:eastAsiaTheme="majorEastAsia"/>
          <w:b/>
          <w:bCs/>
          <w:lang w:val="hy-AM"/>
        </w:rPr>
        <w:t>համեմատ բարելավվել է՝ կազմելով ՀՆԱ-ի 3.8%-ը:</w:t>
      </w:r>
      <w:r w:rsidRPr="00B7540A">
        <w:rPr>
          <w:rFonts w:eastAsiaTheme="majorEastAsia"/>
          <w:lang w:val="hy-AM"/>
        </w:rPr>
        <w:t xml:space="preserve"> </w:t>
      </w:r>
      <w:r w:rsidRPr="00586097">
        <w:rPr>
          <w:rFonts w:eastAsiaTheme="majorEastAsia"/>
          <w:lang w:val="it-IT"/>
        </w:rPr>
        <w:t xml:space="preserve">Ընթացիկ հաշվի բարելավումը պայմանավորված է եղել </w:t>
      </w:r>
      <w:r w:rsidRPr="00B7540A">
        <w:rPr>
          <w:rFonts w:eastAsiaTheme="majorEastAsia"/>
          <w:lang w:val="hy-AM"/>
        </w:rPr>
        <w:t>ա</w:t>
      </w:r>
      <w:r w:rsidRPr="00586097">
        <w:rPr>
          <w:rFonts w:eastAsiaTheme="majorEastAsia"/>
          <w:lang w:val="it-IT"/>
        </w:rPr>
        <w:t>պրանքների և ծառայությունների բացասական հաշվեկշ</w:t>
      </w:r>
      <w:r w:rsidRPr="00B7540A">
        <w:rPr>
          <w:rFonts w:eastAsiaTheme="majorEastAsia"/>
          <w:lang w:val="hy-AM"/>
        </w:rPr>
        <w:t>ի</w:t>
      </w:r>
      <w:r w:rsidRPr="00586097">
        <w:rPr>
          <w:rFonts w:eastAsiaTheme="majorEastAsia"/>
          <w:lang w:val="it-IT"/>
        </w:rPr>
        <w:t>ռ</w:t>
      </w:r>
      <w:r w:rsidRPr="00B7540A">
        <w:rPr>
          <w:rFonts w:eastAsiaTheme="majorEastAsia"/>
          <w:lang w:val="hy-AM"/>
        </w:rPr>
        <w:t>ի</w:t>
      </w:r>
      <w:r w:rsidRPr="00586097">
        <w:rPr>
          <w:rFonts w:eastAsiaTheme="majorEastAsia"/>
          <w:lang w:val="it-IT"/>
        </w:rPr>
        <w:t xml:space="preserve"> </w:t>
      </w:r>
      <w:r w:rsidRPr="00B7540A">
        <w:rPr>
          <w:rFonts w:eastAsiaTheme="majorEastAsia"/>
          <w:lang w:val="hy-AM"/>
        </w:rPr>
        <w:t>կրճատմամբ՝ հիմնականում համավարակի պատճառով գլոբալ զբոսաշրջության կրճատման և ներքին թույլ պահանջարկի հետևանքով ապրանքների և ծառայությունների ներմուծման ավելի խորը անկման, ինչպես նաև անհատույց տրամադրվող դրամական փոխանցումների (</w:t>
      </w:r>
      <w:r w:rsidRPr="00586097">
        <w:rPr>
          <w:rFonts w:eastAsiaTheme="majorEastAsia"/>
          <w:lang w:val="it-IT"/>
        </w:rPr>
        <w:t>երկրորդային եկամուտների) աճ</w:t>
      </w:r>
      <w:r w:rsidRPr="00B7540A">
        <w:rPr>
          <w:rFonts w:eastAsiaTheme="majorEastAsia"/>
          <w:lang w:val="hy-AM"/>
        </w:rPr>
        <w:t>ի արդյունքում</w:t>
      </w:r>
      <w:r w:rsidRPr="00586097">
        <w:rPr>
          <w:rFonts w:eastAsiaTheme="majorEastAsia"/>
          <w:lang w:val="it-IT"/>
        </w:rPr>
        <w:t xml:space="preserve">: </w:t>
      </w:r>
    </w:p>
    <w:p w14:paraId="4AB6DAFB" w14:textId="77777777" w:rsidR="00B7540A" w:rsidRPr="00B7540A" w:rsidRDefault="00B7540A" w:rsidP="00B7540A">
      <w:pPr>
        <w:spacing w:line="276" w:lineRule="auto"/>
        <w:rPr>
          <w:lang w:val="it-IT"/>
        </w:rPr>
      </w:pPr>
      <w:r w:rsidRPr="00B7540A">
        <w:rPr>
          <w:rFonts w:eastAsiaTheme="majorEastAsia"/>
          <w:b/>
          <w:bCs/>
          <w:lang w:val="it-IT"/>
        </w:rPr>
        <w:t>2021</w:t>
      </w:r>
      <w:r w:rsidRPr="00586097">
        <w:rPr>
          <w:rFonts w:eastAsiaTheme="majorEastAsia"/>
          <w:b/>
          <w:bCs/>
        </w:rPr>
        <w:t>թ</w:t>
      </w:r>
      <w:r w:rsidRPr="00B7540A">
        <w:rPr>
          <w:rFonts w:ascii="Cambria Math" w:eastAsiaTheme="majorEastAsia" w:hAnsi="Cambria Math" w:cs="Cambria Math"/>
          <w:b/>
          <w:bCs/>
          <w:lang w:val="it-IT"/>
        </w:rPr>
        <w:t>․</w:t>
      </w:r>
      <w:r w:rsidRPr="00B7540A">
        <w:rPr>
          <w:rFonts w:eastAsiaTheme="majorEastAsia"/>
          <w:b/>
          <w:bCs/>
          <w:lang w:val="it-IT"/>
        </w:rPr>
        <w:t xml:space="preserve"> </w:t>
      </w:r>
      <w:r w:rsidRPr="00586097">
        <w:rPr>
          <w:rFonts w:eastAsiaTheme="majorEastAsia"/>
          <w:b/>
          <w:bCs/>
        </w:rPr>
        <w:t>առաջին</w:t>
      </w:r>
      <w:r w:rsidRPr="00B7540A">
        <w:rPr>
          <w:rFonts w:eastAsiaTheme="majorEastAsia"/>
          <w:b/>
          <w:bCs/>
          <w:lang w:val="it-IT"/>
        </w:rPr>
        <w:t xml:space="preserve"> </w:t>
      </w:r>
      <w:r w:rsidRPr="00586097">
        <w:rPr>
          <w:rFonts w:eastAsiaTheme="majorEastAsia"/>
          <w:b/>
          <w:bCs/>
        </w:rPr>
        <w:t>եռամսյակում</w:t>
      </w:r>
      <w:r w:rsidRPr="00B7540A">
        <w:rPr>
          <w:rFonts w:eastAsiaTheme="majorEastAsia"/>
          <w:b/>
          <w:bCs/>
          <w:lang w:val="it-IT"/>
        </w:rPr>
        <w:t xml:space="preserve"> </w:t>
      </w:r>
      <w:r w:rsidRPr="00586097">
        <w:rPr>
          <w:rFonts w:eastAsiaTheme="majorEastAsia"/>
          <w:b/>
          <w:bCs/>
        </w:rPr>
        <w:t>ընթացիկ</w:t>
      </w:r>
      <w:r w:rsidRPr="00B7540A">
        <w:rPr>
          <w:rFonts w:eastAsiaTheme="majorEastAsia"/>
          <w:b/>
          <w:bCs/>
          <w:lang w:val="it-IT"/>
        </w:rPr>
        <w:t xml:space="preserve"> </w:t>
      </w:r>
      <w:r w:rsidRPr="00586097">
        <w:rPr>
          <w:rFonts w:eastAsiaTheme="majorEastAsia"/>
          <w:b/>
          <w:bCs/>
        </w:rPr>
        <w:t>հաշվի</w:t>
      </w:r>
      <w:r w:rsidRPr="00B7540A">
        <w:rPr>
          <w:rFonts w:eastAsiaTheme="majorEastAsia"/>
          <w:b/>
          <w:bCs/>
          <w:lang w:val="it-IT"/>
        </w:rPr>
        <w:t xml:space="preserve"> </w:t>
      </w:r>
      <w:r w:rsidRPr="00586097">
        <w:rPr>
          <w:rFonts w:eastAsiaTheme="majorEastAsia"/>
          <w:b/>
          <w:bCs/>
        </w:rPr>
        <w:t>պակասուրդը</w:t>
      </w:r>
      <w:r w:rsidRPr="00B7540A">
        <w:rPr>
          <w:rFonts w:eastAsiaTheme="majorEastAsia"/>
          <w:b/>
          <w:bCs/>
          <w:lang w:val="it-IT"/>
        </w:rPr>
        <w:t xml:space="preserve"> </w:t>
      </w:r>
      <w:r w:rsidRPr="00586097">
        <w:rPr>
          <w:rFonts w:eastAsiaTheme="majorEastAsia"/>
          <w:b/>
          <w:bCs/>
        </w:rPr>
        <w:t>նախորդ</w:t>
      </w:r>
      <w:r w:rsidRPr="00586097">
        <w:rPr>
          <w:rFonts w:eastAsiaTheme="majorEastAsia"/>
          <w:b/>
          <w:bCs/>
          <w:lang w:val="it-IT"/>
        </w:rPr>
        <w:t xml:space="preserve"> </w:t>
      </w:r>
      <w:r w:rsidRPr="00586097">
        <w:rPr>
          <w:rFonts w:eastAsiaTheme="majorEastAsia"/>
          <w:b/>
          <w:bCs/>
        </w:rPr>
        <w:t>տարվա</w:t>
      </w:r>
      <w:r w:rsidRPr="00586097">
        <w:rPr>
          <w:rFonts w:eastAsiaTheme="majorEastAsia"/>
          <w:b/>
          <w:bCs/>
          <w:lang w:val="it-IT"/>
        </w:rPr>
        <w:t xml:space="preserve"> </w:t>
      </w:r>
      <w:r w:rsidRPr="00586097">
        <w:rPr>
          <w:rFonts w:eastAsiaTheme="majorEastAsia"/>
          <w:b/>
          <w:bCs/>
        </w:rPr>
        <w:t>առաջին</w:t>
      </w:r>
      <w:r w:rsidRPr="00B7540A">
        <w:rPr>
          <w:rFonts w:eastAsiaTheme="majorEastAsia"/>
          <w:b/>
          <w:bCs/>
          <w:lang w:val="it-IT"/>
        </w:rPr>
        <w:t xml:space="preserve"> </w:t>
      </w:r>
      <w:r w:rsidRPr="00586097">
        <w:rPr>
          <w:rFonts w:eastAsiaTheme="majorEastAsia"/>
          <w:b/>
          <w:bCs/>
        </w:rPr>
        <w:t>եռամսյակի</w:t>
      </w:r>
      <w:r w:rsidRPr="00B7540A">
        <w:rPr>
          <w:rFonts w:eastAsiaTheme="majorEastAsia"/>
          <w:b/>
          <w:bCs/>
          <w:lang w:val="it-IT"/>
        </w:rPr>
        <w:t xml:space="preserve"> </w:t>
      </w:r>
      <w:r w:rsidRPr="00586097">
        <w:rPr>
          <w:rFonts w:eastAsiaTheme="majorEastAsia"/>
          <w:b/>
          <w:bCs/>
        </w:rPr>
        <w:t>համեմատ</w:t>
      </w:r>
      <w:r w:rsidRPr="00B7540A">
        <w:rPr>
          <w:rFonts w:eastAsiaTheme="majorEastAsia"/>
          <w:b/>
          <w:bCs/>
          <w:lang w:val="it-IT"/>
        </w:rPr>
        <w:t xml:space="preserve"> </w:t>
      </w:r>
      <w:r w:rsidRPr="00586097">
        <w:rPr>
          <w:rFonts w:eastAsiaTheme="majorEastAsia"/>
          <w:b/>
          <w:bCs/>
        </w:rPr>
        <w:t>բարելավվել</w:t>
      </w:r>
      <w:r w:rsidRPr="00B7540A">
        <w:rPr>
          <w:rFonts w:eastAsiaTheme="majorEastAsia"/>
          <w:b/>
          <w:bCs/>
          <w:lang w:val="it-IT"/>
        </w:rPr>
        <w:t xml:space="preserve"> </w:t>
      </w:r>
      <w:r w:rsidRPr="00586097">
        <w:rPr>
          <w:rFonts w:eastAsiaTheme="majorEastAsia"/>
          <w:b/>
          <w:bCs/>
        </w:rPr>
        <w:t>է</w:t>
      </w:r>
      <w:r w:rsidRPr="00B7540A">
        <w:rPr>
          <w:rFonts w:eastAsiaTheme="majorEastAsia"/>
          <w:b/>
          <w:bCs/>
          <w:lang w:val="it-IT"/>
        </w:rPr>
        <w:t xml:space="preserve">  5</w:t>
      </w:r>
      <w:r w:rsidRPr="00586097">
        <w:rPr>
          <w:rFonts w:eastAsiaTheme="majorEastAsia"/>
          <w:b/>
          <w:bCs/>
          <w:lang w:val="it-IT"/>
        </w:rPr>
        <w:t>.</w:t>
      </w:r>
      <w:r w:rsidRPr="00B7540A">
        <w:rPr>
          <w:rFonts w:eastAsiaTheme="majorEastAsia"/>
          <w:b/>
          <w:bCs/>
          <w:lang w:val="it-IT"/>
        </w:rPr>
        <w:t xml:space="preserve">5 </w:t>
      </w:r>
      <w:r w:rsidRPr="00586097">
        <w:rPr>
          <w:rFonts w:eastAsiaTheme="majorEastAsia"/>
          <w:b/>
          <w:bCs/>
        </w:rPr>
        <w:t>տոկոսային</w:t>
      </w:r>
      <w:r w:rsidRPr="00B7540A">
        <w:rPr>
          <w:rFonts w:eastAsiaTheme="majorEastAsia"/>
          <w:b/>
          <w:bCs/>
          <w:lang w:val="it-IT"/>
        </w:rPr>
        <w:t xml:space="preserve"> </w:t>
      </w:r>
      <w:r w:rsidRPr="00586097">
        <w:rPr>
          <w:rFonts w:eastAsiaTheme="majorEastAsia"/>
          <w:b/>
          <w:bCs/>
        </w:rPr>
        <w:t>կետով՝</w:t>
      </w:r>
      <w:r w:rsidRPr="00B7540A">
        <w:rPr>
          <w:rFonts w:eastAsiaTheme="majorEastAsia"/>
          <w:b/>
          <w:bCs/>
          <w:lang w:val="it-IT"/>
        </w:rPr>
        <w:t xml:space="preserve"> </w:t>
      </w:r>
      <w:r w:rsidRPr="00586097">
        <w:rPr>
          <w:rFonts w:eastAsiaTheme="majorEastAsia"/>
          <w:b/>
          <w:bCs/>
        </w:rPr>
        <w:t>կազմելով</w:t>
      </w:r>
      <w:r w:rsidRPr="00B7540A">
        <w:rPr>
          <w:rFonts w:eastAsiaTheme="majorEastAsia"/>
          <w:b/>
          <w:bCs/>
          <w:lang w:val="it-IT"/>
        </w:rPr>
        <w:t xml:space="preserve"> </w:t>
      </w:r>
      <w:r w:rsidRPr="00586097">
        <w:rPr>
          <w:rFonts w:eastAsiaTheme="majorEastAsia"/>
          <w:b/>
          <w:bCs/>
        </w:rPr>
        <w:t>ՀՆԱ</w:t>
      </w:r>
      <w:r w:rsidRPr="00B7540A">
        <w:rPr>
          <w:rFonts w:eastAsiaTheme="majorEastAsia"/>
          <w:b/>
          <w:bCs/>
          <w:lang w:val="it-IT"/>
        </w:rPr>
        <w:t>-</w:t>
      </w:r>
      <w:r w:rsidRPr="00586097">
        <w:rPr>
          <w:rFonts w:eastAsiaTheme="majorEastAsia"/>
          <w:b/>
          <w:bCs/>
        </w:rPr>
        <w:t>ի</w:t>
      </w:r>
      <w:r w:rsidRPr="00B7540A">
        <w:rPr>
          <w:rFonts w:eastAsiaTheme="majorEastAsia"/>
          <w:b/>
          <w:bCs/>
          <w:lang w:val="it-IT"/>
        </w:rPr>
        <w:t xml:space="preserve"> 3.4</w:t>
      </w:r>
      <w:r w:rsidRPr="00586097">
        <w:rPr>
          <w:rFonts w:eastAsiaTheme="majorEastAsia"/>
          <w:b/>
          <w:bCs/>
          <w:lang w:val="it-IT"/>
        </w:rPr>
        <w:t>%</w:t>
      </w:r>
      <w:r w:rsidRPr="00B7540A">
        <w:rPr>
          <w:rFonts w:eastAsiaTheme="majorEastAsia"/>
          <w:lang w:val="it-IT"/>
        </w:rPr>
        <w:t xml:space="preserve">, </w:t>
      </w:r>
      <w:r w:rsidRPr="00586097">
        <w:rPr>
          <w:rFonts w:eastAsiaTheme="majorEastAsia"/>
        </w:rPr>
        <w:t>որը</w:t>
      </w:r>
      <w:r w:rsidRPr="00B7540A">
        <w:rPr>
          <w:rFonts w:eastAsiaTheme="majorEastAsia"/>
          <w:lang w:val="it-IT"/>
        </w:rPr>
        <w:t xml:space="preserve"> </w:t>
      </w:r>
      <w:r w:rsidRPr="00586097">
        <w:rPr>
          <w:rFonts w:eastAsiaTheme="majorEastAsia"/>
        </w:rPr>
        <w:t>հիմնականում</w:t>
      </w:r>
      <w:r w:rsidRPr="00B7540A">
        <w:rPr>
          <w:rFonts w:eastAsiaTheme="majorEastAsia"/>
          <w:lang w:val="it-IT"/>
        </w:rPr>
        <w:t xml:space="preserve"> </w:t>
      </w:r>
      <w:r w:rsidRPr="00586097">
        <w:rPr>
          <w:rFonts w:eastAsiaTheme="majorEastAsia"/>
        </w:rPr>
        <w:t>պայմանավորված</w:t>
      </w:r>
      <w:r w:rsidRPr="00B7540A">
        <w:rPr>
          <w:rFonts w:eastAsiaTheme="majorEastAsia"/>
          <w:lang w:val="it-IT"/>
        </w:rPr>
        <w:t xml:space="preserve"> </w:t>
      </w:r>
      <w:r w:rsidRPr="00586097">
        <w:rPr>
          <w:rFonts w:eastAsiaTheme="majorEastAsia"/>
        </w:rPr>
        <w:t>էր</w:t>
      </w:r>
      <w:r w:rsidRPr="00B7540A">
        <w:rPr>
          <w:rFonts w:eastAsiaTheme="majorEastAsia"/>
          <w:lang w:val="it-IT"/>
        </w:rPr>
        <w:t xml:space="preserve"> </w:t>
      </w:r>
      <w:r w:rsidRPr="00586097">
        <w:rPr>
          <w:rFonts w:eastAsiaTheme="majorEastAsia"/>
        </w:rPr>
        <w:t>ապրանքների</w:t>
      </w:r>
      <w:r w:rsidRPr="00B7540A">
        <w:rPr>
          <w:rFonts w:eastAsiaTheme="majorEastAsia"/>
          <w:lang w:val="it-IT"/>
        </w:rPr>
        <w:t xml:space="preserve"> </w:t>
      </w:r>
      <w:r w:rsidRPr="00586097">
        <w:rPr>
          <w:rFonts w:eastAsiaTheme="majorEastAsia"/>
        </w:rPr>
        <w:t>և</w:t>
      </w:r>
      <w:r w:rsidRPr="00B7540A">
        <w:rPr>
          <w:rFonts w:eastAsiaTheme="majorEastAsia"/>
          <w:lang w:val="it-IT"/>
        </w:rPr>
        <w:t xml:space="preserve"> </w:t>
      </w:r>
      <w:r w:rsidRPr="00586097">
        <w:rPr>
          <w:rFonts w:eastAsiaTheme="majorEastAsia"/>
        </w:rPr>
        <w:t>ծառայությունների</w:t>
      </w:r>
      <w:r w:rsidRPr="00B7540A">
        <w:rPr>
          <w:rFonts w:eastAsiaTheme="majorEastAsia"/>
          <w:lang w:val="it-IT"/>
        </w:rPr>
        <w:t xml:space="preserve"> </w:t>
      </w:r>
      <w:r w:rsidRPr="00586097">
        <w:rPr>
          <w:rFonts w:eastAsiaTheme="majorEastAsia"/>
        </w:rPr>
        <w:t>բացասական</w:t>
      </w:r>
      <w:r w:rsidRPr="00B7540A">
        <w:rPr>
          <w:rFonts w:eastAsiaTheme="majorEastAsia"/>
          <w:lang w:val="it-IT"/>
        </w:rPr>
        <w:t xml:space="preserve"> </w:t>
      </w:r>
      <w:r w:rsidRPr="00586097">
        <w:rPr>
          <w:rFonts w:eastAsiaTheme="majorEastAsia"/>
        </w:rPr>
        <w:t>հաշվեկշիռի</w:t>
      </w:r>
      <w:r w:rsidRPr="00B7540A">
        <w:rPr>
          <w:rFonts w:eastAsiaTheme="majorEastAsia"/>
          <w:lang w:val="it-IT"/>
        </w:rPr>
        <w:t xml:space="preserve"> </w:t>
      </w:r>
      <w:r w:rsidRPr="00586097">
        <w:rPr>
          <w:rFonts w:eastAsiaTheme="majorEastAsia"/>
        </w:rPr>
        <w:t>կրճատմամբ</w:t>
      </w:r>
      <w:r w:rsidRPr="00B7540A">
        <w:rPr>
          <w:rFonts w:eastAsiaTheme="majorEastAsia"/>
          <w:lang w:val="it-IT"/>
        </w:rPr>
        <w:t xml:space="preserve"> </w:t>
      </w:r>
      <w:r w:rsidRPr="00586097">
        <w:rPr>
          <w:rFonts w:eastAsiaTheme="majorEastAsia"/>
        </w:rPr>
        <w:t>և</w:t>
      </w:r>
      <w:r w:rsidRPr="00B7540A">
        <w:rPr>
          <w:rFonts w:eastAsiaTheme="majorEastAsia"/>
          <w:lang w:val="it-IT"/>
        </w:rPr>
        <w:t xml:space="preserve"> </w:t>
      </w:r>
      <w:r w:rsidRPr="00586097">
        <w:rPr>
          <w:rFonts w:eastAsiaTheme="majorEastAsia"/>
        </w:rPr>
        <w:t>տնային</w:t>
      </w:r>
      <w:r w:rsidRPr="00B7540A">
        <w:rPr>
          <w:rFonts w:eastAsiaTheme="majorEastAsia"/>
          <w:lang w:val="it-IT"/>
        </w:rPr>
        <w:t xml:space="preserve"> </w:t>
      </w:r>
      <w:r w:rsidRPr="00586097">
        <w:rPr>
          <w:rFonts w:eastAsiaTheme="majorEastAsia"/>
        </w:rPr>
        <w:t>տնտեսություններին</w:t>
      </w:r>
      <w:r w:rsidRPr="00B7540A">
        <w:rPr>
          <w:rFonts w:eastAsiaTheme="majorEastAsia"/>
          <w:lang w:val="it-IT"/>
        </w:rPr>
        <w:t xml:space="preserve"> </w:t>
      </w:r>
      <w:r w:rsidRPr="00586097">
        <w:rPr>
          <w:rFonts w:eastAsiaTheme="majorEastAsia"/>
        </w:rPr>
        <w:t>անհատույց</w:t>
      </w:r>
      <w:r w:rsidRPr="00B7540A">
        <w:rPr>
          <w:rFonts w:eastAsiaTheme="majorEastAsia"/>
          <w:lang w:val="it-IT"/>
        </w:rPr>
        <w:t xml:space="preserve"> </w:t>
      </w:r>
      <w:r w:rsidRPr="00586097">
        <w:rPr>
          <w:rFonts w:eastAsiaTheme="majorEastAsia"/>
        </w:rPr>
        <w:t>տրամադրվող</w:t>
      </w:r>
      <w:r w:rsidRPr="00B7540A">
        <w:rPr>
          <w:rFonts w:eastAsiaTheme="majorEastAsia"/>
          <w:lang w:val="it-IT"/>
        </w:rPr>
        <w:t xml:space="preserve"> </w:t>
      </w:r>
      <w:r w:rsidRPr="00586097">
        <w:rPr>
          <w:rFonts w:eastAsiaTheme="majorEastAsia"/>
        </w:rPr>
        <w:t>դրամական</w:t>
      </w:r>
      <w:r w:rsidRPr="00B7540A">
        <w:rPr>
          <w:rFonts w:eastAsiaTheme="majorEastAsia"/>
          <w:lang w:val="it-IT"/>
        </w:rPr>
        <w:t xml:space="preserve"> </w:t>
      </w:r>
      <w:r w:rsidRPr="00586097">
        <w:rPr>
          <w:rFonts w:eastAsiaTheme="majorEastAsia"/>
        </w:rPr>
        <w:t>փոխանցումների</w:t>
      </w:r>
      <w:r w:rsidRPr="00B7540A">
        <w:rPr>
          <w:rFonts w:eastAsiaTheme="majorEastAsia"/>
          <w:lang w:val="it-IT"/>
        </w:rPr>
        <w:t xml:space="preserve"> </w:t>
      </w:r>
      <w:r w:rsidRPr="00586097">
        <w:rPr>
          <w:rFonts w:eastAsiaTheme="majorEastAsia"/>
        </w:rPr>
        <w:t>աճով</w:t>
      </w:r>
      <w:r w:rsidRPr="00B7540A">
        <w:rPr>
          <w:rFonts w:eastAsiaTheme="majorEastAsia"/>
          <w:lang w:val="it-IT"/>
        </w:rPr>
        <w:t xml:space="preserve">:  </w:t>
      </w:r>
      <w:r w:rsidRPr="00586097">
        <w:rPr>
          <w:rFonts w:eastAsiaTheme="majorEastAsia"/>
        </w:rPr>
        <w:t>Ընթացիկ</w:t>
      </w:r>
      <w:r w:rsidRPr="00B7540A">
        <w:rPr>
          <w:rFonts w:eastAsiaTheme="majorEastAsia"/>
          <w:lang w:val="it-IT"/>
        </w:rPr>
        <w:t xml:space="preserve"> </w:t>
      </w:r>
      <w:r w:rsidRPr="00586097">
        <w:rPr>
          <w:rFonts w:eastAsiaTheme="majorEastAsia"/>
        </w:rPr>
        <w:t>տարվա</w:t>
      </w:r>
      <w:r w:rsidRPr="00B7540A">
        <w:rPr>
          <w:rFonts w:eastAsiaTheme="majorEastAsia"/>
          <w:lang w:val="it-IT"/>
        </w:rPr>
        <w:t xml:space="preserve"> </w:t>
      </w:r>
      <w:r w:rsidRPr="00586097">
        <w:rPr>
          <w:rFonts w:eastAsiaTheme="majorEastAsia"/>
        </w:rPr>
        <w:t>հունվար</w:t>
      </w:r>
      <w:r w:rsidRPr="00B7540A">
        <w:rPr>
          <w:rFonts w:eastAsiaTheme="majorEastAsia"/>
          <w:lang w:val="it-IT"/>
        </w:rPr>
        <w:t>-</w:t>
      </w:r>
      <w:r w:rsidRPr="00586097">
        <w:rPr>
          <w:rFonts w:eastAsiaTheme="majorEastAsia"/>
        </w:rPr>
        <w:t>մայիս</w:t>
      </w:r>
      <w:r w:rsidRPr="00B7540A">
        <w:rPr>
          <w:rFonts w:eastAsiaTheme="majorEastAsia"/>
          <w:lang w:val="it-IT"/>
        </w:rPr>
        <w:t xml:space="preserve"> </w:t>
      </w:r>
      <w:r w:rsidRPr="00586097">
        <w:rPr>
          <w:rFonts w:eastAsiaTheme="majorEastAsia"/>
        </w:rPr>
        <w:t>ամիսներին</w:t>
      </w:r>
      <w:r w:rsidRPr="00B7540A">
        <w:rPr>
          <w:rFonts w:eastAsiaTheme="majorEastAsia"/>
          <w:lang w:val="it-IT"/>
        </w:rPr>
        <w:t xml:space="preserve"> </w:t>
      </w:r>
      <w:r w:rsidRPr="00586097">
        <w:rPr>
          <w:rFonts w:eastAsiaTheme="majorEastAsia"/>
        </w:rPr>
        <w:t>տեղի</w:t>
      </w:r>
      <w:r w:rsidRPr="00B7540A">
        <w:rPr>
          <w:rFonts w:eastAsiaTheme="majorEastAsia"/>
          <w:lang w:val="it-IT"/>
        </w:rPr>
        <w:t xml:space="preserve"> </w:t>
      </w:r>
      <w:r w:rsidRPr="00586097">
        <w:rPr>
          <w:rFonts w:eastAsiaTheme="majorEastAsia"/>
        </w:rPr>
        <w:t>է</w:t>
      </w:r>
      <w:r w:rsidRPr="00B7540A">
        <w:rPr>
          <w:rFonts w:eastAsiaTheme="majorEastAsia"/>
          <w:lang w:val="it-IT"/>
        </w:rPr>
        <w:t xml:space="preserve"> </w:t>
      </w:r>
      <w:r w:rsidRPr="00586097">
        <w:rPr>
          <w:rFonts w:eastAsiaTheme="majorEastAsia"/>
        </w:rPr>
        <w:t>ունեցել</w:t>
      </w:r>
      <w:r w:rsidRPr="00B7540A">
        <w:rPr>
          <w:rFonts w:eastAsiaTheme="majorEastAsia"/>
          <w:lang w:val="it-IT"/>
        </w:rPr>
        <w:t xml:space="preserve"> </w:t>
      </w:r>
      <w:r w:rsidRPr="00586097">
        <w:rPr>
          <w:rFonts w:eastAsiaTheme="majorEastAsia"/>
        </w:rPr>
        <w:t>ՀՀ</w:t>
      </w:r>
      <w:r w:rsidRPr="00B7540A">
        <w:rPr>
          <w:rFonts w:eastAsiaTheme="majorEastAsia"/>
          <w:lang w:val="it-IT"/>
        </w:rPr>
        <w:t xml:space="preserve"> </w:t>
      </w:r>
      <w:r w:rsidRPr="00586097">
        <w:rPr>
          <w:rFonts w:eastAsiaTheme="majorEastAsia"/>
        </w:rPr>
        <w:t>բանկերի</w:t>
      </w:r>
      <w:r w:rsidRPr="00B7540A">
        <w:rPr>
          <w:rFonts w:eastAsiaTheme="majorEastAsia"/>
          <w:lang w:val="it-IT"/>
        </w:rPr>
        <w:t xml:space="preserve"> </w:t>
      </w:r>
      <w:r w:rsidRPr="00586097">
        <w:rPr>
          <w:rFonts w:eastAsiaTheme="majorEastAsia"/>
        </w:rPr>
        <w:t>միջոցով</w:t>
      </w:r>
      <w:r w:rsidRPr="00B7540A">
        <w:rPr>
          <w:rFonts w:eastAsiaTheme="majorEastAsia"/>
          <w:lang w:val="it-IT"/>
        </w:rPr>
        <w:t xml:space="preserve"> </w:t>
      </w:r>
      <w:r w:rsidRPr="00586097">
        <w:rPr>
          <w:rFonts w:eastAsiaTheme="majorEastAsia"/>
        </w:rPr>
        <w:t>ֆիզիկական</w:t>
      </w:r>
      <w:r w:rsidRPr="00B7540A">
        <w:rPr>
          <w:rFonts w:eastAsiaTheme="majorEastAsia"/>
          <w:lang w:val="it-IT"/>
        </w:rPr>
        <w:t xml:space="preserve"> </w:t>
      </w:r>
      <w:r w:rsidRPr="00586097">
        <w:rPr>
          <w:rFonts w:eastAsiaTheme="majorEastAsia"/>
        </w:rPr>
        <w:t>անձանց</w:t>
      </w:r>
      <w:r w:rsidRPr="00B7540A">
        <w:rPr>
          <w:rFonts w:eastAsiaTheme="majorEastAsia"/>
          <w:lang w:val="it-IT"/>
        </w:rPr>
        <w:t xml:space="preserve"> </w:t>
      </w:r>
      <w:r w:rsidRPr="00586097">
        <w:rPr>
          <w:rFonts w:eastAsiaTheme="majorEastAsia"/>
        </w:rPr>
        <w:t>անունով</w:t>
      </w:r>
      <w:r w:rsidRPr="00B7540A">
        <w:rPr>
          <w:rFonts w:eastAsiaTheme="majorEastAsia"/>
          <w:lang w:val="it-IT"/>
        </w:rPr>
        <w:t xml:space="preserve"> </w:t>
      </w:r>
      <w:r w:rsidRPr="00586097">
        <w:rPr>
          <w:rFonts w:eastAsiaTheme="majorEastAsia"/>
        </w:rPr>
        <w:t>արտերկրից</w:t>
      </w:r>
      <w:r w:rsidRPr="00B7540A">
        <w:rPr>
          <w:rFonts w:eastAsiaTheme="majorEastAsia"/>
          <w:lang w:val="it-IT"/>
        </w:rPr>
        <w:t xml:space="preserve"> </w:t>
      </w:r>
      <w:r w:rsidRPr="00586097">
        <w:rPr>
          <w:rFonts w:eastAsiaTheme="majorEastAsia"/>
        </w:rPr>
        <w:t>ստացված</w:t>
      </w:r>
      <w:r w:rsidRPr="00B7540A">
        <w:rPr>
          <w:rFonts w:eastAsiaTheme="majorEastAsia"/>
          <w:lang w:val="it-IT"/>
        </w:rPr>
        <w:t xml:space="preserve"> </w:t>
      </w:r>
      <w:r w:rsidRPr="00586097">
        <w:rPr>
          <w:rFonts w:eastAsiaTheme="majorEastAsia"/>
        </w:rPr>
        <w:t>դրամական</w:t>
      </w:r>
      <w:r w:rsidRPr="00B7540A">
        <w:rPr>
          <w:rFonts w:eastAsiaTheme="majorEastAsia"/>
          <w:lang w:val="it-IT"/>
        </w:rPr>
        <w:t xml:space="preserve"> </w:t>
      </w:r>
      <w:r w:rsidRPr="00586097">
        <w:rPr>
          <w:rFonts w:eastAsiaTheme="majorEastAsia"/>
        </w:rPr>
        <w:t>փոխանցումների</w:t>
      </w:r>
      <w:r w:rsidRPr="00B7540A">
        <w:rPr>
          <w:rFonts w:eastAsiaTheme="majorEastAsia"/>
          <w:lang w:val="it-IT"/>
        </w:rPr>
        <w:t xml:space="preserve"> </w:t>
      </w:r>
      <w:r w:rsidRPr="00586097">
        <w:rPr>
          <w:rFonts w:eastAsiaTheme="majorEastAsia"/>
        </w:rPr>
        <w:t>զգալի</w:t>
      </w:r>
      <w:r w:rsidRPr="00B7540A">
        <w:rPr>
          <w:rFonts w:eastAsiaTheme="majorEastAsia"/>
          <w:lang w:val="it-IT"/>
        </w:rPr>
        <w:t xml:space="preserve"> </w:t>
      </w:r>
      <w:r w:rsidRPr="00586097">
        <w:rPr>
          <w:rFonts w:eastAsiaTheme="majorEastAsia"/>
        </w:rPr>
        <w:t>աճ</w:t>
      </w:r>
      <w:r w:rsidRPr="00B7540A">
        <w:rPr>
          <w:rFonts w:eastAsiaTheme="majorEastAsia"/>
          <w:lang w:val="it-IT"/>
        </w:rPr>
        <w:t xml:space="preserve"> </w:t>
      </w:r>
      <w:r w:rsidRPr="00586097">
        <w:rPr>
          <w:rFonts w:eastAsiaTheme="majorEastAsia"/>
          <w:lang w:val="it-IT"/>
        </w:rPr>
        <w:t>(</w:t>
      </w:r>
      <w:r w:rsidRPr="00586097">
        <w:rPr>
          <w:rFonts w:eastAsiaTheme="majorEastAsia"/>
        </w:rPr>
        <w:t>մոտ</w:t>
      </w:r>
      <w:r w:rsidRPr="00B7540A">
        <w:rPr>
          <w:rFonts w:eastAsiaTheme="majorEastAsia"/>
          <w:lang w:val="it-IT"/>
        </w:rPr>
        <w:t xml:space="preserve"> 89</w:t>
      </w:r>
      <w:r w:rsidRPr="00586097">
        <w:rPr>
          <w:rFonts w:eastAsiaTheme="majorEastAsia"/>
          <w:lang w:val="it-IT"/>
        </w:rPr>
        <w:t>%</w:t>
      </w:r>
      <w:r w:rsidRPr="00B7540A">
        <w:rPr>
          <w:rFonts w:eastAsiaTheme="majorEastAsia"/>
          <w:lang w:val="it-IT"/>
        </w:rPr>
        <w:t>-</w:t>
      </w:r>
      <w:r w:rsidRPr="00586097">
        <w:rPr>
          <w:rFonts w:eastAsiaTheme="majorEastAsia"/>
        </w:rPr>
        <w:t>ով</w:t>
      </w:r>
      <w:r w:rsidRPr="00586097">
        <w:rPr>
          <w:rFonts w:eastAsiaTheme="majorEastAsia"/>
          <w:lang w:val="it-IT"/>
        </w:rPr>
        <w:t>)</w:t>
      </w:r>
      <w:r w:rsidRPr="00586097">
        <w:rPr>
          <w:rFonts w:eastAsiaTheme="majorEastAsia"/>
        </w:rPr>
        <w:t>։</w:t>
      </w:r>
      <w:r w:rsidRPr="00B7540A">
        <w:rPr>
          <w:rFonts w:eastAsiaTheme="majorEastAsia"/>
          <w:lang w:val="it-IT"/>
        </w:rPr>
        <w:t xml:space="preserve"> </w:t>
      </w:r>
    </w:p>
    <w:p w14:paraId="63FBB742" w14:textId="77777777" w:rsidR="00B7540A" w:rsidRPr="00B7540A" w:rsidRDefault="00B7540A" w:rsidP="00B7540A">
      <w:pPr>
        <w:spacing w:line="276" w:lineRule="auto"/>
        <w:rPr>
          <w:lang w:val="it-IT"/>
        </w:rPr>
      </w:pPr>
      <w:r w:rsidRPr="00586097">
        <w:rPr>
          <w:rFonts w:eastAsiaTheme="majorEastAsia"/>
          <w:b/>
          <w:iCs/>
          <w:u w:val="single"/>
        </w:rPr>
        <w:t>Կանխատեսում</w:t>
      </w:r>
      <w:r w:rsidRPr="00586097">
        <w:rPr>
          <w:rFonts w:eastAsiaTheme="majorEastAsia"/>
          <w:b/>
          <w:i/>
          <w:u w:val="single"/>
        </w:rPr>
        <w:t>։</w:t>
      </w:r>
      <w:r w:rsidRPr="00B7540A">
        <w:rPr>
          <w:rFonts w:eastAsiaTheme="majorEastAsia"/>
          <w:lang w:val="it-IT"/>
        </w:rPr>
        <w:t xml:space="preserve"> </w:t>
      </w:r>
      <w:r w:rsidRPr="00586097">
        <w:rPr>
          <w:rFonts w:eastAsiaTheme="majorEastAsia"/>
        </w:rPr>
        <w:t>Հիմնականում</w:t>
      </w:r>
      <w:r w:rsidRPr="00B7540A">
        <w:rPr>
          <w:rFonts w:eastAsiaTheme="majorEastAsia"/>
          <w:lang w:val="it-IT"/>
        </w:rPr>
        <w:t xml:space="preserve"> </w:t>
      </w:r>
      <w:r w:rsidRPr="00586097">
        <w:rPr>
          <w:rFonts w:eastAsiaTheme="majorEastAsia"/>
        </w:rPr>
        <w:t>դրամական</w:t>
      </w:r>
      <w:r w:rsidRPr="00B7540A">
        <w:rPr>
          <w:rFonts w:eastAsiaTheme="majorEastAsia"/>
          <w:lang w:val="it-IT"/>
        </w:rPr>
        <w:t xml:space="preserve"> </w:t>
      </w:r>
      <w:r w:rsidRPr="00586097">
        <w:rPr>
          <w:rFonts w:eastAsiaTheme="majorEastAsia"/>
        </w:rPr>
        <w:t>փոխանցումների</w:t>
      </w:r>
      <w:r w:rsidRPr="00B7540A">
        <w:rPr>
          <w:rFonts w:eastAsiaTheme="majorEastAsia"/>
          <w:lang w:val="it-IT"/>
        </w:rPr>
        <w:t xml:space="preserve"> </w:t>
      </w:r>
      <w:r w:rsidRPr="00586097">
        <w:rPr>
          <w:rFonts w:eastAsiaTheme="majorEastAsia"/>
        </w:rPr>
        <w:t>արագ</w:t>
      </w:r>
      <w:r w:rsidRPr="00B7540A">
        <w:rPr>
          <w:rFonts w:eastAsiaTheme="majorEastAsia"/>
          <w:lang w:val="it-IT"/>
        </w:rPr>
        <w:t xml:space="preserve"> </w:t>
      </w:r>
      <w:r w:rsidRPr="00586097">
        <w:rPr>
          <w:rFonts w:eastAsiaTheme="majorEastAsia"/>
        </w:rPr>
        <w:t>վերականգմամբ</w:t>
      </w:r>
      <w:r w:rsidRPr="00B7540A">
        <w:rPr>
          <w:rFonts w:eastAsiaTheme="majorEastAsia"/>
          <w:lang w:val="it-IT"/>
        </w:rPr>
        <w:t xml:space="preserve"> </w:t>
      </w:r>
      <w:r w:rsidRPr="00586097">
        <w:rPr>
          <w:rFonts w:eastAsiaTheme="majorEastAsia"/>
        </w:rPr>
        <w:t>պայմանավորված</w:t>
      </w:r>
      <w:r w:rsidRPr="00B7540A">
        <w:rPr>
          <w:rFonts w:eastAsiaTheme="majorEastAsia"/>
          <w:lang w:val="it-IT"/>
        </w:rPr>
        <w:t xml:space="preserve"> 2021</w:t>
      </w:r>
      <w:r w:rsidRPr="00586097">
        <w:rPr>
          <w:rFonts w:eastAsiaTheme="majorEastAsia"/>
        </w:rPr>
        <w:t>թ</w:t>
      </w:r>
      <w:r w:rsidRPr="00B7540A">
        <w:rPr>
          <w:rFonts w:eastAsiaTheme="majorEastAsia"/>
          <w:lang w:val="it-IT"/>
        </w:rPr>
        <w:t xml:space="preserve">. </w:t>
      </w:r>
      <w:r w:rsidRPr="00586097">
        <w:rPr>
          <w:rFonts w:eastAsiaTheme="majorEastAsia"/>
        </w:rPr>
        <w:t>ընթացիկ</w:t>
      </w:r>
      <w:r w:rsidRPr="00B7540A">
        <w:rPr>
          <w:rFonts w:eastAsiaTheme="majorEastAsia"/>
          <w:lang w:val="it-IT"/>
        </w:rPr>
        <w:t xml:space="preserve"> </w:t>
      </w:r>
      <w:r w:rsidRPr="00586097">
        <w:rPr>
          <w:rFonts w:eastAsiaTheme="majorEastAsia"/>
        </w:rPr>
        <w:t>հաշվի</w:t>
      </w:r>
      <w:r w:rsidRPr="00B7540A">
        <w:rPr>
          <w:rFonts w:eastAsiaTheme="majorEastAsia"/>
          <w:lang w:val="it-IT"/>
        </w:rPr>
        <w:t xml:space="preserve"> </w:t>
      </w:r>
      <w:r w:rsidRPr="00586097">
        <w:rPr>
          <w:rFonts w:eastAsiaTheme="majorEastAsia"/>
        </w:rPr>
        <w:t>պակասուրդը</w:t>
      </w:r>
      <w:r w:rsidRPr="00B7540A">
        <w:rPr>
          <w:rFonts w:eastAsiaTheme="majorEastAsia"/>
          <w:lang w:val="it-IT"/>
        </w:rPr>
        <w:t xml:space="preserve"> </w:t>
      </w:r>
      <w:r w:rsidRPr="00586097">
        <w:rPr>
          <w:rFonts w:eastAsiaTheme="majorEastAsia"/>
        </w:rPr>
        <w:t>կբարելավվի՝</w:t>
      </w:r>
      <w:r w:rsidRPr="00B7540A">
        <w:rPr>
          <w:rFonts w:eastAsiaTheme="majorEastAsia"/>
          <w:lang w:val="it-IT"/>
        </w:rPr>
        <w:t xml:space="preserve"> </w:t>
      </w:r>
      <w:r w:rsidRPr="00586097">
        <w:rPr>
          <w:rFonts w:eastAsiaTheme="majorEastAsia"/>
        </w:rPr>
        <w:t>մոտենալով</w:t>
      </w:r>
      <w:r w:rsidRPr="00B7540A">
        <w:rPr>
          <w:rFonts w:eastAsiaTheme="majorEastAsia"/>
          <w:lang w:val="it-IT"/>
        </w:rPr>
        <w:t xml:space="preserve"> </w:t>
      </w:r>
      <w:r w:rsidRPr="00586097">
        <w:rPr>
          <w:rFonts w:eastAsiaTheme="majorEastAsia"/>
        </w:rPr>
        <w:t>ՀՆԱ</w:t>
      </w:r>
      <w:r w:rsidRPr="00B7540A">
        <w:rPr>
          <w:rFonts w:eastAsiaTheme="majorEastAsia"/>
          <w:lang w:val="it-IT"/>
        </w:rPr>
        <w:t>-</w:t>
      </w:r>
      <w:r w:rsidRPr="00586097">
        <w:rPr>
          <w:rFonts w:eastAsiaTheme="majorEastAsia"/>
        </w:rPr>
        <w:t>ի</w:t>
      </w:r>
      <w:r w:rsidRPr="00B7540A">
        <w:rPr>
          <w:rFonts w:eastAsiaTheme="majorEastAsia"/>
          <w:lang w:val="it-IT"/>
        </w:rPr>
        <w:t xml:space="preserve"> 2</w:t>
      </w:r>
      <w:r w:rsidRPr="00586097">
        <w:rPr>
          <w:rFonts w:eastAsiaTheme="majorEastAsia"/>
          <w:lang w:val="it-IT"/>
        </w:rPr>
        <w:t>.</w:t>
      </w:r>
      <w:r w:rsidRPr="00B7540A">
        <w:rPr>
          <w:rFonts w:eastAsiaTheme="majorEastAsia"/>
          <w:lang w:val="it-IT"/>
        </w:rPr>
        <w:t xml:space="preserve">1% </w:t>
      </w:r>
      <w:r w:rsidRPr="00586097">
        <w:rPr>
          <w:rFonts w:eastAsiaTheme="majorEastAsia"/>
        </w:rPr>
        <w:t>մակարդակի</w:t>
      </w:r>
      <w:r w:rsidRPr="00B7540A">
        <w:rPr>
          <w:rFonts w:eastAsiaTheme="majorEastAsia"/>
          <w:lang w:val="it-IT"/>
        </w:rPr>
        <w:t xml:space="preserve">: </w:t>
      </w:r>
      <w:r w:rsidRPr="00586097">
        <w:rPr>
          <w:rFonts w:eastAsiaTheme="majorEastAsia"/>
        </w:rPr>
        <w:t>Միջնաժամկետ</w:t>
      </w:r>
      <w:r w:rsidRPr="00B7540A">
        <w:rPr>
          <w:rFonts w:eastAsiaTheme="majorEastAsia"/>
          <w:lang w:val="it-IT"/>
        </w:rPr>
        <w:t xml:space="preserve"> </w:t>
      </w:r>
      <w:r w:rsidRPr="00586097">
        <w:rPr>
          <w:rFonts w:eastAsiaTheme="majorEastAsia"/>
        </w:rPr>
        <w:t>հորիզոնում</w:t>
      </w:r>
      <w:r w:rsidRPr="00B7540A">
        <w:rPr>
          <w:rFonts w:eastAsiaTheme="majorEastAsia"/>
          <w:lang w:val="it-IT"/>
        </w:rPr>
        <w:t xml:space="preserve"> </w:t>
      </w:r>
      <w:r w:rsidRPr="00586097">
        <w:rPr>
          <w:rFonts w:eastAsiaTheme="majorEastAsia"/>
        </w:rPr>
        <w:t>ընթացիկ</w:t>
      </w:r>
      <w:r w:rsidRPr="00B7540A">
        <w:rPr>
          <w:rFonts w:eastAsiaTheme="majorEastAsia"/>
          <w:lang w:val="it-IT"/>
        </w:rPr>
        <w:t xml:space="preserve"> </w:t>
      </w:r>
      <w:r w:rsidRPr="00586097">
        <w:rPr>
          <w:rFonts w:eastAsiaTheme="majorEastAsia"/>
        </w:rPr>
        <w:t>հաշվի</w:t>
      </w:r>
      <w:r w:rsidRPr="00B7540A">
        <w:rPr>
          <w:rFonts w:eastAsiaTheme="majorEastAsia"/>
          <w:lang w:val="it-IT"/>
        </w:rPr>
        <w:t xml:space="preserve"> </w:t>
      </w:r>
      <w:r w:rsidRPr="00586097">
        <w:rPr>
          <w:rFonts w:eastAsiaTheme="majorEastAsia"/>
        </w:rPr>
        <w:t>պակասուրդը</w:t>
      </w:r>
      <w:r w:rsidRPr="00B7540A">
        <w:rPr>
          <w:rFonts w:eastAsiaTheme="majorEastAsia"/>
          <w:lang w:val="it-IT"/>
        </w:rPr>
        <w:t xml:space="preserve"> </w:t>
      </w:r>
      <w:r w:rsidRPr="00586097">
        <w:rPr>
          <w:rFonts w:eastAsiaTheme="majorEastAsia"/>
        </w:rPr>
        <w:t>կխորանա՝</w:t>
      </w:r>
      <w:r w:rsidRPr="00B7540A">
        <w:rPr>
          <w:rFonts w:eastAsiaTheme="majorEastAsia"/>
          <w:lang w:val="it-IT"/>
        </w:rPr>
        <w:t xml:space="preserve"> </w:t>
      </w:r>
      <w:r w:rsidRPr="00586097">
        <w:rPr>
          <w:rFonts w:eastAsiaTheme="majorEastAsia"/>
        </w:rPr>
        <w:t>ձգտելով</w:t>
      </w:r>
      <w:r w:rsidRPr="00B7540A">
        <w:rPr>
          <w:rFonts w:eastAsiaTheme="majorEastAsia"/>
          <w:lang w:val="it-IT"/>
        </w:rPr>
        <w:t xml:space="preserve"> </w:t>
      </w:r>
      <w:r w:rsidRPr="00586097">
        <w:rPr>
          <w:rFonts w:eastAsiaTheme="majorEastAsia"/>
        </w:rPr>
        <w:t>իր</w:t>
      </w:r>
      <w:r w:rsidRPr="00B7540A">
        <w:rPr>
          <w:rFonts w:eastAsiaTheme="majorEastAsia"/>
          <w:lang w:val="it-IT"/>
        </w:rPr>
        <w:t xml:space="preserve"> </w:t>
      </w:r>
      <w:r w:rsidRPr="00586097">
        <w:rPr>
          <w:rFonts w:eastAsiaTheme="majorEastAsia"/>
        </w:rPr>
        <w:t>հավասարակշիռ</w:t>
      </w:r>
      <w:r w:rsidRPr="00B7540A">
        <w:rPr>
          <w:rFonts w:eastAsiaTheme="majorEastAsia"/>
          <w:lang w:val="it-IT"/>
        </w:rPr>
        <w:t xml:space="preserve"> </w:t>
      </w:r>
      <w:r w:rsidRPr="00586097">
        <w:rPr>
          <w:rFonts w:eastAsiaTheme="majorEastAsia"/>
        </w:rPr>
        <w:t>մակարդակին</w:t>
      </w:r>
      <w:r w:rsidRPr="00B7540A">
        <w:rPr>
          <w:rFonts w:eastAsiaTheme="majorEastAsia"/>
          <w:lang w:val="it-IT"/>
        </w:rPr>
        <w:t xml:space="preserve">: </w:t>
      </w:r>
    </w:p>
    <w:p w14:paraId="4AB24447" w14:textId="77777777" w:rsidR="00B7540A" w:rsidRPr="00586097" w:rsidRDefault="00B7540A" w:rsidP="00B7540A">
      <w:pPr>
        <w:pStyle w:val="afc"/>
        <w:spacing w:line="276" w:lineRule="auto"/>
      </w:pPr>
      <w:r w:rsidRPr="00586097">
        <w:rPr>
          <w:noProof/>
          <w:lang w:val="en-US"/>
        </w:rPr>
        <w:drawing>
          <wp:anchor distT="0" distB="0" distL="114300" distR="114300" simplePos="0" relativeHeight="251649536" behindDoc="1" locked="0" layoutInCell="1" allowOverlap="1" wp14:anchorId="61B310B4" wp14:editId="2D94BCEE">
            <wp:simplePos x="0" y="0"/>
            <wp:positionH relativeFrom="column">
              <wp:posOffset>3071495</wp:posOffset>
            </wp:positionH>
            <wp:positionV relativeFrom="paragraph">
              <wp:posOffset>218440</wp:posOffset>
            </wp:positionV>
            <wp:extent cx="3218815" cy="2266950"/>
            <wp:effectExtent l="0" t="0" r="635" b="0"/>
            <wp:wrapTight wrapText="bothSides">
              <wp:wrapPolygon edited="0">
                <wp:start x="0" y="0"/>
                <wp:lineTo x="0" y="21418"/>
                <wp:lineTo x="21476" y="21418"/>
                <wp:lineTo x="21476" y="0"/>
                <wp:lineTo x="0" y="0"/>
              </wp:wrapPolygon>
            </wp:wrapTight>
            <wp:docPr id="99" name="Chart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r w:rsidRPr="00586097">
        <w:t>Գծապատկեր 1.33. Ընթացիկ հաշվի պակասուրդը և բաղադրատարրերը (ՀՆԱ-ում %)</w:t>
      </w:r>
      <w:r w:rsidRPr="00586097">
        <w:rPr>
          <w:noProof/>
          <w:lang w:val="en-US"/>
        </w:rPr>
        <w:drawing>
          <wp:anchor distT="0" distB="0" distL="114300" distR="114300" simplePos="0" relativeHeight="251646464" behindDoc="1" locked="0" layoutInCell="1" allowOverlap="1" wp14:anchorId="3E20D3BF" wp14:editId="0C6825B3">
            <wp:simplePos x="0" y="0"/>
            <wp:positionH relativeFrom="column">
              <wp:posOffset>-2540</wp:posOffset>
            </wp:positionH>
            <wp:positionV relativeFrom="paragraph">
              <wp:posOffset>217170</wp:posOffset>
            </wp:positionV>
            <wp:extent cx="3077210" cy="2266950"/>
            <wp:effectExtent l="0" t="0" r="8890" b="0"/>
            <wp:wrapTight wrapText="bothSides">
              <wp:wrapPolygon edited="0">
                <wp:start x="0" y="0"/>
                <wp:lineTo x="0" y="21418"/>
                <wp:lineTo x="21529" y="21418"/>
                <wp:lineTo x="21529" y="0"/>
                <wp:lineTo x="0" y="0"/>
              </wp:wrapPolygon>
            </wp:wrapTight>
            <wp:docPr id="100" name="Chart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anchor>
        </w:drawing>
      </w:r>
    </w:p>
    <w:p w14:paraId="33F247D0" w14:textId="77777777" w:rsidR="00B7540A" w:rsidRPr="00F30397" w:rsidRDefault="00B7540A" w:rsidP="00F30397">
      <w:pPr>
        <w:pStyle w:val="afd"/>
      </w:pPr>
      <w:r w:rsidRPr="00F30397">
        <w:t>Աղբյուրը՝ ՀՀ ՎԿ, ԿԲ և ՀՀ ՖՆ հաշվարկներ և  կանխատեսումներ</w:t>
      </w:r>
    </w:p>
    <w:p w14:paraId="70B9BF3E" w14:textId="77777777" w:rsidR="00B7540A" w:rsidRPr="00586097" w:rsidRDefault="00B7540A" w:rsidP="00B7540A">
      <w:pPr>
        <w:pStyle w:val="Heading3"/>
        <w:spacing w:line="276" w:lineRule="auto"/>
      </w:pPr>
    </w:p>
    <w:p w14:paraId="20EA8EB5" w14:textId="77777777" w:rsidR="00B7540A" w:rsidRPr="00B7540A" w:rsidRDefault="00B7540A" w:rsidP="00B7540A">
      <w:pPr>
        <w:spacing w:line="276" w:lineRule="auto"/>
        <w:rPr>
          <w:lang w:val="hy-AM"/>
        </w:rPr>
      </w:pPr>
      <w:r w:rsidRPr="00B7540A">
        <w:rPr>
          <w:rFonts w:eastAsiaTheme="majorEastAsia"/>
          <w:b/>
          <w:iCs/>
          <w:u w:val="single"/>
          <w:lang w:val="hy-AM"/>
        </w:rPr>
        <w:t>Արտահանում:</w:t>
      </w:r>
      <w:r w:rsidRPr="00B7540A">
        <w:rPr>
          <w:rFonts w:eastAsiaTheme="majorEastAsia"/>
          <w:lang w:val="hy-AM"/>
        </w:rPr>
        <w:t xml:space="preserve"> </w:t>
      </w:r>
      <w:r w:rsidRPr="00B7540A">
        <w:rPr>
          <w:rFonts w:eastAsiaTheme="majorEastAsia"/>
          <w:b/>
          <w:bCs/>
          <w:lang w:val="hy-AM"/>
        </w:rPr>
        <w:t>2018-2019թթ. միջինում արձանագրվել է ապրանքների և ծառայությունների դոլարային արտահանման 13.9% աճ:</w:t>
      </w:r>
      <w:r w:rsidRPr="00B7540A">
        <w:rPr>
          <w:rFonts w:eastAsiaTheme="majorEastAsia"/>
          <w:lang w:val="hy-AM"/>
        </w:rPr>
        <w:t xml:space="preserve"> Ապրանքների  արտահանումը դրսևորել է առաջանցիկ աճ և միջինում կազմել է 17.4%՝ ծառայությունների արտահանման միջինում 9.6% աճի (հիմնականում՝ ճանապարհորդություն) համեմատ։</w:t>
      </w:r>
    </w:p>
    <w:p w14:paraId="61717FDB" w14:textId="77777777" w:rsidR="00B7540A" w:rsidRPr="00B7540A" w:rsidRDefault="00B7540A" w:rsidP="00B7540A">
      <w:pPr>
        <w:spacing w:line="276" w:lineRule="auto"/>
        <w:rPr>
          <w:lang w:val="hy-AM"/>
        </w:rPr>
      </w:pPr>
      <w:r w:rsidRPr="00B7540A">
        <w:rPr>
          <w:rFonts w:eastAsiaTheme="majorEastAsia"/>
          <w:b/>
          <w:bCs/>
          <w:lang w:val="hy-AM"/>
        </w:rPr>
        <w:t>2020թ</w:t>
      </w:r>
      <w:r w:rsidRPr="00B7540A">
        <w:rPr>
          <w:rFonts w:ascii="Cambria Math" w:eastAsiaTheme="majorEastAsia" w:hAnsi="Cambria Math" w:cs="Cambria Math"/>
          <w:b/>
          <w:bCs/>
          <w:lang w:val="hy-AM"/>
        </w:rPr>
        <w:t>․</w:t>
      </w:r>
      <w:r w:rsidRPr="00B7540A">
        <w:rPr>
          <w:rFonts w:eastAsiaTheme="majorEastAsia"/>
          <w:b/>
          <w:bCs/>
          <w:lang w:val="hy-AM"/>
        </w:rPr>
        <w:t xml:space="preserve"> արձանագրվել է արտահանման նվազում` հիմնականում պայմանավորված համավարակի հետևանքով տնտեսությունում արտադրության կրճատմամբ և արտաքին պահանջարկի նվազմամբ:</w:t>
      </w:r>
      <w:r w:rsidRPr="00B7540A">
        <w:rPr>
          <w:rFonts w:eastAsiaTheme="majorEastAsia"/>
          <w:lang w:val="hy-AM"/>
        </w:rPr>
        <w:t xml:space="preserve"> Չնայած տարեսկզբի աճի բարձր տեմպերին՝ դոլարային արտահայտությամբ ՀՀ ապրանքների արտահանումը 2020թ</w:t>
      </w:r>
      <w:r w:rsidRPr="00B7540A">
        <w:rPr>
          <w:rFonts w:ascii="Cambria Math" w:eastAsiaTheme="majorEastAsia" w:hAnsi="Cambria Math" w:cs="Cambria Math"/>
          <w:lang w:val="hy-AM"/>
        </w:rPr>
        <w:t>․</w:t>
      </w:r>
      <w:r w:rsidRPr="00B7540A">
        <w:rPr>
          <w:rFonts w:eastAsiaTheme="majorEastAsia"/>
          <w:lang w:val="hy-AM"/>
        </w:rPr>
        <w:t xml:space="preserve"> կրճատվել է 19.2%</w:t>
      </w:r>
      <w:r w:rsidRPr="00B7540A">
        <w:rPr>
          <w:rFonts w:eastAsiaTheme="majorEastAsia"/>
          <w:lang w:val="hy-AM"/>
        </w:rPr>
        <w:noBreakHyphen/>
        <w:t>ով: 2020թ</w:t>
      </w:r>
      <w:r w:rsidRPr="00B7540A">
        <w:rPr>
          <w:rFonts w:ascii="Cambria Math" w:eastAsiaTheme="majorEastAsia" w:hAnsi="Cambria Math" w:cs="Cambria Math"/>
          <w:lang w:val="hy-AM"/>
        </w:rPr>
        <w:t>․</w:t>
      </w:r>
      <w:r w:rsidRPr="00B7540A">
        <w:rPr>
          <w:rFonts w:eastAsiaTheme="majorEastAsia"/>
          <w:lang w:val="hy-AM"/>
        </w:rPr>
        <w:t xml:space="preserve"> համավարակով պայմանավորված տուրիզմի կտրուկ անկման հետևանքով ծառայությունների արտահանումը կրճատվել է 54.5%-ով:</w:t>
      </w:r>
    </w:p>
    <w:p w14:paraId="5A42E70C" w14:textId="77777777" w:rsidR="00B7540A" w:rsidRPr="00B7540A" w:rsidRDefault="00B7540A" w:rsidP="00B7540A">
      <w:pPr>
        <w:spacing w:line="276" w:lineRule="auto"/>
        <w:rPr>
          <w:lang w:val="hy-AM"/>
        </w:rPr>
      </w:pPr>
      <w:r w:rsidRPr="00B7540A">
        <w:rPr>
          <w:rFonts w:eastAsiaTheme="majorEastAsia"/>
          <w:b/>
          <w:bCs/>
          <w:lang w:val="hy-AM"/>
        </w:rPr>
        <w:tab/>
        <w:t>2021թ. ՀՀ ապրանքների արտահանումը սկսել է վերականգնվել</w:t>
      </w:r>
      <w:r w:rsidRPr="00B7540A">
        <w:rPr>
          <w:rFonts w:ascii="Cambria Math" w:eastAsiaTheme="majorEastAsia" w:hAnsi="Cambria Math" w:cs="Cambria Math"/>
          <w:b/>
          <w:bCs/>
          <w:lang w:val="hy-AM"/>
        </w:rPr>
        <w:t>․</w:t>
      </w:r>
      <w:r w:rsidRPr="00B7540A">
        <w:rPr>
          <w:rFonts w:eastAsiaTheme="majorEastAsia"/>
          <w:b/>
          <w:bCs/>
          <w:lang w:val="hy-AM"/>
        </w:rPr>
        <w:t xml:space="preserve"> հունվար-մայիս ամիսներին աճը կազմել է 20.8%</w:t>
      </w:r>
      <w:r w:rsidRPr="00B7540A">
        <w:rPr>
          <w:rFonts w:eastAsiaTheme="majorEastAsia"/>
          <w:lang w:val="hy-AM"/>
        </w:rPr>
        <w:t>, ինչը տեղի է ունեցել տնտեսական ակտիվության վերականգման, պղնձի համաշխարհային գների աճի և արտաքին պահանջարկի վերականգնման հաշվին: Ծառայությունների արտահանման ոլորտը շարունակում է կրել մեծ վնասներ. ծառայությունների արտահանումը 2021թ. առաջին եռամսյակում նախորդ տարվա համապատասխան ժամանակահատվածի նկատմամաբ նվազել է մոտ 45%-ով, որը հիմնականում պայմանավորված է զբոսաշրջության  մոտ 84.5% անկմամբ։</w:t>
      </w:r>
    </w:p>
    <w:p w14:paraId="53A6A62D" w14:textId="77777777" w:rsidR="00B7540A" w:rsidRPr="00586097" w:rsidRDefault="00B7540A" w:rsidP="00B7540A">
      <w:pPr>
        <w:pStyle w:val="afc"/>
        <w:spacing w:line="276" w:lineRule="auto"/>
      </w:pPr>
      <w:r w:rsidRPr="00586097">
        <w:rPr>
          <w:noProof/>
          <w:lang w:val="en-US"/>
        </w:rPr>
        <w:drawing>
          <wp:anchor distT="0" distB="0" distL="114300" distR="114300" simplePos="0" relativeHeight="251674112" behindDoc="1" locked="0" layoutInCell="1" allowOverlap="1" wp14:anchorId="127AF94E" wp14:editId="12BADE6F">
            <wp:simplePos x="0" y="0"/>
            <wp:positionH relativeFrom="margin">
              <wp:posOffset>3475355</wp:posOffset>
            </wp:positionH>
            <wp:positionV relativeFrom="paragraph">
              <wp:posOffset>316865</wp:posOffset>
            </wp:positionV>
            <wp:extent cx="3114675" cy="1809750"/>
            <wp:effectExtent l="0" t="0" r="9525" b="0"/>
            <wp:wrapTight wrapText="bothSides">
              <wp:wrapPolygon edited="0">
                <wp:start x="0" y="0"/>
                <wp:lineTo x="0" y="21373"/>
                <wp:lineTo x="21534" y="21373"/>
                <wp:lineTo x="21534" y="0"/>
                <wp:lineTo x="0" y="0"/>
              </wp:wrapPolygon>
            </wp:wrapTight>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14:sizeRelH relativeFrom="margin">
              <wp14:pctWidth>0</wp14:pctWidth>
            </wp14:sizeRelH>
          </wp:anchor>
        </w:drawing>
      </w:r>
      <w:r w:rsidRPr="00586097">
        <w:rPr>
          <w:noProof/>
          <w:lang w:val="en-US"/>
        </w:rPr>
        <w:drawing>
          <wp:anchor distT="0" distB="0" distL="114300" distR="114300" simplePos="0" relativeHeight="251658752" behindDoc="1" locked="0" layoutInCell="1" allowOverlap="1" wp14:anchorId="25F40B89" wp14:editId="1E6B5DFD">
            <wp:simplePos x="0" y="0"/>
            <wp:positionH relativeFrom="margin">
              <wp:align>left</wp:align>
            </wp:positionH>
            <wp:positionV relativeFrom="paragraph">
              <wp:posOffset>316865</wp:posOffset>
            </wp:positionV>
            <wp:extent cx="3524250" cy="1809750"/>
            <wp:effectExtent l="0" t="0" r="0" b="0"/>
            <wp:wrapTight wrapText="bothSides">
              <wp:wrapPolygon edited="0">
                <wp:start x="0" y="0"/>
                <wp:lineTo x="0" y="21373"/>
                <wp:lineTo x="21483" y="21373"/>
                <wp:lineTo x="21483" y="0"/>
                <wp:lineTo x="0" y="0"/>
              </wp:wrapPolygon>
            </wp:wrapTight>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margin">
              <wp14:pctWidth>0</wp14:pctWidth>
            </wp14:sizeRelH>
          </wp:anchor>
        </w:drawing>
      </w:r>
      <w:r w:rsidRPr="00586097">
        <w:t>Գծապատկեր 1.34</w:t>
      </w:r>
      <w:r w:rsidRPr="00586097">
        <w:rPr>
          <w:rFonts w:ascii="Cambria Math" w:hAnsi="Cambria Math" w:cs="Cambria Math"/>
        </w:rPr>
        <w:t>․</w:t>
      </w:r>
      <w:r w:rsidRPr="00586097">
        <w:t xml:space="preserve"> 2021թ. ապրանքների արտահանման միտումները, %</w:t>
      </w:r>
    </w:p>
    <w:p w14:paraId="3B41FEFD" w14:textId="77777777" w:rsidR="00B7540A" w:rsidRPr="00F30397" w:rsidRDefault="00B7540A" w:rsidP="00F30397">
      <w:pPr>
        <w:pStyle w:val="afd"/>
      </w:pPr>
      <w:r w:rsidRPr="00F30397">
        <w:t>Աղբյուրը՝ ՀՀ ՎԿ և ՀՀ ՖՆ հաշվարկներ:</w:t>
      </w:r>
    </w:p>
    <w:p w14:paraId="6DE0064D" w14:textId="77777777" w:rsidR="00B7540A" w:rsidRPr="00586097" w:rsidRDefault="00B7540A" w:rsidP="00B7540A">
      <w:pPr>
        <w:pStyle w:val="Heading3"/>
        <w:spacing w:line="276" w:lineRule="auto"/>
      </w:pPr>
    </w:p>
    <w:p w14:paraId="465EA25F" w14:textId="77777777" w:rsidR="00B7540A" w:rsidRPr="00B7540A" w:rsidRDefault="00B7540A" w:rsidP="00B7540A">
      <w:pPr>
        <w:spacing w:line="276" w:lineRule="auto"/>
        <w:rPr>
          <w:lang w:val="hy-AM"/>
        </w:rPr>
      </w:pPr>
      <w:r w:rsidRPr="00B7540A">
        <w:rPr>
          <w:rFonts w:eastAsiaTheme="majorEastAsia"/>
          <w:b/>
          <w:iCs/>
          <w:u w:val="single"/>
          <w:lang w:val="hy-AM"/>
        </w:rPr>
        <w:t>Կանխատեսում</w:t>
      </w:r>
      <w:r w:rsidRPr="00B7540A">
        <w:rPr>
          <w:rFonts w:eastAsiaTheme="majorEastAsia"/>
          <w:lang w:val="hy-AM"/>
        </w:rPr>
        <w:t xml:space="preserve">։ 2021թ. սպասվում է մոտ 18.2% արտահանման աճ, ինչը պայմանավորված է լինելու արտաքին պահանջարկի վերականգմամբ, մետաղների միջազգային գների աճով և դեպի Հայաստան ժամանման սահմանափակումների որոշակի թուլացմամբ։ Այդուհանդերձ՝ Սոթքի հանքավայրի շահագործման մասշտաբների կրճատումը և դեպի Արցախ արտահանման հետ կապված կորուստները ապրանքների արտահանման զսպող գործոններ կհանդիսանան, իսկ տուրիզմի հաշվին ծառայությունների արտահանման վերականգնումը կլինի համեմատաբար դանդաղ: Միջնաժամկետ հորիզոնում համաշխարհային և ՀՀ տնտեսական ակտիվության, պղնձի գների բարձր մակարդակով, զբոսաշրջության աստիճանական վերականգնմամբ և արտահանման ու ներդրումների խրախուսմանն ուղղված ՀՀ կառավարության քաղաքականությանը համահունչ ակնկալվում է ապրանքների և ծառայությունների արտահանման 12.5% միջին աճ: </w:t>
      </w:r>
    </w:p>
    <w:p w14:paraId="3787EDA7" w14:textId="77777777" w:rsidR="00B7540A" w:rsidRPr="00B7540A" w:rsidRDefault="00B7540A" w:rsidP="00B7540A">
      <w:pPr>
        <w:spacing w:line="276" w:lineRule="auto"/>
        <w:rPr>
          <w:lang w:val="hy-AM"/>
        </w:rPr>
      </w:pPr>
      <w:r w:rsidRPr="00B7540A">
        <w:rPr>
          <w:rFonts w:eastAsiaTheme="majorEastAsia"/>
          <w:b/>
          <w:iCs/>
          <w:u w:val="single"/>
          <w:lang w:val="hy-AM"/>
        </w:rPr>
        <w:t>Ներմուծում</w:t>
      </w:r>
      <w:r w:rsidRPr="00B7540A">
        <w:rPr>
          <w:rFonts w:eastAsiaTheme="majorEastAsia"/>
          <w:lang w:val="hy-AM"/>
        </w:rPr>
        <w:t xml:space="preserve">: </w:t>
      </w:r>
      <w:r w:rsidRPr="00B7540A">
        <w:rPr>
          <w:rFonts w:eastAsiaTheme="majorEastAsia"/>
          <w:b/>
          <w:bCs/>
          <w:lang w:val="hy-AM"/>
        </w:rPr>
        <w:t xml:space="preserve">2018-2019թթ. միջինում արձանագրվել է ապրանքների և ծառայությունների դոլարային ներմուծման 15.3% աճ, </w:t>
      </w:r>
      <w:r w:rsidRPr="00B7540A">
        <w:rPr>
          <w:rFonts w:eastAsiaTheme="majorEastAsia"/>
          <w:lang w:val="hy-AM"/>
        </w:rPr>
        <w:t xml:space="preserve">ընդ որում՝ և՛ ապրանքների, և՛ ծառայությունների ներմուծման աճը եղել է գրեթե համաչափ՝ միջինում շուրջ 15%: Նշված տարիների ընթացքում ներմուծման աճին հիմնականում նպաստել է մարդատար ավտոմեքենաների և միջանկյալ սպառման ապրանքների ներմուծումը, նշանակալի էր նաև կապիտալ բնույթի ապրանքների դերը, իսկ ծառայություններն աճել են հիմնականում ճանապարհորդության հաշվին։ </w:t>
      </w:r>
    </w:p>
    <w:p w14:paraId="74B50305" w14:textId="77777777" w:rsidR="00B7540A" w:rsidRPr="00B7540A" w:rsidRDefault="00B7540A" w:rsidP="00B7540A">
      <w:pPr>
        <w:spacing w:line="276" w:lineRule="auto"/>
        <w:rPr>
          <w:lang w:val="hy-AM"/>
        </w:rPr>
      </w:pPr>
      <w:r w:rsidRPr="00B7540A">
        <w:rPr>
          <w:rFonts w:eastAsiaTheme="majorEastAsia"/>
          <w:b/>
          <w:bCs/>
          <w:lang w:val="hy-AM"/>
        </w:rPr>
        <w:t>2020թ</w:t>
      </w:r>
      <w:r w:rsidRPr="00B7540A">
        <w:rPr>
          <w:rFonts w:ascii="Cambria Math" w:eastAsiaTheme="majorEastAsia" w:hAnsi="Cambria Math" w:cs="Cambria Math"/>
          <w:b/>
          <w:bCs/>
          <w:lang w:val="hy-AM"/>
        </w:rPr>
        <w:t>․</w:t>
      </w:r>
      <w:r w:rsidRPr="00B7540A">
        <w:rPr>
          <w:rFonts w:eastAsiaTheme="majorEastAsia"/>
          <w:b/>
          <w:bCs/>
          <w:lang w:val="hy-AM"/>
        </w:rPr>
        <w:t xml:space="preserve"> արձանագրվել է ապրանքների ներմուծման 20% անկում`</w:t>
      </w:r>
      <w:r w:rsidRPr="00B7540A">
        <w:rPr>
          <w:rFonts w:eastAsiaTheme="majorEastAsia"/>
          <w:lang w:val="hy-AM"/>
        </w:rPr>
        <w:t xml:space="preserve"> հիմնականում ավտոմեքենաների ներկրման մաքսատուրքերի բարձրացման սպասումներով պայմանավորված նախորդ տարի ավտոմեքենաների ներմուծման աննախադեպ բարձր աճի հետևանքով 2020թ</w:t>
      </w:r>
      <w:r w:rsidRPr="00B7540A">
        <w:rPr>
          <w:rFonts w:ascii="Cambria Math" w:eastAsiaTheme="majorEastAsia" w:hAnsi="Cambria Math" w:cs="Cambria Math"/>
          <w:lang w:val="hy-AM"/>
        </w:rPr>
        <w:t>․</w:t>
      </w:r>
      <w:r w:rsidRPr="00B7540A">
        <w:rPr>
          <w:rFonts w:eastAsiaTheme="majorEastAsia"/>
          <w:lang w:val="hy-AM"/>
        </w:rPr>
        <w:t>դրանց ներմուծման ծավալների նվազմամբ, ինչպես նաև համավարակի ու Արցախյան պատերազմի հետևանքներով տնտեսական ակտիվության անկման պայմաններում ներքին պահանջարկի նվազմամբ։ Ծառայությունների ներմուծման նվազումը 2020թ. կազմել է 59.8% և հիմնականում պայմանավորվել է համավարկի հետ կապված սահմանափակումների հետևանքով ճանապարհորդության կտրուկ անկմամբ (մոտ 80%):</w:t>
      </w:r>
    </w:p>
    <w:p w14:paraId="5F41D179" w14:textId="77777777" w:rsidR="00B7540A" w:rsidRPr="00B7540A" w:rsidRDefault="00B7540A" w:rsidP="00B7540A">
      <w:pPr>
        <w:spacing w:line="276" w:lineRule="auto"/>
        <w:rPr>
          <w:lang w:val="hy-AM"/>
        </w:rPr>
      </w:pPr>
      <w:r w:rsidRPr="00B7540A">
        <w:rPr>
          <w:rFonts w:eastAsiaTheme="majorEastAsia"/>
          <w:b/>
          <w:bCs/>
          <w:lang w:val="hy-AM"/>
        </w:rPr>
        <w:t>Չնայած տարեսկզբի նվազման տեմպերին 2021թ. հունվար-մայիսին արձանագրվել է ապրանքների ներմուծման 6.7% աճ</w:t>
      </w:r>
      <w:r w:rsidRPr="00B7540A">
        <w:rPr>
          <w:rFonts w:eastAsiaTheme="majorEastAsia"/>
          <w:lang w:val="hy-AM"/>
        </w:rPr>
        <w:t xml:space="preserve">՝ հիմնականում պայմանավորված տնտեսական ակտիվության աստիճանական վերականգնման պայմաններում ներքին պահանջարկի վերականգնմամբ: 2021թ. առաջին եռամսյակում ծառայությունների ներմուծումը շարունակել է անկում ապրել՝ հիմնականում ճանապարհորդության խորը անկման (շուրջ 90%) հաշվին: </w:t>
      </w:r>
    </w:p>
    <w:p w14:paraId="7B0DF621" w14:textId="77777777" w:rsidR="00B7540A" w:rsidRPr="00586097" w:rsidRDefault="00B7540A" w:rsidP="00B7540A">
      <w:pPr>
        <w:pStyle w:val="afc"/>
        <w:spacing w:line="276" w:lineRule="auto"/>
      </w:pPr>
      <w:r w:rsidRPr="00586097">
        <w:rPr>
          <w:noProof/>
          <w:lang w:val="en-US"/>
        </w:rPr>
        <w:drawing>
          <wp:anchor distT="0" distB="0" distL="114300" distR="114300" simplePos="0" relativeHeight="251652608" behindDoc="1" locked="0" layoutInCell="1" allowOverlap="1" wp14:anchorId="180176DF" wp14:editId="0B3A1930">
            <wp:simplePos x="0" y="0"/>
            <wp:positionH relativeFrom="margin">
              <wp:posOffset>-181610</wp:posOffset>
            </wp:positionH>
            <wp:positionV relativeFrom="paragraph">
              <wp:posOffset>354965</wp:posOffset>
            </wp:positionV>
            <wp:extent cx="3429000" cy="2066925"/>
            <wp:effectExtent l="0" t="0" r="0" b="9525"/>
            <wp:wrapTight wrapText="bothSides">
              <wp:wrapPolygon edited="0">
                <wp:start x="0" y="0"/>
                <wp:lineTo x="0" y="21500"/>
                <wp:lineTo x="21480" y="21500"/>
                <wp:lineTo x="21480" y="0"/>
                <wp:lineTo x="0" y="0"/>
              </wp:wrapPolygon>
            </wp:wrapTight>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H relativeFrom="margin">
              <wp14:pctWidth>0</wp14:pctWidth>
            </wp14:sizeRelH>
          </wp:anchor>
        </w:drawing>
      </w:r>
      <w:r w:rsidRPr="00586097">
        <w:rPr>
          <w:noProof/>
          <w:lang w:val="en-US"/>
        </w:rPr>
        <w:drawing>
          <wp:anchor distT="0" distB="0" distL="114300" distR="114300" simplePos="0" relativeHeight="251655680" behindDoc="1" locked="0" layoutInCell="1" allowOverlap="1" wp14:anchorId="4EE5078D" wp14:editId="435F8024">
            <wp:simplePos x="0" y="0"/>
            <wp:positionH relativeFrom="margin">
              <wp:posOffset>3314065</wp:posOffset>
            </wp:positionH>
            <wp:positionV relativeFrom="paragraph">
              <wp:posOffset>345440</wp:posOffset>
            </wp:positionV>
            <wp:extent cx="3257550" cy="2057400"/>
            <wp:effectExtent l="0" t="0" r="0" b="0"/>
            <wp:wrapTight wrapText="bothSides">
              <wp:wrapPolygon edited="0">
                <wp:start x="0" y="0"/>
                <wp:lineTo x="0" y="21400"/>
                <wp:lineTo x="21474" y="21400"/>
                <wp:lineTo x="21474" y="0"/>
                <wp:lineTo x="0" y="0"/>
              </wp:wrapPolygon>
            </wp:wrapTight>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margin">
              <wp14:pctWidth>0</wp14:pctWidth>
            </wp14:sizeRelH>
          </wp:anchor>
        </w:drawing>
      </w:r>
      <w:r w:rsidRPr="00586097">
        <w:t>Գծապատկեր 1.35</w:t>
      </w:r>
      <w:r w:rsidRPr="00586097">
        <w:rPr>
          <w:rFonts w:ascii="Cambria Math" w:hAnsi="Cambria Math" w:cs="Cambria Math"/>
        </w:rPr>
        <w:t>․</w:t>
      </w:r>
      <w:r w:rsidRPr="00586097">
        <w:t xml:space="preserve"> 2021թ. ապրանքների ներմուծման միտումները, %</w:t>
      </w:r>
    </w:p>
    <w:p w14:paraId="61A854C2" w14:textId="77777777" w:rsidR="00B7540A" w:rsidRPr="00F30397" w:rsidRDefault="00B7540A" w:rsidP="00F30397">
      <w:pPr>
        <w:pStyle w:val="afd"/>
      </w:pPr>
      <w:r w:rsidRPr="00F30397">
        <w:t xml:space="preserve">Աղբյուրը՝ ՀՀ ՎԿ և ՀՀ ՖՆ հաշվարկներ:  </w:t>
      </w:r>
    </w:p>
    <w:p w14:paraId="11C89196" w14:textId="77777777" w:rsidR="00B7540A" w:rsidRPr="00B7540A" w:rsidRDefault="00B7540A" w:rsidP="00B7540A">
      <w:pPr>
        <w:spacing w:line="276" w:lineRule="auto"/>
        <w:rPr>
          <w:lang w:val="hy-AM"/>
        </w:rPr>
      </w:pPr>
    </w:p>
    <w:p w14:paraId="5685EBAD" w14:textId="77777777" w:rsidR="00B7540A" w:rsidRPr="00B7540A" w:rsidRDefault="00B7540A" w:rsidP="00B7540A">
      <w:pPr>
        <w:spacing w:line="276" w:lineRule="auto"/>
        <w:rPr>
          <w:lang w:val="hy-AM"/>
        </w:rPr>
      </w:pPr>
      <w:r w:rsidRPr="00B7540A">
        <w:rPr>
          <w:rFonts w:eastAsiaTheme="majorEastAsia"/>
          <w:b/>
          <w:iCs/>
          <w:u w:val="single"/>
          <w:lang w:val="hy-AM"/>
        </w:rPr>
        <w:t>Կանխատեսում</w:t>
      </w:r>
      <w:r w:rsidRPr="00B7540A">
        <w:rPr>
          <w:rFonts w:eastAsiaTheme="majorEastAsia"/>
          <w:lang w:val="hy-AM"/>
        </w:rPr>
        <w:t>։ Ապրանքների և ծառայությունների նկատմամբ ներքին պահանջարկի աստիճանական վերականգմամբ պայմանավորված 2021թ. սպասվում է շուրջ 16% ներմուծման աճ: Միջնաժամկետում ՀՀ տնտեսության աճի և ներքին պահանջարկի ինչպես նաև զբոսաշրջության վերականգմանը զուգընթաց ներմուծման աճը միջինում կկազմի մոտ 12%:</w:t>
      </w:r>
    </w:p>
    <w:p w14:paraId="6AAF30EC" w14:textId="77777777" w:rsidR="00B7540A" w:rsidRPr="00586097" w:rsidRDefault="00B7540A" w:rsidP="00B7540A">
      <w:pPr>
        <w:pStyle w:val="afc"/>
        <w:spacing w:line="276" w:lineRule="auto"/>
      </w:pPr>
      <w:r w:rsidRPr="00586097">
        <w:rPr>
          <w:noProof/>
          <w:lang w:val="en-US"/>
        </w:rPr>
        <w:drawing>
          <wp:anchor distT="0" distB="0" distL="114300" distR="114300" simplePos="0" relativeHeight="251683328" behindDoc="1" locked="0" layoutInCell="1" allowOverlap="1" wp14:anchorId="41C3CFB4" wp14:editId="1003F214">
            <wp:simplePos x="0" y="0"/>
            <wp:positionH relativeFrom="column">
              <wp:posOffset>-1905</wp:posOffset>
            </wp:positionH>
            <wp:positionV relativeFrom="paragraph">
              <wp:posOffset>496432</wp:posOffset>
            </wp:positionV>
            <wp:extent cx="3048000" cy="2219325"/>
            <wp:effectExtent l="0" t="0" r="0" b="9525"/>
            <wp:wrapTight wrapText="bothSides">
              <wp:wrapPolygon edited="0">
                <wp:start x="0" y="0"/>
                <wp:lineTo x="0" y="21507"/>
                <wp:lineTo x="21465" y="21507"/>
                <wp:lineTo x="21465" y="0"/>
                <wp:lineTo x="0" y="0"/>
              </wp:wrapPolygon>
            </wp:wrapTight>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anchor>
        </w:drawing>
      </w:r>
      <w:r w:rsidRPr="00586097">
        <w:rPr>
          <w:noProof/>
          <w:lang w:val="en-US"/>
        </w:rPr>
        <w:drawing>
          <wp:anchor distT="0" distB="0" distL="114300" distR="114300" simplePos="0" relativeHeight="251680256" behindDoc="1" locked="0" layoutInCell="1" allowOverlap="1" wp14:anchorId="026A99E6" wp14:editId="4E9EBB9C">
            <wp:simplePos x="0" y="0"/>
            <wp:positionH relativeFrom="column">
              <wp:posOffset>3162300</wp:posOffset>
            </wp:positionH>
            <wp:positionV relativeFrom="paragraph">
              <wp:posOffset>486631</wp:posOffset>
            </wp:positionV>
            <wp:extent cx="3237865" cy="2228850"/>
            <wp:effectExtent l="0" t="0" r="635" b="0"/>
            <wp:wrapTight wrapText="bothSides">
              <wp:wrapPolygon edited="0">
                <wp:start x="0" y="0"/>
                <wp:lineTo x="0" y="21415"/>
                <wp:lineTo x="21477" y="21415"/>
                <wp:lineTo x="21477" y="0"/>
                <wp:lineTo x="0" y="0"/>
              </wp:wrapPolygon>
            </wp:wrapTight>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anchor>
        </w:drawing>
      </w:r>
      <w:r w:rsidRPr="00586097">
        <w:t>Գծապարկեր 1.36</w:t>
      </w:r>
      <w:r w:rsidRPr="00586097">
        <w:rPr>
          <w:rFonts w:ascii="Cambria Math" w:hAnsi="Cambria Math" w:cs="Cambria Math"/>
        </w:rPr>
        <w:t>․</w:t>
      </w:r>
      <w:r w:rsidRPr="00586097">
        <w:t xml:space="preserve">ՀՀ ապրանքների և ծառայությունների արտահանման և ներմուծման միտումները ՀՖՃ տարիներին և  2017-2023թթ., %  </w:t>
      </w:r>
    </w:p>
    <w:p w14:paraId="5DF4CF35" w14:textId="77777777" w:rsidR="00B7540A" w:rsidRPr="00F30397" w:rsidRDefault="00B7540A" w:rsidP="00F30397">
      <w:pPr>
        <w:pStyle w:val="afd"/>
      </w:pPr>
      <w:r w:rsidRPr="00F30397">
        <w:t>Աղբյուր՝ ՀՀ ՎԿ և  ՀՀ ՖՆ հաշվարկներ և կանխաեսումներ:</w:t>
      </w:r>
    </w:p>
    <w:p w14:paraId="13BE1FAA" w14:textId="77777777" w:rsidR="00B7540A" w:rsidRPr="00B7540A" w:rsidRDefault="00B7540A" w:rsidP="00B7540A">
      <w:pPr>
        <w:pStyle w:val="Heading6"/>
        <w:spacing w:line="276" w:lineRule="auto"/>
        <w:rPr>
          <w:rFonts w:ascii="GHEA Grapalat" w:hAnsi="GHEA Grapalat"/>
          <w:lang w:val="hy-AM"/>
        </w:rPr>
      </w:pPr>
      <w:r w:rsidRPr="00B7540A">
        <w:rPr>
          <w:rFonts w:ascii="GHEA Grapalat" w:hAnsi="GHEA Grapalat"/>
          <w:lang w:val="hy-AM"/>
        </w:rPr>
        <w:t>Փոխարժեքներ</w:t>
      </w:r>
    </w:p>
    <w:p w14:paraId="7FD17673" w14:textId="77777777" w:rsidR="00B7540A" w:rsidRPr="00B7540A" w:rsidRDefault="00B7540A" w:rsidP="00B7540A">
      <w:pPr>
        <w:spacing w:line="276" w:lineRule="auto"/>
        <w:rPr>
          <w:lang w:val="hy-AM"/>
        </w:rPr>
      </w:pPr>
      <w:r w:rsidRPr="00B7540A">
        <w:rPr>
          <w:rFonts w:eastAsiaTheme="majorEastAsia"/>
          <w:b/>
          <w:bCs/>
          <w:lang w:val="hy-AM"/>
        </w:rPr>
        <w:t>2018-2020թթ. միջինում ՀՀ դրամն ԱՄՆ դոլարի և եվրոյի նկատմամբ դրսևորել է թույլ արժեզրկման վարքագիծ, իսկ ռուբլու նկատմամբ արժևորվել է:</w:t>
      </w:r>
      <w:r w:rsidRPr="00B7540A">
        <w:rPr>
          <w:rFonts w:eastAsiaTheme="majorEastAsia"/>
          <w:lang w:val="hy-AM"/>
        </w:rPr>
        <w:t xml:space="preserve"> Համավարակով պայմանավորված ՀՀ փոխարժեքի շուկայում 2020թ</w:t>
      </w:r>
      <w:r w:rsidRPr="00B7540A">
        <w:rPr>
          <w:rFonts w:ascii="Cambria Math" w:eastAsiaTheme="majorEastAsia" w:hAnsi="Cambria Math" w:cs="Cambria Math"/>
          <w:lang w:val="hy-AM"/>
        </w:rPr>
        <w:t>․</w:t>
      </w:r>
      <w:r w:rsidRPr="00B7540A">
        <w:rPr>
          <w:rFonts w:eastAsiaTheme="majorEastAsia"/>
          <w:lang w:val="hy-AM"/>
        </w:rPr>
        <w:t xml:space="preserve"> նկատվել են արժեզրկման ճնշումներ՝ առավելագույն արժեքին հասելով ապրիլի 1-ին, որից հետո ՀՀ ԿԲ-ի համարժեք արձագանքման, ինչպես նաև միջազգային ֆինանսական շուկաների հարաբերականորեն կայունացման արդյունքում դրամն աստիճանաբար կայունացել է</w:t>
      </w:r>
      <w:r w:rsidRPr="00B7540A">
        <w:rPr>
          <w:rFonts w:ascii="Cambria Math" w:eastAsiaTheme="majorEastAsia" w:hAnsi="Cambria Math" w:cs="Cambria Math"/>
          <w:lang w:val="hy-AM"/>
        </w:rPr>
        <w:t>․</w:t>
      </w:r>
      <w:r w:rsidRPr="00B7540A">
        <w:rPr>
          <w:rFonts w:eastAsiaTheme="majorEastAsia"/>
          <w:lang w:val="hy-AM"/>
        </w:rPr>
        <w:t xml:space="preserve"> միջին փոխարժեքը կազմել է 489.0 դրամ մեկ ԱՄՆ դոլարի դիմաց՝ նախորդ տարվա միջին փոխարժեքի (480.4) նկատմամբ արժեզրկվելով 1.8%-ով: Եվրոյի նկատմամբ ՀՀ դրամի փոխարժեքի 2020թ</w:t>
      </w:r>
      <w:r w:rsidRPr="00B7540A">
        <w:rPr>
          <w:rFonts w:ascii="Cambria Math" w:eastAsiaTheme="majorEastAsia" w:hAnsi="Cambria Math" w:cs="Cambria Math"/>
          <w:lang w:val="hy-AM"/>
        </w:rPr>
        <w:t>․</w:t>
      </w:r>
      <w:r w:rsidRPr="00B7540A">
        <w:rPr>
          <w:rFonts w:eastAsiaTheme="majorEastAsia"/>
          <w:lang w:val="hy-AM"/>
        </w:rPr>
        <w:t xml:space="preserve"> տարեսկզբի արժևորումից հետո հունիս ամսից սկսել է արժեզրկվել. նախորդ տարվա համեմատությամբ 2020թ</w:t>
      </w:r>
      <w:r w:rsidRPr="00B7540A">
        <w:rPr>
          <w:rFonts w:ascii="Cambria Math" w:eastAsiaTheme="majorEastAsia" w:hAnsi="Cambria Math" w:cs="Cambria Math"/>
          <w:lang w:val="hy-AM"/>
        </w:rPr>
        <w:t>․</w:t>
      </w:r>
      <w:r w:rsidRPr="00B7540A">
        <w:rPr>
          <w:rFonts w:eastAsiaTheme="majorEastAsia"/>
          <w:lang w:val="hy-AM"/>
        </w:rPr>
        <w:t xml:space="preserve"> միջին արժեքով ՀՀ դրամը եվրոյի նկատմամբ արժեզրկվել է 3.6%-ով: ՀՀ դրամը ՌԴ ռուբլու նկատմամբ 2020թ</w:t>
      </w:r>
      <w:r w:rsidRPr="00B7540A">
        <w:rPr>
          <w:rFonts w:ascii="Cambria Math" w:eastAsiaTheme="majorEastAsia" w:hAnsi="Cambria Math" w:cs="Cambria Math"/>
          <w:lang w:val="hy-AM"/>
        </w:rPr>
        <w:t>․</w:t>
      </w:r>
      <w:r w:rsidRPr="00B7540A">
        <w:rPr>
          <w:rFonts w:eastAsiaTheme="majorEastAsia"/>
          <w:lang w:val="hy-AM"/>
        </w:rPr>
        <w:t xml:space="preserve"> մարտ ամսից սկսել է բարձր տեմպերով արժևորվել և 2020թ</w:t>
      </w:r>
      <w:r w:rsidRPr="00B7540A">
        <w:rPr>
          <w:rFonts w:ascii="Cambria Math" w:eastAsiaTheme="majorEastAsia" w:hAnsi="Cambria Math" w:cs="Cambria Math"/>
          <w:lang w:val="hy-AM"/>
        </w:rPr>
        <w:t>․</w:t>
      </w:r>
      <w:r w:rsidRPr="00B7540A">
        <w:rPr>
          <w:rFonts w:eastAsiaTheme="majorEastAsia"/>
          <w:lang w:val="hy-AM"/>
        </w:rPr>
        <w:t xml:space="preserve"> ՀՀ դրամի միջին փոխարժեքը ՌԴ ռուբլու նկատմամբ նախորդ տարվա համեմատությամբ արժևորվել է 9.4%-ով:</w:t>
      </w:r>
    </w:p>
    <w:p w14:paraId="21BA14BD" w14:textId="77777777" w:rsidR="00B7540A" w:rsidRPr="00B7540A" w:rsidRDefault="00B7540A" w:rsidP="00B7540A">
      <w:pPr>
        <w:spacing w:line="276" w:lineRule="auto"/>
        <w:rPr>
          <w:lang w:val="hy-AM"/>
        </w:rPr>
      </w:pPr>
      <w:r w:rsidRPr="00B7540A">
        <w:rPr>
          <w:rFonts w:eastAsiaTheme="majorEastAsia"/>
          <w:b/>
          <w:bCs/>
          <w:lang w:val="hy-AM"/>
        </w:rPr>
        <w:t>2021թ</w:t>
      </w:r>
      <w:r w:rsidRPr="00B7540A">
        <w:rPr>
          <w:rFonts w:ascii="Cambria Math" w:eastAsiaTheme="majorEastAsia" w:hAnsi="Cambria Math" w:cs="Cambria Math"/>
          <w:b/>
          <w:bCs/>
          <w:lang w:val="hy-AM"/>
        </w:rPr>
        <w:t>․</w:t>
      </w:r>
      <w:r w:rsidRPr="00B7540A">
        <w:rPr>
          <w:rFonts w:eastAsiaTheme="majorEastAsia"/>
          <w:b/>
          <w:bCs/>
          <w:lang w:val="hy-AM"/>
        </w:rPr>
        <w:t xml:space="preserve"> հունվար-հունիս ամիսներին ՀՀ դրամը շարունակել է արժեզրկվել՝ հիմնականում պայմանավորված համավարակի և Արցախյան պատերազմի հետևանքով ձևավորված սպասումներով։</w:t>
      </w:r>
      <w:r w:rsidRPr="00B7540A">
        <w:rPr>
          <w:rFonts w:eastAsiaTheme="majorEastAsia"/>
          <w:lang w:val="hy-AM"/>
        </w:rPr>
        <w:t xml:space="preserve"> ԱՄՆ դոլարի և Եվրոյի նկատմամբ ՀՀ դրամը 2021թ</w:t>
      </w:r>
      <w:r w:rsidRPr="00B7540A">
        <w:rPr>
          <w:rFonts w:ascii="Cambria Math" w:eastAsiaTheme="majorEastAsia" w:hAnsi="Cambria Math" w:cs="Cambria Math"/>
          <w:lang w:val="hy-AM"/>
        </w:rPr>
        <w:t>․</w:t>
      </w:r>
      <w:r w:rsidRPr="00B7540A">
        <w:rPr>
          <w:rFonts w:eastAsiaTheme="majorEastAsia"/>
          <w:lang w:val="hy-AM"/>
        </w:rPr>
        <w:t xml:space="preserve"> հունվար-հունիս ամիսներին նախորդ տարվա նույն ժամանակահատվածի համեմատ արժեզրկվել է, համապատասխանաբար՝ 7.4% և 15.4%-ով։ Ընթացիկ տարվա վեց ամիսների ընթացքում՝ ՀՀ ԿԲ համապատասխան արձագանքման (վերաֆինանսավորման տոկոսադրույքի բարձրացում և արտարժույթի ներարկում) ԱՄՆ դոլարի նկատմամբ ՀՀ դրամը դրսևորել է հարաբերականորեն կայուն վարքագիծ: </w:t>
      </w:r>
    </w:p>
    <w:p w14:paraId="7ABA4CFB" w14:textId="77777777" w:rsidR="00B7540A" w:rsidRPr="00B7540A" w:rsidRDefault="00B7540A" w:rsidP="00B7540A">
      <w:pPr>
        <w:spacing w:line="276" w:lineRule="auto"/>
        <w:rPr>
          <w:lang w:val="hy-AM"/>
        </w:rPr>
      </w:pPr>
      <w:r w:rsidRPr="00B7540A">
        <w:rPr>
          <w:rFonts w:eastAsiaTheme="majorEastAsia"/>
          <w:lang w:val="hy-AM"/>
        </w:rPr>
        <w:t>ՀՀ դրամի միջին փոխարժեքը ՌԴ ռուբլու նկատմամբ 2021թ</w:t>
      </w:r>
      <w:r w:rsidRPr="00B7540A">
        <w:rPr>
          <w:rFonts w:ascii="Cambria Math" w:eastAsiaTheme="majorEastAsia" w:hAnsi="Cambria Math" w:cs="Cambria Math"/>
          <w:lang w:val="hy-AM"/>
        </w:rPr>
        <w:t>․</w:t>
      </w:r>
      <w:r w:rsidRPr="00B7540A">
        <w:rPr>
          <w:rFonts w:eastAsiaTheme="majorEastAsia"/>
          <w:lang w:val="hy-AM"/>
        </w:rPr>
        <w:t xml:space="preserve"> հունվար-հունիս ամիսներին  արժեզրկվել է նախորդ տարվա համեմատությամբ 0.5%-ով։ Ընդ որում՝ պայմանավորված միջազգային շուկայում ՌԴ ռուբլու արժեզրկմամբ, հունվար-փետրվար ամիսներին ՀՀ դրամը ռուբլու նկատմամբ նախորդ տարվա համապատասխան ամիսների համեմատ արժևորվել (միջինում շուրջ 8%-ով), իսկ մարտ-հունիս ամսիներին՝ պայմանավորված միջազգային շուկայում ռուբլու փոխարժեքի կայունացմամբ, դրամն արժեզրկվել է միջինում մոտ 5%-ով։ </w:t>
      </w:r>
    </w:p>
    <w:p w14:paraId="58282D79" w14:textId="77777777" w:rsidR="00B7540A" w:rsidRPr="00B7540A" w:rsidRDefault="00B7540A" w:rsidP="00B7540A">
      <w:pPr>
        <w:spacing w:line="276" w:lineRule="auto"/>
        <w:rPr>
          <w:rFonts w:eastAsiaTheme="majorEastAsia"/>
          <w:lang w:val="hy-AM"/>
        </w:rPr>
      </w:pPr>
      <w:r w:rsidRPr="00B7540A">
        <w:rPr>
          <w:rFonts w:eastAsiaTheme="majorEastAsia"/>
          <w:b/>
          <w:bCs/>
          <w:lang w:val="hy-AM"/>
        </w:rPr>
        <w:t>ՀՀ արտաքին առևտրի տեսանկյունից առավել կարևոր արժույթներից բաղկացած զամբյուղի նկատմամբ ՀՀ ազգային արժույթն իրական արտահայտությամբ 2018-2020թթ. միջինում արժևորվել է 3.1%-ով:</w:t>
      </w:r>
      <w:r w:rsidRPr="00B7540A">
        <w:rPr>
          <w:rFonts w:eastAsiaTheme="majorEastAsia"/>
          <w:lang w:val="hy-AM"/>
        </w:rPr>
        <w:t xml:space="preserve"> Իրական արդյունավետ փոխարժեքի արժևորման միտումը 2020թ. թուլացել է</w:t>
      </w:r>
      <w:r w:rsidRPr="00B7540A">
        <w:rPr>
          <w:rFonts w:ascii="Cambria Math" w:eastAsiaTheme="majorEastAsia" w:hAnsi="Cambria Math" w:cs="Cambria Math"/>
          <w:lang w:val="hy-AM"/>
        </w:rPr>
        <w:t>․</w:t>
      </w:r>
      <w:r w:rsidRPr="00B7540A">
        <w:rPr>
          <w:rFonts w:eastAsiaTheme="majorEastAsia"/>
          <w:lang w:val="hy-AM"/>
        </w:rPr>
        <w:t xml:space="preserve">դրամն արժևորվել է 1.7%-ով, իսկ անվանական արտահայտությամբ՝ 4.2%-ով: </w:t>
      </w:r>
    </w:p>
    <w:p w14:paraId="18655134" w14:textId="77777777" w:rsidR="00B7540A" w:rsidRPr="00B7540A" w:rsidRDefault="00B7540A" w:rsidP="00B7540A">
      <w:pPr>
        <w:spacing w:line="276" w:lineRule="auto"/>
        <w:rPr>
          <w:lang w:val="hy-AM"/>
        </w:rPr>
      </w:pPr>
      <w:r w:rsidRPr="00B7540A">
        <w:rPr>
          <w:rFonts w:eastAsiaTheme="majorEastAsia"/>
          <w:b/>
          <w:bCs/>
          <w:lang w:val="hy-AM"/>
        </w:rPr>
        <w:t>2021թ.-ի սկզբից  դրամը դրսևորել է արժեզրկման վարքագիծ</w:t>
      </w:r>
      <w:r w:rsidRPr="00B7540A">
        <w:rPr>
          <w:rFonts w:ascii="Cambria Math" w:eastAsiaTheme="majorEastAsia" w:hAnsi="Cambria Math" w:cs="Cambria Math"/>
          <w:b/>
          <w:bCs/>
          <w:lang w:val="hy-AM"/>
        </w:rPr>
        <w:t>․</w:t>
      </w:r>
      <w:r w:rsidRPr="00B7540A">
        <w:rPr>
          <w:rFonts w:eastAsiaTheme="majorEastAsia" w:cs="Cambria Math"/>
          <w:lang w:val="hy-AM"/>
        </w:rPr>
        <w:t xml:space="preserve"> </w:t>
      </w:r>
      <w:r w:rsidRPr="00B7540A">
        <w:rPr>
          <w:rFonts w:eastAsiaTheme="majorEastAsia"/>
          <w:lang w:val="hy-AM"/>
        </w:rPr>
        <w:t>հունվար-ապրիլ ամիսներին ՀՀ դրամի իրական արդյունավետ փոխարժեքի արժեզրկումը կազմել է 5.3%, իսկ անվանականը՝ 5.5%, ինչը, այլ հավասար պայմաններում, իր դրական ազդեցությունը կթողնի առևտրային հաշվեկշռի վրա:</w:t>
      </w:r>
    </w:p>
    <w:p w14:paraId="01E8EDFE" w14:textId="77777777" w:rsidR="00B7540A" w:rsidRPr="00586097" w:rsidRDefault="00B7540A" w:rsidP="00B7540A">
      <w:pPr>
        <w:pStyle w:val="Heading3"/>
        <w:spacing w:line="276" w:lineRule="auto"/>
      </w:pPr>
    </w:p>
    <w:tbl>
      <w:tblPr>
        <w:tblStyle w:val="TableGrid91"/>
        <w:tblW w:w="10124" w:type="dxa"/>
        <w:tblLook w:val="04A0" w:firstRow="1" w:lastRow="0" w:firstColumn="1" w:lastColumn="0" w:noHBand="0" w:noVBand="1"/>
      </w:tblPr>
      <w:tblGrid>
        <w:gridCol w:w="5106"/>
        <w:gridCol w:w="5018"/>
      </w:tblGrid>
      <w:tr w:rsidR="00B7540A" w:rsidRPr="005849E3" w14:paraId="2B270530" w14:textId="77777777" w:rsidTr="00B7540A">
        <w:trPr>
          <w:trHeight w:val="4678"/>
        </w:trPr>
        <w:tc>
          <w:tcPr>
            <w:tcW w:w="5106" w:type="dxa"/>
          </w:tcPr>
          <w:p w14:paraId="5FFEE24B" w14:textId="77777777" w:rsidR="00B7540A" w:rsidRPr="009121FA" w:rsidRDefault="00B7540A" w:rsidP="00F30397">
            <w:pPr>
              <w:pStyle w:val="afe"/>
              <w:rPr>
                <w:lang w:val="hy-AM"/>
              </w:rPr>
            </w:pPr>
            <w:r w:rsidRPr="00F30397">
              <mc:AlternateContent>
                <mc:Choice Requires="wps">
                  <w:drawing>
                    <wp:anchor distT="0" distB="0" distL="114300" distR="114300" simplePos="0" relativeHeight="251677184" behindDoc="0" locked="0" layoutInCell="1" allowOverlap="1" wp14:anchorId="3A902C36" wp14:editId="47FCEA9C">
                      <wp:simplePos x="0" y="0"/>
                      <wp:positionH relativeFrom="column">
                        <wp:posOffset>2357120</wp:posOffset>
                      </wp:positionH>
                      <wp:positionV relativeFrom="paragraph">
                        <wp:posOffset>727710</wp:posOffset>
                      </wp:positionV>
                      <wp:extent cx="0" cy="1924050"/>
                      <wp:effectExtent l="0" t="0" r="19050" b="19050"/>
                      <wp:wrapNone/>
                      <wp:docPr id="2072" name="Straight Connector 2072"/>
                      <wp:cNvGraphicFramePr/>
                      <a:graphic xmlns:a="http://schemas.openxmlformats.org/drawingml/2006/main">
                        <a:graphicData uri="http://schemas.microsoft.com/office/word/2010/wordprocessingShape">
                          <wps:wsp>
                            <wps:cNvCnPr/>
                            <wps:spPr>
                              <a:xfrm>
                                <a:off x="0" y="0"/>
                                <a:ext cx="0" cy="19240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E2D0BA7" id="Straight Connector 2072" o:spid="_x0000_s1026" style="position:absolute;z-index:251677184;visibility:visible;mso-wrap-style:square;mso-wrap-distance-left:9pt;mso-wrap-distance-top:0;mso-wrap-distance-right:9pt;mso-wrap-distance-bottom:0;mso-position-horizontal:absolute;mso-position-horizontal-relative:text;mso-position-vertical:absolute;mso-position-vertical-relative:text" from="185.6pt,57.3pt" to="185.6pt,20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" strokecolor="black [3040]" strokeweight="1.5pt"/>
                  </w:pict>
                </mc:Fallback>
              </mc:AlternateContent>
            </w:r>
            <w:r w:rsidRPr="009121FA">
              <w:rPr>
                <w:lang w:val="hy-AM"/>
              </w:rPr>
              <w:t>Գծապատկեր 1.37. ՀՀ դրամի անվանական փոխարժեքի օրական դինամիկան հիմնական արժույթների նկատմամբ (աճ՝ արժեզրկում)</w:t>
            </w:r>
          </w:p>
          <w:p w14:paraId="503C39DA" w14:textId="77777777" w:rsidR="00B7540A" w:rsidRPr="00F30397" w:rsidRDefault="00B7540A" w:rsidP="00F30397">
            <w:pPr>
              <w:pStyle w:val="afd"/>
            </w:pPr>
            <w:r w:rsidRPr="00F30397">
              <w:rPr>
                <w:noProof/>
                <w:lang w:val="en-US"/>
              </w:rPr>
              <w:drawing>
                <wp:anchor distT="0" distB="0" distL="114300" distR="114300" simplePos="0" relativeHeight="251671040" behindDoc="1" locked="0" layoutInCell="1" allowOverlap="1" wp14:anchorId="4CC13817" wp14:editId="2B91A6E5">
                  <wp:simplePos x="0" y="0"/>
                  <wp:positionH relativeFrom="margin">
                    <wp:posOffset>10795</wp:posOffset>
                  </wp:positionH>
                  <wp:positionV relativeFrom="paragraph">
                    <wp:posOffset>111760</wp:posOffset>
                  </wp:positionV>
                  <wp:extent cx="3076575" cy="2114550"/>
                  <wp:effectExtent l="0" t="0" r="9525" b="0"/>
                  <wp:wrapTight wrapText="bothSides">
                    <wp:wrapPolygon edited="0">
                      <wp:start x="0" y="0"/>
                      <wp:lineTo x="0" y="21405"/>
                      <wp:lineTo x="21533" y="21405"/>
                      <wp:lineTo x="21533" y="0"/>
                      <wp:lineTo x="0" y="0"/>
                    </wp:wrapPolygon>
                  </wp:wrapTight>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margin">
                    <wp14:pctWidth>0</wp14:pctWidth>
                  </wp14:sizeRelH>
                  <wp14:sizeRelV relativeFrom="margin">
                    <wp14:pctHeight>0</wp14:pctHeight>
                  </wp14:sizeRelV>
                </wp:anchor>
              </w:drawing>
            </w:r>
            <w:r w:rsidRPr="00F30397">
              <w:t>Աղբյուրը՝ ՀՀ ԿԲ, ՀՀ ՖՆ հաշվարկներ</w:t>
            </w:r>
          </w:p>
        </w:tc>
        <w:tc>
          <w:tcPr>
            <w:tcW w:w="5018" w:type="dxa"/>
          </w:tcPr>
          <w:p w14:paraId="31845289" w14:textId="77777777" w:rsidR="00B7540A" w:rsidRPr="009121FA" w:rsidRDefault="00B7540A" w:rsidP="00F30397">
            <w:pPr>
              <w:pStyle w:val="afe"/>
              <w:rPr>
                <w:lang w:val="hy-AM"/>
              </w:rPr>
            </w:pPr>
            <w:r w:rsidRPr="00F30397">
              <w:drawing>
                <wp:anchor distT="0" distB="0" distL="114300" distR="114300" simplePos="0" relativeHeight="251692544" behindDoc="1" locked="0" layoutInCell="1" allowOverlap="1" wp14:anchorId="0DBC5F2F" wp14:editId="0E9C4633">
                  <wp:simplePos x="0" y="0"/>
                  <wp:positionH relativeFrom="column">
                    <wp:posOffset>-1905</wp:posOffset>
                  </wp:positionH>
                  <wp:positionV relativeFrom="paragraph">
                    <wp:posOffset>709145</wp:posOffset>
                  </wp:positionV>
                  <wp:extent cx="3020060" cy="2114550"/>
                  <wp:effectExtent l="0" t="0" r="8890" b="0"/>
                  <wp:wrapTight wrapText="bothSides">
                    <wp:wrapPolygon edited="0">
                      <wp:start x="0" y="0"/>
                      <wp:lineTo x="0" y="21405"/>
                      <wp:lineTo x="21527" y="21405"/>
                      <wp:lineTo x="21527" y="0"/>
                      <wp:lineTo x="0" y="0"/>
                    </wp:wrapPolygon>
                  </wp:wrapTight>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14:sizeRelH relativeFrom="margin">
                    <wp14:pctWidth>0</wp14:pctWidth>
                  </wp14:sizeRelH>
                  <wp14:sizeRelV relativeFrom="margin">
                    <wp14:pctHeight>0</wp14:pctHeight>
                  </wp14:sizeRelV>
                </wp:anchor>
              </w:drawing>
            </w:r>
            <w:r w:rsidRPr="009121FA">
              <w:rPr>
                <w:lang w:val="hy-AM"/>
              </w:rPr>
              <w:t>Գծապատկեր 1.38. ՀՀ իրական և անվանական արդյունավետ փոխարժեքների կուտակային տ/տ աճերի դինամիկան (աճ՝ արժևորում)</w:t>
            </w:r>
          </w:p>
          <w:p w14:paraId="3C5F32A7" w14:textId="77777777" w:rsidR="00B7540A" w:rsidRPr="00F30397" w:rsidRDefault="00B7540A" w:rsidP="00F30397">
            <w:pPr>
              <w:pStyle w:val="afd"/>
            </w:pPr>
            <w:r w:rsidRPr="00F30397">
              <w:t>Աղբյուրը՝ ՀՀ ԿԲ, ՀՀ ՖՆ հաշվարկներ</w:t>
            </w:r>
          </w:p>
        </w:tc>
      </w:tr>
    </w:tbl>
    <w:p w14:paraId="12FED815" w14:textId="77777777" w:rsidR="00B7540A" w:rsidRPr="00586097" w:rsidRDefault="00B7540A" w:rsidP="00B7540A">
      <w:pPr>
        <w:pStyle w:val="Heading3"/>
        <w:spacing w:line="276" w:lineRule="auto"/>
      </w:pPr>
    </w:p>
    <w:p w14:paraId="55B468B5" w14:textId="77777777" w:rsidR="00B7540A" w:rsidRPr="00B7540A" w:rsidRDefault="00B7540A" w:rsidP="00B7540A">
      <w:pPr>
        <w:pStyle w:val="Heading6"/>
        <w:spacing w:line="276" w:lineRule="auto"/>
        <w:rPr>
          <w:rFonts w:ascii="GHEA Grapalat" w:hAnsi="GHEA Grapalat"/>
          <w:lang w:val="hy-AM"/>
        </w:rPr>
      </w:pPr>
      <w:r w:rsidRPr="00B7540A">
        <w:rPr>
          <w:rFonts w:ascii="GHEA Grapalat" w:hAnsi="GHEA Grapalat"/>
          <w:lang w:val="hy-AM"/>
        </w:rPr>
        <w:t xml:space="preserve">Գնաճ և դրամավարկային քաղաքականություն </w:t>
      </w:r>
    </w:p>
    <w:p w14:paraId="0521C1BF" w14:textId="77777777" w:rsidR="00B7540A" w:rsidRPr="00B7540A" w:rsidRDefault="00B7540A" w:rsidP="00B7540A">
      <w:pPr>
        <w:spacing w:line="276" w:lineRule="auto"/>
        <w:rPr>
          <w:lang w:val="hy-AM"/>
        </w:rPr>
      </w:pPr>
      <w:r w:rsidRPr="00B7540A">
        <w:rPr>
          <w:rFonts w:eastAsiaTheme="majorEastAsia"/>
          <w:b/>
          <w:bCs/>
          <w:lang w:val="hy-AM"/>
        </w:rPr>
        <w:t>2018-2020թթ. ընթացքում տնտեսությունը գտնվել է չափավոր գնաճային միջավայրում։  2018-2019թթ. ընթացքում գնաճային միջավայրը եղել է ցածր և 12-ամսյա գնաճը գտնվել է նպատակային 4 տոկոս (±1.5) թույլատերի միջակայքից ցածր մակարդակում:</w:t>
      </w:r>
      <w:r w:rsidRPr="00B7540A">
        <w:rPr>
          <w:rFonts w:eastAsiaTheme="majorEastAsia"/>
          <w:lang w:val="hy-AM"/>
        </w:rPr>
        <w:t xml:space="preserve"> Ցածր գնաճին նպաստել են արտաքին հատվածից եկող գնանկումային ազդեցությունները, ինչպես նաև ապրանքային շուկաներում մրցակցության ավելացումը։ 2020թ-ին ՀՀ սպառողական շուկայում ցածր գնաճային միջավայրը պահպանվել է մինչև նոյեմբեր ամիսը, իսկ դեկտեմբերին գնաճը մոտեցել է իր նպատակային ցուցանիշին: 12-ամսյա գնաճը դեկտեմբերին կազմել է 3.7%, իսկ միջին գնաճը՝ 1.2%։ 2020թ դեկտեմբերի գնաճի կտրուկ արագացումը հիմնականում պայմանավորված էր առաջարկի գործոններով՝  մեծամասամբ ՀՀ դրամի արժեզրկմամբ և միջազգային գների աճով:</w:t>
      </w:r>
    </w:p>
    <w:p w14:paraId="7B1275A1" w14:textId="77777777" w:rsidR="00B7540A" w:rsidRPr="00B7540A" w:rsidRDefault="00B7540A" w:rsidP="00B7540A">
      <w:pPr>
        <w:spacing w:line="276" w:lineRule="auto"/>
        <w:rPr>
          <w:lang w:val="hy-AM"/>
        </w:rPr>
      </w:pPr>
      <w:r w:rsidRPr="00B7540A">
        <w:rPr>
          <w:rFonts w:eastAsiaTheme="majorEastAsia"/>
          <w:b/>
          <w:bCs/>
          <w:lang w:val="hy-AM"/>
        </w:rPr>
        <w:t xml:space="preserve"> 2021թ. հունվար-մայիս ամիսներին գնաճը նախորդ տարվա նույն ժամանակահատվածի համեմատ արագացել է՝ կազմելով 5.5%, իսկ 12-ամսյա գնաճը կազմել է 5.9%՝ գերազանցելով ՀՀ Կենտրոնական բանկ կողմից սահմանված նպատակային ցուցանիշը:</w:t>
      </w:r>
      <w:r w:rsidRPr="00B7540A">
        <w:rPr>
          <w:rFonts w:eastAsiaTheme="majorEastAsia"/>
          <w:lang w:val="hy-AM"/>
        </w:rPr>
        <w:t xml:space="preserve"> Գնաճի արագացումը պայմանավորված է մի կողմից արտաքին հատվածից եկող համաշխարհային պահանջարկի վերականգնման դրական սպասումների և մի շարք առաջարկի գործոնների ազդեցությամբ հումքային և պարենային ապրանքների միջազգային շուկաներում շարունակվող բարձր գնաճային զարգացումներով, և մյուս կողմից՝ ՀՀ դրամի արժեզրկմամբ: </w:t>
      </w:r>
    </w:p>
    <w:p w14:paraId="0E379901" w14:textId="77777777" w:rsidR="00B7540A" w:rsidRPr="00B7540A" w:rsidRDefault="00B7540A" w:rsidP="00B7540A">
      <w:pPr>
        <w:spacing w:line="276" w:lineRule="auto"/>
        <w:rPr>
          <w:lang w:val="hy-AM"/>
        </w:rPr>
      </w:pPr>
      <w:r w:rsidRPr="00B7540A">
        <w:rPr>
          <w:rFonts w:eastAsiaTheme="majorEastAsia"/>
          <w:b/>
          <w:bCs/>
          <w:lang w:val="hy-AM"/>
        </w:rPr>
        <w:t>2018-2020թթ. ՀՀ կենտրոնական բանկի դրամավարկային քաղաքականությունն ունեցել է խթանող ուղղվածություն։</w:t>
      </w:r>
      <w:r w:rsidRPr="00B7540A">
        <w:rPr>
          <w:rFonts w:eastAsiaTheme="majorEastAsia"/>
          <w:lang w:val="hy-AM"/>
        </w:rPr>
        <w:t xml:space="preserve"> Նշված ժամանակահատվածում ԿԲ-ն նվազեցրել է վերաֆինանսավորման (ռեպո) տոկոսադրույքը 0.75 տոկոսային կետով, ինչպես նաև ֆինանսական շուկայում հանդես է եկել որպես իրացվելիության զուտ տրամադրող։ Ֆինանսական շուկայի կարճաժամկետ տոկոսադրույքների՝ վերաֆինանսավորման տոկոսադրույքի շուրջ ձևավորումն ապահովելու համար հիմնականում ամբողջությամբ բավարարվել է իրացվելիության նկատմամբ բանկային համակարգի պահանջարկը։ 2020թ-ին գնաճի դանդաղմանը և համավարակի տարածման բացասական ազդեցություներին հակազդելու նպատակով ՀՀ Կենտրոնական բանկն իջեցրել է վերաֆինանսավորման տոկոսադրույքը ընդհանուր առմամբ 1.25 տոկոսային կետով՝ իրականացնելով խթանող դրամավարկային քաղաքականություն: Սակայն 2020թ. դեկտեմբերի 15-ին, պայմանավորված գնաճի արագացմամբ, արտաքին հատվածից սպասվող գնաճային զարգացումներով և գնաճային սպասումների արագացմամբ, ՀՀ ԿԲ-ն կտրուկ բարձրացրել է վերաֆինանսավորման տոկոսադրույքը 1.0 տոկոսային կետով՝ սահմանելով այն 5.25%:</w:t>
      </w:r>
    </w:p>
    <w:p w14:paraId="05F5640E" w14:textId="77777777" w:rsidR="00B7540A" w:rsidRPr="00B7540A" w:rsidRDefault="00B7540A" w:rsidP="00B7540A">
      <w:pPr>
        <w:spacing w:line="276" w:lineRule="auto"/>
        <w:rPr>
          <w:lang w:val="hy-AM"/>
        </w:rPr>
      </w:pPr>
      <w:r w:rsidRPr="00B7540A">
        <w:rPr>
          <w:rFonts w:eastAsiaTheme="majorEastAsia"/>
          <w:b/>
          <w:bCs/>
          <w:lang w:val="hy-AM"/>
        </w:rPr>
        <w:t>2021թ. հունվար–հունիս ամիսներին ՀՀ ԿԲ-ը շարունակել է բարձրացնել վերաֆինանսավորման տոկոսադրույքը</w:t>
      </w:r>
      <w:r w:rsidRPr="00B7540A">
        <w:rPr>
          <w:rFonts w:eastAsiaTheme="majorEastAsia"/>
          <w:lang w:val="hy-AM"/>
        </w:rPr>
        <w:t xml:space="preserve"> ընդհանուր առմամբ 1.25 տոկոսային կետով` բարձր գնաճային սպասումները  և հասարակության մոտ ձևավորված անորոշությունը նվազեցնելու նպատակով։ Փողի շուկայի տոկոսադրույքների ձևավորումը վերաֆինանսավորման տոկոսադրույքի շուրջ ապահովելու համար ԿԲ-ն շարունակել է բավարարել իրացվելիության նկատմամբ բանկային համակարգի պահանջարկը՝ ռեպո գործարքների միջոցով ավելացնելով զուտ իրացվելիության ներարկման չափը։ </w:t>
      </w:r>
    </w:p>
    <w:p w14:paraId="320C1267" w14:textId="77777777" w:rsidR="00B7540A" w:rsidRPr="00B7540A" w:rsidRDefault="00B7540A" w:rsidP="00B7540A">
      <w:pPr>
        <w:spacing w:line="276" w:lineRule="auto"/>
        <w:rPr>
          <w:lang w:val="hy-AM"/>
        </w:rPr>
      </w:pPr>
      <w:r w:rsidRPr="00B7540A">
        <w:rPr>
          <w:rFonts w:eastAsiaTheme="majorEastAsia"/>
          <w:b/>
          <w:iCs/>
          <w:u w:val="single"/>
          <w:lang w:val="hy-AM"/>
        </w:rPr>
        <w:t>Կանխատեսում</w:t>
      </w:r>
      <w:r w:rsidRPr="00586097">
        <w:rPr>
          <w:rFonts w:eastAsiaTheme="majorEastAsia"/>
          <w:lang w:val="es-ES"/>
        </w:rPr>
        <w:t>. 2021թ</w:t>
      </w:r>
      <w:r w:rsidRPr="00B7540A">
        <w:rPr>
          <w:rFonts w:eastAsiaTheme="majorEastAsia"/>
          <w:lang w:val="hy-AM"/>
        </w:rPr>
        <w:t>-</w:t>
      </w:r>
      <w:r w:rsidRPr="00586097">
        <w:rPr>
          <w:rFonts w:eastAsiaTheme="majorEastAsia"/>
          <w:lang w:val="es-ES"/>
        </w:rPr>
        <w:t>ին 12-ամսա գնաճը կգտնվի նպատակային թիրախի վերին սահմանում՝ կազմելով շուրջ 5.2%</w:t>
      </w:r>
      <w:r w:rsidRPr="00B7540A">
        <w:rPr>
          <w:rFonts w:eastAsiaTheme="majorEastAsia"/>
          <w:lang w:val="hy-AM"/>
        </w:rPr>
        <w:t xml:space="preserve">, իսկ միջին գնաճը կկազմի </w:t>
      </w:r>
      <w:r w:rsidRPr="00586097">
        <w:rPr>
          <w:rFonts w:eastAsiaTheme="majorEastAsia"/>
          <w:lang w:val="es-ES"/>
        </w:rPr>
        <w:t>5.3</w:t>
      </w:r>
      <w:r w:rsidRPr="00B7540A">
        <w:rPr>
          <w:rFonts w:eastAsiaTheme="majorEastAsia"/>
          <w:lang w:val="hy-AM"/>
        </w:rPr>
        <w:t>%</w:t>
      </w:r>
      <w:r w:rsidRPr="00586097">
        <w:rPr>
          <w:rFonts w:eastAsiaTheme="majorEastAsia"/>
          <w:lang w:val="es-ES"/>
        </w:rPr>
        <w:t>:</w:t>
      </w:r>
      <w:r w:rsidRPr="00B7540A">
        <w:rPr>
          <w:rFonts w:eastAsiaTheme="majorEastAsia"/>
          <w:lang w:val="hy-AM"/>
        </w:rPr>
        <w:t xml:space="preserve"> Գ</w:t>
      </w:r>
      <w:r w:rsidRPr="00586097">
        <w:rPr>
          <w:rFonts w:eastAsiaTheme="majorEastAsia"/>
          <w:lang w:val="es-ES"/>
        </w:rPr>
        <w:t>նաճի արագացմանը նպաստող հիմնական գործոններ են՝ միջազգային պարենային ապրանքների գների աճը, փոխարժեքի արժեզրկումը, Արցախյան պատերազմի բացասական հետևանքները, մաքսատուրքերի և ակցիզային հարկերի բարձրացումը, ինչպես նաև Էլեկտրաէներգիայի սակագների փոփոխությունը:</w:t>
      </w:r>
      <w:r w:rsidRPr="00B7540A">
        <w:rPr>
          <w:rFonts w:eastAsiaTheme="majorEastAsia"/>
          <w:lang w:val="hy-AM"/>
        </w:rPr>
        <w:t xml:space="preserve"> Միջնաժամկետում գնաճը կկայունանա ԿԲ թիրախի շուրջ:</w:t>
      </w:r>
    </w:p>
    <w:p w14:paraId="142ABE6E" w14:textId="77777777" w:rsidR="00B7540A" w:rsidRPr="00B7540A" w:rsidRDefault="00B7540A" w:rsidP="00B7540A">
      <w:pPr>
        <w:spacing w:line="276" w:lineRule="auto"/>
        <w:rPr>
          <w:lang w:val="hy-AM"/>
        </w:rPr>
      </w:pPr>
      <w:r w:rsidRPr="00B7540A">
        <w:rPr>
          <w:rFonts w:eastAsiaTheme="majorEastAsia"/>
          <w:lang w:val="hy-AM"/>
        </w:rPr>
        <w:t>ԿԲ-ն կարճաժամկետ հատվածում կշարունակի որդեգրած դրամավարկային քաղաքականությունը, որն ուղղված կլինի գնաճային սպասումների արագացման ռիսկերի չեզոքացմանը՝ միևնույն ժամանակ ապահովելով հնարավորին նպաստավոր պայմաններ ամբողջական պահանջարկի վերականգնման համար, իսկ ցանկացած ռիսկերի դրսևորման պարագայում պատրաստ է համապատասխանորեն արձագանքել՝ միջնաժամկետ հատվածում գնաճի նպատակային ցուցանիշին հասնելու նպատակով</w:t>
      </w:r>
      <w:r w:rsidRPr="00586097">
        <w:rPr>
          <w:rStyle w:val="FootnoteReference"/>
          <w:rFonts w:eastAsiaTheme="majorEastAsia"/>
        </w:rPr>
        <w:footnoteReference w:id="15"/>
      </w:r>
      <w:r w:rsidRPr="00586097">
        <w:rPr>
          <w:rFonts w:eastAsiaTheme="majorEastAsia"/>
          <w:lang w:val="es-ES"/>
        </w:rPr>
        <w:t>:</w:t>
      </w:r>
    </w:p>
    <w:p w14:paraId="46D8409A" w14:textId="77777777" w:rsidR="00B7540A" w:rsidRPr="00586097" w:rsidRDefault="00B7540A" w:rsidP="00B7540A">
      <w:pPr>
        <w:pStyle w:val="afc"/>
        <w:spacing w:line="276" w:lineRule="auto"/>
      </w:pPr>
    </w:p>
    <w:p w14:paraId="71332816" w14:textId="77777777" w:rsidR="00B7540A" w:rsidRPr="00586097" w:rsidRDefault="00B7540A" w:rsidP="00B7540A">
      <w:pPr>
        <w:pStyle w:val="afc"/>
        <w:spacing w:line="276" w:lineRule="auto"/>
      </w:pPr>
      <w:r w:rsidRPr="00586097">
        <w:t>Գծապատկեր 1.39. Սպառողական գների աճը, դրամավարկային քաղաքականության հիմնական ցուցանիշները 2017-2021թթ</w:t>
      </w:r>
      <w:r w:rsidRPr="00586097">
        <w:rPr>
          <w:lang w:val="es-ES"/>
        </w:rPr>
        <w:t>.</w:t>
      </w:r>
      <w:r w:rsidRPr="00586097">
        <w:t xml:space="preserve"> և գնաճի կանխատեսումները միջնաժամկետ հատվածում</w:t>
      </w:r>
    </w:p>
    <w:p w14:paraId="5295D385" w14:textId="77777777" w:rsidR="00B7540A" w:rsidRPr="00B7540A" w:rsidRDefault="00B7540A" w:rsidP="00B7540A">
      <w:pPr>
        <w:spacing w:line="276" w:lineRule="auto"/>
        <w:ind w:firstLine="0"/>
        <w:rPr>
          <w:rFonts w:eastAsiaTheme="majorEastAsia"/>
          <w:lang w:val="hy-AM"/>
        </w:rPr>
      </w:pPr>
      <w:r w:rsidRPr="00586097">
        <w:rPr>
          <w:rFonts w:eastAsiaTheme="majorEastAsia"/>
          <w:noProof/>
        </w:rPr>
        <w:drawing>
          <wp:inline distT="0" distB="0" distL="0" distR="0" wp14:anchorId="1C3DC7E1" wp14:editId="0929C2CE">
            <wp:extent cx="3124835" cy="2011680"/>
            <wp:effectExtent l="0" t="0" r="18415" b="762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B7540A">
        <w:rPr>
          <w:rFonts w:eastAsiaTheme="majorEastAsia"/>
          <w:lang w:val="hy-AM"/>
        </w:rPr>
        <w:t xml:space="preserve"> </w:t>
      </w:r>
      <w:r w:rsidRPr="00586097">
        <w:rPr>
          <w:rFonts w:eastAsiaTheme="majorEastAsia"/>
          <w:noProof/>
        </w:rPr>
        <w:drawing>
          <wp:inline distT="0" distB="0" distL="0" distR="0" wp14:anchorId="222317ED" wp14:editId="3759B6B1">
            <wp:extent cx="3124835" cy="2011680"/>
            <wp:effectExtent l="0" t="0" r="18415" b="762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Pr="00586097">
        <w:rPr>
          <w:rFonts w:eastAsiaTheme="majorEastAsia"/>
          <w:noProof/>
        </w:rPr>
        <w:drawing>
          <wp:inline distT="0" distB="0" distL="0" distR="0" wp14:anchorId="07C264BE" wp14:editId="479F8897">
            <wp:extent cx="6305550" cy="492760"/>
            <wp:effectExtent l="0" t="0" r="0" b="2540"/>
            <wp:docPr id="102"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Pr="00586097">
        <w:rPr>
          <w:rFonts w:eastAsiaTheme="majorEastAsia"/>
          <w:noProof/>
        </w:rPr>
        <w:drawing>
          <wp:inline distT="0" distB="0" distL="0" distR="0" wp14:anchorId="4E47F234" wp14:editId="39239D91">
            <wp:extent cx="6409055" cy="2178685"/>
            <wp:effectExtent l="0" t="0" r="10795" b="12065"/>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8E07526" w14:textId="77777777" w:rsidR="00B7540A" w:rsidRPr="00B7540A" w:rsidRDefault="00B7540A" w:rsidP="00B7540A">
      <w:pPr>
        <w:spacing w:line="276" w:lineRule="auto"/>
        <w:ind w:firstLine="0"/>
        <w:rPr>
          <w:lang w:val="hy-AM"/>
        </w:rPr>
      </w:pPr>
      <w:r w:rsidRPr="00586097">
        <w:rPr>
          <w:rFonts w:eastAsiaTheme="majorEastAsia"/>
          <w:noProof/>
        </w:rPr>
        <w:drawing>
          <wp:inline distT="0" distB="0" distL="0" distR="0" wp14:anchorId="26609400" wp14:editId="621A930C">
            <wp:extent cx="3102795" cy="2210435"/>
            <wp:effectExtent l="0" t="0" r="8890" b="12065"/>
            <wp:docPr id="104" name="Chart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Pr="00B7540A">
        <w:rPr>
          <w:rFonts w:eastAsiaTheme="majorEastAsia"/>
          <w:lang w:val="hy-AM"/>
        </w:rPr>
        <w:t xml:space="preserve"> </w:t>
      </w:r>
      <w:r w:rsidRPr="00586097">
        <w:rPr>
          <w:rFonts w:eastAsiaTheme="majorEastAsia"/>
          <w:noProof/>
        </w:rPr>
        <w:drawing>
          <wp:inline distT="0" distB="0" distL="0" distR="0" wp14:anchorId="30882567" wp14:editId="720FA56D">
            <wp:extent cx="3180715" cy="2210435"/>
            <wp:effectExtent l="0" t="0" r="635" b="18415"/>
            <wp:docPr id="105" name="Chart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5FB18DC" w14:textId="77777777" w:rsidR="00B7540A" w:rsidRPr="009121FA" w:rsidRDefault="00B7540A" w:rsidP="009121FA">
      <w:pPr>
        <w:pStyle w:val="afd"/>
      </w:pPr>
      <w:r w:rsidRPr="009121FA">
        <w:t>Աղբյուրը՝ ՀՀ ԿԲ, ՀՀ ՖՆ հաշվարկներ և կանխատեսումներ</w:t>
      </w:r>
    </w:p>
    <w:p w14:paraId="7CF57288" w14:textId="77777777" w:rsidR="00B7540A" w:rsidRPr="00586097" w:rsidRDefault="00B7540A" w:rsidP="00B7540A">
      <w:pPr>
        <w:pStyle w:val="Heading3"/>
        <w:spacing w:line="276" w:lineRule="auto"/>
      </w:pPr>
    </w:p>
    <w:tbl>
      <w:tblPr>
        <w:tblStyle w:val="TableGrid100"/>
        <w:tblW w:w="0" w:type="auto"/>
        <w:shd w:val="clear" w:color="auto" w:fill="D9E2F3"/>
        <w:tblLook w:val="04A0" w:firstRow="1" w:lastRow="0" w:firstColumn="1" w:lastColumn="0" w:noHBand="0" w:noVBand="1"/>
      </w:tblPr>
      <w:tblGrid>
        <w:gridCol w:w="10024"/>
      </w:tblGrid>
      <w:tr w:rsidR="00B7540A" w:rsidRPr="00586097" w14:paraId="1DBD189C" w14:textId="77777777" w:rsidTr="00B7540A">
        <w:trPr>
          <w:trHeight w:val="1103"/>
        </w:trPr>
        <w:tc>
          <w:tcPr>
            <w:tcW w:w="10024" w:type="dxa"/>
            <w:shd w:val="clear" w:color="auto" w:fill="D9E2F3"/>
          </w:tcPr>
          <w:p w14:paraId="6F37B79A" w14:textId="77777777" w:rsidR="00B7540A" w:rsidRPr="00B7540A" w:rsidRDefault="00B7540A" w:rsidP="00B7540A">
            <w:pPr>
              <w:spacing w:line="276" w:lineRule="auto"/>
              <w:rPr>
                <w:i/>
                <w:lang w:val="hy-AM"/>
              </w:rPr>
            </w:pPr>
            <w:r w:rsidRPr="00B7540A">
              <w:rPr>
                <w:rFonts w:eastAsiaTheme="majorEastAsia"/>
                <w:b/>
                <w:i/>
                <w:lang w:val="hy-AM"/>
              </w:rPr>
              <w:t>Ներդիր 2: Դրամավարկային քաղաքականության արձագանքը համավարակին աշխարհում</w:t>
            </w:r>
          </w:p>
          <w:p w14:paraId="478B73E0" w14:textId="77777777" w:rsidR="00B7540A" w:rsidRPr="00B7540A" w:rsidRDefault="00B7540A" w:rsidP="00B7540A">
            <w:pPr>
              <w:spacing w:line="276" w:lineRule="auto"/>
              <w:rPr>
                <w:lang w:val="hy-AM"/>
              </w:rPr>
            </w:pPr>
            <w:r w:rsidRPr="00B7540A">
              <w:rPr>
                <w:rFonts w:eastAsiaTheme="majorEastAsia"/>
                <w:lang w:val="hy-AM"/>
              </w:rPr>
              <w:t>Աշխարհի ինչպես զարգացած, այնպես էլ զարգացող երկրների կենտրոնական բանկերի զգալի մասը 2020թ</w:t>
            </w:r>
            <w:r w:rsidRPr="00B7540A">
              <w:rPr>
                <w:rFonts w:ascii="Cambria Math" w:eastAsiaTheme="majorEastAsia" w:hAnsi="Cambria Math" w:cs="Cambria Math"/>
                <w:lang w:val="hy-AM"/>
              </w:rPr>
              <w:t>․</w:t>
            </w:r>
            <w:r w:rsidRPr="00B7540A">
              <w:rPr>
                <w:rFonts w:eastAsiaTheme="majorEastAsia"/>
                <w:lang w:val="hy-AM"/>
              </w:rPr>
              <w:t xml:space="preserve"> խթանող դրամավարկային քաղաքականությամբ հակազդեց համավարակի տարածման տնտեսական ազդեցություններին՝ նվազեցնելով տոկոսադրույքները և ներդնելով ֆինանսական շուկայից ակտիվների ձեռք բերման աննախադեպ ծրագրեր։ Ֆինանսական շուկայից ձեռք են բերել շուրջ 10 տրիլիոն ԱՄՆ դոլար ծավալի ակտիվներ,  որը կրկնակի անգամ գերազանցում է 2008թ</w:t>
            </w:r>
            <w:r w:rsidRPr="00B7540A">
              <w:rPr>
                <w:rFonts w:ascii="Cambria Math" w:eastAsiaTheme="majorEastAsia" w:hAnsi="Cambria Math" w:cs="Cambria Math"/>
                <w:lang w:val="hy-AM"/>
              </w:rPr>
              <w:t>․</w:t>
            </w:r>
            <w:r w:rsidRPr="00B7540A">
              <w:rPr>
                <w:rFonts w:eastAsiaTheme="majorEastAsia"/>
                <w:lang w:val="hy-AM"/>
              </w:rPr>
              <w:t xml:space="preserve"> համաշխարհային ֆինասական ճգնաժամին հաջորդած երկու տարիների ընթացքում իրականացրած ձեռբերման ծավալը։ Կենտրոնական բանկերի գործողությունները մեղմել են միջազգային ֆինանսական շուկաների անորոշությունները, նպաստել են ցածր պահել տոկոսադրույքները և օժանդակել են իրական հատվածի ֆինանսավորմանը։ </w:t>
            </w:r>
          </w:p>
          <w:p w14:paraId="4BE925A0" w14:textId="77777777" w:rsidR="00B7540A" w:rsidRPr="00B7540A" w:rsidRDefault="00B7540A" w:rsidP="00B7540A">
            <w:pPr>
              <w:spacing w:line="276" w:lineRule="auto"/>
              <w:rPr>
                <w:lang w:val="hy-AM"/>
              </w:rPr>
            </w:pPr>
            <w:r w:rsidRPr="00B7540A">
              <w:rPr>
                <w:rFonts w:eastAsiaTheme="majorEastAsia"/>
                <w:lang w:val="hy-AM"/>
              </w:rPr>
              <w:t>Սակայն 2021թ</w:t>
            </w:r>
            <w:r w:rsidRPr="00B7540A">
              <w:rPr>
                <w:rFonts w:ascii="Cambria Math" w:eastAsiaTheme="majorEastAsia" w:hAnsi="Cambria Math" w:cs="Cambria Math"/>
                <w:lang w:val="hy-AM"/>
              </w:rPr>
              <w:t>․</w:t>
            </w:r>
            <w:r w:rsidRPr="00B7540A">
              <w:rPr>
                <w:rFonts w:eastAsiaTheme="majorEastAsia"/>
                <w:lang w:val="hy-AM"/>
              </w:rPr>
              <w:t>-ին որոշ երկրների (Հայաստանի, Վրաստանի, Ռուսաստանի, Ղրղստանի, Տաջիկիստանի և այլն) ԿԲ-երը գնաճի արագացումը նվազեցնելու նպատակով բարձրացրել են վերաֆինասավորման տոկոսադրույքները:</w:t>
            </w:r>
          </w:p>
          <w:p w14:paraId="4A554F61" w14:textId="77777777" w:rsidR="00B7540A" w:rsidRPr="00586097" w:rsidRDefault="00B7540A" w:rsidP="00B7540A">
            <w:pPr>
              <w:spacing w:line="276" w:lineRule="auto"/>
              <w:ind w:firstLine="22"/>
            </w:pPr>
            <w:r w:rsidRPr="00586097">
              <w:rPr>
                <w:rFonts w:eastAsiaTheme="majorEastAsia" w:cstheme="majorBidi"/>
                <w:b/>
                <w:noProof/>
                <w:color w:val="244061" w:themeColor="accent1" w:themeShade="80"/>
              </w:rPr>
              <w:drawing>
                <wp:inline distT="0" distB="0" distL="0" distR="0" wp14:anchorId="5D4A2B99" wp14:editId="01778718">
                  <wp:extent cx="6219825" cy="2303780"/>
                  <wp:effectExtent l="0" t="0" r="9525" b="1270"/>
                  <wp:docPr id="108" name="Chart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5D3176D" w14:textId="77777777" w:rsidR="00B7540A" w:rsidRPr="00586097" w:rsidRDefault="00B7540A" w:rsidP="00B7540A">
            <w:pPr>
              <w:spacing w:line="276" w:lineRule="auto"/>
            </w:pPr>
            <w:r w:rsidRPr="00586097">
              <w:rPr>
                <w:rFonts w:eastAsiaTheme="majorEastAsia"/>
                <w:b/>
              </w:rPr>
              <w:t xml:space="preserve">Աղբյուրը՝ Արժույթի միջազգային հիմնադրամի զեկույցներ (Global Financial Stability Report, April 2021: Preempting a Legacy of Vulnerabilities) և </w:t>
            </w:r>
            <w:hyperlink r:id="rId70" w:history="1">
              <w:r w:rsidRPr="00586097">
                <w:rPr>
                  <w:rStyle w:val="Hyperlink"/>
                  <w:rFonts w:eastAsia="SimSun"/>
                </w:rPr>
                <w:t>http://www.centralbanknews.info/</w:t>
              </w:r>
            </w:hyperlink>
            <w:r w:rsidRPr="00586097">
              <w:rPr>
                <w:rFonts w:eastAsiaTheme="majorEastAsia"/>
                <w:b/>
              </w:rPr>
              <w:t>։</w:t>
            </w:r>
          </w:p>
          <w:p w14:paraId="4E368C9C" w14:textId="77777777" w:rsidR="00B7540A" w:rsidRPr="00586097" w:rsidRDefault="00B7540A" w:rsidP="00B7540A">
            <w:pPr>
              <w:spacing w:line="276" w:lineRule="auto"/>
            </w:pPr>
            <w:r w:rsidRPr="00586097">
              <w:rPr>
                <w:rFonts w:eastAsiaTheme="majorEastAsia"/>
              </w:rPr>
              <w:t>Հայաստանի համար դիտարկվել է 2020թ</w:t>
            </w:r>
            <w:r w:rsidRPr="00586097">
              <w:rPr>
                <w:rFonts w:ascii="Cambria Math" w:eastAsiaTheme="majorEastAsia" w:hAnsi="Cambria Math" w:cs="Cambria Math"/>
              </w:rPr>
              <w:t>․</w:t>
            </w:r>
            <w:r w:rsidRPr="00586097">
              <w:rPr>
                <w:rFonts w:eastAsiaTheme="majorEastAsia"/>
              </w:rPr>
              <w:t xml:space="preserve"> ընթացքում խթանման չափը, առանց հաշվի առնելու դեկտեմբերի 15-ի ԿԲ ռեպո տոկոսադրույքի 1 տոկոսային կետով բարձրացումը: </w:t>
            </w:r>
          </w:p>
        </w:tc>
      </w:tr>
    </w:tbl>
    <w:p w14:paraId="7A65EDA3" w14:textId="77777777" w:rsidR="00B7540A" w:rsidRPr="00586097" w:rsidRDefault="00B7540A" w:rsidP="00B7540A">
      <w:pPr>
        <w:spacing w:line="276" w:lineRule="auto"/>
        <w:ind w:firstLine="0"/>
        <w:sectPr w:rsidR="00B7540A" w:rsidRPr="00586097" w:rsidSect="00B7540A">
          <w:pgSz w:w="11906" w:h="16838" w:code="9"/>
          <w:pgMar w:top="851" w:right="851" w:bottom="851" w:left="1021" w:header="431" w:footer="578" w:gutter="0"/>
          <w:cols w:space="720"/>
          <w:titlePg/>
          <w:docGrid w:linePitch="360"/>
        </w:sectPr>
      </w:pPr>
    </w:p>
    <w:p w14:paraId="335A85AB" w14:textId="77777777" w:rsidR="00B7540A" w:rsidRPr="007309DA" w:rsidRDefault="007309DA" w:rsidP="007309DA">
      <w:pPr>
        <w:pStyle w:val="Heading3"/>
        <w:shd w:val="clear" w:color="auto" w:fill="FFFFFF" w:themeFill="background1"/>
        <w:rPr>
          <w:rFonts w:cs="Sylfaen"/>
          <w:bCs/>
          <w:caps w:val="0"/>
          <w:color w:val="1F497D" w:themeColor="text2"/>
          <w:sz w:val="28"/>
          <w:szCs w:val="28"/>
        </w:rPr>
      </w:pPr>
      <w:bookmarkStart w:id="457" w:name="_Toc77351555"/>
      <w:bookmarkStart w:id="458" w:name="_Toc77351993"/>
      <w:bookmarkStart w:id="459" w:name="_Toc77352430"/>
      <w:bookmarkStart w:id="460" w:name="_Toc77353868"/>
      <w:bookmarkStart w:id="461" w:name="_Toc77355848"/>
      <w:bookmarkStart w:id="462" w:name="_Toc77358759"/>
      <w:bookmarkStart w:id="463" w:name="_Toc77359661"/>
      <w:bookmarkStart w:id="464" w:name="_Toc77249729"/>
      <w:bookmarkStart w:id="465" w:name="_Toc77451196"/>
      <w:bookmarkStart w:id="466" w:name="_Toc77837848"/>
      <w:bookmarkEnd w:id="457"/>
      <w:bookmarkEnd w:id="458"/>
      <w:bookmarkEnd w:id="459"/>
      <w:bookmarkEnd w:id="460"/>
      <w:bookmarkEnd w:id="461"/>
      <w:bookmarkEnd w:id="462"/>
      <w:bookmarkEnd w:id="463"/>
      <w:r w:rsidRPr="007309DA">
        <w:rPr>
          <w:rFonts w:cs="Sylfaen"/>
          <w:bCs/>
          <w:caps w:val="0"/>
          <w:color w:val="1F497D" w:themeColor="text2"/>
          <w:sz w:val="28"/>
          <w:szCs w:val="28"/>
        </w:rPr>
        <w:t xml:space="preserve">1.4. </w:t>
      </w:r>
      <w:r w:rsidR="00B7540A" w:rsidRPr="007309DA">
        <w:rPr>
          <w:rFonts w:cs="Sylfaen"/>
          <w:bCs/>
          <w:caps w:val="0"/>
          <w:color w:val="1F497D" w:themeColor="text2"/>
          <w:sz w:val="28"/>
          <w:szCs w:val="28"/>
        </w:rPr>
        <w:t>ԿԱՆԽԱՏԵՍՈՒՄՆԵՐԻ ՀԻՄՔՈՒՄ ԸՆԿԱԾ ԵՆԹԱԴՐՈՒԹՅՈՒՆՆԵՐԸ</w:t>
      </w:r>
      <w:bookmarkEnd w:id="464"/>
      <w:bookmarkEnd w:id="465"/>
      <w:bookmarkEnd w:id="466"/>
      <w:r w:rsidR="00B7540A" w:rsidRPr="007309DA">
        <w:rPr>
          <w:rFonts w:cs="Sylfaen"/>
          <w:bCs/>
          <w:caps w:val="0"/>
          <w:color w:val="1F497D" w:themeColor="text2"/>
          <w:sz w:val="28"/>
          <w:szCs w:val="28"/>
        </w:rPr>
        <w:t xml:space="preserve"> </w:t>
      </w:r>
    </w:p>
    <w:p w14:paraId="32C6C9EA" w14:textId="77777777" w:rsidR="00B7540A" w:rsidRPr="00B7540A" w:rsidRDefault="00B7540A" w:rsidP="00B7540A">
      <w:pPr>
        <w:spacing w:line="276" w:lineRule="auto"/>
        <w:rPr>
          <w:rFonts w:eastAsia="Calibri"/>
          <w:lang w:val="hy-AM"/>
        </w:rPr>
      </w:pPr>
      <w:r w:rsidRPr="00B7540A">
        <w:rPr>
          <w:rFonts w:eastAsia="Calibri"/>
          <w:lang w:val="hy-AM"/>
        </w:rPr>
        <w:t>2022-2024թթ</w:t>
      </w:r>
      <w:r w:rsidRPr="00B7540A">
        <w:rPr>
          <w:rFonts w:ascii="Cambria Math" w:eastAsia="Calibri" w:hAnsi="Cambria Math" w:cs="Cambria Math"/>
          <w:lang w:val="hy-AM"/>
        </w:rPr>
        <w:t>․</w:t>
      </w:r>
      <w:r w:rsidRPr="00B7540A">
        <w:rPr>
          <w:rFonts w:eastAsia="Calibri"/>
          <w:lang w:val="hy-AM"/>
        </w:rPr>
        <w:t xml:space="preserve"> ՄԺԾԾ մակրոտնտեսական շրջանակի կանխատեսումներն իրականացվել են ՀՀ ՖՆ կողմից՝ կիրառելով տնտեսաչափական մոդելներ, և առանձին շոկերի և հարկաբյուջետային միջոցառումների ազդեցությունների գնահատման համար՝ ՀՀ ՖՆ հարկաբյուջետային քաղաքականության դինամիկ ստոխաստիկ ընդհանուր հավասարակշռության (The Fiscal Strategy Model: A Structural Framework for Fiscal Policy Analysis in Armenia) մոդելը</w:t>
      </w:r>
      <w:r w:rsidRPr="00586097">
        <w:rPr>
          <w:rFonts w:eastAsia="Calibri"/>
          <w:vertAlign w:val="superscript"/>
          <w:lang w:val="es-ES"/>
        </w:rPr>
        <w:footnoteReference w:id="16"/>
      </w:r>
      <w:r w:rsidRPr="00586097">
        <w:rPr>
          <w:rFonts w:eastAsia="Calibri"/>
          <w:vertAlign w:val="superscript"/>
          <w:lang w:val="es-ES"/>
        </w:rPr>
        <w:t xml:space="preserve">, </w:t>
      </w:r>
      <w:r w:rsidRPr="00B7540A">
        <w:rPr>
          <w:rFonts w:eastAsia="Calibri"/>
          <w:lang w:val="hy-AM"/>
        </w:rPr>
        <w:t>որոնց համար տեղեկատվական հիմք են հանդիսացել նեքին և արտաքին ընթացիկ տնտեսական և ֆինանսական զարգացումները, Արցախյան պատերազմի տնտեսական հետևանքների վերաբերյալ ՀՀ ՖՆ գնահատականները, ինչպես նաև ՀՀ գործընկեր երկրների տնտեսական  զարգացումների և հումքային ապրանքների համաշխարհային գների միջազգային կառույցների կողմից արված կանխատեսումները: Մասնավորապես՝</w:t>
      </w:r>
    </w:p>
    <w:p w14:paraId="0F3CD2DA" w14:textId="77777777" w:rsidR="00B7540A" w:rsidRPr="00586097" w:rsidRDefault="00B7540A" w:rsidP="00C0628C">
      <w:pPr>
        <w:pStyle w:val="ListParagraph"/>
        <w:numPr>
          <w:ilvl w:val="0"/>
          <w:numId w:val="42"/>
        </w:numPr>
        <w:spacing w:before="60" w:after="40" w:line="276" w:lineRule="auto"/>
        <w:rPr>
          <w:rFonts w:eastAsia="Calibri"/>
          <w:b/>
        </w:rPr>
      </w:pPr>
      <w:r w:rsidRPr="00586097">
        <w:rPr>
          <w:rFonts w:eastAsia="Calibri"/>
          <w:b/>
        </w:rPr>
        <w:t>Արտաքին  գործոններ.</w:t>
      </w:r>
    </w:p>
    <w:p w14:paraId="2B71BB8E"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rPr>
      </w:pPr>
      <w:r w:rsidRPr="00586097">
        <w:rPr>
          <w:rFonts w:eastAsia="Calibri"/>
        </w:rPr>
        <w:t>2021թ</w:t>
      </w:r>
      <w:r w:rsidRPr="00586097">
        <w:rPr>
          <w:rFonts w:ascii="Cambria Math" w:eastAsia="Calibri" w:hAnsi="Cambria Math" w:cs="Cambria Math"/>
        </w:rPr>
        <w:t>․</w:t>
      </w:r>
      <w:r w:rsidRPr="00586097">
        <w:rPr>
          <w:rFonts w:eastAsia="Calibri"/>
        </w:rPr>
        <w:t xml:space="preserve"> համար հայտարարված խոշոր հարկաբյուջետային աջակցությունը կխթանի զարգացած երկրների տնտեսական ակտիվությունը, ինչը կստեղծի դրական երկրորդային ազդեցություններ առևտրային գործընկերների համար: </w:t>
      </w:r>
      <w:r w:rsidRPr="00586097">
        <w:rPr>
          <w:rFonts w:cs="Courier New"/>
        </w:rPr>
        <w:t>Համավարակի հաղթահարման նպատակով կիրառվող</w:t>
      </w:r>
      <w:r w:rsidRPr="00586097">
        <w:rPr>
          <w:rFonts w:eastAsia="Calibri"/>
        </w:rPr>
        <w:t xml:space="preserve"> պատվաստանյութերը լայնորեն մատչելի կլինեն զարգացած երկրներում, ինչպես նաև որոշ զարգացող երկրներում,</w:t>
      </w:r>
      <w:r w:rsidRPr="00586097">
        <w:rPr>
          <w:rFonts w:cs="Courier New"/>
        </w:rPr>
        <w:t xml:space="preserve"> տնտեսական սահմանափակումներն աստիճանաբար կհանվեն:</w:t>
      </w:r>
      <w:r w:rsidRPr="00586097">
        <w:rPr>
          <w:rFonts w:eastAsia="Calibri"/>
        </w:rPr>
        <w:t xml:space="preserve"> Այս պայմաններում ԱՄՀ կանխատեսումների համաձայն 2021թ.  ՀՀ հիմ</w:t>
      </w:r>
      <w:r w:rsidRPr="00586097">
        <w:rPr>
          <w:rFonts w:eastAsia="Calibri"/>
        </w:rPr>
        <w:softHyphen/>
        <w:t>նական գործընկեր երկրների արտաքին պահանջարկը կաճի 4.6%-ով</w:t>
      </w:r>
      <w:r w:rsidRPr="00586097">
        <w:rPr>
          <w:rFonts w:eastAsia="Calibri"/>
          <w:vertAlign w:val="superscript"/>
          <w:lang w:val="es-ES"/>
        </w:rPr>
        <w:footnoteReference w:id="17"/>
      </w:r>
      <w:r w:rsidRPr="00586097">
        <w:rPr>
          <w:rFonts w:eastAsia="Calibri"/>
        </w:rPr>
        <w:t>:</w:t>
      </w:r>
    </w:p>
    <w:p w14:paraId="4534FF91"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rPr>
      </w:pPr>
      <w:r w:rsidRPr="00586097">
        <w:rPr>
          <w:rFonts w:eastAsia="Calibri"/>
        </w:rPr>
        <w:t>2022թ. պատվաստանյութերը լայնորեն հասանելի կլինեն նաև զարգացող երկրների մեծամասնությունում, արդյունքում մինչև 2022թ</w:t>
      </w:r>
      <w:r w:rsidRPr="00586097">
        <w:rPr>
          <w:rFonts w:ascii="Cambria Math" w:eastAsia="Calibri" w:hAnsi="Cambria Math" w:cs="Cambria Math"/>
        </w:rPr>
        <w:t>․</w:t>
      </w:r>
      <w:r w:rsidRPr="00586097">
        <w:rPr>
          <w:rFonts w:eastAsia="Calibri"/>
        </w:rPr>
        <w:t xml:space="preserve"> ավարտը վարակի տարածումն ամենուր կնվազի՝ հասնելով ցածր մակարդակի: Այս համատեքստում, և 2021թ.-ից փոխանցվող դրական տենտեսական և հակաբյուջետային միջոցառումների ազդեցությունների պայմաններում, 2022թ. ՀՀ գործընկեր երկրների տնտեսությունների համար կանխատեսվում  է իրենց նախաճգնաժամային պոտենցիալ աճերից բարձր տնտեսական աճեր՝ նախանշելով վերականգման գործընթացը: Արդյունքում, 2022թ. վերջում տեղի կունենա ՀՀ արտաքին պահանջարկի վերականգնումը, սակայն  նոր՝ նախաճգնաժամային մակարդակից ցածր ներուժային մակարդակի պայմաններում (գործընկեր երկրներից ԵՄ-ն կվերականգնվի 2022թ. հետո): </w:t>
      </w:r>
    </w:p>
    <w:p w14:paraId="1D3D345F"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cs="Sylfaen"/>
          <w:bCs/>
        </w:rPr>
      </w:pPr>
      <w:r w:rsidRPr="00586097">
        <w:rPr>
          <w:rFonts w:eastAsia="Calibri"/>
        </w:rPr>
        <w:t>2021թ. նավթի և պղնձի բորսային գները կգրանցեն բարձր աճեր, պայմանավորված հիմնականում համաշխարհային պահանջարկի վերականգմամբ, նավթի գների բարձրացմանը կնպաստի նաև OPEC+ անդամների միջև առաջարկի շուրջ պայմանավորվածությունները: Ըստ «Բլումբերգ» միջազգային հեղինակավոր կազմակերպության փետրվարի դրությամբ ամփոփած  կանխատեսումների 2021թ. նավթի միջազգային գները կաճեն 56.5</w:t>
      </w:r>
      <w:r w:rsidRPr="00586097">
        <w:rPr>
          <w:rFonts w:eastAsia="Calibri" w:cs="Sylfaen"/>
          <w:bCs/>
        </w:rPr>
        <w:t>%-ով, իսկ պղնձի գները՝ 56.9%</w:t>
      </w:r>
      <w:r w:rsidRPr="00586097">
        <w:rPr>
          <w:rFonts w:eastAsia="Calibri"/>
        </w:rPr>
        <w:t>: 2022թ. նավթի և պղնձի գների փոփոխությունը կլինեն ոչ նշանակալի:</w:t>
      </w:r>
    </w:p>
    <w:p w14:paraId="500EDA0E"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bCs/>
        </w:rPr>
      </w:pPr>
      <w:r w:rsidRPr="00586097">
        <w:rPr>
          <w:rFonts w:eastAsia="Calibri"/>
        </w:rPr>
        <w:t xml:space="preserve">Աշխարհում տուրիզմի վերականգնումը տեղի կունենա թույլ տեմպերով, պայմանավորված համավարակի հաղթահարման անորոշություններով: Ըստ </w:t>
      </w:r>
      <w:r w:rsidRPr="00586097">
        <w:rPr>
          <w:rFonts w:eastAsia="+mn-ea" w:cs="+mn-cs"/>
          <w:color w:val="000000"/>
          <w:kern w:val="24"/>
        </w:rPr>
        <w:t>տուրիզմի համաշխարհային կազմակերպության (</w:t>
      </w:r>
      <w:r w:rsidRPr="00586097">
        <w:rPr>
          <w:rFonts w:eastAsia="Calibri"/>
          <w:lang w:val="es-ES"/>
        </w:rPr>
        <w:t xml:space="preserve">UNWTO) </w:t>
      </w:r>
      <w:r w:rsidRPr="00586097">
        <w:rPr>
          <w:rFonts w:eastAsia="Calibri"/>
        </w:rPr>
        <w:t>գնահատականների տուրիստական աշխուժությունը 2019թ</w:t>
      </w:r>
      <w:r w:rsidRPr="00586097">
        <w:rPr>
          <w:rFonts w:eastAsia="Calibri"/>
          <w:lang w:val="es-ES"/>
        </w:rPr>
        <w:t>.</w:t>
      </w:r>
      <w:r w:rsidRPr="00586097">
        <w:rPr>
          <w:rFonts w:eastAsia="Calibri"/>
        </w:rPr>
        <w:t xml:space="preserve"> մակարդակին կհասնի միայն 2024թ</w:t>
      </w:r>
      <w:r w:rsidRPr="00586097">
        <w:rPr>
          <w:rFonts w:ascii="Cambria Math" w:eastAsia="Calibri" w:hAnsi="Cambria Math" w:cs="Cambria Math"/>
        </w:rPr>
        <w:t>․</w:t>
      </w:r>
      <w:r w:rsidRPr="00586097">
        <w:rPr>
          <w:rFonts w:eastAsia="Calibri"/>
        </w:rPr>
        <w:t>-ին:  ՀՀ համար՝ հաշվի առնելով հետպատերազմյան ազդեցությունները և համաշխարհային տնտեսության նկատմամաբ ավելի դանդաղ վերականգնումը, ենթադրվել է, որ ծառայությունների արտահանումը և ներմուծումը  միայն 2025թ</w:t>
      </w:r>
      <w:r w:rsidRPr="00586097">
        <w:rPr>
          <w:rFonts w:ascii="Cambria Math" w:eastAsia="Calibri" w:hAnsi="Cambria Math" w:cs="Cambria Math"/>
        </w:rPr>
        <w:t>․</w:t>
      </w:r>
      <w:r w:rsidRPr="00586097">
        <w:rPr>
          <w:rFonts w:eastAsia="Calibri"/>
        </w:rPr>
        <w:t>-ին կհասնեն 2019թ</w:t>
      </w:r>
      <w:r w:rsidRPr="00586097">
        <w:rPr>
          <w:rFonts w:ascii="Cambria Math" w:eastAsia="Calibri" w:hAnsi="Cambria Math" w:cs="Cambria Math"/>
        </w:rPr>
        <w:t>․</w:t>
      </w:r>
      <w:r w:rsidRPr="00586097">
        <w:rPr>
          <w:rFonts w:eastAsia="Calibri"/>
        </w:rPr>
        <w:t xml:space="preserve"> մակարդակին, </w:t>
      </w:r>
    </w:p>
    <w:p w14:paraId="64D0381B" w14:textId="77777777" w:rsidR="00B7540A" w:rsidRPr="00586097" w:rsidRDefault="00B7540A" w:rsidP="00855202">
      <w:pPr>
        <w:pStyle w:val="ListBullet"/>
        <w:numPr>
          <w:ilvl w:val="0"/>
          <w:numId w:val="49"/>
        </w:numPr>
        <w:tabs>
          <w:tab w:val="clear" w:pos="360"/>
        </w:tabs>
        <w:overflowPunct/>
        <w:autoSpaceDE/>
        <w:autoSpaceDN/>
        <w:adjustRightInd/>
        <w:spacing w:before="0" w:after="120" w:line="276" w:lineRule="auto"/>
        <w:ind w:left="1008"/>
        <w:contextualSpacing/>
        <w:textAlignment w:val="auto"/>
        <w:rPr>
          <w:rFonts w:eastAsia="Calibri"/>
          <w:bCs/>
        </w:rPr>
      </w:pPr>
      <w:r w:rsidRPr="00586097">
        <w:rPr>
          <w:rFonts w:eastAsia="Calibri"/>
        </w:rPr>
        <w:t>Դ</w:t>
      </w:r>
      <w:r w:rsidRPr="00586097">
        <w:rPr>
          <w:rFonts w:eastAsia="Calibri"/>
          <w:lang w:val="es-ES"/>
        </w:rPr>
        <w:t>րամական փոխանցումներ</w:t>
      </w:r>
      <w:r w:rsidRPr="00586097">
        <w:rPr>
          <w:rFonts w:eastAsia="Calibri"/>
        </w:rPr>
        <w:t>ի</w:t>
      </w:r>
      <w:r w:rsidRPr="00586097">
        <w:rPr>
          <w:rFonts w:eastAsia="Calibri"/>
          <w:lang w:val="es-ES"/>
        </w:rPr>
        <w:t xml:space="preserve"> ԱՄՆ-ից դեպի Հայաստան 2020թ</w:t>
      </w:r>
      <w:r w:rsidRPr="00586097">
        <w:rPr>
          <w:rFonts w:ascii="Cambria Math" w:eastAsia="Calibri" w:hAnsi="Cambria Math" w:cs="Cambria Math"/>
          <w:lang w:val="es-ES"/>
        </w:rPr>
        <w:t>․</w:t>
      </w:r>
      <w:r w:rsidRPr="00586097">
        <w:rPr>
          <w:rFonts w:eastAsia="Calibri"/>
          <w:lang w:val="es-ES"/>
        </w:rPr>
        <w:t xml:space="preserve"> հունիս ամսից սկսված աննախադեպ բարձր աճը</w:t>
      </w:r>
      <w:r w:rsidRPr="00586097">
        <w:rPr>
          <w:rFonts w:eastAsia="Calibri"/>
        </w:rPr>
        <w:t>, ենթադրվում է, որ</w:t>
      </w:r>
      <w:r w:rsidRPr="00586097">
        <w:rPr>
          <w:rFonts w:eastAsia="Calibri"/>
          <w:lang w:val="es-ES"/>
        </w:rPr>
        <w:t xml:space="preserve"> կրելու է ժամանակավոր բնույթ և 2021թ</w:t>
      </w:r>
      <w:r w:rsidRPr="00586097">
        <w:rPr>
          <w:rFonts w:ascii="Cambria Math" w:eastAsia="Calibri" w:hAnsi="Cambria Math" w:cs="Cambria Math"/>
          <w:lang w:val="es-ES"/>
        </w:rPr>
        <w:t>․</w:t>
      </w:r>
      <w:r w:rsidRPr="00586097">
        <w:rPr>
          <w:rFonts w:eastAsia="Calibri"/>
          <w:lang w:val="es-ES"/>
        </w:rPr>
        <w:t xml:space="preserve"> ընթացքում տեղի է ունենալու աստիճանական վերադարձ նախորդ զարգացումներին</w:t>
      </w:r>
      <w:r w:rsidRPr="00586097">
        <w:rPr>
          <w:rFonts w:ascii="Cambria Math" w:eastAsia="Calibri" w:hAnsi="Cambria Math" w:cs="Cambria Math"/>
        </w:rPr>
        <w:t>․</w:t>
      </w:r>
      <w:r w:rsidRPr="00586097">
        <w:rPr>
          <w:rFonts w:eastAsia="Calibri"/>
          <w:lang w:val="es-ES"/>
        </w:rPr>
        <w:t xml:space="preserve"> </w:t>
      </w:r>
      <w:r w:rsidRPr="00586097">
        <w:rPr>
          <w:rFonts w:eastAsia="Calibri"/>
          <w:lang w:val="af-ZA"/>
        </w:rPr>
        <w:t>2021</w:t>
      </w:r>
      <w:r w:rsidRPr="00586097">
        <w:rPr>
          <w:rFonts w:eastAsia="Calibri"/>
        </w:rPr>
        <w:t>թ</w:t>
      </w:r>
      <w:r w:rsidRPr="00586097">
        <w:rPr>
          <w:rFonts w:eastAsia="Calibri"/>
          <w:lang w:val="af-ZA"/>
        </w:rPr>
        <w:t xml:space="preserve">. </w:t>
      </w:r>
      <w:r w:rsidRPr="00586097">
        <w:rPr>
          <w:rFonts w:eastAsia="Calibri"/>
        </w:rPr>
        <w:t>գնահատվում է</w:t>
      </w:r>
      <w:r w:rsidRPr="00586097">
        <w:rPr>
          <w:rFonts w:eastAsia="Calibri"/>
          <w:lang w:val="af-ZA"/>
        </w:rPr>
        <w:t xml:space="preserve"> </w:t>
      </w:r>
      <w:r w:rsidRPr="00586097">
        <w:rPr>
          <w:rFonts w:eastAsia="Calibri"/>
        </w:rPr>
        <w:t>ԱՄՆ-ից դրամական</w:t>
      </w:r>
      <w:r w:rsidRPr="00586097">
        <w:rPr>
          <w:rFonts w:eastAsia="Calibri"/>
          <w:lang w:val="af-ZA"/>
        </w:rPr>
        <w:t xml:space="preserve"> </w:t>
      </w:r>
      <w:r w:rsidRPr="00586097">
        <w:rPr>
          <w:rFonts w:eastAsia="Calibri"/>
        </w:rPr>
        <w:t>փոխանցումների</w:t>
      </w:r>
      <w:r w:rsidRPr="00586097">
        <w:rPr>
          <w:rFonts w:eastAsia="Calibri"/>
          <w:lang w:val="af-ZA"/>
        </w:rPr>
        <w:t xml:space="preserve"> </w:t>
      </w:r>
      <w:r w:rsidRPr="00586097">
        <w:rPr>
          <w:rFonts w:eastAsia="Calibri"/>
        </w:rPr>
        <w:t>աճի տեմպի դանդաղում</w:t>
      </w:r>
      <w:r w:rsidRPr="00586097">
        <w:rPr>
          <w:rFonts w:eastAsia="Calibri"/>
          <w:lang w:val="af-ZA"/>
        </w:rPr>
        <w:t>,</w:t>
      </w:r>
      <w:r w:rsidRPr="00586097">
        <w:rPr>
          <w:rFonts w:eastAsia="Calibri"/>
        </w:rPr>
        <w:t xml:space="preserve"> իսկ </w:t>
      </w:r>
      <w:r w:rsidRPr="00586097">
        <w:rPr>
          <w:rFonts w:eastAsia="Calibri"/>
          <w:lang w:val="es-ES"/>
        </w:rPr>
        <w:t>ՌԴ–ից դրամական փոխանցումներ</w:t>
      </w:r>
      <w:r w:rsidRPr="00586097">
        <w:rPr>
          <w:rFonts w:eastAsia="Calibri"/>
        </w:rPr>
        <w:t>ի բարձր</w:t>
      </w:r>
      <w:r w:rsidRPr="00586097">
        <w:rPr>
          <w:rFonts w:eastAsia="Calibri"/>
          <w:lang w:val="es-ES"/>
        </w:rPr>
        <w:t xml:space="preserve"> աճ՝ պայմանավորված սահմանափակումների վերացման հետևանքով դեպի ՌԴ սեզոնային արտագնա աշխատանքի մեկնողների թվի աճով</w:t>
      </w:r>
      <w:r w:rsidRPr="00586097">
        <w:rPr>
          <w:rFonts w:eastAsia="Calibri"/>
        </w:rPr>
        <w:t xml:space="preserve"> և ՌԴ տնտեսական դրական զարգացումներով:</w:t>
      </w:r>
    </w:p>
    <w:p w14:paraId="230548AA" w14:textId="77777777" w:rsidR="00B7540A" w:rsidRPr="00586097" w:rsidRDefault="00B7540A" w:rsidP="00855202">
      <w:pPr>
        <w:pStyle w:val="ListParagraph"/>
        <w:numPr>
          <w:ilvl w:val="0"/>
          <w:numId w:val="42"/>
        </w:numPr>
        <w:spacing w:before="60" w:after="120" w:line="276" w:lineRule="auto"/>
        <w:contextualSpacing w:val="0"/>
        <w:rPr>
          <w:rFonts w:eastAsia="Calibri"/>
          <w:b/>
        </w:rPr>
      </w:pPr>
      <w:r w:rsidRPr="00586097">
        <w:rPr>
          <w:rFonts w:eastAsia="Calibri"/>
          <w:b/>
        </w:rPr>
        <w:t xml:space="preserve">COVID-19 համավարակային իրավիճակ: </w:t>
      </w:r>
      <w:r w:rsidRPr="00586097">
        <w:rPr>
          <w:rFonts w:eastAsia="Calibri"/>
        </w:rPr>
        <w:t>Իմունականխարգելման 2021-2025թթ. ազգային ծրագրով նախատեսվում է կորոնավիրուսային հիվանդության բնակչության ռիսկային խմբերի շրջանում զանգվածային պատվաստումների իրականացում, 2021թ</w:t>
      </w:r>
      <w:r w:rsidRPr="00586097">
        <w:rPr>
          <w:rFonts w:ascii="Cambria Math" w:eastAsia="Calibri" w:hAnsi="Cambria Math" w:cs="Cambria Math"/>
        </w:rPr>
        <w:t>․</w:t>
      </w:r>
      <w:r w:rsidRPr="00586097">
        <w:rPr>
          <w:rFonts w:eastAsia="Calibri"/>
        </w:rPr>
        <w:t xml:space="preserve"> համավարակի աստիճանական չեզոքացում իսկ միջնաժամկետում՝ կայուն համաճարակային իրավիճակ (լաբորատոր հաստատված եզակի դեպքեր)։ Ընդ որում՝ զանգվածային պատվաստումների իրականացումն արդեն իսկ մեկնարկել է, ինչի շրջանակներում՝ մարտ ամսից սկսած Հայաստան է ներկրվել «AstraZeneca», «Sputnik-V», «Կորոնավակ» պատվաստանյութերը: 2021թ. նախատեսվում է պատվաստել բնակչության 10%-ին, ինչի արդյունքում 2021թ. համավարակի բացասական ազդեցությունները աստիճանաբար կթուլանան, իսկ միջնաժամկետում լրացուցիչ բացասական ազդեցություններ չեն սպասվում: </w:t>
      </w:r>
    </w:p>
    <w:p w14:paraId="42BE5023" w14:textId="77777777" w:rsidR="00B7540A" w:rsidRPr="00586097" w:rsidRDefault="00B7540A" w:rsidP="00C0628C">
      <w:pPr>
        <w:pStyle w:val="ListParagraph"/>
        <w:numPr>
          <w:ilvl w:val="0"/>
          <w:numId w:val="42"/>
        </w:numPr>
        <w:spacing w:before="60" w:after="40" w:line="276" w:lineRule="auto"/>
        <w:contextualSpacing w:val="0"/>
        <w:rPr>
          <w:rFonts w:eastAsia="Calibri"/>
          <w:b/>
        </w:rPr>
      </w:pPr>
      <w:r w:rsidRPr="00586097">
        <w:rPr>
          <w:rFonts w:eastAsia="Calibri"/>
          <w:b/>
        </w:rPr>
        <w:t xml:space="preserve">Արցախյան պատերազմի  տնտեսական հետևանքներ: </w:t>
      </w:r>
      <w:r w:rsidRPr="00586097">
        <w:rPr>
          <w:rFonts w:eastAsia="Calibri"/>
        </w:rPr>
        <w:t xml:space="preserve">Արցախյան պատերազմի  հետևանքով տնտեսություն փոխանցվող բացասական հետևանքները գնահատվել են հաշվի առնելով հետևյալ հանգամանքները՝ </w:t>
      </w:r>
    </w:p>
    <w:p w14:paraId="1A152DA7"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rPr>
      </w:pPr>
      <w:r w:rsidRPr="00586097">
        <w:rPr>
          <w:rFonts w:eastAsia="Calibri"/>
        </w:rPr>
        <w:t xml:space="preserve">ՀՀ գյուղատնտեսական նշանակություն ունեցող հողատարածքների Ադրբեջանի վերահսկողության տակ անցնելու և Ադրբեջանի հետ սահմանամերձ դառնալու արդյունքում ՀՀ  Սյունիքի, Գեղարքունիքի և Վայոց ձորի  մարզերում գյուղատնտեսության ոլորտի, ինչպես նաև Սոթքի հանքավայրի շահագործման մասշտաբների կրճատման հետևանքով արտահանման,  զբաղվածության, հարկային եկամուտների նվազման հետևանքով կրած և առաջացող վնասները: </w:t>
      </w:r>
    </w:p>
    <w:p w14:paraId="39851877"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rPr>
      </w:pPr>
      <w:r w:rsidRPr="00586097">
        <w:rPr>
          <w:rFonts w:eastAsia="Calibri"/>
        </w:rPr>
        <w:t>Արցախյան պատերազմի հետևանքով առաջացած նոր իրողությունների պայմաններում Արցախում ներքին պահանջարկի նվազման արդյունքում ՀՀ-ից դեպի Արցախ արտահանման ծավալների կրճատումը:</w:t>
      </w:r>
    </w:p>
    <w:p w14:paraId="42085AEE" w14:textId="77777777" w:rsidR="00B7540A" w:rsidRPr="00586097" w:rsidRDefault="00B7540A" w:rsidP="00855202">
      <w:pPr>
        <w:pStyle w:val="ListBullet"/>
        <w:numPr>
          <w:ilvl w:val="0"/>
          <w:numId w:val="49"/>
        </w:numPr>
        <w:tabs>
          <w:tab w:val="clear" w:pos="360"/>
        </w:tabs>
        <w:overflowPunct/>
        <w:autoSpaceDE/>
        <w:autoSpaceDN/>
        <w:adjustRightInd/>
        <w:spacing w:before="0" w:after="120" w:line="276" w:lineRule="auto"/>
        <w:ind w:left="1008"/>
        <w:contextualSpacing/>
        <w:textAlignment w:val="auto"/>
        <w:rPr>
          <w:rFonts w:eastAsia="Calibri"/>
        </w:rPr>
      </w:pPr>
      <w:r w:rsidRPr="00586097">
        <w:rPr>
          <w:rFonts w:eastAsia="Calibri"/>
        </w:rPr>
        <w:t>Արցախյան պատերազմի արդյունքում զոհված, վիրավորված, գերեվարված և անհայտ կորած անձանց աշխատուժից դուրս մնալու  և մասնավոր պահանջարկի նվազման հետևանքները:</w:t>
      </w:r>
    </w:p>
    <w:p w14:paraId="55954429" w14:textId="77777777" w:rsidR="00B7540A" w:rsidRPr="00586097" w:rsidRDefault="00B7540A" w:rsidP="00855202">
      <w:pPr>
        <w:pStyle w:val="ListParagraph"/>
        <w:numPr>
          <w:ilvl w:val="0"/>
          <w:numId w:val="42"/>
        </w:numPr>
        <w:spacing w:before="60" w:after="120" w:line="276" w:lineRule="auto"/>
        <w:contextualSpacing w:val="0"/>
        <w:rPr>
          <w:rFonts w:eastAsia="Calibri"/>
          <w:b/>
          <w:bCs/>
        </w:rPr>
      </w:pPr>
      <w:r w:rsidRPr="00586097">
        <w:rPr>
          <w:rFonts w:eastAsia="Calibri"/>
          <w:b/>
          <w:bCs/>
        </w:rPr>
        <w:t xml:space="preserve">Տնտեսության ներուժ և պաբերաշրջաններ: </w:t>
      </w:r>
      <w:r w:rsidRPr="00586097">
        <w:rPr>
          <w:rFonts w:eastAsia="Calibri"/>
        </w:rPr>
        <w:t>2020թ.  համավարակի և Արցախյան պատերազմի հետևանքով առաջացած  տնտեսական անկման պայմաններում ՀՀ տնտեսությունը կրել է ոչ միայն ցիկլային բացասական զարգացումներ, այլ նաև նվազել է տնտեսության ներուժը և ներուժային աճը, պայմանավորված ինչպես արտադրողականության անկմամբ, այնպես էլ արտադրական գործոնների՝ աշխատուժի և կապիտալի, ներուժային մակարդակների նվազմամբ: Միջնաժամկետում՝ պետական կապիտալ ծախսերի մակարդակի թիրախային բարձրացման և արտահանման առաջանցիկ աճի պայմաններում ներուժային աճն աստիճանաբար կվերականգնվի, սակայն այն դեռևս կգտնվի նախաճգնաժամային ներուժային աճից ավելի ցածր մակարդակում: Իսկ ներքին պահանջարկի վերականգնման արդյունքում տնտեսությունում կփակվի ՀՆԱ բացասական ճեղքը:</w:t>
      </w:r>
    </w:p>
    <w:p w14:paraId="5A64C1B8" w14:textId="77777777" w:rsidR="00B7540A" w:rsidRPr="00586097" w:rsidRDefault="00B7540A" w:rsidP="00C0628C">
      <w:pPr>
        <w:pStyle w:val="ListParagraph"/>
        <w:numPr>
          <w:ilvl w:val="0"/>
          <w:numId w:val="42"/>
        </w:numPr>
        <w:spacing w:before="60" w:after="40" w:line="276" w:lineRule="auto"/>
        <w:rPr>
          <w:rFonts w:eastAsia="Calibri"/>
          <w:b/>
        </w:rPr>
      </w:pPr>
      <w:r w:rsidRPr="00586097">
        <w:rPr>
          <w:rFonts w:eastAsia="Calibri"/>
          <w:b/>
        </w:rPr>
        <w:t>Հարկաբյուջետային քաղաքականություն.</w:t>
      </w:r>
    </w:p>
    <w:p w14:paraId="66688E1A"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rPr>
      </w:pPr>
      <w:r w:rsidRPr="00586097">
        <w:rPr>
          <w:rFonts w:eastAsia="Calibri"/>
        </w:rPr>
        <w:t>Նպատակ ունենալով ապահովել հարկաբյուջետային կայունությունը և միաժամանակ աջակցել տնտեսական վերականգնմանը` հարկաբյուջետային քաղաքականությունը 2021թ. կլինի զսպող, այնուհետև, միջնաժամկետում վերադառնալով «ոսկե կանոնների» ամբողջական պահպանմանը՝ հարկաբյուջետային քաղաքականության ազդեցությունն ամբողջական պահանջարկի վրա կլինի չեզոք:</w:t>
      </w:r>
    </w:p>
    <w:p w14:paraId="5420689D"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rPr>
      </w:pPr>
      <w:r w:rsidRPr="00586097">
        <w:rPr>
          <w:rFonts w:eastAsia="Calibri"/>
        </w:rPr>
        <w:t>2021թ. կառավարության հակաճգնաժամային միջոցառումները կշարունակվեն, իսկ միջնաժամկետում, հարկաբյուջետային կանոնների տրամաբանության համապատասխան կիրականացվի հարկաբյուջետային կոնսոլիդացիա, որի ներքո նախատեսվում է աստիճանաբար նվազեցնել պետական բյուջեի պակասուրդը՝ հասցնելով այն ՀՆԱ-ի 1.3%-ին 2024թ</w:t>
      </w:r>
      <w:r w:rsidRPr="00586097">
        <w:rPr>
          <w:rFonts w:ascii="Cambria Math" w:eastAsia="Calibri" w:hAnsi="Cambria Math" w:cs="Cambria Math"/>
        </w:rPr>
        <w:t>․</w:t>
      </w:r>
      <w:r w:rsidRPr="00586097">
        <w:rPr>
          <w:rFonts w:eastAsia="Calibri"/>
        </w:rPr>
        <w:t>-ին: Ընդ որում, հարկաբյուջետային կոնսոլիդացիան նախատեսվում է իրականացնել ընթացիկ ծախսերի աճի սահմանափակման և հարկային եկամուտների աճի միջոցով, իսկ տնտեսական ներուժի աճին նպաստող կապիտալ ծախսերի գծով նպատակադրվելու է դրանց կշռի ավելացում, ինչը թույլ կտա ապահովել իրական ՀՆԱ-ի աճի արագացում և կնպաստի կառավարության պարտքի բեռի նվազմանը մինչև «ապահով մակարդակ» (մանրամասները ներկայացված է «ՀՀ հարկաբյուջետային քաղաքականությունը 2022-2024 թվականներին» բաժնում):</w:t>
      </w:r>
    </w:p>
    <w:p w14:paraId="7A5A41D2" w14:textId="77777777" w:rsidR="00B7540A" w:rsidRPr="00586097" w:rsidRDefault="00B7540A" w:rsidP="00C0628C">
      <w:pPr>
        <w:pStyle w:val="ListParagraph"/>
        <w:numPr>
          <w:ilvl w:val="0"/>
          <w:numId w:val="42"/>
        </w:numPr>
        <w:spacing w:before="60" w:after="40" w:line="276" w:lineRule="auto"/>
        <w:rPr>
          <w:rFonts w:eastAsia="Calibri"/>
          <w:b/>
        </w:rPr>
      </w:pPr>
      <w:r w:rsidRPr="00586097">
        <w:rPr>
          <w:rFonts w:eastAsia="Calibri"/>
          <w:b/>
          <w:lang w:val="ru-RU"/>
        </w:rPr>
        <w:t>Գնաճ և դ</w:t>
      </w:r>
      <w:r w:rsidRPr="00586097">
        <w:rPr>
          <w:rFonts w:eastAsia="Calibri"/>
          <w:b/>
        </w:rPr>
        <w:t>րամավարկային քաղաքականություն</w:t>
      </w:r>
      <w:r w:rsidRPr="00586097">
        <w:rPr>
          <w:rFonts w:eastAsia="Calibri"/>
          <w:b/>
          <w:lang w:val="ru-RU"/>
        </w:rPr>
        <w:t>.</w:t>
      </w:r>
      <w:r w:rsidRPr="00586097">
        <w:rPr>
          <w:b/>
        </w:rPr>
        <w:t xml:space="preserve"> </w:t>
      </w:r>
    </w:p>
    <w:p w14:paraId="739C1FFA"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rPr>
      </w:pPr>
      <w:r w:rsidRPr="00586097">
        <w:rPr>
          <w:rFonts w:eastAsia="Calibri"/>
        </w:rPr>
        <w:tab/>
        <w:t>2020թ</w:t>
      </w:r>
      <w:r w:rsidRPr="00586097">
        <w:rPr>
          <w:rFonts w:ascii="Cambria Math" w:eastAsia="Calibri" w:hAnsi="Cambria Math" w:cs="Cambria Math"/>
        </w:rPr>
        <w:t>․</w:t>
      </w:r>
      <w:r w:rsidRPr="00586097">
        <w:rPr>
          <w:rFonts w:eastAsia="Calibri"/>
        </w:rPr>
        <w:t xml:space="preserve"> դեկտմեբերից արձանագրված գնաճի արագացումը կշարունավի  նաև 2021թ-ին պայմանավորված՝ միջազգային պարենային ապրանքների գների աճով, փոխարժեքի արժեզրկմամբ, Արցախյան պատերազմի բացասական հետևանքներով, մաքսատուրքերի և ակցիզային հարկերի բարձրացմամբ, ինչպես նաև Էլեկտրաէներգիայի սակագների փոփոխության հետևանքներով:</w:t>
      </w:r>
    </w:p>
    <w:p w14:paraId="4783C26A" w14:textId="77777777" w:rsidR="00B7540A" w:rsidRPr="00586097"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rPr>
      </w:pPr>
      <w:r w:rsidRPr="00586097">
        <w:rPr>
          <w:rFonts w:eastAsia="Calibri"/>
        </w:rPr>
        <w:t>Դրամավարկային քաղաքականությունը 2021թ. միտված է զսպելու ամբողջական պահանջարկը։ Միջնաժամկետում ցանկացած ռիսկերի դրսևորման պարագայում ԿԲ-ն պատրաստ է համապատասխանորեն արձագանքել՝ նպատակ ունենալով ապահովել գների կայունացումը թիրախի շուրջ:</w:t>
      </w:r>
    </w:p>
    <w:p w14:paraId="24C63B72" w14:textId="77777777" w:rsidR="00B7540A" w:rsidRPr="00586097" w:rsidRDefault="00B7540A" w:rsidP="00B7540A">
      <w:pPr>
        <w:pStyle w:val="ListBullet"/>
        <w:spacing w:line="276" w:lineRule="auto"/>
        <w:ind w:left="1004" w:firstLine="0"/>
        <w:rPr>
          <w:rFonts w:eastAsia="Calibri"/>
        </w:rPr>
      </w:pPr>
    </w:p>
    <w:p w14:paraId="63E33D35" w14:textId="77777777" w:rsidR="00B7540A" w:rsidRPr="007309DA" w:rsidRDefault="007309DA" w:rsidP="007309DA">
      <w:pPr>
        <w:pStyle w:val="Heading3"/>
        <w:shd w:val="clear" w:color="auto" w:fill="FFFFFF" w:themeFill="background1"/>
        <w:rPr>
          <w:rFonts w:cs="Sylfaen"/>
          <w:bCs/>
          <w:caps w:val="0"/>
          <w:color w:val="1F497D" w:themeColor="text2"/>
          <w:sz w:val="28"/>
          <w:szCs w:val="28"/>
        </w:rPr>
      </w:pPr>
      <w:bookmarkStart w:id="467" w:name="_Toc77249730"/>
      <w:bookmarkStart w:id="468" w:name="_Toc77451197"/>
      <w:bookmarkStart w:id="469" w:name="_Toc77837849"/>
      <w:r>
        <w:rPr>
          <w:rFonts w:cs="Sylfaen"/>
          <w:bCs/>
          <w:caps w:val="0"/>
          <w:color w:val="1F497D" w:themeColor="text2"/>
          <w:sz w:val="28"/>
          <w:szCs w:val="28"/>
          <w:lang w:val="en-US"/>
        </w:rPr>
        <w:t xml:space="preserve">1.5. </w:t>
      </w:r>
      <w:r w:rsidR="00B7540A" w:rsidRPr="007309DA">
        <w:rPr>
          <w:rFonts w:cs="Sylfaen"/>
          <w:bCs/>
          <w:caps w:val="0"/>
          <w:color w:val="1F497D" w:themeColor="text2"/>
          <w:sz w:val="28"/>
          <w:szCs w:val="28"/>
        </w:rPr>
        <w:t>ՄԱԿՐՈՏՆՏԵՍԱԿԱՆ ԿԱՆԽԱՏԵՍՈՒՄՆԵՐԻ ՌԻՍԿԵՐԸ</w:t>
      </w:r>
      <w:bookmarkEnd w:id="467"/>
      <w:bookmarkEnd w:id="468"/>
      <w:bookmarkEnd w:id="469"/>
    </w:p>
    <w:p w14:paraId="1FB00E52" w14:textId="77777777" w:rsidR="00B7540A" w:rsidRPr="00B7540A" w:rsidRDefault="00B7540A" w:rsidP="00B7540A">
      <w:pPr>
        <w:spacing w:line="276" w:lineRule="auto"/>
        <w:rPr>
          <w:rFonts w:eastAsia="Calibri"/>
          <w:lang w:val="hy-AM"/>
        </w:rPr>
      </w:pPr>
      <w:r w:rsidRPr="00586097">
        <w:rPr>
          <w:rFonts w:eastAsia="Calibri"/>
          <w:lang w:val="es-ES"/>
        </w:rPr>
        <w:t>Կանխատեսման առկա ռիսկերը պայմանավորվում են ինչպես արտաքին, այնպես էլ ներքին տնտեսական գործոններով, որոնք կարող են հանգեցնել ինչպես տնտեսական աճի տեմպերի ավելացմանը, այնպես էլ նվազմանը՝ ներկայացված կենտրոնական</w:t>
      </w:r>
      <w:r w:rsidRPr="00B7540A">
        <w:rPr>
          <w:rFonts w:eastAsia="Calibri"/>
          <w:lang w:val="hy-AM"/>
        </w:rPr>
        <w:t xml:space="preserve"> </w:t>
      </w:r>
      <w:r w:rsidRPr="00586097">
        <w:rPr>
          <w:rFonts w:eastAsia="Calibri"/>
          <w:lang w:val="es-ES"/>
        </w:rPr>
        <w:t>կանխատեսումների համեմատ:</w:t>
      </w:r>
      <w:r w:rsidRPr="00B7540A">
        <w:rPr>
          <w:rFonts w:eastAsia="Calibri"/>
          <w:lang w:val="hy-AM"/>
        </w:rPr>
        <w:t xml:space="preserve"> Ռիսկերի տեղի ունենալու դեպքում շեղումներ կարձանագրվեն սույն փաստաթղթի </w:t>
      </w:r>
      <w:r w:rsidRPr="00586097">
        <w:rPr>
          <w:rFonts w:eastAsia="Calibri"/>
          <w:lang w:val="es-ES"/>
        </w:rPr>
        <w:t>1.4</w:t>
      </w:r>
      <w:r w:rsidRPr="00B7540A">
        <w:rPr>
          <w:rFonts w:eastAsia="Calibri"/>
          <w:lang w:val="hy-AM"/>
        </w:rPr>
        <w:t xml:space="preserve"> բաժնում ներկայացված ենթադրություններից՝ հանգեցնելով մակրոտնտեսական կանխատեսումներից շեղումների և դրա հետևանքով էլ հարկաբյուջետային շրջանակի ցուցանիշների շեղման այս ՄԺԾԾ շրջանակից։</w:t>
      </w:r>
    </w:p>
    <w:p w14:paraId="40222120" w14:textId="77777777" w:rsidR="00B7540A" w:rsidRPr="00B7540A" w:rsidRDefault="00B7540A" w:rsidP="00B7540A">
      <w:pPr>
        <w:spacing w:line="276" w:lineRule="auto"/>
        <w:rPr>
          <w:rFonts w:eastAsia="Calibri" w:cs="Sylfaen"/>
          <w:lang w:val="hy-AM"/>
        </w:rPr>
      </w:pPr>
      <w:r w:rsidRPr="00B7540A">
        <w:rPr>
          <w:rFonts w:eastAsia="Calibri"/>
          <w:lang w:val="hy-AM"/>
        </w:rPr>
        <w:t>Պետք է նշել, որ համաշխարհային տնտեսության զարգացման ընթացքը մեծապես կախված է COVID-19 համավարակի հաղթահարմանն ուղղված առողջապահական միջոցառումներից և աջակցության փաթեթներից։ Այս պայմաններում, ինչպես աշխարհի և ՀՀ գործընկերների, այնպես էլ ՀՀ տնտեսական աճի կանխատեսումներում ռիսկերը գնահատվում են հավասարակշռված։</w:t>
      </w:r>
    </w:p>
    <w:p w14:paraId="785DB172" w14:textId="77777777" w:rsidR="007309DA" w:rsidRDefault="007309DA" w:rsidP="007309DA">
      <w:pPr>
        <w:spacing w:line="276" w:lineRule="auto"/>
        <w:rPr>
          <w:rFonts w:eastAsia="Calibri"/>
          <w:b/>
          <w:lang w:val="hy-AM"/>
        </w:rPr>
      </w:pPr>
      <w:bookmarkStart w:id="470" w:name="_Toc77249731"/>
      <w:bookmarkStart w:id="471" w:name="_Toc77451198"/>
    </w:p>
    <w:p w14:paraId="3D6D670A" w14:textId="77777777" w:rsidR="00B7540A" w:rsidRPr="007309DA" w:rsidRDefault="007309DA" w:rsidP="007309DA">
      <w:pPr>
        <w:spacing w:line="276" w:lineRule="auto"/>
        <w:rPr>
          <w:color w:val="1F497D" w:themeColor="text2"/>
          <w:lang w:val="hy-AM"/>
        </w:rPr>
      </w:pPr>
      <w:r w:rsidRPr="007309DA">
        <w:rPr>
          <w:rFonts w:eastAsia="Calibri"/>
          <w:b/>
          <w:color w:val="1F497D" w:themeColor="text2"/>
          <w:lang w:val="hy-AM"/>
        </w:rPr>
        <w:t>1.5.1. ՀՀ ՏՆՏԵՍԱԿԱՆ ԱՃԻ ԴԵՊԻ ՆԵՐՔԵՎ ՈՒՂՂՈՒԹՅԱՄԲ ՌԻՍԿԵՐ</w:t>
      </w:r>
      <w:bookmarkEnd w:id="470"/>
      <w:bookmarkEnd w:id="471"/>
    </w:p>
    <w:p w14:paraId="2916B197" w14:textId="77777777" w:rsidR="00B7540A" w:rsidRPr="00B7540A" w:rsidRDefault="00B7540A" w:rsidP="00B7540A">
      <w:pPr>
        <w:spacing w:line="276" w:lineRule="auto"/>
        <w:rPr>
          <w:rFonts w:eastAsia="Calibri"/>
          <w:lang w:val="hy-AM"/>
        </w:rPr>
      </w:pPr>
      <w:r w:rsidRPr="00B7540A">
        <w:rPr>
          <w:rFonts w:eastAsia="Calibri"/>
          <w:b/>
          <w:lang w:val="hy-AM"/>
        </w:rPr>
        <w:t>Արտաքին միջավայրից</w:t>
      </w:r>
      <w:r w:rsidRPr="00B7540A">
        <w:rPr>
          <w:rFonts w:eastAsia="Calibri"/>
          <w:lang w:val="hy-AM"/>
        </w:rPr>
        <w:t xml:space="preserve"> բխող դեպի ներքև ռիսկերը պայմանվորված են՝ </w:t>
      </w:r>
    </w:p>
    <w:p w14:paraId="66A7C838"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 xml:space="preserve">Համաշխարհային տնտեսության, մասնավորապես ՀՀ գործընկեր երկրների տնտեսությունների սպասվածից ավելի դանդաղ վերականգմամբ,  </w:t>
      </w:r>
    </w:p>
    <w:p w14:paraId="4DB8E86E"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Համավարակի դեմ պատվաստանյութերի տարածման սպասվածից ավելի դանդաղ  ընթացքով, պատվաստումներ կատարելու նկատմամբ բնակչության թույլ պատրաստակամությամբ, երկրների սահմանների բացման և փոխադրումների սահմանափակումների վերացման սպասվածից ավելի դանդաղ ընթացքով, ինչպես նաև համավարակի դեմ պատվաստումների սպասվածից վատ արդյունքներով:</w:t>
      </w:r>
    </w:p>
    <w:p w14:paraId="49B9A6DE" w14:textId="77777777" w:rsidR="00B7540A" w:rsidRPr="00B7540A" w:rsidRDefault="00B7540A" w:rsidP="00B7540A">
      <w:pPr>
        <w:spacing w:line="276" w:lineRule="auto"/>
        <w:rPr>
          <w:rFonts w:eastAsia="Calibri"/>
          <w:lang w:val="hy-AM"/>
        </w:rPr>
      </w:pPr>
      <w:r w:rsidRPr="00B7540A">
        <w:rPr>
          <w:rFonts w:eastAsia="Calibri"/>
          <w:b/>
          <w:lang w:val="hy-AM"/>
        </w:rPr>
        <w:t>Ներքին միջավայրից</w:t>
      </w:r>
      <w:r w:rsidRPr="00B7540A">
        <w:rPr>
          <w:rFonts w:eastAsia="Calibri"/>
          <w:lang w:val="hy-AM"/>
        </w:rPr>
        <w:t xml:space="preserve"> բխող դեպի ներքև ռիսկերը պայմանավորված են՝</w:t>
      </w:r>
    </w:p>
    <w:p w14:paraId="7243637E"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bCs/>
          <w:lang w:val="hy-AM"/>
        </w:rPr>
      </w:pPr>
      <w:r w:rsidRPr="00B7540A">
        <w:rPr>
          <w:rFonts w:eastAsia="Calibri"/>
          <w:lang w:val="hy-AM"/>
        </w:rPr>
        <w:t>ՀՀ-ում</w:t>
      </w:r>
      <w:r w:rsidRPr="00B7540A">
        <w:rPr>
          <w:rFonts w:eastAsia="Calibri"/>
          <w:i/>
          <w:lang w:val="hy-AM"/>
        </w:rPr>
        <w:t xml:space="preserve"> </w:t>
      </w:r>
      <w:r w:rsidRPr="00B7540A">
        <w:rPr>
          <w:rFonts w:eastAsia="Calibri"/>
          <w:lang w:val="hy-AM"/>
        </w:rPr>
        <w:t xml:space="preserve">կորոնավիրուսի համավարակի տարածման անորոշություններով, ինչպես նաև </w:t>
      </w:r>
      <w:r w:rsidRPr="00B7540A">
        <w:rPr>
          <w:rFonts w:eastAsia="Calibri"/>
          <w:bCs/>
          <w:lang w:val="hy-AM"/>
        </w:rPr>
        <w:t>նոր</w:t>
      </w:r>
      <w:r w:rsidRPr="00B7540A">
        <w:rPr>
          <w:rFonts w:ascii="Calibri" w:eastAsia="Calibri" w:hAnsi="Calibri" w:cs="Calibri"/>
          <w:bCs/>
          <w:lang w:val="hy-AM"/>
        </w:rPr>
        <w:t> </w:t>
      </w:r>
      <w:r w:rsidRPr="00B7540A">
        <w:rPr>
          <w:rFonts w:eastAsia="Calibri"/>
          <w:bCs/>
          <w:lang w:val="hy-AM"/>
        </w:rPr>
        <w:t xml:space="preserve">շտամի տարածման հետևանքով հետագա տնտեսական կորուստներով, </w:t>
      </w:r>
    </w:p>
    <w:p w14:paraId="1E4CD89A"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 xml:space="preserve">ՀՀ կառավարության աջակցության փաթեթների ազդեցության ավելի դանդաղ դրսևորմամբ, </w:t>
      </w:r>
    </w:p>
    <w:p w14:paraId="051E614B" w14:textId="77777777" w:rsid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ՀՀ կառավարության կառուցվածքային բարեփոխումների և ներդրումների խթանման քաղաքականության ակնկալվող արդյունքների սպասվածից ավելի ուշ արտահայտմամբ, ինչպես նաև քաղաքական գործընթացներով պայմանավորված ռիսկեր:</w:t>
      </w:r>
    </w:p>
    <w:p w14:paraId="79872973" w14:textId="77777777" w:rsidR="007309DA" w:rsidRPr="00B7540A" w:rsidRDefault="007309DA" w:rsidP="007309DA">
      <w:pPr>
        <w:pStyle w:val="ListBullet"/>
        <w:tabs>
          <w:tab w:val="clear" w:pos="360"/>
        </w:tabs>
        <w:overflowPunct/>
        <w:autoSpaceDE/>
        <w:autoSpaceDN/>
        <w:adjustRightInd/>
        <w:spacing w:before="0" w:after="120" w:line="276" w:lineRule="auto"/>
        <w:ind w:left="1004" w:firstLine="0"/>
        <w:contextualSpacing/>
        <w:textAlignment w:val="auto"/>
        <w:rPr>
          <w:rFonts w:eastAsia="Calibri"/>
          <w:lang w:val="hy-AM"/>
        </w:rPr>
      </w:pPr>
    </w:p>
    <w:p w14:paraId="514E0B40" w14:textId="77777777" w:rsidR="00B7540A" w:rsidRPr="007309DA" w:rsidRDefault="007309DA" w:rsidP="007309DA">
      <w:pPr>
        <w:spacing w:line="276" w:lineRule="auto"/>
        <w:rPr>
          <w:rFonts w:eastAsia="Calibri"/>
          <w:b/>
          <w:color w:val="1F497D" w:themeColor="text2"/>
          <w:lang w:val="hy-AM"/>
        </w:rPr>
      </w:pPr>
      <w:bookmarkStart w:id="472" w:name="_Toc77249732"/>
      <w:bookmarkStart w:id="473" w:name="_Toc77451199"/>
      <w:r w:rsidRPr="007309DA">
        <w:rPr>
          <w:rFonts w:eastAsia="Calibri"/>
          <w:b/>
          <w:color w:val="1F497D" w:themeColor="text2"/>
          <w:lang w:val="hy-AM"/>
        </w:rPr>
        <w:t>1.5.2. ՏՆՏԵՍԱԿԱՆ ԱՃԻ ԴԵՊԻ ՎԵՐԵՎ ՈՒՂՂՈՒԹՅԱՄԲ ՌԻՍԿԵՐ</w:t>
      </w:r>
      <w:bookmarkEnd w:id="472"/>
      <w:bookmarkEnd w:id="473"/>
      <w:r w:rsidRPr="007309DA">
        <w:rPr>
          <w:rFonts w:eastAsia="Calibri"/>
          <w:b/>
          <w:color w:val="1F497D" w:themeColor="text2"/>
          <w:lang w:val="hy-AM"/>
        </w:rPr>
        <w:t xml:space="preserve"> </w:t>
      </w:r>
    </w:p>
    <w:p w14:paraId="3A127470" w14:textId="77777777" w:rsidR="00B7540A" w:rsidRPr="00B7540A" w:rsidRDefault="00B7540A" w:rsidP="00B7540A">
      <w:pPr>
        <w:spacing w:line="276" w:lineRule="auto"/>
        <w:rPr>
          <w:rFonts w:eastAsia="Calibri"/>
          <w:lang w:val="hy-AM"/>
        </w:rPr>
      </w:pPr>
      <w:r w:rsidRPr="00B7540A">
        <w:rPr>
          <w:rFonts w:eastAsia="Calibri"/>
          <w:lang w:val="hy-AM"/>
        </w:rPr>
        <w:t xml:space="preserve">     Արտաքին գործոններից բխող դեպի վերև ռիսկերը պայմանավորված են՝ </w:t>
      </w:r>
    </w:p>
    <w:p w14:paraId="7109AC86"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 xml:space="preserve"> ՀՀ գործընկեր երկրների, մասնավորապես՝ Ռուսաստանի, Եվրոգոտու, ԱՄՆ-ի և Չինաստանի արտաքին պահանջարկի վերականգման, ինչպես նաև հանքահումքային ապրանքների, մասնավորապես՝ պղնձի միջազգային գների սպասվածից ավելի դրական զարգացումներով: Վերոնշյալ ռիսկերը,  արդեն մայիսի դրությամբ հասանելի տեղեկատվության համաձայն, որոշակիորեն առարկայացել են,</w:t>
      </w:r>
    </w:p>
    <w:p w14:paraId="1B2C8798"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Աշխարհի մասշտաբով, պատվաստանյութերի առավել ընդգրկուն և մասսայական կիրառման արդյունքում երկրների միջև սահմանափակումների նախատեսվածից արագ վերացման պայմաններում համաշխարհային տուրիզմի սպասվածից ավելի շուտ վերականգմամբ,</w:t>
      </w:r>
    </w:p>
    <w:p w14:paraId="165A8FE3"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ԱՄՆ-ից դեպի Հայաստան դրամական փոխանցումների բարձր մակարդակի պահպանմամբ,</w:t>
      </w:r>
    </w:p>
    <w:p w14:paraId="2B4EBDC0"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ԵՄ աջակցության շրջանակներում 4 տարվա ընթացքում 2.6 մլրդ եվրո ներդրման առարկայացմամբ:</w:t>
      </w:r>
    </w:p>
    <w:p w14:paraId="06D230C4" w14:textId="77777777" w:rsidR="00B7540A" w:rsidRPr="00B7540A" w:rsidRDefault="00B7540A" w:rsidP="00B7540A">
      <w:pPr>
        <w:spacing w:line="276" w:lineRule="auto"/>
        <w:rPr>
          <w:rFonts w:eastAsia="Calibri"/>
          <w:lang w:val="hy-AM"/>
        </w:rPr>
      </w:pPr>
      <w:r w:rsidRPr="00B7540A">
        <w:rPr>
          <w:rFonts w:eastAsia="Calibri"/>
          <w:lang w:val="hy-AM"/>
        </w:rPr>
        <w:t xml:space="preserve">Ներքին միջավայրից բխող դեպի վերև ռիսկերը պայմանավորված են` </w:t>
      </w:r>
    </w:p>
    <w:p w14:paraId="48A583A7"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ՀՀ կառավարության Տնտեսական արձագանքման ծրագրով</w:t>
      </w:r>
      <w:r w:rsidRPr="00586097">
        <w:rPr>
          <w:rStyle w:val="FootnoteReference"/>
          <w:rFonts w:eastAsia="Calibri" w:cs="Sylfaen"/>
          <w:bCs/>
        </w:rPr>
        <w:footnoteReference w:id="18"/>
      </w:r>
      <w:r w:rsidRPr="00B7540A">
        <w:rPr>
          <w:rFonts w:eastAsia="Calibri"/>
          <w:lang w:val="hy-AM"/>
        </w:rPr>
        <w:t xml:space="preserve"> նախատեսված խոշոր մասնավոր ներդրումային ծրագրերի իրականացմամբ,</w:t>
      </w:r>
    </w:p>
    <w:p w14:paraId="10B87D34"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Մասնավոր ներդրումների խթանմանն ուղղված ծրագրի (ANIF) իրականացման՝ տնտեսական ակտիվության վրա հնարավոր լրացուցիչ դրական ազդեցությամբ,</w:t>
      </w:r>
    </w:p>
    <w:p w14:paraId="10A7FE13"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eastAsia="Calibri"/>
          <w:lang w:val="hy-AM"/>
        </w:rPr>
      </w:pPr>
      <w:r w:rsidRPr="00B7540A">
        <w:rPr>
          <w:rFonts w:eastAsia="Calibri"/>
          <w:lang w:val="hy-AM"/>
        </w:rPr>
        <w:t>Ամուլսարի շահագործումից բխող տնտեսական ակտիվությամբ:</w:t>
      </w:r>
    </w:p>
    <w:p w14:paraId="17CACBA3" w14:textId="77777777" w:rsidR="00B7540A" w:rsidRPr="00B7540A" w:rsidRDefault="00B7540A" w:rsidP="00B7540A">
      <w:pPr>
        <w:spacing w:line="276" w:lineRule="auto"/>
        <w:rPr>
          <w:rFonts w:eastAsia="Calibri"/>
          <w:lang w:val="hy-AM"/>
        </w:rPr>
      </w:pPr>
    </w:p>
    <w:p w14:paraId="59F2F08C" w14:textId="77777777" w:rsidR="00B7540A" w:rsidRPr="00F36B2F" w:rsidRDefault="00B7540A" w:rsidP="00B7540A">
      <w:pPr>
        <w:pStyle w:val="afc"/>
        <w:spacing w:line="276" w:lineRule="auto"/>
        <w:rPr>
          <w:rFonts w:eastAsia="Calibri"/>
          <w:szCs w:val="20"/>
          <w:u w:val="single"/>
        </w:rPr>
      </w:pPr>
      <w:r w:rsidRPr="00F36B2F">
        <w:rPr>
          <w:rFonts w:eastAsia="Calibri"/>
          <w:szCs w:val="20"/>
        </w:rPr>
        <w:t>Գծապատկեր 1.40. Իրական ՀՆԱ-ի աճի կանխատեսման հավանականությունների բաշխումը (Fan Chart)</w:t>
      </w:r>
    </w:p>
    <w:p w14:paraId="58031DE0" w14:textId="77777777" w:rsidR="00B7540A" w:rsidRPr="00586097" w:rsidRDefault="00B7540A" w:rsidP="00B7540A">
      <w:pPr>
        <w:spacing w:line="276" w:lineRule="auto"/>
        <w:rPr>
          <w:rFonts w:eastAsia="Calibri" w:cs="Sylfaen"/>
        </w:rPr>
      </w:pPr>
      <w:r w:rsidRPr="00586097">
        <w:rPr>
          <w:noProof/>
        </w:rPr>
        <w:drawing>
          <wp:inline distT="0" distB="0" distL="0" distR="0" wp14:anchorId="61865685" wp14:editId="79B20BFF">
            <wp:extent cx="5851931" cy="2508885"/>
            <wp:effectExtent l="0" t="0" r="15875" b="5715"/>
            <wp:docPr id="26" name="Chart 26">
              <a:extLst xmlns:a="http://schemas.openxmlformats.org/drawingml/2006/main">
                <a:ext uri="{FF2B5EF4-FFF2-40B4-BE49-F238E27FC236}">
                  <a16:creationId xmlns:a16="http://schemas.microsoft.com/office/drawing/2014/main" id="{8447AD04-26DB-425E-89DD-86312CDD6D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A9DED40" w14:textId="77777777" w:rsidR="00B7540A" w:rsidRPr="00F36B2F" w:rsidRDefault="00B7540A" w:rsidP="00B7540A">
      <w:pPr>
        <w:pStyle w:val="afd"/>
        <w:rPr>
          <w:szCs w:val="22"/>
        </w:rPr>
      </w:pPr>
      <w:r w:rsidRPr="00F36B2F">
        <w:rPr>
          <w:szCs w:val="22"/>
        </w:rPr>
        <w:t>Աղբյուրը՝ ՀՀ ՖՆ գնահատումներ և կանխատեսումներ</w:t>
      </w:r>
    </w:p>
    <w:p w14:paraId="019A6F3B" w14:textId="77777777" w:rsidR="00B7540A" w:rsidRPr="00586097" w:rsidRDefault="00B7540A" w:rsidP="006F3B91">
      <w:pPr>
        <w:pStyle w:val="afa"/>
        <w:spacing w:before="120" w:line="276" w:lineRule="auto"/>
        <w:ind w:firstLine="562"/>
        <w:rPr>
          <w:u w:val="single"/>
        </w:rPr>
      </w:pPr>
      <w:r w:rsidRPr="00586097">
        <w:t>Աղյուսակ 1.4. Իրական ՀՆԱ-ի աճի կանխատեսման հավանականությունների բաշխումը</w:t>
      </w:r>
      <w:r w:rsidRPr="00586097">
        <w:rPr>
          <w:vertAlign w:val="superscript"/>
        </w:rPr>
        <w:footnoteReference w:id="19"/>
      </w:r>
    </w:p>
    <w:tbl>
      <w:tblPr>
        <w:tblW w:w="7420" w:type="dxa"/>
        <w:tblInd w:w="110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ook w:val="04A0" w:firstRow="1" w:lastRow="0" w:firstColumn="1" w:lastColumn="0" w:noHBand="0" w:noVBand="1"/>
      </w:tblPr>
      <w:tblGrid>
        <w:gridCol w:w="1519"/>
        <w:gridCol w:w="1530"/>
        <w:gridCol w:w="1440"/>
        <w:gridCol w:w="1530"/>
        <w:gridCol w:w="1440"/>
      </w:tblGrid>
      <w:tr w:rsidR="00B7540A" w:rsidRPr="00586097" w14:paraId="582B2D20" w14:textId="77777777" w:rsidTr="007309DA">
        <w:trPr>
          <w:trHeight w:val="570"/>
          <w:tblHeader/>
        </w:trPr>
        <w:tc>
          <w:tcPr>
            <w:tcW w:w="1480" w:type="dxa"/>
            <w:vMerge w:val="restart"/>
            <w:shd w:val="clear" w:color="auto" w:fill="DBE5F1" w:themeFill="accent1" w:themeFillTint="33"/>
            <w:vAlign w:val="center"/>
            <w:hideMark/>
          </w:tcPr>
          <w:p w14:paraId="1CA9D5D2" w14:textId="77777777" w:rsidR="00B7540A" w:rsidRPr="00586097" w:rsidRDefault="00B7540A" w:rsidP="00B7540A">
            <w:pPr>
              <w:spacing w:line="276" w:lineRule="auto"/>
              <w:ind w:firstLine="0"/>
            </w:pPr>
            <w:r w:rsidRPr="00586097">
              <w:t>Տնտեսական աճի միջակայքը, %</w:t>
            </w:r>
          </w:p>
        </w:tc>
        <w:tc>
          <w:tcPr>
            <w:tcW w:w="5940" w:type="dxa"/>
            <w:gridSpan w:val="4"/>
            <w:shd w:val="clear" w:color="auto" w:fill="DBE5F1" w:themeFill="accent1" w:themeFillTint="33"/>
            <w:vAlign w:val="center"/>
            <w:hideMark/>
          </w:tcPr>
          <w:p w14:paraId="3A7C9349" w14:textId="77777777" w:rsidR="00B7540A" w:rsidRPr="00586097" w:rsidRDefault="00B7540A" w:rsidP="00B7540A">
            <w:pPr>
              <w:spacing w:line="276" w:lineRule="auto"/>
              <w:ind w:firstLine="0"/>
            </w:pPr>
            <w:r w:rsidRPr="00586097">
              <w:t>Տնտեսական աճի` տվյալ միջակայքում ձևավորվելու հավանականությունը, %</w:t>
            </w:r>
          </w:p>
        </w:tc>
      </w:tr>
      <w:tr w:rsidR="00B7540A" w:rsidRPr="00586097" w14:paraId="4F1052F5" w14:textId="77777777" w:rsidTr="007309DA">
        <w:trPr>
          <w:trHeight w:val="713"/>
          <w:tblHeader/>
        </w:trPr>
        <w:tc>
          <w:tcPr>
            <w:tcW w:w="1480" w:type="dxa"/>
            <w:vMerge/>
            <w:shd w:val="clear" w:color="auto" w:fill="DBE5F1" w:themeFill="accent1" w:themeFillTint="33"/>
            <w:vAlign w:val="center"/>
            <w:hideMark/>
          </w:tcPr>
          <w:p w14:paraId="0B6EFF71" w14:textId="77777777" w:rsidR="00B7540A" w:rsidRPr="00586097" w:rsidRDefault="00B7540A" w:rsidP="00B7540A">
            <w:pPr>
              <w:spacing w:line="276" w:lineRule="auto"/>
            </w:pPr>
          </w:p>
        </w:tc>
        <w:tc>
          <w:tcPr>
            <w:tcW w:w="1530" w:type="dxa"/>
            <w:shd w:val="clear" w:color="auto" w:fill="DBE5F1" w:themeFill="accent1" w:themeFillTint="33"/>
            <w:vAlign w:val="center"/>
            <w:hideMark/>
          </w:tcPr>
          <w:p w14:paraId="3C4A4B39" w14:textId="77777777" w:rsidR="00B7540A" w:rsidRPr="00586097" w:rsidRDefault="00B7540A" w:rsidP="00B7540A">
            <w:pPr>
              <w:spacing w:line="276" w:lineRule="auto"/>
              <w:ind w:firstLine="0"/>
              <w:jc w:val="center"/>
            </w:pPr>
            <w:r w:rsidRPr="00586097">
              <w:t>2021</w:t>
            </w:r>
          </w:p>
        </w:tc>
        <w:tc>
          <w:tcPr>
            <w:tcW w:w="1440" w:type="dxa"/>
            <w:shd w:val="clear" w:color="auto" w:fill="DBE5F1" w:themeFill="accent1" w:themeFillTint="33"/>
            <w:noWrap/>
            <w:vAlign w:val="center"/>
            <w:hideMark/>
          </w:tcPr>
          <w:p w14:paraId="093493E4" w14:textId="77777777" w:rsidR="00B7540A" w:rsidRPr="00586097" w:rsidRDefault="00B7540A" w:rsidP="00B7540A">
            <w:pPr>
              <w:spacing w:line="276" w:lineRule="auto"/>
              <w:ind w:firstLine="0"/>
              <w:jc w:val="center"/>
            </w:pPr>
            <w:r w:rsidRPr="00586097">
              <w:t>2022</w:t>
            </w:r>
          </w:p>
        </w:tc>
        <w:tc>
          <w:tcPr>
            <w:tcW w:w="1530" w:type="dxa"/>
            <w:shd w:val="clear" w:color="auto" w:fill="DBE5F1" w:themeFill="accent1" w:themeFillTint="33"/>
            <w:vAlign w:val="center"/>
            <w:hideMark/>
          </w:tcPr>
          <w:p w14:paraId="411A3E90" w14:textId="77777777" w:rsidR="00B7540A" w:rsidRPr="00586097" w:rsidRDefault="00B7540A" w:rsidP="00B7540A">
            <w:pPr>
              <w:spacing w:line="276" w:lineRule="auto"/>
              <w:ind w:firstLine="0"/>
              <w:jc w:val="center"/>
            </w:pPr>
            <w:r w:rsidRPr="00586097">
              <w:t>2023</w:t>
            </w:r>
          </w:p>
        </w:tc>
        <w:tc>
          <w:tcPr>
            <w:tcW w:w="1440" w:type="dxa"/>
            <w:shd w:val="clear" w:color="auto" w:fill="DBE5F1" w:themeFill="accent1" w:themeFillTint="33"/>
            <w:noWrap/>
            <w:vAlign w:val="center"/>
            <w:hideMark/>
          </w:tcPr>
          <w:p w14:paraId="26DEDEA6" w14:textId="77777777" w:rsidR="00B7540A" w:rsidRPr="00586097" w:rsidRDefault="00B7540A" w:rsidP="00B7540A">
            <w:pPr>
              <w:spacing w:line="276" w:lineRule="auto"/>
              <w:ind w:firstLine="0"/>
              <w:jc w:val="center"/>
            </w:pPr>
            <w:r w:rsidRPr="00586097">
              <w:t>2024</w:t>
            </w:r>
          </w:p>
        </w:tc>
      </w:tr>
      <w:tr w:rsidR="00B7540A" w:rsidRPr="00586097" w14:paraId="037F60AE" w14:textId="77777777" w:rsidTr="00B7540A">
        <w:trPr>
          <w:trHeight w:val="170"/>
        </w:trPr>
        <w:tc>
          <w:tcPr>
            <w:tcW w:w="1480" w:type="dxa"/>
            <w:shd w:val="clear" w:color="auto" w:fill="auto"/>
            <w:noWrap/>
            <w:vAlign w:val="center"/>
            <w:hideMark/>
          </w:tcPr>
          <w:p w14:paraId="404B53E0" w14:textId="77777777" w:rsidR="00B7540A" w:rsidRPr="00586097" w:rsidRDefault="00B7540A" w:rsidP="00B7540A">
            <w:pPr>
              <w:spacing w:line="276" w:lineRule="auto"/>
              <w:ind w:firstLine="0"/>
              <w:jc w:val="center"/>
            </w:pPr>
            <w:r w:rsidRPr="00586097">
              <w:t>1.5 - 3.5</w:t>
            </w:r>
          </w:p>
        </w:tc>
        <w:tc>
          <w:tcPr>
            <w:tcW w:w="1530" w:type="dxa"/>
            <w:shd w:val="clear" w:color="auto" w:fill="auto"/>
            <w:noWrap/>
            <w:vAlign w:val="center"/>
            <w:hideMark/>
          </w:tcPr>
          <w:p w14:paraId="24DD8E2B" w14:textId="77777777" w:rsidR="00B7540A" w:rsidRPr="00586097" w:rsidRDefault="00B7540A" w:rsidP="00B7540A">
            <w:pPr>
              <w:spacing w:line="276" w:lineRule="auto"/>
              <w:ind w:firstLine="0"/>
              <w:jc w:val="center"/>
              <w:rPr>
                <w:rFonts w:cs="Calibri"/>
                <w:color w:val="000000"/>
              </w:rPr>
            </w:pPr>
            <w:r w:rsidRPr="00586097">
              <w:t>11.6</w:t>
            </w:r>
          </w:p>
        </w:tc>
        <w:tc>
          <w:tcPr>
            <w:tcW w:w="1440" w:type="dxa"/>
            <w:tcBorders>
              <w:bottom w:val="double" w:sz="4" w:space="0" w:color="4F81BD" w:themeColor="accent1"/>
            </w:tcBorders>
            <w:shd w:val="clear" w:color="auto" w:fill="auto"/>
            <w:noWrap/>
            <w:vAlign w:val="center"/>
            <w:hideMark/>
          </w:tcPr>
          <w:p w14:paraId="62A3E0A2" w14:textId="77777777" w:rsidR="00B7540A" w:rsidRPr="00586097" w:rsidRDefault="00B7540A" w:rsidP="00B7540A">
            <w:pPr>
              <w:spacing w:line="276" w:lineRule="auto"/>
              <w:ind w:firstLine="0"/>
              <w:jc w:val="center"/>
              <w:rPr>
                <w:rFonts w:cs="Calibri"/>
                <w:color w:val="000000"/>
              </w:rPr>
            </w:pPr>
            <w:r w:rsidRPr="00586097">
              <w:t>18.0</w:t>
            </w:r>
          </w:p>
        </w:tc>
        <w:tc>
          <w:tcPr>
            <w:tcW w:w="1530" w:type="dxa"/>
            <w:tcBorders>
              <w:bottom w:val="double" w:sz="4" w:space="0" w:color="4F81BD" w:themeColor="accent1"/>
            </w:tcBorders>
            <w:shd w:val="clear" w:color="auto" w:fill="auto"/>
            <w:noWrap/>
            <w:vAlign w:val="center"/>
            <w:hideMark/>
          </w:tcPr>
          <w:p w14:paraId="43ED9EF6" w14:textId="77777777" w:rsidR="00B7540A" w:rsidRPr="00586097" w:rsidRDefault="00B7540A" w:rsidP="00B7540A">
            <w:pPr>
              <w:spacing w:line="276" w:lineRule="auto"/>
              <w:ind w:firstLine="0"/>
              <w:jc w:val="center"/>
              <w:rPr>
                <w:rFonts w:cs="Calibri"/>
                <w:color w:val="000000"/>
              </w:rPr>
            </w:pPr>
            <w:r w:rsidRPr="00586097">
              <w:t>25.4</w:t>
            </w:r>
          </w:p>
        </w:tc>
        <w:tc>
          <w:tcPr>
            <w:tcW w:w="1440" w:type="dxa"/>
            <w:tcBorders>
              <w:bottom w:val="double" w:sz="4" w:space="0" w:color="4F81BD" w:themeColor="accent1"/>
            </w:tcBorders>
            <w:shd w:val="clear" w:color="auto" w:fill="auto"/>
            <w:noWrap/>
            <w:vAlign w:val="center"/>
            <w:hideMark/>
          </w:tcPr>
          <w:p w14:paraId="0DF823BA" w14:textId="77777777" w:rsidR="00B7540A" w:rsidRPr="00586097" w:rsidRDefault="00B7540A" w:rsidP="00B7540A">
            <w:pPr>
              <w:spacing w:line="276" w:lineRule="auto"/>
              <w:ind w:firstLine="0"/>
              <w:jc w:val="center"/>
              <w:rPr>
                <w:rFonts w:cs="Calibri"/>
                <w:color w:val="000000"/>
              </w:rPr>
            </w:pPr>
            <w:r w:rsidRPr="00586097">
              <w:t>23.9</w:t>
            </w:r>
          </w:p>
        </w:tc>
      </w:tr>
      <w:tr w:rsidR="00B7540A" w:rsidRPr="00586097" w14:paraId="2A21B211" w14:textId="77777777" w:rsidTr="007309DA">
        <w:trPr>
          <w:trHeight w:val="170"/>
        </w:trPr>
        <w:tc>
          <w:tcPr>
            <w:tcW w:w="1480" w:type="dxa"/>
            <w:shd w:val="clear" w:color="auto" w:fill="auto"/>
            <w:noWrap/>
            <w:vAlign w:val="center"/>
            <w:hideMark/>
          </w:tcPr>
          <w:p w14:paraId="48AC98F9" w14:textId="77777777" w:rsidR="00B7540A" w:rsidRPr="00586097" w:rsidRDefault="00B7540A" w:rsidP="00B7540A">
            <w:pPr>
              <w:spacing w:line="276" w:lineRule="auto"/>
              <w:ind w:firstLine="0"/>
              <w:jc w:val="center"/>
              <w:rPr>
                <w:color w:val="C00000"/>
              </w:rPr>
            </w:pPr>
            <w:r w:rsidRPr="00586097">
              <w:rPr>
                <w:color w:val="C00000"/>
              </w:rPr>
              <w:t>3.5 - 5.5</w:t>
            </w:r>
          </w:p>
        </w:tc>
        <w:tc>
          <w:tcPr>
            <w:tcW w:w="1530" w:type="dxa"/>
            <w:tcBorders>
              <w:bottom w:val="double" w:sz="4" w:space="0" w:color="4F81BD" w:themeColor="accent1"/>
              <w:right w:val="double" w:sz="4" w:space="0" w:color="4F81BD" w:themeColor="accent1"/>
            </w:tcBorders>
            <w:shd w:val="clear" w:color="auto" w:fill="auto"/>
            <w:noWrap/>
            <w:vAlign w:val="center"/>
            <w:hideMark/>
          </w:tcPr>
          <w:p w14:paraId="20757747" w14:textId="77777777" w:rsidR="00B7540A" w:rsidRPr="00586097" w:rsidRDefault="00B7540A" w:rsidP="00B7540A">
            <w:pPr>
              <w:spacing w:line="276" w:lineRule="auto"/>
              <w:ind w:firstLine="0"/>
              <w:jc w:val="center"/>
              <w:rPr>
                <w:rFonts w:cs="Calibri"/>
                <w:b/>
                <w:bCs/>
                <w:color w:val="000000"/>
              </w:rPr>
            </w:pPr>
            <w:r w:rsidRPr="00586097">
              <w:t>27.4</w:t>
            </w:r>
          </w:p>
        </w:tc>
        <w:tc>
          <w:tcPr>
            <w:tcW w:w="1440"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C6D9F1" w:themeFill="text2" w:themeFillTint="33"/>
            <w:noWrap/>
            <w:vAlign w:val="center"/>
            <w:hideMark/>
          </w:tcPr>
          <w:p w14:paraId="556DAB12" w14:textId="77777777" w:rsidR="00B7540A" w:rsidRPr="00586097" w:rsidRDefault="00B7540A" w:rsidP="00B7540A">
            <w:pPr>
              <w:spacing w:line="276" w:lineRule="auto"/>
              <w:ind w:firstLine="0"/>
              <w:jc w:val="center"/>
            </w:pPr>
            <w:r w:rsidRPr="00586097">
              <w:t>27.6</w:t>
            </w:r>
          </w:p>
        </w:tc>
        <w:tc>
          <w:tcPr>
            <w:tcW w:w="1530" w:type="dxa"/>
            <w:tcBorders>
              <w:top w:val="double" w:sz="4" w:space="0" w:color="4F81BD" w:themeColor="accent1"/>
              <w:left w:val="double" w:sz="4" w:space="0" w:color="4F81BD" w:themeColor="accent1"/>
              <w:bottom w:val="double" w:sz="4" w:space="0" w:color="4F81BD" w:themeColor="accent1"/>
            </w:tcBorders>
            <w:shd w:val="clear" w:color="auto" w:fill="C6D9F1" w:themeFill="text2" w:themeFillTint="33"/>
            <w:noWrap/>
            <w:vAlign w:val="center"/>
            <w:hideMark/>
          </w:tcPr>
          <w:p w14:paraId="6B48A7EE" w14:textId="77777777" w:rsidR="00B7540A" w:rsidRPr="00586097" w:rsidRDefault="00B7540A" w:rsidP="00B7540A">
            <w:pPr>
              <w:spacing w:line="276" w:lineRule="auto"/>
              <w:ind w:firstLine="0"/>
              <w:jc w:val="center"/>
            </w:pPr>
            <w:r w:rsidRPr="00586097">
              <w:t>26.5</w:t>
            </w:r>
          </w:p>
        </w:tc>
        <w:tc>
          <w:tcPr>
            <w:tcW w:w="1440" w:type="dxa"/>
            <w:tcBorders>
              <w:top w:val="double" w:sz="4" w:space="0" w:color="4F81BD" w:themeColor="accent1"/>
              <w:bottom w:val="double" w:sz="4" w:space="0" w:color="4F81BD" w:themeColor="accent1"/>
              <w:right w:val="double" w:sz="4" w:space="0" w:color="4F81BD" w:themeColor="accent1"/>
            </w:tcBorders>
            <w:shd w:val="clear" w:color="auto" w:fill="C6D9F1" w:themeFill="text2" w:themeFillTint="33"/>
            <w:noWrap/>
            <w:vAlign w:val="center"/>
            <w:hideMark/>
          </w:tcPr>
          <w:p w14:paraId="5D5F3FDC" w14:textId="77777777" w:rsidR="00B7540A" w:rsidRPr="00586097" w:rsidRDefault="00B7540A" w:rsidP="00B7540A">
            <w:pPr>
              <w:spacing w:line="276" w:lineRule="auto"/>
              <w:ind w:firstLine="0"/>
              <w:jc w:val="center"/>
            </w:pPr>
            <w:r w:rsidRPr="00586097">
              <w:t>27.1</w:t>
            </w:r>
          </w:p>
        </w:tc>
      </w:tr>
      <w:tr w:rsidR="00B7540A" w:rsidRPr="00586097" w14:paraId="2A6019BB" w14:textId="77777777" w:rsidTr="007309DA">
        <w:trPr>
          <w:trHeight w:val="170"/>
        </w:trPr>
        <w:tc>
          <w:tcPr>
            <w:tcW w:w="1480" w:type="dxa"/>
            <w:tcBorders>
              <w:right w:val="double" w:sz="4" w:space="0" w:color="4F81BD" w:themeColor="accent1"/>
            </w:tcBorders>
            <w:shd w:val="clear" w:color="auto" w:fill="auto"/>
            <w:noWrap/>
            <w:vAlign w:val="center"/>
            <w:hideMark/>
          </w:tcPr>
          <w:p w14:paraId="69B8F32A" w14:textId="77777777" w:rsidR="00B7540A" w:rsidRPr="00586097" w:rsidRDefault="00B7540A" w:rsidP="00B7540A">
            <w:pPr>
              <w:spacing w:line="276" w:lineRule="auto"/>
              <w:ind w:firstLine="0"/>
              <w:jc w:val="center"/>
              <w:rPr>
                <w:color w:val="C00000"/>
              </w:rPr>
            </w:pPr>
            <w:r w:rsidRPr="00586097">
              <w:rPr>
                <w:color w:val="C00000"/>
              </w:rPr>
              <w:t>5.5 - 7.5</w:t>
            </w:r>
          </w:p>
        </w:tc>
        <w:tc>
          <w:tcPr>
            <w:tcW w:w="1530"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shd w:val="clear" w:color="auto" w:fill="C6D9F1" w:themeFill="text2" w:themeFillTint="33"/>
            <w:noWrap/>
            <w:vAlign w:val="center"/>
            <w:hideMark/>
          </w:tcPr>
          <w:p w14:paraId="77558CEA" w14:textId="77777777" w:rsidR="00B7540A" w:rsidRPr="00586097" w:rsidRDefault="00B7540A" w:rsidP="00B7540A">
            <w:pPr>
              <w:spacing w:line="276" w:lineRule="auto"/>
              <w:ind w:firstLine="0"/>
              <w:jc w:val="center"/>
              <w:rPr>
                <w:rFonts w:cs="Calibri"/>
                <w:color w:val="000000"/>
              </w:rPr>
            </w:pPr>
            <w:r w:rsidRPr="00586097">
              <w:t>32.4</w:t>
            </w:r>
          </w:p>
        </w:tc>
        <w:tc>
          <w:tcPr>
            <w:tcW w:w="1440" w:type="dxa"/>
            <w:tcBorders>
              <w:top w:val="double" w:sz="4" w:space="0" w:color="4F81BD" w:themeColor="accent1"/>
              <w:left w:val="double" w:sz="4" w:space="0" w:color="4F81BD" w:themeColor="accent1"/>
            </w:tcBorders>
            <w:shd w:val="clear" w:color="auto" w:fill="auto"/>
            <w:noWrap/>
            <w:vAlign w:val="center"/>
            <w:hideMark/>
          </w:tcPr>
          <w:p w14:paraId="280BD41C" w14:textId="77777777" w:rsidR="00B7540A" w:rsidRPr="00586097" w:rsidRDefault="00B7540A" w:rsidP="00B7540A">
            <w:pPr>
              <w:spacing w:line="276" w:lineRule="auto"/>
              <w:ind w:firstLine="0"/>
              <w:jc w:val="center"/>
              <w:rPr>
                <w:rFonts w:cs="Calibri"/>
                <w:b/>
                <w:bCs/>
                <w:color w:val="000000"/>
              </w:rPr>
            </w:pPr>
            <w:r w:rsidRPr="00586097">
              <w:t>25.5</w:t>
            </w:r>
          </w:p>
        </w:tc>
        <w:tc>
          <w:tcPr>
            <w:tcW w:w="1530" w:type="dxa"/>
            <w:tcBorders>
              <w:top w:val="double" w:sz="4" w:space="0" w:color="4F81BD" w:themeColor="accent1"/>
            </w:tcBorders>
            <w:shd w:val="clear" w:color="auto" w:fill="auto"/>
            <w:noWrap/>
            <w:vAlign w:val="center"/>
            <w:hideMark/>
          </w:tcPr>
          <w:p w14:paraId="68D50D9C" w14:textId="77777777" w:rsidR="00B7540A" w:rsidRPr="00586097" w:rsidRDefault="00B7540A" w:rsidP="00B7540A">
            <w:pPr>
              <w:spacing w:line="276" w:lineRule="auto"/>
              <w:ind w:firstLine="0"/>
              <w:jc w:val="center"/>
              <w:rPr>
                <w:rFonts w:cs="Calibri"/>
                <w:b/>
                <w:bCs/>
                <w:color w:val="000000"/>
              </w:rPr>
            </w:pPr>
            <w:r w:rsidRPr="00586097">
              <w:t>17.2</w:t>
            </w:r>
          </w:p>
        </w:tc>
        <w:tc>
          <w:tcPr>
            <w:tcW w:w="1440" w:type="dxa"/>
            <w:tcBorders>
              <w:top w:val="double" w:sz="4" w:space="0" w:color="4F81BD" w:themeColor="accent1"/>
            </w:tcBorders>
            <w:shd w:val="clear" w:color="auto" w:fill="auto"/>
            <w:noWrap/>
            <w:vAlign w:val="center"/>
            <w:hideMark/>
          </w:tcPr>
          <w:p w14:paraId="507818E6" w14:textId="77777777" w:rsidR="00B7540A" w:rsidRPr="00586097" w:rsidRDefault="00B7540A" w:rsidP="00B7540A">
            <w:pPr>
              <w:spacing w:line="276" w:lineRule="auto"/>
              <w:ind w:firstLine="0"/>
              <w:jc w:val="center"/>
              <w:rPr>
                <w:rFonts w:cs="Calibri"/>
                <w:b/>
                <w:bCs/>
                <w:color w:val="000000"/>
              </w:rPr>
            </w:pPr>
            <w:r w:rsidRPr="00586097">
              <w:t>19.1</w:t>
            </w:r>
          </w:p>
        </w:tc>
      </w:tr>
      <w:tr w:rsidR="00B7540A" w:rsidRPr="00586097" w14:paraId="03FD84A8" w14:textId="77777777" w:rsidTr="00B7540A">
        <w:trPr>
          <w:trHeight w:val="170"/>
        </w:trPr>
        <w:tc>
          <w:tcPr>
            <w:tcW w:w="1480" w:type="dxa"/>
            <w:shd w:val="clear" w:color="auto" w:fill="auto"/>
            <w:noWrap/>
            <w:vAlign w:val="center"/>
            <w:hideMark/>
          </w:tcPr>
          <w:p w14:paraId="43C7DD2C" w14:textId="77777777" w:rsidR="00B7540A" w:rsidRPr="00586097" w:rsidRDefault="00B7540A" w:rsidP="00B7540A">
            <w:pPr>
              <w:spacing w:line="276" w:lineRule="auto"/>
              <w:ind w:firstLine="0"/>
              <w:jc w:val="center"/>
            </w:pPr>
            <w:r w:rsidRPr="00586097">
              <w:t>7.5 - 9.5</w:t>
            </w:r>
          </w:p>
        </w:tc>
        <w:tc>
          <w:tcPr>
            <w:tcW w:w="1530" w:type="dxa"/>
            <w:tcBorders>
              <w:top w:val="double" w:sz="4" w:space="0" w:color="4F81BD" w:themeColor="accent1"/>
            </w:tcBorders>
            <w:shd w:val="clear" w:color="auto" w:fill="auto"/>
            <w:noWrap/>
            <w:vAlign w:val="center"/>
            <w:hideMark/>
          </w:tcPr>
          <w:p w14:paraId="657CAA56" w14:textId="77777777" w:rsidR="00B7540A" w:rsidRPr="00586097" w:rsidRDefault="00B7540A" w:rsidP="00B7540A">
            <w:pPr>
              <w:spacing w:line="276" w:lineRule="auto"/>
              <w:ind w:firstLine="0"/>
              <w:jc w:val="center"/>
              <w:rPr>
                <w:rFonts w:cs="Calibri"/>
                <w:color w:val="000000"/>
              </w:rPr>
            </w:pPr>
            <w:r w:rsidRPr="00586097">
              <w:t>19.2</w:t>
            </w:r>
          </w:p>
        </w:tc>
        <w:tc>
          <w:tcPr>
            <w:tcW w:w="1440" w:type="dxa"/>
            <w:shd w:val="clear" w:color="auto" w:fill="auto"/>
            <w:noWrap/>
            <w:vAlign w:val="center"/>
            <w:hideMark/>
          </w:tcPr>
          <w:p w14:paraId="7A9F9EC6" w14:textId="77777777" w:rsidR="00B7540A" w:rsidRPr="00586097" w:rsidRDefault="00B7540A" w:rsidP="00B7540A">
            <w:pPr>
              <w:spacing w:line="276" w:lineRule="auto"/>
              <w:ind w:firstLine="0"/>
              <w:jc w:val="center"/>
              <w:rPr>
                <w:rFonts w:cs="Calibri"/>
                <w:color w:val="000000"/>
              </w:rPr>
            </w:pPr>
            <w:r w:rsidRPr="00586097">
              <w:t>14.2</w:t>
            </w:r>
          </w:p>
        </w:tc>
        <w:tc>
          <w:tcPr>
            <w:tcW w:w="1530" w:type="dxa"/>
            <w:shd w:val="clear" w:color="auto" w:fill="auto"/>
            <w:noWrap/>
            <w:vAlign w:val="center"/>
            <w:hideMark/>
          </w:tcPr>
          <w:p w14:paraId="589B0398" w14:textId="77777777" w:rsidR="00B7540A" w:rsidRPr="00586097" w:rsidRDefault="00B7540A" w:rsidP="00B7540A">
            <w:pPr>
              <w:spacing w:line="276" w:lineRule="auto"/>
              <w:ind w:firstLine="0"/>
              <w:jc w:val="center"/>
              <w:rPr>
                <w:rFonts w:cs="Calibri"/>
                <w:color w:val="000000"/>
              </w:rPr>
            </w:pPr>
            <w:r w:rsidRPr="00586097">
              <w:t>6.9</w:t>
            </w:r>
          </w:p>
        </w:tc>
        <w:tc>
          <w:tcPr>
            <w:tcW w:w="1440" w:type="dxa"/>
            <w:shd w:val="clear" w:color="auto" w:fill="auto"/>
            <w:noWrap/>
            <w:vAlign w:val="center"/>
            <w:hideMark/>
          </w:tcPr>
          <w:p w14:paraId="4DE5CD30" w14:textId="77777777" w:rsidR="00B7540A" w:rsidRPr="00586097" w:rsidRDefault="00B7540A" w:rsidP="00B7540A">
            <w:pPr>
              <w:spacing w:line="276" w:lineRule="auto"/>
              <w:ind w:firstLine="0"/>
              <w:jc w:val="center"/>
              <w:rPr>
                <w:rFonts w:cs="Calibri"/>
                <w:color w:val="000000"/>
              </w:rPr>
            </w:pPr>
            <w:r w:rsidRPr="00586097">
              <w:t>8.4</w:t>
            </w:r>
          </w:p>
        </w:tc>
      </w:tr>
    </w:tbl>
    <w:p w14:paraId="5DE2E512" w14:textId="77777777" w:rsidR="00B7540A" w:rsidRPr="00586097" w:rsidRDefault="00B7540A" w:rsidP="006F3B91">
      <w:pPr>
        <w:spacing w:before="120" w:line="276" w:lineRule="auto"/>
        <w:ind w:firstLine="562"/>
        <w:rPr>
          <w:rFonts w:eastAsia="Calibri"/>
        </w:rPr>
      </w:pPr>
      <w:r w:rsidRPr="00586097">
        <w:rPr>
          <w:rFonts w:eastAsia="Calibri"/>
        </w:rPr>
        <w:t>Ինչպես</w:t>
      </w:r>
      <w:r w:rsidRPr="00586097">
        <w:rPr>
          <w:rFonts w:eastAsia="Calibri"/>
          <w:lang w:val="it-IT"/>
        </w:rPr>
        <w:t xml:space="preserve"> </w:t>
      </w:r>
      <w:r w:rsidRPr="00586097">
        <w:rPr>
          <w:rFonts w:eastAsia="Calibri"/>
        </w:rPr>
        <w:t>երևում</w:t>
      </w:r>
      <w:r w:rsidRPr="00586097">
        <w:rPr>
          <w:rFonts w:eastAsia="Calibri"/>
          <w:lang w:val="it-IT"/>
        </w:rPr>
        <w:t xml:space="preserve"> </w:t>
      </w:r>
      <w:r w:rsidRPr="00586097">
        <w:rPr>
          <w:rFonts w:eastAsia="Calibri"/>
        </w:rPr>
        <w:t>է</w:t>
      </w:r>
      <w:r w:rsidRPr="00586097">
        <w:rPr>
          <w:rFonts w:eastAsia="Calibri"/>
          <w:lang w:val="it-IT"/>
        </w:rPr>
        <w:t xml:space="preserve"> </w:t>
      </w:r>
      <w:r w:rsidRPr="00586097">
        <w:rPr>
          <w:rFonts w:eastAsia="Calibri"/>
        </w:rPr>
        <w:t>Գծապատկեր</w:t>
      </w:r>
      <w:r w:rsidRPr="00586097">
        <w:rPr>
          <w:rFonts w:eastAsia="Calibri"/>
          <w:lang w:val="it-IT"/>
        </w:rPr>
        <w:t xml:space="preserve"> </w:t>
      </w:r>
      <w:r w:rsidRPr="00586097">
        <w:rPr>
          <w:rFonts w:eastAsia="Calibri"/>
        </w:rPr>
        <w:t>1.29-ից, իրական ՀՆԱ-ի տարեկան աճի կենտրոնական կանխատեսումներից շեղման ռիսկերը հավասարակշռված են: 2022-2024թթ.</w:t>
      </w:r>
      <w:r w:rsidRPr="00586097" w:rsidDel="00301E27">
        <w:rPr>
          <w:rFonts w:eastAsia="Calibri"/>
        </w:rPr>
        <w:t xml:space="preserve"> </w:t>
      </w:r>
      <w:r w:rsidRPr="00586097">
        <w:rPr>
          <w:rFonts w:eastAsia="Calibri"/>
        </w:rPr>
        <w:t xml:space="preserve">տնտեսական աճի ձևավորման ամենաբարձր հավանականությունը գտնվում է կենտրոնական կանխատեսումները պարունակող համապատասխան միջակայքում (Գծապատկեր 1.29-ում այն մուգ կարմիր է, իսկ Աղյուսակ 1.3-ում՝ հոծ նշումով), իսկ դեպի ներքև և վերև ռիսկերը հավասարակշռված են։ </w:t>
      </w:r>
    </w:p>
    <w:p w14:paraId="647ADA00" w14:textId="77777777" w:rsidR="00B7540A" w:rsidRPr="007309DA" w:rsidRDefault="007309DA" w:rsidP="007309DA">
      <w:pPr>
        <w:pStyle w:val="Heading3"/>
        <w:shd w:val="clear" w:color="auto" w:fill="FFFFFF" w:themeFill="background1"/>
        <w:rPr>
          <w:rFonts w:cs="Sylfaen"/>
          <w:bCs/>
          <w:caps w:val="0"/>
          <w:color w:val="1F497D" w:themeColor="text2"/>
          <w:sz w:val="28"/>
          <w:szCs w:val="28"/>
        </w:rPr>
      </w:pPr>
      <w:bookmarkStart w:id="474" w:name="_Toc77249733"/>
      <w:bookmarkStart w:id="475" w:name="_Toc77451200"/>
      <w:bookmarkStart w:id="476" w:name="_Toc77837850"/>
      <w:r w:rsidRPr="007309DA">
        <w:rPr>
          <w:rFonts w:cs="Sylfaen"/>
          <w:bCs/>
          <w:caps w:val="0"/>
          <w:color w:val="1F497D" w:themeColor="text2"/>
          <w:sz w:val="28"/>
          <w:szCs w:val="28"/>
        </w:rPr>
        <w:t xml:space="preserve">1.6. </w:t>
      </w:r>
      <w:r w:rsidR="00B7540A" w:rsidRPr="007309DA">
        <w:rPr>
          <w:rFonts w:cs="Sylfaen"/>
          <w:bCs/>
          <w:caps w:val="0"/>
          <w:color w:val="1F497D" w:themeColor="text2"/>
          <w:sz w:val="28"/>
          <w:szCs w:val="28"/>
        </w:rPr>
        <w:t>ՀԱՄԵՄԱՏՈՒԹՅՈՒՆ ՆԱԽՈՐԴ ԿԱՆԽԱՏԵՍՈՒՄՆԵՐԻ ՀԵՏ</w:t>
      </w:r>
      <w:bookmarkEnd w:id="474"/>
      <w:bookmarkEnd w:id="475"/>
      <w:bookmarkEnd w:id="476"/>
    </w:p>
    <w:p w14:paraId="580A1282" w14:textId="77777777" w:rsidR="00B7540A" w:rsidRPr="00586097" w:rsidRDefault="00B7540A" w:rsidP="00B7540A">
      <w:pPr>
        <w:pStyle w:val="afa"/>
        <w:spacing w:line="276" w:lineRule="auto"/>
        <w:ind w:firstLine="0"/>
        <w:rPr>
          <w:color w:val="4F81BD"/>
        </w:rPr>
      </w:pPr>
      <w:r w:rsidRPr="00586097">
        <w:t>Աղյուսակ 1.</w:t>
      </w:r>
      <w:r w:rsidRPr="00586097">
        <w:rPr>
          <w:lang w:val="en-US"/>
        </w:rPr>
        <w:t>5</w:t>
      </w:r>
      <w:r w:rsidRPr="00586097">
        <w:t>. ՀՆԱ-ի կանխատեսումները</w:t>
      </w:r>
    </w:p>
    <w:tbl>
      <w:tblPr>
        <w:tblW w:w="9918"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ook w:val="04A0" w:firstRow="1" w:lastRow="0" w:firstColumn="1" w:lastColumn="0" w:noHBand="0" w:noVBand="1"/>
      </w:tblPr>
      <w:tblGrid>
        <w:gridCol w:w="1632"/>
        <w:gridCol w:w="1810"/>
        <w:gridCol w:w="1724"/>
        <w:gridCol w:w="1280"/>
        <w:gridCol w:w="1021"/>
        <w:gridCol w:w="1230"/>
        <w:gridCol w:w="1221"/>
      </w:tblGrid>
      <w:tr w:rsidR="00B7540A" w:rsidRPr="00586097" w14:paraId="656482A5" w14:textId="77777777" w:rsidTr="00B7540A">
        <w:trPr>
          <w:trHeight w:val="316"/>
        </w:trPr>
        <w:tc>
          <w:tcPr>
            <w:tcW w:w="1548" w:type="dxa"/>
            <w:vMerge w:val="restart"/>
            <w:shd w:val="clear" w:color="auto" w:fill="9CC2E5"/>
            <w:noWrap/>
            <w:vAlign w:val="center"/>
            <w:hideMark/>
          </w:tcPr>
          <w:p w14:paraId="1574DD45"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Ցուցանիշներ</w:t>
            </w:r>
          </w:p>
        </w:tc>
        <w:tc>
          <w:tcPr>
            <w:tcW w:w="2124" w:type="dxa"/>
            <w:vMerge w:val="restart"/>
            <w:shd w:val="clear" w:color="auto" w:fill="9CC2E5"/>
            <w:vAlign w:val="center"/>
            <w:hideMark/>
          </w:tcPr>
          <w:p w14:paraId="3F5963F4"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Ծրագիր</w:t>
            </w:r>
          </w:p>
        </w:tc>
        <w:tc>
          <w:tcPr>
            <w:tcW w:w="1450" w:type="dxa"/>
            <w:shd w:val="clear" w:color="auto" w:fill="9CC2E5"/>
            <w:vAlign w:val="center"/>
          </w:tcPr>
          <w:p w14:paraId="635C50D8"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2020</w:t>
            </w:r>
          </w:p>
        </w:tc>
        <w:tc>
          <w:tcPr>
            <w:tcW w:w="1280" w:type="dxa"/>
            <w:shd w:val="clear" w:color="auto" w:fill="9CC2E5"/>
            <w:vAlign w:val="center"/>
            <w:hideMark/>
          </w:tcPr>
          <w:p w14:paraId="67965A10"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2021</w:t>
            </w:r>
          </w:p>
        </w:tc>
        <w:tc>
          <w:tcPr>
            <w:tcW w:w="1065" w:type="dxa"/>
            <w:shd w:val="clear" w:color="auto" w:fill="9CC2E5"/>
            <w:vAlign w:val="center"/>
            <w:hideMark/>
          </w:tcPr>
          <w:p w14:paraId="0E0A11B9"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2022</w:t>
            </w:r>
          </w:p>
        </w:tc>
        <w:tc>
          <w:tcPr>
            <w:tcW w:w="1230" w:type="dxa"/>
            <w:shd w:val="clear" w:color="auto" w:fill="9CC2E5"/>
            <w:vAlign w:val="center"/>
            <w:hideMark/>
          </w:tcPr>
          <w:p w14:paraId="3356ADFD"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2023</w:t>
            </w:r>
          </w:p>
        </w:tc>
        <w:tc>
          <w:tcPr>
            <w:tcW w:w="1221" w:type="dxa"/>
            <w:shd w:val="clear" w:color="auto" w:fill="9CC2E5"/>
            <w:vAlign w:val="center"/>
            <w:hideMark/>
          </w:tcPr>
          <w:p w14:paraId="1F5D9D33"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2024</w:t>
            </w:r>
          </w:p>
        </w:tc>
      </w:tr>
      <w:tr w:rsidR="00B7540A" w:rsidRPr="00586097" w14:paraId="774CA946" w14:textId="77777777" w:rsidTr="00B7540A">
        <w:trPr>
          <w:trHeight w:val="316"/>
        </w:trPr>
        <w:tc>
          <w:tcPr>
            <w:tcW w:w="1548" w:type="dxa"/>
            <w:vMerge/>
            <w:vAlign w:val="center"/>
            <w:hideMark/>
          </w:tcPr>
          <w:p w14:paraId="5BF4DAF7" w14:textId="77777777" w:rsidR="00B7540A" w:rsidRPr="00586097" w:rsidRDefault="00B7540A" w:rsidP="00B7540A">
            <w:pPr>
              <w:spacing w:before="0" w:after="0" w:line="276" w:lineRule="auto"/>
              <w:ind w:firstLine="0"/>
              <w:jc w:val="left"/>
              <w:rPr>
                <w:rFonts w:cs="Calibri"/>
                <w:b/>
                <w:bCs/>
                <w:color w:val="000000"/>
              </w:rPr>
            </w:pPr>
          </w:p>
        </w:tc>
        <w:tc>
          <w:tcPr>
            <w:tcW w:w="2124" w:type="dxa"/>
            <w:vMerge/>
            <w:vAlign w:val="center"/>
            <w:hideMark/>
          </w:tcPr>
          <w:p w14:paraId="5B812C91" w14:textId="77777777" w:rsidR="00B7540A" w:rsidRPr="00586097" w:rsidRDefault="00B7540A" w:rsidP="00B7540A">
            <w:pPr>
              <w:spacing w:before="0" w:after="0" w:line="276" w:lineRule="auto"/>
              <w:ind w:firstLine="0"/>
              <w:jc w:val="left"/>
              <w:rPr>
                <w:rFonts w:cs="Calibri"/>
                <w:b/>
                <w:bCs/>
                <w:color w:val="000000"/>
              </w:rPr>
            </w:pPr>
          </w:p>
        </w:tc>
        <w:tc>
          <w:tcPr>
            <w:tcW w:w="1450" w:type="dxa"/>
            <w:shd w:val="clear" w:color="auto" w:fill="9CC2E5"/>
            <w:vAlign w:val="center"/>
          </w:tcPr>
          <w:p w14:paraId="059793AA"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փաստ*/կանխ.</w:t>
            </w:r>
          </w:p>
        </w:tc>
        <w:tc>
          <w:tcPr>
            <w:tcW w:w="1280" w:type="dxa"/>
            <w:shd w:val="clear" w:color="auto" w:fill="9CC2E5"/>
            <w:vAlign w:val="center"/>
            <w:hideMark/>
          </w:tcPr>
          <w:p w14:paraId="2308A432"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կանխ.</w:t>
            </w:r>
          </w:p>
        </w:tc>
        <w:tc>
          <w:tcPr>
            <w:tcW w:w="1065" w:type="dxa"/>
            <w:shd w:val="clear" w:color="auto" w:fill="9CC2E5"/>
            <w:vAlign w:val="center"/>
            <w:hideMark/>
          </w:tcPr>
          <w:p w14:paraId="1D8FD7ED"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կանխ.</w:t>
            </w:r>
          </w:p>
        </w:tc>
        <w:tc>
          <w:tcPr>
            <w:tcW w:w="1230" w:type="dxa"/>
            <w:shd w:val="clear" w:color="auto" w:fill="9CC2E5"/>
            <w:vAlign w:val="center"/>
            <w:hideMark/>
          </w:tcPr>
          <w:p w14:paraId="325B56B2"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կանխ.</w:t>
            </w:r>
          </w:p>
        </w:tc>
        <w:tc>
          <w:tcPr>
            <w:tcW w:w="1221" w:type="dxa"/>
            <w:shd w:val="clear" w:color="auto" w:fill="9CC2E5"/>
            <w:vAlign w:val="center"/>
            <w:hideMark/>
          </w:tcPr>
          <w:p w14:paraId="7519BBF5"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կանխ.</w:t>
            </w:r>
          </w:p>
        </w:tc>
      </w:tr>
      <w:tr w:rsidR="00B7540A" w:rsidRPr="00586097" w14:paraId="36DE91C6" w14:textId="77777777" w:rsidTr="00B7540A">
        <w:trPr>
          <w:trHeight w:val="316"/>
        </w:trPr>
        <w:tc>
          <w:tcPr>
            <w:tcW w:w="1548" w:type="dxa"/>
            <w:vMerge w:val="restart"/>
            <w:shd w:val="clear" w:color="auto" w:fill="auto"/>
            <w:vAlign w:val="center"/>
          </w:tcPr>
          <w:p w14:paraId="5306EB9F" w14:textId="77777777" w:rsidR="00B7540A" w:rsidRPr="00586097" w:rsidRDefault="00B7540A" w:rsidP="00B7540A">
            <w:pPr>
              <w:spacing w:before="0" w:after="0" w:line="276" w:lineRule="auto"/>
              <w:ind w:firstLine="0"/>
              <w:jc w:val="left"/>
              <w:rPr>
                <w:rFonts w:cs="Calibri"/>
                <w:b/>
                <w:bCs/>
                <w:color w:val="000000"/>
              </w:rPr>
            </w:pPr>
            <w:r w:rsidRPr="00586097">
              <w:rPr>
                <w:rFonts w:cs="Calibri"/>
                <w:b/>
                <w:bCs/>
                <w:color w:val="000000"/>
              </w:rPr>
              <w:t>Անվանական ՀՆԱ, մլրդ դրամ</w:t>
            </w:r>
          </w:p>
        </w:tc>
        <w:tc>
          <w:tcPr>
            <w:tcW w:w="2124" w:type="dxa"/>
            <w:shd w:val="clear" w:color="auto" w:fill="auto"/>
            <w:vAlign w:val="center"/>
          </w:tcPr>
          <w:p w14:paraId="4B8A2314"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Թիրախային սցենար</w:t>
            </w:r>
          </w:p>
        </w:tc>
        <w:tc>
          <w:tcPr>
            <w:tcW w:w="1450" w:type="dxa"/>
            <w:vAlign w:val="center"/>
          </w:tcPr>
          <w:p w14:paraId="0D709AD3"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6,181.7</w:t>
            </w:r>
          </w:p>
        </w:tc>
        <w:tc>
          <w:tcPr>
            <w:tcW w:w="1280" w:type="dxa"/>
            <w:shd w:val="clear" w:color="auto" w:fill="auto"/>
            <w:noWrap/>
            <w:vAlign w:val="center"/>
          </w:tcPr>
          <w:p w14:paraId="33F03AFD" w14:textId="77777777" w:rsidR="00B7540A" w:rsidRPr="00586097" w:rsidRDefault="00B7540A" w:rsidP="00B7540A">
            <w:pPr>
              <w:spacing w:before="0" w:after="0" w:line="276" w:lineRule="auto"/>
              <w:ind w:firstLine="0"/>
              <w:jc w:val="center"/>
              <w:rPr>
                <w:rFonts w:cs="Calibri"/>
              </w:rPr>
            </w:pPr>
            <w:r w:rsidRPr="00586097">
              <w:rPr>
                <w:rFonts w:cs="Calibri"/>
              </w:rPr>
              <w:t>6,880.2</w:t>
            </w:r>
          </w:p>
        </w:tc>
        <w:tc>
          <w:tcPr>
            <w:tcW w:w="1065" w:type="dxa"/>
            <w:shd w:val="clear" w:color="auto" w:fill="auto"/>
            <w:vAlign w:val="center"/>
          </w:tcPr>
          <w:p w14:paraId="2213C771" w14:textId="77777777" w:rsidR="00B7540A" w:rsidRPr="00586097" w:rsidRDefault="00B7540A" w:rsidP="00B7540A">
            <w:pPr>
              <w:spacing w:before="0" w:after="0" w:line="276" w:lineRule="auto"/>
              <w:ind w:firstLine="0"/>
              <w:jc w:val="center"/>
              <w:rPr>
                <w:rFonts w:cs="Calibri"/>
              </w:rPr>
            </w:pPr>
            <w:r w:rsidRPr="00586097">
              <w:t>7,707.6</w:t>
            </w:r>
          </w:p>
        </w:tc>
        <w:tc>
          <w:tcPr>
            <w:tcW w:w="1230" w:type="dxa"/>
            <w:shd w:val="clear" w:color="auto" w:fill="auto"/>
            <w:noWrap/>
            <w:vAlign w:val="center"/>
          </w:tcPr>
          <w:p w14:paraId="6BD6F11F" w14:textId="77777777" w:rsidR="00B7540A" w:rsidRPr="00586097" w:rsidRDefault="00B7540A" w:rsidP="00B7540A">
            <w:pPr>
              <w:spacing w:before="0" w:after="0" w:line="276" w:lineRule="auto"/>
              <w:ind w:firstLine="0"/>
              <w:jc w:val="center"/>
              <w:rPr>
                <w:rFonts w:cs="Calibri"/>
              </w:rPr>
            </w:pPr>
            <w:r w:rsidRPr="00586097">
              <w:t>8,584.9</w:t>
            </w:r>
          </w:p>
        </w:tc>
        <w:tc>
          <w:tcPr>
            <w:tcW w:w="1221" w:type="dxa"/>
            <w:shd w:val="clear" w:color="auto" w:fill="auto"/>
            <w:noWrap/>
            <w:vAlign w:val="center"/>
          </w:tcPr>
          <w:p w14:paraId="2FED1F82" w14:textId="77777777" w:rsidR="00B7540A" w:rsidRPr="00586097" w:rsidRDefault="00B7540A" w:rsidP="00B7540A">
            <w:pPr>
              <w:spacing w:before="0" w:after="0" w:line="276" w:lineRule="auto"/>
              <w:ind w:firstLine="0"/>
              <w:jc w:val="center"/>
              <w:rPr>
                <w:rFonts w:cs="Calibri"/>
              </w:rPr>
            </w:pPr>
            <w:r w:rsidRPr="00586097">
              <w:t>9,553.1</w:t>
            </w:r>
          </w:p>
        </w:tc>
      </w:tr>
      <w:tr w:rsidR="00B7540A" w:rsidRPr="00586097" w14:paraId="0B512BE2" w14:textId="77777777" w:rsidTr="00B7540A">
        <w:trPr>
          <w:trHeight w:val="316"/>
        </w:trPr>
        <w:tc>
          <w:tcPr>
            <w:tcW w:w="1548" w:type="dxa"/>
            <w:vMerge/>
            <w:shd w:val="clear" w:color="auto" w:fill="auto"/>
            <w:vAlign w:val="center"/>
            <w:hideMark/>
          </w:tcPr>
          <w:p w14:paraId="138B20B7" w14:textId="77777777" w:rsidR="00B7540A" w:rsidRPr="00586097" w:rsidRDefault="00B7540A" w:rsidP="00B7540A">
            <w:pPr>
              <w:spacing w:before="0" w:after="0" w:line="276" w:lineRule="auto"/>
              <w:ind w:firstLine="0"/>
              <w:jc w:val="left"/>
              <w:rPr>
                <w:rFonts w:cs="Calibri"/>
                <w:b/>
                <w:bCs/>
                <w:color w:val="000000"/>
              </w:rPr>
            </w:pPr>
          </w:p>
        </w:tc>
        <w:tc>
          <w:tcPr>
            <w:tcW w:w="2124" w:type="dxa"/>
            <w:shd w:val="clear" w:color="auto" w:fill="auto"/>
            <w:vAlign w:val="center"/>
            <w:hideMark/>
          </w:tcPr>
          <w:p w14:paraId="5B72C068"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2022-2024 ՄԺԾԾ</w:t>
            </w:r>
          </w:p>
        </w:tc>
        <w:tc>
          <w:tcPr>
            <w:tcW w:w="1450" w:type="dxa"/>
            <w:vAlign w:val="center"/>
          </w:tcPr>
          <w:p w14:paraId="5C4C2AE6"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6,181.7</w:t>
            </w:r>
          </w:p>
        </w:tc>
        <w:tc>
          <w:tcPr>
            <w:tcW w:w="1280" w:type="dxa"/>
            <w:shd w:val="clear" w:color="auto" w:fill="auto"/>
            <w:noWrap/>
            <w:vAlign w:val="center"/>
          </w:tcPr>
          <w:p w14:paraId="7116A094" w14:textId="77777777" w:rsidR="00B7540A" w:rsidRPr="00586097" w:rsidRDefault="00B7540A" w:rsidP="00B7540A">
            <w:pPr>
              <w:spacing w:before="0" w:after="0" w:line="276" w:lineRule="auto"/>
              <w:ind w:firstLine="0"/>
              <w:jc w:val="center"/>
              <w:rPr>
                <w:rFonts w:cs="Calibri"/>
              </w:rPr>
            </w:pPr>
            <w:r w:rsidRPr="00586097">
              <w:rPr>
                <w:rFonts w:cs="Calibri"/>
              </w:rPr>
              <w:t>6,880.2</w:t>
            </w:r>
          </w:p>
        </w:tc>
        <w:tc>
          <w:tcPr>
            <w:tcW w:w="1065" w:type="dxa"/>
            <w:shd w:val="clear" w:color="auto" w:fill="auto"/>
            <w:vAlign w:val="center"/>
          </w:tcPr>
          <w:p w14:paraId="0C1B449B" w14:textId="77777777" w:rsidR="00B7540A" w:rsidRPr="00586097" w:rsidRDefault="00B7540A" w:rsidP="00B7540A">
            <w:pPr>
              <w:spacing w:before="0" w:after="0" w:line="276" w:lineRule="auto"/>
              <w:ind w:firstLine="0"/>
              <w:jc w:val="center"/>
              <w:rPr>
                <w:rFonts w:cs="Calibri"/>
              </w:rPr>
            </w:pPr>
            <w:r w:rsidRPr="00586097">
              <w:rPr>
                <w:rFonts w:cs="Calibri"/>
              </w:rPr>
              <w:t>7,570.8</w:t>
            </w:r>
          </w:p>
        </w:tc>
        <w:tc>
          <w:tcPr>
            <w:tcW w:w="1230" w:type="dxa"/>
            <w:shd w:val="clear" w:color="auto" w:fill="auto"/>
            <w:noWrap/>
            <w:vAlign w:val="center"/>
          </w:tcPr>
          <w:p w14:paraId="0D23A516" w14:textId="77777777" w:rsidR="00B7540A" w:rsidRPr="00586097" w:rsidRDefault="00B7540A" w:rsidP="00B7540A">
            <w:pPr>
              <w:spacing w:before="0" w:after="0" w:line="276" w:lineRule="auto"/>
              <w:ind w:firstLine="0"/>
              <w:jc w:val="center"/>
              <w:rPr>
                <w:rFonts w:cs="Calibri"/>
              </w:rPr>
            </w:pPr>
            <w:r w:rsidRPr="00586097">
              <w:rPr>
                <w:rFonts w:cs="Calibri"/>
              </w:rPr>
              <w:t>8,171.1</w:t>
            </w:r>
          </w:p>
        </w:tc>
        <w:tc>
          <w:tcPr>
            <w:tcW w:w="1221" w:type="dxa"/>
            <w:shd w:val="clear" w:color="auto" w:fill="auto"/>
            <w:noWrap/>
            <w:vAlign w:val="center"/>
          </w:tcPr>
          <w:p w14:paraId="2B80E801" w14:textId="77777777" w:rsidR="00B7540A" w:rsidRPr="00586097" w:rsidRDefault="00B7540A" w:rsidP="00B7540A">
            <w:pPr>
              <w:spacing w:before="0" w:after="0" w:line="276" w:lineRule="auto"/>
              <w:ind w:firstLine="0"/>
              <w:jc w:val="center"/>
              <w:rPr>
                <w:rFonts w:cs="Calibri"/>
              </w:rPr>
            </w:pPr>
            <w:r w:rsidRPr="00586097">
              <w:rPr>
                <w:rFonts w:cs="Calibri"/>
              </w:rPr>
              <w:t>8,835.4</w:t>
            </w:r>
          </w:p>
        </w:tc>
      </w:tr>
      <w:tr w:rsidR="00B7540A" w:rsidRPr="00586097" w14:paraId="0DFDBD8D" w14:textId="77777777" w:rsidTr="00B7540A">
        <w:trPr>
          <w:trHeight w:val="316"/>
        </w:trPr>
        <w:tc>
          <w:tcPr>
            <w:tcW w:w="1548" w:type="dxa"/>
            <w:vMerge/>
            <w:vAlign w:val="center"/>
            <w:hideMark/>
          </w:tcPr>
          <w:p w14:paraId="440D3573" w14:textId="77777777" w:rsidR="00B7540A" w:rsidRPr="00586097" w:rsidRDefault="00B7540A" w:rsidP="00B7540A">
            <w:pPr>
              <w:spacing w:before="0" w:after="0" w:line="276" w:lineRule="auto"/>
              <w:ind w:firstLine="0"/>
              <w:jc w:val="left"/>
              <w:rPr>
                <w:rFonts w:cs="Calibri"/>
                <w:b/>
                <w:bCs/>
                <w:color w:val="000000"/>
              </w:rPr>
            </w:pPr>
          </w:p>
        </w:tc>
        <w:tc>
          <w:tcPr>
            <w:tcW w:w="2124" w:type="dxa"/>
            <w:shd w:val="clear" w:color="auto" w:fill="auto"/>
            <w:vAlign w:val="center"/>
            <w:hideMark/>
          </w:tcPr>
          <w:p w14:paraId="49C84708"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 Պետական բյուջե</w:t>
            </w:r>
          </w:p>
        </w:tc>
        <w:tc>
          <w:tcPr>
            <w:tcW w:w="1450" w:type="dxa"/>
            <w:vAlign w:val="center"/>
          </w:tcPr>
          <w:p w14:paraId="2359D7F9" w14:textId="77777777" w:rsidR="00B7540A" w:rsidRPr="00586097" w:rsidRDefault="00B7540A" w:rsidP="00B7540A">
            <w:pPr>
              <w:spacing w:before="0" w:after="0" w:line="276" w:lineRule="auto"/>
              <w:ind w:firstLine="0"/>
              <w:jc w:val="center"/>
              <w:rPr>
                <w:rFonts w:cs="Calibri"/>
                <w:color w:val="000000"/>
                <w:highlight w:val="yellow"/>
              </w:rPr>
            </w:pPr>
            <w:r w:rsidRPr="00586097">
              <w:rPr>
                <w:rFonts w:cs="Calibri"/>
                <w:color w:val="000000"/>
              </w:rPr>
              <w:t>6,075.9</w:t>
            </w:r>
          </w:p>
        </w:tc>
        <w:tc>
          <w:tcPr>
            <w:tcW w:w="1280" w:type="dxa"/>
            <w:shd w:val="clear" w:color="auto" w:fill="auto"/>
            <w:noWrap/>
            <w:vAlign w:val="center"/>
          </w:tcPr>
          <w:p w14:paraId="48BF2BAC" w14:textId="77777777" w:rsidR="00B7540A" w:rsidRPr="00586097" w:rsidRDefault="00B7540A" w:rsidP="00B7540A">
            <w:pPr>
              <w:spacing w:before="0" w:after="0" w:line="276" w:lineRule="auto"/>
              <w:ind w:firstLine="0"/>
              <w:jc w:val="center"/>
              <w:rPr>
                <w:rFonts w:cs="Calibri"/>
                <w:color w:val="000000"/>
                <w:highlight w:val="yellow"/>
              </w:rPr>
            </w:pPr>
            <w:r w:rsidRPr="00586097">
              <w:rPr>
                <w:rFonts w:cs="Calibri"/>
                <w:color w:val="000000"/>
              </w:rPr>
              <w:t>6,395.3</w:t>
            </w:r>
          </w:p>
        </w:tc>
        <w:tc>
          <w:tcPr>
            <w:tcW w:w="1065" w:type="dxa"/>
            <w:shd w:val="clear" w:color="auto" w:fill="auto"/>
            <w:vAlign w:val="center"/>
            <w:hideMark/>
          </w:tcPr>
          <w:p w14:paraId="68FB3282"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230" w:type="dxa"/>
            <w:shd w:val="clear" w:color="auto" w:fill="auto"/>
            <w:noWrap/>
            <w:vAlign w:val="center"/>
            <w:hideMark/>
          </w:tcPr>
          <w:p w14:paraId="07CD9AF1"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221" w:type="dxa"/>
            <w:shd w:val="clear" w:color="auto" w:fill="auto"/>
            <w:noWrap/>
            <w:vAlign w:val="center"/>
            <w:hideMark/>
          </w:tcPr>
          <w:p w14:paraId="75BDD0BC"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r w:rsidR="00B7540A" w:rsidRPr="00586097" w14:paraId="7A4E8F04" w14:textId="77777777" w:rsidTr="00B7540A">
        <w:trPr>
          <w:trHeight w:val="316"/>
        </w:trPr>
        <w:tc>
          <w:tcPr>
            <w:tcW w:w="1548" w:type="dxa"/>
            <w:vMerge/>
            <w:vAlign w:val="center"/>
            <w:hideMark/>
          </w:tcPr>
          <w:p w14:paraId="5A5D8A6F" w14:textId="77777777" w:rsidR="00B7540A" w:rsidRPr="00586097" w:rsidRDefault="00B7540A" w:rsidP="00B7540A">
            <w:pPr>
              <w:spacing w:before="0" w:after="0" w:line="276" w:lineRule="auto"/>
              <w:ind w:firstLine="0"/>
              <w:jc w:val="left"/>
              <w:rPr>
                <w:rFonts w:cs="Calibri"/>
                <w:b/>
                <w:bCs/>
                <w:color w:val="000000"/>
              </w:rPr>
            </w:pPr>
          </w:p>
        </w:tc>
        <w:tc>
          <w:tcPr>
            <w:tcW w:w="2124" w:type="dxa"/>
            <w:shd w:val="clear" w:color="auto" w:fill="auto"/>
            <w:vAlign w:val="center"/>
            <w:hideMark/>
          </w:tcPr>
          <w:p w14:paraId="5194B7B7"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2021-2023 ՄԺԾԾ</w:t>
            </w:r>
          </w:p>
        </w:tc>
        <w:tc>
          <w:tcPr>
            <w:tcW w:w="1450" w:type="dxa"/>
            <w:vAlign w:val="center"/>
          </w:tcPr>
          <w:p w14:paraId="5158B6D4"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6,505.1</w:t>
            </w:r>
          </w:p>
        </w:tc>
        <w:tc>
          <w:tcPr>
            <w:tcW w:w="1280" w:type="dxa"/>
            <w:shd w:val="clear" w:color="auto" w:fill="auto"/>
            <w:noWrap/>
            <w:vAlign w:val="center"/>
            <w:hideMark/>
          </w:tcPr>
          <w:p w14:paraId="536ACA91"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7,143.0</w:t>
            </w:r>
          </w:p>
        </w:tc>
        <w:tc>
          <w:tcPr>
            <w:tcW w:w="1065" w:type="dxa"/>
            <w:shd w:val="clear" w:color="auto" w:fill="auto"/>
            <w:vAlign w:val="center"/>
            <w:hideMark/>
          </w:tcPr>
          <w:p w14:paraId="42E9F790"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7,853.5</w:t>
            </w:r>
          </w:p>
        </w:tc>
        <w:tc>
          <w:tcPr>
            <w:tcW w:w="1230" w:type="dxa"/>
            <w:shd w:val="clear" w:color="auto" w:fill="auto"/>
            <w:noWrap/>
            <w:vAlign w:val="center"/>
            <w:hideMark/>
          </w:tcPr>
          <w:p w14:paraId="24CB35D1"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8,582.5</w:t>
            </w:r>
          </w:p>
        </w:tc>
        <w:tc>
          <w:tcPr>
            <w:tcW w:w="1221" w:type="dxa"/>
            <w:shd w:val="clear" w:color="auto" w:fill="auto"/>
            <w:noWrap/>
            <w:vAlign w:val="center"/>
            <w:hideMark/>
          </w:tcPr>
          <w:p w14:paraId="22DC58FC"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r w:rsidR="00B7540A" w:rsidRPr="00586097" w14:paraId="54B966AD" w14:textId="77777777" w:rsidTr="00B7540A">
        <w:trPr>
          <w:trHeight w:val="316"/>
        </w:trPr>
        <w:tc>
          <w:tcPr>
            <w:tcW w:w="1548" w:type="dxa"/>
            <w:vMerge w:val="restart"/>
            <w:shd w:val="clear" w:color="auto" w:fill="auto"/>
            <w:vAlign w:val="center"/>
          </w:tcPr>
          <w:p w14:paraId="32D173A1" w14:textId="77777777" w:rsidR="00B7540A" w:rsidRPr="00586097" w:rsidRDefault="00B7540A" w:rsidP="00B7540A">
            <w:pPr>
              <w:spacing w:before="0" w:after="0" w:line="276" w:lineRule="auto"/>
              <w:ind w:firstLine="0"/>
              <w:jc w:val="left"/>
              <w:rPr>
                <w:rFonts w:cs="Calibri"/>
                <w:b/>
                <w:bCs/>
                <w:color w:val="000000"/>
              </w:rPr>
            </w:pPr>
            <w:r w:rsidRPr="00586097">
              <w:rPr>
                <w:rFonts w:cs="Calibri"/>
                <w:b/>
                <w:bCs/>
                <w:color w:val="000000"/>
              </w:rPr>
              <w:t>Տնտեսական (իրական ՀՆԱ-ի) աճ, %</w:t>
            </w:r>
          </w:p>
        </w:tc>
        <w:tc>
          <w:tcPr>
            <w:tcW w:w="2124" w:type="dxa"/>
            <w:shd w:val="clear" w:color="auto" w:fill="auto"/>
            <w:vAlign w:val="center"/>
          </w:tcPr>
          <w:p w14:paraId="284DC5FA"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Թիրախային սցենար</w:t>
            </w:r>
          </w:p>
        </w:tc>
        <w:tc>
          <w:tcPr>
            <w:tcW w:w="1450" w:type="dxa"/>
            <w:vAlign w:val="center"/>
          </w:tcPr>
          <w:p w14:paraId="4AB0BD2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-7.4</w:t>
            </w:r>
          </w:p>
        </w:tc>
        <w:tc>
          <w:tcPr>
            <w:tcW w:w="1280" w:type="dxa"/>
            <w:shd w:val="clear" w:color="auto" w:fill="auto"/>
            <w:noWrap/>
            <w:vAlign w:val="center"/>
          </w:tcPr>
          <w:p w14:paraId="7956010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6.0</w:t>
            </w:r>
          </w:p>
        </w:tc>
        <w:tc>
          <w:tcPr>
            <w:tcW w:w="1065" w:type="dxa"/>
            <w:shd w:val="clear" w:color="auto" w:fill="auto"/>
            <w:vAlign w:val="center"/>
          </w:tcPr>
          <w:p w14:paraId="73730ECF"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7.1</w:t>
            </w:r>
          </w:p>
        </w:tc>
        <w:tc>
          <w:tcPr>
            <w:tcW w:w="1230" w:type="dxa"/>
            <w:shd w:val="clear" w:color="auto" w:fill="auto"/>
            <w:noWrap/>
            <w:vAlign w:val="center"/>
          </w:tcPr>
          <w:p w14:paraId="200C194E"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7.1</w:t>
            </w:r>
          </w:p>
        </w:tc>
        <w:tc>
          <w:tcPr>
            <w:tcW w:w="1221" w:type="dxa"/>
            <w:shd w:val="clear" w:color="auto" w:fill="auto"/>
            <w:noWrap/>
            <w:vAlign w:val="center"/>
          </w:tcPr>
          <w:p w14:paraId="0B3393CA"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7.0</w:t>
            </w:r>
          </w:p>
        </w:tc>
      </w:tr>
      <w:tr w:rsidR="00B7540A" w:rsidRPr="00586097" w14:paraId="40035D76" w14:textId="77777777" w:rsidTr="00B7540A">
        <w:trPr>
          <w:trHeight w:val="316"/>
        </w:trPr>
        <w:tc>
          <w:tcPr>
            <w:tcW w:w="1548" w:type="dxa"/>
            <w:vMerge/>
            <w:shd w:val="clear" w:color="auto" w:fill="auto"/>
            <w:vAlign w:val="center"/>
            <w:hideMark/>
          </w:tcPr>
          <w:p w14:paraId="67A4E0D3" w14:textId="77777777" w:rsidR="00B7540A" w:rsidRPr="00586097" w:rsidRDefault="00B7540A" w:rsidP="00B7540A">
            <w:pPr>
              <w:spacing w:before="0" w:after="0" w:line="276" w:lineRule="auto"/>
              <w:ind w:firstLine="0"/>
              <w:jc w:val="left"/>
              <w:rPr>
                <w:rFonts w:cs="Calibri"/>
                <w:b/>
                <w:bCs/>
                <w:color w:val="000000"/>
              </w:rPr>
            </w:pPr>
          </w:p>
        </w:tc>
        <w:tc>
          <w:tcPr>
            <w:tcW w:w="2124" w:type="dxa"/>
            <w:shd w:val="clear" w:color="auto" w:fill="auto"/>
            <w:vAlign w:val="center"/>
            <w:hideMark/>
          </w:tcPr>
          <w:p w14:paraId="3B51E0A9"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2022-2024 ՄԺԾԾ</w:t>
            </w:r>
          </w:p>
        </w:tc>
        <w:tc>
          <w:tcPr>
            <w:tcW w:w="1450" w:type="dxa"/>
            <w:vAlign w:val="center"/>
          </w:tcPr>
          <w:p w14:paraId="4F247D59"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-7.4</w:t>
            </w:r>
          </w:p>
        </w:tc>
        <w:tc>
          <w:tcPr>
            <w:tcW w:w="1280" w:type="dxa"/>
            <w:shd w:val="clear" w:color="auto" w:fill="auto"/>
            <w:noWrap/>
            <w:vAlign w:val="center"/>
            <w:hideMark/>
          </w:tcPr>
          <w:p w14:paraId="45E9A3E3"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6.0</w:t>
            </w:r>
          </w:p>
        </w:tc>
        <w:tc>
          <w:tcPr>
            <w:tcW w:w="1065" w:type="dxa"/>
            <w:shd w:val="clear" w:color="auto" w:fill="auto"/>
            <w:vAlign w:val="center"/>
            <w:hideMark/>
          </w:tcPr>
          <w:p w14:paraId="2F410C2A"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5.2</w:t>
            </w:r>
          </w:p>
        </w:tc>
        <w:tc>
          <w:tcPr>
            <w:tcW w:w="1230" w:type="dxa"/>
            <w:shd w:val="clear" w:color="auto" w:fill="auto"/>
            <w:noWrap/>
            <w:vAlign w:val="center"/>
            <w:hideMark/>
          </w:tcPr>
          <w:p w14:paraId="6D7C72C8"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3.7</w:t>
            </w:r>
          </w:p>
        </w:tc>
        <w:tc>
          <w:tcPr>
            <w:tcW w:w="1221" w:type="dxa"/>
            <w:shd w:val="clear" w:color="auto" w:fill="auto"/>
            <w:noWrap/>
            <w:vAlign w:val="center"/>
            <w:hideMark/>
          </w:tcPr>
          <w:p w14:paraId="5A4C6674"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4.0</w:t>
            </w:r>
          </w:p>
        </w:tc>
      </w:tr>
      <w:tr w:rsidR="00B7540A" w:rsidRPr="00586097" w14:paraId="522476B7" w14:textId="77777777" w:rsidTr="00B7540A">
        <w:trPr>
          <w:trHeight w:val="316"/>
        </w:trPr>
        <w:tc>
          <w:tcPr>
            <w:tcW w:w="1548" w:type="dxa"/>
            <w:vMerge/>
            <w:vAlign w:val="center"/>
            <w:hideMark/>
          </w:tcPr>
          <w:p w14:paraId="5C25523B" w14:textId="77777777" w:rsidR="00B7540A" w:rsidRPr="00586097" w:rsidRDefault="00B7540A" w:rsidP="00B7540A">
            <w:pPr>
              <w:spacing w:before="0" w:after="0" w:line="276" w:lineRule="auto"/>
              <w:ind w:firstLine="0"/>
              <w:jc w:val="left"/>
              <w:rPr>
                <w:rFonts w:cs="Calibri"/>
                <w:b/>
                <w:bCs/>
                <w:color w:val="000000"/>
              </w:rPr>
            </w:pPr>
          </w:p>
        </w:tc>
        <w:tc>
          <w:tcPr>
            <w:tcW w:w="2124" w:type="dxa"/>
            <w:shd w:val="clear" w:color="auto" w:fill="auto"/>
            <w:vAlign w:val="center"/>
            <w:hideMark/>
          </w:tcPr>
          <w:p w14:paraId="1ED07D86"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 Պետական բյուջե</w:t>
            </w:r>
          </w:p>
        </w:tc>
        <w:tc>
          <w:tcPr>
            <w:tcW w:w="1450" w:type="dxa"/>
            <w:vAlign w:val="center"/>
          </w:tcPr>
          <w:p w14:paraId="3F6C3A39" w14:textId="77777777" w:rsidR="00B7540A" w:rsidRPr="00586097" w:rsidRDefault="00B7540A" w:rsidP="00B7540A">
            <w:pPr>
              <w:spacing w:before="0" w:after="0" w:line="276" w:lineRule="auto"/>
              <w:ind w:firstLine="0"/>
              <w:jc w:val="center"/>
              <w:rPr>
                <w:rFonts w:cs="Calibri"/>
                <w:color w:val="000000"/>
                <w:highlight w:val="yellow"/>
              </w:rPr>
            </w:pPr>
            <w:r w:rsidRPr="00586097">
              <w:rPr>
                <w:rFonts w:cs="Calibri"/>
                <w:color w:val="000000"/>
              </w:rPr>
              <w:t>-7.9</w:t>
            </w:r>
          </w:p>
        </w:tc>
        <w:tc>
          <w:tcPr>
            <w:tcW w:w="1280" w:type="dxa"/>
            <w:shd w:val="clear" w:color="auto" w:fill="auto"/>
            <w:noWrap/>
            <w:vAlign w:val="center"/>
            <w:hideMark/>
          </w:tcPr>
          <w:p w14:paraId="36026D8E" w14:textId="77777777" w:rsidR="00B7540A" w:rsidRPr="00586097" w:rsidRDefault="00B7540A" w:rsidP="00B7540A">
            <w:pPr>
              <w:spacing w:before="0" w:after="0" w:line="276" w:lineRule="auto"/>
              <w:ind w:firstLine="0"/>
              <w:jc w:val="center"/>
              <w:rPr>
                <w:rFonts w:cs="Calibri"/>
                <w:color w:val="000000"/>
                <w:highlight w:val="yellow"/>
              </w:rPr>
            </w:pPr>
            <w:r w:rsidRPr="00586097">
              <w:rPr>
                <w:rFonts w:cs="Calibri"/>
                <w:color w:val="000000"/>
              </w:rPr>
              <w:t>3.2</w:t>
            </w:r>
          </w:p>
        </w:tc>
        <w:tc>
          <w:tcPr>
            <w:tcW w:w="1065" w:type="dxa"/>
            <w:shd w:val="clear" w:color="auto" w:fill="auto"/>
            <w:vAlign w:val="center"/>
            <w:hideMark/>
          </w:tcPr>
          <w:p w14:paraId="1631BA0E"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230" w:type="dxa"/>
            <w:shd w:val="clear" w:color="auto" w:fill="auto"/>
            <w:noWrap/>
            <w:vAlign w:val="center"/>
            <w:hideMark/>
          </w:tcPr>
          <w:p w14:paraId="0CBB59E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221" w:type="dxa"/>
            <w:shd w:val="clear" w:color="auto" w:fill="auto"/>
            <w:noWrap/>
            <w:vAlign w:val="center"/>
            <w:hideMark/>
          </w:tcPr>
          <w:p w14:paraId="0A755402"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r w:rsidR="00B7540A" w:rsidRPr="00586097" w14:paraId="07503586" w14:textId="77777777" w:rsidTr="00B7540A">
        <w:trPr>
          <w:trHeight w:val="316"/>
        </w:trPr>
        <w:tc>
          <w:tcPr>
            <w:tcW w:w="1548" w:type="dxa"/>
            <w:vMerge/>
            <w:vAlign w:val="center"/>
            <w:hideMark/>
          </w:tcPr>
          <w:p w14:paraId="5BEB27D7" w14:textId="77777777" w:rsidR="00B7540A" w:rsidRPr="00586097" w:rsidRDefault="00B7540A" w:rsidP="00B7540A">
            <w:pPr>
              <w:spacing w:before="0" w:after="0" w:line="276" w:lineRule="auto"/>
              <w:ind w:firstLine="0"/>
              <w:jc w:val="left"/>
              <w:rPr>
                <w:rFonts w:cs="Calibri"/>
                <w:b/>
                <w:bCs/>
                <w:color w:val="000000"/>
              </w:rPr>
            </w:pPr>
          </w:p>
        </w:tc>
        <w:tc>
          <w:tcPr>
            <w:tcW w:w="2124" w:type="dxa"/>
            <w:shd w:val="clear" w:color="auto" w:fill="auto"/>
            <w:vAlign w:val="center"/>
            <w:hideMark/>
          </w:tcPr>
          <w:p w14:paraId="67644961"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2021-2023 ՄԺԾԾ</w:t>
            </w:r>
          </w:p>
        </w:tc>
        <w:tc>
          <w:tcPr>
            <w:tcW w:w="1450" w:type="dxa"/>
            <w:vAlign w:val="center"/>
          </w:tcPr>
          <w:p w14:paraId="0D600C1F"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-2.6</w:t>
            </w:r>
          </w:p>
        </w:tc>
        <w:tc>
          <w:tcPr>
            <w:tcW w:w="1280" w:type="dxa"/>
            <w:shd w:val="clear" w:color="auto" w:fill="auto"/>
            <w:noWrap/>
            <w:vAlign w:val="center"/>
          </w:tcPr>
          <w:p w14:paraId="38BDBABC"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7.0</w:t>
            </w:r>
          </w:p>
        </w:tc>
        <w:tc>
          <w:tcPr>
            <w:tcW w:w="1065" w:type="dxa"/>
            <w:shd w:val="clear" w:color="auto" w:fill="auto"/>
            <w:vAlign w:val="center"/>
          </w:tcPr>
          <w:p w14:paraId="61B17DFC"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6.4</w:t>
            </w:r>
          </w:p>
        </w:tc>
        <w:tc>
          <w:tcPr>
            <w:tcW w:w="1230" w:type="dxa"/>
            <w:shd w:val="clear" w:color="auto" w:fill="auto"/>
            <w:noWrap/>
            <w:vAlign w:val="center"/>
          </w:tcPr>
          <w:p w14:paraId="713B1585"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5.1</w:t>
            </w:r>
          </w:p>
        </w:tc>
        <w:tc>
          <w:tcPr>
            <w:tcW w:w="1221" w:type="dxa"/>
            <w:shd w:val="clear" w:color="auto" w:fill="auto"/>
            <w:noWrap/>
            <w:vAlign w:val="center"/>
            <w:hideMark/>
          </w:tcPr>
          <w:p w14:paraId="02B57B84"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r w:rsidR="00B7540A" w:rsidRPr="00586097" w14:paraId="437151C3" w14:textId="77777777" w:rsidTr="00B7540A">
        <w:trPr>
          <w:trHeight w:val="316"/>
        </w:trPr>
        <w:tc>
          <w:tcPr>
            <w:tcW w:w="1548" w:type="dxa"/>
            <w:vMerge w:val="restart"/>
            <w:shd w:val="clear" w:color="auto" w:fill="auto"/>
            <w:vAlign w:val="center"/>
          </w:tcPr>
          <w:p w14:paraId="2B21FC7F" w14:textId="77777777" w:rsidR="00B7540A" w:rsidRPr="00586097" w:rsidRDefault="00B7540A" w:rsidP="00B7540A">
            <w:pPr>
              <w:spacing w:before="0" w:after="0" w:line="276" w:lineRule="auto"/>
              <w:ind w:firstLine="0"/>
              <w:jc w:val="left"/>
              <w:rPr>
                <w:rFonts w:cs="Calibri"/>
                <w:b/>
                <w:bCs/>
                <w:color w:val="000000"/>
              </w:rPr>
            </w:pPr>
            <w:r w:rsidRPr="00586097">
              <w:rPr>
                <w:rFonts w:cs="Calibri"/>
                <w:b/>
                <w:bCs/>
                <w:color w:val="000000"/>
              </w:rPr>
              <w:t>ՀՆԱ-ի դեֆլյատորի աճ, %</w:t>
            </w:r>
          </w:p>
        </w:tc>
        <w:tc>
          <w:tcPr>
            <w:tcW w:w="2124" w:type="dxa"/>
            <w:shd w:val="clear" w:color="auto" w:fill="auto"/>
            <w:vAlign w:val="center"/>
          </w:tcPr>
          <w:p w14:paraId="51E0620D"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Թիրախային սցենար</w:t>
            </w:r>
          </w:p>
        </w:tc>
        <w:tc>
          <w:tcPr>
            <w:tcW w:w="1450" w:type="dxa"/>
            <w:vAlign w:val="center"/>
          </w:tcPr>
          <w:p w14:paraId="281E7A15"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w:t>
            </w:r>
          </w:p>
        </w:tc>
        <w:tc>
          <w:tcPr>
            <w:tcW w:w="1280" w:type="dxa"/>
            <w:shd w:val="clear" w:color="auto" w:fill="auto"/>
            <w:noWrap/>
            <w:vAlign w:val="center"/>
          </w:tcPr>
          <w:p w14:paraId="343E4242" w14:textId="77777777" w:rsidR="00B7540A" w:rsidRPr="00586097" w:rsidRDefault="00B7540A" w:rsidP="00B7540A">
            <w:pPr>
              <w:spacing w:before="0" w:after="0" w:line="276" w:lineRule="auto"/>
              <w:ind w:firstLine="0"/>
              <w:jc w:val="center"/>
              <w:rPr>
                <w:rFonts w:cs="Calibri"/>
              </w:rPr>
            </w:pPr>
            <w:r w:rsidRPr="00586097">
              <w:rPr>
                <w:rFonts w:cs="Calibri"/>
              </w:rPr>
              <w:t>5.0</w:t>
            </w:r>
          </w:p>
        </w:tc>
        <w:tc>
          <w:tcPr>
            <w:tcW w:w="1065" w:type="dxa"/>
            <w:shd w:val="clear" w:color="auto" w:fill="auto"/>
            <w:vAlign w:val="center"/>
          </w:tcPr>
          <w:p w14:paraId="5380B485" w14:textId="77777777" w:rsidR="00B7540A" w:rsidRPr="00586097" w:rsidRDefault="00B7540A" w:rsidP="00B7540A">
            <w:pPr>
              <w:spacing w:before="0" w:after="0" w:line="276" w:lineRule="auto"/>
              <w:ind w:firstLine="0"/>
              <w:jc w:val="center"/>
              <w:rPr>
                <w:rFonts w:cs="Calibri"/>
              </w:rPr>
            </w:pPr>
            <w:r w:rsidRPr="00586097">
              <w:rPr>
                <w:rFonts w:cs="Calibri"/>
              </w:rPr>
              <w:t>4.6</w:t>
            </w:r>
          </w:p>
        </w:tc>
        <w:tc>
          <w:tcPr>
            <w:tcW w:w="1230" w:type="dxa"/>
            <w:shd w:val="clear" w:color="auto" w:fill="auto"/>
            <w:noWrap/>
            <w:vAlign w:val="center"/>
          </w:tcPr>
          <w:p w14:paraId="0B9A244B" w14:textId="77777777" w:rsidR="00B7540A" w:rsidRPr="00586097" w:rsidRDefault="00B7540A" w:rsidP="00B7540A">
            <w:pPr>
              <w:spacing w:before="0" w:after="0" w:line="276" w:lineRule="auto"/>
              <w:ind w:firstLine="0"/>
              <w:jc w:val="center"/>
              <w:rPr>
                <w:rFonts w:cs="Calibri"/>
              </w:rPr>
            </w:pPr>
            <w:r w:rsidRPr="00586097">
              <w:rPr>
                <w:rFonts w:cs="Calibri"/>
              </w:rPr>
              <w:t>4.0</w:t>
            </w:r>
          </w:p>
        </w:tc>
        <w:tc>
          <w:tcPr>
            <w:tcW w:w="1221" w:type="dxa"/>
            <w:tcBorders>
              <w:bottom w:val="single" w:sz="4" w:space="0" w:color="4472C4"/>
            </w:tcBorders>
            <w:shd w:val="clear" w:color="auto" w:fill="auto"/>
            <w:noWrap/>
            <w:vAlign w:val="center"/>
          </w:tcPr>
          <w:p w14:paraId="336EF9C9" w14:textId="77777777" w:rsidR="00B7540A" w:rsidRPr="00586097" w:rsidRDefault="00B7540A" w:rsidP="00B7540A">
            <w:pPr>
              <w:spacing w:before="0" w:after="0" w:line="276" w:lineRule="auto"/>
              <w:ind w:firstLine="0"/>
              <w:jc w:val="center"/>
              <w:rPr>
                <w:rFonts w:cs="Calibri"/>
              </w:rPr>
            </w:pPr>
            <w:r w:rsidRPr="00586097">
              <w:rPr>
                <w:rFonts w:cs="Calibri"/>
              </w:rPr>
              <w:t>4.0</w:t>
            </w:r>
          </w:p>
        </w:tc>
      </w:tr>
      <w:tr w:rsidR="00B7540A" w:rsidRPr="00586097" w14:paraId="43466369" w14:textId="77777777" w:rsidTr="00B7540A">
        <w:trPr>
          <w:trHeight w:val="316"/>
        </w:trPr>
        <w:tc>
          <w:tcPr>
            <w:tcW w:w="1548" w:type="dxa"/>
            <w:vMerge/>
            <w:shd w:val="clear" w:color="auto" w:fill="auto"/>
            <w:vAlign w:val="center"/>
            <w:hideMark/>
          </w:tcPr>
          <w:p w14:paraId="6D5A7317" w14:textId="77777777" w:rsidR="00B7540A" w:rsidRPr="00586097" w:rsidRDefault="00B7540A" w:rsidP="00B7540A">
            <w:pPr>
              <w:spacing w:before="0" w:after="0" w:line="276" w:lineRule="auto"/>
              <w:ind w:firstLine="0"/>
              <w:jc w:val="left"/>
              <w:rPr>
                <w:rFonts w:cs="Calibri"/>
                <w:b/>
                <w:bCs/>
                <w:color w:val="000000"/>
              </w:rPr>
            </w:pPr>
          </w:p>
        </w:tc>
        <w:tc>
          <w:tcPr>
            <w:tcW w:w="2124" w:type="dxa"/>
            <w:shd w:val="clear" w:color="auto" w:fill="auto"/>
            <w:vAlign w:val="center"/>
            <w:hideMark/>
          </w:tcPr>
          <w:p w14:paraId="41FE1D9C"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2022-2024 ՄԺԾԾ</w:t>
            </w:r>
          </w:p>
        </w:tc>
        <w:tc>
          <w:tcPr>
            <w:tcW w:w="1450" w:type="dxa"/>
            <w:vAlign w:val="center"/>
          </w:tcPr>
          <w:p w14:paraId="4CC2C502"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w:t>
            </w:r>
          </w:p>
        </w:tc>
        <w:tc>
          <w:tcPr>
            <w:tcW w:w="1280" w:type="dxa"/>
            <w:shd w:val="clear" w:color="auto" w:fill="auto"/>
            <w:noWrap/>
            <w:vAlign w:val="center"/>
            <w:hideMark/>
          </w:tcPr>
          <w:p w14:paraId="670CC7AC" w14:textId="77777777" w:rsidR="00B7540A" w:rsidRPr="00586097" w:rsidRDefault="00B7540A" w:rsidP="00B7540A">
            <w:pPr>
              <w:spacing w:before="0" w:after="0" w:line="276" w:lineRule="auto"/>
              <w:ind w:firstLine="0"/>
              <w:jc w:val="center"/>
              <w:rPr>
                <w:rFonts w:cs="Calibri"/>
              </w:rPr>
            </w:pPr>
            <w:r w:rsidRPr="00586097">
              <w:rPr>
                <w:rFonts w:cs="Calibri"/>
              </w:rPr>
              <w:t>5.0</w:t>
            </w:r>
          </w:p>
        </w:tc>
        <w:tc>
          <w:tcPr>
            <w:tcW w:w="1065" w:type="dxa"/>
            <w:shd w:val="clear" w:color="auto" w:fill="auto"/>
            <w:vAlign w:val="center"/>
            <w:hideMark/>
          </w:tcPr>
          <w:p w14:paraId="70550B8A" w14:textId="77777777" w:rsidR="00B7540A" w:rsidRPr="00586097" w:rsidRDefault="00B7540A" w:rsidP="00B7540A">
            <w:pPr>
              <w:spacing w:before="0" w:after="0" w:line="276" w:lineRule="auto"/>
              <w:ind w:firstLine="0"/>
              <w:jc w:val="center"/>
              <w:rPr>
                <w:rFonts w:cs="Calibri"/>
              </w:rPr>
            </w:pPr>
            <w:r w:rsidRPr="00586097">
              <w:rPr>
                <w:rFonts w:cs="Calibri"/>
              </w:rPr>
              <w:t>4.6</w:t>
            </w:r>
          </w:p>
        </w:tc>
        <w:tc>
          <w:tcPr>
            <w:tcW w:w="1230" w:type="dxa"/>
            <w:shd w:val="clear" w:color="auto" w:fill="auto"/>
            <w:noWrap/>
            <w:vAlign w:val="center"/>
            <w:hideMark/>
          </w:tcPr>
          <w:p w14:paraId="09A8A938" w14:textId="77777777" w:rsidR="00B7540A" w:rsidRPr="00586097" w:rsidRDefault="00B7540A" w:rsidP="00B7540A">
            <w:pPr>
              <w:spacing w:before="0" w:after="0" w:line="276" w:lineRule="auto"/>
              <w:ind w:firstLine="0"/>
              <w:jc w:val="center"/>
              <w:rPr>
                <w:rFonts w:cs="Calibri"/>
              </w:rPr>
            </w:pPr>
            <w:r w:rsidRPr="00586097">
              <w:rPr>
                <w:rFonts w:cs="Calibri"/>
              </w:rPr>
              <w:t>4.0</w:t>
            </w:r>
          </w:p>
        </w:tc>
        <w:tc>
          <w:tcPr>
            <w:tcW w:w="1221" w:type="dxa"/>
            <w:tcBorders>
              <w:bottom w:val="single" w:sz="4" w:space="0" w:color="4472C4"/>
            </w:tcBorders>
            <w:shd w:val="clear" w:color="auto" w:fill="auto"/>
            <w:noWrap/>
            <w:vAlign w:val="center"/>
            <w:hideMark/>
          </w:tcPr>
          <w:p w14:paraId="26707507" w14:textId="77777777" w:rsidR="00B7540A" w:rsidRPr="00586097" w:rsidRDefault="00B7540A" w:rsidP="00B7540A">
            <w:pPr>
              <w:spacing w:before="0" w:after="0" w:line="276" w:lineRule="auto"/>
              <w:ind w:firstLine="0"/>
              <w:jc w:val="center"/>
              <w:rPr>
                <w:rFonts w:cs="Calibri"/>
              </w:rPr>
            </w:pPr>
            <w:r w:rsidRPr="00586097">
              <w:rPr>
                <w:rFonts w:cs="Calibri"/>
              </w:rPr>
              <w:t>4.0</w:t>
            </w:r>
          </w:p>
        </w:tc>
      </w:tr>
      <w:tr w:rsidR="00B7540A" w:rsidRPr="00586097" w14:paraId="6862FCC6" w14:textId="77777777" w:rsidTr="00B7540A">
        <w:trPr>
          <w:trHeight w:val="316"/>
        </w:trPr>
        <w:tc>
          <w:tcPr>
            <w:tcW w:w="1548" w:type="dxa"/>
            <w:vMerge/>
            <w:vAlign w:val="center"/>
            <w:hideMark/>
          </w:tcPr>
          <w:p w14:paraId="7E609320" w14:textId="77777777" w:rsidR="00B7540A" w:rsidRPr="00586097" w:rsidRDefault="00B7540A" w:rsidP="00B7540A">
            <w:pPr>
              <w:spacing w:before="0" w:after="0" w:line="276" w:lineRule="auto"/>
              <w:ind w:firstLine="0"/>
              <w:jc w:val="left"/>
              <w:rPr>
                <w:rFonts w:cs="Calibri"/>
                <w:b/>
                <w:bCs/>
                <w:color w:val="000000"/>
              </w:rPr>
            </w:pPr>
          </w:p>
        </w:tc>
        <w:tc>
          <w:tcPr>
            <w:tcW w:w="2124" w:type="dxa"/>
            <w:shd w:val="clear" w:color="auto" w:fill="auto"/>
            <w:vAlign w:val="center"/>
            <w:hideMark/>
          </w:tcPr>
          <w:p w14:paraId="59F9269D"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 Պետական բյուջե</w:t>
            </w:r>
          </w:p>
        </w:tc>
        <w:tc>
          <w:tcPr>
            <w:tcW w:w="1450" w:type="dxa"/>
            <w:vAlign w:val="center"/>
          </w:tcPr>
          <w:p w14:paraId="464B35C4" w14:textId="77777777" w:rsidR="00B7540A" w:rsidRPr="00586097" w:rsidRDefault="00B7540A" w:rsidP="00B7540A">
            <w:pPr>
              <w:spacing w:before="0" w:after="0" w:line="276" w:lineRule="auto"/>
              <w:ind w:firstLine="0"/>
              <w:jc w:val="center"/>
              <w:rPr>
                <w:rFonts w:cs="Calibri"/>
                <w:color w:val="000000"/>
                <w:highlight w:val="yellow"/>
              </w:rPr>
            </w:pPr>
            <w:r w:rsidRPr="00586097">
              <w:rPr>
                <w:rFonts w:cs="Calibri"/>
                <w:color w:val="000000"/>
              </w:rPr>
              <w:t>0.4</w:t>
            </w:r>
          </w:p>
        </w:tc>
        <w:tc>
          <w:tcPr>
            <w:tcW w:w="1280" w:type="dxa"/>
            <w:shd w:val="clear" w:color="auto" w:fill="auto"/>
            <w:noWrap/>
            <w:vAlign w:val="center"/>
            <w:hideMark/>
          </w:tcPr>
          <w:p w14:paraId="4E5A8D26" w14:textId="77777777" w:rsidR="00B7540A" w:rsidRPr="00586097" w:rsidRDefault="00B7540A" w:rsidP="00B7540A">
            <w:pPr>
              <w:spacing w:before="0" w:after="0" w:line="276" w:lineRule="auto"/>
              <w:ind w:firstLine="0"/>
              <w:jc w:val="center"/>
              <w:rPr>
                <w:rFonts w:cs="Calibri"/>
                <w:color w:val="000000"/>
                <w:highlight w:val="yellow"/>
              </w:rPr>
            </w:pPr>
            <w:r w:rsidRPr="00586097">
              <w:rPr>
                <w:rFonts w:cs="Calibri"/>
                <w:color w:val="000000"/>
              </w:rPr>
              <w:t>2.0</w:t>
            </w:r>
          </w:p>
        </w:tc>
        <w:tc>
          <w:tcPr>
            <w:tcW w:w="1065" w:type="dxa"/>
            <w:shd w:val="clear" w:color="auto" w:fill="auto"/>
            <w:vAlign w:val="center"/>
            <w:hideMark/>
          </w:tcPr>
          <w:p w14:paraId="02E5C8B2"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230" w:type="dxa"/>
            <w:shd w:val="clear" w:color="auto" w:fill="auto"/>
            <w:noWrap/>
            <w:vAlign w:val="center"/>
            <w:hideMark/>
          </w:tcPr>
          <w:p w14:paraId="4450F8A1"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221" w:type="dxa"/>
            <w:tcBorders>
              <w:top w:val="single" w:sz="4" w:space="0" w:color="4472C4"/>
            </w:tcBorders>
            <w:shd w:val="clear" w:color="auto" w:fill="auto"/>
            <w:noWrap/>
            <w:vAlign w:val="center"/>
            <w:hideMark/>
          </w:tcPr>
          <w:p w14:paraId="715F1985"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r w:rsidR="00B7540A" w:rsidRPr="00586097" w14:paraId="2DEC1630" w14:textId="77777777" w:rsidTr="00B7540A">
        <w:trPr>
          <w:trHeight w:val="316"/>
        </w:trPr>
        <w:tc>
          <w:tcPr>
            <w:tcW w:w="1548" w:type="dxa"/>
            <w:vMerge/>
            <w:vAlign w:val="center"/>
            <w:hideMark/>
          </w:tcPr>
          <w:p w14:paraId="388822B4" w14:textId="77777777" w:rsidR="00B7540A" w:rsidRPr="00586097" w:rsidRDefault="00B7540A" w:rsidP="00B7540A">
            <w:pPr>
              <w:spacing w:before="0" w:after="0" w:line="276" w:lineRule="auto"/>
              <w:ind w:firstLine="0"/>
              <w:jc w:val="left"/>
              <w:rPr>
                <w:rFonts w:cs="Calibri"/>
                <w:b/>
                <w:bCs/>
                <w:color w:val="000000"/>
              </w:rPr>
            </w:pPr>
          </w:p>
        </w:tc>
        <w:tc>
          <w:tcPr>
            <w:tcW w:w="2124" w:type="dxa"/>
            <w:shd w:val="clear" w:color="auto" w:fill="auto"/>
            <w:vAlign w:val="center"/>
            <w:hideMark/>
          </w:tcPr>
          <w:p w14:paraId="59A82702"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2021-2023 ՄԺԾԾ</w:t>
            </w:r>
          </w:p>
        </w:tc>
        <w:tc>
          <w:tcPr>
            <w:tcW w:w="1450" w:type="dxa"/>
            <w:vAlign w:val="center"/>
          </w:tcPr>
          <w:p w14:paraId="22ED6CD7"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1.7</w:t>
            </w:r>
          </w:p>
        </w:tc>
        <w:tc>
          <w:tcPr>
            <w:tcW w:w="1280" w:type="dxa"/>
            <w:shd w:val="clear" w:color="auto" w:fill="auto"/>
            <w:noWrap/>
            <w:vAlign w:val="center"/>
          </w:tcPr>
          <w:p w14:paraId="09754A47"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2.7</w:t>
            </w:r>
          </w:p>
        </w:tc>
        <w:tc>
          <w:tcPr>
            <w:tcW w:w="1065" w:type="dxa"/>
            <w:shd w:val="clear" w:color="auto" w:fill="auto"/>
            <w:vAlign w:val="center"/>
          </w:tcPr>
          <w:p w14:paraId="73AF34EC"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3.4</w:t>
            </w:r>
          </w:p>
        </w:tc>
        <w:tc>
          <w:tcPr>
            <w:tcW w:w="1230" w:type="dxa"/>
            <w:shd w:val="clear" w:color="auto" w:fill="auto"/>
            <w:noWrap/>
            <w:vAlign w:val="center"/>
          </w:tcPr>
          <w:p w14:paraId="238E253E"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4.0</w:t>
            </w:r>
          </w:p>
        </w:tc>
        <w:tc>
          <w:tcPr>
            <w:tcW w:w="1221" w:type="dxa"/>
            <w:shd w:val="clear" w:color="auto" w:fill="auto"/>
            <w:noWrap/>
            <w:vAlign w:val="center"/>
            <w:hideMark/>
          </w:tcPr>
          <w:p w14:paraId="1F377765"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bl>
    <w:p w14:paraId="551C07A1" w14:textId="77777777" w:rsidR="00B7540A" w:rsidRPr="00586097" w:rsidRDefault="00B7540A" w:rsidP="0027114B">
      <w:pPr>
        <w:pStyle w:val="afd"/>
      </w:pPr>
      <w:r w:rsidRPr="00586097">
        <w:t xml:space="preserve">* 2022-2024 ՄԺԾԾ համար 2020թ. ցուցանիշները փաստացի են </w:t>
      </w:r>
    </w:p>
    <w:p w14:paraId="2F5D7D50" w14:textId="77777777" w:rsidR="00B7540A" w:rsidRPr="00110C23" w:rsidRDefault="00B7540A" w:rsidP="0027114B">
      <w:pPr>
        <w:pStyle w:val="afd"/>
        <w:rPr>
          <w:rFonts w:cs="Sylfaen"/>
          <w:b/>
          <w:bCs/>
          <w:color w:val="4F81BD"/>
        </w:rPr>
      </w:pPr>
      <w:r w:rsidRPr="00110C23">
        <w:t>Աղբյուրը ՝ ՀՀ ՖՆ կանխատեսումներ</w:t>
      </w:r>
    </w:p>
    <w:p w14:paraId="309D2707" w14:textId="77777777" w:rsidR="00B7540A" w:rsidRPr="005849E3" w:rsidRDefault="00B7540A" w:rsidP="00B7540A">
      <w:pPr>
        <w:spacing w:before="0" w:after="0" w:line="276" w:lineRule="auto"/>
        <w:ind w:firstLine="0"/>
        <w:rPr>
          <w:rFonts w:eastAsia="Calibri" w:cs="Sylfaen"/>
          <w:b/>
          <w:bCs/>
          <w:i/>
          <w:iCs/>
          <w:color w:val="4F81BD"/>
          <w:lang w:val="hy-AM"/>
        </w:rPr>
      </w:pPr>
    </w:p>
    <w:p w14:paraId="17EEFD87" w14:textId="77777777" w:rsidR="00B7540A" w:rsidRPr="005849E3" w:rsidRDefault="00B7540A" w:rsidP="00B7540A">
      <w:pPr>
        <w:spacing w:before="0" w:after="0" w:line="276" w:lineRule="auto"/>
        <w:ind w:firstLine="0"/>
        <w:rPr>
          <w:rFonts w:eastAsia="Calibri" w:cs="Sylfaen"/>
          <w:b/>
          <w:bCs/>
          <w:i/>
          <w:iCs/>
          <w:color w:val="4F81BD"/>
          <w:lang w:val="hy-AM"/>
        </w:rPr>
      </w:pPr>
    </w:p>
    <w:p w14:paraId="4680F08B" w14:textId="77777777" w:rsidR="007309DA" w:rsidRPr="005849E3" w:rsidRDefault="007309DA" w:rsidP="00B7540A">
      <w:pPr>
        <w:spacing w:before="0" w:after="0" w:line="276" w:lineRule="auto"/>
        <w:ind w:firstLine="0"/>
        <w:rPr>
          <w:rFonts w:eastAsia="Calibri" w:cs="Sylfaen"/>
          <w:b/>
          <w:bCs/>
          <w:i/>
          <w:iCs/>
          <w:color w:val="4F81BD"/>
          <w:lang w:val="hy-AM"/>
        </w:rPr>
      </w:pPr>
    </w:p>
    <w:p w14:paraId="5B98EFCB" w14:textId="77777777" w:rsidR="007309DA" w:rsidRPr="005849E3" w:rsidRDefault="007309DA" w:rsidP="00B7540A">
      <w:pPr>
        <w:spacing w:before="0" w:after="0" w:line="276" w:lineRule="auto"/>
        <w:ind w:firstLine="0"/>
        <w:rPr>
          <w:rFonts w:eastAsia="Calibri" w:cs="Sylfaen"/>
          <w:b/>
          <w:bCs/>
          <w:i/>
          <w:iCs/>
          <w:color w:val="4F81BD"/>
          <w:lang w:val="hy-AM"/>
        </w:rPr>
      </w:pPr>
    </w:p>
    <w:p w14:paraId="15341CC9" w14:textId="77777777" w:rsidR="007309DA" w:rsidRPr="005849E3" w:rsidRDefault="007309DA" w:rsidP="00B7540A">
      <w:pPr>
        <w:spacing w:before="0" w:after="0" w:line="276" w:lineRule="auto"/>
        <w:ind w:firstLine="0"/>
        <w:rPr>
          <w:rFonts w:eastAsia="Calibri" w:cs="Sylfaen"/>
          <w:b/>
          <w:bCs/>
          <w:i/>
          <w:iCs/>
          <w:color w:val="4F81BD"/>
          <w:lang w:val="hy-AM"/>
        </w:rPr>
      </w:pPr>
    </w:p>
    <w:p w14:paraId="0B40FCED" w14:textId="77777777" w:rsidR="00B7540A" w:rsidRPr="00586097" w:rsidRDefault="00B7540A" w:rsidP="00B7540A">
      <w:pPr>
        <w:pStyle w:val="afa"/>
        <w:spacing w:line="276" w:lineRule="auto"/>
        <w:ind w:firstLine="0"/>
      </w:pPr>
      <w:r w:rsidRPr="00586097">
        <w:t>Աղյուսակ 1.6. Ընթացիկ հաշվի կանխատեսումները</w:t>
      </w:r>
    </w:p>
    <w:tbl>
      <w:tblPr>
        <w:tblW w:w="9936"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ook w:val="04A0" w:firstRow="1" w:lastRow="0" w:firstColumn="1" w:lastColumn="0" w:noHBand="0" w:noVBand="1"/>
      </w:tblPr>
      <w:tblGrid>
        <w:gridCol w:w="1925"/>
        <w:gridCol w:w="2044"/>
        <w:gridCol w:w="1657"/>
        <w:gridCol w:w="1056"/>
        <w:gridCol w:w="973"/>
        <w:gridCol w:w="1132"/>
        <w:gridCol w:w="1149"/>
      </w:tblGrid>
      <w:tr w:rsidR="00B7540A" w:rsidRPr="00586097" w14:paraId="3ACEF7E9" w14:textId="77777777" w:rsidTr="00B7540A">
        <w:trPr>
          <w:trHeight w:val="309"/>
        </w:trPr>
        <w:tc>
          <w:tcPr>
            <w:tcW w:w="1925" w:type="dxa"/>
            <w:vMerge w:val="restart"/>
            <w:shd w:val="clear" w:color="auto" w:fill="9CC2E5"/>
            <w:noWrap/>
            <w:vAlign w:val="center"/>
            <w:hideMark/>
          </w:tcPr>
          <w:p w14:paraId="5733C286"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Ցուցանիշներ</w:t>
            </w:r>
          </w:p>
        </w:tc>
        <w:tc>
          <w:tcPr>
            <w:tcW w:w="2223" w:type="dxa"/>
            <w:vMerge w:val="restart"/>
            <w:shd w:val="clear" w:color="auto" w:fill="9CC2E5"/>
            <w:vAlign w:val="center"/>
            <w:hideMark/>
          </w:tcPr>
          <w:p w14:paraId="77BA71E2"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Ծրագիր</w:t>
            </w:r>
          </w:p>
        </w:tc>
        <w:tc>
          <w:tcPr>
            <w:tcW w:w="1450" w:type="dxa"/>
            <w:shd w:val="clear" w:color="auto" w:fill="9CC2E5"/>
            <w:vAlign w:val="center"/>
          </w:tcPr>
          <w:p w14:paraId="46AFD7D3"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2020</w:t>
            </w:r>
          </w:p>
        </w:tc>
        <w:tc>
          <w:tcPr>
            <w:tcW w:w="1056" w:type="dxa"/>
            <w:shd w:val="clear" w:color="auto" w:fill="9CC2E5"/>
            <w:vAlign w:val="center"/>
            <w:hideMark/>
          </w:tcPr>
          <w:p w14:paraId="62F782B5"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2021</w:t>
            </w:r>
          </w:p>
        </w:tc>
        <w:tc>
          <w:tcPr>
            <w:tcW w:w="1001" w:type="dxa"/>
            <w:shd w:val="clear" w:color="auto" w:fill="9CC2E5"/>
            <w:vAlign w:val="center"/>
            <w:hideMark/>
          </w:tcPr>
          <w:p w14:paraId="4C5E376A"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2022</w:t>
            </w:r>
          </w:p>
        </w:tc>
        <w:tc>
          <w:tcPr>
            <w:tcW w:w="1132" w:type="dxa"/>
            <w:shd w:val="clear" w:color="auto" w:fill="9CC2E5"/>
            <w:vAlign w:val="center"/>
            <w:hideMark/>
          </w:tcPr>
          <w:p w14:paraId="5580B94B"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2023</w:t>
            </w:r>
          </w:p>
        </w:tc>
        <w:tc>
          <w:tcPr>
            <w:tcW w:w="1149" w:type="dxa"/>
            <w:shd w:val="clear" w:color="auto" w:fill="9CC2E5"/>
            <w:vAlign w:val="center"/>
            <w:hideMark/>
          </w:tcPr>
          <w:p w14:paraId="46515FA4" w14:textId="77777777" w:rsidR="00B7540A" w:rsidRPr="00586097" w:rsidRDefault="00B7540A" w:rsidP="00B7540A">
            <w:pPr>
              <w:spacing w:before="0" w:after="0" w:line="276" w:lineRule="auto"/>
              <w:ind w:firstLine="0"/>
              <w:jc w:val="center"/>
              <w:rPr>
                <w:rFonts w:cs="Calibri"/>
                <w:b/>
                <w:bCs/>
                <w:color w:val="000000"/>
              </w:rPr>
            </w:pPr>
            <w:r w:rsidRPr="00586097">
              <w:rPr>
                <w:rFonts w:cs="Calibri"/>
                <w:b/>
                <w:bCs/>
                <w:color w:val="000000"/>
              </w:rPr>
              <w:t>2024</w:t>
            </w:r>
          </w:p>
        </w:tc>
      </w:tr>
      <w:tr w:rsidR="00B7540A" w:rsidRPr="00586097" w14:paraId="13870381" w14:textId="77777777" w:rsidTr="00B7540A">
        <w:trPr>
          <w:trHeight w:val="309"/>
        </w:trPr>
        <w:tc>
          <w:tcPr>
            <w:tcW w:w="1925" w:type="dxa"/>
            <w:vMerge/>
            <w:shd w:val="clear" w:color="auto" w:fill="9CC2E5"/>
            <w:vAlign w:val="center"/>
            <w:hideMark/>
          </w:tcPr>
          <w:p w14:paraId="31097D9D" w14:textId="77777777" w:rsidR="00B7540A" w:rsidRPr="00586097" w:rsidRDefault="00B7540A" w:rsidP="00B7540A">
            <w:pPr>
              <w:spacing w:before="0" w:after="0" w:line="276" w:lineRule="auto"/>
              <w:ind w:firstLine="0"/>
              <w:jc w:val="left"/>
              <w:rPr>
                <w:rFonts w:cs="Calibri"/>
                <w:b/>
                <w:bCs/>
                <w:color w:val="000000"/>
              </w:rPr>
            </w:pPr>
          </w:p>
        </w:tc>
        <w:tc>
          <w:tcPr>
            <w:tcW w:w="2223" w:type="dxa"/>
            <w:vMerge/>
            <w:shd w:val="clear" w:color="auto" w:fill="9CC2E5"/>
            <w:vAlign w:val="center"/>
            <w:hideMark/>
          </w:tcPr>
          <w:p w14:paraId="5424ACF3" w14:textId="77777777" w:rsidR="00B7540A" w:rsidRPr="00586097" w:rsidRDefault="00B7540A" w:rsidP="00B7540A">
            <w:pPr>
              <w:spacing w:before="0" w:after="0" w:line="276" w:lineRule="auto"/>
              <w:ind w:firstLine="0"/>
              <w:jc w:val="left"/>
              <w:rPr>
                <w:rFonts w:cs="Calibri"/>
                <w:b/>
                <w:bCs/>
                <w:color w:val="000000"/>
              </w:rPr>
            </w:pPr>
          </w:p>
        </w:tc>
        <w:tc>
          <w:tcPr>
            <w:tcW w:w="1450" w:type="dxa"/>
            <w:shd w:val="clear" w:color="auto" w:fill="9CC2E5"/>
            <w:vAlign w:val="center"/>
          </w:tcPr>
          <w:p w14:paraId="1E0BD9F8"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փաստ*կանխ.</w:t>
            </w:r>
          </w:p>
        </w:tc>
        <w:tc>
          <w:tcPr>
            <w:tcW w:w="1056" w:type="dxa"/>
            <w:shd w:val="clear" w:color="auto" w:fill="9CC2E5"/>
            <w:vAlign w:val="center"/>
            <w:hideMark/>
          </w:tcPr>
          <w:p w14:paraId="47B5C3F4"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կանխ.</w:t>
            </w:r>
          </w:p>
        </w:tc>
        <w:tc>
          <w:tcPr>
            <w:tcW w:w="1001" w:type="dxa"/>
            <w:shd w:val="clear" w:color="auto" w:fill="9CC2E5"/>
            <w:vAlign w:val="center"/>
            <w:hideMark/>
          </w:tcPr>
          <w:p w14:paraId="232B3EB6"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կանխ.</w:t>
            </w:r>
          </w:p>
        </w:tc>
        <w:tc>
          <w:tcPr>
            <w:tcW w:w="1132" w:type="dxa"/>
            <w:shd w:val="clear" w:color="auto" w:fill="9CC2E5"/>
            <w:vAlign w:val="center"/>
            <w:hideMark/>
          </w:tcPr>
          <w:p w14:paraId="4D118224"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կանխ.</w:t>
            </w:r>
          </w:p>
        </w:tc>
        <w:tc>
          <w:tcPr>
            <w:tcW w:w="1149" w:type="dxa"/>
            <w:shd w:val="clear" w:color="auto" w:fill="9CC2E5"/>
            <w:vAlign w:val="center"/>
            <w:hideMark/>
          </w:tcPr>
          <w:p w14:paraId="33BA777F" w14:textId="77777777" w:rsidR="00B7540A" w:rsidRPr="00586097" w:rsidRDefault="00B7540A" w:rsidP="00B7540A">
            <w:pPr>
              <w:spacing w:before="0" w:after="0" w:line="276" w:lineRule="auto"/>
              <w:ind w:firstLine="0"/>
              <w:jc w:val="center"/>
              <w:rPr>
                <w:rFonts w:cs="Calibri"/>
                <w:i/>
                <w:iCs/>
                <w:color w:val="000000"/>
              </w:rPr>
            </w:pPr>
            <w:r w:rsidRPr="00586097">
              <w:rPr>
                <w:rFonts w:cs="Calibri"/>
                <w:i/>
                <w:iCs/>
                <w:color w:val="000000"/>
              </w:rPr>
              <w:t>կանխ.</w:t>
            </w:r>
          </w:p>
        </w:tc>
      </w:tr>
      <w:tr w:rsidR="00B7540A" w:rsidRPr="00586097" w14:paraId="374C0A98" w14:textId="77777777" w:rsidTr="00B7540A">
        <w:trPr>
          <w:trHeight w:val="309"/>
        </w:trPr>
        <w:tc>
          <w:tcPr>
            <w:tcW w:w="1925" w:type="dxa"/>
            <w:vMerge w:val="restart"/>
            <w:shd w:val="clear" w:color="auto" w:fill="auto"/>
            <w:vAlign w:val="center"/>
          </w:tcPr>
          <w:p w14:paraId="3D9E2077" w14:textId="77777777" w:rsidR="00B7540A" w:rsidRPr="00586097" w:rsidRDefault="00B7540A" w:rsidP="00B7540A">
            <w:pPr>
              <w:spacing w:before="0" w:after="0" w:line="276" w:lineRule="auto"/>
              <w:ind w:firstLine="0"/>
              <w:jc w:val="left"/>
              <w:rPr>
                <w:rFonts w:cs="Calibri"/>
                <w:b/>
                <w:bCs/>
                <w:color w:val="000000"/>
              </w:rPr>
            </w:pPr>
            <w:r w:rsidRPr="00586097">
              <w:rPr>
                <w:rFonts w:cs="Calibri"/>
                <w:b/>
                <w:bCs/>
                <w:color w:val="000000"/>
              </w:rPr>
              <w:t>Ընթացիկ հաշիվ, մլն ԱՄՆ դոլար</w:t>
            </w:r>
          </w:p>
        </w:tc>
        <w:tc>
          <w:tcPr>
            <w:tcW w:w="2223" w:type="dxa"/>
            <w:shd w:val="clear" w:color="auto" w:fill="auto"/>
            <w:vAlign w:val="center"/>
          </w:tcPr>
          <w:p w14:paraId="76503C56"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Թիրախային սցենար</w:t>
            </w:r>
          </w:p>
        </w:tc>
        <w:tc>
          <w:tcPr>
            <w:tcW w:w="1450" w:type="dxa"/>
            <w:vAlign w:val="center"/>
          </w:tcPr>
          <w:p w14:paraId="7F27978A"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-478.7</w:t>
            </w:r>
          </w:p>
        </w:tc>
        <w:tc>
          <w:tcPr>
            <w:tcW w:w="1056" w:type="dxa"/>
            <w:shd w:val="clear" w:color="auto" w:fill="auto"/>
            <w:noWrap/>
            <w:vAlign w:val="center"/>
          </w:tcPr>
          <w:p w14:paraId="2CED8358"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-281.3</w:t>
            </w:r>
          </w:p>
        </w:tc>
        <w:tc>
          <w:tcPr>
            <w:tcW w:w="1001" w:type="dxa"/>
            <w:shd w:val="clear" w:color="auto" w:fill="auto"/>
            <w:vAlign w:val="center"/>
          </w:tcPr>
          <w:p w14:paraId="2ED48456" w14:textId="77777777" w:rsidR="00B7540A" w:rsidRPr="00586097" w:rsidRDefault="00B7540A" w:rsidP="00B7540A">
            <w:pPr>
              <w:spacing w:before="0" w:after="0" w:line="276" w:lineRule="auto"/>
              <w:ind w:firstLine="0"/>
              <w:jc w:val="center"/>
              <w:rPr>
                <w:rFonts w:cs="Calibri"/>
                <w:color w:val="000000"/>
              </w:rPr>
            </w:pPr>
            <w:r w:rsidRPr="00586097">
              <w:rPr>
                <w:rFonts w:eastAsia="Calibri" w:cs="Arial"/>
                <w:bCs/>
              </w:rPr>
              <w:t>-629.1</w:t>
            </w:r>
          </w:p>
        </w:tc>
        <w:tc>
          <w:tcPr>
            <w:tcW w:w="1132" w:type="dxa"/>
            <w:shd w:val="clear" w:color="auto" w:fill="auto"/>
            <w:noWrap/>
            <w:vAlign w:val="center"/>
          </w:tcPr>
          <w:p w14:paraId="29E5A804" w14:textId="77777777" w:rsidR="00B7540A" w:rsidRPr="00586097" w:rsidRDefault="00B7540A" w:rsidP="00B7540A">
            <w:pPr>
              <w:spacing w:before="0" w:after="0" w:line="276" w:lineRule="auto"/>
              <w:ind w:firstLine="0"/>
              <w:jc w:val="center"/>
              <w:rPr>
                <w:rFonts w:cs="Calibri"/>
                <w:color w:val="000000"/>
              </w:rPr>
            </w:pPr>
            <w:r w:rsidRPr="00586097">
              <w:rPr>
                <w:rFonts w:eastAsia="Calibri" w:cs="Arial"/>
                <w:bCs/>
              </w:rPr>
              <w:t>-847.2</w:t>
            </w:r>
          </w:p>
        </w:tc>
        <w:tc>
          <w:tcPr>
            <w:tcW w:w="1149" w:type="dxa"/>
            <w:shd w:val="clear" w:color="auto" w:fill="auto"/>
            <w:noWrap/>
            <w:vAlign w:val="center"/>
          </w:tcPr>
          <w:p w14:paraId="6A6B73F2" w14:textId="77777777" w:rsidR="00B7540A" w:rsidRPr="00586097" w:rsidRDefault="00B7540A" w:rsidP="00B7540A">
            <w:pPr>
              <w:spacing w:before="0" w:after="0" w:line="276" w:lineRule="auto"/>
              <w:ind w:firstLine="0"/>
              <w:jc w:val="center"/>
              <w:rPr>
                <w:rFonts w:cs="Calibri"/>
                <w:color w:val="000000"/>
              </w:rPr>
            </w:pPr>
            <w:r w:rsidRPr="00586097">
              <w:rPr>
                <w:rFonts w:eastAsia="Calibri" w:cs="Arial"/>
                <w:bCs/>
              </w:rPr>
              <w:t>-881.6</w:t>
            </w:r>
          </w:p>
        </w:tc>
      </w:tr>
      <w:tr w:rsidR="00B7540A" w:rsidRPr="00586097" w14:paraId="32389948" w14:textId="77777777" w:rsidTr="00B7540A">
        <w:trPr>
          <w:trHeight w:val="309"/>
        </w:trPr>
        <w:tc>
          <w:tcPr>
            <w:tcW w:w="1925" w:type="dxa"/>
            <w:vMerge/>
            <w:shd w:val="clear" w:color="auto" w:fill="auto"/>
            <w:vAlign w:val="center"/>
            <w:hideMark/>
          </w:tcPr>
          <w:p w14:paraId="7B3F3079" w14:textId="77777777" w:rsidR="00B7540A" w:rsidRPr="00586097" w:rsidRDefault="00B7540A" w:rsidP="00B7540A">
            <w:pPr>
              <w:spacing w:before="0" w:after="0" w:line="276" w:lineRule="auto"/>
              <w:ind w:firstLine="0"/>
              <w:jc w:val="left"/>
              <w:rPr>
                <w:rFonts w:cs="Calibri"/>
                <w:b/>
                <w:bCs/>
                <w:color w:val="000000"/>
              </w:rPr>
            </w:pPr>
          </w:p>
        </w:tc>
        <w:tc>
          <w:tcPr>
            <w:tcW w:w="2223" w:type="dxa"/>
            <w:shd w:val="clear" w:color="auto" w:fill="auto"/>
            <w:vAlign w:val="center"/>
            <w:hideMark/>
          </w:tcPr>
          <w:p w14:paraId="42338832"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2022-2024 ՄԺԾԾ</w:t>
            </w:r>
          </w:p>
        </w:tc>
        <w:tc>
          <w:tcPr>
            <w:tcW w:w="1450" w:type="dxa"/>
            <w:vAlign w:val="center"/>
          </w:tcPr>
          <w:p w14:paraId="4DFCB1E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-478.7</w:t>
            </w:r>
          </w:p>
        </w:tc>
        <w:tc>
          <w:tcPr>
            <w:tcW w:w="1056" w:type="dxa"/>
            <w:shd w:val="clear" w:color="auto" w:fill="auto"/>
            <w:noWrap/>
            <w:vAlign w:val="center"/>
            <w:hideMark/>
          </w:tcPr>
          <w:p w14:paraId="72425058"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-281.3</w:t>
            </w:r>
          </w:p>
        </w:tc>
        <w:tc>
          <w:tcPr>
            <w:tcW w:w="1001" w:type="dxa"/>
            <w:shd w:val="clear" w:color="auto" w:fill="auto"/>
            <w:vAlign w:val="center"/>
            <w:hideMark/>
          </w:tcPr>
          <w:p w14:paraId="75114736"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-421.6</w:t>
            </w:r>
          </w:p>
        </w:tc>
        <w:tc>
          <w:tcPr>
            <w:tcW w:w="1132" w:type="dxa"/>
            <w:shd w:val="clear" w:color="auto" w:fill="auto"/>
            <w:noWrap/>
            <w:vAlign w:val="center"/>
            <w:hideMark/>
          </w:tcPr>
          <w:p w14:paraId="32E5DD93"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-556.9</w:t>
            </w:r>
          </w:p>
        </w:tc>
        <w:tc>
          <w:tcPr>
            <w:tcW w:w="1149" w:type="dxa"/>
            <w:shd w:val="clear" w:color="auto" w:fill="auto"/>
            <w:noWrap/>
            <w:vAlign w:val="center"/>
            <w:hideMark/>
          </w:tcPr>
          <w:p w14:paraId="37722D17"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-641.3</w:t>
            </w:r>
          </w:p>
        </w:tc>
      </w:tr>
      <w:tr w:rsidR="00B7540A" w:rsidRPr="00586097" w14:paraId="29C1DEC2" w14:textId="77777777" w:rsidTr="00B7540A">
        <w:trPr>
          <w:trHeight w:val="309"/>
        </w:trPr>
        <w:tc>
          <w:tcPr>
            <w:tcW w:w="1925" w:type="dxa"/>
            <w:vMerge/>
            <w:vAlign w:val="center"/>
            <w:hideMark/>
          </w:tcPr>
          <w:p w14:paraId="405D3566" w14:textId="77777777" w:rsidR="00B7540A" w:rsidRPr="00586097" w:rsidRDefault="00B7540A" w:rsidP="00B7540A">
            <w:pPr>
              <w:spacing w:before="0" w:after="0" w:line="276" w:lineRule="auto"/>
              <w:ind w:firstLine="0"/>
              <w:jc w:val="left"/>
              <w:rPr>
                <w:rFonts w:cs="Calibri"/>
                <w:b/>
                <w:bCs/>
                <w:color w:val="000000"/>
              </w:rPr>
            </w:pPr>
          </w:p>
        </w:tc>
        <w:tc>
          <w:tcPr>
            <w:tcW w:w="2223" w:type="dxa"/>
            <w:shd w:val="clear" w:color="auto" w:fill="auto"/>
            <w:vAlign w:val="center"/>
            <w:hideMark/>
          </w:tcPr>
          <w:p w14:paraId="52D66684"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 Պետական բյուջե</w:t>
            </w:r>
          </w:p>
        </w:tc>
        <w:tc>
          <w:tcPr>
            <w:tcW w:w="1450" w:type="dxa"/>
          </w:tcPr>
          <w:p w14:paraId="0627B557"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-731.7</w:t>
            </w:r>
          </w:p>
        </w:tc>
        <w:tc>
          <w:tcPr>
            <w:tcW w:w="1056" w:type="dxa"/>
            <w:shd w:val="clear" w:color="auto" w:fill="auto"/>
            <w:noWrap/>
            <w:hideMark/>
          </w:tcPr>
          <w:p w14:paraId="3C6486D9"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-772.3</w:t>
            </w:r>
          </w:p>
        </w:tc>
        <w:tc>
          <w:tcPr>
            <w:tcW w:w="1001" w:type="dxa"/>
            <w:shd w:val="clear" w:color="auto" w:fill="auto"/>
            <w:vAlign w:val="center"/>
            <w:hideMark/>
          </w:tcPr>
          <w:p w14:paraId="77960E2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132" w:type="dxa"/>
            <w:shd w:val="clear" w:color="auto" w:fill="auto"/>
            <w:noWrap/>
            <w:vAlign w:val="center"/>
            <w:hideMark/>
          </w:tcPr>
          <w:p w14:paraId="52AA7192"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149" w:type="dxa"/>
            <w:shd w:val="clear" w:color="auto" w:fill="auto"/>
            <w:noWrap/>
            <w:vAlign w:val="center"/>
            <w:hideMark/>
          </w:tcPr>
          <w:p w14:paraId="6FD3C1E2"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r w:rsidR="00B7540A" w:rsidRPr="00586097" w14:paraId="010EF96E" w14:textId="77777777" w:rsidTr="00B7540A">
        <w:trPr>
          <w:trHeight w:val="309"/>
        </w:trPr>
        <w:tc>
          <w:tcPr>
            <w:tcW w:w="1925" w:type="dxa"/>
            <w:vMerge/>
            <w:vAlign w:val="center"/>
            <w:hideMark/>
          </w:tcPr>
          <w:p w14:paraId="0D8B826F" w14:textId="77777777" w:rsidR="00B7540A" w:rsidRPr="00586097" w:rsidRDefault="00B7540A" w:rsidP="00B7540A">
            <w:pPr>
              <w:spacing w:before="0" w:after="0" w:line="276" w:lineRule="auto"/>
              <w:ind w:firstLine="0"/>
              <w:jc w:val="left"/>
              <w:rPr>
                <w:rFonts w:cs="Calibri"/>
                <w:b/>
                <w:bCs/>
                <w:color w:val="000000"/>
              </w:rPr>
            </w:pPr>
          </w:p>
        </w:tc>
        <w:tc>
          <w:tcPr>
            <w:tcW w:w="2223" w:type="dxa"/>
            <w:shd w:val="clear" w:color="auto" w:fill="auto"/>
            <w:vAlign w:val="center"/>
            <w:hideMark/>
          </w:tcPr>
          <w:p w14:paraId="3C179A84"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2021-2023 ՄԺԾԾ</w:t>
            </w:r>
          </w:p>
        </w:tc>
        <w:tc>
          <w:tcPr>
            <w:tcW w:w="1450" w:type="dxa"/>
          </w:tcPr>
          <w:p w14:paraId="708F8AA6"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-1,247.3</w:t>
            </w:r>
          </w:p>
        </w:tc>
        <w:tc>
          <w:tcPr>
            <w:tcW w:w="1056" w:type="dxa"/>
            <w:shd w:val="clear" w:color="auto" w:fill="auto"/>
            <w:noWrap/>
            <w:hideMark/>
          </w:tcPr>
          <w:p w14:paraId="4DC6F432"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-1,020.0</w:t>
            </w:r>
          </w:p>
        </w:tc>
        <w:tc>
          <w:tcPr>
            <w:tcW w:w="1001" w:type="dxa"/>
            <w:shd w:val="clear" w:color="auto" w:fill="auto"/>
            <w:hideMark/>
          </w:tcPr>
          <w:p w14:paraId="6492FF99"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-953.1</w:t>
            </w:r>
          </w:p>
        </w:tc>
        <w:tc>
          <w:tcPr>
            <w:tcW w:w="1132" w:type="dxa"/>
            <w:shd w:val="clear" w:color="auto" w:fill="auto"/>
            <w:noWrap/>
            <w:hideMark/>
          </w:tcPr>
          <w:p w14:paraId="76647DD3"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-917.7</w:t>
            </w:r>
          </w:p>
        </w:tc>
        <w:tc>
          <w:tcPr>
            <w:tcW w:w="1149" w:type="dxa"/>
            <w:shd w:val="clear" w:color="auto" w:fill="auto"/>
            <w:noWrap/>
            <w:vAlign w:val="center"/>
            <w:hideMark/>
          </w:tcPr>
          <w:p w14:paraId="083C016A"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r w:rsidR="00B7540A" w:rsidRPr="00586097" w14:paraId="2E063B94" w14:textId="77777777" w:rsidTr="00B7540A">
        <w:trPr>
          <w:trHeight w:val="309"/>
        </w:trPr>
        <w:tc>
          <w:tcPr>
            <w:tcW w:w="1925" w:type="dxa"/>
            <w:vMerge w:val="restart"/>
            <w:shd w:val="clear" w:color="auto" w:fill="auto"/>
            <w:vAlign w:val="center"/>
          </w:tcPr>
          <w:p w14:paraId="3683B419" w14:textId="77777777" w:rsidR="00B7540A" w:rsidRPr="00586097" w:rsidRDefault="00B7540A" w:rsidP="00B7540A">
            <w:pPr>
              <w:spacing w:before="0" w:after="0" w:line="276" w:lineRule="auto"/>
              <w:ind w:firstLine="0"/>
              <w:jc w:val="left"/>
              <w:rPr>
                <w:rFonts w:cs="Calibri"/>
                <w:b/>
                <w:bCs/>
                <w:color w:val="000000"/>
              </w:rPr>
            </w:pPr>
            <w:r w:rsidRPr="00586097">
              <w:rPr>
                <w:rFonts w:cs="Calibri"/>
                <w:b/>
                <w:bCs/>
                <w:color w:val="000000"/>
              </w:rPr>
              <w:t>Ընթացիկ հաշիվ, %-ով՝ ՀՆԱ-ի նկատմամբ</w:t>
            </w:r>
          </w:p>
        </w:tc>
        <w:tc>
          <w:tcPr>
            <w:tcW w:w="2223" w:type="dxa"/>
            <w:shd w:val="clear" w:color="auto" w:fill="auto"/>
            <w:vAlign w:val="center"/>
          </w:tcPr>
          <w:p w14:paraId="75A0F354"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Թիրախային սցենար</w:t>
            </w:r>
          </w:p>
        </w:tc>
        <w:tc>
          <w:tcPr>
            <w:tcW w:w="1450" w:type="dxa"/>
            <w:vAlign w:val="center"/>
          </w:tcPr>
          <w:p w14:paraId="3AA3D76D"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-3.8</w:t>
            </w:r>
          </w:p>
        </w:tc>
        <w:tc>
          <w:tcPr>
            <w:tcW w:w="1056" w:type="dxa"/>
            <w:shd w:val="clear" w:color="auto" w:fill="auto"/>
            <w:noWrap/>
            <w:vAlign w:val="center"/>
          </w:tcPr>
          <w:p w14:paraId="3A8C3874"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-2.1</w:t>
            </w:r>
          </w:p>
        </w:tc>
        <w:tc>
          <w:tcPr>
            <w:tcW w:w="1001" w:type="dxa"/>
            <w:shd w:val="clear" w:color="auto" w:fill="auto"/>
            <w:vAlign w:val="center"/>
          </w:tcPr>
          <w:p w14:paraId="305E9B66"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-4.2</w:t>
            </w:r>
          </w:p>
        </w:tc>
        <w:tc>
          <w:tcPr>
            <w:tcW w:w="1132" w:type="dxa"/>
            <w:shd w:val="clear" w:color="auto" w:fill="auto"/>
            <w:noWrap/>
            <w:vAlign w:val="center"/>
          </w:tcPr>
          <w:p w14:paraId="387C690E"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-5.1</w:t>
            </w:r>
          </w:p>
        </w:tc>
        <w:tc>
          <w:tcPr>
            <w:tcW w:w="1149" w:type="dxa"/>
            <w:shd w:val="clear" w:color="auto" w:fill="auto"/>
            <w:noWrap/>
            <w:vAlign w:val="center"/>
          </w:tcPr>
          <w:p w14:paraId="17D6FF20"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-4.8</w:t>
            </w:r>
          </w:p>
        </w:tc>
      </w:tr>
      <w:tr w:rsidR="00B7540A" w:rsidRPr="00586097" w14:paraId="69175A09" w14:textId="77777777" w:rsidTr="00B7540A">
        <w:trPr>
          <w:trHeight w:val="309"/>
        </w:trPr>
        <w:tc>
          <w:tcPr>
            <w:tcW w:w="1925" w:type="dxa"/>
            <w:vMerge/>
            <w:shd w:val="clear" w:color="auto" w:fill="auto"/>
            <w:vAlign w:val="center"/>
            <w:hideMark/>
          </w:tcPr>
          <w:p w14:paraId="40286526" w14:textId="77777777" w:rsidR="00B7540A" w:rsidRPr="00586097" w:rsidRDefault="00B7540A" w:rsidP="00B7540A">
            <w:pPr>
              <w:spacing w:before="0" w:after="0" w:line="276" w:lineRule="auto"/>
              <w:ind w:firstLine="0"/>
              <w:jc w:val="left"/>
              <w:rPr>
                <w:rFonts w:cs="Calibri"/>
                <w:b/>
                <w:bCs/>
                <w:color w:val="000000"/>
              </w:rPr>
            </w:pPr>
          </w:p>
        </w:tc>
        <w:tc>
          <w:tcPr>
            <w:tcW w:w="2223" w:type="dxa"/>
            <w:shd w:val="clear" w:color="auto" w:fill="auto"/>
            <w:vAlign w:val="center"/>
            <w:hideMark/>
          </w:tcPr>
          <w:p w14:paraId="68BD281C"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2022-2024 ՄԺԾԾ</w:t>
            </w:r>
          </w:p>
        </w:tc>
        <w:tc>
          <w:tcPr>
            <w:tcW w:w="1450" w:type="dxa"/>
            <w:vAlign w:val="center"/>
          </w:tcPr>
          <w:p w14:paraId="3BB8BB0D"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-3.8</w:t>
            </w:r>
          </w:p>
        </w:tc>
        <w:tc>
          <w:tcPr>
            <w:tcW w:w="1056" w:type="dxa"/>
            <w:shd w:val="clear" w:color="auto" w:fill="auto"/>
            <w:noWrap/>
            <w:vAlign w:val="center"/>
            <w:hideMark/>
          </w:tcPr>
          <w:p w14:paraId="38ECA562"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-2.1</w:t>
            </w:r>
          </w:p>
        </w:tc>
        <w:tc>
          <w:tcPr>
            <w:tcW w:w="1001" w:type="dxa"/>
            <w:shd w:val="clear" w:color="auto" w:fill="auto"/>
            <w:vAlign w:val="center"/>
            <w:hideMark/>
          </w:tcPr>
          <w:p w14:paraId="69917B43"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-2.9</w:t>
            </w:r>
          </w:p>
        </w:tc>
        <w:tc>
          <w:tcPr>
            <w:tcW w:w="1132" w:type="dxa"/>
            <w:shd w:val="clear" w:color="auto" w:fill="auto"/>
            <w:noWrap/>
            <w:vAlign w:val="center"/>
            <w:hideMark/>
          </w:tcPr>
          <w:p w14:paraId="0D32B14E"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-3.5</w:t>
            </w:r>
          </w:p>
        </w:tc>
        <w:tc>
          <w:tcPr>
            <w:tcW w:w="1149" w:type="dxa"/>
            <w:shd w:val="clear" w:color="auto" w:fill="auto"/>
            <w:noWrap/>
            <w:vAlign w:val="center"/>
            <w:hideMark/>
          </w:tcPr>
          <w:p w14:paraId="6CC8A964"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-3.8</w:t>
            </w:r>
          </w:p>
        </w:tc>
      </w:tr>
      <w:tr w:rsidR="00B7540A" w:rsidRPr="00586097" w14:paraId="6DB89B76" w14:textId="77777777" w:rsidTr="00B7540A">
        <w:trPr>
          <w:trHeight w:val="309"/>
        </w:trPr>
        <w:tc>
          <w:tcPr>
            <w:tcW w:w="1925" w:type="dxa"/>
            <w:vMerge/>
            <w:vAlign w:val="center"/>
            <w:hideMark/>
          </w:tcPr>
          <w:p w14:paraId="3FE5FD16" w14:textId="77777777" w:rsidR="00B7540A" w:rsidRPr="00586097" w:rsidRDefault="00B7540A" w:rsidP="00B7540A">
            <w:pPr>
              <w:spacing w:before="0" w:after="0" w:line="276" w:lineRule="auto"/>
              <w:ind w:firstLine="0"/>
              <w:jc w:val="left"/>
              <w:rPr>
                <w:rFonts w:cs="Calibri"/>
                <w:b/>
                <w:bCs/>
                <w:color w:val="000000"/>
              </w:rPr>
            </w:pPr>
          </w:p>
        </w:tc>
        <w:tc>
          <w:tcPr>
            <w:tcW w:w="2223" w:type="dxa"/>
            <w:shd w:val="clear" w:color="auto" w:fill="auto"/>
            <w:vAlign w:val="center"/>
            <w:hideMark/>
          </w:tcPr>
          <w:p w14:paraId="752B0B75"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 Պետական բյուջե</w:t>
            </w:r>
          </w:p>
        </w:tc>
        <w:tc>
          <w:tcPr>
            <w:tcW w:w="1450" w:type="dxa"/>
          </w:tcPr>
          <w:p w14:paraId="0F6378E0"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-5.9</w:t>
            </w:r>
          </w:p>
        </w:tc>
        <w:tc>
          <w:tcPr>
            <w:tcW w:w="1056" w:type="dxa"/>
            <w:shd w:val="clear" w:color="auto" w:fill="auto"/>
            <w:noWrap/>
            <w:hideMark/>
          </w:tcPr>
          <w:p w14:paraId="7620D61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-6.1</w:t>
            </w:r>
          </w:p>
        </w:tc>
        <w:tc>
          <w:tcPr>
            <w:tcW w:w="1001" w:type="dxa"/>
            <w:shd w:val="clear" w:color="auto" w:fill="auto"/>
            <w:vAlign w:val="center"/>
            <w:hideMark/>
          </w:tcPr>
          <w:p w14:paraId="64C2B481"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132" w:type="dxa"/>
            <w:shd w:val="clear" w:color="auto" w:fill="auto"/>
            <w:noWrap/>
            <w:vAlign w:val="center"/>
            <w:hideMark/>
          </w:tcPr>
          <w:p w14:paraId="1C93ABE1"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1149" w:type="dxa"/>
            <w:shd w:val="clear" w:color="auto" w:fill="auto"/>
            <w:noWrap/>
            <w:vAlign w:val="center"/>
            <w:hideMark/>
          </w:tcPr>
          <w:p w14:paraId="6835A99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r w:rsidR="00B7540A" w:rsidRPr="00586097" w14:paraId="63B30499" w14:textId="77777777" w:rsidTr="00B7540A">
        <w:trPr>
          <w:trHeight w:val="309"/>
        </w:trPr>
        <w:tc>
          <w:tcPr>
            <w:tcW w:w="1925" w:type="dxa"/>
            <w:vMerge/>
            <w:vAlign w:val="center"/>
            <w:hideMark/>
          </w:tcPr>
          <w:p w14:paraId="5E30FD3E" w14:textId="77777777" w:rsidR="00B7540A" w:rsidRPr="00586097" w:rsidRDefault="00B7540A" w:rsidP="00B7540A">
            <w:pPr>
              <w:spacing w:before="0" w:after="0" w:line="276" w:lineRule="auto"/>
              <w:ind w:firstLine="0"/>
              <w:jc w:val="left"/>
              <w:rPr>
                <w:rFonts w:cs="Calibri"/>
                <w:b/>
                <w:bCs/>
                <w:color w:val="000000"/>
              </w:rPr>
            </w:pPr>
          </w:p>
        </w:tc>
        <w:tc>
          <w:tcPr>
            <w:tcW w:w="2223" w:type="dxa"/>
            <w:shd w:val="clear" w:color="auto" w:fill="auto"/>
            <w:vAlign w:val="center"/>
            <w:hideMark/>
          </w:tcPr>
          <w:p w14:paraId="18702BA3" w14:textId="77777777" w:rsidR="00B7540A" w:rsidRPr="00586097" w:rsidRDefault="00B7540A" w:rsidP="00B7540A">
            <w:pPr>
              <w:spacing w:before="0" w:after="0" w:line="276" w:lineRule="auto"/>
              <w:ind w:firstLine="0"/>
              <w:jc w:val="left"/>
              <w:rPr>
                <w:rFonts w:cs="Calibri"/>
                <w:i/>
                <w:iCs/>
                <w:color w:val="000000"/>
              </w:rPr>
            </w:pPr>
            <w:r w:rsidRPr="00586097">
              <w:rPr>
                <w:rFonts w:cs="Calibri"/>
                <w:i/>
                <w:iCs/>
                <w:color w:val="000000"/>
              </w:rPr>
              <w:t>2021-2023 ՄԺԾԾ</w:t>
            </w:r>
          </w:p>
        </w:tc>
        <w:tc>
          <w:tcPr>
            <w:tcW w:w="1450" w:type="dxa"/>
          </w:tcPr>
          <w:p w14:paraId="2246C636"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-9.7</w:t>
            </w:r>
          </w:p>
        </w:tc>
        <w:tc>
          <w:tcPr>
            <w:tcW w:w="1056" w:type="dxa"/>
            <w:shd w:val="clear" w:color="auto" w:fill="auto"/>
            <w:noWrap/>
            <w:hideMark/>
          </w:tcPr>
          <w:p w14:paraId="102ECFB9"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-7.3</w:t>
            </w:r>
          </w:p>
        </w:tc>
        <w:tc>
          <w:tcPr>
            <w:tcW w:w="1001" w:type="dxa"/>
            <w:shd w:val="clear" w:color="auto" w:fill="auto"/>
            <w:hideMark/>
          </w:tcPr>
          <w:p w14:paraId="6EE3B855"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-6.3</w:t>
            </w:r>
          </w:p>
        </w:tc>
        <w:tc>
          <w:tcPr>
            <w:tcW w:w="1132" w:type="dxa"/>
            <w:shd w:val="clear" w:color="auto" w:fill="auto"/>
            <w:noWrap/>
            <w:hideMark/>
          </w:tcPr>
          <w:p w14:paraId="312383B3"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-5.6</w:t>
            </w:r>
          </w:p>
        </w:tc>
        <w:tc>
          <w:tcPr>
            <w:tcW w:w="1149" w:type="dxa"/>
            <w:shd w:val="clear" w:color="auto" w:fill="auto"/>
            <w:noWrap/>
            <w:vAlign w:val="center"/>
            <w:hideMark/>
          </w:tcPr>
          <w:p w14:paraId="3A803661"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r>
    </w:tbl>
    <w:p w14:paraId="65C447DB" w14:textId="77777777" w:rsidR="00B7540A" w:rsidRPr="00586097" w:rsidRDefault="00B7540A" w:rsidP="0027114B">
      <w:pPr>
        <w:pStyle w:val="afd"/>
      </w:pPr>
      <w:r w:rsidRPr="00586097">
        <w:t xml:space="preserve">* 2022-2024 ՄԺԾԾ համար 2020թ. ցուցանիշները փաստացի են   </w:t>
      </w:r>
    </w:p>
    <w:p w14:paraId="36059A70" w14:textId="77777777" w:rsidR="00B7540A" w:rsidRPr="00586097" w:rsidRDefault="00B7540A" w:rsidP="0027114B">
      <w:pPr>
        <w:pStyle w:val="afd"/>
      </w:pPr>
      <w:r w:rsidRPr="00586097">
        <w:t xml:space="preserve">Աղբյուրը ՝ ՀՀ ՖՆ </w:t>
      </w:r>
      <w:r w:rsidRPr="00110C23">
        <w:t>կանխատեսումներ</w:t>
      </w:r>
    </w:p>
    <w:p w14:paraId="10029A86" w14:textId="77777777" w:rsidR="00B7540A" w:rsidRPr="00586097" w:rsidRDefault="00B7540A" w:rsidP="00B7540A">
      <w:pPr>
        <w:spacing w:line="276" w:lineRule="auto"/>
        <w:rPr>
          <w:lang w:val="af-ZA"/>
        </w:rPr>
      </w:pPr>
      <w:r w:rsidRPr="00586097">
        <w:rPr>
          <w:lang w:val="af-ZA"/>
        </w:rPr>
        <w:br w:type="page"/>
      </w:r>
    </w:p>
    <w:p w14:paraId="4EEEC65E" w14:textId="77777777" w:rsidR="006233DC" w:rsidRDefault="006233DC" w:rsidP="006233DC">
      <w:pPr>
        <w:pStyle w:val="Heading2"/>
        <w:rPr>
          <w:sz w:val="28"/>
          <w:szCs w:val="28"/>
        </w:rPr>
      </w:pPr>
      <w:bookmarkStart w:id="477" w:name="_Toc77837851"/>
      <w:bookmarkStart w:id="478" w:name="_Toc77336541"/>
      <w:bookmarkStart w:id="479" w:name="_Toc77451201"/>
      <w:bookmarkStart w:id="480" w:name="_Toc77249734"/>
      <w:r>
        <w:rPr>
          <w:sz w:val="28"/>
          <w:szCs w:val="28"/>
        </w:rPr>
        <w:t>ԳԼՈՒԽ 2. ՀԱՐԿԱԲՅՈՒՋԵՏԱՅԻՆ ՔԱՂԱՔԱԿԱՆՈՒԹՅԱՆ ՀԻՄՆԱԿԱՆ ՈՒՂՂՈՒԹՅՈՒՆՆԵՐԸ ԵՎ ԿԱՆԽԱՏԵՍՈՒՄՆԵՐԸ</w:t>
      </w:r>
      <w:bookmarkEnd w:id="477"/>
    </w:p>
    <w:p w14:paraId="393CED20" w14:textId="77777777" w:rsidR="006233DC" w:rsidRPr="00B7540A" w:rsidRDefault="006233DC" w:rsidP="006233DC">
      <w:pPr>
        <w:spacing w:line="276" w:lineRule="auto"/>
        <w:rPr>
          <w:lang w:val="hy-AM"/>
        </w:rPr>
      </w:pPr>
      <w:r w:rsidRPr="00B7540A">
        <w:rPr>
          <w:lang w:val="hy-AM"/>
        </w:rPr>
        <w:t xml:space="preserve">ՀՀ կառավարությունը, ժամանակակից աշխարհում կուտակված գիտելիքին ու փորձին համահունչ, նախագծել և իրականացրել է հակապարբերաշրջանային հարկաբյուջետային քաղաքականություն։ Այսպիսի քաղաքականությունը ենթադրում է, որ տնտեսության վերելքի ժամանակաշրջանում հարկաբյուջետային ազդակը պետք է լինի զսպող, կուտակելով «դիմադրողականության պաշարներ», որպեսզի տնտեսությունը կարողանա դիմակայել անկման ժամանակաշրջաններին, իսկ անկման ժամանակ, խթանող՝ ի հաշիվ կուտակած «դիմադրողականության պաշարների», որպեսզի հնարավոր լինի մեղմել ցնցումների բացասական ազդեցությունները։ </w:t>
      </w:r>
    </w:p>
    <w:p w14:paraId="7161AA75" w14:textId="77777777" w:rsidR="006233DC" w:rsidRPr="006233DC" w:rsidRDefault="006233DC" w:rsidP="006233DC">
      <w:pPr>
        <w:ind w:firstLine="0"/>
        <w:rPr>
          <w:lang w:val="es-ES"/>
        </w:rPr>
      </w:pPr>
    </w:p>
    <w:p w14:paraId="4AD52F6F" w14:textId="77777777" w:rsidR="006233DC" w:rsidRPr="00222A16" w:rsidRDefault="006233DC" w:rsidP="006233DC">
      <w:pPr>
        <w:pStyle w:val="Heading3"/>
        <w:rPr>
          <w:rFonts w:eastAsia="Times New Roman" w:cs="Times New Roman"/>
          <w:caps w:val="0"/>
          <w:color w:val="1F497D" w:themeColor="text2"/>
          <w:sz w:val="28"/>
          <w:szCs w:val="28"/>
        </w:rPr>
      </w:pPr>
      <w:bookmarkStart w:id="481" w:name="_Toc77837852"/>
      <w:r w:rsidRPr="00222A16">
        <w:rPr>
          <w:rFonts w:eastAsia="Times New Roman" w:cs="Times New Roman"/>
          <w:caps w:val="0"/>
          <w:color w:val="1F497D" w:themeColor="text2"/>
          <w:sz w:val="28"/>
          <w:szCs w:val="28"/>
        </w:rPr>
        <w:t>2.1. ՀԱՐԿԱԲՅՈՒՋԵՏԱՅԻՆ ԸՆԴՀԱՆՈՒՐ ԱԿՆԱՐԿ ԵՎ ՀԱՐԿԱԲՅՈՒՋԵՏԱՅԻՆ ՇՐՋԱՆԱԿ</w:t>
      </w:r>
      <w:bookmarkEnd w:id="481"/>
    </w:p>
    <w:bookmarkEnd w:id="478"/>
    <w:bookmarkEnd w:id="479"/>
    <w:p w14:paraId="6F898293" w14:textId="77777777" w:rsidR="00B7540A" w:rsidRPr="00B7540A" w:rsidRDefault="00B7540A" w:rsidP="00C0628C">
      <w:pPr>
        <w:pStyle w:val="ListBullet"/>
        <w:numPr>
          <w:ilvl w:val="0"/>
          <w:numId w:val="55"/>
        </w:numPr>
        <w:tabs>
          <w:tab w:val="clear" w:pos="360"/>
        </w:tabs>
        <w:overflowPunct/>
        <w:autoSpaceDE/>
        <w:autoSpaceDN/>
        <w:adjustRightInd/>
        <w:spacing w:before="0" w:after="120" w:line="276" w:lineRule="auto"/>
        <w:ind w:left="567" w:hanging="357"/>
        <w:textAlignment w:val="auto"/>
        <w:rPr>
          <w:lang w:val="hy-AM"/>
        </w:rPr>
      </w:pPr>
      <w:r w:rsidRPr="00B7540A">
        <w:rPr>
          <w:lang w:val="hy-AM"/>
        </w:rPr>
        <w:t>2018-2019 թվականների բարձր տնտեսական աճի պայմաններում իրականացված հարկաբյուջետային քաղաքականությունը միտված է եղել ՀՀ կառավարության պարտքի կայունության ապահովմանը, ինչի արդյունքում հնարավոր է եղել նվազեցնել կառավարության պարտքի բեռը՝ 2019թ. վերջում հասցնելով այն ՀՆԱ-ի 50.1%-ին (մինչ 2021 թվականին ՀՆԱ</w:t>
      </w:r>
      <w:r w:rsidRPr="00B7540A">
        <w:rPr>
          <w:lang w:val="hy-AM"/>
        </w:rPr>
        <w:noBreakHyphen/>
        <w:t>ի վերանայումը այն կազմում էր 49.9%):</w:t>
      </w:r>
    </w:p>
    <w:p w14:paraId="096325A9" w14:textId="77777777" w:rsidR="00B7540A" w:rsidRPr="00B7540A" w:rsidRDefault="00B7540A" w:rsidP="00C0628C">
      <w:pPr>
        <w:pStyle w:val="ListBullet"/>
        <w:numPr>
          <w:ilvl w:val="0"/>
          <w:numId w:val="55"/>
        </w:numPr>
        <w:tabs>
          <w:tab w:val="clear" w:pos="360"/>
        </w:tabs>
        <w:overflowPunct/>
        <w:autoSpaceDE/>
        <w:autoSpaceDN/>
        <w:adjustRightInd/>
        <w:spacing w:before="0" w:after="120" w:line="276" w:lineRule="auto"/>
        <w:ind w:left="567" w:hanging="357"/>
        <w:textAlignment w:val="auto"/>
        <w:rPr>
          <w:lang w:val="hy-AM"/>
        </w:rPr>
      </w:pPr>
      <w:r w:rsidRPr="00B7540A">
        <w:rPr>
          <w:lang w:val="hy-AM"/>
        </w:rPr>
        <w:t>2020 թվականի ընթացքում տեղի ունեցած և իրենց բնույթով աննախադեպ բացասական ցնցումներ պարունակող զարգացումների (կորոնավիրուսի համավարակ և Արցախյան պատերազմ) արդյունքում տեղի ունեցած տնտեսական անկման պայմաններում կառավարությունն իրականացրել է հակապարբերաշրջանային հարկաբյուջետային քաղաքականություն, ինչի արդյունքում արձանագրվել է պետական բյուջեի ծախսերի զգալի աճ՝ պայմանավորված պետական բյուջեով նախատեսված, ինչպես նաև հակաճգնաժամային միջոցառումների և ռազմական գործողությունների հետևանքով ծագած լրացուցիչ ծախսերի կարիքով, ինչը հանգեցրել է պետական բյուջեի պակասուրդի և կառավարության պարտքի աճին։</w:t>
      </w:r>
    </w:p>
    <w:p w14:paraId="3BA8795F" w14:textId="77777777" w:rsidR="00B7540A" w:rsidRPr="00B7540A" w:rsidRDefault="00B7540A" w:rsidP="00C0628C">
      <w:pPr>
        <w:pStyle w:val="ListBullet"/>
        <w:numPr>
          <w:ilvl w:val="0"/>
          <w:numId w:val="55"/>
        </w:numPr>
        <w:tabs>
          <w:tab w:val="clear" w:pos="360"/>
        </w:tabs>
        <w:overflowPunct/>
        <w:autoSpaceDE/>
        <w:autoSpaceDN/>
        <w:adjustRightInd/>
        <w:spacing w:before="0" w:after="120" w:line="276" w:lineRule="auto"/>
        <w:ind w:left="567" w:hanging="357"/>
        <w:textAlignment w:val="auto"/>
        <w:rPr>
          <w:rFonts w:cs="Times Armenian"/>
          <w:lang w:val="hy-AM"/>
        </w:rPr>
      </w:pPr>
      <w:r w:rsidRPr="00B7540A">
        <w:rPr>
          <w:lang w:val="hy-AM"/>
        </w:rPr>
        <w:t xml:space="preserve">COVID-19 համավարակի հետևանքներով առաջացած իրավիճակը և Արցախյան պատերազմը հարկաբյուջետային կանոններով սահմանված կարգով համարվել են «բացառիկ դեպքեր», որի հիման վրա 2020 թվականին կիրառել է պարտքի և ծախսերի բնականոն իրավիճակի համար գործող կանոններից տարբերվող մոտեցումներ։ </w:t>
      </w:r>
      <w:r w:rsidRPr="00B7540A">
        <w:rPr>
          <w:rFonts w:cs="Times Armenian"/>
          <w:lang w:val="hy-AM"/>
        </w:rPr>
        <w:t>Հաշվի առնելով 2020թ. տեղի ունեցեած բացասական երևույթնեի երկարատև ազդեցությունները՝ «բացառիկ դեպքի» կարգավորումները շարունակվել են նաև 2021 թվականին:</w:t>
      </w:r>
    </w:p>
    <w:p w14:paraId="4944F519" w14:textId="77777777" w:rsidR="00B7540A" w:rsidRPr="00B7540A" w:rsidRDefault="00B7540A" w:rsidP="00C0628C">
      <w:pPr>
        <w:pStyle w:val="ListBullet"/>
        <w:numPr>
          <w:ilvl w:val="0"/>
          <w:numId w:val="55"/>
        </w:numPr>
        <w:tabs>
          <w:tab w:val="clear" w:pos="360"/>
        </w:tabs>
        <w:overflowPunct/>
        <w:autoSpaceDE/>
        <w:autoSpaceDN/>
        <w:adjustRightInd/>
        <w:spacing w:before="0" w:after="120" w:line="276" w:lineRule="auto"/>
        <w:ind w:left="567" w:hanging="357"/>
        <w:textAlignment w:val="auto"/>
        <w:rPr>
          <w:rFonts w:cs="Arial"/>
          <w:lang w:val="hy-AM"/>
        </w:rPr>
      </w:pPr>
      <w:r w:rsidRPr="00B7540A">
        <w:rPr>
          <w:lang w:val="hy-AM"/>
        </w:rPr>
        <w:t>2021 թվականին տնտեսության որոշակի վերականգնման և թույլ պահանջարկի պայմաններում հարկաբյուջետային քաղաքականության նպատակն է ապահովել հարկաբյուջետային կայունությունը՝ միաժամանակ աջակցելով տնտեսական վերականգնմանը և պայմաններ ստեղծել ՀՀ կառավարության պարտքի նվազման համար։ Այդ նպատակով, 2021թ. սկզբում հարկաբյուջետային քաղաքականության ազդեցությունն ամբողջական պահանջարկի վրա եղել է խթանող, ինչն աստիճանաբար կթուլանա՝ տարեկան կտրվածքով դառնալով զսպող:</w:t>
      </w:r>
    </w:p>
    <w:p w14:paraId="757B93C6" w14:textId="77777777" w:rsidR="00B7540A" w:rsidRPr="00B7540A" w:rsidRDefault="00B7540A" w:rsidP="00C0628C">
      <w:pPr>
        <w:pStyle w:val="ListBullet"/>
        <w:numPr>
          <w:ilvl w:val="0"/>
          <w:numId w:val="55"/>
        </w:numPr>
        <w:tabs>
          <w:tab w:val="clear" w:pos="360"/>
        </w:tabs>
        <w:overflowPunct/>
        <w:autoSpaceDE/>
        <w:autoSpaceDN/>
        <w:adjustRightInd/>
        <w:spacing w:before="0" w:after="120" w:line="276" w:lineRule="auto"/>
        <w:ind w:left="567" w:hanging="357"/>
        <w:textAlignment w:val="auto"/>
        <w:rPr>
          <w:rFonts w:cs="Arial"/>
          <w:lang w:val="hy-AM"/>
        </w:rPr>
      </w:pPr>
      <w:r w:rsidRPr="00B7540A">
        <w:rPr>
          <w:lang w:val="hy-AM"/>
        </w:rPr>
        <w:t>Կառավարությունը 2021 թվականին շարունակում է իրականացնել հակաճգնաժամային միջոցառումները ուղղված ինչպես կորոնավիրուսի, այնպես էլ Արցախյան պատերազմի բացասական հետևանքների մեղմմանը:</w:t>
      </w:r>
    </w:p>
    <w:p w14:paraId="20E10F03" w14:textId="77777777" w:rsidR="00B7540A" w:rsidRPr="00B7540A" w:rsidRDefault="00B7540A" w:rsidP="00C0628C">
      <w:pPr>
        <w:pStyle w:val="ListBullet"/>
        <w:numPr>
          <w:ilvl w:val="0"/>
          <w:numId w:val="55"/>
        </w:numPr>
        <w:tabs>
          <w:tab w:val="clear" w:pos="360"/>
        </w:tabs>
        <w:overflowPunct/>
        <w:autoSpaceDE/>
        <w:autoSpaceDN/>
        <w:adjustRightInd/>
        <w:spacing w:before="0" w:after="120" w:line="276" w:lineRule="auto"/>
        <w:ind w:left="567" w:hanging="357"/>
        <w:textAlignment w:val="auto"/>
        <w:rPr>
          <w:rFonts w:cs="Times Armenian"/>
          <w:lang w:val="hy-AM"/>
        </w:rPr>
      </w:pPr>
      <w:r w:rsidRPr="00B7540A">
        <w:rPr>
          <w:lang w:val="hy-AM"/>
        </w:rPr>
        <w:t>Միջնաժամկետում հարկաբյուջետային քաղաքականության նպատակն է սահուն կերպով նվազեցնել կառավարության պարտքի բեռը՝ 2024 թվականին հասցնելով այն 56.8%-ի, այնուհետև հետագա տարիներին ապահովել կառավարության պարտքի բեռի նվազող ուղղությունը՝ մինչև 2026 թվականը հասցնելով այն ՀՆԱ-ի շուրջ 54%-ին, ինչը հնարավորություն կտա ստեղծել «հարկաբյուջետային տարածք» հնարավոր շոկերին արձագանքելու նպատակով:</w:t>
      </w:r>
    </w:p>
    <w:p w14:paraId="7509B822" w14:textId="77777777" w:rsidR="00B7540A" w:rsidRPr="00B7540A" w:rsidRDefault="00B7540A" w:rsidP="00C0628C">
      <w:pPr>
        <w:pStyle w:val="ListBullet"/>
        <w:numPr>
          <w:ilvl w:val="0"/>
          <w:numId w:val="55"/>
        </w:numPr>
        <w:tabs>
          <w:tab w:val="clear" w:pos="360"/>
        </w:tabs>
        <w:overflowPunct/>
        <w:autoSpaceDE/>
        <w:autoSpaceDN/>
        <w:adjustRightInd/>
        <w:spacing w:before="0" w:after="120" w:line="276" w:lineRule="auto"/>
        <w:ind w:left="567" w:hanging="357"/>
        <w:textAlignment w:val="auto"/>
        <w:rPr>
          <w:rFonts w:cs="Arial"/>
          <w:lang w:val="hy-AM"/>
        </w:rPr>
      </w:pPr>
      <w:r w:rsidRPr="00B7540A">
        <w:rPr>
          <w:lang w:val="hy-AM"/>
        </w:rPr>
        <w:t>Միջնաժամկետ հորիզոնում կանխատեսվող տնտեսական վերականգնման, հարկային վարչարարության բարելավման և հարկային օրենդրության բարեփոխումների արդյունքում ակնկալվում է հարկեր/ՀՆԱ-ի բարելավում՝ տարեկան շուրջ 0.4 տոկոսային կետով:</w:t>
      </w:r>
    </w:p>
    <w:p w14:paraId="10E9EC96" w14:textId="77777777" w:rsidR="00B7540A" w:rsidRPr="00B7540A" w:rsidRDefault="00B7540A" w:rsidP="00C0628C">
      <w:pPr>
        <w:pStyle w:val="ListBullet"/>
        <w:numPr>
          <w:ilvl w:val="0"/>
          <w:numId w:val="55"/>
        </w:numPr>
        <w:tabs>
          <w:tab w:val="clear" w:pos="360"/>
        </w:tabs>
        <w:overflowPunct/>
        <w:autoSpaceDE/>
        <w:autoSpaceDN/>
        <w:adjustRightInd/>
        <w:spacing w:before="0" w:after="120" w:line="276" w:lineRule="auto"/>
        <w:ind w:left="567" w:hanging="357"/>
        <w:textAlignment w:val="auto"/>
        <w:rPr>
          <w:lang w:val="hy-AM"/>
        </w:rPr>
      </w:pPr>
      <w:r w:rsidRPr="00B7540A">
        <w:rPr>
          <w:lang w:val="hy-AM"/>
        </w:rPr>
        <w:t>Տնտեսության վերականգնմանը զուգահեռ, միջնաժամկետում վերադարձ կկատարվի հարկաբյուջետային կանոններով սահմանված պետական ֆինանսների «ոսկե կանոնների» տրամաբանությանը՝ կայուն հիմքեր ստեղծելով երկարաժամկետ տնտեսական աճի ապահովման համար: Մասնավորապես՝ կապահովվի պարտք/ՀՆԱ հարաբերակցության նվազող հետագիծը և ծախսերի կառուցվածքի բարելավումը, ինչպես նաև հետևողական քայլեր կկատարվեն ծախսերի գծով խնայողությունների և եկամուտների ավելացման ուղղությամբ: Հարկաբյուջետային քաղաքականության ազդեցությունը ամբողջական պահանջարկի վրա կոնսոլիդացիայի իրականացման պայմաններում, գնահատվում է չեզոք:</w:t>
      </w:r>
    </w:p>
    <w:p w14:paraId="7925F042" w14:textId="77777777" w:rsidR="00B7540A" w:rsidRPr="00B7540A" w:rsidRDefault="00B7540A" w:rsidP="00C0628C">
      <w:pPr>
        <w:pStyle w:val="ListBullet"/>
        <w:numPr>
          <w:ilvl w:val="0"/>
          <w:numId w:val="55"/>
        </w:numPr>
        <w:tabs>
          <w:tab w:val="clear" w:pos="360"/>
        </w:tabs>
        <w:overflowPunct/>
        <w:autoSpaceDE/>
        <w:autoSpaceDN/>
        <w:adjustRightInd/>
        <w:spacing w:before="0" w:after="120" w:line="276" w:lineRule="auto"/>
        <w:ind w:left="567" w:hanging="357"/>
        <w:textAlignment w:val="auto"/>
        <w:rPr>
          <w:rStyle w:val="tlid-translation"/>
          <w:lang w:val="hy-AM"/>
        </w:rPr>
      </w:pPr>
      <w:r w:rsidRPr="00B7540A">
        <w:rPr>
          <w:rStyle w:val="tlid-translation"/>
          <w:lang w:val="hy-AM"/>
        </w:rPr>
        <w:t>Տտնտեսության վերականգնման ընթացքի և տևողության հետ կապված, այնպես էլ հարկաբյուջետային քաղաքականության միջոցառումների չափի և ժամկետների, ինչպես նաև վերջիններիս արդյունավետության գծով առկա անորոշություններից բխող ռիսկերի ի հայտ գալու պայմաններում առաջիկա տարիների հարկաբյուջետային շրջանակը վերանայման կարիք կունենա։</w:t>
      </w:r>
    </w:p>
    <w:p w14:paraId="3F7F15E7" w14:textId="77777777" w:rsidR="00B7540A" w:rsidRPr="00B7540A" w:rsidRDefault="00B7540A" w:rsidP="00B7540A">
      <w:pPr>
        <w:spacing w:line="276" w:lineRule="auto"/>
        <w:rPr>
          <w:rStyle w:val="tlid-translation"/>
          <w:lang w:val="hy-AM"/>
        </w:rPr>
      </w:pPr>
    </w:p>
    <w:p w14:paraId="09781790" w14:textId="77777777" w:rsidR="00B7540A" w:rsidRPr="00B7540A" w:rsidRDefault="00B7540A" w:rsidP="00B7540A">
      <w:pPr>
        <w:spacing w:line="276" w:lineRule="auto"/>
        <w:rPr>
          <w:rStyle w:val="tlid-translation"/>
          <w:lang w:val="hy-AM"/>
        </w:rPr>
      </w:pPr>
    </w:p>
    <w:p w14:paraId="5F2C9E37" w14:textId="77777777" w:rsidR="00B7540A" w:rsidRPr="00586097" w:rsidRDefault="00B7540A" w:rsidP="00B7540A">
      <w:pPr>
        <w:pStyle w:val="afa"/>
        <w:spacing w:line="276" w:lineRule="auto"/>
        <w:ind w:firstLine="0"/>
      </w:pPr>
    </w:p>
    <w:p w14:paraId="4DBE98F1" w14:textId="77777777" w:rsidR="00B7540A" w:rsidRDefault="00B7540A" w:rsidP="00B7540A">
      <w:pPr>
        <w:pStyle w:val="afa"/>
        <w:spacing w:line="276" w:lineRule="auto"/>
        <w:ind w:firstLine="0"/>
      </w:pPr>
    </w:p>
    <w:p w14:paraId="23FE4426" w14:textId="77777777" w:rsidR="00051357" w:rsidRDefault="00051357" w:rsidP="00B7540A">
      <w:pPr>
        <w:pStyle w:val="afa"/>
        <w:spacing w:line="276" w:lineRule="auto"/>
        <w:ind w:firstLine="0"/>
      </w:pPr>
    </w:p>
    <w:p w14:paraId="6C891D2D" w14:textId="77777777" w:rsidR="00051357" w:rsidRPr="00586097" w:rsidRDefault="00051357" w:rsidP="00B7540A">
      <w:pPr>
        <w:pStyle w:val="afa"/>
        <w:spacing w:line="276" w:lineRule="auto"/>
        <w:ind w:firstLine="0"/>
      </w:pPr>
    </w:p>
    <w:p w14:paraId="63312A1A" w14:textId="77777777" w:rsidR="00B7540A" w:rsidRPr="00586097" w:rsidRDefault="00B7540A" w:rsidP="00B7540A">
      <w:pPr>
        <w:pStyle w:val="afa"/>
        <w:spacing w:line="276" w:lineRule="auto"/>
        <w:ind w:firstLine="0"/>
      </w:pPr>
      <w:r w:rsidRPr="00586097">
        <w:t>Աղյուսակ 2.1։ 2022-2024թթ. ՄԺԾԾ (ներառյալ 2022թ. պետական բյուջեի) հարկաբյուջետային շրջանակ</w:t>
      </w:r>
    </w:p>
    <w:tbl>
      <w:tblPr>
        <w:tblW w:w="9747" w:type="dxa"/>
        <w:tblLook w:val="04A0" w:firstRow="1" w:lastRow="0" w:firstColumn="1" w:lastColumn="0" w:noHBand="0" w:noVBand="1"/>
      </w:tblPr>
      <w:tblGrid>
        <w:gridCol w:w="2466"/>
        <w:gridCol w:w="1578"/>
        <w:gridCol w:w="1558"/>
        <w:gridCol w:w="1566"/>
        <w:gridCol w:w="1500"/>
        <w:gridCol w:w="1079"/>
      </w:tblGrid>
      <w:tr w:rsidR="00B7540A" w:rsidRPr="00586097" w14:paraId="59369771" w14:textId="77777777" w:rsidTr="00B7540A">
        <w:trPr>
          <w:trHeight w:val="315"/>
          <w:tblHeader/>
        </w:trPr>
        <w:tc>
          <w:tcPr>
            <w:tcW w:w="2466" w:type="dxa"/>
            <w:tcBorders>
              <w:top w:val="single" w:sz="12" w:space="0" w:color="5B9BD5"/>
              <w:left w:val="single" w:sz="12" w:space="0" w:color="5B9BD5"/>
              <w:bottom w:val="single" w:sz="4" w:space="0" w:color="FFFFFF"/>
              <w:right w:val="single" w:sz="4" w:space="0" w:color="FFFFFF"/>
            </w:tcBorders>
            <w:shd w:val="clear" w:color="000000" w:fill="5B9BD5"/>
            <w:noWrap/>
            <w:vAlign w:val="center"/>
            <w:hideMark/>
          </w:tcPr>
          <w:p w14:paraId="702910DE" w14:textId="77777777" w:rsidR="00B7540A" w:rsidRPr="00B7540A" w:rsidRDefault="00B7540A" w:rsidP="00B7540A">
            <w:pPr>
              <w:spacing w:before="0" w:after="0" w:line="276" w:lineRule="auto"/>
              <w:ind w:firstLine="0"/>
              <w:rPr>
                <w:rFonts w:cs="Calibri"/>
                <w:color w:val="FFFFFF"/>
                <w:lang w:val="hy-AM"/>
              </w:rPr>
            </w:pPr>
            <w:bookmarkStart w:id="482" w:name="OLE_LINK1"/>
            <w:r w:rsidRPr="00B7540A">
              <w:rPr>
                <w:rFonts w:ascii="Calibri" w:hAnsi="Calibri" w:cs="Calibri"/>
                <w:color w:val="FFFFFF"/>
                <w:lang w:val="hy-AM"/>
              </w:rPr>
              <w:t> </w:t>
            </w:r>
          </w:p>
        </w:tc>
        <w:tc>
          <w:tcPr>
            <w:tcW w:w="1578" w:type="dxa"/>
            <w:tcBorders>
              <w:top w:val="single" w:sz="12" w:space="0" w:color="5B9BD5"/>
              <w:left w:val="single" w:sz="4" w:space="0" w:color="FFFFFF"/>
              <w:bottom w:val="single" w:sz="4" w:space="0" w:color="FFFFFF"/>
              <w:right w:val="single" w:sz="4" w:space="0" w:color="FFFFFF"/>
            </w:tcBorders>
            <w:shd w:val="clear" w:color="000000" w:fill="5B9BD5"/>
            <w:noWrap/>
            <w:vAlign w:val="center"/>
            <w:hideMark/>
          </w:tcPr>
          <w:p w14:paraId="7279044A" w14:textId="77777777" w:rsidR="00B7540A" w:rsidRPr="00586097" w:rsidRDefault="00B7540A" w:rsidP="00B7540A">
            <w:pPr>
              <w:spacing w:before="0" w:after="0" w:line="276" w:lineRule="auto"/>
              <w:ind w:firstLine="0"/>
              <w:jc w:val="center"/>
              <w:rPr>
                <w:rFonts w:cs="Arial"/>
                <w:color w:val="FFFFFF"/>
              </w:rPr>
            </w:pPr>
            <w:r w:rsidRPr="00586097">
              <w:rPr>
                <w:rFonts w:cs="Arial"/>
                <w:color w:val="FFFFFF"/>
              </w:rPr>
              <w:t>2020</w:t>
            </w:r>
          </w:p>
        </w:tc>
        <w:tc>
          <w:tcPr>
            <w:tcW w:w="1558" w:type="dxa"/>
            <w:tcBorders>
              <w:top w:val="single" w:sz="12" w:space="0" w:color="5B9BD5"/>
              <w:left w:val="single" w:sz="4" w:space="0" w:color="FFFFFF"/>
              <w:bottom w:val="single" w:sz="4" w:space="0" w:color="FFFFFF"/>
              <w:right w:val="single" w:sz="4" w:space="0" w:color="FFFFFF"/>
            </w:tcBorders>
            <w:shd w:val="clear" w:color="000000" w:fill="5B9BD5"/>
            <w:noWrap/>
            <w:vAlign w:val="center"/>
            <w:hideMark/>
          </w:tcPr>
          <w:p w14:paraId="27A67D9A" w14:textId="77777777" w:rsidR="00B7540A" w:rsidRPr="00586097" w:rsidRDefault="00B7540A" w:rsidP="00B7540A">
            <w:pPr>
              <w:spacing w:before="0" w:after="0" w:line="276" w:lineRule="auto"/>
              <w:ind w:firstLine="0"/>
              <w:jc w:val="center"/>
              <w:rPr>
                <w:rFonts w:cs="Arial"/>
                <w:color w:val="FFFFFF"/>
              </w:rPr>
            </w:pPr>
            <w:r w:rsidRPr="00586097">
              <w:rPr>
                <w:rFonts w:cs="Arial"/>
                <w:color w:val="FFFFFF"/>
              </w:rPr>
              <w:t>2021</w:t>
            </w:r>
          </w:p>
        </w:tc>
        <w:tc>
          <w:tcPr>
            <w:tcW w:w="1566" w:type="dxa"/>
            <w:tcBorders>
              <w:top w:val="single" w:sz="12" w:space="0" w:color="5B9BD5"/>
              <w:left w:val="single" w:sz="4" w:space="0" w:color="FFFFFF"/>
              <w:bottom w:val="single" w:sz="4" w:space="0" w:color="FFFFFF"/>
              <w:right w:val="single" w:sz="4" w:space="0" w:color="FFFFFF"/>
            </w:tcBorders>
            <w:shd w:val="clear" w:color="000000" w:fill="5B9BD5"/>
            <w:noWrap/>
            <w:vAlign w:val="center"/>
            <w:hideMark/>
          </w:tcPr>
          <w:p w14:paraId="392D3405" w14:textId="77777777" w:rsidR="00B7540A" w:rsidRPr="00586097" w:rsidRDefault="00B7540A" w:rsidP="00B7540A">
            <w:pPr>
              <w:spacing w:before="0" w:after="0" w:line="276" w:lineRule="auto"/>
              <w:ind w:firstLine="0"/>
              <w:jc w:val="center"/>
              <w:rPr>
                <w:rFonts w:cs="Arial"/>
                <w:color w:val="FFFFFF"/>
              </w:rPr>
            </w:pPr>
            <w:r w:rsidRPr="00586097">
              <w:rPr>
                <w:rFonts w:cs="Arial"/>
                <w:color w:val="FFFFFF"/>
              </w:rPr>
              <w:t>2022</w:t>
            </w:r>
          </w:p>
        </w:tc>
        <w:tc>
          <w:tcPr>
            <w:tcW w:w="1500" w:type="dxa"/>
            <w:tcBorders>
              <w:top w:val="single" w:sz="12" w:space="0" w:color="5B9BD5"/>
              <w:left w:val="single" w:sz="4" w:space="0" w:color="FFFFFF"/>
              <w:bottom w:val="single" w:sz="4" w:space="0" w:color="FFFFFF"/>
              <w:right w:val="single" w:sz="4" w:space="0" w:color="FFFFFF"/>
            </w:tcBorders>
            <w:shd w:val="clear" w:color="000000" w:fill="5B9BD5"/>
            <w:noWrap/>
            <w:vAlign w:val="center"/>
            <w:hideMark/>
          </w:tcPr>
          <w:p w14:paraId="16316AB4" w14:textId="77777777" w:rsidR="00B7540A" w:rsidRPr="00586097" w:rsidRDefault="00B7540A" w:rsidP="00B7540A">
            <w:pPr>
              <w:spacing w:before="0" w:after="0" w:line="276" w:lineRule="auto"/>
              <w:ind w:firstLine="0"/>
              <w:jc w:val="center"/>
              <w:rPr>
                <w:rFonts w:cs="Arial"/>
                <w:color w:val="FFFFFF"/>
              </w:rPr>
            </w:pPr>
            <w:r w:rsidRPr="00586097">
              <w:rPr>
                <w:rFonts w:cs="Arial"/>
                <w:color w:val="FFFFFF"/>
              </w:rPr>
              <w:t>2023</w:t>
            </w:r>
          </w:p>
        </w:tc>
        <w:tc>
          <w:tcPr>
            <w:tcW w:w="1079" w:type="dxa"/>
            <w:tcBorders>
              <w:top w:val="single" w:sz="12" w:space="0" w:color="5B9BD5"/>
              <w:left w:val="single" w:sz="4" w:space="0" w:color="FFFFFF"/>
              <w:bottom w:val="single" w:sz="4" w:space="0" w:color="FFFFFF"/>
              <w:right w:val="single" w:sz="12" w:space="0" w:color="5B9BD5"/>
            </w:tcBorders>
            <w:shd w:val="clear" w:color="000000" w:fill="5B9BD5"/>
            <w:noWrap/>
            <w:vAlign w:val="center"/>
            <w:hideMark/>
          </w:tcPr>
          <w:p w14:paraId="00D7286D" w14:textId="77777777" w:rsidR="00B7540A" w:rsidRPr="00586097" w:rsidRDefault="00B7540A" w:rsidP="00B7540A">
            <w:pPr>
              <w:spacing w:before="0" w:after="0" w:line="276" w:lineRule="auto"/>
              <w:ind w:firstLine="0"/>
              <w:jc w:val="center"/>
              <w:rPr>
                <w:rFonts w:cs="Arial"/>
                <w:color w:val="FFFFFF"/>
              </w:rPr>
            </w:pPr>
            <w:r w:rsidRPr="00586097">
              <w:rPr>
                <w:rFonts w:cs="Arial"/>
                <w:color w:val="FFFFFF"/>
              </w:rPr>
              <w:t>2024</w:t>
            </w:r>
          </w:p>
        </w:tc>
      </w:tr>
      <w:tr w:rsidR="00B7540A" w:rsidRPr="00586097" w14:paraId="0EEA27B1" w14:textId="77777777" w:rsidTr="00B7540A">
        <w:trPr>
          <w:trHeight w:val="300"/>
          <w:tblHeader/>
        </w:trPr>
        <w:tc>
          <w:tcPr>
            <w:tcW w:w="2466" w:type="dxa"/>
            <w:tcBorders>
              <w:top w:val="single" w:sz="4" w:space="0" w:color="FFFFFF"/>
              <w:left w:val="single" w:sz="12" w:space="0" w:color="5B9BD5"/>
              <w:bottom w:val="single" w:sz="8" w:space="0" w:color="5B9BD5"/>
              <w:right w:val="single" w:sz="4" w:space="0" w:color="FFFFFF"/>
            </w:tcBorders>
            <w:shd w:val="clear" w:color="000000" w:fill="5B9BD5"/>
            <w:noWrap/>
            <w:vAlign w:val="center"/>
            <w:hideMark/>
          </w:tcPr>
          <w:p w14:paraId="1E5CAC96" w14:textId="77777777" w:rsidR="00B7540A" w:rsidRPr="00586097" w:rsidRDefault="00B7540A" w:rsidP="00B7540A">
            <w:pPr>
              <w:spacing w:before="0" w:after="0" w:line="276" w:lineRule="auto"/>
              <w:ind w:firstLine="0"/>
              <w:jc w:val="center"/>
              <w:rPr>
                <w:rFonts w:cs="Arial"/>
                <w:i/>
                <w:iCs/>
                <w:color w:val="FFFFFF"/>
              </w:rPr>
            </w:pPr>
            <w:r w:rsidRPr="00586097">
              <w:rPr>
                <w:rFonts w:cs="Arial"/>
                <w:i/>
                <w:iCs/>
                <w:color w:val="FFFFFF"/>
              </w:rPr>
              <w:t>մլրդ դրամ</w:t>
            </w:r>
          </w:p>
        </w:tc>
        <w:tc>
          <w:tcPr>
            <w:tcW w:w="1578" w:type="dxa"/>
            <w:tcBorders>
              <w:top w:val="single" w:sz="4" w:space="0" w:color="FFFFFF"/>
              <w:left w:val="single" w:sz="4" w:space="0" w:color="FFFFFF"/>
              <w:bottom w:val="single" w:sz="8" w:space="0" w:color="5B9BD5"/>
              <w:right w:val="single" w:sz="4" w:space="0" w:color="FFFFFF"/>
            </w:tcBorders>
            <w:shd w:val="clear" w:color="000000" w:fill="5B9BD5"/>
            <w:noWrap/>
            <w:vAlign w:val="center"/>
            <w:hideMark/>
          </w:tcPr>
          <w:p w14:paraId="6455AFF6" w14:textId="77777777" w:rsidR="00B7540A" w:rsidRPr="00586097" w:rsidRDefault="00B7540A" w:rsidP="00B7540A">
            <w:pPr>
              <w:spacing w:before="0" w:after="0" w:line="276" w:lineRule="auto"/>
              <w:ind w:firstLine="0"/>
              <w:jc w:val="center"/>
              <w:rPr>
                <w:rFonts w:cs="Arial"/>
                <w:color w:val="FFFFFF"/>
              </w:rPr>
            </w:pPr>
            <w:r w:rsidRPr="00586097">
              <w:rPr>
                <w:rFonts w:cs="Arial"/>
                <w:color w:val="FFFFFF"/>
              </w:rPr>
              <w:t>Փաստացի</w:t>
            </w:r>
          </w:p>
        </w:tc>
        <w:tc>
          <w:tcPr>
            <w:tcW w:w="1558" w:type="dxa"/>
            <w:tcBorders>
              <w:top w:val="single" w:sz="4" w:space="0" w:color="FFFFFF"/>
              <w:left w:val="single" w:sz="4" w:space="0" w:color="FFFFFF"/>
              <w:bottom w:val="single" w:sz="8" w:space="0" w:color="5B9BD5"/>
              <w:right w:val="single" w:sz="4" w:space="0" w:color="FFFFFF"/>
            </w:tcBorders>
            <w:shd w:val="clear" w:color="000000" w:fill="5B9BD5"/>
            <w:noWrap/>
            <w:vAlign w:val="center"/>
            <w:hideMark/>
          </w:tcPr>
          <w:p w14:paraId="464C566B" w14:textId="77777777" w:rsidR="00B7540A" w:rsidRPr="00586097" w:rsidRDefault="00B7540A" w:rsidP="00B7540A">
            <w:pPr>
              <w:spacing w:before="0" w:after="0" w:line="276" w:lineRule="auto"/>
              <w:ind w:firstLine="0"/>
              <w:jc w:val="center"/>
              <w:rPr>
                <w:rFonts w:cs="Arial"/>
                <w:color w:val="FFFFFF"/>
              </w:rPr>
            </w:pPr>
            <w:r w:rsidRPr="00586097">
              <w:rPr>
                <w:rFonts w:cs="Arial"/>
                <w:color w:val="FFFFFF"/>
              </w:rPr>
              <w:t>Սպասում</w:t>
            </w:r>
          </w:p>
        </w:tc>
        <w:tc>
          <w:tcPr>
            <w:tcW w:w="1566" w:type="dxa"/>
            <w:tcBorders>
              <w:top w:val="single" w:sz="4" w:space="0" w:color="FFFFFF"/>
              <w:left w:val="single" w:sz="4" w:space="0" w:color="FFFFFF"/>
              <w:bottom w:val="single" w:sz="8" w:space="0" w:color="5B9BD5"/>
              <w:right w:val="single" w:sz="4" w:space="0" w:color="FFFFFF"/>
            </w:tcBorders>
            <w:shd w:val="clear" w:color="000000" w:fill="5B9BD5"/>
            <w:noWrap/>
            <w:vAlign w:val="center"/>
            <w:hideMark/>
          </w:tcPr>
          <w:p w14:paraId="799C2FD8" w14:textId="77777777" w:rsidR="00B7540A" w:rsidRPr="00586097" w:rsidRDefault="00B7540A" w:rsidP="00B7540A">
            <w:pPr>
              <w:spacing w:before="0" w:after="0" w:line="276" w:lineRule="auto"/>
              <w:ind w:firstLine="0"/>
              <w:jc w:val="center"/>
              <w:rPr>
                <w:rFonts w:cs="Arial"/>
                <w:color w:val="FFFFFF"/>
              </w:rPr>
            </w:pPr>
            <w:r w:rsidRPr="00586097">
              <w:rPr>
                <w:rFonts w:cs="Arial"/>
                <w:color w:val="FFFFFF"/>
              </w:rPr>
              <w:t>Բյուջե</w:t>
            </w:r>
          </w:p>
        </w:tc>
        <w:tc>
          <w:tcPr>
            <w:tcW w:w="2579" w:type="dxa"/>
            <w:gridSpan w:val="2"/>
            <w:tcBorders>
              <w:top w:val="single" w:sz="4" w:space="0" w:color="FFFFFF"/>
              <w:left w:val="single" w:sz="4" w:space="0" w:color="FFFFFF"/>
              <w:bottom w:val="single" w:sz="8" w:space="0" w:color="5B9BD5"/>
              <w:right w:val="single" w:sz="12" w:space="0" w:color="5B9BD5"/>
            </w:tcBorders>
            <w:shd w:val="clear" w:color="000000" w:fill="5B9BD5"/>
            <w:noWrap/>
            <w:vAlign w:val="center"/>
            <w:hideMark/>
          </w:tcPr>
          <w:p w14:paraId="77E45DAA" w14:textId="77777777" w:rsidR="00B7540A" w:rsidRPr="00586097" w:rsidRDefault="00B7540A" w:rsidP="00B7540A">
            <w:pPr>
              <w:spacing w:before="0" w:after="0" w:line="276" w:lineRule="auto"/>
              <w:ind w:firstLine="0"/>
              <w:jc w:val="center"/>
              <w:rPr>
                <w:rFonts w:cs="Arial"/>
                <w:color w:val="FFFFFF"/>
              </w:rPr>
            </w:pPr>
            <w:r w:rsidRPr="00586097">
              <w:rPr>
                <w:rFonts w:cs="Arial"/>
                <w:color w:val="FFFFFF"/>
              </w:rPr>
              <w:t>ՄԺԾԾ 2022-2024</w:t>
            </w:r>
          </w:p>
        </w:tc>
      </w:tr>
      <w:tr w:rsidR="00B7540A" w:rsidRPr="00586097" w14:paraId="02E8C5F0" w14:textId="77777777" w:rsidTr="006233DC">
        <w:trPr>
          <w:trHeight w:val="205"/>
          <w:tblHeader/>
        </w:trPr>
        <w:tc>
          <w:tcPr>
            <w:tcW w:w="2466" w:type="dxa"/>
            <w:tcBorders>
              <w:top w:val="nil"/>
              <w:left w:val="single" w:sz="12" w:space="0" w:color="5B9BD5"/>
              <w:bottom w:val="single" w:sz="8" w:space="0" w:color="5B9BD5"/>
              <w:right w:val="single" w:sz="8" w:space="0" w:color="5B9BD5"/>
            </w:tcBorders>
            <w:shd w:val="clear" w:color="auto" w:fill="auto"/>
            <w:vAlign w:val="center"/>
          </w:tcPr>
          <w:p w14:paraId="48015830" w14:textId="77777777" w:rsidR="00B7540A" w:rsidRPr="00586097" w:rsidRDefault="00B7540A" w:rsidP="00B7540A">
            <w:pPr>
              <w:spacing w:before="0" w:after="0" w:line="276" w:lineRule="auto"/>
              <w:ind w:firstLine="0"/>
              <w:jc w:val="center"/>
              <w:rPr>
                <w:rFonts w:cs="Arial"/>
                <w:b/>
                <w:color w:val="000000"/>
              </w:rPr>
            </w:pPr>
            <w:r w:rsidRPr="00586097">
              <w:rPr>
                <w:rFonts w:cs="Arial"/>
                <w:b/>
                <w:color w:val="000000"/>
              </w:rPr>
              <w:t>1</w:t>
            </w:r>
          </w:p>
        </w:tc>
        <w:tc>
          <w:tcPr>
            <w:tcW w:w="1578" w:type="dxa"/>
            <w:tcBorders>
              <w:top w:val="nil"/>
              <w:left w:val="nil"/>
              <w:bottom w:val="single" w:sz="8" w:space="0" w:color="5B9BD5"/>
              <w:right w:val="single" w:sz="8" w:space="0" w:color="5B9BD5"/>
            </w:tcBorders>
            <w:shd w:val="clear" w:color="auto" w:fill="auto"/>
            <w:noWrap/>
            <w:vAlign w:val="center"/>
          </w:tcPr>
          <w:p w14:paraId="76A10DB0" w14:textId="77777777" w:rsidR="00B7540A" w:rsidRPr="00586097" w:rsidRDefault="00B7540A" w:rsidP="00B7540A">
            <w:pPr>
              <w:spacing w:before="0" w:after="0" w:line="276" w:lineRule="auto"/>
              <w:ind w:firstLine="0"/>
              <w:jc w:val="center"/>
              <w:rPr>
                <w:rFonts w:cs="Arial"/>
                <w:b/>
                <w:color w:val="000000"/>
              </w:rPr>
            </w:pPr>
            <w:r w:rsidRPr="00586097">
              <w:rPr>
                <w:rFonts w:cs="Arial"/>
                <w:b/>
                <w:color w:val="000000"/>
              </w:rPr>
              <w:t>2</w:t>
            </w:r>
          </w:p>
        </w:tc>
        <w:tc>
          <w:tcPr>
            <w:tcW w:w="1558" w:type="dxa"/>
            <w:tcBorders>
              <w:top w:val="nil"/>
              <w:left w:val="nil"/>
              <w:bottom w:val="single" w:sz="8" w:space="0" w:color="5B9BD5"/>
              <w:right w:val="single" w:sz="8" w:space="0" w:color="5B9BD5"/>
            </w:tcBorders>
            <w:shd w:val="clear" w:color="000000" w:fill="DEEAF6"/>
            <w:noWrap/>
            <w:vAlign w:val="center"/>
          </w:tcPr>
          <w:p w14:paraId="1B971A7E" w14:textId="77777777" w:rsidR="00B7540A" w:rsidRPr="00586097" w:rsidRDefault="00B7540A" w:rsidP="00B7540A">
            <w:pPr>
              <w:spacing w:before="0" w:after="0" w:line="276" w:lineRule="auto"/>
              <w:ind w:firstLine="0"/>
              <w:jc w:val="center"/>
              <w:rPr>
                <w:rFonts w:cs="Arial"/>
                <w:b/>
                <w:color w:val="000000"/>
              </w:rPr>
            </w:pPr>
            <w:r w:rsidRPr="00586097">
              <w:rPr>
                <w:rFonts w:cs="Arial"/>
                <w:b/>
                <w:color w:val="000000"/>
              </w:rPr>
              <w:t>3</w:t>
            </w:r>
          </w:p>
        </w:tc>
        <w:tc>
          <w:tcPr>
            <w:tcW w:w="1566" w:type="dxa"/>
            <w:tcBorders>
              <w:top w:val="nil"/>
              <w:left w:val="nil"/>
              <w:bottom w:val="single" w:sz="8" w:space="0" w:color="5B9BD5"/>
              <w:right w:val="single" w:sz="8" w:space="0" w:color="5B9BD5"/>
            </w:tcBorders>
            <w:shd w:val="clear" w:color="000000" w:fill="DEEAF6"/>
            <w:noWrap/>
            <w:vAlign w:val="center"/>
          </w:tcPr>
          <w:p w14:paraId="0EE00980" w14:textId="77777777" w:rsidR="00B7540A" w:rsidRPr="00586097" w:rsidRDefault="00B7540A" w:rsidP="00B7540A">
            <w:pPr>
              <w:spacing w:before="0" w:after="0" w:line="276" w:lineRule="auto"/>
              <w:ind w:firstLine="0"/>
              <w:jc w:val="center"/>
              <w:rPr>
                <w:rFonts w:cs="Arial"/>
                <w:b/>
                <w:color w:val="000000"/>
              </w:rPr>
            </w:pPr>
            <w:r w:rsidRPr="00586097">
              <w:rPr>
                <w:rFonts w:cs="Arial"/>
                <w:b/>
                <w:color w:val="000000"/>
              </w:rPr>
              <w:t>4</w:t>
            </w:r>
          </w:p>
        </w:tc>
        <w:tc>
          <w:tcPr>
            <w:tcW w:w="1500" w:type="dxa"/>
            <w:tcBorders>
              <w:top w:val="nil"/>
              <w:left w:val="nil"/>
              <w:bottom w:val="single" w:sz="8" w:space="0" w:color="5B9BD5"/>
              <w:right w:val="single" w:sz="8" w:space="0" w:color="5B9BD5"/>
            </w:tcBorders>
            <w:shd w:val="clear" w:color="000000" w:fill="DEEAF6"/>
            <w:noWrap/>
            <w:vAlign w:val="center"/>
          </w:tcPr>
          <w:p w14:paraId="43D9300B" w14:textId="77777777" w:rsidR="00B7540A" w:rsidRPr="00586097" w:rsidRDefault="00B7540A" w:rsidP="00B7540A">
            <w:pPr>
              <w:spacing w:before="0" w:after="0" w:line="276" w:lineRule="auto"/>
              <w:ind w:firstLine="0"/>
              <w:jc w:val="center"/>
              <w:rPr>
                <w:rFonts w:cs="Arial"/>
                <w:b/>
                <w:color w:val="000000"/>
              </w:rPr>
            </w:pPr>
            <w:r w:rsidRPr="00586097">
              <w:rPr>
                <w:rFonts w:cs="Arial"/>
                <w:b/>
                <w:color w:val="000000"/>
              </w:rPr>
              <w:t>5</w:t>
            </w:r>
          </w:p>
        </w:tc>
        <w:tc>
          <w:tcPr>
            <w:tcW w:w="1079" w:type="dxa"/>
            <w:tcBorders>
              <w:top w:val="nil"/>
              <w:left w:val="nil"/>
              <w:bottom w:val="single" w:sz="8" w:space="0" w:color="5B9BD5"/>
              <w:right w:val="single" w:sz="12" w:space="0" w:color="5B9BD5"/>
            </w:tcBorders>
            <w:shd w:val="clear" w:color="000000" w:fill="DEEAF6"/>
            <w:noWrap/>
            <w:vAlign w:val="center"/>
          </w:tcPr>
          <w:p w14:paraId="7E14E6D7" w14:textId="77777777" w:rsidR="00B7540A" w:rsidRPr="00586097" w:rsidRDefault="00B7540A" w:rsidP="00B7540A">
            <w:pPr>
              <w:spacing w:before="0" w:after="0" w:line="276" w:lineRule="auto"/>
              <w:ind w:firstLine="0"/>
              <w:jc w:val="center"/>
              <w:rPr>
                <w:rFonts w:cs="Arial"/>
                <w:b/>
                <w:color w:val="000000"/>
              </w:rPr>
            </w:pPr>
            <w:r w:rsidRPr="00586097">
              <w:rPr>
                <w:rFonts w:cs="Arial"/>
                <w:b/>
                <w:color w:val="000000"/>
              </w:rPr>
              <w:t>6</w:t>
            </w:r>
          </w:p>
        </w:tc>
      </w:tr>
      <w:tr w:rsidR="00B7540A" w:rsidRPr="00586097" w14:paraId="2C7838DD" w14:textId="77777777" w:rsidTr="00B7540A">
        <w:trPr>
          <w:trHeight w:val="555"/>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36FE372B" w14:textId="77777777" w:rsidR="00B7540A" w:rsidRPr="00586097" w:rsidRDefault="00B7540A" w:rsidP="00051357">
            <w:pPr>
              <w:spacing w:before="0" w:after="0" w:line="240" w:lineRule="auto"/>
              <w:ind w:firstLine="0"/>
              <w:jc w:val="left"/>
              <w:rPr>
                <w:rFonts w:cs="Arial"/>
                <w:b/>
                <w:color w:val="000000"/>
              </w:rPr>
            </w:pPr>
            <w:r w:rsidRPr="00586097">
              <w:rPr>
                <w:rFonts w:cs="Arial"/>
                <w:b/>
                <w:color w:val="000000"/>
              </w:rPr>
              <w:t>Պետական բյուջեի եկամուտներ և պաշտոնական տրանսֆերտներ</w:t>
            </w:r>
          </w:p>
        </w:tc>
        <w:tc>
          <w:tcPr>
            <w:tcW w:w="1578" w:type="dxa"/>
            <w:tcBorders>
              <w:top w:val="nil"/>
              <w:left w:val="nil"/>
              <w:bottom w:val="single" w:sz="8" w:space="0" w:color="5B9BD5"/>
              <w:right w:val="single" w:sz="8" w:space="0" w:color="5B9BD5"/>
            </w:tcBorders>
            <w:shd w:val="clear" w:color="auto" w:fill="auto"/>
            <w:noWrap/>
            <w:vAlign w:val="center"/>
            <w:hideMark/>
          </w:tcPr>
          <w:p w14:paraId="51974231" w14:textId="77777777" w:rsidR="00B7540A" w:rsidRPr="00586097" w:rsidRDefault="00B7540A" w:rsidP="00051357">
            <w:pPr>
              <w:spacing w:before="0" w:after="0" w:line="240" w:lineRule="auto"/>
              <w:ind w:firstLine="0"/>
              <w:jc w:val="right"/>
              <w:rPr>
                <w:rFonts w:cs="Arial"/>
                <w:b/>
                <w:color w:val="000000"/>
              </w:rPr>
            </w:pPr>
            <w:r w:rsidRPr="00586097">
              <w:rPr>
                <w:rFonts w:cs="Arial"/>
                <w:b/>
                <w:color w:val="000000"/>
              </w:rPr>
              <w:t>1,560.7</w:t>
            </w:r>
          </w:p>
        </w:tc>
        <w:tc>
          <w:tcPr>
            <w:tcW w:w="1558" w:type="dxa"/>
            <w:tcBorders>
              <w:top w:val="nil"/>
              <w:left w:val="nil"/>
              <w:bottom w:val="single" w:sz="8" w:space="0" w:color="5B9BD5"/>
              <w:right w:val="single" w:sz="8" w:space="0" w:color="5B9BD5"/>
            </w:tcBorders>
            <w:shd w:val="clear" w:color="000000" w:fill="DEEAF6"/>
            <w:noWrap/>
            <w:vAlign w:val="center"/>
            <w:hideMark/>
          </w:tcPr>
          <w:p w14:paraId="32D32CEA" w14:textId="77777777" w:rsidR="00B7540A" w:rsidRPr="00586097" w:rsidRDefault="00B7540A" w:rsidP="00051357">
            <w:pPr>
              <w:spacing w:before="0" w:after="0" w:line="240" w:lineRule="auto"/>
              <w:ind w:firstLine="0"/>
              <w:jc w:val="right"/>
              <w:rPr>
                <w:rFonts w:cs="Arial"/>
                <w:b/>
                <w:color w:val="000000"/>
              </w:rPr>
            </w:pPr>
            <w:r w:rsidRPr="00586097">
              <w:rPr>
                <w:rFonts w:cs="Arial"/>
                <w:b/>
                <w:color w:val="000000"/>
              </w:rPr>
              <w:t>1,617.3</w:t>
            </w:r>
          </w:p>
        </w:tc>
        <w:tc>
          <w:tcPr>
            <w:tcW w:w="1566" w:type="dxa"/>
            <w:tcBorders>
              <w:top w:val="nil"/>
              <w:left w:val="nil"/>
              <w:bottom w:val="single" w:sz="8" w:space="0" w:color="5B9BD5"/>
              <w:right w:val="single" w:sz="8" w:space="0" w:color="5B9BD5"/>
            </w:tcBorders>
            <w:shd w:val="clear" w:color="000000" w:fill="DEEAF6"/>
            <w:noWrap/>
            <w:vAlign w:val="center"/>
            <w:hideMark/>
          </w:tcPr>
          <w:p w14:paraId="6A6EE20D" w14:textId="77777777" w:rsidR="00B7540A" w:rsidRPr="00586097" w:rsidRDefault="00B7540A" w:rsidP="00051357">
            <w:pPr>
              <w:spacing w:before="0" w:after="0" w:line="240" w:lineRule="auto"/>
              <w:ind w:firstLine="0"/>
              <w:jc w:val="right"/>
              <w:rPr>
                <w:rFonts w:cs="Arial"/>
                <w:b/>
                <w:color w:val="000000"/>
              </w:rPr>
            </w:pPr>
            <w:r w:rsidRPr="00586097">
              <w:rPr>
                <w:rFonts w:cs="Arial"/>
                <w:b/>
                <w:color w:val="000000"/>
              </w:rPr>
              <w:t>1,819.2</w:t>
            </w:r>
          </w:p>
        </w:tc>
        <w:tc>
          <w:tcPr>
            <w:tcW w:w="1500" w:type="dxa"/>
            <w:tcBorders>
              <w:top w:val="nil"/>
              <w:left w:val="nil"/>
              <w:bottom w:val="single" w:sz="8" w:space="0" w:color="5B9BD5"/>
              <w:right w:val="single" w:sz="8" w:space="0" w:color="5B9BD5"/>
            </w:tcBorders>
            <w:shd w:val="clear" w:color="000000" w:fill="DEEAF6"/>
            <w:noWrap/>
            <w:vAlign w:val="center"/>
            <w:hideMark/>
          </w:tcPr>
          <w:p w14:paraId="3AE2ECC8" w14:textId="77777777" w:rsidR="00B7540A" w:rsidRPr="00586097" w:rsidRDefault="00B7540A" w:rsidP="00051357">
            <w:pPr>
              <w:spacing w:before="0" w:after="0" w:line="240" w:lineRule="auto"/>
              <w:ind w:firstLine="0"/>
              <w:jc w:val="right"/>
              <w:rPr>
                <w:rFonts w:cs="Arial"/>
                <w:b/>
                <w:color w:val="000000"/>
              </w:rPr>
            </w:pPr>
            <w:r w:rsidRPr="00586097">
              <w:rPr>
                <w:rFonts w:cs="Arial"/>
                <w:b/>
                <w:color w:val="000000"/>
              </w:rPr>
              <w:t>1,966.7</w:t>
            </w:r>
          </w:p>
        </w:tc>
        <w:tc>
          <w:tcPr>
            <w:tcW w:w="1079" w:type="dxa"/>
            <w:tcBorders>
              <w:top w:val="nil"/>
              <w:left w:val="nil"/>
              <w:bottom w:val="single" w:sz="8" w:space="0" w:color="5B9BD5"/>
              <w:right w:val="single" w:sz="12" w:space="0" w:color="5B9BD5"/>
            </w:tcBorders>
            <w:shd w:val="clear" w:color="000000" w:fill="DEEAF6"/>
            <w:noWrap/>
            <w:vAlign w:val="center"/>
            <w:hideMark/>
          </w:tcPr>
          <w:p w14:paraId="2EA28940" w14:textId="77777777" w:rsidR="00B7540A" w:rsidRPr="00586097" w:rsidRDefault="00B7540A" w:rsidP="00051357">
            <w:pPr>
              <w:spacing w:before="0" w:after="0" w:line="240" w:lineRule="auto"/>
              <w:ind w:firstLine="0"/>
              <w:jc w:val="right"/>
              <w:rPr>
                <w:rFonts w:cs="Arial"/>
                <w:b/>
                <w:color w:val="000000"/>
              </w:rPr>
            </w:pPr>
            <w:r w:rsidRPr="00586097">
              <w:rPr>
                <w:rFonts w:cs="Arial"/>
                <w:b/>
                <w:color w:val="000000"/>
              </w:rPr>
              <w:t>2,148.3</w:t>
            </w:r>
          </w:p>
        </w:tc>
      </w:tr>
      <w:tr w:rsidR="00B7540A" w:rsidRPr="00586097" w14:paraId="2C41B473" w14:textId="77777777" w:rsidTr="00B7540A">
        <w:trPr>
          <w:trHeight w:val="345"/>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1B2A3D3F" w14:textId="77777777" w:rsidR="00B7540A" w:rsidRPr="00586097" w:rsidRDefault="00B7540A" w:rsidP="00051357">
            <w:pPr>
              <w:spacing w:before="0" w:after="0" w:line="240" w:lineRule="auto"/>
              <w:ind w:firstLine="0"/>
              <w:jc w:val="left"/>
              <w:rPr>
                <w:rFonts w:cs="Arial"/>
                <w:color w:val="000000"/>
              </w:rPr>
            </w:pPr>
            <w:r w:rsidRPr="00586097">
              <w:rPr>
                <w:rFonts w:cs="Arial"/>
                <w:color w:val="000000"/>
              </w:rPr>
              <w:t>Հարկային եկամուտներ և տուրքեր</w:t>
            </w:r>
          </w:p>
        </w:tc>
        <w:tc>
          <w:tcPr>
            <w:tcW w:w="1578" w:type="dxa"/>
            <w:tcBorders>
              <w:top w:val="nil"/>
              <w:left w:val="nil"/>
              <w:bottom w:val="single" w:sz="8" w:space="0" w:color="5B9BD5"/>
              <w:right w:val="single" w:sz="8" w:space="0" w:color="5B9BD5"/>
            </w:tcBorders>
            <w:shd w:val="clear" w:color="auto" w:fill="auto"/>
            <w:noWrap/>
            <w:vAlign w:val="center"/>
            <w:hideMark/>
          </w:tcPr>
          <w:p w14:paraId="3E7C4DE3"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1,385.2</w:t>
            </w:r>
          </w:p>
        </w:tc>
        <w:tc>
          <w:tcPr>
            <w:tcW w:w="1558" w:type="dxa"/>
            <w:tcBorders>
              <w:top w:val="nil"/>
              <w:left w:val="nil"/>
              <w:bottom w:val="single" w:sz="8" w:space="0" w:color="5B9BD5"/>
              <w:right w:val="single" w:sz="8" w:space="0" w:color="5B9BD5"/>
            </w:tcBorders>
            <w:shd w:val="clear" w:color="000000" w:fill="DEEAF6"/>
            <w:noWrap/>
            <w:vAlign w:val="center"/>
            <w:hideMark/>
          </w:tcPr>
          <w:p w14:paraId="41C4D98D"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1,540.5</w:t>
            </w:r>
          </w:p>
        </w:tc>
        <w:tc>
          <w:tcPr>
            <w:tcW w:w="1566" w:type="dxa"/>
            <w:tcBorders>
              <w:top w:val="nil"/>
              <w:left w:val="nil"/>
              <w:bottom w:val="single" w:sz="8" w:space="0" w:color="5B9BD5"/>
              <w:right w:val="single" w:sz="8" w:space="0" w:color="5B9BD5"/>
            </w:tcBorders>
            <w:shd w:val="clear" w:color="000000" w:fill="DEEAF6"/>
            <w:noWrap/>
            <w:vAlign w:val="center"/>
            <w:hideMark/>
          </w:tcPr>
          <w:p w14:paraId="37DAD921"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1,733.5</w:t>
            </w:r>
          </w:p>
        </w:tc>
        <w:tc>
          <w:tcPr>
            <w:tcW w:w="1500" w:type="dxa"/>
            <w:tcBorders>
              <w:top w:val="nil"/>
              <w:left w:val="nil"/>
              <w:bottom w:val="single" w:sz="8" w:space="0" w:color="5B9BD5"/>
              <w:right w:val="single" w:sz="8" w:space="0" w:color="5B9BD5"/>
            </w:tcBorders>
            <w:shd w:val="clear" w:color="000000" w:fill="DEEAF6"/>
            <w:noWrap/>
            <w:vAlign w:val="center"/>
            <w:hideMark/>
          </w:tcPr>
          <w:p w14:paraId="61C897D6"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1,889.9</w:t>
            </w:r>
          </w:p>
        </w:tc>
        <w:tc>
          <w:tcPr>
            <w:tcW w:w="1079" w:type="dxa"/>
            <w:tcBorders>
              <w:top w:val="nil"/>
              <w:left w:val="nil"/>
              <w:bottom w:val="single" w:sz="8" w:space="0" w:color="5B9BD5"/>
              <w:right w:val="single" w:sz="12" w:space="0" w:color="5B9BD5"/>
            </w:tcBorders>
            <w:shd w:val="clear" w:color="000000" w:fill="DEEAF6"/>
            <w:noWrap/>
            <w:vAlign w:val="center"/>
            <w:hideMark/>
          </w:tcPr>
          <w:p w14:paraId="6775C634"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2,084.0</w:t>
            </w:r>
          </w:p>
        </w:tc>
      </w:tr>
      <w:tr w:rsidR="00B7540A" w:rsidRPr="00586097" w14:paraId="71DA749A" w14:textId="77777777" w:rsidTr="00B7540A">
        <w:trPr>
          <w:trHeight w:val="365"/>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6FB46768" w14:textId="77777777" w:rsidR="00B7540A" w:rsidRPr="00586097" w:rsidRDefault="00B7540A" w:rsidP="00051357">
            <w:pPr>
              <w:spacing w:before="0" w:after="0" w:line="240" w:lineRule="auto"/>
              <w:ind w:firstLine="0"/>
              <w:jc w:val="left"/>
              <w:rPr>
                <w:rFonts w:cs="Arial"/>
                <w:b/>
                <w:color w:val="000000"/>
              </w:rPr>
            </w:pPr>
            <w:r w:rsidRPr="00586097">
              <w:rPr>
                <w:rFonts w:cs="Arial"/>
                <w:b/>
                <w:color w:val="000000"/>
              </w:rPr>
              <w:t>Պետական բյուջեի ծախսեր</w:t>
            </w:r>
          </w:p>
        </w:tc>
        <w:tc>
          <w:tcPr>
            <w:tcW w:w="1578" w:type="dxa"/>
            <w:tcBorders>
              <w:top w:val="nil"/>
              <w:left w:val="nil"/>
              <w:bottom w:val="single" w:sz="8" w:space="0" w:color="5B9BD5"/>
              <w:right w:val="single" w:sz="8" w:space="0" w:color="5B9BD5"/>
            </w:tcBorders>
            <w:shd w:val="clear" w:color="auto" w:fill="auto"/>
            <w:noWrap/>
            <w:vAlign w:val="center"/>
            <w:hideMark/>
          </w:tcPr>
          <w:p w14:paraId="76EFF37E"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1,894.6</w:t>
            </w:r>
          </w:p>
        </w:tc>
        <w:tc>
          <w:tcPr>
            <w:tcW w:w="1558" w:type="dxa"/>
            <w:tcBorders>
              <w:top w:val="nil"/>
              <w:left w:val="nil"/>
              <w:bottom w:val="single" w:sz="8" w:space="0" w:color="5B9BD5"/>
              <w:right w:val="single" w:sz="8" w:space="0" w:color="5B9BD5"/>
            </w:tcBorders>
            <w:shd w:val="clear" w:color="000000" w:fill="DEEAF6"/>
            <w:noWrap/>
            <w:vAlign w:val="center"/>
            <w:hideMark/>
          </w:tcPr>
          <w:p w14:paraId="6E5D2C92"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1,936.0</w:t>
            </w:r>
          </w:p>
        </w:tc>
        <w:tc>
          <w:tcPr>
            <w:tcW w:w="1566" w:type="dxa"/>
            <w:tcBorders>
              <w:top w:val="nil"/>
              <w:left w:val="nil"/>
              <w:bottom w:val="single" w:sz="8" w:space="0" w:color="5B9BD5"/>
              <w:right w:val="single" w:sz="8" w:space="0" w:color="5B9BD5"/>
            </w:tcBorders>
            <w:shd w:val="clear" w:color="000000" w:fill="DEEAF6"/>
            <w:noWrap/>
            <w:vAlign w:val="center"/>
            <w:hideMark/>
          </w:tcPr>
          <w:p w14:paraId="0783CA5D"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2,000.9</w:t>
            </w:r>
          </w:p>
        </w:tc>
        <w:tc>
          <w:tcPr>
            <w:tcW w:w="1500" w:type="dxa"/>
            <w:tcBorders>
              <w:top w:val="nil"/>
              <w:left w:val="nil"/>
              <w:bottom w:val="single" w:sz="8" w:space="0" w:color="5B9BD5"/>
              <w:right w:val="single" w:sz="8" w:space="0" w:color="5B9BD5"/>
            </w:tcBorders>
            <w:shd w:val="clear" w:color="000000" w:fill="DEEAF6"/>
            <w:noWrap/>
            <w:vAlign w:val="center"/>
            <w:hideMark/>
          </w:tcPr>
          <w:p w14:paraId="65F705DC"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2,135.5</w:t>
            </w:r>
          </w:p>
        </w:tc>
        <w:tc>
          <w:tcPr>
            <w:tcW w:w="1079" w:type="dxa"/>
            <w:tcBorders>
              <w:top w:val="nil"/>
              <w:left w:val="nil"/>
              <w:bottom w:val="single" w:sz="8" w:space="0" w:color="5B9BD5"/>
              <w:right w:val="single" w:sz="12" w:space="0" w:color="5B9BD5"/>
            </w:tcBorders>
            <w:shd w:val="clear" w:color="000000" w:fill="DEEAF6"/>
            <w:noWrap/>
            <w:vAlign w:val="center"/>
            <w:hideMark/>
          </w:tcPr>
          <w:p w14:paraId="50A8ABFA"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2,312.0</w:t>
            </w:r>
          </w:p>
        </w:tc>
      </w:tr>
      <w:tr w:rsidR="00B7540A" w:rsidRPr="00586097" w14:paraId="58DB1231" w14:textId="77777777" w:rsidTr="00B7540A">
        <w:trPr>
          <w:trHeight w:val="345"/>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64B82F87" w14:textId="77777777" w:rsidR="00B7540A" w:rsidRPr="00586097" w:rsidRDefault="00B7540A" w:rsidP="00051357">
            <w:pPr>
              <w:spacing w:before="0" w:after="0" w:line="240" w:lineRule="auto"/>
              <w:ind w:firstLine="0"/>
              <w:jc w:val="left"/>
              <w:rPr>
                <w:rFonts w:cs="Arial"/>
                <w:color w:val="000000"/>
              </w:rPr>
            </w:pPr>
            <w:r w:rsidRPr="00586097">
              <w:rPr>
                <w:rFonts w:cs="Arial"/>
                <w:color w:val="000000"/>
              </w:rPr>
              <w:t>Ընթացիկ ծախսեր</w:t>
            </w:r>
          </w:p>
        </w:tc>
        <w:tc>
          <w:tcPr>
            <w:tcW w:w="1578" w:type="dxa"/>
            <w:tcBorders>
              <w:top w:val="nil"/>
              <w:left w:val="nil"/>
              <w:bottom w:val="single" w:sz="8" w:space="0" w:color="5B9BD5"/>
              <w:right w:val="single" w:sz="8" w:space="0" w:color="5B9BD5"/>
            </w:tcBorders>
            <w:shd w:val="clear" w:color="auto" w:fill="auto"/>
            <w:noWrap/>
            <w:vAlign w:val="center"/>
            <w:hideMark/>
          </w:tcPr>
          <w:p w14:paraId="09044A5A"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1,668.5</w:t>
            </w:r>
          </w:p>
        </w:tc>
        <w:tc>
          <w:tcPr>
            <w:tcW w:w="1558" w:type="dxa"/>
            <w:tcBorders>
              <w:top w:val="nil"/>
              <w:left w:val="nil"/>
              <w:bottom w:val="single" w:sz="8" w:space="0" w:color="5B9BD5"/>
              <w:right w:val="single" w:sz="8" w:space="0" w:color="5B9BD5"/>
            </w:tcBorders>
            <w:shd w:val="clear" w:color="000000" w:fill="DEEAF6"/>
            <w:noWrap/>
            <w:vAlign w:val="center"/>
            <w:hideMark/>
          </w:tcPr>
          <w:p w14:paraId="04A51F4A" w14:textId="77777777" w:rsidR="00B7540A" w:rsidRPr="00586097" w:rsidRDefault="00B7540A" w:rsidP="00051357">
            <w:pPr>
              <w:spacing w:before="0" w:after="0" w:line="240" w:lineRule="auto"/>
              <w:ind w:firstLine="0"/>
              <w:jc w:val="right"/>
              <w:rPr>
                <w:rFonts w:cs="Arial"/>
                <w:color w:val="000000"/>
              </w:rPr>
            </w:pPr>
            <w:r w:rsidRPr="00586097">
              <w:rPr>
                <w:rFonts w:cs="Arial"/>
              </w:rPr>
              <w:t>1,738.9</w:t>
            </w:r>
          </w:p>
        </w:tc>
        <w:tc>
          <w:tcPr>
            <w:tcW w:w="1566" w:type="dxa"/>
            <w:tcBorders>
              <w:top w:val="nil"/>
              <w:left w:val="nil"/>
              <w:bottom w:val="single" w:sz="8" w:space="0" w:color="5B9BD5"/>
              <w:right w:val="single" w:sz="8" w:space="0" w:color="5B9BD5"/>
            </w:tcBorders>
            <w:shd w:val="clear" w:color="000000" w:fill="DEEAF6"/>
            <w:noWrap/>
            <w:vAlign w:val="center"/>
            <w:hideMark/>
          </w:tcPr>
          <w:p w14:paraId="4DADFD06"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1,708.3</w:t>
            </w:r>
          </w:p>
        </w:tc>
        <w:tc>
          <w:tcPr>
            <w:tcW w:w="1500" w:type="dxa"/>
            <w:tcBorders>
              <w:top w:val="nil"/>
              <w:left w:val="nil"/>
              <w:bottom w:val="single" w:sz="8" w:space="0" w:color="5B9BD5"/>
              <w:right w:val="single" w:sz="8" w:space="0" w:color="5B9BD5"/>
            </w:tcBorders>
            <w:shd w:val="clear" w:color="000000" w:fill="DEEAF6"/>
            <w:noWrap/>
            <w:vAlign w:val="center"/>
            <w:hideMark/>
          </w:tcPr>
          <w:p w14:paraId="26D0B04A" w14:textId="77777777" w:rsidR="00B7540A" w:rsidRPr="00586097" w:rsidRDefault="00B7540A" w:rsidP="00051357">
            <w:pPr>
              <w:spacing w:before="0" w:after="0" w:line="240" w:lineRule="auto"/>
              <w:ind w:firstLine="0"/>
              <w:jc w:val="right"/>
              <w:rPr>
                <w:rFonts w:cs="Arial"/>
                <w:color w:val="000000"/>
              </w:rPr>
            </w:pPr>
            <w:r w:rsidRPr="00586097">
              <w:rPr>
                <w:rFonts w:cs="Arial"/>
              </w:rPr>
              <w:t>1,827.3</w:t>
            </w:r>
          </w:p>
        </w:tc>
        <w:tc>
          <w:tcPr>
            <w:tcW w:w="1079" w:type="dxa"/>
            <w:tcBorders>
              <w:top w:val="nil"/>
              <w:left w:val="nil"/>
              <w:bottom w:val="single" w:sz="8" w:space="0" w:color="5B9BD5"/>
              <w:right w:val="single" w:sz="12" w:space="0" w:color="5B9BD5"/>
            </w:tcBorders>
            <w:shd w:val="clear" w:color="000000" w:fill="DEEAF6"/>
            <w:noWrap/>
            <w:vAlign w:val="center"/>
            <w:hideMark/>
          </w:tcPr>
          <w:p w14:paraId="2F07C9F2" w14:textId="77777777" w:rsidR="00B7540A" w:rsidRPr="00586097" w:rsidRDefault="00B7540A" w:rsidP="00051357">
            <w:pPr>
              <w:spacing w:before="0" w:after="0" w:line="240" w:lineRule="auto"/>
              <w:ind w:firstLine="0"/>
              <w:jc w:val="right"/>
              <w:rPr>
                <w:rFonts w:cs="Arial"/>
                <w:color w:val="000000"/>
              </w:rPr>
            </w:pPr>
            <w:r w:rsidRPr="00586097">
              <w:rPr>
                <w:rFonts w:cs="Arial"/>
              </w:rPr>
              <w:t>1,958.1</w:t>
            </w:r>
          </w:p>
        </w:tc>
      </w:tr>
      <w:tr w:rsidR="00B7540A" w:rsidRPr="00586097" w14:paraId="409E2E1A" w14:textId="77777777" w:rsidTr="00B7540A">
        <w:trPr>
          <w:trHeight w:val="555"/>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6755D45D" w14:textId="77777777" w:rsidR="00B7540A" w:rsidRPr="00586097" w:rsidRDefault="00B7540A" w:rsidP="00051357">
            <w:pPr>
              <w:spacing w:before="0" w:after="0" w:line="240" w:lineRule="auto"/>
              <w:ind w:firstLine="0"/>
              <w:jc w:val="left"/>
              <w:rPr>
                <w:rFonts w:cs="Arial"/>
                <w:color w:val="000000"/>
              </w:rPr>
            </w:pPr>
            <w:r w:rsidRPr="00586097">
              <w:rPr>
                <w:rFonts w:cs="Arial"/>
                <w:color w:val="000000"/>
              </w:rPr>
              <w:t>Ոչ ֆինանսական ակտիվների հետ գործառնություններ</w:t>
            </w:r>
          </w:p>
        </w:tc>
        <w:tc>
          <w:tcPr>
            <w:tcW w:w="1578" w:type="dxa"/>
            <w:tcBorders>
              <w:top w:val="nil"/>
              <w:left w:val="nil"/>
              <w:bottom w:val="single" w:sz="8" w:space="0" w:color="5B9BD5"/>
              <w:right w:val="single" w:sz="8" w:space="0" w:color="5B9BD5"/>
            </w:tcBorders>
            <w:shd w:val="clear" w:color="auto" w:fill="auto"/>
            <w:noWrap/>
            <w:vAlign w:val="center"/>
            <w:hideMark/>
          </w:tcPr>
          <w:p w14:paraId="62C0E992"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226.2</w:t>
            </w:r>
          </w:p>
        </w:tc>
        <w:tc>
          <w:tcPr>
            <w:tcW w:w="1558" w:type="dxa"/>
            <w:tcBorders>
              <w:top w:val="nil"/>
              <w:left w:val="nil"/>
              <w:bottom w:val="single" w:sz="8" w:space="0" w:color="5B9BD5"/>
              <w:right w:val="single" w:sz="8" w:space="0" w:color="5B9BD5"/>
            </w:tcBorders>
            <w:shd w:val="clear" w:color="000000" w:fill="DEEAF6"/>
            <w:noWrap/>
            <w:vAlign w:val="center"/>
            <w:hideMark/>
          </w:tcPr>
          <w:p w14:paraId="1DCD7490" w14:textId="77777777" w:rsidR="00B7540A" w:rsidRPr="00586097" w:rsidRDefault="00B7540A" w:rsidP="00051357">
            <w:pPr>
              <w:spacing w:before="0" w:after="0" w:line="240" w:lineRule="auto"/>
              <w:ind w:firstLine="0"/>
              <w:jc w:val="right"/>
              <w:rPr>
                <w:rFonts w:cs="Arial"/>
                <w:color w:val="000000"/>
              </w:rPr>
            </w:pPr>
            <w:r w:rsidRPr="00586097">
              <w:rPr>
                <w:rFonts w:cs="Arial"/>
              </w:rPr>
              <w:t>197.2</w:t>
            </w:r>
          </w:p>
        </w:tc>
        <w:tc>
          <w:tcPr>
            <w:tcW w:w="1566" w:type="dxa"/>
            <w:tcBorders>
              <w:top w:val="nil"/>
              <w:left w:val="nil"/>
              <w:bottom w:val="single" w:sz="8" w:space="0" w:color="5B9BD5"/>
              <w:right w:val="single" w:sz="8" w:space="0" w:color="5B9BD5"/>
            </w:tcBorders>
            <w:shd w:val="clear" w:color="000000" w:fill="DEEAF6"/>
            <w:noWrap/>
            <w:vAlign w:val="center"/>
            <w:hideMark/>
          </w:tcPr>
          <w:p w14:paraId="6DFD68B7"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292.6</w:t>
            </w:r>
          </w:p>
        </w:tc>
        <w:tc>
          <w:tcPr>
            <w:tcW w:w="1500" w:type="dxa"/>
            <w:tcBorders>
              <w:top w:val="nil"/>
              <w:left w:val="nil"/>
              <w:bottom w:val="single" w:sz="8" w:space="0" w:color="5B9BD5"/>
              <w:right w:val="single" w:sz="8" w:space="0" w:color="5B9BD5"/>
            </w:tcBorders>
            <w:shd w:val="clear" w:color="000000" w:fill="DEEAF6"/>
            <w:noWrap/>
            <w:vAlign w:val="center"/>
            <w:hideMark/>
          </w:tcPr>
          <w:p w14:paraId="2DA71B5C"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308.1</w:t>
            </w:r>
          </w:p>
        </w:tc>
        <w:tc>
          <w:tcPr>
            <w:tcW w:w="1079" w:type="dxa"/>
            <w:tcBorders>
              <w:top w:val="nil"/>
              <w:left w:val="nil"/>
              <w:bottom w:val="single" w:sz="8" w:space="0" w:color="5B9BD5"/>
              <w:right w:val="single" w:sz="12" w:space="0" w:color="5B9BD5"/>
            </w:tcBorders>
            <w:shd w:val="clear" w:color="000000" w:fill="DEEAF6"/>
            <w:noWrap/>
            <w:vAlign w:val="center"/>
            <w:hideMark/>
          </w:tcPr>
          <w:p w14:paraId="7ED15B08"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353.9</w:t>
            </w:r>
          </w:p>
        </w:tc>
      </w:tr>
      <w:tr w:rsidR="00B7540A" w:rsidRPr="00586097" w14:paraId="3DF8E362" w14:textId="77777777" w:rsidTr="00B7540A">
        <w:trPr>
          <w:trHeight w:val="555"/>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0F5B8061" w14:textId="77777777" w:rsidR="00B7540A" w:rsidRPr="00586097" w:rsidRDefault="00B7540A" w:rsidP="00051357">
            <w:pPr>
              <w:spacing w:before="0" w:after="0" w:line="240" w:lineRule="auto"/>
              <w:ind w:firstLine="0"/>
              <w:jc w:val="left"/>
              <w:rPr>
                <w:rFonts w:cs="Arial"/>
                <w:b/>
                <w:color w:val="000000"/>
              </w:rPr>
            </w:pPr>
            <w:r w:rsidRPr="00586097">
              <w:rPr>
                <w:rFonts w:cs="Arial"/>
                <w:b/>
                <w:color w:val="000000"/>
              </w:rPr>
              <w:t>Պետական բյուջեի դեֆիցիտ (-) / պրոֆիցիտ (+)</w:t>
            </w:r>
          </w:p>
        </w:tc>
        <w:tc>
          <w:tcPr>
            <w:tcW w:w="1578" w:type="dxa"/>
            <w:tcBorders>
              <w:top w:val="nil"/>
              <w:left w:val="nil"/>
              <w:bottom w:val="single" w:sz="8" w:space="0" w:color="5B9BD5"/>
              <w:right w:val="single" w:sz="8" w:space="0" w:color="5B9BD5"/>
            </w:tcBorders>
            <w:shd w:val="clear" w:color="auto" w:fill="auto"/>
            <w:noWrap/>
            <w:vAlign w:val="center"/>
            <w:hideMark/>
          </w:tcPr>
          <w:p w14:paraId="4458B00D"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-334.0</w:t>
            </w:r>
          </w:p>
        </w:tc>
        <w:tc>
          <w:tcPr>
            <w:tcW w:w="1558" w:type="dxa"/>
            <w:tcBorders>
              <w:top w:val="nil"/>
              <w:left w:val="nil"/>
              <w:bottom w:val="single" w:sz="8" w:space="0" w:color="5B9BD5"/>
              <w:right w:val="single" w:sz="8" w:space="0" w:color="5B9BD5"/>
            </w:tcBorders>
            <w:shd w:val="clear" w:color="000000" w:fill="DEEAF6"/>
            <w:noWrap/>
            <w:vAlign w:val="center"/>
            <w:hideMark/>
          </w:tcPr>
          <w:p w14:paraId="1966C003"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-318.8</w:t>
            </w:r>
          </w:p>
        </w:tc>
        <w:tc>
          <w:tcPr>
            <w:tcW w:w="1566" w:type="dxa"/>
            <w:tcBorders>
              <w:top w:val="nil"/>
              <w:left w:val="nil"/>
              <w:bottom w:val="single" w:sz="8" w:space="0" w:color="5B9BD5"/>
              <w:right w:val="single" w:sz="8" w:space="0" w:color="5B9BD5"/>
            </w:tcBorders>
            <w:shd w:val="clear" w:color="000000" w:fill="DEEAF6"/>
            <w:noWrap/>
            <w:vAlign w:val="center"/>
            <w:hideMark/>
          </w:tcPr>
          <w:p w14:paraId="15E0EC0A"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-181.7</w:t>
            </w:r>
          </w:p>
        </w:tc>
        <w:tc>
          <w:tcPr>
            <w:tcW w:w="1500" w:type="dxa"/>
            <w:tcBorders>
              <w:top w:val="nil"/>
              <w:left w:val="nil"/>
              <w:bottom w:val="single" w:sz="8" w:space="0" w:color="5B9BD5"/>
              <w:right w:val="single" w:sz="8" w:space="0" w:color="5B9BD5"/>
            </w:tcBorders>
            <w:shd w:val="clear" w:color="000000" w:fill="DEEAF6"/>
            <w:noWrap/>
            <w:vAlign w:val="center"/>
            <w:hideMark/>
          </w:tcPr>
          <w:p w14:paraId="70CBF0E7"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-168.8</w:t>
            </w:r>
          </w:p>
        </w:tc>
        <w:tc>
          <w:tcPr>
            <w:tcW w:w="1079" w:type="dxa"/>
            <w:tcBorders>
              <w:top w:val="nil"/>
              <w:left w:val="nil"/>
              <w:bottom w:val="single" w:sz="8" w:space="0" w:color="5B9BD5"/>
              <w:right w:val="single" w:sz="12" w:space="0" w:color="5B9BD5"/>
            </w:tcBorders>
            <w:shd w:val="clear" w:color="000000" w:fill="DEEAF6"/>
            <w:noWrap/>
            <w:vAlign w:val="center"/>
            <w:hideMark/>
          </w:tcPr>
          <w:p w14:paraId="5AE5D3BD"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-163.7</w:t>
            </w:r>
          </w:p>
        </w:tc>
      </w:tr>
      <w:tr w:rsidR="00B7540A" w:rsidRPr="00586097" w14:paraId="33A9B05D" w14:textId="77777777" w:rsidTr="00B7540A">
        <w:trPr>
          <w:trHeight w:val="345"/>
        </w:trPr>
        <w:tc>
          <w:tcPr>
            <w:tcW w:w="4044" w:type="dxa"/>
            <w:gridSpan w:val="2"/>
            <w:tcBorders>
              <w:top w:val="single" w:sz="8" w:space="0" w:color="5B9BD5"/>
              <w:left w:val="single" w:sz="12" w:space="0" w:color="5B9BD5"/>
              <w:bottom w:val="single" w:sz="8" w:space="0" w:color="5B9BD5"/>
              <w:right w:val="single" w:sz="8" w:space="0" w:color="5B9BD5"/>
            </w:tcBorders>
            <w:shd w:val="clear" w:color="auto" w:fill="auto"/>
            <w:noWrap/>
            <w:vAlign w:val="center"/>
            <w:hideMark/>
          </w:tcPr>
          <w:p w14:paraId="10380BC2" w14:textId="77777777" w:rsidR="00B7540A" w:rsidRPr="00586097" w:rsidRDefault="00B7540A" w:rsidP="00051357">
            <w:pPr>
              <w:spacing w:before="0" w:after="0" w:line="240" w:lineRule="auto"/>
              <w:ind w:firstLine="0"/>
              <w:jc w:val="center"/>
              <w:rPr>
                <w:rFonts w:cs="Arial"/>
                <w:i/>
                <w:iCs/>
                <w:color w:val="000000"/>
              </w:rPr>
            </w:pPr>
            <w:r w:rsidRPr="00586097">
              <w:rPr>
                <w:rFonts w:cs="Arial"/>
                <w:i/>
                <w:iCs/>
                <w:color w:val="000000"/>
              </w:rPr>
              <w:t>կշիռը ՀՆԱ-ում, %</w:t>
            </w:r>
          </w:p>
        </w:tc>
        <w:tc>
          <w:tcPr>
            <w:tcW w:w="1558" w:type="dxa"/>
            <w:tcBorders>
              <w:top w:val="nil"/>
              <w:left w:val="nil"/>
              <w:bottom w:val="single" w:sz="8" w:space="0" w:color="5B9BD5"/>
              <w:right w:val="single" w:sz="8" w:space="0" w:color="5B9BD5"/>
            </w:tcBorders>
            <w:shd w:val="clear" w:color="000000" w:fill="DEEAF6"/>
            <w:noWrap/>
            <w:vAlign w:val="center"/>
            <w:hideMark/>
          </w:tcPr>
          <w:p w14:paraId="5127CD32" w14:textId="77777777" w:rsidR="00B7540A" w:rsidRPr="00586097" w:rsidRDefault="00B7540A" w:rsidP="00051357">
            <w:pPr>
              <w:spacing w:before="0" w:after="0" w:line="240" w:lineRule="auto"/>
              <w:ind w:firstLine="0"/>
              <w:jc w:val="right"/>
              <w:rPr>
                <w:rFonts w:cs="Calibri"/>
                <w:color w:val="000000"/>
              </w:rPr>
            </w:pPr>
            <w:r w:rsidRPr="00586097">
              <w:rPr>
                <w:rFonts w:ascii="Calibri" w:hAnsi="Calibri" w:cs="Calibri"/>
                <w:color w:val="000000"/>
              </w:rPr>
              <w:t> </w:t>
            </w:r>
          </w:p>
        </w:tc>
        <w:tc>
          <w:tcPr>
            <w:tcW w:w="1566" w:type="dxa"/>
            <w:tcBorders>
              <w:top w:val="nil"/>
              <w:left w:val="nil"/>
              <w:bottom w:val="single" w:sz="8" w:space="0" w:color="5B9BD5"/>
              <w:right w:val="single" w:sz="8" w:space="0" w:color="5B9BD5"/>
            </w:tcBorders>
            <w:shd w:val="clear" w:color="000000" w:fill="DEEAF6"/>
            <w:noWrap/>
            <w:vAlign w:val="center"/>
            <w:hideMark/>
          </w:tcPr>
          <w:p w14:paraId="7EF7C815" w14:textId="77777777" w:rsidR="00B7540A" w:rsidRPr="00586097" w:rsidRDefault="00B7540A" w:rsidP="00051357">
            <w:pPr>
              <w:spacing w:before="0" w:after="0" w:line="240" w:lineRule="auto"/>
              <w:ind w:firstLine="0"/>
              <w:jc w:val="right"/>
              <w:rPr>
                <w:rFonts w:cs="Calibri"/>
                <w:color w:val="000000"/>
              </w:rPr>
            </w:pPr>
            <w:r w:rsidRPr="00586097">
              <w:rPr>
                <w:rFonts w:ascii="Calibri" w:hAnsi="Calibri" w:cs="Calibri"/>
                <w:color w:val="000000"/>
              </w:rPr>
              <w:t> </w:t>
            </w:r>
          </w:p>
        </w:tc>
        <w:tc>
          <w:tcPr>
            <w:tcW w:w="1500" w:type="dxa"/>
            <w:tcBorders>
              <w:top w:val="nil"/>
              <w:left w:val="nil"/>
              <w:bottom w:val="single" w:sz="8" w:space="0" w:color="5B9BD5"/>
              <w:right w:val="single" w:sz="8" w:space="0" w:color="5B9BD5"/>
            </w:tcBorders>
            <w:shd w:val="clear" w:color="000000" w:fill="DEEAF6"/>
            <w:noWrap/>
            <w:vAlign w:val="center"/>
            <w:hideMark/>
          </w:tcPr>
          <w:p w14:paraId="02C3D46E" w14:textId="77777777" w:rsidR="00B7540A" w:rsidRPr="00586097" w:rsidRDefault="00B7540A" w:rsidP="00051357">
            <w:pPr>
              <w:spacing w:before="0" w:after="0" w:line="240" w:lineRule="auto"/>
              <w:ind w:firstLine="0"/>
              <w:jc w:val="right"/>
              <w:rPr>
                <w:rFonts w:cs="Calibri"/>
                <w:color w:val="000000"/>
              </w:rPr>
            </w:pPr>
            <w:r w:rsidRPr="00586097">
              <w:rPr>
                <w:rFonts w:ascii="Calibri" w:hAnsi="Calibri" w:cs="Calibri"/>
                <w:color w:val="000000"/>
              </w:rPr>
              <w:t> </w:t>
            </w:r>
          </w:p>
        </w:tc>
        <w:tc>
          <w:tcPr>
            <w:tcW w:w="1079" w:type="dxa"/>
            <w:tcBorders>
              <w:top w:val="nil"/>
              <w:left w:val="nil"/>
              <w:bottom w:val="single" w:sz="8" w:space="0" w:color="5B9BD5"/>
              <w:right w:val="single" w:sz="12" w:space="0" w:color="5B9BD5"/>
            </w:tcBorders>
            <w:shd w:val="clear" w:color="000000" w:fill="DEEAF6"/>
            <w:noWrap/>
            <w:vAlign w:val="center"/>
            <w:hideMark/>
          </w:tcPr>
          <w:p w14:paraId="2DB92ABF" w14:textId="77777777" w:rsidR="00B7540A" w:rsidRPr="00586097" w:rsidRDefault="00B7540A" w:rsidP="00051357">
            <w:pPr>
              <w:spacing w:before="0" w:after="0" w:line="240" w:lineRule="auto"/>
              <w:ind w:firstLine="0"/>
              <w:jc w:val="right"/>
              <w:rPr>
                <w:rFonts w:cs="Calibri"/>
                <w:color w:val="000000"/>
              </w:rPr>
            </w:pPr>
            <w:r w:rsidRPr="00586097">
              <w:rPr>
                <w:rFonts w:ascii="Calibri" w:hAnsi="Calibri" w:cs="Calibri"/>
                <w:color w:val="000000"/>
              </w:rPr>
              <w:t> </w:t>
            </w:r>
          </w:p>
        </w:tc>
      </w:tr>
      <w:tr w:rsidR="00B7540A" w:rsidRPr="00586097" w14:paraId="74A4ECBB" w14:textId="77777777" w:rsidTr="00B7540A">
        <w:trPr>
          <w:trHeight w:val="675"/>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0FDFBB80" w14:textId="77777777" w:rsidR="00B7540A" w:rsidRPr="00586097" w:rsidRDefault="00B7540A" w:rsidP="00051357">
            <w:pPr>
              <w:spacing w:before="0" w:after="0" w:line="240" w:lineRule="auto"/>
              <w:ind w:firstLine="0"/>
              <w:jc w:val="left"/>
              <w:rPr>
                <w:rFonts w:cs="Arial"/>
                <w:b/>
                <w:color w:val="000000"/>
              </w:rPr>
            </w:pPr>
            <w:r w:rsidRPr="00586097">
              <w:rPr>
                <w:rFonts w:cs="Arial"/>
                <w:b/>
                <w:color w:val="000000"/>
              </w:rPr>
              <w:t>Պետական բյուջեի եկամուտներ և պաշտոնական տրանսֆերտներ</w:t>
            </w:r>
          </w:p>
        </w:tc>
        <w:tc>
          <w:tcPr>
            <w:tcW w:w="1578" w:type="dxa"/>
            <w:tcBorders>
              <w:top w:val="nil"/>
              <w:left w:val="nil"/>
              <w:bottom w:val="single" w:sz="8" w:space="0" w:color="5B9BD5"/>
              <w:right w:val="single" w:sz="8" w:space="0" w:color="5B9BD5"/>
            </w:tcBorders>
            <w:shd w:val="clear" w:color="auto" w:fill="auto"/>
            <w:noWrap/>
            <w:vAlign w:val="center"/>
            <w:hideMark/>
          </w:tcPr>
          <w:p w14:paraId="1528DD91"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25.2</w:t>
            </w:r>
          </w:p>
        </w:tc>
        <w:tc>
          <w:tcPr>
            <w:tcW w:w="1558" w:type="dxa"/>
            <w:tcBorders>
              <w:top w:val="nil"/>
              <w:left w:val="nil"/>
              <w:bottom w:val="single" w:sz="8" w:space="0" w:color="5B9BD5"/>
              <w:right w:val="single" w:sz="8" w:space="0" w:color="5B9BD5"/>
            </w:tcBorders>
            <w:shd w:val="clear" w:color="000000" w:fill="DEEAF6"/>
            <w:noWrap/>
            <w:vAlign w:val="center"/>
            <w:hideMark/>
          </w:tcPr>
          <w:p w14:paraId="5BC8C2C4"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23.5</w:t>
            </w:r>
          </w:p>
        </w:tc>
        <w:tc>
          <w:tcPr>
            <w:tcW w:w="1566" w:type="dxa"/>
            <w:tcBorders>
              <w:top w:val="nil"/>
              <w:left w:val="nil"/>
              <w:bottom w:val="single" w:sz="8" w:space="0" w:color="5B9BD5"/>
              <w:right w:val="single" w:sz="8" w:space="0" w:color="5B9BD5"/>
            </w:tcBorders>
            <w:shd w:val="clear" w:color="000000" w:fill="DEEAF6"/>
            <w:noWrap/>
            <w:vAlign w:val="center"/>
            <w:hideMark/>
          </w:tcPr>
          <w:p w14:paraId="3FE4B0CB"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24.0</w:t>
            </w:r>
          </w:p>
        </w:tc>
        <w:tc>
          <w:tcPr>
            <w:tcW w:w="1500" w:type="dxa"/>
            <w:tcBorders>
              <w:top w:val="nil"/>
              <w:left w:val="nil"/>
              <w:bottom w:val="single" w:sz="8" w:space="0" w:color="5B9BD5"/>
              <w:right w:val="single" w:sz="8" w:space="0" w:color="5B9BD5"/>
            </w:tcBorders>
            <w:shd w:val="clear" w:color="000000" w:fill="DEEAF6"/>
            <w:noWrap/>
            <w:vAlign w:val="center"/>
            <w:hideMark/>
          </w:tcPr>
          <w:p w14:paraId="435F428C"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24.1</w:t>
            </w:r>
          </w:p>
        </w:tc>
        <w:tc>
          <w:tcPr>
            <w:tcW w:w="1079" w:type="dxa"/>
            <w:tcBorders>
              <w:top w:val="nil"/>
              <w:left w:val="nil"/>
              <w:bottom w:val="single" w:sz="8" w:space="0" w:color="5B9BD5"/>
              <w:right w:val="single" w:sz="12" w:space="0" w:color="5B9BD5"/>
            </w:tcBorders>
            <w:shd w:val="clear" w:color="000000" w:fill="DEEAF6"/>
            <w:noWrap/>
            <w:vAlign w:val="center"/>
            <w:hideMark/>
          </w:tcPr>
          <w:p w14:paraId="3888D6CB"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24.3</w:t>
            </w:r>
          </w:p>
        </w:tc>
      </w:tr>
      <w:tr w:rsidR="00B7540A" w:rsidRPr="00586097" w14:paraId="0D3B27A5" w14:textId="77777777" w:rsidTr="00B7540A">
        <w:trPr>
          <w:trHeight w:val="300"/>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761AAA9B" w14:textId="77777777" w:rsidR="00B7540A" w:rsidRPr="00586097" w:rsidRDefault="00B7540A" w:rsidP="00051357">
            <w:pPr>
              <w:spacing w:before="0" w:after="0" w:line="240" w:lineRule="auto"/>
              <w:ind w:firstLine="0"/>
              <w:jc w:val="left"/>
              <w:rPr>
                <w:rFonts w:cs="Arial"/>
                <w:color w:val="000000"/>
              </w:rPr>
            </w:pPr>
            <w:r w:rsidRPr="00586097">
              <w:rPr>
                <w:rFonts w:cs="Arial"/>
                <w:color w:val="000000"/>
              </w:rPr>
              <w:t>Հարկային եկամուտներ և տուրքեր</w:t>
            </w:r>
          </w:p>
        </w:tc>
        <w:tc>
          <w:tcPr>
            <w:tcW w:w="1578" w:type="dxa"/>
            <w:tcBorders>
              <w:top w:val="nil"/>
              <w:left w:val="nil"/>
              <w:bottom w:val="single" w:sz="8" w:space="0" w:color="5B9BD5"/>
              <w:right w:val="single" w:sz="8" w:space="0" w:color="5B9BD5"/>
            </w:tcBorders>
            <w:shd w:val="clear" w:color="auto" w:fill="auto"/>
            <w:noWrap/>
            <w:vAlign w:val="center"/>
            <w:hideMark/>
          </w:tcPr>
          <w:p w14:paraId="780FF311"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22.4</w:t>
            </w:r>
          </w:p>
        </w:tc>
        <w:tc>
          <w:tcPr>
            <w:tcW w:w="1558" w:type="dxa"/>
            <w:tcBorders>
              <w:top w:val="nil"/>
              <w:left w:val="nil"/>
              <w:bottom w:val="single" w:sz="8" w:space="0" w:color="5B9BD5"/>
              <w:right w:val="single" w:sz="8" w:space="0" w:color="5B9BD5"/>
            </w:tcBorders>
            <w:shd w:val="clear" w:color="000000" w:fill="DEEAF6"/>
            <w:noWrap/>
            <w:vAlign w:val="center"/>
            <w:hideMark/>
          </w:tcPr>
          <w:p w14:paraId="16ECCFA2" w14:textId="77777777" w:rsidR="00B7540A" w:rsidRPr="00586097" w:rsidRDefault="00B7540A" w:rsidP="00051357">
            <w:pPr>
              <w:spacing w:before="0" w:after="0" w:line="240" w:lineRule="auto"/>
              <w:ind w:firstLine="0"/>
              <w:jc w:val="right"/>
              <w:rPr>
                <w:rFonts w:cs="Arial"/>
                <w:color w:val="000000"/>
              </w:rPr>
            </w:pPr>
            <w:r w:rsidRPr="00586097">
              <w:rPr>
                <w:rFonts w:cs="Arial"/>
              </w:rPr>
              <w:t>22.4</w:t>
            </w:r>
          </w:p>
        </w:tc>
        <w:tc>
          <w:tcPr>
            <w:tcW w:w="1566" w:type="dxa"/>
            <w:tcBorders>
              <w:top w:val="nil"/>
              <w:left w:val="nil"/>
              <w:bottom w:val="single" w:sz="8" w:space="0" w:color="5B9BD5"/>
              <w:right w:val="single" w:sz="8" w:space="0" w:color="5B9BD5"/>
            </w:tcBorders>
            <w:shd w:val="clear" w:color="000000" w:fill="DEEAF6"/>
            <w:noWrap/>
            <w:vAlign w:val="center"/>
            <w:hideMark/>
          </w:tcPr>
          <w:p w14:paraId="15E64874" w14:textId="77777777" w:rsidR="00B7540A" w:rsidRPr="00586097" w:rsidRDefault="00B7540A" w:rsidP="00051357">
            <w:pPr>
              <w:spacing w:before="0" w:after="0" w:line="240" w:lineRule="auto"/>
              <w:ind w:firstLine="0"/>
              <w:jc w:val="right"/>
              <w:rPr>
                <w:rFonts w:cs="Arial"/>
                <w:color w:val="000000"/>
              </w:rPr>
            </w:pPr>
            <w:r w:rsidRPr="00586097">
              <w:rPr>
                <w:rFonts w:cs="Arial"/>
              </w:rPr>
              <w:t>22.9</w:t>
            </w:r>
          </w:p>
        </w:tc>
        <w:tc>
          <w:tcPr>
            <w:tcW w:w="1500" w:type="dxa"/>
            <w:tcBorders>
              <w:top w:val="nil"/>
              <w:left w:val="nil"/>
              <w:bottom w:val="single" w:sz="8" w:space="0" w:color="5B9BD5"/>
              <w:right w:val="single" w:sz="8" w:space="0" w:color="5B9BD5"/>
            </w:tcBorders>
            <w:shd w:val="clear" w:color="000000" w:fill="DEEAF6"/>
            <w:noWrap/>
            <w:vAlign w:val="center"/>
            <w:hideMark/>
          </w:tcPr>
          <w:p w14:paraId="3E76525F" w14:textId="77777777" w:rsidR="00B7540A" w:rsidRPr="00586097" w:rsidRDefault="00B7540A" w:rsidP="00051357">
            <w:pPr>
              <w:spacing w:before="0" w:after="0" w:line="240" w:lineRule="auto"/>
              <w:ind w:firstLine="0"/>
              <w:jc w:val="right"/>
              <w:rPr>
                <w:rFonts w:cs="Arial"/>
                <w:color w:val="000000"/>
              </w:rPr>
            </w:pPr>
            <w:r w:rsidRPr="00586097">
              <w:rPr>
                <w:rFonts w:cs="Arial"/>
              </w:rPr>
              <w:t>23.1</w:t>
            </w:r>
          </w:p>
        </w:tc>
        <w:tc>
          <w:tcPr>
            <w:tcW w:w="1079" w:type="dxa"/>
            <w:tcBorders>
              <w:top w:val="nil"/>
              <w:left w:val="nil"/>
              <w:bottom w:val="single" w:sz="8" w:space="0" w:color="5B9BD5"/>
              <w:right w:val="single" w:sz="12" w:space="0" w:color="5B9BD5"/>
            </w:tcBorders>
            <w:shd w:val="clear" w:color="000000" w:fill="DEEAF6"/>
            <w:noWrap/>
            <w:vAlign w:val="center"/>
            <w:hideMark/>
          </w:tcPr>
          <w:p w14:paraId="5C42E43F" w14:textId="77777777" w:rsidR="00B7540A" w:rsidRPr="00586097" w:rsidRDefault="00B7540A" w:rsidP="00051357">
            <w:pPr>
              <w:spacing w:before="0" w:after="0" w:line="240" w:lineRule="auto"/>
              <w:ind w:firstLine="0"/>
              <w:jc w:val="right"/>
              <w:rPr>
                <w:rFonts w:cs="Arial"/>
                <w:color w:val="000000"/>
              </w:rPr>
            </w:pPr>
            <w:r w:rsidRPr="00586097">
              <w:rPr>
                <w:rFonts w:cs="Arial"/>
              </w:rPr>
              <w:t>23.6</w:t>
            </w:r>
          </w:p>
        </w:tc>
      </w:tr>
      <w:tr w:rsidR="00B7540A" w:rsidRPr="00586097" w14:paraId="39915A62" w14:textId="77777777" w:rsidTr="00B7540A">
        <w:trPr>
          <w:trHeight w:val="300"/>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316CA7DB" w14:textId="77777777" w:rsidR="00B7540A" w:rsidRPr="00586097" w:rsidRDefault="00B7540A" w:rsidP="00051357">
            <w:pPr>
              <w:spacing w:before="0" w:after="0" w:line="240" w:lineRule="auto"/>
              <w:ind w:firstLine="0"/>
              <w:jc w:val="left"/>
              <w:rPr>
                <w:rFonts w:cs="Arial"/>
                <w:b/>
                <w:color w:val="000000"/>
              </w:rPr>
            </w:pPr>
            <w:r w:rsidRPr="00586097">
              <w:rPr>
                <w:rFonts w:cs="Arial"/>
                <w:b/>
                <w:color w:val="000000"/>
              </w:rPr>
              <w:t>Պետական բյուջեի ծախսեր</w:t>
            </w:r>
          </w:p>
        </w:tc>
        <w:tc>
          <w:tcPr>
            <w:tcW w:w="1578" w:type="dxa"/>
            <w:tcBorders>
              <w:top w:val="nil"/>
              <w:left w:val="nil"/>
              <w:bottom w:val="single" w:sz="8" w:space="0" w:color="5B9BD5"/>
              <w:right w:val="single" w:sz="8" w:space="0" w:color="5B9BD5"/>
            </w:tcBorders>
            <w:shd w:val="clear" w:color="auto" w:fill="auto"/>
            <w:noWrap/>
            <w:vAlign w:val="center"/>
            <w:hideMark/>
          </w:tcPr>
          <w:p w14:paraId="307037E7"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30.6</w:t>
            </w:r>
          </w:p>
        </w:tc>
        <w:tc>
          <w:tcPr>
            <w:tcW w:w="1558" w:type="dxa"/>
            <w:tcBorders>
              <w:top w:val="nil"/>
              <w:left w:val="nil"/>
              <w:bottom w:val="single" w:sz="8" w:space="0" w:color="5B9BD5"/>
              <w:right w:val="single" w:sz="8" w:space="0" w:color="5B9BD5"/>
            </w:tcBorders>
            <w:shd w:val="clear" w:color="000000" w:fill="DEEAF6"/>
            <w:noWrap/>
            <w:vAlign w:val="center"/>
            <w:hideMark/>
          </w:tcPr>
          <w:p w14:paraId="5C1D6D5C"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28.1</w:t>
            </w:r>
          </w:p>
        </w:tc>
        <w:tc>
          <w:tcPr>
            <w:tcW w:w="1566" w:type="dxa"/>
            <w:tcBorders>
              <w:top w:val="nil"/>
              <w:left w:val="nil"/>
              <w:bottom w:val="single" w:sz="8" w:space="0" w:color="5B9BD5"/>
              <w:right w:val="single" w:sz="8" w:space="0" w:color="5B9BD5"/>
            </w:tcBorders>
            <w:shd w:val="clear" w:color="000000" w:fill="DEEAF6"/>
            <w:noWrap/>
            <w:vAlign w:val="center"/>
            <w:hideMark/>
          </w:tcPr>
          <w:p w14:paraId="6FF95775"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26.4</w:t>
            </w:r>
          </w:p>
        </w:tc>
        <w:tc>
          <w:tcPr>
            <w:tcW w:w="1500" w:type="dxa"/>
            <w:tcBorders>
              <w:top w:val="nil"/>
              <w:left w:val="nil"/>
              <w:bottom w:val="single" w:sz="8" w:space="0" w:color="5B9BD5"/>
              <w:right w:val="single" w:sz="8" w:space="0" w:color="5B9BD5"/>
            </w:tcBorders>
            <w:shd w:val="clear" w:color="000000" w:fill="DEEAF6"/>
            <w:noWrap/>
            <w:vAlign w:val="center"/>
            <w:hideMark/>
          </w:tcPr>
          <w:p w14:paraId="4B9D1911"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26.1</w:t>
            </w:r>
          </w:p>
        </w:tc>
        <w:tc>
          <w:tcPr>
            <w:tcW w:w="1079" w:type="dxa"/>
            <w:tcBorders>
              <w:top w:val="nil"/>
              <w:left w:val="nil"/>
              <w:bottom w:val="single" w:sz="8" w:space="0" w:color="5B9BD5"/>
              <w:right w:val="single" w:sz="12" w:space="0" w:color="5B9BD5"/>
            </w:tcBorders>
            <w:shd w:val="clear" w:color="000000" w:fill="DEEAF6"/>
            <w:noWrap/>
            <w:vAlign w:val="center"/>
            <w:hideMark/>
          </w:tcPr>
          <w:p w14:paraId="64D77ADD"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26.2</w:t>
            </w:r>
          </w:p>
        </w:tc>
      </w:tr>
      <w:tr w:rsidR="00B7540A" w:rsidRPr="00586097" w14:paraId="3904B658" w14:textId="77777777" w:rsidTr="00B7540A">
        <w:trPr>
          <w:trHeight w:val="300"/>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1845433C" w14:textId="77777777" w:rsidR="00B7540A" w:rsidRPr="00586097" w:rsidRDefault="00B7540A" w:rsidP="00051357">
            <w:pPr>
              <w:spacing w:before="0" w:after="0" w:line="240" w:lineRule="auto"/>
              <w:ind w:firstLine="0"/>
              <w:jc w:val="left"/>
              <w:rPr>
                <w:rFonts w:cs="Arial"/>
                <w:color w:val="000000"/>
              </w:rPr>
            </w:pPr>
            <w:r w:rsidRPr="00586097">
              <w:rPr>
                <w:rFonts w:cs="Arial"/>
                <w:color w:val="000000"/>
              </w:rPr>
              <w:t>Ընթացիկ ծախսեր</w:t>
            </w:r>
          </w:p>
        </w:tc>
        <w:tc>
          <w:tcPr>
            <w:tcW w:w="1578" w:type="dxa"/>
            <w:tcBorders>
              <w:top w:val="nil"/>
              <w:left w:val="nil"/>
              <w:bottom w:val="single" w:sz="8" w:space="0" w:color="5B9BD5"/>
              <w:right w:val="single" w:sz="8" w:space="0" w:color="5B9BD5"/>
            </w:tcBorders>
            <w:shd w:val="clear" w:color="auto" w:fill="auto"/>
            <w:noWrap/>
            <w:vAlign w:val="center"/>
            <w:hideMark/>
          </w:tcPr>
          <w:p w14:paraId="34312246"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27.0</w:t>
            </w:r>
          </w:p>
        </w:tc>
        <w:tc>
          <w:tcPr>
            <w:tcW w:w="1558" w:type="dxa"/>
            <w:tcBorders>
              <w:top w:val="nil"/>
              <w:left w:val="nil"/>
              <w:bottom w:val="single" w:sz="8" w:space="0" w:color="5B9BD5"/>
              <w:right w:val="single" w:sz="8" w:space="0" w:color="5B9BD5"/>
            </w:tcBorders>
            <w:shd w:val="clear" w:color="000000" w:fill="DEEAF6"/>
            <w:noWrap/>
            <w:vAlign w:val="center"/>
            <w:hideMark/>
          </w:tcPr>
          <w:p w14:paraId="5BFCAA39"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25.3</w:t>
            </w:r>
          </w:p>
        </w:tc>
        <w:tc>
          <w:tcPr>
            <w:tcW w:w="1566" w:type="dxa"/>
            <w:tcBorders>
              <w:top w:val="nil"/>
              <w:left w:val="nil"/>
              <w:bottom w:val="single" w:sz="8" w:space="0" w:color="5B9BD5"/>
              <w:right w:val="single" w:sz="8" w:space="0" w:color="5B9BD5"/>
            </w:tcBorders>
            <w:shd w:val="clear" w:color="000000" w:fill="DEEAF6"/>
            <w:noWrap/>
            <w:vAlign w:val="center"/>
            <w:hideMark/>
          </w:tcPr>
          <w:p w14:paraId="071B41E6"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22.6</w:t>
            </w:r>
          </w:p>
        </w:tc>
        <w:tc>
          <w:tcPr>
            <w:tcW w:w="1500" w:type="dxa"/>
            <w:tcBorders>
              <w:top w:val="nil"/>
              <w:left w:val="nil"/>
              <w:bottom w:val="single" w:sz="8" w:space="0" w:color="5B9BD5"/>
              <w:right w:val="single" w:sz="8" w:space="0" w:color="5B9BD5"/>
            </w:tcBorders>
            <w:shd w:val="clear" w:color="000000" w:fill="DEEAF6"/>
            <w:noWrap/>
            <w:vAlign w:val="center"/>
            <w:hideMark/>
          </w:tcPr>
          <w:p w14:paraId="3BBBCB54"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22.4</w:t>
            </w:r>
          </w:p>
        </w:tc>
        <w:tc>
          <w:tcPr>
            <w:tcW w:w="1079" w:type="dxa"/>
            <w:tcBorders>
              <w:top w:val="nil"/>
              <w:left w:val="nil"/>
              <w:bottom w:val="single" w:sz="8" w:space="0" w:color="5B9BD5"/>
              <w:right w:val="single" w:sz="12" w:space="0" w:color="5B9BD5"/>
            </w:tcBorders>
            <w:shd w:val="clear" w:color="000000" w:fill="DEEAF6"/>
            <w:noWrap/>
            <w:vAlign w:val="center"/>
            <w:hideMark/>
          </w:tcPr>
          <w:p w14:paraId="2E7426E4"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22.2</w:t>
            </w:r>
          </w:p>
        </w:tc>
      </w:tr>
      <w:tr w:rsidR="00B7540A" w:rsidRPr="00586097" w14:paraId="69DA70A8" w14:textId="77777777" w:rsidTr="00B7540A">
        <w:trPr>
          <w:trHeight w:val="555"/>
        </w:trPr>
        <w:tc>
          <w:tcPr>
            <w:tcW w:w="2466" w:type="dxa"/>
            <w:tcBorders>
              <w:top w:val="nil"/>
              <w:left w:val="single" w:sz="12" w:space="0" w:color="5B9BD5"/>
              <w:bottom w:val="single" w:sz="8" w:space="0" w:color="5B9BD5"/>
              <w:right w:val="single" w:sz="8" w:space="0" w:color="5B9BD5"/>
            </w:tcBorders>
            <w:shd w:val="clear" w:color="auto" w:fill="auto"/>
            <w:vAlign w:val="center"/>
            <w:hideMark/>
          </w:tcPr>
          <w:p w14:paraId="04D42CAF" w14:textId="77777777" w:rsidR="00B7540A" w:rsidRPr="00586097" w:rsidRDefault="00B7540A" w:rsidP="00051357">
            <w:pPr>
              <w:spacing w:before="0" w:after="0" w:line="240" w:lineRule="auto"/>
              <w:ind w:firstLine="0"/>
              <w:jc w:val="left"/>
              <w:rPr>
                <w:rFonts w:cs="Arial"/>
                <w:color w:val="000000"/>
              </w:rPr>
            </w:pPr>
            <w:r w:rsidRPr="00586097">
              <w:rPr>
                <w:rFonts w:cs="Arial"/>
                <w:color w:val="000000"/>
              </w:rPr>
              <w:t>Ոչ ֆինանսական ակտիվների հետ գործառնություններ</w:t>
            </w:r>
          </w:p>
        </w:tc>
        <w:tc>
          <w:tcPr>
            <w:tcW w:w="1578" w:type="dxa"/>
            <w:tcBorders>
              <w:top w:val="nil"/>
              <w:left w:val="nil"/>
              <w:bottom w:val="single" w:sz="8" w:space="0" w:color="5B9BD5"/>
              <w:right w:val="single" w:sz="8" w:space="0" w:color="5B9BD5"/>
            </w:tcBorders>
            <w:shd w:val="clear" w:color="auto" w:fill="auto"/>
            <w:noWrap/>
            <w:vAlign w:val="center"/>
            <w:hideMark/>
          </w:tcPr>
          <w:p w14:paraId="5AC2D977"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3.7</w:t>
            </w:r>
          </w:p>
        </w:tc>
        <w:tc>
          <w:tcPr>
            <w:tcW w:w="1558" w:type="dxa"/>
            <w:tcBorders>
              <w:top w:val="nil"/>
              <w:left w:val="nil"/>
              <w:bottom w:val="single" w:sz="8" w:space="0" w:color="5B9BD5"/>
              <w:right w:val="single" w:sz="8" w:space="0" w:color="5B9BD5"/>
            </w:tcBorders>
            <w:shd w:val="clear" w:color="000000" w:fill="DEEAF6"/>
            <w:noWrap/>
            <w:vAlign w:val="center"/>
            <w:hideMark/>
          </w:tcPr>
          <w:p w14:paraId="001D844C"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2.9</w:t>
            </w:r>
          </w:p>
        </w:tc>
        <w:tc>
          <w:tcPr>
            <w:tcW w:w="1566" w:type="dxa"/>
            <w:tcBorders>
              <w:top w:val="nil"/>
              <w:left w:val="nil"/>
              <w:bottom w:val="single" w:sz="8" w:space="0" w:color="5B9BD5"/>
              <w:right w:val="single" w:sz="8" w:space="0" w:color="5B9BD5"/>
            </w:tcBorders>
            <w:shd w:val="clear" w:color="000000" w:fill="DEEAF6"/>
            <w:noWrap/>
            <w:vAlign w:val="center"/>
            <w:hideMark/>
          </w:tcPr>
          <w:p w14:paraId="076917D4"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3.9</w:t>
            </w:r>
          </w:p>
        </w:tc>
        <w:tc>
          <w:tcPr>
            <w:tcW w:w="1500" w:type="dxa"/>
            <w:tcBorders>
              <w:top w:val="nil"/>
              <w:left w:val="nil"/>
              <w:bottom w:val="single" w:sz="8" w:space="0" w:color="5B9BD5"/>
              <w:right w:val="single" w:sz="8" w:space="0" w:color="5B9BD5"/>
            </w:tcBorders>
            <w:shd w:val="clear" w:color="000000" w:fill="DEEAF6"/>
            <w:noWrap/>
            <w:vAlign w:val="center"/>
            <w:hideMark/>
          </w:tcPr>
          <w:p w14:paraId="65C3C6AE"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3.8</w:t>
            </w:r>
          </w:p>
        </w:tc>
        <w:tc>
          <w:tcPr>
            <w:tcW w:w="1079" w:type="dxa"/>
            <w:tcBorders>
              <w:top w:val="nil"/>
              <w:left w:val="nil"/>
              <w:bottom w:val="single" w:sz="8" w:space="0" w:color="5B9BD5"/>
              <w:right w:val="single" w:sz="12" w:space="0" w:color="5B9BD5"/>
            </w:tcBorders>
            <w:shd w:val="clear" w:color="000000" w:fill="DEEAF6"/>
            <w:noWrap/>
            <w:vAlign w:val="center"/>
            <w:hideMark/>
          </w:tcPr>
          <w:p w14:paraId="22A9DEF0" w14:textId="77777777" w:rsidR="00B7540A" w:rsidRPr="00586097" w:rsidRDefault="00B7540A" w:rsidP="00051357">
            <w:pPr>
              <w:spacing w:before="0" w:after="0" w:line="240" w:lineRule="auto"/>
              <w:ind w:firstLine="0"/>
              <w:jc w:val="right"/>
              <w:rPr>
                <w:rFonts w:cs="Arial"/>
                <w:color w:val="000000"/>
              </w:rPr>
            </w:pPr>
            <w:r w:rsidRPr="00586097">
              <w:rPr>
                <w:rFonts w:cs="Arial"/>
                <w:color w:val="000000"/>
              </w:rPr>
              <w:t>4.0</w:t>
            </w:r>
          </w:p>
        </w:tc>
      </w:tr>
      <w:tr w:rsidR="00B7540A" w:rsidRPr="00586097" w14:paraId="066F8374" w14:textId="77777777" w:rsidTr="00051357">
        <w:trPr>
          <w:trHeight w:val="295"/>
        </w:trPr>
        <w:tc>
          <w:tcPr>
            <w:tcW w:w="2466" w:type="dxa"/>
            <w:tcBorders>
              <w:top w:val="nil"/>
              <w:left w:val="single" w:sz="12" w:space="0" w:color="5B9BD5"/>
              <w:bottom w:val="single" w:sz="12" w:space="0" w:color="5B9BD5"/>
              <w:right w:val="single" w:sz="8" w:space="0" w:color="5B9BD5"/>
            </w:tcBorders>
            <w:shd w:val="clear" w:color="auto" w:fill="auto"/>
            <w:vAlign w:val="center"/>
            <w:hideMark/>
          </w:tcPr>
          <w:p w14:paraId="7C20C434" w14:textId="77777777" w:rsidR="00B7540A" w:rsidRPr="00586097" w:rsidRDefault="00B7540A" w:rsidP="00051357">
            <w:pPr>
              <w:spacing w:before="0" w:after="0" w:line="240" w:lineRule="auto"/>
              <w:ind w:firstLine="0"/>
              <w:jc w:val="left"/>
              <w:rPr>
                <w:rFonts w:cs="Arial"/>
                <w:b/>
                <w:color w:val="000000"/>
              </w:rPr>
            </w:pPr>
            <w:r w:rsidRPr="00586097">
              <w:rPr>
                <w:rFonts w:cs="Arial"/>
                <w:b/>
                <w:color w:val="000000"/>
              </w:rPr>
              <w:t>Պետական բյուջեի դեֆիցիտ (-) / պրոֆիցիտ (+)</w:t>
            </w:r>
          </w:p>
        </w:tc>
        <w:tc>
          <w:tcPr>
            <w:tcW w:w="1578" w:type="dxa"/>
            <w:tcBorders>
              <w:top w:val="nil"/>
              <w:left w:val="nil"/>
              <w:bottom w:val="single" w:sz="12" w:space="0" w:color="5B9BD5"/>
              <w:right w:val="single" w:sz="8" w:space="0" w:color="5B9BD5"/>
            </w:tcBorders>
            <w:shd w:val="clear" w:color="auto" w:fill="auto"/>
            <w:noWrap/>
            <w:vAlign w:val="center"/>
            <w:hideMark/>
          </w:tcPr>
          <w:p w14:paraId="101403AB"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-5.4</w:t>
            </w:r>
          </w:p>
        </w:tc>
        <w:tc>
          <w:tcPr>
            <w:tcW w:w="1558" w:type="dxa"/>
            <w:tcBorders>
              <w:top w:val="nil"/>
              <w:left w:val="nil"/>
              <w:bottom w:val="single" w:sz="12" w:space="0" w:color="5B9BD5"/>
              <w:right w:val="single" w:sz="8" w:space="0" w:color="5B9BD5"/>
            </w:tcBorders>
            <w:shd w:val="clear" w:color="000000" w:fill="DEEAF6"/>
            <w:noWrap/>
            <w:vAlign w:val="center"/>
            <w:hideMark/>
          </w:tcPr>
          <w:p w14:paraId="6ADD6580" w14:textId="77777777" w:rsidR="00B7540A" w:rsidRPr="00586097" w:rsidRDefault="00B7540A" w:rsidP="00051357">
            <w:pPr>
              <w:spacing w:before="0" w:after="0" w:line="240" w:lineRule="auto"/>
              <w:ind w:firstLine="0"/>
              <w:jc w:val="right"/>
              <w:rPr>
                <w:rFonts w:cs="Arial"/>
                <w:b/>
                <w:color w:val="000000"/>
              </w:rPr>
            </w:pPr>
            <w:r w:rsidRPr="00586097">
              <w:rPr>
                <w:rFonts w:cs="Arial"/>
                <w:b/>
                <w:bCs/>
              </w:rPr>
              <w:t>-4.6</w:t>
            </w:r>
          </w:p>
        </w:tc>
        <w:tc>
          <w:tcPr>
            <w:tcW w:w="1566" w:type="dxa"/>
            <w:tcBorders>
              <w:top w:val="nil"/>
              <w:left w:val="nil"/>
              <w:bottom w:val="single" w:sz="12" w:space="0" w:color="5B9BD5"/>
              <w:right w:val="single" w:sz="8" w:space="0" w:color="5B9BD5"/>
            </w:tcBorders>
            <w:shd w:val="clear" w:color="000000" w:fill="DEEAF6"/>
            <w:noWrap/>
            <w:vAlign w:val="center"/>
            <w:hideMark/>
          </w:tcPr>
          <w:p w14:paraId="4A8BCA0C"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-2.4</w:t>
            </w:r>
          </w:p>
        </w:tc>
        <w:tc>
          <w:tcPr>
            <w:tcW w:w="1500" w:type="dxa"/>
            <w:tcBorders>
              <w:top w:val="nil"/>
              <w:left w:val="nil"/>
              <w:bottom w:val="single" w:sz="12" w:space="0" w:color="5B9BD5"/>
              <w:right w:val="single" w:sz="8" w:space="0" w:color="5B9BD5"/>
            </w:tcBorders>
            <w:shd w:val="clear" w:color="000000" w:fill="DEEAF6"/>
            <w:noWrap/>
            <w:vAlign w:val="center"/>
            <w:hideMark/>
          </w:tcPr>
          <w:p w14:paraId="6FD31396"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-2.1</w:t>
            </w:r>
          </w:p>
        </w:tc>
        <w:tc>
          <w:tcPr>
            <w:tcW w:w="1079" w:type="dxa"/>
            <w:tcBorders>
              <w:top w:val="nil"/>
              <w:left w:val="nil"/>
              <w:bottom w:val="single" w:sz="12" w:space="0" w:color="5B9BD5"/>
              <w:right w:val="single" w:sz="12" w:space="0" w:color="5B9BD5"/>
            </w:tcBorders>
            <w:shd w:val="clear" w:color="000000" w:fill="DEEAF6"/>
            <w:noWrap/>
            <w:vAlign w:val="center"/>
            <w:hideMark/>
          </w:tcPr>
          <w:p w14:paraId="0FA34A8C" w14:textId="77777777" w:rsidR="00B7540A" w:rsidRPr="00586097" w:rsidRDefault="00B7540A" w:rsidP="00051357">
            <w:pPr>
              <w:spacing w:before="0" w:after="0" w:line="240" w:lineRule="auto"/>
              <w:ind w:firstLine="0"/>
              <w:jc w:val="right"/>
              <w:rPr>
                <w:rFonts w:cs="Arial"/>
                <w:b/>
                <w:color w:val="000000"/>
              </w:rPr>
            </w:pPr>
            <w:r w:rsidRPr="00586097">
              <w:rPr>
                <w:rFonts w:cs="Arial"/>
                <w:b/>
                <w:bCs/>
                <w:color w:val="000000"/>
              </w:rPr>
              <w:t>-1.9</w:t>
            </w:r>
          </w:p>
        </w:tc>
      </w:tr>
    </w:tbl>
    <w:bookmarkEnd w:id="482"/>
    <w:p w14:paraId="7F129B28" w14:textId="77777777" w:rsidR="00B7540A" w:rsidRPr="0027114B" w:rsidRDefault="00B7540A" w:rsidP="0027114B">
      <w:pPr>
        <w:pStyle w:val="afd"/>
      </w:pPr>
      <w:r w:rsidRPr="0027114B">
        <w:t>Աղբյուրը՝ ՀՀ ՖՆ կանխատեսումներ</w:t>
      </w:r>
    </w:p>
    <w:p w14:paraId="07D73935" w14:textId="77777777" w:rsidR="00B7540A" w:rsidRPr="006233DC" w:rsidRDefault="006233DC" w:rsidP="006233DC">
      <w:pPr>
        <w:pStyle w:val="Heading3"/>
        <w:rPr>
          <w:rFonts w:eastAsia="Times New Roman" w:cs="Times New Roman"/>
          <w:caps w:val="0"/>
          <w:color w:val="1F497D" w:themeColor="text2"/>
          <w:sz w:val="28"/>
          <w:szCs w:val="28"/>
        </w:rPr>
      </w:pPr>
      <w:bookmarkStart w:id="483" w:name="_Toc77451203"/>
      <w:bookmarkStart w:id="484" w:name="_Toc77837853"/>
      <w:r w:rsidRPr="006233DC">
        <w:rPr>
          <w:rFonts w:eastAsia="Times New Roman" w:cs="Times New Roman"/>
          <w:caps w:val="0"/>
          <w:color w:val="1F497D" w:themeColor="text2"/>
          <w:sz w:val="28"/>
          <w:szCs w:val="28"/>
        </w:rPr>
        <w:t xml:space="preserve">2.2. </w:t>
      </w:r>
      <w:r w:rsidR="00B7540A" w:rsidRPr="006233DC">
        <w:rPr>
          <w:rFonts w:eastAsia="Times New Roman" w:cs="Times New Roman"/>
          <w:caps w:val="0"/>
          <w:color w:val="1F497D" w:themeColor="text2"/>
          <w:sz w:val="28"/>
          <w:szCs w:val="28"/>
        </w:rPr>
        <w:t>ՄԻՋՆԱԺԱՄԿԵՏ ՀԱՐԿԱԲՅՈՒՋԵՏԱՅԻՆ ՔԱՂԱՔԱԿԱՆՈՒԹՅԱՆ ԱՌԱՋՆԱՀԵՐԹՈՒԹՅՈՒՆՆԵՐԸ ԵՎ ՆՊԱՏԱԿՆԵՐԸ</w:t>
      </w:r>
      <w:bookmarkEnd w:id="483"/>
      <w:bookmarkEnd w:id="484"/>
    </w:p>
    <w:p w14:paraId="66BA5A7A" w14:textId="77777777" w:rsidR="00B7540A" w:rsidRPr="00B7540A" w:rsidRDefault="00B7540A" w:rsidP="00B7540A">
      <w:pPr>
        <w:spacing w:line="276" w:lineRule="auto"/>
        <w:rPr>
          <w:lang w:val="hy-AM"/>
        </w:rPr>
      </w:pPr>
      <w:r w:rsidRPr="00B7540A">
        <w:rPr>
          <w:lang w:val="hy-AM"/>
        </w:rPr>
        <w:t>ՀՀ կառավարության հարկաբյուջետային քաղաքականության առաջնահերթությունները և նպատակները արտացոլված են ՀՀ կառավարության ծրագրում ու ըստ անհրաժեշտության առանձին կարգավորումներով սահմանված են նաև ՀՀ օրենսդրությամբ`</w:t>
      </w:r>
    </w:p>
    <w:p w14:paraId="162DEB51"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u w:val="single"/>
          <w:lang w:val="hy-AM"/>
        </w:rPr>
      </w:pPr>
      <w:r w:rsidRPr="00B7540A">
        <w:rPr>
          <w:b/>
          <w:bCs/>
          <w:u w:val="single"/>
          <w:lang w:val="hy-AM"/>
        </w:rPr>
        <w:t>Տնտեսական աճի մոդել։</w:t>
      </w:r>
      <w:r w:rsidRPr="00B7540A">
        <w:rPr>
          <w:u w:val="single"/>
          <w:lang w:val="hy-AM"/>
        </w:rPr>
        <w:t xml:space="preserve"> </w:t>
      </w:r>
      <w:r w:rsidRPr="00B7540A">
        <w:rPr>
          <w:lang w:val="hy-AM"/>
        </w:rPr>
        <w:t>ՀՀ կառավարության (այսուհետ</w:t>
      </w:r>
      <w:r w:rsidRPr="00586097">
        <w:rPr>
          <w:rFonts w:ascii="Courier New" w:hAnsi="Courier New" w:cs="Courier New"/>
        </w:rPr>
        <w:t>`</w:t>
      </w:r>
      <w:r w:rsidRPr="00B7540A">
        <w:rPr>
          <w:lang w:val="hy-AM"/>
        </w:rPr>
        <w:t xml:space="preserve"> Կառավարություն) գործունեությունը միտված է լինելու ՀՀ-ում բարձր տեխնոլոգիական, արդյունաբերական, ինչպես նաև բնապահպանական բարձր չափանիշներին համապատասխանող, արտահանմանը միտված մրցունակ և ներառական տնտեսություն կառուցելուն:</w:t>
      </w:r>
      <w:r w:rsidRPr="00B7540A">
        <w:rPr>
          <w:u w:val="single"/>
          <w:lang w:val="hy-AM"/>
        </w:rPr>
        <w:t xml:space="preserve"> </w:t>
      </w:r>
    </w:p>
    <w:p w14:paraId="7AA9329A"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rFonts w:cs="Arial"/>
          <w:lang w:val="hy-AM"/>
        </w:rPr>
      </w:pPr>
      <w:r w:rsidRPr="00B7540A">
        <w:rPr>
          <w:rFonts w:cs="Sylfaen"/>
          <w:b/>
          <w:bCs/>
          <w:u w:val="single"/>
          <w:lang w:val="hy-AM"/>
        </w:rPr>
        <w:t>Հարկային քաղաքականություն։</w:t>
      </w:r>
      <w:r w:rsidRPr="00B7540A">
        <w:rPr>
          <w:rFonts w:cs="Sylfaen"/>
          <w:lang w:val="hy-AM"/>
        </w:rPr>
        <w:t xml:space="preserve"> </w:t>
      </w:r>
      <w:r w:rsidRPr="00B7540A">
        <w:rPr>
          <w:lang w:val="hy-AM"/>
        </w:rPr>
        <w:t xml:space="preserve">Հարկային քաղաքականությունը ուղղվում է տնտեսության ներդրումային գրավչության բարձրացմանն ու տնտեսական ակտիվության մակարդակի բարելավմանը՝ դրանով իսկ ստեղծելով կայուն նախադրյալներ՝ արտահանման և երկարաժամկետ տնտեսական աճի, հանրային բարիքի վերաբաշխման և հարկաբյուջետային կայունության ամրապնդման համար: </w:t>
      </w:r>
      <w:r w:rsidRPr="00B7540A">
        <w:rPr>
          <w:rFonts w:cs="Arial"/>
          <w:lang w:val="hy-AM"/>
        </w:rPr>
        <w:t>Կառավարությունը հարկային վարչարարության արդյունավետության բարձրացման և ստվերային տնտեսության կրճատման ճանապարհով նախատեսում է միջնաժամկետ հորիզոնում ապահովել հարկեր/ՀՆԱ ցուցանիշի շարունակական աճ առավելագույն հնարավորի սահմաններում:</w:t>
      </w:r>
    </w:p>
    <w:p w14:paraId="48073648"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lang w:val="hy-AM"/>
        </w:rPr>
      </w:pPr>
      <w:r w:rsidRPr="00B7540A">
        <w:rPr>
          <w:b/>
          <w:bCs/>
          <w:u w:val="single"/>
          <w:lang w:val="hy-AM"/>
        </w:rPr>
        <w:t>Ծախսային քաղաքականություն։</w:t>
      </w:r>
      <w:r w:rsidRPr="00B7540A">
        <w:rPr>
          <w:lang w:val="hy-AM"/>
        </w:rPr>
        <w:t xml:space="preserve"> Ծախսային քաղաքականության արդյունավետության բարձրացման տեսանկյունից կարևորում է հանրային ֆինանսների նպատակային, խնայողաբար և ադյունավետ օգտագործումը: ՀՀ պետական բյուջեի ծախսերի կառուցվածքում աստիճանաբար հնարավորության սահմաններում կմեծանա մարդկային կապիտալին և ենթակառուցվածքներին ուղղվող ծախսերի տեսակարար կշիռը:</w:t>
      </w:r>
    </w:p>
    <w:p w14:paraId="57BA3734" w14:textId="77777777" w:rsidR="00B7540A" w:rsidRPr="00B7540A" w:rsidRDefault="00B7540A" w:rsidP="00C0628C">
      <w:pPr>
        <w:pStyle w:val="ListBullet"/>
        <w:numPr>
          <w:ilvl w:val="0"/>
          <w:numId w:val="49"/>
        </w:numPr>
        <w:tabs>
          <w:tab w:val="clear" w:pos="360"/>
        </w:tabs>
        <w:overflowPunct/>
        <w:autoSpaceDE/>
        <w:autoSpaceDN/>
        <w:adjustRightInd/>
        <w:spacing w:before="0" w:after="120" w:line="276" w:lineRule="auto"/>
        <w:contextualSpacing/>
        <w:textAlignment w:val="auto"/>
        <w:rPr>
          <w:lang w:val="hy-AM"/>
        </w:rPr>
      </w:pPr>
      <w:r w:rsidRPr="00B7540A">
        <w:rPr>
          <w:rFonts w:cs="Arial"/>
          <w:b/>
          <w:color w:val="000000"/>
          <w:u w:val="single"/>
          <w:lang w:val="hy-AM"/>
        </w:rPr>
        <w:t>Հարկաբյուջետային կանոններ</w:t>
      </w:r>
      <w:r w:rsidRPr="00B7540A">
        <w:rPr>
          <w:rFonts w:cs="Arial"/>
          <w:b/>
          <w:color w:val="000000"/>
          <w:lang w:val="hy-AM"/>
        </w:rPr>
        <w:t xml:space="preserve">։ </w:t>
      </w:r>
      <w:r w:rsidRPr="00B7540A">
        <w:rPr>
          <w:lang w:val="hy-AM"/>
        </w:rPr>
        <w:t>ՀՀ հարկաբյուջետային կանոնների համակարգին համահունչ</w:t>
      </w:r>
      <w:r w:rsidRPr="00586097">
        <w:rPr>
          <w:vertAlign w:val="superscript"/>
        </w:rPr>
        <w:footnoteReference w:id="20"/>
      </w:r>
      <w:r w:rsidRPr="00B7540A">
        <w:rPr>
          <w:lang w:val="hy-AM"/>
        </w:rPr>
        <w:t xml:space="preserve"> միջնաժամկետում հարկաբյուջետային քաղաքականության նպատակն է իրականացնել տնտեսական աճը նվազագույնը խաթարող հարկաբյուջետային կոնսոլիդացիա՝ միաժամանակ բարելավելով պետական բյուջեի կառուցվածքը: Դրա ապահովման համար հարկաբյուջետային քաղաքականության հիմքում լինելու են հետևյալ սկզբունքները</w:t>
      </w:r>
      <w:r w:rsidRPr="00B7540A">
        <w:rPr>
          <w:rFonts w:ascii="Cambria Math" w:hAnsi="Cambria Math" w:cs="Cambria Math"/>
          <w:lang w:val="hy-AM"/>
        </w:rPr>
        <w:t>․</w:t>
      </w:r>
    </w:p>
    <w:p w14:paraId="1DE4B7EF" w14:textId="77777777" w:rsidR="00B7540A" w:rsidRPr="00586097" w:rsidRDefault="00B7540A" w:rsidP="00C0628C">
      <w:pPr>
        <w:pStyle w:val="ListParagraph2"/>
        <w:numPr>
          <w:ilvl w:val="0"/>
          <w:numId w:val="52"/>
        </w:numPr>
        <w:spacing w:line="276" w:lineRule="auto"/>
        <w:ind w:left="1361" w:hanging="340"/>
        <w:rPr>
          <w:lang w:val="hy-AM"/>
        </w:rPr>
      </w:pPr>
      <w:r w:rsidRPr="00586097">
        <w:rPr>
          <w:b/>
          <w:u w:val="single"/>
          <w:lang w:val="hy-AM"/>
        </w:rPr>
        <w:t>Հարկաբյուջետային կայունության պահպանում սահուն հարկաբյուջետային կոնսոլիդացիայի միջոցով։</w:t>
      </w:r>
      <w:r w:rsidRPr="00586097">
        <w:rPr>
          <w:lang w:val="hy-AM"/>
        </w:rPr>
        <w:t xml:space="preserve"> COIVID-19 համավարակի հետևանքներով և Արցախյան պատերազմով պայմանավորված տնտեսական անկման, ինչպես նաև 2020թ.-ին կառավարության կողմից իրականցված հակաճգնաժամային քաղաքականության արդյունքում ՀՀ կառավարության պարտքի բեռը գերազանցել է ՀՆԱ-ում 60% սահմանային շեմը, որի պայմաններում կառավարությունը ծրագրավորել է հարկաբյուջետային կոնսոլիդացիա՝ արտահայտված 2022-2026 թվականների ՀՀ կառավարության պարտքի բեռի նվազեցման ծրագրով։ Վերջինս նախանշում է պարտքի բեռի նվազեցման մեկնարկը 2022թ</w:t>
      </w:r>
      <w:r w:rsidRPr="00586097">
        <w:rPr>
          <w:rFonts w:ascii="Cambria Math" w:hAnsi="Cambria Math" w:cs="Cambria Math"/>
          <w:lang w:val="hy-AM"/>
        </w:rPr>
        <w:t>․</w:t>
      </w:r>
      <w:r w:rsidRPr="00586097">
        <w:rPr>
          <w:lang w:val="hy-AM"/>
        </w:rPr>
        <w:t>-ից՝ մինչև «անվտանգ մակարդակներ» պարտքի բեռի նվազեցման ճանապարհով միջնաժամկետ հատվածում թույլ տալով ապահովել պետական պարտքի կայունությունը։ Ըստ այդմ, նպատակադրվել է միջնաժամկետում սահուն կերպով նվազեցնել կառավարության պարտքի բեռը՝ 2024 թվականին հասցնելով այն ՀՆԱ-ի 56.8%-ին, այնուհետև հետագա տարիներին ապահովել կառավարության պարտքի բեռի նվազող ուղղությունը՝ մինչև 2026 թվականը մոտեցնելով այն ՀՆԱ-ի շուրջ 54%-ին և ստեղծելով «հարկաբյուջետային տարածք» հնարավոր շոկերին արձագանքելու համար:</w:t>
      </w:r>
    </w:p>
    <w:p w14:paraId="6A7110D5" w14:textId="77777777" w:rsidR="00B7540A" w:rsidRPr="00586097" w:rsidRDefault="00B7540A" w:rsidP="00C0628C">
      <w:pPr>
        <w:pStyle w:val="ListParagraph2"/>
        <w:numPr>
          <w:ilvl w:val="0"/>
          <w:numId w:val="52"/>
        </w:numPr>
        <w:spacing w:line="276" w:lineRule="auto"/>
        <w:ind w:left="1361" w:hanging="340"/>
        <w:rPr>
          <w:u w:val="single"/>
          <w:lang w:val="hy-AM"/>
        </w:rPr>
      </w:pPr>
      <w:r w:rsidRPr="00586097">
        <w:rPr>
          <w:b/>
          <w:u w:val="single"/>
          <w:lang w:val="hy-AM"/>
        </w:rPr>
        <w:t>Ծախսերի կառուցվածքի բարելավում և տնտեսության պոտենցիալի բարձրացում</w:t>
      </w:r>
      <w:r w:rsidRPr="00586097">
        <w:rPr>
          <w:u w:val="single"/>
          <w:lang w:val="hy-AM"/>
        </w:rPr>
        <w:t>:</w:t>
      </w:r>
      <w:r w:rsidRPr="00586097">
        <w:rPr>
          <w:lang w:val="hy-AM"/>
        </w:rPr>
        <w:t xml:space="preserve"> Միջնաժամկեոտւմ՝ 2022թ</w:t>
      </w:r>
      <w:r w:rsidRPr="00586097">
        <w:rPr>
          <w:rFonts w:ascii="Cambria Math" w:hAnsi="Cambria Math" w:cs="Cambria Math"/>
          <w:lang w:val="hy-AM"/>
        </w:rPr>
        <w:t>․</w:t>
      </w:r>
      <w:r w:rsidRPr="00586097">
        <w:rPr>
          <w:lang w:val="hy-AM"/>
        </w:rPr>
        <w:t>-ից հարկաբյուջետային քաղաքականությունը կվերադառնա պետական ֆինանսների «ոսկե կանոնի» ամբողջական պահպանմանը, որի շրջանակում կապահովվի պետական կապիտալ ծախսերի դերի բարձրացումը: Դա  թույլ կտա խթանել երկարաժամկետ տնտեսական աճը և ՀՆԱ աճի հաշվին երկարաժամկետ հեռանկարում ապահովել պետական պարտքի կայունությունը։</w:t>
      </w:r>
    </w:p>
    <w:p w14:paraId="0E9FA063" w14:textId="77777777" w:rsidR="00B7540A" w:rsidRPr="00586097" w:rsidRDefault="00B7540A" w:rsidP="00C0628C">
      <w:pPr>
        <w:pStyle w:val="ListParagraph2"/>
        <w:numPr>
          <w:ilvl w:val="0"/>
          <w:numId w:val="52"/>
        </w:numPr>
        <w:spacing w:line="276" w:lineRule="auto"/>
        <w:ind w:left="1361" w:hanging="340"/>
        <w:rPr>
          <w:u w:val="single"/>
          <w:lang w:val="hy-AM"/>
        </w:rPr>
      </w:pPr>
      <w:r w:rsidRPr="00586097">
        <w:rPr>
          <w:b/>
          <w:u w:val="single"/>
          <w:lang w:val="hy-AM"/>
        </w:rPr>
        <w:t>Տնտեսության վերականգնումը չխաթարող հարկաբյուջետային քաղաքականության իրականացումը։</w:t>
      </w:r>
      <w:r w:rsidRPr="00586097">
        <w:rPr>
          <w:lang w:val="hy-AM"/>
        </w:rPr>
        <w:t xml:space="preserve"> 2021թ.-ին տնտեսական վերականգնմանը զուգահեռ հարկաբյուջետային քաղաքականության ազդակը կլինի զսպող` նպատակ ունենալով հակազդելու համավարակով և ռազմական գործողությունների հետևանքով առաջացած հարկաբյուջետային կայունության ռիսկերին, իսկ 2022թ</w:t>
      </w:r>
      <w:r w:rsidRPr="00586097">
        <w:rPr>
          <w:rFonts w:ascii="Cambria Math" w:hAnsi="Cambria Math" w:cs="Cambria Math"/>
          <w:lang w:val="hy-AM"/>
        </w:rPr>
        <w:t>․</w:t>
      </w:r>
      <w:r w:rsidRPr="00586097">
        <w:rPr>
          <w:lang w:val="hy-AM"/>
        </w:rPr>
        <w:t>-ից հարկաբյուջետային քաղաքականությունը աստիճանաբար կդառնա չեզոք՝ չխանգարելով տնտեսության վերականգնմանը և աճի արագացմանը։</w:t>
      </w:r>
    </w:p>
    <w:p w14:paraId="1CD8A3C0" w14:textId="77777777" w:rsidR="00B7540A" w:rsidRPr="00B7540A" w:rsidRDefault="00B7540A" w:rsidP="00B754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ind w:firstLine="709"/>
        <w:rPr>
          <w:rFonts w:cs="Arial"/>
          <w:color w:val="4472C4"/>
          <w:lang w:val="hy-AM"/>
        </w:rPr>
      </w:pPr>
    </w:p>
    <w:p w14:paraId="3E0EAF8D" w14:textId="77777777" w:rsidR="00B7540A" w:rsidRPr="006233DC" w:rsidRDefault="006233DC" w:rsidP="006233DC">
      <w:pPr>
        <w:pStyle w:val="Heading3"/>
        <w:rPr>
          <w:rFonts w:eastAsia="Times New Roman" w:cs="Times New Roman"/>
          <w:caps w:val="0"/>
          <w:color w:val="1F497D" w:themeColor="text2"/>
          <w:sz w:val="28"/>
          <w:szCs w:val="28"/>
        </w:rPr>
      </w:pPr>
      <w:bookmarkStart w:id="485" w:name="_Toc77451204"/>
      <w:bookmarkStart w:id="486" w:name="_Toc77837854"/>
      <w:r w:rsidRPr="006233DC">
        <w:rPr>
          <w:rFonts w:eastAsia="Times New Roman" w:cs="Times New Roman"/>
          <w:caps w:val="0"/>
          <w:color w:val="1F497D" w:themeColor="text2"/>
          <w:sz w:val="28"/>
          <w:szCs w:val="28"/>
        </w:rPr>
        <w:t xml:space="preserve">2.3. </w:t>
      </w:r>
      <w:r w:rsidR="00B7540A" w:rsidRPr="006233DC">
        <w:rPr>
          <w:rFonts w:eastAsia="Times New Roman" w:cs="Times New Roman"/>
          <w:caps w:val="0"/>
          <w:color w:val="1F497D" w:themeColor="text2"/>
          <w:sz w:val="28"/>
          <w:szCs w:val="28"/>
        </w:rPr>
        <w:t>ՀԱՐԿԱԲՅՈՒՋԵՏԱՅԻՆ ՔԱՂԱՔԱԿԱՆՈՒԹՅԱՆ ՄԻՏՈՒՄՆԵՐԸ ԵՎ ԿԱՆԽԱՏԵՍՈՒՄՆԵՐԸ</w:t>
      </w:r>
      <w:bookmarkEnd w:id="485"/>
      <w:bookmarkEnd w:id="486"/>
    </w:p>
    <w:p w14:paraId="547193E8" w14:textId="77777777" w:rsidR="00B7540A" w:rsidRPr="006233DC" w:rsidRDefault="00B7540A" w:rsidP="00B7540A">
      <w:pPr>
        <w:spacing w:after="120" w:line="276" w:lineRule="auto"/>
        <w:rPr>
          <w:rFonts w:cs="Arial"/>
          <w:color w:val="44546A"/>
          <w:u w:val="single"/>
          <w:lang w:val="hy-AM"/>
        </w:rPr>
      </w:pPr>
      <w:r w:rsidRPr="006233DC">
        <w:rPr>
          <w:rFonts w:cs="Arial"/>
          <w:color w:val="44546A"/>
          <w:u w:val="single"/>
          <w:lang w:val="hy-AM"/>
        </w:rPr>
        <w:t>Վերջին երեք տարիների զարգացումներ</w:t>
      </w:r>
    </w:p>
    <w:p w14:paraId="24440366" w14:textId="77777777" w:rsidR="00B7540A" w:rsidRPr="006233DC" w:rsidRDefault="00B7540A" w:rsidP="00B7540A">
      <w:pPr>
        <w:spacing w:line="276" w:lineRule="auto"/>
        <w:rPr>
          <w:lang w:val="hy-AM"/>
        </w:rPr>
      </w:pPr>
      <w:r w:rsidRPr="006233DC">
        <w:rPr>
          <w:b/>
          <w:bCs/>
          <w:lang w:val="hy-AM"/>
        </w:rPr>
        <w:t>2018-2019 թթ.-ին իրականացված հարկաբյուջետային քաղաքականությունը միտված է եղել ՀՀ կառավարության պարտքի կայունության ապահովմանը՝ զուգահեռաբար նպաստելով տնտեսական աճի արագացմանը և մակրոտնտեսական կայունության պահպանմանը: 2020 թվականի պետական բյուջեի ընթացիկ զարգացումների վրա զգալի ազդեցություն են ունեցել համավարակի արագ տարածման և Արցախյան պատերազմի հետևանքները, ինչպես նաև դրանց հակազդմանն ուղղված ՀՀ կառավարության հակաճգնաժամային գործողությունները՝ հանգեցնելով պետական բյուջեի պակասուրդի և կառավարության պարտքի բեռի կտրուկ աճին:</w:t>
      </w:r>
      <w:r w:rsidRPr="006233DC">
        <w:rPr>
          <w:lang w:val="hy-AM"/>
        </w:rPr>
        <w:t xml:space="preserve">  2018-2020 թվականներին ՀՀ պետական բյուջեի եկամուտները ՀՆԱ-ում միջինում կազմել են 23.8%: Ընդ որում՝ եկամուտների կշիռը 2018 թվականին նախորդ տարվա նկատմամբ բարելավել է 0.1, իսկ 2019 թվականին՝ 1.6 տոկոսային կետով և  կազմել է 23.9%: 2020 թվականին բյուջեի եկամուտները ՀՆԱ</w:t>
      </w:r>
      <w:r w:rsidRPr="006233DC">
        <w:rPr>
          <w:lang w:val="hy-AM"/>
        </w:rPr>
        <w:noBreakHyphen/>
        <w:t>ի նկատմամբ կազմել են 25.2%` 2019-ի նկատմամբ բարելավվելով 1.3 տոկոսային կետով: Վերջինս հիմնականում պայմանավորված է «Հայաստան» համահայկական հիմնադրամից պետական բյուջե մուտքագրված միջոցներով և համավարակի պայմաններում դոնորներից ստացված դրամաշնորհներով:</w:t>
      </w:r>
    </w:p>
    <w:p w14:paraId="60432AE8" w14:textId="77777777" w:rsidR="00B7540A" w:rsidRPr="00204F44" w:rsidRDefault="00B7540A" w:rsidP="00B7540A">
      <w:pPr>
        <w:spacing w:line="276" w:lineRule="auto"/>
        <w:rPr>
          <w:lang w:val="hy-AM"/>
        </w:rPr>
      </w:pPr>
      <w:r w:rsidRPr="00204F44">
        <w:rPr>
          <w:lang w:val="hy-AM"/>
        </w:rPr>
        <w:t xml:space="preserve">Հարկային եկամուտները և տուրքերը ՀՆԱ-ի նկատմամբ 2018թ.-ին նախորդ տարվա համեմատ բարելավել են 0.1, իսկ 2019թ.-ին՝ 1.5 տոկոսային կետով և կազմել են 22.4%: Հարկեր/ՀՆԱ ցուցանիշի բարելավումը հիմնականում պայմանավորված է եղել ՀՀ կառավարության ստվերի դեմ իրականացվող պայքարով, հարկային վարչարարության բարելավմամբ և ավտոմեքենաների ներմուծման ծավալների կտրուկ աճով։ </w:t>
      </w:r>
    </w:p>
    <w:p w14:paraId="0BD1F1BB" w14:textId="77777777" w:rsidR="00B7540A" w:rsidRPr="00204F44" w:rsidRDefault="00B7540A" w:rsidP="00B7540A">
      <w:pPr>
        <w:spacing w:line="276" w:lineRule="auto"/>
        <w:rPr>
          <w:lang w:val="hy-AM"/>
        </w:rPr>
      </w:pPr>
      <w:r w:rsidRPr="00204F44">
        <w:rPr>
          <w:lang w:val="hy-AM"/>
        </w:rPr>
        <w:t>2020թ. բացասական իրադարձությունների արդյունքում ՀՀ պետական բյուջեի ընդհանուր եկամուտները նախորդ տարվա նկամամբ նվազել են 0.3%-ով և կազմել 1560.7 մլրդ դրամ, իսկ հարկեր և տուրքերը նախորդ տարվա նկատմամբ նվազել են 5.4%-ով և կազմել 1385.2 մլրդ դրամ: Միևնույն ժամանակ, հարկեր և տուրքերի կշիռը ՀՆԱ-ի նկատմամբ մնացել է անփոփոխ՝ 22.4% մակարդակում: Ընդ որում, ՀՆԱ-ի նկատմամբ բարելավում է արձանագրվել ներքին տնտեսությունից գոյացած հարկերի հավաքագրման գծով, իսկ ներմուծումից ձևավորվող հարկային եկամուտները ՀՆԱ-ի նկատմամբ նվազել են։</w:t>
      </w:r>
    </w:p>
    <w:p w14:paraId="1033588C" w14:textId="77777777" w:rsidR="00B7540A" w:rsidRPr="00204F44" w:rsidRDefault="00B7540A" w:rsidP="00B7540A">
      <w:pPr>
        <w:spacing w:line="276" w:lineRule="auto"/>
        <w:rPr>
          <w:rFonts w:cs="GHEA Grapalat"/>
          <w:lang w:val="hy-AM"/>
        </w:rPr>
      </w:pPr>
      <w:r w:rsidRPr="00204F44">
        <w:rPr>
          <w:lang w:val="hy-AM"/>
        </w:rPr>
        <w:t>2018-2019 թվականներին ՀՀ պետական բյուջեի ծախսերը ՀՆԱ-ի մեջ միջինում կազմել են 24.5%: 2018 թվականին պետական բյուջեի ծախսերի կշիռը ՀՆԱ-ում նախորդ տարվա նկատմամբ նվազել է 3 տոկոսային կետով, իսկ 2019 թվականին նախորդ տարվա նկատմամբ աճել 0.9 տոկոսային կետով(պայմանավորված ընթացիկ ծախսերի 0.4 և ոչ ֆինանսական ակտիվների գծով ծախսերի 0.5 տոկոսային կետ աճերով): 2020 թվականին արձանագրվել է պետական բյուջեի ծախսերի կտրուկ աճ՝ պայմանավորված պետական բյուջեով նախատեսված, ինչպես նաև հակաճգնաժամային միջոցառումների և ռազմական գործողությունների հետևանքով ծագած լրացուցիչ ծախսերի կարիքով: Պետական բյուջեի ծախսերը կազմել են ՀՆԱ-ի 30.6%-ը՝ 2019 թվականի նկատմամբ աճելով 5.7 տոկոսային կետով, որում ընթացիկ ծախսերը ՀՆԱ-ի նկատմամբ կազմել են 27.0%՝ աճելով 5.0 տոկոսային կետով, իսկ ոչ ֆինանասական ակտիվների հետ գործառնությունները ՀՆԱ-ի նկատմամբ կազմել են 3.7%՝ բարելավվելով 0.7 տոկոսային կետով (որից</w:t>
      </w:r>
      <w:r w:rsidRPr="00204F44">
        <w:rPr>
          <w:rFonts w:eastAsia="GHEA Grapalat" w:cs="GHEA Grapalat"/>
          <w:lang w:val="hy-AM"/>
        </w:rPr>
        <w:t xml:space="preserve"> 0.9%-ը Արցախյան պատերազմով պայմանավորված ռազմական լրացուցիչ ծախսերն են)</w:t>
      </w:r>
      <w:r w:rsidRPr="00204F44">
        <w:rPr>
          <w:rFonts w:cs="GHEA Grapalat"/>
          <w:lang w:val="hy-AM"/>
        </w:rPr>
        <w:t>:</w:t>
      </w:r>
    </w:p>
    <w:p w14:paraId="1CD89C86" w14:textId="77777777" w:rsidR="00B7540A" w:rsidRPr="00204F44" w:rsidRDefault="00B7540A" w:rsidP="00B7540A">
      <w:pPr>
        <w:spacing w:line="276" w:lineRule="auto"/>
        <w:rPr>
          <w:rFonts w:eastAsia="GHEA Grapalat"/>
          <w:lang w:val="hy-AM"/>
        </w:rPr>
      </w:pPr>
      <w:r w:rsidRPr="00204F44">
        <w:rPr>
          <w:rFonts w:eastAsia="GHEA Grapalat"/>
          <w:lang w:val="hy-AM"/>
        </w:rPr>
        <w:t>2020 թվականի արդյունքներով պետական բյուջեի ծախսերը կազմել են 1894.6 մլրդ դրամ՝ նախորդ տարվա համեմատ աճելով 16.3%-ով: Ընդ որում, ընթացիկ ծախսերը կազմել են 1668.5 մլրդ դրամ` նախորդ տարվա համեմատ աճելով 16.1%-ով, որն իր մեջ ներառում է կորոնավիրուսի տարածմամբ պայմանավորված հակաճգնաժամային ծրագրերի սոցիալական (26.0 մլրդ դրամ) և տնտեսական միջոցառումների</w:t>
      </w:r>
      <w:r w:rsidRPr="00586097">
        <w:rPr>
          <w:rFonts w:eastAsia="GHEA Grapalat"/>
          <w:vertAlign w:val="superscript"/>
        </w:rPr>
        <w:footnoteReference w:id="21"/>
      </w:r>
      <w:r w:rsidRPr="00204F44">
        <w:rPr>
          <w:rFonts w:eastAsia="GHEA Grapalat"/>
          <w:lang w:val="hy-AM"/>
        </w:rPr>
        <w:t xml:space="preserve"> (13.0 մլրդ դրամ) իրականացումը, </w:t>
      </w:r>
      <w:r w:rsidRPr="00204F44">
        <w:rPr>
          <w:lang w:val="hy-AM"/>
        </w:rPr>
        <w:t>առողջապահական</w:t>
      </w:r>
      <w:r w:rsidRPr="00204F44">
        <w:rPr>
          <w:rFonts w:eastAsia="GHEA Grapalat"/>
          <w:lang w:val="hy-AM"/>
        </w:rPr>
        <w:t xml:space="preserve"> ծախսերի աճը (լրացուցիչ 36.4 մլրդ դրամ` ներառյալ Համաշխարհային բանկի աջակցությամբ իրականացվող ծրագրերը) և պատերազմական իրավիճակով պայմանավորված ծախսերը: 2020 թվականին ընդհանուր հակաճգնաժամային հարկաբյուջետային միջոցառումները կազմել են 164.8 մլրդ դրամ կամ ՀՆԱ-ի 2.7%-ը</w:t>
      </w:r>
      <w:r w:rsidRPr="00586097">
        <w:rPr>
          <w:rFonts w:eastAsia="GHEA Grapalat"/>
          <w:vertAlign w:val="superscript"/>
        </w:rPr>
        <w:footnoteReference w:id="22"/>
      </w:r>
      <w:r w:rsidRPr="00204F44">
        <w:rPr>
          <w:rFonts w:eastAsia="GHEA Grapalat"/>
          <w:lang w:val="hy-AM"/>
        </w:rPr>
        <w:t>: Ոչ ֆինանսական ակտիվների հետ գործառնությունները կազմել են 226.2 մլրդ դրամ, որում ոչ ֆինանսական ակտիվների գծով ծախսերը (կապիտալ ծախսեր), ներառյալ Արցախյան պատերազմ</w:t>
      </w:r>
      <w:r w:rsidRPr="00204F44">
        <w:rPr>
          <w:lang w:val="hy-AM"/>
        </w:rPr>
        <w:t>ով</w:t>
      </w:r>
      <w:r w:rsidRPr="00204F44">
        <w:rPr>
          <w:rFonts w:eastAsia="GHEA Grapalat"/>
          <w:lang w:val="hy-AM"/>
        </w:rPr>
        <w:t xml:space="preserve"> պայմանավորված ռազմական ծախսերը, կազմել են 227.7 մլրդ դրամ` նախորդ տարվա նկատմամբ աճելով 18.0%-ով: Կապիտալ ծախսերն առանց այդ ռազմական ծախսերի նախորդ տարվա նկատմամբ նվազել են շուրջ 10.3%-ով:</w:t>
      </w:r>
    </w:p>
    <w:p w14:paraId="3CF973DB" w14:textId="77777777" w:rsidR="00B7540A" w:rsidRPr="00204F44" w:rsidRDefault="00B7540A" w:rsidP="00B7540A">
      <w:pPr>
        <w:spacing w:line="276" w:lineRule="auto"/>
        <w:rPr>
          <w:lang w:val="hy-AM"/>
        </w:rPr>
      </w:pPr>
      <w:r w:rsidRPr="00204F44">
        <w:rPr>
          <w:b/>
          <w:bCs/>
          <w:lang w:val="hy-AM"/>
        </w:rPr>
        <w:t>2018-2019 թվականներին հարկաբյուջետային քաղաքականությունն ամբողջական պահանջարկի վրա ունեցել է զսպող ազդեցություն, իսկ 2020 թվականին, պայմանավորված COVID-19-ի և Արցախյան պատերազմի հետևանքներին հակազդելու անհրաժեշտությամբ, հարկաբյուջետային քաղաքականությունը եղել է զգալի ընդլայնող:</w:t>
      </w:r>
      <w:r w:rsidRPr="00204F44">
        <w:rPr>
          <w:lang w:val="hy-AM"/>
        </w:rPr>
        <w:t xml:space="preserve"> Ընդ որում 2018-2019 թվականներին ուշադրության կենտրոնում է պահվել ՀՀ կառավարության պարտքի կայունության ապահովումը և պարտքի բեռի նվազեցումը՝ զուգահեռաբար նպատակ դնելով նպաստել տնտեսական աճի արագացմանը և մակրոտնտեսական կայունության ապահովմանը: 2018-2019 թվականներին հարկաբյուջետային քաղաքականությունն իրականացվել է «ոսկյա կանոնի» և նոր հարկաբյուջետային կանոնների տրամաբանության պահպանմամբ, ինչի շնորհիվ կապիտալ ծախսերի չափը գերազանցել է պակասուրդի մեծությունը, իսկ հարկային եկամուտները գերազանցել են ընթացիկ ծախսերը: </w:t>
      </w:r>
    </w:p>
    <w:p w14:paraId="48DE74B8" w14:textId="77777777" w:rsidR="00B7540A" w:rsidRPr="00204F44" w:rsidRDefault="00B7540A" w:rsidP="00B7540A">
      <w:pPr>
        <w:spacing w:line="276" w:lineRule="auto"/>
        <w:rPr>
          <w:lang w:val="hy-AM"/>
        </w:rPr>
      </w:pPr>
      <w:r w:rsidRPr="00204F44">
        <w:rPr>
          <w:lang w:val="hy-AM"/>
        </w:rPr>
        <w:t xml:space="preserve">2018-2019 թվականներին </w:t>
      </w:r>
      <w:r w:rsidRPr="00204F44">
        <w:rPr>
          <w:rFonts w:cs="Sylfaen"/>
          <w:lang w:val="hy-AM"/>
        </w:rPr>
        <w:t xml:space="preserve">կառավարության պարտքի կայունության ապահովմանն ուղղված հարկաբյուջետային քաղաքականության </w:t>
      </w:r>
      <w:r w:rsidRPr="00204F44">
        <w:rPr>
          <w:lang w:val="hy-AM"/>
        </w:rPr>
        <w:t xml:space="preserve">իրականացման արդյունքում  պետական բյուջեի պակասուրդ/ՀՆԱ հարաբերակցությունը նվազել է՝ կազմելով համապատասխանաբար 1.8% և 1.0%: Արդյուքնում, 2018-2019 թվականներին հարկաբյուջետային քաղաքականության ազդեցությունն ամբողջական պահանջարկի վրա եղել է միջինում 1.1 տոկոս զսպող: </w:t>
      </w:r>
    </w:p>
    <w:p w14:paraId="1930A0B8" w14:textId="77777777" w:rsidR="00B7540A" w:rsidRPr="00204F44" w:rsidRDefault="00B7540A" w:rsidP="00B7540A">
      <w:pPr>
        <w:spacing w:line="276" w:lineRule="auto"/>
        <w:rPr>
          <w:rFonts w:cs="Sylfaen"/>
          <w:bCs/>
          <w:lang w:val="hy-AM"/>
        </w:rPr>
      </w:pPr>
      <w:r w:rsidRPr="00204F44">
        <w:rPr>
          <w:rFonts w:eastAsia="GHEA Grapalat"/>
          <w:b/>
          <w:bCs/>
          <w:lang w:val="hy-AM"/>
        </w:rPr>
        <w:t xml:space="preserve">2020 թվականին տնտեսական անկման հետևանքով հարկային եկամուտների նվազման, ինչպես նաև կառավարության հակաճգնաժամային միջոցառումների իրականացմամբ պայմանավորված ծախսերի աճի արդյունքում տեղի է ունեցել պետական բյուջեի պակասուրդի, ինչպես նաև կառավարության </w:t>
      </w:r>
      <w:r w:rsidRPr="00204F44">
        <w:rPr>
          <w:b/>
          <w:bCs/>
          <w:lang w:val="hy-AM"/>
        </w:rPr>
        <w:t>պարտքի</w:t>
      </w:r>
      <w:r w:rsidRPr="00204F44">
        <w:rPr>
          <w:rFonts w:eastAsia="GHEA Grapalat"/>
          <w:b/>
          <w:bCs/>
          <w:lang w:val="hy-AM"/>
        </w:rPr>
        <w:t xml:space="preserve"> կտրուկ աճ:</w:t>
      </w:r>
      <w:r w:rsidRPr="00204F44">
        <w:rPr>
          <w:rFonts w:eastAsia="GHEA Grapalat"/>
          <w:lang w:val="hy-AM"/>
        </w:rPr>
        <w:t xml:space="preserve"> 2020 թվականի ընթացքում ձևավորվել է պետական բյուջեի 334.0 մլրդ դրամ դեֆիցիտ՝ նախորդ տարվա 63.9 մլրդ դրամի համեմատ: ՀՆԱ-ի նկատմամբ, պետական բյուջեի պակասուրդը կազմել է 5.4%՝ նախորդ տարվա համեմատ աճելով 4.4 տոկոսային կետով: </w:t>
      </w:r>
      <w:r w:rsidRPr="00204F44">
        <w:rPr>
          <w:rFonts w:cs="Sylfaen"/>
          <w:bCs/>
          <w:lang w:val="hy-AM"/>
        </w:rPr>
        <w:t xml:space="preserve">Արդյուքնում հարկաբյուջետային քաղաքականության ազդեցությունը ամբողջական պահանջարկի վրա եղել է զգալի ընդլայնող՝ շուրջ 5.1 տոկոսի չափով </w:t>
      </w:r>
      <w:r w:rsidRPr="00204F44">
        <w:rPr>
          <w:lang w:val="hy-AM"/>
        </w:rPr>
        <w:t>(տես՝ Գծապատկեր 2.3)</w:t>
      </w:r>
      <w:r w:rsidRPr="00204F44">
        <w:rPr>
          <w:rFonts w:cs="Sylfaen"/>
          <w:bCs/>
          <w:lang w:val="hy-AM"/>
        </w:rPr>
        <w:t>:</w:t>
      </w:r>
    </w:p>
    <w:p w14:paraId="79927F91" w14:textId="77777777" w:rsidR="00B7540A" w:rsidRPr="00204F44" w:rsidRDefault="00B7540A" w:rsidP="00B7540A">
      <w:pPr>
        <w:spacing w:line="276" w:lineRule="auto"/>
        <w:rPr>
          <w:lang w:val="hy-AM"/>
        </w:rPr>
      </w:pPr>
      <w:r w:rsidRPr="00204F44">
        <w:rPr>
          <w:lang w:val="hy-AM"/>
        </w:rPr>
        <w:t>Համավարակի հետևանքով առաջացած իրավիճակը և Արցախյան պատերազմը, հարկաբյուջետային կանոնների տեսակետից՝ համարելով «բացառիկ դեպք» (ինչն արտացոլվել է «Հայաստանի Հանրապետության 2020 թվականի պետական բյուջեի մասին օրենքում փոփոխություններ և լրացումներ կատարելու մասին» ՀՀ օրենքների նախագծերին հավանություն տալու վերաբերյալ կառավարության՝ 2020թ. ապրիլի 23-ի (587-Ա) և սեպտեմբերի 29</w:t>
      </w:r>
      <w:r w:rsidRPr="00204F44">
        <w:rPr>
          <w:lang w:val="hy-AM"/>
        </w:rPr>
        <w:noBreakHyphen/>
        <w:t>ի (N 1600-Ա) որոշումներում), հարկաբյուջետային կանոնների համակարգին համահունչ («Հայաստանի Հանրապետության բյուջետային համակարգի մասին» ՀՀ օրենքի 21-րդ հոդվածի 8.3 կետին համապատասխան) 2020 թվականին հնարավոր է եղել կիրառել պարտքի և ծախսերի բնականոն իրավիճակի համար գործող տրամաբանությունից տարբերվող մոտեցում. բյուջեի պակասուրդը եղել է ավելի մեծ, քան կապիտալ ծախսերն են, իսկ ընթացիկ առաջնային ծախսերի աճը գերազանցել է նախորդ 7 տարիների անվանական ՀՆԱ</w:t>
      </w:r>
      <w:r w:rsidRPr="00204F44">
        <w:rPr>
          <w:lang w:val="hy-AM"/>
        </w:rPr>
        <w:noBreakHyphen/>
        <w:t xml:space="preserve">ի աճի միջին տեմպը: </w:t>
      </w:r>
    </w:p>
    <w:p w14:paraId="0434DDE2" w14:textId="77777777" w:rsidR="00B7540A" w:rsidRPr="00204F44" w:rsidRDefault="00B7540A" w:rsidP="00B7540A">
      <w:pPr>
        <w:spacing w:line="276" w:lineRule="auto"/>
        <w:rPr>
          <w:rFonts w:eastAsia="Calibri"/>
          <w:lang w:val="hy-AM"/>
        </w:rPr>
      </w:pPr>
      <w:r w:rsidRPr="00204F44">
        <w:rPr>
          <w:rFonts w:eastAsia="Calibri"/>
          <w:lang w:val="hy-AM"/>
        </w:rPr>
        <w:t>COVID-19 համավարակի և Արցախյան պատերազմի պայմաններում տեղի ունեցած տնտեսական ցնցման, վերջինիս խթանող հարկաբյուջետային քաղաքականությամբ հակազդելու և պետական բյուջեի ծախսերի լրացուցիչ պահանջի ֆինանսավորման պատճառով ՀՀ կառավարության պարտքի բեռը 2018-2019թթ</w:t>
      </w:r>
      <w:r w:rsidRPr="00204F44">
        <w:rPr>
          <w:rFonts w:ascii="Cambria Math" w:eastAsia="Calibri" w:hAnsi="Cambria Math" w:cs="Cambria Math"/>
          <w:lang w:val="hy-AM"/>
        </w:rPr>
        <w:t>․</w:t>
      </w:r>
      <w:r w:rsidRPr="00204F44">
        <w:rPr>
          <w:rFonts w:eastAsia="Calibri"/>
          <w:lang w:val="hy-AM"/>
        </w:rPr>
        <w:t xml:space="preserve"> արձանագրված հարկաբյուջետային կոնսոլիդացիայից հետո 2020 թվականին կտրուկ աճել է՝ գերազանցելով սահմանային շեմ հանդիսացնող 60% ցուցանիշը և կազմելով 63</w:t>
      </w:r>
      <w:r w:rsidRPr="00204F44">
        <w:rPr>
          <w:rFonts w:ascii="Cambria Math" w:eastAsia="Calibri" w:hAnsi="Cambria Math" w:cs="Cambria Math"/>
          <w:lang w:val="hy-AM"/>
        </w:rPr>
        <w:t>․</w:t>
      </w:r>
      <w:r w:rsidRPr="00204F44">
        <w:rPr>
          <w:rFonts w:eastAsia="Calibri"/>
          <w:lang w:val="hy-AM"/>
        </w:rPr>
        <w:t xml:space="preserve">5%: </w:t>
      </w:r>
      <w:r w:rsidRPr="00204F44">
        <w:rPr>
          <w:lang w:val="hy-AM"/>
        </w:rPr>
        <w:t xml:space="preserve"> </w:t>
      </w:r>
      <w:r w:rsidRPr="00204F44">
        <w:rPr>
          <w:rFonts w:eastAsia="Calibri"/>
          <w:lang w:val="hy-AM"/>
        </w:rPr>
        <w:t xml:space="preserve">Կառավարության պարտք/ՀՆԱ ցուցանիշն աճել է 13.4%-ային կետով, ինչին ամենաշատը նպաստել են տնտեսական անկումը և փոխարժեքի արժեզրկումը՝ յուրաքանչյուրը 3.9 տոկոսային կետով: Առաջնային հաշվեկշռի նպաստումը կազմել է 2.7%-ային կետ, իսկ իրական տոկոսադրույքի նպաստումը՝ 1.7%-ային կետ </w:t>
      </w:r>
      <w:r w:rsidRPr="00204F44">
        <w:rPr>
          <w:lang w:val="hy-AM"/>
        </w:rPr>
        <w:t>(տես՝ Գծապատկեր 2.5)</w:t>
      </w:r>
      <w:r w:rsidRPr="00204F44">
        <w:rPr>
          <w:rFonts w:eastAsia="Calibri"/>
          <w:lang w:val="hy-AM"/>
        </w:rPr>
        <w:t>։</w:t>
      </w:r>
    </w:p>
    <w:p w14:paraId="7B30D27B" w14:textId="77777777" w:rsidR="00B7540A" w:rsidRPr="00204F44" w:rsidRDefault="00B7540A" w:rsidP="00B7540A">
      <w:pPr>
        <w:spacing w:after="120" w:line="276" w:lineRule="auto"/>
        <w:rPr>
          <w:rFonts w:cs="Arial"/>
          <w:color w:val="44546A"/>
          <w:u w:val="single"/>
          <w:lang w:val="hy-AM"/>
        </w:rPr>
      </w:pPr>
    </w:p>
    <w:p w14:paraId="1B07BF68" w14:textId="77777777" w:rsidR="00B7540A" w:rsidRPr="00204F44" w:rsidRDefault="00B7540A" w:rsidP="00B7540A">
      <w:pPr>
        <w:spacing w:after="120" w:line="276" w:lineRule="auto"/>
        <w:rPr>
          <w:rFonts w:cs="Arial"/>
          <w:color w:val="44546A"/>
          <w:u w:val="single"/>
          <w:lang w:val="hy-AM"/>
        </w:rPr>
      </w:pPr>
      <w:r w:rsidRPr="00204F44">
        <w:rPr>
          <w:rFonts w:cs="Arial"/>
          <w:color w:val="44546A"/>
          <w:u w:val="single"/>
          <w:lang w:val="hy-AM"/>
        </w:rPr>
        <w:t>2021թ. ընթացիկ զարգացումներ</w:t>
      </w:r>
    </w:p>
    <w:p w14:paraId="1346C30A" w14:textId="77777777" w:rsidR="00B7540A" w:rsidRPr="00204F44" w:rsidRDefault="00B7540A" w:rsidP="00B7540A">
      <w:pPr>
        <w:spacing w:line="276" w:lineRule="auto"/>
        <w:rPr>
          <w:lang w:val="hy-AM"/>
        </w:rPr>
      </w:pPr>
      <w:r w:rsidRPr="00204F44">
        <w:rPr>
          <w:b/>
          <w:bCs/>
          <w:lang w:val="hy-AM"/>
        </w:rPr>
        <w:t>2021 թվականի առաջին հինգ ամիսներին տնտեսության որոշակի վերականգնման և թույլ պահանջարկի պայմաններում իրականացվել է հակապարբերաշրջանային հարկաբյուջետային քաղաքականություն՝ նպատակ ունենալով նպաստել տնտեսական վերականգնմանը և սահուն հարկաբյուջետային կոնսոլիդացիայի տրամաբանությամբ հիմքեր ստեղծել հաջորդ տարիներին պարտքի հետագիծը նվազեցնելու ուղղությամբ:</w:t>
      </w:r>
      <w:r w:rsidRPr="00204F44">
        <w:rPr>
          <w:lang w:val="hy-AM"/>
        </w:rPr>
        <w:t xml:space="preserve"> 2021 թվականի առաջին հինգ ամիսների արդյունքներով ՀՀ պետական բյուջեի ընդհանուր եկամուտները կազմել են 648.8 մլրդ դրամ՝ նախորդ տարվա նույն ժամանակահատվածի համեմատ աճելով 5.7%-ով, իսկ հարկեր և տուրքերը կազմել են 618.4 մլրդ դրամ՝ նախորդ տարվա նույն ժամանակահատվածի համեմատ աճելով 5.9%</w:t>
      </w:r>
      <w:r w:rsidRPr="00204F44">
        <w:rPr>
          <w:lang w:val="hy-AM"/>
        </w:rPr>
        <w:noBreakHyphen/>
        <w:t>ով:</w:t>
      </w:r>
    </w:p>
    <w:p w14:paraId="1CB50A56" w14:textId="77777777" w:rsidR="00B7540A" w:rsidRPr="00586097" w:rsidRDefault="00B7540A" w:rsidP="00B7540A">
      <w:pPr>
        <w:pStyle w:val="afc"/>
        <w:spacing w:line="276" w:lineRule="auto"/>
      </w:pPr>
      <w:r w:rsidRPr="00586097">
        <w:t>Գծապատկեր 2.1. Պետական բյուջեի հարկային եկամուտները 2020-2021 թվականներին ըստ ամիսների</w:t>
      </w:r>
    </w:p>
    <w:p w14:paraId="685A4574" w14:textId="77777777" w:rsidR="00B7540A" w:rsidRPr="00586097" w:rsidRDefault="00B7540A" w:rsidP="00B7540A">
      <w:pPr>
        <w:autoSpaceDE w:val="0"/>
        <w:autoSpaceDN w:val="0"/>
        <w:adjustRightInd w:val="0"/>
        <w:spacing w:after="0" w:line="276" w:lineRule="auto"/>
        <w:ind w:firstLine="0"/>
        <w:jc w:val="center"/>
        <w:rPr>
          <w:rFonts w:cs="Arial"/>
        </w:rPr>
      </w:pPr>
      <w:r w:rsidRPr="00586097">
        <w:rPr>
          <w:noProof/>
        </w:rPr>
        <w:drawing>
          <wp:inline distT="0" distB="0" distL="0" distR="0" wp14:anchorId="3E833F95" wp14:editId="25AF0CC0">
            <wp:extent cx="5793740" cy="2576830"/>
            <wp:effectExtent l="57150" t="0" r="54610" b="109220"/>
            <wp:docPr id="114" name="Chart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A276687" w14:textId="77777777" w:rsidR="00B7540A" w:rsidRPr="009121FA" w:rsidRDefault="00B7540A" w:rsidP="009121FA">
      <w:pPr>
        <w:pStyle w:val="afd"/>
      </w:pPr>
      <w:r w:rsidRPr="009121FA">
        <w:t>Աղբյուրը՝ ՀՀ ՖՆ</w:t>
      </w:r>
    </w:p>
    <w:p w14:paraId="04953EC2" w14:textId="77777777" w:rsidR="00B7540A" w:rsidRPr="00586097" w:rsidRDefault="00B7540A" w:rsidP="00B7540A">
      <w:pPr>
        <w:spacing w:line="276" w:lineRule="auto"/>
      </w:pPr>
      <w:r w:rsidRPr="00586097">
        <w:t>2021 թվականի հունվար-մայիս ամիսների արդյունքներով պետական բյուջեի ծախսերը կազմել են 723.6 մլրդ դրամ՝ նախորդ տարվա նույն ժամանակահատվածի համեմատ աճելով 13.2%</w:t>
      </w:r>
      <w:r w:rsidRPr="00586097">
        <w:noBreakHyphen/>
        <w:t xml:space="preserve">ով: Ընդ որում, ընթացիկ ծախսերը կազմել են 657.9 մլրդ դրամ` նախորդ տարվա նույն ժամանակահատվածի համեմատ աճելով 8.9%-ով, որն իր մեջ ներառում է COVID-19-ին և Արցախյան պատերազմի հետևանքների վերացմանն ուղղված ծախսեր: Ոչ ֆինանսական ակտիվների հետ գործառնությունները հունվար-մայիս ամիսներին կազմել են 65.7 մլրդ դրամ, որում ոչ ֆինանսական ակտիվների գծով ծախսերը՝ 66.3. մլրդ դրամ: Վերջինս նախորդ տարվա նույն ժամանակահատվածի համեմատ աճել է 82.9% և հիմնականում պայմանավորված է պաշտպանությանն ուղղված ծախսերի աճով: </w:t>
      </w:r>
    </w:p>
    <w:p w14:paraId="6C9559A9" w14:textId="77777777" w:rsidR="00B7540A" w:rsidRPr="00586097" w:rsidRDefault="00B7540A" w:rsidP="00B7540A">
      <w:pPr>
        <w:spacing w:line="276" w:lineRule="auto"/>
        <w:rPr>
          <w:rFonts w:cs="Arial"/>
        </w:rPr>
      </w:pPr>
      <w:r w:rsidRPr="00586097">
        <w:t xml:space="preserve">2021 թվականի առաջին հինգ ամիսների ընթացքում կառավարությունն կորոնովիրուսի հետևանքների մեղմման ուղղված հակաճգնաժամային հարկաբյուջետային միջոցառումների գծով իրականացրել է շուրջ 15.6 մլրդ դրամի չափով ծախսեր, որից տնտեսական աջակցության համար 5.1 մլրդ դրամ, իսկ առողջապահական ծրագրերով՝ 9.8 մլրդ դրամ, իսկ Արցախյան պատերազմի հետևանքներով պայմանավորված ծախսերը նույն ժամանակահատվածում կազմել են 33.3 մլրդ դրամ, որից սոցիալական աջակցությանն ուղղված մասը կազմել է 32.7 մլրդ դրամ:  </w:t>
      </w:r>
    </w:p>
    <w:p w14:paraId="389DA9A6" w14:textId="77777777" w:rsidR="00B7540A" w:rsidRPr="00586097" w:rsidRDefault="00B7540A" w:rsidP="00B7540A">
      <w:pPr>
        <w:autoSpaceDE w:val="0"/>
        <w:autoSpaceDN w:val="0"/>
        <w:adjustRightInd w:val="0"/>
        <w:spacing w:after="120" w:line="276" w:lineRule="auto"/>
        <w:ind w:firstLine="709"/>
        <w:rPr>
          <w:rFonts w:cs="GHEA Grapalat"/>
        </w:rPr>
      </w:pPr>
      <w:r w:rsidRPr="00586097">
        <w:rPr>
          <w:rFonts w:cs="GHEA Grapalat"/>
        </w:rPr>
        <w:t xml:space="preserve">2021 թվականի հունվար-մայիս ամիսներին ձևավորվել է պետական բյուջեի պակասուրդ 74.8 մլրդ դրամ՝ նախորդ տարվա նույն ժամանակահատվածում ձևավորված 25.6 մլրդ դրամի դիմաց: </w:t>
      </w:r>
    </w:p>
    <w:p w14:paraId="13820585" w14:textId="77777777" w:rsidR="00B7540A" w:rsidRPr="00586097" w:rsidRDefault="00B7540A" w:rsidP="00B7540A">
      <w:pPr>
        <w:spacing w:after="120" w:line="276" w:lineRule="auto"/>
        <w:ind w:firstLine="709"/>
        <w:rPr>
          <w:rFonts w:cs="Arial"/>
          <w:color w:val="44546A"/>
          <w:u w:val="single"/>
        </w:rPr>
      </w:pPr>
    </w:p>
    <w:p w14:paraId="7E1A8C57" w14:textId="77777777" w:rsidR="00B7540A" w:rsidRPr="00586097" w:rsidRDefault="00B7540A" w:rsidP="00B7540A">
      <w:pPr>
        <w:spacing w:after="120" w:line="276" w:lineRule="auto"/>
        <w:ind w:firstLine="709"/>
        <w:rPr>
          <w:rFonts w:cs="Arial"/>
          <w:color w:val="44546A"/>
          <w:u w:val="single"/>
        </w:rPr>
      </w:pPr>
      <w:r w:rsidRPr="00586097">
        <w:rPr>
          <w:rFonts w:cs="Arial"/>
          <w:color w:val="44546A"/>
          <w:u w:val="single"/>
        </w:rPr>
        <w:t xml:space="preserve">Կարճաժամկետ և միջնաժամկետ կանխատեսումներ </w:t>
      </w:r>
    </w:p>
    <w:p w14:paraId="5B86DB51" w14:textId="77777777" w:rsidR="00B7540A" w:rsidRPr="00586097" w:rsidRDefault="00B7540A" w:rsidP="00B7540A">
      <w:pPr>
        <w:spacing w:line="276" w:lineRule="auto"/>
        <w:rPr>
          <w:rFonts w:eastAsia="Calibri"/>
        </w:rPr>
      </w:pPr>
      <w:r w:rsidRPr="00586097">
        <w:rPr>
          <w:rFonts w:eastAsia="Calibri"/>
          <w:b/>
          <w:bCs/>
        </w:rPr>
        <w:t>Հարկաբյուջետային և պարտքային կայուն միջավայր ձևավորելու անհրաժեշտությունից ելնելով՝ 2021 թվականին ծրագրավորվել է մեկնարկել հարկաբյուջետային կոնսոլիդացիա:</w:t>
      </w:r>
      <w:r w:rsidRPr="00586097">
        <w:rPr>
          <w:rFonts w:eastAsia="Calibri"/>
        </w:rPr>
        <w:t xml:space="preserve"> 2021թ.</w:t>
      </w:r>
      <w:r w:rsidRPr="00586097">
        <w:rPr>
          <w:rFonts w:eastAsia="Calibri"/>
        </w:rPr>
        <w:noBreakHyphen/>
        <w:t>ին, հաշվի առնելով տնտեսական ճգնաժամի հետևանքով տնտեսության վերականգնման  ավելի դանդաղ կանխատեսումները, նախատեսվում է ևս մեկ տարի օգտագործել հարկաբյուջետային կանոնների համակարգով նախատեսված բացառիկ դեպքի կարգավորումներից</w:t>
      </w:r>
      <w:r w:rsidRPr="00586097">
        <w:rPr>
          <w:rFonts w:eastAsia="Calibri"/>
          <w:vertAlign w:val="superscript"/>
        </w:rPr>
        <w:footnoteReference w:id="23"/>
      </w:r>
      <w:r w:rsidRPr="00586097">
        <w:rPr>
          <w:rFonts w:eastAsia="Calibri"/>
        </w:rPr>
        <w:t xml:space="preserve"> և պետական ֆինանսների «ոսկե կանոնների» տրամաբանությանը վերադառնալ միջնաժամկետ հատվածում՝ վերականգնման արդյունավետ ընթացքն ապահովելու նպատակով: Այդ համատեքստում, պետական բյուջեի կապիտալ ծախսերը ևս մեկ տարի կլինեն ավելի փոքր, քան բյուջեի պակասուրդը: 2021թ.-ին տնտեսության վերականգնումը չխաթարելու և մակրոտնտեսական կայունությանը նպաստելու նպատակով, նախատեսվում է իրականացնել հարկաբյուջետային սահուն կոնսոլիդացիա, ինչի արդյունքում կապահովվի կառավարության պարտքի բեռի նվազում:</w:t>
      </w:r>
    </w:p>
    <w:p w14:paraId="5F989A0D" w14:textId="77777777" w:rsidR="00B7540A" w:rsidRPr="00586097" w:rsidRDefault="00B7540A" w:rsidP="00B7540A">
      <w:pPr>
        <w:spacing w:line="276" w:lineRule="auto"/>
        <w:rPr>
          <w:rFonts w:eastAsia="Calibri"/>
        </w:rPr>
      </w:pPr>
      <w:r w:rsidRPr="00586097">
        <w:rPr>
          <w:rFonts w:eastAsia="Calibri"/>
        </w:rPr>
        <w:t>2021 թվականին տեղական հարկերի՝ տնտեսական ակտիվության համեմատ ավելի դանդաղ աճի և, միևնույն ժամանակ, ներմուծման գծով հարկերի արագ աճի պայմաններում կանխատեսվում է, որ հարկեր/ՀՆԱ ցուցանիշը 2020թ. համեմատ չի փոխվի:</w:t>
      </w:r>
    </w:p>
    <w:p w14:paraId="7C5AC693" w14:textId="77777777" w:rsidR="00B7540A" w:rsidRPr="00586097" w:rsidRDefault="00B7540A" w:rsidP="00B7540A">
      <w:pPr>
        <w:spacing w:line="276" w:lineRule="auto"/>
        <w:rPr>
          <w:color w:val="000000"/>
        </w:rPr>
      </w:pPr>
      <w:r w:rsidRPr="00586097">
        <w:rPr>
          <w:rFonts w:eastAsia="Calibri"/>
          <w:b/>
        </w:rPr>
        <w:t xml:space="preserve"> </w:t>
      </w:r>
      <w:r w:rsidRPr="00586097">
        <w:t xml:space="preserve">Ելնելով համավարակի և պատերազմական գործողությունների հետևանքներից գնահատվում է, որ 2021թ.-ին տեղի կունենա ընթացիկ ծախսերի աճ՝ պայմանավորված հակաճգնաժամային հարկաբյուջետային միջոցառումներով՝ COVID-19-ին և Արցախյան պատերազմի հետևանքների վերացմանն ուղղված ծախսերով: Սակայն, անվանական ՀՆԱ-ի առաջանցիկ աճի պայմաններում ընթացիկ ծախսեր/ՀՆԱ հարաբերակցությունը նախորդ տարվա համեմատ կնվազի 1.7 տոկոսային կետով: Սպասվում է նաև, որ կարձանագրվի կապիտալ ծախսերի որոշակի թերակատարում՝ հիմք ընդունելով նախորդ տարիների կատարողականները և ընթացիկ տարվա զարգացումները: Արդյունքում ընդհանուր ծախսերը ՀՆԱ-ի նկատմամբ 2021թ.-ին 2020թ. համեմատ </w:t>
      </w:r>
      <w:r w:rsidRPr="00586097">
        <w:rPr>
          <w:color w:val="000000"/>
        </w:rPr>
        <w:t xml:space="preserve">կնվազեն շուրջ 2.5 տոկոսային կետով: </w:t>
      </w:r>
    </w:p>
    <w:p w14:paraId="4180FE26" w14:textId="77777777" w:rsidR="00B7540A" w:rsidRPr="00586097" w:rsidRDefault="00B7540A" w:rsidP="00B7540A">
      <w:pPr>
        <w:spacing w:line="276" w:lineRule="auto"/>
      </w:pPr>
      <w:r w:rsidRPr="00586097">
        <w:t xml:space="preserve">Պետական բյուջեի պակասուրդը 2021թ.-ին նախորդ տարվա նկատմամբ կնվազի՝ կազմելով ՀՆԱ-ի շուրջ 4.6 տոկոսը: Կառավարության պարտք/ՀՆԱ ցուցանիշը ևս կնվազի՝ կազմելով շուրջ 62.3 տոկոս: </w:t>
      </w:r>
    </w:p>
    <w:p w14:paraId="0CA2BE51" w14:textId="77777777" w:rsidR="00B7540A" w:rsidRPr="00586097" w:rsidRDefault="00B7540A" w:rsidP="00B7540A">
      <w:pPr>
        <w:pStyle w:val="afc"/>
        <w:spacing w:line="276" w:lineRule="auto"/>
      </w:pPr>
      <w:r w:rsidRPr="00586097">
        <w:t>Գծապատկեր 2.2. Պետական բյուջեի եկամուտները, ծախսերը և պակասուրդը, մլրդ դրամ</w:t>
      </w:r>
    </w:p>
    <w:p w14:paraId="5A6BD9FA" w14:textId="77777777" w:rsidR="00B7540A" w:rsidRPr="00B7540A" w:rsidRDefault="00B7540A" w:rsidP="00B7540A">
      <w:pPr>
        <w:spacing w:after="120" w:line="276" w:lineRule="auto"/>
        <w:ind w:right="-517" w:firstLine="0"/>
        <w:jc w:val="left"/>
        <w:rPr>
          <w:lang w:val="hy-AM"/>
        </w:rPr>
      </w:pPr>
      <w:r w:rsidRPr="00586097">
        <w:rPr>
          <w:noProof/>
        </w:rPr>
        <w:drawing>
          <wp:inline distT="0" distB="0" distL="0" distR="0" wp14:anchorId="27C73357" wp14:editId="5197CFD6">
            <wp:extent cx="3132000" cy="2880000"/>
            <wp:effectExtent l="0" t="0" r="11430" b="15875"/>
            <wp:docPr id="115" name="Chart 1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Pr="00B7540A">
        <w:rPr>
          <w:lang w:val="hy-AM"/>
        </w:rPr>
        <w:t xml:space="preserve"> </w:t>
      </w:r>
      <w:r w:rsidRPr="00586097">
        <w:rPr>
          <w:noProof/>
        </w:rPr>
        <w:drawing>
          <wp:inline distT="0" distB="0" distL="0" distR="0" wp14:anchorId="23767266" wp14:editId="3AAE75B0">
            <wp:extent cx="3017520" cy="2880000"/>
            <wp:effectExtent l="0" t="0" r="11430" b="15875"/>
            <wp:docPr id="116" name="Chart 1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769640A1" w14:textId="77777777" w:rsidR="00B7540A" w:rsidRPr="009121FA" w:rsidRDefault="00B7540A" w:rsidP="009121FA">
      <w:pPr>
        <w:pStyle w:val="afd"/>
      </w:pPr>
      <w:r w:rsidRPr="009121FA">
        <w:t>Աղբյուրը՝ ՀՀ ՖՆ</w:t>
      </w:r>
    </w:p>
    <w:p w14:paraId="7D3A6781" w14:textId="77777777" w:rsidR="00B7540A" w:rsidRPr="00B7540A" w:rsidRDefault="00B7540A" w:rsidP="00B7540A">
      <w:pPr>
        <w:spacing w:line="276" w:lineRule="auto"/>
        <w:rPr>
          <w:lang w:val="hy-AM"/>
        </w:rPr>
      </w:pPr>
      <w:r w:rsidRPr="00B7540A">
        <w:rPr>
          <w:b/>
          <w:bCs/>
          <w:lang w:val="hy-AM"/>
        </w:rPr>
        <w:t>Միջնաժամկետում հարկաբյուջետային և պարտքային կայուն միջավայր ձևավորելու անհրաժեշտությունից ելնելով՝ ծրագրավորվում է սկզբնական փուլում իրականացնել զսպող, այնուհետև չեզոք հարկաբյուջետային քաղաքականություն:</w:t>
      </w:r>
      <w:r w:rsidRPr="00B7540A">
        <w:rPr>
          <w:lang w:val="hy-AM"/>
        </w:rPr>
        <w:t xml:space="preserve"> Միջնաժամկետ հորիզոնում թիրախավորվել է ՀՀ կառավարության պարտք/ՀՆԱ-ի աստիճանական նվազում` 2024 թվականին հասցնելով այն 56.8%-ին: 2022-2024 թվականներին, կառավարության պարտքի թիրախին հասնելու նպատակով նախատեսվում է իրականացնել սահուն հարկաբյուջետային կոնսոլիդացիա՝ նվազեցնելով պետական բյուջեի պակասուդրը և մինչև 2024 թվականը հասցնելով այն ՀՆԱ-ի նկատմամբ 1.9%-ին:  </w:t>
      </w:r>
    </w:p>
    <w:p w14:paraId="44A1CC5B" w14:textId="77777777" w:rsidR="00B7540A" w:rsidRPr="00586097" w:rsidRDefault="00B7540A" w:rsidP="00B7540A">
      <w:pPr>
        <w:pStyle w:val="afc"/>
        <w:spacing w:line="276" w:lineRule="auto"/>
      </w:pPr>
      <w:r w:rsidRPr="00586097">
        <w:t>Գծապատկեր 2.3. Հարկաբյուջետային ազդակը</w:t>
      </w:r>
    </w:p>
    <w:p w14:paraId="0E2988B7" w14:textId="77777777" w:rsidR="00B7540A" w:rsidRPr="00586097" w:rsidRDefault="00B7540A" w:rsidP="00B7540A">
      <w:pPr>
        <w:spacing w:after="120" w:line="276" w:lineRule="auto"/>
        <w:ind w:firstLine="0"/>
        <w:jc w:val="center"/>
      </w:pPr>
      <w:r w:rsidRPr="00586097">
        <w:rPr>
          <w:rFonts w:eastAsia="Calibri"/>
          <w:noProof/>
        </w:rPr>
        <w:drawing>
          <wp:inline distT="0" distB="0" distL="0" distR="0" wp14:anchorId="7804D139" wp14:editId="3C2B628A">
            <wp:extent cx="5867400" cy="2447925"/>
            <wp:effectExtent l="0" t="0" r="0" b="9525"/>
            <wp:docPr id="117" name="Chart 1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A6E9D29" w14:textId="77777777" w:rsidR="00B7540A" w:rsidRPr="009121FA" w:rsidRDefault="00B7540A" w:rsidP="009121FA">
      <w:pPr>
        <w:pStyle w:val="afd"/>
      </w:pPr>
      <w:r w:rsidRPr="009121FA">
        <w:t>Աղբյուրը՝ ՀՀ ՖՆ գնահատականներ</w:t>
      </w:r>
    </w:p>
    <w:p w14:paraId="30900F14" w14:textId="77777777" w:rsidR="00B7540A" w:rsidRPr="00586097" w:rsidRDefault="00B7540A" w:rsidP="00B7540A">
      <w:pPr>
        <w:spacing w:line="276" w:lineRule="auto"/>
      </w:pPr>
      <w:r w:rsidRPr="00586097">
        <w:rPr>
          <w:rFonts w:eastAsia="Calibri"/>
          <w:b/>
          <w:bCs/>
        </w:rPr>
        <w:t xml:space="preserve">Միջնաժամկետում, տնտեսության վերականգնմանը զուգահեռ, վերադարձ կկատարվի հարկաբյուջետային կանոններով սահմանված պետական ֆինանսների «ոսկե կանոնների» տրամաբանությանը՝ </w:t>
      </w:r>
      <w:r w:rsidRPr="00586097">
        <w:rPr>
          <w:b/>
          <w:bCs/>
        </w:rPr>
        <w:t>կայուն հիմքեր ստեղծելով երկարաժամկետ տնտեսական աճի ապահովման համար</w:t>
      </w:r>
      <w:r w:rsidRPr="00586097">
        <w:rPr>
          <w:rFonts w:eastAsia="Calibri"/>
          <w:b/>
          <w:bCs/>
        </w:rPr>
        <w:t>, ապահովելով պարտք/ՀՆԱ հարաբերակցության նվազող հետագիծը և ծախսերի կառուցվածքի բարելավումը, ինչպես նաև հետևողական քայլեր կատարելով ծախսերի գծով խնայողությունների և եկամուտների ավելացման ուղղությամբ:</w:t>
      </w:r>
      <w:r w:rsidRPr="00586097">
        <w:rPr>
          <w:rFonts w:eastAsia="Calibri"/>
        </w:rPr>
        <w:t xml:space="preserve"> </w:t>
      </w:r>
      <w:r w:rsidRPr="00586097">
        <w:t>Մասնավորապես նախատեսվել է ընդհանուր ծախսերում կապիտալ ծախսերի մասնաբաժնի մեծացում, ինչի արդյունքում կապիտալ ծախսերի ծավալը միջնաժամկետի վերջում զգալիորեն կգերազանցի պետական բյուջեի պակասուրդի մեծությունը: Բացի այդ, հարկեր/ՀՆԱ հարաբերակցության բարելավման և ընթացիկ ծախսերի՝ հարկաբյուջետային կանոններին համապատասխան սահմանափակ աճի պայմաններում, կանխատեսվող հորիզոնի վերջում հարկային եկամուտներ/ՀՆԱ-ն կգերազանցի ընթացիկ ծախսերի մակարդակը շուրջ 1.4 տոկոսային կետով:</w:t>
      </w:r>
    </w:p>
    <w:p w14:paraId="219F3C4C" w14:textId="77777777" w:rsidR="00B7540A" w:rsidRPr="00586097" w:rsidRDefault="00B7540A" w:rsidP="00B7540A">
      <w:pPr>
        <w:spacing w:line="276" w:lineRule="auto"/>
      </w:pPr>
      <w:r w:rsidRPr="00586097">
        <w:t xml:space="preserve">Տնտեսության վերականգնման, հարկային վարչարարության բարելավման և հարկային օրենսդրության բարեփոխումների արդյունքում միջնաժամկետում ակնկալվում է </w:t>
      </w:r>
      <w:r w:rsidRPr="00586097">
        <w:rPr>
          <w:rFonts w:cs="Sylfaen"/>
        </w:rPr>
        <w:t>ՀՆԱ-ի նկատ</w:t>
      </w:r>
      <w:r w:rsidRPr="00586097">
        <w:rPr>
          <w:rFonts w:cs="Sylfaen"/>
        </w:rPr>
        <w:softHyphen/>
        <w:t>մամբ հարկային եկամուտների բարելավում միջինը տարեկան շուրջ 0.4 տոկոսային կետով:</w:t>
      </w:r>
      <w:r w:rsidRPr="00586097">
        <w:t xml:space="preserve"> Հարկային եկամուտներ/ՀՆԱ ցուցանիշի բարելավումը հնարավորություն կընձեռի ավելի մեծ ռեսուրսներ հատկացնել երկարաժամկետ տնտեսական աճը խթանող կապիտալ ծախսերի իրականացմանը՝ մեծացնելով դրանց կշիռը ՀՆԱ-ում և 2024թ.-ին հասցնելով 4.0%-ի:</w:t>
      </w:r>
    </w:p>
    <w:p w14:paraId="74D8F4C4" w14:textId="77777777" w:rsidR="00B7540A" w:rsidRPr="00586097" w:rsidRDefault="00B7540A" w:rsidP="00B7540A">
      <w:pPr>
        <w:pStyle w:val="afc"/>
        <w:spacing w:line="276" w:lineRule="auto"/>
      </w:pPr>
      <w:r w:rsidRPr="00586097">
        <w:t>Գծապատկեր 2.4. Ոսկե կանոններից շեղումը 2020-2021թթ.-ին և վերադարձը դրանց պահպանմանը միջնաժամկետում</w:t>
      </w:r>
    </w:p>
    <w:p w14:paraId="4232F625" w14:textId="77777777" w:rsidR="00B7540A" w:rsidRPr="00586097" w:rsidRDefault="00B7540A" w:rsidP="00B7540A">
      <w:pPr>
        <w:spacing w:after="0" w:line="276" w:lineRule="auto"/>
        <w:ind w:firstLine="0"/>
        <w:jc w:val="center"/>
        <w:rPr>
          <w:noProof/>
        </w:rPr>
      </w:pPr>
      <w:r w:rsidRPr="00586097">
        <w:rPr>
          <w:rFonts w:eastAsia="Calibri"/>
          <w:noProof/>
        </w:rPr>
        <w:drawing>
          <wp:inline distT="0" distB="0" distL="0" distR="0" wp14:anchorId="5EF8675A" wp14:editId="5507B14A">
            <wp:extent cx="2914650" cy="2447925"/>
            <wp:effectExtent l="0" t="0" r="0" b="9525"/>
            <wp:docPr id="109" name="Chart 1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Pr="00586097">
        <w:rPr>
          <w:rFonts w:eastAsia="Calibri"/>
          <w:noProof/>
        </w:rPr>
        <w:drawing>
          <wp:inline distT="0" distB="0" distL="0" distR="0" wp14:anchorId="2F6FBE0F" wp14:editId="0308F32A">
            <wp:extent cx="2857500" cy="2448000"/>
            <wp:effectExtent l="0" t="0" r="0" b="9525"/>
            <wp:docPr id="110" name="Chart 1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819B57F" w14:textId="77777777" w:rsidR="00B7540A" w:rsidRPr="009121FA" w:rsidRDefault="00B7540A" w:rsidP="009121FA">
      <w:pPr>
        <w:pStyle w:val="afd"/>
      </w:pPr>
      <w:r w:rsidRPr="009121FA">
        <w:t>Աղբյուրը՝ ՀՀ ՖՆ</w:t>
      </w:r>
    </w:p>
    <w:p w14:paraId="4D548AA0" w14:textId="77777777" w:rsidR="00B7540A" w:rsidRPr="00586097" w:rsidRDefault="00B7540A" w:rsidP="00B7540A">
      <w:pPr>
        <w:spacing w:line="276" w:lineRule="auto"/>
      </w:pPr>
      <w:r w:rsidRPr="00586097">
        <w:rPr>
          <w:rFonts w:eastAsia="Calibri"/>
          <w:b/>
          <w:bCs/>
        </w:rPr>
        <w:t>2020թ</w:t>
      </w:r>
      <w:r w:rsidRPr="00586097">
        <w:rPr>
          <w:rFonts w:ascii="Cambria Math" w:eastAsia="Calibri" w:hAnsi="Cambria Math" w:cs="Cambria Math"/>
          <w:b/>
          <w:bCs/>
        </w:rPr>
        <w:t>․</w:t>
      </w:r>
      <w:r w:rsidRPr="00586097">
        <w:rPr>
          <w:rFonts w:eastAsia="Calibri"/>
          <w:b/>
          <w:bCs/>
        </w:rPr>
        <w:t>-ին գրանցված կառավարության պարտք/ՀՆԱ ցուցանիշի պայմաններում ՀՀ հարկաբյուջետային կանոններով նախատեսված հարկաբյուջետային կոնսոլիդացիան կմեկնարկի 2021թ</w:t>
      </w:r>
      <w:r w:rsidRPr="00586097">
        <w:rPr>
          <w:rFonts w:ascii="Cambria Math" w:eastAsia="Calibri" w:hAnsi="Cambria Math" w:cs="Cambria Math"/>
          <w:b/>
          <w:bCs/>
        </w:rPr>
        <w:t>․</w:t>
      </w:r>
      <w:r w:rsidRPr="00586097">
        <w:rPr>
          <w:rFonts w:eastAsia="Calibri"/>
          <w:b/>
          <w:bCs/>
        </w:rPr>
        <w:t>-ից, ինչի արդյունքում կառավարության պարտք/ՀՆԱ ցուցանիշը ցածր կլինի կառավարության պարտքի սահմանային 60% շեմից 2023 թ</w:t>
      </w:r>
      <w:r w:rsidRPr="00586097">
        <w:rPr>
          <w:rFonts w:ascii="Cambria Math" w:eastAsia="Calibri" w:hAnsi="Cambria Math" w:cs="Cambria Math"/>
          <w:b/>
          <w:bCs/>
        </w:rPr>
        <w:t>․</w:t>
      </w:r>
      <w:r w:rsidRPr="00586097">
        <w:rPr>
          <w:rFonts w:eastAsia="Calibri"/>
          <w:b/>
          <w:bCs/>
        </w:rPr>
        <w:t>-ին, իսկ մինչև 2026թ. կմոտենա ՀՆԱ</w:t>
      </w:r>
      <w:r w:rsidRPr="00586097">
        <w:rPr>
          <w:rFonts w:eastAsia="Calibri"/>
          <w:b/>
          <w:bCs/>
        </w:rPr>
        <w:noBreakHyphen/>
        <w:t>ի 50% շեմին։</w:t>
      </w:r>
      <w:r w:rsidRPr="00586097">
        <w:rPr>
          <w:rFonts w:eastAsia="Calibri"/>
        </w:rPr>
        <w:t xml:space="preserve"> </w:t>
      </w:r>
      <w:r w:rsidRPr="00586097">
        <w:rPr>
          <w:rFonts w:eastAsia="Calibri"/>
          <w:bCs/>
        </w:rPr>
        <w:t xml:space="preserve">Միջնաժամկետում ՀՀ կառավարության պարտք/ՀՆԱ ցուցանիշի նվազմանը նպաստող հիմնական գործոնը կլինի տնտեսական աճը </w:t>
      </w:r>
      <w:r w:rsidRPr="00586097">
        <w:t xml:space="preserve">և հարկաբյուջետային քաղաքականության հետևանքով պետական բյուջեի առաջնային հաշվեկշռի բարելավումը։ </w:t>
      </w:r>
    </w:p>
    <w:p w14:paraId="3F56EC86" w14:textId="77777777" w:rsidR="00B7540A" w:rsidRPr="00586097" w:rsidRDefault="00B7540A" w:rsidP="00B7540A">
      <w:pPr>
        <w:pStyle w:val="afc"/>
        <w:spacing w:line="276" w:lineRule="auto"/>
      </w:pPr>
      <w:r w:rsidRPr="00586097">
        <w:t>Գծապատկեր 2.5. ՀՀ կառավարության պարտքի դինամիկան և այն պայմանավորող գործոնները</w:t>
      </w:r>
      <w:r w:rsidRPr="00586097">
        <w:rPr>
          <w:vertAlign w:val="superscript"/>
        </w:rPr>
        <w:footnoteReference w:id="24"/>
      </w:r>
    </w:p>
    <w:p w14:paraId="04BCA6B4" w14:textId="77777777" w:rsidR="00B7540A" w:rsidRPr="00586097" w:rsidRDefault="00B7540A" w:rsidP="00B7540A">
      <w:pPr>
        <w:spacing w:after="0" w:line="276" w:lineRule="auto"/>
        <w:ind w:firstLine="0"/>
        <w:rPr>
          <w:i/>
          <w:iCs/>
        </w:rPr>
      </w:pPr>
      <w:r w:rsidRPr="00586097">
        <w:rPr>
          <w:noProof/>
        </w:rPr>
        <w:drawing>
          <wp:inline distT="0" distB="0" distL="0" distR="0" wp14:anchorId="2872636D" wp14:editId="475D0F5C">
            <wp:extent cx="2880000" cy="2880000"/>
            <wp:effectExtent l="0" t="0" r="15875" b="15875"/>
            <wp:docPr id="118" name="Chart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Pr="00586097">
        <w:rPr>
          <w:noProof/>
        </w:rPr>
        <w:drawing>
          <wp:inline distT="0" distB="0" distL="0" distR="0" wp14:anchorId="58231031" wp14:editId="5431047C">
            <wp:extent cx="2964815" cy="2886075"/>
            <wp:effectExtent l="0" t="0" r="6985" b="9525"/>
            <wp:docPr id="119" name="Char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5453E895" w14:textId="77777777" w:rsidR="00B7540A" w:rsidRPr="009121FA" w:rsidRDefault="00B7540A" w:rsidP="009121FA">
      <w:pPr>
        <w:pStyle w:val="afd"/>
      </w:pPr>
      <w:r w:rsidRPr="009121FA">
        <w:t>Աղբյուրը՝ ՀՀ ՖՆ</w:t>
      </w:r>
    </w:p>
    <w:p w14:paraId="320E87E1"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rPr>
          <w:b/>
          <w:bCs/>
          <w:color w:val="000000"/>
        </w:rPr>
      </w:pPr>
      <w:r w:rsidRPr="00586097">
        <w:rPr>
          <w:b/>
          <w:bCs/>
          <w:color w:val="000000"/>
        </w:rPr>
        <w:t>Ներդիր 4։ Կորոնավիրուսի ճգնաժամի հաղթահարմանն ուղղված հարկաբյուջետային քաղաքականության միջոցառումները</w:t>
      </w:r>
    </w:p>
    <w:p w14:paraId="727F7DDB"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ind w:firstLine="709"/>
        <w:rPr>
          <w:color w:val="000000"/>
        </w:rPr>
      </w:pPr>
      <w:r w:rsidRPr="00586097">
        <w:rPr>
          <w:color w:val="000000"/>
        </w:rPr>
        <w:t xml:space="preserve">COVID-19 համավարակի տարածման բացասական ազդեցությունները ՀՀ տնտեսության վրա արտացոլվել են ինչպես արտաքին աշխարհից փոխանցվող շոկերի այնպես էլ ներքին տնտեսական սահմանափակումների տեսքով: Տնտեսական խորը անկումը կանխելու, ինչպես նաև հետագա վերականգնումը խթանելու համար, կառավարությունը 2020 թվականին նախատեսել էր իրականացնել 150 մլրդ դրամ (ՀՆԱ-ի 2.4%-ի չափով) ընդհանուր գումարի չափով սոցիալ տնտեսական աջակցության միջոցառումների ծրագիր: </w:t>
      </w:r>
    </w:p>
    <w:p w14:paraId="200C2077"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before="0" w:after="120" w:line="276" w:lineRule="auto"/>
        <w:ind w:firstLine="706"/>
        <w:rPr>
          <w:color w:val="000000"/>
        </w:rPr>
      </w:pPr>
      <w:r w:rsidRPr="00586097">
        <w:rPr>
          <w:color w:val="000000"/>
        </w:rPr>
        <w:t>2020 թվականին փաստացի ծախսվել է 39.0</w:t>
      </w:r>
      <w:r w:rsidRPr="00586097">
        <w:rPr>
          <w:rFonts w:ascii="Calibri" w:hAnsi="Calibri" w:cs="Calibri"/>
          <w:color w:val="000000"/>
        </w:rPr>
        <w:t> </w:t>
      </w:r>
      <w:r w:rsidRPr="00586097">
        <w:rPr>
          <w:color w:val="000000"/>
        </w:rPr>
        <w:t>մլրդ դրամ, իսկ բյուջեից վարկավորումը կազմել է 19.4 մլրդ դրամ, որոնք միասին կազմում են ՀՆԱ-ի 0.95 տոկոսը: Մասնավորապես, սոցիալական աջակցության ծրագրերի գծով հատկացվել է 26.0</w:t>
      </w:r>
      <w:r w:rsidRPr="00586097">
        <w:rPr>
          <w:rFonts w:ascii="Calibri" w:hAnsi="Calibri" w:cs="Calibri"/>
          <w:color w:val="000000"/>
        </w:rPr>
        <w:t> </w:t>
      </w:r>
      <w:r w:rsidRPr="00586097">
        <w:rPr>
          <w:color w:val="000000"/>
        </w:rPr>
        <w:t>մլրդ դրամ, իսկ տնտեսական հետևանքների չեզոքացման նպատակով տրամադրվել է 32.4</w:t>
      </w:r>
      <w:r w:rsidRPr="00586097">
        <w:rPr>
          <w:rFonts w:ascii="Calibri" w:hAnsi="Calibri" w:cs="Calibri"/>
          <w:color w:val="000000"/>
        </w:rPr>
        <w:t> </w:t>
      </w:r>
      <w:r w:rsidRPr="00586097">
        <w:rPr>
          <w:color w:val="000000"/>
        </w:rPr>
        <w:t>մլրդ դրամ (որից 13.0 մլրդ դրամը բյուջեի ծախսերի աճի միջոցով, իսկ 19.4 մլրդ դրամը` դեֆիցիտի ֆինանսավորման գործառնությունների (ներքին վարկավորման) միջոցով): Երկարաժամկետ տնտեսական զարգացմանն ուղղված, 80.0 մլրդ դրամ նախապես ծրագրավորված ծավալով միջոցառումները 2020 թվականի ընթացքում չեն իրականացվել: COVID-19 համավարակի տարածման կանխարգելման առողջապահական ազդեցությունների մեղմման նպատակով կառավարությունն իրականացրել է նաև լրացուցիչ առողջապահական ծախսեր, որոնց ծավալը դեկտեմբերի վերջի դրությամբ կազմել է մոտ 36.4 մլրդ դրամ (ներառյալ Համաշխարհային բանկի աջակցությամբ իրականացվող ծրագրերը): Առավել մանրամասն ներկայացված է պետական բյուջեի 2020թ.-ի հաշվետվությունում:</w:t>
      </w:r>
    </w:p>
    <w:p w14:paraId="0C4629E9"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before="0" w:after="120" w:line="276" w:lineRule="auto"/>
        <w:ind w:firstLine="706"/>
        <w:rPr>
          <w:color w:val="000000"/>
        </w:rPr>
      </w:pPr>
      <w:r w:rsidRPr="00586097">
        <w:rPr>
          <w:color w:val="000000"/>
        </w:rPr>
        <w:t>Բացի վերոնշյալ ծրագրերից, կառավարության հակաճգնաժամային արձագանքը ներառել է նաև շահութահարկի կանխավճարի գծով հիմնարար փոփոխությունները, որոնց միջոցով աջակցություն է ցուցաբերվել շահութահարկ վճարող տնտեսավարող սուբյեկտներին շրջանառու ֆինանսական միջոցների հետ կապված խնդիրների լուծման նպատակով, որի ընդհանուր ծավալը սկզբնական շրջանում գնահատված 65 մլրդ դրամի փոխարեն ներկայումս գնահատվում է շուրջ 70</w:t>
      </w:r>
      <w:r w:rsidRPr="00586097">
        <w:rPr>
          <w:rFonts w:ascii="Calibri" w:hAnsi="Calibri" w:cs="Calibri"/>
          <w:color w:val="000000"/>
        </w:rPr>
        <w:t> </w:t>
      </w:r>
      <w:r w:rsidRPr="00586097">
        <w:rPr>
          <w:color w:val="000000"/>
        </w:rPr>
        <w:t>մլրդ դրամի չափ (որից տնտեսության մեջ թողնված շահութահարկի կանխավճարները 2020 թվականին կազմել են մոտ 52.0 մլրդ դրամ):</w:t>
      </w:r>
    </w:p>
    <w:p w14:paraId="7AC2775A"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ind w:firstLine="709"/>
        <w:rPr>
          <w:color w:val="000000"/>
        </w:rPr>
      </w:pPr>
      <w:r w:rsidRPr="00586097">
        <w:rPr>
          <w:color w:val="000000"/>
        </w:rPr>
        <w:t xml:space="preserve">Արդյունքում հակաճգնաժամային հարկաբյուջետային միջոցառումների չափը 2020 թվականին կազմել է 164.8 մլրդ դրամ կամ ՀՆԱ-ի 2.7%-ը: </w:t>
      </w:r>
    </w:p>
    <w:p w14:paraId="1169C23E"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ind w:firstLine="709"/>
        <w:rPr>
          <w:color w:val="000000"/>
        </w:rPr>
      </w:pPr>
      <w:r w:rsidRPr="00586097">
        <w:rPr>
          <w:color w:val="000000"/>
        </w:rPr>
        <w:t>Հակաճգնաժամային հարկաբյուջետային միջոցառումները շարունակել են իրականացվել նաև 2021 թվականին: Մասնավորապես՝ կորոնովիրուսի հետևանքների մեղման նպատակով 2021 թվականի առաջին հինգ ամիսների ընթացքում կառավարությունն իրականացրել է շուրջ 15.6 մլրդ դրամի չափով ծախսեր, իսկ Արցախյան պատերազմի հետևանքներով պայմանավորված ծախսերը նույն ժամանակահատվածում կազմել են 33.3 մլրդ դրամ, որից սոցիալական աջակցությանն ուղղված մասը կազմել է 32.7 մլրդ դրամ:</w:t>
      </w:r>
    </w:p>
    <w:p w14:paraId="214D7275"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ind w:firstLine="709"/>
        <w:rPr>
          <w:b/>
          <w:bCs/>
          <w:i/>
          <w:iCs/>
        </w:rPr>
      </w:pPr>
      <w:r w:rsidRPr="00586097">
        <w:rPr>
          <w:b/>
          <w:bCs/>
          <w:i/>
          <w:iCs/>
        </w:rPr>
        <w:t>Գծապատկեր 2.6. Հարկաբյուջետային քաղաքականությունների արձագանքը տնտեսական ճգնաժամերին</w:t>
      </w:r>
    </w:p>
    <w:p w14:paraId="332CB33E"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ind w:firstLine="0"/>
        <w:jc w:val="center"/>
        <w:rPr>
          <w:color w:val="000000"/>
        </w:rPr>
      </w:pPr>
      <w:r w:rsidRPr="00586097">
        <w:rPr>
          <w:noProof/>
        </w:rPr>
        <w:drawing>
          <wp:inline distT="0" distB="0" distL="0" distR="0" wp14:anchorId="7785FD55" wp14:editId="6A54A27B">
            <wp:extent cx="3009900" cy="2520000"/>
            <wp:effectExtent l="0" t="0" r="0" b="13970"/>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Pr="00586097">
        <w:rPr>
          <w:noProof/>
        </w:rPr>
        <w:drawing>
          <wp:inline distT="0" distB="0" distL="0" distR="0" wp14:anchorId="4BEA4B95" wp14:editId="7662797A">
            <wp:extent cx="2926080" cy="2520000"/>
            <wp:effectExtent l="0" t="0" r="7620" b="13970"/>
            <wp:docPr id="121" name="Chart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4E528F7" w14:textId="77777777" w:rsidR="00B7540A" w:rsidRPr="00586097" w:rsidRDefault="00B7540A" w:rsidP="00B7540A">
      <w:pPr>
        <w:pStyle w:val="afc"/>
        <w:spacing w:line="276" w:lineRule="auto"/>
      </w:pPr>
      <w:r w:rsidRPr="00586097">
        <w:t>Գծապատկեր 2.7. Հարկաբյուջետային քաղաքականության արձագանքը համավարակի տնտեսական հետևանքներին առանձին երկրներում</w:t>
      </w:r>
    </w:p>
    <w:p w14:paraId="76616498"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ind w:firstLine="142"/>
      </w:pPr>
      <w:r w:rsidRPr="00586097">
        <w:rPr>
          <w:noProof/>
        </w:rPr>
        <w:drawing>
          <wp:inline distT="0" distB="0" distL="0" distR="0" wp14:anchorId="3ADB422B" wp14:editId="08864769">
            <wp:extent cx="5840730" cy="3036498"/>
            <wp:effectExtent l="0" t="0" r="7620" b="12065"/>
            <wp:docPr id="122" name="Chart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115D0565"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ind w:firstLine="709"/>
        <w:rPr>
          <w:b/>
          <w:bCs/>
          <w:i/>
          <w:iCs/>
        </w:rPr>
      </w:pPr>
      <w:r w:rsidRPr="00586097">
        <w:rPr>
          <w:b/>
          <w:bCs/>
          <w:i/>
          <w:iCs/>
        </w:rPr>
        <w:t>Գծապատկեր 2.8. Հարկաբյուջետային քաղաքականության արձագանքը համավարակի տնտեսական հետևանքներին առանձին երկրների խմբերում (միայն ծախսային և եկամտային միջոցառումներ)</w:t>
      </w:r>
    </w:p>
    <w:p w14:paraId="38A4B601"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ind w:firstLine="0"/>
        <w:rPr>
          <w:color w:val="000000"/>
        </w:rPr>
      </w:pPr>
      <w:r w:rsidRPr="00586097">
        <w:rPr>
          <w:noProof/>
          <w:color w:val="000000"/>
        </w:rPr>
        <w:drawing>
          <wp:inline distT="0" distB="0" distL="0" distR="0" wp14:anchorId="226E4E2E" wp14:editId="7CB9F5AD">
            <wp:extent cx="5718810" cy="231076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18810" cy="2310765"/>
                    </a:xfrm>
                    <a:prstGeom prst="rect">
                      <a:avLst/>
                    </a:prstGeom>
                    <a:noFill/>
                  </pic:spPr>
                </pic:pic>
              </a:graphicData>
            </a:graphic>
          </wp:inline>
        </w:drawing>
      </w:r>
    </w:p>
    <w:p w14:paraId="21E714B0" w14:textId="77777777" w:rsidR="00B7540A" w:rsidRPr="00586097" w:rsidRDefault="00B7540A" w:rsidP="00B7540A">
      <w:pPr>
        <w:pBdr>
          <w:top w:val="single" w:sz="4" w:space="1" w:color="auto"/>
          <w:left w:val="single" w:sz="4" w:space="1" w:color="auto"/>
          <w:bottom w:val="single" w:sz="4" w:space="1" w:color="auto"/>
          <w:right w:val="single" w:sz="4" w:space="1" w:color="auto"/>
        </w:pBdr>
        <w:shd w:val="clear" w:color="auto" w:fill="D5DCE4"/>
        <w:spacing w:after="120" w:line="276" w:lineRule="auto"/>
        <w:ind w:firstLine="709"/>
        <w:rPr>
          <w:color w:val="000000"/>
        </w:rPr>
      </w:pPr>
      <w:r w:rsidRPr="00586097">
        <w:rPr>
          <w:color w:val="000000"/>
        </w:rPr>
        <w:t>Ընդհանուր առմամբ, համավարակին հակազդելու համար մշակված հարկաբյուջետային փաթեթներն աշխարհի մակարդակով գնահատվում են 16 տրիլիոն դոլար (2020 և 2021 թվականի համար նախատեսված միջոցառումներ)</w:t>
      </w:r>
      <w:r w:rsidRPr="00586097">
        <w:rPr>
          <w:color w:val="000000"/>
          <w:vertAlign w:val="superscript"/>
        </w:rPr>
        <w:footnoteReference w:id="25"/>
      </w:r>
      <w:r w:rsidRPr="00586097">
        <w:rPr>
          <w:color w:val="000000"/>
        </w:rPr>
        <w:t xml:space="preserve">։ Վերջինից 10 տրիլիոնը վերաբերում է ծախսային և հարկային միջոցառումներին, իսկ 6 տրիլիոնը՝ պետական վարկերին, կապիտալի ներարկումներին և վարկային երաշխիքներին։ Առավել խոշոր հակազդման փաթեթներով առանձնանում են Ճապոնիան և Գերմանիան, որոնք նախատեսում են իրականացնել ՀՆԱ-ի ավելի քան 40%-ի չափով միջոցառումներ: Հատկանշական է, որ երկրների մեծ մասը կիրառում է պետական վարկավորումը կամ երաշխիքները՝ որպես աջակցության հիմնական գործիքներ: </w:t>
      </w:r>
    </w:p>
    <w:p w14:paraId="391172FD" w14:textId="77777777" w:rsidR="00B7540A" w:rsidRPr="00586097" w:rsidRDefault="00B7540A" w:rsidP="00DB34F6">
      <w:pPr>
        <w:pBdr>
          <w:top w:val="single" w:sz="4" w:space="1" w:color="auto"/>
          <w:left w:val="single" w:sz="4" w:space="1" w:color="auto"/>
          <w:bottom w:val="single" w:sz="4" w:space="1" w:color="auto"/>
          <w:right w:val="single" w:sz="4" w:space="1" w:color="auto"/>
        </w:pBdr>
        <w:shd w:val="clear" w:color="auto" w:fill="D5DCE4"/>
        <w:tabs>
          <w:tab w:val="num" w:pos="720"/>
        </w:tabs>
        <w:spacing w:after="120" w:line="276" w:lineRule="auto"/>
        <w:rPr>
          <w:color w:val="000000"/>
        </w:rPr>
      </w:pPr>
      <w:r w:rsidRPr="00586097">
        <w:rPr>
          <w:color w:val="000000"/>
        </w:rPr>
        <w:t>Սակայն պետք է նշել, որ հակազդման միջոցառումների ծավալները շեշտակիորեն տարբեր են ըստ զարգացող և զարգացած երկրների։ Այսպես, զարգացած երկրների գումարային փաթեթները մոտ են ՀՆԱ 24%-ին, մինչդեռ զարգացող երկրներում՝ 6%-ին, իսկ ցածր եկամտային երկրներում՝ 1.8%</w:t>
      </w:r>
      <w:r w:rsidRPr="00586097">
        <w:rPr>
          <w:color w:val="000000"/>
        </w:rPr>
        <w:noBreakHyphen/>
        <w:t>ին։ Հայաստանի փաթեթը, որը հանրագումարային առումով գնահատվում է ՀՆԱ 4%-ի</w:t>
      </w:r>
      <w:r w:rsidRPr="00586097">
        <w:rPr>
          <w:color w:val="000000"/>
          <w:vertAlign w:val="superscript"/>
        </w:rPr>
        <w:footnoteReference w:id="26"/>
      </w:r>
      <w:r w:rsidRPr="00586097">
        <w:rPr>
          <w:color w:val="000000"/>
          <w:vertAlign w:val="superscript"/>
        </w:rPr>
        <w:t xml:space="preserve"> </w:t>
      </w:r>
      <w:r w:rsidRPr="00586097">
        <w:rPr>
          <w:color w:val="000000"/>
        </w:rPr>
        <w:t>շրջանակներում, համադրելի է զարգացող երկրների փաթեթների հետ։</w:t>
      </w:r>
    </w:p>
    <w:p w14:paraId="6D751F96" w14:textId="77777777" w:rsidR="00B7540A" w:rsidRPr="00586097" w:rsidRDefault="00B7540A" w:rsidP="00B7540A">
      <w:pPr>
        <w:keepNext/>
        <w:keepLines/>
        <w:spacing w:before="0" w:after="120" w:line="276" w:lineRule="auto"/>
        <w:ind w:firstLine="0"/>
        <w:contextualSpacing/>
        <w:outlineLvl w:val="2"/>
        <w:rPr>
          <w:caps/>
        </w:rPr>
      </w:pPr>
    </w:p>
    <w:p w14:paraId="4149A8DD" w14:textId="77777777" w:rsidR="00B7540A" w:rsidRPr="006233DC" w:rsidRDefault="006233DC" w:rsidP="006233DC">
      <w:pPr>
        <w:pStyle w:val="Heading3"/>
        <w:rPr>
          <w:rFonts w:eastAsia="Times New Roman" w:cs="Times New Roman"/>
          <w:caps w:val="0"/>
          <w:color w:val="1F497D" w:themeColor="text2"/>
          <w:sz w:val="28"/>
          <w:szCs w:val="28"/>
        </w:rPr>
      </w:pPr>
      <w:bookmarkStart w:id="487" w:name="_Toc77451205"/>
      <w:bookmarkStart w:id="488" w:name="_Toc77837855"/>
      <w:r>
        <w:rPr>
          <w:rFonts w:eastAsia="Times New Roman" w:cs="Times New Roman"/>
          <w:caps w:val="0"/>
          <w:color w:val="1F497D" w:themeColor="text2"/>
          <w:sz w:val="28"/>
          <w:szCs w:val="28"/>
          <w:lang w:val="en-US"/>
        </w:rPr>
        <w:t xml:space="preserve">2.4. </w:t>
      </w:r>
      <w:r w:rsidR="00B7540A" w:rsidRPr="006233DC">
        <w:rPr>
          <w:rFonts w:eastAsia="Times New Roman" w:cs="Times New Roman"/>
          <w:caps w:val="0"/>
          <w:color w:val="1F497D" w:themeColor="text2"/>
          <w:sz w:val="28"/>
          <w:szCs w:val="28"/>
        </w:rPr>
        <w:t>ՀԱՐԿԱԲՅՈՒՋԵՏԱՅԻՆ ՌԻՍԿԵՐ</w:t>
      </w:r>
      <w:bookmarkEnd w:id="487"/>
      <w:bookmarkEnd w:id="488"/>
    </w:p>
    <w:p w14:paraId="41E00B5D" w14:textId="77777777" w:rsidR="00B7540A" w:rsidRPr="00B7540A" w:rsidRDefault="00B7540A" w:rsidP="00B7540A">
      <w:pPr>
        <w:spacing w:line="276" w:lineRule="auto"/>
        <w:rPr>
          <w:lang w:val="hy-AM"/>
        </w:rPr>
      </w:pPr>
      <w:r w:rsidRPr="00B7540A">
        <w:rPr>
          <w:lang w:val="hy-AM"/>
        </w:rPr>
        <w:t>Հարկաբյուջետային կանխատեսումները հիմնված են մի շարք ենթադրությունների և հիմնական դատողությունների վրա,  որոնց համար օգտագործվել է տվյալ պահի դրությամբ առկա և հասանելի ամբողջ տեղեկատվությունը</w:t>
      </w:r>
      <w:r w:rsidRPr="00586097">
        <w:rPr>
          <w:vertAlign w:val="superscript"/>
        </w:rPr>
        <w:footnoteReference w:id="27"/>
      </w:r>
      <w:r w:rsidRPr="00B7540A">
        <w:rPr>
          <w:lang w:val="hy-AM"/>
        </w:rPr>
        <w:t>: Ինչպես ցանկացած կանխատեսում, հարկաբյուջետային կանխատեսումները նույնպես պարունակում են ռիսկեր կապված նրա հետ, որ փաստացի իրադարձությունները կարող են տարբերվել սպասումներից: 2022-2024թթ. ՄԺԾԾ հիմնական մակրոտնտեսական հարկաբյուջետային ռիսկերը հետևյալն են՝</w:t>
      </w:r>
    </w:p>
    <w:p w14:paraId="4B20C9E6" w14:textId="77777777" w:rsidR="00B7540A" w:rsidRPr="00B7540A" w:rsidRDefault="00B7540A" w:rsidP="00B7540A">
      <w:pPr>
        <w:spacing w:line="276" w:lineRule="auto"/>
        <w:rPr>
          <w:lang w:val="hy-AM"/>
        </w:rPr>
      </w:pPr>
      <w:r w:rsidRPr="00B7540A">
        <w:rPr>
          <w:b/>
          <w:lang w:val="hy-AM"/>
        </w:rPr>
        <w:t>COVID-19 համավարակի անորոշություններ։</w:t>
      </w:r>
      <w:r w:rsidRPr="00B7540A">
        <w:rPr>
          <w:lang w:val="hy-AM"/>
        </w:rPr>
        <w:t xml:space="preserve"> Ինչպես ներկայացվել է ՄԺԾԾ «1.5. Մակրոտնտեսական կանխատեսումների ռիսկերը» բաժնում տնտեսական աճի անորոշությունները պահպանվում են և առկա են տնտեսական աճի երկկողմանի ռիսկեր: Տնտեսական աճի բացասական ռիսկերի ի հայտ գալու պարագայում հարկային եկամուտները այս ՄԺԾԾ հարկաբյուջետային շրջանակից ավելի ցածր կլինեն: Հաշվի առնելով նաև այն, որ ընթացիկ ծախսերը, համաձայն հարկաբյուջետային կանոնների, 2022թ.-ին սահմանափակված են հարկային եկամուտներով, իսկ միջնաժամկետում՝ նախորդ 7 տարիների անվանական ՀՆԱ-ի աճի տեմպով, ապա կառավարության հնարավորությունները ընթացիկ ծախսերի իրականացման գծով տնտեսական աճի՝ կանխատեսումներից ավելի ցածր լինելու պարագայում նույնպես կկրճատվեն: Այդ ռիսկերի առարկայանալու պարագայում պետք է վերանայվեն համապատասխան ծախսային ծրագրերը։</w:t>
      </w:r>
    </w:p>
    <w:p w14:paraId="43EE5199" w14:textId="77777777" w:rsidR="00B7540A" w:rsidRPr="00B7540A" w:rsidRDefault="00B7540A" w:rsidP="00B7540A">
      <w:pPr>
        <w:spacing w:line="276" w:lineRule="auto"/>
        <w:rPr>
          <w:lang w:val="hy-AM"/>
        </w:rPr>
      </w:pPr>
      <w:r w:rsidRPr="00B7540A">
        <w:rPr>
          <w:lang w:val="hy-AM"/>
        </w:rPr>
        <w:t>Համավարակի և Արցախյան պատերազմի հետևանքների մեղմանն և</w:t>
      </w:r>
      <w:r w:rsidRPr="00B7540A">
        <w:rPr>
          <w:b/>
          <w:lang w:val="hy-AM"/>
        </w:rPr>
        <w:t xml:space="preserve"> տնտեսության հետագա վերականգնմանն ուղղված ՀՀ կառավարության միջոցառումների ընթացքը։</w:t>
      </w:r>
      <w:r w:rsidRPr="00B7540A">
        <w:rPr>
          <w:lang w:val="hy-AM"/>
        </w:rPr>
        <w:t xml:space="preserve"> ՀՀ կառավարության կողմից իրականացվող COVID 19-ի հետևանքների չեզոքացման, ինչպես նաև Արցախյան պատերազմի հետևանքների մեղմանն ուղղված միջոցառումների գծով հնարավոր է նախատեսվեն աջակցության նոր ծրագրեր, որոնց արդյունքում հարկաբյուջետային շրջանակի ցուցանիշները վերանայման կարիք կունենան: Բացի այդ, 2022-2024թթ. ՄԺԾԾ սցենարում ներառված չէ կառավարության 80 մլրդ դրամի չափով երկարաժամկետ աջակցության ծրագրի իրականացման ազդեցությունները: Վերջինիս իրականացումը 2021 թվականին հանդիսանում է դրական ռիսկ տնտեսական աճի գծով, սակայն միևնույն ժամանակ կարող է հանգեցնել պետական բյուջեի ֆինասավորման կարիքի աճին: </w:t>
      </w:r>
    </w:p>
    <w:p w14:paraId="28BD3AA4" w14:textId="77777777" w:rsidR="00B7540A" w:rsidRPr="00B7540A" w:rsidRDefault="00B7540A" w:rsidP="00B7540A">
      <w:pPr>
        <w:spacing w:line="276" w:lineRule="auto"/>
        <w:rPr>
          <w:lang w:val="hy-AM"/>
        </w:rPr>
      </w:pPr>
      <w:r w:rsidRPr="00B7540A">
        <w:rPr>
          <w:lang w:val="hy-AM"/>
        </w:rPr>
        <w:t>ՀՀ Կառավարության 2021թ. Փետրվարի 4-ի թիվ 142-Լ որոշմանբ հաատատվել է 2021թ. տնտեսկան արձագանքման ծրագիրը, ինչպես նաև ծրագրի գործողությունների պլանը և փաթեթը, որոնցով նախատեսվել է իրականացնել շուրջ 205 մլրդ ՀՀ դրամ ընդհանուր գումարի չափով տնտեսական զարգացմանն ուղղված միջոցառումներ: Այդ գումարից մոտ 50 մլրդ ՀՀ դրամը՝ հանրային ֆինանսական ռեսուրսների հաշվին: Նշված միջոցներից շուրջ 35.0 մլրդ դրամը նախատեսված չէ 2021թ. բյուջեով և պահանջում է լրացուցիչ ֆինանսավորում: Այս ծրագրերի ամբողջական իրականացումը կարող է հանգեցնել տնտեսական աճի արագացմանը, իսկ հարկաբյուջետային շրջանակի ցուցանիշները վերանայման կարիք կունենան:</w:t>
      </w:r>
    </w:p>
    <w:p w14:paraId="7E7F7A2B" w14:textId="77777777" w:rsidR="00B7540A" w:rsidRPr="00B7540A" w:rsidRDefault="00B7540A" w:rsidP="00B7540A">
      <w:pPr>
        <w:spacing w:line="276" w:lineRule="auto"/>
        <w:rPr>
          <w:lang w:val="hy-AM"/>
        </w:rPr>
      </w:pPr>
      <w:r w:rsidRPr="00B7540A">
        <w:rPr>
          <w:b/>
          <w:lang w:val="hy-AM"/>
        </w:rPr>
        <w:t>Հարկային քաղաքականության լրացուցիչ միջոցառումներ:</w:t>
      </w:r>
      <w:r w:rsidRPr="00B7540A">
        <w:rPr>
          <w:lang w:val="hy-AM"/>
        </w:rPr>
        <w:t xml:space="preserve"> Հարկային օրենսդրության փոփոխությունների գծով 2022-2024թթ. համար հաշվի են առնվել արդեն իսկ հարկային օրենսգրքով հաստատված փոփոխությունները: Սակայն, հարկային ճեղքի նվազեցման միջոցառումների շրջանակներում քննարկվում են նաև հավելյալ բարեփոխումների իրականացման նպատակահարմարության հարցերը</w:t>
      </w:r>
      <w:r w:rsidRPr="00B7540A">
        <w:rPr>
          <w:rFonts w:ascii="Cambria Math" w:hAnsi="Cambria Math" w:cs="Cambria Math"/>
          <w:lang w:val="hy-AM"/>
        </w:rPr>
        <w:t>․</w:t>
      </w:r>
      <w:r w:rsidRPr="00B7540A">
        <w:rPr>
          <w:lang w:val="hy-AM"/>
        </w:rPr>
        <w:t xml:space="preserve"> շրջանառության հարկի շեմի փոփոխություն և դրույքաչափի ճշգրտում, բնապահպանական հարկի ներդրում, գործող բնապահպանական հարկերի դրույքաչափի բարձրացում, ԱԱՀ արտոնությունների վերացում և այլն՝ ուղղված հարկային քաղաքականության ճեղքի կրճատմանը և հարկային եկամուտների՝ ՀՆԱ-ի նկատմամբ մակարդակի բարձրացմանը: Իրականացման ժամկետների անորոշություններով պայմանավորված դրանք 2022-2024թթ. ՄԺԾԾ հիմքում դրվող կանխատեսումներում ներառվել են որպես ռիսկեր, որոնք կարող հանգեցնել հարկային եկամուտների կանխատեսումների դեպի վերև շեղմանը: </w:t>
      </w:r>
    </w:p>
    <w:p w14:paraId="7B7EC698" w14:textId="77777777" w:rsidR="00B7540A" w:rsidRPr="00B7540A" w:rsidRDefault="00B7540A" w:rsidP="00B7540A">
      <w:pPr>
        <w:spacing w:line="276" w:lineRule="auto"/>
        <w:rPr>
          <w:lang w:val="hy-AM"/>
        </w:rPr>
      </w:pPr>
      <w:r w:rsidRPr="00B7540A">
        <w:rPr>
          <w:b/>
          <w:lang w:val="hy-AM"/>
        </w:rPr>
        <w:t>Կապիտալ ծախսերի թերակատարում:</w:t>
      </w:r>
      <w:r w:rsidRPr="00B7540A">
        <w:rPr>
          <w:lang w:val="hy-AM"/>
        </w:rPr>
        <w:t xml:space="preserve"> 2022-2024թթ. ՄԺԾԾ սցենարում նախատեսվել է կապիտալ ծախսերի զգալի աճ՝ մինչև 2024 թվականը հասցենլով դրանց մակարդակը ՀՆԱ-ի 4.0%</w:t>
      </w:r>
      <w:r w:rsidRPr="00B7540A">
        <w:rPr>
          <w:lang w:val="hy-AM"/>
        </w:rPr>
        <w:noBreakHyphen/>
        <w:t xml:space="preserve">ին: Սակայն հաշվի առնելով նախորդ տարիների փաստացի կատարողականները (չնայած այն հանգամանքին, որ առկա է եղել կատարողականների բարելավման միտում), առկա է ծրագրավորված ցուցանիշների թերակատարման ռիսկ, ինչը կարող է բացասական ազդեցություն ունենալ տնտեսական աճի վրա, ինչպես նաև ազդել հարկաբյուջետային շրջանակի ցուցանիշների վրա: </w:t>
      </w:r>
    </w:p>
    <w:p w14:paraId="4995A28A" w14:textId="77777777" w:rsidR="00B7540A" w:rsidRPr="00B7540A" w:rsidRDefault="00B7540A" w:rsidP="00B7540A">
      <w:pPr>
        <w:spacing w:line="276" w:lineRule="auto"/>
        <w:rPr>
          <w:lang w:val="hy-AM"/>
        </w:rPr>
      </w:pPr>
      <w:r w:rsidRPr="00B7540A">
        <w:rPr>
          <w:b/>
          <w:lang w:val="hy-AM"/>
        </w:rPr>
        <w:t>ՀՀ-ում իրականացվող ծրագրերին Եվրոպական Միության կողմից խոշորածավալ ֆինանսական աջակցության տրամադրումը:</w:t>
      </w:r>
      <w:r w:rsidRPr="00B7540A">
        <w:rPr>
          <w:lang w:val="hy-AM"/>
        </w:rPr>
        <w:t xml:space="preserve"> Ս.թ. հուլիսի 2-ին Եվրոպական հանձնաժողովի կողմից հրապարակած աշխատանքային փաստաթղթում</w:t>
      </w:r>
      <w:r w:rsidRPr="00586097">
        <w:rPr>
          <w:vertAlign w:val="superscript"/>
        </w:rPr>
        <w:footnoteReference w:id="28"/>
      </w:r>
      <w:r w:rsidRPr="00B7540A">
        <w:rPr>
          <w:lang w:val="hy-AM"/>
        </w:rPr>
        <w:t>՝ «Վերականգնում, կայունություն և բարեփոխումներ» խորագրով ծրագրի համաձայն՝ ԵՄ-ն առաջիկա չորս տարիների ընթացքում շուրջ 2.6 մլրդ եվրոյի չափով նախատեսում է ֆինանսավորում տրամադրել Հայաստանին՝ փոխհամաձայնեցված ուղղություններով ծրագրերի իրականացմանն աջակցելու նպատակով: Նշված ծրագրերի իրականացումը զգալի ազդեցություն կունենա հարկաբյուջետային ցուցանիշների վրա՝ առաջացնելով հարկաբյուջետային քաղաքականության վերանայման կարիք:</w:t>
      </w:r>
    </w:p>
    <w:p w14:paraId="0C896293" w14:textId="77777777" w:rsidR="00B7540A" w:rsidRPr="00B7540A" w:rsidRDefault="00B7540A" w:rsidP="00B7540A">
      <w:pPr>
        <w:spacing w:line="276" w:lineRule="auto"/>
        <w:ind w:firstLine="0"/>
        <w:rPr>
          <w:b/>
          <w:lang w:val="hy-AM"/>
        </w:rPr>
      </w:pPr>
      <w:r w:rsidRPr="00B7540A">
        <w:rPr>
          <w:b/>
          <w:lang w:val="hy-AM"/>
        </w:rPr>
        <w:t>Հարկաբյուջետային շրջանակի հնարավոր փոփոխությունները մակրոտնտեսական կանխատեսումների շեղումների դեպքում և սթրես թեստերի ներքո</w:t>
      </w:r>
      <w:r w:rsidRPr="00586097">
        <w:rPr>
          <w:b/>
          <w:vertAlign w:val="superscript"/>
        </w:rPr>
        <w:footnoteReference w:id="29"/>
      </w:r>
      <w:r w:rsidRPr="00B7540A">
        <w:rPr>
          <w:b/>
          <w:lang w:val="hy-AM"/>
        </w:rPr>
        <w:t>.</w:t>
      </w:r>
    </w:p>
    <w:p w14:paraId="0D975E19" w14:textId="77777777" w:rsidR="00B7540A" w:rsidRPr="00B7540A" w:rsidRDefault="00B7540A" w:rsidP="005B1E23">
      <w:pPr>
        <w:numPr>
          <w:ilvl w:val="1"/>
          <w:numId w:val="46"/>
        </w:numPr>
        <w:spacing w:before="0" w:after="120" w:line="276" w:lineRule="auto"/>
        <w:ind w:left="270" w:hanging="283"/>
        <w:contextualSpacing/>
        <w:rPr>
          <w:rFonts w:eastAsia="Calibri"/>
          <w:lang w:val="hy-AM"/>
        </w:rPr>
      </w:pPr>
      <w:r w:rsidRPr="00B7540A">
        <w:rPr>
          <w:b/>
          <w:lang w:val="hy-AM"/>
        </w:rPr>
        <w:t>Հարկային եկամուտներ:</w:t>
      </w:r>
      <w:r w:rsidRPr="00B7540A">
        <w:rPr>
          <w:lang w:val="hy-AM"/>
        </w:rPr>
        <w:t xml:space="preserve"> Միջնաժամկետ հորիզոնում ՀՀ պետական բյուջեի հարկային եկամուտների վրա գնահատված է մակրոտնտեսական ցուցանիշների՝ իրական ՀՆԱ-ի աճի, գնաճի, փոխարժեքի տատանողականության և ներմուծման ռիսկերի շեղման ամփոփ գնահատականը: Հարկային եկամուտների վրա ազդող վերոնշյալ ռիսկերի միաժամանակյա ի հայտ գալու պարագայում հարկային եկամուտների ծրագրված մակարդակից շեղումը կկազմի շուրջ 24.3 մլրդ ՀՀ դրամ 2022 թվականին, 40.4 մլրդ ՀՀ դրամ 2023 թվականին և 55.9 մլրդ ՀՀ դրամ 2024 թվականին:</w:t>
      </w:r>
    </w:p>
    <w:p w14:paraId="03019D82" w14:textId="6BC6A34D" w:rsidR="00B7540A" w:rsidRPr="00B7540A" w:rsidRDefault="00B7540A" w:rsidP="005B1E23">
      <w:pPr>
        <w:numPr>
          <w:ilvl w:val="1"/>
          <w:numId w:val="46"/>
        </w:numPr>
        <w:spacing w:before="0" w:after="120" w:line="276" w:lineRule="auto"/>
        <w:ind w:left="270" w:hanging="283"/>
        <w:contextualSpacing/>
        <w:rPr>
          <w:lang w:val="hy-AM"/>
        </w:rPr>
      </w:pPr>
      <w:r w:rsidRPr="00B7540A">
        <w:rPr>
          <w:b/>
          <w:lang w:val="hy-AM"/>
        </w:rPr>
        <w:t>Պետական բյուջեի ծախսեր:</w:t>
      </w:r>
      <w:r w:rsidRPr="00B7540A">
        <w:rPr>
          <w:lang w:val="hy-AM"/>
        </w:rPr>
        <w:t xml:space="preserve"> Կանխատեսումներում մեծ ուշադրություն է դարձվում նաև պետական բյուջեի ծախսերի պլանավորված մակարդակների ապահովումը խաթարող ռիսկերին, որոնք կարող են հանգեցնել լրացուցիչ ֆինանսավորման պահանջի առաջացման: ՀՀ պետական բյուջեի ծախսերի վրա գնահատված է ինչպես մակրոտնտեսական ցուցանիշների՝ իրական ՀՆԱ-ի աճի, գնաճի, փոխարժեքի տատանողականության և ներմուծման ռիսկերի շեղման ամփոփ գնահատականը, որոնց միաժամանակյա ի հայտ գալու պարագայում 2022-2024 թվականներին ՀՀ պետական բյուջեի դեֆիցիտի լրացուցիչ ֆինանսավորման պահանջը կկազմի շուրջ </w:t>
      </w:r>
      <w:r w:rsidR="00054E88">
        <w:rPr>
          <w:lang w:val="hy-AM"/>
        </w:rPr>
        <w:t>22</w:t>
      </w:r>
      <w:r w:rsidRPr="00B7540A">
        <w:rPr>
          <w:rFonts w:cs="Sylfaen"/>
          <w:lang w:val="hy-AM"/>
        </w:rPr>
        <w:t>.0–50.0 մլրդ ՀՀ դրամ կամ ՀՆԱ-ի 0.</w:t>
      </w:r>
      <w:r w:rsidR="00054E88">
        <w:rPr>
          <w:rFonts w:cs="Sylfaen"/>
          <w:lang w:val="hy-AM"/>
        </w:rPr>
        <w:t>3</w:t>
      </w:r>
      <w:r w:rsidRPr="00B7540A">
        <w:rPr>
          <w:rFonts w:cs="Sylfaen"/>
          <w:lang w:val="hy-AM"/>
        </w:rPr>
        <w:t>-0.6%-ը:</w:t>
      </w:r>
      <w:r w:rsidRPr="00B7540A">
        <w:rPr>
          <w:lang w:val="hy-AM"/>
        </w:rPr>
        <w:t xml:space="preserve"> Ընդ որում` ՀՀ կառա</w:t>
      </w:r>
      <w:r w:rsidRPr="00B7540A">
        <w:rPr>
          <w:lang w:val="hy-AM"/>
        </w:rPr>
        <w:softHyphen/>
        <w:t>վարու</w:t>
      </w:r>
      <w:r w:rsidRPr="00B7540A">
        <w:rPr>
          <w:lang w:val="hy-AM"/>
        </w:rPr>
        <w:softHyphen/>
        <w:t>թյան տնտեսական քաղաքականության հիմնական նպատակադրումը լինելու է սոցիալական բնույթի ծախսերի կրճատման բացառումը, իսկ հնարավորության դեպքում` բյուջեի ծախսերի ամբողջական իրականացումը:</w:t>
      </w:r>
    </w:p>
    <w:p w14:paraId="70042F15" w14:textId="77777777" w:rsidR="00B7540A" w:rsidRPr="00B7540A" w:rsidRDefault="00B7540A" w:rsidP="005B1E23">
      <w:pPr>
        <w:numPr>
          <w:ilvl w:val="1"/>
          <w:numId w:val="46"/>
        </w:numPr>
        <w:spacing w:before="0" w:after="120" w:line="276" w:lineRule="auto"/>
        <w:ind w:left="270" w:hanging="283"/>
        <w:contextualSpacing/>
        <w:rPr>
          <w:lang w:val="hy-AM"/>
        </w:rPr>
      </w:pPr>
      <w:r w:rsidRPr="00B7540A">
        <w:rPr>
          <w:b/>
          <w:lang w:val="hy-AM"/>
        </w:rPr>
        <w:t>ՀՀ կառավարության պարտք։</w:t>
      </w:r>
      <w:r w:rsidRPr="00B7540A">
        <w:rPr>
          <w:lang w:val="hy-AM"/>
        </w:rPr>
        <w:t xml:space="preserve"> </w:t>
      </w:r>
      <w:r w:rsidRPr="00B7540A">
        <w:rPr>
          <w:rFonts w:cs="Sylfaen"/>
          <w:lang w:val="hy-AM"/>
        </w:rPr>
        <w:t xml:space="preserve">ՀՀ կառավարության պարտքը շարունակում է գնահատվել կայուն և կառավարելի, սակայն բավականին շոշափելի են պարտքի բեռի ներկա մակարդակից բխող ռիսկերը: Մասնավորապես, չնայած՝ պարտքը ըստ ԱՄՀ և ՀԲ մեթոդաբանության գնահատվում է ցածր ռիսկային (բայց միևնույն ժամանակ խիստ մոտ միջին ռիսկայնության սահմանագծին), սակայն տնտեսական աճի և փոխարժեքի շոկերի դեպքում պարտք/ՀՆԱ ցուցանիշը բարձ է մնում ՀՀ հարկաբյուջետային կանոններով սահմանված 60% սահմանային շեմից, իսկ </w:t>
      </w:r>
      <w:r w:rsidRPr="00B7540A">
        <w:rPr>
          <w:lang w:val="hy-AM"/>
        </w:rPr>
        <w:t>տնտեսական աճի շոկի դեպքում՝ նաև ընդհուպ մոտենում է ռիսկայնության 70% շեմին</w:t>
      </w:r>
      <w:r w:rsidRPr="00B7540A">
        <w:rPr>
          <w:rFonts w:cs="Sylfaen"/>
          <w:lang w:val="hy-AM"/>
        </w:rPr>
        <w:t>։</w:t>
      </w:r>
      <w:r w:rsidRPr="00B7540A">
        <w:rPr>
          <w:lang w:val="hy-AM"/>
        </w:rPr>
        <w:t xml:space="preserve"> Բացի այդ, </w:t>
      </w:r>
      <w:r w:rsidRPr="00B7540A">
        <w:rPr>
          <w:rFonts w:cs="Sylfaen"/>
          <w:lang w:val="hy-AM"/>
        </w:rPr>
        <w:t>ՀՀ</w:t>
      </w:r>
      <w:r w:rsidRPr="00B7540A">
        <w:rPr>
          <w:lang w:val="hy-AM"/>
        </w:rPr>
        <w:t xml:space="preserve"> </w:t>
      </w:r>
      <w:r w:rsidRPr="00B7540A">
        <w:rPr>
          <w:rFonts w:cs="Sylfaen"/>
          <w:lang w:val="hy-AM"/>
        </w:rPr>
        <w:t>կառավարության</w:t>
      </w:r>
      <w:r w:rsidRPr="00B7540A">
        <w:rPr>
          <w:lang w:val="hy-AM"/>
        </w:rPr>
        <w:t xml:space="preserve"> </w:t>
      </w:r>
      <w:r w:rsidRPr="00B7540A">
        <w:rPr>
          <w:rFonts w:cs="Sylfaen"/>
          <w:lang w:val="hy-AM"/>
        </w:rPr>
        <w:t>պարտքի</w:t>
      </w:r>
      <w:r w:rsidRPr="00B7540A">
        <w:rPr>
          <w:lang w:val="hy-AM"/>
        </w:rPr>
        <w:t xml:space="preserve"> </w:t>
      </w:r>
      <w:r w:rsidRPr="00B7540A">
        <w:rPr>
          <w:rFonts w:cs="Sylfaen"/>
          <w:lang w:val="hy-AM"/>
        </w:rPr>
        <w:t>պորտֆելը</w:t>
      </w:r>
      <w:r w:rsidRPr="00B7540A">
        <w:rPr>
          <w:lang w:val="hy-AM"/>
        </w:rPr>
        <w:t xml:space="preserve"> </w:t>
      </w:r>
      <w:r w:rsidRPr="00B7540A">
        <w:rPr>
          <w:rFonts w:cs="Sylfaen"/>
          <w:lang w:val="hy-AM"/>
        </w:rPr>
        <w:t>շարունակում</w:t>
      </w:r>
      <w:r w:rsidRPr="00B7540A">
        <w:rPr>
          <w:lang w:val="hy-AM"/>
        </w:rPr>
        <w:t xml:space="preserve"> </w:t>
      </w:r>
      <w:r w:rsidRPr="00B7540A">
        <w:rPr>
          <w:rFonts w:cs="Sylfaen"/>
          <w:lang w:val="hy-AM"/>
        </w:rPr>
        <w:t>է</w:t>
      </w:r>
      <w:r w:rsidRPr="00B7540A">
        <w:rPr>
          <w:lang w:val="hy-AM"/>
        </w:rPr>
        <w:t xml:space="preserve"> </w:t>
      </w:r>
      <w:r w:rsidRPr="00B7540A">
        <w:rPr>
          <w:rFonts w:cs="Sylfaen"/>
          <w:lang w:val="hy-AM"/>
        </w:rPr>
        <w:t>մնալ</w:t>
      </w:r>
      <w:r w:rsidRPr="00B7540A">
        <w:rPr>
          <w:lang w:val="hy-AM"/>
        </w:rPr>
        <w:t xml:space="preserve"> </w:t>
      </w:r>
      <w:r w:rsidRPr="00B7540A">
        <w:rPr>
          <w:rFonts w:cs="Sylfaen"/>
          <w:lang w:val="hy-AM"/>
        </w:rPr>
        <w:t>խոցելի՝</w:t>
      </w:r>
      <w:r w:rsidRPr="00B7540A">
        <w:rPr>
          <w:lang w:val="hy-AM"/>
        </w:rPr>
        <w:t xml:space="preserve"> </w:t>
      </w:r>
      <w:r w:rsidRPr="00B7540A">
        <w:rPr>
          <w:rFonts w:cs="Sylfaen"/>
          <w:lang w:val="hy-AM"/>
        </w:rPr>
        <w:t>պայմանավորված</w:t>
      </w:r>
      <w:r w:rsidRPr="00B7540A">
        <w:rPr>
          <w:lang w:val="hy-AM"/>
        </w:rPr>
        <w:t xml:space="preserve"> </w:t>
      </w:r>
      <w:r w:rsidRPr="00B7540A">
        <w:rPr>
          <w:rFonts w:cs="Sylfaen"/>
          <w:lang w:val="hy-AM"/>
        </w:rPr>
        <w:t>արտարժութային</w:t>
      </w:r>
      <w:r w:rsidRPr="00B7540A">
        <w:rPr>
          <w:lang w:val="hy-AM"/>
        </w:rPr>
        <w:t xml:space="preserve"> </w:t>
      </w:r>
      <w:r w:rsidRPr="00B7540A">
        <w:rPr>
          <w:rFonts w:cs="Sylfaen"/>
          <w:lang w:val="hy-AM"/>
        </w:rPr>
        <w:t>և</w:t>
      </w:r>
      <w:r w:rsidRPr="00B7540A">
        <w:rPr>
          <w:lang w:val="hy-AM"/>
        </w:rPr>
        <w:t xml:space="preserve"> </w:t>
      </w:r>
      <w:r w:rsidRPr="00B7540A">
        <w:rPr>
          <w:rFonts w:cs="Sylfaen"/>
          <w:lang w:val="hy-AM"/>
        </w:rPr>
        <w:t>ոչ</w:t>
      </w:r>
      <w:r w:rsidRPr="00B7540A">
        <w:rPr>
          <w:lang w:val="hy-AM"/>
        </w:rPr>
        <w:t xml:space="preserve"> </w:t>
      </w:r>
      <w:r w:rsidRPr="00B7540A">
        <w:rPr>
          <w:rFonts w:cs="Sylfaen"/>
          <w:lang w:val="hy-AM"/>
        </w:rPr>
        <w:t>ռեզիդետների</w:t>
      </w:r>
      <w:r w:rsidRPr="00B7540A">
        <w:rPr>
          <w:lang w:val="hy-AM"/>
        </w:rPr>
        <w:t xml:space="preserve"> </w:t>
      </w:r>
      <w:r w:rsidRPr="00B7540A">
        <w:rPr>
          <w:rFonts w:cs="Sylfaen"/>
          <w:lang w:val="hy-AM"/>
        </w:rPr>
        <w:t>նկատմամբ</w:t>
      </w:r>
      <w:r w:rsidRPr="00B7540A">
        <w:rPr>
          <w:lang w:val="hy-AM"/>
        </w:rPr>
        <w:t xml:space="preserve"> </w:t>
      </w:r>
      <w:r w:rsidRPr="00B7540A">
        <w:rPr>
          <w:rFonts w:cs="Sylfaen"/>
          <w:lang w:val="hy-AM"/>
        </w:rPr>
        <w:t>պարտքի</w:t>
      </w:r>
      <w:r w:rsidRPr="00B7540A">
        <w:rPr>
          <w:lang w:val="hy-AM"/>
        </w:rPr>
        <w:t xml:space="preserve"> </w:t>
      </w:r>
      <w:r w:rsidRPr="00B7540A">
        <w:rPr>
          <w:rFonts w:cs="Sylfaen"/>
          <w:lang w:val="hy-AM"/>
        </w:rPr>
        <w:t>բարձր</w:t>
      </w:r>
      <w:r w:rsidRPr="00B7540A">
        <w:rPr>
          <w:lang w:val="hy-AM"/>
        </w:rPr>
        <w:t xml:space="preserve"> </w:t>
      </w:r>
      <w:r w:rsidRPr="00B7540A">
        <w:rPr>
          <w:rFonts w:cs="Sylfaen"/>
          <w:lang w:val="hy-AM"/>
        </w:rPr>
        <w:t xml:space="preserve">մասնաբաժիններով։ </w:t>
      </w:r>
      <w:r w:rsidRPr="00B7540A">
        <w:rPr>
          <w:lang w:val="hy-AM"/>
        </w:rPr>
        <w:t xml:space="preserve">Պարտքի կայունության ապահովման համար հրամայական է հարկաբյուջետային կոնսոլիդացիայի իրականացումը և պարտքի բեռի նվազեցումը պարտք/ՀՆԱ սահմանային 60%-ի շեմից։ </w:t>
      </w:r>
      <w:r w:rsidRPr="00B7540A">
        <w:rPr>
          <w:rFonts w:cs="Sylfaen"/>
          <w:lang w:val="hy-AM"/>
        </w:rPr>
        <w:t xml:space="preserve">Միևնույն ժամանակ, պարտքի կանխատեսումները ենթակա են էական անորոշության։ Այսպես, </w:t>
      </w:r>
      <w:r w:rsidRPr="00B7540A">
        <w:rPr>
          <w:lang w:val="hy-AM"/>
        </w:rPr>
        <w:t>ըստ հավանականությունների բաշխման գրաֆիկի, 2024թ-ի համար 10-ից 90% հավանականային միջակայքում պարտք/ՀՆԱ ցուցանիշը 45-ից 71 տոկոս միջակայքում է ուրվագծվում։</w:t>
      </w:r>
    </w:p>
    <w:p w14:paraId="6B8F34EF" w14:textId="77777777" w:rsidR="00B7540A" w:rsidRPr="00B7540A" w:rsidRDefault="00B7540A" w:rsidP="00B7540A">
      <w:pPr>
        <w:spacing w:line="276" w:lineRule="auto"/>
        <w:rPr>
          <w:lang w:val="hy-AM"/>
        </w:rPr>
      </w:pPr>
      <w:r w:rsidRPr="00B7540A">
        <w:rPr>
          <w:lang w:val="hy-AM"/>
        </w:rPr>
        <w:t>Ամփոփելով հարկաբյուջետային ռիսկերի նկարագրությունը կարող ենք նշել, որ 2020թ. ճգնաժամային իրավիճակով և դրա դրսևորումների շարունակությամբ պայմանավորված ռիսկերն առավելապես վերաբերում են առկա անորոշություններին: Մասնավորապես, անորոշություններ են առկա ինչպես տնտեսության վերականգնման ընթացքի և տևողության հետ կապված, այնպես էլ հարկաբյուջետային քաղաքականության միջոցառումների չափի և ժամկետների, ինչպես նաև վերջիններիս արդյունավետության գծով: Նշված ռիսկերի ի հայտ գալու կամ անորոշությունների վերաբերյալ նոր տեղեկատվության առկայության պայմաններում, առաջիկա տարիների հարկաբյուջետային շրջանակը կարող է վերանայվել։</w:t>
      </w:r>
    </w:p>
    <w:p w14:paraId="6FEEB2C7" w14:textId="77777777" w:rsidR="00B7540A" w:rsidRPr="006233DC" w:rsidRDefault="006233DC" w:rsidP="006233DC">
      <w:pPr>
        <w:pStyle w:val="Heading3"/>
        <w:rPr>
          <w:rFonts w:eastAsia="Times New Roman" w:cs="Times New Roman"/>
          <w:caps w:val="0"/>
          <w:color w:val="1F497D" w:themeColor="text2"/>
          <w:sz w:val="28"/>
          <w:szCs w:val="28"/>
        </w:rPr>
      </w:pPr>
      <w:bookmarkStart w:id="489" w:name="_Toc77451206"/>
      <w:bookmarkStart w:id="490" w:name="_Toc77837856"/>
      <w:r w:rsidRPr="006233DC">
        <w:rPr>
          <w:rFonts w:eastAsia="Times New Roman" w:cs="Times New Roman"/>
          <w:caps w:val="0"/>
          <w:color w:val="1F497D" w:themeColor="text2"/>
          <w:sz w:val="28"/>
          <w:szCs w:val="28"/>
        </w:rPr>
        <w:t xml:space="preserve">2.5. </w:t>
      </w:r>
      <w:r w:rsidR="00B7540A" w:rsidRPr="006233DC">
        <w:rPr>
          <w:rFonts w:eastAsia="Times New Roman" w:cs="Times New Roman"/>
          <w:caps w:val="0"/>
          <w:color w:val="1F497D" w:themeColor="text2"/>
          <w:sz w:val="28"/>
          <w:szCs w:val="28"/>
        </w:rPr>
        <w:t>ՀԱՐԿԱԲՅՈՒՋԵՏԱՅԻՆ ՔԱՂԱՔԱԿԱՆՈՒԹՅԱՆ ՀԱՄԱՊԱՏԱՍԽԱՆՈՒԹՅՈՒՆԸ ՀԱՐԿԱԲՅՈՒՋԵՏԱՅԻՆ ԿԱՆՈՆՆԵՐԻՆ</w:t>
      </w:r>
      <w:bookmarkEnd w:id="489"/>
      <w:bookmarkEnd w:id="490"/>
    </w:p>
    <w:p w14:paraId="334D632C" w14:textId="77777777" w:rsidR="00B7540A" w:rsidRPr="00586097" w:rsidRDefault="00B7540A" w:rsidP="00B7540A">
      <w:pPr>
        <w:spacing w:line="276" w:lineRule="auto"/>
      </w:pPr>
      <w:r w:rsidRPr="00B7540A">
        <w:rPr>
          <w:lang w:val="hy-AM"/>
        </w:rPr>
        <w:t>ՀՀ հարկաբյուջետային կանոնների ներկա համակարգը գործարկվել է ՀՀ Ազգային ժողովի կողմից 2017 թվականի դեկտեմբերի 20-ին ՀՀ բյուջետային համակարգի մասին և Պետական պատքի մասին ՀՀ օրենքներում փոփոխություններ և լրացումն</w:t>
      </w:r>
      <w:r w:rsidRPr="00B7540A">
        <w:rPr>
          <w:lang w:val="hy-AM"/>
        </w:rPr>
        <w:softHyphen/>
        <w:t>եր կատարող օրենքների, ինչպես նաև են ՀՀ Կառավարության՝ 2018 թվականի օգոստոսի 23-ի N 942-</w:t>
      </w:r>
      <w:r w:rsidRPr="00B7540A">
        <w:rPr>
          <w:rFonts w:cs="Sylfaen"/>
          <w:lang w:val="hy-AM"/>
        </w:rPr>
        <w:t>Ն</w:t>
      </w:r>
      <w:r w:rsidRPr="00B7540A">
        <w:rPr>
          <w:lang w:val="hy-AM"/>
        </w:rPr>
        <w:t xml:space="preserve"> որոշման ընդունմամբ: Կանոնների համակարգը ներառում է ծախսային կանոններ, որոնք ուժի մեջ են մտնում պարտքի սահմանված շեմերը գերազանցելիս։ </w:t>
      </w:r>
      <w:r w:rsidRPr="00586097">
        <w:t>Մասնավորապես</w:t>
      </w:r>
      <w:r w:rsidRPr="00586097">
        <w:rPr>
          <w:rFonts w:ascii="Cambria Math" w:eastAsia="MS Gothic" w:hAnsi="Cambria Math" w:cs="Cambria Math"/>
        </w:rPr>
        <w:t>․</w:t>
      </w:r>
    </w:p>
    <w:p w14:paraId="3AE25199" w14:textId="77777777" w:rsidR="00B7540A" w:rsidRPr="00586097" w:rsidRDefault="00B7540A" w:rsidP="005B1E23">
      <w:pPr>
        <w:numPr>
          <w:ilvl w:val="1"/>
          <w:numId w:val="46"/>
        </w:numPr>
        <w:spacing w:before="0" w:after="0" w:line="276" w:lineRule="auto"/>
        <w:ind w:left="274" w:hanging="288"/>
        <w:contextualSpacing/>
      </w:pPr>
      <w:r w:rsidRPr="00586097">
        <w:t xml:space="preserve">Երբ կառավարության պարտք/ՀՆԱ հարաբերակցությունը գերազանցում է 40%-ը, պետական բյուջեի </w:t>
      </w:r>
      <w:r w:rsidRPr="005B1E23">
        <w:rPr>
          <w:lang w:val="hy-AM"/>
        </w:rPr>
        <w:t>կապիտալ</w:t>
      </w:r>
      <w:r w:rsidRPr="00586097">
        <w:t xml:space="preserve"> ծախսերը չպետք է փոքր լինեն բյուջեի պակասուրդից:</w:t>
      </w:r>
    </w:p>
    <w:p w14:paraId="1761206B" w14:textId="77777777" w:rsidR="00B7540A" w:rsidRPr="00586097" w:rsidRDefault="00B7540A" w:rsidP="005B1E23">
      <w:pPr>
        <w:numPr>
          <w:ilvl w:val="1"/>
          <w:numId w:val="46"/>
        </w:numPr>
        <w:spacing w:before="0" w:after="0" w:line="276" w:lineRule="auto"/>
        <w:ind w:left="274" w:hanging="288"/>
        <w:contextualSpacing/>
      </w:pPr>
      <w:r w:rsidRPr="005B1E23">
        <w:rPr>
          <w:lang w:val="hy-AM"/>
        </w:rPr>
        <w:t>Կառավարության</w:t>
      </w:r>
      <w:r w:rsidRPr="00586097">
        <w:t xml:space="preserve"> պարտք/ՀՆԱ 50-60% միջակայքում ընթացիկ առաջնային ծախսերի աճի տեմպը սահմանափակվում է նախորդ 7 տարիների ՀՆԱ-ների միջին աճով, ինչպես նաև հաջորդ տարում կազմվող պետական միջնաժամկետ ծախսերի ծրագրում կառավարությունը ներկայացնում է միջոցառումների ծրագիր՝ համախառն ներքին արդյունքի նկատմամբ կառավարության պարտքի մակարդակի կանխատեսվող հետագիծը 5 տարիների ընթացքում 50 տոկոսից նվազեցնելու համար:</w:t>
      </w:r>
    </w:p>
    <w:p w14:paraId="04256771" w14:textId="77777777" w:rsidR="00B7540A" w:rsidRPr="00586097" w:rsidRDefault="00B7540A" w:rsidP="005B1E23">
      <w:pPr>
        <w:numPr>
          <w:ilvl w:val="1"/>
          <w:numId w:val="46"/>
        </w:numPr>
        <w:spacing w:before="0" w:after="0" w:line="276" w:lineRule="auto"/>
        <w:ind w:left="274" w:hanging="288"/>
        <w:contextualSpacing/>
      </w:pPr>
      <w:r w:rsidRPr="00586097">
        <w:t xml:space="preserve">Երբ Կառավարության պարտքը գերազանցում է ՀՆԱ 60%-ը, ընթացիկ առաջնային ծախսերի աճի </w:t>
      </w:r>
      <w:r w:rsidRPr="005B1E23">
        <w:rPr>
          <w:lang w:val="hy-AM"/>
        </w:rPr>
        <w:t>տեմպը</w:t>
      </w:r>
      <w:r w:rsidRPr="00586097">
        <w:t xml:space="preserve"> սահմանափակվում է նախորդ 7 տարիների ՀՆԱ-ների միջին աճից 0.5 տոկոսային կետով նվազեցված ցուցանիշով, ընթացիկ ծախսերը սահմանափակվում են հարկերի և տուրքերի մեծությամբ, ինչպես նաև Կառավարությունը Ազգային ժողովի ֆինանսավարկային և բյուջետային ու տնտեսական հարցերի մշտական հանձնաժողովների քննարկմանը ներկայացնում է միջոցառումների ծրագիր՝ ՀՆԱ նկատմամբ կառավարության պարտքի մակարդակի կանխատեսվող հետագիծը 5 տարիների ընթացքում 60 տոկոսից նվազեցնելու համար: </w:t>
      </w:r>
    </w:p>
    <w:p w14:paraId="29FE00DE" w14:textId="77777777" w:rsidR="00B7540A" w:rsidRPr="00586097" w:rsidRDefault="00B7540A" w:rsidP="005B1E23">
      <w:pPr>
        <w:numPr>
          <w:ilvl w:val="1"/>
          <w:numId w:val="46"/>
        </w:numPr>
        <w:spacing w:before="0" w:after="120" w:line="276" w:lineRule="auto"/>
        <w:ind w:left="270" w:hanging="283"/>
        <w:contextualSpacing/>
      </w:pPr>
      <w:r w:rsidRPr="00586097">
        <w:t>Ներկայացված սահմանափակումները չեն գործում կառավարության որոշմամբ սահմանված բացառիկ դեպքերում՝ ելնելով խոշորածավալ տարերային և տեխնածին աղետների, պատերազմական գործողությունների, տնտեսությունը խաղաղ ժամանակաշրջանից պատերազմական ժամանակաշրջանի փոխադրման, տնտեսական ցնցման հանգամանքներով պայմանավորված բացասական տնտեսական զարգացումների պարագայում:</w:t>
      </w:r>
    </w:p>
    <w:p w14:paraId="1073FB93" w14:textId="77777777" w:rsidR="00B7540A" w:rsidRPr="00586097" w:rsidRDefault="00B7540A" w:rsidP="00B7540A">
      <w:pPr>
        <w:spacing w:line="276" w:lineRule="auto"/>
      </w:pPr>
      <w:r w:rsidRPr="00586097">
        <w:t>2020թ</w:t>
      </w:r>
      <w:r w:rsidRPr="00586097">
        <w:rPr>
          <w:rFonts w:cs="Cambria Math"/>
        </w:rPr>
        <w:t>.</w:t>
      </w:r>
      <w:r w:rsidRPr="00586097">
        <w:t>-ի պետական բյուջեի ինչպես վերանայված ծրագրային ցուցանիշները, այնպես էլ փաստացի ցուցանիշները շեղվել են ծախսային կանոններով բնականոն իրավիճակի համար սահմանված պահանջներից՝ մնալով օրենսդրության շրջանակում, քանի որ տնտեսական ցնցումներով պայմանավորված՝ իրավիճակը ճանաչվել է բացառիկ։ Վերջինիս իրավական հիմքերը ձևավորված են «ՀՀ բյուջետային համակարգի մասին» ՀՀ օրենքի 21</w:t>
      </w:r>
      <w:r w:rsidRPr="00586097">
        <w:noBreakHyphen/>
        <w:t>րդ հոդվածի 8.3 կետով և ՀՀ կառավարության N 942-Ն որոշման 3-րդ կետով նախատեսված դրույթներով, իսկ իրավիճակը բացառիկ է ճանաչվել ՀՀ կառավարության 2020թ</w:t>
      </w:r>
      <w:r w:rsidRPr="00586097">
        <w:rPr>
          <w:rFonts w:ascii="Cambria Math" w:hAnsi="Cambria Math" w:cs="Cambria Math"/>
        </w:rPr>
        <w:t>․</w:t>
      </w:r>
      <w:r w:rsidRPr="00586097">
        <w:t xml:space="preserve">-ի ապրիլի 23-ի </w:t>
      </w:r>
      <w:r w:rsidRPr="00586097">
        <w:rPr>
          <w:rFonts w:cs="GHEA Grapalat"/>
        </w:rPr>
        <w:t>587-Ա և սեպտեմբերի 29</w:t>
      </w:r>
      <w:r w:rsidRPr="00586097">
        <w:rPr>
          <w:rFonts w:cs="GHEA Grapalat"/>
        </w:rPr>
        <w:noBreakHyphen/>
        <w:t>ի 1600</w:t>
      </w:r>
      <w:r w:rsidRPr="00586097">
        <w:rPr>
          <w:rFonts w:cs="GHEA Grapalat"/>
        </w:rPr>
        <w:noBreakHyphen/>
        <w:t xml:space="preserve">Ա </w:t>
      </w:r>
      <w:r w:rsidRPr="00586097">
        <w:t>որոշումներով։ Այս հանգամանքը հանգեցրել է 2020թ</w:t>
      </w:r>
      <w:r w:rsidRPr="00586097">
        <w:rPr>
          <w:rFonts w:ascii="Cambria Math" w:hAnsi="Cambria Math" w:cs="Cambria Math"/>
        </w:rPr>
        <w:t>․</w:t>
      </w:r>
      <w:r w:rsidRPr="00586097">
        <w:t>-ին իրականցված հարկաբյուջետային խթանող քաղաքականության արդյունքում ՀՀ կառավարության պարտքի բեռի շեղմանը 60% սահմանային շեմից, որի պայմաններում կառավարությունը պետք է ծրագրի հարկաբյուջետային կոնսոլիդացիա՝ պարտքի բեռը այդ շեմային ցուցանիշից նվազեցնելու նպատակադրմամբ։</w:t>
      </w:r>
    </w:p>
    <w:p w14:paraId="4C86EF59" w14:textId="77777777" w:rsidR="00B7540A" w:rsidRPr="00586097" w:rsidRDefault="00B7540A" w:rsidP="00B7540A">
      <w:pPr>
        <w:spacing w:line="276" w:lineRule="auto"/>
      </w:pPr>
      <w:r w:rsidRPr="00586097">
        <w:rPr>
          <w:b/>
        </w:rPr>
        <w:t>2021թ</w:t>
      </w:r>
      <w:r w:rsidRPr="00586097">
        <w:rPr>
          <w:rFonts w:ascii="Cambria Math" w:hAnsi="Cambria Math" w:cs="Cambria Math"/>
          <w:b/>
        </w:rPr>
        <w:t>․</w:t>
      </w:r>
      <w:r w:rsidRPr="00586097">
        <w:rPr>
          <w:b/>
        </w:rPr>
        <w:t>-ին նախատեսվել է սկսել սահուն հարկաբյուջետային կոնսոլիդացիա և բյուջեի պակասուրդը կրճատել աստիճանական եղանակով՝</w:t>
      </w:r>
      <w:r w:rsidRPr="00586097">
        <w:t xml:space="preserve"> նպատակ դնելով չխաթարել վերականգնման փուլում տնտեսական ակտիվությունը և կառուցվածքային բարեփոխումների ընթացքը: Մասնավորապես, նախատեսվել է դանդաղեցնել կառավարության պարտքի բեռի ավելացման տեմպը, ինչը հիմք կհանդիսանա միջնաժամկետ հատվածում հարկաբյուջետային կանոններին համահունչ «առավել անվտանգ մակարդակներ» պարտքի բեռի նվազեցման ճանապարհով պետական պարտքի կայունության ամրապնդման համար։ Միևնույն ժամանակ սպասվում է, որ 2021թ</w:t>
      </w:r>
      <w:r w:rsidRPr="00586097">
        <w:rPr>
          <w:rFonts w:ascii="Cambria Math" w:hAnsi="Cambria Math" w:cs="Cambria Math"/>
        </w:rPr>
        <w:t>․</w:t>
      </w:r>
      <w:r w:rsidRPr="00586097">
        <w:t xml:space="preserve">-ին պետական բյուջեի կատարումը շարունակելու է շեղվել հարկաբյուջետային կանոններից, քանի որ </w:t>
      </w:r>
      <w:r w:rsidRPr="00586097">
        <w:rPr>
          <w:rFonts w:eastAsia="Calibri"/>
        </w:rPr>
        <w:t>2020թ.-ի տնտեսական ցնցման հետևանքների պահպանմամբ պայմանավորված, ՀՀ օրենսդրությանը համապատասխան կարգով, 2021թ.-ին ևս կպահպանվեն բացառիկ իրավիճակի կարգավորումները: Սակայն նախատեսվում է 2021թ</w:t>
      </w:r>
      <w:r w:rsidRPr="00586097">
        <w:rPr>
          <w:rFonts w:ascii="Cambria Math" w:eastAsia="Calibri" w:hAnsi="Cambria Math" w:cs="Cambria Math"/>
        </w:rPr>
        <w:t>․</w:t>
      </w:r>
      <w:r w:rsidRPr="00586097">
        <w:rPr>
          <w:rFonts w:eastAsia="Calibri"/>
        </w:rPr>
        <w:t>-ին զգալիորեն կրճատել կանոններից շեղման չափը, ինչը հնարավորություն կտա 2022թ</w:t>
      </w:r>
      <w:r w:rsidRPr="00586097">
        <w:rPr>
          <w:rFonts w:ascii="Cambria Math" w:eastAsia="Calibri" w:hAnsi="Cambria Math" w:cs="Cambria Math"/>
        </w:rPr>
        <w:t>․</w:t>
      </w:r>
      <w:r w:rsidRPr="00586097">
        <w:rPr>
          <w:rFonts w:eastAsia="Calibri"/>
        </w:rPr>
        <w:t xml:space="preserve">-ից վերադառնալ հարկաբյուջետային կանոնների ամբողջական պահպանմանը։ </w:t>
      </w:r>
    </w:p>
    <w:p w14:paraId="6F9904F7" w14:textId="77777777" w:rsidR="00B7540A" w:rsidRPr="00586097" w:rsidRDefault="00B7540A" w:rsidP="00B7540A">
      <w:pPr>
        <w:spacing w:line="276" w:lineRule="auto"/>
        <w:rPr>
          <w:i/>
          <w:iCs/>
        </w:rPr>
      </w:pPr>
      <w:r w:rsidRPr="00586097">
        <w:rPr>
          <w:rFonts w:eastAsia="Calibri"/>
          <w:b/>
        </w:rPr>
        <w:t>Միջնաժամկետում նախատեսվում է վերադարձ հարկաբյուջետային կանոնների ամբողջական պահպանմանը:</w:t>
      </w:r>
      <w:r w:rsidRPr="00586097">
        <w:rPr>
          <w:rFonts w:eastAsia="Calibri"/>
        </w:rPr>
        <w:t xml:space="preserve"> Տնտեսության վերականգնմանը զուգահեռ, ՀՀ Կառավարությունը վերադարձ կկատարի ՀՀ օրենսդրությամբ բնականոն իրավիճակների համար սահմանված ծախսային կանոնների, այդ թվում՝ պետական ֆինանսների «ոսկե կանոնների» և ընթացիկ առաջնային ծախսերի աճի տեմպի՝ երկարաժամկետ տնտեսական աճի միջին տեմպով սահմանափակման կանոնի ամբողջական պահպանմանը՝ ապահովելով պարտք/ՀՆԱ հարաբերակցության նվազող հետագիծը և ծախսերի կառուցվածքի բարելավումը: Մասնավորապես, մ</w:t>
      </w:r>
      <w:r w:rsidRPr="00586097">
        <w:t>շակված հարկաբյուջետային շրջանակը նախանշում է կառավարության պարտքի բեռի նվազեցումը 2021թ</w:t>
      </w:r>
      <w:r w:rsidRPr="00586097">
        <w:rPr>
          <w:rFonts w:cs="Cambria Math"/>
        </w:rPr>
        <w:t>.</w:t>
      </w:r>
      <w:r w:rsidRPr="00586097">
        <w:t>-ից՝ մինչև 2024թ</w:t>
      </w:r>
      <w:r w:rsidRPr="00586097">
        <w:rPr>
          <w:rFonts w:ascii="Cambria Math" w:hAnsi="Cambria Math" w:cs="Cambria Math"/>
        </w:rPr>
        <w:t>․</w:t>
      </w:r>
      <w:r w:rsidRPr="00586097">
        <w:t>-ը ապահովելով 2020թ</w:t>
      </w:r>
      <w:r w:rsidRPr="00586097">
        <w:rPr>
          <w:rFonts w:ascii="Cambria Math" w:hAnsi="Cambria Math" w:cs="Cambria Math"/>
        </w:rPr>
        <w:t>․</w:t>
      </w:r>
      <w:r w:rsidRPr="00586097">
        <w:t>-ի նկատմամբ 6</w:t>
      </w:r>
      <w:r w:rsidRPr="00586097">
        <w:rPr>
          <w:rFonts w:ascii="Cambria Math" w:hAnsi="Cambria Math" w:cs="Cambria Math"/>
        </w:rPr>
        <w:t>․</w:t>
      </w:r>
      <w:r w:rsidRPr="00586097">
        <w:t>7%-ային կետով ավելի ցածր ցուցանիշ։ 2022-2024 թվականների ծրագրված հարկաբյուջետային զարգացումները հնարավորություն կտան շարունակել հարկաբյուջետային կոնսոլիդացիան ՀՀ կառավարության պարտքի նվազեցման ծրագրի ամբողջ հորիզոնում՝ մինչև 2026 թվականը, և ապահովել կառավարության պարտք/ՀՆԱ ցուցանիշի 60%-ից ցածր մակարդակ Ծրագրով նախատեսվող ժամանակահատվածում։ (առավել մանրամասն տես՝ «Հարկաբյուջետային քաղաքականության հիմնական ուղղությունները և կանխատեսումները հատվածում»):</w:t>
      </w:r>
    </w:p>
    <w:p w14:paraId="5C607D8D" w14:textId="77777777" w:rsidR="00B7540A" w:rsidRPr="00586097" w:rsidRDefault="00B7540A" w:rsidP="00B7540A">
      <w:pPr>
        <w:pStyle w:val="afc"/>
        <w:spacing w:line="276" w:lineRule="auto"/>
      </w:pPr>
      <w:r w:rsidRPr="00586097">
        <w:t>Աղյուսակ 2.2. Փաստացի և ծրագրավորված հարկաբյուջետային քաղաքականության համապատասխանությունը հարկաբյուջետային կանոններին</w:t>
      </w:r>
    </w:p>
    <w:tbl>
      <w:tblPr>
        <w:tblW w:w="11137" w:type="dxa"/>
        <w:jc w:val="center"/>
        <w:tblBorders>
          <w:top w:val="single" w:sz="18" w:space="0" w:color="4472C4"/>
          <w:left w:val="single" w:sz="18" w:space="0" w:color="4472C4"/>
          <w:bottom w:val="single" w:sz="18" w:space="0" w:color="4472C4"/>
          <w:right w:val="single" w:sz="18" w:space="0" w:color="4472C4"/>
          <w:insideH w:val="single" w:sz="6" w:space="0" w:color="4472C4"/>
          <w:insideV w:val="single" w:sz="6" w:space="0" w:color="4472C4"/>
        </w:tblBorders>
        <w:tblLayout w:type="fixed"/>
        <w:tblLook w:val="04A0" w:firstRow="1" w:lastRow="0" w:firstColumn="1" w:lastColumn="0" w:noHBand="0" w:noVBand="1"/>
      </w:tblPr>
      <w:tblGrid>
        <w:gridCol w:w="1237"/>
        <w:gridCol w:w="1350"/>
        <w:gridCol w:w="509"/>
        <w:gridCol w:w="709"/>
        <w:gridCol w:w="708"/>
        <w:gridCol w:w="773"/>
        <w:gridCol w:w="13"/>
        <w:gridCol w:w="632"/>
        <w:gridCol w:w="851"/>
        <w:gridCol w:w="16"/>
        <w:gridCol w:w="711"/>
        <w:gridCol w:w="748"/>
        <w:gridCol w:w="720"/>
        <w:gridCol w:w="720"/>
        <w:gridCol w:w="720"/>
        <w:gridCol w:w="720"/>
      </w:tblGrid>
      <w:tr w:rsidR="00B7540A" w:rsidRPr="00586097" w14:paraId="0A3EDFE2" w14:textId="77777777" w:rsidTr="00E521C1">
        <w:trPr>
          <w:trHeight w:val="466"/>
          <w:tblHeader/>
          <w:jc w:val="center"/>
        </w:trPr>
        <w:tc>
          <w:tcPr>
            <w:tcW w:w="1237" w:type="dxa"/>
            <w:vMerge w:val="restart"/>
            <w:tcBorders>
              <w:top w:val="single" w:sz="18" w:space="0" w:color="4472C4"/>
              <w:bottom w:val="single" w:sz="2" w:space="0" w:color="4472C4"/>
              <w:right w:val="single" w:sz="2" w:space="0" w:color="4472C4"/>
            </w:tcBorders>
            <w:shd w:val="clear" w:color="auto" w:fill="5B9BD5"/>
            <w:vAlign w:val="center"/>
            <w:hideMark/>
          </w:tcPr>
          <w:p w14:paraId="7CBD73F1" w14:textId="77777777" w:rsidR="00B7540A" w:rsidRPr="00586097" w:rsidRDefault="00B7540A" w:rsidP="00B7540A">
            <w:pPr>
              <w:spacing w:line="276" w:lineRule="auto"/>
              <w:ind w:firstLine="0"/>
              <w:jc w:val="center"/>
              <w:rPr>
                <w:rFonts w:cs="Arial"/>
                <w:color w:val="FFFFFF"/>
              </w:rPr>
            </w:pPr>
            <w:r w:rsidRPr="00586097">
              <w:rPr>
                <w:rFonts w:cs="Arial"/>
                <w:color w:val="FFFFFF"/>
              </w:rPr>
              <w:t>Կանոնի ցուցանիշ</w:t>
            </w:r>
          </w:p>
        </w:tc>
        <w:tc>
          <w:tcPr>
            <w:tcW w:w="1350" w:type="dxa"/>
            <w:vMerge w:val="restart"/>
            <w:tcBorders>
              <w:top w:val="single" w:sz="18" w:space="0" w:color="4472C4"/>
              <w:left w:val="single" w:sz="2" w:space="0" w:color="4472C4"/>
              <w:bottom w:val="single" w:sz="2" w:space="0" w:color="4472C4"/>
              <w:right w:val="single" w:sz="2" w:space="0" w:color="4472C4"/>
            </w:tcBorders>
            <w:shd w:val="clear" w:color="auto" w:fill="5B9BD5"/>
            <w:vAlign w:val="center"/>
            <w:hideMark/>
          </w:tcPr>
          <w:p w14:paraId="0B15F012" w14:textId="77777777" w:rsidR="00B7540A" w:rsidRPr="00586097" w:rsidRDefault="00B7540A" w:rsidP="00B7540A">
            <w:pPr>
              <w:spacing w:line="276" w:lineRule="auto"/>
              <w:ind w:firstLine="0"/>
              <w:jc w:val="center"/>
              <w:rPr>
                <w:rFonts w:cs="Arial"/>
                <w:color w:val="FFFFFF"/>
              </w:rPr>
            </w:pPr>
            <w:r w:rsidRPr="00586097">
              <w:rPr>
                <w:rFonts w:cs="Arial"/>
                <w:color w:val="FFFFFF"/>
              </w:rPr>
              <w:t>Ուղենի</w:t>
            </w:r>
            <w:r w:rsidR="00E521C1">
              <w:rPr>
                <w:rFonts w:cs="Arial"/>
                <w:color w:val="FFFFFF"/>
              </w:rPr>
              <w:t>-</w:t>
            </w:r>
            <w:r w:rsidRPr="00586097">
              <w:rPr>
                <w:rFonts w:cs="Arial"/>
                <w:color w:val="FFFFFF"/>
              </w:rPr>
              <w:t>շային ցուցանիշ</w:t>
            </w:r>
          </w:p>
        </w:tc>
        <w:tc>
          <w:tcPr>
            <w:tcW w:w="1218" w:type="dxa"/>
            <w:gridSpan w:val="2"/>
            <w:tcBorders>
              <w:top w:val="single" w:sz="18" w:space="0" w:color="4472C4"/>
              <w:left w:val="single" w:sz="2" w:space="0" w:color="4472C4"/>
              <w:bottom w:val="single" w:sz="2" w:space="0" w:color="4472C4"/>
              <w:right w:val="single" w:sz="2" w:space="0" w:color="4472C4"/>
            </w:tcBorders>
            <w:shd w:val="clear" w:color="auto" w:fill="5B9BD5"/>
            <w:noWrap/>
            <w:vAlign w:val="bottom"/>
            <w:hideMark/>
          </w:tcPr>
          <w:p w14:paraId="63A79E68" w14:textId="77777777" w:rsidR="00B7540A" w:rsidRPr="00586097" w:rsidRDefault="00B7540A" w:rsidP="00B7540A">
            <w:pPr>
              <w:spacing w:line="276" w:lineRule="auto"/>
              <w:ind w:firstLine="5"/>
              <w:jc w:val="center"/>
              <w:rPr>
                <w:rFonts w:cs="Arial"/>
                <w:color w:val="FFFFFF"/>
              </w:rPr>
            </w:pPr>
            <w:r w:rsidRPr="00586097">
              <w:rPr>
                <w:rFonts w:cs="Arial"/>
                <w:color w:val="FFFFFF"/>
              </w:rPr>
              <w:t>2019</w:t>
            </w:r>
          </w:p>
        </w:tc>
        <w:tc>
          <w:tcPr>
            <w:tcW w:w="1494" w:type="dxa"/>
            <w:gridSpan w:val="3"/>
            <w:tcBorders>
              <w:top w:val="single" w:sz="18" w:space="0" w:color="4472C4"/>
              <w:left w:val="single" w:sz="2" w:space="0" w:color="4472C4"/>
              <w:bottom w:val="single" w:sz="2" w:space="0" w:color="4472C4"/>
              <w:right w:val="single" w:sz="2" w:space="0" w:color="4472C4"/>
            </w:tcBorders>
            <w:shd w:val="clear" w:color="auto" w:fill="5B9BD5"/>
            <w:noWrap/>
            <w:vAlign w:val="bottom"/>
            <w:hideMark/>
          </w:tcPr>
          <w:p w14:paraId="3074DAA4" w14:textId="77777777" w:rsidR="00B7540A" w:rsidRPr="00586097" w:rsidRDefault="00B7540A" w:rsidP="00B7540A">
            <w:pPr>
              <w:spacing w:line="276" w:lineRule="auto"/>
              <w:ind w:firstLine="5"/>
              <w:jc w:val="center"/>
              <w:rPr>
                <w:rFonts w:cs="Arial"/>
                <w:color w:val="FFFFFF"/>
              </w:rPr>
            </w:pPr>
            <w:r w:rsidRPr="00586097">
              <w:rPr>
                <w:rFonts w:cs="Arial"/>
                <w:color w:val="FFFFFF"/>
              </w:rPr>
              <w:t>2020</w:t>
            </w:r>
          </w:p>
        </w:tc>
        <w:tc>
          <w:tcPr>
            <w:tcW w:w="1499" w:type="dxa"/>
            <w:gridSpan w:val="3"/>
            <w:tcBorders>
              <w:top w:val="single" w:sz="18" w:space="0" w:color="4472C4"/>
              <w:left w:val="single" w:sz="2" w:space="0" w:color="4472C4"/>
              <w:bottom w:val="single" w:sz="2" w:space="0" w:color="4472C4"/>
              <w:right w:val="single" w:sz="2" w:space="0" w:color="4472C4"/>
            </w:tcBorders>
            <w:shd w:val="clear" w:color="auto" w:fill="5B9BD5"/>
            <w:noWrap/>
            <w:vAlign w:val="bottom"/>
            <w:hideMark/>
          </w:tcPr>
          <w:p w14:paraId="0DF49DC6" w14:textId="77777777" w:rsidR="00B7540A" w:rsidRPr="00586097" w:rsidRDefault="00B7540A" w:rsidP="00B7540A">
            <w:pPr>
              <w:spacing w:line="276" w:lineRule="auto"/>
              <w:ind w:firstLine="5"/>
              <w:jc w:val="center"/>
              <w:rPr>
                <w:rFonts w:cs="Arial"/>
                <w:color w:val="FFFFFF"/>
              </w:rPr>
            </w:pPr>
            <w:r w:rsidRPr="00586097">
              <w:rPr>
                <w:rFonts w:cs="Arial"/>
                <w:color w:val="FFFFFF"/>
              </w:rPr>
              <w:t>2021</w:t>
            </w:r>
          </w:p>
        </w:tc>
        <w:tc>
          <w:tcPr>
            <w:tcW w:w="1459" w:type="dxa"/>
            <w:gridSpan w:val="2"/>
            <w:tcBorders>
              <w:top w:val="single" w:sz="18" w:space="0" w:color="4472C4"/>
              <w:left w:val="single" w:sz="2" w:space="0" w:color="4472C4"/>
              <w:bottom w:val="single" w:sz="2" w:space="0" w:color="4472C4"/>
              <w:right w:val="single" w:sz="2" w:space="0" w:color="4472C4"/>
            </w:tcBorders>
            <w:shd w:val="clear" w:color="auto" w:fill="5B9BD5"/>
            <w:noWrap/>
            <w:vAlign w:val="bottom"/>
            <w:hideMark/>
          </w:tcPr>
          <w:p w14:paraId="7C556062" w14:textId="77777777" w:rsidR="00B7540A" w:rsidRPr="00586097" w:rsidRDefault="00B7540A" w:rsidP="00B7540A">
            <w:pPr>
              <w:spacing w:line="276" w:lineRule="auto"/>
              <w:ind w:firstLine="5"/>
              <w:jc w:val="center"/>
              <w:rPr>
                <w:rFonts w:cs="Arial"/>
                <w:color w:val="FFFFFF"/>
              </w:rPr>
            </w:pPr>
            <w:r w:rsidRPr="00586097">
              <w:rPr>
                <w:rFonts w:cs="Arial"/>
                <w:color w:val="FFFFFF"/>
              </w:rPr>
              <w:t>2022</w:t>
            </w:r>
          </w:p>
        </w:tc>
        <w:tc>
          <w:tcPr>
            <w:tcW w:w="1440" w:type="dxa"/>
            <w:gridSpan w:val="2"/>
            <w:tcBorders>
              <w:top w:val="single" w:sz="18" w:space="0" w:color="4472C4"/>
              <w:left w:val="single" w:sz="2" w:space="0" w:color="4472C4"/>
              <w:bottom w:val="single" w:sz="2" w:space="0" w:color="4472C4"/>
              <w:right w:val="single" w:sz="2" w:space="0" w:color="4472C4"/>
            </w:tcBorders>
            <w:shd w:val="clear" w:color="auto" w:fill="5B9BD5"/>
            <w:vAlign w:val="bottom"/>
            <w:hideMark/>
          </w:tcPr>
          <w:p w14:paraId="725F9D4A" w14:textId="77777777" w:rsidR="00B7540A" w:rsidRPr="00586097" w:rsidRDefault="00B7540A" w:rsidP="00B7540A">
            <w:pPr>
              <w:spacing w:line="276" w:lineRule="auto"/>
              <w:ind w:firstLine="5"/>
              <w:jc w:val="center"/>
              <w:rPr>
                <w:rFonts w:cs="Arial"/>
                <w:color w:val="FFFFFF"/>
              </w:rPr>
            </w:pPr>
            <w:r w:rsidRPr="00586097">
              <w:rPr>
                <w:rFonts w:cs="Arial"/>
                <w:color w:val="FFFFFF"/>
              </w:rPr>
              <w:t>2023</w:t>
            </w:r>
          </w:p>
        </w:tc>
        <w:tc>
          <w:tcPr>
            <w:tcW w:w="1440" w:type="dxa"/>
            <w:gridSpan w:val="2"/>
            <w:tcBorders>
              <w:top w:val="single" w:sz="18" w:space="0" w:color="4472C4"/>
              <w:left w:val="single" w:sz="2" w:space="0" w:color="4472C4"/>
              <w:bottom w:val="single" w:sz="2" w:space="0" w:color="4472C4"/>
              <w:right w:val="single" w:sz="18" w:space="0" w:color="4472C4"/>
            </w:tcBorders>
            <w:shd w:val="clear" w:color="auto" w:fill="5B9BD5"/>
          </w:tcPr>
          <w:p w14:paraId="59220C4E" w14:textId="77777777" w:rsidR="00B7540A" w:rsidRPr="00586097" w:rsidRDefault="00B7540A" w:rsidP="00B7540A">
            <w:pPr>
              <w:spacing w:line="276" w:lineRule="auto"/>
              <w:ind w:firstLine="5"/>
              <w:jc w:val="center"/>
              <w:rPr>
                <w:rFonts w:cs="Arial"/>
                <w:color w:val="FFFFFF"/>
              </w:rPr>
            </w:pPr>
            <w:r w:rsidRPr="00586097">
              <w:rPr>
                <w:rFonts w:cs="Arial"/>
                <w:color w:val="FFFFFF"/>
              </w:rPr>
              <w:t>2024</w:t>
            </w:r>
          </w:p>
        </w:tc>
      </w:tr>
      <w:tr w:rsidR="00B7540A" w:rsidRPr="00586097" w14:paraId="3414AF80" w14:textId="77777777" w:rsidTr="005B1E23">
        <w:trPr>
          <w:cantSplit/>
          <w:trHeight w:val="850"/>
          <w:tblHeader/>
          <w:jc w:val="center"/>
        </w:trPr>
        <w:tc>
          <w:tcPr>
            <w:tcW w:w="1237" w:type="dxa"/>
            <w:vMerge/>
            <w:tcBorders>
              <w:top w:val="single" w:sz="2" w:space="0" w:color="4472C4"/>
              <w:bottom w:val="single" w:sz="2" w:space="0" w:color="4472C4"/>
              <w:right w:val="single" w:sz="2" w:space="0" w:color="4472C4"/>
            </w:tcBorders>
            <w:shd w:val="clear" w:color="auto" w:fill="5B9BD5"/>
            <w:vAlign w:val="center"/>
            <w:hideMark/>
          </w:tcPr>
          <w:p w14:paraId="291FA8E2" w14:textId="77777777" w:rsidR="00B7540A" w:rsidRPr="00586097" w:rsidRDefault="00B7540A" w:rsidP="00B7540A">
            <w:pPr>
              <w:spacing w:line="276" w:lineRule="auto"/>
              <w:rPr>
                <w:rFonts w:cs="Arial"/>
                <w:color w:val="FFFFFF"/>
              </w:rPr>
            </w:pPr>
          </w:p>
        </w:tc>
        <w:tc>
          <w:tcPr>
            <w:tcW w:w="1350" w:type="dxa"/>
            <w:vMerge/>
            <w:tcBorders>
              <w:top w:val="single" w:sz="2" w:space="0" w:color="4472C4"/>
              <w:left w:val="single" w:sz="2" w:space="0" w:color="4472C4"/>
              <w:bottom w:val="single" w:sz="2" w:space="0" w:color="4472C4"/>
              <w:right w:val="single" w:sz="2" w:space="0" w:color="4472C4"/>
            </w:tcBorders>
            <w:shd w:val="clear" w:color="auto" w:fill="5B9BD5"/>
            <w:vAlign w:val="center"/>
            <w:hideMark/>
          </w:tcPr>
          <w:p w14:paraId="3E9EC064" w14:textId="77777777" w:rsidR="00B7540A" w:rsidRPr="00586097" w:rsidRDefault="00B7540A" w:rsidP="00B7540A">
            <w:pPr>
              <w:spacing w:line="276" w:lineRule="auto"/>
              <w:rPr>
                <w:rFonts w:cs="Arial"/>
                <w:color w:val="FFFFFF"/>
              </w:rPr>
            </w:pPr>
          </w:p>
        </w:tc>
        <w:tc>
          <w:tcPr>
            <w:tcW w:w="509" w:type="dxa"/>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6B479172" w14:textId="77777777" w:rsidR="00B7540A" w:rsidRPr="00586097" w:rsidRDefault="00B7540A" w:rsidP="00B7540A">
            <w:pPr>
              <w:spacing w:line="276" w:lineRule="auto"/>
              <w:ind w:left="6" w:right="113" w:firstLine="0"/>
              <w:jc w:val="center"/>
              <w:rPr>
                <w:rFonts w:cs="Arial"/>
                <w:color w:val="FFFFFF"/>
              </w:rPr>
            </w:pPr>
            <w:r w:rsidRPr="00586097">
              <w:rPr>
                <w:rFonts w:cs="Arial"/>
                <w:color w:val="FFFFFF"/>
              </w:rPr>
              <w:t>Սահմ</w:t>
            </w:r>
            <w:r w:rsidRPr="00586097">
              <w:rPr>
                <w:rFonts w:ascii="Cambria Math" w:hAnsi="Cambria Math" w:cs="Cambria Math"/>
                <w:color w:val="FFFFFF"/>
              </w:rPr>
              <w:t>․</w:t>
            </w:r>
          </w:p>
        </w:tc>
        <w:tc>
          <w:tcPr>
            <w:tcW w:w="709" w:type="dxa"/>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33A3A971" w14:textId="77777777" w:rsidR="00B7540A" w:rsidRPr="00586097" w:rsidRDefault="00B7540A" w:rsidP="00B7540A">
            <w:pPr>
              <w:spacing w:line="276" w:lineRule="auto"/>
              <w:ind w:firstLine="0"/>
              <w:jc w:val="center"/>
              <w:rPr>
                <w:rFonts w:cs="Arial"/>
                <w:color w:val="FFFFFF"/>
              </w:rPr>
            </w:pPr>
            <w:r w:rsidRPr="00586097">
              <w:rPr>
                <w:rFonts w:cs="Arial"/>
                <w:color w:val="FFFFFF"/>
              </w:rPr>
              <w:t>Փաստ</w:t>
            </w:r>
            <w:r w:rsidRPr="00586097">
              <w:rPr>
                <w:rFonts w:ascii="Cambria Math" w:hAnsi="Cambria Math" w:cs="Cambria Math"/>
                <w:color w:val="FFFFFF"/>
              </w:rPr>
              <w:t>․</w:t>
            </w:r>
          </w:p>
        </w:tc>
        <w:tc>
          <w:tcPr>
            <w:tcW w:w="708" w:type="dxa"/>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28A8249A" w14:textId="77777777" w:rsidR="00B7540A" w:rsidRPr="00586097" w:rsidRDefault="00B7540A" w:rsidP="00B7540A">
            <w:pPr>
              <w:spacing w:line="276" w:lineRule="auto"/>
              <w:ind w:firstLine="0"/>
              <w:jc w:val="center"/>
              <w:rPr>
                <w:rFonts w:cs="Arial"/>
                <w:color w:val="FFFFFF"/>
              </w:rPr>
            </w:pPr>
            <w:r w:rsidRPr="00586097">
              <w:rPr>
                <w:rFonts w:cs="Arial"/>
                <w:color w:val="FFFFFF"/>
              </w:rPr>
              <w:t>Սահմ</w:t>
            </w:r>
            <w:r w:rsidRPr="00586097">
              <w:rPr>
                <w:rFonts w:ascii="Cambria Math" w:hAnsi="Cambria Math" w:cs="Cambria Math"/>
                <w:color w:val="FFFFFF"/>
              </w:rPr>
              <w:t>․</w:t>
            </w:r>
          </w:p>
        </w:tc>
        <w:tc>
          <w:tcPr>
            <w:tcW w:w="773" w:type="dxa"/>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5590E589" w14:textId="77777777" w:rsidR="00B7540A" w:rsidRPr="00586097" w:rsidRDefault="00B7540A" w:rsidP="00B7540A">
            <w:pPr>
              <w:spacing w:line="276" w:lineRule="auto"/>
              <w:ind w:firstLine="0"/>
              <w:jc w:val="center"/>
              <w:rPr>
                <w:rFonts w:cs="Arial"/>
                <w:color w:val="FFFFFF"/>
              </w:rPr>
            </w:pPr>
            <w:r w:rsidRPr="00586097">
              <w:rPr>
                <w:rFonts w:cs="Arial"/>
                <w:color w:val="FFFFFF"/>
              </w:rPr>
              <w:t>Փաստ</w:t>
            </w:r>
            <w:r w:rsidRPr="00586097">
              <w:rPr>
                <w:rFonts w:ascii="Cambria Math" w:hAnsi="Cambria Math" w:cs="Cambria Math"/>
                <w:color w:val="FFFFFF"/>
              </w:rPr>
              <w:t>․</w:t>
            </w:r>
          </w:p>
        </w:tc>
        <w:tc>
          <w:tcPr>
            <w:tcW w:w="645" w:type="dxa"/>
            <w:gridSpan w:val="2"/>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32C29E73" w14:textId="77777777" w:rsidR="00B7540A" w:rsidRPr="00586097" w:rsidRDefault="00B7540A" w:rsidP="00B7540A">
            <w:pPr>
              <w:spacing w:line="276" w:lineRule="auto"/>
              <w:ind w:firstLine="0"/>
              <w:jc w:val="center"/>
              <w:rPr>
                <w:rFonts w:cs="Arial"/>
                <w:color w:val="FFFFFF"/>
              </w:rPr>
            </w:pPr>
            <w:r w:rsidRPr="00586097">
              <w:rPr>
                <w:rFonts w:cs="Arial"/>
                <w:color w:val="FFFFFF"/>
              </w:rPr>
              <w:t>Սահմ</w:t>
            </w:r>
            <w:r w:rsidRPr="00586097">
              <w:rPr>
                <w:rFonts w:ascii="Cambria Math" w:hAnsi="Cambria Math" w:cs="Cambria Math"/>
                <w:color w:val="FFFFFF"/>
              </w:rPr>
              <w:t>․</w:t>
            </w:r>
          </w:p>
        </w:tc>
        <w:tc>
          <w:tcPr>
            <w:tcW w:w="851" w:type="dxa"/>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6F4567E8" w14:textId="77777777" w:rsidR="00B7540A" w:rsidRPr="00586097" w:rsidRDefault="00B7540A" w:rsidP="00B7540A">
            <w:pPr>
              <w:spacing w:line="276" w:lineRule="auto"/>
              <w:ind w:firstLine="0"/>
              <w:jc w:val="center"/>
              <w:rPr>
                <w:rFonts w:cs="Arial"/>
                <w:color w:val="FFFFFF"/>
              </w:rPr>
            </w:pPr>
            <w:r w:rsidRPr="00586097">
              <w:rPr>
                <w:rFonts w:cs="Arial"/>
                <w:color w:val="FFFFFF"/>
              </w:rPr>
              <w:t>Պլան</w:t>
            </w:r>
          </w:p>
        </w:tc>
        <w:tc>
          <w:tcPr>
            <w:tcW w:w="727" w:type="dxa"/>
            <w:gridSpan w:val="2"/>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54B03015" w14:textId="77777777" w:rsidR="00B7540A" w:rsidRPr="00586097" w:rsidRDefault="00B7540A" w:rsidP="00B7540A">
            <w:pPr>
              <w:spacing w:line="276" w:lineRule="auto"/>
              <w:ind w:firstLine="0"/>
              <w:jc w:val="center"/>
              <w:rPr>
                <w:rFonts w:cs="Arial"/>
                <w:color w:val="FFFFFF"/>
              </w:rPr>
            </w:pPr>
            <w:r w:rsidRPr="00586097">
              <w:rPr>
                <w:rFonts w:cs="Arial"/>
                <w:color w:val="FFFFFF"/>
              </w:rPr>
              <w:t>Սահմ</w:t>
            </w:r>
            <w:r w:rsidRPr="00586097">
              <w:rPr>
                <w:rFonts w:ascii="Cambria Math" w:hAnsi="Cambria Math" w:cs="Cambria Math"/>
                <w:color w:val="FFFFFF"/>
              </w:rPr>
              <w:t>․</w:t>
            </w:r>
          </w:p>
        </w:tc>
        <w:tc>
          <w:tcPr>
            <w:tcW w:w="748" w:type="dxa"/>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063178C3" w14:textId="77777777" w:rsidR="00B7540A" w:rsidRPr="00586097" w:rsidRDefault="00B7540A" w:rsidP="00B7540A">
            <w:pPr>
              <w:spacing w:line="276" w:lineRule="auto"/>
              <w:ind w:firstLine="0"/>
              <w:jc w:val="center"/>
              <w:rPr>
                <w:rFonts w:cs="Arial"/>
                <w:color w:val="FFFFFF"/>
              </w:rPr>
            </w:pPr>
            <w:r w:rsidRPr="00586097">
              <w:rPr>
                <w:rFonts w:cs="Arial"/>
                <w:color w:val="FFFFFF"/>
              </w:rPr>
              <w:t>Պլան</w:t>
            </w:r>
          </w:p>
        </w:tc>
        <w:tc>
          <w:tcPr>
            <w:tcW w:w="720" w:type="dxa"/>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32F2903B" w14:textId="77777777" w:rsidR="00B7540A" w:rsidRPr="00586097" w:rsidRDefault="00B7540A" w:rsidP="00B7540A">
            <w:pPr>
              <w:spacing w:line="276" w:lineRule="auto"/>
              <w:ind w:firstLine="0"/>
              <w:jc w:val="center"/>
              <w:rPr>
                <w:rFonts w:cs="Arial"/>
                <w:color w:val="FFFFFF"/>
              </w:rPr>
            </w:pPr>
            <w:r w:rsidRPr="00586097">
              <w:rPr>
                <w:rFonts w:cs="Arial"/>
                <w:color w:val="FFFFFF"/>
              </w:rPr>
              <w:t>Սահմ</w:t>
            </w:r>
            <w:r w:rsidRPr="00586097">
              <w:rPr>
                <w:rFonts w:ascii="Cambria Math" w:hAnsi="Cambria Math" w:cs="Cambria Math"/>
                <w:color w:val="FFFFFF"/>
              </w:rPr>
              <w:t>․</w:t>
            </w:r>
          </w:p>
        </w:tc>
        <w:tc>
          <w:tcPr>
            <w:tcW w:w="720" w:type="dxa"/>
            <w:tcBorders>
              <w:top w:val="single" w:sz="2" w:space="0" w:color="4472C4"/>
              <w:left w:val="single" w:sz="2" w:space="0" w:color="4472C4"/>
              <w:bottom w:val="single" w:sz="2" w:space="0" w:color="4472C4"/>
              <w:right w:val="single" w:sz="2" w:space="0" w:color="4472C4"/>
            </w:tcBorders>
            <w:shd w:val="clear" w:color="auto" w:fill="5B9BD5"/>
            <w:textDirection w:val="btLr"/>
            <w:vAlign w:val="center"/>
            <w:hideMark/>
          </w:tcPr>
          <w:p w14:paraId="1E93F48A" w14:textId="77777777" w:rsidR="00B7540A" w:rsidRPr="00586097" w:rsidRDefault="00B7540A" w:rsidP="00B7540A">
            <w:pPr>
              <w:spacing w:line="276" w:lineRule="auto"/>
              <w:ind w:firstLine="0"/>
              <w:jc w:val="center"/>
              <w:rPr>
                <w:rFonts w:cs="Arial"/>
                <w:color w:val="FFFFFF"/>
              </w:rPr>
            </w:pPr>
            <w:r w:rsidRPr="00586097">
              <w:rPr>
                <w:rFonts w:cs="Arial"/>
                <w:color w:val="FFFFFF"/>
              </w:rPr>
              <w:t>Պլան</w:t>
            </w:r>
          </w:p>
        </w:tc>
        <w:tc>
          <w:tcPr>
            <w:tcW w:w="720" w:type="dxa"/>
            <w:tcBorders>
              <w:top w:val="single" w:sz="2" w:space="0" w:color="4472C4"/>
              <w:left w:val="single" w:sz="2" w:space="0" w:color="4472C4"/>
              <w:bottom w:val="single" w:sz="2" w:space="0" w:color="4472C4"/>
              <w:right w:val="single" w:sz="2" w:space="0" w:color="4472C4"/>
            </w:tcBorders>
            <w:shd w:val="clear" w:color="auto" w:fill="5B9BD5"/>
            <w:textDirection w:val="btLr"/>
            <w:vAlign w:val="center"/>
          </w:tcPr>
          <w:p w14:paraId="2D190217" w14:textId="77777777" w:rsidR="00B7540A" w:rsidRPr="00586097" w:rsidRDefault="00B7540A" w:rsidP="00B7540A">
            <w:pPr>
              <w:spacing w:line="276" w:lineRule="auto"/>
              <w:ind w:firstLine="0"/>
              <w:jc w:val="center"/>
              <w:rPr>
                <w:rFonts w:cs="Arial"/>
                <w:color w:val="FFFFFF"/>
              </w:rPr>
            </w:pPr>
            <w:r w:rsidRPr="00586097">
              <w:rPr>
                <w:rFonts w:cs="Arial"/>
                <w:color w:val="FFFFFF"/>
              </w:rPr>
              <w:t>Սահմ</w:t>
            </w:r>
            <w:r w:rsidRPr="00586097">
              <w:rPr>
                <w:rFonts w:ascii="Cambria Math" w:hAnsi="Cambria Math" w:cs="Cambria Math"/>
                <w:color w:val="FFFFFF"/>
              </w:rPr>
              <w:t>․</w:t>
            </w:r>
          </w:p>
        </w:tc>
        <w:tc>
          <w:tcPr>
            <w:tcW w:w="720" w:type="dxa"/>
            <w:tcBorders>
              <w:top w:val="single" w:sz="2" w:space="0" w:color="4472C4"/>
              <w:left w:val="single" w:sz="2" w:space="0" w:color="4472C4"/>
              <w:bottom w:val="single" w:sz="2" w:space="0" w:color="4472C4"/>
              <w:right w:val="single" w:sz="18" w:space="0" w:color="4472C4"/>
            </w:tcBorders>
            <w:shd w:val="clear" w:color="auto" w:fill="5B9BD5"/>
            <w:textDirection w:val="btLr"/>
            <w:vAlign w:val="center"/>
          </w:tcPr>
          <w:p w14:paraId="3371E96C" w14:textId="77777777" w:rsidR="00B7540A" w:rsidRPr="00586097" w:rsidRDefault="00B7540A" w:rsidP="00B7540A">
            <w:pPr>
              <w:spacing w:line="276" w:lineRule="auto"/>
              <w:ind w:firstLine="0"/>
              <w:jc w:val="center"/>
              <w:rPr>
                <w:rFonts w:cs="Arial"/>
                <w:color w:val="FFFFFF"/>
              </w:rPr>
            </w:pPr>
            <w:r w:rsidRPr="00586097">
              <w:rPr>
                <w:rFonts w:cs="Arial"/>
                <w:color w:val="FFFFFF"/>
              </w:rPr>
              <w:t>Պլան</w:t>
            </w:r>
          </w:p>
        </w:tc>
      </w:tr>
      <w:tr w:rsidR="00B7540A" w:rsidRPr="00586097" w14:paraId="0C260ACC" w14:textId="77777777" w:rsidTr="00E521C1">
        <w:trPr>
          <w:trHeight w:val="954"/>
          <w:jc w:val="center"/>
        </w:trPr>
        <w:tc>
          <w:tcPr>
            <w:tcW w:w="1237" w:type="dxa"/>
            <w:tcBorders>
              <w:top w:val="single" w:sz="2" w:space="0" w:color="4472C4"/>
              <w:bottom w:val="single" w:sz="2" w:space="0" w:color="4472C4"/>
              <w:right w:val="single" w:sz="2" w:space="0" w:color="4472C4"/>
            </w:tcBorders>
            <w:shd w:val="clear" w:color="auto" w:fill="auto"/>
            <w:vAlign w:val="center"/>
            <w:hideMark/>
          </w:tcPr>
          <w:p w14:paraId="189D7E1F" w14:textId="77777777" w:rsidR="00B7540A" w:rsidRPr="00E521C1" w:rsidRDefault="00B7540A" w:rsidP="00B7540A">
            <w:pPr>
              <w:spacing w:before="0" w:after="0" w:line="276" w:lineRule="auto"/>
              <w:ind w:firstLine="0"/>
              <w:rPr>
                <w:rFonts w:cs="Arial"/>
                <w:color w:val="000000"/>
                <w:sz w:val="16"/>
                <w:szCs w:val="16"/>
              </w:rPr>
            </w:pPr>
            <w:r w:rsidRPr="00E521C1">
              <w:rPr>
                <w:rFonts w:cs="Arial"/>
                <w:color w:val="000000"/>
                <w:sz w:val="16"/>
                <w:szCs w:val="16"/>
              </w:rPr>
              <w:t>Պետական բյուջեի ոչ ֆինանսական ակտիվների գծով ծախսեր</w:t>
            </w:r>
          </w:p>
        </w:tc>
        <w:tc>
          <w:tcPr>
            <w:tcW w:w="1350"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6CFC1CB6"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&gt;/= պետական բյուջեի պակասուրդ, մլրդ դրամ</w:t>
            </w:r>
          </w:p>
        </w:tc>
        <w:tc>
          <w:tcPr>
            <w:tcW w:w="509"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1EE66DD3"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64</w:t>
            </w:r>
          </w:p>
        </w:tc>
        <w:tc>
          <w:tcPr>
            <w:tcW w:w="709"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09100D4D"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193</w:t>
            </w:r>
          </w:p>
        </w:tc>
        <w:tc>
          <w:tcPr>
            <w:tcW w:w="708"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47DAE7B0"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334.0</w:t>
            </w:r>
          </w:p>
        </w:tc>
        <w:tc>
          <w:tcPr>
            <w:tcW w:w="773"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33F724ED"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226.2</w:t>
            </w:r>
          </w:p>
        </w:tc>
        <w:tc>
          <w:tcPr>
            <w:tcW w:w="645" w:type="dxa"/>
            <w:gridSpan w:val="2"/>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2B5077B5"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318.8</w:t>
            </w:r>
          </w:p>
        </w:tc>
        <w:tc>
          <w:tcPr>
            <w:tcW w:w="851" w:type="dxa"/>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490D2BE7"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197.2</w:t>
            </w:r>
          </w:p>
        </w:tc>
        <w:tc>
          <w:tcPr>
            <w:tcW w:w="727" w:type="dxa"/>
            <w:gridSpan w:val="2"/>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195A0BE5"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181.7</w:t>
            </w:r>
          </w:p>
        </w:tc>
        <w:tc>
          <w:tcPr>
            <w:tcW w:w="748" w:type="dxa"/>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2E8714E7"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292.6</w:t>
            </w:r>
          </w:p>
        </w:tc>
        <w:tc>
          <w:tcPr>
            <w:tcW w:w="720" w:type="dxa"/>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0F39AB0D"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168.8</w:t>
            </w:r>
          </w:p>
        </w:tc>
        <w:tc>
          <w:tcPr>
            <w:tcW w:w="720" w:type="dxa"/>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3263CFFD"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308</w:t>
            </w:r>
            <w:r w:rsidRPr="00E521C1">
              <w:rPr>
                <w:rFonts w:ascii="Cambria Math" w:hAnsi="Cambria Math" w:cs="Cambria Math"/>
                <w:color w:val="000000"/>
                <w:sz w:val="16"/>
                <w:szCs w:val="16"/>
              </w:rPr>
              <w:t>․</w:t>
            </w:r>
            <w:r w:rsidRPr="00E521C1">
              <w:rPr>
                <w:rFonts w:cs="Arial"/>
                <w:color w:val="000000"/>
                <w:sz w:val="16"/>
                <w:szCs w:val="16"/>
              </w:rPr>
              <w:t>1</w:t>
            </w:r>
          </w:p>
        </w:tc>
        <w:tc>
          <w:tcPr>
            <w:tcW w:w="720" w:type="dxa"/>
            <w:tcBorders>
              <w:top w:val="single" w:sz="2" w:space="0" w:color="4472C4"/>
              <w:left w:val="single" w:sz="2" w:space="0" w:color="4472C4"/>
              <w:bottom w:val="single" w:sz="2" w:space="0" w:color="4472C4"/>
              <w:right w:val="single" w:sz="2" w:space="0" w:color="4472C4"/>
            </w:tcBorders>
            <w:shd w:val="clear" w:color="000000" w:fill="D9E2F3"/>
            <w:vAlign w:val="center"/>
          </w:tcPr>
          <w:p w14:paraId="3A2EF494"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163</w:t>
            </w:r>
            <w:r w:rsidRPr="00E521C1">
              <w:rPr>
                <w:rFonts w:ascii="Cambria Math" w:hAnsi="Cambria Math" w:cs="Cambria Math"/>
                <w:color w:val="000000"/>
                <w:sz w:val="16"/>
                <w:szCs w:val="16"/>
              </w:rPr>
              <w:t>․</w:t>
            </w:r>
            <w:r w:rsidRPr="00E521C1">
              <w:rPr>
                <w:rFonts w:cs="Arial"/>
                <w:color w:val="000000"/>
                <w:sz w:val="16"/>
                <w:szCs w:val="16"/>
              </w:rPr>
              <w:t>7</w:t>
            </w:r>
          </w:p>
        </w:tc>
        <w:tc>
          <w:tcPr>
            <w:tcW w:w="720" w:type="dxa"/>
            <w:tcBorders>
              <w:top w:val="single" w:sz="2" w:space="0" w:color="4472C4"/>
              <w:left w:val="single" w:sz="2" w:space="0" w:color="4472C4"/>
              <w:bottom w:val="single" w:sz="2" w:space="0" w:color="4472C4"/>
              <w:right w:val="single" w:sz="18" w:space="0" w:color="4472C4"/>
            </w:tcBorders>
            <w:shd w:val="clear" w:color="000000" w:fill="D9E2F3"/>
            <w:vAlign w:val="center"/>
          </w:tcPr>
          <w:p w14:paraId="3669992C"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353</w:t>
            </w:r>
            <w:r w:rsidRPr="00E521C1">
              <w:rPr>
                <w:rFonts w:ascii="Cambria Math" w:hAnsi="Cambria Math" w:cs="Cambria Math"/>
                <w:color w:val="000000"/>
                <w:sz w:val="16"/>
                <w:szCs w:val="16"/>
              </w:rPr>
              <w:t>․</w:t>
            </w:r>
            <w:r w:rsidRPr="00E521C1">
              <w:rPr>
                <w:rFonts w:cs="Arial"/>
                <w:color w:val="000000"/>
                <w:sz w:val="16"/>
                <w:szCs w:val="16"/>
              </w:rPr>
              <w:t>9</w:t>
            </w:r>
          </w:p>
        </w:tc>
      </w:tr>
      <w:tr w:rsidR="00B7540A" w:rsidRPr="00586097" w14:paraId="35D126F7" w14:textId="77777777" w:rsidTr="00E521C1">
        <w:trPr>
          <w:trHeight w:val="954"/>
          <w:jc w:val="center"/>
        </w:trPr>
        <w:tc>
          <w:tcPr>
            <w:tcW w:w="1237" w:type="dxa"/>
            <w:tcBorders>
              <w:top w:val="single" w:sz="2" w:space="0" w:color="4472C4"/>
              <w:bottom w:val="single" w:sz="2" w:space="0" w:color="4472C4"/>
              <w:right w:val="single" w:sz="2" w:space="0" w:color="4472C4"/>
            </w:tcBorders>
            <w:shd w:val="clear" w:color="auto" w:fill="auto"/>
            <w:vAlign w:val="center"/>
            <w:hideMark/>
          </w:tcPr>
          <w:p w14:paraId="2A78F779" w14:textId="77777777" w:rsidR="00B7540A" w:rsidRPr="00E521C1" w:rsidRDefault="00B7540A" w:rsidP="00B7540A">
            <w:pPr>
              <w:spacing w:before="0" w:after="0" w:line="276" w:lineRule="auto"/>
              <w:ind w:firstLine="0"/>
              <w:rPr>
                <w:rFonts w:cs="Arial"/>
                <w:color w:val="000000"/>
                <w:sz w:val="16"/>
                <w:szCs w:val="16"/>
              </w:rPr>
            </w:pPr>
            <w:r w:rsidRPr="00E521C1">
              <w:rPr>
                <w:rFonts w:cs="Arial"/>
                <w:color w:val="000000"/>
                <w:sz w:val="16"/>
                <w:szCs w:val="16"/>
              </w:rPr>
              <w:t>Պետական բյուջեի ընթացիկ առաջնային ծախսերի աճի տեմպ</w:t>
            </w:r>
          </w:p>
        </w:tc>
        <w:tc>
          <w:tcPr>
            <w:tcW w:w="1350"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7DBA9BBE"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&lt;/= նախորդ 7 տարիների անվանական ՀՆԱ աճի միջին տեմպ, %</w:t>
            </w:r>
          </w:p>
        </w:tc>
        <w:tc>
          <w:tcPr>
            <w:tcW w:w="509"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7AF5D077"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6.1</w:t>
            </w:r>
          </w:p>
        </w:tc>
        <w:tc>
          <w:tcPr>
            <w:tcW w:w="709" w:type="dxa"/>
            <w:tcBorders>
              <w:top w:val="single" w:sz="2" w:space="0" w:color="4472C4"/>
              <w:left w:val="single" w:sz="2" w:space="0" w:color="4472C4"/>
              <w:bottom w:val="single" w:sz="2" w:space="0" w:color="4472C4"/>
              <w:right w:val="single" w:sz="2" w:space="0" w:color="4472C4"/>
            </w:tcBorders>
            <w:shd w:val="clear" w:color="000000" w:fill="FFFFFF"/>
            <w:vAlign w:val="center"/>
            <w:hideMark/>
          </w:tcPr>
          <w:p w14:paraId="434B5C97"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5.9</w:t>
            </w:r>
          </w:p>
        </w:tc>
        <w:tc>
          <w:tcPr>
            <w:tcW w:w="708"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3D2BF455"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5.9</w:t>
            </w:r>
          </w:p>
        </w:tc>
        <w:tc>
          <w:tcPr>
            <w:tcW w:w="773" w:type="dxa"/>
            <w:tcBorders>
              <w:top w:val="single" w:sz="2" w:space="0" w:color="4472C4"/>
              <w:left w:val="single" w:sz="2" w:space="0" w:color="4472C4"/>
              <w:bottom w:val="single" w:sz="2" w:space="0" w:color="4472C4"/>
              <w:right w:val="single" w:sz="2" w:space="0" w:color="4472C4"/>
            </w:tcBorders>
            <w:shd w:val="clear" w:color="000000" w:fill="FFFFFF"/>
            <w:vAlign w:val="center"/>
            <w:hideMark/>
          </w:tcPr>
          <w:p w14:paraId="5A4934CC"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14.8</w:t>
            </w:r>
          </w:p>
        </w:tc>
        <w:tc>
          <w:tcPr>
            <w:tcW w:w="645" w:type="dxa"/>
            <w:gridSpan w:val="2"/>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457B60BB"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6.3</w:t>
            </w:r>
          </w:p>
        </w:tc>
        <w:tc>
          <w:tcPr>
            <w:tcW w:w="851" w:type="dxa"/>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293AD1FB"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10.34</w:t>
            </w:r>
          </w:p>
        </w:tc>
        <w:tc>
          <w:tcPr>
            <w:tcW w:w="727" w:type="dxa"/>
            <w:gridSpan w:val="2"/>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5096612D"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4.1</w:t>
            </w:r>
          </w:p>
        </w:tc>
        <w:tc>
          <w:tcPr>
            <w:tcW w:w="748" w:type="dxa"/>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341AD0C4"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-0.4</w:t>
            </w:r>
          </w:p>
        </w:tc>
        <w:tc>
          <w:tcPr>
            <w:tcW w:w="720" w:type="dxa"/>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03C7CBBE"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5.6</w:t>
            </w:r>
          </w:p>
        </w:tc>
        <w:tc>
          <w:tcPr>
            <w:tcW w:w="720" w:type="dxa"/>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22DFF804"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1.3</w:t>
            </w:r>
          </w:p>
        </w:tc>
        <w:tc>
          <w:tcPr>
            <w:tcW w:w="720" w:type="dxa"/>
            <w:tcBorders>
              <w:top w:val="single" w:sz="2" w:space="0" w:color="4472C4"/>
              <w:left w:val="single" w:sz="2" w:space="0" w:color="4472C4"/>
              <w:bottom w:val="single" w:sz="2" w:space="0" w:color="4472C4"/>
              <w:right w:val="single" w:sz="2" w:space="0" w:color="4472C4"/>
            </w:tcBorders>
            <w:shd w:val="clear" w:color="000000" w:fill="D9E2F3"/>
            <w:vAlign w:val="center"/>
          </w:tcPr>
          <w:p w14:paraId="053A6994"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6.7</w:t>
            </w:r>
          </w:p>
        </w:tc>
        <w:tc>
          <w:tcPr>
            <w:tcW w:w="720" w:type="dxa"/>
            <w:tcBorders>
              <w:top w:val="single" w:sz="2" w:space="0" w:color="4472C4"/>
              <w:left w:val="single" w:sz="2" w:space="0" w:color="4472C4"/>
              <w:bottom w:val="single" w:sz="2" w:space="0" w:color="4472C4"/>
              <w:right w:val="single" w:sz="18" w:space="0" w:color="4472C4"/>
            </w:tcBorders>
            <w:shd w:val="clear" w:color="000000" w:fill="D9E2F3"/>
            <w:vAlign w:val="center"/>
          </w:tcPr>
          <w:p w14:paraId="2CF1081E"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6.6</w:t>
            </w:r>
          </w:p>
        </w:tc>
      </w:tr>
      <w:tr w:rsidR="00B7540A" w:rsidRPr="00E521C1" w14:paraId="1BBF31FE" w14:textId="77777777" w:rsidTr="00E521C1">
        <w:trPr>
          <w:trHeight w:val="954"/>
          <w:jc w:val="center"/>
        </w:trPr>
        <w:tc>
          <w:tcPr>
            <w:tcW w:w="1237" w:type="dxa"/>
            <w:tcBorders>
              <w:top w:val="single" w:sz="2" w:space="0" w:color="4472C4"/>
              <w:bottom w:val="single" w:sz="2" w:space="0" w:color="4472C4"/>
              <w:right w:val="single" w:sz="2" w:space="0" w:color="4472C4"/>
            </w:tcBorders>
            <w:shd w:val="clear" w:color="auto" w:fill="auto"/>
            <w:vAlign w:val="center"/>
            <w:hideMark/>
          </w:tcPr>
          <w:p w14:paraId="33D090D2" w14:textId="77777777" w:rsidR="00B7540A" w:rsidRPr="00E521C1" w:rsidRDefault="00B7540A" w:rsidP="00B7540A">
            <w:pPr>
              <w:spacing w:before="0" w:after="0" w:line="276" w:lineRule="auto"/>
              <w:ind w:firstLine="0"/>
              <w:rPr>
                <w:rFonts w:cs="Arial"/>
                <w:color w:val="000000"/>
                <w:sz w:val="16"/>
                <w:szCs w:val="16"/>
              </w:rPr>
            </w:pPr>
            <w:r w:rsidRPr="00E521C1">
              <w:rPr>
                <w:rFonts w:cs="Arial"/>
                <w:color w:val="000000"/>
                <w:sz w:val="16"/>
                <w:szCs w:val="16"/>
              </w:rPr>
              <w:t>Պետական բյուջեի ընթացիկ ծախսեր</w:t>
            </w:r>
          </w:p>
        </w:tc>
        <w:tc>
          <w:tcPr>
            <w:tcW w:w="1350"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63509FE1"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&lt;/= հարկային եկամուտների և տուրքերի ծավալ, մլրդ դրամ**</w:t>
            </w:r>
          </w:p>
        </w:tc>
        <w:tc>
          <w:tcPr>
            <w:tcW w:w="509"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2712618B"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w:t>
            </w:r>
          </w:p>
        </w:tc>
        <w:tc>
          <w:tcPr>
            <w:tcW w:w="709"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0734CD11"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1437.1</w:t>
            </w:r>
          </w:p>
        </w:tc>
        <w:tc>
          <w:tcPr>
            <w:tcW w:w="708" w:type="dxa"/>
            <w:tcBorders>
              <w:top w:val="single" w:sz="2" w:space="0" w:color="4472C4"/>
              <w:left w:val="single" w:sz="2" w:space="0" w:color="4472C4"/>
              <w:bottom w:val="single" w:sz="2" w:space="0" w:color="4472C4"/>
              <w:right w:val="single" w:sz="2" w:space="0" w:color="4472C4"/>
            </w:tcBorders>
            <w:shd w:val="clear" w:color="auto" w:fill="auto"/>
            <w:vAlign w:val="center"/>
            <w:hideMark/>
          </w:tcPr>
          <w:p w14:paraId="0FABC82A"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w:t>
            </w:r>
          </w:p>
        </w:tc>
        <w:tc>
          <w:tcPr>
            <w:tcW w:w="773" w:type="dxa"/>
            <w:tcBorders>
              <w:top w:val="single" w:sz="2" w:space="0" w:color="4472C4"/>
              <w:left w:val="single" w:sz="2" w:space="0" w:color="4472C4"/>
              <w:bottom w:val="single" w:sz="2" w:space="0" w:color="4472C4"/>
              <w:right w:val="single" w:sz="2" w:space="0" w:color="4472C4"/>
            </w:tcBorders>
            <w:shd w:val="clear" w:color="auto" w:fill="auto"/>
            <w:noWrap/>
            <w:vAlign w:val="center"/>
            <w:hideMark/>
          </w:tcPr>
          <w:p w14:paraId="4C2AB592"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1668.5</w:t>
            </w:r>
          </w:p>
        </w:tc>
        <w:tc>
          <w:tcPr>
            <w:tcW w:w="645" w:type="dxa"/>
            <w:gridSpan w:val="2"/>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1D84725D"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w:t>
            </w:r>
          </w:p>
        </w:tc>
        <w:tc>
          <w:tcPr>
            <w:tcW w:w="851" w:type="dxa"/>
            <w:tcBorders>
              <w:top w:val="single" w:sz="2" w:space="0" w:color="4472C4"/>
              <w:left w:val="single" w:sz="2" w:space="0" w:color="4472C4"/>
              <w:bottom w:val="single" w:sz="2" w:space="0" w:color="4472C4"/>
              <w:right w:val="single" w:sz="2" w:space="0" w:color="4472C4"/>
            </w:tcBorders>
            <w:shd w:val="clear" w:color="000000" w:fill="D9E2F3"/>
            <w:noWrap/>
            <w:vAlign w:val="center"/>
            <w:hideMark/>
          </w:tcPr>
          <w:p w14:paraId="7D2428D5"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1738</w:t>
            </w:r>
            <w:r w:rsidRPr="00E521C1">
              <w:rPr>
                <w:rFonts w:ascii="Cambria Math" w:hAnsi="Cambria Math" w:cs="Cambria Math"/>
                <w:color w:val="000000"/>
                <w:sz w:val="16"/>
                <w:szCs w:val="16"/>
              </w:rPr>
              <w:t>․</w:t>
            </w:r>
            <w:r w:rsidRPr="00E521C1">
              <w:rPr>
                <w:rFonts w:cs="Arial"/>
                <w:color w:val="000000"/>
                <w:sz w:val="16"/>
                <w:szCs w:val="16"/>
              </w:rPr>
              <w:t>9</w:t>
            </w:r>
          </w:p>
        </w:tc>
        <w:tc>
          <w:tcPr>
            <w:tcW w:w="727" w:type="dxa"/>
            <w:gridSpan w:val="2"/>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6F3F656B"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1733</w:t>
            </w:r>
            <w:r w:rsidRPr="00E521C1">
              <w:rPr>
                <w:rFonts w:ascii="Cambria Math" w:hAnsi="Cambria Math" w:cs="Cambria Math"/>
                <w:color w:val="000000"/>
                <w:sz w:val="16"/>
                <w:szCs w:val="16"/>
              </w:rPr>
              <w:t>․</w:t>
            </w:r>
            <w:r w:rsidRPr="00E521C1">
              <w:rPr>
                <w:rFonts w:cs="Arial"/>
                <w:color w:val="000000"/>
                <w:sz w:val="16"/>
                <w:szCs w:val="16"/>
              </w:rPr>
              <w:t>5</w:t>
            </w:r>
          </w:p>
        </w:tc>
        <w:tc>
          <w:tcPr>
            <w:tcW w:w="748" w:type="dxa"/>
            <w:tcBorders>
              <w:top w:val="single" w:sz="2" w:space="0" w:color="4472C4"/>
              <w:left w:val="single" w:sz="2" w:space="0" w:color="4472C4"/>
              <w:bottom w:val="single" w:sz="2" w:space="0" w:color="4472C4"/>
              <w:right w:val="single" w:sz="2" w:space="0" w:color="4472C4"/>
            </w:tcBorders>
            <w:shd w:val="clear" w:color="000000" w:fill="D9E2F3"/>
            <w:noWrap/>
            <w:vAlign w:val="center"/>
            <w:hideMark/>
          </w:tcPr>
          <w:p w14:paraId="6E22A564"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1708</w:t>
            </w:r>
            <w:r w:rsidRPr="00E521C1">
              <w:rPr>
                <w:rFonts w:ascii="Cambria Math" w:hAnsi="Cambria Math" w:cs="Cambria Math"/>
                <w:color w:val="000000"/>
                <w:sz w:val="16"/>
                <w:szCs w:val="16"/>
              </w:rPr>
              <w:t>․</w:t>
            </w:r>
            <w:r w:rsidRPr="00E521C1">
              <w:rPr>
                <w:rFonts w:cs="Arial"/>
                <w:color w:val="000000"/>
                <w:sz w:val="16"/>
                <w:szCs w:val="16"/>
              </w:rPr>
              <w:t>3</w:t>
            </w:r>
          </w:p>
        </w:tc>
        <w:tc>
          <w:tcPr>
            <w:tcW w:w="720" w:type="dxa"/>
            <w:tcBorders>
              <w:top w:val="single" w:sz="2" w:space="0" w:color="4472C4"/>
              <w:left w:val="single" w:sz="2" w:space="0" w:color="4472C4"/>
              <w:bottom w:val="single" w:sz="2" w:space="0" w:color="4472C4"/>
              <w:right w:val="single" w:sz="2" w:space="0" w:color="4472C4"/>
            </w:tcBorders>
            <w:shd w:val="clear" w:color="000000" w:fill="D9E2F3"/>
            <w:vAlign w:val="center"/>
            <w:hideMark/>
          </w:tcPr>
          <w:p w14:paraId="422FE058"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1889</w:t>
            </w:r>
            <w:r w:rsidRPr="00E521C1">
              <w:rPr>
                <w:rFonts w:ascii="Cambria Math" w:hAnsi="Cambria Math" w:cs="Cambria Math"/>
                <w:color w:val="000000"/>
                <w:sz w:val="16"/>
                <w:szCs w:val="16"/>
              </w:rPr>
              <w:t>․</w:t>
            </w:r>
            <w:r w:rsidRPr="00E521C1">
              <w:rPr>
                <w:rFonts w:cs="Arial"/>
                <w:color w:val="000000"/>
                <w:sz w:val="16"/>
                <w:szCs w:val="16"/>
              </w:rPr>
              <w:t>9</w:t>
            </w:r>
          </w:p>
        </w:tc>
        <w:tc>
          <w:tcPr>
            <w:tcW w:w="720" w:type="dxa"/>
            <w:tcBorders>
              <w:top w:val="single" w:sz="2" w:space="0" w:color="4472C4"/>
              <w:left w:val="single" w:sz="2" w:space="0" w:color="4472C4"/>
              <w:bottom w:val="single" w:sz="2" w:space="0" w:color="4472C4"/>
              <w:right w:val="single" w:sz="2" w:space="0" w:color="4472C4"/>
            </w:tcBorders>
            <w:shd w:val="clear" w:color="000000" w:fill="D9E2F3"/>
            <w:noWrap/>
            <w:vAlign w:val="center"/>
            <w:hideMark/>
          </w:tcPr>
          <w:p w14:paraId="41BE62EA"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1827</w:t>
            </w:r>
            <w:r w:rsidRPr="00E521C1">
              <w:rPr>
                <w:rFonts w:ascii="Cambria Math" w:hAnsi="Cambria Math" w:cs="Cambria Math"/>
                <w:color w:val="000000"/>
                <w:sz w:val="16"/>
                <w:szCs w:val="16"/>
              </w:rPr>
              <w:t>․</w:t>
            </w:r>
            <w:r w:rsidRPr="00E521C1">
              <w:rPr>
                <w:rFonts w:cs="Arial"/>
                <w:color w:val="000000"/>
                <w:sz w:val="16"/>
                <w:szCs w:val="16"/>
              </w:rPr>
              <w:t>3</w:t>
            </w:r>
          </w:p>
        </w:tc>
        <w:tc>
          <w:tcPr>
            <w:tcW w:w="720" w:type="dxa"/>
            <w:tcBorders>
              <w:top w:val="single" w:sz="2" w:space="0" w:color="4472C4"/>
              <w:left w:val="single" w:sz="2" w:space="0" w:color="4472C4"/>
              <w:bottom w:val="single" w:sz="2" w:space="0" w:color="4472C4"/>
              <w:right w:val="single" w:sz="2" w:space="0" w:color="4472C4"/>
            </w:tcBorders>
            <w:shd w:val="clear" w:color="000000" w:fill="D9E2F3"/>
            <w:vAlign w:val="center"/>
          </w:tcPr>
          <w:p w14:paraId="3FE587C5"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2084</w:t>
            </w:r>
            <w:r w:rsidRPr="00E521C1">
              <w:rPr>
                <w:rFonts w:ascii="Cambria Math" w:hAnsi="Cambria Math" w:cs="Cambria Math"/>
                <w:color w:val="000000"/>
                <w:sz w:val="16"/>
                <w:szCs w:val="16"/>
              </w:rPr>
              <w:t>․</w:t>
            </w:r>
            <w:r w:rsidRPr="00E521C1">
              <w:rPr>
                <w:rFonts w:cs="Arial"/>
                <w:color w:val="000000"/>
                <w:sz w:val="16"/>
                <w:szCs w:val="16"/>
              </w:rPr>
              <w:t>0</w:t>
            </w:r>
          </w:p>
        </w:tc>
        <w:tc>
          <w:tcPr>
            <w:tcW w:w="720" w:type="dxa"/>
            <w:tcBorders>
              <w:top w:val="single" w:sz="2" w:space="0" w:color="4472C4"/>
              <w:left w:val="single" w:sz="2" w:space="0" w:color="4472C4"/>
              <w:bottom w:val="single" w:sz="2" w:space="0" w:color="4472C4"/>
              <w:right w:val="single" w:sz="18" w:space="0" w:color="4472C4"/>
            </w:tcBorders>
            <w:shd w:val="clear" w:color="000000" w:fill="D9E2F3"/>
            <w:vAlign w:val="center"/>
          </w:tcPr>
          <w:p w14:paraId="63966575" w14:textId="77777777" w:rsidR="00B7540A" w:rsidRPr="00E521C1" w:rsidRDefault="00B7540A" w:rsidP="00B7540A">
            <w:pPr>
              <w:spacing w:before="0" w:after="0" w:line="276" w:lineRule="auto"/>
              <w:ind w:firstLine="0"/>
              <w:jc w:val="center"/>
              <w:rPr>
                <w:rFonts w:cs="Arial"/>
                <w:color w:val="000000"/>
                <w:sz w:val="16"/>
                <w:szCs w:val="16"/>
              </w:rPr>
            </w:pPr>
            <w:r w:rsidRPr="00E521C1">
              <w:rPr>
                <w:rFonts w:cs="Arial"/>
                <w:color w:val="000000"/>
                <w:sz w:val="16"/>
                <w:szCs w:val="16"/>
              </w:rPr>
              <w:t>1958</w:t>
            </w:r>
            <w:r w:rsidRPr="00E521C1">
              <w:rPr>
                <w:rFonts w:ascii="Cambria Math" w:hAnsi="Cambria Math" w:cs="Cambria Math"/>
                <w:color w:val="000000"/>
                <w:sz w:val="16"/>
                <w:szCs w:val="16"/>
              </w:rPr>
              <w:t>․</w:t>
            </w:r>
            <w:r w:rsidRPr="00E521C1">
              <w:rPr>
                <w:rFonts w:cs="Arial"/>
                <w:color w:val="000000"/>
                <w:sz w:val="16"/>
                <w:szCs w:val="16"/>
              </w:rPr>
              <w:t>1</w:t>
            </w:r>
          </w:p>
        </w:tc>
      </w:tr>
      <w:tr w:rsidR="00B7540A" w:rsidRPr="00586097" w14:paraId="678B5227" w14:textId="77777777" w:rsidTr="005B1E23">
        <w:trPr>
          <w:trHeight w:val="445"/>
          <w:jc w:val="center"/>
        </w:trPr>
        <w:tc>
          <w:tcPr>
            <w:tcW w:w="2587" w:type="dxa"/>
            <w:gridSpan w:val="2"/>
            <w:tcBorders>
              <w:top w:val="single" w:sz="2" w:space="0" w:color="4472C4"/>
              <w:bottom w:val="single" w:sz="18" w:space="0" w:color="4472C4"/>
              <w:right w:val="single" w:sz="2" w:space="0" w:color="4472C4"/>
            </w:tcBorders>
            <w:shd w:val="clear" w:color="auto" w:fill="auto"/>
            <w:vAlign w:val="center"/>
            <w:hideMark/>
          </w:tcPr>
          <w:p w14:paraId="10ED93C0" w14:textId="77777777" w:rsidR="00B7540A" w:rsidRPr="00E521C1" w:rsidRDefault="00B7540A" w:rsidP="00B7540A">
            <w:pPr>
              <w:spacing w:before="0" w:after="0" w:line="276" w:lineRule="auto"/>
              <w:ind w:firstLine="0"/>
              <w:jc w:val="center"/>
              <w:rPr>
                <w:rFonts w:cs="Arial"/>
                <w:color w:val="000000"/>
                <w:sz w:val="20"/>
                <w:szCs w:val="20"/>
              </w:rPr>
            </w:pPr>
            <w:r w:rsidRPr="00E521C1">
              <w:rPr>
                <w:rFonts w:cs="Arial"/>
                <w:color w:val="000000"/>
                <w:sz w:val="20"/>
                <w:szCs w:val="20"/>
              </w:rPr>
              <w:t>Կառավարության պարտք/ՀՆԱ, %</w:t>
            </w:r>
          </w:p>
        </w:tc>
        <w:tc>
          <w:tcPr>
            <w:tcW w:w="1218" w:type="dxa"/>
            <w:gridSpan w:val="2"/>
            <w:tcBorders>
              <w:top w:val="single" w:sz="2" w:space="0" w:color="4472C4"/>
              <w:left w:val="single" w:sz="2" w:space="0" w:color="4472C4"/>
              <w:bottom w:val="single" w:sz="18" w:space="0" w:color="4472C4"/>
              <w:right w:val="single" w:sz="2" w:space="0" w:color="4472C4"/>
            </w:tcBorders>
            <w:shd w:val="clear" w:color="auto" w:fill="auto"/>
            <w:vAlign w:val="center"/>
            <w:hideMark/>
          </w:tcPr>
          <w:p w14:paraId="0549E241" w14:textId="77777777" w:rsidR="00B7540A" w:rsidRPr="00E521C1" w:rsidRDefault="00B7540A" w:rsidP="00B7540A">
            <w:pPr>
              <w:spacing w:before="0" w:after="0" w:line="276" w:lineRule="auto"/>
              <w:ind w:firstLine="0"/>
              <w:jc w:val="center"/>
              <w:rPr>
                <w:rFonts w:cs="Arial"/>
                <w:color w:val="000000"/>
                <w:sz w:val="20"/>
                <w:szCs w:val="20"/>
              </w:rPr>
            </w:pPr>
            <w:r w:rsidRPr="00E521C1">
              <w:rPr>
                <w:rFonts w:cs="Arial"/>
                <w:color w:val="000000"/>
                <w:sz w:val="20"/>
                <w:szCs w:val="20"/>
              </w:rPr>
              <w:t>50.1</w:t>
            </w:r>
          </w:p>
        </w:tc>
        <w:tc>
          <w:tcPr>
            <w:tcW w:w="1494" w:type="dxa"/>
            <w:gridSpan w:val="3"/>
            <w:tcBorders>
              <w:top w:val="single" w:sz="2" w:space="0" w:color="4472C4"/>
              <w:left w:val="single" w:sz="2" w:space="0" w:color="4472C4"/>
              <w:bottom w:val="single" w:sz="18" w:space="0" w:color="4472C4"/>
              <w:right w:val="single" w:sz="2" w:space="0" w:color="4472C4"/>
            </w:tcBorders>
            <w:shd w:val="clear" w:color="auto" w:fill="FFFFFF"/>
            <w:noWrap/>
            <w:vAlign w:val="center"/>
            <w:hideMark/>
          </w:tcPr>
          <w:p w14:paraId="7E797F3F" w14:textId="77777777" w:rsidR="00B7540A" w:rsidRPr="00E521C1" w:rsidRDefault="00B7540A" w:rsidP="00B7540A">
            <w:pPr>
              <w:spacing w:before="0" w:after="0" w:line="276" w:lineRule="auto"/>
              <w:ind w:firstLine="0"/>
              <w:jc w:val="center"/>
              <w:rPr>
                <w:rFonts w:cs="Arial"/>
                <w:color w:val="000000"/>
                <w:sz w:val="20"/>
                <w:szCs w:val="20"/>
              </w:rPr>
            </w:pPr>
            <w:r w:rsidRPr="00E521C1">
              <w:rPr>
                <w:rFonts w:cs="Arial"/>
                <w:color w:val="000000"/>
                <w:sz w:val="20"/>
                <w:szCs w:val="20"/>
              </w:rPr>
              <w:t>63.5</w:t>
            </w:r>
          </w:p>
        </w:tc>
        <w:tc>
          <w:tcPr>
            <w:tcW w:w="1499" w:type="dxa"/>
            <w:gridSpan w:val="3"/>
            <w:tcBorders>
              <w:top w:val="single" w:sz="2" w:space="0" w:color="4472C4"/>
              <w:left w:val="single" w:sz="2" w:space="0" w:color="4472C4"/>
              <w:bottom w:val="single" w:sz="18" w:space="0" w:color="4472C4"/>
              <w:right w:val="single" w:sz="2" w:space="0" w:color="4472C4"/>
            </w:tcBorders>
            <w:shd w:val="clear" w:color="auto" w:fill="D9E2F3"/>
            <w:noWrap/>
            <w:vAlign w:val="center"/>
            <w:hideMark/>
          </w:tcPr>
          <w:p w14:paraId="16139777" w14:textId="77777777" w:rsidR="00B7540A" w:rsidRPr="00E521C1" w:rsidRDefault="00B7540A" w:rsidP="00B7540A">
            <w:pPr>
              <w:spacing w:before="0" w:after="0" w:line="276" w:lineRule="auto"/>
              <w:ind w:firstLine="0"/>
              <w:jc w:val="center"/>
              <w:rPr>
                <w:rFonts w:cs="Arial"/>
                <w:color w:val="000000"/>
                <w:sz w:val="20"/>
                <w:szCs w:val="20"/>
              </w:rPr>
            </w:pPr>
            <w:r w:rsidRPr="00E521C1">
              <w:rPr>
                <w:rFonts w:cs="Arial"/>
                <w:color w:val="000000"/>
                <w:sz w:val="20"/>
                <w:szCs w:val="20"/>
              </w:rPr>
              <w:t>62</w:t>
            </w:r>
            <w:r w:rsidRPr="00E521C1">
              <w:rPr>
                <w:rFonts w:ascii="Cambria Math" w:hAnsi="Cambria Math" w:cs="Cambria Math"/>
                <w:color w:val="000000"/>
                <w:sz w:val="20"/>
                <w:szCs w:val="20"/>
              </w:rPr>
              <w:t>․</w:t>
            </w:r>
            <w:r w:rsidRPr="00E521C1">
              <w:rPr>
                <w:rFonts w:cs="Arial"/>
                <w:color w:val="000000"/>
                <w:sz w:val="20"/>
                <w:szCs w:val="20"/>
              </w:rPr>
              <w:t>3</w:t>
            </w:r>
          </w:p>
        </w:tc>
        <w:tc>
          <w:tcPr>
            <w:tcW w:w="1459" w:type="dxa"/>
            <w:gridSpan w:val="2"/>
            <w:tcBorders>
              <w:top w:val="single" w:sz="2" w:space="0" w:color="4472C4"/>
              <w:left w:val="single" w:sz="2" w:space="0" w:color="4472C4"/>
              <w:bottom w:val="single" w:sz="18" w:space="0" w:color="4472C4"/>
              <w:right w:val="single" w:sz="2" w:space="0" w:color="4472C4"/>
            </w:tcBorders>
            <w:shd w:val="clear" w:color="auto" w:fill="D9E2F3"/>
            <w:noWrap/>
            <w:vAlign w:val="center"/>
            <w:hideMark/>
          </w:tcPr>
          <w:p w14:paraId="08A66236" w14:textId="77777777" w:rsidR="00B7540A" w:rsidRPr="00E521C1" w:rsidRDefault="00B7540A" w:rsidP="00B7540A">
            <w:pPr>
              <w:spacing w:before="0" w:after="0" w:line="276" w:lineRule="auto"/>
              <w:ind w:firstLine="0"/>
              <w:jc w:val="center"/>
              <w:rPr>
                <w:rFonts w:cs="Arial"/>
                <w:color w:val="000000"/>
                <w:sz w:val="20"/>
                <w:szCs w:val="20"/>
              </w:rPr>
            </w:pPr>
            <w:r w:rsidRPr="00E521C1">
              <w:rPr>
                <w:rFonts w:cs="Arial"/>
                <w:color w:val="000000"/>
                <w:sz w:val="20"/>
                <w:szCs w:val="20"/>
              </w:rPr>
              <w:t>60</w:t>
            </w:r>
            <w:r w:rsidRPr="00E521C1">
              <w:rPr>
                <w:rFonts w:ascii="Cambria Math" w:hAnsi="Cambria Math" w:cs="Cambria Math"/>
                <w:color w:val="000000"/>
                <w:sz w:val="20"/>
                <w:szCs w:val="20"/>
              </w:rPr>
              <w:t>․</w:t>
            </w:r>
            <w:r w:rsidRPr="00E521C1">
              <w:rPr>
                <w:rFonts w:cs="Arial"/>
                <w:color w:val="000000"/>
                <w:sz w:val="20"/>
                <w:szCs w:val="20"/>
              </w:rPr>
              <w:t>5</w:t>
            </w:r>
          </w:p>
        </w:tc>
        <w:tc>
          <w:tcPr>
            <w:tcW w:w="1440" w:type="dxa"/>
            <w:gridSpan w:val="2"/>
            <w:tcBorders>
              <w:top w:val="single" w:sz="2" w:space="0" w:color="4472C4"/>
              <w:left w:val="single" w:sz="2" w:space="0" w:color="4472C4"/>
              <w:bottom w:val="single" w:sz="18" w:space="0" w:color="4472C4"/>
              <w:right w:val="single" w:sz="2" w:space="0" w:color="4472C4"/>
            </w:tcBorders>
            <w:shd w:val="clear" w:color="auto" w:fill="D9E2F3"/>
            <w:noWrap/>
            <w:vAlign w:val="center"/>
            <w:hideMark/>
          </w:tcPr>
          <w:p w14:paraId="72126B02" w14:textId="77777777" w:rsidR="00B7540A" w:rsidRPr="00E521C1" w:rsidRDefault="00B7540A" w:rsidP="00B7540A">
            <w:pPr>
              <w:spacing w:before="0" w:after="0" w:line="276" w:lineRule="auto"/>
              <w:ind w:firstLine="0"/>
              <w:jc w:val="center"/>
              <w:rPr>
                <w:rFonts w:cs="Arial"/>
                <w:color w:val="000000"/>
                <w:sz w:val="20"/>
                <w:szCs w:val="20"/>
              </w:rPr>
            </w:pPr>
            <w:r w:rsidRPr="00E521C1">
              <w:rPr>
                <w:rFonts w:cs="Arial"/>
                <w:color w:val="000000"/>
                <w:sz w:val="20"/>
                <w:szCs w:val="20"/>
              </w:rPr>
              <w:t>58</w:t>
            </w:r>
            <w:r w:rsidRPr="00E521C1">
              <w:rPr>
                <w:rFonts w:ascii="Cambria Math" w:hAnsi="Cambria Math" w:cs="Cambria Math"/>
                <w:color w:val="000000"/>
                <w:sz w:val="20"/>
                <w:szCs w:val="20"/>
              </w:rPr>
              <w:t>․</w:t>
            </w:r>
            <w:r w:rsidRPr="00E521C1">
              <w:rPr>
                <w:rFonts w:cs="Arial"/>
                <w:color w:val="000000"/>
                <w:sz w:val="20"/>
                <w:szCs w:val="20"/>
              </w:rPr>
              <w:t>7</w:t>
            </w:r>
          </w:p>
        </w:tc>
        <w:tc>
          <w:tcPr>
            <w:tcW w:w="1440" w:type="dxa"/>
            <w:gridSpan w:val="2"/>
            <w:tcBorders>
              <w:top w:val="single" w:sz="2" w:space="0" w:color="4472C4"/>
              <w:left w:val="single" w:sz="2" w:space="0" w:color="4472C4"/>
              <w:bottom w:val="single" w:sz="18" w:space="0" w:color="4472C4"/>
              <w:right w:val="single" w:sz="18" w:space="0" w:color="4472C4"/>
            </w:tcBorders>
            <w:shd w:val="clear" w:color="auto" w:fill="D9E2F3"/>
            <w:vAlign w:val="center"/>
          </w:tcPr>
          <w:p w14:paraId="47A0312C" w14:textId="77777777" w:rsidR="00B7540A" w:rsidRPr="00E521C1" w:rsidRDefault="00B7540A" w:rsidP="00B7540A">
            <w:pPr>
              <w:spacing w:before="0" w:after="0" w:line="276" w:lineRule="auto"/>
              <w:ind w:firstLine="0"/>
              <w:jc w:val="center"/>
              <w:rPr>
                <w:rFonts w:cs="Arial"/>
                <w:color w:val="000000"/>
                <w:sz w:val="20"/>
                <w:szCs w:val="20"/>
              </w:rPr>
            </w:pPr>
            <w:r w:rsidRPr="00E521C1">
              <w:rPr>
                <w:rFonts w:cs="Arial"/>
                <w:color w:val="000000"/>
                <w:sz w:val="20"/>
                <w:szCs w:val="20"/>
              </w:rPr>
              <w:t>56</w:t>
            </w:r>
            <w:r w:rsidRPr="00E521C1">
              <w:rPr>
                <w:rFonts w:ascii="Cambria Math" w:hAnsi="Cambria Math" w:cs="Cambria Math"/>
                <w:color w:val="000000"/>
                <w:sz w:val="20"/>
                <w:szCs w:val="20"/>
              </w:rPr>
              <w:t>․</w:t>
            </w:r>
            <w:r w:rsidRPr="00E521C1">
              <w:rPr>
                <w:rFonts w:cs="Arial"/>
                <w:color w:val="000000"/>
                <w:sz w:val="20"/>
                <w:szCs w:val="20"/>
              </w:rPr>
              <w:t>8</w:t>
            </w:r>
          </w:p>
        </w:tc>
      </w:tr>
    </w:tbl>
    <w:p w14:paraId="66DB94F5" w14:textId="77777777" w:rsidR="00B7540A" w:rsidRDefault="00B7540A" w:rsidP="00B7540A">
      <w:pPr>
        <w:pStyle w:val="afc"/>
        <w:spacing w:line="276" w:lineRule="auto"/>
      </w:pPr>
      <w:r w:rsidRPr="00586097">
        <w:t>*Պետական պարտքի առկա չափի դեպքում կիրառելի չէ</w:t>
      </w:r>
    </w:p>
    <w:p w14:paraId="10EE5F56" w14:textId="77777777" w:rsidR="006233DC" w:rsidRPr="00586097" w:rsidRDefault="006233DC" w:rsidP="00B7540A">
      <w:pPr>
        <w:pStyle w:val="afc"/>
        <w:spacing w:line="276" w:lineRule="auto"/>
      </w:pPr>
    </w:p>
    <w:p w14:paraId="23CC2209" w14:textId="77777777" w:rsidR="00DB34F6" w:rsidRDefault="00DB34F6">
      <w:pPr>
        <w:spacing w:before="0" w:after="0" w:line="240" w:lineRule="auto"/>
        <w:ind w:firstLine="0"/>
        <w:jc w:val="left"/>
        <w:rPr>
          <w:rFonts w:eastAsia="Times New Roman" w:cs="Times New Roman"/>
          <w:b/>
          <w:color w:val="1F497D" w:themeColor="text2"/>
          <w:sz w:val="28"/>
          <w:szCs w:val="28"/>
          <w:lang w:val="hy-AM"/>
        </w:rPr>
      </w:pPr>
      <w:bookmarkStart w:id="491" w:name="_Toc77451207"/>
      <w:r>
        <w:rPr>
          <w:rFonts w:eastAsia="Times New Roman" w:cs="Times New Roman"/>
          <w:caps/>
          <w:color w:val="1F497D" w:themeColor="text2"/>
          <w:sz w:val="28"/>
          <w:szCs w:val="28"/>
        </w:rPr>
        <w:br w:type="page"/>
      </w:r>
    </w:p>
    <w:p w14:paraId="69428B29" w14:textId="77777777" w:rsidR="00B7540A" w:rsidRPr="006233DC" w:rsidRDefault="006233DC" w:rsidP="006233DC">
      <w:pPr>
        <w:pStyle w:val="Heading3"/>
        <w:rPr>
          <w:rFonts w:eastAsia="Times New Roman" w:cs="Times New Roman"/>
          <w:caps w:val="0"/>
          <w:color w:val="1F497D" w:themeColor="text2"/>
          <w:sz w:val="28"/>
          <w:szCs w:val="28"/>
        </w:rPr>
      </w:pPr>
      <w:bookmarkStart w:id="492" w:name="_Toc77837857"/>
      <w:r w:rsidRPr="006233DC">
        <w:rPr>
          <w:rFonts w:eastAsia="Times New Roman" w:cs="Times New Roman"/>
          <w:caps w:val="0"/>
          <w:color w:val="1F497D" w:themeColor="text2"/>
          <w:sz w:val="28"/>
          <w:szCs w:val="28"/>
        </w:rPr>
        <w:t>2.</w:t>
      </w:r>
      <w:r w:rsidR="005B1E23" w:rsidRPr="005B1E23">
        <w:rPr>
          <w:rFonts w:eastAsia="Times New Roman" w:cs="Times New Roman"/>
          <w:caps w:val="0"/>
          <w:color w:val="1F497D" w:themeColor="text2"/>
          <w:sz w:val="28"/>
          <w:szCs w:val="28"/>
        </w:rPr>
        <w:t>6</w:t>
      </w:r>
      <w:r w:rsidRPr="006233DC">
        <w:rPr>
          <w:rFonts w:eastAsia="Times New Roman" w:cs="Times New Roman"/>
          <w:caps w:val="0"/>
          <w:color w:val="1F497D" w:themeColor="text2"/>
          <w:sz w:val="28"/>
          <w:szCs w:val="28"/>
        </w:rPr>
        <w:t xml:space="preserve">. </w:t>
      </w:r>
      <w:r w:rsidR="00B7540A" w:rsidRPr="006233DC">
        <w:rPr>
          <w:rFonts w:eastAsia="Times New Roman" w:cs="Times New Roman"/>
          <w:caps w:val="0"/>
          <w:color w:val="1F497D" w:themeColor="text2"/>
          <w:sz w:val="28"/>
          <w:szCs w:val="28"/>
        </w:rPr>
        <w:t>ՊԵՏԱԿԱՆ ԲՅՈՒՋԵԻ ՑՈՒՑԱՆԻՇՆԵՐԻ ԿԱՆԽԱՏԵՍՈՒՄՆԵՐԻ ՀԱՄԵՄԱՏԱԿԱՆ ԱՂՅՈՒՍԱԿՆԵՐ</w:t>
      </w:r>
      <w:bookmarkEnd w:id="491"/>
      <w:bookmarkEnd w:id="492"/>
    </w:p>
    <w:p w14:paraId="38E18035" w14:textId="77777777" w:rsidR="00B7540A" w:rsidRPr="00586097" w:rsidRDefault="00B7540A" w:rsidP="00B7540A">
      <w:pPr>
        <w:pStyle w:val="afc"/>
        <w:spacing w:line="276" w:lineRule="auto"/>
      </w:pPr>
      <w:r w:rsidRPr="00586097">
        <w:t>Աղյուսակ 2.3. Պետական բյուջեի եկամուտների կանխատեսումների համեմատական աղյուսակը (մլրդ դրամ)</w:t>
      </w:r>
    </w:p>
    <w:tbl>
      <w:tblPr>
        <w:tblW w:w="9280" w:type="dxa"/>
        <w:tblInd w:w="118" w:type="dxa"/>
        <w:tblLook w:val="04A0" w:firstRow="1" w:lastRow="0" w:firstColumn="1" w:lastColumn="0" w:noHBand="0" w:noVBand="1"/>
      </w:tblPr>
      <w:tblGrid>
        <w:gridCol w:w="1359"/>
        <w:gridCol w:w="3220"/>
        <w:gridCol w:w="966"/>
        <w:gridCol w:w="970"/>
        <w:gridCol w:w="965"/>
        <w:gridCol w:w="986"/>
        <w:gridCol w:w="940"/>
      </w:tblGrid>
      <w:tr w:rsidR="00B7540A" w:rsidRPr="00586097" w14:paraId="14471711" w14:textId="77777777" w:rsidTr="00B7540A">
        <w:trPr>
          <w:trHeight w:val="1005"/>
          <w:tblHeader/>
        </w:trPr>
        <w:tc>
          <w:tcPr>
            <w:tcW w:w="1360"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3E0042B4"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Ընդունման տարին</w:t>
            </w:r>
          </w:p>
        </w:tc>
        <w:tc>
          <w:tcPr>
            <w:tcW w:w="3220" w:type="dxa"/>
            <w:tcBorders>
              <w:top w:val="single" w:sz="8" w:space="0" w:color="FFFFFF"/>
              <w:left w:val="nil"/>
              <w:bottom w:val="single" w:sz="8" w:space="0" w:color="FFFFFF"/>
              <w:right w:val="single" w:sz="8" w:space="0" w:color="FFFFFF"/>
            </w:tcBorders>
            <w:shd w:val="clear" w:color="000000" w:fill="8EA9DB"/>
            <w:noWrap/>
            <w:vAlign w:val="center"/>
            <w:hideMark/>
          </w:tcPr>
          <w:p w14:paraId="2B0BB7E0"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Ծրագիր</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7B99E6F6"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2020</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5A3E5C5C"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2021</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256A0BF7"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2022</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7059D4B3"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2023</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4141CC4A"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2024</w:t>
            </w:r>
          </w:p>
        </w:tc>
      </w:tr>
      <w:tr w:rsidR="00B7540A" w:rsidRPr="00586097" w14:paraId="16DD9CBF"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064C9509"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3220" w:type="dxa"/>
            <w:tcBorders>
              <w:top w:val="nil"/>
              <w:left w:val="nil"/>
              <w:bottom w:val="single" w:sz="8" w:space="0" w:color="B4C6E7"/>
              <w:right w:val="single" w:sz="8" w:space="0" w:color="B4C6E7"/>
            </w:tcBorders>
            <w:shd w:val="clear" w:color="auto" w:fill="auto"/>
            <w:noWrap/>
            <w:vAlign w:val="center"/>
            <w:hideMark/>
          </w:tcPr>
          <w:p w14:paraId="42FE340A"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Փաստացի</w:t>
            </w:r>
          </w:p>
        </w:tc>
        <w:tc>
          <w:tcPr>
            <w:tcW w:w="940" w:type="dxa"/>
            <w:tcBorders>
              <w:top w:val="nil"/>
              <w:left w:val="nil"/>
              <w:bottom w:val="single" w:sz="8" w:space="0" w:color="B4C6E7"/>
              <w:right w:val="single" w:sz="8" w:space="0" w:color="B4C6E7"/>
            </w:tcBorders>
            <w:shd w:val="clear" w:color="auto" w:fill="auto"/>
            <w:vAlign w:val="center"/>
            <w:hideMark/>
          </w:tcPr>
          <w:p w14:paraId="2D1F3F32"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1,560.7</w:t>
            </w:r>
          </w:p>
        </w:tc>
        <w:tc>
          <w:tcPr>
            <w:tcW w:w="940" w:type="dxa"/>
            <w:tcBorders>
              <w:top w:val="nil"/>
              <w:left w:val="nil"/>
              <w:bottom w:val="single" w:sz="8" w:space="0" w:color="B4C6E7"/>
              <w:right w:val="single" w:sz="8" w:space="0" w:color="B4C6E7"/>
            </w:tcBorders>
            <w:shd w:val="clear" w:color="auto" w:fill="auto"/>
            <w:vAlign w:val="center"/>
            <w:hideMark/>
          </w:tcPr>
          <w:p w14:paraId="22C839A8"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7658A95C"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2662BA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64A4870B"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17EA9896"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4ED30681"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10AD68C5"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6799023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25.25%</w:t>
            </w:r>
          </w:p>
        </w:tc>
        <w:tc>
          <w:tcPr>
            <w:tcW w:w="940" w:type="dxa"/>
            <w:tcBorders>
              <w:top w:val="nil"/>
              <w:left w:val="nil"/>
              <w:bottom w:val="single" w:sz="8" w:space="0" w:color="B4C6E7"/>
              <w:right w:val="single" w:sz="8" w:space="0" w:color="B4C6E7"/>
            </w:tcBorders>
            <w:shd w:val="clear" w:color="auto" w:fill="auto"/>
            <w:vAlign w:val="center"/>
            <w:hideMark/>
          </w:tcPr>
          <w:p w14:paraId="73F7D299"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05571BC4"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79D0DC2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5C99EB74"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26004AC0"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1DEC64FF"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2019</w:t>
            </w:r>
          </w:p>
        </w:tc>
        <w:tc>
          <w:tcPr>
            <w:tcW w:w="3220" w:type="dxa"/>
            <w:tcBorders>
              <w:top w:val="nil"/>
              <w:left w:val="nil"/>
              <w:bottom w:val="single" w:sz="8" w:space="0" w:color="B4C6E7"/>
              <w:right w:val="single" w:sz="8" w:space="0" w:color="B4C6E7"/>
            </w:tcBorders>
            <w:shd w:val="clear" w:color="auto" w:fill="auto"/>
            <w:noWrap/>
            <w:vAlign w:val="center"/>
            <w:hideMark/>
          </w:tcPr>
          <w:p w14:paraId="10EB4E73"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ՄԺԾԾ 2020-2022</w:t>
            </w:r>
          </w:p>
        </w:tc>
        <w:tc>
          <w:tcPr>
            <w:tcW w:w="940" w:type="dxa"/>
            <w:tcBorders>
              <w:top w:val="nil"/>
              <w:left w:val="nil"/>
              <w:bottom w:val="single" w:sz="8" w:space="0" w:color="B4C6E7"/>
              <w:right w:val="single" w:sz="8" w:space="0" w:color="B4C6E7"/>
            </w:tcBorders>
            <w:shd w:val="clear" w:color="auto" w:fill="auto"/>
            <w:vAlign w:val="center"/>
            <w:hideMark/>
          </w:tcPr>
          <w:p w14:paraId="2E2D5404"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1,710.6</w:t>
            </w:r>
          </w:p>
        </w:tc>
        <w:tc>
          <w:tcPr>
            <w:tcW w:w="940" w:type="dxa"/>
            <w:tcBorders>
              <w:top w:val="nil"/>
              <w:left w:val="nil"/>
              <w:bottom w:val="single" w:sz="8" w:space="0" w:color="B4C6E7"/>
              <w:right w:val="single" w:sz="8" w:space="0" w:color="B4C6E7"/>
            </w:tcBorders>
            <w:shd w:val="clear" w:color="auto" w:fill="auto"/>
            <w:vAlign w:val="center"/>
            <w:hideMark/>
          </w:tcPr>
          <w:p w14:paraId="1BFCE6CF"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1,858.8</w:t>
            </w:r>
          </w:p>
        </w:tc>
        <w:tc>
          <w:tcPr>
            <w:tcW w:w="940" w:type="dxa"/>
            <w:tcBorders>
              <w:top w:val="nil"/>
              <w:left w:val="nil"/>
              <w:bottom w:val="single" w:sz="8" w:space="0" w:color="B4C6E7"/>
              <w:right w:val="single" w:sz="8" w:space="0" w:color="B4C6E7"/>
            </w:tcBorders>
            <w:shd w:val="clear" w:color="auto" w:fill="auto"/>
            <w:vAlign w:val="center"/>
            <w:hideMark/>
          </w:tcPr>
          <w:p w14:paraId="502F665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2,051.1</w:t>
            </w:r>
          </w:p>
        </w:tc>
        <w:tc>
          <w:tcPr>
            <w:tcW w:w="940" w:type="dxa"/>
            <w:tcBorders>
              <w:top w:val="nil"/>
              <w:left w:val="nil"/>
              <w:bottom w:val="single" w:sz="8" w:space="0" w:color="B4C6E7"/>
              <w:right w:val="single" w:sz="8" w:space="0" w:color="B4C6E7"/>
            </w:tcBorders>
            <w:shd w:val="clear" w:color="auto" w:fill="auto"/>
            <w:noWrap/>
            <w:vAlign w:val="center"/>
            <w:hideMark/>
          </w:tcPr>
          <w:p w14:paraId="457715D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48CBB76"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70F53134"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74407A05"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6895FC96"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5D08008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24.5%</w:t>
            </w:r>
          </w:p>
        </w:tc>
        <w:tc>
          <w:tcPr>
            <w:tcW w:w="940" w:type="dxa"/>
            <w:tcBorders>
              <w:top w:val="nil"/>
              <w:left w:val="nil"/>
              <w:bottom w:val="single" w:sz="8" w:space="0" w:color="B4C6E7"/>
              <w:right w:val="single" w:sz="8" w:space="0" w:color="B4C6E7"/>
            </w:tcBorders>
            <w:shd w:val="clear" w:color="auto" w:fill="auto"/>
            <w:vAlign w:val="center"/>
            <w:hideMark/>
          </w:tcPr>
          <w:p w14:paraId="1709F6F2"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24.4%</w:t>
            </w:r>
          </w:p>
        </w:tc>
        <w:tc>
          <w:tcPr>
            <w:tcW w:w="940" w:type="dxa"/>
            <w:tcBorders>
              <w:top w:val="nil"/>
              <w:left w:val="nil"/>
              <w:bottom w:val="single" w:sz="8" w:space="0" w:color="B4C6E7"/>
              <w:right w:val="single" w:sz="8" w:space="0" w:color="B4C6E7"/>
            </w:tcBorders>
            <w:shd w:val="clear" w:color="auto" w:fill="auto"/>
            <w:vAlign w:val="center"/>
            <w:hideMark/>
          </w:tcPr>
          <w:p w14:paraId="74534D98"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24.7%</w:t>
            </w:r>
          </w:p>
        </w:tc>
        <w:tc>
          <w:tcPr>
            <w:tcW w:w="940" w:type="dxa"/>
            <w:tcBorders>
              <w:top w:val="nil"/>
              <w:left w:val="nil"/>
              <w:bottom w:val="single" w:sz="8" w:space="0" w:color="B4C6E7"/>
              <w:right w:val="single" w:sz="8" w:space="0" w:color="B4C6E7"/>
            </w:tcBorders>
            <w:shd w:val="clear" w:color="auto" w:fill="auto"/>
            <w:noWrap/>
            <w:vAlign w:val="center"/>
            <w:hideMark/>
          </w:tcPr>
          <w:p w14:paraId="3AD4BC73"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E4E67EA"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09D7A6EB"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096D96BF"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4C3CE4CB"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2020թ. Պետական բյուջե</w:t>
            </w:r>
          </w:p>
        </w:tc>
        <w:tc>
          <w:tcPr>
            <w:tcW w:w="940" w:type="dxa"/>
            <w:tcBorders>
              <w:top w:val="nil"/>
              <w:left w:val="nil"/>
              <w:bottom w:val="single" w:sz="8" w:space="0" w:color="B4C6E7"/>
              <w:right w:val="single" w:sz="8" w:space="0" w:color="B4C6E7"/>
            </w:tcBorders>
            <w:shd w:val="clear" w:color="auto" w:fill="auto"/>
            <w:vAlign w:val="center"/>
            <w:hideMark/>
          </w:tcPr>
          <w:p w14:paraId="57221D8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1,695.0</w:t>
            </w:r>
          </w:p>
        </w:tc>
        <w:tc>
          <w:tcPr>
            <w:tcW w:w="940" w:type="dxa"/>
            <w:tcBorders>
              <w:top w:val="nil"/>
              <w:left w:val="nil"/>
              <w:bottom w:val="single" w:sz="8" w:space="0" w:color="B4C6E7"/>
              <w:right w:val="single" w:sz="8" w:space="0" w:color="B4C6E7"/>
            </w:tcBorders>
            <w:shd w:val="clear" w:color="auto" w:fill="auto"/>
            <w:vAlign w:val="center"/>
            <w:hideMark/>
          </w:tcPr>
          <w:p w14:paraId="52D4BA4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5FC4DDA"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7B438646"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688322B7"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185CD1AC"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312B3015"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60E05DA2"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1A74FF0C"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23.9%</w:t>
            </w:r>
          </w:p>
        </w:tc>
        <w:tc>
          <w:tcPr>
            <w:tcW w:w="940" w:type="dxa"/>
            <w:tcBorders>
              <w:top w:val="nil"/>
              <w:left w:val="nil"/>
              <w:bottom w:val="single" w:sz="8" w:space="0" w:color="B4C6E7"/>
              <w:right w:val="single" w:sz="8" w:space="0" w:color="B4C6E7"/>
            </w:tcBorders>
            <w:shd w:val="clear" w:color="auto" w:fill="auto"/>
            <w:vAlign w:val="center"/>
            <w:hideMark/>
          </w:tcPr>
          <w:p w14:paraId="1569381E"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009A98B1"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5E05DD8"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B7D135E"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3504B5E5"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3BE462C4"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2020</w:t>
            </w:r>
          </w:p>
        </w:tc>
        <w:tc>
          <w:tcPr>
            <w:tcW w:w="3220" w:type="dxa"/>
            <w:tcBorders>
              <w:top w:val="nil"/>
              <w:left w:val="nil"/>
              <w:bottom w:val="single" w:sz="8" w:space="0" w:color="B4C6E7"/>
              <w:right w:val="single" w:sz="8" w:space="0" w:color="B4C6E7"/>
            </w:tcBorders>
            <w:shd w:val="clear" w:color="auto" w:fill="auto"/>
            <w:noWrap/>
            <w:vAlign w:val="center"/>
            <w:hideMark/>
          </w:tcPr>
          <w:p w14:paraId="43ADC448"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2021-2023</w:t>
            </w:r>
          </w:p>
        </w:tc>
        <w:tc>
          <w:tcPr>
            <w:tcW w:w="940" w:type="dxa"/>
            <w:tcBorders>
              <w:top w:val="nil"/>
              <w:left w:val="nil"/>
              <w:bottom w:val="single" w:sz="8" w:space="0" w:color="B4C6E7"/>
              <w:right w:val="single" w:sz="8" w:space="0" w:color="B4C6E7"/>
            </w:tcBorders>
            <w:shd w:val="clear" w:color="auto" w:fill="auto"/>
            <w:noWrap/>
            <w:vAlign w:val="center"/>
            <w:hideMark/>
          </w:tcPr>
          <w:p w14:paraId="7C4FD824"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1,488.7</w:t>
            </w:r>
          </w:p>
        </w:tc>
        <w:tc>
          <w:tcPr>
            <w:tcW w:w="940" w:type="dxa"/>
            <w:tcBorders>
              <w:top w:val="nil"/>
              <w:left w:val="nil"/>
              <w:bottom w:val="single" w:sz="8" w:space="0" w:color="B4C6E7"/>
              <w:right w:val="single" w:sz="8" w:space="0" w:color="B4C6E7"/>
            </w:tcBorders>
            <w:shd w:val="clear" w:color="auto" w:fill="auto"/>
            <w:vAlign w:val="center"/>
            <w:hideMark/>
          </w:tcPr>
          <w:p w14:paraId="1E23E30D"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1,669.9</w:t>
            </w:r>
          </w:p>
        </w:tc>
        <w:tc>
          <w:tcPr>
            <w:tcW w:w="940" w:type="dxa"/>
            <w:tcBorders>
              <w:top w:val="nil"/>
              <w:left w:val="nil"/>
              <w:bottom w:val="single" w:sz="8" w:space="0" w:color="B4C6E7"/>
              <w:right w:val="single" w:sz="8" w:space="0" w:color="B4C6E7"/>
            </w:tcBorders>
            <w:shd w:val="clear" w:color="auto" w:fill="auto"/>
            <w:vAlign w:val="center"/>
            <w:hideMark/>
          </w:tcPr>
          <w:p w14:paraId="61CA3AD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1,885.9</w:t>
            </w:r>
          </w:p>
        </w:tc>
        <w:tc>
          <w:tcPr>
            <w:tcW w:w="940" w:type="dxa"/>
            <w:tcBorders>
              <w:top w:val="nil"/>
              <w:left w:val="nil"/>
              <w:bottom w:val="single" w:sz="8" w:space="0" w:color="B4C6E7"/>
              <w:right w:val="single" w:sz="8" w:space="0" w:color="B4C6E7"/>
            </w:tcBorders>
            <w:shd w:val="clear" w:color="auto" w:fill="auto"/>
            <w:vAlign w:val="center"/>
            <w:hideMark/>
          </w:tcPr>
          <w:p w14:paraId="26414BFD"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2,082.9</w:t>
            </w:r>
          </w:p>
        </w:tc>
        <w:tc>
          <w:tcPr>
            <w:tcW w:w="940" w:type="dxa"/>
            <w:tcBorders>
              <w:top w:val="nil"/>
              <w:left w:val="nil"/>
              <w:bottom w:val="single" w:sz="8" w:space="0" w:color="B4C6E7"/>
              <w:right w:val="single" w:sz="8" w:space="0" w:color="B4C6E7"/>
            </w:tcBorders>
            <w:shd w:val="clear" w:color="auto" w:fill="auto"/>
            <w:noWrap/>
            <w:vAlign w:val="center"/>
            <w:hideMark/>
          </w:tcPr>
          <w:p w14:paraId="320CED9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46412E1A"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10C2D076"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1CC3F02C"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23E18F65"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22.9%</w:t>
            </w: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1F46CD24"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23.4%</w:t>
            </w:r>
          </w:p>
        </w:tc>
        <w:tc>
          <w:tcPr>
            <w:tcW w:w="940" w:type="dxa"/>
            <w:tcBorders>
              <w:top w:val="nil"/>
              <w:left w:val="nil"/>
              <w:bottom w:val="single" w:sz="8" w:space="0" w:color="B4C6E7"/>
              <w:right w:val="single" w:sz="8" w:space="0" w:color="B4C6E7"/>
            </w:tcBorders>
            <w:shd w:val="clear" w:color="auto" w:fill="auto"/>
            <w:vAlign w:val="center"/>
            <w:hideMark/>
          </w:tcPr>
          <w:p w14:paraId="7A38A16F"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24.0%</w:t>
            </w:r>
          </w:p>
        </w:tc>
        <w:tc>
          <w:tcPr>
            <w:tcW w:w="940" w:type="dxa"/>
            <w:tcBorders>
              <w:top w:val="nil"/>
              <w:left w:val="nil"/>
              <w:bottom w:val="single" w:sz="8" w:space="0" w:color="B4C6E7"/>
              <w:right w:val="single" w:sz="8" w:space="0" w:color="B4C6E7"/>
            </w:tcBorders>
            <w:shd w:val="clear" w:color="auto" w:fill="auto"/>
            <w:vAlign w:val="center"/>
            <w:hideMark/>
          </w:tcPr>
          <w:p w14:paraId="69962AD7"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24.3%</w:t>
            </w:r>
          </w:p>
        </w:tc>
        <w:tc>
          <w:tcPr>
            <w:tcW w:w="940" w:type="dxa"/>
            <w:tcBorders>
              <w:top w:val="nil"/>
              <w:left w:val="nil"/>
              <w:bottom w:val="single" w:sz="8" w:space="0" w:color="B4C6E7"/>
              <w:right w:val="single" w:sz="8" w:space="0" w:color="B4C6E7"/>
            </w:tcBorders>
            <w:shd w:val="clear" w:color="auto" w:fill="auto"/>
            <w:noWrap/>
            <w:vAlign w:val="center"/>
            <w:hideMark/>
          </w:tcPr>
          <w:p w14:paraId="40F65C56"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4B4C7716"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4D9273A3"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066B060A"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2021թ. Պետական բյուջե</w:t>
            </w:r>
          </w:p>
        </w:tc>
        <w:tc>
          <w:tcPr>
            <w:tcW w:w="940" w:type="dxa"/>
            <w:tcBorders>
              <w:top w:val="nil"/>
              <w:left w:val="nil"/>
              <w:bottom w:val="single" w:sz="8" w:space="0" w:color="B4C6E7"/>
              <w:right w:val="single" w:sz="8" w:space="0" w:color="B4C6E7"/>
            </w:tcBorders>
            <w:shd w:val="clear" w:color="auto" w:fill="auto"/>
            <w:noWrap/>
            <w:vAlign w:val="center"/>
            <w:hideMark/>
          </w:tcPr>
          <w:p w14:paraId="52D36E98"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1,477.7</w:t>
            </w:r>
          </w:p>
        </w:tc>
        <w:tc>
          <w:tcPr>
            <w:tcW w:w="940" w:type="dxa"/>
            <w:tcBorders>
              <w:top w:val="nil"/>
              <w:left w:val="nil"/>
              <w:bottom w:val="single" w:sz="8" w:space="0" w:color="B4C6E7"/>
              <w:right w:val="single" w:sz="8" w:space="0" w:color="B4C6E7"/>
            </w:tcBorders>
            <w:shd w:val="clear" w:color="auto" w:fill="auto"/>
            <w:vAlign w:val="center"/>
            <w:hideMark/>
          </w:tcPr>
          <w:p w14:paraId="1446A991"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1,509.5</w:t>
            </w:r>
          </w:p>
        </w:tc>
        <w:tc>
          <w:tcPr>
            <w:tcW w:w="940" w:type="dxa"/>
            <w:tcBorders>
              <w:top w:val="nil"/>
              <w:left w:val="nil"/>
              <w:bottom w:val="single" w:sz="8" w:space="0" w:color="B4C6E7"/>
              <w:right w:val="single" w:sz="8" w:space="0" w:color="B4C6E7"/>
            </w:tcBorders>
            <w:shd w:val="clear" w:color="auto" w:fill="auto"/>
            <w:vAlign w:val="center"/>
            <w:hideMark/>
          </w:tcPr>
          <w:p w14:paraId="75E3EC2D"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3E865A5"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59048FA"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39136508"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4F815FC8"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31445EDD"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26F80AA5"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24.3%</w:t>
            </w:r>
          </w:p>
        </w:tc>
        <w:tc>
          <w:tcPr>
            <w:tcW w:w="940" w:type="dxa"/>
            <w:tcBorders>
              <w:top w:val="nil"/>
              <w:left w:val="nil"/>
              <w:bottom w:val="single" w:sz="8" w:space="0" w:color="B4C6E7"/>
              <w:right w:val="single" w:sz="8" w:space="0" w:color="B4C6E7"/>
            </w:tcBorders>
            <w:shd w:val="clear" w:color="auto" w:fill="auto"/>
            <w:vAlign w:val="center"/>
            <w:hideMark/>
          </w:tcPr>
          <w:p w14:paraId="14BD24E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23.6%</w:t>
            </w:r>
          </w:p>
        </w:tc>
        <w:tc>
          <w:tcPr>
            <w:tcW w:w="940" w:type="dxa"/>
            <w:tcBorders>
              <w:top w:val="nil"/>
              <w:left w:val="nil"/>
              <w:bottom w:val="single" w:sz="8" w:space="0" w:color="B4C6E7"/>
              <w:right w:val="single" w:sz="8" w:space="0" w:color="B4C6E7"/>
            </w:tcBorders>
            <w:shd w:val="clear" w:color="auto" w:fill="auto"/>
            <w:vAlign w:val="center"/>
            <w:hideMark/>
          </w:tcPr>
          <w:p w14:paraId="373E486D"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6B6D5D81"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5DA90AE2"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30978712"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3817B115"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2021</w:t>
            </w:r>
          </w:p>
        </w:tc>
        <w:tc>
          <w:tcPr>
            <w:tcW w:w="3220" w:type="dxa"/>
            <w:tcBorders>
              <w:top w:val="nil"/>
              <w:left w:val="nil"/>
              <w:bottom w:val="single" w:sz="8" w:space="0" w:color="B4C6E7"/>
              <w:right w:val="single" w:sz="8" w:space="0" w:color="B4C6E7"/>
            </w:tcBorders>
            <w:shd w:val="clear" w:color="auto" w:fill="auto"/>
            <w:noWrap/>
            <w:vAlign w:val="center"/>
            <w:hideMark/>
          </w:tcPr>
          <w:p w14:paraId="7FF14FE9"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2022-2024</w:t>
            </w:r>
          </w:p>
        </w:tc>
        <w:tc>
          <w:tcPr>
            <w:tcW w:w="940" w:type="dxa"/>
            <w:tcBorders>
              <w:top w:val="nil"/>
              <w:left w:val="nil"/>
              <w:bottom w:val="single" w:sz="8" w:space="0" w:color="B4C6E7"/>
              <w:right w:val="single" w:sz="8" w:space="0" w:color="B4C6E7"/>
            </w:tcBorders>
            <w:shd w:val="clear" w:color="auto" w:fill="auto"/>
            <w:noWrap/>
            <w:vAlign w:val="center"/>
            <w:hideMark/>
          </w:tcPr>
          <w:p w14:paraId="6793A35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25ED3611"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1,617.3</w:t>
            </w:r>
          </w:p>
        </w:tc>
        <w:tc>
          <w:tcPr>
            <w:tcW w:w="940" w:type="dxa"/>
            <w:tcBorders>
              <w:top w:val="nil"/>
              <w:left w:val="nil"/>
              <w:bottom w:val="single" w:sz="8" w:space="0" w:color="B4C6E7"/>
              <w:right w:val="single" w:sz="8" w:space="0" w:color="B4C6E7"/>
            </w:tcBorders>
            <w:shd w:val="clear" w:color="auto" w:fill="auto"/>
            <w:vAlign w:val="center"/>
            <w:hideMark/>
          </w:tcPr>
          <w:p w14:paraId="183FE346"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1,819.2</w:t>
            </w:r>
          </w:p>
        </w:tc>
        <w:tc>
          <w:tcPr>
            <w:tcW w:w="940" w:type="dxa"/>
            <w:tcBorders>
              <w:top w:val="nil"/>
              <w:left w:val="nil"/>
              <w:bottom w:val="single" w:sz="8" w:space="0" w:color="B4C6E7"/>
              <w:right w:val="single" w:sz="8" w:space="0" w:color="B4C6E7"/>
            </w:tcBorders>
            <w:shd w:val="clear" w:color="auto" w:fill="auto"/>
            <w:vAlign w:val="center"/>
            <w:hideMark/>
          </w:tcPr>
          <w:p w14:paraId="65FEB7A3"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1,966.7</w:t>
            </w:r>
          </w:p>
        </w:tc>
        <w:tc>
          <w:tcPr>
            <w:tcW w:w="940" w:type="dxa"/>
            <w:tcBorders>
              <w:top w:val="nil"/>
              <w:left w:val="nil"/>
              <w:bottom w:val="single" w:sz="8" w:space="0" w:color="B4C6E7"/>
              <w:right w:val="single" w:sz="8" w:space="0" w:color="B4C6E7"/>
            </w:tcBorders>
            <w:shd w:val="clear" w:color="auto" w:fill="auto"/>
            <w:vAlign w:val="center"/>
            <w:hideMark/>
          </w:tcPr>
          <w:p w14:paraId="77D7E5CB"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2,148.3</w:t>
            </w:r>
          </w:p>
        </w:tc>
      </w:tr>
      <w:tr w:rsidR="00B7540A" w:rsidRPr="00586097" w14:paraId="6F06FF93"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40258DCA"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7BBD4676"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27451308"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1FF7DE9E"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23.5%</w:t>
            </w:r>
          </w:p>
        </w:tc>
        <w:tc>
          <w:tcPr>
            <w:tcW w:w="940" w:type="dxa"/>
            <w:tcBorders>
              <w:top w:val="nil"/>
              <w:left w:val="nil"/>
              <w:bottom w:val="single" w:sz="8" w:space="0" w:color="B4C6E7"/>
              <w:right w:val="single" w:sz="8" w:space="0" w:color="B4C6E7"/>
            </w:tcBorders>
            <w:shd w:val="clear" w:color="auto" w:fill="auto"/>
            <w:vAlign w:val="center"/>
            <w:hideMark/>
          </w:tcPr>
          <w:p w14:paraId="03241C88"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24.0%</w:t>
            </w:r>
          </w:p>
        </w:tc>
        <w:tc>
          <w:tcPr>
            <w:tcW w:w="940" w:type="dxa"/>
            <w:tcBorders>
              <w:top w:val="nil"/>
              <w:left w:val="nil"/>
              <w:bottom w:val="single" w:sz="8" w:space="0" w:color="B4C6E7"/>
              <w:right w:val="single" w:sz="8" w:space="0" w:color="B4C6E7"/>
            </w:tcBorders>
            <w:shd w:val="clear" w:color="auto" w:fill="auto"/>
            <w:vAlign w:val="center"/>
            <w:hideMark/>
          </w:tcPr>
          <w:p w14:paraId="1B674BA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24.1%</w:t>
            </w:r>
          </w:p>
        </w:tc>
        <w:tc>
          <w:tcPr>
            <w:tcW w:w="940" w:type="dxa"/>
            <w:tcBorders>
              <w:top w:val="nil"/>
              <w:left w:val="nil"/>
              <w:bottom w:val="single" w:sz="8" w:space="0" w:color="B4C6E7"/>
              <w:right w:val="single" w:sz="8" w:space="0" w:color="B4C6E7"/>
            </w:tcBorders>
            <w:shd w:val="clear" w:color="auto" w:fill="auto"/>
            <w:vAlign w:val="center"/>
            <w:hideMark/>
          </w:tcPr>
          <w:p w14:paraId="64CEDD27"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24.3%</w:t>
            </w:r>
          </w:p>
        </w:tc>
      </w:tr>
    </w:tbl>
    <w:p w14:paraId="7A87A582" w14:textId="77777777" w:rsidR="00B7540A" w:rsidRPr="00586097" w:rsidRDefault="00B7540A" w:rsidP="00B7540A">
      <w:pPr>
        <w:spacing w:before="0" w:after="0" w:line="276" w:lineRule="auto"/>
        <w:ind w:firstLine="0"/>
        <w:rPr>
          <w:rFonts w:eastAsia="Calibri" w:cs="Sylfaen"/>
          <w:i/>
          <w:iCs/>
          <w:color w:val="000000"/>
        </w:rPr>
      </w:pPr>
    </w:p>
    <w:p w14:paraId="40E556DA" w14:textId="77777777" w:rsidR="00B7540A" w:rsidRPr="00586097" w:rsidRDefault="00B7540A" w:rsidP="00B7540A">
      <w:pPr>
        <w:pStyle w:val="afc"/>
        <w:spacing w:line="276" w:lineRule="auto"/>
      </w:pPr>
      <w:r w:rsidRPr="00586097">
        <w:t>Աղյուսակ 2.4. Պետական բյուջեի հարկային եկամուտների կանխատեսումների համեմատական աղյուսակը (մլրդ դրամ)</w:t>
      </w:r>
    </w:p>
    <w:tbl>
      <w:tblPr>
        <w:tblW w:w="9280" w:type="dxa"/>
        <w:tblInd w:w="118" w:type="dxa"/>
        <w:tblLook w:val="04A0" w:firstRow="1" w:lastRow="0" w:firstColumn="1" w:lastColumn="0" w:noHBand="0" w:noVBand="1"/>
      </w:tblPr>
      <w:tblGrid>
        <w:gridCol w:w="1359"/>
        <w:gridCol w:w="3220"/>
        <w:gridCol w:w="1008"/>
        <w:gridCol w:w="971"/>
        <w:gridCol w:w="972"/>
        <w:gridCol w:w="972"/>
        <w:gridCol w:w="993"/>
      </w:tblGrid>
      <w:tr w:rsidR="00B7540A" w:rsidRPr="00586097" w14:paraId="389BECC1" w14:textId="77777777" w:rsidTr="00B7540A">
        <w:trPr>
          <w:trHeight w:val="1005"/>
          <w:tblHeader/>
        </w:trPr>
        <w:tc>
          <w:tcPr>
            <w:tcW w:w="1360"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3941AEF4"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Ընդունման տարին</w:t>
            </w:r>
          </w:p>
        </w:tc>
        <w:tc>
          <w:tcPr>
            <w:tcW w:w="3220" w:type="dxa"/>
            <w:tcBorders>
              <w:top w:val="single" w:sz="8" w:space="0" w:color="FFFFFF"/>
              <w:left w:val="nil"/>
              <w:bottom w:val="single" w:sz="8" w:space="0" w:color="FFFFFF"/>
              <w:right w:val="single" w:sz="8" w:space="0" w:color="FFFFFF"/>
            </w:tcBorders>
            <w:shd w:val="clear" w:color="000000" w:fill="8EA9DB"/>
            <w:noWrap/>
            <w:vAlign w:val="center"/>
            <w:hideMark/>
          </w:tcPr>
          <w:p w14:paraId="27E1A49A"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Ծրագիր</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1674793F"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2020</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0D5C1C70"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2021</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21BBB128"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2022</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38881569"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2023</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57AA3ABB"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2024</w:t>
            </w:r>
          </w:p>
        </w:tc>
      </w:tr>
      <w:tr w:rsidR="00B7540A" w:rsidRPr="00586097" w14:paraId="43A87D3C"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50D67344"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3220" w:type="dxa"/>
            <w:tcBorders>
              <w:top w:val="nil"/>
              <w:left w:val="nil"/>
              <w:bottom w:val="single" w:sz="8" w:space="0" w:color="B4C6E7"/>
              <w:right w:val="single" w:sz="8" w:space="0" w:color="B4C6E7"/>
            </w:tcBorders>
            <w:shd w:val="clear" w:color="auto" w:fill="auto"/>
            <w:noWrap/>
            <w:vAlign w:val="center"/>
            <w:hideMark/>
          </w:tcPr>
          <w:p w14:paraId="4E10D8A9"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Փաստացի</w:t>
            </w:r>
          </w:p>
        </w:tc>
        <w:tc>
          <w:tcPr>
            <w:tcW w:w="940" w:type="dxa"/>
            <w:tcBorders>
              <w:top w:val="nil"/>
              <w:left w:val="nil"/>
              <w:bottom w:val="single" w:sz="8" w:space="0" w:color="B4C6E7"/>
              <w:right w:val="single" w:sz="8" w:space="0" w:color="B4C6E7"/>
            </w:tcBorders>
            <w:shd w:val="clear" w:color="auto" w:fill="auto"/>
            <w:vAlign w:val="center"/>
            <w:hideMark/>
          </w:tcPr>
          <w:p w14:paraId="7754A6E1"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1,385.2</w:t>
            </w:r>
          </w:p>
        </w:tc>
        <w:tc>
          <w:tcPr>
            <w:tcW w:w="940" w:type="dxa"/>
            <w:tcBorders>
              <w:top w:val="nil"/>
              <w:left w:val="nil"/>
              <w:bottom w:val="single" w:sz="8" w:space="0" w:color="B4C6E7"/>
              <w:right w:val="single" w:sz="8" w:space="0" w:color="B4C6E7"/>
            </w:tcBorders>
            <w:shd w:val="clear" w:color="auto" w:fill="auto"/>
            <w:vAlign w:val="center"/>
            <w:hideMark/>
          </w:tcPr>
          <w:p w14:paraId="0592FDA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7318AE93"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14EE3A3C"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123CDAF4"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62315B53"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31D94249"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76D0BC0A"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40CABD7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22.41%</w:t>
            </w:r>
          </w:p>
        </w:tc>
        <w:tc>
          <w:tcPr>
            <w:tcW w:w="940" w:type="dxa"/>
            <w:tcBorders>
              <w:top w:val="nil"/>
              <w:left w:val="nil"/>
              <w:bottom w:val="single" w:sz="8" w:space="0" w:color="B4C6E7"/>
              <w:right w:val="single" w:sz="8" w:space="0" w:color="B4C6E7"/>
            </w:tcBorders>
            <w:shd w:val="clear" w:color="auto" w:fill="auto"/>
            <w:vAlign w:val="center"/>
            <w:hideMark/>
          </w:tcPr>
          <w:p w14:paraId="3CD2BB5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7B690AC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7CEA9BE"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1E529BD7"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261603AD"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1A895F4A"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2019</w:t>
            </w:r>
          </w:p>
        </w:tc>
        <w:tc>
          <w:tcPr>
            <w:tcW w:w="3220" w:type="dxa"/>
            <w:tcBorders>
              <w:top w:val="nil"/>
              <w:left w:val="nil"/>
              <w:bottom w:val="single" w:sz="8" w:space="0" w:color="B4C6E7"/>
              <w:right w:val="single" w:sz="8" w:space="0" w:color="B4C6E7"/>
            </w:tcBorders>
            <w:shd w:val="clear" w:color="auto" w:fill="auto"/>
            <w:noWrap/>
            <w:vAlign w:val="center"/>
            <w:hideMark/>
          </w:tcPr>
          <w:p w14:paraId="23194F16"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2020-2022</w:t>
            </w:r>
          </w:p>
        </w:tc>
        <w:tc>
          <w:tcPr>
            <w:tcW w:w="940" w:type="dxa"/>
            <w:tcBorders>
              <w:top w:val="nil"/>
              <w:left w:val="nil"/>
              <w:bottom w:val="single" w:sz="8" w:space="0" w:color="B4C6E7"/>
              <w:right w:val="single" w:sz="8" w:space="0" w:color="B4C6E7"/>
            </w:tcBorders>
            <w:shd w:val="clear" w:color="auto" w:fill="auto"/>
            <w:vAlign w:val="center"/>
            <w:hideMark/>
          </w:tcPr>
          <w:p w14:paraId="1CFBB11F"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1,621.2</w:t>
            </w:r>
          </w:p>
        </w:tc>
        <w:tc>
          <w:tcPr>
            <w:tcW w:w="940" w:type="dxa"/>
            <w:tcBorders>
              <w:top w:val="nil"/>
              <w:left w:val="nil"/>
              <w:bottom w:val="single" w:sz="8" w:space="0" w:color="B4C6E7"/>
              <w:right w:val="single" w:sz="8" w:space="0" w:color="B4C6E7"/>
            </w:tcBorders>
            <w:shd w:val="clear" w:color="auto" w:fill="auto"/>
            <w:vAlign w:val="center"/>
            <w:hideMark/>
          </w:tcPr>
          <w:p w14:paraId="7EC6B997"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1,787.5</w:t>
            </w:r>
          </w:p>
        </w:tc>
        <w:tc>
          <w:tcPr>
            <w:tcW w:w="940" w:type="dxa"/>
            <w:tcBorders>
              <w:top w:val="nil"/>
              <w:left w:val="nil"/>
              <w:bottom w:val="single" w:sz="8" w:space="0" w:color="B4C6E7"/>
              <w:right w:val="single" w:sz="8" w:space="0" w:color="B4C6E7"/>
            </w:tcBorders>
            <w:shd w:val="clear" w:color="auto" w:fill="auto"/>
            <w:vAlign w:val="center"/>
            <w:hideMark/>
          </w:tcPr>
          <w:p w14:paraId="28CAD31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1,988.8</w:t>
            </w:r>
          </w:p>
        </w:tc>
        <w:tc>
          <w:tcPr>
            <w:tcW w:w="940" w:type="dxa"/>
            <w:tcBorders>
              <w:top w:val="nil"/>
              <w:left w:val="nil"/>
              <w:bottom w:val="single" w:sz="8" w:space="0" w:color="B4C6E7"/>
              <w:right w:val="single" w:sz="8" w:space="0" w:color="B4C6E7"/>
            </w:tcBorders>
            <w:shd w:val="clear" w:color="auto" w:fill="auto"/>
            <w:noWrap/>
            <w:vAlign w:val="center"/>
            <w:hideMark/>
          </w:tcPr>
          <w:p w14:paraId="080FD45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625305E5"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3A5374B5"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3597C363"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1A2F8801"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2C815C71"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23.2%</w:t>
            </w:r>
          </w:p>
        </w:tc>
        <w:tc>
          <w:tcPr>
            <w:tcW w:w="940" w:type="dxa"/>
            <w:tcBorders>
              <w:top w:val="nil"/>
              <w:left w:val="nil"/>
              <w:bottom w:val="single" w:sz="8" w:space="0" w:color="B4C6E7"/>
              <w:right w:val="single" w:sz="8" w:space="0" w:color="B4C6E7"/>
            </w:tcBorders>
            <w:shd w:val="clear" w:color="auto" w:fill="auto"/>
            <w:vAlign w:val="center"/>
            <w:hideMark/>
          </w:tcPr>
          <w:p w14:paraId="79C418D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23.5%</w:t>
            </w:r>
          </w:p>
        </w:tc>
        <w:tc>
          <w:tcPr>
            <w:tcW w:w="940" w:type="dxa"/>
            <w:tcBorders>
              <w:top w:val="nil"/>
              <w:left w:val="nil"/>
              <w:bottom w:val="single" w:sz="8" w:space="0" w:color="B4C6E7"/>
              <w:right w:val="single" w:sz="8" w:space="0" w:color="B4C6E7"/>
            </w:tcBorders>
            <w:shd w:val="clear" w:color="auto" w:fill="auto"/>
            <w:vAlign w:val="center"/>
            <w:hideMark/>
          </w:tcPr>
          <w:p w14:paraId="72FAD0D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23.9%</w:t>
            </w:r>
          </w:p>
        </w:tc>
        <w:tc>
          <w:tcPr>
            <w:tcW w:w="940" w:type="dxa"/>
            <w:tcBorders>
              <w:top w:val="nil"/>
              <w:left w:val="nil"/>
              <w:bottom w:val="single" w:sz="8" w:space="0" w:color="B4C6E7"/>
              <w:right w:val="single" w:sz="8" w:space="0" w:color="B4C6E7"/>
            </w:tcBorders>
            <w:shd w:val="clear" w:color="auto" w:fill="auto"/>
            <w:noWrap/>
            <w:vAlign w:val="center"/>
            <w:hideMark/>
          </w:tcPr>
          <w:p w14:paraId="1B2BB4C9"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76C3384A"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04409DB0"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2EB1071E"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586AC8B0"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2020թ. Պետական բյուջե</w:t>
            </w:r>
          </w:p>
        </w:tc>
        <w:tc>
          <w:tcPr>
            <w:tcW w:w="940" w:type="dxa"/>
            <w:tcBorders>
              <w:top w:val="nil"/>
              <w:left w:val="nil"/>
              <w:bottom w:val="single" w:sz="8" w:space="0" w:color="B4C6E7"/>
              <w:right w:val="single" w:sz="8" w:space="0" w:color="B4C6E7"/>
            </w:tcBorders>
            <w:shd w:val="clear" w:color="auto" w:fill="auto"/>
            <w:vAlign w:val="center"/>
            <w:hideMark/>
          </w:tcPr>
          <w:p w14:paraId="13A1EA06"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1,602.3</w:t>
            </w:r>
          </w:p>
        </w:tc>
        <w:tc>
          <w:tcPr>
            <w:tcW w:w="940" w:type="dxa"/>
            <w:tcBorders>
              <w:top w:val="nil"/>
              <w:left w:val="nil"/>
              <w:bottom w:val="single" w:sz="8" w:space="0" w:color="B4C6E7"/>
              <w:right w:val="single" w:sz="8" w:space="0" w:color="B4C6E7"/>
            </w:tcBorders>
            <w:shd w:val="clear" w:color="auto" w:fill="auto"/>
            <w:vAlign w:val="center"/>
            <w:hideMark/>
          </w:tcPr>
          <w:p w14:paraId="459B92BD"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7C593D17"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68992CC"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66D13DE6"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26D1E85F"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3DEE2974"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74B909AD"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79B5171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22.6%</w:t>
            </w:r>
          </w:p>
        </w:tc>
        <w:tc>
          <w:tcPr>
            <w:tcW w:w="940" w:type="dxa"/>
            <w:tcBorders>
              <w:top w:val="nil"/>
              <w:left w:val="nil"/>
              <w:bottom w:val="single" w:sz="8" w:space="0" w:color="B4C6E7"/>
              <w:right w:val="single" w:sz="8" w:space="0" w:color="B4C6E7"/>
            </w:tcBorders>
            <w:shd w:val="clear" w:color="auto" w:fill="auto"/>
            <w:vAlign w:val="center"/>
            <w:hideMark/>
          </w:tcPr>
          <w:p w14:paraId="33431D07"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30BD6964"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6D80DE9E"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3E94392"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61AF3DAB"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5DCC3E0E"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2020</w:t>
            </w:r>
          </w:p>
        </w:tc>
        <w:tc>
          <w:tcPr>
            <w:tcW w:w="3220" w:type="dxa"/>
            <w:tcBorders>
              <w:top w:val="nil"/>
              <w:left w:val="nil"/>
              <w:bottom w:val="single" w:sz="8" w:space="0" w:color="B4C6E7"/>
              <w:right w:val="single" w:sz="8" w:space="0" w:color="B4C6E7"/>
            </w:tcBorders>
            <w:shd w:val="clear" w:color="auto" w:fill="auto"/>
            <w:noWrap/>
            <w:vAlign w:val="center"/>
            <w:hideMark/>
          </w:tcPr>
          <w:p w14:paraId="7F758C1A"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2021-2023</w:t>
            </w:r>
          </w:p>
        </w:tc>
        <w:tc>
          <w:tcPr>
            <w:tcW w:w="940" w:type="dxa"/>
            <w:tcBorders>
              <w:top w:val="nil"/>
              <w:left w:val="nil"/>
              <w:bottom w:val="single" w:sz="8" w:space="0" w:color="B4C6E7"/>
              <w:right w:val="single" w:sz="8" w:space="0" w:color="B4C6E7"/>
            </w:tcBorders>
            <w:shd w:val="clear" w:color="auto" w:fill="auto"/>
            <w:noWrap/>
            <w:vAlign w:val="center"/>
            <w:hideMark/>
          </w:tcPr>
          <w:p w14:paraId="5B8CCCA9"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1,395.9</w:t>
            </w: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3945C1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1,600.3</w:t>
            </w:r>
          </w:p>
        </w:tc>
        <w:tc>
          <w:tcPr>
            <w:tcW w:w="940" w:type="dxa"/>
            <w:tcBorders>
              <w:top w:val="nil"/>
              <w:left w:val="nil"/>
              <w:bottom w:val="single" w:sz="8" w:space="0" w:color="B4C6E7"/>
              <w:right w:val="single" w:sz="8" w:space="0" w:color="B4C6E7"/>
            </w:tcBorders>
            <w:shd w:val="clear" w:color="auto" w:fill="auto"/>
            <w:vAlign w:val="center"/>
            <w:hideMark/>
          </w:tcPr>
          <w:p w14:paraId="2D9EB3E1"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1,819.7</w:t>
            </w:r>
          </w:p>
        </w:tc>
        <w:tc>
          <w:tcPr>
            <w:tcW w:w="940" w:type="dxa"/>
            <w:tcBorders>
              <w:top w:val="nil"/>
              <w:left w:val="nil"/>
              <w:bottom w:val="single" w:sz="8" w:space="0" w:color="B4C6E7"/>
              <w:right w:val="single" w:sz="8" w:space="0" w:color="B4C6E7"/>
            </w:tcBorders>
            <w:shd w:val="clear" w:color="auto" w:fill="auto"/>
            <w:vAlign w:val="center"/>
            <w:hideMark/>
          </w:tcPr>
          <w:p w14:paraId="3C67956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2,027.1</w:t>
            </w:r>
          </w:p>
        </w:tc>
        <w:tc>
          <w:tcPr>
            <w:tcW w:w="940" w:type="dxa"/>
            <w:tcBorders>
              <w:top w:val="nil"/>
              <w:left w:val="nil"/>
              <w:bottom w:val="single" w:sz="8" w:space="0" w:color="B4C6E7"/>
              <w:right w:val="single" w:sz="8" w:space="0" w:color="B4C6E7"/>
            </w:tcBorders>
            <w:shd w:val="clear" w:color="auto" w:fill="auto"/>
            <w:noWrap/>
            <w:vAlign w:val="center"/>
            <w:hideMark/>
          </w:tcPr>
          <w:p w14:paraId="6CDC7CDE"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397E2DF2"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1ADDAE0D"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456AF5E6"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336855D7"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21.5%</w:t>
            </w: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4B1F86A"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22.4%</w:t>
            </w:r>
          </w:p>
        </w:tc>
        <w:tc>
          <w:tcPr>
            <w:tcW w:w="940" w:type="dxa"/>
            <w:tcBorders>
              <w:top w:val="nil"/>
              <w:left w:val="nil"/>
              <w:bottom w:val="single" w:sz="8" w:space="0" w:color="B4C6E7"/>
              <w:right w:val="single" w:sz="8" w:space="0" w:color="B4C6E7"/>
            </w:tcBorders>
            <w:shd w:val="clear" w:color="auto" w:fill="auto"/>
            <w:vAlign w:val="center"/>
            <w:hideMark/>
          </w:tcPr>
          <w:p w14:paraId="7A93D624"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23.2%</w:t>
            </w:r>
          </w:p>
        </w:tc>
        <w:tc>
          <w:tcPr>
            <w:tcW w:w="940" w:type="dxa"/>
            <w:tcBorders>
              <w:top w:val="nil"/>
              <w:left w:val="nil"/>
              <w:bottom w:val="single" w:sz="8" w:space="0" w:color="B4C6E7"/>
              <w:right w:val="single" w:sz="8" w:space="0" w:color="B4C6E7"/>
            </w:tcBorders>
            <w:shd w:val="clear" w:color="auto" w:fill="auto"/>
            <w:vAlign w:val="center"/>
            <w:hideMark/>
          </w:tcPr>
          <w:p w14:paraId="148B28E7"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23.6%</w:t>
            </w:r>
          </w:p>
        </w:tc>
        <w:tc>
          <w:tcPr>
            <w:tcW w:w="940" w:type="dxa"/>
            <w:tcBorders>
              <w:top w:val="nil"/>
              <w:left w:val="nil"/>
              <w:bottom w:val="single" w:sz="8" w:space="0" w:color="B4C6E7"/>
              <w:right w:val="single" w:sz="8" w:space="0" w:color="B4C6E7"/>
            </w:tcBorders>
            <w:shd w:val="clear" w:color="auto" w:fill="auto"/>
            <w:noWrap/>
            <w:vAlign w:val="center"/>
            <w:hideMark/>
          </w:tcPr>
          <w:p w14:paraId="39ACE947"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0AB4C7DC"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38B57EFF"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25D5CD90"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2021թ. Պետական բյուջե</w:t>
            </w:r>
          </w:p>
        </w:tc>
        <w:tc>
          <w:tcPr>
            <w:tcW w:w="940" w:type="dxa"/>
            <w:tcBorders>
              <w:top w:val="nil"/>
              <w:left w:val="nil"/>
              <w:bottom w:val="single" w:sz="8" w:space="0" w:color="B4C6E7"/>
              <w:right w:val="single" w:sz="8" w:space="0" w:color="B4C6E7"/>
            </w:tcBorders>
            <w:shd w:val="clear" w:color="auto" w:fill="auto"/>
            <w:noWrap/>
            <w:vAlign w:val="center"/>
            <w:hideMark/>
          </w:tcPr>
          <w:p w14:paraId="163BC763"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1,349.8</w:t>
            </w:r>
          </w:p>
        </w:tc>
        <w:tc>
          <w:tcPr>
            <w:tcW w:w="940" w:type="dxa"/>
            <w:tcBorders>
              <w:top w:val="nil"/>
              <w:left w:val="nil"/>
              <w:bottom w:val="single" w:sz="8" w:space="0" w:color="B4C6E7"/>
              <w:right w:val="single" w:sz="8" w:space="0" w:color="B4C6E7"/>
            </w:tcBorders>
            <w:shd w:val="clear" w:color="auto" w:fill="auto"/>
            <w:vAlign w:val="center"/>
            <w:hideMark/>
          </w:tcPr>
          <w:p w14:paraId="0E5CCBAD"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1,440.1</w:t>
            </w:r>
          </w:p>
        </w:tc>
        <w:tc>
          <w:tcPr>
            <w:tcW w:w="940" w:type="dxa"/>
            <w:tcBorders>
              <w:top w:val="nil"/>
              <w:left w:val="nil"/>
              <w:bottom w:val="single" w:sz="8" w:space="0" w:color="B4C6E7"/>
              <w:right w:val="single" w:sz="8" w:space="0" w:color="B4C6E7"/>
            </w:tcBorders>
            <w:shd w:val="clear" w:color="auto" w:fill="auto"/>
            <w:vAlign w:val="center"/>
            <w:hideMark/>
          </w:tcPr>
          <w:p w14:paraId="18FE73DB"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74AF6163"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7380216"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6E950213"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5463E96F"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17FF2F1A"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33BEC1E0"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22.2%</w:t>
            </w:r>
          </w:p>
        </w:tc>
        <w:tc>
          <w:tcPr>
            <w:tcW w:w="940" w:type="dxa"/>
            <w:tcBorders>
              <w:top w:val="nil"/>
              <w:left w:val="nil"/>
              <w:bottom w:val="single" w:sz="8" w:space="0" w:color="B4C6E7"/>
              <w:right w:val="single" w:sz="8" w:space="0" w:color="B4C6E7"/>
            </w:tcBorders>
            <w:shd w:val="clear" w:color="auto" w:fill="auto"/>
            <w:vAlign w:val="center"/>
            <w:hideMark/>
          </w:tcPr>
          <w:p w14:paraId="38208884"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22.50%</w:t>
            </w:r>
          </w:p>
        </w:tc>
        <w:tc>
          <w:tcPr>
            <w:tcW w:w="940" w:type="dxa"/>
            <w:tcBorders>
              <w:top w:val="nil"/>
              <w:left w:val="nil"/>
              <w:bottom w:val="single" w:sz="8" w:space="0" w:color="B4C6E7"/>
              <w:right w:val="single" w:sz="8" w:space="0" w:color="B4C6E7"/>
            </w:tcBorders>
            <w:shd w:val="clear" w:color="auto" w:fill="auto"/>
            <w:vAlign w:val="center"/>
            <w:hideMark/>
          </w:tcPr>
          <w:p w14:paraId="5321F722"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5912C29E"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3FC11D7C"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3D50C700"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657D7F8C"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2021</w:t>
            </w:r>
          </w:p>
        </w:tc>
        <w:tc>
          <w:tcPr>
            <w:tcW w:w="3220" w:type="dxa"/>
            <w:tcBorders>
              <w:top w:val="nil"/>
              <w:left w:val="nil"/>
              <w:bottom w:val="single" w:sz="8" w:space="0" w:color="B4C6E7"/>
              <w:right w:val="single" w:sz="8" w:space="0" w:color="B4C6E7"/>
            </w:tcBorders>
            <w:shd w:val="clear" w:color="auto" w:fill="auto"/>
            <w:noWrap/>
            <w:vAlign w:val="center"/>
            <w:hideMark/>
          </w:tcPr>
          <w:p w14:paraId="1A930663"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2022-2024</w:t>
            </w:r>
          </w:p>
        </w:tc>
        <w:tc>
          <w:tcPr>
            <w:tcW w:w="940" w:type="dxa"/>
            <w:tcBorders>
              <w:top w:val="nil"/>
              <w:left w:val="nil"/>
              <w:bottom w:val="single" w:sz="8" w:space="0" w:color="B4C6E7"/>
              <w:right w:val="single" w:sz="8" w:space="0" w:color="B4C6E7"/>
            </w:tcBorders>
            <w:shd w:val="clear" w:color="auto" w:fill="auto"/>
            <w:noWrap/>
            <w:vAlign w:val="center"/>
            <w:hideMark/>
          </w:tcPr>
          <w:p w14:paraId="1568C65B"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6F8E41FC"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1,540.5</w:t>
            </w:r>
          </w:p>
        </w:tc>
        <w:tc>
          <w:tcPr>
            <w:tcW w:w="940" w:type="dxa"/>
            <w:tcBorders>
              <w:top w:val="nil"/>
              <w:left w:val="nil"/>
              <w:bottom w:val="single" w:sz="8" w:space="0" w:color="B4C6E7"/>
              <w:right w:val="single" w:sz="8" w:space="0" w:color="B4C6E7"/>
            </w:tcBorders>
            <w:shd w:val="clear" w:color="auto" w:fill="auto"/>
            <w:vAlign w:val="center"/>
            <w:hideMark/>
          </w:tcPr>
          <w:p w14:paraId="3F8651D7"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1,733.5</w:t>
            </w:r>
          </w:p>
        </w:tc>
        <w:tc>
          <w:tcPr>
            <w:tcW w:w="940" w:type="dxa"/>
            <w:tcBorders>
              <w:top w:val="nil"/>
              <w:left w:val="nil"/>
              <w:bottom w:val="single" w:sz="8" w:space="0" w:color="B4C6E7"/>
              <w:right w:val="single" w:sz="8" w:space="0" w:color="B4C6E7"/>
            </w:tcBorders>
            <w:shd w:val="clear" w:color="auto" w:fill="auto"/>
            <w:vAlign w:val="center"/>
            <w:hideMark/>
          </w:tcPr>
          <w:p w14:paraId="1EFE7129"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1,889.9</w:t>
            </w:r>
          </w:p>
        </w:tc>
        <w:tc>
          <w:tcPr>
            <w:tcW w:w="940" w:type="dxa"/>
            <w:tcBorders>
              <w:top w:val="nil"/>
              <w:left w:val="nil"/>
              <w:bottom w:val="single" w:sz="8" w:space="0" w:color="B4C6E7"/>
              <w:right w:val="single" w:sz="8" w:space="0" w:color="B4C6E7"/>
            </w:tcBorders>
            <w:shd w:val="clear" w:color="auto" w:fill="auto"/>
            <w:vAlign w:val="center"/>
            <w:hideMark/>
          </w:tcPr>
          <w:p w14:paraId="2247F362"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2,084.0</w:t>
            </w:r>
          </w:p>
        </w:tc>
      </w:tr>
      <w:tr w:rsidR="00B7540A" w:rsidRPr="00586097" w14:paraId="564D18F7"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5EEF2104"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16D28460"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252D1C43"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EA1F175"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22.4%</w:t>
            </w:r>
          </w:p>
        </w:tc>
        <w:tc>
          <w:tcPr>
            <w:tcW w:w="940" w:type="dxa"/>
            <w:tcBorders>
              <w:top w:val="nil"/>
              <w:left w:val="nil"/>
              <w:bottom w:val="single" w:sz="8" w:space="0" w:color="B4C6E7"/>
              <w:right w:val="single" w:sz="8" w:space="0" w:color="B4C6E7"/>
            </w:tcBorders>
            <w:shd w:val="clear" w:color="auto" w:fill="auto"/>
            <w:vAlign w:val="center"/>
            <w:hideMark/>
          </w:tcPr>
          <w:p w14:paraId="35B8FB68"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22.9%</w:t>
            </w:r>
          </w:p>
        </w:tc>
        <w:tc>
          <w:tcPr>
            <w:tcW w:w="940" w:type="dxa"/>
            <w:tcBorders>
              <w:top w:val="nil"/>
              <w:left w:val="nil"/>
              <w:bottom w:val="single" w:sz="8" w:space="0" w:color="B4C6E7"/>
              <w:right w:val="single" w:sz="8" w:space="0" w:color="B4C6E7"/>
            </w:tcBorders>
            <w:shd w:val="clear" w:color="auto" w:fill="auto"/>
            <w:vAlign w:val="center"/>
            <w:hideMark/>
          </w:tcPr>
          <w:p w14:paraId="14919FD2"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23.1%</w:t>
            </w:r>
          </w:p>
        </w:tc>
        <w:tc>
          <w:tcPr>
            <w:tcW w:w="940" w:type="dxa"/>
            <w:tcBorders>
              <w:top w:val="nil"/>
              <w:left w:val="nil"/>
              <w:bottom w:val="single" w:sz="8" w:space="0" w:color="B4C6E7"/>
              <w:right w:val="single" w:sz="8" w:space="0" w:color="B4C6E7"/>
            </w:tcBorders>
            <w:shd w:val="clear" w:color="auto" w:fill="auto"/>
            <w:vAlign w:val="center"/>
            <w:hideMark/>
          </w:tcPr>
          <w:p w14:paraId="31AD095E"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23.6%</w:t>
            </w:r>
          </w:p>
        </w:tc>
      </w:tr>
    </w:tbl>
    <w:p w14:paraId="66C38FF3" w14:textId="77777777" w:rsidR="00B7540A" w:rsidRPr="00586097" w:rsidRDefault="00B7540A" w:rsidP="00B7540A">
      <w:pPr>
        <w:pStyle w:val="afc"/>
        <w:spacing w:line="276" w:lineRule="auto"/>
      </w:pPr>
      <w:r w:rsidRPr="00586097">
        <w:t>Աղյուսակ 2.5. Պետական բյուջեի ծախսերի կանխատեսումների համեմատական աղյուսակը (մլրդ դրամ)</w:t>
      </w:r>
    </w:p>
    <w:tbl>
      <w:tblPr>
        <w:tblW w:w="9280" w:type="dxa"/>
        <w:tblInd w:w="118" w:type="dxa"/>
        <w:tblLook w:val="04A0" w:firstRow="1" w:lastRow="0" w:firstColumn="1" w:lastColumn="0" w:noHBand="0" w:noVBand="1"/>
      </w:tblPr>
      <w:tblGrid>
        <w:gridCol w:w="1359"/>
        <w:gridCol w:w="3220"/>
        <w:gridCol w:w="966"/>
        <w:gridCol w:w="968"/>
        <w:gridCol w:w="1007"/>
        <w:gridCol w:w="940"/>
        <w:gridCol w:w="940"/>
      </w:tblGrid>
      <w:tr w:rsidR="00B7540A" w:rsidRPr="00586097" w14:paraId="1EDCA21D" w14:textId="77777777" w:rsidTr="00B7540A">
        <w:trPr>
          <w:trHeight w:val="825"/>
          <w:tblHeader/>
        </w:trPr>
        <w:tc>
          <w:tcPr>
            <w:tcW w:w="1360"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77763D68"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Ընդունման տարին</w:t>
            </w:r>
          </w:p>
        </w:tc>
        <w:tc>
          <w:tcPr>
            <w:tcW w:w="3220" w:type="dxa"/>
            <w:tcBorders>
              <w:top w:val="single" w:sz="8" w:space="0" w:color="FFFFFF"/>
              <w:left w:val="nil"/>
              <w:bottom w:val="single" w:sz="8" w:space="0" w:color="FFFFFF"/>
              <w:right w:val="single" w:sz="8" w:space="0" w:color="FFFFFF"/>
            </w:tcBorders>
            <w:shd w:val="clear" w:color="000000" w:fill="8EA9DB"/>
            <w:noWrap/>
            <w:vAlign w:val="center"/>
            <w:hideMark/>
          </w:tcPr>
          <w:p w14:paraId="0E1EC0B6"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Ծրագիր</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4CD3B865"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2020</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7155CFF5"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2021</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0417DEF9"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2022</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22D19867"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2023</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5DD065C2"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2024</w:t>
            </w:r>
          </w:p>
        </w:tc>
      </w:tr>
      <w:tr w:rsidR="00B7540A" w:rsidRPr="00586097" w14:paraId="12E87F6E"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1143F5D3"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3220" w:type="dxa"/>
            <w:tcBorders>
              <w:top w:val="nil"/>
              <w:left w:val="nil"/>
              <w:bottom w:val="single" w:sz="8" w:space="0" w:color="B4C6E7"/>
              <w:right w:val="single" w:sz="8" w:space="0" w:color="B4C6E7"/>
            </w:tcBorders>
            <w:shd w:val="clear" w:color="auto" w:fill="auto"/>
            <w:noWrap/>
            <w:vAlign w:val="center"/>
            <w:hideMark/>
          </w:tcPr>
          <w:p w14:paraId="773A5779"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Փաստացի</w:t>
            </w:r>
          </w:p>
        </w:tc>
        <w:tc>
          <w:tcPr>
            <w:tcW w:w="940" w:type="dxa"/>
            <w:tcBorders>
              <w:top w:val="nil"/>
              <w:left w:val="nil"/>
              <w:bottom w:val="single" w:sz="8" w:space="0" w:color="B4C6E7"/>
              <w:right w:val="single" w:sz="8" w:space="0" w:color="B4C6E7"/>
            </w:tcBorders>
            <w:shd w:val="clear" w:color="auto" w:fill="auto"/>
            <w:vAlign w:val="center"/>
            <w:hideMark/>
          </w:tcPr>
          <w:p w14:paraId="143AA32A"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1,894.6</w:t>
            </w:r>
          </w:p>
        </w:tc>
        <w:tc>
          <w:tcPr>
            <w:tcW w:w="940" w:type="dxa"/>
            <w:tcBorders>
              <w:top w:val="nil"/>
              <w:left w:val="nil"/>
              <w:bottom w:val="single" w:sz="8" w:space="0" w:color="B4C6E7"/>
              <w:right w:val="single" w:sz="8" w:space="0" w:color="B4C6E7"/>
            </w:tcBorders>
            <w:shd w:val="clear" w:color="auto" w:fill="auto"/>
            <w:vAlign w:val="center"/>
            <w:hideMark/>
          </w:tcPr>
          <w:p w14:paraId="28922C7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0ABFCF0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7B753F0A"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5C004F2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3A8D42EF"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7C6D5BA6"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0A61F475"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6AEBD76F"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30.65%</w:t>
            </w:r>
          </w:p>
        </w:tc>
        <w:tc>
          <w:tcPr>
            <w:tcW w:w="940" w:type="dxa"/>
            <w:tcBorders>
              <w:top w:val="nil"/>
              <w:left w:val="nil"/>
              <w:bottom w:val="single" w:sz="8" w:space="0" w:color="B4C6E7"/>
              <w:right w:val="single" w:sz="8" w:space="0" w:color="B4C6E7"/>
            </w:tcBorders>
            <w:shd w:val="clear" w:color="auto" w:fill="auto"/>
            <w:vAlign w:val="center"/>
            <w:hideMark/>
          </w:tcPr>
          <w:p w14:paraId="74B4C098"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554D9069"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1BA9FC77"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63471F6B"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1C6D210A"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584D965A"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2019</w:t>
            </w:r>
          </w:p>
        </w:tc>
        <w:tc>
          <w:tcPr>
            <w:tcW w:w="3220" w:type="dxa"/>
            <w:tcBorders>
              <w:top w:val="nil"/>
              <w:left w:val="nil"/>
              <w:bottom w:val="single" w:sz="8" w:space="0" w:color="B4C6E7"/>
              <w:right w:val="single" w:sz="8" w:space="0" w:color="B4C6E7"/>
            </w:tcBorders>
            <w:shd w:val="clear" w:color="auto" w:fill="auto"/>
            <w:noWrap/>
            <w:vAlign w:val="center"/>
            <w:hideMark/>
          </w:tcPr>
          <w:p w14:paraId="338DD822"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2020-2022</w:t>
            </w:r>
          </w:p>
        </w:tc>
        <w:tc>
          <w:tcPr>
            <w:tcW w:w="940" w:type="dxa"/>
            <w:tcBorders>
              <w:top w:val="nil"/>
              <w:left w:val="nil"/>
              <w:bottom w:val="single" w:sz="8" w:space="0" w:color="B4C6E7"/>
              <w:right w:val="single" w:sz="8" w:space="0" w:color="B4C6E7"/>
            </w:tcBorders>
            <w:shd w:val="clear" w:color="auto" w:fill="auto"/>
            <w:vAlign w:val="center"/>
            <w:hideMark/>
          </w:tcPr>
          <w:p w14:paraId="63A9573B"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1,868.2</w:t>
            </w:r>
          </w:p>
        </w:tc>
        <w:tc>
          <w:tcPr>
            <w:tcW w:w="940" w:type="dxa"/>
            <w:tcBorders>
              <w:top w:val="nil"/>
              <w:left w:val="nil"/>
              <w:bottom w:val="single" w:sz="8" w:space="0" w:color="B4C6E7"/>
              <w:right w:val="single" w:sz="8" w:space="0" w:color="B4C6E7"/>
            </w:tcBorders>
            <w:shd w:val="clear" w:color="auto" w:fill="auto"/>
            <w:vAlign w:val="center"/>
            <w:hideMark/>
          </w:tcPr>
          <w:p w14:paraId="72846C3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2,027.7</w:t>
            </w:r>
          </w:p>
        </w:tc>
        <w:tc>
          <w:tcPr>
            <w:tcW w:w="940" w:type="dxa"/>
            <w:tcBorders>
              <w:top w:val="nil"/>
              <w:left w:val="nil"/>
              <w:bottom w:val="single" w:sz="8" w:space="0" w:color="B4C6E7"/>
              <w:right w:val="single" w:sz="8" w:space="0" w:color="B4C6E7"/>
            </w:tcBorders>
            <w:shd w:val="clear" w:color="auto" w:fill="auto"/>
            <w:vAlign w:val="center"/>
            <w:hideMark/>
          </w:tcPr>
          <w:p w14:paraId="5D377402"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2,235.5</w:t>
            </w:r>
          </w:p>
        </w:tc>
        <w:tc>
          <w:tcPr>
            <w:tcW w:w="940" w:type="dxa"/>
            <w:tcBorders>
              <w:top w:val="nil"/>
              <w:left w:val="nil"/>
              <w:bottom w:val="single" w:sz="8" w:space="0" w:color="B4C6E7"/>
              <w:right w:val="single" w:sz="8" w:space="0" w:color="B4C6E7"/>
            </w:tcBorders>
            <w:shd w:val="clear" w:color="auto" w:fill="auto"/>
            <w:noWrap/>
            <w:vAlign w:val="center"/>
            <w:hideMark/>
          </w:tcPr>
          <w:p w14:paraId="336A534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1108DF59"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085FD82D"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21994FF5"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119D1CE2"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5369CA64"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26.8%</w:t>
            </w:r>
          </w:p>
        </w:tc>
        <w:tc>
          <w:tcPr>
            <w:tcW w:w="940" w:type="dxa"/>
            <w:tcBorders>
              <w:top w:val="nil"/>
              <w:left w:val="nil"/>
              <w:bottom w:val="single" w:sz="8" w:space="0" w:color="B4C6E7"/>
              <w:right w:val="single" w:sz="8" w:space="0" w:color="B4C6E7"/>
            </w:tcBorders>
            <w:shd w:val="clear" w:color="auto" w:fill="auto"/>
            <w:vAlign w:val="center"/>
            <w:hideMark/>
          </w:tcPr>
          <w:p w14:paraId="1C86325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26.6%</w:t>
            </w:r>
          </w:p>
        </w:tc>
        <w:tc>
          <w:tcPr>
            <w:tcW w:w="940" w:type="dxa"/>
            <w:tcBorders>
              <w:top w:val="nil"/>
              <w:left w:val="nil"/>
              <w:bottom w:val="single" w:sz="8" w:space="0" w:color="B4C6E7"/>
              <w:right w:val="single" w:sz="8" w:space="0" w:color="B4C6E7"/>
            </w:tcBorders>
            <w:shd w:val="clear" w:color="auto" w:fill="auto"/>
            <w:vAlign w:val="center"/>
            <w:hideMark/>
          </w:tcPr>
          <w:p w14:paraId="63456561"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26.9%</w:t>
            </w:r>
          </w:p>
        </w:tc>
        <w:tc>
          <w:tcPr>
            <w:tcW w:w="940" w:type="dxa"/>
            <w:tcBorders>
              <w:top w:val="nil"/>
              <w:left w:val="nil"/>
              <w:bottom w:val="single" w:sz="8" w:space="0" w:color="B4C6E7"/>
              <w:right w:val="single" w:sz="8" w:space="0" w:color="B4C6E7"/>
            </w:tcBorders>
            <w:shd w:val="clear" w:color="auto" w:fill="auto"/>
            <w:noWrap/>
            <w:vAlign w:val="center"/>
            <w:hideMark/>
          </w:tcPr>
          <w:p w14:paraId="784F2229"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EDE7CA1"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53FD7F92"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5FF4E5DA"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5122BC2D"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2020թ. Պետական բյուջե</w:t>
            </w:r>
          </w:p>
        </w:tc>
        <w:tc>
          <w:tcPr>
            <w:tcW w:w="940" w:type="dxa"/>
            <w:tcBorders>
              <w:top w:val="nil"/>
              <w:left w:val="nil"/>
              <w:bottom w:val="single" w:sz="8" w:space="0" w:color="B4C6E7"/>
              <w:right w:val="single" w:sz="8" w:space="0" w:color="B4C6E7"/>
            </w:tcBorders>
            <w:shd w:val="clear" w:color="auto" w:fill="auto"/>
            <w:vAlign w:val="center"/>
            <w:hideMark/>
          </w:tcPr>
          <w:p w14:paraId="3C99FE56"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1,855.7</w:t>
            </w:r>
          </w:p>
        </w:tc>
        <w:tc>
          <w:tcPr>
            <w:tcW w:w="940" w:type="dxa"/>
            <w:tcBorders>
              <w:top w:val="nil"/>
              <w:left w:val="nil"/>
              <w:bottom w:val="single" w:sz="8" w:space="0" w:color="B4C6E7"/>
              <w:right w:val="single" w:sz="8" w:space="0" w:color="B4C6E7"/>
            </w:tcBorders>
            <w:shd w:val="clear" w:color="auto" w:fill="auto"/>
            <w:vAlign w:val="center"/>
            <w:hideMark/>
          </w:tcPr>
          <w:p w14:paraId="7ABF09F9"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0DEE8268"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120D8775"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2C124568"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5572EDFD"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3F13E73F"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799B223E"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4F7D93DE"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26.2%</w:t>
            </w:r>
          </w:p>
        </w:tc>
        <w:tc>
          <w:tcPr>
            <w:tcW w:w="940" w:type="dxa"/>
            <w:tcBorders>
              <w:top w:val="nil"/>
              <w:left w:val="nil"/>
              <w:bottom w:val="single" w:sz="8" w:space="0" w:color="B4C6E7"/>
              <w:right w:val="single" w:sz="8" w:space="0" w:color="B4C6E7"/>
            </w:tcBorders>
            <w:shd w:val="clear" w:color="auto" w:fill="auto"/>
            <w:vAlign w:val="center"/>
            <w:hideMark/>
          </w:tcPr>
          <w:p w14:paraId="1F9E827E"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1F00E342"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01B1965"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2AA9F6EF"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3E5EC88C"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3520EFD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2020</w:t>
            </w:r>
          </w:p>
        </w:tc>
        <w:tc>
          <w:tcPr>
            <w:tcW w:w="3220" w:type="dxa"/>
            <w:tcBorders>
              <w:top w:val="nil"/>
              <w:left w:val="nil"/>
              <w:bottom w:val="single" w:sz="8" w:space="0" w:color="B4C6E7"/>
              <w:right w:val="single" w:sz="8" w:space="0" w:color="B4C6E7"/>
            </w:tcBorders>
            <w:shd w:val="clear" w:color="auto" w:fill="auto"/>
            <w:noWrap/>
            <w:vAlign w:val="center"/>
            <w:hideMark/>
          </w:tcPr>
          <w:p w14:paraId="4B9E8272"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2021-2023</w:t>
            </w:r>
          </w:p>
        </w:tc>
        <w:tc>
          <w:tcPr>
            <w:tcW w:w="940" w:type="dxa"/>
            <w:tcBorders>
              <w:top w:val="nil"/>
              <w:left w:val="nil"/>
              <w:bottom w:val="single" w:sz="8" w:space="0" w:color="B4C6E7"/>
              <w:right w:val="single" w:sz="8" w:space="0" w:color="B4C6E7"/>
            </w:tcBorders>
            <w:shd w:val="clear" w:color="auto" w:fill="auto"/>
            <w:noWrap/>
            <w:vAlign w:val="center"/>
            <w:hideMark/>
          </w:tcPr>
          <w:p w14:paraId="1AFF19BF"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1,850.2</w:t>
            </w:r>
          </w:p>
        </w:tc>
        <w:tc>
          <w:tcPr>
            <w:tcW w:w="940" w:type="dxa"/>
            <w:tcBorders>
              <w:top w:val="nil"/>
              <w:left w:val="nil"/>
              <w:bottom w:val="single" w:sz="8" w:space="0" w:color="B4C6E7"/>
              <w:right w:val="single" w:sz="8" w:space="0" w:color="B4C6E7"/>
            </w:tcBorders>
            <w:shd w:val="clear" w:color="auto" w:fill="auto"/>
            <w:vAlign w:val="center"/>
            <w:hideMark/>
          </w:tcPr>
          <w:p w14:paraId="478B6F0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1,879.0</w:t>
            </w:r>
          </w:p>
        </w:tc>
        <w:tc>
          <w:tcPr>
            <w:tcW w:w="940" w:type="dxa"/>
            <w:tcBorders>
              <w:top w:val="nil"/>
              <w:left w:val="nil"/>
              <w:bottom w:val="single" w:sz="8" w:space="0" w:color="B4C6E7"/>
              <w:right w:val="single" w:sz="8" w:space="0" w:color="B4C6E7"/>
            </w:tcBorders>
            <w:shd w:val="clear" w:color="auto" w:fill="auto"/>
            <w:vAlign w:val="center"/>
            <w:hideMark/>
          </w:tcPr>
          <w:p w14:paraId="4B304E8B"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2,026.1</w:t>
            </w:r>
          </w:p>
        </w:tc>
        <w:tc>
          <w:tcPr>
            <w:tcW w:w="940" w:type="dxa"/>
            <w:tcBorders>
              <w:top w:val="nil"/>
              <w:left w:val="nil"/>
              <w:bottom w:val="single" w:sz="8" w:space="0" w:color="B4C6E7"/>
              <w:right w:val="single" w:sz="8" w:space="0" w:color="B4C6E7"/>
            </w:tcBorders>
            <w:shd w:val="clear" w:color="auto" w:fill="auto"/>
            <w:vAlign w:val="center"/>
            <w:hideMark/>
          </w:tcPr>
          <w:p w14:paraId="1741F7E6"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2,241.4</w:t>
            </w:r>
          </w:p>
        </w:tc>
        <w:tc>
          <w:tcPr>
            <w:tcW w:w="940" w:type="dxa"/>
            <w:tcBorders>
              <w:top w:val="nil"/>
              <w:left w:val="nil"/>
              <w:bottom w:val="single" w:sz="8" w:space="0" w:color="B4C6E7"/>
              <w:right w:val="single" w:sz="8" w:space="0" w:color="B4C6E7"/>
            </w:tcBorders>
            <w:shd w:val="clear" w:color="auto" w:fill="auto"/>
            <w:noWrap/>
            <w:vAlign w:val="center"/>
            <w:hideMark/>
          </w:tcPr>
          <w:p w14:paraId="58CFFE6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3298FD17"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55407F9F"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266CCBA8"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36CDBE27"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28.4%</w:t>
            </w: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0E04BB02"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26.3%</w:t>
            </w:r>
          </w:p>
        </w:tc>
        <w:tc>
          <w:tcPr>
            <w:tcW w:w="940" w:type="dxa"/>
            <w:tcBorders>
              <w:top w:val="nil"/>
              <w:left w:val="nil"/>
              <w:bottom w:val="single" w:sz="8" w:space="0" w:color="B4C6E7"/>
              <w:right w:val="single" w:sz="8" w:space="0" w:color="B4C6E7"/>
            </w:tcBorders>
            <w:shd w:val="clear" w:color="auto" w:fill="auto"/>
            <w:vAlign w:val="center"/>
            <w:hideMark/>
          </w:tcPr>
          <w:p w14:paraId="6686F139"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25.8%</w:t>
            </w:r>
          </w:p>
        </w:tc>
        <w:tc>
          <w:tcPr>
            <w:tcW w:w="940" w:type="dxa"/>
            <w:tcBorders>
              <w:top w:val="nil"/>
              <w:left w:val="nil"/>
              <w:bottom w:val="single" w:sz="8" w:space="0" w:color="B4C6E7"/>
              <w:right w:val="single" w:sz="8" w:space="0" w:color="B4C6E7"/>
            </w:tcBorders>
            <w:shd w:val="clear" w:color="auto" w:fill="auto"/>
            <w:vAlign w:val="center"/>
            <w:hideMark/>
          </w:tcPr>
          <w:p w14:paraId="61E10C12"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26.1%</w:t>
            </w:r>
          </w:p>
        </w:tc>
        <w:tc>
          <w:tcPr>
            <w:tcW w:w="940" w:type="dxa"/>
            <w:tcBorders>
              <w:top w:val="nil"/>
              <w:left w:val="nil"/>
              <w:bottom w:val="single" w:sz="8" w:space="0" w:color="B4C6E7"/>
              <w:right w:val="single" w:sz="8" w:space="0" w:color="B4C6E7"/>
            </w:tcBorders>
            <w:shd w:val="clear" w:color="auto" w:fill="auto"/>
            <w:noWrap/>
            <w:vAlign w:val="center"/>
            <w:hideMark/>
          </w:tcPr>
          <w:p w14:paraId="1198EBC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79C051DD"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32323B1D"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4C12A69E"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2021թ. Պետական բյուջե</w:t>
            </w:r>
          </w:p>
        </w:tc>
        <w:tc>
          <w:tcPr>
            <w:tcW w:w="940" w:type="dxa"/>
            <w:tcBorders>
              <w:top w:val="nil"/>
              <w:left w:val="nil"/>
              <w:bottom w:val="single" w:sz="8" w:space="0" w:color="B4C6E7"/>
              <w:right w:val="single" w:sz="8" w:space="0" w:color="B4C6E7"/>
            </w:tcBorders>
            <w:shd w:val="clear" w:color="auto" w:fill="auto"/>
            <w:noWrap/>
            <w:vAlign w:val="center"/>
            <w:hideMark/>
          </w:tcPr>
          <w:p w14:paraId="028EE88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1,907.4</w:t>
            </w:r>
          </w:p>
        </w:tc>
        <w:tc>
          <w:tcPr>
            <w:tcW w:w="940" w:type="dxa"/>
            <w:tcBorders>
              <w:top w:val="nil"/>
              <w:left w:val="nil"/>
              <w:bottom w:val="single" w:sz="8" w:space="0" w:color="B4C6E7"/>
              <w:right w:val="single" w:sz="8" w:space="0" w:color="B4C6E7"/>
            </w:tcBorders>
            <w:shd w:val="clear" w:color="auto" w:fill="auto"/>
            <w:vAlign w:val="center"/>
            <w:hideMark/>
          </w:tcPr>
          <w:p w14:paraId="3F7A1598"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1,850.9</w:t>
            </w:r>
          </w:p>
        </w:tc>
        <w:tc>
          <w:tcPr>
            <w:tcW w:w="940" w:type="dxa"/>
            <w:tcBorders>
              <w:top w:val="nil"/>
              <w:left w:val="nil"/>
              <w:bottom w:val="single" w:sz="8" w:space="0" w:color="B4C6E7"/>
              <w:right w:val="single" w:sz="8" w:space="0" w:color="B4C6E7"/>
            </w:tcBorders>
            <w:shd w:val="clear" w:color="auto" w:fill="auto"/>
            <w:vAlign w:val="center"/>
            <w:hideMark/>
          </w:tcPr>
          <w:p w14:paraId="499B50AC"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6672A8E7"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57C69EA0"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741A8E34"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62118125"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54945E01"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5AE725FA"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31.4%</w:t>
            </w:r>
          </w:p>
        </w:tc>
        <w:tc>
          <w:tcPr>
            <w:tcW w:w="940" w:type="dxa"/>
            <w:tcBorders>
              <w:top w:val="nil"/>
              <w:left w:val="nil"/>
              <w:bottom w:val="single" w:sz="8" w:space="0" w:color="B4C6E7"/>
              <w:right w:val="single" w:sz="8" w:space="0" w:color="B4C6E7"/>
            </w:tcBorders>
            <w:shd w:val="clear" w:color="auto" w:fill="auto"/>
            <w:vAlign w:val="center"/>
            <w:hideMark/>
          </w:tcPr>
          <w:p w14:paraId="70A8CAF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28.9%</w:t>
            </w:r>
          </w:p>
        </w:tc>
        <w:tc>
          <w:tcPr>
            <w:tcW w:w="940" w:type="dxa"/>
            <w:tcBorders>
              <w:top w:val="nil"/>
              <w:left w:val="nil"/>
              <w:bottom w:val="single" w:sz="8" w:space="0" w:color="B4C6E7"/>
              <w:right w:val="single" w:sz="8" w:space="0" w:color="B4C6E7"/>
            </w:tcBorders>
            <w:shd w:val="clear" w:color="auto" w:fill="auto"/>
            <w:vAlign w:val="center"/>
            <w:hideMark/>
          </w:tcPr>
          <w:p w14:paraId="167EB208"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1580AA29"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40CA4CA"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2FE77359"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39CE6344"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2021</w:t>
            </w:r>
          </w:p>
        </w:tc>
        <w:tc>
          <w:tcPr>
            <w:tcW w:w="3220" w:type="dxa"/>
            <w:tcBorders>
              <w:top w:val="nil"/>
              <w:left w:val="nil"/>
              <w:bottom w:val="single" w:sz="8" w:space="0" w:color="B4C6E7"/>
              <w:right w:val="single" w:sz="8" w:space="0" w:color="B4C6E7"/>
            </w:tcBorders>
            <w:shd w:val="clear" w:color="auto" w:fill="auto"/>
            <w:noWrap/>
            <w:vAlign w:val="center"/>
            <w:hideMark/>
          </w:tcPr>
          <w:p w14:paraId="3DC303A4"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2022-2024</w:t>
            </w:r>
          </w:p>
        </w:tc>
        <w:tc>
          <w:tcPr>
            <w:tcW w:w="940" w:type="dxa"/>
            <w:tcBorders>
              <w:top w:val="nil"/>
              <w:left w:val="nil"/>
              <w:bottom w:val="single" w:sz="8" w:space="0" w:color="B4C6E7"/>
              <w:right w:val="single" w:sz="8" w:space="0" w:color="B4C6E7"/>
            </w:tcBorders>
            <w:shd w:val="clear" w:color="auto" w:fill="auto"/>
            <w:noWrap/>
            <w:vAlign w:val="center"/>
            <w:hideMark/>
          </w:tcPr>
          <w:p w14:paraId="7D6F7F8B"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397CF6F3"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1,936.0</w:t>
            </w:r>
          </w:p>
        </w:tc>
        <w:tc>
          <w:tcPr>
            <w:tcW w:w="940" w:type="dxa"/>
            <w:tcBorders>
              <w:top w:val="nil"/>
              <w:left w:val="nil"/>
              <w:bottom w:val="single" w:sz="8" w:space="0" w:color="B4C6E7"/>
              <w:right w:val="single" w:sz="8" w:space="0" w:color="B4C6E7"/>
            </w:tcBorders>
            <w:shd w:val="clear" w:color="auto" w:fill="auto"/>
            <w:vAlign w:val="center"/>
            <w:hideMark/>
          </w:tcPr>
          <w:p w14:paraId="0A1AA112"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2,000.9</w:t>
            </w:r>
          </w:p>
        </w:tc>
        <w:tc>
          <w:tcPr>
            <w:tcW w:w="940" w:type="dxa"/>
            <w:tcBorders>
              <w:top w:val="nil"/>
              <w:left w:val="nil"/>
              <w:bottom w:val="single" w:sz="8" w:space="0" w:color="B4C6E7"/>
              <w:right w:val="single" w:sz="8" w:space="0" w:color="B4C6E7"/>
            </w:tcBorders>
            <w:shd w:val="clear" w:color="auto" w:fill="auto"/>
            <w:vAlign w:val="center"/>
            <w:hideMark/>
          </w:tcPr>
          <w:p w14:paraId="3AA1EC62"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2,135.5</w:t>
            </w:r>
          </w:p>
        </w:tc>
        <w:tc>
          <w:tcPr>
            <w:tcW w:w="940" w:type="dxa"/>
            <w:tcBorders>
              <w:top w:val="nil"/>
              <w:left w:val="nil"/>
              <w:bottom w:val="single" w:sz="8" w:space="0" w:color="B4C6E7"/>
              <w:right w:val="single" w:sz="8" w:space="0" w:color="B4C6E7"/>
            </w:tcBorders>
            <w:shd w:val="clear" w:color="auto" w:fill="auto"/>
            <w:vAlign w:val="center"/>
            <w:hideMark/>
          </w:tcPr>
          <w:p w14:paraId="70F631F5"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2,312.0</w:t>
            </w:r>
          </w:p>
        </w:tc>
      </w:tr>
      <w:tr w:rsidR="00B7540A" w:rsidRPr="00586097" w14:paraId="741DC2D4"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5D40F42C"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1FE429D5"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0F258ECC"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2EE3E75A"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28.1%</w:t>
            </w:r>
          </w:p>
        </w:tc>
        <w:tc>
          <w:tcPr>
            <w:tcW w:w="940" w:type="dxa"/>
            <w:tcBorders>
              <w:top w:val="nil"/>
              <w:left w:val="nil"/>
              <w:bottom w:val="single" w:sz="8" w:space="0" w:color="B4C6E7"/>
              <w:right w:val="single" w:sz="8" w:space="0" w:color="B4C6E7"/>
            </w:tcBorders>
            <w:shd w:val="clear" w:color="auto" w:fill="auto"/>
            <w:vAlign w:val="center"/>
            <w:hideMark/>
          </w:tcPr>
          <w:p w14:paraId="782F26DB"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26.4%</w:t>
            </w:r>
          </w:p>
        </w:tc>
        <w:tc>
          <w:tcPr>
            <w:tcW w:w="940" w:type="dxa"/>
            <w:tcBorders>
              <w:top w:val="nil"/>
              <w:left w:val="nil"/>
              <w:bottom w:val="single" w:sz="8" w:space="0" w:color="B4C6E7"/>
              <w:right w:val="single" w:sz="8" w:space="0" w:color="B4C6E7"/>
            </w:tcBorders>
            <w:shd w:val="clear" w:color="auto" w:fill="auto"/>
            <w:vAlign w:val="center"/>
            <w:hideMark/>
          </w:tcPr>
          <w:p w14:paraId="43F2A47B"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26.1%</w:t>
            </w:r>
          </w:p>
        </w:tc>
        <w:tc>
          <w:tcPr>
            <w:tcW w:w="940" w:type="dxa"/>
            <w:tcBorders>
              <w:top w:val="nil"/>
              <w:left w:val="nil"/>
              <w:bottom w:val="single" w:sz="8" w:space="0" w:color="B4C6E7"/>
              <w:right w:val="single" w:sz="8" w:space="0" w:color="B4C6E7"/>
            </w:tcBorders>
            <w:shd w:val="clear" w:color="auto" w:fill="auto"/>
            <w:vAlign w:val="center"/>
            <w:hideMark/>
          </w:tcPr>
          <w:p w14:paraId="4E9CE58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26.2%</w:t>
            </w:r>
          </w:p>
        </w:tc>
      </w:tr>
    </w:tbl>
    <w:p w14:paraId="34C842F7" w14:textId="77777777" w:rsidR="00B7540A" w:rsidRPr="00586097" w:rsidRDefault="00B7540A" w:rsidP="00B7540A">
      <w:pPr>
        <w:pStyle w:val="afc"/>
        <w:spacing w:line="276" w:lineRule="auto"/>
      </w:pPr>
      <w:r w:rsidRPr="00586097">
        <w:t>Աղյուսակ 2.6. Պետական բյուջեի ընթացիկ ծախսերի կանխատեսումների համեմատական աղյուսակը (մլրդ դրամ)</w:t>
      </w:r>
    </w:p>
    <w:tbl>
      <w:tblPr>
        <w:tblW w:w="9280" w:type="dxa"/>
        <w:tblInd w:w="118" w:type="dxa"/>
        <w:tblLook w:val="04A0" w:firstRow="1" w:lastRow="0" w:firstColumn="1" w:lastColumn="0" w:noHBand="0" w:noVBand="1"/>
      </w:tblPr>
      <w:tblGrid>
        <w:gridCol w:w="1359"/>
        <w:gridCol w:w="3220"/>
        <w:gridCol w:w="1007"/>
        <w:gridCol w:w="959"/>
        <w:gridCol w:w="977"/>
        <w:gridCol w:w="949"/>
        <w:gridCol w:w="940"/>
      </w:tblGrid>
      <w:tr w:rsidR="00B7540A" w:rsidRPr="00586097" w14:paraId="57E09BBD" w14:textId="77777777" w:rsidTr="00B7540A">
        <w:trPr>
          <w:trHeight w:val="825"/>
          <w:tblHeader/>
        </w:trPr>
        <w:tc>
          <w:tcPr>
            <w:tcW w:w="1360"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01BDD2A1"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Ընդունման տարին</w:t>
            </w:r>
          </w:p>
        </w:tc>
        <w:tc>
          <w:tcPr>
            <w:tcW w:w="3220" w:type="dxa"/>
            <w:tcBorders>
              <w:top w:val="single" w:sz="8" w:space="0" w:color="FFFFFF"/>
              <w:left w:val="nil"/>
              <w:bottom w:val="single" w:sz="8" w:space="0" w:color="FFFFFF"/>
              <w:right w:val="single" w:sz="8" w:space="0" w:color="FFFFFF"/>
            </w:tcBorders>
            <w:shd w:val="clear" w:color="000000" w:fill="8EA9DB"/>
            <w:noWrap/>
            <w:vAlign w:val="center"/>
            <w:hideMark/>
          </w:tcPr>
          <w:p w14:paraId="6A46163F"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Ծրագիր</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1DD04BBA"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2020</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5AF5EB12"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2021</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2747FCD7"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2022</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0FBB7BC8"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2023</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2688598F"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2024</w:t>
            </w:r>
          </w:p>
        </w:tc>
      </w:tr>
      <w:tr w:rsidR="00B7540A" w:rsidRPr="00586097" w14:paraId="59BD3E71"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5EC384DD"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3220" w:type="dxa"/>
            <w:tcBorders>
              <w:top w:val="nil"/>
              <w:left w:val="nil"/>
              <w:bottom w:val="single" w:sz="8" w:space="0" w:color="B4C6E7"/>
              <w:right w:val="single" w:sz="8" w:space="0" w:color="B4C6E7"/>
            </w:tcBorders>
            <w:shd w:val="clear" w:color="auto" w:fill="auto"/>
            <w:noWrap/>
            <w:vAlign w:val="center"/>
            <w:hideMark/>
          </w:tcPr>
          <w:p w14:paraId="0DCCFF02"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Փաստացի</w:t>
            </w:r>
          </w:p>
        </w:tc>
        <w:tc>
          <w:tcPr>
            <w:tcW w:w="940" w:type="dxa"/>
            <w:tcBorders>
              <w:top w:val="nil"/>
              <w:left w:val="nil"/>
              <w:bottom w:val="single" w:sz="8" w:space="0" w:color="B4C6E7"/>
              <w:right w:val="single" w:sz="8" w:space="0" w:color="B4C6E7"/>
            </w:tcBorders>
            <w:shd w:val="clear" w:color="auto" w:fill="auto"/>
            <w:vAlign w:val="center"/>
            <w:hideMark/>
          </w:tcPr>
          <w:p w14:paraId="0C5FB8B6"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1,668.5</w:t>
            </w:r>
          </w:p>
        </w:tc>
        <w:tc>
          <w:tcPr>
            <w:tcW w:w="940" w:type="dxa"/>
            <w:tcBorders>
              <w:top w:val="nil"/>
              <w:left w:val="nil"/>
              <w:bottom w:val="single" w:sz="8" w:space="0" w:color="B4C6E7"/>
              <w:right w:val="single" w:sz="8" w:space="0" w:color="B4C6E7"/>
            </w:tcBorders>
            <w:shd w:val="clear" w:color="auto" w:fill="auto"/>
            <w:vAlign w:val="center"/>
            <w:hideMark/>
          </w:tcPr>
          <w:p w14:paraId="4F3DCE7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1125CB53"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71F5F5C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3E3EB0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0B46DF0B"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4C116465"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52454D62"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47B68882"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26.99%</w:t>
            </w:r>
          </w:p>
        </w:tc>
        <w:tc>
          <w:tcPr>
            <w:tcW w:w="940" w:type="dxa"/>
            <w:tcBorders>
              <w:top w:val="nil"/>
              <w:left w:val="nil"/>
              <w:bottom w:val="single" w:sz="8" w:space="0" w:color="B4C6E7"/>
              <w:right w:val="single" w:sz="8" w:space="0" w:color="B4C6E7"/>
            </w:tcBorders>
            <w:shd w:val="clear" w:color="auto" w:fill="auto"/>
            <w:vAlign w:val="center"/>
            <w:hideMark/>
          </w:tcPr>
          <w:p w14:paraId="409FD03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E04E5BD"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2CEE703C"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525468D7"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5B064C05"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38E761C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2019</w:t>
            </w:r>
          </w:p>
        </w:tc>
        <w:tc>
          <w:tcPr>
            <w:tcW w:w="3220" w:type="dxa"/>
            <w:tcBorders>
              <w:top w:val="nil"/>
              <w:left w:val="nil"/>
              <w:bottom w:val="single" w:sz="8" w:space="0" w:color="B4C6E7"/>
              <w:right w:val="single" w:sz="8" w:space="0" w:color="B4C6E7"/>
            </w:tcBorders>
            <w:shd w:val="clear" w:color="auto" w:fill="auto"/>
            <w:noWrap/>
            <w:vAlign w:val="center"/>
            <w:hideMark/>
          </w:tcPr>
          <w:p w14:paraId="1F9F7673"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2020-2022</w:t>
            </w:r>
          </w:p>
        </w:tc>
        <w:tc>
          <w:tcPr>
            <w:tcW w:w="940" w:type="dxa"/>
            <w:tcBorders>
              <w:top w:val="nil"/>
              <w:left w:val="nil"/>
              <w:bottom w:val="single" w:sz="8" w:space="0" w:color="B4C6E7"/>
              <w:right w:val="single" w:sz="8" w:space="0" w:color="B4C6E7"/>
            </w:tcBorders>
            <w:shd w:val="clear" w:color="auto" w:fill="auto"/>
            <w:vAlign w:val="center"/>
            <w:hideMark/>
          </w:tcPr>
          <w:p w14:paraId="438FDB1D"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1,479.9</w:t>
            </w:r>
          </w:p>
        </w:tc>
        <w:tc>
          <w:tcPr>
            <w:tcW w:w="940" w:type="dxa"/>
            <w:tcBorders>
              <w:top w:val="nil"/>
              <w:left w:val="nil"/>
              <w:bottom w:val="single" w:sz="8" w:space="0" w:color="B4C6E7"/>
              <w:right w:val="single" w:sz="8" w:space="0" w:color="B4C6E7"/>
            </w:tcBorders>
            <w:shd w:val="clear" w:color="auto" w:fill="auto"/>
            <w:vAlign w:val="center"/>
            <w:hideMark/>
          </w:tcPr>
          <w:p w14:paraId="00D5D05D"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1,568.3</w:t>
            </w:r>
          </w:p>
        </w:tc>
        <w:tc>
          <w:tcPr>
            <w:tcW w:w="940" w:type="dxa"/>
            <w:tcBorders>
              <w:top w:val="nil"/>
              <w:left w:val="nil"/>
              <w:bottom w:val="single" w:sz="8" w:space="0" w:color="B4C6E7"/>
              <w:right w:val="single" w:sz="8" w:space="0" w:color="B4C6E7"/>
            </w:tcBorders>
            <w:shd w:val="clear" w:color="auto" w:fill="auto"/>
            <w:vAlign w:val="center"/>
            <w:hideMark/>
          </w:tcPr>
          <w:p w14:paraId="25A737AF"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1,680.0</w:t>
            </w:r>
          </w:p>
        </w:tc>
        <w:tc>
          <w:tcPr>
            <w:tcW w:w="940" w:type="dxa"/>
            <w:tcBorders>
              <w:top w:val="nil"/>
              <w:left w:val="nil"/>
              <w:bottom w:val="single" w:sz="8" w:space="0" w:color="B4C6E7"/>
              <w:right w:val="single" w:sz="8" w:space="0" w:color="B4C6E7"/>
            </w:tcBorders>
            <w:shd w:val="clear" w:color="auto" w:fill="auto"/>
            <w:noWrap/>
            <w:vAlign w:val="center"/>
            <w:hideMark/>
          </w:tcPr>
          <w:p w14:paraId="1B0FFB63"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F2BB688"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49B87431"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1B9F3E6D"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472A9092"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46F91AF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21.2%</w:t>
            </w:r>
          </w:p>
        </w:tc>
        <w:tc>
          <w:tcPr>
            <w:tcW w:w="940" w:type="dxa"/>
            <w:tcBorders>
              <w:top w:val="nil"/>
              <w:left w:val="nil"/>
              <w:bottom w:val="single" w:sz="8" w:space="0" w:color="B4C6E7"/>
              <w:right w:val="single" w:sz="8" w:space="0" w:color="B4C6E7"/>
            </w:tcBorders>
            <w:shd w:val="clear" w:color="auto" w:fill="auto"/>
            <w:vAlign w:val="center"/>
            <w:hideMark/>
          </w:tcPr>
          <w:p w14:paraId="5D8D2F9B"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20.6%</w:t>
            </w:r>
          </w:p>
        </w:tc>
        <w:tc>
          <w:tcPr>
            <w:tcW w:w="940" w:type="dxa"/>
            <w:tcBorders>
              <w:top w:val="nil"/>
              <w:left w:val="nil"/>
              <w:bottom w:val="single" w:sz="8" w:space="0" w:color="B4C6E7"/>
              <w:right w:val="single" w:sz="8" w:space="0" w:color="B4C6E7"/>
            </w:tcBorders>
            <w:shd w:val="clear" w:color="auto" w:fill="auto"/>
            <w:vAlign w:val="center"/>
            <w:hideMark/>
          </w:tcPr>
          <w:p w14:paraId="0C682308"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20.2%</w:t>
            </w:r>
          </w:p>
        </w:tc>
        <w:tc>
          <w:tcPr>
            <w:tcW w:w="940" w:type="dxa"/>
            <w:tcBorders>
              <w:top w:val="nil"/>
              <w:left w:val="nil"/>
              <w:bottom w:val="single" w:sz="8" w:space="0" w:color="B4C6E7"/>
              <w:right w:val="single" w:sz="8" w:space="0" w:color="B4C6E7"/>
            </w:tcBorders>
            <w:shd w:val="clear" w:color="auto" w:fill="auto"/>
            <w:noWrap/>
            <w:vAlign w:val="center"/>
            <w:hideMark/>
          </w:tcPr>
          <w:p w14:paraId="12149598"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3ABB97B9"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6BCFB564"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444E496D"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0A63BB55"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2020թ. Պետական բյուջե</w:t>
            </w:r>
          </w:p>
        </w:tc>
        <w:tc>
          <w:tcPr>
            <w:tcW w:w="940" w:type="dxa"/>
            <w:tcBorders>
              <w:top w:val="nil"/>
              <w:left w:val="nil"/>
              <w:bottom w:val="single" w:sz="8" w:space="0" w:color="B4C6E7"/>
              <w:right w:val="single" w:sz="8" w:space="0" w:color="B4C6E7"/>
            </w:tcBorders>
            <w:shd w:val="clear" w:color="auto" w:fill="auto"/>
            <w:vAlign w:val="center"/>
            <w:hideMark/>
          </w:tcPr>
          <w:p w14:paraId="2F167276"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1,568.0</w:t>
            </w:r>
          </w:p>
        </w:tc>
        <w:tc>
          <w:tcPr>
            <w:tcW w:w="940" w:type="dxa"/>
            <w:tcBorders>
              <w:top w:val="nil"/>
              <w:left w:val="nil"/>
              <w:bottom w:val="single" w:sz="8" w:space="0" w:color="B4C6E7"/>
              <w:right w:val="single" w:sz="8" w:space="0" w:color="B4C6E7"/>
            </w:tcBorders>
            <w:shd w:val="clear" w:color="auto" w:fill="auto"/>
            <w:vAlign w:val="center"/>
            <w:hideMark/>
          </w:tcPr>
          <w:p w14:paraId="0B31F6C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16D4147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61211415"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D0C4C16"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690F60F1"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1A6EAF85"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23505444"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5BBD6B1A"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22.1%</w:t>
            </w:r>
          </w:p>
        </w:tc>
        <w:tc>
          <w:tcPr>
            <w:tcW w:w="940" w:type="dxa"/>
            <w:tcBorders>
              <w:top w:val="nil"/>
              <w:left w:val="nil"/>
              <w:bottom w:val="single" w:sz="8" w:space="0" w:color="B4C6E7"/>
              <w:right w:val="single" w:sz="8" w:space="0" w:color="B4C6E7"/>
            </w:tcBorders>
            <w:shd w:val="clear" w:color="auto" w:fill="auto"/>
            <w:vAlign w:val="center"/>
            <w:hideMark/>
          </w:tcPr>
          <w:p w14:paraId="0CC29958"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208170BB"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20CE6C69"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2A21ADA5"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08056A5B"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0E06DAC4"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2020</w:t>
            </w:r>
          </w:p>
        </w:tc>
        <w:tc>
          <w:tcPr>
            <w:tcW w:w="3220" w:type="dxa"/>
            <w:tcBorders>
              <w:top w:val="nil"/>
              <w:left w:val="nil"/>
              <w:bottom w:val="single" w:sz="8" w:space="0" w:color="B4C6E7"/>
              <w:right w:val="single" w:sz="8" w:space="0" w:color="B4C6E7"/>
            </w:tcBorders>
            <w:shd w:val="clear" w:color="auto" w:fill="auto"/>
            <w:noWrap/>
            <w:vAlign w:val="center"/>
            <w:hideMark/>
          </w:tcPr>
          <w:p w14:paraId="3803432E"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2021-2023</w:t>
            </w:r>
          </w:p>
        </w:tc>
        <w:tc>
          <w:tcPr>
            <w:tcW w:w="940" w:type="dxa"/>
            <w:tcBorders>
              <w:top w:val="nil"/>
              <w:left w:val="nil"/>
              <w:bottom w:val="single" w:sz="8" w:space="0" w:color="B4C6E7"/>
              <w:right w:val="single" w:sz="8" w:space="0" w:color="B4C6E7"/>
            </w:tcBorders>
            <w:shd w:val="clear" w:color="auto" w:fill="auto"/>
            <w:noWrap/>
            <w:vAlign w:val="center"/>
            <w:hideMark/>
          </w:tcPr>
          <w:p w14:paraId="70351B77"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1,628.0</w:t>
            </w: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06BA9A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1,629.0</w:t>
            </w:r>
          </w:p>
        </w:tc>
        <w:tc>
          <w:tcPr>
            <w:tcW w:w="940" w:type="dxa"/>
            <w:tcBorders>
              <w:top w:val="nil"/>
              <w:left w:val="nil"/>
              <w:bottom w:val="single" w:sz="8" w:space="0" w:color="B4C6E7"/>
              <w:right w:val="single" w:sz="8" w:space="0" w:color="B4C6E7"/>
            </w:tcBorders>
            <w:shd w:val="clear" w:color="auto" w:fill="auto"/>
            <w:vAlign w:val="center"/>
            <w:hideMark/>
          </w:tcPr>
          <w:p w14:paraId="7D593F04"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1,699.9</w:t>
            </w:r>
          </w:p>
        </w:tc>
        <w:tc>
          <w:tcPr>
            <w:tcW w:w="940" w:type="dxa"/>
            <w:tcBorders>
              <w:top w:val="nil"/>
              <w:left w:val="nil"/>
              <w:bottom w:val="single" w:sz="8" w:space="0" w:color="B4C6E7"/>
              <w:right w:val="single" w:sz="8" w:space="0" w:color="B4C6E7"/>
            </w:tcBorders>
            <w:shd w:val="clear" w:color="auto" w:fill="auto"/>
            <w:vAlign w:val="center"/>
            <w:hideMark/>
          </w:tcPr>
          <w:p w14:paraId="63D36F3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1,836.7</w:t>
            </w:r>
          </w:p>
        </w:tc>
        <w:tc>
          <w:tcPr>
            <w:tcW w:w="940" w:type="dxa"/>
            <w:tcBorders>
              <w:top w:val="nil"/>
              <w:left w:val="nil"/>
              <w:bottom w:val="single" w:sz="8" w:space="0" w:color="B4C6E7"/>
              <w:right w:val="single" w:sz="8" w:space="0" w:color="B4C6E7"/>
            </w:tcBorders>
            <w:shd w:val="clear" w:color="auto" w:fill="auto"/>
            <w:noWrap/>
            <w:vAlign w:val="center"/>
            <w:hideMark/>
          </w:tcPr>
          <w:p w14:paraId="415F81DA"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408DA7A5"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52CDD696"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3DAE14CE"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5A60F448"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25.0%</w:t>
            </w: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54885901"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22.8%</w:t>
            </w:r>
          </w:p>
        </w:tc>
        <w:tc>
          <w:tcPr>
            <w:tcW w:w="940" w:type="dxa"/>
            <w:tcBorders>
              <w:top w:val="nil"/>
              <w:left w:val="nil"/>
              <w:bottom w:val="single" w:sz="8" w:space="0" w:color="B4C6E7"/>
              <w:right w:val="single" w:sz="8" w:space="0" w:color="B4C6E7"/>
            </w:tcBorders>
            <w:shd w:val="clear" w:color="auto" w:fill="auto"/>
            <w:vAlign w:val="center"/>
            <w:hideMark/>
          </w:tcPr>
          <w:p w14:paraId="0DCB55F4"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21.6%</w:t>
            </w:r>
          </w:p>
        </w:tc>
        <w:tc>
          <w:tcPr>
            <w:tcW w:w="940" w:type="dxa"/>
            <w:tcBorders>
              <w:top w:val="nil"/>
              <w:left w:val="nil"/>
              <w:bottom w:val="single" w:sz="8" w:space="0" w:color="B4C6E7"/>
              <w:right w:val="single" w:sz="8" w:space="0" w:color="B4C6E7"/>
            </w:tcBorders>
            <w:shd w:val="clear" w:color="auto" w:fill="auto"/>
            <w:vAlign w:val="center"/>
            <w:hideMark/>
          </w:tcPr>
          <w:p w14:paraId="4CAD3C45"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21.4%</w:t>
            </w:r>
          </w:p>
        </w:tc>
        <w:tc>
          <w:tcPr>
            <w:tcW w:w="940" w:type="dxa"/>
            <w:tcBorders>
              <w:top w:val="nil"/>
              <w:left w:val="nil"/>
              <w:bottom w:val="single" w:sz="8" w:space="0" w:color="B4C6E7"/>
              <w:right w:val="single" w:sz="8" w:space="0" w:color="B4C6E7"/>
            </w:tcBorders>
            <w:shd w:val="clear" w:color="auto" w:fill="auto"/>
            <w:noWrap/>
            <w:vAlign w:val="center"/>
            <w:hideMark/>
          </w:tcPr>
          <w:p w14:paraId="2CEDF99C"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76AD6D09"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156533D8"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6682A335"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2021թ. Պետական բյուջե</w:t>
            </w:r>
          </w:p>
        </w:tc>
        <w:tc>
          <w:tcPr>
            <w:tcW w:w="940" w:type="dxa"/>
            <w:tcBorders>
              <w:top w:val="nil"/>
              <w:left w:val="nil"/>
              <w:bottom w:val="single" w:sz="8" w:space="0" w:color="B4C6E7"/>
              <w:right w:val="single" w:sz="8" w:space="0" w:color="B4C6E7"/>
            </w:tcBorders>
            <w:shd w:val="clear" w:color="auto" w:fill="auto"/>
            <w:noWrap/>
            <w:vAlign w:val="center"/>
            <w:hideMark/>
          </w:tcPr>
          <w:p w14:paraId="3CBC1BD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1,622.7</w:t>
            </w:r>
          </w:p>
        </w:tc>
        <w:tc>
          <w:tcPr>
            <w:tcW w:w="940" w:type="dxa"/>
            <w:tcBorders>
              <w:top w:val="nil"/>
              <w:left w:val="nil"/>
              <w:bottom w:val="single" w:sz="8" w:space="0" w:color="B4C6E7"/>
              <w:right w:val="single" w:sz="8" w:space="0" w:color="B4C6E7"/>
            </w:tcBorders>
            <w:shd w:val="clear" w:color="auto" w:fill="auto"/>
            <w:vAlign w:val="center"/>
            <w:hideMark/>
          </w:tcPr>
          <w:p w14:paraId="1785F7E8"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1,634.6</w:t>
            </w:r>
          </w:p>
        </w:tc>
        <w:tc>
          <w:tcPr>
            <w:tcW w:w="940" w:type="dxa"/>
            <w:tcBorders>
              <w:top w:val="nil"/>
              <w:left w:val="nil"/>
              <w:bottom w:val="single" w:sz="8" w:space="0" w:color="B4C6E7"/>
              <w:right w:val="single" w:sz="8" w:space="0" w:color="B4C6E7"/>
            </w:tcBorders>
            <w:shd w:val="clear" w:color="auto" w:fill="auto"/>
            <w:vAlign w:val="center"/>
            <w:hideMark/>
          </w:tcPr>
          <w:p w14:paraId="0984341C"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2FCFCBD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51CB133A"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4E21AA29"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763CF1B8"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1B121F00"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213BFFEB"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26.7%</w:t>
            </w:r>
          </w:p>
        </w:tc>
        <w:tc>
          <w:tcPr>
            <w:tcW w:w="940" w:type="dxa"/>
            <w:tcBorders>
              <w:top w:val="nil"/>
              <w:left w:val="nil"/>
              <w:bottom w:val="single" w:sz="8" w:space="0" w:color="B4C6E7"/>
              <w:right w:val="single" w:sz="8" w:space="0" w:color="B4C6E7"/>
            </w:tcBorders>
            <w:shd w:val="clear" w:color="auto" w:fill="auto"/>
            <w:vAlign w:val="center"/>
            <w:hideMark/>
          </w:tcPr>
          <w:p w14:paraId="15D5A7B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25.60%</w:t>
            </w:r>
          </w:p>
        </w:tc>
        <w:tc>
          <w:tcPr>
            <w:tcW w:w="940" w:type="dxa"/>
            <w:tcBorders>
              <w:top w:val="nil"/>
              <w:left w:val="nil"/>
              <w:bottom w:val="single" w:sz="8" w:space="0" w:color="B4C6E7"/>
              <w:right w:val="single" w:sz="8" w:space="0" w:color="B4C6E7"/>
            </w:tcBorders>
            <w:shd w:val="clear" w:color="auto" w:fill="auto"/>
            <w:vAlign w:val="center"/>
            <w:hideMark/>
          </w:tcPr>
          <w:p w14:paraId="408F42E3"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5305D588"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21DD9ECC"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0D0BB56B"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7C89CD9E"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2021</w:t>
            </w:r>
          </w:p>
        </w:tc>
        <w:tc>
          <w:tcPr>
            <w:tcW w:w="3220" w:type="dxa"/>
            <w:tcBorders>
              <w:top w:val="nil"/>
              <w:left w:val="nil"/>
              <w:bottom w:val="single" w:sz="8" w:space="0" w:color="B4C6E7"/>
              <w:right w:val="single" w:sz="8" w:space="0" w:color="B4C6E7"/>
            </w:tcBorders>
            <w:shd w:val="clear" w:color="auto" w:fill="auto"/>
            <w:noWrap/>
            <w:vAlign w:val="center"/>
            <w:hideMark/>
          </w:tcPr>
          <w:p w14:paraId="4DA227B9"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2022-2024</w:t>
            </w:r>
          </w:p>
        </w:tc>
        <w:tc>
          <w:tcPr>
            <w:tcW w:w="940" w:type="dxa"/>
            <w:tcBorders>
              <w:top w:val="nil"/>
              <w:left w:val="nil"/>
              <w:bottom w:val="single" w:sz="8" w:space="0" w:color="B4C6E7"/>
              <w:right w:val="single" w:sz="8" w:space="0" w:color="B4C6E7"/>
            </w:tcBorders>
            <w:shd w:val="clear" w:color="auto" w:fill="auto"/>
            <w:noWrap/>
            <w:vAlign w:val="center"/>
            <w:hideMark/>
          </w:tcPr>
          <w:p w14:paraId="60DAD1D3"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5B081E4"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1,738.9</w:t>
            </w:r>
          </w:p>
        </w:tc>
        <w:tc>
          <w:tcPr>
            <w:tcW w:w="940" w:type="dxa"/>
            <w:tcBorders>
              <w:top w:val="nil"/>
              <w:left w:val="nil"/>
              <w:bottom w:val="single" w:sz="8" w:space="0" w:color="B4C6E7"/>
              <w:right w:val="single" w:sz="8" w:space="0" w:color="B4C6E7"/>
            </w:tcBorders>
            <w:shd w:val="clear" w:color="auto" w:fill="auto"/>
            <w:vAlign w:val="center"/>
            <w:hideMark/>
          </w:tcPr>
          <w:p w14:paraId="1F73D36F"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1,708.3</w:t>
            </w:r>
          </w:p>
        </w:tc>
        <w:tc>
          <w:tcPr>
            <w:tcW w:w="940" w:type="dxa"/>
            <w:tcBorders>
              <w:top w:val="nil"/>
              <w:left w:val="nil"/>
              <w:bottom w:val="single" w:sz="8" w:space="0" w:color="B4C6E7"/>
              <w:right w:val="single" w:sz="8" w:space="0" w:color="B4C6E7"/>
            </w:tcBorders>
            <w:shd w:val="clear" w:color="auto" w:fill="auto"/>
            <w:vAlign w:val="center"/>
            <w:hideMark/>
          </w:tcPr>
          <w:p w14:paraId="3983075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1,827.3</w:t>
            </w:r>
          </w:p>
        </w:tc>
        <w:tc>
          <w:tcPr>
            <w:tcW w:w="940" w:type="dxa"/>
            <w:tcBorders>
              <w:top w:val="nil"/>
              <w:left w:val="nil"/>
              <w:bottom w:val="single" w:sz="8" w:space="0" w:color="B4C6E7"/>
              <w:right w:val="single" w:sz="8" w:space="0" w:color="B4C6E7"/>
            </w:tcBorders>
            <w:shd w:val="clear" w:color="auto" w:fill="auto"/>
            <w:vAlign w:val="center"/>
            <w:hideMark/>
          </w:tcPr>
          <w:p w14:paraId="72BE63E8"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1,958.1</w:t>
            </w:r>
          </w:p>
        </w:tc>
      </w:tr>
      <w:tr w:rsidR="00B7540A" w:rsidRPr="00586097" w14:paraId="1B72F1A2"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153B8059"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26B78BD5"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6A7C3861"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3A8BBE7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25.3%</w:t>
            </w:r>
          </w:p>
        </w:tc>
        <w:tc>
          <w:tcPr>
            <w:tcW w:w="940" w:type="dxa"/>
            <w:tcBorders>
              <w:top w:val="nil"/>
              <w:left w:val="nil"/>
              <w:bottom w:val="single" w:sz="8" w:space="0" w:color="B4C6E7"/>
              <w:right w:val="single" w:sz="8" w:space="0" w:color="B4C6E7"/>
            </w:tcBorders>
            <w:shd w:val="clear" w:color="auto" w:fill="auto"/>
            <w:vAlign w:val="center"/>
            <w:hideMark/>
          </w:tcPr>
          <w:p w14:paraId="1E161A1F"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22.6%</w:t>
            </w:r>
          </w:p>
        </w:tc>
        <w:tc>
          <w:tcPr>
            <w:tcW w:w="940" w:type="dxa"/>
            <w:tcBorders>
              <w:top w:val="nil"/>
              <w:left w:val="nil"/>
              <w:bottom w:val="single" w:sz="8" w:space="0" w:color="B4C6E7"/>
              <w:right w:val="single" w:sz="8" w:space="0" w:color="B4C6E7"/>
            </w:tcBorders>
            <w:shd w:val="clear" w:color="auto" w:fill="auto"/>
            <w:vAlign w:val="center"/>
            <w:hideMark/>
          </w:tcPr>
          <w:p w14:paraId="50F4D0A8"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22.4%</w:t>
            </w:r>
          </w:p>
        </w:tc>
        <w:tc>
          <w:tcPr>
            <w:tcW w:w="940" w:type="dxa"/>
            <w:tcBorders>
              <w:top w:val="nil"/>
              <w:left w:val="nil"/>
              <w:bottom w:val="single" w:sz="8" w:space="0" w:color="B4C6E7"/>
              <w:right w:val="single" w:sz="8" w:space="0" w:color="B4C6E7"/>
            </w:tcBorders>
            <w:shd w:val="clear" w:color="auto" w:fill="auto"/>
            <w:vAlign w:val="center"/>
            <w:hideMark/>
          </w:tcPr>
          <w:p w14:paraId="5AF59C1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22.2%</w:t>
            </w:r>
          </w:p>
        </w:tc>
      </w:tr>
    </w:tbl>
    <w:p w14:paraId="23AC9950" w14:textId="77777777" w:rsidR="00B7540A" w:rsidRPr="00586097" w:rsidRDefault="00B7540A" w:rsidP="00B7540A">
      <w:pPr>
        <w:pStyle w:val="afc"/>
        <w:spacing w:line="276" w:lineRule="auto"/>
      </w:pPr>
      <w:r w:rsidRPr="00586097">
        <w:t>Աղյուսակ 2.7. Պետական բյուջեի ոչ ֆինանսական ակտիվների գծով զուտ ծախսերի կանխատեսումների համեմատական աղյուսակը (մլրդ դրամ)</w:t>
      </w:r>
    </w:p>
    <w:tbl>
      <w:tblPr>
        <w:tblW w:w="9280" w:type="dxa"/>
        <w:tblInd w:w="118" w:type="dxa"/>
        <w:tblLook w:val="04A0" w:firstRow="1" w:lastRow="0" w:firstColumn="1" w:lastColumn="0" w:noHBand="0" w:noVBand="1"/>
      </w:tblPr>
      <w:tblGrid>
        <w:gridCol w:w="1360"/>
        <w:gridCol w:w="3220"/>
        <w:gridCol w:w="940"/>
        <w:gridCol w:w="940"/>
        <w:gridCol w:w="940"/>
        <w:gridCol w:w="940"/>
        <w:gridCol w:w="940"/>
      </w:tblGrid>
      <w:tr w:rsidR="00B7540A" w:rsidRPr="00586097" w14:paraId="7F062FBA" w14:textId="77777777" w:rsidTr="00B7540A">
        <w:trPr>
          <w:trHeight w:val="825"/>
          <w:tblHeader/>
        </w:trPr>
        <w:tc>
          <w:tcPr>
            <w:tcW w:w="1360"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2F825427"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Ընդունման տարին</w:t>
            </w:r>
          </w:p>
        </w:tc>
        <w:tc>
          <w:tcPr>
            <w:tcW w:w="3220" w:type="dxa"/>
            <w:tcBorders>
              <w:top w:val="single" w:sz="8" w:space="0" w:color="FFFFFF"/>
              <w:left w:val="nil"/>
              <w:bottom w:val="single" w:sz="8" w:space="0" w:color="FFFFFF"/>
              <w:right w:val="single" w:sz="8" w:space="0" w:color="FFFFFF"/>
            </w:tcBorders>
            <w:shd w:val="clear" w:color="000000" w:fill="8EA9DB"/>
            <w:noWrap/>
            <w:vAlign w:val="center"/>
            <w:hideMark/>
          </w:tcPr>
          <w:p w14:paraId="35E31796"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Ծրագիր</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640CB0E7"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2020</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55EB7ED5"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2021</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466DA751"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2022</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77B8A484"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2023</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018C50D8"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2024</w:t>
            </w:r>
          </w:p>
        </w:tc>
      </w:tr>
      <w:tr w:rsidR="00B7540A" w:rsidRPr="00586097" w14:paraId="25ED1BBF"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2B61FACB"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3220" w:type="dxa"/>
            <w:tcBorders>
              <w:top w:val="nil"/>
              <w:left w:val="nil"/>
              <w:bottom w:val="single" w:sz="8" w:space="0" w:color="B4C6E7"/>
              <w:right w:val="single" w:sz="8" w:space="0" w:color="B4C6E7"/>
            </w:tcBorders>
            <w:shd w:val="clear" w:color="auto" w:fill="auto"/>
            <w:noWrap/>
            <w:vAlign w:val="center"/>
            <w:hideMark/>
          </w:tcPr>
          <w:p w14:paraId="68DF054D"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Փաստացի</w:t>
            </w:r>
          </w:p>
        </w:tc>
        <w:tc>
          <w:tcPr>
            <w:tcW w:w="940" w:type="dxa"/>
            <w:tcBorders>
              <w:top w:val="nil"/>
              <w:left w:val="nil"/>
              <w:bottom w:val="single" w:sz="8" w:space="0" w:color="B4C6E7"/>
              <w:right w:val="single" w:sz="8" w:space="0" w:color="B4C6E7"/>
            </w:tcBorders>
            <w:shd w:val="clear" w:color="auto" w:fill="auto"/>
            <w:vAlign w:val="center"/>
            <w:hideMark/>
          </w:tcPr>
          <w:p w14:paraId="4EDB46B8"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226.2</w:t>
            </w:r>
          </w:p>
        </w:tc>
        <w:tc>
          <w:tcPr>
            <w:tcW w:w="940" w:type="dxa"/>
            <w:tcBorders>
              <w:top w:val="nil"/>
              <w:left w:val="nil"/>
              <w:bottom w:val="single" w:sz="8" w:space="0" w:color="B4C6E7"/>
              <w:right w:val="single" w:sz="8" w:space="0" w:color="B4C6E7"/>
            </w:tcBorders>
            <w:shd w:val="clear" w:color="auto" w:fill="auto"/>
            <w:vAlign w:val="center"/>
            <w:hideMark/>
          </w:tcPr>
          <w:p w14:paraId="4D34E253"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00DB700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7D66A41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65B32DB3"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57C295A9"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144E418F"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1935D641"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41694425"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3.66%</w:t>
            </w:r>
          </w:p>
        </w:tc>
        <w:tc>
          <w:tcPr>
            <w:tcW w:w="940" w:type="dxa"/>
            <w:tcBorders>
              <w:top w:val="nil"/>
              <w:left w:val="nil"/>
              <w:bottom w:val="single" w:sz="8" w:space="0" w:color="B4C6E7"/>
              <w:right w:val="single" w:sz="8" w:space="0" w:color="B4C6E7"/>
            </w:tcBorders>
            <w:shd w:val="clear" w:color="auto" w:fill="auto"/>
            <w:vAlign w:val="center"/>
            <w:hideMark/>
          </w:tcPr>
          <w:p w14:paraId="7E6812A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79A1BC35"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CBE282D"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361827FB"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325D9D8F"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5EF44730"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2019</w:t>
            </w:r>
          </w:p>
        </w:tc>
        <w:tc>
          <w:tcPr>
            <w:tcW w:w="3220" w:type="dxa"/>
            <w:tcBorders>
              <w:top w:val="nil"/>
              <w:left w:val="nil"/>
              <w:bottom w:val="single" w:sz="8" w:space="0" w:color="B4C6E7"/>
              <w:right w:val="single" w:sz="8" w:space="0" w:color="B4C6E7"/>
            </w:tcBorders>
            <w:shd w:val="clear" w:color="auto" w:fill="auto"/>
            <w:noWrap/>
            <w:vAlign w:val="center"/>
            <w:hideMark/>
          </w:tcPr>
          <w:p w14:paraId="5C5BF1A0"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2020-2022</w:t>
            </w:r>
          </w:p>
        </w:tc>
        <w:tc>
          <w:tcPr>
            <w:tcW w:w="940" w:type="dxa"/>
            <w:tcBorders>
              <w:top w:val="nil"/>
              <w:left w:val="nil"/>
              <w:bottom w:val="single" w:sz="8" w:space="0" w:color="B4C6E7"/>
              <w:right w:val="single" w:sz="8" w:space="0" w:color="B4C6E7"/>
            </w:tcBorders>
            <w:shd w:val="clear" w:color="auto" w:fill="auto"/>
            <w:vAlign w:val="center"/>
            <w:hideMark/>
          </w:tcPr>
          <w:p w14:paraId="4E516443"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388.3</w:t>
            </w:r>
          </w:p>
        </w:tc>
        <w:tc>
          <w:tcPr>
            <w:tcW w:w="940" w:type="dxa"/>
            <w:tcBorders>
              <w:top w:val="nil"/>
              <w:left w:val="nil"/>
              <w:bottom w:val="single" w:sz="8" w:space="0" w:color="B4C6E7"/>
              <w:right w:val="single" w:sz="8" w:space="0" w:color="B4C6E7"/>
            </w:tcBorders>
            <w:shd w:val="clear" w:color="auto" w:fill="auto"/>
            <w:vAlign w:val="center"/>
            <w:hideMark/>
          </w:tcPr>
          <w:p w14:paraId="23802FB7"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459.4</w:t>
            </w:r>
          </w:p>
        </w:tc>
        <w:tc>
          <w:tcPr>
            <w:tcW w:w="940" w:type="dxa"/>
            <w:tcBorders>
              <w:top w:val="nil"/>
              <w:left w:val="nil"/>
              <w:bottom w:val="single" w:sz="8" w:space="0" w:color="B4C6E7"/>
              <w:right w:val="single" w:sz="8" w:space="0" w:color="B4C6E7"/>
            </w:tcBorders>
            <w:shd w:val="clear" w:color="auto" w:fill="auto"/>
            <w:vAlign w:val="center"/>
            <w:hideMark/>
          </w:tcPr>
          <w:p w14:paraId="07B33D0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555.5</w:t>
            </w:r>
          </w:p>
        </w:tc>
        <w:tc>
          <w:tcPr>
            <w:tcW w:w="940" w:type="dxa"/>
            <w:tcBorders>
              <w:top w:val="nil"/>
              <w:left w:val="nil"/>
              <w:bottom w:val="single" w:sz="8" w:space="0" w:color="B4C6E7"/>
              <w:right w:val="single" w:sz="8" w:space="0" w:color="B4C6E7"/>
            </w:tcBorders>
            <w:shd w:val="clear" w:color="auto" w:fill="auto"/>
            <w:noWrap/>
            <w:vAlign w:val="center"/>
            <w:hideMark/>
          </w:tcPr>
          <w:p w14:paraId="0237E15A"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34CCDD96"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621A7FAA"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4C724E2A"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582D8B94"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6650A34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5.6%</w:t>
            </w:r>
          </w:p>
        </w:tc>
        <w:tc>
          <w:tcPr>
            <w:tcW w:w="940" w:type="dxa"/>
            <w:tcBorders>
              <w:top w:val="nil"/>
              <w:left w:val="nil"/>
              <w:bottom w:val="single" w:sz="8" w:space="0" w:color="B4C6E7"/>
              <w:right w:val="single" w:sz="8" w:space="0" w:color="B4C6E7"/>
            </w:tcBorders>
            <w:shd w:val="clear" w:color="auto" w:fill="auto"/>
            <w:vAlign w:val="center"/>
            <w:hideMark/>
          </w:tcPr>
          <w:p w14:paraId="3E95A87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6.0%</w:t>
            </w:r>
          </w:p>
        </w:tc>
        <w:tc>
          <w:tcPr>
            <w:tcW w:w="940" w:type="dxa"/>
            <w:tcBorders>
              <w:top w:val="nil"/>
              <w:left w:val="nil"/>
              <w:bottom w:val="single" w:sz="8" w:space="0" w:color="B4C6E7"/>
              <w:right w:val="single" w:sz="8" w:space="0" w:color="B4C6E7"/>
            </w:tcBorders>
            <w:shd w:val="clear" w:color="auto" w:fill="auto"/>
            <w:vAlign w:val="center"/>
            <w:hideMark/>
          </w:tcPr>
          <w:p w14:paraId="0E6C17B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6.7%</w:t>
            </w:r>
          </w:p>
        </w:tc>
        <w:tc>
          <w:tcPr>
            <w:tcW w:w="940" w:type="dxa"/>
            <w:tcBorders>
              <w:top w:val="nil"/>
              <w:left w:val="nil"/>
              <w:bottom w:val="single" w:sz="8" w:space="0" w:color="B4C6E7"/>
              <w:right w:val="single" w:sz="8" w:space="0" w:color="B4C6E7"/>
            </w:tcBorders>
            <w:shd w:val="clear" w:color="auto" w:fill="auto"/>
            <w:noWrap/>
            <w:vAlign w:val="center"/>
            <w:hideMark/>
          </w:tcPr>
          <w:p w14:paraId="63D5F249"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21BCC691"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3CF01D1F"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2DA0988A"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0508C2AC"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2020թ. Պետական բյուջե</w:t>
            </w:r>
          </w:p>
        </w:tc>
        <w:tc>
          <w:tcPr>
            <w:tcW w:w="940" w:type="dxa"/>
            <w:tcBorders>
              <w:top w:val="nil"/>
              <w:left w:val="nil"/>
              <w:bottom w:val="single" w:sz="8" w:space="0" w:color="B4C6E7"/>
              <w:right w:val="single" w:sz="8" w:space="0" w:color="B4C6E7"/>
            </w:tcBorders>
            <w:shd w:val="clear" w:color="auto" w:fill="auto"/>
            <w:vAlign w:val="center"/>
            <w:hideMark/>
          </w:tcPr>
          <w:p w14:paraId="3C210079"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287.7</w:t>
            </w:r>
          </w:p>
        </w:tc>
        <w:tc>
          <w:tcPr>
            <w:tcW w:w="940" w:type="dxa"/>
            <w:tcBorders>
              <w:top w:val="nil"/>
              <w:left w:val="nil"/>
              <w:bottom w:val="single" w:sz="8" w:space="0" w:color="B4C6E7"/>
              <w:right w:val="single" w:sz="8" w:space="0" w:color="B4C6E7"/>
            </w:tcBorders>
            <w:shd w:val="clear" w:color="auto" w:fill="auto"/>
            <w:vAlign w:val="center"/>
            <w:hideMark/>
          </w:tcPr>
          <w:p w14:paraId="591C007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2249CAC4"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3F48145"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560FF328"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69AAB93C"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629A1510"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4C26E8BE"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0BBBAA60"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4.1%</w:t>
            </w:r>
          </w:p>
        </w:tc>
        <w:tc>
          <w:tcPr>
            <w:tcW w:w="940" w:type="dxa"/>
            <w:tcBorders>
              <w:top w:val="nil"/>
              <w:left w:val="nil"/>
              <w:bottom w:val="single" w:sz="8" w:space="0" w:color="B4C6E7"/>
              <w:right w:val="single" w:sz="8" w:space="0" w:color="B4C6E7"/>
            </w:tcBorders>
            <w:shd w:val="clear" w:color="auto" w:fill="auto"/>
            <w:vAlign w:val="center"/>
            <w:hideMark/>
          </w:tcPr>
          <w:p w14:paraId="3983E730"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1448ECC3"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CAFC3E4"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DFACD82"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3E5C2952"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559117CD"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2020</w:t>
            </w:r>
          </w:p>
        </w:tc>
        <w:tc>
          <w:tcPr>
            <w:tcW w:w="3220" w:type="dxa"/>
            <w:tcBorders>
              <w:top w:val="nil"/>
              <w:left w:val="nil"/>
              <w:bottom w:val="single" w:sz="8" w:space="0" w:color="B4C6E7"/>
              <w:right w:val="single" w:sz="8" w:space="0" w:color="B4C6E7"/>
            </w:tcBorders>
            <w:shd w:val="clear" w:color="auto" w:fill="auto"/>
            <w:noWrap/>
            <w:vAlign w:val="center"/>
            <w:hideMark/>
          </w:tcPr>
          <w:p w14:paraId="3A4AE79E"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2021-2023</w:t>
            </w:r>
          </w:p>
        </w:tc>
        <w:tc>
          <w:tcPr>
            <w:tcW w:w="940" w:type="dxa"/>
            <w:tcBorders>
              <w:top w:val="nil"/>
              <w:left w:val="nil"/>
              <w:bottom w:val="single" w:sz="8" w:space="0" w:color="B4C6E7"/>
              <w:right w:val="single" w:sz="8" w:space="0" w:color="B4C6E7"/>
            </w:tcBorders>
            <w:shd w:val="clear" w:color="auto" w:fill="auto"/>
            <w:noWrap/>
            <w:vAlign w:val="center"/>
            <w:hideMark/>
          </w:tcPr>
          <w:p w14:paraId="66A4719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222.2</w:t>
            </w:r>
          </w:p>
        </w:tc>
        <w:tc>
          <w:tcPr>
            <w:tcW w:w="940" w:type="dxa"/>
            <w:tcBorders>
              <w:top w:val="nil"/>
              <w:left w:val="nil"/>
              <w:bottom w:val="single" w:sz="8" w:space="0" w:color="B4C6E7"/>
              <w:right w:val="single" w:sz="8" w:space="0" w:color="B4C6E7"/>
            </w:tcBorders>
            <w:shd w:val="clear" w:color="auto" w:fill="auto"/>
            <w:vAlign w:val="center"/>
            <w:hideMark/>
          </w:tcPr>
          <w:p w14:paraId="4DA580FF"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250.0</w:t>
            </w:r>
          </w:p>
        </w:tc>
        <w:tc>
          <w:tcPr>
            <w:tcW w:w="940" w:type="dxa"/>
            <w:tcBorders>
              <w:top w:val="nil"/>
              <w:left w:val="nil"/>
              <w:bottom w:val="single" w:sz="8" w:space="0" w:color="B4C6E7"/>
              <w:right w:val="single" w:sz="8" w:space="0" w:color="B4C6E7"/>
            </w:tcBorders>
            <w:shd w:val="clear" w:color="auto" w:fill="auto"/>
            <w:vAlign w:val="center"/>
            <w:hideMark/>
          </w:tcPr>
          <w:p w14:paraId="61528EC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326.2</w:t>
            </w:r>
          </w:p>
        </w:tc>
        <w:tc>
          <w:tcPr>
            <w:tcW w:w="940" w:type="dxa"/>
            <w:tcBorders>
              <w:top w:val="nil"/>
              <w:left w:val="nil"/>
              <w:bottom w:val="single" w:sz="8" w:space="0" w:color="B4C6E7"/>
              <w:right w:val="single" w:sz="8" w:space="0" w:color="B4C6E7"/>
            </w:tcBorders>
            <w:shd w:val="clear" w:color="auto" w:fill="auto"/>
            <w:vAlign w:val="center"/>
            <w:hideMark/>
          </w:tcPr>
          <w:p w14:paraId="373B4CF8"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404.8</w:t>
            </w:r>
          </w:p>
        </w:tc>
        <w:tc>
          <w:tcPr>
            <w:tcW w:w="940" w:type="dxa"/>
            <w:tcBorders>
              <w:top w:val="nil"/>
              <w:left w:val="nil"/>
              <w:bottom w:val="single" w:sz="8" w:space="0" w:color="B4C6E7"/>
              <w:right w:val="single" w:sz="8" w:space="0" w:color="B4C6E7"/>
            </w:tcBorders>
            <w:shd w:val="clear" w:color="auto" w:fill="auto"/>
            <w:noWrap/>
            <w:vAlign w:val="center"/>
            <w:hideMark/>
          </w:tcPr>
          <w:p w14:paraId="79048B2D"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0C16C19D"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70A9FEE2"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44A42AF9"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69116A7F"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3.4%</w:t>
            </w:r>
          </w:p>
        </w:tc>
        <w:tc>
          <w:tcPr>
            <w:tcW w:w="940" w:type="dxa"/>
            <w:tcBorders>
              <w:top w:val="nil"/>
              <w:left w:val="nil"/>
              <w:bottom w:val="single" w:sz="8" w:space="0" w:color="B4C6E7"/>
              <w:right w:val="single" w:sz="8" w:space="0" w:color="B4C6E7"/>
            </w:tcBorders>
            <w:shd w:val="clear" w:color="auto" w:fill="auto"/>
            <w:vAlign w:val="center"/>
            <w:hideMark/>
          </w:tcPr>
          <w:p w14:paraId="5C2F7462"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3.5%</w:t>
            </w:r>
          </w:p>
        </w:tc>
        <w:tc>
          <w:tcPr>
            <w:tcW w:w="940" w:type="dxa"/>
            <w:tcBorders>
              <w:top w:val="nil"/>
              <w:left w:val="nil"/>
              <w:bottom w:val="single" w:sz="8" w:space="0" w:color="B4C6E7"/>
              <w:right w:val="single" w:sz="8" w:space="0" w:color="B4C6E7"/>
            </w:tcBorders>
            <w:shd w:val="clear" w:color="auto" w:fill="auto"/>
            <w:vAlign w:val="center"/>
            <w:hideMark/>
          </w:tcPr>
          <w:p w14:paraId="2390C32C"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4.2%</w:t>
            </w:r>
          </w:p>
        </w:tc>
        <w:tc>
          <w:tcPr>
            <w:tcW w:w="940" w:type="dxa"/>
            <w:tcBorders>
              <w:top w:val="nil"/>
              <w:left w:val="nil"/>
              <w:bottom w:val="single" w:sz="8" w:space="0" w:color="B4C6E7"/>
              <w:right w:val="single" w:sz="8" w:space="0" w:color="B4C6E7"/>
            </w:tcBorders>
            <w:shd w:val="clear" w:color="auto" w:fill="auto"/>
            <w:vAlign w:val="center"/>
            <w:hideMark/>
          </w:tcPr>
          <w:p w14:paraId="039C3439"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4.7%</w:t>
            </w:r>
          </w:p>
        </w:tc>
        <w:tc>
          <w:tcPr>
            <w:tcW w:w="940" w:type="dxa"/>
            <w:tcBorders>
              <w:top w:val="nil"/>
              <w:left w:val="nil"/>
              <w:bottom w:val="single" w:sz="8" w:space="0" w:color="B4C6E7"/>
              <w:right w:val="single" w:sz="8" w:space="0" w:color="B4C6E7"/>
            </w:tcBorders>
            <w:shd w:val="clear" w:color="auto" w:fill="auto"/>
            <w:noWrap/>
            <w:vAlign w:val="center"/>
            <w:hideMark/>
          </w:tcPr>
          <w:p w14:paraId="1A8C1BE4"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26FCD5B1"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600E57F5"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21514D7D"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2021թ. Պետական բյուջե</w:t>
            </w:r>
          </w:p>
        </w:tc>
        <w:tc>
          <w:tcPr>
            <w:tcW w:w="940" w:type="dxa"/>
            <w:tcBorders>
              <w:top w:val="nil"/>
              <w:left w:val="nil"/>
              <w:bottom w:val="single" w:sz="8" w:space="0" w:color="B4C6E7"/>
              <w:right w:val="single" w:sz="8" w:space="0" w:color="B4C6E7"/>
            </w:tcBorders>
            <w:shd w:val="clear" w:color="auto" w:fill="auto"/>
            <w:noWrap/>
            <w:vAlign w:val="center"/>
            <w:hideMark/>
          </w:tcPr>
          <w:p w14:paraId="47167513"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284.7</w:t>
            </w:r>
          </w:p>
        </w:tc>
        <w:tc>
          <w:tcPr>
            <w:tcW w:w="940" w:type="dxa"/>
            <w:tcBorders>
              <w:top w:val="nil"/>
              <w:left w:val="nil"/>
              <w:bottom w:val="single" w:sz="8" w:space="0" w:color="B4C6E7"/>
              <w:right w:val="single" w:sz="8" w:space="0" w:color="B4C6E7"/>
            </w:tcBorders>
            <w:shd w:val="clear" w:color="auto" w:fill="auto"/>
            <w:vAlign w:val="center"/>
            <w:hideMark/>
          </w:tcPr>
          <w:p w14:paraId="43962A6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216.3</w:t>
            </w:r>
          </w:p>
        </w:tc>
        <w:tc>
          <w:tcPr>
            <w:tcW w:w="940" w:type="dxa"/>
            <w:tcBorders>
              <w:top w:val="nil"/>
              <w:left w:val="nil"/>
              <w:bottom w:val="single" w:sz="8" w:space="0" w:color="B4C6E7"/>
              <w:right w:val="single" w:sz="8" w:space="0" w:color="B4C6E7"/>
            </w:tcBorders>
            <w:shd w:val="clear" w:color="auto" w:fill="auto"/>
            <w:vAlign w:val="center"/>
            <w:hideMark/>
          </w:tcPr>
          <w:p w14:paraId="72E481DC"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356BEB9"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71DF84F6"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18F0A0E8"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4C9EB8BF"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0022623D"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421F7263"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4.7%</w:t>
            </w:r>
          </w:p>
        </w:tc>
        <w:tc>
          <w:tcPr>
            <w:tcW w:w="940" w:type="dxa"/>
            <w:tcBorders>
              <w:top w:val="nil"/>
              <w:left w:val="nil"/>
              <w:bottom w:val="single" w:sz="8" w:space="0" w:color="B4C6E7"/>
              <w:right w:val="single" w:sz="8" w:space="0" w:color="B4C6E7"/>
            </w:tcBorders>
            <w:shd w:val="clear" w:color="auto" w:fill="auto"/>
            <w:vAlign w:val="center"/>
            <w:hideMark/>
          </w:tcPr>
          <w:p w14:paraId="4B740A98"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3.40%</w:t>
            </w:r>
          </w:p>
        </w:tc>
        <w:tc>
          <w:tcPr>
            <w:tcW w:w="940" w:type="dxa"/>
            <w:tcBorders>
              <w:top w:val="nil"/>
              <w:left w:val="nil"/>
              <w:bottom w:val="single" w:sz="8" w:space="0" w:color="B4C6E7"/>
              <w:right w:val="single" w:sz="8" w:space="0" w:color="B4C6E7"/>
            </w:tcBorders>
            <w:shd w:val="clear" w:color="auto" w:fill="auto"/>
            <w:vAlign w:val="center"/>
            <w:hideMark/>
          </w:tcPr>
          <w:p w14:paraId="3DC74E26"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220DD4FC"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7B07E79"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0D96B47A"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6259998E"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2021</w:t>
            </w:r>
          </w:p>
        </w:tc>
        <w:tc>
          <w:tcPr>
            <w:tcW w:w="3220" w:type="dxa"/>
            <w:tcBorders>
              <w:top w:val="nil"/>
              <w:left w:val="nil"/>
              <w:bottom w:val="single" w:sz="8" w:space="0" w:color="B4C6E7"/>
              <w:right w:val="single" w:sz="8" w:space="0" w:color="B4C6E7"/>
            </w:tcBorders>
            <w:shd w:val="clear" w:color="auto" w:fill="auto"/>
            <w:noWrap/>
            <w:vAlign w:val="center"/>
            <w:hideMark/>
          </w:tcPr>
          <w:p w14:paraId="2264BC0C"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2022-2024</w:t>
            </w:r>
          </w:p>
        </w:tc>
        <w:tc>
          <w:tcPr>
            <w:tcW w:w="940" w:type="dxa"/>
            <w:tcBorders>
              <w:top w:val="nil"/>
              <w:left w:val="nil"/>
              <w:bottom w:val="single" w:sz="8" w:space="0" w:color="B4C6E7"/>
              <w:right w:val="single" w:sz="8" w:space="0" w:color="B4C6E7"/>
            </w:tcBorders>
            <w:shd w:val="clear" w:color="auto" w:fill="auto"/>
            <w:noWrap/>
            <w:vAlign w:val="center"/>
            <w:hideMark/>
          </w:tcPr>
          <w:p w14:paraId="0D8EDB93"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3C8A4742"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197.2</w:t>
            </w:r>
          </w:p>
        </w:tc>
        <w:tc>
          <w:tcPr>
            <w:tcW w:w="940" w:type="dxa"/>
            <w:tcBorders>
              <w:top w:val="nil"/>
              <w:left w:val="nil"/>
              <w:bottom w:val="single" w:sz="8" w:space="0" w:color="B4C6E7"/>
              <w:right w:val="single" w:sz="8" w:space="0" w:color="B4C6E7"/>
            </w:tcBorders>
            <w:shd w:val="clear" w:color="auto" w:fill="auto"/>
            <w:vAlign w:val="center"/>
            <w:hideMark/>
          </w:tcPr>
          <w:p w14:paraId="1FDC72F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292.6</w:t>
            </w:r>
          </w:p>
        </w:tc>
        <w:tc>
          <w:tcPr>
            <w:tcW w:w="940" w:type="dxa"/>
            <w:tcBorders>
              <w:top w:val="nil"/>
              <w:left w:val="nil"/>
              <w:bottom w:val="single" w:sz="8" w:space="0" w:color="B4C6E7"/>
              <w:right w:val="single" w:sz="8" w:space="0" w:color="B4C6E7"/>
            </w:tcBorders>
            <w:shd w:val="clear" w:color="auto" w:fill="auto"/>
            <w:vAlign w:val="center"/>
            <w:hideMark/>
          </w:tcPr>
          <w:p w14:paraId="6732315C"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308.1</w:t>
            </w:r>
          </w:p>
        </w:tc>
        <w:tc>
          <w:tcPr>
            <w:tcW w:w="940" w:type="dxa"/>
            <w:tcBorders>
              <w:top w:val="nil"/>
              <w:left w:val="nil"/>
              <w:bottom w:val="single" w:sz="8" w:space="0" w:color="B4C6E7"/>
              <w:right w:val="single" w:sz="8" w:space="0" w:color="B4C6E7"/>
            </w:tcBorders>
            <w:shd w:val="clear" w:color="auto" w:fill="auto"/>
            <w:vAlign w:val="center"/>
            <w:hideMark/>
          </w:tcPr>
          <w:p w14:paraId="0B9C7DE7"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353.9</w:t>
            </w:r>
          </w:p>
        </w:tc>
      </w:tr>
      <w:tr w:rsidR="00B7540A" w:rsidRPr="00586097" w14:paraId="2A8D4BEB"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69967094"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4B69C9D0"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3470078E"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8DEA801"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2.9%</w:t>
            </w:r>
          </w:p>
        </w:tc>
        <w:tc>
          <w:tcPr>
            <w:tcW w:w="940" w:type="dxa"/>
            <w:tcBorders>
              <w:top w:val="nil"/>
              <w:left w:val="nil"/>
              <w:bottom w:val="single" w:sz="8" w:space="0" w:color="B4C6E7"/>
              <w:right w:val="single" w:sz="8" w:space="0" w:color="B4C6E7"/>
            </w:tcBorders>
            <w:shd w:val="clear" w:color="auto" w:fill="auto"/>
            <w:vAlign w:val="center"/>
            <w:hideMark/>
          </w:tcPr>
          <w:p w14:paraId="20E00AE7"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3.9%</w:t>
            </w:r>
          </w:p>
        </w:tc>
        <w:tc>
          <w:tcPr>
            <w:tcW w:w="940" w:type="dxa"/>
            <w:tcBorders>
              <w:top w:val="nil"/>
              <w:left w:val="nil"/>
              <w:bottom w:val="single" w:sz="8" w:space="0" w:color="B4C6E7"/>
              <w:right w:val="single" w:sz="8" w:space="0" w:color="B4C6E7"/>
            </w:tcBorders>
            <w:shd w:val="clear" w:color="auto" w:fill="auto"/>
            <w:vAlign w:val="center"/>
            <w:hideMark/>
          </w:tcPr>
          <w:p w14:paraId="4E0EFFE8"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3.8%</w:t>
            </w:r>
          </w:p>
        </w:tc>
        <w:tc>
          <w:tcPr>
            <w:tcW w:w="940" w:type="dxa"/>
            <w:tcBorders>
              <w:top w:val="nil"/>
              <w:left w:val="nil"/>
              <w:bottom w:val="single" w:sz="8" w:space="0" w:color="B4C6E7"/>
              <w:right w:val="single" w:sz="8" w:space="0" w:color="B4C6E7"/>
            </w:tcBorders>
            <w:shd w:val="clear" w:color="auto" w:fill="auto"/>
            <w:vAlign w:val="center"/>
            <w:hideMark/>
          </w:tcPr>
          <w:p w14:paraId="307C45C4"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4.0%</w:t>
            </w:r>
          </w:p>
        </w:tc>
      </w:tr>
    </w:tbl>
    <w:p w14:paraId="09A63670" w14:textId="77777777" w:rsidR="00B7540A" w:rsidRPr="00586097" w:rsidRDefault="00B7540A" w:rsidP="00B7540A">
      <w:pPr>
        <w:pStyle w:val="afc"/>
        <w:spacing w:line="276" w:lineRule="auto"/>
      </w:pPr>
      <w:r w:rsidRPr="00586097">
        <w:t>Աղյուսակ 2.8. Պետական բյուջեի պակասուրդի ֆինանսավորման կանխատեսումների համեմատական աղյուսակը (մլրդ դրամ)</w:t>
      </w:r>
    </w:p>
    <w:tbl>
      <w:tblPr>
        <w:tblW w:w="9280" w:type="dxa"/>
        <w:tblInd w:w="118" w:type="dxa"/>
        <w:tblLook w:val="04A0" w:firstRow="1" w:lastRow="0" w:firstColumn="1" w:lastColumn="0" w:noHBand="0" w:noVBand="1"/>
      </w:tblPr>
      <w:tblGrid>
        <w:gridCol w:w="1360"/>
        <w:gridCol w:w="3220"/>
        <w:gridCol w:w="940"/>
        <w:gridCol w:w="940"/>
        <w:gridCol w:w="940"/>
        <w:gridCol w:w="940"/>
        <w:gridCol w:w="940"/>
      </w:tblGrid>
      <w:tr w:rsidR="00B7540A" w:rsidRPr="00586097" w14:paraId="0341FBF0" w14:textId="77777777" w:rsidTr="00B7540A">
        <w:trPr>
          <w:trHeight w:val="825"/>
          <w:tblHeader/>
        </w:trPr>
        <w:tc>
          <w:tcPr>
            <w:tcW w:w="1360" w:type="dxa"/>
            <w:tcBorders>
              <w:top w:val="single" w:sz="8" w:space="0" w:color="FFFFFF"/>
              <w:left w:val="single" w:sz="8" w:space="0" w:color="FFFFFF"/>
              <w:bottom w:val="single" w:sz="8" w:space="0" w:color="FFFFFF"/>
              <w:right w:val="single" w:sz="8" w:space="0" w:color="FFFFFF"/>
            </w:tcBorders>
            <w:shd w:val="clear" w:color="000000" w:fill="8EA9DB"/>
            <w:vAlign w:val="center"/>
            <w:hideMark/>
          </w:tcPr>
          <w:p w14:paraId="488325C7"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Ընդունման տարին</w:t>
            </w:r>
          </w:p>
        </w:tc>
        <w:tc>
          <w:tcPr>
            <w:tcW w:w="3220" w:type="dxa"/>
            <w:tcBorders>
              <w:top w:val="single" w:sz="8" w:space="0" w:color="FFFFFF"/>
              <w:left w:val="nil"/>
              <w:bottom w:val="single" w:sz="8" w:space="0" w:color="FFFFFF"/>
              <w:right w:val="single" w:sz="8" w:space="0" w:color="FFFFFF"/>
            </w:tcBorders>
            <w:shd w:val="clear" w:color="000000" w:fill="8EA9DB"/>
            <w:noWrap/>
            <w:vAlign w:val="center"/>
            <w:hideMark/>
          </w:tcPr>
          <w:p w14:paraId="6A4D1AE2"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Ծրագիր</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2B0D36E8"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2020</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35001DDA"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2021</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6085F72E"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2022</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0E688864"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2023</w:t>
            </w:r>
          </w:p>
        </w:tc>
        <w:tc>
          <w:tcPr>
            <w:tcW w:w="940" w:type="dxa"/>
            <w:tcBorders>
              <w:top w:val="single" w:sz="8" w:space="0" w:color="FFFFFF"/>
              <w:left w:val="nil"/>
              <w:bottom w:val="single" w:sz="8" w:space="0" w:color="FFFFFF"/>
              <w:right w:val="single" w:sz="8" w:space="0" w:color="FFFFFF"/>
            </w:tcBorders>
            <w:shd w:val="clear" w:color="000000" w:fill="8EA9DB"/>
            <w:noWrap/>
            <w:vAlign w:val="center"/>
            <w:hideMark/>
          </w:tcPr>
          <w:p w14:paraId="5B450E49" w14:textId="77777777" w:rsidR="00B7540A" w:rsidRPr="00586097" w:rsidRDefault="00B7540A" w:rsidP="00B7540A">
            <w:pPr>
              <w:spacing w:before="0" w:after="0" w:line="276" w:lineRule="auto"/>
              <w:ind w:firstLine="0"/>
              <w:jc w:val="center"/>
              <w:rPr>
                <w:rFonts w:cs="Calibri"/>
                <w:color w:val="FFFFFF"/>
              </w:rPr>
            </w:pPr>
            <w:r w:rsidRPr="00586097">
              <w:rPr>
                <w:rFonts w:cs="Calibri"/>
                <w:color w:val="FFFFFF"/>
              </w:rPr>
              <w:t>2024</w:t>
            </w:r>
          </w:p>
        </w:tc>
      </w:tr>
      <w:tr w:rsidR="00B7540A" w:rsidRPr="00586097" w14:paraId="0BEF102A"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156ACB81"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w:t>
            </w:r>
          </w:p>
        </w:tc>
        <w:tc>
          <w:tcPr>
            <w:tcW w:w="3220" w:type="dxa"/>
            <w:tcBorders>
              <w:top w:val="nil"/>
              <w:left w:val="nil"/>
              <w:bottom w:val="single" w:sz="8" w:space="0" w:color="B4C6E7"/>
              <w:right w:val="single" w:sz="8" w:space="0" w:color="B4C6E7"/>
            </w:tcBorders>
            <w:shd w:val="clear" w:color="auto" w:fill="auto"/>
            <w:noWrap/>
            <w:vAlign w:val="center"/>
            <w:hideMark/>
          </w:tcPr>
          <w:p w14:paraId="3D0DD8E0"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Փաստացի</w:t>
            </w:r>
          </w:p>
        </w:tc>
        <w:tc>
          <w:tcPr>
            <w:tcW w:w="940" w:type="dxa"/>
            <w:tcBorders>
              <w:top w:val="nil"/>
              <w:left w:val="nil"/>
              <w:bottom w:val="single" w:sz="8" w:space="0" w:color="B4C6E7"/>
              <w:right w:val="single" w:sz="8" w:space="0" w:color="B4C6E7"/>
            </w:tcBorders>
            <w:shd w:val="clear" w:color="auto" w:fill="auto"/>
            <w:vAlign w:val="center"/>
            <w:hideMark/>
          </w:tcPr>
          <w:p w14:paraId="5745DF04"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334.0</w:t>
            </w:r>
          </w:p>
        </w:tc>
        <w:tc>
          <w:tcPr>
            <w:tcW w:w="940" w:type="dxa"/>
            <w:tcBorders>
              <w:top w:val="nil"/>
              <w:left w:val="nil"/>
              <w:bottom w:val="single" w:sz="8" w:space="0" w:color="B4C6E7"/>
              <w:right w:val="single" w:sz="8" w:space="0" w:color="B4C6E7"/>
            </w:tcBorders>
            <w:shd w:val="clear" w:color="auto" w:fill="auto"/>
            <w:vAlign w:val="center"/>
            <w:hideMark/>
          </w:tcPr>
          <w:p w14:paraId="2E898DE5"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6E15642E"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5B11852"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35FED2F0"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20098325"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6D4BDFF7"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12DBF63A"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1B81CD57"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5.40%</w:t>
            </w:r>
          </w:p>
        </w:tc>
        <w:tc>
          <w:tcPr>
            <w:tcW w:w="940" w:type="dxa"/>
            <w:tcBorders>
              <w:top w:val="nil"/>
              <w:left w:val="nil"/>
              <w:bottom w:val="single" w:sz="8" w:space="0" w:color="B4C6E7"/>
              <w:right w:val="single" w:sz="8" w:space="0" w:color="B4C6E7"/>
            </w:tcBorders>
            <w:shd w:val="clear" w:color="auto" w:fill="auto"/>
            <w:vAlign w:val="center"/>
            <w:hideMark/>
          </w:tcPr>
          <w:p w14:paraId="5DAF33E8"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2567390E"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4048589"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3C839C2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030D6888"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27F8DE29"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2019</w:t>
            </w:r>
          </w:p>
        </w:tc>
        <w:tc>
          <w:tcPr>
            <w:tcW w:w="3220" w:type="dxa"/>
            <w:tcBorders>
              <w:top w:val="nil"/>
              <w:left w:val="nil"/>
              <w:bottom w:val="single" w:sz="8" w:space="0" w:color="B4C6E7"/>
              <w:right w:val="single" w:sz="8" w:space="0" w:color="B4C6E7"/>
            </w:tcBorders>
            <w:shd w:val="clear" w:color="auto" w:fill="auto"/>
            <w:noWrap/>
            <w:vAlign w:val="center"/>
            <w:hideMark/>
          </w:tcPr>
          <w:p w14:paraId="116F9BD2"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2020-2022</w:t>
            </w:r>
          </w:p>
        </w:tc>
        <w:tc>
          <w:tcPr>
            <w:tcW w:w="940" w:type="dxa"/>
            <w:tcBorders>
              <w:top w:val="nil"/>
              <w:left w:val="nil"/>
              <w:bottom w:val="single" w:sz="8" w:space="0" w:color="B4C6E7"/>
              <w:right w:val="single" w:sz="8" w:space="0" w:color="B4C6E7"/>
            </w:tcBorders>
            <w:shd w:val="clear" w:color="auto" w:fill="auto"/>
            <w:vAlign w:val="center"/>
            <w:hideMark/>
          </w:tcPr>
          <w:p w14:paraId="01B9815D"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157.6</w:t>
            </w:r>
          </w:p>
        </w:tc>
        <w:tc>
          <w:tcPr>
            <w:tcW w:w="940" w:type="dxa"/>
            <w:tcBorders>
              <w:top w:val="nil"/>
              <w:left w:val="nil"/>
              <w:bottom w:val="single" w:sz="8" w:space="0" w:color="B4C6E7"/>
              <w:right w:val="single" w:sz="8" w:space="0" w:color="B4C6E7"/>
            </w:tcBorders>
            <w:shd w:val="clear" w:color="auto" w:fill="auto"/>
            <w:vAlign w:val="center"/>
            <w:hideMark/>
          </w:tcPr>
          <w:p w14:paraId="44A4777F"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169.0</w:t>
            </w:r>
          </w:p>
        </w:tc>
        <w:tc>
          <w:tcPr>
            <w:tcW w:w="940" w:type="dxa"/>
            <w:tcBorders>
              <w:top w:val="nil"/>
              <w:left w:val="nil"/>
              <w:bottom w:val="single" w:sz="8" w:space="0" w:color="B4C6E7"/>
              <w:right w:val="single" w:sz="8" w:space="0" w:color="B4C6E7"/>
            </w:tcBorders>
            <w:shd w:val="clear" w:color="auto" w:fill="auto"/>
            <w:vAlign w:val="center"/>
            <w:hideMark/>
          </w:tcPr>
          <w:p w14:paraId="74890B24"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184.4</w:t>
            </w:r>
          </w:p>
        </w:tc>
        <w:tc>
          <w:tcPr>
            <w:tcW w:w="940" w:type="dxa"/>
            <w:tcBorders>
              <w:top w:val="nil"/>
              <w:left w:val="nil"/>
              <w:bottom w:val="single" w:sz="8" w:space="0" w:color="B4C6E7"/>
              <w:right w:val="single" w:sz="8" w:space="0" w:color="B4C6E7"/>
            </w:tcBorders>
            <w:shd w:val="clear" w:color="auto" w:fill="auto"/>
            <w:noWrap/>
            <w:vAlign w:val="center"/>
            <w:hideMark/>
          </w:tcPr>
          <w:p w14:paraId="487D6A46"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0E62E58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578B9D9C"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346FEB1F"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449BC334"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269C828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w:t>
            </w:r>
          </w:p>
        </w:tc>
        <w:tc>
          <w:tcPr>
            <w:tcW w:w="940" w:type="dxa"/>
            <w:tcBorders>
              <w:top w:val="nil"/>
              <w:left w:val="nil"/>
              <w:bottom w:val="single" w:sz="8" w:space="0" w:color="B4C6E7"/>
              <w:right w:val="single" w:sz="8" w:space="0" w:color="B4C6E7"/>
            </w:tcBorders>
            <w:shd w:val="clear" w:color="auto" w:fill="auto"/>
            <w:vAlign w:val="center"/>
            <w:hideMark/>
          </w:tcPr>
          <w:p w14:paraId="5D491AD6"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w:t>
            </w:r>
          </w:p>
        </w:tc>
        <w:tc>
          <w:tcPr>
            <w:tcW w:w="940" w:type="dxa"/>
            <w:tcBorders>
              <w:top w:val="nil"/>
              <w:left w:val="nil"/>
              <w:bottom w:val="single" w:sz="8" w:space="0" w:color="B4C6E7"/>
              <w:right w:val="single" w:sz="8" w:space="0" w:color="B4C6E7"/>
            </w:tcBorders>
            <w:shd w:val="clear" w:color="auto" w:fill="auto"/>
            <w:vAlign w:val="center"/>
            <w:hideMark/>
          </w:tcPr>
          <w:p w14:paraId="589765BF"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2.2%</w:t>
            </w:r>
          </w:p>
        </w:tc>
        <w:tc>
          <w:tcPr>
            <w:tcW w:w="940" w:type="dxa"/>
            <w:tcBorders>
              <w:top w:val="nil"/>
              <w:left w:val="nil"/>
              <w:bottom w:val="single" w:sz="8" w:space="0" w:color="B4C6E7"/>
              <w:right w:val="single" w:sz="8" w:space="0" w:color="B4C6E7"/>
            </w:tcBorders>
            <w:shd w:val="clear" w:color="auto" w:fill="auto"/>
            <w:noWrap/>
            <w:vAlign w:val="center"/>
            <w:hideMark/>
          </w:tcPr>
          <w:p w14:paraId="432740B4"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53EA1DF2"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0D64F89F"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222A5B91"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4E0780BF"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2020թ. Պետական բյուջե</w:t>
            </w:r>
          </w:p>
        </w:tc>
        <w:tc>
          <w:tcPr>
            <w:tcW w:w="940" w:type="dxa"/>
            <w:tcBorders>
              <w:top w:val="nil"/>
              <w:left w:val="nil"/>
              <w:bottom w:val="single" w:sz="8" w:space="0" w:color="B4C6E7"/>
              <w:right w:val="single" w:sz="8" w:space="0" w:color="B4C6E7"/>
            </w:tcBorders>
            <w:shd w:val="clear" w:color="auto" w:fill="auto"/>
            <w:vAlign w:val="center"/>
            <w:hideMark/>
          </w:tcPr>
          <w:p w14:paraId="10E30CA3"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160.7</w:t>
            </w:r>
          </w:p>
        </w:tc>
        <w:tc>
          <w:tcPr>
            <w:tcW w:w="940" w:type="dxa"/>
            <w:tcBorders>
              <w:top w:val="nil"/>
              <w:left w:val="nil"/>
              <w:bottom w:val="single" w:sz="8" w:space="0" w:color="B4C6E7"/>
              <w:right w:val="single" w:sz="8" w:space="0" w:color="B4C6E7"/>
            </w:tcBorders>
            <w:shd w:val="clear" w:color="auto" w:fill="auto"/>
            <w:vAlign w:val="center"/>
            <w:hideMark/>
          </w:tcPr>
          <w:p w14:paraId="7168763E"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4F8D2F18"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76548E3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24E2019F"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69020A12"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75A2A6A7"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7BE04C07"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vAlign w:val="center"/>
            <w:hideMark/>
          </w:tcPr>
          <w:p w14:paraId="66D19004"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2.3%</w:t>
            </w:r>
          </w:p>
        </w:tc>
        <w:tc>
          <w:tcPr>
            <w:tcW w:w="940" w:type="dxa"/>
            <w:tcBorders>
              <w:top w:val="nil"/>
              <w:left w:val="nil"/>
              <w:bottom w:val="single" w:sz="8" w:space="0" w:color="B4C6E7"/>
              <w:right w:val="single" w:sz="8" w:space="0" w:color="B4C6E7"/>
            </w:tcBorders>
            <w:shd w:val="clear" w:color="auto" w:fill="auto"/>
            <w:vAlign w:val="center"/>
            <w:hideMark/>
          </w:tcPr>
          <w:p w14:paraId="108EE3D0"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54C66DCA"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5B6EC64F"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3BA9C11"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6078525E"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0E4942D6"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2020</w:t>
            </w:r>
          </w:p>
        </w:tc>
        <w:tc>
          <w:tcPr>
            <w:tcW w:w="3220" w:type="dxa"/>
            <w:tcBorders>
              <w:top w:val="nil"/>
              <w:left w:val="nil"/>
              <w:bottom w:val="single" w:sz="8" w:space="0" w:color="B4C6E7"/>
              <w:right w:val="single" w:sz="8" w:space="0" w:color="B4C6E7"/>
            </w:tcBorders>
            <w:shd w:val="clear" w:color="auto" w:fill="auto"/>
            <w:noWrap/>
            <w:vAlign w:val="center"/>
            <w:hideMark/>
          </w:tcPr>
          <w:p w14:paraId="2B95CD9B"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2021-2023</w:t>
            </w:r>
          </w:p>
        </w:tc>
        <w:tc>
          <w:tcPr>
            <w:tcW w:w="940" w:type="dxa"/>
            <w:tcBorders>
              <w:top w:val="nil"/>
              <w:left w:val="nil"/>
              <w:bottom w:val="single" w:sz="8" w:space="0" w:color="B4C6E7"/>
              <w:right w:val="single" w:sz="8" w:space="0" w:color="B4C6E7"/>
            </w:tcBorders>
            <w:shd w:val="clear" w:color="auto" w:fill="auto"/>
            <w:noWrap/>
            <w:vAlign w:val="center"/>
            <w:hideMark/>
          </w:tcPr>
          <w:p w14:paraId="2CFD803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361.5</w:t>
            </w: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142B72DA"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209.1</w:t>
            </w:r>
          </w:p>
        </w:tc>
        <w:tc>
          <w:tcPr>
            <w:tcW w:w="940" w:type="dxa"/>
            <w:tcBorders>
              <w:top w:val="nil"/>
              <w:left w:val="nil"/>
              <w:bottom w:val="single" w:sz="8" w:space="0" w:color="B4C6E7"/>
              <w:right w:val="single" w:sz="8" w:space="0" w:color="B4C6E7"/>
            </w:tcBorders>
            <w:shd w:val="clear" w:color="auto" w:fill="auto"/>
            <w:vAlign w:val="center"/>
            <w:hideMark/>
          </w:tcPr>
          <w:p w14:paraId="61E1DEA0"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140.2</w:t>
            </w:r>
          </w:p>
        </w:tc>
        <w:tc>
          <w:tcPr>
            <w:tcW w:w="940" w:type="dxa"/>
            <w:tcBorders>
              <w:top w:val="nil"/>
              <w:left w:val="nil"/>
              <w:bottom w:val="single" w:sz="8" w:space="0" w:color="B4C6E7"/>
              <w:right w:val="single" w:sz="8" w:space="0" w:color="B4C6E7"/>
            </w:tcBorders>
            <w:shd w:val="clear" w:color="auto" w:fill="auto"/>
            <w:vAlign w:val="center"/>
            <w:hideMark/>
          </w:tcPr>
          <w:p w14:paraId="31267A44"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158.6</w:t>
            </w:r>
          </w:p>
        </w:tc>
        <w:tc>
          <w:tcPr>
            <w:tcW w:w="940" w:type="dxa"/>
            <w:tcBorders>
              <w:top w:val="nil"/>
              <w:left w:val="nil"/>
              <w:bottom w:val="single" w:sz="8" w:space="0" w:color="B4C6E7"/>
              <w:right w:val="single" w:sz="8" w:space="0" w:color="B4C6E7"/>
            </w:tcBorders>
            <w:shd w:val="clear" w:color="auto" w:fill="auto"/>
            <w:noWrap/>
            <w:vAlign w:val="center"/>
            <w:hideMark/>
          </w:tcPr>
          <w:p w14:paraId="2C2D49E3"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168E3032"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02FCD63D"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38B39FD4"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5E074E4D"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5.6%</w:t>
            </w: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5953B8FC"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2.9%</w:t>
            </w:r>
          </w:p>
        </w:tc>
        <w:tc>
          <w:tcPr>
            <w:tcW w:w="940" w:type="dxa"/>
            <w:tcBorders>
              <w:top w:val="nil"/>
              <w:left w:val="nil"/>
              <w:bottom w:val="single" w:sz="8" w:space="0" w:color="B4C6E7"/>
              <w:right w:val="single" w:sz="8" w:space="0" w:color="B4C6E7"/>
            </w:tcBorders>
            <w:shd w:val="clear" w:color="auto" w:fill="auto"/>
            <w:vAlign w:val="center"/>
            <w:hideMark/>
          </w:tcPr>
          <w:p w14:paraId="7BEC93A7"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1.8%</w:t>
            </w:r>
          </w:p>
        </w:tc>
        <w:tc>
          <w:tcPr>
            <w:tcW w:w="940" w:type="dxa"/>
            <w:tcBorders>
              <w:top w:val="nil"/>
              <w:left w:val="nil"/>
              <w:bottom w:val="single" w:sz="8" w:space="0" w:color="B4C6E7"/>
              <w:right w:val="single" w:sz="8" w:space="0" w:color="B4C6E7"/>
            </w:tcBorders>
            <w:shd w:val="clear" w:color="auto" w:fill="auto"/>
            <w:vAlign w:val="center"/>
            <w:hideMark/>
          </w:tcPr>
          <w:p w14:paraId="3DE97464"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1.8%</w:t>
            </w:r>
          </w:p>
        </w:tc>
        <w:tc>
          <w:tcPr>
            <w:tcW w:w="940" w:type="dxa"/>
            <w:tcBorders>
              <w:top w:val="nil"/>
              <w:left w:val="nil"/>
              <w:bottom w:val="single" w:sz="8" w:space="0" w:color="B4C6E7"/>
              <w:right w:val="single" w:sz="8" w:space="0" w:color="B4C6E7"/>
            </w:tcBorders>
            <w:shd w:val="clear" w:color="auto" w:fill="auto"/>
            <w:noWrap/>
            <w:vAlign w:val="center"/>
            <w:hideMark/>
          </w:tcPr>
          <w:p w14:paraId="4022EA95"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1ADFB828"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67DBAE60"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noWrap/>
            <w:vAlign w:val="center"/>
            <w:hideMark/>
          </w:tcPr>
          <w:p w14:paraId="71BD8C43"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2021թ. Պետական բյուջե</w:t>
            </w:r>
          </w:p>
        </w:tc>
        <w:tc>
          <w:tcPr>
            <w:tcW w:w="940" w:type="dxa"/>
            <w:tcBorders>
              <w:top w:val="nil"/>
              <w:left w:val="nil"/>
              <w:bottom w:val="single" w:sz="8" w:space="0" w:color="B4C6E7"/>
              <w:right w:val="single" w:sz="8" w:space="0" w:color="B4C6E7"/>
            </w:tcBorders>
            <w:shd w:val="clear" w:color="auto" w:fill="auto"/>
            <w:noWrap/>
            <w:vAlign w:val="center"/>
            <w:hideMark/>
          </w:tcPr>
          <w:p w14:paraId="0FBADC0E"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429.7</w:t>
            </w:r>
          </w:p>
        </w:tc>
        <w:tc>
          <w:tcPr>
            <w:tcW w:w="940" w:type="dxa"/>
            <w:tcBorders>
              <w:top w:val="nil"/>
              <w:left w:val="nil"/>
              <w:bottom w:val="single" w:sz="8" w:space="0" w:color="B4C6E7"/>
              <w:right w:val="single" w:sz="8" w:space="0" w:color="B4C6E7"/>
            </w:tcBorders>
            <w:shd w:val="clear" w:color="auto" w:fill="auto"/>
            <w:vAlign w:val="center"/>
            <w:hideMark/>
          </w:tcPr>
          <w:p w14:paraId="0E98C65A"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341.4</w:t>
            </w:r>
          </w:p>
        </w:tc>
        <w:tc>
          <w:tcPr>
            <w:tcW w:w="940" w:type="dxa"/>
            <w:tcBorders>
              <w:top w:val="nil"/>
              <w:left w:val="nil"/>
              <w:bottom w:val="single" w:sz="8" w:space="0" w:color="B4C6E7"/>
              <w:right w:val="single" w:sz="8" w:space="0" w:color="B4C6E7"/>
            </w:tcBorders>
            <w:shd w:val="clear" w:color="auto" w:fill="auto"/>
            <w:vAlign w:val="center"/>
            <w:hideMark/>
          </w:tcPr>
          <w:p w14:paraId="15FE263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520BE1D1"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2CE2FBB9"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r>
      <w:tr w:rsidR="00B7540A" w:rsidRPr="00586097" w14:paraId="7E0FC0DC"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13A8A91B"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486C2ABA"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78B00B11"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7.1%</w:t>
            </w:r>
          </w:p>
        </w:tc>
        <w:tc>
          <w:tcPr>
            <w:tcW w:w="940" w:type="dxa"/>
            <w:tcBorders>
              <w:top w:val="nil"/>
              <w:left w:val="nil"/>
              <w:bottom w:val="single" w:sz="8" w:space="0" w:color="B4C6E7"/>
              <w:right w:val="single" w:sz="8" w:space="0" w:color="B4C6E7"/>
            </w:tcBorders>
            <w:shd w:val="clear" w:color="auto" w:fill="auto"/>
            <w:vAlign w:val="center"/>
            <w:hideMark/>
          </w:tcPr>
          <w:p w14:paraId="14A581CA"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5.30%</w:t>
            </w:r>
          </w:p>
        </w:tc>
        <w:tc>
          <w:tcPr>
            <w:tcW w:w="940" w:type="dxa"/>
            <w:tcBorders>
              <w:top w:val="nil"/>
              <w:left w:val="nil"/>
              <w:bottom w:val="single" w:sz="8" w:space="0" w:color="B4C6E7"/>
              <w:right w:val="single" w:sz="8" w:space="0" w:color="B4C6E7"/>
            </w:tcBorders>
            <w:shd w:val="clear" w:color="auto" w:fill="auto"/>
            <w:vAlign w:val="center"/>
            <w:hideMark/>
          </w:tcPr>
          <w:p w14:paraId="2C70EA8A"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02E286E7"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noWrap/>
            <w:vAlign w:val="center"/>
            <w:hideMark/>
          </w:tcPr>
          <w:p w14:paraId="475E0C6E"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r>
      <w:tr w:rsidR="00B7540A" w:rsidRPr="00586097" w14:paraId="3219DB91" w14:textId="77777777" w:rsidTr="00B7540A">
        <w:trPr>
          <w:trHeight w:val="315"/>
        </w:trPr>
        <w:tc>
          <w:tcPr>
            <w:tcW w:w="1360" w:type="dxa"/>
            <w:vMerge w:val="restart"/>
            <w:tcBorders>
              <w:top w:val="nil"/>
              <w:left w:val="single" w:sz="8" w:space="0" w:color="B4C6E7"/>
              <w:bottom w:val="single" w:sz="8" w:space="0" w:color="B4C6E7"/>
              <w:right w:val="single" w:sz="8" w:space="0" w:color="B4C6E7"/>
            </w:tcBorders>
            <w:shd w:val="clear" w:color="auto" w:fill="auto"/>
            <w:vAlign w:val="center"/>
            <w:hideMark/>
          </w:tcPr>
          <w:p w14:paraId="3D66B427" w14:textId="77777777" w:rsidR="00B7540A" w:rsidRPr="00586097" w:rsidRDefault="00B7540A" w:rsidP="00B7540A">
            <w:pPr>
              <w:spacing w:before="0" w:after="0" w:line="276" w:lineRule="auto"/>
              <w:ind w:firstLine="0"/>
              <w:jc w:val="center"/>
              <w:rPr>
                <w:rFonts w:cs="Calibri"/>
                <w:color w:val="000000"/>
              </w:rPr>
            </w:pPr>
            <w:r w:rsidRPr="00586097">
              <w:rPr>
                <w:rFonts w:cs="Calibri"/>
                <w:color w:val="000000"/>
              </w:rPr>
              <w:t>2021</w:t>
            </w:r>
          </w:p>
        </w:tc>
        <w:tc>
          <w:tcPr>
            <w:tcW w:w="3220" w:type="dxa"/>
            <w:tcBorders>
              <w:top w:val="nil"/>
              <w:left w:val="nil"/>
              <w:bottom w:val="single" w:sz="8" w:space="0" w:color="B4C6E7"/>
              <w:right w:val="single" w:sz="8" w:space="0" w:color="B4C6E7"/>
            </w:tcBorders>
            <w:shd w:val="clear" w:color="auto" w:fill="auto"/>
            <w:noWrap/>
            <w:vAlign w:val="center"/>
            <w:hideMark/>
          </w:tcPr>
          <w:p w14:paraId="281A1C4E" w14:textId="77777777" w:rsidR="00B7540A" w:rsidRPr="00586097" w:rsidRDefault="00B7540A" w:rsidP="00B7540A">
            <w:pPr>
              <w:spacing w:before="0" w:after="0" w:line="276" w:lineRule="auto"/>
              <w:ind w:firstLine="0"/>
              <w:rPr>
                <w:rFonts w:cs="Calibri"/>
                <w:color w:val="000000"/>
              </w:rPr>
            </w:pPr>
            <w:r w:rsidRPr="00586097">
              <w:rPr>
                <w:rFonts w:cs="Calibri"/>
                <w:color w:val="000000"/>
              </w:rPr>
              <w:t xml:space="preserve"> ՄԺԾԾ 2022-2024</w:t>
            </w:r>
          </w:p>
        </w:tc>
        <w:tc>
          <w:tcPr>
            <w:tcW w:w="940" w:type="dxa"/>
            <w:tcBorders>
              <w:top w:val="nil"/>
              <w:left w:val="nil"/>
              <w:bottom w:val="single" w:sz="8" w:space="0" w:color="B4C6E7"/>
              <w:right w:val="single" w:sz="8" w:space="0" w:color="B4C6E7"/>
            </w:tcBorders>
            <w:shd w:val="clear" w:color="auto" w:fill="auto"/>
            <w:noWrap/>
            <w:vAlign w:val="center"/>
            <w:hideMark/>
          </w:tcPr>
          <w:p w14:paraId="0CBC918A" w14:textId="77777777" w:rsidR="00B7540A" w:rsidRPr="00586097" w:rsidRDefault="00B7540A" w:rsidP="00B7540A">
            <w:pPr>
              <w:spacing w:before="0" w:after="0" w:line="276" w:lineRule="auto"/>
              <w:ind w:firstLine="0"/>
              <w:jc w:val="right"/>
              <w:rPr>
                <w:rFonts w:cs="Calibri"/>
                <w:color w:val="000000"/>
              </w:rPr>
            </w:pPr>
            <w:r w:rsidRPr="00586097">
              <w:rPr>
                <w:rFonts w:ascii="Calibri" w:hAnsi="Calibri" w:cs="Calibri"/>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39280D43"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318.8</w:t>
            </w:r>
          </w:p>
        </w:tc>
        <w:tc>
          <w:tcPr>
            <w:tcW w:w="940" w:type="dxa"/>
            <w:tcBorders>
              <w:top w:val="nil"/>
              <w:left w:val="nil"/>
              <w:bottom w:val="single" w:sz="8" w:space="0" w:color="B4C6E7"/>
              <w:right w:val="single" w:sz="8" w:space="0" w:color="B4C6E7"/>
            </w:tcBorders>
            <w:shd w:val="clear" w:color="auto" w:fill="auto"/>
            <w:vAlign w:val="center"/>
            <w:hideMark/>
          </w:tcPr>
          <w:p w14:paraId="50918AAC"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181.7</w:t>
            </w:r>
          </w:p>
        </w:tc>
        <w:tc>
          <w:tcPr>
            <w:tcW w:w="940" w:type="dxa"/>
            <w:tcBorders>
              <w:top w:val="nil"/>
              <w:left w:val="nil"/>
              <w:bottom w:val="single" w:sz="8" w:space="0" w:color="B4C6E7"/>
              <w:right w:val="single" w:sz="8" w:space="0" w:color="B4C6E7"/>
            </w:tcBorders>
            <w:shd w:val="clear" w:color="auto" w:fill="auto"/>
            <w:vAlign w:val="center"/>
            <w:hideMark/>
          </w:tcPr>
          <w:p w14:paraId="7A81BF53"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168.8</w:t>
            </w:r>
          </w:p>
        </w:tc>
        <w:tc>
          <w:tcPr>
            <w:tcW w:w="940" w:type="dxa"/>
            <w:tcBorders>
              <w:top w:val="nil"/>
              <w:left w:val="nil"/>
              <w:bottom w:val="single" w:sz="8" w:space="0" w:color="B4C6E7"/>
              <w:right w:val="single" w:sz="8" w:space="0" w:color="B4C6E7"/>
            </w:tcBorders>
            <w:shd w:val="clear" w:color="auto" w:fill="auto"/>
            <w:vAlign w:val="center"/>
            <w:hideMark/>
          </w:tcPr>
          <w:p w14:paraId="5E95C0FF" w14:textId="77777777" w:rsidR="00B7540A" w:rsidRPr="00586097" w:rsidRDefault="00B7540A" w:rsidP="00B7540A">
            <w:pPr>
              <w:spacing w:before="0" w:after="0" w:line="276" w:lineRule="auto"/>
              <w:ind w:firstLine="0"/>
              <w:jc w:val="right"/>
              <w:rPr>
                <w:rFonts w:cs="Calibri"/>
                <w:color w:val="000000"/>
              </w:rPr>
            </w:pPr>
            <w:r w:rsidRPr="00586097">
              <w:rPr>
                <w:rFonts w:cs="Calibri"/>
                <w:color w:val="000000"/>
              </w:rPr>
              <w:t>163.7</w:t>
            </w:r>
          </w:p>
        </w:tc>
      </w:tr>
      <w:tr w:rsidR="00B7540A" w:rsidRPr="00586097" w14:paraId="7FDF6552" w14:textId="77777777" w:rsidTr="00B7540A">
        <w:trPr>
          <w:trHeight w:val="315"/>
        </w:trPr>
        <w:tc>
          <w:tcPr>
            <w:tcW w:w="1360" w:type="dxa"/>
            <w:vMerge/>
            <w:tcBorders>
              <w:top w:val="nil"/>
              <w:left w:val="single" w:sz="8" w:space="0" w:color="B4C6E7"/>
              <w:bottom w:val="single" w:sz="8" w:space="0" w:color="B4C6E7"/>
              <w:right w:val="single" w:sz="8" w:space="0" w:color="B4C6E7"/>
            </w:tcBorders>
            <w:vAlign w:val="center"/>
            <w:hideMark/>
          </w:tcPr>
          <w:p w14:paraId="250916DB" w14:textId="77777777" w:rsidR="00B7540A" w:rsidRPr="00586097" w:rsidRDefault="00B7540A" w:rsidP="00B7540A">
            <w:pPr>
              <w:spacing w:before="0" w:after="0" w:line="276" w:lineRule="auto"/>
              <w:ind w:firstLine="0"/>
              <w:jc w:val="left"/>
              <w:rPr>
                <w:rFonts w:cs="Calibri"/>
                <w:color w:val="000000"/>
              </w:rPr>
            </w:pPr>
          </w:p>
        </w:tc>
        <w:tc>
          <w:tcPr>
            <w:tcW w:w="3220" w:type="dxa"/>
            <w:tcBorders>
              <w:top w:val="nil"/>
              <w:left w:val="nil"/>
              <w:bottom w:val="single" w:sz="8" w:space="0" w:color="B4C6E7"/>
              <w:right w:val="single" w:sz="8" w:space="0" w:color="B4C6E7"/>
            </w:tcBorders>
            <w:shd w:val="clear" w:color="auto" w:fill="auto"/>
            <w:vAlign w:val="center"/>
            <w:hideMark/>
          </w:tcPr>
          <w:p w14:paraId="68BE867B" w14:textId="77777777" w:rsidR="00B7540A" w:rsidRPr="00586097" w:rsidRDefault="00B7540A" w:rsidP="00B7540A">
            <w:pPr>
              <w:spacing w:before="0" w:after="0" w:line="276" w:lineRule="auto"/>
              <w:ind w:firstLine="0"/>
              <w:rPr>
                <w:rFonts w:cs="Calibri"/>
                <w:i/>
                <w:iCs/>
                <w:color w:val="000000"/>
              </w:rPr>
            </w:pPr>
            <w:r w:rsidRPr="00586097">
              <w:rPr>
                <w:rFonts w:cs="Calibri"/>
                <w:i/>
                <w:iCs/>
                <w:color w:val="000000"/>
              </w:rPr>
              <w:t>%-ով՝ ՀՆԱ-ի նկատմամբ</w:t>
            </w:r>
          </w:p>
        </w:tc>
        <w:tc>
          <w:tcPr>
            <w:tcW w:w="940" w:type="dxa"/>
            <w:tcBorders>
              <w:top w:val="nil"/>
              <w:left w:val="nil"/>
              <w:bottom w:val="single" w:sz="8" w:space="0" w:color="B4C6E7"/>
              <w:right w:val="single" w:sz="8" w:space="0" w:color="B4C6E7"/>
            </w:tcBorders>
            <w:shd w:val="clear" w:color="auto" w:fill="auto"/>
            <w:noWrap/>
            <w:vAlign w:val="center"/>
            <w:hideMark/>
          </w:tcPr>
          <w:p w14:paraId="7039FBFD" w14:textId="77777777" w:rsidR="00B7540A" w:rsidRPr="00586097" w:rsidRDefault="00B7540A" w:rsidP="00B7540A">
            <w:pPr>
              <w:spacing w:before="0" w:after="0" w:line="276" w:lineRule="auto"/>
              <w:ind w:firstLine="0"/>
              <w:jc w:val="right"/>
              <w:rPr>
                <w:rFonts w:cs="Calibri"/>
                <w:i/>
                <w:iCs/>
                <w:color w:val="000000"/>
              </w:rPr>
            </w:pPr>
            <w:r w:rsidRPr="00586097">
              <w:rPr>
                <w:rFonts w:ascii="Calibri" w:hAnsi="Calibri" w:cs="Calibri"/>
                <w:i/>
                <w:iCs/>
                <w:color w:val="000000"/>
              </w:rPr>
              <w:t> </w:t>
            </w:r>
          </w:p>
        </w:tc>
        <w:tc>
          <w:tcPr>
            <w:tcW w:w="940" w:type="dxa"/>
            <w:tcBorders>
              <w:top w:val="nil"/>
              <w:left w:val="nil"/>
              <w:bottom w:val="single" w:sz="8" w:space="0" w:color="B4C6E7"/>
              <w:right w:val="single" w:sz="8" w:space="0" w:color="B4C6E7"/>
            </w:tcBorders>
            <w:shd w:val="clear" w:color="auto" w:fill="auto"/>
            <w:vAlign w:val="center"/>
            <w:hideMark/>
          </w:tcPr>
          <w:p w14:paraId="7B851AE8"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4.6%</w:t>
            </w:r>
          </w:p>
        </w:tc>
        <w:tc>
          <w:tcPr>
            <w:tcW w:w="940" w:type="dxa"/>
            <w:tcBorders>
              <w:top w:val="nil"/>
              <w:left w:val="nil"/>
              <w:bottom w:val="single" w:sz="8" w:space="0" w:color="B4C6E7"/>
              <w:right w:val="single" w:sz="8" w:space="0" w:color="B4C6E7"/>
            </w:tcBorders>
            <w:shd w:val="clear" w:color="auto" w:fill="auto"/>
            <w:vAlign w:val="center"/>
            <w:hideMark/>
          </w:tcPr>
          <w:p w14:paraId="3C663C2E"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2.4%</w:t>
            </w:r>
          </w:p>
        </w:tc>
        <w:tc>
          <w:tcPr>
            <w:tcW w:w="940" w:type="dxa"/>
            <w:tcBorders>
              <w:top w:val="nil"/>
              <w:left w:val="nil"/>
              <w:bottom w:val="single" w:sz="8" w:space="0" w:color="B4C6E7"/>
              <w:right w:val="single" w:sz="8" w:space="0" w:color="B4C6E7"/>
            </w:tcBorders>
            <w:shd w:val="clear" w:color="auto" w:fill="auto"/>
            <w:vAlign w:val="center"/>
            <w:hideMark/>
          </w:tcPr>
          <w:p w14:paraId="391F7AF7"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2.1%</w:t>
            </w:r>
          </w:p>
        </w:tc>
        <w:tc>
          <w:tcPr>
            <w:tcW w:w="940" w:type="dxa"/>
            <w:tcBorders>
              <w:top w:val="nil"/>
              <w:left w:val="nil"/>
              <w:bottom w:val="single" w:sz="8" w:space="0" w:color="B4C6E7"/>
              <w:right w:val="single" w:sz="8" w:space="0" w:color="B4C6E7"/>
            </w:tcBorders>
            <w:shd w:val="clear" w:color="auto" w:fill="auto"/>
            <w:vAlign w:val="center"/>
            <w:hideMark/>
          </w:tcPr>
          <w:p w14:paraId="07BD2FCC" w14:textId="77777777" w:rsidR="00B7540A" w:rsidRPr="00586097" w:rsidRDefault="00B7540A" w:rsidP="00B7540A">
            <w:pPr>
              <w:spacing w:before="0" w:after="0" w:line="276" w:lineRule="auto"/>
              <w:ind w:firstLine="0"/>
              <w:jc w:val="right"/>
              <w:rPr>
                <w:rFonts w:cs="Calibri"/>
                <w:i/>
                <w:iCs/>
                <w:color w:val="000000"/>
              </w:rPr>
            </w:pPr>
            <w:r w:rsidRPr="00586097">
              <w:rPr>
                <w:rFonts w:cs="Calibri"/>
                <w:i/>
                <w:iCs/>
                <w:color w:val="000000"/>
              </w:rPr>
              <w:t>1.9%</w:t>
            </w:r>
          </w:p>
        </w:tc>
      </w:tr>
    </w:tbl>
    <w:p w14:paraId="383EEE2E" w14:textId="77777777" w:rsidR="00B7540A" w:rsidRPr="00586097" w:rsidRDefault="00B7540A" w:rsidP="00B7540A">
      <w:pPr>
        <w:spacing w:line="276" w:lineRule="auto"/>
      </w:pPr>
      <w:bookmarkStart w:id="493" w:name="_Toc77254391"/>
    </w:p>
    <w:p w14:paraId="61442A0F" w14:textId="77777777" w:rsidR="00B7540A" w:rsidRPr="00586097" w:rsidRDefault="00B7540A" w:rsidP="00B7540A">
      <w:pPr>
        <w:spacing w:line="276" w:lineRule="auto"/>
      </w:pPr>
    </w:p>
    <w:bookmarkEnd w:id="480"/>
    <w:bookmarkEnd w:id="493"/>
    <w:p w14:paraId="0F0E6901" w14:textId="77777777" w:rsidR="00B7540A" w:rsidRPr="00586097" w:rsidRDefault="00B7540A" w:rsidP="00B7540A">
      <w:pPr>
        <w:spacing w:line="276" w:lineRule="auto"/>
      </w:pPr>
    </w:p>
    <w:p w14:paraId="36DEFFE4" w14:textId="77777777" w:rsidR="00DA0E15" w:rsidRDefault="00DA0E15">
      <w:pPr>
        <w:spacing w:before="0" w:after="200" w:line="276" w:lineRule="auto"/>
        <w:ind w:firstLine="0"/>
        <w:jc w:val="left"/>
        <w:rPr>
          <w:lang w:val="hy-AM"/>
        </w:rPr>
      </w:pPr>
      <w:bookmarkStart w:id="494" w:name="_Toc296702357"/>
      <w:bookmarkStart w:id="495" w:name="_Toc45838538"/>
      <w:bookmarkStart w:id="496" w:name="_Toc13837290"/>
      <w:bookmarkStart w:id="497" w:name="_Toc519513632"/>
      <w:bookmarkEnd w:id="0"/>
      <w:bookmarkEnd w:id="118"/>
      <w:bookmarkEnd w:id="173"/>
    </w:p>
    <w:p w14:paraId="240B8DF8" w14:textId="77777777" w:rsidR="00B11AEF" w:rsidRDefault="00B11AEF" w:rsidP="00B11AEF">
      <w:pPr>
        <w:pStyle w:val="Heading2"/>
        <w:rPr>
          <w:sz w:val="28"/>
          <w:szCs w:val="28"/>
        </w:rPr>
      </w:pPr>
      <w:bookmarkStart w:id="498" w:name="_Toc519513624"/>
      <w:bookmarkStart w:id="499" w:name="_Toc13837282"/>
      <w:bookmarkStart w:id="500" w:name="_Toc45838528"/>
      <w:bookmarkStart w:id="501" w:name="_Toc77356415"/>
      <w:bookmarkStart w:id="502" w:name="_Toc77837858"/>
      <w:r w:rsidRPr="00430040">
        <w:rPr>
          <w:sz w:val="28"/>
          <w:szCs w:val="28"/>
          <w:lang w:val="hy-AM"/>
        </w:rPr>
        <w:t xml:space="preserve">ԳԼՈՒԽ 3. </w:t>
      </w:r>
      <w:r>
        <w:rPr>
          <w:sz w:val="28"/>
          <w:szCs w:val="28"/>
        </w:rPr>
        <w:t>ՀՀ 202</w:t>
      </w:r>
      <w:r>
        <w:rPr>
          <w:sz w:val="28"/>
          <w:szCs w:val="28"/>
          <w:lang w:val="hy-AM"/>
        </w:rPr>
        <w:t>2</w:t>
      </w:r>
      <w:r>
        <w:rPr>
          <w:sz w:val="28"/>
          <w:szCs w:val="28"/>
        </w:rPr>
        <w:t>–202</w:t>
      </w:r>
      <w:r>
        <w:rPr>
          <w:sz w:val="28"/>
          <w:szCs w:val="28"/>
          <w:lang w:val="hy-AM"/>
        </w:rPr>
        <w:t>4</w:t>
      </w:r>
      <w:r>
        <w:rPr>
          <w:sz w:val="28"/>
          <w:szCs w:val="28"/>
        </w:rPr>
        <w:t>ԹԹ ՊԵՏԱԿԱՆ ԲՅՈՒՋԵՆԵՐԻ ԵԿԱՄՈՒՏՆԵՐԻ ՔԱՂԱՔԱԿԱՆՈՒԹՅՈՒՆ ԵՎ ԿԱՆԽԱՏԵՍՈՒՄ</w:t>
      </w:r>
      <w:bookmarkEnd w:id="498"/>
      <w:bookmarkEnd w:id="499"/>
      <w:bookmarkEnd w:id="500"/>
      <w:bookmarkEnd w:id="501"/>
      <w:bookmarkEnd w:id="502"/>
    </w:p>
    <w:p w14:paraId="6A522926" w14:textId="77777777" w:rsidR="00B11AEF" w:rsidRPr="005F6ECD" w:rsidRDefault="00B11AEF" w:rsidP="00B11AEF">
      <w:pPr>
        <w:pStyle w:val="Heading3"/>
        <w:rPr>
          <w:rFonts w:eastAsia="Times New Roman" w:cs="Times New Roman"/>
          <w:caps w:val="0"/>
          <w:color w:val="1F497D" w:themeColor="text2"/>
          <w:sz w:val="28"/>
          <w:szCs w:val="28"/>
        </w:rPr>
      </w:pPr>
      <w:bookmarkStart w:id="503" w:name="_Toc77356416"/>
      <w:bookmarkStart w:id="504" w:name="_Toc77837859"/>
      <w:r w:rsidRPr="005F6ECD">
        <w:rPr>
          <w:rFonts w:eastAsia="Times New Roman" w:cs="Times New Roman"/>
          <w:caps w:val="0"/>
          <w:color w:val="1F497D" w:themeColor="text2"/>
          <w:sz w:val="28"/>
          <w:szCs w:val="28"/>
        </w:rPr>
        <w:t>3.1</w:t>
      </w:r>
      <w:r>
        <w:rPr>
          <w:rFonts w:eastAsia="Times New Roman" w:cs="Times New Roman"/>
          <w:caps w:val="0"/>
          <w:color w:val="1F497D" w:themeColor="text2"/>
          <w:sz w:val="28"/>
          <w:szCs w:val="28"/>
        </w:rPr>
        <w:t>.</w:t>
      </w:r>
      <w:r w:rsidRPr="005F6ECD">
        <w:rPr>
          <w:rFonts w:eastAsia="Times New Roman" w:cs="Times New Roman"/>
          <w:caps w:val="0"/>
          <w:color w:val="1F497D" w:themeColor="text2"/>
          <w:sz w:val="28"/>
          <w:szCs w:val="28"/>
        </w:rPr>
        <w:t xml:space="preserve"> </w:t>
      </w:r>
      <w:bookmarkStart w:id="505" w:name="_Toc519513625"/>
      <w:bookmarkStart w:id="506" w:name="_Toc13837283"/>
      <w:bookmarkStart w:id="507" w:name="_Toc45838529"/>
      <w:r w:rsidRPr="005F6ECD">
        <w:rPr>
          <w:rFonts w:eastAsia="Times New Roman" w:cs="Times New Roman"/>
          <w:caps w:val="0"/>
          <w:color w:val="1F497D" w:themeColor="text2"/>
          <w:sz w:val="28"/>
          <w:szCs w:val="28"/>
        </w:rPr>
        <w:t>ՊԵՏԱԿԱՆ ԵԿԱՄՈՒՏՆԵՐԻ ՔԱՂԱՔԱԿԱՆՈՒԹՅԱՆ ՀԻՄՆԱԿԱՆ ԱՌԱՆՁՆԱՀԱՏԿՈՒԹՅՈՒՆՆԵՐԸ 202</w:t>
      </w:r>
      <w:r>
        <w:rPr>
          <w:rFonts w:eastAsia="Times New Roman" w:cs="Times New Roman"/>
          <w:caps w:val="0"/>
          <w:color w:val="1F497D" w:themeColor="text2"/>
          <w:sz w:val="28"/>
          <w:szCs w:val="28"/>
        </w:rPr>
        <w:t>2</w:t>
      </w:r>
      <w:r w:rsidRPr="005F6ECD">
        <w:rPr>
          <w:rFonts w:eastAsia="Times New Roman" w:cs="Times New Roman"/>
          <w:caps w:val="0"/>
          <w:color w:val="1F497D" w:themeColor="text2"/>
          <w:sz w:val="28"/>
          <w:szCs w:val="28"/>
        </w:rPr>
        <w:t>-202</w:t>
      </w:r>
      <w:r>
        <w:rPr>
          <w:rFonts w:eastAsia="Times New Roman" w:cs="Times New Roman"/>
          <w:caps w:val="0"/>
          <w:color w:val="1F497D" w:themeColor="text2"/>
          <w:sz w:val="28"/>
          <w:szCs w:val="28"/>
        </w:rPr>
        <w:t>4</w:t>
      </w:r>
      <w:r w:rsidRPr="005F6ECD">
        <w:rPr>
          <w:rFonts w:eastAsia="Times New Roman" w:cs="Times New Roman"/>
          <w:caps w:val="0"/>
          <w:color w:val="1F497D" w:themeColor="text2"/>
          <w:sz w:val="28"/>
          <w:szCs w:val="28"/>
        </w:rPr>
        <w:t xml:space="preserve"> ԹՎԱԿԱՆՆԵՐԻՆ</w:t>
      </w:r>
      <w:bookmarkEnd w:id="503"/>
      <w:bookmarkEnd w:id="504"/>
      <w:bookmarkEnd w:id="505"/>
      <w:bookmarkEnd w:id="506"/>
      <w:bookmarkEnd w:id="507"/>
    </w:p>
    <w:p w14:paraId="6D0190A3" w14:textId="77777777" w:rsidR="00B11AEF" w:rsidRPr="003C716D" w:rsidRDefault="00B11AEF" w:rsidP="00B11AEF">
      <w:pPr>
        <w:spacing w:line="276" w:lineRule="auto"/>
        <w:ind w:firstLine="426"/>
        <w:rPr>
          <w:rFonts w:cs="Sylfaen"/>
          <w:iCs/>
          <w:lang w:val="af-ZA" w:eastAsia="en-GB"/>
        </w:rPr>
      </w:pPr>
      <w:r w:rsidRPr="003C716D">
        <w:rPr>
          <w:rFonts w:cs="Sylfaen"/>
          <w:iCs/>
          <w:lang w:val="af-ZA" w:eastAsia="en-GB"/>
        </w:rPr>
        <w:t xml:space="preserve">ՄԺԾԾ առանցքային հարցերից են պետական եկամուտների քաղաքականության </w:t>
      </w:r>
      <w:r>
        <w:rPr>
          <w:rFonts w:cs="Sylfaen"/>
          <w:iCs/>
          <w:lang w:val="hy-AM" w:eastAsia="en-GB"/>
        </w:rPr>
        <w:t>ուղղությունները</w:t>
      </w:r>
      <w:r w:rsidRPr="003C716D">
        <w:rPr>
          <w:rFonts w:cs="Sylfaen"/>
          <w:iCs/>
          <w:lang w:val="af-ZA" w:eastAsia="en-GB"/>
        </w:rPr>
        <w:t xml:space="preserve"> և դրանց կանխատեսելիությունը միջնաժամկետ հեռանկարում: Պետական ծախ</w:t>
      </w:r>
      <w:r w:rsidRPr="003C716D">
        <w:rPr>
          <w:rFonts w:cs="Sylfaen"/>
          <w:iCs/>
          <w:lang w:val="af-ZA" w:eastAsia="en-GB"/>
        </w:rPr>
        <w:softHyphen/>
        <w:t>սե</w:t>
      </w:r>
      <w:r w:rsidRPr="003C716D">
        <w:rPr>
          <w:rFonts w:cs="Sylfaen"/>
          <w:iCs/>
          <w:lang w:val="af-ZA" w:eastAsia="en-GB"/>
        </w:rPr>
        <w:softHyphen/>
        <w:t>րը ներքին ֆի</w:t>
      </w:r>
      <w:r w:rsidRPr="003C716D">
        <w:rPr>
          <w:rFonts w:cs="Sylfaen"/>
          <w:iCs/>
          <w:lang w:val="af-ZA" w:eastAsia="en-GB"/>
        </w:rPr>
        <w:softHyphen/>
        <w:t>նան</w:t>
      </w:r>
      <w:r w:rsidRPr="003C716D">
        <w:rPr>
          <w:rFonts w:cs="Sylfaen"/>
          <w:iCs/>
          <w:lang w:val="af-ZA" w:eastAsia="en-GB"/>
        </w:rPr>
        <w:softHyphen/>
        <w:t>սական ռե</w:t>
      </w:r>
      <w:r w:rsidRPr="003C716D">
        <w:rPr>
          <w:rFonts w:cs="Sylfaen"/>
          <w:iCs/>
          <w:lang w:val="af-ZA" w:eastAsia="en-GB"/>
        </w:rPr>
        <w:softHyphen/>
        <w:t>սուրս</w:t>
      </w:r>
      <w:r w:rsidRPr="003C716D">
        <w:rPr>
          <w:rFonts w:cs="Sylfaen"/>
          <w:iCs/>
          <w:lang w:val="af-ZA" w:eastAsia="en-GB"/>
        </w:rPr>
        <w:softHyphen/>
      </w:r>
      <w:r w:rsidRPr="003C716D">
        <w:rPr>
          <w:rFonts w:cs="Sylfaen"/>
          <w:iCs/>
          <w:lang w:val="af-ZA" w:eastAsia="en-GB"/>
        </w:rPr>
        <w:softHyphen/>
        <w:t>ներով ապահովելու պահանջը, ինչպես և նախորդ տարիներին, պե</w:t>
      </w:r>
      <w:r w:rsidRPr="003C716D">
        <w:rPr>
          <w:rFonts w:cs="Sylfaen"/>
          <w:iCs/>
          <w:lang w:val="af-ZA" w:eastAsia="en-GB"/>
        </w:rPr>
        <w:softHyphen/>
      </w:r>
      <w:r w:rsidRPr="003C716D">
        <w:rPr>
          <w:rFonts w:cs="Sylfaen"/>
          <w:iCs/>
          <w:lang w:val="af-ZA" w:eastAsia="en-GB"/>
        </w:rPr>
        <w:softHyphen/>
      </w:r>
      <w:r w:rsidRPr="003C716D">
        <w:rPr>
          <w:rFonts w:cs="Sylfaen"/>
          <w:iCs/>
          <w:lang w:val="af-ZA" w:eastAsia="en-GB"/>
        </w:rPr>
        <w:softHyphen/>
        <w:t>տա</w:t>
      </w:r>
      <w:r w:rsidRPr="003C716D">
        <w:rPr>
          <w:rFonts w:cs="Sylfaen"/>
          <w:iCs/>
          <w:lang w:val="af-ZA" w:eastAsia="en-GB"/>
        </w:rPr>
        <w:softHyphen/>
        <w:t>կան եկա</w:t>
      </w:r>
      <w:r w:rsidRPr="003C716D">
        <w:rPr>
          <w:rFonts w:cs="Sylfaen"/>
          <w:iCs/>
          <w:lang w:val="af-ZA" w:eastAsia="en-GB"/>
        </w:rPr>
        <w:softHyphen/>
      </w:r>
      <w:r w:rsidRPr="003C716D">
        <w:rPr>
          <w:rFonts w:cs="Sylfaen"/>
          <w:iCs/>
          <w:lang w:val="af-ZA" w:eastAsia="en-GB"/>
        </w:rPr>
        <w:softHyphen/>
        <w:t>մուտների քաղա</w:t>
      </w:r>
      <w:r w:rsidRPr="003C716D">
        <w:rPr>
          <w:rFonts w:cs="Sylfaen"/>
          <w:iCs/>
          <w:lang w:val="af-ZA" w:eastAsia="en-GB"/>
        </w:rPr>
        <w:softHyphen/>
        <w:t>քա</w:t>
      </w:r>
      <w:r w:rsidRPr="003C716D">
        <w:rPr>
          <w:rFonts w:cs="Sylfaen"/>
          <w:iCs/>
          <w:lang w:val="af-ZA" w:eastAsia="en-GB"/>
        </w:rPr>
        <w:softHyphen/>
        <w:t>կա</w:t>
      </w:r>
      <w:r w:rsidRPr="003C716D">
        <w:rPr>
          <w:rFonts w:cs="Sylfaen"/>
          <w:iCs/>
          <w:lang w:val="af-ZA" w:eastAsia="en-GB"/>
        </w:rPr>
        <w:softHyphen/>
        <w:t>նության հիմնական խնդիրն է, որի լուծումը ՀՀ կառավարության</w:t>
      </w:r>
      <w:r>
        <w:rPr>
          <w:rFonts w:cs="Sylfaen"/>
          <w:iCs/>
          <w:lang w:val="hy-AM" w:eastAsia="en-GB"/>
        </w:rPr>
        <w:t>ը</w:t>
      </w:r>
      <w:r w:rsidRPr="003C716D">
        <w:rPr>
          <w:rFonts w:cs="Sylfaen"/>
          <w:iCs/>
          <w:lang w:val="af-ZA" w:eastAsia="en-GB"/>
        </w:rPr>
        <w:t xml:space="preserve"> հնարավո</w:t>
      </w:r>
      <w:r w:rsidRPr="003C716D">
        <w:rPr>
          <w:rFonts w:cs="Sylfaen"/>
          <w:iCs/>
          <w:lang w:val="af-ZA" w:eastAsia="en-GB"/>
        </w:rPr>
        <w:softHyphen/>
        <w:t>րություն է ընձեռում ի հաշիվ սե</w:t>
      </w:r>
      <w:r w:rsidRPr="003C716D">
        <w:rPr>
          <w:rFonts w:cs="Sylfaen"/>
          <w:iCs/>
          <w:lang w:val="af-ZA" w:eastAsia="en-GB"/>
        </w:rPr>
        <w:softHyphen/>
        <w:t>փա</w:t>
      </w:r>
      <w:r w:rsidRPr="003C716D">
        <w:rPr>
          <w:rFonts w:cs="Sylfaen"/>
          <w:iCs/>
          <w:lang w:val="af-ZA" w:eastAsia="en-GB"/>
        </w:rPr>
        <w:softHyphen/>
        <w:t>կան ռեսուրսների իրականացնել արդ</w:t>
      </w:r>
      <w:r w:rsidRPr="003C716D">
        <w:rPr>
          <w:rFonts w:cs="Sylfaen"/>
          <w:iCs/>
          <w:lang w:val="af-ZA" w:eastAsia="en-GB"/>
        </w:rPr>
        <w:softHyphen/>
        <w:t>յու</w:t>
      </w:r>
      <w:r w:rsidRPr="003C716D">
        <w:rPr>
          <w:rFonts w:cs="Sylfaen"/>
          <w:iCs/>
          <w:lang w:val="af-ZA" w:eastAsia="en-GB"/>
        </w:rPr>
        <w:softHyphen/>
        <w:t>նա</w:t>
      </w:r>
      <w:r w:rsidRPr="003C716D">
        <w:rPr>
          <w:rFonts w:cs="Sylfaen"/>
          <w:iCs/>
          <w:lang w:val="af-ZA" w:eastAsia="en-GB"/>
        </w:rPr>
        <w:softHyphen/>
      </w:r>
      <w:r w:rsidRPr="003C716D">
        <w:rPr>
          <w:rFonts w:cs="Sylfaen"/>
          <w:iCs/>
          <w:lang w:val="af-ZA" w:eastAsia="en-GB"/>
        </w:rPr>
        <w:softHyphen/>
        <w:t>վետ ծախ</w:t>
      </w:r>
      <w:r w:rsidRPr="003C716D">
        <w:rPr>
          <w:rFonts w:cs="Sylfaen"/>
          <w:iCs/>
          <w:lang w:val="af-ZA" w:eastAsia="en-GB"/>
        </w:rPr>
        <w:softHyphen/>
        <w:t>սային քաղաքականություն: Այս թիրախի հա</w:t>
      </w:r>
      <w:r w:rsidRPr="003C716D">
        <w:rPr>
          <w:rFonts w:cs="Sylfaen"/>
          <w:iCs/>
          <w:lang w:val="af-ZA" w:eastAsia="en-GB"/>
        </w:rPr>
        <w:softHyphen/>
        <w:t>սանելիության տե</w:t>
      </w:r>
      <w:r w:rsidRPr="003C716D">
        <w:rPr>
          <w:rFonts w:cs="Sylfaen"/>
          <w:iCs/>
          <w:lang w:val="af-ZA" w:eastAsia="en-GB"/>
        </w:rPr>
        <w:softHyphen/>
        <w:t>սանկ</w:t>
      </w:r>
      <w:r w:rsidRPr="003C716D">
        <w:rPr>
          <w:rFonts w:cs="Sylfaen"/>
          <w:iCs/>
          <w:lang w:val="af-ZA" w:eastAsia="en-GB"/>
        </w:rPr>
        <w:softHyphen/>
        <w:t>յու</w:t>
      </w:r>
      <w:r w:rsidRPr="003C716D">
        <w:rPr>
          <w:rFonts w:cs="Sylfaen"/>
          <w:iCs/>
          <w:lang w:val="af-ZA" w:eastAsia="en-GB"/>
        </w:rPr>
        <w:softHyphen/>
        <w:t>նից առավել ընդ</w:t>
      </w:r>
      <w:r w:rsidRPr="003C716D">
        <w:rPr>
          <w:rFonts w:cs="Sylfaen"/>
          <w:iCs/>
          <w:lang w:val="af-ZA" w:eastAsia="en-GB"/>
        </w:rPr>
        <w:softHyphen/>
        <w:t>գծ</w:t>
      </w:r>
      <w:r w:rsidRPr="003C716D">
        <w:rPr>
          <w:rFonts w:cs="Sylfaen"/>
          <w:iCs/>
          <w:lang w:val="af-ZA" w:eastAsia="en-GB"/>
        </w:rPr>
        <w:softHyphen/>
        <w:t xml:space="preserve">վում է հարկային քաղաքականության դերը: </w:t>
      </w:r>
    </w:p>
    <w:p w14:paraId="7016A463" w14:textId="77777777" w:rsidR="00B11AEF" w:rsidRPr="003C716D" w:rsidRDefault="00B11AEF" w:rsidP="00B11AEF">
      <w:pPr>
        <w:spacing w:line="276" w:lineRule="auto"/>
        <w:ind w:firstLine="0"/>
        <w:rPr>
          <w:rFonts w:cs="Sylfaen"/>
          <w:iCs/>
          <w:lang w:val="af-ZA" w:eastAsia="en-GB"/>
        </w:rPr>
      </w:pPr>
      <w:r w:rsidRPr="003C716D">
        <w:rPr>
          <w:rFonts w:cs="Sylfaen"/>
          <w:iCs/>
          <w:lang w:val="af-ZA" w:eastAsia="en-GB"/>
        </w:rPr>
        <w:t xml:space="preserve">Հարկային եկամուտների </w:t>
      </w:r>
      <w:r>
        <w:rPr>
          <w:rFonts w:cs="Sylfaen"/>
          <w:iCs/>
          <w:lang w:val="hy-AM" w:eastAsia="en-GB"/>
        </w:rPr>
        <w:t>չափը</w:t>
      </w:r>
      <w:r w:rsidRPr="003C716D">
        <w:rPr>
          <w:rFonts w:cs="Sylfaen"/>
          <w:iCs/>
          <w:lang w:val="af-ZA" w:eastAsia="en-GB"/>
        </w:rPr>
        <w:t xml:space="preserve"> մե</w:t>
      </w:r>
      <w:r w:rsidRPr="003C716D">
        <w:rPr>
          <w:rFonts w:cs="Sylfaen"/>
          <w:iCs/>
          <w:lang w:val="af-ZA" w:eastAsia="en-GB"/>
        </w:rPr>
        <w:softHyphen/>
        <w:t>ծա</w:t>
      </w:r>
      <w:r w:rsidRPr="003C716D">
        <w:rPr>
          <w:rFonts w:cs="Sylfaen"/>
          <w:iCs/>
          <w:lang w:val="af-ZA" w:eastAsia="en-GB"/>
        </w:rPr>
        <w:softHyphen/>
        <w:t>պես կախվածության մեջ կլինի մի կող</w:t>
      </w:r>
      <w:r w:rsidRPr="003C716D">
        <w:rPr>
          <w:rFonts w:cs="Sylfaen"/>
          <w:iCs/>
          <w:lang w:val="af-ZA" w:eastAsia="en-GB"/>
        </w:rPr>
        <w:softHyphen/>
        <w:t>մից մակրոտնտե</w:t>
      </w:r>
      <w:r w:rsidRPr="003C716D">
        <w:rPr>
          <w:rFonts w:cs="Sylfaen"/>
          <w:iCs/>
          <w:lang w:val="af-ZA" w:eastAsia="en-GB"/>
        </w:rPr>
        <w:softHyphen/>
        <w:t>սական զար</w:t>
      </w:r>
      <w:r w:rsidRPr="003C716D">
        <w:rPr>
          <w:rFonts w:cs="Sylfaen"/>
          <w:iCs/>
          <w:lang w:val="af-ZA" w:eastAsia="en-GB"/>
        </w:rPr>
        <w:softHyphen/>
        <w:t>գացում</w:t>
      </w:r>
      <w:r w:rsidRPr="003C716D">
        <w:rPr>
          <w:rFonts w:cs="Sylfaen"/>
          <w:iCs/>
          <w:lang w:val="af-ZA" w:eastAsia="en-GB"/>
        </w:rPr>
        <w:softHyphen/>
        <w:t>նե</w:t>
      </w:r>
      <w:r w:rsidRPr="003C716D">
        <w:rPr>
          <w:rFonts w:cs="Sylfaen"/>
          <w:iCs/>
          <w:lang w:val="af-ZA" w:eastAsia="en-GB"/>
        </w:rPr>
        <w:softHyphen/>
        <w:t>րի կանխա</w:t>
      </w:r>
      <w:r w:rsidRPr="003C716D">
        <w:rPr>
          <w:rFonts w:cs="Sylfaen"/>
          <w:iCs/>
          <w:lang w:val="af-ZA" w:eastAsia="en-GB"/>
        </w:rPr>
        <w:softHyphen/>
        <w:t>տեսվող և արձանագրվելիք միտումների հա</w:t>
      </w:r>
      <w:r w:rsidRPr="003C716D">
        <w:rPr>
          <w:rFonts w:cs="Sylfaen"/>
          <w:iCs/>
          <w:lang w:val="af-ZA" w:eastAsia="en-GB"/>
        </w:rPr>
        <w:softHyphen/>
        <w:t>մա</w:t>
      </w:r>
      <w:r w:rsidRPr="003C716D">
        <w:rPr>
          <w:rFonts w:cs="Sylfaen"/>
          <w:iCs/>
          <w:lang w:val="af-ZA" w:eastAsia="en-GB"/>
        </w:rPr>
        <w:softHyphen/>
        <w:t>պա</w:t>
      </w:r>
      <w:r w:rsidRPr="003C716D">
        <w:rPr>
          <w:rFonts w:cs="Sylfaen"/>
          <w:iCs/>
          <w:lang w:val="af-ZA" w:eastAsia="en-GB"/>
        </w:rPr>
        <w:softHyphen/>
        <w:t>տասխանու</w:t>
      </w:r>
      <w:r w:rsidRPr="003C716D">
        <w:rPr>
          <w:rFonts w:cs="Sylfaen"/>
          <w:iCs/>
          <w:lang w:val="af-ZA" w:eastAsia="en-GB"/>
        </w:rPr>
        <w:softHyphen/>
        <w:t xml:space="preserve">թյունից, իսկ մյուս կողմից` </w:t>
      </w:r>
      <w:r>
        <w:rPr>
          <w:rFonts w:cs="Sylfaen"/>
          <w:iCs/>
          <w:lang w:val="hy-AM" w:eastAsia="en-GB"/>
        </w:rPr>
        <w:t xml:space="preserve">հարկ վճարողների վարքագծից ու </w:t>
      </w:r>
      <w:r w:rsidRPr="003C716D">
        <w:rPr>
          <w:rFonts w:cs="Sylfaen"/>
          <w:iCs/>
          <w:lang w:val="af-ZA" w:eastAsia="en-GB"/>
        </w:rPr>
        <w:t>ՀՀ կա</w:t>
      </w:r>
      <w:r w:rsidRPr="003C716D">
        <w:rPr>
          <w:rFonts w:cs="Sylfaen"/>
          <w:iCs/>
          <w:lang w:val="af-ZA" w:eastAsia="en-GB"/>
        </w:rPr>
        <w:softHyphen/>
        <w:t>ռա</w:t>
      </w:r>
      <w:r w:rsidRPr="003C716D">
        <w:rPr>
          <w:rFonts w:cs="Sylfaen"/>
          <w:iCs/>
          <w:lang w:val="af-ZA" w:eastAsia="en-GB"/>
        </w:rPr>
        <w:softHyphen/>
        <w:t>վա</w:t>
      </w:r>
      <w:r w:rsidRPr="003C716D">
        <w:rPr>
          <w:rFonts w:cs="Sylfaen"/>
          <w:iCs/>
          <w:lang w:val="af-ZA" w:eastAsia="en-GB"/>
        </w:rPr>
        <w:softHyphen/>
        <w:t>րու</w:t>
      </w:r>
      <w:r w:rsidRPr="003C716D">
        <w:rPr>
          <w:rFonts w:cs="Sylfaen"/>
          <w:iCs/>
          <w:lang w:val="af-ZA" w:eastAsia="en-GB"/>
        </w:rPr>
        <w:softHyphen/>
        <w:t>թյան վար</w:t>
      </w:r>
      <w:r w:rsidRPr="003C716D">
        <w:rPr>
          <w:rFonts w:cs="Sylfaen"/>
          <w:iCs/>
          <w:lang w:val="af-ZA" w:eastAsia="en-GB"/>
        </w:rPr>
        <w:softHyphen/>
        <w:t>չարարական միջոցա</w:t>
      </w:r>
      <w:r w:rsidRPr="003C716D">
        <w:rPr>
          <w:rFonts w:cs="Sylfaen"/>
          <w:iCs/>
          <w:lang w:val="af-ZA" w:eastAsia="en-GB"/>
        </w:rPr>
        <w:softHyphen/>
        <w:t>ռում</w:t>
      </w:r>
      <w:r w:rsidRPr="003C716D">
        <w:rPr>
          <w:rFonts w:cs="Sylfaen"/>
          <w:iCs/>
          <w:lang w:val="af-ZA" w:eastAsia="en-GB"/>
        </w:rPr>
        <w:softHyphen/>
        <w:t>նե</w:t>
      </w:r>
      <w:r w:rsidRPr="003C716D">
        <w:rPr>
          <w:rFonts w:cs="Sylfaen"/>
          <w:iCs/>
          <w:lang w:val="af-ZA" w:eastAsia="en-GB"/>
        </w:rPr>
        <w:softHyphen/>
        <w:t>րի և օրենսդրական փոփոխությունների իրա</w:t>
      </w:r>
      <w:r w:rsidRPr="003C716D">
        <w:rPr>
          <w:rFonts w:cs="Sylfaen"/>
          <w:iCs/>
          <w:lang w:val="af-ZA" w:eastAsia="en-GB"/>
        </w:rPr>
        <w:softHyphen/>
        <w:t>կա</w:t>
      </w:r>
      <w:r w:rsidRPr="003C716D">
        <w:rPr>
          <w:rFonts w:cs="Sylfaen"/>
          <w:iCs/>
          <w:lang w:val="af-ZA" w:eastAsia="en-GB"/>
        </w:rPr>
        <w:softHyphen/>
        <w:t>նացման արդ</w:t>
      </w:r>
      <w:r w:rsidRPr="003C716D">
        <w:rPr>
          <w:rFonts w:cs="Sylfaen"/>
          <w:iCs/>
          <w:lang w:val="af-ZA" w:eastAsia="en-GB"/>
        </w:rPr>
        <w:softHyphen/>
        <w:t>յու</w:t>
      </w:r>
      <w:r w:rsidRPr="003C716D">
        <w:rPr>
          <w:rFonts w:cs="Sylfaen"/>
          <w:iCs/>
          <w:lang w:val="af-ZA" w:eastAsia="en-GB"/>
        </w:rPr>
        <w:softHyphen/>
        <w:t>նա</w:t>
      </w:r>
      <w:r w:rsidRPr="003C716D">
        <w:rPr>
          <w:rFonts w:cs="Sylfaen"/>
          <w:iCs/>
          <w:lang w:val="af-ZA" w:eastAsia="en-GB"/>
        </w:rPr>
        <w:softHyphen/>
        <w:t xml:space="preserve">վետությունից: </w:t>
      </w:r>
    </w:p>
    <w:p w14:paraId="2FAD6ED0" w14:textId="77777777" w:rsidR="00B11AEF" w:rsidRPr="00AA51B2" w:rsidRDefault="00B11AEF" w:rsidP="00B11AEF">
      <w:pPr>
        <w:spacing w:line="276" w:lineRule="auto"/>
        <w:ind w:left="227" w:firstLine="227"/>
        <w:rPr>
          <w:rFonts w:ascii="Cambria Math" w:hAnsi="Cambria Math" w:cs="Sylfaen"/>
          <w:b/>
          <w:bCs/>
          <w:iCs/>
          <w:lang w:val="hy-AM" w:eastAsia="en-GB"/>
        </w:rPr>
      </w:pPr>
      <w:r w:rsidRPr="00AA51B2">
        <w:rPr>
          <w:rFonts w:cs="Sylfaen"/>
          <w:b/>
          <w:bCs/>
          <w:iCs/>
          <w:lang w:val="af-ZA" w:eastAsia="en-GB"/>
        </w:rPr>
        <w:t>Եկամուտների քաղաքականության հիմնական նպատակները</w:t>
      </w:r>
      <w:r w:rsidRPr="00217158">
        <w:rPr>
          <w:rFonts w:ascii="MS Mincho" w:eastAsia="MS Mincho" w:hAnsi="MS Mincho" w:cs="MS Mincho" w:hint="eastAsia"/>
          <w:b/>
          <w:bCs/>
          <w:iCs/>
          <w:lang w:val="hy-AM" w:eastAsia="en-GB"/>
        </w:rPr>
        <w:t>․</w:t>
      </w:r>
    </w:p>
    <w:p w14:paraId="2B80FD5A" w14:textId="77777777" w:rsidR="00B11AEF" w:rsidRDefault="00B11AEF" w:rsidP="00B11AEF">
      <w:pPr>
        <w:spacing w:line="276" w:lineRule="auto"/>
        <w:ind w:firstLine="426"/>
        <w:rPr>
          <w:rFonts w:cs="Sylfaen"/>
          <w:iCs/>
          <w:lang w:val="af-ZA" w:eastAsia="en-GB"/>
        </w:rPr>
      </w:pPr>
      <w:r w:rsidRPr="003C716D">
        <w:rPr>
          <w:rFonts w:cs="Sylfaen"/>
          <w:iCs/>
          <w:lang w:val="af-ZA" w:eastAsia="en-GB"/>
        </w:rPr>
        <w:t>202</w:t>
      </w:r>
      <w:r>
        <w:rPr>
          <w:rFonts w:cs="Sylfaen"/>
          <w:iCs/>
          <w:lang w:val="af-ZA" w:eastAsia="en-GB"/>
        </w:rPr>
        <w:t>2</w:t>
      </w:r>
      <w:r w:rsidRPr="003C716D">
        <w:rPr>
          <w:rFonts w:cs="Sylfaen"/>
          <w:iCs/>
          <w:lang w:val="af-ZA" w:eastAsia="en-GB"/>
        </w:rPr>
        <w:t>-202</w:t>
      </w:r>
      <w:r>
        <w:rPr>
          <w:rFonts w:cs="Sylfaen"/>
          <w:iCs/>
          <w:lang w:val="af-ZA" w:eastAsia="en-GB"/>
        </w:rPr>
        <w:t>4</w:t>
      </w:r>
      <w:r w:rsidRPr="003C716D">
        <w:rPr>
          <w:rFonts w:cs="Sylfaen"/>
          <w:iCs/>
          <w:lang w:val="af-ZA" w:eastAsia="en-GB"/>
        </w:rPr>
        <w:t xml:space="preserve"> թվականների պետական եկամուտների քա</w:t>
      </w:r>
      <w:r w:rsidRPr="003C716D">
        <w:rPr>
          <w:rFonts w:cs="Sylfaen"/>
          <w:iCs/>
          <w:lang w:val="af-ZA" w:eastAsia="en-GB"/>
        </w:rPr>
        <w:softHyphen/>
      </w:r>
      <w:r w:rsidRPr="003C716D">
        <w:rPr>
          <w:rFonts w:cs="Sylfaen"/>
          <w:iCs/>
          <w:lang w:val="af-ZA" w:eastAsia="en-GB"/>
        </w:rPr>
        <w:softHyphen/>
        <w:t>ղաքականությունը կիրականացվի ՀՀ կա</w:t>
      </w:r>
      <w:r w:rsidRPr="003C716D">
        <w:rPr>
          <w:rFonts w:cs="Sylfaen"/>
          <w:iCs/>
          <w:lang w:val="af-ZA" w:eastAsia="en-GB"/>
        </w:rPr>
        <w:softHyphen/>
        <w:t>ռավարության 2019 թվականի մայիսի 16-ի N 650-Լ որոշմամբ հաստատված</w:t>
      </w:r>
      <w:r w:rsidRPr="00AA51B2">
        <w:rPr>
          <w:rFonts w:cs="Sylfaen"/>
          <w:iCs/>
          <w:lang w:val="af-ZA" w:eastAsia="en-GB"/>
        </w:rPr>
        <w:t>՝</w:t>
      </w:r>
      <w:r w:rsidRPr="003C716D">
        <w:rPr>
          <w:rFonts w:cs="Sylfaen"/>
          <w:iCs/>
          <w:lang w:val="af-ZA" w:eastAsia="en-GB"/>
        </w:rPr>
        <w:t xml:space="preserve"> 2019-2023 թվա</w:t>
      </w:r>
      <w:r w:rsidRPr="003C716D">
        <w:rPr>
          <w:rFonts w:cs="Sylfaen"/>
          <w:iCs/>
          <w:lang w:val="af-ZA" w:eastAsia="en-GB"/>
        </w:rPr>
        <w:softHyphen/>
        <w:t>կան</w:t>
      </w:r>
      <w:r w:rsidRPr="003C716D">
        <w:rPr>
          <w:rFonts w:cs="Sylfaen"/>
          <w:iCs/>
          <w:lang w:val="af-ZA" w:eastAsia="en-GB"/>
        </w:rPr>
        <w:softHyphen/>
        <w:t>նե</w:t>
      </w:r>
      <w:r w:rsidRPr="003C716D">
        <w:rPr>
          <w:rFonts w:cs="Sylfaen"/>
          <w:iCs/>
          <w:lang w:val="af-ZA" w:eastAsia="en-GB"/>
        </w:rPr>
        <w:softHyphen/>
        <w:t>րի գործունեության միջոցառումների ծրագրով ամրագրված սկզբունք</w:t>
      </w:r>
      <w:r w:rsidRPr="003C716D">
        <w:rPr>
          <w:rFonts w:cs="Sylfaen"/>
          <w:iCs/>
          <w:lang w:val="af-ZA" w:eastAsia="en-GB"/>
        </w:rPr>
        <w:softHyphen/>
        <w:t>նե</w:t>
      </w:r>
      <w:r w:rsidRPr="003C716D">
        <w:rPr>
          <w:rFonts w:cs="Sylfaen"/>
          <w:iCs/>
          <w:lang w:val="af-ZA" w:eastAsia="en-GB"/>
        </w:rPr>
        <w:softHyphen/>
        <w:t>րին համապատասխան</w:t>
      </w:r>
      <w:r w:rsidRPr="00AA51B2">
        <w:rPr>
          <w:rFonts w:cs="Sylfaen"/>
          <w:iCs/>
          <w:lang w:val="af-ZA" w:eastAsia="en-GB"/>
        </w:rPr>
        <w:t xml:space="preserve">, ինչպես նաև 2019 թվականի նոյեմբերի 28-ի </w:t>
      </w:r>
      <w:r w:rsidRPr="00241E62">
        <w:rPr>
          <w:rFonts w:cs="Sylfaen"/>
          <w:iCs/>
          <w:lang w:val="af-ZA" w:eastAsia="en-GB"/>
        </w:rPr>
        <w:t>N</w:t>
      </w:r>
      <w:r w:rsidRPr="00AA51B2">
        <w:rPr>
          <w:rFonts w:cs="Sylfaen"/>
          <w:iCs/>
          <w:lang w:val="af-ZA" w:eastAsia="en-GB"/>
        </w:rPr>
        <w:t xml:space="preserve"> 1716-Լ որոշմամբ հաստատված՝ պետական ֆինանսների կառավարման համակարգի բարեփոխումների 2019-2023 թվականների գործողությունների ծրագ</w:t>
      </w:r>
      <w:r>
        <w:rPr>
          <w:rFonts w:cs="Sylfaen"/>
          <w:iCs/>
          <w:lang w:val="hy-AM" w:eastAsia="en-GB"/>
        </w:rPr>
        <w:t>ր</w:t>
      </w:r>
      <w:r w:rsidRPr="00AA51B2">
        <w:rPr>
          <w:rFonts w:cs="Sylfaen"/>
          <w:iCs/>
          <w:lang w:val="af-ZA" w:eastAsia="en-GB"/>
        </w:rPr>
        <w:t>ով ամրագրված միջոցառումներին</w:t>
      </w:r>
      <w:r>
        <w:rPr>
          <w:rFonts w:cs="Sylfaen"/>
          <w:iCs/>
          <w:lang w:val="hy-AM" w:eastAsia="en-GB"/>
        </w:rPr>
        <w:t>,</w:t>
      </w:r>
      <w:r w:rsidRPr="00AA51B2">
        <w:rPr>
          <w:rFonts w:cs="Sylfaen"/>
          <w:iCs/>
          <w:lang w:val="af-ZA" w:eastAsia="en-GB"/>
        </w:rPr>
        <w:t xml:space="preserve"> 2020 թվականի փետրվարի 18-ին ՀՀ վարչապետի մոտ կայացած խորհրդակցության արդյունքներով հավանության արժանացած՝ Հարկային համակարգի բարեփոխումների հայեցակարգով ամրագրված ուղղություններին </w:t>
      </w:r>
      <w:r>
        <w:rPr>
          <w:rFonts w:cs="Sylfaen"/>
          <w:iCs/>
          <w:lang w:val="hy-AM" w:eastAsia="en-GB"/>
        </w:rPr>
        <w:t xml:space="preserve">և ՀՀ վարչապետի 2020 թվականի դեկտեմբերի 30-ի </w:t>
      </w:r>
      <w:r w:rsidRPr="003C716D">
        <w:rPr>
          <w:rFonts w:cs="Sylfaen"/>
          <w:iCs/>
          <w:lang w:val="af-ZA" w:eastAsia="en-GB"/>
        </w:rPr>
        <w:t xml:space="preserve">N </w:t>
      </w:r>
      <w:r>
        <w:rPr>
          <w:rFonts w:cs="Sylfaen"/>
          <w:iCs/>
          <w:lang w:val="hy-AM" w:eastAsia="en-GB"/>
        </w:rPr>
        <w:t>1455</w:t>
      </w:r>
      <w:r w:rsidRPr="003C716D">
        <w:rPr>
          <w:rFonts w:cs="Sylfaen"/>
          <w:iCs/>
          <w:lang w:val="af-ZA" w:eastAsia="en-GB"/>
        </w:rPr>
        <w:t>-Լ որոշմամբ հաստատված</w:t>
      </w:r>
      <w:r>
        <w:rPr>
          <w:rFonts w:cs="Sylfaen"/>
          <w:iCs/>
          <w:lang w:val="hy-AM" w:eastAsia="en-GB"/>
        </w:rPr>
        <w:t xml:space="preserve">՝ </w:t>
      </w:r>
      <w:r w:rsidRPr="00241E3F">
        <w:rPr>
          <w:rFonts w:cs="Sylfaen"/>
          <w:iCs/>
          <w:lang w:val="hy-AM" w:eastAsia="en-GB"/>
        </w:rPr>
        <w:t>հարկային քաղաքականության ճեղքի կրճատմանն ուղղված միջոցառումներ</w:t>
      </w:r>
      <w:r>
        <w:rPr>
          <w:rFonts w:cs="Sylfaen"/>
          <w:iCs/>
          <w:lang w:val="hy-AM" w:eastAsia="en-GB"/>
        </w:rPr>
        <w:t>ին</w:t>
      </w:r>
      <w:r w:rsidRPr="00AA51B2">
        <w:rPr>
          <w:rFonts w:cs="Sylfaen"/>
          <w:iCs/>
          <w:lang w:val="af-ZA" w:eastAsia="en-GB"/>
        </w:rPr>
        <w:t xml:space="preserve"> համապատասխան</w:t>
      </w:r>
      <w:r w:rsidRPr="003C716D">
        <w:rPr>
          <w:rFonts w:cs="Sylfaen"/>
          <w:iCs/>
          <w:lang w:val="af-ZA" w:eastAsia="en-GB"/>
        </w:rPr>
        <w:t>:</w:t>
      </w:r>
    </w:p>
    <w:p w14:paraId="0E842CBB" w14:textId="77777777" w:rsidR="00B11AEF" w:rsidRPr="00AA51B2" w:rsidRDefault="00B11AEF" w:rsidP="00B11AEF">
      <w:pPr>
        <w:spacing w:line="276" w:lineRule="auto"/>
        <w:ind w:firstLine="0"/>
        <w:rPr>
          <w:rFonts w:cs="Sylfaen"/>
          <w:iCs/>
          <w:lang w:val="af-ZA" w:eastAsia="en-GB"/>
        </w:rPr>
      </w:pPr>
      <w:r w:rsidRPr="00AA51B2">
        <w:rPr>
          <w:rFonts w:cs="Sylfaen"/>
          <w:iCs/>
          <w:lang w:val="af-ZA" w:eastAsia="en-GB"/>
        </w:rPr>
        <w:t>Մասնավորապես, կարևորվելու են եկամուտների քաղաքականության հետևյալ ուղղու</w:t>
      </w:r>
      <w:r>
        <w:rPr>
          <w:rFonts w:cs="Sylfaen"/>
          <w:iCs/>
          <w:lang w:val="af-ZA" w:eastAsia="en-GB"/>
        </w:rPr>
        <w:softHyphen/>
      </w:r>
      <w:r w:rsidRPr="00AA51B2">
        <w:rPr>
          <w:rFonts w:cs="Sylfaen"/>
          <w:iCs/>
          <w:lang w:val="af-ZA" w:eastAsia="en-GB"/>
        </w:rPr>
        <w:t>թյուն</w:t>
      </w:r>
      <w:r>
        <w:rPr>
          <w:rFonts w:cs="Sylfaen"/>
          <w:iCs/>
          <w:lang w:val="af-ZA" w:eastAsia="en-GB"/>
        </w:rPr>
        <w:softHyphen/>
      </w:r>
      <w:r w:rsidRPr="00AA51B2">
        <w:rPr>
          <w:rFonts w:cs="Sylfaen"/>
          <w:iCs/>
          <w:lang w:val="af-ZA" w:eastAsia="en-GB"/>
        </w:rPr>
        <w:t>ները</w:t>
      </w:r>
      <w:r w:rsidRPr="00AA51B2">
        <w:rPr>
          <w:rFonts w:ascii="Cambria Math" w:hAnsi="Cambria Math" w:cs="Cambria Math"/>
          <w:iCs/>
          <w:lang w:val="af-ZA" w:eastAsia="en-GB"/>
        </w:rPr>
        <w:t>․</w:t>
      </w:r>
    </w:p>
    <w:p w14:paraId="7FB4BCE6" w14:textId="77777777" w:rsidR="00B11AEF" w:rsidRDefault="00B11AEF" w:rsidP="00B11AEF">
      <w:pPr>
        <w:pStyle w:val="ListParagraph"/>
        <w:numPr>
          <w:ilvl w:val="0"/>
          <w:numId w:val="47"/>
        </w:numPr>
        <w:spacing w:line="276" w:lineRule="auto"/>
        <w:rPr>
          <w:rFonts w:cs="Sylfaen"/>
          <w:iCs/>
          <w:lang w:val="af-ZA" w:eastAsia="en-GB"/>
        </w:rPr>
      </w:pPr>
      <w:r w:rsidRPr="00AA51B2">
        <w:rPr>
          <w:rFonts w:cs="Sylfaen"/>
          <w:iCs/>
          <w:lang w:val="af-ZA" w:eastAsia="en-GB"/>
        </w:rPr>
        <w:t>հարկային արտոնությունների շրջանակի և հարկային ծախսերի կրճատման ուղղու</w:t>
      </w:r>
      <w:r w:rsidRPr="00AA51B2">
        <w:rPr>
          <w:rFonts w:cs="Sylfaen"/>
          <w:iCs/>
          <w:lang w:val="af-ZA" w:eastAsia="en-GB"/>
        </w:rPr>
        <w:softHyphen/>
        <w:t>թյամբ վերլուծությունների իրականացում և արդյունավետ չգնահատված հարկային արտո</w:t>
      </w:r>
      <w:r w:rsidRPr="00AA51B2">
        <w:rPr>
          <w:rFonts w:cs="Sylfaen"/>
          <w:iCs/>
          <w:lang w:val="af-ZA" w:eastAsia="en-GB"/>
        </w:rPr>
        <w:softHyphen/>
        <w:t>նու</w:t>
      </w:r>
      <w:r w:rsidRPr="00AA51B2">
        <w:rPr>
          <w:rFonts w:cs="Sylfaen"/>
          <w:iCs/>
          <w:lang w:val="af-ZA" w:eastAsia="en-GB"/>
        </w:rPr>
        <w:softHyphen/>
        <w:t>թյունները վերացնելու նպատակով առաջարկությունների ներկայացում,</w:t>
      </w:r>
    </w:p>
    <w:p w14:paraId="53BFC1E2" w14:textId="77777777" w:rsidR="00B11AEF" w:rsidRDefault="00B11AEF" w:rsidP="00B11AEF">
      <w:pPr>
        <w:pStyle w:val="ListParagraph"/>
        <w:numPr>
          <w:ilvl w:val="0"/>
          <w:numId w:val="47"/>
        </w:numPr>
        <w:spacing w:line="276" w:lineRule="auto"/>
        <w:rPr>
          <w:rFonts w:cs="Sylfaen"/>
          <w:iCs/>
          <w:lang w:val="af-ZA" w:eastAsia="en-GB"/>
        </w:rPr>
      </w:pPr>
      <w:r w:rsidRPr="00AA51B2">
        <w:rPr>
          <w:rFonts w:cs="Sylfaen"/>
          <w:iCs/>
          <w:lang w:val="af-ZA" w:eastAsia="en-GB"/>
        </w:rPr>
        <w:t>շրջանառության հարկի գծով  հարկային բեռի վերանայում՝ նպատակ ունենալով վերաց</w:t>
      </w:r>
      <w:r w:rsidRPr="00AA51B2">
        <w:rPr>
          <w:rFonts w:cs="Sylfaen"/>
          <w:iCs/>
          <w:lang w:val="af-ZA" w:eastAsia="en-GB"/>
        </w:rPr>
        <w:softHyphen/>
        <w:t>նել հարկման տարբեր համակարգերի միջև գոյություն ունեցող հարկային բեռի տարբերու</w:t>
      </w:r>
      <w:r w:rsidRPr="00AA51B2">
        <w:rPr>
          <w:rFonts w:cs="Sylfaen"/>
          <w:iCs/>
          <w:lang w:val="af-ZA" w:eastAsia="en-GB"/>
        </w:rPr>
        <w:softHyphen/>
        <w:t>թյունները,</w:t>
      </w:r>
    </w:p>
    <w:p w14:paraId="7E7DDE87" w14:textId="77777777" w:rsidR="00B11AEF" w:rsidRDefault="00B11AEF" w:rsidP="00B11AEF">
      <w:pPr>
        <w:pStyle w:val="ListParagraph"/>
        <w:numPr>
          <w:ilvl w:val="0"/>
          <w:numId w:val="47"/>
        </w:numPr>
        <w:spacing w:line="276" w:lineRule="auto"/>
        <w:rPr>
          <w:rFonts w:cs="Sylfaen"/>
          <w:iCs/>
          <w:lang w:val="af-ZA" w:eastAsia="en-GB"/>
        </w:rPr>
      </w:pPr>
      <w:r w:rsidRPr="00AA51B2">
        <w:rPr>
          <w:rFonts w:cs="Sylfaen"/>
          <w:iCs/>
          <w:lang w:val="af-ZA" w:eastAsia="en-GB"/>
        </w:rPr>
        <w:t>գյուղատնտեսական արտադրանքի իրացման գործարքների փաստաթղթավորման հետ կապված խնդիրների կարգավորում՝ նպատակ ունենալով ստեղծել գյուղատնտեսական արտադրանքի իրացման գործարքների փաս</w:t>
      </w:r>
      <w:r w:rsidRPr="00AA51B2">
        <w:rPr>
          <w:rFonts w:cs="Sylfaen"/>
          <w:iCs/>
          <w:lang w:val="af-ZA" w:eastAsia="en-GB"/>
        </w:rPr>
        <w:softHyphen/>
        <w:t>տա</w:t>
      </w:r>
      <w:r w:rsidRPr="00AA51B2">
        <w:rPr>
          <w:rFonts w:cs="Sylfaen"/>
          <w:iCs/>
          <w:lang w:val="af-ZA" w:eastAsia="en-GB"/>
        </w:rPr>
        <w:softHyphen/>
        <w:t>թղթա</w:t>
      </w:r>
      <w:r w:rsidRPr="00AA51B2">
        <w:rPr>
          <w:rFonts w:cs="Sylfaen"/>
          <w:iCs/>
          <w:lang w:val="af-ZA" w:eastAsia="en-GB"/>
        </w:rPr>
        <w:softHyphen/>
        <w:t>վոր</w:t>
      </w:r>
      <w:r w:rsidRPr="00AA51B2">
        <w:rPr>
          <w:rFonts w:cs="Sylfaen"/>
          <w:iCs/>
          <w:lang w:val="af-ZA" w:eastAsia="en-GB"/>
        </w:rPr>
        <w:softHyphen/>
        <w:t>ման համար նոր՝ գործնականում կիրառելի փաստաթղթավորման համակարգ,</w:t>
      </w:r>
    </w:p>
    <w:p w14:paraId="3DCEE2AB" w14:textId="77777777" w:rsidR="00B11AEF" w:rsidRPr="00217158" w:rsidRDefault="00B11AEF" w:rsidP="00B11AEF">
      <w:pPr>
        <w:pStyle w:val="ListParagraph"/>
        <w:numPr>
          <w:ilvl w:val="0"/>
          <w:numId w:val="47"/>
        </w:numPr>
        <w:spacing w:line="276" w:lineRule="auto"/>
        <w:rPr>
          <w:lang w:val="af-ZA"/>
        </w:rPr>
      </w:pPr>
      <w:r w:rsidRPr="00AA51B2">
        <w:rPr>
          <w:rFonts w:cs="Sylfaen"/>
          <w:iCs/>
          <w:lang w:val="af-ZA" w:eastAsia="en-GB"/>
        </w:rPr>
        <w:t>տնտեսական շարժառիթների հիման վրա գործող՝ եկամուտների հայտարարագրման համակարգի ներդրում, որի շրջանակներում ֆիզիկական անձինք, հարկման բազայից որոշակի նվազեցումներ կատարելու և տարվա ընթացքում այս</w:t>
      </w:r>
      <w:r w:rsidRPr="00AA51B2">
        <w:rPr>
          <w:rFonts w:cs="Sylfaen"/>
          <w:iCs/>
          <w:lang w:val="af-ZA" w:eastAsia="en-GB"/>
        </w:rPr>
        <w:softHyphen/>
        <w:t>պես կոչված «ավել վճարված» հարկի գումարը հետ ստանալու իրենց իրավունքից օգտվելու համար, տարե</w:t>
      </w:r>
      <w:r w:rsidRPr="00AA51B2">
        <w:rPr>
          <w:rFonts w:cs="Sylfaen"/>
          <w:iCs/>
          <w:lang w:val="af-ZA" w:eastAsia="en-GB"/>
        </w:rPr>
        <w:softHyphen/>
        <w:t>կան մեկ անգամ կներկայացնեն իրենց համախառն եկամուտների (այդ թվում՝ տարվա ընթաց</w:t>
      </w:r>
      <w:r w:rsidRPr="00AA51B2">
        <w:rPr>
          <w:rFonts w:cs="Sylfaen"/>
          <w:iCs/>
          <w:lang w:val="af-ZA" w:eastAsia="en-GB"/>
        </w:rPr>
        <w:softHyphen/>
        <w:t>քում հարկային գործակալի կողմից հարկված) վերաբերյալ համա</w:t>
      </w:r>
      <w:r w:rsidRPr="00AA51B2">
        <w:rPr>
          <w:rFonts w:cs="Sylfaen"/>
          <w:iCs/>
          <w:lang w:val="af-ZA" w:eastAsia="en-GB"/>
        </w:rPr>
        <w:softHyphen/>
      </w:r>
      <w:r w:rsidRPr="00AA51B2">
        <w:rPr>
          <w:rFonts w:cs="Sylfaen"/>
          <w:iCs/>
          <w:lang w:val="af-ZA" w:eastAsia="en-GB"/>
        </w:rPr>
        <w:softHyphen/>
        <w:t>խմբված հայտա</w:t>
      </w:r>
      <w:r w:rsidRPr="00AA51B2">
        <w:rPr>
          <w:rFonts w:cs="Sylfaen"/>
          <w:iCs/>
          <w:lang w:val="af-ZA" w:eastAsia="en-GB"/>
        </w:rPr>
        <w:softHyphen/>
        <w:t>րա</w:t>
      </w:r>
      <w:r w:rsidRPr="00AA51B2">
        <w:rPr>
          <w:rFonts w:cs="Sylfaen"/>
          <w:iCs/>
          <w:lang w:val="af-ZA" w:eastAsia="en-GB"/>
        </w:rPr>
        <w:softHyphen/>
        <w:t>րա</w:t>
      </w:r>
      <w:r w:rsidRPr="00AA51B2">
        <w:rPr>
          <w:rFonts w:cs="Sylfaen"/>
          <w:iCs/>
          <w:lang w:val="af-ZA" w:eastAsia="en-GB"/>
        </w:rPr>
        <w:softHyphen/>
        <w:t>գիր:</w:t>
      </w:r>
    </w:p>
    <w:p w14:paraId="44DA9D40" w14:textId="77777777" w:rsidR="00B11AEF" w:rsidRPr="00470AD5" w:rsidRDefault="00B11AEF" w:rsidP="00B11AEF">
      <w:pPr>
        <w:spacing w:before="240" w:line="276" w:lineRule="auto"/>
        <w:ind w:firstLine="0"/>
        <w:rPr>
          <w:rFonts w:cs="Sylfaen"/>
          <w:b/>
          <w:bCs/>
          <w:iCs/>
          <w:lang w:val="hy-AM" w:eastAsia="en-GB"/>
        </w:rPr>
      </w:pPr>
      <w:r w:rsidRPr="00470AD5">
        <w:rPr>
          <w:rFonts w:cs="Sylfaen"/>
          <w:b/>
          <w:bCs/>
          <w:iCs/>
          <w:lang w:val="af-ZA" w:eastAsia="en-GB"/>
        </w:rPr>
        <w:t>Հարկային և մաքսային մարմինների ռազմավարական նպատակները</w:t>
      </w:r>
      <w:r w:rsidRPr="00470AD5">
        <w:rPr>
          <w:rFonts w:ascii="Cambria Math" w:eastAsia="MS Mincho" w:hAnsi="Cambria Math" w:cs="Cambria Math"/>
          <w:b/>
          <w:bCs/>
          <w:iCs/>
          <w:lang w:val="hy-AM" w:eastAsia="en-GB"/>
        </w:rPr>
        <w:t>․</w:t>
      </w:r>
    </w:p>
    <w:p w14:paraId="11CF8601" w14:textId="77777777" w:rsidR="00B11AEF" w:rsidRPr="00470AD5" w:rsidRDefault="00B11AEF" w:rsidP="00B11AEF">
      <w:pPr>
        <w:spacing w:line="276" w:lineRule="auto"/>
        <w:ind w:left="227" w:firstLine="227"/>
        <w:rPr>
          <w:rFonts w:cs="Sylfaen"/>
          <w:iCs/>
          <w:lang w:val="af-ZA" w:eastAsia="en-GB"/>
        </w:rPr>
      </w:pPr>
      <w:r w:rsidRPr="00470AD5">
        <w:rPr>
          <w:rFonts w:cs="Sylfaen"/>
          <w:iCs/>
          <w:lang w:val="af-ZA" w:eastAsia="en-GB"/>
        </w:rPr>
        <w:t>ՊԵԿ  հիմնական խնդիրներն են հարկային և մաքսային օրենսդրության ամբողջական և համահավասար կիրառումը, ՀՀ պետական բյուջեի եկամուտների ապահովումը, արդյունավետ հարկային և մաքսային հսկողության իրականացումը, ՀՀ տնտեսական անվտանգությանը նպաստումը, հարկ վճարողների և արտաքին տնտեսական գործունեություն իրականացնողների կողմից պարտավորությունների օրինաչափ և հարմարավետ կատարման նպատակով` ժամանակակից և մրցունակ համակարգերի միջոցով որակյալ ծառայությունների մատուցումը և սպասարկումը:</w:t>
      </w:r>
    </w:p>
    <w:p w14:paraId="6154A176" w14:textId="77777777" w:rsidR="00B11AEF" w:rsidRDefault="00B11AEF" w:rsidP="00B11AEF">
      <w:pPr>
        <w:spacing w:line="276" w:lineRule="auto"/>
        <w:ind w:left="227" w:firstLine="227"/>
        <w:rPr>
          <w:rFonts w:cs="Sylfaen"/>
          <w:iCs/>
          <w:lang w:val="af-ZA" w:eastAsia="en-GB"/>
        </w:rPr>
      </w:pPr>
      <w:r w:rsidRPr="00470AD5">
        <w:rPr>
          <w:rFonts w:cs="Sylfaen"/>
          <w:iCs/>
          <w:lang w:val="af-ZA" w:eastAsia="en-GB"/>
        </w:rPr>
        <w:t>Կարևորվելու են հետևյալ ուղղությունները.</w:t>
      </w:r>
    </w:p>
    <w:p w14:paraId="06C3288D" w14:textId="77777777" w:rsidR="00B11AEF" w:rsidRDefault="00B11AEF" w:rsidP="00B11AEF">
      <w:pPr>
        <w:spacing w:line="276" w:lineRule="auto"/>
        <w:ind w:left="227" w:firstLine="227"/>
        <w:rPr>
          <w:rFonts w:cs="Sylfaen"/>
          <w:iCs/>
          <w:lang w:val="af-ZA" w:eastAsia="en-GB"/>
        </w:rPr>
      </w:pPr>
      <w:r w:rsidRPr="00470AD5">
        <w:rPr>
          <w:rFonts w:cs="Sylfaen"/>
          <w:iCs/>
          <w:lang w:val="af-ZA" w:eastAsia="en-GB"/>
        </w:rPr>
        <w:t xml:space="preserve">Ստվերային տնտեսության կրճատմանն ու մրցունակ բիզնես միջավայրի ձևավորմանն ուղղված հարկային քաղաքականության ուղղում տնտեսության ներդրումային գրավչության բարձրացմանն ու տնտեսական ակտիվության մակարդակի բարելավմանը: </w:t>
      </w:r>
    </w:p>
    <w:p w14:paraId="07F7664B" w14:textId="77777777" w:rsidR="00B11AEF" w:rsidRPr="000821DC" w:rsidRDefault="00B11AEF" w:rsidP="00B11AEF">
      <w:pPr>
        <w:spacing w:line="276" w:lineRule="auto"/>
        <w:ind w:left="227" w:firstLine="227"/>
        <w:rPr>
          <w:rFonts w:cs="Sylfaen"/>
          <w:iCs/>
          <w:lang w:val="af-ZA" w:eastAsia="en-GB"/>
        </w:rPr>
      </w:pPr>
      <w:r w:rsidRPr="00470AD5">
        <w:rPr>
          <w:rFonts w:cs="Sylfaen"/>
          <w:iCs/>
          <w:lang w:val="af-ZA" w:eastAsia="en-GB"/>
        </w:rPr>
        <w:t>Հարկային քաղաքականությանը զուգահեռ՝ հարկային վարչարարության պարզեցման միջոցով ստվերի կրճատում և Հայաստանի Հանրապետության պետական բյուջեի եկամուտների գեներացում</w:t>
      </w:r>
      <w:r w:rsidRPr="00470AD5">
        <w:rPr>
          <w:rFonts w:cs="Sylfaen"/>
          <w:iCs/>
          <w:lang w:val="hy-AM" w:eastAsia="en-GB"/>
        </w:rPr>
        <w:t>։</w:t>
      </w:r>
    </w:p>
    <w:p w14:paraId="391C0025" w14:textId="77777777" w:rsidR="00B11AEF" w:rsidRPr="00470AD5" w:rsidRDefault="00B11AEF" w:rsidP="00B11AEF">
      <w:pPr>
        <w:spacing w:line="276" w:lineRule="auto"/>
        <w:ind w:left="227" w:firstLine="227"/>
        <w:rPr>
          <w:rFonts w:cs="Sylfaen"/>
          <w:iCs/>
          <w:lang w:val="af-ZA" w:eastAsia="en-GB"/>
        </w:rPr>
      </w:pPr>
      <w:r w:rsidRPr="00470AD5">
        <w:rPr>
          <w:rFonts w:cs="Sylfaen"/>
          <w:iCs/>
          <w:lang w:val="af-ZA" w:eastAsia="en-GB"/>
        </w:rPr>
        <w:t>Հարկային վարչարարության խտրականության բացառում</w:t>
      </w:r>
      <w:r w:rsidRPr="00470AD5">
        <w:rPr>
          <w:rFonts w:cs="Sylfaen"/>
          <w:iCs/>
          <w:lang w:val="hy-AM" w:eastAsia="en-GB"/>
        </w:rPr>
        <w:t>։</w:t>
      </w:r>
    </w:p>
    <w:p w14:paraId="023E6E6D" w14:textId="77777777" w:rsidR="00B11AEF" w:rsidRPr="00470AD5" w:rsidRDefault="00B11AEF" w:rsidP="00B11AEF">
      <w:pPr>
        <w:pStyle w:val="ListParagraph"/>
        <w:numPr>
          <w:ilvl w:val="1"/>
          <w:numId w:val="0"/>
        </w:numPr>
        <w:spacing w:line="276" w:lineRule="auto"/>
        <w:rPr>
          <w:rFonts w:cs="Sylfaen"/>
          <w:iCs/>
          <w:lang w:val="af-ZA" w:eastAsia="en-GB"/>
        </w:rPr>
      </w:pPr>
      <w:r w:rsidRPr="00470AD5">
        <w:rPr>
          <w:rFonts w:cs="Sylfaen"/>
          <w:iCs/>
          <w:lang w:val="hy-AM" w:eastAsia="en-GB"/>
        </w:rPr>
        <w:t xml:space="preserve"> </w:t>
      </w:r>
      <w:r w:rsidRPr="00470AD5">
        <w:rPr>
          <w:rFonts w:cs="Sylfaen"/>
          <w:iCs/>
          <w:lang w:val="af-ZA" w:eastAsia="en-GB"/>
        </w:rPr>
        <w:t>Ստվերային շրջանառությունների կրճատման նպատակով տնտեսությունում բոլոր գործարքների լիարժեք փաստաթղթավորման ապահովում:</w:t>
      </w:r>
    </w:p>
    <w:p w14:paraId="301EFD0D" w14:textId="77777777" w:rsidR="00B11AEF" w:rsidRPr="00470AD5" w:rsidRDefault="00B11AEF" w:rsidP="00B11AEF">
      <w:pPr>
        <w:pStyle w:val="ListParagraph"/>
        <w:spacing w:line="276" w:lineRule="auto"/>
        <w:ind w:left="0"/>
        <w:rPr>
          <w:rFonts w:cs="Sylfaen"/>
          <w:iCs/>
          <w:lang w:val="af-ZA" w:eastAsia="en-GB"/>
        </w:rPr>
      </w:pPr>
      <w:r w:rsidRPr="00470AD5">
        <w:rPr>
          <w:rFonts w:cs="Sylfaen"/>
        </w:rPr>
        <w:t>Ներդրումային</w:t>
      </w:r>
      <w:r w:rsidRPr="00470AD5">
        <w:rPr>
          <w:lang w:val="af-ZA"/>
        </w:rPr>
        <w:t xml:space="preserve"> </w:t>
      </w:r>
      <w:r w:rsidRPr="00470AD5">
        <w:rPr>
          <w:rFonts w:cs="Sylfaen"/>
        </w:rPr>
        <w:t>գրավչության</w:t>
      </w:r>
      <w:r w:rsidRPr="00470AD5">
        <w:rPr>
          <w:lang w:val="af-ZA"/>
        </w:rPr>
        <w:t xml:space="preserve"> </w:t>
      </w:r>
      <w:r w:rsidRPr="00470AD5">
        <w:rPr>
          <w:rFonts w:cs="Sylfaen"/>
        </w:rPr>
        <w:t>բարձրացման</w:t>
      </w:r>
      <w:r w:rsidRPr="00470AD5">
        <w:rPr>
          <w:lang w:val="af-ZA"/>
        </w:rPr>
        <w:t xml:space="preserve"> </w:t>
      </w:r>
      <w:r w:rsidRPr="00470AD5">
        <w:rPr>
          <w:rFonts w:cs="Sylfaen"/>
        </w:rPr>
        <w:t>նպատակով</w:t>
      </w:r>
      <w:r w:rsidRPr="00470AD5">
        <w:rPr>
          <w:lang w:val="af-ZA"/>
        </w:rPr>
        <w:t xml:space="preserve"> </w:t>
      </w:r>
      <w:r w:rsidRPr="00470AD5">
        <w:rPr>
          <w:rFonts w:cs="Sylfaen"/>
        </w:rPr>
        <w:t>մաքսային</w:t>
      </w:r>
      <w:r w:rsidRPr="00470AD5">
        <w:rPr>
          <w:lang w:val="af-ZA"/>
        </w:rPr>
        <w:t xml:space="preserve"> </w:t>
      </w:r>
      <w:r w:rsidRPr="00470AD5">
        <w:rPr>
          <w:rFonts w:cs="Sylfaen"/>
        </w:rPr>
        <w:t>սահմանի</w:t>
      </w:r>
      <w:r w:rsidRPr="00470AD5">
        <w:rPr>
          <w:lang w:val="af-ZA"/>
        </w:rPr>
        <w:t xml:space="preserve"> </w:t>
      </w:r>
      <w:r w:rsidRPr="00470AD5">
        <w:rPr>
          <w:rFonts w:cs="Sylfaen"/>
        </w:rPr>
        <w:t>անցման</w:t>
      </w:r>
      <w:r w:rsidRPr="00470AD5">
        <w:rPr>
          <w:lang w:val="af-ZA"/>
        </w:rPr>
        <w:t xml:space="preserve"> </w:t>
      </w:r>
      <w:r w:rsidRPr="00470AD5">
        <w:rPr>
          <w:rFonts w:cs="Sylfaen"/>
        </w:rPr>
        <w:t>գործընթացի</w:t>
      </w:r>
      <w:r w:rsidRPr="00470AD5">
        <w:rPr>
          <w:rFonts w:cs="Sylfaen"/>
          <w:lang w:val="af-ZA"/>
        </w:rPr>
        <w:t xml:space="preserve"> </w:t>
      </w:r>
      <w:r w:rsidRPr="00470AD5">
        <w:rPr>
          <w:rFonts w:cs="Sylfaen"/>
        </w:rPr>
        <w:t>հնարավորին</w:t>
      </w:r>
      <w:r w:rsidRPr="00470AD5">
        <w:rPr>
          <w:lang w:val="af-ZA"/>
        </w:rPr>
        <w:t xml:space="preserve"> </w:t>
      </w:r>
      <w:r w:rsidRPr="00470AD5">
        <w:rPr>
          <w:rFonts w:cs="Sylfaen"/>
        </w:rPr>
        <w:t>չափ</w:t>
      </w:r>
      <w:r w:rsidRPr="00470AD5">
        <w:rPr>
          <w:rFonts w:cs="Sylfaen"/>
          <w:lang w:val="af-ZA"/>
        </w:rPr>
        <w:t xml:space="preserve"> </w:t>
      </w:r>
      <w:r w:rsidRPr="00470AD5">
        <w:rPr>
          <w:rFonts w:cs="Sylfaen"/>
        </w:rPr>
        <w:t>պարզեցում</w:t>
      </w:r>
      <w:r w:rsidRPr="00470AD5">
        <w:rPr>
          <w:rFonts w:cs="Sylfaen"/>
          <w:lang w:val="af-ZA"/>
        </w:rPr>
        <w:t xml:space="preserve">, </w:t>
      </w:r>
      <w:r w:rsidRPr="00470AD5">
        <w:rPr>
          <w:lang w:val="af-ZA"/>
        </w:rPr>
        <w:t>&lt;&lt;</w:t>
      </w:r>
      <w:r w:rsidRPr="00470AD5">
        <w:rPr>
          <w:rFonts w:cs="Sylfaen"/>
        </w:rPr>
        <w:t>Մեկ</w:t>
      </w:r>
      <w:r w:rsidRPr="00470AD5">
        <w:rPr>
          <w:lang w:val="af-ZA"/>
        </w:rPr>
        <w:t xml:space="preserve"> </w:t>
      </w:r>
      <w:r w:rsidRPr="00470AD5">
        <w:rPr>
          <w:rFonts w:cs="Sylfaen"/>
        </w:rPr>
        <w:t>կանգառ</w:t>
      </w:r>
      <w:r w:rsidRPr="00470AD5">
        <w:rPr>
          <w:lang w:val="af-ZA"/>
        </w:rPr>
        <w:t xml:space="preserve">, </w:t>
      </w:r>
      <w:r w:rsidRPr="00470AD5">
        <w:rPr>
          <w:rFonts w:cs="Sylfaen"/>
        </w:rPr>
        <w:t>մեկ</w:t>
      </w:r>
      <w:r w:rsidRPr="00470AD5">
        <w:rPr>
          <w:lang w:val="af-ZA"/>
        </w:rPr>
        <w:t xml:space="preserve"> </w:t>
      </w:r>
      <w:r w:rsidRPr="00470AD5">
        <w:rPr>
          <w:rFonts w:cs="Sylfaen"/>
        </w:rPr>
        <w:t>պատուհան</w:t>
      </w:r>
      <w:r w:rsidRPr="00470AD5">
        <w:rPr>
          <w:lang w:val="af-ZA"/>
        </w:rPr>
        <w:t xml:space="preserve">&gt;&gt; </w:t>
      </w:r>
      <w:r w:rsidRPr="00470AD5">
        <w:rPr>
          <w:rFonts w:cs="Sylfaen"/>
        </w:rPr>
        <w:t>համակարգի</w:t>
      </w:r>
      <w:r w:rsidRPr="00470AD5">
        <w:rPr>
          <w:lang w:val="af-ZA"/>
        </w:rPr>
        <w:t xml:space="preserve"> </w:t>
      </w:r>
      <w:r w:rsidRPr="00470AD5">
        <w:rPr>
          <w:rFonts w:cs="Sylfaen"/>
        </w:rPr>
        <w:t>ներդրում</w:t>
      </w:r>
      <w:r w:rsidRPr="00470AD5">
        <w:rPr>
          <w:rFonts w:cs="Sylfaen"/>
          <w:lang w:val="af-ZA"/>
        </w:rPr>
        <w:t>:</w:t>
      </w:r>
    </w:p>
    <w:p w14:paraId="2FDEB112" w14:textId="77777777" w:rsidR="00B11AEF" w:rsidRPr="00470AD5" w:rsidRDefault="00B11AEF" w:rsidP="00B11AEF">
      <w:pPr>
        <w:pStyle w:val="ListParagraph"/>
        <w:spacing w:line="276" w:lineRule="auto"/>
        <w:ind w:left="0" w:firstLine="426"/>
        <w:rPr>
          <w:lang w:val="hy-AM"/>
        </w:rPr>
      </w:pPr>
      <w:r w:rsidRPr="00470AD5">
        <w:rPr>
          <w:rFonts w:cs="Sylfaen"/>
          <w:lang w:val="hy-AM"/>
        </w:rPr>
        <w:t>Հարկեր</w:t>
      </w:r>
      <w:r w:rsidRPr="00470AD5">
        <w:rPr>
          <w:lang w:val="af-ZA"/>
        </w:rPr>
        <w:t>/</w:t>
      </w:r>
      <w:r w:rsidRPr="00470AD5">
        <w:rPr>
          <w:rFonts w:cs="Sylfaen"/>
          <w:lang w:val="hy-AM"/>
        </w:rPr>
        <w:t>ՀՆԱ</w:t>
      </w:r>
      <w:r w:rsidRPr="00470AD5">
        <w:rPr>
          <w:lang w:val="af-ZA"/>
        </w:rPr>
        <w:t xml:space="preserve"> </w:t>
      </w:r>
      <w:r w:rsidRPr="00470AD5">
        <w:rPr>
          <w:rFonts w:cs="Sylfaen"/>
          <w:lang w:val="hy-AM"/>
        </w:rPr>
        <w:t>ցուցանիշի</w:t>
      </w:r>
      <w:r w:rsidRPr="00470AD5">
        <w:rPr>
          <w:lang w:val="af-ZA"/>
        </w:rPr>
        <w:t xml:space="preserve"> </w:t>
      </w:r>
      <w:r w:rsidRPr="00470AD5">
        <w:rPr>
          <w:rFonts w:cs="Sylfaen"/>
          <w:lang w:val="hy-AM"/>
        </w:rPr>
        <w:t>շարունակական</w:t>
      </w:r>
      <w:r w:rsidRPr="00470AD5">
        <w:rPr>
          <w:lang w:val="af-ZA"/>
        </w:rPr>
        <w:t xml:space="preserve"> </w:t>
      </w:r>
      <w:r w:rsidRPr="00470AD5">
        <w:rPr>
          <w:rFonts w:cs="Sylfaen"/>
          <w:lang w:val="hy-AM"/>
        </w:rPr>
        <w:t>աճի</w:t>
      </w:r>
      <w:r w:rsidRPr="00470AD5">
        <w:rPr>
          <w:rFonts w:cs="Sylfaen"/>
          <w:lang w:val="af-ZA"/>
        </w:rPr>
        <w:t xml:space="preserve"> </w:t>
      </w:r>
      <w:r w:rsidRPr="00470AD5">
        <w:rPr>
          <w:rFonts w:cs="Sylfaen"/>
          <w:lang w:val="hy-AM"/>
        </w:rPr>
        <w:t>ապահովում</w:t>
      </w:r>
      <w:r w:rsidRPr="00470AD5">
        <w:rPr>
          <w:lang w:val="af-ZA"/>
        </w:rPr>
        <w:t xml:space="preserve"> </w:t>
      </w:r>
      <w:r w:rsidRPr="00470AD5">
        <w:rPr>
          <w:rFonts w:cs="Sylfaen"/>
          <w:lang w:val="hy-AM"/>
        </w:rPr>
        <w:t>առավելագույն</w:t>
      </w:r>
      <w:r w:rsidRPr="00470AD5">
        <w:rPr>
          <w:lang w:val="af-ZA"/>
        </w:rPr>
        <w:t xml:space="preserve"> </w:t>
      </w:r>
      <w:r w:rsidRPr="00470AD5">
        <w:rPr>
          <w:rFonts w:cs="Sylfaen"/>
          <w:lang w:val="hy-AM"/>
        </w:rPr>
        <w:t>հնարավորի</w:t>
      </w:r>
      <w:r w:rsidRPr="00470AD5">
        <w:rPr>
          <w:lang w:val="af-ZA"/>
        </w:rPr>
        <w:t xml:space="preserve"> </w:t>
      </w:r>
      <w:r w:rsidRPr="00470AD5">
        <w:rPr>
          <w:rFonts w:cs="Sylfaen"/>
          <w:lang w:val="hy-AM"/>
        </w:rPr>
        <w:t>սահմաններում</w:t>
      </w:r>
      <w:r w:rsidRPr="00470AD5">
        <w:rPr>
          <w:lang w:val="af-ZA"/>
        </w:rPr>
        <w:t>:</w:t>
      </w:r>
    </w:p>
    <w:p w14:paraId="0D3BC5C0" w14:textId="77777777" w:rsidR="00B11AEF" w:rsidRPr="00B67F20" w:rsidRDefault="00B11AEF" w:rsidP="00B11AEF">
      <w:pPr>
        <w:ind w:firstLine="0"/>
        <w:rPr>
          <w:lang w:val="hy-AM"/>
        </w:rPr>
      </w:pPr>
    </w:p>
    <w:p w14:paraId="491E11CB" w14:textId="77777777" w:rsidR="00B11AEF" w:rsidRPr="00495F52" w:rsidRDefault="00B11AEF" w:rsidP="00B11AEF">
      <w:pPr>
        <w:pStyle w:val="Heading3"/>
        <w:rPr>
          <w:rFonts w:eastAsia="Times New Roman" w:cs="Times New Roman"/>
          <w:caps w:val="0"/>
          <w:color w:val="1F497D" w:themeColor="text2"/>
          <w:sz w:val="28"/>
          <w:szCs w:val="28"/>
        </w:rPr>
      </w:pPr>
      <w:bookmarkStart w:id="508" w:name="_Toc14687620"/>
      <w:bookmarkStart w:id="509" w:name="_Toc45838530"/>
      <w:bookmarkStart w:id="510" w:name="_Toc77356417"/>
      <w:bookmarkStart w:id="511" w:name="_Toc77837860"/>
      <w:bookmarkStart w:id="512" w:name="_Toc519513627"/>
      <w:bookmarkStart w:id="513" w:name="_Toc13837285"/>
      <w:r w:rsidRPr="00CF585F">
        <w:rPr>
          <w:rFonts w:eastAsia="Times New Roman" w:cs="Times New Roman"/>
          <w:caps w:val="0"/>
          <w:color w:val="1F497D" w:themeColor="text2"/>
          <w:sz w:val="28"/>
          <w:szCs w:val="28"/>
        </w:rPr>
        <w:t>3</w:t>
      </w:r>
      <w:r w:rsidRPr="00B07619">
        <w:rPr>
          <w:rFonts w:eastAsia="Times New Roman" w:cs="Times New Roman"/>
          <w:caps w:val="0"/>
          <w:color w:val="1F497D" w:themeColor="text2"/>
          <w:sz w:val="28"/>
          <w:szCs w:val="28"/>
        </w:rPr>
        <w:t>.2. ՀՀ 202</w:t>
      </w:r>
      <w:r w:rsidRPr="00495F52">
        <w:rPr>
          <w:rFonts w:eastAsia="Times New Roman" w:cs="Times New Roman"/>
          <w:caps w:val="0"/>
          <w:color w:val="1F497D" w:themeColor="text2"/>
          <w:sz w:val="28"/>
          <w:szCs w:val="28"/>
        </w:rPr>
        <w:t>2</w:t>
      </w:r>
      <w:r w:rsidRPr="00B07619">
        <w:rPr>
          <w:rFonts w:eastAsia="Times New Roman" w:cs="Times New Roman"/>
          <w:caps w:val="0"/>
          <w:color w:val="1F497D" w:themeColor="text2"/>
          <w:sz w:val="28"/>
          <w:szCs w:val="28"/>
        </w:rPr>
        <w:t>-202</w:t>
      </w:r>
      <w:r w:rsidRPr="00495F52">
        <w:rPr>
          <w:rFonts w:eastAsia="Times New Roman" w:cs="Times New Roman"/>
          <w:caps w:val="0"/>
          <w:color w:val="1F497D" w:themeColor="text2"/>
          <w:sz w:val="28"/>
          <w:szCs w:val="28"/>
        </w:rPr>
        <w:t>4</w:t>
      </w:r>
      <w:r w:rsidRPr="00B07619">
        <w:rPr>
          <w:rFonts w:eastAsia="Times New Roman" w:cs="Times New Roman"/>
          <w:caps w:val="0"/>
          <w:color w:val="1F497D" w:themeColor="text2"/>
          <w:sz w:val="28"/>
          <w:szCs w:val="28"/>
        </w:rPr>
        <w:t xml:space="preserve"> ԹՎԱԿԱՆՆԵՐԻ ՊԵՏԱԿԱՆ ԲՅՈՒՋԵՆԵՐԻ ԵԿԱՄՈՒՏՆԵՐԻ ԿԱՆԽԱՏԵՍՈՒՄԸ</w:t>
      </w:r>
      <w:bookmarkEnd w:id="508"/>
      <w:bookmarkEnd w:id="509"/>
      <w:bookmarkEnd w:id="510"/>
      <w:bookmarkEnd w:id="511"/>
    </w:p>
    <w:p w14:paraId="219D77AF" w14:textId="77777777" w:rsidR="00B11AEF" w:rsidRPr="00B07619" w:rsidRDefault="00B11AEF" w:rsidP="00B11AEF">
      <w:pPr>
        <w:spacing w:before="120" w:after="120" w:line="276" w:lineRule="auto"/>
        <w:ind w:firstLine="426"/>
        <w:rPr>
          <w:rFonts w:cs="Sylfaen"/>
          <w:iCs/>
          <w:lang w:val="af-ZA" w:eastAsia="en-GB"/>
        </w:rPr>
      </w:pPr>
      <w:r w:rsidRPr="00B07619">
        <w:rPr>
          <w:rFonts w:cs="Sylfaen"/>
          <w:iCs/>
          <w:lang w:val="af-ZA" w:eastAsia="en-GB"/>
        </w:rPr>
        <w:t>ՀՀ 2022-2024 թվականների պետական բյուջեների եկամուտները կանխատեսվել են հա</w:t>
      </w:r>
      <w:r w:rsidRPr="00B07619">
        <w:rPr>
          <w:rFonts w:cs="Sylfaen"/>
          <w:iCs/>
          <w:lang w:val="af-ZA" w:eastAsia="en-GB"/>
        </w:rPr>
        <w:softHyphen/>
        <w:t>մա</w:t>
      </w:r>
      <w:r w:rsidRPr="00B07619">
        <w:rPr>
          <w:rFonts w:cs="Sylfaen"/>
          <w:iCs/>
          <w:lang w:val="af-ZA" w:eastAsia="en-GB"/>
        </w:rPr>
        <w:softHyphen/>
        <w:t>պա</w:t>
      </w:r>
      <w:r w:rsidRPr="00B07619">
        <w:rPr>
          <w:rFonts w:cs="Sylfaen"/>
          <w:iCs/>
          <w:lang w:val="af-ZA" w:eastAsia="en-GB"/>
        </w:rPr>
        <w:softHyphen/>
      </w:r>
      <w:r w:rsidRPr="00B07619">
        <w:rPr>
          <w:rFonts w:cs="Sylfaen"/>
          <w:iCs/>
          <w:lang w:val="af-ZA" w:eastAsia="en-GB"/>
        </w:rPr>
        <w:softHyphen/>
        <w:t>տաս</w:t>
      </w:r>
      <w:r w:rsidRPr="00B07619">
        <w:rPr>
          <w:rFonts w:cs="Sylfaen"/>
          <w:iCs/>
          <w:lang w:val="af-ZA" w:eastAsia="en-GB"/>
        </w:rPr>
        <w:softHyphen/>
        <w:t>խա</w:t>
      </w:r>
      <w:r w:rsidRPr="00B07619">
        <w:rPr>
          <w:rFonts w:cs="Sylfaen"/>
          <w:iCs/>
          <w:lang w:val="af-ZA" w:eastAsia="en-GB"/>
        </w:rPr>
        <w:softHyphen/>
        <w:t>նա</w:t>
      </w:r>
      <w:r w:rsidRPr="00B07619">
        <w:rPr>
          <w:rFonts w:cs="Sylfaen"/>
          <w:iCs/>
          <w:lang w:val="af-ZA" w:eastAsia="en-GB"/>
        </w:rPr>
        <w:softHyphen/>
        <w:t>բար` 1,</w:t>
      </w:r>
      <w:r w:rsidRPr="00FA0954">
        <w:rPr>
          <w:rFonts w:cs="Sylfaen"/>
          <w:iCs/>
          <w:lang w:val="hy-AM" w:eastAsia="en-GB"/>
        </w:rPr>
        <w:t>819.2</w:t>
      </w:r>
      <w:r w:rsidRPr="00B07619">
        <w:rPr>
          <w:rFonts w:cs="Sylfaen"/>
          <w:iCs/>
          <w:lang w:val="af-ZA" w:eastAsia="en-GB"/>
        </w:rPr>
        <w:t>, 1,</w:t>
      </w:r>
      <w:r w:rsidRPr="00FA0954">
        <w:rPr>
          <w:rFonts w:cs="Sylfaen"/>
          <w:iCs/>
          <w:lang w:val="hy-AM" w:eastAsia="en-GB"/>
        </w:rPr>
        <w:t>966.7</w:t>
      </w:r>
      <w:r w:rsidRPr="00B07619">
        <w:rPr>
          <w:rFonts w:cs="Sylfaen"/>
          <w:iCs/>
          <w:lang w:val="af-ZA" w:eastAsia="en-GB"/>
        </w:rPr>
        <w:t xml:space="preserve"> և 2,</w:t>
      </w:r>
      <w:r w:rsidRPr="00FA0954">
        <w:rPr>
          <w:rFonts w:cs="Sylfaen"/>
          <w:iCs/>
          <w:lang w:val="hy-AM" w:eastAsia="en-GB"/>
        </w:rPr>
        <w:t>148.3</w:t>
      </w:r>
      <w:r w:rsidRPr="00B07619">
        <w:rPr>
          <w:rFonts w:cs="Sylfaen"/>
          <w:iCs/>
          <w:lang w:val="af-ZA" w:eastAsia="en-GB"/>
        </w:rPr>
        <w:t xml:space="preserve"> մլրդ դրամի չափով: Եկա</w:t>
      </w:r>
      <w:r w:rsidRPr="00B07619">
        <w:rPr>
          <w:rFonts w:cs="Sylfaen"/>
          <w:iCs/>
          <w:lang w:val="af-ZA" w:eastAsia="en-GB"/>
        </w:rPr>
        <w:softHyphen/>
        <w:t>մուտ</w:t>
      </w:r>
      <w:r w:rsidRPr="00B07619">
        <w:rPr>
          <w:rFonts w:cs="Sylfaen"/>
          <w:iCs/>
          <w:lang w:val="af-ZA" w:eastAsia="en-GB"/>
        </w:rPr>
        <w:softHyphen/>
      </w:r>
      <w:r w:rsidRPr="00B07619">
        <w:rPr>
          <w:rFonts w:cs="Sylfaen"/>
          <w:iCs/>
          <w:lang w:val="af-ZA" w:eastAsia="en-GB"/>
        </w:rPr>
        <w:softHyphen/>
      </w:r>
      <w:r w:rsidRPr="00B07619">
        <w:rPr>
          <w:rFonts w:cs="Sylfaen"/>
          <w:iCs/>
          <w:lang w:val="af-ZA" w:eastAsia="en-GB"/>
        </w:rPr>
        <w:softHyphen/>
        <w:t>ների տա</w:t>
      </w:r>
      <w:r w:rsidRPr="00B07619">
        <w:rPr>
          <w:rFonts w:cs="Sylfaen"/>
          <w:iCs/>
          <w:lang w:val="af-ZA" w:eastAsia="en-GB"/>
        </w:rPr>
        <w:softHyphen/>
      </w:r>
      <w:r w:rsidRPr="00B07619">
        <w:rPr>
          <w:rFonts w:cs="Sylfaen"/>
          <w:iCs/>
          <w:lang w:val="af-ZA" w:eastAsia="en-GB"/>
        </w:rPr>
        <w:softHyphen/>
        <w:t>րեկան ծրա</w:t>
      </w:r>
      <w:r w:rsidRPr="00B07619">
        <w:rPr>
          <w:rFonts w:cs="Sylfaen"/>
          <w:iCs/>
          <w:lang w:val="af-ZA" w:eastAsia="en-GB"/>
        </w:rPr>
        <w:softHyphen/>
        <w:t>գրա</w:t>
      </w:r>
      <w:r w:rsidRPr="00B07619">
        <w:rPr>
          <w:rFonts w:cs="Sylfaen"/>
          <w:iCs/>
          <w:lang w:val="af-ZA" w:eastAsia="en-GB"/>
        </w:rPr>
        <w:softHyphen/>
        <w:t>յին ծավալները կապահովվեն հիմնականում ի հաշիվ հար</w:t>
      </w:r>
      <w:r w:rsidRPr="00B07619">
        <w:rPr>
          <w:rFonts w:cs="Sylfaen"/>
          <w:iCs/>
          <w:lang w:val="af-ZA" w:eastAsia="en-GB"/>
        </w:rPr>
        <w:softHyphen/>
        <w:t>կային եկա</w:t>
      </w:r>
      <w:r w:rsidRPr="00B07619">
        <w:rPr>
          <w:rFonts w:cs="Sylfaen"/>
          <w:iCs/>
          <w:lang w:val="af-ZA" w:eastAsia="en-GB"/>
        </w:rPr>
        <w:softHyphen/>
        <w:t>մուտ</w:t>
      </w:r>
      <w:r w:rsidRPr="00B07619">
        <w:rPr>
          <w:rFonts w:cs="Sylfaen"/>
          <w:iCs/>
          <w:lang w:val="af-ZA" w:eastAsia="en-GB"/>
        </w:rPr>
        <w:softHyphen/>
        <w:t>ների:</w:t>
      </w:r>
    </w:p>
    <w:p w14:paraId="31052D5F" w14:textId="77777777" w:rsidR="00B11AEF" w:rsidRPr="00B07619" w:rsidRDefault="00B11AEF" w:rsidP="00B11AEF">
      <w:pPr>
        <w:spacing w:before="120" w:after="120" w:line="360" w:lineRule="auto"/>
        <w:ind w:firstLine="0"/>
        <w:rPr>
          <w:rFonts w:cs="Sylfaen"/>
          <w:iCs/>
          <w:lang w:val="hy-AM" w:eastAsia="en-GB"/>
        </w:rPr>
      </w:pPr>
      <w:r w:rsidRPr="00B07619">
        <w:rPr>
          <w:b/>
          <w:sz w:val="20"/>
          <w:szCs w:val="20"/>
          <w:lang w:val="hy-AM"/>
        </w:rPr>
        <w:t>Աղյուսակ</w:t>
      </w:r>
      <w:r w:rsidRPr="00B07619">
        <w:rPr>
          <w:b/>
          <w:sz w:val="20"/>
          <w:szCs w:val="20"/>
          <w:lang w:val="af-ZA"/>
        </w:rPr>
        <w:t xml:space="preserve"> 3.2.</w:t>
      </w:r>
      <w:r w:rsidRPr="00B07619">
        <w:rPr>
          <w:b/>
          <w:sz w:val="20"/>
          <w:szCs w:val="20"/>
          <w:lang w:val="hy-AM"/>
        </w:rPr>
        <w:t>1</w:t>
      </w:r>
      <w:r w:rsidRPr="00B07619">
        <w:rPr>
          <w:b/>
          <w:sz w:val="20"/>
          <w:szCs w:val="20"/>
          <w:lang w:val="af-ZA"/>
        </w:rPr>
        <w:t xml:space="preserve">.  </w:t>
      </w:r>
      <w:r w:rsidRPr="00B07619">
        <w:rPr>
          <w:i/>
          <w:sz w:val="20"/>
          <w:szCs w:val="20"/>
          <w:lang w:val="af-ZA"/>
        </w:rPr>
        <w:t>2022-2024</w:t>
      </w:r>
      <w:r w:rsidRPr="00B07619">
        <w:rPr>
          <w:i/>
          <w:sz w:val="20"/>
          <w:szCs w:val="20"/>
          <w:lang w:val="hy-AM"/>
        </w:rPr>
        <w:t>թթ</w:t>
      </w:r>
      <w:r w:rsidRPr="00B07619">
        <w:rPr>
          <w:i/>
          <w:sz w:val="20"/>
          <w:szCs w:val="20"/>
          <w:lang w:val="af-ZA"/>
        </w:rPr>
        <w:t xml:space="preserve"> </w:t>
      </w:r>
      <w:r w:rsidRPr="00B07619">
        <w:rPr>
          <w:i/>
          <w:sz w:val="20"/>
          <w:szCs w:val="20"/>
          <w:lang w:val="hy-AM"/>
        </w:rPr>
        <w:t>ծրագրված</w:t>
      </w:r>
      <w:r w:rsidRPr="00B07619">
        <w:rPr>
          <w:i/>
          <w:sz w:val="20"/>
          <w:szCs w:val="20"/>
          <w:lang w:val="af-ZA"/>
        </w:rPr>
        <w:t xml:space="preserve"> </w:t>
      </w:r>
      <w:r w:rsidRPr="00B07619">
        <w:rPr>
          <w:i/>
          <w:sz w:val="20"/>
          <w:szCs w:val="20"/>
          <w:lang w:val="hy-AM"/>
        </w:rPr>
        <w:t>եկամուտները</w:t>
      </w:r>
      <w:r w:rsidRPr="00B07619">
        <w:rPr>
          <w:i/>
          <w:sz w:val="20"/>
          <w:szCs w:val="20"/>
          <w:lang w:val="af-ZA"/>
        </w:rPr>
        <w:t xml:space="preserve"> (</w:t>
      </w:r>
      <w:r w:rsidRPr="00B07619">
        <w:rPr>
          <w:i/>
          <w:sz w:val="20"/>
          <w:szCs w:val="20"/>
          <w:lang w:val="hy-AM"/>
        </w:rPr>
        <w:t>մլրդ</w:t>
      </w:r>
      <w:r w:rsidRPr="00B07619">
        <w:rPr>
          <w:i/>
          <w:sz w:val="20"/>
          <w:szCs w:val="20"/>
          <w:lang w:val="af-ZA"/>
        </w:rPr>
        <w:t xml:space="preserve"> </w:t>
      </w:r>
      <w:r w:rsidRPr="00B07619">
        <w:rPr>
          <w:i/>
          <w:sz w:val="20"/>
          <w:szCs w:val="20"/>
          <w:lang w:val="hy-AM"/>
        </w:rPr>
        <w:t>դրամ</w:t>
      </w:r>
      <w:r w:rsidRPr="00B07619">
        <w:rPr>
          <w:i/>
          <w:sz w:val="20"/>
          <w:szCs w:val="20"/>
          <w:lang w:val="af-ZA"/>
        </w:rPr>
        <w:softHyphen/>
        <w:t>)</w:t>
      </w:r>
    </w:p>
    <w:tbl>
      <w:tblPr>
        <w:tblW w:w="9920" w:type="dxa"/>
        <w:tblInd w:w="108" w:type="dxa"/>
        <w:tblLook w:val="04A0" w:firstRow="1" w:lastRow="0" w:firstColumn="1" w:lastColumn="0" w:noHBand="0" w:noVBand="1"/>
      </w:tblPr>
      <w:tblGrid>
        <w:gridCol w:w="3200"/>
        <w:gridCol w:w="960"/>
        <w:gridCol w:w="960"/>
        <w:gridCol w:w="960"/>
        <w:gridCol w:w="1074"/>
        <w:gridCol w:w="960"/>
        <w:gridCol w:w="960"/>
        <w:gridCol w:w="960"/>
      </w:tblGrid>
      <w:tr w:rsidR="00B11AEF" w:rsidRPr="00B07619" w14:paraId="46B230A6" w14:textId="77777777" w:rsidTr="00B11AEF">
        <w:trPr>
          <w:trHeight w:val="300"/>
          <w:tblHeader/>
        </w:trPr>
        <w:tc>
          <w:tcPr>
            <w:tcW w:w="3200" w:type="dxa"/>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noWrap/>
            <w:vAlign w:val="center"/>
          </w:tcPr>
          <w:p w14:paraId="2EAA6337" w14:textId="77777777" w:rsidR="00B11AEF" w:rsidRPr="00B07619" w:rsidRDefault="00B11AEF" w:rsidP="00B11AEF">
            <w:pPr>
              <w:spacing w:after="0" w:line="240" w:lineRule="auto"/>
              <w:ind w:firstLine="0"/>
              <w:jc w:val="left"/>
              <w:rPr>
                <w:bCs/>
                <w:color w:val="FFFFFF" w:themeColor="background1"/>
                <w:sz w:val="20"/>
                <w:szCs w:val="20"/>
              </w:rPr>
            </w:pPr>
            <w:r w:rsidRPr="00B07619">
              <w:rPr>
                <w:bCs/>
                <w:color w:val="FFFFFF" w:themeColor="background1"/>
                <w:sz w:val="20"/>
                <w:szCs w:val="20"/>
              </w:rPr>
              <w:t>Եկամտատեսակը</w:t>
            </w:r>
          </w:p>
        </w:tc>
        <w:tc>
          <w:tcPr>
            <w:tcW w:w="960" w:type="dxa"/>
            <w:tcBorders>
              <w:top w:val="single" w:sz="4" w:space="0" w:color="auto"/>
              <w:left w:val="nil"/>
              <w:bottom w:val="single" w:sz="4" w:space="0" w:color="auto"/>
              <w:right w:val="single" w:sz="4" w:space="0" w:color="auto"/>
            </w:tcBorders>
            <w:shd w:val="clear" w:color="auto" w:fill="548DD4" w:themeFill="text2" w:themeFillTint="99"/>
            <w:noWrap/>
            <w:vAlign w:val="center"/>
          </w:tcPr>
          <w:p w14:paraId="59ACF651" w14:textId="77777777" w:rsidR="00B11AEF" w:rsidRPr="00B07619" w:rsidRDefault="00B11AEF" w:rsidP="00B11AEF">
            <w:pPr>
              <w:spacing w:after="0" w:line="240" w:lineRule="auto"/>
              <w:ind w:firstLine="0"/>
              <w:jc w:val="center"/>
              <w:rPr>
                <w:bCs/>
                <w:color w:val="FFFFFF" w:themeColor="background1"/>
                <w:sz w:val="20"/>
                <w:szCs w:val="20"/>
              </w:rPr>
            </w:pPr>
            <w:r w:rsidRPr="00B07619">
              <w:rPr>
                <w:bCs/>
                <w:color w:val="FFFFFF" w:themeColor="background1"/>
                <w:sz w:val="20"/>
                <w:szCs w:val="20"/>
              </w:rPr>
              <w:t>2018թ</w:t>
            </w:r>
          </w:p>
        </w:tc>
        <w:tc>
          <w:tcPr>
            <w:tcW w:w="960" w:type="dxa"/>
            <w:tcBorders>
              <w:top w:val="single" w:sz="4" w:space="0" w:color="auto"/>
              <w:left w:val="nil"/>
              <w:bottom w:val="single" w:sz="4" w:space="0" w:color="auto"/>
              <w:right w:val="single" w:sz="4" w:space="0" w:color="auto"/>
            </w:tcBorders>
            <w:shd w:val="clear" w:color="auto" w:fill="548DD4" w:themeFill="text2" w:themeFillTint="99"/>
            <w:noWrap/>
            <w:vAlign w:val="center"/>
          </w:tcPr>
          <w:p w14:paraId="5B726A40" w14:textId="77777777" w:rsidR="00B11AEF" w:rsidRPr="00B07619" w:rsidRDefault="00B11AEF" w:rsidP="00B11AEF">
            <w:pPr>
              <w:spacing w:after="0" w:line="240" w:lineRule="auto"/>
              <w:ind w:firstLine="0"/>
              <w:jc w:val="center"/>
              <w:rPr>
                <w:bCs/>
                <w:color w:val="FFFFFF" w:themeColor="background1"/>
                <w:sz w:val="20"/>
                <w:szCs w:val="20"/>
              </w:rPr>
            </w:pPr>
            <w:r w:rsidRPr="00B07619">
              <w:rPr>
                <w:bCs/>
                <w:color w:val="FFFFFF" w:themeColor="background1"/>
                <w:sz w:val="20"/>
                <w:szCs w:val="20"/>
              </w:rPr>
              <w:t>2019թ</w:t>
            </w:r>
          </w:p>
        </w:tc>
        <w:tc>
          <w:tcPr>
            <w:tcW w:w="960" w:type="dxa"/>
            <w:tcBorders>
              <w:top w:val="single" w:sz="4" w:space="0" w:color="auto"/>
              <w:left w:val="nil"/>
              <w:bottom w:val="single" w:sz="4" w:space="0" w:color="auto"/>
              <w:right w:val="single" w:sz="4" w:space="0" w:color="auto"/>
            </w:tcBorders>
            <w:shd w:val="clear" w:color="auto" w:fill="548DD4" w:themeFill="text2" w:themeFillTint="99"/>
            <w:noWrap/>
            <w:vAlign w:val="center"/>
          </w:tcPr>
          <w:p w14:paraId="4F62F782" w14:textId="77777777" w:rsidR="00B11AEF" w:rsidRPr="00B07619" w:rsidRDefault="00B11AEF" w:rsidP="00B11AEF">
            <w:pPr>
              <w:spacing w:after="0" w:line="240" w:lineRule="auto"/>
              <w:ind w:firstLine="0"/>
              <w:jc w:val="center"/>
              <w:rPr>
                <w:bCs/>
                <w:color w:val="FFFFFF" w:themeColor="background1"/>
                <w:sz w:val="20"/>
                <w:szCs w:val="20"/>
              </w:rPr>
            </w:pPr>
            <w:r w:rsidRPr="00B07619">
              <w:rPr>
                <w:bCs/>
                <w:color w:val="FFFFFF" w:themeColor="background1"/>
                <w:sz w:val="20"/>
                <w:szCs w:val="20"/>
              </w:rPr>
              <w:t>2020թ</w:t>
            </w:r>
          </w:p>
        </w:tc>
        <w:tc>
          <w:tcPr>
            <w:tcW w:w="960" w:type="dxa"/>
            <w:tcBorders>
              <w:top w:val="single" w:sz="4" w:space="0" w:color="auto"/>
              <w:left w:val="nil"/>
              <w:bottom w:val="single" w:sz="4" w:space="0" w:color="auto"/>
              <w:right w:val="single" w:sz="4" w:space="0" w:color="auto"/>
            </w:tcBorders>
            <w:shd w:val="clear" w:color="auto" w:fill="548DD4" w:themeFill="text2" w:themeFillTint="99"/>
            <w:noWrap/>
            <w:vAlign w:val="center"/>
          </w:tcPr>
          <w:p w14:paraId="22BE2366" w14:textId="77777777" w:rsidR="00B11AEF" w:rsidRPr="00B07619" w:rsidRDefault="00B11AEF" w:rsidP="00B11AEF">
            <w:pPr>
              <w:spacing w:after="0" w:line="240" w:lineRule="auto"/>
              <w:ind w:firstLine="0"/>
              <w:jc w:val="center"/>
              <w:rPr>
                <w:bCs/>
                <w:color w:val="FFFFFF" w:themeColor="background1"/>
                <w:sz w:val="20"/>
                <w:szCs w:val="20"/>
              </w:rPr>
            </w:pPr>
            <w:r w:rsidRPr="00B07619">
              <w:rPr>
                <w:bCs/>
                <w:color w:val="FFFFFF" w:themeColor="background1"/>
                <w:sz w:val="20"/>
                <w:szCs w:val="20"/>
              </w:rPr>
              <w:t>2021թ</w:t>
            </w:r>
          </w:p>
        </w:tc>
        <w:tc>
          <w:tcPr>
            <w:tcW w:w="960" w:type="dxa"/>
            <w:tcBorders>
              <w:top w:val="single" w:sz="4" w:space="0" w:color="auto"/>
              <w:left w:val="nil"/>
              <w:bottom w:val="single" w:sz="4" w:space="0" w:color="auto"/>
              <w:right w:val="single" w:sz="4" w:space="0" w:color="auto"/>
            </w:tcBorders>
            <w:shd w:val="clear" w:color="auto" w:fill="548DD4" w:themeFill="text2" w:themeFillTint="99"/>
            <w:noWrap/>
            <w:vAlign w:val="center"/>
          </w:tcPr>
          <w:p w14:paraId="7360CC7B" w14:textId="77777777" w:rsidR="00B11AEF" w:rsidRPr="00B07619" w:rsidRDefault="00B11AEF" w:rsidP="00B11AEF">
            <w:pPr>
              <w:spacing w:after="0" w:line="240" w:lineRule="auto"/>
              <w:ind w:firstLine="0"/>
              <w:jc w:val="center"/>
              <w:rPr>
                <w:bCs/>
                <w:color w:val="FFFFFF" w:themeColor="background1"/>
                <w:sz w:val="20"/>
                <w:szCs w:val="20"/>
              </w:rPr>
            </w:pPr>
            <w:r w:rsidRPr="00B07619">
              <w:rPr>
                <w:bCs/>
                <w:color w:val="FFFFFF" w:themeColor="background1"/>
                <w:sz w:val="20"/>
                <w:szCs w:val="20"/>
              </w:rPr>
              <w:t>2022թ</w:t>
            </w:r>
          </w:p>
        </w:tc>
        <w:tc>
          <w:tcPr>
            <w:tcW w:w="960" w:type="dxa"/>
            <w:tcBorders>
              <w:top w:val="single" w:sz="4" w:space="0" w:color="auto"/>
              <w:left w:val="nil"/>
              <w:bottom w:val="single" w:sz="4" w:space="0" w:color="auto"/>
              <w:right w:val="single" w:sz="4" w:space="0" w:color="auto"/>
            </w:tcBorders>
            <w:shd w:val="clear" w:color="auto" w:fill="548DD4" w:themeFill="text2" w:themeFillTint="99"/>
            <w:noWrap/>
            <w:vAlign w:val="center"/>
          </w:tcPr>
          <w:p w14:paraId="63916F03" w14:textId="77777777" w:rsidR="00B11AEF" w:rsidRPr="00B07619" w:rsidRDefault="00B11AEF" w:rsidP="00B11AEF">
            <w:pPr>
              <w:spacing w:after="0" w:line="240" w:lineRule="auto"/>
              <w:ind w:firstLine="0"/>
              <w:jc w:val="center"/>
              <w:rPr>
                <w:bCs/>
                <w:color w:val="FFFFFF" w:themeColor="background1"/>
                <w:sz w:val="20"/>
                <w:szCs w:val="20"/>
              </w:rPr>
            </w:pPr>
            <w:r w:rsidRPr="00B07619">
              <w:rPr>
                <w:bCs/>
                <w:color w:val="FFFFFF" w:themeColor="background1"/>
                <w:sz w:val="20"/>
                <w:szCs w:val="20"/>
              </w:rPr>
              <w:t>2023թ</w:t>
            </w:r>
          </w:p>
        </w:tc>
        <w:tc>
          <w:tcPr>
            <w:tcW w:w="960" w:type="dxa"/>
            <w:tcBorders>
              <w:top w:val="single" w:sz="4" w:space="0" w:color="auto"/>
              <w:left w:val="nil"/>
              <w:bottom w:val="single" w:sz="4" w:space="0" w:color="auto"/>
              <w:right w:val="single" w:sz="4" w:space="0" w:color="auto"/>
            </w:tcBorders>
            <w:shd w:val="clear" w:color="auto" w:fill="548DD4" w:themeFill="text2" w:themeFillTint="99"/>
            <w:noWrap/>
            <w:vAlign w:val="center"/>
          </w:tcPr>
          <w:p w14:paraId="5D5CA852" w14:textId="77777777" w:rsidR="00B11AEF" w:rsidRPr="00B07619" w:rsidRDefault="00B11AEF" w:rsidP="00B11AEF">
            <w:pPr>
              <w:spacing w:after="0" w:line="240" w:lineRule="auto"/>
              <w:ind w:firstLine="0"/>
              <w:jc w:val="center"/>
              <w:rPr>
                <w:bCs/>
                <w:color w:val="FFFFFF" w:themeColor="background1"/>
                <w:sz w:val="20"/>
                <w:szCs w:val="20"/>
              </w:rPr>
            </w:pPr>
            <w:r w:rsidRPr="00B07619">
              <w:rPr>
                <w:bCs/>
                <w:color w:val="FFFFFF" w:themeColor="background1"/>
                <w:sz w:val="20"/>
                <w:szCs w:val="20"/>
              </w:rPr>
              <w:t>2024թ</w:t>
            </w:r>
          </w:p>
        </w:tc>
      </w:tr>
      <w:tr w:rsidR="00B11AEF" w:rsidRPr="00B07619" w14:paraId="238CF7A9" w14:textId="77777777" w:rsidTr="00B11AEF">
        <w:trPr>
          <w:trHeight w:val="300"/>
          <w:tblHeader/>
        </w:trPr>
        <w:tc>
          <w:tcPr>
            <w:tcW w:w="3200" w:type="dxa"/>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tcPr>
          <w:p w14:paraId="3D01287F" w14:textId="77777777" w:rsidR="00B11AEF" w:rsidRPr="00B07619" w:rsidRDefault="00B11AEF" w:rsidP="00B11AEF">
            <w:pPr>
              <w:spacing w:after="0" w:line="240" w:lineRule="auto"/>
              <w:ind w:firstLine="0"/>
              <w:jc w:val="left"/>
              <w:rPr>
                <w:bCs/>
                <w:color w:val="FFFFFF" w:themeColor="background1"/>
                <w:sz w:val="20"/>
                <w:szCs w:val="20"/>
              </w:rPr>
            </w:pPr>
          </w:p>
        </w:tc>
        <w:tc>
          <w:tcPr>
            <w:tcW w:w="2880" w:type="dxa"/>
            <w:gridSpan w:val="3"/>
            <w:tcBorders>
              <w:top w:val="single" w:sz="4" w:space="0" w:color="auto"/>
              <w:left w:val="nil"/>
              <w:bottom w:val="single" w:sz="4" w:space="0" w:color="auto"/>
              <w:right w:val="single" w:sz="4" w:space="0" w:color="auto"/>
            </w:tcBorders>
            <w:shd w:val="clear" w:color="auto" w:fill="548DD4" w:themeFill="text2" w:themeFillTint="99"/>
            <w:noWrap/>
            <w:vAlign w:val="center"/>
          </w:tcPr>
          <w:p w14:paraId="707B61F5" w14:textId="77777777" w:rsidR="00B11AEF" w:rsidRPr="00B07619" w:rsidRDefault="00B11AEF" w:rsidP="00B11AEF">
            <w:pPr>
              <w:spacing w:after="0" w:line="240" w:lineRule="auto"/>
              <w:ind w:firstLine="0"/>
              <w:jc w:val="center"/>
              <w:rPr>
                <w:bCs/>
                <w:color w:val="FFFFFF" w:themeColor="background1"/>
                <w:sz w:val="20"/>
                <w:szCs w:val="20"/>
              </w:rPr>
            </w:pPr>
            <w:r w:rsidRPr="00B07619">
              <w:rPr>
                <w:bCs/>
                <w:color w:val="FFFFFF" w:themeColor="background1"/>
                <w:sz w:val="20"/>
                <w:szCs w:val="20"/>
              </w:rPr>
              <w:t>Փաստ</w:t>
            </w:r>
          </w:p>
        </w:tc>
        <w:tc>
          <w:tcPr>
            <w:tcW w:w="960" w:type="dxa"/>
            <w:tcBorders>
              <w:top w:val="nil"/>
              <w:left w:val="nil"/>
              <w:bottom w:val="single" w:sz="4" w:space="0" w:color="auto"/>
              <w:right w:val="single" w:sz="4" w:space="0" w:color="auto"/>
            </w:tcBorders>
            <w:shd w:val="clear" w:color="auto" w:fill="548DD4" w:themeFill="text2" w:themeFillTint="99"/>
            <w:vAlign w:val="center"/>
          </w:tcPr>
          <w:p w14:paraId="4869DB54" w14:textId="77777777" w:rsidR="00B11AEF" w:rsidRPr="00B07619" w:rsidRDefault="00B11AEF" w:rsidP="00B11AEF">
            <w:pPr>
              <w:spacing w:after="0" w:line="240" w:lineRule="auto"/>
              <w:ind w:firstLine="0"/>
              <w:jc w:val="center"/>
              <w:rPr>
                <w:bCs/>
                <w:color w:val="FFFFFF" w:themeColor="background1"/>
                <w:sz w:val="20"/>
                <w:szCs w:val="20"/>
              </w:rPr>
            </w:pPr>
            <w:r>
              <w:rPr>
                <w:bCs/>
                <w:color w:val="FFFFFF" w:themeColor="background1"/>
                <w:sz w:val="20"/>
                <w:szCs w:val="20"/>
              </w:rPr>
              <w:t>Սպասում</w:t>
            </w:r>
          </w:p>
        </w:tc>
        <w:tc>
          <w:tcPr>
            <w:tcW w:w="2880" w:type="dxa"/>
            <w:gridSpan w:val="3"/>
            <w:tcBorders>
              <w:top w:val="single" w:sz="4" w:space="0" w:color="auto"/>
              <w:left w:val="nil"/>
              <w:bottom w:val="single" w:sz="4" w:space="0" w:color="auto"/>
              <w:right w:val="single" w:sz="4" w:space="0" w:color="auto"/>
            </w:tcBorders>
            <w:shd w:val="clear" w:color="auto" w:fill="548DD4" w:themeFill="text2" w:themeFillTint="99"/>
            <w:noWrap/>
            <w:vAlign w:val="center"/>
          </w:tcPr>
          <w:p w14:paraId="201011F0" w14:textId="77777777" w:rsidR="00B11AEF" w:rsidRPr="00B07619" w:rsidRDefault="00B11AEF" w:rsidP="00B11AEF">
            <w:pPr>
              <w:spacing w:after="0" w:line="240" w:lineRule="auto"/>
              <w:ind w:firstLine="0"/>
              <w:jc w:val="center"/>
              <w:rPr>
                <w:bCs/>
                <w:color w:val="FFFFFF" w:themeColor="background1"/>
                <w:sz w:val="20"/>
                <w:szCs w:val="20"/>
              </w:rPr>
            </w:pPr>
            <w:r w:rsidRPr="00B07619">
              <w:rPr>
                <w:bCs/>
                <w:color w:val="FFFFFF" w:themeColor="background1"/>
                <w:sz w:val="20"/>
                <w:szCs w:val="20"/>
              </w:rPr>
              <w:t>Կանխատեսում</w:t>
            </w:r>
          </w:p>
        </w:tc>
      </w:tr>
      <w:tr w:rsidR="00B11AEF" w:rsidRPr="00B07619" w14:paraId="575CA1D5"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C6D9F1" w:themeFill="text2" w:themeFillTint="33"/>
            <w:vAlign w:val="center"/>
          </w:tcPr>
          <w:p w14:paraId="7205CF34" w14:textId="77777777" w:rsidR="00B11AEF" w:rsidRPr="00B07619" w:rsidRDefault="00B11AEF" w:rsidP="00B11AEF">
            <w:pPr>
              <w:spacing w:after="0" w:line="240" w:lineRule="auto"/>
              <w:ind w:firstLine="0"/>
              <w:jc w:val="left"/>
              <w:rPr>
                <w:rFonts w:cs="Calibri"/>
                <w:color w:val="000000"/>
                <w:sz w:val="20"/>
                <w:szCs w:val="20"/>
              </w:rPr>
            </w:pPr>
            <w:r w:rsidRPr="00B07619">
              <w:rPr>
                <w:rFonts w:cs="Calibri"/>
                <w:color w:val="000000"/>
                <w:sz w:val="20"/>
                <w:szCs w:val="20"/>
              </w:rPr>
              <w:t xml:space="preserve"> Պետական բյուջեի եկամուտներ, որից` </w:t>
            </w:r>
          </w:p>
        </w:tc>
        <w:tc>
          <w:tcPr>
            <w:tcW w:w="960" w:type="dxa"/>
            <w:tcBorders>
              <w:top w:val="nil"/>
              <w:left w:val="nil"/>
              <w:bottom w:val="single" w:sz="4" w:space="0" w:color="auto"/>
              <w:right w:val="single" w:sz="4" w:space="0" w:color="auto"/>
            </w:tcBorders>
            <w:shd w:val="clear" w:color="auto" w:fill="C6D9F1" w:themeFill="text2" w:themeFillTint="33"/>
            <w:noWrap/>
            <w:vAlign w:val="center"/>
          </w:tcPr>
          <w:p w14:paraId="63EB02A9" w14:textId="77777777" w:rsidR="00B11AEF" w:rsidRPr="00B07619" w:rsidRDefault="00B11AEF" w:rsidP="00B11AEF">
            <w:pPr>
              <w:spacing w:after="0" w:line="240" w:lineRule="auto"/>
              <w:ind w:firstLine="0"/>
              <w:jc w:val="right"/>
              <w:rPr>
                <w:rFonts w:cs="Calibri"/>
                <w:color w:val="000000"/>
                <w:sz w:val="20"/>
                <w:szCs w:val="20"/>
              </w:rPr>
            </w:pPr>
            <w:r w:rsidRPr="00B07619">
              <w:rPr>
                <w:rFonts w:cs="Calibri"/>
                <w:color w:val="000000"/>
                <w:sz w:val="20"/>
                <w:szCs w:val="20"/>
              </w:rPr>
              <w:t>1,341.7</w:t>
            </w:r>
          </w:p>
        </w:tc>
        <w:tc>
          <w:tcPr>
            <w:tcW w:w="960" w:type="dxa"/>
            <w:tcBorders>
              <w:top w:val="nil"/>
              <w:left w:val="nil"/>
              <w:bottom w:val="single" w:sz="4" w:space="0" w:color="auto"/>
              <w:right w:val="single" w:sz="4" w:space="0" w:color="auto"/>
            </w:tcBorders>
            <w:shd w:val="clear" w:color="auto" w:fill="C6D9F1" w:themeFill="text2" w:themeFillTint="33"/>
            <w:noWrap/>
            <w:vAlign w:val="center"/>
          </w:tcPr>
          <w:p w14:paraId="49D20880" w14:textId="77777777" w:rsidR="00B11AEF" w:rsidRPr="00B07619" w:rsidRDefault="00B11AEF" w:rsidP="00B11AEF">
            <w:pPr>
              <w:spacing w:after="0" w:line="240" w:lineRule="auto"/>
              <w:ind w:firstLine="0"/>
              <w:jc w:val="right"/>
              <w:rPr>
                <w:rFonts w:cs="Calibri"/>
                <w:color w:val="000000"/>
                <w:sz w:val="20"/>
                <w:szCs w:val="20"/>
              </w:rPr>
            </w:pPr>
            <w:r w:rsidRPr="00B07619">
              <w:rPr>
                <w:rFonts w:cs="Calibri"/>
                <w:color w:val="000000"/>
                <w:sz w:val="20"/>
                <w:szCs w:val="20"/>
              </w:rPr>
              <w:t>1,565.5</w:t>
            </w:r>
          </w:p>
        </w:tc>
        <w:tc>
          <w:tcPr>
            <w:tcW w:w="960" w:type="dxa"/>
            <w:tcBorders>
              <w:top w:val="nil"/>
              <w:left w:val="nil"/>
              <w:bottom w:val="single" w:sz="4" w:space="0" w:color="auto"/>
              <w:right w:val="single" w:sz="4" w:space="0" w:color="auto"/>
            </w:tcBorders>
            <w:shd w:val="clear" w:color="auto" w:fill="C6D9F1" w:themeFill="text2" w:themeFillTint="33"/>
            <w:noWrap/>
            <w:vAlign w:val="center"/>
          </w:tcPr>
          <w:p w14:paraId="199D010D" w14:textId="77777777" w:rsidR="00B11AEF" w:rsidRPr="00B07619" w:rsidRDefault="00B11AEF" w:rsidP="00B11AEF">
            <w:pPr>
              <w:spacing w:after="0" w:line="240" w:lineRule="auto"/>
              <w:ind w:firstLine="0"/>
              <w:jc w:val="right"/>
              <w:rPr>
                <w:rFonts w:cs="Calibri"/>
                <w:color w:val="000000"/>
                <w:sz w:val="20"/>
                <w:szCs w:val="20"/>
              </w:rPr>
            </w:pPr>
            <w:r w:rsidRPr="00B07619">
              <w:rPr>
                <w:rFonts w:cs="Calibri"/>
                <w:color w:val="000000"/>
                <w:sz w:val="20"/>
                <w:szCs w:val="20"/>
              </w:rPr>
              <w:t>1,560.7</w:t>
            </w:r>
          </w:p>
        </w:tc>
        <w:tc>
          <w:tcPr>
            <w:tcW w:w="960" w:type="dxa"/>
            <w:tcBorders>
              <w:top w:val="nil"/>
              <w:left w:val="nil"/>
              <w:bottom w:val="single" w:sz="4" w:space="0" w:color="auto"/>
              <w:right w:val="single" w:sz="4" w:space="0" w:color="auto"/>
            </w:tcBorders>
            <w:shd w:val="clear" w:color="auto" w:fill="C6D9F1" w:themeFill="text2" w:themeFillTint="33"/>
            <w:noWrap/>
            <w:vAlign w:val="center"/>
          </w:tcPr>
          <w:p w14:paraId="373E0E70" w14:textId="77777777" w:rsidR="00B11AEF" w:rsidRPr="00B07619" w:rsidRDefault="00B11AEF" w:rsidP="00B11AEF">
            <w:pPr>
              <w:spacing w:after="0" w:line="240" w:lineRule="auto"/>
              <w:ind w:firstLine="0"/>
              <w:jc w:val="right"/>
              <w:rPr>
                <w:rFonts w:cs="Calibri"/>
                <w:color w:val="000000"/>
                <w:sz w:val="20"/>
                <w:szCs w:val="20"/>
              </w:rPr>
            </w:pPr>
            <w:r w:rsidRPr="00B07619">
              <w:rPr>
                <w:rFonts w:cs="Calibri"/>
                <w:color w:val="000000"/>
                <w:sz w:val="20"/>
                <w:szCs w:val="20"/>
              </w:rPr>
              <w:t>1,</w:t>
            </w:r>
            <w:r>
              <w:rPr>
                <w:rFonts w:cs="Calibri"/>
                <w:color w:val="000000"/>
                <w:sz w:val="20"/>
                <w:szCs w:val="20"/>
              </w:rPr>
              <w:t>617</w:t>
            </w:r>
            <w:r w:rsidRPr="00B07619">
              <w:rPr>
                <w:rFonts w:cs="Calibri"/>
                <w:color w:val="000000"/>
                <w:sz w:val="20"/>
                <w:szCs w:val="20"/>
              </w:rPr>
              <w:t>.</w:t>
            </w:r>
            <w:r>
              <w:rPr>
                <w:rFonts w:cs="Calibri"/>
                <w:color w:val="000000"/>
                <w:sz w:val="20"/>
                <w:szCs w:val="20"/>
              </w:rPr>
              <w:t>3</w:t>
            </w:r>
          </w:p>
        </w:tc>
        <w:tc>
          <w:tcPr>
            <w:tcW w:w="960" w:type="dxa"/>
            <w:tcBorders>
              <w:top w:val="nil"/>
              <w:left w:val="nil"/>
              <w:bottom w:val="single" w:sz="4" w:space="0" w:color="auto"/>
              <w:right w:val="single" w:sz="4" w:space="0" w:color="auto"/>
            </w:tcBorders>
            <w:shd w:val="clear" w:color="auto" w:fill="C6D9F1" w:themeFill="text2" w:themeFillTint="33"/>
            <w:noWrap/>
            <w:vAlign w:val="center"/>
          </w:tcPr>
          <w:p w14:paraId="62BCB9CC" w14:textId="77777777" w:rsidR="00B11AEF" w:rsidRPr="00B07619" w:rsidRDefault="00B11AEF" w:rsidP="00B11AEF">
            <w:pPr>
              <w:spacing w:after="0" w:line="240" w:lineRule="auto"/>
              <w:ind w:firstLine="0"/>
              <w:jc w:val="right"/>
              <w:rPr>
                <w:rFonts w:cs="Calibri"/>
                <w:color w:val="000000"/>
                <w:sz w:val="20"/>
                <w:szCs w:val="20"/>
              </w:rPr>
            </w:pPr>
            <w:r w:rsidRPr="00B07619">
              <w:rPr>
                <w:rFonts w:cs="Calibri"/>
                <w:color w:val="000000"/>
                <w:sz w:val="20"/>
                <w:szCs w:val="20"/>
              </w:rPr>
              <w:t>1,819.2</w:t>
            </w:r>
          </w:p>
        </w:tc>
        <w:tc>
          <w:tcPr>
            <w:tcW w:w="960" w:type="dxa"/>
            <w:tcBorders>
              <w:top w:val="nil"/>
              <w:left w:val="nil"/>
              <w:bottom w:val="single" w:sz="4" w:space="0" w:color="auto"/>
              <w:right w:val="single" w:sz="4" w:space="0" w:color="auto"/>
            </w:tcBorders>
            <w:shd w:val="clear" w:color="auto" w:fill="C6D9F1" w:themeFill="text2" w:themeFillTint="33"/>
            <w:noWrap/>
            <w:vAlign w:val="center"/>
          </w:tcPr>
          <w:p w14:paraId="7D30C283" w14:textId="77777777" w:rsidR="00B11AEF" w:rsidRPr="00B07619" w:rsidRDefault="00B11AEF" w:rsidP="00B11AEF">
            <w:pPr>
              <w:spacing w:after="0" w:line="240" w:lineRule="auto"/>
              <w:ind w:firstLine="0"/>
              <w:jc w:val="right"/>
              <w:rPr>
                <w:rFonts w:cs="Calibri"/>
                <w:color w:val="000000"/>
                <w:sz w:val="20"/>
                <w:szCs w:val="20"/>
              </w:rPr>
            </w:pPr>
            <w:r w:rsidRPr="00B07619">
              <w:rPr>
                <w:rFonts w:cs="Calibri"/>
                <w:color w:val="000000"/>
                <w:sz w:val="20"/>
                <w:szCs w:val="20"/>
              </w:rPr>
              <w:t>1,966.7</w:t>
            </w:r>
          </w:p>
        </w:tc>
        <w:tc>
          <w:tcPr>
            <w:tcW w:w="960" w:type="dxa"/>
            <w:tcBorders>
              <w:top w:val="nil"/>
              <w:left w:val="nil"/>
              <w:bottom w:val="single" w:sz="4" w:space="0" w:color="auto"/>
              <w:right w:val="single" w:sz="4" w:space="0" w:color="auto"/>
            </w:tcBorders>
            <w:shd w:val="clear" w:color="auto" w:fill="C6D9F1" w:themeFill="text2" w:themeFillTint="33"/>
            <w:noWrap/>
            <w:vAlign w:val="center"/>
          </w:tcPr>
          <w:p w14:paraId="52A32203" w14:textId="77777777" w:rsidR="00B11AEF" w:rsidRPr="00B07619" w:rsidRDefault="00B11AEF" w:rsidP="00B11AEF">
            <w:pPr>
              <w:spacing w:after="0" w:line="240" w:lineRule="auto"/>
              <w:ind w:firstLine="0"/>
              <w:jc w:val="right"/>
              <w:rPr>
                <w:rFonts w:cs="Calibri"/>
                <w:color w:val="000000"/>
                <w:sz w:val="20"/>
                <w:szCs w:val="20"/>
              </w:rPr>
            </w:pPr>
            <w:r w:rsidRPr="00B07619">
              <w:rPr>
                <w:rFonts w:cs="Calibri"/>
                <w:color w:val="000000"/>
                <w:sz w:val="20"/>
                <w:szCs w:val="20"/>
              </w:rPr>
              <w:t>2,148.3</w:t>
            </w:r>
          </w:p>
        </w:tc>
      </w:tr>
      <w:tr w:rsidR="00B11AEF" w:rsidRPr="00B07619" w14:paraId="1E174074"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auto"/>
            <w:vAlign w:val="center"/>
          </w:tcPr>
          <w:p w14:paraId="17B952EE" w14:textId="77777777" w:rsidR="00B11AEF" w:rsidRPr="00B07619" w:rsidRDefault="00B11AEF" w:rsidP="00B11AEF">
            <w:pPr>
              <w:spacing w:before="0" w:after="0" w:line="240" w:lineRule="auto"/>
              <w:ind w:firstLine="0"/>
              <w:jc w:val="left"/>
              <w:rPr>
                <w:rFonts w:eastAsia="Times New Roman" w:cs="Times New Roman"/>
                <w:i/>
                <w:iCs/>
                <w:color w:val="000000"/>
                <w:sz w:val="20"/>
                <w:szCs w:val="20"/>
              </w:rPr>
            </w:pPr>
            <w:r w:rsidRPr="00B07619">
              <w:rPr>
                <w:rFonts w:eastAsia="Times New Roman" w:cs="Times New Roman"/>
                <w:i/>
                <w:iCs/>
                <w:color w:val="000000"/>
                <w:sz w:val="20"/>
                <w:szCs w:val="20"/>
              </w:rPr>
              <w:t xml:space="preserve"> հարաբերությունը ՀՆԱ-ի նկատմամբ (%-ով) </w:t>
            </w:r>
          </w:p>
        </w:tc>
        <w:tc>
          <w:tcPr>
            <w:tcW w:w="960" w:type="dxa"/>
            <w:tcBorders>
              <w:top w:val="nil"/>
              <w:left w:val="nil"/>
              <w:bottom w:val="single" w:sz="4" w:space="0" w:color="auto"/>
              <w:right w:val="single" w:sz="4" w:space="0" w:color="auto"/>
            </w:tcBorders>
            <w:shd w:val="clear" w:color="auto" w:fill="auto"/>
            <w:noWrap/>
            <w:vAlign w:val="center"/>
          </w:tcPr>
          <w:p w14:paraId="3BAF332D"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22.3%</w:t>
            </w:r>
          </w:p>
        </w:tc>
        <w:tc>
          <w:tcPr>
            <w:tcW w:w="960" w:type="dxa"/>
            <w:tcBorders>
              <w:top w:val="nil"/>
              <w:left w:val="nil"/>
              <w:bottom w:val="single" w:sz="4" w:space="0" w:color="auto"/>
              <w:right w:val="single" w:sz="4" w:space="0" w:color="auto"/>
            </w:tcBorders>
            <w:shd w:val="clear" w:color="auto" w:fill="auto"/>
            <w:noWrap/>
            <w:vAlign w:val="center"/>
          </w:tcPr>
          <w:p w14:paraId="4B4B2076"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23.8%</w:t>
            </w:r>
          </w:p>
        </w:tc>
        <w:tc>
          <w:tcPr>
            <w:tcW w:w="960" w:type="dxa"/>
            <w:tcBorders>
              <w:top w:val="nil"/>
              <w:left w:val="nil"/>
              <w:bottom w:val="single" w:sz="4" w:space="0" w:color="auto"/>
              <w:right w:val="single" w:sz="4" w:space="0" w:color="auto"/>
            </w:tcBorders>
            <w:shd w:val="clear" w:color="auto" w:fill="auto"/>
            <w:noWrap/>
            <w:vAlign w:val="center"/>
          </w:tcPr>
          <w:p w14:paraId="1C2923EA"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25.2%</w:t>
            </w:r>
          </w:p>
        </w:tc>
        <w:tc>
          <w:tcPr>
            <w:tcW w:w="960" w:type="dxa"/>
            <w:tcBorders>
              <w:top w:val="nil"/>
              <w:left w:val="nil"/>
              <w:bottom w:val="single" w:sz="4" w:space="0" w:color="auto"/>
              <w:right w:val="single" w:sz="4" w:space="0" w:color="auto"/>
            </w:tcBorders>
            <w:shd w:val="clear" w:color="auto" w:fill="auto"/>
            <w:noWrap/>
            <w:vAlign w:val="center"/>
          </w:tcPr>
          <w:p w14:paraId="715381B3" w14:textId="77777777" w:rsidR="00B11AEF" w:rsidRPr="00B07619" w:rsidRDefault="00B11AEF" w:rsidP="00B11AEF">
            <w:pPr>
              <w:spacing w:after="0" w:line="240" w:lineRule="auto"/>
              <w:ind w:firstLine="0"/>
              <w:jc w:val="right"/>
              <w:rPr>
                <w:color w:val="000000"/>
                <w:sz w:val="20"/>
                <w:szCs w:val="20"/>
              </w:rPr>
            </w:pPr>
            <w:r>
              <w:rPr>
                <w:color w:val="000000"/>
                <w:sz w:val="20"/>
                <w:szCs w:val="20"/>
              </w:rPr>
              <w:t>23.5</w:t>
            </w:r>
            <w:r w:rsidRPr="00B07619">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2BA3AAFC"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24.0%</w:t>
            </w:r>
          </w:p>
        </w:tc>
        <w:tc>
          <w:tcPr>
            <w:tcW w:w="960" w:type="dxa"/>
            <w:tcBorders>
              <w:top w:val="nil"/>
              <w:left w:val="nil"/>
              <w:bottom w:val="single" w:sz="4" w:space="0" w:color="auto"/>
              <w:right w:val="single" w:sz="4" w:space="0" w:color="auto"/>
            </w:tcBorders>
            <w:shd w:val="clear" w:color="auto" w:fill="auto"/>
            <w:noWrap/>
            <w:vAlign w:val="center"/>
          </w:tcPr>
          <w:p w14:paraId="40E3623C"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24.1%</w:t>
            </w:r>
          </w:p>
        </w:tc>
        <w:tc>
          <w:tcPr>
            <w:tcW w:w="960" w:type="dxa"/>
            <w:tcBorders>
              <w:top w:val="nil"/>
              <w:left w:val="nil"/>
              <w:bottom w:val="single" w:sz="4" w:space="0" w:color="auto"/>
              <w:right w:val="single" w:sz="4" w:space="0" w:color="auto"/>
            </w:tcBorders>
            <w:shd w:val="clear" w:color="auto" w:fill="auto"/>
            <w:noWrap/>
            <w:vAlign w:val="center"/>
          </w:tcPr>
          <w:p w14:paraId="6E3C65B8"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24.3%</w:t>
            </w:r>
          </w:p>
        </w:tc>
      </w:tr>
      <w:tr w:rsidR="00B11AEF" w:rsidRPr="00B07619" w14:paraId="63FB0B06"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C6D9F1"/>
            <w:vAlign w:val="center"/>
          </w:tcPr>
          <w:p w14:paraId="7D10584F" w14:textId="77777777" w:rsidR="00B11AEF" w:rsidRPr="00B07619" w:rsidRDefault="00B11AEF" w:rsidP="00B11AEF">
            <w:pPr>
              <w:spacing w:before="0" w:after="0" w:line="240" w:lineRule="auto"/>
              <w:ind w:firstLine="0"/>
              <w:jc w:val="left"/>
              <w:rPr>
                <w:rFonts w:eastAsia="Times New Roman" w:cs="Times New Roman"/>
                <w:color w:val="000000"/>
                <w:sz w:val="20"/>
                <w:szCs w:val="20"/>
              </w:rPr>
            </w:pPr>
            <w:r w:rsidRPr="00B07619">
              <w:rPr>
                <w:rFonts w:eastAsia="Times New Roman" w:cs="Times New Roman"/>
                <w:bCs/>
                <w:color w:val="000000"/>
                <w:sz w:val="20"/>
                <w:szCs w:val="20"/>
              </w:rPr>
              <w:t xml:space="preserve"> 1. Հարկային եկամուտներ և պետական տուրքեր</w:t>
            </w:r>
          </w:p>
        </w:tc>
        <w:tc>
          <w:tcPr>
            <w:tcW w:w="960" w:type="dxa"/>
            <w:tcBorders>
              <w:top w:val="nil"/>
              <w:left w:val="nil"/>
              <w:bottom w:val="single" w:sz="4" w:space="0" w:color="auto"/>
              <w:right w:val="single" w:sz="4" w:space="0" w:color="auto"/>
            </w:tcBorders>
            <w:shd w:val="clear" w:color="auto" w:fill="C6D9F1"/>
            <w:noWrap/>
            <w:vAlign w:val="center"/>
          </w:tcPr>
          <w:p w14:paraId="7718DB69"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1,258.1</w:t>
            </w:r>
          </w:p>
        </w:tc>
        <w:tc>
          <w:tcPr>
            <w:tcW w:w="960" w:type="dxa"/>
            <w:tcBorders>
              <w:top w:val="nil"/>
              <w:left w:val="nil"/>
              <w:bottom w:val="single" w:sz="4" w:space="0" w:color="auto"/>
              <w:right w:val="single" w:sz="4" w:space="0" w:color="auto"/>
            </w:tcBorders>
            <w:shd w:val="clear" w:color="auto" w:fill="C6D9F1"/>
            <w:noWrap/>
            <w:vAlign w:val="center"/>
          </w:tcPr>
          <w:p w14:paraId="0FA65025"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1,464.3</w:t>
            </w:r>
          </w:p>
        </w:tc>
        <w:tc>
          <w:tcPr>
            <w:tcW w:w="960" w:type="dxa"/>
            <w:tcBorders>
              <w:top w:val="nil"/>
              <w:left w:val="nil"/>
              <w:bottom w:val="single" w:sz="4" w:space="0" w:color="auto"/>
              <w:right w:val="single" w:sz="4" w:space="0" w:color="auto"/>
            </w:tcBorders>
            <w:shd w:val="clear" w:color="auto" w:fill="C6D9F1"/>
            <w:noWrap/>
            <w:vAlign w:val="center"/>
          </w:tcPr>
          <w:p w14:paraId="7A5D5ECC"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1,385.2</w:t>
            </w:r>
          </w:p>
        </w:tc>
        <w:tc>
          <w:tcPr>
            <w:tcW w:w="960" w:type="dxa"/>
            <w:tcBorders>
              <w:top w:val="nil"/>
              <w:left w:val="nil"/>
              <w:bottom w:val="single" w:sz="4" w:space="0" w:color="auto"/>
              <w:right w:val="single" w:sz="4" w:space="0" w:color="auto"/>
            </w:tcBorders>
            <w:shd w:val="clear" w:color="auto" w:fill="C6D9F1"/>
            <w:noWrap/>
            <w:vAlign w:val="center"/>
          </w:tcPr>
          <w:p w14:paraId="6B0AC3A0"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w:t>
            </w:r>
            <w:r>
              <w:rPr>
                <w:color w:val="000000"/>
                <w:sz w:val="20"/>
                <w:szCs w:val="20"/>
              </w:rPr>
              <w:t>540</w:t>
            </w:r>
            <w:r w:rsidRPr="00B07619">
              <w:rPr>
                <w:color w:val="000000"/>
                <w:sz w:val="20"/>
                <w:szCs w:val="20"/>
              </w:rPr>
              <w:t>.</w:t>
            </w:r>
            <w:r>
              <w:rPr>
                <w:color w:val="000000"/>
                <w:sz w:val="20"/>
                <w:szCs w:val="20"/>
              </w:rPr>
              <w:t>5</w:t>
            </w:r>
          </w:p>
        </w:tc>
        <w:tc>
          <w:tcPr>
            <w:tcW w:w="960" w:type="dxa"/>
            <w:tcBorders>
              <w:top w:val="nil"/>
              <w:left w:val="nil"/>
              <w:bottom w:val="single" w:sz="4" w:space="0" w:color="auto"/>
              <w:right w:val="single" w:sz="4" w:space="0" w:color="auto"/>
            </w:tcBorders>
            <w:shd w:val="clear" w:color="auto" w:fill="C6D9F1"/>
            <w:noWrap/>
            <w:vAlign w:val="center"/>
          </w:tcPr>
          <w:p w14:paraId="16FFB35C"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1,733.5</w:t>
            </w:r>
          </w:p>
        </w:tc>
        <w:tc>
          <w:tcPr>
            <w:tcW w:w="960" w:type="dxa"/>
            <w:tcBorders>
              <w:top w:val="nil"/>
              <w:left w:val="nil"/>
              <w:bottom w:val="single" w:sz="4" w:space="0" w:color="auto"/>
              <w:right w:val="single" w:sz="4" w:space="0" w:color="auto"/>
            </w:tcBorders>
            <w:shd w:val="clear" w:color="auto" w:fill="C6D9F1"/>
            <w:noWrap/>
            <w:vAlign w:val="center"/>
          </w:tcPr>
          <w:p w14:paraId="6A9088FE"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1,889.9</w:t>
            </w:r>
          </w:p>
        </w:tc>
        <w:tc>
          <w:tcPr>
            <w:tcW w:w="960" w:type="dxa"/>
            <w:tcBorders>
              <w:top w:val="nil"/>
              <w:left w:val="nil"/>
              <w:bottom w:val="single" w:sz="4" w:space="0" w:color="auto"/>
              <w:right w:val="single" w:sz="4" w:space="0" w:color="auto"/>
            </w:tcBorders>
            <w:shd w:val="clear" w:color="auto" w:fill="C6D9F1"/>
            <w:noWrap/>
            <w:vAlign w:val="center"/>
          </w:tcPr>
          <w:p w14:paraId="45E4576F"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2,084.0</w:t>
            </w:r>
          </w:p>
        </w:tc>
      </w:tr>
      <w:tr w:rsidR="00B11AEF" w:rsidRPr="00B07619" w14:paraId="269D56BE"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auto"/>
            <w:vAlign w:val="center"/>
          </w:tcPr>
          <w:p w14:paraId="30E2CCE2" w14:textId="77777777" w:rsidR="00B11AEF" w:rsidRPr="00B07619" w:rsidRDefault="00B11AEF" w:rsidP="00B11AEF">
            <w:pPr>
              <w:spacing w:before="0" w:after="0" w:line="240" w:lineRule="auto"/>
              <w:ind w:firstLine="0"/>
              <w:jc w:val="left"/>
              <w:rPr>
                <w:rFonts w:eastAsia="Times New Roman" w:cs="Times New Roman"/>
                <w:i/>
                <w:iCs/>
                <w:color w:val="000000"/>
                <w:sz w:val="20"/>
                <w:szCs w:val="20"/>
              </w:rPr>
            </w:pPr>
            <w:r w:rsidRPr="00B07619">
              <w:rPr>
                <w:rFonts w:eastAsia="Times New Roman" w:cs="Times New Roman"/>
                <w:i/>
                <w:iCs/>
                <w:color w:val="000000"/>
                <w:sz w:val="20"/>
                <w:szCs w:val="20"/>
              </w:rPr>
              <w:t xml:space="preserve"> հարաբերությունը ՀՆԱ-ի նկատմամբ (%-ով) </w:t>
            </w:r>
          </w:p>
        </w:tc>
        <w:tc>
          <w:tcPr>
            <w:tcW w:w="960" w:type="dxa"/>
            <w:tcBorders>
              <w:top w:val="nil"/>
              <w:left w:val="nil"/>
              <w:bottom w:val="single" w:sz="4" w:space="0" w:color="auto"/>
              <w:right w:val="single" w:sz="4" w:space="0" w:color="auto"/>
            </w:tcBorders>
            <w:shd w:val="clear" w:color="auto" w:fill="auto"/>
            <w:noWrap/>
            <w:vAlign w:val="center"/>
          </w:tcPr>
          <w:p w14:paraId="07DABC91"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20.9%</w:t>
            </w:r>
          </w:p>
        </w:tc>
        <w:tc>
          <w:tcPr>
            <w:tcW w:w="960" w:type="dxa"/>
            <w:tcBorders>
              <w:top w:val="nil"/>
              <w:left w:val="nil"/>
              <w:bottom w:val="single" w:sz="4" w:space="0" w:color="auto"/>
              <w:right w:val="single" w:sz="4" w:space="0" w:color="auto"/>
            </w:tcBorders>
            <w:shd w:val="clear" w:color="auto" w:fill="auto"/>
            <w:noWrap/>
            <w:vAlign w:val="center"/>
          </w:tcPr>
          <w:p w14:paraId="6D80BE92"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22.3%</w:t>
            </w:r>
          </w:p>
        </w:tc>
        <w:tc>
          <w:tcPr>
            <w:tcW w:w="960" w:type="dxa"/>
            <w:tcBorders>
              <w:top w:val="nil"/>
              <w:left w:val="nil"/>
              <w:bottom w:val="single" w:sz="4" w:space="0" w:color="auto"/>
              <w:right w:val="single" w:sz="4" w:space="0" w:color="auto"/>
            </w:tcBorders>
            <w:shd w:val="clear" w:color="auto" w:fill="auto"/>
            <w:noWrap/>
            <w:vAlign w:val="center"/>
          </w:tcPr>
          <w:p w14:paraId="7F1BD435"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22.4%</w:t>
            </w:r>
          </w:p>
        </w:tc>
        <w:tc>
          <w:tcPr>
            <w:tcW w:w="960" w:type="dxa"/>
            <w:tcBorders>
              <w:top w:val="nil"/>
              <w:left w:val="nil"/>
              <w:bottom w:val="single" w:sz="4" w:space="0" w:color="auto"/>
              <w:right w:val="single" w:sz="4" w:space="0" w:color="auto"/>
            </w:tcBorders>
            <w:shd w:val="clear" w:color="auto" w:fill="auto"/>
            <w:noWrap/>
            <w:vAlign w:val="center"/>
          </w:tcPr>
          <w:p w14:paraId="69A8E81E"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22.</w:t>
            </w:r>
            <w:r>
              <w:rPr>
                <w:color w:val="000000"/>
                <w:sz w:val="20"/>
                <w:szCs w:val="20"/>
              </w:rPr>
              <w:t>4</w:t>
            </w:r>
            <w:r w:rsidRPr="00B07619">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0FDDB246"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22.9%</w:t>
            </w:r>
          </w:p>
        </w:tc>
        <w:tc>
          <w:tcPr>
            <w:tcW w:w="960" w:type="dxa"/>
            <w:tcBorders>
              <w:top w:val="nil"/>
              <w:left w:val="nil"/>
              <w:bottom w:val="single" w:sz="4" w:space="0" w:color="auto"/>
              <w:right w:val="single" w:sz="4" w:space="0" w:color="auto"/>
            </w:tcBorders>
            <w:shd w:val="clear" w:color="auto" w:fill="auto"/>
            <w:noWrap/>
            <w:vAlign w:val="center"/>
          </w:tcPr>
          <w:p w14:paraId="470CE612"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23.1%</w:t>
            </w:r>
          </w:p>
        </w:tc>
        <w:tc>
          <w:tcPr>
            <w:tcW w:w="960" w:type="dxa"/>
            <w:tcBorders>
              <w:top w:val="nil"/>
              <w:left w:val="nil"/>
              <w:bottom w:val="single" w:sz="4" w:space="0" w:color="auto"/>
              <w:right w:val="single" w:sz="4" w:space="0" w:color="auto"/>
            </w:tcBorders>
            <w:shd w:val="clear" w:color="auto" w:fill="auto"/>
            <w:noWrap/>
            <w:vAlign w:val="center"/>
          </w:tcPr>
          <w:p w14:paraId="54E314AF"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23.6%</w:t>
            </w:r>
          </w:p>
        </w:tc>
      </w:tr>
      <w:tr w:rsidR="00B11AEF" w:rsidRPr="00B07619" w14:paraId="1D2CC328"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auto"/>
            <w:vAlign w:val="center"/>
          </w:tcPr>
          <w:p w14:paraId="7D157057" w14:textId="77777777" w:rsidR="00B11AEF" w:rsidRPr="00B07619" w:rsidRDefault="00B11AEF" w:rsidP="00B11AEF">
            <w:pPr>
              <w:spacing w:before="0" w:after="0" w:line="240" w:lineRule="auto"/>
              <w:ind w:firstLine="0"/>
              <w:jc w:val="left"/>
              <w:rPr>
                <w:rFonts w:eastAsia="Times New Roman" w:cs="Times New Roman"/>
                <w:i/>
                <w:iCs/>
                <w:color w:val="000000"/>
                <w:sz w:val="20"/>
                <w:szCs w:val="20"/>
              </w:rPr>
            </w:pPr>
            <w:r w:rsidRPr="00B07619">
              <w:rPr>
                <w:rFonts w:eastAsia="Times New Roman" w:cs="Times New Roman"/>
                <w:i/>
                <w:iCs/>
                <w:color w:val="000000"/>
                <w:sz w:val="20"/>
                <w:szCs w:val="20"/>
              </w:rPr>
              <w:t xml:space="preserve"> տոկոսով ընդհանուրի նկատմամբ </w:t>
            </w:r>
          </w:p>
        </w:tc>
        <w:tc>
          <w:tcPr>
            <w:tcW w:w="960" w:type="dxa"/>
            <w:tcBorders>
              <w:top w:val="nil"/>
              <w:left w:val="nil"/>
              <w:bottom w:val="single" w:sz="4" w:space="0" w:color="auto"/>
              <w:right w:val="single" w:sz="4" w:space="0" w:color="auto"/>
            </w:tcBorders>
            <w:shd w:val="clear" w:color="auto" w:fill="auto"/>
            <w:noWrap/>
            <w:vAlign w:val="center"/>
          </w:tcPr>
          <w:p w14:paraId="3A83B816"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93.8%</w:t>
            </w:r>
          </w:p>
        </w:tc>
        <w:tc>
          <w:tcPr>
            <w:tcW w:w="960" w:type="dxa"/>
            <w:tcBorders>
              <w:top w:val="nil"/>
              <w:left w:val="nil"/>
              <w:bottom w:val="single" w:sz="4" w:space="0" w:color="auto"/>
              <w:right w:val="single" w:sz="4" w:space="0" w:color="auto"/>
            </w:tcBorders>
            <w:shd w:val="clear" w:color="auto" w:fill="auto"/>
            <w:noWrap/>
            <w:vAlign w:val="center"/>
          </w:tcPr>
          <w:p w14:paraId="6A39EED8"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93.5%</w:t>
            </w:r>
          </w:p>
        </w:tc>
        <w:tc>
          <w:tcPr>
            <w:tcW w:w="960" w:type="dxa"/>
            <w:tcBorders>
              <w:top w:val="nil"/>
              <w:left w:val="nil"/>
              <w:bottom w:val="single" w:sz="4" w:space="0" w:color="auto"/>
              <w:right w:val="single" w:sz="4" w:space="0" w:color="auto"/>
            </w:tcBorders>
            <w:shd w:val="clear" w:color="auto" w:fill="auto"/>
            <w:noWrap/>
            <w:vAlign w:val="center"/>
          </w:tcPr>
          <w:p w14:paraId="4B8CBFEA"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88.8%</w:t>
            </w:r>
          </w:p>
        </w:tc>
        <w:tc>
          <w:tcPr>
            <w:tcW w:w="960" w:type="dxa"/>
            <w:tcBorders>
              <w:top w:val="nil"/>
              <w:left w:val="nil"/>
              <w:bottom w:val="single" w:sz="4" w:space="0" w:color="auto"/>
              <w:right w:val="single" w:sz="4" w:space="0" w:color="auto"/>
            </w:tcBorders>
            <w:shd w:val="clear" w:color="auto" w:fill="auto"/>
            <w:noWrap/>
            <w:vAlign w:val="center"/>
          </w:tcPr>
          <w:p w14:paraId="71AB5FFA"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95.</w:t>
            </w:r>
            <w:r>
              <w:rPr>
                <w:color w:val="000000"/>
                <w:sz w:val="20"/>
                <w:szCs w:val="20"/>
              </w:rPr>
              <w:t>3</w:t>
            </w:r>
            <w:r w:rsidRPr="00B07619">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568DF035"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95.3%</w:t>
            </w:r>
          </w:p>
        </w:tc>
        <w:tc>
          <w:tcPr>
            <w:tcW w:w="960" w:type="dxa"/>
            <w:tcBorders>
              <w:top w:val="nil"/>
              <w:left w:val="nil"/>
              <w:bottom w:val="single" w:sz="4" w:space="0" w:color="auto"/>
              <w:right w:val="single" w:sz="4" w:space="0" w:color="auto"/>
            </w:tcBorders>
            <w:shd w:val="clear" w:color="auto" w:fill="auto"/>
            <w:noWrap/>
            <w:vAlign w:val="center"/>
          </w:tcPr>
          <w:p w14:paraId="1E44FACC"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96.1%</w:t>
            </w:r>
          </w:p>
        </w:tc>
        <w:tc>
          <w:tcPr>
            <w:tcW w:w="960" w:type="dxa"/>
            <w:tcBorders>
              <w:top w:val="nil"/>
              <w:left w:val="nil"/>
              <w:bottom w:val="single" w:sz="4" w:space="0" w:color="auto"/>
              <w:right w:val="single" w:sz="4" w:space="0" w:color="auto"/>
            </w:tcBorders>
            <w:shd w:val="clear" w:color="auto" w:fill="auto"/>
            <w:noWrap/>
            <w:vAlign w:val="center"/>
          </w:tcPr>
          <w:p w14:paraId="575619E8"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97.0%</w:t>
            </w:r>
          </w:p>
        </w:tc>
      </w:tr>
      <w:tr w:rsidR="00B11AEF" w:rsidRPr="00B07619" w14:paraId="61A3E04A" w14:textId="77777777" w:rsidTr="00B11AEF">
        <w:trPr>
          <w:trHeight w:val="300"/>
        </w:trPr>
        <w:tc>
          <w:tcPr>
            <w:tcW w:w="3200" w:type="dxa"/>
            <w:tcBorders>
              <w:top w:val="nil"/>
              <w:left w:val="single" w:sz="4" w:space="0" w:color="auto"/>
              <w:bottom w:val="single" w:sz="4" w:space="0" w:color="auto"/>
              <w:right w:val="single" w:sz="4" w:space="0" w:color="auto"/>
            </w:tcBorders>
            <w:shd w:val="clear" w:color="auto" w:fill="C6D9F1"/>
            <w:vAlign w:val="center"/>
          </w:tcPr>
          <w:p w14:paraId="5947A242" w14:textId="77777777" w:rsidR="00B11AEF" w:rsidRPr="00B07619" w:rsidRDefault="00B11AEF" w:rsidP="00B11AEF">
            <w:pPr>
              <w:spacing w:before="0" w:after="0" w:line="240" w:lineRule="auto"/>
              <w:ind w:firstLine="0"/>
              <w:jc w:val="left"/>
              <w:rPr>
                <w:rFonts w:eastAsia="Times New Roman" w:cs="Times New Roman"/>
                <w:color w:val="000000"/>
                <w:sz w:val="20"/>
                <w:szCs w:val="20"/>
              </w:rPr>
            </w:pPr>
            <w:r w:rsidRPr="00B07619">
              <w:rPr>
                <w:rFonts w:eastAsia="Times New Roman" w:cs="Times New Roman"/>
                <w:bCs/>
                <w:color w:val="000000"/>
                <w:sz w:val="20"/>
                <w:szCs w:val="20"/>
              </w:rPr>
              <w:t xml:space="preserve"> 2. Այլ եկամուտներ </w:t>
            </w:r>
          </w:p>
        </w:tc>
        <w:tc>
          <w:tcPr>
            <w:tcW w:w="960" w:type="dxa"/>
            <w:tcBorders>
              <w:top w:val="nil"/>
              <w:left w:val="nil"/>
              <w:bottom w:val="single" w:sz="4" w:space="0" w:color="auto"/>
              <w:right w:val="single" w:sz="4" w:space="0" w:color="auto"/>
            </w:tcBorders>
            <w:shd w:val="clear" w:color="auto" w:fill="C6D9F1"/>
            <w:noWrap/>
            <w:vAlign w:val="center"/>
          </w:tcPr>
          <w:p w14:paraId="2C2897D1" w14:textId="77777777" w:rsidR="00B11AEF" w:rsidRPr="00B07619" w:rsidRDefault="00B11AEF" w:rsidP="00B11AEF">
            <w:pPr>
              <w:spacing w:before="0" w:after="0" w:line="240" w:lineRule="auto"/>
              <w:ind w:firstLine="0"/>
              <w:jc w:val="right"/>
              <w:rPr>
                <w:rFonts w:eastAsia="Times New Roman" w:cs="Times New Roman"/>
                <w:bCs/>
                <w:color w:val="000000"/>
                <w:sz w:val="20"/>
                <w:szCs w:val="20"/>
              </w:rPr>
            </w:pPr>
            <w:r w:rsidRPr="00B07619">
              <w:rPr>
                <w:rFonts w:eastAsia="Times New Roman" w:cs="Times New Roman"/>
                <w:bCs/>
                <w:color w:val="000000"/>
                <w:sz w:val="20"/>
                <w:szCs w:val="20"/>
              </w:rPr>
              <w:t>72.4</w:t>
            </w:r>
          </w:p>
        </w:tc>
        <w:tc>
          <w:tcPr>
            <w:tcW w:w="960" w:type="dxa"/>
            <w:tcBorders>
              <w:top w:val="nil"/>
              <w:left w:val="nil"/>
              <w:bottom w:val="single" w:sz="4" w:space="0" w:color="auto"/>
              <w:right w:val="single" w:sz="4" w:space="0" w:color="auto"/>
            </w:tcBorders>
            <w:shd w:val="clear" w:color="auto" w:fill="C6D9F1"/>
            <w:noWrap/>
            <w:vAlign w:val="center"/>
          </w:tcPr>
          <w:p w14:paraId="2C54FE99" w14:textId="77777777" w:rsidR="00B11AEF" w:rsidRPr="00B07619" w:rsidRDefault="00B11AEF" w:rsidP="00B11AEF">
            <w:pPr>
              <w:spacing w:before="0" w:after="0" w:line="240" w:lineRule="auto"/>
              <w:ind w:firstLine="0"/>
              <w:jc w:val="right"/>
              <w:rPr>
                <w:rFonts w:eastAsia="Times New Roman" w:cs="Times New Roman"/>
                <w:bCs/>
                <w:color w:val="000000"/>
                <w:sz w:val="20"/>
                <w:szCs w:val="20"/>
              </w:rPr>
            </w:pPr>
            <w:r w:rsidRPr="00B07619">
              <w:rPr>
                <w:rFonts w:eastAsia="Times New Roman" w:cs="Times New Roman"/>
                <w:bCs/>
                <w:color w:val="000000"/>
                <w:sz w:val="20"/>
                <w:szCs w:val="20"/>
              </w:rPr>
              <w:t>88.8</w:t>
            </w:r>
          </w:p>
        </w:tc>
        <w:tc>
          <w:tcPr>
            <w:tcW w:w="960" w:type="dxa"/>
            <w:tcBorders>
              <w:top w:val="nil"/>
              <w:left w:val="nil"/>
              <w:bottom w:val="single" w:sz="4" w:space="0" w:color="auto"/>
              <w:right w:val="single" w:sz="4" w:space="0" w:color="auto"/>
            </w:tcBorders>
            <w:shd w:val="clear" w:color="auto" w:fill="C6D9F1"/>
            <w:noWrap/>
            <w:vAlign w:val="center"/>
          </w:tcPr>
          <w:p w14:paraId="53B80CF8" w14:textId="77777777" w:rsidR="00B11AEF" w:rsidRPr="00B07619" w:rsidRDefault="00B11AEF" w:rsidP="00B11AEF">
            <w:pPr>
              <w:spacing w:before="0" w:after="0" w:line="240" w:lineRule="auto"/>
              <w:ind w:firstLine="0"/>
              <w:jc w:val="right"/>
              <w:rPr>
                <w:rFonts w:eastAsia="Times New Roman" w:cs="Times New Roman"/>
                <w:bCs/>
                <w:color w:val="000000"/>
                <w:sz w:val="20"/>
                <w:szCs w:val="20"/>
              </w:rPr>
            </w:pPr>
            <w:r w:rsidRPr="00B07619">
              <w:rPr>
                <w:rFonts w:eastAsia="Times New Roman" w:cs="Times New Roman"/>
                <w:bCs/>
                <w:color w:val="000000"/>
                <w:sz w:val="20"/>
                <w:szCs w:val="20"/>
              </w:rPr>
              <w:t>122.8</w:t>
            </w:r>
          </w:p>
        </w:tc>
        <w:tc>
          <w:tcPr>
            <w:tcW w:w="960" w:type="dxa"/>
            <w:tcBorders>
              <w:top w:val="nil"/>
              <w:left w:val="nil"/>
              <w:bottom w:val="single" w:sz="4" w:space="0" w:color="auto"/>
              <w:right w:val="single" w:sz="4" w:space="0" w:color="auto"/>
            </w:tcBorders>
            <w:shd w:val="clear" w:color="auto" w:fill="C6D9F1"/>
            <w:noWrap/>
            <w:vAlign w:val="center"/>
          </w:tcPr>
          <w:p w14:paraId="56D67AAE" w14:textId="77777777" w:rsidR="00B11AEF" w:rsidRPr="00B07619" w:rsidRDefault="00B11AEF" w:rsidP="00B11AEF">
            <w:pPr>
              <w:spacing w:before="0" w:after="0" w:line="240" w:lineRule="auto"/>
              <w:ind w:firstLine="0"/>
              <w:jc w:val="right"/>
              <w:rPr>
                <w:rFonts w:eastAsia="Times New Roman" w:cs="Times New Roman"/>
                <w:bCs/>
                <w:color w:val="000000"/>
                <w:sz w:val="20"/>
                <w:szCs w:val="20"/>
              </w:rPr>
            </w:pPr>
            <w:r>
              <w:rPr>
                <w:rFonts w:eastAsia="Times New Roman" w:cs="Times New Roman"/>
                <w:bCs/>
                <w:color w:val="000000"/>
                <w:sz w:val="20"/>
                <w:szCs w:val="20"/>
              </w:rPr>
              <w:t>51</w:t>
            </w:r>
            <w:r w:rsidRPr="00B07619">
              <w:rPr>
                <w:rFonts w:eastAsia="Times New Roman" w:cs="Times New Roman"/>
                <w:bCs/>
                <w:color w:val="000000"/>
                <w:sz w:val="20"/>
                <w:szCs w:val="20"/>
              </w:rPr>
              <w:t>.</w:t>
            </w:r>
            <w:r>
              <w:rPr>
                <w:rFonts w:eastAsia="Times New Roman" w:cs="Times New Roman"/>
                <w:bCs/>
                <w:color w:val="000000"/>
                <w:sz w:val="20"/>
                <w:szCs w:val="20"/>
              </w:rPr>
              <w:t>0</w:t>
            </w:r>
          </w:p>
        </w:tc>
        <w:tc>
          <w:tcPr>
            <w:tcW w:w="960" w:type="dxa"/>
            <w:tcBorders>
              <w:top w:val="nil"/>
              <w:left w:val="nil"/>
              <w:bottom w:val="single" w:sz="4" w:space="0" w:color="auto"/>
              <w:right w:val="single" w:sz="4" w:space="0" w:color="auto"/>
            </w:tcBorders>
            <w:shd w:val="clear" w:color="auto" w:fill="C6D9F1"/>
            <w:noWrap/>
            <w:vAlign w:val="center"/>
          </w:tcPr>
          <w:p w14:paraId="7D2D5753" w14:textId="77777777" w:rsidR="00B11AEF" w:rsidRPr="00B07619" w:rsidRDefault="00B11AEF" w:rsidP="00B11AEF">
            <w:pPr>
              <w:spacing w:before="0" w:after="0" w:line="240" w:lineRule="auto"/>
              <w:ind w:firstLine="0"/>
              <w:jc w:val="right"/>
              <w:rPr>
                <w:rFonts w:eastAsia="Times New Roman" w:cs="Times New Roman"/>
                <w:bCs/>
                <w:color w:val="000000"/>
                <w:sz w:val="20"/>
                <w:szCs w:val="20"/>
              </w:rPr>
            </w:pPr>
            <w:r w:rsidRPr="00B07619">
              <w:rPr>
                <w:rFonts w:eastAsia="Times New Roman" w:cs="Times New Roman"/>
                <w:bCs/>
                <w:color w:val="000000"/>
                <w:sz w:val="20"/>
                <w:szCs w:val="20"/>
              </w:rPr>
              <w:t>59.2</w:t>
            </w:r>
          </w:p>
        </w:tc>
        <w:tc>
          <w:tcPr>
            <w:tcW w:w="960" w:type="dxa"/>
            <w:tcBorders>
              <w:top w:val="nil"/>
              <w:left w:val="nil"/>
              <w:bottom w:val="single" w:sz="4" w:space="0" w:color="auto"/>
              <w:right w:val="single" w:sz="4" w:space="0" w:color="auto"/>
            </w:tcBorders>
            <w:shd w:val="clear" w:color="auto" w:fill="C6D9F1"/>
            <w:noWrap/>
            <w:vAlign w:val="center"/>
          </w:tcPr>
          <w:p w14:paraId="4F7BFD7E" w14:textId="77777777" w:rsidR="00B11AEF" w:rsidRPr="00B07619" w:rsidRDefault="00B11AEF" w:rsidP="00B11AEF">
            <w:pPr>
              <w:spacing w:before="0" w:after="0" w:line="240" w:lineRule="auto"/>
              <w:ind w:firstLine="0"/>
              <w:jc w:val="right"/>
              <w:rPr>
                <w:rFonts w:eastAsia="Times New Roman" w:cs="Times New Roman"/>
                <w:bCs/>
                <w:color w:val="000000"/>
                <w:sz w:val="20"/>
                <w:szCs w:val="20"/>
              </w:rPr>
            </w:pPr>
            <w:r w:rsidRPr="00B07619">
              <w:rPr>
                <w:rFonts w:eastAsia="Times New Roman" w:cs="Times New Roman"/>
                <w:bCs/>
                <w:color w:val="000000"/>
                <w:sz w:val="20"/>
                <w:szCs w:val="20"/>
              </w:rPr>
              <w:t>57.9</w:t>
            </w:r>
          </w:p>
        </w:tc>
        <w:tc>
          <w:tcPr>
            <w:tcW w:w="960" w:type="dxa"/>
            <w:tcBorders>
              <w:top w:val="nil"/>
              <w:left w:val="nil"/>
              <w:bottom w:val="single" w:sz="4" w:space="0" w:color="auto"/>
              <w:right w:val="single" w:sz="4" w:space="0" w:color="auto"/>
            </w:tcBorders>
            <w:shd w:val="clear" w:color="auto" w:fill="C6D9F1"/>
            <w:noWrap/>
            <w:vAlign w:val="center"/>
          </w:tcPr>
          <w:p w14:paraId="62B8ABCE" w14:textId="77777777" w:rsidR="00B11AEF" w:rsidRPr="00B07619" w:rsidRDefault="00B11AEF" w:rsidP="00B11AEF">
            <w:pPr>
              <w:spacing w:before="0" w:after="0" w:line="240" w:lineRule="auto"/>
              <w:ind w:firstLine="0"/>
              <w:jc w:val="right"/>
              <w:rPr>
                <w:rFonts w:eastAsia="Times New Roman" w:cs="Times New Roman"/>
                <w:bCs/>
                <w:color w:val="000000"/>
                <w:sz w:val="20"/>
                <w:szCs w:val="20"/>
              </w:rPr>
            </w:pPr>
            <w:r w:rsidRPr="00B07619">
              <w:rPr>
                <w:rFonts w:eastAsia="Times New Roman" w:cs="Times New Roman"/>
                <w:bCs/>
                <w:color w:val="000000"/>
                <w:sz w:val="20"/>
                <w:szCs w:val="20"/>
              </w:rPr>
              <w:t>55.3</w:t>
            </w:r>
          </w:p>
        </w:tc>
      </w:tr>
      <w:tr w:rsidR="00B11AEF" w:rsidRPr="00B07619" w14:paraId="4A1936D2"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auto"/>
            <w:vAlign w:val="center"/>
          </w:tcPr>
          <w:p w14:paraId="66E06AA5" w14:textId="77777777" w:rsidR="00B11AEF" w:rsidRPr="00B07619" w:rsidRDefault="00B11AEF" w:rsidP="00B11AEF">
            <w:pPr>
              <w:spacing w:before="0" w:after="0" w:line="240" w:lineRule="auto"/>
              <w:ind w:firstLine="0"/>
              <w:jc w:val="left"/>
              <w:rPr>
                <w:rFonts w:eastAsia="Times New Roman" w:cs="Times New Roman"/>
                <w:i/>
                <w:iCs/>
                <w:color w:val="000000"/>
                <w:sz w:val="20"/>
                <w:szCs w:val="20"/>
              </w:rPr>
            </w:pPr>
            <w:r w:rsidRPr="00B07619">
              <w:rPr>
                <w:rFonts w:eastAsia="Times New Roman" w:cs="Times New Roman"/>
                <w:i/>
                <w:iCs/>
                <w:color w:val="000000"/>
                <w:sz w:val="20"/>
                <w:szCs w:val="20"/>
              </w:rPr>
              <w:t xml:space="preserve"> հարաբերությունը ՀՆԱ-ի նկատմամբ (%-ով) </w:t>
            </w:r>
          </w:p>
        </w:tc>
        <w:tc>
          <w:tcPr>
            <w:tcW w:w="960" w:type="dxa"/>
            <w:tcBorders>
              <w:top w:val="nil"/>
              <w:left w:val="nil"/>
              <w:bottom w:val="single" w:sz="4" w:space="0" w:color="auto"/>
              <w:right w:val="single" w:sz="4" w:space="0" w:color="auto"/>
            </w:tcBorders>
            <w:shd w:val="clear" w:color="auto" w:fill="auto"/>
            <w:noWrap/>
            <w:vAlign w:val="center"/>
          </w:tcPr>
          <w:p w14:paraId="4A682E22"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1.2%</w:t>
            </w:r>
          </w:p>
        </w:tc>
        <w:tc>
          <w:tcPr>
            <w:tcW w:w="960" w:type="dxa"/>
            <w:tcBorders>
              <w:top w:val="nil"/>
              <w:left w:val="nil"/>
              <w:bottom w:val="single" w:sz="4" w:space="0" w:color="auto"/>
              <w:right w:val="single" w:sz="4" w:space="0" w:color="auto"/>
            </w:tcBorders>
            <w:shd w:val="clear" w:color="auto" w:fill="auto"/>
            <w:noWrap/>
            <w:vAlign w:val="center"/>
          </w:tcPr>
          <w:p w14:paraId="19BEA14D"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1.4%</w:t>
            </w:r>
          </w:p>
        </w:tc>
        <w:tc>
          <w:tcPr>
            <w:tcW w:w="960" w:type="dxa"/>
            <w:tcBorders>
              <w:top w:val="nil"/>
              <w:left w:val="nil"/>
              <w:bottom w:val="single" w:sz="4" w:space="0" w:color="auto"/>
              <w:right w:val="single" w:sz="4" w:space="0" w:color="auto"/>
            </w:tcBorders>
            <w:shd w:val="clear" w:color="auto" w:fill="auto"/>
            <w:noWrap/>
            <w:vAlign w:val="center"/>
          </w:tcPr>
          <w:p w14:paraId="413EBD5F"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center"/>
          </w:tcPr>
          <w:p w14:paraId="1EF3BA68"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0.7%</w:t>
            </w:r>
          </w:p>
        </w:tc>
        <w:tc>
          <w:tcPr>
            <w:tcW w:w="960" w:type="dxa"/>
            <w:tcBorders>
              <w:top w:val="nil"/>
              <w:left w:val="nil"/>
              <w:bottom w:val="single" w:sz="4" w:space="0" w:color="auto"/>
              <w:right w:val="single" w:sz="4" w:space="0" w:color="auto"/>
            </w:tcBorders>
            <w:shd w:val="clear" w:color="auto" w:fill="auto"/>
            <w:noWrap/>
            <w:vAlign w:val="center"/>
          </w:tcPr>
          <w:p w14:paraId="0742F9E8"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0.8%</w:t>
            </w:r>
          </w:p>
        </w:tc>
        <w:tc>
          <w:tcPr>
            <w:tcW w:w="960" w:type="dxa"/>
            <w:tcBorders>
              <w:top w:val="nil"/>
              <w:left w:val="nil"/>
              <w:bottom w:val="single" w:sz="4" w:space="0" w:color="auto"/>
              <w:right w:val="single" w:sz="4" w:space="0" w:color="auto"/>
            </w:tcBorders>
            <w:shd w:val="clear" w:color="auto" w:fill="auto"/>
            <w:noWrap/>
            <w:vAlign w:val="center"/>
          </w:tcPr>
          <w:p w14:paraId="2F79EFC1"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0.7%</w:t>
            </w:r>
          </w:p>
        </w:tc>
        <w:tc>
          <w:tcPr>
            <w:tcW w:w="960" w:type="dxa"/>
            <w:tcBorders>
              <w:top w:val="nil"/>
              <w:left w:val="nil"/>
              <w:bottom w:val="single" w:sz="4" w:space="0" w:color="auto"/>
              <w:right w:val="single" w:sz="4" w:space="0" w:color="auto"/>
            </w:tcBorders>
            <w:shd w:val="clear" w:color="auto" w:fill="auto"/>
            <w:noWrap/>
            <w:vAlign w:val="center"/>
          </w:tcPr>
          <w:p w14:paraId="73EF9AF9"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0.6%</w:t>
            </w:r>
          </w:p>
        </w:tc>
      </w:tr>
      <w:tr w:rsidR="00B11AEF" w:rsidRPr="00B07619" w14:paraId="4FBFEBE1"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auto"/>
            <w:vAlign w:val="center"/>
          </w:tcPr>
          <w:p w14:paraId="4458F393" w14:textId="77777777" w:rsidR="00B11AEF" w:rsidRPr="00B07619" w:rsidRDefault="00B11AEF" w:rsidP="00B11AEF">
            <w:pPr>
              <w:spacing w:before="0" w:after="0" w:line="240" w:lineRule="auto"/>
              <w:ind w:firstLine="0"/>
              <w:jc w:val="left"/>
              <w:rPr>
                <w:rFonts w:eastAsia="Times New Roman" w:cs="Times New Roman"/>
                <w:i/>
                <w:iCs/>
                <w:color w:val="000000"/>
                <w:sz w:val="20"/>
                <w:szCs w:val="20"/>
              </w:rPr>
            </w:pPr>
            <w:r w:rsidRPr="00B07619">
              <w:rPr>
                <w:rFonts w:eastAsia="Times New Roman" w:cs="Times New Roman"/>
                <w:i/>
                <w:iCs/>
                <w:color w:val="000000"/>
                <w:sz w:val="20"/>
                <w:szCs w:val="20"/>
              </w:rPr>
              <w:t xml:space="preserve"> տոկոսով ընդհանուրի նկատմամբ </w:t>
            </w:r>
          </w:p>
        </w:tc>
        <w:tc>
          <w:tcPr>
            <w:tcW w:w="960" w:type="dxa"/>
            <w:tcBorders>
              <w:top w:val="nil"/>
              <w:left w:val="nil"/>
              <w:bottom w:val="single" w:sz="4" w:space="0" w:color="auto"/>
              <w:right w:val="single" w:sz="4" w:space="0" w:color="auto"/>
            </w:tcBorders>
            <w:shd w:val="clear" w:color="auto" w:fill="auto"/>
            <w:noWrap/>
            <w:vAlign w:val="center"/>
          </w:tcPr>
          <w:p w14:paraId="23852DB7"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5.4%</w:t>
            </w:r>
          </w:p>
        </w:tc>
        <w:tc>
          <w:tcPr>
            <w:tcW w:w="960" w:type="dxa"/>
            <w:tcBorders>
              <w:top w:val="nil"/>
              <w:left w:val="nil"/>
              <w:bottom w:val="single" w:sz="4" w:space="0" w:color="auto"/>
              <w:right w:val="single" w:sz="4" w:space="0" w:color="auto"/>
            </w:tcBorders>
            <w:shd w:val="clear" w:color="auto" w:fill="auto"/>
            <w:noWrap/>
            <w:vAlign w:val="center"/>
          </w:tcPr>
          <w:p w14:paraId="47377AC1"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5.7%</w:t>
            </w:r>
          </w:p>
        </w:tc>
        <w:tc>
          <w:tcPr>
            <w:tcW w:w="960" w:type="dxa"/>
            <w:tcBorders>
              <w:top w:val="nil"/>
              <w:left w:val="nil"/>
              <w:bottom w:val="single" w:sz="4" w:space="0" w:color="auto"/>
              <w:right w:val="single" w:sz="4" w:space="0" w:color="auto"/>
            </w:tcBorders>
            <w:shd w:val="clear" w:color="auto" w:fill="auto"/>
            <w:noWrap/>
            <w:vAlign w:val="center"/>
          </w:tcPr>
          <w:p w14:paraId="366D1D93"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7.8%</w:t>
            </w:r>
          </w:p>
        </w:tc>
        <w:tc>
          <w:tcPr>
            <w:tcW w:w="960" w:type="dxa"/>
            <w:tcBorders>
              <w:top w:val="nil"/>
              <w:left w:val="nil"/>
              <w:bottom w:val="single" w:sz="4" w:space="0" w:color="auto"/>
              <w:right w:val="single" w:sz="4" w:space="0" w:color="auto"/>
            </w:tcBorders>
            <w:shd w:val="clear" w:color="auto" w:fill="auto"/>
            <w:noWrap/>
            <w:vAlign w:val="center"/>
          </w:tcPr>
          <w:p w14:paraId="1314539E"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3.</w:t>
            </w:r>
            <w:r>
              <w:rPr>
                <w:color w:val="000000"/>
                <w:sz w:val="20"/>
                <w:szCs w:val="20"/>
              </w:rPr>
              <w:t>2</w:t>
            </w:r>
            <w:r w:rsidRPr="00B07619">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tcPr>
          <w:p w14:paraId="0DD88541"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3.3%</w:t>
            </w:r>
          </w:p>
        </w:tc>
        <w:tc>
          <w:tcPr>
            <w:tcW w:w="960" w:type="dxa"/>
            <w:tcBorders>
              <w:top w:val="nil"/>
              <w:left w:val="nil"/>
              <w:bottom w:val="single" w:sz="4" w:space="0" w:color="auto"/>
              <w:right w:val="single" w:sz="4" w:space="0" w:color="auto"/>
            </w:tcBorders>
            <w:shd w:val="clear" w:color="auto" w:fill="auto"/>
            <w:noWrap/>
            <w:vAlign w:val="center"/>
          </w:tcPr>
          <w:p w14:paraId="467CD293"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2.9%</w:t>
            </w:r>
          </w:p>
        </w:tc>
        <w:tc>
          <w:tcPr>
            <w:tcW w:w="960" w:type="dxa"/>
            <w:tcBorders>
              <w:top w:val="nil"/>
              <w:left w:val="nil"/>
              <w:bottom w:val="single" w:sz="4" w:space="0" w:color="auto"/>
              <w:right w:val="single" w:sz="4" w:space="0" w:color="auto"/>
            </w:tcBorders>
            <w:shd w:val="clear" w:color="auto" w:fill="auto"/>
            <w:noWrap/>
            <w:vAlign w:val="center"/>
          </w:tcPr>
          <w:p w14:paraId="3DA72193"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2.6%</w:t>
            </w:r>
          </w:p>
        </w:tc>
      </w:tr>
      <w:tr w:rsidR="00B11AEF" w:rsidRPr="00B07619" w14:paraId="1230077A"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C6D9F1"/>
            <w:vAlign w:val="center"/>
          </w:tcPr>
          <w:p w14:paraId="10C8EAA9" w14:textId="77777777" w:rsidR="00B11AEF" w:rsidRPr="00B07619" w:rsidRDefault="00B11AEF" w:rsidP="00B11AEF">
            <w:pPr>
              <w:spacing w:before="0" w:after="0" w:line="240" w:lineRule="auto"/>
              <w:ind w:firstLine="0"/>
              <w:jc w:val="left"/>
              <w:rPr>
                <w:rFonts w:eastAsia="Times New Roman" w:cs="Times New Roman"/>
                <w:color w:val="000000"/>
                <w:sz w:val="20"/>
                <w:szCs w:val="20"/>
              </w:rPr>
            </w:pPr>
            <w:r w:rsidRPr="00B07619">
              <w:rPr>
                <w:rFonts w:eastAsia="Times New Roman" w:cs="Times New Roman"/>
                <w:bCs/>
                <w:color w:val="000000"/>
                <w:sz w:val="20"/>
                <w:szCs w:val="20"/>
              </w:rPr>
              <w:t xml:space="preserve"> 3. Պաշտոնական դրամաշնորհներ </w:t>
            </w:r>
          </w:p>
        </w:tc>
        <w:tc>
          <w:tcPr>
            <w:tcW w:w="960" w:type="dxa"/>
            <w:tcBorders>
              <w:top w:val="nil"/>
              <w:left w:val="nil"/>
              <w:bottom w:val="single" w:sz="4" w:space="0" w:color="auto"/>
              <w:right w:val="single" w:sz="4" w:space="0" w:color="auto"/>
            </w:tcBorders>
            <w:shd w:val="clear" w:color="auto" w:fill="C6D9F1"/>
            <w:noWrap/>
            <w:vAlign w:val="center"/>
          </w:tcPr>
          <w:p w14:paraId="06DF19A8"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11.2</w:t>
            </w:r>
          </w:p>
        </w:tc>
        <w:tc>
          <w:tcPr>
            <w:tcW w:w="960" w:type="dxa"/>
            <w:tcBorders>
              <w:top w:val="nil"/>
              <w:left w:val="nil"/>
              <w:bottom w:val="single" w:sz="4" w:space="0" w:color="auto"/>
              <w:right w:val="single" w:sz="4" w:space="0" w:color="auto"/>
            </w:tcBorders>
            <w:shd w:val="clear" w:color="auto" w:fill="C6D9F1"/>
            <w:noWrap/>
            <w:vAlign w:val="center"/>
          </w:tcPr>
          <w:p w14:paraId="37E807B7"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12.4</w:t>
            </w:r>
          </w:p>
        </w:tc>
        <w:tc>
          <w:tcPr>
            <w:tcW w:w="960" w:type="dxa"/>
            <w:tcBorders>
              <w:top w:val="nil"/>
              <w:left w:val="nil"/>
              <w:bottom w:val="single" w:sz="4" w:space="0" w:color="auto"/>
              <w:right w:val="single" w:sz="4" w:space="0" w:color="auto"/>
            </w:tcBorders>
            <w:shd w:val="clear" w:color="auto" w:fill="C6D9F1"/>
            <w:noWrap/>
            <w:vAlign w:val="center"/>
          </w:tcPr>
          <w:p w14:paraId="5B7CCE79"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53.2</w:t>
            </w:r>
          </w:p>
        </w:tc>
        <w:tc>
          <w:tcPr>
            <w:tcW w:w="960" w:type="dxa"/>
            <w:tcBorders>
              <w:top w:val="nil"/>
              <w:left w:val="nil"/>
              <w:bottom w:val="single" w:sz="4" w:space="0" w:color="auto"/>
              <w:right w:val="single" w:sz="4" w:space="0" w:color="auto"/>
            </w:tcBorders>
            <w:shd w:val="clear" w:color="auto" w:fill="C6D9F1"/>
            <w:noWrap/>
            <w:vAlign w:val="center"/>
          </w:tcPr>
          <w:p w14:paraId="5E09CD60" w14:textId="77777777" w:rsidR="00B11AEF" w:rsidRPr="00B07619" w:rsidRDefault="00B11AEF" w:rsidP="00B11AEF">
            <w:pPr>
              <w:spacing w:after="0" w:line="240" w:lineRule="auto"/>
              <w:ind w:firstLine="0"/>
              <w:jc w:val="right"/>
              <w:rPr>
                <w:color w:val="000000"/>
                <w:sz w:val="20"/>
                <w:szCs w:val="20"/>
              </w:rPr>
            </w:pPr>
            <w:r>
              <w:rPr>
                <w:color w:val="000000"/>
                <w:sz w:val="20"/>
                <w:szCs w:val="20"/>
              </w:rPr>
              <w:t>25</w:t>
            </w:r>
            <w:r w:rsidRPr="00B07619">
              <w:rPr>
                <w:color w:val="000000"/>
                <w:sz w:val="20"/>
                <w:szCs w:val="20"/>
              </w:rPr>
              <w:t>.</w:t>
            </w:r>
            <w:r>
              <w:rPr>
                <w:color w:val="000000"/>
                <w:sz w:val="20"/>
                <w:szCs w:val="20"/>
              </w:rPr>
              <w:t>8</w:t>
            </w:r>
          </w:p>
        </w:tc>
        <w:tc>
          <w:tcPr>
            <w:tcW w:w="960" w:type="dxa"/>
            <w:tcBorders>
              <w:top w:val="nil"/>
              <w:left w:val="nil"/>
              <w:bottom w:val="single" w:sz="4" w:space="0" w:color="auto"/>
              <w:right w:val="single" w:sz="4" w:space="0" w:color="auto"/>
            </w:tcBorders>
            <w:shd w:val="clear" w:color="auto" w:fill="C6D9F1"/>
            <w:noWrap/>
            <w:vAlign w:val="center"/>
          </w:tcPr>
          <w:p w14:paraId="3918B86A"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26.5</w:t>
            </w:r>
          </w:p>
        </w:tc>
        <w:tc>
          <w:tcPr>
            <w:tcW w:w="960" w:type="dxa"/>
            <w:tcBorders>
              <w:top w:val="nil"/>
              <w:left w:val="nil"/>
              <w:bottom w:val="single" w:sz="4" w:space="0" w:color="auto"/>
              <w:right w:val="single" w:sz="4" w:space="0" w:color="auto"/>
            </w:tcBorders>
            <w:shd w:val="clear" w:color="auto" w:fill="C6D9F1"/>
            <w:noWrap/>
            <w:vAlign w:val="center"/>
          </w:tcPr>
          <w:p w14:paraId="04677A80"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18.9</w:t>
            </w:r>
          </w:p>
        </w:tc>
        <w:tc>
          <w:tcPr>
            <w:tcW w:w="960" w:type="dxa"/>
            <w:tcBorders>
              <w:top w:val="nil"/>
              <w:left w:val="nil"/>
              <w:bottom w:val="single" w:sz="4" w:space="0" w:color="auto"/>
              <w:right w:val="single" w:sz="4" w:space="0" w:color="auto"/>
            </w:tcBorders>
            <w:shd w:val="clear" w:color="auto" w:fill="C6D9F1"/>
            <w:noWrap/>
            <w:vAlign w:val="center"/>
          </w:tcPr>
          <w:p w14:paraId="10D338A0"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9.0</w:t>
            </w:r>
          </w:p>
        </w:tc>
      </w:tr>
      <w:tr w:rsidR="00B11AEF" w:rsidRPr="00B07619" w14:paraId="2B064CB0"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auto"/>
            <w:vAlign w:val="center"/>
          </w:tcPr>
          <w:p w14:paraId="579B9362" w14:textId="77777777" w:rsidR="00B11AEF" w:rsidRPr="00B07619" w:rsidRDefault="00B11AEF" w:rsidP="00B11AEF">
            <w:pPr>
              <w:spacing w:before="0" w:after="0" w:line="240" w:lineRule="auto"/>
              <w:ind w:firstLine="0"/>
              <w:jc w:val="left"/>
              <w:rPr>
                <w:rFonts w:eastAsia="Times New Roman" w:cs="Times New Roman"/>
                <w:i/>
                <w:iCs/>
                <w:color w:val="000000"/>
                <w:sz w:val="20"/>
                <w:szCs w:val="20"/>
              </w:rPr>
            </w:pPr>
            <w:r w:rsidRPr="00B07619">
              <w:rPr>
                <w:rFonts w:eastAsia="Times New Roman" w:cs="Times New Roman"/>
                <w:i/>
                <w:iCs/>
                <w:color w:val="000000"/>
                <w:sz w:val="20"/>
                <w:szCs w:val="20"/>
              </w:rPr>
              <w:t xml:space="preserve"> հարաբերությունը ՀՆԱ-ի նկատմամբ (%-ով) </w:t>
            </w:r>
          </w:p>
        </w:tc>
        <w:tc>
          <w:tcPr>
            <w:tcW w:w="960" w:type="dxa"/>
            <w:tcBorders>
              <w:top w:val="nil"/>
              <w:left w:val="nil"/>
              <w:bottom w:val="single" w:sz="4" w:space="0" w:color="auto"/>
              <w:right w:val="single" w:sz="4" w:space="0" w:color="auto"/>
            </w:tcBorders>
            <w:shd w:val="clear" w:color="auto" w:fill="auto"/>
            <w:noWrap/>
            <w:vAlign w:val="center"/>
          </w:tcPr>
          <w:p w14:paraId="0671FC0F"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0.2%</w:t>
            </w:r>
          </w:p>
        </w:tc>
        <w:tc>
          <w:tcPr>
            <w:tcW w:w="960" w:type="dxa"/>
            <w:tcBorders>
              <w:top w:val="nil"/>
              <w:left w:val="nil"/>
              <w:bottom w:val="single" w:sz="4" w:space="0" w:color="auto"/>
              <w:right w:val="single" w:sz="4" w:space="0" w:color="auto"/>
            </w:tcBorders>
            <w:shd w:val="clear" w:color="auto" w:fill="auto"/>
            <w:noWrap/>
            <w:vAlign w:val="center"/>
          </w:tcPr>
          <w:p w14:paraId="5DDF7CAD"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0.2%</w:t>
            </w:r>
          </w:p>
        </w:tc>
        <w:tc>
          <w:tcPr>
            <w:tcW w:w="960" w:type="dxa"/>
            <w:tcBorders>
              <w:top w:val="nil"/>
              <w:left w:val="nil"/>
              <w:bottom w:val="single" w:sz="4" w:space="0" w:color="auto"/>
              <w:right w:val="single" w:sz="4" w:space="0" w:color="auto"/>
            </w:tcBorders>
            <w:shd w:val="clear" w:color="auto" w:fill="auto"/>
            <w:noWrap/>
            <w:vAlign w:val="center"/>
          </w:tcPr>
          <w:p w14:paraId="61BEDFA6"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0.9%</w:t>
            </w:r>
          </w:p>
        </w:tc>
        <w:tc>
          <w:tcPr>
            <w:tcW w:w="960" w:type="dxa"/>
            <w:tcBorders>
              <w:top w:val="nil"/>
              <w:left w:val="nil"/>
              <w:bottom w:val="single" w:sz="4" w:space="0" w:color="auto"/>
              <w:right w:val="single" w:sz="4" w:space="0" w:color="auto"/>
            </w:tcBorders>
            <w:shd w:val="clear" w:color="auto" w:fill="auto"/>
            <w:noWrap/>
            <w:vAlign w:val="center"/>
          </w:tcPr>
          <w:p w14:paraId="7296C53C"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0.4%</w:t>
            </w:r>
          </w:p>
        </w:tc>
        <w:tc>
          <w:tcPr>
            <w:tcW w:w="960" w:type="dxa"/>
            <w:tcBorders>
              <w:top w:val="nil"/>
              <w:left w:val="nil"/>
              <w:bottom w:val="single" w:sz="4" w:space="0" w:color="auto"/>
              <w:right w:val="single" w:sz="4" w:space="0" w:color="auto"/>
            </w:tcBorders>
            <w:shd w:val="clear" w:color="auto" w:fill="auto"/>
            <w:noWrap/>
            <w:vAlign w:val="center"/>
          </w:tcPr>
          <w:p w14:paraId="1D197826"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0.4%</w:t>
            </w:r>
          </w:p>
        </w:tc>
        <w:tc>
          <w:tcPr>
            <w:tcW w:w="960" w:type="dxa"/>
            <w:tcBorders>
              <w:top w:val="nil"/>
              <w:left w:val="nil"/>
              <w:bottom w:val="single" w:sz="4" w:space="0" w:color="auto"/>
              <w:right w:val="single" w:sz="4" w:space="0" w:color="auto"/>
            </w:tcBorders>
            <w:shd w:val="clear" w:color="auto" w:fill="auto"/>
            <w:noWrap/>
            <w:vAlign w:val="center"/>
          </w:tcPr>
          <w:p w14:paraId="75230C43"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0.2%</w:t>
            </w:r>
          </w:p>
        </w:tc>
        <w:tc>
          <w:tcPr>
            <w:tcW w:w="960" w:type="dxa"/>
            <w:tcBorders>
              <w:top w:val="nil"/>
              <w:left w:val="nil"/>
              <w:bottom w:val="single" w:sz="4" w:space="0" w:color="auto"/>
              <w:right w:val="single" w:sz="4" w:space="0" w:color="auto"/>
            </w:tcBorders>
            <w:shd w:val="clear" w:color="auto" w:fill="auto"/>
            <w:noWrap/>
            <w:vAlign w:val="center"/>
          </w:tcPr>
          <w:p w14:paraId="5C9A6AF6"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0.1%</w:t>
            </w:r>
          </w:p>
        </w:tc>
      </w:tr>
      <w:tr w:rsidR="00B11AEF" w:rsidRPr="00B07619" w14:paraId="77626729" w14:textId="77777777" w:rsidTr="00B11AEF">
        <w:trPr>
          <w:trHeight w:val="540"/>
        </w:trPr>
        <w:tc>
          <w:tcPr>
            <w:tcW w:w="3200" w:type="dxa"/>
            <w:tcBorders>
              <w:top w:val="nil"/>
              <w:left w:val="single" w:sz="4" w:space="0" w:color="auto"/>
              <w:bottom w:val="single" w:sz="4" w:space="0" w:color="auto"/>
              <w:right w:val="single" w:sz="4" w:space="0" w:color="auto"/>
            </w:tcBorders>
            <w:shd w:val="clear" w:color="auto" w:fill="auto"/>
            <w:vAlign w:val="center"/>
          </w:tcPr>
          <w:p w14:paraId="2BB8D64D" w14:textId="77777777" w:rsidR="00B11AEF" w:rsidRPr="00B07619" w:rsidRDefault="00B11AEF" w:rsidP="00B11AEF">
            <w:pPr>
              <w:spacing w:before="0" w:after="0" w:line="240" w:lineRule="auto"/>
              <w:ind w:firstLine="0"/>
              <w:jc w:val="left"/>
              <w:rPr>
                <w:rFonts w:eastAsia="Times New Roman" w:cs="Times New Roman"/>
                <w:i/>
                <w:iCs/>
                <w:color w:val="000000"/>
                <w:sz w:val="20"/>
                <w:szCs w:val="20"/>
              </w:rPr>
            </w:pPr>
            <w:r w:rsidRPr="00B07619">
              <w:rPr>
                <w:rFonts w:eastAsia="Times New Roman" w:cs="Times New Roman"/>
                <w:i/>
                <w:iCs/>
                <w:color w:val="000000"/>
                <w:sz w:val="20"/>
                <w:szCs w:val="20"/>
              </w:rPr>
              <w:t xml:space="preserve"> տոկոսով ընդհանուրի նկատմամբ </w:t>
            </w:r>
          </w:p>
        </w:tc>
        <w:tc>
          <w:tcPr>
            <w:tcW w:w="960" w:type="dxa"/>
            <w:tcBorders>
              <w:top w:val="nil"/>
              <w:left w:val="nil"/>
              <w:bottom w:val="single" w:sz="4" w:space="0" w:color="auto"/>
              <w:right w:val="single" w:sz="4" w:space="0" w:color="auto"/>
            </w:tcBorders>
            <w:shd w:val="clear" w:color="auto" w:fill="auto"/>
            <w:noWrap/>
            <w:vAlign w:val="center"/>
          </w:tcPr>
          <w:p w14:paraId="6D02240F"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0.8%</w:t>
            </w:r>
          </w:p>
        </w:tc>
        <w:tc>
          <w:tcPr>
            <w:tcW w:w="960" w:type="dxa"/>
            <w:tcBorders>
              <w:top w:val="nil"/>
              <w:left w:val="nil"/>
              <w:bottom w:val="single" w:sz="4" w:space="0" w:color="auto"/>
              <w:right w:val="single" w:sz="4" w:space="0" w:color="auto"/>
            </w:tcBorders>
            <w:shd w:val="clear" w:color="auto" w:fill="auto"/>
            <w:noWrap/>
            <w:vAlign w:val="center"/>
          </w:tcPr>
          <w:p w14:paraId="062E365C"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0.8%</w:t>
            </w:r>
          </w:p>
        </w:tc>
        <w:tc>
          <w:tcPr>
            <w:tcW w:w="960" w:type="dxa"/>
            <w:tcBorders>
              <w:top w:val="nil"/>
              <w:left w:val="nil"/>
              <w:bottom w:val="single" w:sz="4" w:space="0" w:color="auto"/>
              <w:right w:val="single" w:sz="4" w:space="0" w:color="auto"/>
            </w:tcBorders>
            <w:shd w:val="clear" w:color="auto" w:fill="auto"/>
            <w:noWrap/>
            <w:vAlign w:val="center"/>
          </w:tcPr>
          <w:p w14:paraId="35E811E8"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3.4%</w:t>
            </w:r>
          </w:p>
        </w:tc>
        <w:tc>
          <w:tcPr>
            <w:tcW w:w="960" w:type="dxa"/>
            <w:tcBorders>
              <w:top w:val="nil"/>
              <w:left w:val="nil"/>
              <w:bottom w:val="single" w:sz="4" w:space="0" w:color="auto"/>
              <w:right w:val="single" w:sz="4" w:space="0" w:color="auto"/>
            </w:tcBorders>
            <w:shd w:val="clear" w:color="auto" w:fill="auto"/>
            <w:noWrap/>
            <w:vAlign w:val="center"/>
          </w:tcPr>
          <w:p w14:paraId="2303CABF"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1.6%</w:t>
            </w:r>
          </w:p>
        </w:tc>
        <w:tc>
          <w:tcPr>
            <w:tcW w:w="960" w:type="dxa"/>
            <w:tcBorders>
              <w:top w:val="nil"/>
              <w:left w:val="nil"/>
              <w:bottom w:val="single" w:sz="4" w:space="0" w:color="auto"/>
              <w:right w:val="single" w:sz="4" w:space="0" w:color="auto"/>
            </w:tcBorders>
            <w:shd w:val="clear" w:color="auto" w:fill="auto"/>
            <w:noWrap/>
            <w:vAlign w:val="center"/>
          </w:tcPr>
          <w:p w14:paraId="6385D694"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1.5%</w:t>
            </w:r>
          </w:p>
        </w:tc>
        <w:tc>
          <w:tcPr>
            <w:tcW w:w="960" w:type="dxa"/>
            <w:tcBorders>
              <w:top w:val="nil"/>
              <w:left w:val="nil"/>
              <w:bottom w:val="single" w:sz="4" w:space="0" w:color="auto"/>
              <w:right w:val="single" w:sz="4" w:space="0" w:color="auto"/>
            </w:tcBorders>
            <w:shd w:val="clear" w:color="auto" w:fill="auto"/>
            <w:noWrap/>
            <w:vAlign w:val="center"/>
          </w:tcPr>
          <w:p w14:paraId="2085D9C3"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center"/>
          </w:tcPr>
          <w:p w14:paraId="49FFDA31" w14:textId="77777777" w:rsidR="00B11AEF" w:rsidRPr="00B07619" w:rsidRDefault="00B11AEF" w:rsidP="00B11AEF">
            <w:pPr>
              <w:spacing w:after="0" w:line="240" w:lineRule="auto"/>
              <w:ind w:firstLine="0"/>
              <w:jc w:val="right"/>
              <w:rPr>
                <w:color w:val="000000"/>
                <w:sz w:val="20"/>
                <w:szCs w:val="20"/>
              </w:rPr>
            </w:pPr>
            <w:r w:rsidRPr="00B07619">
              <w:rPr>
                <w:color w:val="000000"/>
                <w:sz w:val="20"/>
                <w:szCs w:val="20"/>
              </w:rPr>
              <w:t>0.4%</w:t>
            </w:r>
          </w:p>
        </w:tc>
      </w:tr>
    </w:tbl>
    <w:p w14:paraId="151C762D" w14:textId="77777777" w:rsidR="00B11AEF" w:rsidRPr="00B07619" w:rsidRDefault="00B11AEF" w:rsidP="00B11AEF">
      <w:pPr>
        <w:spacing w:before="120" w:after="120" w:line="276" w:lineRule="auto"/>
        <w:ind w:firstLine="0"/>
        <w:rPr>
          <w:rFonts w:cs="Sylfaen"/>
          <w:iCs/>
          <w:lang w:val="af-ZA" w:eastAsia="en-GB"/>
        </w:rPr>
      </w:pPr>
      <w:r w:rsidRPr="00B07619">
        <w:rPr>
          <w:rFonts w:cs="Sylfaen"/>
          <w:iCs/>
          <w:lang w:val="af-ZA" w:eastAsia="en-GB"/>
        </w:rPr>
        <w:t>ՀՀ 2022-2024 թվականների պետական բյուջեների եկամուտները ծրագրելիս օգտագործվել են այն մակ</w:t>
      </w:r>
      <w:r w:rsidRPr="00B07619">
        <w:rPr>
          <w:rFonts w:cs="Sylfaen"/>
          <w:iCs/>
          <w:lang w:val="af-ZA" w:eastAsia="en-GB"/>
        </w:rPr>
        <w:softHyphen/>
        <w:t>րո</w:t>
      </w:r>
      <w:r w:rsidRPr="00B07619">
        <w:rPr>
          <w:rFonts w:cs="Sylfaen"/>
          <w:iCs/>
          <w:lang w:val="af-ZA" w:eastAsia="en-GB"/>
        </w:rPr>
        <w:softHyphen/>
      </w:r>
      <w:r w:rsidRPr="00B07619">
        <w:rPr>
          <w:rFonts w:cs="Sylfaen"/>
          <w:iCs/>
          <w:lang w:val="af-ZA" w:eastAsia="en-GB"/>
        </w:rPr>
        <w:softHyphen/>
        <w:t>տնտեսական ցուցանիշների կանխատեսումները, որոնք էական ազդեցություն ունեն ա</w:t>
      </w:r>
      <w:r w:rsidRPr="00B07619">
        <w:rPr>
          <w:rFonts w:cs="Sylfaen"/>
          <w:iCs/>
          <w:lang w:val="af-ZA" w:eastAsia="en-GB"/>
        </w:rPr>
        <w:softHyphen/>
        <w:t>ռան</w:t>
      </w:r>
      <w:r w:rsidRPr="00B07619">
        <w:rPr>
          <w:rFonts w:cs="Sylfaen"/>
          <w:iCs/>
          <w:lang w:val="af-ZA" w:eastAsia="en-GB"/>
        </w:rPr>
        <w:softHyphen/>
      </w:r>
      <w:r w:rsidRPr="00B07619">
        <w:rPr>
          <w:rFonts w:cs="Sylfaen"/>
          <w:iCs/>
          <w:lang w:val="af-ZA" w:eastAsia="en-GB"/>
        </w:rPr>
        <w:softHyphen/>
      </w:r>
      <w:r w:rsidRPr="00B07619">
        <w:rPr>
          <w:rFonts w:cs="Sylfaen"/>
          <w:iCs/>
          <w:lang w:val="af-ZA" w:eastAsia="en-GB"/>
        </w:rPr>
        <w:softHyphen/>
        <w:t>ձին եկամտա</w:t>
      </w:r>
      <w:r w:rsidRPr="00B07619">
        <w:rPr>
          <w:rFonts w:cs="Sylfaen"/>
          <w:iCs/>
          <w:lang w:val="af-ZA" w:eastAsia="en-GB"/>
        </w:rPr>
        <w:softHyphen/>
        <w:t>տե</w:t>
      </w:r>
      <w:r w:rsidRPr="00B07619">
        <w:rPr>
          <w:rFonts w:cs="Sylfaen"/>
          <w:iCs/>
          <w:lang w:val="af-ZA" w:eastAsia="en-GB"/>
        </w:rPr>
        <w:softHyphen/>
        <w:t>սակ</w:t>
      </w:r>
      <w:r w:rsidRPr="00B07619">
        <w:rPr>
          <w:rFonts w:cs="Sylfaen"/>
          <w:iCs/>
          <w:lang w:val="af-ZA" w:eastAsia="en-GB"/>
        </w:rPr>
        <w:softHyphen/>
      </w:r>
      <w:r w:rsidRPr="00B07619">
        <w:rPr>
          <w:rFonts w:cs="Sylfaen"/>
          <w:iCs/>
          <w:lang w:val="af-ZA" w:eastAsia="en-GB"/>
        </w:rPr>
        <w:softHyphen/>
        <w:t>ների բազայի ձևավորման կամ հաշվարկման վրա: Առանձին դեպքերում հաշ</w:t>
      </w:r>
      <w:r w:rsidRPr="00B07619">
        <w:rPr>
          <w:rFonts w:cs="Sylfaen"/>
          <w:iCs/>
          <w:lang w:val="af-ZA" w:eastAsia="en-GB"/>
        </w:rPr>
        <w:softHyphen/>
      </w:r>
      <w:r w:rsidRPr="00B07619">
        <w:rPr>
          <w:rFonts w:cs="Sylfaen"/>
          <w:iCs/>
          <w:lang w:val="af-ZA" w:eastAsia="en-GB"/>
        </w:rPr>
        <w:softHyphen/>
      </w:r>
      <w:r w:rsidRPr="00B07619">
        <w:rPr>
          <w:rFonts w:cs="Sylfaen"/>
          <w:iCs/>
          <w:lang w:val="af-ZA" w:eastAsia="en-GB"/>
        </w:rPr>
        <w:softHyphen/>
        <w:t>վի են առնվել նաև պայմանա</w:t>
      </w:r>
      <w:r w:rsidRPr="00B07619">
        <w:rPr>
          <w:rFonts w:cs="Sylfaen"/>
          <w:iCs/>
          <w:lang w:val="af-ZA" w:eastAsia="en-GB"/>
        </w:rPr>
        <w:softHyphen/>
      </w:r>
      <w:r w:rsidRPr="00B07619">
        <w:rPr>
          <w:rFonts w:cs="Sylfaen"/>
          <w:iCs/>
          <w:lang w:val="af-ZA" w:eastAsia="en-GB"/>
        </w:rPr>
        <w:softHyphen/>
        <w:t>գրային հարաբերություններով կարգավորվող ցու</w:t>
      </w:r>
      <w:r w:rsidRPr="00B07619">
        <w:rPr>
          <w:rFonts w:cs="Sylfaen"/>
          <w:iCs/>
          <w:lang w:val="af-ZA" w:eastAsia="en-GB"/>
        </w:rPr>
        <w:softHyphen/>
        <w:t xml:space="preserve">ցանիշները: </w:t>
      </w:r>
    </w:p>
    <w:p w14:paraId="7FEE4D92" w14:textId="77777777" w:rsidR="00B11AEF" w:rsidRDefault="00B11AEF" w:rsidP="00B11AEF">
      <w:pPr>
        <w:spacing w:line="276" w:lineRule="auto"/>
        <w:ind w:firstLine="0"/>
        <w:rPr>
          <w:rFonts w:cs="Sylfaen"/>
          <w:iCs/>
          <w:lang w:val="af-ZA" w:eastAsia="en-GB"/>
        </w:rPr>
      </w:pPr>
      <w:r w:rsidRPr="00B07619">
        <w:rPr>
          <w:rFonts w:cs="Sylfaen"/>
          <w:b/>
          <w:iCs/>
          <w:spacing w:val="40"/>
          <w:lang w:val="af-ZA" w:eastAsia="en-GB"/>
        </w:rPr>
        <w:t>Հարկային եկամուտների գծով</w:t>
      </w:r>
      <w:r w:rsidRPr="00B07619">
        <w:rPr>
          <w:rFonts w:cs="Sylfaen"/>
          <w:iCs/>
          <w:lang w:val="af-ZA" w:eastAsia="en-GB"/>
        </w:rPr>
        <w:t xml:space="preserve"> 2022-2024թթ բյու</w:t>
      </w:r>
      <w:r w:rsidRPr="00B07619">
        <w:rPr>
          <w:rFonts w:cs="Sylfaen"/>
          <w:iCs/>
          <w:lang w:val="af-ZA" w:eastAsia="en-GB"/>
        </w:rPr>
        <w:softHyphen/>
      </w:r>
      <w:r w:rsidRPr="00B07619">
        <w:rPr>
          <w:rFonts w:cs="Sylfaen"/>
          <w:iCs/>
          <w:lang w:val="af-ZA" w:eastAsia="en-GB"/>
        </w:rPr>
        <w:softHyphen/>
        <w:t>ջետային մուտքերը ծրագր</w:t>
      </w:r>
      <w:r w:rsidRPr="00B07619">
        <w:rPr>
          <w:rFonts w:cs="Sylfaen"/>
          <w:iCs/>
          <w:lang w:val="af-ZA" w:eastAsia="en-GB"/>
        </w:rPr>
        <w:softHyphen/>
        <w:t>վել են հարկային եկամուտներ/ՀՆԱ ցուցանիշի տա</w:t>
      </w:r>
      <w:r w:rsidRPr="00B07619">
        <w:rPr>
          <w:rFonts w:cs="Sylfaen"/>
          <w:iCs/>
          <w:lang w:val="af-ZA" w:eastAsia="en-GB"/>
        </w:rPr>
        <w:softHyphen/>
        <w:t>րե</w:t>
      </w:r>
      <w:r w:rsidRPr="00B07619">
        <w:rPr>
          <w:rFonts w:cs="Sylfaen"/>
          <w:iCs/>
          <w:lang w:val="af-ZA" w:eastAsia="en-GB"/>
        </w:rPr>
        <w:softHyphen/>
        <w:t>կան</w:t>
      </w:r>
      <w:r>
        <w:rPr>
          <w:rFonts w:cs="Sylfaen"/>
          <w:iCs/>
          <w:lang w:val="af-ZA" w:eastAsia="en-GB"/>
        </w:rPr>
        <w:t xml:space="preserve"> միջինը</w:t>
      </w:r>
      <w:r w:rsidRPr="00E328D1">
        <w:rPr>
          <w:rFonts w:cs="Sylfaen"/>
          <w:iCs/>
          <w:lang w:val="af-ZA" w:eastAsia="en-GB"/>
        </w:rPr>
        <w:t xml:space="preserve"> 0.4</w:t>
      </w:r>
      <w:r w:rsidRPr="00B07619">
        <w:rPr>
          <w:rFonts w:cs="Sylfaen"/>
          <w:iCs/>
          <w:lang w:val="af-ZA" w:eastAsia="en-GB"/>
        </w:rPr>
        <w:t xml:space="preserve"> տոկոսային կետ աճ ապա</w:t>
      </w:r>
      <w:r w:rsidRPr="00B07619">
        <w:rPr>
          <w:rFonts w:cs="Sylfaen"/>
          <w:iCs/>
          <w:lang w:val="af-ZA" w:eastAsia="en-GB"/>
        </w:rPr>
        <w:softHyphen/>
      </w:r>
      <w:r w:rsidRPr="00B07619">
        <w:rPr>
          <w:rFonts w:cs="Sylfaen"/>
          <w:iCs/>
          <w:lang w:val="af-ZA" w:eastAsia="en-GB"/>
        </w:rPr>
        <w:softHyphen/>
        <w:t>հովելու սկզբուն</w:t>
      </w:r>
      <w:r w:rsidRPr="00B07619">
        <w:rPr>
          <w:rFonts w:cs="Sylfaen"/>
          <w:iCs/>
          <w:lang w:val="af-ZA" w:eastAsia="en-GB"/>
        </w:rPr>
        <w:softHyphen/>
        <w:t>քի հիման վրա: Հաշվարկներում լրացուցիչ ենթադրվել է, որ հարկերի գծով 2021 թվականի համար հարկային եկամուտներ/ՀՆԱ ցուցանիշի սպասողական մակարդակը ապա</w:t>
      </w:r>
      <w:r w:rsidRPr="00B07619">
        <w:rPr>
          <w:rFonts w:cs="Sylfaen"/>
          <w:iCs/>
          <w:lang w:val="af-ZA" w:eastAsia="en-GB"/>
        </w:rPr>
        <w:softHyphen/>
        <w:t>հո</w:t>
      </w:r>
      <w:r w:rsidRPr="00B07619">
        <w:rPr>
          <w:rFonts w:cs="Sylfaen"/>
          <w:iCs/>
          <w:lang w:val="af-ZA" w:eastAsia="en-GB"/>
        </w:rPr>
        <w:softHyphen/>
        <w:t>վե</w:t>
      </w:r>
      <w:r w:rsidRPr="00B07619">
        <w:rPr>
          <w:rFonts w:cs="Sylfaen"/>
          <w:iCs/>
          <w:lang w:val="af-ZA" w:eastAsia="en-GB"/>
        </w:rPr>
        <w:softHyphen/>
        <w:t>լու համար բա</w:t>
      </w:r>
      <w:r w:rsidRPr="00B07619">
        <w:rPr>
          <w:rFonts w:cs="Sylfaen"/>
          <w:iCs/>
          <w:lang w:val="af-ZA" w:eastAsia="en-GB"/>
        </w:rPr>
        <w:softHyphen/>
      </w:r>
      <w:r w:rsidRPr="00B07619">
        <w:rPr>
          <w:rFonts w:cs="Sylfaen"/>
          <w:iCs/>
          <w:lang w:val="af-ZA" w:eastAsia="en-GB"/>
        </w:rPr>
        <w:softHyphen/>
        <w:t>վարար հիմքեր կստեղծեն առկա օրենս</w:t>
      </w:r>
      <w:r w:rsidRPr="00B07619">
        <w:rPr>
          <w:rFonts w:cs="Sylfaen"/>
          <w:iCs/>
          <w:lang w:val="af-ZA" w:eastAsia="en-GB"/>
        </w:rPr>
        <w:softHyphen/>
        <w:t>դրա</w:t>
      </w:r>
      <w:r w:rsidRPr="00B07619">
        <w:rPr>
          <w:rFonts w:cs="Sylfaen"/>
          <w:iCs/>
          <w:lang w:val="af-ZA" w:eastAsia="en-GB"/>
        </w:rPr>
        <w:softHyphen/>
      </w:r>
      <w:r w:rsidRPr="00B07619">
        <w:rPr>
          <w:rFonts w:cs="Sylfaen"/>
          <w:iCs/>
          <w:lang w:val="af-ZA" w:eastAsia="en-GB"/>
        </w:rPr>
        <w:softHyphen/>
        <w:t>կան նա</w:t>
      </w:r>
      <w:r w:rsidRPr="00B07619">
        <w:rPr>
          <w:rFonts w:cs="Sylfaen"/>
          <w:iCs/>
          <w:lang w:val="af-ZA" w:eastAsia="en-GB"/>
        </w:rPr>
        <w:softHyphen/>
        <w:t>խադրյալները, կի</w:t>
      </w:r>
      <w:r w:rsidRPr="00B07619">
        <w:rPr>
          <w:rFonts w:cs="Sylfaen"/>
          <w:iCs/>
          <w:lang w:val="af-ZA" w:eastAsia="en-GB"/>
        </w:rPr>
        <w:softHyphen/>
        <w:t>րառ</w:t>
      </w:r>
      <w:r w:rsidRPr="00B07619">
        <w:rPr>
          <w:rFonts w:cs="Sylfaen"/>
          <w:iCs/>
          <w:lang w:val="af-ZA" w:eastAsia="en-GB"/>
        </w:rPr>
        <w:softHyphen/>
      </w:r>
      <w:r w:rsidRPr="00B07619">
        <w:rPr>
          <w:rFonts w:cs="Sylfaen"/>
          <w:iCs/>
          <w:lang w:val="af-ZA" w:eastAsia="en-GB"/>
        </w:rPr>
        <w:softHyphen/>
        <w:t>վելիք վարչարարական միջոցա</w:t>
      </w:r>
      <w:r w:rsidRPr="00B07619">
        <w:rPr>
          <w:rFonts w:cs="Sylfaen"/>
          <w:iCs/>
          <w:lang w:val="af-ZA" w:eastAsia="en-GB"/>
        </w:rPr>
        <w:softHyphen/>
        <w:t>ռում</w:t>
      </w:r>
      <w:r w:rsidRPr="00B07619">
        <w:rPr>
          <w:rFonts w:cs="Sylfaen"/>
          <w:iCs/>
          <w:lang w:val="af-ZA" w:eastAsia="en-GB"/>
        </w:rPr>
        <w:softHyphen/>
        <w:t>ները, ինչպես նաև մակ</w:t>
      </w:r>
      <w:r w:rsidRPr="00B07619">
        <w:rPr>
          <w:rFonts w:cs="Sylfaen"/>
          <w:iCs/>
          <w:lang w:val="af-ZA" w:eastAsia="en-GB"/>
        </w:rPr>
        <w:softHyphen/>
        <w:t>րո</w:t>
      </w:r>
      <w:r w:rsidRPr="00B07619">
        <w:rPr>
          <w:rFonts w:cs="Sylfaen"/>
          <w:iCs/>
          <w:lang w:val="af-ZA" w:eastAsia="en-GB"/>
        </w:rPr>
        <w:softHyphen/>
        <w:t>տնտե</w:t>
      </w:r>
      <w:r w:rsidRPr="00B07619">
        <w:rPr>
          <w:rFonts w:cs="Sylfaen"/>
          <w:iCs/>
          <w:lang w:val="af-ZA" w:eastAsia="en-GB"/>
        </w:rPr>
        <w:softHyphen/>
        <w:t>սական զար</w:t>
      </w:r>
      <w:r w:rsidRPr="00B07619">
        <w:rPr>
          <w:rFonts w:cs="Sylfaen"/>
          <w:iCs/>
          <w:lang w:val="af-ZA" w:eastAsia="en-GB"/>
        </w:rPr>
        <w:softHyphen/>
        <w:t>գա</w:t>
      </w:r>
      <w:r w:rsidRPr="00B07619">
        <w:rPr>
          <w:rFonts w:cs="Sylfaen"/>
          <w:iCs/>
          <w:lang w:val="af-ZA" w:eastAsia="en-GB"/>
        </w:rPr>
        <w:softHyphen/>
        <w:t>ցում</w:t>
      </w:r>
      <w:r w:rsidRPr="00B07619">
        <w:rPr>
          <w:rFonts w:cs="Sylfaen"/>
          <w:iCs/>
          <w:lang w:val="af-ZA" w:eastAsia="en-GB"/>
        </w:rPr>
        <w:softHyphen/>
        <w:t>նե</w:t>
      </w:r>
      <w:r w:rsidRPr="00B07619">
        <w:rPr>
          <w:rFonts w:cs="Sylfaen"/>
          <w:iCs/>
          <w:lang w:val="af-ZA" w:eastAsia="en-GB"/>
        </w:rPr>
        <w:softHyphen/>
        <w:t xml:space="preserve">րը: </w:t>
      </w:r>
    </w:p>
    <w:p w14:paraId="7422E733" w14:textId="77777777" w:rsidR="00B11AEF" w:rsidRDefault="00B11AEF" w:rsidP="00B11AEF">
      <w:pPr>
        <w:spacing w:line="276" w:lineRule="auto"/>
        <w:ind w:firstLine="720"/>
        <w:rPr>
          <w:rFonts w:cs="Sylfaen"/>
          <w:iCs/>
          <w:lang w:val="af-ZA" w:eastAsia="en-GB"/>
        </w:rPr>
      </w:pPr>
      <w:r w:rsidRPr="00A17B2B">
        <w:rPr>
          <w:rFonts w:cs="Sylfaen"/>
          <w:iCs/>
          <w:lang w:val="af-ZA" w:eastAsia="en-GB"/>
        </w:rPr>
        <w:t>Անվանական</w:t>
      </w:r>
      <w:r>
        <w:rPr>
          <w:rFonts w:cs="Sylfaen"/>
          <w:iCs/>
          <w:lang w:val="af-ZA" w:eastAsia="en-GB"/>
        </w:rPr>
        <w:t xml:space="preserve"> ՀՆԱ-ի աճերը 2022-2024թթ համար ծրագրավորվել են համապատասխանաբար 10.0%, 7.9%, և 8.1%, որով պայմանավորված հարկային եկամուտների աճերը կկազմեն 2022թ.՝ 193.0 մլրդ դրամ, 2023թ.՝ 156.4 մլրդ դրամ և 2024թ.՝ 194.1 մլրդ դրամ:</w:t>
      </w:r>
    </w:p>
    <w:p w14:paraId="7A0C97D2" w14:textId="3AB61E9C" w:rsidR="00B11AEF" w:rsidRPr="00AF7D7E" w:rsidRDefault="00B11AEF" w:rsidP="00B11AEF">
      <w:pPr>
        <w:spacing w:line="276" w:lineRule="auto"/>
        <w:ind w:firstLine="0"/>
        <w:rPr>
          <w:rFonts w:cs="Sylfaen"/>
          <w:iCs/>
          <w:lang w:val="af-ZA" w:eastAsia="en-GB"/>
        </w:rPr>
      </w:pPr>
      <w:r>
        <w:rPr>
          <w:rFonts w:cs="Sylfaen"/>
          <w:iCs/>
          <w:lang w:val="af-ZA" w:eastAsia="en-GB"/>
        </w:rPr>
        <w:tab/>
        <w:t>Ըստ թիրախային (բարձր) տնտեսական աճի սցենարի</w:t>
      </w:r>
      <w:r>
        <w:rPr>
          <w:rStyle w:val="FootnoteReference"/>
          <w:rFonts w:cs="Sylfaen"/>
          <w:iCs/>
          <w:lang w:val="af-ZA" w:eastAsia="en-GB"/>
        </w:rPr>
        <w:footnoteReference w:id="30"/>
      </w:r>
      <w:r>
        <w:rPr>
          <w:rFonts w:cs="Sylfaen"/>
          <w:iCs/>
          <w:lang w:val="af-ZA" w:eastAsia="en-GB"/>
        </w:rPr>
        <w:t xml:space="preserve">  ՀՀ կառավարությունը 2022-2026թթ համար </w:t>
      </w:r>
      <w:r w:rsidRPr="00A17B2B">
        <w:rPr>
          <w:rFonts w:cs="Sylfaen"/>
          <w:iCs/>
          <w:lang w:val="af-ZA" w:eastAsia="en-GB"/>
        </w:rPr>
        <w:t>նպատակադրում է ապահովել տարեկան միջինում առնվազն 7.0% տնտեսական աճ</w:t>
      </w:r>
      <w:r>
        <w:rPr>
          <w:rFonts w:cs="Sylfaen"/>
          <w:iCs/>
          <w:lang w:val="af-ZA" w:eastAsia="en-GB"/>
        </w:rPr>
        <w:t>՝</w:t>
      </w:r>
      <w:r w:rsidRPr="00AF7D7E">
        <w:rPr>
          <w:rFonts w:cs="Sylfaen"/>
          <w:iCs/>
          <w:lang w:val="af-ZA" w:eastAsia="en-GB"/>
        </w:rPr>
        <w:t xml:space="preserve"> </w:t>
      </w:r>
      <w:r w:rsidRPr="00586097">
        <w:t>ՀՆԱ</w:t>
      </w:r>
      <w:r w:rsidRPr="00F53B47">
        <w:rPr>
          <w:lang w:val="af-ZA"/>
        </w:rPr>
        <w:t>-</w:t>
      </w:r>
      <w:r w:rsidRPr="00586097">
        <w:t>ի</w:t>
      </w:r>
      <w:r w:rsidRPr="00F53B47">
        <w:rPr>
          <w:lang w:val="af-ZA"/>
        </w:rPr>
        <w:t xml:space="preserve"> </w:t>
      </w:r>
      <w:r w:rsidRPr="00586097">
        <w:t>նկատմամբ</w:t>
      </w:r>
      <w:r w:rsidRPr="00F53B47">
        <w:rPr>
          <w:lang w:val="af-ZA"/>
        </w:rPr>
        <w:t xml:space="preserve"> </w:t>
      </w:r>
      <w:r w:rsidRPr="00586097">
        <w:t>հարկային</w:t>
      </w:r>
      <w:r w:rsidRPr="00A17B2B">
        <w:rPr>
          <w:lang w:val="af-ZA"/>
        </w:rPr>
        <w:t xml:space="preserve"> </w:t>
      </w:r>
      <w:r w:rsidRPr="00586097">
        <w:t>եկամուտների</w:t>
      </w:r>
      <w:r w:rsidRPr="00A17B2B">
        <w:rPr>
          <w:lang w:val="af-ZA"/>
        </w:rPr>
        <w:t xml:space="preserve"> </w:t>
      </w:r>
      <w:r w:rsidRPr="00586097">
        <w:t>տարեկան</w:t>
      </w:r>
      <w:r w:rsidRPr="00DA5BB7">
        <w:rPr>
          <w:lang w:val="af-ZA"/>
        </w:rPr>
        <w:t xml:space="preserve"> </w:t>
      </w:r>
      <w:r w:rsidRPr="00586097">
        <w:t>միջինում</w:t>
      </w:r>
      <w:r w:rsidRPr="00DA5BB7">
        <w:rPr>
          <w:lang w:val="af-ZA"/>
        </w:rPr>
        <w:t xml:space="preserve"> </w:t>
      </w:r>
      <w:r w:rsidRPr="00586097">
        <w:t>շուրջ</w:t>
      </w:r>
      <w:r w:rsidRPr="00DA5BB7">
        <w:rPr>
          <w:lang w:val="af-ZA"/>
        </w:rPr>
        <w:t xml:space="preserve"> 0.7 </w:t>
      </w:r>
      <w:r w:rsidRPr="00586097">
        <w:t>տոկոսային</w:t>
      </w:r>
      <w:r w:rsidRPr="00DA5BB7">
        <w:rPr>
          <w:lang w:val="af-ZA"/>
        </w:rPr>
        <w:t xml:space="preserve"> </w:t>
      </w:r>
      <w:r w:rsidRPr="00586097">
        <w:t>կետով</w:t>
      </w:r>
      <w:r>
        <w:rPr>
          <w:lang w:val="af-ZA"/>
        </w:rPr>
        <w:t xml:space="preserve"> առաջանցիկ</w:t>
      </w:r>
      <w:r w:rsidR="00414434">
        <w:rPr>
          <w:lang w:val="af-ZA"/>
        </w:rPr>
        <w:t xml:space="preserve"> աճի</w:t>
      </w:r>
      <w:r>
        <w:rPr>
          <w:lang w:val="af-ZA"/>
        </w:rPr>
        <w:t xml:space="preserve"> </w:t>
      </w:r>
      <w:r>
        <w:t>բարելավմամբ</w:t>
      </w:r>
      <w:r w:rsidRPr="00A17B2B">
        <w:rPr>
          <w:lang w:val="af-ZA"/>
        </w:rPr>
        <w:t>:</w:t>
      </w:r>
      <w:r>
        <w:rPr>
          <w:lang w:val="af-ZA"/>
        </w:rPr>
        <w:t xml:space="preserve"> Նշված սցենարի իրագործման պայմաններում կստեղծվեն լրացուցիչ հնարավորություններ Հավելված N 6-ում ներկայացված 2022-2024թթ ծախսային առաջնահերթությունների իրականացման համար: </w:t>
      </w:r>
    </w:p>
    <w:p w14:paraId="50293CB6" w14:textId="77777777" w:rsidR="00B11AEF" w:rsidRPr="00B07619" w:rsidRDefault="00B11AEF" w:rsidP="00B11AEF">
      <w:pPr>
        <w:spacing w:line="276" w:lineRule="auto"/>
        <w:ind w:firstLine="0"/>
        <w:rPr>
          <w:rFonts w:cs="Sylfaen"/>
          <w:iCs/>
          <w:lang w:val="af-ZA" w:eastAsia="en-GB"/>
        </w:rPr>
      </w:pPr>
    </w:p>
    <w:p w14:paraId="590B01D6" w14:textId="77777777" w:rsidR="00B11AEF" w:rsidRPr="00B07619" w:rsidRDefault="00B11AEF" w:rsidP="00B11AEF">
      <w:pPr>
        <w:keepNext/>
        <w:keepLines/>
        <w:ind w:firstLine="0"/>
        <w:jc w:val="left"/>
        <w:rPr>
          <w:rFonts w:cs="Sylfaen"/>
          <w:b/>
          <w:sz w:val="20"/>
          <w:szCs w:val="20"/>
          <w:lang w:val="fr-FR"/>
        </w:rPr>
      </w:pPr>
      <w:r w:rsidRPr="00B07619">
        <w:rPr>
          <w:rFonts w:cs="Sylfaen"/>
          <w:b/>
          <w:sz w:val="20"/>
          <w:szCs w:val="20"/>
          <w:lang w:val="fr-FR"/>
        </w:rPr>
        <w:t>Գծապատկեր</w:t>
      </w:r>
      <w:r w:rsidRPr="00B07619">
        <w:rPr>
          <w:rFonts w:cs="Sylfaen"/>
          <w:b/>
          <w:sz w:val="20"/>
          <w:szCs w:val="20"/>
          <w:lang w:val="af-ZA"/>
        </w:rPr>
        <w:t xml:space="preserve"> 3.2.1. </w:t>
      </w:r>
      <w:r w:rsidRPr="00B07619">
        <w:rPr>
          <w:rFonts w:cs="Sylfaen"/>
          <w:b/>
          <w:sz w:val="20"/>
          <w:szCs w:val="20"/>
          <w:lang w:val="fr-FR"/>
        </w:rPr>
        <w:t>ՀՀ</w:t>
      </w:r>
      <w:r w:rsidRPr="00B07619">
        <w:rPr>
          <w:rFonts w:cs="Sylfaen"/>
          <w:b/>
          <w:sz w:val="20"/>
          <w:szCs w:val="20"/>
          <w:lang w:val="af-ZA"/>
        </w:rPr>
        <w:t xml:space="preserve"> 2018-2024</w:t>
      </w:r>
      <w:r w:rsidRPr="00B07619">
        <w:rPr>
          <w:rFonts w:cs="Sylfaen"/>
          <w:b/>
          <w:sz w:val="20"/>
          <w:szCs w:val="20"/>
          <w:lang w:val="fr-FR"/>
        </w:rPr>
        <w:t>թթ</w:t>
      </w:r>
      <w:r w:rsidRPr="00B07619">
        <w:rPr>
          <w:rFonts w:cs="Sylfaen"/>
          <w:b/>
          <w:sz w:val="20"/>
          <w:szCs w:val="20"/>
          <w:lang w:val="af-ZA"/>
        </w:rPr>
        <w:t xml:space="preserve"> </w:t>
      </w:r>
      <w:r w:rsidRPr="00B07619">
        <w:rPr>
          <w:rFonts w:cs="Sylfaen"/>
          <w:b/>
          <w:sz w:val="20"/>
          <w:szCs w:val="20"/>
          <w:lang w:val="fr-FR"/>
        </w:rPr>
        <w:t>հարկային</w:t>
      </w:r>
      <w:r w:rsidRPr="00B07619">
        <w:rPr>
          <w:rFonts w:cs="Sylfaen"/>
          <w:b/>
          <w:sz w:val="20"/>
          <w:szCs w:val="20"/>
          <w:lang w:val="af-ZA"/>
        </w:rPr>
        <w:t xml:space="preserve"> </w:t>
      </w:r>
      <w:r w:rsidRPr="00B07619">
        <w:rPr>
          <w:rFonts w:cs="Sylfaen"/>
          <w:b/>
          <w:sz w:val="20"/>
          <w:szCs w:val="20"/>
          <w:lang w:val="fr-FR"/>
        </w:rPr>
        <w:t>եկամուտները</w:t>
      </w:r>
      <w:r w:rsidRPr="00B07619">
        <w:rPr>
          <w:rFonts w:cs="Sylfaen"/>
          <w:b/>
          <w:sz w:val="20"/>
          <w:szCs w:val="20"/>
          <w:lang w:val="af-ZA"/>
        </w:rPr>
        <w:t xml:space="preserve"> </w:t>
      </w:r>
      <w:r w:rsidRPr="00B07619">
        <w:rPr>
          <w:rFonts w:cs="Sylfaen"/>
          <w:b/>
          <w:sz w:val="20"/>
          <w:szCs w:val="20"/>
          <w:lang w:val="fr-FR"/>
        </w:rPr>
        <w:t>մլրդ</w:t>
      </w:r>
      <w:r w:rsidRPr="00B07619">
        <w:rPr>
          <w:rFonts w:cs="Sylfaen"/>
          <w:b/>
          <w:sz w:val="20"/>
          <w:szCs w:val="20"/>
          <w:lang w:val="af-ZA"/>
        </w:rPr>
        <w:t xml:space="preserve"> </w:t>
      </w:r>
      <w:r w:rsidRPr="00B07619">
        <w:rPr>
          <w:rFonts w:cs="Sylfaen"/>
          <w:b/>
          <w:sz w:val="20"/>
          <w:szCs w:val="20"/>
          <w:lang w:val="fr-FR"/>
        </w:rPr>
        <w:t>դրամով</w:t>
      </w:r>
      <w:r w:rsidRPr="00B07619">
        <w:rPr>
          <w:rFonts w:cs="Sylfaen"/>
          <w:b/>
          <w:sz w:val="20"/>
          <w:szCs w:val="20"/>
          <w:lang w:val="af-ZA"/>
        </w:rPr>
        <w:t xml:space="preserve"> </w:t>
      </w:r>
      <w:r w:rsidRPr="00B07619">
        <w:rPr>
          <w:rFonts w:cs="Sylfaen"/>
          <w:b/>
          <w:sz w:val="20"/>
          <w:szCs w:val="20"/>
          <w:lang w:val="fr-FR"/>
        </w:rPr>
        <w:t>և</w:t>
      </w:r>
      <w:r w:rsidRPr="00B07619">
        <w:rPr>
          <w:rFonts w:cs="Sylfaen"/>
          <w:b/>
          <w:sz w:val="20"/>
          <w:szCs w:val="20"/>
          <w:lang w:val="af-ZA"/>
        </w:rPr>
        <w:t xml:space="preserve"> </w:t>
      </w:r>
      <w:r w:rsidRPr="00B07619">
        <w:rPr>
          <w:rFonts w:cs="Sylfaen"/>
          <w:b/>
          <w:sz w:val="20"/>
          <w:szCs w:val="20"/>
          <w:lang w:val="fr-FR"/>
        </w:rPr>
        <w:t>կշիռը</w:t>
      </w:r>
      <w:r w:rsidRPr="00B07619">
        <w:rPr>
          <w:rFonts w:cs="Sylfaen"/>
          <w:b/>
          <w:sz w:val="20"/>
          <w:szCs w:val="20"/>
          <w:lang w:val="af-ZA"/>
        </w:rPr>
        <w:t xml:space="preserve"> </w:t>
      </w:r>
      <w:r w:rsidRPr="00B07619">
        <w:rPr>
          <w:rFonts w:cs="Sylfaen"/>
          <w:b/>
          <w:sz w:val="20"/>
          <w:szCs w:val="20"/>
          <w:lang w:val="fr-FR"/>
        </w:rPr>
        <w:t>ՀՆԱ</w:t>
      </w:r>
      <w:r w:rsidRPr="00B07619">
        <w:rPr>
          <w:rFonts w:cs="Sylfaen"/>
          <w:b/>
          <w:sz w:val="20"/>
          <w:szCs w:val="20"/>
          <w:lang w:val="af-ZA"/>
        </w:rPr>
        <w:t>-</w:t>
      </w:r>
      <w:r w:rsidRPr="00B07619">
        <w:rPr>
          <w:rFonts w:cs="Sylfaen"/>
          <w:b/>
          <w:sz w:val="20"/>
          <w:szCs w:val="20"/>
          <w:lang w:val="fr-FR"/>
        </w:rPr>
        <w:t>ի</w:t>
      </w:r>
      <w:r w:rsidRPr="00B07619">
        <w:rPr>
          <w:rFonts w:cs="Sylfaen"/>
          <w:b/>
          <w:sz w:val="20"/>
          <w:szCs w:val="20"/>
          <w:lang w:val="af-ZA"/>
        </w:rPr>
        <w:t xml:space="preserve"> </w:t>
      </w:r>
      <w:r w:rsidRPr="00B07619">
        <w:rPr>
          <w:rFonts w:cs="Sylfaen"/>
          <w:b/>
          <w:sz w:val="20"/>
          <w:szCs w:val="20"/>
          <w:lang w:val="fr-FR"/>
        </w:rPr>
        <w:t>նկատմամբ</w:t>
      </w:r>
    </w:p>
    <w:p w14:paraId="165241EA" w14:textId="77777777" w:rsidR="00B11AEF" w:rsidRDefault="00B11AEF" w:rsidP="00B11AEF">
      <w:pPr>
        <w:keepNext/>
        <w:keepLines/>
        <w:ind w:firstLine="0"/>
        <w:jc w:val="left"/>
        <w:rPr>
          <w:rFonts w:cs="Sylfaen"/>
          <w:b/>
          <w:sz w:val="20"/>
          <w:szCs w:val="20"/>
          <w:highlight w:val="yellow"/>
          <w:lang w:val="fr-FR"/>
        </w:rPr>
      </w:pPr>
    </w:p>
    <w:p w14:paraId="6CB7794F" w14:textId="77777777" w:rsidR="00B11AEF" w:rsidRDefault="00B11AEF" w:rsidP="00B11AEF">
      <w:pPr>
        <w:keepNext/>
        <w:keepLines/>
        <w:ind w:firstLine="0"/>
        <w:jc w:val="left"/>
        <w:rPr>
          <w:rFonts w:cs="Sylfaen"/>
          <w:b/>
          <w:sz w:val="20"/>
          <w:szCs w:val="20"/>
          <w:highlight w:val="yellow"/>
          <w:lang w:val="fr-FR"/>
        </w:rPr>
      </w:pPr>
      <w:r>
        <w:rPr>
          <w:noProof/>
          <w:highlight w:val="yellow"/>
        </w:rPr>
        <w:drawing>
          <wp:inline distT="0" distB="0" distL="0" distR="0" wp14:anchorId="0512EC2E" wp14:editId="41FB5DC7">
            <wp:extent cx="6249670" cy="4182110"/>
            <wp:effectExtent l="0" t="0" r="17780" b="8890"/>
            <wp:docPr id="47"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5B5BA98" w14:textId="77777777" w:rsidR="00B11AEF" w:rsidRDefault="00B11AEF" w:rsidP="00B11AEF">
      <w:pPr>
        <w:keepNext/>
        <w:keepLines/>
        <w:ind w:firstLine="0"/>
        <w:jc w:val="left"/>
        <w:rPr>
          <w:rFonts w:cs="Sylfaen"/>
          <w:b/>
          <w:sz w:val="20"/>
          <w:szCs w:val="20"/>
          <w:highlight w:val="yellow"/>
          <w:lang w:val="af-ZA"/>
        </w:rPr>
      </w:pPr>
    </w:p>
    <w:p w14:paraId="37C42C77" w14:textId="77777777" w:rsidR="00B11AEF" w:rsidRPr="002E7C06" w:rsidRDefault="00B11AEF" w:rsidP="00B11AEF">
      <w:pPr>
        <w:pStyle w:val="BodyText"/>
        <w:tabs>
          <w:tab w:val="left" w:pos="9120"/>
        </w:tabs>
        <w:spacing w:after="0" w:line="276" w:lineRule="auto"/>
        <w:ind w:firstLine="0"/>
        <w:rPr>
          <w:rFonts w:cs="Sylfaen"/>
          <w:iCs/>
          <w:lang w:val="af-ZA" w:eastAsia="en-GB"/>
        </w:rPr>
      </w:pPr>
      <w:r w:rsidRPr="002E7C06">
        <w:rPr>
          <w:b/>
          <w:lang w:val="af-ZA"/>
        </w:rPr>
        <w:t>Պաշտոնական դրամաշնորհները</w:t>
      </w:r>
      <w:r w:rsidRPr="002E7C06">
        <w:rPr>
          <w:rFonts w:cs="Sylfaen"/>
          <w:iCs/>
          <w:lang w:val="af-ZA" w:eastAsia="en-GB"/>
        </w:rPr>
        <w:t xml:space="preserve"> 2022-2024թթ համար ծրագրվել են` հաշվի առ</w:t>
      </w:r>
      <w:r w:rsidRPr="002E7C06">
        <w:rPr>
          <w:rFonts w:cs="Sylfaen"/>
          <w:iCs/>
          <w:lang w:val="af-ZA" w:eastAsia="en-GB"/>
        </w:rPr>
        <w:softHyphen/>
        <w:t>նե</w:t>
      </w:r>
      <w:r w:rsidRPr="002E7C06">
        <w:rPr>
          <w:rFonts w:cs="Sylfaen"/>
          <w:iCs/>
          <w:lang w:val="af-ZA" w:eastAsia="en-GB"/>
        </w:rPr>
        <w:softHyphen/>
      </w:r>
      <w:r w:rsidRPr="002E7C06">
        <w:rPr>
          <w:rFonts w:cs="Sylfaen"/>
          <w:iCs/>
          <w:lang w:val="af-ZA" w:eastAsia="en-GB"/>
        </w:rPr>
        <w:softHyphen/>
        <w:t>լով առկա պայմանագրերը, դո</w:t>
      </w:r>
      <w:r w:rsidRPr="002E7C06">
        <w:rPr>
          <w:rFonts w:cs="Sylfaen"/>
          <w:iCs/>
          <w:lang w:val="af-ZA" w:eastAsia="en-GB"/>
        </w:rPr>
        <w:softHyphen/>
        <w:t>նոր</w:t>
      </w:r>
      <w:r w:rsidRPr="002E7C06">
        <w:rPr>
          <w:rFonts w:cs="Sylfaen"/>
          <w:iCs/>
          <w:lang w:val="af-ZA" w:eastAsia="en-GB"/>
        </w:rPr>
        <w:softHyphen/>
        <w:t>նե</w:t>
      </w:r>
      <w:r w:rsidRPr="002E7C06">
        <w:rPr>
          <w:rFonts w:cs="Sylfaen"/>
          <w:iCs/>
          <w:lang w:val="af-ZA" w:eastAsia="en-GB"/>
        </w:rPr>
        <w:softHyphen/>
        <w:t>րի հետ ձեռքբերված նախնական համաձայնությունները և Եվրամիությունից ակնկալվող դրամաշնորհների դեպքում` սպա</w:t>
      </w:r>
      <w:r w:rsidRPr="002E7C06">
        <w:rPr>
          <w:rFonts w:cs="Sylfaen"/>
          <w:iCs/>
          <w:lang w:val="af-ZA" w:eastAsia="en-GB"/>
        </w:rPr>
        <w:softHyphen/>
        <w:t>սում</w:t>
      </w:r>
      <w:r w:rsidRPr="002E7C06">
        <w:rPr>
          <w:rFonts w:cs="Sylfaen"/>
          <w:iCs/>
          <w:lang w:val="af-ZA" w:eastAsia="en-GB"/>
        </w:rPr>
        <w:softHyphen/>
      </w:r>
      <w:r w:rsidRPr="002E7C06">
        <w:rPr>
          <w:rFonts w:cs="Sylfaen"/>
          <w:iCs/>
          <w:lang w:val="af-ZA" w:eastAsia="en-GB"/>
        </w:rPr>
        <w:softHyphen/>
        <w:t>նե</w:t>
      </w:r>
      <w:r w:rsidRPr="002E7C06">
        <w:rPr>
          <w:rFonts w:cs="Sylfaen"/>
          <w:iCs/>
          <w:lang w:val="af-ZA" w:eastAsia="en-GB"/>
        </w:rPr>
        <w:softHyphen/>
        <w:t>րը:</w:t>
      </w:r>
    </w:p>
    <w:p w14:paraId="7BEAA380" w14:textId="77777777" w:rsidR="00B11AEF" w:rsidRPr="002E7C06" w:rsidRDefault="00B11AEF" w:rsidP="00B11AEF">
      <w:pPr>
        <w:ind w:firstLine="0"/>
        <w:rPr>
          <w:lang w:val="af-ZA"/>
        </w:rPr>
      </w:pPr>
    </w:p>
    <w:p w14:paraId="738F5045" w14:textId="77777777" w:rsidR="00B11AEF" w:rsidRPr="002E7C06" w:rsidRDefault="00B11AEF" w:rsidP="00B11AEF">
      <w:pPr>
        <w:keepNext/>
        <w:keepLines/>
        <w:ind w:firstLine="0"/>
        <w:rPr>
          <w:b/>
          <w:sz w:val="20"/>
          <w:szCs w:val="20"/>
          <w:lang w:val="af-ZA"/>
        </w:rPr>
      </w:pPr>
      <w:r w:rsidRPr="002E7C06">
        <w:rPr>
          <w:b/>
          <w:sz w:val="20"/>
          <w:szCs w:val="20"/>
        </w:rPr>
        <w:t>Աղյուսակ</w:t>
      </w:r>
      <w:r w:rsidRPr="002E7C06">
        <w:rPr>
          <w:b/>
          <w:sz w:val="20"/>
          <w:szCs w:val="20"/>
          <w:lang w:val="af-ZA"/>
        </w:rPr>
        <w:t xml:space="preserve"> 3.2.2.  </w:t>
      </w:r>
      <w:r w:rsidRPr="002E7C06">
        <w:rPr>
          <w:i/>
          <w:sz w:val="20"/>
          <w:szCs w:val="20"/>
          <w:lang w:val="af-ZA"/>
        </w:rPr>
        <w:t>2022-2024</w:t>
      </w:r>
      <w:r w:rsidRPr="002E7C06">
        <w:rPr>
          <w:i/>
          <w:sz w:val="20"/>
          <w:szCs w:val="20"/>
        </w:rPr>
        <w:t>թթ</w:t>
      </w:r>
      <w:r w:rsidRPr="002E7C06">
        <w:rPr>
          <w:i/>
          <w:sz w:val="20"/>
          <w:szCs w:val="20"/>
          <w:lang w:val="af-ZA"/>
        </w:rPr>
        <w:t xml:space="preserve"> </w:t>
      </w:r>
      <w:r w:rsidRPr="002E7C06">
        <w:rPr>
          <w:i/>
          <w:sz w:val="20"/>
          <w:szCs w:val="20"/>
        </w:rPr>
        <w:t>ծրագրված</w:t>
      </w:r>
      <w:r w:rsidRPr="002E7C06">
        <w:rPr>
          <w:i/>
          <w:sz w:val="20"/>
          <w:szCs w:val="20"/>
          <w:lang w:val="af-ZA"/>
        </w:rPr>
        <w:t xml:space="preserve"> </w:t>
      </w:r>
      <w:r w:rsidRPr="002E7C06">
        <w:rPr>
          <w:i/>
          <w:sz w:val="20"/>
          <w:szCs w:val="20"/>
        </w:rPr>
        <w:t>պաշտոնական</w:t>
      </w:r>
      <w:r w:rsidRPr="002E7C06">
        <w:rPr>
          <w:i/>
          <w:sz w:val="20"/>
          <w:szCs w:val="20"/>
          <w:lang w:val="af-ZA"/>
        </w:rPr>
        <w:t xml:space="preserve"> </w:t>
      </w:r>
      <w:r w:rsidRPr="002E7C06">
        <w:rPr>
          <w:i/>
          <w:sz w:val="20"/>
          <w:szCs w:val="20"/>
        </w:rPr>
        <w:t>դրամաշնորհները</w:t>
      </w:r>
      <w:r w:rsidRPr="002E7C06">
        <w:rPr>
          <w:i/>
          <w:sz w:val="20"/>
          <w:szCs w:val="20"/>
          <w:lang w:val="af-ZA"/>
        </w:rPr>
        <w:t xml:space="preserve"> (</w:t>
      </w:r>
      <w:r w:rsidRPr="002E7C06">
        <w:rPr>
          <w:i/>
          <w:sz w:val="20"/>
          <w:szCs w:val="20"/>
        </w:rPr>
        <w:t>մլրդ</w:t>
      </w:r>
      <w:r w:rsidRPr="002E7C06">
        <w:rPr>
          <w:i/>
          <w:sz w:val="20"/>
          <w:szCs w:val="20"/>
          <w:lang w:val="af-ZA"/>
        </w:rPr>
        <w:t xml:space="preserve"> </w:t>
      </w:r>
      <w:r w:rsidRPr="002E7C06">
        <w:rPr>
          <w:i/>
          <w:sz w:val="20"/>
          <w:szCs w:val="20"/>
        </w:rPr>
        <w:t>դրամ</w:t>
      </w:r>
      <w:r w:rsidRPr="002E7C06">
        <w:rPr>
          <w:i/>
          <w:sz w:val="20"/>
          <w:szCs w:val="20"/>
          <w:lang w:val="af-ZA"/>
        </w:rPr>
        <w:softHyphen/>
        <w:t>)</w:t>
      </w:r>
    </w:p>
    <w:tbl>
      <w:tblPr>
        <w:tblW w:w="9355" w:type="dxa"/>
        <w:tblLook w:val="04A0" w:firstRow="1" w:lastRow="0" w:firstColumn="1" w:lastColumn="0" w:noHBand="0" w:noVBand="1"/>
      </w:tblPr>
      <w:tblGrid>
        <w:gridCol w:w="5305"/>
        <w:gridCol w:w="1350"/>
        <w:gridCol w:w="1350"/>
        <w:gridCol w:w="1350"/>
      </w:tblGrid>
      <w:tr w:rsidR="00B11AEF" w:rsidRPr="002E7C06" w14:paraId="23D3B4FA" w14:textId="77777777" w:rsidTr="00B11AEF">
        <w:trPr>
          <w:trHeight w:val="345"/>
          <w:tblHeader/>
        </w:trPr>
        <w:tc>
          <w:tcPr>
            <w:tcW w:w="5305" w:type="dxa"/>
            <w:vMerge w:val="restart"/>
            <w:tcBorders>
              <w:top w:val="single" w:sz="4" w:space="0" w:color="auto"/>
              <w:left w:val="single" w:sz="4" w:space="0" w:color="auto"/>
              <w:bottom w:val="single" w:sz="4" w:space="0" w:color="auto"/>
              <w:right w:val="single" w:sz="4" w:space="0" w:color="auto"/>
            </w:tcBorders>
            <w:shd w:val="clear" w:color="auto" w:fill="0070C0"/>
            <w:noWrap/>
            <w:vAlign w:val="center"/>
          </w:tcPr>
          <w:p w14:paraId="5C076120" w14:textId="77777777" w:rsidR="00B11AEF" w:rsidRPr="002E7C06" w:rsidRDefault="00B11AEF" w:rsidP="00B11AEF">
            <w:pPr>
              <w:spacing w:after="0" w:line="240" w:lineRule="auto"/>
              <w:ind w:firstLine="0"/>
              <w:jc w:val="left"/>
              <w:rPr>
                <w:bCs/>
                <w:color w:val="FFFFFF" w:themeColor="background1"/>
                <w:sz w:val="20"/>
                <w:szCs w:val="20"/>
              </w:rPr>
            </w:pPr>
            <w:r w:rsidRPr="002E7C06">
              <w:rPr>
                <w:bCs/>
                <w:color w:val="FFFFFF" w:themeColor="background1"/>
                <w:sz w:val="20"/>
                <w:szCs w:val="20"/>
              </w:rPr>
              <w:t>Պաշտոնական դրամաշնորհներ</w:t>
            </w:r>
          </w:p>
        </w:tc>
        <w:tc>
          <w:tcPr>
            <w:tcW w:w="1350" w:type="dxa"/>
            <w:tcBorders>
              <w:top w:val="single" w:sz="4" w:space="0" w:color="auto"/>
              <w:left w:val="nil"/>
              <w:bottom w:val="single" w:sz="4" w:space="0" w:color="auto"/>
              <w:right w:val="single" w:sz="4" w:space="0" w:color="auto"/>
            </w:tcBorders>
            <w:shd w:val="clear" w:color="auto" w:fill="0070C0"/>
            <w:noWrap/>
            <w:vAlign w:val="center"/>
          </w:tcPr>
          <w:p w14:paraId="2225DE6C" w14:textId="77777777" w:rsidR="00B11AEF" w:rsidRPr="002E7C06" w:rsidRDefault="00B11AEF" w:rsidP="00B11AEF">
            <w:pPr>
              <w:spacing w:after="0" w:line="240" w:lineRule="auto"/>
              <w:ind w:firstLine="0"/>
              <w:jc w:val="center"/>
              <w:rPr>
                <w:rFonts w:eastAsia="Times New Roman" w:cs="Times New Roman"/>
                <w:color w:val="FFFFFF" w:themeColor="background1"/>
                <w:sz w:val="20"/>
                <w:szCs w:val="20"/>
              </w:rPr>
            </w:pPr>
            <w:r w:rsidRPr="002E7C06">
              <w:rPr>
                <w:color w:val="FFFFFF" w:themeColor="background1"/>
                <w:sz w:val="20"/>
                <w:szCs w:val="20"/>
              </w:rPr>
              <w:t>2022թ</w:t>
            </w:r>
          </w:p>
        </w:tc>
        <w:tc>
          <w:tcPr>
            <w:tcW w:w="1350" w:type="dxa"/>
            <w:tcBorders>
              <w:top w:val="single" w:sz="4" w:space="0" w:color="auto"/>
              <w:left w:val="nil"/>
              <w:bottom w:val="single" w:sz="4" w:space="0" w:color="auto"/>
              <w:right w:val="single" w:sz="4" w:space="0" w:color="auto"/>
            </w:tcBorders>
            <w:shd w:val="clear" w:color="auto" w:fill="0070C0"/>
            <w:noWrap/>
            <w:vAlign w:val="center"/>
          </w:tcPr>
          <w:p w14:paraId="21D287E3" w14:textId="77777777" w:rsidR="00B11AEF" w:rsidRPr="002E7C06" w:rsidRDefault="00B11AEF" w:rsidP="00B11AEF">
            <w:pPr>
              <w:spacing w:after="0" w:line="240" w:lineRule="auto"/>
              <w:ind w:firstLine="0"/>
              <w:jc w:val="center"/>
              <w:rPr>
                <w:rFonts w:eastAsia="Times New Roman" w:cs="Times New Roman"/>
                <w:color w:val="FFFFFF" w:themeColor="background1"/>
                <w:sz w:val="20"/>
                <w:szCs w:val="20"/>
              </w:rPr>
            </w:pPr>
            <w:r w:rsidRPr="002E7C06">
              <w:rPr>
                <w:color w:val="FFFFFF" w:themeColor="background1"/>
                <w:sz w:val="20"/>
                <w:szCs w:val="20"/>
              </w:rPr>
              <w:t>2023թ</w:t>
            </w:r>
          </w:p>
        </w:tc>
        <w:tc>
          <w:tcPr>
            <w:tcW w:w="1350" w:type="dxa"/>
            <w:tcBorders>
              <w:top w:val="single" w:sz="4" w:space="0" w:color="auto"/>
              <w:left w:val="nil"/>
              <w:bottom w:val="single" w:sz="4" w:space="0" w:color="auto"/>
              <w:right w:val="single" w:sz="4" w:space="0" w:color="auto"/>
            </w:tcBorders>
            <w:shd w:val="clear" w:color="auto" w:fill="0070C0"/>
            <w:noWrap/>
            <w:vAlign w:val="center"/>
          </w:tcPr>
          <w:p w14:paraId="24B3E137" w14:textId="77777777" w:rsidR="00B11AEF" w:rsidRPr="002E7C06" w:rsidRDefault="00B11AEF" w:rsidP="00B11AEF">
            <w:pPr>
              <w:spacing w:after="0" w:line="240" w:lineRule="auto"/>
              <w:ind w:firstLine="0"/>
              <w:jc w:val="center"/>
              <w:rPr>
                <w:rFonts w:eastAsia="Times New Roman" w:cs="Times New Roman"/>
                <w:color w:val="FFFFFF" w:themeColor="background1"/>
                <w:sz w:val="20"/>
                <w:szCs w:val="20"/>
              </w:rPr>
            </w:pPr>
            <w:r w:rsidRPr="002E7C06">
              <w:rPr>
                <w:color w:val="FFFFFF" w:themeColor="background1"/>
                <w:sz w:val="20"/>
                <w:szCs w:val="20"/>
              </w:rPr>
              <w:t>2024թ</w:t>
            </w:r>
          </w:p>
        </w:tc>
      </w:tr>
      <w:tr w:rsidR="00B11AEF" w:rsidRPr="002E7C06" w14:paraId="4EF94D86" w14:textId="77777777" w:rsidTr="00B11AEF">
        <w:trPr>
          <w:trHeight w:val="345"/>
          <w:tblHeader/>
        </w:trPr>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tcPr>
          <w:p w14:paraId="0BD2A4EE" w14:textId="77777777" w:rsidR="00B11AEF" w:rsidRPr="002E7C06" w:rsidRDefault="00B11AEF" w:rsidP="00B11AEF">
            <w:pPr>
              <w:spacing w:after="0" w:line="240" w:lineRule="auto"/>
              <w:ind w:firstLine="0"/>
              <w:rPr>
                <w:bCs/>
                <w:color w:val="FFFFFF" w:themeColor="background1"/>
                <w:sz w:val="20"/>
                <w:szCs w:val="20"/>
              </w:rPr>
            </w:pPr>
          </w:p>
        </w:tc>
        <w:tc>
          <w:tcPr>
            <w:tcW w:w="4050" w:type="dxa"/>
            <w:gridSpan w:val="3"/>
            <w:tcBorders>
              <w:top w:val="single" w:sz="4" w:space="0" w:color="auto"/>
              <w:left w:val="nil"/>
              <w:bottom w:val="single" w:sz="4" w:space="0" w:color="auto"/>
              <w:right w:val="single" w:sz="4" w:space="0" w:color="auto"/>
            </w:tcBorders>
            <w:shd w:val="clear" w:color="auto" w:fill="0070C0"/>
            <w:noWrap/>
            <w:vAlign w:val="center"/>
          </w:tcPr>
          <w:p w14:paraId="2B0DE43A" w14:textId="77777777" w:rsidR="00B11AEF" w:rsidRPr="002E7C06" w:rsidRDefault="00B11AEF" w:rsidP="00B11AEF">
            <w:pPr>
              <w:spacing w:after="0" w:line="240" w:lineRule="auto"/>
              <w:ind w:firstLine="0"/>
              <w:jc w:val="center"/>
              <w:rPr>
                <w:rFonts w:eastAsia="Times New Roman" w:cs="Times New Roman"/>
                <w:color w:val="FFFFFF" w:themeColor="background1"/>
                <w:sz w:val="20"/>
                <w:szCs w:val="20"/>
              </w:rPr>
            </w:pPr>
            <w:r w:rsidRPr="002E7C06">
              <w:rPr>
                <w:color w:val="FFFFFF" w:themeColor="background1"/>
                <w:sz w:val="20"/>
                <w:szCs w:val="20"/>
              </w:rPr>
              <w:t xml:space="preserve"> Կանխատեսում</w:t>
            </w:r>
          </w:p>
        </w:tc>
      </w:tr>
      <w:tr w:rsidR="00B11AEF" w:rsidRPr="002E7C06" w14:paraId="2A9D4C6B" w14:textId="77777777" w:rsidTr="00B11AEF">
        <w:trPr>
          <w:trHeight w:val="701"/>
        </w:trPr>
        <w:tc>
          <w:tcPr>
            <w:tcW w:w="5305" w:type="dxa"/>
            <w:tcBorders>
              <w:top w:val="nil"/>
              <w:left w:val="single" w:sz="4" w:space="0" w:color="auto"/>
              <w:bottom w:val="single" w:sz="4" w:space="0" w:color="auto"/>
              <w:right w:val="single" w:sz="4" w:space="0" w:color="auto"/>
            </w:tcBorders>
            <w:shd w:val="clear" w:color="auto" w:fill="C6D9F1"/>
            <w:vAlign w:val="center"/>
          </w:tcPr>
          <w:p w14:paraId="4D200052" w14:textId="77777777" w:rsidR="00B11AEF" w:rsidRPr="002E7C06" w:rsidRDefault="00B11AEF" w:rsidP="00B11AEF">
            <w:pPr>
              <w:spacing w:after="0" w:line="240" w:lineRule="auto"/>
              <w:ind w:firstLine="0"/>
              <w:jc w:val="left"/>
              <w:rPr>
                <w:b/>
                <w:bCs/>
                <w:color w:val="000000"/>
                <w:sz w:val="20"/>
                <w:szCs w:val="20"/>
              </w:rPr>
            </w:pPr>
            <w:r w:rsidRPr="002E7C06">
              <w:rPr>
                <w:rFonts w:cs="Calibri"/>
                <w:b/>
                <w:bCs/>
                <w:color w:val="000000"/>
                <w:sz w:val="20"/>
                <w:szCs w:val="20"/>
              </w:rPr>
              <w:t>Ընդամենը, այդ թվում՝</w:t>
            </w:r>
          </w:p>
        </w:tc>
        <w:tc>
          <w:tcPr>
            <w:tcW w:w="1350" w:type="dxa"/>
            <w:tcBorders>
              <w:top w:val="nil"/>
              <w:left w:val="nil"/>
              <w:bottom w:val="single" w:sz="4" w:space="0" w:color="auto"/>
              <w:right w:val="single" w:sz="4" w:space="0" w:color="auto"/>
            </w:tcBorders>
            <w:shd w:val="clear" w:color="auto" w:fill="C6D9F1"/>
            <w:noWrap/>
            <w:vAlign w:val="center"/>
          </w:tcPr>
          <w:p w14:paraId="5FB9202E" w14:textId="77777777" w:rsidR="00B11AEF" w:rsidRPr="002E7C06" w:rsidRDefault="00B11AEF" w:rsidP="00B11AEF">
            <w:pPr>
              <w:spacing w:after="0" w:line="240" w:lineRule="auto"/>
              <w:ind w:firstLine="0"/>
              <w:jc w:val="center"/>
              <w:rPr>
                <w:b/>
                <w:color w:val="000000"/>
                <w:sz w:val="20"/>
                <w:szCs w:val="20"/>
              </w:rPr>
            </w:pPr>
            <w:r w:rsidRPr="002E7C06">
              <w:rPr>
                <w:b/>
                <w:color w:val="000000"/>
                <w:sz w:val="20"/>
                <w:szCs w:val="20"/>
              </w:rPr>
              <w:t xml:space="preserve">       26.5</w:t>
            </w:r>
          </w:p>
        </w:tc>
        <w:tc>
          <w:tcPr>
            <w:tcW w:w="1350" w:type="dxa"/>
            <w:tcBorders>
              <w:top w:val="nil"/>
              <w:left w:val="nil"/>
              <w:bottom w:val="single" w:sz="4" w:space="0" w:color="auto"/>
              <w:right w:val="single" w:sz="4" w:space="0" w:color="auto"/>
            </w:tcBorders>
            <w:shd w:val="clear" w:color="auto" w:fill="C6D9F1"/>
            <w:noWrap/>
            <w:vAlign w:val="center"/>
          </w:tcPr>
          <w:p w14:paraId="5C146F1C" w14:textId="77777777" w:rsidR="00B11AEF" w:rsidRPr="002E7C06" w:rsidRDefault="00B11AEF" w:rsidP="00B11AEF">
            <w:pPr>
              <w:spacing w:after="0" w:line="240" w:lineRule="auto"/>
              <w:ind w:firstLine="0"/>
              <w:jc w:val="center"/>
              <w:rPr>
                <w:b/>
                <w:color w:val="000000"/>
                <w:sz w:val="20"/>
                <w:szCs w:val="20"/>
              </w:rPr>
            </w:pPr>
            <w:r w:rsidRPr="002E7C06">
              <w:rPr>
                <w:b/>
                <w:color w:val="000000"/>
                <w:sz w:val="20"/>
                <w:szCs w:val="20"/>
              </w:rPr>
              <w:t xml:space="preserve">       18.9</w:t>
            </w:r>
          </w:p>
        </w:tc>
        <w:tc>
          <w:tcPr>
            <w:tcW w:w="1350" w:type="dxa"/>
            <w:tcBorders>
              <w:top w:val="nil"/>
              <w:left w:val="nil"/>
              <w:bottom w:val="single" w:sz="4" w:space="0" w:color="auto"/>
              <w:right w:val="single" w:sz="4" w:space="0" w:color="auto"/>
            </w:tcBorders>
            <w:shd w:val="clear" w:color="auto" w:fill="C6D9F1"/>
            <w:noWrap/>
            <w:vAlign w:val="center"/>
          </w:tcPr>
          <w:p w14:paraId="16F75C51" w14:textId="77777777" w:rsidR="00B11AEF" w:rsidRPr="002E7C06" w:rsidRDefault="00B11AEF" w:rsidP="00B11AEF">
            <w:pPr>
              <w:spacing w:after="0" w:line="240" w:lineRule="auto"/>
              <w:ind w:firstLine="0"/>
              <w:jc w:val="center"/>
              <w:rPr>
                <w:b/>
                <w:color w:val="000000"/>
                <w:sz w:val="20"/>
                <w:szCs w:val="20"/>
              </w:rPr>
            </w:pPr>
            <w:r w:rsidRPr="002E7C06">
              <w:rPr>
                <w:b/>
                <w:color w:val="000000"/>
                <w:sz w:val="20"/>
                <w:szCs w:val="20"/>
              </w:rPr>
              <w:t xml:space="preserve">          9.0 </w:t>
            </w:r>
          </w:p>
        </w:tc>
      </w:tr>
      <w:tr w:rsidR="00B11AEF" w:rsidRPr="002E7C06" w14:paraId="58D1B9FA" w14:textId="77777777" w:rsidTr="00B11AEF">
        <w:trPr>
          <w:trHeight w:val="1259"/>
        </w:trPr>
        <w:tc>
          <w:tcPr>
            <w:tcW w:w="5305" w:type="dxa"/>
            <w:tcBorders>
              <w:top w:val="nil"/>
              <w:left w:val="single" w:sz="4" w:space="0" w:color="auto"/>
              <w:bottom w:val="single" w:sz="4" w:space="0" w:color="auto"/>
              <w:right w:val="single" w:sz="4" w:space="0" w:color="auto"/>
            </w:tcBorders>
            <w:vAlign w:val="center"/>
          </w:tcPr>
          <w:p w14:paraId="6F89792A" w14:textId="77777777" w:rsidR="00B11AEF" w:rsidRPr="002E7C06" w:rsidRDefault="00B11AEF" w:rsidP="00B11AEF">
            <w:pPr>
              <w:spacing w:after="0" w:line="240" w:lineRule="auto"/>
              <w:ind w:firstLine="0"/>
              <w:jc w:val="left"/>
              <w:rPr>
                <w:color w:val="000000"/>
                <w:sz w:val="20"/>
                <w:szCs w:val="20"/>
              </w:rPr>
            </w:pPr>
            <w:r w:rsidRPr="002E7C06">
              <w:rPr>
                <w:color w:val="000000"/>
                <w:sz w:val="20"/>
                <w:szCs w:val="20"/>
              </w:rPr>
              <w:t>1. ԵՄ (Եվրոպական հարևանության շրջանակներում ՀՀ-ԵՄ գործողությունների ծրագրով նախատեսված դրամաշնորհային ծրագրեր)</w:t>
            </w:r>
          </w:p>
        </w:tc>
        <w:tc>
          <w:tcPr>
            <w:tcW w:w="1350" w:type="dxa"/>
            <w:tcBorders>
              <w:top w:val="nil"/>
              <w:left w:val="nil"/>
              <w:bottom w:val="single" w:sz="4" w:space="0" w:color="auto"/>
              <w:right w:val="single" w:sz="4" w:space="0" w:color="auto"/>
            </w:tcBorders>
            <w:noWrap/>
            <w:vAlign w:val="center"/>
          </w:tcPr>
          <w:p w14:paraId="07FA275D" w14:textId="77777777" w:rsidR="00B11AEF" w:rsidRPr="002E7C06" w:rsidRDefault="00B11AEF" w:rsidP="00B11AEF">
            <w:pPr>
              <w:spacing w:after="0" w:line="240" w:lineRule="auto"/>
              <w:ind w:firstLine="0"/>
              <w:jc w:val="center"/>
              <w:rPr>
                <w:color w:val="000000"/>
                <w:sz w:val="20"/>
                <w:szCs w:val="20"/>
              </w:rPr>
            </w:pPr>
            <w:r w:rsidRPr="002E7C06">
              <w:rPr>
                <w:color w:val="000000"/>
                <w:sz w:val="20"/>
                <w:szCs w:val="20"/>
              </w:rPr>
              <w:t xml:space="preserve">         5.6 </w:t>
            </w:r>
          </w:p>
        </w:tc>
        <w:tc>
          <w:tcPr>
            <w:tcW w:w="1350" w:type="dxa"/>
            <w:tcBorders>
              <w:top w:val="nil"/>
              <w:left w:val="nil"/>
              <w:bottom w:val="single" w:sz="4" w:space="0" w:color="auto"/>
              <w:right w:val="single" w:sz="4" w:space="0" w:color="auto"/>
            </w:tcBorders>
            <w:noWrap/>
            <w:vAlign w:val="center"/>
          </w:tcPr>
          <w:p w14:paraId="22C4CBDE" w14:textId="77777777" w:rsidR="00B11AEF" w:rsidRPr="002E7C06" w:rsidRDefault="00B11AEF" w:rsidP="00B11AEF">
            <w:pPr>
              <w:spacing w:after="0" w:line="240" w:lineRule="auto"/>
              <w:ind w:firstLine="0"/>
              <w:jc w:val="center"/>
              <w:rPr>
                <w:color w:val="000000"/>
                <w:sz w:val="20"/>
                <w:szCs w:val="20"/>
              </w:rPr>
            </w:pPr>
            <w:r w:rsidRPr="002E7C06">
              <w:rPr>
                <w:color w:val="000000"/>
                <w:sz w:val="20"/>
                <w:szCs w:val="20"/>
              </w:rPr>
              <w:t xml:space="preserve">           -   </w:t>
            </w:r>
          </w:p>
        </w:tc>
        <w:tc>
          <w:tcPr>
            <w:tcW w:w="1350" w:type="dxa"/>
            <w:tcBorders>
              <w:top w:val="nil"/>
              <w:left w:val="nil"/>
              <w:bottom w:val="single" w:sz="4" w:space="0" w:color="auto"/>
              <w:right w:val="single" w:sz="4" w:space="0" w:color="auto"/>
            </w:tcBorders>
            <w:noWrap/>
            <w:vAlign w:val="center"/>
          </w:tcPr>
          <w:p w14:paraId="72CDB626" w14:textId="77777777" w:rsidR="00B11AEF" w:rsidRPr="002E7C06" w:rsidRDefault="00B11AEF" w:rsidP="00B11AEF">
            <w:pPr>
              <w:spacing w:after="0" w:line="240" w:lineRule="auto"/>
              <w:ind w:firstLine="0"/>
              <w:jc w:val="center"/>
              <w:rPr>
                <w:color w:val="000000"/>
                <w:sz w:val="20"/>
                <w:szCs w:val="20"/>
              </w:rPr>
            </w:pPr>
            <w:r w:rsidRPr="002E7C06">
              <w:rPr>
                <w:color w:val="000000"/>
                <w:sz w:val="20"/>
                <w:szCs w:val="20"/>
              </w:rPr>
              <w:t xml:space="preserve">           -   </w:t>
            </w:r>
          </w:p>
        </w:tc>
      </w:tr>
      <w:tr w:rsidR="00B11AEF" w:rsidRPr="002E7C06" w14:paraId="72A03BE1" w14:textId="77777777" w:rsidTr="00B11AEF">
        <w:trPr>
          <w:trHeight w:val="674"/>
        </w:trPr>
        <w:tc>
          <w:tcPr>
            <w:tcW w:w="5305" w:type="dxa"/>
            <w:tcBorders>
              <w:top w:val="nil"/>
              <w:left w:val="single" w:sz="4" w:space="0" w:color="auto"/>
              <w:bottom w:val="single" w:sz="4" w:space="0" w:color="auto"/>
              <w:right w:val="single" w:sz="4" w:space="0" w:color="auto"/>
            </w:tcBorders>
            <w:shd w:val="clear" w:color="auto" w:fill="C6D9F1"/>
            <w:vAlign w:val="center"/>
          </w:tcPr>
          <w:p w14:paraId="00D89480" w14:textId="77777777" w:rsidR="00B11AEF" w:rsidRPr="002E7C06" w:rsidRDefault="00B11AEF" w:rsidP="00B11AEF">
            <w:pPr>
              <w:spacing w:after="0" w:line="240" w:lineRule="auto"/>
              <w:ind w:firstLine="0"/>
              <w:jc w:val="left"/>
              <w:rPr>
                <w:color w:val="000000"/>
                <w:sz w:val="20"/>
                <w:szCs w:val="20"/>
              </w:rPr>
            </w:pPr>
            <w:r w:rsidRPr="002E7C06">
              <w:rPr>
                <w:color w:val="000000"/>
                <w:sz w:val="20"/>
                <w:szCs w:val="20"/>
              </w:rPr>
              <w:t>2. Այլ նպատակային դրամաշնորհներ</w:t>
            </w:r>
          </w:p>
        </w:tc>
        <w:tc>
          <w:tcPr>
            <w:tcW w:w="1350" w:type="dxa"/>
            <w:tcBorders>
              <w:top w:val="nil"/>
              <w:left w:val="nil"/>
              <w:bottom w:val="single" w:sz="4" w:space="0" w:color="auto"/>
              <w:right w:val="single" w:sz="4" w:space="0" w:color="auto"/>
            </w:tcBorders>
            <w:shd w:val="clear" w:color="auto" w:fill="C6D9F1"/>
            <w:noWrap/>
            <w:vAlign w:val="center"/>
          </w:tcPr>
          <w:p w14:paraId="0FC59C77" w14:textId="77777777" w:rsidR="00B11AEF" w:rsidRPr="002E7C06" w:rsidRDefault="00B11AEF" w:rsidP="00B11AEF">
            <w:pPr>
              <w:spacing w:after="0" w:line="240" w:lineRule="auto"/>
              <w:ind w:firstLine="0"/>
              <w:jc w:val="center"/>
              <w:rPr>
                <w:color w:val="000000"/>
                <w:sz w:val="20"/>
                <w:szCs w:val="20"/>
              </w:rPr>
            </w:pPr>
            <w:r w:rsidRPr="002E7C06">
              <w:rPr>
                <w:color w:val="000000"/>
                <w:sz w:val="20"/>
                <w:szCs w:val="20"/>
              </w:rPr>
              <w:t xml:space="preserve">        20.9</w:t>
            </w:r>
          </w:p>
        </w:tc>
        <w:tc>
          <w:tcPr>
            <w:tcW w:w="1350" w:type="dxa"/>
            <w:tcBorders>
              <w:top w:val="nil"/>
              <w:left w:val="nil"/>
              <w:bottom w:val="single" w:sz="4" w:space="0" w:color="auto"/>
              <w:right w:val="single" w:sz="4" w:space="0" w:color="auto"/>
            </w:tcBorders>
            <w:shd w:val="clear" w:color="auto" w:fill="C6D9F1"/>
            <w:noWrap/>
            <w:vAlign w:val="center"/>
          </w:tcPr>
          <w:p w14:paraId="2B1029EB" w14:textId="77777777" w:rsidR="00B11AEF" w:rsidRPr="002E7C06" w:rsidRDefault="00B11AEF" w:rsidP="00B11AEF">
            <w:pPr>
              <w:spacing w:after="0" w:line="240" w:lineRule="auto"/>
              <w:ind w:firstLine="0"/>
              <w:jc w:val="center"/>
              <w:rPr>
                <w:color w:val="000000"/>
                <w:sz w:val="20"/>
                <w:szCs w:val="20"/>
              </w:rPr>
            </w:pPr>
            <w:r w:rsidRPr="002E7C06">
              <w:rPr>
                <w:color w:val="000000"/>
                <w:sz w:val="20"/>
                <w:szCs w:val="20"/>
              </w:rPr>
              <w:t xml:space="preserve">        18.9</w:t>
            </w:r>
          </w:p>
        </w:tc>
        <w:tc>
          <w:tcPr>
            <w:tcW w:w="1350" w:type="dxa"/>
            <w:tcBorders>
              <w:top w:val="nil"/>
              <w:left w:val="nil"/>
              <w:bottom w:val="single" w:sz="4" w:space="0" w:color="auto"/>
              <w:right w:val="single" w:sz="4" w:space="0" w:color="auto"/>
            </w:tcBorders>
            <w:shd w:val="clear" w:color="auto" w:fill="C6D9F1"/>
            <w:noWrap/>
            <w:vAlign w:val="center"/>
          </w:tcPr>
          <w:p w14:paraId="2624F38D" w14:textId="77777777" w:rsidR="00B11AEF" w:rsidRPr="002E7C06" w:rsidRDefault="00B11AEF" w:rsidP="00B11AEF">
            <w:pPr>
              <w:spacing w:after="0" w:line="240" w:lineRule="auto"/>
              <w:ind w:firstLine="0"/>
              <w:jc w:val="center"/>
              <w:rPr>
                <w:color w:val="000000"/>
                <w:sz w:val="20"/>
                <w:szCs w:val="20"/>
              </w:rPr>
            </w:pPr>
            <w:r w:rsidRPr="002E7C06">
              <w:rPr>
                <w:color w:val="000000"/>
                <w:sz w:val="20"/>
                <w:szCs w:val="20"/>
              </w:rPr>
              <w:t xml:space="preserve">          9.0 </w:t>
            </w:r>
          </w:p>
        </w:tc>
      </w:tr>
    </w:tbl>
    <w:p w14:paraId="08260C28" w14:textId="77777777" w:rsidR="00B11AEF" w:rsidRPr="002E7C06" w:rsidRDefault="00B11AEF" w:rsidP="00B11AEF">
      <w:pPr>
        <w:ind w:firstLine="0"/>
        <w:rPr>
          <w:lang w:val="af-ZA"/>
        </w:rPr>
      </w:pPr>
    </w:p>
    <w:p w14:paraId="36AD1B7F" w14:textId="77777777" w:rsidR="00B11AEF" w:rsidRPr="002E7C06" w:rsidRDefault="00B11AEF" w:rsidP="00414434">
      <w:pPr>
        <w:spacing w:line="276" w:lineRule="auto"/>
        <w:ind w:firstLine="426"/>
        <w:rPr>
          <w:lang w:val="af-ZA"/>
        </w:rPr>
      </w:pPr>
      <w:r w:rsidRPr="00A17B2B">
        <w:rPr>
          <w:rFonts w:cs="Sylfaen"/>
          <w:iCs/>
          <w:lang w:val="af-ZA" w:eastAsia="en-GB"/>
        </w:rPr>
        <w:t>Արև</w:t>
      </w:r>
      <w:r>
        <w:rPr>
          <w:rFonts w:cs="Sylfaen"/>
          <w:iCs/>
          <w:lang w:val="af-ZA" w:eastAsia="en-GB"/>
        </w:rPr>
        <w:t xml:space="preserve">ելյան գործընկերության ՀՀ-ԵՄ համագործակցության նոր 5-ամյա փուլի շրջանակներում նախատեսվել է </w:t>
      </w:r>
      <w:r w:rsidRPr="007A731D">
        <w:rPr>
          <w:rFonts w:cs="Sylfaen"/>
          <w:iCs/>
          <w:lang w:val="af-ZA" w:eastAsia="en-GB"/>
        </w:rPr>
        <w:t>տարատեսակ ֆինանսական գործիքների միջոցով</w:t>
      </w:r>
      <w:r>
        <w:rPr>
          <w:rFonts w:cs="Sylfaen"/>
          <w:iCs/>
          <w:lang w:val="af-ZA" w:eastAsia="en-GB"/>
        </w:rPr>
        <w:t xml:space="preserve"> Հայաստանի Հանրապետությանը հատկացնել 1.6 մլրդ եվրո աջակցություն, որն ուղղվելու է Հայաստանի Հանրապետության կառավարության և ԵՄ-ի համատեղ սահմանած 5 առաջնահերթ նախաձեռնություններին, որոնք առընչվելու են </w:t>
      </w:r>
      <w:r w:rsidRPr="00A17B2B">
        <w:rPr>
          <w:rFonts w:cs="Sylfaen"/>
          <w:iCs/>
          <w:lang w:val="af-ZA" w:eastAsia="en-GB"/>
        </w:rPr>
        <w:t xml:space="preserve">փոքր ու միջին ձեռնարկությունների աջակցությանը, Հյուսիս-Հարավ մայրուղու և աջակցող ենթակառուցվածքների կառուցմանը, Հայաստանի </w:t>
      </w:r>
      <w:r>
        <w:rPr>
          <w:rFonts w:cs="Sylfaen"/>
          <w:iCs/>
          <w:lang w:val="af-ZA" w:eastAsia="en-GB"/>
        </w:rPr>
        <w:t xml:space="preserve">Հանրապետության </w:t>
      </w:r>
      <w:r w:rsidRPr="00A17B2B">
        <w:rPr>
          <w:rFonts w:cs="Sylfaen"/>
          <w:iCs/>
          <w:lang w:val="af-ZA" w:eastAsia="en-GB"/>
        </w:rPr>
        <w:t>հարավային շրջանների սոցիալ-տնտեսական զարգացմանը, թվային կառավարմանը և նորարարության խթանմանը, ինչպես նաև Երևանի՝ որպես կանաչ և խելացի քաղաք զարգացմանը:</w:t>
      </w:r>
    </w:p>
    <w:p w14:paraId="2A049D1F" w14:textId="77777777" w:rsidR="00B11AEF" w:rsidRPr="002E7C06" w:rsidRDefault="00B11AEF" w:rsidP="00414434">
      <w:pPr>
        <w:tabs>
          <w:tab w:val="left" w:pos="9120"/>
        </w:tabs>
        <w:spacing w:line="276" w:lineRule="auto"/>
        <w:ind w:firstLine="426"/>
        <w:rPr>
          <w:rFonts w:cs="Sylfaen"/>
          <w:iCs/>
          <w:lang w:val="af-ZA" w:eastAsia="en-GB"/>
        </w:rPr>
      </w:pPr>
      <w:r w:rsidRPr="002E7C06">
        <w:rPr>
          <w:rFonts w:cs="Sylfaen"/>
          <w:b/>
          <w:iCs/>
          <w:spacing w:val="40"/>
          <w:lang w:val="af-ZA" w:eastAsia="en-GB"/>
        </w:rPr>
        <w:t>Այլ եկամուտները</w:t>
      </w:r>
      <w:r w:rsidRPr="002E7C06">
        <w:rPr>
          <w:rFonts w:cs="Sylfaen"/>
          <w:iCs/>
          <w:lang w:val="af-ZA" w:eastAsia="en-GB"/>
        </w:rPr>
        <w:t xml:space="preserve"> ներառում են բանկերում և ֆինանսավարկային հաս</w:t>
      </w:r>
      <w:r w:rsidRPr="002E7C06">
        <w:rPr>
          <w:rFonts w:cs="Sylfaen"/>
          <w:iCs/>
          <w:lang w:val="af-ZA" w:eastAsia="en-GB"/>
        </w:rPr>
        <w:softHyphen/>
        <w:t>տա</w:t>
      </w:r>
      <w:r w:rsidRPr="002E7C06">
        <w:rPr>
          <w:rFonts w:cs="Sylfaen"/>
          <w:iCs/>
          <w:lang w:val="af-ZA" w:eastAsia="en-GB"/>
        </w:rPr>
        <w:softHyphen/>
        <w:t>տու</w:t>
      </w:r>
      <w:r w:rsidRPr="002E7C06">
        <w:rPr>
          <w:rFonts w:cs="Sylfaen"/>
          <w:iCs/>
          <w:lang w:val="af-ZA" w:eastAsia="en-GB"/>
        </w:rPr>
        <w:softHyphen/>
        <w:t>թյուն</w:t>
      </w:r>
      <w:r w:rsidRPr="002E7C06">
        <w:rPr>
          <w:rFonts w:cs="Sylfaen"/>
          <w:iCs/>
          <w:lang w:val="af-ZA" w:eastAsia="en-GB"/>
        </w:rPr>
        <w:softHyphen/>
        <w:t>նե</w:t>
      </w:r>
      <w:r w:rsidRPr="002E7C06">
        <w:rPr>
          <w:rFonts w:cs="Sylfaen"/>
          <w:iCs/>
          <w:lang w:val="af-ZA" w:eastAsia="en-GB"/>
        </w:rPr>
        <w:softHyphen/>
        <w:t>րում պե</w:t>
      </w:r>
      <w:r w:rsidRPr="002E7C06">
        <w:rPr>
          <w:rFonts w:cs="Sylfaen"/>
          <w:iCs/>
          <w:lang w:val="af-ZA" w:eastAsia="en-GB"/>
        </w:rPr>
        <w:softHyphen/>
        <w:t>տա</w:t>
      </w:r>
      <w:r w:rsidRPr="002E7C06">
        <w:rPr>
          <w:rFonts w:cs="Sylfaen"/>
          <w:iCs/>
          <w:lang w:val="af-ZA" w:eastAsia="en-GB"/>
        </w:rPr>
        <w:softHyphen/>
        <w:t>կան բյուջեի ժամանակավոր ազատ միջոցների տեղաբաշխումից և դեպոզիտներից ստաց</w:t>
      </w:r>
      <w:r w:rsidRPr="002E7C06">
        <w:rPr>
          <w:rFonts w:cs="Sylfaen"/>
          <w:iCs/>
          <w:lang w:val="af-ZA" w:eastAsia="en-GB"/>
        </w:rPr>
        <w:softHyphen/>
      </w:r>
      <w:r w:rsidRPr="002E7C06">
        <w:rPr>
          <w:rFonts w:cs="Sylfaen"/>
          <w:iCs/>
          <w:lang w:val="af-ZA" w:eastAsia="en-GB"/>
        </w:rPr>
        <w:softHyphen/>
        <w:t>վող տո</w:t>
      </w:r>
      <w:r w:rsidRPr="002E7C06">
        <w:rPr>
          <w:rFonts w:cs="Sylfaen"/>
          <w:iCs/>
          <w:lang w:val="af-ZA" w:eastAsia="en-GB"/>
        </w:rPr>
        <w:softHyphen/>
        <w:t>կո</w:t>
      </w:r>
      <w:r w:rsidRPr="002E7C06">
        <w:rPr>
          <w:rFonts w:cs="Sylfaen"/>
          <w:iCs/>
          <w:lang w:val="af-ZA" w:eastAsia="en-GB"/>
        </w:rPr>
        <w:softHyphen/>
        <w:t>սա</w:t>
      </w:r>
      <w:r w:rsidRPr="002E7C06">
        <w:rPr>
          <w:rFonts w:cs="Sylfaen"/>
          <w:iCs/>
          <w:lang w:val="af-ZA" w:eastAsia="en-GB"/>
        </w:rPr>
        <w:softHyphen/>
        <w:t>վճար</w:t>
      </w:r>
      <w:r w:rsidRPr="002E7C06">
        <w:rPr>
          <w:rFonts w:cs="Sylfaen"/>
          <w:iCs/>
          <w:lang w:val="af-ZA" w:eastAsia="en-GB"/>
        </w:rPr>
        <w:softHyphen/>
        <w:t>ները, իրավաբանական անձանց կապիտալում կատարված ներդրում</w:t>
      </w:r>
      <w:r w:rsidRPr="002E7C06">
        <w:rPr>
          <w:rFonts w:cs="Sylfaen"/>
          <w:iCs/>
          <w:lang w:val="af-ZA" w:eastAsia="en-GB"/>
        </w:rPr>
        <w:softHyphen/>
        <w:t>ներից ստաց</w:t>
      </w:r>
      <w:r w:rsidRPr="002E7C06">
        <w:rPr>
          <w:rFonts w:cs="Sylfaen"/>
          <w:iCs/>
          <w:lang w:val="af-ZA" w:eastAsia="en-GB"/>
        </w:rPr>
        <w:softHyphen/>
      </w:r>
      <w:r w:rsidRPr="002E7C06">
        <w:rPr>
          <w:rFonts w:cs="Sylfaen"/>
          <w:iCs/>
          <w:lang w:val="af-ZA" w:eastAsia="en-GB"/>
        </w:rPr>
        <w:softHyphen/>
        <w:t>վող շահաբաժինները, պե</w:t>
      </w:r>
      <w:r w:rsidRPr="002E7C06">
        <w:rPr>
          <w:rFonts w:cs="Sylfaen"/>
          <w:iCs/>
          <w:lang w:val="af-ZA" w:eastAsia="en-GB"/>
        </w:rPr>
        <w:softHyphen/>
        <w:t>տա</w:t>
      </w:r>
      <w:r w:rsidRPr="002E7C06">
        <w:rPr>
          <w:rFonts w:cs="Sylfaen"/>
          <w:iCs/>
          <w:lang w:val="af-ZA" w:eastAsia="en-GB"/>
        </w:rPr>
        <w:softHyphen/>
        <w:t>կան ձեռնարկությունների գույքի օգտագործման վճար</w:t>
      </w:r>
      <w:r w:rsidRPr="002E7C06">
        <w:rPr>
          <w:rFonts w:cs="Sylfaen"/>
          <w:iCs/>
          <w:lang w:val="af-ZA" w:eastAsia="en-GB"/>
        </w:rPr>
        <w:softHyphen/>
        <w:t>ները, պետության կողմից տրված վարկերի օգտագործ</w:t>
      </w:r>
      <w:r w:rsidRPr="002E7C06">
        <w:rPr>
          <w:rFonts w:cs="Sylfaen"/>
          <w:iCs/>
          <w:lang w:val="af-ZA" w:eastAsia="en-GB"/>
        </w:rPr>
        <w:softHyphen/>
        <w:t>ման դի</w:t>
      </w:r>
      <w:r w:rsidRPr="002E7C06">
        <w:rPr>
          <w:rFonts w:cs="Sylfaen"/>
          <w:iCs/>
          <w:lang w:val="af-ZA" w:eastAsia="en-GB"/>
        </w:rPr>
        <w:softHyphen/>
        <w:t>մաց վճարները (տոկոսավճար</w:t>
      </w:r>
      <w:r w:rsidRPr="002E7C06">
        <w:rPr>
          <w:rFonts w:cs="Sylfaen"/>
          <w:iCs/>
          <w:lang w:val="af-ZA" w:eastAsia="en-GB"/>
        </w:rPr>
        <w:softHyphen/>
        <w:t>ները), իրա</w:t>
      </w:r>
      <w:r w:rsidRPr="002E7C06">
        <w:rPr>
          <w:rFonts w:cs="Sylfaen"/>
          <w:iCs/>
          <w:lang w:val="af-ZA" w:eastAsia="en-GB"/>
        </w:rPr>
        <w:softHyphen/>
        <w:t>վա</w:t>
      </w:r>
      <w:r w:rsidRPr="002E7C06">
        <w:rPr>
          <w:rFonts w:cs="Sylfaen"/>
          <w:iCs/>
          <w:lang w:val="af-ZA" w:eastAsia="en-GB"/>
        </w:rPr>
        <w:softHyphen/>
        <w:t>խախտումների համար գոր</w:t>
      </w:r>
      <w:r w:rsidRPr="002E7C06">
        <w:rPr>
          <w:rFonts w:cs="Sylfaen"/>
          <w:iCs/>
          <w:lang w:val="af-ZA" w:eastAsia="en-GB"/>
        </w:rPr>
        <w:softHyphen/>
        <w:t>ծա</w:t>
      </w:r>
      <w:r w:rsidRPr="002E7C06">
        <w:rPr>
          <w:rFonts w:cs="Sylfaen"/>
          <w:iCs/>
          <w:lang w:val="af-ZA" w:eastAsia="en-GB"/>
        </w:rPr>
        <w:softHyphen/>
        <w:t>դիր և դատական մար</w:t>
      </w:r>
      <w:r w:rsidRPr="002E7C06">
        <w:rPr>
          <w:rFonts w:cs="Sylfaen"/>
          <w:iCs/>
          <w:lang w:val="af-ZA" w:eastAsia="en-GB"/>
        </w:rPr>
        <w:softHyphen/>
      </w:r>
      <w:r w:rsidRPr="002E7C06">
        <w:rPr>
          <w:rFonts w:cs="Sylfaen"/>
          <w:iCs/>
          <w:lang w:val="af-ZA" w:eastAsia="en-GB"/>
        </w:rPr>
        <w:softHyphen/>
        <w:t>մին</w:t>
      </w:r>
      <w:r w:rsidRPr="002E7C06">
        <w:rPr>
          <w:rFonts w:cs="Sylfaen"/>
          <w:iCs/>
          <w:lang w:val="af-ZA" w:eastAsia="en-GB"/>
        </w:rPr>
        <w:softHyphen/>
        <w:t>նե</w:t>
      </w:r>
      <w:r w:rsidRPr="002E7C06">
        <w:rPr>
          <w:rFonts w:cs="Sylfaen"/>
          <w:iCs/>
          <w:lang w:val="af-ZA" w:eastAsia="en-GB"/>
        </w:rPr>
        <w:softHyphen/>
        <w:t>րի կողմից կիրառվող պատժամի</w:t>
      </w:r>
      <w:r w:rsidRPr="002E7C06">
        <w:rPr>
          <w:rFonts w:cs="Sylfaen"/>
          <w:iCs/>
          <w:lang w:val="af-ZA" w:eastAsia="en-GB"/>
        </w:rPr>
        <w:softHyphen/>
        <w:t>ջոցներից ստացվող մուտքերը, պետական մարմինների կողմից ապրանքների մա</w:t>
      </w:r>
      <w:r w:rsidRPr="002E7C06">
        <w:rPr>
          <w:rFonts w:cs="Sylfaen"/>
          <w:iCs/>
          <w:lang w:val="af-ZA" w:eastAsia="en-GB"/>
        </w:rPr>
        <w:softHyphen/>
        <w:t>տա</w:t>
      </w:r>
      <w:r w:rsidRPr="002E7C06">
        <w:rPr>
          <w:rFonts w:cs="Sylfaen"/>
          <w:iCs/>
          <w:lang w:val="af-ZA" w:eastAsia="en-GB"/>
        </w:rPr>
        <w:softHyphen/>
        <w:t>կա</w:t>
      </w:r>
      <w:r w:rsidRPr="002E7C06">
        <w:rPr>
          <w:rFonts w:cs="Sylfaen"/>
          <w:iCs/>
          <w:lang w:val="af-ZA" w:eastAsia="en-GB"/>
        </w:rPr>
        <w:softHyphen/>
        <w:t>րա</w:t>
      </w:r>
      <w:r w:rsidRPr="002E7C06">
        <w:rPr>
          <w:rFonts w:cs="Sylfaen"/>
          <w:iCs/>
          <w:lang w:val="af-ZA" w:eastAsia="en-GB"/>
        </w:rPr>
        <w:softHyphen/>
        <w:t>րումից և ծառայությունների մատուցումից մուտքերը և այլ եկա</w:t>
      </w:r>
      <w:r w:rsidRPr="002E7C06">
        <w:rPr>
          <w:rFonts w:cs="Sylfaen"/>
          <w:iCs/>
          <w:lang w:val="af-ZA" w:eastAsia="en-GB"/>
        </w:rPr>
        <w:softHyphen/>
        <w:t>մուտ</w:t>
      </w:r>
      <w:r w:rsidRPr="002E7C06">
        <w:rPr>
          <w:rFonts w:cs="Sylfaen"/>
          <w:iCs/>
          <w:lang w:val="af-ZA" w:eastAsia="en-GB"/>
        </w:rPr>
        <w:softHyphen/>
        <w:t>ները:</w:t>
      </w:r>
    </w:p>
    <w:p w14:paraId="0E0C7AC4" w14:textId="77777777" w:rsidR="00B11AEF" w:rsidRPr="002E7C06" w:rsidRDefault="00B11AEF" w:rsidP="00414434">
      <w:pPr>
        <w:spacing w:line="276" w:lineRule="auto"/>
        <w:ind w:firstLine="0"/>
        <w:rPr>
          <w:rFonts w:cs="Sylfaen"/>
          <w:iCs/>
          <w:lang w:val="af-ZA" w:eastAsia="en-GB"/>
        </w:rPr>
      </w:pPr>
      <w:r w:rsidRPr="002E7C06">
        <w:rPr>
          <w:rFonts w:cs="Sylfaen"/>
          <w:iCs/>
          <w:lang w:val="af-ZA" w:eastAsia="en-GB"/>
        </w:rPr>
        <w:t>Այլ եկամուտները 2022-2024թթ համար ծրագրվել են համապատասխանաբար 59.2 մլրդ դրա</w:t>
      </w:r>
      <w:r w:rsidRPr="002E7C06">
        <w:rPr>
          <w:rFonts w:cs="Sylfaen"/>
          <w:iCs/>
          <w:lang w:val="af-ZA" w:eastAsia="en-GB"/>
        </w:rPr>
        <w:softHyphen/>
        <w:t>մի, 57.</w:t>
      </w:r>
      <w:r w:rsidRPr="00FA0954">
        <w:rPr>
          <w:rFonts w:cs="Sylfaen"/>
          <w:iCs/>
          <w:lang w:val="af-ZA" w:eastAsia="en-GB"/>
        </w:rPr>
        <w:t>9</w:t>
      </w:r>
      <w:r w:rsidRPr="002E7C06">
        <w:rPr>
          <w:rFonts w:cs="Sylfaen"/>
          <w:iCs/>
          <w:lang w:val="af-ZA" w:eastAsia="en-GB"/>
        </w:rPr>
        <w:t xml:space="preserve"> մլրդ դրամի և 55.3 մլրդ դրամի չափով, հաշվի առնելով գանձման համար պատաս</w:t>
      </w:r>
      <w:r w:rsidRPr="002E7C06">
        <w:rPr>
          <w:rFonts w:cs="Sylfaen"/>
          <w:iCs/>
          <w:lang w:val="af-ZA" w:eastAsia="en-GB"/>
        </w:rPr>
        <w:softHyphen/>
        <w:t>խա</w:t>
      </w:r>
      <w:r w:rsidRPr="002E7C06">
        <w:rPr>
          <w:rFonts w:cs="Sylfaen"/>
          <w:iCs/>
          <w:lang w:val="af-ZA" w:eastAsia="en-GB"/>
        </w:rPr>
        <w:softHyphen/>
        <w:t>նա</w:t>
      </w:r>
      <w:r w:rsidRPr="002E7C06">
        <w:rPr>
          <w:rFonts w:cs="Sylfaen"/>
          <w:iCs/>
          <w:lang w:val="af-ZA" w:eastAsia="en-GB"/>
        </w:rPr>
        <w:softHyphen/>
        <w:t>տու պետական կա</w:t>
      </w:r>
      <w:r w:rsidRPr="002E7C06">
        <w:rPr>
          <w:rFonts w:cs="Sylfaen"/>
          <w:iCs/>
          <w:lang w:val="af-ZA" w:eastAsia="en-GB"/>
        </w:rPr>
        <w:softHyphen/>
        <w:t>ռավարման մարմինների կողմից ՀՀ 2022 թվականի բյուջետային գործ</w:t>
      </w:r>
      <w:r w:rsidRPr="002E7C06">
        <w:rPr>
          <w:rFonts w:cs="Sylfaen"/>
          <w:iCs/>
          <w:lang w:val="af-ZA" w:eastAsia="en-GB"/>
        </w:rPr>
        <w:softHyphen/>
        <w:t>ըն</w:t>
      </w:r>
      <w:r w:rsidRPr="002E7C06">
        <w:rPr>
          <w:rFonts w:cs="Sylfaen"/>
          <w:iCs/>
          <w:lang w:val="af-ZA" w:eastAsia="en-GB"/>
        </w:rPr>
        <w:softHyphen/>
      </w:r>
      <w:r w:rsidRPr="002E7C06">
        <w:rPr>
          <w:rFonts w:cs="Sylfaen"/>
          <w:iCs/>
          <w:lang w:val="af-ZA" w:eastAsia="en-GB"/>
        </w:rPr>
        <w:softHyphen/>
        <w:t>թացի շրջա</w:t>
      </w:r>
      <w:r w:rsidRPr="002E7C06">
        <w:rPr>
          <w:rFonts w:cs="Sylfaen"/>
          <w:iCs/>
          <w:lang w:val="af-ZA" w:eastAsia="en-GB"/>
        </w:rPr>
        <w:softHyphen/>
      </w:r>
      <w:r w:rsidRPr="002E7C06">
        <w:rPr>
          <w:rFonts w:cs="Sylfaen"/>
          <w:iCs/>
          <w:lang w:val="af-ZA" w:eastAsia="en-GB"/>
        </w:rPr>
        <w:softHyphen/>
        <w:t>նակում հա</w:t>
      </w:r>
      <w:r w:rsidRPr="002E7C06">
        <w:rPr>
          <w:rFonts w:cs="Sylfaen"/>
          <w:iCs/>
          <w:lang w:val="af-ZA" w:eastAsia="en-GB"/>
        </w:rPr>
        <w:softHyphen/>
        <w:t>մա</w:t>
      </w:r>
      <w:r w:rsidRPr="002E7C06">
        <w:rPr>
          <w:rFonts w:cs="Sylfaen"/>
          <w:iCs/>
          <w:lang w:val="af-ZA" w:eastAsia="en-GB"/>
        </w:rPr>
        <w:softHyphen/>
        <w:t>պա</w:t>
      </w:r>
      <w:r w:rsidRPr="002E7C06">
        <w:rPr>
          <w:rFonts w:cs="Sylfaen"/>
          <w:iCs/>
          <w:lang w:val="af-ZA" w:eastAsia="en-GB"/>
        </w:rPr>
        <w:softHyphen/>
        <w:t>տաս</w:t>
      </w:r>
      <w:r w:rsidRPr="002E7C06">
        <w:rPr>
          <w:rFonts w:cs="Sylfaen"/>
          <w:iCs/>
          <w:lang w:val="af-ZA" w:eastAsia="en-GB"/>
        </w:rPr>
        <w:softHyphen/>
        <w:t>խան հայտերով ներկայացված կանխատեսումները, կատար</w:t>
      </w:r>
      <w:r w:rsidRPr="002E7C06">
        <w:rPr>
          <w:rFonts w:cs="Sylfaen"/>
          <w:iCs/>
          <w:lang w:val="af-ZA" w:eastAsia="en-GB"/>
        </w:rPr>
        <w:softHyphen/>
        <w:t>ված օրենս</w:t>
      </w:r>
      <w:r w:rsidRPr="002E7C06">
        <w:rPr>
          <w:rFonts w:cs="Sylfaen"/>
          <w:iCs/>
          <w:lang w:val="af-ZA" w:eastAsia="en-GB"/>
        </w:rPr>
        <w:softHyphen/>
        <w:t>դրա</w:t>
      </w:r>
      <w:r w:rsidRPr="002E7C06">
        <w:rPr>
          <w:rFonts w:cs="Sylfaen"/>
          <w:iCs/>
          <w:lang w:val="af-ZA" w:eastAsia="en-GB"/>
        </w:rPr>
        <w:softHyphen/>
        <w:t>կան փոփոխությունները, ինչ</w:t>
      </w:r>
      <w:r w:rsidRPr="002E7C06">
        <w:rPr>
          <w:rFonts w:cs="Sylfaen"/>
          <w:iCs/>
          <w:lang w:val="af-ZA" w:eastAsia="en-GB"/>
        </w:rPr>
        <w:softHyphen/>
        <w:t>պես նաև առանձին եկամտատեսակների գծով նա</w:t>
      </w:r>
      <w:r w:rsidRPr="002E7C06">
        <w:rPr>
          <w:rFonts w:cs="Sylfaen"/>
          <w:iCs/>
          <w:lang w:val="af-ZA" w:eastAsia="en-GB"/>
        </w:rPr>
        <w:softHyphen/>
        <w:t>խորդ տա</w:t>
      </w:r>
      <w:r w:rsidRPr="002E7C06">
        <w:rPr>
          <w:rFonts w:cs="Sylfaen"/>
          <w:iCs/>
          <w:lang w:val="af-ZA" w:eastAsia="en-GB"/>
        </w:rPr>
        <w:softHyphen/>
        <w:t>րի</w:t>
      </w:r>
      <w:r w:rsidRPr="002E7C06">
        <w:rPr>
          <w:rFonts w:cs="Sylfaen"/>
          <w:iCs/>
          <w:lang w:val="af-ZA" w:eastAsia="en-GB"/>
        </w:rPr>
        <w:softHyphen/>
        <w:t>նե</w:t>
      </w:r>
      <w:r w:rsidRPr="002E7C06">
        <w:rPr>
          <w:rFonts w:cs="Sylfaen"/>
          <w:iCs/>
          <w:lang w:val="af-ZA" w:eastAsia="en-GB"/>
        </w:rPr>
        <w:softHyphen/>
        <w:t>րին արձանագրված միտումները:</w:t>
      </w:r>
    </w:p>
    <w:p w14:paraId="0FCE7624" w14:textId="77777777" w:rsidR="00B11AEF" w:rsidRPr="002E7C06" w:rsidRDefault="00B11AEF" w:rsidP="00B11AEF">
      <w:pPr>
        <w:spacing w:line="276" w:lineRule="auto"/>
        <w:ind w:firstLine="0"/>
        <w:rPr>
          <w:rFonts w:cs="Sylfaen"/>
          <w:iCs/>
          <w:lang w:val="af-ZA" w:eastAsia="en-GB"/>
        </w:rPr>
      </w:pPr>
      <w:r w:rsidRPr="002E7C06">
        <w:rPr>
          <w:rFonts w:cs="Sylfaen"/>
          <w:iCs/>
          <w:lang w:val="af-ZA" w:eastAsia="en-GB"/>
        </w:rPr>
        <w:t>Այլ եկամուտների ՄԺԾԾ կանխատեսումների ընդհանուր պատկերն ըստ եկամտի հիմնական աղբյուրների հետևյալն է.</w:t>
      </w:r>
    </w:p>
    <w:p w14:paraId="7E96FABF" w14:textId="77777777" w:rsidR="00B11AEF" w:rsidRPr="002E7C06" w:rsidRDefault="00B11AEF" w:rsidP="00B11AEF">
      <w:pPr>
        <w:keepNext/>
        <w:keepLines/>
        <w:spacing w:before="120"/>
        <w:ind w:firstLine="0"/>
        <w:rPr>
          <w:rFonts w:cs="Sylfaen"/>
          <w:i/>
          <w:iCs/>
          <w:sz w:val="20"/>
          <w:szCs w:val="20"/>
          <w:lang w:val="af-ZA" w:eastAsia="en-GB"/>
        </w:rPr>
      </w:pPr>
      <w:r w:rsidRPr="002E7C06">
        <w:rPr>
          <w:rFonts w:cs="Sylfaen"/>
          <w:b/>
          <w:iCs/>
          <w:sz w:val="20"/>
          <w:szCs w:val="20"/>
          <w:lang w:val="af-ZA" w:eastAsia="en-GB"/>
        </w:rPr>
        <w:t xml:space="preserve">Աղյուսակ 3.2.3 </w:t>
      </w:r>
      <w:r w:rsidRPr="002E7C06">
        <w:rPr>
          <w:rFonts w:cs="Sylfaen"/>
          <w:i/>
          <w:iCs/>
          <w:sz w:val="20"/>
          <w:szCs w:val="20"/>
          <w:lang w:val="af-ZA" w:eastAsia="en-GB"/>
        </w:rPr>
        <w:t>Այլ եկամուտների կազմում հաշվառվող եկամտատեսակների գծով ՀՀ 2022-2024թթ ՄԺԾԾ շրջանակներում կատարված կանխատեսումները (մլրդ դրամ)</w:t>
      </w:r>
    </w:p>
    <w:tbl>
      <w:tblPr>
        <w:tblW w:w="9356" w:type="dxa"/>
        <w:tblLook w:val="04A0" w:firstRow="1" w:lastRow="0" w:firstColumn="1" w:lastColumn="0" w:noHBand="0" w:noVBand="1"/>
      </w:tblPr>
      <w:tblGrid>
        <w:gridCol w:w="5575"/>
        <w:gridCol w:w="1360"/>
        <w:gridCol w:w="1200"/>
        <w:gridCol w:w="1221"/>
      </w:tblGrid>
      <w:tr w:rsidR="00B11AEF" w:rsidRPr="002E7C06" w14:paraId="6D62FDD1" w14:textId="77777777" w:rsidTr="00B11AEF">
        <w:trPr>
          <w:trHeight w:val="345"/>
        </w:trPr>
        <w:tc>
          <w:tcPr>
            <w:tcW w:w="5575" w:type="dxa"/>
            <w:vMerge w:val="restart"/>
            <w:tcBorders>
              <w:top w:val="single" w:sz="4" w:space="0" w:color="auto"/>
              <w:left w:val="single" w:sz="4" w:space="0" w:color="auto"/>
              <w:bottom w:val="single" w:sz="4" w:space="0" w:color="000000"/>
              <w:right w:val="single" w:sz="4" w:space="0" w:color="auto"/>
            </w:tcBorders>
            <w:shd w:val="clear" w:color="auto" w:fill="0070C0"/>
            <w:vAlign w:val="center"/>
          </w:tcPr>
          <w:p w14:paraId="011E7005" w14:textId="77777777" w:rsidR="00B11AEF" w:rsidRPr="002E7C06" w:rsidRDefault="00B11AEF" w:rsidP="00B11AEF">
            <w:pPr>
              <w:spacing w:after="0" w:line="240" w:lineRule="auto"/>
              <w:ind w:firstLine="0"/>
              <w:jc w:val="left"/>
              <w:rPr>
                <w:rFonts w:cs="Calibri"/>
                <w:bCs/>
                <w:color w:val="FFFFFF" w:themeColor="background1"/>
                <w:sz w:val="20"/>
                <w:szCs w:val="20"/>
              </w:rPr>
            </w:pPr>
            <w:r w:rsidRPr="002E7C06">
              <w:rPr>
                <w:rFonts w:cs="Calibri"/>
                <w:bCs/>
                <w:color w:val="FFFFFF" w:themeColor="background1"/>
                <w:sz w:val="20"/>
                <w:szCs w:val="20"/>
              </w:rPr>
              <w:t>Այլ եկամուտներ</w:t>
            </w:r>
          </w:p>
        </w:tc>
        <w:tc>
          <w:tcPr>
            <w:tcW w:w="1360" w:type="dxa"/>
            <w:tcBorders>
              <w:top w:val="single" w:sz="4" w:space="0" w:color="auto"/>
              <w:left w:val="nil"/>
              <w:bottom w:val="single" w:sz="4" w:space="0" w:color="auto"/>
              <w:right w:val="single" w:sz="4" w:space="0" w:color="auto"/>
            </w:tcBorders>
            <w:shd w:val="clear" w:color="auto" w:fill="0070C0"/>
            <w:noWrap/>
            <w:vAlign w:val="center"/>
          </w:tcPr>
          <w:p w14:paraId="07BC2266" w14:textId="77777777" w:rsidR="00B11AEF" w:rsidRPr="002E7C06" w:rsidRDefault="00B11AEF" w:rsidP="00B11AEF">
            <w:pPr>
              <w:spacing w:after="0" w:line="240" w:lineRule="auto"/>
              <w:ind w:firstLine="0"/>
              <w:jc w:val="center"/>
              <w:rPr>
                <w:rFonts w:eastAsia="Times New Roman" w:cs="Calibri"/>
                <w:color w:val="FFFFFF" w:themeColor="background1"/>
                <w:sz w:val="20"/>
                <w:szCs w:val="20"/>
              </w:rPr>
            </w:pPr>
            <w:r w:rsidRPr="002E7C06">
              <w:rPr>
                <w:rFonts w:cs="Calibri"/>
                <w:color w:val="FFFFFF" w:themeColor="background1"/>
                <w:sz w:val="20"/>
                <w:szCs w:val="20"/>
              </w:rPr>
              <w:t>2022թ</w:t>
            </w:r>
          </w:p>
        </w:tc>
        <w:tc>
          <w:tcPr>
            <w:tcW w:w="1200" w:type="dxa"/>
            <w:tcBorders>
              <w:top w:val="single" w:sz="4" w:space="0" w:color="auto"/>
              <w:left w:val="nil"/>
              <w:bottom w:val="single" w:sz="4" w:space="0" w:color="auto"/>
              <w:right w:val="single" w:sz="4" w:space="0" w:color="auto"/>
            </w:tcBorders>
            <w:shd w:val="clear" w:color="auto" w:fill="0070C0"/>
            <w:noWrap/>
            <w:vAlign w:val="center"/>
          </w:tcPr>
          <w:p w14:paraId="57804778" w14:textId="77777777" w:rsidR="00B11AEF" w:rsidRPr="002E7C06" w:rsidRDefault="00B11AEF" w:rsidP="00B11AEF">
            <w:pPr>
              <w:spacing w:after="0" w:line="240" w:lineRule="auto"/>
              <w:ind w:firstLine="0"/>
              <w:jc w:val="center"/>
              <w:rPr>
                <w:rFonts w:eastAsia="Times New Roman" w:cs="Calibri"/>
                <w:color w:val="FFFFFF" w:themeColor="background1"/>
                <w:sz w:val="20"/>
                <w:szCs w:val="20"/>
              </w:rPr>
            </w:pPr>
            <w:r w:rsidRPr="002E7C06">
              <w:rPr>
                <w:rFonts w:cs="Calibri"/>
                <w:color w:val="FFFFFF" w:themeColor="background1"/>
                <w:sz w:val="20"/>
                <w:szCs w:val="20"/>
              </w:rPr>
              <w:t>2023թ</w:t>
            </w:r>
          </w:p>
        </w:tc>
        <w:tc>
          <w:tcPr>
            <w:tcW w:w="1221" w:type="dxa"/>
            <w:tcBorders>
              <w:top w:val="single" w:sz="4" w:space="0" w:color="auto"/>
              <w:left w:val="nil"/>
              <w:bottom w:val="single" w:sz="4" w:space="0" w:color="auto"/>
              <w:right w:val="single" w:sz="4" w:space="0" w:color="auto"/>
            </w:tcBorders>
            <w:shd w:val="clear" w:color="auto" w:fill="0070C0"/>
            <w:noWrap/>
            <w:vAlign w:val="center"/>
          </w:tcPr>
          <w:p w14:paraId="6F42B692" w14:textId="77777777" w:rsidR="00B11AEF" w:rsidRPr="002E7C06" w:rsidRDefault="00B11AEF" w:rsidP="00B11AEF">
            <w:pPr>
              <w:spacing w:after="0" w:line="240" w:lineRule="auto"/>
              <w:ind w:firstLine="0"/>
              <w:jc w:val="center"/>
              <w:rPr>
                <w:rFonts w:eastAsia="Times New Roman" w:cs="Calibri"/>
                <w:color w:val="FFFFFF" w:themeColor="background1"/>
                <w:sz w:val="20"/>
                <w:szCs w:val="20"/>
              </w:rPr>
            </w:pPr>
            <w:r w:rsidRPr="002E7C06">
              <w:rPr>
                <w:rFonts w:cs="Calibri"/>
                <w:color w:val="FFFFFF" w:themeColor="background1"/>
                <w:sz w:val="20"/>
                <w:szCs w:val="20"/>
              </w:rPr>
              <w:t>2024թ</w:t>
            </w:r>
          </w:p>
        </w:tc>
      </w:tr>
      <w:tr w:rsidR="00B11AEF" w:rsidRPr="002E7C06" w14:paraId="59F793D4" w14:textId="77777777" w:rsidTr="00B11AEF">
        <w:trPr>
          <w:trHeight w:val="345"/>
        </w:trPr>
        <w:tc>
          <w:tcPr>
            <w:tcW w:w="0" w:type="auto"/>
            <w:vMerge/>
            <w:tcBorders>
              <w:top w:val="single" w:sz="4" w:space="0" w:color="auto"/>
              <w:left w:val="single" w:sz="4" w:space="0" w:color="auto"/>
              <w:bottom w:val="single" w:sz="4" w:space="0" w:color="000000"/>
              <w:right w:val="single" w:sz="4" w:space="0" w:color="auto"/>
            </w:tcBorders>
            <w:shd w:val="clear" w:color="auto" w:fill="0070C0"/>
            <w:vAlign w:val="center"/>
          </w:tcPr>
          <w:p w14:paraId="09B021A8" w14:textId="77777777" w:rsidR="00B11AEF" w:rsidRPr="002E7C06" w:rsidRDefault="00B11AEF" w:rsidP="00B11AEF">
            <w:pPr>
              <w:spacing w:after="0" w:line="240" w:lineRule="auto"/>
              <w:ind w:firstLine="0"/>
              <w:jc w:val="left"/>
              <w:rPr>
                <w:rFonts w:cs="Calibri"/>
                <w:bCs/>
                <w:color w:val="FFFFFF" w:themeColor="background1"/>
                <w:sz w:val="20"/>
                <w:szCs w:val="20"/>
              </w:rPr>
            </w:pPr>
          </w:p>
        </w:tc>
        <w:tc>
          <w:tcPr>
            <w:tcW w:w="3781" w:type="dxa"/>
            <w:gridSpan w:val="3"/>
            <w:tcBorders>
              <w:top w:val="single" w:sz="4" w:space="0" w:color="auto"/>
              <w:left w:val="nil"/>
              <w:bottom w:val="single" w:sz="4" w:space="0" w:color="auto"/>
              <w:right w:val="single" w:sz="4" w:space="0" w:color="auto"/>
            </w:tcBorders>
            <w:shd w:val="clear" w:color="auto" w:fill="0070C0"/>
            <w:noWrap/>
            <w:vAlign w:val="center"/>
          </w:tcPr>
          <w:p w14:paraId="4507DEB5" w14:textId="77777777" w:rsidR="00B11AEF" w:rsidRPr="002E7C06" w:rsidRDefault="00B11AEF" w:rsidP="00B11AEF">
            <w:pPr>
              <w:spacing w:after="0" w:line="240" w:lineRule="auto"/>
              <w:ind w:firstLine="0"/>
              <w:jc w:val="center"/>
              <w:rPr>
                <w:rFonts w:eastAsia="Times New Roman" w:cs="Calibri"/>
                <w:color w:val="FFFFFF" w:themeColor="background1"/>
                <w:sz w:val="20"/>
                <w:szCs w:val="20"/>
              </w:rPr>
            </w:pPr>
            <w:r w:rsidRPr="002E7C06">
              <w:rPr>
                <w:rFonts w:cs="Calibri"/>
                <w:color w:val="FFFFFF" w:themeColor="background1"/>
                <w:sz w:val="20"/>
                <w:szCs w:val="20"/>
              </w:rPr>
              <w:t xml:space="preserve"> Կանխատեսում</w:t>
            </w:r>
          </w:p>
        </w:tc>
      </w:tr>
      <w:tr w:rsidR="00B11AEF" w:rsidRPr="002E7C06" w14:paraId="2B674C6A" w14:textId="77777777" w:rsidTr="00B11AEF">
        <w:trPr>
          <w:trHeight w:val="345"/>
        </w:trPr>
        <w:tc>
          <w:tcPr>
            <w:tcW w:w="5575" w:type="dxa"/>
            <w:tcBorders>
              <w:top w:val="nil"/>
              <w:left w:val="single" w:sz="4" w:space="0" w:color="auto"/>
              <w:bottom w:val="single" w:sz="4" w:space="0" w:color="auto"/>
              <w:right w:val="single" w:sz="4" w:space="0" w:color="auto"/>
            </w:tcBorders>
            <w:shd w:val="clear" w:color="auto" w:fill="C6D9F1"/>
            <w:vAlign w:val="center"/>
          </w:tcPr>
          <w:p w14:paraId="09EF1033" w14:textId="77777777" w:rsidR="00B11AEF" w:rsidRPr="002E7C06" w:rsidRDefault="00B11AEF" w:rsidP="00B11AEF">
            <w:pPr>
              <w:spacing w:after="0" w:line="240" w:lineRule="auto"/>
              <w:ind w:firstLine="0"/>
              <w:jc w:val="left"/>
              <w:rPr>
                <w:rFonts w:cs="Calibri"/>
                <w:b/>
                <w:bCs/>
                <w:color w:val="000000"/>
                <w:sz w:val="20"/>
                <w:szCs w:val="20"/>
              </w:rPr>
            </w:pPr>
            <w:r w:rsidRPr="002E7C06">
              <w:rPr>
                <w:rFonts w:cs="Calibri"/>
                <w:b/>
                <w:bCs/>
                <w:color w:val="000000"/>
                <w:sz w:val="20"/>
                <w:szCs w:val="20"/>
              </w:rPr>
              <w:t>Ընդամենը, այդ թվում՝</w:t>
            </w:r>
          </w:p>
        </w:tc>
        <w:tc>
          <w:tcPr>
            <w:tcW w:w="1360" w:type="dxa"/>
            <w:tcBorders>
              <w:top w:val="nil"/>
              <w:left w:val="nil"/>
              <w:bottom w:val="single" w:sz="4" w:space="0" w:color="auto"/>
              <w:right w:val="single" w:sz="4" w:space="0" w:color="auto"/>
            </w:tcBorders>
            <w:shd w:val="clear" w:color="auto" w:fill="C6D9F1"/>
            <w:noWrap/>
            <w:vAlign w:val="center"/>
          </w:tcPr>
          <w:p w14:paraId="334D2262" w14:textId="77777777" w:rsidR="00B11AEF" w:rsidRPr="002E7C06" w:rsidRDefault="00B11AEF" w:rsidP="00B11AEF">
            <w:pPr>
              <w:spacing w:after="0" w:line="240" w:lineRule="auto"/>
              <w:ind w:firstLine="0"/>
              <w:jc w:val="center"/>
              <w:rPr>
                <w:rFonts w:cs="Calibri"/>
                <w:b/>
                <w:color w:val="000000"/>
              </w:rPr>
            </w:pPr>
            <w:r w:rsidRPr="002E7C06">
              <w:rPr>
                <w:rFonts w:cs="Calibri"/>
                <w:b/>
                <w:color w:val="000000"/>
              </w:rPr>
              <w:t>59.2</w:t>
            </w:r>
          </w:p>
        </w:tc>
        <w:tc>
          <w:tcPr>
            <w:tcW w:w="1200" w:type="dxa"/>
            <w:tcBorders>
              <w:top w:val="nil"/>
              <w:left w:val="nil"/>
              <w:bottom w:val="single" w:sz="4" w:space="0" w:color="auto"/>
              <w:right w:val="single" w:sz="4" w:space="0" w:color="auto"/>
            </w:tcBorders>
            <w:shd w:val="clear" w:color="auto" w:fill="C6D9F1"/>
            <w:noWrap/>
            <w:vAlign w:val="center"/>
          </w:tcPr>
          <w:p w14:paraId="312CE9BC" w14:textId="77777777" w:rsidR="00B11AEF" w:rsidRPr="002E7C06" w:rsidRDefault="00B11AEF" w:rsidP="00B11AEF">
            <w:pPr>
              <w:spacing w:after="0" w:line="240" w:lineRule="auto"/>
              <w:ind w:firstLine="0"/>
              <w:jc w:val="center"/>
              <w:rPr>
                <w:rFonts w:cs="Calibri"/>
                <w:b/>
                <w:color w:val="000000"/>
              </w:rPr>
            </w:pPr>
            <w:r w:rsidRPr="002E7C06">
              <w:rPr>
                <w:rFonts w:cs="Calibri"/>
                <w:b/>
                <w:color w:val="000000"/>
              </w:rPr>
              <w:t>57.9</w:t>
            </w:r>
          </w:p>
        </w:tc>
        <w:tc>
          <w:tcPr>
            <w:tcW w:w="1221" w:type="dxa"/>
            <w:tcBorders>
              <w:top w:val="nil"/>
              <w:left w:val="nil"/>
              <w:bottom w:val="single" w:sz="4" w:space="0" w:color="auto"/>
              <w:right w:val="single" w:sz="4" w:space="0" w:color="auto"/>
            </w:tcBorders>
            <w:shd w:val="clear" w:color="auto" w:fill="C6D9F1"/>
            <w:noWrap/>
            <w:vAlign w:val="center"/>
          </w:tcPr>
          <w:p w14:paraId="230FACDD" w14:textId="77777777" w:rsidR="00B11AEF" w:rsidRPr="002E7C06" w:rsidRDefault="00B11AEF" w:rsidP="00B11AEF">
            <w:pPr>
              <w:spacing w:after="0" w:line="240" w:lineRule="auto"/>
              <w:ind w:firstLine="0"/>
              <w:jc w:val="center"/>
              <w:rPr>
                <w:rFonts w:cs="Calibri"/>
                <w:b/>
                <w:color w:val="000000"/>
              </w:rPr>
            </w:pPr>
            <w:r w:rsidRPr="002E7C06">
              <w:rPr>
                <w:rFonts w:cs="Calibri"/>
                <w:b/>
                <w:color w:val="000000"/>
              </w:rPr>
              <w:t>55.3</w:t>
            </w:r>
          </w:p>
        </w:tc>
      </w:tr>
      <w:tr w:rsidR="00B11AEF" w:rsidRPr="002E7C06" w14:paraId="2F737238" w14:textId="77777777" w:rsidTr="00B11AEF">
        <w:trPr>
          <w:trHeight w:val="782"/>
        </w:trPr>
        <w:tc>
          <w:tcPr>
            <w:tcW w:w="5575" w:type="dxa"/>
            <w:tcBorders>
              <w:top w:val="nil"/>
              <w:left w:val="single" w:sz="4" w:space="0" w:color="auto"/>
              <w:bottom w:val="single" w:sz="4" w:space="0" w:color="auto"/>
              <w:right w:val="single" w:sz="4" w:space="0" w:color="auto"/>
            </w:tcBorders>
            <w:vAlign w:val="center"/>
          </w:tcPr>
          <w:p w14:paraId="34EB45D7" w14:textId="77777777" w:rsidR="00B11AEF" w:rsidRPr="002E7C06" w:rsidRDefault="00B11AEF" w:rsidP="00B11AEF">
            <w:pPr>
              <w:spacing w:after="0" w:line="240" w:lineRule="auto"/>
              <w:ind w:firstLine="0"/>
              <w:jc w:val="left"/>
              <w:rPr>
                <w:rFonts w:cs="Calibri"/>
                <w:color w:val="000000"/>
                <w:sz w:val="20"/>
                <w:szCs w:val="20"/>
              </w:rPr>
            </w:pPr>
            <w:r w:rsidRPr="002E7C06">
              <w:rPr>
                <w:rFonts w:cs="Calibri"/>
                <w:color w:val="000000"/>
                <w:sz w:val="20"/>
                <w:szCs w:val="20"/>
              </w:rPr>
              <w:t>1. Պետական սեփականություն հանդիսացող գույքի վարձակալությունից եկամուտներ</w:t>
            </w:r>
          </w:p>
        </w:tc>
        <w:tc>
          <w:tcPr>
            <w:tcW w:w="1360" w:type="dxa"/>
            <w:tcBorders>
              <w:top w:val="nil"/>
              <w:left w:val="nil"/>
              <w:bottom w:val="single" w:sz="4" w:space="0" w:color="auto"/>
              <w:right w:val="single" w:sz="4" w:space="0" w:color="auto"/>
            </w:tcBorders>
            <w:noWrap/>
            <w:vAlign w:val="center"/>
          </w:tcPr>
          <w:p w14:paraId="40E31FF3"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6.7 </w:t>
            </w:r>
          </w:p>
        </w:tc>
        <w:tc>
          <w:tcPr>
            <w:tcW w:w="1200" w:type="dxa"/>
            <w:tcBorders>
              <w:top w:val="nil"/>
              <w:left w:val="nil"/>
              <w:bottom w:val="single" w:sz="4" w:space="0" w:color="auto"/>
              <w:right w:val="single" w:sz="4" w:space="0" w:color="auto"/>
            </w:tcBorders>
            <w:noWrap/>
            <w:vAlign w:val="center"/>
          </w:tcPr>
          <w:p w14:paraId="644D74C2"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7.5 </w:t>
            </w:r>
          </w:p>
        </w:tc>
        <w:tc>
          <w:tcPr>
            <w:tcW w:w="1221" w:type="dxa"/>
            <w:tcBorders>
              <w:top w:val="nil"/>
              <w:left w:val="nil"/>
              <w:bottom w:val="single" w:sz="4" w:space="0" w:color="auto"/>
              <w:right w:val="single" w:sz="4" w:space="0" w:color="auto"/>
            </w:tcBorders>
            <w:noWrap/>
            <w:vAlign w:val="center"/>
          </w:tcPr>
          <w:p w14:paraId="0A851B42"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7.6 </w:t>
            </w:r>
          </w:p>
        </w:tc>
      </w:tr>
      <w:tr w:rsidR="00B11AEF" w:rsidRPr="002E7C06" w14:paraId="648ADA7C" w14:textId="77777777" w:rsidTr="00B11AEF">
        <w:trPr>
          <w:trHeight w:val="800"/>
        </w:trPr>
        <w:tc>
          <w:tcPr>
            <w:tcW w:w="5575" w:type="dxa"/>
            <w:tcBorders>
              <w:top w:val="nil"/>
              <w:left w:val="single" w:sz="4" w:space="0" w:color="auto"/>
              <w:bottom w:val="single" w:sz="4" w:space="0" w:color="auto"/>
              <w:right w:val="single" w:sz="4" w:space="0" w:color="auto"/>
            </w:tcBorders>
            <w:shd w:val="clear" w:color="auto" w:fill="C6D9F1"/>
            <w:vAlign w:val="center"/>
          </w:tcPr>
          <w:p w14:paraId="7AF18D81" w14:textId="77777777" w:rsidR="00B11AEF" w:rsidRPr="002E7C06" w:rsidRDefault="00B11AEF" w:rsidP="00B11AEF">
            <w:pPr>
              <w:spacing w:after="0" w:line="240" w:lineRule="auto"/>
              <w:ind w:firstLine="0"/>
              <w:jc w:val="left"/>
              <w:rPr>
                <w:rFonts w:cs="Calibri"/>
                <w:color w:val="000000"/>
                <w:sz w:val="20"/>
                <w:szCs w:val="20"/>
              </w:rPr>
            </w:pPr>
            <w:r w:rsidRPr="002E7C06">
              <w:rPr>
                <w:rFonts w:cs="Calibri"/>
                <w:color w:val="000000"/>
                <w:sz w:val="20"/>
                <w:szCs w:val="20"/>
              </w:rPr>
              <w:t>2. Տոկոսավճարների և շահաբաժինների տեսքով ստացվող եկամուտներ</w:t>
            </w:r>
          </w:p>
        </w:tc>
        <w:tc>
          <w:tcPr>
            <w:tcW w:w="1360" w:type="dxa"/>
            <w:tcBorders>
              <w:top w:val="nil"/>
              <w:left w:val="nil"/>
              <w:bottom w:val="single" w:sz="4" w:space="0" w:color="auto"/>
              <w:right w:val="single" w:sz="4" w:space="0" w:color="auto"/>
            </w:tcBorders>
            <w:shd w:val="clear" w:color="auto" w:fill="C6D9F1"/>
            <w:noWrap/>
            <w:vAlign w:val="center"/>
          </w:tcPr>
          <w:p w14:paraId="1FCE92CA"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23.8 </w:t>
            </w:r>
          </w:p>
        </w:tc>
        <w:tc>
          <w:tcPr>
            <w:tcW w:w="1200" w:type="dxa"/>
            <w:tcBorders>
              <w:top w:val="nil"/>
              <w:left w:val="nil"/>
              <w:bottom w:val="single" w:sz="4" w:space="0" w:color="auto"/>
              <w:right w:val="single" w:sz="4" w:space="0" w:color="auto"/>
            </w:tcBorders>
            <w:shd w:val="clear" w:color="auto" w:fill="C6D9F1"/>
            <w:noWrap/>
            <w:vAlign w:val="center"/>
          </w:tcPr>
          <w:p w14:paraId="52E20BD9"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21.3 </w:t>
            </w:r>
          </w:p>
        </w:tc>
        <w:tc>
          <w:tcPr>
            <w:tcW w:w="1221" w:type="dxa"/>
            <w:tcBorders>
              <w:top w:val="nil"/>
              <w:left w:val="nil"/>
              <w:bottom w:val="single" w:sz="4" w:space="0" w:color="auto"/>
              <w:right w:val="single" w:sz="4" w:space="0" w:color="auto"/>
            </w:tcBorders>
            <w:shd w:val="clear" w:color="auto" w:fill="C6D9F1"/>
            <w:noWrap/>
            <w:vAlign w:val="center"/>
          </w:tcPr>
          <w:p w14:paraId="44ED7413"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18.3 </w:t>
            </w:r>
          </w:p>
        </w:tc>
      </w:tr>
      <w:tr w:rsidR="00B11AEF" w:rsidRPr="002E7C06" w14:paraId="3EB55C3A" w14:textId="77777777" w:rsidTr="00B11AEF">
        <w:trPr>
          <w:trHeight w:val="971"/>
        </w:trPr>
        <w:tc>
          <w:tcPr>
            <w:tcW w:w="5575" w:type="dxa"/>
            <w:tcBorders>
              <w:top w:val="nil"/>
              <w:left w:val="single" w:sz="4" w:space="0" w:color="auto"/>
              <w:bottom w:val="single" w:sz="4" w:space="0" w:color="auto"/>
              <w:right w:val="single" w:sz="4" w:space="0" w:color="auto"/>
            </w:tcBorders>
            <w:vAlign w:val="center"/>
          </w:tcPr>
          <w:p w14:paraId="3DECC23B" w14:textId="77777777" w:rsidR="00B11AEF" w:rsidRPr="002E7C06" w:rsidRDefault="00B11AEF" w:rsidP="00B11AEF">
            <w:pPr>
              <w:spacing w:after="0" w:line="240" w:lineRule="auto"/>
              <w:ind w:firstLine="0"/>
              <w:jc w:val="left"/>
              <w:rPr>
                <w:rFonts w:cs="Calibri"/>
                <w:color w:val="000000"/>
                <w:sz w:val="20"/>
                <w:szCs w:val="20"/>
              </w:rPr>
            </w:pPr>
            <w:r w:rsidRPr="002E7C06">
              <w:rPr>
                <w:rFonts w:cs="Calibri"/>
                <w:color w:val="000000"/>
                <w:sz w:val="20"/>
                <w:szCs w:val="20"/>
              </w:rPr>
              <w:t>3. Իրավախախտումների համար գործադիր, դատական մարմինների կողմից կիրառվող պատժամիջոցներից մուտքեր</w:t>
            </w:r>
          </w:p>
        </w:tc>
        <w:tc>
          <w:tcPr>
            <w:tcW w:w="1360" w:type="dxa"/>
            <w:tcBorders>
              <w:top w:val="nil"/>
              <w:left w:val="nil"/>
              <w:bottom w:val="single" w:sz="4" w:space="0" w:color="auto"/>
              <w:right w:val="single" w:sz="4" w:space="0" w:color="auto"/>
            </w:tcBorders>
            <w:noWrap/>
            <w:vAlign w:val="center"/>
          </w:tcPr>
          <w:p w14:paraId="3EE41C96"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10.4 </w:t>
            </w:r>
          </w:p>
        </w:tc>
        <w:tc>
          <w:tcPr>
            <w:tcW w:w="1200" w:type="dxa"/>
            <w:tcBorders>
              <w:top w:val="nil"/>
              <w:left w:val="nil"/>
              <w:bottom w:val="single" w:sz="4" w:space="0" w:color="auto"/>
              <w:right w:val="single" w:sz="4" w:space="0" w:color="auto"/>
            </w:tcBorders>
            <w:noWrap/>
            <w:vAlign w:val="center"/>
          </w:tcPr>
          <w:p w14:paraId="50298773"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10.4 </w:t>
            </w:r>
          </w:p>
        </w:tc>
        <w:tc>
          <w:tcPr>
            <w:tcW w:w="1221" w:type="dxa"/>
            <w:tcBorders>
              <w:top w:val="nil"/>
              <w:left w:val="nil"/>
              <w:bottom w:val="single" w:sz="4" w:space="0" w:color="auto"/>
              <w:right w:val="single" w:sz="4" w:space="0" w:color="auto"/>
            </w:tcBorders>
            <w:noWrap/>
            <w:vAlign w:val="center"/>
          </w:tcPr>
          <w:p w14:paraId="643E2243"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10.4 </w:t>
            </w:r>
          </w:p>
        </w:tc>
      </w:tr>
      <w:tr w:rsidR="00B11AEF" w:rsidRPr="002E7C06" w14:paraId="5E431B12" w14:textId="77777777" w:rsidTr="00B11AEF">
        <w:trPr>
          <w:trHeight w:val="890"/>
        </w:trPr>
        <w:tc>
          <w:tcPr>
            <w:tcW w:w="5575" w:type="dxa"/>
            <w:tcBorders>
              <w:top w:val="nil"/>
              <w:left w:val="single" w:sz="4" w:space="0" w:color="auto"/>
              <w:bottom w:val="single" w:sz="4" w:space="0" w:color="auto"/>
              <w:right w:val="single" w:sz="4" w:space="0" w:color="auto"/>
            </w:tcBorders>
            <w:shd w:val="clear" w:color="auto" w:fill="C6D9F1"/>
            <w:vAlign w:val="center"/>
          </w:tcPr>
          <w:p w14:paraId="4E9FE886" w14:textId="77777777" w:rsidR="00B11AEF" w:rsidRPr="002E7C06" w:rsidRDefault="00B11AEF" w:rsidP="00B11AEF">
            <w:pPr>
              <w:spacing w:after="0" w:line="240" w:lineRule="auto"/>
              <w:ind w:firstLine="0"/>
              <w:jc w:val="left"/>
              <w:rPr>
                <w:rFonts w:cs="Calibri"/>
                <w:color w:val="000000"/>
                <w:sz w:val="20"/>
                <w:szCs w:val="20"/>
              </w:rPr>
            </w:pPr>
            <w:r w:rsidRPr="002E7C06">
              <w:rPr>
                <w:rFonts w:cs="Calibri"/>
                <w:color w:val="000000"/>
                <w:sz w:val="20"/>
                <w:szCs w:val="20"/>
              </w:rPr>
              <w:t>4. Ապրանքների մատակարարումից և ծառայությունների մատուցումից եկամուտներ, որից`</w:t>
            </w:r>
          </w:p>
        </w:tc>
        <w:tc>
          <w:tcPr>
            <w:tcW w:w="1360" w:type="dxa"/>
            <w:tcBorders>
              <w:top w:val="nil"/>
              <w:left w:val="nil"/>
              <w:bottom w:val="single" w:sz="4" w:space="0" w:color="auto"/>
              <w:right w:val="single" w:sz="4" w:space="0" w:color="auto"/>
            </w:tcBorders>
            <w:shd w:val="clear" w:color="auto" w:fill="C6D9F1"/>
            <w:noWrap/>
            <w:vAlign w:val="center"/>
          </w:tcPr>
          <w:p w14:paraId="67A83325"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16.9 </w:t>
            </w:r>
          </w:p>
        </w:tc>
        <w:tc>
          <w:tcPr>
            <w:tcW w:w="1200" w:type="dxa"/>
            <w:tcBorders>
              <w:top w:val="nil"/>
              <w:left w:val="nil"/>
              <w:bottom w:val="single" w:sz="4" w:space="0" w:color="auto"/>
              <w:right w:val="single" w:sz="4" w:space="0" w:color="auto"/>
            </w:tcBorders>
            <w:shd w:val="clear" w:color="auto" w:fill="C6D9F1"/>
            <w:noWrap/>
            <w:vAlign w:val="center"/>
          </w:tcPr>
          <w:p w14:paraId="3ABF03CF"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17.2 </w:t>
            </w:r>
          </w:p>
        </w:tc>
        <w:tc>
          <w:tcPr>
            <w:tcW w:w="1221" w:type="dxa"/>
            <w:tcBorders>
              <w:top w:val="nil"/>
              <w:left w:val="nil"/>
              <w:bottom w:val="single" w:sz="4" w:space="0" w:color="auto"/>
              <w:right w:val="single" w:sz="4" w:space="0" w:color="auto"/>
            </w:tcBorders>
            <w:shd w:val="clear" w:color="auto" w:fill="C6D9F1"/>
            <w:noWrap/>
            <w:vAlign w:val="center"/>
          </w:tcPr>
          <w:p w14:paraId="4D01EF38"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17.5 </w:t>
            </w:r>
          </w:p>
        </w:tc>
      </w:tr>
      <w:tr w:rsidR="00B11AEF" w14:paraId="53BDE12A" w14:textId="77777777" w:rsidTr="00B11AEF">
        <w:trPr>
          <w:trHeight w:val="629"/>
        </w:trPr>
        <w:tc>
          <w:tcPr>
            <w:tcW w:w="5575" w:type="dxa"/>
            <w:tcBorders>
              <w:top w:val="nil"/>
              <w:left w:val="single" w:sz="4" w:space="0" w:color="auto"/>
              <w:bottom w:val="single" w:sz="4" w:space="0" w:color="auto"/>
              <w:right w:val="single" w:sz="4" w:space="0" w:color="auto"/>
            </w:tcBorders>
            <w:vAlign w:val="center"/>
          </w:tcPr>
          <w:p w14:paraId="4F7278AD" w14:textId="77777777" w:rsidR="00B11AEF" w:rsidRPr="002E7C06" w:rsidRDefault="00B11AEF" w:rsidP="00B11AEF">
            <w:pPr>
              <w:spacing w:after="0" w:line="240" w:lineRule="auto"/>
              <w:ind w:firstLine="0"/>
              <w:jc w:val="left"/>
              <w:rPr>
                <w:rFonts w:cs="Calibri"/>
                <w:color w:val="000000"/>
                <w:sz w:val="20"/>
                <w:szCs w:val="20"/>
              </w:rPr>
            </w:pPr>
            <w:r w:rsidRPr="002E7C06">
              <w:rPr>
                <w:rFonts w:cs="Calibri"/>
                <w:color w:val="000000"/>
                <w:sz w:val="20"/>
                <w:szCs w:val="20"/>
              </w:rPr>
              <w:t>5. Օրենքով և այլ իրավական ակտերով սահմանված` պետական բյուջե մուտքագրվող այլ եկամուտներ</w:t>
            </w:r>
          </w:p>
        </w:tc>
        <w:tc>
          <w:tcPr>
            <w:tcW w:w="1360" w:type="dxa"/>
            <w:tcBorders>
              <w:top w:val="nil"/>
              <w:left w:val="nil"/>
              <w:bottom w:val="single" w:sz="4" w:space="0" w:color="auto"/>
              <w:right w:val="single" w:sz="4" w:space="0" w:color="auto"/>
            </w:tcBorders>
            <w:noWrap/>
            <w:vAlign w:val="center"/>
          </w:tcPr>
          <w:p w14:paraId="758C5757"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1.4 </w:t>
            </w:r>
          </w:p>
        </w:tc>
        <w:tc>
          <w:tcPr>
            <w:tcW w:w="1200" w:type="dxa"/>
            <w:tcBorders>
              <w:top w:val="nil"/>
              <w:left w:val="nil"/>
              <w:bottom w:val="single" w:sz="4" w:space="0" w:color="auto"/>
              <w:right w:val="single" w:sz="4" w:space="0" w:color="auto"/>
            </w:tcBorders>
            <w:noWrap/>
            <w:vAlign w:val="center"/>
          </w:tcPr>
          <w:p w14:paraId="23FFA449"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1.5 </w:t>
            </w:r>
          </w:p>
        </w:tc>
        <w:tc>
          <w:tcPr>
            <w:tcW w:w="1221" w:type="dxa"/>
            <w:tcBorders>
              <w:top w:val="nil"/>
              <w:left w:val="nil"/>
              <w:bottom w:val="single" w:sz="4" w:space="0" w:color="auto"/>
              <w:right w:val="single" w:sz="4" w:space="0" w:color="auto"/>
            </w:tcBorders>
            <w:noWrap/>
            <w:vAlign w:val="center"/>
          </w:tcPr>
          <w:p w14:paraId="214E4BC7" w14:textId="77777777" w:rsidR="00B11AEF" w:rsidRPr="002E7C06" w:rsidRDefault="00B11AEF" w:rsidP="00B11AEF">
            <w:pPr>
              <w:spacing w:after="0" w:line="240" w:lineRule="auto"/>
              <w:ind w:firstLine="0"/>
              <w:jc w:val="center"/>
              <w:rPr>
                <w:rFonts w:cs="Calibri"/>
                <w:color w:val="000000"/>
              </w:rPr>
            </w:pPr>
            <w:r w:rsidRPr="002E7C06">
              <w:rPr>
                <w:rFonts w:cs="Calibri"/>
                <w:color w:val="000000"/>
              </w:rPr>
              <w:t xml:space="preserve">         1.5 </w:t>
            </w:r>
          </w:p>
        </w:tc>
      </w:tr>
    </w:tbl>
    <w:p w14:paraId="3673FA3A" w14:textId="77777777" w:rsidR="00B11AEF" w:rsidRDefault="00B11AEF" w:rsidP="00B11AEF">
      <w:pPr>
        <w:spacing w:before="120"/>
        <w:ind w:firstLine="0"/>
        <w:rPr>
          <w:rFonts w:cs="Sylfaen"/>
          <w:iCs/>
          <w:sz w:val="20"/>
          <w:szCs w:val="20"/>
          <w:lang w:val="af-ZA" w:eastAsia="en-GB"/>
        </w:rPr>
      </w:pPr>
    </w:p>
    <w:p w14:paraId="1A53411D" w14:textId="77777777" w:rsidR="00B11AEF" w:rsidRDefault="00B11AEF" w:rsidP="00B11AEF">
      <w:pPr>
        <w:ind w:firstLine="0"/>
        <w:rPr>
          <w:lang w:val="af-ZA"/>
        </w:rPr>
      </w:pPr>
    </w:p>
    <w:p w14:paraId="06F5B84D" w14:textId="77777777" w:rsidR="00B11AEF" w:rsidRDefault="00B11AEF" w:rsidP="00B11AEF">
      <w:pPr>
        <w:spacing w:before="0" w:after="0" w:line="240" w:lineRule="auto"/>
        <w:ind w:firstLine="0"/>
        <w:jc w:val="left"/>
      </w:pPr>
      <w:r>
        <w:br w:type="page"/>
      </w:r>
    </w:p>
    <w:p w14:paraId="1BAC0F62" w14:textId="77777777" w:rsidR="00B11AEF" w:rsidRDefault="00B11AEF" w:rsidP="00B11AEF">
      <w:pPr>
        <w:pStyle w:val="Heading2"/>
        <w:rPr>
          <w:sz w:val="28"/>
          <w:szCs w:val="28"/>
        </w:rPr>
      </w:pPr>
      <w:bookmarkStart w:id="514" w:name="_Toc45838531"/>
      <w:bookmarkStart w:id="515" w:name="_Toc77356418"/>
      <w:bookmarkStart w:id="516" w:name="_Toc77837861"/>
      <w:r w:rsidRPr="00B7736F">
        <w:rPr>
          <w:sz w:val="28"/>
          <w:szCs w:val="28"/>
          <w:lang w:val="hy-AM"/>
        </w:rPr>
        <w:t xml:space="preserve">ԳԼՈՒԽ 4. </w:t>
      </w:r>
      <w:r>
        <w:rPr>
          <w:sz w:val="28"/>
          <w:szCs w:val="28"/>
        </w:rPr>
        <w:t>ԲՅՈՒՋԵՏԱՅԻՆ ՇՐՋԱՆԱԿ</w:t>
      </w:r>
      <w:bookmarkEnd w:id="512"/>
      <w:bookmarkEnd w:id="513"/>
      <w:bookmarkEnd w:id="514"/>
      <w:bookmarkEnd w:id="515"/>
      <w:bookmarkEnd w:id="516"/>
    </w:p>
    <w:p w14:paraId="32D6D8ED" w14:textId="77777777" w:rsidR="00B11AEF" w:rsidRDefault="00B11AEF" w:rsidP="00B11AEF">
      <w:pPr>
        <w:pStyle w:val="Heading3"/>
        <w:rPr>
          <w:rFonts w:eastAsia="Times New Roman" w:cs="Times New Roman"/>
          <w:caps w:val="0"/>
          <w:color w:val="1F497D" w:themeColor="text2"/>
          <w:sz w:val="28"/>
          <w:szCs w:val="28"/>
        </w:rPr>
      </w:pPr>
      <w:bookmarkStart w:id="517" w:name="_Toc77356419"/>
      <w:bookmarkStart w:id="518" w:name="_Toc77837862"/>
      <w:r w:rsidRPr="00495F52">
        <w:rPr>
          <w:rFonts w:eastAsia="Times New Roman" w:cs="Times New Roman"/>
          <w:caps w:val="0"/>
          <w:color w:val="1F497D" w:themeColor="text2"/>
          <w:sz w:val="28"/>
          <w:szCs w:val="28"/>
        </w:rPr>
        <w:t>4.</w:t>
      </w:r>
      <w:r>
        <w:rPr>
          <w:rFonts w:eastAsia="Times New Roman" w:cs="Times New Roman"/>
          <w:caps w:val="0"/>
          <w:color w:val="1F497D" w:themeColor="text2"/>
          <w:sz w:val="28"/>
          <w:szCs w:val="28"/>
        </w:rPr>
        <w:t xml:space="preserve">1. </w:t>
      </w:r>
      <w:bookmarkStart w:id="519" w:name="_Toc296702352"/>
      <w:bookmarkStart w:id="520" w:name="_Toc519513628"/>
      <w:bookmarkStart w:id="521" w:name="_Toc13837286"/>
      <w:bookmarkStart w:id="522" w:name="_Toc45838532"/>
      <w:r w:rsidRPr="00B7736F">
        <w:rPr>
          <w:rFonts w:eastAsia="Times New Roman" w:cs="Times New Roman"/>
          <w:caps w:val="0"/>
          <w:color w:val="1F497D" w:themeColor="text2"/>
          <w:sz w:val="28"/>
          <w:szCs w:val="28"/>
        </w:rPr>
        <w:t>ՊԵՏԱԿԱՆ</w:t>
      </w:r>
      <w:r w:rsidRPr="00495F52">
        <w:rPr>
          <w:rFonts w:eastAsia="Times New Roman" w:cs="Times New Roman"/>
          <w:caps w:val="0"/>
          <w:color w:val="1F497D" w:themeColor="text2"/>
          <w:sz w:val="28"/>
          <w:szCs w:val="28"/>
        </w:rPr>
        <w:t xml:space="preserve"> </w:t>
      </w:r>
      <w:r w:rsidRPr="00B7736F">
        <w:rPr>
          <w:rFonts w:eastAsia="Times New Roman" w:cs="Times New Roman"/>
          <w:caps w:val="0"/>
          <w:color w:val="1F497D" w:themeColor="text2"/>
          <w:sz w:val="28"/>
          <w:szCs w:val="28"/>
        </w:rPr>
        <w:t>ԲՅՈՒՋԵԻ</w:t>
      </w:r>
      <w:r w:rsidRPr="00495F52">
        <w:rPr>
          <w:rFonts w:eastAsia="Times New Roman" w:cs="Times New Roman"/>
          <w:caps w:val="0"/>
          <w:color w:val="1F497D" w:themeColor="text2"/>
          <w:sz w:val="28"/>
          <w:szCs w:val="28"/>
        </w:rPr>
        <w:t xml:space="preserve"> </w:t>
      </w:r>
      <w:r w:rsidRPr="00B7736F">
        <w:rPr>
          <w:rFonts w:eastAsia="Times New Roman" w:cs="Times New Roman"/>
          <w:caps w:val="0"/>
          <w:color w:val="1F497D" w:themeColor="text2"/>
          <w:sz w:val="28"/>
          <w:szCs w:val="28"/>
        </w:rPr>
        <w:t>ԴԵՖԻՑԻՏԸ</w:t>
      </w:r>
      <w:bookmarkEnd w:id="517"/>
      <w:bookmarkEnd w:id="518"/>
      <w:bookmarkEnd w:id="519"/>
      <w:bookmarkEnd w:id="520"/>
      <w:bookmarkEnd w:id="521"/>
      <w:bookmarkEnd w:id="522"/>
    </w:p>
    <w:p w14:paraId="774CCA05" w14:textId="77777777" w:rsidR="00B11AEF" w:rsidRDefault="00B11AEF" w:rsidP="00B11AEF">
      <w:pPr>
        <w:spacing w:line="276" w:lineRule="auto"/>
        <w:ind w:firstLine="426"/>
        <w:rPr>
          <w:rFonts w:cs="Sylfaen"/>
          <w:lang w:val="hy-AM"/>
        </w:rPr>
      </w:pPr>
      <w:r>
        <w:rPr>
          <w:rFonts w:cs="Sylfaen"/>
          <w:lang w:val="hy-AM"/>
        </w:rPr>
        <w:t>Պետական  բյուջեի ձևավորումը առաջիկա տարիներին շարունակելու  է ընթանալ բյուջե</w:t>
      </w:r>
      <w:r>
        <w:rPr>
          <w:rFonts w:cs="Sylfaen"/>
          <w:lang w:val="hy-AM"/>
        </w:rPr>
        <w:softHyphen/>
        <w:t>տա</w:t>
      </w:r>
      <w:r>
        <w:rPr>
          <w:rFonts w:cs="Sylfaen"/>
          <w:lang w:val="hy-AM"/>
        </w:rPr>
        <w:softHyphen/>
        <w:t>յին եկա</w:t>
      </w:r>
      <w:r>
        <w:rPr>
          <w:rFonts w:cs="Sylfaen"/>
          <w:lang w:val="hy-AM"/>
        </w:rPr>
        <w:softHyphen/>
        <w:t>մուտների նկատ</w:t>
      </w:r>
      <w:r>
        <w:rPr>
          <w:rFonts w:cs="Sylfaen"/>
          <w:lang w:val="hy-AM"/>
        </w:rPr>
        <w:softHyphen/>
        <w:t>մամբ ծախսերի գերազանցմամբ, ընդ որում՝ բյուջետային դեֆիցի</w:t>
      </w:r>
      <w:r>
        <w:rPr>
          <w:rFonts w:cs="Sylfaen"/>
          <w:lang w:val="hy-AM"/>
        </w:rPr>
        <w:softHyphen/>
        <w:t>տի ֆինան</w:t>
      </w:r>
      <w:r>
        <w:rPr>
          <w:rFonts w:cs="Sylfaen"/>
          <w:lang w:val="hy-AM"/>
        </w:rPr>
        <w:softHyphen/>
      </w:r>
      <w:r>
        <w:rPr>
          <w:rFonts w:cs="Sylfaen"/>
          <w:lang w:val="hy-AM"/>
        </w:rPr>
        <w:softHyphen/>
        <w:t>սա</w:t>
      </w:r>
      <w:r>
        <w:rPr>
          <w:rFonts w:cs="Sylfaen"/>
          <w:lang w:val="hy-AM"/>
        </w:rPr>
        <w:softHyphen/>
        <w:t>վորման համար միջոց</w:t>
      </w:r>
      <w:r>
        <w:rPr>
          <w:rFonts w:cs="Sylfaen"/>
          <w:lang w:val="hy-AM"/>
        </w:rPr>
        <w:softHyphen/>
        <w:t>ների ներգրավումն իրականացվելու է ինչպես ներքին, այն</w:t>
      </w:r>
      <w:r>
        <w:rPr>
          <w:rFonts w:cs="Sylfaen"/>
          <w:lang w:val="hy-AM"/>
        </w:rPr>
        <w:softHyphen/>
        <w:t>պես էլ արտա</w:t>
      </w:r>
      <w:r>
        <w:rPr>
          <w:rFonts w:cs="Sylfaen"/>
          <w:lang w:val="hy-AM"/>
        </w:rPr>
        <w:softHyphen/>
        <w:t>քին աղբյուր</w:t>
      </w:r>
      <w:r>
        <w:rPr>
          <w:rFonts w:cs="Sylfaen"/>
          <w:lang w:val="hy-AM"/>
        </w:rPr>
        <w:softHyphen/>
        <w:t xml:space="preserve">ներից: </w:t>
      </w:r>
    </w:p>
    <w:p w14:paraId="57EF1E6C" w14:textId="77777777" w:rsidR="00B11AEF" w:rsidRDefault="00B11AEF" w:rsidP="00B11AEF">
      <w:pPr>
        <w:tabs>
          <w:tab w:val="left" w:pos="2700"/>
        </w:tabs>
        <w:spacing w:line="276" w:lineRule="auto"/>
        <w:ind w:firstLine="426"/>
        <w:rPr>
          <w:rFonts w:cs="Sylfaen"/>
          <w:lang w:val="hy-AM"/>
        </w:rPr>
      </w:pPr>
      <w:r>
        <w:rPr>
          <w:rFonts w:cs="Sylfaen"/>
          <w:lang w:val="hy-AM"/>
        </w:rPr>
        <w:t>Ստորև ներկայացվում են ՀՀ 201</w:t>
      </w:r>
      <w:r w:rsidRPr="00C9437D">
        <w:rPr>
          <w:rFonts w:cs="Sylfaen"/>
          <w:lang w:val="hy-AM"/>
        </w:rPr>
        <w:t>8</w:t>
      </w:r>
      <w:r>
        <w:rPr>
          <w:rFonts w:cs="Sylfaen"/>
          <w:lang w:val="hy-AM"/>
        </w:rPr>
        <w:t>-2024 թվականների պետական բյուջեների դեֆիցիտի ֆինան</w:t>
      </w:r>
      <w:r>
        <w:rPr>
          <w:rFonts w:cs="Sylfaen"/>
          <w:lang w:val="hy-AM"/>
        </w:rPr>
        <w:softHyphen/>
        <w:t>սա</w:t>
      </w:r>
      <w:r>
        <w:rPr>
          <w:rFonts w:cs="Sylfaen"/>
          <w:lang w:val="hy-AM"/>
        </w:rPr>
        <w:softHyphen/>
      </w:r>
      <w:r>
        <w:rPr>
          <w:rFonts w:cs="Sylfaen"/>
          <w:lang w:val="hy-AM"/>
        </w:rPr>
        <w:softHyphen/>
        <w:t>վորման աղբյուրները (տես Աղյուսակ 4.1.1):</w:t>
      </w:r>
    </w:p>
    <w:p w14:paraId="0B6EF1C6" w14:textId="77777777" w:rsidR="00B11AEF" w:rsidRDefault="00B11AEF" w:rsidP="00B11AEF">
      <w:pPr>
        <w:keepNext/>
        <w:keepLines/>
        <w:ind w:firstLine="0"/>
        <w:rPr>
          <w:i/>
          <w:sz w:val="20"/>
          <w:szCs w:val="20"/>
          <w:lang w:val="hy-AM"/>
        </w:rPr>
      </w:pPr>
      <w:r>
        <w:rPr>
          <w:b/>
          <w:sz w:val="20"/>
          <w:szCs w:val="20"/>
          <w:lang w:val="hy-AM"/>
        </w:rPr>
        <w:t xml:space="preserve">Աղյուսակ 4.1.1. </w:t>
      </w:r>
      <w:r>
        <w:rPr>
          <w:i/>
          <w:sz w:val="20"/>
          <w:szCs w:val="20"/>
          <w:lang w:val="hy-AM"/>
        </w:rPr>
        <w:t>ՀՀ 201</w:t>
      </w:r>
      <w:r w:rsidRPr="00C9437D">
        <w:rPr>
          <w:i/>
          <w:sz w:val="20"/>
          <w:szCs w:val="20"/>
          <w:lang w:val="hy-AM"/>
        </w:rPr>
        <w:t>8</w:t>
      </w:r>
      <w:r>
        <w:rPr>
          <w:i/>
          <w:sz w:val="20"/>
          <w:szCs w:val="20"/>
          <w:lang w:val="hy-AM"/>
        </w:rPr>
        <w:t>-2024 թթ պետական բյուջեների դեֆիցիտի ֆինանսավորման աղբյուրները (մլն դրամ)</w:t>
      </w:r>
    </w:p>
    <w:tbl>
      <w:tblPr>
        <w:tblW w:w="10180" w:type="dxa"/>
        <w:tblInd w:w="-10" w:type="dxa"/>
        <w:tblLook w:val="04A0" w:firstRow="1" w:lastRow="0" w:firstColumn="1" w:lastColumn="0" w:noHBand="0" w:noVBand="1"/>
      </w:tblPr>
      <w:tblGrid>
        <w:gridCol w:w="1845"/>
        <w:gridCol w:w="1190"/>
        <w:gridCol w:w="1198"/>
        <w:gridCol w:w="1156"/>
        <w:gridCol w:w="1176"/>
        <w:gridCol w:w="1236"/>
        <w:gridCol w:w="1219"/>
        <w:gridCol w:w="1249"/>
      </w:tblGrid>
      <w:tr w:rsidR="00B11AEF" w14:paraId="697C83F5" w14:textId="77777777" w:rsidTr="00B11AEF">
        <w:trPr>
          <w:trHeight w:val="315"/>
        </w:trPr>
        <w:tc>
          <w:tcPr>
            <w:tcW w:w="1845" w:type="dxa"/>
            <w:vMerge w:val="restart"/>
            <w:tcBorders>
              <w:top w:val="single" w:sz="8" w:space="0" w:color="auto"/>
              <w:left w:val="single" w:sz="8" w:space="0" w:color="auto"/>
              <w:bottom w:val="single" w:sz="8" w:space="0" w:color="000000"/>
              <w:right w:val="single" w:sz="8" w:space="0" w:color="auto"/>
            </w:tcBorders>
            <w:shd w:val="clear" w:color="000000" w:fill="0070C0"/>
            <w:vAlign w:val="center"/>
          </w:tcPr>
          <w:p w14:paraId="3A3DF8EB" w14:textId="77777777" w:rsidR="00B11AEF" w:rsidRDefault="00B11AEF" w:rsidP="00B11AEF">
            <w:pPr>
              <w:spacing w:after="0" w:line="240" w:lineRule="auto"/>
              <w:ind w:firstLine="0"/>
              <w:rPr>
                <w:color w:val="FFFFFF"/>
              </w:rPr>
            </w:pPr>
            <w:r>
              <w:rPr>
                <w:color w:val="FFFFFF"/>
                <w:sz w:val="20"/>
                <w:szCs w:val="20"/>
                <w:lang w:val="hy-AM"/>
              </w:rPr>
              <w:t>Ցուցանիշներ</w:t>
            </w:r>
          </w:p>
        </w:tc>
        <w:tc>
          <w:tcPr>
            <w:tcW w:w="1190" w:type="dxa"/>
            <w:tcBorders>
              <w:top w:val="single" w:sz="8" w:space="0" w:color="auto"/>
              <w:left w:val="nil"/>
              <w:bottom w:val="single" w:sz="8" w:space="0" w:color="auto"/>
              <w:right w:val="single" w:sz="8" w:space="0" w:color="auto"/>
            </w:tcBorders>
            <w:shd w:val="clear" w:color="000000" w:fill="0070C0"/>
            <w:noWrap/>
            <w:vAlign w:val="center"/>
          </w:tcPr>
          <w:p w14:paraId="76832DDA" w14:textId="77777777" w:rsidR="00B11AEF" w:rsidRDefault="00B11AEF" w:rsidP="00B11AEF">
            <w:pPr>
              <w:spacing w:after="0" w:line="240" w:lineRule="auto"/>
              <w:ind w:firstLine="0"/>
              <w:jc w:val="center"/>
              <w:rPr>
                <w:color w:val="FFFFFF"/>
              </w:rPr>
            </w:pPr>
            <w:r>
              <w:rPr>
                <w:color w:val="FFFFFF"/>
                <w:sz w:val="20"/>
                <w:szCs w:val="20"/>
                <w:lang w:val="hy-AM"/>
              </w:rPr>
              <w:t>2018թ</w:t>
            </w:r>
          </w:p>
        </w:tc>
        <w:tc>
          <w:tcPr>
            <w:tcW w:w="1198" w:type="dxa"/>
            <w:tcBorders>
              <w:top w:val="single" w:sz="8" w:space="0" w:color="auto"/>
              <w:left w:val="nil"/>
              <w:bottom w:val="single" w:sz="8" w:space="0" w:color="auto"/>
              <w:right w:val="single" w:sz="8" w:space="0" w:color="auto"/>
            </w:tcBorders>
            <w:shd w:val="clear" w:color="000000" w:fill="0070C0"/>
            <w:noWrap/>
            <w:vAlign w:val="center"/>
          </w:tcPr>
          <w:p w14:paraId="21830646" w14:textId="77777777" w:rsidR="00B11AEF" w:rsidRDefault="00B11AEF" w:rsidP="00B11AEF">
            <w:pPr>
              <w:spacing w:after="0" w:line="240" w:lineRule="auto"/>
              <w:ind w:firstLine="0"/>
              <w:jc w:val="center"/>
              <w:rPr>
                <w:color w:val="FFFFFF"/>
                <w:sz w:val="20"/>
                <w:szCs w:val="20"/>
                <w:lang w:val="hy-AM"/>
              </w:rPr>
            </w:pPr>
            <w:r>
              <w:rPr>
                <w:color w:val="FFFFFF"/>
                <w:sz w:val="20"/>
                <w:szCs w:val="20"/>
                <w:lang w:val="hy-AM"/>
              </w:rPr>
              <w:t>2019թ</w:t>
            </w:r>
          </w:p>
        </w:tc>
        <w:tc>
          <w:tcPr>
            <w:tcW w:w="1153" w:type="dxa"/>
            <w:tcBorders>
              <w:top w:val="single" w:sz="8" w:space="0" w:color="auto"/>
              <w:left w:val="nil"/>
              <w:bottom w:val="single" w:sz="8" w:space="0" w:color="auto"/>
              <w:right w:val="single" w:sz="8" w:space="0" w:color="auto"/>
            </w:tcBorders>
            <w:shd w:val="clear" w:color="000000" w:fill="0070C0"/>
            <w:noWrap/>
            <w:vAlign w:val="center"/>
          </w:tcPr>
          <w:p w14:paraId="3A946B7E" w14:textId="77777777" w:rsidR="00B11AEF" w:rsidRDefault="00B11AEF" w:rsidP="00B11AEF">
            <w:pPr>
              <w:spacing w:after="0" w:line="240" w:lineRule="auto"/>
              <w:ind w:firstLine="0"/>
              <w:jc w:val="center"/>
              <w:rPr>
                <w:color w:val="FFFFFF"/>
                <w:sz w:val="20"/>
                <w:szCs w:val="20"/>
                <w:lang w:val="hy-AM"/>
              </w:rPr>
            </w:pPr>
            <w:r>
              <w:rPr>
                <w:color w:val="FFFFFF"/>
                <w:sz w:val="20"/>
                <w:szCs w:val="20"/>
                <w:lang w:val="hy-AM"/>
              </w:rPr>
              <w:t>2020թ</w:t>
            </w:r>
          </w:p>
        </w:tc>
        <w:tc>
          <w:tcPr>
            <w:tcW w:w="1176" w:type="dxa"/>
            <w:tcBorders>
              <w:top w:val="single" w:sz="8" w:space="0" w:color="auto"/>
              <w:left w:val="nil"/>
              <w:bottom w:val="single" w:sz="8" w:space="0" w:color="auto"/>
              <w:right w:val="single" w:sz="8" w:space="0" w:color="auto"/>
            </w:tcBorders>
            <w:shd w:val="clear" w:color="000000" w:fill="0070C0"/>
            <w:noWrap/>
            <w:vAlign w:val="center"/>
          </w:tcPr>
          <w:p w14:paraId="6AECA639" w14:textId="77777777" w:rsidR="00B11AEF" w:rsidRDefault="00B11AEF" w:rsidP="00B11AEF">
            <w:pPr>
              <w:spacing w:after="0" w:line="240" w:lineRule="auto"/>
              <w:ind w:firstLine="0"/>
              <w:jc w:val="center"/>
              <w:rPr>
                <w:color w:val="FFFFFF"/>
                <w:sz w:val="20"/>
                <w:szCs w:val="20"/>
                <w:lang w:val="hy-AM"/>
              </w:rPr>
            </w:pPr>
            <w:r>
              <w:rPr>
                <w:color w:val="FFFFFF"/>
                <w:sz w:val="20"/>
                <w:szCs w:val="20"/>
                <w:lang w:val="hy-AM"/>
              </w:rPr>
              <w:t>202</w:t>
            </w:r>
            <w:r>
              <w:rPr>
                <w:color w:val="FFFFFF"/>
                <w:sz w:val="20"/>
                <w:szCs w:val="20"/>
              </w:rPr>
              <w:t>1</w:t>
            </w:r>
            <w:r>
              <w:rPr>
                <w:color w:val="FFFFFF"/>
                <w:sz w:val="20"/>
                <w:szCs w:val="20"/>
                <w:lang w:val="hy-AM"/>
              </w:rPr>
              <w:t>թ</w:t>
            </w:r>
          </w:p>
        </w:tc>
        <w:tc>
          <w:tcPr>
            <w:tcW w:w="1236" w:type="dxa"/>
            <w:tcBorders>
              <w:top w:val="single" w:sz="8" w:space="0" w:color="auto"/>
              <w:left w:val="nil"/>
              <w:bottom w:val="single" w:sz="8" w:space="0" w:color="auto"/>
              <w:right w:val="single" w:sz="8" w:space="0" w:color="auto"/>
            </w:tcBorders>
            <w:shd w:val="clear" w:color="000000" w:fill="0070C0"/>
            <w:noWrap/>
            <w:vAlign w:val="center"/>
          </w:tcPr>
          <w:p w14:paraId="13B1D6AA" w14:textId="77777777" w:rsidR="00B11AEF" w:rsidRDefault="00B11AEF" w:rsidP="00B11AEF">
            <w:pPr>
              <w:spacing w:after="0" w:line="240" w:lineRule="auto"/>
              <w:ind w:firstLine="0"/>
              <w:jc w:val="center"/>
              <w:rPr>
                <w:color w:val="FFFFFF"/>
                <w:sz w:val="20"/>
                <w:szCs w:val="20"/>
                <w:lang w:val="hy-AM"/>
              </w:rPr>
            </w:pPr>
            <w:r>
              <w:rPr>
                <w:color w:val="FFFFFF"/>
                <w:sz w:val="20"/>
                <w:szCs w:val="20"/>
                <w:lang w:val="hy-AM"/>
              </w:rPr>
              <w:t>2022թ</w:t>
            </w:r>
          </w:p>
        </w:tc>
        <w:tc>
          <w:tcPr>
            <w:tcW w:w="1133" w:type="dxa"/>
            <w:tcBorders>
              <w:top w:val="single" w:sz="8" w:space="0" w:color="auto"/>
              <w:left w:val="nil"/>
              <w:bottom w:val="single" w:sz="8" w:space="0" w:color="auto"/>
              <w:right w:val="single" w:sz="8" w:space="0" w:color="auto"/>
            </w:tcBorders>
            <w:shd w:val="clear" w:color="000000" w:fill="0070C0"/>
            <w:noWrap/>
            <w:vAlign w:val="center"/>
          </w:tcPr>
          <w:p w14:paraId="2884F846" w14:textId="77777777" w:rsidR="00B11AEF" w:rsidRDefault="00B11AEF" w:rsidP="00B11AEF">
            <w:pPr>
              <w:spacing w:after="0" w:line="240" w:lineRule="auto"/>
              <w:ind w:firstLine="0"/>
              <w:jc w:val="center"/>
              <w:rPr>
                <w:color w:val="FFFFFF"/>
                <w:sz w:val="20"/>
                <w:szCs w:val="20"/>
                <w:lang w:val="hy-AM"/>
              </w:rPr>
            </w:pPr>
            <w:r>
              <w:rPr>
                <w:color w:val="FFFFFF"/>
                <w:sz w:val="20"/>
                <w:szCs w:val="20"/>
                <w:lang w:val="hy-AM"/>
              </w:rPr>
              <w:t>2023թ</w:t>
            </w:r>
          </w:p>
        </w:tc>
        <w:tc>
          <w:tcPr>
            <w:tcW w:w="1249" w:type="dxa"/>
            <w:tcBorders>
              <w:top w:val="single" w:sz="8" w:space="0" w:color="auto"/>
              <w:left w:val="nil"/>
              <w:bottom w:val="single" w:sz="8" w:space="0" w:color="auto"/>
              <w:right w:val="single" w:sz="8" w:space="0" w:color="auto"/>
            </w:tcBorders>
            <w:shd w:val="clear" w:color="000000" w:fill="0070C0"/>
            <w:noWrap/>
            <w:vAlign w:val="center"/>
          </w:tcPr>
          <w:p w14:paraId="103557F8" w14:textId="77777777" w:rsidR="00B11AEF" w:rsidRDefault="00B11AEF" w:rsidP="00B11AEF">
            <w:pPr>
              <w:spacing w:after="0" w:line="240" w:lineRule="auto"/>
              <w:ind w:firstLine="0"/>
              <w:jc w:val="center"/>
              <w:rPr>
                <w:color w:val="FFFFFF"/>
                <w:sz w:val="20"/>
                <w:szCs w:val="20"/>
                <w:lang w:val="hy-AM"/>
              </w:rPr>
            </w:pPr>
            <w:r>
              <w:rPr>
                <w:color w:val="FFFFFF"/>
                <w:sz w:val="20"/>
                <w:szCs w:val="20"/>
                <w:lang w:val="hy-AM"/>
              </w:rPr>
              <w:t>2024թ</w:t>
            </w:r>
          </w:p>
        </w:tc>
      </w:tr>
      <w:tr w:rsidR="00B11AEF" w14:paraId="701685F2" w14:textId="77777777" w:rsidTr="00B11AEF">
        <w:trPr>
          <w:trHeight w:val="315"/>
        </w:trPr>
        <w:tc>
          <w:tcPr>
            <w:tcW w:w="1845" w:type="dxa"/>
            <w:vMerge/>
            <w:tcBorders>
              <w:top w:val="single" w:sz="8" w:space="0" w:color="auto"/>
              <w:left w:val="single" w:sz="8" w:space="0" w:color="auto"/>
              <w:bottom w:val="single" w:sz="8" w:space="0" w:color="000000"/>
              <w:right w:val="single" w:sz="8" w:space="0" w:color="auto"/>
            </w:tcBorders>
            <w:vAlign w:val="center"/>
          </w:tcPr>
          <w:p w14:paraId="68DF370D" w14:textId="77777777" w:rsidR="00B11AEF" w:rsidRDefault="00B11AEF" w:rsidP="00B11AEF">
            <w:pPr>
              <w:spacing w:after="0" w:line="240" w:lineRule="auto"/>
              <w:ind w:firstLine="0"/>
              <w:rPr>
                <w:color w:val="FFFFFF"/>
              </w:rPr>
            </w:pPr>
          </w:p>
        </w:tc>
        <w:tc>
          <w:tcPr>
            <w:tcW w:w="3541" w:type="dxa"/>
            <w:gridSpan w:val="3"/>
            <w:tcBorders>
              <w:top w:val="single" w:sz="8" w:space="0" w:color="auto"/>
              <w:left w:val="nil"/>
              <w:bottom w:val="single" w:sz="8" w:space="0" w:color="auto"/>
              <w:right w:val="single" w:sz="8" w:space="0" w:color="000000"/>
            </w:tcBorders>
            <w:shd w:val="clear" w:color="000000" w:fill="0070C0"/>
            <w:noWrap/>
            <w:vAlign w:val="center"/>
          </w:tcPr>
          <w:p w14:paraId="564FE0E3" w14:textId="77777777" w:rsidR="00B11AEF" w:rsidRDefault="00B11AEF" w:rsidP="00B11AEF">
            <w:pPr>
              <w:spacing w:after="0" w:line="240" w:lineRule="auto"/>
              <w:ind w:firstLine="0"/>
              <w:jc w:val="center"/>
              <w:rPr>
                <w:color w:val="FFFFFF"/>
              </w:rPr>
            </w:pPr>
            <w:r>
              <w:rPr>
                <w:color w:val="FFFFFF"/>
                <w:sz w:val="20"/>
                <w:szCs w:val="20"/>
                <w:lang w:val="hy-AM"/>
              </w:rPr>
              <w:t>Փաստ</w:t>
            </w:r>
          </w:p>
        </w:tc>
        <w:tc>
          <w:tcPr>
            <w:tcW w:w="1176" w:type="dxa"/>
            <w:tcBorders>
              <w:top w:val="nil"/>
              <w:left w:val="nil"/>
              <w:bottom w:val="single" w:sz="8" w:space="0" w:color="auto"/>
              <w:right w:val="single" w:sz="8" w:space="0" w:color="auto"/>
            </w:tcBorders>
            <w:shd w:val="clear" w:color="000000" w:fill="0070C0"/>
            <w:noWrap/>
            <w:vAlign w:val="center"/>
          </w:tcPr>
          <w:p w14:paraId="51734545" w14:textId="77777777" w:rsidR="00B11AEF" w:rsidRDefault="00B11AEF" w:rsidP="00B11AEF">
            <w:pPr>
              <w:spacing w:after="0" w:line="240" w:lineRule="auto"/>
              <w:ind w:firstLine="0"/>
              <w:jc w:val="center"/>
              <w:rPr>
                <w:color w:val="FFFFFF"/>
              </w:rPr>
            </w:pPr>
            <w:r>
              <w:rPr>
                <w:color w:val="FFFFFF"/>
                <w:sz w:val="20"/>
                <w:szCs w:val="20"/>
                <w:lang w:val="hy-AM"/>
              </w:rPr>
              <w:t>Բյուջե</w:t>
            </w:r>
          </w:p>
        </w:tc>
        <w:tc>
          <w:tcPr>
            <w:tcW w:w="3618" w:type="dxa"/>
            <w:gridSpan w:val="3"/>
            <w:tcBorders>
              <w:top w:val="single" w:sz="8" w:space="0" w:color="auto"/>
              <w:left w:val="nil"/>
              <w:bottom w:val="single" w:sz="8" w:space="0" w:color="auto"/>
              <w:right w:val="single" w:sz="8" w:space="0" w:color="000000"/>
            </w:tcBorders>
            <w:shd w:val="clear" w:color="000000" w:fill="0070C0"/>
            <w:noWrap/>
            <w:vAlign w:val="center"/>
          </w:tcPr>
          <w:p w14:paraId="4E355BFB" w14:textId="77777777" w:rsidR="00B11AEF" w:rsidRDefault="00B11AEF" w:rsidP="00B11AEF">
            <w:pPr>
              <w:spacing w:after="0" w:line="240" w:lineRule="auto"/>
              <w:ind w:firstLine="0"/>
              <w:jc w:val="center"/>
              <w:rPr>
                <w:color w:val="FFFFFF"/>
              </w:rPr>
            </w:pPr>
            <w:r>
              <w:rPr>
                <w:color w:val="FFFFFF"/>
                <w:sz w:val="20"/>
                <w:szCs w:val="20"/>
              </w:rPr>
              <w:t>Կանխատեսում</w:t>
            </w:r>
          </w:p>
        </w:tc>
      </w:tr>
      <w:tr w:rsidR="00B11AEF" w14:paraId="133FD689" w14:textId="77777777" w:rsidTr="00B11AEF">
        <w:trPr>
          <w:trHeight w:val="1338"/>
        </w:trPr>
        <w:tc>
          <w:tcPr>
            <w:tcW w:w="1845" w:type="dxa"/>
            <w:tcBorders>
              <w:top w:val="nil"/>
              <w:left w:val="single" w:sz="8" w:space="0" w:color="auto"/>
              <w:bottom w:val="single" w:sz="8" w:space="0" w:color="auto"/>
              <w:right w:val="single" w:sz="8" w:space="0" w:color="auto"/>
            </w:tcBorders>
            <w:shd w:val="clear" w:color="000000" w:fill="C6D9F1"/>
            <w:vAlign w:val="center"/>
          </w:tcPr>
          <w:p w14:paraId="2B1D85FC" w14:textId="77777777" w:rsidR="00B11AEF" w:rsidRDefault="00B11AEF" w:rsidP="00B11AEF">
            <w:pPr>
              <w:spacing w:after="0" w:line="240" w:lineRule="auto"/>
              <w:ind w:firstLine="0"/>
              <w:jc w:val="left"/>
              <w:rPr>
                <w:color w:val="000000"/>
              </w:rPr>
            </w:pPr>
            <w:r>
              <w:rPr>
                <w:rFonts w:cs="Calibri"/>
                <w:color w:val="000000"/>
                <w:sz w:val="20"/>
                <w:szCs w:val="20"/>
                <w:lang w:val="hy-AM"/>
              </w:rPr>
              <w:t>Պետական  բյուջեի  դեֆիցիտի ֆինանսավորման աղբյուրները</w:t>
            </w:r>
          </w:p>
        </w:tc>
        <w:tc>
          <w:tcPr>
            <w:tcW w:w="1190" w:type="dxa"/>
            <w:tcBorders>
              <w:top w:val="nil"/>
              <w:left w:val="nil"/>
              <w:bottom w:val="single" w:sz="8" w:space="0" w:color="auto"/>
              <w:right w:val="single" w:sz="8" w:space="0" w:color="auto"/>
            </w:tcBorders>
            <w:shd w:val="clear" w:color="000000" w:fill="C6D9F1"/>
            <w:noWrap/>
            <w:vAlign w:val="center"/>
          </w:tcPr>
          <w:p w14:paraId="26A9CBC5"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105,392.4</w:t>
            </w:r>
          </w:p>
        </w:tc>
        <w:tc>
          <w:tcPr>
            <w:tcW w:w="1198" w:type="dxa"/>
            <w:tcBorders>
              <w:top w:val="nil"/>
              <w:left w:val="nil"/>
              <w:bottom w:val="single" w:sz="8" w:space="0" w:color="auto"/>
              <w:right w:val="single" w:sz="8" w:space="0" w:color="auto"/>
            </w:tcBorders>
            <w:shd w:val="clear" w:color="000000" w:fill="C6D9F1"/>
            <w:noWrap/>
            <w:vAlign w:val="center"/>
          </w:tcPr>
          <w:p w14:paraId="5AFB1962"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63,947.9</w:t>
            </w:r>
          </w:p>
        </w:tc>
        <w:tc>
          <w:tcPr>
            <w:tcW w:w="1153" w:type="dxa"/>
            <w:tcBorders>
              <w:top w:val="nil"/>
              <w:left w:val="nil"/>
              <w:bottom w:val="single" w:sz="8" w:space="0" w:color="auto"/>
              <w:right w:val="single" w:sz="8" w:space="0" w:color="auto"/>
            </w:tcBorders>
            <w:shd w:val="clear" w:color="000000" w:fill="C6D9F1"/>
            <w:noWrap/>
            <w:vAlign w:val="center"/>
          </w:tcPr>
          <w:p w14:paraId="6E09B61E"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333,991.8</w:t>
            </w:r>
          </w:p>
        </w:tc>
        <w:tc>
          <w:tcPr>
            <w:tcW w:w="1176" w:type="dxa"/>
            <w:tcBorders>
              <w:top w:val="nil"/>
              <w:left w:val="nil"/>
              <w:bottom w:val="single" w:sz="8" w:space="0" w:color="auto"/>
              <w:right w:val="single" w:sz="8" w:space="0" w:color="auto"/>
            </w:tcBorders>
            <w:shd w:val="clear" w:color="000000" w:fill="C6D9F1"/>
            <w:noWrap/>
            <w:vAlign w:val="center"/>
          </w:tcPr>
          <w:p w14:paraId="059C7DDC"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341,414.6</w:t>
            </w:r>
          </w:p>
        </w:tc>
        <w:tc>
          <w:tcPr>
            <w:tcW w:w="1236" w:type="dxa"/>
            <w:tcBorders>
              <w:top w:val="nil"/>
              <w:left w:val="nil"/>
              <w:bottom w:val="single" w:sz="8" w:space="0" w:color="auto"/>
              <w:right w:val="single" w:sz="8" w:space="0" w:color="auto"/>
            </w:tcBorders>
            <w:shd w:val="clear" w:color="000000" w:fill="C6D9F1"/>
            <w:noWrap/>
            <w:vAlign w:val="center"/>
          </w:tcPr>
          <w:p w14:paraId="5F951632"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181,699.1</w:t>
            </w:r>
          </w:p>
        </w:tc>
        <w:tc>
          <w:tcPr>
            <w:tcW w:w="1133" w:type="dxa"/>
            <w:tcBorders>
              <w:top w:val="nil"/>
              <w:left w:val="nil"/>
              <w:bottom w:val="single" w:sz="8" w:space="0" w:color="auto"/>
              <w:right w:val="single" w:sz="8" w:space="0" w:color="auto"/>
            </w:tcBorders>
            <w:shd w:val="clear" w:color="000000" w:fill="C6D9F1"/>
            <w:noWrap/>
            <w:vAlign w:val="center"/>
          </w:tcPr>
          <w:p w14:paraId="75815B9F"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168.804.3</w:t>
            </w:r>
          </w:p>
        </w:tc>
        <w:tc>
          <w:tcPr>
            <w:tcW w:w="1249" w:type="dxa"/>
            <w:tcBorders>
              <w:top w:val="nil"/>
              <w:left w:val="nil"/>
              <w:bottom w:val="single" w:sz="8" w:space="0" w:color="auto"/>
              <w:right w:val="single" w:sz="8" w:space="0" w:color="auto"/>
            </w:tcBorders>
            <w:shd w:val="clear" w:color="000000" w:fill="C6D9F1"/>
            <w:noWrap/>
            <w:vAlign w:val="center"/>
          </w:tcPr>
          <w:p w14:paraId="7EA4CC55"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163,723.6</w:t>
            </w:r>
          </w:p>
        </w:tc>
      </w:tr>
      <w:tr w:rsidR="00B11AEF" w14:paraId="3044384E" w14:textId="77777777" w:rsidTr="00B11AEF">
        <w:trPr>
          <w:trHeight w:val="315"/>
        </w:trPr>
        <w:tc>
          <w:tcPr>
            <w:tcW w:w="1845" w:type="dxa"/>
            <w:tcBorders>
              <w:top w:val="nil"/>
              <w:left w:val="single" w:sz="8" w:space="0" w:color="auto"/>
              <w:bottom w:val="single" w:sz="8" w:space="0" w:color="auto"/>
              <w:right w:val="single" w:sz="8" w:space="0" w:color="auto"/>
            </w:tcBorders>
            <w:shd w:val="clear" w:color="auto" w:fill="auto"/>
            <w:vAlign w:val="center"/>
          </w:tcPr>
          <w:p w14:paraId="131610C7" w14:textId="77777777" w:rsidR="00B11AEF" w:rsidRDefault="00B11AEF" w:rsidP="00B11AEF">
            <w:pPr>
              <w:spacing w:after="0" w:line="240" w:lineRule="auto"/>
              <w:ind w:firstLine="0"/>
              <w:jc w:val="left"/>
              <w:rPr>
                <w:color w:val="000000"/>
              </w:rPr>
            </w:pPr>
            <w:r>
              <w:rPr>
                <w:rFonts w:cs="Calibri"/>
                <w:color w:val="000000"/>
                <w:sz w:val="20"/>
                <w:szCs w:val="20"/>
              </w:rPr>
              <w:t>Ա.Ներքին աղբյուրներ</w:t>
            </w:r>
          </w:p>
        </w:tc>
        <w:tc>
          <w:tcPr>
            <w:tcW w:w="1190" w:type="dxa"/>
            <w:tcBorders>
              <w:top w:val="nil"/>
              <w:left w:val="nil"/>
              <w:bottom w:val="single" w:sz="8" w:space="0" w:color="auto"/>
              <w:right w:val="single" w:sz="8" w:space="0" w:color="auto"/>
            </w:tcBorders>
            <w:shd w:val="clear" w:color="auto" w:fill="auto"/>
            <w:noWrap/>
            <w:vAlign w:val="center"/>
          </w:tcPr>
          <w:p w14:paraId="508E4EF3"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69,364.0</w:t>
            </w:r>
          </w:p>
        </w:tc>
        <w:tc>
          <w:tcPr>
            <w:tcW w:w="1198" w:type="dxa"/>
            <w:tcBorders>
              <w:top w:val="nil"/>
              <w:left w:val="nil"/>
              <w:bottom w:val="single" w:sz="8" w:space="0" w:color="auto"/>
              <w:right w:val="single" w:sz="8" w:space="0" w:color="auto"/>
            </w:tcBorders>
            <w:shd w:val="clear" w:color="auto" w:fill="auto"/>
            <w:noWrap/>
            <w:vAlign w:val="center"/>
          </w:tcPr>
          <w:p w14:paraId="7E77A401"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(13,317.2)</w:t>
            </w:r>
          </w:p>
        </w:tc>
        <w:tc>
          <w:tcPr>
            <w:tcW w:w="1153" w:type="dxa"/>
            <w:tcBorders>
              <w:top w:val="nil"/>
              <w:left w:val="nil"/>
              <w:bottom w:val="single" w:sz="8" w:space="0" w:color="auto"/>
              <w:right w:val="single" w:sz="8" w:space="0" w:color="auto"/>
            </w:tcBorders>
            <w:shd w:val="clear" w:color="auto" w:fill="auto"/>
            <w:noWrap/>
            <w:vAlign w:val="center"/>
          </w:tcPr>
          <w:p w14:paraId="4EDBB180"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359,379.0</w:t>
            </w:r>
          </w:p>
        </w:tc>
        <w:tc>
          <w:tcPr>
            <w:tcW w:w="1176" w:type="dxa"/>
            <w:tcBorders>
              <w:top w:val="nil"/>
              <w:left w:val="nil"/>
              <w:bottom w:val="single" w:sz="8" w:space="0" w:color="auto"/>
              <w:right w:val="single" w:sz="8" w:space="0" w:color="auto"/>
            </w:tcBorders>
            <w:shd w:val="clear" w:color="auto" w:fill="auto"/>
            <w:noWrap/>
            <w:vAlign w:val="center"/>
          </w:tcPr>
          <w:p w14:paraId="5D354E25"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138,686.6</w:t>
            </w:r>
          </w:p>
        </w:tc>
        <w:tc>
          <w:tcPr>
            <w:tcW w:w="1236" w:type="dxa"/>
            <w:tcBorders>
              <w:top w:val="nil"/>
              <w:left w:val="nil"/>
              <w:bottom w:val="single" w:sz="8" w:space="0" w:color="auto"/>
              <w:right w:val="single" w:sz="8" w:space="0" w:color="auto"/>
            </w:tcBorders>
            <w:shd w:val="clear" w:color="auto" w:fill="auto"/>
            <w:noWrap/>
            <w:vAlign w:val="center"/>
          </w:tcPr>
          <w:p w14:paraId="6103C8B1" w14:textId="3A3F1E78" w:rsidR="00B11AEF" w:rsidRPr="00BA0D1F" w:rsidRDefault="00B11AEF" w:rsidP="0045703F">
            <w:pPr>
              <w:spacing w:after="0" w:line="240" w:lineRule="auto"/>
              <w:ind w:firstLine="0"/>
              <w:jc w:val="center"/>
              <w:rPr>
                <w:rFonts w:cs="Calibri"/>
                <w:color w:val="000000"/>
                <w:sz w:val="20"/>
                <w:szCs w:val="20"/>
                <w:lang w:val="hy-AM"/>
              </w:rPr>
            </w:pPr>
            <w:r>
              <w:rPr>
                <w:rFonts w:cs="Calibri"/>
                <w:color w:val="000000"/>
                <w:sz w:val="20"/>
                <w:szCs w:val="20"/>
              </w:rPr>
              <w:t>2</w:t>
            </w:r>
            <w:r>
              <w:rPr>
                <w:rFonts w:cs="Calibri"/>
                <w:color w:val="000000"/>
                <w:sz w:val="20"/>
                <w:szCs w:val="20"/>
                <w:lang w:val="hy-AM"/>
              </w:rPr>
              <w:t>98</w:t>
            </w:r>
            <w:r>
              <w:rPr>
                <w:rFonts w:ascii="Cambria Math" w:hAnsi="Cambria Math" w:cs="Calibri"/>
                <w:color w:val="000000"/>
                <w:sz w:val="20"/>
                <w:szCs w:val="20"/>
                <w:lang w:val="hy-AM"/>
              </w:rPr>
              <w:t>․87</w:t>
            </w:r>
            <w:r>
              <w:rPr>
                <w:rFonts w:cs="Calibri"/>
                <w:color w:val="000000"/>
                <w:sz w:val="20"/>
                <w:szCs w:val="20"/>
              </w:rPr>
              <w:t>8.</w:t>
            </w:r>
            <w:r w:rsidR="0045703F">
              <w:rPr>
                <w:rFonts w:cs="Calibri"/>
                <w:color w:val="000000"/>
                <w:sz w:val="20"/>
                <w:szCs w:val="20"/>
              </w:rPr>
              <w:t>9</w:t>
            </w:r>
          </w:p>
        </w:tc>
        <w:tc>
          <w:tcPr>
            <w:tcW w:w="1133" w:type="dxa"/>
            <w:tcBorders>
              <w:top w:val="nil"/>
              <w:left w:val="nil"/>
              <w:bottom w:val="single" w:sz="8" w:space="0" w:color="auto"/>
              <w:right w:val="single" w:sz="8" w:space="0" w:color="auto"/>
            </w:tcBorders>
            <w:shd w:val="clear" w:color="auto" w:fill="auto"/>
            <w:noWrap/>
            <w:vAlign w:val="center"/>
          </w:tcPr>
          <w:p w14:paraId="693713AD" w14:textId="77777777" w:rsidR="00B11AEF" w:rsidRPr="00BA0D1F" w:rsidRDefault="00B11AEF" w:rsidP="00B11AEF">
            <w:pPr>
              <w:spacing w:after="0" w:line="240" w:lineRule="auto"/>
              <w:ind w:firstLine="0"/>
              <w:jc w:val="center"/>
              <w:rPr>
                <w:rFonts w:cs="Calibri"/>
                <w:color w:val="000000"/>
                <w:sz w:val="20"/>
                <w:szCs w:val="20"/>
                <w:lang w:val="hy-AM"/>
              </w:rPr>
            </w:pPr>
            <w:r>
              <w:rPr>
                <w:rFonts w:cs="Calibri"/>
                <w:color w:val="000000"/>
                <w:sz w:val="20"/>
                <w:szCs w:val="20"/>
              </w:rPr>
              <w:t>2</w:t>
            </w:r>
            <w:r>
              <w:rPr>
                <w:rFonts w:cs="Calibri"/>
                <w:color w:val="000000"/>
                <w:sz w:val="20"/>
                <w:szCs w:val="20"/>
                <w:lang w:val="hy-AM"/>
              </w:rPr>
              <w:t>8</w:t>
            </w:r>
            <w:r>
              <w:rPr>
                <w:rFonts w:cs="Calibri"/>
                <w:color w:val="000000"/>
                <w:sz w:val="20"/>
                <w:szCs w:val="20"/>
              </w:rPr>
              <w:t>4,</w:t>
            </w:r>
            <w:r>
              <w:rPr>
                <w:rFonts w:cs="Calibri"/>
                <w:color w:val="000000"/>
                <w:sz w:val="20"/>
                <w:szCs w:val="20"/>
                <w:lang w:val="hy-AM"/>
              </w:rPr>
              <w:t>811</w:t>
            </w:r>
            <w:r>
              <w:rPr>
                <w:rFonts w:cs="Calibri"/>
                <w:color w:val="000000"/>
                <w:sz w:val="20"/>
                <w:szCs w:val="20"/>
              </w:rPr>
              <w:t>.</w:t>
            </w:r>
            <w:r>
              <w:rPr>
                <w:rFonts w:cs="Calibri"/>
                <w:color w:val="000000"/>
                <w:sz w:val="20"/>
                <w:szCs w:val="20"/>
                <w:lang w:val="hy-AM"/>
              </w:rPr>
              <w:t>9</w:t>
            </w:r>
          </w:p>
        </w:tc>
        <w:tc>
          <w:tcPr>
            <w:tcW w:w="1249" w:type="dxa"/>
            <w:tcBorders>
              <w:top w:val="nil"/>
              <w:left w:val="nil"/>
              <w:bottom w:val="single" w:sz="8" w:space="0" w:color="auto"/>
              <w:right w:val="single" w:sz="8" w:space="0" w:color="auto"/>
            </w:tcBorders>
            <w:shd w:val="clear" w:color="auto" w:fill="auto"/>
            <w:noWrap/>
            <w:vAlign w:val="center"/>
          </w:tcPr>
          <w:p w14:paraId="00FACAD7" w14:textId="626E7E45" w:rsidR="00B11AEF" w:rsidRPr="0045703F" w:rsidRDefault="00B11AEF" w:rsidP="0045703F">
            <w:pPr>
              <w:spacing w:after="0" w:line="240" w:lineRule="auto"/>
              <w:ind w:firstLine="0"/>
              <w:jc w:val="center"/>
              <w:rPr>
                <w:rFonts w:cs="Calibri"/>
                <w:color w:val="000000"/>
                <w:sz w:val="20"/>
                <w:szCs w:val="20"/>
              </w:rPr>
            </w:pPr>
            <w:r>
              <w:rPr>
                <w:rFonts w:cs="Calibri"/>
                <w:color w:val="000000"/>
                <w:sz w:val="20"/>
                <w:szCs w:val="20"/>
                <w:lang w:val="hy-AM"/>
              </w:rPr>
              <w:t>296</w:t>
            </w:r>
            <w:r>
              <w:rPr>
                <w:rFonts w:cs="Calibri"/>
                <w:color w:val="000000"/>
                <w:sz w:val="20"/>
                <w:szCs w:val="20"/>
              </w:rPr>
              <w:t>,</w:t>
            </w:r>
            <w:r>
              <w:rPr>
                <w:rFonts w:cs="Calibri"/>
                <w:color w:val="000000"/>
                <w:sz w:val="20"/>
                <w:szCs w:val="20"/>
                <w:lang w:val="hy-AM"/>
              </w:rPr>
              <w:t>04</w:t>
            </w:r>
            <w:r>
              <w:rPr>
                <w:rFonts w:cs="Calibri"/>
                <w:color w:val="000000"/>
                <w:sz w:val="20"/>
                <w:szCs w:val="20"/>
              </w:rPr>
              <w:t>8.</w:t>
            </w:r>
            <w:r w:rsidR="0045703F">
              <w:rPr>
                <w:rFonts w:cs="Calibri"/>
                <w:color w:val="000000"/>
                <w:sz w:val="20"/>
                <w:szCs w:val="20"/>
              </w:rPr>
              <w:t>7</w:t>
            </w:r>
          </w:p>
        </w:tc>
      </w:tr>
      <w:tr w:rsidR="00B11AEF" w14:paraId="3DEA3E8E" w14:textId="77777777" w:rsidTr="00B11AEF">
        <w:trPr>
          <w:trHeight w:val="315"/>
        </w:trPr>
        <w:tc>
          <w:tcPr>
            <w:tcW w:w="1845" w:type="dxa"/>
            <w:tcBorders>
              <w:top w:val="nil"/>
              <w:left w:val="single" w:sz="8" w:space="0" w:color="auto"/>
              <w:bottom w:val="single" w:sz="8" w:space="0" w:color="auto"/>
              <w:right w:val="single" w:sz="8" w:space="0" w:color="auto"/>
            </w:tcBorders>
            <w:shd w:val="clear" w:color="000000" w:fill="DBE5F1"/>
            <w:vAlign w:val="center"/>
          </w:tcPr>
          <w:p w14:paraId="4430C388" w14:textId="77777777" w:rsidR="00B11AEF" w:rsidRDefault="00B11AEF" w:rsidP="00B11AEF">
            <w:pPr>
              <w:tabs>
                <w:tab w:val="left" w:pos="337"/>
              </w:tabs>
              <w:spacing w:after="0" w:line="240" w:lineRule="auto"/>
              <w:ind w:firstLine="0"/>
              <w:jc w:val="left"/>
              <w:rPr>
                <w:color w:val="000000"/>
              </w:rPr>
            </w:pPr>
            <w:r>
              <w:rPr>
                <w:rFonts w:cs="Calibri"/>
                <w:color w:val="000000"/>
                <w:sz w:val="20"/>
                <w:szCs w:val="20"/>
              </w:rPr>
              <w:t>Բ. Արտաքին աղբյուրներ</w:t>
            </w:r>
          </w:p>
        </w:tc>
        <w:tc>
          <w:tcPr>
            <w:tcW w:w="1190" w:type="dxa"/>
            <w:tcBorders>
              <w:top w:val="nil"/>
              <w:left w:val="nil"/>
              <w:bottom w:val="single" w:sz="8" w:space="0" w:color="auto"/>
              <w:right w:val="single" w:sz="8" w:space="0" w:color="auto"/>
            </w:tcBorders>
            <w:shd w:val="clear" w:color="000000" w:fill="DBE5F1"/>
            <w:noWrap/>
            <w:vAlign w:val="center"/>
          </w:tcPr>
          <w:p w14:paraId="1DCA0A6B"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36,028.4</w:t>
            </w:r>
          </w:p>
        </w:tc>
        <w:tc>
          <w:tcPr>
            <w:tcW w:w="1198" w:type="dxa"/>
            <w:tcBorders>
              <w:top w:val="nil"/>
              <w:left w:val="nil"/>
              <w:bottom w:val="single" w:sz="8" w:space="0" w:color="auto"/>
              <w:right w:val="single" w:sz="8" w:space="0" w:color="auto"/>
            </w:tcBorders>
            <w:shd w:val="clear" w:color="000000" w:fill="DBE5F1"/>
            <w:noWrap/>
            <w:vAlign w:val="center"/>
          </w:tcPr>
          <w:p w14:paraId="6AFE6A1C"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77,265.2</w:t>
            </w:r>
          </w:p>
        </w:tc>
        <w:tc>
          <w:tcPr>
            <w:tcW w:w="1153" w:type="dxa"/>
            <w:tcBorders>
              <w:top w:val="nil"/>
              <w:left w:val="nil"/>
              <w:bottom w:val="single" w:sz="8" w:space="0" w:color="auto"/>
              <w:right w:val="single" w:sz="8" w:space="0" w:color="auto"/>
            </w:tcBorders>
            <w:shd w:val="clear" w:color="000000" w:fill="DBE5F1"/>
            <w:noWrap/>
            <w:vAlign w:val="center"/>
          </w:tcPr>
          <w:p w14:paraId="3D3999B3"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(25,387.2)</w:t>
            </w:r>
          </w:p>
        </w:tc>
        <w:tc>
          <w:tcPr>
            <w:tcW w:w="1176" w:type="dxa"/>
            <w:tcBorders>
              <w:top w:val="nil"/>
              <w:left w:val="nil"/>
              <w:bottom w:val="single" w:sz="8" w:space="0" w:color="auto"/>
              <w:right w:val="single" w:sz="8" w:space="0" w:color="auto"/>
            </w:tcBorders>
            <w:shd w:val="clear" w:color="000000" w:fill="DBE5F1"/>
            <w:noWrap/>
            <w:vAlign w:val="center"/>
          </w:tcPr>
          <w:p w14:paraId="65CA46A9"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202,728.0</w:t>
            </w:r>
          </w:p>
        </w:tc>
        <w:tc>
          <w:tcPr>
            <w:tcW w:w="1236" w:type="dxa"/>
            <w:tcBorders>
              <w:top w:val="nil"/>
              <w:left w:val="nil"/>
              <w:bottom w:val="single" w:sz="8" w:space="0" w:color="auto"/>
              <w:right w:val="single" w:sz="8" w:space="0" w:color="auto"/>
            </w:tcBorders>
            <w:shd w:val="clear" w:color="000000" w:fill="DBE5F1"/>
            <w:noWrap/>
            <w:vAlign w:val="center"/>
          </w:tcPr>
          <w:p w14:paraId="1C05AB0C"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(1</w:t>
            </w:r>
            <w:r>
              <w:rPr>
                <w:rFonts w:cs="Calibri"/>
                <w:color w:val="000000"/>
                <w:sz w:val="20"/>
                <w:szCs w:val="20"/>
                <w:lang w:val="hy-AM"/>
              </w:rPr>
              <w:t>1</w:t>
            </w:r>
            <w:r>
              <w:rPr>
                <w:rFonts w:cs="Calibri"/>
                <w:color w:val="000000"/>
                <w:sz w:val="20"/>
                <w:szCs w:val="20"/>
              </w:rPr>
              <w:t>7,17</w:t>
            </w:r>
            <w:r>
              <w:rPr>
                <w:rFonts w:cs="Calibri"/>
                <w:color w:val="000000"/>
                <w:sz w:val="20"/>
                <w:szCs w:val="20"/>
                <w:lang w:val="hy-AM"/>
              </w:rPr>
              <w:t>9</w:t>
            </w:r>
            <w:r>
              <w:rPr>
                <w:rFonts w:cs="Calibri"/>
                <w:color w:val="000000"/>
                <w:sz w:val="20"/>
                <w:szCs w:val="20"/>
              </w:rPr>
              <w:t>.</w:t>
            </w:r>
            <w:r>
              <w:rPr>
                <w:rFonts w:cs="Calibri"/>
                <w:color w:val="000000"/>
                <w:sz w:val="20"/>
                <w:szCs w:val="20"/>
                <w:lang w:val="hy-AM"/>
              </w:rPr>
              <w:t>8</w:t>
            </w:r>
            <w:r>
              <w:rPr>
                <w:rFonts w:cs="Calibri"/>
                <w:color w:val="000000"/>
                <w:sz w:val="20"/>
                <w:szCs w:val="20"/>
              </w:rPr>
              <w:t>)</w:t>
            </w:r>
          </w:p>
        </w:tc>
        <w:tc>
          <w:tcPr>
            <w:tcW w:w="1133" w:type="dxa"/>
            <w:tcBorders>
              <w:top w:val="nil"/>
              <w:left w:val="nil"/>
              <w:bottom w:val="single" w:sz="8" w:space="0" w:color="auto"/>
              <w:right w:val="single" w:sz="8" w:space="0" w:color="auto"/>
            </w:tcBorders>
            <w:shd w:val="clear" w:color="000000" w:fill="DBE5F1"/>
            <w:noWrap/>
            <w:vAlign w:val="center"/>
          </w:tcPr>
          <w:p w14:paraId="207FA32F" w14:textId="77777777" w:rsidR="00B11AEF" w:rsidRDefault="00B11AEF" w:rsidP="00B11AEF">
            <w:pPr>
              <w:spacing w:after="0" w:line="240" w:lineRule="auto"/>
              <w:ind w:firstLine="0"/>
              <w:jc w:val="center"/>
              <w:rPr>
                <w:rFonts w:cs="Calibri"/>
                <w:color w:val="000000"/>
                <w:sz w:val="20"/>
                <w:szCs w:val="20"/>
              </w:rPr>
            </w:pPr>
            <w:r>
              <w:rPr>
                <w:rFonts w:cs="Calibri"/>
                <w:color w:val="000000"/>
                <w:sz w:val="20"/>
                <w:szCs w:val="20"/>
              </w:rPr>
              <w:t>(1</w:t>
            </w:r>
            <w:r>
              <w:rPr>
                <w:rFonts w:cs="Calibri"/>
                <w:color w:val="000000"/>
                <w:sz w:val="20"/>
                <w:szCs w:val="20"/>
                <w:lang w:val="hy-AM"/>
              </w:rPr>
              <w:t>16</w:t>
            </w:r>
            <w:r>
              <w:rPr>
                <w:rFonts w:cs="Calibri"/>
                <w:color w:val="000000"/>
                <w:sz w:val="20"/>
                <w:szCs w:val="20"/>
              </w:rPr>
              <w:t>,</w:t>
            </w:r>
            <w:r>
              <w:rPr>
                <w:rFonts w:cs="Calibri"/>
                <w:color w:val="000000"/>
                <w:sz w:val="20"/>
                <w:szCs w:val="20"/>
                <w:lang w:val="hy-AM"/>
              </w:rPr>
              <w:t>007</w:t>
            </w:r>
            <w:r>
              <w:rPr>
                <w:rFonts w:cs="Calibri"/>
                <w:color w:val="000000"/>
                <w:sz w:val="20"/>
                <w:szCs w:val="20"/>
              </w:rPr>
              <w:t>.</w:t>
            </w:r>
            <w:r>
              <w:rPr>
                <w:rFonts w:cs="Calibri"/>
                <w:color w:val="000000"/>
                <w:sz w:val="20"/>
                <w:szCs w:val="20"/>
                <w:lang w:val="hy-AM"/>
              </w:rPr>
              <w:t>6</w:t>
            </w:r>
            <w:r>
              <w:rPr>
                <w:rFonts w:cs="Calibri"/>
                <w:color w:val="000000"/>
                <w:sz w:val="20"/>
                <w:szCs w:val="20"/>
              </w:rPr>
              <w:t>)</w:t>
            </w:r>
          </w:p>
        </w:tc>
        <w:tc>
          <w:tcPr>
            <w:tcW w:w="1249" w:type="dxa"/>
            <w:tcBorders>
              <w:top w:val="nil"/>
              <w:left w:val="nil"/>
              <w:bottom w:val="single" w:sz="8" w:space="0" w:color="auto"/>
              <w:right w:val="single" w:sz="8" w:space="0" w:color="auto"/>
            </w:tcBorders>
            <w:shd w:val="clear" w:color="000000" w:fill="DBE5F1"/>
            <w:noWrap/>
            <w:vAlign w:val="center"/>
          </w:tcPr>
          <w:p w14:paraId="5BA401E9" w14:textId="3765B14F" w:rsidR="00B11AEF" w:rsidRDefault="00B11AEF" w:rsidP="0045703F">
            <w:pPr>
              <w:spacing w:after="0" w:line="240" w:lineRule="auto"/>
              <w:ind w:firstLine="0"/>
              <w:jc w:val="center"/>
              <w:rPr>
                <w:rFonts w:cs="Calibri"/>
                <w:color w:val="000000"/>
                <w:sz w:val="20"/>
                <w:szCs w:val="20"/>
              </w:rPr>
            </w:pPr>
            <w:r>
              <w:rPr>
                <w:rFonts w:cs="Calibri"/>
                <w:color w:val="000000"/>
                <w:sz w:val="20"/>
                <w:szCs w:val="20"/>
              </w:rPr>
              <w:t>(1</w:t>
            </w:r>
            <w:r>
              <w:rPr>
                <w:rFonts w:cs="Calibri"/>
                <w:color w:val="000000"/>
                <w:sz w:val="20"/>
                <w:szCs w:val="20"/>
                <w:lang w:val="hy-AM"/>
              </w:rPr>
              <w:t>32</w:t>
            </w:r>
            <w:r>
              <w:rPr>
                <w:rFonts w:cs="Calibri"/>
                <w:color w:val="000000"/>
                <w:sz w:val="20"/>
                <w:szCs w:val="20"/>
              </w:rPr>
              <w:t>,</w:t>
            </w:r>
            <w:r>
              <w:rPr>
                <w:rFonts w:cs="Calibri"/>
                <w:color w:val="000000"/>
                <w:sz w:val="20"/>
                <w:szCs w:val="20"/>
                <w:lang w:val="hy-AM"/>
              </w:rPr>
              <w:t>325</w:t>
            </w:r>
            <w:r>
              <w:rPr>
                <w:rFonts w:cs="Calibri"/>
                <w:color w:val="000000"/>
                <w:sz w:val="20"/>
                <w:szCs w:val="20"/>
              </w:rPr>
              <w:t>.</w:t>
            </w:r>
            <w:r w:rsidR="0045703F">
              <w:rPr>
                <w:rFonts w:cs="Calibri"/>
                <w:color w:val="000000"/>
                <w:sz w:val="20"/>
                <w:szCs w:val="20"/>
              </w:rPr>
              <w:t>1</w:t>
            </w:r>
            <w:r>
              <w:rPr>
                <w:rFonts w:cs="Calibri"/>
                <w:color w:val="000000"/>
                <w:sz w:val="20"/>
                <w:szCs w:val="20"/>
              </w:rPr>
              <w:t>)</w:t>
            </w:r>
          </w:p>
        </w:tc>
      </w:tr>
    </w:tbl>
    <w:p w14:paraId="5E6EB18A" w14:textId="77777777" w:rsidR="00B11AEF" w:rsidRDefault="00B11AEF" w:rsidP="00B11AEF">
      <w:pPr>
        <w:spacing w:line="276" w:lineRule="auto"/>
        <w:ind w:firstLine="426"/>
        <w:rPr>
          <w:rFonts w:cs="Sylfaen"/>
        </w:rPr>
      </w:pPr>
      <w:r>
        <w:rPr>
          <w:rFonts w:cs="Sylfaen"/>
        </w:rPr>
        <w:t>Պետական բյուջեի դեֆիցիտի հարաբերակցությունը ՀՆԱ-ի նկատմամբ 2022-2024 թվականին կտատանվի ՀՆԱ-ի 2.4 %-ից 1.9% միջա</w:t>
      </w:r>
      <w:r>
        <w:rPr>
          <w:rFonts w:cs="Sylfaen"/>
        </w:rPr>
        <w:softHyphen/>
        <w:t>կայ</w:t>
      </w:r>
      <w:r>
        <w:rPr>
          <w:rFonts w:cs="Sylfaen"/>
        </w:rPr>
        <w:softHyphen/>
        <w:t>քում: Ինչպես նախորդ միջնաժամկետ ծախսային ծրագրերում, ՀՀ 2022-2024թթ ՄԺԾԾ-ում նույն</w:t>
      </w:r>
      <w:r>
        <w:rPr>
          <w:rFonts w:cs="Sylfaen"/>
        </w:rPr>
        <w:softHyphen/>
      </w:r>
      <w:r>
        <w:rPr>
          <w:rFonts w:cs="Sylfaen"/>
        </w:rPr>
        <w:softHyphen/>
        <w:t>պես պահպանվել է ՀՀ պետական բյուջեի կախվա</w:t>
      </w:r>
      <w:r>
        <w:rPr>
          <w:rFonts w:cs="Sylfaen"/>
        </w:rPr>
        <w:softHyphen/>
        <w:t>ծու</w:t>
      </w:r>
      <w:r>
        <w:rPr>
          <w:rFonts w:cs="Sylfaen"/>
        </w:rPr>
        <w:softHyphen/>
        <w:t>թյունն արտաքին ֆինանսավորման աղբյուր</w:t>
      </w:r>
      <w:r>
        <w:rPr>
          <w:rFonts w:cs="Sylfaen"/>
        </w:rPr>
        <w:softHyphen/>
      </w:r>
      <w:r>
        <w:rPr>
          <w:rFonts w:cs="Sylfaen"/>
        </w:rPr>
        <w:softHyphen/>
        <w:t>ներից (արտասահմանյան վարկերից և պաշտո</w:t>
      </w:r>
      <w:r>
        <w:rPr>
          <w:rFonts w:cs="Sylfaen"/>
        </w:rPr>
        <w:softHyphen/>
        <w:t>նական դրամաշնորհ</w:t>
      </w:r>
      <w:r>
        <w:rPr>
          <w:rFonts w:cs="Sylfaen"/>
        </w:rPr>
        <w:softHyphen/>
        <w:t>ներից):</w:t>
      </w:r>
    </w:p>
    <w:p w14:paraId="579DE0CF" w14:textId="77777777" w:rsidR="00B11AEF" w:rsidRDefault="00B11AEF" w:rsidP="00B11AEF">
      <w:pPr>
        <w:spacing w:line="360" w:lineRule="auto"/>
        <w:ind w:firstLine="0"/>
      </w:pPr>
    </w:p>
    <w:p w14:paraId="5EC651B2" w14:textId="77777777" w:rsidR="00B11AEF" w:rsidRDefault="00B11AEF" w:rsidP="00B11AEF">
      <w:pPr>
        <w:keepNext/>
        <w:keepLines/>
        <w:spacing w:line="360" w:lineRule="auto"/>
        <w:ind w:firstLine="0"/>
        <w:rPr>
          <w:i/>
          <w:sz w:val="20"/>
          <w:szCs w:val="20"/>
          <w:lang w:val="hy-AM"/>
        </w:rPr>
      </w:pPr>
      <w:r>
        <w:rPr>
          <w:b/>
          <w:sz w:val="20"/>
          <w:szCs w:val="20"/>
          <w:lang w:val="hy-AM"/>
        </w:rPr>
        <w:t xml:space="preserve">Աղյուսակ 4.1.2. </w:t>
      </w:r>
      <w:r>
        <w:rPr>
          <w:rFonts w:cs="Sylfaen"/>
          <w:i/>
          <w:sz w:val="20"/>
          <w:szCs w:val="20"/>
          <w:lang w:val="hy-AM"/>
        </w:rPr>
        <w:t>Ընդհանուր և առաջնային դեֆիցիտները (%-ով ՀՆԱ-ի նկատմամբ) 202</w:t>
      </w:r>
      <w:r>
        <w:rPr>
          <w:rFonts w:cs="Sylfaen"/>
          <w:i/>
          <w:sz w:val="20"/>
          <w:szCs w:val="20"/>
        </w:rPr>
        <w:t>2</w:t>
      </w:r>
      <w:r>
        <w:rPr>
          <w:rFonts w:cs="Sylfaen"/>
          <w:i/>
          <w:sz w:val="20"/>
          <w:szCs w:val="20"/>
          <w:lang w:val="hy-AM"/>
        </w:rPr>
        <w:t>-202</w:t>
      </w:r>
      <w:r>
        <w:rPr>
          <w:rFonts w:cs="Sylfaen"/>
          <w:i/>
          <w:sz w:val="20"/>
          <w:szCs w:val="20"/>
        </w:rPr>
        <w:t>4</w:t>
      </w:r>
      <w:r>
        <w:rPr>
          <w:rFonts w:cs="Sylfaen"/>
          <w:i/>
          <w:sz w:val="20"/>
          <w:szCs w:val="20"/>
          <w:lang w:val="hy-AM"/>
        </w:rPr>
        <w:t>թթ</w:t>
      </w:r>
      <w:r>
        <w:rPr>
          <w:i/>
          <w:sz w:val="20"/>
          <w:szCs w:val="20"/>
          <w:lang w:val="hy-AM"/>
        </w:rPr>
        <w:t xml:space="preserve"> </w:t>
      </w:r>
    </w:p>
    <w:tbl>
      <w:tblPr>
        <w:tblW w:w="9818"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5"/>
        <w:gridCol w:w="1701"/>
        <w:gridCol w:w="1701"/>
        <w:gridCol w:w="1701"/>
      </w:tblGrid>
      <w:tr w:rsidR="00B11AEF" w14:paraId="7660D716" w14:textId="77777777" w:rsidTr="00B11AEF">
        <w:trPr>
          <w:trHeight w:val="681"/>
        </w:trPr>
        <w:tc>
          <w:tcPr>
            <w:tcW w:w="4715" w:type="dxa"/>
            <w:shd w:val="clear" w:color="auto" w:fill="0070C0"/>
          </w:tcPr>
          <w:p w14:paraId="7938F419" w14:textId="77777777" w:rsidR="00B11AEF" w:rsidRDefault="00B11AEF" w:rsidP="00B11AEF">
            <w:pPr>
              <w:spacing w:before="20" w:after="20"/>
              <w:ind w:firstLine="0"/>
              <w:jc w:val="center"/>
              <w:rPr>
                <w:rFonts w:cs="Sylfaen"/>
                <w:color w:val="FFFFFF" w:themeColor="background1"/>
                <w:sz w:val="20"/>
                <w:szCs w:val="20"/>
                <w:lang w:val="hy-AM"/>
              </w:rPr>
            </w:pPr>
            <w:r>
              <w:rPr>
                <w:rFonts w:cs="Sylfaen"/>
                <w:color w:val="FFFFFF" w:themeColor="background1"/>
                <w:sz w:val="20"/>
                <w:szCs w:val="20"/>
              </w:rPr>
              <w:t>Ցուցանիշներ</w:t>
            </w:r>
          </w:p>
        </w:tc>
        <w:tc>
          <w:tcPr>
            <w:tcW w:w="1701" w:type="dxa"/>
            <w:shd w:val="clear" w:color="auto" w:fill="0070C0"/>
            <w:vAlign w:val="center"/>
          </w:tcPr>
          <w:p w14:paraId="18F96C81" w14:textId="77777777" w:rsidR="00B11AEF" w:rsidRDefault="00B11AEF" w:rsidP="00B11AEF">
            <w:pPr>
              <w:spacing w:before="20" w:after="20"/>
              <w:ind w:firstLine="0"/>
              <w:rPr>
                <w:rFonts w:cs="Sylfaen"/>
                <w:color w:val="FFFFFF" w:themeColor="background1"/>
                <w:sz w:val="20"/>
                <w:szCs w:val="20"/>
              </w:rPr>
            </w:pPr>
            <w:r>
              <w:rPr>
                <w:rFonts w:cs="Sylfaen"/>
                <w:color w:val="FFFFFF" w:themeColor="background1"/>
                <w:sz w:val="20"/>
                <w:szCs w:val="20"/>
              </w:rPr>
              <w:t>2022 կանխատեսում</w:t>
            </w:r>
          </w:p>
        </w:tc>
        <w:tc>
          <w:tcPr>
            <w:tcW w:w="1701" w:type="dxa"/>
            <w:shd w:val="clear" w:color="auto" w:fill="0070C0"/>
            <w:vAlign w:val="center"/>
          </w:tcPr>
          <w:p w14:paraId="33C4496F" w14:textId="77777777" w:rsidR="00B11AEF" w:rsidRDefault="00B11AEF" w:rsidP="00B11AEF">
            <w:pPr>
              <w:spacing w:before="20" w:after="20"/>
              <w:ind w:firstLine="0"/>
              <w:rPr>
                <w:rFonts w:cs="Sylfaen"/>
                <w:color w:val="FFFFFF" w:themeColor="background1"/>
                <w:sz w:val="20"/>
                <w:szCs w:val="20"/>
              </w:rPr>
            </w:pPr>
            <w:r>
              <w:rPr>
                <w:rFonts w:cs="Sylfaen"/>
                <w:color w:val="FFFFFF" w:themeColor="background1"/>
                <w:sz w:val="20"/>
                <w:szCs w:val="20"/>
              </w:rPr>
              <w:t>2023</w:t>
            </w:r>
          </w:p>
          <w:p w14:paraId="0C42067D" w14:textId="77777777" w:rsidR="00B11AEF" w:rsidRDefault="00B11AEF" w:rsidP="00B11AEF">
            <w:pPr>
              <w:spacing w:before="20" w:after="20"/>
              <w:ind w:firstLine="0"/>
              <w:rPr>
                <w:rFonts w:cs="Sylfaen"/>
                <w:color w:val="FFFFFF" w:themeColor="background1"/>
                <w:sz w:val="20"/>
                <w:szCs w:val="20"/>
              </w:rPr>
            </w:pPr>
            <w:r>
              <w:rPr>
                <w:rFonts w:cs="Sylfaen"/>
                <w:color w:val="FFFFFF" w:themeColor="background1"/>
                <w:sz w:val="20"/>
                <w:szCs w:val="20"/>
              </w:rPr>
              <w:t>կանխատեսում</w:t>
            </w:r>
          </w:p>
        </w:tc>
        <w:tc>
          <w:tcPr>
            <w:tcW w:w="1701" w:type="dxa"/>
            <w:shd w:val="clear" w:color="auto" w:fill="0070C0"/>
            <w:vAlign w:val="center"/>
          </w:tcPr>
          <w:p w14:paraId="5BFF90BF" w14:textId="77777777" w:rsidR="00B11AEF" w:rsidRDefault="00B11AEF" w:rsidP="00B11AEF">
            <w:pPr>
              <w:spacing w:before="20" w:after="20"/>
              <w:ind w:firstLine="0"/>
              <w:rPr>
                <w:rFonts w:cs="Sylfaen"/>
                <w:color w:val="FFFFFF" w:themeColor="background1"/>
                <w:sz w:val="20"/>
                <w:szCs w:val="20"/>
              </w:rPr>
            </w:pPr>
            <w:r>
              <w:rPr>
                <w:rFonts w:cs="Sylfaen"/>
                <w:color w:val="FFFFFF" w:themeColor="background1"/>
                <w:sz w:val="20"/>
                <w:szCs w:val="20"/>
              </w:rPr>
              <w:t>2024 կանխատեսում</w:t>
            </w:r>
          </w:p>
        </w:tc>
      </w:tr>
      <w:tr w:rsidR="00B11AEF" w14:paraId="1DD3D30F" w14:textId="77777777" w:rsidTr="00B11AEF">
        <w:trPr>
          <w:trHeight w:val="681"/>
        </w:trPr>
        <w:tc>
          <w:tcPr>
            <w:tcW w:w="4715" w:type="dxa"/>
            <w:shd w:val="clear" w:color="auto" w:fill="C6D9F1" w:themeFill="text2" w:themeFillTint="33"/>
          </w:tcPr>
          <w:p w14:paraId="7C284FD0" w14:textId="77777777" w:rsidR="00B11AEF" w:rsidRDefault="00B11AEF" w:rsidP="00B11AEF">
            <w:pPr>
              <w:spacing w:before="20" w:after="20"/>
              <w:ind w:firstLine="0"/>
              <w:jc w:val="left"/>
              <w:rPr>
                <w:rFonts w:cs="Sylfaen"/>
                <w:sz w:val="20"/>
                <w:szCs w:val="20"/>
                <w:lang w:val="hy-AM"/>
              </w:rPr>
            </w:pPr>
            <w:r>
              <w:rPr>
                <w:rFonts w:cs="Sylfaen"/>
                <w:sz w:val="20"/>
                <w:szCs w:val="20"/>
                <w:lang w:val="hy-AM"/>
              </w:rPr>
              <w:t>Ընդհանուր դեֆիցիտ`</w:t>
            </w:r>
          </w:p>
          <w:p w14:paraId="318AE343" w14:textId="77777777" w:rsidR="00B11AEF" w:rsidRDefault="00B11AEF" w:rsidP="00B11AEF">
            <w:pPr>
              <w:spacing w:before="20" w:after="20"/>
              <w:ind w:firstLine="0"/>
              <w:jc w:val="left"/>
              <w:rPr>
                <w:rFonts w:cs="Sylfaen"/>
                <w:sz w:val="20"/>
                <w:szCs w:val="20"/>
                <w:lang w:val="hy-AM"/>
              </w:rPr>
            </w:pPr>
            <w:r>
              <w:rPr>
                <w:rFonts w:cs="Sylfaen"/>
                <w:sz w:val="20"/>
                <w:szCs w:val="20"/>
                <w:lang w:val="hy-AM"/>
              </w:rPr>
              <w:t>Ընդհանուր եկամուտների և ծախսերի տարբերու</w:t>
            </w:r>
            <w:r>
              <w:rPr>
                <w:rFonts w:cs="Sylfaen"/>
                <w:sz w:val="20"/>
                <w:szCs w:val="20"/>
                <w:lang w:val="hy-AM"/>
              </w:rPr>
              <w:softHyphen/>
              <w:t>թյունը</w:t>
            </w:r>
          </w:p>
        </w:tc>
        <w:tc>
          <w:tcPr>
            <w:tcW w:w="1701" w:type="dxa"/>
            <w:shd w:val="clear" w:color="auto" w:fill="C6D9F1" w:themeFill="text2" w:themeFillTint="33"/>
            <w:vAlign w:val="center"/>
          </w:tcPr>
          <w:p w14:paraId="383D4F31" w14:textId="77777777" w:rsidR="00B11AEF" w:rsidRDefault="00B11AEF" w:rsidP="00B11AEF">
            <w:pPr>
              <w:ind w:firstLine="0"/>
              <w:jc w:val="center"/>
              <w:rPr>
                <w:bCs/>
                <w:iCs/>
                <w:sz w:val="20"/>
                <w:szCs w:val="20"/>
              </w:rPr>
            </w:pPr>
            <w:r>
              <w:rPr>
                <w:bCs/>
                <w:iCs/>
                <w:sz w:val="20"/>
                <w:szCs w:val="20"/>
              </w:rPr>
              <w:t>2.4</w:t>
            </w:r>
          </w:p>
        </w:tc>
        <w:tc>
          <w:tcPr>
            <w:tcW w:w="1701" w:type="dxa"/>
            <w:shd w:val="clear" w:color="auto" w:fill="C6D9F1" w:themeFill="text2" w:themeFillTint="33"/>
            <w:vAlign w:val="center"/>
          </w:tcPr>
          <w:p w14:paraId="2313DA14" w14:textId="77777777" w:rsidR="00B11AEF" w:rsidRDefault="00B11AEF" w:rsidP="00B11AEF">
            <w:pPr>
              <w:ind w:firstLine="0"/>
              <w:jc w:val="center"/>
              <w:rPr>
                <w:bCs/>
                <w:iCs/>
                <w:sz w:val="20"/>
                <w:szCs w:val="20"/>
              </w:rPr>
            </w:pPr>
            <w:r>
              <w:rPr>
                <w:bCs/>
                <w:iCs/>
                <w:sz w:val="20"/>
                <w:szCs w:val="20"/>
              </w:rPr>
              <w:t>2.1</w:t>
            </w:r>
          </w:p>
        </w:tc>
        <w:tc>
          <w:tcPr>
            <w:tcW w:w="1701" w:type="dxa"/>
            <w:shd w:val="clear" w:color="auto" w:fill="C6D9F1" w:themeFill="text2" w:themeFillTint="33"/>
            <w:vAlign w:val="center"/>
          </w:tcPr>
          <w:p w14:paraId="4BA1EB7C" w14:textId="77777777" w:rsidR="00B11AEF" w:rsidRDefault="00B11AEF" w:rsidP="00B11AEF">
            <w:pPr>
              <w:ind w:firstLine="0"/>
              <w:jc w:val="center"/>
              <w:rPr>
                <w:bCs/>
                <w:iCs/>
                <w:sz w:val="20"/>
                <w:szCs w:val="20"/>
              </w:rPr>
            </w:pPr>
            <w:r>
              <w:rPr>
                <w:bCs/>
                <w:iCs/>
                <w:sz w:val="20"/>
                <w:szCs w:val="20"/>
              </w:rPr>
              <w:t>1.9</w:t>
            </w:r>
          </w:p>
        </w:tc>
      </w:tr>
      <w:tr w:rsidR="00B11AEF" w14:paraId="215591AA" w14:textId="77777777" w:rsidTr="00B11AEF">
        <w:trPr>
          <w:trHeight w:val="903"/>
        </w:trPr>
        <w:tc>
          <w:tcPr>
            <w:tcW w:w="4715" w:type="dxa"/>
            <w:shd w:val="clear" w:color="auto" w:fill="auto"/>
          </w:tcPr>
          <w:p w14:paraId="6254A636" w14:textId="77777777" w:rsidR="00B11AEF" w:rsidRDefault="00B11AEF" w:rsidP="00B11AEF">
            <w:pPr>
              <w:spacing w:before="20" w:after="20"/>
              <w:ind w:firstLine="0"/>
              <w:jc w:val="left"/>
              <w:rPr>
                <w:rFonts w:cs="Sylfaen"/>
                <w:sz w:val="20"/>
                <w:szCs w:val="20"/>
                <w:lang w:val="hy-AM"/>
              </w:rPr>
            </w:pPr>
            <w:r>
              <w:rPr>
                <w:rFonts w:cs="Sylfaen"/>
                <w:sz w:val="20"/>
                <w:szCs w:val="20"/>
                <w:lang w:val="hy-AM"/>
              </w:rPr>
              <w:t xml:space="preserve">Առաջնային դեֆիցիտ` </w:t>
            </w:r>
          </w:p>
          <w:p w14:paraId="6479558F" w14:textId="77777777" w:rsidR="00B11AEF" w:rsidRDefault="00B11AEF" w:rsidP="00B11AEF">
            <w:pPr>
              <w:spacing w:before="20" w:after="20"/>
              <w:ind w:firstLine="0"/>
              <w:jc w:val="left"/>
              <w:rPr>
                <w:rFonts w:cs="Sylfaen"/>
                <w:sz w:val="20"/>
                <w:szCs w:val="20"/>
                <w:lang w:val="hy-AM"/>
              </w:rPr>
            </w:pPr>
            <w:r>
              <w:rPr>
                <w:rFonts w:cs="Sylfaen"/>
                <w:sz w:val="20"/>
                <w:szCs w:val="20"/>
                <w:lang w:val="hy-AM"/>
              </w:rPr>
              <w:t>Ընդհանուր եկամուտների և ծախսերի (առանց տոկոսավճարների) տարբերությունը</w:t>
            </w:r>
          </w:p>
        </w:tc>
        <w:tc>
          <w:tcPr>
            <w:tcW w:w="1701" w:type="dxa"/>
            <w:shd w:val="clear" w:color="auto" w:fill="auto"/>
            <w:vAlign w:val="center"/>
          </w:tcPr>
          <w:p w14:paraId="1DD43707" w14:textId="77777777" w:rsidR="00B11AEF" w:rsidRDefault="00B11AEF" w:rsidP="00B11AEF">
            <w:pPr>
              <w:ind w:firstLine="0"/>
              <w:jc w:val="center"/>
              <w:rPr>
                <w:rFonts w:cs="Sylfaen"/>
                <w:sz w:val="20"/>
                <w:szCs w:val="20"/>
                <w:lang w:val="hy-AM"/>
              </w:rPr>
            </w:pPr>
          </w:p>
          <w:p w14:paraId="714FC67B" w14:textId="77777777" w:rsidR="00B11AEF" w:rsidRDefault="00B11AEF" w:rsidP="00B11AEF">
            <w:pPr>
              <w:ind w:firstLine="0"/>
              <w:jc w:val="center"/>
              <w:rPr>
                <w:rFonts w:cs="Sylfaen"/>
                <w:sz w:val="20"/>
                <w:szCs w:val="20"/>
                <w:lang w:val="hy-AM"/>
              </w:rPr>
            </w:pPr>
          </w:p>
          <w:p w14:paraId="1C7E4CB4" w14:textId="77777777" w:rsidR="00B11AEF" w:rsidRDefault="00B11AEF" w:rsidP="00B11AEF">
            <w:pPr>
              <w:ind w:firstLine="0"/>
              <w:jc w:val="center"/>
              <w:rPr>
                <w:rFonts w:cs="Sylfaen"/>
                <w:sz w:val="20"/>
                <w:szCs w:val="20"/>
              </w:rPr>
            </w:pPr>
            <w:r>
              <w:rPr>
                <w:rFonts w:cs="Sylfaen"/>
                <w:sz w:val="20"/>
                <w:szCs w:val="20"/>
              </w:rPr>
              <w:t>-</w:t>
            </w:r>
            <w:r>
              <w:rPr>
                <w:rFonts w:cs="Sylfaen"/>
                <w:sz w:val="20"/>
                <w:szCs w:val="20"/>
                <w:lang w:val="hy-AM"/>
              </w:rPr>
              <w:t>0.</w:t>
            </w:r>
            <w:r>
              <w:rPr>
                <w:rFonts w:cs="Sylfaen"/>
                <w:sz w:val="20"/>
                <w:szCs w:val="20"/>
              </w:rPr>
              <w:t>4</w:t>
            </w:r>
          </w:p>
        </w:tc>
        <w:tc>
          <w:tcPr>
            <w:tcW w:w="1701" w:type="dxa"/>
            <w:shd w:val="clear" w:color="auto" w:fill="auto"/>
            <w:vAlign w:val="center"/>
          </w:tcPr>
          <w:p w14:paraId="34515E26" w14:textId="77777777" w:rsidR="00B11AEF" w:rsidRDefault="00B11AEF" w:rsidP="00B11AEF">
            <w:pPr>
              <w:ind w:firstLine="0"/>
              <w:jc w:val="center"/>
              <w:rPr>
                <w:rFonts w:cs="Sylfaen"/>
                <w:sz w:val="20"/>
                <w:szCs w:val="20"/>
                <w:lang w:val="hy-AM"/>
              </w:rPr>
            </w:pPr>
          </w:p>
          <w:p w14:paraId="30959998" w14:textId="77777777" w:rsidR="00B11AEF" w:rsidRDefault="00B11AEF" w:rsidP="00B11AEF">
            <w:pPr>
              <w:ind w:firstLine="0"/>
              <w:jc w:val="center"/>
              <w:rPr>
                <w:rFonts w:cs="Sylfaen"/>
                <w:sz w:val="20"/>
                <w:szCs w:val="20"/>
                <w:lang w:val="hy-AM"/>
              </w:rPr>
            </w:pPr>
          </w:p>
          <w:p w14:paraId="76322220" w14:textId="77777777" w:rsidR="00B11AEF" w:rsidRDefault="00B11AEF" w:rsidP="00B11AEF">
            <w:pPr>
              <w:ind w:firstLine="0"/>
              <w:jc w:val="center"/>
              <w:rPr>
                <w:rFonts w:cs="Sylfaen"/>
                <w:sz w:val="20"/>
                <w:szCs w:val="20"/>
                <w:lang w:val="hy-AM"/>
              </w:rPr>
            </w:pPr>
            <w:r>
              <w:rPr>
                <w:rFonts w:cs="Sylfaen"/>
                <w:sz w:val="20"/>
                <w:szCs w:val="20"/>
                <w:lang w:val="hy-AM"/>
              </w:rPr>
              <w:t>-0.9</w:t>
            </w:r>
          </w:p>
        </w:tc>
        <w:tc>
          <w:tcPr>
            <w:tcW w:w="1701" w:type="dxa"/>
            <w:shd w:val="clear" w:color="auto" w:fill="auto"/>
            <w:vAlign w:val="center"/>
          </w:tcPr>
          <w:p w14:paraId="7C541185" w14:textId="77777777" w:rsidR="00B11AEF" w:rsidRDefault="00B11AEF" w:rsidP="00B11AEF">
            <w:pPr>
              <w:ind w:firstLine="0"/>
              <w:jc w:val="center"/>
              <w:rPr>
                <w:rFonts w:cs="Sylfaen"/>
                <w:sz w:val="20"/>
                <w:szCs w:val="20"/>
                <w:lang w:val="hy-AM"/>
              </w:rPr>
            </w:pPr>
          </w:p>
          <w:p w14:paraId="40310ABC" w14:textId="77777777" w:rsidR="00B11AEF" w:rsidRDefault="00B11AEF" w:rsidP="00B11AEF">
            <w:pPr>
              <w:ind w:firstLine="0"/>
              <w:jc w:val="center"/>
              <w:rPr>
                <w:rFonts w:cs="Sylfaen"/>
                <w:sz w:val="20"/>
                <w:szCs w:val="20"/>
                <w:lang w:val="hy-AM"/>
              </w:rPr>
            </w:pPr>
          </w:p>
          <w:p w14:paraId="3475AC08" w14:textId="77777777" w:rsidR="00B11AEF" w:rsidRDefault="00B11AEF" w:rsidP="00B11AEF">
            <w:pPr>
              <w:ind w:firstLine="0"/>
              <w:jc w:val="center"/>
              <w:rPr>
                <w:rFonts w:cs="Sylfaen"/>
                <w:sz w:val="20"/>
                <w:szCs w:val="20"/>
              </w:rPr>
            </w:pPr>
            <w:r>
              <w:rPr>
                <w:rFonts w:cs="Sylfaen"/>
                <w:sz w:val="20"/>
                <w:szCs w:val="20"/>
                <w:lang w:val="hy-AM"/>
              </w:rPr>
              <w:t>-</w:t>
            </w:r>
            <w:r>
              <w:rPr>
                <w:rFonts w:cs="Sylfaen"/>
                <w:sz w:val="20"/>
                <w:szCs w:val="20"/>
              </w:rPr>
              <w:t>1</w:t>
            </w:r>
            <w:r>
              <w:rPr>
                <w:rFonts w:cs="Sylfaen"/>
                <w:sz w:val="20"/>
                <w:szCs w:val="20"/>
                <w:lang w:val="hy-AM"/>
              </w:rPr>
              <w:t>.</w:t>
            </w:r>
            <w:r>
              <w:rPr>
                <w:rFonts w:cs="Sylfaen"/>
                <w:sz w:val="20"/>
                <w:szCs w:val="20"/>
              </w:rPr>
              <w:t>2</w:t>
            </w:r>
          </w:p>
        </w:tc>
      </w:tr>
    </w:tbl>
    <w:p w14:paraId="6AC1E9AB" w14:textId="77777777" w:rsidR="00B11AEF" w:rsidRPr="000E27C9" w:rsidRDefault="00B11AEF" w:rsidP="00B11AEF">
      <w:pPr>
        <w:ind w:firstLine="0"/>
        <w:rPr>
          <w:rFonts w:cs="Sylfaen"/>
          <w:lang w:val="es-ES"/>
        </w:rPr>
      </w:pPr>
    </w:p>
    <w:p w14:paraId="2C2E26D4" w14:textId="77777777" w:rsidR="00B11AEF" w:rsidRPr="000E27C9" w:rsidRDefault="00B11AEF" w:rsidP="00B11AEF">
      <w:pPr>
        <w:ind w:firstLine="0"/>
        <w:rPr>
          <w:rFonts w:cs="Sylfaen"/>
          <w:lang w:val="es-ES"/>
        </w:rPr>
      </w:pPr>
      <w:r w:rsidRPr="000E27C9">
        <w:rPr>
          <w:rFonts w:cs="Sylfaen"/>
          <w:lang w:val="es-ES"/>
        </w:rPr>
        <w:t>Քանի որ պետական բյուջեի դեֆիցիտի զգալի մասը ֆինանսավորվում է փոխառու միջոց</w:t>
      </w:r>
      <w:r w:rsidRPr="000E27C9">
        <w:rPr>
          <w:rFonts w:cs="Sylfaen"/>
          <w:lang w:val="es-ES"/>
        </w:rPr>
        <w:softHyphen/>
        <w:t>ների հաշ</w:t>
      </w:r>
      <w:r w:rsidRPr="000E27C9">
        <w:rPr>
          <w:rFonts w:cs="Sylfaen"/>
          <w:lang w:val="es-ES"/>
        </w:rPr>
        <w:softHyphen/>
        <w:t>վին, ապա դրա մեծությունը և կառուցվածքը էապես առնչվում են պետական ներ</w:t>
      </w:r>
      <w:r w:rsidRPr="000E27C9">
        <w:rPr>
          <w:rFonts w:cs="Sylfaen"/>
          <w:lang w:val="es-ES"/>
        </w:rPr>
        <w:softHyphen/>
        <w:t>քին և արտա</w:t>
      </w:r>
      <w:r w:rsidRPr="000E27C9">
        <w:rPr>
          <w:rFonts w:cs="Sylfaen"/>
          <w:lang w:val="es-ES"/>
        </w:rPr>
        <w:softHyphen/>
        <w:t>քին պարտքը բնութագրող ցուցանիշներին:</w:t>
      </w:r>
    </w:p>
    <w:p w14:paraId="01946777" w14:textId="77777777" w:rsidR="00B11AEF" w:rsidRPr="004B40B6" w:rsidRDefault="00B11AEF" w:rsidP="00B11AEF">
      <w:pPr>
        <w:ind w:firstLine="0"/>
        <w:rPr>
          <w:lang w:val="es-ES"/>
        </w:rPr>
      </w:pPr>
    </w:p>
    <w:p w14:paraId="3551E88B" w14:textId="77777777" w:rsidR="00B11AEF" w:rsidRPr="00495F52" w:rsidRDefault="00B11AEF" w:rsidP="00B11AEF">
      <w:pPr>
        <w:pStyle w:val="Heading3"/>
        <w:rPr>
          <w:rFonts w:eastAsia="Times New Roman" w:cs="Times New Roman"/>
          <w:caps w:val="0"/>
          <w:color w:val="1F497D" w:themeColor="text2"/>
          <w:sz w:val="28"/>
          <w:szCs w:val="28"/>
        </w:rPr>
      </w:pPr>
      <w:bookmarkStart w:id="523" w:name="_Toc13837287"/>
      <w:bookmarkStart w:id="524" w:name="_Toc14687623"/>
      <w:bookmarkStart w:id="525" w:name="_Toc45838533"/>
      <w:bookmarkStart w:id="526" w:name="_Toc77356420"/>
      <w:bookmarkStart w:id="527" w:name="_Toc77837863"/>
      <w:r w:rsidRPr="00495F52">
        <w:rPr>
          <w:rFonts w:eastAsia="Times New Roman" w:cs="Times New Roman"/>
          <w:caps w:val="0"/>
          <w:color w:val="1F497D" w:themeColor="text2"/>
          <w:sz w:val="28"/>
          <w:szCs w:val="28"/>
        </w:rPr>
        <w:t>4.2</w:t>
      </w:r>
      <w:r>
        <w:rPr>
          <w:rFonts w:eastAsia="Times New Roman" w:cs="Times New Roman"/>
          <w:caps w:val="0"/>
          <w:color w:val="1F497D" w:themeColor="text2"/>
          <w:sz w:val="28"/>
          <w:szCs w:val="28"/>
        </w:rPr>
        <w:t>.</w:t>
      </w:r>
      <w:r w:rsidRPr="00495F52">
        <w:rPr>
          <w:rFonts w:eastAsia="Times New Roman" w:cs="Times New Roman"/>
          <w:caps w:val="0"/>
          <w:color w:val="1F497D" w:themeColor="text2"/>
          <w:sz w:val="28"/>
          <w:szCs w:val="28"/>
        </w:rPr>
        <w:t xml:space="preserve"> ՀՀ ՊԵՏԱԿԱՆ ԲՅՈՒՋԵԻ ՌԵՍՈՒՐՍՆԵՐԻ ԵՎ ԾԱԽՍԵՐԻ ՓԱԹԵԹՈՒՄ 2022-2024ԹԹ ԿԱՆԽԱՏԵՍՎՈՂ ՓՈՓՈԽՈՒԹՅՈՒՆՆԵՐԸ</w:t>
      </w:r>
      <w:bookmarkEnd w:id="523"/>
      <w:bookmarkEnd w:id="524"/>
      <w:bookmarkEnd w:id="525"/>
      <w:bookmarkEnd w:id="526"/>
      <w:bookmarkEnd w:id="527"/>
    </w:p>
    <w:p w14:paraId="2252EBB3" w14:textId="77777777" w:rsidR="00B11AEF" w:rsidRDefault="00B11AEF" w:rsidP="00B11AEF">
      <w:pPr>
        <w:pStyle w:val="StyleStyleHeading2ChapterParanumTextSylfaenGHEAGrapa"/>
        <w:spacing w:line="276" w:lineRule="auto"/>
        <w:ind w:left="0" w:firstLine="0"/>
      </w:pPr>
      <w:bookmarkStart w:id="528" w:name="_Toc13837288"/>
      <w:bookmarkStart w:id="529" w:name="_Toc14687624"/>
      <w:bookmarkStart w:id="530" w:name="_Toc41075569"/>
      <w:bookmarkStart w:id="531" w:name="_Toc519513634"/>
    </w:p>
    <w:p w14:paraId="6228F0C7" w14:textId="77777777" w:rsidR="00B11AEF" w:rsidRPr="00CA25DB" w:rsidRDefault="00B11AEF" w:rsidP="00B11AEF">
      <w:pPr>
        <w:spacing w:line="276" w:lineRule="auto"/>
        <w:ind w:firstLine="426"/>
        <w:rPr>
          <w:rFonts w:cs="Sylfaen"/>
          <w:lang w:val="it-IT"/>
        </w:rPr>
      </w:pPr>
      <w:bookmarkStart w:id="532" w:name="_Toc45838535"/>
      <w:r w:rsidRPr="00D57E31">
        <w:rPr>
          <w:rFonts w:cs="Sylfaen"/>
        </w:rPr>
        <w:t>ՀՀ</w:t>
      </w:r>
      <w:r w:rsidRPr="00D57E31">
        <w:rPr>
          <w:rFonts w:cs="Sylfaen"/>
          <w:lang w:val="it-IT"/>
        </w:rPr>
        <w:t xml:space="preserve"> 2022-2024 </w:t>
      </w:r>
      <w:r w:rsidRPr="00D57E31">
        <w:rPr>
          <w:rFonts w:cs="Sylfaen"/>
        </w:rPr>
        <w:t>թվականների</w:t>
      </w:r>
      <w:r w:rsidRPr="00D57E31">
        <w:rPr>
          <w:rFonts w:cs="Sylfaen"/>
          <w:lang w:val="it-IT"/>
        </w:rPr>
        <w:t xml:space="preserve"> </w:t>
      </w:r>
      <w:r w:rsidRPr="00D57E31">
        <w:rPr>
          <w:rFonts w:cs="Sylfaen"/>
        </w:rPr>
        <w:t>պետական</w:t>
      </w:r>
      <w:r w:rsidRPr="00D57E31">
        <w:rPr>
          <w:rFonts w:cs="Sylfaen"/>
          <w:lang w:val="it-IT"/>
        </w:rPr>
        <w:t xml:space="preserve"> </w:t>
      </w:r>
      <w:r w:rsidRPr="00D57E31">
        <w:rPr>
          <w:rFonts w:cs="Sylfaen"/>
        </w:rPr>
        <w:t>բյուջեների</w:t>
      </w:r>
      <w:r w:rsidRPr="00D57E31">
        <w:rPr>
          <w:rFonts w:cs="Sylfaen"/>
          <w:lang w:val="it-IT"/>
        </w:rPr>
        <w:t xml:space="preserve"> </w:t>
      </w:r>
      <w:r w:rsidRPr="00D57E31">
        <w:rPr>
          <w:rFonts w:cs="Sylfaen"/>
        </w:rPr>
        <w:t>կանխատեսվող</w:t>
      </w:r>
      <w:r w:rsidRPr="00D57E31">
        <w:rPr>
          <w:rFonts w:cs="Sylfaen"/>
          <w:lang w:val="it-IT"/>
        </w:rPr>
        <w:t xml:space="preserve"> </w:t>
      </w:r>
      <w:r w:rsidRPr="00D57E31">
        <w:rPr>
          <w:rFonts w:cs="Sylfaen"/>
        </w:rPr>
        <w:t>մուտքերի</w:t>
      </w:r>
      <w:r w:rsidRPr="00D57E31">
        <w:rPr>
          <w:rFonts w:cs="Sylfaen"/>
          <w:lang w:val="it-IT"/>
        </w:rPr>
        <w:t xml:space="preserve"> </w:t>
      </w:r>
      <w:r w:rsidRPr="00D57E31">
        <w:rPr>
          <w:rFonts w:cs="Sylfaen"/>
        </w:rPr>
        <w:t>վերլու</w:t>
      </w:r>
      <w:r w:rsidRPr="00D57E31">
        <w:rPr>
          <w:rFonts w:cs="Sylfaen"/>
          <w:lang w:val="it-IT"/>
        </w:rPr>
        <w:softHyphen/>
      </w:r>
      <w:r w:rsidRPr="00D57E31">
        <w:rPr>
          <w:rFonts w:cs="Sylfaen"/>
        </w:rPr>
        <w:t>ծու</w:t>
      </w:r>
      <w:r w:rsidRPr="00D57E31">
        <w:rPr>
          <w:rFonts w:cs="Sylfaen"/>
          <w:lang w:val="it-IT"/>
        </w:rPr>
        <w:softHyphen/>
      </w:r>
      <w:r w:rsidRPr="00D57E31">
        <w:rPr>
          <w:rFonts w:cs="Sylfaen"/>
        </w:rPr>
        <w:t>թյունից</w:t>
      </w:r>
      <w:r w:rsidRPr="00D57E31">
        <w:rPr>
          <w:rFonts w:cs="Sylfaen"/>
          <w:lang w:val="it-IT"/>
        </w:rPr>
        <w:t xml:space="preserve"> </w:t>
      </w:r>
      <w:r w:rsidRPr="00D57E31">
        <w:rPr>
          <w:rFonts w:cs="Sylfaen"/>
        </w:rPr>
        <w:t>երևում</w:t>
      </w:r>
      <w:r w:rsidRPr="00D57E31">
        <w:rPr>
          <w:rFonts w:cs="Sylfaen"/>
          <w:lang w:val="it-IT"/>
        </w:rPr>
        <w:t xml:space="preserve"> </w:t>
      </w:r>
      <w:r w:rsidRPr="00D57E31">
        <w:rPr>
          <w:rFonts w:cs="Sylfaen"/>
        </w:rPr>
        <w:t>է</w:t>
      </w:r>
      <w:r w:rsidRPr="00D57E31">
        <w:rPr>
          <w:rFonts w:cs="Sylfaen"/>
          <w:lang w:val="it-IT"/>
        </w:rPr>
        <w:t xml:space="preserve">, </w:t>
      </w:r>
      <w:r w:rsidRPr="00D57E31">
        <w:rPr>
          <w:rFonts w:cs="Sylfaen"/>
        </w:rPr>
        <w:t>որ</w:t>
      </w:r>
      <w:r w:rsidRPr="00D57E31">
        <w:rPr>
          <w:rFonts w:cs="Sylfaen"/>
          <w:lang w:val="it-IT"/>
        </w:rPr>
        <w:t xml:space="preserve"> 2021 </w:t>
      </w:r>
      <w:r w:rsidRPr="00D57E31">
        <w:rPr>
          <w:rFonts w:cs="Sylfaen"/>
        </w:rPr>
        <w:t>թվականի</w:t>
      </w:r>
      <w:r w:rsidRPr="00D57E31">
        <w:rPr>
          <w:rFonts w:cs="Sylfaen"/>
          <w:lang w:val="it-IT"/>
        </w:rPr>
        <w:t xml:space="preserve"> </w:t>
      </w:r>
      <w:r w:rsidRPr="00D57E31">
        <w:rPr>
          <w:rFonts w:cs="Sylfaen"/>
        </w:rPr>
        <w:t>սպասվող</w:t>
      </w:r>
      <w:r w:rsidRPr="00D57E31">
        <w:rPr>
          <w:rFonts w:cs="Sylfaen"/>
          <w:lang w:val="it-IT"/>
        </w:rPr>
        <w:t xml:space="preserve"> </w:t>
      </w:r>
      <w:r w:rsidRPr="00D57E31">
        <w:rPr>
          <w:rFonts w:cs="Sylfaen"/>
        </w:rPr>
        <w:t>մակարդակի</w:t>
      </w:r>
      <w:r w:rsidRPr="00D57E31">
        <w:rPr>
          <w:rFonts w:cs="Sylfaen"/>
          <w:lang w:val="it-IT"/>
        </w:rPr>
        <w:t xml:space="preserve"> </w:t>
      </w:r>
      <w:r w:rsidRPr="00D57E31">
        <w:rPr>
          <w:rFonts w:cs="Sylfaen"/>
        </w:rPr>
        <w:t>համեմատ</w:t>
      </w:r>
      <w:r w:rsidRPr="00D57E31">
        <w:rPr>
          <w:rFonts w:cs="Sylfaen"/>
          <w:lang w:val="it-IT"/>
        </w:rPr>
        <w:t xml:space="preserve">, 2022 </w:t>
      </w:r>
      <w:r w:rsidRPr="00D57E31">
        <w:rPr>
          <w:rFonts w:cs="Sylfaen"/>
        </w:rPr>
        <w:t>թվականի</w:t>
      </w:r>
      <w:r w:rsidRPr="00D57E31">
        <w:rPr>
          <w:rFonts w:cs="Sylfaen"/>
          <w:lang w:val="it-IT"/>
        </w:rPr>
        <w:t xml:space="preserve"> </w:t>
      </w:r>
      <w:r w:rsidRPr="00D57E31">
        <w:rPr>
          <w:rFonts w:cs="Sylfaen"/>
        </w:rPr>
        <w:t>անվանական</w:t>
      </w:r>
      <w:r w:rsidRPr="00D57E31">
        <w:rPr>
          <w:rFonts w:cs="Sylfaen"/>
          <w:lang w:val="it-IT"/>
        </w:rPr>
        <w:t xml:space="preserve"> </w:t>
      </w:r>
      <w:r w:rsidRPr="00D57E31">
        <w:rPr>
          <w:rFonts w:cs="Sylfaen"/>
        </w:rPr>
        <w:t>ՀՆԱ</w:t>
      </w:r>
      <w:r w:rsidRPr="00D57E31">
        <w:rPr>
          <w:rFonts w:cs="Sylfaen"/>
          <w:lang w:val="it-IT"/>
        </w:rPr>
        <w:t>-</w:t>
      </w:r>
      <w:r w:rsidRPr="00D57E31">
        <w:rPr>
          <w:rFonts w:cs="Sylfaen"/>
        </w:rPr>
        <w:t>ի</w:t>
      </w:r>
      <w:r w:rsidRPr="00D57E31">
        <w:rPr>
          <w:rFonts w:cs="Sylfaen"/>
          <w:lang w:val="it-IT"/>
        </w:rPr>
        <w:t xml:space="preserve"> </w:t>
      </w:r>
      <w:r w:rsidRPr="00511249">
        <w:rPr>
          <w:rFonts w:cs="Sylfaen"/>
        </w:rPr>
        <w:t>շուրջ</w:t>
      </w:r>
      <w:r w:rsidRPr="00511249">
        <w:rPr>
          <w:rFonts w:cs="Sylfaen"/>
          <w:lang w:val="it-IT"/>
        </w:rPr>
        <w:t xml:space="preserve"> </w:t>
      </w:r>
      <w:r w:rsidRPr="00511249">
        <w:rPr>
          <w:rFonts w:cs="Sylfaen"/>
          <w:lang w:val="hy-AM"/>
        </w:rPr>
        <w:t>10</w:t>
      </w:r>
      <w:r w:rsidRPr="00511249">
        <w:rPr>
          <w:rFonts w:cs="Sylfaen"/>
          <w:lang w:val="it-IT"/>
        </w:rPr>
        <w:t>.</w:t>
      </w:r>
      <w:r w:rsidRPr="00511249">
        <w:rPr>
          <w:rFonts w:cs="Sylfaen"/>
          <w:lang w:val="hy-AM"/>
        </w:rPr>
        <w:t>0</w:t>
      </w:r>
      <w:r w:rsidRPr="00511249">
        <w:rPr>
          <w:rFonts w:cs="Sylfaen"/>
          <w:lang w:val="it-IT"/>
        </w:rPr>
        <w:t xml:space="preserve">% </w:t>
      </w:r>
      <w:r w:rsidRPr="00511249">
        <w:rPr>
          <w:rFonts w:cs="Sylfaen"/>
        </w:rPr>
        <w:t>աճի</w:t>
      </w:r>
      <w:r w:rsidRPr="004F12BD">
        <w:rPr>
          <w:rFonts w:cs="Sylfaen"/>
          <w:lang w:val="it-IT"/>
        </w:rPr>
        <w:t xml:space="preserve"> </w:t>
      </w:r>
      <w:r w:rsidRPr="004F12BD">
        <w:rPr>
          <w:rFonts w:cs="Sylfaen"/>
        </w:rPr>
        <w:t>պայմաններում</w:t>
      </w:r>
      <w:r w:rsidRPr="004F12BD">
        <w:rPr>
          <w:rFonts w:cs="Sylfaen"/>
          <w:lang w:val="it-IT"/>
        </w:rPr>
        <w:t xml:space="preserve">, </w:t>
      </w:r>
      <w:r w:rsidRPr="004F12BD">
        <w:rPr>
          <w:rFonts w:cs="Sylfaen"/>
          <w:shd w:val="clear" w:color="auto" w:fill="FFFFFF" w:themeFill="background1"/>
        </w:rPr>
        <w:t>ՀՀ</w:t>
      </w:r>
      <w:r w:rsidRPr="004F12BD">
        <w:rPr>
          <w:rFonts w:cs="Sylfaen"/>
          <w:shd w:val="clear" w:color="auto" w:fill="FFFFFF" w:themeFill="background1"/>
          <w:lang w:val="it-IT"/>
        </w:rPr>
        <w:t xml:space="preserve"> 202</w:t>
      </w:r>
      <w:r w:rsidRPr="004F12BD">
        <w:rPr>
          <w:rFonts w:cs="Sylfaen"/>
          <w:shd w:val="clear" w:color="auto" w:fill="FFFFFF" w:themeFill="background1"/>
          <w:lang w:val="hy-AM"/>
        </w:rPr>
        <w:t>2</w:t>
      </w:r>
      <w:r w:rsidRPr="004F12BD">
        <w:rPr>
          <w:rFonts w:cs="Sylfaen"/>
          <w:shd w:val="clear" w:color="auto" w:fill="FFFFFF" w:themeFill="background1"/>
          <w:lang w:val="it-IT"/>
        </w:rPr>
        <w:t xml:space="preserve"> </w:t>
      </w:r>
      <w:r w:rsidRPr="004F12BD">
        <w:rPr>
          <w:rFonts w:cs="Sylfaen"/>
          <w:shd w:val="clear" w:color="auto" w:fill="FFFFFF" w:themeFill="background1"/>
        </w:rPr>
        <w:t>թվականի</w:t>
      </w:r>
      <w:r w:rsidRPr="004F12BD">
        <w:rPr>
          <w:rFonts w:cs="Sylfaen"/>
          <w:shd w:val="clear" w:color="auto" w:fill="FFFFFF" w:themeFill="background1"/>
          <w:lang w:val="it-IT"/>
        </w:rPr>
        <w:t xml:space="preserve"> </w:t>
      </w:r>
      <w:r w:rsidRPr="004F12BD">
        <w:rPr>
          <w:rFonts w:cs="Sylfaen"/>
          <w:shd w:val="clear" w:color="auto" w:fill="FFFFFF" w:themeFill="background1"/>
        </w:rPr>
        <w:t>պետական</w:t>
      </w:r>
      <w:r w:rsidRPr="004F12BD">
        <w:rPr>
          <w:rFonts w:cs="Sylfaen"/>
          <w:shd w:val="clear" w:color="auto" w:fill="FFFFFF" w:themeFill="background1"/>
          <w:lang w:val="it-IT"/>
        </w:rPr>
        <w:t xml:space="preserve"> </w:t>
      </w:r>
      <w:r w:rsidRPr="004F12BD">
        <w:rPr>
          <w:rFonts w:cs="Sylfaen"/>
          <w:shd w:val="clear" w:color="auto" w:fill="FFFFFF" w:themeFill="background1"/>
        </w:rPr>
        <w:t>բյուջեի</w:t>
      </w:r>
      <w:r w:rsidRPr="004F12BD">
        <w:rPr>
          <w:rFonts w:cs="Sylfaen"/>
          <w:shd w:val="clear" w:color="auto" w:fill="FFFFFF" w:themeFill="background1"/>
          <w:lang w:val="it-IT"/>
        </w:rPr>
        <w:t xml:space="preserve"> </w:t>
      </w:r>
      <w:r w:rsidRPr="004F12BD">
        <w:rPr>
          <w:rFonts w:cs="Sylfaen"/>
          <w:shd w:val="clear" w:color="auto" w:fill="FFFFFF" w:themeFill="background1"/>
        </w:rPr>
        <w:t>ծախսերի</w:t>
      </w:r>
      <w:r w:rsidRPr="004F12BD">
        <w:rPr>
          <w:rFonts w:cs="Sylfaen"/>
          <w:shd w:val="clear" w:color="auto" w:fill="FFFFFF" w:themeFill="background1"/>
          <w:lang w:val="it-IT"/>
        </w:rPr>
        <w:t xml:space="preserve"> </w:t>
      </w:r>
      <w:r w:rsidRPr="004F12BD">
        <w:rPr>
          <w:rFonts w:cs="Sylfaen"/>
          <w:shd w:val="clear" w:color="auto" w:fill="FFFFFF" w:themeFill="background1"/>
        </w:rPr>
        <w:t>ծավալի</w:t>
      </w:r>
      <w:r w:rsidRPr="004F12BD">
        <w:rPr>
          <w:rFonts w:cs="Sylfaen"/>
          <w:shd w:val="clear" w:color="auto" w:fill="FFFFFF" w:themeFill="background1"/>
          <w:lang w:val="it-IT"/>
        </w:rPr>
        <w:t xml:space="preserve"> </w:t>
      </w:r>
      <w:r w:rsidRPr="004F12BD">
        <w:rPr>
          <w:rFonts w:cs="Sylfaen"/>
          <w:shd w:val="clear" w:color="auto" w:fill="FFFFFF" w:themeFill="background1"/>
        </w:rPr>
        <w:t>ավելացումը</w:t>
      </w:r>
      <w:r w:rsidRPr="004F12BD">
        <w:rPr>
          <w:rFonts w:cs="Sylfaen"/>
          <w:shd w:val="clear" w:color="auto" w:fill="FFFFFF" w:themeFill="background1"/>
          <w:lang w:val="it-IT"/>
        </w:rPr>
        <w:t xml:space="preserve"> </w:t>
      </w:r>
      <w:r w:rsidRPr="004F12BD">
        <w:rPr>
          <w:rFonts w:cs="Sylfaen"/>
          <w:shd w:val="clear" w:color="auto" w:fill="FFFFFF" w:themeFill="background1"/>
        </w:rPr>
        <w:t>ծրագրա</w:t>
      </w:r>
      <w:r w:rsidRPr="004F12BD">
        <w:rPr>
          <w:rFonts w:cs="Sylfaen"/>
          <w:shd w:val="clear" w:color="auto" w:fill="FFFFFF" w:themeFill="background1"/>
          <w:lang w:val="it-IT"/>
        </w:rPr>
        <w:softHyphen/>
      </w:r>
      <w:r w:rsidRPr="004F12BD">
        <w:rPr>
          <w:rFonts w:cs="Sylfaen"/>
          <w:shd w:val="clear" w:color="auto" w:fill="FFFFFF" w:themeFill="background1"/>
        </w:rPr>
        <w:t>վորվում</w:t>
      </w:r>
      <w:r w:rsidRPr="004F12BD">
        <w:rPr>
          <w:rFonts w:cs="Sylfaen"/>
          <w:shd w:val="clear" w:color="auto" w:fill="FFFFFF" w:themeFill="background1"/>
          <w:lang w:val="it-IT"/>
        </w:rPr>
        <w:t xml:space="preserve"> </w:t>
      </w:r>
      <w:r w:rsidRPr="004F12BD">
        <w:rPr>
          <w:rFonts w:cs="Sylfaen"/>
          <w:shd w:val="clear" w:color="auto" w:fill="FFFFFF" w:themeFill="background1"/>
        </w:rPr>
        <w:t>է</w:t>
      </w:r>
      <w:r w:rsidRPr="004F12BD">
        <w:rPr>
          <w:rFonts w:cs="Sylfaen"/>
          <w:shd w:val="clear" w:color="auto" w:fill="FFFFFF" w:themeFill="background1"/>
          <w:lang w:val="it-IT"/>
        </w:rPr>
        <w:t xml:space="preserve"> </w:t>
      </w:r>
      <w:r w:rsidRPr="00026E6D">
        <w:rPr>
          <w:rFonts w:cs="Sylfaen"/>
          <w:shd w:val="clear" w:color="auto" w:fill="FFFFFF" w:themeFill="background1"/>
        </w:rPr>
        <w:t>շուրջ</w:t>
      </w:r>
      <w:r w:rsidRPr="00026E6D">
        <w:rPr>
          <w:rFonts w:cs="Sylfaen"/>
          <w:shd w:val="clear" w:color="auto" w:fill="FFFFFF" w:themeFill="background1"/>
          <w:lang w:val="it-IT"/>
        </w:rPr>
        <w:t xml:space="preserve"> </w:t>
      </w:r>
      <w:r w:rsidRPr="00026E6D">
        <w:rPr>
          <w:rFonts w:cs="Sylfaen"/>
          <w:lang w:val="hy-AM"/>
        </w:rPr>
        <w:t>71</w:t>
      </w:r>
      <w:r w:rsidRPr="00026E6D">
        <w:rPr>
          <w:rFonts w:cs="Sylfaen"/>
          <w:lang w:val="it-IT"/>
        </w:rPr>
        <w:t>.</w:t>
      </w:r>
      <w:r w:rsidRPr="00026E6D">
        <w:rPr>
          <w:rFonts w:cs="Sylfaen"/>
          <w:lang w:val="hy-AM"/>
        </w:rPr>
        <w:t>6</w:t>
      </w:r>
      <w:r w:rsidRPr="00026E6D">
        <w:rPr>
          <w:rFonts w:cs="Sylfaen"/>
          <w:lang w:val="it-IT"/>
        </w:rPr>
        <w:t xml:space="preserve"> </w:t>
      </w:r>
      <w:r w:rsidRPr="004F12BD">
        <w:rPr>
          <w:rFonts w:cs="Sylfaen"/>
        </w:rPr>
        <w:t>մլրդ</w:t>
      </w:r>
      <w:r w:rsidRPr="004F12BD">
        <w:rPr>
          <w:rFonts w:cs="Sylfaen"/>
          <w:lang w:val="it-IT"/>
        </w:rPr>
        <w:t xml:space="preserve"> </w:t>
      </w:r>
      <w:r w:rsidRPr="004F12BD">
        <w:rPr>
          <w:rFonts w:cs="Sylfaen"/>
        </w:rPr>
        <w:t>դրամով</w:t>
      </w:r>
      <w:r w:rsidRPr="004F12BD">
        <w:rPr>
          <w:rFonts w:cs="Sylfaen"/>
          <w:lang w:val="it-IT"/>
        </w:rPr>
        <w:t xml:space="preserve">: </w:t>
      </w:r>
      <w:r w:rsidRPr="004F12BD">
        <w:rPr>
          <w:rFonts w:cs="Sylfaen"/>
        </w:rPr>
        <w:t>Միաժամանակ</w:t>
      </w:r>
      <w:r w:rsidRPr="00794E2C">
        <w:rPr>
          <w:rFonts w:cs="Sylfaen"/>
          <w:lang w:val="it-IT"/>
        </w:rPr>
        <w:t>,</w:t>
      </w:r>
      <w:r w:rsidRPr="004F12BD">
        <w:rPr>
          <w:rFonts w:cs="Sylfaen"/>
          <w:lang w:val="it-IT"/>
        </w:rPr>
        <w:t xml:space="preserve"> 202</w:t>
      </w:r>
      <w:r w:rsidRPr="004F12BD">
        <w:rPr>
          <w:rFonts w:cs="Sylfaen"/>
          <w:lang w:val="hy-AM"/>
        </w:rPr>
        <w:t>3</w:t>
      </w:r>
      <w:r w:rsidRPr="004F12BD">
        <w:rPr>
          <w:rFonts w:cs="Sylfaen"/>
          <w:lang w:val="it-IT"/>
        </w:rPr>
        <w:t xml:space="preserve"> </w:t>
      </w:r>
      <w:r w:rsidRPr="004F12BD">
        <w:rPr>
          <w:rFonts w:cs="Sylfaen"/>
        </w:rPr>
        <w:t>թվա</w:t>
      </w:r>
      <w:r w:rsidRPr="004F12BD">
        <w:rPr>
          <w:rFonts w:cs="Sylfaen"/>
          <w:lang w:val="it-IT"/>
        </w:rPr>
        <w:softHyphen/>
      </w:r>
      <w:r w:rsidRPr="004F12BD">
        <w:rPr>
          <w:rFonts w:cs="Sylfaen"/>
        </w:rPr>
        <w:t>կա</w:t>
      </w:r>
      <w:r w:rsidRPr="004F12BD">
        <w:rPr>
          <w:rFonts w:cs="Sylfaen"/>
          <w:lang w:val="it-IT"/>
        </w:rPr>
        <w:softHyphen/>
      </w:r>
      <w:r w:rsidRPr="004F12BD">
        <w:rPr>
          <w:rFonts w:cs="Sylfaen"/>
        </w:rPr>
        <w:t>նին</w:t>
      </w:r>
      <w:r w:rsidRPr="004F12BD">
        <w:rPr>
          <w:rFonts w:cs="Sylfaen"/>
          <w:lang w:val="it-IT"/>
        </w:rPr>
        <w:t xml:space="preserve"> 202</w:t>
      </w:r>
      <w:r w:rsidRPr="004F12BD">
        <w:rPr>
          <w:rFonts w:cs="Sylfaen"/>
          <w:lang w:val="hy-AM"/>
        </w:rPr>
        <w:t>2</w:t>
      </w:r>
      <w:r w:rsidRPr="004F12BD">
        <w:rPr>
          <w:rFonts w:cs="Sylfaen"/>
          <w:lang w:val="it-IT"/>
        </w:rPr>
        <w:t xml:space="preserve"> </w:t>
      </w:r>
      <w:r w:rsidRPr="004F12BD">
        <w:rPr>
          <w:rFonts w:cs="Sylfaen"/>
        </w:rPr>
        <w:t>թվականի</w:t>
      </w:r>
      <w:r w:rsidRPr="004F12BD">
        <w:rPr>
          <w:rFonts w:cs="Sylfaen"/>
          <w:lang w:val="it-IT"/>
        </w:rPr>
        <w:t xml:space="preserve"> </w:t>
      </w:r>
      <w:r w:rsidRPr="004F12BD">
        <w:rPr>
          <w:rFonts w:cs="Sylfaen"/>
        </w:rPr>
        <w:t>մակար</w:t>
      </w:r>
      <w:r w:rsidRPr="004F12BD">
        <w:rPr>
          <w:rFonts w:cs="Sylfaen"/>
          <w:lang w:val="it-IT"/>
        </w:rPr>
        <w:softHyphen/>
      </w:r>
      <w:r w:rsidRPr="004F12BD">
        <w:rPr>
          <w:rFonts w:cs="Sylfaen"/>
        </w:rPr>
        <w:t>դակի</w:t>
      </w:r>
      <w:r w:rsidRPr="004F12BD">
        <w:rPr>
          <w:rFonts w:cs="Sylfaen"/>
          <w:lang w:val="it-IT"/>
        </w:rPr>
        <w:t xml:space="preserve"> </w:t>
      </w:r>
      <w:r w:rsidRPr="004F12BD">
        <w:rPr>
          <w:rFonts w:cs="Sylfaen"/>
        </w:rPr>
        <w:t>համե</w:t>
      </w:r>
      <w:r w:rsidRPr="004F12BD">
        <w:rPr>
          <w:rFonts w:cs="Sylfaen"/>
          <w:lang w:val="it-IT"/>
        </w:rPr>
        <w:softHyphen/>
      </w:r>
      <w:r w:rsidRPr="004F12BD">
        <w:rPr>
          <w:rFonts w:cs="Sylfaen"/>
        </w:rPr>
        <w:t>մատ</w:t>
      </w:r>
      <w:r w:rsidRPr="004F12BD">
        <w:rPr>
          <w:rFonts w:cs="Sylfaen"/>
          <w:lang w:val="it-IT"/>
        </w:rPr>
        <w:t xml:space="preserve"> </w:t>
      </w:r>
      <w:r w:rsidRPr="004F12BD">
        <w:rPr>
          <w:rFonts w:cs="Sylfaen"/>
        </w:rPr>
        <w:t>պետական</w:t>
      </w:r>
      <w:r w:rsidRPr="004F12BD">
        <w:rPr>
          <w:rFonts w:cs="Sylfaen"/>
          <w:lang w:val="it-IT"/>
        </w:rPr>
        <w:t xml:space="preserve"> </w:t>
      </w:r>
      <w:r w:rsidRPr="004F12BD">
        <w:rPr>
          <w:rFonts w:cs="Sylfaen"/>
        </w:rPr>
        <w:t>բյուջեի</w:t>
      </w:r>
      <w:r w:rsidRPr="004F12BD">
        <w:rPr>
          <w:rFonts w:cs="Sylfaen"/>
          <w:lang w:val="it-IT"/>
        </w:rPr>
        <w:t xml:space="preserve"> </w:t>
      </w:r>
      <w:r w:rsidRPr="004F12BD">
        <w:rPr>
          <w:rFonts w:cs="Sylfaen"/>
        </w:rPr>
        <w:t>մուտքերի</w:t>
      </w:r>
      <w:r w:rsidRPr="004F12BD">
        <w:rPr>
          <w:rFonts w:cs="Sylfaen"/>
          <w:lang w:val="it-IT"/>
        </w:rPr>
        <w:t xml:space="preserve"> </w:t>
      </w:r>
      <w:r w:rsidRPr="004F12BD">
        <w:rPr>
          <w:rFonts w:cs="Sylfaen"/>
        </w:rPr>
        <w:t>ծա</w:t>
      </w:r>
      <w:r w:rsidRPr="004F12BD">
        <w:rPr>
          <w:rFonts w:cs="Sylfaen"/>
          <w:lang w:val="it-IT"/>
        </w:rPr>
        <w:softHyphen/>
      </w:r>
      <w:r w:rsidRPr="004F12BD">
        <w:rPr>
          <w:rFonts w:cs="Sylfaen"/>
        </w:rPr>
        <w:t>վալի</w:t>
      </w:r>
      <w:r w:rsidRPr="004F12BD">
        <w:rPr>
          <w:rFonts w:cs="Sylfaen"/>
          <w:lang w:val="it-IT"/>
        </w:rPr>
        <w:t xml:space="preserve"> </w:t>
      </w:r>
      <w:r w:rsidRPr="001620B9">
        <w:rPr>
          <w:rFonts w:cs="Sylfaen"/>
          <w:lang w:val="hy-AM"/>
        </w:rPr>
        <w:t>6</w:t>
      </w:r>
      <w:r w:rsidRPr="001620B9">
        <w:rPr>
          <w:rFonts w:cs="Sylfaen"/>
          <w:lang w:val="it-IT"/>
        </w:rPr>
        <w:t>.</w:t>
      </w:r>
      <w:r w:rsidRPr="001620B9">
        <w:rPr>
          <w:rFonts w:cs="Sylfaen"/>
          <w:lang w:val="hy-AM"/>
        </w:rPr>
        <w:t>7</w:t>
      </w:r>
      <w:r w:rsidRPr="001620B9">
        <w:rPr>
          <w:rFonts w:cs="Sylfaen"/>
          <w:lang w:val="it-IT"/>
        </w:rPr>
        <w:t xml:space="preserve"> % </w:t>
      </w:r>
      <w:r w:rsidRPr="004F12BD">
        <w:rPr>
          <w:rFonts w:cs="Sylfaen"/>
        </w:rPr>
        <w:t>աճ</w:t>
      </w:r>
      <w:r w:rsidRPr="004F12BD">
        <w:rPr>
          <w:rFonts w:cs="Sylfaen"/>
          <w:lang w:val="it-IT"/>
        </w:rPr>
        <w:t xml:space="preserve"> </w:t>
      </w:r>
      <w:r w:rsidRPr="004F12BD">
        <w:rPr>
          <w:rFonts w:cs="Sylfaen"/>
        </w:rPr>
        <w:t>է</w:t>
      </w:r>
      <w:r w:rsidRPr="004F12BD">
        <w:rPr>
          <w:rFonts w:cs="Sylfaen"/>
          <w:lang w:val="it-IT"/>
        </w:rPr>
        <w:t xml:space="preserve"> </w:t>
      </w:r>
      <w:r w:rsidRPr="004F12BD">
        <w:rPr>
          <w:rFonts w:cs="Sylfaen"/>
        </w:rPr>
        <w:t>կանխատեսվում</w:t>
      </w:r>
      <w:r w:rsidRPr="004F12BD">
        <w:rPr>
          <w:rFonts w:cs="Sylfaen"/>
          <w:lang w:val="it-IT"/>
        </w:rPr>
        <w:t xml:space="preserve">  (</w:t>
      </w:r>
      <w:r w:rsidRPr="004F12BD">
        <w:rPr>
          <w:rFonts w:cs="Sylfaen"/>
        </w:rPr>
        <w:t>ան</w:t>
      </w:r>
      <w:r w:rsidRPr="004F12BD">
        <w:rPr>
          <w:rFonts w:cs="Sylfaen"/>
          <w:lang w:val="it-IT"/>
        </w:rPr>
        <w:softHyphen/>
      </w:r>
      <w:r w:rsidRPr="004F12BD">
        <w:rPr>
          <w:rFonts w:cs="Sylfaen"/>
        </w:rPr>
        <w:t>վա</w:t>
      </w:r>
      <w:r w:rsidRPr="004F12BD">
        <w:rPr>
          <w:rFonts w:cs="Sylfaen"/>
          <w:lang w:val="it-IT"/>
        </w:rPr>
        <w:softHyphen/>
      </w:r>
      <w:r w:rsidRPr="004F12BD">
        <w:rPr>
          <w:rFonts w:cs="Sylfaen"/>
          <w:lang w:val="it-IT"/>
        </w:rPr>
        <w:softHyphen/>
      </w:r>
      <w:r w:rsidRPr="004F12BD">
        <w:rPr>
          <w:rFonts w:cs="Sylfaen"/>
        </w:rPr>
        <w:t>նա</w:t>
      </w:r>
      <w:r w:rsidRPr="004F12BD">
        <w:rPr>
          <w:rFonts w:cs="Sylfaen"/>
          <w:lang w:val="it-IT"/>
        </w:rPr>
        <w:softHyphen/>
      </w:r>
      <w:r w:rsidRPr="004F12BD">
        <w:rPr>
          <w:rFonts w:cs="Sylfaen"/>
        </w:rPr>
        <w:t>կան</w:t>
      </w:r>
      <w:r w:rsidRPr="004F12BD">
        <w:rPr>
          <w:rFonts w:cs="Sylfaen"/>
          <w:lang w:val="it-IT"/>
        </w:rPr>
        <w:t xml:space="preserve"> </w:t>
      </w:r>
      <w:r w:rsidRPr="004F12BD">
        <w:rPr>
          <w:rFonts w:cs="Sylfaen"/>
        </w:rPr>
        <w:t>ՀՆԱ</w:t>
      </w:r>
      <w:r w:rsidRPr="004F12BD">
        <w:rPr>
          <w:rFonts w:cs="Sylfaen"/>
          <w:lang w:val="it-IT"/>
        </w:rPr>
        <w:t>-</w:t>
      </w:r>
      <w:r w:rsidRPr="00511249">
        <w:rPr>
          <w:rFonts w:cs="Sylfaen"/>
        </w:rPr>
        <w:t>ի</w:t>
      </w:r>
      <w:r w:rsidRPr="00511249">
        <w:rPr>
          <w:rFonts w:cs="Sylfaen"/>
          <w:lang w:val="it-IT"/>
        </w:rPr>
        <w:t xml:space="preserve"> </w:t>
      </w:r>
      <w:r w:rsidRPr="00511249">
        <w:rPr>
          <w:rFonts w:cs="Sylfaen"/>
          <w:lang w:val="hy-AM"/>
        </w:rPr>
        <w:t>7</w:t>
      </w:r>
      <w:r w:rsidRPr="00511249">
        <w:rPr>
          <w:rFonts w:cs="Sylfaen"/>
          <w:lang w:val="it-IT"/>
        </w:rPr>
        <w:t xml:space="preserve">.9% </w:t>
      </w:r>
      <w:r w:rsidRPr="00511249">
        <w:rPr>
          <w:rFonts w:cs="Sylfaen"/>
        </w:rPr>
        <w:t>կանխատեսվող</w:t>
      </w:r>
      <w:r w:rsidRPr="004F12BD">
        <w:rPr>
          <w:rFonts w:cs="Sylfaen"/>
          <w:lang w:val="it-IT"/>
        </w:rPr>
        <w:t xml:space="preserve"> </w:t>
      </w:r>
      <w:r w:rsidRPr="004F12BD">
        <w:rPr>
          <w:rFonts w:cs="Sylfaen"/>
        </w:rPr>
        <w:t>աճի</w:t>
      </w:r>
      <w:r w:rsidRPr="004F12BD">
        <w:rPr>
          <w:rFonts w:cs="Sylfaen"/>
          <w:lang w:val="it-IT"/>
        </w:rPr>
        <w:t xml:space="preserve"> </w:t>
      </w:r>
      <w:r w:rsidRPr="004F12BD">
        <w:rPr>
          <w:rFonts w:cs="Sylfaen"/>
        </w:rPr>
        <w:t>պայմաններում</w:t>
      </w:r>
      <w:r w:rsidRPr="004F12BD">
        <w:rPr>
          <w:rFonts w:cs="Sylfaen"/>
          <w:lang w:val="it-IT"/>
        </w:rPr>
        <w:t>)</w:t>
      </w:r>
      <w:r>
        <w:rPr>
          <w:rFonts w:cs="Sylfaen"/>
          <w:lang w:val="it-IT"/>
        </w:rPr>
        <w:t>, իսկ</w:t>
      </w:r>
      <w:r w:rsidRPr="004F12BD">
        <w:rPr>
          <w:rFonts w:cs="Sylfaen"/>
          <w:lang w:val="it-IT"/>
        </w:rPr>
        <w:t xml:space="preserve"> 202</w:t>
      </w:r>
      <w:r w:rsidRPr="004F12BD">
        <w:rPr>
          <w:rFonts w:cs="Sylfaen"/>
          <w:lang w:val="hy-AM"/>
        </w:rPr>
        <w:t>4</w:t>
      </w:r>
      <w:r w:rsidRPr="004F12BD">
        <w:rPr>
          <w:rFonts w:cs="Sylfaen"/>
          <w:lang w:val="it-IT"/>
        </w:rPr>
        <w:t xml:space="preserve"> </w:t>
      </w:r>
      <w:r w:rsidRPr="004F12BD">
        <w:rPr>
          <w:rFonts w:cs="Sylfaen"/>
        </w:rPr>
        <w:t>թվականին</w:t>
      </w:r>
      <w:r w:rsidRPr="00511249">
        <w:rPr>
          <w:rFonts w:cs="Sylfaen"/>
          <w:lang w:val="it-IT"/>
        </w:rPr>
        <w:t xml:space="preserve">` </w:t>
      </w:r>
      <w:r w:rsidRPr="00511249">
        <w:rPr>
          <w:rFonts w:cs="Sylfaen"/>
          <w:lang w:val="hy-AM"/>
        </w:rPr>
        <w:t>8</w:t>
      </w:r>
      <w:r w:rsidRPr="00511249">
        <w:rPr>
          <w:rFonts w:cs="Sylfaen"/>
          <w:lang w:val="it-IT"/>
        </w:rPr>
        <w:t>.</w:t>
      </w:r>
      <w:r w:rsidRPr="00511249">
        <w:rPr>
          <w:rFonts w:cs="Sylfaen"/>
          <w:lang w:val="hy-AM"/>
        </w:rPr>
        <w:t>3</w:t>
      </w:r>
      <w:r w:rsidRPr="00511249">
        <w:rPr>
          <w:rFonts w:cs="Sylfaen"/>
          <w:lang w:val="it-IT"/>
        </w:rPr>
        <w:t xml:space="preserve"> %-</w:t>
      </w:r>
      <w:r w:rsidRPr="00511249">
        <w:rPr>
          <w:rFonts w:cs="Sylfaen"/>
        </w:rPr>
        <w:t>ով</w:t>
      </w:r>
      <w:r w:rsidRPr="00B179F1">
        <w:rPr>
          <w:rFonts w:cs="Sylfaen"/>
          <w:lang w:val="it-IT"/>
        </w:rPr>
        <w:t xml:space="preserve"> </w:t>
      </w:r>
      <w:r>
        <w:rPr>
          <w:rFonts w:cs="Sylfaen"/>
        </w:rPr>
        <w:t>աճ</w:t>
      </w:r>
      <w:r w:rsidRPr="00511249">
        <w:rPr>
          <w:rFonts w:cs="Sylfaen"/>
          <w:lang w:val="it-IT"/>
        </w:rPr>
        <w:t xml:space="preserve"> </w:t>
      </w:r>
      <w:r w:rsidRPr="004F12BD">
        <w:rPr>
          <w:rFonts w:cs="Sylfaen"/>
          <w:lang w:val="it-IT"/>
        </w:rPr>
        <w:t>202</w:t>
      </w:r>
      <w:r w:rsidRPr="004F12BD">
        <w:rPr>
          <w:rFonts w:cs="Sylfaen"/>
          <w:lang w:val="hy-AM"/>
        </w:rPr>
        <w:t>3</w:t>
      </w:r>
      <w:r w:rsidRPr="004F12BD">
        <w:rPr>
          <w:rFonts w:cs="Sylfaen"/>
          <w:lang w:val="it-IT"/>
        </w:rPr>
        <w:t xml:space="preserve"> </w:t>
      </w:r>
      <w:r w:rsidRPr="004F12BD">
        <w:rPr>
          <w:rFonts w:cs="Sylfaen"/>
        </w:rPr>
        <w:t>թվականի</w:t>
      </w:r>
      <w:r w:rsidRPr="004F12BD">
        <w:rPr>
          <w:rFonts w:cs="Sylfaen"/>
          <w:lang w:val="it-IT"/>
        </w:rPr>
        <w:t xml:space="preserve"> </w:t>
      </w:r>
      <w:r w:rsidRPr="004F12BD">
        <w:rPr>
          <w:rFonts w:cs="Sylfaen"/>
        </w:rPr>
        <w:t>մակար</w:t>
      </w:r>
      <w:r w:rsidRPr="004F12BD">
        <w:rPr>
          <w:rFonts w:cs="Sylfaen"/>
          <w:lang w:val="it-IT"/>
        </w:rPr>
        <w:softHyphen/>
      </w:r>
      <w:r w:rsidRPr="004F12BD">
        <w:rPr>
          <w:rFonts w:cs="Sylfaen"/>
        </w:rPr>
        <w:t>դակի</w:t>
      </w:r>
      <w:r w:rsidRPr="004F12BD">
        <w:rPr>
          <w:rFonts w:cs="Sylfaen"/>
          <w:lang w:val="it-IT"/>
        </w:rPr>
        <w:t xml:space="preserve"> </w:t>
      </w:r>
      <w:r w:rsidRPr="004F12BD">
        <w:rPr>
          <w:rFonts w:cs="Sylfaen"/>
        </w:rPr>
        <w:t>համե</w:t>
      </w:r>
      <w:r w:rsidRPr="004F12BD">
        <w:rPr>
          <w:rFonts w:cs="Sylfaen"/>
          <w:lang w:val="it-IT"/>
        </w:rPr>
        <w:softHyphen/>
      </w:r>
      <w:r w:rsidRPr="004F12BD">
        <w:rPr>
          <w:rFonts w:cs="Sylfaen"/>
        </w:rPr>
        <w:t>մատ</w:t>
      </w:r>
      <w:r w:rsidRPr="004F12BD">
        <w:rPr>
          <w:rFonts w:cs="Sylfaen"/>
          <w:lang w:val="it-IT"/>
        </w:rPr>
        <w:t xml:space="preserve"> (</w:t>
      </w:r>
      <w:r w:rsidRPr="004F12BD">
        <w:rPr>
          <w:rFonts w:cs="Sylfaen"/>
        </w:rPr>
        <w:t>անվանական</w:t>
      </w:r>
      <w:r w:rsidRPr="004F12BD">
        <w:rPr>
          <w:rFonts w:cs="Sylfaen"/>
          <w:lang w:val="it-IT"/>
        </w:rPr>
        <w:t xml:space="preserve"> </w:t>
      </w:r>
      <w:r w:rsidRPr="004F12BD">
        <w:rPr>
          <w:rFonts w:cs="Sylfaen"/>
        </w:rPr>
        <w:t>ՀՆԱ</w:t>
      </w:r>
      <w:r w:rsidRPr="00511249">
        <w:rPr>
          <w:rFonts w:cs="Sylfaen"/>
          <w:lang w:val="it-IT"/>
        </w:rPr>
        <w:t>-</w:t>
      </w:r>
      <w:r w:rsidRPr="00511249">
        <w:rPr>
          <w:rFonts w:cs="Sylfaen"/>
        </w:rPr>
        <w:t>ի</w:t>
      </w:r>
      <w:r w:rsidRPr="00511249">
        <w:rPr>
          <w:rFonts w:cs="Sylfaen"/>
          <w:lang w:val="it-IT"/>
        </w:rPr>
        <w:t xml:space="preserve"> </w:t>
      </w:r>
      <w:r w:rsidRPr="00511249">
        <w:rPr>
          <w:rFonts w:cs="Sylfaen"/>
          <w:lang w:val="hy-AM"/>
        </w:rPr>
        <w:t>8</w:t>
      </w:r>
      <w:r w:rsidRPr="00511249">
        <w:rPr>
          <w:rFonts w:cs="Sylfaen"/>
          <w:lang w:val="it-IT"/>
        </w:rPr>
        <w:t>.</w:t>
      </w:r>
      <w:r w:rsidRPr="00511249">
        <w:rPr>
          <w:rFonts w:cs="Sylfaen"/>
          <w:lang w:val="hy-AM"/>
        </w:rPr>
        <w:t>1</w:t>
      </w:r>
      <w:r w:rsidRPr="00511249">
        <w:rPr>
          <w:rFonts w:cs="Sylfaen"/>
          <w:lang w:val="it-IT"/>
        </w:rPr>
        <w:t xml:space="preserve"> % </w:t>
      </w:r>
      <w:r w:rsidRPr="00511249">
        <w:rPr>
          <w:rFonts w:cs="Sylfaen"/>
        </w:rPr>
        <w:t>կանխատեսվող</w:t>
      </w:r>
      <w:r w:rsidRPr="004F12BD">
        <w:rPr>
          <w:rFonts w:cs="Sylfaen"/>
          <w:lang w:val="it-IT"/>
        </w:rPr>
        <w:t xml:space="preserve"> </w:t>
      </w:r>
      <w:r w:rsidRPr="004F12BD">
        <w:rPr>
          <w:rFonts w:cs="Sylfaen"/>
        </w:rPr>
        <w:t>աճի</w:t>
      </w:r>
      <w:r w:rsidRPr="004F12BD">
        <w:rPr>
          <w:rFonts w:cs="Sylfaen"/>
          <w:lang w:val="it-IT"/>
        </w:rPr>
        <w:t xml:space="preserve"> </w:t>
      </w:r>
      <w:r w:rsidRPr="004F12BD">
        <w:rPr>
          <w:rFonts w:cs="Sylfaen"/>
        </w:rPr>
        <w:t>պայ</w:t>
      </w:r>
      <w:r w:rsidRPr="004F12BD">
        <w:rPr>
          <w:rFonts w:cs="Sylfaen"/>
          <w:lang w:val="it-IT"/>
        </w:rPr>
        <w:softHyphen/>
      </w:r>
      <w:r w:rsidRPr="004F12BD">
        <w:rPr>
          <w:rFonts w:cs="Sylfaen"/>
        </w:rPr>
        <w:t>ման</w:t>
      </w:r>
      <w:r w:rsidRPr="004F12BD">
        <w:rPr>
          <w:rFonts w:cs="Sylfaen"/>
          <w:lang w:val="it-IT"/>
        </w:rPr>
        <w:softHyphen/>
      </w:r>
      <w:r w:rsidRPr="004F12BD">
        <w:rPr>
          <w:rFonts w:cs="Sylfaen"/>
        </w:rPr>
        <w:t>ներում</w:t>
      </w:r>
      <w:r w:rsidRPr="004F12BD">
        <w:rPr>
          <w:rFonts w:cs="Sylfaen"/>
          <w:lang w:val="it-IT"/>
        </w:rPr>
        <w:t>):</w:t>
      </w:r>
    </w:p>
    <w:p w14:paraId="57A9F412" w14:textId="77777777" w:rsidR="00B11AEF" w:rsidRPr="00510CDC" w:rsidRDefault="00B11AEF" w:rsidP="00B11AEF">
      <w:pPr>
        <w:keepNext/>
        <w:keepLines/>
        <w:ind w:firstLine="0"/>
        <w:jc w:val="left"/>
        <w:rPr>
          <w:rFonts w:cs="Sylfaen"/>
          <w:sz w:val="20"/>
          <w:szCs w:val="20"/>
          <w:lang w:val="es-ES"/>
        </w:rPr>
      </w:pPr>
      <w:r w:rsidRPr="001A441C">
        <w:rPr>
          <w:b/>
          <w:sz w:val="20"/>
          <w:szCs w:val="20"/>
          <w:lang w:val="hy-AM"/>
        </w:rPr>
        <w:t>Աղյուսակ 4.2.1</w:t>
      </w:r>
      <w:r w:rsidRPr="001A441C">
        <w:rPr>
          <w:rFonts w:ascii="Cambria Math" w:hAnsi="Cambria Math" w:cs="Cambria Math"/>
          <w:b/>
          <w:sz w:val="20"/>
          <w:szCs w:val="20"/>
          <w:lang w:val="hy-AM"/>
        </w:rPr>
        <w:t>․</w:t>
      </w:r>
      <w:r w:rsidRPr="00510CDC">
        <w:rPr>
          <w:sz w:val="20"/>
          <w:szCs w:val="20"/>
          <w:lang w:val="es-ES"/>
        </w:rPr>
        <w:t xml:space="preserve"> </w:t>
      </w:r>
      <w:r w:rsidRPr="001A441C">
        <w:rPr>
          <w:rFonts w:cs="Sylfaen"/>
          <w:i/>
          <w:sz w:val="20"/>
          <w:szCs w:val="20"/>
          <w:lang w:val="hy-AM"/>
        </w:rPr>
        <w:t>Բյուջետային ռեսուրսների փաթեթում 2022-2024թթ կանխատեսվող փոփոխու</w:t>
      </w:r>
      <w:r w:rsidRPr="001A441C">
        <w:rPr>
          <w:rFonts w:cs="Sylfaen"/>
          <w:i/>
          <w:sz w:val="20"/>
          <w:szCs w:val="20"/>
          <w:lang w:val="hy-AM"/>
        </w:rPr>
        <w:softHyphen/>
        <w:t xml:space="preserve">թյունները </w:t>
      </w:r>
    </w:p>
    <w:p w14:paraId="2E053CBE" w14:textId="77777777" w:rsidR="00B11AEF" w:rsidRPr="004F12BD" w:rsidRDefault="00B11AEF" w:rsidP="00B11AEF">
      <w:pPr>
        <w:keepNext/>
        <w:keepLines/>
        <w:ind w:firstLine="0"/>
        <w:jc w:val="right"/>
        <w:rPr>
          <w:rFonts w:cs="Sylfaen"/>
          <w:i/>
          <w:sz w:val="20"/>
          <w:szCs w:val="20"/>
          <w:lang w:val="es-ES"/>
        </w:rPr>
      </w:pPr>
      <w:r w:rsidRPr="004F12BD">
        <w:rPr>
          <w:rFonts w:cs="Sylfaen"/>
          <w:i/>
          <w:sz w:val="20"/>
          <w:szCs w:val="20"/>
          <w:lang w:val="es-ES"/>
        </w:rPr>
        <w:t>(</w:t>
      </w:r>
      <w:r w:rsidRPr="004F12BD">
        <w:rPr>
          <w:rFonts w:cs="Sylfaen"/>
          <w:i/>
          <w:sz w:val="20"/>
          <w:szCs w:val="20"/>
        </w:rPr>
        <w:t>մլն</w:t>
      </w:r>
      <w:r w:rsidRPr="004F12BD">
        <w:rPr>
          <w:rFonts w:cs="Sylfaen"/>
          <w:i/>
          <w:sz w:val="20"/>
          <w:szCs w:val="20"/>
          <w:lang w:val="es-ES"/>
        </w:rPr>
        <w:t xml:space="preserve"> </w:t>
      </w:r>
      <w:r w:rsidRPr="004F12BD">
        <w:rPr>
          <w:rFonts w:cs="Sylfaen"/>
          <w:i/>
          <w:sz w:val="20"/>
          <w:szCs w:val="20"/>
        </w:rPr>
        <w:t>դրամ</w:t>
      </w:r>
      <w:r w:rsidRPr="004F12BD">
        <w:rPr>
          <w:rFonts w:cs="Sylfaen"/>
          <w:i/>
          <w:sz w:val="20"/>
          <w:szCs w:val="20"/>
          <w:lang w:val="es-E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4"/>
        <w:gridCol w:w="1558"/>
        <w:gridCol w:w="1614"/>
        <w:gridCol w:w="1650"/>
      </w:tblGrid>
      <w:tr w:rsidR="00B11AEF" w14:paraId="74881A5E" w14:textId="77777777" w:rsidTr="00B11AEF">
        <w:trPr>
          <w:trHeight w:val="20"/>
          <w:tblHeader/>
        </w:trPr>
        <w:tc>
          <w:tcPr>
            <w:tcW w:w="2571" w:type="pct"/>
            <w:shd w:val="clear" w:color="auto" w:fill="0070C0"/>
            <w:tcMar>
              <w:left w:w="57" w:type="dxa"/>
              <w:right w:w="113" w:type="dxa"/>
            </w:tcMar>
            <w:vAlign w:val="center"/>
          </w:tcPr>
          <w:p w14:paraId="19F81593" w14:textId="77777777" w:rsidR="00B11AEF" w:rsidRPr="001A441C" w:rsidRDefault="00B11AEF" w:rsidP="00B11AEF">
            <w:pPr>
              <w:ind w:firstLine="0"/>
              <w:jc w:val="center"/>
              <w:rPr>
                <w:color w:val="FFFFFF" w:themeColor="background1"/>
                <w:sz w:val="20"/>
                <w:szCs w:val="20"/>
                <w:lang w:val="hy-AM"/>
              </w:rPr>
            </w:pPr>
            <w:r w:rsidRPr="001A441C">
              <w:rPr>
                <w:rFonts w:cs="Sylfaen"/>
                <w:color w:val="FFFFFF" w:themeColor="background1"/>
                <w:sz w:val="20"/>
                <w:szCs w:val="20"/>
              </w:rPr>
              <w:t>Ցուցանիշներ</w:t>
            </w:r>
          </w:p>
        </w:tc>
        <w:tc>
          <w:tcPr>
            <w:tcW w:w="785" w:type="pct"/>
            <w:shd w:val="clear" w:color="auto" w:fill="0070C0"/>
            <w:tcMar>
              <w:left w:w="57" w:type="dxa"/>
              <w:bottom w:w="0" w:type="dxa"/>
              <w:right w:w="113" w:type="dxa"/>
            </w:tcMar>
            <w:vAlign w:val="center"/>
          </w:tcPr>
          <w:p w14:paraId="5D6065FE" w14:textId="77777777" w:rsidR="00B11AEF" w:rsidRPr="001A441C" w:rsidRDefault="00B11AEF" w:rsidP="00B11AEF">
            <w:pPr>
              <w:ind w:firstLine="0"/>
              <w:rPr>
                <w:rFonts w:cs="Sylfaen"/>
                <w:color w:val="FFFFFF" w:themeColor="background1"/>
                <w:sz w:val="20"/>
                <w:szCs w:val="20"/>
              </w:rPr>
            </w:pPr>
            <w:r w:rsidRPr="001A441C">
              <w:rPr>
                <w:color w:val="FFFFFF" w:themeColor="background1"/>
                <w:sz w:val="20"/>
                <w:szCs w:val="20"/>
                <w:lang w:val="hy-AM"/>
              </w:rPr>
              <w:t>202</w:t>
            </w:r>
            <w:r w:rsidRPr="001A441C">
              <w:rPr>
                <w:color w:val="FFFFFF" w:themeColor="background1"/>
                <w:sz w:val="20"/>
                <w:szCs w:val="20"/>
              </w:rPr>
              <w:t>2</w:t>
            </w:r>
            <w:r w:rsidRPr="001A441C">
              <w:rPr>
                <w:rFonts w:cs="Sylfaen"/>
                <w:color w:val="FFFFFF" w:themeColor="background1"/>
                <w:sz w:val="20"/>
                <w:szCs w:val="20"/>
              </w:rPr>
              <w:t>թ</w:t>
            </w:r>
            <w:r w:rsidRPr="001A441C">
              <w:rPr>
                <w:color w:val="FFFFFF" w:themeColor="background1"/>
                <w:sz w:val="20"/>
                <w:szCs w:val="20"/>
                <w:lang w:val="hy-AM"/>
              </w:rPr>
              <w:t xml:space="preserve"> </w:t>
            </w:r>
            <w:r w:rsidRPr="001A441C">
              <w:rPr>
                <w:rFonts w:cs="Sylfaen"/>
                <w:color w:val="FFFFFF" w:themeColor="background1"/>
                <w:sz w:val="20"/>
                <w:szCs w:val="20"/>
              </w:rPr>
              <w:t>ծրագիր</w:t>
            </w:r>
          </w:p>
        </w:tc>
        <w:tc>
          <w:tcPr>
            <w:tcW w:w="813" w:type="pct"/>
            <w:shd w:val="clear" w:color="auto" w:fill="0070C0"/>
            <w:tcMar>
              <w:top w:w="17" w:type="dxa"/>
              <w:left w:w="57" w:type="dxa"/>
              <w:bottom w:w="0" w:type="dxa"/>
              <w:right w:w="113" w:type="dxa"/>
            </w:tcMar>
            <w:vAlign w:val="center"/>
          </w:tcPr>
          <w:p w14:paraId="5635A6F3" w14:textId="77777777" w:rsidR="00B11AEF" w:rsidRPr="001A441C" w:rsidRDefault="00B11AEF" w:rsidP="00B11AEF">
            <w:pPr>
              <w:pStyle w:val="Specialnormal"/>
              <w:overflowPunct/>
              <w:autoSpaceDE/>
              <w:autoSpaceDN/>
              <w:adjustRightInd/>
              <w:ind w:firstLine="0"/>
              <w:jc w:val="both"/>
              <w:textAlignment w:val="auto"/>
              <w:rPr>
                <w:color w:val="FFFFFF" w:themeColor="background1"/>
                <w:lang w:val="hy-AM"/>
              </w:rPr>
            </w:pPr>
            <w:r w:rsidRPr="001A441C">
              <w:rPr>
                <w:color w:val="FFFFFF" w:themeColor="background1"/>
                <w:lang w:val="hy-AM"/>
              </w:rPr>
              <w:t>20</w:t>
            </w:r>
            <w:r w:rsidRPr="001A441C">
              <w:rPr>
                <w:color w:val="FFFFFF" w:themeColor="background1"/>
                <w:lang w:val="en-US"/>
              </w:rPr>
              <w:t>23թ</w:t>
            </w:r>
            <w:r w:rsidRPr="001A441C">
              <w:rPr>
                <w:color w:val="FFFFFF" w:themeColor="background1"/>
                <w:lang w:val="hy-AM"/>
              </w:rPr>
              <w:t xml:space="preserve"> </w:t>
            </w:r>
            <w:r w:rsidRPr="001A441C">
              <w:rPr>
                <w:rFonts w:cs="Sylfaen"/>
                <w:color w:val="FFFFFF" w:themeColor="background1"/>
              </w:rPr>
              <w:t>ծրագիր</w:t>
            </w:r>
          </w:p>
        </w:tc>
        <w:tc>
          <w:tcPr>
            <w:tcW w:w="831" w:type="pct"/>
            <w:shd w:val="clear" w:color="auto" w:fill="0070C0"/>
            <w:tcMar>
              <w:top w:w="17" w:type="dxa"/>
              <w:left w:w="57" w:type="dxa"/>
              <w:right w:w="113" w:type="dxa"/>
            </w:tcMar>
            <w:vAlign w:val="center"/>
          </w:tcPr>
          <w:p w14:paraId="6352A4C6" w14:textId="77777777" w:rsidR="00B11AEF" w:rsidRPr="001A441C" w:rsidRDefault="00B11AEF" w:rsidP="00B11AEF">
            <w:pPr>
              <w:ind w:firstLine="0"/>
              <w:jc w:val="center"/>
              <w:rPr>
                <w:color w:val="FFFFFF" w:themeColor="background1"/>
                <w:sz w:val="20"/>
                <w:szCs w:val="20"/>
                <w:lang w:val="hy-AM"/>
              </w:rPr>
            </w:pPr>
            <w:r w:rsidRPr="001A441C">
              <w:rPr>
                <w:color w:val="FFFFFF" w:themeColor="background1"/>
                <w:sz w:val="20"/>
                <w:szCs w:val="20"/>
                <w:lang w:val="hy-AM"/>
              </w:rPr>
              <w:t>20</w:t>
            </w:r>
            <w:r w:rsidRPr="001A441C">
              <w:rPr>
                <w:color w:val="FFFFFF" w:themeColor="background1"/>
                <w:sz w:val="20"/>
                <w:szCs w:val="20"/>
              </w:rPr>
              <w:t>24</w:t>
            </w:r>
            <w:r w:rsidRPr="001A441C">
              <w:rPr>
                <w:rFonts w:cs="Sylfaen"/>
                <w:color w:val="FFFFFF" w:themeColor="background1"/>
                <w:sz w:val="20"/>
                <w:szCs w:val="20"/>
              </w:rPr>
              <w:t>թ</w:t>
            </w:r>
            <w:r w:rsidRPr="001A441C">
              <w:rPr>
                <w:color w:val="FFFFFF" w:themeColor="background1"/>
                <w:sz w:val="20"/>
                <w:szCs w:val="20"/>
                <w:lang w:val="hy-AM"/>
              </w:rPr>
              <w:t xml:space="preserve"> </w:t>
            </w:r>
            <w:r w:rsidRPr="001A441C">
              <w:rPr>
                <w:rFonts w:cs="Sylfaen"/>
                <w:color w:val="FFFFFF" w:themeColor="background1"/>
                <w:sz w:val="20"/>
                <w:szCs w:val="20"/>
              </w:rPr>
              <w:t>ծրագիր</w:t>
            </w:r>
          </w:p>
        </w:tc>
      </w:tr>
      <w:tr w:rsidR="00B11AEF" w:rsidRPr="001A441C" w14:paraId="04F9340B" w14:textId="77777777" w:rsidTr="00B11AEF">
        <w:trPr>
          <w:trHeight w:val="20"/>
        </w:trPr>
        <w:tc>
          <w:tcPr>
            <w:tcW w:w="2571" w:type="pct"/>
            <w:shd w:val="clear" w:color="auto" w:fill="C6D9F1" w:themeFill="text2" w:themeFillTint="33"/>
            <w:tcMar>
              <w:left w:w="57" w:type="dxa"/>
              <w:right w:w="113" w:type="dxa"/>
            </w:tcMar>
            <w:vAlign w:val="bottom"/>
          </w:tcPr>
          <w:p w14:paraId="24686B35" w14:textId="77777777" w:rsidR="00B11AEF" w:rsidRPr="00D57E31" w:rsidRDefault="00B11AEF" w:rsidP="00B11AEF">
            <w:pPr>
              <w:spacing w:before="20" w:after="20"/>
              <w:ind w:firstLine="0"/>
              <w:rPr>
                <w:rFonts w:cs="Sylfaen"/>
                <w:b/>
                <w:sz w:val="20"/>
                <w:szCs w:val="20"/>
                <w:lang w:val="hy-AM"/>
              </w:rPr>
            </w:pPr>
            <w:r w:rsidRPr="00D57E31">
              <w:rPr>
                <w:rFonts w:cs="Sylfaen"/>
                <w:b/>
                <w:sz w:val="20"/>
                <w:szCs w:val="20"/>
                <w:lang w:val="hy-AM"/>
              </w:rPr>
              <w:t xml:space="preserve">1. Եկամուտներ </w:t>
            </w:r>
          </w:p>
        </w:tc>
        <w:tc>
          <w:tcPr>
            <w:tcW w:w="785" w:type="pct"/>
            <w:shd w:val="clear" w:color="auto" w:fill="C6D9F1" w:themeFill="text2" w:themeFillTint="33"/>
            <w:tcMar>
              <w:left w:w="57" w:type="dxa"/>
              <w:bottom w:w="0" w:type="dxa"/>
              <w:right w:w="113" w:type="dxa"/>
            </w:tcMar>
          </w:tcPr>
          <w:p w14:paraId="54E588D3" w14:textId="77777777" w:rsidR="00B11AEF" w:rsidRPr="00D57E31" w:rsidRDefault="00B11AEF" w:rsidP="00B11AEF">
            <w:pPr>
              <w:spacing w:before="20" w:after="20"/>
              <w:ind w:firstLine="0"/>
              <w:jc w:val="center"/>
              <w:rPr>
                <w:rFonts w:cs="Sylfaen"/>
                <w:b/>
                <w:sz w:val="20"/>
                <w:szCs w:val="20"/>
                <w:lang w:val="hy-AM"/>
              </w:rPr>
            </w:pPr>
            <w:r w:rsidRPr="00D57E31">
              <w:rPr>
                <w:rFonts w:cs="Sylfaen"/>
                <w:b/>
                <w:sz w:val="20"/>
                <w:szCs w:val="20"/>
                <w:lang w:val="hy-AM"/>
              </w:rPr>
              <w:t>1,819,212.1</w:t>
            </w:r>
          </w:p>
        </w:tc>
        <w:tc>
          <w:tcPr>
            <w:tcW w:w="813" w:type="pct"/>
            <w:shd w:val="clear" w:color="auto" w:fill="C6D9F1" w:themeFill="text2" w:themeFillTint="33"/>
            <w:tcMar>
              <w:top w:w="17" w:type="dxa"/>
              <w:left w:w="57" w:type="dxa"/>
              <w:bottom w:w="0" w:type="dxa"/>
              <w:right w:w="113" w:type="dxa"/>
            </w:tcMar>
          </w:tcPr>
          <w:p w14:paraId="04BEE5D1" w14:textId="77777777" w:rsidR="00B11AEF" w:rsidRPr="00D57E31" w:rsidRDefault="00B11AEF" w:rsidP="00B11AEF">
            <w:pPr>
              <w:spacing w:before="20" w:after="20"/>
              <w:ind w:firstLine="0"/>
              <w:jc w:val="center"/>
              <w:rPr>
                <w:rFonts w:cs="Sylfaen"/>
                <w:b/>
                <w:sz w:val="20"/>
                <w:szCs w:val="20"/>
                <w:lang w:val="hy-AM"/>
              </w:rPr>
            </w:pPr>
            <w:r w:rsidRPr="00D57E31">
              <w:rPr>
                <w:rFonts w:cs="Sylfaen"/>
                <w:b/>
                <w:sz w:val="20"/>
                <w:szCs w:val="20"/>
                <w:lang w:val="hy-AM"/>
              </w:rPr>
              <w:t>1,966,651.7</w:t>
            </w:r>
          </w:p>
        </w:tc>
        <w:tc>
          <w:tcPr>
            <w:tcW w:w="831" w:type="pct"/>
            <w:shd w:val="clear" w:color="auto" w:fill="C6D9F1" w:themeFill="text2" w:themeFillTint="33"/>
            <w:tcMar>
              <w:top w:w="17" w:type="dxa"/>
              <w:left w:w="57" w:type="dxa"/>
              <w:right w:w="113" w:type="dxa"/>
            </w:tcMar>
          </w:tcPr>
          <w:p w14:paraId="2A832A44" w14:textId="77777777" w:rsidR="00B11AEF" w:rsidRPr="00D57E31" w:rsidRDefault="00B11AEF" w:rsidP="00B11AEF">
            <w:pPr>
              <w:spacing w:before="20" w:after="20"/>
              <w:ind w:firstLine="0"/>
              <w:jc w:val="center"/>
              <w:rPr>
                <w:rFonts w:cs="Sylfaen"/>
                <w:b/>
                <w:sz w:val="20"/>
                <w:szCs w:val="20"/>
                <w:lang w:val="hy-AM"/>
              </w:rPr>
            </w:pPr>
            <w:r w:rsidRPr="00D57E31">
              <w:rPr>
                <w:rFonts w:cs="Sylfaen"/>
                <w:b/>
                <w:sz w:val="20"/>
                <w:szCs w:val="20"/>
                <w:lang w:val="hy-AM"/>
              </w:rPr>
              <w:t>2,148,323.3</w:t>
            </w:r>
          </w:p>
        </w:tc>
      </w:tr>
      <w:tr w:rsidR="00B11AEF" w14:paraId="63386F48" w14:textId="77777777" w:rsidTr="00B11AEF">
        <w:trPr>
          <w:trHeight w:val="20"/>
        </w:trPr>
        <w:tc>
          <w:tcPr>
            <w:tcW w:w="2571" w:type="pct"/>
            <w:shd w:val="clear" w:color="auto" w:fill="auto"/>
            <w:tcMar>
              <w:left w:w="57" w:type="dxa"/>
              <w:right w:w="113" w:type="dxa"/>
            </w:tcMar>
            <w:vAlign w:val="bottom"/>
          </w:tcPr>
          <w:p w14:paraId="674E4C75" w14:textId="77777777" w:rsidR="00B11AEF" w:rsidRPr="001A441C" w:rsidRDefault="00B11AEF" w:rsidP="00B11AEF">
            <w:pPr>
              <w:spacing w:before="20" w:after="20"/>
              <w:ind w:firstLine="0"/>
              <w:rPr>
                <w:rFonts w:cs="Sylfaen"/>
                <w:sz w:val="20"/>
                <w:szCs w:val="20"/>
                <w:lang w:val="hy-AM"/>
              </w:rPr>
            </w:pPr>
            <w:r w:rsidRPr="001A441C">
              <w:rPr>
                <w:rFonts w:cs="Sylfaen"/>
                <w:sz w:val="20"/>
                <w:szCs w:val="20"/>
                <w:lang w:val="hy-AM"/>
              </w:rPr>
              <w:t>Հարաբերությունը ՀՆԱ-ի նկատմամբ (%)</w:t>
            </w:r>
          </w:p>
        </w:tc>
        <w:tc>
          <w:tcPr>
            <w:tcW w:w="785" w:type="pct"/>
            <w:shd w:val="clear" w:color="auto" w:fill="auto"/>
            <w:tcMar>
              <w:left w:w="57" w:type="dxa"/>
              <w:bottom w:w="0" w:type="dxa"/>
              <w:right w:w="113" w:type="dxa"/>
            </w:tcMar>
            <w:vAlign w:val="bottom"/>
          </w:tcPr>
          <w:p w14:paraId="41D802C4"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24.0</w:t>
            </w:r>
          </w:p>
        </w:tc>
        <w:tc>
          <w:tcPr>
            <w:tcW w:w="813" w:type="pct"/>
            <w:shd w:val="clear" w:color="auto" w:fill="auto"/>
            <w:tcMar>
              <w:top w:w="17" w:type="dxa"/>
              <w:left w:w="57" w:type="dxa"/>
              <w:bottom w:w="0" w:type="dxa"/>
              <w:right w:w="113" w:type="dxa"/>
            </w:tcMar>
            <w:vAlign w:val="bottom"/>
          </w:tcPr>
          <w:p w14:paraId="16EEE003"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24.1</w:t>
            </w:r>
          </w:p>
        </w:tc>
        <w:tc>
          <w:tcPr>
            <w:tcW w:w="831" w:type="pct"/>
            <w:shd w:val="clear" w:color="auto" w:fill="auto"/>
            <w:tcMar>
              <w:top w:w="17" w:type="dxa"/>
              <w:left w:w="57" w:type="dxa"/>
              <w:right w:w="113" w:type="dxa"/>
            </w:tcMar>
            <w:vAlign w:val="bottom"/>
          </w:tcPr>
          <w:p w14:paraId="65149F84"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24.3</w:t>
            </w:r>
          </w:p>
        </w:tc>
      </w:tr>
      <w:tr w:rsidR="00B11AEF" w14:paraId="477CEFD7" w14:textId="77777777" w:rsidTr="00B11AEF">
        <w:trPr>
          <w:trHeight w:val="20"/>
        </w:trPr>
        <w:tc>
          <w:tcPr>
            <w:tcW w:w="2571" w:type="pct"/>
            <w:shd w:val="clear" w:color="auto" w:fill="C6D9F1" w:themeFill="text2" w:themeFillTint="33"/>
            <w:tcMar>
              <w:left w:w="57" w:type="dxa"/>
              <w:right w:w="113" w:type="dxa"/>
            </w:tcMar>
            <w:vAlign w:val="bottom"/>
          </w:tcPr>
          <w:p w14:paraId="0711FF51" w14:textId="77777777" w:rsidR="00B11AEF" w:rsidRPr="00D57E31" w:rsidRDefault="00B11AEF" w:rsidP="00B11AEF">
            <w:pPr>
              <w:spacing w:before="20" w:after="20"/>
              <w:ind w:firstLine="0"/>
              <w:rPr>
                <w:rFonts w:cs="Sylfaen"/>
                <w:b/>
                <w:sz w:val="20"/>
                <w:szCs w:val="20"/>
                <w:lang w:val="hy-AM"/>
              </w:rPr>
            </w:pPr>
            <w:r w:rsidRPr="00D57E31">
              <w:rPr>
                <w:rFonts w:cs="Sylfaen"/>
                <w:b/>
                <w:sz w:val="20"/>
                <w:szCs w:val="20"/>
                <w:lang w:val="hy-AM"/>
              </w:rPr>
              <w:t>2. Դեֆիցիտի ֆինանսավորման զուտ աղբյուրներ</w:t>
            </w:r>
          </w:p>
        </w:tc>
        <w:tc>
          <w:tcPr>
            <w:tcW w:w="785" w:type="pct"/>
            <w:shd w:val="clear" w:color="auto" w:fill="C6D9F1" w:themeFill="text2" w:themeFillTint="33"/>
            <w:tcMar>
              <w:left w:w="57" w:type="dxa"/>
              <w:bottom w:w="0" w:type="dxa"/>
              <w:right w:w="113" w:type="dxa"/>
            </w:tcMar>
            <w:vAlign w:val="bottom"/>
          </w:tcPr>
          <w:p w14:paraId="587C77F4" w14:textId="77777777" w:rsidR="00B11AEF" w:rsidRPr="00D57E31" w:rsidRDefault="00B11AEF" w:rsidP="00B11AEF">
            <w:pPr>
              <w:spacing w:before="20" w:after="20"/>
              <w:ind w:firstLine="0"/>
              <w:jc w:val="center"/>
              <w:rPr>
                <w:rFonts w:cs="Sylfaen"/>
                <w:b/>
                <w:sz w:val="20"/>
                <w:szCs w:val="20"/>
                <w:lang w:val="hy-AM"/>
              </w:rPr>
            </w:pPr>
            <w:r w:rsidRPr="00D57E31">
              <w:rPr>
                <w:rFonts w:cs="Sylfaen"/>
                <w:b/>
                <w:sz w:val="20"/>
                <w:szCs w:val="20"/>
                <w:lang w:val="hy-AM"/>
              </w:rPr>
              <w:t>181,699.1</w:t>
            </w:r>
          </w:p>
        </w:tc>
        <w:tc>
          <w:tcPr>
            <w:tcW w:w="813" w:type="pct"/>
            <w:shd w:val="clear" w:color="auto" w:fill="C6D9F1" w:themeFill="text2" w:themeFillTint="33"/>
            <w:tcMar>
              <w:top w:w="17" w:type="dxa"/>
              <w:left w:w="57" w:type="dxa"/>
              <w:bottom w:w="0" w:type="dxa"/>
              <w:right w:w="113" w:type="dxa"/>
            </w:tcMar>
            <w:vAlign w:val="bottom"/>
          </w:tcPr>
          <w:p w14:paraId="3A12A7F4" w14:textId="77777777" w:rsidR="00B11AEF" w:rsidRPr="00D57E31" w:rsidRDefault="00B11AEF" w:rsidP="00B11AEF">
            <w:pPr>
              <w:spacing w:before="20" w:after="20"/>
              <w:ind w:firstLine="0"/>
              <w:jc w:val="center"/>
              <w:rPr>
                <w:rFonts w:cs="Sylfaen"/>
                <w:b/>
                <w:sz w:val="20"/>
                <w:szCs w:val="20"/>
                <w:lang w:val="hy-AM"/>
              </w:rPr>
            </w:pPr>
            <w:r w:rsidRPr="00D57E31">
              <w:rPr>
                <w:rFonts w:cs="Sylfaen"/>
                <w:b/>
                <w:sz w:val="20"/>
                <w:szCs w:val="20"/>
                <w:lang w:val="hy-AM"/>
              </w:rPr>
              <w:t>168,804.3</w:t>
            </w:r>
          </w:p>
        </w:tc>
        <w:tc>
          <w:tcPr>
            <w:tcW w:w="831" w:type="pct"/>
            <w:shd w:val="clear" w:color="auto" w:fill="C6D9F1" w:themeFill="text2" w:themeFillTint="33"/>
            <w:tcMar>
              <w:top w:w="17" w:type="dxa"/>
              <w:left w:w="57" w:type="dxa"/>
              <w:right w:w="113" w:type="dxa"/>
            </w:tcMar>
            <w:vAlign w:val="bottom"/>
          </w:tcPr>
          <w:p w14:paraId="78C20D16" w14:textId="77777777" w:rsidR="00B11AEF" w:rsidRPr="00D57E31" w:rsidRDefault="00B11AEF" w:rsidP="00B11AEF">
            <w:pPr>
              <w:spacing w:before="20" w:after="20"/>
              <w:ind w:firstLine="0"/>
              <w:jc w:val="center"/>
              <w:rPr>
                <w:rFonts w:cs="Sylfaen"/>
                <w:b/>
                <w:sz w:val="20"/>
                <w:szCs w:val="20"/>
                <w:lang w:val="hy-AM"/>
              </w:rPr>
            </w:pPr>
            <w:r w:rsidRPr="00D57E31">
              <w:rPr>
                <w:rFonts w:cs="Sylfaen"/>
                <w:b/>
                <w:sz w:val="20"/>
                <w:szCs w:val="20"/>
                <w:lang w:val="hy-AM"/>
              </w:rPr>
              <w:t>163,723.6</w:t>
            </w:r>
          </w:p>
        </w:tc>
      </w:tr>
      <w:tr w:rsidR="00B11AEF" w14:paraId="094FAEB3" w14:textId="77777777" w:rsidTr="00B11AEF">
        <w:trPr>
          <w:trHeight w:val="20"/>
        </w:trPr>
        <w:tc>
          <w:tcPr>
            <w:tcW w:w="2571" w:type="pct"/>
            <w:tcMar>
              <w:left w:w="57" w:type="dxa"/>
              <w:right w:w="113" w:type="dxa"/>
            </w:tcMar>
            <w:vAlign w:val="bottom"/>
          </w:tcPr>
          <w:p w14:paraId="1F09E5D9" w14:textId="77777777" w:rsidR="00B11AEF" w:rsidRPr="001A441C" w:rsidRDefault="00B11AEF" w:rsidP="00B11AEF">
            <w:pPr>
              <w:spacing w:before="20" w:after="20"/>
              <w:ind w:firstLine="0"/>
              <w:rPr>
                <w:rFonts w:cs="Sylfaen"/>
                <w:sz w:val="20"/>
                <w:szCs w:val="20"/>
                <w:lang w:val="hy-AM"/>
              </w:rPr>
            </w:pPr>
            <w:r w:rsidRPr="001A441C">
              <w:rPr>
                <w:rFonts w:cs="Sylfaen"/>
                <w:sz w:val="20"/>
                <w:szCs w:val="20"/>
                <w:lang w:val="hy-AM"/>
              </w:rPr>
              <w:t>Հարաբերությունը ՀՆԱ-ի նկատմամբ (%)</w:t>
            </w:r>
          </w:p>
        </w:tc>
        <w:tc>
          <w:tcPr>
            <w:tcW w:w="785" w:type="pct"/>
            <w:tcMar>
              <w:left w:w="57" w:type="dxa"/>
              <w:bottom w:w="0" w:type="dxa"/>
              <w:right w:w="113" w:type="dxa"/>
            </w:tcMar>
            <w:vAlign w:val="bottom"/>
          </w:tcPr>
          <w:p w14:paraId="59C36808"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2.4</w:t>
            </w:r>
          </w:p>
        </w:tc>
        <w:tc>
          <w:tcPr>
            <w:tcW w:w="813" w:type="pct"/>
            <w:tcMar>
              <w:top w:w="17" w:type="dxa"/>
              <w:left w:w="57" w:type="dxa"/>
              <w:bottom w:w="0" w:type="dxa"/>
              <w:right w:w="113" w:type="dxa"/>
            </w:tcMar>
            <w:vAlign w:val="bottom"/>
          </w:tcPr>
          <w:p w14:paraId="387AEF92"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2.1</w:t>
            </w:r>
          </w:p>
        </w:tc>
        <w:tc>
          <w:tcPr>
            <w:tcW w:w="831" w:type="pct"/>
            <w:tcMar>
              <w:top w:w="17" w:type="dxa"/>
              <w:left w:w="57" w:type="dxa"/>
              <w:right w:w="113" w:type="dxa"/>
            </w:tcMar>
            <w:vAlign w:val="bottom"/>
          </w:tcPr>
          <w:p w14:paraId="5F4586C2"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1.9</w:t>
            </w:r>
          </w:p>
        </w:tc>
      </w:tr>
      <w:tr w:rsidR="00B11AEF" w:rsidRPr="009C6607" w14:paraId="5216648B" w14:textId="77777777" w:rsidTr="00B11AEF">
        <w:trPr>
          <w:trHeight w:val="198"/>
        </w:trPr>
        <w:tc>
          <w:tcPr>
            <w:tcW w:w="2571" w:type="pct"/>
            <w:shd w:val="clear" w:color="auto" w:fill="C6D9F1" w:themeFill="text2" w:themeFillTint="33"/>
            <w:tcMar>
              <w:left w:w="57" w:type="dxa"/>
              <w:right w:w="113" w:type="dxa"/>
            </w:tcMar>
            <w:vAlign w:val="bottom"/>
          </w:tcPr>
          <w:p w14:paraId="50EDC3EC" w14:textId="77777777" w:rsidR="00B11AEF" w:rsidRPr="00D57E31" w:rsidRDefault="00B11AEF" w:rsidP="00B11AEF">
            <w:pPr>
              <w:spacing w:before="20" w:after="20"/>
              <w:ind w:firstLine="0"/>
              <w:rPr>
                <w:rFonts w:cs="Sylfaen"/>
                <w:b/>
                <w:sz w:val="20"/>
                <w:szCs w:val="20"/>
                <w:lang w:val="hy-AM"/>
              </w:rPr>
            </w:pPr>
            <w:r w:rsidRPr="00D57E31">
              <w:rPr>
                <w:rFonts w:cs="Sylfaen"/>
                <w:b/>
                <w:sz w:val="20"/>
                <w:szCs w:val="20"/>
                <w:lang w:val="hy-AM"/>
              </w:rPr>
              <w:t>ԸՆԴԱՄԵՆԸ ՄՈՒՏՔԵՐ</w:t>
            </w:r>
          </w:p>
        </w:tc>
        <w:tc>
          <w:tcPr>
            <w:tcW w:w="785" w:type="pct"/>
            <w:shd w:val="clear" w:color="auto" w:fill="C6D9F1" w:themeFill="text2" w:themeFillTint="33"/>
            <w:tcMar>
              <w:left w:w="57" w:type="dxa"/>
              <w:bottom w:w="0" w:type="dxa"/>
              <w:right w:w="113" w:type="dxa"/>
            </w:tcMar>
            <w:vAlign w:val="bottom"/>
          </w:tcPr>
          <w:p w14:paraId="4C8205BB" w14:textId="77777777" w:rsidR="00B11AEF" w:rsidRPr="009C6607" w:rsidRDefault="00B11AEF" w:rsidP="00B11AEF">
            <w:pPr>
              <w:spacing w:before="20" w:after="20"/>
              <w:ind w:firstLine="0"/>
              <w:jc w:val="center"/>
              <w:rPr>
                <w:rFonts w:ascii="Calibri" w:hAnsi="Calibri" w:cs="Calibri"/>
                <w:color w:val="000000"/>
              </w:rPr>
            </w:pPr>
            <w:r w:rsidRPr="009C6607">
              <w:rPr>
                <w:rFonts w:cs="Sylfaen"/>
                <w:b/>
                <w:sz w:val="20"/>
                <w:szCs w:val="20"/>
                <w:lang w:val="hy-AM"/>
              </w:rPr>
              <w:t>2,000,911.2</w:t>
            </w:r>
          </w:p>
        </w:tc>
        <w:tc>
          <w:tcPr>
            <w:tcW w:w="813" w:type="pct"/>
            <w:shd w:val="clear" w:color="auto" w:fill="C6D9F1" w:themeFill="text2" w:themeFillTint="33"/>
            <w:tcMar>
              <w:top w:w="17" w:type="dxa"/>
              <w:left w:w="57" w:type="dxa"/>
              <w:bottom w:w="0" w:type="dxa"/>
              <w:right w:w="113" w:type="dxa"/>
            </w:tcMar>
            <w:vAlign w:val="bottom"/>
          </w:tcPr>
          <w:p w14:paraId="3322BE56" w14:textId="77777777" w:rsidR="00B11AEF" w:rsidRPr="00D57E31" w:rsidRDefault="00B11AEF" w:rsidP="00B11AEF">
            <w:pPr>
              <w:spacing w:before="20" w:after="20"/>
              <w:ind w:firstLine="0"/>
              <w:jc w:val="center"/>
              <w:rPr>
                <w:rFonts w:cs="Sylfaen"/>
                <w:b/>
                <w:sz w:val="20"/>
                <w:szCs w:val="20"/>
                <w:lang w:val="hy-AM"/>
              </w:rPr>
            </w:pPr>
            <w:r w:rsidRPr="00D57E31">
              <w:rPr>
                <w:rFonts w:cs="Sylfaen"/>
                <w:b/>
                <w:sz w:val="20"/>
                <w:szCs w:val="20"/>
                <w:lang w:val="hy-AM"/>
              </w:rPr>
              <w:t>2,135</w:t>
            </w:r>
            <w:r>
              <w:rPr>
                <w:rFonts w:cs="Sylfaen"/>
                <w:b/>
                <w:sz w:val="20"/>
                <w:szCs w:val="20"/>
              </w:rPr>
              <w:t>,456</w:t>
            </w:r>
            <w:r w:rsidRPr="00D57E31">
              <w:rPr>
                <w:rFonts w:cs="Sylfaen"/>
                <w:b/>
                <w:sz w:val="20"/>
                <w:szCs w:val="20"/>
                <w:lang w:val="hy-AM"/>
              </w:rPr>
              <w:t>.</w:t>
            </w:r>
            <w:r>
              <w:rPr>
                <w:rFonts w:cs="Sylfaen"/>
                <w:b/>
                <w:sz w:val="20"/>
                <w:szCs w:val="20"/>
              </w:rPr>
              <w:t>0</w:t>
            </w:r>
          </w:p>
        </w:tc>
        <w:tc>
          <w:tcPr>
            <w:tcW w:w="831" w:type="pct"/>
            <w:shd w:val="clear" w:color="auto" w:fill="C6D9F1" w:themeFill="text2" w:themeFillTint="33"/>
            <w:tcMar>
              <w:top w:w="17" w:type="dxa"/>
              <w:left w:w="57" w:type="dxa"/>
              <w:right w:w="113" w:type="dxa"/>
            </w:tcMar>
            <w:vAlign w:val="bottom"/>
          </w:tcPr>
          <w:p w14:paraId="56ECB631" w14:textId="77777777" w:rsidR="00B11AEF" w:rsidRPr="00D57E31" w:rsidRDefault="00B11AEF" w:rsidP="00B11AEF">
            <w:pPr>
              <w:spacing w:before="20" w:after="20"/>
              <w:ind w:firstLine="0"/>
              <w:jc w:val="center"/>
              <w:rPr>
                <w:rFonts w:cs="Sylfaen"/>
                <w:b/>
                <w:sz w:val="20"/>
                <w:szCs w:val="20"/>
                <w:lang w:val="hy-AM"/>
              </w:rPr>
            </w:pPr>
            <w:r w:rsidRPr="00D57E31">
              <w:rPr>
                <w:rFonts w:cs="Sylfaen"/>
                <w:b/>
                <w:sz w:val="20"/>
                <w:szCs w:val="20"/>
                <w:lang w:val="hy-AM"/>
              </w:rPr>
              <w:t>2,312</w:t>
            </w:r>
            <w:r w:rsidRPr="009C6607">
              <w:rPr>
                <w:rFonts w:cs="Sylfaen"/>
                <w:b/>
                <w:sz w:val="20"/>
                <w:szCs w:val="20"/>
                <w:lang w:val="hy-AM"/>
              </w:rPr>
              <w:t>,046.</w:t>
            </w:r>
            <w:r>
              <w:rPr>
                <w:rFonts w:cs="Sylfaen"/>
                <w:b/>
                <w:sz w:val="20"/>
                <w:szCs w:val="20"/>
              </w:rPr>
              <w:t>9</w:t>
            </w:r>
          </w:p>
        </w:tc>
      </w:tr>
      <w:tr w:rsidR="00B11AEF" w:rsidRPr="009C6607" w14:paraId="6B6B0ABA" w14:textId="77777777" w:rsidTr="00B11AEF">
        <w:trPr>
          <w:trHeight w:val="20"/>
        </w:trPr>
        <w:tc>
          <w:tcPr>
            <w:tcW w:w="2571" w:type="pct"/>
            <w:tcMar>
              <w:left w:w="57" w:type="dxa"/>
              <w:right w:w="113" w:type="dxa"/>
            </w:tcMar>
            <w:vAlign w:val="bottom"/>
          </w:tcPr>
          <w:p w14:paraId="401C142B" w14:textId="77777777" w:rsidR="00B11AEF" w:rsidRPr="001A441C" w:rsidRDefault="00B11AEF" w:rsidP="00B11AEF">
            <w:pPr>
              <w:spacing w:before="20" w:after="20"/>
              <w:ind w:firstLine="0"/>
              <w:rPr>
                <w:rFonts w:cs="Sylfaen"/>
                <w:sz w:val="20"/>
                <w:szCs w:val="20"/>
                <w:lang w:val="hy-AM"/>
              </w:rPr>
            </w:pPr>
            <w:r w:rsidRPr="001A441C">
              <w:rPr>
                <w:rFonts w:cs="Sylfaen"/>
                <w:sz w:val="20"/>
                <w:szCs w:val="20"/>
                <w:lang w:val="hy-AM"/>
              </w:rPr>
              <w:t>Հարաբերությունը ՀՆԱ-ի նկատմամբ (%)</w:t>
            </w:r>
          </w:p>
        </w:tc>
        <w:tc>
          <w:tcPr>
            <w:tcW w:w="785" w:type="pct"/>
            <w:tcMar>
              <w:left w:w="57" w:type="dxa"/>
              <w:bottom w:w="0" w:type="dxa"/>
              <w:right w:w="113" w:type="dxa"/>
            </w:tcMar>
            <w:vAlign w:val="center"/>
          </w:tcPr>
          <w:p w14:paraId="103E9023"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26.4</w:t>
            </w:r>
          </w:p>
        </w:tc>
        <w:tc>
          <w:tcPr>
            <w:tcW w:w="813" w:type="pct"/>
            <w:tcMar>
              <w:top w:w="17" w:type="dxa"/>
              <w:left w:w="57" w:type="dxa"/>
              <w:bottom w:w="0" w:type="dxa"/>
              <w:right w:w="113" w:type="dxa"/>
            </w:tcMar>
            <w:vAlign w:val="center"/>
          </w:tcPr>
          <w:p w14:paraId="4B2C5260"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26.1</w:t>
            </w:r>
          </w:p>
        </w:tc>
        <w:tc>
          <w:tcPr>
            <w:tcW w:w="831" w:type="pct"/>
            <w:tcMar>
              <w:top w:w="17" w:type="dxa"/>
              <w:left w:w="57" w:type="dxa"/>
              <w:right w:w="113" w:type="dxa"/>
            </w:tcMar>
            <w:vAlign w:val="center"/>
          </w:tcPr>
          <w:p w14:paraId="7E610789"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26.2</w:t>
            </w:r>
          </w:p>
        </w:tc>
      </w:tr>
      <w:tr w:rsidR="00B11AEF" w:rsidRPr="009C6607" w14:paraId="7DA5C962" w14:textId="77777777" w:rsidTr="00B11AEF">
        <w:trPr>
          <w:trHeight w:val="20"/>
        </w:trPr>
        <w:tc>
          <w:tcPr>
            <w:tcW w:w="2571" w:type="pct"/>
            <w:shd w:val="clear" w:color="auto" w:fill="FFFFFF" w:themeFill="background1"/>
            <w:tcMar>
              <w:left w:w="57" w:type="dxa"/>
              <w:right w:w="113" w:type="dxa"/>
            </w:tcMar>
            <w:vAlign w:val="bottom"/>
          </w:tcPr>
          <w:p w14:paraId="04877A6F" w14:textId="77777777" w:rsidR="00B11AEF" w:rsidRPr="001A441C" w:rsidRDefault="00B11AEF" w:rsidP="00B11AEF">
            <w:pPr>
              <w:spacing w:before="20" w:after="20"/>
              <w:ind w:firstLine="0"/>
              <w:rPr>
                <w:rFonts w:cs="Sylfaen"/>
                <w:sz w:val="20"/>
                <w:szCs w:val="20"/>
                <w:lang w:val="hy-AM"/>
              </w:rPr>
            </w:pPr>
            <w:r w:rsidRPr="001A441C">
              <w:rPr>
                <w:rFonts w:cs="Sylfaen"/>
                <w:sz w:val="20"/>
                <w:szCs w:val="20"/>
                <w:lang w:val="hy-AM"/>
              </w:rPr>
              <w:t>ՆՈՒՅՆԸ` ԸՍՏ 2021-2023ԹԹ ՄԺԾԾ-ի</w:t>
            </w:r>
          </w:p>
        </w:tc>
        <w:tc>
          <w:tcPr>
            <w:tcW w:w="785" w:type="pct"/>
            <w:shd w:val="clear" w:color="auto" w:fill="FFFFFF" w:themeFill="background1"/>
            <w:tcMar>
              <w:left w:w="57" w:type="dxa"/>
              <w:bottom w:w="0" w:type="dxa"/>
              <w:right w:w="113" w:type="dxa"/>
            </w:tcMar>
          </w:tcPr>
          <w:p w14:paraId="5C70A759" w14:textId="77777777" w:rsidR="00B11AEF" w:rsidRPr="009C6607" w:rsidRDefault="00B11AEF" w:rsidP="00B11AEF">
            <w:pPr>
              <w:ind w:firstLine="0"/>
              <w:jc w:val="center"/>
              <w:rPr>
                <w:rFonts w:eastAsia="Times New Roman" w:cs="Times New Roman"/>
                <w:sz w:val="20"/>
                <w:szCs w:val="20"/>
                <w:lang w:val="hy-AM"/>
              </w:rPr>
            </w:pPr>
            <w:r w:rsidRPr="009C6607">
              <w:rPr>
                <w:sz w:val="20"/>
                <w:szCs w:val="20"/>
                <w:lang w:val="hy-AM"/>
              </w:rPr>
              <w:t>2,026,121.6</w:t>
            </w:r>
          </w:p>
        </w:tc>
        <w:tc>
          <w:tcPr>
            <w:tcW w:w="813" w:type="pct"/>
            <w:shd w:val="clear" w:color="auto" w:fill="FFFFFF" w:themeFill="background1"/>
            <w:tcMar>
              <w:top w:w="17" w:type="dxa"/>
              <w:left w:w="57" w:type="dxa"/>
              <w:bottom w:w="0" w:type="dxa"/>
              <w:right w:w="113" w:type="dxa"/>
            </w:tcMar>
          </w:tcPr>
          <w:p w14:paraId="68D0F5EB" w14:textId="77777777" w:rsidR="00B11AEF" w:rsidRPr="009C6607" w:rsidRDefault="00B11AEF" w:rsidP="00B11AEF">
            <w:pPr>
              <w:ind w:firstLine="0"/>
              <w:jc w:val="center"/>
              <w:rPr>
                <w:rFonts w:eastAsia="Times New Roman" w:cs="Times New Roman"/>
                <w:sz w:val="20"/>
                <w:szCs w:val="20"/>
                <w:lang w:val="hy-AM"/>
              </w:rPr>
            </w:pPr>
            <w:r w:rsidRPr="009C6607">
              <w:rPr>
                <w:sz w:val="20"/>
                <w:szCs w:val="20"/>
                <w:lang w:val="hy-AM"/>
              </w:rPr>
              <w:t>2,241,422.8</w:t>
            </w:r>
          </w:p>
        </w:tc>
        <w:tc>
          <w:tcPr>
            <w:tcW w:w="831" w:type="pct"/>
            <w:shd w:val="clear" w:color="auto" w:fill="FFFFFF" w:themeFill="background1"/>
            <w:tcMar>
              <w:top w:w="17" w:type="dxa"/>
              <w:left w:w="57" w:type="dxa"/>
              <w:right w:w="113" w:type="dxa"/>
            </w:tcMar>
            <w:vAlign w:val="bottom"/>
          </w:tcPr>
          <w:p w14:paraId="33772A7D"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x</w:t>
            </w:r>
          </w:p>
        </w:tc>
      </w:tr>
      <w:tr w:rsidR="00B11AEF" w:rsidRPr="00D57E31" w14:paraId="38DD31C4" w14:textId="77777777" w:rsidTr="00B11AEF">
        <w:trPr>
          <w:trHeight w:val="20"/>
        </w:trPr>
        <w:tc>
          <w:tcPr>
            <w:tcW w:w="2571" w:type="pct"/>
            <w:tcMar>
              <w:left w:w="57" w:type="dxa"/>
              <w:right w:w="113" w:type="dxa"/>
            </w:tcMar>
            <w:vAlign w:val="bottom"/>
          </w:tcPr>
          <w:p w14:paraId="5C2BBBD9" w14:textId="77777777" w:rsidR="00B11AEF" w:rsidRPr="001A441C" w:rsidRDefault="00B11AEF" w:rsidP="00B11AEF">
            <w:pPr>
              <w:spacing w:before="20" w:after="20"/>
              <w:ind w:firstLine="0"/>
              <w:rPr>
                <w:rFonts w:cs="Sylfaen"/>
                <w:sz w:val="20"/>
                <w:szCs w:val="20"/>
                <w:lang w:val="hy-AM"/>
              </w:rPr>
            </w:pPr>
            <w:r w:rsidRPr="001A441C">
              <w:rPr>
                <w:rFonts w:cs="Sylfaen"/>
                <w:sz w:val="20"/>
                <w:szCs w:val="20"/>
                <w:lang w:val="hy-AM"/>
              </w:rPr>
              <w:t>Հարաբերությունը ՀՆԱ-ի նկատմամբ (%)</w:t>
            </w:r>
          </w:p>
        </w:tc>
        <w:tc>
          <w:tcPr>
            <w:tcW w:w="785" w:type="pct"/>
            <w:tcMar>
              <w:left w:w="57" w:type="dxa"/>
              <w:bottom w:w="0" w:type="dxa"/>
              <w:right w:w="113" w:type="dxa"/>
            </w:tcMar>
            <w:vAlign w:val="bottom"/>
          </w:tcPr>
          <w:p w14:paraId="14D2486E" w14:textId="77777777" w:rsidR="00B11AEF" w:rsidRPr="003C716D" w:rsidRDefault="00B11AEF" w:rsidP="00B11AEF">
            <w:pPr>
              <w:ind w:firstLine="0"/>
              <w:jc w:val="center"/>
              <w:rPr>
                <w:sz w:val="20"/>
                <w:szCs w:val="20"/>
              </w:rPr>
            </w:pPr>
            <w:r>
              <w:rPr>
                <w:sz w:val="20"/>
                <w:szCs w:val="20"/>
              </w:rPr>
              <w:t>25.8</w:t>
            </w:r>
            <w:r w:rsidRPr="003C716D">
              <w:rPr>
                <w:sz w:val="20"/>
                <w:szCs w:val="20"/>
              </w:rPr>
              <w:t>%</w:t>
            </w:r>
          </w:p>
        </w:tc>
        <w:tc>
          <w:tcPr>
            <w:tcW w:w="813" w:type="pct"/>
            <w:tcMar>
              <w:top w:w="17" w:type="dxa"/>
              <w:left w:w="57" w:type="dxa"/>
              <w:bottom w:w="0" w:type="dxa"/>
              <w:right w:w="113" w:type="dxa"/>
            </w:tcMar>
            <w:vAlign w:val="bottom"/>
          </w:tcPr>
          <w:p w14:paraId="62315A35" w14:textId="77777777" w:rsidR="00B11AEF" w:rsidRPr="003C716D" w:rsidRDefault="00B11AEF" w:rsidP="00B11AEF">
            <w:pPr>
              <w:ind w:firstLine="0"/>
              <w:jc w:val="center"/>
              <w:rPr>
                <w:sz w:val="20"/>
                <w:szCs w:val="20"/>
              </w:rPr>
            </w:pPr>
            <w:r w:rsidRPr="003C716D">
              <w:rPr>
                <w:sz w:val="20"/>
                <w:szCs w:val="20"/>
              </w:rPr>
              <w:t>26.</w:t>
            </w:r>
            <w:r>
              <w:rPr>
                <w:sz w:val="20"/>
                <w:szCs w:val="20"/>
              </w:rPr>
              <w:t>1</w:t>
            </w:r>
            <w:r w:rsidRPr="003C716D">
              <w:rPr>
                <w:sz w:val="20"/>
                <w:szCs w:val="20"/>
              </w:rPr>
              <w:t>%</w:t>
            </w:r>
          </w:p>
        </w:tc>
        <w:tc>
          <w:tcPr>
            <w:tcW w:w="831" w:type="pct"/>
            <w:tcMar>
              <w:top w:w="17" w:type="dxa"/>
              <w:left w:w="57" w:type="dxa"/>
              <w:right w:w="113" w:type="dxa"/>
            </w:tcMar>
            <w:vAlign w:val="bottom"/>
          </w:tcPr>
          <w:p w14:paraId="1A5E9094" w14:textId="77777777" w:rsidR="00B11AEF" w:rsidRPr="001A441C" w:rsidRDefault="00B11AEF" w:rsidP="00B11AEF">
            <w:pPr>
              <w:spacing w:before="20" w:after="20"/>
              <w:ind w:firstLine="0"/>
              <w:jc w:val="center"/>
              <w:rPr>
                <w:rFonts w:cs="Sylfaen"/>
                <w:sz w:val="20"/>
                <w:szCs w:val="20"/>
                <w:lang w:val="hy-AM"/>
              </w:rPr>
            </w:pPr>
            <w:r w:rsidRPr="001A441C">
              <w:rPr>
                <w:rFonts w:cs="Sylfaen"/>
                <w:sz w:val="20"/>
                <w:szCs w:val="20"/>
                <w:lang w:val="hy-AM"/>
              </w:rPr>
              <w:t>x</w:t>
            </w:r>
          </w:p>
        </w:tc>
      </w:tr>
    </w:tbl>
    <w:p w14:paraId="18CB084B" w14:textId="77777777" w:rsidR="00B11AEF" w:rsidRDefault="00B11AEF" w:rsidP="00B11AEF">
      <w:pPr>
        <w:tabs>
          <w:tab w:val="left" w:pos="0"/>
          <w:tab w:val="num" w:pos="720"/>
        </w:tabs>
        <w:spacing w:after="0" w:line="360" w:lineRule="auto"/>
        <w:ind w:firstLine="720"/>
        <w:rPr>
          <w:bCs/>
          <w:color w:val="000000"/>
        </w:rPr>
      </w:pPr>
      <w:bookmarkStart w:id="533" w:name="_Toc77356421"/>
    </w:p>
    <w:p w14:paraId="5627D33B" w14:textId="261F2953" w:rsidR="00B11AEF" w:rsidRPr="00022BF5" w:rsidRDefault="00E0256F" w:rsidP="00E0256F">
      <w:pPr>
        <w:tabs>
          <w:tab w:val="left" w:pos="0"/>
          <w:tab w:val="num" w:pos="720"/>
        </w:tabs>
        <w:spacing w:after="0" w:line="276" w:lineRule="auto"/>
        <w:ind w:firstLine="720"/>
        <w:rPr>
          <w:bCs/>
          <w:color w:val="000000"/>
          <w:lang w:val="hy-AM"/>
        </w:rPr>
      </w:pPr>
      <w:r>
        <w:rPr>
          <w:bCs/>
          <w:color w:val="000000"/>
          <w:lang w:val="hy-AM"/>
        </w:rPr>
        <w:t>Ն</w:t>
      </w:r>
      <w:r w:rsidRPr="00022BF5">
        <w:rPr>
          <w:bCs/>
          <w:color w:val="000000"/>
          <w:lang w:val="hy-AM"/>
        </w:rPr>
        <w:t xml:space="preserve">ախորդ 2021-2023 թվականների համար հաստատված ՄԺԾԾ շրջանակի համեմատ </w:t>
      </w:r>
      <w:r w:rsidR="00B11AEF" w:rsidRPr="00022BF5">
        <w:rPr>
          <w:bCs/>
          <w:color w:val="000000"/>
          <w:lang w:val="hy-AM"/>
        </w:rPr>
        <w:t xml:space="preserve">2021 թվականի մակրոտնտեսական և հարկաբյուջետային շրջանակի հունվար ամսին վերագնահատման արդյունքում ի հայտ էին եկել նշանակալի փոփոխություններ։ </w:t>
      </w:r>
      <w:r>
        <w:rPr>
          <w:bCs/>
          <w:color w:val="000000"/>
          <w:lang w:val="hy-AM"/>
        </w:rPr>
        <w:t xml:space="preserve">Վերջինս հիմք էր հանդիսացել 2022-2024 թվականների ՄԺԾԾ չափաքանակների սահմանման համար։ </w:t>
      </w:r>
      <w:r w:rsidR="00B11AEF" w:rsidRPr="004F2B98">
        <w:rPr>
          <w:bCs/>
          <w:color w:val="000000"/>
          <w:lang w:val="hy-AM"/>
        </w:rPr>
        <w:t>18.06.2021թ. մակրոշրջանակ</w:t>
      </w:r>
      <w:r>
        <w:rPr>
          <w:bCs/>
          <w:color w:val="000000"/>
          <w:lang w:val="hy-AM"/>
        </w:rPr>
        <w:t xml:space="preserve">ի վերանայման </w:t>
      </w:r>
      <w:r w:rsidR="00B11AEF" w:rsidRPr="004F2B98">
        <w:rPr>
          <w:bCs/>
          <w:color w:val="000000"/>
          <w:lang w:val="hy-AM"/>
        </w:rPr>
        <w:t xml:space="preserve">արդյունքում առաջացել է լրացուցիչ ծախսերի </w:t>
      </w:r>
      <w:r w:rsidR="00B11AEF">
        <w:rPr>
          <w:bCs/>
          <w:color w:val="000000"/>
          <w:lang w:val="hy-AM"/>
        </w:rPr>
        <w:t xml:space="preserve">նախատեսման </w:t>
      </w:r>
      <w:r w:rsidR="00B11AEF" w:rsidRPr="004F2B98">
        <w:rPr>
          <w:bCs/>
          <w:color w:val="000000"/>
          <w:lang w:val="hy-AM"/>
        </w:rPr>
        <w:t xml:space="preserve">հնարավորություն 2022թ. </w:t>
      </w:r>
      <w:r w:rsidR="00B11AEF">
        <w:rPr>
          <w:bCs/>
          <w:color w:val="000000"/>
          <w:lang w:val="hy-AM"/>
        </w:rPr>
        <w:t>հ</w:t>
      </w:r>
      <w:r w:rsidR="00B11AEF" w:rsidRPr="004F2B98">
        <w:rPr>
          <w:bCs/>
          <w:color w:val="000000"/>
          <w:lang w:val="hy-AM"/>
        </w:rPr>
        <w:t>ամար</w:t>
      </w:r>
      <w:r w:rsidR="00B11AEF">
        <w:rPr>
          <w:bCs/>
          <w:color w:val="000000"/>
          <w:lang w:val="hy-AM"/>
        </w:rPr>
        <w:t>՝</w:t>
      </w:r>
      <w:r w:rsidR="00B11AEF" w:rsidRPr="004F2B98">
        <w:rPr>
          <w:bCs/>
          <w:color w:val="000000"/>
          <w:lang w:val="hy-AM"/>
        </w:rPr>
        <w:t xml:space="preserve"> 186.5 մլրդ դրամ, 2023թ.՝ 198.4 մլրդ դրամ և 2024թ.՝ 377.2 մլրդ դրամ</w:t>
      </w:r>
      <w:r w:rsidR="00327D12" w:rsidRPr="00327D12">
        <w:rPr>
          <w:bCs/>
          <w:color w:val="000000"/>
          <w:lang w:val="hy-AM"/>
        </w:rPr>
        <w:t xml:space="preserve">, ըստ </w:t>
      </w:r>
      <w:r w:rsidR="00B11AEF" w:rsidRPr="00022BF5">
        <w:rPr>
          <w:bCs/>
          <w:color w:val="000000"/>
          <w:lang w:val="hy-AM"/>
        </w:rPr>
        <w:t>ընթացիկ</w:t>
      </w:r>
      <w:r w:rsidR="00327D12" w:rsidRPr="00327D12">
        <w:rPr>
          <w:bCs/>
          <w:color w:val="000000"/>
          <w:lang w:val="hy-AM"/>
        </w:rPr>
        <w:t>,</w:t>
      </w:r>
      <w:r w:rsidR="00B11AEF">
        <w:rPr>
          <w:bCs/>
          <w:color w:val="000000"/>
          <w:lang w:val="hy-AM"/>
        </w:rPr>
        <w:t xml:space="preserve"> կապիտալ </w:t>
      </w:r>
      <w:r w:rsidR="00327D12" w:rsidRPr="00327D12">
        <w:rPr>
          <w:bCs/>
          <w:color w:val="000000"/>
          <w:lang w:val="hy-AM"/>
        </w:rPr>
        <w:t xml:space="preserve">և </w:t>
      </w:r>
      <w:r w:rsidR="00B11AEF" w:rsidRPr="00022BF5">
        <w:rPr>
          <w:bCs/>
          <w:color w:val="000000"/>
          <w:lang w:val="hy-AM"/>
        </w:rPr>
        <w:t>տոկոսավճարների</w:t>
      </w:r>
      <w:r w:rsidR="00B11AEF">
        <w:rPr>
          <w:bCs/>
          <w:color w:val="000000"/>
          <w:lang w:val="hy-AM"/>
        </w:rPr>
        <w:t xml:space="preserve"> </w:t>
      </w:r>
      <w:r w:rsidR="00327D12" w:rsidRPr="00327D12">
        <w:rPr>
          <w:bCs/>
          <w:color w:val="000000"/>
          <w:lang w:val="hy-AM"/>
        </w:rPr>
        <w:t>գծով ծախսերի</w:t>
      </w:r>
      <w:r w:rsidR="00B11AEF">
        <w:rPr>
          <w:bCs/>
          <w:color w:val="000000"/>
          <w:lang w:val="hy-AM"/>
        </w:rPr>
        <w:t xml:space="preserve">: Ընդ որում ընթացիկ և կապիտալ ծախսերի լրացուցիչ գումարները </w:t>
      </w:r>
      <w:r w:rsidR="00327D12" w:rsidRPr="00327D12">
        <w:rPr>
          <w:bCs/>
          <w:color w:val="000000"/>
          <w:lang w:val="hy-AM"/>
        </w:rPr>
        <w:t>նախատեսվել են որպես</w:t>
      </w:r>
      <w:r w:rsidR="00B11AEF">
        <w:rPr>
          <w:bCs/>
          <w:color w:val="000000"/>
          <w:lang w:val="hy-AM"/>
        </w:rPr>
        <w:t xml:space="preserve"> չբաշխված ծախսեր</w:t>
      </w:r>
      <w:r w:rsidR="00327D12" w:rsidRPr="00327D12">
        <w:rPr>
          <w:bCs/>
          <w:color w:val="000000"/>
          <w:lang w:val="hy-AM"/>
        </w:rPr>
        <w:t>ում</w:t>
      </w:r>
      <w:r w:rsidR="00B11AEF">
        <w:rPr>
          <w:bCs/>
          <w:color w:val="000000"/>
          <w:lang w:val="hy-AM"/>
        </w:rPr>
        <w:t>:</w:t>
      </w:r>
    </w:p>
    <w:p w14:paraId="50DF57E6" w14:textId="77777777" w:rsidR="00B11AEF" w:rsidRPr="004F2B98" w:rsidRDefault="00B11AEF" w:rsidP="00327D12">
      <w:pPr>
        <w:tabs>
          <w:tab w:val="left" w:pos="0"/>
        </w:tabs>
        <w:spacing w:after="0" w:line="276" w:lineRule="auto"/>
        <w:ind w:firstLine="720"/>
        <w:rPr>
          <w:bCs/>
          <w:color w:val="000000"/>
          <w:lang w:val="hy-AM"/>
        </w:rPr>
      </w:pPr>
      <w:r>
        <w:rPr>
          <w:bCs/>
          <w:color w:val="000000"/>
          <w:lang w:val="hy-AM"/>
        </w:rPr>
        <w:t>Արդյունքում 2022-2024 թվականների համար չբաշխված կապիտալ և ընթացիկ (այդ թվում ՀՀ կառավարության պահուստային ֆոնդի) ծախսերը կազմում է համապատասխանաբար 334.6 մլրդ դրամ, 348.9 մլրդ դրամ և 483.1 մլրդ դրամ: Մասնավորապես.</w:t>
      </w:r>
    </w:p>
    <w:p w14:paraId="233BE7C0" w14:textId="77777777" w:rsidR="00B11AEF" w:rsidRDefault="00B11AEF" w:rsidP="00327D12">
      <w:pPr>
        <w:tabs>
          <w:tab w:val="left" w:pos="0"/>
        </w:tabs>
        <w:spacing w:after="0" w:line="276" w:lineRule="auto"/>
        <w:ind w:firstLine="720"/>
        <w:rPr>
          <w:bCs/>
          <w:color w:val="000000"/>
          <w:lang w:val="hy-AM"/>
        </w:rPr>
      </w:pPr>
      <w:r>
        <w:rPr>
          <w:bCs/>
          <w:color w:val="000000"/>
          <w:lang w:val="hy-AM"/>
        </w:rPr>
        <w:t>2022թ-ի</w:t>
      </w:r>
      <w:r w:rsidRPr="004F2B98">
        <w:rPr>
          <w:bCs/>
          <w:color w:val="000000"/>
          <w:lang w:val="hy-AM"/>
        </w:rPr>
        <w:t xml:space="preserve"> ընթացիկ ծախսերի </w:t>
      </w:r>
      <w:r>
        <w:rPr>
          <w:bCs/>
          <w:color w:val="000000"/>
          <w:lang w:val="hy-AM"/>
        </w:rPr>
        <w:t xml:space="preserve">գծով </w:t>
      </w:r>
      <w:r w:rsidRPr="004F2B98">
        <w:rPr>
          <w:bCs/>
          <w:color w:val="000000"/>
          <w:lang w:val="hy-AM"/>
        </w:rPr>
        <w:t xml:space="preserve">լրացուցիչ միջոցները </w:t>
      </w:r>
      <w:r>
        <w:rPr>
          <w:bCs/>
          <w:color w:val="000000"/>
          <w:lang w:val="hy-AM"/>
        </w:rPr>
        <w:t xml:space="preserve">համալրվել են </w:t>
      </w:r>
      <w:r w:rsidRPr="004F2B98">
        <w:rPr>
          <w:bCs/>
          <w:color w:val="000000"/>
          <w:lang w:val="hy-AM"/>
        </w:rPr>
        <w:t xml:space="preserve">ՀՀ </w:t>
      </w:r>
      <w:r>
        <w:rPr>
          <w:bCs/>
          <w:color w:val="000000"/>
          <w:lang w:val="hy-AM"/>
        </w:rPr>
        <w:t>կառավարության պահուստային ֆոնդը հասցնելով</w:t>
      </w:r>
      <w:r w:rsidRPr="004F2B98">
        <w:rPr>
          <w:bCs/>
          <w:color w:val="000000"/>
          <w:lang w:val="hy-AM"/>
        </w:rPr>
        <w:t xml:space="preserve"> 100.4 մլրդ դրամ</w:t>
      </w:r>
      <w:r>
        <w:rPr>
          <w:bCs/>
          <w:color w:val="000000"/>
          <w:lang w:val="hy-AM"/>
        </w:rPr>
        <w:t xml:space="preserve"> </w:t>
      </w:r>
      <w:r w:rsidRPr="004F2B98">
        <w:rPr>
          <w:bCs/>
          <w:color w:val="000000"/>
          <w:lang w:val="hy-AM"/>
        </w:rPr>
        <w:t>(</w:t>
      </w:r>
      <w:r>
        <w:rPr>
          <w:bCs/>
          <w:color w:val="000000"/>
          <w:lang w:val="hy-AM"/>
        </w:rPr>
        <w:t>պահպանելով օրենսդրության պահանջը՝</w:t>
      </w:r>
      <w:r w:rsidRPr="004F2B98">
        <w:rPr>
          <w:bCs/>
          <w:color w:val="000000"/>
          <w:lang w:val="hy-AM"/>
        </w:rPr>
        <w:t xml:space="preserve"> Կառավարության պահուստային ֆոնդի մեծությունը չի կարող գերազանցել տվյալ տարվա պետական բյուջեի մասին` օրենքով նախատեսված ծախսերի 5 տոկոսը), իսկ 5 տոկոսը գերազանցող գումարը՝ 5</w:t>
      </w:r>
      <w:r>
        <w:rPr>
          <w:bCs/>
          <w:color w:val="000000"/>
          <w:lang w:val="hy-AM"/>
        </w:rPr>
        <w:t>2</w:t>
      </w:r>
      <w:r w:rsidRPr="004F2B98">
        <w:rPr>
          <w:bCs/>
          <w:color w:val="000000"/>
          <w:lang w:val="hy-AM"/>
        </w:rPr>
        <w:t>.</w:t>
      </w:r>
      <w:r>
        <w:rPr>
          <w:bCs/>
          <w:color w:val="000000"/>
          <w:lang w:val="hy-AM"/>
        </w:rPr>
        <w:t>7</w:t>
      </w:r>
      <w:r w:rsidRPr="004F2B98">
        <w:rPr>
          <w:bCs/>
          <w:color w:val="000000"/>
          <w:lang w:val="hy-AM"/>
        </w:rPr>
        <w:t xml:space="preserve"> մլրդ դրամը նախատեսվել է ընթացիկ չբաշխված ծախսերում, նմանատիպ մոտեցում կիրառվել է նաև 2023-2024թթ. համար:</w:t>
      </w:r>
      <w:r>
        <w:rPr>
          <w:bCs/>
          <w:color w:val="000000"/>
          <w:lang w:val="hy-AM"/>
        </w:rPr>
        <w:t xml:space="preserve"> </w:t>
      </w:r>
    </w:p>
    <w:p w14:paraId="4C367862" w14:textId="77777777" w:rsidR="00B11AEF" w:rsidRPr="008057B4" w:rsidRDefault="00B11AEF" w:rsidP="00327D12">
      <w:pPr>
        <w:tabs>
          <w:tab w:val="left" w:pos="0"/>
        </w:tabs>
        <w:spacing w:after="0" w:line="276" w:lineRule="auto"/>
        <w:ind w:firstLine="720"/>
        <w:rPr>
          <w:bCs/>
          <w:color w:val="000000"/>
          <w:lang w:val="hy-AM"/>
        </w:rPr>
      </w:pPr>
      <w:r>
        <w:rPr>
          <w:bCs/>
          <w:color w:val="000000"/>
          <w:lang w:val="hy-AM"/>
        </w:rPr>
        <w:t>Հ</w:t>
      </w:r>
      <w:r w:rsidRPr="008057B4">
        <w:rPr>
          <w:bCs/>
          <w:color w:val="000000"/>
          <w:lang w:val="hy-AM"/>
        </w:rPr>
        <w:t>արկաբյուջետային շրջանակով առաջարկվող կապիտալ ծախսերի</w:t>
      </w:r>
      <w:r w:rsidRPr="008057B4">
        <w:rPr>
          <w:rFonts w:ascii="Calibri" w:hAnsi="Calibri" w:cs="Calibri"/>
          <w:bCs/>
          <w:color w:val="000000"/>
          <w:lang w:val="hy-AM"/>
        </w:rPr>
        <w:t> </w:t>
      </w:r>
      <w:r w:rsidRPr="008057B4">
        <w:rPr>
          <w:bCs/>
          <w:color w:val="000000"/>
          <w:lang w:val="hy-AM"/>
        </w:rPr>
        <w:t>ընդհանուր չափաքանակը 2022 թվականի համար գնահատվել է 274.2 մլրդ դրամ</w:t>
      </w:r>
      <w:r>
        <w:rPr>
          <w:bCs/>
          <w:color w:val="000000"/>
          <w:lang w:val="hy-AM"/>
        </w:rPr>
        <w:t xml:space="preserve">: </w:t>
      </w:r>
      <w:r w:rsidRPr="008057B4">
        <w:rPr>
          <w:bCs/>
          <w:color w:val="000000"/>
          <w:lang w:val="hy-AM"/>
        </w:rPr>
        <w:t>2022 թվականի համար</w:t>
      </w:r>
      <w:r>
        <w:rPr>
          <w:bCs/>
          <w:color w:val="000000"/>
          <w:lang w:val="hy-AM"/>
        </w:rPr>
        <w:t xml:space="preserve"> նախատեսվել է</w:t>
      </w:r>
      <w:r w:rsidRPr="008057B4">
        <w:rPr>
          <w:bCs/>
          <w:color w:val="000000"/>
          <w:lang w:val="hy-AM"/>
        </w:rPr>
        <w:t>՝</w:t>
      </w:r>
    </w:p>
    <w:p w14:paraId="60B513F4" w14:textId="77777777" w:rsidR="00B11AEF" w:rsidRPr="008057B4" w:rsidRDefault="00B11AEF" w:rsidP="00327D12">
      <w:pPr>
        <w:tabs>
          <w:tab w:val="left" w:pos="0"/>
        </w:tabs>
        <w:spacing w:after="0" w:line="276" w:lineRule="auto"/>
        <w:ind w:firstLine="720"/>
        <w:rPr>
          <w:bCs/>
          <w:color w:val="000000"/>
          <w:lang w:val="hy-AM"/>
        </w:rPr>
      </w:pPr>
      <w:r w:rsidRPr="008057B4">
        <w:rPr>
          <w:bCs/>
          <w:color w:val="000000"/>
          <w:lang w:val="hy-AM"/>
        </w:rPr>
        <w:t xml:space="preserve"> ներքին աղբյուրների հաշվին կատարվելիք կապիտալ ծախսերը, որոնց նախատեսման համար հիմք են հանդիսացել միջոցառումների շարունակական լինելու հանգամանքը, կազմում է</w:t>
      </w:r>
      <w:r w:rsidRPr="008057B4">
        <w:rPr>
          <w:rFonts w:ascii="Calibri" w:hAnsi="Calibri" w:cs="Calibri"/>
          <w:bCs/>
          <w:color w:val="000000"/>
          <w:lang w:val="hy-AM"/>
        </w:rPr>
        <w:t> </w:t>
      </w:r>
      <w:r w:rsidRPr="008057B4">
        <w:rPr>
          <w:bCs/>
          <w:color w:val="000000"/>
          <w:lang w:val="hy-AM"/>
        </w:rPr>
        <w:t>25.0 մլրդ դրամ:</w:t>
      </w:r>
    </w:p>
    <w:p w14:paraId="1DCB5501" w14:textId="77777777" w:rsidR="00B11AEF" w:rsidRPr="008057B4" w:rsidRDefault="00B11AEF" w:rsidP="00327D12">
      <w:pPr>
        <w:tabs>
          <w:tab w:val="left" w:pos="0"/>
        </w:tabs>
        <w:spacing w:after="0" w:line="276" w:lineRule="auto"/>
        <w:ind w:firstLine="720"/>
        <w:rPr>
          <w:bCs/>
          <w:color w:val="000000"/>
          <w:lang w:val="hy-AM"/>
        </w:rPr>
      </w:pPr>
      <w:r w:rsidRPr="008057B4">
        <w:rPr>
          <w:bCs/>
          <w:color w:val="000000"/>
          <w:lang w:val="hy-AM"/>
        </w:rPr>
        <w:t xml:space="preserve"> արտաքին աղբյուրների հաշվին իրականացվելիք վարկային ծրագրերի գծով առաջարկվել է 46.9 մլրդ դրամ (որպես կ</w:t>
      </w:r>
      <w:r>
        <w:rPr>
          <w:bCs/>
          <w:color w:val="000000"/>
          <w:lang w:val="hy-AM"/>
        </w:rPr>
        <w:t>ղ</w:t>
      </w:r>
      <w:r w:rsidRPr="008057B4">
        <w:rPr>
          <w:bCs/>
          <w:color w:val="000000"/>
          <w:lang w:val="hy-AM"/>
        </w:rPr>
        <w:t>ղմնորոշիչ՝ ելակետ է ընդունվել 2020թ-ի փաստացի կատարողականը)</w:t>
      </w:r>
    </w:p>
    <w:p w14:paraId="1C88C748" w14:textId="77777777" w:rsidR="00B11AEF" w:rsidRPr="008057B4" w:rsidRDefault="00B11AEF" w:rsidP="00327D12">
      <w:pPr>
        <w:tabs>
          <w:tab w:val="left" w:pos="0"/>
        </w:tabs>
        <w:spacing w:after="0" w:line="276" w:lineRule="auto"/>
        <w:ind w:firstLine="720"/>
        <w:rPr>
          <w:bCs/>
          <w:color w:val="000000"/>
          <w:lang w:val="hy-AM"/>
        </w:rPr>
      </w:pPr>
      <w:r w:rsidRPr="008057B4">
        <w:rPr>
          <w:bCs/>
          <w:color w:val="000000"/>
          <w:lang w:val="hy-AM"/>
        </w:rPr>
        <w:t xml:space="preserve"> արտաքին աղբյուրների հաշվին իրականացվելիք դրամաշնորհային ծրագրերի գծով առաջարկվել է 20.7 մլրդ դրամ՝ եկամուտ/ծախս սկզբունքով:</w:t>
      </w:r>
    </w:p>
    <w:p w14:paraId="4651C64F" w14:textId="77777777" w:rsidR="00B11AEF" w:rsidRDefault="00B11AEF" w:rsidP="00327D12">
      <w:pPr>
        <w:tabs>
          <w:tab w:val="left" w:pos="0"/>
        </w:tabs>
        <w:spacing w:after="0" w:line="276" w:lineRule="auto"/>
        <w:ind w:firstLine="720"/>
        <w:rPr>
          <w:bCs/>
          <w:color w:val="000000"/>
          <w:lang w:val="hy-AM"/>
        </w:rPr>
      </w:pPr>
      <w:r w:rsidRPr="008057B4">
        <w:rPr>
          <w:bCs/>
          <w:color w:val="000000"/>
          <w:lang w:val="hy-AM"/>
        </w:rPr>
        <w:t>Այսպիսով, 2022թ. համար 274.2 մլրդ դրամից 181.5 մլրդ դրամը դիտարկվում է որպես չբաշխված կապիտալ ծախս, որը կարող է ուղղվել ինչպես արտաքին աղբյուրների հաշվին իրականացվող վարկային ծրագրերին, այնպես էլ ներքին աղբյուրների հաշվին ՊՆ, ՏԿԵՆ-ի ճանապարհների հիմնանորոգման և նախագծանախահաշվային փաստաթղթերի առկայությամբ կապիտալ ծախսերին։</w:t>
      </w:r>
      <w:r>
        <w:rPr>
          <w:bCs/>
          <w:color w:val="000000"/>
          <w:lang w:val="hy-AM"/>
        </w:rPr>
        <w:t xml:space="preserve"> Ն</w:t>
      </w:r>
      <w:r w:rsidRPr="004F2B98">
        <w:rPr>
          <w:bCs/>
          <w:color w:val="000000"/>
          <w:lang w:val="hy-AM"/>
        </w:rPr>
        <w:t>մանատիպ մոտեցում կիրառ</w:t>
      </w:r>
      <w:r>
        <w:rPr>
          <w:bCs/>
          <w:color w:val="000000"/>
          <w:lang w:val="hy-AM"/>
        </w:rPr>
        <w:t>ելով</w:t>
      </w:r>
      <w:r w:rsidRPr="004F2B98">
        <w:rPr>
          <w:bCs/>
          <w:color w:val="000000"/>
          <w:lang w:val="hy-AM"/>
        </w:rPr>
        <w:t xml:space="preserve"> 2023-2024թթ. համար</w:t>
      </w:r>
      <w:r>
        <w:rPr>
          <w:bCs/>
          <w:color w:val="000000"/>
          <w:lang w:val="hy-AM"/>
        </w:rPr>
        <w:t xml:space="preserve"> </w:t>
      </w:r>
      <w:r w:rsidRPr="008057B4">
        <w:rPr>
          <w:bCs/>
          <w:color w:val="000000"/>
          <w:lang w:val="hy-AM"/>
        </w:rPr>
        <w:t>202</w:t>
      </w:r>
      <w:r>
        <w:rPr>
          <w:bCs/>
          <w:color w:val="000000"/>
          <w:lang w:val="hy-AM"/>
        </w:rPr>
        <w:t>3</w:t>
      </w:r>
      <w:r w:rsidRPr="008057B4">
        <w:rPr>
          <w:bCs/>
          <w:color w:val="000000"/>
          <w:lang w:val="hy-AM"/>
        </w:rPr>
        <w:t xml:space="preserve">թ. համար </w:t>
      </w:r>
      <w:r>
        <w:rPr>
          <w:bCs/>
          <w:color w:val="000000"/>
          <w:lang w:val="hy-AM"/>
        </w:rPr>
        <w:t>184.5</w:t>
      </w:r>
      <w:r w:rsidRPr="008057B4">
        <w:rPr>
          <w:bCs/>
          <w:color w:val="000000"/>
          <w:lang w:val="hy-AM"/>
        </w:rPr>
        <w:t xml:space="preserve"> մլրդ դրամը</w:t>
      </w:r>
      <w:r>
        <w:rPr>
          <w:bCs/>
          <w:color w:val="000000"/>
          <w:lang w:val="hy-AM"/>
        </w:rPr>
        <w:t xml:space="preserve">, իսկ 2024 թվականի համար </w:t>
      </w:r>
      <w:r w:rsidRPr="008057B4">
        <w:rPr>
          <w:bCs/>
          <w:color w:val="000000"/>
          <w:lang w:val="hy-AM"/>
        </w:rPr>
        <w:t xml:space="preserve"> </w:t>
      </w:r>
      <w:r>
        <w:rPr>
          <w:bCs/>
          <w:color w:val="000000"/>
          <w:lang w:val="hy-AM"/>
        </w:rPr>
        <w:t xml:space="preserve">216,1 մլրդ դրամը </w:t>
      </w:r>
      <w:r w:rsidRPr="008057B4">
        <w:rPr>
          <w:bCs/>
          <w:color w:val="000000"/>
          <w:lang w:val="hy-AM"/>
        </w:rPr>
        <w:t>դիտարկվում է որպես չբաշխված կապիտալ ծախս</w:t>
      </w:r>
      <w:r>
        <w:rPr>
          <w:bCs/>
          <w:color w:val="000000"/>
          <w:lang w:val="hy-AM"/>
        </w:rPr>
        <w:t>:</w:t>
      </w:r>
    </w:p>
    <w:p w14:paraId="4A31A488" w14:textId="77777777" w:rsidR="00B11AEF" w:rsidRDefault="00B11AEF" w:rsidP="00B11AEF">
      <w:pPr>
        <w:tabs>
          <w:tab w:val="left" w:pos="0"/>
        </w:tabs>
        <w:spacing w:after="0" w:line="360" w:lineRule="auto"/>
        <w:ind w:firstLine="720"/>
        <w:rPr>
          <w:bCs/>
          <w:color w:val="000000"/>
          <w:lang w:val="hy-AM"/>
        </w:rPr>
      </w:pPr>
    </w:p>
    <w:p w14:paraId="6D81DB75" w14:textId="77777777" w:rsidR="00B11AEF" w:rsidRPr="005234AF" w:rsidRDefault="00B11AEF" w:rsidP="00B11AEF">
      <w:pPr>
        <w:pStyle w:val="Heading3"/>
        <w:rPr>
          <w:rFonts w:eastAsia="Times New Roman" w:cs="Times New Roman"/>
          <w:caps w:val="0"/>
          <w:color w:val="1F497D" w:themeColor="text2"/>
          <w:sz w:val="28"/>
          <w:szCs w:val="28"/>
        </w:rPr>
      </w:pPr>
    </w:p>
    <w:p w14:paraId="29CD007B" w14:textId="09E69C3E" w:rsidR="00B11AEF" w:rsidRPr="00495F52" w:rsidRDefault="00B11AEF" w:rsidP="00B11AEF">
      <w:pPr>
        <w:pStyle w:val="Heading3"/>
        <w:rPr>
          <w:rFonts w:eastAsia="Times New Roman" w:cs="Times New Roman"/>
          <w:caps w:val="0"/>
          <w:color w:val="1F497D" w:themeColor="text2"/>
          <w:sz w:val="28"/>
          <w:szCs w:val="28"/>
        </w:rPr>
      </w:pPr>
      <w:bookmarkStart w:id="534" w:name="_Toc77837864"/>
      <w:r w:rsidRPr="00495F52">
        <w:rPr>
          <w:rFonts w:eastAsia="Times New Roman" w:cs="Times New Roman"/>
          <w:caps w:val="0"/>
          <w:color w:val="1F497D" w:themeColor="text2"/>
          <w:sz w:val="28"/>
          <w:szCs w:val="28"/>
        </w:rPr>
        <w:t>4.3. 202</w:t>
      </w:r>
      <w:r w:rsidR="00B4423A" w:rsidRPr="00B4423A">
        <w:rPr>
          <w:rFonts w:eastAsia="Times New Roman" w:cs="Times New Roman"/>
          <w:caps w:val="0"/>
          <w:color w:val="1F497D" w:themeColor="text2"/>
          <w:sz w:val="28"/>
          <w:szCs w:val="28"/>
        </w:rPr>
        <w:t>2</w:t>
      </w:r>
      <w:r w:rsidRPr="00495F52">
        <w:rPr>
          <w:rFonts w:eastAsia="Times New Roman" w:cs="Times New Roman"/>
          <w:caps w:val="0"/>
          <w:color w:val="1F497D" w:themeColor="text2"/>
          <w:sz w:val="28"/>
          <w:szCs w:val="28"/>
        </w:rPr>
        <w:t>-202</w:t>
      </w:r>
      <w:r w:rsidR="00B4423A" w:rsidRPr="00B4423A">
        <w:rPr>
          <w:rFonts w:eastAsia="Times New Roman" w:cs="Times New Roman"/>
          <w:caps w:val="0"/>
          <w:color w:val="1F497D" w:themeColor="text2"/>
          <w:sz w:val="28"/>
          <w:szCs w:val="28"/>
        </w:rPr>
        <w:t>4</w:t>
      </w:r>
      <w:r w:rsidRPr="00D57E31">
        <w:rPr>
          <w:rFonts w:eastAsia="Times New Roman" w:cs="Times New Roman"/>
          <w:caps w:val="0"/>
          <w:color w:val="1F497D" w:themeColor="text2"/>
          <w:sz w:val="28"/>
          <w:szCs w:val="28"/>
        </w:rPr>
        <w:t>ԹԹ</w:t>
      </w:r>
      <w:r w:rsidRPr="00495F52">
        <w:rPr>
          <w:rFonts w:eastAsia="Times New Roman" w:cs="Times New Roman"/>
          <w:caps w:val="0"/>
          <w:color w:val="1F497D" w:themeColor="text2"/>
          <w:sz w:val="28"/>
          <w:szCs w:val="28"/>
        </w:rPr>
        <w:t xml:space="preserve"> </w:t>
      </w:r>
      <w:bookmarkEnd w:id="528"/>
      <w:bookmarkEnd w:id="529"/>
      <w:bookmarkEnd w:id="532"/>
      <w:r w:rsidRPr="00D57E31">
        <w:rPr>
          <w:rFonts w:eastAsia="Times New Roman" w:cs="Times New Roman"/>
          <w:caps w:val="0"/>
          <w:color w:val="1F497D" w:themeColor="text2"/>
          <w:sz w:val="28"/>
          <w:szCs w:val="28"/>
        </w:rPr>
        <w:t>ՊԵՏԱԿԱՆ</w:t>
      </w:r>
      <w:r w:rsidRPr="00495F52">
        <w:rPr>
          <w:rFonts w:eastAsia="Times New Roman" w:cs="Times New Roman"/>
          <w:caps w:val="0"/>
          <w:color w:val="1F497D" w:themeColor="text2"/>
          <w:sz w:val="28"/>
          <w:szCs w:val="28"/>
        </w:rPr>
        <w:t xml:space="preserve"> </w:t>
      </w:r>
      <w:r w:rsidRPr="00D57E31">
        <w:rPr>
          <w:rFonts w:eastAsia="Times New Roman" w:cs="Times New Roman"/>
          <w:caps w:val="0"/>
          <w:color w:val="1F497D" w:themeColor="text2"/>
          <w:sz w:val="28"/>
          <w:szCs w:val="28"/>
        </w:rPr>
        <w:t>ԲՅՈՒՋԵՆԵՐԻ</w:t>
      </w:r>
      <w:r w:rsidRPr="00495F52">
        <w:rPr>
          <w:rFonts w:eastAsia="Times New Roman" w:cs="Times New Roman"/>
          <w:caps w:val="0"/>
          <w:color w:val="1F497D" w:themeColor="text2"/>
          <w:sz w:val="28"/>
          <w:szCs w:val="28"/>
        </w:rPr>
        <w:t xml:space="preserve"> </w:t>
      </w:r>
      <w:r w:rsidRPr="00D57E31">
        <w:rPr>
          <w:rFonts w:eastAsia="Times New Roman" w:cs="Times New Roman"/>
          <w:caps w:val="0"/>
          <w:color w:val="1F497D" w:themeColor="text2"/>
          <w:sz w:val="28"/>
          <w:szCs w:val="28"/>
        </w:rPr>
        <w:t>ԾԱԽՍԵՐԻ</w:t>
      </w:r>
      <w:r w:rsidRPr="00495F52">
        <w:rPr>
          <w:rFonts w:eastAsia="Times New Roman" w:cs="Times New Roman"/>
          <w:caps w:val="0"/>
          <w:color w:val="1F497D" w:themeColor="text2"/>
          <w:sz w:val="28"/>
          <w:szCs w:val="28"/>
        </w:rPr>
        <w:t xml:space="preserve"> </w:t>
      </w:r>
      <w:r w:rsidRPr="00D57E31">
        <w:rPr>
          <w:rFonts w:eastAsia="Times New Roman" w:cs="Times New Roman"/>
          <w:caps w:val="0"/>
          <w:color w:val="1F497D" w:themeColor="text2"/>
          <w:sz w:val="28"/>
          <w:szCs w:val="28"/>
        </w:rPr>
        <w:t>ԿԱՆԽԱՏԵՍՈՒՄԸ</w:t>
      </w:r>
      <w:r w:rsidRPr="00495F52">
        <w:rPr>
          <w:rFonts w:eastAsia="Times New Roman" w:cs="Times New Roman"/>
          <w:caps w:val="0"/>
          <w:color w:val="1F497D" w:themeColor="text2"/>
          <w:sz w:val="28"/>
          <w:szCs w:val="28"/>
        </w:rPr>
        <w:t xml:space="preserve">` </w:t>
      </w:r>
      <w:r w:rsidRPr="00D57E31">
        <w:rPr>
          <w:rFonts w:eastAsia="Times New Roman" w:cs="Times New Roman"/>
          <w:caps w:val="0"/>
          <w:color w:val="1F497D" w:themeColor="text2"/>
          <w:sz w:val="28"/>
          <w:szCs w:val="28"/>
        </w:rPr>
        <w:t>ԸՍՏ</w:t>
      </w:r>
      <w:r w:rsidRPr="00495F52">
        <w:rPr>
          <w:rFonts w:eastAsia="Times New Roman" w:cs="Times New Roman"/>
          <w:caps w:val="0"/>
          <w:color w:val="1F497D" w:themeColor="text2"/>
          <w:sz w:val="28"/>
          <w:szCs w:val="28"/>
        </w:rPr>
        <w:t xml:space="preserve"> </w:t>
      </w:r>
      <w:r w:rsidRPr="00D57E31">
        <w:rPr>
          <w:rFonts w:eastAsia="Times New Roman" w:cs="Times New Roman"/>
          <w:caps w:val="0"/>
          <w:color w:val="1F497D" w:themeColor="text2"/>
          <w:sz w:val="28"/>
          <w:szCs w:val="28"/>
        </w:rPr>
        <w:t>ՈԼՈՐՏՆԵՐԻ</w:t>
      </w:r>
      <w:bookmarkEnd w:id="533"/>
      <w:bookmarkEnd w:id="534"/>
    </w:p>
    <w:p w14:paraId="38983498" w14:textId="77777777" w:rsidR="00B11AEF" w:rsidRPr="004F78C4" w:rsidRDefault="00B11AEF" w:rsidP="00B11AEF">
      <w:pPr>
        <w:spacing w:line="276" w:lineRule="auto"/>
        <w:ind w:firstLine="426"/>
        <w:rPr>
          <w:b/>
          <w:bCs/>
          <w:color w:val="1F497D" w:themeColor="text2"/>
          <w:kern w:val="24"/>
          <w:sz w:val="24"/>
          <w:szCs w:val="24"/>
          <w:u w:val="single"/>
          <w:lang w:val="hy-AM"/>
        </w:rPr>
      </w:pPr>
      <w:bookmarkStart w:id="535" w:name="_Toc45838536"/>
      <w:r w:rsidRPr="004F78C4">
        <w:rPr>
          <w:rFonts w:cs="Sylfaen"/>
          <w:lang w:val="hy-AM"/>
        </w:rPr>
        <w:t>2</w:t>
      </w:r>
      <w:r w:rsidRPr="004F78C4">
        <w:rPr>
          <w:rFonts w:cs="Sylfaen"/>
          <w:lang w:val="es-ES"/>
        </w:rPr>
        <w:t>022-2024թթ ծախսային չափաքանակների հնարավորություններ</w:t>
      </w:r>
      <w:r w:rsidRPr="004F78C4">
        <w:rPr>
          <w:rFonts w:cs="Sylfaen"/>
          <w:lang w:val="hy-AM"/>
        </w:rPr>
        <w:t>ը</w:t>
      </w:r>
      <w:r w:rsidRPr="004F78C4">
        <w:rPr>
          <w:rFonts w:cs="Sylfaen"/>
          <w:lang w:val="es-ES"/>
        </w:rPr>
        <w:t xml:space="preserve"> </w:t>
      </w:r>
      <w:r w:rsidRPr="004F78C4">
        <w:rPr>
          <w:rFonts w:cs="Sylfaen"/>
          <w:lang w:val="hy-AM"/>
        </w:rPr>
        <w:t xml:space="preserve">մակրոտնտեսական շրջանակի կանխատեսումներով ճշգրտված՝ </w:t>
      </w:r>
      <w:r w:rsidRPr="004F78C4">
        <w:rPr>
          <w:rFonts w:cs="Sylfaen"/>
          <w:lang w:val="es-ES"/>
        </w:rPr>
        <w:t>նախորդ հաստատված 2021-2023 թվականների բյուջետային ծախսերի չափաքանակներ</w:t>
      </w:r>
      <w:r w:rsidRPr="004F78C4">
        <w:rPr>
          <w:rFonts w:cs="Sylfaen"/>
          <w:lang w:val="hy-AM"/>
        </w:rPr>
        <w:t>ի համեմատ</w:t>
      </w:r>
      <w:r w:rsidRPr="004F78C4">
        <w:rPr>
          <w:rFonts w:cs="Sylfaen"/>
          <w:lang w:val="es-ES"/>
        </w:rPr>
        <w:t xml:space="preserve"> </w:t>
      </w:r>
      <w:r w:rsidRPr="004F78C4">
        <w:rPr>
          <w:rFonts w:cs="Sylfaen"/>
          <w:lang w:val="hy-AM"/>
        </w:rPr>
        <w:t xml:space="preserve">բարձր </w:t>
      </w:r>
      <w:r w:rsidRPr="004F78C4">
        <w:rPr>
          <w:rFonts w:cs="Sylfaen"/>
          <w:lang w:val="es-ES"/>
        </w:rPr>
        <w:t xml:space="preserve"> են</w:t>
      </w:r>
      <w:r w:rsidRPr="004F78C4">
        <w:rPr>
          <w:rFonts w:cs="Sylfaen"/>
          <w:lang w:val="hy-AM"/>
        </w:rPr>
        <w:t>։</w:t>
      </w:r>
      <w:r w:rsidRPr="004F78C4">
        <w:rPr>
          <w:rFonts w:cs="Sylfaen"/>
          <w:u w:val="single"/>
          <w:lang w:val="hy-AM"/>
        </w:rPr>
        <w:t xml:space="preserve"> </w:t>
      </w:r>
    </w:p>
    <w:p w14:paraId="422670C1" w14:textId="77777777" w:rsidR="00B11AEF" w:rsidRPr="004F78C4" w:rsidRDefault="00B11AEF" w:rsidP="00B11AEF">
      <w:pPr>
        <w:ind w:firstLine="0"/>
        <w:rPr>
          <w:b/>
          <w:sz w:val="24"/>
          <w:szCs w:val="24"/>
          <w:lang w:val="hy-AM"/>
        </w:rPr>
      </w:pPr>
    </w:p>
    <w:p w14:paraId="57C0652B" w14:textId="77777777" w:rsidR="00B11AEF" w:rsidRPr="004F78C4" w:rsidRDefault="00B11AEF" w:rsidP="00B11AEF">
      <w:pPr>
        <w:ind w:firstLine="0"/>
        <w:rPr>
          <w:b/>
          <w:sz w:val="20"/>
          <w:szCs w:val="20"/>
          <w:lang w:val="af-ZA"/>
        </w:rPr>
      </w:pPr>
      <w:r w:rsidRPr="004F78C4">
        <w:rPr>
          <w:rFonts w:eastAsia="Calibri" w:cs="Times New Roman"/>
          <w:b/>
          <w:i/>
          <w:iCs/>
          <w:color w:val="000000"/>
          <w:lang w:val="hy-AM"/>
        </w:rPr>
        <w:t>Գծապատկեր 4.3</w:t>
      </w:r>
      <w:r w:rsidRPr="004F78C4">
        <w:rPr>
          <w:rFonts w:ascii="Cambria Math" w:eastAsia="Calibri" w:hAnsi="Cambria Math" w:cs="Cambria Math"/>
          <w:b/>
          <w:i/>
          <w:iCs/>
          <w:color w:val="000000"/>
          <w:lang w:val="hy-AM"/>
        </w:rPr>
        <w:t>․</w:t>
      </w:r>
      <w:r w:rsidRPr="004F78C4">
        <w:rPr>
          <w:rFonts w:eastAsia="Calibri" w:cs="Times New Roman"/>
          <w:b/>
          <w:i/>
          <w:iCs/>
          <w:color w:val="000000"/>
          <w:lang w:val="hy-AM"/>
        </w:rPr>
        <w:t>1.</w:t>
      </w:r>
      <w:r w:rsidRPr="004F78C4">
        <w:rPr>
          <w:rFonts w:eastAsia="Calibri" w:cs="Times New Roman"/>
          <w:b/>
          <w:i/>
          <w:iCs/>
          <w:color w:val="000000"/>
          <w:sz w:val="20"/>
          <w:szCs w:val="20"/>
          <w:lang w:val="hy-AM"/>
        </w:rPr>
        <w:t xml:space="preserve"> </w:t>
      </w:r>
      <w:r w:rsidRPr="004F78C4">
        <w:rPr>
          <w:rFonts w:eastAsia="Calibri" w:cs="Times New Roman"/>
          <w:bCs/>
          <w:i/>
          <w:iCs/>
          <w:color w:val="000000"/>
          <w:sz w:val="20"/>
          <w:szCs w:val="20"/>
          <w:lang w:val="hy-AM"/>
        </w:rPr>
        <w:t xml:space="preserve">Միջնաժամկետ ծախսերի կանխատեսումների համեմատականը </w:t>
      </w:r>
    </w:p>
    <w:p w14:paraId="0AF60049" w14:textId="77777777" w:rsidR="00B11AEF" w:rsidRPr="004F78C4" w:rsidRDefault="00B11AEF" w:rsidP="00B11AEF">
      <w:pPr>
        <w:spacing w:line="360" w:lineRule="auto"/>
        <w:ind w:firstLine="0"/>
        <w:rPr>
          <w:rFonts w:cs="Sylfaen"/>
        </w:rPr>
      </w:pPr>
      <w:r w:rsidRPr="004F78C4">
        <w:rPr>
          <w:rFonts w:cs="Sylfaen"/>
          <w:noProof/>
        </w:rPr>
        <w:drawing>
          <wp:inline distT="0" distB="0" distL="0" distR="0" wp14:anchorId="6349768E" wp14:editId="14560892">
            <wp:extent cx="5943600" cy="2974975"/>
            <wp:effectExtent l="0" t="0" r="0" b="0"/>
            <wp:docPr id="48"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1A75A5F2" w14:textId="77777777" w:rsidR="00B11AEF" w:rsidRPr="004F78C4" w:rsidRDefault="00B11AEF" w:rsidP="00B11AEF">
      <w:pPr>
        <w:ind w:firstLine="426"/>
        <w:rPr>
          <w:lang w:val="af-ZA"/>
        </w:rPr>
      </w:pPr>
      <w:r w:rsidRPr="004F78C4">
        <w:rPr>
          <w:rFonts w:cs="Arial"/>
        </w:rPr>
        <w:t>ՀՀ</w:t>
      </w:r>
      <w:r w:rsidRPr="004F78C4">
        <w:rPr>
          <w:lang w:val="af-ZA"/>
        </w:rPr>
        <w:t xml:space="preserve"> 202</w:t>
      </w:r>
      <w:r w:rsidRPr="004F78C4">
        <w:rPr>
          <w:lang w:val="hy-AM"/>
        </w:rPr>
        <w:t>2</w:t>
      </w:r>
      <w:r w:rsidRPr="004F78C4">
        <w:rPr>
          <w:lang w:val="af-ZA"/>
        </w:rPr>
        <w:t>-202</w:t>
      </w:r>
      <w:r w:rsidRPr="004F78C4">
        <w:rPr>
          <w:lang w:val="hy-AM"/>
        </w:rPr>
        <w:t>4</w:t>
      </w:r>
      <w:r w:rsidRPr="004F78C4">
        <w:rPr>
          <w:lang w:val="af-ZA"/>
        </w:rPr>
        <w:t xml:space="preserve"> </w:t>
      </w:r>
      <w:r w:rsidRPr="004F78C4">
        <w:rPr>
          <w:rFonts w:cs="Arial"/>
        </w:rPr>
        <w:t>թվականների</w:t>
      </w:r>
      <w:r w:rsidRPr="004F78C4">
        <w:rPr>
          <w:lang w:val="af-ZA"/>
        </w:rPr>
        <w:t xml:space="preserve"> </w:t>
      </w:r>
      <w:r w:rsidRPr="004F78C4">
        <w:rPr>
          <w:rFonts w:cs="Arial"/>
        </w:rPr>
        <w:t>պետական</w:t>
      </w:r>
      <w:r w:rsidRPr="004F78C4">
        <w:rPr>
          <w:lang w:val="af-ZA"/>
        </w:rPr>
        <w:t xml:space="preserve"> </w:t>
      </w:r>
      <w:r w:rsidRPr="004F78C4">
        <w:rPr>
          <w:rFonts w:cs="Arial"/>
        </w:rPr>
        <w:t>բյուջեների</w:t>
      </w:r>
      <w:r w:rsidRPr="004F78C4">
        <w:rPr>
          <w:lang w:val="af-ZA"/>
        </w:rPr>
        <w:t xml:space="preserve"> </w:t>
      </w:r>
      <w:r w:rsidRPr="004F78C4">
        <w:rPr>
          <w:rFonts w:cs="Arial"/>
        </w:rPr>
        <w:t>ծախսերի</w:t>
      </w:r>
      <w:r w:rsidRPr="004F78C4">
        <w:rPr>
          <w:lang w:val="af-ZA"/>
        </w:rPr>
        <w:t xml:space="preserve"> </w:t>
      </w:r>
      <w:r w:rsidRPr="004F78C4">
        <w:rPr>
          <w:rFonts w:cs="Arial"/>
        </w:rPr>
        <w:t>կանխատեսումները՝</w:t>
      </w:r>
      <w:r w:rsidRPr="004F78C4">
        <w:rPr>
          <w:lang w:val="af-ZA"/>
        </w:rPr>
        <w:t xml:space="preserve"> </w:t>
      </w:r>
      <w:r w:rsidRPr="004F78C4">
        <w:rPr>
          <w:rFonts w:cs="Arial"/>
        </w:rPr>
        <w:t>ըստ</w:t>
      </w:r>
      <w:r w:rsidRPr="004F78C4">
        <w:rPr>
          <w:lang w:val="af-ZA"/>
        </w:rPr>
        <w:t xml:space="preserve"> </w:t>
      </w:r>
      <w:r w:rsidRPr="004F78C4">
        <w:rPr>
          <w:rFonts w:cs="Arial"/>
        </w:rPr>
        <w:t>ոլորտ</w:t>
      </w:r>
      <w:r w:rsidRPr="004F78C4">
        <w:rPr>
          <w:lang w:val="af-ZA"/>
        </w:rPr>
        <w:softHyphen/>
      </w:r>
      <w:r w:rsidRPr="004F78C4">
        <w:rPr>
          <w:rFonts w:cs="Arial"/>
        </w:rPr>
        <w:t>ների</w:t>
      </w:r>
      <w:r w:rsidRPr="004F78C4">
        <w:rPr>
          <w:lang w:val="af-ZA"/>
        </w:rPr>
        <w:t xml:space="preserve"> </w:t>
      </w:r>
      <w:r w:rsidRPr="004F78C4">
        <w:rPr>
          <w:rFonts w:cs="Arial"/>
        </w:rPr>
        <w:t>բնութագրվում</w:t>
      </w:r>
      <w:r w:rsidRPr="004F78C4">
        <w:rPr>
          <w:lang w:val="af-ZA"/>
        </w:rPr>
        <w:t xml:space="preserve"> </w:t>
      </w:r>
      <w:r w:rsidRPr="004F78C4">
        <w:rPr>
          <w:rFonts w:cs="Arial"/>
        </w:rPr>
        <w:t>են</w:t>
      </w:r>
      <w:r w:rsidRPr="004F78C4">
        <w:rPr>
          <w:lang w:val="af-ZA"/>
        </w:rPr>
        <w:t xml:space="preserve"> </w:t>
      </w:r>
      <w:r w:rsidRPr="004F78C4">
        <w:rPr>
          <w:rFonts w:cs="Arial"/>
        </w:rPr>
        <w:t>ստորև</w:t>
      </w:r>
      <w:r w:rsidRPr="004F78C4">
        <w:rPr>
          <w:lang w:val="af-ZA"/>
        </w:rPr>
        <w:t xml:space="preserve"> </w:t>
      </w:r>
      <w:r w:rsidRPr="004F78C4">
        <w:rPr>
          <w:rFonts w:cs="Arial"/>
        </w:rPr>
        <w:t>ներկայացված</w:t>
      </w:r>
      <w:r w:rsidRPr="004F78C4">
        <w:rPr>
          <w:lang w:val="af-ZA"/>
        </w:rPr>
        <w:t xml:space="preserve"> </w:t>
      </w:r>
      <w:r w:rsidRPr="004F78C4">
        <w:rPr>
          <w:rFonts w:cs="Arial"/>
        </w:rPr>
        <w:t>աղյուսակի</w:t>
      </w:r>
      <w:r w:rsidRPr="004F78C4">
        <w:rPr>
          <w:lang w:val="af-ZA"/>
        </w:rPr>
        <w:t xml:space="preserve"> </w:t>
      </w:r>
      <w:r w:rsidRPr="004F78C4">
        <w:rPr>
          <w:rFonts w:cs="Arial"/>
        </w:rPr>
        <w:t>ցուցանիշներով</w:t>
      </w:r>
      <w:r w:rsidRPr="004F78C4">
        <w:rPr>
          <w:lang w:val="af-ZA"/>
        </w:rPr>
        <w:t>:</w:t>
      </w:r>
    </w:p>
    <w:p w14:paraId="2E6BFBF3" w14:textId="77777777" w:rsidR="00B11AEF" w:rsidRPr="004F78C4" w:rsidRDefault="00B11AEF" w:rsidP="00B11AEF">
      <w:pPr>
        <w:ind w:firstLine="0"/>
        <w:rPr>
          <w:i/>
          <w:sz w:val="20"/>
          <w:szCs w:val="20"/>
          <w:lang w:val="af-ZA"/>
        </w:rPr>
      </w:pPr>
      <w:r w:rsidRPr="004F78C4">
        <w:rPr>
          <w:rFonts w:cs="Arial"/>
          <w:b/>
          <w:sz w:val="20"/>
          <w:szCs w:val="20"/>
        </w:rPr>
        <w:t>Աղյուսակ</w:t>
      </w:r>
      <w:r w:rsidRPr="004F78C4">
        <w:rPr>
          <w:b/>
          <w:sz w:val="20"/>
          <w:szCs w:val="20"/>
          <w:lang w:val="af-ZA"/>
        </w:rPr>
        <w:t xml:space="preserve"> 4.</w:t>
      </w:r>
      <w:r w:rsidRPr="004F78C4">
        <w:rPr>
          <w:b/>
          <w:sz w:val="20"/>
          <w:szCs w:val="20"/>
          <w:lang w:val="hy-AM"/>
        </w:rPr>
        <w:t>3</w:t>
      </w:r>
      <w:r w:rsidRPr="004F78C4">
        <w:rPr>
          <w:b/>
          <w:sz w:val="20"/>
          <w:szCs w:val="20"/>
          <w:lang w:val="af-ZA"/>
        </w:rPr>
        <w:t xml:space="preserve">.1 </w:t>
      </w:r>
      <w:r w:rsidRPr="004F78C4">
        <w:rPr>
          <w:rFonts w:cs="Arial"/>
          <w:i/>
          <w:sz w:val="20"/>
          <w:szCs w:val="20"/>
        </w:rPr>
        <w:t>ՀՀ</w:t>
      </w:r>
      <w:r w:rsidRPr="004F78C4">
        <w:rPr>
          <w:i/>
          <w:sz w:val="20"/>
          <w:szCs w:val="20"/>
          <w:lang w:val="af-ZA"/>
        </w:rPr>
        <w:t xml:space="preserve"> 2022-2024</w:t>
      </w:r>
      <w:r w:rsidRPr="004F78C4">
        <w:rPr>
          <w:rFonts w:cs="Arial"/>
          <w:i/>
          <w:sz w:val="20"/>
          <w:szCs w:val="20"/>
          <w:lang w:val="it-IT"/>
        </w:rPr>
        <w:t>թթ</w:t>
      </w:r>
      <w:r w:rsidRPr="004F78C4">
        <w:rPr>
          <w:i/>
          <w:sz w:val="20"/>
          <w:szCs w:val="20"/>
          <w:lang w:val="af-ZA"/>
        </w:rPr>
        <w:t xml:space="preserve"> </w:t>
      </w:r>
      <w:r w:rsidRPr="004F78C4">
        <w:rPr>
          <w:rFonts w:cs="Arial"/>
          <w:i/>
          <w:sz w:val="20"/>
          <w:szCs w:val="20"/>
        </w:rPr>
        <w:t>պետական</w:t>
      </w:r>
      <w:r w:rsidRPr="004F78C4">
        <w:rPr>
          <w:i/>
          <w:sz w:val="20"/>
          <w:szCs w:val="20"/>
          <w:lang w:val="af-ZA"/>
        </w:rPr>
        <w:t xml:space="preserve"> </w:t>
      </w:r>
      <w:r w:rsidRPr="004F78C4">
        <w:rPr>
          <w:rFonts w:cs="Arial"/>
          <w:i/>
          <w:sz w:val="20"/>
          <w:szCs w:val="20"/>
        </w:rPr>
        <w:t>բյուջեների</w:t>
      </w:r>
      <w:r w:rsidRPr="004F78C4">
        <w:rPr>
          <w:i/>
          <w:sz w:val="20"/>
          <w:szCs w:val="20"/>
          <w:lang w:val="af-ZA"/>
        </w:rPr>
        <w:t xml:space="preserve"> </w:t>
      </w:r>
      <w:r w:rsidRPr="004F78C4">
        <w:rPr>
          <w:rFonts w:cs="Arial"/>
          <w:i/>
          <w:sz w:val="20"/>
          <w:szCs w:val="20"/>
        </w:rPr>
        <w:t>ծախսերը՝</w:t>
      </w:r>
      <w:r w:rsidRPr="004F78C4">
        <w:rPr>
          <w:i/>
          <w:sz w:val="20"/>
          <w:szCs w:val="20"/>
          <w:lang w:val="af-ZA"/>
        </w:rPr>
        <w:t xml:space="preserve"> </w:t>
      </w:r>
      <w:r w:rsidRPr="004F78C4">
        <w:rPr>
          <w:rFonts w:cs="Arial"/>
          <w:i/>
          <w:sz w:val="20"/>
          <w:szCs w:val="20"/>
        </w:rPr>
        <w:t>ըստ</w:t>
      </w:r>
      <w:r w:rsidRPr="004F78C4">
        <w:rPr>
          <w:i/>
          <w:sz w:val="20"/>
          <w:szCs w:val="20"/>
          <w:lang w:val="af-ZA"/>
        </w:rPr>
        <w:t xml:space="preserve"> </w:t>
      </w:r>
      <w:r w:rsidRPr="004F78C4">
        <w:rPr>
          <w:rFonts w:cs="Arial"/>
          <w:i/>
          <w:sz w:val="20"/>
          <w:szCs w:val="20"/>
        </w:rPr>
        <w:t>ոլորտների</w:t>
      </w:r>
      <w:r w:rsidRPr="004F78C4">
        <w:rPr>
          <w:i/>
          <w:sz w:val="20"/>
          <w:szCs w:val="20"/>
          <w:lang w:val="af-ZA"/>
        </w:rPr>
        <w:t xml:space="preserve"> (</w:t>
      </w:r>
      <w:r w:rsidRPr="004F78C4">
        <w:rPr>
          <w:rFonts w:cs="Arial"/>
          <w:i/>
          <w:sz w:val="20"/>
          <w:szCs w:val="20"/>
        </w:rPr>
        <w:t>մլն</w:t>
      </w:r>
      <w:r w:rsidRPr="004F78C4">
        <w:rPr>
          <w:i/>
          <w:sz w:val="20"/>
          <w:szCs w:val="20"/>
          <w:lang w:val="af-ZA"/>
        </w:rPr>
        <w:t xml:space="preserve"> </w:t>
      </w:r>
      <w:r w:rsidRPr="004F78C4">
        <w:rPr>
          <w:rFonts w:cs="Arial"/>
          <w:i/>
          <w:sz w:val="20"/>
          <w:szCs w:val="20"/>
        </w:rPr>
        <w:t>դրամ</w:t>
      </w:r>
      <w:r w:rsidRPr="004F78C4">
        <w:rPr>
          <w:i/>
          <w:sz w:val="20"/>
          <w:szCs w:val="20"/>
          <w:lang w:val="af-ZA"/>
        </w:rPr>
        <w:t>)</w:t>
      </w:r>
    </w:p>
    <w:tbl>
      <w:tblPr>
        <w:tblW w:w="5278"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693"/>
        <w:gridCol w:w="1606"/>
        <w:gridCol w:w="1418"/>
        <w:gridCol w:w="1418"/>
        <w:gridCol w:w="1322"/>
      </w:tblGrid>
      <w:tr w:rsidR="00B11AEF" w:rsidRPr="004F78C4" w14:paraId="4FE282BB" w14:textId="77777777" w:rsidTr="00B11AEF">
        <w:trPr>
          <w:trHeight w:val="20"/>
          <w:tblHeader/>
        </w:trPr>
        <w:tc>
          <w:tcPr>
            <w:tcW w:w="2244" w:type="pct"/>
            <w:tcBorders>
              <w:top w:val="double" w:sz="4" w:space="0" w:color="auto"/>
              <w:bottom w:val="double" w:sz="4" w:space="0" w:color="auto"/>
            </w:tcBorders>
            <w:shd w:val="clear" w:color="auto" w:fill="4F81BD" w:themeFill="accent1"/>
            <w:tcMar>
              <w:left w:w="57" w:type="dxa"/>
              <w:right w:w="57" w:type="dxa"/>
            </w:tcMar>
            <w:vAlign w:val="center"/>
          </w:tcPr>
          <w:p w14:paraId="7FAD543E"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Ցուցանիշներ</w:t>
            </w:r>
          </w:p>
        </w:tc>
        <w:tc>
          <w:tcPr>
            <w:tcW w:w="768" w:type="pct"/>
            <w:tcBorders>
              <w:top w:val="double" w:sz="4" w:space="0" w:color="auto"/>
              <w:bottom w:val="double" w:sz="4" w:space="0" w:color="auto"/>
            </w:tcBorders>
            <w:shd w:val="clear" w:color="auto" w:fill="4F81BD" w:themeFill="accent1"/>
            <w:tcMar>
              <w:left w:w="57" w:type="dxa"/>
              <w:right w:w="57" w:type="dxa"/>
            </w:tcMar>
            <w:vAlign w:val="center"/>
          </w:tcPr>
          <w:p w14:paraId="3785CCDA"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2021թ հաստատված</w:t>
            </w:r>
          </w:p>
        </w:tc>
        <w:tc>
          <w:tcPr>
            <w:tcW w:w="678" w:type="pct"/>
            <w:tcBorders>
              <w:top w:val="double" w:sz="4" w:space="0" w:color="auto"/>
              <w:bottom w:val="double" w:sz="4" w:space="0" w:color="auto"/>
            </w:tcBorders>
            <w:shd w:val="clear" w:color="auto" w:fill="4F81BD" w:themeFill="accent1"/>
            <w:tcMar>
              <w:left w:w="57" w:type="dxa"/>
              <w:right w:w="57" w:type="dxa"/>
            </w:tcMar>
            <w:vAlign w:val="center"/>
          </w:tcPr>
          <w:p w14:paraId="2310AAA1"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 xml:space="preserve">2022թ </w:t>
            </w:r>
            <w:r w:rsidRPr="004F78C4">
              <w:rPr>
                <w:rFonts w:cs="Sylfaen"/>
                <w:color w:val="FFFFFF" w:themeColor="background1"/>
                <w:sz w:val="20"/>
                <w:szCs w:val="20"/>
                <w:lang w:val="hy-AM"/>
              </w:rPr>
              <w:t xml:space="preserve"> </w:t>
            </w:r>
            <w:r w:rsidRPr="004F78C4">
              <w:rPr>
                <w:rFonts w:cs="Sylfaen"/>
                <w:color w:val="FFFFFF" w:themeColor="background1"/>
                <w:sz w:val="20"/>
                <w:szCs w:val="20"/>
              </w:rPr>
              <w:t>ծրագիր</w:t>
            </w:r>
          </w:p>
        </w:tc>
        <w:tc>
          <w:tcPr>
            <w:tcW w:w="678" w:type="pct"/>
            <w:tcBorders>
              <w:top w:val="double" w:sz="4" w:space="0" w:color="auto"/>
              <w:bottom w:val="double" w:sz="4" w:space="0" w:color="auto"/>
            </w:tcBorders>
            <w:shd w:val="clear" w:color="auto" w:fill="4F81BD" w:themeFill="accent1"/>
            <w:vAlign w:val="center"/>
          </w:tcPr>
          <w:p w14:paraId="516E9763"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 xml:space="preserve">2023թ </w:t>
            </w:r>
            <w:r w:rsidRPr="004F78C4">
              <w:rPr>
                <w:rFonts w:cs="Sylfaen"/>
                <w:color w:val="FFFFFF" w:themeColor="background1"/>
                <w:sz w:val="20"/>
                <w:szCs w:val="20"/>
                <w:lang w:val="hy-AM"/>
              </w:rPr>
              <w:t xml:space="preserve"> </w:t>
            </w:r>
            <w:r w:rsidRPr="004F78C4">
              <w:rPr>
                <w:rFonts w:cs="Sylfaen"/>
                <w:color w:val="FFFFFF" w:themeColor="background1"/>
                <w:sz w:val="20"/>
                <w:szCs w:val="20"/>
              </w:rPr>
              <w:t>ծրագիր</w:t>
            </w:r>
          </w:p>
        </w:tc>
        <w:tc>
          <w:tcPr>
            <w:tcW w:w="632" w:type="pct"/>
            <w:tcBorders>
              <w:top w:val="double" w:sz="4" w:space="0" w:color="auto"/>
              <w:bottom w:val="double" w:sz="4" w:space="0" w:color="auto"/>
            </w:tcBorders>
            <w:shd w:val="clear" w:color="auto" w:fill="4F81BD" w:themeFill="accent1"/>
            <w:vAlign w:val="center"/>
          </w:tcPr>
          <w:p w14:paraId="1AB293F3"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2024թ ծրագ</w:t>
            </w:r>
            <w:r w:rsidRPr="004F78C4">
              <w:rPr>
                <w:rFonts w:cs="Sylfaen"/>
                <w:color w:val="FFFFFF" w:themeColor="background1"/>
                <w:sz w:val="20"/>
                <w:szCs w:val="20"/>
                <w:lang w:val="hy-AM"/>
              </w:rPr>
              <w:t>ի</w:t>
            </w:r>
            <w:r w:rsidRPr="004F78C4">
              <w:rPr>
                <w:rFonts w:cs="Sylfaen"/>
                <w:color w:val="FFFFFF" w:themeColor="background1"/>
                <w:sz w:val="20"/>
                <w:szCs w:val="20"/>
              </w:rPr>
              <w:t>ր</w:t>
            </w:r>
          </w:p>
        </w:tc>
      </w:tr>
      <w:tr w:rsidR="00B11AEF" w:rsidRPr="004F78C4" w14:paraId="3C2CD4AF" w14:textId="77777777" w:rsidTr="00B11AEF">
        <w:tblPrEx>
          <w:tblCellMar>
            <w:left w:w="30" w:type="dxa"/>
            <w:right w:w="30" w:type="dxa"/>
          </w:tblCellMar>
        </w:tblPrEx>
        <w:trPr>
          <w:trHeight w:val="20"/>
        </w:trPr>
        <w:tc>
          <w:tcPr>
            <w:tcW w:w="2244" w:type="pct"/>
            <w:tcBorders>
              <w:top w:val="double" w:sz="4" w:space="0" w:color="auto"/>
              <w:bottom w:val="single" w:sz="6" w:space="0" w:color="auto"/>
            </w:tcBorders>
            <w:shd w:val="clear" w:color="auto" w:fill="C6D9F1" w:themeFill="text2" w:themeFillTint="33"/>
            <w:tcMar>
              <w:left w:w="57" w:type="dxa"/>
              <w:right w:w="57" w:type="dxa"/>
            </w:tcMar>
            <w:vAlign w:val="center"/>
          </w:tcPr>
          <w:p w14:paraId="3FBE1547" w14:textId="77777777" w:rsidR="00B11AEF" w:rsidRPr="004F78C4" w:rsidRDefault="00B11AEF" w:rsidP="00B11AEF">
            <w:pPr>
              <w:ind w:firstLine="0"/>
              <w:rPr>
                <w:rFonts w:cs="Arial"/>
                <w:b/>
                <w:sz w:val="20"/>
                <w:szCs w:val="20"/>
              </w:rPr>
            </w:pPr>
            <w:r w:rsidRPr="004F78C4">
              <w:rPr>
                <w:rFonts w:cs="Arial"/>
                <w:b/>
                <w:sz w:val="20"/>
                <w:szCs w:val="20"/>
              </w:rPr>
              <w:t>ԸՆԴԱՄԵՆԸ</w:t>
            </w:r>
          </w:p>
        </w:tc>
        <w:tc>
          <w:tcPr>
            <w:tcW w:w="768" w:type="pct"/>
            <w:tcBorders>
              <w:top w:val="double" w:sz="4" w:space="0" w:color="auto"/>
              <w:bottom w:val="single" w:sz="4" w:space="0" w:color="auto"/>
            </w:tcBorders>
            <w:shd w:val="clear" w:color="auto" w:fill="C6D9F1" w:themeFill="text2" w:themeFillTint="33"/>
            <w:tcMar>
              <w:left w:w="57" w:type="dxa"/>
              <w:right w:w="57" w:type="dxa"/>
            </w:tcMar>
            <w:vAlign w:val="center"/>
          </w:tcPr>
          <w:p w14:paraId="7A431A5C" w14:textId="77777777" w:rsidR="00B11AEF" w:rsidRPr="004F78C4" w:rsidRDefault="00B11AEF" w:rsidP="00B11AEF">
            <w:pPr>
              <w:ind w:firstLine="0"/>
              <w:jc w:val="center"/>
              <w:rPr>
                <w:rFonts w:cs="Arial"/>
                <w:b/>
                <w:sz w:val="20"/>
                <w:szCs w:val="20"/>
              </w:rPr>
            </w:pPr>
            <w:r w:rsidRPr="004F78C4">
              <w:rPr>
                <w:rFonts w:cs="Arial"/>
                <w:b/>
                <w:sz w:val="20"/>
                <w:szCs w:val="20"/>
              </w:rPr>
              <w:t>1,850,877.5</w:t>
            </w:r>
          </w:p>
        </w:tc>
        <w:tc>
          <w:tcPr>
            <w:tcW w:w="678" w:type="pct"/>
            <w:tcBorders>
              <w:top w:val="double" w:sz="4" w:space="0" w:color="auto"/>
              <w:bottom w:val="single" w:sz="4" w:space="0" w:color="auto"/>
            </w:tcBorders>
            <w:shd w:val="clear" w:color="auto" w:fill="C6D9F1" w:themeFill="text2" w:themeFillTint="33"/>
            <w:tcMar>
              <w:left w:w="57" w:type="dxa"/>
              <w:right w:w="57" w:type="dxa"/>
            </w:tcMar>
          </w:tcPr>
          <w:p w14:paraId="7B5725E4" w14:textId="77777777" w:rsidR="00B11AEF" w:rsidRPr="004F78C4" w:rsidRDefault="00B11AEF" w:rsidP="00B11AEF">
            <w:pPr>
              <w:ind w:firstLine="0"/>
              <w:jc w:val="center"/>
              <w:rPr>
                <w:rFonts w:cs="Arial"/>
                <w:b/>
                <w:sz w:val="20"/>
                <w:szCs w:val="20"/>
              </w:rPr>
            </w:pPr>
            <w:r w:rsidRPr="004F78C4">
              <w:rPr>
                <w:rFonts w:cs="Arial"/>
                <w:b/>
                <w:sz w:val="20"/>
                <w:szCs w:val="20"/>
              </w:rPr>
              <w:t>2,000,911.1</w:t>
            </w:r>
          </w:p>
        </w:tc>
        <w:tc>
          <w:tcPr>
            <w:tcW w:w="678" w:type="pct"/>
            <w:tcBorders>
              <w:top w:val="double" w:sz="4" w:space="0" w:color="auto"/>
              <w:bottom w:val="single" w:sz="4" w:space="0" w:color="auto"/>
            </w:tcBorders>
            <w:shd w:val="clear" w:color="auto" w:fill="C6D9F1" w:themeFill="text2" w:themeFillTint="33"/>
          </w:tcPr>
          <w:p w14:paraId="5955A060" w14:textId="77777777" w:rsidR="00B11AEF" w:rsidRPr="004F78C4" w:rsidRDefault="00B11AEF" w:rsidP="00B11AEF">
            <w:pPr>
              <w:ind w:firstLine="0"/>
              <w:jc w:val="center"/>
              <w:rPr>
                <w:rFonts w:cs="Arial"/>
                <w:b/>
                <w:sz w:val="20"/>
                <w:szCs w:val="20"/>
              </w:rPr>
            </w:pPr>
            <w:r w:rsidRPr="004F78C4">
              <w:rPr>
                <w:rFonts w:cs="Arial"/>
                <w:b/>
                <w:sz w:val="20"/>
                <w:szCs w:val="20"/>
              </w:rPr>
              <w:t>2,135,455.9</w:t>
            </w:r>
          </w:p>
        </w:tc>
        <w:tc>
          <w:tcPr>
            <w:tcW w:w="632" w:type="pct"/>
            <w:tcBorders>
              <w:top w:val="double" w:sz="4" w:space="0" w:color="auto"/>
              <w:bottom w:val="single" w:sz="4" w:space="0" w:color="auto"/>
            </w:tcBorders>
            <w:shd w:val="clear" w:color="auto" w:fill="C6D9F1" w:themeFill="text2" w:themeFillTint="33"/>
          </w:tcPr>
          <w:p w14:paraId="44F66927" w14:textId="77777777" w:rsidR="00B11AEF" w:rsidRPr="004F78C4" w:rsidRDefault="00B11AEF" w:rsidP="00B11AEF">
            <w:pPr>
              <w:ind w:firstLine="0"/>
              <w:jc w:val="center"/>
              <w:rPr>
                <w:rFonts w:cs="Arial"/>
                <w:b/>
                <w:sz w:val="20"/>
                <w:szCs w:val="20"/>
              </w:rPr>
            </w:pPr>
            <w:r w:rsidRPr="004F78C4">
              <w:rPr>
                <w:rFonts w:cs="Arial"/>
                <w:b/>
                <w:sz w:val="20"/>
                <w:szCs w:val="20"/>
              </w:rPr>
              <w:t>2,312,046.8</w:t>
            </w:r>
          </w:p>
        </w:tc>
      </w:tr>
      <w:tr w:rsidR="00B11AEF" w:rsidRPr="004F78C4" w14:paraId="5F6C62A7" w14:textId="77777777" w:rsidTr="00B11AEF">
        <w:tblPrEx>
          <w:tblCellMar>
            <w:left w:w="30" w:type="dxa"/>
            <w:right w:w="30" w:type="dxa"/>
          </w:tblCellMar>
        </w:tblPrEx>
        <w:trPr>
          <w:trHeight w:val="20"/>
        </w:trPr>
        <w:tc>
          <w:tcPr>
            <w:tcW w:w="2244" w:type="pct"/>
            <w:tcBorders>
              <w:top w:val="double" w:sz="4" w:space="0" w:color="auto"/>
              <w:bottom w:val="single" w:sz="6" w:space="0" w:color="auto"/>
            </w:tcBorders>
            <w:shd w:val="solid" w:color="FFFFFF" w:fill="auto"/>
            <w:tcMar>
              <w:left w:w="57" w:type="dxa"/>
              <w:right w:w="57" w:type="dxa"/>
            </w:tcMar>
            <w:vAlign w:val="center"/>
          </w:tcPr>
          <w:p w14:paraId="1EE81D69"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8" w:type="pct"/>
            <w:tcBorders>
              <w:top w:val="double" w:sz="4" w:space="0" w:color="auto"/>
              <w:bottom w:val="single" w:sz="4" w:space="0" w:color="auto"/>
            </w:tcBorders>
            <w:shd w:val="solid" w:color="FFFFFF" w:fill="auto"/>
            <w:tcMar>
              <w:left w:w="57" w:type="dxa"/>
              <w:right w:w="57" w:type="dxa"/>
            </w:tcMar>
          </w:tcPr>
          <w:p w14:paraId="49BD04D5" w14:textId="77777777" w:rsidR="00B11AEF" w:rsidRPr="004F78C4" w:rsidRDefault="00B11AEF" w:rsidP="00B11AEF">
            <w:pPr>
              <w:ind w:firstLine="0"/>
              <w:jc w:val="center"/>
              <w:rPr>
                <w:sz w:val="20"/>
                <w:szCs w:val="20"/>
              </w:rPr>
            </w:pPr>
            <w:r w:rsidRPr="004F78C4">
              <w:rPr>
                <w:sz w:val="20"/>
                <w:szCs w:val="20"/>
              </w:rPr>
              <w:t>28.9</w:t>
            </w:r>
          </w:p>
        </w:tc>
        <w:tc>
          <w:tcPr>
            <w:tcW w:w="678" w:type="pct"/>
            <w:tcBorders>
              <w:top w:val="double" w:sz="4" w:space="0" w:color="auto"/>
              <w:bottom w:val="single" w:sz="4" w:space="0" w:color="auto"/>
            </w:tcBorders>
            <w:shd w:val="solid" w:color="FFFFFF" w:fill="auto"/>
            <w:tcMar>
              <w:left w:w="57" w:type="dxa"/>
              <w:right w:w="57" w:type="dxa"/>
            </w:tcMar>
          </w:tcPr>
          <w:p w14:paraId="736F485A" w14:textId="77777777" w:rsidR="00B11AEF" w:rsidRPr="004F78C4" w:rsidRDefault="00B11AEF" w:rsidP="00B11AEF">
            <w:pPr>
              <w:ind w:firstLine="0"/>
              <w:jc w:val="center"/>
              <w:rPr>
                <w:sz w:val="20"/>
                <w:szCs w:val="20"/>
              </w:rPr>
            </w:pPr>
            <w:r w:rsidRPr="004F78C4">
              <w:rPr>
                <w:sz w:val="20"/>
                <w:szCs w:val="20"/>
              </w:rPr>
              <w:t>26.4</w:t>
            </w:r>
          </w:p>
        </w:tc>
        <w:tc>
          <w:tcPr>
            <w:tcW w:w="678" w:type="pct"/>
            <w:tcBorders>
              <w:top w:val="double" w:sz="4" w:space="0" w:color="auto"/>
              <w:bottom w:val="single" w:sz="4" w:space="0" w:color="auto"/>
            </w:tcBorders>
            <w:shd w:val="solid" w:color="FFFFFF" w:fill="auto"/>
          </w:tcPr>
          <w:p w14:paraId="0F3790E5" w14:textId="77777777" w:rsidR="00B11AEF" w:rsidRPr="004F78C4" w:rsidRDefault="00B11AEF" w:rsidP="00B11AEF">
            <w:pPr>
              <w:ind w:firstLine="0"/>
              <w:jc w:val="center"/>
              <w:rPr>
                <w:sz w:val="20"/>
                <w:szCs w:val="20"/>
              </w:rPr>
            </w:pPr>
            <w:r w:rsidRPr="004F78C4">
              <w:rPr>
                <w:sz w:val="20"/>
                <w:szCs w:val="20"/>
              </w:rPr>
              <w:t>26.1</w:t>
            </w:r>
          </w:p>
        </w:tc>
        <w:tc>
          <w:tcPr>
            <w:tcW w:w="632" w:type="pct"/>
            <w:tcBorders>
              <w:top w:val="double" w:sz="4" w:space="0" w:color="auto"/>
              <w:bottom w:val="single" w:sz="4" w:space="0" w:color="auto"/>
            </w:tcBorders>
            <w:shd w:val="solid" w:color="FFFFFF" w:fill="auto"/>
          </w:tcPr>
          <w:p w14:paraId="61BE5FC1" w14:textId="77777777" w:rsidR="00B11AEF" w:rsidRPr="004F78C4" w:rsidRDefault="00B11AEF" w:rsidP="00B11AEF">
            <w:pPr>
              <w:ind w:firstLine="0"/>
              <w:jc w:val="center"/>
              <w:rPr>
                <w:sz w:val="20"/>
                <w:szCs w:val="20"/>
              </w:rPr>
            </w:pPr>
            <w:r w:rsidRPr="004F78C4">
              <w:rPr>
                <w:sz w:val="20"/>
                <w:szCs w:val="20"/>
              </w:rPr>
              <w:t>26.2</w:t>
            </w:r>
          </w:p>
        </w:tc>
      </w:tr>
      <w:tr w:rsidR="00B11AEF" w:rsidRPr="004F78C4" w14:paraId="383DDD21" w14:textId="77777777" w:rsidTr="00B11AEF">
        <w:tblPrEx>
          <w:tblCellMar>
            <w:left w:w="30" w:type="dxa"/>
            <w:right w:w="30" w:type="dxa"/>
          </w:tblCellMar>
        </w:tblPrEx>
        <w:trPr>
          <w:trHeight w:val="20"/>
        </w:trPr>
        <w:tc>
          <w:tcPr>
            <w:tcW w:w="2244" w:type="pct"/>
            <w:tcBorders>
              <w:top w:val="double" w:sz="4" w:space="0" w:color="auto"/>
              <w:bottom w:val="single" w:sz="6" w:space="0" w:color="auto"/>
            </w:tcBorders>
            <w:shd w:val="clear" w:color="auto" w:fill="C6D9F1" w:themeFill="text2" w:themeFillTint="33"/>
            <w:tcMar>
              <w:left w:w="57" w:type="dxa"/>
              <w:right w:w="57" w:type="dxa"/>
            </w:tcMar>
            <w:vAlign w:val="center"/>
          </w:tcPr>
          <w:p w14:paraId="5C117DF4" w14:textId="77777777" w:rsidR="00B11AEF" w:rsidRPr="004F78C4" w:rsidRDefault="00B11AEF" w:rsidP="00B11AEF">
            <w:pPr>
              <w:ind w:firstLine="0"/>
              <w:rPr>
                <w:b/>
                <w:sz w:val="20"/>
                <w:szCs w:val="20"/>
              </w:rPr>
            </w:pPr>
            <w:r w:rsidRPr="004F78C4">
              <w:rPr>
                <w:rFonts w:cs="Arial"/>
                <w:b/>
                <w:sz w:val="20"/>
                <w:szCs w:val="20"/>
              </w:rPr>
              <w:t>ԸՆԴՀԱՆՈՒՐ ԲՆՈՒՅԹԻ ՀԱՆՐԱՅԻՆ ԾԱՌԱՅՈՒԹՅՈՒՆՆԵՐ</w:t>
            </w:r>
          </w:p>
        </w:tc>
        <w:tc>
          <w:tcPr>
            <w:tcW w:w="768" w:type="pct"/>
            <w:tcBorders>
              <w:top w:val="double" w:sz="4" w:space="0" w:color="auto"/>
              <w:bottom w:val="single" w:sz="4" w:space="0" w:color="auto"/>
            </w:tcBorders>
            <w:shd w:val="clear" w:color="auto" w:fill="C6D9F1" w:themeFill="text2" w:themeFillTint="33"/>
            <w:tcMar>
              <w:left w:w="57" w:type="dxa"/>
              <w:right w:w="57" w:type="dxa"/>
            </w:tcMar>
            <w:vAlign w:val="center"/>
          </w:tcPr>
          <w:p w14:paraId="2619D8F4" w14:textId="77777777" w:rsidR="00B11AEF" w:rsidRPr="004F78C4" w:rsidRDefault="00B11AEF" w:rsidP="00B11AEF">
            <w:pPr>
              <w:ind w:firstLine="0"/>
              <w:jc w:val="center"/>
              <w:rPr>
                <w:rFonts w:cs="Arial"/>
                <w:b/>
                <w:sz w:val="20"/>
                <w:szCs w:val="20"/>
              </w:rPr>
            </w:pPr>
            <w:r w:rsidRPr="004F78C4">
              <w:rPr>
                <w:rFonts w:cs="Arial"/>
                <w:b/>
                <w:sz w:val="20"/>
                <w:szCs w:val="20"/>
              </w:rPr>
              <w:t>397,085.4</w:t>
            </w:r>
          </w:p>
        </w:tc>
        <w:tc>
          <w:tcPr>
            <w:tcW w:w="678" w:type="pct"/>
            <w:tcBorders>
              <w:top w:val="double" w:sz="4" w:space="0" w:color="auto"/>
              <w:bottom w:val="single" w:sz="4" w:space="0" w:color="auto"/>
            </w:tcBorders>
            <w:shd w:val="clear" w:color="auto" w:fill="C6D9F1" w:themeFill="text2" w:themeFillTint="33"/>
            <w:tcMar>
              <w:left w:w="57" w:type="dxa"/>
              <w:right w:w="57" w:type="dxa"/>
            </w:tcMar>
            <w:vAlign w:val="center"/>
          </w:tcPr>
          <w:p w14:paraId="48A4BDEA" w14:textId="77777777" w:rsidR="00B11AEF" w:rsidRPr="004F78C4" w:rsidRDefault="00B11AEF" w:rsidP="00B11AEF">
            <w:pPr>
              <w:ind w:firstLine="0"/>
              <w:jc w:val="center"/>
              <w:rPr>
                <w:rFonts w:cs="Arial"/>
                <w:b/>
                <w:sz w:val="20"/>
                <w:szCs w:val="20"/>
              </w:rPr>
            </w:pPr>
            <w:r w:rsidRPr="004F78C4">
              <w:rPr>
                <w:rFonts w:cs="Arial"/>
                <w:b/>
                <w:sz w:val="20"/>
                <w:szCs w:val="20"/>
              </w:rPr>
              <w:t>402,115.4</w:t>
            </w:r>
          </w:p>
        </w:tc>
        <w:tc>
          <w:tcPr>
            <w:tcW w:w="678" w:type="pct"/>
            <w:tcBorders>
              <w:top w:val="double" w:sz="4" w:space="0" w:color="auto"/>
              <w:bottom w:val="single" w:sz="4" w:space="0" w:color="auto"/>
            </w:tcBorders>
            <w:shd w:val="clear" w:color="auto" w:fill="C6D9F1" w:themeFill="text2" w:themeFillTint="33"/>
            <w:vAlign w:val="center"/>
          </w:tcPr>
          <w:p w14:paraId="73169977" w14:textId="77777777" w:rsidR="00B11AEF" w:rsidRPr="004F78C4" w:rsidRDefault="00B11AEF" w:rsidP="00B11AEF">
            <w:pPr>
              <w:ind w:firstLine="0"/>
              <w:jc w:val="center"/>
              <w:rPr>
                <w:rFonts w:cs="Arial"/>
                <w:b/>
                <w:sz w:val="20"/>
                <w:szCs w:val="20"/>
              </w:rPr>
            </w:pPr>
            <w:r w:rsidRPr="004F78C4">
              <w:rPr>
                <w:rFonts w:cs="Arial"/>
                <w:b/>
                <w:sz w:val="20"/>
                <w:szCs w:val="20"/>
              </w:rPr>
              <w:t>441,191.2</w:t>
            </w:r>
          </w:p>
        </w:tc>
        <w:tc>
          <w:tcPr>
            <w:tcW w:w="632" w:type="pct"/>
            <w:tcBorders>
              <w:top w:val="double" w:sz="4" w:space="0" w:color="auto"/>
              <w:bottom w:val="single" w:sz="4" w:space="0" w:color="auto"/>
            </w:tcBorders>
            <w:shd w:val="clear" w:color="auto" w:fill="C6D9F1" w:themeFill="text2" w:themeFillTint="33"/>
            <w:vAlign w:val="center"/>
          </w:tcPr>
          <w:p w14:paraId="450A53CE" w14:textId="77777777" w:rsidR="00B11AEF" w:rsidRPr="004F78C4" w:rsidRDefault="00B11AEF" w:rsidP="00B11AEF">
            <w:pPr>
              <w:ind w:firstLine="0"/>
              <w:jc w:val="left"/>
              <w:rPr>
                <w:rFonts w:cs="Arial"/>
                <w:b/>
                <w:sz w:val="20"/>
                <w:szCs w:val="20"/>
              </w:rPr>
            </w:pPr>
            <w:r w:rsidRPr="004F78C4">
              <w:rPr>
                <w:rFonts w:cs="Arial"/>
                <w:b/>
                <w:sz w:val="20"/>
                <w:szCs w:val="20"/>
              </w:rPr>
              <w:t xml:space="preserve"> 465,346.5</w:t>
            </w:r>
          </w:p>
        </w:tc>
      </w:tr>
      <w:tr w:rsidR="00B11AEF" w:rsidRPr="004F78C4" w14:paraId="27B9EAE4" w14:textId="77777777" w:rsidTr="00B11AEF">
        <w:tblPrEx>
          <w:tblCellMar>
            <w:left w:w="30" w:type="dxa"/>
            <w:right w:w="30" w:type="dxa"/>
          </w:tblCellMar>
        </w:tblPrEx>
        <w:trPr>
          <w:trHeight w:val="417"/>
        </w:trPr>
        <w:tc>
          <w:tcPr>
            <w:tcW w:w="2244" w:type="pct"/>
            <w:tcBorders>
              <w:top w:val="single" w:sz="6" w:space="0" w:color="auto"/>
              <w:bottom w:val="single" w:sz="6" w:space="0" w:color="auto"/>
              <w:right w:val="single" w:sz="4" w:space="0" w:color="auto"/>
            </w:tcBorders>
            <w:shd w:val="solid" w:color="FFFFFF" w:fill="auto"/>
            <w:tcMar>
              <w:left w:w="57" w:type="dxa"/>
              <w:right w:w="57" w:type="dxa"/>
            </w:tcMar>
            <w:vAlign w:val="center"/>
          </w:tcPr>
          <w:p w14:paraId="385905EB"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8" w:type="pct"/>
            <w:tcBorders>
              <w:top w:val="single" w:sz="4" w:space="0" w:color="auto"/>
              <w:left w:val="single" w:sz="4" w:space="0" w:color="auto"/>
              <w:bottom w:val="single" w:sz="4" w:space="0" w:color="auto"/>
              <w:right w:val="single" w:sz="4" w:space="0" w:color="auto"/>
            </w:tcBorders>
            <w:shd w:val="solid" w:color="FFFFFF" w:fill="auto"/>
            <w:tcMar>
              <w:left w:w="57" w:type="dxa"/>
              <w:right w:w="57" w:type="dxa"/>
            </w:tcMar>
            <w:vAlign w:val="center"/>
          </w:tcPr>
          <w:p w14:paraId="4A44D46C" w14:textId="77777777" w:rsidR="00B11AEF" w:rsidRPr="004F78C4" w:rsidRDefault="00B11AEF" w:rsidP="00B11AEF">
            <w:pPr>
              <w:ind w:firstLine="0"/>
              <w:jc w:val="center"/>
              <w:rPr>
                <w:rFonts w:cs="Arial"/>
                <w:sz w:val="20"/>
                <w:szCs w:val="20"/>
              </w:rPr>
            </w:pPr>
            <w:r w:rsidRPr="004F78C4">
              <w:rPr>
                <w:rFonts w:cs="Arial"/>
                <w:sz w:val="20"/>
                <w:szCs w:val="20"/>
              </w:rPr>
              <w:t>6.2</w:t>
            </w:r>
          </w:p>
        </w:tc>
        <w:tc>
          <w:tcPr>
            <w:tcW w:w="678" w:type="pct"/>
            <w:tcBorders>
              <w:top w:val="single" w:sz="4" w:space="0" w:color="auto"/>
              <w:left w:val="single" w:sz="4" w:space="0" w:color="auto"/>
              <w:bottom w:val="single" w:sz="4" w:space="0" w:color="auto"/>
              <w:right w:val="single" w:sz="4" w:space="0" w:color="auto"/>
            </w:tcBorders>
            <w:shd w:val="solid" w:color="FFFFFF" w:fill="auto"/>
            <w:tcMar>
              <w:left w:w="57" w:type="dxa"/>
              <w:right w:w="57" w:type="dxa"/>
            </w:tcMar>
            <w:vAlign w:val="center"/>
          </w:tcPr>
          <w:p w14:paraId="4D961B16" w14:textId="77777777" w:rsidR="00B11AEF" w:rsidRPr="004F78C4" w:rsidRDefault="00B11AEF" w:rsidP="00B11AEF">
            <w:pPr>
              <w:ind w:firstLine="0"/>
              <w:jc w:val="center"/>
              <w:rPr>
                <w:rFonts w:cs="Arial"/>
                <w:sz w:val="20"/>
                <w:szCs w:val="20"/>
              </w:rPr>
            </w:pPr>
            <w:r w:rsidRPr="004F78C4">
              <w:rPr>
                <w:rFonts w:cs="Arial"/>
                <w:sz w:val="20"/>
                <w:szCs w:val="20"/>
              </w:rPr>
              <w:t>5.3</w:t>
            </w:r>
          </w:p>
        </w:tc>
        <w:tc>
          <w:tcPr>
            <w:tcW w:w="678" w:type="pct"/>
            <w:tcBorders>
              <w:top w:val="single" w:sz="4" w:space="0" w:color="auto"/>
              <w:left w:val="single" w:sz="4" w:space="0" w:color="auto"/>
              <w:bottom w:val="single" w:sz="4" w:space="0" w:color="auto"/>
              <w:right w:val="single" w:sz="4" w:space="0" w:color="auto"/>
            </w:tcBorders>
            <w:shd w:val="solid" w:color="FFFFFF" w:fill="auto"/>
            <w:vAlign w:val="center"/>
          </w:tcPr>
          <w:p w14:paraId="1299EB65" w14:textId="77777777" w:rsidR="00B11AEF" w:rsidRPr="004F78C4" w:rsidRDefault="00B11AEF" w:rsidP="00B11AEF">
            <w:pPr>
              <w:ind w:firstLine="0"/>
              <w:jc w:val="center"/>
              <w:rPr>
                <w:rFonts w:cs="Arial"/>
                <w:sz w:val="20"/>
                <w:szCs w:val="20"/>
              </w:rPr>
            </w:pPr>
            <w:r w:rsidRPr="004F78C4">
              <w:rPr>
                <w:rFonts w:cs="Arial"/>
                <w:sz w:val="20"/>
                <w:szCs w:val="20"/>
              </w:rPr>
              <w:t>5.4</w:t>
            </w:r>
          </w:p>
        </w:tc>
        <w:tc>
          <w:tcPr>
            <w:tcW w:w="632" w:type="pct"/>
            <w:tcBorders>
              <w:top w:val="single" w:sz="4" w:space="0" w:color="auto"/>
              <w:left w:val="single" w:sz="4" w:space="0" w:color="auto"/>
              <w:bottom w:val="single" w:sz="4" w:space="0" w:color="auto"/>
              <w:right w:val="double" w:sz="4" w:space="0" w:color="auto"/>
            </w:tcBorders>
            <w:shd w:val="solid" w:color="FFFFFF" w:fill="auto"/>
            <w:vAlign w:val="center"/>
          </w:tcPr>
          <w:p w14:paraId="35E83159" w14:textId="77777777" w:rsidR="00B11AEF" w:rsidRPr="004F78C4" w:rsidRDefault="00B11AEF" w:rsidP="00B11AEF">
            <w:pPr>
              <w:ind w:firstLine="0"/>
              <w:jc w:val="center"/>
              <w:rPr>
                <w:rFonts w:cs="Arial"/>
                <w:sz w:val="20"/>
                <w:szCs w:val="20"/>
              </w:rPr>
            </w:pPr>
            <w:r w:rsidRPr="004F78C4">
              <w:rPr>
                <w:rFonts w:cs="Arial"/>
                <w:sz w:val="20"/>
                <w:szCs w:val="20"/>
              </w:rPr>
              <w:t>5.3</w:t>
            </w:r>
          </w:p>
        </w:tc>
      </w:tr>
      <w:tr w:rsidR="00B11AEF" w:rsidRPr="004F78C4" w14:paraId="72C56764" w14:textId="77777777" w:rsidTr="00B11AEF">
        <w:tblPrEx>
          <w:tblCellMar>
            <w:left w:w="30" w:type="dxa"/>
            <w:right w:w="30" w:type="dxa"/>
          </w:tblCellMar>
        </w:tblPrEx>
        <w:trPr>
          <w:trHeight w:val="20"/>
        </w:trPr>
        <w:tc>
          <w:tcPr>
            <w:tcW w:w="2244" w:type="pct"/>
            <w:tcBorders>
              <w:top w:val="single" w:sz="6" w:space="0" w:color="auto"/>
              <w:bottom w:val="single" w:sz="6" w:space="0" w:color="auto"/>
              <w:right w:val="single" w:sz="4" w:space="0" w:color="auto"/>
            </w:tcBorders>
            <w:shd w:val="solid" w:color="FFFFFF" w:fill="auto"/>
            <w:tcMar>
              <w:left w:w="57" w:type="dxa"/>
              <w:right w:w="57" w:type="dxa"/>
            </w:tcMar>
            <w:vAlign w:val="center"/>
          </w:tcPr>
          <w:p w14:paraId="2274F237"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8" w:type="pct"/>
            <w:tcBorders>
              <w:top w:val="single" w:sz="4" w:space="0" w:color="auto"/>
              <w:left w:val="single" w:sz="4" w:space="0" w:color="auto"/>
              <w:bottom w:val="single" w:sz="4" w:space="0" w:color="auto"/>
              <w:right w:val="single" w:sz="4" w:space="0" w:color="auto"/>
            </w:tcBorders>
            <w:shd w:val="solid" w:color="FFFFFF" w:fill="auto"/>
            <w:tcMar>
              <w:left w:w="57" w:type="dxa"/>
              <w:right w:w="57" w:type="dxa"/>
            </w:tcMar>
            <w:vAlign w:val="center"/>
          </w:tcPr>
          <w:p w14:paraId="7B7CE318" w14:textId="77777777" w:rsidR="00B11AEF" w:rsidRPr="004F78C4" w:rsidRDefault="00B11AEF" w:rsidP="00B11AEF">
            <w:pPr>
              <w:ind w:firstLine="0"/>
              <w:jc w:val="center"/>
              <w:rPr>
                <w:rFonts w:cs="Arial"/>
                <w:sz w:val="20"/>
                <w:szCs w:val="20"/>
              </w:rPr>
            </w:pPr>
            <w:r w:rsidRPr="004F78C4">
              <w:rPr>
                <w:rFonts w:cs="Arial"/>
                <w:sz w:val="20"/>
                <w:szCs w:val="20"/>
              </w:rPr>
              <w:t>21.5</w:t>
            </w:r>
          </w:p>
        </w:tc>
        <w:tc>
          <w:tcPr>
            <w:tcW w:w="678" w:type="pct"/>
            <w:tcBorders>
              <w:top w:val="single" w:sz="4" w:space="0" w:color="auto"/>
              <w:left w:val="single" w:sz="4" w:space="0" w:color="auto"/>
              <w:bottom w:val="single" w:sz="4" w:space="0" w:color="auto"/>
              <w:right w:val="single" w:sz="4" w:space="0" w:color="auto"/>
            </w:tcBorders>
            <w:shd w:val="solid" w:color="FFFFFF" w:fill="auto"/>
            <w:tcMar>
              <w:left w:w="57" w:type="dxa"/>
              <w:right w:w="57" w:type="dxa"/>
            </w:tcMar>
            <w:vAlign w:val="center"/>
          </w:tcPr>
          <w:p w14:paraId="01211BFD" w14:textId="77777777" w:rsidR="00B11AEF" w:rsidRPr="004F78C4" w:rsidRDefault="00B11AEF" w:rsidP="00B11AEF">
            <w:pPr>
              <w:ind w:firstLine="0"/>
              <w:jc w:val="center"/>
              <w:rPr>
                <w:rFonts w:cs="Arial"/>
                <w:sz w:val="20"/>
                <w:szCs w:val="20"/>
              </w:rPr>
            </w:pPr>
            <w:r w:rsidRPr="004F78C4">
              <w:rPr>
                <w:rFonts w:cs="Arial"/>
                <w:sz w:val="20"/>
                <w:szCs w:val="20"/>
              </w:rPr>
              <w:t>20.0</w:t>
            </w:r>
          </w:p>
        </w:tc>
        <w:tc>
          <w:tcPr>
            <w:tcW w:w="678" w:type="pct"/>
            <w:tcBorders>
              <w:top w:val="single" w:sz="4" w:space="0" w:color="auto"/>
              <w:left w:val="single" w:sz="4" w:space="0" w:color="auto"/>
              <w:bottom w:val="single" w:sz="4" w:space="0" w:color="auto"/>
              <w:right w:val="single" w:sz="4" w:space="0" w:color="auto"/>
            </w:tcBorders>
            <w:shd w:val="solid" w:color="FFFFFF" w:fill="auto"/>
            <w:vAlign w:val="center"/>
          </w:tcPr>
          <w:p w14:paraId="6E3B6D95" w14:textId="77777777" w:rsidR="00B11AEF" w:rsidRPr="004F78C4" w:rsidRDefault="00B11AEF" w:rsidP="00B11AEF">
            <w:pPr>
              <w:ind w:firstLine="0"/>
              <w:jc w:val="center"/>
              <w:rPr>
                <w:rFonts w:cs="Arial"/>
                <w:sz w:val="20"/>
                <w:szCs w:val="20"/>
              </w:rPr>
            </w:pPr>
            <w:r w:rsidRPr="004F78C4">
              <w:rPr>
                <w:rFonts w:cs="Arial"/>
                <w:sz w:val="20"/>
                <w:szCs w:val="20"/>
              </w:rPr>
              <w:t>20.7</w:t>
            </w:r>
          </w:p>
        </w:tc>
        <w:tc>
          <w:tcPr>
            <w:tcW w:w="632" w:type="pct"/>
            <w:tcBorders>
              <w:top w:val="single" w:sz="4" w:space="0" w:color="auto"/>
              <w:left w:val="single" w:sz="4" w:space="0" w:color="auto"/>
              <w:bottom w:val="single" w:sz="4" w:space="0" w:color="auto"/>
              <w:right w:val="double" w:sz="4" w:space="0" w:color="auto"/>
            </w:tcBorders>
            <w:shd w:val="solid" w:color="FFFFFF" w:fill="auto"/>
            <w:vAlign w:val="center"/>
          </w:tcPr>
          <w:p w14:paraId="78E7E191" w14:textId="77777777" w:rsidR="00B11AEF" w:rsidRPr="004F78C4" w:rsidRDefault="00B11AEF" w:rsidP="00B11AEF">
            <w:pPr>
              <w:ind w:firstLine="0"/>
              <w:jc w:val="center"/>
              <w:rPr>
                <w:rFonts w:cs="Arial"/>
                <w:sz w:val="20"/>
                <w:szCs w:val="20"/>
              </w:rPr>
            </w:pPr>
            <w:r w:rsidRPr="004F78C4">
              <w:rPr>
                <w:rFonts w:cs="Arial"/>
                <w:sz w:val="20"/>
                <w:szCs w:val="20"/>
              </w:rPr>
              <w:t>20.1</w:t>
            </w:r>
          </w:p>
        </w:tc>
      </w:tr>
      <w:tr w:rsidR="00B11AEF" w:rsidRPr="004F78C4" w14:paraId="6F998583" w14:textId="77777777" w:rsidTr="00B11AEF">
        <w:tblPrEx>
          <w:tblCellMar>
            <w:left w:w="30" w:type="dxa"/>
            <w:right w:w="30" w:type="dxa"/>
          </w:tblCellMar>
        </w:tblPrEx>
        <w:trPr>
          <w:trHeight w:val="795"/>
        </w:trPr>
        <w:tc>
          <w:tcPr>
            <w:tcW w:w="2244" w:type="pct"/>
            <w:tcBorders>
              <w:top w:val="single" w:sz="6" w:space="0" w:color="auto"/>
              <w:bottom w:val="single" w:sz="6" w:space="0" w:color="auto"/>
              <w:right w:val="single" w:sz="4" w:space="0" w:color="auto"/>
            </w:tcBorders>
            <w:shd w:val="clear" w:color="auto" w:fill="C6D9F1" w:themeFill="text2" w:themeFillTint="33"/>
            <w:tcMar>
              <w:left w:w="57" w:type="dxa"/>
              <w:right w:w="57" w:type="dxa"/>
            </w:tcMar>
            <w:vAlign w:val="bottom"/>
          </w:tcPr>
          <w:p w14:paraId="1A1C60F0" w14:textId="77777777" w:rsidR="00B11AEF" w:rsidRPr="004F78C4" w:rsidRDefault="00B11AEF" w:rsidP="00B11AEF">
            <w:pPr>
              <w:ind w:firstLine="0"/>
              <w:rPr>
                <w:b/>
                <w:sz w:val="20"/>
                <w:szCs w:val="20"/>
              </w:rPr>
            </w:pPr>
            <w:r w:rsidRPr="004F78C4">
              <w:rPr>
                <w:rFonts w:cs="Arial"/>
                <w:b/>
                <w:sz w:val="20"/>
                <w:szCs w:val="20"/>
              </w:rPr>
              <w:t>ՊԱՇՏՊԱՆՈՒԹՅՈՒՆ, ՀԱՍԱՐԱԿԱԿԱՆ ԿԱՐԳ,  ԱՆՎՏԱՆԳՈՒԹՅՈՒՆ ԵՎ ԴԱՏԱԿԱՆ ԳՈՐԾՈՒՆԵՈՒԹՅՈՒՆ</w:t>
            </w:r>
            <w:r>
              <w:rPr>
                <w:rStyle w:val="FootnoteReference"/>
                <w:rFonts w:cs="Arial"/>
                <w:b/>
                <w:sz w:val="20"/>
                <w:szCs w:val="20"/>
              </w:rPr>
              <w:footnoteReference w:id="31"/>
            </w:r>
          </w:p>
        </w:tc>
        <w:tc>
          <w:tcPr>
            <w:tcW w:w="768" w:type="pct"/>
            <w:tcBorders>
              <w:top w:val="single" w:sz="4" w:space="0" w:color="auto"/>
              <w:left w:val="single" w:sz="4" w:space="0" w:color="auto"/>
              <w:bottom w:val="single" w:sz="4" w:space="0" w:color="auto"/>
              <w:right w:val="single" w:sz="4" w:space="0" w:color="auto"/>
            </w:tcBorders>
            <w:shd w:val="clear" w:color="auto" w:fill="C6D9F1" w:themeFill="text2" w:themeFillTint="33"/>
            <w:tcMar>
              <w:left w:w="57" w:type="dxa"/>
              <w:right w:w="57" w:type="dxa"/>
            </w:tcMar>
          </w:tcPr>
          <w:p w14:paraId="4DBFA988" w14:textId="77777777" w:rsidR="00B11AEF" w:rsidRPr="004F78C4" w:rsidRDefault="00B11AEF" w:rsidP="00B11AEF">
            <w:pPr>
              <w:ind w:firstLine="0"/>
              <w:jc w:val="center"/>
              <w:rPr>
                <w:b/>
                <w:sz w:val="20"/>
                <w:szCs w:val="20"/>
              </w:rPr>
            </w:pPr>
            <w:r w:rsidRPr="004F78C4">
              <w:rPr>
                <w:b/>
                <w:sz w:val="20"/>
                <w:szCs w:val="20"/>
              </w:rPr>
              <w:t>468,807.7</w:t>
            </w:r>
          </w:p>
        </w:tc>
        <w:tc>
          <w:tcPr>
            <w:tcW w:w="678" w:type="pct"/>
            <w:tcBorders>
              <w:top w:val="single" w:sz="4" w:space="0" w:color="auto"/>
              <w:left w:val="single" w:sz="4" w:space="0" w:color="auto"/>
              <w:bottom w:val="single" w:sz="4" w:space="0" w:color="auto"/>
              <w:right w:val="single" w:sz="4" w:space="0" w:color="auto"/>
            </w:tcBorders>
            <w:shd w:val="clear" w:color="auto" w:fill="C6D9F1" w:themeFill="text2" w:themeFillTint="33"/>
            <w:tcMar>
              <w:left w:w="57" w:type="dxa"/>
              <w:right w:w="57" w:type="dxa"/>
            </w:tcMar>
          </w:tcPr>
          <w:p w14:paraId="4CD7B826" w14:textId="77777777" w:rsidR="00B11AEF" w:rsidRPr="004F78C4" w:rsidRDefault="00B11AEF" w:rsidP="00B11AEF">
            <w:pPr>
              <w:ind w:firstLine="0"/>
              <w:jc w:val="center"/>
              <w:rPr>
                <w:b/>
                <w:sz w:val="20"/>
                <w:szCs w:val="20"/>
              </w:rPr>
            </w:pPr>
            <w:r w:rsidRPr="004F78C4">
              <w:rPr>
                <w:b/>
                <w:sz w:val="20"/>
                <w:szCs w:val="20"/>
              </w:rPr>
              <w:t>361,571.8</w:t>
            </w:r>
          </w:p>
        </w:tc>
        <w:tc>
          <w:tcPr>
            <w:tcW w:w="678"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0AC0594F" w14:textId="77777777" w:rsidR="00B11AEF" w:rsidRPr="004F78C4" w:rsidRDefault="00B11AEF" w:rsidP="00B11AEF">
            <w:pPr>
              <w:ind w:firstLine="0"/>
              <w:jc w:val="center"/>
              <w:rPr>
                <w:b/>
                <w:sz w:val="20"/>
                <w:szCs w:val="20"/>
              </w:rPr>
            </w:pPr>
            <w:r w:rsidRPr="004F78C4">
              <w:rPr>
                <w:b/>
                <w:sz w:val="20"/>
                <w:szCs w:val="20"/>
              </w:rPr>
              <w:t>380,118.4</w:t>
            </w:r>
          </w:p>
        </w:tc>
        <w:tc>
          <w:tcPr>
            <w:tcW w:w="632" w:type="pct"/>
            <w:tcBorders>
              <w:top w:val="single" w:sz="4" w:space="0" w:color="auto"/>
              <w:left w:val="single" w:sz="4" w:space="0" w:color="auto"/>
              <w:bottom w:val="single" w:sz="4" w:space="0" w:color="auto"/>
              <w:right w:val="double" w:sz="4" w:space="0" w:color="auto"/>
            </w:tcBorders>
            <w:shd w:val="clear" w:color="auto" w:fill="C6D9F1" w:themeFill="text2" w:themeFillTint="33"/>
          </w:tcPr>
          <w:p w14:paraId="102ED477" w14:textId="77777777" w:rsidR="00B11AEF" w:rsidRPr="004F78C4" w:rsidRDefault="00B11AEF" w:rsidP="00B11AEF">
            <w:pPr>
              <w:ind w:firstLine="0"/>
              <w:jc w:val="center"/>
              <w:rPr>
                <w:b/>
                <w:sz w:val="20"/>
                <w:szCs w:val="20"/>
              </w:rPr>
            </w:pPr>
            <w:r w:rsidRPr="004F78C4">
              <w:rPr>
                <w:b/>
                <w:sz w:val="20"/>
                <w:szCs w:val="20"/>
              </w:rPr>
              <w:t>380,547.3</w:t>
            </w:r>
          </w:p>
        </w:tc>
      </w:tr>
      <w:tr w:rsidR="00B11AEF" w:rsidRPr="004F78C4" w14:paraId="013A2FEE" w14:textId="77777777" w:rsidTr="00B11AEF">
        <w:trPr>
          <w:trHeight w:val="20"/>
        </w:trPr>
        <w:tc>
          <w:tcPr>
            <w:tcW w:w="2244" w:type="pct"/>
            <w:shd w:val="clear" w:color="auto" w:fill="FFFFFF"/>
            <w:tcMar>
              <w:left w:w="57" w:type="dxa"/>
              <w:right w:w="57" w:type="dxa"/>
            </w:tcMar>
            <w:vAlign w:val="center"/>
          </w:tcPr>
          <w:p w14:paraId="6FA3D9D7"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8" w:type="pct"/>
            <w:shd w:val="clear" w:color="auto" w:fill="FFFFFF"/>
            <w:tcMar>
              <w:left w:w="57" w:type="dxa"/>
              <w:right w:w="57" w:type="dxa"/>
            </w:tcMar>
          </w:tcPr>
          <w:p w14:paraId="7BE8F2A1" w14:textId="77777777" w:rsidR="00B11AEF" w:rsidRPr="004F78C4" w:rsidRDefault="00B11AEF" w:rsidP="00B11AEF">
            <w:pPr>
              <w:ind w:firstLine="0"/>
              <w:jc w:val="center"/>
              <w:rPr>
                <w:sz w:val="20"/>
                <w:szCs w:val="20"/>
              </w:rPr>
            </w:pPr>
            <w:r w:rsidRPr="004F78C4">
              <w:rPr>
                <w:sz w:val="20"/>
                <w:szCs w:val="20"/>
              </w:rPr>
              <w:t>7.3</w:t>
            </w:r>
          </w:p>
        </w:tc>
        <w:tc>
          <w:tcPr>
            <w:tcW w:w="678" w:type="pct"/>
            <w:shd w:val="clear" w:color="auto" w:fill="FFFFFF"/>
            <w:tcMar>
              <w:left w:w="57" w:type="dxa"/>
              <w:right w:w="57" w:type="dxa"/>
            </w:tcMar>
          </w:tcPr>
          <w:p w14:paraId="32B10F7D" w14:textId="77777777" w:rsidR="00B11AEF" w:rsidRPr="004F78C4" w:rsidRDefault="00B11AEF" w:rsidP="00B11AEF">
            <w:pPr>
              <w:ind w:firstLine="0"/>
              <w:jc w:val="center"/>
              <w:rPr>
                <w:sz w:val="20"/>
                <w:szCs w:val="20"/>
              </w:rPr>
            </w:pPr>
            <w:r w:rsidRPr="004F78C4">
              <w:rPr>
                <w:sz w:val="20"/>
                <w:szCs w:val="20"/>
              </w:rPr>
              <w:t>4.8</w:t>
            </w:r>
          </w:p>
        </w:tc>
        <w:tc>
          <w:tcPr>
            <w:tcW w:w="678" w:type="pct"/>
            <w:shd w:val="clear" w:color="auto" w:fill="FFFFFF"/>
          </w:tcPr>
          <w:p w14:paraId="4DABF1C5" w14:textId="77777777" w:rsidR="00B11AEF" w:rsidRPr="004F78C4" w:rsidRDefault="00B11AEF" w:rsidP="00B11AEF">
            <w:pPr>
              <w:ind w:firstLine="0"/>
              <w:jc w:val="center"/>
              <w:rPr>
                <w:sz w:val="20"/>
                <w:szCs w:val="20"/>
              </w:rPr>
            </w:pPr>
            <w:r w:rsidRPr="004F78C4">
              <w:rPr>
                <w:sz w:val="20"/>
                <w:szCs w:val="20"/>
              </w:rPr>
              <w:t>4.7</w:t>
            </w:r>
          </w:p>
        </w:tc>
        <w:tc>
          <w:tcPr>
            <w:tcW w:w="632" w:type="pct"/>
            <w:shd w:val="clear" w:color="auto" w:fill="FFFFFF"/>
          </w:tcPr>
          <w:p w14:paraId="5866F7B8" w14:textId="77777777" w:rsidR="00B11AEF" w:rsidRPr="004F78C4" w:rsidRDefault="00B11AEF" w:rsidP="00B11AEF">
            <w:pPr>
              <w:ind w:firstLine="0"/>
              <w:jc w:val="center"/>
              <w:rPr>
                <w:sz w:val="20"/>
                <w:szCs w:val="20"/>
              </w:rPr>
            </w:pPr>
            <w:r w:rsidRPr="004F78C4">
              <w:rPr>
                <w:sz w:val="20"/>
                <w:szCs w:val="20"/>
              </w:rPr>
              <w:t>4.3</w:t>
            </w:r>
          </w:p>
        </w:tc>
      </w:tr>
      <w:tr w:rsidR="00B11AEF" w:rsidRPr="004F78C4" w14:paraId="39D6C073" w14:textId="77777777" w:rsidTr="00B11AEF">
        <w:trPr>
          <w:trHeight w:val="20"/>
        </w:trPr>
        <w:tc>
          <w:tcPr>
            <w:tcW w:w="2244" w:type="pct"/>
            <w:shd w:val="clear" w:color="auto" w:fill="FFFFFF"/>
            <w:tcMar>
              <w:left w:w="57" w:type="dxa"/>
              <w:right w:w="57" w:type="dxa"/>
            </w:tcMar>
            <w:vAlign w:val="center"/>
          </w:tcPr>
          <w:p w14:paraId="304D6806"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8" w:type="pct"/>
            <w:shd w:val="clear" w:color="auto" w:fill="FFFFFF"/>
            <w:tcMar>
              <w:left w:w="57" w:type="dxa"/>
              <w:right w:w="57" w:type="dxa"/>
            </w:tcMar>
          </w:tcPr>
          <w:p w14:paraId="249C6841" w14:textId="77777777" w:rsidR="00B11AEF" w:rsidRPr="004F78C4" w:rsidRDefault="00B11AEF" w:rsidP="00B11AEF">
            <w:pPr>
              <w:ind w:firstLine="0"/>
              <w:jc w:val="center"/>
              <w:rPr>
                <w:sz w:val="20"/>
                <w:szCs w:val="20"/>
              </w:rPr>
            </w:pPr>
            <w:r w:rsidRPr="004F78C4">
              <w:rPr>
                <w:sz w:val="20"/>
                <w:szCs w:val="20"/>
              </w:rPr>
              <w:t>25.3</w:t>
            </w:r>
          </w:p>
        </w:tc>
        <w:tc>
          <w:tcPr>
            <w:tcW w:w="678" w:type="pct"/>
            <w:shd w:val="clear" w:color="auto" w:fill="FFFFFF"/>
            <w:tcMar>
              <w:left w:w="57" w:type="dxa"/>
              <w:right w:w="57" w:type="dxa"/>
            </w:tcMar>
          </w:tcPr>
          <w:p w14:paraId="1F583BD4" w14:textId="77777777" w:rsidR="00B11AEF" w:rsidRPr="004F78C4" w:rsidRDefault="00B11AEF" w:rsidP="00B11AEF">
            <w:pPr>
              <w:ind w:firstLine="0"/>
              <w:jc w:val="center"/>
              <w:rPr>
                <w:sz w:val="20"/>
                <w:szCs w:val="20"/>
              </w:rPr>
            </w:pPr>
            <w:r w:rsidRPr="004F78C4">
              <w:rPr>
                <w:sz w:val="20"/>
                <w:szCs w:val="20"/>
              </w:rPr>
              <w:t>18.1</w:t>
            </w:r>
          </w:p>
        </w:tc>
        <w:tc>
          <w:tcPr>
            <w:tcW w:w="678" w:type="pct"/>
            <w:shd w:val="clear" w:color="auto" w:fill="FFFFFF"/>
          </w:tcPr>
          <w:p w14:paraId="16FBE44F" w14:textId="77777777" w:rsidR="00B11AEF" w:rsidRPr="004F78C4" w:rsidRDefault="00B11AEF" w:rsidP="00B11AEF">
            <w:pPr>
              <w:ind w:firstLine="0"/>
              <w:jc w:val="center"/>
              <w:rPr>
                <w:sz w:val="20"/>
                <w:szCs w:val="20"/>
              </w:rPr>
            </w:pPr>
            <w:r w:rsidRPr="004F78C4">
              <w:rPr>
                <w:sz w:val="20"/>
                <w:szCs w:val="20"/>
              </w:rPr>
              <w:t>17.8</w:t>
            </w:r>
          </w:p>
        </w:tc>
        <w:tc>
          <w:tcPr>
            <w:tcW w:w="632" w:type="pct"/>
            <w:shd w:val="clear" w:color="auto" w:fill="FFFFFF"/>
          </w:tcPr>
          <w:p w14:paraId="587273F1" w14:textId="77777777" w:rsidR="00B11AEF" w:rsidRPr="004F78C4" w:rsidRDefault="00B11AEF" w:rsidP="00B11AEF">
            <w:pPr>
              <w:ind w:firstLine="0"/>
              <w:jc w:val="center"/>
              <w:rPr>
                <w:sz w:val="20"/>
                <w:szCs w:val="20"/>
              </w:rPr>
            </w:pPr>
            <w:r w:rsidRPr="004F78C4">
              <w:rPr>
                <w:sz w:val="20"/>
                <w:szCs w:val="20"/>
              </w:rPr>
              <w:t>16.5</w:t>
            </w:r>
          </w:p>
        </w:tc>
      </w:tr>
      <w:tr w:rsidR="00B11AEF" w:rsidRPr="004F78C4" w14:paraId="46AAF5EA" w14:textId="77777777" w:rsidTr="00B11AEF">
        <w:tblPrEx>
          <w:tblCellMar>
            <w:left w:w="30" w:type="dxa"/>
            <w:right w:w="30" w:type="dxa"/>
          </w:tblCellMar>
        </w:tblPrEx>
        <w:trPr>
          <w:trHeight w:val="20"/>
        </w:trPr>
        <w:tc>
          <w:tcPr>
            <w:tcW w:w="2244" w:type="pct"/>
            <w:shd w:val="clear" w:color="auto" w:fill="C6D9F1" w:themeFill="text2" w:themeFillTint="33"/>
            <w:tcMar>
              <w:left w:w="57" w:type="dxa"/>
              <w:right w:w="57" w:type="dxa"/>
            </w:tcMar>
            <w:vAlign w:val="center"/>
          </w:tcPr>
          <w:p w14:paraId="7EA1E07A" w14:textId="77777777" w:rsidR="00B11AEF" w:rsidRPr="004F78C4" w:rsidRDefault="00B11AEF" w:rsidP="00B11AEF">
            <w:pPr>
              <w:ind w:firstLine="0"/>
              <w:rPr>
                <w:b/>
                <w:sz w:val="20"/>
                <w:szCs w:val="20"/>
              </w:rPr>
            </w:pPr>
            <w:r w:rsidRPr="004F78C4">
              <w:rPr>
                <w:rFonts w:cs="Arial"/>
                <w:b/>
                <w:sz w:val="20"/>
                <w:szCs w:val="20"/>
              </w:rPr>
              <w:t>ՏՆՏԵՍԱԿԱՆ</w:t>
            </w:r>
            <w:r w:rsidRPr="004F78C4">
              <w:rPr>
                <w:b/>
                <w:sz w:val="20"/>
                <w:szCs w:val="20"/>
              </w:rPr>
              <w:t xml:space="preserve"> </w:t>
            </w:r>
            <w:r w:rsidRPr="004F78C4">
              <w:rPr>
                <w:rFonts w:cs="Arial"/>
                <w:b/>
                <w:sz w:val="20"/>
                <w:szCs w:val="20"/>
              </w:rPr>
              <w:t>ՈԼՈՐՏ</w:t>
            </w:r>
          </w:p>
        </w:tc>
        <w:tc>
          <w:tcPr>
            <w:tcW w:w="768" w:type="pct"/>
            <w:shd w:val="clear" w:color="auto" w:fill="C6D9F1" w:themeFill="text2" w:themeFillTint="33"/>
            <w:tcMar>
              <w:left w:w="57" w:type="dxa"/>
              <w:right w:w="57" w:type="dxa"/>
            </w:tcMar>
          </w:tcPr>
          <w:p w14:paraId="232DAD52" w14:textId="77777777" w:rsidR="00B11AEF" w:rsidRPr="004F78C4" w:rsidRDefault="00B11AEF" w:rsidP="00B11AEF">
            <w:pPr>
              <w:ind w:firstLine="0"/>
              <w:jc w:val="center"/>
              <w:rPr>
                <w:b/>
                <w:sz w:val="20"/>
                <w:szCs w:val="20"/>
              </w:rPr>
            </w:pPr>
            <w:r w:rsidRPr="004F78C4">
              <w:rPr>
                <w:b/>
                <w:sz w:val="20"/>
                <w:szCs w:val="20"/>
              </w:rPr>
              <w:t>174,531.2</w:t>
            </w:r>
          </w:p>
        </w:tc>
        <w:tc>
          <w:tcPr>
            <w:tcW w:w="678" w:type="pct"/>
            <w:shd w:val="clear" w:color="auto" w:fill="C6D9F1" w:themeFill="text2" w:themeFillTint="33"/>
            <w:tcMar>
              <w:left w:w="57" w:type="dxa"/>
              <w:right w:w="57" w:type="dxa"/>
            </w:tcMar>
          </w:tcPr>
          <w:p w14:paraId="2A5EE627" w14:textId="77777777" w:rsidR="00B11AEF" w:rsidRPr="004F78C4" w:rsidRDefault="00B11AEF" w:rsidP="00B11AEF">
            <w:pPr>
              <w:ind w:firstLine="0"/>
              <w:jc w:val="center"/>
              <w:rPr>
                <w:b/>
                <w:sz w:val="20"/>
                <w:szCs w:val="20"/>
              </w:rPr>
            </w:pPr>
            <w:r w:rsidRPr="004F78C4">
              <w:rPr>
                <w:b/>
                <w:sz w:val="20"/>
                <w:szCs w:val="20"/>
              </w:rPr>
              <w:t>130,238.0</w:t>
            </w:r>
          </w:p>
        </w:tc>
        <w:tc>
          <w:tcPr>
            <w:tcW w:w="678" w:type="pct"/>
            <w:shd w:val="clear" w:color="auto" w:fill="C6D9F1" w:themeFill="text2" w:themeFillTint="33"/>
          </w:tcPr>
          <w:p w14:paraId="15B024F6" w14:textId="77777777" w:rsidR="00B11AEF" w:rsidRPr="004F78C4" w:rsidRDefault="00B11AEF" w:rsidP="00B11AEF">
            <w:pPr>
              <w:ind w:firstLine="0"/>
              <w:jc w:val="center"/>
              <w:rPr>
                <w:b/>
                <w:sz w:val="20"/>
                <w:szCs w:val="20"/>
              </w:rPr>
            </w:pPr>
            <w:r w:rsidRPr="004F78C4">
              <w:rPr>
                <w:b/>
                <w:sz w:val="20"/>
                <w:szCs w:val="20"/>
              </w:rPr>
              <w:t>169,853.8</w:t>
            </w:r>
          </w:p>
        </w:tc>
        <w:tc>
          <w:tcPr>
            <w:tcW w:w="632" w:type="pct"/>
            <w:shd w:val="clear" w:color="auto" w:fill="C6D9F1" w:themeFill="text2" w:themeFillTint="33"/>
          </w:tcPr>
          <w:p w14:paraId="2186AD16" w14:textId="77777777" w:rsidR="00B11AEF" w:rsidRPr="004F78C4" w:rsidRDefault="00B11AEF" w:rsidP="00B11AEF">
            <w:pPr>
              <w:ind w:firstLine="0"/>
              <w:jc w:val="center"/>
              <w:rPr>
                <w:b/>
                <w:sz w:val="20"/>
                <w:szCs w:val="20"/>
              </w:rPr>
            </w:pPr>
            <w:r w:rsidRPr="004F78C4">
              <w:rPr>
                <w:b/>
                <w:sz w:val="20"/>
                <w:szCs w:val="20"/>
              </w:rPr>
              <w:t>187,449.5</w:t>
            </w:r>
          </w:p>
        </w:tc>
      </w:tr>
      <w:tr w:rsidR="00B11AEF" w:rsidRPr="004F78C4" w14:paraId="6B96A8AA" w14:textId="77777777" w:rsidTr="00B11AEF">
        <w:trPr>
          <w:trHeight w:val="20"/>
        </w:trPr>
        <w:tc>
          <w:tcPr>
            <w:tcW w:w="2244" w:type="pct"/>
            <w:shd w:val="clear" w:color="auto" w:fill="FFFFFF"/>
            <w:tcMar>
              <w:left w:w="57" w:type="dxa"/>
              <w:right w:w="57" w:type="dxa"/>
            </w:tcMar>
            <w:vAlign w:val="center"/>
          </w:tcPr>
          <w:p w14:paraId="27A8F271"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8" w:type="pct"/>
            <w:shd w:val="clear" w:color="auto" w:fill="FFFFFF"/>
            <w:tcMar>
              <w:left w:w="57" w:type="dxa"/>
              <w:right w:w="57" w:type="dxa"/>
            </w:tcMar>
          </w:tcPr>
          <w:p w14:paraId="1769AA20" w14:textId="77777777" w:rsidR="00B11AEF" w:rsidRPr="004F78C4" w:rsidRDefault="00B11AEF" w:rsidP="00B11AEF">
            <w:pPr>
              <w:ind w:firstLine="0"/>
              <w:jc w:val="center"/>
              <w:rPr>
                <w:sz w:val="20"/>
                <w:szCs w:val="20"/>
              </w:rPr>
            </w:pPr>
            <w:r w:rsidRPr="004F78C4">
              <w:rPr>
                <w:sz w:val="20"/>
                <w:szCs w:val="20"/>
              </w:rPr>
              <w:t>2.7</w:t>
            </w:r>
          </w:p>
        </w:tc>
        <w:tc>
          <w:tcPr>
            <w:tcW w:w="678" w:type="pct"/>
            <w:shd w:val="clear" w:color="auto" w:fill="FFFFFF"/>
            <w:tcMar>
              <w:left w:w="57" w:type="dxa"/>
              <w:right w:w="57" w:type="dxa"/>
            </w:tcMar>
          </w:tcPr>
          <w:p w14:paraId="4BB055A1" w14:textId="77777777" w:rsidR="00B11AEF" w:rsidRPr="004F78C4" w:rsidRDefault="00B11AEF" w:rsidP="00B11AEF">
            <w:pPr>
              <w:ind w:firstLine="0"/>
              <w:jc w:val="center"/>
              <w:rPr>
                <w:sz w:val="20"/>
                <w:szCs w:val="20"/>
              </w:rPr>
            </w:pPr>
            <w:r w:rsidRPr="004F78C4">
              <w:rPr>
                <w:sz w:val="20"/>
                <w:szCs w:val="20"/>
              </w:rPr>
              <w:t>1.7</w:t>
            </w:r>
          </w:p>
        </w:tc>
        <w:tc>
          <w:tcPr>
            <w:tcW w:w="678" w:type="pct"/>
            <w:shd w:val="clear" w:color="auto" w:fill="FFFFFF"/>
          </w:tcPr>
          <w:p w14:paraId="46D1F0AF" w14:textId="77777777" w:rsidR="00B11AEF" w:rsidRPr="004F78C4" w:rsidRDefault="00B11AEF" w:rsidP="00B11AEF">
            <w:pPr>
              <w:ind w:firstLine="0"/>
              <w:jc w:val="center"/>
              <w:rPr>
                <w:sz w:val="20"/>
                <w:szCs w:val="20"/>
              </w:rPr>
            </w:pPr>
            <w:r w:rsidRPr="004F78C4">
              <w:rPr>
                <w:sz w:val="20"/>
                <w:szCs w:val="20"/>
              </w:rPr>
              <w:t>2.1</w:t>
            </w:r>
          </w:p>
        </w:tc>
        <w:tc>
          <w:tcPr>
            <w:tcW w:w="632" w:type="pct"/>
            <w:shd w:val="clear" w:color="auto" w:fill="FFFFFF"/>
          </w:tcPr>
          <w:p w14:paraId="7F0B3253" w14:textId="77777777" w:rsidR="00B11AEF" w:rsidRPr="004F78C4" w:rsidRDefault="00B11AEF" w:rsidP="00B11AEF">
            <w:pPr>
              <w:ind w:firstLine="0"/>
              <w:jc w:val="center"/>
              <w:rPr>
                <w:sz w:val="20"/>
                <w:szCs w:val="20"/>
              </w:rPr>
            </w:pPr>
            <w:r w:rsidRPr="004F78C4">
              <w:rPr>
                <w:sz w:val="20"/>
                <w:szCs w:val="20"/>
              </w:rPr>
              <w:t>2.1</w:t>
            </w:r>
          </w:p>
        </w:tc>
      </w:tr>
      <w:tr w:rsidR="00B11AEF" w:rsidRPr="004F78C4" w14:paraId="2C21C5D1" w14:textId="77777777" w:rsidTr="00B11AEF">
        <w:trPr>
          <w:trHeight w:val="20"/>
        </w:trPr>
        <w:tc>
          <w:tcPr>
            <w:tcW w:w="2244" w:type="pct"/>
            <w:shd w:val="clear" w:color="auto" w:fill="FFFFFF"/>
            <w:tcMar>
              <w:left w:w="57" w:type="dxa"/>
              <w:right w:w="57" w:type="dxa"/>
            </w:tcMar>
            <w:vAlign w:val="center"/>
          </w:tcPr>
          <w:p w14:paraId="0DD16E2F"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8" w:type="pct"/>
            <w:shd w:val="clear" w:color="auto" w:fill="FFFFFF"/>
            <w:tcMar>
              <w:left w:w="57" w:type="dxa"/>
              <w:right w:w="57" w:type="dxa"/>
            </w:tcMar>
          </w:tcPr>
          <w:p w14:paraId="367CAE42" w14:textId="77777777" w:rsidR="00B11AEF" w:rsidRPr="004F78C4" w:rsidRDefault="00B11AEF" w:rsidP="00B11AEF">
            <w:pPr>
              <w:ind w:firstLine="0"/>
              <w:jc w:val="center"/>
              <w:rPr>
                <w:sz w:val="20"/>
                <w:szCs w:val="20"/>
              </w:rPr>
            </w:pPr>
            <w:r w:rsidRPr="004F78C4">
              <w:rPr>
                <w:sz w:val="20"/>
                <w:szCs w:val="20"/>
              </w:rPr>
              <w:t>9.4</w:t>
            </w:r>
          </w:p>
        </w:tc>
        <w:tc>
          <w:tcPr>
            <w:tcW w:w="678" w:type="pct"/>
            <w:shd w:val="clear" w:color="auto" w:fill="FFFFFF"/>
            <w:tcMar>
              <w:left w:w="57" w:type="dxa"/>
              <w:right w:w="57" w:type="dxa"/>
            </w:tcMar>
          </w:tcPr>
          <w:p w14:paraId="6835E1C1" w14:textId="77777777" w:rsidR="00B11AEF" w:rsidRPr="004F78C4" w:rsidRDefault="00B11AEF" w:rsidP="00B11AEF">
            <w:pPr>
              <w:ind w:firstLine="0"/>
              <w:jc w:val="center"/>
              <w:rPr>
                <w:sz w:val="20"/>
                <w:szCs w:val="20"/>
              </w:rPr>
            </w:pPr>
            <w:r w:rsidRPr="004F78C4">
              <w:rPr>
                <w:sz w:val="20"/>
                <w:szCs w:val="20"/>
              </w:rPr>
              <w:t>6.5</w:t>
            </w:r>
          </w:p>
        </w:tc>
        <w:tc>
          <w:tcPr>
            <w:tcW w:w="678" w:type="pct"/>
            <w:shd w:val="clear" w:color="auto" w:fill="FFFFFF"/>
          </w:tcPr>
          <w:p w14:paraId="7622A9C3" w14:textId="77777777" w:rsidR="00B11AEF" w:rsidRPr="004F78C4" w:rsidRDefault="00B11AEF" w:rsidP="00B11AEF">
            <w:pPr>
              <w:ind w:firstLine="0"/>
              <w:jc w:val="center"/>
              <w:rPr>
                <w:sz w:val="20"/>
                <w:szCs w:val="20"/>
              </w:rPr>
            </w:pPr>
            <w:r w:rsidRPr="004F78C4">
              <w:rPr>
                <w:sz w:val="20"/>
                <w:szCs w:val="20"/>
                <w:lang w:val="hy-AM"/>
              </w:rPr>
              <w:t>8</w:t>
            </w:r>
            <w:r w:rsidRPr="004F78C4">
              <w:rPr>
                <w:sz w:val="20"/>
                <w:szCs w:val="20"/>
              </w:rPr>
              <w:t>.0</w:t>
            </w:r>
          </w:p>
        </w:tc>
        <w:tc>
          <w:tcPr>
            <w:tcW w:w="632" w:type="pct"/>
            <w:shd w:val="clear" w:color="auto" w:fill="FFFFFF"/>
          </w:tcPr>
          <w:p w14:paraId="2AD79953" w14:textId="77777777" w:rsidR="00B11AEF" w:rsidRPr="004F78C4" w:rsidRDefault="00B11AEF" w:rsidP="00B11AEF">
            <w:pPr>
              <w:ind w:firstLine="0"/>
              <w:jc w:val="center"/>
              <w:rPr>
                <w:sz w:val="20"/>
                <w:szCs w:val="20"/>
              </w:rPr>
            </w:pPr>
            <w:r w:rsidRPr="004F78C4">
              <w:rPr>
                <w:sz w:val="20"/>
                <w:szCs w:val="20"/>
              </w:rPr>
              <w:t>8.1</w:t>
            </w:r>
          </w:p>
        </w:tc>
      </w:tr>
      <w:tr w:rsidR="00B11AEF" w:rsidRPr="004F78C4" w14:paraId="3709FB27" w14:textId="77777777" w:rsidTr="00B11AEF">
        <w:tblPrEx>
          <w:tblCellMar>
            <w:left w:w="30" w:type="dxa"/>
            <w:right w:w="30" w:type="dxa"/>
          </w:tblCellMar>
        </w:tblPrEx>
        <w:trPr>
          <w:trHeight w:val="20"/>
        </w:trPr>
        <w:tc>
          <w:tcPr>
            <w:tcW w:w="2244" w:type="pct"/>
            <w:shd w:val="clear" w:color="auto" w:fill="C6D9F1" w:themeFill="text2" w:themeFillTint="33"/>
            <w:tcMar>
              <w:left w:w="57" w:type="dxa"/>
              <w:right w:w="57" w:type="dxa"/>
            </w:tcMar>
            <w:vAlign w:val="center"/>
          </w:tcPr>
          <w:p w14:paraId="26AEB367" w14:textId="77777777" w:rsidR="00B11AEF" w:rsidRPr="004F78C4" w:rsidRDefault="00B11AEF" w:rsidP="00B11AEF">
            <w:pPr>
              <w:ind w:firstLine="0"/>
              <w:rPr>
                <w:b/>
                <w:sz w:val="20"/>
                <w:szCs w:val="20"/>
                <w:lang w:val="hy-AM"/>
              </w:rPr>
            </w:pPr>
            <w:r w:rsidRPr="004F78C4">
              <w:rPr>
                <w:rFonts w:cs="Arial"/>
                <w:b/>
                <w:sz w:val="20"/>
                <w:szCs w:val="20"/>
              </w:rPr>
              <w:t>ՍՈՑԻԱԼԱԿԱՆ</w:t>
            </w:r>
            <w:r w:rsidRPr="004F78C4">
              <w:rPr>
                <w:b/>
                <w:sz w:val="20"/>
                <w:szCs w:val="20"/>
              </w:rPr>
              <w:t xml:space="preserve"> </w:t>
            </w:r>
            <w:r w:rsidRPr="004F78C4">
              <w:rPr>
                <w:rFonts w:cs="Arial"/>
                <w:b/>
                <w:sz w:val="20"/>
                <w:szCs w:val="20"/>
              </w:rPr>
              <w:t>ՈԼՈՐՏ</w:t>
            </w:r>
          </w:p>
        </w:tc>
        <w:tc>
          <w:tcPr>
            <w:tcW w:w="768" w:type="pct"/>
            <w:shd w:val="clear" w:color="auto" w:fill="C6D9F1" w:themeFill="text2" w:themeFillTint="33"/>
            <w:tcMar>
              <w:left w:w="57" w:type="dxa"/>
              <w:right w:w="57" w:type="dxa"/>
            </w:tcMar>
          </w:tcPr>
          <w:p w14:paraId="17252D0B" w14:textId="77777777" w:rsidR="00B11AEF" w:rsidRPr="004F78C4" w:rsidRDefault="00B11AEF" w:rsidP="00B11AEF">
            <w:pPr>
              <w:ind w:firstLine="0"/>
              <w:jc w:val="center"/>
              <w:rPr>
                <w:b/>
                <w:sz w:val="20"/>
                <w:szCs w:val="20"/>
              </w:rPr>
            </w:pPr>
            <w:r w:rsidRPr="004F78C4">
              <w:rPr>
                <w:b/>
                <w:sz w:val="20"/>
                <w:szCs w:val="20"/>
              </w:rPr>
              <w:t>806,603.0</w:t>
            </w:r>
          </w:p>
        </w:tc>
        <w:tc>
          <w:tcPr>
            <w:tcW w:w="678" w:type="pct"/>
            <w:shd w:val="clear" w:color="auto" w:fill="C6D9F1" w:themeFill="text2" w:themeFillTint="33"/>
            <w:tcMar>
              <w:left w:w="57" w:type="dxa"/>
              <w:right w:w="57" w:type="dxa"/>
            </w:tcMar>
          </w:tcPr>
          <w:p w14:paraId="083DC26F" w14:textId="77777777" w:rsidR="00B11AEF" w:rsidRPr="004F78C4" w:rsidRDefault="00B11AEF" w:rsidP="00B11AEF">
            <w:pPr>
              <w:ind w:firstLine="0"/>
              <w:jc w:val="center"/>
              <w:rPr>
                <w:b/>
                <w:sz w:val="20"/>
                <w:szCs w:val="20"/>
              </w:rPr>
            </w:pPr>
            <w:r w:rsidRPr="004F78C4">
              <w:rPr>
                <w:b/>
                <w:sz w:val="20"/>
                <w:szCs w:val="20"/>
              </w:rPr>
              <w:t>765,023.9</w:t>
            </w:r>
          </w:p>
        </w:tc>
        <w:tc>
          <w:tcPr>
            <w:tcW w:w="678" w:type="pct"/>
            <w:shd w:val="clear" w:color="auto" w:fill="C6D9F1" w:themeFill="text2" w:themeFillTint="33"/>
          </w:tcPr>
          <w:p w14:paraId="4458E215" w14:textId="77777777" w:rsidR="00B11AEF" w:rsidRPr="004F78C4" w:rsidRDefault="00B11AEF" w:rsidP="00B11AEF">
            <w:pPr>
              <w:ind w:firstLine="0"/>
              <w:jc w:val="center"/>
              <w:rPr>
                <w:b/>
                <w:sz w:val="20"/>
                <w:szCs w:val="20"/>
              </w:rPr>
            </w:pPr>
            <w:r w:rsidRPr="004F78C4">
              <w:rPr>
                <w:b/>
                <w:sz w:val="20"/>
                <w:szCs w:val="20"/>
              </w:rPr>
              <w:t>799,685.8</w:t>
            </w:r>
          </w:p>
        </w:tc>
        <w:tc>
          <w:tcPr>
            <w:tcW w:w="632" w:type="pct"/>
            <w:shd w:val="clear" w:color="auto" w:fill="C6D9F1" w:themeFill="text2" w:themeFillTint="33"/>
          </w:tcPr>
          <w:p w14:paraId="20E61D97" w14:textId="77777777" w:rsidR="00B11AEF" w:rsidRPr="004F78C4" w:rsidRDefault="00B11AEF" w:rsidP="00B11AEF">
            <w:pPr>
              <w:ind w:firstLine="0"/>
              <w:jc w:val="center"/>
              <w:rPr>
                <w:b/>
                <w:sz w:val="20"/>
                <w:szCs w:val="20"/>
              </w:rPr>
            </w:pPr>
            <w:r w:rsidRPr="004F78C4">
              <w:rPr>
                <w:b/>
                <w:sz w:val="20"/>
                <w:szCs w:val="20"/>
              </w:rPr>
              <w:t>795,921.4</w:t>
            </w:r>
          </w:p>
        </w:tc>
      </w:tr>
      <w:tr w:rsidR="00B11AEF" w:rsidRPr="004F78C4" w14:paraId="230A7306" w14:textId="77777777" w:rsidTr="00B11AEF">
        <w:trPr>
          <w:trHeight w:val="20"/>
        </w:trPr>
        <w:tc>
          <w:tcPr>
            <w:tcW w:w="2244" w:type="pct"/>
            <w:shd w:val="clear" w:color="auto" w:fill="FFFFFF"/>
            <w:tcMar>
              <w:left w:w="57" w:type="dxa"/>
              <w:right w:w="57" w:type="dxa"/>
            </w:tcMar>
            <w:vAlign w:val="center"/>
          </w:tcPr>
          <w:p w14:paraId="14F4E415"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8" w:type="pct"/>
            <w:shd w:val="clear" w:color="auto" w:fill="FFFFFF"/>
            <w:tcMar>
              <w:left w:w="57" w:type="dxa"/>
              <w:right w:w="57" w:type="dxa"/>
            </w:tcMar>
          </w:tcPr>
          <w:p w14:paraId="11DEB619" w14:textId="77777777" w:rsidR="00B11AEF" w:rsidRPr="004F78C4" w:rsidRDefault="00B11AEF" w:rsidP="00B11AEF">
            <w:pPr>
              <w:ind w:firstLine="0"/>
              <w:jc w:val="center"/>
              <w:rPr>
                <w:sz w:val="20"/>
                <w:szCs w:val="20"/>
              </w:rPr>
            </w:pPr>
            <w:r w:rsidRPr="004F78C4">
              <w:rPr>
                <w:sz w:val="20"/>
                <w:szCs w:val="20"/>
              </w:rPr>
              <w:t>12.6</w:t>
            </w:r>
          </w:p>
        </w:tc>
        <w:tc>
          <w:tcPr>
            <w:tcW w:w="678" w:type="pct"/>
            <w:shd w:val="clear" w:color="auto" w:fill="FFFFFF"/>
            <w:tcMar>
              <w:left w:w="57" w:type="dxa"/>
              <w:right w:w="57" w:type="dxa"/>
            </w:tcMar>
          </w:tcPr>
          <w:p w14:paraId="27FCA6F7" w14:textId="77777777" w:rsidR="00B11AEF" w:rsidRPr="004F78C4" w:rsidRDefault="00B11AEF" w:rsidP="00B11AEF">
            <w:pPr>
              <w:ind w:firstLine="0"/>
              <w:jc w:val="center"/>
              <w:rPr>
                <w:sz w:val="20"/>
                <w:szCs w:val="20"/>
              </w:rPr>
            </w:pPr>
            <w:r w:rsidRPr="004F78C4">
              <w:rPr>
                <w:sz w:val="20"/>
                <w:szCs w:val="20"/>
              </w:rPr>
              <w:t>10.1</w:t>
            </w:r>
          </w:p>
        </w:tc>
        <w:tc>
          <w:tcPr>
            <w:tcW w:w="678" w:type="pct"/>
            <w:shd w:val="clear" w:color="auto" w:fill="FFFFFF"/>
          </w:tcPr>
          <w:p w14:paraId="229E08F4" w14:textId="77777777" w:rsidR="00B11AEF" w:rsidRPr="004F78C4" w:rsidRDefault="00B11AEF" w:rsidP="00B11AEF">
            <w:pPr>
              <w:ind w:firstLine="0"/>
              <w:jc w:val="center"/>
              <w:rPr>
                <w:sz w:val="20"/>
                <w:szCs w:val="20"/>
              </w:rPr>
            </w:pPr>
            <w:r w:rsidRPr="004F78C4">
              <w:rPr>
                <w:sz w:val="20"/>
                <w:szCs w:val="20"/>
              </w:rPr>
              <w:t>9.8</w:t>
            </w:r>
          </w:p>
        </w:tc>
        <w:tc>
          <w:tcPr>
            <w:tcW w:w="632" w:type="pct"/>
            <w:shd w:val="clear" w:color="auto" w:fill="FFFFFF"/>
          </w:tcPr>
          <w:p w14:paraId="23CA4D76" w14:textId="77777777" w:rsidR="00B11AEF" w:rsidRPr="004F78C4" w:rsidRDefault="00B11AEF" w:rsidP="00B11AEF">
            <w:pPr>
              <w:ind w:firstLine="0"/>
              <w:jc w:val="center"/>
              <w:rPr>
                <w:sz w:val="20"/>
                <w:szCs w:val="20"/>
              </w:rPr>
            </w:pPr>
            <w:r w:rsidRPr="004F78C4">
              <w:rPr>
                <w:sz w:val="20"/>
                <w:szCs w:val="20"/>
              </w:rPr>
              <w:t>9.0</w:t>
            </w:r>
          </w:p>
        </w:tc>
      </w:tr>
      <w:tr w:rsidR="00B11AEF" w:rsidRPr="004F78C4" w14:paraId="0462A4CD" w14:textId="77777777" w:rsidTr="00B11AEF">
        <w:trPr>
          <w:trHeight w:val="20"/>
        </w:trPr>
        <w:tc>
          <w:tcPr>
            <w:tcW w:w="2244" w:type="pct"/>
            <w:shd w:val="clear" w:color="auto" w:fill="FFFFFF"/>
            <w:tcMar>
              <w:left w:w="57" w:type="dxa"/>
              <w:right w:w="57" w:type="dxa"/>
            </w:tcMar>
            <w:vAlign w:val="center"/>
          </w:tcPr>
          <w:p w14:paraId="62EB67C6"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8" w:type="pct"/>
            <w:shd w:val="clear" w:color="auto" w:fill="FFFFFF"/>
            <w:tcMar>
              <w:left w:w="57" w:type="dxa"/>
              <w:right w:w="57" w:type="dxa"/>
            </w:tcMar>
          </w:tcPr>
          <w:p w14:paraId="7BF8F26A" w14:textId="77777777" w:rsidR="00B11AEF" w:rsidRPr="004F78C4" w:rsidRDefault="00B11AEF" w:rsidP="00B11AEF">
            <w:pPr>
              <w:ind w:firstLine="0"/>
              <w:jc w:val="center"/>
              <w:rPr>
                <w:sz w:val="20"/>
                <w:szCs w:val="20"/>
              </w:rPr>
            </w:pPr>
            <w:r w:rsidRPr="004F78C4">
              <w:rPr>
                <w:sz w:val="20"/>
                <w:szCs w:val="20"/>
              </w:rPr>
              <w:t>43.6</w:t>
            </w:r>
          </w:p>
        </w:tc>
        <w:tc>
          <w:tcPr>
            <w:tcW w:w="678" w:type="pct"/>
            <w:shd w:val="clear" w:color="auto" w:fill="FFFFFF"/>
            <w:tcMar>
              <w:left w:w="57" w:type="dxa"/>
              <w:right w:w="57" w:type="dxa"/>
            </w:tcMar>
          </w:tcPr>
          <w:p w14:paraId="1878C465" w14:textId="77777777" w:rsidR="00B11AEF" w:rsidRPr="004F78C4" w:rsidRDefault="00B11AEF" w:rsidP="00B11AEF">
            <w:pPr>
              <w:ind w:firstLine="0"/>
              <w:jc w:val="center"/>
              <w:rPr>
                <w:sz w:val="20"/>
                <w:szCs w:val="20"/>
              </w:rPr>
            </w:pPr>
            <w:r w:rsidRPr="004F78C4">
              <w:rPr>
                <w:sz w:val="20"/>
                <w:szCs w:val="20"/>
              </w:rPr>
              <w:t>38.2</w:t>
            </w:r>
          </w:p>
        </w:tc>
        <w:tc>
          <w:tcPr>
            <w:tcW w:w="678" w:type="pct"/>
            <w:shd w:val="clear" w:color="auto" w:fill="FFFFFF"/>
          </w:tcPr>
          <w:p w14:paraId="6C132224" w14:textId="77777777" w:rsidR="00B11AEF" w:rsidRPr="004F78C4" w:rsidRDefault="00B11AEF" w:rsidP="00B11AEF">
            <w:pPr>
              <w:ind w:firstLine="0"/>
              <w:jc w:val="center"/>
              <w:rPr>
                <w:sz w:val="20"/>
                <w:szCs w:val="20"/>
              </w:rPr>
            </w:pPr>
            <w:r w:rsidRPr="004F78C4">
              <w:rPr>
                <w:sz w:val="20"/>
                <w:szCs w:val="20"/>
              </w:rPr>
              <w:t>37.5</w:t>
            </w:r>
          </w:p>
        </w:tc>
        <w:tc>
          <w:tcPr>
            <w:tcW w:w="632" w:type="pct"/>
            <w:shd w:val="clear" w:color="auto" w:fill="FFFFFF"/>
          </w:tcPr>
          <w:p w14:paraId="3511BBE9" w14:textId="77777777" w:rsidR="00B11AEF" w:rsidRPr="004F78C4" w:rsidRDefault="00B11AEF" w:rsidP="00B11AEF">
            <w:pPr>
              <w:ind w:firstLine="0"/>
              <w:jc w:val="center"/>
              <w:rPr>
                <w:sz w:val="20"/>
                <w:szCs w:val="20"/>
              </w:rPr>
            </w:pPr>
            <w:r w:rsidRPr="004F78C4">
              <w:rPr>
                <w:sz w:val="20"/>
                <w:szCs w:val="20"/>
              </w:rPr>
              <w:t>34.4</w:t>
            </w:r>
          </w:p>
        </w:tc>
      </w:tr>
      <w:tr w:rsidR="00B11AEF" w:rsidRPr="004F78C4" w14:paraId="1ED43115" w14:textId="77777777" w:rsidTr="00B11AEF">
        <w:tblPrEx>
          <w:tblCellMar>
            <w:left w:w="30" w:type="dxa"/>
            <w:right w:w="30" w:type="dxa"/>
          </w:tblCellMar>
        </w:tblPrEx>
        <w:trPr>
          <w:trHeight w:val="20"/>
        </w:trPr>
        <w:tc>
          <w:tcPr>
            <w:tcW w:w="2244" w:type="pct"/>
            <w:shd w:val="clear" w:color="auto" w:fill="C6D9F1" w:themeFill="text2" w:themeFillTint="33"/>
            <w:tcMar>
              <w:left w:w="57" w:type="dxa"/>
              <w:right w:w="57" w:type="dxa"/>
            </w:tcMar>
            <w:vAlign w:val="center"/>
          </w:tcPr>
          <w:p w14:paraId="57590711" w14:textId="77777777" w:rsidR="00B11AEF" w:rsidRPr="004F78C4" w:rsidRDefault="00B11AEF" w:rsidP="00B11AEF">
            <w:pPr>
              <w:ind w:firstLine="0"/>
              <w:rPr>
                <w:b/>
                <w:sz w:val="20"/>
                <w:szCs w:val="20"/>
                <w:lang w:val="hy-AM"/>
              </w:rPr>
            </w:pPr>
            <w:r w:rsidRPr="004F78C4">
              <w:rPr>
                <w:rFonts w:cs="Arial"/>
                <w:b/>
                <w:sz w:val="20"/>
                <w:szCs w:val="20"/>
              </w:rPr>
              <w:t>ՀԻՄՆԱԿԱՆ</w:t>
            </w:r>
            <w:r w:rsidRPr="004F78C4">
              <w:rPr>
                <w:b/>
                <w:sz w:val="20"/>
                <w:szCs w:val="20"/>
              </w:rPr>
              <w:t xml:space="preserve"> </w:t>
            </w:r>
            <w:r w:rsidRPr="004F78C4">
              <w:rPr>
                <w:rFonts w:cs="Arial"/>
                <w:b/>
                <w:sz w:val="20"/>
                <w:szCs w:val="20"/>
              </w:rPr>
              <w:t>ԲԱԺԻՆՆԵՐԻՆ</w:t>
            </w:r>
            <w:r w:rsidRPr="004F78C4">
              <w:rPr>
                <w:b/>
                <w:sz w:val="20"/>
                <w:szCs w:val="20"/>
              </w:rPr>
              <w:t xml:space="preserve"> </w:t>
            </w:r>
            <w:r w:rsidRPr="004F78C4">
              <w:rPr>
                <w:rFonts w:cs="Arial"/>
                <w:b/>
                <w:sz w:val="20"/>
                <w:szCs w:val="20"/>
              </w:rPr>
              <w:t>ՉԴԱՍՎՈՂ</w:t>
            </w:r>
            <w:r w:rsidRPr="004F78C4">
              <w:rPr>
                <w:b/>
                <w:sz w:val="20"/>
                <w:szCs w:val="20"/>
              </w:rPr>
              <w:t xml:space="preserve"> </w:t>
            </w:r>
            <w:r w:rsidRPr="004F78C4">
              <w:rPr>
                <w:rFonts w:cs="Arial"/>
                <w:b/>
                <w:sz w:val="20"/>
                <w:szCs w:val="20"/>
              </w:rPr>
              <w:t>ՊԱՀՈՒՍՏԱՅԻՆ</w:t>
            </w:r>
            <w:r w:rsidRPr="004F78C4">
              <w:rPr>
                <w:b/>
                <w:sz w:val="20"/>
                <w:szCs w:val="20"/>
              </w:rPr>
              <w:t xml:space="preserve"> </w:t>
            </w:r>
            <w:r w:rsidRPr="004F78C4">
              <w:rPr>
                <w:rFonts w:cs="Arial"/>
                <w:b/>
                <w:sz w:val="20"/>
                <w:szCs w:val="20"/>
              </w:rPr>
              <w:t>ՖՈՆԴԵՐ</w:t>
            </w:r>
          </w:p>
        </w:tc>
        <w:tc>
          <w:tcPr>
            <w:tcW w:w="768" w:type="pct"/>
            <w:shd w:val="clear" w:color="auto" w:fill="C6D9F1" w:themeFill="text2" w:themeFillTint="33"/>
            <w:tcMar>
              <w:left w:w="57" w:type="dxa"/>
              <w:right w:w="57" w:type="dxa"/>
            </w:tcMar>
          </w:tcPr>
          <w:p w14:paraId="0D70F2AB" w14:textId="77777777" w:rsidR="00B11AEF" w:rsidRPr="004F78C4" w:rsidRDefault="00B11AEF" w:rsidP="00B11AEF">
            <w:pPr>
              <w:ind w:firstLine="0"/>
              <w:jc w:val="center"/>
              <w:rPr>
                <w:b/>
                <w:sz w:val="20"/>
                <w:szCs w:val="20"/>
              </w:rPr>
            </w:pPr>
            <w:r w:rsidRPr="004F78C4">
              <w:rPr>
                <w:b/>
                <w:sz w:val="20"/>
                <w:szCs w:val="20"/>
              </w:rPr>
              <w:t>3,850.0</w:t>
            </w:r>
          </w:p>
        </w:tc>
        <w:tc>
          <w:tcPr>
            <w:tcW w:w="678" w:type="pct"/>
            <w:shd w:val="clear" w:color="auto" w:fill="C6D9F1" w:themeFill="text2" w:themeFillTint="33"/>
            <w:tcMar>
              <w:left w:w="57" w:type="dxa"/>
              <w:right w:w="57" w:type="dxa"/>
            </w:tcMar>
          </w:tcPr>
          <w:p w14:paraId="411A3548" w14:textId="77777777" w:rsidR="00B11AEF" w:rsidRPr="004F78C4" w:rsidRDefault="00B11AEF" w:rsidP="00B11AEF">
            <w:pPr>
              <w:ind w:firstLine="0"/>
              <w:jc w:val="center"/>
              <w:rPr>
                <w:b/>
                <w:sz w:val="20"/>
                <w:szCs w:val="20"/>
              </w:rPr>
            </w:pPr>
            <w:r w:rsidRPr="004F78C4">
              <w:rPr>
                <w:b/>
                <w:sz w:val="20"/>
                <w:szCs w:val="20"/>
              </w:rPr>
              <w:t>341,961.9</w:t>
            </w:r>
          </w:p>
        </w:tc>
        <w:tc>
          <w:tcPr>
            <w:tcW w:w="678" w:type="pct"/>
            <w:shd w:val="clear" w:color="auto" w:fill="C6D9F1" w:themeFill="text2" w:themeFillTint="33"/>
          </w:tcPr>
          <w:p w14:paraId="257AD69C" w14:textId="77777777" w:rsidR="00B11AEF" w:rsidRPr="004F78C4" w:rsidRDefault="00B11AEF" w:rsidP="00B11AEF">
            <w:pPr>
              <w:ind w:firstLine="0"/>
              <w:jc w:val="center"/>
              <w:rPr>
                <w:b/>
                <w:sz w:val="20"/>
                <w:szCs w:val="20"/>
              </w:rPr>
            </w:pPr>
            <w:r w:rsidRPr="004F78C4">
              <w:rPr>
                <w:b/>
                <w:sz w:val="20"/>
                <w:szCs w:val="20"/>
              </w:rPr>
              <w:t>344,606.6</w:t>
            </w:r>
          </w:p>
        </w:tc>
        <w:tc>
          <w:tcPr>
            <w:tcW w:w="632" w:type="pct"/>
            <w:shd w:val="clear" w:color="auto" w:fill="C6D9F1" w:themeFill="text2" w:themeFillTint="33"/>
          </w:tcPr>
          <w:p w14:paraId="7487F523" w14:textId="77777777" w:rsidR="00B11AEF" w:rsidRPr="004F78C4" w:rsidRDefault="00B11AEF" w:rsidP="00B11AEF">
            <w:pPr>
              <w:ind w:firstLine="0"/>
              <w:jc w:val="center"/>
              <w:rPr>
                <w:b/>
                <w:sz w:val="20"/>
                <w:szCs w:val="20"/>
              </w:rPr>
            </w:pPr>
            <w:r w:rsidRPr="004F78C4">
              <w:rPr>
                <w:b/>
                <w:sz w:val="20"/>
                <w:szCs w:val="20"/>
              </w:rPr>
              <w:t>482,782.0</w:t>
            </w:r>
          </w:p>
        </w:tc>
      </w:tr>
      <w:tr w:rsidR="00B11AEF" w:rsidRPr="004F78C4" w14:paraId="31ECDA85" w14:textId="77777777" w:rsidTr="00B11AEF">
        <w:trPr>
          <w:trHeight w:val="20"/>
        </w:trPr>
        <w:tc>
          <w:tcPr>
            <w:tcW w:w="2244" w:type="pct"/>
            <w:shd w:val="clear" w:color="auto" w:fill="FFFFFF"/>
            <w:tcMar>
              <w:left w:w="57" w:type="dxa"/>
              <w:right w:w="57" w:type="dxa"/>
            </w:tcMar>
            <w:vAlign w:val="center"/>
          </w:tcPr>
          <w:p w14:paraId="4D6BC5B9"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8" w:type="pct"/>
            <w:shd w:val="clear" w:color="auto" w:fill="FFFFFF"/>
            <w:tcMar>
              <w:left w:w="57" w:type="dxa"/>
              <w:right w:w="57" w:type="dxa"/>
            </w:tcMar>
          </w:tcPr>
          <w:p w14:paraId="3A8D34E8" w14:textId="77777777" w:rsidR="00B11AEF" w:rsidRPr="004F78C4" w:rsidRDefault="00B11AEF" w:rsidP="00B11AEF">
            <w:pPr>
              <w:ind w:firstLine="0"/>
              <w:jc w:val="center"/>
              <w:rPr>
                <w:sz w:val="20"/>
                <w:szCs w:val="20"/>
              </w:rPr>
            </w:pPr>
            <w:r w:rsidRPr="004F78C4">
              <w:rPr>
                <w:sz w:val="20"/>
                <w:szCs w:val="20"/>
              </w:rPr>
              <w:t>0.1</w:t>
            </w:r>
          </w:p>
        </w:tc>
        <w:tc>
          <w:tcPr>
            <w:tcW w:w="678" w:type="pct"/>
            <w:shd w:val="clear" w:color="auto" w:fill="FFFFFF"/>
            <w:tcMar>
              <w:left w:w="57" w:type="dxa"/>
              <w:right w:w="57" w:type="dxa"/>
            </w:tcMar>
          </w:tcPr>
          <w:p w14:paraId="563374EF" w14:textId="77777777" w:rsidR="00B11AEF" w:rsidRPr="004F78C4" w:rsidRDefault="00B11AEF" w:rsidP="00B11AEF">
            <w:pPr>
              <w:ind w:firstLine="0"/>
              <w:jc w:val="center"/>
              <w:rPr>
                <w:sz w:val="20"/>
                <w:szCs w:val="20"/>
              </w:rPr>
            </w:pPr>
            <w:r w:rsidRPr="004F78C4">
              <w:rPr>
                <w:sz w:val="20"/>
                <w:szCs w:val="20"/>
              </w:rPr>
              <w:t>4.5</w:t>
            </w:r>
          </w:p>
        </w:tc>
        <w:tc>
          <w:tcPr>
            <w:tcW w:w="678" w:type="pct"/>
            <w:shd w:val="clear" w:color="auto" w:fill="FFFFFF"/>
          </w:tcPr>
          <w:p w14:paraId="0F19C7B3" w14:textId="77777777" w:rsidR="00B11AEF" w:rsidRPr="004F78C4" w:rsidRDefault="00B11AEF" w:rsidP="00B11AEF">
            <w:pPr>
              <w:ind w:firstLine="0"/>
              <w:jc w:val="center"/>
              <w:rPr>
                <w:sz w:val="20"/>
                <w:szCs w:val="20"/>
              </w:rPr>
            </w:pPr>
            <w:r w:rsidRPr="004F78C4">
              <w:rPr>
                <w:sz w:val="20"/>
                <w:szCs w:val="20"/>
              </w:rPr>
              <w:t>4.2</w:t>
            </w:r>
          </w:p>
        </w:tc>
        <w:tc>
          <w:tcPr>
            <w:tcW w:w="632" w:type="pct"/>
            <w:shd w:val="clear" w:color="auto" w:fill="FFFFFF"/>
          </w:tcPr>
          <w:p w14:paraId="6B0ECD74" w14:textId="77777777" w:rsidR="00B11AEF" w:rsidRPr="004F78C4" w:rsidRDefault="00B11AEF" w:rsidP="00B11AEF">
            <w:pPr>
              <w:ind w:firstLine="0"/>
              <w:jc w:val="center"/>
              <w:rPr>
                <w:sz w:val="20"/>
                <w:szCs w:val="20"/>
              </w:rPr>
            </w:pPr>
            <w:r w:rsidRPr="004F78C4">
              <w:rPr>
                <w:sz w:val="20"/>
                <w:szCs w:val="20"/>
              </w:rPr>
              <w:t>5.5</w:t>
            </w:r>
          </w:p>
        </w:tc>
      </w:tr>
      <w:tr w:rsidR="00B11AEF" w:rsidRPr="004F78C4" w14:paraId="48FFB224" w14:textId="77777777" w:rsidTr="00B11AEF">
        <w:trPr>
          <w:trHeight w:val="20"/>
        </w:trPr>
        <w:tc>
          <w:tcPr>
            <w:tcW w:w="2244" w:type="pct"/>
            <w:shd w:val="clear" w:color="auto" w:fill="FFFFFF"/>
            <w:tcMar>
              <w:left w:w="57" w:type="dxa"/>
              <w:right w:w="57" w:type="dxa"/>
            </w:tcMar>
            <w:vAlign w:val="center"/>
          </w:tcPr>
          <w:p w14:paraId="6687F210"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8" w:type="pct"/>
            <w:shd w:val="clear" w:color="auto" w:fill="FFFFFF"/>
            <w:tcMar>
              <w:left w:w="57" w:type="dxa"/>
              <w:right w:w="57" w:type="dxa"/>
            </w:tcMar>
          </w:tcPr>
          <w:p w14:paraId="085E302D" w14:textId="77777777" w:rsidR="00B11AEF" w:rsidRPr="004F78C4" w:rsidRDefault="00B11AEF" w:rsidP="00B11AEF">
            <w:pPr>
              <w:ind w:firstLine="0"/>
              <w:jc w:val="center"/>
              <w:rPr>
                <w:sz w:val="20"/>
                <w:szCs w:val="20"/>
              </w:rPr>
            </w:pPr>
            <w:r w:rsidRPr="004F78C4">
              <w:rPr>
                <w:sz w:val="20"/>
                <w:szCs w:val="20"/>
              </w:rPr>
              <w:t>0.2</w:t>
            </w:r>
          </w:p>
        </w:tc>
        <w:tc>
          <w:tcPr>
            <w:tcW w:w="678" w:type="pct"/>
            <w:shd w:val="clear" w:color="auto" w:fill="FFFFFF"/>
            <w:tcMar>
              <w:left w:w="57" w:type="dxa"/>
              <w:right w:w="57" w:type="dxa"/>
            </w:tcMar>
          </w:tcPr>
          <w:p w14:paraId="206AD217" w14:textId="77777777" w:rsidR="00B11AEF" w:rsidRPr="004F78C4" w:rsidRDefault="00B11AEF" w:rsidP="00B11AEF">
            <w:pPr>
              <w:ind w:firstLine="0"/>
              <w:jc w:val="center"/>
              <w:rPr>
                <w:sz w:val="20"/>
                <w:szCs w:val="20"/>
              </w:rPr>
            </w:pPr>
            <w:r w:rsidRPr="004F78C4">
              <w:rPr>
                <w:sz w:val="20"/>
                <w:szCs w:val="20"/>
              </w:rPr>
              <w:t>17.1</w:t>
            </w:r>
          </w:p>
        </w:tc>
        <w:tc>
          <w:tcPr>
            <w:tcW w:w="678" w:type="pct"/>
            <w:shd w:val="clear" w:color="auto" w:fill="FFFFFF"/>
          </w:tcPr>
          <w:p w14:paraId="3D0A887C" w14:textId="77777777" w:rsidR="00B11AEF" w:rsidRPr="004F78C4" w:rsidRDefault="00B11AEF" w:rsidP="00B11AEF">
            <w:pPr>
              <w:ind w:firstLine="0"/>
              <w:jc w:val="center"/>
              <w:rPr>
                <w:sz w:val="20"/>
                <w:szCs w:val="20"/>
              </w:rPr>
            </w:pPr>
            <w:r w:rsidRPr="004F78C4">
              <w:rPr>
                <w:sz w:val="20"/>
                <w:szCs w:val="20"/>
              </w:rPr>
              <w:t>16.1</w:t>
            </w:r>
          </w:p>
        </w:tc>
        <w:tc>
          <w:tcPr>
            <w:tcW w:w="632" w:type="pct"/>
            <w:shd w:val="clear" w:color="auto" w:fill="FFFFFF"/>
          </w:tcPr>
          <w:p w14:paraId="5822C580" w14:textId="77777777" w:rsidR="00B11AEF" w:rsidRPr="004F78C4" w:rsidRDefault="00B11AEF" w:rsidP="00B11AEF">
            <w:pPr>
              <w:ind w:firstLine="0"/>
              <w:jc w:val="center"/>
              <w:rPr>
                <w:sz w:val="20"/>
                <w:szCs w:val="20"/>
              </w:rPr>
            </w:pPr>
            <w:r w:rsidRPr="004F78C4">
              <w:rPr>
                <w:sz w:val="20"/>
                <w:szCs w:val="20"/>
              </w:rPr>
              <w:t>20.9</w:t>
            </w:r>
          </w:p>
        </w:tc>
      </w:tr>
    </w:tbl>
    <w:p w14:paraId="1461E579" w14:textId="77777777" w:rsidR="00B11AEF" w:rsidRPr="004F78C4" w:rsidRDefault="00B11AEF" w:rsidP="00B11AEF">
      <w:pPr>
        <w:ind w:firstLine="0"/>
        <w:rPr>
          <w:sz w:val="20"/>
          <w:szCs w:val="20"/>
          <w:lang w:val="hy-AM"/>
        </w:rPr>
      </w:pPr>
    </w:p>
    <w:p w14:paraId="0AAD16FF" w14:textId="77777777" w:rsidR="00B11AEF" w:rsidRDefault="00B11AEF" w:rsidP="00B11AEF">
      <w:pPr>
        <w:ind w:firstLine="0"/>
        <w:rPr>
          <w:rFonts w:ascii="Cambria Math" w:hAnsi="Cambria Math"/>
          <w:lang w:val="hy-AM"/>
        </w:rPr>
      </w:pPr>
      <w:r w:rsidRPr="004F78C4">
        <w:rPr>
          <w:rFonts w:cs="Arial"/>
          <w:lang w:val="hy-AM"/>
        </w:rPr>
        <w:t>ՀՀ</w:t>
      </w:r>
      <w:r w:rsidRPr="004F78C4">
        <w:rPr>
          <w:lang w:val="af-ZA"/>
        </w:rPr>
        <w:t xml:space="preserve"> 2022-2024 </w:t>
      </w:r>
      <w:r w:rsidRPr="004F78C4">
        <w:rPr>
          <w:rFonts w:cs="Arial"/>
          <w:lang w:val="hy-AM"/>
        </w:rPr>
        <w:t>թվականների</w:t>
      </w:r>
      <w:r w:rsidRPr="004F78C4">
        <w:rPr>
          <w:lang w:val="af-ZA"/>
        </w:rPr>
        <w:t xml:space="preserve"> </w:t>
      </w:r>
      <w:r w:rsidRPr="004F78C4">
        <w:rPr>
          <w:rFonts w:cs="Arial"/>
          <w:lang w:val="hy-AM"/>
        </w:rPr>
        <w:t>պետական բյուջեի ծախսերի ըստ ոլորտների կանխատեսումները գրաֆիկորեն ունեն հետևյալ</w:t>
      </w:r>
      <w:r w:rsidRPr="004F78C4">
        <w:rPr>
          <w:lang w:val="hy-AM"/>
        </w:rPr>
        <w:t xml:space="preserve"> տեսքը</w:t>
      </w:r>
      <w:r w:rsidRPr="004F78C4">
        <w:rPr>
          <w:rFonts w:ascii="Cambria Math" w:hAnsi="Cambria Math"/>
          <w:lang w:val="hy-AM"/>
        </w:rPr>
        <w:t>․</w:t>
      </w:r>
    </w:p>
    <w:p w14:paraId="2D57E56B" w14:textId="73A6C27B" w:rsidR="00B11AEF" w:rsidRDefault="00B11AEF" w:rsidP="00B11AEF">
      <w:pPr>
        <w:ind w:firstLine="0"/>
        <w:rPr>
          <w:rFonts w:ascii="Cambria Math" w:hAnsi="Cambria Math"/>
          <w:lang w:val="hy-AM"/>
        </w:rPr>
      </w:pPr>
    </w:p>
    <w:p w14:paraId="5F7FDD45" w14:textId="0C81D644" w:rsidR="00FD5CF5" w:rsidRDefault="00FD5CF5" w:rsidP="00B11AEF">
      <w:pPr>
        <w:ind w:firstLine="0"/>
        <w:rPr>
          <w:rFonts w:ascii="Cambria Math" w:hAnsi="Cambria Math"/>
          <w:lang w:val="hy-AM"/>
        </w:rPr>
      </w:pPr>
    </w:p>
    <w:p w14:paraId="6C05B3C9" w14:textId="77777777" w:rsidR="00FD5CF5" w:rsidRDefault="00FD5CF5" w:rsidP="00B11AEF">
      <w:pPr>
        <w:ind w:firstLine="0"/>
        <w:rPr>
          <w:rFonts w:ascii="Cambria Math" w:hAnsi="Cambria Math"/>
          <w:lang w:val="hy-AM"/>
        </w:rPr>
      </w:pPr>
    </w:p>
    <w:p w14:paraId="2008F6DD" w14:textId="77777777" w:rsidR="00B11AEF" w:rsidRDefault="00B11AEF" w:rsidP="00B11AEF">
      <w:pPr>
        <w:ind w:firstLine="0"/>
        <w:rPr>
          <w:rFonts w:ascii="Cambria Math" w:hAnsi="Cambria Math"/>
          <w:lang w:val="hy-AM"/>
        </w:rPr>
      </w:pPr>
    </w:p>
    <w:p w14:paraId="12F35095" w14:textId="77777777" w:rsidR="00B11AEF" w:rsidRPr="004F78C4" w:rsidRDefault="00B11AEF" w:rsidP="00B11AEF">
      <w:pPr>
        <w:ind w:firstLine="0"/>
        <w:rPr>
          <w:rFonts w:ascii="Cambria Math" w:hAnsi="Cambria Math"/>
          <w:lang w:val="hy-AM"/>
        </w:rPr>
      </w:pPr>
    </w:p>
    <w:tbl>
      <w:tblPr>
        <w:tblStyle w:val="TableGridLight3"/>
        <w:tblW w:w="0" w:type="auto"/>
        <w:tblLook w:val="04A0" w:firstRow="1" w:lastRow="0" w:firstColumn="1" w:lastColumn="0" w:noHBand="0" w:noVBand="1"/>
      </w:tblPr>
      <w:tblGrid>
        <w:gridCol w:w="3145"/>
        <w:gridCol w:w="3060"/>
        <w:gridCol w:w="3145"/>
      </w:tblGrid>
      <w:tr w:rsidR="00B11AEF" w:rsidRPr="004F78C4" w14:paraId="6A263D84" w14:textId="77777777" w:rsidTr="00B11AEF">
        <w:tc>
          <w:tcPr>
            <w:tcW w:w="3145" w:type="dxa"/>
            <w:tcBorders>
              <w:top w:val="dotted" w:sz="4" w:space="0" w:color="auto"/>
              <w:left w:val="dotted" w:sz="4" w:space="0" w:color="auto"/>
              <w:bottom w:val="dotted" w:sz="4" w:space="0" w:color="auto"/>
              <w:right w:val="dotted" w:sz="4" w:space="0" w:color="auto"/>
            </w:tcBorders>
          </w:tcPr>
          <w:p w14:paraId="1B6724DF" w14:textId="77777777" w:rsidR="00B11AEF" w:rsidRPr="004F78C4" w:rsidRDefault="00B11AEF" w:rsidP="00B11AEF">
            <w:pPr>
              <w:ind w:firstLine="0"/>
              <w:rPr>
                <w:lang w:val="hy-AM"/>
              </w:rPr>
            </w:pPr>
            <w:r w:rsidRPr="004F78C4">
              <w:rPr>
                <w:lang w:val="hy-AM"/>
              </w:rPr>
              <w:t>2022</w:t>
            </w:r>
          </w:p>
        </w:tc>
        <w:tc>
          <w:tcPr>
            <w:tcW w:w="3060" w:type="dxa"/>
            <w:tcBorders>
              <w:top w:val="dotted" w:sz="4" w:space="0" w:color="auto"/>
              <w:left w:val="dotted" w:sz="4" w:space="0" w:color="auto"/>
              <w:bottom w:val="dotted" w:sz="4" w:space="0" w:color="auto"/>
              <w:right w:val="dotted" w:sz="4" w:space="0" w:color="auto"/>
            </w:tcBorders>
          </w:tcPr>
          <w:p w14:paraId="5EFE3017" w14:textId="77777777" w:rsidR="00B11AEF" w:rsidRPr="004F78C4" w:rsidRDefault="00B11AEF" w:rsidP="00B11AEF">
            <w:pPr>
              <w:ind w:firstLine="0"/>
              <w:rPr>
                <w:lang w:val="hy-AM"/>
              </w:rPr>
            </w:pPr>
            <w:r w:rsidRPr="004F78C4">
              <w:rPr>
                <w:lang w:val="hy-AM"/>
              </w:rPr>
              <w:t>2023</w:t>
            </w:r>
          </w:p>
        </w:tc>
        <w:tc>
          <w:tcPr>
            <w:tcW w:w="3145" w:type="dxa"/>
            <w:tcBorders>
              <w:top w:val="dotted" w:sz="4" w:space="0" w:color="auto"/>
              <w:left w:val="dotted" w:sz="4" w:space="0" w:color="auto"/>
              <w:bottom w:val="dotted" w:sz="4" w:space="0" w:color="auto"/>
              <w:right w:val="dotted" w:sz="4" w:space="0" w:color="auto"/>
            </w:tcBorders>
          </w:tcPr>
          <w:p w14:paraId="5887BB38" w14:textId="77777777" w:rsidR="00B11AEF" w:rsidRPr="004F78C4" w:rsidRDefault="00B11AEF" w:rsidP="00B11AEF">
            <w:pPr>
              <w:ind w:firstLine="0"/>
              <w:rPr>
                <w:lang w:val="hy-AM"/>
              </w:rPr>
            </w:pPr>
            <w:r w:rsidRPr="004F78C4">
              <w:rPr>
                <w:lang w:val="hy-AM"/>
              </w:rPr>
              <w:t>2024</w:t>
            </w:r>
          </w:p>
        </w:tc>
      </w:tr>
      <w:tr w:rsidR="00B11AEF" w:rsidRPr="004F78C4" w14:paraId="77E94731" w14:textId="77777777" w:rsidTr="00B11AEF">
        <w:trPr>
          <w:trHeight w:val="3312"/>
        </w:trPr>
        <w:tc>
          <w:tcPr>
            <w:tcW w:w="3145" w:type="dxa"/>
            <w:tcBorders>
              <w:top w:val="dotted" w:sz="4" w:space="0" w:color="auto"/>
              <w:left w:val="dotted" w:sz="4" w:space="0" w:color="auto"/>
              <w:bottom w:val="dotted" w:sz="4" w:space="0" w:color="auto"/>
              <w:right w:val="dotted" w:sz="4" w:space="0" w:color="auto"/>
            </w:tcBorders>
          </w:tcPr>
          <w:p w14:paraId="5812D98D" w14:textId="77777777" w:rsidR="00B11AEF" w:rsidRPr="004F78C4" w:rsidRDefault="00B11AEF" w:rsidP="00B11AEF">
            <w:pPr>
              <w:ind w:firstLine="0"/>
              <w:rPr>
                <w:rFonts w:ascii="Cambria Math" w:hAnsi="Cambria Math"/>
                <w:lang w:val="hy-AM"/>
              </w:rPr>
            </w:pPr>
            <w:r w:rsidRPr="004F78C4">
              <w:rPr>
                <w:rFonts w:ascii="Cambria Math" w:hAnsi="Cambria Math"/>
                <w:noProof/>
                <w:sz w:val="18"/>
              </w:rPr>
              <w:drawing>
                <wp:inline distT="0" distB="0" distL="0" distR="0" wp14:anchorId="43937A7E" wp14:editId="0BCF091F">
                  <wp:extent cx="1658203" cy="1774190"/>
                  <wp:effectExtent l="0" t="0" r="18415" b="16510"/>
                  <wp:docPr id="49" name="Chart 205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6630E5F0" w14:textId="77777777" w:rsidR="00B11AEF" w:rsidRPr="004F78C4" w:rsidRDefault="00B11AEF" w:rsidP="00B11AEF">
            <w:pPr>
              <w:ind w:firstLine="0"/>
              <w:rPr>
                <w:rFonts w:ascii="Cambria Math" w:hAnsi="Cambria Math"/>
                <w:lang w:val="hy-AM"/>
              </w:rPr>
            </w:pPr>
          </w:p>
        </w:tc>
        <w:tc>
          <w:tcPr>
            <w:tcW w:w="3060" w:type="dxa"/>
            <w:tcBorders>
              <w:top w:val="dotted" w:sz="4" w:space="0" w:color="auto"/>
              <w:left w:val="dotted" w:sz="4" w:space="0" w:color="auto"/>
              <w:bottom w:val="dotted" w:sz="4" w:space="0" w:color="auto"/>
              <w:right w:val="dotted" w:sz="4" w:space="0" w:color="auto"/>
            </w:tcBorders>
          </w:tcPr>
          <w:p w14:paraId="7CF221B8" w14:textId="77777777" w:rsidR="00B11AEF" w:rsidRPr="004F78C4" w:rsidRDefault="00B11AEF" w:rsidP="00B11AEF">
            <w:pPr>
              <w:ind w:firstLine="0"/>
              <w:rPr>
                <w:rFonts w:ascii="Cambria Math" w:hAnsi="Cambria Math"/>
                <w:lang w:val="hy-AM"/>
              </w:rPr>
            </w:pPr>
            <w:r w:rsidRPr="004F78C4">
              <w:rPr>
                <w:rFonts w:ascii="Cambria Math" w:hAnsi="Cambria Math"/>
                <w:noProof/>
              </w:rPr>
              <w:drawing>
                <wp:inline distT="0" distB="0" distL="0" distR="0" wp14:anchorId="209D9978" wp14:editId="591554B4">
                  <wp:extent cx="1658203" cy="1774190"/>
                  <wp:effectExtent l="0" t="0" r="18415" b="16510"/>
                  <wp:docPr id="50" name="Chart 2056"/>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c>
          <w:tcPr>
            <w:tcW w:w="3145" w:type="dxa"/>
            <w:tcBorders>
              <w:top w:val="dotted" w:sz="4" w:space="0" w:color="auto"/>
              <w:left w:val="dotted" w:sz="4" w:space="0" w:color="auto"/>
              <w:bottom w:val="dotted" w:sz="4" w:space="0" w:color="auto"/>
              <w:right w:val="dotted" w:sz="4" w:space="0" w:color="auto"/>
            </w:tcBorders>
          </w:tcPr>
          <w:p w14:paraId="70048182" w14:textId="77777777" w:rsidR="00B11AEF" w:rsidRPr="004F78C4" w:rsidRDefault="00B11AEF" w:rsidP="00B11AEF">
            <w:pPr>
              <w:ind w:firstLine="0"/>
              <w:rPr>
                <w:rFonts w:ascii="Cambria Math" w:hAnsi="Cambria Math"/>
                <w:lang w:val="hy-AM"/>
              </w:rPr>
            </w:pPr>
            <w:r w:rsidRPr="004F78C4">
              <w:rPr>
                <w:rFonts w:ascii="Cambria Math" w:hAnsi="Cambria Math"/>
                <w:noProof/>
              </w:rPr>
              <w:drawing>
                <wp:inline distT="0" distB="0" distL="0" distR="0" wp14:anchorId="225F5B81" wp14:editId="3F461CBC">
                  <wp:extent cx="1658203" cy="1774190"/>
                  <wp:effectExtent l="0" t="0" r="18415" b="16510"/>
                  <wp:docPr id="74" name="Chart 2057"/>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r w:rsidR="00B11AEF" w:rsidRPr="004F78C4" w14:paraId="4F25EE55" w14:textId="77777777" w:rsidTr="00B11AEF">
        <w:tc>
          <w:tcPr>
            <w:tcW w:w="9350" w:type="dxa"/>
            <w:gridSpan w:val="3"/>
            <w:tcBorders>
              <w:top w:val="dotted" w:sz="4" w:space="0" w:color="auto"/>
              <w:left w:val="dotted" w:sz="4" w:space="0" w:color="auto"/>
              <w:bottom w:val="dotted" w:sz="4" w:space="0" w:color="auto"/>
              <w:right w:val="dotted" w:sz="4" w:space="0" w:color="auto"/>
            </w:tcBorders>
          </w:tcPr>
          <w:p w14:paraId="4B5D2374" w14:textId="77777777" w:rsidR="00B11AEF" w:rsidRPr="004F78C4" w:rsidRDefault="00B11AEF" w:rsidP="00B11AEF">
            <w:pPr>
              <w:ind w:firstLine="0"/>
              <w:rPr>
                <w:rFonts w:ascii="Cambria Math" w:hAnsi="Cambria Math"/>
                <w:lang w:val="hy-AM"/>
              </w:rPr>
            </w:pPr>
            <w:r>
              <w:rPr>
                <w:noProof/>
              </w:rPr>
              <w:drawing>
                <wp:inline distT="0" distB="0" distL="0" distR="0" wp14:anchorId="7FC92CF6" wp14:editId="63CEE34F">
                  <wp:extent cx="4429125" cy="647700"/>
                  <wp:effectExtent l="0" t="0" r="9525" b="0"/>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429125" cy="647700"/>
                          </a:xfrm>
                          <a:prstGeom prst="rect">
                            <a:avLst/>
                          </a:prstGeom>
                          <a:noFill/>
                          <a:ln>
                            <a:noFill/>
                          </a:ln>
                        </pic:spPr>
                      </pic:pic>
                    </a:graphicData>
                  </a:graphic>
                </wp:inline>
              </w:drawing>
            </w:r>
            <w:r>
              <w:rPr>
                <w:noProof/>
              </w:rPr>
              <w:drawing>
                <wp:inline distT="0" distB="0" distL="0" distR="0" wp14:anchorId="12F336FA" wp14:editId="1790D02B">
                  <wp:extent cx="4419600" cy="228600"/>
                  <wp:effectExtent l="0" t="0" r="0" b="0"/>
                  <wp:docPr id="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419600" cy="228600"/>
                          </a:xfrm>
                          <a:prstGeom prst="rect">
                            <a:avLst/>
                          </a:prstGeom>
                          <a:noFill/>
                          <a:ln>
                            <a:noFill/>
                          </a:ln>
                        </pic:spPr>
                      </pic:pic>
                    </a:graphicData>
                  </a:graphic>
                </wp:inline>
              </w:drawing>
            </w:r>
          </w:p>
        </w:tc>
      </w:tr>
    </w:tbl>
    <w:p w14:paraId="7D3520DF" w14:textId="77777777" w:rsidR="00B11AEF" w:rsidRPr="004F78C4" w:rsidRDefault="00B11AEF" w:rsidP="00B11AEF">
      <w:pPr>
        <w:ind w:firstLine="0"/>
        <w:rPr>
          <w:rFonts w:ascii="Cambria Math" w:hAnsi="Cambria Math"/>
          <w:lang w:val="hy-AM"/>
        </w:rPr>
      </w:pPr>
    </w:p>
    <w:p w14:paraId="7A3AFDB9" w14:textId="77777777" w:rsidR="00B11AEF" w:rsidRPr="004F78C4" w:rsidRDefault="00B11AEF" w:rsidP="00B11AEF">
      <w:pPr>
        <w:spacing w:line="276" w:lineRule="auto"/>
        <w:ind w:firstLine="426"/>
        <w:rPr>
          <w:lang w:val="hy-AM"/>
        </w:rPr>
      </w:pPr>
      <w:r w:rsidRPr="004F78C4">
        <w:rPr>
          <w:lang w:val="hy-AM"/>
        </w:rPr>
        <w:t>Միջնաժամկետ կտրվածքում պետական բյուջեի ընդամենը ծախսերում գերակայելու են սոցիալական ոլորտի՝ (կրթություն, սոց,պաշտպանություն, առողջապահություն և այլն) միջինում 36.7,4%, ընդհանուր բնույթի հանրային ծառայությունների՝ միջինում 20.4%, պաշտպանության, հասարակական կարգի,  անվտանգության և դատական գործունեությանն՝ միջինում 17.4%, տնտեսական ոլորտի՝ միջինում 7.5% ոլորտների ֆինանսավորումը։</w:t>
      </w:r>
    </w:p>
    <w:p w14:paraId="4424A602" w14:textId="77777777" w:rsidR="00B11AEF" w:rsidRPr="004F78C4" w:rsidRDefault="00B11AEF" w:rsidP="00B11AEF">
      <w:pPr>
        <w:spacing w:line="276" w:lineRule="auto"/>
        <w:ind w:firstLine="0"/>
        <w:rPr>
          <w:lang w:val="hy-AM"/>
        </w:rPr>
      </w:pPr>
      <w:r w:rsidRPr="004F78C4">
        <w:rPr>
          <w:lang w:val="hy-AM"/>
        </w:rPr>
        <w:t>Սոցիալական ոլորտի խմբում 2022-2024 թվականներին կարևոր</w:t>
      </w:r>
      <w:r w:rsidRPr="004F78C4">
        <w:rPr>
          <w:lang w:val="hy-AM"/>
        </w:rPr>
        <w:softHyphen/>
      </w:r>
      <w:r w:rsidRPr="004F78C4">
        <w:rPr>
          <w:lang w:val="hy-AM"/>
        </w:rPr>
        <w:softHyphen/>
      </w:r>
      <w:r w:rsidRPr="004F78C4">
        <w:rPr>
          <w:lang w:val="hy-AM"/>
        </w:rPr>
        <w:softHyphen/>
      </w:r>
      <w:r w:rsidRPr="004F78C4">
        <w:rPr>
          <w:lang w:val="hy-AM"/>
        </w:rPr>
        <w:softHyphen/>
        <w:t>վելու է հատկապես սոցիալական ապահովության,  կրթության և առողջապահության բնա</w:t>
      </w:r>
      <w:r w:rsidRPr="004F78C4">
        <w:rPr>
          <w:lang w:val="hy-AM"/>
        </w:rPr>
        <w:softHyphen/>
        <w:t>գա</w:t>
      </w:r>
      <w:r w:rsidRPr="004F78C4">
        <w:rPr>
          <w:lang w:val="hy-AM"/>
        </w:rPr>
        <w:softHyphen/>
        <w:t>վառ</w:t>
      </w:r>
      <w:r w:rsidRPr="004F78C4">
        <w:rPr>
          <w:lang w:val="hy-AM"/>
        </w:rPr>
        <w:softHyphen/>
        <w:t>նե</w:t>
      </w:r>
      <w:r w:rsidRPr="004F78C4">
        <w:rPr>
          <w:lang w:val="hy-AM"/>
        </w:rPr>
        <w:softHyphen/>
        <w:t>րի զարգաց</w:t>
      </w:r>
      <w:r w:rsidRPr="004F78C4">
        <w:rPr>
          <w:lang w:val="hy-AM"/>
        </w:rPr>
        <w:softHyphen/>
        <w:t xml:space="preserve">ման ռազմավարական ծրագրերի իրականացումը: </w:t>
      </w:r>
    </w:p>
    <w:p w14:paraId="4D0161AF" w14:textId="77777777" w:rsidR="00B11AEF" w:rsidRPr="004F78C4" w:rsidRDefault="00B11AEF" w:rsidP="00B11AEF">
      <w:pPr>
        <w:spacing w:line="276" w:lineRule="auto"/>
        <w:ind w:firstLine="0"/>
        <w:rPr>
          <w:lang w:val="hy-AM"/>
        </w:rPr>
      </w:pPr>
    </w:p>
    <w:p w14:paraId="490D50F0" w14:textId="77777777" w:rsidR="00B11AEF" w:rsidRPr="004F78C4" w:rsidRDefault="00B11AEF" w:rsidP="00B11AEF">
      <w:pPr>
        <w:ind w:firstLine="0"/>
        <w:rPr>
          <w:i/>
          <w:sz w:val="20"/>
          <w:szCs w:val="20"/>
          <w:lang w:val="hy-AM"/>
        </w:rPr>
      </w:pPr>
      <w:r w:rsidRPr="004F78C4">
        <w:rPr>
          <w:b/>
          <w:sz w:val="20"/>
          <w:szCs w:val="20"/>
          <w:lang w:val="hy-AM"/>
        </w:rPr>
        <w:t xml:space="preserve">Աղյուսակ 4.3.1 </w:t>
      </w:r>
      <w:r w:rsidRPr="004F78C4">
        <w:rPr>
          <w:i/>
          <w:sz w:val="20"/>
          <w:szCs w:val="20"/>
          <w:lang w:val="hy-AM"/>
        </w:rPr>
        <w:t>Սոցիալական ոլորտի բյուջետային ծախսերը  (մլն դրամ)</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397"/>
        <w:gridCol w:w="1514"/>
        <w:gridCol w:w="1337"/>
        <w:gridCol w:w="1337"/>
        <w:gridCol w:w="1321"/>
      </w:tblGrid>
      <w:tr w:rsidR="00B11AEF" w:rsidRPr="004F78C4" w14:paraId="3C194F2E" w14:textId="77777777" w:rsidTr="00B11AEF">
        <w:trPr>
          <w:trHeight w:val="20"/>
          <w:tblHeader/>
        </w:trPr>
        <w:tc>
          <w:tcPr>
            <w:tcW w:w="2219" w:type="pct"/>
            <w:tcBorders>
              <w:top w:val="double" w:sz="4" w:space="0" w:color="auto"/>
              <w:bottom w:val="double" w:sz="4" w:space="0" w:color="auto"/>
            </w:tcBorders>
            <w:shd w:val="clear" w:color="auto" w:fill="4F81BD" w:themeFill="accent1"/>
            <w:tcMar>
              <w:left w:w="57" w:type="dxa"/>
              <w:right w:w="85" w:type="dxa"/>
            </w:tcMar>
            <w:vAlign w:val="center"/>
          </w:tcPr>
          <w:p w14:paraId="1EE6E347"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Ցուցանիշներ</w:t>
            </w:r>
          </w:p>
        </w:tc>
        <w:tc>
          <w:tcPr>
            <w:tcW w:w="764" w:type="pct"/>
            <w:tcBorders>
              <w:top w:val="double" w:sz="4" w:space="0" w:color="auto"/>
              <w:bottom w:val="double" w:sz="4" w:space="0" w:color="auto"/>
            </w:tcBorders>
            <w:shd w:val="clear" w:color="auto" w:fill="4F81BD" w:themeFill="accent1"/>
            <w:tcMar>
              <w:left w:w="57" w:type="dxa"/>
              <w:right w:w="85" w:type="dxa"/>
            </w:tcMar>
            <w:vAlign w:val="center"/>
          </w:tcPr>
          <w:p w14:paraId="1AA9D756"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 xml:space="preserve">2021թ հաստատված </w:t>
            </w:r>
          </w:p>
        </w:tc>
        <w:tc>
          <w:tcPr>
            <w:tcW w:w="675" w:type="pct"/>
            <w:tcBorders>
              <w:top w:val="double" w:sz="4" w:space="0" w:color="auto"/>
              <w:bottom w:val="double" w:sz="4" w:space="0" w:color="auto"/>
            </w:tcBorders>
            <w:shd w:val="clear" w:color="auto" w:fill="4F81BD" w:themeFill="accent1"/>
            <w:tcMar>
              <w:left w:w="57" w:type="dxa"/>
              <w:right w:w="85" w:type="dxa"/>
            </w:tcMar>
            <w:vAlign w:val="center"/>
          </w:tcPr>
          <w:p w14:paraId="00B6CF18"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2022թ ծրագիր</w:t>
            </w:r>
          </w:p>
        </w:tc>
        <w:tc>
          <w:tcPr>
            <w:tcW w:w="675" w:type="pct"/>
            <w:tcBorders>
              <w:top w:val="double" w:sz="4" w:space="0" w:color="auto"/>
              <w:bottom w:val="double" w:sz="4" w:space="0" w:color="auto"/>
            </w:tcBorders>
            <w:shd w:val="clear" w:color="auto" w:fill="4F81BD" w:themeFill="accent1"/>
            <w:vAlign w:val="center"/>
          </w:tcPr>
          <w:p w14:paraId="00337ED3"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2023թ ծրագիր</w:t>
            </w:r>
          </w:p>
        </w:tc>
        <w:tc>
          <w:tcPr>
            <w:tcW w:w="667" w:type="pct"/>
            <w:tcBorders>
              <w:top w:val="double" w:sz="4" w:space="0" w:color="auto"/>
              <w:bottom w:val="double" w:sz="4" w:space="0" w:color="auto"/>
            </w:tcBorders>
            <w:shd w:val="clear" w:color="auto" w:fill="4F81BD" w:themeFill="accent1"/>
            <w:vAlign w:val="center"/>
          </w:tcPr>
          <w:p w14:paraId="5295137C"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2024թ ծրագիր</w:t>
            </w:r>
          </w:p>
        </w:tc>
      </w:tr>
      <w:tr w:rsidR="00B11AEF" w:rsidRPr="004F78C4" w14:paraId="2C018136" w14:textId="77777777" w:rsidTr="00B11AEF">
        <w:tblPrEx>
          <w:tblCellMar>
            <w:left w:w="30" w:type="dxa"/>
            <w:right w:w="30" w:type="dxa"/>
          </w:tblCellMar>
        </w:tblPrEx>
        <w:trPr>
          <w:trHeight w:val="20"/>
        </w:trPr>
        <w:tc>
          <w:tcPr>
            <w:tcW w:w="2219" w:type="pct"/>
            <w:tcBorders>
              <w:top w:val="double" w:sz="4" w:space="0" w:color="auto"/>
              <w:bottom w:val="single" w:sz="6" w:space="0" w:color="auto"/>
            </w:tcBorders>
            <w:shd w:val="clear" w:color="auto" w:fill="C6D9F1" w:themeFill="text2" w:themeFillTint="33"/>
            <w:tcMar>
              <w:left w:w="57" w:type="dxa"/>
              <w:right w:w="85" w:type="dxa"/>
            </w:tcMar>
            <w:vAlign w:val="center"/>
          </w:tcPr>
          <w:p w14:paraId="31FF5E98" w14:textId="77777777" w:rsidR="00B11AEF" w:rsidRPr="004F78C4" w:rsidRDefault="00B11AEF" w:rsidP="00B11AEF">
            <w:pPr>
              <w:ind w:firstLine="0"/>
              <w:rPr>
                <w:rFonts w:cs="Arial"/>
                <w:b/>
                <w:sz w:val="20"/>
                <w:szCs w:val="20"/>
                <w:lang w:val="hy-AM"/>
              </w:rPr>
            </w:pPr>
            <w:r w:rsidRPr="004F78C4">
              <w:rPr>
                <w:rFonts w:cs="Arial"/>
                <w:b/>
                <w:sz w:val="20"/>
                <w:szCs w:val="20"/>
                <w:lang w:val="hy-AM"/>
              </w:rPr>
              <w:t>ՍՈՑԻԱԼԱԿԱՆ ՈԼՈՐՏ ԸՆԴԱՄԵՆԸ</w:t>
            </w:r>
          </w:p>
        </w:tc>
        <w:tc>
          <w:tcPr>
            <w:tcW w:w="764" w:type="pct"/>
            <w:tcBorders>
              <w:top w:val="double" w:sz="4" w:space="0" w:color="auto"/>
              <w:bottom w:val="single" w:sz="4" w:space="0" w:color="auto"/>
            </w:tcBorders>
            <w:shd w:val="clear" w:color="auto" w:fill="C6D9F1" w:themeFill="text2" w:themeFillTint="33"/>
            <w:tcMar>
              <w:left w:w="57" w:type="dxa"/>
              <w:right w:w="85" w:type="dxa"/>
            </w:tcMar>
          </w:tcPr>
          <w:p w14:paraId="2CDCC09E" w14:textId="77777777" w:rsidR="00B11AEF" w:rsidRPr="004F78C4" w:rsidRDefault="00B11AEF" w:rsidP="00B11AEF">
            <w:pPr>
              <w:ind w:firstLine="0"/>
              <w:jc w:val="center"/>
              <w:rPr>
                <w:b/>
                <w:sz w:val="20"/>
                <w:szCs w:val="20"/>
              </w:rPr>
            </w:pPr>
            <w:r w:rsidRPr="004F78C4">
              <w:rPr>
                <w:b/>
                <w:sz w:val="20"/>
                <w:szCs w:val="20"/>
              </w:rPr>
              <w:t>806,603.0</w:t>
            </w:r>
          </w:p>
        </w:tc>
        <w:tc>
          <w:tcPr>
            <w:tcW w:w="675" w:type="pct"/>
            <w:tcBorders>
              <w:top w:val="double" w:sz="4" w:space="0" w:color="auto"/>
              <w:bottom w:val="single" w:sz="4" w:space="0" w:color="auto"/>
            </w:tcBorders>
            <w:shd w:val="clear" w:color="auto" w:fill="C6D9F1" w:themeFill="text2" w:themeFillTint="33"/>
            <w:tcMar>
              <w:left w:w="57" w:type="dxa"/>
              <w:right w:w="85" w:type="dxa"/>
            </w:tcMar>
          </w:tcPr>
          <w:p w14:paraId="2BD6273F" w14:textId="77777777" w:rsidR="00B11AEF" w:rsidRPr="004F78C4" w:rsidRDefault="00B11AEF" w:rsidP="00B11AEF">
            <w:pPr>
              <w:ind w:firstLine="0"/>
              <w:jc w:val="center"/>
              <w:rPr>
                <w:b/>
                <w:sz w:val="20"/>
                <w:szCs w:val="20"/>
              </w:rPr>
            </w:pPr>
            <w:r w:rsidRPr="004F78C4">
              <w:rPr>
                <w:b/>
                <w:sz w:val="20"/>
                <w:szCs w:val="20"/>
              </w:rPr>
              <w:t>765,023.9</w:t>
            </w:r>
          </w:p>
        </w:tc>
        <w:tc>
          <w:tcPr>
            <w:tcW w:w="675" w:type="pct"/>
            <w:tcBorders>
              <w:top w:val="double" w:sz="4" w:space="0" w:color="auto"/>
              <w:bottom w:val="single" w:sz="4" w:space="0" w:color="auto"/>
            </w:tcBorders>
            <w:shd w:val="clear" w:color="auto" w:fill="C6D9F1" w:themeFill="text2" w:themeFillTint="33"/>
          </w:tcPr>
          <w:p w14:paraId="51AC580E" w14:textId="77777777" w:rsidR="00B11AEF" w:rsidRPr="004F78C4" w:rsidRDefault="00B11AEF" w:rsidP="00B11AEF">
            <w:pPr>
              <w:ind w:firstLine="0"/>
              <w:jc w:val="center"/>
              <w:rPr>
                <w:b/>
                <w:sz w:val="20"/>
                <w:szCs w:val="20"/>
              </w:rPr>
            </w:pPr>
            <w:r w:rsidRPr="004F78C4">
              <w:rPr>
                <w:b/>
                <w:sz w:val="20"/>
                <w:szCs w:val="20"/>
              </w:rPr>
              <w:t>799,685.8</w:t>
            </w:r>
          </w:p>
        </w:tc>
        <w:tc>
          <w:tcPr>
            <w:tcW w:w="667" w:type="pct"/>
            <w:tcBorders>
              <w:top w:val="double" w:sz="4" w:space="0" w:color="auto"/>
              <w:bottom w:val="single" w:sz="4" w:space="0" w:color="auto"/>
            </w:tcBorders>
            <w:shd w:val="clear" w:color="auto" w:fill="C6D9F1" w:themeFill="text2" w:themeFillTint="33"/>
          </w:tcPr>
          <w:p w14:paraId="5BBAE574" w14:textId="77777777" w:rsidR="00B11AEF" w:rsidRPr="004F78C4" w:rsidRDefault="00B11AEF" w:rsidP="00B11AEF">
            <w:pPr>
              <w:ind w:firstLine="0"/>
              <w:jc w:val="center"/>
              <w:rPr>
                <w:b/>
                <w:sz w:val="20"/>
                <w:szCs w:val="20"/>
              </w:rPr>
            </w:pPr>
            <w:r w:rsidRPr="004F78C4">
              <w:rPr>
                <w:b/>
                <w:sz w:val="20"/>
                <w:szCs w:val="20"/>
              </w:rPr>
              <w:t>795,921.4</w:t>
            </w:r>
          </w:p>
        </w:tc>
      </w:tr>
      <w:tr w:rsidR="00B11AEF" w:rsidRPr="004F78C4" w14:paraId="6F591A3D" w14:textId="77777777" w:rsidTr="00B11AEF">
        <w:tblPrEx>
          <w:tblCellMar>
            <w:left w:w="108" w:type="dxa"/>
            <w:right w:w="108" w:type="dxa"/>
          </w:tblCellMar>
        </w:tblPrEx>
        <w:trPr>
          <w:trHeight w:val="20"/>
        </w:trPr>
        <w:tc>
          <w:tcPr>
            <w:tcW w:w="2219" w:type="pct"/>
          </w:tcPr>
          <w:p w14:paraId="50C6C7F0" w14:textId="77777777" w:rsidR="00B11AEF" w:rsidRPr="004F78C4" w:rsidRDefault="00B11AEF" w:rsidP="00B11AEF">
            <w:pPr>
              <w:ind w:firstLine="0"/>
              <w:jc w:val="left"/>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4" w:type="pct"/>
            <w:vAlign w:val="center"/>
          </w:tcPr>
          <w:p w14:paraId="74F11B6D" w14:textId="77777777" w:rsidR="00B11AEF" w:rsidRPr="004F78C4" w:rsidRDefault="00B11AEF" w:rsidP="00B11AEF">
            <w:pPr>
              <w:ind w:firstLine="0"/>
              <w:jc w:val="center"/>
              <w:rPr>
                <w:rFonts w:cs="Arial"/>
                <w:sz w:val="20"/>
                <w:szCs w:val="20"/>
              </w:rPr>
            </w:pPr>
            <w:r w:rsidRPr="004F78C4">
              <w:rPr>
                <w:rFonts w:eastAsiaTheme="minorHAnsi" w:cs="Calibri"/>
                <w:color w:val="000000"/>
                <w:sz w:val="20"/>
                <w:szCs w:val="20"/>
              </w:rPr>
              <w:t>12.6</w:t>
            </w:r>
          </w:p>
        </w:tc>
        <w:tc>
          <w:tcPr>
            <w:tcW w:w="675" w:type="pct"/>
            <w:vAlign w:val="center"/>
          </w:tcPr>
          <w:p w14:paraId="60B60B3F" w14:textId="77777777" w:rsidR="00B11AEF" w:rsidRPr="004F78C4" w:rsidRDefault="00B11AEF" w:rsidP="00B11AEF">
            <w:pPr>
              <w:ind w:firstLine="0"/>
              <w:jc w:val="center"/>
              <w:rPr>
                <w:rFonts w:cs="Arial"/>
                <w:sz w:val="20"/>
                <w:szCs w:val="20"/>
              </w:rPr>
            </w:pPr>
            <w:r w:rsidRPr="004F78C4">
              <w:rPr>
                <w:rFonts w:eastAsiaTheme="minorHAnsi" w:cs="Calibri"/>
                <w:color w:val="000000"/>
                <w:sz w:val="20"/>
                <w:szCs w:val="20"/>
              </w:rPr>
              <w:t>10.1</w:t>
            </w:r>
          </w:p>
        </w:tc>
        <w:tc>
          <w:tcPr>
            <w:tcW w:w="675" w:type="pct"/>
            <w:vAlign w:val="center"/>
          </w:tcPr>
          <w:p w14:paraId="42DA6A65" w14:textId="77777777" w:rsidR="00B11AEF" w:rsidRPr="004F78C4" w:rsidRDefault="00B11AEF" w:rsidP="00B11AEF">
            <w:pPr>
              <w:ind w:firstLine="0"/>
              <w:jc w:val="center"/>
              <w:rPr>
                <w:rFonts w:cs="Arial"/>
                <w:sz w:val="20"/>
                <w:szCs w:val="20"/>
              </w:rPr>
            </w:pPr>
            <w:r w:rsidRPr="004F78C4">
              <w:rPr>
                <w:rFonts w:eastAsiaTheme="minorHAnsi" w:cs="Calibri"/>
                <w:color w:val="000000"/>
                <w:sz w:val="20"/>
                <w:szCs w:val="20"/>
              </w:rPr>
              <w:t>9.8</w:t>
            </w:r>
          </w:p>
        </w:tc>
        <w:tc>
          <w:tcPr>
            <w:tcW w:w="667" w:type="pct"/>
            <w:vAlign w:val="center"/>
          </w:tcPr>
          <w:p w14:paraId="50307DDB" w14:textId="77777777" w:rsidR="00B11AEF" w:rsidRPr="004F78C4" w:rsidRDefault="00B11AEF" w:rsidP="00B11AEF">
            <w:pPr>
              <w:ind w:firstLine="0"/>
              <w:jc w:val="center"/>
              <w:rPr>
                <w:rFonts w:cs="Arial"/>
                <w:sz w:val="20"/>
                <w:szCs w:val="20"/>
              </w:rPr>
            </w:pPr>
            <w:r w:rsidRPr="004F78C4">
              <w:rPr>
                <w:rFonts w:eastAsiaTheme="minorHAnsi" w:cs="Calibri"/>
                <w:color w:val="000000"/>
                <w:sz w:val="20"/>
                <w:szCs w:val="20"/>
              </w:rPr>
              <w:t>9.0</w:t>
            </w:r>
          </w:p>
        </w:tc>
      </w:tr>
      <w:tr w:rsidR="00B11AEF" w:rsidRPr="004F78C4" w14:paraId="4D697241" w14:textId="77777777" w:rsidTr="00B11AEF">
        <w:tblPrEx>
          <w:tblCellMar>
            <w:left w:w="108" w:type="dxa"/>
            <w:right w:w="108" w:type="dxa"/>
          </w:tblCellMar>
        </w:tblPrEx>
        <w:trPr>
          <w:trHeight w:val="20"/>
        </w:trPr>
        <w:tc>
          <w:tcPr>
            <w:tcW w:w="2219" w:type="pct"/>
          </w:tcPr>
          <w:p w14:paraId="485094A4" w14:textId="77777777" w:rsidR="00B11AEF" w:rsidRPr="004F78C4" w:rsidRDefault="00B11AEF" w:rsidP="00B11AEF">
            <w:pPr>
              <w:ind w:firstLine="0"/>
              <w:jc w:val="left"/>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4" w:type="pct"/>
            <w:vAlign w:val="center"/>
          </w:tcPr>
          <w:p w14:paraId="5663226E" w14:textId="77777777" w:rsidR="00B11AEF" w:rsidRPr="004F78C4" w:rsidRDefault="00B11AEF" w:rsidP="00B11AEF">
            <w:pPr>
              <w:ind w:firstLine="0"/>
              <w:jc w:val="center"/>
              <w:rPr>
                <w:rFonts w:eastAsiaTheme="minorHAnsi" w:cs="Calibri"/>
                <w:color w:val="000000"/>
                <w:sz w:val="20"/>
                <w:szCs w:val="20"/>
              </w:rPr>
            </w:pPr>
            <w:r w:rsidRPr="004F78C4">
              <w:rPr>
                <w:rFonts w:eastAsiaTheme="minorHAnsi" w:cs="Calibri"/>
                <w:color w:val="000000"/>
                <w:sz w:val="20"/>
                <w:szCs w:val="20"/>
              </w:rPr>
              <w:t>43.6</w:t>
            </w:r>
          </w:p>
        </w:tc>
        <w:tc>
          <w:tcPr>
            <w:tcW w:w="675" w:type="pct"/>
            <w:vAlign w:val="center"/>
          </w:tcPr>
          <w:p w14:paraId="342CC169" w14:textId="77777777" w:rsidR="00B11AEF" w:rsidRPr="004F78C4" w:rsidRDefault="00B11AEF" w:rsidP="00B11AEF">
            <w:pPr>
              <w:ind w:firstLine="0"/>
              <w:jc w:val="center"/>
              <w:rPr>
                <w:rFonts w:eastAsiaTheme="minorHAnsi" w:cs="Calibri"/>
                <w:color w:val="000000"/>
                <w:sz w:val="20"/>
                <w:szCs w:val="20"/>
              </w:rPr>
            </w:pPr>
            <w:r w:rsidRPr="004F78C4">
              <w:rPr>
                <w:rFonts w:eastAsiaTheme="minorHAnsi" w:cs="Calibri"/>
                <w:color w:val="000000"/>
                <w:sz w:val="20"/>
                <w:szCs w:val="20"/>
              </w:rPr>
              <w:t>38.2</w:t>
            </w:r>
          </w:p>
        </w:tc>
        <w:tc>
          <w:tcPr>
            <w:tcW w:w="675" w:type="pct"/>
            <w:vAlign w:val="center"/>
          </w:tcPr>
          <w:p w14:paraId="34049EC1" w14:textId="77777777" w:rsidR="00B11AEF" w:rsidRPr="004F78C4" w:rsidRDefault="00B11AEF" w:rsidP="00B11AEF">
            <w:pPr>
              <w:ind w:firstLine="0"/>
              <w:jc w:val="center"/>
              <w:rPr>
                <w:rFonts w:eastAsiaTheme="minorHAnsi" w:cs="Calibri"/>
                <w:color w:val="000000"/>
                <w:sz w:val="20"/>
                <w:szCs w:val="20"/>
              </w:rPr>
            </w:pPr>
            <w:r w:rsidRPr="004F78C4">
              <w:rPr>
                <w:rFonts w:eastAsiaTheme="minorHAnsi" w:cs="Calibri"/>
                <w:color w:val="000000"/>
                <w:sz w:val="20"/>
                <w:szCs w:val="20"/>
              </w:rPr>
              <w:t>37.4</w:t>
            </w:r>
          </w:p>
        </w:tc>
        <w:tc>
          <w:tcPr>
            <w:tcW w:w="667" w:type="pct"/>
            <w:vAlign w:val="center"/>
          </w:tcPr>
          <w:p w14:paraId="304B2223" w14:textId="77777777" w:rsidR="00B11AEF" w:rsidRPr="004F78C4" w:rsidRDefault="00B11AEF" w:rsidP="00B11AEF">
            <w:pPr>
              <w:ind w:firstLine="0"/>
              <w:jc w:val="center"/>
              <w:rPr>
                <w:rFonts w:eastAsiaTheme="minorHAnsi" w:cs="Calibri"/>
                <w:color w:val="000000"/>
                <w:sz w:val="20"/>
                <w:szCs w:val="20"/>
              </w:rPr>
            </w:pPr>
            <w:r w:rsidRPr="004F78C4">
              <w:rPr>
                <w:rFonts w:eastAsiaTheme="minorHAnsi" w:cs="Calibri"/>
                <w:color w:val="000000"/>
                <w:sz w:val="20"/>
                <w:szCs w:val="20"/>
              </w:rPr>
              <w:t>34.4</w:t>
            </w:r>
          </w:p>
        </w:tc>
      </w:tr>
      <w:tr w:rsidR="00B11AEF" w:rsidRPr="004F78C4" w14:paraId="27A5977F" w14:textId="77777777" w:rsidTr="00B11AEF">
        <w:tblPrEx>
          <w:tblCellMar>
            <w:left w:w="30" w:type="dxa"/>
            <w:right w:w="30" w:type="dxa"/>
          </w:tblCellMar>
        </w:tblPrEx>
        <w:trPr>
          <w:trHeight w:val="20"/>
        </w:trPr>
        <w:tc>
          <w:tcPr>
            <w:tcW w:w="2219" w:type="pct"/>
            <w:tcBorders>
              <w:top w:val="single" w:sz="6" w:space="0" w:color="auto"/>
              <w:bottom w:val="single" w:sz="6" w:space="0" w:color="auto"/>
              <w:right w:val="single" w:sz="4" w:space="0" w:color="auto"/>
            </w:tcBorders>
            <w:shd w:val="solid" w:color="FFFFFF" w:fill="auto"/>
            <w:tcMar>
              <w:left w:w="57" w:type="dxa"/>
              <w:right w:w="85" w:type="dxa"/>
            </w:tcMar>
            <w:vAlign w:val="center"/>
          </w:tcPr>
          <w:p w14:paraId="615103C6" w14:textId="77777777" w:rsidR="00B11AEF" w:rsidRPr="004F78C4" w:rsidRDefault="00B11AEF" w:rsidP="00B11AEF">
            <w:pPr>
              <w:ind w:firstLine="0"/>
              <w:jc w:val="left"/>
              <w:rPr>
                <w:sz w:val="20"/>
                <w:szCs w:val="20"/>
              </w:rPr>
            </w:pPr>
            <w:r w:rsidRPr="004F78C4">
              <w:rPr>
                <w:rFonts w:cs="Arial"/>
                <w:sz w:val="20"/>
                <w:szCs w:val="20"/>
              </w:rPr>
              <w:t>այդ</w:t>
            </w:r>
            <w:r w:rsidRPr="004F78C4">
              <w:rPr>
                <w:sz w:val="20"/>
                <w:szCs w:val="20"/>
              </w:rPr>
              <w:t xml:space="preserve"> </w:t>
            </w:r>
            <w:r w:rsidRPr="004F78C4">
              <w:rPr>
                <w:rFonts w:cs="Arial"/>
                <w:sz w:val="20"/>
                <w:szCs w:val="20"/>
              </w:rPr>
              <w:t>թվում</w:t>
            </w:r>
            <w:r w:rsidRPr="004F78C4">
              <w:rPr>
                <w:sz w:val="20"/>
                <w:szCs w:val="20"/>
              </w:rPr>
              <w:t>`</w:t>
            </w:r>
          </w:p>
        </w:tc>
        <w:tc>
          <w:tcPr>
            <w:tcW w:w="764" w:type="pct"/>
            <w:tcBorders>
              <w:top w:val="single" w:sz="4" w:space="0" w:color="auto"/>
              <w:left w:val="single" w:sz="4" w:space="0" w:color="auto"/>
              <w:bottom w:val="single" w:sz="4" w:space="0" w:color="auto"/>
              <w:right w:val="single" w:sz="4" w:space="0" w:color="auto"/>
            </w:tcBorders>
            <w:shd w:val="solid" w:color="FFFFFF" w:fill="auto"/>
            <w:tcMar>
              <w:left w:w="57" w:type="dxa"/>
              <w:right w:w="85" w:type="dxa"/>
            </w:tcMar>
            <w:vAlign w:val="center"/>
          </w:tcPr>
          <w:p w14:paraId="7C0AACCD" w14:textId="77777777" w:rsidR="00B11AEF" w:rsidRPr="004F78C4" w:rsidRDefault="00B11AEF" w:rsidP="00B11AEF">
            <w:pPr>
              <w:ind w:firstLine="0"/>
              <w:jc w:val="center"/>
              <w:rPr>
                <w:sz w:val="20"/>
                <w:szCs w:val="20"/>
                <w:lang w:val="hy-AM"/>
              </w:rPr>
            </w:pPr>
          </w:p>
        </w:tc>
        <w:tc>
          <w:tcPr>
            <w:tcW w:w="675" w:type="pct"/>
            <w:tcBorders>
              <w:top w:val="single" w:sz="4" w:space="0" w:color="auto"/>
              <w:left w:val="single" w:sz="4" w:space="0" w:color="auto"/>
              <w:bottom w:val="single" w:sz="4" w:space="0" w:color="auto"/>
              <w:right w:val="single" w:sz="4" w:space="0" w:color="auto"/>
            </w:tcBorders>
            <w:shd w:val="solid" w:color="FFFFFF" w:fill="auto"/>
            <w:tcMar>
              <w:left w:w="57" w:type="dxa"/>
              <w:right w:w="85" w:type="dxa"/>
            </w:tcMar>
            <w:vAlign w:val="center"/>
          </w:tcPr>
          <w:p w14:paraId="40942790" w14:textId="77777777" w:rsidR="00B11AEF" w:rsidRPr="004F78C4" w:rsidRDefault="00B11AEF" w:rsidP="00B11AEF">
            <w:pPr>
              <w:ind w:firstLine="0"/>
              <w:jc w:val="center"/>
              <w:rPr>
                <w:sz w:val="20"/>
                <w:szCs w:val="20"/>
                <w:lang w:val="hy-AM"/>
              </w:rPr>
            </w:pPr>
          </w:p>
        </w:tc>
        <w:tc>
          <w:tcPr>
            <w:tcW w:w="675" w:type="pct"/>
            <w:tcBorders>
              <w:top w:val="single" w:sz="4" w:space="0" w:color="auto"/>
              <w:left w:val="single" w:sz="4" w:space="0" w:color="auto"/>
              <w:bottom w:val="single" w:sz="4" w:space="0" w:color="auto"/>
              <w:right w:val="single" w:sz="4" w:space="0" w:color="auto"/>
            </w:tcBorders>
            <w:shd w:val="solid" w:color="FFFFFF" w:fill="auto"/>
            <w:vAlign w:val="center"/>
          </w:tcPr>
          <w:p w14:paraId="0EBE9928" w14:textId="77777777" w:rsidR="00B11AEF" w:rsidRPr="004F78C4" w:rsidRDefault="00B11AEF" w:rsidP="00B11AEF">
            <w:pPr>
              <w:ind w:firstLine="0"/>
              <w:jc w:val="center"/>
              <w:rPr>
                <w:sz w:val="20"/>
                <w:szCs w:val="20"/>
                <w:lang w:val="hy-AM"/>
              </w:rPr>
            </w:pPr>
          </w:p>
        </w:tc>
        <w:tc>
          <w:tcPr>
            <w:tcW w:w="667" w:type="pct"/>
            <w:tcBorders>
              <w:top w:val="single" w:sz="4" w:space="0" w:color="auto"/>
              <w:left w:val="single" w:sz="4" w:space="0" w:color="auto"/>
              <w:bottom w:val="single" w:sz="4" w:space="0" w:color="auto"/>
              <w:right w:val="double" w:sz="4" w:space="0" w:color="auto"/>
            </w:tcBorders>
            <w:shd w:val="solid" w:color="FFFFFF" w:fill="auto"/>
            <w:vAlign w:val="center"/>
          </w:tcPr>
          <w:p w14:paraId="41063ED7" w14:textId="77777777" w:rsidR="00B11AEF" w:rsidRPr="004F78C4" w:rsidRDefault="00B11AEF" w:rsidP="00B11AEF">
            <w:pPr>
              <w:ind w:firstLine="0"/>
              <w:jc w:val="center"/>
              <w:rPr>
                <w:sz w:val="20"/>
                <w:szCs w:val="20"/>
                <w:lang w:val="hy-AM"/>
              </w:rPr>
            </w:pPr>
          </w:p>
        </w:tc>
      </w:tr>
      <w:tr w:rsidR="00B11AEF" w:rsidRPr="004F78C4" w14:paraId="7CB3DDD2" w14:textId="77777777" w:rsidTr="00B11AEF">
        <w:tblPrEx>
          <w:tblCellMar>
            <w:left w:w="30" w:type="dxa"/>
            <w:right w:w="30" w:type="dxa"/>
          </w:tblCellMar>
        </w:tblPrEx>
        <w:trPr>
          <w:trHeight w:val="20"/>
        </w:trPr>
        <w:tc>
          <w:tcPr>
            <w:tcW w:w="2219" w:type="pct"/>
            <w:tcBorders>
              <w:top w:val="single" w:sz="6" w:space="0" w:color="auto"/>
              <w:right w:val="single" w:sz="4" w:space="0" w:color="auto"/>
            </w:tcBorders>
            <w:shd w:val="clear" w:color="auto" w:fill="C6D9F1" w:themeFill="text2" w:themeFillTint="33"/>
            <w:tcMar>
              <w:left w:w="57" w:type="dxa"/>
              <w:right w:w="85" w:type="dxa"/>
            </w:tcMar>
            <w:vAlign w:val="center"/>
          </w:tcPr>
          <w:p w14:paraId="16B1B15D" w14:textId="77777777" w:rsidR="00B11AEF" w:rsidRPr="004F78C4" w:rsidRDefault="00B11AEF" w:rsidP="00B11AEF">
            <w:pPr>
              <w:ind w:firstLine="0"/>
              <w:jc w:val="left"/>
              <w:rPr>
                <w:b/>
                <w:sz w:val="20"/>
                <w:szCs w:val="20"/>
                <w:lang w:val="hy-AM"/>
              </w:rPr>
            </w:pPr>
            <w:r w:rsidRPr="004F78C4">
              <w:rPr>
                <w:b/>
                <w:sz w:val="20"/>
                <w:szCs w:val="20"/>
                <w:lang w:val="hy-AM"/>
              </w:rPr>
              <w:t xml:space="preserve">1. </w:t>
            </w:r>
            <w:r w:rsidRPr="004F78C4">
              <w:rPr>
                <w:rFonts w:cs="Arial"/>
                <w:b/>
                <w:sz w:val="20"/>
                <w:szCs w:val="20"/>
                <w:lang w:val="hy-AM"/>
              </w:rPr>
              <w:t>ԿՐԹՈՒԹՅՈՒՆ</w:t>
            </w:r>
            <w:r>
              <w:rPr>
                <w:rStyle w:val="FootnoteReference"/>
                <w:rFonts w:cs="Arial"/>
                <w:b/>
                <w:sz w:val="20"/>
                <w:szCs w:val="20"/>
                <w:lang w:val="hy-AM"/>
              </w:rPr>
              <w:footnoteReference w:id="32"/>
            </w:r>
          </w:p>
        </w:tc>
        <w:tc>
          <w:tcPr>
            <w:tcW w:w="764" w:type="pct"/>
            <w:tcBorders>
              <w:top w:val="single" w:sz="4" w:space="0" w:color="auto"/>
              <w:left w:val="single" w:sz="4" w:space="0" w:color="auto"/>
              <w:bottom w:val="single" w:sz="4" w:space="0" w:color="auto"/>
              <w:right w:val="single" w:sz="4" w:space="0" w:color="auto"/>
            </w:tcBorders>
            <w:shd w:val="clear" w:color="auto" w:fill="C6D9F1" w:themeFill="text2" w:themeFillTint="33"/>
            <w:tcMar>
              <w:left w:w="57" w:type="dxa"/>
              <w:right w:w="85" w:type="dxa"/>
            </w:tcMar>
          </w:tcPr>
          <w:p w14:paraId="39EE088A" w14:textId="77777777" w:rsidR="00B11AEF" w:rsidRPr="004F78C4" w:rsidRDefault="00B11AEF" w:rsidP="00B11AEF">
            <w:pPr>
              <w:ind w:firstLine="0"/>
              <w:jc w:val="center"/>
              <w:rPr>
                <w:b/>
                <w:sz w:val="20"/>
                <w:szCs w:val="20"/>
              </w:rPr>
            </w:pPr>
            <w:r w:rsidRPr="004F78C4">
              <w:rPr>
                <w:b/>
                <w:sz w:val="20"/>
                <w:szCs w:val="20"/>
              </w:rPr>
              <w:t>153,593.3</w:t>
            </w:r>
          </w:p>
        </w:tc>
        <w:tc>
          <w:tcPr>
            <w:tcW w:w="675" w:type="pct"/>
            <w:tcBorders>
              <w:top w:val="single" w:sz="4" w:space="0" w:color="auto"/>
              <w:left w:val="single" w:sz="4" w:space="0" w:color="auto"/>
              <w:bottom w:val="single" w:sz="4" w:space="0" w:color="auto"/>
              <w:right w:val="single" w:sz="4" w:space="0" w:color="auto"/>
            </w:tcBorders>
            <w:shd w:val="clear" w:color="auto" w:fill="C6D9F1" w:themeFill="text2" w:themeFillTint="33"/>
            <w:tcMar>
              <w:left w:w="57" w:type="dxa"/>
              <w:right w:w="85" w:type="dxa"/>
            </w:tcMar>
          </w:tcPr>
          <w:p w14:paraId="7BCA621B" w14:textId="77777777" w:rsidR="00B11AEF" w:rsidRPr="004F78C4" w:rsidRDefault="00B11AEF" w:rsidP="00B11AEF">
            <w:pPr>
              <w:ind w:firstLine="0"/>
              <w:jc w:val="center"/>
              <w:rPr>
                <w:b/>
                <w:sz w:val="20"/>
                <w:szCs w:val="20"/>
              </w:rPr>
            </w:pPr>
            <w:r w:rsidRPr="004F78C4">
              <w:rPr>
                <w:b/>
                <w:sz w:val="20"/>
                <w:szCs w:val="20"/>
              </w:rPr>
              <w:t>154,625.8</w:t>
            </w:r>
          </w:p>
        </w:tc>
        <w:tc>
          <w:tcPr>
            <w:tcW w:w="675"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1E22AD0E" w14:textId="77777777" w:rsidR="00B11AEF" w:rsidRPr="004F78C4" w:rsidRDefault="00B11AEF" w:rsidP="00B11AEF">
            <w:pPr>
              <w:ind w:firstLine="0"/>
              <w:jc w:val="center"/>
              <w:rPr>
                <w:b/>
                <w:sz w:val="20"/>
                <w:szCs w:val="20"/>
              </w:rPr>
            </w:pPr>
            <w:r w:rsidRPr="004F78C4">
              <w:rPr>
                <w:b/>
                <w:sz w:val="20"/>
                <w:szCs w:val="20"/>
              </w:rPr>
              <w:t>149,195.2</w:t>
            </w:r>
          </w:p>
        </w:tc>
        <w:tc>
          <w:tcPr>
            <w:tcW w:w="667" w:type="pct"/>
            <w:tcBorders>
              <w:top w:val="single" w:sz="4" w:space="0" w:color="auto"/>
              <w:left w:val="single" w:sz="4" w:space="0" w:color="auto"/>
              <w:bottom w:val="single" w:sz="4" w:space="0" w:color="auto"/>
              <w:right w:val="double" w:sz="4" w:space="0" w:color="auto"/>
            </w:tcBorders>
            <w:shd w:val="clear" w:color="auto" w:fill="C6D9F1" w:themeFill="text2" w:themeFillTint="33"/>
          </w:tcPr>
          <w:p w14:paraId="3355C6AE" w14:textId="77777777" w:rsidR="00B11AEF" w:rsidRPr="004F78C4" w:rsidRDefault="00B11AEF" w:rsidP="00B11AEF">
            <w:pPr>
              <w:ind w:firstLine="0"/>
              <w:jc w:val="center"/>
              <w:rPr>
                <w:b/>
                <w:sz w:val="20"/>
                <w:szCs w:val="20"/>
              </w:rPr>
            </w:pPr>
            <w:r w:rsidRPr="004F78C4">
              <w:rPr>
                <w:b/>
                <w:sz w:val="20"/>
                <w:szCs w:val="20"/>
              </w:rPr>
              <w:t>148,648.9</w:t>
            </w:r>
          </w:p>
        </w:tc>
      </w:tr>
      <w:tr w:rsidR="00B11AEF" w:rsidRPr="004F78C4" w14:paraId="75BF9999" w14:textId="77777777" w:rsidTr="00B11AEF">
        <w:trPr>
          <w:trHeight w:val="20"/>
        </w:trPr>
        <w:tc>
          <w:tcPr>
            <w:tcW w:w="2219" w:type="pct"/>
            <w:shd w:val="clear" w:color="auto" w:fill="FFFFFF"/>
            <w:tcMar>
              <w:left w:w="57" w:type="dxa"/>
              <w:right w:w="85" w:type="dxa"/>
            </w:tcMar>
            <w:vAlign w:val="center"/>
          </w:tcPr>
          <w:p w14:paraId="1B51AE9D" w14:textId="77777777" w:rsidR="00B11AEF" w:rsidRPr="004F78C4" w:rsidRDefault="00B11AEF" w:rsidP="00B11AEF">
            <w:pPr>
              <w:ind w:firstLine="0"/>
              <w:jc w:val="left"/>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4" w:type="pct"/>
            <w:tcBorders>
              <w:top w:val="single" w:sz="4" w:space="0" w:color="auto"/>
            </w:tcBorders>
            <w:shd w:val="clear" w:color="auto" w:fill="FFFFFF"/>
            <w:tcMar>
              <w:left w:w="57" w:type="dxa"/>
              <w:right w:w="85" w:type="dxa"/>
            </w:tcMar>
          </w:tcPr>
          <w:p w14:paraId="27A4711D" w14:textId="77777777" w:rsidR="00B11AEF" w:rsidRPr="004F78C4" w:rsidRDefault="00B11AEF" w:rsidP="00B11AEF">
            <w:pPr>
              <w:ind w:firstLine="0"/>
              <w:jc w:val="center"/>
              <w:rPr>
                <w:sz w:val="20"/>
                <w:szCs w:val="20"/>
              </w:rPr>
            </w:pPr>
            <w:r w:rsidRPr="004F78C4">
              <w:rPr>
                <w:sz w:val="20"/>
                <w:szCs w:val="20"/>
              </w:rPr>
              <w:t>2.40</w:t>
            </w:r>
          </w:p>
        </w:tc>
        <w:tc>
          <w:tcPr>
            <w:tcW w:w="675" w:type="pct"/>
            <w:tcBorders>
              <w:top w:val="single" w:sz="4" w:space="0" w:color="auto"/>
            </w:tcBorders>
            <w:shd w:val="clear" w:color="auto" w:fill="FFFFFF"/>
            <w:tcMar>
              <w:left w:w="57" w:type="dxa"/>
              <w:right w:w="85" w:type="dxa"/>
            </w:tcMar>
          </w:tcPr>
          <w:p w14:paraId="6A94223A" w14:textId="77777777" w:rsidR="00B11AEF" w:rsidRPr="004F78C4" w:rsidRDefault="00B11AEF" w:rsidP="00B11AEF">
            <w:pPr>
              <w:ind w:firstLine="0"/>
              <w:jc w:val="center"/>
              <w:rPr>
                <w:sz w:val="20"/>
                <w:szCs w:val="20"/>
              </w:rPr>
            </w:pPr>
            <w:r w:rsidRPr="004F78C4">
              <w:rPr>
                <w:sz w:val="20"/>
                <w:szCs w:val="20"/>
              </w:rPr>
              <w:t>2.04</w:t>
            </w:r>
          </w:p>
        </w:tc>
        <w:tc>
          <w:tcPr>
            <w:tcW w:w="675" w:type="pct"/>
            <w:tcBorders>
              <w:top w:val="single" w:sz="4" w:space="0" w:color="auto"/>
            </w:tcBorders>
            <w:shd w:val="clear" w:color="auto" w:fill="FFFFFF"/>
          </w:tcPr>
          <w:p w14:paraId="4FF1E9DB" w14:textId="77777777" w:rsidR="00B11AEF" w:rsidRPr="004F78C4" w:rsidRDefault="00B11AEF" w:rsidP="00B11AEF">
            <w:pPr>
              <w:ind w:firstLine="0"/>
              <w:jc w:val="center"/>
              <w:rPr>
                <w:sz w:val="20"/>
                <w:szCs w:val="20"/>
              </w:rPr>
            </w:pPr>
            <w:r w:rsidRPr="004F78C4">
              <w:rPr>
                <w:sz w:val="20"/>
                <w:szCs w:val="20"/>
              </w:rPr>
              <w:t>1.83</w:t>
            </w:r>
          </w:p>
        </w:tc>
        <w:tc>
          <w:tcPr>
            <w:tcW w:w="667" w:type="pct"/>
            <w:tcBorders>
              <w:top w:val="single" w:sz="4" w:space="0" w:color="auto"/>
            </w:tcBorders>
            <w:shd w:val="clear" w:color="auto" w:fill="FFFFFF"/>
          </w:tcPr>
          <w:p w14:paraId="0EA547C9" w14:textId="77777777" w:rsidR="00B11AEF" w:rsidRPr="004F78C4" w:rsidRDefault="00B11AEF" w:rsidP="00B11AEF">
            <w:pPr>
              <w:ind w:firstLine="0"/>
              <w:jc w:val="center"/>
              <w:rPr>
                <w:sz w:val="20"/>
                <w:szCs w:val="20"/>
              </w:rPr>
            </w:pPr>
            <w:r w:rsidRPr="004F78C4">
              <w:rPr>
                <w:sz w:val="20"/>
                <w:szCs w:val="20"/>
              </w:rPr>
              <w:t>1.68</w:t>
            </w:r>
          </w:p>
        </w:tc>
      </w:tr>
      <w:tr w:rsidR="00B11AEF" w:rsidRPr="004F78C4" w14:paraId="6F892039" w14:textId="77777777" w:rsidTr="00B11AEF">
        <w:trPr>
          <w:trHeight w:val="20"/>
        </w:trPr>
        <w:tc>
          <w:tcPr>
            <w:tcW w:w="2219" w:type="pct"/>
            <w:shd w:val="clear" w:color="auto" w:fill="FFFFFF"/>
            <w:tcMar>
              <w:left w:w="57" w:type="dxa"/>
              <w:right w:w="85" w:type="dxa"/>
            </w:tcMar>
            <w:vAlign w:val="center"/>
          </w:tcPr>
          <w:p w14:paraId="52746988" w14:textId="77777777" w:rsidR="00B11AEF" w:rsidRPr="004F78C4" w:rsidRDefault="00B11AEF" w:rsidP="00B11AEF">
            <w:pPr>
              <w:ind w:firstLine="0"/>
              <w:jc w:val="left"/>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4" w:type="pct"/>
            <w:shd w:val="clear" w:color="auto" w:fill="FFFFFF"/>
            <w:tcMar>
              <w:left w:w="57" w:type="dxa"/>
              <w:right w:w="85" w:type="dxa"/>
            </w:tcMar>
            <w:vAlign w:val="center"/>
          </w:tcPr>
          <w:p w14:paraId="5701766C" w14:textId="77777777" w:rsidR="00B11AEF" w:rsidRPr="004F78C4" w:rsidRDefault="00B11AEF" w:rsidP="00B11AEF">
            <w:pPr>
              <w:ind w:firstLine="0"/>
              <w:jc w:val="center"/>
              <w:rPr>
                <w:sz w:val="20"/>
                <w:szCs w:val="20"/>
              </w:rPr>
            </w:pPr>
            <w:r w:rsidRPr="004F78C4">
              <w:rPr>
                <w:sz w:val="20"/>
                <w:szCs w:val="20"/>
              </w:rPr>
              <w:t>8.3</w:t>
            </w:r>
          </w:p>
        </w:tc>
        <w:tc>
          <w:tcPr>
            <w:tcW w:w="675" w:type="pct"/>
            <w:shd w:val="clear" w:color="auto" w:fill="FFFFFF"/>
            <w:tcMar>
              <w:left w:w="57" w:type="dxa"/>
              <w:right w:w="85" w:type="dxa"/>
            </w:tcMar>
            <w:vAlign w:val="center"/>
          </w:tcPr>
          <w:p w14:paraId="6E28FC47" w14:textId="77777777" w:rsidR="00B11AEF" w:rsidRPr="004F78C4" w:rsidRDefault="00B11AEF" w:rsidP="00B11AEF">
            <w:pPr>
              <w:ind w:firstLine="0"/>
              <w:jc w:val="center"/>
              <w:rPr>
                <w:sz w:val="20"/>
                <w:szCs w:val="20"/>
              </w:rPr>
            </w:pPr>
            <w:r w:rsidRPr="004F78C4">
              <w:rPr>
                <w:sz w:val="20"/>
                <w:szCs w:val="20"/>
              </w:rPr>
              <w:t>7.7</w:t>
            </w:r>
          </w:p>
        </w:tc>
        <w:tc>
          <w:tcPr>
            <w:tcW w:w="675" w:type="pct"/>
            <w:shd w:val="clear" w:color="auto" w:fill="FFFFFF"/>
            <w:vAlign w:val="center"/>
          </w:tcPr>
          <w:p w14:paraId="356310FA" w14:textId="77777777" w:rsidR="00B11AEF" w:rsidRPr="004F78C4" w:rsidRDefault="00B11AEF" w:rsidP="00B11AEF">
            <w:pPr>
              <w:ind w:firstLine="0"/>
              <w:jc w:val="center"/>
              <w:rPr>
                <w:sz w:val="20"/>
                <w:szCs w:val="20"/>
              </w:rPr>
            </w:pPr>
            <w:r w:rsidRPr="004F78C4">
              <w:rPr>
                <w:sz w:val="20"/>
                <w:szCs w:val="20"/>
              </w:rPr>
              <w:t>7.0</w:t>
            </w:r>
          </w:p>
        </w:tc>
        <w:tc>
          <w:tcPr>
            <w:tcW w:w="667" w:type="pct"/>
            <w:shd w:val="clear" w:color="auto" w:fill="FFFFFF"/>
            <w:vAlign w:val="center"/>
          </w:tcPr>
          <w:p w14:paraId="348F10ED" w14:textId="77777777" w:rsidR="00B11AEF" w:rsidRPr="004F78C4" w:rsidRDefault="00B11AEF" w:rsidP="00B11AEF">
            <w:pPr>
              <w:ind w:firstLine="0"/>
              <w:jc w:val="center"/>
              <w:rPr>
                <w:sz w:val="20"/>
                <w:szCs w:val="20"/>
              </w:rPr>
            </w:pPr>
            <w:r w:rsidRPr="004F78C4">
              <w:rPr>
                <w:sz w:val="20"/>
                <w:szCs w:val="20"/>
              </w:rPr>
              <w:t>6.4</w:t>
            </w:r>
          </w:p>
        </w:tc>
      </w:tr>
      <w:tr w:rsidR="00B11AEF" w:rsidRPr="004F78C4" w14:paraId="31590FBB" w14:textId="77777777" w:rsidTr="00B11AEF">
        <w:tblPrEx>
          <w:tblCellMar>
            <w:left w:w="30" w:type="dxa"/>
            <w:right w:w="30" w:type="dxa"/>
          </w:tblCellMar>
        </w:tblPrEx>
        <w:trPr>
          <w:trHeight w:val="20"/>
        </w:trPr>
        <w:tc>
          <w:tcPr>
            <w:tcW w:w="2219" w:type="pct"/>
            <w:shd w:val="clear" w:color="auto" w:fill="C6D9F1" w:themeFill="text2" w:themeFillTint="33"/>
            <w:tcMar>
              <w:left w:w="57" w:type="dxa"/>
              <w:right w:w="85" w:type="dxa"/>
            </w:tcMar>
            <w:vAlign w:val="center"/>
          </w:tcPr>
          <w:p w14:paraId="7AA61986" w14:textId="77777777" w:rsidR="00B11AEF" w:rsidRPr="004F78C4" w:rsidRDefault="00B11AEF" w:rsidP="00B11AEF">
            <w:pPr>
              <w:ind w:firstLine="0"/>
              <w:jc w:val="left"/>
              <w:rPr>
                <w:b/>
                <w:sz w:val="20"/>
                <w:szCs w:val="20"/>
                <w:lang w:val="hy-AM"/>
              </w:rPr>
            </w:pPr>
            <w:bookmarkStart w:id="536" w:name="_Hlk76258722"/>
            <w:r w:rsidRPr="004F78C4">
              <w:rPr>
                <w:b/>
                <w:sz w:val="20"/>
                <w:szCs w:val="20"/>
                <w:lang w:val="hy-AM"/>
              </w:rPr>
              <w:t xml:space="preserve">2. </w:t>
            </w:r>
            <w:r w:rsidRPr="004F78C4">
              <w:rPr>
                <w:rFonts w:cs="Arial"/>
                <w:b/>
                <w:sz w:val="20"/>
                <w:szCs w:val="20"/>
                <w:lang w:val="hy-AM"/>
              </w:rPr>
              <w:t>ՍՈՑԻԱԼԱԿԱՆ</w:t>
            </w:r>
            <w:r w:rsidRPr="004F78C4">
              <w:rPr>
                <w:b/>
                <w:sz w:val="20"/>
                <w:szCs w:val="20"/>
                <w:lang w:val="hy-AM"/>
              </w:rPr>
              <w:t xml:space="preserve"> </w:t>
            </w:r>
            <w:r w:rsidRPr="004F78C4">
              <w:rPr>
                <w:rFonts w:cs="Arial"/>
                <w:b/>
                <w:sz w:val="20"/>
                <w:szCs w:val="20"/>
                <w:lang w:val="hy-AM"/>
              </w:rPr>
              <w:t>ՊԱՇՏՊԱՆՈՒԹՅՈՒՆ</w:t>
            </w:r>
          </w:p>
        </w:tc>
        <w:tc>
          <w:tcPr>
            <w:tcW w:w="764" w:type="pct"/>
            <w:shd w:val="clear" w:color="auto" w:fill="C6D9F1" w:themeFill="text2" w:themeFillTint="33"/>
            <w:tcMar>
              <w:left w:w="57" w:type="dxa"/>
              <w:right w:w="85" w:type="dxa"/>
            </w:tcMar>
            <w:vAlign w:val="center"/>
          </w:tcPr>
          <w:p w14:paraId="512E1C65" w14:textId="77777777" w:rsidR="00B11AEF" w:rsidRPr="004F78C4" w:rsidRDefault="00B11AEF" w:rsidP="00B11AEF">
            <w:pPr>
              <w:ind w:firstLine="0"/>
              <w:jc w:val="center"/>
              <w:rPr>
                <w:rFonts w:cs="Arial"/>
                <w:b/>
                <w:bCs/>
                <w:sz w:val="20"/>
                <w:szCs w:val="20"/>
              </w:rPr>
            </w:pPr>
            <w:r w:rsidRPr="004F78C4">
              <w:rPr>
                <w:rFonts w:cs="Arial"/>
                <w:b/>
                <w:bCs/>
                <w:sz w:val="20"/>
                <w:szCs w:val="20"/>
              </w:rPr>
              <w:t>504,875.9</w:t>
            </w:r>
          </w:p>
        </w:tc>
        <w:tc>
          <w:tcPr>
            <w:tcW w:w="675" w:type="pct"/>
            <w:shd w:val="clear" w:color="auto" w:fill="C6D9F1" w:themeFill="text2" w:themeFillTint="33"/>
            <w:tcMar>
              <w:left w:w="57" w:type="dxa"/>
              <w:right w:w="85" w:type="dxa"/>
            </w:tcMar>
            <w:vAlign w:val="center"/>
          </w:tcPr>
          <w:p w14:paraId="71042C20" w14:textId="77777777" w:rsidR="00B11AEF" w:rsidRPr="004F78C4" w:rsidRDefault="00B11AEF" w:rsidP="00B11AEF">
            <w:pPr>
              <w:ind w:firstLine="0"/>
              <w:jc w:val="center"/>
              <w:rPr>
                <w:rFonts w:cs="Arial"/>
                <w:b/>
                <w:bCs/>
                <w:sz w:val="20"/>
                <w:szCs w:val="20"/>
              </w:rPr>
            </w:pPr>
            <w:r w:rsidRPr="004F78C4">
              <w:rPr>
                <w:rFonts w:cs="Arial"/>
                <w:b/>
                <w:bCs/>
                <w:sz w:val="20"/>
                <w:szCs w:val="20"/>
              </w:rPr>
              <w:t>473,206.0</w:t>
            </w:r>
          </w:p>
        </w:tc>
        <w:tc>
          <w:tcPr>
            <w:tcW w:w="675" w:type="pct"/>
            <w:shd w:val="clear" w:color="auto" w:fill="C6D9F1" w:themeFill="text2" w:themeFillTint="33"/>
            <w:vAlign w:val="center"/>
          </w:tcPr>
          <w:p w14:paraId="481DB4DF" w14:textId="77777777" w:rsidR="00B11AEF" w:rsidRPr="004F78C4" w:rsidRDefault="00B11AEF" w:rsidP="00B11AEF">
            <w:pPr>
              <w:ind w:firstLine="0"/>
              <w:jc w:val="center"/>
              <w:rPr>
                <w:rFonts w:cs="Arial"/>
                <w:b/>
                <w:bCs/>
                <w:sz w:val="20"/>
                <w:szCs w:val="20"/>
              </w:rPr>
            </w:pPr>
            <w:r w:rsidRPr="004F78C4">
              <w:rPr>
                <w:rFonts w:cs="Arial"/>
                <w:b/>
                <w:bCs/>
                <w:sz w:val="20"/>
                <w:szCs w:val="20"/>
              </w:rPr>
              <w:t>503,914.5</w:t>
            </w:r>
          </w:p>
        </w:tc>
        <w:tc>
          <w:tcPr>
            <w:tcW w:w="667" w:type="pct"/>
            <w:shd w:val="clear" w:color="auto" w:fill="C6D9F1" w:themeFill="text2" w:themeFillTint="33"/>
            <w:vAlign w:val="center"/>
          </w:tcPr>
          <w:p w14:paraId="36B0A28F" w14:textId="77777777" w:rsidR="00B11AEF" w:rsidRPr="004F78C4" w:rsidRDefault="00B11AEF" w:rsidP="00B11AEF">
            <w:pPr>
              <w:ind w:firstLine="0"/>
              <w:jc w:val="center"/>
              <w:rPr>
                <w:rFonts w:cs="Arial"/>
                <w:b/>
                <w:bCs/>
                <w:sz w:val="20"/>
                <w:szCs w:val="20"/>
              </w:rPr>
            </w:pPr>
            <w:r w:rsidRPr="004F78C4">
              <w:rPr>
                <w:rFonts w:cs="Arial"/>
                <w:b/>
                <w:bCs/>
                <w:sz w:val="20"/>
                <w:szCs w:val="20"/>
              </w:rPr>
              <w:t>502,282.7</w:t>
            </w:r>
          </w:p>
        </w:tc>
      </w:tr>
      <w:bookmarkEnd w:id="536"/>
      <w:tr w:rsidR="00B11AEF" w:rsidRPr="004F78C4" w14:paraId="10648FC0" w14:textId="77777777" w:rsidTr="00B11AEF">
        <w:trPr>
          <w:trHeight w:val="20"/>
        </w:trPr>
        <w:tc>
          <w:tcPr>
            <w:tcW w:w="2219" w:type="pct"/>
            <w:shd w:val="clear" w:color="auto" w:fill="FFFFFF"/>
            <w:tcMar>
              <w:left w:w="57" w:type="dxa"/>
              <w:right w:w="85" w:type="dxa"/>
            </w:tcMar>
            <w:vAlign w:val="center"/>
          </w:tcPr>
          <w:p w14:paraId="40BD5339" w14:textId="77777777" w:rsidR="00B11AEF" w:rsidRPr="004F78C4" w:rsidRDefault="00B11AEF" w:rsidP="00B11AEF">
            <w:pPr>
              <w:ind w:firstLine="0"/>
              <w:jc w:val="left"/>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4" w:type="pct"/>
            <w:shd w:val="clear" w:color="auto" w:fill="FFFFFF"/>
            <w:tcMar>
              <w:left w:w="57" w:type="dxa"/>
              <w:right w:w="85" w:type="dxa"/>
            </w:tcMar>
            <w:vAlign w:val="center"/>
          </w:tcPr>
          <w:p w14:paraId="3A2E86D4" w14:textId="77777777" w:rsidR="00B11AEF" w:rsidRPr="004F78C4" w:rsidRDefault="00B11AEF" w:rsidP="00B11AEF">
            <w:pPr>
              <w:ind w:firstLine="0"/>
              <w:jc w:val="center"/>
              <w:rPr>
                <w:sz w:val="20"/>
                <w:szCs w:val="20"/>
              </w:rPr>
            </w:pPr>
            <w:r w:rsidRPr="004F78C4">
              <w:rPr>
                <w:sz w:val="20"/>
                <w:szCs w:val="20"/>
              </w:rPr>
              <w:t>7.89</w:t>
            </w:r>
          </w:p>
        </w:tc>
        <w:tc>
          <w:tcPr>
            <w:tcW w:w="675" w:type="pct"/>
            <w:shd w:val="clear" w:color="auto" w:fill="FFFFFF"/>
            <w:tcMar>
              <w:left w:w="57" w:type="dxa"/>
              <w:right w:w="85" w:type="dxa"/>
            </w:tcMar>
            <w:vAlign w:val="center"/>
          </w:tcPr>
          <w:p w14:paraId="25F733AE" w14:textId="77777777" w:rsidR="00B11AEF" w:rsidRPr="004F78C4" w:rsidRDefault="00B11AEF" w:rsidP="00B11AEF">
            <w:pPr>
              <w:ind w:firstLine="0"/>
              <w:jc w:val="center"/>
              <w:rPr>
                <w:sz w:val="20"/>
                <w:szCs w:val="20"/>
              </w:rPr>
            </w:pPr>
            <w:r w:rsidRPr="004F78C4">
              <w:rPr>
                <w:sz w:val="20"/>
                <w:szCs w:val="20"/>
              </w:rPr>
              <w:t>6.25</w:t>
            </w:r>
          </w:p>
        </w:tc>
        <w:tc>
          <w:tcPr>
            <w:tcW w:w="675" w:type="pct"/>
            <w:shd w:val="clear" w:color="auto" w:fill="FFFFFF"/>
            <w:vAlign w:val="center"/>
          </w:tcPr>
          <w:p w14:paraId="17866AB0" w14:textId="77777777" w:rsidR="00B11AEF" w:rsidRPr="004F78C4" w:rsidRDefault="00B11AEF" w:rsidP="00B11AEF">
            <w:pPr>
              <w:ind w:firstLine="0"/>
              <w:jc w:val="center"/>
              <w:rPr>
                <w:sz w:val="20"/>
                <w:szCs w:val="20"/>
              </w:rPr>
            </w:pPr>
            <w:r w:rsidRPr="004F78C4">
              <w:rPr>
                <w:sz w:val="20"/>
                <w:szCs w:val="20"/>
              </w:rPr>
              <w:t>6.17</w:t>
            </w:r>
          </w:p>
        </w:tc>
        <w:tc>
          <w:tcPr>
            <w:tcW w:w="667" w:type="pct"/>
            <w:shd w:val="clear" w:color="auto" w:fill="FFFFFF"/>
            <w:vAlign w:val="center"/>
          </w:tcPr>
          <w:p w14:paraId="1AB79890" w14:textId="77777777" w:rsidR="00B11AEF" w:rsidRPr="004F78C4" w:rsidRDefault="00B11AEF" w:rsidP="00B11AEF">
            <w:pPr>
              <w:ind w:firstLine="0"/>
              <w:jc w:val="center"/>
              <w:rPr>
                <w:sz w:val="20"/>
                <w:szCs w:val="20"/>
              </w:rPr>
            </w:pPr>
            <w:r w:rsidRPr="004F78C4">
              <w:rPr>
                <w:sz w:val="20"/>
                <w:szCs w:val="20"/>
              </w:rPr>
              <w:t>5.68</w:t>
            </w:r>
          </w:p>
        </w:tc>
      </w:tr>
      <w:tr w:rsidR="00B11AEF" w:rsidRPr="004F78C4" w14:paraId="268C8E2B" w14:textId="77777777" w:rsidTr="00B11AEF">
        <w:trPr>
          <w:trHeight w:val="20"/>
        </w:trPr>
        <w:tc>
          <w:tcPr>
            <w:tcW w:w="2219" w:type="pct"/>
            <w:shd w:val="clear" w:color="auto" w:fill="FFFFFF"/>
            <w:tcMar>
              <w:left w:w="57" w:type="dxa"/>
              <w:right w:w="85" w:type="dxa"/>
            </w:tcMar>
            <w:vAlign w:val="center"/>
          </w:tcPr>
          <w:p w14:paraId="7CEB7E81" w14:textId="77777777" w:rsidR="00B11AEF" w:rsidRPr="004F78C4" w:rsidRDefault="00B11AEF" w:rsidP="00B11AEF">
            <w:pPr>
              <w:ind w:firstLine="0"/>
              <w:jc w:val="left"/>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4" w:type="pct"/>
            <w:shd w:val="clear" w:color="auto" w:fill="FFFFFF"/>
            <w:tcMar>
              <w:left w:w="57" w:type="dxa"/>
              <w:right w:w="85" w:type="dxa"/>
            </w:tcMar>
            <w:vAlign w:val="center"/>
          </w:tcPr>
          <w:p w14:paraId="71611F2F" w14:textId="77777777" w:rsidR="00B11AEF" w:rsidRPr="004F78C4" w:rsidRDefault="00B11AEF" w:rsidP="00B11AEF">
            <w:pPr>
              <w:ind w:firstLine="0"/>
              <w:jc w:val="center"/>
              <w:rPr>
                <w:sz w:val="20"/>
                <w:szCs w:val="20"/>
              </w:rPr>
            </w:pPr>
            <w:r w:rsidRPr="004F78C4">
              <w:rPr>
                <w:sz w:val="20"/>
                <w:szCs w:val="20"/>
              </w:rPr>
              <w:t>27.3</w:t>
            </w:r>
          </w:p>
        </w:tc>
        <w:tc>
          <w:tcPr>
            <w:tcW w:w="675" w:type="pct"/>
            <w:shd w:val="clear" w:color="auto" w:fill="FFFFFF"/>
            <w:tcMar>
              <w:left w:w="57" w:type="dxa"/>
              <w:right w:w="85" w:type="dxa"/>
            </w:tcMar>
            <w:vAlign w:val="center"/>
          </w:tcPr>
          <w:p w14:paraId="35F645E3" w14:textId="77777777" w:rsidR="00B11AEF" w:rsidRPr="004F78C4" w:rsidRDefault="00B11AEF" w:rsidP="00B11AEF">
            <w:pPr>
              <w:ind w:firstLine="0"/>
              <w:jc w:val="center"/>
              <w:rPr>
                <w:sz w:val="20"/>
                <w:szCs w:val="20"/>
              </w:rPr>
            </w:pPr>
            <w:r w:rsidRPr="004F78C4">
              <w:rPr>
                <w:sz w:val="20"/>
                <w:szCs w:val="20"/>
              </w:rPr>
              <w:t>23.6</w:t>
            </w:r>
          </w:p>
        </w:tc>
        <w:tc>
          <w:tcPr>
            <w:tcW w:w="675" w:type="pct"/>
            <w:shd w:val="clear" w:color="auto" w:fill="FFFFFF"/>
            <w:vAlign w:val="center"/>
          </w:tcPr>
          <w:p w14:paraId="43E3DA06" w14:textId="77777777" w:rsidR="00B11AEF" w:rsidRPr="004F78C4" w:rsidRDefault="00B11AEF" w:rsidP="00B11AEF">
            <w:pPr>
              <w:ind w:firstLine="0"/>
              <w:jc w:val="center"/>
              <w:rPr>
                <w:sz w:val="20"/>
                <w:szCs w:val="20"/>
              </w:rPr>
            </w:pPr>
            <w:r w:rsidRPr="004F78C4">
              <w:rPr>
                <w:sz w:val="20"/>
                <w:szCs w:val="20"/>
              </w:rPr>
              <w:t>23.6</w:t>
            </w:r>
          </w:p>
        </w:tc>
        <w:tc>
          <w:tcPr>
            <w:tcW w:w="667" w:type="pct"/>
            <w:shd w:val="clear" w:color="auto" w:fill="FFFFFF"/>
            <w:vAlign w:val="center"/>
          </w:tcPr>
          <w:p w14:paraId="172FF9BD" w14:textId="77777777" w:rsidR="00B11AEF" w:rsidRPr="004F78C4" w:rsidRDefault="00B11AEF" w:rsidP="00B11AEF">
            <w:pPr>
              <w:ind w:firstLine="0"/>
              <w:jc w:val="center"/>
              <w:rPr>
                <w:sz w:val="20"/>
                <w:szCs w:val="20"/>
              </w:rPr>
            </w:pPr>
            <w:r w:rsidRPr="004F78C4">
              <w:rPr>
                <w:sz w:val="20"/>
                <w:szCs w:val="20"/>
              </w:rPr>
              <w:t>21.7</w:t>
            </w:r>
          </w:p>
        </w:tc>
      </w:tr>
      <w:tr w:rsidR="00B11AEF" w:rsidRPr="004F78C4" w14:paraId="12A9762D" w14:textId="77777777" w:rsidTr="00B11AEF">
        <w:tblPrEx>
          <w:tblCellMar>
            <w:left w:w="30" w:type="dxa"/>
            <w:right w:w="30" w:type="dxa"/>
          </w:tblCellMar>
        </w:tblPrEx>
        <w:trPr>
          <w:trHeight w:val="20"/>
        </w:trPr>
        <w:tc>
          <w:tcPr>
            <w:tcW w:w="2219" w:type="pct"/>
            <w:shd w:val="clear" w:color="auto" w:fill="C6D9F1" w:themeFill="text2" w:themeFillTint="33"/>
            <w:tcMar>
              <w:left w:w="57" w:type="dxa"/>
              <w:right w:w="85" w:type="dxa"/>
            </w:tcMar>
            <w:vAlign w:val="center"/>
          </w:tcPr>
          <w:p w14:paraId="7936DE89" w14:textId="77777777" w:rsidR="00B11AEF" w:rsidRPr="004F78C4" w:rsidRDefault="00B11AEF" w:rsidP="00B11AEF">
            <w:pPr>
              <w:ind w:firstLine="0"/>
              <w:jc w:val="left"/>
              <w:rPr>
                <w:b/>
                <w:sz w:val="20"/>
                <w:szCs w:val="20"/>
                <w:lang w:val="hy-AM"/>
              </w:rPr>
            </w:pPr>
            <w:r w:rsidRPr="004F78C4">
              <w:rPr>
                <w:b/>
                <w:sz w:val="20"/>
                <w:szCs w:val="20"/>
                <w:lang w:val="hy-AM"/>
              </w:rPr>
              <w:t xml:space="preserve">3. </w:t>
            </w:r>
            <w:r w:rsidRPr="004F78C4">
              <w:rPr>
                <w:rFonts w:cs="Arial"/>
                <w:b/>
                <w:sz w:val="20"/>
                <w:szCs w:val="20"/>
                <w:lang w:val="hy-AM"/>
              </w:rPr>
              <w:t>ԱՌՈՂՋԱՊԱՀՈՒԹՅՈՒՆ</w:t>
            </w:r>
          </w:p>
        </w:tc>
        <w:tc>
          <w:tcPr>
            <w:tcW w:w="764" w:type="pct"/>
            <w:shd w:val="clear" w:color="auto" w:fill="C6D9F1" w:themeFill="text2" w:themeFillTint="33"/>
            <w:tcMar>
              <w:left w:w="57" w:type="dxa"/>
              <w:right w:w="85" w:type="dxa"/>
            </w:tcMar>
            <w:vAlign w:val="center"/>
          </w:tcPr>
          <w:p w14:paraId="49042295" w14:textId="77777777" w:rsidR="00B11AEF" w:rsidRPr="004F78C4" w:rsidRDefault="00B11AEF" w:rsidP="00B11AEF">
            <w:pPr>
              <w:ind w:firstLine="0"/>
              <w:jc w:val="center"/>
              <w:rPr>
                <w:b/>
                <w:bCs/>
                <w:sz w:val="20"/>
                <w:szCs w:val="20"/>
              </w:rPr>
            </w:pPr>
            <w:r w:rsidRPr="004F78C4">
              <w:rPr>
                <w:b/>
                <w:bCs/>
                <w:sz w:val="20"/>
                <w:szCs w:val="20"/>
              </w:rPr>
              <w:t>117,548.5</w:t>
            </w:r>
          </w:p>
        </w:tc>
        <w:tc>
          <w:tcPr>
            <w:tcW w:w="675" w:type="pct"/>
            <w:shd w:val="clear" w:color="auto" w:fill="C6D9F1" w:themeFill="text2" w:themeFillTint="33"/>
            <w:tcMar>
              <w:left w:w="57" w:type="dxa"/>
              <w:right w:w="85" w:type="dxa"/>
            </w:tcMar>
            <w:vAlign w:val="center"/>
          </w:tcPr>
          <w:p w14:paraId="3EAF8EDD" w14:textId="77777777" w:rsidR="00B11AEF" w:rsidRPr="004F78C4" w:rsidRDefault="00B11AEF" w:rsidP="00B11AEF">
            <w:pPr>
              <w:ind w:firstLine="0"/>
              <w:jc w:val="center"/>
              <w:rPr>
                <w:b/>
                <w:bCs/>
                <w:sz w:val="20"/>
                <w:szCs w:val="20"/>
              </w:rPr>
            </w:pPr>
            <w:r w:rsidRPr="004F78C4">
              <w:rPr>
                <w:b/>
                <w:bCs/>
                <w:sz w:val="20"/>
                <w:szCs w:val="20"/>
              </w:rPr>
              <w:t>108,735.8</w:t>
            </w:r>
          </w:p>
        </w:tc>
        <w:tc>
          <w:tcPr>
            <w:tcW w:w="675" w:type="pct"/>
            <w:shd w:val="clear" w:color="auto" w:fill="C6D9F1" w:themeFill="text2" w:themeFillTint="33"/>
            <w:vAlign w:val="center"/>
          </w:tcPr>
          <w:p w14:paraId="70087ADD" w14:textId="77777777" w:rsidR="00B11AEF" w:rsidRPr="004F78C4" w:rsidRDefault="00B11AEF" w:rsidP="00B11AEF">
            <w:pPr>
              <w:ind w:firstLine="0"/>
              <w:jc w:val="center"/>
              <w:rPr>
                <w:b/>
                <w:bCs/>
                <w:sz w:val="20"/>
                <w:szCs w:val="20"/>
              </w:rPr>
            </w:pPr>
            <w:r w:rsidRPr="004F78C4">
              <w:rPr>
                <w:b/>
                <w:bCs/>
                <w:sz w:val="20"/>
                <w:szCs w:val="20"/>
              </w:rPr>
              <w:t>116,761.6</w:t>
            </w:r>
          </w:p>
        </w:tc>
        <w:tc>
          <w:tcPr>
            <w:tcW w:w="667" w:type="pct"/>
            <w:shd w:val="clear" w:color="auto" w:fill="C6D9F1" w:themeFill="text2" w:themeFillTint="33"/>
            <w:vAlign w:val="center"/>
          </w:tcPr>
          <w:p w14:paraId="105E7489" w14:textId="77777777" w:rsidR="00B11AEF" w:rsidRPr="004F78C4" w:rsidRDefault="00B11AEF" w:rsidP="00B11AEF">
            <w:pPr>
              <w:ind w:firstLine="0"/>
              <w:jc w:val="center"/>
              <w:rPr>
                <w:b/>
                <w:bCs/>
                <w:sz w:val="20"/>
                <w:szCs w:val="20"/>
              </w:rPr>
            </w:pPr>
            <w:r w:rsidRPr="004F78C4">
              <w:rPr>
                <w:b/>
                <w:bCs/>
                <w:sz w:val="20"/>
                <w:szCs w:val="20"/>
              </w:rPr>
              <w:t>114,955.9</w:t>
            </w:r>
          </w:p>
        </w:tc>
      </w:tr>
      <w:tr w:rsidR="00B11AEF" w:rsidRPr="004F78C4" w14:paraId="6A4C1488" w14:textId="77777777" w:rsidTr="00B11AEF">
        <w:trPr>
          <w:trHeight w:val="20"/>
        </w:trPr>
        <w:tc>
          <w:tcPr>
            <w:tcW w:w="2219" w:type="pct"/>
            <w:shd w:val="clear" w:color="auto" w:fill="FFFFFF"/>
            <w:tcMar>
              <w:left w:w="57" w:type="dxa"/>
              <w:right w:w="85" w:type="dxa"/>
            </w:tcMar>
            <w:vAlign w:val="center"/>
          </w:tcPr>
          <w:p w14:paraId="0A275DFD" w14:textId="77777777" w:rsidR="00B11AEF" w:rsidRPr="004F78C4" w:rsidRDefault="00B11AEF" w:rsidP="00B11AEF">
            <w:pPr>
              <w:ind w:firstLine="0"/>
              <w:jc w:val="left"/>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4" w:type="pct"/>
            <w:shd w:val="clear" w:color="auto" w:fill="FFFFFF"/>
            <w:tcMar>
              <w:left w:w="57" w:type="dxa"/>
              <w:right w:w="85" w:type="dxa"/>
            </w:tcMar>
            <w:vAlign w:val="center"/>
          </w:tcPr>
          <w:p w14:paraId="234D6AE2" w14:textId="77777777" w:rsidR="00B11AEF" w:rsidRPr="004F78C4" w:rsidRDefault="00B11AEF" w:rsidP="00B11AEF">
            <w:pPr>
              <w:ind w:firstLine="0"/>
              <w:jc w:val="center"/>
              <w:rPr>
                <w:sz w:val="20"/>
                <w:szCs w:val="20"/>
              </w:rPr>
            </w:pPr>
            <w:r w:rsidRPr="004F78C4">
              <w:rPr>
                <w:sz w:val="20"/>
                <w:szCs w:val="20"/>
              </w:rPr>
              <w:t>1.84</w:t>
            </w:r>
          </w:p>
        </w:tc>
        <w:tc>
          <w:tcPr>
            <w:tcW w:w="675" w:type="pct"/>
            <w:shd w:val="clear" w:color="auto" w:fill="FFFFFF"/>
            <w:tcMar>
              <w:left w:w="57" w:type="dxa"/>
              <w:right w:w="85" w:type="dxa"/>
            </w:tcMar>
            <w:vAlign w:val="center"/>
          </w:tcPr>
          <w:p w14:paraId="6C0A2DE0" w14:textId="77777777" w:rsidR="00B11AEF" w:rsidRPr="004F78C4" w:rsidRDefault="00B11AEF" w:rsidP="00B11AEF">
            <w:pPr>
              <w:ind w:firstLine="0"/>
              <w:jc w:val="center"/>
              <w:rPr>
                <w:sz w:val="20"/>
                <w:szCs w:val="20"/>
              </w:rPr>
            </w:pPr>
            <w:r w:rsidRPr="004F78C4">
              <w:rPr>
                <w:sz w:val="20"/>
                <w:szCs w:val="20"/>
              </w:rPr>
              <w:t>1.44</w:t>
            </w:r>
          </w:p>
        </w:tc>
        <w:tc>
          <w:tcPr>
            <w:tcW w:w="675" w:type="pct"/>
            <w:shd w:val="clear" w:color="auto" w:fill="FFFFFF"/>
            <w:vAlign w:val="center"/>
          </w:tcPr>
          <w:p w14:paraId="5D8ED90B" w14:textId="77777777" w:rsidR="00B11AEF" w:rsidRPr="004F78C4" w:rsidRDefault="00B11AEF" w:rsidP="00B11AEF">
            <w:pPr>
              <w:ind w:firstLine="0"/>
              <w:jc w:val="center"/>
              <w:rPr>
                <w:sz w:val="20"/>
                <w:szCs w:val="20"/>
              </w:rPr>
            </w:pPr>
            <w:r w:rsidRPr="004F78C4">
              <w:rPr>
                <w:sz w:val="20"/>
                <w:szCs w:val="20"/>
              </w:rPr>
              <w:t>1.43</w:t>
            </w:r>
          </w:p>
        </w:tc>
        <w:tc>
          <w:tcPr>
            <w:tcW w:w="667" w:type="pct"/>
            <w:shd w:val="clear" w:color="auto" w:fill="FFFFFF"/>
            <w:vAlign w:val="center"/>
          </w:tcPr>
          <w:p w14:paraId="4C295FC6" w14:textId="77777777" w:rsidR="00B11AEF" w:rsidRPr="004F78C4" w:rsidRDefault="00B11AEF" w:rsidP="00B11AEF">
            <w:pPr>
              <w:ind w:firstLine="0"/>
              <w:jc w:val="center"/>
              <w:rPr>
                <w:sz w:val="20"/>
                <w:szCs w:val="20"/>
              </w:rPr>
            </w:pPr>
            <w:r w:rsidRPr="004F78C4">
              <w:rPr>
                <w:sz w:val="20"/>
                <w:szCs w:val="20"/>
              </w:rPr>
              <w:t>1.30</w:t>
            </w:r>
          </w:p>
        </w:tc>
      </w:tr>
      <w:tr w:rsidR="00B11AEF" w:rsidRPr="004F78C4" w14:paraId="48B935A0" w14:textId="77777777" w:rsidTr="00B11AEF">
        <w:trPr>
          <w:trHeight w:val="426"/>
        </w:trPr>
        <w:tc>
          <w:tcPr>
            <w:tcW w:w="2219" w:type="pct"/>
            <w:shd w:val="clear" w:color="auto" w:fill="FFFFFF"/>
            <w:tcMar>
              <w:left w:w="57" w:type="dxa"/>
              <w:right w:w="85" w:type="dxa"/>
            </w:tcMar>
            <w:vAlign w:val="center"/>
          </w:tcPr>
          <w:p w14:paraId="03BC8AF0" w14:textId="77777777" w:rsidR="00B11AEF" w:rsidRPr="004F78C4" w:rsidRDefault="00B11AEF" w:rsidP="00B11AEF">
            <w:pPr>
              <w:ind w:firstLine="0"/>
              <w:jc w:val="left"/>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4" w:type="pct"/>
            <w:shd w:val="clear" w:color="auto" w:fill="FFFFFF"/>
            <w:tcMar>
              <w:left w:w="57" w:type="dxa"/>
              <w:right w:w="85" w:type="dxa"/>
            </w:tcMar>
            <w:vAlign w:val="center"/>
          </w:tcPr>
          <w:p w14:paraId="732AD162" w14:textId="77777777" w:rsidR="00B11AEF" w:rsidRPr="004F78C4" w:rsidRDefault="00B11AEF" w:rsidP="00B11AEF">
            <w:pPr>
              <w:ind w:firstLine="0"/>
              <w:jc w:val="center"/>
              <w:rPr>
                <w:sz w:val="20"/>
                <w:szCs w:val="20"/>
              </w:rPr>
            </w:pPr>
            <w:r w:rsidRPr="004F78C4">
              <w:rPr>
                <w:sz w:val="20"/>
                <w:szCs w:val="20"/>
              </w:rPr>
              <w:t>6.4</w:t>
            </w:r>
          </w:p>
        </w:tc>
        <w:tc>
          <w:tcPr>
            <w:tcW w:w="675" w:type="pct"/>
            <w:shd w:val="clear" w:color="auto" w:fill="FFFFFF"/>
            <w:tcMar>
              <w:left w:w="57" w:type="dxa"/>
              <w:right w:w="85" w:type="dxa"/>
            </w:tcMar>
            <w:vAlign w:val="center"/>
          </w:tcPr>
          <w:p w14:paraId="4CAF7F48" w14:textId="77777777" w:rsidR="00B11AEF" w:rsidRPr="004F78C4" w:rsidRDefault="00B11AEF" w:rsidP="00B11AEF">
            <w:pPr>
              <w:ind w:firstLine="0"/>
              <w:jc w:val="center"/>
              <w:rPr>
                <w:sz w:val="20"/>
                <w:szCs w:val="20"/>
              </w:rPr>
            </w:pPr>
            <w:r w:rsidRPr="004F78C4">
              <w:rPr>
                <w:sz w:val="20"/>
                <w:szCs w:val="20"/>
              </w:rPr>
              <w:t>5.4</w:t>
            </w:r>
          </w:p>
        </w:tc>
        <w:tc>
          <w:tcPr>
            <w:tcW w:w="675" w:type="pct"/>
            <w:shd w:val="clear" w:color="auto" w:fill="FFFFFF"/>
            <w:vAlign w:val="center"/>
          </w:tcPr>
          <w:p w14:paraId="03B2CF8B" w14:textId="77777777" w:rsidR="00B11AEF" w:rsidRPr="004F78C4" w:rsidRDefault="00B11AEF" w:rsidP="00B11AEF">
            <w:pPr>
              <w:ind w:firstLine="0"/>
              <w:jc w:val="center"/>
              <w:rPr>
                <w:sz w:val="20"/>
                <w:szCs w:val="20"/>
              </w:rPr>
            </w:pPr>
            <w:r w:rsidRPr="004F78C4">
              <w:rPr>
                <w:sz w:val="20"/>
                <w:szCs w:val="20"/>
              </w:rPr>
              <w:t>5.5</w:t>
            </w:r>
          </w:p>
        </w:tc>
        <w:tc>
          <w:tcPr>
            <w:tcW w:w="667" w:type="pct"/>
            <w:shd w:val="clear" w:color="auto" w:fill="FFFFFF"/>
            <w:vAlign w:val="center"/>
          </w:tcPr>
          <w:p w14:paraId="7DD0A790" w14:textId="77777777" w:rsidR="00B11AEF" w:rsidRPr="004F78C4" w:rsidRDefault="00B11AEF" w:rsidP="00B11AEF">
            <w:pPr>
              <w:ind w:firstLine="0"/>
              <w:jc w:val="center"/>
              <w:rPr>
                <w:sz w:val="20"/>
                <w:szCs w:val="20"/>
              </w:rPr>
            </w:pPr>
            <w:r w:rsidRPr="004F78C4">
              <w:rPr>
                <w:sz w:val="20"/>
                <w:szCs w:val="20"/>
              </w:rPr>
              <w:t>5.0</w:t>
            </w:r>
          </w:p>
        </w:tc>
      </w:tr>
      <w:tr w:rsidR="00B11AEF" w:rsidRPr="004F78C4" w14:paraId="4ACCAAA7" w14:textId="77777777" w:rsidTr="00B11AEF">
        <w:tblPrEx>
          <w:tblCellMar>
            <w:left w:w="30" w:type="dxa"/>
            <w:right w:w="30" w:type="dxa"/>
          </w:tblCellMar>
        </w:tblPrEx>
        <w:trPr>
          <w:trHeight w:val="20"/>
        </w:trPr>
        <w:tc>
          <w:tcPr>
            <w:tcW w:w="2219" w:type="pct"/>
            <w:shd w:val="clear" w:color="auto" w:fill="C6D9F1" w:themeFill="text2" w:themeFillTint="33"/>
            <w:tcMar>
              <w:left w:w="57" w:type="dxa"/>
              <w:right w:w="85" w:type="dxa"/>
            </w:tcMar>
            <w:vAlign w:val="center"/>
          </w:tcPr>
          <w:p w14:paraId="044B0DC6" w14:textId="77777777" w:rsidR="00B11AEF" w:rsidRPr="004F78C4" w:rsidRDefault="00B11AEF" w:rsidP="00B11AEF">
            <w:pPr>
              <w:ind w:firstLine="0"/>
              <w:rPr>
                <w:b/>
                <w:sz w:val="20"/>
                <w:szCs w:val="20"/>
                <w:lang w:val="hy-AM"/>
              </w:rPr>
            </w:pPr>
            <w:r w:rsidRPr="004F78C4">
              <w:rPr>
                <w:b/>
                <w:sz w:val="20"/>
                <w:szCs w:val="20"/>
              </w:rPr>
              <w:t>4</w:t>
            </w:r>
            <w:r w:rsidRPr="004F78C4">
              <w:rPr>
                <w:b/>
                <w:sz w:val="20"/>
                <w:szCs w:val="20"/>
                <w:lang w:val="hy-AM"/>
              </w:rPr>
              <w:t xml:space="preserve">. </w:t>
            </w:r>
            <w:r w:rsidRPr="004F78C4">
              <w:rPr>
                <w:rFonts w:cs="Arial"/>
                <w:b/>
                <w:sz w:val="20"/>
                <w:szCs w:val="20"/>
                <w:lang w:val="hy-AM"/>
              </w:rPr>
              <w:t>ՀԱՆԳԻՍՏ, ՄՇԱԿՈՒՅԹ ԵՎ ԿՐՈՆ</w:t>
            </w:r>
          </w:p>
        </w:tc>
        <w:tc>
          <w:tcPr>
            <w:tcW w:w="764" w:type="pct"/>
            <w:shd w:val="clear" w:color="auto" w:fill="C6D9F1" w:themeFill="text2" w:themeFillTint="33"/>
            <w:tcMar>
              <w:left w:w="57" w:type="dxa"/>
              <w:right w:w="85" w:type="dxa"/>
            </w:tcMar>
            <w:vAlign w:val="center"/>
          </w:tcPr>
          <w:p w14:paraId="4E5C25D1" w14:textId="77777777" w:rsidR="00B11AEF" w:rsidRPr="004F78C4" w:rsidRDefault="00B11AEF" w:rsidP="00B11AEF">
            <w:pPr>
              <w:ind w:firstLine="0"/>
              <w:jc w:val="center"/>
              <w:rPr>
                <w:b/>
                <w:bCs/>
                <w:sz w:val="20"/>
                <w:szCs w:val="20"/>
              </w:rPr>
            </w:pPr>
            <w:r w:rsidRPr="004F78C4">
              <w:rPr>
                <w:b/>
                <w:bCs/>
                <w:sz w:val="20"/>
                <w:szCs w:val="20"/>
              </w:rPr>
              <w:t>30,585.0</w:t>
            </w:r>
          </w:p>
        </w:tc>
        <w:tc>
          <w:tcPr>
            <w:tcW w:w="675" w:type="pct"/>
            <w:shd w:val="clear" w:color="auto" w:fill="C6D9F1" w:themeFill="text2" w:themeFillTint="33"/>
            <w:tcMar>
              <w:left w:w="57" w:type="dxa"/>
              <w:right w:w="85" w:type="dxa"/>
            </w:tcMar>
            <w:vAlign w:val="center"/>
          </w:tcPr>
          <w:p w14:paraId="4023A84E" w14:textId="77777777" w:rsidR="00B11AEF" w:rsidRPr="004F78C4" w:rsidRDefault="00B11AEF" w:rsidP="00B11AEF">
            <w:pPr>
              <w:ind w:firstLine="0"/>
              <w:jc w:val="center"/>
              <w:rPr>
                <w:b/>
                <w:bCs/>
                <w:sz w:val="20"/>
                <w:szCs w:val="20"/>
              </w:rPr>
            </w:pPr>
            <w:r w:rsidRPr="004F78C4">
              <w:rPr>
                <w:b/>
                <w:bCs/>
                <w:sz w:val="20"/>
                <w:szCs w:val="20"/>
              </w:rPr>
              <w:t>28,456.2</w:t>
            </w:r>
          </w:p>
        </w:tc>
        <w:tc>
          <w:tcPr>
            <w:tcW w:w="675" w:type="pct"/>
            <w:shd w:val="clear" w:color="auto" w:fill="C6D9F1" w:themeFill="text2" w:themeFillTint="33"/>
            <w:vAlign w:val="center"/>
          </w:tcPr>
          <w:p w14:paraId="32FC88F6" w14:textId="77777777" w:rsidR="00B11AEF" w:rsidRPr="004F78C4" w:rsidRDefault="00B11AEF" w:rsidP="00B11AEF">
            <w:pPr>
              <w:ind w:firstLine="0"/>
              <w:jc w:val="center"/>
              <w:rPr>
                <w:b/>
                <w:bCs/>
                <w:sz w:val="20"/>
                <w:szCs w:val="20"/>
              </w:rPr>
            </w:pPr>
            <w:r w:rsidRPr="004F78C4">
              <w:rPr>
                <w:b/>
                <w:bCs/>
                <w:sz w:val="20"/>
                <w:szCs w:val="20"/>
              </w:rPr>
              <w:t>29,814.2</w:t>
            </w:r>
          </w:p>
        </w:tc>
        <w:tc>
          <w:tcPr>
            <w:tcW w:w="667" w:type="pct"/>
            <w:shd w:val="clear" w:color="auto" w:fill="C6D9F1" w:themeFill="text2" w:themeFillTint="33"/>
            <w:vAlign w:val="center"/>
          </w:tcPr>
          <w:p w14:paraId="1D1F09EE" w14:textId="77777777" w:rsidR="00B11AEF" w:rsidRPr="004F78C4" w:rsidRDefault="00B11AEF" w:rsidP="00B11AEF">
            <w:pPr>
              <w:ind w:firstLine="0"/>
              <w:jc w:val="center"/>
              <w:rPr>
                <w:b/>
                <w:bCs/>
                <w:sz w:val="20"/>
                <w:szCs w:val="20"/>
              </w:rPr>
            </w:pPr>
            <w:r w:rsidRPr="004F78C4">
              <w:rPr>
                <w:b/>
                <w:bCs/>
                <w:sz w:val="20"/>
                <w:szCs w:val="20"/>
              </w:rPr>
              <w:t>30,033.7</w:t>
            </w:r>
          </w:p>
        </w:tc>
      </w:tr>
      <w:tr w:rsidR="00B11AEF" w:rsidRPr="004F78C4" w14:paraId="2A3B4198" w14:textId="77777777" w:rsidTr="00B11AEF">
        <w:tblPrEx>
          <w:tblCellMar>
            <w:left w:w="30" w:type="dxa"/>
            <w:right w:w="30" w:type="dxa"/>
          </w:tblCellMar>
        </w:tblPrEx>
        <w:trPr>
          <w:trHeight w:val="395"/>
        </w:trPr>
        <w:tc>
          <w:tcPr>
            <w:tcW w:w="2219" w:type="pct"/>
            <w:shd w:val="solid" w:color="FFFFFF" w:fill="auto"/>
            <w:tcMar>
              <w:left w:w="57" w:type="dxa"/>
              <w:right w:w="85" w:type="dxa"/>
            </w:tcMar>
            <w:vAlign w:val="center"/>
          </w:tcPr>
          <w:p w14:paraId="28BBB58A"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64" w:type="pct"/>
            <w:shd w:val="solid" w:color="FFFFFF" w:fill="auto"/>
            <w:tcMar>
              <w:left w:w="57" w:type="dxa"/>
              <w:right w:w="85" w:type="dxa"/>
            </w:tcMar>
            <w:vAlign w:val="center"/>
          </w:tcPr>
          <w:p w14:paraId="4430460D" w14:textId="77777777" w:rsidR="00B11AEF" w:rsidRPr="004F78C4" w:rsidRDefault="00B11AEF" w:rsidP="00B11AEF">
            <w:pPr>
              <w:ind w:firstLine="0"/>
              <w:jc w:val="center"/>
              <w:rPr>
                <w:sz w:val="20"/>
                <w:szCs w:val="20"/>
              </w:rPr>
            </w:pPr>
            <w:r w:rsidRPr="004F78C4">
              <w:rPr>
                <w:sz w:val="20"/>
                <w:szCs w:val="20"/>
              </w:rPr>
              <w:t>0.48</w:t>
            </w:r>
          </w:p>
        </w:tc>
        <w:tc>
          <w:tcPr>
            <w:tcW w:w="675" w:type="pct"/>
            <w:shd w:val="solid" w:color="FFFFFF" w:fill="auto"/>
            <w:tcMar>
              <w:left w:w="57" w:type="dxa"/>
              <w:right w:w="85" w:type="dxa"/>
            </w:tcMar>
            <w:vAlign w:val="center"/>
          </w:tcPr>
          <w:p w14:paraId="0AFC2F2D" w14:textId="77777777" w:rsidR="00B11AEF" w:rsidRPr="004F78C4" w:rsidRDefault="00B11AEF" w:rsidP="00B11AEF">
            <w:pPr>
              <w:ind w:firstLine="0"/>
              <w:jc w:val="center"/>
              <w:rPr>
                <w:sz w:val="20"/>
                <w:szCs w:val="20"/>
              </w:rPr>
            </w:pPr>
            <w:r w:rsidRPr="004F78C4">
              <w:rPr>
                <w:sz w:val="20"/>
                <w:szCs w:val="20"/>
              </w:rPr>
              <w:t>0.38</w:t>
            </w:r>
          </w:p>
        </w:tc>
        <w:tc>
          <w:tcPr>
            <w:tcW w:w="675" w:type="pct"/>
            <w:shd w:val="solid" w:color="FFFFFF" w:fill="auto"/>
            <w:vAlign w:val="center"/>
          </w:tcPr>
          <w:p w14:paraId="07AA8BA5" w14:textId="77777777" w:rsidR="00B11AEF" w:rsidRPr="004F78C4" w:rsidRDefault="00B11AEF" w:rsidP="00B11AEF">
            <w:pPr>
              <w:ind w:firstLine="0"/>
              <w:jc w:val="center"/>
              <w:rPr>
                <w:sz w:val="20"/>
                <w:szCs w:val="20"/>
              </w:rPr>
            </w:pPr>
            <w:r w:rsidRPr="004F78C4">
              <w:rPr>
                <w:sz w:val="20"/>
                <w:szCs w:val="20"/>
              </w:rPr>
              <w:t>0.36</w:t>
            </w:r>
          </w:p>
        </w:tc>
        <w:tc>
          <w:tcPr>
            <w:tcW w:w="667" w:type="pct"/>
            <w:shd w:val="solid" w:color="FFFFFF" w:fill="auto"/>
            <w:vAlign w:val="center"/>
          </w:tcPr>
          <w:p w14:paraId="34BBF88E" w14:textId="77777777" w:rsidR="00B11AEF" w:rsidRPr="004F78C4" w:rsidRDefault="00B11AEF" w:rsidP="00B11AEF">
            <w:pPr>
              <w:ind w:firstLine="0"/>
              <w:jc w:val="center"/>
              <w:rPr>
                <w:sz w:val="20"/>
                <w:szCs w:val="20"/>
              </w:rPr>
            </w:pPr>
            <w:r w:rsidRPr="004F78C4">
              <w:rPr>
                <w:sz w:val="20"/>
                <w:szCs w:val="20"/>
              </w:rPr>
              <w:t>0.34</w:t>
            </w:r>
          </w:p>
        </w:tc>
      </w:tr>
      <w:tr w:rsidR="00B11AEF" w:rsidRPr="004F78C4" w14:paraId="03BB04BB" w14:textId="77777777" w:rsidTr="00B11AEF">
        <w:tblPrEx>
          <w:tblCellMar>
            <w:left w:w="30" w:type="dxa"/>
            <w:right w:w="30" w:type="dxa"/>
          </w:tblCellMar>
        </w:tblPrEx>
        <w:trPr>
          <w:trHeight w:val="20"/>
        </w:trPr>
        <w:tc>
          <w:tcPr>
            <w:tcW w:w="2219" w:type="pct"/>
            <w:shd w:val="solid" w:color="FFFFFF" w:fill="auto"/>
            <w:tcMar>
              <w:left w:w="57" w:type="dxa"/>
              <w:right w:w="85" w:type="dxa"/>
            </w:tcMar>
            <w:vAlign w:val="center"/>
          </w:tcPr>
          <w:p w14:paraId="3E502E2C"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64" w:type="pct"/>
            <w:shd w:val="solid" w:color="FFFFFF" w:fill="auto"/>
            <w:tcMar>
              <w:left w:w="57" w:type="dxa"/>
              <w:right w:w="85" w:type="dxa"/>
            </w:tcMar>
            <w:vAlign w:val="center"/>
          </w:tcPr>
          <w:p w14:paraId="2508328A" w14:textId="77777777" w:rsidR="00B11AEF" w:rsidRPr="004F78C4" w:rsidRDefault="00B11AEF" w:rsidP="00B11AEF">
            <w:pPr>
              <w:ind w:firstLine="0"/>
              <w:jc w:val="center"/>
              <w:rPr>
                <w:sz w:val="20"/>
                <w:szCs w:val="20"/>
              </w:rPr>
            </w:pPr>
            <w:r w:rsidRPr="004F78C4">
              <w:rPr>
                <w:sz w:val="20"/>
                <w:szCs w:val="20"/>
              </w:rPr>
              <w:t>1.</w:t>
            </w:r>
            <w:r w:rsidRPr="004F78C4">
              <w:rPr>
                <w:sz w:val="20"/>
                <w:szCs w:val="20"/>
                <w:lang w:val="hy-AM"/>
              </w:rPr>
              <w:t>7</w:t>
            </w:r>
          </w:p>
        </w:tc>
        <w:tc>
          <w:tcPr>
            <w:tcW w:w="675" w:type="pct"/>
            <w:shd w:val="solid" w:color="FFFFFF" w:fill="auto"/>
            <w:tcMar>
              <w:left w:w="57" w:type="dxa"/>
              <w:right w:w="85" w:type="dxa"/>
            </w:tcMar>
            <w:vAlign w:val="center"/>
          </w:tcPr>
          <w:p w14:paraId="4687A8D5" w14:textId="77777777" w:rsidR="00B11AEF" w:rsidRPr="004F78C4" w:rsidRDefault="00B11AEF" w:rsidP="00B11AEF">
            <w:pPr>
              <w:ind w:firstLine="0"/>
              <w:jc w:val="center"/>
              <w:rPr>
                <w:sz w:val="20"/>
                <w:szCs w:val="20"/>
              </w:rPr>
            </w:pPr>
            <w:r w:rsidRPr="004F78C4">
              <w:rPr>
                <w:sz w:val="20"/>
                <w:szCs w:val="20"/>
              </w:rPr>
              <w:t>1.4</w:t>
            </w:r>
          </w:p>
        </w:tc>
        <w:tc>
          <w:tcPr>
            <w:tcW w:w="675" w:type="pct"/>
            <w:shd w:val="solid" w:color="FFFFFF" w:fill="auto"/>
            <w:vAlign w:val="center"/>
          </w:tcPr>
          <w:p w14:paraId="5D64BEE8" w14:textId="77777777" w:rsidR="00B11AEF" w:rsidRPr="004F78C4" w:rsidRDefault="00B11AEF" w:rsidP="00B11AEF">
            <w:pPr>
              <w:ind w:firstLine="0"/>
              <w:jc w:val="center"/>
              <w:rPr>
                <w:sz w:val="20"/>
                <w:szCs w:val="20"/>
              </w:rPr>
            </w:pPr>
            <w:r w:rsidRPr="004F78C4">
              <w:rPr>
                <w:sz w:val="20"/>
                <w:szCs w:val="20"/>
              </w:rPr>
              <w:t>1.4</w:t>
            </w:r>
          </w:p>
        </w:tc>
        <w:tc>
          <w:tcPr>
            <w:tcW w:w="667" w:type="pct"/>
            <w:shd w:val="solid" w:color="FFFFFF" w:fill="auto"/>
            <w:vAlign w:val="center"/>
          </w:tcPr>
          <w:p w14:paraId="7CFCA7B7" w14:textId="77777777" w:rsidR="00B11AEF" w:rsidRPr="004F78C4" w:rsidRDefault="00B11AEF" w:rsidP="00B11AEF">
            <w:pPr>
              <w:ind w:firstLine="0"/>
              <w:jc w:val="center"/>
              <w:rPr>
                <w:sz w:val="20"/>
                <w:szCs w:val="20"/>
              </w:rPr>
            </w:pPr>
            <w:r w:rsidRPr="004F78C4">
              <w:rPr>
                <w:sz w:val="20"/>
                <w:szCs w:val="20"/>
              </w:rPr>
              <w:t>1.3</w:t>
            </w:r>
          </w:p>
        </w:tc>
      </w:tr>
    </w:tbl>
    <w:p w14:paraId="38B1271E" w14:textId="77777777" w:rsidR="00B11AEF" w:rsidRPr="004F78C4" w:rsidRDefault="00B11AEF" w:rsidP="00B11AEF">
      <w:pPr>
        <w:ind w:firstLine="0"/>
        <w:rPr>
          <w:rFonts w:ascii="Cambria Math" w:hAnsi="Cambria Math"/>
          <w:lang w:val="hy-AM"/>
        </w:rPr>
      </w:pPr>
    </w:p>
    <w:p w14:paraId="7F3671AD" w14:textId="77777777" w:rsidR="00B11AEF" w:rsidRDefault="00B11AEF" w:rsidP="00B11AEF">
      <w:pPr>
        <w:spacing w:line="276" w:lineRule="auto"/>
        <w:ind w:firstLine="0"/>
        <w:rPr>
          <w:lang w:val="hy-AM"/>
        </w:rPr>
      </w:pPr>
      <w:r w:rsidRPr="004F78C4">
        <w:rPr>
          <w:lang w:val="hy-AM"/>
        </w:rPr>
        <w:tab/>
      </w:r>
    </w:p>
    <w:p w14:paraId="66B3FA7F" w14:textId="585F10DC" w:rsidR="00B11AEF" w:rsidRPr="004F78C4" w:rsidRDefault="00B11AEF" w:rsidP="00B11AEF">
      <w:pPr>
        <w:spacing w:line="276" w:lineRule="auto"/>
        <w:ind w:firstLine="426"/>
        <w:rPr>
          <w:lang w:val="hy-AM"/>
        </w:rPr>
      </w:pPr>
      <w:r w:rsidRPr="004F78C4">
        <w:rPr>
          <w:lang w:val="hy-AM"/>
        </w:rPr>
        <w:t>2022-2024 թթ. համար կրթության և առողջապահության ոլորտների բյուջետային ծախսերի չափաքանակները</w:t>
      </w:r>
      <w:r>
        <w:rPr>
          <w:lang w:val="hy-AM"/>
        </w:rPr>
        <w:t>՝ պայմանավորված Կառավարության ծրագրի դեռևս քննարկման փուլում գտնվելու հանգամանքով՝ չնայած որ</w:t>
      </w:r>
      <w:r w:rsidRPr="004F78C4">
        <w:rPr>
          <w:lang w:val="hy-AM"/>
        </w:rPr>
        <w:t xml:space="preserve"> </w:t>
      </w:r>
      <w:r>
        <w:rPr>
          <w:lang w:val="hy-AM"/>
        </w:rPr>
        <w:t>դիտվում են որպես բարձր առաջնահերթություն հայտարարված ոլորտներ, ունեն նվազման միտում, ինչը լրացուցիչ կամբողջացվի և կճշտվի</w:t>
      </w:r>
      <w:r w:rsidR="001143CC">
        <w:rPr>
          <w:lang w:val="hy-AM"/>
        </w:rPr>
        <w:t xml:space="preserve"> 202</w:t>
      </w:r>
      <w:r w:rsidR="001143CC" w:rsidRPr="001143CC">
        <w:rPr>
          <w:lang w:val="hy-AM"/>
        </w:rPr>
        <w:t>2</w:t>
      </w:r>
      <w:r>
        <w:rPr>
          <w:lang w:val="hy-AM"/>
        </w:rPr>
        <w:t xml:space="preserve"> թվականի բյուջեի նախագծի հաստատման ընթացքում։</w:t>
      </w:r>
      <w:r w:rsidRPr="004F78C4">
        <w:rPr>
          <w:lang w:val="hy-AM"/>
        </w:rPr>
        <w:t xml:space="preserve"> </w:t>
      </w:r>
    </w:p>
    <w:p w14:paraId="219DD5B2" w14:textId="77777777" w:rsidR="00B11AEF" w:rsidRPr="004F78C4" w:rsidRDefault="00B11AEF" w:rsidP="00B11AEF">
      <w:pPr>
        <w:spacing w:line="276" w:lineRule="auto"/>
        <w:ind w:firstLine="426"/>
        <w:rPr>
          <w:lang w:val="hy-AM"/>
        </w:rPr>
      </w:pPr>
      <w:r w:rsidRPr="004F78C4">
        <w:rPr>
          <w:lang w:val="hy-AM"/>
        </w:rPr>
        <w:t>Միջնաժամկետ կտրվածքում կրթության ոլորտին հատկացվող միջոցները նախատեսվում է համամասնորեն ուղղել կրթության առանձին տեսակների՝ նախադպրոցական, տարրական, միջնակարգ, մասնագիտական, բարձրագույն, հետբուհական, ինչպես նաև կրթությանը տրամադրվող օժանդակ ծառայությունների ֆինանսավորմանը։</w:t>
      </w:r>
    </w:p>
    <w:p w14:paraId="3F1BD54C" w14:textId="1C3F87C0" w:rsidR="00B11AEF" w:rsidRPr="004F78C4" w:rsidRDefault="00B11AEF" w:rsidP="00B11AEF">
      <w:pPr>
        <w:spacing w:line="276" w:lineRule="auto"/>
        <w:ind w:firstLine="0"/>
        <w:rPr>
          <w:lang w:val="hy-AM"/>
        </w:rPr>
      </w:pPr>
      <w:r w:rsidRPr="004F78C4">
        <w:rPr>
          <w:lang w:val="hy-AM"/>
        </w:rPr>
        <w:t>Առողջապահության ոլորտի ֆինանսավորման համար նախատեսվել է 2022-2024 թթ համապատասխանաբար՝ 108,735.8, 116,761.6 և 114,955.9</w:t>
      </w:r>
      <w:r w:rsidRPr="004F78C4">
        <w:rPr>
          <w:b/>
          <w:bCs/>
          <w:sz w:val="20"/>
          <w:szCs w:val="20"/>
          <w:lang w:val="hy-AM"/>
        </w:rPr>
        <w:t xml:space="preserve"> </w:t>
      </w:r>
      <w:r w:rsidRPr="004F78C4">
        <w:rPr>
          <w:lang w:val="hy-AM"/>
        </w:rPr>
        <w:t>մլն</w:t>
      </w:r>
      <w:r w:rsidRPr="004F78C4">
        <w:rPr>
          <w:rFonts w:ascii="Cambria Math" w:hAnsi="Cambria Math" w:cs="Cambria Math"/>
          <w:lang w:val="hy-AM"/>
        </w:rPr>
        <w:t>․</w:t>
      </w:r>
      <w:r w:rsidRPr="004F78C4">
        <w:rPr>
          <w:lang w:val="hy-AM"/>
        </w:rPr>
        <w:t xml:space="preserve"> դրամ։ Հաշվի առնելով առողջապահության համակարգի համաշխարհային արդի մարտահրավերները՝ միջնաժամկետ հատվածում ոլորտի ֆինանսավորումն ուղղվելու է նոր իրավիճակներին ադապտացմանը, առողջապահական համակարգի ռիսկերին արագ և համարժեք արձագանքմանը</w:t>
      </w:r>
      <w:r w:rsidR="00F65947">
        <w:rPr>
          <w:lang w:val="hy-AM"/>
        </w:rPr>
        <w:t>, Covid</w:t>
      </w:r>
      <w:r w:rsidRPr="004F78C4">
        <w:rPr>
          <w:lang w:val="hy-AM"/>
        </w:rPr>
        <w:t>-19 համավարակի տարածման կանխարգելիչ միջոցառումների իրականացմանը և պատվաստանյութերի նկատմամբ հանրության  պահանջարկի բավարարմանը։</w:t>
      </w:r>
    </w:p>
    <w:p w14:paraId="29D290F7" w14:textId="77777777" w:rsidR="00B11AEF" w:rsidRPr="004F78C4" w:rsidRDefault="00B11AEF" w:rsidP="00B11AEF">
      <w:pPr>
        <w:spacing w:line="276" w:lineRule="auto"/>
        <w:ind w:firstLine="0"/>
        <w:rPr>
          <w:lang w:val="hy-AM"/>
        </w:rPr>
      </w:pPr>
      <w:r w:rsidRPr="004F78C4">
        <w:rPr>
          <w:lang w:val="hy-AM"/>
        </w:rPr>
        <w:t>Սոցիալական պաշտպանության ոլորտի ֆինանսավորումը 2022-2024թթ միջնաժամկետ կտրվածքում նախատեսվում է 473,206.0, 503,914.5 և 502,282.7մլն</w:t>
      </w:r>
      <w:r w:rsidRPr="004F78C4">
        <w:rPr>
          <w:rFonts w:ascii="Cambria Math" w:hAnsi="Cambria Math" w:cs="Cambria Math"/>
          <w:lang w:val="hy-AM"/>
        </w:rPr>
        <w:t>․</w:t>
      </w:r>
      <w:r w:rsidRPr="004F78C4">
        <w:rPr>
          <w:lang w:val="hy-AM"/>
        </w:rPr>
        <w:t xml:space="preserve"> դրամի չափով։ Սոցիալական պաշտպանության ոլորտի զգալի մասը (միջինում 77%) ուղղվելու են տարեցներին և հաշմանդամներին աջակցության տրամադրմանը, մնացած (միջինում 23%) ծախսերը նախատեսվում են ուղղվել գործազրկության, սոցիալական հատուկ արտոնությունների, բնակարային ապահովման, ընտանեկան նպաստների տրամադրման և այլ սոցիալական ծառայությունների ապահովմանը։</w:t>
      </w:r>
    </w:p>
    <w:p w14:paraId="0E100ABB" w14:textId="77777777" w:rsidR="00B11AEF" w:rsidRPr="004F78C4" w:rsidRDefault="00B11AEF" w:rsidP="00B11AEF">
      <w:pPr>
        <w:ind w:firstLine="0"/>
        <w:rPr>
          <w:rFonts w:cs="Arial"/>
          <w:b/>
          <w:lang w:val="hy-AM"/>
        </w:rPr>
      </w:pPr>
    </w:p>
    <w:p w14:paraId="187867DA" w14:textId="77777777" w:rsidR="00B11AEF" w:rsidRPr="004F78C4" w:rsidRDefault="00B11AEF" w:rsidP="00B11AEF">
      <w:pPr>
        <w:ind w:firstLine="0"/>
        <w:rPr>
          <w:i/>
          <w:sz w:val="20"/>
          <w:szCs w:val="20"/>
          <w:lang w:val="hy-AM"/>
        </w:rPr>
      </w:pPr>
      <w:r w:rsidRPr="004F78C4">
        <w:rPr>
          <w:rFonts w:cs="Arial"/>
          <w:b/>
          <w:sz w:val="20"/>
          <w:szCs w:val="20"/>
          <w:lang w:val="hy-AM"/>
        </w:rPr>
        <w:t>Աղյուսակ</w:t>
      </w:r>
      <w:r w:rsidRPr="004F78C4">
        <w:rPr>
          <w:b/>
          <w:sz w:val="20"/>
          <w:szCs w:val="20"/>
          <w:lang w:val="hy-AM"/>
        </w:rPr>
        <w:t xml:space="preserve"> 4.3.2 </w:t>
      </w:r>
      <w:r w:rsidRPr="004F78C4">
        <w:rPr>
          <w:rFonts w:cs="Arial"/>
          <w:i/>
          <w:sz w:val="20"/>
          <w:szCs w:val="20"/>
          <w:lang w:val="hy-AM"/>
        </w:rPr>
        <w:t>Տնտեսական ոլորտի</w:t>
      </w:r>
      <w:r w:rsidRPr="004F78C4">
        <w:rPr>
          <w:i/>
          <w:sz w:val="20"/>
          <w:szCs w:val="20"/>
          <w:lang w:val="hy-AM"/>
        </w:rPr>
        <w:t xml:space="preserve"> 2022-2024</w:t>
      </w:r>
      <w:r w:rsidRPr="004F78C4">
        <w:rPr>
          <w:rFonts w:cs="Arial"/>
          <w:i/>
          <w:sz w:val="20"/>
          <w:szCs w:val="20"/>
          <w:lang w:val="hy-AM"/>
        </w:rPr>
        <w:t>թթ</w:t>
      </w:r>
      <w:r w:rsidRPr="004F78C4">
        <w:rPr>
          <w:i/>
          <w:sz w:val="20"/>
          <w:szCs w:val="20"/>
          <w:lang w:val="hy-AM"/>
        </w:rPr>
        <w:t xml:space="preserve"> </w:t>
      </w:r>
      <w:r w:rsidRPr="004F78C4">
        <w:rPr>
          <w:rFonts w:cs="Arial"/>
          <w:i/>
          <w:sz w:val="20"/>
          <w:szCs w:val="20"/>
          <w:lang w:val="hy-AM"/>
        </w:rPr>
        <w:t>բյուջետային</w:t>
      </w:r>
      <w:r w:rsidRPr="004F78C4">
        <w:rPr>
          <w:i/>
          <w:sz w:val="20"/>
          <w:szCs w:val="20"/>
          <w:lang w:val="hy-AM"/>
        </w:rPr>
        <w:t xml:space="preserve"> </w:t>
      </w:r>
      <w:r w:rsidRPr="004F78C4">
        <w:rPr>
          <w:rFonts w:cs="Arial"/>
          <w:i/>
          <w:sz w:val="20"/>
          <w:szCs w:val="20"/>
          <w:lang w:val="hy-AM"/>
        </w:rPr>
        <w:t>ծախսերը</w:t>
      </w:r>
      <w:r w:rsidRPr="004F78C4">
        <w:rPr>
          <w:i/>
          <w:sz w:val="20"/>
          <w:szCs w:val="20"/>
          <w:lang w:val="hy-AM"/>
        </w:rPr>
        <w:t xml:space="preserve"> (</w:t>
      </w:r>
      <w:r w:rsidRPr="004F78C4">
        <w:rPr>
          <w:rFonts w:cs="Arial"/>
          <w:i/>
          <w:sz w:val="20"/>
          <w:szCs w:val="20"/>
          <w:lang w:val="hy-AM"/>
        </w:rPr>
        <w:t>մլն</w:t>
      </w:r>
      <w:r w:rsidRPr="004F78C4">
        <w:rPr>
          <w:i/>
          <w:sz w:val="20"/>
          <w:szCs w:val="20"/>
          <w:lang w:val="hy-AM"/>
        </w:rPr>
        <w:t xml:space="preserve"> </w:t>
      </w:r>
      <w:r w:rsidRPr="004F78C4">
        <w:rPr>
          <w:rFonts w:cs="Arial"/>
          <w:i/>
          <w:sz w:val="20"/>
          <w:szCs w:val="20"/>
          <w:lang w:val="hy-AM"/>
        </w:rPr>
        <w:t>դրամ</w:t>
      </w:r>
      <w:r w:rsidRPr="004F78C4">
        <w:rPr>
          <w:i/>
          <w:sz w:val="20"/>
          <w:szCs w:val="20"/>
          <w:lang w:val="hy-AM"/>
        </w:rPr>
        <w:t>)</w:t>
      </w:r>
    </w:p>
    <w:tbl>
      <w:tblPr>
        <w:tblW w:w="5000" w:type="pct"/>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4696"/>
        <w:gridCol w:w="1500"/>
        <w:gridCol w:w="1242"/>
        <w:gridCol w:w="1226"/>
        <w:gridCol w:w="1242"/>
      </w:tblGrid>
      <w:tr w:rsidR="00B11AEF" w:rsidRPr="004F78C4" w14:paraId="299ADBE7" w14:textId="77777777" w:rsidTr="00B11AEF">
        <w:trPr>
          <w:trHeight w:val="20"/>
          <w:tblHeader/>
        </w:trPr>
        <w:tc>
          <w:tcPr>
            <w:tcW w:w="2370" w:type="pct"/>
            <w:shd w:val="clear" w:color="auto" w:fill="4F81BD" w:themeFill="accent1"/>
            <w:tcMar>
              <w:left w:w="57" w:type="dxa"/>
              <w:right w:w="57" w:type="dxa"/>
            </w:tcMar>
            <w:vAlign w:val="center"/>
          </w:tcPr>
          <w:p w14:paraId="5E34C759"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Ցուցանիշներ</w:t>
            </w:r>
          </w:p>
        </w:tc>
        <w:tc>
          <w:tcPr>
            <w:tcW w:w="757" w:type="pct"/>
            <w:shd w:val="clear" w:color="auto" w:fill="4F81BD" w:themeFill="accent1"/>
            <w:tcMar>
              <w:left w:w="57" w:type="dxa"/>
              <w:right w:w="57" w:type="dxa"/>
            </w:tcMar>
            <w:vAlign w:val="center"/>
          </w:tcPr>
          <w:p w14:paraId="29D0812B"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2021թ հաստատված</w:t>
            </w:r>
          </w:p>
        </w:tc>
        <w:tc>
          <w:tcPr>
            <w:tcW w:w="627" w:type="pct"/>
            <w:shd w:val="clear" w:color="auto" w:fill="4F81BD" w:themeFill="accent1"/>
            <w:tcMar>
              <w:left w:w="57" w:type="dxa"/>
              <w:right w:w="57" w:type="dxa"/>
            </w:tcMar>
            <w:vAlign w:val="center"/>
          </w:tcPr>
          <w:p w14:paraId="3EF80E4F"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2022թ</w:t>
            </w:r>
          </w:p>
          <w:p w14:paraId="4D49D5AC"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ծրագիր</w:t>
            </w:r>
          </w:p>
        </w:tc>
        <w:tc>
          <w:tcPr>
            <w:tcW w:w="619" w:type="pct"/>
            <w:shd w:val="clear" w:color="auto" w:fill="4F81BD" w:themeFill="accent1"/>
            <w:vAlign w:val="center"/>
          </w:tcPr>
          <w:p w14:paraId="249713AF"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2023թ ծրագիր</w:t>
            </w:r>
          </w:p>
        </w:tc>
        <w:tc>
          <w:tcPr>
            <w:tcW w:w="627" w:type="pct"/>
            <w:shd w:val="clear" w:color="auto" w:fill="4F81BD" w:themeFill="accent1"/>
            <w:vAlign w:val="center"/>
          </w:tcPr>
          <w:p w14:paraId="52DADF23"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2024թ</w:t>
            </w:r>
          </w:p>
          <w:p w14:paraId="31AF3541" w14:textId="77777777" w:rsidR="00B11AEF" w:rsidRPr="004F78C4" w:rsidRDefault="00B11AEF" w:rsidP="00B11AEF">
            <w:pPr>
              <w:spacing w:after="0" w:line="256" w:lineRule="auto"/>
              <w:ind w:firstLine="0"/>
              <w:jc w:val="center"/>
              <w:rPr>
                <w:rFonts w:cs="Sylfaen"/>
                <w:color w:val="FFFFFF" w:themeColor="background1"/>
                <w:sz w:val="20"/>
                <w:szCs w:val="20"/>
              </w:rPr>
            </w:pPr>
            <w:r w:rsidRPr="004F78C4">
              <w:rPr>
                <w:rFonts w:cs="Sylfaen"/>
                <w:color w:val="FFFFFF" w:themeColor="background1"/>
                <w:sz w:val="20"/>
                <w:szCs w:val="20"/>
              </w:rPr>
              <w:t>Ծրագիր</w:t>
            </w:r>
          </w:p>
        </w:tc>
      </w:tr>
      <w:tr w:rsidR="00B11AEF" w:rsidRPr="004F78C4" w14:paraId="0DCEF2AF" w14:textId="77777777" w:rsidTr="00B11AEF">
        <w:tblPrEx>
          <w:tblCellMar>
            <w:left w:w="30" w:type="dxa"/>
            <w:right w:w="30" w:type="dxa"/>
          </w:tblCellMar>
        </w:tblPrEx>
        <w:trPr>
          <w:trHeight w:val="20"/>
        </w:trPr>
        <w:tc>
          <w:tcPr>
            <w:tcW w:w="2370" w:type="pct"/>
            <w:shd w:val="clear" w:color="auto" w:fill="C6D9F1" w:themeFill="text2" w:themeFillTint="33"/>
            <w:tcMar>
              <w:left w:w="57" w:type="dxa"/>
              <w:right w:w="85" w:type="dxa"/>
            </w:tcMar>
            <w:vAlign w:val="center"/>
          </w:tcPr>
          <w:p w14:paraId="34F2E5DD" w14:textId="77777777" w:rsidR="00B11AEF" w:rsidRPr="004F78C4" w:rsidRDefault="00B11AEF" w:rsidP="00B11AEF">
            <w:pPr>
              <w:ind w:firstLine="0"/>
              <w:rPr>
                <w:rFonts w:cs="Arial"/>
                <w:b/>
                <w:sz w:val="20"/>
                <w:szCs w:val="20"/>
                <w:lang w:val="hy-AM"/>
              </w:rPr>
            </w:pPr>
            <w:r w:rsidRPr="004F78C4">
              <w:rPr>
                <w:rFonts w:cs="Arial"/>
                <w:b/>
                <w:sz w:val="20"/>
                <w:szCs w:val="20"/>
                <w:lang w:val="hy-AM"/>
              </w:rPr>
              <w:t>ՏՆՏԵՍԱԿԱՆ ՈԼՈՐՏ ԸՆԴԱՄԵՆԸ</w:t>
            </w:r>
          </w:p>
        </w:tc>
        <w:tc>
          <w:tcPr>
            <w:tcW w:w="757" w:type="pct"/>
            <w:shd w:val="clear" w:color="auto" w:fill="C6D9F1" w:themeFill="text2" w:themeFillTint="33"/>
            <w:tcMar>
              <w:left w:w="57" w:type="dxa"/>
              <w:right w:w="85" w:type="dxa"/>
            </w:tcMar>
          </w:tcPr>
          <w:p w14:paraId="65692AEC" w14:textId="77777777" w:rsidR="00B11AEF" w:rsidRPr="004F78C4" w:rsidRDefault="00B11AEF" w:rsidP="00B11AEF">
            <w:pPr>
              <w:ind w:firstLine="0"/>
              <w:jc w:val="center"/>
              <w:rPr>
                <w:b/>
                <w:sz w:val="20"/>
                <w:szCs w:val="20"/>
              </w:rPr>
            </w:pPr>
            <w:r w:rsidRPr="004F78C4">
              <w:rPr>
                <w:b/>
                <w:sz w:val="20"/>
                <w:szCs w:val="20"/>
              </w:rPr>
              <w:t>174,531.2</w:t>
            </w:r>
          </w:p>
        </w:tc>
        <w:tc>
          <w:tcPr>
            <w:tcW w:w="627" w:type="pct"/>
            <w:shd w:val="clear" w:color="auto" w:fill="C6D9F1" w:themeFill="text2" w:themeFillTint="33"/>
            <w:tcMar>
              <w:left w:w="57" w:type="dxa"/>
              <w:right w:w="85" w:type="dxa"/>
            </w:tcMar>
          </w:tcPr>
          <w:p w14:paraId="0EA07F32" w14:textId="77777777" w:rsidR="00B11AEF" w:rsidRPr="004F78C4" w:rsidRDefault="00B11AEF" w:rsidP="00B11AEF">
            <w:pPr>
              <w:ind w:firstLine="0"/>
              <w:jc w:val="center"/>
              <w:rPr>
                <w:b/>
                <w:sz w:val="20"/>
                <w:szCs w:val="20"/>
              </w:rPr>
            </w:pPr>
            <w:r w:rsidRPr="004F78C4">
              <w:rPr>
                <w:b/>
                <w:sz w:val="20"/>
                <w:szCs w:val="20"/>
              </w:rPr>
              <w:t>130,238.0</w:t>
            </w:r>
          </w:p>
        </w:tc>
        <w:tc>
          <w:tcPr>
            <w:tcW w:w="619" w:type="pct"/>
            <w:shd w:val="clear" w:color="auto" w:fill="C6D9F1" w:themeFill="text2" w:themeFillTint="33"/>
          </w:tcPr>
          <w:p w14:paraId="3E3C6460" w14:textId="77777777" w:rsidR="00B11AEF" w:rsidRPr="004F78C4" w:rsidRDefault="00B11AEF" w:rsidP="00B11AEF">
            <w:pPr>
              <w:ind w:firstLine="0"/>
              <w:jc w:val="center"/>
              <w:rPr>
                <w:b/>
                <w:sz w:val="20"/>
                <w:szCs w:val="20"/>
              </w:rPr>
            </w:pPr>
            <w:r w:rsidRPr="004F78C4">
              <w:rPr>
                <w:b/>
                <w:sz w:val="20"/>
                <w:szCs w:val="20"/>
              </w:rPr>
              <w:t>169,853.8</w:t>
            </w:r>
          </w:p>
        </w:tc>
        <w:tc>
          <w:tcPr>
            <w:tcW w:w="627" w:type="pct"/>
            <w:shd w:val="clear" w:color="auto" w:fill="C6D9F1" w:themeFill="text2" w:themeFillTint="33"/>
          </w:tcPr>
          <w:p w14:paraId="2DE38E18" w14:textId="77777777" w:rsidR="00B11AEF" w:rsidRPr="004F78C4" w:rsidRDefault="00B11AEF" w:rsidP="00B11AEF">
            <w:pPr>
              <w:ind w:firstLine="0"/>
              <w:jc w:val="center"/>
              <w:rPr>
                <w:b/>
                <w:sz w:val="20"/>
                <w:szCs w:val="20"/>
              </w:rPr>
            </w:pPr>
            <w:r w:rsidRPr="004F78C4">
              <w:rPr>
                <w:b/>
                <w:sz w:val="20"/>
                <w:szCs w:val="20"/>
              </w:rPr>
              <w:t>187,449.5</w:t>
            </w:r>
          </w:p>
        </w:tc>
      </w:tr>
      <w:tr w:rsidR="00B11AEF" w:rsidRPr="004F78C4" w14:paraId="3E9EE11C" w14:textId="77777777" w:rsidTr="00B11AEF">
        <w:tblPrEx>
          <w:tblCellMar>
            <w:left w:w="30" w:type="dxa"/>
            <w:right w:w="30" w:type="dxa"/>
          </w:tblCellMar>
        </w:tblPrEx>
        <w:trPr>
          <w:trHeight w:val="20"/>
        </w:trPr>
        <w:tc>
          <w:tcPr>
            <w:tcW w:w="2370" w:type="pct"/>
            <w:shd w:val="solid" w:color="FFFFFF" w:fill="auto"/>
            <w:tcMar>
              <w:left w:w="57" w:type="dxa"/>
              <w:right w:w="85" w:type="dxa"/>
            </w:tcMar>
            <w:vAlign w:val="center"/>
          </w:tcPr>
          <w:p w14:paraId="5740CD62"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57" w:type="pct"/>
            <w:shd w:val="solid" w:color="FFFFFF" w:fill="auto"/>
            <w:tcMar>
              <w:left w:w="57" w:type="dxa"/>
              <w:right w:w="85" w:type="dxa"/>
            </w:tcMar>
          </w:tcPr>
          <w:p w14:paraId="6C141013" w14:textId="77777777" w:rsidR="00B11AEF" w:rsidRPr="004F78C4" w:rsidRDefault="00B11AEF" w:rsidP="00B11AEF">
            <w:pPr>
              <w:ind w:firstLine="0"/>
              <w:jc w:val="center"/>
              <w:rPr>
                <w:sz w:val="20"/>
                <w:szCs w:val="20"/>
              </w:rPr>
            </w:pPr>
            <w:r w:rsidRPr="004F78C4">
              <w:rPr>
                <w:sz w:val="20"/>
                <w:szCs w:val="20"/>
              </w:rPr>
              <w:t>2.7</w:t>
            </w:r>
          </w:p>
        </w:tc>
        <w:tc>
          <w:tcPr>
            <w:tcW w:w="627" w:type="pct"/>
            <w:shd w:val="solid" w:color="FFFFFF" w:fill="auto"/>
            <w:tcMar>
              <w:left w:w="57" w:type="dxa"/>
              <w:right w:w="85" w:type="dxa"/>
            </w:tcMar>
          </w:tcPr>
          <w:p w14:paraId="58B9A32F" w14:textId="77777777" w:rsidR="00B11AEF" w:rsidRPr="004F78C4" w:rsidRDefault="00B11AEF" w:rsidP="00B11AEF">
            <w:pPr>
              <w:ind w:firstLine="0"/>
              <w:jc w:val="center"/>
              <w:rPr>
                <w:sz w:val="20"/>
                <w:szCs w:val="20"/>
              </w:rPr>
            </w:pPr>
            <w:r w:rsidRPr="004F78C4">
              <w:rPr>
                <w:sz w:val="20"/>
                <w:szCs w:val="20"/>
              </w:rPr>
              <w:t>1.7</w:t>
            </w:r>
          </w:p>
        </w:tc>
        <w:tc>
          <w:tcPr>
            <w:tcW w:w="619" w:type="pct"/>
            <w:shd w:val="solid" w:color="FFFFFF" w:fill="auto"/>
          </w:tcPr>
          <w:p w14:paraId="64B62CB2" w14:textId="77777777" w:rsidR="00B11AEF" w:rsidRPr="004F78C4" w:rsidRDefault="00B11AEF" w:rsidP="00B11AEF">
            <w:pPr>
              <w:ind w:firstLine="0"/>
              <w:jc w:val="center"/>
              <w:rPr>
                <w:sz w:val="20"/>
                <w:szCs w:val="20"/>
              </w:rPr>
            </w:pPr>
            <w:r w:rsidRPr="004F78C4">
              <w:rPr>
                <w:sz w:val="20"/>
                <w:szCs w:val="20"/>
              </w:rPr>
              <w:t>2.1</w:t>
            </w:r>
          </w:p>
        </w:tc>
        <w:tc>
          <w:tcPr>
            <w:tcW w:w="627" w:type="pct"/>
            <w:shd w:val="solid" w:color="FFFFFF" w:fill="auto"/>
          </w:tcPr>
          <w:p w14:paraId="3BDD94B6" w14:textId="77777777" w:rsidR="00B11AEF" w:rsidRPr="004F78C4" w:rsidRDefault="00B11AEF" w:rsidP="00B11AEF">
            <w:pPr>
              <w:ind w:firstLine="0"/>
              <w:jc w:val="center"/>
              <w:rPr>
                <w:sz w:val="20"/>
                <w:szCs w:val="20"/>
              </w:rPr>
            </w:pPr>
            <w:r w:rsidRPr="004F78C4">
              <w:rPr>
                <w:sz w:val="20"/>
                <w:szCs w:val="20"/>
              </w:rPr>
              <w:t>2.1</w:t>
            </w:r>
          </w:p>
        </w:tc>
      </w:tr>
      <w:tr w:rsidR="00B11AEF" w:rsidRPr="004F78C4" w14:paraId="4B0F2581" w14:textId="77777777" w:rsidTr="00B11AEF">
        <w:tblPrEx>
          <w:tblCellMar>
            <w:left w:w="30" w:type="dxa"/>
            <w:right w:w="30" w:type="dxa"/>
          </w:tblCellMar>
        </w:tblPrEx>
        <w:trPr>
          <w:trHeight w:val="20"/>
        </w:trPr>
        <w:tc>
          <w:tcPr>
            <w:tcW w:w="2370" w:type="pct"/>
            <w:shd w:val="solid" w:color="FFFFFF" w:fill="auto"/>
            <w:tcMar>
              <w:left w:w="57" w:type="dxa"/>
              <w:right w:w="85" w:type="dxa"/>
            </w:tcMar>
            <w:vAlign w:val="center"/>
          </w:tcPr>
          <w:p w14:paraId="702EC496"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57" w:type="pct"/>
            <w:shd w:val="solid" w:color="FFFFFF" w:fill="auto"/>
            <w:tcMar>
              <w:left w:w="57" w:type="dxa"/>
              <w:right w:w="85" w:type="dxa"/>
            </w:tcMar>
          </w:tcPr>
          <w:p w14:paraId="4D38B164" w14:textId="77777777" w:rsidR="00B11AEF" w:rsidRPr="004F78C4" w:rsidRDefault="00B11AEF" w:rsidP="00B11AEF">
            <w:pPr>
              <w:ind w:firstLine="0"/>
              <w:jc w:val="center"/>
              <w:rPr>
                <w:sz w:val="20"/>
                <w:szCs w:val="20"/>
              </w:rPr>
            </w:pPr>
            <w:r w:rsidRPr="004F78C4">
              <w:rPr>
                <w:sz w:val="20"/>
                <w:szCs w:val="20"/>
              </w:rPr>
              <w:t>9.4</w:t>
            </w:r>
          </w:p>
        </w:tc>
        <w:tc>
          <w:tcPr>
            <w:tcW w:w="627" w:type="pct"/>
            <w:shd w:val="solid" w:color="FFFFFF" w:fill="auto"/>
            <w:tcMar>
              <w:left w:w="57" w:type="dxa"/>
              <w:right w:w="85" w:type="dxa"/>
            </w:tcMar>
          </w:tcPr>
          <w:p w14:paraId="12FA2FC2" w14:textId="77777777" w:rsidR="00B11AEF" w:rsidRPr="004F78C4" w:rsidRDefault="00B11AEF" w:rsidP="00B11AEF">
            <w:pPr>
              <w:ind w:firstLine="0"/>
              <w:jc w:val="center"/>
              <w:rPr>
                <w:sz w:val="20"/>
                <w:szCs w:val="20"/>
              </w:rPr>
            </w:pPr>
            <w:r w:rsidRPr="004F78C4">
              <w:rPr>
                <w:sz w:val="20"/>
                <w:szCs w:val="20"/>
              </w:rPr>
              <w:t>6.5</w:t>
            </w:r>
          </w:p>
        </w:tc>
        <w:tc>
          <w:tcPr>
            <w:tcW w:w="619" w:type="pct"/>
            <w:shd w:val="solid" w:color="FFFFFF" w:fill="auto"/>
          </w:tcPr>
          <w:p w14:paraId="2306E491" w14:textId="77777777" w:rsidR="00B11AEF" w:rsidRPr="004F78C4" w:rsidRDefault="00B11AEF" w:rsidP="00B11AEF">
            <w:pPr>
              <w:ind w:firstLine="0"/>
              <w:jc w:val="center"/>
              <w:rPr>
                <w:sz w:val="20"/>
                <w:szCs w:val="20"/>
              </w:rPr>
            </w:pPr>
            <w:r w:rsidRPr="004F78C4">
              <w:rPr>
                <w:sz w:val="20"/>
                <w:szCs w:val="20"/>
                <w:lang w:val="hy-AM"/>
              </w:rPr>
              <w:t>8</w:t>
            </w:r>
            <w:r w:rsidRPr="004F78C4">
              <w:rPr>
                <w:sz w:val="20"/>
                <w:szCs w:val="20"/>
              </w:rPr>
              <w:t>.0</w:t>
            </w:r>
          </w:p>
        </w:tc>
        <w:tc>
          <w:tcPr>
            <w:tcW w:w="627" w:type="pct"/>
            <w:shd w:val="solid" w:color="FFFFFF" w:fill="auto"/>
          </w:tcPr>
          <w:p w14:paraId="5A7B6644" w14:textId="77777777" w:rsidR="00B11AEF" w:rsidRPr="004F78C4" w:rsidRDefault="00B11AEF" w:rsidP="00B11AEF">
            <w:pPr>
              <w:ind w:firstLine="0"/>
              <w:jc w:val="center"/>
              <w:rPr>
                <w:sz w:val="20"/>
                <w:szCs w:val="20"/>
              </w:rPr>
            </w:pPr>
            <w:r w:rsidRPr="004F78C4">
              <w:rPr>
                <w:sz w:val="20"/>
                <w:szCs w:val="20"/>
              </w:rPr>
              <w:t>8.1</w:t>
            </w:r>
          </w:p>
        </w:tc>
      </w:tr>
      <w:tr w:rsidR="00B11AEF" w:rsidRPr="004F78C4" w14:paraId="63C0A26E" w14:textId="77777777" w:rsidTr="00B11AEF">
        <w:tblPrEx>
          <w:tblCellMar>
            <w:left w:w="30" w:type="dxa"/>
            <w:right w:w="30" w:type="dxa"/>
          </w:tblCellMar>
        </w:tblPrEx>
        <w:trPr>
          <w:trHeight w:val="20"/>
        </w:trPr>
        <w:tc>
          <w:tcPr>
            <w:tcW w:w="2370" w:type="pct"/>
            <w:shd w:val="solid" w:color="FFFFFF" w:fill="auto"/>
            <w:tcMar>
              <w:left w:w="57" w:type="dxa"/>
              <w:right w:w="85" w:type="dxa"/>
            </w:tcMar>
            <w:vAlign w:val="center"/>
          </w:tcPr>
          <w:p w14:paraId="1F1EA7CC" w14:textId="77777777" w:rsidR="00B11AEF" w:rsidRPr="004F78C4" w:rsidRDefault="00B11AEF" w:rsidP="00B11AEF">
            <w:pPr>
              <w:ind w:firstLine="0"/>
              <w:rPr>
                <w:sz w:val="20"/>
                <w:szCs w:val="20"/>
                <w:lang w:val="hy-AM"/>
              </w:rPr>
            </w:pPr>
            <w:r w:rsidRPr="004F78C4">
              <w:rPr>
                <w:rFonts w:cs="Arial"/>
                <w:sz w:val="20"/>
                <w:szCs w:val="20"/>
              </w:rPr>
              <w:t>այդ</w:t>
            </w:r>
            <w:r w:rsidRPr="004F78C4">
              <w:rPr>
                <w:sz w:val="20"/>
                <w:szCs w:val="20"/>
              </w:rPr>
              <w:t xml:space="preserve"> </w:t>
            </w:r>
            <w:r w:rsidRPr="004F78C4">
              <w:rPr>
                <w:rFonts w:cs="Arial"/>
                <w:sz w:val="20"/>
                <w:szCs w:val="20"/>
              </w:rPr>
              <w:t>թվում</w:t>
            </w:r>
            <w:r w:rsidRPr="004F78C4">
              <w:rPr>
                <w:sz w:val="20"/>
                <w:szCs w:val="20"/>
              </w:rPr>
              <w:t>`</w:t>
            </w:r>
          </w:p>
        </w:tc>
        <w:tc>
          <w:tcPr>
            <w:tcW w:w="757" w:type="pct"/>
            <w:shd w:val="solid" w:color="FFFFFF" w:fill="auto"/>
            <w:tcMar>
              <w:left w:w="57" w:type="dxa"/>
              <w:right w:w="85" w:type="dxa"/>
            </w:tcMar>
            <w:vAlign w:val="center"/>
          </w:tcPr>
          <w:p w14:paraId="76180018" w14:textId="77777777" w:rsidR="00B11AEF" w:rsidRPr="004F78C4" w:rsidRDefault="00B11AEF" w:rsidP="00B11AEF">
            <w:pPr>
              <w:ind w:firstLine="0"/>
              <w:jc w:val="center"/>
              <w:rPr>
                <w:sz w:val="20"/>
                <w:szCs w:val="20"/>
              </w:rPr>
            </w:pPr>
          </w:p>
        </w:tc>
        <w:tc>
          <w:tcPr>
            <w:tcW w:w="627" w:type="pct"/>
            <w:shd w:val="solid" w:color="FFFFFF" w:fill="auto"/>
            <w:tcMar>
              <w:left w:w="57" w:type="dxa"/>
              <w:right w:w="85" w:type="dxa"/>
            </w:tcMar>
            <w:vAlign w:val="center"/>
          </w:tcPr>
          <w:p w14:paraId="11C88166" w14:textId="77777777" w:rsidR="00B11AEF" w:rsidRPr="004F78C4" w:rsidRDefault="00B11AEF" w:rsidP="00B11AEF">
            <w:pPr>
              <w:ind w:firstLine="0"/>
              <w:jc w:val="center"/>
              <w:rPr>
                <w:sz w:val="20"/>
                <w:szCs w:val="20"/>
              </w:rPr>
            </w:pPr>
          </w:p>
        </w:tc>
        <w:tc>
          <w:tcPr>
            <w:tcW w:w="619" w:type="pct"/>
            <w:shd w:val="solid" w:color="FFFFFF" w:fill="auto"/>
            <w:vAlign w:val="center"/>
          </w:tcPr>
          <w:p w14:paraId="5418D017" w14:textId="77777777" w:rsidR="00B11AEF" w:rsidRPr="004F78C4" w:rsidRDefault="00B11AEF" w:rsidP="00B11AEF">
            <w:pPr>
              <w:ind w:firstLine="0"/>
              <w:jc w:val="center"/>
              <w:rPr>
                <w:sz w:val="20"/>
                <w:szCs w:val="20"/>
              </w:rPr>
            </w:pPr>
          </w:p>
        </w:tc>
        <w:tc>
          <w:tcPr>
            <w:tcW w:w="627" w:type="pct"/>
            <w:shd w:val="solid" w:color="FFFFFF" w:fill="auto"/>
            <w:vAlign w:val="center"/>
          </w:tcPr>
          <w:p w14:paraId="56F3D85F" w14:textId="77777777" w:rsidR="00B11AEF" w:rsidRPr="004F78C4" w:rsidRDefault="00B11AEF" w:rsidP="00B11AEF">
            <w:pPr>
              <w:ind w:firstLine="0"/>
              <w:jc w:val="center"/>
              <w:rPr>
                <w:sz w:val="20"/>
                <w:szCs w:val="20"/>
              </w:rPr>
            </w:pPr>
          </w:p>
        </w:tc>
      </w:tr>
      <w:tr w:rsidR="00B11AEF" w:rsidRPr="004F78C4" w14:paraId="671188A1" w14:textId="77777777" w:rsidTr="00B11AEF">
        <w:tblPrEx>
          <w:tblCellMar>
            <w:left w:w="30" w:type="dxa"/>
            <w:right w:w="30" w:type="dxa"/>
          </w:tblCellMar>
        </w:tblPrEx>
        <w:trPr>
          <w:trHeight w:val="20"/>
        </w:trPr>
        <w:tc>
          <w:tcPr>
            <w:tcW w:w="2370" w:type="pct"/>
            <w:shd w:val="clear" w:color="auto" w:fill="C6D9F1" w:themeFill="text2" w:themeFillTint="33"/>
            <w:tcMar>
              <w:left w:w="57" w:type="dxa"/>
              <w:right w:w="85" w:type="dxa"/>
            </w:tcMar>
            <w:vAlign w:val="center"/>
          </w:tcPr>
          <w:p w14:paraId="702441B5" w14:textId="77777777" w:rsidR="00B11AEF" w:rsidRPr="004F78C4" w:rsidRDefault="00B11AEF" w:rsidP="00B11AEF">
            <w:pPr>
              <w:ind w:firstLine="0"/>
              <w:rPr>
                <w:b/>
                <w:sz w:val="20"/>
                <w:szCs w:val="20"/>
                <w:lang w:val="hy-AM"/>
              </w:rPr>
            </w:pPr>
            <w:r w:rsidRPr="004F78C4">
              <w:rPr>
                <w:b/>
                <w:sz w:val="20"/>
                <w:szCs w:val="20"/>
                <w:lang w:val="hy-AM"/>
              </w:rPr>
              <w:t>1.</w:t>
            </w:r>
            <w:r w:rsidRPr="004F78C4">
              <w:rPr>
                <w:rFonts w:cs="Arial"/>
                <w:b/>
                <w:sz w:val="20"/>
                <w:szCs w:val="20"/>
                <w:lang w:val="hy-AM"/>
              </w:rPr>
              <w:t>ՏՆՏԵՍԱԿԱՆ ՀԱՐԱԲԵՐՈՒԹՅՈՒՆՆԵՐ</w:t>
            </w:r>
          </w:p>
        </w:tc>
        <w:tc>
          <w:tcPr>
            <w:tcW w:w="757" w:type="pct"/>
            <w:shd w:val="clear" w:color="auto" w:fill="C6D9F1" w:themeFill="text2" w:themeFillTint="33"/>
            <w:tcMar>
              <w:left w:w="57" w:type="dxa"/>
              <w:right w:w="85" w:type="dxa"/>
            </w:tcMar>
            <w:vAlign w:val="center"/>
          </w:tcPr>
          <w:p w14:paraId="39F99E3C" w14:textId="77777777" w:rsidR="00B11AEF" w:rsidRPr="004F78C4" w:rsidRDefault="00B11AEF" w:rsidP="00B11AEF">
            <w:pPr>
              <w:ind w:firstLine="0"/>
              <w:jc w:val="center"/>
              <w:rPr>
                <w:b/>
                <w:bCs/>
                <w:sz w:val="20"/>
                <w:szCs w:val="20"/>
                <w:lang w:val="hy-AM"/>
              </w:rPr>
            </w:pPr>
            <w:r w:rsidRPr="004F78C4">
              <w:rPr>
                <w:b/>
                <w:bCs/>
                <w:sz w:val="20"/>
                <w:szCs w:val="20"/>
                <w:lang w:val="hy-AM"/>
              </w:rPr>
              <w:t>148</w:t>
            </w:r>
            <w:r w:rsidRPr="004F78C4">
              <w:rPr>
                <w:b/>
                <w:bCs/>
                <w:sz w:val="20"/>
                <w:szCs w:val="20"/>
              </w:rPr>
              <w:t>,</w:t>
            </w:r>
            <w:r w:rsidRPr="004F78C4">
              <w:rPr>
                <w:b/>
                <w:bCs/>
                <w:sz w:val="20"/>
                <w:szCs w:val="20"/>
                <w:lang w:val="hy-AM"/>
              </w:rPr>
              <w:t>944</w:t>
            </w:r>
            <w:r w:rsidRPr="004F78C4">
              <w:rPr>
                <w:b/>
                <w:bCs/>
                <w:sz w:val="20"/>
                <w:szCs w:val="20"/>
              </w:rPr>
              <w:t>.</w:t>
            </w:r>
            <w:r w:rsidRPr="004F78C4">
              <w:rPr>
                <w:b/>
                <w:bCs/>
                <w:sz w:val="20"/>
                <w:szCs w:val="20"/>
                <w:lang w:val="hy-AM"/>
              </w:rPr>
              <w:t>2</w:t>
            </w:r>
          </w:p>
        </w:tc>
        <w:tc>
          <w:tcPr>
            <w:tcW w:w="627" w:type="pct"/>
            <w:shd w:val="clear" w:color="auto" w:fill="C6D9F1" w:themeFill="text2" w:themeFillTint="33"/>
            <w:tcMar>
              <w:left w:w="57" w:type="dxa"/>
              <w:right w:w="85" w:type="dxa"/>
            </w:tcMar>
            <w:vAlign w:val="center"/>
          </w:tcPr>
          <w:p w14:paraId="383849C6" w14:textId="77777777" w:rsidR="00B11AEF" w:rsidRPr="004F78C4" w:rsidRDefault="00B11AEF" w:rsidP="00B11AEF">
            <w:pPr>
              <w:ind w:firstLine="0"/>
              <w:jc w:val="center"/>
              <w:rPr>
                <w:b/>
                <w:bCs/>
                <w:sz w:val="20"/>
                <w:szCs w:val="20"/>
                <w:lang w:val="hy-AM"/>
              </w:rPr>
            </w:pPr>
            <w:r w:rsidRPr="004F78C4">
              <w:rPr>
                <w:b/>
                <w:bCs/>
                <w:sz w:val="20"/>
                <w:szCs w:val="20"/>
                <w:lang w:val="hy-AM"/>
              </w:rPr>
              <w:t>106</w:t>
            </w:r>
            <w:r w:rsidRPr="004F78C4">
              <w:rPr>
                <w:b/>
                <w:bCs/>
                <w:sz w:val="20"/>
                <w:szCs w:val="20"/>
              </w:rPr>
              <w:t>,</w:t>
            </w:r>
            <w:r w:rsidRPr="004F78C4">
              <w:rPr>
                <w:b/>
                <w:bCs/>
                <w:sz w:val="20"/>
                <w:szCs w:val="20"/>
                <w:lang w:val="hy-AM"/>
              </w:rPr>
              <w:t>528</w:t>
            </w:r>
            <w:r w:rsidRPr="004F78C4">
              <w:rPr>
                <w:b/>
                <w:bCs/>
                <w:sz w:val="20"/>
                <w:szCs w:val="20"/>
              </w:rPr>
              <w:t>.</w:t>
            </w:r>
            <w:r w:rsidRPr="004F78C4">
              <w:rPr>
                <w:b/>
                <w:bCs/>
                <w:sz w:val="20"/>
                <w:szCs w:val="20"/>
                <w:lang w:val="hy-AM"/>
              </w:rPr>
              <w:t>9</w:t>
            </w:r>
          </w:p>
        </w:tc>
        <w:tc>
          <w:tcPr>
            <w:tcW w:w="619" w:type="pct"/>
            <w:shd w:val="clear" w:color="auto" w:fill="C6D9F1" w:themeFill="text2" w:themeFillTint="33"/>
            <w:vAlign w:val="center"/>
          </w:tcPr>
          <w:p w14:paraId="627312EF" w14:textId="77777777" w:rsidR="00B11AEF" w:rsidRPr="004F78C4" w:rsidRDefault="00B11AEF" w:rsidP="00B11AEF">
            <w:pPr>
              <w:ind w:firstLine="0"/>
              <w:jc w:val="center"/>
              <w:rPr>
                <w:b/>
                <w:bCs/>
                <w:sz w:val="20"/>
                <w:szCs w:val="20"/>
              </w:rPr>
            </w:pPr>
            <w:r w:rsidRPr="004F78C4">
              <w:rPr>
                <w:b/>
                <w:bCs/>
                <w:sz w:val="20"/>
                <w:szCs w:val="20"/>
                <w:lang w:val="hy-AM"/>
              </w:rPr>
              <w:t>135</w:t>
            </w:r>
            <w:r w:rsidRPr="004F78C4">
              <w:rPr>
                <w:b/>
                <w:bCs/>
                <w:sz w:val="20"/>
                <w:szCs w:val="20"/>
              </w:rPr>
              <w:t>,</w:t>
            </w:r>
            <w:r w:rsidRPr="004F78C4">
              <w:rPr>
                <w:b/>
                <w:bCs/>
                <w:sz w:val="20"/>
                <w:szCs w:val="20"/>
                <w:lang w:val="hy-AM"/>
              </w:rPr>
              <w:t>249</w:t>
            </w:r>
            <w:r w:rsidRPr="004F78C4">
              <w:rPr>
                <w:b/>
                <w:bCs/>
                <w:sz w:val="20"/>
                <w:szCs w:val="20"/>
              </w:rPr>
              <w:t>.6</w:t>
            </w:r>
          </w:p>
        </w:tc>
        <w:tc>
          <w:tcPr>
            <w:tcW w:w="627" w:type="pct"/>
            <w:shd w:val="clear" w:color="auto" w:fill="C6D9F1" w:themeFill="text2" w:themeFillTint="33"/>
            <w:vAlign w:val="center"/>
          </w:tcPr>
          <w:p w14:paraId="73AA4B24" w14:textId="77777777" w:rsidR="00B11AEF" w:rsidRPr="004F78C4" w:rsidRDefault="00B11AEF" w:rsidP="00B11AEF">
            <w:pPr>
              <w:ind w:firstLine="0"/>
              <w:jc w:val="center"/>
              <w:rPr>
                <w:b/>
                <w:bCs/>
                <w:sz w:val="20"/>
                <w:szCs w:val="20"/>
              </w:rPr>
            </w:pPr>
            <w:r w:rsidRPr="004F78C4">
              <w:rPr>
                <w:b/>
                <w:bCs/>
                <w:sz w:val="20"/>
                <w:szCs w:val="20"/>
                <w:lang w:val="hy-AM"/>
              </w:rPr>
              <w:t>176</w:t>
            </w:r>
            <w:r w:rsidRPr="004F78C4">
              <w:rPr>
                <w:b/>
                <w:bCs/>
                <w:sz w:val="20"/>
                <w:szCs w:val="20"/>
              </w:rPr>
              <w:t>,</w:t>
            </w:r>
            <w:r w:rsidRPr="004F78C4">
              <w:rPr>
                <w:b/>
                <w:bCs/>
                <w:sz w:val="20"/>
                <w:szCs w:val="20"/>
                <w:lang w:val="hy-AM"/>
              </w:rPr>
              <w:t>111</w:t>
            </w:r>
            <w:r w:rsidRPr="004F78C4">
              <w:rPr>
                <w:b/>
                <w:bCs/>
                <w:sz w:val="20"/>
                <w:szCs w:val="20"/>
              </w:rPr>
              <w:t>.7</w:t>
            </w:r>
          </w:p>
        </w:tc>
      </w:tr>
      <w:tr w:rsidR="00B11AEF" w:rsidRPr="004F78C4" w14:paraId="73522018" w14:textId="77777777" w:rsidTr="00B11AEF">
        <w:trPr>
          <w:trHeight w:val="20"/>
        </w:trPr>
        <w:tc>
          <w:tcPr>
            <w:tcW w:w="2370" w:type="pct"/>
            <w:shd w:val="clear" w:color="auto" w:fill="FFFFFF"/>
            <w:tcMar>
              <w:left w:w="57" w:type="dxa"/>
              <w:right w:w="85" w:type="dxa"/>
            </w:tcMar>
            <w:vAlign w:val="center"/>
          </w:tcPr>
          <w:p w14:paraId="26B37FB3"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57" w:type="pct"/>
            <w:shd w:val="clear" w:color="auto" w:fill="FFFFFF"/>
            <w:tcMar>
              <w:left w:w="57" w:type="dxa"/>
              <w:right w:w="85" w:type="dxa"/>
            </w:tcMar>
            <w:vAlign w:val="center"/>
          </w:tcPr>
          <w:p w14:paraId="4F36CF7E" w14:textId="77777777" w:rsidR="00B11AEF" w:rsidRPr="004F78C4" w:rsidRDefault="00B11AEF" w:rsidP="00B11AEF">
            <w:pPr>
              <w:ind w:firstLine="0"/>
              <w:jc w:val="center"/>
              <w:rPr>
                <w:sz w:val="20"/>
                <w:szCs w:val="20"/>
              </w:rPr>
            </w:pPr>
            <w:r w:rsidRPr="004F78C4">
              <w:rPr>
                <w:sz w:val="20"/>
                <w:szCs w:val="20"/>
              </w:rPr>
              <w:t>2.33</w:t>
            </w:r>
          </w:p>
        </w:tc>
        <w:tc>
          <w:tcPr>
            <w:tcW w:w="627" w:type="pct"/>
            <w:shd w:val="clear" w:color="auto" w:fill="FFFFFF"/>
            <w:tcMar>
              <w:left w:w="57" w:type="dxa"/>
              <w:right w:w="85" w:type="dxa"/>
            </w:tcMar>
            <w:vAlign w:val="center"/>
          </w:tcPr>
          <w:p w14:paraId="04C2E9F9" w14:textId="77777777" w:rsidR="00B11AEF" w:rsidRPr="004F78C4" w:rsidRDefault="00B11AEF" w:rsidP="00B11AEF">
            <w:pPr>
              <w:ind w:firstLine="0"/>
              <w:jc w:val="center"/>
              <w:rPr>
                <w:sz w:val="20"/>
                <w:szCs w:val="20"/>
              </w:rPr>
            </w:pPr>
            <w:r w:rsidRPr="004F78C4">
              <w:rPr>
                <w:sz w:val="20"/>
                <w:szCs w:val="20"/>
              </w:rPr>
              <w:t>1.41</w:t>
            </w:r>
          </w:p>
        </w:tc>
        <w:tc>
          <w:tcPr>
            <w:tcW w:w="619" w:type="pct"/>
            <w:shd w:val="clear" w:color="auto" w:fill="FFFFFF"/>
            <w:vAlign w:val="center"/>
          </w:tcPr>
          <w:p w14:paraId="449696BA" w14:textId="77777777" w:rsidR="00B11AEF" w:rsidRPr="004F78C4" w:rsidRDefault="00B11AEF" w:rsidP="00B11AEF">
            <w:pPr>
              <w:ind w:firstLine="0"/>
              <w:jc w:val="center"/>
              <w:rPr>
                <w:sz w:val="20"/>
                <w:szCs w:val="20"/>
              </w:rPr>
            </w:pPr>
            <w:r w:rsidRPr="004F78C4">
              <w:rPr>
                <w:sz w:val="20"/>
                <w:szCs w:val="20"/>
              </w:rPr>
              <w:t>1.66</w:t>
            </w:r>
          </w:p>
        </w:tc>
        <w:tc>
          <w:tcPr>
            <w:tcW w:w="627" w:type="pct"/>
            <w:shd w:val="clear" w:color="auto" w:fill="FFFFFF"/>
            <w:vAlign w:val="center"/>
          </w:tcPr>
          <w:p w14:paraId="602129EC" w14:textId="77777777" w:rsidR="00B11AEF" w:rsidRPr="004F78C4" w:rsidRDefault="00B11AEF" w:rsidP="00B11AEF">
            <w:pPr>
              <w:ind w:firstLine="0"/>
              <w:jc w:val="center"/>
              <w:rPr>
                <w:sz w:val="20"/>
                <w:szCs w:val="20"/>
              </w:rPr>
            </w:pPr>
            <w:r w:rsidRPr="004F78C4">
              <w:rPr>
                <w:sz w:val="20"/>
                <w:szCs w:val="20"/>
              </w:rPr>
              <w:t>1.99</w:t>
            </w:r>
          </w:p>
        </w:tc>
      </w:tr>
      <w:tr w:rsidR="00B11AEF" w:rsidRPr="004F78C4" w14:paraId="41DE613B" w14:textId="77777777" w:rsidTr="00B11AEF">
        <w:trPr>
          <w:trHeight w:val="20"/>
        </w:trPr>
        <w:tc>
          <w:tcPr>
            <w:tcW w:w="2370" w:type="pct"/>
            <w:shd w:val="clear" w:color="auto" w:fill="FFFFFF"/>
            <w:tcMar>
              <w:left w:w="57" w:type="dxa"/>
              <w:right w:w="85" w:type="dxa"/>
            </w:tcMar>
            <w:vAlign w:val="center"/>
          </w:tcPr>
          <w:p w14:paraId="30A61EFF"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57" w:type="pct"/>
            <w:shd w:val="clear" w:color="auto" w:fill="FFFFFF"/>
            <w:tcMar>
              <w:left w:w="57" w:type="dxa"/>
              <w:right w:w="85" w:type="dxa"/>
            </w:tcMar>
            <w:vAlign w:val="center"/>
          </w:tcPr>
          <w:p w14:paraId="6FFFF43A" w14:textId="77777777" w:rsidR="00B11AEF" w:rsidRPr="004F78C4" w:rsidRDefault="00B11AEF" w:rsidP="00B11AEF">
            <w:pPr>
              <w:ind w:firstLine="0"/>
              <w:jc w:val="center"/>
              <w:rPr>
                <w:sz w:val="20"/>
                <w:szCs w:val="20"/>
              </w:rPr>
            </w:pPr>
            <w:r w:rsidRPr="004F78C4">
              <w:rPr>
                <w:sz w:val="20"/>
                <w:szCs w:val="20"/>
              </w:rPr>
              <w:t>8.05</w:t>
            </w:r>
          </w:p>
        </w:tc>
        <w:tc>
          <w:tcPr>
            <w:tcW w:w="627" w:type="pct"/>
            <w:shd w:val="clear" w:color="auto" w:fill="FFFFFF"/>
            <w:tcMar>
              <w:left w:w="57" w:type="dxa"/>
              <w:right w:w="85" w:type="dxa"/>
            </w:tcMar>
            <w:vAlign w:val="center"/>
          </w:tcPr>
          <w:p w14:paraId="49493BDF" w14:textId="77777777" w:rsidR="00B11AEF" w:rsidRPr="004F78C4" w:rsidRDefault="00B11AEF" w:rsidP="00B11AEF">
            <w:pPr>
              <w:ind w:firstLine="0"/>
              <w:jc w:val="center"/>
              <w:rPr>
                <w:sz w:val="20"/>
                <w:szCs w:val="20"/>
              </w:rPr>
            </w:pPr>
            <w:r w:rsidRPr="004F78C4">
              <w:rPr>
                <w:sz w:val="20"/>
                <w:szCs w:val="20"/>
              </w:rPr>
              <w:t>5.32</w:t>
            </w:r>
          </w:p>
        </w:tc>
        <w:tc>
          <w:tcPr>
            <w:tcW w:w="619" w:type="pct"/>
            <w:shd w:val="clear" w:color="auto" w:fill="FFFFFF"/>
            <w:vAlign w:val="center"/>
          </w:tcPr>
          <w:p w14:paraId="198ABBF2" w14:textId="77777777" w:rsidR="00B11AEF" w:rsidRPr="004F78C4" w:rsidRDefault="00B11AEF" w:rsidP="00B11AEF">
            <w:pPr>
              <w:ind w:firstLine="0"/>
              <w:jc w:val="center"/>
              <w:rPr>
                <w:sz w:val="20"/>
                <w:szCs w:val="20"/>
              </w:rPr>
            </w:pPr>
            <w:r w:rsidRPr="004F78C4">
              <w:rPr>
                <w:sz w:val="20"/>
                <w:szCs w:val="20"/>
              </w:rPr>
              <w:t>6.33</w:t>
            </w:r>
          </w:p>
        </w:tc>
        <w:tc>
          <w:tcPr>
            <w:tcW w:w="627" w:type="pct"/>
            <w:shd w:val="clear" w:color="auto" w:fill="FFFFFF"/>
            <w:vAlign w:val="center"/>
          </w:tcPr>
          <w:p w14:paraId="7A58F5E6" w14:textId="77777777" w:rsidR="00B11AEF" w:rsidRPr="004F78C4" w:rsidRDefault="00B11AEF" w:rsidP="00B11AEF">
            <w:pPr>
              <w:ind w:firstLine="0"/>
              <w:jc w:val="center"/>
              <w:rPr>
                <w:sz w:val="20"/>
                <w:szCs w:val="20"/>
              </w:rPr>
            </w:pPr>
            <w:r w:rsidRPr="004F78C4">
              <w:rPr>
                <w:sz w:val="20"/>
                <w:szCs w:val="20"/>
              </w:rPr>
              <w:t>7.62</w:t>
            </w:r>
          </w:p>
        </w:tc>
      </w:tr>
      <w:tr w:rsidR="00B11AEF" w:rsidRPr="004F78C4" w14:paraId="70B04F6E" w14:textId="77777777" w:rsidTr="00B11AEF">
        <w:tblPrEx>
          <w:tblCellMar>
            <w:left w:w="30" w:type="dxa"/>
            <w:right w:w="30" w:type="dxa"/>
          </w:tblCellMar>
        </w:tblPrEx>
        <w:trPr>
          <w:trHeight w:val="20"/>
        </w:trPr>
        <w:tc>
          <w:tcPr>
            <w:tcW w:w="2370" w:type="pct"/>
            <w:shd w:val="clear" w:color="auto" w:fill="C6D9F1" w:themeFill="text2" w:themeFillTint="33"/>
            <w:tcMar>
              <w:left w:w="57" w:type="dxa"/>
              <w:right w:w="85" w:type="dxa"/>
            </w:tcMar>
            <w:vAlign w:val="center"/>
          </w:tcPr>
          <w:p w14:paraId="0B44E4D6" w14:textId="77777777" w:rsidR="00B11AEF" w:rsidRPr="004F78C4" w:rsidRDefault="00B11AEF" w:rsidP="00B11AEF">
            <w:pPr>
              <w:ind w:firstLine="0"/>
              <w:jc w:val="left"/>
              <w:rPr>
                <w:sz w:val="20"/>
                <w:szCs w:val="20"/>
              </w:rPr>
            </w:pPr>
            <w:r w:rsidRPr="004F78C4">
              <w:rPr>
                <w:sz w:val="20"/>
                <w:szCs w:val="20"/>
              </w:rPr>
              <w:t>2.</w:t>
            </w:r>
            <w:r w:rsidRPr="004F78C4">
              <w:rPr>
                <w:b/>
                <w:bCs/>
                <w:sz w:val="20"/>
                <w:szCs w:val="20"/>
              </w:rPr>
              <w:t>ՇՐՋԱԿԱ  ՄԻՋԱՎԱՅՐԻ ՊԱՇՏՊԱՆՈՒԹՅՈՒՆ</w:t>
            </w:r>
          </w:p>
        </w:tc>
        <w:tc>
          <w:tcPr>
            <w:tcW w:w="757" w:type="pct"/>
            <w:shd w:val="clear" w:color="auto" w:fill="C6D9F1" w:themeFill="text2" w:themeFillTint="33"/>
            <w:tcMar>
              <w:left w:w="57" w:type="dxa"/>
              <w:right w:w="85" w:type="dxa"/>
            </w:tcMar>
            <w:vAlign w:val="center"/>
          </w:tcPr>
          <w:p w14:paraId="6D0B9565" w14:textId="77777777" w:rsidR="00B11AEF" w:rsidRPr="004F78C4" w:rsidRDefault="00B11AEF" w:rsidP="00B11AEF">
            <w:pPr>
              <w:ind w:firstLine="0"/>
              <w:jc w:val="center"/>
              <w:rPr>
                <w:b/>
                <w:bCs/>
                <w:sz w:val="20"/>
                <w:szCs w:val="20"/>
              </w:rPr>
            </w:pPr>
            <w:r w:rsidRPr="004F78C4">
              <w:rPr>
                <w:b/>
                <w:bCs/>
                <w:sz w:val="20"/>
                <w:szCs w:val="20"/>
              </w:rPr>
              <w:t>10,892.1</w:t>
            </w:r>
          </w:p>
        </w:tc>
        <w:tc>
          <w:tcPr>
            <w:tcW w:w="627" w:type="pct"/>
            <w:shd w:val="clear" w:color="auto" w:fill="C6D9F1" w:themeFill="text2" w:themeFillTint="33"/>
            <w:tcMar>
              <w:left w:w="57" w:type="dxa"/>
              <w:right w:w="85" w:type="dxa"/>
            </w:tcMar>
            <w:vAlign w:val="center"/>
          </w:tcPr>
          <w:p w14:paraId="706F319C" w14:textId="77777777" w:rsidR="00B11AEF" w:rsidRPr="004F78C4" w:rsidRDefault="00B11AEF" w:rsidP="00B11AEF">
            <w:pPr>
              <w:ind w:firstLine="0"/>
              <w:jc w:val="center"/>
              <w:rPr>
                <w:b/>
                <w:bCs/>
                <w:sz w:val="20"/>
                <w:szCs w:val="20"/>
              </w:rPr>
            </w:pPr>
            <w:r w:rsidRPr="004F78C4">
              <w:rPr>
                <w:b/>
                <w:bCs/>
                <w:sz w:val="20"/>
                <w:szCs w:val="20"/>
              </w:rPr>
              <w:t>9,061.7</w:t>
            </w:r>
          </w:p>
        </w:tc>
        <w:tc>
          <w:tcPr>
            <w:tcW w:w="619" w:type="pct"/>
            <w:shd w:val="clear" w:color="auto" w:fill="C6D9F1" w:themeFill="text2" w:themeFillTint="33"/>
            <w:vAlign w:val="center"/>
          </w:tcPr>
          <w:p w14:paraId="74CF197E" w14:textId="77777777" w:rsidR="00B11AEF" w:rsidRPr="004F78C4" w:rsidRDefault="00B11AEF" w:rsidP="00B11AEF">
            <w:pPr>
              <w:ind w:firstLine="0"/>
              <w:jc w:val="center"/>
              <w:rPr>
                <w:b/>
                <w:bCs/>
                <w:sz w:val="20"/>
                <w:szCs w:val="20"/>
              </w:rPr>
            </w:pPr>
            <w:r w:rsidRPr="004F78C4">
              <w:rPr>
                <w:b/>
                <w:bCs/>
                <w:sz w:val="20"/>
                <w:szCs w:val="20"/>
              </w:rPr>
              <w:t>9,437.5</w:t>
            </w:r>
          </w:p>
        </w:tc>
        <w:tc>
          <w:tcPr>
            <w:tcW w:w="627" w:type="pct"/>
            <w:shd w:val="clear" w:color="auto" w:fill="C6D9F1" w:themeFill="text2" w:themeFillTint="33"/>
            <w:vAlign w:val="center"/>
          </w:tcPr>
          <w:p w14:paraId="4811DF4C" w14:textId="77777777" w:rsidR="00B11AEF" w:rsidRPr="004F78C4" w:rsidRDefault="00B11AEF" w:rsidP="00B11AEF">
            <w:pPr>
              <w:ind w:firstLine="0"/>
              <w:jc w:val="center"/>
              <w:rPr>
                <w:b/>
                <w:bCs/>
                <w:sz w:val="20"/>
                <w:szCs w:val="20"/>
              </w:rPr>
            </w:pPr>
            <w:r w:rsidRPr="004F78C4">
              <w:rPr>
                <w:b/>
                <w:bCs/>
                <w:sz w:val="20"/>
                <w:szCs w:val="20"/>
              </w:rPr>
              <w:t>7,063.1</w:t>
            </w:r>
          </w:p>
        </w:tc>
      </w:tr>
      <w:tr w:rsidR="00B11AEF" w:rsidRPr="004F78C4" w14:paraId="132A64E4" w14:textId="77777777" w:rsidTr="00B11AEF">
        <w:tblPrEx>
          <w:tblCellMar>
            <w:left w:w="30" w:type="dxa"/>
            <w:right w:w="30" w:type="dxa"/>
          </w:tblCellMar>
        </w:tblPrEx>
        <w:trPr>
          <w:trHeight w:val="20"/>
        </w:trPr>
        <w:tc>
          <w:tcPr>
            <w:tcW w:w="2370" w:type="pct"/>
            <w:shd w:val="solid" w:color="FFFFFF" w:fill="auto"/>
            <w:tcMar>
              <w:left w:w="57" w:type="dxa"/>
              <w:right w:w="85" w:type="dxa"/>
            </w:tcMar>
            <w:vAlign w:val="center"/>
          </w:tcPr>
          <w:p w14:paraId="36E43396"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57" w:type="pct"/>
            <w:shd w:val="solid" w:color="FFFFFF" w:fill="auto"/>
            <w:tcMar>
              <w:left w:w="57" w:type="dxa"/>
              <w:right w:w="85" w:type="dxa"/>
            </w:tcMar>
            <w:vAlign w:val="center"/>
          </w:tcPr>
          <w:p w14:paraId="6B9BC872" w14:textId="77777777" w:rsidR="00B11AEF" w:rsidRPr="004F78C4" w:rsidRDefault="00B11AEF" w:rsidP="00B11AEF">
            <w:pPr>
              <w:ind w:firstLine="0"/>
              <w:jc w:val="center"/>
              <w:rPr>
                <w:sz w:val="20"/>
                <w:szCs w:val="20"/>
              </w:rPr>
            </w:pPr>
            <w:r w:rsidRPr="004F78C4">
              <w:rPr>
                <w:sz w:val="20"/>
                <w:szCs w:val="20"/>
              </w:rPr>
              <w:t>0.17</w:t>
            </w:r>
          </w:p>
        </w:tc>
        <w:tc>
          <w:tcPr>
            <w:tcW w:w="627" w:type="pct"/>
            <w:shd w:val="solid" w:color="FFFFFF" w:fill="auto"/>
            <w:tcMar>
              <w:left w:w="57" w:type="dxa"/>
              <w:right w:w="85" w:type="dxa"/>
            </w:tcMar>
            <w:vAlign w:val="center"/>
          </w:tcPr>
          <w:p w14:paraId="5265BE24" w14:textId="77777777" w:rsidR="00B11AEF" w:rsidRPr="004F78C4" w:rsidRDefault="00B11AEF" w:rsidP="00B11AEF">
            <w:pPr>
              <w:ind w:firstLine="0"/>
              <w:jc w:val="center"/>
              <w:rPr>
                <w:sz w:val="20"/>
                <w:szCs w:val="20"/>
              </w:rPr>
            </w:pPr>
            <w:r w:rsidRPr="004F78C4">
              <w:rPr>
                <w:sz w:val="20"/>
                <w:szCs w:val="20"/>
              </w:rPr>
              <w:t>0.12</w:t>
            </w:r>
          </w:p>
        </w:tc>
        <w:tc>
          <w:tcPr>
            <w:tcW w:w="619" w:type="pct"/>
            <w:shd w:val="solid" w:color="FFFFFF" w:fill="auto"/>
            <w:vAlign w:val="center"/>
          </w:tcPr>
          <w:p w14:paraId="243C4751" w14:textId="77777777" w:rsidR="00B11AEF" w:rsidRPr="004F78C4" w:rsidRDefault="00B11AEF" w:rsidP="00B11AEF">
            <w:pPr>
              <w:ind w:firstLine="0"/>
              <w:jc w:val="center"/>
              <w:rPr>
                <w:sz w:val="20"/>
                <w:szCs w:val="20"/>
              </w:rPr>
            </w:pPr>
            <w:r w:rsidRPr="004F78C4">
              <w:rPr>
                <w:sz w:val="20"/>
                <w:szCs w:val="20"/>
              </w:rPr>
              <w:t>0.12</w:t>
            </w:r>
          </w:p>
        </w:tc>
        <w:tc>
          <w:tcPr>
            <w:tcW w:w="627" w:type="pct"/>
            <w:shd w:val="solid" w:color="FFFFFF" w:fill="auto"/>
            <w:vAlign w:val="center"/>
          </w:tcPr>
          <w:p w14:paraId="3788B8E8" w14:textId="77777777" w:rsidR="00B11AEF" w:rsidRPr="004F78C4" w:rsidRDefault="00B11AEF" w:rsidP="00B11AEF">
            <w:pPr>
              <w:ind w:firstLine="0"/>
              <w:jc w:val="center"/>
              <w:rPr>
                <w:sz w:val="20"/>
                <w:szCs w:val="20"/>
              </w:rPr>
            </w:pPr>
            <w:r w:rsidRPr="004F78C4">
              <w:rPr>
                <w:sz w:val="20"/>
                <w:szCs w:val="20"/>
              </w:rPr>
              <w:t>0.08</w:t>
            </w:r>
          </w:p>
        </w:tc>
      </w:tr>
      <w:tr w:rsidR="00B11AEF" w:rsidRPr="004F78C4" w14:paraId="08681DC0" w14:textId="77777777" w:rsidTr="00B11AEF">
        <w:tblPrEx>
          <w:tblCellMar>
            <w:left w:w="30" w:type="dxa"/>
            <w:right w:w="30" w:type="dxa"/>
          </w:tblCellMar>
        </w:tblPrEx>
        <w:trPr>
          <w:trHeight w:val="20"/>
        </w:trPr>
        <w:tc>
          <w:tcPr>
            <w:tcW w:w="2370" w:type="pct"/>
            <w:shd w:val="solid" w:color="FFFFFF" w:fill="auto"/>
            <w:tcMar>
              <w:left w:w="57" w:type="dxa"/>
              <w:right w:w="85" w:type="dxa"/>
            </w:tcMar>
            <w:vAlign w:val="center"/>
          </w:tcPr>
          <w:p w14:paraId="5C6D32AD"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57" w:type="pct"/>
            <w:shd w:val="solid" w:color="FFFFFF" w:fill="auto"/>
            <w:tcMar>
              <w:left w:w="57" w:type="dxa"/>
              <w:right w:w="85" w:type="dxa"/>
            </w:tcMar>
            <w:vAlign w:val="center"/>
          </w:tcPr>
          <w:p w14:paraId="643E0B5C" w14:textId="77777777" w:rsidR="00B11AEF" w:rsidRPr="004F78C4" w:rsidRDefault="00B11AEF" w:rsidP="00B11AEF">
            <w:pPr>
              <w:ind w:firstLine="0"/>
              <w:jc w:val="center"/>
              <w:rPr>
                <w:sz w:val="20"/>
                <w:szCs w:val="20"/>
              </w:rPr>
            </w:pPr>
            <w:r w:rsidRPr="004F78C4">
              <w:rPr>
                <w:sz w:val="20"/>
                <w:szCs w:val="20"/>
              </w:rPr>
              <w:t>0.59</w:t>
            </w:r>
          </w:p>
        </w:tc>
        <w:tc>
          <w:tcPr>
            <w:tcW w:w="627" w:type="pct"/>
            <w:shd w:val="solid" w:color="FFFFFF" w:fill="auto"/>
            <w:tcMar>
              <w:left w:w="57" w:type="dxa"/>
              <w:right w:w="85" w:type="dxa"/>
            </w:tcMar>
            <w:vAlign w:val="center"/>
          </w:tcPr>
          <w:p w14:paraId="3B46B392" w14:textId="77777777" w:rsidR="00B11AEF" w:rsidRPr="004F78C4" w:rsidRDefault="00B11AEF" w:rsidP="00B11AEF">
            <w:pPr>
              <w:ind w:firstLine="0"/>
              <w:jc w:val="center"/>
              <w:rPr>
                <w:sz w:val="20"/>
                <w:szCs w:val="20"/>
              </w:rPr>
            </w:pPr>
            <w:r w:rsidRPr="004F78C4">
              <w:rPr>
                <w:sz w:val="20"/>
                <w:szCs w:val="20"/>
              </w:rPr>
              <w:t>0.45</w:t>
            </w:r>
          </w:p>
        </w:tc>
        <w:tc>
          <w:tcPr>
            <w:tcW w:w="619" w:type="pct"/>
            <w:shd w:val="solid" w:color="FFFFFF" w:fill="auto"/>
            <w:vAlign w:val="center"/>
          </w:tcPr>
          <w:p w14:paraId="2263B824" w14:textId="77777777" w:rsidR="00B11AEF" w:rsidRPr="004F78C4" w:rsidRDefault="00B11AEF" w:rsidP="00B11AEF">
            <w:pPr>
              <w:ind w:firstLine="0"/>
              <w:jc w:val="center"/>
              <w:rPr>
                <w:sz w:val="20"/>
                <w:szCs w:val="20"/>
              </w:rPr>
            </w:pPr>
            <w:r w:rsidRPr="004F78C4">
              <w:rPr>
                <w:sz w:val="20"/>
                <w:szCs w:val="20"/>
              </w:rPr>
              <w:t>0.44</w:t>
            </w:r>
          </w:p>
        </w:tc>
        <w:tc>
          <w:tcPr>
            <w:tcW w:w="627" w:type="pct"/>
            <w:shd w:val="solid" w:color="FFFFFF" w:fill="auto"/>
            <w:vAlign w:val="center"/>
          </w:tcPr>
          <w:p w14:paraId="669BF738" w14:textId="77777777" w:rsidR="00B11AEF" w:rsidRPr="004F78C4" w:rsidRDefault="00B11AEF" w:rsidP="00B11AEF">
            <w:pPr>
              <w:ind w:firstLine="0"/>
              <w:jc w:val="center"/>
              <w:rPr>
                <w:sz w:val="20"/>
                <w:szCs w:val="20"/>
              </w:rPr>
            </w:pPr>
            <w:r w:rsidRPr="004F78C4">
              <w:rPr>
                <w:sz w:val="20"/>
                <w:szCs w:val="20"/>
              </w:rPr>
              <w:t>0.31</w:t>
            </w:r>
          </w:p>
        </w:tc>
      </w:tr>
      <w:tr w:rsidR="00B11AEF" w:rsidRPr="004F78C4" w14:paraId="0169D937" w14:textId="77777777" w:rsidTr="00B11AEF">
        <w:tblPrEx>
          <w:tblCellMar>
            <w:left w:w="30" w:type="dxa"/>
            <w:right w:w="30" w:type="dxa"/>
          </w:tblCellMar>
        </w:tblPrEx>
        <w:trPr>
          <w:trHeight w:val="20"/>
        </w:trPr>
        <w:tc>
          <w:tcPr>
            <w:tcW w:w="2370" w:type="pct"/>
            <w:shd w:val="clear" w:color="auto" w:fill="C6D9F1" w:themeFill="text2" w:themeFillTint="33"/>
            <w:tcMar>
              <w:left w:w="57" w:type="dxa"/>
              <w:right w:w="85" w:type="dxa"/>
            </w:tcMar>
            <w:vAlign w:val="center"/>
          </w:tcPr>
          <w:p w14:paraId="1D4A12A3" w14:textId="77777777" w:rsidR="00B11AEF" w:rsidRPr="004F78C4" w:rsidRDefault="00B11AEF" w:rsidP="00B11AEF">
            <w:pPr>
              <w:ind w:firstLine="0"/>
              <w:rPr>
                <w:sz w:val="20"/>
                <w:szCs w:val="20"/>
                <w:lang w:val="hy-AM"/>
              </w:rPr>
            </w:pPr>
            <w:r w:rsidRPr="004F78C4">
              <w:rPr>
                <w:sz w:val="20"/>
                <w:szCs w:val="20"/>
              </w:rPr>
              <w:t>3</w:t>
            </w:r>
            <w:r w:rsidRPr="004F78C4">
              <w:rPr>
                <w:sz w:val="20"/>
                <w:szCs w:val="20"/>
                <w:lang w:val="hy-AM"/>
              </w:rPr>
              <w:t xml:space="preserve">. </w:t>
            </w:r>
            <w:r w:rsidRPr="004F78C4">
              <w:rPr>
                <w:b/>
                <w:bCs/>
                <w:sz w:val="20"/>
                <w:szCs w:val="20"/>
              </w:rPr>
              <w:t>ԲՆԱԿԱՐԱՆԱՅԻՆ ՇԻՆԱՐԱՐՈՒԹՅՈՒՆ ԵՎ ԿՈՄՈՒՆԱԼ ԾԱՌԱՅՈՒԹՅՈՒՆՆԵՐ</w:t>
            </w:r>
          </w:p>
        </w:tc>
        <w:tc>
          <w:tcPr>
            <w:tcW w:w="757" w:type="pct"/>
            <w:shd w:val="clear" w:color="auto" w:fill="C6D9F1" w:themeFill="text2" w:themeFillTint="33"/>
            <w:tcMar>
              <w:left w:w="57" w:type="dxa"/>
              <w:right w:w="85" w:type="dxa"/>
            </w:tcMar>
            <w:vAlign w:val="center"/>
          </w:tcPr>
          <w:p w14:paraId="3DB9C06C" w14:textId="77777777" w:rsidR="00B11AEF" w:rsidRPr="004F78C4" w:rsidRDefault="00B11AEF" w:rsidP="00B11AEF">
            <w:pPr>
              <w:ind w:firstLine="0"/>
              <w:jc w:val="center"/>
              <w:rPr>
                <w:b/>
                <w:bCs/>
                <w:sz w:val="20"/>
                <w:szCs w:val="20"/>
              </w:rPr>
            </w:pPr>
            <w:r w:rsidRPr="004F78C4">
              <w:rPr>
                <w:b/>
                <w:bCs/>
                <w:sz w:val="20"/>
                <w:szCs w:val="20"/>
              </w:rPr>
              <w:t>14,694.9</w:t>
            </w:r>
          </w:p>
        </w:tc>
        <w:tc>
          <w:tcPr>
            <w:tcW w:w="627" w:type="pct"/>
            <w:shd w:val="clear" w:color="auto" w:fill="C6D9F1" w:themeFill="text2" w:themeFillTint="33"/>
            <w:tcMar>
              <w:left w:w="57" w:type="dxa"/>
              <w:right w:w="85" w:type="dxa"/>
            </w:tcMar>
            <w:vAlign w:val="center"/>
          </w:tcPr>
          <w:p w14:paraId="1A17B479" w14:textId="77777777" w:rsidR="00B11AEF" w:rsidRPr="004F78C4" w:rsidRDefault="00B11AEF" w:rsidP="00B11AEF">
            <w:pPr>
              <w:ind w:firstLine="0"/>
              <w:jc w:val="center"/>
              <w:rPr>
                <w:b/>
                <w:bCs/>
                <w:sz w:val="20"/>
                <w:szCs w:val="20"/>
              </w:rPr>
            </w:pPr>
            <w:r w:rsidRPr="004F78C4">
              <w:rPr>
                <w:b/>
                <w:bCs/>
                <w:sz w:val="20"/>
                <w:szCs w:val="20"/>
              </w:rPr>
              <w:t>14,647.2</w:t>
            </w:r>
          </w:p>
        </w:tc>
        <w:tc>
          <w:tcPr>
            <w:tcW w:w="619" w:type="pct"/>
            <w:shd w:val="clear" w:color="auto" w:fill="C6D9F1" w:themeFill="text2" w:themeFillTint="33"/>
            <w:vAlign w:val="center"/>
          </w:tcPr>
          <w:p w14:paraId="1A733324" w14:textId="77777777" w:rsidR="00B11AEF" w:rsidRPr="004F78C4" w:rsidRDefault="00B11AEF" w:rsidP="00B11AEF">
            <w:pPr>
              <w:ind w:firstLine="0"/>
              <w:jc w:val="center"/>
              <w:rPr>
                <w:b/>
                <w:bCs/>
                <w:sz w:val="20"/>
                <w:szCs w:val="20"/>
              </w:rPr>
            </w:pPr>
            <w:r w:rsidRPr="004F78C4">
              <w:rPr>
                <w:b/>
                <w:bCs/>
                <w:sz w:val="20"/>
                <w:szCs w:val="20"/>
              </w:rPr>
              <w:t>25,166.6</w:t>
            </w:r>
          </w:p>
        </w:tc>
        <w:tc>
          <w:tcPr>
            <w:tcW w:w="627" w:type="pct"/>
            <w:shd w:val="clear" w:color="auto" w:fill="C6D9F1" w:themeFill="text2" w:themeFillTint="33"/>
            <w:vAlign w:val="center"/>
          </w:tcPr>
          <w:p w14:paraId="507DB3DC" w14:textId="77777777" w:rsidR="00B11AEF" w:rsidRPr="004F78C4" w:rsidRDefault="00B11AEF" w:rsidP="00B11AEF">
            <w:pPr>
              <w:ind w:firstLine="0"/>
              <w:jc w:val="center"/>
              <w:rPr>
                <w:b/>
                <w:bCs/>
                <w:sz w:val="20"/>
                <w:szCs w:val="20"/>
              </w:rPr>
            </w:pPr>
            <w:r w:rsidRPr="004F78C4">
              <w:rPr>
                <w:b/>
                <w:bCs/>
                <w:sz w:val="20"/>
                <w:szCs w:val="20"/>
              </w:rPr>
              <w:t>4,274.6</w:t>
            </w:r>
          </w:p>
        </w:tc>
      </w:tr>
      <w:tr w:rsidR="00B11AEF" w:rsidRPr="004F78C4" w14:paraId="2BB4D2FB" w14:textId="77777777" w:rsidTr="00B11AEF">
        <w:tblPrEx>
          <w:tblCellMar>
            <w:left w:w="30" w:type="dxa"/>
            <w:right w:w="30" w:type="dxa"/>
          </w:tblCellMar>
        </w:tblPrEx>
        <w:trPr>
          <w:trHeight w:val="20"/>
        </w:trPr>
        <w:tc>
          <w:tcPr>
            <w:tcW w:w="2370" w:type="pct"/>
            <w:shd w:val="solid" w:color="FFFFFF" w:fill="auto"/>
            <w:tcMar>
              <w:left w:w="57" w:type="dxa"/>
              <w:right w:w="85" w:type="dxa"/>
            </w:tcMar>
            <w:vAlign w:val="center"/>
          </w:tcPr>
          <w:p w14:paraId="54BEC1BC"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Հարաբերությունը</w:t>
            </w:r>
            <w:r w:rsidRPr="004F78C4">
              <w:rPr>
                <w:sz w:val="20"/>
                <w:szCs w:val="20"/>
                <w:lang w:val="hy-AM"/>
              </w:rPr>
              <w:t xml:space="preserve"> </w:t>
            </w:r>
            <w:r w:rsidRPr="004F78C4">
              <w:rPr>
                <w:rFonts w:cs="Arial"/>
                <w:sz w:val="20"/>
                <w:szCs w:val="20"/>
                <w:lang w:val="hy-AM"/>
              </w:rPr>
              <w:t>ՀՆԱ</w:t>
            </w:r>
            <w:r w:rsidRPr="004F78C4">
              <w:rPr>
                <w:sz w:val="20"/>
                <w:szCs w:val="20"/>
                <w:lang w:val="hy-AM"/>
              </w:rPr>
              <w:t>-</w:t>
            </w:r>
            <w:r w:rsidRPr="004F78C4">
              <w:rPr>
                <w:rFonts w:cs="Arial"/>
                <w:sz w:val="20"/>
                <w:szCs w:val="20"/>
                <w:lang w:val="hy-AM"/>
              </w:rPr>
              <w:t>ի</w:t>
            </w:r>
            <w:r w:rsidRPr="004F78C4">
              <w:rPr>
                <w:sz w:val="20"/>
                <w:szCs w:val="20"/>
                <w:lang w:val="hy-AM"/>
              </w:rPr>
              <w:t xml:space="preserve"> </w:t>
            </w:r>
            <w:r w:rsidRPr="004F78C4">
              <w:rPr>
                <w:rFonts w:cs="Arial"/>
                <w:sz w:val="20"/>
                <w:szCs w:val="20"/>
                <w:lang w:val="hy-AM"/>
              </w:rPr>
              <w:t>նկատմամբ</w:t>
            </w:r>
            <w:r w:rsidRPr="004F78C4">
              <w:rPr>
                <w:sz w:val="20"/>
                <w:szCs w:val="20"/>
                <w:lang w:val="hy-AM"/>
              </w:rPr>
              <w:t xml:space="preserve"> (%)</w:t>
            </w:r>
          </w:p>
        </w:tc>
        <w:tc>
          <w:tcPr>
            <w:tcW w:w="757" w:type="pct"/>
            <w:shd w:val="solid" w:color="FFFFFF" w:fill="auto"/>
            <w:tcMar>
              <w:left w:w="57" w:type="dxa"/>
              <w:right w:w="85" w:type="dxa"/>
            </w:tcMar>
            <w:vAlign w:val="center"/>
          </w:tcPr>
          <w:p w14:paraId="351B3053" w14:textId="77777777" w:rsidR="00B11AEF" w:rsidRPr="004F78C4" w:rsidRDefault="00B11AEF" w:rsidP="00B11AEF">
            <w:pPr>
              <w:ind w:firstLine="0"/>
              <w:jc w:val="center"/>
              <w:rPr>
                <w:sz w:val="20"/>
                <w:szCs w:val="20"/>
              </w:rPr>
            </w:pPr>
            <w:r w:rsidRPr="004F78C4">
              <w:rPr>
                <w:sz w:val="20"/>
                <w:szCs w:val="20"/>
              </w:rPr>
              <w:t>0.23</w:t>
            </w:r>
          </w:p>
        </w:tc>
        <w:tc>
          <w:tcPr>
            <w:tcW w:w="627" w:type="pct"/>
            <w:shd w:val="solid" w:color="FFFFFF" w:fill="auto"/>
            <w:tcMar>
              <w:left w:w="57" w:type="dxa"/>
              <w:right w:w="85" w:type="dxa"/>
            </w:tcMar>
            <w:vAlign w:val="center"/>
          </w:tcPr>
          <w:p w14:paraId="6F19BC16" w14:textId="77777777" w:rsidR="00B11AEF" w:rsidRPr="004F78C4" w:rsidRDefault="00B11AEF" w:rsidP="00B11AEF">
            <w:pPr>
              <w:ind w:firstLine="0"/>
              <w:jc w:val="center"/>
              <w:rPr>
                <w:sz w:val="20"/>
                <w:szCs w:val="20"/>
              </w:rPr>
            </w:pPr>
            <w:r w:rsidRPr="004F78C4">
              <w:rPr>
                <w:sz w:val="20"/>
                <w:szCs w:val="20"/>
              </w:rPr>
              <w:t>0.19</w:t>
            </w:r>
          </w:p>
        </w:tc>
        <w:tc>
          <w:tcPr>
            <w:tcW w:w="619" w:type="pct"/>
            <w:shd w:val="solid" w:color="FFFFFF" w:fill="auto"/>
            <w:vAlign w:val="center"/>
          </w:tcPr>
          <w:p w14:paraId="49519353" w14:textId="77777777" w:rsidR="00B11AEF" w:rsidRPr="004F78C4" w:rsidRDefault="00B11AEF" w:rsidP="00B11AEF">
            <w:pPr>
              <w:ind w:firstLine="0"/>
              <w:jc w:val="center"/>
              <w:rPr>
                <w:sz w:val="20"/>
                <w:szCs w:val="20"/>
              </w:rPr>
            </w:pPr>
            <w:r w:rsidRPr="004F78C4">
              <w:rPr>
                <w:sz w:val="20"/>
                <w:szCs w:val="20"/>
              </w:rPr>
              <w:t>0.31</w:t>
            </w:r>
          </w:p>
        </w:tc>
        <w:tc>
          <w:tcPr>
            <w:tcW w:w="627" w:type="pct"/>
            <w:shd w:val="solid" w:color="FFFFFF" w:fill="auto"/>
            <w:vAlign w:val="center"/>
          </w:tcPr>
          <w:p w14:paraId="598DB064" w14:textId="77777777" w:rsidR="00B11AEF" w:rsidRPr="004F78C4" w:rsidRDefault="00B11AEF" w:rsidP="00B11AEF">
            <w:pPr>
              <w:ind w:firstLine="0"/>
              <w:jc w:val="center"/>
              <w:rPr>
                <w:sz w:val="20"/>
                <w:szCs w:val="20"/>
              </w:rPr>
            </w:pPr>
            <w:r w:rsidRPr="004F78C4">
              <w:rPr>
                <w:sz w:val="20"/>
                <w:szCs w:val="20"/>
              </w:rPr>
              <w:t>0.05</w:t>
            </w:r>
          </w:p>
        </w:tc>
      </w:tr>
      <w:tr w:rsidR="00B11AEF" w:rsidRPr="004F78C4" w14:paraId="2EF9F69F" w14:textId="77777777" w:rsidTr="00B11AEF">
        <w:tblPrEx>
          <w:tblCellMar>
            <w:left w:w="30" w:type="dxa"/>
            <w:right w:w="30" w:type="dxa"/>
          </w:tblCellMar>
        </w:tblPrEx>
        <w:trPr>
          <w:trHeight w:val="20"/>
        </w:trPr>
        <w:tc>
          <w:tcPr>
            <w:tcW w:w="2370" w:type="pct"/>
            <w:shd w:val="solid" w:color="FFFFFF" w:fill="auto"/>
            <w:tcMar>
              <w:left w:w="57" w:type="dxa"/>
              <w:right w:w="85" w:type="dxa"/>
            </w:tcMar>
            <w:vAlign w:val="center"/>
          </w:tcPr>
          <w:p w14:paraId="530EBB2D" w14:textId="77777777" w:rsidR="00B11AEF" w:rsidRPr="004F78C4" w:rsidRDefault="00B11AEF" w:rsidP="00B11AEF">
            <w:pPr>
              <w:ind w:firstLine="0"/>
              <w:rPr>
                <w:sz w:val="20"/>
                <w:szCs w:val="20"/>
                <w:lang w:val="hy-AM"/>
              </w:rPr>
            </w:pPr>
            <w:r w:rsidRPr="004F78C4">
              <w:rPr>
                <w:sz w:val="20"/>
                <w:szCs w:val="20"/>
                <w:lang w:val="hy-AM"/>
              </w:rPr>
              <w:t xml:space="preserve">- </w:t>
            </w:r>
            <w:r w:rsidRPr="004F78C4">
              <w:rPr>
                <w:rFonts w:cs="Arial"/>
                <w:sz w:val="20"/>
                <w:szCs w:val="20"/>
                <w:lang w:val="hy-AM"/>
              </w:rPr>
              <w:t>տեսակարար</w:t>
            </w:r>
            <w:r w:rsidRPr="004F78C4">
              <w:rPr>
                <w:sz w:val="20"/>
                <w:szCs w:val="20"/>
                <w:lang w:val="hy-AM"/>
              </w:rPr>
              <w:t xml:space="preserve"> </w:t>
            </w:r>
            <w:r w:rsidRPr="004F78C4">
              <w:rPr>
                <w:rFonts w:cs="Arial"/>
                <w:sz w:val="20"/>
                <w:szCs w:val="20"/>
                <w:lang w:val="hy-AM"/>
              </w:rPr>
              <w:t>կշիռը</w:t>
            </w:r>
            <w:r w:rsidRPr="004F78C4">
              <w:rPr>
                <w:sz w:val="20"/>
                <w:szCs w:val="20"/>
                <w:lang w:val="hy-AM"/>
              </w:rPr>
              <w:t xml:space="preserve"> </w:t>
            </w:r>
            <w:r w:rsidRPr="004F78C4">
              <w:rPr>
                <w:rFonts w:cs="Arial"/>
                <w:sz w:val="20"/>
                <w:szCs w:val="20"/>
                <w:lang w:val="hy-AM"/>
              </w:rPr>
              <w:t>ծախսերի</w:t>
            </w:r>
            <w:r w:rsidRPr="004F78C4">
              <w:rPr>
                <w:sz w:val="20"/>
                <w:szCs w:val="20"/>
                <w:lang w:val="hy-AM"/>
              </w:rPr>
              <w:t xml:space="preserve"> </w:t>
            </w:r>
            <w:r w:rsidRPr="004F78C4">
              <w:rPr>
                <w:rFonts w:cs="Arial"/>
                <w:sz w:val="20"/>
                <w:szCs w:val="20"/>
                <w:lang w:val="hy-AM"/>
              </w:rPr>
              <w:t>ամբողջ</w:t>
            </w:r>
            <w:r w:rsidRPr="004F78C4">
              <w:rPr>
                <w:sz w:val="20"/>
                <w:szCs w:val="20"/>
                <w:lang w:val="hy-AM"/>
              </w:rPr>
              <w:t xml:space="preserve"> </w:t>
            </w:r>
            <w:r w:rsidRPr="004F78C4">
              <w:rPr>
                <w:rFonts w:cs="Arial"/>
                <w:sz w:val="20"/>
                <w:szCs w:val="20"/>
                <w:lang w:val="hy-AM"/>
              </w:rPr>
              <w:t>ծավալում</w:t>
            </w:r>
            <w:r w:rsidRPr="004F78C4">
              <w:rPr>
                <w:sz w:val="20"/>
                <w:szCs w:val="20"/>
                <w:lang w:val="hy-AM"/>
              </w:rPr>
              <w:t xml:space="preserve"> (%)</w:t>
            </w:r>
          </w:p>
        </w:tc>
        <w:tc>
          <w:tcPr>
            <w:tcW w:w="757" w:type="pct"/>
            <w:shd w:val="solid" w:color="FFFFFF" w:fill="auto"/>
            <w:tcMar>
              <w:left w:w="57" w:type="dxa"/>
              <w:right w:w="85" w:type="dxa"/>
            </w:tcMar>
            <w:vAlign w:val="center"/>
          </w:tcPr>
          <w:p w14:paraId="772F9EF0" w14:textId="77777777" w:rsidR="00B11AEF" w:rsidRPr="004F78C4" w:rsidRDefault="00B11AEF" w:rsidP="00B11AEF">
            <w:pPr>
              <w:ind w:firstLine="0"/>
              <w:jc w:val="center"/>
              <w:rPr>
                <w:sz w:val="20"/>
                <w:szCs w:val="20"/>
              </w:rPr>
            </w:pPr>
            <w:r w:rsidRPr="004F78C4">
              <w:rPr>
                <w:sz w:val="20"/>
                <w:szCs w:val="20"/>
              </w:rPr>
              <w:t>0.79</w:t>
            </w:r>
          </w:p>
        </w:tc>
        <w:tc>
          <w:tcPr>
            <w:tcW w:w="627" w:type="pct"/>
            <w:shd w:val="solid" w:color="FFFFFF" w:fill="auto"/>
            <w:tcMar>
              <w:left w:w="57" w:type="dxa"/>
              <w:right w:w="85" w:type="dxa"/>
            </w:tcMar>
            <w:vAlign w:val="center"/>
          </w:tcPr>
          <w:p w14:paraId="78F1451C" w14:textId="77777777" w:rsidR="00B11AEF" w:rsidRPr="004F78C4" w:rsidRDefault="00B11AEF" w:rsidP="00B11AEF">
            <w:pPr>
              <w:ind w:firstLine="0"/>
              <w:jc w:val="center"/>
              <w:rPr>
                <w:sz w:val="20"/>
                <w:szCs w:val="20"/>
              </w:rPr>
            </w:pPr>
            <w:r w:rsidRPr="004F78C4">
              <w:rPr>
                <w:sz w:val="20"/>
                <w:szCs w:val="20"/>
              </w:rPr>
              <w:t>0.73</w:t>
            </w:r>
          </w:p>
        </w:tc>
        <w:tc>
          <w:tcPr>
            <w:tcW w:w="619" w:type="pct"/>
            <w:shd w:val="solid" w:color="FFFFFF" w:fill="auto"/>
            <w:vAlign w:val="center"/>
          </w:tcPr>
          <w:p w14:paraId="5AF540FA" w14:textId="77777777" w:rsidR="00B11AEF" w:rsidRPr="004F78C4" w:rsidRDefault="00B11AEF" w:rsidP="00B11AEF">
            <w:pPr>
              <w:ind w:firstLine="0"/>
              <w:jc w:val="center"/>
              <w:rPr>
                <w:sz w:val="20"/>
                <w:szCs w:val="20"/>
              </w:rPr>
            </w:pPr>
            <w:r w:rsidRPr="004F78C4">
              <w:rPr>
                <w:sz w:val="20"/>
                <w:szCs w:val="20"/>
              </w:rPr>
              <w:t>1.18</w:t>
            </w:r>
          </w:p>
        </w:tc>
        <w:tc>
          <w:tcPr>
            <w:tcW w:w="627" w:type="pct"/>
            <w:shd w:val="solid" w:color="FFFFFF" w:fill="auto"/>
            <w:vAlign w:val="center"/>
          </w:tcPr>
          <w:p w14:paraId="0DCA8FC3" w14:textId="77777777" w:rsidR="00B11AEF" w:rsidRPr="004F78C4" w:rsidRDefault="00B11AEF" w:rsidP="00B11AEF">
            <w:pPr>
              <w:ind w:firstLine="0"/>
              <w:jc w:val="center"/>
              <w:rPr>
                <w:sz w:val="20"/>
                <w:szCs w:val="20"/>
              </w:rPr>
            </w:pPr>
            <w:r w:rsidRPr="004F78C4">
              <w:rPr>
                <w:sz w:val="20"/>
                <w:szCs w:val="20"/>
              </w:rPr>
              <w:t>0.18</w:t>
            </w:r>
          </w:p>
        </w:tc>
      </w:tr>
    </w:tbl>
    <w:p w14:paraId="4676EFE1" w14:textId="77777777" w:rsidR="00B11AEF" w:rsidRPr="004F78C4" w:rsidRDefault="00B11AEF" w:rsidP="00B11AEF">
      <w:pPr>
        <w:ind w:firstLine="0"/>
        <w:rPr>
          <w:rFonts w:cs="Arial"/>
          <w:lang w:val="hy-AM"/>
        </w:rPr>
      </w:pPr>
    </w:p>
    <w:p w14:paraId="5BDD5477" w14:textId="77777777" w:rsidR="00B11AEF" w:rsidRPr="004F78C4" w:rsidRDefault="00B11AEF" w:rsidP="00B11AEF">
      <w:pPr>
        <w:spacing w:line="276" w:lineRule="auto"/>
        <w:ind w:firstLine="0"/>
        <w:rPr>
          <w:lang w:val="hy-AM"/>
        </w:rPr>
      </w:pPr>
      <w:r w:rsidRPr="004F78C4">
        <w:rPr>
          <w:rFonts w:cs="Arial"/>
          <w:lang w:val="hy-AM"/>
        </w:rPr>
        <w:t>Տնտեսության</w:t>
      </w:r>
      <w:r w:rsidRPr="004F78C4">
        <w:rPr>
          <w:lang w:val="hy-AM"/>
        </w:rPr>
        <w:t xml:space="preserve"> </w:t>
      </w:r>
      <w:r w:rsidRPr="004F78C4">
        <w:rPr>
          <w:rFonts w:cs="Arial"/>
          <w:lang w:val="hy-AM"/>
        </w:rPr>
        <w:t>ճյուղերի</w:t>
      </w:r>
      <w:r w:rsidRPr="004F78C4">
        <w:rPr>
          <w:lang w:val="hy-AM"/>
        </w:rPr>
        <w:t xml:space="preserve"> 2022-2024 </w:t>
      </w:r>
      <w:r w:rsidRPr="004F78C4">
        <w:rPr>
          <w:rFonts w:cs="Arial"/>
          <w:lang w:val="hy-AM"/>
        </w:rPr>
        <w:t>թվականների</w:t>
      </w:r>
      <w:r w:rsidRPr="004F78C4">
        <w:rPr>
          <w:lang w:val="hy-AM"/>
        </w:rPr>
        <w:t xml:space="preserve"> </w:t>
      </w:r>
      <w:r w:rsidRPr="004F78C4">
        <w:rPr>
          <w:rFonts w:cs="Arial"/>
          <w:lang w:val="hy-AM"/>
        </w:rPr>
        <w:t>ծախսերը</w:t>
      </w:r>
      <w:r w:rsidRPr="004F78C4">
        <w:rPr>
          <w:lang w:val="hy-AM"/>
        </w:rPr>
        <w:t xml:space="preserve"> </w:t>
      </w:r>
      <w:r w:rsidRPr="004F78C4">
        <w:rPr>
          <w:rFonts w:cs="Arial"/>
          <w:lang w:val="hy-AM"/>
        </w:rPr>
        <w:t>նպատակաուղղված</w:t>
      </w:r>
      <w:r w:rsidRPr="004F78C4">
        <w:rPr>
          <w:lang w:val="hy-AM"/>
        </w:rPr>
        <w:t xml:space="preserve"> </w:t>
      </w:r>
      <w:r w:rsidRPr="004F78C4">
        <w:rPr>
          <w:rFonts w:cs="Arial"/>
          <w:lang w:val="hy-AM"/>
        </w:rPr>
        <w:t>են</w:t>
      </w:r>
      <w:r w:rsidRPr="004F78C4">
        <w:rPr>
          <w:lang w:val="hy-AM"/>
        </w:rPr>
        <w:t xml:space="preserve"> </w:t>
      </w:r>
      <w:r w:rsidRPr="004F78C4">
        <w:rPr>
          <w:rFonts w:cs="Arial"/>
          <w:lang w:val="hy-AM"/>
        </w:rPr>
        <w:t>լինելու</w:t>
      </w:r>
      <w:r w:rsidRPr="004F78C4">
        <w:rPr>
          <w:lang w:val="hy-AM"/>
        </w:rPr>
        <w:t xml:space="preserve">  </w:t>
      </w:r>
      <w:r w:rsidRPr="004F78C4">
        <w:rPr>
          <w:rFonts w:cs="Arial"/>
          <w:lang w:val="hy-AM"/>
        </w:rPr>
        <w:t>ենթակառուցվածքների, տնտեսության իրական հատվածի, բարձր տեխնոլոգիական արդյունաբերական, ինչպես նաև բնապահպանական բարձր չափանիշներին համապատասխանող՝ արտահանմանը միտված մրցունակ և ներառական տնտեսության կառուցմանն ուղղված ծրագրերի իրականացմանը։</w:t>
      </w:r>
    </w:p>
    <w:p w14:paraId="54FE4F3E" w14:textId="77777777" w:rsidR="00B11AEF" w:rsidRPr="004F78C4" w:rsidRDefault="00B11AEF" w:rsidP="00B11AEF">
      <w:pPr>
        <w:spacing w:line="276" w:lineRule="auto"/>
        <w:ind w:firstLine="0"/>
        <w:rPr>
          <w:lang w:val="hy-AM"/>
        </w:rPr>
      </w:pPr>
      <w:r w:rsidRPr="004F78C4">
        <w:rPr>
          <w:lang w:val="hy-AM"/>
        </w:rPr>
        <w:t>2022-2024</w:t>
      </w:r>
      <w:r w:rsidRPr="004F78C4">
        <w:rPr>
          <w:rFonts w:cs="Arial"/>
          <w:lang w:val="hy-AM"/>
        </w:rPr>
        <w:t>թթ</w:t>
      </w:r>
      <w:r w:rsidRPr="004F78C4">
        <w:rPr>
          <w:lang w:val="hy-AM"/>
        </w:rPr>
        <w:t xml:space="preserve"> </w:t>
      </w:r>
      <w:r w:rsidRPr="004F78C4">
        <w:rPr>
          <w:rFonts w:cs="Arial"/>
          <w:lang w:val="hy-AM"/>
        </w:rPr>
        <w:t>ժամանակահատվածում</w:t>
      </w:r>
      <w:r w:rsidRPr="004F78C4">
        <w:rPr>
          <w:lang w:val="hy-AM"/>
        </w:rPr>
        <w:t xml:space="preserve"> </w:t>
      </w:r>
      <w:r w:rsidRPr="004F78C4">
        <w:rPr>
          <w:rFonts w:cs="Arial"/>
          <w:lang w:val="hy-AM"/>
        </w:rPr>
        <w:t>պետական</w:t>
      </w:r>
      <w:r w:rsidRPr="004F78C4">
        <w:rPr>
          <w:lang w:val="hy-AM"/>
        </w:rPr>
        <w:t xml:space="preserve"> </w:t>
      </w:r>
      <w:r w:rsidRPr="004F78C4">
        <w:rPr>
          <w:rFonts w:cs="Arial"/>
          <w:lang w:val="hy-AM"/>
        </w:rPr>
        <w:t>բյուջեների</w:t>
      </w:r>
      <w:r w:rsidRPr="004F78C4">
        <w:rPr>
          <w:lang w:val="hy-AM"/>
        </w:rPr>
        <w:t xml:space="preserve"> </w:t>
      </w:r>
      <w:r w:rsidRPr="004F78C4">
        <w:rPr>
          <w:rFonts w:cs="Arial"/>
          <w:lang w:val="hy-AM"/>
        </w:rPr>
        <w:t>ծախ</w:t>
      </w:r>
      <w:r w:rsidRPr="004F78C4">
        <w:rPr>
          <w:lang w:val="hy-AM"/>
        </w:rPr>
        <w:softHyphen/>
      </w:r>
      <w:r w:rsidRPr="004F78C4">
        <w:rPr>
          <w:rFonts w:cs="Arial"/>
          <w:lang w:val="hy-AM"/>
        </w:rPr>
        <w:t>սերի</w:t>
      </w:r>
      <w:r w:rsidRPr="004F78C4">
        <w:rPr>
          <w:lang w:val="hy-AM"/>
        </w:rPr>
        <w:t xml:space="preserve"> </w:t>
      </w:r>
      <w:r w:rsidRPr="004F78C4">
        <w:rPr>
          <w:rFonts w:cs="Arial"/>
          <w:lang w:val="hy-AM"/>
        </w:rPr>
        <w:t>ընդհանուր</w:t>
      </w:r>
      <w:r w:rsidRPr="004F78C4">
        <w:rPr>
          <w:lang w:val="hy-AM"/>
        </w:rPr>
        <w:t xml:space="preserve"> </w:t>
      </w:r>
      <w:r w:rsidRPr="004F78C4">
        <w:rPr>
          <w:rFonts w:cs="Arial"/>
          <w:lang w:val="hy-AM"/>
        </w:rPr>
        <w:t>ծավալը</w:t>
      </w:r>
      <w:r w:rsidRPr="004F78C4">
        <w:rPr>
          <w:lang w:val="hy-AM"/>
        </w:rPr>
        <w:t xml:space="preserve"> </w:t>
      </w:r>
      <w:r w:rsidRPr="004F78C4">
        <w:rPr>
          <w:rFonts w:cs="Arial"/>
          <w:lang w:val="hy-AM"/>
        </w:rPr>
        <w:t>որոշ</w:t>
      </w:r>
      <w:r w:rsidRPr="004F78C4">
        <w:rPr>
          <w:lang w:val="hy-AM"/>
        </w:rPr>
        <w:t xml:space="preserve"> </w:t>
      </w:r>
      <w:r w:rsidRPr="004F78C4">
        <w:rPr>
          <w:rFonts w:cs="Arial"/>
          <w:lang w:val="hy-AM"/>
        </w:rPr>
        <w:t>կախ</w:t>
      </w:r>
      <w:r w:rsidRPr="004F78C4">
        <w:rPr>
          <w:lang w:val="hy-AM"/>
        </w:rPr>
        <w:softHyphen/>
      </w:r>
      <w:r w:rsidRPr="004F78C4">
        <w:rPr>
          <w:rFonts w:cs="Arial"/>
          <w:lang w:val="hy-AM"/>
        </w:rPr>
        <w:t>վածության</w:t>
      </w:r>
      <w:r w:rsidRPr="004F78C4">
        <w:rPr>
          <w:lang w:val="hy-AM"/>
        </w:rPr>
        <w:t xml:space="preserve"> </w:t>
      </w:r>
      <w:r w:rsidRPr="004F78C4">
        <w:rPr>
          <w:rFonts w:cs="Arial"/>
          <w:lang w:val="hy-AM"/>
        </w:rPr>
        <w:t>մեջ</w:t>
      </w:r>
      <w:r w:rsidRPr="004F78C4">
        <w:rPr>
          <w:lang w:val="hy-AM"/>
        </w:rPr>
        <w:t xml:space="preserve"> </w:t>
      </w:r>
      <w:r w:rsidRPr="004F78C4">
        <w:rPr>
          <w:rFonts w:cs="Arial"/>
          <w:lang w:val="hy-AM"/>
        </w:rPr>
        <w:t>կլինի</w:t>
      </w:r>
      <w:r w:rsidRPr="004F78C4">
        <w:rPr>
          <w:lang w:val="hy-AM"/>
        </w:rPr>
        <w:t xml:space="preserve"> նաև </w:t>
      </w:r>
      <w:r w:rsidRPr="004F78C4">
        <w:rPr>
          <w:rFonts w:cs="Arial"/>
          <w:lang w:val="hy-AM"/>
        </w:rPr>
        <w:t>արտաքին</w:t>
      </w:r>
      <w:r w:rsidRPr="004F78C4">
        <w:rPr>
          <w:lang w:val="hy-AM"/>
        </w:rPr>
        <w:t xml:space="preserve"> </w:t>
      </w:r>
      <w:r w:rsidRPr="004F78C4">
        <w:rPr>
          <w:rFonts w:cs="Arial"/>
          <w:lang w:val="hy-AM"/>
        </w:rPr>
        <w:t>հոսքերից</w:t>
      </w:r>
      <w:r w:rsidRPr="004F78C4">
        <w:rPr>
          <w:lang w:val="hy-AM"/>
        </w:rPr>
        <w:t xml:space="preserve">: </w:t>
      </w:r>
    </w:p>
    <w:p w14:paraId="3B32DA96" w14:textId="77777777" w:rsidR="00B11AEF" w:rsidRDefault="00B11AEF" w:rsidP="00B11AEF">
      <w:pPr>
        <w:spacing w:line="276" w:lineRule="auto"/>
        <w:ind w:firstLine="0"/>
        <w:rPr>
          <w:rFonts w:cs="Arial"/>
          <w:b/>
          <w:sz w:val="20"/>
          <w:szCs w:val="20"/>
          <w:lang w:val="hy-AM"/>
        </w:rPr>
      </w:pPr>
    </w:p>
    <w:p w14:paraId="28F876E6" w14:textId="77777777" w:rsidR="00B11AEF" w:rsidRPr="006A4BFC" w:rsidRDefault="00B11AEF" w:rsidP="00B11AEF">
      <w:pPr>
        <w:spacing w:line="276" w:lineRule="auto"/>
        <w:ind w:firstLine="0"/>
        <w:rPr>
          <w:rFonts w:cs="Arial"/>
          <w:i/>
          <w:sz w:val="20"/>
          <w:szCs w:val="20"/>
          <w:lang w:val="hy-AM"/>
        </w:rPr>
      </w:pPr>
      <w:r w:rsidRPr="006A4BFC">
        <w:rPr>
          <w:rFonts w:cs="Arial"/>
          <w:b/>
          <w:sz w:val="20"/>
          <w:szCs w:val="20"/>
          <w:lang w:val="hy-AM"/>
        </w:rPr>
        <w:t xml:space="preserve">Աղյուսակ 4.3.3 </w:t>
      </w:r>
      <w:r w:rsidRPr="006A4BFC">
        <w:rPr>
          <w:rFonts w:cs="Arial"/>
          <w:i/>
          <w:sz w:val="20"/>
          <w:szCs w:val="20"/>
          <w:lang w:val="hy-AM"/>
        </w:rPr>
        <w:t>Արտաքին աղբյուրներից 2022-2024թթ ստացվելիք միջոցների (վարկերի և պաշտո</w:t>
      </w:r>
      <w:r w:rsidRPr="006A4BFC">
        <w:rPr>
          <w:rFonts w:cs="Arial"/>
          <w:i/>
          <w:sz w:val="20"/>
          <w:szCs w:val="20"/>
          <w:lang w:val="hy-AM"/>
        </w:rPr>
        <w:softHyphen/>
        <w:t>նական դրամաշնորհներ) հաշվին ֆինանսավորվող ծախսերը</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91"/>
        <w:gridCol w:w="1463"/>
        <w:gridCol w:w="1393"/>
        <w:gridCol w:w="1589"/>
        <w:gridCol w:w="1470"/>
      </w:tblGrid>
      <w:tr w:rsidR="00B11AEF" w:rsidRPr="006A4BFC" w14:paraId="477DED66" w14:textId="77777777" w:rsidTr="00B11AEF">
        <w:trPr>
          <w:trHeight w:val="20"/>
          <w:tblHeader/>
        </w:trPr>
        <w:tc>
          <w:tcPr>
            <w:tcW w:w="2014" w:type="pct"/>
            <w:tcBorders>
              <w:top w:val="double" w:sz="4" w:space="0" w:color="auto"/>
              <w:left w:val="double" w:sz="4" w:space="0" w:color="auto"/>
              <w:bottom w:val="double" w:sz="4" w:space="0" w:color="auto"/>
              <w:right w:val="single" w:sz="6" w:space="0" w:color="auto"/>
            </w:tcBorders>
            <w:shd w:val="clear" w:color="auto" w:fill="4F81BD" w:themeFill="accent1"/>
            <w:tcMar>
              <w:top w:w="0" w:type="dxa"/>
              <w:left w:w="57" w:type="dxa"/>
              <w:bottom w:w="0" w:type="dxa"/>
              <w:right w:w="57" w:type="dxa"/>
            </w:tcMar>
            <w:vAlign w:val="center"/>
            <w:hideMark/>
          </w:tcPr>
          <w:p w14:paraId="5EF61731" w14:textId="77777777" w:rsidR="00B11AEF" w:rsidRPr="00CD076C" w:rsidRDefault="00B11AEF" w:rsidP="00B11AEF">
            <w:pPr>
              <w:spacing w:after="0" w:line="256" w:lineRule="auto"/>
              <w:ind w:firstLine="0"/>
              <w:jc w:val="center"/>
              <w:rPr>
                <w:bCs/>
                <w:color w:val="FFFFFF" w:themeColor="background1"/>
                <w:sz w:val="20"/>
                <w:szCs w:val="20"/>
                <w:lang w:val="hy-AM"/>
              </w:rPr>
            </w:pPr>
            <w:r w:rsidRPr="00CD076C">
              <w:rPr>
                <w:rFonts w:cs="Sylfaen"/>
                <w:color w:val="FFFFFF" w:themeColor="background1"/>
                <w:sz w:val="20"/>
                <w:szCs w:val="20"/>
              </w:rPr>
              <w:t>Ցուցանիշներ</w:t>
            </w:r>
          </w:p>
        </w:tc>
        <w:tc>
          <w:tcPr>
            <w:tcW w:w="738" w:type="pct"/>
            <w:tcBorders>
              <w:top w:val="double" w:sz="4" w:space="0" w:color="auto"/>
              <w:left w:val="single" w:sz="6" w:space="0" w:color="auto"/>
              <w:bottom w:val="double" w:sz="4" w:space="0" w:color="auto"/>
              <w:right w:val="single" w:sz="6" w:space="0" w:color="auto"/>
            </w:tcBorders>
            <w:shd w:val="clear" w:color="auto" w:fill="4F81BD" w:themeFill="accent1"/>
            <w:tcMar>
              <w:top w:w="0" w:type="dxa"/>
              <w:left w:w="57" w:type="dxa"/>
              <w:bottom w:w="0" w:type="dxa"/>
              <w:right w:w="57" w:type="dxa"/>
            </w:tcMar>
            <w:vAlign w:val="center"/>
            <w:hideMark/>
          </w:tcPr>
          <w:p w14:paraId="21E49123" w14:textId="77777777" w:rsidR="00B11AEF" w:rsidRPr="00CD076C" w:rsidRDefault="00B11AEF" w:rsidP="00B11AEF">
            <w:pPr>
              <w:spacing w:after="0" w:line="256" w:lineRule="auto"/>
              <w:ind w:firstLine="0"/>
              <w:jc w:val="center"/>
              <w:rPr>
                <w:bCs/>
                <w:color w:val="FFFFFF" w:themeColor="background1"/>
                <w:sz w:val="20"/>
                <w:szCs w:val="20"/>
                <w:lang w:val="hy-AM"/>
              </w:rPr>
            </w:pPr>
            <w:r w:rsidRPr="00CD076C">
              <w:rPr>
                <w:rFonts w:cs="Sylfaen"/>
                <w:color w:val="FFFFFF" w:themeColor="background1"/>
                <w:sz w:val="20"/>
                <w:szCs w:val="20"/>
              </w:rPr>
              <w:t>202</w:t>
            </w:r>
            <w:r w:rsidRPr="00CD076C">
              <w:rPr>
                <w:rFonts w:cs="Sylfaen"/>
                <w:color w:val="FFFFFF" w:themeColor="background1"/>
                <w:sz w:val="20"/>
                <w:szCs w:val="20"/>
                <w:lang w:val="hy-AM"/>
              </w:rPr>
              <w:t>1</w:t>
            </w:r>
            <w:r w:rsidRPr="00CD076C">
              <w:rPr>
                <w:rFonts w:cs="Sylfaen"/>
                <w:color w:val="FFFFFF" w:themeColor="background1"/>
                <w:sz w:val="20"/>
                <w:szCs w:val="20"/>
              </w:rPr>
              <w:t>թ հաստատված</w:t>
            </w:r>
          </w:p>
        </w:tc>
        <w:tc>
          <w:tcPr>
            <w:tcW w:w="703" w:type="pct"/>
            <w:tcBorders>
              <w:top w:val="double" w:sz="4" w:space="0" w:color="auto"/>
              <w:left w:val="single" w:sz="6" w:space="0" w:color="auto"/>
              <w:bottom w:val="double" w:sz="4" w:space="0" w:color="auto"/>
              <w:right w:val="single" w:sz="6" w:space="0" w:color="auto"/>
            </w:tcBorders>
            <w:shd w:val="clear" w:color="auto" w:fill="4F81BD" w:themeFill="accent1"/>
            <w:tcMar>
              <w:top w:w="0" w:type="dxa"/>
              <w:left w:w="57" w:type="dxa"/>
              <w:bottom w:w="0" w:type="dxa"/>
              <w:right w:w="57" w:type="dxa"/>
            </w:tcMar>
            <w:vAlign w:val="center"/>
            <w:hideMark/>
          </w:tcPr>
          <w:p w14:paraId="58A0B97D" w14:textId="77777777" w:rsidR="00B11AEF" w:rsidRPr="00CD076C" w:rsidRDefault="00B11AEF" w:rsidP="00B11AEF">
            <w:pPr>
              <w:spacing w:after="0" w:line="256" w:lineRule="auto"/>
              <w:ind w:firstLine="0"/>
              <w:jc w:val="center"/>
              <w:rPr>
                <w:rFonts w:eastAsia="Arial Unicode MS"/>
                <w:bCs/>
                <w:color w:val="FFFFFF" w:themeColor="background1"/>
                <w:sz w:val="20"/>
                <w:szCs w:val="20"/>
                <w:lang w:val="hy-AM"/>
              </w:rPr>
            </w:pPr>
            <w:r w:rsidRPr="00CD076C">
              <w:rPr>
                <w:rFonts w:cs="Sylfaen"/>
                <w:color w:val="FFFFFF" w:themeColor="background1"/>
                <w:sz w:val="20"/>
                <w:szCs w:val="20"/>
              </w:rPr>
              <w:t>2022թ ծրագիր</w:t>
            </w:r>
          </w:p>
        </w:tc>
        <w:tc>
          <w:tcPr>
            <w:tcW w:w="802" w:type="pct"/>
            <w:tcBorders>
              <w:top w:val="double" w:sz="4" w:space="0" w:color="auto"/>
              <w:left w:val="single" w:sz="6" w:space="0" w:color="auto"/>
              <w:bottom w:val="double" w:sz="4" w:space="0" w:color="auto"/>
              <w:right w:val="single" w:sz="6" w:space="0" w:color="auto"/>
            </w:tcBorders>
            <w:shd w:val="clear" w:color="auto" w:fill="4F81BD" w:themeFill="accent1"/>
            <w:vAlign w:val="center"/>
            <w:hideMark/>
          </w:tcPr>
          <w:p w14:paraId="28F8DF15" w14:textId="77777777" w:rsidR="00B11AEF" w:rsidRPr="00CD076C" w:rsidRDefault="00B11AEF" w:rsidP="00B11AEF">
            <w:pPr>
              <w:spacing w:after="0" w:line="256" w:lineRule="auto"/>
              <w:ind w:firstLine="0"/>
              <w:jc w:val="center"/>
              <w:rPr>
                <w:rFonts w:cs="Sylfaen"/>
                <w:color w:val="FFFFFF" w:themeColor="background1"/>
                <w:sz w:val="20"/>
                <w:szCs w:val="20"/>
              </w:rPr>
            </w:pPr>
            <w:r w:rsidRPr="00CD076C">
              <w:rPr>
                <w:rFonts w:cs="Sylfaen"/>
                <w:color w:val="FFFFFF" w:themeColor="background1"/>
                <w:sz w:val="20"/>
                <w:szCs w:val="20"/>
              </w:rPr>
              <w:t xml:space="preserve">2023թ </w:t>
            </w:r>
          </w:p>
          <w:p w14:paraId="6E92E6F7" w14:textId="77777777" w:rsidR="00B11AEF" w:rsidRPr="00CD076C" w:rsidRDefault="00B11AEF" w:rsidP="00B11AEF">
            <w:pPr>
              <w:spacing w:after="0" w:line="256" w:lineRule="auto"/>
              <w:ind w:firstLine="0"/>
              <w:jc w:val="center"/>
              <w:rPr>
                <w:bCs/>
                <w:color w:val="FFFFFF" w:themeColor="background1"/>
                <w:sz w:val="20"/>
                <w:szCs w:val="20"/>
                <w:lang w:val="hy-AM"/>
              </w:rPr>
            </w:pPr>
            <w:r w:rsidRPr="00CD076C">
              <w:rPr>
                <w:rFonts w:cs="Sylfaen"/>
                <w:color w:val="FFFFFF" w:themeColor="background1"/>
                <w:sz w:val="20"/>
                <w:szCs w:val="20"/>
              </w:rPr>
              <w:t xml:space="preserve"> ծրագիր</w:t>
            </w:r>
          </w:p>
        </w:tc>
        <w:tc>
          <w:tcPr>
            <w:tcW w:w="742" w:type="pct"/>
            <w:tcBorders>
              <w:top w:val="double" w:sz="4" w:space="0" w:color="auto"/>
              <w:left w:val="single" w:sz="6" w:space="0" w:color="auto"/>
              <w:bottom w:val="double" w:sz="4" w:space="0" w:color="auto"/>
              <w:right w:val="double" w:sz="4" w:space="0" w:color="auto"/>
            </w:tcBorders>
            <w:shd w:val="clear" w:color="auto" w:fill="4F81BD" w:themeFill="accent1"/>
            <w:vAlign w:val="center"/>
            <w:hideMark/>
          </w:tcPr>
          <w:p w14:paraId="14B396BB" w14:textId="77777777" w:rsidR="00B11AEF" w:rsidRPr="00CD076C" w:rsidRDefault="00B11AEF" w:rsidP="00B11AEF">
            <w:pPr>
              <w:spacing w:after="0" w:line="256" w:lineRule="auto"/>
              <w:ind w:firstLine="0"/>
              <w:jc w:val="center"/>
              <w:rPr>
                <w:rFonts w:cs="Sylfaen"/>
                <w:color w:val="FFFFFF" w:themeColor="background1"/>
                <w:sz w:val="20"/>
                <w:szCs w:val="20"/>
              </w:rPr>
            </w:pPr>
            <w:r w:rsidRPr="00CD076C">
              <w:rPr>
                <w:rFonts w:cs="Sylfaen"/>
                <w:color w:val="FFFFFF" w:themeColor="background1"/>
                <w:sz w:val="20"/>
                <w:szCs w:val="20"/>
              </w:rPr>
              <w:t xml:space="preserve">2024թ </w:t>
            </w:r>
          </w:p>
          <w:p w14:paraId="48AA474B" w14:textId="77777777" w:rsidR="00B11AEF" w:rsidRPr="00CD076C" w:rsidRDefault="00B11AEF" w:rsidP="00B11AEF">
            <w:pPr>
              <w:spacing w:after="0" w:line="256" w:lineRule="auto"/>
              <w:ind w:firstLine="0"/>
              <w:jc w:val="center"/>
              <w:rPr>
                <w:bCs/>
                <w:color w:val="FFFFFF" w:themeColor="background1"/>
                <w:sz w:val="20"/>
                <w:szCs w:val="20"/>
                <w:lang w:val="hy-AM"/>
              </w:rPr>
            </w:pPr>
            <w:r w:rsidRPr="00CD076C">
              <w:rPr>
                <w:rFonts w:cs="Sylfaen"/>
                <w:color w:val="FFFFFF" w:themeColor="background1"/>
                <w:sz w:val="20"/>
                <w:szCs w:val="20"/>
              </w:rPr>
              <w:t>ծրագիր</w:t>
            </w:r>
          </w:p>
        </w:tc>
      </w:tr>
      <w:tr w:rsidR="00B11AEF" w:rsidRPr="006A4BFC" w14:paraId="057B53B9" w14:textId="77777777" w:rsidTr="00B11AEF">
        <w:trPr>
          <w:trHeight w:val="20"/>
        </w:trPr>
        <w:tc>
          <w:tcPr>
            <w:tcW w:w="2014" w:type="pct"/>
            <w:tcBorders>
              <w:top w:val="double" w:sz="4" w:space="0" w:color="auto"/>
              <w:left w:val="double" w:sz="4" w:space="0" w:color="auto"/>
              <w:bottom w:val="single" w:sz="6" w:space="0" w:color="auto"/>
              <w:right w:val="single" w:sz="6" w:space="0" w:color="auto"/>
            </w:tcBorders>
            <w:shd w:val="clear" w:color="auto" w:fill="C6D9F1" w:themeFill="text2" w:themeFillTint="33"/>
            <w:tcMar>
              <w:top w:w="0" w:type="dxa"/>
              <w:left w:w="57" w:type="dxa"/>
              <w:bottom w:w="0" w:type="dxa"/>
              <w:right w:w="85" w:type="dxa"/>
            </w:tcMar>
            <w:vAlign w:val="center"/>
            <w:hideMark/>
          </w:tcPr>
          <w:p w14:paraId="45094423" w14:textId="77777777" w:rsidR="00B11AEF" w:rsidRPr="006A4BFC" w:rsidRDefault="00B11AEF" w:rsidP="00B11AEF">
            <w:pPr>
              <w:spacing w:line="256" w:lineRule="auto"/>
              <w:ind w:firstLine="0"/>
              <w:jc w:val="left"/>
              <w:rPr>
                <w:rFonts w:eastAsia="Times New Roman" w:cs="Times New Roman"/>
                <w:b/>
                <w:sz w:val="20"/>
                <w:szCs w:val="20"/>
                <w:lang w:val="hy-AM"/>
              </w:rPr>
            </w:pPr>
            <w:r w:rsidRPr="006A4BFC">
              <w:rPr>
                <w:rFonts w:cs="Sylfaen"/>
                <w:b/>
                <w:sz w:val="20"/>
                <w:szCs w:val="20"/>
                <w:lang w:val="hy-AM"/>
              </w:rPr>
              <w:t>Արտաքին</w:t>
            </w:r>
            <w:r w:rsidRPr="006A4BFC">
              <w:rPr>
                <w:b/>
                <w:sz w:val="20"/>
                <w:szCs w:val="20"/>
                <w:lang w:val="hy-AM"/>
              </w:rPr>
              <w:t xml:space="preserve"> </w:t>
            </w:r>
            <w:r w:rsidRPr="006A4BFC">
              <w:rPr>
                <w:rFonts w:cs="Sylfaen"/>
                <w:b/>
                <w:sz w:val="20"/>
                <w:szCs w:val="20"/>
                <w:lang w:val="hy-AM"/>
              </w:rPr>
              <w:t>աղբյուրների</w:t>
            </w:r>
            <w:r w:rsidRPr="006A4BFC">
              <w:rPr>
                <w:b/>
                <w:sz w:val="20"/>
                <w:szCs w:val="20"/>
                <w:lang w:val="hy-AM"/>
              </w:rPr>
              <w:t xml:space="preserve"> </w:t>
            </w:r>
            <w:r w:rsidRPr="006A4BFC">
              <w:rPr>
                <w:rFonts w:cs="Sylfaen"/>
                <w:b/>
                <w:sz w:val="20"/>
                <w:szCs w:val="20"/>
                <w:lang w:val="hy-AM"/>
              </w:rPr>
              <w:t>հաշվին</w:t>
            </w:r>
            <w:r w:rsidRPr="006A4BFC">
              <w:rPr>
                <w:b/>
                <w:sz w:val="20"/>
                <w:szCs w:val="20"/>
                <w:lang w:val="hy-AM"/>
              </w:rPr>
              <w:t xml:space="preserve"> </w:t>
            </w:r>
            <w:r w:rsidRPr="006A4BFC">
              <w:rPr>
                <w:rFonts w:cs="Sylfaen"/>
                <w:b/>
                <w:sz w:val="20"/>
                <w:szCs w:val="20"/>
                <w:lang w:val="hy-AM"/>
              </w:rPr>
              <w:t>ֆինանսավորվող</w:t>
            </w:r>
            <w:r w:rsidRPr="006A4BFC">
              <w:rPr>
                <w:b/>
                <w:sz w:val="20"/>
                <w:szCs w:val="20"/>
                <w:lang w:val="hy-AM"/>
              </w:rPr>
              <w:t xml:space="preserve"> </w:t>
            </w:r>
            <w:r w:rsidRPr="006A4BFC">
              <w:rPr>
                <w:rFonts w:cs="Sylfaen"/>
                <w:b/>
                <w:sz w:val="20"/>
                <w:szCs w:val="20"/>
                <w:lang w:val="hy-AM"/>
              </w:rPr>
              <w:t>ծախսերի</w:t>
            </w:r>
            <w:r w:rsidRPr="006A4BFC">
              <w:rPr>
                <w:b/>
                <w:sz w:val="20"/>
                <w:szCs w:val="20"/>
                <w:lang w:val="hy-AM"/>
              </w:rPr>
              <w:t xml:space="preserve"> </w:t>
            </w:r>
            <w:r w:rsidRPr="006A4BFC">
              <w:rPr>
                <w:rFonts w:cs="Sylfaen"/>
                <w:b/>
                <w:sz w:val="20"/>
                <w:szCs w:val="20"/>
                <w:lang w:val="hy-AM"/>
              </w:rPr>
              <w:t>ծավալը</w:t>
            </w:r>
            <w:r w:rsidRPr="006A4BFC">
              <w:rPr>
                <w:b/>
                <w:sz w:val="20"/>
                <w:szCs w:val="20"/>
                <w:lang w:val="hy-AM"/>
              </w:rPr>
              <w:t xml:space="preserve"> (</w:t>
            </w:r>
            <w:r w:rsidRPr="006A4BFC">
              <w:rPr>
                <w:rFonts w:cs="Sylfaen"/>
                <w:b/>
                <w:sz w:val="20"/>
                <w:szCs w:val="20"/>
                <w:lang w:val="hy-AM"/>
              </w:rPr>
              <w:t>մլն</w:t>
            </w:r>
            <w:r w:rsidRPr="006A4BFC">
              <w:rPr>
                <w:b/>
                <w:sz w:val="20"/>
                <w:szCs w:val="20"/>
                <w:lang w:val="hy-AM"/>
              </w:rPr>
              <w:t xml:space="preserve"> </w:t>
            </w:r>
            <w:r w:rsidRPr="006A4BFC">
              <w:rPr>
                <w:rFonts w:cs="Sylfaen"/>
                <w:b/>
                <w:sz w:val="20"/>
                <w:szCs w:val="20"/>
                <w:lang w:val="hy-AM"/>
              </w:rPr>
              <w:t>դրամ</w:t>
            </w:r>
            <w:r w:rsidRPr="006A4BFC">
              <w:rPr>
                <w:b/>
                <w:sz w:val="20"/>
                <w:szCs w:val="20"/>
                <w:lang w:val="hy-AM"/>
              </w:rPr>
              <w:t>)</w:t>
            </w:r>
          </w:p>
        </w:tc>
        <w:tc>
          <w:tcPr>
            <w:tcW w:w="738" w:type="pct"/>
            <w:tcBorders>
              <w:top w:val="nil"/>
              <w:left w:val="nil"/>
              <w:bottom w:val="single" w:sz="8" w:space="0" w:color="auto"/>
              <w:right w:val="single" w:sz="8" w:space="0" w:color="auto"/>
            </w:tcBorders>
            <w:shd w:val="clear" w:color="000000" w:fill="C6D9F1"/>
            <w:tcMar>
              <w:top w:w="0" w:type="dxa"/>
              <w:left w:w="57" w:type="dxa"/>
              <w:bottom w:w="0" w:type="dxa"/>
              <w:right w:w="85" w:type="dxa"/>
            </w:tcMar>
            <w:vAlign w:val="center"/>
            <w:hideMark/>
          </w:tcPr>
          <w:p w14:paraId="0F87C3A4" w14:textId="77777777" w:rsidR="00B11AEF" w:rsidRPr="006A4BFC" w:rsidRDefault="00B11AEF" w:rsidP="00B11AEF">
            <w:pPr>
              <w:ind w:firstLine="0"/>
              <w:jc w:val="center"/>
              <w:rPr>
                <w:rFonts w:ascii="Calibri" w:hAnsi="Calibri" w:cs="Calibri"/>
              </w:rPr>
            </w:pPr>
            <w:r w:rsidRPr="006A4BFC">
              <w:rPr>
                <w:rFonts w:ascii="Calibri" w:eastAsiaTheme="minorHAnsi" w:hAnsi="Calibri"/>
              </w:rPr>
              <w:t>86,707,258.1</w:t>
            </w:r>
          </w:p>
        </w:tc>
        <w:tc>
          <w:tcPr>
            <w:tcW w:w="703" w:type="pct"/>
            <w:tcBorders>
              <w:top w:val="nil"/>
              <w:left w:val="nil"/>
              <w:bottom w:val="single" w:sz="8" w:space="0" w:color="auto"/>
              <w:right w:val="single" w:sz="8" w:space="0" w:color="auto"/>
            </w:tcBorders>
            <w:shd w:val="clear" w:color="000000" w:fill="C6D9F1"/>
            <w:tcMar>
              <w:top w:w="0" w:type="dxa"/>
              <w:left w:w="57" w:type="dxa"/>
              <w:bottom w:w="0" w:type="dxa"/>
              <w:right w:w="85" w:type="dxa"/>
            </w:tcMar>
            <w:vAlign w:val="center"/>
            <w:hideMark/>
          </w:tcPr>
          <w:p w14:paraId="666924A5" w14:textId="77777777" w:rsidR="00B11AEF" w:rsidRPr="006A4BFC" w:rsidRDefault="00B11AEF" w:rsidP="00B11AEF">
            <w:pPr>
              <w:ind w:firstLine="0"/>
              <w:jc w:val="center"/>
              <w:rPr>
                <w:rFonts w:ascii="Calibri" w:hAnsi="Calibri" w:cs="Calibri"/>
              </w:rPr>
            </w:pPr>
            <w:r w:rsidRPr="006A4BFC">
              <w:rPr>
                <w:rFonts w:ascii="Calibri" w:eastAsiaTheme="minorHAnsi" w:hAnsi="Calibri"/>
              </w:rPr>
              <w:t>69,719,899.3</w:t>
            </w:r>
          </w:p>
        </w:tc>
        <w:tc>
          <w:tcPr>
            <w:tcW w:w="802" w:type="pct"/>
            <w:tcBorders>
              <w:top w:val="nil"/>
              <w:left w:val="nil"/>
              <w:bottom w:val="single" w:sz="8" w:space="0" w:color="auto"/>
              <w:right w:val="single" w:sz="8" w:space="0" w:color="auto"/>
            </w:tcBorders>
            <w:shd w:val="clear" w:color="000000" w:fill="C6D9F1"/>
            <w:tcMar>
              <w:top w:w="0" w:type="dxa"/>
              <w:left w:w="108" w:type="dxa"/>
              <w:bottom w:w="0" w:type="dxa"/>
              <w:right w:w="108" w:type="dxa"/>
            </w:tcMar>
            <w:vAlign w:val="center"/>
            <w:hideMark/>
          </w:tcPr>
          <w:p w14:paraId="6AAFC560" w14:textId="77777777" w:rsidR="00B11AEF" w:rsidRPr="006A4BFC" w:rsidRDefault="00B11AEF" w:rsidP="00B11AEF">
            <w:pPr>
              <w:ind w:firstLine="0"/>
              <w:jc w:val="center"/>
              <w:rPr>
                <w:rFonts w:ascii="Calibri" w:hAnsi="Calibri" w:cs="Calibri"/>
              </w:rPr>
            </w:pPr>
            <w:r w:rsidRPr="006A4BFC">
              <w:rPr>
                <w:rFonts w:ascii="Calibri" w:eastAsiaTheme="minorHAnsi" w:hAnsi="Calibri"/>
              </w:rPr>
              <w:t>102,229,221.7</w:t>
            </w:r>
          </w:p>
        </w:tc>
        <w:tc>
          <w:tcPr>
            <w:tcW w:w="742" w:type="pct"/>
            <w:tcBorders>
              <w:top w:val="nil"/>
              <w:left w:val="nil"/>
              <w:bottom w:val="single" w:sz="8" w:space="0" w:color="auto"/>
              <w:right w:val="double" w:sz="6" w:space="0" w:color="auto"/>
            </w:tcBorders>
            <w:shd w:val="clear" w:color="000000" w:fill="C6D9F1"/>
            <w:tcMar>
              <w:top w:w="0" w:type="dxa"/>
              <w:left w:w="108" w:type="dxa"/>
              <w:bottom w:w="0" w:type="dxa"/>
              <w:right w:w="108" w:type="dxa"/>
            </w:tcMar>
            <w:vAlign w:val="center"/>
            <w:hideMark/>
          </w:tcPr>
          <w:p w14:paraId="7433E23E" w14:textId="77777777" w:rsidR="00B11AEF" w:rsidRPr="006A4BFC" w:rsidRDefault="00B11AEF" w:rsidP="00B11AEF">
            <w:pPr>
              <w:ind w:firstLine="0"/>
              <w:jc w:val="center"/>
              <w:rPr>
                <w:rFonts w:ascii="Calibri" w:hAnsi="Calibri" w:cs="Calibri"/>
              </w:rPr>
            </w:pPr>
            <w:r w:rsidRPr="006A4BFC">
              <w:rPr>
                <w:rFonts w:ascii="Calibri" w:eastAsiaTheme="minorHAnsi" w:hAnsi="Calibri"/>
              </w:rPr>
              <w:t>86,974,646.1</w:t>
            </w:r>
          </w:p>
        </w:tc>
      </w:tr>
      <w:tr w:rsidR="00B11AEF" w:rsidRPr="006A4BFC" w14:paraId="5FF29B59" w14:textId="77777777" w:rsidTr="00B11AEF">
        <w:trPr>
          <w:trHeight w:val="20"/>
        </w:trPr>
        <w:tc>
          <w:tcPr>
            <w:tcW w:w="2014" w:type="pct"/>
            <w:tcBorders>
              <w:top w:val="single" w:sz="6" w:space="0" w:color="auto"/>
              <w:left w:val="double" w:sz="4" w:space="0" w:color="auto"/>
              <w:bottom w:val="single" w:sz="6" w:space="0" w:color="auto"/>
              <w:right w:val="single" w:sz="6" w:space="0" w:color="auto"/>
            </w:tcBorders>
            <w:tcMar>
              <w:top w:w="0" w:type="dxa"/>
              <w:left w:w="57" w:type="dxa"/>
              <w:bottom w:w="0" w:type="dxa"/>
              <w:right w:w="85" w:type="dxa"/>
            </w:tcMar>
            <w:vAlign w:val="center"/>
            <w:hideMark/>
          </w:tcPr>
          <w:p w14:paraId="67478299" w14:textId="77777777" w:rsidR="00B11AEF" w:rsidRPr="006A4BFC" w:rsidRDefault="00B11AEF" w:rsidP="00B11AEF">
            <w:pPr>
              <w:spacing w:after="0" w:line="256" w:lineRule="auto"/>
              <w:ind w:firstLine="0"/>
              <w:rPr>
                <w:sz w:val="20"/>
                <w:szCs w:val="20"/>
                <w:lang w:val="hy-AM"/>
              </w:rPr>
            </w:pPr>
            <w:r w:rsidRPr="006A4BFC">
              <w:rPr>
                <w:sz w:val="20"/>
                <w:szCs w:val="20"/>
                <w:lang w:val="hy-AM"/>
              </w:rPr>
              <w:t xml:space="preserve">- </w:t>
            </w:r>
            <w:r w:rsidRPr="006A4BFC">
              <w:rPr>
                <w:rFonts w:cs="Sylfaen"/>
                <w:sz w:val="20"/>
                <w:szCs w:val="20"/>
                <w:lang w:val="hy-AM"/>
              </w:rPr>
              <w:t>Հարաբերությունը</w:t>
            </w:r>
            <w:r w:rsidRPr="006A4BFC">
              <w:rPr>
                <w:sz w:val="20"/>
                <w:szCs w:val="20"/>
                <w:lang w:val="hy-AM"/>
              </w:rPr>
              <w:t xml:space="preserve"> </w:t>
            </w:r>
            <w:r w:rsidRPr="006A4BFC">
              <w:rPr>
                <w:rFonts w:cs="Sylfaen"/>
                <w:sz w:val="20"/>
                <w:szCs w:val="20"/>
                <w:lang w:val="hy-AM"/>
              </w:rPr>
              <w:t>ՀՆԱ</w:t>
            </w:r>
            <w:r w:rsidRPr="006A4BFC">
              <w:rPr>
                <w:sz w:val="20"/>
                <w:szCs w:val="20"/>
                <w:lang w:val="hy-AM"/>
              </w:rPr>
              <w:t>-</w:t>
            </w:r>
            <w:r w:rsidRPr="006A4BFC">
              <w:rPr>
                <w:rFonts w:cs="Sylfaen"/>
                <w:sz w:val="20"/>
                <w:szCs w:val="20"/>
                <w:lang w:val="hy-AM"/>
              </w:rPr>
              <w:t>ի</w:t>
            </w:r>
            <w:r w:rsidRPr="006A4BFC">
              <w:rPr>
                <w:sz w:val="20"/>
                <w:szCs w:val="20"/>
                <w:lang w:val="hy-AM"/>
              </w:rPr>
              <w:t xml:space="preserve"> </w:t>
            </w:r>
            <w:r w:rsidRPr="006A4BFC">
              <w:rPr>
                <w:rFonts w:cs="Sylfaen"/>
                <w:sz w:val="20"/>
                <w:szCs w:val="20"/>
                <w:lang w:val="hy-AM"/>
              </w:rPr>
              <w:t>նկատմամբ</w:t>
            </w:r>
            <w:r w:rsidRPr="006A4BFC">
              <w:rPr>
                <w:sz w:val="20"/>
                <w:szCs w:val="20"/>
                <w:lang w:val="hy-AM"/>
              </w:rPr>
              <w:t xml:space="preserve"> (%)</w:t>
            </w:r>
          </w:p>
        </w:tc>
        <w:tc>
          <w:tcPr>
            <w:tcW w:w="738" w:type="pct"/>
            <w:tcBorders>
              <w:top w:val="nil"/>
              <w:left w:val="nil"/>
              <w:bottom w:val="single" w:sz="8" w:space="0" w:color="auto"/>
              <w:right w:val="single" w:sz="8" w:space="0" w:color="auto"/>
            </w:tcBorders>
            <w:shd w:val="clear" w:color="auto" w:fill="auto"/>
            <w:tcMar>
              <w:top w:w="0" w:type="dxa"/>
              <w:left w:w="57" w:type="dxa"/>
              <w:bottom w:w="0" w:type="dxa"/>
              <w:right w:w="85" w:type="dxa"/>
            </w:tcMar>
            <w:vAlign w:val="center"/>
            <w:hideMark/>
          </w:tcPr>
          <w:p w14:paraId="3D6A0FBC" w14:textId="77777777" w:rsidR="00B11AEF" w:rsidRPr="006A4BFC" w:rsidRDefault="00B11AEF" w:rsidP="00B11AEF">
            <w:pPr>
              <w:ind w:firstLine="0"/>
              <w:jc w:val="right"/>
              <w:rPr>
                <w:rFonts w:cs="Calibri"/>
                <w:bCs/>
                <w:sz w:val="20"/>
                <w:szCs w:val="20"/>
              </w:rPr>
            </w:pPr>
            <w:r w:rsidRPr="006A4BFC">
              <w:rPr>
                <w:rFonts w:eastAsiaTheme="minorHAnsi"/>
                <w:sz w:val="20"/>
                <w:szCs w:val="20"/>
              </w:rPr>
              <w:t>1.</w:t>
            </w:r>
            <w:r>
              <w:rPr>
                <w:rFonts w:eastAsiaTheme="minorHAnsi"/>
                <w:sz w:val="20"/>
                <w:szCs w:val="20"/>
                <w:lang w:val="hy-AM"/>
              </w:rPr>
              <w:t>4</w:t>
            </w:r>
            <w:r w:rsidRPr="006A4BFC">
              <w:rPr>
                <w:rFonts w:eastAsiaTheme="minorHAnsi"/>
                <w:sz w:val="20"/>
                <w:szCs w:val="20"/>
              </w:rPr>
              <w:t>%</w:t>
            </w:r>
          </w:p>
        </w:tc>
        <w:tc>
          <w:tcPr>
            <w:tcW w:w="703" w:type="pct"/>
            <w:tcBorders>
              <w:top w:val="nil"/>
              <w:left w:val="nil"/>
              <w:bottom w:val="single" w:sz="8" w:space="0" w:color="auto"/>
              <w:right w:val="single" w:sz="8" w:space="0" w:color="auto"/>
            </w:tcBorders>
            <w:shd w:val="clear" w:color="auto" w:fill="auto"/>
            <w:tcMar>
              <w:top w:w="0" w:type="dxa"/>
              <w:left w:w="57" w:type="dxa"/>
              <w:bottom w:w="0" w:type="dxa"/>
              <w:right w:w="85" w:type="dxa"/>
            </w:tcMar>
            <w:vAlign w:val="center"/>
            <w:hideMark/>
          </w:tcPr>
          <w:p w14:paraId="28EA6535" w14:textId="77777777" w:rsidR="00B11AEF" w:rsidRPr="006A4BFC" w:rsidRDefault="00B11AEF" w:rsidP="00B11AEF">
            <w:pPr>
              <w:ind w:firstLine="0"/>
              <w:jc w:val="right"/>
              <w:rPr>
                <w:rFonts w:cs="Calibri"/>
                <w:bCs/>
                <w:sz w:val="20"/>
                <w:szCs w:val="20"/>
              </w:rPr>
            </w:pPr>
            <w:r w:rsidRPr="006A4BFC">
              <w:rPr>
                <w:rFonts w:eastAsiaTheme="minorHAnsi"/>
                <w:sz w:val="20"/>
                <w:szCs w:val="20"/>
              </w:rPr>
              <w:t>0.9%</w:t>
            </w:r>
          </w:p>
        </w:tc>
        <w:tc>
          <w:tcPr>
            <w:tcW w:w="802"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33967CA" w14:textId="77777777" w:rsidR="00B11AEF" w:rsidRPr="006A4BFC" w:rsidRDefault="00B11AEF" w:rsidP="00B11AEF">
            <w:pPr>
              <w:ind w:firstLine="0"/>
              <w:jc w:val="right"/>
              <w:rPr>
                <w:rFonts w:cs="Calibri"/>
                <w:bCs/>
                <w:sz w:val="20"/>
                <w:szCs w:val="20"/>
              </w:rPr>
            </w:pPr>
            <w:r w:rsidRPr="006A4BFC">
              <w:rPr>
                <w:rFonts w:eastAsiaTheme="minorHAnsi"/>
                <w:sz w:val="20"/>
                <w:szCs w:val="20"/>
              </w:rPr>
              <w:t>1.3%</w:t>
            </w:r>
          </w:p>
        </w:tc>
        <w:tc>
          <w:tcPr>
            <w:tcW w:w="742"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4F7971" w14:textId="77777777" w:rsidR="00B11AEF" w:rsidRPr="006A4BFC" w:rsidRDefault="00B11AEF" w:rsidP="00B11AEF">
            <w:pPr>
              <w:ind w:firstLine="0"/>
              <w:jc w:val="right"/>
              <w:rPr>
                <w:rFonts w:cs="Calibri"/>
                <w:bCs/>
                <w:sz w:val="20"/>
                <w:szCs w:val="20"/>
              </w:rPr>
            </w:pPr>
            <w:r w:rsidRPr="006A4BFC">
              <w:rPr>
                <w:rFonts w:eastAsiaTheme="minorHAnsi"/>
                <w:sz w:val="20"/>
                <w:szCs w:val="20"/>
              </w:rPr>
              <w:t>1.0%</w:t>
            </w:r>
          </w:p>
        </w:tc>
      </w:tr>
      <w:tr w:rsidR="00B11AEF" w:rsidRPr="006A4BFC" w14:paraId="662D3632" w14:textId="77777777" w:rsidTr="00B11AEF">
        <w:trPr>
          <w:trHeight w:val="20"/>
        </w:trPr>
        <w:tc>
          <w:tcPr>
            <w:tcW w:w="2014" w:type="pct"/>
            <w:tcBorders>
              <w:top w:val="single" w:sz="6" w:space="0" w:color="auto"/>
              <w:left w:val="double" w:sz="4" w:space="0" w:color="auto"/>
              <w:bottom w:val="single" w:sz="6" w:space="0" w:color="auto"/>
              <w:right w:val="single" w:sz="6" w:space="0" w:color="auto"/>
            </w:tcBorders>
            <w:tcMar>
              <w:top w:w="0" w:type="dxa"/>
              <w:left w:w="57" w:type="dxa"/>
              <w:bottom w:w="0" w:type="dxa"/>
              <w:right w:w="85" w:type="dxa"/>
            </w:tcMar>
            <w:vAlign w:val="center"/>
            <w:hideMark/>
          </w:tcPr>
          <w:p w14:paraId="793E811E" w14:textId="77777777" w:rsidR="00B11AEF" w:rsidRPr="006A4BFC" w:rsidRDefault="00B11AEF" w:rsidP="00B11AEF">
            <w:pPr>
              <w:spacing w:after="0" w:line="256" w:lineRule="auto"/>
              <w:ind w:firstLine="0"/>
              <w:rPr>
                <w:sz w:val="20"/>
                <w:szCs w:val="20"/>
                <w:lang w:val="hy-AM"/>
              </w:rPr>
            </w:pPr>
            <w:r w:rsidRPr="006A4BFC">
              <w:rPr>
                <w:sz w:val="20"/>
                <w:szCs w:val="20"/>
                <w:lang w:val="hy-AM"/>
              </w:rPr>
              <w:t xml:space="preserve">- </w:t>
            </w:r>
            <w:r w:rsidRPr="006A4BFC">
              <w:rPr>
                <w:rFonts w:cs="Sylfaen"/>
                <w:bCs/>
                <w:iCs/>
                <w:sz w:val="20"/>
                <w:szCs w:val="20"/>
                <w:lang w:val="hy-AM"/>
              </w:rPr>
              <w:t>տեսակարար</w:t>
            </w:r>
            <w:r w:rsidRPr="006A4BFC">
              <w:rPr>
                <w:rFonts w:cs="Times Armenian"/>
                <w:bCs/>
                <w:iCs/>
                <w:sz w:val="20"/>
                <w:szCs w:val="20"/>
                <w:lang w:val="hy-AM"/>
              </w:rPr>
              <w:t xml:space="preserve"> </w:t>
            </w:r>
            <w:r w:rsidRPr="006A4BFC">
              <w:rPr>
                <w:rFonts w:cs="Sylfaen"/>
                <w:bCs/>
                <w:iCs/>
                <w:sz w:val="20"/>
                <w:szCs w:val="20"/>
                <w:lang w:val="hy-AM"/>
              </w:rPr>
              <w:t>կշիռը</w:t>
            </w:r>
            <w:r w:rsidRPr="006A4BFC">
              <w:rPr>
                <w:rFonts w:cs="Times Armenian"/>
                <w:bCs/>
                <w:iCs/>
                <w:sz w:val="20"/>
                <w:szCs w:val="20"/>
                <w:lang w:val="hy-AM"/>
              </w:rPr>
              <w:t xml:space="preserve"> </w:t>
            </w:r>
            <w:r w:rsidRPr="006A4BFC">
              <w:rPr>
                <w:rFonts w:cs="Sylfaen"/>
                <w:bCs/>
                <w:iCs/>
                <w:sz w:val="20"/>
                <w:szCs w:val="20"/>
                <w:lang w:val="hy-AM"/>
              </w:rPr>
              <w:t>ծախսերի</w:t>
            </w:r>
            <w:r w:rsidRPr="006A4BFC">
              <w:rPr>
                <w:rFonts w:cs="Times Armenian"/>
                <w:bCs/>
                <w:iCs/>
                <w:sz w:val="20"/>
                <w:szCs w:val="20"/>
                <w:lang w:val="hy-AM"/>
              </w:rPr>
              <w:t xml:space="preserve"> </w:t>
            </w:r>
            <w:r w:rsidRPr="006A4BFC">
              <w:rPr>
                <w:rFonts w:cs="Sylfaen"/>
                <w:bCs/>
                <w:iCs/>
                <w:sz w:val="20"/>
                <w:szCs w:val="20"/>
                <w:lang w:val="hy-AM"/>
              </w:rPr>
              <w:t>ամբողջ</w:t>
            </w:r>
            <w:r w:rsidRPr="006A4BFC">
              <w:rPr>
                <w:rFonts w:cs="Times Armenian"/>
                <w:bCs/>
                <w:iCs/>
                <w:sz w:val="20"/>
                <w:szCs w:val="20"/>
                <w:lang w:val="hy-AM"/>
              </w:rPr>
              <w:t xml:space="preserve"> </w:t>
            </w:r>
            <w:r w:rsidRPr="006A4BFC">
              <w:rPr>
                <w:rFonts w:cs="Sylfaen"/>
                <w:bCs/>
                <w:iCs/>
                <w:sz w:val="20"/>
                <w:szCs w:val="20"/>
                <w:lang w:val="hy-AM"/>
              </w:rPr>
              <w:t>ծավալում</w:t>
            </w:r>
            <w:r w:rsidRPr="006A4BFC">
              <w:rPr>
                <w:rFonts w:cs="Times Armenian"/>
                <w:bCs/>
                <w:iCs/>
                <w:sz w:val="20"/>
                <w:szCs w:val="20"/>
                <w:lang w:val="hy-AM"/>
              </w:rPr>
              <w:t xml:space="preserve"> (%</w:t>
            </w:r>
            <w:r w:rsidRPr="006A4BFC">
              <w:rPr>
                <w:bCs/>
                <w:iCs/>
                <w:sz w:val="20"/>
                <w:szCs w:val="20"/>
                <w:lang w:val="hy-AM"/>
              </w:rPr>
              <w:t>)</w:t>
            </w:r>
          </w:p>
        </w:tc>
        <w:tc>
          <w:tcPr>
            <w:tcW w:w="738" w:type="pct"/>
            <w:tcBorders>
              <w:top w:val="nil"/>
              <w:left w:val="nil"/>
              <w:bottom w:val="single" w:sz="8" w:space="0" w:color="auto"/>
              <w:right w:val="single" w:sz="8" w:space="0" w:color="auto"/>
            </w:tcBorders>
            <w:shd w:val="clear" w:color="auto" w:fill="auto"/>
            <w:tcMar>
              <w:top w:w="0" w:type="dxa"/>
              <w:left w:w="57" w:type="dxa"/>
              <w:bottom w:w="0" w:type="dxa"/>
              <w:right w:w="85" w:type="dxa"/>
            </w:tcMar>
            <w:vAlign w:val="center"/>
            <w:hideMark/>
          </w:tcPr>
          <w:p w14:paraId="6DEC494B" w14:textId="77777777" w:rsidR="00B11AEF" w:rsidRPr="006A4BFC" w:rsidRDefault="00B11AEF" w:rsidP="00B11AEF">
            <w:pPr>
              <w:ind w:firstLine="0"/>
              <w:jc w:val="right"/>
              <w:rPr>
                <w:rFonts w:cs="Calibri"/>
                <w:bCs/>
                <w:sz w:val="20"/>
                <w:szCs w:val="20"/>
              </w:rPr>
            </w:pPr>
            <w:r w:rsidRPr="006A4BFC">
              <w:rPr>
                <w:rFonts w:eastAsiaTheme="minorHAnsi"/>
                <w:sz w:val="20"/>
                <w:szCs w:val="20"/>
              </w:rPr>
              <w:t>5.7%</w:t>
            </w:r>
          </w:p>
        </w:tc>
        <w:tc>
          <w:tcPr>
            <w:tcW w:w="703" w:type="pct"/>
            <w:tcBorders>
              <w:top w:val="nil"/>
              <w:left w:val="nil"/>
              <w:bottom w:val="single" w:sz="8" w:space="0" w:color="auto"/>
              <w:right w:val="single" w:sz="8" w:space="0" w:color="auto"/>
            </w:tcBorders>
            <w:shd w:val="clear" w:color="auto" w:fill="auto"/>
            <w:tcMar>
              <w:top w:w="0" w:type="dxa"/>
              <w:left w:w="57" w:type="dxa"/>
              <w:bottom w:w="0" w:type="dxa"/>
              <w:right w:w="85" w:type="dxa"/>
            </w:tcMar>
            <w:vAlign w:val="center"/>
            <w:hideMark/>
          </w:tcPr>
          <w:p w14:paraId="1CC4A395" w14:textId="77777777" w:rsidR="00B11AEF" w:rsidRPr="006A4BFC" w:rsidRDefault="00B11AEF" w:rsidP="00B11AEF">
            <w:pPr>
              <w:ind w:firstLine="0"/>
              <w:jc w:val="right"/>
              <w:rPr>
                <w:rFonts w:cs="Calibri"/>
                <w:bCs/>
                <w:sz w:val="20"/>
                <w:szCs w:val="20"/>
              </w:rPr>
            </w:pPr>
            <w:r w:rsidRPr="006A4BFC">
              <w:rPr>
                <w:rFonts w:eastAsiaTheme="minorHAnsi"/>
                <w:sz w:val="20"/>
                <w:szCs w:val="20"/>
              </w:rPr>
              <w:t>3.5%</w:t>
            </w:r>
          </w:p>
        </w:tc>
        <w:tc>
          <w:tcPr>
            <w:tcW w:w="802"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C43CCF" w14:textId="77777777" w:rsidR="00B11AEF" w:rsidRPr="006A4BFC" w:rsidRDefault="00B11AEF" w:rsidP="00B11AEF">
            <w:pPr>
              <w:ind w:firstLine="0"/>
              <w:jc w:val="right"/>
              <w:rPr>
                <w:rFonts w:cs="Calibri"/>
                <w:bCs/>
                <w:sz w:val="20"/>
                <w:szCs w:val="20"/>
              </w:rPr>
            </w:pPr>
            <w:r w:rsidRPr="006A4BFC">
              <w:rPr>
                <w:rFonts w:eastAsiaTheme="minorHAnsi"/>
                <w:sz w:val="20"/>
                <w:szCs w:val="20"/>
              </w:rPr>
              <w:t>4.8%</w:t>
            </w:r>
          </w:p>
        </w:tc>
        <w:tc>
          <w:tcPr>
            <w:tcW w:w="742" w:type="pct"/>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5D9517" w14:textId="77777777" w:rsidR="00B11AEF" w:rsidRPr="006A4BFC" w:rsidRDefault="00B11AEF" w:rsidP="00B11AEF">
            <w:pPr>
              <w:ind w:firstLine="0"/>
              <w:jc w:val="right"/>
              <w:rPr>
                <w:rFonts w:cs="Calibri"/>
                <w:bCs/>
                <w:sz w:val="20"/>
                <w:szCs w:val="20"/>
              </w:rPr>
            </w:pPr>
            <w:r w:rsidRPr="006A4BFC">
              <w:rPr>
                <w:rFonts w:eastAsiaTheme="minorHAnsi"/>
                <w:sz w:val="20"/>
                <w:szCs w:val="20"/>
              </w:rPr>
              <w:t>3.8%</w:t>
            </w:r>
          </w:p>
        </w:tc>
      </w:tr>
    </w:tbl>
    <w:p w14:paraId="6F8507C2" w14:textId="77777777" w:rsidR="00B11AEF" w:rsidRDefault="00B11AEF" w:rsidP="00B11AEF">
      <w:pPr>
        <w:spacing w:before="0" w:after="200" w:line="276" w:lineRule="auto"/>
        <w:ind w:firstLine="0"/>
        <w:rPr>
          <w:rFonts w:cs="Arial"/>
          <w:lang w:val="hy-AM"/>
        </w:rPr>
      </w:pPr>
    </w:p>
    <w:p w14:paraId="5D879762" w14:textId="77777777" w:rsidR="00B11AEF" w:rsidRPr="008160B6" w:rsidRDefault="00B11AEF" w:rsidP="00B11AEF">
      <w:pPr>
        <w:spacing w:before="0" w:after="200" w:line="276" w:lineRule="auto"/>
        <w:ind w:firstLine="0"/>
        <w:rPr>
          <w:rFonts w:asciiTheme="minorHAnsi" w:eastAsiaTheme="minorHAnsi" w:hAnsiTheme="minorHAnsi"/>
          <w:lang w:val="hy-AM"/>
        </w:rPr>
      </w:pPr>
      <w:r w:rsidRPr="006A4BFC">
        <w:rPr>
          <w:rFonts w:cs="Arial"/>
          <w:lang w:val="hy-AM"/>
        </w:rPr>
        <w:t>Արտաքին</w:t>
      </w:r>
      <w:r w:rsidRPr="006A4BFC">
        <w:rPr>
          <w:lang w:val="hy-AM"/>
        </w:rPr>
        <w:t xml:space="preserve">  </w:t>
      </w:r>
      <w:r w:rsidRPr="006A4BFC">
        <w:rPr>
          <w:rFonts w:cs="Arial"/>
          <w:lang w:val="hy-AM"/>
        </w:rPr>
        <w:t>աղբյուրներից</w:t>
      </w:r>
      <w:r w:rsidRPr="006A4BFC">
        <w:rPr>
          <w:lang w:val="hy-AM"/>
        </w:rPr>
        <w:t xml:space="preserve"> </w:t>
      </w:r>
      <w:r w:rsidRPr="006A4BFC">
        <w:rPr>
          <w:rFonts w:cs="Arial"/>
          <w:lang w:val="hy-AM"/>
        </w:rPr>
        <w:t>վարկերի</w:t>
      </w:r>
      <w:r w:rsidRPr="006A4BFC">
        <w:rPr>
          <w:lang w:val="hy-AM"/>
        </w:rPr>
        <w:t xml:space="preserve"> </w:t>
      </w:r>
      <w:r w:rsidRPr="006A4BFC">
        <w:rPr>
          <w:rFonts w:cs="Arial"/>
          <w:lang w:val="hy-AM"/>
        </w:rPr>
        <w:t>և</w:t>
      </w:r>
      <w:r w:rsidRPr="006A4BFC">
        <w:rPr>
          <w:lang w:val="hy-AM"/>
        </w:rPr>
        <w:t xml:space="preserve"> </w:t>
      </w:r>
      <w:r w:rsidRPr="006A4BFC">
        <w:rPr>
          <w:rFonts w:cs="Arial"/>
          <w:lang w:val="hy-AM"/>
        </w:rPr>
        <w:t>պաշտոնական</w:t>
      </w:r>
      <w:r w:rsidRPr="006A4BFC">
        <w:rPr>
          <w:lang w:val="hy-AM"/>
        </w:rPr>
        <w:t xml:space="preserve"> </w:t>
      </w:r>
      <w:r w:rsidRPr="006A4BFC">
        <w:rPr>
          <w:rFonts w:cs="Arial"/>
          <w:lang w:val="hy-AM"/>
        </w:rPr>
        <w:t>դրամաշնորհների</w:t>
      </w:r>
      <w:r w:rsidRPr="006A4BFC">
        <w:rPr>
          <w:lang w:val="hy-AM"/>
        </w:rPr>
        <w:t xml:space="preserve"> </w:t>
      </w:r>
      <w:r w:rsidRPr="006A4BFC">
        <w:rPr>
          <w:rFonts w:cs="Arial"/>
          <w:lang w:val="hy-AM"/>
        </w:rPr>
        <w:t>տեսքով</w:t>
      </w:r>
      <w:r w:rsidRPr="006A4BFC">
        <w:rPr>
          <w:lang w:val="hy-AM"/>
        </w:rPr>
        <w:t xml:space="preserve"> </w:t>
      </w:r>
      <w:r w:rsidRPr="006A4BFC">
        <w:rPr>
          <w:rFonts w:cs="Arial"/>
          <w:lang w:val="hy-AM"/>
        </w:rPr>
        <w:t>ստաց</w:t>
      </w:r>
      <w:r w:rsidRPr="006A4BFC">
        <w:rPr>
          <w:lang w:val="hy-AM"/>
        </w:rPr>
        <w:softHyphen/>
      </w:r>
      <w:r w:rsidRPr="006A4BFC">
        <w:rPr>
          <w:rFonts w:cs="Arial"/>
          <w:lang w:val="hy-AM"/>
        </w:rPr>
        <w:t>վե</w:t>
      </w:r>
      <w:r w:rsidRPr="006A4BFC">
        <w:rPr>
          <w:lang w:val="hy-AM"/>
        </w:rPr>
        <w:softHyphen/>
      </w:r>
      <w:r w:rsidRPr="006A4BFC">
        <w:rPr>
          <w:rFonts w:cs="Arial"/>
          <w:lang w:val="hy-AM"/>
        </w:rPr>
        <w:t>լիք</w:t>
      </w:r>
      <w:r w:rsidRPr="006A4BFC">
        <w:rPr>
          <w:lang w:val="hy-AM"/>
        </w:rPr>
        <w:t xml:space="preserve"> </w:t>
      </w:r>
      <w:r w:rsidRPr="006A4BFC">
        <w:rPr>
          <w:rFonts w:cs="Arial"/>
          <w:lang w:val="hy-AM"/>
        </w:rPr>
        <w:t>մի</w:t>
      </w:r>
      <w:r w:rsidRPr="006A4BFC">
        <w:rPr>
          <w:lang w:val="hy-AM"/>
        </w:rPr>
        <w:softHyphen/>
      </w:r>
      <w:r w:rsidRPr="006A4BFC">
        <w:rPr>
          <w:rFonts w:cs="Arial"/>
          <w:lang w:val="hy-AM"/>
        </w:rPr>
        <w:t>ջոցների</w:t>
      </w:r>
      <w:r w:rsidRPr="006A4BFC">
        <w:rPr>
          <w:lang w:val="hy-AM"/>
        </w:rPr>
        <w:t xml:space="preserve"> </w:t>
      </w:r>
      <w:r w:rsidRPr="006A4BFC">
        <w:rPr>
          <w:rFonts w:cs="Arial"/>
          <w:lang w:val="hy-AM"/>
        </w:rPr>
        <w:t>հաշվին</w:t>
      </w:r>
      <w:r w:rsidRPr="006A4BFC">
        <w:rPr>
          <w:lang w:val="hy-AM"/>
        </w:rPr>
        <w:t xml:space="preserve"> </w:t>
      </w:r>
      <w:r w:rsidRPr="006A4BFC">
        <w:rPr>
          <w:rFonts w:cs="Arial"/>
          <w:lang w:val="hy-AM"/>
        </w:rPr>
        <w:t>կանխատեսվող</w:t>
      </w:r>
      <w:r w:rsidRPr="006A4BFC">
        <w:rPr>
          <w:lang w:val="hy-AM"/>
        </w:rPr>
        <w:t xml:space="preserve"> 2022-2024 </w:t>
      </w:r>
      <w:r w:rsidRPr="006A4BFC">
        <w:rPr>
          <w:rFonts w:cs="Arial"/>
          <w:lang w:val="hy-AM"/>
        </w:rPr>
        <w:t>թվականների</w:t>
      </w:r>
      <w:r w:rsidRPr="006A4BFC">
        <w:rPr>
          <w:lang w:val="hy-AM"/>
        </w:rPr>
        <w:t xml:space="preserve"> </w:t>
      </w:r>
      <w:r w:rsidRPr="006A4BFC">
        <w:rPr>
          <w:rFonts w:cs="Arial"/>
          <w:lang w:val="hy-AM"/>
        </w:rPr>
        <w:t>ծախսերի</w:t>
      </w:r>
      <w:r w:rsidRPr="006A4BFC">
        <w:rPr>
          <w:lang w:val="hy-AM"/>
        </w:rPr>
        <w:t xml:space="preserve"> </w:t>
      </w:r>
      <w:r w:rsidRPr="006A4BFC">
        <w:rPr>
          <w:rFonts w:cs="Arial"/>
          <w:lang w:val="hy-AM"/>
        </w:rPr>
        <w:t>միջին</w:t>
      </w:r>
      <w:r w:rsidRPr="006A4BFC">
        <w:rPr>
          <w:lang w:val="hy-AM"/>
        </w:rPr>
        <w:t xml:space="preserve"> </w:t>
      </w:r>
      <w:r w:rsidRPr="006A4BFC">
        <w:rPr>
          <w:rFonts w:cs="Arial"/>
          <w:lang w:val="hy-AM"/>
        </w:rPr>
        <w:t>տարեկան</w:t>
      </w:r>
      <w:r w:rsidRPr="006A4BFC">
        <w:rPr>
          <w:lang w:val="hy-AM"/>
        </w:rPr>
        <w:t xml:space="preserve"> </w:t>
      </w:r>
      <w:r w:rsidRPr="006A4BFC">
        <w:rPr>
          <w:rFonts w:cs="Arial"/>
          <w:lang w:val="hy-AM"/>
        </w:rPr>
        <w:t>տե</w:t>
      </w:r>
      <w:r w:rsidRPr="006A4BFC">
        <w:rPr>
          <w:lang w:val="hy-AM"/>
        </w:rPr>
        <w:softHyphen/>
      </w:r>
      <w:r w:rsidRPr="006A4BFC">
        <w:rPr>
          <w:rFonts w:cs="Arial"/>
          <w:lang w:val="hy-AM"/>
        </w:rPr>
        <w:t>սա</w:t>
      </w:r>
      <w:r w:rsidRPr="006A4BFC">
        <w:rPr>
          <w:lang w:val="hy-AM"/>
        </w:rPr>
        <w:softHyphen/>
      </w:r>
      <w:r w:rsidRPr="006A4BFC">
        <w:rPr>
          <w:rFonts w:cs="Arial"/>
          <w:lang w:val="hy-AM"/>
        </w:rPr>
        <w:t>կա</w:t>
      </w:r>
      <w:r w:rsidRPr="006A4BFC">
        <w:rPr>
          <w:lang w:val="hy-AM"/>
        </w:rPr>
        <w:softHyphen/>
      </w:r>
      <w:r w:rsidRPr="006A4BFC">
        <w:rPr>
          <w:rFonts w:cs="Arial"/>
          <w:lang w:val="hy-AM"/>
        </w:rPr>
        <w:t>րար</w:t>
      </w:r>
      <w:r w:rsidRPr="006A4BFC">
        <w:rPr>
          <w:lang w:val="hy-AM"/>
        </w:rPr>
        <w:t xml:space="preserve"> </w:t>
      </w:r>
      <w:r w:rsidRPr="006A4BFC">
        <w:rPr>
          <w:rFonts w:cs="Arial"/>
          <w:lang w:val="hy-AM"/>
        </w:rPr>
        <w:t>կշիռը</w:t>
      </w:r>
      <w:r w:rsidRPr="006A4BFC">
        <w:rPr>
          <w:lang w:val="hy-AM"/>
        </w:rPr>
        <w:t xml:space="preserve"> </w:t>
      </w:r>
      <w:r w:rsidRPr="006A4BFC">
        <w:rPr>
          <w:rFonts w:cs="Arial"/>
          <w:lang w:val="hy-AM"/>
        </w:rPr>
        <w:t>բյուջետային</w:t>
      </w:r>
      <w:r w:rsidRPr="006A4BFC">
        <w:rPr>
          <w:lang w:val="hy-AM"/>
        </w:rPr>
        <w:t xml:space="preserve"> </w:t>
      </w:r>
      <w:r w:rsidRPr="006A4BFC">
        <w:rPr>
          <w:rFonts w:cs="Arial"/>
          <w:lang w:val="hy-AM"/>
        </w:rPr>
        <w:t>ծախսերի</w:t>
      </w:r>
      <w:r w:rsidRPr="006A4BFC">
        <w:rPr>
          <w:lang w:val="hy-AM"/>
        </w:rPr>
        <w:t xml:space="preserve"> </w:t>
      </w:r>
      <w:r w:rsidRPr="006A4BFC">
        <w:rPr>
          <w:rFonts w:cs="Arial"/>
          <w:lang w:val="hy-AM"/>
        </w:rPr>
        <w:t>ամբողջ</w:t>
      </w:r>
      <w:r w:rsidRPr="006A4BFC">
        <w:rPr>
          <w:lang w:val="hy-AM"/>
        </w:rPr>
        <w:t xml:space="preserve"> </w:t>
      </w:r>
      <w:r w:rsidRPr="006A4BFC">
        <w:rPr>
          <w:rFonts w:cs="Arial"/>
          <w:lang w:val="hy-AM"/>
        </w:rPr>
        <w:t>ծավալում</w:t>
      </w:r>
      <w:r w:rsidRPr="006A4BFC">
        <w:rPr>
          <w:lang w:val="hy-AM"/>
        </w:rPr>
        <w:t xml:space="preserve"> </w:t>
      </w:r>
      <w:r w:rsidRPr="00CD076C">
        <w:rPr>
          <w:lang w:val="hy-AM"/>
        </w:rPr>
        <w:t>կազմում</w:t>
      </w:r>
      <w:r w:rsidRPr="006A4BFC">
        <w:rPr>
          <w:lang w:val="hy-AM"/>
        </w:rPr>
        <w:t xml:space="preserve"> </w:t>
      </w:r>
      <w:r w:rsidRPr="00CD076C">
        <w:rPr>
          <w:lang w:val="hy-AM"/>
        </w:rPr>
        <w:t>է</w:t>
      </w:r>
      <w:r w:rsidRPr="006A4BFC">
        <w:rPr>
          <w:lang w:val="hy-AM"/>
        </w:rPr>
        <w:t xml:space="preserve"> </w:t>
      </w:r>
      <w:r w:rsidRPr="00CD076C">
        <w:rPr>
          <w:lang w:val="hy-AM"/>
        </w:rPr>
        <w:t>4</w:t>
      </w:r>
      <w:r w:rsidRPr="00CD076C">
        <w:rPr>
          <w:rFonts w:hint="eastAsia"/>
          <w:lang w:val="hy-AM"/>
        </w:rPr>
        <w:t>.</w:t>
      </w:r>
      <w:r w:rsidRPr="00CD076C">
        <w:rPr>
          <w:lang w:val="hy-AM"/>
        </w:rPr>
        <w:t>1</w:t>
      </w:r>
      <w:r w:rsidRPr="006A4BFC">
        <w:rPr>
          <w:lang w:val="hy-AM"/>
        </w:rPr>
        <w:t xml:space="preserve">% </w:t>
      </w:r>
      <w:r w:rsidRPr="00CD076C">
        <w:rPr>
          <w:lang w:val="hy-AM"/>
        </w:rPr>
        <w:t>և</w:t>
      </w:r>
      <w:r w:rsidRPr="006A4BFC">
        <w:rPr>
          <w:lang w:val="hy-AM"/>
        </w:rPr>
        <w:t xml:space="preserve"> </w:t>
      </w:r>
      <w:r w:rsidRPr="00CD076C">
        <w:rPr>
          <w:lang w:val="hy-AM"/>
        </w:rPr>
        <w:t>ՀՆԱ</w:t>
      </w:r>
      <w:r w:rsidRPr="006A4BFC">
        <w:rPr>
          <w:lang w:val="hy-AM"/>
        </w:rPr>
        <w:t>-</w:t>
      </w:r>
      <w:r w:rsidRPr="00CD076C">
        <w:rPr>
          <w:lang w:val="hy-AM"/>
        </w:rPr>
        <w:t>ի</w:t>
      </w:r>
      <w:r w:rsidRPr="006A4BFC">
        <w:rPr>
          <w:lang w:val="hy-AM"/>
        </w:rPr>
        <w:t xml:space="preserve"> </w:t>
      </w:r>
      <w:r w:rsidRPr="00CD076C">
        <w:rPr>
          <w:lang w:val="hy-AM"/>
        </w:rPr>
        <w:t>նկատ</w:t>
      </w:r>
      <w:r w:rsidRPr="006A4BFC">
        <w:rPr>
          <w:lang w:val="hy-AM"/>
        </w:rPr>
        <w:softHyphen/>
      </w:r>
      <w:r w:rsidRPr="00CD076C">
        <w:rPr>
          <w:lang w:val="hy-AM"/>
        </w:rPr>
        <w:t>մամբ՝</w:t>
      </w:r>
      <w:r w:rsidRPr="006A4BFC">
        <w:rPr>
          <w:lang w:val="hy-AM"/>
        </w:rPr>
        <w:t xml:space="preserve"> 1</w:t>
      </w:r>
      <w:r w:rsidRPr="00CD076C">
        <w:rPr>
          <w:rFonts w:hint="eastAsia"/>
          <w:lang w:val="hy-AM"/>
        </w:rPr>
        <w:t>.</w:t>
      </w:r>
      <w:r w:rsidRPr="00CD076C">
        <w:rPr>
          <w:lang w:val="hy-AM"/>
        </w:rPr>
        <w:t>1</w:t>
      </w:r>
      <w:r w:rsidRPr="006A4BFC">
        <w:rPr>
          <w:lang w:val="hy-AM"/>
        </w:rPr>
        <w:t>%:</w:t>
      </w:r>
    </w:p>
    <w:p w14:paraId="35C778D2" w14:textId="77777777" w:rsidR="00B11AEF" w:rsidRDefault="00B11AEF" w:rsidP="00B11AEF">
      <w:pPr>
        <w:spacing w:line="276" w:lineRule="auto"/>
        <w:rPr>
          <w:lang w:val="hy-AM"/>
        </w:rPr>
      </w:pPr>
      <w:r>
        <w:rPr>
          <w:lang w:val="hy-AM"/>
        </w:rPr>
        <w:t xml:space="preserve"> </w:t>
      </w:r>
    </w:p>
    <w:p w14:paraId="4072F18C" w14:textId="77777777" w:rsidR="00B11AEF" w:rsidRDefault="00B11AEF" w:rsidP="00B11AEF">
      <w:pPr>
        <w:spacing w:before="0" w:after="0" w:line="240" w:lineRule="auto"/>
        <w:ind w:firstLine="0"/>
        <w:jc w:val="left"/>
        <w:rPr>
          <w:lang w:val="hy-AM"/>
        </w:rPr>
      </w:pPr>
      <w:r>
        <w:rPr>
          <w:lang w:val="hy-AM"/>
        </w:rPr>
        <w:br w:type="page"/>
      </w:r>
    </w:p>
    <w:p w14:paraId="14A958DC" w14:textId="77777777" w:rsidR="00B11AEF" w:rsidRPr="008160B6" w:rsidRDefault="00B11AEF" w:rsidP="00B11AEF">
      <w:pPr>
        <w:pStyle w:val="Heading3"/>
        <w:rPr>
          <w:rFonts w:eastAsia="Times New Roman" w:cs="Times New Roman"/>
          <w:caps w:val="0"/>
          <w:color w:val="1F497D" w:themeColor="text2"/>
          <w:sz w:val="28"/>
          <w:szCs w:val="28"/>
        </w:rPr>
      </w:pPr>
      <w:bookmarkStart w:id="537" w:name="_Toc77356422"/>
      <w:bookmarkStart w:id="538" w:name="_Toc77837865"/>
      <w:r w:rsidRPr="008160B6">
        <w:rPr>
          <w:rFonts w:eastAsia="Times New Roman" w:cs="Times New Roman"/>
          <w:caps w:val="0"/>
          <w:color w:val="1F497D" w:themeColor="text2"/>
          <w:sz w:val="28"/>
          <w:szCs w:val="28"/>
        </w:rPr>
        <w:t>4.4</w:t>
      </w:r>
      <w:r>
        <w:rPr>
          <w:rFonts w:eastAsia="Times New Roman" w:cs="Times New Roman"/>
          <w:caps w:val="0"/>
          <w:color w:val="1F497D" w:themeColor="text2"/>
          <w:sz w:val="28"/>
          <w:szCs w:val="28"/>
        </w:rPr>
        <w:t>.</w:t>
      </w:r>
      <w:r w:rsidRPr="008160B6">
        <w:rPr>
          <w:rFonts w:eastAsia="Times New Roman" w:cs="Times New Roman"/>
          <w:caps w:val="0"/>
          <w:color w:val="1F497D" w:themeColor="text2"/>
          <w:sz w:val="28"/>
          <w:szCs w:val="28"/>
        </w:rPr>
        <w:t xml:space="preserve">  ԿԱՆԽԱՏԵՍՎՈՂ ՓՈՓՈԽՈՒԹՅՈՒՆՆԵՐՆ ԸՍՏ ՏՆՏԵՍԱԳԻՏԱԿԱՆ ԴԱՍԱԿԱՐԳՄԱՆ</w:t>
      </w:r>
      <w:bookmarkEnd w:id="535"/>
      <w:bookmarkEnd w:id="537"/>
      <w:bookmarkEnd w:id="538"/>
    </w:p>
    <w:p w14:paraId="3FC2B0F6" w14:textId="77777777" w:rsidR="00B11AEF" w:rsidRPr="002A51B1" w:rsidRDefault="00B11AEF" w:rsidP="00B11AEF">
      <w:pPr>
        <w:spacing w:line="276" w:lineRule="auto"/>
        <w:ind w:firstLine="720"/>
        <w:rPr>
          <w:lang w:val="af-ZA"/>
        </w:rPr>
      </w:pPr>
      <w:r w:rsidRPr="002A51B1">
        <w:rPr>
          <w:lang w:val="af-ZA"/>
        </w:rPr>
        <w:t>202</w:t>
      </w:r>
      <w:r>
        <w:rPr>
          <w:lang w:val="af-ZA"/>
        </w:rPr>
        <w:t>2</w:t>
      </w:r>
      <w:r w:rsidRPr="002A51B1">
        <w:rPr>
          <w:lang w:val="af-ZA"/>
        </w:rPr>
        <w:t>-202</w:t>
      </w:r>
      <w:r>
        <w:rPr>
          <w:lang w:val="af-ZA"/>
        </w:rPr>
        <w:t>4</w:t>
      </w:r>
      <w:r w:rsidRPr="002A51B1">
        <w:rPr>
          <w:lang w:val="af-ZA"/>
        </w:rPr>
        <w:t xml:space="preserve"> </w:t>
      </w:r>
      <w:r w:rsidRPr="003B1F5F">
        <w:rPr>
          <w:lang w:val="hy-AM"/>
        </w:rPr>
        <w:t>թվակա</w:t>
      </w:r>
      <w:r w:rsidRPr="003B1F5F">
        <w:rPr>
          <w:rFonts w:cs="Sylfaen"/>
          <w:lang w:val="hy-AM"/>
        </w:rPr>
        <w:t>նների</w:t>
      </w:r>
      <w:r w:rsidRPr="002A51B1">
        <w:rPr>
          <w:lang w:val="af-ZA"/>
        </w:rPr>
        <w:t xml:space="preserve"> </w:t>
      </w:r>
      <w:r w:rsidRPr="003B1F5F">
        <w:rPr>
          <w:rFonts w:cs="Sylfaen"/>
          <w:lang w:val="hy-AM"/>
        </w:rPr>
        <w:t>ժամանակահատվածում</w:t>
      </w:r>
      <w:r w:rsidRPr="002A51B1">
        <w:rPr>
          <w:lang w:val="af-ZA"/>
        </w:rPr>
        <w:t xml:space="preserve"> </w:t>
      </w:r>
      <w:r w:rsidRPr="003B1F5F">
        <w:rPr>
          <w:rFonts w:cs="Sylfaen"/>
          <w:lang w:val="hy-AM"/>
        </w:rPr>
        <w:t>պետական</w:t>
      </w:r>
      <w:r w:rsidRPr="002A51B1">
        <w:rPr>
          <w:lang w:val="af-ZA"/>
        </w:rPr>
        <w:t xml:space="preserve"> </w:t>
      </w:r>
      <w:r w:rsidRPr="003B1F5F">
        <w:rPr>
          <w:rFonts w:cs="Sylfaen"/>
          <w:lang w:val="hy-AM"/>
        </w:rPr>
        <w:t>բյուջեի</w:t>
      </w:r>
      <w:r w:rsidRPr="002A51B1">
        <w:rPr>
          <w:lang w:val="af-ZA"/>
        </w:rPr>
        <w:t xml:space="preserve"> </w:t>
      </w:r>
      <w:r w:rsidRPr="002A51B1">
        <w:rPr>
          <w:lang w:val="it-IT"/>
        </w:rPr>
        <w:t>ընթա</w:t>
      </w:r>
      <w:r w:rsidRPr="002A51B1">
        <w:rPr>
          <w:lang w:val="it-IT"/>
        </w:rPr>
        <w:softHyphen/>
        <w:t>ցիկ</w:t>
      </w:r>
      <w:r w:rsidRPr="002A51B1">
        <w:rPr>
          <w:lang w:val="af-ZA"/>
        </w:rPr>
        <w:t xml:space="preserve"> </w:t>
      </w:r>
      <w:r w:rsidRPr="003B1F5F">
        <w:rPr>
          <w:rFonts w:cs="Sylfaen"/>
          <w:lang w:val="hy-AM"/>
        </w:rPr>
        <w:t>ծախ</w:t>
      </w:r>
      <w:r w:rsidRPr="002A51B1">
        <w:rPr>
          <w:rFonts w:cs="Sylfaen"/>
          <w:lang w:val="af-ZA"/>
        </w:rPr>
        <w:softHyphen/>
      </w:r>
      <w:r w:rsidRPr="003B1F5F">
        <w:rPr>
          <w:rFonts w:cs="Sylfaen"/>
          <w:lang w:val="hy-AM"/>
        </w:rPr>
        <w:t>սերի</w:t>
      </w:r>
      <w:r w:rsidRPr="002A51B1">
        <w:rPr>
          <w:lang w:val="af-ZA"/>
        </w:rPr>
        <w:t xml:space="preserve"> </w:t>
      </w:r>
      <w:r w:rsidRPr="003B1F5F">
        <w:rPr>
          <w:rFonts w:cs="Sylfaen"/>
          <w:lang w:val="hy-AM"/>
        </w:rPr>
        <w:t>հարա</w:t>
      </w:r>
      <w:r w:rsidRPr="002A51B1">
        <w:rPr>
          <w:rFonts w:cs="Sylfaen"/>
          <w:lang w:val="af-ZA"/>
        </w:rPr>
        <w:softHyphen/>
      </w:r>
      <w:r w:rsidRPr="003B1F5F">
        <w:rPr>
          <w:rFonts w:cs="Sylfaen"/>
          <w:lang w:val="hy-AM"/>
        </w:rPr>
        <w:t>բերակցությունը</w:t>
      </w:r>
      <w:r w:rsidRPr="002A51B1">
        <w:rPr>
          <w:lang w:val="af-ZA"/>
        </w:rPr>
        <w:t xml:space="preserve"> </w:t>
      </w:r>
      <w:r w:rsidRPr="003B1F5F">
        <w:rPr>
          <w:rFonts w:cs="Sylfaen"/>
          <w:lang w:val="hy-AM"/>
        </w:rPr>
        <w:t>ՀՆԱ</w:t>
      </w:r>
      <w:r w:rsidRPr="002A51B1">
        <w:rPr>
          <w:lang w:val="af-ZA"/>
        </w:rPr>
        <w:t>-</w:t>
      </w:r>
      <w:r w:rsidRPr="003B1F5F">
        <w:rPr>
          <w:rFonts w:cs="Sylfaen"/>
          <w:lang w:val="hy-AM"/>
        </w:rPr>
        <w:t>ի</w:t>
      </w:r>
      <w:r w:rsidRPr="002A51B1">
        <w:rPr>
          <w:lang w:val="af-ZA"/>
        </w:rPr>
        <w:t xml:space="preserve"> </w:t>
      </w:r>
      <w:r w:rsidRPr="003B1F5F">
        <w:rPr>
          <w:rFonts w:cs="Sylfaen"/>
          <w:lang w:val="hy-AM"/>
        </w:rPr>
        <w:t>նկատմամբ</w:t>
      </w:r>
      <w:r w:rsidRPr="002A51B1">
        <w:rPr>
          <w:lang w:val="af-ZA"/>
        </w:rPr>
        <w:t xml:space="preserve"> </w:t>
      </w:r>
      <w:r w:rsidRPr="003B1F5F">
        <w:rPr>
          <w:rFonts w:cs="Sylfaen"/>
          <w:lang w:val="hy-AM"/>
        </w:rPr>
        <w:t>կտատանվի</w:t>
      </w:r>
      <w:r w:rsidRPr="002A51B1">
        <w:rPr>
          <w:lang w:val="af-ZA"/>
        </w:rPr>
        <w:t xml:space="preserve"> 2</w:t>
      </w:r>
      <w:r>
        <w:rPr>
          <w:lang w:val="hy-AM"/>
        </w:rPr>
        <w:t>2.6</w:t>
      </w:r>
      <w:r w:rsidRPr="002A51B1">
        <w:rPr>
          <w:lang w:val="af-ZA"/>
        </w:rPr>
        <w:t xml:space="preserve"> %-</w:t>
      </w:r>
      <w:r w:rsidRPr="002A51B1">
        <w:rPr>
          <w:lang w:val="it-IT"/>
        </w:rPr>
        <w:t>ից</w:t>
      </w:r>
      <w:r w:rsidRPr="002A51B1">
        <w:rPr>
          <w:lang w:val="af-ZA"/>
        </w:rPr>
        <w:t xml:space="preserve"> 2</w:t>
      </w:r>
      <w:r>
        <w:rPr>
          <w:lang w:val="hy-AM"/>
        </w:rPr>
        <w:t>2</w:t>
      </w:r>
      <w:r>
        <w:rPr>
          <w:lang w:val="af-ZA"/>
        </w:rPr>
        <w:t>.2</w:t>
      </w:r>
      <w:r w:rsidRPr="002A51B1">
        <w:rPr>
          <w:lang w:val="af-ZA"/>
        </w:rPr>
        <w:t>%-</w:t>
      </w:r>
      <w:r w:rsidRPr="003B1F5F">
        <w:rPr>
          <w:rFonts w:cs="Sylfaen"/>
          <w:lang w:val="hy-AM"/>
        </w:rPr>
        <w:t>ի</w:t>
      </w:r>
      <w:r w:rsidRPr="002A51B1">
        <w:rPr>
          <w:lang w:val="af-ZA"/>
        </w:rPr>
        <w:t xml:space="preserve"> </w:t>
      </w:r>
      <w:r w:rsidRPr="003B1F5F">
        <w:rPr>
          <w:rFonts w:cs="Sylfaen"/>
          <w:lang w:val="hy-AM"/>
        </w:rPr>
        <w:t>միջա</w:t>
      </w:r>
      <w:r w:rsidRPr="002A51B1">
        <w:rPr>
          <w:rFonts w:cs="Sylfaen"/>
          <w:lang w:val="af-ZA"/>
        </w:rPr>
        <w:softHyphen/>
      </w:r>
      <w:r w:rsidRPr="003B1F5F">
        <w:rPr>
          <w:rFonts w:cs="Sylfaen"/>
          <w:lang w:val="hy-AM"/>
        </w:rPr>
        <w:t>կայքում</w:t>
      </w:r>
      <w:r w:rsidRPr="002A51B1">
        <w:rPr>
          <w:lang w:val="af-ZA"/>
        </w:rPr>
        <w:t xml:space="preserve">: </w:t>
      </w:r>
      <w:r w:rsidRPr="003B1F5F">
        <w:rPr>
          <w:rFonts w:cs="Sylfaen"/>
          <w:lang w:val="hy-AM"/>
        </w:rPr>
        <w:t>Նույն</w:t>
      </w:r>
      <w:r w:rsidRPr="002A51B1">
        <w:rPr>
          <w:lang w:val="af-ZA"/>
        </w:rPr>
        <w:t xml:space="preserve"> </w:t>
      </w:r>
      <w:r w:rsidRPr="003B1F5F">
        <w:rPr>
          <w:rFonts w:cs="Sylfaen"/>
          <w:lang w:val="hy-AM"/>
        </w:rPr>
        <w:t>ժա</w:t>
      </w:r>
      <w:r w:rsidRPr="002A51B1">
        <w:rPr>
          <w:rFonts w:cs="Sylfaen"/>
          <w:lang w:val="af-ZA"/>
        </w:rPr>
        <w:softHyphen/>
      </w:r>
      <w:r w:rsidRPr="003B1F5F">
        <w:rPr>
          <w:rFonts w:cs="Sylfaen"/>
          <w:lang w:val="hy-AM"/>
        </w:rPr>
        <w:t>մա</w:t>
      </w:r>
      <w:r w:rsidRPr="002A51B1">
        <w:rPr>
          <w:rFonts w:cs="Sylfaen"/>
          <w:lang w:val="af-ZA"/>
        </w:rPr>
        <w:softHyphen/>
      </w:r>
      <w:r w:rsidRPr="003B1F5F">
        <w:rPr>
          <w:rFonts w:cs="Sylfaen"/>
          <w:lang w:val="hy-AM"/>
        </w:rPr>
        <w:t>նա</w:t>
      </w:r>
      <w:r w:rsidRPr="002A51B1">
        <w:rPr>
          <w:rFonts w:cs="Sylfaen"/>
          <w:lang w:val="af-ZA"/>
        </w:rPr>
        <w:softHyphen/>
      </w:r>
      <w:r w:rsidRPr="003B1F5F">
        <w:rPr>
          <w:rFonts w:cs="Sylfaen"/>
          <w:lang w:val="hy-AM"/>
        </w:rPr>
        <w:t>կա</w:t>
      </w:r>
      <w:r w:rsidRPr="002A51B1">
        <w:rPr>
          <w:rFonts w:cs="Sylfaen"/>
          <w:lang w:val="af-ZA"/>
        </w:rPr>
        <w:softHyphen/>
      </w:r>
      <w:r w:rsidRPr="003B1F5F">
        <w:rPr>
          <w:rFonts w:cs="Sylfaen"/>
          <w:lang w:val="hy-AM"/>
        </w:rPr>
        <w:t>հատ</w:t>
      </w:r>
      <w:r w:rsidRPr="002A51B1">
        <w:rPr>
          <w:rFonts w:cs="Sylfaen"/>
          <w:lang w:val="af-ZA"/>
        </w:rPr>
        <w:softHyphen/>
      </w:r>
      <w:r w:rsidRPr="003B1F5F">
        <w:rPr>
          <w:rFonts w:cs="Sylfaen"/>
          <w:lang w:val="hy-AM"/>
        </w:rPr>
        <w:t>վա</w:t>
      </w:r>
      <w:r w:rsidRPr="002A51B1">
        <w:rPr>
          <w:rFonts w:cs="Sylfaen"/>
          <w:lang w:val="af-ZA"/>
        </w:rPr>
        <w:softHyphen/>
      </w:r>
      <w:r w:rsidRPr="003B1F5F">
        <w:rPr>
          <w:rFonts w:cs="Sylfaen"/>
          <w:lang w:val="hy-AM"/>
        </w:rPr>
        <w:t>ծում</w:t>
      </w:r>
      <w:r w:rsidRPr="002A51B1">
        <w:rPr>
          <w:rFonts w:cs="Sylfaen"/>
          <w:lang w:val="af-ZA"/>
        </w:rPr>
        <w:t xml:space="preserve"> </w:t>
      </w:r>
      <w:r w:rsidRPr="003B1F5F">
        <w:rPr>
          <w:rFonts w:cs="Sylfaen"/>
          <w:lang w:val="hy-AM"/>
        </w:rPr>
        <w:t>ոչ</w:t>
      </w:r>
      <w:r w:rsidRPr="002A51B1">
        <w:rPr>
          <w:rFonts w:cs="Sylfaen"/>
          <w:lang w:val="af-ZA"/>
        </w:rPr>
        <w:t xml:space="preserve"> </w:t>
      </w:r>
      <w:r w:rsidRPr="003B1F5F">
        <w:rPr>
          <w:rFonts w:cs="Sylfaen"/>
          <w:lang w:val="hy-AM"/>
        </w:rPr>
        <w:t>ֆինանսական</w:t>
      </w:r>
      <w:r w:rsidRPr="002A51B1">
        <w:rPr>
          <w:rFonts w:cs="Sylfaen"/>
          <w:lang w:val="af-ZA"/>
        </w:rPr>
        <w:t xml:space="preserve"> </w:t>
      </w:r>
      <w:r w:rsidRPr="003B1F5F">
        <w:rPr>
          <w:rFonts w:cs="Sylfaen"/>
          <w:lang w:val="hy-AM"/>
        </w:rPr>
        <w:t>ակտիվների</w:t>
      </w:r>
      <w:r w:rsidRPr="002A51B1">
        <w:rPr>
          <w:rFonts w:cs="Sylfaen"/>
          <w:lang w:val="af-ZA"/>
        </w:rPr>
        <w:t xml:space="preserve"> </w:t>
      </w:r>
      <w:r w:rsidRPr="003B1F5F">
        <w:rPr>
          <w:rFonts w:cs="Sylfaen"/>
          <w:lang w:val="hy-AM"/>
        </w:rPr>
        <w:t>գծով</w:t>
      </w:r>
      <w:r w:rsidRPr="002A51B1">
        <w:rPr>
          <w:rFonts w:cs="Sylfaen"/>
          <w:lang w:val="af-ZA"/>
        </w:rPr>
        <w:t xml:space="preserve"> </w:t>
      </w:r>
      <w:r w:rsidRPr="003B1F5F">
        <w:rPr>
          <w:rFonts w:cs="Sylfaen"/>
          <w:lang w:val="hy-AM"/>
        </w:rPr>
        <w:t>զուտ</w:t>
      </w:r>
      <w:r w:rsidRPr="002A51B1">
        <w:rPr>
          <w:rFonts w:cs="Sylfaen"/>
          <w:lang w:val="af-ZA"/>
        </w:rPr>
        <w:t xml:space="preserve"> </w:t>
      </w:r>
      <w:r w:rsidRPr="003B1F5F">
        <w:rPr>
          <w:rFonts w:cs="Sylfaen"/>
          <w:lang w:val="hy-AM"/>
        </w:rPr>
        <w:t>ծախ</w:t>
      </w:r>
      <w:r w:rsidRPr="002A51B1">
        <w:rPr>
          <w:rFonts w:cs="Sylfaen"/>
          <w:lang w:val="af-ZA"/>
        </w:rPr>
        <w:softHyphen/>
      </w:r>
      <w:r w:rsidRPr="003B1F5F">
        <w:rPr>
          <w:rFonts w:cs="Sylfaen"/>
          <w:lang w:val="hy-AM"/>
        </w:rPr>
        <w:t>սերի</w:t>
      </w:r>
      <w:r w:rsidRPr="002A51B1">
        <w:rPr>
          <w:rFonts w:cs="Sylfaen"/>
          <w:lang w:val="af-ZA"/>
        </w:rPr>
        <w:t xml:space="preserve"> </w:t>
      </w:r>
      <w:r w:rsidRPr="003B1F5F">
        <w:rPr>
          <w:rFonts w:cs="Sylfaen"/>
          <w:lang w:val="hy-AM"/>
        </w:rPr>
        <w:t>հարա</w:t>
      </w:r>
      <w:r w:rsidRPr="002A51B1">
        <w:rPr>
          <w:rFonts w:cs="Sylfaen"/>
          <w:lang w:val="af-ZA"/>
        </w:rPr>
        <w:softHyphen/>
      </w:r>
      <w:r w:rsidRPr="003B1F5F">
        <w:rPr>
          <w:rFonts w:cs="Sylfaen"/>
          <w:lang w:val="hy-AM"/>
        </w:rPr>
        <w:t>բե</w:t>
      </w:r>
      <w:r w:rsidRPr="002A51B1">
        <w:rPr>
          <w:rFonts w:cs="Sylfaen"/>
          <w:lang w:val="af-ZA"/>
        </w:rPr>
        <w:softHyphen/>
      </w:r>
      <w:r w:rsidRPr="003B1F5F">
        <w:rPr>
          <w:rFonts w:cs="Sylfaen"/>
          <w:lang w:val="hy-AM"/>
        </w:rPr>
        <w:t>րակ</w:t>
      </w:r>
      <w:r w:rsidRPr="002A51B1">
        <w:rPr>
          <w:rFonts w:cs="Sylfaen"/>
          <w:lang w:val="af-ZA"/>
        </w:rPr>
        <w:softHyphen/>
      </w:r>
      <w:r w:rsidRPr="003B1F5F">
        <w:rPr>
          <w:rFonts w:cs="Sylfaen"/>
          <w:lang w:val="hy-AM"/>
        </w:rPr>
        <w:t>ցությունները</w:t>
      </w:r>
      <w:r w:rsidRPr="002A51B1">
        <w:rPr>
          <w:lang w:val="af-ZA"/>
        </w:rPr>
        <w:t xml:space="preserve"> </w:t>
      </w:r>
      <w:r w:rsidRPr="003B1F5F">
        <w:rPr>
          <w:rFonts w:cs="Sylfaen"/>
          <w:lang w:val="hy-AM"/>
        </w:rPr>
        <w:t>ՀՆԱ</w:t>
      </w:r>
      <w:r w:rsidRPr="002A51B1">
        <w:rPr>
          <w:lang w:val="af-ZA"/>
        </w:rPr>
        <w:t>-</w:t>
      </w:r>
      <w:r w:rsidRPr="003B1F5F">
        <w:rPr>
          <w:rFonts w:cs="Sylfaen"/>
          <w:lang w:val="hy-AM"/>
        </w:rPr>
        <w:t>ի</w:t>
      </w:r>
      <w:r w:rsidRPr="002A51B1">
        <w:rPr>
          <w:lang w:val="af-ZA"/>
        </w:rPr>
        <w:t xml:space="preserve"> </w:t>
      </w:r>
      <w:r w:rsidRPr="003B1F5F">
        <w:rPr>
          <w:rFonts w:cs="Sylfaen"/>
          <w:lang w:val="hy-AM"/>
        </w:rPr>
        <w:t>նկատ</w:t>
      </w:r>
      <w:r w:rsidRPr="002A51B1">
        <w:rPr>
          <w:rFonts w:cs="Sylfaen"/>
          <w:lang w:val="af-ZA"/>
        </w:rPr>
        <w:softHyphen/>
      </w:r>
      <w:r w:rsidRPr="003B1F5F">
        <w:rPr>
          <w:rFonts w:cs="Sylfaen"/>
          <w:lang w:val="hy-AM"/>
        </w:rPr>
        <w:t>մամբ</w:t>
      </w:r>
      <w:r w:rsidRPr="002A51B1">
        <w:rPr>
          <w:lang w:val="af-ZA"/>
        </w:rPr>
        <w:t xml:space="preserve"> </w:t>
      </w:r>
      <w:r w:rsidRPr="003B1F5F">
        <w:rPr>
          <w:rFonts w:cs="Sylfaen"/>
          <w:lang w:val="hy-AM"/>
        </w:rPr>
        <w:t>կտա</w:t>
      </w:r>
      <w:r w:rsidRPr="002A51B1">
        <w:rPr>
          <w:rFonts w:cs="Sylfaen"/>
          <w:lang w:val="af-ZA"/>
        </w:rPr>
        <w:softHyphen/>
      </w:r>
      <w:r w:rsidRPr="003B1F5F">
        <w:rPr>
          <w:rFonts w:cs="Sylfaen"/>
          <w:lang w:val="hy-AM"/>
        </w:rPr>
        <w:t>տանվի</w:t>
      </w:r>
      <w:r w:rsidRPr="002A51B1">
        <w:rPr>
          <w:lang w:val="af-ZA"/>
        </w:rPr>
        <w:t xml:space="preserve"> </w:t>
      </w:r>
      <w:r w:rsidRPr="003B1F5F">
        <w:rPr>
          <w:rFonts w:cs="Sylfaen"/>
          <w:lang w:val="hy-AM"/>
        </w:rPr>
        <w:t>համապատասխանաբար</w:t>
      </w:r>
      <w:r w:rsidRPr="002A51B1">
        <w:rPr>
          <w:rFonts w:cs="Sylfaen"/>
          <w:lang w:val="af-ZA"/>
        </w:rPr>
        <w:t xml:space="preserve"> 3.</w:t>
      </w:r>
      <w:r>
        <w:rPr>
          <w:rFonts w:cs="Sylfaen"/>
          <w:lang w:val="hy-AM"/>
        </w:rPr>
        <w:t>9</w:t>
      </w:r>
      <w:r w:rsidRPr="002A51B1">
        <w:rPr>
          <w:lang w:val="af-ZA"/>
        </w:rPr>
        <w:t>%-</w:t>
      </w:r>
      <w:r w:rsidRPr="002A51B1">
        <w:rPr>
          <w:lang w:val="it-IT"/>
        </w:rPr>
        <w:t>ից</w:t>
      </w:r>
      <w:r w:rsidRPr="002A51B1">
        <w:rPr>
          <w:lang w:val="af-ZA"/>
        </w:rPr>
        <w:t xml:space="preserve"> 4.</w:t>
      </w:r>
      <w:r>
        <w:rPr>
          <w:lang w:val="af-ZA"/>
        </w:rPr>
        <w:t>0</w:t>
      </w:r>
      <w:r w:rsidRPr="002A51B1">
        <w:rPr>
          <w:lang w:val="af-ZA"/>
        </w:rPr>
        <w:t xml:space="preserve">% </w:t>
      </w:r>
      <w:r w:rsidRPr="003B1F5F">
        <w:rPr>
          <w:rFonts w:cs="Sylfaen"/>
          <w:lang w:val="hy-AM"/>
        </w:rPr>
        <w:t>միջա</w:t>
      </w:r>
      <w:r w:rsidRPr="002A51B1">
        <w:rPr>
          <w:rFonts w:cs="Sylfaen"/>
          <w:lang w:val="af-ZA"/>
        </w:rPr>
        <w:softHyphen/>
      </w:r>
      <w:r w:rsidRPr="002A51B1">
        <w:rPr>
          <w:rFonts w:cs="Sylfaen"/>
          <w:lang w:val="af-ZA"/>
        </w:rPr>
        <w:softHyphen/>
      </w:r>
      <w:r w:rsidRPr="002A51B1">
        <w:rPr>
          <w:rFonts w:cs="Sylfaen"/>
          <w:lang w:val="af-ZA"/>
        </w:rPr>
        <w:softHyphen/>
      </w:r>
      <w:r w:rsidRPr="003B1F5F">
        <w:rPr>
          <w:rFonts w:cs="Sylfaen"/>
          <w:lang w:val="hy-AM"/>
        </w:rPr>
        <w:t>կայ</w:t>
      </w:r>
      <w:r w:rsidRPr="002A51B1">
        <w:rPr>
          <w:rFonts w:cs="Sylfaen"/>
          <w:lang w:val="af-ZA"/>
        </w:rPr>
        <w:softHyphen/>
      </w:r>
      <w:r w:rsidRPr="003B1F5F">
        <w:rPr>
          <w:rFonts w:cs="Sylfaen"/>
          <w:lang w:val="hy-AM"/>
        </w:rPr>
        <w:t>քում</w:t>
      </w:r>
      <w:r w:rsidRPr="002A51B1">
        <w:rPr>
          <w:lang w:val="af-ZA"/>
        </w:rPr>
        <w:t xml:space="preserve">: </w:t>
      </w:r>
    </w:p>
    <w:p w14:paraId="2B0B9A52" w14:textId="77777777" w:rsidR="00B11AEF" w:rsidRPr="009D66F0" w:rsidRDefault="00B11AEF" w:rsidP="00B11AEF">
      <w:pPr>
        <w:rPr>
          <w:rFonts w:cs="Sylfaen"/>
          <w:sz w:val="20"/>
          <w:szCs w:val="20"/>
          <w:lang w:val="af-ZA"/>
        </w:rPr>
      </w:pPr>
      <w:r w:rsidRPr="009D66F0">
        <w:rPr>
          <w:rFonts w:cs="Sylfaen"/>
          <w:b/>
          <w:sz w:val="20"/>
          <w:szCs w:val="20"/>
        </w:rPr>
        <w:t>Աղյուսակ</w:t>
      </w:r>
      <w:r w:rsidRPr="009D66F0">
        <w:rPr>
          <w:b/>
          <w:sz w:val="20"/>
          <w:szCs w:val="20"/>
          <w:lang w:val="af-ZA"/>
        </w:rPr>
        <w:t xml:space="preserve"> 4.4.1</w:t>
      </w:r>
      <w:r w:rsidRPr="009D66F0">
        <w:rPr>
          <w:sz w:val="20"/>
          <w:szCs w:val="20"/>
          <w:lang w:val="af-ZA"/>
        </w:rPr>
        <w:t xml:space="preserve"> </w:t>
      </w:r>
      <w:r w:rsidRPr="009D66F0">
        <w:rPr>
          <w:i/>
          <w:sz w:val="20"/>
          <w:szCs w:val="20"/>
          <w:lang w:val="af-ZA"/>
        </w:rPr>
        <w:t>202</w:t>
      </w:r>
      <w:r>
        <w:rPr>
          <w:i/>
          <w:sz w:val="20"/>
          <w:szCs w:val="20"/>
          <w:lang w:val="af-ZA"/>
        </w:rPr>
        <w:t>1</w:t>
      </w:r>
      <w:r w:rsidRPr="009D66F0">
        <w:rPr>
          <w:i/>
          <w:sz w:val="20"/>
          <w:szCs w:val="20"/>
          <w:lang w:val="af-ZA"/>
        </w:rPr>
        <w:t>-202</w:t>
      </w:r>
      <w:r>
        <w:rPr>
          <w:i/>
          <w:sz w:val="20"/>
          <w:szCs w:val="20"/>
          <w:lang w:val="af-ZA"/>
        </w:rPr>
        <w:t>4</w:t>
      </w:r>
      <w:r w:rsidRPr="009D66F0">
        <w:rPr>
          <w:i/>
          <w:sz w:val="20"/>
          <w:szCs w:val="20"/>
          <w:lang w:val="it-IT"/>
        </w:rPr>
        <w:t>թթ</w:t>
      </w:r>
      <w:r w:rsidRPr="009D66F0">
        <w:rPr>
          <w:i/>
          <w:sz w:val="20"/>
          <w:szCs w:val="20"/>
          <w:lang w:val="af-ZA"/>
        </w:rPr>
        <w:t xml:space="preserve"> </w:t>
      </w:r>
      <w:r w:rsidRPr="009D66F0">
        <w:rPr>
          <w:rFonts w:cs="Sylfaen"/>
          <w:i/>
          <w:sz w:val="20"/>
          <w:szCs w:val="20"/>
        </w:rPr>
        <w:t>ընթացիկ</w:t>
      </w:r>
      <w:r w:rsidRPr="009D66F0">
        <w:rPr>
          <w:i/>
          <w:sz w:val="20"/>
          <w:szCs w:val="20"/>
          <w:lang w:val="af-ZA"/>
        </w:rPr>
        <w:t xml:space="preserve"> </w:t>
      </w:r>
      <w:r w:rsidRPr="009D66F0">
        <w:rPr>
          <w:rFonts w:cs="Sylfaen"/>
          <w:i/>
          <w:sz w:val="20"/>
          <w:szCs w:val="20"/>
        </w:rPr>
        <w:t>և</w:t>
      </w:r>
      <w:r w:rsidRPr="009D66F0">
        <w:rPr>
          <w:i/>
          <w:sz w:val="20"/>
          <w:szCs w:val="20"/>
          <w:lang w:val="af-ZA"/>
        </w:rPr>
        <w:t xml:space="preserve"> </w:t>
      </w:r>
      <w:r w:rsidRPr="009D66F0">
        <w:rPr>
          <w:rFonts w:cs="Sylfaen"/>
          <w:i/>
          <w:sz w:val="20"/>
          <w:szCs w:val="20"/>
        </w:rPr>
        <w:t>ոչ</w:t>
      </w:r>
      <w:r w:rsidRPr="009D66F0">
        <w:rPr>
          <w:rFonts w:cs="Sylfaen"/>
          <w:i/>
          <w:sz w:val="20"/>
          <w:szCs w:val="20"/>
          <w:lang w:val="af-ZA"/>
        </w:rPr>
        <w:t xml:space="preserve"> </w:t>
      </w:r>
      <w:r w:rsidRPr="009D66F0">
        <w:rPr>
          <w:rFonts w:cs="Sylfaen"/>
          <w:i/>
          <w:sz w:val="20"/>
          <w:szCs w:val="20"/>
        </w:rPr>
        <w:t>ֆինանսական</w:t>
      </w:r>
      <w:r w:rsidRPr="009D66F0">
        <w:rPr>
          <w:rFonts w:cs="Sylfaen"/>
          <w:i/>
          <w:sz w:val="20"/>
          <w:szCs w:val="20"/>
          <w:lang w:val="af-ZA"/>
        </w:rPr>
        <w:t xml:space="preserve"> </w:t>
      </w:r>
      <w:r w:rsidRPr="009D66F0">
        <w:rPr>
          <w:rFonts w:cs="Sylfaen"/>
          <w:i/>
          <w:sz w:val="20"/>
          <w:szCs w:val="20"/>
        </w:rPr>
        <w:t>ակտիվների</w:t>
      </w:r>
      <w:r w:rsidRPr="009D66F0">
        <w:rPr>
          <w:rFonts w:cs="Sylfaen"/>
          <w:i/>
          <w:sz w:val="20"/>
          <w:szCs w:val="20"/>
          <w:lang w:val="af-ZA"/>
        </w:rPr>
        <w:t xml:space="preserve"> </w:t>
      </w:r>
      <w:r w:rsidRPr="009D66F0">
        <w:rPr>
          <w:rFonts w:cs="Sylfaen"/>
          <w:i/>
          <w:sz w:val="20"/>
          <w:szCs w:val="20"/>
        </w:rPr>
        <w:t>գծով</w:t>
      </w:r>
      <w:r w:rsidRPr="009D66F0">
        <w:rPr>
          <w:rFonts w:cs="Sylfaen"/>
          <w:i/>
          <w:sz w:val="20"/>
          <w:szCs w:val="20"/>
          <w:lang w:val="af-ZA"/>
        </w:rPr>
        <w:t xml:space="preserve"> </w:t>
      </w:r>
      <w:r>
        <w:rPr>
          <w:rFonts w:cs="Sylfaen"/>
          <w:i/>
          <w:sz w:val="20"/>
          <w:szCs w:val="20"/>
        </w:rPr>
        <w:t>ծախսեր</w:t>
      </w:r>
      <w:r>
        <w:rPr>
          <w:rFonts w:cs="Sylfaen"/>
          <w:i/>
          <w:sz w:val="20"/>
          <w:szCs w:val="20"/>
          <w:lang w:val="hy-AM"/>
        </w:rPr>
        <w:t>ը</w:t>
      </w:r>
      <w:r w:rsidRPr="009D66F0">
        <w:rPr>
          <w:i/>
          <w:sz w:val="20"/>
          <w:szCs w:val="20"/>
          <w:lang w:val="af-ZA"/>
        </w:rPr>
        <w:t xml:space="preserve"> </w:t>
      </w:r>
      <w:r w:rsidRPr="009D66F0">
        <w:rPr>
          <w:rFonts w:cs="Sylfaen"/>
          <w:i/>
          <w:sz w:val="20"/>
          <w:szCs w:val="20"/>
        </w:rPr>
        <w:t>և</w:t>
      </w:r>
      <w:r w:rsidRPr="009D66F0">
        <w:rPr>
          <w:i/>
          <w:sz w:val="20"/>
          <w:szCs w:val="20"/>
          <w:lang w:val="af-ZA"/>
        </w:rPr>
        <w:t xml:space="preserve"> </w:t>
      </w:r>
      <w:r w:rsidRPr="009D66F0">
        <w:rPr>
          <w:rFonts w:cs="Sylfaen"/>
          <w:i/>
          <w:sz w:val="20"/>
          <w:szCs w:val="20"/>
        </w:rPr>
        <w:t>հարաբերակցության</w:t>
      </w:r>
      <w:r w:rsidRPr="009D66F0">
        <w:rPr>
          <w:i/>
          <w:sz w:val="20"/>
          <w:szCs w:val="20"/>
          <w:lang w:val="af-ZA"/>
        </w:rPr>
        <w:t xml:space="preserve"> </w:t>
      </w:r>
      <w:r w:rsidRPr="009D66F0">
        <w:rPr>
          <w:rFonts w:cs="Sylfaen"/>
          <w:i/>
          <w:sz w:val="20"/>
          <w:szCs w:val="20"/>
        </w:rPr>
        <w:t>միտումները</w:t>
      </w:r>
    </w:p>
    <w:tbl>
      <w:tblPr>
        <w:tblW w:w="10120" w:type="dxa"/>
        <w:tblLook w:val="04A0" w:firstRow="1" w:lastRow="0" w:firstColumn="1" w:lastColumn="0" w:noHBand="0" w:noVBand="1"/>
      </w:tblPr>
      <w:tblGrid>
        <w:gridCol w:w="2360"/>
        <w:gridCol w:w="1950"/>
        <w:gridCol w:w="2070"/>
        <w:gridCol w:w="1980"/>
        <w:gridCol w:w="1760"/>
      </w:tblGrid>
      <w:tr w:rsidR="00B11AEF" w:rsidRPr="004C7D07" w14:paraId="31FC0BF3" w14:textId="77777777" w:rsidTr="00B11AEF">
        <w:trPr>
          <w:trHeight w:val="990"/>
        </w:trPr>
        <w:tc>
          <w:tcPr>
            <w:tcW w:w="2360" w:type="dxa"/>
            <w:vMerge w:val="restart"/>
            <w:tcBorders>
              <w:top w:val="single" w:sz="8" w:space="0" w:color="auto"/>
              <w:left w:val="single" w:sz="8" w:space="0" w:color="auto"/>
              <w:bottom w:val="single" w:sz="8" w:space="0" w:color="000000"/>
              <w:right w:val="single" w:sz="8" w:space="0" w:color="auto"/>
            </w:tcBorders>
            <w:shd w:val="clear" w:color="000000" w:fill="2E74B5"/>
            <w:vAlign w:val="center"/>
            <w:hideMark/>
          </w:tcPr>
          <w:p w14:paraId="772C042B"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Ցուցանիշներ</w:t>
            </w:r>
          </w:p>
        </w:tc>
        <w:tc>
          <w:tcPr>
            <w:tcW w:w="1950" w:type="dxa"/>
            <w:vMerge w:val="restart"/>
            <w:tcBorders>
              <w:top w:val="single" w:sz="8" w:space="0" w:color="auto"/>
              <w:left w:val="single" w:sz="8" w:space="0" w:color="auto"/>
              <w:bottom w:val="single" w:sz="8" w:space="0" w:color="000000"/>
              <w:right w:val="single" w:sz="8" w:space="0" w:color="auto"/>
            </w:tcBorders>
            <w:shd w:val="clear" w:color="000000" w:fill="2E74B5"/>
            <w:vAlign w:val="center"/>
            <w:hideMark/>
          </w:tcPr>
          <w:p w14:paraId="6EA8D14A"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2021թ հաստատված</w:t>
            </w:r>
          </w:p>
        </w:tc>
        <w:tc>
          <w:tcPr>
            <w:tcW w:w="2070" w:type="dxa"/>
            <w:tcBorders>
              <w:top w:val="single" w:sz="8" w:space="0" w:color="auto"/>
              <w:left w:val="nil"/>
              <w:bottom w:val="nil"/>
              <w:right w:val="single" w:sz="8" w:space="0" w:color="auto"/>
            </w:tcBorders>
            <w:shd w:val="clear" w:color="000000" w:fill="2E74B5"/>
            <w:vAlign w:val="center"/>
            <w:hideMark/>
          </w:tcPr>
          <w:p w14:paraId="5D7204D5"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2022թ</w:t>
            </w:r>
          </w:p>
        </w:tc>
        <w:tc>
          <w:tcPr>
            <w:tcW w:w="1980" w:type="dxa"/>
            <w:tcBorders>
              <w:top w:val="single" w:sz="8" w:space="0" w:color="auto"/>
              <w:left w:val="nil"/>
              <w:bottom w:val="nil"/>
              <w:right w:val="single" w:sz="8" w:space="0" w:color="auto"/>
            </w:tcBorders>
            <w:shd w:val="clear" w:color="000000" w:fill="2E74B5"/>
            <w:vAlign w:val="center"/>
            <w:hideMark/>
          </w:tcPr>
          <w:p w14:paraId="7A305071"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2023թ</w:t>
            </w:r>
          </w:p>
        </w:tc>
        <w:tc>
          <w:tcPr>
            <w:tcW w:w="1760" w:type="dxa"/>
            <w:tcBorders>
              <w:top w:val="single" w:sz="8" w:space="0" w:color="auto"/>
              <w:left w:val="nil"/>
              <w:bottom w:val="nil"/>
              <w:right w:val="single" w:sz="8" w:space="0" w:color="auto"/>
            </w:tcBorders>
            <w:shd w:val="clear" w:color="000000" w:fill="2E74B5"/>
            <w:vAlign w:val="center"/>
            <w:hideMark/>
          </w:tcPr>
          <w:p w14:paraId="2A8B02ED"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2024թ</w:t>
            </w:r>
          </w:p>
        </w:tc>
      </w:tr>
      <w:tr w:rsidR="00B11AEF" w:rsidRPr="004C7D07" w14:paraId="239C45F9" w14:textId="77777777" w:rsidTr="00B11AEF">
        <w:trPr>
          <w:trHeight w:val="60"/>
        </w:trPr>
        <w:tc>
          <w:tcPr>
            <w:tcW w:w="2360" w:type="dxa"/>
            <w:vMerge/>
            <w:tcBorders>
              <w:top w:val="single" w:sz="8" w:space="0" w:color="auto"/>
              <w:left w:val="single" w:sz="8" w:space="0" w:color="auto"/>
              <w:bottom w:val="single" w:sz="8" w:space="0" w:color="000000"/>
              <w:right w:val="single" w:sz="8" w:space="0" w:color="auto"/>
            </w:tcBorders>
            <w:vAlign w:val="center"/>
            <w:hideMark/>
          </w:tcPr>
          <w:p w14:paraId="2D63388E" w14:textId="77777777" w:rsidR="00B11AEF" w:rsidRPr="004C7D07" w:rsidRDefault="00B11AEF" w:rsidP="00B11AEF">
            <w:pPr>
              <w:spacing w:before="0" w:after="0" w:line="240" w:lineRule="auto"/>
              <w:ind w:firstLine="0"/>
              <w:jc w:val="left"/>
              <w:rPr>
                <w:rFonts w:eastAsia="Times New Roman" w:cs="Arial"/>
                <w:color w:val="FFFFFF"/>
                <w:sz w:val="20"/>
                <w:szCs w:val="20"/>
              </w:rPr>
            </w:pPr>
          </w:p>
        </w:tc>
        <w:tc>
          <w:tcPr>
            <w:tcW w:w="1950" w:type="dxa"/>
            <w:vMerge/>
            <w:tcBorders>
              <w:top w:val="single" w:sz="8" w:space="0" w:color="auto"/>
              <w:left w:val="single" w:sz="8" w:space="0" w:color="auto"/>
              <w:bottom w:val="single" w:sz="8" w:space="0" w:color="000000"/>
              <w:right w:val="single" w:sz="8" w:space="0" w:color="auto"/>
            </w:tcBorders>
            <w:vAlign w:val="center"/>
            <w:hideMark/>
          </w:tcPr>
          <w:p w14:paraId="527D59CE" w14:textId="77777777" w:rsidR="00B11AEF" w:rsidRPr="004C7D07" w:rsidRDefault="00B11AEF" w:rsidP="00B11AEF">
            <w:pPr>
              <w:spacing w:before="0" w:after="0" w:line="240" w:lineRule="auto"/>
              <w:ind w:firstLine="0"/>
              <w:jc w:val="left"/>
              <w:rPr>
                <w:rFonts w:eastAsia="Times New Roman" w:cs="Arial"/>
                <w:color w:val="FFFFFF"/>
                <w:sz w:val="20"/>
                <w:szCs w:val="20"/>
              </w:rPr>
            </w:pPr>
          </w:p>
        </w:tc>
        <w:tc>
          <w:tcPr>
            <w:tcW w:w="2070" w:type="dxa"/>
            <w:tcBorders>
              <w:top w:val="nil"/>
              <w:left w:val="nil"/>
              <w:bottom w:val="single" w:sz="8" w:space="0" w:color="auto"/>
              <w:right w:val="single" w:sz="8" w:space="0" w:color="auto"/>
            </w:tcBorders>
            <w:shd w:val="clear" w:color="000000" w:fill="2E74B5"/>
            <w:vAlign w:val="center"/>
            <w:hideMark/>
          </w:tcPr>
          <w:p w14:paraId="2DEB12D9"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ծրագիր</w:t>
            </w:r>
          </w:p>
        </w:tc>
        <w:tc>
          <w:tcPr>
            <w:tcW w:w="1980" w:type="dxa"/>
            <w:tcBorders>
              <w:top w:val="nil"/>
              <w:left w:val="nil"/>
              <w:bottom w:val="single" w:sz="8" w:space="0" w:color="auto"/>
              <w:right w:val="single" w:sz="8" w:space="0" w:color="auto"/>
            </w:tcBorders>
            <w:shd w:val="clear" w:color="000000" w:fill="2E74B5"/>
            <w:vAlign w:val="center"/>
            <w:hideMark/>
          </w:tcPr>
          <w:p w14:paraId="2E3ECE99"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ծրագիր</w:t>
            </w:r>
          </w:p>
        </w:tc>
        <w:tc>
          <w:tcPr>
            <w:tcW w:w="1760" w:type="dxa"/>
            <w:tcBorders>
              <w:top w:val="nil"/>
              <w:left w:val="nil"/>
              <w:bottom w:val="single" w:sz="8" w:space="0" w:color="auto"/>
              <w:right w:val="single" w:sz="8" w:space="0" w:color="auto"/>
            </w:tcBorders>
            <w:shd w:val="clear" w:color="000000" w:fill="2E74B5"/>
            <w:vAlign w:val="center"/>
            <w:hideMark/>
          </w:tcPr>
          <w:p w14:paraId="3A888D2A"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Ծրագիր</w:t>
            </w:r>
          </w:p>
        </w:tc>
      </w:tr>
      <w:tr w:rsidR="00B11AEF" w:rsidRPr="004C7D07" w14:paraId="316FD6F4" w14:textId="77777777" w:rsidTr="00B11AEF">
        <w:trPr>
          <w:trHeight w:val="675"/>
        </w:trPr>
        <w:tc>
          <w:tcPr>
            <w:tcW w:w="2360" w:type="dxa"/>
            <w:tcBorders>
              <w:top w:val="nil"/>
              <w:left w:val="single" w:sz="8" w:space="0" w:color="auto"/>
              <w:bottom w:val="single" w:sz="8" w:space="0" w:color="auto"/>
              <w:right w:val="single" w:sz="8" w:space="0" w:color="auto"/>
            </w:tcBorders>
            <w:shd w:val="clear" w:color="000000" w:fill="D5DCE4"/>
            <w:vAlign w:val="center"/>
            <w:hideMark/>
          </w:tcPr>
          <w:p w14:paraId="3D352066" w14:textId="77777777" w:rsidR="00B11AEF" w:rsidRPr="004C7D07" w:rsidRDefault="00B11AEF" w:rsidP="00B11AEF">
            <w:pPr>
              <w:spacing w:before="0" w:after="0" w:line="240" w:lineRule="auto"/>
              <w:ind w:firstLine="0"/>
              <w:rPr>
                <w:rFonts w:eastAsia="Times New Roman" w:cs="Arial"/>
                <w:b/>
                <w:bCs/>
                <w:sz w:val="20"/>
                <w:szCs w:val="20"/>
              </w:rPr>
            </w:pPr>
            <w:r w:rsidRPr="004C7D07">
              <w:rPr>
                <w:rFonts w:eastAsia="Times New Roman" w:cs="Arial"/>
                <w:b/>
                <w:bCs/>
                <w:sz w:val="20"/>
                <w:szCs w:val="20"/>
              </w:rPr>
              <w:t>ԸՆԴԱՄԵՆԸ ԾԱԽՍԵՐ, (մլն դրամ)</w:t>
            </w:r>
          </w:p>
        </w:tc>
        <w:tc>
          <w:tcPr>
            <w:tcW w:w="1950" w:type="dxa"/>
            <w:tcBorders>
              <w:top w:val="nil"/>
              <w:left w:val="nil"/>
              <w:bottom w:val="single" w:sz="8" w:space="0" w:color="auto"/>
              <w:right w:val="single" w:sz="8" w:space="0" w:color="auto"/>
            </w:tcBorders>
            <w:shd w:val="clear" w:color="000000" w:fill="D5DCE4"/>
            <w:vAlign w:val="center"/>
            <w:hideMark/>
          </w:tcPr>
          <w:p w14:paraId="3A28B2B6" w14:textId="77777777" w:rsidR="00B11AEF" w:rsidRPr="004C7D07" w:rsidRDefault="00B11AEF" w:rsidP="00B11AEF">
            <w:pPr>
              <w:spacing w:before="0" w:after="0" w:line="240" w:lineRule="auto"/>
              <w:ind w:firstLine="0"/>
              <w:jc w:val="center"/>
              <w:rPr>
                <w:rFonts w:eastAsia="Times New Roman" w:cs="Arial"/>
                <w:b/>
                <w:bCs/>
              </w:rPr>
            </w:pPr>
            <w:r w:rsidRPr="004C7D07">
              <w:rPr>
                <w:rFonts w:eastAsia="Times New Roman" w:cs="Arial"/>
                <w:b/>
                <w:bCs/>
              </w:rPr>
              <w:t>1,850,877.5</w:t>
            </w:r>
          </w:p>
        </w:tc>
        <w:tc>
          <w:tcPr>
            <w:tcW w:w="2070" w:type="dxa"/>
            <w:tcBorders>
              <w:top w:val="nil"/>
              <w:left w:val="nil"/>
              <w:bottom w:val="single" w:sz="8" w:space="0" w:color="auto"/>
              <w:right w:val="single" w:sz="8" w:space="0" w:color="auto"/>
            </w:tcBorders>
            <w:shd w:val="clear" w:color="000000" w:fill="D5DCE4"/>
            <w:vAlign w:val="center"/>
            <w:hideMark/>
          </w:tcPr>
          <w:p w14:paraId="465CB8CC" w14:textId="77777777" w:rsidR="00B11AEF" w:rsidRPr="004C7D07" w:rsidRDefault="00B11AEF" w:rsidP="00B11AEF">
            <w:pPr>
              <w:spacing w:before="0" w:after="0" w:line="240" w:lineRule="auto"/>
              <w:ind w:firstLine="0"/>
              <w:jc w:val="center"/>
              <w:rPr>
                <w:rFonts w:eastAsia="Times New Roman" w:cs="Arial"/>
                <w:b/>
                <w:bCs/>
              </w:rPr>
            </w:pPr>
            <w:r w:rsidRPr="004C7D07">
              <w:rPr>
                <w:rFonts w:eastAsia="Times New Roman" w:cs="Arial"/>
                <w:b/>
                <w:bCs/>
              </w:rPr>
              <w:t>2,000,911.2</w:t>
            </w:r>
          </w:p>
        </w:tc>
        <w:tc>
          <w:tcPr>
            <w:tcW w:w="1980" w:type="dxa"/>
            <w:tcBorders>
              <w:top w:val="nil"/>
              <w:left w:val="nil"/>
              <w:bottom w:val="single" w:sz="8" w:space="0" w:color="auto"/>
              <w:right w:val="single" w:sz="8" w:space="0" w:color="auto"/>
            </w:tcBorders>
            <w:shd w:val="clear" w:color="000000" w:fill="D5DCE4"/>
            <w:vAlign w:val="center"/>
            <w:hideMark/>
          </w:tcPr>
          <w:p w14:paraId="6E2A4B4A" w14:textId="77777777" w:rsidR="00B11AEF" w:rsidRPr="004C7D07" w:rsidRDefault="00B11AEF" w:rsidP="00B11AEF">
            <w:pPr>
              <w:spacing w:before="0" w:after="0" w:line="240" w:lineRule="auto"/>
              <w:ind w:firstLine="0"/>
              <w:jc w:val="center"/>
              <w:rPr>
                <w:rFonts w:eastAsia="Times New Roman" w:cs="Arial"/>
                <w:b/>
                <w:bCs/>
              </w:rPr>
            </w:pPr>
            <w:r w:rsidRPr="004C7D07">
              <w:rPr>
                <w:rFonts w:eastAsia="Times New Roman" w:cs="Arial"/>
                <w:b/>
                <w:bCs/>
              </w:rPr>
              <w:t>2,135,456.0</w:t>
            </w:r>
          </w:p>
        </w:tc>
        <w:tc>
          <w:tcPr>
            <w:tcW w:w="1760" w:type="dxa"/>
            <w:tcBorders>
              <w:top w:val="nil"/>
              <w:left w:val="nil"/>
              <w:bottom w:val="single" w:sz="8" w:space="0" w:color="auto"/>
              <w:right w:val="single" w:sz="8" w:space="0" w:color="auto"/>
            </w:tcBorders>
            <w:shd w:val="clear" w:color="000000" w:fill="D5DCE4"/>
            <w:vAlign w:val="center"/>
            <w:hideMark/>
          </w:tcPr>
          <w:p w14:paraId="67974646" w14:textId="77777777" w:rsidR="00B11AEF" w:rsidRPr="004C7D07" w:rsidRDefault="00B11AEF" w:rsidP="00B11AEF">
            <w:pPr>
              <w:spacing w:before="0" w:after="0" w:line="240" w:lineRule="auto"/>
              <w:ind w:firstLine="0"/>
              <w:jc w:val="center"/>
              <w:rPr>
                <w:rFonts w:eastAsia="Times New Roman" w:cs="Arial"/>
                <w:b/>
                <w:bCs/>
              </w:rPr>
            </w:pPr>
            <w:r w:rsidRPr="004C7D07">
              <w:rPr>
                <w:rFonts w:eastAsia="Times New Roman" w:cs="Arial"/>
                <w:b/>
                <w:bCs/>
              </w:rPr>
              <w:t>2,312,046.9</w:t>
            </w:r>
          </w:p>
        </w:tc>
      </w:tr>
      <w:tr w:rsidR="00B11AEF" w:rsidRPr="004C7D07" w14:paraId="4002604F" w14:textId="77777777" w:rsidTr="00B11AEF">
        <w:trPr>
          <w:trHeight w:val="475"/>
        </w:trPr>
        <w:tc>
          <w:tcPr>
            <w:tcW w:w="2360" w:type="dxa"/>
            <w:tcBorders>
              <w:top w:val="nil"/>
              <w:left w:val="single" w:sz="8" w:space="0" w:color="auto"/>
              <w:bottom w:val="single" w:sz="8" w:space="0" w:color="auto"/>
              <w:right w:val="single" w:sz="8" w:space="0" w:color="auto"/>
            </w:tcBorders>
            <w:shd w:val="clear" w:color="000000" w:fill="FFFFFF"/>
            <w:vAlign w:val="center"/>
            <w:hideMark/>
          </w:tcPr>
          <w:p w14:paraId="2A961B38"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այդ թվում՝</w:t>
            </w:r>
          </w:p>
        </w:tc>
        <w:tc>
          <w:tcPr>
            <w:tcW w:w="1950" w:type="dxa"/>
            <w:tcBorders>
              <w:top w:val="nil"/>
              <w:left w:val="nil"/>
              <w:bottom w:val="single" w:sz="8" w:space="0" w:color="auto"/>
              <w:right w:val="single" w:sz="8" w:space="0" w:color="auto"/>
            </w:tcBorders>
            <w:shd w:val="clear" w:color="000000" w:fill="FFFFFF"/>
            <w:vAlign w:val="center"/>
            <w:hideMark/>
          </w:tcPr>
          <w:p w14:paraId="5B9EFF3F" w14:textId="77777777" w:rsidR="00B11AEF" w:rsidRPr="004C7D07" w:rsidRDefault="00B11AEF" w:rsidP="00B11AEF">
            <w:pPr>
              <w:spacing w:before="0" w:after="0" w:line="240" w:lineRule="auto"/>
              <w:ind w:firstLine="0"/>
              <w:jc w:val="center"/>
              <w:rPr>
                <w:rFonts w:ascii="Calibri" w:eastAsia="Times New Roman" w:hAnsi="Calibri" w:cs="Calibri"/>
                <w:sz w:val="20"/>
                <w:szCs w:val="20"/>
              </w:rPr>
            </w:pPr>
            <w:r w:rsidRPr="004C7D07">
              <w:rPr>
                <w:rFonts w:ascii="Calibri" w:eastAsia="Times New Roman" w:hAnsi="Calibri" w:cs="Calibri"/>
                <w:sz w:val="20"/>
                <w:szCs w:val="20"/>
              </w:rPr>
              <w:t> </w:t>
            </w:r>
          </w:p>
        </w:tc>
        <w:tc>
          <w:tcPr>
            <w:tcW w:w="2070" w:type="dxa"/>
            <w:tcBorders>
              <w:top w:val="nil"/>
              <w:left w:val="nil"/>
              <w:bottom w:val="single" w:sz="8" w:space="0" w:color="auto"/>
              <w:right w:val="single" w:sz="8" w:space="0" w:color="auto"/>
            </w:tcBorders>
            <w:shd w:val="clear" w:color="000000" w:fill="FFFFFF"/>
            <w:vAlign w:val="center"/>
            <w:hideMark/>
          </w:tcPr>
          <w:p w14:paraId="7DB2EDCC" w14:textId="77777777" w:rsidR="00B11AEF" w:rsidRPr="004C7D07" w:rsidRDefault="00B11AEF" w:rsidP="00B11AEF">
            <w:pPr>
              <w:spacing w:before="0" w:after="0" w:line="240" w:lineRule="auto"/>
              <w:ind w:firstLine="0"/>
              <w:jc w:val="center"/>
              <w:rPr>
                <w:rFonts w:ascii="Calibri" w:eastAsia="Times New Roman" w:hAnsi="Calibri" w:cs="Calibri"/>
                <w:sz w:val="20"/>
                <w:szCs w:val="20"/>
              </w:rPr>
            </w:pPr>
            <w:r w:rsidRPr="004C7D07">
              <w:rPr>
                <w:rFonts w:ascii="Calibri" w:eastAsia="Times New Roman" w:hAnsi="Calibri" w:cs="Calibri"/>
                <w:sz w:val="20"/>
                <w:szCs w:val="20"/>
              </w:rPr>
              <w:t> </w:t>
            </w:r>
          </w:p>
        </w:tc>
        <w:tc>
          <w:tcPr>
            <w:tcW w:w="1980" w:type="dxa"/>
            <w:tcBorders>
              <w:top w:val="nil"/>
              <w:left w:val="nil"/>
              <w:bottom w:val="single" w:sz="8" w:space="0" w:color="auto"/>
              <w:right w:val="single" w:sz="8" w:space="0" w:color="auto"/>
            </w:tcBorders>
            <w:shd w:val="clear" w:color="000000" w:fill="FFFFFF"/>
            <w:vAlign w:val="center"/>
            <w:hideMark/>
          </w:tcPr>
          <w:p w14:paraId="5459AA1D" w14:textId="77777777" w:rsidR="00B11AEF" w:rsidRPr="004C7D07" w:rsidRDefault="00B11AEF" w:rsidP="00B11AEF">
            <w:pPr>
              <w:spacing w:before="0" w:after="0" w:line="240" w:lineRule="auto"/>
              <w:ind w:firstLine="0"/>
              <w:jc w:val="center"/>
              <w:rPr>
                <w:rFonts w:ascii="Calibri" w:eastAsia="Times New Roman" w:hAnsi="Calibri" w:cs="Calibri"/>
                <w:sz w:val="20"/>
                <w:szCs w:val="20"/>
              </w:rPr>
            </w:pPr>
            <w:r w:rsidRPr="004C7D07">
              <w:rPr>
                <w:rFonts w:ascii="Calibri" w:eastAsia="Times New Roman" w:hAnsi="Calibri" w:cs="Calibri"/>
                <w:sz w:val="20"/>
                <w:szCs w:val="20"/>
              </w:rPr>
              <w:t> </w:t>
            </w:r>
          </w:p>
        </w:tc>
        <w:tc>
          <w:tcPr>
            <w:tcW w:w="1760" w:type="dxa"/>
            <w:tcBorders>
              <w:top w:val="nil"/>
              <w:left w:val="nil"/>
              <w:bottom w:val="single" w:sz="8" w:space="0" w:color="auto"/>
              <w:right w:val="single" w:sz="8" w:space="0" w:color="auto"/>
            </w:tcBorders>
            <w:shd w:val="clear" w:color="000000" w:fill="FFFFFF"/>
            <w:vAlign w:val="center"/>
            <w:hideMark/>
          </w:tcPr>
          <w:p w14:paraId="0EDFEFE2" w14:textId="77777777" w:rsidR="00B11AEF" w:rsidRPr="004C7D07" w:rsidRDefault="00B11AEF" w:rsidP="00B11AEF">
            <w:pPr>
              <w:spacing w:before="0" w:after="0" w:line="240" w:lineRule="auto"/>
              <w:ind w:firstLine="0"/>
              <w:jc w:val="center"/>
              <w:rPr>
                <w:rFonts w:ascii="Calibri" w:eastAsia="Times New Roman" w:hAnsi="Calibri" w:cs="Calibri"/>
                <w:sz w:val="20"/>
                <w:szCs w:val="20"/>
              </w:rPr>
            </w:pPr>
            <w:r w:rsidRPr="004C7D07">
              <w:rPr>
                <w:rFonts w:ascii="Calibri" w:eastAsia="Times New Roman" w:hAnsi="Calibri" w:cs="Calibri"/>
                <w:sz w:val="20"/>
                <w:szCs w:val="20"/>
              </w:rPr>
              <w:t> </w:t>
            </w:r>
          </w:p>
        </w:tc>
      </w:tr>
      <w:tr w:rsidR="00B11AEF" w:rsidRPr="004C7D07" w14:paraId="270C51E5" w14:textId="77777777" w:rsidTr="00B11AEF">
        <w:trPr>
          <w:trHeight w:val="1005"/>
        </w:trPr>
        <w:tc>
          <w:tcPr>
            <w:tcW w:w="2360" w:type="dxa"/>
            <w:tcBorders>
              <w:top w:val="nil"/>
              <w:left w:val="single" w:sz="8" w:space="0" w:color="auto"/>
              <w:bottom w:val="single" w:sz="8" w:space="0" w:color="auto"/>
              <w:right w:val="single" w:sz="8" w:space="0" w:color="auto"/>
            </w:tcBorders>
            <w:shd w:val="clear" w:color="000000" w:fill="D5DCE4"/>
            <w:vAlign w:val="center"/>
            <w:hideMark/>
          </w:tcPr>
          <w:p w14:paraId="36357ACF"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 ընթացիկ ծախսեր, (մլն դրամ)</w:t>
            </w:r>
          </w:p>
        </w:tc>
        <w:tc>
          <w:tcPr>
            <w:tcW w:w="1950" w:type="dxa"/>
            <w:tcBorders>
              <w:top w:val="nil"/>
              <w:left w:val="nil"/>
              <w:bottom w:val="single" w:sz="8" w:space="0" w:color="auto"/>
              <w:right w:val="single" w:sz="8" w:space="0" w:color="auto"/>
            </w:tcBorders>
            <w:shd w:val="clear" w:color="000000" w:fill="D5DCE4"/>
            <w:vAlign w:val="center"/>
            <w:hideMark/>
          </w:tcPr>
          <w:p w14:paraId="3CB5354F" w14:textId="77777777" w:rsidR="00B11AEF" w:rsidRDefault="00B11AEF" w:rsidP="00B11AEF">
            <w:pPr>
              <w:spacing w:before="0" w:after="0" w:line="240" w:lineRule="auto"/>
              <w:ind w:firstLine="0"/>
              <w:jc w:val="center"/>
              <w:rPr>
                <w:rFonts w:cs="Arial"/>
                <w:sz w:val="20"/>
                <w:szCs w:val="20"/>
              </w:rPr>
            </w:pPr>
            <w:r>
              <w:rPr>
                <w:rFonts w:cs="Arial"/>
                <w:sz w:val="20"/>
                <w:szCs w:val="20"/>
              </w:rPr>
              <w:t>1,634,558.6</w:t>
            </w:r>
          </w:p>
        </w:tc>
        <w:tc>
          <w:tcPr>
            <w:tcW w:w="2070" w:type="dxa"/>
            <w:tcBorders>
              <w:top w:val="nil"/>
              <w:left w:val="nil"/>
              <w:bottom w:val="single" w:sz="8" w:space="0" w:color="auto"/>
              <w:right w:val="single" w:sz="8" w:space="0" w:color="auto"/>
            </w:tcBorders>
            <w:shd w:val="clear" w:color="000000" w:fill="D5DCE4"/>
            <w:vAlign w:val="center"/>
            <w:hideMark/>
          </w:tcPr>
          <w:p w14:paraId="0ECAF6F0" w14:textId="77777777" w:rsidR="00B11AEF" w:rsidRDefault="00B11AEF" w:rsidP="00B11AEF">
            <w:pPr>
              <w:ind w:firstLine="0"/>
              <w:jc w:val="center"/>
              <w:rPr>
                <w:rFonts w:cs="Arial"/>
                <w:sz w:val="20"/>
                <w:szCs w:val="20"/>
              </w:rPr>
            </w:pPr>
            <w:r>
              <w:rPr>
                <w:rFonts w:cs="Arial"/>
                <w:sz w:val="20"/>
                <w:szCs w:val="20"/>
              </w:rPr>
              <w:t>1,708,342.4</w:t>
            </w:r>
          </w:p>
        </w:tc>
        <w:tc>
          <w:tcPr>
            <w:tcW w:w="1980" w:type="dxa"/>
            <w:tcBorders>
              <w:top w:val="nil"/>
              <w:left w:val="nil"/>
              <w:bottom w:val="single" w:sz="8" w:space="0" w:color="auto"/>
              <w:right w:val="single" w:sz="8" w:space="0" w:color="auto"/>
            </w:tcBorders>
            <w:shd w:val="clear" w:color="000000" w:fill="D5DCE4"/>
            <w:vAlign w:val="center"/>
            <w:hideMark/>
          </w:tcPr>
          <w:p w14:paraId="1B70037F" w14:textId="77777777" w:rsidR="00B11AEF" w:rsidRDefault="00B11AEF" w:rsidP="00B11AEF">
            <w:pPr>
              <w:ind w:firstLine="0"/>
              <w:jc w:val="center"/>
              <w:rPr>
                <w:rFonts w:cs="Arial"/>
                <w:sz w:val="20"/>
                <w:szCs w:val="20"/>
              </w:rPr>
            </w:pPr>
            <w:r>
              <w:rPr>
                <w:rFonts w:cs="Arial"/>
                <w:sz w:val="20"/>
                <w:szCs w:val="20"/>
              </w:rPr>
              <w:t>1,827,349.5</w:t>
            </w:r>
          </w:p>
        </w:tc>
        <w:tc>
          <w:tcPr>
            <w:tcW w:w="1760" w:type="dxa"/>
            <w:tcBorders>
              <w:top w:val="nil"/>
              <w:left w:val="nil"/>
              <w:bottom w:val="single" w:sz="8" w:space="0" w:color="auto"/>
              <w:right w:val="single" w:sz="8" w:space="0" w:color="auto"/>
            </w:tcBorders>
            <w:shd w:val="clear" w:color="000000" w:fill="D5DCE4"/>
            <w:vAlign w:val="center"/>
            <w:hideMark/>
          </w:tcPr>
          <w:p w14:paraId="3342DC5B" w14:textId="77777777" w:rsidR="00B11AEF" w:rsidRDefault="00B11AEF" w:rsidP="00B11AEF">
            <w:pPr>
              <w:ind w:firstLine="0"/>
              <w:jc w:val="center"/>
              <w:rPr>
                <w:rFonts w:cs="Arial"/>
                <w:sz w:val="20"/>
                <w:szCs w:val="20"/>
              </w:rPr>
            </w:pPr>
            <w:r>
              <w:rPr>
                <w:rFonts w:cs="Arial"/>
                <w:sz w:val="20"/>
                <w:szCs w:val="20"/>
              </w:rPr>
              <w:t>1,958,136.8</w:t>
            </w:r>
          </w:p>
        </w:tc>
      </w:tr>
      <w:tr w:rsidR="00B11AEF" w:rsidRPr="004C7D07" w14:paraId="3EDFB74A" w14:textId="77777777" w:rsidTr="00B11AEF">
        <w:trPr>
          <w:trHeight w:val="385"/>
        </w:trPr>
        <w:tc>
          <w:tcPr>
            <w:tcW w:w="2360" w:type="dxa"/>
            <w:tcBorders>
              <w:top w:val="nil"/>
              <w:left w:val="single" w:sz="8" w:space="0" w:color="auto"/>
              <w:bottom w:val="single" w:sz="8" w:space="0" w:color="auto"/>
              <w:right w:val="single" w:sz="8" w:space="0" w:color="auto"/>
            </w:tcBorders>
            <w:shd w:val="clear" w:color="000000" w:fill="FFFFFF"/>
            <w:vAlign w:val="center"/>
            <w:hideMark/>
          </w:tcPr>
          <w:p w14:paraId="1EAE98EF"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 xml:space="preserve"> - %-ով՝ ՀՆԱ-ի նկատմամբ</w:t>
            </w:r>
          </w:p>
        </w:tc>
        <w:tc>
          <w:tcPr>
            <w:tcW w:w="1950" w:type="dxa"/>
            <w:tcBorders>
              <w:top w:val="nil"/>
              <w:left w:val="nil"/>
              <w:bottom w:val="single" w:sz="8" w:space="0" w:color="auto"/>
              <w:right w:val="single" w:sz="8" w:space="0" w:color="auto"/>
            </w:tcBorders>
            <w:shd w:val="clear" w:color="000000" w:fill="FFFFFF"/>
            <w:vAlign w:val="center"/>
            <w:hideMark/>
          </w:tcPr>
          <w:p w14:paraId="2B2DBB07" w14:textId="77777777" w:rsidR="00B11AEF" w:rsidRDefault="00B11AEF" w:rsidP="00B11AEF">
            <w:pPr>
              <w:jc w:val="center"/>
              <w:rPr>
                <w:rFonts w:cs="Arial"/>
                <w:sz w:val="20"/>
                <w:szCs w:val="20"/>
              </w:rPr>
            </w:pPr>
            <w:r>
              <w:rPr>
                <w:rFonts w:cs="Arial"/>
                <w:sz w:val="20"/>
                <w:szCs w:val="20"/>
              </w:rPr>
              <w:t>25.6%</w:t>
            </w:r>
          </w:p>
        </w:tc>
        <w:tc>
          <w:tcPr>
            <w:tcW w:w="2070" w:type="dxa"/>
            <w:tcBorders>
              <w:top w:val="nil"/>
              <w:left w:val="nil"/>
              <w:bottom w:val="single" w:sz="8" w:space="0" w:color="auto"/>
              <w:right w:val="single" w:sz="8" w:space="0" w:color="auto"/>
            </w:tcBorders>
            <w:shd w:val="clear" w:color="000000" w:fill="FFFFFF"/>
            <w:vAlign w:val="center"/>
            <w:hideMark/>
          </w:tcPr>
          <w:p w14:paraId="146CC9D9" w14:textId="77777777" w:rsidR="00B11AEF" w:rsidRDefault="00B11AEF" w:rsidP="00B11AEF">
            <w:pPr>
              <w:jc w:val="center"/>
              <w:rPr>
                <w:rFonts w:cs="Arial"/>
                <w:sz w:val="20"/>
                <w:szCs w:val="20"/>
              </w:rPr>
            </w:pPr>
            <w:r>
              <w:rPr>
                <w:rFonts w:cs="Arial"/>
                <w:sz w:val="20"/>
                <w:szCs w:val="20"/>
              </w:rPr>
              <w:t>22.6%</w:t>
            </w:r>
          </w:p>
        </w:tc>
        <w:tc>
          <w:tcPr>
            <w:tcW w:w="1980" w:type="dxa"/>
            <w:tcBorders>
              <w:top w:val="nil"/>
              <w:left w:val="nil"/>
              <w:bottom w:val="single" w:sz="8" w:space="0" w:color="auto"/>
              <w:right w:val="single" w:sz="8" w:space="0" w:color="auto"/>
            </w:tcBorders>
            <w:shd w:val="clear" w:color="000000" w:fill="FFFFFF"/>
            <w:vAlign w:val="center"/>
            <w:hideMark/>
          </w:tcPr>
          <w:p w14:paraId="2C883631" w14:textId="77777777" w:rsidR="00B11AEF" w:rsidRDefault="00B11AEF" w:rsidP="00B11AEF">
            <w:pPr>
              <w:jc w:val="center"/>
              <w:rPr>
                <w:rFonts w:cs="Arial"/>
                <w:sz w:val="20"/>
                <w:szCs w:val="20"/>
              </w:rPr>
            </w:pPr>
            <w:r>
              <w:rPr>
                <w:rFonts w:cs="Arial"/>
                <w:sz w:val="20"/>
                <w:szCs w:val="20"/>
              </w:rPr>
              <w:t>22.4%</w:t>
            </w:r>
          </w:p>
        </w:tc>
        <w:tc>
          <w:tcPr>
            <w:tcW w:w="1760" w:type="dxa"/>
            <w:tcBorders>
              <w:top w:val="nil"/>
              <w:left w:val="nil"/>
              <w:bottom w:val="single" w:sz="8" w:space="0" w:color="auto"/>
              <w:right w:val="single" w:sz="8" w:space="0" w:color="auto"/>
            </w:tcBorders>
            <w:shd w:val="clear" w:color="000000" w:fill="FFFFFF"/>
            <w:vAlign w:val="center"/>
            <w:hideMark/>
          </w:tcPr>
          <w:p w14:paraId="0093BDA9" w14:textId="77777777" w:rsidR="00B11AEF" w:rsidRDefault="00B11AEF" w:rsidP="00B11AEF">
            <w:pPr>
              <w:jc w:val="center"/>
              <w:rPr>
                <w:rFonts w:cs="Arial"/>
                <w:sz w:val="20"/>
                <w:szCs w:val="20"/>
              </w:rPr>
            </w:pPr>
            <w:r>
              <w:rPr>
                <w:rFonts w:cs="Arial"/>
                <w:sz w:val="20"/>
                <w:szCs w:val="20"/>
              </w:rPr>
              <w:t>22.2%</w:t>
            </w:r>
          </w:p>
        </w:tc>
      </w:tr>
      <w:tr w:rsidR="00B11AEF" w:rsidRPr="004C7D07" w14:paraId="309282C6" w14:textId="77777777" w:rsidTr="00B11AEF">
        <w:trPr>
          <w:trHeight w:val="1005"/>
        </w:trPr>
        <w:tc>
          <w:tcPr>
            <w:tcW w:w="2360" w:type="dxa"/>
            <w:tcBorders>
              <w:top w:val="nil"/>
              <w:left w:val="single" w:sz="8" w:space="0" w:color="auto"/>
              <w:bottom w:val="single" w:sz="8" w:space="0" w:color="auto"/>
              <w:right w:val="single" w:sz="8" w:space="0" w:color="auto"/>
            </w:tcBorders>
            <w:shd w:val="clear" w:color="000000" w:fill="D5DCE4"/>
            <w:vAlign w:val="center"/>
            <w:hideMark/>
          </w:tcPr>
          <w:p w14:paraId="278762E2"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 ոչ ֆինանսական ակտիվների գծով զուտ ծախսեր, (մլն դրամ)</w:t>
            </w:r>
          </w:p>
        </w:tc>
        <w:tc>
          <w:tcPr>
            <w:tcW w:w="1950" w:type="dxa"/>
            <w:tcBorders>
              <w:top w:val="nil"/>
              <w:left w:val="nil"/>
              <w:bottom w:val="single" w:sz="8" w:space="0" w:color="auto"/>
              <w:right w:val="single" w:sz="8" w:space="0" w:color="auto"/>
            </w:tcBorders>
            <w:shd w:val="clear" w:color="000000" w:fill="D5DCE4"/>
            <w:vAlign w:val="center"/>
            <w:hideMark/>
          </w:tcPr>
          <w:p w14:paraId="0FE9449B" w14:textId="77777777" w:rsidR="00B11AEF" w:rsidRDefault="00B11AEF" w:rsidP="00B11AEF">
            <w:pPr>
              <w:ind w:firstLine="0"/>
              <w:jc w:val="center"/>
              <w:rPr>
                <w:rFonts w:cs="Arial"/>
                <w:sz w:val="20"/>
                <w:szCs w:val="20"/>
              </w:rPr>
            </w:pPr>
            <w:r>
              <w:rPr>
                <w:rFonts w:cs="Arial"/>
                <w:sz w:val="20"/>
                <w:szCs w:val="20"/>
              </w:rPr>
              <w:t>216,318.9</w:t>
            </w:r>
          </w:p>
        </w:tc>
        <w:tc>
          <w:tcPr>
            <w:tcW w:w="2070" w:type="dxa"/>
            <w:tcBorders>
              <w:top w:val="nil"/>
              <w:left w:val="nil"/>
              <w:bottom w:val="single" w:sz="8" w:space="0" w:color="auto"/>
              <w:right w:val="single" w:sz="8" w:space="0" w:color="auto"/>
            </w:tcBorders>
            <w:shd w:val="clear" w:color="000000" w:fill="D5DCE4"/>
            <w:vAlign w:val="center"/>
            <w:hideMark/>
          </w:tcPr>
          <w:p w14:paraId="02F9B33F" w14:textId="77777777" w:rsidR="00B11AEF" w:rsidRDefault="00B11AEF" w:rsidP="00B11AEF">
            <w:pPr>
              <w:ind w:firstLine="0"/>
              <w:jc w:val="center"/>
              <w:rPr>
                <w:rFonts w:cs="Arial"/>
                <w:sz w:val="20"/>
                <w:szCs w:val="20"/>
              </w:rPr>
            </w:pPr>
            <w:r>
              <w:rPr>
                <w:rFonts w:cs="Arial"/>
                <w:sz w:val="20"/>
                <w:szCs w:val="20"/>
              </w:rPr>
              <w:t>292,568.8</w:t>
            </w:r>
          </w:p>
        </w:tc>
        <w:tc>
          <w:tcPr>
            <w:tcW w:w="1980" w:type="dxa"/>
            <w:tcBorders>
              <w:top w:val="nil"/>
              <w:left w:val="nil"/>
              <w:bottom w:val="single" w:sz="8" w:space="0" w:color="auto"/>
              <w:right w:val="single" w:sz="8" w:space="0" w:color="auto"/>
            </w:tcBorders>
            <w:shd w:val="clear" w:color="000000" w:fill="D5DCE4"/>
            <w:vAlign w:val="center"/>
            <w:hideMark/>
          </w:tcPr>
          <w:p w14:paraId="405E2F8F" w14:textId="77777777" w:rsidR="00B11AEF" w:rsidRDefault="00B11AEF" w:rsidP="00B11AEF">
            <w:pPr>
              <w:ind w:firstLine="0"/>
              <w:jc w:val="center"/>
              <w:rPr>
                <w:rFonts w:cs="Arial"/>
                <w:sz w:val="20"/>
                <w:szCs w:val="20"/>
              </w:rPr>
            </w:pPr>
            <w:r>
              <w:rPr>
                <w:rFonts w:cs="Arial"/>
                <w:sz w:val="20"/>
                <w:szCs w:val="20"/>
              </w:rPr>
              <w:t>308,106.5</w:t>
            </w:r>
          </w:p>
        </w:tc>
        <w:tc>
          <w:tcPr>
            <w:tcW w:w="1760" w:type="dxa"/>
            <w:tcBorders>
              <w:top w:val="nil"/>
              <w:left w:val="nil"/>
              <w:bottom w:val="single" w:sz="8" w:space="0" w:color="auto"/>
              <w:right w:val="single" w:sz="8" w:space="0" w:color="auto"/>
            </w:tcBorders>
            <w:shd w:val="clear" w:color="000000" w:fill="D5DCE4"/>
            <w:vAlign w:val="center"/>
            <w:hideMark/>
          </w:tcPr>
          <w:p w14:paraId="78535937" w14:textId="77777777" w:rsidR="00B11AEF" w:rsidRDefault="00B11AEF" w:rsidP="00B11AEF">
            <w:pPr>
              <w:ind w:firstLine="0"/>
              <w:jc w:val="center"/>
              <w:rPr>
                <w:rFonts w:cs="Arial"/>
                <w:sz w:val="20"/>
                <w:szCs w:val="20"/>
              </w:rPr>
            </w:pPr>
            <w:r>
              <w:rPr>
                <w:rFonts w:cs="Arial"/>
                <w:sz w:val="20"/>
                <w:szCs w:val="20"/>
              </w:rPr>
              <w:t>353,910.1</w:t>
            </w:r>
          </w:p>
        </w:tc>
      </w:tr>
      <w:tr w:rsidR="00B11AEF" w:rsidRPr="004C7D07" w14:paraId="2902963C" w14:textId="77777777" w:rsidTr="00B11AEF">
        <w:trPr>
          <w:trHeight w:val="322"/>
        </w:trPr>
        <w:tc>
          <w:tcPr>
            <w:tcW w:w="2360" w:type="dxa"/>
            <w:tcBorders>
              <w:top w:val="nil"/>
              <w:left w:val="single" w:sz="8" w:space="0" w:color="auto"/>
              <w:bottom w:val="single" w:sz="8" w:space="0" w:color="auto"/>
              <w:right w:val="single" w:sz="8" w:space="0" w:color="auto"/>
            </w:tcBorders>
            <w:shd w:val="clear" w:color="000000" w:fill="FFFFFF"/>
            <w:vAlign w:val="center"/>
            <w:hideMark/>
          </w:tcPr>
          <w:p w14:paraId="7FAFC011"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%-ով՝ ՀՆԱ-ի նկատմամբ</w:t>
            </w:r>
          </w:p>
        </w:tc>
        <w:tc>
          <w:tcPr>
            <w:tcW w:w="1950" w:type="dxa"/>
            <w:tcBorders>
              <w:top w:val="nil"/>
              <w:left w:val="nil"/>
              <w:bottom w:val="single" w:sz="8" w:space="0" w:color="auto"/>
              <w:right w:val="single" w:sz="8" w:space="0" w:color="auto"/>
            </w:tcBorders>
            <w:shd w:val="clear" w:color="000000" w:fill="FFFFFF"/>
            <w:vAlign w:val="center"/>
            <w:hideMark/>
          </w:tcPr>
          <w:p w14:paraId="146839B9" w14:textId="77777777" w:rsidR="00B11AEF" w:rsidRDefault="00B11AEF" w:rsidP="00B11AEF">
            <w:pPr>
              <w:jc w:val="center"/>
              <w:rPr>
                <w:rFonts w:cs="Arial"/>
                <w:sz w:val="20"/>
                <w:szCs w:val="20"/>
              </w:rPr>
            </w:pPr>
            <w:r>
              <w:rPr>
                <w:rFonts w:cs="Arial"/>
                <w:sz w:val="20"/>
                <w:szCs w:val="20"/>
              </w:rPr>
              <w:t>3.4%</w:t>
            </w:r>
          </w:p>
        </w:tc>
        <w:tc>
          <w:tcPr>
            <w:tcW w:w="2070" w:type="dxa"/>
            <w:tcBorders>
              <w:top w:val="nil"/>
              <w:left w:val="nil"/>
              <w:bottom w:val="single" w:sz="8" w:space="0" w:color="auto"/>
              <w:right w:val="single" w:sz="8" w:space="0" w:color="auto"/>
            </w:tcBorders>
            <w:shd w:val="clear" w:color="000000" w:fill="FFFFFF"/>
            <w:vAlign w:val="center"/>
            <w:hideMark/>
          </w:tcPr>
          <w:p w14:paraId="7D7B3742" w14:textId="77777777" w:rsidR="00B11AEF" w:rsidRDefault="00B11AEF" w:rsidP="00B11AEF">
            <w:pPr>
              <w:jc w:val="center"/>
              <w:rPr>
                <w:rFonts w:cs="Arial"/>
                <w:sz w:val="20"/>
                <w:szCs w:val="20"/>
              </w:rPr>
            </w:pPr>
            <w:r>
              <w:rPr>
                <w:rFonts w:cs="Arial"/>
                <w:sz w:val="20"/>
                <w:szCs w:val="20"/>
              </w:rPr>
              <w:t>3.9%</w:t>
            </w:r>
          </w:p>
        </w:tc>
        <w:tc>
          <w:tcPr>
            <w:tcW w:w="1980" w:type="dxa"/>
            <w:tcBorders>
              <w:top w:val="nil"/>
              <w:left w:val="nil"/>
              <w:bottom w:val="single" w:sz="8" w:space="0" w:color="auto"/>
              <w:right w:val="single" w:sz="8" w:space="0" w:color="auto"/>
            </w:tcBorders>
            <w:shd w:val="clear" w:color="000000" w:fill="FFFFFF"/>
            <w:vAlign w:val="center"/>
            <w:hideMark/>
          </w:tcPr>
          <w:p w14:paraId="7B03E2FF" w14:textId="77777777" w:rsidR="00B11AEF" w:rsidRDefault="00B11AEF" w:rsidP="00B11AEF">
            <w:pPr>
              <w:jc w:val="center"/>
              <w:rPr>
                <w:rFonts w:cs="Arial"/>
                <w:sz w:val="20"/>
                <w:szCs w:val="20"/>
              </w:rPr>
            </w:pPr>
            <w:r>
              <w:rPr>
                <w:rFonts w:cs="Arial"/>
                <w:sz w:val="20"/>
                <w:szCs w:val="20"/>
              </w:rPr>
              <w:t>3.8%</w:t>
            </w:r>
          </w:p>
        </w:tc>
        <w:tc>
          <w:tcPr>
            <w:tcW w:w="1760" w:type="dxa"/>
            <w:tcBorders>
              <w:top w:val="nil"/>
              <w:left w:val="nil"/>
              <w:bottom w:val="single" w:sz="8" w:space="0" w:color="auto"/>
              <w:right w:val="single" w:sz="8" w:space="0" w:color="auto"/>
            </w:tcBorders>
            <w:shd w:val="clear" w:color="000000" w:fill="FFFFFF"/>
            <w:vAlign w:val="center"/>
            <w:hideMark/>
          </w:tcPr>
          <w:p w14:paraId="5F2852EF" w14:textId="77777777" w:rsidR="00B11AEF" w:rsidRDefault="00B11AEF" w:rsidP="00B11AEF">
            <w:pPr>
              <w:jc w:val="center"/>
              <w:rPr>
                <w:rFonts w:cs="Arial"/>
                <w:sz w:val="20"/>
                <w:szCs w:val="20"/>
              </w:rPr>
            </w:pPr>
            <w:r>
              <w:rPr>
                <w:rFonts w:cs="Arial"/>
                <w:sz w:val="20"/>
                <w:szCs w:val="20"/>
              </w:rPr>
              <w:t>4.0%</w:t>
            </w:r>
          </w:p>
        </w:tc>
      </w:tr>
    </w:tbl>
    <w:p w14:paraId="634A357D" w14:textId="77777777" w:rsidR="00B11AEF" w:rsidRDefault="00B11AEF" w:rsidP="00B11AEF">
      <w:pPr>
        <w:spacing w:line="360" w:lineRule="auto"/>
        <w:ind w:firstLine="480"/>
        <w:rPr>
          <w:lang w:val="hy-AM"/>
        </w:rPr>
      </w:pPr>
    </w:p>
    <w:p w14:paraId="30F2F75E" w14:textId="77777777" w:rsidR="00B11AEF" w:rsidRPr="00434BD3" w:rsidRDefault="00B11AEF" w:rsidP="00B11AEF">
      <w:pPr>
        <w:spacing w:line="360" w:lineRule="auto"/>
        <w:jc w:val="center"/>
        <w:rPr>
          <w:lang w:val="hy-AM"/>
        </w:rPr>
      </w:pPr>
      <w:r w:rsidRPr="008C23C8">
        <w:rPr>
          <w:rFonts w:eastAsia="Calibri" w:cs="Times New Roman"/>
          <w:b/>
          <w:i/>
          <w:iCs/>
          <w:color w:val="000000"/>
          <w:lang w:val="hy-AM"/>
        </w:rPr>
        <w:t xml:space="preserve">Գծապատկեր </w:t>
      </w:r>
      <w:r>
        <w:rPr>
          <w:rFonts w:eastAsia="Calibri" w:cs="Times New Roman"/>
          <w:b/>
          <w:i/>
          <w:iCs/>
          <w:color w:val="000000"/>
          <w:lang w:val="hy-AM"/>
        </w:rPr>
        <w:t>4</w:t>
      </w:r>
      <w:r w:rsidRPr="008C23C8">
        <w:rPr>
          <w:rFonts w:eastAsia="Calibri" w:cs="Times New Roman"/>
          <w:b/>
          <w:i/>
          <w:iCs/>
          <w:color w:val="000000"/>
          <w:lang w:val="hy-AM"/>
        </w:rPr>
        <w:t>.</w:t>
      </w:r>
      <w:r>
        <w:rPr>
          <w:rFonts w:eastAsia="Calibri" w:cs="Times New Roman"/>
          <w:b/>
          <w:i/>
          <w:iCs/>
          <w:color w:val="000000"/>
          <w:lang w:val="hy-AM"/>
        </w:rPr>
        <w:t>4</w:t>
      </w:r>
      <w:r w:rsidRPr="008C23C8">
        <w:rPr>
          <w:rFonts w:eastAsia="Calibri" w:cs="Times New Roman"/>
          <w:b/>
          <w:i/>
          <w:iCs/>
          <w:color w:val="000000"/>
          <w:lang w:val="hy-AM"/>
        </w:rPr>
        <w:t>.</w:t>
      </w:r>
      <w:r>
        <w:rPr>
          <w:rFonts w:eastAsia="Calibri" w:cs="Times New Roman"/>
          <w:b/>
          <w:i/>
          <w:iCs/>
          <w:color w:val="000000"/>
          <w:lang w:val="hy-AM"/>
        </w:rPr>
        <w:t>1</w:t>
      </w:r>
      <w:r>
        <w:rPr>
          <w:rFonts w:ascii="Cambria Math" w:eastAsia="Calibri" w:hAnsi="Cambria Math" w:cs="Times New Roman"/>
          <w:b/>
          <w:i/>
          <w:iCs/>
          <w:color w:val="000000"/>
          <w:lang w:val="hy-AM"/>
        </w:rPr>
        <w:t xml:space="preserve">․ </w:t>
      </w:r>
      <w:r w:rsidRPr="009D66F0">
        <w:rPr>
          <w:i/>
          <w:sz w:val="20"/>
          <w:szCs w:val="20"/>
          <w:lang w:val="af-ZA"/>
        </w:rPr>
        <w:t>202</w:t>
      </w:r>
      <w:r>
        <w:rPr>
          <w:i/>
          <w:sz w:val="20"/>
          <w:szCs w:val="20"/>
          <w:lang w:val="af-ZA"/>
        </w:rPr>
        <w:t>1</w:t>
      </w:r>
      <w:r w:rsidRPr="009D66F0">
        <w:rPr>
          <w:i/>
          <w:sz w:val="20"/>
          <w:szCs w:val="20"/>
          <w:lang w:val="af-ZA"/>
        </w:rPr>
        <w:t>-202</w:t>
      </w:r>
      <w:r>
        <w:rPr>
          <w:i/>
          <w:sz w:val="20"/>
          <w:szCs w:val="20"/>
          <w:lang w:val="af-ZA"/>
        </w:rPr>
        <w:t>4</w:t>
      </w:r>
      <w:r w:rsidRPr="009D66F0">
        <w:rPr>
          <w:i/>
          <w:sz w:val="20"/>
          <w:szCs w:val="20"/>
          <w:lang w:val="it-IT"/>
        </w:rPr>
        <w:t>թթ</w:t>
      </w:r>
      <w:r>
        <w:rPr>
          <w:rFonts w:ascii="Cambria Math" w:hAnsi="Cambria Math"/>
          <w:i/>
          <w:sz w:val="20"/>
          <w:szCs w:val="20"/>
          <w:lang w:val="hy-AM"/>
        </w:rPr>
        <w:t>․</w:t>
      </w:r>
      <w:r w:rsidRPr="009D66F0">
        <w:rPr>
          <w:i/>
          <w:sz w:val="20"/>
          <w:szCs w:val="20"/>
          <w:lang w:val="af-ZA"/>
        </w:rPr>
        <w:t xml:space="preserve"> </w:t>
      </w:r>
      <w:r w:rsidRPr="00DF79D1">
        <w:rPr>
          <w:rFonts w:cs="Sylfaen"/>
          <w:i/>
          <w:sz w:val="20"/>
          <w:szCs w:val="20"/>
          <w:lang w:val="hy-AM"/>
        </w:rPr>
        <w:t>ընթացիկ</w:t>
      </w:r>
      <w:r w:rsidRPr="009D66F0">
        <w:rPr>
          <w:i/>
          <w:sz w:val="20"/>
          <w:szCs w:val="20"/>
          <w:lang w:val="af-ZA"/>
        </w:rPr>
        <w:t xml:space="preserve"> </w:t>
      </w:r>
      <w:r w:rsidRPr="00DF79D1">
        <w:rPr>
          <w:rFonts w:cs="Sylfaen"/>
          <w:i/>
          <w:sz w:val="20"/>
          <w:szCs w:val="20"/>
          <w:lang w:val="hy-AM"/>
        </w:rPr>
        <w:t>և</w:t>
      </w:r>
      <w:r w:rsidRPr="009D66F0">
        <w:rPr>
          <w:i/>
          <w:sz w:val="20"/>
          <w:szCs w:val="20"/>
          <w:lang w:val="af-ZA"/>
        </w:rPr>
        <w:t xml:space="preserve"> </w:t>
      </w:r>
      <w:r w:rsidRPr="00DF79D1">
        <w:rPr>
          <w:rFonts w:cs="Sylfaen"/>
          <w:i/>
          <w:sz w:val="20"/>
          <w:szCs w:val="20"/>
          <w:lang w:val="hy-AM"/>
        </w:rPr>
        <w:t>ոչ</w:t>
      </w:r>
      <w:r w:rsidRPr="009D66F0">
        <w:rPr>
          <w:rFonts w:cs="Sylfaen"/>
          <w:i/>
          <w:sz w:val="20"/>
          <w:szCs w:val="20"/>
          <w:lang w:val="af-ZA"/>
        </w:rPr>
        <w:t xml:space="preserve"> </w:t>
      </w:r>
      <w:r w:rsidRPr="00DF79D1">
        <w:rPr>
          <w:rFonts w:cs="Sylfaen"/>
          <w:i/>
          <w:sz w:val="20"/>
          <w:szCs w:val="20"/>
          <w:lang w:val="hy-AM"/>
        </w:rPr>
        <w:t>ֆինանսական</w:t>
      </w:r>
      <w:r w:rsidRPr="009D66F0">
        <w:rPr>
          <w:rFonts w:cs="Sylfaen"/>
          <w:i/>
          <w:sz w:val="20"/>
          <w:szCs w:val="20"/>
          <w:lang w:val="af-ZA"/>
        </w:rPr>
        <w:t xml:space="preserve"> </w:t>
      </w:r>
      <w:r w:rsidRPr="00DF79D1">
        <w:rPr>
          <w:rFonts w:cs="Sylfaen"/>
          <w:i/>
          <w:sz w:val="20"/>
          <w:szCs w:val="20"/>
          <w:lang w:val="hy-AM"/>
        </w:rPr>
        <w:t>ակտիվների</w:t>
      </w:r>
      <w:r w:rsidRPr="009D66F0">
        <w:rPr>
          <w:rFonts w:cs="Sylfaen"/>
          <w:i/>
          <w:sz w:val="20"/>
          <w:szCs w:val="20"/>
          <w:lang w:val="af-ZA"/>
        </w:rPr>
        <w:t xml:space="preserve"> </w:t>
      </w:r>
      <w:r w:rsidRPr="00DF79D1">
        <w:rPr>
          <w:rFonts w:cs="Sylfaen"/>
          <w:i/>
          <w:sz w:val="20"/>
          <w:szCs w:val="20"/>
          <w:lang w:val="hy-AM"/>
        </w:rPr>
        <w:t>գծով</w:t>
      </w:r>
      <w:r w:rsidRPr="009D66F0">
        <w:rPr>
          <w:rFonts w:cs="Sylfaen"/>
          <w:i/>
          <w:sz w:val="20"/>
          <w:szCs w:val="20"/>
          <w:lang w:val="af-ZA"/>
        </w:rPr>
        <w:t xml:space="preserve"> </w:t>
      </w:r>
      <w:r w:rsidRPr="00DF79D1">
        <w:rPr>
          <w:rFonts w:cs="Sylfaen"/>
          <w:i/>
          <w:sz w:val="20"/>
          <w:szCs w:val="20"/>
          <w:lang w:val="hy-AM"/>
        </w:rPr>
        <w:t>ծախսերի</w:t>
      </w:r>
      <w:r w:rsidRPr="009D66F0">
        <w:rPr>
          <w:i/>
          <w:sz w:val="20"/>
          <w:szCs w:val="20"/>
          <w:lang w:val="af-ZA"/>
        </w:rPr>
        <w:t xml:space="preserve"> </w:t>
      </w:r>
      <w:r w:rsidRPr="00DF79D1">
        <w:rPr>
          <w:rFonts w:cs="Sylfaen"/>
          <w:i/>
          <w:sz w:val="20"/>
          <w:szCs w:val="20"/>
          <w:lang w:val="hy-AM"/>
        </w:rPr>
        <w:t>փոփոխության</w:t>
      </w:r>
      <w:r w:rsidRPr="009D66F0">
        <w:rPr>
          <w:i/>
          <w:sz w:val="20"/>
          <w:szCs w:val="20"/>
          <w:lang w:val="af-ZA"/>
        </w:rPr>
        <w:t xml:space="preserve"> </w:t>
      </w:r>
      <w:r w:rsidRPr="00DF79D1">
        <w:rPr>
          <w:rFonts w:cs="Sylfaen"/>
          <w:i/>
          <w:sz w:val="20"/>
          <w:szCs w:val="20"/>
          <w:lang w:val="hy-AM"/>
        </w:rPr>
        <w:t>և</w:t>
      </w:r>
      <w:r w:rsidRPr="009D66F0">
        <w:rPr>
          <w:i/>
          <w:sz w:val="20"/>
          <w:szCs w:val="20"/>
          <w:lang w:val="af-ZA"/>
        </w:rPr>
        <w:t xml:space="preserve"> </w:t>
      </w:r>
      <w:r w:rsidRPr="00DF79D1">
        <w:rPr>
          <w:rFonts w:cs="Sylfaen"/>
          <w:i/>
          <w:sz w:val="20"/>
          <w:szCs w:val="20"/>
          <w:lang w:val="hy-AM"/>
        </w:rPr>
        <w:t>հարաբերակցության</w:t>
      </w:r>
      <w:r w:rsidRPr="009D66F0">
        <w:rPr>
          <w:i/>
          <w:sz w:val="20"/>
          <w:szCs w:val="20"/>
          <w:lang w:val="af-ZA"/>
        </w:rPr>
        <w:t xml:space="preserve"> </w:t>
      </w:r>
      <w:r w:rsidRPr="00DF79D1">
        <w:rPr>
          <w:rFonts w:cs="Sylfaen"/>
          <w:i/>
          <w:sz w:val="20"/>
          <w:szCs w:val="20"/>
          <w:lang w:val="hy-AM"/>
        </w:rPr>
        <w:t>միտումները</w:t>
      </w:r>
      <w:r w:rsidRPr="00DF79D1">
        <w:rPr>
          <w:noProof/>
          <w:lang w:val="hy-AM"/>
        </w:rPr>
        <w:t xml:space="preserve"> </w:t>
      </w:r>
      <w:r w:rsidRPr="0035033F">
        <w:rPr>
          <w:noProof/>
        </w:rPr>
        <w:drawing>
          <wp:inline distT="0" distB="0" distL="0" distR="0" wp14:anchorId="298EAFB4" wp14:editId="61F75B10">
            <wp:extent cx="6124575" cy="3429000"/>
            <wp:effectExtent l="0" t="0" r="0" b="0"/>
            <wp:docPr id="77" name="Chart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7408ADC2" w14:textId="77777777" w:rsidR="00B11AEF" w:rsidRPr="00A60550" w:rsidRDefault="00B11AEF" w:rsidP="00B11AEF">
      <w:pPr>
        <w:spacing w:line="360" w:lineRule="auto"/>
        <w:ind w:firstLine="480"/>
        <w:rPr>
          <w:rFonts w:cs="Sylfaen"/>
          <w:lang w:val="hy-AM"/>
        </w:rPr>
      </w:pPr>
    </w:p>
    <w:p w14:paraId="0BFED8CD" w14:textId="77777777" w:rsidR="00B11AEF" w:rsidRDefault="00B11AEF" w:rsidP="00B11AEF">
      <w:pPr>
        <w:spacing w:line="276" w:lineRule="auto"/>
        <w:ind w:firstLine="475"/>
        <w:rPr>
          <w:rFonts w:cs="Sylfaen"/>
          <w:lang w:val="hy-AM"/>
        </w:rPr>
      </w:pPr>
      <w:r w:rsidRPr="00A60550">
        <w:rPr>
          <w:rFonts w:cs="Sylfaen"/>
          <w:lang w:val="hy-AM"/>
        </w:rPr>
        <w:t>202</w:t>
      </w:r>
      <w:r w:rsidRPr="00273C7C">
        <w:rPr>
          <w:rFonts w:cs="Sylfaen"/>
          <w:lang w:val="hy-AM"/>
        </w:rPr>
        <w:t>2</w:t>
      </w:r>
      <w:r w:rsidRPr="00A60550">
        <w:rPr>
          <w:rFonts w:cs="Sylfaen"/>
          <w:lang w:val="hy-AM"/>
        </w:rPr>
        <w:t>-202</w:t>
      </w:r>
      <w:r w:rsidRPr="00273C7C">
        <w:rPr>
          <w:rFonts w:cs="Sylfaen"/>
          <w:lang w:val="hy-AM"/>
        </w:rPr>
        <w:t>4</w:t>
      </w:r>
      <w:r w:rsidRPr="00A60550">
        <w:rPr>
          <w:rFonts w:cs="Sylfaen"/>
          <w:lang w:val="hy-AM"/>
        </w:rPr>
        <w:t xml:space="preserve"> թվականների ծախսերի ընդհանուր ծավալի միջին տարեկանի շուրջ 8</w:t>
      </w:r>
      <w:r w:rsidRPr="008417C3">
        <w:rPr>
          <w:rFonts w:cs="Sylfaen"/>
          <w:lang w:val="hy-AM"/>
        </w:rPr>
        <w:t>5.</w:t>
      </w:r>
      <w:r>
        <w:rPr>
          <w:rFonts w:cs="Sylfaen"/>
          <w:lang w:val="hy-AM"/>
        </w:rPr>
        <w:t>2</w:t>
      </w:r>
      <w:r w:rsidRPr="00A60550">
        <w:rPr>
          <w:rFonts w:cs="Sylfaen"/>
          <w:lang w:val="hy-AM"/>
        </w:rPr>
        <w:t xml:space="preserve">%-ը կկազմեն </w:t>
      </w:r>
      <w:r w:rsidRPr="00A60550">
        <w:rPr>
          <w:rFonts w:cs="Sylfaen"/>
          <w:b/>
          <w:lang w:val="hy-AM"/>
        </w:rPr>
        <w:t>ընթացիկ ծախսերը</w:t>
      </w:r>
      <w:r w:rsidRPr="00A60550">
        <w:rPr>
          <w:rFonts w:cs="Sylfaen"/>
          <w:lang w:val="hy-AM"/>
        </w:rPr>
        <w:t>,  (202</w:t>
      </w:r>
      <w:r w:rsidRPr="008417C3">
        <w:rPr>
          <w:rFonts w:cs="Sylfaen"/>
          <w:lang w:val="hy-AM"/>
        </w:rPr>
        <w:t>1</w:t>
      </w:r>
      <w:r w:rsidRPr="00A60550">
        <w:rPr>
          <w:rFonts w:cs="Sylfaen"/>
          <w:lang w:val="hy-AM"/>
        </w:rPr>
        <w:t xml:space="preserve"> թվականին այդ ցուցանիշը ծրագրվել է 8</w:t>
      </w:r>
      <w:r w:rsidRPr="008417C3">
        <w:rPr>
          <w:rFonts w:cs="Sylfaen"/>
          <w:lang w:val="hy-AM"/>
        </w:rPr>
        <w:t>8.3</w:t>
      </w:r>
      <w:r w:rsidRPr="00A60550">
        <w:rPr>
          <w:rFonts w:cs="Sylfaen"/>
          <w:lang w:val="hy-AM"/>
        </w:rPr>
        <w:t xml:space="preserve">%): </w:t>
      </w:r>
    </w:p>
    <w:p w14:paraId="4ACFE48C" w14:textId="77777777" w:rsidR="00B11AEF" w:rsidRPr="00A60550" w:rsidRDefault="00B11AEF" w:rsidP="00B11AEF">
      <w:pPr>
        <w:spacing w:line="276" w:lineRule="auto"/>
        <w:ind w:firstLine="475"/>
        <w:rPr>
          <w:rFonts w:cs="Sylfaen"/>
          <w:lang w:val="hy-AM"/>
        </w:rPr>
      </w:pPr>
      <w:r w:rsidRPr="00A60550">
        <w:rPr>
          <w:rFonts w:cs="Sylfaen"/>
          <w:lang w:val="hy-AM"/>
        </w:rPr>
        <w:t>Դիտարկվող ժամանակահատվածում ընթացիկ ծախսեր</w:t>
      </w:r>
      <w:r w:rsidRPr="00EB1197">
        <w:rPr>
          <w:rFonts w:cs="Sylfaen"/>
          <w:lang w:val="hy-AM"/>
        </w:rPr>
        <w:t>ն</w:t>
      </w:r>
      <w:r w:rsidRPr="00A60550">
        <w:rPr>
          <w:rFonts w:cs="Sylfaen"/>
          <w:lang w:val="hy-AM"/>
        </w:rPr>
        <w:t xml:space="preserve"> ուղղված կլի</w:t>
      </w:r>
      <w:r w:rsidRPr="00A60550">
        <w:rPr>
          <w:rFonts w:cs="Sylfaen"/>
          <w:lang w:val="hy-AM"/>
        </w:rPr>
        <w:softHyphen/>
        <w:t xml:space="preserve">նի </w:t>
      </w:r>
      <w:r w:rsidRPr="0086726A">
        <w:rPr>
          <w:rFonts w:cs="Sylfaen"/>
          <w:lang w:val="hy-AM"/>
        </w:rPr>
        <w:t xml:space="preserve">ծառայությունների մատուցման, տրանսֆերտների տրամադրման, </w:t>
      </w:r>
      <w:r>
        <w:rPr>
          <w:rFonts w:cs="Sylfaen"/>
          <w:lang w:val="hy-AM"/>
        </w:rPr>
        <w:t>ֆ</w:t>
      </w:r>
      <w:r w:rsidRPr="0086726A">
        <w:rPr>
          <w:rFonts w:cs="Sylfaen"/>
          <w:lang w:val="hy-AM"/>
        </w:rPr>
        <w:t xml:space="preserve">ինանսավորման ծախսերի իրականացման և </w:t>
      </w:r>
      <w:r w:rsidRPr="00EB1197">
        <w:rPr>
          <w:rFonts w:cs="Sylfaen"/>
          <w:lang w:val="hy-AM"/>
        </w:rPr>
        <w:t>հ</w:t>
      </w:r>
      <w:r w:rsidRPr="0086726A">
        <w:rPr>
          <w:rFonts w:cs="Sylfaen"/>
          <w:lang w:val="hy-AM"/>
        </w:rPr>
        <w:t>անրության կողմից անմիջականորեն օգտագործվող ակտիվների հետ կապված միջոցառումներին:</w:t>
      </w:r>
      <w:r w:rsidRPr="00A60550">
        <w:rPr>
          <w:rFonts w:cs="Sylfaen"/>
          <w:lang w:val="hy-AM"/>
        </w:rPr>
        <w:t xml:space="preserve"> </w:t>
      </w:r>
    </w:p>
    <w:p w14:paraId="247FB1EB" w14:textId="77777777" w:rsidR="00B11AEF" w:rsidRDefault="00B11AEF" w:rsidP="00B11AEF">
      <w:pPr>
        <w:spacing w:line="276" w:lineRule="auto"/>
        <w:ind w:firstLine="475"/>
        <w:rPr>
          <w:rFonts w:cs="Sylfaen"/>
          <w:lang w:val="hy-AM"/>
        </w:rPr>
      </w:pPr>
      <w:r w:rsidRPr="00A60550">
        <w:rPr>
          <w:rFonts w:cs="Sylfaen"/>
          <w:lang w:val="hy-AM"/>
        </w:rPr>
        <w:t>202</w:t>
      </w:r>
      <w:r w:rsidRPr="004A57FF">
        <w:rPr>
          <w:rFonts w:cs="Sylfaen"/>
          <w:lang w:val="hy-AM"/>
        </w:rPr>
        <w:t>1</w:t>
      </w:r>
      <w:r w:rsidRPr="00A60550">
        <w:rPr>
          <w:rFonts w:cs="Sylfaen"/>
          <w:lang w:val="hy-AM"/>
        </w:rPr>
        <w:t>-202</w:t>
      </w:r>
      <w:r w:rsidRPr="004A57FF">
        <w:rPr>
          <w:rFonts w:cs="Sylfaen"/>
          <w:lang w:val="hy-AM"/>
        </w:rPr>
        <w:t>4</w:t>
      </w:r>
      <w:r w:rsidRPr="00A60550">
        <w:rPr>
          <w:rFonts w:cs="Sylfaen"/>
          <w:lang w:val="hy-AM"/>
        </w:rPr>
        <w:t>թթ ընթացիկ ծախսերի ֆինանսավորման ըստ տնտեսագիտական դասակարգման կառուցված</w:t>
      </w:r>
      <w:r w:rsidRPr="00BE7F99">
        <w:rPr>
          <w:rFonts w:cs="Sylfaen"/>
          <w:lang w:val="hy-AM"/>
        </w:rPr>
        <w:t>ք</w:t>
      </w:r>
      <w:r w:rsidRPr="00A60550">
        <w:rPr>
          <w:rFonts w:cs="Sylfaen"/>
          <w:lang w:val="hy-AM"/>
        </w:rPr>
        <w:t>ի ծախ</w:t>
      </w:r>
      <w:r w:rsidRPr="00A60550">
        <w:rPr>
          <w:rFonts w:cs="Sylfaen"/>
          <w:lang w:val="hy-AM"/>
        </w:rPr>
        <w:softHyphen/>
        <w:t>սերի հարա</w:t>
      </w:r>
      <w:r w:rsidRPr="00A60550">
        <w:rPr>
          <w:rFonts w:cs="Sylfaen"/>
          <w:lang w:val="hy-AM"/>
        </w:rPr>
        <w:softHyphen/>
        <w:t>բերակցությունը ՀՆԱ-ի նկատմամբ</w:t>
      </w:r>
      <w:r>
        <w:rPr>
          <w:rFonts w:cs="Sylfaen"/>
          <w:lang w:val="hy-AM"/>
        </w:rPr>
        <w:t xml:space="preserve"> ներկայացված է ստորև:</w:t>
      </w:r>
    </w:p>
    <w:p w14:paraId="51D93CCB" w14:textId="77777777" w:rsidR="00B11AEF" w:rsidRDefault="00B11AEF" w:rsidP="00B11AEF">
      <w:pPr>
        <w:spacing w:line="276" w:lineRule="auto"/>
        <w:ind w:firstLine="475"/>
        <w:rPr>
          <w:rFonts w:eastAsia="Calibri" w:cs="Times New Roman"/>
          <w:b/>
          <w:i/>
          <w:iCs/>
          <w:color w:val="000000"/>
          <w:lang w:val="hy-AM"/>
        </w:rPr>
      </w:pPr>
    </w:p>
    <w:p w14:paraId="15FE08F9" w14:textId="77777777" w:rsidR="00B11AEF" w:rsidRDefault="00B11AEF" w:rsidP="00B11AEF">
      <w:pPr>
        <w:spacing w:line="276" w:lineRule="auto"/>
        <w:ind w:firstLine="475"/>
        <w:rPr>
          <w:rFonts w:eastAsia="Calibri" w:cs="Times New Roman"/>
          <w:b/>
          <w:i/>
          <w:iCs/>
          <w:color w:val="000000"/>
          <w:lang w:val="hy-AM"/>
        </w:rPr>
      </w:pPr>
    </w:p>
    <w:p w14:paraId="4DAAE809" w14:textId="77777777" w:rsidR="00B11AEF" w:rsidRDefault="00B11AEF" w:rsidP="00B11AEF">
      <w:pPr>
        <w:spacing w:line="276" w:lineRule="auto"/>
        <w:ind w:firstLine="475"/>
        <w:rPr>
          <w:rFonts w:eastAsia="Calibri" w:cs="Times New Roman"/>
          <w:b/>
          <w:i/>
          <w:iCs/>
          <w:color w:val="000000"/>
          <w:lang w:val="hy-AM"/>
        </w:rPr>
      </w:pPr>
    </w:p>
    <w:p w14:paraId="30948839" w14:textId="77777777" w:rsidR="00B11AEF" w:rsidRDefault="00B11AEF" w:rsidP="00B11AEF">
      <w:pPr>
        <w:spacing w:line="276" w:lineRule="auto"/>
        <w:ind w:firstLine="475"/>
        <w:rPr>
          <w:rFonts w:eastAsia="Calibri" w:cs="Times New Roman"/>
          <w:b/>
          <w:i/>
          <w:iCs/>
          <w:color w:val="000000"/>
          <w:lang w:val="hy-AM"/>
        </w:rPr>
      </w:pPr>
    </w:p>
    <w:p w14:paraId="4D3ABC36" w14:textId="77777777" w:rsidR="00B11AEF" w:rsidRDefault="00B11AEF" w:rsidP="00B11AEF">
      <w:pPr>
        <w:spacing w:line="276" w:lineRule="auto"/>
        <w:ind w:firstLine="475"/>
        <w:rPr>
          <w:rFonts w:eastAsia="Calibri" w:cs="Times New Roman"/>
          <w:b/>
          <w:i/>
          <w:iCs/>
          <w:color w:val="000000"/>
          <w:lang w:val="hy-AM"/>
        </w:rPr>
      </w:pPr>
    </w:p>
    <w:p w14:paraId="615344B9" w14:textId="77777777" w:rsidR="00B11AEF" w:rsidRDefault="00B11AEF" w:rsidP="00B11AEF">
      <w:pPr>
        <w:spacing w:line="276" w:lineRule="auto"/>
        <w:ind w:firstLine="475"/>
        <w:rPr>
          <w:rFonts w:eastAsia="Calibri" w:cs="Times New Roman"/>
          <w:b/>
          <w:i/>
          <w:iCs/>
          <w:color w:val="000000"/>
          <w:lang w:val="hy-AM"/>
        </w:rPr>
      </w:pPr>
    </w:p>
    <w:p w14:paraId="528056A1" w14:textId="77777777" w:rsidR="00B11AEF" w:rsidRDefault="00B11AEF" w:rsidP="00B11AEF">
      <w:pPr>
        <w:spacing w:line="276" w:lineRule="auto"/>
        <w:ind w:firstLine="475"/>
        <w:rPr>
          <w:rFonts w:eastAsia="Calibri" w:cs="Times New Roman"/>
          <w:b/>
          <w:i/>
          <w:iCs/>
          <w:color w:val="000000"/>
          <w:lang w:val="hy-AM"/>
        </w:rPr>
      </w:pPr>
    </w:p>
    <w:p w14:paraId="20884E22" w14:textId="77777777" w:rsidR="00B11AEF" w:rsidRDefault="00B11AEF" w:rsidP="00B11AEF">
      <w:pPr>
        <w:spacing w:line="276" w:lineRule="auto"/>
        <w:ind w:firstLine="475"/>
        <w:rPr>
          <w:rFonts w:eastAsia="Calibri" w:cs="Times New Roman"/>
          <w:b/>
          <w:i/>
          <w:iCs/>
          <w:color w:val="000000"/>
          <w:lang w:val="hy-AM"/>
        </w:rPr>
      </w:pPr>
    </w:p>
    <w:p w14:paraId="282A3A8E" w14:textId="77777777" w:rsidR="00B11AEF" w:rsidRDefault="00B11AEF" w:rsidP="00B11AEF">
      <w:pPr>
        <w:spacing w:line="276" w:lineRule="auto"/>
        <w:ind w:firstLine="475"/>
        <w:rPr>
          <w:rFonts w:eastAsia="Calibri" w:cs="Times New Roman"/>
          <w:b/>
          <w:i/>
          <w:iCs/>
          <w:color w:val="000000"/>
          <w:lang w:val="hy-AM"/>
        </w:rPr>
      </w:pPr>
    </w:p>
    <w:p w14:paraId="77152902" w14:textId="77777777" w:rsidR="00B11AEF" w:rsidRPr="00A60550" w:rsidRDefault="00B11AEF" w:rsidP="00B11AEF">
      <w:pPr>
        <w:spacing w:line="276" w:lineRule="auto"/>
        <w:ind w:firstLine="475"/>
        <w:rPr>
          <w:rFonts w:cs="Sylfaen"/>
          <w:lang w:val="hy-AM"/>
        </w:rPr>
      </w:pPr>
      <w:r w:rsidRPr="008C23C8">
        <w:rPr>
          <w:rFonts w:eastAsia="Calibri" w:cs="Times New Roman"/>
          <w:b/>
          <w:i/>
          <w:iCs/>
          <w:color w:val="000000"/>
          <w:lang w:val="hy-AM"/>
        </w:rPr>
        <w:t xml:space="preserve">Գծապատկեր </w:t>
      </w:r>
      <w:r>
        <w:rPr>
          <w:rFonts w:eastAsia="Calibri" w:cs="Times New Roman"/>
          <w:b/>
          <w:i/>
          <w:iCs/>
          <w:color w:val="000000"/>
          <w:lang w:val="hy-AM"/>
        </w:rPr>
        <w:t>4</w:t>
      </w:r>
      <w:r w:rsidRPr="008C23C8">
        <w:rPr>
          <w:rFonts w:eastAsia="Calibri" w:cs="Times New Roman"/>
          <w:b/>
          <w:i/>
          <w:iCs/>
          <w:color w:val="000000"/>
          <w:lang w:val="hy-AM"/>
        </w:rPr>
        <w:t>.</w:t>
      </w:r>
      <w:r>
        <w:rPr>
          <w:rFonts w:eastAsia="Calibri" w:cs="Times New Roman"/>
          <w:b/>
          <w:i/>
          <w:iCs/>
          <w:color w:val="000000"/>
          <w:lang w:val="hy-AM"/>
        </w:rPr>
        <w:t>4</w:t>
      </w:r>
      <w:r w:rsidRPr="008C23C8">
        <w:rPr>
          <w:rFonts w:eastAsia="Calibri" w:cs="Times New Roman"/>
          <w:b/>
          <w:i/>
          <w:iCs/>
          <w:color w:val="000000"/>
          <w:lang w:val="hy-AM"/>
        </w:rPr>
        <w:t>.</w:t>
      </w:r>
      <w:r>
        <w:rPr>
          <w:rFonts w:eastAsia="Calibri" w:cs="Times New Roman"/>
          <w:b/>
          <w:i/>
          <w:iCs/>
          <w:color w:val="000000"/>
          <w:lang w:val="hy-AM"/>
        </w:rPr>
        <w:t>2</w:t>
      </w:r>
      <w:r>
        <w:rPr>
          <w:rFonts w:ascii="Cambria Math" w:eastAsia="Calibri" w:hAnsi="Cambria Math" w:cs="Times New Roman"/>
          <w:b/>
          <w:i/>
          <w:iCs/>
          <w:color w:val="000000"/>
          <w:lang w:val="hy-AM"/>
        </w:rPr>
        <w:t>․</w:t>
      </w:r>
      <w:r w:rsidRPr="008C23C8">
        <w:rPr>
          <w:rFonts w:eastAsia="Calibri" w:cs="Times New Roman"/>
          <w:b/>
          <w:i/>
          <w:iCs/>
          <w:color w:val="000000"/>
          <w:sz w:val="20"/>
          <w:szCs w:val="20"/>
          <w:lang w:val="hy-AM"/>
        </w:rPr>
        <w:t xml:space="preserve"> </w:t>
      </w:r>
      <w:r w:rsidRPr="00DF79D1">
        <w:rPr>
          <w:rFonts w:cs="Sylfaen"/>
          <w:i/>
          <w:sz w:val="20"/>
          <w:szCs w:val="20"/>
          <w:lang w:val="hy-AM"/>
        </w:rPr>
        <w:t>202</w:t>
      </w:r>
      <w:r w:rsidRPr="004A57FF">
        <w:rPr>
          <w:rFonts w:cs="Sylfaen"/>
          <w:i/>
          <w:sz w:val="20"/>
          <w:szCs w:val="20"/>
          <w:lang w:val="hy-AM"/>
        </w:rPr>
        <w:t>1</w:t>
      </w:r>
      <w:r w:rsidRPr="00DF79D1">
        <w:rPr>
          <w:rFonts w:cs="Sylfaen"/>
          <w:i/>
          <w:sz w:val="20"/>
          <w:szCs w:val="20"/>
          <w:lang w:val="hy-AM"/>
        </w:rPr>
        <w:t>-202</w:t>
      </w:r>
      <w:r w:rsidRPr="004A57FF">
        <w:rPr>
          <w:rFonts w:cs="Sylfaen"/>
          <w:i/>
          <w:sz w:val="20"/>
          <w:szCs w:val="20"/>
          <w:lang w:val="hy-AM"/>
        </w:rPr>
        <w:t>4</w:t>
      </w:r>
      <w:r w:rsidRPr="00DF79D1">
        <w:rPr>
          <w:rFonts w:cs="Sylfaen"/>
          <w:i/>
          <w:sz w:val="20"/>
          <w:szCs w:val="20"/>
          <w:lang w:val="hy-AM"/>
        </w:rPr>
        <w:t>թթ</w:t>
      </w:r>
      <w:r>
        <w:rPr>
          <w:rFonts w:ascii="Cambria Math" w:hAnsi="Cambria Math" w:cs="Sylfaen"/>
          <w:i/>
          <w:sz w:val="20"/>
          <w:szCs w:val="20"/>
          <w:lang w:val="hy-AM"/>
        </w:rPr>
        <w:t xml:space="preserve">․ </w:t>
      </w:r>
      <w:r w:rsidRPr="00DF79D1">
        <w:rPr>
          <w:rFonts w:cs="Sylfaen"/>
          <w:i/>
          <w:sz w:val="20"/>
          <w:szCs w:val="20"/>
          <w:lang w:val="hy-AM"/>
        </w:rPr>
        <w:t>ընթացիկ ծախսերի ֆինանսավորման ըստ տնտեսագիտական դասակարգման կառուցվածքի ծախ</w:t>
      </w:r>
      <w:r w:rsidRPr="00DF79D1">
        <w:rPr>
          <w:rFonts w:cs="Sylfaen"/>
          <w:i/>
          <w:sz w:val="20"/>
          <w:szCs w:val="20"/>
          <w:lang w:val="hy-AM"/>
        </w:rPr>
        <w:softHyphen/>
        <w:t>սերի հարա</w:t>
      </w:r>
      <w:r w:rsidRPr="00DF79D1">
        <w:rPr>
          <w:rFonts w:cs="Sylfaen"/>
          <w:i/>
          <w:sz w:val="20"/>
          <w:szCs w:val="20"/>
          <w:lang w:val="hy-AM"/>
        </w:rPr>
        <w:softHyphen/>
        <w:t>բերակցությունը ՀՆԱ-ի նկատմամբ</w:t>
      </w:r>
    </w:p>
    <w:p w14:paraId="01D32040" w14:textId="77777777" w:rsidR="00B11AEF" w:rsidRPr="00DF79D1" w:rsidRDefault="00B11AEF" w:rsidP="00B11AEF">
      <w:pPr>
        <w:spacing w:line="276" w:lineRule="auto"/>
        <w:ind w:firstLine="475"/>
        <w:rPr>
          <w:lang w:val="hy-AM"/>
        </w:rPr>
      </w:pPr>
    </w:p>
    <w:p w14:paraId="1B88E7BB" w14:textId="77777777" w:rsidR="00B11AEF" w:rsidRPr="006F5D30" w:rsidRDefault="00B11AEF" w:rsidP="00B11AEF">
      <w:pPr>
        <w:spacing w:line="360" w:lineRule="auto"/>
        <w:ind w:firstLine="480"/>
        <w:rPr>
          <w:lang w:val="af-ZA"/>
        </w:rPr>
      </w:pPr>
      <w:r w:rsidRPr="0035033F">
        <w:rPr>
          <w:noProof/>
        </w:rPr>
        <w:drawing>
          <wp:inline distT="0" distB="0" distL="0" distR="0" wp14:anchorId="696D6A5F" wp14:editId="2596BE7E">
            <wp:extent cx="5934075" cy="4371975"/>
            <wp:effectExtent l="0" t="0" r="0" b="0"/>
            <wp:docPr id="78" name="Chart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6E2EB86A" w14:textId="77777777" w:rsidR="00B11AEF" w:rsidRDefault="00B11AEF" w:rsidP="00B11AEF">
      <w:pPr>
        <w:spacing w:line="240" w:lineRule="auto"/>
        <w:rPr>
          <w:rFonts w:cs="Sylfaen"/>
          <w:sz w:val="20"/>
          <w:szCs w:val="20"/>
          <w:lang w:val="hy-AM"/>
        </w:rPr>
      </w:pPr>
    </w:p>
    <w:p w14:paraId="1165B64B" w14:textId="77777777" w:rsidR="00B11AEF" w:rsidRDefault="00B11AEF" w:rsidP="00B11AEF">
      <w:pPr>
        <w:spacing w:line="276" w:lineRule="auto"/>
        <w:rPr>
          <w:lang w:val="hy-AM"/>
        </w:rPr>
      </w:pPr>
      <w:r w:rsidRPr="002A51B1">
        <w:rPr>
          <w:lang w:val="hy-AM"/>
        </w:rPr>
        <w:t>202</w:t>
      </w:r>
      <w:r w:rsidRPr="002811D8">
        <w:rPr>
          <w:lang w:val="hy-AM"/>
        </w:rPr>
        <w:t>2</w:t>
      </w:r>
      <w:r>
        <w:rPr>
          <w:lang w:val="hy-AM"/>
        </w:rPr>
        <w:t>-2024</w:t>
      </w:r>
      <w:r w:rsidRPr="002A51B1">
        <w:rPr>
          <w:lang w:val="hy-AM"/>
        </w:rPr>
        <w:t xml:space="preserve">թթ. ժամանակահատվածում պետական բյուջեից </w:t>
      </w:r>
      <w:r>
        <w:rPr>
          <w:lang w:val="hy-AM"/>
        </w:rPr>
        <w:t xml:space="preserve">աշխատավարձերին ուղղվող ծախսերը կկազմեն </w:t>
      </w:r>
      <w:r w:rsidRPr="002A51B1">
        <w:rPr>
          <w:lang w:val="hy-AM"/>
        </w:rPr>
        <w:t xml:space="preserve">համապատասխանաբար՝ </w:t>
      </w:r>
      <w:r w:rsidRPr="002811D8">
        <w:rPr>
          <w:lang w:val="hy-AM"/>
        </w:rPr>
        <w:t>17</w:t>
      </w:r>
      <w:r>
        <w:rPr>
          <w:lang w:val="hy-AM"/>
        </w:rPr>
        <w:t>9</w:t>
      </w:r>
      <w:r w:rsidRPr="002811D8">
        <w:rPr>
          <w:lang w:val="hy-AM"/>
        </w:rPr>
        <w:t>.</w:t>
      </w:r>
      <w:r>
        <w:rPr>
          <w:lang w:val="hy-AM"/>
        </w:rPr>
        <w:t>9</w:t>
      </w:r>
      <w:r w:rsidRPr="002A51B1">
        <w:rPr>
          <w:lang w:val="hy-AM"/>
        </w:rPr>
        <w:t xml:space="preserve">, </w:t>
      </w:r>
      <w:r w:rsidRPr="002811D8">
        <w:rPr>
          <w:lang w:val="hy-AM"/>
        </w:rPr>
        <w:t>1</w:t>
      </w:r>
      <w:r>
        <w:rPr>
          <w:lang w:val="hy-AM"/>
        </w:rPr>
        <w:t>81</w:t>
      </w:r>
      <w:r w:rsidRPr="002811D8">
        <w:rPr>
          <w:lang w:val="hy-AM"/>
        </w:rPr>
        <w:t>.</w:t>
      </w:r>
      <w:r>
        <w:rPr>
          <w:lang w:val="hy-AM"/>
        </w:rPr>
        <w:t>1</w:t>
      </w:r>
      <w:r w:rsidRPr="002A51B1">
        <w:rPr>
          <w:lang w:val="hy-AM"/>
        </w:rPr>
        <w:t xml:space="preserve"> և </w:t>
      </w:r>
      <w:r w:rsidRPr="002811D8">
        <w:rPr>
          <w:lang w:val="hy-AM"/>
        </w:rPr>
        <w:t>1</w:t>
      </w:r>
      <w:r>
        <w:rPr>
          <w:lang w:val="hy-AM"/>
        </w:rPr>
        <w:t>81</w:t>
      </w:r>
      <w:r w:rsidRPr="002811D8">
        <w:rPr>
          <w:lang w:val="hy-AM"/>
        </w:rPr>
        <w:t>.</w:t>
      </w:r>
      <w:r>
        <w:rPr>
          <w:lang w:val="hy-AM"/>
        </w:rPr>
        <w:t>9</w:t>
      </w:r>
      <w:r w:rsidRPr="002A51B1">
        <w:rPr>
          <w:lang w:val="hy-AM"/>
        </w:rPr>
        <w:t xml:space="preserve"> մլրդ դրամ: </w:t>
      </w:r>
    </w:p>
    <w:p w14:paraId="060F116C" w14:textId="77777777" w:rsidR="00B11AEF" w:rsidRDefault="00B11AEF" w:rsidP="00B11AEF">
      <w:pPr>
        <w:spacing w:line="276" w:lineRule="auto"/>
        <w:rPr>
          <w:lang w:val="hy-AM"/>
        </w:rPr>
      </w:pPr>
      <w:r w:rsidRPr="002A51B1">
        <w:rPr>
          <w:lang w:val="hy-AM"/>
        </w:rPr>
        <w:t>202</w:t>
      </w:r>
      <w:r w:rsidRPr="00575DFC">
        <w:rPr>
          <w:lang w:val="hy-AM"/>
        </w:rPr>
        <w:t>2</w:t>
      </w:r>
      <w:r w:rsidRPr="002A51B1">
        <w:rPr>
          <w:lang w:val="hy-AM"/>
        </w:rPr>
        <w:t>-202</w:t>
      </w:r>
      <w:r w:rsidRPr="00575DFC">
        <w:rPr>
          <w:lang w:val="hy-AM"/>
        </w:rPr>
        <w:t>4</w:t>
      </w:r>
      <w:r w:rsidRPr="002A51B1">
        <w:rPr>
          <w:lang w:val="hy-AM"/>
        </w:rPr>
        <w:t xml:space="preserve">թթ. ժամանակահատվածում </w:t>
      </w:r>
      <w:r w:rsidRPr="00CB67A2">
        <w:rPr>
          <w:lang w:val="hy-AM"/>
        </w:rPr>
        <w:t>տոկոսավճարների</w:t>
      </w:r>
      <w:r w:rsidRPr="002A51B1">
        <w:rPr>
          <w:lang w:val="hy-AM"/>
        </w:rPr>
        <w:t xml:space="preserve"> գծով </w:t>
      </w:r>
      <w:r>
        <w:rPr>
          <w:lang w:val="hy-AM"/>
        </w:rPr>
        <w:t>ծախսերը կազմում են</w:t>
      </w:r>
      <w:r w:rsidRPr="002A51B1">
        <w:rPr>
          <w:lang w:val="hy-AM"/>
        </w:rPr>
        <w:t xml:space="preserve"> համապատասխանաբար՝ </w:t>
      </w:r>
      <w:r w:rsidRPr="00575DFC">
        <w:rPr>
          <w:lang w:val="hy-AM"/>
        </w:rPr>
        <w:t>2</w:t>
      </w:r>
      <w:r w:rsidRPr="00810017">
        <w:rPr>
          <w:lang w:val="hy-AM"/>
        </w:rPr>
        <w:t>15.8</w:t>
      </w:r>
      <w:r w:rsidRPr="002A51B1">
        <w:rPr>
          <w:lang w:val="hy-AM"/>
        </w:rPr>
        <w:t xml:space="preserve">, </w:t>
      </w:r>
      <w:r w:rsidRPr="00575DFC">
        <w:rPr>
          <w:lang w:val="hy-AM"/>
        </w:rPr>
        <w:t>24</w:t>
      </w:r>
      <w:r w:rsidRPr="00810017">
        <w:rPr>
          <w:lang w:val="hy-AM"/>
        </w:rPr>
        <w:t>3</w:t>
      </w:r>
      <w:r w:rsidRPr="00575DFC">
        <w:rPr>
          <w:lang w:val="hy-AM"/>
        </w:rPr>
        <w:t>.</w:t>
      </w:r>
      <w:r w:rsidRPr="00810017">
        <w:rPr>
          <w:lang w:val="hy-AM"/>
        </w:rPr>
        <w:t>5</w:t>
      </w:r>
      <w:r w:rsidRPr="002A51B1">
        <w:rPr>
          <w:lang w:val="hy-AM"/>
        </w:rPr>
        <w:t xml:space="preserve"> և </w:t>
      </w:r>
      <w:r w:rsidRPr="00575DFC">
        <w:rPr>
          <w:lang w:val="hy-AM"/>
        </w:rPr>
        <w:t>2</w:t>
      </w:r>
      <w:r w:rsidRPr="00810017">
        <w:rPr>
          <w:lang w:val="hy-AM"/>
        </w:rPr>
        <w:t>68.</w:t>
      </w:r>
      <w:r w:rsidRPr="00A96D10">
        <w:rPr>
          <w:lang w:val="hy-AM"/>
        </w:rPr>
        <w:t>1</w:t>
      </w:r>
      <w:r w:rsidRPr="002A51B1">
        <w:rPr>
          <w:lang w:val="hy-AM"/>
        </w:rPr>
        <w:t xml:space="preserve"> մլրդ դրամ:</w:t>
      </w:r>
    </w:p>
    <w:p w14:paraId="0B1C1C3A" w14:textId="77777777" w:rsidR="00B11AEF" w:rsidRDefault="00B11AEF" w:rsidP="00B11AEF">
      <w:pPr>
        <w:spacing w:line="276" w:lineRule="auto"/>
        <w:rPr>
          <w:lang w:val="hy-AM"/>
        </w:rPr>
      </w:pPr>
      <w:r w:rsidRPr="00BE7F99">
        <w:rPr>
          <w:lang w:val="hy-AM"/>
        </w:rPr>
        <w:t>202</w:t>
      </w:r>
      <w:r w:rsidRPr="00575DFC">
        <w:rPr>
          <w:lang w:val="hy-AM"/>
        </w:rPr>
        <w:t>2</w:t>
      </w:r>
      <w:r w:rsidRPr="00BE7F99">
        <w:rPr>
          <w:lang w:val="hy-AM"/>
        </w:rPr>
        <w:t>-202</w:t>
      </w:r>
      <w:r w:rsidRPr="00575DFC">
        <w:rPr>
          <w:lang w:val="hy-AM"/>
        </w:rPr>
        <w:t>4</w:t>
      </w:r>
      <w:r w:rsidRPr="00BE7F99">
        <w:rPr>
          <w:lang w:val="hy-AM"/>
        </w:rPr>
        <w:t xml:space="preserve">թթ. ժամանակահատվածում պետական բյուջեից կազմակերպություններին նախատեսվում է տրամադրել համապատասխանաբար՝ </w:t>
      </w:r>
      <w:r w:rsidRPr="00575DFC">
        <w:rPr>
          <w:lang w:val="hy-AM"/>
        </w:rPr>
        <w:t>117.5</w:t>
      </w:r>
      <w:r w:rsidRPr="00BE7F99">
        <w:rPr>
          <w:lang w:val="hy-AM"/>
        </w:rPr>
        <w:t xml:space="preserve">, </w:t>
      </w:r>
      <w:r w:rsidRPr="00575DFC">
        <w:rPr>
          <w:lang w:val="hy-AM"/>
        </w:rPr>
        <w:t>125.7</w:t>
      </w:r>
      <w:r w:rsidRPr="00BE7F99">
        <w:rPr>
          <w:lang w:val="hy-AM"/>
        </w:rPr>
        <w:t xml:space="preserve"> և </w:t>
      </w:r>
      <w:r w:rsidRPr="00575DFC">
        <w:rPr>
          <w:lang w:val="hy-AM"/>
        </w:rPr>
        <w:t>128.1</w:t>
      </w:r>
      <w:r w:rsidRPr="00BE7F99">
        <w:rPr>
          <w:lang w:val="hy-AM"/>
        </w:rPr>
        <w:t xml:space="preserve"> մլրդ դրամի </w:t>
      </w:r>
      <w:r w:rsidRPr="00CB67A2">
        <w:rPr>
          <w:lang w:val="hy-AM"/>
        </w:rPr>
        <w:t>սուբսիդիաներ:</w:t>
      </w:r>
      <w:r w:rsidRPr="00BE7F99">
        <w:rPr>
          <w:lang w:val="hy-AM"/>
        </w:rPr>
        <w:t xml:space="preserve"> </w:t>
      </w:r>
    </w:p>
    <w:p w14:paraId="50739531" w14:textId="77777777" w:rsidR="00B11AEF" w:rsidRPr="00BE7F99" w:rsidRDefault="00B11AEF" w:rsidP="00B11AEF">
      <w:pPr>
        <w:spacing w:line="276" w:lineRule="auto"/>
        <w:rPr>
          <w:lang w:val="hy-AM"/>
        </w:rPr>
      </w:pPr>
      <w:r w:rsidRPr="00BE7F99">
        <w:rPr>
          <w:lang w:val="hy-AM"/>
        </w:rPr>
        <w:t>202</w:t>
      </w:r>
      <w:r w:rsidRPr="00575DFC">
        <w:rPr>
          <w:lang w:val="hy-AM"/>
        </w:rPr>
        <w:t>2</w:t>
      </w:r>
      <w:r w:rsidRPr="00BE7F99">
        <w:rPr>
          <w:lang w:val="hy-AM"/>
        </w:rPr>
        <w:t>-202</w:t>
      </w:r>
      <w:r w:rsidRPr="00575DFC">
        <w:rPr>
          <w:lang w:val="hy-AM"/>
        </w:rPr>
        <w:t>4</w:t>
      </w:r>
      <w:r w:rsidRPr="00BE7F99">
        <w:rPr>
          <w:lang w:val="hy-AM"/>
        </w:rPr>
        <w:t xml:space="preserve">թթ. ժամանակահատվածում </w:t>
      </w:r>
      <w:r w:rsidRPr="00CB67A2">
        <w:rPr>
          <w:lang w:val="hy-AM"/>
        </w:rPr>
        <w:t>սոցիալական նպաստների և կենսաթոշակների վճարների գծով</w:t>
      </w:r>
      <w:r w:rsidRPr="00BE7F99">
        <w:rPr>
          <w:lang w:val="hy-AM"/>
        </w:rPr>
        <w:t xml:space="preserve"> պետական բյուջեի ծախսեր</w:t>
      </w:r>
      <w:r>
        <w:rPr>
          <w:lang w:val="hy-AM"/>
        </w:rPr>
        <w:t>ը</w:t>
      </w:r>
      <w:r w:rsidRPr="00BE7F99">
        <w:rPr>
          <w:lang w:val="hy-AM"/>
        </w:rPr>
        <w:t xml:space="preserve"> </w:t>
      </w:r>
      <w:r>
        <w:rPr>
          <w:lang w:val="hy-AM"/>
        </w:rPr>
        <w:t>կկազմեն</w:t>
      </w:r>
      <w:r w:rsidRPr="00BE7F99">
        <w:rPr>
          <w:lang w:val="hy-AM"/>
        </w:rPr>
        <w:t xml:space="preserve"> համապատասխանաբար</w:t>
      </w:r>
      <w:r>
        <w:rPr>
          <w:lang w:val="hy-AM"/>
        </w:rPr>
        <w:t>՝</w:t>
      </w:r>
      <w:r w:rsidRPr="00BE7F99">
        <w:rPr>
          <w:lang w:val="hy-AM"/>
        </w:rPr>
        <w:t xml:space="preserve"> </w:t>
      </w:r>
      <w:r>
        <w:rPr>
          <w:lang w:val="hy-AM"/>
        </w:rPr>
        <w:t>496.4</w:t>
      </w:r>
      <w:r w:rsidRPr="00BE7F99">
        <w:rPr>
          <w:lang w:val="hy-AM"/>
        </w:rPr>
        <w:t xml:space="preserve">, </w:t>
      </w:r>
      <w:r>
        <w:rPr>
          <w:lang w:val="hy-AM"/>
        </w:rPr>
        <w:t>529.9</w:t>
      </w:r>
      <w:r w:rsidRPr="00BE7F99">
        <w:rPr>
          <w:lang w:val="hy-AM"/>
        </w:rPr>
        <w:t xml:space="preserve"> և </w:t>
      </w:r>
      <w:r>
        <w:rPr>
          <w:lang w:val="hy-AM"/>
        </w:rPr>
        <w:t>530.0</w:t>
      </w:r>
      <w:r w:rsidRPr="00BE7F99">
        <w:rPr>
          <w:lang w:val="hy-AM"/>
        </w:rPr>
        <w:t xml:space="preserve"> մլրդ դրամ: </w:t>
      </w:r>
    </w:p>
    <w:p w14:paraId="7D2F5482" w14:textId="77777777" w:rsidR="00B11AEF" w:rsidRPr="00BE7F99" w:rsidRDefault="00B11AEF" w:rsidP="00B11AEF">
      <w:pPr>
        <w:spacing w:line="276" w:lineRule="auto"/>
        <w:rPr>
          <w:lang w:val="hy-AM"/>
        </w:rPr>
      </w:pPr>
      <w:r>
        <w:rPr>
          <w:lang w:val="hy-AM"/>
        </w:rPr>
        <w:t>2022</w:t>
      </w:r>
      <w:r w:rsidRPr="00BE7F99">
        <w:rPr>
          <w:lang w:val="hy-AM"/>
        </w:rPr>
        <w:t>-202</w:t>
      </w:r>
      <w:r>
        <w:rPr>
          <w:lang w:val="hy-AM"/>
        </w:rPr>
        <w:t>4</w:t>
      </w:r>
      <w:r w:rsidRPr="00BE7F99">
        <w:rPr>
          <w:lang w:val="hy-AM"/>
        </w:rPr>
        <w:t>թթ միջնաժամկետ ժամանակահատվածում պետական բյուջեից նախատեսվ</w:t>
      </w:r>
      <w:r>
        <w:rPr>
          <w:lang w:val="hy-AM"/>
        </w:rPr>
        <w:t>ում</w:t>
      </w:r>
      <w:r w:rsidRPr="00BE7F99">
        <w:rPr>
          <w:lang w:val="hy-AM"/>
        </w:rPr>
        <w:t xml:space="preserve"> է տրամադրել </w:t>
      </w:r>
      <w:r w:rsidRPr="00CB67A2">
        <w:rPr>
          <w:lang w:val="hy-AM"/>
        </w:rPr>
        <w:t>դրամաշնորհներ</w:t>
      </w:r>
      <w:r w:rsidRPr="00BE7F99">
        <w:rPr>
          <w:lang w:val="hy-AM"/>
        </w:rPr>
        <w:t xml:space="preserve"> համապատասխանաբար 202</w:t>
      </w:r>
      <w:r>
        <w:rPr>
          <w:lang w:val="hy-AM"/>
        </w:rPr>
        <w:t xml:space="preserve">2թ.՝ </w:t>
      </w:r>
      <w:r w:rsidRPr="00A96D10">
        <w:rPr>
          <w:lang w:val="hy-AM"/>
        </w:rPr>
        <w:t>148.8</w:t>
      </w:r>
      <w:r w:rsidRPr="00BE7F99">
        <w:rPr>
          <w:lang w:val="hy-AM"/>
        </w:rPr>
        <w:t xml:space="preserve"> մլրդ դրամ</w:t>
      </w:r>
      <w:r>
        <w:rPr>
          <w:lang w:val="hy-AM"/>
        </w:rPr>
        <w:t>,</w:t>
      </w:r>
      <w:r w:rsidRPr="00BE7F99">
        <w:rPr>
          <w:lang w:val="hy-AM"/>
        </w:rPr>
        <w:t xml:space="preserve"> 202</w:t>
      </w:r>
      <w:r>
        <w:rPr>
          <w:lang w:val="hy-AM"/>
        </w:rPr>
        <w:t>3</w:t>
      </w:r>
      <w:r w:rsidRPr="00BE7F99">
        <w:rPr>
          <w:lang w:val="hy-AM"/>
        </w:rPr>
        <w:t>թ</w:t>
      </w:r>
      <w:r>
        <w:rPr>
          <w:lang w:val="hy-AM"/>
        </w:rPr>
        <w:t>.՝</w:t>
      </w:r>
      <w:r w:rsidRPr="00BE7F99">
        <w:rPr>
          <w:lang w:val="hy-AM"/>
        </w:rPr>
        <w:t xml:space="preserve"> </w:t>
      </w:r>
      <w:r w:rsidRPr="00A96D10">
        <w:rPr>
          <w:lang w:val="hy-AM"/>
        </w:rPr>
        <w:t>156.5</w:t>
      </w:r>
      <w:r w:rsidRPr="00BE7F99">
        <w:rPr>
          <w:lang w:val="hy-AM"/>
        </w:rPr>
        <w:t xml:space="preserve"> մլրդ դրամ</w:t>
      </w:r>
      <w:r>
        <w:rPr>
          <w:lang w:val="hy-AM"/>
        </w:rPr>
        <w:t xml:space="preserve"> և</w:t>
      </w:r>
      <w:r w:rsidRPr="00BE7F99">
        <w:rPr>
          <w:lang w:val="hy-AM"/>
        </w:rPr>
        <w:t xml:space="preserve"> 202</w:t>
      </w:r>
      <w:r>
        <w:rPr>
          <w:lang w:val="hy-AM"/>
        </w:rPr>
        <w:t>4</w:t>
      </w:r>
      <w:r w:rsidRPr="00BE7F99">
        <w:rPr>
          <w:lang w:val="hy-AM"/>
        </w:rPr>
        <w:t xml:space="preserve"> թվականին՝ </w:t>
      </w:r>
      <w:r w:rsidRPr="00A96D10">
        <w:rPr>
          <w:lang w:val="hy-AM"/>
        </w:rPr>
        <w:t>162.8</w:t>
      </w:r>
      <w:r w:rsidRPr="00BE7F99">
        <w:rPr>
          <w:lang w:val="hy-AM"/>
        </w:rPr>
        <w:t xml:space="preserve"> մլրդ դրամ: </w:t>
      </w:r>
    </w:p>
    <w:p w14:paraId="1BCA0C05" w14:textId="77777777" w:rsidR="00B11AEF" w:rsidRPr="00BE7F99" w:rsidRDefault="00B11AEF" w:rsidP="00B11AEF">
      <w:pPr>
        <w:spacing w:line="276" w:lineRule="auto"/>
        <w:rPr>
          <w:lang w:val="hy-AM"/>
        </w:rPr>
      </w:pPr>
      <w:r w:rsidRPr="00BE7F99">
        <w:rPr>
          <w:lang w:val="hy-AM"/>
        </w:rPr>
        <w:t>202</w:t>
      </w:r>
      <w:r>
        <w:rPr>
          <w:lang w:val="hy-AM"/>
        </w:rPr>
        <w:t>2</w:t>
      </w:r>
      <w:r w:rsidRPr="00BE7F99">
        <w:rPr>
          <w:lang w:val="hy-AM"/>
        </w:rPr>
        <w:t>-202</w:t>
      </w:r>
      <w:r>
        <w:rPr>
          <w:lang w:val="hy-AM"/>
        </w:rPr>
        <w:t>4</w:t>
      </w:r>
      <w:r w:rsidRPr="00BE7F99">
        <w:rPr>
          <w:lang w:val="hy-AM"/>
        </w:rPr>
        <w:t xml:space="preserve"> թվականների </w:t>
      </w:r>
      <w:r w:rsidRPr="009F4109">
        <w:rPr>
          <w:lang w:val="hy-AM"/>
        </w:rPr>
        <w:t>մ</w:t>
      </w:r>
      <w:r w:rsidRPr="00BE7F99">
        <w:rPr>
          <w:lang w:val="hy-AM"/>
        </w:rPr>
        <w:t xml:space="preserve">իջնաժամկետ ժամանակահատվածում Սահմանամերձ համայնքների սոցիալական աջակցության մասին ՀՀ օրենքի կիրարկմամբ պայմանավորված նախատեսվել է պետական աջակցություն տրամադրել սահմանամերձ համայնքներին՝ յուրաքանչյուր տարվա համար </w:t>
      </w:r>
      <w:r>
        <w:rPr>
          <w:lang w:val="hy-AM"/>
        </w:rPr>
        <w:t>1.2</w:t>
      </w:r>
      <w:r w:rsidRPr="009F4109">
        <w:rPr>
          <w:lang w:val="hy-AM"/>
        </w:rPr>
        <w:t xml:space="preserve"> </w:t>
      </w:r>
      <w:r w:rsidRPr="00BE7F99">
        <w:rPr>
          <w:lang w:val="hy-AM"/>
        </w:rPr>
        <w:t>մլրդ դրամի չափով:</w:t>
      </w:r>
    </w:p>
    <w:p w14:paraId="313BDAFB" w14:textId="77777777" w:rsidR="00B11AEF" w:rsidRDefault="00B11AEF" w:rsidP="00B11AEF">
      <w:pPr>
        <w:rPr>
          <w:rFonts w:cs="Sylfaen"/>
          <w:b/>
          <w:sz w:val="20"/>
          <w:szCs w:val="20"/>
          <w:lang w:val="hy-AM"/>
        </w:rPr>
      </w:pPr>
    </w:p>
    <w:p w14:paraId="604CADBE" w14:textId="77777777" w:rsidR="00B11AEF" w:rsidRPr="00824F14" w:rsidRDefault="00B11AEF" w:rsidP="00B11AEF">
      <w:pPr>
        <w:rPr>
          <w:i/>
          <w:sz w:val="20"/>
          <w:szCs w:val="20"/>
          <w:lang w:val="hy-AM"/>
        </w:rPr>
      </w:pPr>
      <w:r w:rsidRPr="00824F14">
        <w:rPr>
          <w:rFonts w:cs="Sylfaen"/>
          <w:b/>
          <w:sz w:val="20"/>
          <w:szCs w:val="20"/>
          <w:lang w:val="hy-AM"/>
        </w:rPr>
        <w:t>Աղյուսակ</w:t>
      </w:r>
      <w:r w:rsidRPr="00824F14">
        <w:rPr>
          <w:b/>
          <w:sz w:val="20"/>
          <w:szCs w:val="20"/>
          <w:lang w:val="af-ZA"/>
        </w:rPr>
        <w:t xml:space="preserve"> 4.4</w:t>
      </w:r>
      <w:r w:rsidRPr="00824F14">
        <w:rPr>
          <w:b/>
          <w:sz w:val="20"/>
          <w:szCs w:val="20"/>
          <w:lang w:val="hy-AM"/>
        </w:rPr>
        <w:t>.</w:t>
      </w:r>
      <w:r w:rsidRPr="00824F14">
        <w:rPr>
          <w:b/>
          <w:sz w:val="20"/>
          <w:szCs w:val="20"/>
          <w:lang w:val="af-ZA"/>
        </w:rPr>
        <w:t>2</w:t>
      </w:r>
      <w:r w:rsidRPr="00824F14">
        <w:rPr>
          <w:sz w:val="20"/>
          <w:szCs w:val="20"/>
          <w:lang w:val="af-ZA"/>
        </w:rPr>
        <w:t xml:space="preserve"> </w:t>
      </w:r>
      <w:r w:rsidRPr="00824F14">
        <w:rPr>
          <w:i/>
          <w:sz w:val="20"/>
          <w:szCs w:val="20"/>
          <w:lang w:val="af-ZA"/>
        </w:rPr>
        <w:t>202</w:t>
      </w:r>
      <w:r>
        <w:rPr>
          <w:i/>
          <w:sz w:val="20"/>
          <w:szCs w:val="20"/>
          <w:lang w:val="af-ZA"/>
        </w:rPr>
        <w:t>1</w:t>
      </w:r>
      <w:r w:rsidRPr="00824F14">
        <w:rPr>
          <w:i/>
          <w:sz w:val="20"/>
          <w:szCs w:val="20"/>
          <w:lang w:val="af-ZA"/>
        </w:rPr>
        <w:t>-202</w:t>
      </w:r>
      <w:r>
        <w:rPr>
          <w:i/>
          <w:sz w:val="20"/>
          <w:szCs w:val="20"/>
          <w:lang w:val="af-ZA"/>
        </w:rPr>
        <w:t>4</w:t>
      </w:r>
      <w:r w:rsidRPr="00824F14">
        <w:rPr>
          <w:i/>
          <w:sz w:val="20"/>
          <w:szCs w:val="20"/>
          <w:lang w:val="it-IT"/>
        </w:rPr>
        <w:t>թթ</w:t>
      </w:r>
      <w:r w:rsidRPr="00824F14">
        <w:rPr>
          <w:i/>
          <w:sz w:val="20"/>
          <w:szCs w:val="20"/>
          <w:lang w:val="af-ZA"/>
        </w:rPr>
        <w:t xml:space="preserve"> </w:t>
      </w:r>
      <w:r w:rsidRPr="00824F14">
        <w:rPr>
          <w:rFonts w:cs="Sylfaen"/>
          <w:i/>
          <w:sz w:val="20"/>
          <w:szCs w:val="20"/>
          <w:lang w:val="hy-AM"/>
        </w:rPr>
        <w:t>ընթացիկ</w:t>
      </w:r>
      <w:r w:rsidRPr="00824F14">
        <w:rPr>
          <w:i/>
          <w:sz w:val="20"/>
          <w:szCs w:val="20"/>
          <w:lang w:val="hy-AM"/>
        </w:rPr>
        <w:t xml:space="preserve"> </w:t>
      </w:r>
      <w:r w:rsidRPr="00824F14">
        <w:rPr>
          <w:rFonts w:cs="Sylfaen"/>
          <w:i/>
          <w:sz w:val="20"/>
          <w:szCs w:val="20"/>
          <w:lang w:val="hy-AM"/>
        </w:rPr>
        <w:t>ծախսերի</w:t>
      </w:r>
      <w:r w:rsidRPr="00824F14">
        <w:rPr>
          <w:i/>
          <w:sz w:val="20"/>
          <w:szCs w:val="20"/>
          <w:lang w:val="hy-AM"/>
        </w:rPr>
        <w:t xml:space="preserve"> ֆինանսավորման կառուցվածը ըստ տնտեսագիտական դասակարգման</w:t>
      </w:r>
    </w:p>
    <w:p w14:paraId="78B234B3" w14:textId="77777777" w:rsidR="00B11AEF" w:rsidRDefault="00B11AEF" w:rsidP="00B11AEF">
      <w:pPr>
        <w:jc w:val="right"/>
        <w:rPr>
          <w:sz w:val="20"/>
          <w:szCs w:val="20"/>
          <w:lang w:val="hy-AM"/>
        </w:rPr>
      </w:pPr>
      <w:r w:rsidRPr="00E450F5">
        <w:rPr>
          <w:sz w:val="20"/>
          <w:szCs w:val="20"/>
          <w:lang w:val="hy-AM"/>
        </w:rPr>
        <w:t xml:space="preserve">մլն դրամ </w:t>
      </w:r>
    </w:p>
    <w:tbl>
      <w:tblPr>
        <w:tblW w:w="9771" w:type="dxa"/>
        <w:tblLook w:val="04A0" w:firstRow="1" w:lastRow="0" w:firstColumn="1" w:lastColumn="0" w:noHBand="0" w:noVBand="1"/>
      </w:tblPr>
      <w:tblGrid>
        <w:gridCol w:w="3421"/>
        <w:gridCol w:w="1814"/>
        <w:gridCol w:w="1559"/>
        <w:gridCol w:w="1418"/>
        <w:gridCol w:w="1559"/>
      </w:tblGrid>
      <w:tr w:rsidR="00B11AEF" w:rsidRPr="004C7D07" w14:paraId="5A4152EC" w14:textId="77777777" w:rsidTr="00B11AEF">
        <w:trPr>
          <w:trHeight w:val="915"/>
        </w:trPr>
        <w:tc>
          <w:tcPr>
            <w:tcW w:w="3421" w:type="dxa"/>
            <w:tcBorders>
              <w:top w:val="single" w:sz="8" w:space="0" w:color="auto"/>
              <w:left w:val="single" w:sz="8" w:space="0" w:color="auto"/>
              <w:bottom w:val="single" w:sz="8" w:space="0" w:color="auto"/>
              <w:right w:val="single" w:sz="8" w:space="0" w:color="auto"/>
            </w:tcBorders>
            <w:shd w:val="clear" w:color="000000" w:fill="2E74B5"/>
            <w:vAlign w:val="center"/>
            <w:hideMark/>
          </w:tcPr>
          <w:p w14:paraId="679CBFB2"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Ցուցանիշներ</w:t>
            </w:r>
          </w:p>
        </w:tc>
        <w:tc>
          <w:tcPr>
            <w:tcW w:w="1814" w:type="dxa"/>
            <w:tcBorders>
              <w:top w:val="single" w:sz="8" w:space="0" w:color="auto"/>
              <w:left w:val="nil"/>
              <w:bottom w:val="single" w:sz="8" w:space="0" w:color="auto"/>
              <w:right w:val="single" w:sz="8" w:space="0" w:color="auto"/>
            </w:tcBorders>
            <w:shd w:val="clear" w:color="000000" w:fill="2E74B5"/>
            <w:vAlign w:val="center"/>
            <w:hideMark/>
          </w:tcPr>
          <w:p w14:paraId="0372F57F"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2021թ հաստատված</w:t>
            </w:r>
          </w:p>
        </w:tc>
        <w:tc>
          <w:tcPr>
            <w:tcW w:w="1559" w:type="dxa"/>
            <w:tcBorders>
              <w:top w:val="single" w:sz="8" w:space="0" w:color="auto"/>
              <w:left w:val="nil"/>
              <w:bottom w:val="single" w:sz="8" w:space="0" w:color="auto"/>
              <w:right w:val="single" w:sz="8" w:space="0" w:color="auto"/>
            </w:tcBorders>
            <w:shd w:val="clear" w:color="000000" w:fill="2E74B5"/>
            <w:vAlign w:val="center"/>
            <w:hideMark/>
          </w:tcPr>
          <w:p w14:paraId="6C40B6D7"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2022թ ծրագիր</w:t>
            </w:r>
          </w:p>
        </w:tc>
        <w:tc>
          <w:tcPr>
            <w:tcW w:w="1418" w:type="dxa"/>
            <w:tcBorders>
              <w:top w:val="single" w:sz="8" w:space="0" w:color="auto"/>
              <w:left w:val="nil"/>
              <w:bottom w:val="single" w:sz="8" w:space="0" w:color="auto"/>
              <w:right w:val="single" w:sz="8" w:space="0" w:color="auto"/>
            </w:tcBorders>
            <w:shd w:val="clear" w:color="000000" w:fill="2E74B5"/>
            <w:vAlign w:val="center"/>
            <w:hideMark/>
          </w:tcPr>
          <w:p w14:paraId="09B34EAB"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2023թ  ծրագիր</w:t>
            </w:r>
          </w:p>
        </w:tc>
        <w:tc>
          <w:tcPr>
            <w:tcW w:w="1559" w:type="dxa"/>
            <w:tcBorders>
              <w:top w:val="single" w:sz="8" w:space="0" w:color="auto"/>
              <w:left w:val="nil"/>
              <w:bottom w:val="single" w:sz="8" w:space="0" w:color="auto"/>
              <w:right w:val="single" w:sz="8" w:space="0" w:color="auto"/>
            </w:tcBorders>
            <w:shd w:val="clear" w:color="000000" w:fill="2E74B5"/>
            <w:vAlign w:val="center"/>
            <w:hideMark/>
          </w:tcPr>
          <w:p w14:paraId="3EDDB3A3" w14:textId="77777777" w:rsidR="00B11AEF" w:rsidRPr="004C7D07" w:rsidRDefault="00B11AEF" w:rsidP="00B11AEF">
            <w:pPr>
              <w:spacing w:before="0" w:after="0" w:line="240" w:lineRule="auto"/>
              <w:ind w:firstLine="0"/>
              <w:jc w:val="center"/>
              <w:rPr>
                <w:rFonts w:eastAsia="Times New Roman" w:cs="Arial"/>
                <w:color w:val="FFFFFF"/>
                <w:sz w:val="20"/>
                <w:szCs w:val="20"/>
              </w:rPr>
            </w:pPr>
            <w:r w:rsidRPr="004C7D07">
              <w:rPr>
                <w:rFonts w:eastAsia="Times New Roman" w:cs="Arial"/>
                <w:color w:val="FFFFFF"/>
                <w:sz w:val="20"/>
                <w:szCs w:val="20"/>
              </w:rPr>
              <w:t>2024թ ծրագիր</w:t>
            </w:r>
          </w:p>
        </w:tc>
      </w:tr>
      <w:tr w:rsidR="00B11AEF" w:rsidRPr="004C7D07" w14:paraId="6F731B69" w14:textId="77777777" w:rsidTr="00B11AEF">
        <w:trPr>
          <w:trHeight w:val="907"/>
        </w:trPr>
        <w:tc>
          <w:tcPr>
            <w:tcW w:w="3421" w:type="dxa"/>
            <w:tcBorders>
              <w:top w:val="nil"/>
              <w:left w:val="single" w:sz="8" w:space="0" w:color="auto"/>
              <w:bottom w:val="single" w:sz="8" w:space="0" w:color="auto"/>
              <w:right w:val="single" w:sz="8" w:space="0" w:color="auto"/>
            </w:tcBorders>
            <w:shd w:val="clear" w:color="000000" w:fill="D5DCE4"/>
            <w:vAlign w:val="center"/>
            <w:hideMark/>
          </w:tcPr>
          <w:p w14:paraId="1717185B" w14:textId="77777777" w:rsidR="00B11AEF" w:rsidRPr="004C7D07" w:rsidRDefault="00B11AEF" w:rsidP="00B11AEF">
            <w:pPr>
              <w:spacing w:before="0" w:after="0" w:line="240" w:lineRule="auto"/>
              <w:ind w:firstLine="0"/>
              <w:rPr>
                <w:rFonts w:eastAsia="Times New Roman" w:cs="Arial"/>
                <w:b/>
                <w:bCs/>
                <w:sz w:val="20"/>
                <w:szCs w:val="20"/>
              </w:rPr>
            </w:pPr>
            <w:r w:rsidRPr="004C7D07">
              <w:rPr>
                <w:rFonts w:eastAsia="Times New Roman" w:cs="Arial"/>
                <w:b/>
                <w:bCs/>
                <w:sz w:val="20"/>
                <w:szCs w:val="20"/>
              </w:rPr>
              <w:t>ԸՆԹԱՑԻԿ ԾԱԽՍԵՐ</w:t>
            </w:r>
          </w:p>
        </w:tc>
        <w:tc>
          <w:tcPr>
            <w:tcW w:w="1814" w:type="dxa"/>
            <w:tcBorders>
              <w:top w:val="nil"/>
              <w:left w:val="nil"/>
              <w:bottom w:val="single" w:sz="8" w:space="0" w:color="auto"/>
              <w:right w:val="single" w:sz="8" w:space="0" w:color="auto"/>
            </w:tcBorders>
            <w:shd w:val="clear" w:color="000000" w:fill="D5DCE4"/>
            <w:noWrap/>
            <w:vAlign w:val="center"/>
            <w:hideMark/>
          </w:tcPr>
          <w:p w14:paraId="6C0E0EC2" w14:textId="77777777" w:rsidR="00B11AEF" w:rsidRPr="004C7D07" w:rsidRDefault="00B11AEF" w:rsidP="00B11AEF">
            <w:pPr>
              <w:spacing w:before="0" w:after="0" w:line="240" w:lineRule="auto"/>
              <w:ind w:firstLine="0"/>
              <w:jc w:val="center"/>
              <w:rPr>
                <w:rFonts w:ascii="Arial" w:eastAsia="Times New Roman" w:hAnsi="Arial" w:cs="Arial"/>
                <w:b/>
                <w:bCs/>
                <w:sz w:val="20"/>
                <w:szCs w:val="20"/>
              </w:rPr>
            </w:pPr>
            <w:r w:rsidRPr="004C7D07">
              <w:rPr>
                <w:rFonts w:ascii="Arial" w:eastAsia="Times New Roman" w:hAnsi="Arial" w:cs="Arial"/>
                <w:b/>
                <w:bCs/>
                <w:sz w:val="20"/>
                <w:szCs w:val="20"/>
              </w:rPr>
              <w:t>1,634,558.6</w:t>
            </w:r>
          </w:p>
        </w:tc>
        <w:tc>
          <w:tcPr>
            <w:tcW w:w="1559" w:type="dxa"/>
            <w:tcBorders>
              <w:top w:val="nil"/>
              <w:left w:val="nil"/>
              <w:bottom w:val="single" w:sz="8" w:space="0" w:color="auto"/>
              <w:right w:val="single" w:sz="8" w:space="0" w:color="auto"/>
            </w:tcBorders>
            <w:shd w:val="clear" w:color="000000" w:fill="D5DCE4"/>
            <w:noWrap/>
            <w:vAlign w:val="center"/>
            <w:hideMark/>
          </w:tcPr>
          <w:p w14:paraId="72590F0D" w14:textId="77777777" w:rsidR="00B11AEF" w:rsidRPr="004C7D07" w:rsidRDefault="00B11AEF" w:rsidP="00B11AEF">
            <w:pPr>
              <w:spacing w:before="0" w:after="0" w:line="240" w:lineRule="auto"/>
              <w:ind w:firstLine="0"/>
              <w:jc w:val="center"/>
              <w:rPr>
                <w:rFonts w:ascii="Arial" w:eastAsia="Times New Roman" w:hAnsi="Arial" w:cs="Arial"/>
                <w:b/>
                <w:bCs/>
                <w:sz w:val="20"/>
                <w:szCs w:val="20"/>
              </w:rPr>
            </w:pPr>
            <w:r w:rsidRPr="004C7D07">
              <w:rPr>
                <w:rFonts w:ascii="Arial" w:eastAsia="Times New Roman" w:hAnsi="Arial" w:cs="Arial"/>
                <w:b/>
                <w:bCs/>
                <w:sz w:val="20"/>
                <w:szCs w:val="20"/>
              </w:rPr>
              <w:t>1,708,342.4</w:t>
            </w:r>
          </w:p>
        </w:tc>
        <w:tc>
          <w:tcPr>
            <w:tcW w:w="1418" w:type="dxa"/>
            <w:tcBorders>
              <w:top w:val="nil"/>
              <w:left w:val="nil"/>
              <w:bottom w:val="single" w:sz="8" w:space="0" w:color="auto"/>
              <w:right w:val="single" w:sz="8" w:space="0" w:color="auto"/>
            </w:tcBorders>
            <w:shd w:val="clear" w:color="000000" w:fill="D5DCE4"/>
            <w:noWrap/>
            <w:vAlign w:val="center"/>
            <w:hideMark/>
          </w:tcPr>
          <w:p w14:paraId="5DA35930" w14:textId="77777777" w:rsidR="00B11AEF" w:rsidRPr="004C7D07" w:rsidRDefault="00B11AEF" w:rsidP="00B11AEF">
            <w:pPr>
              <w:spacing w:before="0" w:after="0" w:line="240" w:lineRule="auto"/>
              <w:ind w:firstLine="0"/>
              <w:jc w:val="center"/>
              <w:rPr>
                <w:rFonts w:ascii="Arial" w:eastAsia="Times New Roman" w:hAnsi="Arial" w:cs="Arial"/>
                <w:b/>
                <w:bCs/>
                <w:sz w:val="20"/>
                <w:szCs w:val="20"/>
              </w:rPr>
            </w:pPr>
            <w:r w:rsidRPr="004C7D07">
              <w:rPr>
                <w:rFonts w:ascii="Arial" w:eastAsia="Times New Roman" w:hAnsi="Arial" w:cs="Arial"/>
                <w:b/>
                <w:bCs/>
                <w:sz w:val="20"/>
                <w:szCs w:val="20"/>
              </w:rPr>
              <w:t>1,827,349.5</w:t>
            </w:r>
          </w:p>
        </w:tc>
        <w:tc>
          <w:tcPr>
            <w:tcW w:w="1559" w:type="dxa"/>
            <w:tcBorders>
              <w:top w:val="nil"/>
              <w:left w:val="nil"/>
              <w:bottom w:val="single" w:sz="8" w:space="0" w:color="auto"/>
              <w:right w:val="single" w:sz="8" w:space="0" w:color="auto"/>
            </w:tcBorders>
            <w:shd w:val="clear" w:color="000000" w:fill="D5DCE4"/>
            <w:noWrap/>
            <w:vAlign w:val="center"/>
            <w:hideMark/>
          </w:tcPr>
          <w:p w14:paraId="5EA15CD4" w14:textId="77777777" w:rsidR="00B11AEF" w:rsidRPr="004C7D07" w:rsidRDefault="00B11AEF" w:rsidP="00B11AEF">
            <w:pPr>
              <w:spacing w:before="0" w:after="0" w:line="240" w:lineRule="auto"/>
              <w:ind w:firstLine="0"/>
              <w:jc w:val="center"/>
              <w:rPr>
                <w:rFonts w:ascii="Arial" w:eastAsia="Times New Roman" w:hAnsi="Arial" w:cs="Arial"/>
                <w:b/>
                <w:bCs/>
                <w:sz w:val="20"/>
                <w:szCs w:val="20"/>
              </w:rPr>
            </w:pPr>
            <w:r w:rsidRPr="004C7D07">
              <w:rPr>
                <w:rFonts w:ascii="Arial" w:eastAsia="Times New Roman" w:hAnsi="Arial" w:cs="Arial"/>
                <w:b/>
                <w:bCs/>
                <w:sz w:val="20"/>
                <w:szCs w:val="20"/>
              </w:rPr>
              <w:t>1,958,136.8</w:t>
            </w:r>
          </w:p>
        </w:tc>
      </w:tr>
      <w:tr w:rsidR="00B11AEF" w:rsidRPr="004C7D07" w14:paraId="7635A101" w14:textId="77777777" w:rsidTr="00B11AEF">
        <w:trPr>
          <w:trHeight w:val="675"/>
        </w:trPr>
        <w:tc>
          <w:tcPr>
            <w:tcW w:w="3421" w:type="dxa"/>
            <w:tcBorders>
              <w:top w:val="nil"/>
              <w:left w:val="single" w:sz="8" w:space="0" w:color="auto"/>
              <w:bottom w:val="single" w:sz="8" w:space="0" w:color="auto"/>
              <w:right w:val="single" w:sz="8" w:space="0" w:color="auto"/>
            </w:tcBorders>
            <w:shd w:val="clear" w:color="000000" w:fill="FFFFFF"/>
            <w:vAlign w:val="center"/>
            <w:hideMark/>
          </w:tcPr>
          <w:p w14:paraId="2DEF88A7" w14:textId="77777777" w:rsidR="00B11AEF" w:rsidRPr="004C7D07" w:rsidRDefault="00B11AEF" w:rsidP="00B11AEF">
            <w:pPr>
              <w:spacing w:before="0" w:after="0" w:line="240" w:lineRule="auto"/>
              <w:ind w:firstLine="0"/>
              <w:rPr>
                <w:rFonts w:eastAsia="Times New Roman" w:cs="Arial"/>
                <w:b/>
                <w:bCs/>
                <w:sz w:val="20"/>
                <w:szCs w:val="20"/>
              </w:rPr>
            </w:pPr>
            <w:r w:rsidRPr="004C7D07">
              <w:rPr>
                <w:rFonts w:eastAsia="Times New Roman" w:cs="Arial"/>
                <w:b/>
                <w:bCs/>
                <w:sz w:val="20"/>
                <w:szCs w:val="20"/>
              </w:rPr>
              <w:t>այդ թվում՝</w:t>
            </w:r>
          </w:p>
        </w:tc>
        <w:tc>
          <w:tcPr>
            <w:tcW w:w="1814" w:type="dxa"/>
            <w:tcBorders>
              <w:top w:val="nil"/>
              <w:left w:val="nil"/>
              <w:bottom w:val="single" w:sz="8" w:space="0" w:color="auto"/>
              <w:right w:val="single" w:sz="8" w:space="0" w:color="auto"/>
            </w:tcBorders>
            <w:shd w:val="clear" w:color="000000" w:fill="FFFFFF"/>
            <w:noWrap/>
            <w:vAlign w:val="center"/>
            <w:hideMark/>
          </w:tcPr>
          <w:p w14:paraId="595A2BBC" w14:textId="77777777" w:rsidR="00B11AEF" w:rsidRPr="004C7D07" w:rsidRDefault="00B11AEF" w:rsidP="00B11AEF">
            <w:pPr>
              <w:spacing w:before="0" w:after="0" w:line="240" w:lineRule="auto"/>
              <w:ind w:firstLine="0"/>
              <w:jc w:val="left"/>
              <w:rPr>
                <w:rFonts w:ascii="Calibri" w:eastAsia="Times New Roman" w:hAnsi="Calibri" w:cs="Calibri"/>
              </w:rPr>
            </w:pPr>
            <w:r w:rsidRPr="004C7D07">
              <w:rPr>
                <w:rFonts w:ascii="Calibri" w:eastAsia="Times New Roman" w:hAnsi="Calibri" w:cs="Calibri"/>
              </w:rPr>
              <w:t> </w:t>
            </w:r>
          </w:p>
        </w:tc>
        <w:tc>
          <w:tcPr>
            <w:tcW w:w="1559" w:type="dxa"/>
            <w:tcBorders>
              <w:top w:val="nil"/>
              <w:left w:val="nil"/>
              <w:bottom w:val="single" w:sz="8" w:space="0" w:color="auto"/>
              <w:right w:val="single" w:sz="8" w:space="0" w:color="auto"/>
            </w:tcBorders>
            <w:shd w:val="clear" w:color="000000" w:fill="FFFFFF"/>
            <w:noWrap/>
            <w:vAlign w:val="center"/>
            <w:hideMark/>
          </w:tcPr>
          <w:p w14:paraId="734CA68F" w14:textId="77777777" w:rsidR="00B11AEF" w:rsidRPr="004C7D07" w:rsidRDefault="00B11AEF" w:rsidP="00B11AEF">
            <w:pPr>
              <w:spacing w:before="0" w:after="0" w:line="240" w:lineRule="auto"/>
              <w:ind w:firstLine="0"/>
              <w:jc w:val="left"/>
              <w:rPr>
                <w:rFonts w:ascii="Calibri" w:eastAsia="Times New Roman" w:hAnsi="Calibri" w:cs="Calibri"/>
              </w:rPr>
            </w:pPr>
            <w:r w:rsidRPr="004C7D07">
              <w:rPr>
                <w:rFonts w:ascii="Calibri" w:eastAsia="Times New Roman" w:hAnsi="Calibri" w:cs="Calibri"/>
              </w:rPr>
              <w:t> </w:t>
            </w:r>
          </w:p>
        </w:tc>
        <w:tc>
          <w:tcPr>
            <w:tcW w:w="1418" w:type="dxa"/>
            <w:tcBorders>
              <w:top w:val="nil"/>
              <w:left w:val="nil"/>
              <w:bottom w:val="single" w:sz="8" w:space="0" w:color="auto"/>
              <w:right w:val="single" w:sz="8" w:space="0" w:color="auto"/>
            </w:tcBorders>
            <w:shd w:val="clear" w:color="000000" w:fill="FFFFFF"/>
            <w:noWrap/>
            <w:vAlign w:val="center"/>
            <w:hideMark/>
          </w:tcPr>
          <w:p w14:paraId="5E9E9EEE" w14:textId="77777777" w:rsidR="00B11AEF" w:rsidRPr="004C7D07" w:rsidRDefault="00B11AEF" w:rsidP="00B11AEF">
            <w:pPr>
              <w:spacing w:before="0" w:after="0" w:line="240" w:lineRule="auto"/>
              <w:ind w:firstLine="0"/>
              <w:jc w:val="left"/>
              <w:rPr>
                <w:rFonts w:ascii="Calibri" w:eastAsia="Times New Roman" w:hAnsi="Calibri" w:cs="Calibri"/>
              </w:rPr>
            </w:pPr>
            <w:r w:rsidRPr="004C7D07">
              <w:rPr>
                <w:rFonts w:ascii="Calibri" w:eastAsia="Times New Roman" w:hAnsi="Calibri" w:cs="Calibri"/>
              </w:rPr>
              <w:t> </w:t>
            </w:r>
          </w:p>
        </w:tc>
        <w:tc>
          <w:tcPr>
            <w:tcW w:w="1559" w:type="dxa"/>
            <w:tcBorders>
              <w:top w:val="nil"/>
              <w:left w:val="nil"/>
              <w:bottom w:val="single" w:sz="8" w:space="0" w:color="auto"/>
              <w:right w:val="single" w:sz="8" w:space="0" w:color="auto"/>
            </w:tcBorders>
            <w:shd w:val="clear" w:color="000000" w:fill="FFFFFF"/>
            <w:noWrap/>
            <w:vAlign w:val="center"/>
            <w:hideMark/>
          </w:tcPr>
          <w:p w14:paraId="0643E85B" w14:textId="77777777" w:rsidR="00B11AEF" w:rsidRPr="004C7D07" w:rsidRDefault="00B11AEF" w:rsidP="00B11AEF">
            <w:pPr>
              <w:spacing w:before="0" w:after="0" w:line="240" w:lineRule="auto"/>
              <w:ind w:firstLine="0"/>
              <w:jc w:val="left"/>
              <w:rPr>
                <w:rFonts w:ascii="Calibri" w:eastAsia="Times New Roman" w:hAnsi="Calibri" w:cs="Calibri"/>
              </w:rPr>
            </w:pPr>
            <w:r w:rsidRPr="004C7D07">
              <w:rPr>
                <w:rFonts w:ascii="Calibri" w:eastAsia="Times New Roman" w:hAnsi="Calibri" w:cs="Calibri"/>
              </w:rPr>
              <w:t> </w:t>
            </w:r>
          </w:p>
        </w:tc>
      </w:tr>
      <w:tr w:rsidR="00B11AEF" w:rsidRPr="004C7D07" w14:paraId="73CA6C99" w14:textId="77777777" w:rsidTr="00B11AEF">
        <w:trPr>
          <w:trHeight w:val="570"/>
        </w:trPr>
        <w:tc>
          <w:tcPr>
            <w:tcW w:w="3421" w:type="dxa"/>
            <w:tcBorders>
              <w:top w:val="nil"/>
              <w:left w:val="single" w:sz="8" w:space="0" w:color="auto"/>
              <w:bottom w:val="single" w:sz="8" w:space="0" w:color="auto"/>
              <w:right w:val="single" w:sz="8" w:space="0" w:color="auto"/>
            </w:tcBorders>
            <w:shd w:val="clear" w:color="000000" w:fill="D5DCE4"/>
            <w:vAlign w:val="center"/>
            <w:hideMark/>
          </w:tcPr>
          <w:p w14:paraId="026E9B2D"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ԱՇԽԱՏԱՆՔԻ ՎԱՐՁԱՏՐՈՒԹՅՈՒՆ</w:t>
            </w:r>
          </w:p>
        </w:tc>
        <w:tc>
          <w:tcPr>
            <w:tcW w:w="1814" w:type="dxa"/>
            <w:tcBorders>
              <w:top w:val="nil"/>
              <w:left w:val="nil"/>
              <w:bottom w:val="single" w:sz="8" w:space="0" w:color="auto"/>
              <w:right w:val="single" w:sz="8" w:space="0" w:color="auto"/>
            </w:tcBorders>
            <w:shd w:val="clear" w:color="000000" w:fill="D5DCE4"/>
            <w:noWrap/>
            <w:vAlign w:val="center"/>
            <w:hideMark/>
          </w:tcPr>
          <w:p w14:paraId="6843D1E8" w14:textId="77777777" w:rsidR="00B11AEF" w:rsidRDefault="00B11AEF" w:rsidP="00B11AEF">
            <w:pPr>
              <w:spacing w:before="0" w:after="0" w:line="240" w:lineRule="auto"/>
              <w:ind w:firstLine="0"/>
              <w:jc w:val="center"/>
              <w:rPr>
                <w:rFonts w:cs="Arial"/>
                <w:sz w:val="20"/>
                <w:szCs w:val="20"/>
              </w:rPr>
            </w:pPr>
            <w:r>
              <w:rPr>
                <w:rFonts w:cs="Arial"/>
                <w:sz w:val="20"/>
                <w:szCs w:val="20"/>
              </w:rPr>
              <w:t>181,075.3</w:t>
            </w:r>
          </w:p>
        </w:tc>
        <w:tc>
          <w:tcPr>
            <w:tcW w:w="1559" w:type="dxa"/>
            <w:tcBorders>
              <w:top w:val="nil"/>
              <w:left w:val="nil"/>
              <w:bottom w:val="single" w:sz="8" w:space="0" w:color="auto"/>
              <w:right w:val="single" w:sz="8" w:space="0" w:color="auto"/>
            </w:tcBorders>
            <w:shd w:val="clear" w:color="000000" w:fill="D5DCE4"/>
            <w:noWrap/>
            <w:vAlign w:val="center"/>
            <w:hideMark/>
          </w:tcPr>
          <w:p w14:paraId="0CD892D8" w14:textId="77777777" w:rsidR="00B11AEF" w:rsidRDefault="00B11AEF" w:rsidP="00B11AEF">
            <w:pPr>
              <w:ind w:firstLine="0"/>
              <w:jc w:val="center"/>
              <w:rPr>
                <w:rFonts w:cs="Arial"/>
                <w:sz w:val="20"/>
                <w:szCs w:val="20"/>
              </w:rPr>
            </w:pPr>
            <w:r>
              <w:rPr>
                <w:rFonts w:cs="Arial"/>
                <w:sz w:val="20"/>
                <w:szCs w:val="20"/>
              </w:rPr>
              <w:t>179,872.7</w:t>
            </w:r>
          </w:p>
        </w:tc>
        <w:tc>
          <w:tcPr>
            <w:tcW w:w="1418" w:type="dxa"/>
            <w:tcBorders>
              <w:top w:val="nil"/>
              <w:left w:val="nil"/>
              <w:bottom w:val="single" w:sz="8" w:space="0" w:color="auto"/>
              <w:right w:val="single" w:sz="8" w:space="0" w:color="auto"/>
            </w:tcBorders>
            <w:shd w:val="clear" w:color="000000" w:fill="D5DCE4"/>
            <w:noWrap/>
            <w:vAlign w:val="center"/>
            <w:hideMark/>
          </w:tcPr>
          <w:p w14:paraId="6B861F9D" w14:textId="77777777" w:rsidR="00B11AEF" w:rsidRDefault="00B11AEF" w:rsidP="00B11AEF">
            <w:pPr>
              <w:ind w:firstLine="0"/>
              <w:jc w:val="center"/>
              <w:rPr>
                <w:rFonts w:cs="Arial"/>
                <w:sz w:val="20"/>
                <w:szCs w:val="20"/>
              </w:rPr>
            </w:pPr>
            <w:r>
              <w:rPr>
                <w:rFonts w:cs="Arial"/>
                <w:sz w:val="20"/>
                <w:szCs w:val="20"/>
              </w:rPr>
              <w:t>181,135.0</w:t>
            </w:r>
          </w:p>
        </w:tc>
        <w:tc>
          <w:tcPr>
            <w:tcW w:w="1559" w:type="dxa"/>
            <w:tcBorders>
              <w:top w:val="nil"/>
              <w:left w:val="nil"/>
              <w:bottom w:val="single" w:sz="8" w:space="0" w:color="auto"/>
              <w:right w:val="single" w:sz="8" w:space="0" w:color="auto"/>
            </w:tcBorders>
            <w:shd w:val="clear" w:color="000000" w:fill="D5DCE4"/>
            <w:noWrap/>
            <w:vAlign w:val="center"/>
            <w:hideMark/>
          </w:tcPr>
          <w:p w14:paraId="1377BE41" w14:textId="77777777" w:rsidR="00B11AEF" w:rsidRDefault="00B11AEF" w:rsidP="00B11AEF">
            <w:pPr>
              <w:ind w:firstLine="0"/>
              <w:jc w:val="center"/>
              <w:rPr>
                <w:rFonts w:cs="Arial"/>
                <w:sz w:val="20"/>
                <w:szCs w:val="20"/>
              </w:rPr>
            </w:pPr>
            <w:r>
              <w:rPr>
                <w:rFonts w:cs="Arial"/>
                <w:sz w:val="20"/>
                <w:szCs w:val="20"/>
              </w:rPr>
              <w:t>181,873.1</w:t>
            </w:r>
          </w:p>
        </w:tc>
      </w:tr>
      <w:tr w:rsidR="00B11AEF" w:rsidRPr="004C7D07" w14:paraId="6C36F29A" w14:textId="77777777" w:rsidTr="00B11AEF">
        <w:trPr>
          <w:trHeight w:val="720"/>
        </w:trPr>
        <w:tc>
          <w:tcPr>
            <w:tcW w:w="3421" w:type="dxa"/>
            <w:tcBorders>
              <w:top w:val="nil"/>
              <w:left w:val="single" w:sz="8" w:space="0" w:color="auto"/>
              <w:bottom w:val="single" w:sz="8" w:space="0" w:color="auto"/>
              <w:right w:val="single" w:sz="8" w:space="0" w:color="auto"/>
            </w:tcBorders>
            <w:shd w:val="clear" w:color="000000" w:fill="FFFFFF"/>
            <w:vAlign w:val="center"/>
            <w:hideMark/>
          </w:tcPr>
          <w:p w14:paraId="37B51122" w14:textId="77777777" w:rsidR="00B11AEF" w:rsidRPr="004C7D07" w:rsidRDefault="00B11AEF" w:rsidP="00B11AEF">
            <w:pPr>
              <w:spacing w:before="0" w:after="0" w:line="240" w:lineRule="auto"/>
              <w:ind w:firstLine="0"/>
              <w:jc w:val="left"/>
              <w:rPr>
                <w:rFonts w:eastAsia="Times New Roman" w:cs="Arial"/>
                <w:sz w:val="20"/>
                <w:szCs w:val="20"/>
              </w:rPr>
            </w:pPr>
            <w:r w:rsidRPr="004C7D07">
              <w:rPr>
                <w:rFonts w:eastAsia="Times New Roman" w:cs="Arial"/>
                <w:sz w:val="20"/>
                <w:szCs w:val="20"/>
              </w:rPr>
              <w:t>ԾԱՌԱՅՈՒԹՅՈՒՆՆԵՐԻ ԵՎ   ԱՊՐԱՆՔՆԵՐԻ  ՁԵՌՔԲԵՐՈՒՄ</w:t>
            </w:r>
          </w:p>
        </w:tc>
        <w:tc>
          <w:tcPr>
            <w:tcW w:w="1814" w:type="dxa"/>
            <w:tcBorders>
              <w:top w:val="nil"/>
              <w:left w:val="nil"/>
              <w:bottom w:val="single" w:sz="8" w:space="0" w:color="auto"/>
              <w:right w:val="single" w:sz="8" w:space="0" w:color="auto"/>
            </w:tcBorders>
            <w:shd w:val="clear" w:color="000000" w:fill="FFFFFF"/>
            <w:noWrap/>
            <w:vAlign w:val="center"/>
            <w:hideMark/>
          </w:tcPr>
          <w:p w14:paraId="385F2064" w14:textId="77777777" w:rsidR="00B11AEF" w:rsidRDefault="00B11AEF" w:rsidP="00B11AEF">
            <w:pPr>
              <w:rPr>
                <w:rFonts w:cs="Arial"/>
                <w:sz w:val="20"/>
                <w:szCs w:val="20"/>
              </w:rPr>
            </w:pPr>
            <w:r>
              <w:rPr>
                <w:rFonts w:cs="Arial"/>
                <w:sz w:val="20"/>
                <w:szCs w:val="20"/>
              </w:rPr>
              <w:t>169,135.5</w:t>
            </w:r>
          </w:p>
        </w:tc>
        <w:tc>
          <w:tcPr>
            <w:tcW w:w="1559" w:type="dxa"/>
            <w:tcBorders>
              <w:top w:val="nil"/>
              <w:left w:val="nil"/>
              <w:bottom w:val="single" w:sz="8" w:space="0" w:color="auto"/>
              <w:right w:val="single" w:sz="8" w:space="0" w:color="auto"/>
            </w:tcBorders>
            <w:shd w:val="clear" w:color="000000" w:fill="FFFFFF"/>
            <w:noWrap/>
            <w:vAlign w:val="center"/>
            <w:hideMark/>
          </w:tcPr>
          <w:p w14:paraId="346A6A68" w14:textId="77777777" w:rsidR="00B11AEF" w:rsidRDefault="00B11AEF" w:rsidP="00B11AEF">
            <w:pPr>
              <w:ind w:firstLine="0"/>
              <w:jc w:val="center"/>
              <w:rPr>
                <w:rFonts w:cs="Arial"/>
                <w:sz w:val="20"/>
                <w:szCs w:val="20"/>
              </w:rPr>
            </w:pPr>
            <w:r>
              <w:rPr>
                <w:rFonts w:cs="Arial"/>
                <w:sz w:val="20"/>
                <w:szCs w:val="20"/>
              </w:rPr>
              <w:t>154,814.1</w:t>
            </w:r>
          </w:p>
        </w:tc>
        <w:tc>
          <w:tcPr>
            <w:tcW w:w="1418" w:type="dxa"/>
            <w:tcBorders>
              <w:top w:val="nil"/>
              <w:left w:val="nil"/>
              <w:bottom w:val="single" w:sz="8" w:space="0" w:color="auto"/>
              <w:right w:val="single" w:sz="8" w:space="0" w:color="auto"/>
            </w:tcBorders>
            <w:shd w:val="clear" w:color="000000" w:fill="FFFFFF"/>
            <w:noWrap/>
            <w:vAlign w:val="center"/>
            <w:hideMark/>
          </w:tcPr>
          <w:p w14:paraId="7180D598" w14:textId="77777777" w:rsidR="00B11AEF" w:rsidRDefault="00B11AEF" w:rsidP="00B11AEF">
            <w:pPr>
              <w:ind w:firstLine="0"/>
              <w:jc w:val="center"/>
              <w:rPr>
                <w:rFonts w:cs="Arial"/>
                <w:sz w:val="20"/>
                <w:szCs w:val="20"/>
              </w:rPr>
            </w:pPr>
            <w:r>
              <w:rPr>
                <w:rFonts w:cs="Arial"/>
                <w:sz w:val="20"/>
                <w:szCs w:val="20"/>
              </w:rPr>
              <w:t>166,590.0</w:t>
            </w:r>
          </w:p>
        </w:tc>
        <w:tc>
          <w:tcPr>
            <w:tcW w:w="1559" w:type="dxa"/>
            <w:tcBorders>
              <w:top w:val="nil"/>
              <w:left w:val="nil"/>
              <w:bottom w:val="single" w:sz="8" w:space="0" w:color="auto"/>
              <w:right w:val="single" w:sz="8" w:space="0" w:color="auto"/>
            </w:tcBorders>
            <w:shd w:val="clear" w:color="000000" w:fill="FFFFFF"/>
            <w:noWrap/>
            <w:vAlign w:val="center"/>
            <w:hideMark/>
          </w:tcPr>
          <w:p w14:paraId="768F22CC" w14:textId="77777777" w:rsidR="00B11AEF" w:rsidRDefault="00B11AEF" w:rsidP="00B11AEF">
            <w:pPr>
              <w:ind w:firstLine="0"/>
              <w:jc w:val="center"/>
              <w:rPr>
                <w:rFonts w:cs="Arial"/>
                <w:sz w:val="20"/>
                <w:szCs w:val="20"/>
              </w:rPr>
            </w:pPr>
            <w:r>
              <w:rPr>
                <w:rFonts w:cs="Arial"/>
                <w:sz w:val="20"/>
                <w:szCs w:val="20"/>
              </w:rPr>
              <w:t>168,141.6</w:t>
            </w:r>
          </w:p>
        </w:tc>
      </w:tr>
      <w:tr w:rsidR="00B11AEF" w:rsidRPr="004C7D07" w14:paraId="14974350" w14:textId="77777777" w:rsidTr="00B11AEF">
        <w:trPr>
          <w:trHeight w:val="745"/>
        </w:trPr>
        <w:tc>
          <w:tcPr>
            <w:tcW w:w="3421" w:type="dxa"/>
            <w:tcBorders>
              <w:top w:val="nil"/>
              <w:left w:val="single" w:sz="8" w:space="0" w:color="auto"/>
              <w:bottom w:val="single" w:sz="8" w:space="0" w:color="auto"/>
              <w:right w:val="single" w:sz="8" w:space="0" w:color="auto"/>
            </w:tcBorders>
            <w:shd w:val="clear" w:color="000000" w:fill="D5DCE4"/>
            <w:vAlign w:val="center"/>
            <w:hideMark/>
          </w:tcPr>
          <w:p w14:paraId="1305FFF3"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ՏՈԿՈՍԱՎՃԱՐՆԵՐ</w:t>
            </w:r>
          </w:p>
        </w:tc>
        <w:tc>
          <w:tcPr>
            <w:tcW w:w="1814" w:type="dxa"/>
            <w:tcBorders>
              <w:top w:val="nil"/>
              <w:left w:val="nil"/>
              <w:bottom w:val="single" w:sz="8" w:space="0" w:color="auto"/>
              <w:right w:val="single" w:sz="8" w:space="0" w:color="auto"/>
            </w:tcBorders>
            <w:shd w:val="clear" w:color="000000" w:fill="D5DCE4"/>
            <w:noWrap/>
            <w:vAlign w:val="center"/>
            <w:hideMark/>
          </w:tcPr>
          <w:p w14:paraId="6838C672" w14:textId="77777777" w:rsidR="00B11AEF" w:rsidRDefault="00B11AEF" w:rsidP="00B11AEF">
            <w:pPr>
              <w:jc w:val="center"/>
              <w:rPr>
                <w:rFonts w:cs="Arial"/>
                <w:sz w:val="20"/>
                <w:szCs w:val="20"/>
              </w:rPr>
            </w:pPr>
            <w:r>
              <w:rPr>
                <w:rFonts w:cs="Arial"/>
                <w:sz w:val="20"/>
                <w:szCs w:val="20"/>
              </w:rPr>
              <w:t>194,700.1</w:t>
            </w:r>
          </w:p>
        </w:tc>
        <w:tc>
          <w:tcPr>
            <w:tcW w:w="1559" w:type="dxa"/>
            <w:tcBorders>
              <w:top w:val="nil"/>
              <w:left w:val="nil"/>
              <w:bottom w:val="single" w:sz="8" w:space="0" w:color="auto"/>
              <w:right w:val="single" w:sz="8" w:space="0" w:color="auto"/>
            </w:tcBorders>
            <w:shd w:val="clear" w:color="000000" w:fill="D5DCE4"/>
            <w:noWrap/>
            <w:vAlign w:val="center"/>
            <w:hideMark/>
          </w:tcPr>
          <w:p w14:paraId="6521F3F4" w14:textId="77777777" w:rsidR="00B11AEF" w:rsidRDefault="00B11AEF" w:rsidP="00B11AEF">
            <w:pPr>
              <w:ind w:firstLine="0"/>
              <w:jc w:val="center"/>
              <w:rPr>
                <w:rFonts w:cs="Arial"/>
                <w:sz w:val="20"/>
                <w:szCs w:val="20"/>
              </w:rPr>
            </w:pPr>
            <w:r>
              <w:rPr>
                <w:rFonts w:cs="Arial"/>
                <w:sz w:val="20"/>
                <w:szCs w:val="20"/>
              </w:rPr>
              <w:t>215,758.8</w:t>
            </w:r>
          </w:p>
        </w:tc>
        <w:tc>
          <w:tcPr>
            <w:tcW w:w="1418" w:type="dxa"/>
            <w:tcBorders>
              <w:top w:val="nil"/>
              <w:left w:val="nil"/>
              <w:bottom w:val="single" w:sz="8" w:space="0" w:color="auto"/>
              <w:right w:val="single" w:sz="8" w:space="0" w:color="auto"/>
            </w:tcBorders>
            <w:shd w:val="clear" w:color="000000" w:fill="D5DCE4"/>
            <w:noWrap/>
            <w:vAlign w:val="center"/>
            <w:hideMark/>
          </w:tcPr>
          <w:p w14:paraId="6298D119" w14:textId="77777777" w:rsidR="00B11AEF" w:rsidRDefault="00B11AEF" w:rsidP="00B11AEF">
            <w:pPr>
              <w:ind w:firstLine="0"/>
              <w:jc w:val="center"/>
              <w:rPr>
                <w:rFonts w:cs="Arial"/>
                <w:sz w:val="20"/>
                <w:szCs w:val="20"/>
              </w:rPr>
            </w:pPr>
            <w:r>
              <w:rPr>
                <w:rFonts w:cs="Arial"/>
                <w:sz w:val="20"/>
                <w:szCs w:val="20"/>
              </w:rPr>
              <w:t>243,468.2</w:t>
            </w:r>
          </w:p>
        </w:tc>
        <w:tc>
          <w:tcPr>
            <w:tcW w:w="1559" w:type="dxa"/>
            <w:tcBorders>
              <w:top w:val="nil"/>
              <w:left w:val="nil"/>
              <w:bottom w:val="single" w:sz="8" w:space="0" w:color="auto"/>
              <w:right w:val="single" w:sz="8" w:space="0" w:color="auto"/>
            </w:tcBorders>
            <w:shd w:val="clear" w:color="000000" w:fill="D5DCE4"/>
            <w:noWrap/>
            <w:vAlign w:val="center"/>
            <w:hideMark/>
          </w:tcPr>
          <w:p w14:paraId="1B9A96C8" w14:textId="77777777" w:rsidR="00B11AEF" w:rsidRDefault="00B11AEF" w:rsidP="00B11AEF">
            <w:pPr>
              <w:ind w:firstLine="0"/>
              <w:jc w:val="center"/>
              <w:rPr>
                <w:rFonts w:cs="Arial"/>
                <w:sz w:val="20"/>
                <w:szCs w:val="20"/>
              </w:rPr>
            </w:pPr>
            <w:r>
              <w:rPr>
                <w:rFonts w:cs="Arial"/>
                <w:sz w:val="20"/>
                <w:szCs w:val="20"/>
              </w:rPr>
              <w:t>268,062.1</w:t>
            </w:r>
          </w:p>
        </w:tc>
      </w:tr>
      <w:tr w:rsidR="00B11AEF" w:rsidRPr="004C7D07" w14:paraId="07BAD96A" w14:textId="77777777" w:rsidTr="00B11AEF">
        <w:trPr>
          <w:trHeight w:val="675"/>
        </w:trPr>
        <w:tc>
          <w:tcPr>
            <w:tcW w:w="3421" w:type="dxa"/>
            <w:tcBorders>
              <w:top w:val="nil"/>
              <w:left w:val="single" w:sz="8" w:space="0" w:color="auto"/>
              <w:bottom w:val="single" w:sz="8" w:space="0" w:color="auto"/>
              <w:right w:val="single" w:sz="8" w:space="0" w:color="auto"/>
            </w:tcBorders>
            <w:shd w:val="clear" w:color="000000" w:fill="FFFFFF"/>
            <w:vAlign w:val="center"/>
            <w:hideMark/>
          </w:tcPr>
          <w:p w14:paraId="09FE0093"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ՍՈՒԲՍԻԴԻԱՆԵՐ</w:t>
            </w:r>
          </w:p>
        </w:tc>
        <w:tc>
          <w:tcPr>
            <w:tcW w:w="1814" w:type="dxa"/>
            <w:tcBorders>
              <w:top w:val="nil"/>
              <w:left w:val="nil"/>
              <w:bottom w:val="single" w:sz="8" w:space="0" w:color="auto"/>
              <w:right w:val="single" w:sz="8" w:space="0" w:color="auto"/>
            </w:tcBorders>
            <w:shd w:val="clear" w:color="000000" w:fill="FFFFFF"/>
            <w:noWrap/>
            <w:vAlign w:val="center"/>
            <w:hideMark/>
          </w:tcPr>
          <w:p w14:paraId="7068B6D4" w14:textId="77777777" w:rsidR="00B11AEF" w:rsidRDefault="00B11AEF" w:rsidP="00B11AEF">
            <w:pPr>
              <w:jc w:val="center"/>
              <w:rPr>
                <w:rFonts w:cs="Arial"/>
                <w:sz w:val="20"/>
                <w:szCs w:val="20"/>
              </w:rPr>
            </w:pPr>
            <w:r>
              <w:rPr>
                <w:rFonts w:cs="Arial"/>
                <w:sz w:val="20"/>
                <w:szCs w:val="20"/>
              </w:rPr>
              <w:t>122,370.1</w:t>
            </w:r>
          </w:p>
        </w:tc>
        <w:tc>
          <w:tcPr>
            <w:tcW w:w="1559" w:type="dxa"/>
            <w:tcBorders>
              <w:top w:val="nil"/>
              <w:left w:val="nil"/>
              <w:bottom w:val="single" w:sz="8" w:space="0" w:color="auto"/>
              <w:right w:val="single" w:sz="8" w:space="0" w:color="auto"/>
            </w:tcBorders>
            <w:shd w:val="clear" w:color="000000" w:fill="FFFFFF"/>
            <w:noWrap/>
            <w:vAlign w:val="center"/>
            <w:hideMark/>
          </w:tcPr>
          <w:p w14:paraId="7C3AE264" w14:textId="77777777" w:rsidR="00B11AEF" w:rsidRDefault="00B11AEF" w:rsidP="00B11AEF">
            <w:pPr>
              <w:ind w:firstLine="0"/>
              <w:jc w:val="center"/>
              <w:rPr>
                <w:rFonts w:cs="Arial"/>
                <w:sz w:val="20"/>
                <w:szCs w:val="20"/>
              </w:rPr>
            </w:pPr>
            <w:r>
              <w:rPr>
                <w:rFonts w:cs="Arial"/>
                <w:sz w:val="20"/>
                <w:szCs w:val="20"/>
              </w:rPr>
              <w:t>117,504.8</w:t>
            </w:r>
          </w:p>
        </w:tc>
        <w:tc>
          <w:tcPr>
            <w:tcW w:w="1418" w:type="dxa"/>
            <w:tcBorders>
              <w:top w:val="nil"/>
              <w:left w:val="nil"/>
              <w:bottom w:val="single" w:sz="8" w:space="0" w:color="auto"/>
              <w:right w:val="single" w:sz="8" w:space="0" w:color="auto"/>
            </w:tcBorders>
            <w:shd w:val="clear" w:color="000000" w:fill="FFFFFF"/>
            <w:noWrap/>
            <w:vAlign w:val="center"/>
            <w:hideMark/>
          </w:tcPr>
          <w:p w14:paraId="7A0C0E6F" w14:textId="77777777" w:rsidR="00B11AEF" w:rsidRDefault="00B11AEF" w:rsidP="00B11AEF">
            <w:pPr>
              <w:ind w:firstLine="0"/>
              <w:jc w:val="center"/>
              <w:rPr>
                <w:rFonts w:cs="Arial"/>
                <w:sz w:val="20"/>
                <w:szCs w:val="20"/>
              </w:rPr>
            </w:pPr>
            <w:r>
              <w:rPr>
                <w:rFonts w:cs="Arial"/>
                <w:sz w:val="20"/>
                <w:szCs w:val="20"/>
              </w:rPr>
              <w:t>125,685.9</w:t>
            </w:r>
          </w:p>
        </w:tc>
        <w:tc>
          <w:tcPr>
            <w:tcW w:w="1559" w:type="dxa"/>
            <w:tcBorders>
              <w:top w:val="nil"/>
              <w:left w:val="nil"/>
              <w:bottom w:val="single" w:sz="8" w:space="0" w:color="auto"/>
              <w:right w:val="single" w:sz="8" w:space="0" w:color="auto"/>
            </w:tcBorders>
            <w:shd w:val="clear" w:color="000000" w:fill="FFFFFF"/>
            <w:noWrap/>
            <w:vAlign w:val="center"/>
            <w:hideMark/>
          </w:tcPr>
          <w:p w14:paraId="3B92BF1F" w14:textId="77777777" w:rsidR="00B11AEF" w:rsidRDefault="00B11AEF" w:rsidP="00B11AEF">
            <w:pPr>
              <w:ind w:firstLine="0"/>
              <w:jc w:val="center"/>
              <w:rPr>
                <w:rFonts w:cs="Arial"/>
                <w:sz w:val="20"/>
                <w:szCs w:val="20"/>
              </w:rPr>
            </w:pPr>
            <w:r>
              <w:rPr>
                <w:rFonts w:cs="Arial"/>
                <w:sz w:val="20"/>
                <w:szCs w:val="20"/>
              </w:rPr>
              <w:t>128,086.5</w:t>
            </w:r>
          </w:p>
        </w:tc>
      </w:tr>
      <w:tr w:rsidR="00B11AEF" w:rsidRPr="004C7D07" w14:paraId="2EE32ADE" w14:textId="77777777" w:rsidTr="00B11AEF">
        <w:trPr>
          <w:trHeight w:val="637"/>
        </w:trPr>
        <w:tc>
          <w:tcPr>
            <w:tcW w:w="3421" w:type="dxa"/>
            <w:tcBorders>
              <w:top w:val="nil"/>
              <w:left w:val="single" w:sz="8" w:space="0" w:color="auto"/>
              <w:bottom w:val="single" w:sz="8" w:space="0" w:color="auto"/>
              <w:right w:val="single" w:sz="8" w:space="0" w:color="auto"/>
            </w:tcBorders>
            <w:shd w:val="clear" w:color="000000" w:fill="D5DCE4"/>
            <w:vAlign w:val="center"/>
            <w:hideMark/>
          </w:tcPr>
          <w:p w14:paraId="2633601F"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ԴՐԱՄԱՇՆՈՐՀՆԵՐ</w:t>
            </w:r>
          </w:p>
        </w:tc>
        <w:tc>
          <w:tcPr>
            <w:tcW w:w="1814" w:type="dxa"/>
            <w:tcBorders>
              <w:top w:val="nil"/>
              <w:left w:val="nil"/>
              <w:bottom w:val="single" w:sz="8" w:space="0" w:color="auto"/>
              <w:right w:val="single" w:sz="8" w:space="0" w:color="auto"/>
            </w:tcBorders>
            <w:shd w:val="clear" w:color="000000" w:fill="D5DCE4"/>
            <w:noWrap/>
            <w:vAlign w:val="center"/>
            <w:hideMark/>
          </w:tcPr>
          <w:p w14:paraId="1BFB49F9" w14:textId="77777777" w:rsidR="00B11AEF" w:rsidRDefault="00B11AEF" w:rsidP="00B11AEF">
            <w:pPr>
              <w:jc w:val="center"/>
              <w:rPr>
                <w:rFonts w:cs="Arial"/>
                <w:sz w:val="20"/>
                <w:szCs w:val="20"/>
              </w:rPr>
            </w:pPr>
            <w:r>
              <w:rPr>
                <w:rFonts w:cs="Arial"/>
                <w:sz w:val="20"/>
                <w:szCs w:val="20"/>
              </w:rPr>
              <w:t>162,913.5</w:t>
            </w:r>
          </w:p>
        </w:tc>
        <w:tc>
          <w:tcPr>
            <w:tcW w:w="1559" w:type="dxa"/>
            <w:tcBorders>
              <w:top w:val="nil"/>
              <w:left w:val="nil"/>
              <w:bottom w:val="single" w:sz="8" w:space="0" w:color="auto"/>
              <w:right w:val="single" w:sz="8" w:space="0" w:color="auto"/>
            </w:tcBorders>
            <w:shd w:val="clear" w:color="000000" w:fill="D5DCE4"/>
            <w:noWrap/>
            <w:vAlign w:val="center"/>
            <w:hideMark/>
          </w:tcPr>
          <w:p w14:paraId="12519E97" w14:textId="77777777" w:rsidR="00B11AEF" w:rsidRDefault="00B11AEF" w:rsidP="00B11AEF">
            <w:pPr>
              <w:ind w:firstLine="0"/>
              <w:jc w:val="center"/>
              <w:rPr>
                <w:rFonts w:cs="Arial"/>
                <w:sz w:val="20"/>
                <w:szCs w:val="20"/>
              </w:rPr>
            </w:pPr>
            <w:r>
              <w:rPr>
                <w:rFonts w:cs="Arial"/>
                <w:sz w:val="20"/>
                <w:szCs w:val="20"/>
              </w:rPr>
              <w:t>148,777.8</w:t>
            </w:r>
          </w:p>
        </w:tc>
        <w:tc>
          <w:tcPr>
            <w:tcW w:w="1418" w:type="dxa"/>
            <w:tcBorders>
              <w:top w:val="nil"/>
              <w:left w:val="nil"/>
              <w:bottom w:val="single" w:sz="8" w:space="0" w:color="auto"/>
              <w:right w:val="single" w:sz="8" w:space="0" w:color="auto"/>
            </w:tcBorders>
            <w:shd w:val="clear" w:color="000000" w:fill="D5DCE4"/>
            <w:noWrap/>
            <w:vAlign w:val="center"/>
            <w:hideMark/>
          </w:tcPr>
          <w:p w14:paraId="603DC51F" w14:textId="77777777" w:rsidR="00B11AEF" w:rsidRDefault="00B11AEF" w:rsidP="00B11AEF">
            <w:pPr>
              <w:ind w:firstLine="0"/>
              <w:jc w:val="center"/>
              <w:rPr>
                <w:rFonts w:cs="Arial"/>
                <w:sz w:val="20"/>
                <w:szCs w:val="20"/>
              </w:rPr>
            </w:pPr>
            <w:r>
              <w:rPr>
                <w:rFonts w:cs="Arial"/>
                <w:sz w:val="20"/>
                <w:szCs w:val="20"/>
              </w:rPr>
              <w:t>156,453.5</w:t>
            </w:r>
          </w:p>
        </w:tc>
        <w:tc>
          <w:tcPr>
            <w:tcW w:w="1559" w:type="dxa"/>
            <w:tcBorders>
              <w:top w:val="nil"/>
              <w:left w:val="nil"/>
              <w:bottom w:val="single" w:sz="8" w:space="0" w:color="auto"/>
              <w:right w:val="single" w:sz="8" w:space="0" w:color="auto"/>
            </w:tcBorders>
            <w:shd w:val="clear" w:color="000000" w:fill="D5DCE4"/>
            <w:noWrap/>
            <w:vAlign w:val="center"/>
            <w:hideMark/>
          </w:tcPr>
          <w:p w14:paraId="3CC00DEE" w14:textId="77777777" w:rsidR="00B11AEF" w:rsidRDefault="00B11AEF" w:rsidP="00B11AEF">
            <w:pPr>
              <w:ind w:firstLine="0"/>
              <w:jc w:val="center"/>
              <w:rPr>
                <w:rFonts w:cs="Arial"/>
                <w:sz w:val="20"/>
                <w:szCs w:val="20"/>
              </w:rPr>
            </w:pPr>
            <w:r>
              <w:rPr>
                <w:rFonts w:cs="Arial"/>
                <w:sz w:val="20"/>
                <w:szCs w:val="20"/>
              </w:rPr>
              <w:t>162,847.2</w:t>
            </w:r>
          </w:p>
        </w:tc>
      </w:tr>
      <w:tr w:rsidR="00B11AEF" w:rsidRPr="004C7D07" w14:paraId="50E2EEC5" w14:textId="77777777" w:rsidTr="00B11AEF">
        <w:trPr>
          <w:trHeight w:val="555"/>
        </w:trPr>
        <w:tc>
          <w:tcPr>
            <w:tcW w:w="3421" w:type="dxa"/>
            <w:tcBorders>
              <w:top w:val="nil"/>
              <w:left w:val="single" w:sz="8" w:space="0" w:color="auto"/>
              <w:bottom w:val="single" w:sz="8" w:space="0" w:color="auto"/>
              <w:right w:val="single" w:sz="8" w:space="0" w:color="auto"/>
            </w:tcBorders>
            <w:shd w:val="clear" w:color="000000" w:fill="FFFFFF"/>
            <w:vAlign w:val="center"/>
            <w:hideMark/>
          </w:tcPr>
          <w:p w14:paraId="5BF06475"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ՍՈՑԻԱԼԱԿԱՆ  ՆՊԱՍՏՆԵՐ ԵՎ ԿԵՆՍԱԹՈՇԱԿՆԵՐ</w:t>
            </w:r>
          </w:p>
        </w:tc>
        <w:tc>
          <w:tcPr>
            <w:tcW w:w="1814" w:type="dxa"/>
            <w:tcBorders>
              <w:top w:val="nil"/>
              <w:left w:val="nil"/>
              <w:bottom w:val="single" w:sz="8" w:space="0" w:color="auto"/>
              <w:right w:val="single" w:sz="8" w:space="0" w:color="auto"/>
            </w:tcBorders>
            <w:shd w:val="clear" w:color="000000" w:fill="FFFFFF"/>
            <w:noWrap/>
            <w:vAlign w:val="center"/>
            <w:hideMark/>
          </w:tcPr>
          <w:p w14:paraId="304AC63B" w14:textId="77777777" w:rsidR="00B11AEF" w:rsidRDefault="00B11AEF" w:rsidP="00B11AEF">
            <w:pPr>
              <w:jc w:val="center"/>
              <w:rPr>
                <w:rFonts w:cs="Arial"/>
                <w:sz w:val="20"/>
                <w:szCs w:val="20"/>
              </w:rPr>
            </w:pPr>
            <w:r>
              <w:rPr>
                <w:rFonts w:cs="Arial"/>
                <w:sz w:val="20"/>
                <w:szCs w:val="20"/>
              </w:rPr>
              <w:t>527,872.8</w:t>
            </w:r>
          </w:p>
        </w:tc>
        <w:tc>
          <w:tcPr>
            <w:tcW w:w="1559" w:type="dxa"/>
            <w:tcBorders>
              <w:top w:val="nil"/>
              <w:left w:val="nil"/>
              <w:bottom w:val="single" w:sz="8" w:space="0" w:color="auto"/>
              <w:right w:val="single" w:sz="8" w:space="0" w:color="auto"/>
            </w:tcBorders>
            <w:shd w:val="clear" w:color="000000" w:fill="FFFFFF"/>
            <w:noWrap/>
            <w:vAlign w:val="center"/>
            <w:hideMark/>
          </w:tcPr>
          <w:p w14:paraId="3FA38439" w14:textId="77777777" w:rsidR="00B11AEF" w:rsidRDefault="00B11AEF" w:rsidP="00B11AEF">
            <w:pPr>
              <w:ind w:firstLine="0"/>
              <w:jc w:val="center"/>
              <w:rPr>
                <w:rFonts w:cs="Arial"/>
                <w:sz w:val="20"/>
                <w:szCs w:val="20"/>
              </w:rPr>
            </w:pPr>
            <w:r>
              <w:rPr>
                <w:rFonts w:cs="Arial"/>
                <w:sz w:val="20"/>
                <w:szCs w:val="20"/>
              </w:rPr>
              <w:t>496,362.0</w:t>
            </w:r>
          </w:p>
        </w:tc>
        <w:tc>
          <w:tcPr>
            <w:tcW w:w="1418" w:type="dxa"/>
            <w:tcBorders>
              <w:top w:val="nil"/>
              <w:left w:val="nil"/>
              <w:bottom w:val="single" w:sz="8" w:space="0" w:color="auto"/>
              <w:right w:val="single" w:sz="8" w:space="0" w:color="auto"/>
            </w:tcBorders>
            <w:shd w:val="clear" w:color="000000" w:fill="FFFFFF"/>
            <w:noWrap/>
            <w:vAlign w:val="center"/>
            <w:hideMark/>
          </w:tcPr>
          <w:p w14:paraId="7F1460C9" w14:textId="77777777" w:rsidR="00B11AEF" w:rsidRDefault="00B11AEF" w:rsidP="00B11AEF">
            <w:pPr>
              <w:ind w:firstLine="0"/>
              <w:jc w:val="center"/>
              <w:rPr>
                <w:rFonts w:cs="Arial"/>
                <w:sz w:val="20"/>
                <w:szCs w:val="20"/>
              </w:rPr>
            </w:pPr>
            <w:r>
              <w:rPr>
                <w:rFonts w:cs="Arial"/>
                <w:sz w:val="20"/>
                <w:szCs w:val="20"/>
              </w:rPr>
              <w:t>529,917.8</w:t>
            </w:r>
          </w:p>
        </w:tc>
        <w:tc>
          <w:tcPr>
            <w:tcW w:w="1559" w:type="dxa"/>
            <w:tcBorders>
              <w:top w:val="nil"/>
              <w:left w:val="nil"/>
              <w:bottom w:val="single" w:sz="8" w:space="0" w:color="auto"/>
              <w:right w:val="single" w:sz="8" w:space="0" w:color="auto"/>
            </w:tcBorders>
            <w:shd w:val="clear" w:color="000000" w:fill="FFFFFF"/>
            <w:noWrap/>
            <w:vAlign w:val="center"/>
            <w:hideMark/>
          </w:tcPr>
          <w:p w14:paraId="4BD1F64E" w14:textId="77777777" w:rsidR="00B11AEF" w:rsidRDefault="00B11AEF" w:rsidP="00B11AEF">
            <w:pPr>
              <w:ind w:firstLine="0"/>
              <w:jc w:val="center"/>
              <w:rPr>
                <w:rFonts w:cs="Arial"/>
                <w:sz w:val="20"/>
                <w:szCs w:val="20"/>
              </w:rPr>
            </w:pPr>
            <w:r>
              <w:rPr>
                <w:rFonts w:cs="Arial"/>
                <w:sz w:val="20"/>
                <w:szCs w:val="20"/>
              </w:rPr>
              <w:t>529,991.4</w:t>
            </w:r>
          </w:p>
        </w:tc>
      </w:tr>
      <w:tr w:rsidR="00B11AEF" w:rsidRPr="004C7D07" w14:paraId="3923523C" w14:textId="77777777" w:rsidTr="00B11AEF">
        <w:trPr>
          <w:trHeight w:val="285"/>
        </w:trPr>
        <w:tc>
          <w:tcPr>
            <w:tcW w:w="3421" w:type="dxa"/>
            <w:tcBorders>
              <w:top w:val="nil"/>
              <w:left w:val="single" w:sz="8" w:space="0" w:color="auto"/>
              <w:bottom w:val="single" w:sz="8" w:space="0" w:color="auto"/>
              <w:right w:val="single" w:sz="8" w:space="0" w:color="auto"/>
            </w:tcBorders>
            <w:shd w:val="clear" w:color="000000" w:fill="D5DCE4"/>
            <w:vAlign w:val="center"/>
            <w:hideMark/>
          </w:tcPr>
          <w:p w14:paraId="2CEECCA4" w14:textId="77777777" w:rsidR="00B11AEF" w:rsidRPr="004C7D07" w:rsidRDefault="00B11AEF" w:rsidP="00B11AEF">
            <w:pPr>
              <w:spacing w:before="0" w:after="0" w:line="240" w:lineRule="auto"/>
              <w:ind w:firstLine="0"/>
              <w:rPr>
                <w:rFonts w:eastAsia="Times New Roman" w:cs="Arial"/>
                <w:sz w:val="20"/>
                <w:szCs w:val="20"/>
              </w:rPr>
            </w:pPr>
            <w:r w:rsidRPr="004C7D07">
              <w:rPr>
                <w:rFonts w:eastAsia="Times New Roman" w:cs="Arial"/>
                <w:sz w:val="20"/>
                <w:szCs w:val="20"/>
              </w:rPr>
              <w:t>ԱՅԼ  ԾԱԽՍԵՐ</w:t>
            </w:r>
          </w:p>
        </w:tc>
        <w:tc>
          <w:tcPr>
            <w:tcW w:w="1814" w:type="dxa"/>
            <w:tcBorders>
              <w:top w:val="nil"/>
              <w:left w:val="nil"/>
              <w:bottom w:val="single" w:sz="8" w:space="0" w:color="auto"/>
              <w:right w:val="single" w:sz="8" w:space="0" w:color="auto"/>
            </w:tcBorders>
            <w:shd w:val="clear" w:color="000000" w:fill="D5DCE4"/>
            <w:noWrap/>
            <w:vAlign w:val="center"/>
            <w:hideMark/>
          </w:tcPr>
          <w:p w14:paraId="602D7795" w14:textId="77777777" w:rsidR="00B11AEF" w:rsidRDefault="00B11AEF" w:rsidP="00B11AEF">
            <w:pPr>
              <w:jc w:val="center"/>
              <w:rPr>
                <w:rFonts w:cs="Arial"/>
                <w:sz w:val="20"/>
                <w:szCs w:val="20"/>
              </w:rPr>
            </w:pPr>
            <w:r>
              <w:rPr>
                <w:rFonts w:cs="Arial"/>
                <w:sz w:val="20"/>
                <w:szCs w:val="20"/>
              </w:rPr>
              <w:t>276,491.4</w:t>
            </w:r>
          </w:p>
        </w:tc>
        <w:tc>
          <w:tcPr>
            <w:tcW w:w="1559" w:type="dxa"/>
            <w:tcBorders>
              <w:top w:val="nil"/>
              <w:left w:val="nil"/>
              <w:bottom w:val="single" w:sz="8" w:space="0" w:color="auto"/>
              <w:right w:val="single" w:sz="8" w:space="0" w:color="auto"/>
            </w:tcBorders>
            <w:shd w:val="clear" w:color="000000" w:fill="D5DCE4"/>
            <w:noWrap/>
            <w:vAlign w:val="center"/>
            <w:hideMark/>
          </w:tcPr>
          <w:p w14:paraId="4B517E52" w14:textId="77777777" w:rsidR="00B11AEF" w:rsidRDefault="00B11AEF" w:rsidP="00B11AEF">
            <w:pPr>
              <w:ind w:firstLine="0"/>
              <w:jc w:val="center"/>
              <w:rPr>
                <w:rFonts w:cs="Arial"/>
                <w:sz w:val="20"/>
                <w:szCs w:val="20"/>
              </w:rPr>
            </w:pPr>
            <w:r>
              <w:rPr>
                <w:rFonts w:cs="Arial"/>
                <w:sz w:val="20"/>
                <w:szCs w:val="20"/>
              </w:rPr>
              <w:t>395,252.2</w:t>
            </w:r>
          </w:p>
        </w:tc>
        <w:tc>
          <w:tcPr>
            <w:tcW w:w="1418" w:type="dxa"/>
            <w:tcBorders>
              <w:top w:val="nil"/>
              <w:left w:val="nil"/>
              <w:bottom w:val="single" w:sz="8" w:space="0" w:color="auto"/>
              <w:right w:val="single" w:sz="8" w:space="0" w:color="auto"/>
            </w:tcBorders>
            <w:shd w:val="clear" w:color="000000" w:fill="D5DCE4"/>
            <w:noWrap/>
            <w:vAlign w:val="center"/>
            <w:hideMark/>
          </w:tcPr>
          <w:p w14:paraId="1067FEE9" w14:textId="77777777" w:rsidR="00B11AEF" w:rsidRDefault="00B11AEF" w:rsidP="00B11AEF">
            <w:pPr>
              <w:ind w:firstLine="0"/>
              <w:jc w:val="center"/>
              <w:rPr>
                <w:rFonts w:cs="Arial"/>
                <w:sz w:val="20"/>
                <w:szCs w:val="20"/>
              </w:rPr>
            </w:pPr>
            <w:r>
              <w:rPr>
                <w:rFonts w:cs="Arial"/>
                <w:sz w:val="20"/>
                <w:szCs w:val="20"/>
              </w:rPr>
              <w:t>424,099.0</w:t>
            </w:r>
          </w:p>
        </w:tc>
        <w:tc>
          <w:tcPr>
            <w:tcW w:w="1559" w:type="dxa"/>
            <w:tcBorders>
              <w:top w:val="nil"/>
              <w:left w:val="nil"/>
              <w:bottom w:val="single" w:sz="8" w:space="0" w:color="auto"/>
              <w:right w:val="single" w:sz="8" w:space="0" w:color="auto"/>
            </w:tcBorders>
            <w:shd w:val="clear" w:color="000000" w:fill="D5DCE4"/>
            <w:noWrap/>
            <w:vAlign w:val="center"/>
            <w:hideMark/>
          </w:tcPr>
          <w:p w14:paraId="00AAF270" w14:textId="77777777" w:rsidR="00B11AEF" w:rsidRDefault="00B11AEF" w:rsidP="00B11AEF">
            <w:pPr>
              <w:ind w:firstLine="0"/>
              <w:jc w:val="center"/>
              <w:rPr>
                <w:rFonts w:cs="Arial"/>
                <w:sz w:val="20"/>
                <w:szCs w:val="20"/>
              </w:rPr>
            </w:pPr>
            <w:r>
              <w:rPr>
                <w:rFonts w:cs="Arial"/>
                <w:sz w:val="20"/>
                <w:szCs w:val="20"/>
              </w:rPr>
              <w:t>519,134.9</w:t>
            </w:r>
          </w:p>
        </w:tc>
      </w:tr>
    </w:tbl>
    <w:p w14:paraId="1B168D56" w14:textId="77777777" w:rsidR="00B11AEF" w:rsidRPr="00E450F5" w:rsidRDefault="00B11AEF" w:rsidP="00B11AEF">
      <w:pPr>
        <w:jc w:val="right"/>
        <w:rPr>
          <w:sz w:val="20"/>
          <w:szCs w:val="20"/>
          <w:lang w:val="hy-AM"/>
        </w:rPr>
      </w:pPr>
      <w:r w:rsidRPr="00E450F5">
        <w:rPr>
          <w:sz w:val="20"/>
          <w:szCs w:val="20"/>
          <w:lang w:val="hy-AM"/>
        </w:rPr>
        <w:t xml:space="preserve">                                                                </w:t>
      </w:r>
    </w:p>
    <w:p w14:paraId="4B38CA66" w14:textId="77777777" w:rsidR="00B11AEF" w:rsidRDefault="00B11AEF" w:rsidP="00B11AEF">
      <w:pPr>
        <w:jc w:val="center"/>
        <w:rPr>
          <w:lang w:val="af-ZA"/>
        </w:rPr>
      </w:pPr>
    </w:p>
    <w:p w14:paraId="5CB980B2" w14:textId="77777777" w:rsidR="00B11AEF" w:rsidRPr="005F3E1B" w:rsidRDefault="00B11AEF" w:rsidP="00B11AEF">
      <w:pPr>
        <w:spacing w:line="276" w:lineRule="auto"/>
        <w:ind w:firstLine="475"/>
        <w:rPr>
          <w:lang w:val="af-ZA"/>
        </w:rPr>
      </w:pPr>
      <w:r w:rsidRPr="003B118E">
        <w:rPr>
          <w:lang w:val="af-ZA"/>
        </w:rPr>
        <w:t>202</w:t>
      </w:r>
      <w:r>
        <w:rPr>
          <w:lang w:val="af-ZA"/>
        </w:rPr>
        <w:t>2</w:t>
      </w:r>
      <w:r w:rsidRPr="003B118E">
        <w:rPr>
          <w:lang w:val="af-ZA"/>
        </w:rPr>
        <w:t>-202</w:t>
      </w:r>
      <w:r>
        <w:rPr>
          <w:lang w:val="af-ZA"/>
        </w:rPr>
        <w:t>4</w:t>
      </w:r>
      <w:r w:rsidRPr="003B118E">
        <w:rPr>
          <w:lang w:val="af-ZA"/>
        </w:rPr>
        <w:t xml:space="preserve"> </w:t>
      </w:r>
      <w:r w:rsidRPr="00363E4C">
        <w:t>թվակա</w:t>
      </w:r>
      <w:r w:rsidRPr="00363E4C">
        <w:rPr>
          <w:rFonts w:cs="Sylfaen"/>
        </w:rPr>
        <w:t>նների</w:t>
      </w:r>
      <w:r w:rsidRPr="003B118E">
        <w:rPr>
          <w:lang w:val="af-ZA"/>
        </w:rPr>
        <w:t xml:space="preserve"> </w:t>
      </w:r>
      <w:r w:rsidRPr="00363E4C">
        <w:rPr>
          <w:rFonts w:cs="Sylfaen"/>
        </w:rPr>
        <w:t>ծախսերի</w:t>
      </w:r>
      <w:r w:rsidRPr="003B118E">
        <w:rPr>
          <w:lang w:val="af-ZA"/>
        </w:rPr>
        <w:t xml:space="preserve"> </w:t>
      </w:r>
      <w:r w:rsidRPr="00363E4C">
        <w:rPr>
          <w:rFonts w:cs="Sylfaen"/>
        </w:rPr>
        <w:t>ընդհանուր</w:t>
      </w:r>
      <w:r w:rsidRPr="003B118E">
        <w:rPr>
          <w:lang w:val="af-ZA"/>
        </w:rPr>
        <w:t xml:space="preserve"> </w:t>
      </w:r>
      <w:r w:rsidRPr="00363E4C">
        <w:rPr>
          <w:rFonts w:cs="Sylfaen"/>
        </w:rPr>
        <w:t>ծավալի</w:t>
      </w:r>
      <w:r w:rsidRPr="003B118E">
        <w:rPr>
          <w:lang w:val="af-ZA"/>
        </w:rPr>
        <w:t xml:space="preserve"> </w:t>
      </w:r>
      <w:r w:rsidRPr="00363E4C">
        <w:rPr>
          <w:rFonts w:cs="Sylfaen"/>
        </w:rPr>
        <w:t>միջին</w:t>
      </w:r>
      <w:r w:rsidRPr="003B118E">
        <w:rPr>
          <w:lang w:val="af-ZA"/>
        </w:rPr>
        <w:t xml:space="preserve"> </w:t>
      </w:r>
      <w:r w:rsidRPr="00363E4C">
        <w:rPr>
          <w:rFonts w:cs="Sylfaen"/>
        </w:rPr>
        <w:t>տարեկանի</w:t>
      </w:r>
      <w:r w:rsidRPr="003B118E">
        <w:rPr>
          <w:lang w:val="af-ZA"/>
        </w:rPr>
        <w:t xml:space="preserve"> </w:t>
      </w:r>
      <w:r w:rsidRPr="00363E4C">
        <w:rPr>
          <w:rFonts w:cs="Sylfaen"/>
        </w:rPr>
        <w:t>շուրջ</w:t>
      </w:r>
      <w:r w:rsidRPr="003B118E">
        <w:rPr>
          <w:lang w:val="af-ZA"/>
        </w:rPr>
        <w:t xml:space="preserve"> </w:t>
      </w:r>
      <w:r>
        <w:rPr>
          <w:lang w:val="hy-AM"/>
        </w:rPr>
        <w:t>1</w:t>
      </w:r>
      <w:r w:rsidRPr="009F4A8F">
        <w:rPr>
          <w:lang w:val="af-ZA"/>
        </w:rPr>
        <w:t>4</w:t>
      </w:r>
      <w:r>
        <w:rPr>
          <w:lang w:val="hy-AM"/>
        </w:rPr>
        <w:t>.8</w:t>
      </w:r>
      <w:r w:rsidRPr="003B118E">
        <w:rPr>
          <w:lang w:val="af-ZA"/>
        </w:rPr>
        <w:t xml:space="preserve"> %-</w:t>
      </w:r>
      <w:r w:rsidRPr="00363E4C">
        <w:rPr>
          <w:rFonts w:cs="Sylfaen"/>
        </w:rPr>
        <w:t>ը</w:t>
      </w:r>
      <w:r w:rsidRPr="003B118E">
        <w:rPr>
          <w:lang w:val="af-ZA"/>
        </w:rPr>
        <w:t xml:space="preserve"> </w:t>
      </w:r>
      <w:r w:rsidRPr="00CB67A2">
        <w:rPr>
          <w:rFonts w:cs="Sylfaen"/>
        </w:rPr>
        <w:t>կկազմեն</w:t>
      </w:r>
      <w:r w:rsidRPr="00CB67A2">
        <w:rPr>
          <w:rFonts w:cs="Sylfaen"/>
          <w:lang w:val="af-ZA"/>
        </w:rPr>
        <w:t xml:space="preserve"> </w:t>
      </w:r>
      <w:r w:rsidRPr="00CB67A2">
        <w:rPr>
          <w:rFonts w:cs="Sylfaen"/>
        </w:rPr>
        <w:t>ոչ</w:t>
      </w:r>
      <w:r w:rsidRPr="00CB67A2">
        <w:rPr>
          <w:rFonts w:cs="Sylfaen"/>
          <w:lang w:val="af-ZA"/>
        </w:rPr>
        <w:t xml:space="preserve"> </w:t>
      </w:r>
      <w:r w:rsidRPr="00CB67A2">
        <w:rPr>
          <w:rFonts w:cs="Sylfaen"/>
        </w:rPr>
        <w:t>ֆինանսական</w:t>
      </w:r>
      <w:r w:rsidRPr="00CB67A2">
        <w:rPr>
          <w:rFonts w:cs="Sylfaen"/>
          <w:lang w:val="af-ZA"/>
        </w:rPr>
        <w:t xml:space="preserve"> </w:t>
      </w:r>
      <w:r w:rsidRPr="00CB67A2">
        <w:rPr>
          <w:rFonts w:cs="Sylfaen"/>
        </w:rPr>
        <w:t>ակտիվ</w:t>
      </w:r>
      <w:r w:rsidRPr="00CB67A2">
        <w:rPr>
          <w:rFonts w:cs="Sylfaen"/>
          <w:lang w:val="af-ZA"/>
        </w:rPr>
        <w:softHyphen/>
      </w:r>
      <w:r w:rsidRPr="00CB67A2">
        <w:rPr>
          <w:rFonts w:cs="Sylfaen"/>
        </w:rPr>
        <w:t>ների</w:t>
      </w:r>
      <w:r w:rsidRPr="00CB67A2">
        <w:rPr>
          <w:rFonts w:cs="Sylfaen"/>
          <w:lang w:val="af-ZA"/>
        </w:rPr>
        <w:t xml:space="preserve"> </w:t>
      </w:r>
      <w:r w:rsidRPr="00CB67A2">
        <w:rPr>
          <w:rFonts w:cs="Sylfaen"/>
        </w:rPr>
        <w:t>գծով</w:t>
      </w:r>
      <w:r w:rsidRPr="00CB67A2">
        <w:rPr>
          <w:lang w:val="af-ZA"/>
        </w:rPr>
        <w:t xml:space="preserve"> </w:t>
      </w:r>
      <w:r w:rsidRPr="00CB67A2">
        <w:rPr>
          <w:rFonts w:cs="Sylfaen"/>
        </w:rPr>
        <w:t>ծախսերը</w:t>
      </w:r>
      <w:r w:rsidRPr="003B118E">
        <w:rPr>
          <w:lang w:val="af-ZA"/>
        </w:rPr>
        <w:t xml:space="preserve">: </w:t>
      </w:r>
    </w:p>
    <w:p w14:paraId="538B1E1B" w14:textId="77777777" w:rsidR="00B11AEF" w:rsidRPr="00924A42" w:rsidRDefault="00B11AEF" w:rsidP="00B11AEF">
      <w:pPr>
        <w:spacing w:line="276" w:lineRule="auto"/>
        <w:ind w:firstLine="475"/>
        <w:rPr>
          <w:lang w:val="af-ZA"/>
        </w:rPr>
      </w:pPr>
      <w:r w:rsidRPr="0033059C">
        <w:rPr>
          <w:lang w:val="af-ZA"/>
        </w:rPr>
        <w:t>20</w:t>
      </w:r>
      <w:r>
        <w:rPr>
          <w:lang w:val="hy-AM"/>
        </w:rPr>
        <w:t>2</w:t>
      </w:r>
      <w:r w:rsidRPr="009F4A8F">
        <w:rPr>
          <w:lang w:val="af-ZA"/>
        </w:rPr>
        <w:t>2</w:t>
      </w:r>
      <w:r w:rsidRPr="0033059C">
        <w:rPr>
          <w:lang w:val="af-ZA"/>
        </w:rPr>
        <w:t>-202</w:t>
      </w:r>
      <w:r>
        <w:rPr>
          <w:lang w:val="af-ZA"/>
        </w:rPr>
        <w:t>4</w:t>
      </w:r>
      <w:r w:rsidRPr="0033059C">
        <w:rPr>
          <w:lang w:val="af-ZA"/>
        </w:rPr>
        <w:t xml:space="preserve"> </w:t>
      </w:r>
      <w:r w:rsidRPr="00363E4C">
        <w:t>թվակա</w:t>
      </w:r>
      <w:r w:rsidRPr="00363E4C">
        <w:rPr>
          <w:rFonts w:cs="Sylfaen"/>
        </w:rPr>
        <w:t>նների</w:t>
      </w:r>
      <w:r w:rsidRPr="0033059C">
        <w:rPr>
          <w:lang w:val="af-ZA"/>
        </w:rPr>
        <w:t xml:space="preserve"> </w:t>
      </w:r>
      <w:r w:rsidRPr="00363E4C">
        <w:rPr>
          <w:rFonts w:cs="Sylfaen"/>
        </w:rPr>
        <w:t>ընթացքում</w:t>
      </w:r>
      <w:r w:rsidRPr="0033059C">
        <w:rPr>
          <w:rFonts w:cs="Sylfaen"/>
          <w:lang w:val="af-ZA"/>
        </w:rPr>
        <w:t xml:space="preserve"> </w:t>
      </w:r>
      <w:r w:rsidRPr="005F3E1B">
        <w:rPr>
          <w:rFonts w:cs="Sylfaen"/>
        </w:rPr>
        <w:t>ոչ</w:t>
      </w:r>
      <w:r w:rsidRPr="0033059C">
        <w:rPr>
          <w:rFonts w:cs="Sylfaen"/>
          <w:lang w:val="af-ZA"/>
        </w:rPr>
        <w:t xml:space="preserve"> </w:t>
      </w:r>
      <w:r w:rsidRPr="005F3E1B">
        <w:rPr>
          <w:rFonts w:cs="Sylfaen"/>
        </w:rPr>
        <w:t>ֆինանսական</w:t>
      </w:r>
      <w:r w:rsidRPr="0033059C">
        <w:rPr>
          <w:rFonts w:cs="Sylfaen"/>
          <w:lang w:val="af-ZA"/>
        </w:rPr>
        <w:t xml:space="preserve"> </w:t>
      </w:r>
      <w:r w:rsidRPr="005F3E1B">
        <w:rPr>
          <w:rFonts w:cs="Sylfaen"/>
        </w:rPr>
        <w:t>ակտիվ</w:t>
      </w:r>
      <w:r w:rsidRPr="0033059C">
        <w:rPr>
          <w:rFonts w:cs="Sylfaen"/>
          <w:lang w:val="af-ZA"/>
        </w:rPr>
        <w:softHyphen/>
      </w:r>
      <w:r w:rsidRPr="005F3E1B">
        <w:rPr>
          <w:rFonts w:cs="Sylfaen"/>
        </w:rPr>
        <w:t>ների</w:t>
      </w:r>
      <w:r w:rsidRPr="0033059C">
        <w:rPr>
          <w:rFonts w:cs="Sylfaen"/>
          <w:lang w:val="af-ZA"/>
        </w:rPr>
        <w:t xml:space="preserve"> </w:t>
      </w:r>
      <w:r w:rsidRPr="005F3E1B">
        <w:rPr>
          <w:rFonts w:cs="Sylfaen"/>
        </w:rPr>
        <w:t>գծով</w:t>
      </w:r>
      <w:r w:rsidRPr="0033059C">
        <w:rPr>
          <w:rFonts w:cs="Sylfaen"/>
          <w:lang w:val="af-ZA"/>
        </w:rPr>
        <w:t xml:space="preserve"> </w:t>
      </w:r>
      <w:r w:rsidRPr="005F3E1B">
        <w:rPr>
          <w:rFonts w:cs="Sylfaen"/>
        </w:rPr>
        <w:t>ծախսերի</w:t>
      </w:r>
      <w:r w:rsidRPr="0033059C">
        <w:rPr>
          <w:lang w:val="af-ZA"/>
        </w:rPr>
        <w:t xml:space="preserve"> </w:t>
      </w:r>
      <w:r>
        <w:rPr>
          <w:lang w:val="hy-AM"/>
        </w:rPr>
        <w:t xml:space="preserve">ֆինանսավորման կառուցվածքում արձանագրվում է արտաքին </w:t>
      </w:r>
      <w:r>
        <w:rPr>
          <w:lang w:val="ru-RU"/>
        </w:rPr>
        <w:t>և</w:t>
      </w:r>
      <w:r>
        <w:rPr>
          <w:lang w:val="hy-AM"/>
        </w:rPr>
        <w:t xml:space="preserve"> ներքին աղբյուրների ծավալի </w:t>
      </w:r>
      <w:r>
        <w:t>ավելացում</w:t>
      </w:r>
      <w:r>
        <w:rPr>
          <w:lang w:val="hy-AM"/>
        </w:rPr>
        <w:t>:</w:t>
      </w:r>
      <w:r w:rsidRPr="00924A42">
        <w:rPr>
          <w:lang w:val="af-ZA"/>
        </w:rPr>
        <w:t xml:space="preserve"> </w:t>
      </w:r>
      <w:r>
        <w:rPr>
          <w:lang w:val="af-ZA"/>
        </w:rPr>
        <w:t xml:space="preserve">Ընդ որում </w:t>
      </w:r>
      <w:r>
        <w:rPr>
          <w:lang w:val="hy-AM"/>
        </w:rPr>
        <w:t xml:space="preserve">ներքին աղբյուրների ծավալի </w:t>
      </w:r>
      <w:r>
        <w:t>ավելացումը</w:t>
      </w:r>
      <w:r w:rsidRPr="00924A42">
        <w:rPr>
          <w:lang w:val="af-ZA"/>
        </w:rPr>
        <w:t xml:space="preserve"> </w:t>
      </w:r>
      <w:r>
        <w:t>կրում</w:t>
      </w:r>
      <w:r w:rsidRPr="00924A42">
        <w:rPr>
          <w:lang w:val="af-ZA"/>
        </w:rPr>
        <w:t xml:space="preserve"> </w:t>
      </w:r>
      <w:r>
        <w:t>է</w:t>
      </w:r>
      <w:r w:rsidRPr="00924A42">
        <w:rPr>
          <w:lang w:val="af-ZA"/>
        </w:rPr>
        <w:t xml:space="preserve"> </w:t>
      </w:r>
      <w:r>
        <w:t>առաջանցիկ</w:t>
      </w:r>
      <w:r w:rsidRPr="00924A42">
        <w:rPr>
          <w:lang w:val="af-ZA"/>
        </w:rPr>
        <w:t xml:space="preserve"> </w:t>
      </w:r>
      <w:r>
        <w:t>բնույթ</w:t>
      </w:r>
      <w:r w:rsidRPr="00924A42">
        <w:rPr>
          <w:lang w:val="af-ZA"/>
        </w:rPr>
        <w:t>:</w:t>
      </w:r>
    </w:p>
    <w:p w14:paraId="1B0ECBCD" w14:textId="77777777" w:rsidR="00B11AEF" w:rsidRDefault="00B11AEF" w:rsidP="00B11AEF">
      <w:pPr>
        <w:spacing w:line="276" w:lineRule="auto"/>
        <w:ind w:firstLine="475"/>
        <w:jc w:val="center"/>
        <w:rPr>
          <w:rFonts w:eastAsia="Calibri" w:cs="Times New Roman"/>
          <w:b/>
          <w:i/>
          <w:iCs/>
          <w:color w:val="000000"/>
          <w:lang w:val="hy-AM"/>
        </w:rPr>
      </w:pPr>
    </w:p>
    <w:p w14:paraId="21AD30B8" w14:textId="77777777" w:rsidR="00B11AEF" w:rsidRDefault="00B11AEF" w:rsidP="00B11AEF">
      <w:pPr>
        <w:spacing w:line="276" w:lineRule="auto"/>
        <w:ind w:firstLine="475"/>
        <w:jc w:val="center"/>
        <w:rPr>
          <w:rFonts w:eastAsia="Calibri" w:cs="Times New Roman"/>
          <w:b/>
          <w:i/>
          <w:iCs/>
          <w:color w:val="000000"/>
          <w:lang w:val="hy-AM"/>
        </w:rPr>
      </w:pPr>
    </w:p>
    <w:p w14:paraId="0C32D3FF" w14:textId="77777777" w:rsidR="00B11AEF" w:rsidRDefault="00B11AEF" w:rsidP="00B11AEF">
      <w:pPr>
        <w:spacing w:line="276" w:lineRule="auto"/>
        <w:ind w:firstLine="475"/>
        <w:jc w:val="center"/>
        <w:rPr>
          <w:rFonts w:cs="Sylfaen"/>
          <w:i/>
          <w:sz w:val="20"/>
          <w:szCs w:val="20"/>
          <w:lang w:val="hy-AM"/>
        </w:rPr>
      </w:pPr>
      <w:r w:rsidRPr="008C23C8">
        <w:rPr>
          <w:rFonts w:eastAsia="Calibri" w:cs="Times New Roman"/>
          <w:b/>
          <w:i/>
          <w:iCs/>
          <w:color w:val="000000"/>
          <w:lang w:val="hy-AM"/>
        </w:rPr>
        <w:t xml:space="preserve">Գծապատկեր </w:t>
      </w:r>
      <w:r>
        <w:rPr>
          <w:rFonts w:eastAsia="Calibri" w:cs="Times New Roman"/>
          <w:b/>
          <w:i/>
          <w:iCs/>
          <w:color w:val="000000"/>
          <w:lang w:val="hy-AM"/>
        </w:rPr>
        <w:t>4</w:t>
      </w:r>
      <w:r w:rsidRPr="008C23C8">
        <w:rPr>
          <w:rFonts w:eastAsia="Calibri" w:cs="Times New Roman"/>
          <w:b/>
          <w:i/>
          <w:iCs/>
          <w:color w:val="000000"/>
          <w:lang w:val="hy-AM"/>
        </w:rPr>
        <w:t>.</w:t>
      </w:r>
      <w:r>
        <w:rPr>
          <w:rFonts w:eastAsia="Calibri" w:cs="Times New Roman"/>
          <w:b/>
          <w:i/>
          <w:iCs/>
          <w:color w:val="000000"/>
          <w:lang w:val="hy-AM"/>
        </w:rPr>
        <w:t>4</w:t>
      </w:r>
      <w:r w:rsidRPr="008C23C8">
        <w:rPr>
          <w:rFonts w:eastAsia="Calibri" w:cs="Times New Roman"/>
          <w:b/>
          <w:i/>
          <w:iCs/>
          <w:color w:val="000000"/>
          <w:lang w:val="hy-AM"/>
        </w:rPr>
        <w:t>.</w:t>
      </w:r>
      <w:r>
        <w:rPr>
          <w:rFonts w:eastAsia="Calibri" w:cs="Times New Roman"/>
          <w:b/>
          <w:i/>
          <w:iCs/>
          <w:color w:val="000000"/>
          <w:lang w:val="hy-AM"/>
        </w:rPr>
        <w:t>3</w:t>
      </w:r>
      <w:r>
        <w:rPr>
          <w:rFonts w:ascii="Cambria Math" w:eastAsia="Calibri" w:hAnsi="Cambria Math" w:cs="Times New Roman"/>
          <w:b/>
          <w:i/>
          <w:iCs/>
          <w:color w:val="000000"/>
          <w:lang w:val="hy-AM"/>
        </w:rPr>
        <w:t xml:space="preserve">․ </w:t>
      </w:r>
      <w:r w:rsidRPr="00DF79D1">
        <w:rPr>
          <w:rFonts w:cs="Sylfaen"/>
          <w:i/>
          <w:sz w:val="20"/>
          <w:szCs w:val="20"/>
          <w:lang w:val="hy-AM"/>
        </w:rPr>
        <w:t>2021-202</w:t>
      </w:r>
      <w:r w:rsidRPr="00924A42">
        <w:rPr>
          <w:rFonts w:cs="Sylfaen"/>
          <w:i/>
          <w:sz w:val="20"/>
          <w:szCs w:val="20"/>
          <w:lang w:val="hy-AM"/>
        </w:rPr>
        <w:t>4</w:t>
      </w:r>
      <w:r w:rsidRPr="00DF79D1">
        <w:rPr>
          <w:rFonts w:cs="Sylfaen"/>
          <w:i/>
          <w:sz w:val="20"/>
          <w:szCs w:val="20"/>
          <w:lang w:val="hy-AM"/>
        </w:rPr>
        <w:t xml:space="preserve"> թ</w:t>
      </w:r>
      <w:r>
        <w:rPr>
          <w:rFonts w:cs="Sylfaen"/>
          <w:i/>
          <w:sz w:val="20"/>
          <w:szCs w:val="20"/>
          <w:lang w:val="hy-AM"/>
        </w:rPr>
        <w:t>թ</w:t>
      </w:r>
      <w:r>
        <w:rPr>
          <w:rFonts w:ascii="Cambria Math" w:hAnsi="Cambria Math" w:cs="Sylfaen"/>
          <w:i/>
          <w:sz w:val="20"/>
          <w:szCs w:val="20"/>
          <w:lang w:val="hy-AM"/>
        </w:rPr>
        <w:t xml:space="preserve">․ </w:t>
      </w:r>
      <w:r w:rsidRPr="00DF79D1">
        <w:rPr>
          <w:rFonts w:cs="Sylfaen"/>
          <w:i/>
          <w:sz w:val="20"/>
          <w:szCs w:val="20"/>
          <w:lang w:val="hy-AM"/>
        </w:rPr>
        <w:t>ոչ ֆինանսական ակտիվ</w:t>
      </w:r>
      <w:r w:rsidRPr="00DF79D1">
        <w:rPr>
          <w:rFonts w:cs="Sylfaen"/>
          <w:i/>
          <w:sz w:val="20"/>
          <w:szCs w:val="20"/>
          <w:lang w:val="hy-AM"/>
        </w:rPr>
        <w:softHyphen/>
        <w:t>ների գծով ծախսերի ֆինանսավորման կառուցվածք</w:t>
      </w:r>
      <w:r>
        <w:rPr>
          <w:rFonts w:cs="Sylfaen"/>
          <w:i/>
          <w:sz w:val="20"/>
          <w:szCs w:val="20"/>
          <w:lang w:val="hy-AM"/>
        </w:rPr>
        <w:t>ը</w:t>
      </w:r>
    </w:p>
    <w:p w14:paraId="14FB8640" w14:textId="77777777" w:rsidR="00B11AEF" w:rsidRDefault="00B11AEF" w:rsidP="00B11AEF">
      <w:pPr>
        <w:spacing w:line="276" w:lineRule="auto"/>
        <w:ind w:firstLine="475"/>
        <w:jc w:val="center"/>
        <w:rPr>
          <w:rFonts w:cs="Sylfaen"/>
          <w:i/>
          <w:sz w:val="20"/>
          <w:szCs w:val="20"/>
          <w:lang w:val="hy-AM"/>
        </w:rPr>
      </w:pPr>
    </w:p>
    <w:p w14:paraId="105A09F6" w14:textId="77777777" w:rsidR="00B11AEF" w:rsidRPr="009A47EF" w:rsidRDefault="00B11AEF" w:rsidP="00B11AEF">
      <w:pPr>
        <w:spacing w:line="276" w:lineRule="auto"/>
        <w:ind w:firstLine="475"/>
        <w:jc w:val="center"/>
        <w:rPr>
          <w:rFonts w:cs="Sylfaen"/>
          <w:sz w:val="20"/>
          <w:szCs w:val="20"/>
          <w:lang w:val="hy-AM"/>
        </w:rPr>
      </w:pPr>
      <w:r>
        <w:rPr>
          <w:noProof/>
        </w:rPr>
        <w:drawing>
          <wp:inline distT="0" distB="0" distL="0" distR="0" wp14:anchorId="2316A48B" wp14:editId="36B327E3">
            <wp:extent cx="6019800" cy="4772025"/>
            <wp:effectExtent l="0" t="0" r="0" b="0"/>
            <wp:docPr id="79"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93CEB7F" w14:textId="77777777" w:rsidR="00B11AEF" w:rsidRPr="00A60550" w:rsidRDefault="00B11AEF" w:rsidP="00B11AEF">
      <w:pPr>
        <w:spacing w:line="276" w:lineRule="auto"/>
        <w:ind w:firstLine="475"/>
        <w:jc w:val="center"/>
        <w:rPr>
          <w:rFonts w:cs="Sylfaen"/>
          <w:lang w:val="hy-AM"/>
        </w:rPr>
      </w:pPr>
    </w:p>
    <w:p w14:paraId="61234BC4" w14:textId="77777777" w:rsidR="00B11AEF" w:rsidRDefault="00B11AEF" w:rsidP="00B11AEF">
      <w:pPr>
        <w:spacing w:line="360" w:lineRule="auto"/>
        <w:rPr>
          <w:lang w:val="hy-AM"/>
        </w:rPr>
      </w:pPr>
      <w:r>
        <w:rPr>
          <w:lang w:val="hy-AM"/>
        </w:rPr>
        <w:t xml:space="preserve"> </w:t>
      </w:r>
    </w:p>
    <w:p w14:paraId="221E75DF" w14:textId="77777777" w:rsidR="00B11AEF" w:rsidRDefault="00B11AEF" w:rsidP="00B11AEF">
      <w:pPr>
        <w:spacing w:line="360" w:lineRule="auto"/>
        <w:ind w:firstLine="480"/>
        <w:rPr>
          <w:rFonts w:cs="Sylfaen"/>
          <w:lang w:val="hy-AM"/>
        </w:rPr>
      </w:pPr>
      <w:r>
        <w:rPr>
          <w:lang w:val="hy-AM"/>
        </w:rPr>
        <w:t xml:space="preserve">Ընդ որում միջնաժամկետ հատվածում </w:t>
      </w:r>
      <w:r w:rsidRPr="001748EE">
        <w:rPr>
          <w:rFonts w:cs="Sylfaen"/>
          <w:lang w:val="hy-AM"/>
        </w:rPr>
        <w:t>ընդհանուր</w:t>
      </w:r>
      <w:r w:rsidRPr="001748EE">
        <w:rPr>
          <w:lang w:val="hy-AM"/>
        </w:rPr>
        <w:t xml:space="preserve"> </w:t>
      </w:r>
      <w:r w:rsidRPr="001748EE">
        <w:rPr>
          <w:rFonts w:cs="Sylfaen"/>
          <w:lang w:val="hy-AM"/>
        </w:rPr>
        <w:t>ծավալի</w:t>
      </w:r>
      <w:r>
        <w:rPr>
          <w:rFonts w:cs="Sylfaen"/>
          <w:lang w:val="hy-AM"/>
        </w:rPr>
        <w:t xml:space="preserve"> </w:t>
      </w:r>
      <w:r w:rsidRPr="001748EE">
        <w:rPr>
          <w:rFonts w:cs="Sylfaen"/>
          <w:lang w:val="hy-AM"/>
        </w:rPr>
        <w:t>կանխատեսվող</w:t>
      </w:r>
      <w:r w:rsidRPr="001748EE">
        <w:rPr>
          <w:lang w:val="hy-AM"/>
        </w:rPr>
        <w:t xml:space="preserve"> </w:t>
      </w:r>
      <w:r w:rsidRPr="00363E4C">
        <w:rPr>
          <w:lang w:val="hy-AM"/>
        </w:rPr>
        <w:t xml:space="preserve"> </w:t>
      </w:r>
      <w:r>
        <w:rPr>
          <w:lang w:val="hy-AM"/>
        </w:rPr>
        <w:t>954.6</w:t>
      </w:r>
      <w:r w:rsidRPr="001748EE">
        <w:rPr>
          <w:lang w:val="hy-AM"/>
        </w:rPr>
        <w:t xml:space="preserve"> </w:t>
      </w:r>
      <w:r w:rsidRPr="001748EE">
        <w:rPr>
          <w:rFonts w:cs="Sylfaen"/>
          <w:lang w:val="hy-AM"/>
        </w:rPr>
        <w:t>մլրդ</w:t>
      </w:r>
      <w:r w:rsidRPr="001748EE">
        <w:rPr>
          <w:lang w:val="hy-AM"/>
        </w:rPr>
        <w:t xml:space="preserve"> </w:t>
      </w:r>
      <w:r w:rsidRPr="001748EE">
        <w:rPr>
          <w:rFonts w:cs="Sylfaen"/>
          <w:lang w:val="hy-AM"/>
        </w:rPr>
        <w:t>դրամ</w:t>
      </w:r>
      <w:r w:rsidRPr="001748EE">
        <w:rPr>
          <w:lang w:val="hy-AM"/>
        </w:rPr>
        <w:t xml:space="preserve"> </w:t>
      </w:r>
      <w:r w:rsidRPr="001748EE">
        <w:rPr>
          <w:rFonts w:cs="Sylfaen"/>
          <w:lang w:val="hy-AM"/>
        </w:rPr>
        <w:t>ոչ</w:t>
      </w:r>
      <w:r w:rsidRPr="001748EE">
        <w:rPr>
          <w:lang w:val="hy-AM"/>
        </w:rPr>
        <w:t xml:space="preserve"> </w:t>
      </w:r>
      <w:r w:rsidRPr="001748EE">
        <w:rPr>
          <w:rFonts w:cs="Sylfaen"/>
          <w:lang w:val="hy-AM"/>
        </w:rPr>
        <w:t>ֆինանսական</w:t>
      </w:r>
      <w:r w:rsidRPr="001748EE">
        <w:rPr>
          <w:lang w:val="hy-AM"/>
        </w:rPr>
        <w:t xml:space="preserve"> </w:t>
      </w:r>
      <w:r w:rsidRPr="001748EE">
        <w:rPr>
          <w:rFonts w:cs="Sylfaen"/>
          <w:lang w:val="hy-AM"/>
        </w:rPr>
        <w:t>ակտիվների</w:t>
      </w:r>
      <w:r w:rsidRPr="001748EE">
        <w:rPr>
          <w:lang w:val="hy-AM"/>
        </w:rPr>
        <w:t xml:space="preserve"> </w:t>
      </w:r>
      <w:r w:rsidRPr="001748EE">
        <w:rPr>
          <w:rFonts w:cs="Sylfaen"/>
          <w:lang w:val="hy-AM"/>
        </w:rPr>
        <w:t>գծով</w:t>
      </w:r>
      <w:r w:rsidRPr="001748EE">
        <w:rPr>
          <w:lang w:val="hy-AM"/>
        </w:rPr>
        <w:t xml:space="preserve"> </w:t>
      </w:r>
      <w:r w:rsidRPr="001748EE">
        <w:rPr>
          <w:rFonts w:cs="Sylfaen"/>
          <w:lang w:val="hy-AM"/>
        </w:rPr>
        <w:t>ծախսերի</w:t>
      </w:r>
      <w:r w:rsidRPr="001748EE">
        <w:rPr>
          <w:lang w:val="hy-AM"/>
        </w:rPr>
        <w:t xml:space="preserve"> </w:t>
      </w:r>
      <w:r w:rsidRPr="001748EE">
        <w:rPr>
          <w:rFonts w:cs="Sylfaen"/>
          <w:lang w:val="hy-AM"/>
        </w:rPr>
        <w:t xml:space="preserve">շուրջ  </w:t>
      </w:r>
      <w:r>
        <w:rPr>
          <w:rFonts w:cs="Sylfaen"/>
          <w:lang w:val="hy-AM"/>
        </w:rPr>
        <w:t>3</w:t>
      </w:r>
      <w:r w:rsidRPr="00924A42">
        <w:rPr>
          <w:rFonts w:cs="Sylfaen"/>
          <w:lang w:val="hy-AM"/>
        </w:rPr>
        <w:t>2</w:t>
      </w:r>
      <w:r>
        <w:rPr>
          <w:rFonts w:cs="Sylfaen"/>
          <w:lang w:val="hy-AM"/>
        </w:rPr>
        <w:t>.1</w:t>
      </w:r>
      <w:r w:rsidRPr="001748EE">
        <w:rPr>
          <w:rFonts w:cs="Sylfaen"/>
          <w:lang w:val="hy-AM"/>
        </w:rPr>
        <w:t xml:space="preserve"> </w:t>
      </w:r>
      <w:r w:rsidRPr="001748EE">
        <w:rPr>
          <w:lang w:val="hy-AM"/>
        </w:rPr>
        <w:t>%-</w:t>
      </w:r>
      <w:r w:rsidRPr="001748EE">
        <w:rPr>
          <w:rFonts w:cs="Sylfaen"/>
          <w:lang w:val="hy-AM"/>
        </w:rPr>
        <w:t>ը</w:t>
      </w:r>
      <w:r w:rsidRPr="001748EE">
        <w:rPr>
          <w:lang w:val="hy-AM"/>
        </w:rPr>
        <w:t xml:space="preserve"> (</w:t>
      </w:r>
      <w:r>
        <w:rPr>
          <w:lang w:val="hy-AM"/>
        </w:rPr>
        <w:t>30</w:t>
      </w:r>
      <w:r w:rsidRPr="00924A42">
        <w:rPr>
          <w:lang w:val="hy-AM"/>
        </w:rPr>
        <w:t>6</w:t>
      </w:r>
      <w:r>
        <w:rPr>
          <w:lang w:val="hy-AM"/>
        </w:rPr>
        <w:t>.</w:t>
      </w:r>
      <w:r w:rsidRPr="00924A42">
        <w:rPr>
          <w:lang w:val="hy-AM"/>
        </w:rPr>
        <w:t>8</w:t>
      </w:r>
      <w:r w:rsidRPr="001748EE">
        <w:rPr>
          <w:lang w:val="hy-AM"/>
        </w:rPr>
        <w:t xml:space="preserve"> </w:t>
      </w:r>
      <w:r w:rsidRPr="001748EE">
        <w:rPr>
          <w:rFonts w:cs="Sylfaen"/>
          <w:lang w:val="hy-AM"/>
        </w:rPr>
        <w:t>մլրդ</w:t>
      </w:r>
      <w:r w:rsidRPr="001748EE">
        <w:rPr>
          <w:lang w:val="hy-AM"/>
        </w:rPr>
        <w:t xml:space="preserve"> </w:t>
      </w:r>
      <w:r w:rsidRPr="001748EE">
        <w:rPr>
          <w:rFonts w:cs="Sylfaen"/>
          <w:lang w:val="hy-AM"/>
        </w:rPr>
        <w:t>դրամ</w:t>
      </w:r>
      <w:r w:rsidRPr="001748EE">
        <w:rPr>
          <w:lang w:val="hy-AM"/>
        </w:rPr>
        <w:t xml:space="preserve">) նախատեսվում է </w:t>
      </w:r>
      <w:r w:rsidRPr="001748EE">
        <w:rPr>
          <w:rFonts w:cs="Sylfaen"/>
          <w:lang w:val="hy-AM"/>
        </w:rPr>
        <w:t>ֆինան</w:t>
      </w:r>
      <w:r w:rsidRPr="001748EE">
        <w:rPr>
          <w:rFonts w:cs="Sylfaen"/>
          <w:lang w:val="hy-AM"/>
        </w:rPr>
        <w:softHyphen/>
      </w:r>
      <w:r w:rsidRPr="001748EE">
        <w:rPr>
          <w:rFonts w:cs="Sylfaen"/>
          <w:lang w:val="hy-AM"/>
        </w:rPr>
        <w:softHyphen/>
      </w:r>
      <w:r w:rsidRPr="001748EE">
        <w:rPr>
          <w:rFonts w:cs="Sylfaen"/>
          <w:lang w:val="hy-AM"/>
        </w:rPr>
        <w:softHyphen/>
        <w:t>սա</w:t>
      </w:r>
      <w:r w:rsidRPr="001748EE">
        <w:rPr>
          <w:rFonts w:cs="Sylfaen"/>
          <w:lang w:val="hy-AM"/>
        </w:rPr>
        <w:softHyphen/>
        <w:t>վորել</w:t>
      </w:r>
      <w:r w:rsidRPr="001748EE">
        <w:rPr>
          <w:lang w:val="hy-AM"/>
        </w:rPr>
        <w:t xml:space="preserve"> </w:t>
      </w:r>
      <w:r w:rsidRPr="001748EE">
        <w:rPr>
          <w:rFonts w:cs="Sylfaen"/>
          <w:lang w:val="hy-AM"/>
        </w:rPr>
        <w:t>արտաքին</w:t>
      </w:r>
      <w:r w:rsidRPr="001748EE">
        <w:rPr>
          <w:lang w:val="hy-AM"/>
        </w:rPr>
        <w:t xml:space="preserve"> </w:t>
      </w:r>
      <w:r w:rsidRPr="001748EE">
        <w:rPr>
          <w:rFonts w:cs="Sylfaen"/>
          <w:lang w:val="hy-AM"/>
        </w:rPr>
        <w:t>աղբյուր</w:t>
      </w:r>
      <w:r w:rsidRPr="001748EE">
        <w:rPr>
          <w:rFonts w:cs="Sylfaen"/>
          <w:lang w:val="hy-AM"/>
        </w:rPr>
        <w:softHyphen/>
        <w:t>ների</w:t>
      </w:r>
      <w:r>
        <w:rPr>
          <w:rFonts w:cs="Sylfaen"/>
          <w:lang w:val="hy-AM"/>
        </w:rPr>
        <w:t>, իսկ 6</w:t>
      </w:r>
      <w:r w:rsidRPr="00A77751">
        <w:rPr>
          <w:rFonts w:cs="Sylfaen"/>
          <w:lang w:val="hy-AM"/>
        </w:rPr>
        <w:t>7</w:t>
      </w:r>
      <w:r>
        <w:rPr>
          <w:rFonts w:cs="Sylfaen"/>
          <w:lang w:val="hy-AM"/>
        </w:rPr>
        <w:t>.9</w:t>
      </w:r>
      <w:r w:rsidRPr="001748EE">
        <w:rPr>
          <w:lang w:val="hy-AM"/>
        </w:rPr>
        <w:t>%-</w:t>
      </w:r>
      <w:r w:rsidRPr="001748EE">
        <w:rPr>
          <w:rFonts w:cs="Sylfaen"/>
          <w:lang w:val="hy-AM"/>
        </w:rPr>
        <w:t>ը</w:t>
      </w:r>
      <w:r w:rsidRPr="001748EE">
        <w:rPr>
          <w:lang w:val="hy-AM"/>
        </w:rPr>
        <w:t xml:space="preserve"> (</w:t>
      </w:r>
      <w:r>
        <w:rPr>
          <w:lang w:val="hy-AM"/>
        </w:rPr>
        <w:t>647.8</w:t>
      </w:r>
      <w:r w:rsidRPr="001748EE">
        <w:rPr>
          <w:lang w:val="hy-AM"/>
        </w:rPr>
        <w:t xml:space="preserve"> </w:t>
      </w:r>
      <w:r w:rsidRPr="001748EE">
        <w:rPr>
          <w:rFonts w:cs="Sylfaen"/>
          <w:lang w:val="hy-AM"/>
        </w:rPr>
        <w:t>մլրդ</w:t>
      </w:r>
      <w:r w:rsidRPr="001748EE">
        <w:rPr>
          <w:lang w:val="hy-AM"/>
        </w:rPr>
        <w:t xml:space="preserve"> </w:t>
      </w:r>
      <w:r w:rsidRPr="001748EE">
        <w:rPr>
          <w:rFonts w:cs="Sylfaen"/>
          <w:lang w:val="hy-AM"/>
        </w:rPr>
        <w:t>դրամ</w:t>
      </w:r>
      <w:r w:rsidRPr="001748EE">
        <w:rPr>
          <w:lang w:val="hy-AM"/>
        </w:rPr>
        <w:t>)</w:t>
      </w:r>
      <w:r>
        <w:rPr>
          <w:lang w:val="hy-AM"/>
        </w:rPr>
        <w:t>՝ ներքին աղբյուրների</w:t>
      </w:r>
      <w:r w:rsidRPr="001748EE">
        <w:rPr>
          <w:lang w:val="hy-AM"/>
        </w:rPr>
        <w:t xml:space="preserve">  </w:t>
      </w:r>
      <w:r w:rsidRPr="001748EE">
        <w:rPr>
          <w:rFonts w:cs="Sylfaen"/>
          <w:lang w:val="hy-AM"/>
        </w:rPr>
        <w:t>հաշվին</w:t>
      </w:r>
      <w:r w:rsidRPr="001748EE">
        <w:rPr>
          <w:lang w:val="hy-AM"/>
        </w:rPr>
        <w:t xml:space="preserve">: </w:t>
      </w:r>
      <w:r w:rsidRPr="001748EE">
        <w:rPr>
          <w:rFonts w:cs="Sylfaen"/>
          <w:lang w:val="hy-AM"/>
        </w:rPr>
        <w:t>Ոչ</w:t>
      </w:r>
      <w:r w:rsidRPr="001748EE">
        <w:rPr>
          <w:lang w:val="hy-AM"/>
        </w:rPr>
        <w:t xml:space="preserve"> </w:t>
      </w:r>
      <w:r w:rsidRPr="001748EE">
        <w:rPr>
          <w:rFonts w:cs="Sylfaen"/>
          <w:lang w:val="hy-AM"/>
        </w:rPr>
        <w:t>ֆինանսական</w:t>
      </w:r>
      <w:r w:rsidRPr="001748EE">
        <w:rPr>
          <w:lang w:val="hy-AM"/>
        </w:rPr>
        <w:t xml:space="preserve"> </w:t>
      </w:r>
      <w:r w:rsidRPr="001748EE">
        <w:rPr>
          <w:rFonts w:cs="Sylfaen"/>
          <w:lang w:val="hy-AM"/>
        </w:rPr>
        <w:t>ակտիվների</w:t>
      </w:r>
      <w:r w:rsidRPr="001748EE">
        <w:rPr>
          <w:lang w:val="hy-AM"/>
        </w:rPr>
        <w:t xml:space="preserve"> </w:t>
      </w:r>
      <w:r w:rsidRPr="001748EE">
        <w:rPr>
          <w:rFonts w:cs="Sylfaen"/>
          <w:lang w:val="hy-AM"/>
        </w:rPr>
        <w:t>գծով</w:t>
      </w:r>
      <w:r w:rsidRPr="001748EE">
        <w:rPr>
          <w:lang w:val="hy-AM"/>
        </w:rPr>
        <w:t xml:space="preserve"> </w:t>
      </w:r>
      <w:r w:rsidRPr="001748EE">
        <w:rPr>
          <w:rFonts w:cs="Sylfaen"/>
          <w:lang w:val="hy-AM"/>
        </w:rPr>
        <w:t>ծախսերի</w:t>
      </w:r>
      <w:r w:rsidRPr="001748EE">
        <w:rPr>
          <w:lang w:val="hy-AM"/>
        </w:rPr>
        <w:t xml:space="preserve"> </w:t>
      </w:r>
      <w:r w:rsidRPr="001748EE">
        <w:rPr>
          <w:rFonts w:cs="Sylfaen"/>
          <w:lang w:val="hy-AM"/>
        </w:rPr>
        <w:t>իրակա</w:t>
      </w:r>
      <w:r w:rsidRPr="001748EE">
        <w:rPr>
          <w:rFonts w:cs="Sylfaen"/>
          <w:lang w:val="hy-AM"/>
        </w:rPr>
        <w:softHyphen/>
        <w:t>նացման</w:t>
      </w:r>
      <w:r w:rsidRPr="001748EE">
        <w:rPr>
          <w:lang w:val="hy-AM"/>
        </w:rPr>
        <w:t xml:space="preserve"> </w:t>
      </w:r>
      <w:r w:rsidRPr="001748EE">
        <w:rPr>
          <w:rFonts w:cs="Sylfaen"/>
          <w:lang w:val="hy-AM"/>
        </w:rPr>
        <w:t>գե</w:t>
      </w:r>
      <w:r w:rsidRPr="001748EE">
        <w:rPr>
          <w:rFonts w:cs="Sylfaen"/>
          <w:lang w:val="hy-AM"/>
        </w:rPr>
        <w:softHyphen/>
        <w:t>րա</w:t>
      </w:r>
      <w:r w:rsidRPr="001748EE">
        <w:rPr>
          <w:rFonts w:cs="Sylfaen"/>
          <w:lang w:val="hy-AM"/>
        </w:rPr>
        <w:softHyphen/>
      </w:r>
      <w:r w:rsidRPr="001748EE">
        <w:rPr>
          <w:rFonts w:cs="Sylfaen"/>
          <w:lang w:val="hy-AM"/>
        </w:rPr>
        <w:softHyphen/>
        <w:t>կայու</w:t>
      </w:r>
      <w:r w:rsidRPr="001748EE">
        <w:rPr>
          <w:rFonts w:cs="Sylfaen"/>
          <w:lang w:val="hy-AM"/>
        </w:rPr>
        <w:softHyphen/>
        <w:t>թյունները</w:t>
      </w:r>
      <w:r w:rsidRPr="001748EE">
        <w:rPr>
          <w:lang w:val="hy-AM"/>
        </w:rPr>
        <w:t xml:space="preserve"> </w:t>
      </w:r>
      <w:r>
        <w:rPr>
          <w:lang w:val="hy-AM"/>
        </w:rPr>
        <w:t>հանդիսանալու են ինչպես ենթակառուցվածքային, այնպես էլ սոցիալական ոլորտներում ներդրումները</w:t>
      </w:r>
      <w:r>
        <w:rPr>
          <w:rFonts w:cs="Sylfaen"/>
          <w:lang w:val="hy-AM"/>
        </w:rPr>
        <w:t>:</w:t>
      </w:r>
    </w:p>
    <w:p w14:paraId="059CB36C" w14:textId="77777777" w:rsidR="00B11AEF" w:rsidRDefault="00B11AEF" w:rsidP="00B11AEF">
      <w:pPr>
        <w:rPr>
          <w:rFonts w:cs="Sylfaen"/>
          <w:sz w:val="20"/>
          <w:szCs w:val="20"/>
          <w:lang w:val="hy-AM"/>
        </w:rPr>
      </w:pPr>
    </w:p>
    <w:p w14:paraId="679BEDAE" w14:textId="77777777" w:rsidR="00B11AEF" w:rsidRDefault="00B11AEF" w:rsidP="00B11AEF">
      <w:pPr>
        <w:rPr>
          <w:rFonts w:cs="Sylfaen"/>
          <w:sz w:val="20"/>
          <w:szCs w:val="20"/>
          <w:lang w:val="hy-AM"/>
        </w:rPr>
      </w:pPr>
    </w:p>
    <w:p w14:paraId="63FA15EF" w14:textId="55F36FC0" w:rsidR="00B11AEF" w:rsidRDefault="00B11AEF" w:rsidP="00B11AEF">
      <w:pPr>
        <w:rPr>
          <w:sz w:val="20"/>
          <w:szCs w:val="20"/>
          <w:lang w:val="hy-AM"/>
        </w:rPr>
      </w:pPr>
      <w:r w:rsidRPr="009A7904">
        <w:rPr>
          <w:rFonts w:cs="Sylfaen"/>
          <w:b/>
          <w:sz w:val="20"/>
          <w:szCs w:val="20"/>
          <w:lang w:val="hy-AM"/>
        </w:rPr>
        <w:t>Աղյուսակ</w:t>
      </w:r>
      <w:r w:rsidRPr="009A7904">
        <w:rPr>
          <w:b/>
          <w:sz w:val="20"/>
          <w:szCs w:val="20"/>
          <w:lang w:val="af-ZA"/>
        </w:rPr>
        <w:t xml:space="preserve"> 4.</w:t>
      </w:r>
      <w:r>
        <w:rPr>
          <w:b/>
          <w:sz w:val="20"/>
          <w:szCs w:val="20"/>
          <w:lang w:val="af-ZA"/>
        </w:rPr>
        <w:t>4</w:t>
      </w:r>
      <w:r w:rsidRPr="009A7904">
        <w:rPr>
          <w:b/>
          <w:sz w:val="20"/>
          <w:szCs w:val="20"/>
          <w:lang w:val="hy-AM"/>
        </w:rPr>
        <w:t>.</w:t>
      </w:r>
      <w:r w:rsidRPr="00BE7F99">
        <w:rPr>
          <w:b/>
          <w:sz w:val="20"/>
          <w:szCs w:val="20"/>
          <w:lang w:val="hy-AM"/>
        </w:rPr>
        <w:t>3</w:t>
      </w:r>
      <w:r w:rsidRPr="005F3E1B">
        <w:rPr>
          <w:sz w:val="20"/>
          <w:szCs w:val="20"/>
          <w:lang w:val="af-ZA"/>
        </w:rPr>
        <w:t xml:space="preserve"> </w:t>
      </w:r>
      <w:r w:rsidRPr="009A7904">
        <w:rPr>
          <w:i/>
          <w:sz w:val="20"/>
          <w:szCs w:val="20"/>
          <w:lang w:val="af-ZA"/>
        </w:rPr>
        <w:t>202</w:t>
      </w:r>
      <w:r w:rsidR="00E7082B">
        <w:rPr>
          <w:i/>
          <w:sz w:val="20"/>
          <w:szCs w:val="20"/>
          <w:lang w:val="af-ZA"/>
        </w:rPr>
        <w:t>1</w:t>
      </w:r>
      <w:r w:rsidRPr="009A7904">
        <w:rPr>
          <w:i/>
          <w:sz w:val="20"/>
          <w:szCs w:val="20"/>
          <w:lang w:val="af-ZA"/>
        </w:rPr>
        <w:t>-202</w:t>
      </w:r>
      <w:r w:rsidR="00E7082B">
        <w:rPr>
          <w:i/>
          <w:sz w:val="20"/>
          <w:szCs w:val="20"/>
          <w:lang w:val="af-ZA"/>
        </w:rPr>
        <w:t>4</w:t>
      </w:r>
      <w:r w:rsidRPr="009A7904">
        <w:rPr>
          <w:i/>
          <w:sz w:val="20"/>
          <w:szCs w:val="20"/>
          <w:lang w:val="it-IT"/>
        </w:rPr>
        <w:t>թթ</w:t>
      </w:r>
      <w:r w:rsidRPr="009A7904">
        <w:rPr>
          <w:i/>
          <w:sz w:val="20"/>
          <w:szCs w:val="20"/>
          <w:lang w:val="af-ZA"/>
        </w:rPr>
        <w:t xml:space="preserve"> </w:t>
      </w:r>
      <w:r w:rsidRPr="009A7904">
        <w:rPr>
          <w:rFonts w:cs="Sylfaen"/>
          <w:i/>
          <w:sz w:val="20"/>
          <w:szCs w:val="20"/>
          <w:lang w:val="hy-AM"/>
        </w:rPr>
        <w:t>ոչ</w:t>
      </w:r>
      <w:r w:rsidRPr="009A7904">
        <w:rPr>
          <w:i/>
          <w:sz w:val="20"/>
          <w:szCs w:val="20"/>
          <w:lang w:val="hy-AM"/>
        </w:rPr>
        <w:t xml:space="preserve"> </w:t>
      </w:r>
      <w:r w:rsidRPr="009A7904">
        <w:rPr>
          <w:rFonts w:cs="Sylfaen"/>
          <w:i/>
          <w:sz w:val="20"/>
          <w:szCs w:val="20"/>
          <w:lang w:val="hy-AM"/>
        </w:rPr>
        <w:t>ֆինանսական</w:t>
      </w:r>
      <w:r w:rsidRPr="009A7904">
        <w:rPr>
          <w:i/>
          <w:sz w:val="20"/>
          <w:szCs w:val="20"/>
          <w:lang w:val="hy-AM"/>
        </w:rPr>
        <w:t xml:space="preserve"> </w:t>
      </w:r>
      <w:r w:rsidRPr="009A7904">
        <w:rPr>
          <w:rFonts w:cs="Sylfaen"/>
          <w:i/>
          <w:sz w:val="20"/>
          <w:szCs w:val="20"/>
          <w:lang w:val="hy-AM"/>
        </w:rPr>
        <w:t>ակտիվ</w:t>
      </w:r>
      <w:r w:rsidRPr="009A7904">
        <w:rPr>
          <w:rFonts w:cs="Sylfaen"/>
          <w:i/>
          <w:sz w:val="20"/>
          <w:szCs w:val="20"/>
          <w:lang w:val="hy-AM"/>
        </w:rPr>
        <w:softHyphen/>
        <w:t>ների</w:t>
      </w:r>
      <w:r w:rsidRPr="009A7904">
        <w:rPr>
          <w:i/>
          <w:sz w:val="20"/>
          <w:szCs w:val="20"/>
          <w:lang w:val="hy-AM"/>
        </w:rPr>
        <w:t xml:space="preserve"> </w:t>
      </w:r>
      <w:r w:rsidRPr="009A7904">
        <w:rPr>
          <w:rFonts w:cs="Sylfaen"/>
          <w:i/>
          <w:sz w:val="20"/>
          <w:szCs w:val="20"/>
          <w:lang w:val="hy-AM"/>
        </w:rPr>
        <w:t>գծով</w:t>
      </w:r>
      <w:r w:rsidRPr="009A7904">
        <w:rPr>
          <w:i/>
          <w:sz w:val="20"/>
          <w:szCs w:val="20"/>
          <w:lang w:val="hy-AM"/>
        </w:rPr>
        <w:t xml:space="preserve"> </w:t>
      </w:r>
      <w:r w:rsidRPr="009A7904">
        <w:rPr>
          <w:rFonts w:cs="Sylfaen"/>
          <w:i/>
          <w:sz w:val="20"/>
          <w:szCs w:val="20"/>
          <w:lang w:val="hy-AM"/>
        </w:rPr>
        <w:t>ծախսերի</w:t>
      </w:r>
      <w:r w:rsidRPr="009A7904">
        <w:rPr>
          <w:i/>
          <w:sz w:val="20"/>
          <w:szCs w:val="20"/>
          <w:lang w:val="hy-AM"/>
        </w:rPr>
        <w:t xml:space="preserve"> ֆինանսավորման կառուցվածը ըստ արտաքին և ներքին աղբյուրների</w:t>
      </w:r>
    </w:p>
    <w:p w14:paraId="0C2856FB" w14:textId="77777777" w:rsidR="00B11AEF" w:rsidRDefault="00B11AEF" w:rsidP="00B11AEF">
      <w:pPr>
        <w:jc w:val="right"/>
        <w:rPr>
          <w:sz w:val="20"/>
          <w:szCs w:val="20"/>
          <w:lang w:val="hy-AM"/>
        </w:rPr>
      </w:pPr>
      <w:r w:rsidRPr="006B2C4E">
        <w:rPr>
          <w:sz w:val="20"/>
          <w:szCs w:val="20"/>
          <w:lang w:val="hy-AM"/>
        </w:rPr>
        <w:t xml:space="preserve">մլն </w:t>
      </w:r>
      <w:r>
        <w:rPr>
          <w:sz w:val="20"/>
          <w:szCs w:val="20"/>
          <w:lang w:val="hy-AM"/>
        </w:rPr>
        <w:t>դրամ</w:t>
      </w:r>
    </w:p>
    <w:tbl>
      <w:tblPr>
        <w:tblW w:w="9923" w:type="dxa"/>
        <w:tblInd w:w="108" w:type="dxa"/>
        <w:tblLook w:val="04A0" w:firstRow="1" w:lastRow="0" w:firstColumn="1" w:lastColumn="0" w:noHBand="0" w:noVBand="1"/>
      </w:tblPr>
      <w:tblGrid>
        <w:gridCol w:w="3686"/>
        <w:gridCol w:w="1480"/>
        <w:gridCol w:w="1621"/>
        <w:gridCol w:w="1435"/>
        <w:gridCol w:w="1701"/>
      </w:tblGrid>
      <w:tr w:rsidR="00B11AEF" w:rsidRPr="007500B2" w14:paraId="383CDF9B" w14:textId="77777777" w:rsidTr="00B11AEF">
        <w:trPr>
          <w:trHeight w:val="600"/>
        </w:trPr>
        <w:tc>
          <w:tcPr>
            <w:tcW w:w="3686" w:type="dxa"/>
            <w:tcBorders>
              <w:top w:val="nil"/>
              <w:left w:val="single" w:sz="8" w:space="0" w:color="auto"/>
              <w:bottom w:val="single" w:sz="8" w:space="0" w:color="auto"/>
              <w:right w:val="single" w:sz="8" w:space="0" w:color="auto"/>
            </w:tcBorders>
            <w:shd w:val="clear" w:color="000000" w:fill="365F91"/>
            <w:vAlign w:val="center"/>
            <w:hideMark/>
          </w:tcPr>
          <w:p w14:paraId="029D96E8" w14:textId="77777777" w:rsidR="00B11AEF" w:rsidRPr="007500B2" w:rsidRDefault="00B11AEF" w:rsidP="00B11AEF">
            <w:pPr>
              <w:spacing w:before="0" w:after="0" w:line="240" w:lineRule="auto"/>
              <w:ind w:firstLine="0"/>
              <w:jc w:val="left"/>
              <w:rPr>
                <w:rFonts w:eastAsia="Times New Roman" w:cs="Times New Roman"/>
                <w:color w:val="FFFFFF"/>
                <w:sz w:val="20"/>
                <w:szCs w:val="20"/>
              </w:rPr>
            </w:pPr>
            <w:r w:rsidRPr="007500B2">
              <w:rPr>
                <w:rFonts w:eastAsia="Times New Roman" w:cs="Times New Roman"/>
                <w:color w:val="FFFFFF"/>
                <w:sz w:val="20"/>
                <w:szCs w:val="20"/>
              </w:rPr>
              <w:t>Ցուցանիշներ</w:t>
            </w:r>
          </w:p>
        </w:tc>
        <w:tc>
          <w:tcPr>
            <w:tcW w:w="1480" w:type="dxa"/>
            <w:tcBorders>
              <w:top w:val="nil"/>
              <w:left w:val="nil"/>
              <w:bottom w:val="single" w:sz="8" w:space="0" w:color="auto"/>
              <w:right w:val="single" w:sz="8" w:space="0" w:color="auto"/>
            </w:tcBorders>
            <w:shd w:val="clear" w:color="000000" w:fill="365F91"/>
            <w:vAlign w:val="center"/>
            <w:hideMark/>
          </w:tcPr>
          <w:p w14:paraId="72B2ECD6" w14:textId="77777777" w:rsidR="00B11AEF" w:rsidRPr="007500B2" w:rsidRDefault="00B11AEF" w:rsidP="00B11AEF">
            <w:pPr>
              <w:spacing w:before="0" w:after="0" w:line="240" w:lineRule="auto"/>
              <w:ind w:firstLine="0"/>
              <w:jc w:val="center"/>
              <w:rPr>
                <w:rFonts w:eastAsia="Times New Roman" w:cs="Times New Roman"/>
                <w:color w:val="FFFFFF"/>
                <w:sz w:val="20"/>
                <w:szCs w:val="20"/>
              </w:rPr>
            </w:pPr>
            <w:r w:rsidRPr="007500B2">
              <w:rPr>
                <w:rFonts w:eastAsia="Times New Roman" w:cs="Times New Roman"/>
                <w:color w:val="FFFFFF"/>
                <w:sz w:val="20"/>
                <w:szCs w:val="20"/>
              </w:rPr>
              <w:t xml:space="preserve">2021թ. </w:t>
            </w:r>
            <w:r w:rsidRPr="007500B2">
              <w:rPr>
                <w:rFonts w:eastAsia="Times New Roman" w:cs="Times New Roman"/>
                <w:color w:val="FFFFFF"/>
                <w:sz w:val="20"/>
                <w:szCs w:val="20"/>
              </w:rPr>
              <w:br/>
              <w:t>հաստատված</w:t>
            </w:r>
          </w:p>
        </w:tc>
        <w:tc>
          <w:tcPr>
            <w:tcW w:w="1621" w:type="dxa"/>
            <w:tcBorders>
              <w:top w:val="nil"/>
              <w:left w:val="nil"/>
              <w:bottom w:val="single" w:sz="8" w:space="0" w:color="auto"/>
              <w:right w:val="single" w:sz="8" w:space="0" w:color="auto"/>
            </w:tcBorders>
            <w:shd w:val="clear" w:color="000000" w:fill="365F91"/>
            <w:vAlign w:val="center"/>
            <w:hideMark/>
          </w:tcPr>
          <w:p w14:paraId="5534D48A" w14:textId="77777777" w:rsidR="00B11AEF" w:rsidRPr="007500B2" w:rsidRDefault="00B11AEF" w:rsidP="00B11AEF">
            <w:pPr>
              <w:spacing w:before="0" w:after="0" w:line="240" w:lineRule="auto"/>
              <w:ind w:firstLine="0"/>
              <w:jc w:val="center"/>
              <w:rPr>
                <w:rFonts w:eastAsia="Times New Roman" w:cs="Times New Roman"/>
                <w:color w:val="FFFFFF"/>
                <w:sz w:val="20"/>
                <w:szCs w:val="20"/>
              </w:rPr>
            </w:pPr>
            <w:r w:rsidRPr="007500B2">
              <w:rPr>
                <w:rFonts w:eastAsia="Times New Roman" w:cs="Times New Roman"/>
                <w:color w:val="FFFFFF"/>
                <w:sz w:val="20"/>
                <w:szCs w:val="20"/>
              </w:rPr>
              <w:t>2022թ.</w:t>
            </w:r>
          </w:p>
        </w:tc>
        <w:tc>
          <w:tcPr>
            <w:tcW w:w="1435" w:type="dxa"/>
            <w:tcBorders>
              <w:top w:val="nil"/>
              <w:left w:val="nil"/>
              <w:bottom w:val="single" w:sz="8" w:space="0" w:color="auto"/>
              <w:right w:val="single" w:sz="8" w:space="0" w:color="auto"/>
            </w:tcBorders>
            <w:shd w:val="clear" w:color="000000" w:fill="365F91"/>
            <w:vAlign w:val="center"/>
            <w:hideMark/>
          </w:tcPr>
          <w:p w14:paraId="66CA9A35" w14:textId="77777777" w:rsidR="00B11AEF" w:rsidRPr="007500B2" w:rsidRDefault="00B11AEF" w:rsidP="00B11AEF">
            <w:pPr>
              <w:spacing w:before="0" w:after="0" w:line="240" w:lineRule="auto"/>
              <w:ind w:firstLine="0"/>
              <w:jc w:val="center"/>
              <w:rPr>
                <w:rFonts w:eastAsia="Times New Roman" w:cs="Times New Roman"/>
                <w:color w:val="FFFFFF"/>
                <w:sz w:val="20"/>
                <w:szCs w:val="20"/>
              </w:rPr>
            </w:pPr>
            <w:r w:rsidRPr="007500B2">
              <w:rPr>
                <w:rFonts w:eastAsia="Times New Roman" w:cs="Times New Roman"/>
                <w:color w:val="FFFFFF"/>
                <w:sz w:val="20"/>
                <w:szCs w:val="20"/>
              </w:rPr>
              <w:t>2023թ</w:t>
            </w:r>
          </w:p>
        </w:tc>
        <w:tc>
          <w:tcPr>
            <w:tcW w:w="1701" w:type="dxa"/>
            <w:tcBorders>
              <w:top w:val="nil"/>
              <w:left w:val="nil"/>
              <w:bottom w:val="single" w:sz="8" w:space="0" w:color="auto"/>
              <w:right w:val="single" w:sz="8" w:space="0" w:color="auto"/>
            </w:tcBorders>
            <w:shd w:val="clear" w:color="000000" w:fill="365F91"/>
            <w:vAlign w:val="center"/>
            <w:hideMark/>
          </w:tcPr>
          <w:p w14:paraId="058AC890" w14:textId="77777777" w:rsidR="00B11AEF" w:rsidRPr="007500B2" w:rsidRDefault="00B11AEF" w:rsidP="00B11AEF">
            <w:pPr>
              <w:spacing w:before="0" w:after="0" w:line="240" w:lineRule="auto"/>
              <w:ind w:firstLine="0"/>
              <w:jc w:val="center"/>
              <w:rPr>
                <w:rFonts w:eastAsia="Times New Roman" w:cs="Times New Roman"/>
                <w:color w:val="FFFFFF"/>
                <w:sz w:val="20"/>
                <w:szCs w:val="20"/>
              </w:rPr>
            </w:pPr>
            <w:r w:rsidRPr="007500B2">
              <w:rPr>
                <w:rFonts w:eastAsia="Times New Roman" w:cs="Times New Roman"/>
                <w:color w:val="FFFFFF"/>
                <w:sz w:val="20"/>
                <w:szCs w:val="20"/>
              </w:rPr>
              <w:t>2024թ.</w:t>
            </w:r>
          </w:p>
        </w:tc>
      </w:tr>
      <w:tr w:rsidR="00B11AEF" w:rsidRPr="007500B2" w14:paraId="5F0A719C" w14:textId="77777777" w:rsidTr="00B11AEF">
        <w:trPr>
          <w:trHeight w:val="510"/>
        </w:trPr>
        <w:tc>
          <w:tcPr>
            <w:tcW w:w="3686" w:type="dxa"/>
            <w:tcBorders>
              <w:top w:val="nil"/>
              <w:left w:val="single" w:sz="8" w:space="0" w:color="auto"/>
              <w:bottom w:val="single" w:sz="8" w:space="0" w:color="auto"/>
              <w:right w:val="single" w:sz="8" w:space="0" w:color="auto"/>
            </w:tcBorders>
            <w:shd w:val="clear" w:color="000000" w:fill="C6D9F1"/>
            <w:vAlign w:val="center"/>
            <w:hideMark/>
          </w:tcPr>
          <w:p w14:paraId="125B05FE" w14:textId="77777777" w:rsidR="00B11AEF" w:rsidRPr="007500B2" w:rsidRDefault="00B11AEF" w:rsidP="00B11AEF">
            <w:pPr>
              <w:spacing w:before="0" w:after="0" w:line="240" w:lineRule="auto"/>
              <w:ind w:firstLine="0"/>
              <w:rPr>
                <w:rFonts w:eastAsia="Times New Roman" w:cs="Times New Roman"/>
                <w:b/>
                <w:bCs/>
                <w:color w:val="000000"/>
                <w:sz w:val="20"/>
                <w:szCs w:val="20"/>
              </w:rPr>
            </w:pPr>
            <w:r w:rsidRPr="007500B2">
              <w:rPr>
                <w:rFonts w:eastAsia="Times New Roman" w:cs="Times New Roman"/>
                <w:b/>
                <w:bCs/>
                <w:color w:val="000000"/>
                <w:sz w:val="20"/>
                <w:szCs w:val="20"/>
              </w:rPr>
              <w:t xml:space="preserve"> Ընդամենը </w:t>
            </w:r>
          </w:p>
        </w:tc>
        <w:tc>
          <w:tcPr>
            <w:tcW w:w="1480" w:type="dxa"/>
            <w:tcBorders>
              <w:top w:val="nil"/>
              <w:left w:val="nil"/>
              <w:bottom w:val="single" w:sz="8" w:space="0" w:color="auto"/>
              <w:right w:val="single" w:sz="8" w:space="0" w:color="auto"/>
            </w:tcBorders>
            <w:shd w:val="clear" w:color="000000" w:fill="C6D9F1"/>
            <w:vAlign w:val="center"/>
            <w:hideMark/>
          </w:tcPr>
          <w:p w14:paraId="49019C18"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216,320.2</w:t>
            </w:r>
          </w:p>
        </w:tc>
        <w:tc>
          <w:tcPr>
            <w:tcW w:w="1621" w:type="dxa"/>
            <w:tcBorders>
              <w:top w:val="nil"/>
              <w:left w:val="nil"/>
              <w:bottom w:val="single" w:sz="8" w:space="0" w:color="auto"/>
              <w:right w:val="single" w:sz="8" w:space="0" w:color="auto"/>
            </w:tcBorders>
            <w:shd w:val="clear" w:color="000000" w:fill="C6D9F1"/>
            <w:vAlign w:val="center"/>
            <w:hideMark/>
          </w:tcPr>
          <w:p w14:paraId="5DCE0EBF"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292,570.1</w:t>
            </w:r>
          </w:p>
        </w:tc>
        <w:tc>
          <w:tcPr>
            <w:tcW w:w="1435" w:type="dxa"/>
            <w:tcBorders>
              <w:top w:val="nil"/>
              <w:left w:val="nil"/>
              <w:bottom w:val="single" w:sz="8" w:space="0" w:color="auto"/>
              <w:right w:val="single" w:sz="8" w:space="0" w:color="auto"/>
            </w:tcBorders>
            <w:shd w:val="clear" w:color="000000" w:fill="C6D9F1"/>
            <w:vAlign w:val="center"/>
            <w:hideMark/>
          </w:tcPr>
          <w:p w14:paraId="4518A0E9"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308,107.8</w:t>
            </w:r>
          </w:p>
        </w:tc>
        <w:tc>
          <w:tcPr>
            <w:tcW w:w="1701" w:type="dxa"/>
            <w:tcBorders>
              <w:top w:val="nil"/>
              <w:left w:val="nil"/>
              <w:bottom w:val="single" w:sz="8" w:space="0" w:color="auto"/>
              <w:right w:val="single" w:sz="8" w:space="0" w:color="auto"/>
            </w:tcBorders>
            <w:shd w:val="clear" w:color="000000" w:fill="C6D9F1"/>
            <w:vAlign w:val="center"/>
            <w:hideMark/>
          </w:tcPr>
          <w:p w14:paraId="5CE1D738"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353,911.4</w:t>
            </w:r>
          </w:p>
        </w:tc>
      </w:tr>
      <w:tr w:rsidR="00B11AEF" w:rsidRPr="007500B2" w14:paraId="3EB0741F"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2EB54796" w14:textId="77777777" w:rsidR="00B11AEF" w:rsidRPr="007500B2" w:rsidRDefault="00B11AEF" w:rsidP="00B11AEF">
            <w:pPr>
              <w:spacing w:before="0" w:after="0" w:line="240" w:lineRule="auto"/>
              <w:ind w:firstLine="0"/>
              <w:rPr>
                <w:rFonts w:eastAsia="Times New Roman" w:cs="Times New Roman"/>
                <w:b/>
                <w:bCs/>
                <w:i/>
                <w:iCs/>
                <w:color w:val="000000"/>
                <w:sz w:val="20"/>
                <w:szCs w:val="20"/>
              </w:rPr>
            </w:pPr>
            <w:r w:rsidRPr="007500B2">
              <w:rPr>
                <w:rFonts w:eastAsia="Times New Roman" w:cs="Times New Roman"/>
                <w:b/>
                <w:bCs/>
                <w:i/>
                <w:iCs/>
                <w:color w:val="000000"/>
                <w:sz w:val="20"/>
                <w:szCs w:val="20"/>
              </w:rPr>
              <w:t xml:space="preserve"> -  արտաքին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7B881E21"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83,311.1</w:t>
            </w:r>
          </w:p>
        </w:tc>
        <w:tc>
          <w:tcPr>
            <w:tcW w:w="1621" w:type="dxa"/>
            <w:tcBorders>
              <w:top w:val="nil"/>
              <w:left w:val="nil"/>
              <w:bottom w:val="single" w:sz="8" w:space="0" w:color="auto"/>
              <w:right w:val="single" w:sz="8" w:space="0" w:color="auto"/>
            </w:tcBorders>
            <w:shd w:val="clear" w:color="000000" w:fill="FFFFFF"/>
            <w:vAlign w:val="center"/>
            <w:hideMark/>
          </w:tcPr>
          <w:p w14:paraId="2FF8D39F"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67,601.2</w:t>
            </w:r>
          </w:p>
        </w:tc>
        <w:tc>
          <w:tcPr>
            <w:tcW w:w="1435" w:type="dxa"/>
            <w:tcBorders>
              <w:top w:val="nil"/>
              <w:left w:val="nil"/>
              <w:bottom w:val="single" w:sz="8" w:space="0" w:color="auto"/>
              <w:right w:val="single" w:sz="8" w:space="0" w:color="auto"/>
            </w:tcBorders>
            <w:shd w:val="clear" w:color="000000" w:fill="FFFFFF"/>
            <w:vAlign w:val="center"/>
            <w:hideMark/>
          </w:tcPr>
          <w:p w14:paraId="77DB4982"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113,380.0</w:t>
            </w:r>
          </w:p>
        </w:tc>
        <w:tc>
          <w:tcPr>
            <w:tcW w:w="1701" w:type="dxa"/>
            <w:tcBorders>
              <w:top w:val="nil"/>
              <w:left w:val="nil"/>
              <w:bottom w:val="single" w:sz="8" w:space="0" w:color="auto"/>
              <w:right w:val="single" w:sz="8" w:space="0" w:color="auto"/>
            </w:tcBorders>
            <w:shd w:val="clear" w:color="000000" w:fill="FFFFFF"/>
            <w:vAlign w:val="center"/>
            <w:hideMark/>
          </w:tcPr>
          <w:p w14:paraId="329FFCC2"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125,858.5</w:t>
            </w:r>
          </w:p>
        </w:tc>
      </w:tr>
      <w:tr w:rsidR="00B11AEF" w:rsidRPr="007500B2" w14:paraId="4E5B8F81"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12639458" w14:textId="77777777" w:rsidR="00B11AEF" w:rsidRPr="007500B2" w:rsidRDefault="00B11AEF" w:rsidP="00B11AEF">
            <w:pPr>
              <w:spacing w:before="0" w:after="0" w:line="240" w:lineRule="auto"/>
              <w:ind w:firstLine="0"/>
              <w:rPr>
                <w:rFonts w:eastAsia="Times New Roman" w:cs="Times New Roman"/>
                <w:b/>
                <w:bCs/>
                <w:i/>
                <w:iCs/>
                <w:color w:val="000000"/>
                <w:sz w:val="20"/>
                <w:szCs w:val="20"/>
              </w:rPr>
            </w:pPr>
            <w:r w:rsidRPr="007500B2">
              <w:rPr>
                <w:rFonts w:eastAsia="Times New Roman" w:cs="Times New Roman"/>
                <w:b/>
                <w:bCs/>
                <w:i/>
                <w:iCs/>
                <w:color w:val="000000"/>
                <w:sz w:val="20"/>
                <w:szCs w:val="20"/>
              </w:rPr>
              <w:t xml:space="preserve"> -  ներքին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113EA799"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133,009.1</w:t>
            </w:r>
          </w:p>
        </w:tc>
        <w:tc>
          <w:tcPr>
            <w:tcW w:w="1621" w:type="dxa"/>
            <w:tcBorders>
              <w:top w:val="nil"/>
              <w:left w:val="nil"/>
              <w:bottom w:val="single" w:sz="8" w:space="0" w:color="auto"/>
              <w:right w:val="single" w:sz="8" w:space="0" w:color="auto"/>
            </w:tcBorders>
            <w:shd w:val="clear" w:color="000000" w:fill="FFFFFF"/>
            <w:vAlign w:val="center"/>
            <w:hideMark/>
          </w:tcPr>
          <w:p w14:paraId="2BB051D4"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25,036.7</w:t>
            </w:r>
          </w:p>
        </w:tc>
        <w:tc>
          <w:tcPr>
            <w:tcW w:w="1435" w:type="dxa"/>
            <w:tcBorders>
              <w:top w:val="nil"/>
              <w:left w:val="nil"/>
              <w:bottom w:val="single" w:sz="8" w:space="0" w:color="auto"/>
              <w:right w:val="single" w:sz="8" w:space="0" w:color="auto"/>
            </w:tcBorders>
            <w:shd w:val="clear" w:color="000000" w:fill="FFFFFF"/>
            <w:vAlign w:val="center"/>
            <w:hideMark/>
          </w:tcPr>
          <w:p w14:paraId="2640032A"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10,207.9</w:t>
            </w:r>
          </w:p>
        </w:tc>
        <w:tc>
          <w:tcPr>
            <w:tcW w:w="1701" w:type="dxa"/>
            <w:tcBorders>
              <w:top w:val="nil"/>
              <w:left w:val="nil"/>
              <w:bottom w:val="single" w:sz="8" w:space="0" w:color="auto"/>
              <w:right w:val="single" w:sz="8" w:space="0" w:color="auto"/>
            </w:tcBorders>
            <w:shd w:val="clear" w:color="000000" w:fill="FFFFFF"/>
            <w:vAlign w:val="center"/>
            <w:hideMark/>
          </w:tcPr>
          <w:p w14:paraId="00C6313D"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8,106.2</w:t>
            </w:r>
          </w:p>
        </w:tc>
      </w:tr>
      <w:tr w:rsidR="00B11AEF" w:rsidRPr="007500B2" w14:paraId="167E9811"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299D375C" w14:textId="77777777" w:rsidR="00B11AEF" w:rsidRPr="007500B2" w:rsidRDefault="00B11AEF" w:rsidP="00B11AEF">
            <w:pPr>
              <w:spacing w:before="0" w:after="0" w:line="240" w:lineRule="auto"/>
              <w:ind w:firstLine="0"/>
              <w:rPr>
                <w:rFonts w:eastAsia="Times New Roman" w:cs="Times New Roman"/>
                <w:b/>
                <w:bCs/>
                <w:i/>
                <w:iCs/>
                <w:color w:val="000000"/>
                <w:sz w:val="20"/>
                <w:szCs w:val="20"/>
              </w:rPr>
            </w:pPr>
            <w:r w:rsidRPr="007500B2">
              <w:rPr>
                <w:rFonts w:eastAsia="Times New Roman" w:cs="Times New Roman"/>
                <w:b/>
                <w:bCs/>
                <w:i/>
                <w:iCs/>
                <w:color w:val="000000"/>
                <w:sz w:val="20"/>
                <w:szCs w:val="20"/>
              </w:rPr>
              <w:t xml:space="preserve"> -  չբաշխված </w:t>
            </w:r>
          </w:p>
        </w:tc>
        <w:tc>
          <w:tcPr>
            <w:tcW w:w="1480" w:type="dxa"/>
            <w:tcBorders>
              <w:top w:val="nil"/>
              <w:left w:val="nil"/>
              <w:bottom w:val="single" w:sz="8" w:space="0" w:color="auto"/>
              <w:right w:val="single" w:sz="8" w:space="0" w:color="auto"/>
            </w:tcBorders>
            <w:shd w:val="clear" w:color="000000" w:fill="FFFFFF"/>
            <w:vAlign w:val="center"/>
            <w:hideMark/>
          </w:tcPr>
          <w:p w14:paraId="0F618E28"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0.0</w:t>
            </w:r>
          </w:p>
        </w:tc>
        <w:tc>
          <w:tcPr>
            <w:tcW w:w="1621" w:type="dxa"/>
            <w:tcBorders>
              <w:top w:val="nil"/>
              <w:left w:val="nil"/>
              <w:bottom w:val="single" w:sz="8" w:space="0" w:color="auto"/>
              <w:right w:val="single" w:sz="8" w:space="0" w:color="auto"/>
            </w:tcBorders>
            <w:shd w:val="clear" w:color="000000" w:fill="FFFFFF"/>
            <w:vAlign w:val="center"/>
            <w:hideMark/>
          </w:tcPr>
          <w:p w14:paraId="2C973DD1"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199,932.2</w:t>
            </w:r>
          </w:p>
        </w:tc>
        <w:tc>
          <w:tcPr>
            <w:tcW w:w="1435" w:type="dxa"/>
            <w:tcBorders>
              <w:top w:val="nil"/>
              <w:left w:val="nil"/>
              <w:bottom w:val="single" w:sz="8" w:space="0" w:color="auto"/>
              <w:right w:val="single" w:sz="8" w:space="0" w:color="auto"/>
            </w:tcBorders>
            <w:shd w:val="clear" w:color="000000" w:fill="FFFFFF"/>
            <w:vAlign w:val="center"/>
            <w:hideMark/>
          </w:tcPr>
          <w:p w14:paraId="412B57FD"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184,519.9</w:t>
            </w:r>
          </w:p>
        </w:tc>
        <w:tc>
          <w:tcPr>
            <w:tcW w:w="1701" w:type="dxa"/>
            <w:tcBorders>
              <w:top w:val="nil"/>
              <w:left w:val="nil"/>
              <w:bottom w:val="single" w:sz="8" w:space="0" w:color="auto"/>
              <w:right w:val="single" w:sz="8" w:space="0" w:color="auto"/>
            </w:tcBorders>
            <w:shd w:val="clear" w:color="000000" w:fill="FFFFFF"/>
            <w:vAlign w:val="center"/>
            <w:hideMark/>
          </w:tcPr>
          <w:p w14:paraId="36DB4F51" w14:textId="77777777" w:rsidR="00B11AEF" w:rsidRPr="007500B2" w:rsidRDefault="00B11AEF" w:rsidP="00B11AEF">
            <w:pPr>
              <w:spacing w:before="0" w:after="0" w:line="240" w:lineRule="auto"/>
              <w:ind w:firstLine="0"/>
              <w:jc w:val="center"/>
              <w:rPr>
                <w:rFonts w:eastAsia="Times New Roman" w:cs="Times New Roman"/>
                <w:b/>
                <w:bCs/>
                <w:i/>
                <w:iCs/>
                <w:color w:val="000000"/>
                <w:sz w:val="20"/>
                <w:szCs w:val="20"/>
              </w:rPr>
            </w:pPr>
            <w:r w:rsidRPr="007500B2">
              <w:rPr>
                <w:rFonts w:eastAsia="Times New Roman" w:cs="Times New Roman"/>
                <w:b/>
                <w:bCs/>
                <w:i/>
                <w:iCs/>
                <w:color w:val="000000"/>
                <w:sz w:val="20"/>
                <w:szCs w:val="20"/>
              </w:rPr>
              <w:t>219,946.7</w:t>
            </w:r>
          </w:p>
        </w:tc>
      </w:tr>
      <w:tr w:rsidR="00B11AEF" w:rsidRPr="007500B2" w14:paraId="458F0CFF"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C6D9F1"/>
            <w:vAlign w:val="center"/>
            <w:hideMark/>
          </w:tcPr>
          <w:p w14:paraId="119C7C26" w14:textId="77777777" w:rsidR="00B11AEF" w:rsidRPr="007500B2" w:rsidRDefault="00B11AEF" w:rsidP="00B11AEF">
            <w:pPr>
              <w:spacing w:before="0" w:after="0" w:line="240" w:lineRule="auto"/>
              <w:ind w:firstLine="0"/>
              <w:rPr>
                <w:rFonts w:eastAsia="Times New Roman" w:cs="Times New Roman"/>
                <w:b/>
                <w:bCs/>
                <w:color w:val="000000"/>
                <w:sz w:val="20"/>
                <w:szCs w:val="20"/>
              </w:rPr>
            </w:pPr>
            <w:r w:rsidRPr="007500B2">
              <w:rPr>
                <w:rFonts w:eastAsia="Times New Roman" w:cs="Times New Roman"/>
                <w:b/>
                <w:bCs/>
                <w:color w:val="000000"/>
                <w:sz w:val="20"/>
                <w:szCs w:val="20"/>
              </w:rPr>
              <w:t xml:space="preserve"> Տրանսպորտ, այդ թվում </w:t>
            </w:r>
          </w:p>
        </w:tc>
        <w:tc>
          <w:tcPr>
            <w:tcW w:w="1480" w:type="dxa"/>
            <w:tcBorders>
              <w:top w:val="nil"/>
              <w:left w:val="nil"/>
              <w:bottom w:val="single" w:sz="8" w:space="0" w:color="auto"/>
              <w:right w:val="single" w:sz="8" w:space="0" w:color="auto"/>
            </w:tcBorders>
            <w:shd w:val="clear" w:color="000000" w:fill="C6D9F1"/>
            <w:vAlign w:val="center"/>
            <w:hideMark/>
          </w:tcPr>
          <w:p w14:paraId="3B538B95"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58,832.5</w:t>
            </w:r>
          </w:p>
        </w:tc>
        <w:tc>
          <w:tcPr>
            <w:tcW w:w="1621" w:type="dxa"/>
            <w:tcBorders>
              <w:top w:val="nil"/>
              <w:left w:val="nil"/>
              <w:bottom w:val="single" w:sz="8" w:space="0" w:color="auto"/>
              <w:right w:val="single" w:sz="8" w:space="0" w:color="auto"/>
            </w:tcBorders>
            <w:shd w:val="clear" w:color="000000" w:fill="C6D9F1"/>
            <w:vAlign w:val="center"/>
            <w:hideMark/>
          </w:tcPr>
          <w:p w14:paraId="0F1E9B70"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25,117.9</w:t>
            </w:r>
          </w:p>
        </w:tc>
        <w:tc>
          <w:tcPr>
            <w:tcW w:w="1435" w:type="dxa"/>
            <w:tcBorders>
              <w:top w:val="nil"/>
              <w:left w:val="nil"/>
              <w:bottom w:val="single" w:sz="8" w:space="0" w:color="auto"/>
              <w:right w:val="single" w:sz="8" w:space="0" w:color="auto"/>
            </w:tcBorders>
            <w:shd w:val="clear" w:color="000000" w:fill="C6D9F1"/>
            <w:vAlign w:val="center"/>
            <w:hideMark/>
          </w:tcPr>
          <w:p w14:paraId="243DD608"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33,292.7</w:t>
            </w:r>
          </w:p>
        </w:tc>
        <w:tc>
          <w:tcPr>
            <w:tcW w:w="1701" w:type="dxa"/>
            <w:tcBorders>
              <w:top w:val="nil"/>
              <w:left w:val="nil"/>
              <w:bottom w:val="single" w:sz="8" w:space="0" w:color="auto"/>
              <w:right w:val="single" w:sz="8" w:space="0" w:color="auto"/>
            </w:tcBorders>
            <w:shd w:val="clear" w:color="000000" w:fill="C6D9F1"/>
            <w:vAlign w:val="center"/>
            <w:hideMark/>
          </w:tcPr>
          <w:p w14:paraId="7348A92D"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95,466.3</w:t>
            </w:r>
          </w:p>
        </w:tc>
      </w:tr>
      <w:tr w:rsidR="00B11AEF" w:rsidRPr="007500B2" w14:paraId="7157A855"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1BF270F9"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արտաքին աղբյուրներ </w:t>
            </w:r>
          </w:p>
        </w:tc>
        <w:tc>
          <w:tcPr>
            <w:tcW w:w="1480" w:type="dxa"/>
            <w:tcBorders>
              <w:top w:val="nil"/>
              <w:left w:val="nil"/>
              <w:bottom w:val="single" w:sz="8" w:space="0" w:color="auto"/>
              <w:right w:val="single" w:sz="8" w:space="0" w:color="auto"/>
            </w:tcBorders>
            <w:shd w:val="clear" w:color="auto" w:fill="auto"/>
            <w:vAlign w:val="center"/>
            <w:hideMark/>
          </w:tcPr>
          <w:p w14:paraId="3EE4CE3C"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24,692.3</w:t>
            </w:r>
          </w:p>
        </w:tc>
        <w:tc>
          <w:tcPr>
            <w:tcW w:w="1621" w:type="dxa"/>
            <w:tcBorders>
              <w:top w:val="nil"/>
              <w:left w:val="nil"/>
              <w:bottom w:val="single" w:sz="8" w:space="0" w:color="auto"/>
              <w:right w:val="single" w:sz="8" w:space="0" w:color="auto"/>
            </w:tcBorders>
            <w:shd w:val="clear" w:color="000000" w:fill="FFFFFF"/>
            <w:vAlign w:val="center"/>
            <w:hideMark/>
          </w:tcPr>
          <w:p w14:paraId="6AC89C1A"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25,117.9</w:t>
            </w:r>
          </w:p>
        </w:tc>
        <w:tc>
          <w:tcPr>
            <w:tcW w:w="1435" w:type="dxa"/>
            <w:tcBorders>
              <w:top w:val="nil"/>
              <w:left w:val="nil"/>
              <w:bottom w:val="single" w:sz="8" w:space="0" w:color="auto"/>
              <w:right w:val="single" w:sz="8" w:space="0" w:color="auto"/>
            </w:tcBorders>
            <w:shd w:val="clear" w:color="000000" w:fill="FFFFFF"/>
            <w:vAlign w:val="center"/>
            <w:hideMark/>
          </w:tcPr>
          <w:p w14:paraId="2D197627"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33,292.7</w:t>
            </w:r>
          </w:p>
        </w:tc>
        <w:tc>
          <w:tcPr>
            <w:tcW w:w="1701" w:type="dxa"/>
            <w:tcBorders>
              <w:top w:val="nil"/>
              <w:left w:val="nil"/>
              <w:bottom w:val="single" w:sz="8" w:space="0" w:color="auto"/>
              <w:right w:val="single" w:sz="8" w:space="0" w:color="auto"/>
            </w:tcBorders>
            <w:shd w:val="clear" w:color="auto" w:fill="auto"/>
            <w:vAlign w:val="center"/>
            <w:hideMark/>
          </w:tcPr>
          <w:p w14:paraId="44D66E70"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95,466.3</w:t>
            </w:r>
          </w:p>
        </w:tc>
      </w:tr>
      <w:tr w:rsidR="00B11AEF" w:rsidRPr="007500B2" w14:paraId="342CD564"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4AE1C96D"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ներքին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52F940E0"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34,140.2</w:t>
            </w:r>
          </w:p>
        </w:tc>
        <w:tc>
          <w:tcPr>
            <w:tcW w:w="1621" w:type="dxa"/>
            <w:tcBorders>
              <w:top w:val="nil"/>
              <w:left w:val="nil"/>
              <w:bottom w:val="single" w:sz="8" w:space="0" w:color="auto"/>
              <w:right w:val="single" w:sz="8" w:space="0" w:color="auto"/>
            </w:tcBorders>
            <w:shd w:val="clear" w:color="000000" w:fill="FFFFFF"/>
            <w:vAlign w:val="center"/>
            <w:hideMark/>
          </w:tcPr>
          <w:p w14:paraId="3F3AA8E4"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c>
          <w:tcPr>
            <w:tcW w:w="1435" w:type="dxa"/>
            <w:tcBorders>
              <w:top w:val="nil"/>
              <w:left w:val="nil"/>
              <w:bottom w:val="single" w:sz="8" w:space="0" w:color="auto"/>
              <w:right w:val="single" w:sz="8" w:space="0" w:color="auto"/>
            </w:tcBorders>
            <w:shd w:val="clear" w:color="000000" w:fill="FFFFFF"/>
            <w:vAlign w:val="center"/>
            <w:hideMark/>
          </w:tcPr>
          <w:p w14:paraId="486E12A9"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c>
          <w:tcPr>
            <w:tcW w:w="1701" w:type="dxa"/>
            <w:tcBorders>
              <w:top w:val="nil"/>
              <w:left w:val="nil"/>
              <w:bottom w:val="single" w:sz="8" w:space="0" w:color="auto"/>
              <w:right w:val="single" w:sz="8" w:space="0" w:color="auto"/>
            </w:tcBorders>
            <w:shd w:val="clear" w:color="000000" w:fill="FFFFFF"/>
            <w:vAlign w:val="center"/>
            <w:hideMark/>
          </w:tcPr>
          <w:p w14:paraId="41CEC372"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r>
      <w:tr w:rsidR="00B11AEF" w:rsidRPr="007500B2" w14:paraId="0F6BD3CC"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C6D9F1"/>
            <w:vAlign w:val="center"/>
            <w:hideMark/>
          </w:tcPr>
          <w:p w14:paraId="3703232A" w14:textId="77777777" w:rsidR="00B11AEF" w:rsidRPr="007500B2" w:rsidRDefault="00B11AEF" w:rsidP="00B11AEF">
            <w:pPr>
              <w:spacing w:before="0" w:after="0" w:line="240" w:lineRule="auto"/>
              <w:ind w:firstLine="0"/>
              <w:rPr>
                <w:rFonts w:eastAsia="Times New Roman" w:cs="Times New Roman"/>
                <w:b/>
                <w:bCs/>
                <w:color w:val="000000"/>
                <w:sz w:val="20"/>
                <w:szCs w:val="20"/>
              </w:rPr>
            </w:pPr>
            <w:r w:rsidRPr="007500B2">
              <w:rPr>
                <w:rFonts w:eastAsia="Times New Roman" w:cs="Times New Roman"/>
                <w:b/>
                <w:bCs/>
                <w:color w:val="000000"/>
                <w:sz w:val="20"/>
                <w:szCs w:val="20"/>
              </w:rPr>
              <w:t xml:space="preserve"> Էներգետիկա, այդ թվում </w:t>
            </w:r>
          </w:p>
        </w:tc>
        <w:tc>
          <w:tcPr>
            <w:tcW w:w="1480" w:type="dxa"/>
            <w:tcBorders>
              <w:top w:val="nil"/>
              <w:left w:val="nil"/>
              <w:bottom w:val="single" w:sz="8" w:space="0" w:color="auto"/>
              <w:right w:val="single" w:sz="8" w:space="0" w:color="auto"/>
            </w:tcBorders>
            <w:shd w:val="clear" w:color="000000" w:fill="C6D9F1"/>
            <w:vAlign w:val="center"/>
            <w:hideMark/>
          </w:tcPr>
          <w:p w14:paraId="0E68C0D4"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1,207.0</w:t>
            </w:r>
          </w:p>
        </w:tc>
        <w:tc>
          <w:tcPr>
            <w:tcW w:w="1621" w:type="dxa"/>
            <w:tcBorders>
              <w:top w:val="nil"/>
              <w:left w:val="nil"/>
              <w:bottom w:val="single" w:sz="8" w:space="0" w:color="auto"/>
              <w:right w:val="single" w:sz="8" w:space="0" w:color="auto"/>
            </w:tcBorders>
            <w:shd w:val="clear" w:color="000000" w:fill="C6D9F1"/>
            <w:vAlign w:val="center"/>
            <w:hideMark/>
          </w:tcPr>
          <w:p w14:paraId="63BA2BD4"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765.5</w:t>
            </w:r>
          </w:p>
        </w:tc>
        <w:tc>
          <w:tcPr>
            <w:tcW w:w="1435" w:type="dxa"/>
            <w:tcBorders>
              <w:top w:val="nil"/>
              <w:left w:val="nil"/>
              <w:bottom w:val="single" w:sz="8" w:space="0" w:color="auto"/>
              <w:right w:val="single" w:sz="8" w:space="0" w:color="auto"/>
            </w:tcBorders>
            <w:shd w:val="clear" w:color="000000" w:fill="C6D9F1"/>
            <w:vAlign w:val="center"/>
            <w:hideMark/>
          </w:tcPr>
          <w:p w14:paraId="7830414C"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1,013.3</w:t>
            </w:r>
          </w:p>
        </w:tc>
        <w:tc>
          <w:tcPr>
            <w:tcW w:w="1701" w:type="dxa"/>
            <w:tcBorders>
              <w:top w:val="nil"/>
              <w:left w:val="nil"/>
              <w:bottom w:val="single" w:sz="8" w:space="0" w:color="auto"/>
              <w:right w:val="single" w:sz="8" w:space="0" w:color="auto"/>
            </w:tcBorders>
            <w:shd w:val="clear" w:color="000000" w:fill="C6D9F1"/>
            <w:vAlign w:val="center"/>
            <w:hideMark/>
          </w:tcPr>
          <w:p w14:paraId="6E460647"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1,936.0</w:t>
            </w:r>
          </w:p>
        </w:tc>
      </w:tr>
      <w:tr w:rsidR="00B11AEF" w:rsidRPr="007500B2" w14:paraId="67CD00C2"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36A8F248"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արտաքին աղբյուրներ </w:t>
            </w:r>
          </w:p>
        </w:tc>
        <w:tc>
          <w:tcPr>
            <w:tcW w:w="1480" w:type="dxa"/>
            <w:tcBorders>
              <w:top w:val="nil"/>
              <w:left w:val="nil"/>
              <w:bottom w:val="single" w:sz="8" w:space="0" w:color="auto"/>
              <w:right w:val="single" w:sz="8" w:space="0" w:color="auto"/>
            </w:tcBorders>
            <w:shd w:val="clear" w:color="auto" w:fill="auto"/>
            <w:vAlign w:val="center"/>
            <w:hideMark/>
          </w:tcPr>
          <w:p w14:paraId="0A637E57"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1,207.0</w:t>
            </w:r>
          </w:p>
        </w:tc>
        <w:tc>
          <w:tcPr>
            <w:tcW w:w="1621" w:type="dxa"/>
            <w:tcBorders>
              <w:top w:val="nil"/>
              <w:left w:val="nil"/>
              <w:bottom w:val="single" w:sz="8" w:space="0" w:color="auto"/>
              <w:right w:val="single" w:sz="8" w:space="0" w:color="auto"/>
            </w:tcBorders>
            <w:shd w:val="clear" w:color="000000" w:fill="FFFFFF"/>
            <w:vAlign w:val="center"/>
            <w:hideMark/>
          </w:tcPr>
          <w:p w14:paraId="25F27C57"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765.5</w:t>
            </w:r>
          </w:p>
        </w:tc>
        <w:tc>
          <w:tcPr>
            <w:tcW w:w="1435" w:type="dxa"/>
            <w:tcBorders>
              <w:top w:val="nil"/>
              <w:left w:val="nil"/>
              <w:bottom w:val="single" w:sz="8" w:space="0" w:color="auto"/>
              <w:right w:val="single" w:sz="8" w:space="0" w:color="auto"/>
            </w:tcBorders>
            <w:shd w:val="clear" w:color="000000" w:fill="FFFFFF"/>
            <w:vAlign w:val="center"/>
            <w:hideMark/>
          </w:tcPr>
          <w:p w14:paraId="6298D9F0"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1,013.3</w:t>
            </w:r>
          </w:p>
        </w:tc>
        <w:tc>
          <w:tcPr>
            <w:tcW w:w="1701" w:type="dxa"/>
            <w:tcBorders>
              <w:top w:val="nil"/>
              <w:left w:val="nil"/>
              <w:bottom w:val="single" w:sz="8" w:space="0" w:color="auto"/>
              <w:right w:val="single" w:sz="8" w:space="0" w:color="auto"/>
            </w:tcBorders>
            <w:shd w:val="clear" w:color="auto" w:fill="auto"/>
            <w:vAlign w:val="center"/>
            <w:hideMark/>
          </w:tcPr>
          <w:p w14:paraId="1CEDBF34"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1,936.0</w:t>
            </w:r>
          </w:p>
        </w:tc>
      </w:tr>
      <w:tr w:rsidR="00B11AEF" w:rsidRPr="007500B2" w14:paraId="36C3AAE3"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3EA30EA2"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ներքին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107535DF" w14:textId="77777777" w:rsidR="00B11AEF" w:rsidRPr="007500B2" w:rsidRDefault="00B11AEF" w:rsidP="00B11AEF">
            <w:pPr>
              <w:spacing w:before="0" w:after="0" w:line="240" w:lineRule="auto"/>
              <w:ind w:firstLine="0"/>
              <w:jc w:val="center"/>
              <w:rPr>
                <w:rFonts w:eastAsia="Times New Roman" w:cs="Times New Roman"/>
                <w:color w:val="000000"/>
                <w:sz w:val="20"/>
                <w:szCs w:val="20"/>
              </w:rPr>
            </w:pPr>
            <w:r w:rsidRPr="007500B2">
              <w:rPr>
                <w:rFonts w:ascii="Calibri" w:eastAsia="Times New Roman" w:hAnsi="Calibri" w:cs="Calibri"/>
                <w:color w:val="000000"/>
                <w:sz w:val="20"/>
                <w:szCs w:val="20"/>
              </w:rPr>
              <w:t> </w:t>
            </w:r>
          </w:p>
        </w:tc>
        <w:tc>
          <w:tcPr>
            <w:tcW w:w="1621" w:type="dxa"/>
            <w:tcBorders>
              <w:top w:val="nil"/>
              <w:left w:val="nil"/>
              <w:bottom w:val="single" w:sz="8" w:space="0" w:color="auto"/>
              <w:right w:val="single" w:sz="8" w:space="0" w:color="auto"/>
            </w:tcBorders>
            <w:shd w:val="clear" w:color="000000" w:fill="FFFFFF"/>
            <w:vAlign w:val="center"/>
            <w:hideMark/>
          </w:tcPr>
          <w:p w14:paraId="7BA05764"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c>
          <w:tcPr>
            <w:tcW w:w="1435" w:type="dxa"/>
            <w:tcBorders>
              <w:top w:val="nil"/>
              <w:left w:val="nil"/>
              <w:bottom w:val="single" w:sz="8" w:space="0" w:color="auto"/>
              <w:right w:val="single" w:sz="8" w:space="0" w:color="auto"/>
            </w:tcBorders>
            <w:shd w:val="clear" w:color="000000" w:fill="FFFFFF"/>
            <w:vAlign w:val="center"/>
            <w:hideMark/>
          </w:tcPr>
          <w:p w14:paraId="51459E0C"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c>
          <w:tcPr>
            <w:tcW w:w="1701" w:type="dxa"/>
            <w:tcBorders>
              <w:top w:val="nil"/>
              <w:left w:val="nil"/>
              <w:bottom w:val="single" w:sz="8" w:space="0" w:color="auto"/>
              <w:right w:val="single" w:sz="8" w:space="0" w:color="auto"/>
            </w:tcBorders>
            <w:shd w:val="clear" w:color="000000" w:fill="FFFFFF"/>
            <w:vAlign w:val="center"/>
            <w:hideMark/>
          </w:tcPr>
          <w:p w14:paraId="76CD22F9"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r>
      <w:tr w:rsidR="00B11AEF" w:rsidRPr="007500B2" w14:paraId="576FC906" w14:textId="77777777" w:rsidTr="00B11AEF">
        <w:trPr>
          <w:trHeight w:val="690"/>
        </w:trPr>
        <w:tc>
          <w:tcPr>
            <w:tcW w:w="3686" w:type="dxa"/>
            <w:tcBorders>
              <w:top w:val="nil"/>
              <w:left w:val="single" w:sz="8" w:space="0" w:color="auto"/>
              <w:bottom w:val="single" w:sz="8" w:space="0" w:color="auto"/>
              <w:right w:val="single" w:sz="8" w:space="0" w:color="auto"/>
            </w:tcBorders>
            <w:shd w:val="clear" w:color="000000" w:fill="C6D9F1"/>
            <w:vAlign w:val="center"/>
            <w:hideMark/>
          </w:tcPr>
          <w:p w14:paraId="0B7F86D5" w14:textId="77777777" w:rsidR="00B11AEF" w:rsidRPr="007500B2" w:rsidRDefault="00B11AEF" w:rsidP="00B11AEF">
            <w:pPr>
              <w:spacing w:before="0" w:after="0" w:line="240" w:lineRule="auto"/>
              <w:ind w:firstLine="0"/>
              <w:jc w:val="left"/>
              <w:rPr>
                <w:rFonts w:eastAsia="Times New Roman" w:cs="Times New Roman"/>
                <w:b/>
                <w:bCs/>
                <w:color w:val="000000"/>
                <w:sz w:val="20"/>
                <w:szCs w:val="20"/>
              </w:rPr>
            </w:pPr>
            <w:r w:rsidRPr="007500B2">
              <w:rPr>
                <w:rFonts w:eastAsia="Times New Roman" w:cs="Times New Roman"/>
                <w:b/>
                <w:bCs/>
                <w:color w:val="000000"/>
                <w:sz w:val="20"/>
                <w:szCs w:val="20"/>
              </w:rPr>
              <w:t xml:space="preserve"> Շրջակա միջավայր և գյուղատնտեսություն </w:t>
            </w:r>
          </w:p>
        </w:tc>
        <w:tc>
          <w:tcPr>
            <w:tcW w:w="1480" w:type="dxa"/>
            <w:tcBorders>
              <w:top w:val="nil"/>
              <w:left w:val="nil"/>
              <w:bottom w:val="single" w:sz="8" w:space="0" w:color="auto"/>
              <w:right w:val="single" w:sz="8" w:space="0" w:color="auto"/>
            </w:tcBorders>
            <w:shd w:val="clear" w:color="000000" w:fill="C6D9F1"/>
            <w:vAlign w:val="center"/>
            <w:hideMark/>
          </w:tcPr>
          <w:p w14:paraId="36644DFB"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7,293.6</w:t>
            </w:r>
          </w:p>
        </w:tc>
        <w:tc>
          <w:tcPr>
            <w:tcW w:w="1621" w:type="dxa"/>
            <w:tcBorders>
              <w:top w:val="nil"/>
              <w:left w:val="nil"/>
              <w:bottom w:val="single" w:sz="8" w:space="0" w:color="auto"/>
              <w:right w:val="single" w:sz="8" w:space="0" w:color="auto"/>
            </w:tcBorders>
            <w:shd w:val="clear" w:color="000000" w:fill="C6D9F1"/>
            <w:vAlign w:val="center"/>
            <w:hideMark/>
          </w:tcPr>
          <w:p w14:paraId="41105D4A"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5,406.8</w:t>
            </w:r>
          </w:p>
        </w:tc>
        <w:tc>
          <w:tcPr>
            <w:tcW w:w="1435" w:type="dxa"/>
            <w:tcBorders>
              <w:top w:val="nil"/>
              <w:left w:val="nil"/>
              <w:bottom w:val="single" w:sz="8" w:space="0" w:color="auto"/>
              <w:right w:val="single" w:sz="8" w:space="0" w:color="auto"/>
            </w:tcBorders>
            <w:shd w:val="clear" w:color="000000" w:fill="C6D9F1"/>
            <w:vAlign w:val="center"/>
            <w:hideMark/>
          </w:tcPr>
          <w:p w14:paraId="2BD7C82F"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6,391.4</w:t>
            </w:r>
          </w:p>
        </w:tc>
        <w:tc>
          <w:tcPr>
            <w:tcW w:w="1701" w:type="dxa"/>
            <w:tcBorders>
              <w:top w:val="nil"/>
              <w:left w:val="nil"/>
              <w:bottom w:val="single" w:sz="8" w:space="0" w:color="auto"/>
              <w:right w:val="single" w:sz="8" w:space="0" w:color="auto"/>
            </w:tcBorders>
            <w:shd w:val="clear" w:color="000000" w:fill="C6D9F1"/>
            <w:vAlign w:val="center"/>
            <w:hideMark/>
          </w:tcPr>
          <w:p w14:paraId="102786EC"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2,517.9</w:t>
            </w:r>
          </w:p>
        </w:tc>
      </w:tr>
      <w:tr w:rsidR="00B11AEF" w:rsidRPr="007500B2" w14:paraId="5BC4E8D4"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767FDB58"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արտաքին աղբյուրներ </w:t>
            </w:r>
          </w:p>
        </w:tc>
        <w:tc>
          <w:tcPr>
            <w:tcW w:w="1480" w:type="dxa"/>
            <w:tcBorders>
              <w:top w:val="nil"/>
              <w:left w:val="nil"/>
              <w:bottom w:val="single" w:sz="8" w:space="0" w:color="auto"/>
              <w:right w:val="single" w:sz="8" w:space="0" w:color="auto"/>
            </w:tcBorders>
            <w:shd w:val="clear" w:color="auto" w:fill="auto"/>
            <w:vAlign w:val="center"/>
            <w:hideMark/>
          </w:tcPr>
          <w:p w14:paraId="220EBBF4"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6,754.1</w:t>
            </w:r>
          </w:p>
        </w:tc>
        <w:tc>
          <w:tcPr>
            <w:tcW w:w="1621" w:type="dxa"/>
            <w:tcBorders>
              <w:top w:val="nil"/>
              <w:left w:val="nil"/>
              <w:bottom w:val="single" w:sz="8" w:space="0" w:color="auto"/>
              <w:right w:val="single" w:sz="8" w:space="0" w:color="auto"/>
            </w:tcBorders>
            <w:shd w:val="clear" w:color="000000" w:fill="FFFFFF"/>
            <w:vAlign w:val="center"/>
            <w:hideMark/>
          </w:tcPr>
          <w:p w14:paraId="2A4D3238"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5,124.2</w:t>
            </w:r>
          </w:p>
        </w:tc>
        <w:tc>
          <w:tcPr>
            <w:tcW w:w="1435" w:type="dxa"/>
            <w:tcBorders>
              <w:top w:val="nil"/>
              <w:left w:val="nil"/>
              <w:bottom w:val="single" w:sz="8" w:space="0" w:color="auto"/>
              <w:right w:val="single" w:sz="8" w:space="0" w:color="auto"/>
            </w:tcBorders>
            <w:shd w:val="clear" w:color="000000" w:fill="FFFFFF"/>
            <w:vAlign w:val="center"/>
            <w:hideMark/>
          </w:tcPr>
          <w:p w14:paraId="6E8C591F"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6,108.8</w:t>
            </w:r>
          </w:p>
        </w:tc>
        <w:tc>
          <w:tcPr>
            <w:tcW w:w="1701" w:type="dxa"/>
            <w:tcBorders>
              <w:top w:val="nil"/>
              <w:left w:val="nil"/>
              <w:bottom w:val="single" w:sz="8" w:space="0" w:color="auto"/>
              <w:right w:val="single" w:sz="8" w:space="0" w:color="auto"/>
            </w:tcBorders>
            <w:shd w:val="clear" w:color="auto" w:fill="auto"/>
            <w:vAlign w:val="center"/>
            <w:hideMark/>
          </w:tcPr>
          <w:p w14:paraId="1943DEBE"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2,235.3</w:t>
            </w:r>
          </w:p>
        </w:tc>
      </w:tr>
      <w:tr w:rsidR="00B11AEF" w:rsidRPr="007500B2" w14:paraId="2FBB44C6"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2C24E3A2"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ներքին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1E3D96CB"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539.5</w:t>
            </w:r>
          </w:p>
        </w:tc>
        <w:tc>
          <w:tcPr>
            <w:tcW w:w="1621" w:type="dxa"/>
            <w:tcBorders>
              <w:top w:val="nil"/>
              <w:left w:val="nil"/>
              <w:bottom w:val="single" w:sz="8" w:space="0" w:color="auto"/>
              <w:right w:val="single" w:sz="8" w:space="0" w:color="auto"/>
            </w:tcBorders>
            <w:shd w:val="clear" w:color="000000" w:fill="FFFFFF"/>
            <w:vAlign w:val="center"/>
            <w:hideMark/>
          </w:tcPr>
          <w:p w14:paraId="3BCEB486"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282.6</w:t>
            </w:r>
          </w:p>
        </w:tc>
        <w:tc>
          <w:tcPr>
            <w:tcW w:w="1435" w:type="dxa"/>
            <w:tcBorders>
              <w:top w:val="nil"/>
              <w:left w:val="nil"/>
              <w:bottom w:val="single" w:sz="8" w:space="0" w:color="auto"/>
              <w:right w:val="single" w:sz="8" w:space="0" w:color="auto"/>
            </w:tcBorders>
            <w:shd w:val="clear" w:color="000000" w:fill="FFFFFF"/>
            <w:vAlign w:val="center"/>
            <w:hideMark/>
          </w:tcPr>
          <w:p w14:paraId="03F05D2A"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282.6</w:t>
            </w:r>
          </w:p>
        </w:tc>
        <w:tc>
          <w:tcPr>
            <w:tcW w:w="1701" w:type="dxa"/>
            <w:tcBorders>
              <w:top w:val="nil"/>
              <w:left w:val="nil"/>
              <w:bottom w:val="single" w:sz="8" w:space="0" w:color="auto"/>
              <w:right w:val="single" w:sz="8" w:space="0" w:color="auto"/>
            </w:tcBorders>
            <w:shd w:val="clear" w:color="000000" w:fill="FFFFFF"/>
            <w:vAlign w:val="center"/>
            <w:hideMark/>
          </w:tcPr>
          <w:p w14:paraId="3732B7A0"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282.6</w:t>
            </w:r>
          </w:p>
        </w:tc>
      </w:tr>
      <w:tr w:rsidR="00B11AEF" w:rsidRPr="007500B2" w14:paraId="7C935982"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C6D9F1"/>
            <w:vAlign w:val="center"/>
            <w:hideMark/>
          </w:tcPr>
          <w:p w14:paraId="3E4A3CFE" w14:textId="77777777" w:rsidR="00B11AEF" w:rsidRPr="007500B2" w:rsidRDefault="00B11AEF" w:rsidP="00B11AEF">
            <w:pPr>
              <w:spacing w:before="0" w:after="0" w:line="240" w:lineRule="auto"/>
              <w:ind w:firstLine="0"/>
              <w:jc w:val="left"/>
              <w:rPr>
                <w:rFonts w:eastAsia="Times New Roman" w:cs="Times New Roman"/>
                <w:b/>
                <w:bCs/>
                <w:color w:val="000000"/>
                <w:sz w:val="20"/>
                <w:szCs w:val="20"/>
              </w:rPr>
            </w:pPr>
            <w:r w:rsidRPr="007500B2">
              <w:rPr>
                <w:rFonts w:eastAsia="Times New Roman" w:cs="Times New Roman"/>
                <w:b/>
                <w:bCs/>
                <w:color w:val="000000"/>
                <w:sz w:val="20"/>
                <w:szCs w:val="20"/>
              </w:rPr>
              <w:t xml:space="preserve"> Ջրային տնտեսություն </w:t>
            </w:r>
          </w:p>
        </w:tc>
        <w:tc>
          <w:tcPr>
            <w:tcW w:w="1480" w:type="dxa"/>
            <w:tcBorders>
              <w:top w:val="nil"/>
              <w:left w:val="nil"/>
              <w:bottom w:val="single" w:sz="8" w:space="0" w:color="auto"/>
              <w:right w:val="single" w:sz="8" w:space="0" w:color="auto"/>
            </w:tcBorders>
            <w:shd w:val="clear" w:color="000000" w:fill="C6D9F1"/>
            <w:vAlign w:val="center"/>
            <w:hideMark/>
          </w:tcPr>
          <w:p w14:paraId="4112A6AD"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20,151.4</w:t>
            </w:r>
          </w:p>
        </w:tc>
        <w:tc>
          <w:tcPr>
            <w:tcW w:w="1621" w:type="dxa"/>
            <w:tcBorders>
              <w:top w:val="nil"/>
              <w:left w:val="nil"/>
              <w:bottom w:val="single" w:sz="8" w:space="0" w:color="auto"/>
              <w:right w:val="single" w:sz="8" w:space="0" w:color="auto"/>
            </w:tcBorders>
            <w:shd w:val="clear" w:color="000000" w:fill="C6D9F1"/>
            <w:vAlign w:val="center"/>
            <w:hideMark/>
          </w:tcPr>
          <w:p w14:paraId="039122DA"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21,973.1</w:t>
            </w:r>
          </w:p>
        </w:tc>
        <w:tc>
          <w:tcPr>
            <w:tcW w:w="1435" w:type="dxa"/>
            <w:tcBorders>
              <w:top w:val="nil"/>
              <w:left w:val="nil"/>
              <w:bottom w:val="single" w:sz="8" w:space="0" w:color="auto"/>
              <w:right w:val="single" w:sz="8" w:space="0" w:color="auto"/>
            </w:tcBorders>
            <w:shd w:val="clear" w:color="000000" w:fill="C6D9F1"/>
            <w:vAlign w:val="center"/>
            <w:hideMark/>
          </w:tcPr>
          <w:p w14:paraId="71F2BD2A"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49,176.6</w:t>
            </w:r>
          </w:p>
        </w:tc>
        <w:tc>
          <w:tcPr>
            <w:tcW w:w="1701" w:type="dxa"/>
            <w:tcBorders>
              <w:top w:val="nil"/>
              <w:left w:val="nil"/>
              <w:bottom w:val="single" w:sz="8" w:space="0" w:color="auto"/>
              <w:right w:val="single" w:sz="8" w:space="0" w:color="auto"/>
            </w:tcBorders>
            <w:shd w:val="clear" w:color="000000" w:fill="C6D9F1"/>
            <w:vAlign w:val="center"/>
            <w:hideMark/>
          </w:tcPr>
          <w:p w14:paraId="084FE867"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5,406.7</w:t>
            </w:r>
          </w:p>
        </w:tc>
      </w:tr>
      <w:tr w:rsidR="00B11AEF" w:rsidRPr="007500B2" w14:paraId="247F1384"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3BDDC2DE"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արտաքին աղբյուրներ </w:t>
            </w:r>
          </w:p>
        </w:tc>
        <w:tc>
          <w:tcPr>
            <w:tcW w:w="1480" w:type="dxa"/>
            <w:tcBorders>
              <w:top w:val="nil"/>
              <w:left w:val="nil"/>
              <w:bottom w:val="single" w:sz="8" w:space="0" w:color="auto"/>
              <w:right w:val="single" w:sz="8" w:space="0" w:color="auto"/>
            </w:tcBorders>
            <w:shd w:val="clear" w:color="auto" w:fill="auto"/>
            <w:vAlign w:val="center"/>
            <w:hideMark/>
          </w:tcPr>
          <w:p w14:paraId="45899531"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18,464.4</w:t>
            </w:r>
          </w:p>
        </w:tc>
        <w:tc>
          <w:tcPr>
            <w:tcW w:w="1621" w:type="dxa"/>
            <w:tcBorders>
              <w:top w:val="nil"/>
              <w:left w:val="nil"/>
              <w:bottom w:val="single" w:sz="8" w:space="0" w:color="auto"/>
              <w:right w:val="single" w:sz="8" w:space="0" w:color="auto"/>
            </w:tcBorders>
            <w:shd w:val="clear" w:color="000000" w:fill="FFFFFF"/>
            <w:vAlign w:val="center"/>
            <w:hideMark/>
          </w:tcPr>
          <w:p w14:paraId="4A2D4AC6"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19,963.7</w:t>
            </w:r>
          </w:p>
        </w:tc>
        <w:tc>
          <w:tcPr>
            <w:tcW w:w="1435" w:type="dxa"/>
            <w:tcBorders>
              <w:top w:val="nil"/>
              <w:left w:val="nil"/>
              <w:bottom w:val="single" w:sz="8" w:space="0" w:color="auto"/>
              <w:right w:val="single" w:sz="8" w:space="0" w:color="auto"/>
            </w:tcBorders>
            <w:shd w:val="clear" w:color="000000" w:fill="FFFFFF"/>
            <w:vAlign w:val="center"/>
            <w:hideMark/>
          </w:tcPr>
          <w:p w14:paraId="469A5CD4"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47,346.8</w:t>
            </w:r>
          </w:p>
        </w:tc>
        <w:tc>
          <w:tcPr>
            <w:tcW w:w="1701" w:type="dxa"/>
            <w:tcBorders>
              <w:top w:val="nil"/>
              <w:left w:val="nil"/>
              <w:bottom w:val="single" w:sz="8" w:space="0" w:color="auto"/>
              <w:right w:val="single" w:sz="8" w:space="0" w:color="auto"/>
            </w:tcBorders>
            <w:shd w:val="clear" w:color="auto" w:fill="auto"/>
            <w:vAlign w:val="center"/>
            <w:hideMark/>
          </w:tcPr>
          <w:p w14:paraId="2AE8151F"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4,506.7</w:t>
            </w:r>
          </w:p>
        </w:tc>
      </w:tr>
      <w:tr w:rsidR="00B11AEF" w:rsidRPr="007500B2" w14:paraId="263630D6"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3A1C6CD8"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ներքին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6F8875A7"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1,687.0</w:t>
            </w:r>
          </w:p>
        </w:tc>
        <w:tc>
          <w:tcPr>
            <w:tcW w:w="1621" w:type="dxa"/>
            <w:tcBorders>
              <w:top w:val="nil"/>
              <w:left w:val="nil"/>
              <w:bottom w:val="single" w:sz="8" w:space="0" w:color="auto"/>
              <w:right w:val="single" w:sz="8" w:space="0" w:color="auto"/>
            </w:tcBorders>
            <w:shd w:val="clear" w:color="000000" w:fill="FFFFFF"/>
            <w:vAlign w:val="center"/>
            <w:hideMark/>
          </w:tcPr>
          <w:p w14:paraId="61168A0B"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2,009.4</w:t>
            </w:r>
          </w:p>
        </w:tc>
        <w:tc>
          <w:tcPr>
            <w:tcW w:w="1435" w:type="dxa"/>
            <w:tcBorders>
              <w:top w:val="nil"/>
              <w:left w:val="nil"/>
              <w:bottom w:val="single" w:sz="8" w:space="0" w:color="auto"/>
              <w:right w:val="single" w:sz="8" w:space="0" w:color="auto"/>
            </w:tcBorders>
            <w:shd w:val="clear" w:color="000000" w:fill="FFFFFF"/>
            <w:vAlign w:val="center"/>
            <w:hideMark/>
          </w:tcPr>
          <w:p w14:paraId="38BAA3EF"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1,829.8</w:t>
            </w:r>
          </w:p>
        </w:tc>
        <w:tc>
          <w:tcPr>
            <w:tcW w:w="1701" w:type="dxa"/>
            <w:tcBorders>
              <w:top w:val="nil"/>
              <w:left w:val="nil"/>
              <w:bottom w:val="single" w:sz="8" w:space="0" w:color="auto"/>
              <w:right w:val="single" w:sz="8" w:space="0" w:color="auto"/>
            </w:tcBorders>
            <w:shd w:val="clear" w:color="000000" w:fill="FFFFFF"/>
            <w:vAlign w:val="center"/>
            <w:hideMark/>
          </w:tcPr>
          <w:p w14:paraId="6B2FDCCA"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900.0</w:t>
            </w:r>
          </w:p>
        </w:tc>
      </w:tr>
      <w:tr w:rsidR="00B11AEF" w:rsidRPr="007500B2" w14:paraId="2232EB4C"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C6D9F1"/>
            <w:vAlign w:val="center"/>
            <w:hideMark/>
          </w:tcPr>
          <w:p w14:paraId="07FC5A89" w14:textId="77777777" w:rsidR="00B11AEF" w:rsidRPr="007500B2" w:rsidRDefault="00B11AEF" w:rsidP="00B11AEF">
            <w:pPr>
              <w:spacing w:before="0" w:after="0" w:line="240" w:lineRule="auto"/>
              <w:ind w:firstLine="0"/>
              <w:rPr>
                <w:rFonts w:eastAsia="Times New Roman" w:cs="Times New Roman"/>
                <w:b/>
                <w:bCs/>
                <w:color w:val="000000"/>
                <w:sz w:val="20"/>
                <w:szCs w:val="20"/>
              </w:rPr>
            </w:pPr>
            <w:r w:rsidRPr="007500B2">
              <w:rPr>
                <w:rFonts w:eastAsia="Times New Roman" w:cs="Times New Roman"/>
                <w:b/>
                <w:bCs/>
                <w:color w:val="000000"/>
                <w:sz w:val="20"/>
                <w:szCs w:val="20"/>
              </w:rPr>
              <w:t xml:space="preserve"> Առողջապահություն </w:t>
            </w:r>
          </w:p>
        </w:tc>
        <w:tc>
          <w:tcPr>
            <w:tcW w:w="1480" w:type="dxa"/>
            <w:tcBorders>
              <w:top w:val="nil"/>
              <w:left w:val="nil"/>
              <w:bottom w:val="single" w:sz="8" w:space="0" w:color="auto"/>
              <w:right w:val="single" w:sz="8" w:space="0" w:color="auto"/>
            </w:tcBorders>
            <w:shd w:val="clear" w:color="000000" w:fill="C6D9F1"/>
            <w:vAlign w:val="center"/>
            <w:hideMark/>
          </w:tcPr>
          <w:p w14:paraId="7729F69C"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3,960.7</w:t>
            </w:r>
          </w:p>
        </w:tc>
        <w:tc>
          <w:tcPr>
            <w:tcW w:w="1621" w:type="dxa"/>
            <w:tcBorders>
              <w:top w:val="nil"/>
              <w:left w:val="nil"/>
              <w:bottom w:val="single" w:sz="8" w:space="0" w:color="auto"/>
              <w:right w:val="single" w:sz="8" w:space="0" w:color="auto"/>
            </w:tcBorders>
            <w:shd w:val="clear" w:color="000000" w:fill="C6D9F1"/>
            <w:vAlign w:val="center"/>
            <w:hideMark/>
          </w:tcPr>
          <w:p w14:paraId="1FE6AB65"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659.6</w:t>
            </w:r>
          </w:p>
        </w:tc>
        <w:tc>
          <w:tcPr>
            <w:tcW w:w="1435" w:type="dxa"/>
            <w:tcBorders>
              <w:top w:val="nil"/>
              <w:left w:val="nil"/>
              <w:bottom w:val="single" w:sz="8" w:space="0" w:color="auto"/>
              <w:right w:val="single" w:sz="8" w:space="0" w:color="auto"/>
            </w:tcBorders>
            <w:shd w:val="clear" w:color="000000" w:fill="C6D9F1"/>
            <w:vAlign w:val="center"/>
            <w:hideMark/>
          </w:tcPr>
          <w:p w14:paraId="6F4A0ABE"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1,805.7</w:t>
            </w:r>
          </w:p>
        </w:tc>
        <w:tc>
          <w:tcPr>
            <w:tcW w:w="1701" w:type="dxa"/>
            <w:tcBorders>
              <w:top w:val="nil"/>
              <w:left w:val="nil"/>
              <w:bottom w:val="single" w:sz="8" w:space="0" w:color="auto"/>
              <w:right w:val="single" w:sz="8" w:space="0" w:color="auto"/>
            </w:tcBorders>
            <w:shd w:val="clear" w:color="000000" w:fill="C6D9F1"/>
            <w:vAlign w:val="center"/>
            <w:hideMark/>
          </w:tcPr>
          <w:p w14:paraId="068B1F0D"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0.0</w:t>
            </w:r>
          </w:p>
        </w:tc>
      </w:tr>
      <w:tr w:rsidR="00B11AEF" w:rsidRPr="007500B2" w14:paraId="2209428E"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16799795"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արտաքին աղբյուրներ </w:t>
            </w:r>
          </w:p>
        </w:tc>
        <w:tc>
          <w:tcPr>
            <w:tcW w:w="1480" w:type="dxa"/>
            <w:tcBorders>
              <w:top w:val="nil"/>
              <w:left w:val="nil"/>
              <w:bottom w:val="single" w:sz="8" w:space="0" w:color="auto"/>
              <w:right w:val="single" w:sz="8" w:space="0" w:color="auto"/>
            </w:tcBorders>
            <w:shd w:val="clear" w:color="auto" w:fill="auto"/>
            <w:vAlign w:val="center"/>
            <w:hideMark/>
          </w:tcPr>
          <w:p w14:paraId="51B8E1DB"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960.7</w:t>
            </w:r>
          </w:p>
        </w:tc>
        <w:tc>
          <w:tcPr>
            <w:tcW w:w="1621" w:type="dxa"/>
            <w:tcBorders>
              <w:top w:val="nil"/>
              <w:left w:val="nil"/>
              <w:bottom w:val="single" w:sz="8" w:space="0" w:color="auto"/>
              <w:right w:val="single" w:sz="8" w:space="0" w:color="auto"/>
            </w:tcBorders>
            <w:shd w:val="clear" w:color="000000" w:fill="FFFFFF"/>
            <w:vAlign w:val="center"/>
            <w:hideMark/>
          </w:tcPr>
          <w:p w14:paraId="3CBD6746"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659.6</w:t>
            </w:r>
          </w:p>
        </w:tc>
        <w:tc>
          <w:tcPr>
            <w:tcW w:w="1435" w:type="dxa"/>
            <w:tcBorders>
              <w:top w:val="nil"/>
              <w:left w:val="nil"/>
              <w:bottom w:val="single" w:sz="8" w:space="0" w:color="auto"/>
              <w:right w:val="single" w:sz="8" w:space="0" w:color="auto"/>
            </w:tcBorders>
            <w:shd w:val="clear" w:color="000000" w:fill="FFFFFF"/>
            <w:vAlign w:val="center"/>
            <w:hideMark/>
          </w:tcPr>
          <w:p w14:paraId="492FC4AB"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1,805.7</w:t>
            </w:r>
          </w:p>
        </w:tc>
        <w:tc>
          <w:tcPr>
            <w:tcW w:w="1701" w:type="dxa"/>
            <w:tcBorders>
              <w:top w:val="nil"/>
              <w:left w:val="nil"/>
              <w:bottom w:val="single" w:sz="8" w:space="0" w:color="auto"/>
              <w:right w:val="single" w:sz="8" w:space="0" w:color="auto"/>
            </w:tcBorders>
            <w:shd w:val="clear" w:color="auto" w:fill="auto"/>
            <w:vAlign w:val="center"/>
            <w:hideMark/>
          </w:tcPr>
          <w:p w14:paraId="48989E9A"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r>
      <w:tr w:rsidR="00B11AEF" w:rsidRPr="007500B2" w14:paraId="3197E35A"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584AF56F"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ներքին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4EB697D6"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3,000.0</w:t>
            </w:r>
          </w:p>
        </w:tc>
        <w:tc>
          <w:tcPr>
            <w:tcW w:w="1621" w:type="dxa"/>
            <w:tcBorders>
              <w:top w:val="nil"/>
              <w:left w:val="nil"/>
              <w:bottom w:val="single" w:sz="8" w:space="0" w:color="auto"/>
              <w:right w:val="single" w:sz="8" w:space="0" w:color="auto"/>
            </w:tcBorders>
            <w:shd w:val="clear" w:color="000000" w:fill="FFFFFF"/>
            <w:vAlign w:val="center"/>
            <w:hideMark/>
          </w:tcPr>
          <w:p w14:paraId="4DEBD7E4"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c>
          <w:tcPr>
            <w:tcW w:w="1435" w:type="dxa"/>
            <w:tcBorders>
              <w:top w:val="nil"/>
              <w:left w:val="nil"/>
              <w:bottom w:val="single" w:sz="8" w:space="0" w:color="auto"/>
              <w:right w:val="single" w:sz="8" w:space="0" w:color="auto"/>
            </w:tcBorders>
            <w:shd w:val="clear" w:color="000000" w:fill="FFFFFF"/>
            <w:vAlign w:val="center"/>
            <w:hideMark/>
          </w:tcPr>
          <w:p w14:paraId="6BC615ED"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c>
          <w:tcPr>
            <w:tcW w:w="1701" w:type="dxa"/>
            <w:tcBorders>
              <w:top w:val="nil"/>
              <w:left w:val="nil"/>
              <w:bottom w:val="single" w:sz="8" w:space="0" w:color="auto"/>
              <w:right w:val="single" w:sz="8" w:space="0" w:color="auto"/>
            </w:tcBorders>
            <w:shd w:val="clear" w:color="000000" w:fill="FFFFFF"/>
            <w:vAlign w:val="center"/>
            <w:hideMark/>
          </w:tcPr>
          <w:p w14:paraId="2944059B"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r>
      <w:tr w:rsidR="00B11AEF" w:rsidRPr="007500B2" w14:paraId="38A34540" w14:textId="77777777" w:rsidTr="00B11AEF">
        <w:trPr>
          <w:trHeight w:val="630"/>
        </w:trPr>
        <w:tc>
          <w:tcPr>
            <w:tcW w:w="3686" w:type="dxa"/>
            <w:tcBorders>
              <w:top w:val="nil"/>
              <w:left w:val="single" w:sz="8" w:space="0" w:color="auto"/>
              <w:bottom w:val="single" w:sz="8" w:space="0" w:color="auto"/>
              <w:right w:val="single" w:sz="8" w:space="0" w:color="auto"/>
            </w:tcBorders>
            <w:shd w:val="clear" w:color="000000" w:fill="C6D9F1"/>
            <w:vAlign w:val="center"/>
            <w:hideMark/>
          </w:tcPr>
          <w:p w14:paraId="2AF9B795" w14:textId="77777777" w:rsidR="00B11AEF" w:rsidRPr="007500B2" w:rsidRDefault="00B11AEF" w:rsidP="00B11AEF">
            <w:pPr>
              <w:spacing w:before="0" w:after="0" w:line="240" w:lineRule="auto"/>
              <w:ind w:firstLine="0"/>
              <w:jc w:val="left"/>
              <w:rPr>
                <w:rFonts w:eastAsia="Times New Roman" w:cs="Times New Roman"/>
                <w:b/>
                <w:bCs/>
                <w:color w:val="000000"/>
                <w:sz w:val="20"/>
                <w:szCs w:val="20"/>
              </w:rPr>
            </w:pPr>
            <w:r w:rsidRPr="007500B2">
              <w:rPr>
                <w:rFonts w:eastAsia="Times New Roman" w:cs="Times New Roman"/>
                <w:b/>
                <w:bCs/>
                <w:color w:val="000000"/>
                <w:sz w:val="20"/>
                <w:szCs w:val="20"/>
              </w:rPr>
              <w:t>Կրթություն</w:t>
            </w:r>
            <w:r w:rsidRPr="007500B2">
              <w:rPr>
                <w:rFonts w:ascii="Microsoft JhengHei" w:eastAsia="Microsoft JhengHei" w:hAnsi="Microsoft JhengHei" w:cs="Times New Roman" w:hint="eastAsia"/>
                <w:b/>
                <w:bCs/>
                <w:color w:val="000000"/>
                <w:sz w:val="20"/>
                <w:szCs w:val="20"/>
              </w:rPr>
              <w:t>﹐</w:t>
            </w:r>
            <w:r w:rsidRPr="007500B2">
              <w:rPr>
                <w:rFonts w:eastAsia="Times New Roman" w:cs="Times New Roman"/>
                <w:b/>
                <w:bCs/>
                <w:color w:val="000000"/>
                <w:sz w:val="20"/>
                <w:szCs w:val="20"/>
              </w:rPr>
              <w:t xml:space="preserve">գիտություն մշակույթ և սպորտ </w:t>
            </w:r>
          </w:p>
        </w:tc>
        <w:tc>
          <w:tcPr>
            <w:tcW w:w="1480" w:type="dxa"/>
            <w:tcBorders>
              <w:top w:val="nil"/>
              <w:left w:val="nil"/>
              <w:bottom w:val="single" w:sz="8" w:space="0" w:color="auto"/>
              <w:right w:val="single" w:sz="8" w:space="0" w:color="auto"/>
            </w:tcBorders>
            <w:shd w:val="clear" w:color="000000" w:fill="C6D9F1"/>
            <w:vAlign w:val="center"/>
            <w:hideMark/>
          </w:tcPr>
          <w:p w14:paraId="49049855"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9,976.8</w:t>
            </w:r>
          </w:p>
        </w:tc>
        <w:tc>
          <w:tcPr>
            <w:tcW w:w="1621" w:type="dxa"/>
            <w:tcBorders>
              <w:top w:val="nil"/>
              <w:left w:val="nil"/>
              <w:bottom w:val="single" w:sz="8" w:space="0" w:color="auto"/>
              <w:right w:val="single" w:sz="8" w:space="0" w:color="auto"/>
            </w:tcBorders>
            <w:shd w:val="clear" w:color="000000" w:fill="C6D9F1"/>
            <w:vAlign w:val="center"/>
            <w:hideMark/>
          </w:tcPr>
          <w:p w14:paraId="5054E07A"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16,714.8</w:t>
            </w:r>
          </w:p>
        </w:tc>
        <w:tc>
          <w:tcPr>
            <w:tcW w:w="1435" w:type="dxa"/>
            <w:tcBorders>
              <w:top w:val="nil"/>
              <w:left w:val="nil"/>
              <w:bottom w:val="single" w:sz="8" w:space="0" w:color="auto"/>
              <w:right w:val="single" w:sz="8" w:space="0" w:color="auto"/>
            </w:tcBorders>
            <w:shd w:val="clear" w:color="000000" w:fill="C6D9F1"/>
            <w:vAlign w:val="center"/>
            <w:hideMark/>
          </w:tcPr>
          <w:p w14:paraId="63347BDD"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2,730.6</w:t>
            </w:r>
          </w:p>
        </w:tc>
        <w:tc>
          <w:tcPr>
            <w:tcW w:w="1701" w:type="dxa"/>
            <w:tcBorders>
              <w:top w:val="nil"/>
              <w:left w:val="nil"/>
              <w:bottom w:val="single" w:sz="8" w:space="0" w:color="auto"/>
              <w:right w:val="single" w:sz="8" w:space="0" w:color="auto"/>
            </w:tcBorders>
            <w:shd w:val="clear" w:color="000000" w:fill="C6D9F1"/>
            <w:vAlign w:val="center"/>
            <w:hideMark/>
          </w:tcPr>
          <w:p w14:paraId="6F80BB6D"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2,147.5</w:t>
            </w:r>
          </w:p>
        </w:tc>
      </w:tr>
      <w:tr w:rsidR="00B11AEF" w:rsidRPr="007500B2" w14:paraId="210F142D"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6AA47D71"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արտաքին աղբյուրներ </w:t>
            </w:r>
          </w:p>
        </w:tc>
        <w:tc>
          <w:tcPr>
            <w:tcW w:w="1480" w:type="dxa"/>
            <w:tcBorders>
              <w:top w:val="nil"/>
              <w:left w:val="nil"/>
              <w:bottom w:val="single" w:sz="8" w:space="0" w:color="auto"/>
              <w:right w:val="single" w:sz="8" w:space="0" w:color="auto"/>
            </w:tcBorders>
            <w:shd w:val="clear" w:color="auto" w:fill="auto"/>
            <w:vAlign w:val="center"/>
            <w:hideMark/>
          </w:tcPr>
          <w:p w14:paraId="436D460C"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8,539.6</w:t>
            </w:r>
          </w:p>
        </w:tc>
        <w:tc>
          <w:tcPr>
            <w:tcW w:w="1621" w:type="dxa"/>
            <w:tcBorders>
              <w:top w:val="nil"/>
              <w:left w:val="nil"/>
              <w:bottom w:val="single" w:sz="8" w:space="0" w:color="auto"/>
              <w:right w:val="single" w:sz="8" w:space="0" w:color="auto"/>
            </w:tcBorders>
            <w:shd w:val="clear" w:color="000000" w:fill="FFFFFF"/>
            <w:vAlign w:val="center"/>
            <w:hideMark/>
          </w:tcPr>
          <w:p w14:paraId="522506B6"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c>
          <w:tcPr>
            <w:tcW w:w="1435" w:type="dxa"/>
            <w:tcBorders>
              <w:top w:val="nil"/>
              <w:left w:val="nil"/>
              <w:bottom w:val="single" w:sz="8" w:space="0" w:color="auto"/>
              <w:right w:val="single" w:sz="8" w:space="0" w:color="auto"/>
            </w:tcBorders>
            <w:shd w:val="clear" w:color="000000" w:fill="FFFFFF"/>
            <w:vAlign w:val="center"/>
            <w:hideMark/>
          </w:tcPr>
          <w:p w14:paraId="717F517A"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c>
          <w:tcPr>
            <w:tcW w:w="1701" w:type="dxa"/>
            <w:tcBorders>
              <w:top w:val="nil"/>
              <w:left w:val="nil"/>
              <w:bottom w:val="single" w:sz="8" w:space="0" w:color="auto"/>
              <w:right w:val="single" w:sz="8" w:space="0" w:color="auto"/>
            </w:tcBorders>
            <w:shd w:val="clear" w:color="auto" w:fill="auto"/>
            <w:vAlign w:val="center"/>
            <w:hideMark/>
          </w:tcPr>
          <w:p w14:paraId="3C659B99"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r>
      <w:tr w:rsidR="00B11AEF" w:rsidRPr="007500B2" w14:paraId="72345407"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5A85C2C9"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ներքին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588E7AF3"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1,437.2</w:t>
            </w:r>
          </w:p>
        </w:tc>
        <w:tc>
          <w:tcPr>
            <w:tcW w:w="1621" w:type="dxa"/>
            <w:tcBorders>
              <w:top w:val="nil"/>
              <w:left w:val="nil"/>
              <w:bottom w:val="single" w:sz="8" w:space="0" w:color="auto"/>
              <w:right w:val="single" w:sz="8" w:space="0" w:color="auto"/>
            </w:tcBorders>
            <w:shd w:val="clear" w:color="000000" w:fill="FFFFFF"/>
            <w:vAlign w:val="center"/>
            <w:hideMark/>
          </w:tcPr>
          <w:p w14:paraId="6D0FA5A0"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16,714.8</w:t>
            </w:r>
          </w:p>
        </w:tc>
        <w:tc>
          <w:tcPr>
            <w:tcW w:w="1435" w:type="dxa"/>
            <w:tcBorders>
              <w:top w:val="nil"/>
              <w:left w:val="nil"/>
              <w:bottom w:val="single" w:sz="8" w:space="0" w:color="auto"/>
              <w:right w:val="single" w:sz="8" w:space="0" w:color="auto"/>
            </w:tcBorders>
            <w:shd w:val="clear" w:color="000000" w:fill="FFFFFF"/>
            <w:vAlign w:val="center"/>
            <w:hideMark/>
          </w:tcPr>
          <w:p w14:paraId="0C51D3CE"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2,730.6</w:t>
            </w:r>
          </w:p>
        </w:tc>
        <w:tc>
          <w:tcPr>
            <w:tcW w:w="1701" w:type="dxa"/>
            <w:tcBorders>
              <w:top w:val="nil"/>
              <w:left w:val="nil"/>
              <w:bottom w:val="single" w:sz="8" w:space="0" w:color="auto"/>
              <w:right w:val="single" w:sz="8" w:space="0" w:color="auto"/>
            </w:tcBorders>
            <w:shd w:val="clear" w:color="000000" w:fill="FFFFFF"/>
            <w:vAlign w:val="center"/>
            <w:hideMark/>
          </w:tcPr>
          <w:p w14:paraId="3A372FDF"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2,147.5</w:t>
            </w:r>
          </w:p>
        </w:tc>
      </w:tr>
      <w:tr w:rsidR="00B11AEF" w:rsidRPr="007500B2" w14:paraId="14A0FFAE" w14:textId="77777777" w:rsidTr="00B11AEF">
        <w:trPr>
          <w:trHeight w:val="322"/>
        </w:trPr>
        <w:tc>
          <w:tcPr>
            <w:tcW w:w="3686" w:type="dxa"/>
            <w:tcBorders>
              <w:top w:val="nil"/>
              <w:left w:val="single" w:sz="8" w:space="0" w:color="auto"/>
              <w:bottom w:val="single" w:sz="8" w:space="0" w:color="auto"/>
              <w:right w:val="single" w:sz="8" w:space="0" w:color="auto"/>
            </w:tcBorders>
            <w:shd w:val="clear" w:color="000000" w:fill="C6D9F1"/>
            <w:vAlign w:val="center"/>
            <w:hideMark/>
          </w:tcPr>
          <w:p w14:paraId="5C887E76" w14:textId="77777777" w:rsidR="00B11AEF" w:rsidRPr="007500B2" w:rsidRDefault="00B11AEF" w:rsidP="00B11AEF">
            <w:pPr>
              <w:spacing w:before="0" w:after="0" w:line="240" w:lineRule="auto"/>
              <w:ind w:firstLine="0"/>
              <w:rPr>
                <w:rFonts w:eastAsia="Times New Roman" w:cs="Times New Roman"/>
                <w:b/>
                <w:bCs/>
                <w:color w:val="000000"/>
                <w:sz w:val="20"/>
                <w:szCs w:val="20"/>
              </w:rPr>
            </w:pPr>
            <w:r w:rsidRPr="007500B2">
              <w:rPr>
                <w:rFonts w:eastAsia="Times New Roman" w:cs="Times New Roman"/>
                <w:b/>
                <w:bCs/>
                <w:color w:val="000000"/>
                <w:sz w:val="20"/>
                <w:szCs w:val="20"/>
              </w:rPr>
              <w:t xml:space="preserve"> Սոցապ </w:t>
            </w:r>
          </w:p>
        </w:tc>
        <w:tc>
          <w:tcPr>
            <w:tcW w:w="1480" w:type="dxa"/>
            <w:tcBorders>
              <w:top w:val="nil"/>
              <w:left w:val="nil"/>
              <w:bottom w:val="single" w:sz="8" w:space="0" w:color="auto"/>
              <w:right w:val="single" w:sz="8" w:space="0" w:color="auto"/>
            </w:tcBorders>
            <w:shd w:val="clear" w:color="000000" w:fill="C6D9F1"/>
            <w:vAlign w:val="center"/>
            <w:hideMark/>
          </w:tcPr>
          <w:p w14:paraId="7B6860B0"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2,500.1</w:t>
            </w:r>
          </w:p>
        </w:tc>
        <w:tc>
          <w:tcPr>
            <w:tcW w:w="1621" w:type="dxa"/>
            <w:tcBorders>
              <w:top w:val="nil"/>
              <w:left w:val="nil"/>
              <w:bottom w:val="single" w:sz="8" w:space="0" w:color="auto"/>
              <w:right w:val="single" w:sz="8" w:space="0" w:color="auto"/>
            </w:tcBorders>
            <w:shd w:val="clear" w:color="000000" w:fill="C6D9F1"/>
            <w:vAlign w:val="center"/>
            <w:hideMark/>
          </w:tcPr>
          <w:p w14:paraId="6E522863"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311.9</w:t>
            </w:r>
          </w:p>
        </w:tc>
        <w:tc>
          <w:tcPr>
            <w:tcW w:w="1435" w:type="dxa"/>
            <w:tcBorders>
              <w:top w:val="nil"/>
              <w:left w:val="nil"/>
              <w:bottom w:val="single" w:sz="8" w:space="0" w:color="auto"/>
              <w:right w:val="single" w:sz="8" w:space="0" w:color="auto"/>
            </w:tcBorders>
            <w:shd w:val="clear" w:color="000000" w:fill="C6D9F1"/>
            <w:vAlign w:val="center"/>
            <w:hideMark/>
          </w:tcPr>
          <w:p w14:paraId="60E43FE5"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0.0</w:t>
            </w:r>
          </w:p>
        </w:tc>
        <w:tc>
          <w:tcPr>
            <w:tcW w:w="1701" w:type="dxa"/>
            <w:tcBorders>
              <w:top w:val="nil"/>
              <w:left w:val="nil"/>
              <w:bottom w:val="single" w:sz="8" w:space="0" w:color="auto"/>
              <w:right w:val="single" w:sz="8" w:space="0" w:color="auto"/>
            </w:tcBorders>
            <w:shd w:val="clear" w:color="000000" w:fill="C6D9F1"/>
            <w:vAlign w:val="center"/>
            <w:hideMark/>
          </w:tcPr>
          <w:p w14:paraId="2F741D9E"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0.0</w:t>
            </w:r>
          </w:p>
        </w:tc>
      </w:tr>
      <w:tr w:rsidR="00B11AEF" w:rsidRPr="007500B2" w14:paraId="578C0BCF"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7F7D8269"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արտաքին աղբյուրներ </w:t>
            </w:r>
          </w:p>
        </w:tc>
        <w:tc>
          <w:tcPr>
            <w:tcW w:w="1480" w:type="dxa"/>
            <w:tcBorders>
              <w:top w:val="nil"/>
              <w:left w:val="nil"/>
              <w:bottom w:val="single" w:sz="8" w:space="0" w:color="auto"/>
              <w:right w:val="single" w:sz="8" w:space="0" w:color="auto"/>
            </w:tcBorders>
            <w:shd w:val="clear" w:color="auto" w:fill="auto"/>
            <w:vAlign w:val="center"/>
            <w:hideMark/>
          </w:tcPr>
          <w:p w14:paraId="0D00EBEF"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1,209.5</w:t>
            </w:r>
          </w:p>
        </w:tc>
        <w:tc>
          <w:tcPr>
            <w:tcW w:w="1621" w:type="dxa"/>
            <w:tcBorders>
              <w:top w:val="nil"/>
              <w:left w:val="nil"/>
              <w:bottom w:val="single" w:sz="8" w:space="0" w:color="auto"/>
              <w:right w:val="single" w:sz="8" w:space="0" w:color="auto"/>
            </w:tcBorders>
            <w:shd w:val="clear" w:color="000000" w:fill="FFFFFF"/>
            <w:vAlign w:val="center"/>
            <w:hideMark/>
          </w:tcPr>
          <w:p w14:paraId="7767F7FA"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c>
          <w:tcPr>
            <w:tcW w:w="1435" w:type="dxa"/>
            <w:tcBorders>
              <w:top w:val="nil"/>
              <w:left w:val="nil"/>
              <w:bottom w:val="single" w:sz="8" w:space="0" w:color="auto"/>
              <w:right w:val="single" w:sz="8" w:space="0" w:color="auto"/>
            </w:tcBorders>
            <w:shd w:val="clear" w:color="000000" w:fill="FFFFFF"/>
            <w:vAlign w:val="center"/>
            <w:hideMark/>
          </w:tcPr>
          <w:p w14:paraId="6AA12EF3"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c>
          <w:tcPr>
            <w:tcW w:w="1701" w:type="dxa"/>
            <w:tcBorders>
              <w:top w:val="nil"/>
              <w:left w:val="nil"/>
              <w:bottom w:val="single" w:sz="8" w:space="0" w:color="auto"/>
              <w:right w:val="single" w:sz="8" w:space="0" w:color="auto"/>
            </w:tcBorders>
            <w:shd w:val="clear" w:color="auto" w:fill="auto"/>
            <w:vAlign w:val="center"/>
            <w:hideMark/>
          </w:tcPr>
          <w:p w14:paraId="4493074E"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r>
      <w:tr w:rsidR="00B11AEF" w:rsidRPr="007500B2" w14:paraId="4CFA9613"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32ADE130"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ներքին աղբյուրներ </w:t>
            </w:r>
          </w:p>
        </w:tc>
        <w:tc>
          <w:tcPr>
            <w:tcW w:w="1480" w:type="dxa"/>
            <w:tcBorders>
              <w:top w:val="nil"/>
              <w:left w:val="nil"/>
              <w:bottom w:val="single" w:sz="8" w:space="0" w:color="auto"/>
              <w:right w:val="single" w:sz="8" w:space="0" w:color="auto"/>
            </w:tcBorders>
            <w:shd w:val="clear" w:color="auto" w:fill="auto"/>
            <w:vAlign w:val="center"/>
            <w:hideMark/>
          </w:tcPr>
          <w:p w14:paraId="53A4B1DF"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1,290.6</w:t>
            </w:r>
          </w:p>
        </w:tc>
        <w:tc>
          <w:tcPr>
            <w:tcW w:w="1621" w:type="dxa"/>
            <w:tcBorders>
              <w:top w:val="nil"/>
              <w:left w:val="nil"/>
              <w:bottom w:val="single" w:sz="8" w:space="0" w:color="auto"/>
              <w:right w:val="single" w:sz="8" w:space="0" w:color="auto"/>
            </w:tcBorders>
            <w:shd w:val="clear" w:color="000000" w:fill="FFFFFF"/>
            <w:vAlign w:val="center"/>
            <w:hideMark/>
          </w:tcPr>
          <w:p w14:paraId="7048A421"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311.9</w:t>
            </w:r>
          </w:p>
        </w:tc>
        <w:tc>
          <w:tcPr>
            <w:tcW w:w="1435" w:type="dxa"/>
            <w:tcBorders>
              <w:top w:val="nil"/>
              <w:left w:val="nil"/>
              <w:bottom w:val="single" w:sz="8" w:space="0" w:color="auto"/>
              <w:right w:val="single" w:sz="8" w:space="0" w:color="auto"/>
            </w:tcBorders>
            <w:shd w:val="clear" w:color="000000" w:fill="FFFFFF"/>
            <w:vAlign w:val="center"/>
            <w:hideMark/>
          </w:tcPr>
          <w:p w14:paraId="2DCD8A50"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c>
          <w:tcPr>
            <w:tcW w:w="1701" w:type="dxa"/>
            <w:tcBorders>
              <w:top w:val="nil"/>
              <w:left w:val="nil"/>
              <w:bottom w:val="single" w:sz="8" w:space="0" w:color="auto"/>
              <w:right w:val="single" w:sz="8" w:space="0" w:color="auto"/>
            </w:tcBorders>
            <w:shd w:val="clear" w:color="000000" w:fill="FFFFFF"/>
            <w:vAlign w:val="center"/>
            <w:hideMark/>
          </w:tcPr>
          <w:p w14:paraId="413FF083"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0.0</w:t>
            </w:r>
          </w:p>
        </w:tc>
      </w:tr>
      <w:tr w:rsidR="00B11AEF" w:rsidRPr="007500B2" w14:paraId="0DA8F9B6" w14:textId="77777777" w:rsidTr="003F5A19">
        <w:trPr>
          <w:trHeight w:val="214"/>
        </w:trPr>
        <w:tc>
          <w:tcPr>
            <w:tcW w:w="3686" w:type="dxa"/>
            <w:tcBorders>
              <w:top w:val="nil"/>
              <w:left w:val="single" w:sz="8" w:space="0" w:color="auto"/>
              <w:bottom w:val="single" w:sz="4" w:space="0" w:color="auto"/>
              <w:right w:val="single" w:sz="8" w:space="0" w:color="auto"/>
            </w:tcBorders>
            <w:shd w:val="clear" w:color="000000" w:fill="C6D9F1"/>
            <w:vAlign w:val="center"/>
            <w:hideMark/>
          </w:tcPr>
          <w:p w14:paraId="445C317E" w14:textId="77777777" w:rsidR="00B11AEF" w:rsidRPr="007500B2" w:rsidRDefault="00B11AEF" w:rsidP="00B11AEF">
            <w:pPr>
              <w:spacing w:before="0" w:after="0" w:line="240" w:lineRule="auto"/>
              <w:ind w:firstLine="0"/>
              <w:jc w:val="left"/>
              <w:rPr>
                <w:rFonts w:eastAsia="Times New Roman" w:cs="Times New Roman"/>
                <w:b/>
                <w:bCs/>
                <w:color w:val="000000"/>
                <w:sz w:val="20"/>
                <w:szCs w:val="20"/>
              </w:rPr>
            </w:pPr>
            <w:r w:rsidRPr="007500B2">
              <w:rPr>
                <w:rFonts w:eastAsia="Times New Roman" w:cs="Times New Roman"/>
                <w:b/>
                <w:bCs/>
                <w:color w:val="000000"/>
                <w:sz w:val="20"/>
                <w:szCs w:val="20"/>
              </w:rPr>
              <w:t xml:space="preserve"> Ուժային </w:t>
            </w:r>
          </w:p>
        </w:tc>
        <w:tc>
          <w:tcPr>
            <w:tcW w:w="1480" w:type="dxa"/>
            <w:tcBorders>
              <w:top w:val="nil"/>
              <w:left w:val="nil"/>
              <w:bottom w:val="single" w:sz="4" w:space="0" w:color="auto"/>
              <w:right w:val="single" w:sz="8" w:space="0" w:color="auto"/>
            </w:tcBorders>
            <w:shd w:val="clear" w:color="000000" w:fill="C6D9F1"/>
            <w:vAlign w:val="center"/>
            <w:hideMark/>
          </w:tcPr>
          <w:p w14:paraId="1FE37968"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87,606.6</w:t>
            </w:r>
          </w:p>
        </w:tc>
        <w:tc>
          <w:tcPr>
            <w:tcW w:w="1621" w:type="dxa"/>
            <w:tcBorders>
              <w:top w:val="nil"/>
              <w:left w:val="nil"/>
              <w:bottom w:val="single" w:sz="4" w:space="0" w:color="auto"/>
              <w:right w:val="single" w:sz="8" w:space="0" w:color="auto"/>
            </w:tcBorders>
            <w:shd w:val="clear" w:color="000000" w:fill="C6D9F1"/>
            <w:vAlign w:val="center"/>
            <w:hideMark/>
          </w:tcPr>
          <w:p w14:paraId="74B53AF5"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1,427.5</w:t>
            </w:r>
          </w:p>
        </w:tc>
        <w:tc>
          <w:tcPr>
            <w:tcW w:w="1435" w:type="dxa"/>
            <w:tcBorders>
              <w:top w:val="nil"/>
              <w:left w:val="nil"/>
              <w:bottom w:val="single" w:sz="4" w:space="0" w:color="auto"/>
              <w:right w:val="single" w:sz="8" w:space="0" w:color="auto"/>
            </w:tcBorders>
            <w:shd w:val="clear" w:color="000000" w:fill="C6D9F1"/>
            <w:vAlign w:val="center"/>
            <w:hideMark/>
          </w:tcPr>
          <w:p w14:paraId="67A3C156"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1,812.0</w:t>
            </w:r>
          </w:p>
        </w:tc>
        <w:tc>
          <w:tcPr>
            <w:tcW w:w="1701" w:type="dxa"/>
            <w:tcBorders>
              <w:top w:val="nil"/>
              <w:left w:val="nil"/>
              <w:bottom w:val="single" w:sz="4" w:space="0" w:color="auto"/>
              <w:right w:val="single" w:sz="8" w:space="0" w:color="auto"/>
            </w:tcBorders>
            <w:shd w:val="clear" w:color="000000" w:fill="C6D9F1"/>
            <w:vAlign w:val="center"/>
            <w:hideMark/>
          </w:tcPr>
          <w:p w14:paraId="103CF5A8"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2,085.8</w:t>
            </w:r>
          </w:p>
        </w:tc>
      </w:tr>
      <w:tr w:rsidR="00B11AEF" w:rsidRPr="007500B2" w14:paraId="44431FD5" w14:textId="77777777" w:rsidTr="003F5A19">
        <w:trPr>
          <w:trHeight w:val="420"/>
        </w:trPr>
        <w:tc>
          <w:tcPr>
            <w:tcW w:w="368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08021"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արտաքին աղբյուրներ </w:t>
            </w:r>
          </w:p>
        </w:tc>
        <w:tc>
          <w:tcPr>
            <w:tcW w:w="14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C030A1"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c>
          <w:tcPr>
            <w:tcW w:w="162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1664A2"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c>
          <w:tcPr>
            <w:tcW w:w="143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1F7404"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c>
          <w:tcPr>
            <w:tcW w:w="170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B29D23"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ascii="Calibri" w:eastAsia="Times New Roman" w:hAnsi="Calibri" w:cs="Calibri"/>
                <w:i/>
                <w:iCs/>
                <w:color w:val="000000"/>
                <w:sz w:val="20"/>
                <w:szCs w:val="20"/>
              </w:rPr>
              <w:t> </w:t>
            </w:r>
          </w:p>
        </w:tc>
      </w:tr>
      <w:tr w:rsidR="00B11AEF" w:rsidRPr="007500B2" w14:paraId="698D6B8F" w14:textId="77777777" w:rsidTr="003F5A19">
        <w:trPr>
          <w:trHeight w:val="420"/>
        </w:trPr>
        <w:tc>
          <w:tcPr>
            <w:tcW w:w="3686" w:type="dxa"/>
            <w:tcBorders>
              <w:top w:val="single" w:sz="4" w:space="0" w:color="auto"/>
              <w:left w:val="single" w:sz="8" w:space="0" w:color="auto"/>
              <w:bottom w:val="single" w:sz="8" w:space="0" w:color="auto"/>
              <w:right w:val="single" w:sz="8" w:space="0" w:color="auto"/>
            </w:tcBorders>
            <w:shd w:val="clear" w:color="000000" w:fill="FFFFFF"/>
            <w:noWrap/>
            <w:vAlign w:val="center"/>
            <w:hideMark/>
          </w:tcPr>
          <w:p w14:paraId="5E28F93B"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ներքին աղբյուրներ </w:t>
            </w:r>
          </w:p>
        </w:tc>
        <w:tc>
          <w:tcPr>
            <w:tcW w:w="1480" w:type="dxa"/>
            <w:tcBorders>
              <w:top w:val="single" w:sz="4" w:space="0" w:color="auto"/>
              <w:left w:val="nil"/>
              <w:bottom w:val="single" w:sz="8" w:space="0" w:color="auto"/>
              <w:right w:val="single" w:sz="8" w:space="0" w:color="auto"/>
            </w:tcBorders>
            <w:shd w:val="clear" w:color="000000" w:fill="FFFFFF"/>
            <w:vAlign w:val="center"/>
            <w:hideMark/>
          </w:tcPr>
          <w:p w14:paraId="64EE37E1"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87,606.6</w:t>
            </w:r>
          </w:p>
        </w:tc>
        <w:tc>
          <w:tcPr>
            <w:tcW w:w="1621" w:type="dxa"/>
            <w:tcBorders>
              <w:top w:val="single" w:sz="4" w:space="0" w:color="auto"/>
              <w:left w:val="nil"/>
              <w:bottom w:val="single" w:sz="8" w:space="0" w:color="auto"/>
              <w:right w:val="single" w:sz="8" w:space="0" w:color="auto"/>
            </w:tcBorders>
            <w:shd w:val="clear" w:color="000000" w:fill="FFFFFF"/>
            <w:vAlign w:val="center"/>
            <w:hideMark/>
          </w:tcPr>
          <w:p w14:paraId="21E29EB6"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1,427.5</w:t>
            </w:r>
          </w:p>
        </w:tc>
        <w:tc>
          <w:tcPr>
            <w:tcW w:w="1435" w:type="dxa"/>
            <w:tcBorders>
              <w:top w:val="single" w:sz="4" w:space="0" w:color="auto"/>
              <w:left w:val="nil"/>
              <w:bottom w:val="single" w:sz="8" w:space="0" w:color="auto"/>
              <w:right w:val="single" w:sz="8" w:space="0" w:color="auto"/>
            </w:tcBorders>
            <w:shd w:val="clear" w:color="000000" w:fill="FFFFFF"/>
            <w:vAlign w:val="center"/>
            <w:hideMark/>
          </w:tcPr>
          <w:p w14:paraId="0DEF7C25"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1,812.0</w:t>
            </w:r>
          </w:p>
        </w:tc>
        <w:tc>
          <w:tcPr>
            <w:tcW w:w="1701" w:type="dxa"/>
            <w:tcBorders>
              <w:top w:val="single" w:sz="4" w:space="0" w:color="auto"/>
              <w:left w:val="nil"/>
              <w:bottom w:val="single" w:sz="8" w:space="0" w:color="auto"/>
              <w:right w:val="single" w:sz="8" w:space="0" w:color="auto"/>
            </w:tcBorders>
            <w:shd w:val="clear" w:color="000000" w:fill="FFFFFF"/>
            <w:vAlign w:val="center"/>
            <w:hideMark/>
          </w:tcPr>
          <w:p w14:paraId="377A4A9E"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2,085.8</w:t>
            </w:r>
          </w:p>
        </w:tc>
      </w:tr>
      <w:tr w:rsidR="00B11AEF" w:rsidRPr="007500B2" w14:paraId="10582412" w14:textId="77777777" w:rsidTr="00B11AEF">
        <w:trPr>
          <w:trHeight w:val="259"/>
        </w:trPr>
        <w:tc>
          <w:tcPr>
            <w:tcW w:w="3686" w:type="dxa"/>
            <w:tcBorders>
              <w:top w:val="nil"/>
              <w:left w:val="single" w:sz="8" w:space="0" w:color="auto"/>
              <w:bottom w:val="single" w:sz="8" w:space="0" w:color="auto"/>
              <w:right w:val="single" w:sz="8" w:space="0" w:color="auto"/>
            </w:tcBorders>
            <w:shd w:val="clear" w:color="000000" w:fill="C6D9F1"/>
            <w:noWrap/>
            <w:vAlign w:val="center"/>
            <w:hideMark/>
          </w:tcPr>
          <w:p w14:paraId="716436D2" w14:textId="77777777" w:rsidR="00B11AEF" w:rsidRPr="007500B2" w:rsidRDefault="00B11AEF" w:rsidP="00B11AEF">
            <w:pPr>
              <w:spacing w:before="0" w:after="0" w:line="240" w:lineRule="auto"/>
              <w:ind w:firstLine="0"/>
              <w:rPr>
                <w:rFonts w:eastAsia="Times New Roman" w:cs="Times New Roman"/>
                <w:b/>
                <w:bCs/>
                <w:color w:val="000000"/>
                <w:sz w:val="20"/>
                <w:szCs w:val="20"/>
              </w:rPr>
            </w:pPr>
            <w:r w:rsidRPr="007500B2">
              <w:rPr>
                <w:rFonts w:eastAsia="Times New Roman" w:cs="Times New Roman"/>
                <w:b/>
                <w:bCs/>
                <w:color w:val="000000"/>
                <w:sz w:val="20"/>
                <w:szCs w:val="20"/>
              </w:rPr>
              <w:t xml:space="preserve"> Այլ </w:t>
            </w:r>
          </w:p>
        </w:tc>
        <w:tc>
          <w:tcPr>
            <w:tcW w:w="1480" w:type="dxa"/>
            <w:tcBorders>
              <w:top w:val="nil"/>
              <w:left w:val="nil"/>
              <w:bottom w:val="single" w:sz="8" w:space="0" w:color="auto"/>
              <w:right w:val="single" w:sz="8" w:space="0" w:color="auto"/>
            </w:tcBorders>
            <w:shd w:val="clear" w:color="000000" w:fill="C6D9F1"/>
            <w:vAlign w:val="center"/>
            <w:hideMark/>
          </w:tcPr>
          <w:p w14:paraId="2C980961"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24,791.5</w:t>
            </w:r>
          </w:p>
        </w:tc>
        <w:tc>
          <w:tcPr>
            <w:tcW w:w="1621" w:type="dxa"/>
            <w:tcBorders>
              <w:top w:val="nil"/>
              <w:left w:val="nil"/>
              <w:bottom w:val="single" w:sz="8" w:space="0" w:color="auto"/>
              <w:right w:val="single" w:sz="8" w:space="0" w:color="auto"/>
            </w:tcBorders>
            <w:shd w:val="clear" w:color="000000" w:fill="C6D9F1"/>
            <w:vAlign w:val="center"/>
            <w:hideMark/>
          </w:tcPr>
          <w:p w14:paraId="5FACA813"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20,260.8</w:t>
            </w:r>
          </w:p>
        </w:tc>
        <w:tc>
          <w:tcPr>
            <w:tcW w:w="1435" w:type="dxa"/>
            <w:tcBorders>
              <w:top w:val="nil"/>
              <w:left w:val="nil"/>
              <w:bottom w:val="single" w:sz="8" w:space="0" w:color="auto"/>
              <w:right w:val="single" w:sz="8" w:space="0" w:color="auto"/>
            </w:tcBorders>
            <w:shd w:val="clear" w:color="000000" w:fill="C6D9F1"/>
            <w:vAlign w:val="center"/>
            <w:hideMark/>
          </w:tcPr>
          <w:p w14:paraId="7DB8D8EF"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27,365.6</w:t>
            </w:r>
          </w:p>
        </w:tc>
        <w:tc>
          <w:tcPr>
            <w:tcW w:w="1701" w:type="dxa"/>
            <w:tcBorders>
              <w:top w:val="nil"/>
              <w:left w:val="nil"/>
              <w:bottom w:val="single" w:sz="8" w:space="0" w:color="auto"/>
              <w:right w:val="single" w:sz="8" w:space="0" w:color="auto"/>
            </w:tcBorders>
            <w:shd w:val="clear" w:color="000000" w:fill="C6D9F1"/>
            <w:vAlign w:val="center"/>
            <w:hideMark/>
          </w:tcPr>
          <w:p w14:paraId="37674894" w14:textId="77777777" w:rsidR="00B11AEF" w:rsidRPr="007500B2" w:rsidRDefault="00B11AEF" w:rsidP="00B11AEF">
            <w:pPr>
              <w:spacing w:before="0" w:after="0" w:line="240" w:lineRule="auto"/>
              <w:ind w:firstLine="0"/>
              <w:jc w:val="center"/>
              <w:rPr>
                <w:rFonts w:eastAsia="Times New Roman" w:cs="Times New Roman"/>
                <w:b/>
                <w:bCs/>
                <w:color w:val="000000"/>
                <w:sz w:val="20"/>
                <w:szCs w:val="20"/>
              </w:rPr>
            </w:pPr>
            <w:r w:rsidRPr="007500B2">
              <w:rPr>
                <w:rFonts w:eastAsia="Times New Roman" w:cs="Times New Roman"/>
                <w:b/>
                <w:bCs/>
                <w:color w:val="000000"/>
                <w:sz w:val="20"/>
                <w:szCs w:val="20"/>
              </w:rPr>
              <w:t>24,404.5</w:t>
            </w:r>
          </w:p>
        </w:tc>
      </w:tr>
      <w:tr w:rsidR="00B11AEF" w:rsidRPr="007500B2" w14:paraId="7CB5DA60"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206C72E6"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արտաքին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7B80A968"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21,483.5</w:t>
            </w:r>
          </w:p>
        </w:tc>
        <w:tc>
          <w:tcPr>
            <w:tcW w:w="1621" w:type="dxa"/>
            <w:tcBorders>
              <w:top w:val="nil"/>
              <w:left w:val="nil"/>
              <w:bottom w:val="single" w:sz="8" w:space="0" w:color="auto"/>
              <w:right w:val="single" w:sz="8" w:space="0" w:color="auto"/>
            </w:tcBorders>
            <w:shd w:val="clear" w:color="000000" w:fill="FFFFFF"/>
            <w:vAlign w:val="center"/>
            <w:hideMark/>
          </w:tcPr>
          <w:p w14:paraId="11F00268"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15,970.3</w:t>
            </w:r>
          </w:p>
        </w:tc>
        <w:tc>
          <w:tcPr>
            <w:tcW w:w="1435" w:type="dxa"/>
            <w:tcBorders>
              <w:top w:val="nil"/>
              <w:left w:val="nil"/>
              <w:bottom w:val="single" w:sz="8" w:space="0" w:color="auto"/>
              <w:right w:val="single" w:sz="8" w:space="0" w:color="auto"/>
            </w:tcBorders>
            <w:shd w:val="clear" w:color="000000" w:fill="FFFFFF"/>
            <w:vAlign w:val="center"/>
            <w:hideMark/>
          </w:tcPr>
          <w:p w14:paraId="3F98FA91"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23,812.7</w:t>
            </w:r>
          </w:p>
        </w:tc>
        <w:tc>
          <w:tcPr>
            <w:tcW w:w="1701" w:type="dxa"/>
            <w:tcBorders>
              <w:top w:val="nil"/>
              <w:left w:val="nil"/>
              <w:bottom w:val="single" w:sz="8" w:space="0" w:color="auto"/>
              <w:right w:val="single" w:sz="8" w:space="0" w:color="auto"/>
            </w:tcBorders>
            <w:shd w:val="clear" w:color="000000" w:fill="FFFFFF"/>
            <w:vAlign w:val="center"/>
            <w:hideMark/>
          </w:tcPr>
          <w:p w14:paraId="6AD15BA6"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21,714.2</w:t>
            </w:r>
          </w:p>
        </w:tc>
      </w:tr>
      <w:tr w:rsidR="00B11AEF" w:rsidRPr="007500B2" w14:paraId="6CE67AA8" w14:textId="77777777" w:rsidTr="00B11AEF">
        <w:trPr>
          <w:trHeight w:val="420"/>
        </w:trPr>
        <w:tc>
          <w:tcPr>
            <w:tcW w:w="3686" w:type="dxa"/>
            <w:tcBorders>
              <w:top w:val="nil"/>
              <w:left w:val="single" w:sz="8" w:space="0" w:color="auto"/>
              <w:bottom w:val="single" w:sz="8" w:space="0" w:color="auto"/>
              <w:right w:val="single" w:sz="8" w:space="0" w:color="auto"/>
            </w:tcBorders>
            <w:shd w:val="clear" w:color="000000" w:fill="FFFFFF"/>
            <w:noWrap/>
            <w:vAlign w:val="center"/>
            <w:hideMark/>
          </w:tcPr>
          <w:p w14:paraId="67878471" w14:textId="77777777" w:rsidR="00B11AEF" w:rsidRPr="007500B2" w:rsidRDefault="00B11AEF" w:rsidP="00B11AEF">
            <w:pPr>
              <w:spacing w:before="0" w:after="0" w:line="240" w:lineRule="auto"/>
              <w:ind w:firstLine="0"/>
              <w:rPr>
                <w:rFonts w:eastAsia="Times New Roman" w:cs="Times New Roman"/>
                <w:i/>
                <w:iCs/>
                <w:color w:val="000000"/>
                <w:sz w:val="20"/>
                <w:szCs w:val="20"/>
              </w:rPr>
            </w:pPr>
            <w:r w:rsidRPr="007500B2">
              <w:rPr>
                <w:rFonts w:eastAsia="Times New Roman" w:cs="Times New Roman"/>
                <w:i/>
                <w:iCs/>
                <w:color w:val="000000"/>
                <w:sz w:val="20"/>
                <w:szCs w:val="20"/>
              </w:rPr>
              <w:t xml:space="preserve"> -  ներքին աղբյուրներ </w:t>
            </w:r>
          </w:p>
        </w:tc>
        <w:tc>
          <w:tcPr>
            <w:tcW w:w="1480" w:type="dxa"/>
            <w:tcBorders>
              <w:top w:val="nil"/>
              <w:left w:val="nil"/>
              <w:bottom w:val="single" w:sz="8" w:space="0" w:color="auto"/>
              <w:right w:val="single" w:sz="8" w:space="0" w:color="auto"/>
            </w:tcBorders>
            <w:shd w:val="clear" w:color="000000" w:fill="FFFFFF"/>
            <w:vAlign w:val="center"/>
            <w:hideMark/>
          </w:tcPr>
          <w:p w14:paraId="54F0CEB9"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3,308.0</w:t>
            </w:r>
          </w:p>
        </w:tc>
        <w:tc>
          <w:tcPr>
            <w:tcW w:w="1621" w:type="dxa"/>
            <w:tcBorders>
              <w:top w:val="nil"/>
              <w:left w:val="nil"/>
              <w:bottom w:val="single" w:sz="8" w:space="0" w:color="auto"/>
              <w:right w:val="single" w:sz="8" w:space="0" w:color="auto"/>
            </w:tcBorders>
            <w:shd w:val="clear" w:color="000000" w:fill="FFFFFF"/>
            <w:vAlign w:val="center"/>
            <w:hideMark/>
          </w:tcPr>
          <w:p w14:paraId="353769B9"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4,290.5</w:t>
            </w:r>
          </w:p>
        </w:tc>
        <w:tc>
          <w:tcPr>
            <w:tcW w:w="1435" w:type="dxa"/>
            <w:tcBorders>
              <w:top w:val="nil"/>
              <w:left w:val="nil"/>
              <w:bottom w:val="single" w:sz="8" w:space="0" w:color="auto"/>
              <w:right w:val="single" w:sz="8" w:space="0" w:color="auto"/>
            </w:tcBorders>
            <w:shd w:val="clear" w:color="000000" w:fill="FFFFFF"/>
            <w:vAlign w:val="center"/>
            <w:hideMark/>
          </w:tcPr>
          <w:p w14:paraId="29DFA1DE"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3,552.9</w:t>
            </w:r>
          </w:p>
        </w:tc>
        <w:tc>
          <w:tcPr>
            <w:tcW w:w="1701" w:type="dxa"/>
            <w:tcBorders>
              <w:top w:val="nil"/>
              <w:left w:val="nil"/>
              <w:bottom w:val="single" w:sz="8" w:space="0" w:color="auto"/>
              <w:right w:val="single" w:sz="8" w:space="0" w:color="auto"/>
            </w:tcBorders>
            <w:shd w:val="clear" w:color="000000" w:fill="FFFFFF"/>
            <w:vAlign w:val="center"/>
            <w:hideMark/>
          </w:tcPr>
          <w:p w14:paraId="03519C51" w14:textId="77777777" w:rsidR="00B11AEF" w:rsidRPr="007500B2" w:rsidRDefault="00B11AEF" w:rsidP="00B11AEF">
            <w:pPr>
              <w:spacing w:before="0" w:after="0" w:line="240" w:lineRule="auto"/>
              <w:ind w:firstLine="0"/>
              <w:jc w:val="center"/>
              <w:rPr>
                <w:rFonts w:eastAsia="Times New Roman" w:cs="Times New Roman"/>
                <w:i/>
                <w:iCs/>
                <w:color w:val="000000"/>
                <w:sz w:val="20"/>
                <w:szCs w:val="20"/>
              </w:rPr>
            </w:pPr>
            <w:r w:rsidRPr="007500B2">
              <w:rPr>
                <w:rFonts w:eastAsia="Times New Roman" w:cs="Times New Roman"/>
                <w:i/>
                <w:iCs/>
                <w:color w:val="000000"/>
                <w:sz w:val="20"/>
                <w:szCs w:val="20"/>
              </w:rPr>
              <w:t>2,690.3</w:t>
            </w:r>
          </w:p>
        </w:tc>
      </w:tr>
    </w:tbl>
    <w:p w14:paraId="60FC77D1" w14:textId="77777777" w:rsidR="00B11AEF" w:rsidRDefault="00B11AEF" w:rsidP="00B11AEF">
      <w:pPr>
        <w:jc w:val="right"/>
        <w:rPr>
          <w:sz w:val="20"/>
          <w:szCs w:val="20"/>
          <w:lang w:val="hy-AM"/>
        </w:rPr>
      </w:pPr>
    </w:p>
    <w:p w14:paraId="508D7659" w14:textId="77777777" w:rsidR="00B11AEF" w:rsidRPr="00495F52" w:rsidRDefault="00B11AEF" w:rsidP="00B11AEF">
      <w:pPr>
        <w:pStyle w:val="Heading3"/>
        <w:rPr>
          <w:rFonts w:eastAsia="Times New Roman" w:cs="Times New Roman"/>
          <w:caps w:val="0"/>
          <w:color w:val="1F497D" w:themeColor="text2"/>
          <w:sz w:val="28"/>
          <w:szCs w:val="28"/>
        </w:rPr>
      </w:pPr>
      <w:bookmarkStart w:id="539" w:name="_Toc45838537"/>
      <w:bookmarkStart w:id="540" w:name="_Toc77356423"/>
      <w:bookmarkStart w:id="541" w:name="_Toc77837866"/>
      <w:bookmarkEnd w:id="530"/>
      <w:bookmarkEnd w:id="531"/>
      <w:r w:rsidRPr="00495F52">
        <w:rPr>
          <w:rFonts w:eastAsia="Times New Roman" w:cs="Times New Roman"/>
          <w:caps w:val="0"/>
          <w:color w:val="1F497D" w:themeColor="text2"/>
          <w:sz w:val="28"/>
          <w:szCs w:val="28"/>
        </w:rPr>
        <w:t xml:space="preserve">4.5. </w:t>
      </w:r>
      <w:bookmarkStart w:id="542" w:name="_Toc46154365"/>
      <w:bookmarkEnd w:id="539"/>
      <w:r w:rsidRPr="00495F52">
        <w:rPr>
          <w:rFonts w:eastAsia="Times New Roman" w:cs="Times New Roman"/>
          <w:caps w:val="0"/>
          <w:color w:val="1F497D" w:themeColor="text2"/>
          <w:sz w:val="28"/>
          <w:szCs w:val="28"/>
        </w:rPr>
        <w:t xml:space="preserve">2022-2024ԹԹ ՄԺԾԾ  </w:t>
      </w:r>
      <w:bookmarkEnd w:id="542"/>
      <w:r w:rsidRPr="00495F52">
        <w:rPr>
          <w:rFonts w:eastAsia="Times New Roman" w:cs="Times New Roman"/>
          <w:caps w:val="0"/>
          <w:color w:val="1F497D" w:themeColor="text2"/>
          <w:sz w:val="28"/>
          <w:szCs w:val="28"/>
        </w:rPr>
        <w:t>ԱՌԱՋՆԱՀԵՐԹՈՒԹՅՈՒՆՆԵՐ</w:t>
      </w:r>
      <w:bookmarkEnd w:id="540"/>
      <w:bookmarkEnd w:id="541"/>
    </w:p>
    <w:p w14:paraId="5E0223F9" w14:textId="77777777" w:rsidR="00B11AEF" w:rsidRPr="00435E02" w:rsidRDefault="00B11AEF" w:rsidP="00B11AEF">
      <w:pPr>
        <w:spacing w:line="276" w:lineRule="auto"/>
        <w:ind w:firstLine="475"/>
        <w:rPr>
          <w:lang w:val="hy-AM"/>
        </w:rPr>
      </w:pPr>
      <w:r w:rsidRPr="00435E02">
        <w:rPr>
          <w:lang w:val="hy-AM"/>
        </w:rPr>
        <w:t>ՀՀ կառավարության ծրագրին համապատասխան ծախսային քաղաքականության արդյունավետության բարձրացման տեսանկյունից միջնաժամկետ ժամանակահատվածում կարևոր</w:t>
      </w:r>
      <w:r w:rsidRPr="00FA0954">
        <w:rPr>
          <w:lang w:val="hy-AM"/>
        </w:rPr>
        <w:t>վ</w:t>
      </w:r>
      <w:r w:rsidRPr="00435E02">
        <w:rPr>
          <w:lang w:val="hy-AM"/>
        </w:rPr>
        <w:t>ում է հանրային ֆինանսների նպատակային, խնայողաբար և ադյունավետ օգտագործումը, ինչի արդյունքում ՀՀ պետական բյուջեի ծախսերի կառուցվածքում աստիճանաբար հնարավորության սահմաններում կմեծանա մարդկային կապիտալին և ենթակառուցվածքներին ուղղվող ծախսերի տեսակարար կշիռը:</w:t>
      </w:r>
    </w:p>
    <w:p w14:paraId="132AFA07" w14:textId="77777777" w:rsidR="00B11AEF" w:rsidRPr="00435E02" w:rsidRDefault="00B11AEF" w:rsidP="00B11AEF">
      <w:pPr>
        <w:spacing w:line="276" w:lineRule="auto"/>
        <w:ind w:firstLine="475"/>
        <w:rPr>
          <w:lang w:val="hy-AM"/>
        </w:rPr>
      </w:pPr>
      <w:r w:rsidRPr="00435E02">
        <w:rPr>
          <w:lang w:val="hy-AM"/>
        </w:rPr>
        <w:t>202</w:t>
      </w:r>
      <w:r w:rsidRPr="00FA0954">
        <w:rPr>
          <w:lang w:val="hy-AM"/>
        </w:rPr>
        <w:t>2</w:t>
      </w:r>
      <w:r w:rsidRPr="00435E02">
        <w:rPr>
          <w:lang w:val="hy-AM"/>
        </w:rPr>
        <w:t>-202</w:t>
      </w:r>
      <w:r w:rsidRPr="00FA0954">
        <w:rPr>
          <w:lang w:val="hy-AM"/>
        </w:rPr>
        <w:t>4</w:t>
      </w:r>
      <w:r w:rsidRPr="00435E02">
        <w:rPr>
          <w:lang w:val="hy-AM"/>
        </w:rPr>
        <w:t xml:space="preserve">թթ ՄԺԾԾ-ում առանձին հավելվածով ներկայացվել </w:t>
      </w:r>
      <w:r>
        <w:rPr>
          <w:lang w:val="hy-AM"/>
        </w:rPr>
        <w:t>են</w:t>
      </w:r>
      <w:r w:rsidRPr="00435E02">
        <w:rPr>
          <w:lang w:val="hy-AM"/>
        </w:rPr>
        <w:t xml:space="preserve"> </w:t>
      </w:r>
      <w:r w:rsidRPr="005F3901">
        <w:rPr>
          <w:lang w:val="hy-AM"/>
        </w:rPr>
        <w:t>առաջնահերթությունները՝  ԲԳԿ-ների կողմից ներկայացված հայտերի և ՄԺԾԾ առաջարկների տարբերության մասով</w:t>
      </w:r>
      <w:r w:rsidRPr="00435E02">
        <w:rPr>
          <w:lang w:val="hy-AM"/>
        </w:rPr>
        <w:t xml:space="preserve">, որոնք զետեղվել են </w:t>
      </w:r>
      <w:r w:rsidRPr="005F3901">
        <w:rPr>
          <w:lang w:val="hy-AM"/>
        </w:rPr>
        <w:t>1.</w:t>
      </w:r>
      <w:r w:rsidRPr="00435E02">
        <w:rPr>
          <w:lang w:val="hy-AM"/>
        </w:rPr>
        <w:t xml:space="preserve">6 </w:t>
      </w:r>
      <w:r w:rsidRPr="00FA0954">
        <w:rPr>
          <w:lang w:val="hy-AM"/>
        </w:rPr>
        <w:t>-րդ</w:t>
      </w:r>
      <w:r w:rsidRPr="00435E02">
        <w:rPr>
          <w:lang w:val="hy-AM"/>
        </w:rPr>
        <w:t xml:space="preserve"> հավերվածում: </w:t>
      </w:r>
      <w:r w:rsidRPr="005F3901">
        <w:rPr>
          <w:lang w:val="hy-AM"/>
        </w:rPr>
        <w:t xml:space="preserve">2022-2024 թ.թ. ՄԺԾԾ ԲԳԿ-ների կողմից ներկայացված </w:t>
      </w:r>
      <w:r w:rsidRPr="00435E02">
        <w:rPr>
          <w:lang w:val="hy-AM"/>
        </w:rPr>
        <w:t>առաջնահերթություններ</w:t>
      </w:r>
      <w:r w:rsidRPr="005F3901">
        <w:rPr>
          <w:lang w:val="hy-AM"/>
        </w:rPr>
        <w:t>ը</w:t>
      </w:r>
      <w:r w:rsidRPr="00435E02">
        <w:rPr>
          <w:lang w:val="hy-AM"/>
        </w:rPr>
        <w:t xml:space="preserve"> 202</w:t>
      </w:r>
      <w:r w:rsidRPr="00FA0954">
        <w:rPr>
          <w:lang w:val="hy-AM"/>
        </w:rPr>
        <w:t>2</w:t>
      </w:r>
      <w:r w:rsidRPr="00435E02">
        <w:rPr>
          <w:lang w:val="hy-AM"/>
        </w:rPr>
        <w:t>-202</w:t>
      </w:r>
      <w:r w:rsidRPr="00FA0954">
        <w:rPr>
          <w:lang w:val="hy-AM"/>
        </w:rPr>
        <w:t>4</w:t>
      </w:r>
      <w:r w:rsidRPr="00435E02">
        <w:rPr>
          <w:lang w:val="hy-AM"/>
        </w:rPr>
        <w:t>թթ. բյուջեում լրացուցիչ ֆինանսական միջոցների առկայության պայմաններում (Հայաստանի Հանրապետության տնտեսական զարգացման բարենպաստ միջավայրի և այլ գործոններով պայմանավորված), ինչպես նաև 202</w:t>
      </w:r>
      <w:r w:rsidRPr="00FA0954">
        <w:rPr>
          <w:lang w:val="hy-AM"/>
        </w:rPr>
        <w:t>2</w:t>
      </w:r>
      <w:r w:rsidRPr="00435E02">
        <w:rPr>
          <w:lang w:val="hy-AM"/>
        </w:rPr>
        <w:t>-202</w:t>
      </w:r>
      <w:r w:rsidRPr="00FA0954">
        <w:rPr>
          <w:lang w:val="hy-AM"/>
        </w:rPr>
        <w:t>4</w:t>
      </w:r>
      <w:r w:rsidRPr="00435E02">
        <w:rPr>
          <w:lang w:val="hy-AM"/>
        </w:rPr>
        <w:t>թթ  ժամանակահատվածում բյուջեով նախատեսված ծախսերի կրճատման, ծախսային ուղղությունների գծով հնարավոր գերակայությունների (առաջնահերթությունների) փոփոխման արդյունքում վերաբաշխումների (փոխատեղումների), խնայողությունների առկայության, Հայաստանի Հանրապետության օրենսդրությամբ սահմանված կարգով Հայաստանի Հանրապետության պետական բյուջեի դեֆիցիտի սահմանաչափի ավելացման պարագայում վերջիններիս ֆինանսավորումը պետք է իրականացվ</w:t>
      </w:r>
      <w:r w:rsidRPr="005F3901">
        <w:rPr>
          <w:lang w:val="hy-AM"/>
        </w:rPr>
        <w:t>են</w:t>
      </w:r>
      <w:r w:rsidRPr="00435E02">
        <w:rPr>
          <w:lang w:val="hy-AM"/>
        </w:rPr>
        <w:t xml:space="preserve"> առաջնահերթ կարգով՝ կապիտալ ծախսերի դեպքում հիմք ընդունելով համապատասխան նախագծանախահաշվային փաստաթղթերի հիման վրա այդ աշխատանքների արժեքների ճշգրտումները։</w:t>
      </w:r>
    </w:p>
    <w:p w14:paraId="72C6879A" w14:textId="77777777" w:rsidR="00B11AEF" w:rsidRPr="00435E02" w:rsidRDefault="00B11AEF" w:rsidP="00B11AEF">
      <w:pPr>
        <w:spacing w:line="276" w:lineRule="auto"/>
        <w:ind w:firstLine="475"/>
        <w:rPr>
          <w:rFonts w:cs="Arial"/>
          <w:lang w:val="hy-AM"/>
        </w:rPr>
      </w:pPr>
      <w:r w:rsidRPr="00435E02">
        <w:rPr>
          <w:lang w:val="hy-AM"/>
        </w:rPr>
        <w:t>202</w:t>
      </w:r>
      <w:r w:rsidRPr="00FA0954">
        <w:rPr>
          <w:lang w:val="hy-AM"/>
        </w:rPr>
        <w:t>2</w:t>
      </w:r>
      <w:r w:rsidRPr="00435E02">
        <w:rPr>
          <w:lang w:val="hy-AM"/>
        </w:rPr>
        <w:t>-202</w:t>
      </w:r>
      <w:r w:rsidRPr="00FA0954">
        <w:rPr>
          <w:lang w:val="hy-AM"/>
        </w:rPr>
        <w:t>4</w:t>
      </w:r>
      <w:r w:rsidRPr="00435E02">
        <w:rPr>
          <w:lang w:val="hy-AM"/>
        </w:rPr>
        <w:t xml:space="preserve">թթ միջնաժամկետ </w:t>
      </w:r>
      <w:r w:rsidRPr="00E32E0A">
        <w:rPr>
          <w:lang w:val="hy-AM"/>
        </w:rPr>
        <w:t>ա</w:t>
      </w:r>
      <w:r w:rsidRPr="005F3901">
        <w:rPr>
          <w:lang w:val="hy-AM"/>
        </w:rPr>
        <w:t>ռա</w:t>
      </w:r>
      <w:r w:rsidRPr="00E32E0A">
        <w:rPr>
          <w:lang w:val="hy-AM"/>
        </w:rPr>
        <w:t>ջնահերթությունների</w:t>
      </w:r>
      <w:r w:rsidRPr="00435E02">
        <w:rPr>
          <w:rFonts w:cs="Arial"/>
          <w:lang w:val="hy-AM"/>
        </w:rPr>
        <w:t xml:space="preserve"> գծով ծախսերը կազմում են համապատասխանաբար</w:t>
      </w:r>
      <w:r w:rsidRPr="00435E02">
        <w:rPr>
          <w:lang w:val="hy-AM"/>
        </w:rPr>
        <w:t xml:space="preserve"> ՝ </w:t>
      </w:r>
      <w:r w:rsidRPr="005F3901">
        <w:rPr>
          <w:lang w:val="hy-AM"/>
        </w:rPr>
        <w:t>593</w:t>
      </w:r>
      <w:r w:rsidRPr="00435E02">
        <w:rPr>
          <w:lang w:val="hy-AM"/>
        </w:rPr>
        <w:t>.</w:t>
      </w:r>
      <w:r w:rsidRPr="005F3901">
        <w:rPr>
          <w:lang w:val="hy-AM"/>
        </w:rPr>
        <w:t>001</w:t>
      </w:r>
      <w:r w:rsidRPr="00435E02">
        <w:rPr>
          <w:lang w:val="hy-AM"/>
        </w:rPr>
        <w:t>,</w:t>
      </w:r>
      <w:r w:rsidRPr="005F3901">
        <w:rPr>
          <w:lang w:val="hy-AM"/>
        </w:rPr>
        <w:t>1</w:t>
      </w:r>
      <w:r w:rsidRPr="00435E02">
        <w:rPr>
          <w:lang w:val="hy-AM"/>
        </w:rPr>
        <w:t xml:space="preserve">, </w:t>
      </w:r>
      <w:r w:rsidRPr="005F3901">
        <w:rPr>
          <w:lang w:val="hy-AM"/>
        </w:rPr>
        <w:t>451</w:t>
      </w:r>
      <w:r w:rsidRPr="00435E02">
        <w:rPr>
          <w:lang w:val="hy-AM"/>
        </w:rPr>
        <w:t>.</w:t>
      </w:r>
      <w:r w:rsidRPr="005F3901">
        <w:rPr>
          <w:lang w:val="hy-AM"/>
        </w:rPr>
        <w:t>616</w:t>
      </w:r>
      <w:r w:rsidRPr="00435E02">
        <w:rPr>
          <w:lang w:val="hy-AM"/>
        </w:rPr>
        <w:t>,</w:t>
      </w:r>
      <w:r w:rsidRPr="00FA0954">
        <w:rPr>
          <w:lang w:val="hy-AM"/>
        </w:rPr>
        <w:t>3</w:t>
      </w:r>
      <w:r w:rsidRPr="00435E02">
        <w:rPr>
          <w:lang w:val="hy-AM"/>
        </w:rPr>
        <w:t xml:space="preserve"> և </w:t>
      </w:r>
      <w:r w:rsidRPr="005F3901">
        <w:rPr>
          <w:lang w:val="hy-AM"/>
        </w:rPr>
        <w:t>407</w:t>
      </w:r>
      <w:r w:rsidRPr="00435E02">
        <w:rPr>
          <w:lang w:val="hy-AM"/>
        </w:rPr>
        <w:t>.</w:t>
      </w:r>
      <w:r w:rsidRPr="005F3901">
        <w:rPr>
          <w:lang w:val="hy-AM"/>
        </w:rPr>
        <w:t>349</w:t>
      </w:r>
      <w:r w:rsidRPr="00435E02">
        <w:rPr>
          <w:lang w:val="hy-AM"/>
        </w:rPr>
        <w:t>,</w:t>
      </w:r>
      <w:r w:rsidRPr="005F3901">
        <w:rPr>
          <w:lang w:val="hy-AM"/>
        </w:rPr>
        <w:t>1</w:t>
      </w:r>
      <w:r w:rsidRPr="00435E02">
        <w:rPr>
          <w:lang w:val="hy-AM"/>
        </w:rPr>
        <w:t xml:space="preserve"> մլն. դրամ </w:t>
      </w:r>
      <w:r w:rsidRPr="00435E02">
        <w:rPr>
          <w:rFonts w:cs="Arial"/>
          <w:lang w:val="es-ES"/>
        </w:rPr>
        <w:t>(</w:t>
      </w:r>
      <w:r w:rsidRPr="00435E02">
        <w:rPr>
          <w:rFonts w:cs="Arial"/>
          <w:lang w:val="hy-AM"/>
        </w:rPr>
        <w:t>տե՛ս</w:t>
      </w:r>
      <w:r w:rsidRPr="00435E02">
        <w:rPr>
          <w:rFonts w:cs="Arial"/>
          <w:lang w:val="es-ES"/>
        </w:rPr>
        <w:t xml:space="preserve"> </w:t>
      </w:r>
      <w:r w:rsidRPr="00435E02">
        <w:rPr>
          <w:rFonts w:cs="Arial"/>
          <w:lang w:val="hy-AM"/>
        </w:rPr>
        <w:t>Հավելված</w:t>
      </w:r>
      <w:r w:rsidRPr="00435E02">
        <w:rPr>
          <w:rFonts w:cs="Arial"/>
          <w:lang w:val="es-ES"/>
        </w:rPr>
        <w:t xml:space="preserve"> </w:t>
      </w:r>
      <w:r>
        <w:rPr>
          <w:rFonts w:cs="Arial"/>
          <w:lang w:val="es-ES"/>
        </w:rPr>
        <w:t>1.</w:t>
      </w:r>
      <w:r w:rsidRPr="00435E02">
        <w:rPr>
          <w:rFonts w:cs="Arial"/>
          <w:lang w:val="es-ES"/>
        </w:rPr>
        <w:t>6)</w:t>
      </w:r>
      <w:r w:rsidRPr="00435E02">
        <w:rPr>
          <w:rFonts w:cs="Arial"/>
          <w:lang w:val="hy-AM"/>
        </w:rPr>
        <w:t>։</w:t>
      </w:r>
    </w:p>
    <w:p w14:paraId="454D0D77" w14:textId="77777777" w:rsidR="00B11AEF" w:rsidRDefault="00B11AEF" w:rsidP="00B11AEF">
      <w:pPr>
        <w:spacing w:before="0" w:after="200" w:line="276" w:lineRule="auto"/>
        <w:ind w:firstLine="540"/>
        <w:rPr>
          <w:rFonts w:eastAsia="Times New Roman" w:cs="Times New Roman"/>
          <w:b/>
          <w:color w:val="1F497D" w:themeColor="text2"/>
          <w:sz w:val="28"/>
          <w:szCs w:val="28"/>
          <w:lang w:val="hy-AM"/>
        </w:rPr>
      </w:pPr>
      <w:r w:rsidRPr="005F3901">
        <w:rPr>
          <w:lang w:val="hy-AM"/>
        </w:rPr>
        <w:t>Առաջնահերթություններում</w:t>
      </w:r>
      <w:r w:rsidRPr="00FA0954">
        <w:rPr>
          <w:rFonts w:cs="Arial"/>
          <w:lang w:val="hy-AM"/>
        </w:rPr>
        <w:t xml:space="preserve"> կարևորվում է նաև կ</w:t>
      </w:r>
      <w:r w:rsidRPr="00435E02">
        <w:rPr>
          <w:lang w:val="hy-AM"/>
        </w:rPr>
        <w:t>ապիտալ ծրագրերի դերը</w:t>
      </w:r>
      <w:r w:rsidRPr="00FA0954">
        <w:rPr>
          <w:lang w:val="hy-AM"/>
        </w:rPr>
        <w:t>, որոնք իրենց ուրույն տեղն են գտել նաև</w:t>
      </w:r>
      <w:r w:rsidRPr="00435E02">
        <w:rPr>
          <w:lang w:val="hy-AM"/>
        </w:rPr>
        <w:t xml:space="preserve"> ՊՖԿՀ բարեփոխումների ռազմավարությունում, որտեղ «Հանրային ներդրումների կառավարման» համակարգի ներդրումը</w:t>
      </w:r>
      <w:r w:rsidRPr="00FA0954">
        <w:rPr>
          <w:lang w:val="hy-AM"/>
        </w:rPr>
        <w:t xml:space="preserve"> դիտվում է որպես</w:t>
      </w:r>
      <w:r w:rsidRPr="00435E02">
        <w:rPr>
          <w:lang w:val="hy-AM"/>
        </w:rPr>
        <w:t xml:space="preserve"> կապիտալ ծրագրերի գնահատման, առաջնահերթությունների որոշման և ֆինանսավորման համար անհրաժեշտ ռեսուրսների հաշվարկման առանցքային գործիքակազմի բաղադրիչներից մեկը: Այս միջոցառման իրականացումը ապագայում կնպաստի կապիտալ ծախսերի իրականացման արդյունավետության բարձրացմանը՝ խթանելով երկարաժամկետ տնտեսական աճի արագացումը:</w:t>
      </w:r>
      <w:r w:rsidRPr="005F3901">
        <w:rPr>
          <w:rFonts w:eastAsia="Times New Roman" w:cs="Times New Roman"/>
          <w:caps/>
          <w:color w:val="1F497D" w:themeColor="text2"/>
          <w:sz w:val="28"/>
          <w:szCs w:val="28"/>
          <w:lang w:val="hy-AM"/>
        </w:rPr>
        <w:br w:type="page"/>
      </w:r>
    </w:p>
    <w:p w14:paraId="380A6513" w14:textId="77777777" w:rsidR="00B11AEF" w:rsidRPr="00495F52" w:rsidRDefault="00B11AEF" w:rsidP="00B11AEF">
      <w:pPr>
        <w:pStyle w:val="Heading3"/>
        <w:rPr>
          <w:rFonts w:eastAsia="Times New Roman" w:cs="Times New Roman"/>
          <w:caps w:val="0"/>
          <w:color w:val="1F497D" w:themeColor="text2"/>
          <w:sz w:val="28"/>
          <w:szCs w:val="28"/>
        </w:rPr>
      </w:pPr>
      <w:bookmarkStart w:id="543" w:name="_Toc77356424"/>
      <w:bookmarkStart w:id="544" w:name="_Toc77837867"/>
      <w:r>
        <w:rPr>
          <w:rFonts w:eastAsia="Times New Roman" w:cs="Times New Roman"/>
          <w:caps w:val="0"/>
          <w:color w:val="1F497D" w:themeColor="text2"/>
          <w:sz w:val="28"/>
          <w:szCs w:val="28"/>
        </w:rPr>
        <w:t>4.6. 2022-2024ԹԹ ՄԺԾԾ  ԺԱՄԱՆԱԿԱՀԱՏՎԱԾՈՒՄ ՀՀ ՊԵՏԱԿԱՆ ԲՅՈՒՋԵԻՑ ՀԱՄԱՅՆՔՆԵՐԻՆ ՏՐՎՈՂ ՀԱՏԿԱՑՈՒՄՆԵՐԸ</w:t>
      </w:r>
      <w:bookmarkEnd w:id="543"/>
      <w:bookmarkEnd w:id="544"/>
    </w:p>
    <w:p w14:paraId="01D45163" w14:textId="77777777" w:rsidR="00B11AEF" w:rsidRDefault="00B11AEF" w:rsidP="00B11AEF">
      <w:pPr>
        <w:spacing w:line="276" w:lineRule="auto"/>
        <w:rPr>
          <w:lang w:val="hy-AM"/>
        </w:rPr>
      </w:pPr>
      <w:r>
        <w:rPr>
          <w:lang w:val="hy-AM"/>
        </w:rPr>
        <w:t>2022-2024թթ միջանաժամկետ ժամանակահատվածում պետական բյուջեից նախատեսվել է տրամադրել հատկացումներ ՀՀ համայնքներին, մասնավորապես</w:t>
      </w:r>
      <w:r w:rsidRPr="00D222B8">
        <w:rPr>
          <w:lang w:val="hy-AM"/>
        </w:rPr>
        <w:t>՝</w:t>
      </w:r>
      <w:r>
        <w:rPr>
          <w:lang w:val="hy-AM"/>
        </w:rPr>
        <w:t xml:space="preserve"> </w:t>
      </w:r>
      <w:r w:rsidRPr="00D222B8">
        <w:rPr>
          <w:lang w:val="hy-AM"/>
        </w:rPr>
        <w:t>հ</w:t>
      </w:r>
      <w:r>
        <w:rPr>
          <w:lang w:val="hy-AM"/>
        </w:rPr>
        <w:t>ամայնքների բյուջեներին ֆինանսական համահարթեցման սկզբունքով դոտացիաների տրամադրման, օրենքների կիրարկման արդյունքում համայնքների բյուջեների եկամուտների կորուստների փոխհատուցման նպատակով 2022 թվականին նախատեսվում է տրամադրել շուրջ 64,3 մլրդ դրամ կամ ընդհանուր բյուջետային ծախսերի 3.2 և ՀՆԱ-ի 0.8 տոկոսը, 2023 թվականին՝ 66,8 մլրդ դրամ կամ ընդհանուր բյուջետային ծախսերի 3.1 և ՀՆԱ-ի 0.8 տոկոսը իսկ 2024 թվականին 75,</w:t>
      </w:r>
      <w:r w:rsidRPr="006A4FEB">
        <w:rPr>
          <w:lang w:val="hy-AM"/>
        </w:rPr>
        <w:t>0</w:t>
      </w:r>
      <w:r>
        <w:rPr>
          <w:lang w:val="hy-AM"/>
        </w:rPr>
        <w:t xml:space="preserve"> մլրդ դրամ կամ ընդհանուր բյուջետային ծախսերի 3.</w:t>
      </w:r>
      <w:r w:rsidRPr="009B6F49">
        <w:rPr>
          <w:lang w:val="hy-AM"/>
        </w:rPr>
        <w:t>2</w:t>
      </w:r>
      <w:r>
        <w:rPr>
          <w:lang w:val="hy-AM"/>
        </w:rPr>
        <w:t xml:space="preserve"> և ՀՆԱ-ի 0.</w:t>
      </w:r>
      <w:r w:rsidRPr="005D78B7">
        <w:rPr>
          <w:lang w:val="hy-AM"/>
        </w:rPr>
        <w:t>8</w:t>
      </w:r>
      <w:r>
        <w:rPr>
          <w:lang w:val="hy-AM"/>
        </w:rPr>
        <w:t xml:space="preserve"> տոկոսը: 2022-2024 թվականների ՄԺԾԾ նախատեսվել է համայնքներին տրամադրել նաև սուբվենցիաներ՝  2022 թվականին՝ շուրջ 10.4 մլրդ կամ ընդհանուր բյուջետային ծախսերի 0.5 տոկոսը, 2023 թվականին՝ 14.4 մլրդ կամ ընդհանուր բյուջետային ծախսերի 0.7 տոկոսը և 2024 թվականին նույնպես 13.9 մլրդ կամ ընդհանուր բյուջետային ծախսերի 0.6 տոկոսը: Միջնաժամկետ ժամանակահատվածում Սահմանամերձ համայնքների սոցիալական աջակցության մասին ՀՀ օրենքի կիրարկմամբ պայմանավորված նախատեսվել է պետական աջակցություն տրամադրել սահմանամերձ համայնքներին՝ յուրաքանչյուր տարվա համար շուրջ 1.2 մլրդ դրամի չափով:</w:t>
      </w:r>
    </w:p>
    <w:p w14:paraId="49430161" w14:textId="77777777" w:rsidR="00B11AEF" w:rsidRDefault="00B11AEF" w:rsidP="00B11AEF">
      <w:pPr>
        <w:pStyle w:val="Caption"/>
        <w:spacing w:before="0" w:after="0"/>
        <w:rPr>
          <w:rFonts w:cs="Sylfaen"/>
          <w:b/>
          <w:caps w:val="0"/>
          <w:spacing w:val="0"/>
          <w:sz w:val="20"/>
          <w:szCs w:val="20"/>
          <w:lang w:val="hy-AM"/>
        </w:rPr>
      </w:pPr>
      <w:bookmarkStart w:id="545" w:name="_Toc57631763"/>
    </w:p>
    <w:p w14:paraId="2A98CBD8" w14:textId="77777777" w:rsidR="00B11AEF" w:rsidRDefault="00B11AEF" w:rsidP="00B11AEF">
      <w:pPr>
        <w:pStyle w:val="Caption"/>
        <w:spacing w:before="0" w:after="0"/>
        <w:rPr>
          <w:b/>
          <w:i/>
          <w:sz w:val="20"/>
          <w:szCs w:val="20"/>
          <w:lang w:val="hy-AM"/>
        </w:rPr>
      </w:pPr>
      <w:r>
        <w:rPr>
          <w:rFonts w:cs="Sylfaen"/>
          <w:b/>
          <w:caps w:val="0"/>
          <w:spacing w:val="0"/>
          <w:sz w:val="20"/>
          <w:szCs w:val="20"/>
          <w:lang w:val="hy-AM"/>
        </w:rPr>
        <w:t xml:space="preserve">Աղյուսակ </w:t>
      </w:r>
      <w:r>
        <w:rPr>
          <w:b/>
          <w:sz w:val="20"/>
          <w:szCs w:val="20"/>
          <w:lang w:val="af-ZA"/>
        </w:rPr>
        <w:t>4.</w:t>
      </w:r>
      <w:r>
        <w:rPr>
          <w:b/>
          <w:sz w:val="20"/>
          <w:szCs w:val="20"/>
          <w:lang w:val="hy-AM"/>
        </w:rPr>
        <w:t>6.1</w:t>
      </w:r>
      <w:r>
        <w:rPr>
          <w:sz w:val="20"/>
          <w:szCs w:val="20"/>
          <w:lang w:val="af-ZA"/>
        </w:rPr>
        <w:t xml:space="preserve"> </w:t>
      </w:r>
      <w:r>
        <w:rPr>
          <w:rFonts w:ascii="Cambria Math" w:hAnsi="Cambria Math"/>
          <w:lang w:val="hy-AM"/>
        </w:rPr>
        <w:t xml:space="preserve"> </w:t>
      </w:r>
      <w:r>
        <w:rPr>
          <w:i/>
          <w:caps w:val="0"/>
          <w:spacing w:val="0"/>
          <w:sz w:val="20"/>
          <w:szCs w:val="20"/>
          <w:lang w:val="af-ZA"/>
        </w:rPr>
        <w:t>ՀՀ պետական բյուջեից համայնքներին տրվող հատկացումների վերաբերյալ</w:t>
      </w:r>
      <w:bookmarkEnd w:id="545"/>
    </w:p>
    <w:p w14:paraId="42D0F3A3" w14:textId="77777777" w:rsidR="00B11AEF" w:rsidRDefault="00B11AEF" w:rsidP="00B11AEF">
      <w:pPr>
        <w:spacing w:before="0"/>
        <w:jc w:val="right"/>
        <w:rPr>
          <w:lang w:val="hy-AM"/>
        </w:rPr>
      </w:pPr>
      <w:r>
        <w:rPr>
          <w:i/>
          <w:iCs/>
          <w:sz w:val="18"/>
          <w:szCs w:val="18"/>
        </w:rPr>
        <w:t>հ</w:t>
      </w:r>
      <w:r>
        <w:rPr>
          <w:i/>
          <w:iCs/>
          <w:sz w:val="18"/>
          <w:szCs w:val="18"/>
          <w:lang w:val="hy-AM"/>
        </w:rPr>
        <w:t>ազ</w:t>
      </w:r>
      <w:r>
        <w:rPr>
          <w:rFonts w:ascii="MS Mincho" w:eastAsia="MS Mincho" w:hAnsi="MS Mincho" w:cs="MS Mincho"/>
          <w:i/>
          <w:iCs/>
          <w:sz w:val="18"/>
          <w:szCs w:val="18"/>
          <w:lang w:val="hy-AM"/>
        </w:rPr>
        <w:t>.</w:t>
      </w:r>
      <w:r>
        <w:rPr>
          <w:i/>
          <w:iCs/>
          <w:sz w:val="18"/>
          <w:szCs w:val="18"/>
          <w:lang w:val="hy-AM"/>
        </w:rPr>
        <w:t xml:space="preserve"> </w:t>
      </w:r>
      <w:r>
        <w:rPr>
          <w:rFonts w:cs="GHEA Grapalat"/>
          <w:i/>
          <w:iCs/>
          <w:sz w:val="18"/>
          <w:szCs w:val="18"/>
          <w:lang w:val="hy-AM"/>
        </w:rPr>
        <w:t>դրա</w:t>
      </w:r>
      <w:r>
        <w:rPr>
          <w:i/>
          <w:iCs/>
          <w:sz w:val="18"/>
          <w:szCs w:val="18"/>
          <w:lang w:val="hy-AM"/>
        </w:rPr>
        <w:t>մ</w:t>
      </w:r>
    </w:p>
    <w:tbl>
      <w:tblPr>
        <w:tblW w:w="10368" w:type="dxa"/>
        <w:tblLook w:val="04A0" w:firstRow="1" w:lastRow="0" w:firstColumn="1" w:lastColumn="0" w:noHBand="0" w:noVBand="1"/>
      </w:tblPr>
      <w:tblGrid>
        <w:gridCol w:w="3168"/>
        <w:gridCol w:w="1380"/>
        <w:gridCol w:w="1590"/>
        <w:gridCol w:w="1530"/>
        <w:gridCol w:w="1346"/>
        <w:gridCol w:w="1362"/>
      </w:tblGrid>
      <w:tr w:rsidR="00B11AEF" w14:paraId="141942C7" w14:textId="77777777" w:rsidTr="00B11AEF">
        <w:trPr>
          <w:trHeight w:val="637"/>
        </w:trPr>
        <w:tc>
          <w:tcPr>
            <w:tcW w:w="3168" w:type="dxa"/>
            <w:tcBorders>
              <w:top w:val="single" w:sz="8" w:space="0" w:color="auto"/>
              <w:left w:val="single" w:sz="8" w:space="0" w:color="auto"/>
              <w:bottom w:val="single" w:sz="8" w:space="0" w:color="auto"/>
              <w:right w:val="single" w:sz="4" w:space="0" w:color="auto"/>
            </w:tcBorders>
            <w:shd w:val="clear" w:color="auto" w:fill="365F91" w:themeFill="accent1" w:themeFillShade="BF"/>
            <w:noWrap/>
          </w:tcPr>
          <w:p w14:paraId="651F89B5" w14:textId="77777777" w:rsidR="00B11AEF" w:rsidRDefault="00B11AEF" w:rsidP="00B11AEF">
            <w:pPr>
              <w:spacing w:before="0" w:after="0" w:line="240" w:lineRule="auto"/>
              <w:ind w:firstLine="0"/>
              <w:jc w:val="center"/>
              <w:rPr>
                <w:rFonts w:cs="Sylfaen"/>
                <w:color w:val="FFFFFF" w:themeColor="background1"/>
                <w:sz w:val="20"/>
                <w:szCs w:val="20"/>
                <w:lang w:val="hy-AM"/>
              </w:rPr>
            </w:pPr>
            <w:r>
              <w:rPr>
                <w:rFonts w:ascii="Calibri" w:hAnsi="Calibri" w:cs="Calibri"/>
                <w:color w:val="FFFFFF" w:themeColor="background1"/>
                <w:sz w:val="20"/>
                <w:szCs w:val="20"/>
                <w:lang w:val="hy-AM"/>
              </w:rPr>
              <w:t> </w:t>
            </w:r>
          </w:p>
          <w:p w14:paraId="05F2C843" w14:textId="77777777" w:rsidR="00B11AEF" w:rsidRDefault="00B11AEF" w:rsidP="00B11AEF">
            <w:pPr>
              <w:spacing w:before="0" w:after="0" w:line="240" w:lineRule="auto"/>
              <w:ind w:firstLine="0"/>
              <w:jc w:val="center"/>
              <w:rPr>
                <w:rFonts w:cs="Sylfaen"/>
                <w:color w:val="FFFFFF" w:themeColor="background1"/>
                <w:sz w:val="20"/>
                <w:szCs w:val="20"/>
                <w:lang w:val="hy-AM"/>
              </w:rPr>
            </w:pPr>
            <w:r>
              <w:rPr>
                <w:rFonts w:cs="Sylfaen"/>
                <w:color w:val="FFFFFF" w:themeColor="background1"/>
                <w:sz w:val="20"/>
                <w:szCs w:val="20"/>
                <w:lang w:val="hy-AM"/>
              </w:rPr>
              <w:t>Ցուցանիշներ</w:t>
            </w:r>
          </w:p>
        </w:tc>
        <w:tc>
          <w:tcPr>
            <w:tcW w:w="1380" w:type="dxa"/>
            <w:tcBorders>
              <w:top w:val="single" w:sz="8" w:space="0" w:color="auto"/>
              <w:left w:val="nil"/>
              <w:bottom w:val="single" w:sz="8" w:space="0" w:color="auto"/>
              <w:right w:val="single" w:sz="4" w:space="0" w:color="auto"/>
            </w:tcBorders>
            <w:shd w:val="clear" w:color="auto" w:fill="365F91" w:themeFill="accent1" w:themeFillShade="BF"/>
            <w:vAlign w:val="center"/>
          </w:tcPr>
          <w:p w14:paraId="4DF96E35" w14:textId="77777777" w:rsidR="00B11AEF" w:rsidRDefault="00B11AEF" w:rsidP="00B11AEF">
            <w:pPr>
              <w:spacing w:before="0" w:after="0" w:line="240" w:lineRule="auto"/>
              <w:ind w:firstLine="0"/>
              <w:jc w:val="center"/>
              <w:rPr>
                <w:rFonts w:cs="Sylfaen"/>
                <w:color w:val="FFFFFF" w:themeColor="background1"/>
                <w:sz w:val="20"/>
                <w:szCs w:val="20"/>
                <w:lang w:val="hy-AM"/>
              </w:rPr>
            </w:pPr>
            <w:r>
              <w:rPr>
                <w:rFonts w:cs="Sylfaen"/>
                <w:color w:val="FFFFFF" w:themeColor="background1"/>
                <w:sz w:val="20"/>
                <w:szCs w:val="20"/>
                <w:lang w:val="hy-AM"/>
              </w:rPr>
              <w:t>2020թ փաստայի</w:t>
            </w:r>
          </w:p>
        </w:tc>
        <w:tc>
          <w:tcPr>
            <w:tcW w:w="1590" w:type="dxa"/>
            <w:tcBorders>
              <w:top w:val="single" w:sz="8" w:space="0" w:color="auto"/>
              <w:left w:val="nil"/>
              <w:bottom w:val="single" w:sz="8" w:space="0" w:color="auto"/>
              <w:right w:val="single" w:sz="4" w:space="0" w:color="auto"/>
            </w:tcBorders>
            <w:shd w:val="clear" w:color="auto" w:fill="365F91" w:themeFill="accent1" w:themeFillShade="BF"/>
            <w:vAlign w:val="center"/>
          </w:tcPr>
          <w:p w14:paraId="7505C61C" w14:textId="77777777" w:rsidR="00B11AEF" w:rsidRDefault="00B11AEF" w:rsidP="00B11AEF">
            <w:pPr>
              <w:spacing w:before="0" w:after="0" w:line="240" w:lineRule="auto"/>
              <w:ind w:firstLine="0"/>
              <w:jc w:val="center"/>
              <w:rPr>
                <w:rFonts w:eastAsia="Times New Roman" w:cs="Times New Roman"/>
                <w:b/>
                <w:bCs/>
                <w:sz w:val="20"/>
                <w:szCs w:val="20"/>
                <w:lang w:val="hy-AM"/>
              </w:rPr>
            </w:pPr>
            <w:r>
              <w:rPr>
                <w:rFonts w:cs="Sylfaen"/>
                <w:color w:val="FFFFFF" w:themeColor="background1"/>
                <w:sz w:val="20"/>
                <w:szCs w:val="20"/>
                <w:lang w:val="hy-AM"/>
              </w:rPr>
              <w:t>2021թ հաստատված</w:t>
            </w:r>
          </w:p>
        </w:tc>
        <w:tc>
          <w:tcPr>
            <w:tcW w:w="1530" w:type="dxa"/>
            <w:tcBorders>
              <w:top w:val="single" w:sz="8" w:space="0" w:color="auto"/>
              <w:left w:val="nil"/>
              <w:bottom w:val="single" w:sz="8" w:space="0" w:color="auto"/>
              <w:right w:val="single" w:sz="4" w:space="0" w:color="auto"/>
            </w:tcBorders>
            <w:shd w:val="clear" w:color="auto" w:fill="365F91" w:themeFill="accent1" w:themeFillShade="BF"/>
            <w:vAlign w:val="center"/>
          </w:tcPr>
          <w:p w14:paraId="798E1EB9" w14:textId="77777777" w:rsidR="00B11AEF" w:rsidRDefault="00B11AEF" w:rsidP="00B11AEF">
            <w:pPr>
              <w:spacing w:before="0" w:after="0" w:line="240" w:lineRule="auto"/>
              <w:ind w:firstLine="0"/>
              <w:jc w:val="center"/>
              <w:rPr>
                <w:rFonts w:eastAsia="Times New Roman" w:cs="Times New Roman"/>
                <w:b/>
                <w:bCs/>
                <w:sz w:val="20"/>
                <w:szCs w:val="20"/>
                <w:lang w:val="hy-AM"/>
              </w:rPr>
            </w:pPr>
            <w:r>
              <w:rPr>
                <w:rFonts w:cs="Sylfaen"/>
                <w:color w:val="FFFFFF" w:themeColor="background1"/>
                <w:sz w:val="20"/>
                <w:szCs w:val="20"/>
                <w:lang w:val="hy-AM"/>
              </w:rPr>
              <w:t>2022թ ծրագիր</w:t>
            </w:r>
          </w:p>
        </w:tc>
        <w:tc>
          <w:tcPr>
            <w:tcW w:w="1346" w:type="dxa"/>
            <w:tcBorders>
              <w:top w:val="single" w:sz="8" w:space="0" w:color="auto"/>
              <w:left w:val="nil"/>
              <w:bottom w:val="single" w:sz="8" w:space="0" w:color="auto"/>
              <w:right w:val="single" w:sz="4" w:space="0" w:color="auto"/>
            </w:tcBorders>
            <w:shd w:val="clear" w:color="auto" w:fill="365F91" w:themeFill="accent1" w:themeFillShade="BF"/>
            <w:vAlign w:val="center"/>
          </w:tcPr>
          <w:p w14:paraId="5C3D9777" w14:textId="77777777" w:rsidR="00B11AEF" w:rsidRDefault="00B11AEF" w:rsidP="00B11AEF">
            <w:pPr>
              <w:spacing w:before="0" w:after="0" w:line="240" w:lineRule="auto"/>
              <w:ind w:firstLine="0"/>
              <w:jc w:val="center"/>
              <w:rPr>
                <w:rFonts w:eastAsia="Times New Roman" w:cs="Times New Roman"/>
                <w:b/>
                <w:bCs/>
                <w:sz w:val="20"/>
                <w:szCs w:val="20"/>
              </w:rPr>
            </w:pPr>
            <w:r>
              <w:rPr>
                <w:rFonts w:cs="Sylfaen"/>
                <w:color w:val="FFFFFF" w:themeColor="background1"/>
                <w:sz w:val="20"/>
                <w:szCs w:val="20"/>
                <w:lang w:val="hy-AM"/>
              </w:rPr>
              <w:t>2023թ  ծրագ</w:t>
            </w:r>
            <w:r>
              <w:rPr>
                <w:rFonts w:cs="Sylfaen"/>
                <w:color w:val="FFFFFF" w:themeColor="background1"/>
                <w:sz w:val="20"/>
                <w:szCs w:val="20"/>
              </w:rPr>
              <w:t>իր</w:t>
            </w:r>
          </w:p>
        </w:tc>
        <w:tc>
          <w:tcPr>
            <w:tcW w:w="1354" w:type="dxa"/>
            <w:tcBorders>
              <w:top w:val="single" w:sz="8" w:space="0" w:color="auto"/>
              <w:left w:val="nil"/>
              <w:bottom w:val="single" w:sz="8" w:space="0" w:color="auto"/>
              <w:right w:val="single" w:sz="8" w:space="0" w:color="auto"/>
            </w:tcBorders>
            <w:shd w:val="clear" w:color="auto" w:fill="365F91" w:themeFill="accent1" w:themeFillShade="BF"/>
            <w:vAlign w:val="center"/>
          </w:tcPr>
          <w:p w14:paraId="41E89E9A" w14:textId="77777777" w:rsidR="00B11AEF" w:rsidRDefault="00B11AEF" w:rsidP="00B11AEF">
            <w:pPr>
              <w:spacing w:before="0" w:after="0" w:line="240" w:lineRule="auto"/>
              <w:ind w:firstLine="0"/>
              <w:jc w:val="center"/>
              <w:rPr>
                <w:rFonts w:eastAsia="Times New Roman" w:cs="Times New Roman"/>
                <w:b/>
                <w:bCs/>
                <w:sz w:val="20"/>
                <w:szCs w:val="20"/>
              </w:rPr>
            </w:pPr>
            <w:r>
              <w:rPr>
                <w:rFonts w:cs="Sylfaen"/>
                <w:color w:val="FFFFFF" w:themeColor="background1"/>
                <w:sz w:val="20"/>
                <w:szCs w:val="20"/>
              </w:rPr>
              <w:t>202</w:t>
            </w:r>
            <w:r>
              <w:rPr>
                <w:rFonts w:cs="Sylfaen"/>
                <w:color w:val="FFFFFF" w:themeColor="background1"/>
                <w:sz w:val="20"/>
                <w:szCs w:val="20"/>
                <w:lang w:val="hy-AM"/>
              </w:rPr>
              <w:t>4</w:t>
            </w:r>
            <w:r>
              <w:rPr>
                <w:rFonts w:cs="Sylfaen"/>
                <w:color w:val="FFFFFF" w:themeColor="background1"/>
                <w:sz w:val="20"/>
                <w:szCs w:val="20"/>
              </w:rPr>
              <w:t>թ ծրագիր</w:t>
            </w:r>
          </w:p>
        </w:tc>
      </w:tr>
      <w:tr w:rsidR="00B11AEF" w14:paraId="5AC50E8D" w14:textId="77777777" w:rsidTr="00B11AEF">
        <w:trPr>
          <w:trHeight w:val="205"/>
        </w:trPr>
        <w:tc>
          <w:tcPr>
            <w:tcW w:w="3168" w:type="dxa"/>
            <w:tcBorders>
              <w:top w:val="nil"/>
              <w:left w:val="single" w:sz="8" w:space="0" w:color="auto"/>
              <w:bottom w:val="single" w:sz="4" w:space="0" w:color="auto"/>
              <w:right w:val="single" w:sz="4" w:space="0" w:color="auto"/>
            </w:tcBorders>
            <w:shd w:val="clear" w:color="auto" w:fill="C6D9F1" w:themeFill="text2" w:themeFillTint="33"/>
            <w:noWrap/>
            <w:vAlign w:val="center"/>
          </w:tcPr>
          <w:p w14:paraId="2823950D" w14:textId="77777777" w:rsidR="00B11AEF" w:rsidRDefault="00B11AEF" w:rsidP="00B11AEF">
            <w:pPr>
              <w:spacing w:before="0" w:line="276" w:lineRule="auto"/>
              <w:ind w:firstLine="0"/>
              <w:jc w:val="left"/>
              <w:rPr>
                <w:b/>
                <w:bCs/>
                <w:color w:val="000000"/>
                <w:sz w:val="20"/>
                <w:szCs w:val="20"/>
                <w:lang w:val="hy-AM"/>
              </w:rPr>
            </w:pPr>
            <w:r>
              <w:rPr>
                <w:b/>
                <w:bCs/>
                <w:color w:val="000000"/>
                <w:sz w:val="20"/>
                <w:szCs w:val="20"/>
                <w:lang w:val="hy-AM"/>
              </w:rPr>
              <w:t>ԸՆԴԱՄԵՆԸ</w:t>
            </w:r>
          </w:p>
        </w:tc>
        <w:tc>
          <w:tcPr>
            <w:tcW w:w="1380" w:type="dxa"/>
            <w:tcBorders>
              <w:top w:val="nil"/>
              <w:left w:val="nil"/>
              <w:bottom w:val="single" w:sz="4" w:space="0" w:color="auto"/>
              <w:right w:val="single" w:sz="4" w:space="0" w:color="auto"/>
            </w:tcBorders>
            <w:shd w:val="clear" w:color="auto" w:fill="C6D9F1" w:themeFill="text2" w:themeFillTint="33"/>
            <w:vAlign w:val="center"/>
          </w:tcPr>
          <w:p w14:paraId="7819D582" w14:textId="77777777" w:rsidR="00B11AEF" w:rsidRDefault="00B11AEF" w:rsidP="00B11AEF">
            <w:pPr>
              <w:spacing w:before="0" w:line="276" w:lineRule="auto"/>
              <w:ind w:firstLine="0"/>
              <w:jc w:val="center"/>
              <w:rPr>
                <w:b/>
                <w:bCs/>
                <w:color w:val="000000"/>
                <w:sz w:val="18"/>
                <w:szCs w:val="18"/>
                <w:lang w:val="hy-AM"/>
              </w:rPr>
            </w:pPr>
            <w:r>
              <w:rPr>
                <w:b/>
                <w:bCs/>
                <w:color w:val="000000"/>
                <w:sz w:val="18"/>
                <w:szCs w:val="18"/>
                <w:lang w:val="hy-AM"/>
              </w:rPr>
              <w:t>78,992,718.3</w:t>
            </w:r>
          </w:p>
        </w:tc>
        <w:tc>
          <w:tcPr>
            <w:tcW w:w="1590" w:type="dxa"/>
            <w:tcBorders>
              <w:top w:val="nil"/>
              <w:left w:val="nil"/>
              <w:bottom w:val="single" w:sz="4" w:space="0" w:color="auto"/>
              <w:right w:val="single" w:sz="4" w:space="0" w:color="auto"/>
            </w:tcBorders>
            <w:shd w:val="clear" w:color="auto" w:fill="C6D9F1" w:themeFill="text2" w:themeFillTint="33"/>
            <w:vAlign w:val="center"/>
          </w:tcPr>
          <w:p w14:paraId="1220C880" w14:textId="77777777" w:rsidR="00B11AEF" w:rsidRDefault="00B11AEF" w:rsidP="00B11AEF">
            <w:pPr>
              <w:spacing w:before="0" w:line="276" w:lineRule="auto"/>
              <w:ind w:firstLine="0"/>
              <w:jc w:val="center"/>
              <w:rPr>
                <w:rFonts w:ascii="Calibri" w:hAnsi="Calibri" w:cs="Calibri"/>
                <w:b/>
                <w:color w:val="000000"/>
              </w:rPr>
            </w:pPr>
            <w:r>
              <w:rPr>
                <w:rFonts w:ascii="Calibri" w:hAnsi="Calibri" w:cs="Calibri"/>
                <w:b/>
                <w:color w:val="000000"/>
              </w:rPr>
              <w:t>82,489,</w:t>
            </w:r>
            <w:r>
              <w:rPr>
                <w:b/>
                <w:bCs/>
                <w:color w:val="000000"/>
                <w:sz w:val="18"/>
                <w:szCs w:val="18"/>
                <w:lang w:val="hy-AM"/>
              </w:rPr>
              <w:t>985</w:t>
            </w:r>
            <w:r>
              <w:rPr>
                <w:rFonts w:ascii="Calibri" w:hAnsi="Calibri" w:cs="Calibri"/>
                <w:b/>
                <w:color w:val="000000"/>
              </w:rPr>
              <w:t>.3</w:t>
            </w:r>
          </w:p>
        </w:tc>
        <w:tc>
          <w:tcPr>
            <w:tcW w:w="1530" w:type="dxa"/>
            <w:tcBorders>
              <w:top w:val="nil"/>
              <w:left w:val="nil"/>
              <w:bottom w:val="single" w:sz="4" w:space="0" w:color="auto"/>
              <w:right w:val="single" w:sz="4" w:space="0" w:color="auto"/>
            </w:tcBorders>
            <w:shd w:val="clear" w:color="auto" w:fill="C6D9F1" w:themeFill="text2" w:themeFillTint="33"/>
            <w:vAlign w:val="center"/>
          </w:tcPr>
          <w:p w14:paraId="0EB89C1D" w14:textId="77777777" w:rsidR="00B11AEF" w:rsidRDefault="00B11AEF" w:rsidP="00B11AEF">
            <w:pPr>
              <w:spacing w:before="0" w:line="276" w:lineRule="auto"/>
              <w:ind w:firstLine="0"/>
              <w:jc w:val="center"/>
              <w:rPr>
                <w:b/>
                <w:bCs/>
                <w:color w:val="000000"/>
                <w:sz w:val="18"/>
                <w:szCs w:val="18"/>
                <w:lang w:val="hy-AM"/>
              </w:rPr>
            </w:pPr>
            <w:r>
              <w:rPr>
                <w:b/>
                <w:bCs/>
                <w:color w:val="000000"/>
                <w:sz w:val="18"/>
                <w:szCs w:val="18"/>
                <w:lang w:val="hy-AM"/>
              </w:rPr>
              <w:t>75,951,923.4</w:t>
            </w:r>
          </w:p>
        </w:tc>
        <w:tc>
          <w:tcPr>
            <w:tcW w:w="1346" w:type="dxa"/>
            <w:tcBorders>
              <w:top w:val="nil"/>
              <w:left w:val="nil"/>
              <w:bottom w:val="single" w:sz="4" w:space="0" w:color="auto"/>
              <w:right w:val="single" w:sz="4" w:space="0" w:color="auto"/>
            </w:tcBorders>
            <w:shd w:val="clear" w:color="auto" w:fill="C6D9F1" w:themeFill="text2" w:themeFillTint="33"/>
            <w:vAlign w:val="center"/>
          </w:tcPr>
          <w:p w14:paraId="5B49AE32" w14:textId="77777777" w:rsidR="00B11AEF" w:rsidRDefault="00B11AEF" w:rsidP="00B11AEF">
            <w:pPr>
              <w:spacing w:before="0" w:line="276" w:lineRule="auto"/>
              <w:ind w:firstLine="0"/>
              <w:jc w:val="center"/>
              <w:rPr>
                <w:b/>
                <w:bCs/>
                <w:color w:val="000000"/>
                <w:sz w:val="18"/>
                <w:szCs w:val="18"/>
                <w:lang w:val="hy-AM"/>
              </w:rPr>
            </w:pPr>
            <w:r>
              <w:rPr>
                <w:b/>
                <w:bCs/>
                <w:color w:val="000000"/>
                <w:sz w:val="18"/>
                <w:szCs w:val="18"/>
                <w:lang w:val="hy-AM"/>
              </w:rPr>
              <w:t>82,341,416.0</w:t>
            </w:r>
          </w:p>
        </w:tc>
        <w:tc>
          <w:tcPr>
            <w:tcW w:w="1354" w:type="dxa"/>
            <w:tcBorders>
              <w:top w:val="nil"/>
              <w:left w:val="nil"/>
              <w:bottom w:val="single" w:sz="4" w:space="0" w:color="auto"/>
              <w:right w:val="single" w:sz="4" w:space="0" w:color="auto"/>
            </w:tcBorders>
            <w:shd w:val="clear" w:color="auto" w:fill="C6D9F1" w:themeFill="text2" w:themeFillTint="33"/>
            <w:vAlign w:val="center"/>
          </w:tcPr>
          <w:p w14:paraId="34AC8DB4" w14:textId="77777777" w:rsidR="00B11AEF" w:rsidRPr="00240E46" w:rsidRDefault="00B11AEF" w:rsidP="00B11AEF">
            <w:pPr>
              <w:spacing w:before="0" w:line="276" w:lineRule="auto"/>
              <w:ind w:firstLine="0"/>
              <w:jc w:val="center"/>
              <w:rPr>
                <w:b/>
                <w:bCs/>
                <w:color w:val="000000"/>
                <w:sz w:val="18"/>
                <w:szCs w:val="18"/>
              </w:rPr>
            </w:pPr>
            <w:r>
              <w:rPr>
                <w:b/>
                <w:bCs/>
                <w:color w:val="000000"/>
                <w:sz w:val="18"/>
                <w:szCs w:val="18"/>
                <w:lang w:val="hy-AM"/>
              </w:rPr>
              <w:t>90,</w:t>
            </w:r>
            <w:r>
              <w:rPr>
                <w:b/>
                <w:bCs/>
                <w:color w:val="000000"/>
                <w:sz w:val="18"/>
                <w:szCs w:val="18"/>
              </w:rPr>
              <w:t>083</w:t>
            </w:r>
            <w:r>
              <w:rPr>
                <w:b/>
                <w:bCs/>
                <w:color w:val="000000"/>
                <w:sz w:val="18"/>
                <w:szCs w:val="18"/>
                <w:lang w:val="hy-AM"/>
              </w:rPr>
              <w:t>,</w:t>
            </w:r>
            <w:r>
              <w:rPr>
                <w:b/>
                <w:bCs/>
                <w:color w:val="000000"/>
                <w:sz w:val="18"/>
                <w:szCs w:val="18"/>
              </w:rPr>
              <w:t>322</w:t>
            </w:r>
            <w:r>
              <w:rPr>
                <w:b/>
                <w:bCs/>
                <w:color w:val="000000"/>
                <w:sz w:val="18"/>
                <w:szCs w:val="18"/>
                <w:lang w:val="hy-AM"/>
              </w:rPr>
              <w:t>.</w:t>
            </w:r>
            <w:r>
              <w:rPr>
                <w:b/>
                <w:bCs/>
                <w:color w:val="000000"/>
                <w:sz w:val="18"/>
                <w:szCs w:val="18"/>
              </w:rPr>
              <w:t>0</w:t>
            </w:r>
          </w:p>
        </w:tc>
      </w:tr>
      <w:tr w:rsidR="00B11AEF" w14:paraId="424933BC" w14:textId="77777777" w:rsidTr="00B11AEF">
        <w:trPr>
          <w:trHeight w:val="540"/>
        </w:trPr>
        <w:tc>
          <w:tcPr>
            <w:tcW w:w="3168" w:type="dxa"/>
            <w:tcBorders>
              <w:top w:val="nil"/>
              <w:left w:val="single" w:sz="8" w:space="0" w:color="auto"/>
              <w:bottom w:val="single" w:sz="4" w:space="0" w:color="auto"/>
              <w:right w:val="single" w:sz="4" w:space="0" w:color="auto"/>
            </w:tcBorders>
            <w:shd w:val="clear" w:color="auto" w:fill="FFFFFF" w:themeFill="background1"/>
            <w:vAlign w:val="center"/>
          </w:tcPr>
          <w:p w14:paraId="54CC2118" w14:textId="77777777" w:rsidR="00B11AEF" w:rsidRDefault="00B11AEF" w:rsidP="00B11AEF">
            <w:pPr>
              <w:spacing w:before="0" w:line="276" w:lineRule="auto"/>
              <w:ind w:firstLine="0"/>
              <w:jc w:val="left"/>
              <w:rPr>
                <w:bCs/>
                <w:sz w:val="20"/>
                <w:szCs w:val="20"/>
              </w:rPr>
            </w:pPr>
            <w:r>
              <w:rPr>
                <w:bCs/>
                <w:sz w:val="20"/>
                <w:szCs w:val="20"/>
              </w:rPr>
              <w:t>Պետական բյուջեից համայնքների բյուջեներին ֆինանսական համահարթեցման սկզբունքով տրվող դոտացիաներ</w:t>
            </w:r>
          </w:p>
        </w:tc>
        <w:tc>
          <w:tcPr>
            <w:tcW w:w="1380" w:type="dxa"/>
            <w:tcBorders>
              <w:top w:val="nil"/>
              <w:left w:val="nil"/>
              <w:bottom w:val="single" w:sz="4" w:space="0" w:color="auto"/>
              <w:right w:val="single" w:sz="4" w:space="0" w:color="auto"/>
            </w:tcBorders>
            <w:shd w:val="clear" w:color="auto" w:fill="FFFFFF" w:themeFill="background1"/>
            <w:noWrap/>
            <w:vAlign w:val="center"/>
          </w:tcPr>
          <w:p w14:paraId="361E88CF" w14:textId="77777777" w:rsidR="00B11AEF" w:rsidRDefault="00B11AEF" w:rsidP="00B11AEF">
            <w:pPr>
              <w:spacing w:before="0" w:line="276" w:lineRule="auto"/>
              <w:ind w:firstLine="0"/>
              <w:jc w:val="right"/>
              <w:rPr>
                <w:sz w:val="18"/>
                <w:szCs w:val="18"/>
              </w:rPr>
            </w:pPr>
            <w:r>
              <w:rPr>
                <w:sz w:val="18"/>
                <w:szCs w:val="18"/>
              </w:rPr>
              <w:t xml:space="preserve">55,378,535.0 </w:t>
            </w:r>
          </w:p>
        </w:tc>
        <w:tc>
          <w:tcPr>
            <w:tcW w:w="1590" w:type="dxa"/>
            <w:tcBorders>
              <w:top w:val="nil"/>
              <w:left w:val="nil"/>
              <w:bottom w:val="single" w:sz="4" w:space="0" w:color="auto"/>
              <w:right w:val="single" w:sz="4" w:space="0" w:color="auto"/>
            </w:tcBorders>
            <w:shd w:val="clear" w:color="auto" w:fill="FFFFFF" w:themeFill="background1"/>
            <w:noWrap/>
            <w:vAlign w:val="center"/>
          </w:tcPr>
          <w:p w14:paraId="4C73470A" w14:textId="77777777" w:rsidR="00B11AEF" w:rsidRDefault="00B11AEF" w:rsidP="00B11AEF">
            <w:pPr>
              <w:spacing w:before="0" w:line="276" w:lineRule="auto"/>
              <w:ind w:firstLine="0"/>
              <w:jc w:val="right"/>
              <w:rPr>
                <w:sz w:val="18"/>
                <w:szCs w:val="18"/>
              </w:rPr>
            </w:pPr>
            <w:r>
              <w:rPr>
                <w:sz w:val="18"/>
                <w:szCs w:val="18"/>
              </w:rPr>
              <w:t xml:space="preserve">64,596,984.0 </w:t>
            </w:r>
          </w:p>
        </w:tc>
        <w:tc>
          <w:tcPr>
            <w:tcW w:w="1530" w:type="dxa"/>
            <w:tcBorders>
              <w:top w:val="nil"/>
              <w:left w:val="nil"/>
              <w:bottom w:val="single" w:sz="4" w:space="0" w:color="auto"/>
              <w:right w:val="single" w:sz="4" w:space="0" w:color="auto"/>
            </w:tcBorders>
            <w:shd w:val="clear" w:color="auto" w:fill="FFFFFF" w:themeFill="background1"/>
            <w:noWrap/>
            <w:vAlign w:val="center"/>
          </w:tcPr>
          <w:p w14:paraId="7D791C4D" w14:textId="77777777" w:rsidR="00B11AEF" w:rsidRDefault="00B11AEF" w:rsidP="00B11AEF">
            <w:pPr>
              <w:spacing w:before="0" w:line="276" w:lineRule="auto"/>
              <w:ind w:firstLine="0"/>
              <w:jc w:val="right"/>
              <w:rPr>
                <w:sz w:val="18"/>
                <w:szCs w:val="18"/>
              </w:rPr>
            </w:pPr>
            <w:r>
              <w:rPr>
                <w:sz w:val="18"/>
                <w:szCs w:val="18"/>
              </w:rPr>
              <w:t>64,349,123.0</w:t>
            </w:r>
          </w:p>
        </w:tc>
        <w:tc>
          <w:tcPr>
            <w:tcW w:w="1346" w:type="dxa"/>
            <w:tcBorders>
              <w:top w:val="nil"/>
              <w:left w:val="nil"/>
              <w:bottom w:val="single" w:sz="4" w:space="0" w:color="auto"/>
              <w:right w:val="single" w:sz="4" w:space="0" w:color="auto"/>
            </w:tcBorders>
            <w:shd w:val="clear" w:color="auto" w:fill="FFFFFF" w:themeFill="background1"/>
            <w:noWrap/>
            <w:vAlign w:val="center"/>
          </w:tcPr>
          <w:p w14:paraId="2A3FB5BA" w14:textId="77777777" w:rsidR="00B11AEF" w:rsidRDefault="00B11AEF" w:rsidP="00B11AEF">
            <w:pPr>
              <w:spacing w:before="0" w:line="276" w:lineRule="auto"/>
              <w:ind w:firstLine="0"/>
              <w:jc w:val="right"/>
              <w:rPr>
                <w:sz w:val="18"/>
                <w:szCs w:val="18"/>
              </w:rPr>
            </w:pPr>
            <w:r>
              <w:rPr>
                <w:sz w:val="18"/>
                <w:szCs w:val="18"/>
              </w:rPr>
              <w:t>66</w:t>
            </w:r>
            <w:r>
              <w:rPr>
                <w:sz w:val="18"/>
                <w:szCs w:val="18"/>
                <w:lang w:val="hy-AM"/>
              </w:rPr>
              <w:t>,</w:t>
            </w:r>
            <w:r>
              <w:rPr>
                <w:sz w:val="18"/>
                <w:szCs w:val="18"/>
              </w:rPr>
              <w:t>781</w:t>
            </w:r>
            <w:r>
              <w:rPr>
                <w:sz w:val="18"/>
                <w:szCs w:val="18"/>
                <w:lang w:val="hy-AM"/>
              </w:rPr>
              <w:t>,</w:t>
            </w:r>
            <w:r>
              <w:rPr>
                <w:sz w:val="18"/>
                <w:szCs w:val="18"/>
              </w:rPr>
              <w:t>987.1</w:t>
            </w:r>
          </w:p>
        </w:tc>
        <w:tc>
          <w:tcPr>
            <w:tcW w:w="1354" w:type="dxa"/>
            <w:tcBorders>
              <w:top w:val="nil"/>
              <w:left w:val="nil"/>
              <w:bottom w:val="single" w:sz="4" w:space="0" w:color="auto"/>
              <w:right w:val="single" w:sz="8" w:space="0" w:color="auto"/>
            </w:tcBorders>
            <w:shd w:val="clear" w:color="auto" w:fill="FFFFFF" w:themeFill="background1"/>
            <w:noWrap/>
            <w:vAlign w:val="center"/>
          </w:tcPr>
          <w:p w14:paraId="692B6EDE" w14:textId="77777777" w:rsidR="00B11AEF" w:rsidRDefault="00B11AEF" w:rsidP="00B11AEF">
            <w:pPr>
              <w:spacing w:before="0" w:line="276" w:lineRule="auto"/>
              <w:ind w:firstLine="0"/>
              <w:jc w:val="right"/>
              <w:rPr>
                <w:sz w:val="18"/>
                <w:szCs w:val="18"/>
                <w:lang w:val="hy-AM"/>
              </w:rPr>
            </w:pPr>
            <w:r>
              <w:rPr>
                <w:sz w:val="18"/>
                <w:szCs w:val="18"/>
              </w:rPr>
              <w:t>75</w:t>
            </w:r>
            <w:r>
              <w:rPr>
                <w:sz w:val="18"/>
                <w:szCs w:val="18"/>
                <w:lang w:val="hy-AM"/>
              </w:rPr>
              <w:t>,</w:t>
            </w:r>
            <w:r>
              <w:rPr>
                <w:sz w:val="18"/>
                <w:szCs w:val="18"/>
              </w:rPr>
              <w:t>042</w:t>
            </w:r>
            <w:r>
              <w:rPr>
                <w:sz w:val="18"/>
                <w:szCs w:val="18"/>
                <w:lang w:val="hy-AM"/>
              </w:rPr>
              <w:t>,</w:t>
            </w:r>
            <w:r>
              <w:rPr>
                <w:sz w:val="18"/>
                <w:szCs w:val="18"/>
              </w:rPr>
              <w:t>858</w:t>
            </w:r>
            <w:r>
              <w:rPr>
                <w:sz w:val="18"/>
                <w:szCs w:val="18"/>
                <w:lang w:val="hy-AM"/>
              </w:rPr>
              <w:t>.</w:t>
            </w:r>
            <w:r>
              <w:rPr>
                <w:sz w:val="18"/>
                <w:szCs w:val="18"/>
              </w:rPr>
              <w:t>5</w:t>
            </w:r>
          </w:p>
        </w:tc>
      </w:tr>
      <w:tr w:rsidR="00B11AEF" w14:paraId="5F4CFB8A" w14:textId="77777777" w:rsidTr="00B11AEF">
        <w:trPr>
          <w:trHeight w:val="539"/>
        </w:trPr>
        <w:tc>
          <w:tcPr>
            <w:tcW w:w="3168" w:type="dxa"/>
            <w:tcBorders>
              <w:top w:val="nil"/>
              <w:left w:val="single" w:sz="8" w:space="0" w:color="auto"/>
              <w:bottom w:val="single" w:sz="4" w:space="0" w:color="auto"/>
              <w:right w:val="single" w:sz="4" w:space="0" w:color="auto"/>
            </w:tcBorders>
            <w:shd w:val="clear" w:color="auto" w:fill="C6D9F1" w:themeFill="text2" w:themeFillTint="33"/>
            <w:vAlign w:val="center"/>
          </w:tcPr>
          <w:p w14:paraId="0D527B28" w14:textId="77777777" w:rsidR="00B11AEF" w:rsidRDefault="00B11AEF" w:rsidP="00B11AEF">
            <w:pPr>
              <w:spacing w:before="0" w:line="276" w:lineRule="auto"/>
              <w:ind w:firstLine="0"/>
              <w:jc w:val="left"/>
              <w:rPr>
                <w:bCs/>
                <w:sz w:val="20"/>
                <w:szCs w:val="20"/>
              </w:rPr>
            </w:pPr>
            <w:r>
              <w:rPr>
                <w:bCs/>
                <w:sz w:val="20"/>
                <w:szCs w:val="20"/>
              </w:rPr>
              <w:t>Սուբվենցիաներ համայնքներին, այդ թվում</w:t>
            </w:r>
          </w:p>
        </w:tc>
        <w:tc>
          <w:tcPr>
            <w:tcW w:w="1380" w:type="dxa"/>
            <w:tcBorders>
              <w:top w:val="nil"/>
              <w:left w:val="nil"/>
              <w:bottom w:val="single" w:sz="4" w:space="0" w:color="auto"/>
              <w:right w:val="single" w:sz="4" w:space="0" w:color="auto"/>
            </w:tcBorders>
            <w:shd w:val="clear" w:color="auto" w:fill="C6D9F1" w:themeFill="text2" w:themeFillTint="33"/>
            <w:noWrap/>
            <w:vAlign w:val="center"/>
          </w:tcPr>
          <w:p w14:paraId="304B686D" w14:textId="77777777" w:rsidR="00B11AEF" w:rsidRDefault="00B11AEF" w:rsidP="00B11AEF">
            <w:pPr>
              <w:spacing w:before="0" w:line="276" w:lineRule="auto"/>
              <w:ind w:firstLine="0"/>
              <w:jc w:val="right"/>
              <w:rPr>
                <w:bCs/>
                <w:sz w:val="18"/>
                <w:szCs w:val="18"/>
              </w:rPr>
            </w:pPr>
            <w:r>
              <w:rPr>
                <w:bCs/>
                <w:sz w:val="18"/>
                <w:szCs w:val="18"/>
                <w:lang w:val="hy-AM"/>
              </w:rPr>
              <w:t>22</w:t>
            </w:r>
            <w:r>
              <w:rPr>
                <w:bCs/>
                <w:sz w:val="18"/>
                <w:szCs w:val="18"/>
              </w:rPr>
              <w:t>,</w:t>
            </w:r>
            <w:r>
              <w:rPr>
                <w:bCs/>
                <w:sz w:val="18"/>
                <w:szCs w:val="18"/>
                <w:lang w:val="hy-AM"/>
              </w:rPr>
              <w:t>860</w:t>
            </w:r>
            <w:r>
              <w:rPr>
                <w:bCs/>
                <w:sz w:val="18"/>
                <w:szCs w:val="18"/>
              </w:rPr>
              <w:t>,</w:t>
            </w:r>
            <w:r>
              <w:rPr>
                <w:bCs/>
                <w:sz w:val="18"/>
                <w:szCs w:val="18"/>
                <w:lang w:val="hy-AM"/>
              </w:rPr>
              <w:t>028</w:t>
            </w:r>
            <w:r>
              <w:rPr>
                <w:bCs/>
                <w:sz w:val="18"/>
                <w:szCs w:val="18"/>
              </w:rPr>
              <w:t>.</w:t>
            </w:r>
            <w:r>
              <w:rPr>
                <w:bCs/>
                <w:sz w:val="18"/>
                <w:szCs w:val="18"/>
                <w:lang w:val="hy-AM"/>
              </w:rPr>
              <w:t>8</w:t>
            </w:r>
            <w:r>
              <w:rPr>
                <w:bCs/>
                <w:sz w:val="18"/>
                <w:szCs w:val="18"/>
              </w:rPr>
              <w:t xml:space="preserve"> </w:t>
            </w:r>
          </w:p>
        </w:tc>
        <w:tc>
          <w:tcPr>
            <w:tcW w:w="1590" w:type="dxa"/>
            <w:tcBorders>
              <w:top w:val="nil"/>
              <w:left w:val="nil"/>
              <w:bottom w:val="single" w:sz="4" w:space="0" w:color="auto"/>
              <w:right w:val="single" w:sz="4" w:space="0" w:color="auto"/>
            </w:tcBorders>
            <w:shd w:val="clear" w:color="auto" w:fill="C6D9F1" w:themeFill="text2" w:themeFillTint="33"/>
            <w:noWrap/>
            <w:vAlign w:val="center"/>
          </w:tcPr>
          <w:p w14:paraId="57F1EE98" w14:textId="77777777" w:rsidR="00B11AEF" w:rsidRDefault="00B11AEF" w:rsidP="00B11AEF">
            <w:pPr>
              <w:spacing w:before="0" w:line="276" w:lineRule="auto"/>
              <w:ind w:firstLine="0"/>
              <w:jc w:val="right"/>
              <w:rPr>
                <w:bCs/>
                <w:sz w:val="18"/>
                <w:szCs w:val="18"/>
                <w:highlight w:val="yellow"/>
              </w:rPr>
            </w:pPr>
            <w:r>
              <w:rPr>
                <w:bCs/>
                <w:sz w:val="18"/>
                <w:szCs w:val="18"/>
              </w:rPr>
              <w:t xml:space="preserve">17,093,001.3 </w:t>
            </w:r>
          </w:p>
        </w:tc>
        <w:tc>
          <w:tcPr>
            <w:tcW w:w="1530" w:type="dxa"/>
            <w:tcBorders>
              <w:top w:val="nil"/>
              <w:left w:val="nil"/>
              <w:bottom w:val="single" w:sz="4" w:space="0" w:color="auto"/>
              <w:right w:val="single" w:sz="4" w:space="0" w:color="auto"/>
            </w:tcBorders>
            <w:shd w:val="clear" w:color="auto" w:fill="C6D9F1" w:themeFill="text2" w:themeFillTint="33"/>
            <w:noWrap/>
            <w:vAlign w:val="center"/>
          </w:tcPr>
          <w:p w14:paraId="775B249E" w14:textId="77777777" w:rsidR="00B11AEF" w:rsidRDefault="00B11AEF" w:rsidP="00B11AEF">
            <w:pPr>
              <w:spacing w:before="0" w:line="276" w:lineRule="auto"/>
              <w:ind w:firstLine="0"/>
              <w:jc w:val="right"/>
              <w:rPr>
                <w:bCs/>
                <w:iCs/>
                <w:sz w:val="18"/>
                <w:szCs w:val="18"/>
              </w:rPr>
            </w:pPr>
            <w:r>
              <w:rPr>
                <w:bCs/>
                <w:iCs/>
                <w:sz w:val="18"/>
                <w:szCs w:val="18"/>
              </w:rPr>
              <w:t>10,447,594.6</w:t>
            </w:r>
          </w:p>
        </w:tc>
        <w:tc>
          <w:tcPr>
            <w:tcW w:w="1346" w:type="dxa"/>
            <w:tcBorders>
              <w:top w:val="nil"/>
              <w:left w:val="nil"/>
              <w:bottom w:val="single" w:sz="4" w:space="0" w:color="auto"/>
              <w:right w:val="single" w:sz="4" w:space="0" w:color="auto"/>
            </w:tcBorders>
            <w:shd w:val="clear" w:color="auto" w:fill="C6D9F1" w:themeFill="text2" w:themeFillTint="33"/>
            <w:noWrap/>
            <w:vAlign w:val="center"/>
          </w:tcPr>
          <w:p w14:paraId="7E98B4B6" w14:textId="77777777" w:rsidR="00B11AEF" w:rsidRDefault="00B11AEF" w:rsidP="00B11AEF">
            <w:pPr>
              <w:spacing w:before="0" w:line="276" w:lineRule="auto"/>
              <w:ind w:firstLine="0"/>
              <w:jc w:val="right"/>
              <w:rPr>
                <w:bCs/>
                <w:sz w:val="18"/>
                <w:szCs w:val="18"/>
              </w:rPr>
            </w:pPr>
            <w:r>
              <w:rPr>
                <w:bCs/>
                <w:sz w:val="18"/>
                <w:szCs w:val="18"/>
              </w:rPr>
              <w:t>14,404,223.1</w:t>
            </w:r>
          </w:p>
        </w:tc>
        <w:tc>
          <w:tcPr>
            <w:tcW w:w="1354" w:type="dxa"/>
            <w:tcBorders>
              <w:top w:val="nil"/>
              <w:left w:val="nil"/>
              <w:bottom w:val="single" w:sz="4" w:space="0" w:color="auto"/>
              <w:right w:val="single" w:sz="8" w:space="0" w:color="auto"/>
            </w:tcBorders>
            <w:shd w:val="clear" w:color="auto" w:fill="C6D9F1" w:themeFill="text2" w:themeFillTint="33"/>
            <w:noWrap/>
            <w:vAlign w:val="center"/>
          </w:tcPr>
          <w:p w14:paraId="435998F0" w14:textId="77777777" w:rsidR="00B11AEF" w:rsidRDefault="00B11AEF" w:rsidP="00B11AEF">
            <w:pPr>
              <w:spacing w:before="0" w:line="276" w:lineRule="auto"/>
              <w:ind w:firstLine="0"/>
              <w:jc w:val="right"/>
              <w:rPr>
                <w:bCs/>
                <w:sz w:val="18"/>
                <w:szCs w:val="18"/>
              </w:rPr>
            </w:pPr>
            <w:r>
              <w:rPr>
                <w:bCs/>
                <w:sz w:val="18"/>
                <w:szCs w:val="18"/>
              </w:rPr>
              <w:t>13,885,257.7</w:t>
            </w:r>
          </w:p>
        </w:tc>
      </w:tr>
      <w:tr w:rsidR="00B11AEF" w14:paraId="4C857DD2" w14:textId="77777777" w:rsidTr="00B11AEF">
        <w:trPr>
          <w:trHeight w:val="270"/>
        </w:trPr>
        <w:tc>
          <w:tcPr>
            <w:tcW w:w="3168" w:type="dxa"/>
            <w:tcBorders>
              <w:top w:val="nil"/>
              <w:left w:val="single" w:sz="8" w:space="0" w:color="auto"/>
              <w:bottom w:val="single" w:sz="4" w:space="0" w:color="auto"/>
              <w:right w:val="single" w:sz="4" w:space="0" w:color="auto"/>
            </w:tcBorders>
            <w:shd w:val="clear" w:color="auto" w:fill="FFFFFF" w:themeFill="background1"/>
            <w:vAlign w:val="center"/>
          </w:tcPr>
          <w:p w14:paraId="275ABA7F" w14:textId="77777777" w:rsidR="00B11AEF" w:rsidRDefault="00B11AEF" w:rsidP="00B11AEF">
            <w:pPr>
              <w:spacing w:before="0" w:line="276" w:lineRule="auto"/>
              <w:ind w:firstLine="0"/>
              <w:jc w:val="left"/>
              <w:rPr>
                <w:b/>
                <w:i/>
                <w:iCs/>
                <w:sz w:val="20"/>
                <w:szCs w:val="20"/>
              </w:rPr>
            </w:pPr>
            <w:r>
              <w:rPr>
                <w:i/>
                <w:iCs/>
                <w:sz w:val="20"/>
                <w:szCs w:val="20"/>
              </w:rPr>
              <w:t>ընթացիկ սուբվենցիաներ</w:t>
            </w:r>
          </w:p>
        </w:tc>
        <w:tc>
          <w:tcPr>
            <w:tcW w:w="1380" w:type="dxa"/>
            <w:tcBorders>
              <w:top w:val="nil"/>
              <w:left w:val="nil"/>
              <w:bottom w:val="single" w:sz="4" w:space="0" w:color="auto"/>
              <w:right w:val="single" w:sz="4" w:space="0" w:color="auto"/>
            </w:tcBorders>
            <w:shd w:val="clear" w:color="auto" w:fill="FFFFFF" w:themeFill="background1"/>
            <w:noWrap/>
            <w:vAlign w:val="center"/>
          </w:tcPr>
          <w:p w14:paraId="5EB15A0D" w14:textId="77777777" w:rsidR="00B11AEF" w:rsidRDefault="00B11AEF" w:rsidP="00B11AEF">
            <w:pPr>
              <w:spacing w:before="0" w:line="276" w:lineRule="auto"/>
              <w:ind w:firstLine="0"/>
              <w:jc w:val="right"/>
              <w:rPr>
                <w:b/>
                <w:sz w:val="18"/>
                <w:szCs w:val="18"/>
              </w:rPr>
            </w:pPr>
            <w:r>
              <w:rPr>
                <w:sz w:val="18"/>
                <w:szCs w:val="18"/>
              </w:rPr>
              <w:t>8,</w:t>
            </w:r>
            <w:r>
              <w:rPr>
                <w:sz w:val="18"/>
                <w:szCs w:val="18"/>
                <w:lang w:val="hy-AM"/>
              </w:rPr>
              <w:t>741</w:t>
            </w:r>
            <w:r>
              <w:rPr>
                <w:sz w:val="18"/>
                <w:szCs w:val="18"/>
              </w:rPr>
              <w:t>,</w:t>
            </w:r>
            <w:r>
              <w:rPr>
                <w:sz w:val="18"/>
                <w:szCs w:val="18"/>
                <w:lang w:val="hy-AM"/>
              </w:rPr>
              <w:t>376</w:t>
            </w:r>
            <w:r>
              <w:rPr>
                <w:sz w:val="18"/>
                <w:szCs w:val="18"/>
              </w:rPr>
              <w:t xml:space="preserve">.7 </w:t>
            </w:r>
          </w:p>
        </w:tc>
        <w:tc>
          <w:tcPr>
            <w:tcW w:w="1590" w:type="dxa"/>
            <w:tcBorders>
              <w:top w:val="nil"/>
              <w:left w:val="nil"/>
              <w:bottom w:val="single" w:sz="4" w:space="0" w:color="auto"/>
              <w:right w:val="single" w:sz="4" w:space="0" w:color="auto"/>
            </w:tcBorders>
            <w:shd w:val="clear" w:color="auto" w:fill="FFFFFF" w:themeFill="background1"/>
            <w:noWrap/>
            <w:vAlign w:val="center"/>
          </w:tcPr>
          <w:p w14:paraId="54D87C3D" w14:textId="77777777" w:rsidR="00B11AEF" w:rsidRDefault="00B11AEF" w:rsidP="00B11AEF">
            <w:pPr>
              <w:spacing w:before="0" w:line="276" w:lineRule="auto"/>
              <w:ind w:firstLine="0"/>
              <w:jc w:val="right"/>
              <w:rPr>
                <w:b/>
                <w:sz w:val="18"/>
                <w:szCs w:val="18"/>
              </w:rPr>
            </w:pPr>
            <w:r>
              <w:rPr>
                <w:sz w:val="18"/>
                <w:szCs w:val="18"/>
              </w:rPr>
              <w:t xml:space="preserve">9,019,489.2 </w:t>
            </w:r>
          </w:p>
        </w:tc>
        <w:tc>
          <w:tcPr>
            <w:tcW w:w="1530" w:type="dxa"/>
            <w:tcBorders>
              <w:top w:val="nil"/>
              <w:left w:val="nil"/>
              <w:bottom w:val="single" w:sz="4" w:space="0" w:color="auto"/>
              <w:right w:val="single" w:sz="4" w:space="0" w:color="auto"/>
            </w:tcBorders>
            <w:shd w:val="clear" w:color="auto" w:fill="FFFFFF" w:themeFill="background1"/>
            <w:noWrap/>
            <w:vAlign w:val="center"/>
          </w:tcPr>
          <w:p w14:paraId="10230FFF" w14:textId="77777777" w:rsidR="00B11AEF" w:rsidRDefault="00B11AEF" w:rsidP="00B11AEF">
            <w:pPr>
              <w:spacing w:before="0" w:line="276" w:lineRule="auto"/>
              <w:ind w:firstLine="0"/>
              <w:jc w:val="right"/>
              <w:rPr>
                <w:sz w:val="18"/>
                <w:szCs w:val="18"/>
              </w:rPr>
            </w:pPr>
            <w:r>
              <w:rPr>
                <w:sz w:val="18"/>
                <w:szCs w:val="18"/>
              </w:rPr>
              <w:t>7,048,352.8</w:t>
            </w:r>
          </w:p>
        </w:tc>
        <w:tc>
          <w:tcPr>
            <w:tcW w:w="1346" w:type="dxa"/>
            <w:tcBorders>
              <w:top w:val="nil"/>
              <w:left w:val="nil"/>
              <w:bottom w:val="single" w:sz="4" w:space="0" w:color="auto"/>
              <w:right w:val="single" w:sz="4" w:space="0" w:color="auto"/>
            </w:tcBorders>
            <w:shd w:val="clear" w:color="auto" w:fill="FFFFFF" w:themeFill="background1"/>
            <w:noWrap/>
            <w:vAlign w:val="center"/>
          </w:tcPr>
          <w:p w14:paraId="2C296954" w14:textId="77777777" w:rsidR="00B11AEF" w:rsidRDefault="00B11AEF" w:rsidP="00B11AEF">
            <w:pPr>
              <w:spacing w:before="0" w:line="276" w:lineRule="auto"/>
              <w:ind w:firstLine="0"/>
              <w:jc w:val="right"/>
              <w:rPr>
                <w:sz w:val="18"/>
                <w:szCs w:val="18"/>
              </w:rPr>
            </w:pPr>
            <w:r>
              <w:rPr>
                <w:sz w:val="18"/>
                <w:szCs w:val="18"/>
              </w:rPr>
              <w:t>7,514,477.6</w:t>
            </w:r>
          </w:p>
        </w:tc>
        <w:tc>
          <w:tcPr>
            <w:tcW w:w="1354" w:type="dxa"/>
            <w:tcBorders>
              <w:top w:val="nil"/>
              <w:left w:val="nil"/>
              <w:bottom w:val="single" w:sz="4" w:space="0" w:color="auto"/>
              <w:right w:val="single" w:sz="8" w:space="0" w:color="auto"/>
            </w:tcBorders>
            <w:shd w:val="clear" w:color="auto" w:fill="FFFFFF" w:themeFill="background1"/>
            <w:noWrap/>
            <w:vAlign w:val="center"/>
          </w:tcPr>
          <w:p w14:paraId="4BBA7E20" w14:textId="77777777" w:rsidR="00B11AEF" w:rsidRDefault="00B11AEF" w:rsidP="00B11AEF">
            <w:pPr>
              <w:spacing w:before="0" w:line="276" w:lineRule="auto"/>
              <w:ind w:firstLine="0"/>
              <w:jc w:val="right"/>
              <w:rPr>
                <w:sz w:val="18"/>
                <w:szCs w:val="18"/>
              </w:rPr>
            </w:pPr>
            <w:r>
              <w:rPr>
                <w:sz w:val="18"/>
                <w:szCs w:val="18"/>
              </w:rPr>
              <w:t>6,908,836.1</w:t>
            </w:r>
          </w:p>
        </w:tc>
      </w:tr>
      <w:tr w:rsidR="00B11AEF" w14:paraId="70D88587" w14:textId="77777777" w:rsidTr="00B11AEF">
        <w:trPr>
          <w:trHeight w:val="270"/>
        </w:trPr>
        <w:tc>
          <w:tcPr>
            <w:tcW w:w="3168" w:type="dxa"/>
            <w:tcBorders>
              <w:top w:val="nil"/>
              <w:left w:val="single" w:sz="8" w:space="0" w:color="auto"/>
              <w:bottom w:val="single" w:sz="4" w:space="0" w:color="auto"/>
              <w:right w:val="single" w:sz="4" w:space="0" w:color="auto"/>
            </w:tcBorders>
            <w:shd w:val="clear" w:color="auto" w:fill="FFFFFF" w:themeFill="background1"/>
            <w:vAlign w:val="center"/>
          </w:tcPr>
          <w:p w14:paraId="3838C638" w14:textId="77777777" w:rsidR="00B11AEF" w:rsidRDefault="00B11AEF" w:rsidP="00B11AEF">
            <w:pPr>
              <w:spacing w:before="0" w:line="276" w:lineRule="auto"/>
              <w:ind w:firstLine="0"/>
              <w:jc w:val="left"/>
              <w:rPr>
                <w:b/>
                <w:i/>
                <w:iCs/>
                <w:sz w:val="20"/>
                <w:szCs w:val="20"/>
              </w:rPr>
            </w:pPr>
            <w:r>
              <w:rPr>
                <w:i/>
                <w:iCs/>
                <w:sz w:val="20"/>
                <w:szCs w:val="20"/>
              </w:rPr>
              <w:t>կապիտալ սուբվենցիաներ</w:t>
            </w:r>
          </w:p>
        </w:tc>
        <w:tc>
          <w:tcPr>
            <w:tcW w:w="1380" w:type="dxa"/>
            <w:tcBorders>
              <w:top w:val="nil"/>
              <w:left w:val="nil"/>
              <w:bottom w:val="single" w:sz="4" w:space="0" w:color="auto"/>
              <w:right w:val="single" w:sz="4" w:space="0" w:color="auto"/>
            </w:tcBorders>
            <w:shd w:val="clear" w:color="auto" w:fill="FFFFFF" w:themeFill="background1"/>
            <w:noWrap/>
            <w:vAlign w:val="center"/>
          </w:tcPr>
          <w:p w14:paraId="75191F84" w14:textId="77777777" w:rsidR="00B11AEF" w:rsidRDefault="00B11AEF" w:rsidP="00B11AEF">
            <w:pPr>
              <w:spacing w:before="0" w:line="276" w:lineRule="auto"/>
              <w:ind w:firstLine="0"/>
              <w:jc w:val="right"/>
              <w:rPr>
                <w:b/>
                <w:sz w:val="18"/>
                <w:szCs w:val="18"/>
              </w:rPr>
            </w:pPr>
            <w:r>
              <w:rPr>
                <w:sz w:val="18"/>
                <w:szCs w:val="18"/>
              </w:rPr>
              <w:t>1</w:t>
            </w:r>
            <w:r>
              <w:rPr>
                <w:sz w:val="18"/>
                <w:szCs w:val="18"/>
                <w:lang w:val="hy-AM"/>
              </w:rPr>
              <w:t>4</w:t>
            </w:r>
            <w:r>
              <w:rPr>
                <w:sz w:val="18"/>
                <w:szCs w:val="18"/>
              </w:rPr>
              <w:t>,</w:t>
            </w:r>
            <w:r>
              <w:rPr>
                <w:sz w:val="18"/>
                <w:szCs w:val="18"/>
                <w:lang w:val="hy-AM"/>
              </w:rPr>
              <w:t>118</w:t>
            </w:r>
            <w:r>
              <w:rPr>
                <w:sz w:val="18"/>
                <w:szCs w:val="18"/>
              </w:rPr>
              <w:t>,</w:t>
            </w:r>
            <w:r>
              <w:rPr>
                <w:sz w:val="18"/>
                <w:szCs w:val="18"/>
                <w:lang w:val="hy-AM"/>
              </w:rPr>
              <w:t>652</w:t>
            </w:r>
            <w:r>
              <w:rPr>
                <w:sz w:val="18"/>
                <w:szCs w:val="18"/>
              </w:rPr>
              <w:t>.</w:t>
            </w:r>
            <w:r>
              <w:rPr>
                <w:sz w:val="18"/>
                <w:szCs w:val="18"/>
                <w:lang w:val="hy-AM"/>
              </w:rPr>
              <w:t>1</w:t>
            </w:r>
            <w:r>
              <w:rPr>
                <w:sz w:val="18"/>
                <w:szCs w:val="18"/>
              </w:rPr>
              <w:t xml:space="preserve"> </w:t>
            </w:r>
          </w:p>
        </w:tc>
        <w:tc>
          <w:tcPr>
            <w:tcW w:w="1590" w:type="dxa"/>
            <w:tcBorders>
              <w:top w:val="nil"/>
              <w:left w:val="nil"/>
              <w:bottom w:val="single" w:sz="4" w:space="0" w:color="auto"/>
              <w:right w:val="single" w:sz="4" w:space="0" w:color="auto"/>
            </w:tcBorders>
            <w:shd w:val="clear" w:color="auto" w:fill="FFFFFF" w:themeFill="background1"/>
            <w:noWrap/>
            <w:vAlign w:val="center"/>
          </w:tcPr>
          <w:p w14:paraId="5FDB0E9A" w14:textId="77777777" w:rsidR="00B11AEF" w:rsidRDefault="00B11AEF" w:rsidP="00B11AEF">
            <w:pPr>
              <w:spacing w:before="0" w:line="276" w:lineRule="auto"/>
              <w:ind w:firstLine="0"/>
              <w:jc w:val="right"/>
              <w:rPr>
                <w:b/>
                <w:sz w:val="18"/>
                <w:szCs w:val="18"/>
              </w:rPr>
            </w:pPr>
            <w:r>
              <w:rPr>
                <w:sz w:val="18"/>
                <w:szCs w:val="18"/>
              </w:rPr>
              <w:t xml:space="preserve">8,073,512.1 </w:t>
            </w:r>
          </w:p>
        </w:tc>
        <w:tc>
          <w:tcPr>
            <w:tcW w:w="1530" w:type="dxa"/>
            <w:tcBorders>
              <w:top w:val="nil"/>
              <w:left w:val="nil"/>
              <w:bottom w:val="single" w:sz="4" w:space="0" w:color="auto"/>
              <w:right w:val="single" w:sz="4" w:space="0" w:color="auto"/>
            </w:tcBorders>
            <w:shd w:val="clear" w:color="auto" w:fill="FFFFFF" w:themeFill="background1"/>
            <w:noWrap/>
            <w:vAlign w:val="center"/>
          </w:tcPr>
          <w:p w14:paraId="71CC0954" w14:textId="77777777" w:rsidR="00B11AEF" w:rsidRDefault="00B11AEF" w:rsidP="00B11AEF">
            <w:pPr>
              <w:spacing w:before="0" w:line="276" w:lineRule="auto"/>
              <w:ind w:firstLine="0"/>
              <w:jc w:val="right"/>
              <w:rPr>
                <w:sz w:val="18"/>
                <w:szCs w:val="18"/>
              </w:rPr>
            </w:pPr>
            <w:r>
              <w:rPr>
                <w:sz w:val="18"/>
                <w:szCs w:val="18"/>
              </w:rPr>
              <w:t>3,399,241.8</w:t>
            </w:r>
          </w:p>
        </w:tc>
        <w:tc>
          <w:tcPr>
            <w:tcW w:w="1346" w:type="dxa"/>
            <w:tcBorders>
              <w:top w:val="nil"/>
              <w:left w:val="nil"/>
              <w:bottom w:val="single" w:sz="4" w:space="0" w:color="auto"/>
              <w:right w:val="single" w:sz="4" w:space="0" w:color="auto"/>
            </w:tcBorders>
            <w:shd w:val="clear" w:color="auto" w:fill="FFFFFF" w:themeFill="background1"/>
            <w:noWrap/>
            <w:vAlign w:val="center"/>
          </w:tcPr>
          <w:p w14:paraId="3B8EBE1F" w14:textId="77777777" w:rsidR="00B11AEF" w:rsidRDefault="00B11AEF" w:rsidP="00B11AEF">
            <w:pPr>
              <w:spacing w:before="0" w:line="276" w:lineRule="auto"/>
              <w:ind w:firstLine="0"/>
              <w:jc w:val="right"/>
              <w:rPr>
                <w:sz w:val="18"/>
                <w:szCs w:val="18"/>
              </w:rPr>
            </w:pPr>
            <w:r>
              <w:rPr>
                <w:sz w:val="18"/>
                <w:szCs w:val="18"/>
              </w:rPr>
              <w:t>6,889,745.5</w:t>
            </w:r>
          </w:p>
        </w:tc>
        <w:tc>
          <w:tcPr>
            <w:tcW w:w="1354" w:type="dxa"/>
            <w:tcBorders>
              <w:top w:val="nil"/>
              <w:left w:val="nil"/>
              <w:bottom w:val="single" w:sz="4" w:space="0" w:color="auto"/>
              <w:right w:val="single" w:sz="8" w:space="0" w:color="auto"/>
            </w:tcBorders>
            <w:shd w:val="clear" w:color="auto" w:fill="FFFFFF" w:themeFill="background1"/>
            <w:noWrap/>
            <w:vAlign w:val="center"/>
          </w:tcPr>
          <w:p w14:paraId="6E208699" w14:textId="77777777" w:rsidR="00B11AEF" w:rsidRDefault="00B11AEF" w:rsidP="00B11AEF">
            <w:pPr>
              <w:spacing w:before="0" w:line="276" w:lineRule="auto"/>
              <w:ind w:firstLine="0"/>
              <w:jc w:val="right"/>
              <w:rPr>
                <w:sz w:val="18"/>
                <w:szCs w:val="18"/>
              </w:rPr>
            </w:pPr>
            <w:r>
              <w:rPr>
                <w:sz w:val="18"/>
                <w:szCs w:val="18"/>
              </w:rPr>
              <w:t>6,976,421.6</w:t>
            </w:r>
          </w:p>
        </w:tc>
      </w:tr>
      <w:tr w:rsidR="00B11AEF" w14:paraId="32A820F3" w14:textId="77777777" w:rsidTr="00B11AEF">
        <w:trPr>
          <w:trHeight w:val="825"/>
        </w:trPr>
        <w:tc>
          <w:tcPr>
            <w:tcW w:w="3168" w:type="dxa"/>
            <w:tcBorders>
              <w:top w:val="nil"/>
              <w:left w:val="single" w:sz="8" w:space="0" w:color="auto"/>
              <w:bottom w:val="single" w:sz="8" w:space="0" w:color="auto"/>
              <w:right w:val="single" w:sz="4" w:space="0" w:color="auto"/>
            </w:tcBorders>
            <w:shd w:val="clear" w:color="auto" w:fill="C6D9F1" w:themeFill="text2" w:themeFillTint="33"/>
            <w:vAlign w:val="center"/>
          </w:tcPr>
          <w:p w14:paraId="3D878640" w14:textId="77777777" w:rsidR="00B11AEF" w:rsidRDefault="00B11AEF" w:rsidP="00B11AEF">
            <w:pPr>
              <w:spacing w:before="0" w:line="276" w:lineRule="auto"/>
              <w:ind w:firstLine="0"/>
              <w:jc w:val="left"/>
              <w:rPr>
                <w:bCs/>
                <w:sz w:val="20"/>
                <w:szCs w:val="20"/>
              </w:rPr>
            </w:pPr>
            <w:r>
              <w:rPr>
                <w:bCs/>
                <w:sz w:val="20"/>
                <w:szCs w:val="20"/>
              </w:rPr>
              <w:t>Սահմանամերձ հա</w:t>
            </w:r>
            <w:r>
              <w:rPr>
                <w:bCs/>
                <w:sz w:val="20"/>
                <w:szCs w:val="20"/>
              </w:rPr>
              <w:softHyphen/>
              <w:t>մայնք</w:t>
            </w:r>
            <w:r>
              <w:rPr>
                <w:bCs/>
                <w:sz w:val="20"/>
                <w:szCs w:val="20"/>
              </w:rPr>
              <w:softHyphen/>
              <w:t>ների սոցիալական աջակցության մասին ՀՀ օրենքի կիրարկմամբ պայմանավորված պե</w:t>
            </w:r>
            <w:r>
              <w:rPr>
                <w:bCs/>
                <w:sz w:val="20"/>
                <w:szCs w:val="20"/>
              </w:rPr>
              <w:softHyphen/>
              <w:t>տա</w:t>
            </w:r>
            <w:r>
              <w:rPr>
                <w:bCs/>
                <w:sz w:val="20"/>
                <w:szCs w:val="20"/>
              </w:rPr>
              <w:softHyphen/>
              <w:t>կան աջակցություն սահմանամերձ համայնքներին</w:t>
            </w:r>
          </w:p>
        </w:tc>
        <w:tc>
          <w:tcPr>
            <w:tcW w:w="1380" w:type="dxa"/>
            <w:tcBorders>
              <w:top w:val="nil"/>
              <w:left w:val="nil"/>
              <w:bottom w:val="single" w:sz="8" w:space="0" w:color="auto"/>
              <w:right w:val="single" w:sz="4" w:space="0" w:color="auto"/>
            </w:tcBorders>
            <w:shd w:val="clear" w:color="auto" w:fill="C6D9F1" w:themeFill="text2" w:themeFillTint="33"/>
            <w:noWrap/>
            <w:vAlign w:val="center"/>
          </w:tcPr>
          <w:p w14:paraId="133628FC" w14:textId="77777777" w:rsidR="00B11AEF" w:rsidRDefault="00B11AEF" w:rsidP="00B11AEF">
            <w:pPr>
              <w:spacing w:before="0" w:line="276" w:lineRule="auto"/>
              <w:ind w:firstLine="0"/>
              <w:jc w:val="right"/>
              <w:rPr>
                <w:bCs/>
                <w:sz w:val="18"/>
                <w:szCs w:val="18"/>
              </w:rPr>
            </w:pPr>
            <w:r>
              <w:rPr>
                <w:bCs/>
                <w:sz w:val="18"/>
                <w:szCs w:val="18"/>
                <w:lang w:val="hy-AM"/>
              </w:rPr>
              <w:t>754</w:t>
            </w:r>
            <w:r>
              <w:rPr>
                <w:bCs/>
                <w:sz w:val="18"/>
                <w:szCs w:val="18"/>
              </w:rPr>
              <w:t>,</w:t>
            </w:r>
            <w:r>
              <w:rPr>
                <w:bCs/>
                <w:sz w:val="18"/>
                <w:szCs w:val="18"/>
                <w:lang w:val="hy-AM"/>
              </w:rPr>
              <w:t>154</w:t>
            </w:r>
            <w:r>
              <w:rPr>
                <w:bCs/>
                <w:sz w:val="18"/>
                <w:szCs w:val="18"/>
              </w:rPr>
              <w:t>.</w:t>
            </w:r>
            <w:r>
              <w:rPr>
                <w:bCs/>
                <w:sz w:val="18"/>
                <w:szCs w:val="18"/>
                <w:lang w:val="hy-AM"/>
              </w:rPr>
              <w:t>5</w:t>
            </w:r>
            <w:r>
              <w:rPr>
                <w:bCs/>
                <w:sz w:val="18"/>
                <w:szCs w:val="18"/>
              </w:rPr>
              <w:t xml:space="preserve"> </w:t>
            </w:r>
          </w:p>
        </w:tc>
        <w:tc>
          <w:tcPr>
            <w:tcW w:w="1590" w:type="dxa"/>
            <w:tcBorders>
              <w:top w:val="nil"/>
              <w:left w:val="nil"/>
              <w:bottom w:val="single" w:sz="8" w:space="0" w:color="auto"/>
              <w:right w:val="single" w:sz="4" w:space="0" w:color="auto"/>
            </w:tcBorders>
            <w:shd w:val="clear" w:color="auto" w:fill="C6D9F1" w:themeFill="text2" w:themeFillTint="33"/>
            <w:noWrap/>
            <w:vAlign w:val="center"/>
          </w:tcPr>
          <w:p w14:paraId="1FCEF5F5" w14:textId="77777777" w:rsidR="00B11AEF" w:rsidRDefault="00B11AEF" w:rsidP="00B11AEF">
            <w:pPr>
              <w:keepNext/>
              <w:spacing w:before="0" w:line="276" w:lineRule="auto"/>
              <w:ind w:firstLine="0"/>
              <w:jc w:val="right"/>
              <w:rPr>
                <w:bCs/>
                <w:sz w:val="18"/>
                <w:szCs w:val="18"/>
              </w:rPr>
            </w:pPr>
            <w:r>
              <w:rPr>
                <w:bCs/>
                <w:sz w:val="18"/>
                <w:szCs w:val="18"/>
              </w:rPr>
              <w:t xml:space="preserve">800,000.0 </w:t>
            </w:r>
          </w:p>
        </w:tc>
        <w:tc>
          <w:tcPr>
            <w:tcW w:w="1530" w:type="dxa"/>
            <w:tcBorders>
              <w:top w:val="nil"/>
              <w:left w:val="nil"/>
              <w:bottom w:val="single" w:sz="8" w:space="0" w:color="auto"/>
              <w:right w:val="single" w:sz="4" w:space="0" w:color="auto"/>
            </w:tcBorders>
            <w:shd w:val="clear" w:color="auto" w:fill="C6D9F1" w:themeFill="text2" w:themeFillTint="33"/>
            <w:noWrap/>
            <w:vAlign w:val="center"/>
          </w:tcPr>
          <w:p w14:paraId="61BE8A80" w14:textId="77777777" w:rsidR="00B11AEF" w:rsidRDefault="00B11AEF" w:rsidP="00B11AEF">
            <w:pPr>
              <w:spacing w:before="0" w:line="276" w:lineRule="auto"/>
              <w:ind w:firstLine="0"/>
              <w:jc w:val="right"/>
              <w:rPr>
                <w:bCs/>
                <w:iCs/>
                <w:sz w:val="18"/>
                <w:szCs w:val="18"/>
              </w:rPr>
            </w:pPr>
            <w:r>
              <w:rPr>
                <w:bCs/>
                <w:iCs/>
                <w:sz w:val="18"/>
                <w:szCs w:val="18"/>
              </w:rPr>
              <w:t>1</w:t>
            </w:r>
            <w:r>
              <w:rPr>
                <w:bCs/>
                <w:iCs/>
                <w:sz w:val="18"/>
                <w:szCs w:val="18"/>
                <w:lang w:val="hy-AM"/>
              </w:rPr>
              <w:t>,</w:t>
            </w:r>
            <w:r>
              <w:rPr>
                <w:bCs/>
                <w:iCs/>
                <w:sz w:val="18"/>
                <w:szCs w:val="18"/>
              </w:rPr>
              <w:t>155</w:t>
            </w:r>
            <w:r>
              <w:rPr>
                <w:bCs/>
                <w:iCs/>
                <w:sz w:val="18"/>
                <w:szCs w:val="18"/>
                <w:lang w:val="hy-AM"/>
              </w:rPr>
              <w:t>,</w:t>
            </w:r>
            <w:r>
              <w:rPr>
                <w:bCs/>
                <w:iCs/>
                <w:sz w:val="18"/>
                <w:szCs w:val="18"/>
              </w:rPr>
              <w:t>205.8</w:t>
            </w:r>
          </w:p>
        </w:tc>
        <w:tc>
          <w:tcPr>
            <w:tcW w:w="1346" w:type="dxa"/>
            <w:tcBorders>
              <w:top w:val="nil"/>
              <w:left w:val="nil"/>
              <w:bottom w:val="single" w:sz="8" w:space="0" w:color="auto"/>
              <w:right w:val="single" w:sz="4" w:space="0" w:color="auto"/>
            </w:tcBorders>
            <w:shd w:val="clear" w:color="auto" w:fill="C6D9F1" w:themeFill="text2" w:themeFillTint="33"/>
            <w:noWrap/>
            <w:vAlign w:val="center"/>
          </w:tcPr>
          <w:p w14:paraId="65D429D0" w14:textId="77777777" w:rsidR="00B11AEF" w:rsidRDefault="00B11AEF" w:rsidP="00B11AEF">
            <w:pPr>
              <w:spacing w:before="0" w:line="276" w:lineRule="auto"/>
              <w:ind w:firstLine="0"/>
              <w:jc w:val="right"/>
              <w:rPr>
                <w:bCs/>
                <w:sz w:val="18"/>
                <w:szCs w:val="18"/>
              </w:rPr>
            </w:pPr>
            <w:r>
              <w:rPr>
                <w:bCs/>
                <w:sz w:val="18"/>
                <w:szCs w:val="18"/>
              </w:rPr>
              <w:t>1</w:t>
            </w:r>
            <w:r>
              <w:rPr>
                <w:bCs/>
                <w:sz w:val="18"/>
                <w:szCs w:val="18"/>
                <w:lang w:val="hy-AM"/>
              </w:rPr>
              <w:t>,</w:t>
            </w:r>
            <w:r>
              <w:rPr>
                <w:bCs/>
                <w:sz w:val="18"/>
                <w:szCs w:val="18"/>
              </w:rPr>
              <w:t>155</w:t>
            </w:r>
            <w:r>
              <w:rPr>
                <w:bCs/>
                <w:sz w:val="18"/>
                <w:szCs w:val="18"/>
                <w:lang w:val="hy-AM"/>
              </w:rPr>
              <w:t>,</w:t>
            </w:r>
            <w:r>
              <w:rPr>
                <w:bCs/>
                <w:sz w:val="18"/>
                <w:szCs w:val="18"/>
              </w:rPr>
              <w:t>205.8</w:t>
            </w:r>
          </w:p>
        </w:tc>
        <w:tc>
          <w:tcPr>
            <w:tcW w:w="1354" w:type="dxa"/>
            <w:tcBorders>
              <w:top w:val="nil"/>
              <w:left w:val="nil"/>
              <w:bottom w:val="single" w:sz="8" w:space="0" w:color="auto"/>
              <w:right w:val="single" w:sz="8" w:space="0" w:color="auto"/>
            </w:tcBorders>
            <w:shd w:val="clear" w:color="auto" w:fill="C6D9F1" w:themeFill="text2" w:themeFillTint="33"/>
            <w:noWrap/>
            <w:vAlign w:val="center"/>
          </w:tcPr>
          <w:p w14:paraId="1754FE2F" w14:textId="77777777" w:rsidR="00B11AEF" w:rsidRDefault="00B11AEF" w:rsidP="00B11AEF">
            <w:pPr>
              <w:keepNext/>
              <w:spacing w:before="0" w:line="276" w:lineRule="auto"/>
              <w:ind w:firstLine="0"/>
              <w:jc w:val="right"/>
              <w:rPr>
                <w:bCs/>
                <w:sz w:val="18"/>
                <w:szCs w:val="18"/>
              </w:rPr>
            </w:pPr>
            <w:r>
              <w:rPr>
                <w:bCs/>
                <w:sz w:val="18"/>
                <w:szCs w:val="18"/>
              </w:rPr>
              <w:t>1</w:t>
            </w:r>
            <w:r>
              <w:rPr>
                <w:bCs/>
                <w:sz w:val="18"/>
                <w:szCs w:val="18"/>
                <w:lang w:val="hy-AM"/>
              </w:rPr>
              <w:t>,</w:t>
            </w:r>
            <w:r>
              <w:rPr>
                <w:bCs/>
                <w:sz w:val="18"/>
                <w:szCs w:val="18"/>
              </w:rPr>
              <w:t>155</w:t>
            </w:r>
            <w:r>
              <w:rPr>
                <w:bCs/>
                <w:sz w:val="18"/>
                <w:szCs w:val="18"/>
                <w:lang w:val="hy-AM"/>
              </w:rPr>
              <w:t>,</w:t>
            </w:r>
            <w:r>
              <w:rPr>
                <w:bCs/>
                <w:sz w:val="18"/>
                <w:szCs w:val="18"/>
              </w:rPr>
              <w:t>205.8</w:t>
            </w:r>
          </w:p>
        </w:tc>
      </w:tr>
    </w:tbl>
    <w:p w14:paraId="7704D5E1" w14:textId="77777777" w:rsidR="00B11AEF" w:rsidRDefault="00B11AEF" w:rsidP="00B11AEF">
      <w:pPr>
        <w:spacing w:before="0" w:after="200" w:line="276" w:lineRule="auto"/>
        <w:ind w:firstLine="0"/>
        <w:jc w:val="left"/>
        <w:rPr>
          <w:lang w:val="hy-AM"/>
        </w:rPr>
      </w:pPr>
    </w:p>
    <w:p w14:paraId="0F8DFD25" w14:textId="77777777" w:rsidR="00B11AEF" w:rsidRDefault="00B11AEF" w:rsidP="00B11AEF"/>
    <w:p w14:paraId="55353734" w14:textId="77777777" w:rsidR="00DA0E15" w:rsidRDefault="00DA0E15">
      <w:pPr>
        <w:spacing w:before="0" w:after="200" w:line="276" w:lineRule="auto"/>
        <w:ind w:firstLine="0"/>
        <w:jc w:val="left"/>
        <w:rPr>
          <w:lang w:val="hy-AM"/>
        </w:rPr>
      </w:pPr>
    </w:p>
    <w:p w14:paraId="759399A8" w14:textId="77777777" w:rsidR="00DA0E15" w:rsidRDefault="00DA0E15">
      <w:pPr>
        <w:spacing w:before="0" w:after="200" w:line="276" w:lineRule="auto"/>
        <w:ind w:firstLine="0"/>
        <w:jc w:val="left"/>
        <w:rPr>
          <w:lang w:val="hy-AM"/>
        </w:rPr>
      </w:pPr>
    </w:p>
    <w:p w14:paraId="3A7AC515" w14:textId="77777777" w:rsidR="00DA0E15" w:rsidRDefault="00DA0E15">
      <w:pPr>
        <w:spacing w:before="0" w:after="200" w:line="276" w:lineRule="auto"/>
        <w:ind w:firstLine="0"/>
        <w:jc w:val="left"/>
        <w:rPr>
          <w:lang w:val="hy-AM"/>
        </w:rPr>
      </w:pPr>
    </w:p>
    <w:p w14:paraId="12E784A2" w14:textId="77777777" w:rsidR="00DA0E15" w:rsidRDefault="00DA0E15">
      <w:pPr>
        <w:spacing w:before="0" w:after="200" w:line="276" w:lineRule="auto"/>
        <w:ind w:firstLine="0"/>
        <w:jc w:val="left"/>
        <w:rPr>
          <w:lang w:val="hy-AM"/>
        </w:rPr>
      </w:pPr>
    </w:p>
    <w:p w14:paraId="56D7F1B3" w14:textId="77777777" w:rsidR="00DA0E15" w:rsidRDefault="00DA0E15">
      <w:pPr>
        <w:spacing w:before="0" w:after="200" w:line="276" w:lineRule="auto"/>
        <w:ind w:firstLine="0"/>
        <w:jc w:val="left"/>
        <w:rPr>
          <w:lang w:val="hy-AM"/>
        </w:rPr>
      </w:pPr>
    </w:p>
    <w:p w14:paraId="3560385E" w14:textId="77777777" w:rsidR="00DA0E15" w:rsidRDefault="00DA0E15">
      <w:pPr>
        <w:spacing w:before="0" w:after="200" w:line="276" w:lineRule="auto"/>
        <w:ind w:firstLine="0"/>
        <w:jc w:val="left"/>
        <w:rPr>
          <w:lang w:val="hy-AM"/>
        </w:rPr>
      </w:pPr>
    </w:p>
    <w:p w14:paraId="475F4DE8" w14:textId="77777777" w:rsidR="00DA0E15" w:rsidRDefault="00DA0E15">
      <w:pPr>
        <w:spacing w:before="0" w:after="200" w:line="276" w:lineRule="auto"/>
        <w:ind w:firstLine="0"/>
        <w:jc w:val="left"/>
        <w:rPr>
          <w:lang w:val="hy-AM"/>
        </w:rPr>
      </w:pPr>
    </w:p>
    <w:p w14:paraId="2E3C9C5E" w14:textId="77777777" w:rsidR="00DA0E15" w:rsidRDefault="00DA0E15">
      <w:pPr>
        <w:spacing w:before="0" w:after="200" w:line="276" w:lineRule="auto"/>
        <w:ind w:firstLine="0"/>
        <w:jc w:val="left"/>
        <w:rPr>
          <w:rFonts w:eastAsiaTheme="majorEastAsia" w:cstheme="majorBidi"/>
          <w:b/>
          <w:bCs/>
          <w:color w:val="1F497D" w:themeColor="text2"/>
          <w:sz w:val="32"/>
          <w:szCs w:val="28"/>
          <w:lang w:val="hy-AM"/>
        </w:rPr>
      </w:pPr>
    </w:p>
    <w:p w14:paraId="664788E1" w14:textId="77777777" w:rsidR="00DA0E15" w:rsidRDefault="00362131">
      <w:pPr>
        <w:pStyle w:val="Heading1"/>
        <w:rPr>
          <w:lang w:val="hy-AM"/>
        </w:rPr>
      </w:pPr>
      <w:bookmarkStart w:id="546" w:name="_Toc77837868"/>
      <w:r>
        <w:rPr>
          <w:lang w:val="hy-AM"/>
        </w:rPr>
        <w:t>ՄԱՍ II. ԾԱԽՍԱՅԻՆ ՔԱՂԱՔԱԿԱՆՈՒԹՅԱՆ ՌԱԶՄԱՎԱՐՈՒԹՅՈՒՆԸ</w:t>
      </w:r>
      <w:bookmarkEnd w:id="494"/>
      <w:bookmarkEnd w:id="495"/>
      <w:bookmarkEnd w:id="496"/>
      <w:bookmarkEnd w:id="497"/>
      <w:bookmarkEnd w:id="546"/>
    </w:p>
    <w:p w14:paraId="615B0B8F" w14:textId="77777777" w:rsidR="00DA0E15" w:rsidRDefault="00DA0E15">
      <w:pPr>
        <w:rPr>
          <w:lang w:val="hy-AM"/>
        </w:rPr>
      </w:pPr>
    </w:p>
    <w:p w14:paraId="7CD75565" w14:textId="77777777" w:rsidR="00DA0E15" w:rsidRDefault="00DA0E15">
      <w:pPr>
        <w:rPr>
          <w:lang w:val="hy-AM"/>
        </w:rPr>
      </w:pPr>
    </w:p>
    <w:p w14:paraId="6BF40BD5" w14:textId="77777777" w:rsidR="00DA0E15" w:rsidRDefault="00DA0E15">
      <w:pPr>
        <w:rPr>
          <w:lang w:val="hy-AM"/>
        </w:rPr>
      </w:pPr>
    </w:p>
    <w:p w14:paraId="0C76EC3C" w14:textId="77777777" w:rsidR="00DA0E15" w:rsidRDefault="00DA0E15">
      <w:pPr>
        <w:rPr>
          <w:lang w:val="hy-AM"/>
        </w:rPr>
      </w:pPr>
    </w:p>
    <w:p w14:paraId="49516508" w14:textId="77777777" w:rsidR="00DA0E15" w:rsidRDefault="00DA0E15">
      <w:pPr>
        <w:rPr>
          <w:lang w:val="hy-AM"/>
        </w:rPr>
      </w:pPr>
    </w:p>
    <w:p w14:paraId="529DB654" w14:textId="77777777" w:rsidR="00DA0E15" w:rsidRDefault="00DA0E15">
      <w:pPr>
        <w:rPr>
          <w:lang w:val="hy-AM"/>
        </w:rPr>
      </w:pPr>
    </w:p>
    <w:p w14:paraId="076886DE" w14:textId="77777777" w:rsidR="00DA0E15" w:rsidRDefault="00DA0E15">
      <w:pPr>
        <w:rPr>
          <w:lang w:val="hy-AM"/>
        </w:rPr>
      </w:pPr>
    </w:p>
    <w:p w14:paraId="500A97AA" w14:textId="77777777" w:rsidR="00DA0E15" w:rsidRDefault="00DA0E15">
      <w:pPr>
        <w:rPr>
          <w:lang w:val="hy-AM"/>
        </w:rPr>
      </w:pPr>
    </w:p>
    <w:p w14:paraId="41692442" w14:textId="77777777" w:rsidR="00DA0E15" w:rsidRDefault="00DA0E15">
      <w:pPr>
        <w:rPr>
          <w:lang w:val="hy-AM"/>
        </w:rPr>
      </w:pPr>
    </w:p>
    <w:p w14:paraId="79A0C719" w14:textId="77777777" w:rsidR="00DA0E15" w:rsidRDefault="00DA0E15">
      <w:pPr>
        <w:rPr>
          <w:lang w:val="hy-AM"/>
        </w:rPr>
      </w:pPr>
    </w:p>
    <w:p w14:paraId="28030318" w14:textId="77777777" w:rsidR="00DA0E15" w:rsidRDefault="00DA0E15">
      <w:pPr>
        <w:rPr>
          <w:lang w:val="hy-AM"/>
        </w:rPr>
      </w:pPr>
    </w:p>
    <w:p w14:paraId="169A70AF" w14:textId="77777777" w:rsidR="00DA0E15" w:rsidRDefault="00DA0E15">
      <w:pPr>
        <w:rPr>
          <w:lang w:val="hy-AM"/>
        </w:rPr>
      </w:pPr>
    </w:p>
    <w:p w14:paraId="3DE1AF8F" w14:textId="77777777" w:rsidR="00DA0E15" w:rsidRDefault="00DA0E15">
      <w:pPr>
        <w:rPr>
          <w:lang w:val="hy-AM"/>
        </w:rPr>
      </w:pPr>
    </w:p>
    <w:p w14:paraId="1618CD74" w14:textId="77777777" w:rsidR="00DA0E15" w:rsidRDefault="00DA0E15">
      <w:pPr>
        <w:rPr>
          <w:lang w:val="hy-AM"/>
        </w:rPr>
      </w:pPr>
    </w:p>
    <w:p w14:paraId="508EA013" w14:textId="77777777" w:rsidR="00DA0E15" w:rsidRDefault="00DA0E15">
      <w:pPr>
        <w:rPr>
          <w:lang w:val="hy-AM"/>
        </w:rPr>
      </w:pPr>
    </w:p>
    <w:p w14:paraId="0A9FD6F1" w14:textId="04569D45" w:rsidR="00DA0E15" w:rsidRDefault="00362131">
      <w:pPr>
        <w:pStyle w:val="Heading2"/>
        <w:ind w:left="450"/>
        <w:rPr>
          <w:b w:val="0"/>
          <w:bCs w:val="0"/>
          <w:spacing w:val="40"/>
          <w:kern w:val="32"/>
        </w:rPr>
      </w:pPr>
      <w:bookmarkStart w:id="547" w:name="_Toc519513633"/>
      <w:bookmarkStart w:id="548" w:name="_Toc13837291"/>
      <w:bookmarkStart w:id="549" w:name="_Toc45637515"/>
      <w:bookmarkStart w:id="550" w:name="_Toc45838539"/>
      <w:bookmarkStart w:id="551" w:name="_Toc77837869"/>
      <w:bookmarkStart w:id="552" w:name="_Toc519513706"/>
      <w:bookmarkStart w:id="553" w:name="_Toc13837387"/>
      <w:bookmarkStart w:id="554" w:name="_Toc296702416"/>
      <w:r>
        <w:rPr>
          <w:sz w:val="28"/>
          <w:szCs w:val="28"/>
        </w:rPr>
        <w:t>ՀՀ 202</w:t>
      </w:r>
      <w:r w:rsidR="001F640D">
        <w:rPr>
          <w:sz w:val="28"/>
          <w:szCs w:val="28"/>
        </w:rPr>
        <w:t>2</w:t>
      </w:r>
      <w:r>
        <w:rPr>
          <w:sz w:val="28"/>
          <w:szCs w:val="28"/>
        </w:rPr>
        <w:t>-202</w:t>
      </w:r>
      <w:r w:rsidR="001F640D">
        <w:rPr>
          <w:sz w:val="28"/>
          <w:szCs w:val="28"/>
        </w:rPr>
        <w:t>4</w:t>
      </w:r>
      <w:r>
        <w:rPr>
          <w:sz w:val="28"/>
          <w:szCs w:val="28"/>
        </w:rPr>
        <w:t>ԹԹ</w:t>
      </w:r>
      <w:r>
        <w:rPr>
          <w:sz w:val="28"/>
          <w:szCs w:val="28"/>
          <w:lang w:val="hy-AM"/>
        </w:rPr>
        <w:t>.</w:t>
      </w:r>
      <w:r>
        <w:rPr>
          <w:sz w:val="28"/>
          <w:szCs w:val="28"/>
        </w:rPr>
        <w:t xml:space="preserve"> ՊԵՏԱԿԱՆ ԲՅՈՒՋԵՆԵՐԻ ԾԱԽՍԱՅԻՆ ԳԵՐԱԿԱՅՈՒԹՅՈՒՆՆԵՐԸ</w:t>
      </w:r>
      <w:bookmarkEnd w:id="547"/>
      <w:bookmarkEnd w:id="548"/>
      <w:bookmarkEnd w:id="549"/>
      <w:bookmarkEnd w:id="550"/>
      <w:bookmarkEnd w:id="551"/>
    </w:p>
    <w:p w14:paraId="31058D74" w14:textId="77777777" w:rsidR="00DA0E15" w:rsidRDefault="00DA0E15">
      <w:pPr>
        <w:spacing w:line="360" w:lineRule="auto"/>
        <w:ind w:firstLine="720"/>
        <w:rPr>
          <w:rFonts w:cs="Sylfaen"/>
          <w:lang w:val="hy-AM"/>
        </w:rPr>
      </w:pPr>
    </w:p>
    <w:p w14:paraId="3D1073EE" w14:textId="53A71E9F" w:rsidR="00DA0E15" w:rsidRDefault="00362131">
      <w:pPr>
        <w:spacing w:line="276" w:lineRule="auto"/>
        <w:ind w:firstLine="720"/>
        <w:rPr>
          <w:lang w:val="es-ES"/>
        </w:rPr>
      </w:pPr>
      <w:r>
        <w:rPr>
          <w:rFonts w:cs="Sylfaen"/>
          <w:lang w:val="hy-AM"/>
        </w:rPr>
        <w:t>Ծախսային</w:t>
      </w:r>
      <w:r>
        <w:rPr>
          <w:lang w:val="es-ES"/>
        </w:rPr>
        <w:t xml:space="preserve"> </w:t>
      </w:r>
      <w:r>
        <w:rPr>
          <w:rFonts w:cs="Sylfaen"/>
          <w:lang w:val="hy-AM"/>
        </w:rPr>
        <w:t>քաղաքականության</w:t>
      </w:r>
      <w:r>
        <w:rPr>
          <w:lang w:val="es-ES"/>
        </w:rPr>
        <w:t xml:space="preserve"> </w:t>
      </w:r>
      <w:r>
        <w:rPr>
          <w:rFonts w:cs="Sylfaen"/>
          <w:lang w:val="hy-AM"/>
        </w:rPr>
        <w:t>ռազմավարությունը</w:t>
      </w:r>
      <w:r>
        <w:rPr>
          <w:lang w:val="es-ES"/>
        </w:rPr>
        <w:t xml:space="preserve"> </w:t>
      </w:r>
      <w:r>
        <w:rPr>
          <w:rFonts w:cs="Sylfaen"/>
          <w:lang w:val="hy-AM"/>
        </w:rPr>
        <w:t>շարադրող</w:t>
      </w:r>
      <w:r>
        <w:rPr>
          <w:lang w:val="es-ES"/>
        </w:rPr>
        <w:t xml:space="preserve"> </w:t>
      </w:r>
      <w:r>
        <w:rPr>
          <w:rFonts w:cs="Sylfaen"/>
          <w:lang w:val="hy-AM"/>
        </w:rPr>
        <w:t>փաստաթղթում</w:t>
      </w:r>
      <w:r>
        <w:rPr>
          <w:rFonts w:cs="Sylfaen"/>
          <w:lang w:val="es-ES"/>
        </w:rPr>
        <w:t xml:space="preserve"> </w:t>
      </w:r>
      <w:r>
        <w:rPr>
          <w:lang w:val="es-ES"/>
        </w:rPr>
        <w:t xml:space="preserve"> </w:t>
      </w:r>
      <w:r>
        <w:rPr>
          <w:rFonts w:cs="Sylfaen"/>
          <w:lang w:val="hy-AM"/>
        </w:rPr>
        <w:t>ընդ</w:t>
      </w:r>
      <w:r>
        <w:rPr>
          <w:rFonts w:cs="Sylfaen"/>
          <w:lang w:val="es-ES"/>
        </w:rPr>
        <w:softHyphen/>
      </w:r>
      <w:r>
        <w:rPr>
          <w:rFonts w:cs="Sylfaen"/>
          <w:lang w:val="hy-AM"/>
        </w:rPr>
        <w:t>հանուր</w:t>
      </w:r>
      <w:r>
        <w:rPr>
          <w:lang w:val="es-ES"/>
        </w:rPr>
        <w:t xml:space="preserve"> </w:t>
      </w:r>
      <w:r>
        <w:rPr>
          <w:rFonts w:cs="Sylfaen"/>
          <w:lang w:val="hy-AM"/>
        </w:rPr>
        <w:t>գծե</w:t>
      </w:r>
      <w:r>
        <w:rPr>
          <w:rFonts w:cs="Sylfaen"/>
          <w:lang w:val="es-ES"/>
        </w:rPr>
        <w:softHyphen/>
      </w:r>
      <w:r>
        <w:rPr>
          <w:rFonts w:cs="Sylfaen"/>
          <w:lang w:val="hy-AM"/>
        </w:rPr>
        <w:t>րով</w:t>
      </w:r>
      <w:r>
        <w:rPr>
          <w:lang w:val="es-ES"/>
        </w:rPr>
        <w:t xml:space="preserve"> </w:t>
      </w:r>
      <w:r>
        <w:rPr>
          <w:rFonts w:cs="Sylfaen"/>
          <w:lang w:val="hy-AM"/>
        </w:rPr>
        <w:t>ներկայացվում</w:t>
      </w:r>
      <w:r>
        <w:rPr>
          <w:lang w:val="es-ES"/>
        </w:rPr>
        <w:t xml:space="preserve"> </w:t>
      </w:r>
      <w:r>
        <w:rPr>
          <w:rFonts w:cs="Sylfaen"/>
          <w:lang w:val="hy-AM"/>
        </w:rPr>
        <w:t>են</w:t>
      </w:r>
      <w:r>
        <w:rPr>
          <w:lang w:val="es-ES"/>
        </w:rPr>
        <w:t xml:space="preserve"> 202</w:t>
      </w:r>
      <w:r w:rsidR="001D4CA1">
        <w:rPr>
          <w:lang w:val="es-ES"/>
        </w:rPr>
        <w:t>2</w:t>
      </w:r>
      <w:r>
        <w:rPr>
          <w:lang w:val="es-ES"/>
        </w:rPr>
        <w:t>-202</w:t>
      </w:r>
      <w:r w:rsidR="001D4CA1">
        <w:rPr>
          <w:lang w:val="es-ES"/>
        </w:rPr>
        <w:t>4</w:t>
      </w:r>
      <w:r>
        <w:rPr>
          <w:lang w:val="es-ES"/>
        </w:rPr>
        <w:t xml:space="preserve">թթ. </w:t>
      </w:r>
      <w:r>
        <w:rPr>
          <w:rFonts w:cs="Sylfaen"/>
          <w:lang w:val="hy-AM"/>
        </w:rPr>
        <w:t>ժամանակահատվածում</w:t>
      </w:r>
      <w:r>
        <w:rPr>
          <w:lang w:val="es-ES"/>
        </w:rPr>
        <w:t xml:space="preserve"> </w:t>
      </w:r>
      <w:r>
        <w:rPr>
          <w:rFonts w:cs="Sylfaen"/>
          <w:lang w:val="hy-AM"/>
        </w:rPr>
        <w:t>պետական</w:t>
      </w:r>
      <w:r>
        <w:rPr>
          <w:lang w:val="es-ES"/>
        </w:rPr>
        <w:t xml:space="preserve"> </w:t>
      </w:r>
      <w:r>
        <w:rPr>
          <w:rFonts w:cs="Sylfaen"/>
          <w:lang w:val="hy-AM"/>
        </w:rPr>
        <w:t>բյուջեի</w:t>
      </w:r>
      <w:r>
        <w:rPr>
          <w:lang w:val="es-ES"/>
        </w:rPr>
        <w:t xml:space="preserve"> </w:t>
      </w:r>
      <w:r>
        <w:rPr>
          <w:rFonts w:cs="Sylfaen"/>
          <w:lang w:val="hy-AM"/>
        </w:rPr>
        <w:t>ծախսերի</w:t>
      </w:r>
      <w:r>
        <w:rPr>
          <w:lang w:val="es-ES"/>
        </w:rPr>
        <w:t xml:space="preserve"> </w:t>
      </w:r>
      <w:r>
        <w:rPr>
          <w:rFonts w:cs="Sylfaen"/>
          <w:lang w:val="hy-AM"/>
        </w:rPr>
        <w:t>ըստ</w:t>
      </w:r>
      <w:r>
        <w:rPr>
          <w:lang w:val="es-ES"/>
        </w:rPr>
        <w:t xml:space="preserve"> </w:t>
      </w:r>
      <w:r>
        <w:rPr>
          <w:rFonts w:cs="Sylfaen"/>
          <w:lang w:val="hy-AM"/>
        </w:rPr>
        <w:t>բնագավառների</w:t>
      </w:r>
      <w:r>
        <w:rPr>
          <w:lang w:val="es-ES"/>
        </w:rPr>
        <w:t xml:space="preserve"> </w:t>
      </w:r>
      <w:r>
        <w:rPr>
          <w:rFonts w:cs="Sylfaen"/>
          <w:lang w:val="hy-AM"/>
        </w:rPr>
        <w:t>քա</w:t>
      </w:r>
      <w:r>
        <w:rPr>
          <w:rFonts w:cs="Sylfaen"/>
          <w:lang w:val="es-ES"/>
        </w:rPr>
        <w:softHyphen/>
      </w:r>
      <w:r>
        <w:rPr>
          <w:rFonts w:cs="Sylfaen"/>
          <w:lang w:val="hy-AM"/>
        </w:rPr>
        <w:t>ղա</w:t>
      </w:r>
      <w:r>
        <w:rPr>
          <w:rFonts w:cs="Sylfaen"/>
          <w:lang w:val="es-ES"/>
        </w:rPr>
        <w:softHyphen/>
      </w:r>
      <w:r>
        <w:rPr>
          <w:rFonts w:cs="Sylfaen"/>
          <w:lang w:val="hy-AM"/>
        </w:rPr>
        <w:t>քականության</w:t>
      </w:r>
      <w:r>
        <w:rPr>
          <w:lang w:val="es-ES"/>
        </w:rPr>
        <w:t xml:space="preserve"> </w:t>
      </w:r>
      <w:r>
        <w:rPr>
          <w:rFonts w:cs="Sylfaen"/>
          <w:lang w:val="hy-AM"/>
        </w:rPr>
        <w:t>գերակայությունները</w:t>
      </w:r>
      <w:r>
        <w:rPr>
          <w:lang w:val="es-ES"/>
        </w:rPr>
        <w:t xml:space="preserve">: </w:t>
      </w:r>
      <w:r>
        <w:rPr>
          <w:rFonts w:cs="Sylfaen"/>
          <w:lang w:val="hy-AM"/>
        </w:rPr>
        <w:t>Այս</w:t>
      </w:r>
      <w:r>
        <w:rPr>
          <w:lang w:val="es-ES"/>
        </w:rPr>
        <w:t xml:space="preserve"> </w:t>
      </w:r>
      <w:r>
        <w:rPr>
          <w:rFonts w:cs="Sylfaen"/>
          <w:lang w:val="hy-AM"/>
        </w:rPr>
        <w:t>գերակայությունները</w:t>
      </w:r>
      <w:r>
        <w:rPr>
          <w:lang w:val="es-ES"/>
        </w:rPr>
        <w:t xml:space="preserve"> </w:t>
      </w:r>
      <w:r>
        <w:rPr>
          <w:rFonts w:cs="Sylfaen"/>
          <w:lang w:val="hy-AM"/>
        </w:rPr>
        <w:t>բխում</w:t>
      </w:r>
      <w:r>
        <w:rPr>
          <w:lang w:val="es-ES"/>
        </w:rPr>
        <w:t xml:space="preserve"> </w:t>
      </w:r>
      <w:r>
        <w:rPr>
          <w:rFonts w:cs="Sylfaen"/>
          <w:lang w:val="hy-AM"/>
        </w:rPr>
        <w:t>են</w:t>
      </w:r>
      <w:r>
        <w:rPr>
          <w:lang w:val="es-ES"/>
        </w:rPr>
        <w:t xml:space="preserve"> Կ</w:t>
      </w:r>
      <w:r>
        <w:rPr>
          <w:rFonts w:cs="Sylfaen"/>
          <w:lang w:val="hy-AM"/>
        </w:rPr>
        <w:t>առա</w:t>
      </w:r>
      <w:r>
        <w:rPr>
          <w:rFonts w:cs="Sylfaen"/>
          <w:lang w:val="es-ES"/>
        </w:rPr>
        <w:softHyphen/>
      </w:r>
      <w:r>
        <w:rPr>
          <w:rFonts w:cs="Sylfaen"/>
          <w:lang w:val="hy-AM"/>
        </w:rPr>
        <w:t>վարության</w:t>
      </w:r>
      <w:r>
        <w:rPr>
          <w:lang w:val="es-ES"/>
        </w:rPr>
        <w:t xml:space="preserve"> </w:t>
      </w:r>
      <w:r>
        <w:rPr>
          <w:rFonts w:cs="Sylfaen"/>
          <w:lang w:val="hy-AM"/>
        </w:rPr>
        <w:t>ընդ</w:t>
      </w:r>
      <w:r>
        <w:rPr>
          <w:rFonts w:cs="Sylfaen"/>
          <w:lang w:val="es-ES"/>
        </w:rPr>
        <w:softHyphen/>
      </w:r>
      <w:r>
        <w:rPr>
          <w:rFonts w:cs="Sylfaen"/>
          <w:lang w:val="hy-AM"/>
        </w:rPr>
        <w:t>հա</w:t>
      </w:r>
      <w:r>
        <w:rPr>
          <w:rFonts w:cs="Sylfaen"/>
          <w:lang w:val="es-ES"/>
        </w:rPr>
        <w:softHyphen/>
      </w:r>
      <w:r>
        <w:rPr>
          <w:rFonts w:cs="Sylfaen"/>
          <w:lang w:val="hy-AM"/>
        </w:rPr>
        <w:t>նուր</w:t>
      </w:r>
      <w:r>
        <w:rPr>
          <w:lang w:val="es-ES"/>
        </w:rPr>
        <w:t xml:space="preserve"> </w:t>
      </w:r>
      <w:r>
        <w:rPr>
          <w:rFonts w:cs="Sylfaen"/>
          <w:lang w:val="hy-AM"/>
        </w:rPr>
        <w:t>ռազ</w:t>
      </w:r>
      <w:r>
        <w:rPr>
          <w:rFonts w:cs="Sylfaen"/>
          <w:lang w:val="es-ES"/>
        </w:rPr>
        <w:softHyphen/>
      </w:r>
      <w:r>
        <w:rPr>
          <w:rFonts w:cs="Sylfaen"/>
          <w:lang w:val="hy-AM"/>
        </w:rPr>
        <w:t>մավարական</w:t>
      </w:r>
      <w:r>
        <w:rPr>
          <w:lang w:val="es-ES"/>
        </w:rPr>
        <w:t xml:space="preserve"> </w:t>
      </w:r>
      <w:r>
        <w:rPr>
          <w:rFonts w:cs="Sylfaen"/>
          <w:lang w:val="hy-AM"/>
        </w:rPr>
        <w:t>գերակայությունների</w:t>
      </w:r>
      <w:r>
        <w:rPr>
          <w:lang w:val="es-ES"/>
        </w:rPr>
        <w:t xml:space="preserve"> </w:t>
      </w:r>
      <w:r>
        <w:rPr>
          <w:rFonts w:cs="Sylfaen"/>
          <w:lang w:val="hy-AM"/>
        </w:rPr>
        <w:t>համա</w:t>
      </w:r>
      <w:r>
        <w:rPr>
          <w:rFonts w:cs="Sylfaen"/>
          <w:lang w:val="es-ES"/>
        </w:rPr>
        <w:softHyphen/>
      </w:r>
      <w:r>
        <w:rPr>
          <w:rFonts w:cs="Sylfaen"/>
          <w:lang w:val="hy-AM"/>
        </w:rPr>
        <w:t>տեքստից</w:t>
      </w:r>
      <w:r>
        <w:rPr>
          <w:lang w:val="es-ES"/>
        </w:rPr>
        <w:t xml:space="preserve"> (Կ</w:t>
      </w:r>
      <w:r>
        <w:rPr>
          <w:rFonts w:cs="Sylfaen"/>
          <w:lang w:val="hy-AM"/>
        </w:rPr>
        <w:t>առա</w:t>
      </w:r>
      <w:r>
        <w:rPr>
          <w:rFonts w:cs="Sylfaen"/>
          <w:lang w:val="es-ES"/>
        </w:rPr>
        <w:softHyphen/>
      </w:r>
      <w:r>
        <w:rPr>
          <w:rFonts w:cs="Sylfaen"/>
          <w:lang w:val="hy-AM"/>
        </w:rPr>
        <w:t>վա</w:t>
      </w:r>
      <w:r>
        <w:rPr>
          <w:rFonts w:cs="Sylfaen"/>
          <w:lang w:val="es-ES"/>
        </w:rPr>
        <w:softHyphen/>
      </w:r>
      <w:r>
        <w:rPr>
          <w:rFonts w:cs="Sylfaen"/>
          <w:lang w:val="hy-AM"/>
        </w:rPr>
        <w:t>րության</w:t>
      </w:r>
      <w:r>
        <w:rPr>
          <w:lang w:val="es-ES"/>
        </w:rPr>
        <w:t xml:space="preserve"> </w:t>
      </w:r>
      <w:r>
        <w:rPr>
          <w:rFonts w:cs="Sylfaen"/>
          <w:lang w:val="hy-AM"/>
        </w:rPr>
        <w:t>ծրագիր</w:t>
      </w:r>
      <w:r>
        <w:rPr>
          <w:rFonts w:cs="Sylfaen"/>
          <w:lang w:val="es-ES"/>
        </w:rPr>
        <w:t xml:space="preserve">, </w:t>
      </w:r>
      <w:r>
        <w:rPr>
          <w:rFonts w:cs="Sylfaen"/>
          <w:lang w:val="hy-AM"/>
        </w:rPr>
        <w:t>տար</w:t>
      </w:r>
      <w:r>
        <w:rPr>
          <w:rFonts w:cs="Sylfaen"/>
          <w:lang w:val="es-ES"/>
        </w:rPr>
        <w:softHyphen/>
      </w:r>
      <w:r>
        <w:rPr>
          <w:rFonts w:cs="Sylfaen"/>
          <w:lang w:val="hy-AM"/>
        </w:rPr>
        <w:t>բեր</w:t>
      </w:r>
      <w:r>
        <w:rPr>
          <w:rFonts w:cs="Sylfaen"/>
          <w:lang w:val="es-ES"/>
        </w:rPr>
        <w:t xml:space="preserve"> </w:t>
      </w:r>
      <w:r>
        <w:rPr>
          <w:rFonts w:cs="Sylfaen"/>
          <w:lang w:val="hy-AM"/>
        </w:rPr>
        <w:t>ոլորտ</w:t>
      </w:r>
      <w:r>
        <w:rPr>
          <w:rFonts w:cs="Sylfaen"/>
          <w:lang w:val="es-ES"/>
        </w:rPr>
        <w:softHyphen/>
      </w:r>
      <w:r>
        <w:rPr>
          <w:rFonts w:cs="Sylfaen"/>
          <w:lang w:val="hy-AM"/>
        </w:rPr>
        <w:t>նե</w:t>
      </w:r>
      <w:r>
        <w:rPr>
          <w:rFonts w:cs="Sylfaen"/>
          <w:lang w:val="es-ES"/>
        </w:rPr>
        <w:softHyphen/>
      </w:r>
      <w:r>
        <w:rPr>
          <w:rFonts w:cs="Sylfaen"/>
          <w:lang w:val="hy-AM"/>
        </w:rPr>
        <w:t>րում</w:t>
      </w:r>
      <w:r>
        <w:rPr>
          <w:rFonts w:cs="Sylfaen"/>
          <w:lang w:val="es-ES"/>
        </w:rPr>
        <w:t xml:space="preserve"> Կ</w:t>
      </w:r>
      <w:r>
        <w:rPr>
          <w:rFonts w:cs="Sylfaen"/>
          <w:lang w:val="hy-AM"/>
        </w:rPr>
        <w:t>առավարության</w:t>
      </w:r>
      <w:r>
        <w:rPr>
          <w:rFonts w:cs="Sylfaen"/>
          <w:lang w:val="es-ES"/>
        </w:rPr>
        <w:t xml:space="preserve"> </w:t>
      </w:r>
      <w:r>
        <w:rPr>
          <w:rFonts w:cs="Sylfaen"/>
          <w:lang w:val="hy-AM"/>
        </w:rPr>
        <w:t>կողմից</w:t>
      </w:r>
      <w:r>
        <w:rPr>
          <w:rFonts w:cs="Sylfaen"/>
          <w:lang w:val="es-ES"/>
        </w:rPr>
        <w:t xml:space="preserve"> </w:t>
      </w:r>
      <w:r>
        <w:rPr>
          <w:rFonts w:cs="Sylfaen"/>
          <w:lang w:val="hy-AM"/>
        </w:rPr>
        <w:t>ընդուն</w:t>
      </w:r>
      <w:r>
        <w:rPr>
          <w:rFonts w:cs="Sylfaen"/>
          <w:lang w:val="es-ES"/>
        </w:rPr>
        <w:softHyphen/>
      </w:r>
      <w:r>
        <w:rPr>
          <w:rFonts w:cs="Sylfaen"/>
          <w:lang w:val="hy-AM"/>
        </w:rPr>
        <w:t>ված</w:t>
      </w:r>
      <w:r>
        <w:rPr>
          <w:rFonts w:cs="Sylfaen"/>
          <w:lang w:val="es-ES"/>
        </w:rPr>
        <w:t xml:space="preserve"> </w:t>
      </w:r>
      <w:r>
        <w:rPr>
          <w:rFonts w:cs="Sylfaen"/>
          <w:lang w:val="hy-AM"/>
        </w:rPr>
        <w:t>մի</w:t>
      </w:r>
      <w:r>
        <w:rPr>
          <w:rFonts w:cs="Sylfaen"/>
          <w:lang w:val="es-ES"/>
        </w:rPr>
        <w:t xml:space="preserve"> </w:t>
      </w:r>
      <w:r>
        <w:rPr>
          <w:rFonts w:cs="Sylfaen"/>
          <w:lang w:val="hy-AM"/>
        </w:rPr>
        <w:t>շարք</w:t>
      </w:r>
      <w:r>
        <w:rPr>
          <w:rFonts w:cs="Sylfaen"/>
          <w:lang w:val="es-ES"/>
        </w:rPr>
        <w:t xml:space="preserve"> </w:t>
      </w:r>
      <w:r>
        <w:rPr>
          <w:rFonts w:cs="Sylfaen"/>
          <w:lang w:val="hy-AM"/>
        </w:rPr>
        <w:t>միջնաժամկետ</w:t>
      </w:r>
      <w:r>
        <w:rPr>
          <w:rFonts w:cs="Sylfaen"/>
          <w:lang w:val="es-ES"/>
        </w:rPr>
        <w:t xml:space="preserve"> </w:t>
      </w:r>
      <w:r>
        <w:rPr>
          <w:rFonts w:cs="Sylfaen"/>
          <w:lang w:val="hy-AM"/>
        </w:rPr>
        <w:t>և</w:t>
      </w:r>
      <w:r>
        <w:rPr>
          <w:rFonts w:cs="Sylfaen"/>
          <w:lang w:val="es-ES"/>
        </w:rPr>
        <w:t xml:space="preserve"> </w:t>
      </w:r>
      <w:r>
        <w:rPr>
          <w:rFonts w:cs="Sylfaen"/>
          <w:lang w:val="hy-AM"/>
        </w:rPr>
        <w:t>եր</w:t>
      </w:r>
      <w:r>
        <w:rPr>
          <w:rFonts w:cs="Sylfaen"/>
          <w:lang w:val="es-ES"/>
        </w:rPr>
        <w:softHyphen/>
      </w:r>
      <w:r>
        <w:rPr>
          <w:rFonts w:cs="Sylfaen"/>
          <w:lang w:val="hy-AM"/>
        </w:rPr>
        <w:t>կա</w:t>
      </w:r>
      <w:r>
        <w:rPr>
          <w:rFonts w:cs="Sylfaen"/>
          <w:lang w:val="es-ES"/>
        </w:rPr>
        <w:softHyphen/>
      </w:r>
      <w:r>
        <w:rPr>
          <w:rFonts w:cs="Sylfaen"/>
          <w:lang w:val="hy-AM"/>
        </w:rPr>
        <w:t>րաժամկետ</w:t>
      </w:r>
      <w:r>
        <w:rPr>
          <w:rFonts w:cs="Sylfaen"/>
          <w:lang w:val="es-ES"/>
        </w:rPr>
        <w:t xml:space="preserve"> </w:t>
      </w:r>
      <w:r>
        <w:rPr>
          <w:rFonts w:cs="Sylfaen"/>
          <w:lang w:val="hy-AM"/>
        </w:rPr>
        <w:t>ծրագրեր</w:t>
      </w:r>
      <w:r>
        <w:rPr>
          <w:rFonts w:cs="Sylfaen"/>
          <w:lang w:val="es-ES"/>
        </w:rPr>
        <w:t xml:space="preserve"> </w:t>
      </w:r>
      <w:r>
        <w:rPr>
          <w:rFonts w:cs="Sylfaen"/>
          <w:lang w:val="hy-AM"/>
        </w:rPr>
        <w:t>և</w:t>
      </w:r>
      <w:r>
        <w:rPr>
          <w:rFonts w:cs="Sylfaen"/>
          <w:lang w:val="es-ES"/>
        </w:rPr>
        <w:t xml:space="preserve"> </w:t>
      </w:r>
      <w:r>
        <w:rPr>
          <w:rFonts w:cs="Sylfaen"/>
          <w:lang w:val="hy-AM"/>
        </w:rPr>
        <w:t>այլն</w:t>
      </w:r>
      <w:r>
        <w:rPr>
          <w:rFonts w:cs="Sylfaen"/>
          <w:lang w:val="es-ES"/>
        </w:rPr>
        <w:t xml:space="preserve">) </w:t>
      </w:r>
      <w:r>
        <w:rPr>
          <w:rFonts w:cs="Sylfaen"/>
          <w:lang w:val="hy-AM"/>
        </w:rPr>
        <w:t>և</w:t>
      </w:r>
      <w:r>
        <w:rPr>
          <w:rFonts w:cs="Sylfaen"/>
          <w:lang w:val="es-ES"/>
        </w:rPr>
        <w:t xml:space="preserve"> </w:t>
      </w:r>
      <w:r>
        <w:rPr>
          <w:rFonts w:cs="Sylfaen"/>
          <w:lang w:val="hy-AM"/>
        </w:rPr>
        <w:t>պետք</w:t>
      </w:r>
      <w:r>
        <w:rPr>
          <w:rFonts w:cs="Sylfaen"/>
          <w:lang w:val="es-ES"/>
        </w:rPr>
        <w:t xml:space="preserve"> </w:t>
      </w:r>
      <w:r>
        <w:rPr>
          <w:rFonts w:cs="Sylfaen"/>
          <w:lang w:val="hy-AM"/>
        </w:rPr>
        <w:t>է</w:t>
      </w:r>
      <w:r>
        <w:rPr>
          <w:rFonts w:cs="Sylfaen"/>
          <w:lang w:val="es-ES"/>
        </w:rPr>
        <w:t xml:space="preserve"> </w:t>
      </w:r>
      <w:r>
        <w:rPr>
          <w:rFonts w:cs="Sylfaen"/>
          <w:lang w:val="hy-AM"/>
        </w:rPr>
        <w:t>ծառայեն</w:t>
      </w:r>
      <w:r>
        <w:rPr>
          <w:rFonts w:cs="Sylfaen"/>
          <w:lang w:val="es-ES"/>
        </w:rPr>
        <w:t xml:space="preserve"> </w:t>
      </w:r>
      <w:r>
        <w:rPr>
          <w:rFonts w:cs="Sylfaen"/>
          <w:lang w:val="hy-AM"/>
        </w:rPr>
        <w:t>որպես</w:t>
      </w:r>
      <w:r>
        <w:rPr>
          <w:rFonts w:cs="Sylfaen"/>
          <w:lang w:val="es-ES"/>
        </w:rPr>
        <w:t xml:space="preserve"> </w:t>
      </w:r>
      <w:r>
        <w:rPr>
          <w:rFonts w:cs="Sylfaen"/>
          <w:lang w:val="hy-AM"/>
        </w:rPr>
        <w:t>հիմք</w:t>
      </w:r>
      <w:r>
        <w:rPr>
          <w:rFonts w:cs="Sylfaen"/>
          <w:lang w:val="es-ES"/>
        </w:rPr>
        <w:t xml:space="preserve">` </w:t>
      </w:r>
      <w:r>
        <w:rPr>
          <w:rFonts w:cs="Sylfaen"/>
          <w:lang w:val="hy-AM"/>
        </w:rPr>
        <w:t>ՀՀ</w:t>
      </w:r>
      <w:r>
        <w:rPr>
          <w:rFonts w:cs="Sylfaen"/>
          <w:lang w:val="es-ES"/>
        </w:rPr>
        <w:t xml:space="preserve"> 20</w:t>
      </w:r>
      <w:r w:rsidR="001D4CA1">
        <w:rPr>
          <w:rFonts w:cs="Sylfaen"/>
          <w:lang w:val="es-ES"/>
        </w:rPr>
        <w:t>2</w:t>
      </w:r>
      <w:r>
        <w:rPr>
          <w:rFonts w:cs="Sylfaen"/>
          <w:lang w:val="es-ES"/>
        </w:rPr>
        <w:t>2 թվակա</w:t>
      </w:r>
      <w:r>
        <w:rPr>
          <w:rFonts w:cs="Sylfaen"/>
          <w:lang w:val="hy-AM"/>
        </w:rPr>
        <w:t>նի</w:t>
      </w:r>
      <w:r>
        <w:rPr>
          <w:rFonts w:cs="Sylfaen"/>
          <w:lang w:val="es-ES"/>
        </w:rPr>
        <w:t xml:space="preserve"> </w:t>
      </w:r>
      <w:r>
        <w:rPr>
          <w:rFonts w:cs="Sylfaen"/>
          <w:lang w:val="hy-AM"/>
        </w:rPr>
        <w:t>պետական</w:t>
      </w:r>
      <w:r>
        <w:rPr>
          <w:rFonts w:cs="Sylfaen"/>
          <w:lang w:val="es-ES"/>
        </w:rPr>
        <w:t xml:space="preserve"> </w:t>
      </w:r>
      <w:r>
        <w:rPr>
          <w:rFonts w:cs="Sylfaen"/>
          <w:lang w:val="hy-AM"/>
        </w:rPr>
        <w:t>բյուջեի</w:t>
      </w:r>
      <w:r>
        <w:rPr>
          <w:lang w:val="es-ES"/>
        </w:rPr>
        <w:t xml:space="preserve"> </w:t>
      </w:r>
      <w:r>
        <w:rPr>
          <w:rFonts w:cs="Sylfaen"/>
          <w:lang w:val="hy-AM"/>
        </w:rPr>
        <w:t>նա</w:t>
      </w:r>
      <w:r>
        <w:rPr>
          <w:rFonts w:cs="Sylfaen"/>
          <w:lang w:val="es-ES"/>
        </w:rPr>
        <w:softHyphen/>
      </w:r>
      <w:r>
        <w:rPr>
          <w:rFonts w:cs="Sylfaen"/>
          <w:lang w:val="hy-AM"/>
        </w:rPr>
        <w:t>խագծի</w:t>
      </w:r>
      <w:r>
        <w:rPr>
          <w:lang w:val="es-ES"/>
        </w:rPr>
        <w:t xml:space="preserve"> </w:t>
      </w:r>
      <w:r>
        <w:rPr>
          <w:rFonts w:cs="Sylfaen"/>
          <w:lang w:val="hy-AM"/>
        </w:rPr>
        <w:t>մշակման</w:t>
      </w:r>
      <w:r>
        <w:rPr>
          <w:lang w:val="es-ES"/>
        </w:rPr>
        <w:t xml:space="preserve"> </w:t>
      </w:r>
      <w:r>
        <w:rPr>
          <w:rFonts w:cs="Sylfaen"/>
          <w:lang w:val="hy-AM"/>
        </w:rPr>
        <w:t>համար</w:t>
      </w:r>
      <w:r>
        <w:rPr>
          <w:lang w:val="es-ES"/>
        </w:rPr>
        <w:t xml:space="preserve">: </w:t>
      </w:r>
    </w:p>
    <w:p w14:paraId="3B3C54AB" w14:textId="77777777" w:rsidR="00DA0E15" w:rsidRDefault="00362131">
      <w:pPr>
        <w:spacing w:line="276" w:lineRule="auto"/>
        <w:ind w:firstLine="720"/>
        <w:rPr>
          <w:lang w:val="es-ES"/>
        </w:rPr>
      </w:pPr>
      <w:r>
        <w:rPr>
          <w:rFonts w:cs="Sylfaen"/>
        </w:rPr>
        <w:t>Ինչպես</w:t>
      </w:r>
      <w:r>
        <w:rPr>
          <w:lang w:val="es-ES"/>
        </w:rPr>
        <w:t xml:space="preserve"> </w:t>
      </w:r>
      <w:r>
        <w:rPr>
          <w:rFonts w:cs="Sylfaen"/>
        </w:rPr>
        <w:t>արդեն</w:t>
      </w:r>
      <w:r>
        <w:rPr>
          <w:lang w:val="es-ES"/>
        </w:rPr>
        <w:t xml:space="preserve"> </w:t>
      </w:r>
      <w:r>
        <w:rPr>
          <w:rFonts w:cs="Sylfaen"/>
        </w:rPr>
        <w:t>վերը</w:t>
      </w:r>
      <w:r>
        <w:rPr>
          <w:lang w:val="es-ES"/>
        </w:rPr>
        <w:t xml:space="preserve"> </w:t>
      </w:r>
      <w:r>
        <w:rPr>
          <w:rFonts w:cs="Sylfaen"/>
        </w:rPr>
        <w:t>նշվել</w:t>
      </w:r>
      <w:r>
        <w:rPr>
          <w:lang w:val="es-ES"/>
        </w:rPr>
        <w:t xml:space="preserve"> </w:t>
      </w:r>
      <w:r>
        <w:rPr>
          <w:rFonts w:cs="Sylfaen"/>
        </w:rPr>
        <w:t>էր</w:t>
      </w:r>
      <w:r>
        <w:rPr>
          <w:lang w:val="es-ES"/>
        </w:rPr>
        <w:t xml:space="preserve"> Կ</w:t>
      </w:r>
      <w:r>
        <w:rPr>
          <w:rFonts w:cs="Sylfaen"/>
        </w:rPr>
        <w:t>առավարությունն</w:t>
      </w:r>
      <w:r>
        <w:rPr>
          <w:lang w:val="es-ES"/>
        </w:rPr>
        <w:t xml:space="preserve"> </w:t>
      </w:r>
      <w:r>
        <w:rPr>
          <w:rFonts w:cs="Sylfaen"/>
        </w:rPr>
        <w:t>առաջիկա</w:t>
      </w:r>
      <w:r>
        <w:rPr>
          <w:lang w:val="es-ES"/>
        </w:rPr>
        <w:t xml:space="preserve"> </w:t>
      </w:r>
      <w:r>
        <w:rPr>
          <w:rFonts w:cs="Sylfaen"/>
        </w:rPr>
        <w:t>տարիների</w:t>
      </w:r>
      <w:r>
        <w:rPr>
          <w:lang w:val="es-ES"/>
        </w:rPr>
        <w:t xml:space="preserve"> </w:t>
      </w:r>
      <w:r>
        <w:rPr>
          <w:rFonts w:cs="Sylfaen"/>
        </w:rPr>
        <w:t>համար</w:t>
      </w:r>
      <w:r>
        <w:rPr>
          <w:lang w:val="es-ES"/>
        </w:rPr>
        <w:t xml:space="preserve"> </w:t>
      </w:r>
      <w:r>
        <w:rPr>
          <w:rFonts w:cs="Sylfaen"/>
        </w:rPr>
        <w:t>առավել</w:t>
      </w:r>
      <w:r>
        <w:rPr>
          <w:lang w:val="es-ES"/>
        </w:rPr>
        <w:t xml:space="preserve"> </w:t>
      </w:r>
      <w:r>
        <w:rPr>
          <w:rFonts w:cs="Sylfaen"/>
        </w:rPr>
        <w:t>կարևո</w:t>
      </w:r>
      <w:r>
        <w:rPr>
          <w:rFonts w:cs="Sylfaen"/>
          <w:lang w:val="es-ES"/>
        </w:rPr>
        <w:softHyphen/>
      </w:r>
      <w:r>
        <w:rPr>
          <w:rFonts w:cs="Sylfaen"/>
        </w:rPr>
        <w:t>րում</w:t>
      </w:r>
      <w:r>
        <w:rPr>
          <w:lang w:val="es-ES"/>
        </w:rPr>
        <w:t xml:space="preserve"> </w:t>
      </w:r>
      <w:r>
        <w:rPr>
          <w:rFonts w:cs="Sylfaen"/>
        </w:rPr>
        <w:t>է</w:t>
      </w:r>
      <w:r>
        <w:rPr>
          <w:lang w:val="es-ES"/>
        </w:rPr>
        <w:t xml:space="preserve"> </w:t>
      </w:r>
      <w:r>
        <w:rPr>
          <w:rFonts w:cs="Sylfaen"/>
        </w:rPr>
        <w:t>պե</w:t>
      </w:r>
      <w:r>
        <w:rPr>
          <w:rFonts w:cs="Sylfaen"/>
          <w:lang w:val="es-ES"/>
        </w:rPr>
        <w:softHyphen/>
      </w:r>
      <w:r>
        <w:rPr>
          <w:rFonts w:cs="Sylfaen"/>
        </w:rPr>
        <w:t>տական</w:t>
      </w:r>
      <w:r>
        <w:rPr>
          <w:lang w:val="es-ES"/>
        </w:rPr>
        <w:t xml:space="preserve"> </w:t>
      </w:r>
      <w:r>
        <w:rPr>
          <w:rFonts w:cs="Sylfaen"/>
        </w:rPr>
        <w:t>բյուջեի</w:t>
      </w:r>
      <w:r>
        <w:rPr>
          <w:lang w:val="es-ES"/>
        </w:rPr>
        <w:t xml:space="preserve"> </w:t>
      </w:r>
      <w:r>
        <w:rPr>
          <w:rFonts w:cs="Sylfaen"/>
        </w:rPr>
        <w:t>հիմնական</w:t>
      </w:r>
      <w:r>
        <w:rPr>
          <w:lang w:val="es-ES"/>
        </w:rPr>
        <w:t xml:space="preserve"> </w:t>
      </w:r>
      <w:r>
        <w:rPr>
          <w:rFonts w:cs="Sylfaen"/>
        </w:rPr>
        <w:t>ծախսային</w:t>
      </w:r>
      <w:r>
        <w:rPr>
          <w:lang w:val="es-ES"/>
        </w:rPr>
        <w:t xml:space="preserve"> </w:t>
      </w:r>
      <w:r>
        <w:rPr>
          <w:rFonts w:cs="Sylfaen"/>
        </w:rPr>
        <w:t>հետևյալ</w:t>
      </w:r>
      <w:r>
        <w:rPr>
          <w:lang w:val="es-ES"/>
        </w:rPr>
        <w:t xml:space="preserve"> </w:t>
      </w:r>
      <w:r>
        <w:rPr>
          <w:rFonts w:cs="Sylfaen"/>
        </w:rPr>
        <w:t>գերակայությունները</w:t>
      </w:r>
      <w:r>
        <w:rPr>
          <w:lang w:val="es-ES"/>
        </w:rPr>
        <w:t>.</w:t>
      </w:r>
    </w:p>
    <w:p w14:paraId="1488EA7B" w14:textId="77777777" w:rsidR="00DA0E15" w:rsidRDefault="00362131">
      <w:pPr>
        <w:spacing w:line="276" w:lineRule="auto"/>
        <w:ind w:firstLine="360"/>
        <w:rPr>
          <w:lang w:val="es-ES"/>
        </w:rPr>
      </w:pPr>
      <w:r>
        <w:rPr>
          <w:lang w:val="es-ES"/>
        </w:rPr>
        <w:t>(i)</w:t>
      </w:r>
      <w:r>
        <w:rPr>
          <w:lang w:val="es-ES"/>
        </w:rPr>
        <w:tab/>
      </w:r>
      <w:r>
        <w:rPr>
          <w:rFonts w:cs="Sylfaen"/>
        </w:rPr>
        <w:t>սոցիալական</w:t>
      </w:r>
      <w:r>
        <w:rPr>
          <w:lang w:val="es-ES"/>
        </w:rPr>
        <w:t xml:space="preserve"> </w:t>
      </w:r>
      <w:r>
        <w:rPr>
          <w:rFonts w:cs="Sylfaen"/>
        </w:rPr>
        <w:t>ոլորտի</w:t>
      </w:r>
      <w:r>
        <w:rPr>
          <w:lang w:val="es-ES"/>
        </w:rPr>
        <w:t xml:space="preserve"> </w:t>
      </w:r>
      <w:r>
        <w:rPr>
          <w:rFonts w:cs="Sylfaen"/>
        </w:rPr>
        <w:t>առանձին</w:t>
      </w:r>
      <w:r>
        <w:rPr>
          <w:lang w:val="es-ES"/>
        </w:rPr>
        <w:t xml:space="preserve"> </w:t>
      </w:r>
      <w:r>
        <w:rPr>
          <w:rFonts w:cs="Sylfaen"/>
        </w:rPr>
        <w:t>ճյուղերում</w:t>
      </w:r>
      <w:r>
        <w:rPr>
          <w:lang w:val="es-ES"/>
        </w:rPr>
        <w:t xml:space="preserve"> (</w:t>
      </w:r>
      <w:r>
        <w:rPr>
          <w:rFonts w:cs="Sylfaen"/>
        </w:rPr>
        <w:t>մասնավորապես՝</w:t>
      </w:r>
      <w:r>
        <w:rPr>
          <w:lang w:val="es-ES"/>
        </w:rPr>
        <w:t xml:space="preserve"> </w:t>
      </w:r>
      <w:r>
        <w:rPr>
          <w:rFonts w:cs="Sylfaen"/>
        </w:rPr>
        <w:t>կրթություն</w:t>
      </w:r>
      <w:r>
        <w:rPr>
          <w:lang w:val="es-ES"/>
        </w:rPr>
        <w:t xml:space="preserve">, </w:t>
      </w:r>
      <w:r>
        <w:rPr>
          <w:rFonts w:cs="Sylfaen"/>
        </w:rPr>
        <w:t>առողջա</w:t>
      </w:r>
      <w:r>
        <w:rPr>
          <w:rFonts w:cs="Sylfaen"/>
          <w:lang w:val="es-ES"/>
        </w:rPr>
        <w:softHyphen/>
      </w:r>
      <w:r>
        <w:rPr>
          <w:rFonts w:cs="Sylfaen"/>
        </w:rPr>
        <w:t>պա</w:t>
      </w:r>
      <w:r>
        <w:rPr>
          <w:rFonts w:cs="Sylfaen"/>
          <w:lang w:val="es-ES"/>
        </w:rPr>
        <w:softHyphen/>
      </w:r>
      <w:r>
        <w:rPr>
          <w:rFonts w:cs="Sylfaen"/>
        </w:rPr>
        <w:t>հութ</w:t>
      </w:r>
      <w:r>
        <w:rPr>
          <w:rFonts w:cs="Sylfaen"/>
          <w:lang w:val="es-ES"/>
        </w:rPr>
        <w:softHyphen/>
      </w:r>
      <w:r>
        <w:rPr>
          <w:rFonts w:cs="Sylfaen"/>
        </w:rPr>
        <w:t>յուն</w:t>
      </w:r>
      <w:r>
        <w:rPr>
          <w:lang w:val="es-ES"/>
        </w:rPr>
        <w:t xml:space="preserve">, </w:t>
      </w:r>
      <w:r>
        <w:rPr>
          <w:rFonts w:cs="Sylfaen"/>
        </w:rPr>
        <w:t>սո</w:t>
      </w:r>
      <w:r>
        <w:rPr>
          <w:rFonts w:cs="Sylfaen"/>
          <w:lang w:val="es-ES"/>
        </w:rPr>
        <w:softHyphen/>
      </w:r>
      <w:r>
        <w:rPr>
          <w:rFonts w:cs="Sylfaen"/>
          <w:lang w:val="es-ES"/>
        </w:rPr>
        <w:softHyphen/>
      </w:r>
      <w:r>
        <w:rPr>
          <w:rFonts w:cs="Sylfaen"/>
        </w:rPr>
        <w:t>ցիալական</w:t>
      </w:r>
      <w:r>
        <w:rPr>
          <w:lang w:val="es-ES"/>
        </w:rPr>
        <w:t xml:space="preserve"> </w:t>
      </w:r>
      <w:r>
        <w:rPr>
          <w:rFonts w:cs="Sylfaen"/>
        </w:rPr>
        <w:t>պաշտպանություն</w:t>
      </w:r>
      <w:r>
        <w:rPr>
          <w:lang w:val="es-ES"/>
        </w:rPr>
        <w:t xml:space="preserve">), </w:t>
      </w:r>
      <w:r>
        <w:rPr>
          <w:rFonts w:cs="Sylfaen"/>
        </w:rPr>
        <w:t>ինչպես</w:t>
      </w:r>
      <w:r>
        <w:rPr>
          <w:lang w:val="es-ES"/>
        </w:rPr>
        <w:t xml:space="preserve"> </w:t>
      </w:r>
      <w:r>
        <w:rPr>
          <w:rFonts w:cs="Sylfaen"/>
        </w:rPr>
        <w:t>նաև</w:t>
      </w:r>
      <w:r>
        <w:rPr>
          <w:lang w:val="es-ES"/>
        </w:rPr>
        <w:t xml:space="preserve"> </w:t>
      </w:r>
      <w:r>
        <w:rPr>
          <w:rFonts w:cs="Sylfaen"/>
        </w:rPr>
        <w:t>պետական</w:t>
      </w:r>
      <w:r>
        <w:rPr>
          <w:lang w:val="es-ES"/>
        </w:rPr>
        <w:t xml:space="preserve"> </w:t>
      </w:r>
      <w:r>
        <w:rPr>
          <w:rFonts w:cs="Sylfaen"/>
        </w:rPr>
        <w:t>կառավարման</w:t>
      </w:r>
      <w:r>
        <w:rPr>
          <w:lang w:val="es-ES"/>
        </w:rPr>
        <w:t xml:space="preserve"> </w:t>
      </w:r>
      <w:r>
        <w:rPr>
          <w:rFonts w:cs="Sylfaen"/>
        </w:rPr>
        <w:t>բնագավառ</w:t>
      </w:r>
      <w:r>
        <w:rPr>
          <w:rFonts w:cs="Sylfaen"/>
          <w:lang w:val="es-ES"/>
        </w:rPr>
        <w:softHyphen/>
      </w:r>
      <w:r>
        <w:rPr>
          <w:rFonts w:cs="Sylfaen"/>
        </w:rPr>
        <w:t>ներում</w:t>
      </w:r>
      <w:r>
        <w:rPr>
          <w:lang w:val="es-ES"/>
        </w:rPr>
        <w:t xml:space="preserve"> </w:t>
      </w:r>
      <w:r>
        <w:rPr>
          <w:rFonts w:cs="Sylfaen"/>
        </w:rPr>
        <w:t>պե</w:t>
      </w:r>
      <w:r>
        <w:rPr>
          <w:rFonts w:cs="Sylfaen"/>
          <w:lang w:val="es-ES"/>
        </w:rPr>
        <w:softHyphen/>
      </w:r>
      <w:r>
        <w:rPr>
          <w:rFonts w:cs="Sylfaen"/>
        </w:rPr>
        <w:t>տա</w:t>
      </w:r>
      <w:r>
        <w:rPr>
          <w:rFonts w:cs="Sylfaen"/>
          <w:lang w:val="es-ES"/>
        </w:rPr>
        <w:softHyphen/>
      </w:r>
      <w:r>
        <w:rPr>
          <w:rFonts w:cs="Sylfaen"/>
        </w:rPr>
        <w:t>կան</w:t>
      </w:r>
      <w:r>
        <w:rPr>
          <w:lang w:val="es-ES"/>
        </w:rPr>
        <w:t xml:space="preserve"> </w:t>
      </w:r>
      <w:r>
        <w:rPr>
          <w:rFonts w:cs="Sylfaen"/>
        </w:rPr>
        <w:t>մար</w:t>
      </w:r>
      <w:r>
        <w:rPr>
          <w:rFonts w:cs="Sylfaen"/>
          <w:lang w:val="es-ES"/>
        </w:rPr>
        <w:softHyphen/>
      </w:r>
      <w:r>
        <w:rPr>
          <w:rFonts w:cs="Sylfaen"/>
        </w:rPr>
        <w:t>մինների</w:t>
      </w:r>
      <w:r>
        <w:rPr>
          <w:lang w:val="es-ES"/>
        </w:rPr>
        <w:t xml:space="preserve"> </w:t>
      </w:r>
      <w:r>
        <w:rPr>
          <w:rFonts w:cs="Sylfaen"/>
        </w:rPr>
        <w:t>գործունեության</w:t>
      </w:r>
      <w:r>
        <w:rPr>
          <w:lang w:val="es-ES"/>
        </w:rPr>
        <w:t xml:space="preserve"> </w:t>
      </w:r>
      <w:r>
        <w:rPr>
          <w:rFonts w:cs="Sylfaen"/>
        </w:rPr>
        <w:t>արդյունավետության</w:t>
      </w:r>
      <w:r>
        <w:rPr>
          <w:lang w:val="es-ES"/>
        </w:rPr>
        <w:t xml:space="preserve">, </w:t>
      </w:r>
      <w:r>
        <w:rPr>
          <w:rFonts w:cs="Sylfaen"/>
        </w:rPr>
        <w:t>նպատակաուղ</w:t>
      </w:r>
      <w:r>
        <w:rPr>
          <w:rFonts w:cs="Sylfaen"/>
          <w:lang w:val="es-ES"/>
        </w:rPr>
        <w:softHyphen/>
      </w:r>
      <w:r>
        <w:rPr>
          <w:rFonts w:cs="Sylfaen"/>
        </w:rPr>
        <w:t>ղվա</w:t>
      </w:r>
      <w:r>
        <w:rPr>
          <w:rFonts w:cs="Sylfaen"/>
          <w:lang w:val="es-ES"/>
        </w:rPr>
        <w:softHyphen/>
      </w:r>
      <w:r>
        <w:rPr>
          <w:rFonts w:cs="Sylfaen"/>
        </w:rPr>
        <w:t>ծու</w:t>
      </w:r>
      <w:r>
        <w:rPr>
          <w:rFonts w:cs="Sylfaen"/>
          <w:lang w:val="es-ES"/>
        </w:rPr>
        <w:softHyphen/>
      </w:r>
      <w:r>
        <w:rPr>
          <w:rFonts w:cs="Sylfaen"/>
        </w:rPr>
        <w:t>թյան</w:t>
      </w:r>
      <w:r>
        <w:rPr>
          <w:lang w:val="es-ES"/>
        </w:rPr>
        <w:t xml:space="preserve"> </w:t>
      </w:r>
      <w:r>
        <w:rPr>
          <w:rFonts w:cs="Sylfaen"/>
        </w:rPr>
        <w:t>և</w:t>
      </w:r>
      <w:r>
        <w:rPr>
          <w:lang w:val="es-ES"/>
        </w:rPr>
        <w:t xml:space="preserve"> </w:t>
      </w:r>
      <w:r>
        <w:rPr>
          <w:rFonts w:cs="Sylfaen"/>
        </w:rPr>
        <w:t>հաս</w:t>
      </w:r>
      <w:r>
        <w:rPr>
          <w:rFonts w:cs="Sylfaen"/>
          <w:lang w:val="es-ES"/>
        </w:rPr>
        <w:softHyphen/>
      </w:r>
      <w:r>
        <w:rPr>
          <w:rFonts w:cs="Sylfaen"/>
        </w:rPr>
        <w:t>ցեա</w:t>
      </w:r>
      <w:r>
        <w:rPr>
          <w:rFonts w:cs="Sylfaen"/>
          <w:lang w:val="es-ES"/>
        </w:rPr>
        <w:softHyphen/>
      </w:r>
      <w:r>
        <w:rPr>
          <w:rFonts w:cs="Sylfaen"/>
        </w:rPr>
        <w:t>կանության</w:t>
      </w:r>
      <w:r>
        <w:rPr>
          <w:lang w:val="es-ES"/>
        </w:rPr>
        <w:t xml:space="preserve"> </w:t>
      </w:r>
      <w:r>
        <w:rPr>
          <w:rFonts w:cs="Sylfaen"/>
        </w:rPr>
        <w:t>մա</w:t>
      </w:r>
      <w:r>
        <w:rPr>
          <w:rFonts w:cs="Sylfaen"/>
          <w:lang w:val="es-ES"/>
        </w:rPr>
        <w:softHyphen/>
      </w:r>
      <w:r>
        <w:rPr>
          <w:rFonts w:cs="Sylfaen"/>
        </w:rPr>
        <w:t>կարդակի</w:t>
      </w:r>
      <w:r>
        <w:rPr>
          <w:lang w:val="es-ES"/>
        </w:rPr>
        <w:t xml:space="preserve"> </w:t>
      </w:r>
      <w:r>
        <w:rPr>
          <w:rFonts w:cs="Sylfaen"/>
        </w:rPr>
        <w:t>բարձրացման</w:t>
      </w:r>
      <w:r>
        <w:rPr>
          <w:lang w:val="es-ES"/>
        </w:rPr>
        <w:t xml:space="preserve">, </w:t>
      </w:r>
      <w:r>
        <w:rPr>
          <w:rFonts w:cs="Sylfaen"/>
        </w:rPr>
        <w:t>նրանց</w:t>
      </w:r>
      <w:r>
        <w:rPr>
          <w:lang w:val="es-ES"/>
        </w:rPr>
        <w:t xml:space="preserve"> </w:t>
      </w:r>
      <w:r>
        <w:rPr>
          <w:rFonts w:cs="Sylfaen"/>
        </w:rPr>
        <w:t>կողմից</w:t>
      </w:r>
      <w:r>
        <w:rPr>
          <w:lang w:val="es-ES"/>
        </w:rPr>
        <w:t xml:space="preserve"> </w:t>
      </w:r>
      <w:r>
        <w:rPr>
          <w:rFonts w:cs="Sylfaen"/>
        </w:rPr>
        <w:t>հանրությանը</w:t>
      </w:r>
      <w:r>
        <w:rPr>
          <w:lang w:val="es-ES"/>
        </w:rPr>
        <w:t xml:space="preserve"> </w:t>
      </w:r>
      <w:r>
        <w:rPr>
          <w:rFonts w:cs="Sylfaen"/>
        </w:rPr>
        <w:t>մատուց</w:t>
      </w:r>
      <w:r>
        <w:rPr>
          <w:rFonts w:cs="Sylfaen"/>
          <w:lang w:val="es-ES"/>
        </w:rPr>
        <w:softHyphen/>
      </w:r>
      <w:r>
        <w:rPr>
          <w:rFonts w:cs="Sylfaen"/>
        </w:rPr>
        <w:t>վող</w:t>
      </w:r>
      <w:r>
        <w:rPr>
          <w:lang w:val="es-ES"/>
        </w:rPr>
        <w:t xml:space="preserve"> </w:t>
      </w:r>
      <w:r>
        <w:rPr>
          <w:rFonts w:cs="Sylfaen"/>
        </w:rPr>
        <w:t>ծառայու</w:t>
      </w:r>
      <w:r>
        <w:rPr>
          <w:rFonts w:cs="Sylfaen"/>
          <w:lang w:val="es-ES"/>
        </w:rPr>
        <w:softHyphen/>
      </w:r>
      <w:r>
        <w:rPr>
          <w:rFonts w:cs="Sylfaen"/>
        </w:rPr>
        <w:t>թ</w:t>
      </w:r>
      <w:r>
        <w:rPr>
          <w:rFonts w:cs="Sylfaen"/>
          <w:lang w:val="es-ES"/>
        </w:rPr>
        <w:softHyphen/>
      </w:r>
      <w:r>
        <w:rPr>
          <w:rFonts w:cs="Sylfaen"/>
        </w:rPr>
        <w:t>յուն</w:t>
      </w:r>
      <w:r>
        <w:rPr>
          <w:rFonts w:cs="Sylfaen"/>
          <w:lang w:val="es-ES"/>
        </w:rPr>
        <w:softHyphen/>
      </w:r>
      <w:r>
        <w:rPr>
          <w:rFonts w:cs="Sylfaen"/>
        </w:rPr>
        <w:t>նե</w:t>
      </w:r>
      <w:r>
        <w:rPr>
          <w:rFonts w:cs="Sylfaen"/>
          <w:lang w:val="es-ES"/>
        </w:rPr>
        <w:softHyphen/>
      </w:r>
      <w:r>
        <w:rPr>
          <w:rFonts w:cs="Sylfaen"/>
        </w:rPr>
        <w:t>րը</w:t>
      </w:r>
      <w:r>
        <w:rPr>
          <w:lang w:val="es-ES"/>
        </w:rPr>
        <w:t xml:space="preserve"> </w:t>
      </w:r>
      <w:r>
        <w:rPr>
          <w:rFonts w:cs="Sylfaen"/>
        </w:rPr>
        <w:t>բնակչության</w:t>
      </w:r>
      <w:r>
        <w:rPr>
          <w:lang w:val="es-ES"/>
        </w:rPr>
        <w:t xml:space="preserve"> </w:t>
      </w:r>
      <w:r>
        <w:rPr>
          <w:rFonts w:cs="Sylfaen"/>
        </w:rPr>
        <w:t>հա</w:t>
      </w:r>
      <w:r>
        <w:rPr>
          <w:rFonts w:cs="Sylfaen"/>
          <w:lang w:val="es-ES"/>
        </w:rPr>
        <w:softHyphen/>
      </w:r>
      <w:r>
        <w:rPr>
          <w:rFonts w:cs="Sylfaen"/>
        </w:rPr>
        <w:t>մար</w:t>
      </w:r>
      <w:r>
        <w:rPr>
          <w:lang w:val="es-ES"/>
        </w:rPr>
        <w:t xml:space="preserve"> </w:t>
      </w:r>
      <w:r>
        <w:rPr>
          <w:rFonts w:cs="Sylfaen"/>
        </w:rPr>
        <w:t>ավելի</w:t>
      </w:r>
      <w:r>
        <w:rPr>
          <w:lang w:val="es-ES"/>
        </w:rPr>
        <w:t xml:space="preserve"> </w:t>
      </w:r>
      <w:r>
        <w:rPr>
          <w:rFonts w:cs="Sylfaen"/>
        </w:rPr>
        <w:t>մատչելի</w:t>
      </w:r>
      <w:r>
        <w:rPr>
          <w:lang w:val="es-ES"/>
        </w:rPr>
        <w:t xml:space="preserve"> </w:t>
      </w:r>
      <w:r>
        <w:rPr>
          <w:rFonts w:cs="Sylfaen"/>
        </w:rPr>
        <w:t>դարձնելու</w:t>
      </w:r>
      <w:r>
        <w:rPr>
          <w:lang w:val="es-ES"/>
        </w:rPr>
        <w:t xml:space="preserve"> </w:t>
      </w:r>
      <w:r>
        <w:rPr>
          <w:rFonts w:cs="Sylfaen"/>
        </w:rPr>
        <w:t>նպատակով</w:t>
      </w:r>
      <w:r>
        <w:rPr>
          <w:lang w:val="es-ES"/>
        </w:rPr>
        <w:t xml:space="preserve"> </w:t>
      </w:r>
      <w:r>
        <w:rPr>
          <w:rFonts w:cs="Sylfaen"/>
        </w:rPr>
        <w:t>իրակա</w:t>
      </w:r>
      <w:r>
        <w:rPr>
          <w:rFonts w:cs="Sylfaen"/>
          <w:lang w:val="es-ES"/>
        </w:rPr>
        <w:softHyphen/>
      </w:r>
      <w:r>
        <w:rPr>
          <w:rFonts w:cs="Sylfaen"/>
        </w:rPr>
        <w:t>նաց</w:t>
      </w:r>
      <w:r>
        <w:rPr>
          <w:rFonts w:cs="Sylfaen"/>
          <w:lang w:val="es-ES"/>
        </w:rPr>
        <w:softHyphen/>
      </w:r>
      <w:r>
        <w:rPr>
          <w:rFonts w:cs="Sylfaen"/>
        </w:rPr>
        <w:t>վող</w:t>
      </w:r>
      <w:r>
        <w:rPr>
          <w:rFonts w:cs="Sylfaen"/>
          <w:lang w:val="es-ES"/>
        </w:rPr>
        <w:t xml:space="preserve"> </w:t>
      </w:r>
      <w:r>
        <w:rPr>
          <w:rFonts w:cs="Sylfaen"/>
        </w:rPr>
        <w:t>բարեփո</w:t>
      </w:r>
      <w:r>
        <w:rPr>
          <w:rFonts w:cs="Sylfaen"/>
          <w:lang w:val="es-ES"/>
        </w:rPr>
        <w:softHyphen/>
      </w:r>
      <w:r>
        <w:rPr>
          <w:rFonts w:cs="Sylfaen"/>
        </w:rPr>
        <w:t>խում</w:t>
      </w:r>
      <w:r>
        <w:rPr>
          <w:rFonts w:cs="Sylfaen"/>
          <w:lang w:val="es-ES"/>
        </w:rPr>
        <w:softHyphen/>
      </w:r>
      <w:r>
        <w:rPr>
          <w:rFonts w:cs="Sylfaen"/>
        </w:rPr>
        <w:t>ների</w:t>
      </w:r>
      <w:r>
        <w:rPr>
          <w:rFonts w:cs="Sylfaen"/>
          <w:lang w:val="es-ES"/>
        </w:rPr>
        <w:t xml:space="preserve"> </w:t>
      </w:r>
      <w:r>
        <w:rPr>
          <w:rFonts w:cs="Sylfaen"/>
        </w:rPr>
        <w:t>ֆի</w:t>
      </w:r>
      <w:r>
        <w:rPr>
          <w:rFonts w:cs="Sylfaen"/>
          <w:lang w:val="es-ES"/>
        </w:rPr>
        <w:softHyphen/>
      </w:r>
      <w:r>
        <w:rPr>
          <w:rFonts w:cs="Sylfaen"/>
        </w:rPr>
        <w:t>նանսական</w:t>
      </w:r>
      <w:r>
        <w:rPr>
          <w:lang w:val="es-ES"/>
        </w:rPr>
        <w:t xml:space="preserve"> </w:t>
      </w:r>
      <w:r>
        <w:rPr>
          <w:rFonts w:cs="Sylfaen"/>
        </w:rPr>
        <w:t>ապահովում</w:t>
      </w:r>
      <w:r>
        <w:rPr>
          <w:lang w:val="es-ES"/>
        </w:rPr>
        <w:t xml:space="preserve">, </w:t>
      </w:r>
    </w:p>
    <w:p w14:paraId="639839A9" w14:textId="77777777" w:rsidR="00DA0E15" w:rsidRDefault="00362131">
      <w:pPr>
        <w:spacing w:line="276" w:lineRule="auto"/>
        <w:ind w:firstLine="360"/>
        <w:rPr>
          <w:lang w:val="es-ES"/>
        </w:rPr>
      </w:pPr>
      <w:r>
        <w:rPr>
          <w:lang w:val="es-ES"/>
        </w:rPr>
        <w:t>(ii)</w:t>
      </w:r>
      <w:r>
        <w:rPr>
          <w:lang w:val="es-ES"/>
        </w:rPr>
        <w:tab/>
      </w:r>
      <w:r>
        <w:rPr>
          <w:rFonts w:cs="Sylfaen"/>
        </w:rPr>
        <w:t>հանրապետության</w:t>
      </w:r>
      <w:r>
        <w:rPr>
          <w:lang w:val="es-ES"/>
        </w:rPr>
        <w:t xml:space="preserve"> </w:t>
      </w:r>
      <w:r>
        <w:rPr>
          <w:rFonts w:cs="Sylfaen"/>
        </w:rPr>
        <w:t>տարածքային</w:t>
      </w:r>
      <w:r>
        <w:rPr>
          <w:lang w:val="es-ES"/>
        </w:rPr>
        <w:t xml:space="preserve"> </w:t>
      </w:r>
      <w:r>
        <w:rPr>
          <w:rFonts w:cs="Sylfaen"/>
        </w:rPr>
        <w:t>ամբողջականությունը</w:t>
      </w:r>
      <w:r>
        <w:rPr>
          <w:lang w:val="es-ES"/>
        </w:rPr>
        <w:t xml:space="preserve">, </w:t>
      </w:r>
      <w:r>
        <w:rPr>
          <w:rFonts w:cs="Sylfaen"/>
        </w:rPr>
        <w:t>տարածաշրջանում</w:t>
      </w:r>
      <w:r>
        <w:rPr>
          <w:lang w:val="es-ES"/>
        </w:rPr>
        <w:t xml:space="preserve"> </w:t>
      </w:r>
      <w:r>
        <w:rPr>
          <w:rFonts w:cs="Sylfaen"/>
        </w:rPr>
        <w:t>կայու</w:t>
      </w:r>
      <w:r>
        <w:rPr>
          <w:rFonts w:cs="Sylfaen"/>
          <w:lang w:val="es-ES"/>
        </w:rPr>
        <w:softHyphen/>
      </w:r>
      <w:r>
        <w:rPr>
          <w:rFonts w:cs="Sylfaen"/>
        </w:rPr>
        <w:t>նու</w:t>
      </w:r>
      <w:r>
        <w:rPr>
          <w:rFonts w:cs="Sylfaen"/>
          <w:lang w:val="es-ES"/>
        </w:rPr>
        <w:softHyphen/>
      </w:r>
      <w:r>
        <w:rPr>
          <w:rFonts w:cs="Sylfaen"/>
        </w:rPr>
        <w:t>թյունը</w:t>
      </w:r>
      <w:r>
        <w:rPr>
          <w:lang w:val="es-ES"/>
        </w:rPr>
        <w:t xml:space="preserve"> </w:t>
      </w:r>
      <w:r>
        <w:rPr>
          <w:rFonts w:cs="Sylfaen"/>
        </w:rPr>
        <w:t>և</w:t>
      </w:r>
      <w:r>
        <w:rPr>
          <w:lang w:val="es-ES"/>
        </w:rPr>
        <w:t xml:space="preserve"> </w:t>
      </w:r>
      <w:r>
        <w:rPr>
          <w:rFonts w:cs="Sylfaen"/>
        </w:rPr>
        <w:t>Ղա</w:t>
      </w:r>
      <w:r>
        <w:rPr>
          <w:rFonts w:cs="Sylfaen"/>
          <w:lang w:val="es-ES"/>
        </w:rPr>
        <w:softHyphen/>
      </w:r>
      <w:r>
        <w:rPr>
          <w:rFonts w:cs="Sylfaen"/>
          <w:lang w:val="es-ES"/>
        </w:rPr>
        <w:softHyphen/>
      </w:r>
      <w:r>
        <w:rPr>
          <w:rFonts w:cs="Sylfaen"/>
        </w:rPr>
        <w:t>րա</w:t>
      </w:r>
      <w:r>
        <w:rPr>
          <w:rFonts w:cs="Sylfaen"/>
          <w:lang w:val="es-ES"/>
        </w:rPr>
        <w:softHyphen/>
      </w:r>
      <w:r>
        <w:rPr>
          <w:rFonts w:cs="Sylfaen"/>
        </w:rPr>
        <w:t>բաղյան</w:t>
      </w:r>
      <w:r>
        <w:rPr>
          <w:lang w:val="es-ES"/>
        </w:rPr>
        <w:t xml:space="preserve"> </w:t>
      </w:r>
      <w:r>
        <w:rPr>
          <w:rFonts w:cs="Sylfaen"/>
        </w:rPr>
        <w:t>հակամարտության</w:t>
      </w:r>
      <w:r>
        <w:rPr>
          <w:lang w:val="es-ES"/>
        </w:rPr>
        <w:t xml:space="preserve"> </w:t>
      </w:r>
      <w:r>
        <w:rPr>
          <w:rFonts w:cs="Sylfaen"/>
        </w:rPr>
        <w:t>կողմերի</w:t>
      </w:r>
      <w:r>
        <w:rPr>
          <w:lang w:val="es-ES"/>
        </w:rPr>
        <w:t xml:space="preserve"> </w:t>
      </w:r>
      <w:r>
        <w:rPr>
          <w:rFonts w:cs="Sylfaen"/>
        </w:rPr>
        <w:t>ուժերի</w:t>
      </w:r>
      <w:r>
        <w:rPr>
          <w:lang w:val="es-ES"/>
        </w:rPr>
        <w:t xml:space="preserve"> </w:t>
      </w:r>
      <w:r>
        <w:rPr>
          <w:rFonts w:cs="Sylfaen"/>
        </w:rPr>
        <w:t>հավասարակշռությունը</w:t>
      </w:r>
      <w:r>
        <w:rPr>
          <w:lang w:val="es-ES"/>
        </w:rPr>
        <w:t xml:space="preserve"> </w:t>
      </w:r>
      <w:r>
        <w:rPr>
          <w:rFonts w:cs="Sylfaen"/>
        </w:rPr>
        <w:t>պահպա</w:t>
      </w:r>
      <w:r>
        <w:rPr>
          <w:rFonts w:cs="Sylfaen"/>
          <w:lang w:val="es-ES"/>
        </w:rPr>
        <w:softHyphen/>
      </w:r>
      <w:r>
        <w:rPr>
          <w:rFonts w:cs="Sylfaen"/>
        </w:rPr>
        <w:t>նելու</w:t>
      </w:r>
      <w:r>
        <w:rPr>
          <w:lang w:val="es-ES"/>
        </w:rPr>
        <w:t xml:space="preserve"> </w:t>
      </w:r>
      <w:r>
        <w:rPr>
          <w:rFonts w:cs="Sylfaen"/>
        </w:rPr>
        <w:t>նպա</w:t>
      </w:r>
      <w:r>
        <w:rPr>
          <w:rFonts w:cs="Sylfaen"/>
          <w:lang w:val="es-ES"/>
        </w:rPr>
        <w:softHyphen/>
      </w:r>
      <w:r>
        <w:rPr>
          <w:rFonts w:cs="Sylfaen"/>
        </w:rPr>
        <w:t>տակով</w:t>
      </w:r>
      <w:r>
        <w:rPr>
          <w:lang w:val="es-ES"/>
        </w:rPr>
        <w:t xml:space="preserve"> </w:t>
      </w:r>
      <w:r>
        <w:rPr>
          <w:rFonts w:cs="Sylfaen"/>
        </w:rPr>
        <w:t>պաշտ</w:t>
      </w:r>
      <w:r>
        <w:rPr>
          <w:rFonts w:cs="Sylfaen"/>
          <w:lang w:val="es-ES"/>
        </w:rPr>
        <w:softHyphen/>
      </w:r>
      <w:r>
        <w:rPr>
          <w:rFonts w:cs="Sylfaen"/>
          <w:lang w:val="es-ES"/>
        </w:rPr>
        <w:softHyphen/>
      </w:r>
      <w:r>
        <w:rPr>
          <w:rFonts w:cs="Sylfaen"/>
          <w:lang w:val="es-ES"/>
        </w:rPr>
        <w:softHyphen/>
      </w:r>
      <w:r>
        <w:rPr>
          <w:rFonts w:cs="Sylfaen"/>
        </w:rPr>
        <w:t>պանության</w:t>
      </w:r>
      <w:r>
        <w:rPr>
          <w:lang w:val="es-ES"/>
        </w:rPr>
        <w:t xml:space="preserve"> </w:t>
      </w:r>
      <w:r>
        <w:rPr>
          <w:rFonts w:cs="Sylfaen"/>
        </w:rPr>
        <w:t>և</w:t>
      </w:r>
      <w:r>
        <w:rPr>
          <w:lang w:val="es-ES"/>
        </w:rPr>
        <w:t xml:space="preserve"> </w:t>
      </w:r>
      <w:r>
        <w:rPr>
          <w:rFonts w:cs="Sylfaen"/>
        </w:rPr>
        <w:t>ազգային</w:t>
      </w:r>
      <w:r>
        <w:rPr>
          <w:lang w:val="es-ES"/>
        </w:rPr>
        <w:t xml:space="preserve"> </w:t>
      </w:r>
      <w:r>
        <w:rPr>
          <w:rFonts w:cs="Sylfaen"/>
        </w:rPr>
        <w:t>անվտանգության</w:t>
      </w:r>
      <w:r>
        <w:rPr>
          <w:lang w:val="es-ES"/>
        </w:rPr>
        <w:t xml:space="preserve"> </w:t>
      </w:r>
      <w:r>
        <w:rPr>
          <w:rFonts w:cs="Sylfaen"/>
        </w:rPr>
        <w:t>կառույցների</w:t>
      </w:r>
      <w:r>
        <w:rPr>
          <w:lang w:val="es-ES"/>
        </w:rPr>
        <w:t xml:space="preserve"> </w:t>
      </w:r>
      <w:r>
        <w:rPr>
          <w:rFonts w:cs="Sylfaen"/>
        </w:rPr>
        <w:t>կենսագործու</w:t>
      </w:r>
      <w:r>
        <w:rPr>
          <w:rFonts w:cs="Sylfaen"/>
          <w:lang w:val="es-ES"/>
        </w:rPr>
        <w:softHyphen/>
      </w:r>
      <w:r>
        <w:rPr>
          <w:rFonts w:cs="Sylfaen"/>
        </w:rPr>
        <w:t>նեության</w:t>
      </w:r>
      <w:r>
        <w:rPr>
          <w:lang w:val="es-ES"/>
        </w:rPr>
        <w:t xml:space="preserve"> </w:t>
      </w:r>
      <w:r>
        <w:rPr>
          <w:rFonts w:cs="Sylfaen"/>
        </w:rPr>
        <w:t>համար</w:t>
      </w:r>
      <w:r>
        <w:rPr>
          <w:lang w:val="es-ES"/>
        </w:rPr>
        <w:t xml:space="preserve"> </w:t>
      </w:r>
      <w:r>
        <w:rPr>
          <w:rFonts w:cs="Sylfaen"/>
        </w:rPr>
        <w:t>ան</w:t>
      </w:r>
      <w:r>
        <w:rPr>
          <w:rFonts w:cs="Sylfaen"/>
          <w:lang w:val="es-ES"/>
        </w:rPr>
        <w:softHyphen/>
      </w:r>
      <w:r>
        <w:rPr>
          <w:rFonts w:cs="Sylfaen"/>
        </w:rPr>
        <w:t>հրաժեշտ</w:t>
      </w:r>
      <w:r>
        <w:rPr>
          <w:lang w:val="es-ES"/>
        </w:rPr>
        <w:t xml:space="preserve"> </w:t>
      </w:r>
      <w:r>
        <w:rPr>
          <w:rFonts w:cs="Sylfaen"/>
        </w:rPr>
        <w:t>ֆի</w:t>
      </w:r>
      <w:r>
        <w:rPr>
          <w:rFonts w:cs="Sylfaen"/>
          <w:lang w:val="es-ES"/>
        </w:rPr>
        <w:softHyphen/>
      </w:r>
      <w:r>
        <w:rPr>
          <w:rFonts w:cs="Sylfaen"/>
        </w:rPr>
        <w:t>նան</w:t>
      </w:r>
      <w:r>
        <w:rPr>
          <w:rFonts w:cs="Sylfaen"/>
          <w:lang w:val="es-ES"/>
        </w:rPr>
        <w:softHyphen/>
      </w:r>
      <w:r>
        <w:rPr>
          <w:rFonts w:cs="Sylfaen"/>
        </w:rPr>
        <w:t>սական</w:t>
      </w:r>
      <w:r>
        <w:rPr>
          <w:lang w:val="es-ES"/>
        </w:rPr>
        <w:t xml:space="preserve"> </w:t>
      </w:r>
      <w:r>
        <w:rPr>
          <w:rFonts w:cs="Sylfaen"/>
        </w:rPr>
        <w:t>ապահովում</w:t>
      </w:r>
      <w:r>
        <w:rPr>
          <w:lang w:val="es-ES"/>
        </w:rPr>
        <w:t xml:space="preserve">, </w:t>
      </w:r>
    </w:p>
    <w:p w14:paraId="61E90573" w14:textId="77777777" w:rsidR="00DA0E15" w:rsidRDefault="00362131">
      <w:pPr>
        <w:spacing w:line="276" w:lineRule="auto"/>
        <w:ind w:firstLine="360"/>
        <w:rPr>
          <w:lang w:val="es-ES"/>
        </w:rPr>
      </w:pPr>
      <w:r>
        <w:rPr>
          <w:lang w:val="es-ES"/>
        </w:rPr>
        <w:t>(iii)</w:t>
      </w:r>
      <w:r>
        <w:rPr>
          <w:lang w:val="es-ES"/>
        </w:rPr>
        <w:tab/>
        <w:t xml:space="preserve"> </w:t>
      </w:r>
      <w:r>
        <w:rPr>
          <w:rFonts w:cs="Sylfaen"/>
        </w:rPr>
        <w:t>տնտեսության</w:t>
      </w:r>
      <w:r>
        <w:rPr>
          <w:lang w:val="es-ES"/>
        </w:rPr>
        <w:t xml:space="preserve"> </w:t>
      </w:r>
      <w:r>
        <w:rPr>
          <w:rFonts w:cs="Sylfaen"/>
        </w:rPr>
        <w:t>առանձին</w:t>
      </w:r>
      <w:r>
        <w:rPr>
          <w:lang w:val="es-ES"/>
        </w:rPr>
        <w:t xml:space="preserve"> </w:t>
      </w:r>
      <w:r>
        <w:rPr>
          <w:rFonts w:cs="Sylfaen"/>
        </w:rPr>
        <w:t>ոլորտներում</w:t>
      </w:r>
      <w:r>
        <w:rPr>
          <w:lang w:val="es-ES"/>
        </w:rPr>
        <w:t xml:space="preserve"> (</w:t>
      </w:r>
      <w:r>
        <w:rPr>
          <w:rFonts w:cs="Sylfaen"/>
        </w:rPr>
        <w:t>մասնավորապես՝</w:t>
      </w:r>
      <w:r>
        <w:rPr>
          <w:lang w:val="es-ES"/>
        </w:rPr>
        <w:t xml:space="preserve"> </w:t>
      </w:r>
      <w:r>
        <w:rPr>
          <w:rFonts w:cs="Sylfaen"/>
        </w:rPr>
        <w:t>գյուղատնտեսություն</w:t>
      </w:r>
      <w:r>
        <w:rPr>
          <w:lang w:val="es-ES"/>
        </w:rPr>
        <w:t xml:space="preserve">, </w:t>
      </w:r>
      <w:r>
        <w:rPr>
          <w:rFonts w:cs="Sylfaen"/>
        </w:rPr>
        <w:t>ջրային</w:t>
      </w:r>
      <w:r>
        <w:rPr>
          <w:lang w:val="es-ES"/>
        </w:rPr>
        <w:t xml:space="preserve"> </w:t>
      </w:r>
      <w:r>
        <w:rPr>
          <w:rFonts w:cs="Sylfaen"/>
        </w:rPr>
        <w:t>տնտե</w:t>
      </w:r>
      <w:r>
        <w:rPr>
          <w:rFonts w:cs="Sylfaen"/>
          <w:lang w:val="es-ES"/>
        </w:rPr>
        <w:softHyphen/>
      </w:r>
      <w:r>
        <w:rPr>
          <w:rFonts w:cs="Sylfaen"/>
          <w:lang w:val="es-ES"/>
        </w:rPr>
        <w:softHyphen/>
      </w:r>
      <w:r>
        <w:rPr>
          <w:rFonts w:cs="Sylfaen"/>
        </w:rPr>
        <w:t>սու</w:t>
      </w:r>
      <w:r>
        <w:rPr>
          <w:rFonts w:cs="Sylfaen"/>
          <w:lang w:val="es-ES"/>
        </w:rPr>
        <w:softHyphen/>
      </w:r>
      <w:r>
        <w:rPr>
          <w:rFonts w:cs="Sylfaen"/>
        </w:rPr>
        <w:t>թյուն</w:t>
      </w:r>
      <w:r>
        <w:rPr>
          <w:lang w:val="es-ES"/>
        </w:rPr>
        <w:t xml:space="preserve">, </w:t>
      </w:r>
      <w:r>
        <w:rPr>
          <w:rFonts w:cs="Sylfaen"/>
        </w:rPr>
        <w:t>ճանապարհային</w:t>
      </w:r>
      <w:r>
        <w:rPr>
          <w:lang w:val="es-ES"/>
        </w:rPr>
        <w:t xml:space="preserve"> </w:t>
      </w:r>
      <w:r>
        <w:rPr>
          <w:rFonts w:cs="Sylfaen"/>
        </w:rPr>
        <w:t>տնտեսություն</w:t>
      </w:r>
      <w:r>
        <w:rPr>
          <w:lang w:val="es-ES"/>
        </w:rPr>
        <w:t xml:space="preserve"> </w:t>
      </w:r>
      <w:r>
        <w:rPr>
          <w:rFonts w:cs="Sylfaen"/>
        </w:rPr>
        <w:t>և</w:t>
      </w:r>
      <w:r>
        <w:rPr>
          <w:lang w:val="es-ES"/>
        </w:rPr>
        <w:t xml:space="preserve"> </w:t>
      </w:r>
      <w:r>
        <w:rPr>
          <w:rFonts w:cs="Sylfaen"/>
        </w:rPr>
        <w:t>էներգետիկա</w:t>
      </w:r>
      <w:r>
        <w:rPr>
          <w:lang w:val="es-ES"/>
        </w:rPr>
        <w:t xml:space="preserve">) </w:t>
      </w:r>
      <w:r>
        <w:rPr>
          <w:rFonts w:cs="Sylfaen"/>
        </w:rPr>
        <w:t>ենթակառուցվածքների</w:t>
      </w:r>
      <w:r>
        <w:rPr>
          <w:lang w:val="es-ES"/>
        </w:rPr>
        <w:t xml:space="preserve"> </w:t>
      </w:r>
      <w:r>
        <w:rPr>
          <w:rFonts w:cs="Sylfaen"/>
        </w:rPr>
        <w:t>վերա</w:t>
      </w:r>
      <w:r>
        <w:rPr>
          <w:rFonts w:cs="Sylfaen"/>
          <w:lang w:val="es-ES"/>
        </w:rPr>
        <w:softHyphen/>
      </w:r>
      <w:r>
        <w:rPr>
          <w:rFonts w:cs="Sylfaen"/>
        </w:rPr>
        <w:t>կանգնման</w:t>
      </w:r>
      <w:r>
        <w:rPr>
          <w:lang w:val="es-ES"/>
        </w:rPr>
        <w:t xml:space="preserve"> </w:t>
      </w:r>
      <w:r>
        <w:rPr>
          <w:rFonts w:cs="Sylfaen"/>
        </w:rPr>
        <w:t>և</w:t>
      </w:r>
      <w:r>
        <w:rPr>
          <w:lang w:val="es-ES"/>
        </w:rPr>
        <w:t xml:space="preserve"> </w:t>
      </w:r>
      <w:r>
        <w:rPr>
          <w:rFonts w:cs="Sylfaen"/>
        </w:rPr>
        <w:t>զար</w:t>
      </w:r>
      <w:r>
        <w:rPr>
          <w:rFonts w:cs="Sylfaen"/>
          <w:lang w:val="es-ES"/>
        </w:rPr>
        <w:softHyphen/>
      </w:r>
      <w:r>
        <w:rPr>
          <w:rFonts w:cs="Sylfaen"/>
        </w:rPr>
        <w:t>գաց</w:t>
      </w:r>
      <w:r>
        <w:rPr>
          <w:rFonts w:cs="Sylfaen"/>
          <w:lang w:val="es-ES"/>
        </w:rPr>
        <w:softHyphen/>
      </w:r>
      <w:r>
        <w:rPr>
          <w:rFonts w:cs="Sylfaen"/>
        </w:rPr>
        <w:t>ման</w:t>
      </w:r>
      <w:r>
        <w:rPr>
          <w:lang w:val="es-ES"/>
        </w:rPr>
        <w:t xml:space="preserve"> </w:t>
      </w:r>
      <w:r>
        <w:rPr>
          <w:rFonts w:cs="Sylfaen"/>
        </w:rPr>
        <w:t>ծրագրերի</w:t>
      </w:r>
      <w:r>
        <w:rPr>
          <w:lang w:val="es-ES"/>
        </w:rPr>
        <w:t xml:space="preserve"> </w:t>
      </w:r>
      <w:r>
        <w:rPr>
          <w:rFonts w:cs="Sylfaen"/>
        </w:rPr>
        <w:t>իրականացում</w:t>
      </w:r>
      <w:r>
        <w:rPr>
          <w:lang w:val="es-ES"/>
        </w:rPr>
        <w:t xml:space="preserve">: </w:t>
      </w:r>
    </w:p>
    <w:p w14:paraId="4382ECB0" w14:textId="77777777" w:rsidR="00DA0E15" w:rsidRDefault="00DA0E15">
      <w:pPr>
        <w:spacing w:line="276" w:lineRule="auto"/>
        <w:ind w:firstLine="360"/>
        <w:rPr>
          <w:lang w:val="es-ES"/>
        </w:rPr>
      </w:pPr>
    </w:p>
    <w:p w14:paraId="10BEE299" w14:textId="77777777" w:rsidR="00DA0E15" w:rsidRPr="00FA0954" w:rsidRDefault="00DA0E15">
      <w:pPr>
        <w:pStyle w:val="Heading3"/>
        <w:spacing w:before="0" w:after="120"/>
        <w:rPr>
          <w:lang w:val="es-ES"/>
        </w:rPr>
      </w:pPr>
      <w:bookmarkStart w:id="555" w:name="_Toc45637517"/>
      <w:bookmarkStart w:id="556" w:name="_Toc45838541"/>
      <w:bookmarkStart w:id="557" w:name="_Toc170376085"/>
      <w:bookmarkStart w:id="558" w:name="_Toc202428367"/>
      <w:bookmarkStart w:id="559" w:name="_Toc266780804"/>
      <w:bookmarkStart w:id="560" w:name="_Toc296702366"/>
    </w:p>
    <w:p w14:paraId="0607C613" w14:textId="77777777" w:rsidR="00DA0E15" w:rsidRDefault="00362131">
      <w:pPr>
        <w:pStyle w:val="Heading3"/>
        <w:spacing w:before="0" w:after="120"/>
      </w:pPr>
      <w:bookmarkStart w:id="561" w:name="_Toc77837870"/>
      <w:r>
        <w:rPr>
          <w:rFonts w:eastAsia="Times New Roman" w:cs="Times New Roman"/>
          <w:caps w:val="0"/>
          <w:color w:val="1F497D" w:themeColor="text2"/>
          <w:sz w:val="28"/>
          <w:szCs w:val="28"/>
        </w:rPr>
        <w:t>1.</w:t>
      </w:r>
      <w:r>
        <w:rPr>
          <w:rFonts w:hint="eastAsia"/>
        </w:rPr>
        <w:t xml:space="preserve"> </w:t>
      </w:r>
      <w:r>
        <w:rPr>
          <w:rFonts w:eastAsia="Times New Roman" w:cs="Times New Roman"/>
          <w:caps w:val="0"/>
          <w:color w:val="1F497D" w:themeColor="text2"/>
          <w:sz w:val="28"/>
          <w:szCs w:val="28"/>
        </w:rPr>
        <w:t>ԿՐԹՈՒԹՅՈԻՆ, ԳԻՏՈՒԹՅՈԻՆ, ՄՇԱԿՈՒՅԹ, ՍՊՈՐՏ ԵՎ ԵՐԻՏԱՍԱՐԴՈՒԹՅՈՒՆ</w:t>
      </w:r>
      <w:bookmarkEnd w:id="555"/>
      <w:bookmarkEnd w:id="556"/>
      <w:bookmarkEnd w:id="561"/>
    </w:p>
    <w:p w14:paraId="73468D1B" w14:textId="77777777" w:rsidR="00DA0E15" w:rsidRDefault="00362131">
      <w:pPr>
        <w:tabs>
          <w:tab w:val="left" w:pos="851"/>
          <w:tab w:val="left" w:pos="993"/>
        </w:tabs>
        <w:spacing w:line="276" w:lineRule="auto"/>
        <w:rPr>
          <w:rFonts w:cs="GHEA Grapalat"/>
          <w:b/>
          <w:lang w:val="hy-AM"/>
        </w:rPr>
      </w:pPr>
      <w:bookmarkStart w:id="562" w:name="_Toc424298414"/>
      <w:bookmarkStart w:id="563" w:name="_Toc519513641"/>
      <w:bookmarkStart w:id="564" w:name="_Toc13837338"/>
      <w:r>
        <w:rPr>
          <w:rFonts w:cs="GHEA Grapalat"/>
          <w:b/>
          <w:lang w:val="hy-AM"/>
        </w:rPr>
        <w:t>Կրթության ոլորտ</w:t>
      </w:r>
    </w:p>
    <w:p w14:paraId="74A04C93" w14:textId="77777777" w:rsidR="00DA0E15" w:rsidRDefault="00362131">
      <w:pPr>
        <w:tabs>
          <w:tab w:val="left" w:pos="851"/>
          <w:tab w:val="left" w:pos="993"/>
        </w:tabs>
        <w:spacing w:line="276" w:lineRule="auto"/>
        <w:rPr>
          <w:rFonts w:cs="Arial Unicode"/>
          <w:color w:val="000000"/>
          <w:shd w:val="clear" w:color="auto" w:fill="FFFFFF"/>
          <w:lang w:val="hy-AM"/>
        </w:rPr>
      </w:pPr>
      <w:r>
        <w:rPr>
          <w:rFonts w:cs="GHEA Grapalat"/>
          <w:lang w:val="hy-AM"/>
        </w:rPr>
        <w:t xml:space="preserve">Համաձայն ՀՀ կառավարության 2019 թվականի փետրվարի 8-ի </w:t>
      </w:r>
      <w:r>
        <w:rPr>
          <w:rFonts w:ascii="Arial Unicode" w:hAnsi="Arial Unicode"/>
          <w:color w:val="000000"/>
          <w:shd w:val="clear" w:color="auto" w:fill="FFFFFF"/>
          <w:lang w:val="hy-AM"/>
        </w:rPr>
        <w:t xml:space="preserve">N </w:t>
      </w:r>
      <w:r>
        <w:rPr>
          <w:rFonts w:cs="GHEA Grapalat"/>
          <w:lang w:val="hy-AM"/>
        </w:rPr>
        <w:t xml:space="preserve">65-Ա որոշման 4.4-րդ կետի՝ </w:t>
      </w:r>
      <w:r>
        <w:rPr>
          <w:rFonts w:cs="Arial Unicode"/>
          <w:color w:val="000000"/>
          <w:shd w:val="clear" w:color="auto" w:fill="FFFFFF"/>
          <w:lang w:val="hy-AM"/>
        </w:rPr>
        <w:t xml:space="preserve">կառավարության համար գերակա խնդիր է կրթության զարգացումը, ինչի շնորհիվ է միայն հնարավոր հասնել կայուն ու ներառական զարգացման և համընդհանուր բարեկեցության: </w:t>
      </w:r>
      <w:r>
        <w:rPr>
          <w:rFonts w:cs="GHEA Grapalat"/>
          <w:lang w:val="hy-AM"/>
        </w:rPr>
        <w:t xml:space="preserve">Կրթության ոլորտը կարևոր դերակատարություն ունի ինչպես անհատի կայացման, այնպես էլ հասարակության սոցիալական և տնտեսական զարգացման բոլոր ոլորտներում: Դրանով է պայմանավորված, որ այն դասվում է կառավարության ծրագրի գերակայությունների շարքում: </w:t>
      </w:r>
    </w:p>
    <w:p w14:paraId="44A6A8B3" w14:textId="77777777" w:rsidR="00DA0E15" w:rsidRDefault="00362131">
      <w:pPr>
        <w:tabs>
          <w:tab w:val="left" w:pos="851"/>
          <w:tab w:val="left" w:pos="993"/>
        </w:tabs>
        <w:spacing w:line="276" w:lineRule="auto"/>
        <w:rPr>
          <w:rFonts w:cs="Arial Armenian"/>
          <w:lang w:val="hy-AM"/>
        </w:rPr>
      </w:pPr>
      <w:r>
        <w:rPr>
          <w:rFonts w:cs="Arial Armenian"/>
          <w:lang w:val="af-ZA"/>
        </w:rPr>
        <w:t xml:space="preserve">Կրթության </w:t>
      </w:r>
      <w:r>
        <w:rPr>
          <w:rFonts w:cs="Arial Armenian"/>
          <w:lang w:val="hy-AM"/>
        </w:rPr>
        <w:t xml:space="preserve">ոլորտի </w:t>
      </w:r>
      <w:r>
        <w:rPr>
          <w:rFonts w:cs="Arial Armenian"/>
          <w:lang w:val="af-ZA"/>
        </w:rPr>
        <w:t>գլխավոր</w:t>
      </w:r>
      <w:r>
        <w:rPr>
          <w:rFonts w:cs="Arial Armenian"/>
          <w:lang w:val="hy-AM"/>
        </w:rPr>
        <w:t xml:space="preserve"> հիմնախնդիրն է միջազգայնորեն ընդունված չափանիշներին համապատասխան որակի</w:t>
      </w:r>
      <w:r>
        <w:rPr>
          <w:rFonts w:cs="Arial Armenian"/>
          <w:lang w:val="af-ZA"/>
        </w:rPr>
        <w:t xml:space="preserve"> </w:t>
      </w:r>
      <w:r>
        <w:rPr>
          <w:rFonts w:cs="Arial Armenian"/>
          <w:lang w:val="hy-AM"/>
        </w:rPr>
        <w:t>ապահովումը: Այս տեսանկյունից ոլորտային քաղաքականությունը ներառում է 3 հիմնական ուղղություններ.</w:t>
      </w:r>
    </w:p>
    <w:p w14:paraId="48A2BA43" w14:textId="77777777" w:rsidR="00DA0E15" w:rsidRDefault="00362131">
      <w:pPr>
        <w:tabs>
          <w:tab w:val="left" w:pos="851"/>
          <w:tab w:val="left" w:pos="993"/>
        </w:tabs>
        <w:spacing w:line="276" w:lineRule="auto"/>
        <w:rPr>
          <w:rFonts w:cs="Arial Armenian"/>
          <w:lang w:val="hy-AM"/>
        </w:rPr>
      </w:pPr>
      <w:r>
        <w:rPr>
          <w:rFonts w:cs="Arial Armenian"/>
          <w:lang w:val="hy-AM"/>
        </w:rPr>
        <w:t>դասավանդող անձնակազմի, մասնավորապես՝ ուսուցիչների, մասնագիտական որակական բարելավումը: Մասնավորապես նախատեսվում է, որ դասավանդող ուսուցիչների առնվազն 46%-ը կանցնի ատեստավորում մասնագիտական նոր չափանիշներին համապատասխան,</w:t>
      </w:r>
    </w:p>
    <w:p w14:paraId="25D07103" w14:textId="77777777" w:rsidR="00DA0E15" w:rsidRDefault="00362131">
      <w:pPr>
        <w:tabs>
          <w:tab w:val="left" w:pos="851"/>
          <w:tab w:val="left" w:pos="993"/>
        </w:tabs>
        <w:spacing w:line="276" w:lineRule="auto"/>
        <w:rPr>
          <w:rFonts w:cs="Arial Armenian"/>
          <w:lang w:val="hy-AM"/>
        </w:rPr>
      </w:pPr>
      <w:r>
        <w:rPr>
          <w:rFonts w:cs="Arial Armenian"/>
          <w:lang w:val="hy-AM"/>
        </w:rPr>
        <w:t>կրթական ծրագրերի բովանդակային արդիականացումն ու համապատասխանեցումը աշխատաշուկայի և տնտեսության զարգացող պահանջներին: Հաստատված հանրակրթական պետական չափորոշչի հիման վրա կվերանայվեն առարկայական չափորոշիչները, ուսումնական պլանը և առարկայական ծրագրերը` նպատակ ունենալով խթանել սովորողների քննական մտածողությունը, նորարարությունը, վերլուծական և ստեղծագործական հմտությունները, առանձնակի ուշադրություն կհատկացվի STEM առարկաների և օտար լեզուների դասավանդմանը: Մասնագիտական կրթության ոլորտում կմշակվեն և կներդրվեն տնտեսության ժամանակակից պահանջներից բխող նոր մասնագիտությունների կրթական ծրագրեր՝ մեծացնելով շրջանավարտների մրցունակությունն աշխատաշուկայում, բարձրագույն կրթության ծրագրերում կխթանվի գիտահետազոտական աշխատանքների իրականացումը,</w:t>
      </w:r>
    </w:p>
    <w:p w14:paraId="488C3D4E" w14:textId="77777777" w:rsidR="00DA0E15" w:rsidRDefault="00362131">
      <w:pPr>
        <w:tabs>
          <w:tab w:val="left" w:pos="851"/>
          <w:tab w:val="left" w:pos="993"/>
        </w:tabs>
        <w:spacing w:line="276" w:lineRule="auto"/>
        <w:rPr>
          <w:rFonts w:cs="Arial Armenian"/>
          <w:lang w:val="af-ZA"/>
        </w:rPr>
      </w:pPr>
      <w:r>
        <w:rPr>
          <w:rFonts w:cs="Arial Armenian"/>
          <w:lang w:val="hy-AM"/>
        </w:rPr>
        <w:t>ուսումնական հաստատությունների արդիական նյութատեխնիկական հենքի  ապահովումը և սովորողակենտրոն միջավայրի ստեղծումը: Կշարունակվեն նախադպրոցական, դպրոցական և մասնագիտական ուսումնական հաստատությունների շենքերի վերանորոգման ու կառուցման աշխատանքները՝ ներառելով նաև գյուղական փոքրաթիվ աշակերտական համակազմ ունեցող դպրոցները: Միաժամանակ, 2023 թվականին բոլոր մարզերի հանրակրթական դպրոցներում կներդրվի «Կայուն դպրոցական սնունդ» ծրագիրը:</w:t>
      </w:r>
    </w:p>
    <w:p w14:paraId="4718C289" w14:textId="77777777" w:rsidR="00DA0E15" w:rsidRDefault="00362131">
      <w:pPr>
        <w:spacing w:line="276" w:lineRule="auto"/>
        <w:rPr>
          <w:rFonts w:cs="Arial Armenian"/>
          <w:lang w:val="af-ZA"/>
        </w:rPr>
      </w:pPr>
      <w:r>
        <w:rPr>
          <w:rFonts w:cs="Arial Armenian"/>
          <w:lang w:val="hy-AM"/>
        </w:rPr>
        <w:t>Կրթության ոլորտի հաջորդ կարևոր խնդիրն է մատչելիության ապահովումը</w:t>
      </w:r>
      <w:r>
        <w:rPr>
          <w:rFonts w:cs="Arial Armenian"/>
          <w:lang w:val="af-ZA"/>
        </w:rPr>
        <w:t xml:space="preserve">, </w:t>
      </w:r>
      <w:r>
        <w:rPr>
          <w:rFonts w:cs="Arial Armenian"/>
        </w:rPr>
        <w:t>որի</w:t>
      </w:r>
      <w:r>
        <w:rPr>
          <w:rFonts w:cs="Arial Armenian"/>
          <w:lang w:val="af-ZA"/>
        </w:rPr>
        <w:t xml:space="preserve"> </w:t>
      </w:r>
      <w:r>
        <w:rPr>
          <w:rFonts w:cs="Arial Armenian"/>
        </w:rPr>
        <w:t>ուղղությամբ</w:t>
      </w:r>
      <w:r>
        <w:rPr>
          <w:rFonts w:cs="Arial Armenian"/>
          <w:lang w:val="af-ZA"/>
        </w:rPr>
        <w:t xml:space="preserve"> </w:t>
      </w:r>
      <w:r>
        <w:rPr>
          <w:rFonts w:cs="Arial Armenian"/>
        </w:rPr>
        <w:t>նախատեսվում</w:t>
      </w:r>
      <w:r>
        <w:rPr>
          <w:rFonts w:cs="Arial Armenian"/>
          <w:lang w:val="af-ZA"/>
        </w:rPr>
        <w:t xml:space="preserve"> </w:t>
      </w:r>
      <w:r>
        <w:rPr>
          <w:rFonts w:cs="Arial Armenian"/>
        </w:rPr>
        <w:t>են</w:t>
      </w:r>
      <w:r>
        <w:rPr>
          <w:rFonts w:cs="Arial Armenian"/>
          <w:lang w:val="af-ZA"/>
        </w:rPr>
        <w:t xml:space="preserve"> </w:t>
      </w:r>
      <w:r>
        <w:rPr>
          <w:rFonts w:cs="Arial Armenian"/>
        </w:rPr>
        <w:t>հետևյալ</w:t>
      </w:r>
      <w:r>
        <w:rPr>
          <w:rFonts w:cs="Arial Armenian"/>
          <w:lang w:val="af-ZA"/>
        </w:rPr>
        <w:t xml:space="preserve"> </w:t>
      </w:r>
      <w:r>
        <w:rPr>
          <w:rFonts w:cs="Arial Armenian"/>
        </w:rPr>
        <w:t>միջոցառումները</w:t>
      </w:r>
      <w:r>
        <w:rPr>
          <w:rFonts w:cs="Arial Armenian"/>
          <w:lang w:val="af-ZA"/>
        </w:rPr>
        <w:t>.</w:t>
      </w:r>
    </w:p>
    <w:p w14:paraId="1BEBDC83" w14:textId="77777777" w:rsidR="00DA0E15" w:rsidRDefault="00362131" w:rsidP="00C0628C">
      <w:pPr>
        <w:numPr>
          <w:ilvl w:val="0"/>
          <w:numId w:val="16"/>
        </w:numPr>
        <w:spacing w:line="276" w:lineRule="auto"/>
        <w:contextualSpacing/>
        <w:rPr>
          <w:rFonts w:cs="Arial Armenian"/>
          <w:lang w:val="hy-AM"/>
        </w:rPr>
      </w:pPr>
      <w:r>
        <w:rPr>
          <w:rFonts w:cs="Arial Armenian"/>
          <w:lang w:val="hy-AM"/>
        </w:rPr>
        <w:t>կընդլայնվի</w:t>
      </w:r>
      <w:r>
        <w:rPr>
          <w:rFonts w:cs="Arial Armenian"/>
          <w:lang w:val="af-ZA"/>
        </w:rPr>
        <w:t xml:space="preserve"> </w:t>
      </w:r>
      <w:r>
        <w:rPr>
          <w:rFonts w:cs="Arial Armenian"/>
        </w:rPr>
        <w:t>ն</w:t>
      </w:r>
      <w:r>
        <w:rPr>
          <w:rFonts w:cs="Arial Armenian"/>
          <w:lang w:val="hy-AM"/>
        </w:rPr>
        <w:t>ախադպրոցական ծառայություններ</w:t>
      </w:r>
      <w:r>
        <w:rPr>
          <w:rFonts w:cs="Arial Armenian"/>
        </w:rPr>
        <w:t>ի</w:t>
      </w:r>
      <w:r>
        <w:rPr>
          <w:rFonts w:cs="Arial Armenian"/>
          <w:lang w:val="af-ZA"/>
        </w:rPr>
        <w:t xml:space="preserve"> </w:t>
      </w:r>
      <w:r>
        <w:rPr>
          <w:rFonts w:cs="Arial Armenian"/>
        </w:rPr>
        <w:t>մատուցման</w:t>
      </w:r>
      <w:r>
        <w:rPr>
          <w:rFonts w:cs="Arial Armenian"/>
          <w:lang w:val="af-ZA"/>
        </w:rPr>
        <w:t xml:space="preserve"> </w:t>
      </w:r>
      <w:r>
        <w:rPr>
          <w:rFonts w:cs="Arial Armenian"/>
        </w:rPr>
        <w:t>շրջանակը</w:t>
      </w:r>
      <w:r>
        <w:rPr>
          <w:rFonts w:cs="Arial Armenian"/>
          <w:lang w:val="af-ZA"/>
        </w:rPr>
        <w:t xml:space="preserve">, </w:t>
      </w:r>
      <w:r>
        <w:rPr>
          <w:rFonts w:cs="Arial Armenian"/>
          <w:lang w:val="hy-AM"/>
        </w:rPr>
        <w:t xml:space="preserve">համայնքներին ցուցաբերվող նպատակային օժանդակության շնորհիվ </w:t>
      </w:r>
      <w:r>
        <w:rPr>
          <w:rFonts w:cs="Arial Armenian"/>
        </w:rPr>
        <w:t>կմեծանա</w:t>
      </w:r>
      <w:r>
        <w:rPr>
          <w:rFonts w:cs="Arial Armenian"/>
          <w:lang w:val="hy-AM"/>
        </w:rPr>
        <w:t xml:space="preserve"> երեխաների ընդգրկվածությ</w:t>
      </w:r>
      <w:r>
        <w:rPr>
          <w:rFonts w:cs="Arial Armenian"/>
        </w:rPr>
        <w:t>ունը</w:t>
      </w:r>
      <w:r>
        <w:rPr>
          <w:rFonts w:cs="Arial Armenian"/>
          <w:lang w:val="af-ZA"/>
        </w:rPr>
        <w:t>,</w:t>
      </w:r>
      <w:r>
        <w:rPr>
          <w:rFonts w:cs="Arial Armenian"/>
          <w:lang w:val="hy-AM"/>
        </w:rPr>
        <w:t xml:space="preserve"> </w:t>
      </w:r>
    </w:p>
    <w:p w14:paraId="42773FCB" w14:textId="77777777" w:rsidR="00DA0E15" w:rsidRDefault="00362131" w:rsidP="00C0628C">
      <w:pPr>
        <w:numPr>
          <w:ilvl w:val="0"/>
          <w:numId w:val="16"/>
        </w:numPr>
        <w:spacing w:line="276" w:lineRule="auto"/>
        <w:contextualSpacing/>
        <w:rPr>
          <w:rFonts w:cs="Arial Armenian"/>
          <w:lang w:val="hy-AM"/>
        </w:rPr>
      </w:pPr>
      <w:r>
        <w:rPr>
          <w:rFonts w:cs="Arial Armenian"/>
          <w:lang w:val="hy-AM"/>
        </w:rPr>
        <w:t xml:space="preserve">մինչև 2022 թվականը բոլոր մարզերը կանցնեն համընդհանուր ներառական կրթության, մարզերում գործող հատուկ դպրոցները կվերակազմակերպվեն տարածքային մանկավարժահոգեբանական աջակցության կենտրոնների: Այն մարզերում, որտեղ չեն </w:t>
      </w:r>
      <w:r>
        <w:rPr>
          <w:rFonts w:cs="GHEA Grapalat"/>
          <w:lang w:val="hy-AM" w:eastAsia="ru-RU"/>
        </w:rPr>
        <w:t>գործում</w:t>
      </w:r>
      <w:r>
        <w:rPr>
          <w:rFonts w:cs="Arial Armenian"/>
          <w:lang w:val="hy-AM"/>
        </w:rPr>
        <w:t xml:space="preserve"> հատուկ դպրոցներ, կլինի մանկավարժահոգեբանական աջակցության ծառայությունների պատվիրակում ՀՀ պետական բյուջեի միջոցների հաշվին, կապահովվի վերապատրաստումների միջոցով ուսուցիչների և ուսուցչի օգնականների ներառական դասավանդման հմտությունների զարգացումը,</w:t>
      </w:r>
    </w:p>
    <w:p w14:paraId="73D71D0B" w14:textId="77777777" w:rsidR="00DA0E15" w:rsidRDefault="00362131" w:rsidP="00C0628C">
      <w:pPr>
        <w:numPr>
          <w:ilvl w:val="0"/>
          <w:numId w:val="16"/>
        </w:numPr>
        <w:spacing w:line="276" w:lineRule="auto"/>
        <w:contextualSpacing/>
        <w:rPr>
          <w:rFonts w:cs="Arial Armenian"/>
          <w:lang w:val="hy-AM"/>
        </w:rPr>
      </w:pPr>
      <w:r>
        <w:rPr>
          <w:rFonts w:cs="GHEA Grapalat"/>
          <w:lang w:val="hy-AM" w:eastAsia="ru-RU"/>
        </w:rPr>
        <w:t>մասնագիտական</w:t>
      </w:r>
      <w:r>
        <w:rPr>
          <w:rFonts w:cs="Arial Armenian"/>
          <w:lang w:val="hy-AM"/>
        </w:rPr>
        <w:t xml:space="preserve"> կրթության գծով միջոցները կուղղվեն խոցելի խմբերի երիտասարդների ընդգրկվածության մեծացմանը, կընդլայնվեն ուսման վարձի զեղչային համակարգից օգտվող շահառուների խմբերը:</w:t>
      </w:r>
    </w:p>
    <w:p w14:paraId="1E822815" w14:textId="77777777" w:rsidR="00DA0E15" w:rsidRDefault="00362131">
      <w:pPr>
        <w:spacing w:line="276" w:lineRule="auto"/>
        <w:ind w:firstLine="708"/>
        <w:rPr>
          <w:rFonts w:cs="GHEA Grapalat"/>
          <w:lang w:val="hy-AM"/>
        </w:rPr>
      </w:pPr>
      <w:r>
        <w:rPr>
          <w:rFonts w:cs="GHEA Grapalat"/>
          <w:lang w:val="hy-AM"/>
        </w:rPr>
        <w:t>Ելնելով վերոնշյալ նպատակներից՝ միջնաժամկետ հատվածում նախանշվել են ոլորտի հետևյալ հիմնական թիրախները.</w:t>
      </w:r>
    </w:p>
    <w:p w14:paraId="0248757D" w14:textId="77777777" w:rsidR="00DA0E15" w:rsidRDefault="00362131" w:rsidP="00C0628C">
      <w:pPr>
        <w:numPr>
          <w:ilvl w:val="0"/>
          <w:numId w:val="16"/>
        </w:numPr>
        <w:spacing w:line="276" w:lineRule="auto"/>
        <w:contextualSpacing/>
        <w:rPr>
          <w:rFonts w:cs="GHEA Grapalat"/>
          <w:lang w:val="hy-AM" w:eastAsia="ru-RU"/>
        </w:rPr>
      </w:pPr>
      <w:r>
        <w:rPr>
          <w:rFonts w:cs="GHEA Grapalat"/>
          <w:lang w:val="hy-AM" w:eastAsia="ru-RU"/>
        </w:rPr>
        <w:t>պարտադիր կրթության երեք մակարդակներում սովորողների համախառն ընդգրկվածության ցուցանիշի 99% ապահովում,</w:t>
      </w:r>
    </w:p>
    <w:p w14:paraId="30CFF74E" w14:textId="77777777" w:rsidR="00DA0E15" w:rsidRDefault="00362131" w:rsidP="00C0628C">
      <w:pPr>
        <w:numPr>
          <w:ilvl w:val="0"/>
          <w:numId w:val="16"/>
        </w:numPr>
        <w:spacing w:line="276" w:lineRule="auto"/>
        <w:contextualSpacing/>
        <w:rPr>
          <w:rFonts w:cs="GHEA Grapalat"/>
          <w:lang w:val="hy-AM" w:eastAsia="ru-RU"/>
        </w:rPr>
      </w:pPr>
      <w:r>
        <w:rPr>
          <w:rFonts w:cs="GHEA Grapalat"/>
          <w:lang w:val="hy-AM" w:eastAsia="ru-RU"/>
        </w:rPr>
        <w:t xml:space="preserve">տարրական և հիմնական դպրոցն ավարտելիս` սովորողների համամասնությունը, ըստ սեռի, ովքեր ձեռք են բերել առնվազն գիտելիքների նվազագույն մակարդակ ընթերցանությունից և մաթեմատիկայից, 2019 թվականի շուրջ </w:t>
      </w:r>
      <w:r>
        <w:rPr>
          <w:color w:val="000000"/>
          <w:lang w:val="hy-AM"/>
        </w:rPr>
        <w:t>87%-ից 2024 թվականին հասցնել 100%-ի,</w:t>
      </w:r>
    </w:p>
    <w:p w14:paraId="354F3C56" w14:textId="77777777" w:rsidR="00DA0E15" w:rsidRDefault="00362131" w:rsidP="00C0628C">
      <w:pPr>
        <w:numPr>
          <w:ilvl w:val="0"/>
          <w:numId w:val="16"/>
        </w:numPr>
        <w:spacing w:line="276" w:lineRule="auto"/>
        <w:rPr>
          <w:color w:val="000000"/>
          <w:lang w:val="hy-AM"/>
        </w:rPr>
      </w:pPr>
      <w:r>
        <w:rPr>
          <w:rFonts w:cs="GHEA Grapalat"/>
          <w:lang w:val="hy-AM" w:eastAsia="ru-RU"/>
        </w:rPr>
        <w:t xml:space="preserve">նախնական (արհեստագործական) և միջին մասնագիտական կրթության </w:t>
      </w:r>
      <w:r>
        <w:rPr>
          <w:color w:val="000000"/>
          <w:lang w:val="hy-AM"/>
        </w:rPr>
        <w:t>(</w:t>
      </w:r>
      <w:r>
        <w:rPr>
          <w:rFonts w:cs="GHEA Grapalat"/>
          <w:lang w:val="hy-AM" w:eastAsia="ru-RU"/>
        </w:rPr>
        <w:t>ՆՄՄԿ</w:t>
      </w:r>
      <w:r>
        <w:rPr>
          <w:color w:val="000000"/>
          <w:lang w:val="hy-AM"/>
        </w:rPr>
        <w:t xml:space="preserve">) համակարգում տվյալ տարում ընդունված սովորողների թիվը մասնագիտական կրթության (նախնական (արհեստագործական), միջին և բարձրագույն մասնագիտական) համակարգում տվյալ տարում ընդունված սովորողների ընդհանուր թվում 2019/2020 ուսումնական տարվա 54.4%-ից </w:t>
      </w:r>
      <w:bookmarkStart w:id="565" w:name="_Hlk74145387"/>
      <w:r>
        <w:rPr>
          <w:color w:val="000000"/>
          <w:lang w:val="hy-AM"/>
        </w:rPr>
        <w:t xml:space="preserve">2024 թվականին </w:t>
      </w:r>
      <w:bookmarkEnd w:id="565"/>
      <w:r>
        <w:rPr>
          <w:color w:val="000000"/>
          <w:lang w:val="hy-AM"/>
        </w:rPr>
        <w:t>հասցնել 58%-ի,</w:t>
      </w:r>
    </w:p>
    <w:p w14:paraId="3BCA8749" w14:textId="77777777" w:rsidR="00DA0E15" w:rsidRDefault="00362131" w:rsidP="00C0628C">
      <w:pPr>
        <w:numPr>
          <w:ilvl w:val="0"/>
          <w:numId w:val="16"/>
        </w:numPr>
        <w:spacing w:line="276" w:lineRule="auto"/>
        <w:rPr>
          <w:color w:val="000000"/>
          <w:lang w:val="hy-AM"/>
        </w:rPr>
      </w:pPr>
      <w:r>
        <w:rPr>
          <w:color w:val="000000"/>
          <w:lang w:val="hy-AM"/>
        </w:rPr>
        <w:t>ՆՄՄԿ համակարգում տվյալ տարում ընդունված սովորողների թիվը հիմնական  և միջնակարգ դպրոցների շրջանավարտների թվում 2018/2019 ուսումնական տարվա 25.2%-ից 2023 թվականին հասցնել 33%-ի,</w:t>
      </w:r>
    </w:p>
    <w:p w14:paraId="63B4BF67" w14:textId="77777777" w:rsidR="00DA0E15" w:rsidRDefault="00362131" w:rsidP="00C0628C">
      <w:pPr>
        <w:numPr>
          <w:ilvl w:val="0"/>
          <w:numId w:val="16"/>
        </w:numPr>
        <w:spacing w:line="276" w:lineRule="auto"/>
        <w:rPr>
          <w:color w:val="000000"/>
          <w:lang w:val="hy-AM"/>
        </w:rPr>
      </w:pPr>
      <w:r>
        <w:rPr>
          <w:color w:val="000000"/>
          <w:lang w:val="hy-AM"/>
        </w:rPr>
        <w:t xml:space="preserve">ուսումնառած մասնագիտության գծով ուսումնառության ավարտից հետո 6 ամսվա ընթացքում զբաղվածություն ունեցող շրջանավարտների թիվը (ներառված չեն բուհ տեղափոխված/ ընդունված, պարտադիր ժամկետային զինվորական ծառայության անցած, արտերկիր մեկնած, ոչ իրենց մասնագիտությամբ աշխատող) </w:t>
      </w:r>
      <w:bookmarkStart w:id="566" w:name="_Hlk74146253"/>
      <w:r>
        <w:rPr>
          <w:color w:val="000000"/>
          <w:lang w:val="hy-AM"/>
        </w:rPr>
        <w:t>2019/2020 ուսումնական տարվա</w:t>
      </w:r>
      <w:bookmarkEnd w:id="566"/>
      <w:r>
        <w:rPr>
          <w:color w:val="000000"/>
          <w:lang w:val="hy-AM"/>
        </w:rPr>
        <w:t xml:space="preserve"> 39.4%-ից 2024 թվականին հասցնել 45.2%-ի,</w:t>
      </w:r>
    </w:p>
    <w:p w14:paraId="281FC1FD" w14:textId="77777777" w:rsidR="00DA0E15" w:rsidRDefault="00362131" w:rsidP="00C0628C">
      <w:pPr>
        <w:numPr>
          <w:ilvl w:val="0"/>
          <w:numId w:val="16"/>
        </w:numPr>
        <w:spacing w:line="276" w:lineRule="auto"/>
        <w:rPr>
          <w:color w:val="000000"/>
          <w:lang w:val="hy-AM"/>
        </w:rPr>
      </w:pPr>
      <w:r>
        <w:rPr>
          <w:color w:val="000000"/>
          <w:lang w:val="hy-AM"/>
        </w:rPr>
        <w:t>նախնական և միջին մասնագիտական ուսումնական հաստատությունների՝ ուսումնառությունը բուհերում շարունակած շրջանավարտների թիվը 2018/2019 ուսումնական տարվա 24.6%-ից 2024 թվականին հասցնել 27%-ի,</w:t>
      </w:r>
    </w:p>
    <w:p w14:paraId="6561CC24" w14:textId="77777777" w:rsidR="00DA0E15" w:rsidRDefault="00362131" w:rsidP="00C0628C">
      <w:pPr>
        <w:pStyle w:val="ListParagraph"/>
        <w:numPr>
          <w:ilvl w:val="0"/>
          <w:numId w:val="16"/>
        </w:numPr>
        <w:spacing w:before="0" w:after="0" w:line="276" w:lineRule="auto"/>
        <w:contextualSpacing w:val="0"/>
        <w:rPr>
          <w:color w:val="000000"/>
          <w:lang w:val="hy-AM"/>
        </w:rPr>
      </w:pPr>
      <w:r>
        <w:rPr>
          <w:color w:val="000000"/>
          <w:lang w:val="hy-AM"/>
        </w:rPr>
        <w:t xml:space="preserve">աշխատաշուկայի պահանջներից ելնելով` նոր մասնագիտությունների ներդրումը 2018/2019 ուսումնական տարվա 19-ից </w:t>
      </w:r>
      <w:bookmarkStart w:id="567" w:name="_Hlk74146300"/>
      <w:r>
        <w:rPr>
          <w:color w:val="000000"/>
          <w:lang w:val="hy-AM"/>
        </w:rPr>
        <w:t xml:space="preserve">2024 թվականին </w:t>
      </w:r>
      <w:bookmarkEnd w:id="567"/>
      <w:r>
        <w:rPr>
          <w:color w:val="000000"/>
          <w:lang w:val="hy-AM"/>
        </w:rPr>
        <w:t>հասցնել 24-ի,</w:t>
      </w:r>
    </w:p>
    <w:p w14:paraId="73E17AFC" w14:textId="77777777" w:rsidR="00DA0E15" w:rsidRDefault="00362131" w:rsidP="00C0628C">
      <w:pPr>
        <w:numPr>
          <w:ilvl w:val="0"/>
          <w:numId w:val="16"/>
        </w:numPr>
        <w:spacing w:line="276" w:lineRule="auto"/>
        <w:rPr>
          <w:color w:val="000000"/>
          <w:lang w:val="hy-AM"/>
        </w:rPr>
      </w:pPr>
      <w:r>
        <w:rPr>
          <w:color w:val="000000"/>
          <w:lang w:val="hy-AM"/>
        </w:rPr>
        <w:t>ՆՄՄԿՈՒ ուսումնական գործընթացներում  ներգրավված գործատուների թիվը 2020 թվականի 1406-ից 2024 թվականին հասցնել 1650-ի,</w:t>
      </w:r>
    </w:p>
    <w:p w14:paraId="2C3803B1" w14:textId="77777777" w:rsidR="00DA0E15" w:rsidRDefault="00362131" w:rsidP="00C0628C">
      <w:pPr>
        <w:numPr>
          <w:ilvl w:val="0"/>
          <w:numId w:val="16"/>
        </w:numPr>
        <w:spacing w:line="276" w:lineRule="auto"/>
        <w:rPr>
          <w:color w:val="000000"/>
          <w:lang w:val="hy-AM"/>
        </w:rPr>
      </w:pPr>
      <w:r>
        <w:rPr>
          <w:color w:val="000000"/>
          <w:lang w:val="hy-AM"/>
        </w:rPr>
        <w:t>վերապատրաստման ծրագրերն անցած ՆՄՄԿՈՒ հաստատությունների դասավանդողների մասնաբաժինը 2019/2020 ուսումնական տարվա 22.6%-ից 2024 թ.-ին հասցնել 33%-ի,</w:t>
      </w:r>
    </w:p>
    <w:p w14:paraId="7BF277BC" w14:textId="77777777" w:rsidR="00DA0E15" w:rsidRDefault="00362131" w:rsidP="00C0628C">
      <w:pPr>
        <w:numPr>
          <w:ilvl w:val="0"/>
          <w:numId w:val="16"/>
        </w:numPr>
        <w:spacing w:line="276" w:lineRule="auto"/>
        <w:rPr>
          <w:color w:val="000000"/>
          <w:lang w:val="hy-AM"/>
        </w:rPr>
      </w:pPr>
      <w:r>
        <w:rPr>
          <w:color w:val="000000"/>
          <w:lang w:val="hy-AM"/>
        </w:rPr>
        <w:t xml:space="preserve">աշխատանքի վրա հիմնված` դուալ ուսուցման փորձնական ծրագրեր իրականացնող  ՆՄՄԿՈՒ հաստատությունների թիվը, ընդհանուր ՆՄՄԿՈՒ հաստատությունների թվի մեջ, 2019/2020 ուսումնական տարվա 15-ից </w:t>
      </w:r>
      <w:bookmarkStart w:id="568" w:name="_Hlk74146472"/>
      <w:r>
        <w:rPr>
          <w:color w:val="000000"/>
          <w:lang w:val="hy-AM"/>
        </w:rPr>
        <w:t xml:space="preserve">2024 թվականին </w:t>
      </w:r>
      <w:bookmarkEnd w:id="568"/>
      <w:r>
        <w:rPr>
          <w:color w:val="000000"/>
          <w:lang w:val="hy-AM"/>
        </w:rPr>
        <w:t>հասցնել 23-ի,</w:t>
      </w:r>
    </w:p>
    <w:p w14:paraId="1FE870B8" w14:textId="77777777" w:rsidR="00DA0E15" w:rsidRDefault="00362131" w:rsidP="00C0628C">
      <w:pPr>
        <w:numPr>
          <w:ilvl w:val="0"/>
          <w:numId w:val="16"/>
        </w:numPr>
        <w:spacing w:line="276" w:lineRule="auto"/>
        <w:contextualSpacing/>
        <w:rPr>
          <w:color w:val="000000"/>
          <w:lang w:val="hy-AM"/>
        </w:rPr>
      </w:pPr>
      <w:r>
        <w:rPr>
          <w:color w:val="000000"/>
          <w:lang w:val="hy-AM"/>
        </w:rPr>
        <w:t>ուսման վարձավճարի լրիվ փոխհատուցմամբ սովորող ուսանողների տեսակարար կշիռը բարձրագույն կրթություն ստացողների մեջ 2020 թվականի 18%-ից 2024 թվականին հասցնել 20%-ի, իսկ սոցիալապես անապահովության սահմանային միավորից բարձր միավոր ունեցող ընտանիքների ուսանողների տեսակարար կշիռն ընդհանուր ուսանողների թվաքանակի մեջ՝ 4.1%-ից՝ 5%-ի,</w:t>
      </w:r>
    </w:p>
    <w:p w14:paraId="3338FB6A" w14:textId="77777777" w:rsidR="00DA0E15" w:rsidRDefault="00362131" w:rsidP="00C0628C">
      <w:pPr>
        <w:numPr>
          <w:ilvl w:val="0"/>
          <w:numId w:val="16"/>
        </w:numPr>
        <w:spacing w:line="276" w:lineRule="auto"/>
        <w:contextualSpacing/>
        <w:rPr>
          <w:color w:val="000000"/>
          <w:lang w:val="hy-AM"/>
        </w:rPr>
      </w:pPr>
      <w:r>
        <w:rPr>
          <w:color w:val="000000"/>
          <w:lang w:val="hy-AM"/>
        </w:rPr>
        <w:t>արտադպրոցական դաստիարակության ծրագրերում 6-18 տարեկան երեխաների ընդգրկվածության մակարդակը 202</w:t>
      </w:r>
      <w:r w:rsidR="003A2A1C" w:rsidRPr="003A2A1C">
        <w:rPr>
          <w:color w:val="000000"/>
          <w:lang w:val="hy-AM"/>
        </w:rPr>
        <w:t>0</w:t>
      </w:r>
      <w:r>
        <w:rPr>
          <w:color w:val="000000"/>
          <w:lang w:val="hy-AM"/>
        </w:rPr>
        <w:t xml:space="preserve"> թվականի 33.2%-ից 2024 թվականին հասցնել 36.2%-ի, այդ թվում` գյուղաբնակ երեխաներինը  19.4%-ից հասցնել 22.4%-ի,</w:t>
      </w:r>
    </w:p>
    <w:p w14:paraId="2C11F0AB" w14:textId="77777777" w:rsidR="00DA0E15" w:rsidRDefault="00362131" w:rsidP="00C0628C">
      <w:pPr>
        <w:numPr>
          <w:ilvl w:val="0"/>
          <w:numId w:val="16"/>
        </w:numPr>
        <w:spacing w:line="276" w:lineRule="auto"/>
        <w:contextualSpacing/>
        <w:rPr>
          <w:color w:val="000000"/>
          <w:lang w:val="hy-AM"/>
        </w:rPr>
      </w:pPr>
      <w:r>
        <w:rPr>
          <w:color w:val="000000"/>
          <w:lang w:val="hy-AM"/>
        </w:rPr>
        <w:t>2024 թվականին հանրապետության բոլոր մարզերի տարրական դասարանների և նախակրթարանների սովորողներին ապահովել կայուն դպրոցական սննդով,</w:t>
      </w:r>
    </w:p>
    <w:p w14:paraId="474A9DD2" w14:textId="77777777" w:rsidR="00DA0E15" w:rsidRDefault="00362131" w:rsidP="00C0628C">
      <w:pPr>
        <w:numPr>
          <w:ilvl w:val="0"/>
          <w:numId w:val="16"/>
        </w:numPr>
        <w:spacing w:line="276" w:lineRule="auto"/>
        <w:contextualSpacing/>
        <w:rPr>
          <w:color w:val="000000"/>
          <w:lang w:val="hy-AM"/>
        </w:rPr>
      </w:pPr>
      <w:r>
        <w:rPr>
          <w:rFonts w:cs="GHEA Grapalat"/>
          <w:lang w:val="hy-AM"/>
        </w:rPr>
        <w:t>հանրակրթական դպրոցների՝ կամավոր ատեստավորմանը մասնակցած ուսուցիչների թիվը 2024 թվականին հասցնել 46%-ի,</w:t>
      </w:r>
    </w:p>
    <w:p w14:paraId="149568FE" w14:textId="77777777" w:rsidR="00DA0E15" w:rsidRDefault="00362131" w:rsidP="00C0628C">
      <w:pPr>
        <w:numPr>
          <w:ilvl w:val="0"/>
          <w:numId w:val="16"/>
        </w:numPr>
        <w:tabs>
          <w:tab w:val="left" w:pos="360"/>
          <w:tab w:val="left" w:pos="851"/>
          <w:tab w:val="left" w:pos="993"/>
        </w:tabs>
        <w:spacing w:line="276" w:lineRule="auto"/>
        <w:contextualSpacing/>
        <w:rPr>
          <w:rFonts w:cs="GHEA Grapalat"/>
          <w:lang w:val="hy-AM"/>
        </w:rPr>
      </w:pPr>
      <w:r>
        <w:rPr>
          <w:rFonts w:cs="GHEA Grapalat"/>
          <w:lang w:val="hy-AM"/>
        </w:rPr>
        <w:t>հաշմանդամություն ունեցող աշակերտների համար հարմարեցված ենթակառուցվածքներ և նյութեր ունեցող դպրոցների թիվը 202</w:t>
      </w:r>
      <w:r w:rsidR="003A2A1C" w:rsidRPr="003A2A1C">
        <w:rPr>
          <w:rFonts w:cs="GHEA Grapalat"/>
          <w:lang w:val="hy-AM"/>
        </w:rPr>
        <w:t>0</w:t>
      </w:r>
      <w:r>
        <w:rPr>
          <w:rFonts w:cs="GHEA Grapalat"/>
          <w:lang w:val="hy-AM"/>
        </w:rPr>
        <w:t xml:space="preserve"> թվականի 26-ից 2023 թվականին հասցնել 100-ի,</w:t>
      </w:r>
    </w:p>
    <w:p w14:paraId="42E99ABC" w14:textId="77777777" w:rsidR="00DA0E15" w:rsidRDefault="00362131" w:rsidP="00C0628C">
      <w:pPr>
        <w:numPr>
          <w:ilvl w:val="0"/>
          <w:numId w:val="16"/>
        </w:numPr>
        <w:tabs>
          <w:tab w:val="left" w:pos="360"/>
          <w:tab w:val="left" w:pos="851"/>
          <w:tab w:val="left" w:pos="993"/>
        </w:tabs>
        <w:spacing w:line="276" w:lineRule="auto"/>
        <w:contextualSpacing/>
        <w:rPr>
          <w:rFonts w:cs="GHEA Grapalat"/>
          <w:lang w:val="hy-AM"/>
        </w:rPr>
      </w:pPr>
      <w:r>
        <w:rPr>
          <w:rFonts w:cs="GHEA Grapalat"/>
          <w:lang w:val="hy-AM"/>
        </w:rPr>
        <w:t>հանրակրթական դպրոց հաճախող կրթության առանձնահատուկ կարիք ունեցող երեխաների տեսակարար կշիռը կրթության առանձնահատուկ կարիք ունեցող երեխաների ընդհանուր թվաքանակի մեջ 2021 թվականի 14%-ից 2023 թվականին հասցնել 95%-ի:</w:t>
      </w:r>
    </w:p>
    <w:p w14:paraId="16E1FC8F" w14:textId="77777777" w:rsidR="00DA0E15" w:rsidRDefault="00362131" w:rsidP="00C0628C">
      <w:pPr>
        <w:numPr>
          <w:ilvl w:val="0"/>
          <w:numId w:val="16"/>
        </w:numPr>
        <w:tabs>
          <w:tab w:val="left" w:pos="360"/>
          <w:tab w:val="left" w:pos="851"/>
          <w:tab w:val="left" w:pos="993"/>
        </w:tabs>
        <w:spacing w:line="276" w:lineRule="auto"/>
        <w:contextualSpacing/>
        <w:rPr>
          <w:rFonts w:cs="GHEA Grapalat"/>
          <w:lang w:val="hy-AM"/>
        </w:rPr>
      </w:pPr>
      <w:r>
        <w:rPr>
          <w:rFonts w:cs="GHEA Grapalat"/>
          <w:lang w:val="hy-AM"/>
        </w:rPr>
        <w:t xml:space="preserve">օտարերկրյա պետություններում հայերենի և հայագիտական առարկաների դասընթացների թիվը 2020 թվականի 10-ից 2024 թվականին հասցնել </w:t>
      </w:r>
      <w:r w:rsidR="003A2A1C" w:rsidRPr="003A2A1C">
        <w:rPr>
          <w:rFonts w:cs="GHEA Grapalat"/>
          <w:lang w:val="hy-AM"/>
        </w:rPr>
        <w:t>1</w:t>
      </w:r>
      <w:r>
        <w:rPr>
          <w:rFonts w:cs="GHEA Grapalat"/>
          <w:lang w:val="hy-AM"/>
        </w:rPr>
        <w:t>2-ի,</w:t>
      </w:r>
    </w:p>
    <w:p w14:paraId="76A2C0C1" w14:textId="77777777" w:rsidR="00DA0E15" w:rsidRDefault="00362131" w:rsidP="00C0628C">
      <w:pPr>
        <w:numPr>
          <w:ilvl w:val="0"/>
          <w:numId w:val="16"/>
        </w:numPr>
        <w:tabs>
          <w:tab w:val="left" w:pos="360"/>
          <w:tab w:val="left" w:pos="851"/>
          <w:tab w:val="left" w:pos="993"/>
        </w:tabs>
        <w:spacing w:line="276" w:lineRule="auto"/>
        <w:ind w:left="714" w:hanging="357"/>
        <w:contextualSpacing/>
        <w:rPr>
          <w:rFonts w:cs="GHEA Grapalat"/>
          <w:lang w:val="hy-AM"/>
        </w:rPr>
      </w:pPr>
      <w:r>
        <w:rPr>
          <w:rFonts w:cs="GHEA Grapalat"/>
          <w:lang w:val="hy-AM"/>
        </w:rPr>
        <w:t>կրթության կառավարման տեղեկատվական համակարգում ներառված ուսումնական հաստատությունների մասնաբաժինը մինչև 2023 թվականը՝ 60-ից հասցնել 99%-ի,</w:t>
      </w:r>
    </w:p>
    <w:p w14:paraId="5CC99EE7" w14:textId="77777777" w:rsidR="00DA0E15" w:rsidRDefault="00362131" w:rsidP="00C0628C">
      <w:pPr>
        <w:numPr>
          <w:ilvl w:val="0"/>
          <w:numId w:val="16"/>
        </w:numPr>
        <w:tabs>
          <w:tab w:val="left" w:pos="360"/>
          <w:tab w:val="left" w:pos="851"/>
          <w:tab w:val="left" w:pos="993"/>
        </w:tabs>
        <w:spacing w:line="276" w:lineRule="auto"/>
        <w:ind w:left="714" w:hanging="357"/>
        <w:contextualSpacing/>
        <w:rPr>
          <w:rFonts w:cs="GHEA Grapalat"/>
          <w:lang w:val="hy-AM"/>
        </w:rPr>
      </w:pPr>
      <w:r>
        <w:rPr>
          <w:rFonts w:cs="Sylfaen"/>
          <w:lang w:val="hy-AM"/>
        </w:rPr>
        <w:t>«</w:t>
      </w:r>
      <w:r>
        <w:rPr>
          <w:rFonts w:cs="GHEA Grapalat"/>
          <w:lang w:val="hy-AM"/>
        </w:rPr>
        <w:t xml:space="preserve">Հայկական կրթական միջավայր» տեղեկատվական պորտալում ակտիվ ուսումնական հաստատությունների մասնաբաժինը 2020 թվականի 15%-ից </w:t>
      </w:r>
      <w:r>
        <w:rPr>
          <w:color w:val="000000"/>
          <w:lang w:val="hy-AM"/>
        </w:rPr>
        <w:t xml:space="preserve">2024 թվականին </w:t>
      </w:r>
      <w:r>
        <w:rPr>
          <w:rFonts w:cs="GHEA Grapalat"/>
          <w:lang w:val="hy-AM"/>
        </w:rPr>
        <w:t>հասցնել 50%-ի:</w:t>
      </w:r>
    </w:p>
    <w:p w14:paraId="3DE1E83F" w14:textId="77777777" w:rsidR="00DA0E15" w:rsidRDefault="00DA0E15">
      <w:pPr>
        <w:spacing w:line="276" w:lineRule="auto"/>
        <w:ind w:firstLine="708"/>
        <w:rPr>
          <w:rFonts w:cs="GHEA Grapalat"/>
          <w:b/>
          <w:lang w:val="hy-AM"/>
        </w:rPr>
      </w:pPr>
    </w:p>
    <w:p w14:paraId="1E979B0C" w14:textId="77777777" w:rsidR="00DA0E15" w:rsidRDefault="00362131">
      <w:pPr>
        <w:tabs>
          <w:tab w:val="left" w:pos="851"/>
          <w:tab w:val="left" w:pos="993"/>
        </w:tabs>
        <w:spacing w:line="276" w:lineRule="auto"/>
        <w:rPr>
          <w:rFonts w:cs="GHEA Grapalat"/>
          <w:b/>
          <w:lang w:val="hy-AM"/>
        </w:rPr>
      </w:pPr>
      <w:r>
        <w:rPr>
          <w:rFonts w:cs="GHEA Grapalat"/>
          <w:b/>
          <w:lang w:val="hy-AM"/>
        </w:rPr>
        <w:t>ՈԼՈՐՏԱՅԻՆ ԾԱԽՍԱՅԻՆ ԾՐԱԳՐԵՐԸ</w:t>
      </w:r>
    </w:p>
    <w:p w14:paraId="3923CCE3" w14:textId="77777777" w:rsidR="00DA0E15" w:rsidRDefault="00362131" w:rsidP="00C0628C">
      <w:pPr>
        <w:numPr>
          <w:ilvl w:val="0"/>
          <w:numId w:val="17"/>
        </w:numPr>
        <w:tabs>
          <w:tab w:val="left" w:pos="360"/>
          <w:tab w:val="left" w:pos="851"/>
          <w:tab w:val="left" w:pos="993"/>
        </w:tabs>
        <w:spacing w:line="276" w:lineRule="auto"/>
        <w:contextualSpacing/>
        <w:rPr>
          <w:rFonts w:cs="GHEA Grapalat"/>
          <w:b/>
          <w:lang w:val="hy-AM"/>
        </w:rPr>
      </w:pPr>
      <w:r>
        <w:rPr>
          <w:rFonts w:cs="GHEA Grapalat"/>
          <w:b/>
          <w:lang w:val="hy-AM"/>
        </w:rPr>
        <w:t>«Նախնական (արհեստագործական) և միջին մասնագիտական կրթություն»</w:t>
      </w:r>
    </w:p>
    <w:p w14:paraId="2D77FCC7" w14:textId="77777777" w:rsidR="00DA0E15" w:rsidRDefault="00362131">
      <w:pPr>
        <w:tabs>
          <w:tab w:val="left" w:pos="611"/>
        </w:tabs>
        <w:spacing w:line="276" w:lineRule="auto"/>
        <w:rPr>
          <w:rFonts w:cs="GHEA Grapalat"/>
          <w:lang w:val="hy-AM"/>
        </w:rPr>
      </w:pPr>
      <w:r>
        <w:rPr>
          <w:rFonts w:cs="GHEA Grapalat"/>
          <w:lang w:val="hy-AM"/>
        </w:rPr>
        <w:tab/>
        <w:t xml:space="preserve">Ծրագրի նպատակն է՝ աշխատաշուկայի արդի պահանջներին համապատասխան նախնական մասնագիտական (արհեստագործական) և միջին մասնագիտական կրթության որակավորում ունեցող մասնագետների պատրաստումը, կրթության մատչելիության ապահովումը: </w:t>
      </w:r>
    </w:p>
    <w:p w14:paraId="6F292FBD" w14:textId="77777777" w:rsidR="00DA0E15" w:rsidRDefault="00362131">
      <w:pPr>
        <w:tabs>
          <w:tab w:val="left" w:pos="611"/>
        </w:tabs>
        <w:spacing w:line="276" w:lineRule="auto"/>
        <w:rPr>
          <w:rFonts w:cs="GHEA Grapalat"/>
          <w:lang w:val="hy-AM"/>
        </w:rPr>
      </w:pPr>
      <w:r>
        <w:rPr>
          <w:rFonts w:cs="GHEA Grapalat"/>
          <w:lang w:val="hy-AM"/>
        </w:rPr>
        <w:t xml:space="preserve">Ծրագրի գծով 2022-2024 թվականներին նախատեսվում է հատկացնել, ըստ տարիների՝ 11,209.4; 12,000.2 և 11,790.6 մլն դրամ: </w:t>
      </w:r>
    </w:p>
    <w:p w14:paraId="1A195083" w14:textId="77777777" w:rsidR="00DA0E15" w:rsidRDefault="00362131" w:rsidP="00C0628C">
      <w:pPr>
        <w:numPr>
          <w:ilvl w:val="0"/>
          <w:numId w:val="17"/>
        </w:numPr>
        <w:spacing w:line="276" w:lineRule="auto"/>
        <w:contextualSpacing/>
        <w:rPr>
          <w:rFonts w:cs="Arial"/>
          <w:b/>
          <w:kern w:val="16"/>
          <w:lang w:val="hy-AM"/>
        </w:rPr>
      </w:pPr>
      <w:r>
        <w:rPr>
          <w:rFonts w:cs="Arial"/>
          <w:b/>
          <w:kern w:val="16"/>
          <w:lang w:val="hy-AM"/>
        </w:rPr>
        <w:t>«Բարձրագույն և հետբուհական մասնագիտական կրթության ծրագիր»</w:t>
      </w:r>
    </w:p>
    <w:p w14:paraId="583265F7" w14:textId="77777777" w:rsidR="00DA0E15" w:rsidRDefault="00362131">
      <w:pPr>
        <w:spacing w:line="276" w:lineRule="auto"/>
        <w:ind w:firstLine="360"/>
        <w:rPr>
          <w:lang w:val="hy-AM"/>
        </w:rPr>
      </w:pPr>
      <w:r>
        <w:rPr>
          <w:rFonts w:cs="GHEA Grapalat"/>
          <w:lang w:val="hy-AM"/>
        </w:rPr>
        <w:t xml:space="preserve">Ծրագրի նպատակն է՝ </w:t>
      </w:r>
      <w:r>
        <w:rPr>
          <w:lang w:val="hy-AM"/>
        </w:rPr>
        <w:t>մատչելի, որակյալ և մրցունակ բարձրագույն և հետբուհական մասնագիտական կրթության ապահովումը:</w:t>
      </w:r>
    </w:p>
    <w:p w14:paraId="207E8D4C" w14:textId="77777777" w:rsidR="00DA0E15" w:rsidRDefault="00362131">
      <w:pPr>
        <w:spacing w:line="276" w:lineRule="auto"/>
        <w:ind w:firstLine="360"/>
        <w:rPr>
          <w:rFonts w:cs="GHEA Grapalat"/>
          <w:lang w:val="hy-AM"/>
        </w:rPr>
      </w:pPr>
      <w:r>
        <w:rPr>
          <w:rFonts w:cs="GHEA Grapalat"/>
          <w:lang w:val="hy-AM"/>
        </w:rPr>
        <w:t xml:space="preserve">«Բարձրագույն և հետբուհական մասնագիտական կրթության մասին» ՀՀ օրենքի 4-րդ հոդվածով սահմանված՝ բարձրագույն և հետբուհական մասնագիտական կրթության բնագավառում պետական քաղաքականության սկզբունքներից է բարձրագույն և հետբուհական մասնագիտական կրթության մատչելիությունը: Նույն օրենքի 5-րդ հոդվածի 1-ին մասի համաձայն՝ ՀՀ-ում բարձրագույն և հետբուհական մասնագիտական կրթության բնագավառում պետական քաղաքականության խնդիրներից է պետության համար առաջնային և կարևորություն ներկայացնող բնագավառներում, ինչպես նաև սահմանամերձ կամ բարձրլեռնային բնակավայրերում </w:t>
      </w:r>
      <w:r>
        <w:rPr>
          <w:rFonts w:ascii="Calibri" w:hAnsi="Calibri" w:cs="Calibri"/>
          <w:lang w:val="hy-AM"/>
        </w:rPr>
        <w:t> </w:t>
      </w:r>
      <w:r>
        <w:rPr>
          <w:rFonts w:cs="GHEA Grapalat"/>
          <w:lang w:val="hy-AM"/>
        </w:rPr>
        <w:t>մասնագետների պատրաստմանն աջակցելը, իսկ  2-րդ մասի 5-րդ և 6-րդ կետերով սահմանված է, որ պետությունն ապահովում է բարձրագույն և հետբուհական մասնագիտական կրթության զարգացում հետևյալ ձևերով.</w:t>
      </w:r>
    </w:p>
    <w:p w14:paraId="31FF6AE9" w14:textId="77777777" w:rsidR="00DA0E15" w:rsidRDefault="00362131">
      <w:pPr>
        <w:spacing w:line="276" w:lineRule="auto"/>
        <w:ind w:firstLine="360"/>
        <w:rPr>
          <w:rFonts w:cs="GHEA Grapalat"/>
          <w:lang w:val="hy-AM"/>
        </w:rPr>
      </w:pPr>
      <w:r>
        <w:rPr>
          <w:rFonts w:cs="GHEA Grapalat"/>
          <w:lang w:val="hy-AM"/>
        </w:rPr>
        <w:t>1) պետության պահանջներին համապատասխան` բարձրագույն և հետբուհական մասնագիտական կրթական ծրագրեր իրականացնող ուսումնական հաստատություններին և դրանցում սովորողներին ֆինանսական աջակցության ապահովում,</w:t>
      </w:r>
    </w:p>
    <w:p w14:paraId="2EB53F5E" w14:textId="77777777" w:rsidR="00DA0E15" w:rsidRDefault="00362131">
      <w:pPr>
        <w:spacing w:line="276" w:lineRule="auto"/>
        <w:ind w:firstLine="360"/>
        <w:rPr>
          <w:rFonts w:cs="GHEA Grapalat"/>
          <w:lang w:val="hy-AM"/>
        </w:rPr>
      </w:pPr>
      <w:r>
        <w:rPr>
          <w:rFonts w:cs="GHEA Grapalat"/>
          <w:lang w:val="hy-AM"/>
        </w:rPr>
        <w:t>2) օրենքով սահմանված կարգով բարձրագույն և հետբուհական մասնագիտական կրթության համակարգի ուսանողներին և ասպիրանտներին պետական ֆինանսական օժանդակություն (կրթաթոշակներ, ուսման վարձի փոխհատուցում (լրիվ և մասնակի (զեղչ), կրթական դրամաշնորհներ, վարկեր):</w:t>
      </w:r>
    </w:p>
    <w:p w14:paraId="7A4CC100" w14:textId="77777777" w:rsidR="00D44C11" w:rsidRDefault="00362131">
      <w:pPr>
        <w:tabs>
          <w:tab w:val="left" w:pos="611"/>
        </w:tabs>
        <w:spacing w:line="276" w:lineRule="auto"/>
        <w:rPr>
          <w:rFonts w:cs="GHEA Grapalat"/>
          <w:lang w:val="hy-AM"/>
        </w:rPr>
      </w:pPr>
      <w:r>
        <w:rPr>
          <w:rFonts w:cs="GHEA Grapalat"/>
          <w:lang w:val="hy-AM"/>
        </w:rPr>
        <w:t xml:space="preserve">Ծրագրի գծով 2022-2024 թվականներին նախատեսվում է հատկացնել, ըստ տարիների՝ 11,113.9; 12,748.0 և 12,953.8 մլն դրամ: </w:t>
      </w:r>
    </w:p>
    <w:p w14:paraId="6D95249E" w14:textId="77777777" w:rsidR="00DA0E15" w:rsidRDefault="00362131">
      <w:pPr>
        <w:tabs>
          <w:tab w:val="left" w:pos="611"/>
        </w:tabs>
        <w:spacing w:line="276" w:lineRule="auto"/>
        <w:rPr>
          <w:rFonts w:cs="Arial"/>
          <w:b/>
          <w:kern w:val="16"/>
          <w:lang w:val="hy-AM"/>
        </w:rPr>
      </w:pPr>
      <w:r>
        <w:rPr>
          <w:rFonts w:cs="GHEA Grapalat"/>
          <w:lang w:val="hy-AM"/>
        </w:rPr>
        <w:t xml:space="preserve">3. </w:t>
      </w:r>
      <w:r>
        <w:rPr>
          <w:rFonts w:cs="Arial"/>
          <w:b/>
          <w:kern w:val="16"/>
          <w:lang w:val="hy-AM"/>
        </w:rPr>
        <w:t>«Հանրակրթության ծրագիր»</w:t>
      </w:r>
    </w:p>
    <w:p w14:paraId="0DAAB8EA" w14:textId="77777777" w:rsidR="00DA0E15" w:rsidRDefault="00362131">
      <w:pPr>
        <w:spacing w:line="276" w:lineRule="auto"/>
        <w:ind w:firstLine="360"/>
        <w:rPr>
          <w:lang w:val="hy-AM"/>
        </w:rPr>
      </w:pPr>
      <w:r>
        <w:rPr>
          <w:rFonts w:cs="GHEA Grapalat"/>
          <w:lang w:val="hy-AM"/>
        </w:rPr>
        <w:t xml:space="preserve">Ծրագրի նպատակն է՝ </w:t>
      </w:r>
      <w:r>
        <w:rPr>
          <w:rFonts w:cs="Sylfaen"/>
          <w:lang w:val="hy-AM"/>
        </w:rPr>
        <w:t>պարտադիր</w:t>
      </w:r>
      <w:r>
        <w:rPr>
          <w:lang w:val="hy-AM"/>
        </w:rPr>
        <w:t xml:space="preserve"> </w:t>
      </w:r>
      <w:r>
        <w:rPr>
          <w:rFonts w:cs="Sylfaen"/>
          <w:lang w:val="hy-AM"/>
        </w:rPr>
        <w:t>կրթության</w:t>
      </w:r>
      <w:r>
        <w:rPr>
          <w:lang w:val="hy-AM"/>
        </w:rPr>
        <w:t xml:space="preserve"> </w:t>
      </w:r>
      <w:r>
        <w:rPr>
          <w:rFonts w:cs="Sylfaen"/>
          <w:lang w:val="hy-AM"/>
        </w:rPr>
        <w:t>երեք</w:t>
      </w:r>
      <w:r>
        <w:rPr>
          <w:lang w:val="hy-AM"/>
        </w:rPr>
        <w:t xml:space="preserve"> </w:t>
      </w:r>
      <w:r>
        <w:rPr>
          <w:rFonts w:cs="Sylfaen"/>
          <w:lang w:val="hy-AM"/>
        </w:rPr>
        <w:t>մակարդակներում</w:t>
      </w:r>
      <w:r>
        <w:rPr>
          <w:lang w:val="hy-AM"/>
        </w:rPr>
        <w:t xml:space="preserve"> </w:t>
      </w:r>
      <w:r>
        <w:rPr>
          <w:rFonts w:cs="Sylfaen"/>
          <w:lang w:val="hy-AM"/>
        </w:rPr>
        <w:t>սովորողների</w:t>
      </w:r>
      <w:r>
        <w:rPr>
          <w:lang w:val="hy-AM"/>
        </w:rPr>
        <w:t xml:space="preserve"> </w:t>
      </w:r>
      <w:r>
        <w:rPr>
          <w:rFonts w:cs="Sylfaen"/>
          <w:lang w:val="hy-AM"/>
        </w:rPr>
        <w:t>ընդ</w:t>
      </w:r>
      <w:r>
        <w:rPr>
          <w:lang w:val="hy-AM"/>
        </w:rPr>
        <w:t>գ</w:t>
      </w:r>
      <w:r>
        <w:rPr>
          <w:rFonts w:cs="Sylfaen"/>
          <w:lang w:val="hy-AM"/>
        </w:rPr>
        <w:t>րկվածության</w:t>
      </w:r>
      <w:r>
        <w:rPr>
          <w:lang w:val="hy-AM"/>
        </w:rPr>
        <w:t xml:space="preserve"> </w:t>
      </w:r>
      <w:r>
        <w:rPr>
          <w:rFonts w:cs="Sylfaen"/>
          <w:lang w:val="hy-AM"/>
        </w:rPr>
        <w:t>և</w:t>
      </w:r>
      <w:r>
        <w:rPr>
          <w:lang w:val="hy-AM"/>
        </w:rPr>
        <w:t xml:space="preserve"> գ</w:t>
      </w:r>
      <w:r>
        <w:rPr>
          <w:rFonts w:cs="Sylfaen"/>
          <w:lang w:val="hy-AM"/>
        </w:rPr>
        <w:t>րա</w:t>
      </w:r>
      <w:r>
        <w:rPr>
          <w:lang w:val="hy-AM"/>
        </w:rPr>
        <w:t>գ</w:t>
      </w:r>
      <w:r>
        <w:rPr>
          <w:rFonts w:cs="Sylfaen"/>
          <w:lang w:val="hy-AM"/>
        </w:rPr>
        <w:t>իտության</w:t>
      </w:r>
      <w:r>
        <w:rPr>
          <w:lang w:val="hy-AM"/>
        </w:rPr>
        <w:t xml:space="preserve"> </w:t>
      </w:r>
      <w:r>
        <w:rPr>
          <w:rFonts w:cs="Sylfaen"/>
          <w:lang w:val="hy-AM"/>
        </w:rPr>
        <w:t>ապահովումը:</w:t>
      </w:r>
    </w:p>
    <w:p w14:paraId="698491B1" w14:textId="77777777" w:rsidR="00DA0E15" w:rsidRDefault="00362131">
      <w:pPr>
        <w:overflowPunct w:val="0"/>
        <w:autoSpaceDE w:val="0"/>
        <w:autoSpaceDN w:val="0"/>
        <w:adjustRightInd w:val="0"/>
        <w:spacing w:line="276" w:lineRule="auto"/>
        <w:ind w:firstLine="360"/>
        <w:textAlignment w:val="baseline"/>
        <w:rPr>
          <w:rFonts w:cs="Arial"/>
          <w:lang w:val="hy-AM"/>
        </w:rPr>
      </w:pPr>
      <w:r>
        <w:rPr>
          <w:rFonts w:cs="Arial"/>
          <w:lang w:val="hy-AM"/>
        </w:rPr>
        <w:t xml:space="preserve">Ծրագրի շրջանակներում միջոցներ են նախատեսվել </w:t>
      </w:r>
      <w:r>
        <w:rPr>
          <w:rFonts w:cs="Sylfaen"/>
          <w:lang w:val="hy-AM"/>
        </w:rPr>
        <w:t>պարտադիր</w:t>
      </w:r>
      <w:r>
        <w:rPr>
          <w:lang w:val="hy-AM"/>
        </w:rPr>
        <w:t xml:space="preserve"> </w:t>
      </w:r>
      <w:r>
        <w:rPr>
          <w:rFonts w:cs="Sylfaen"/>
          <w:lang w:val="hy-AM"/>
        </w:rPr>
        <w:t>կրթության</w:t>
      </w:r>
      <w:r>
        <w:rPr>
          <w:lang w:val="hy-AM"/>
        </w:rPr>
        <w:t xml:space="preserve"> </w:t>
      </w:r>
      <w:r>
        <w:rPr>
          <w:rFonts w:cs="Sylfaen"/>
          <w:lang w:val="hy-AM"/>
        </w:rPr>
        <w:t>երեք</w:t>
      </w:r>
      <w:r>
        <w:rPr>
          <w:lang w:val="hy-AM"/>
        </w:rPr>
        <w:t xml:space="preserve"> </w:t>
      </w:r>
      <w:r>
        <w:rPr>
          <w:rFonts w:cs="Sylfaen"/>
          <w:lang w:val="hy-AM"/>
        </w:rPr>
        <w:t>մակարդակներում</w:t>
      </w:r>
      <w:r>
        <w:rPr>
          <w:lang w:val="hy-AM"/>
        </w:rPr>
        <w:t xml:space="preserve"> </w:t>
      </w:r>
      <w:r>
        <w:rPr>
          <w:rFonts w:cs="Sylfaen"/>
          <w:lang w:val="hy-AM"/>
        </w:rPr>
        <w:t>սովորողների</w:t>
      </w:r>
      <w:r>
        <w:rPr>
          <w:lang w:val="hy-AM"/>
        </w:rPr>
        <w:t xml:space="preserve"> ուսուցման գծով: </w:t>
      </w:r>
      <w:r>
        <w:rPr>
          <w:rFonts w:cs="Arial"/>
          <w:lang w:val="hy-AM"/>
        </w:rPr>
        <w:t>ՀՀ կառավարության ծրագրով ամրագրված՝ նախադպրոցահասակ երեխաների 70% ընդգրկվածության թիրախն ապահովելու համար կշարունակվի ծախսարդյունավետ նախադպրոցական ծառայությունների հիմնումը համայնքներում:</w:t>
      </w:r>
    </w:p>
    <w:p w14:paraId="1DD62558" w14:textId="77777777" w:rsidR="00DA0E15" w:rsidRDefault="00362131">
      <w:pPr>
        <w:overflowPunct w:val="0"/>
        <w:autoSpaceDE w:val="0"/>
        <w:autoSpaceDN w:val="0"/>
        <w:adjustRightInd w:val="0"/>
        <w:spacing w:line="276" w:lineRule="auto"/>
        <w:ind w:firstLine="360"/>
        <w:textAlignment w:val="baseline"/>
        <w:rPr>
          <w:rFonts w:cs="Arial"/>
          <w:lang w:val="hy-AM"/>
        </w:rPr>
      </w:pPr>
      <w:r>
        <w:rPr>
          <w:rFonts w:cs="Arial"/>
          <w:lang w:val="hy-AM"/>
        </w:rPr>
        <w:t>Կշարունակվի համընդհանուր ներառական կրթության ընդլայնման քաղաքականությունը։ Մինչև  2023 թվականն ապահովվելու է հանրապետության բոլոր մարզերում  և  Երևան  քաղաքում համընդհանուր ներառական հանրակրթությանն անցումը:</w:t>
      </w:r>
    </w:p>
    <w:p w14:paraId="3B6365FA" w14:textId="77777777" w:rsidR="00DA0E15" w:rsidRDefault="00362131">
      <w:pPr>
        <w:tabs>
          <w:tab w:val="left" w:pos="2694"/>
        </w:tabs>
        <w:spacing w:line="276" w:lineRule="auto"/>
        <w:ind w:firstLine="284"/>
        <w:contextualSpacing/>
        <w:rPr>
          <w:rFonts w:cs="Arial"/>
          <w:lang w:val="hy-AM"/>
        </w:rPr>
      </w:pPr>
      <w:r>
        <w:rPr>
          <w:rFonts w:cs="Arial"/>
          <w:lang w:val="hy-AM"/>
        </w:rPr>
        <w:t xml:space="preserve">Ներկայումս հանրապետության  6 մարզերում (Արարատ, Սյունիք, Վայոց Ձոր, Տավուշ, Շիրակ, Արագածոտն) իրականացվում է «Կայուն դպրոցական սնունդ» ծրագիրը: Համավարակով պայմանավորված` 2020 թվականին Գեղարքունիքի մարզում նշված ծրագրին անցումը հետաձգվեց 2021 թվական: 2021-2023 թվականներին ծրագիրը նաև կներդրվի  Արմավիրի, Լոռու և Կոտայքի մարզերում, արդյունքում՝ հանրապետության  բոլոր մարզերի հանրակրթական ուսումնական հաստատություններում տարրական դասարանների և նախակրթարանների սովորողները կստանան առողջ, կայուն և ապահով սնունդ: </w:t>
      </w:r>
    </w:p>
    <w:p w14:paraId="6F4C0CD2" w14:textId="77777777" w:rsidR="00DA0E15" w:rsidRDefault="00362131">
      <w:pPr>
        <w:spacing w:line="276" w:lineRule="auto"/>
        <w:contextualSpacing/>
        <w:rPr>
          <w:rFonts w:cs="GHEA Grapalat"/>
          <w:lang w:val="hy-AM"/>
        </w:rPr>
      </w:pPr>
      <w:r>
        <w:rPr>
          <w:rFonts w:cs="GHEA Grapalat"/>
          <w:lang w:val="hy-AM"/>
        </w:rPr>
        <w:t>Ծրագրի գծով 2022-2024 թվականներին նախատեսվում է հատկացնել, ըստ տարիների՝ 102,701.1; 104,847.0 և 104,395.2 մլն դրամ:</w:t>
      </w:r>
    </w:p>
    <w:p w14:paraId="5394CECC" w14:textId="77777777" w:rsidR="00DA0E15" w:rsidRDefault="00362131">
      <w:pPr>
        <w:spacing w:line="276" w:lineRule="auto"/>
        <w:contextualSpacing/>
        <w:rPr>
          <w:rFonts w:cs="Arial"/>
          <w:b/>
          <w:kern w:val="16"/>
          <w:lang w:val="hy-AM"/>
        </w:rPr>
      </w:pPr>
      <w:r>
        <w:rPr>
          <w:rFonts w:cs="GHEA Grapalat"/>
          <w:lang w:val="hy-AM"/>
        </w:rPr>
        <w:t>4.</w:t>
      </w:r>
      <w:r>
        <w:rPr>
          <w:rFonts w:cs="Arial"/>
          <w:b/>
          <w:kern w:val="16"/>
          <w:lang w:val="hy-AM"/>
        </w:rPr>
        <w:t xml:space="preserve"> «Արտադպրոցական դաստիարակության ծրագիր»</w:t>
      </w:r>
    </w:p>
    <w:p w14:paraId="0ECE415A" w14:textId="77777777" w:rsidR="00DA0E15" w:rsidRDefault="00362131">
      <w:pPr>
        <w:spacing w:line="276" w:lineRule="auto"/>
        <w:ind w:firstLine="360"/>
        <w:rPr>
          <w:rFonts w:cs="GHEA Grapalat"/>
          <w:lang w:val="hy-AM"/>
        </w:rPr>
      </w:pPr>
      <w:r>
        <w:rPr>
          <w:rFonts w:cs="GHEA Grapalat"/>
          <w:lang w:val="hy-AM"/>
        </w:rPr>
        <w:t>Ծրագրի նպատակն է՝ ն</w:t>
      </w:r>
      <w:r>
        <w:rPr>
          <w:rFonts w:cs="Sylfaen"/>
          <w:lang w:val="hy-AM"/>
        </w:rPr>
        <w:t>պաստել</w:t>
      </w:r>
      <w:r>
        <w:rPr>
          <w:lang w:val="hy-AM"/>
        </w:rPr>
        <w:t xml:space="preserve"> </w:t>
      </w:r>
      <w:r>
        <w:rPr>
          <w:rFonts w:cs="Sylfaen"/>
          <w:lang w:val="hy-AM"/>
        </w:rPr>
        <w:t>հանրակրթական</w:t>
      </w:r>
      <w:r>
        <w:rPr>
          <w:lang w:val="hy-AM"/>
        </w:rPr>
        <w:t xml:space="preserve"> </w:t>
      </w:r>
      <w:r>
        <w:rPr>
          <w:rFonts w:cs="Sylfaen"/>
          <w:lang w:val="hy-AM"/>
        </w:rPr>
        <w:t>ուսուցման</w:t>
      </w:r>
      <w:r>
        <w:rPr>
          <w:lang w:val="hy-AM"/>
        </w:rPr>
        <w:t xml:space="preserve"> </w:t>
      </w:r>
      <w:r>
        <w:rPr>
          <w:rFonts w:cs="Sylfaen"/>
          <w:lang w:val="hy-AM"/>
        </w:rPr>
        <w:t>համակար</w:t>
      </w:r>
      <w:r>
        <w:rPr>
          <w:lang w:val="hy-AM"/>
        </w:rPr>
        <w:t>գ</w:t>
      </w:r>
      <w:r>
        <w:rPr>
          <w:rFonts w:cs="Sylfaen"/>
          <w:lang w:val="hy-AM"/>
        </w:rPr>
        <w:t>ում</w:t>
      </w:r>
      <w:r>
        <w:rPr>
          <w:lang w:val="hy-AM"/>
        </w:rPr>
        <w:t xml:space="preserve"> </w:t>
      </w:r>
      <w:r>
        <w:rPr>
          <w:rFonts w:cs="Sylfaen"/>
          <w:lang w:val="hy-AM"/>
        </w:rPr>
        <w:t>ըն</w:t>
      </w:r>
      <w:r>
        <w:rPr>
          <w:lang w:val="hy-AM"/>
        </w:rPr>
        <w:t>դգ</w:t>
      </w:r>
      <w:r>
        <w:rPr>
          <w:rFonts w:cs="Sylfaen"/>
          <w:lang w:val="hy-AM"/>
        </w:rPr>
        <w:t>րկված</w:t>
      </w:r>
      <w:r>
        <w:rPr>
          <w:lang w:val="hy-AM"/>
        </w:rPr>
        <w:t xml:space="preserve"> </w:t>
      </w:r>
      <w:r>
        <w:rPr>
          <w:rFonts w:cs="Sylfaen"/>
          <w:lang w:val="hy-AM"/>
        </w:rPr>
        <w:t>երեխաների</w:t>
      </w:r>
      <w:r>
        <w:rPr>
          <w:lang w:val="hy-AM"/>
        </w:rPr>
        <w:t xml:space="preserve"> </w:t>
      </w:r>
      <w:r>
        <w:rPr>
          <w:rFonts w:cs="Sylfaen"/>
          <w:lang w:val="hy-AM"/>
        </w:rPr>
        <w:t>հո</w:t>
      </w:r>
      <w:r>
        <w:rPr>
          <w:lang w:val="hy-AM"/>
        </w:rPr>
        <w:t>գ</w:t>
      </w:r>
      <w:r>
        <w:rPr>
          <w:rFonts w:cs="Sylfaen"/>
          <w:lang w:val="hy-AM"/>
        </w:rPr>
        <w:t>ևոր</w:t>
      </w:r>
      <w:r>
        <w:rPr>
          <w:lang w:val="hy-AM"/>
        </w:rPr>
        <w:t xml:space="preserve"> </w:t>
      </w:r>
      <w:r>
        <w:rPr>
          <w:rFonts w:cs="Sylfaen"/>
          <w:lang w:val="hy-AM"/>
        </w:rPr>
        <w:t>և</w:t>
      </w:r>
      <w:r>
        <w:rPr>
          <w:lang w:val="hy-AM"/>
        </w:rPr>
        <w:t xml:space="preserve"> գ</w:t>
      </w:r>
      <w:r>
        <w:rPr>
          <w:rFonts w:cs="Sylfaen"/>
          <w:lang w:val="hy-AM"/>
        </w:rPr>
        <w:t>եղա</w:t>
      </w:r>
      <w:r>
        <w:rPr>
          <w:lang w:val="hy-AM"/>
        </w:rPr>
        <w:t>գ</w:t>
      </w:r>
      <w:r>
        <w:rPr>
          <w:rFonts w:cs="Sylfaen"/>
          <w:lang w:val="hy-AM"/>
        </w:rPr>
        <w:t>իտական</w:t>
      </w:r>
      <w:r>
        <w:rPr>
          <w:lang w:val="hy-AM"/>
        </w:rPr>
        <w:t xml:space="preserve"> </w:t>
      </w:r>
      <w:r>
        <w:rPr>
          <w:rFonts w:cs="Sylfaen"/>
          <w:lang w:val="hy-AM"/>
        </w:rPr>
        <w:t>զար</w:t>
      </w:r>
      <w:r>
        <w:rPr>
          <w:lang w:val="hy-AM"/>
        </w:rPr>
        <w:t>գ</w:t>
      </w:r>
      <w:r>
        <w:rPr>
          <w:rFonts w:cs="Sylfaen"/>
          <w:lang w:val="hy-AM"/>
        </w:rPr>
        <w:t>ացմանը</w:t>
      </w:r>
      <w:r>
        <w:rPr>
          <w:lang w:val="hy-AM"/>
        </w:rPr>
        <w:t xml:space="preserve">, </w:t>
      </w:r>
      <w:r>
        <w:rPr>
          <w:rFonts w:cs="Sylfaen"/>
          <w:lang w:val="hy-AM"/>
        </w:rPr>
        <w:t>բնապահպանական</w:t>
      </w:r>
      <w:r>
        <w:rPr>
          <w:lang w:val="hy-AM"/>
        </w:rPr>
        <w:t xml:space="preserve"> </w:t>
      </w:r>
      <w:r>
        <w:rPr>
          <w:rFonts w:cs="Sylfaen"/>
          <w:lang w:val="hy-AM"/>
        </w:rPr>
        <w:t>և</w:t>
      </w:r>
      <w:r>
        <w:rPr>
          <w:lang w:val="hy-AM"/>
        </w:rPr>
        <w:t xml:space="preserve"> </w:t>
      </w:r>
      <w:r>
        <w:rPr>
          <w:rFonts w:cs="Sylfaen"/>
          <w:lang w:val="hy-AM"/>
        </w:rPr>
        <w:t>կիրառական</w:t>
      </w:r>
      <w:r>
        <w:rPr>
          <w:lang w:val="hy-AM"/>
        </w:rPr>
        <w:t xml:space="preserve"> գ</w:t>
      </w:r>
      <w:r>
        <w:rPr>
          <w:rFonts w:cs="Sylfaen"/>
          <w:lang w:val="hy-AM"/>
        </w:rPr>
        <w:t>իտելիքների</w:t>
      </w:r>
      <w:r>
        <w:rPr>
          <w:lang w:val="hy-AM"/>
        </w:rPr>
        <w:t xml:space="preserve"> </w:t>
      </w:r>
      <w:r>
        <w:rPr>
          <w:rFonts w:cs="Sylfaen"/>
          <w:lang w:val="hy-AM"/>
        </w:rPr>
        <w:t>ձեռքբերմանը</w:t>
      </w:r>
      <w:r>
        <w:rPr>
          <w:lang w:val="hy-AM"/>
        </w:rPr>
        <w:t>, որի</w:t>
      </w:r>
      <w:r>
        <w:rPr>
          <w:rFonts w:cs="GHEA Grapalat"/>
          <w:lang w:val="hy-AM"/>
        </w:rPr>
        <w:t xml:space="preserve"> գծով 2022-2024 թվականներին նախատեսվում է հատկացնել, ըստ տարիների՝ 3,431.2; 3,468.6 և 3,468.6 մլն դրամ:</w:t>
      </w:r>
    </w:p>
    <w:p w14:paraId="19ADD9FD" w14:textId="77777777" w:rsidR="00DA0E15" w:rsidRDefault="00362131" w:rsidP="00C0628C">
      <w:pPr>
        <w:pStyle w:val="ListParagraph"/>
        <w:numPr>
          <w:ilvl w:val="0"/>
          <w:numId w:val="18"/>
        </w:numPr>
        <w:spacing w:line="276" w:lineRule="auto"/>
        <w:rPr>
          <w:rFonts w:cs="GHEA Grapalat"/>
          <w:lang w:val="hy-AM"/>
        </w:rPr>
      </w:pPr>
      <w:r>
        <w:rPr>
          <w:rFonts w:cs="Arial"/>
          <w:b/>
          <w:kern w:val="16"/>
          <w:lang w:val="hy-AM"/>
        </w:rPr>
        <w:t>«Ապահով դպրոց»</w:t>
      </w:r>
    </w:p>
    <w:p w14:paraId="3D906C8B" w14:textId="77777777" w:rsidR="00DA0E15" w:rsidRDefault="00362131">
      <w:pPr>
        <w:spacing w:line="276" w:lineRule="auto"/>
        <w:ind w:firstLine="346"/>
        <w:rPr>
          <w:rFonts w:cs="Arial"/>
          <w:lang w:val="hy-AM"/>
        </w:rPr>
      </w:pPr>
      <w:r>
        <w:rPr>
          <w:rFonts w:cs="GHEA Grapalat"/>
          <w:lang w:val="hy-AM"/>
        </w:rPr>
        <w:t xml:space="preserve">Ծրագրի նպատակն է՝ </w:t>
      </w:r>
      <w:r>
        <w:rPr>
          <w:rFonts w:cs="Sylfaen"/>
          <w:lang w:val="hy-AM"/>
        </w:rPr>
        <w:t xml:space="preserve">դպրոցներին սպառնացող աղետների ռիսկի կառավարման կարողությունների հզորացումը, դպրոցի անձնակազմի և աշակերտների անվտանգության ապահովման մակարդակի բարձրացումը` կիրառելով ներառական և երեխայակենտրոն մոտեցումներ: Ծրագրի շրջանակներում </w:t>
      </w:r>
      <w:r>
        <w:rPr>
          <w:rFonts w:cs="Arial"/>
          <w:lang w:val="hy-AM"/>
        </w:rPr>
        <w:t xml:space="preserve">կշարունակվեն փոքրաթիվ համակազմ ունեցող դպրոցների կառուցման աշխատանքները: </w:t>
      </w:r>
    </w:p>
    <w:p w14:paraId="68A0DBB9" w14:textId="77777777" w:rsidR="00DA0E15" w:rsidRDefault="00362131">
      <w:pPr>
        <w:spacing w:line="276" w:lineRule="auto"/>
        <w:ind w:firstLine="346"/>
        <w:rPr>
          <w:rFonts w:cs="GHEA Grapalat"/>
          <w:lang w:val="hy-AM"/>
        </w:rPr>
      </w:pPr>
      <w:r>
        <w:rPr>
          <w:rFonts w:cs="GHEA Grapalat"/>
          <w:lang w:val="hy-AM"/>
        </w:rPr>
        <w:t>Ծրագրի գծով 2022-2024 թվականներին նախատեսվում է հատկացնել, ըստ տարիների</w:t>
      </w:r>
      <w:r>
        <w:rPr>
          <w:rFonts w:cs="GHEA Grapalat"/>
          <w:color w:val="FF0000"/>
          <w:lang w:val="hy-AM"/>
        </w:rPr>
        <w:t xml:space="preserve">՝ </w:t>
      </w:r>
      <w:r>
        <w:rPr>
          <w:rFonts w:cs="GHEA Grapalat"/>
          <w:lang w:val="hy-AM"/>
        </w:rPr>
        <w:t>10,396.0; 520.2 և 497.3 մլն դրամ:</w:t>
      </w:r>
    </w:p>
    <w:p w14:paraId="7E1A3021" w14:textId="77777777" w:rsidR="00DA0E15" w:rsidRDefault="00362131" w:rsidP="00C0628C">
      <w:pPr>
        <w:numPr>
          <w:ilvl w:val="0"/>
          <w:numId w:val="18"/>
        </w:numPr>
        <w:spacing w:line="276" w:lineRule="auto"/>
        <w:ind w:left="706"/>
        <w:contextualSpacing/>
        <w:rPr>
          <w:lang w:val="hy-AM"/>
        </w:rPr>
      </w:pPr>
      <w:r>
        <w:rPr>
          <w:rFonts w:cs="Arial"/>
          <w:b/>
          <w:kern w:val="16"/>
          <w:lang w:val="hy-AM"/>
        </w:rPr>
        <w:t>«Կրթության որակի ապահովում»</w:t>
      </w:r>
    </w:p>
    <w:p w14:paraId="4DB55FB8" w14:textId="77777777" w:rsidR="00DA0E15" w:rsidRDefault="00362131">
      <w:pPr>
        <w:spacing w:line="276" w:lineRule="auto"/>
        <w:ind w:firstLine="346"/>
        <w:rPr>
          <w:lang w:val="hy-AM"/>
        </w:rPr>
      </w:pPr>
      <w:r>
        <w:rPr>
          <w:rFonts w:cs="GHEA Grapalat"/>
          <w:lang w:val="hy-AM"/>
        </w:rPr>
        <w:t>Ծրագրի նպատակն է՝ ը</w:t>
      </w:r>
      <w:r>
        <w:rPr>
          <w:lang w:val="hy-AM"/>
        </w:rPr>
        <w:t>նթացիկ աշխատանքների, բարեփոխումների և նոր նախաձեռնությունների միջոցով ֆորմալ և ոչ-ֆորմալ կրթության ոլորտում իրականացվող միջոցառումների, մատուցվող ծառայությունների բովանդակության և կազմակերպման որակի շարունակական բարելավումը:</w:t>
      </w:r>
    </w:p>
    <w:p w14:paraId="4225E7E4" w14:textId="77777777" w:rsidR="00DA0E15" w:rsidRDefault="00362131">
      <w:pPr>
        <w:tabs>
          <w:tab w:val="left" w:pos="2694"/>
        </w:tabs>
        <w:spacing w:line="276" w:lineRule="auto"/>
        <w:ind w:firstLine="284"/>
        <w:contextualSpacing/>
        <w:rPr>
          <w:rFonts w:cs="GHEA Grapalat"/>
          <w:lang w:val="hy-AM"/>
        </w:rPr>
      </w:pPr>
      <w:r>
        <w:rPr>
          <w:rFonts w:cs="GHEA Grapalat"/>
          <w:lang w:val="hy-AM"/>
        </w:rPr>
        <w:t>Որպես կրթության որակի ապահովման հիմնական գործոն նախարարության (կառավարության) ուշադրության կենտրոնում կլինի ուսուցիչների գործունեությունը</w:t>
      </w:r>
      <w:r>
        <w:rPr>
          <w:rFonts w:ascii="MS Mincho" w:eastAsia="MS Mincho" w:hAnsi="MS Mincho" w:cs="MS Mincho" w:hint="eastAsia"/>
          <w:lang w:val="hy-AM"/>
        </w:rPr>
        <w:t>․</w:t>
      </w:r>
      <w:r>
        <w:rPr>
          <w:rFonts w:cs="GHEA Grapalat"/>
          <w:lang w:val="hy-AM"/>
        </w:rPr>
        <w:t xml:space="preserve"> կստեղծվեն ուսուցիչների մասնագիտական առաջընթացը խթանող մեխանիզմներ և հնարավորություններ, 2021 թվականին վերանայվել է ուսուցիչների ատեստավորման համակարգը՝ այն կապելով լրացուցիչ վարձատրության հնարավորությունների հետ։ Մշակվել է ուսուցիչների այլընտրանքային՝ կամավոր ատեստավորման համակարգ, որը կգործի պարտադիր ատեստավորմանը զուգահեռ և ուսուցիչների աշխատավարձի բարձրացման հնարավորություն կընձեռի:</w:t>
      </w:r>
    </w:p>
    <w:p w14:paraId="433DEBB2" w14:textId="77777777" w:rsidR="00DA0E15" w:rsidRDefault="00362131">
      <w:pPr>
        <w:tabs>
          <w:tab w:val="left" w:pos="2694"/>
        </w:tabs>
        <w:spacing w:line="276" w:lineRule="auto"/>
        <w:ind w:firstLine="284"/>
        <w:contextualSpacing/>
        <w:rPr>
          <w:rFonts w:cs="GHEA Grapalat"/>
          <w:lang w:val="hy-AM"/>
        </w:rPr>
      </w:pPr>
      <w:r>
        <w:rPr>
          <w:rFonts w:cs="GHEA Grapalat"/>
          <w:lang w:val="hy-AM"/>
        </w:rPr>
        <w:t xml:space="preserve">Ուսուցիչների մասնագիտական առաջընթացի քաղաքականությունը կզուգորդվի մեկ այլ գերակա ուղղության՝ կրթության բովանդակային արդիականացմամբ, ինչը կիրականացվի Համաշխարհային բանկի աջակցությամբ իրականացվող «ԵՄ-ն հանուն նորարարության» դրամաշնորհային ծրագրի շրջանակում։ Կրթության բովանդակային բարեփոխումներում հատուկ կարևորվում են STEM առարկաները, որոնց արդյունքում ձեռքբերված կարողություններն ու գիտելիքներն առանցքային են ժամանակակից աշխարհում։ </w:t>
      </w:r>
    </w:p>
    <w:p w14:paraId="3987EBA6" w14:textId="77777777" w:rsidR="00DA0E15" w:rsidRDefault="00362131">
      <w:pPr>
        <w:spacing w:line="276" w:lineRule="auto"/>
        <w:ind w:firstLine="346"/>
        <w:rPr>
          <w:rFonts w:cs="GHEA Grapalat"/>
          <w:lang w:val="hy-AM"/>
        </w:rPr>
      </w:pPr>
      <w:r>
        <w:rPr>
          <w:rFonts w:cs="GHEA Grapalat"/>
          <w:lang w:val="hy-AM"/>
        </w:rPr>
        <w:t>Ծրագրի գծով 2022-2024 թվականներին նախատեսվում է հատկացնել, ըստ տարիների՝</w:t>
      </w:r>
      <w:r>
        <w:rPr>
          <w:rFonts w:cs="GHEA Grapalat"/>
          <w:color w:val="FF0000"/>
          <w:lang w:val="hy-AM"/>
        </w:rPr>
        <w:t xml:space="preserve"> </w:t>
      </w:r>
      <w:r>
        <w:rPr>
          <w:rFonts w:cs="GHEA Grapalat"/>
          <w:lang w:val="hy-AM"/>
        </w:rPr>
        <w:t>1,169.2; 1,181.8 և 1,076.2 մլն դրամ:</w:t>
      </w:r>
    </w:p>
    <w:p w14:paraId="2E680CEF" w14:textId="77777777" w:rsidR="00DA0E15" w:rsidRDefault="00362131">
      <w:pPr>
        <w:spacing w:line="276" w:lineRule="auto"/>
        <w:rPr>
          <w:rFonts w:cs="Arial"/>
          <w:b/>
          <w:kern w:val="16"/>
          <w:lang w:val="hy-AM"/>
        </w:rPr>
      </w:pPr>
      <w:r>
        <w:rPr>
          <w:rFonts w:cs="Arial"/>
          <w:kern w:val="16"/>
          <w:lang w:val="hy-AM"/>
        </w:rPr>
        <w:t xml:space="preserve">7. </w:t>
      </w:r>
      <w:r>
        <w:rPr>
          <w:rFonts w:cs="Arial"/>
          <w:b/>
          <w:kern w:val="16"/>
          <w:lang w:val="hy-AM"/>
        </w:rPr>
        <w:t xml:space="preserve">«Համընդհանուր ներառական կրթության համակարգի ներդրում» </w:t>
      </w:r>
    </w:p>
    <w:p w14:paraId="68C4E731" w14:textId="77777777" w:rsidR="00DA0E15" w:rsidRDefault="00362131">
      <w:pPr>
        <w:spacing w:line="276" w:lineRule="auto"/>
        <w:ind w:firstLine="706"/>
        <w:rPr>
          <w:rFonts w:cs="Arial"/>
          <w:kern w:val="16"/>
          <w:lang w:val="hy-AM"/>
        </w:rPr>
      </w:pPr>
      <w:r>
        <w:rPr>
          <w:rFonts w:cs="GHEA Grapalat"/>
          <w:lang w:val="hy-AM"/>
        </w:rPr>
        <w:t>Ծրագրի նպատակն է՝ յ</w:t>
      </w:r>
      <w:r>
        <w:rPr>
          <w:lang w:val="hy-AM"/>
        </w:rPr>
        <w:t>ուր</w:t>
      </w:r>
      <w:r>
        <w:rPr>
          <w:rFonts w:cs="Sylfaen"/>
          <w:lang w:val="hy-AM"/>
        </w:rPr>
        <w:t>աքանչյուր</w:t>
      </w:r>
      <w:r>
        <w:rPr>
          <w:rFonts w:cs="Arial Armenian"/>
          <w:lang w:val="hy-AM"/>
        </w:rPr>
        <w:t xml:space="preserve"> </w:t>
      </w:r>
      <w:r>
        <w:rPr>
          <w:rFonts w:cs="Sylfaen"/>
          <w:lang w:val="hy-AM"/>
        </w:rPr>
        <w:t>երեխայի</w:t>
      </w:r>
      <w:r>
        <w:rPr>
          <w:rFonts w:cs="Arial Armenian"/>
          <w:lang w:val="hy-AM"/>
        </w:rPr>
        <w:t xml:space="preserve"> </w:t>
      </w:r>
      <w:r>
        <w:rPr>
          <w:rFonts w:cs="Sylfaen"/>
          <w:lang w:val="hy-AM"/>
        </w:rPr>
        <w:t>համար</w:t>
      </w:r>
      <w:r>
        <w:rPr>
          <w:rFonts w:cs="Arial Armenian"/>
          <w:lang w:val="hy-AM"/>
        </w:rPr>
        <w:t xml:space="preserve"> </w:t>
      </w:r>
      <w:r>
        <w:rPr>
          <w:rFonts w:cs="Sylfaen"/>
          <w:lang w:val="hy-AM"/>
        </w:rPr>
        <w:t>կրթության</w:t>
      </w:r>
      <w:r>
        <w:rPr>
          <w:rFonts w:cs="Arial Armenian"/>
          <w:lang w:val="hy-AM"/>
        </w:rPr>
        <w:t xml:space="preserve"> </w:t>
      </w:r>
      <w:r>
        <w:rPr>
          <w:rFonts w:cs="Sylfaen"/>
          <w:lang w:val="hy-AM"/>
        </w:rPr>
        <w:t>մատչելիության</w:t>
      </w:r>
      <w:r>
        <w:rPr>
          <w:rFonts w:cs="Arial Armenian"/>
          <w:lang w:val="hy-AM"/>
        </w:rPr>
        <w:t xml:space="preserve">,  </w:t>
      </w:r>
      <w:r>
        <w:rPr>
          <w:rFonts w:cs="Sylfaen"/>
          <w:lang w:val="hy-AM"/>
        </w:rPr>
        <w:t>հավասար</w:t>
      </w:r>
      <w:r>
        <w:rPr>
          <w:rFonts w:cs="Arial Armenian"/>
          <w:lang w:val="hy-AM"/>
        </w:rPr>
        <w:t xml:space="preserve"> </w:t>
      </w:r>
      <w:r>
        <w:rPr>
          <w:rFonts w:cs="Sylfaen"/>
          <w:lang w:val="hy-AM"/>
        </w:rPr>
        <w:t>մասնակցության հնարավորության</w:t>
      </w:r>
      <w:r>
        <w:rPr>
          <w:rFonts w:cs="Arial Armenian"/>
          <w:lang w:val="hy-AM"/>
        </w:rPr>
        <w:t xml:space="preserve"> </w:t>
      </w:r>
      <w:r>
        <w:rPr>
          <w:rFonts w:cs="Sylfaen"/>
          <w:lang w:val="hy-AM"/>
        </w:rPr>
        <w:t>և</w:t>
      </w:r>
      <w:r>
        <w:rPr>
          <w:rFonts w:cs="Arial Armenian"/>
          <w:lang w:val="hy-AM"/>
        </w:rPr>
        <w:t xml:space="preserve"> </w:t>
      </w:r>
      <w:r>
        <w:rPr>
          <w:rFonts w:cs="Sylfaen"/>
          <w:lang w:val="hy-AM"/>
        </w:rPr>
        <w:t>որակի</w:t>
      </w:r>
      <w:r>
        <w:rPr>
          <w:rFonts w:cs="Arial Armenian"/>
          <w:lang w:val="hy-AM"/>
        </w:rPr>
        <w:t xml:space="preserve"> </w:t>
      </w:r>
      <w:r>
        <w:rPr>
          <w:rFonts w:cs="Sylfaen"/>
          <w:lang w:val="hy-AM"/>
        </w:rPr>
        <w:t>ապահովումը</w:t>
      </w:r>
      <w:r>
        <w:rPr>
          <w:rFonts w:cs="Arial Armenian"/>
          <w:lang w:val="hy-AM"/>
        </w:rPr>
        <w:t xml:space="preserve">՝ </w:t>
      </w:r>
      <w:r>
        <w:rPr>
          <w:rFonts w:cs="Sylfaen"/>
          <w:lang w:val="hy-AM"/>
        </w:rPr>
        <w:t>զար</w:t>
      </w:r>
      <w:r>
        <w:rPr>
          <w:rFonts w:cs="Arial Armenian"/>
          <w:lang w:val="hy-AM"/>
        </w:rPr>
        <w:t>գ</w:t>
      </w:r>
      <w:r>
        <w:rPr>
          <w:rFonts w:cs="Sylfaen"/>
          <w:lang w:val="hy-AM"/>
        </w:rPr>
        <w:t>ացման</w:t>
      </w:r>
      <w:r>
        <w:rPr>
          <w:rFonts w:cs="Arial Armenian"/>
          <w:lang w:val="hy-AM"/>
        </w:rPr>
        <w:t xml:space="preserve"> </w:t>
      </w:r>
      <w:r>
        <w:rPr>
          <w:rFonts w:cs="Sylfaen"/>
          <w:lang w:val="hy-AM"/>
        </w:rPr>
        <w:t>առանձնահատկություններին համապատասխան</w:t>
      </w:r>
      <w:r>
        <w:rPr>
          <w:rFonts w:cs="Arial Armenian"/>
          <w:lang w:val="hy-AM"/>
        </w:rPr>
        <w:t xml:space="preserve"> </w:t>
      </w:r>
      <w:r>
        <w:rPr>
          <w:rFonts w:cs="Sylfaen"/>
          <w:lang w:val="hy-AM"/>
        </w:rPr>
        <w:t>և</w:t>
      </w:r>
      <w:r>
        <w:rPr>
          <w:rFonts w:cs="Arial Armenian"/>
          <w:lang w:val="hy-AM"/>
        </w:rPr>
        <w:t xml:space="preserve"> </w:t>
      </w:r>
      <w:r>
        <w:rPr>
          <w:rFonts w:cs="Sylfaen"/>
          <w:lang w:val="hy-AM"/>
        </w:rPr>
        <w:t>անհրաժեշտ</w:t>
      </w:r>
      <w:r>
        <w:rPr>
          <w:rFonts w:cs="Arial Armenian"/>
          <w:lang w:val="hy-AM"/>
        </w:rPr>
        <w:t xml:space="preserve"> </w:t>
      </w:r>
      <w:r>
        <w:rPr>
          <w:rFonts w:cs="Sylfaen"/>
          <w:lang w:val="hy-AM"/>
        </w:rPr>
        <w:t>պայմանների</w:t>
      </w:r>
      <w:r>
        <w:rPr>
          <w:rFonts w:cs="Arial Armenian"/>
          <w:lang w:val="hy-AM"/>
        </w:rPr>
        <w:t xml:space="preserve"> </w:t>
      </w:r>
      <w:r>
        <w:rPr>
          <w:rFonts w:cs="Sylfaen"/>
          <w:lang w:val="hy-AM"/>
        </w:rPr>
        <w:t>ստեղծման</w:t>
      </w:r>
      <w:r>
        <w:rPr>
          <w:rFonts w:cs="Arial Armenian"/>
          <w:lang w:val="hy-AM"/>
        </w:rPr>
        <w:t xml:space="preserve"> </w:t>
      </w:r>
      <w:r>
        <w:rPr>
          <w:rFonts w:cs="Sylfaen"/>
          <w:lang w:val="hy-AM"/>
        </w:rPr>
        <w:t>միջոցով:</w:t>
      </w:r>
    </w:p>
    <w:p w14:paraId="64E62FBF" w14:textId="77777777" w:rsidR="00DA0E15" w:rsidRDefault="00362131">
      <w:pPr>
        <w:spacing w:line="276" w:lineRule="auto"/>
        <w:rPr>
          <w:lang w:val="hy-AM"/>
        </w:rPr>
      </w:pPr>
      <w:r>
        <w:rPr>
          <w:lang w:val="hy-AM"/>
        </w:rPr>
        <w:t>Մինչև  2023 թվականն ապահովվելու է անցումը համընդհանուր ներառական հանրակրթությանը, որով պայմանավորված հատուկ դպրոցները կվերակազմավորվեն մանկավարժահոգեբանական աջակցության կենտրոնների, իսկ այնտեղ սովորող երեխաները կտեղափոխվեն հանրակրթական դպրոցներ։ Կընդլայնվի հանրակրթական դպրոցների ներառական կրթության կարողությունների հզորացումը, լրացուցիչ ծրագրեր կիրականացվեն ուսուցիչների կարողությունների զարգացման ուղղությամբ։ ԱՄՆ ՄԶԳ աջակցությամբ իրականացվող «Ներառական կրթության համակարգի ներդրում» դրամաշնորհային ծրագրով 100 դպրոցներում և 5 մանկավարժահոգեբանական աջակցության կենտրոններում կիրականացվեն կրթության առանձնահատուկ պայմանների կարիք ունեցող անձանց մատչելիության համար հարմարեցման վերանորոգման աշխատանքներ։</w:t>
      </w:r>
    </w:p>
    <w:p w14:paraId="6DC29045" w14:textId="77777777" w:rsidR="00DA0E15" w:rsidRDefault="00362131" w:rsidP="006478E6">
      <w:pPr>
        <w:spacing w:line="276" w:lineRule="auto"/>
        <w:ind w:firstLine="540"/>
        <w:rPr>
          <w:rFonts w:cs="GHEA Grapalat"/>
          <w:lang w:val="hy-AM"/>
        </w:rPr>
      </w:pPr>
      <w:r>
        <w:rPr>
          <w:rFonts w:cs="GHEA Grapalat"/>
          <w:lang w:val="hy-AM"/>
        </w:rPr>
        <w:t>Ծրագրի գծով 2022-2024 թվականներին նախատեսվում է հատկացնել, ըստ տարիների՝ 2,469.2; 2,407.9 և 2,407.9 մլն դրամ:</w:t>
      </w:r>
    </w:p>
    <w:p w14:paraId="5C2597C2" w14:textId="77777777" w:rsidR="00DA0E15" w:rsidRDefault="00362131">
      <w:pPr>
        <w:spacing w:line="276" w:lineRule="auto"/>
        <w:ind w:left="706" w:firstLine="0"/>
        <w:rPr>
          <w:rFonts w:cs="Arial"/>
          <w:b/>
          <w:kern w:val="16"/>
          <w:lang w:val="hy-AM"/>
        </w:rPr>
      </w:pPr>
      <w:r>
        <w:rPr>
          <w:rFonts w:cs="Arial"/>
          <w:b/>
          <w:kern w:val="16"/>
          <w:lang w:val="hy-AM"/>
        </w:rPr>
        <w:t xml:space="preserve">8. «Կրթության, մշակույթի և սպորտի  ոլորտներում միջազգային և սփյուռքի հետ համագործակցության զարգացում» </w:t>
      </w:r>
    </w:p>
    <w:p w14:paraId="293BCE83" w14:textId="77777777" w:rsidR="00DA0E15" w:rsidRDefault="00362131">
      <w:pPr>
        <w:spacing w:line="276" w:lineRule="auto"/>
        <w:rPr>
          <w:lang w:val="hy-AM"/>
        </w:rPr>
      </w:pPr>
      <w:r>
        <w:rPr>
          <w:lang w:val="hy-AM"/>
        </w:rPr>
        <w:t>Ծրագրի նպատակն է՝ կրթության,  մշակույթի և սպորտի ոլորտներում Հայաստանի Հանրապետության և օտարերկրյա պետությունների, միջազգային կազմակերպությունների, հայկական համայնքների հետ փոխհամագործակցության ապահովումը:</w:t>
      </w:r>
    </w:p>
    <w:p w14:paraId="766E33AE" w14:textId="77777777" w:rsidR="00DA0E15" w:rsidRDefault="00362131">
      <w:pPr>
        <w:spacing w:line="276" w:lineRule="auto"/>
        <w:ind w:firstLine="346"/>
        <w:rPr>
          <w:rFonts w:cs="GHEA Grapalat"/>
          <w:lang w:val="hy-AM"/>
        </w:rPr>
      </w:pPr>
      <w:r>
        <w:rPr>
          <w:rFonts w:cs="GHEA Grapalat"/>
          <w:lang w:val="hy-AM"/>
        </w:rPr>
        <w:t>Ծրագրի գծով 2022-2024 թվականներին նախատեսվում է հատկացնել, ըստ տարիների՝ 1,046.9; 406.9 և 435.8 մլն դրամ:</w:t>
      </w:r>
    </w:p>
    <w:p w14:paraId="7CC18DF9" w14:textId="77777777" w:rsidR="00DA0E15" w:rsidRDefault="00362131">
      <w:pPr>
        <w:spacing w:line="276" w:lineRule="auto"/>
        <w:ind w:left="706" w:firstLine="0"/>
        <w:rPr>
          <w:rFonts w:cs="Arial"/>
          <w:b/>
          <w:kern w:val="16"/>
          <w:lang w:val="hy-AM"/>
        </w:rPr>
      </w:pPr>
      <w:r>
        <w:rPr>
          <w:rFonts w:cs="Arial"/>
          <w:b/>
          <w:kern w:val="16"/>
          <w:lang w:val="hy-AM"/>
        </w:rPr>
        <w:t>9. «Կրթության ոլորտում տեղեկատվական և հաղորդակցական տեխնոլոգիաների ներդրում»</w:t>
      </w:r>
    </w:p>
    <w:p w14:paraId="28707BB9" w14:textId="77777777" w:rsidR="00DA0E15" w:rsidRDefault="00362131">
      <w:pPr>
        <w:spacing w:line="276" w:lineRule="auto"/>
        <w:rPr>
          <w:rFonts w:cs="GHEA Grapalat"/>
          <w:lang w:val="hy-AM"/>
        </w:rPr>
      </w:pPr>
      <w:r>
        <w:rPr>
          <w:lang w:val="hy-AM"/>
        </w:rPr>
        <w:t>Ծրագրի նպատակն է՝ կրթության ոլորտում տեղեկատվական և հաղորդակցական տեխնոլոգիաների կիրառման ընդլայնումը, որի</w:t>
      </w:r>
      <w:r>
        <w:rPr>
          <w:rFonts w:cs="GHEA Grapalat"/>
          <w:lang w:val="hy-AM"/>
        </w:rPr>
        <w:t xml:space="preserve"> գծով 2022-2024 թվականներին նախատեսվում է հատկացնել, ըստ տարիների՝</w:t>
      </w:r>
      <w:r>
        <w:rPr>
          <w:rFonts w:cs="GHEA Grapalat"/>
          <w:color w:val="FF0000"/>
          <w:lang w:val="hy-AM"/>
        </w:rPr>
        <w:t xml:space="preserve"> </w:t>
      </w:r>
      <w:r>
        <w:rPr>
          <w:rFonts w:cs="GHEA Grapalat"/>
          <w:lang w:val="hy-AM"/>
        </w:rPr>
        <w:t>397.4; 424.1 և 424.1 մլն դրամ:</w:t>
      </w:r>
    </w:p>
    <w:p w14:paraId="7E474231" w14:textId="77777777" w:rsidR="00DA0E15" w:rsidRDefault="00DA0E15">
      <w:pPr>
        <w:rPr>
          <w:lang w:val="hy-AM"/>
        </w:rPr>
      </w:pPr>
    </w:p>
    <w:p w14:paraId="0EC357C7" w14:textId="77777777" w:rsidR="00DA0E15" w:rsidRDefault="00362131">
      <w:pPr>
        <w:tabs>
          <w:tab w:val="left" w:pos="851"/>
          <w:tab w:val="left" w:pos="993"/>
        </w:tabs>
        <w:spacing w:line="276" w:lineRule="auto"/>
        <w:rPr>
          <w:rFonts w:cs="GHEA Grapalat"/>
          <w:b/>
          <w:lang w:val="hy-AM"/>
        </w:rPr>
      </w:pPr>
      <w:r>
        <w:rPr>
          <w:rFonts w:cs="GHEA Grapalat"/>
          <w:b/>
          <w:lang w:val="hy-AM"/>
        </w:rPr>
        <w:t>Գիտության ոլորտ</w:t>
      </w:r>
    </w:p>
    <w:p w14:paraId="770B1813" w14:textId="77777777" w:rsidR="00DA0E15" w:rsidRDefault="00362131">
      <w:pPr>
        <w:spacing w:before="0" w:after="0" w:line="276" w:lineRule="auto"/>
        <w:rPr>
          <w:lang w:val="fr-FR"/>
        </w:rPr>
      </w:pPr>
      <w:r>
        <w:rPr>
          <w:lang w:val="hy-AM"/>
        </w:rPr>
        <w:t xml:space="preserve">ՀՀ գիտության ոլորտում պետական քաղաքականության հիմնական նպատակներն են </w:t>
      </w:r>
      <w:r>
        <w:rPr>
          <w:rFonts w:eastAsia="Tahoma" w:cs="Tahoma"/>
          <w:lang w:val="af-ZA"/>
        </w:rPr>
        <w:t>գիտության կայուն զարգացման ապահովումը, գիտության ֆինանսավորման արդյունավետության բարձրացումը և կատարողականի վրա հիմնված ֆինանսավորման մեխանիզմների ներդրումը, միջազգայնորեն մրցունակ հիմնարար ուսումնասիրությունների, տնտեսության պահանջներից բխող կիրառական հետազոտությունների, ինչպես նաև երկակի նշանակություն ունեցող գիտելիքների ձեռքբերմանն ուղղված գիտահետազոտական աշխատանքների խթանումը, գիտական կադրերի վերարտադրության արդյունավետ համակարգի ներդրումը, գիտության ենթակառուցվածքների արդիականացումը, կրթութուն-գիտություն կապի ամրապնդումը, գիտական արդյունքի առևտրայնացումը, միջազգային գիտական համագործակցության զարգացումը, մտավոր սեփականության արդյունավետ պաշտպանությունը, գիտության ֆինանսավորման բյուջետային և արտաբյուջետային միջոցների ավելացումը</w:t>
      </w:r>
      <w:r>
        <w:rPr>
          <w:lang w:val="hy-AM"/>
        </w:rPr>
        <w:t>:</w:t>
      </w:r>
      <w:r>
        <w:rPr>
          <w:lang w:val="fr-FR"/>
        </w:rPr>
        <w:t xml:space="preserve"> </w:t>
      </w:r>
    </w:p>
    <w:p w14:paraId="7FA7863D" w14:textId="77777777" w:rsidR="00DA0E15" w:rsidRDefault="00362131">
      <w:pPr>
        <w:spacing w:before="0" w:after="0" w:line="276" w:lineRule="auto"/>
        <w:rPr>
          <w:lang w:val="fr-FR"/>
        </w:rPr>
      </w:pPr>
      <w:r>
        <w:rPr>
          <w:rFonts w:cs="Sylfaen"/>
        </w:rPr>
        <w:t>Այդ</w:t>
      </w:r>
      <w:r>
        <w:rPr>
          <w:rFonts w:cs="Sylfaen"/>
          <w:lang w:val="fr-FR"/>
        </w:rPr>
        <w:t xml:space="preserve"> </w:t>
      </w:r>
      <w:r>
        <w:rPr>
          <w:rFonts w:cs="Sylfaen"/>
        </w:rPr>
        <w:t>նպատակների</w:t>
      </w:r>
      <w:r>
        <w:rPr>
          <w:rFonts w:cs="Sylfaen"/>
          <w:lang w:val="fr-FR"/>
        </w:rPr>
        <w:t xml:space="preserve"> </w:t>
      </w:r>
      <w:r>
        <w:rPr>
          <w:rFonts w:cs="Sylfaen"/>
        </w:rPr>
        <w:t>ձեռքբերման</w:t>
      </w:r>
      <w:r>
        <w:rPr>
          <w:rFonts w:cs="Sylfaen"/>
          <w:lang w:val="fr-FR"/>
        </w:rPr>
        <w:t xml:space="preserve"> </w:t>
      </w:r>
      <w:r>
        <w:rPr>
          <w:rFonts w:cs="Sylfaen"/>
        </w:rPr>
        <w:t>ուղղությամբ</w:t>
      </w:r>
      <w:r>
        <w:rPr>
          <w:rFonts w:cs="Sylfaen"/>
          <w:lang w:val="fr-FR"/>
        </w:rPr>
        <w:t xml:space="preserve"> </w:t>
      </w:r>
      <w:r>
        <w:rPr>
          <w:rFonts w:cs="Sylfaen"/>
          <w:lang w:val="af-ZA"/>
        </w:rPr>
        <w:t>2022-2023 թվականների</w:t>
      </w:r>
      <w:r>
        <w:rPr>
          <w:rFonts w:cs="Sylfaen"/>
          <w:lang w:val="fr-FR"/>
        </w:rPr>
        <w:t xml:space="preserve"> ընթացքում </w:t>
      </w:r>
      <w:r>
        <w:rPr>
          <w:rFonts w:cs="Sylfaen"/>
        </w:rPr>
        <w:t>իրականացվելու</w:t>
      </w:r>
      <w:r>
        <w:rPr>
          <w:rFonts w:cs="Sylfaen"/>
          <w:lang w:val="fr-FR"/>
        </w:rPr>
        <w:t xml:space="preserve"> </w:t>
      </w:r>
      <w:r>
        <w:rPr>
          <w:rFonts w:cs="Sylfaen"/>
        </w:rPr>
        <w:t>են</w:t>
      </w:r>
      <w:r>
        <w:rPr>
          <w:rFonts w:cs="Sylfaen"/>
          <w:lang w:val="fr-FR"/>
        </w:rPr>
        <w:t xml:space="preserve"> </w:t>
      </w:r>
      <w:r>
        <w:rPr>
          <w:shd w:val="clear" w:color="auto" w:fill="FFFFFF"/>
          <w:lang w:val="en-AU"/>
        </w:rPr>
        <w:t>միջոցառումներ</w:t>
      </w:r>
      <w:r>
        <w:rPr>
          <w:shd w:val="clear" w:color="auto" w:fill="FFFFFF"/>
          <w:lang w:val="fr-FR"/>
        </w:rPr>
        <w:t xml:space="preserve">, </w:t>
      </w:r>
      <w:r>
        <w:rPr>
          <w:shd w:val="clear" w:color="auto" w:fill="FFFFFF"/>
        </w:rPr>
        <w:t>որոնք</w:t>
      </w:r>
      <w:r>
        <w:rPr>
          <w:shd w:val="clear" w:color="auto" w:fill="FFFFFF"/>
          <w:lang w:val="fr-FR"/>
        </w:rPr>
        <w:t xml:space="preserve"> </w:t>
      </w:r>
      <w:r>
        <w:rPr>
          <w:shd w:val="clear" w:color="auto" w:fill="FFFFFF"/>
        </w:rPr>
        <w:t>ամրագրված</w:t>
      </w:r>
      <w:r>
        <w:rPr>
          <w:shd w:val="clear" w:color="auto" w:fill="FFFFFF"/>
          <w:lang w:val="fr-FR"/>
        </w:rPr>
        <w:t xml:space="preserve"> </w:t>
      </w:r>
      <w:r>
        <w:rPr>
          <w:shd w:val="clear" w:color="auto" w:fill="FFFFFF"/>
        </w:rPr>
        <w:t>են</w:t>
      </w:r>
      <w:r>
        <w:rPr>
          <w:shd w:val="clear" w:color="auto" w:fill="FFFFFF"/>
          <w:lang w:val="fr-FR"/>
        </w:rPr>
        <w:t xml:space="preserve"> </w:t>
      </w:r>
      <w:r>
        <w:rPr>
          <w:shd w:val="clear" w:color="auto" w:fill="FFFFFF"/>
        </w:rPr>
        <w:t>ՀՀ</w:t>
      </w:r>
      <w:r>
        <w:rPr>
          <w:shd w:val="clear" w:color="auto" w:fill="FFFFFF"/>
          <w:lang w:val="fr-FR"/>
        </w:rPr>
        <w:t xml:space="preserve"> </w:t>
      </w:r>
      <w:r>
        <w:rPr>
          <w:shd w:val="clear" w:color="auto" w:fill="FFFFFF"/>
        </w:rPr>
        <w:t>ԱԺ</w:t>
      </w:r>
      <w:r>
        <w:rPr>
          <w:shd w:val="clear" w:color="auto" w:fill="FFFFFF"/>
          <w:lang w:val="fr-FR"/>
        </w:rPr>
        <w:t xml:space="preserve"> </w:t>
      </w:r>
      <w:r>
        <w:rPr>
          <w:spacing w:val="-4"/>
          <w:lang w:val="fr-FR"/>
        </w:rPr>
        <w:t xml:space="preserve">2019 </w:t>
      </w:r>
      <w:r>
        <w:rPr>
          <w:spacing w:val="-4"/>
        </w:rPr>
        <w:t>թվականի</w:t>
      </w:r>
      <w:r>
        <w:rPr>
          <w:spacing w:val="-4"/>
          <w:lang w:val="fr-FR"/>
        </w:rPr>
        <w:t xml:space="preserve"> </w:t>
      </w:r>
      <w:r>
        <w:rPr>
          <w:spacing w:val="-4"/>
        </w:rPr>
        <w:t>փետրվարի</w:t>
      </w:r>
      <w:r>
        <w:rPr>
          <w:spacing w:val="-4"/>
          <w:lang w:val="fr-FR"/>
        </w:rPr>
        <w:t xml:space="preserve"> 14-</w:t>
      </w:r>
      <w:r>
        <w:rPr>
          <w:spacing w:val="-4"/>
        </w:rPr>
        <w:t>ի</w:t>
      </w:r>
      <w:r>
        <w:rPr>
          <w:spacing w:val="-4"/>
          <w:lang w:val="fr-FR"/>
        </w:rPr>
        <w:t xml:space="preserve"> </w:t>
      </w:r>
      <w:r>
        <w:rPr>
          <w:spacing w:val="-4"/>
        </w:rPr>
        <w:t>ԱԺՈ</w:t>
      </w:r>
      <w:r>
        <w:rPr>
          <w:spacing w:val="-4"/>
          <w:lang w:val="fr-FR"/>
        </w:rPr>
        <w:t>-002-</w:t>
      </w:r>
      <w:r>
        <w:rPr>
          <w:spacing w:val="-4"/>
        </w:rPr>
        <w:t>Ն</w:t>
      </w:r>
      <w:r>
        <w:rPr>
          <w:spacing w:val="-4"/>
          <w:lang w:val="fr-FR"/>
        </w:rPr>
        <w:t xml:space="preserve"> </w:t>
      </w:r>
      <w:r>
        <w:rPr>
          <w:spacing w:val="-4"/>
        </w:rPr>
        <w:t>որոշմամբ</w:t>
      </w:r>
      <w:r>
        <w:rPr>
          <w:spacing w:val="-4"/>
          <w:lang w:val="fr-FR"/>
        </w:rPr>
        <w:t xml:space="preserve"> </w:t>
      </w:r>
      <w:r>
        <w:rPr>
          <w:spacing w:val="-4"/>
        </w:rPr>
        <w:t>հավանության</w:t>
      </w:r>
      <w:r>
        <w:rPr>
          <w:spacing w:val="-4"/>
          <w:lang w:val="fr-FR"/>
        </w:rPr>
        <w:t xml:space="preserve"> </w:t>
      </w:r>
      <w:r>
        <w:rPr>
          <w:spacing w:val="-4"/>
        </w:rPr>
        <w:t>արժանացած</w:t>
      </w:r>
      <w:r>
        <w:rPr>
          <w:spacing w:val="-4"/>
          <w:lang w:val="fr-FR"/>
        </w:rPr>
        <w:t xml:space="preserve"> </w:t>
      </w:r>
      <w:r>
        <w:rPr>
          <w:spacing w:val="-4"/>
        </w:rPr>
        <w:t>ՀՀ</w:t>
      </w:r>
      <w:r>
        <w:rPr>
          <w:spacing w:val="-4"/>
          <w:lang w:val="fr-FR"/>
        </w:rPr>
        <w:t xml:space="preserve"> </w:t>
      </w:r>
      <w:r>
        <w:rPr>
          <w:spacing w:val="-4"/>
        </w:rPr>
        <w:t>կառավարության</w:t>
      </w:r>
      <w:r>
        <w:rPr>
          <w:spacing w:val="-4"/>
          <w:lang w:val="fr-FR"/>
        </w:rPr>
        <w:t xml:space="preserve"> </w:t>
      </w:r>
      <w:r>
        <w:rPr>
          <w:spacing w:val="-4"/>
        </w:rPr>
        <w:t>ծրագրի</w:t>
      </w:r>
      <w:r>
        <w:rPr>
          <w:spacing w:val="-4"/>
          <w:lang w:val="fr-FR"/>
        </w:rPr>
        <w:t xml:space="preserve"> </w:t>
      </w:r>
      <w:r>
        <w:rPr>
          <w:lang w:val="fr-FR"/>
        </w:rPr>
        <w:t>«</w:t>
      </w:r>
      <w:r>
        <w:rPr>
          <w:spacing w:val="-4"/>
        </w:rPr>
        <w:t>Գիտության</w:t>
      </w:r>
      <w:r>
        <w:rPr>
          <w:spacing w:val="-4"/>
          <w:lang w:val="fr-FR"/>
        </w:rPr>
        <w:t xml:space="preserve"> </w:t>
      </w:r>
      <w:r>
        <w:rPr>
          <w:spacing w:val="-4"/>
        </w:rPr>
        <w:t>ոլորտին</w:t>
      </w:r>
      <w:r>
        <w:rPr>
          <w:spacing w:val="-4"/>
          <w:lang w:val="fr-FR"/>
        </w:rPr>
        <w:t xml:space="preserve">» </w:t>
      </w:r>
      <w:r>
        <w:rPr>
          <w:spacing w:val="-4"/>
        </w:rPr>
        <w:t>վերաբերող</w:t>
      </w:r>
      <w:r>
        <w:rPr>
          <w:spacing w:val="-4"/>
          <w:lang w:val="fr-FR"/>
        </w:rPr>
        <w:t xml:space="preserve"> </w:t>
      </w:r>
      <w:r>
        <w:rPr>
          <w:spacing w:val="-4"/>
        </w:rPr>
        <w:t>բաժնում</w:t>
      </w:r>
      <w:r>
        <w:rPr>
          <w:spacing w:val="-4"/>
          <w:lang w:val="fr-FR"/>
        </w:rPr>
        <w:t xml:space="preserve"> </w:t>
      </w:r>
      <w:r>
        <w:rPr>
          <w:spacing w:val="-4"/>
        </w:rPr>
        <w:t>և</w:t>
      </w:r>
      <w:r>
        <w:rPr>
          <w:spacing w:val="-4"/>
          <w:lang w:val="fr-FR"/>
        </w:rPr>
        <w:t xml:space="preserve"> </w:t>
      </w:r>
      <w:r>
        <w:rPr>
          <w:spacing w:val="-4"/>
        </w:rPr>
        <w:t>ՀՀ</w:t>
      </w:r>
      <w:r>
        <w:rPr>
          <w:spacing w:val="-4"/>
          <w:lang w:val="fr-FR"/>
        </w:rPr>
        <w:t xml:space="preserve"> </w:t>
      </w:r>
      <w:r>
        <w:rPr>
          <w:spacing w:val="-4"/>
        </w:rPr>
        <w:t>կառավարության</w:t>
      </w:r>
      <w:r>
        <w:rPr>
          <w:spacing w:val="-4"/>
          <w:lang w:val="fr-FR"/>
        </w:rPr>
        <w:t xml:space="preserve"> 2019 </w:t>
      </w:r>
      <w:r>
        <w:rPr>
          <w:spacing w:val="-4"/>
        </w:rPr>
        <w:t>թվականի</w:t>
      </w:r>
      <w:r>
        <w:rPr>
          <w:spacing w:val="-4"/>
          <w:lang w:val="fr-FR"/>
        </w:rPr>
        <w:t xml:space="preserve"> </w:t>
      </w:r>
      <w:r>
        <w:rPr>
          <w:spacing w:val="-4"/>
        </w:rPr>
        <w:t>մայիսի</w:t>
      </w:r>
      <w:r>
        <w:rPr>
          <w:spacing w:val="-4"/>
          <w:lang w:val="fr-FR"/>
        </w:rPr>
        <w:t xml:space="preserve"> 16-</w:t>
      </w:r>
      <w:r>
        <w:rPr>
          <w:spacing w:val="-4"/>
        </w:rPr>
        <w:t>ի</w:t>
      </w:r>
      <w:r>
        <w:rPr>
          <w:spacing w:val="-4"/>
          <w:lang w:val="fr-FR"/>
        </w:rPr>
        <w:t xml:space="preserve"> N 650-</w:t>
      </w:r>
      <w:r>
        <w:rPr>
          <w:spacing w:val="-4"/>
        </w:rPr>
        <w:t>Լ</w:t>
      </w:r>
      <w:r>
        <w:rPr>
          <w:spacing w:val="-4"/>
          <w:lang w:val="fr-FR"/>
        </w:rPr>
        <w:t xml:space="preserve"> </w:t>
      </w:r>
      <w:r>
        <w:rPr>
          <w:spacing w:val="-4"/>
        </w:rPr>
        <w:t>որոշմամբ</w:t>
      </w:r>
      <w:r>
        <w:rPr>
          <w:spacing w:val="-4"/>
          <w:lang w:val="fr-FR"/>
        </w:rPr>
        <w:t xml:space="preserve"> </w:t>
      </w:r>
      <w:r>
        <w:rPr>
          <w:spacing w:val="-4"/>
        </w:rPr>
        <w:t>հաստատված</w:t>
      </w:r>
      <w:r>
        <w:rPr>
          <w:spacing w:val="-4"/>
          <w:lang w:val="fr-FR"/>
        </w:rPr>
        <w:t xml:space="preserve"> </w:t>
      </w:r>
      <w:r>
        <w:rPr>
          <w:spacing w:val="-4"/>
        </w:rPr>
        <w:t>ՀՀ</w:t>
      </w:r>
      <w:r>
        <w:rPr>
          <w:spacing w:val="-4"/>
          <w:lang w:val="fr-FR"/>
        </w:rPr>
        <w:t xml:space="preserve"> </w:t>
      </w:r>
      <w:r>
        <w:rPr>
          <w:spacing w:val="-4"/>
        </w:rPr>
        <w:t>կառավարության</w:t>
      </w:r>
      <w:r>
        <w:rPr>
          <w:spacing w:val="-4"/>
          <w:lang w:val="fr-FR"/>
        </w:rPr>
        <w:t xml:space="preserve"> 2019-2023 </w:t>
      </w:r>
      <w:r>
        <w:rPr>
          <w:spacing w:val="-4"/>
        </w:rPr>
        <w:t>թվականների</w:t>
      </w:r>
      <w:r>
        <w:rPr>
          <w:spacing w:val="-4"/>
          <w:lang w:val="fr-FR"/>
        </w:rPr>
        <w:t xml:space="preserve"> </w:t>
      </w:r>
      <w:r>
        <w:rPr>
          <w:spacing w:val="-4"/>
        </w:rPr>
        <w:t>գործունեության</w:t>
      </w:r>
      <w:r>
        <w:rPr>
          <w:spacing w:val="-4"/>
          <w:lang w:val="fr-FR"/>
        </w:rPr>
        <w:t xml:space="preserve"> </w:t>
      </w:r>
      <w:r>
        <w:rPr>
          <w:spacing w:val="-4"/>
        </w:rPr>
        <w:t>միջոցառումների</w:t>
      </w:r>
      <w:r>
        <w:rPr>
          <w:spacing w:val="-4"/>
          <w:lang w:val="fr-FR"/>
        </w:rPr>
        <w:t xml:space="preserve"> </w:t>
      </w:r>
      <w:r>
        <w:rPr>
          <w:spacing w:val="-4"/>
        </w:rPr>
        <w:t>ծրագրում</w:t>
      </w:r>
      <w:r>
        <w:rPr>
          <w:spacing w:val="-4"/>
          <w:lang w:val="fr-FR"/>
        </w:rPr>
        <w:t>:</w:t>
      </w:r>
      <w:r>
        <w:rPr>
          <w:lang w:val="fr-FR"/>
        </w:rPr>
        <w:t xml:space="preserve"> </w:t>
      </w:r>
    </w:p>
    <w:p w14:paraId="58D5BD62" w14:textId="77777777" w:rsidR="00DA0E15" w:rsidRDefault="00362131">
      <w:pPr>
        <w:spacing w:before="0" w:after="0" w:line="276" w:lineRule="auto"/>
        <w:rPr>
          <w:rFonts w:cs="Sylfaen"/>
          <w:lang w:val="fr-FR"/>
        </w:rPr>
      </w:pPr>
      <w:r>
        <w:rPr>
          <w:rFonts w:cs="Sylfaen"/>
          <w:lang w:val="af-ZA"/>
        </w:rPr>
        <w:t>2022-2024 թվականներին</w:t>
      </w:r>
      <w:r>
        <w:rPr>
          <w:rFonts w:cs="Sylfaen"/>
          <w:lang w:val="fr-FR"/>
        </w:rPr>
        <w:t xml:space="preserve"> </w:t>
      </w:r>
      <w:r>
        <w:rPr>
          <w:rFonts w:cs="Sylfaen"/>
        </w:rPr>
        <w:t>շարունակվելու</w:t>
      </w:r>
      <w:r>
        <w:rPr>
          <w:rFonts w:cs="Sylfaen"/>
          <w:lang w:val="fr-FR"/>
        </w:rPr>
        <w:t xml:space="preserve"> </w:t>
      </w:r>
      <w:r>
        <w:rPr>
          <w:rFonts w:cs="Sylfaen"/>
        </w:rPr>
        <w:t>են՝</w:t>
      </w:r>
      <w:r>
        <w:rPr>
          <w:rFonts w:cs="Sylfaen"/>
          <w:lang w:val="fr-FR"/>
        </w:rPr>
        <w:t xml:space="preserve"> </w:t>
      </w:r>
    </w:p>
    <w:p w14:paraId="1ACF2FBF" w14:textId="77777777" w:rsidR="00DA0E15" w:rsidRDefault="00362131">
      <w:pPr>
        <w:spacing w:before="0" w:after="0" w:line="276" w:lineRule="auto"/>
        <w:rPr>
          <w:rFonts w:cs="Sylfaen"/>
          <w:lang w:val="fr-FR"/>
        </w:rPr>
      </w:pPr>
      <w:r>
        <w:rPr>
          <w:rFonts w:cs="Sylfaen"/>
        </w:rPr>
        <w:t>ՀՀ</w:t>
      </w:r>
      <w:r>
        <w:rPr>
          <w:rFonts w:cs="Sylfaen"/>
          <w:lang w:val="fr-FR"/>
        </w:rPr>
        <w:t>-</w:t>
      </w:r>
      <w:r>
        <w:rPr>
          <w:rFonts w:cs="Sylfaen"/>
        </w:rPr>
        <w:t>ում</w:t>
      </w:r>
      <w:r>
        <w:rPr>
          <w:rFonts w:cs="Sylfaen"/>
          <w:lang w:val="fr-FR"/>
        </w:rPr>
        <w:t xml:space="preserve"> </w:t>
      </w:r>
      <w:r>
        <w:rPr>
          <w:rFonts w:cs="Sylfaen"/>
        </w:rPr>
        <w:t>միջազգայնորեն</w:t>
      </w:r>
      <w:r>
        <w:rPr>
          <w:rFonts w:cs="Sylfaen"/>
          <w:lang w:val="fr-FR"/>
        </w:rPr>
        <w:t xml:space="preserve"> </w:t>
      </w:r>
      <w:r>
        <w:rPr>
          <w:rFonts w:cs="Sylfaen"/>
        </w:rPr>
        <w:t>մրցունակ</w:t>
      </w:r>
      <w:r>
        <w:rPr>
          <w:rFonts w:cs="Sylfaen"/>
          <w:lang w:val="fr-FR"/>
        </w:rPr>
        <w:t xml:space="preserve">, </w:t>
      </w:r>
      <w:r>
        <w:rPr>
          <w:rFonts w:cs="Sylfaen"/>
        </w:rPr>
        <w:t>Եվրոպական</w:t>
      </w:r>
      <w:r>
        <w:rPr>
          <w:rFonts w:cs="Sylfaen"/>
          <w:lang w:val="fr-FR"/>
        </w:rPr>
        <w:t xml:space="preserve"> </w:t>
      </w:r>
      <w:r>
        <w:rPr>
          <w:rFonts w:cs="Sylfaen"/>
        </w:rPr>
        <w:t>հետազոտական</w:t>
      </w:r>
      <w:r>
        <w:rPr>
          <w:rFonts w:cs="Sylfaen"/>
          <w:lang w:val="fr-FR"/>
        </w:rPr>
        <w:t xml:space="preserve"> </w:t>
      </w:r>
      <w:r>
        <w:rPr>
          <w:rFonts w:cs="Sylfaen"/>
        </w:rPr>
        <w:t>տարածքի</w:t>
      </w:r>
      <w:r>
        <w:rPr>
          <w:rFonts w:cs="Sylfaen"/>
          <w:lang w:val="fr-FR"/>
        </w:rPr>
        <w:t xml:space="preserve"> </w:t>
      </w:r>
      <w:r>
        <w:rPr>
          <w:rFonts w:cs="Sylfaen"/>
        </w:rPr>
        <w:t>հետ</w:t>
      </w:r>
      <w:r>
        <w:rPr>
          <w:rFonts w:cs="Sylfaen"/>
          <w:lang w:val="fr-FR"/>
        </w:rPr>
        <w:t xml:space="preserve"> </w:t>
      </w:r>
      <w:r>
        <w:rPr>
          <w:rFonts w:cs="Sylfaen"/>
        </w:rPr>
        <w:t>ինտեգրված</w:t>
      </w:r>
      <w:r>
        <w:rPr>
          <w:rFonts w:cs="Sylfaen"/>
          <w:lang w:val="fr-FR"/>
        </w:rPr>
        <w:t xml:space="preserve"> </w:t>
      </w:r>
      <w:r>
        <w:rPr>
          <w:rFonts w:cs="Sylfaen"/>
        </w:rPr>
        <w:t>և</w:t>
      </w:r>
      <w:r>
        <w:rPr>
          <w:rFonts w:cs="Sylfaen"/>
          <w:lang w:val="fr-FR"/>
        </w:rPr>
        <w:t xml:space="preserve"> </w:t>
      </w:r>
      <w:r>
        <w:rPr>
          <w:rFonts w:cs="Sylfaen"/>
        </w:rPr>
        <w:t>այդ</w:t>
      </w:r>
      <w:r>
        <w:rPr>
          <w:rFonts w:cs="Sylfaen"/>
          <w:lang w:val="fr-FR"/>
        </w:rPr>
        <w:t xml:space="preserve"> </w:t>
      </w:r>
      <w:r>
        <w:rPr>
          <w:rFonts w:cs="Sylfaen"/>
        </w:rPr>
        <w:t>հետազոտական</w:t>
      </w:r>
      <w:r>
        <w:rPr>
          <w:rFonts w:cs="Sylfaen"/>
          <w:lang w:val="fr-FR"/>
        </w:rPr>
        <w:t xml:space="preserve"> </w:t>
      </w:r>
      <w:r>
        <w:rPr>
          <w:rFonts w:cs="Sylfaen"/>
        </w:rPr>
        <w:t>տարածքում</w:t>
      </w:r>
      <w:r>
        <w:rPr>
          <w:rFonts w:cs="Sylfaen"/>
          <w:lang w:val="fr-FR"/>
        </w:rPr>
        <w:t xml:space="preserve"> </w:t>
      </w:r>
      <w:r>
        <w:rPr>
          <w:rFonts w:cs="Sylfaen"/>
        </w:rPr>
        <w:t>իր</w:t>
      </w:r>
      <w:r>
        <w:rPr>
          <w:rFonts w:cs="Sylfaen"/>
          <w:lang w:val="fr-FR"/>
        </w:rPr>
        <w:t xml:space="preserve"> </w:t>
      </w:r>
      <w:r>
        <w:rPr>
          <w:rFonts w:cs="Sylfaen"/>
        </w:rPr>
        <w:t>մասնագիտացման</w:t>
      </w:r>
      <w:r>
        <w:rPr>
          <w:rFonts w:cs="Sylfaen"/>
          <w:lang w:val="fr-FR"/>
        </w:rPr>
        <w:t xml:space="preserve"> </w:t>
      </w:r>
      <w:r>
        <w:rPr>
          <w:rFonts w:cs="Sylfaen"/>
        </w:rPr>
        <w:t>տիրույթը</w:t>
      </w:r>
      <w:r>
        <w:rPr>
          <w:rFonts w:cs="Sylfaen"/>
          <w:lang w:val="fr-FR"/>
        </w:rPr>
        <w:t xml:space="preserve"> (</w:t>
      </w:r>
      <w:r>
        <w:rPr>
          <w:rFonts w:cs="Sylfaen"/>
        </w:rPr>
        <w:t>խելացի</w:t>
      </w:r>
      <w:r>
        <w:rPr>
          <w:rFonts w:cs="Sylfaen"/>
          <w:lang w:val="fr-FR"/>
        </w:rPr>
        <w:t xml:space="preserve"> </w:t>
      </w:r>
      <w:r>
        <w:rPr>
          <w:rFonts w:cs="Sylfaen"/>
        </w:rPr>
        <w:t>մասնագիտացում</w:t>
      </w:r>
      <w:r>
        <w:rPr>
          <w:rFonts w:cs="Sylfaen"/>
          <w:lang w:val="fr-FR"/>
        </w:rPr>
        <w:t xml:space="preserve">) </w:t>
      </w:r>
      <w:r>
        <w:rPr>
          <w:rFonts w:cs="Sylfaen"/>
        </w:rPr>
        <w:t>ունեցող</w:t>
      </w:r>
      <w:r>
        <w:rPr>
          <w:rFonts w:cs="Sylfaen"/>
          <w:lang w:val="fr-FR"/>
        </w:rPr>
        <w:t xml:space="preserve">, </w:t>
      </w:r>
      <w:r>
        <w:rPr>
          <w:rFonts w:cs="Sylfaen"/>
        </w:rPr>
        <w:t>գիտական</w:t>
      </w:r>
      <w:r>
        <w:rPr>
          <w:rFonts w:cs="Sylfaen"/>
          <w:lang w:val="fr-FR"/>
        </w:rPr>
        <w:t xml:space="preserve"> </w:t>
      </w:r>
      <w:r>
        <w:rPr>
          <w:rFonts w:cs="Sylfaen"/>
        </w:rPr>
        <w:t>գերազանցությունը</w:t>
      </w:r>
      <w:r>
        <w:rPr>
          <w:rFonts w:cs="Sylfaen"/>
          <w:lang w:val="fr-FR"/>
        </w:rPr>
        <w:t xml:space="preserve"> </w:t>
      </w:r>
      <w:r>
        <w:rPr>
          <w:rFonts w:cs="Sylfaen"/>
        </w:rPr>
        <w:t>խթանող</w:t>
      </w:r>
      <w:r>
        <w:rPr>
          <w:rFonts w:cs="Sylfaen"/>
          <w:lang w:val="fr-FR"/>
        </w:rPr>
        <w:t xml:space="preserve">, հանրապետության </w:t>
      </w:r>
      <w:r>
        <w:rPr>
          <w:rFonts w:cs="Sylfaen"/>
        </w:rPr>
        <w:t>տնտեսության</w:t>
      </w:r>
      <w:r>
        <w:rPr>
          <w:rFonts w:cs="Sylfaen"/>
          <w:lang w:val="fr-FR"/>
        </w:rPr>
        <w:t xml:space="preserve"> </w:t>
      </w:r>
      <w:r>
        <w:rPr>
          <w:rFonts w:cs="Sylfaen"/>
        </w:rPr>
        <w:t>պահանջներից</w:t>
      </w:r>
      <w:r>
        <w:rPr>
          <w:rFonts w:cs="Sylfaen"/>
          <w:lang w:val="fr-FR"/>
        </w:rPr>
        <w:t xml:space="preserve"> </w:t>
      </w:r>
      <w:r>
        <w:rPr>
          <w:rFonts w:cs="Sylfaen"/>
        </w:rPr>
        <w:t>բխող</w:t>
      </w:r>
      <w:r>
        <w:rPr>
          <w:rFonts w:cs="Sylfaen"/>
          <w:lang w:val="fr-FR"/>
        </w:rPr>
        <w:t xml:space="preserve">, պաշտպանունականության մակարդակի բարձրացմանը նպաստող </w:t>
      </w:r>
      <w:r>
        <w:rPr>
          <w:rFonts w:cs="Sylfaen"/>
        </w:rPr>
        <w:t>և</w:t>
      </w:r>
      <w:r>
        <w:rPr>
          <w:rFonts w:cs="Sylfaen"/>
          <w:lang w:val="fr-FR"/>
        </w:rPr>
        <w:t xml:space="preserve"> բարձր տեխնոլոգիական արտադրանք ապահովող </w:t>
      </w:r>
      <w:r>
        <w:rPr>
          <w:rFonts w:cs="Sylfaen"/>
        </w:rPr>
        <w:t>ազգային</w:t>
      </w:r>
      <w:r>
        <w:rPr>
          <w:rFonts w:cs="Sylfaen"/>
          <w:lang w:val="fr-FR"/>
        </w:rPr>
        <w:t xml:space="preserve"> </w:t>
      </w:r>
      <w:r>
        <w:rPr>
          <w:rFonts w:cs="Sylfaen"/>
        </w:rPr>
        <w:t>գիտական</w:t>
      </w:r>
      <w:r>
        <w:rPr>
          <w:rFonts w:cs="Sylfaen"/>
          <w:lang w:val="fr-FR"/>
        </w:rPr>
        <w:t xml:space="preserve"> </w:t>
      </w:r>
      <w:r>
        <w:rPr>
          <w:rFonts w:cs="Sylfaen"/>
        </w:rPr>
        <w:t>համակարգ</w:t>
      </w:r>
      <w:r>
        <w:rPr>
          <w:rFonts w:cs="Sylfaen"/>
          <w:lang w:val="fr-FR"/>
        </w:rPr>
        <w:t xml:space="preserve"> </w:t>
      </w:r>
      <w:r>
        <w:rPr>
          <w:rFonts w:cs="Sylfaen"/>
        </w:rPr>
        <w:t>ձևավորելու</w:t>
      </w:r>
      <w:r>
        <w:rPr>
          <w:rFonts w:cs="Sylfaen"/>
          <w:lang w:val="fr-FR"/>
        </w:rPr>
        <w:t xml:space="preserve"> </w:t>
      </w:r>
      <w:r>
        <w:rPr>
          <w:rFonts w:cs="Sylfaen"/>
        </w:rPr>
        <w:t>նպատակով՝</w:t>
      </w:r>
      <w:r>
        <w:rPr>
          <w:rFonts w:cs="Sylfaen"/>
          <w:lang w:val="fr-FR"/>
        </w:rPr>
        <w:t xml:space="preserve"> </w:t>
      </w:r>
    </w:p>
    <w:p w14:paraId="19676F62"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Times New Roman"/>
          <w:lang w:val="fr-FR"/>
        </w:rPr>
      </w:pPr>
      <w:r>
        <w:rPr>
          <w:lang w:val="hy-AM"/>
        </w:rPr>
        <w:t xml:space="preserve"> «ԻԿՐԱՆԵՏ կենտրոն» միջազգային կազմակերպության, Աբդուս Սալամի անվան տեսական ֆիզիկայի միջազգային կենտրոնի (ICTP) փոխկապակցված կենտրոնի,</w:t>
      </w:r>
      <w:r>
        <w:rPr>
          <w:rFonts w:cs="Sylfaen"/>
          <w:lang w:val="af-ZA"/>
        </w:rPr>
        <w:t xml:space="preserve"> Երևանի պետական համալսարանի գենետիկայի և բջջաբանության ամբիոնի ու Յենայի համալսարանի մարդու գենետիկայի ինստիտուտի հիման վրա ստեղծված հայ-գերմանական համատեղ գիտահետազոտական լաբորատորիայի, ինչպես նաև 2020 թվականին մեկնարկած Գիտության կոմիտեի և Չինաստանի Ժողովրդական Հանրապետության երկրաշարժերի վարչության միջև «Երկրաշարժերի հետազոտության ոլորտում համագործակցության մասին» հուշագրի շրջանակներում հիմնադրված հայ-չինական համատեղ առաջին լաբորատորիայի ֆինանսավորումը,</w:t>
      </w:r>
    </w:p>
    <w:p w14:paraId="3028B089"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rFonts w:cs="Sylfaen"/>
          <w:lang w:val="en-AU"/>
        </w:rPr>
        <w:t>համաֆինանսավորմա</w:t>
      </w:r>
      <w:r>
        <w:rPr>
          <w:rFonts w:cs="Sylfaen"/>
          <w:lang w:val="pt-BR"/>
        </w:rPr>
        <w:t>ն</w:t>
      </w:r>
      <w:r>
        <w:rPr>
          <w:rFonts w:cs="Sylfaen"/>
          <w:lang w:val="af-ZA"/>
        </w:rPr>
        <w:t xml:space="preserve"> </w:t>
      </w:r>
      <w:r>
        <w:rPr>
          <w:rFonts w:cs="Sylfaen"/>
          <w:lang w:val="en-AU"/>
        </w:rPr>
        <w:t>սկզբունքո</w:t>
      </w:r>
      <w:r>
        <w:rPr>
          <w:rFonts w:cs="Sylfaen"/>
          <w:lang w:val="pt-BR"/>
        </w:rPr>
        <w:t>վ</w:t>
      </w:r>
      <w:r>
        <w:rPr>
          <w:rFonts w:cs="Sylfaen"/>
          <w:lang w:val="af-ZA"/>
        </w:rPr>
        <w:t xml:space="preserve"> </w:t>
      </w:r>
      <w:r>
        <w:rPr>
          <w:rFonts w:cs="Sylfaen"/>
          <w:lang w:val="en-AU"/>
        </w:rPr>
        <w:t>իրականացվ</w:t>
      </w:r>
      <w:r>
        <w:rPr>
          <w:rFonts w:cs="Sylfaen"/>
        </w:rPr>
        <w:t>ելու</w:t>
      </w:r>
      <w:r>
        <w:rPr>
          <w:rFonts w:cs="Sylfaen"/>
          <w:lang w:val="fr-FR"/>
        </w:rPr>
        <w:t xml:space="preserve"> </w:t>
      </w:r>
      <w:r>
        <w:rPr>
          <w:rFonts w:cs="Sylfaen"/>
        </w:rPr>
        <w:t>են</w:t>
      </w:r>
      <w:r>
        <w:rPr>
          <w:rFonts w:cs="Sylfaen"/>
          <w:lang w:val="af-ZA"/>
        </w:rPr>
        <w:t xml:space="preserve"> </w:t>
      </w:r>
      <w:r>
        <w:rPr>
          <w:rFonts w:cs="Sylfaen"/>
          <w:lang w:val="en-AU"/>
        </w:rPr>
        <w:t>հա</w:t>
      </w:r>
      <w:r>
        <w:rPr>
          <w:rFonts w:cs="Sylfaen"/>
          <w:lang w:val="pt-BR"/>
        </w:rPr>
        <w:t>յ</w:t>
      </w:r>
      <w:r>
        <w:rPr>
          <w:rFonts w:cs="Sylfaen"/>
          <w:lang w:val="af-ZA"/>
        </w:rPr>
        <w:t>-</w:t>
      </w:r>
      <w:r>
        <w:rPr>
          <w:rFonts w:cs="Sylfaen"/>
          <w:lang w:val="en-AU"/>
        </w:rPr>
        <w:t>ֆրանսիակա</w:t>
      </w:r>
      <w:r>
        <w:rPr>
          <w:rFonts w:cs="Sylfaen"/>
          <w:lang w:val="pt-BR"/>
        </w:rPr>
        <w:t xml:space="preserve">ն, հայ-բելառուսական, հայ-ռուսական, հայ-գերմանական, հայ-իտալական  համատեղ </w:t>
      </w:r>
      <w:r>
        <w:rPr>
          <w:rFonts w:cs="Sylfaen"/>
          <w:lang w:val="en-AU"/>
        </w:rPr>
        <w:t>ծրագրեր</w:t>
      </w:r>
      <w:r>
        <w:rPr>
          <w:rFonts w:cs="Sylfaen"/>
          <w:lang w:val="pt-BR"/>
        </w:rPr>
        <w:t>։</w:t>
      </w:r>
      <w:r>
        <w:rPr>
          <w:rFonts w:cs="Sylfaen"/>
          <w:lang w:val="fr-FR"/>
        </w:rPr>
        <w:t xml:space="preserve"> </w:t>
      </w:r>
      <w:r>
        <w:rPr>
          <w:rFonts w:cs="Sylfaen"/>
          <w:lang w:val="pt-BR"/>
        </w:rPr>
        <w:t xml:space="preserve">Միաժամանակ, </w:t>
      </w:r>
      <w:r>
        <w:rPr>
          <w:rFonts w:cs="Sylfaen"/>
          <w:lang w:val="en-AU"/>
        </w:rPr>
        <w:t>ֆինանսավորվ</w:t>
      </w:r>
      <w:r>
        <w:rPr>
          <w:rFonts w:cs="Sylfaen"/>
        </w:rPr>
        <w:t>ելու</w:t>
      </w:r>
      <w:r>
        <w:rPr>
          <w:rFonts w:cs="Sylfaen"/>
          <w:lang w:val="pt-BR"/>
        </w:rPr>
        <w:t xml:space="preserve"> </w:t>
      </w:r>
      <w:r>
        <w:rPr>
          <w:rFonts w:cs="Sylfaen"/>
          <w:lang w:val="en-AU"/>
        </w:rPr>
        <w:t>են</w:t>
      </w:r>
      <w:r>
        <w:rPr>
          <w:rFonts w:cs="Sylfaen"/>
          <w:lang w:val="pt-BR"/>
        </w:rPr>
        <w:t xml:space="preserve"> մի շարք </w:t>
      </w:r>
      <w:r>
        <w:rPr>
          <w:rFonts w:cs="Sylfaen"/>
          <w:lang w:val="en-AU"/>
        </w:rPr>
        <w:t>միջազգայի</w:t>
      </w:r>
      <w:r>
        <w:rPr>
          <w:rFonts w:cs="Sylfaen"/>
          <w:lang w:val="pt-BR"/>
        </w:rPr>
        <w:t xml:space="preserve">ն գիտական </w:t>
      </w:r>
      <w:r>
        <w:rPr>
          <w:rFonts w:cs="Sylfaen"/>
          <w:lang w:val="en-AU"/>
        </w:rPr>
        <w:t>կառույցներ</w:t>
      </w:r>
      <w:r>
        <w:rPr>
          <w:rFonts w:cs="Sylfaen"/>
          <w:lang w:val="pt-BR"/>
        </w:rPr>
        <w:t xml:space="preserve">ի </w:t>
      </w:r>
      <w:r>
        <w:rPr>
          <w:rFonts w:cs="Sylfaen"/>
          <w:lang w:val="en-AU"/>
        </w:rPr>
        <w:t>կա</w:t>
      </w:r>
      <w:r>
        <w:rPr>
          <w:rFonts w:cs="Sylfaen"/>
          <w:lang w:val="pt-BR"/>
        </w:rPr>
        <w:t xml:space="preserve">մ </w:t>
      </w:r>
      <w:r>
        <w:rPr>
          <w:rFonts w:cs="Sylfaen"/>
          <w:lang w:val="en-AU"/>
        </w:rPr>
        <w:t>համագործակցություններ</w:t>
      </w:r>
      <w:r>
        <w:rPr>
          <w:rFonts w:cs="Sylfaen"/>
          <w:lang w:val="pt-BR"/>
        </w:rPr>
        <w:t xml:space="preserve">ի մասնակցությունը` </w:t>
      </w:r>
      <w:r>
        <w:rPr>
          <w:rFonts w:cs="Sylfaen"/>
          <w:lang w:val="en-AU"/>
        </w:rPr>
        <w:t>Միջուկային</w:t>
      </w:r>
      <w:r>
        <w:rPr>
          <w:rFonts w:cs="Sylfaen"/>
          <w:lang w:val="pt-BR"/>
        </w:rPr>
        <w:t xml:space="preserve"> </w:t>
      </w:r>
      <w:r>
        <w:rPr>
          <w:rFonts w:cs="Sylfaen"/>
          <w:lang w:val="en-AU"/>
        </w:rPr>
        <w:t>Հետազոտություններ</w:t>
      </w:r>
      <w:r>
        <w:rPr>
          <w:rFonts w:cs="Sylfaen"/>
          <w:lang w:val="pt-BR"/>
        </w:rPr>
        <w:t xml:space="preserve">ի </w:t>
      </w:r>
      <w:r>
        <w:rPr>
          <w:rFonts w:cs="Sylfaen"/>
          <w:lang w:val="en-AU"/>
        </w:rPr>
        <w:t>Միացյալ</w:t>
      </w:r>
      <w:r>
        <w:rPr>
          <w:rFonts w:cs="Sylfaen"/>
          <w:lang w:val="pt-BR"/>
        </w:rPr>
        <w:t xml:space="preserve"> </w:t>
      </w:r>
      <w:r>
        <w:rPr>
          <w:rFonts w:cs="Sylfaen"/>
          <w:lang w:val="en-AU"/>
        </w:rPr>
        <w:t>Ինստիտուտ</w:t>
      </w:r>
      <w:r>
        <w:rPr>
          <w:rFonts w:cs="Sylfaen"/>
          <w:lang w:val="pt-BR"/>
        </w:rPr>
        <w:t>ի (</w:t>
      </w:r>
      <w:r>
        <w:rPr>
          <w:rFonts w:cs="Sylfaen"/>
          <w:lang w:val="fr-FR"/>
        </w:rPr>
        <w:t>ՄՀՄԻ–JINR)</w:t>
      </w:r>
      <w:r>
        <w:rPr>
          <w:rFonts w:cs="Sylfaen"/>
          <w:lang w:val="pt-BR"/>
        </w:rPr>
        <w:t xml:space="preserve">, </w:t>
      </w:r>
      <w:r>
        <w:rPr>
          <w:rFonts w:cs="Sylfaen"/>
          <w:lang w:val="fr-FR"/>
        </w:rPr>
        <w:t xml:space="preserve">Բարձր Էներգիաների Ստերեոսկոպիկ Համակարգ </w:t>
      </w:r>
      <w:r>
        <w:rPr>
          <w:rFonts w:cs="Sylfaen"/>
          <w:lang w:val="pt-BR"/>
        </w:rPr>
        <w:t>(</w:t>
      </w:r>
      <w:r>
        <w:rPr>
          <w:rFonts w:cs="Sylfaen"/>
          <w:lang w:val="fr-FR"/>
        </w:rPr>
        <w:t>ԲԷՍՀ–H.E.S.S.</w:t>
      </w:r>
      <w:r>
        <w:rPr>
          <w:rFonts w:cs="Sylfaen"/>
          <w:lang w:val="pt-BR"/>
        </w:rPr>
        <w:t xml:space="preserve">), </w:t>
      </w:r>
      <w:r>
        <w:rPr>
          <w:lang w:val="pt-BR"/>
        </w:rPr>
        <w:t>«</w:t>
      </w:r>
      <w:r>
        <w:rPr>
          <w:rFonts w:cs="Sylfaen"/>
          <w:lang w:val="en-AU"/>
        </w:rPr>
        <w:t>Հորիզոն</w:t>
      </w:r>
      <w:r>
        <w:rPr>
          <w:rFonts w:cs="Sylfaen"/>
          <w:lang w:val="fr-FR"/>
        </w:rPr>
        <w:t xml:space="preserve"> </w:t>
      </w:r>
      <w:r>
        <w:rPr>
          <w:rFonts w:cs="Sylfaen"/>
          <w:lang w:val="en-AU"/>
        </w:rPr>
        <w:t>Եվրոպա</w:t>
      </w:r>
      <w:r>
        <w:rPr>
          <w:lang w:val="pt-BR"/>
        </w:rPr>
        <w:t xml:space="preserve">» </w:t>
      </w:r>
      <w:r>
        <w:rPr>
          <w:rFonts w:cs="Sylfaen"/>
          <w:lang w:val="en-AU"/>
        </w:rPr>
        <w:t>ծրագրի</w:t>
      </w:r>
      <w:r>
        <w:rPr>
          <w:rFonts w:cs="Sylfaen"/>
          <w:lang w:val="pt-BR"/>
        </w:rPr>
        <w:t xml:space="preserve"> անդամակցությունը</w:t>
      </w:r>
      <w:r>
        <w:rPr>
          <w:rFonts w:cs="Sylfaen"/>
          <w:lang w:val="af-ZA"/>
        </w:rPr>
        <w:t xml:space="preserve"> </w:t>
      </w:r>
      <w:r>
        <w:rPr>
          <w:rFonts w:cs="Sylfaen"/>
          <w:lang w:val="pt-BR"/>
        </w:rPr>
        <w:t>և այլն:</w:t>
      </w:r>
    </w:p>
    <w:p w14:paraId="24093882" w14:textId="77777777" w:rsidR="00DA0E15" w:rsidRDefault="00362131">
      <w:pPr>
        <w:tabs>
          <w:tab w:val="left" w:pos="720"/>
        </w:tabs>
        <w:autoSpaceDE w:val="0"/>
        <w:autoSpaceDN w:val="0"/>
        <w:adjustRightInd w:val="0"/>
        <w:spacing w:before="0" w:after="0" w:line="276" w:lineRule="auto"/>
        <w:rPr>
          <w:rFonts w:cs="Sylfaen"/>
          <w:lang w:val="pt-BR"/>
        </w:rPr>
      </w:pPr>
      <w:r>
        <w:rPr>
          <w:rFonts w:cs="Sylfaen"/>
          <w:lang w:val="pt-BR"/>
        </w:rPr>
        <w:tab/>
      </w:r>
      <w:r>
        <w:rPr>
          <w:rFonts w:cs="Sylfaen"/>
        </w:rPr>
        <w:t>Գիտության</w:t>
      </w:r>
      <w:r>
        <w:rPr>
          <w:rFonts w:cs="Sylfaen"/>
          <w:lang w:val="pt-BR"/>
        </w:rPr>
        <w:t xml:space="preserve"> </w:t>
      </w:r>
      <w:r>
        <w:rPr>
          <w:rFonts w:cs="Sylfaen"/>
        </w:rPr>
        <w:t>ոլորտում</w:t>
      </w:r>
      <w:r>
        <w:rPr>
          <w:rFonts w:cs="Sylfaen"/>
          <w:lang w:val="pt-BR"/>
        </w:rPr>
        <w:t xml:space="preserve"> </w:t>
      </w:r>
      <w:r>
        <w:rPr>
          <w:rFonts w:cs="Sylfaen"/>
        </w:rPr>
        <w:t>երիտասարդ</w:t>
      </w:r>
      <w:r>
        <w:rPr>
          <w:rFonts w:cs="Sylfaen"/>
          <w:lang w:val="pt-BR"/>
        </w:rPr>
        <w:t xml:space="preserve"> </w:t>
      </w:r>
      <w:r>
        <w:rPr>
          <w:rFonts w:cs="Sylfaen"/>
        </w:rPr>
        <w:t>կադրերի</w:t>
      </w:r>
      <w:r>
        <w:rPr>
          <w:rFonts w:cs="Sylfaen"/>
          <w:lang w:val="pt-BR"/>
        </w:rPr>
        <w:t xml:space="preserve"> </w:t>
      </w:r>
      <w:r>
        <w:rPr>
          <w:rFonts w:cs="Sylfaen"/>
        </w:rPr>
        <w:t>ամրապնդման</w:t>
      </w:r>
      <w:r>
        <w:rPr>
          <w:rFonts w:cs="Sylfaen"/>
          <w:lang w:val="pt-BR"/>
        </w:rPr>
        <w:t xml:space="preserve">, </w:t>
      </w:r>
      <w:r>
        <w:rPr>
          <w:rFonts w:cs="Sylfaen"/>
        </w:rPr>
        <w:t>ինչպես</w:t>
      </w:r>
      <w:r>
        <w:rPr>
          <w:rFonts w:cs="Sylfaen"/>
          <w:lang w:val="pt-BR"/>
        </w:rPr>
        <w:t xml:space="preserve"> </w:t>
      </w:r>
      <w:r>
        <w:rPr>
          <w:rFonts w:cs="Sylfaen"/>
        </w:rPr>
        <w:t>նաև</w:t>
      </w:r>
      <w:r>
        <w:rPr>
          <w:rFonts w:cs="Sylfaen"/>
          <w:lang w:val="pt-BR"/>
        </w:rPr>
        <w:t xml:space="preserve"> </w:t>
      </w:r>
      <w:r>
        <w:rPr>
          <w:rFonts w:cs="Sylfaen"/>
        </w:rPr>
        <w:t>գիտության</w:t>
      </w:r>
      <w:r>
        <w:rPr>
          <w:rFonts w:cs="Sylfaen"/>
          <w:lang w:val="pt-BR"/>
        </w:rPr>
        <w:t xml:space="preserve"> </w:t>
      </w:r>
      <w:r>
        <w:rPr>
          <w:rFonts w:cs="Sylfaen"/>
        </w:rPr>
        <w:t>ոլորտի</w:t>
      </w:r>
      <w:r>
        <w:rPr>
          <w:rFonts w:cs="Sylfaen"/>
          <w:lang w:val="pt-BR"/>
        </w:rPr>
        <w:t xml:space="preserve"> </w:t>
      </w:r>
      <w:r>
        <w:rPr>
          <w:rFonts w:cs="Sylfaen"/>
        </w:rPr>
        <w:t>ենթակառուցվածքների</w:t>
      </w:r>
      <w:r>
        <w:rPr>
          <w:rFonts w:cs="Sylfaen"/>
          <w:lang w:val="pt-BR"/>
        </w:rPr>
        <w:t xml:space="preserve"> </w:t>
      </w:r>
      <w:r>
        <w:rPr>
          <w:rFonts w:cs="Sylfaen"/>
        </w:rPr>
        <w:t>արդիականացման</w:t>
      </w:r>
      <w:r>
        <w:rPr>
          <w:rFonts w:cs="Sylfaen"/>
          <w:lang w:val="pt-BR"/>
        </w:rPr>
        <w:t xml:space="preserve"> </w:t>
      </w:r>
      <w:r>
        <w:rPr>
          <w:rFonts w:cs="Sylfaen"/>
        </w:rPr>
        <w:t>նպատակով՝</w:t>
      </w:r>
    </w:p>
    <w:p w14:paraId="10C9AAAC"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rFonts w:cs="Sylfaen"/>
          <w:lang w:val="pt-BR"/>
        </w:rPr>
        <w:t xml:space="preserve">  Երիտասարդ գիտաշխատողների (մինչև 35 տարեկան) հետազոտությունների աջակցության երկամյա ծրագիրը:</w:t>
      </w:r>
    </w:p>
    <w:p w14:paraId="23A53AFD"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rFonts w:cs="Sylfaen"/>
          <w:lang w:val="pt-BR"/>
        </w:rPr>
        <w:t xml:space="preserve">Ասպիրանտների և երիտասարդ հայցորդների հետազոտությունների </w:t>
      </w:r>
      <w:r>
        <w:rPr>
          <w:rFonts w:cs="Sylfaen"/>
          <w:lang w:val="en-AU"/>
        </w:rPr>
        <w:t>աջակցության</w:t>
      </w:r>
      <w:r>
        <w:rPr>
          <w:rFonts w:cs="Sylfaen"/>
          <w:lang w:val="pt-BR"/>
        </w:rPr>
        <w:t xml:space="preserve"> անհատական խրախուսման ամենամյա ծրագիրը:</w:t>
      </w:r>
    </w:p>
    <w:p w14:paraId="14D4BFB9"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rFonts w:cs="Sylfaen"/>
          <w:lang w:val="pt-BR"/>
        </w:rPr>
        <w:t>Գիտական խմբերի մեկնարկային աջակցության եռամյա ծրագիրը:</w:t>
      </w:r>
    </w:p>
    <w:p w14:paraId="40CBDE72"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rFonts w:cs="Sylfaen"/>
          <w:lang w:val="pt-BR"/>
        </w:rPr>
        <w:t>Գիտական խմբերի ամրապնդմանն ուղղված եռամյա ծրագիրը:</w:t>
      </w:r>
    </w:p>
    <w:p w14:paraId="682184C4"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rFonts w:cs="Sylfaen"/>
          <w:lang w:val="pt-BR"/>
        </w:rPr>
        <w:t xml:space="preserve">Առաջատար հետազոտությունների աջակցության հնգամյա ծրագիրը: </w:t>
      </w:r>
    </w:p>
    <w:p w14:paraId="68EF4CBC"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shd w:val="clear" w:color="auto" w:fill="FFFFFF"/>
        </w:rPr>
        <w:t>Պետական</w:t>
      </w:r>
      <w:r>
        <w:rPr>
          <w:shd w:val="clear" w:color="auto" w:fill="FFFFFF"/>
          <w:lang w:val="pt-BR"/>
        </w:rPr>
        <w:t xml:space="preserve"> </w:t>
      </w:r>
      <w:r>
        <w:rPr>
          <w:shd w:val="clear" w:color="auto" w:fill="FFFFFF"/>
        </w:rPr>
        <w:t>գիտական</w:t>
      </w:r>
      <w:r>
        <w:rPr>
          <w:shd w:val="clear" w:color="auto" w:fill="FFFFFF"/>
          <w:lang w:val="pt-BR"/>
        </w:rPr>
        <w:t xml:space="preserve"> </w:t>
      </w:r>
      <w:r>
        <w:rPr>
          <w:shd w:val="clear" w:color="auto" w:fill="FFFFFF"/>
        </w:rPr>
        <w:t>ծրագրերում</w:t>
      </w:r>
      <w:r>
        <w:rPr>
          <w:shd w:val="clear" w:color="auto" w:fill="FFFFFF"/>
          <w:lang w:val="pt-BR"/>
        </w:rPr>
        <w:t xml:space="preserve"> </w:t>
      </w:r>
      <w:r>
        <w:rPr>
          <w:shd w:val="clear" w:color="auto" w:fill="FFFFFF"/>
        </w:rPr>
        <w:t>և</w:t>
      </w:r>
      <w:r>
        <w:rPr>
          <w:shd w:val="clear" w:color="auto" w:fill="FFFFFF"/>
          <w:lang w:val="pt-BR"/>
        </w:rPr>
        <w:t xml:space="preserve"> </w:t>
      </w:r>
      <w:r>
        <w:rPr>
          <w:shd w:val="clear" w:color="auto" w:fill="FFFFFF"/>
        </w:rPr>
        <w:t>թեմաներում</w:t>
      </w:r>
      <w:r>
        <w:rPr>
          <w:shd w:val="clear" w:color="auto" w:fill="FFFFFF"/>
          <w:lang w:val="pt-BR"/>
        </w:rPr>
        <w:t xml:space="preserve"> </w:t>
      </w:r>
      <w:r>
        <w:rPr>
          <w:shd w:val="clear" w:color="auto" w:fill="FFFFFF"/>
        </w:rPr>
        <w:t>ընդգրկված</w:t>
      </w:r>
      <w:r>
        <w:rPr>
          <w:shd w:val="clear" w:color="auto" w:fill="FFFFFF"/>
          <w:lang w:val="pt-BR"/>
        </w:rPr>
        <w:t xml:space="preserve"> </w:t>
      </w:r>
      <w:r>
        <w:rPr>
          <w:shd w:val="clear" w:color="auto" w:fill="FFFFFF"/>
        </w:rPr>
        <w:t>բարձր</w:t>
      </w:r>
      <w:r>
        <w:rPr>
          <w:shd w:val="clear" w:color="auto" w:fill="FFFFFF"/>
          <w:lang w:val="pt-BR"/>
        </w:rPr>
        <w:t xml:space="preserve"> </w:t>
      </w:r>
      <w:r>
        <w:rPr>
          <w:shd w:val="clear" w:color="auto" w:fill="FFFFFF"/>
        </w:rPr>
        <w:t>արդյունավետությամբ</w:t>
      </w:r>
      <w:r>
        <w:rPr>
          <w:shd w:val="clear" w:color="auto" w:fill="FFFFFF"/>
          <w:lang w:val="pt-BR"/>
        </w:rPr>
        <w:t xml:space="preserve"> </w:t>
      </w:r>
      <w:r>
        <w:rPr>
          <w:shd w:val="clear" w:color="auto" w:fill="FFFFFF"/>
        </w:rPr>
        <w:t>աշխատող</w:t>
      </w:r>
      <w:r>
        <w:rPr>
          <w:shd w:val="clear" w:color="auto" w:fill="FFFFFF"/>
          <w:lang w:val="pt-BR"/>
        </w:rPr>
        <w:t xml:space="preserve">, </w:t>
      </w:r>
      <w:r>
        <w:rPr>
          <w:shd w:val="clear" w:color="auto" w:fill="FFFFFF"/>
        </w:rPr>
        <w:t>այդ</w:t>
      </w:r>
      <w:r>
        <w:rPr>
          <w:shd w:val="clear" w:color="auto" w:fill="FFFFFF"/>
          <w:lang w:val="pt-BR"/>
        </w:rPr>
        <w:t xml:space="preserve"> </w:t>
      </w:r>
      <w:r>
        <w:rPr>
          <w:shd w:val="clear" w:color="auto" w:fill="FFFFFF"/>
        </w:rPr>
        <w:t>թվում</w:t>
      </w:r>
      <w:r>
        <w:rPr>
          <w:shd w:val="clear" w:color="auto" w:fill="FFFFFF"/>
          <w:lang w:val="pt-BR"/>
        </w:rPr>
        <w:t xml:space="preserve"> </w:t>
      </w:r>
      <w:r>
        <w:rPr>
          <w:shd w:val="clear" w:color="auto" w:fill="FFFFFF"/>
        </w:rPr>
        <w:t>երիտասարդ</w:t>
      </w:r>
      <w:r>
        <w:rPr>
          <w:shd w:val="clear" w:color="auto" w:fill="FFFFFF"/>
          <w:lang w:val="pt-BR"/>
        </w:rPr>
        <w:t xml:space="preserve"> </w:t>
      </w:r>
      <w:r>
        <w:rPr>
          <w:shd w:val="clear" w:color="auto" w:fill="FFFFFF"/>
        </w:rPr>
        <w:t>գիտաշխատողների</w:t>
      </w:r>
      <w:r>
        <w:rPr>
          <w:shd w:val="clear" w:color="auto" w:fill="FFFFFF"/>
          <w:lang w:val="pt-BR"/>
        </w:rPr>
        <w:t xml:space="preserve"> (</w:t>
      </w:r>
      <w:r>
        <w:rPr>
          <w:shd w:val="clear" w:color="auto" w:fill="FFFFFF"/>
        </w:rPr>
        <w:t>մինչև</w:t>
      </w:r>
      <w:r>
        <w:rPr>
          <w:shd w:val="clear" w:color="auto" w:fill="FFFFFF"/>
          <w:lang w:val="pt-BR"/>
        </w:rPr>
        <w:t xml:space="preserve"> 35 </w:t>
      </w:r>
      <w:r>
        <w:rPr>
          <w:shd w:val="clear" w:color="auto" w:fill="FFFFFF"/>
        </w:rPr>
        <w:t>տարեկան</w:t>
      </w:r>
      <w:r>
        <w:rPr>
          <w:shd w:val="clear" w:color="auto" w:fill="FFFFFF"/>
          <w:lang w:val="pt-BR"/>
        </w:rPr>
        <w:t xml:space="preserve">) </w:t>
      </w:r>
      <w:r>
        <w:rPr>
          <w:shd w:val="clear" w:color="auto" w:fill="FFFFFF"/>
        </w:rPr>
        <w:t>անհատական</w:t>
      </w:r>
      <w:r>
        <w:rPr>
          <w:shd w:val="clear" w:color="auto" w:fill="FFFFFF"/>
          <w:lang w:val="pt-BR"/>
        </w:rPr>
        <w:t xml:space="preserve"> </w:t>
      </w:r>
      <w:r>
        <w:rPr>
          <w:shd w:val="clear" w:color="auto" w:fill="FFFFFF"/>
        </w:rPr>
        <w:t>խրախուսման</w:t>
      </w:r>
      <w:r>
        <w:rPr>
          <w:shd w:val="clear" w:color="auto" w:fill="FFFFFF"/>
          <w:lang w:val="pt-BR"/>
        </w:rPr>
        <w:t xml:space="preserve"> </w:t>
      </w:r>
      <w:r>
        <w:rPr>
          <w:shd w:val="clear" w:color="auto" w:fill="FFFFFF"/>
        </w:rPr>
        <w:t>ամենամյա</w:t>
      </w:r>
      <w:r>
        <w:rPr>
          <w:shd w:val="clear" w:color="auto" w:fill="FFFFFF"/>
          <w:lang w:val="pt-BR"/>
        </w:rPr>
        <w:t xml:space="preserve"> </w:t>
      </w:r>
      <w:r>
        <w:rPr>
          <w:shd w:val="clear" w:color="auto" w:fill="FFFFFF"/>
        </w:rPr>
        <w:t>ծրագիրը</w:t>
      </w:r>
      <w:r>
        <w:rPr>
          <w:shd w:val="clear" w:color="auto" w:fill="FFFFFF"/>
          <w:lang w:val="pt-BR"/>
        </w:rPr>
        <w:t>:</w:t>
      </w:r>
    </w:p>
    <w:p w14:paraId="3F5FB9F7"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rFonts w:cs="Sylfaen"/>
          <w:lang w:val="pt-BR"/>
        </w:rPr>
        <w:t>«Երիտասարդ գիտնականների աջակցության ծրագրին» պետական աջակցությունը:</w:t>
      </w:r>
    </w:p>
    <w:p w14:paraId="566E0143"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rFonts w:cs="Sylfaen"/>
          <w:lang w:val="pt-BR"/>
        </w:rPr>
        <w:t>Գիտական սարքերի և սարքավորումների/լաբորատորիաների ձեռքբերման կամ ստեղծման ամենամյա դրամաշնորհային ծրագրերը:</w:t>
      </w:r>
    </w:p>
    <w:p w14:paraId="55333A96" w14:textId="77777777" w:rsidR="00DA0E15" w:rsidRDefault="00362131">
      <w:pPr>
        <w:tabs>
          <w:tab w:val="left" w:pos="720"/>
        </w:tabs>
        <w:autoSpaceDE w:val="0"/>
        <w:autoSpaceDN w:val="0"/>
        <w:adjustRightInd w:val="0"/>
        <w:spacing w:before="0" w:after="0" w:line="276" w:lineRule="auto"/>
        <w:rPr>
          <w:rFonts w:cs="Sylfaen"/>
          <w:lang w:val="pt-BR"/>
        </w:rPr>
      </w:pPr>
      <w:r>
        <w:rPr>
          <w:rFonts w:cs="Sylfaen"/>
          <w:lang w:val="pt-BR"/>
        </w:rPr>
        <w:tab/>
      </w:r>
      <w:r>
        <w:rPr>
          <w:rFonts w:cs="Sylfaen"/>
        </w:rPr>
        <w:t>Երկրի</w:t>
      </w:r>
      <w:r>
        <w:rPr>
          <w:rFonts w:cs="Sylfaen"/>
          <w:lang w:val="pt-BR"/>
        </w:rPr>
        <w:t xml:space="preserve"> </w:t>
      </w:r>
      <w:r>
        <w:rPr>
          <w:rFonts w:cs="Sylfaen"/>
        </w:rPr>
        <w:t>տնտեսության</w:t>
      </w:r>
      <w:r>
        <w:rPr>
          <w:rFonts w:cs="Sylfaen"/>
          <w:lang w:val="pt-BR"/>
        </w:rPr>
        <w:t xml:space="preserve"> </w:t>
      </w:r>
      <w:r>
        <w:rPr>
          <w:rFonts w:cs="Sylfaen"/>
        </w:rPr>
        <w:t>պահանջներից</w:t>
      </w:r>
      <w:r>
        <w:rPr>
          <w:rFonts w:cs="Sylfaen"/>
          <w:lang w:val="pt-BR"/>
        </w:rPr>
        <w:t xml:space="preserve"> </w:t>
      </w:r>
      <w:r>
        <w:rPr>
          <w:rFonts w:cs="Sylfaen"/>
        </w:rPr>
        <w:t>բխող</w:t>
      </w:r>
      <w:r>
        <w:rPr>
          <w:rFonts w:cs="Sylfaen"/>
          <w:lang w:val="pt-BR"/>
        </w:rPr>
        <w:t xml:space="preserve">, </w:t>
      </w:r>
      <w:r>
        <w:rPr>
          <w:rFonts w:cs="Sylfaen"/>
        </w:rPr>
        <w:t>ինչպես</w:t>
      </w:r>
      <w:r>
        <w:rPr>
          <w:rFonts w:cs="Sylfaen"/>
          <w:lang w:val="pt-BR"/>
        </w:rPr>
        <w:t xml:space="preserve"> </w:t>
      </w:r>
      <w:r>
        <w:rPr>
          <w:rFonts w:cs="Sylfaen"/>
        </w:rPr>
        <w:t>նաև</w:t>
      </w:r>
      <w:r>
        <w:rPr>
          <w:rFonts w:cs="Sylfaen"/>
          <w:lang w:val="pt-BR"/>
        </w:rPr>
        <w:t xml:space="preserve"> </w:t>
      </w:r>
      <w:r>
        <w:rPr>
          <w:rFonts w:cs="Sylfaen"/>
        </w:rPr>
        <w:t>երկակի</w:t>
      </w:r>
      <w:r>
        <w:rPr>
          <w:rFonts w:cs="Sylfaen"/>
          <w:lang w:val="pt-BR"/>
        </w:rPr>
        <w:t xml:space="preserve"> </w:t>
      </w:r>
      <w:r>
        <w:rPr>
          <w:rFonts w:cs="Sylfaen"/>
        </w:rPr>
        <w:t>նշանակության</w:t>
      </w:r>
      <w:r>
        <w:rPr>
          <w:rFonts w:cs="Sylfaen"/>
          <w:lang w:val="pt-BR"/>
        </w:rPr>
        <w:t xml:space="preserve"> </w:t>
      </w:r>
      <w:r>
        <w:rPr>
          <w:rFonts w:cs="Sylfaen"/>
        </w:rPr>
        <w:t>բարձր</w:t>
      </w:r>
      <w:r>
        <w:rPr>
          <w:rFonts w:cs="Sylfaen"/>
          <w:lang w:val="pt-BR"/>
        </w:rPr>
        <w:t xml:space="preserve"> </w:t>
      </w:r>
      <w:r>
        <w:rPr>
          <w:rFonts w:cs="Sylfaen"/>
        </w:rPr>
        <w:t>տեխնոլոգիական</w:t>
      </w:r>
      <w:r>
        <w:rPr>
          <w:rFonts w:cs="Sylfaen"/>
          <w:lang w:val="pt-BR"/>
        </w:rPr>
        <w:t xml:space="preserve"> </w:t>
      </w:r>
      <w:r>
        <w:rPr>
          <w:rFonts w:cs="Sylfaen"/>
        </w:rPr>
        <w:t>մրցունակ</w:t>
      </w:r>
      <w:r>
        <w:rPr>
          <w:rFonts w:cs="Sylfaen"/>
          <w:lang w:val="pt-BR"/>
        </w:rPr>
        <w:t xml:space="preserve"> </w:t>
      </w:r>
      <w:r>
        <w:rPr>
          <w:rFonts w:cs="Sylfaen"/>
        </w:rPr>
        <w:t>արտադրանքի</w:t>
      </w:r>
      <w:r>
        <w:rPr>
          <w:rFonts w:cs="Sylfaen"/>
          <w:lang w:val="pt-BR"/>
        </w:rPr>
        <w:t xml:space="preserve"> </w:t>
      </w:r>
      <w:r>
        <w:rPr>
          <w:rFonts w:cs="Sylfaen"/>
        </w:rPr>
        <w:t>ստեղծմանն</w:t>
      </w:r>
      <w:r>
        <w:rPr>
          <w:rFonts w:cs="Sylfaen"/>
          <w:lang w:val="pt-BR"/>
        </w:rPr>
        <w:t xml:space="preserve"> </w:t>
      </w:r>
      <w:r>
        <w:rPr>
          <w:rFonts w:cs="Sylfaen"/>
        </w:rPr>
        <w:t>ուղղված</w:t>
      </w:r>
      <w:r>
        <w:rPr>
          <w:rFonts w:cs="Sylfaen"/>
          <w:lang w:val="pt-BR"/>
        </w:rPr>
        <w:t xml:space="preserve"> </w:t>
      </w:r>
      <w:r>
        <w:rPr>
          <w:rFonts w:cs="Sylfaen"/>
        </w:rPr>
        <w:t>հետազոտությունների</w:t>
      </w:r>
      <w:r>
        <w:rPr>
          <w:rFonts w:cs="Sylfaen"/>
          <w:lang w:val="pt-BR"/>
        </w:rPr>
        <w:t xml:space="preserve"> </w:t>
      </w:r>
      <w:r>
        <w:rPr>
          <w:rFonts w:cs="Sylfaen"/>
        </w:rPr>
        <w:t>խթանման</w:t>
      </w:r>
      <w:r>
        <w:rPr>
          <w:rFonts w:cs="Sylfaen"/>
          <w:lang w:val="pt-BR"/>
        </w:rPr>
        <w:t xml:space="preserve"> </w:t>
      </w:r>
      <w:r>
        <w:rPr>
          <w:rFonts w:cs="Sylfaen"/>
        </w:rPr>
        <w:t>նպատակով՝</w:t>
      </w:r>
    </w:p>
    <w:p w14:paraId="295B5EC4"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pt-BR"/>
        </w:rPr>
      </w:pPr>
      <w:r>
        <w:rPr>
          <w:rFonts w:cs="Sylfaen"/>
        </w:rPr>
        <w:t>Կիրառական</w:t>
      </w:r>
      <w:r>
        <w:rPr>
          <w:rFonts w:cs="Sylfaen"/>
          <w:lang w:val="pt-BR"/>
        </w:rPr>
        <w:t xml:space="preserve"> </w:t>
      </w:r>
      <w:r>
        <w:rPr>
          <w:rFonts w:cs="Sylfaen"/>
        </w:rPr>
        <w:t>արդյունքի</w:t>
      </w:r>
      <w:r>
        <w:rPr>
          <w:rFonts w:cs="Sylfaen"/>
          <w:lang w:val="pt-BR"/>
        </w:rPr>
        <w:t xml:space="preserve"> </w:t>
      </w:r>
      <w:r>
        <w:rPr>
          <w:rFonts w:cs="Sylfaen"/>
        </w:rPr>
        <w:t>ձեռքբերմանն</w:t>
      </w:r>
      <w:r>
        <w:rPr>
          <w:rFonts w:cs="Sylfaen"/>
          <w:lang w:val="pt-BR"/>
        </w:rPr>
        <w:t xml:space="preserve"> </w:t>
      </w:r>
      <w:r>
        <w:rPr>
          <w:rFonts w:cs="Sylfaen"/>
        </w:rPr>
        <w:t>ուղղված</w:t>
      </w:r>
      <w:r>
        <w:rPr>
          <w:rFonts w:cs="Sylfaen"/>
          <w:lang w:val="pt-BR"/>
        </w:rPr>
        <w:t xml:space="preserve"> </w:t>
      </w:r>
      <w:r>
        <w:rPr>
          <w:rFonts w:cs="Sylfaen"/>
        </w:rPr>
        <w:t>երկամյա</w:t>
      </w:r>
      <w:r>
        <w:rPr>
          <w:rFonts w:cs="Sylfaen"/>
          <w:lang w:val="pt-BR"/>
        </w:rPr>
        <w:t xml:space="preserve"> </w:t>
      </w:r>
      <w:r>
        <w:rPr>
          <w:rFonts w:cs="Sylfaen"/>
        </w:rPr>
        <w:t>ծրագրեր</w:t>
      </w:r>
      <w:r>
        <w:rPr>
          <w:rFonts w:cs="Sylfaen"/>
          <w:lang w:val="pt-BR"/>
        </w:rPr>
        <w:t xml:space="preserve">` </w:t>
      </w:r>
      <w:r>
        <w:rPr>
          <w:rFonts w:cs="Sylfaen"/>
        </w:rPr>
        <w:t>արտաբյուջետային</w:t>
      </w:r>
      <w:r>
        <w:rPr>
          <w:rFonts w:cs="Sylfaen"/>
          <w:lang w:val="pt-BR"/>
        </w:rPr>
        <w:t xml:space="preserve"> </w:t>
      </w:r>
      <w:r>
        <w:rPr>
          <w:rFonts w:cs="Sylfaen"/>
        </w:rPr>
        <w:t>միջոցների</w:t>
      </w:r>
      <w:r>
        <w:rPr>
          <w:rFonts w:cs="Sylfaen"/>
          <w:lang w:val="pt-BR"/>
        </w:rPr>
        <w:t xml:space="preserve"> </w:t>
      </w:r>
      <w:r>
        <w:rPr>
          <w:rFonts w:cs="Sylfaen"/>
        </w:rPr>
        <w:t>պարտադիր</w:t>
      </w:r>
      <w:r>
        <w:rPr>
          <w:rFonts w:cs="Sylfaen"/>
          <w:lang w:val="pt-BR"/>
        </w:rPr>
        <w:t xml:space="preserve"> </w:t>
      </w:r>
      <w:r>
        <w:rPr>
          <w:rFonts w:cs="Sylfaen"/>
        </w:rPr>
        <w:t>ներգրավման</w:t>
      </w:r>
      <w:r>
        <w:rPr>
          <w:rFonts w:cs="Sylfaen"/>
          <w:lang w:val="pt-BR"/>
        </w:rPr>
        <w:t xml:space="preserve"> </w:t>
      </w:r>
      <w:r>
        <w:rPr>
          <w:rFonts w:cs="Sylfaen"/>
        </w:rPr>
        <w:t>պայմանով՝</w:t>
      </w:r>
      <w:r>
        <w:rPr>
          <w:rFonts w:cs="Sylfaen"/>
          <w:lang w:val="pt-BR"/>
        </w:rPr>
        <w:t xml:space="preserve"> </w:t>
      </w:r>
      <w:r>
        <w:rPr>
          <w:rFonts w:cs="Sylfaen"/>
        </w:rPr>
        <w:t>համաֆինանսավորման</w:t>
      </w:r>
      <w:r>
        <w:rPr>
          <w:rFonts w:cs="Sylfaen"/>
          <w:lang w:val="pt-BR"/>
        </w:rPr>
        <w:t xml:space="preserve"> </w:t>
      </w:r>
      <w:r>
        <w:rPr>
          <w:rFonts w:cs="Sylfaen"/>
        </w:rPr>
        <w:t>սկզբունքով</w:t>
      </w:r>
      <w:r>
        <w:rPr>
          <w:rFonts w:cs="Sylfaen"/>
          <w:lang w:val="pt-BR"/>
        </w:rPr>
        <w:t>:</w:t>
      </w:r>
    </w:p>
    <w:p w14:paraId="314F499D"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af-ZA"/>
        </w:rPr>
      </w:pPr>
      <w:r>
        <w:rPr>
          <w:rFonts w:cs="Sylfaen"/>
        </w:rPr>
        <w:t>Արհեստական</w:t>
      </w:r>
      <w:r>
        <w:rPr>
          <w:rFonts w:cs="Sylfaen"/>
          <w:lang w:val="pt-BR"/>
        </w:rPr>
        <w:t xml:space="preserve"> </w:t>
      </w:r>
      <w:r>
        <w:rPr>
          <w:rFonts w:cs="Sylfaen"/>
        </w:rPr>
        <w:t>բանականություն</w:t>
      </w:r>
      <w:r>
        <w:rPr>
          <w:rFonts w:cs="Sylfaen"/>
          <w:lang w:val="pt-BR"/>
        </w:rPr>
        <w:t xml:space="preserve"> </w:t>
      </w:r>
      <w:r>
        <w:rPr>
          <w:rFonts w:cs="Sylfaen"/>
        </w:rPr>
        <w:t>և</w:t>
      </w:r>
      <w:r>
        <w:rPr>
          <w:rFonts w:cs="Sylfaen"/>
          <w:lang w:val="pt-BR"/>
        </w:rPr>
        <w:t xml:space="preserve"> </w:t>
      </w:r>
      <w:r>
        <w:rPr>
          <w:rFonts w:cs="Sylfaen"/>
        </w:rPr>
        <w:t>տվյալագիտություն</w:t>
      </w:r>
      <w:r>
        <w:rPr>
          <w:rFonts w:cs="Sylfaen"/>
          <w:lang w:val="pt-BR"/>
        </w:rPr>
        <w:t xml:space="preserve">, </w:t>
      </w:r>
      <w:r>
        <w:rPr>
          <w:rFonts w:cs="Sylfaen"/>
        </w:rPr>
        <w:t>քվանտային</w:t>
      </w:r>
      <w:r>
        <w:rPr>
          <w:rFonts w:cs="Sylfaen"/>
          <w:lang w:val="pt-BR"/>
        </w:rPr>
        <w:t xml:space="preserve"> </w:t>
      </w:r>
      <w:r>
        <w:rPr>
          <w:rFonts w:cs="Sylfaen"/>
        </w:rPr>
        <w:t>տեխնոլոգիաներ</w:t>
      </w:r>
      <w:r>
        <w:rPr>
          <w:rFonts w:cs="Sylfaen"/>
          <w:lang w:val="pt-BR"/>
        </w:rPr>
        <w:t xml:space="preserve">, </w:t>
      </w:r>
      <w:r>
        <w:rPr>
          <w:rFonts w:cs="Sylfaen"/>
        </w:rPr>
        <w:t>ռոբոտատեխնիկա</w:t>
      </w:r>
      <w:r>
        <w:rPr>
          <w:rFonts w:cs="Sylfaen"/>
          <w:lang w:val="pt-BR"/>
        </w:rPr>
        <w:t xml:space="preserve"> </w:t>
      </w:r>
      <w:r>
        <w:rPr>
          <w:rFonts w:cs="Sylfaen"/>
        </w:rPr>
        <w:t>մասնագիտություններով</w:t>
      </w:r>
      <w:r>
        <w:rPr>
          <w:rFonts w:cs="Sylfaen"/>
          <w:lang w:val="pt-BR"/>
        </w:rPr>
        <w:t xml:space="preserve"> </w:t>
      </w:r>
      <w:r>
        <w:rPr>
          <w:rFonts w:cs="Sylfaen"/>
        </w:rPr>
        <w:t>հետազոտությունների</w:t>
      </w:r>
      <w:r>
        <w:rPr>
          <w:rFonts w:cs="Sylfaen"/>
          <w:lang w:val="pt-BR"/>
        </w:rPr>
        <w:t xml:space="preserve"> </w:t>
      </w:r>
      <w:r>
        <w:rPr>
          <w:rFonts w:cs="Sylfaen"/>
        </w:rPr>
        <w:t>աջակցության</w:t>
      </w:r>
      <w:r>
        <w:rPr>
          <w:rFonts w:cs="Sylfaen"/>
          <w:lang w:val="pt-BR"/>
        </w:rPr>
        <w:t xml:space="preserve"> </w:t>
      </w:r>
      <w:r>
        <w:rPr>
          <w:rFonts w:cs="Sylfaen"/>
        </w:rPr>
        <w:t>ծրագիրը</w:t>
      </w:r>
      <w:r>
        <w:rPr>
          <w:rFonts w:cs="Sylfaen"/>
          <w:lang w:val="pt-BR"/>
        </w:rPr>
        <w:t>:</w:t>
      </w:r>
    </w:p>
    <w:p w14:paraId="49C7DFA8" w14:textId="77777777" w:rsidR="00DA0E15" w:rsidRDefault="00362131" w:rsidP="00C0628C">
      <w:pPr>
        <w:numPr>
          <w:ilvl w:val="0"/>
          <w:numId w:val="19"/>
        </w:numPr>
        <w:tabs>
          <w:tab w:val="left" w:pos="540"/>
          <w:tab w:val="left" w:pos="720"/>
        </w:tabs>
        <w:autoSpaceDE w:val="0"/>
        <w:autoSpaceDN w:val="0"/>
        <w:adjustRightInd w:val="0"/>
        <w:spacing w:before="0" w:after="0" w:line="276" w:lineRule="auto"/>
        <w:ind w:left="0" w:firstLine="567"/>
        <w:rPr>
          <w:rFonts w:cs="Sylfaen"/>
          <w:lang w:val="af-ZA"/>
        </w:rPr>
      </w:pPr>
      <w:r>
        <w:rPr>
          <w:rFonts w:cs="Sylfaen"/>
          <w:iCs/>
        </w:rPr>
        <w:t>Երկակի</w:t>
      </w:r>
      <w:r>
        <w:rPr>
          <w:rFonts w:cs="Sylfaen"/>
          <w:iCs/>
          <w:lang w:val="af-ZA"/>
        </w:rPr>
        <w:t xml:space="preserve"> </w:t>
      </w:r>
      <w:r>
        <w:rPr>
          <w:rFonts w:cs="Sylfaen"/>
          <w:iCs/>
        </w:rPr>
        <w:t>նշանակության</w:t>
      </w:r>
      <w:r>
        <w:rPr>
          <w:rFonts w:cs="Sylfaen"/>
          <w:iCs/>
          <w:lang w:val="af-ZA"/>
        </w:rPr>
        <w:t xml:space="preserve"> </w:t>
      </w:r>
      <w:r>
        <w:rPr>
          <w:rFonts w:cs="Sylfaen"/>
          <w:iCs/>
        </w:rPr>
        <w:t>հետազոտությունների</w:t>
      </w:r>
      <w:r>
        <w:rPr>
          <w:rFonts w:cs="Sylfaen"/>
          <w:iCs/>
          <w:lang w:val="af-ZA"/>
        </w:rPr>
        <w:t xml:space="preserve"> </w:t>
      </w:r>
      <w:r>
        <w:rPr>
          <w:rFonts w:cs="Sylfaen"/>
          <w:iCs/>
        </w:rPr>
        <w:t>աջակցության</w:t>
      </w:r>
      <w:r>
        <w:rPr>
          <w:rFonts w:cs="Sylfaen"/>
          <w:iCs/>
          <w:lang w:val="af-ZA"/>
        </w:rPr>
        <w:t xml:space="preserve"> </w:t>
      </w:r>
      <w:r>
        <w:rPr>
          <w:rFonts w:cs="Sylfaen"/>
          <w:iCs/>
        </w:rPr>
        <w:t>ծրագիրը</w:t>
      </w:r>
      <w:r>
        <w:rPr>
          <w:rFonts w:cs="Sylfaen"/>
          <w:lang w:val="af-ZA"/>
        </w:rPr>
        <w:t>:</w:t>
      </w:r>
    </w:p>
    <w:p w14:paraId="13DBFEC9" w14:textId="77777777" w:rsidR="00DA0E15" w:rsidRDefault="00362131">
      <w:pPr>
        <w:spacing w:before="0" w:after="0" w:line="276" w:lineRule="auto"/>
        <w:rPr>
          <w:lang w:val="fr-FR"/>
        </w:rPr>
      </w:pPr>
      <w:r>
        <w:rPr>
          <w:rFonts w:cs="Sylfaen"/>
        </w:rPr>
        <w:t>Մի</w:t>
      </w:r>
      <w:r>
        <w:rPr>
          <w:rFonts w:cs="Sylfaen"/>
          <w:lang w:val="ru-RU"/>
        </w:rPr>
        <w:t>ա</w:t>
      </w:r>
      <w:r>
        <w:rPr>
          <w:rFonts w:cs="Sylfaen"/>
        </w:rPr>
        <w:t>ժամանակ</w:t>
      </w:r>
      <w:r>
        <w:rPr>
          <w:rFonts w:cs="Sylfaen"/>
          <w:lang w:val="af-ZA"/>
        </w:rPr>
        <w:t xml:space="preserve">, </w:t>
      </w:r>
      <w:r>
        <w:rPr>
          <w:rFonts w:cs="Sylfaen"/>
        </w:rPr>
        <w:t>համաձայն</w:t>
      </w:r>
      <w:r>
        <w:rPr>
          <w:rFonts w:cs="Sylfaen"/>
          <w:lang w:val="af-ZA"/>
        </w:rPr>
        <w:t xml:space="preserve"> </w:t>
      </w:r>
      <w:r>
        <w:rPr>
          <w:rFonts w:cs="Sylfaen"/>
        </w:rPr>
        <w:t>ՀՀ</w:t>
      </w:r>
      <w:r>
        <w:rPr>
          <w:rFonts w:cs="Sylfaen"/>
          <w:lang w:val="af-ZA"/>
        </w:rPr>
        <w:t xml:space="preserve"> </w:t>
      </w:r>
      <w:r>
        <w:rPr>
          <w:rFonts w:cs="Sylfaen"/>
        </w:rPr>
        <w:t>կառավարության</w:t>
      </w:r>
      <w:r>
        <w:rPr>
          <w:rFonts w:cs="Sylfaen"/>
          <w:lang w:val="af-ZA"/>
        </w:rPr>
        <w:t xml:space="preserve"> 2021 </w:t>
      </w:r>
      <w:r>
        <w:rPr>
          <w:rFonts w:cs="Sylfaen"/>
        </w:rPr>
        <w:t>թվականի</w:t>
      </w:r>
      <w:r>
        <w:rPr>
          <w:rFonts w:cs="Sylfaen"/>
          <w:lang w:val="af-ZA"/>
        </w:rPr>
        <w:t xml:space="preserve"> </w:t>
      </w:r>
      <w:r>
        <w:rPr>
          <w:rFonts w:cs="Sylfaen"/>
        </w:rPr>
        <w:t>մայիսի</w:t>
      </w:r>
      <w:r>
        <w:rPr>
          <w:rFonts w:cs="Sylfaen"/>
          <w:lang w:val="af-ZA"/>
        </w:rPr>
        <w:t xml:space="preserve"> 13-</w:t>
      </w:r>
      <w:r>
        <w:rPr>
          <w:rFonts w:cs="Sylfaen"/>
        </w:rPr>
        <w:t>ի</w:t>
      </w:r>
      <w:r>
        <w:rPr>
          <w:rFonts w:cs="Sylfaen"/>
          <w:lang w:val="af-ZA"/>
        </w:rPr>
        <w:t xml:space="preserve"> «</w:t>
      </w:r>
      <w:r>
        <w:rPr>
          <w:rFonts w:cs="Sylfaen"/>
        </w:rPr>
        <w:t>Հայաստանի</w:t>
      </w:r>
      <w:r>
        <w:rPr>
          <w:rFonts w:cs="Sylfaen"/>
          <w:lang w:val="af-ZA"/>
        </w:rPr>
        <w:t xml:space="preserve"> </w:t>
      </w:r>
      <w:r>
        <w:rPr>
          <w:rFonts w:cs="Sylfaen"/>
        </w:rPr>
        <w:t>Հանրապետության</w:t>
      </w:r>
      <w:r>
        <w:rPr>
          <w:rFonts w:cs="Sylfaen"/>
          <w:lang w:val="af-ZA"/>
        </w:rPr>
        <w:t xml:space="preserve"> </w:t>
      </w:r>
      <w:r>
        <w:rPr>
          <w:rFonts w:cs="Sylfaen"/>
        </w:rPr>
        <w:t>կառավարության</w:t>
      </w:r>
      <w:r>
        <w:rPr>
          <w:rFonts w:cs="Sylfaen"/>
          <w:lang w:val="af-ZA"/>
        </w:rPr>
        <w:t xml:space="preserve"> 2001 </w:t>
      </w:r>
      <w:r>
        <w:rPr>
          <w:rFonts w:cs="Sylfaen"/>
        </w:rPr>
        <w:t>թվականի</w:t>
      </w:r>
      <w:r>
        <w:rPr>
          <w:rFonts w:cs="Sylfaen"/>
          <w:lang w:val="af-ZA"/>
        </w:rPr>
        <w:t xml:space="preserve"> </w:t>
      </w:r>
      <w:r>
        <w:rPr>
          <w:rFonts w:cs="Sylfaen"/>
        </w:rPr>
        <w:t>նոյեմբերի</w:t>
      </w:r>
      <w:r>
        <w:rPr>
          <w:rFonts w:cs="Sylfaen"/>
          <w:lang w:val="af-ZA"/>
        </w:rPr>
        <w:t xml:space="preserve"> 17-</w:t>
      </w:r>
      <w:r>
        <w:rPr>
          <w:rFonts w:cs="Sylfaen"/>
        </w:rPr>
        <w:t>ի</w:t>
      </w:r>
      <w:r>
        <w:rPr>
          <w:rFonts w:cs="Sylfaen"/>
          <w:lang w:val="af-ZA"/>
        </w:rPr>
        <w:t xml:space="preserve"> N 1121 </w:t>
      </w:r>
      <w:r>
        <w:rPr>
          <w:rFonts w:cs="Sylfaen"/>
        </w:rPr>
        <w:t>որոշման</w:t>
      </w:r>
      <w:r>
        <w:rPr>
          <w:rFonts w:cs="Sylfaen"/>
          <w:lang w:val="af-ZA"/>
        </w:rPr>
        <w:t xml:space="preserve"> </w:t>
      </w:r>
      <w:r>
        <w:rPr>
          <w:rFonts w:cs="Sylfaen"/>
        </w:rPr>
        <w:t>մեջ</w:t>
      </w:r>
      <w:r>
        <w:rPr>
          <w:rFonts w:cs="Sylfaen"/>
          <w:lang w:val="af-ZA"/>
        </w:rPr>
        <w:t xml:space="preserve"> </w:t>
      </w:r>
      <w:r>
        <w:rPr>
          <w:rFonts w:cs="Sylfaen"/>
        </w:rPr>
        <w:t>փոփոխություններ</w:t>
      </w:r>
      <w:r>
        <w:rPr>
          <w:rFonts w:cs="Sylfaen"/>
          <w:lang w:val="af-ZA"/>
        </w:rPr>
        <w:t xml:space="preserve"> </w:t>
      </w:r>
      <w:r>
        <w:rPr>
          <w:rFonts w:cs="Sylfaen"/>
        </w:rPr>
        <w:t>և</w:t>
      </w:r>
      <w:r>
        <w:rPr>
          <w:rFonts w:cs="Sylfaen"/>
          <w:lang w:val="af-ZA"/>
        </w:rPr>
        <w:t xml:space="preserve"> </w:t>
      </w:r>
      <w:r>
        <w:rPr>
          <w:rFonts w:cs="Sylfaen"/>
        </w:rPr>
        <w:t>լրացումներ</w:t>
      </w:r>
      <w:r>
        <w:rPr>
          <w:rFonts w:cs="Sylfaen"/>
          <w:lang w:val="af-ZA"/>
        </w:rPr>
        <w:t xml:space="preserve"> </w:t>
      </w:r>
      <w:r>
        <w:rPr>
          <w:rFonts w:cs="Sylfaen"/>
        </w:rPr>
        <w:t>կատարելու</w:t>
      </w:r>
      <w:r>
        <w:rPr>
          <w:rFonts w:cs="Sylfaen"/>
          <w:lang w:val="af-ZA"/>
        </w:rPr>
        <w:t xml:space="preserve"> </w:t>
      </w:r>
      <w:r>
        <w:rPr>
          <w:rFonts w:cs="Sylfaen"/>
        </w:rPr>
        <w:t>մասին</w:t>
      </w:r>
      <w:r>
        <w:rPr>
          <w:rFonts w:cs="Sylfaen"/>
          <w:lang w:val="af-ZA"/>
        </w:rPr>
        <w:t>» N 747-</w:t>
      </w:r>
      <w:r>
        <w:rPr>
          <w:rFonts w:cs="Sylfaen"/>
        </w:rPr>
        <w:t>Լ</w:t>
      </w:r>
      <w:r>
        <w:rPr>
          <w:rFonts w:cs="Sylfaen"/>
          <w:lang w:val="af-ZA"/>
        </w:rPr>
        <w:t xml:space="preserve"> </w:t>
      </w:r>
      <w:r>
        <w:rPr>
          <w:rFonts w:cs="Sylfaen"/>
        </w:rPr>
        <w:t>որոշման</w:t>
      </w:r>
      <w:r>
        <w:rPr>
          <w:rFonts w:cs="Sylfaen"/>
          <w:lang w:val="af-ZA"/>
        </w:rPr>
        <w:t xml:space="preserve">, 2022-2025 </w:t>
      </w:r>
      <w:r>
        <w:rPr>
          <w:rFonts w:cs="Sylfaen"/>
        </w:rPr>
        <w:t>թվականներին</w:t>
      </w:r>
      <w:r>
        <w:rPr>
          <w:rFonts w:cs="Sylfaen"/>
          <w:lang w:val="af-ZA"/>
        </w:rPr>
        <w:t xml:space="preserve"> </w:t>
      </w:r>
      <w:r>
        <w:rPr>
          <w:rFonts w:cs="Sylfaen"/>
        </w:rPr>
        <w:t>գ</w:t>
      </w:r>
      <w:r>
        <w:rPr>
          <w:rFonts w:cs="Sylfaen"/>
          <w:lang w:val="hy-AM"/>
        </w:rPr>
        <w:t xml:space="preserve">իտական և գիտատեխնիկական գործունեության </w:t>
      </w:r>
      <w:r>
        <w:rPr>
          <w:rFonts w:cs="Sylfaen"/>
        </w:rPr>
        <w:t>բազային</w:t>
      </w:r>
      <w:r>
        <w:rPr>
          <w:rFonts w:cs="Sylfaen"/>
          <w:lang w:val="af-ZA"/>
        </w:rPr>
        <w:t xml:space="preserve"> </w:t>
      </w:r>
      <w:r>
        <w:rPr>
          <w:rFonts w:cs="Sylfaen"/>
        </w:rPr>
        <w:t>ֆինանսավորման</w:t>
      </w:r>
      <w:r>
        <w:rPr>
          <w:rFonts w:cs="Sylfaen"/>
          <w:lang w:val="af-ZA"/>
        </w:rPr>
        <w:t xml:space="preserve"> </w:t>
      </w:r>
      <w:r>
        <w:rPr>
          <w:rFonts w:cs="Sylfaen"/>
        </w:rPr>
        <w:t>ծրագրերում</w:t>
      </w:r>
      <w:r>
        <w:rPr>
          <w:rFonts w:cs="Sylfaen"/>
          <w:lang w:val="af-ZA"/>
        </w:rPr>
        <w:t xml:space="preserve"> </w:t>
      </w:r>
      <w:r>
        <w:rPr>
          <w:rFonts w:cs="Sylfaen"/>
        </w:rPr>
        <w:t>ընդգրկված</w:t>
      </w:r>
      <w:r>
        <w:rPr>
          <w:rFonts w:cs="Sylfaen"/>
          <w:lang w:val="af-ZA"/>
        </w:rPr>
        <w:t xml:space="preserve"> </w:t>
      </w:r>
      <w:r>
        <w:rPr>
          <w:rFonts w:cs="Sylfaen"/>
        </w:rPr>
        <w:t>գիտական</w:t>
      </w:r>
      <w:r>
        <w:rPr>
          <w:rFonts w:cs="Sylfaen"/>
          <w:lang w:val="af-ZA"/>
        </w:rPr>
        <w:t xml:space="preserve"> </w:t>
      </w:r>
      <w:r>
        <w:rPr>
          <w:rFonts w:cs="Sylfaen"/>
        </w:rPr>
        <w:t>կադրերի</w:t>
      </w:r>
      <w:r>
        <w:rPr>
          <w:rFonts w:cs="Sylfaen"/>
          <w:lang w:val="af-ZA"/>
        </w:rPr>
        <w:t xml:space="preserve"> </w:t>
      </w:r>
      <w:r>
        <w:rPr>
          <w:rFonts w:cs="Sylfaen"/>
        </w:rPr>
        <w:t>աշխատավարձը</w:t>
      </w:r>
      <w:r>
        <w:rPr>
          <w:rFonts w:cs="Sylfaen"/>
          <w:lang w:val="af-ZA"/>
        </w:rPr>
        <w:t xml:space="preserve"> </w:t>
      </w:r>
      <w:r>
        <w:rPr>
          <w:rFonts w:cs="Sylfaen"/>
        </w:rPr>
        <w:t>աստիճանական</w:t>
      </w:r>
      <w:r>
        <w:rPr>
          <w:rFonts w:cs="Sylfaen"/>
          <w:lang w:val="af-ZA"/>
        </w:rPr>
        <w:t xml:space="preserve"> </w:t>
      </w:r>
      <w:r>
        <w:rPr>
          <w:rFonts w:cs="Sylfaen"/>
        </w:rPr>
        <w:t>կավելանա՝</w:t>
      </w:r>
      <w:r>
        <w:rPr>
          <w:rFonts w:cs="Sylfaen"/>
          <w:lang w:val="af-ZA"/>
        </w:rPr>
        <w:t xml:space="preserve"> </w:t>
      </w:r>
      <w:r>
        <w:rPr>
          <w:rFonts w:cs="Sylfaen"/>
        </w:rPr>
        <w:t>հասնելով</w:t>
      </w:r>
      <w:r>
        <w:rPr>
          <w:rFonts w:cs="Sylfaen"/>
          <w:lang w:val="af-ZA"/>
        </w:rPr>
        <w:t xml:space="preserve"> </w:t>
      </w:r>
      <w:r>
        <w:rPr>
          <w:rFonts w:cs="Sylfaen"/>
        </w:rPr>
        <w:t>հանրապետության</w:t>
      </w:r>
      <w:r>
        <w:rPr>
          <w:rFonts w:cs="Sylfaen"/>
          <w:lang w:val="af-ZA"/>
        </w:rPr>
        <w:t xml:space="preserve"> </w:t>
      </w:r>
      <w:r>
        <w:rPr>
          <w:rFonts w:cs="Sylfaen"/>
        </w:rPr>
        <w:t>մասշտաբով</w:t>
      </w:r>
      <w:r>
        <w:rPr>
          <w:rFonts w:cs="Sylfaen"/>
          <w:lang w:val="af-ZA"/>
        </w:rPr>
        <w:t xml:space="preserve"> </w:t>
      </w:r>
      <w:r>
        <w:rPr>
          <w:rFonts w:cs="Sylfaen"/>
        </w:rPr>
        <w:t>պետական</w:t>
      </w:r>
      <w:r>
        <w:rPr>
          <w:rFonts w:cs="Sylfaen"/>
          <w:lang w:val="af-ZA"/>
        </w:rPr>
        <w:t xml:space="preserve"> </w:t>
      </w:r>
      <w:r>
        <w:rPr>
          <w:rFonts w:cs="Sylfaen"/>
        </w:rPr>
        <w:t>համակարգում</w:t>
      </w:r>
      <w:r>
        <w:rPr>
          <w:rFonts w:cs="Sylfaen"/>
          <w:lang w:val="af-ZA"/>
        </w:rPr>
        <w:t xml:space="preserve"> </w:t>
      </w:r>
      <w:r>
        <w:rPr>
          <w:rFonts w:cs="Sylfaen"/>
        </w:rPr>
        <w:t>համեմատելի</w:t>
      </w:r>
      <w:r>
        <w:rPr>
          <w:rFonts w:cs="Sylfaen"/>
          <w:lang w:val="af-ZA"/>
        </w:rPr>
        <w:t xml:space="preserve"> </w:t>
      </w:r>
      <w:r>
        <w:rPr>
          <w:rFonts w:cs="Sylfaen"/>
        </w:rPr>
        <w:t>և</w:t>
      </w:r>
      <w:r>
        <w:rPr>
          <w:rFonts w:cs="Sylfaen"/>
          <w:lang w:val="af-ZA"/>
        </w:rPr>
        <w:t xml:space="preserve"> </w:t>
      </w:r>
      <w:r>
        <w:rPr>
          <w:rFonts w:cs="Sylfaen"/>
        </w:rPr>
        <w:t>համադրելի</w:t>
      </w:r>
      <w:r>
        <w:rPr>
          <w:rFonts w:cs="Sylfaen"/>
          <w:lang w:val="af-ZA"/>
        </w:rPr>
        <w:t xml:space="preserve"> </w:t>
      </w:r>
      <w:r>
        <w:rPr>
          <w:rFonts w:cs="Sylfaen"/>
        </w:rPr>
        <w:t>արժեքների</w:t>
      </w:r>
      <w:r>
        <w:rPr>
          <w:rFonts w:cs="Sylfaen"/>
          <w:lang w:val="af-ZA"/>
        </w:rPr>
        <w:t xml:space="preserve">: </w:t>
      </w:r>
      <w:r>
        <w:rPr>
          <w:rFonts w:cs="Sylfaen"/>
        </w:rPr>
        <w:t>Նշված</w:t>
      </w:r>
      <w:r>
        <w:rPr>
          <w:rFonts w:cs="Sylfaen"/>
          <w:lang w:val="af-ZA"/>
        </w:rPr>
        <w:t xml:space="preserve"> </w:t>
      </w:r>
      <w:r>
        <w:rPr>
          <w:rFonts w:cs="Sylfaen"/>
        </w:rPr>
        <w:t>գործընթացը</w:t>
      </w:r>
      <w:r>
        <w:rPr>
          <w:rFonts w:cs="Sylfaen"/>
          <w:lang w:val="af-ZA"/>
        </w:rPr>
        <w:t xml:space="preserve"> </w:t>
      </w:r>
      <w:r>
        <w:rPr>
          <w:rFonts w:cs="Sylfaen"/>
        </w:rPr>
        <w:t>կնպաստի</w:t>
      </w:r>
      <w:r>
        <w:rPr>
          <w:rFonts w:cs="Sylfaen"/>
          <w:lang w:val="af-ZA"/>
        </w:rPr>
        <w:t xml:space="preserve"> </w:t>
      </w:r>
      <w:r>
        <w:rPr>
          <w:rFonts w:cs="Sylfaen"/>
        </w:rPr>
        <w:t>գիտության</w:t>
      </w:r>
      <w:r>
        <w:rPr>
          <w:rFonts w:cs="Sylfaen"/>
          <w:lang w:val="af-ZA"/>
        </w:rPr>
        <w:t xml:space="preserve"> </w:t>
      </w:r>
      <w:r>
        <w:rPr>
          <w:rFonts w:cs="Sylfaen"/>
        </w:rPr>
        <w:t>ոլորտը</w:t>
      </w:r>
      <w:r>
        <w:rPr>
          <w:rFonts w:cs="Sylfaen"/>
          <w:lang w:val="af-ZA"/>
        </w:rPr>
        <w:t xml:space="preserve"> </w:t>
      </w:r>
      <w:r>
        <w:rPr>
          <w:rFonts w:cs="Sylfaen"/>
        </w:rPr>
        <w:t>երիտասարդ</w:t>
      </w:r>
      <w:r>
        <w:rPr>
          <w:rFonts w:cs="Sylfaen"/>
          <w:lang w:val="af-ZA"/>
        </w:rPr>
        <w:t xml:space="preserve"> </w:t>
      </w:r>
      <w:r>
        <w:rPr>
          <w:rFonts w:cs="Sylfaen"/>
        </w:rPr>
        <w:t>կադրերով</w:t>
      </w:r>
      <w:r>
        <w:rPr>
          <w:rFonts w:cs="Sylfaen"/>
          <w:lang w:val="af-ZA"/>
        </w:rPr>
        <w:t xml:space="preserve"> </w:t>
      </w:r>
      <w:r>
        <w:rPr>
          <w:rFonts w:cs="Sylfaen"/>
        </w:rPr>
        <w:t>համալրելու</w:t>
      </w:r>
      <w:r>
        <w:rPr>
          <w:rFonts w:cs="Sylfaen"/>
          <w:lang w:val="af-ZA"/>
        </w:rPr>
        <w:t xml:space="preserve"> </w:t>
      </w:r>
      <w:r>
        <w:rPr>
          <w:rFonts w:cs="Sylfaen"/>
        </w:rPr>
        <w:t>խնդրի</w:t>
      </w:r>
      <w:r>
        <w:rPr>
          <w:rFonts w:cs="Sylfaen"/>
          <w:lang w:val="af-ZA"/>
        </w:rPr>
        <w:t xml:space="preserve"> </w:t>
      </w:r>
      <w:r>
        <w:rPr>
          <w:rFonts w:cs="Sylfaen"/>
        </w:rPr>
        <w:t>լուծմանը</w:t>
      </w:r>
      <w:r>
        <w:rPr>
          <w:rFonts w:cs="Sylfaen"/>
          <w:lang w:val="af-ZA"/>
        </w:rPr>
        <w:t xml:space="preserve">, </w:t>
      </w:r>
      <w:r>
        <w:rPr>
          <w:rFonts w:cs="Sylfaen"/>
        </w:rPr>
        <w:t>գիտական</w:t>
      </w:r>
      <w:r>
        <w:rPr>
          <w:rFonts w:cs="Sylfaen"/>
          <w:lang w:val="af-ZA"/>
        </w:rPr>
        <w:t xml:space="preserve"> </w:t>
      </w:r>
      <w:r>
        <w:rPr>
          <w:rFonts w:cs="Sylfaen"/>
        </w:rPr>
        <w:t>կադրերի</w:t>
      </w:r>
      <w:r>
        <w:rPr>
          <w:rFonts w:cs="Sylfaen"/>
          <w:lang w:val="af-ZA"/>
        </w:rPr>
        <w:t xml:space="preserve"> </w:t>
      </w:r>
      <w:r>
        <w:rPr>
          <w:rFonts w:cs="Sylfaen"/>
        </w:rPr>
        <w:t>սոցիալ</w:t>
      </w:r>
      <w:r>
        <w:rPr>
          <w:rFonts w:cs="Sylfaen"/>
          <w:lang w:val="af-ZA"/>
        </w:rPr>
        <w:t>-</w:t>
      </w:r>
      <w:r>
        <w:rPr>
          <w:rFonts w:cs="Sylfaen"/>
        </w:rPr>
        <w:t>տնտեսական</w:t>
      </w:r>
      <w:r>
        <w:rPr>
          <w:rFonts w:cs="Sylfaen"/>
          <w:lang w:val="af-ZA"/>
        </w:rPr>
        <w:t xml:space="preserve"> </w:t>
      </w:r>
      <w:r>
        <w:rPr>
          <w:rFonts w:cs="Sylfaen"/>
        </w:rPr>
        <w:t>և</w:t>
      </w:r>
      <w:r>
        <w:rPr>
          <w:rFonts w:cs="Sylfaen"/>
          <w:lang w:val="af-ZA"/>
        </w:rPr>
        <w:t xml:space="preserve"> </w:t>
      </w:r>
      <w:r>
        <w:rPr>
          <w:rFonts w:cs="Sylfaen"/>
        </w:rPr>
        <w:t>աշխատանքային</w:t>
      </w:r>
      <w:r>
        <w:rPr>
          <w:rFonts w:cs="Sylfaen"/>
          <w:lang w:val="af-ZA"/>
        </w:rPr>
        <w:t xml:space="preserve"> </w:t>
      </w:r>
      <w:r>
        <w:rPr>
          <w:rFonts w:cs="Sylfaen"/>
        </w:rPr>
        <w:t>պայմանների</w:t>
      </w:r>
      <w:r>
        <w:rPr>
          <w:rFonts w:cs="Sylfaen"/>
          <w:lang w:val="af-ZA"/>
        </w:rPr>
        <w:t xml:space="preserve"> </w:t>
      </w:r>
      <w:r>
        <w:rPr>
          <w:rFonts w:cs="Sylfaen"/>
        </w:rPr>
        <w:t>բարելավմանը</w:t>
      </w:r>
      <w:r>
        <w:rPr>
          <w:rFonts w:cs="Sylfaen"/>
          <w:lang w:val="af-ZA"/>
        </w:rPr>
        <w:t xml:space="preserve">, </w:t>
      </w:r>
      <w:r>
        <w:rPr>
          <w:rFonts w:cs="Sylfaen"/>
        </w:rPr>
        <w:t>գիտության</w:t>
      </w:r>
      <w:r>
        <w:rPr>
          <w:rFonts w:cs="Sylfaen"/>
          <w:lang w:val="af-ZA"/>
        </w:rPr>
        <w:t xml:space="preserve"> </w:t>
      </w:r>
      <w:r>
        <w:rPr>
          <w:rFonts w:cs="Sylfaen"/>
        </w:rPr>
        <w:t>և</w:t>
      </w:r>
      <w:r>
        <w:rPr>
          <w:rFonts w:cs="Sylfaen"/>
          <w:lang w:val="af-ZA"/>
        </w:rPr>
        <w:t xml:space="preserve"> </w:t>
      </w:r>
      <w:r>
        <w:rPr>
          <w:rFonts w:cs="Sylfaen"/>
        </w:rPr>
        <w:t>տեխնիկայի</w:t>
      </w:r>
      <w:r>
        <w:rPr>
          <w:rFonts w:cs="Sylfaen"/>
          <w:lang w:val="af-ZA"/>
        </w:rPr>
        <w:t xml:space="preserve"> </w:t>
      </w:r>
      <w:r>
        <w:rPr>
          <w:rFonts w:cs="Sylfaen"/>
        </w:rPr>
        <w:t>բնագավառի</w:t>
      </w:r>
      <w:r>
        <w:rPr>
          <w:rFonts w:cs="Sylfaen"/>
          <w:lang w:val="af-ZA"/>
        </w:rPr>
        <w:t xml:space="preserve"> </w:t>
      </w:r>
      <w:r>
        <w:rPr>
          <w:rFonts w:cs="Sylfaen"/>
        </w:rPr>
        <w:t>բարձր</w:t>
      </w:r>
      <w:r>
        <w:rPr>
          <w:rFonts w:cs="Sylfaen"/>
          <w:lang w:val="af-ZA"/>
        </w:rPr>
        <w:t xml:space="preserve"> </w:t>
      </w:r>
      <w:r>
        <w:rPr>
          <w:rFonts w:cs="Sylfaen"/>
        </w:rPr>
        <w:t>որակավորում</w:t>
      </w:r>
      <w:r>
        <w:rPr>
          <w:rFonts w:cs="Sylfaen"/>
          <w:lang w:val="af-ZA"/>
        </w:rPr>
        <w:t xml:space="preserve"> </w:t>
      </w:r>
      <w:r>
        <w:rPr>
          <w:rFonts w:cs="Sylfaen"/>
        </w:rPr>
        <w:t>ունեցող</w:t>
      </w:r>
      <w:r>
        <w:rPr>
          <w:rFonts w:cs="Sylfaen"/>
          <w:lang w:val="af-ZA"/>
        </w:rPr>
        <w:t xml:space="preserve"> </w:t>
      </w:r>
      <w:r>
        <w:rPr>
          <w:rFonts w:cs="Sylfaen"/>
        </w:rPr>
        <w:t>կադրերի</w:t>
      </w:r>
      <w:r>
        <w:rPr>
          <w:rFonts w:cs="Sylfaen"/>
          <w:lang w:val="af-ZA"/>
        </w:rPr>
        <w:t xml:space="preserve"> </w:t>
      </w:r>
      <w:r>
        <w:rPr>
          <w:rFonts w:cs="Sylfaen"/>
        </w:rPr>
        <w:t>թվաքանակի</w:t>
      </w:r>
      <w:r>
        <w:rPr>
          <w:rFonts w:cs="Sylfaen"/>
          <w:lang w:val="af-ZA"/>
        </w:rPr>
        <w:t xml:space="preserve"> </w:t>
      </w:r>
      <w:r>
        <w:rPr>
          <w:rFonts w:cs="Sylfaen"/>
        </w:rPr>
        <w:t>կայուն</w:t>
      </w:r>
      <w:r>
        <w:rPr>
          <w:rFonts w:cs="Sylfaen"/>
          <w:lang w:val="af-ZA"/>
        </w:rPr>
        <w:t xml:space="preserve"> </w:t>
      </w:r>
      <w:r>
        <w:rPr>
          <w:rFonts w:cs="Sylfaen"/>
        </w:rPr>
        <w:t>աճին</w:t>
      </w:r>
      <w:r>
        <w:rPr>
          <w:rFonts w:cs="Sylfaen"/>
          <w:lang w:val="af-ZA"/>
        </w:rPr>
        <w:t xml:space="preserve"> </w:t>
      </w:r>
      <w:r>
        <w:rPr>
          <w:rFonts w:cs="Sylfaen"/>
        </w:rPr>
        <w:t>և</w:t>
      </w:r>
      <w:r>
        <w:rPr>
          <w:rFonts w:cs="Sylfaen"/>
          <w:lang w:val="af-ZA"/>
        </w:rPr>
        <w:t xml:space="preserve"> </w:t>
      </w:r>
      <w:r>
        <w:rPr>
          <w:rFonts w:cs="Sylfaen"/>
        </w:rPr>
        <w:t>գիտական</w:t>
      </w:r>
      <w:r>
        <w:rPr>
          <w:rFonts w:cs="Sylfaen"/>
          <w:lang w:val="af-ZA"/>
        </w:rPr>
        <w:t xml:space="preserve"> </w:t>
      </w:r>
      <w:r>
        <w:rPr>
          <w:rFonts w:cs="Sylfaen"/>
        </w:rPr>
        <w:t>ներուժի</w:t>
      </w:r>
      <w:r>
        <w:rPr>
          <w:rFonts w:cs="Sylfaen"/>
          <w:lang w:val="af-ZA"/>
        </w:rPr>
        <w:t xml:space="preserve"> </w:t>
      </w:r>
      <w:r>
        <w:rPr>
          <w:rFonts w:cs="Sylfaen"/>
        </w:rPr>
        <w:t>արդյունավետ</w:t>
      </w:r>
      <w:r>
        <w:rPr>
          <w:rFonts w:cs="Sylfaen"/>
          <w:lang w:val="af-ZA"/>
        </w:rPr>
        <w:t xml:space="preserve"> </w:t>
      </w:r>
      <w:r>
        <w:rPr>
          <w:rFonts w:cs="Sylfaen"/>
        </w:rPr>
        <w:t>նպատակային</w:t>
      </w:r>
      <w:r>
        <w:rPr>
          <w:rFonts w:cs="Sylfaen"/>
          <w:lang w:val="af-ZA"/>
        </w:rPr>
        <w:t xml:space="preserve"> </w:t>
      </w:r>
      <w:r>
        <w:rPr>
          <w:rFonts w:cs="Sylfaen"/>
        </w:rPr>
        <w:t>վերարտադրության</w:t>
      </w:r>
      <w:r>
        <w:rPr>
          <w:rFonts w:cs="Sylfaen"/>
          <w:lang w:val="af-ZA"/>
        </w:rPr>
        <w:t xml:space="preserve"> </w:t>
      </w:r>
      <w:r>
        <w:rPr>
          <w:rFonts w:cs="Sylfaen"/>
        </w:rPr>
        <w:t>ապահովմանը</w:t>
      </w:r>
      <w:r>
        <w:rPr>
          <w:rFonts w:cs="Sylfaen"/>
          <w:lang w:val="af-ZA"/>
        </w:rPr>
        <w:t>:</w:t>
      </w:r>
      <w:r>
        <w:rPr>
          <w:spacing w:val="-4"/>
          <w:lang w:val="fr-FR"/>
        </w:rPr>
        <w:t xml:space="preserve"> </w:t>
      </w:r>
    </w:p>
    <w:p w14:paraId="79CA14D2" w14:textId="77777777" w:rsidR="00DA0E15" w:rsidRDefault="00362131">
      <w:pPr>
        <w:pStyle w:val="ListParagraph"/>
        <w:tabs>
          <w:tab w:val="left" w:pos="851"/>
        </w:tabs>
        <w:spacing w:before="0" w:after="0" w:line="276" w:lineRule="auto"/>
        <w:ind w:left="0" w:firstLine="567"/>
        <w:rPr>
          <w:spacing w:val="-4"/>
          <w:lang w:val="hy-AM"/>
        </w:rPr>
      </w:pPr>
      <w:r>
        <w:rPr>
          <w:spacing w:val="-4"/>
          <w:lang w:val="hy-AM"/>
        </w:rPr>
        <w:t xml:space="preserve">ՀՀ գիտության ոլորտի 2022-2023 թվականների զարգացման հիմնական թիրախները շարադրված  են ՀՀ ԱԺ 2019 թվականի փետրվարի 14-ի ԱԺՈ-002-Ն որոշմամբ հավանության արժանացած ՀՀ կառավարության 2019-2023 թվականների ծրագրի «Գիտության ոլորտին» վերաբերող բաժնում և ՀՀ կառավարության 2019 թվականի մայիսի 16-ի N 650-Լ որոշմամբ հաստատված ՀՀ կառավարության 2019-2023 թվականների գործունեության միջոցառումների ծրագրում: </w:t>
      </w:r>
    </w:p>
    <w:p w14:paraId="588DB825" w14:textId="77777777" w:rsidR="00DA0E15" w:rsidRDefault="00362131">
      <w:pPr>
        <w:pStyle w:val="ListParagraph"/>
        <w:tabs>
          <w:tab w:val="left" w:pos="851"/>
        </w:tabs>
        <w:spacing w:before="0" w:after="0" w:line="276" w:lineRule="auto"/>
        <w:ind w:left="0" w:firstLine="567"/>
        <w:rPr>
          <w:spacing w:val="-4"/>
          <w:lang w:val="hy-AM"/>
        </w:rPr>
      </w:pPr>
      <w:r>
        <w:rPr>
          <w:spacing w:val="-4"/>
          <w:lang w:val="hy-AM"/>
        </w:rPr>
        <w:t>Այդ թիրախներն են՝</w:t>
      </w:r>
    </w:p>
    <w:p w14:paraId="4FDE4705" w14:textId="77777777" w:rsidR="00DA0E15" w:rsidRDefault="00362131" w:rsidP="00C0628C">
      <w:pPr>
        <w:pStyle w:val="ListParagraph"/>
        <w:numPr>
          <w:ilvl w:val="0"/>
          <w:numId w:val="20"/>
        </w:numPr>
        <w:tabs>
          <w:tab w:val="left" w:pos="900"/>
        </w:tabs>
        <w:autoSpaceDE w:val="0"/>
        <w:autoSpaceDN w:val="0"/>
        <w:adjustRightInd w:val="0"/>
        <w:spacing w:before="0" w:after="0" w:line="276" w:lineRule="auto"/>
        <w:ind w:left="0" w:firstLine="567"/>
        <w:rPr>
          <w:spacing w:val="-4"/>
          <w:lang w:val="hy-AM"/>
        </w:rPr>
      </w:pPr>
      <w:r>
        <w:rPr>
          <w:spacing w:val="-4"/>
          <w:lang w:val="hy-AM"/>
        </w:rPr>
        <w:t>գիտության  ֆինանսավորման արդյունավետության բարձրացումը,</w:t>
      </w:r>
    </w:p>
    <w:p w14:paraId="1D577405" w14:textId="77777777" w:rsidR="00DA0E15" w:rsidRDefault="00362131" w:rsidP="00C0628C">
      <w:pPr>
        <w:pStyle w:val="ListParagraph"/>
        <w:numPr>
          <w:ilvl w:val="0"/>
          <w:numId w:val="20"/>
        </w:numPr>
        <w:tabs>
          <w:tab w:val="left" w:pos="900"/>
        </w:tabs>
        <w:autoSpaceDE w:val="0"/>
        <w:autoSpaceDN w:val="0"/>
        <w:adjustRightInd w:val="0"/>
        <w:spacing w:before="0" w:after="0" w:line="276" w:lineRule="auto"/>
        <w:ind w:left="0" w:firstLine="567"/>
        <w:rPr>
          <w:spacing w:val="-4"/>
          <w:lang w:val="hy-AM"/>
        </w:rPr>
      </w:pPr>
      <w:r>
        <w:rPr>
          <w:spacing w:val="-4"/>
          <w:lang w:val="hy-AM"/>
        </w:rPr>
        <w:t>երկրի տնտեսության կարիքներից բխող և գիտական հետազոտությունների արդի պահանջներին համապատասխանող ուղղությունների զարգացումը,</w:t>
      </w:r>
    </w:p>
    <w:p w14:paraId="3F0A9831" w14:textId="77777777" w:rsidR="00DA0E15" w:rsidRDefault="00362131" w:rsidP="00C0628C">
      <w:pPr>
        <w:pStyle w:val="ListParagraph"/>
        <w:numPr>
          <w:ilvl w:val="0"/>
          <w:numId w:val="20"/>
        </w:numPr>
        <w:tabs>
          <w:tab w:val="left" w:pos="900"/>
        </w:tabs>
        <w:autoSpaceDE w:val="0"/>
        <w:autoSpaceDN w:val="0"/>
        <w:adjustRightInd w:val="0"/>
        <w:spacing w:before="0" w:after="0" w:line="276" w:lineRule="auto"/>
        <w:ind w:left="0" w:firstLine="567"/>
        <w:rPr>
          <w:spacing w:val="-4"/>
          <w:lang w:val="hy-AM"/>
        </w:rPr>
      </w:pPr>
      <w:r>
        <w:rPr>
          <w:spacing w:val="-4"/>
          <w:lang w:val="hy-AM"/>
        </w:rPr>
        <w:t xml:space="preserve">գիտության ոլորտում երիտասարդ կադրերի ամրապնդման մեխանիզմների ներդրումը, Հայաստանում իրականացվող ծրագրերում օտարերկրյա պետություններում գտնվող հայ գիտանականների ներգրավումը, </w:t>
      </w:r>
    </w:p>
    <w:p w14:paraId="147D685E" w14:textId="77777777" w:rsidR="00DA0E15" w:rsidRDefault="00362131" w:rsidP="00C0628C">
      <w:pPr>
        <w:pStyle w:val="ListParagraph"/>
        <w:numPr>
          <w:ilvl w:val="0"/>
          <w:numId w:val="20"/>
        </w:numPr>
        <w:tabs>
          <w:tab w:val="left" w:pos="900"/>
        </w:tabs>
        <w:autoSpaceDE w:val="0"/>
        <w:autoSpaceDN w:val="0"/>
        <w:adjustRightInd w:val="0"/>
        <w:spacing w:before="0" w:after="0" w:line="276" w:lineRule="auto"/>
        <w:ind w:left="0" w:firstLine="567"/>
        <w:rPr>
          <w:spacing w:val="-4"/>
          <w:lang w:val="hy-AM"/>
        </w:rPr>
      </w:pPr>
      <w:r>
        <w:rPr>
          <w:spacing w:val="-4"/>
          <w:lang w:val="hy-AM"/>
        </w:rPr>
        <w:t>բեկումնային զարգացում ապահովող որոշ տեխնոլոգիական ոլորտներում գիտական, գիտակրթական և գիտատեխնոլոգիական գերազանցության կենտրոնների ստեղծումը,</w:t>
      </w:r>
    </w:p>
    <w:p w14:paraId="2A19AC73" w14:textId="77777777" w:rsidR="00DA0E15" w:rsidRDefault="00362131" w:rsidP="00C0628C">
      <w:pPr>
        <w:pStyle w:val="ListParagraph"/>
        <w:numPr>
          <w:ilvl w:val="0"/>
          <w:numId w:val="20"/>
        </w:numPr>
        <w:tabs>
          <w:tab w:val="left" w:pos="900"/>
        </w:tabs>
        <w:autoSpaceDE w:val="0"/>
        <w:autoSpaceDN w:val="0"/>
        <w:adjustRightInd w:val="0"/>
        <w:spacing w:before="0" w:after="0" w:line="276" w:lineRule="auto"/>
        <w:ind w:left="0" w:firstLine="567"/>
        <w:rPr>
          <w:spacing w:val="-4"/>
          <w:lang w:val="hy-AM"/>
        </w:rPr>
      </w:pPr>
      <w:r>
        <w:rPr>
          <w:rFonts w:cs="Sylfaen"/>
          <w:spacing w:val="-4"/>
          <w:lang w:val="hy-AM"/>
        </w:rPr>
        <w:t>կրթություն</w:t>
      </w:r>
      <w:r>
        <w:rPr>
          <w:spacing w:val="-4"/>
          <w:lang w:val="hy-AM"/>
        </w:rPr>
        <w:t>-գիտություն կապի սերտացումը՝ ձևավորելով բարձրագույն ուսումնական հաստատությունների և գիտական կազմակերպությունների ցանցեր՝ ըստ գիտական գործունեության բնագավառների և ապահովելով ուսանողների, պրոֆեսորդասախոսական կազմի և գիտաշխատողների տեղաշարժը ցանցի մաս կազմող բարձրագույն ուսումնական հաստատություններում և գիտական կազմակերպություններում,</w:t>
      </w:r>
    </w:p>
    <w:p w14:paraId="35F98A80" w14:textId="77777777" w:rsidR="00DA0E15" w:rsidRDefault="00362131" w:rsidP="00C0628C">
      <w:pPr>
        <w:pStyle w:val="ListParagraph"/>
        <w:numPr>
          <w:ilvl w:val="0"/>
          <w:numId w:val="20"/>
        </w:numPr>
        <w:tabs>
          <w:tab w:val="left" w:pos="900"/>
        </w:tabs>
        <w:autoSpaceDE w:val="0"/>
        <w:autoSpaceDN w:val="0"/>
        <w:adjustRightInd w:val="0"/>
        <w:spacing w:before="0" w:after="0" w:line="276" w:lineRule="auto"/>
        <w:ind w:left="0" w:firstLine="567"/>
        <w:rPr>
          <w:spacing w:val="-4"/>
          <w:lang w:val="hy-AM"/>
        </w:rPr>
      </w:pPr>
      <w:r>
        <w:rPr>
          <w:spacing w:val="-4"/>
          <w:lang w:val="ru-RU"/>
        </w:rPr>
        <w:t>հ</w:t>
      </w:r>
      <w:r>
        <w:rPr>
          <w:spacing w:val="-4"/>
        </w:rPr>
        <w:t>այագիտության ոլորտի առաջանցիկ զարգացումը</w:t>
      </w:r>
      <w:r>
        <w:rPr>
          <w:spacing w:val="-4"/>
          <w:lang w:val="hy-AM"/>
        </w:rPr>
        <w:t>,</w:t>
      </w:r>
    </w:p>
    <w:p w14:paraId="4143185B" w14:textId="77777777" w:rsidR="00DA0E15" w:rsidRDefault="00362131" w:rsidP="00C0628C">
      <w:pPr>
        <w:pStyle w:val="ListParagraph"/>
        <w:numPr>
          <w:ilvl w:val="0"/>
          <w:numId w:val="20"/>
        </w:numPr>
        <w:tabs>
          <w:tab w:val="left" w:pos="900"/>
        </w:tabs>
        <w:autoSpaceDE w:val="0"/>
        <w:autoSpaceDN w:val="0"/>
        <w:adjustRightInd w:val="0"/>
        <w:spacing w:before="0" w:after="0" w:line="276" w:lineRule="auto"/>
        <w:ind w:left="0" w:firstLine="567"/>
        <w:rPr>
          <w:spacing w:val="-4"/>
          <w:lang w:val="hy-AM"/>
        </w:rPr>
      </w:pPr>
      <w:r>
        <w:rPr>
          <w:spacing w:val="-4"/>
          <w:lang w:val="hy-AM"/>
        </w:rPr>
        <w:t>միջազգայնորեն մրցունակ, միջազգային գիտական նվաճումների միտված, երկրի տնտեսության մրցունակությանը և անվտանգությանն անմիջականորեն նպաստող գիտական համակարգի ստեղծումը:</w:t>
      </w:r>
    </w:p>
    <w:p w14:paraId="460A3C51" w14:textId="77777777" w:rsidR="00DA0E15" w:rsidRDefault="00362131">
      <w:pPr>
        <w:spacing w:before="0" w:after="0" w:line="276" w:lineRule="auto"/>
        <w:rPr>
          <w:shd w:val="clear" w:color="auto" w:fill="FFFFFF"/>
          <w:lang w:val="hy-AM"/>
        </w:rPr>
      </w:pPr>
      <w:r>
        <w:rPr>
          <w:shd w:val="clear" w:color="auto" w:fill="FFFFFF"/>
          <w:lang w:val="hy-AM"/>
        </w:rPr>
        <w:t>Գիտության ոլորտի 2022-2024 թվականների ծախսային գերակայություններն ու դրանց շրջանակներում իրականացվող միջոցառումներն են՝</w:t>
      </w:r>
    </w:p>
    <w:p w14:paraId="11B8C06D" w14:textId="77777777" w:rsidR="00DA0E15" w:rsidRDefault="00362131" w:rsidP="00C0628C">
      <w:pPr>
        <w:pStyle w:val="ListParagraph"/>
        <w:numPr>
          <w:ilvl w:val="0"/>
          <w:numId w:val="20"/>
        </w:numPr>
        <w:tabs>
          <w:tab w:val="left" w:pos="0"/>
          <w:tab w:val="left" w:pos="900"/>
        </w:tabs>
        <w:autoSpaceDE w:val="0"/>
        <w:autoSpaceDN w:val="0"/>
        <w:adjustRightInd w:val="0"/>
        <w:spacing w:before="0" w:after="0" w:line="276" w:lineRule="auto"/>
        <w:ind w:left="0" w:firstLine="567"/>
        <w:rPr>
          <w:rFonts w:cs="Sylfaen"/>
          <w:shd w:val="clear" w:color="auto" w:fill="FFFFFF"/>
          <w:lang w:val="hy-AM"/>
        </w:rPr>
      </w:pPr>
      <w:r>
        <w:rPr>
          <w:spacing w:val="-4"/>
          <w:lang w:val="hy-AM"/>
        </w:rPr>
        <w:t>Գիտության</w:t>
      </w:r>
      <w:r>
        <w:rPr>
          <w:rFonts w:cs="Sylfaen"/>
          <w:shd w:val="clear" w:color="auto" w:fill="FFFFFF"/>
          <w:lang w:val="hy-AM"/>
        </w:rPr>
        <w:t xml:space="preserve"> ֆինանսավորման արդյունավետության բարձրացում (</w:t>
      </w:r>
      <w:r>
        <w:rPr>
          <w:rFonts w:cs="Sylfaen"/>
          <w:lang w:val="hy-AM"/>
        </w:rPr>
        <w:t>ՀՀ կառավարության 2019 թվականի մայիսի 16-ի N 650-Լ որոշմամբ հաստատված ՀՀ կառավարության 2019-2023 թվականների գործունեության միջոցառումների ծրագրի կատարումն ապահովող միջոցառումների ցանկի 171-րդ կետ</w:t>
      </w:r>
      <w:r>
        <w:rPr>
          <w:rFonts w:cs="Sylfaen"/>
          <w:shd w:val="clear" w:color="auto" w:fill="FFFFFF"/>
          <w:lang w:val="hy-AM"/>
        </w:rPr>
        <w:t>):</w:t>
      </w:r>
    </w:p>
    <w:p w14:paraId="77BAD6A2" w14:textId="77777777" w:rsidR="00DA0E15" w:rsidRDefault="00362131" w:rsidP="00C0628C">
      <w:pPr>
        <w:pStyle w:val="ListParagraph"/>
        <w:numPr>
          <w:ilvl w:val="0"/>
          <w:numId w:val="20"/>
        </w:numPr>
        <w:tabs>
          <w:tab w:val="left" w:pos="0"/>
          <w:tab w:val="left" w:pos="900"/>
        </w:tabs>
        <w:autoSpaceDE w:val="0"/>
        <w:autoSpaceDN w:val="0"/>
        <w:adjustRightInd w:val="0"/>
        <w:spacing w:before="0" w:after="0" w:line="276" w:lineRule="auto"/>
        <w:ind w:left="0" w:firstLine="567"/>
        <w:rPr>
          <w:rFonts w:cs="Sylfaen"/>
          <w:shd w:val="clear" w:color="auto" w:fill="FFFFFF"/>
          <w:lang w:val="hy-AM"/>
        </w:rPr>
      </w:pPr>
      <w:r>
        <w:rPr>
          <w:spacing w:val="-4"/>
          <w:lang w:val="hy-AM"/>
        </w:rPr>
        <w:t>Գիտական</w:t>
      </w:r>
      <w:r>
        <w:rPr>
          <w:rFonts w:cs="Sylfaen"/>
          <w:lang w:val="fr-FR"/>
        </w:rPr>
        <w:t xml:space="preserve"> կադրերի վերարտադրության արդյունավետ համակարգի ներդրում, գիտության ենթակառուցվածքների արդիականացում (</w:t>
      </w:r>
      <w:r>
        <w:rPr>
          <w:rFonts w:cs="Sylfaen"/>
          <w:lang w:val="hy-AM"/>
        </w:rPr>
        <w:t>ՀՀ կառավարության 2019 թվականի մայիսի 16-ի N 650-Լ որոշմամբ հաստատված ՀՀ կառավարության 2019-2023 թվականների գործունեության միջոցառումների ծրագրի կատարումն ապահովող միջոցառումների ցանկի 172-րդ կետ</w:t>
      </w:r>
      <w:r>
        <w:rPr>
          <w:rFonts w:cs="Sylfaen"/>
          <w:lang w:val="fr-FR"/>
        </w:rPr>
        <w:t>)</w:t>
      </w:r>
      <w:r>
        <w:rPr>
          <w:rFonts w:cs="Sylfaen"/>
          <w:lang w:val="hy-AM"/>
        </w:rPr>
        <w:t>:</w:t>
      </w:r>
    </w:p>
    <w:p w14:paraId="55C8F82A" w14:textId="77777777" w:rsidR="00DA0E15" w:rsidRDefault="00362131" w:rsidP="00C0628C">
      <w:pPr>
        <w:pStyle w:val="ListParagraph"/>
        <w:numPr>
          <w:ilvl w:val="0"/>
          <w:numId w:val="20"/>
        </w:numPr>
        <w:tabs>
          <w:tab w:val="left" w:pos="0"/>
          <w:tab w:val="left" w:pos="900"/>
        </w:tabs>
        <w:autoSpaceDE w:val="0"/>
        <w:autoSpaceDN w:val="0"/>
        <w:adjustRightInd w:val="0"/>
        <w:spacing w:before="0" w:after="0" w:line="276" w:lineRule="auto"/>
        <w:ind w:left="0" w:firstLine="567"/>
        <w:rPr>
          <w:rFonts w:cs="Sylfaen"/>
          <w:shd w:val="clear" w:color="auto" w:fill="FFFFFF"/>
          <w:lang w:val="hy-AM"/>
        </w:rPr>
      </w:pPr>
      <w:r>
        <w:rPr>
          <w:spacing w:val="-4"/>
          <w:lang w:val="hy-AM"/>
        </w:rPr>
        <w:t>Գիտական</w:t>
      </w:r>
      <w:r>
        <w:rPr>
          <w:rFonts w:cs="Sylfaen"/>
          <w:lang w:val="hy-AM"/>
        </w:rPr>
        <w:t>, գիտակրթական և գիտատեխնոլոգիական գերազանցության կենտրոնների ստեղծումը, կրթութուն-գիտություն կապի ամրապնդումը (ՀՀ կառավարության 2019 թվականի մայիսի 16-ի N 650-Լ որոշմամբ հաստատված ՀՀ կառավարության 2019-2023 թվականների գործունեության միջոցառումների ծրագրի կատարումն ապահովող միջոցառումների ցանկի 173-րդ կետ):</w:t>
      </w:r>
    </w:p>
    <w:p w14:paraId="19E55214" w14:textId="77777777" w:rsidR="00DA0E15" w:rsidRDefault="00362131" w:rsidP="00C0628C">
      <w:pPr>
        <w:pStyle w:val="ListParagraph"/>
        <w:numPr>
          <w:ilvl w:val="0"/>
          <w:numId w:val="20"/>
        </w:numPr>
        <w:tabs>
          <w:tab w:val="left" w:pos="0"/>
          <w:tab w:val="left" w:pos="900"/>
        </w:tabs>
        <w:autoSpaceDE w:val="0"/>
        <w:autoSpaceDN w:val="0"/>
        <w:adjustRightInd w:val="0"/>
        <w:spacing w:before="0" w:after="0" w:line="276" w:lineRule="auto"/>
        <w:ind w:left="0" w:firstLine="567"/>
        <w:rPr>
          <w:rFonts w:cs="Sylfaen"/>
          <w:shd w:val="clear" w:color="auto" w:fill="FFFFFF"/>
          <w:lang w:val="hy-AM"/>
        </w:rPr>
      </w:pPr>
      <w:r>
        <w:rPr>
          <w:rFonts w:cs="Sylfaen"/>
          <w:lang w:val="hy-AM"/>
        </w:rPr>
        <w:t>Հայագիտական հետազոտությունների առաջանցիկ զարգացման ապահովում, այդ թվում` միջազգային համագործակցության զարգացման մակարդակի բարձրացում</w:t>
      </w:r>
      <w:r>
        <w:rPr>
          <w:rFonts w:cs="Sylfaen"/>
          <w:lang w:val="af-ZA"/>
        </w:rPr>
        <w:t xml:space="preserve"> (</w:t>
      </w:r>
      <w:r>
        <w:rPr>
          <w:rFonts w:cs="Sylfaen"/>
          <w:lang w:val="hy-AM"/>
        </w:rPr>
        <w:t>ՀՀ</w:t>
      </w:r>
      <w:r>
        <w:rPr>
          <w:rFonts w:cs="Sylfaen"/>
          <w:lang w:val="af-ZA"/>
        </w:rPr>
        <w:t xml:space="preserve"> </w:t>
      </w:r>
      <w:r>
        <w:rPr>
          <w:rFonts w:cs="Sylfaen"/>
          <w:lang w:val="hy-AM"/>
        </w:rPr>
        <w:t>կառավարության</w:t>
      </w:r>
      <w:r>
        <w:rPr>
          <w:rFonts w:cs="Sylfaen"/>
          <w:lang w:val="af-ZA"/>
        </w:rPr>
        <w:t xml:space="preserve"> 2019 </w:t>
      </w:r>
      <w:r>
        <w:rPr>
          <w:rFonts w:cs="Sylfaen"/>
          <w:lang w:val="hy-AM"/>
        </w:rPr>
        <w:t>թվականի</w:t>
      </w:r>
      <w:r>
        <w:rPr>
          <w:rFonts w:cs="Sylfaen"/>
          <w:lang w:val="af-ZA"/>
        </w:rPr>
        <w:t xml:space="preserve"> </w:t>
      </w:r>
      <w:r>
        <w:rPr>
          <w:rFonts w:cs="Sylfaen"/>
          <w:lang w:val="hy-AM"/>
        </w:rPr>
        <w:t>մայիսի</w:t>
      </w:r>
      <w:r>
        <w:rPr>
          <w:rFonts w:cs="Sylfaen"/>
          <w:lang w:val="af-ZA"/>
        </w:rPr>
        <w:t xml:space="preserve"> 16-</w:t>
      </w:r>
      <w:r>
        <w:rPr>
          <w:rFonts w:cs="Sylfaen"/>
          <w:lang w:val="hy-AM"/>
        </w:rPr>
        <w:t>ի</w:t>
      </w:r>
      <w:r>
        <w:rPr>
          <w:rFonts w:cs="Sylfaen"/>
          <w:lang w:val="af-ZA"/>
        </w:rPr>
        <w:t xml:space="preserve"> N 650-</w:t>
      </w:r>
      <w:r>
        <w:rPr>
          <w:rFonts w:cs="Sylfaen"/>
          <w:lang w:val="hy-AM"/>
        </w:rPr>
        <w:t>Լ</w:t>
      </w:r>
      <w:r>
        <w:rPr>
          <w:rFonts w:cs="Sylfaen"/>
          <w:lang w:val="af-ZA"/>
        </w:rPr>
        <w:t xml:space="preserve"> </w:t>
      </w:r>
      <w:r>
        <w:rPr>
          <w:rFonts w:cs="Sylfaen"/>
          <w:lang w:val="hy-AM"/>
        </w:rPr>
        <w:t>որոշմամբ</w:t>
      </w:r>
      <w:r>
        <w:rPr>
          <w:rFonts w:cs="Sylfaen"/>
          <w:lang w:val="af-ZA"/>
        </w:rPr>
        <w:t xml:space="preserve"> </w:t>
      </w:r>
      <w:r>
        <w:rPr>
          <w:rFonts w:cs="Sylfaen"/>
          <w:lang w:val="hy-AM"/>
        </w:rPr>
        <w:t>հաստատված</w:t>
      </w:r>
      <w:r>
        <w:rPr>
          <w:rFonts w:cs="Sylfaen"/>
          <w:lang w:val="af-ZA"/>
        </w:rPr>
        <w:t xml:space="preserve"> </w:t>
      </w:r>
      <w:r>
        <w:rPr>
          <w:rFonts w:cs="Sylfaen"/>
          <w:lang w:val="hy-AM"/>
        </w:rPr>
        <w:t>ՀՀ</w:t>
      </w:r>
      <w:r>
        <w:rPr>
          <w:rFonts w:cs="Sylfaen"/>
          <w:lang w:val="af-ZA"/>
        </w:rPr>
        <w:t xml:space="preserve"> </w:t>
      </w:r>
      <w:r>
        <w:rPr>
          <w:rFonts w:cs="Sylfaen"/>
          <w:lang w:val="hy-AM"/>
        </w:rPr>
        <w:t>կառավարության</w:t>
      </w:r>
      <w:r>
        <w:rPr>
          <w:rFonts w:cs="Sylfaen"/>
          <w:lang w:val="af-ZA"/>
        </w:rPr>
        <w:t xml:space="preserve"> 2019-2023 </w:t>
      </w:r>
      <w:r>
        <w:rPr>
          <w:rFonts w:cs="Sylfaen"/>
          <w:lang w:val="hy-AM"/>
        </w:rPr>
        <w:t>թվականների</w:t>
      </w:r>
      <w:r>
        <w:rPr>
          <w:rFonts w:cs="Sylfaen"/>
          <w:lang w:val="af-ZA"/>
        </w:rPr>
        <w:t xml:space="preserve"> </w:t>
      </w:r>
      <w:r>
        <w:rPr>
          <w:rFonts w:cs="Sylfaen"/>
          <w:lang w:val="hy-AM"/>
        </w:rPr>
        <w:t>գործունեության</w:t>
      </w:r>
      <w:r>
        <w:rPr>
          <w:rFonts w:cs="Sylfaen"/>
          <w:lang w:val="af-ZA"/>
        </w:rPr>
        <w:t xml:space="preserve"> </w:t>
      </w:r>
      <w:r>
        <w:rPr>
          <w:rFonts w:cs="Sylfaen"/>
          <w:lang w:val="hy-AM"/>
        </w:rPr>
        <w:t>միջոցառումների</w:t>
      </w:r>
      <w:r>
        <w:rPr>
          <w:rFonts w:cs="Sylfaen"/>
          <w:lang w:val="af-ZA"/>
        </w:rPr>
        <w:t xml:space="preserve"> </w:t>
      </w:r>
      <w:r>
        <w:rPr>
          <w:rFonts w:cs="Sylfaen"/>
          <w:lang w:val="hy-AM"/>
        </w:rPr>
        <w:t>ծրագրի</w:t>
      </w:r>
      <w:r>
        <w:rPr>
          <w:rFonts w:cs="Sylfaen"/>
          <w:lang w:val="af-ZA"/>
        </w:rPr>
        <w:t xml:space="preserve"> </w:t>
      </w:r>
      <w:r>
        <w:rPr>
          <w:rFonts w:cs="Sylfaen"/>
          <w:lang w:val="hy-AM"/>
        </w:rPr>
        <w:t>կատարումն</w:t>
      </w:r>
      <w:r>
        <w:rPr>
          <w:rFonts w:cs="Sylfaen"/>
          <w:lang w:val="af-ZA"/>
        </w:rPr>
        <w:t xml:space="preserve"> </w:t>
      </w:r>
      <w:r>
        <w:rPr>
          <w:rFonts w:cs="Sylfaen"/>
          <w:lang w:val="hy-AM"/>
        </w:rPr>
        <w:t>ապահովող</w:t>
      </w:r>
      <w:r>
        <w:rPr>
          <w:rFonts w:cs="Sylfaen"/>
          <w:lang w:val="af-ZA"/>
        </w:rPr>
        <w:t xml:space="preserve"> </w:t>
      </w:r>
      <w:r>
        <w:rPr>
          <w:rFonts w:cs="Sylfaen"/>
          <w:lang w:val="hy-AM"/>
        </w:rPr>
        <w:t>միջոցառումների</w:t>
      </w:r>
      <w:r>
        <w:rPr>
          <w:rFonts w:cs="Sylfaen"/>
          <w:lang w:val="af-ZA"/>
        </w:rPr>
        <w:t xml:space="preserve"> </w:t>
      </w:r>
      <w:r>
        <w:rPr>
          <w:rFonts w:cs="Sylfaen"/>
          <w:lang w:val="hy-AM"/>
        </w:rPr>
        <w:t>ցանկի</w:t>
      </w:r>
      <w:r>
        <w:rPr>
          <w:rFonts w:cs="Sylfaen"/>
          <w:lang w:val="af-ZA"/>
        </w:rPr>
        <w:t xml:space="preserve"> 174-</w:t>
      </w:r>
      <w:r>
        <w:rPr>
          <w:rFonts w:cs="Sylfaen"/>
          <w:lang w:val="hy-AM"/>
        </w:rPr>
        <w:t>րդ</w:t>
      </w:r>
      <w:r>
        <w:rPr>
          <w:rFonts w:cs="Sylfaen"/>
          <w:lang w:val="af-ZA"/>
        </w:rPr>
        <w:t xml:space="preserve"> </w:t>
      </w:r>
      <w:r>
        <w:rPr>
          <w:rFonts w:cs="Sylfaen"/>
          <w:lang w:val="hy-AM"/>
        </w:rPr>
        <w:t>կետ</w:t>
      </w:r>
      <w:r>
        <w:rPr>
          <w:rFonts w:cs="Sylfaen"/>
          <w:lang w:val="af-ZA"/>
        </w:rPr>
        <w:t>)</w:t>
      </w:r>
      <w:r>
        <w:rPr>
          <w:rFonts w:cs="Sylfaen"/>
          <w:lang w:val="hy-AM"/>
        </w:rPr>
        <w:t>:</w:t>
      </w:r>
    </w:p>
    <w:p w14:paraId="0D8A958C" w14:textId="77777777" w:rsidR="00DA0E15" w:rsidRDefault="00362131">
      <w:pPr>
        <w:tabs>
          <w:tab w:val="left" w:pos="851"/>
          <w:tab w:val="left" w:pos="993"/>
        </w:tabs>
        <w:spacing w:before="0" w:after="0" w:line="276" w:lineRule="auto"/>
        <w:rPr>
          <w:rFonts w:cs="GHEA Grapalat"/>
          <w:lang w:val="hy-AM"/>
        </w:rPr>
      </w:pPr>
      <w:r>
        <w:rPr>
          <w:rFonts w:cs="GHEA Grapalat"/>
          <w:lang w:val="hy-AM"/>
        </w:rPr>
        <w:t>Ոլորտային ծախսային ծրագիրն է «Գիտական և գիտատեխնիկական հետազոտությունների ծրագիրը»:</w:t>
      </w:r>
    </w:p>
    <w:p w14:paraId="1897CBE4" w14:textId="77777777" w:rsidR="00DA0E15" w:rsidRDefault="00362131">
      <w:pPr>
        <w:spacing w:before="0" w:after="0" w:line="276" w:lineRule="auto"/>
        <w:rPr>
          <w:lang w:val="hy-AM"/>
        </w:rPr>
      </w:pPr>
      <w:r>
        <w:rPr>
          <w:shd w:val="clear" w:color="auto" w:fill="FFFFFF"/>
          <w:lang w:val="hy-AM"/>
        </w:rPr>
        <w:tab/>
        <w:t xml:space="preserve">Ծրագրի գծով 2022-2024 թվականներին նախատեսվում է հատկացնել, ըստ տարիների՝ 12,798.4; 14,071.8 և 14,074.6 մլն դրամ: </w:t>
      </w:r>
    </w:p>
    <w:p w14:paraId="1275ADDE" w14:textId="77777777" w:rsidR="00DA0E15" w:rsidRDefault="00362131">
      <w:pPr>
        <w:tabs>
          <w:tab w:val="left" w:pos="720"/>
          <w:tab w:val="left" w:pos="851"/>
          <w:tab w:val="left" w:pos="993"/>
        </w:tabs>
        <w:spacing w:line="276" w:lineRule="auto"/>
        <w:ind w:firstLine="0"/>
        <w:rPr>
          <w:rFonts w:cs="GHEA Grapalat"/>
          <w:b/>
          <w:lang w:val="hy-AM"/>
        </w:rPr>
      </w:pPr>
      <w:r>
        <w:rPr>
          <w:rFonts w:cs="GHEA Grapalat"/>
          <w:b/>
          <w:lang w:val="hy-AM"/>
        </w:rPr>
        <w:tab/>
      </w:r>
      <w:bookmarkStart w:id="569" w:name="_Toc45838542"/>
      <w:bookmarkStart w:id="570" w:name="_Toc45637518"/>
      <w:r>
        <w:rPr>
          <w:rFonts w:cs="GHEA Grapalat"/>
          <w:b/>
          <w:lang w:val="hy-AM"/>
        </w:rPr>
        <w:t>Մշակույթի ոլորտ</w:t>
      </w:r>
    </w:p>
    <w:p w14:paraId="479BCE6D" w14:textId="77777777" w:rsidR="00DA0E15" w:rsidRDefault="00362131">
      <w:pPr>
        <w:spacing w:line="276" w:lineRule="auto"/>
        <w:ind w:firstLine="720"/>
        <w:rPr>
          <w:rFonts w:cs="Sylfaen"/>
          <w:shd w:val="clear" w:color="auto" w:fill="FFFFFF"/>
          <w:lang w:val="hy-AM"/>
        </w:rPr>
      </w:pPr>
      <w:r>
        <w:rPr>
          <w:rFonts w:cs="Sylfaen"/>
          <w:shd w:val="clear" w:color="auto" w:fill="FFFFFF"/>
          <w:lang w:val="hy-AM"/>
        </w:rPr>
        <w:t>Համաձայն</w:t>
      </w:r>
      <w:r>
        <w:rPr>
          <w:shd w:val="clear" w:color="auto" w:fill="FFFFFF"/>
          <w:lang w:val="af-ZA"/>
        </w:rPr>
        <w:t xml:space="preserve"> </w:t>
      </w:r>
      <w:r>
        <w:rPr>
          <w:rFonts w:cs="Sylfaen"/>
          <w:shd w:val="clear" w:color="auto" w:fill="FFFFFF"/>
          <w:lang w:val="hy-AM"/>
        </w:rPr>
        <w:t>ՀՀ</w:t>
      </w:r>
      <w:r>
        <w:rPr>
          <w:shd w:val="clear" w:color="auto" w:fill="FFFFFF"/>
          <w:lang w:val="af-ZA"/>
        </w:rPr>
        <w:t xml:space="preserve"> </w:t>
      </w:r>
      <w:r>
        <w:rPr>
          <w:rFonts w:cs="Sylfaen"/>
          <w:shd w:val="clear" w:color="auto" w:fill="FFFFFF"/>
          <w:lang w:val="hy-AM"/>
        </w:rPr>
        <w:t>կառավարության</w:t>
      </w:r>
      <w:r>
        <w:rPr>
          <w:shd w:val="clear" w:color="auto" w:fill="FFFFFF"/>
          <w:lang w:val="af-ZA"/>
        </w:rPr>
        <w:t xml:space="preserve"> 2019</w:t>
      </w:r>
      <w:r>
        <w:rPr>
          <w:shd w:val="clear" w:color="auto" w:fill="FFFFFF"/>
          <w:lang w:val="hy-AM"/>
        </w:rPr>
        <w:t xml:space="preserve"> </w:t>
      </w:r>
      <w:r>
        <w:rPr>
          <w:rFonts w:cs="Sylfaen"/>
          <w:shd w:val="clear" w:color="auto" w:fill="FFFFFF"/>
          <w:lang w:val="hy-AM"/>
        </w:rPr>
        <w:t>թվականի</w:t>
      </w:r>
      <w:r>
        <w:rPr>
          <w:shd w:val="clear" w:color="auto" w:fill="FFFFFF"/>
          <w:lang w:val="af-ZA"/>
        </w:rPr>
        <w:t xml:space="preserve"> </w:t>
      </w:r>
      <w:r>
        <w:rPr>
          <w:rFonts w:cs="Sylfaen"/>
          <w:shd w:val="clear" w:color="auto" w:fill="FFFFFF"/>
          <w:lang w:val="hy-AM"/>
        </w:rPr>
        <w:t>փետրվարի</w:t>
      </w:r>
      <w:r>
        <w:rPr>
          <w:shd w:val="clear" w:color="auto" w:fill="FFFFFF"/>
          <w:lang w:val="af-ZA"/>
        </w:rPr>
        <w:t xml:space="preserve"> 8-</w:t>
      </w:r>
      <w:r>
        <w:rPr>
          <w:rFonts w:cs="Sylfaen"/>
          <w:shd w:val="clear" w:color="auto" w:fill="FFFFFF"/>
          <w:lang w:val="hy-AM"/>
        </w:rPr>
        <w:t>ի</w:t>
      </w:r>
      <w:r>
        <w:rPr>
          <w:shd w:val="clear" w:color="auto" w:fill="FFFFFF"/>
          <w:lang w:val="af-ZA"/>
        </w:rPr>
        <w:t xml:space="preserve"> N 65-</w:t>
      </w:r>
      <w:r>
        <w:rPr>
          <w:rFonts w:cs="Sylfaen"/>
          <w:shd w:val="clear" w:color="auto" w:fill="FFFFFF"/>
          <w:lang w:val="hy-AM"/>
        </w:rPr>
        <w:t>Ա</w:t>
      </w:r>
      <w:r>
        <w:rPr>
          <w:shd w:val="clear" w:color="auto" w:fill="FFFFFF"/>
          <w:lang w:val="af-ZA"/>
        </w:rPr>
        <w:t xml:space="preserve"> </w:t>
      </w:r>
      <w:r>
        <w:rPr>
          <w:rFonts w:cs="Sylfaen"/>
          <w:shd w:val="clear" w:color="auto" w:fill="FFFFFF"/>
          <w:lang w:val="hy-AM"/>
        </w:rPr>
        <w:t>որոշման</w:t>
      </w:r>
      <w:r>
        <w:rPr>
          <w:shd w:val="clear" w:color="auto" w:fill="FFFFFF"/>
          <w:lang w:val="af-ZA"/>
        </w:rPr>
        <w:t xml:space="preserve"> 4.5-</w:t>
      </w:r>
      <w:r>
        <w:rPr>
          <w:rFonts w:cs="Sylfaen"/>
          <w:shd w:val="clear" w:color="auto" w:fill="FFFFFF"/>
          <w:lang w:val="hy-AM"/>
        </w:rPr>
        <w:t>րդ</w:t>
      </w:r>
      <w:r>
        <w:rPr>
          <w:shd w:val="clear" w:color="auto" w:fill="FFFFFF"/>
          <w:lang w:val="af-ZA"/>
        </w:rPr>
        <w:t xml:space="preserve"> </w:t>
      </w:r>
      <w:r>
        <w:rPr>
          <w:rFonts w:cs="Sylfaen"/>
          <w:shd w:val="clear" w:color="auto" w:fill="FFFFFF"/>
          <w:lang w:val="hy-AM"/>
        </w:rPr>
        <w:t>կետի</w:t>
      </w:r>
      <w:r>
        <w:rPr>
          <w:shd w:val="clear" w:color="auto" w:fill="FFFFFF"/>
          <w:lang w:val="af-ZA"/>
        </w:rPr>
        <w:t xml:space="preserve">, </w:t>
      </w:r>
      <w:r>
        <w:rPr>
          <w:rFonts w:cs="Sylfaen"/>
          <w:shd w:val="clear" w:color="auto" w:fill="FFFFFF"/>
          <w:lang w:val="hy-AM"/>
        </w:rPr>
        <w:t>Կառավարությունը</w:t>
      </w:r>
      <w:r>
        <w:rPr>
          <w:shd w:val="clear" w:color="auto" w:fill="FFFFFF"/>
          <w:lang w:val="hy-AM"/>
        </w:rPr>
        <w:t xml:space="preserve"> </w:t>
      </w:r>
      <w:r>
        <w:rPr>
          <w:rFonts w:cs="Sylfaen"/>
          <w:shd w:val="clear" w:color="auto" w:fill="FFFFFF"/>
          <w:lang w:val="hy-AM"/>
        </w:rPr>
        <w:t>նպատակադրվել</w:t>
      </w:r>
      <w:r>
        <w:rPr>
          <w:shd w:val="clear" w:color="auto" w:fill="FFFFFF"/>
          <w:lang w:val="hy-AM"/>
        </w:rPr>
        <w:t xml:space="preserve"> </w:t>
      </w:r>
      <w:r>
        <w:rPr>
          <w:rFonts w:cs="Sylfaen"/>
          <w:shd w:val="clear" w:color="auto" w:fill="FFFFFF"/>
          <w:lang w:val="hy-AM"/>
        </w:rPr>
        <w:t>է</w:t>
      </w:r>
      <w:r>
        <w:rPr>
          <w:shd w:val="clear" w:color="auto" w:fill="FFFFFF"/>
          <w:lang w:val="af-ZA"/>
        </w:rPr>
        <w:t xml:space="preserve"> </w:t>
      </w:r>
      <w:r>
        <w:rPr>
          <w:rFonts w:cs="Sylfaen"/>
          <w:shd w:val="clear" w:color="auto" w:fill="FFFFFF"/>
          <w:lang w:val="hy-AM"/>
        </w:rPr>
        <w:t>ստեղծել</w:t>
      </w:r>
      <w:r>
        <w:rPr>
          <w:shd w:val="clear" w:color="auto" w:fill="FFFFFF"/>
          <w:lang w:val="af-ZA"/>
        </w:rPr>
        <w:t xml:space="preserve"> </w:t>
      </w:r>
      <w:r>
        <w:rPr>
          <w:rFonts w:cs="Sylfaen"/>
          <w:shd w:val="clear" w:color="auto" w:fill="FFFFFF"/>
          <w:lang w:val="hy-AM"/>
        </w:rPr>
        <w:t>ստեղծագործական</w:t>
      </w:r>
      <w:r>
        <w:rPr>
          <w:shd w:val="clear" w:color="auto" w:fill="FFFFFF"/>
          <w:lang w:val="af-ZA"/>
        </w:rPr>
        <w:t xml:space="preserve"> </w:t>
      </w:r>
      <w:r>
        <w:rPr>
          <w:rFonts w:cs="Sylfaen"/>
          <w:shd w:val="clear" w:color="auto" w:fill="FFFFFF"/>
          <w:lang w:val="hy-AM"/>
        </w:rPr>
        <w:t>կարողությունների</w:t>
      </w:r>
      <w:r>
        <w:rPr>
          <w:shd w:val="clear" w:color="auto" w:fill="FFFFFF"/>
          <w:lang w:val="af-ZA"/>
        </w:rPr>
        <w:t xml:space="preserve"> </w:t>
      </w:r>
      <w:r>
        <w:rPr>
          <w:rFonts w:cs="Sylfaen"/>
          <w:shd w:val="clear" w:color="auto" w:fill="FFFFFF"/>
          <w:lang w:val="hy-AM"/>
        </w:rPr>
        <w:t>լիարժեք</w:t>
      </w:r>
      <w:r>
        <w:rPr>
          <w:shd w:val="clear" w:color="auto" w:fill="FFFFFF"/>
          <w:lang w:val="af-ZA"/>
        </w:rPr>
        <w:t xml:space="preserve"> </w:t>
      </w:r>
      <w:r>
        <w:rPr>
          <w:rFonts w:cs="Sylfaen"/>
          <w:shd w:val="clear" w:color="auto" w:fill="FFFFFF"/>
          <w:lang w:val="hy-AM"/>
        </w:rPr>
        <w:t>արտահայտման</w:t>
      </w:r>
      <w:r>
        <w:rPr>
          <w:shd w:val="clear" w:color="auto" w:fill="FFFFFF"/>
          <w:lang w:val="af-ZA"/>
        </w:rPr>
        <w:t xml:space="preserve"> </w:t>
      </w:r>
      <w:r>
        <w:rPr>
          <w:rFonts w:cs="Sylfaen"/>
          <w:shd w:val="clear" w:color="auto" w:fill="FFFFFF"/>
          <w:lang w:val="hy-AM"/>
        </w:rPr>
        <w:t>և</w:t>
      </w:r>
      <w:r>
        <w:rPr>
          <w:shd w:val="clear" w:color="auto" w:fill="FFFFFF"/>
          <w:lang w:val="af-ZA"/>
        </w:rPr>
        <w:t xml:space="preserve"> </w:t>
      </w:r>
      <w:r>
        <w:rPr>
          <w:rFonts w:cs="Sylfaen"/>
          <w:shd w:val="clear" w:color="auto" w:fill="FFFFFF"/>
          <w:lang w:val="hy-AM"/>
        </w:rPr>
        <w:t>իրացման</w:t>
      </w:r>
      <w:r>
        <w:rPr>
          <w:shd w:val="clear" w:color="auto" w:fill="FFFFFF"/>
          <w:lang w:val="af-ZA"/>
        </w:rPr>
        <w:t xml:space="preserve"> </w:t>
      </w:r>
      <w:r>
        <w:rPr>
          <w:rFonts w:cs="Sylfaen"/>
          <w:shd w:val="clear" w:color="auto" w:fill="FFFFFF"/>
          <w:lang w:val="hy-AM"/>
        </w:rPr>
        <w:t>համար</w:t>
      </w:r>
      <w:r>
        <w:rPr>
          <w:shd w:val="clear" w:color="auto" w:fill="FFFFFF"/>
          <w:lang w:val="af-ZA"/>
        </w:rPr>
        <w:t xml:space="preserve"> </w:t>
      </w:r>
      <w:r>
        <w:rPr>
          <w:rFonts w:cs="Sylfaen"/>
          <w:shd w:val="clear" w:color="auto" w:fill="FFFFFF"/>
          <w:lang w:val="hy-AM"/>
        </w:rPr>
        <w:t>բարենպաստ</w:t>
      </w:r>
      <w:r>
        <w:rPr>
          <w:shd w:val="clear" w:color="auto" w:fill="FFFFFF"/>
          <w:lang w:val="af-ZA"/>
        </w:rPr>
        <w:t xml:space="preserve"> </w:t>
      </w:r>
      <w:r>
        <w:rPr>
          <w:rFonts w:cs="Sylfaen"/>
          <w:shd w:val="clear" w:color="auto" w:fill="FFFFFF"/>
          <w:lang w:val="hy-AM"/>
        </w:rPr>
        <w:t>միջավայր</w:t>
      </w:r>
      <w:r>
        <w:rPr>
          <w:shd w:val="clear" w:color="auto" w:fill="FFFFFF"/>
          <w:lang w:val="af-ZA"/>
        </w:rPr>
        <w:t xml:space="preserve">,  </w:t>
      </w:r>
      <w:r>
        <w:rPr>
          <w:rFonts w:cs="Sylfaen"/>
          <w:shd w:val="clear" w:color="auto" w:fill="FFFFFF"/>
          <w:lang w:val="hy-AM"/>
        </w:rPr>
        <w:t>իրականացնել</w:t>
      </w:r>
      <w:r>
        <w:rPr>
          <w:shd w:val="clear" w:color="auto" w:fill="FFFFFF"/>
          <w:lang w:val="af-ZA"/>
        </w:rPr>
        <w:t xml:space="preserve"> </w:t>
      </w:r>
      <w:r>
        <w:rPr>
          <w:rFonts w:cs="Sylfaen"/>
          <w:shd w:val="clear" w:color="auto" w:fill="FFFFFF"/>
          <w:lang w:val="hy-AM"/>
        </w:rPr>
        <w:t>հայկական</w:t>
      </w:r>
      <w:r>
        <w:rPr>
          <w:shd w:val="clear" w:color="auto" w:fill="FFFFFF"/>
          <w:lang w:val="af-ZA"/>
        </w:rPr>
        <w:t xml:space="preserve"> </w:t>
      </w:r>
      <w:r>
        <w:rPr>
          <w:rFonts w:cs="Sylfaen"/>
          <w:shd w:val="clear" w:color="auto" w:fill="FFFFFF"/>
          <w:lang w:val="hy-AM"/>
        </w:rPr>
        <w:t>մշակույթի</w:t>
      </w:r>
      <w:r>
        <w:rPr>
          <w:shd w:val="clear" w:color="auto" w:fill="FFFFFF"/>
          <w:lang w:val="af-ZA"/>
        </w:rPr>
        <w:t xml:space="preserve"> </w:t>
      </w:r>
      <w:r>
        <w:rPr>
          <w:rFonts w:cs="Sylfaen"/>
          <w:shd w:val="clear" w:color="auto" w:fill="FFFFFF"/>
          <w:lang w:val="hy-AM"/>
        </w:rPr>
        <w:t>ճանաչելիությանն</w:t>
      </w:r>
      <w:r>
        <w:rPr>
          <w:shd w:val="clear" w:color="auto" w:fill="FFFFFF"/>
          <w:lang w:val="af-ZA"/>
        </w:rPr>
        <w:t xml:space="preserve"> </w:t>
      </w:r>
      <w:r>
        <w:rPr>
          <w:rFonts w:cs="Sylfaen"/>
          <w:shd w:val="clear" w:color="auto" w:fill="FFFFFF"/>
          <w:lang w:val="hy-AM"/>
        </w:rPr>
        <w:t>ուղղված</w:t>
      </w:r>
      <w:r>
        <w:rPr>
          <w:shd w:val="clear" w:color="auto" w:fill="FFFFFF"/>
          <w:lang w:val="af-ZA"/>
        </w:rPr>
        <w:t xml:space="preserve"> </w:t>
      </w:r>
      <w:r>
        <w:rPr>
          <w:rFonts w:cs="Sylfaen"/>
          <w:shd w:val="clear" w:color="auto" w:fill="FFFFFF"/>
          <w:lang w:val="hy-AM"/>
        </w:rPr>
        <w:t>ծրագրեր՝</w:t>
      </w:r>
      <w:r>
        <w:rPr>
          <w:shd w:val="clear" w:color="auto" w:fill="FFFFFF"/>
          <w:lang w:val="af-ZA"/>
        </w:rPr>
        <w:t xml:space="preserve"> </w:t>
      </w:r>
      <w:r>
        <w:rPr>
          <w:rFonts w:cs="Sylfaen"/>
          <w:shd w:val="clear" w:color="auto" w:fill="FFFFFF"/>
          <w:lang w:val="hy-AM"/>
        </w:rPr>
        <w:t>Հայաստանում</w:t>
      </w:r>
      <w:r>
        <w:rPr>
          <w:shd w:val="clear" w:color="auto" w:fill="FFFFFF"/>
          <w:lang w:val="af-ZA"/>
        </w:rPr>
        <w:t xml:space="preserve"> </w:t>
      </w:r>
      <w:r>
        <w:rPr>
          <w:rFonts w:cs="Sylfaen"/>
          <w:shd w:val="clear" w:color="auto" w:fill="FFFFFF"/>
          <w:lang w:val="hy-AM"/>
        </w:rPr>
        <w:t>և</w:t>
      </w:r>
      <w:r>
        <w:rPr>
          <w:shd w:val="clear" w:color="auto" w:fill="FFFFFF"/>
          <w:lang w:val="af-ZA"/>
        </w:rPr>
        <w:t xml:space="preserve"> </w:t>
      </w:r>
      <w:r>
        <w:rPr>
          <w:rFonts w:cs="Sylfaen"/>
          <w:shd w:val="clear" w:color="auto" w:fill="FFFFFF"/>
          <w:lang w:val="hy-AM"/>
        </w:rPr>
        <w:t>նրա</w:t>
      </w:r>
      <w:r>
        <w:rPr>
          <w:shd w:val="clear" w:color="auto" w:fill="FFFFFF"/>
          <w:lang w:val="af-ZA"/>
        </w:rPr>
        <w:t xml:space="preserve"> </w:t>
      </w:r>
      <w:r>
        <w:rPr>
          <w:rFonts w:cs="Sylfaen"/>
          <w:shd w:val="clear" w:color="auto" w:fill="FFFFFF"/>
          <w:lang w:val="hy-AM"/>
        </w:rPr>
        <w:t>սահմաններից</w:t>
      </w:r>
      <w:r>
        <w:rPr>
          <w:shd w:val="clear" w:color="auto" w:fill="FFFFFF"/>
          <w:lang w:val="af-ZA"/>
        </w:rPr>
        <w:t xml:space="preserve"> </w:t>
      </w:r>
      <w:r>
        <w:rPr>
          <w:rFonts w:cs="Sylfaen"/>
          <w:shd w:val="clear" w:color="auto" w:fill="FFFFFF"/>
          <w:lang w:val="hy-AM"/>
        </w:rPr>
        <w:t>դուրս</w:t>
      </w:r>
      <w:r>
        <w:rPr>
          <w:shd w:val="clear" w:color="auto" w:fill="FFFFFF"/>
          <w:lang w:val="af-ZA"/>
        </w:rPr>
        <w:t xml:space="preserve">, </w:t>
      </w:r>
      <w:r>
        <w:rPr>
          <w:rFonts w:cs="Sylfaen"/>
          <w:shd w:val="clear" w:color="auto" w:fill="FFFFFF"/>
          <w:lang w:val="hy-AM"/>
        </w:rPr>
        <w:t>խթանել</w:t>
      </w:r>
      <w:r>
        <w:rPr>
          <w:shd w:val="clear" w:color="auto" w:fill="FFFFFF"/>
          <w:lang w:val="af-ZA"/>
        </w:rPr>
        <w:t xml:space="preserve"> </w:t>
      </w:r>
      <w:r>
        <w:rPr>
          <w:rFonts w:cs="Sylfaen"/>
          <w:shd w:val="clear" w:color="auto" w:fill="FFFFFF"/>
          <w:lang w:val="hy-AM"/>
        </w:rPr>
        <w:t>Հայաստանի</w:t>
      </w:r>
      <w:r>
        <w:rPr>
          <w:shd w:val="clear" w:color="auto" w:fill="FFFFFF"/>
          <w:lang w:val="af-ZA"/>
        </w:rPr>
        <w:t xml:space="preserve"> </w:t>
      </w:r>
      <w:r>
        <w:rPr>
          <w:rFonts w:cs="Sylfaen"/>
          <w:shd w:val="clear" w:color="auto" w:fill="FFFFFF"/>
          <w:lang w:val="hy-AM"/>
        </w:rPr>
        <w:t>Հանրապետության</w:t>
      </w:r>
      <w:r>
        <w:rPr>
          <w:shd w:val="clear" w:color="auto" w:fill="FFFFFF"/>
          <w:lang w:val="af-ZA"/>
        </w:rPr>
        <w:t xml:space="preserve"> </w:t>
      </w:r>
      <w:r>
        <w:rPr>
          <w:rFonts w:cs="Sylfaen"/>
          <w:shd w:val="clear" w:color="auto" w:fill="FFFFFF"/>
          <w:lang w:val="hy-AM"/>
        </w:rPr>
        <w:t>տարածքում</w:t>
      </w:r>
      <w:r>
        <w:rPr>
          <w:shd w:val="clear" w:color="auto" w:fill="FFFFFF"/>
          <w:lang w:val="af-ZA"/>
        </w:rPr>
        <w:t xml:space="preserve"> </w:t>
      </w:r>
      <w:r>
        <w:rPr>
          <w:rFonts w:cs="Sylfaen"/>
          <w:shd w:val="clear" w:color="auto" w:fill="FFFFFF"/>
          <w:lang w:val="hy-AM"/>
        </w:rPr>
        <w:t>գտնվող</w:t>
      </w:r>
      <w:r>
        <w:rPr>
          <w:shd w:val="clear" w:color="auto" w:fill="FFFFFF"/>
          <w:lang w:val="af-ZA"/>
        </w:rPr>
        <w:t xml:space="preserve"> </w:t>
      </w:r>
      <w:r>
        <w:rPr>
          <w:rFonts w:cs="Sylfaen"/>
          <w:shd w:val="clear" w:color="auto" w:fill="FFFFFF"/>
          <w:lang w:val="hy-AM"/>
        </w:rPr>
        <w:t>պատմամշակութային</w:t>
      </w:r>
      <w:r>
        <w:rPr>
          <w:shd w:val="clear" w:color="auto" w:fill="FFFFFF"/>
          <w:lang w:val="af-ZA"/>
        </w:rPr>
        <w:t xml:space="preserve"> </w:t>
      </w:r>
      <w:r>
        <w:rPr>
          <w:rFonts w:cs="Sylfaen"/>
          <w:shd w:val="clear" w:color="auto" w:fill="FFFFFF"/>
          <w:lang w:val="hy-AM"/>
        </w:rPr>
        <w:t>հուշարձանների</w:t>
      </w:r>
      <w:r>
        <w:rPr>
          <w:shd w:val="clear" w:color="auto" w:fill="FFFFFF"/>
          <w:lang w:val="af-ZA"/>
        </w:rPr>
        <w:t xml:space="preserve"> </w:t>
      </w:r>
      <w:r>
        <w:rPr>
          <w:rFonts w:cs="Sylfaen"/>
          <w:shd w:val="clear" w:color="auto" w:fill="FFFFFF"/>
          <w:lang w:val="hy-AM"/>
        </w:rPr>
        <w:t>ուսումնասիրությունների</w:t>
      </w:r>
      <w:r>
        <w:rPr>
          <w:shd w:val="clear" w:color="auto" w:fill="FFFFFF"/>
          <w:lang w:val="af-ZA"/>
        </w:rPr>
        <w:t xml:space="preserve"> </w:t>
      </w:r>
      <w:r>
        <w:rPr>
          <w:rFonts w:cs="Sylfaen"/>
          <w:shd w:val="clear" w:color="auto" w:fill="FFFFFF"/>
          <w:lang w:val="hy-AM"/>
        </w:rPr>
        <w:t>և</w:t>
      </w:r>
      <w:r>
        <w:rPr>
          <w:shd w:val="clear" w:color="auto" w:fill="FFFFFF"/>
          <w:lang w:val="af-ZA"/>
        </w:rPr>
        <w:t xml:space="preserve"> </w:t>
      </w:r>
      <w:r>
        <w:rPr>
          <w:rFonts w:cs="Sylfaen"/>
          <w:shd w:val="clear" w:color="auto" w:fill="FFFFFF"/>
          <w:lang w:val="hy-AM"/>
        </w:rPr>
        <w:t>հնագիտական</w:t>
      </w:r>
      <w:r>
        <w:rPr>
          <w:shd w:val="clear" w:color="auto" w:fill="FFFFFF"/>
          <w:lang w:val="af-ZA"/>
        </w:rPr>
        <w:t xml:space="preserve"> </w:t>
      </w:r>
      <w:r>
        <w:rPr>
          <w:rFonts w:cs="Sylfaen"/>
          <w:shd w:val="clear" w:color="auto" w:fill="FFFFFF"/>
          <w:lang w:val="hy-AM"/>
        </w:rPr>
        <w:t>համալիր</w:t>
      </w:r>
      <w:r>
        <w:rPr>
          <w:shd w:val="clear" w:color="auto" w:fill="FFFFFF"/>
          <w:lang w:val="af-ZA"/>
        </w:rPr>
        <w:t xml:space="preserve"> </w:t>
      </w:r>
      <w:r>
        <w:rPr>
          <w:rFonts w:cs="Sylfaen"/>
          <w:shd w:val="clear" w:color="auto" w:fill="FFFFFF"/>
          <w:lang w:val="hy-AM"/>
        </w:rPr>
        <w:t>հետազոտական</w:t>
      </w:r>
      <w:r>
        <w:rPr>
          <w:shd w:val="clear" w:color="auto" w:fill="FFFFFF"/>
          <w:lang w:val="af-ZA"/>
        </w:rPr>
        <w:t xml:space="preserve"> </w:t>
      </w:r>
      <w:r>
        <w:rPr>
          <w:rFonts w:cs="Sylfaen"/>
          <w:shd w:val="clear" w:color="auto" w:fill="FFFFFF"/>
          <w:lang w:val="hy-AM"/>
        </w:rPr>
        <w:t>ծրագրերի</w:t>
      </w:r>
      <w:r>
        <w:rPr>
          <w:shd w:val="clear" w:color="auto" w:fill="FFFFFF"/>
          <w:lang w:val="af-ZA"/>
        </w:rPr>
        <w:t xml:space="preserve"> </w:t>
      </w:r>
      <w:r>
        <w:rPr>
          <w:rFonts w:cs="Sylfaen"/>
          <w:shd w:val="clear" w:color="auto" w:fill="FFFFFF"/>
          <w:lang w:val="hy-AM"/>
        </w:rPr>
        <w:t>իրականացումը</w:t>
      </w:r>
      <w:r>
        <w:rPr>
          <w:shd w:val="clear" w:color="auto" w:fill="FFFFFF"/>
          <w:lang w:val="af-ZA"/>
        </w:rPr>
        <w:t xml:space="preserve">, </w:t>
      </w:r>
      <w:r>
        <w:rPr>
          <w:rFonts w:cs="Sylfaen"/>
          <w:shd w:val="clear" w:color="auto" w:fill="FFFFFF"/>
          <w:lang w:val="hy-AM"/>
        </w:rPr>
        <w:t>այդ</w:t>
      </w:r>
      <w:r>
        <w:rPr>
          <w:shd w:val="clear" w:color="auto" w:fill="FFFFFF"/>
          <w:lang w:val="af-ZA"/>
        </w:rPr>
        <w:t xml:space="preserve"> </w:t>
      </w:r>
      <w:r>
        <w:rPr>
          <w:rFonts w:cs="Sylfaen"/>
          <w:shd w:val="clear" w:color="auto" w:fill="FFFFFF"/>
          <w:lang w:val="hy-AM"/>
        </w:rPr>
        <w:t>ուսումնասիրությունների</w:t>
      </w:r>
      <w:r>
        <w:rPr>
          <w:shd w:val="clear" w:color="auto" w:fill="FFFFFF"/>
          <w:lang w:val="af-ZA"/>
        </w:rPr>
        <w:t xml:space="preserve"> </w:t>
      </w:r>
      <w:r>
        <w:rPr>
          <w:rFonts w:cs="Sylfaen"/>
          <w:shd w:val="clear" w:color="auto" w:fill="FFFFFF"/>
          <w:lang w:val="hy-AM"/>
        </w:rPr>
        <w:t>միջազգայնացումը</w:t>
      </w:r>
      <w:r>
        <w:rPr>
          <w:shd w:val="clear" w:color="auto" w:fill="FFFFFF"/>
          <w:lang w:val="af-ZA"/>
        </w:rPr>
        <w:t xml:space="preserve"> </w:t>
      </w:r>
      <w:r>
        <w:rPr>
          <w:rFonts w:cs="Sylfaen"/>
          <w:shd w:val="clear" w:color="auto" w:fill="FFFFFF"/>
          <w:lang w:val="hy-AM"/>
        </w:rPr>
        <w:t>և</w:t>
      </w:r>
      <w:r>
        <w:rPr>
          <w:shd w:val="clear" w:color="auto" w:fill="FFFFFF"/>
          <w:lang w:val="af-ZA"/>
        </w:rPr>
        <w:t xml:space="preserve"> </w:t>
      </w:r>
      <w:r>
        <w:rPr>
          <w:rFonts w:cs="Sylfaen"/>
          <w:shd w:val="clear" w:color="auto" w:fill="FFFFFF"/>
          <w:lang w:val="hy-AM"/>
        </w:rPr>
        <w:t>հանրահռչակումը</w:t>
      </w:r>
      <w:r>
        <w:rPr>
          <w:shd w:val="clear" w:color="auto" w:fill="FFFFFF"/>
          <w:lang w:val="af-ZA"/>
        </w:rPr>
        <w:t xml:space="preserve">, </w:t>
      </w:r>
      <w:r>
        <w:rPr>
          <w:rFonts w:cs="Sylfaen"/>
          <w:shd w:val="clear" w:color="auto" w:fill="FFFFFF"/>
          <w:lang w:val="hy-AM"/>
        </w:rPr>
        <w:t>ստեղծել</w:t>
      </w:r>
      <w:r>
        <w:rPr>
          <w:shd w:val="clear" w:color="auto" w:fill="FFFFFF"/>
          <w:lang w:val="af-ZA"/>
        </w:rPr>
        <w:t xml:space="preserve"> </w:t>
      </w:r>
      <w:r>
        <w:rPr>
          <w:rFonts w:cs="Sylfaen"/>
          <w:shd w:val="clear" w:color="auto" w:fill="FFFFFF"/>
          <w:lang w:val="hy-AM"/>
        </w:rPr>
        <w:t>ստեղծագործական</w:t>
      </w:r>
      <w:r>
        <w:rPr>
          <w:shd w:val="clear" w:color="auto" w:fill="FFFFFF"/>
          <w:lang w:val="af-ZA"/>
        </w:rPr>
        <w:t xml:space="preserve"> </w:t>
      </w:r>
      <w:r>
        <w:rPr>
          <w:rFonts w:cs="Sylfaen"/>
          <w:shd w:val="clear" w:color="auto" w:fill="FFFFFF"/>
          <w:lang w:val="hy-AM"/>
        </w:rPr>
        <w:t>կարողությունների</w:t>
      </w:r>
      <w:r>
        <w:rPr>
          <w:shd w:val="clear" w:color="auto" w:fill="FFFFFF"/>
          <w:lang w:val="af-ZA"/>
        </w:rPr>
        <w:t xml:space="preserve"> </w:t>
      </w:r>
      <w:r>
        <w:rPr>
          <w:rFonts w:cs="Sylfaen"/>
          <w:shd w:val="clear" w:color="auto" w:fill="FFFFFF"/>
          <w:lang w:val="hy-AM"/>
        </w:rPr>
        <w:t>լիարժեք</w:t>
      </w:r>
      <w:r>
        <w:rPr>
          <w:shd w:val="clear" w:color="auto" w:fill="FFFFFF"/>
          <w:lang w:val="af-ZA"/>
        </w:rPr>
        <w:t xml:space="preserve"> </w:t>
      </w:r>
      <w:r>
        <w:rPr>
          <w:rFonts w:cs="Sylfaen"/>
          <w:shd w:val="clear" w:color="auto" w:fill="FFFFFF"/>
          <w:lang w:val="hy-AM"/>
        </w:rPr>
        <w:t>արտահայտման</w:t>
      </w:r>
      <w:r>
        <w:rPr>
          <w:shd w:val="clear" w:color="auto" w:fill="FFFFFF"/>
          <w:lang w:val="af-ZA"/>
        </w:rPr>
        <w:t xml:space="preserve"> </w:t>
      </w:r>
      <w:r>
        <w:rPr>
          <w:rFonts w:cs="Sylfaen"/>
          <w:shd w:val="clear" w:color="auto" w:fill="FFFFFF"/>
          <w:lang w:val="hy-AM"/>
        </w:rPr>
        <w:t>և</w:t>
      </w:r>
      <w:r>
        <w:rPr>
          <w:shd w:val="clear" w:color="auto" w:fill="FFFFFF"/>
          <w:lang w:val="af-ZA"/>
        </w:rPr>
        <w:t xml:space="preserve"> </w:t>
      </w:r>
      <w:r>
        <w:rPr>
          <w:rFonts w:cs="Sylfaen"/>
          <w:shd w:val="clear" w:color="auto" w:fill="FFFFFF"/>
          <w:lang w:val="hy-AM"/>
        </w:rPr>
        <w:t>իրացման</w:t>
      </w:r>
      <w:r>
        <w:rPr>
          <w:shd w:val="clear" w:color="auto" w:fill="FFFFFF"/>
          <w:lang w:val="af-ZA"/>
        </w:rPr>
        <w:t xml:space="preserve"> </w:t>
      </w:r>
      <w:r>
        <w:rPr>
          <w:rFonts w:cs="Sylfaen"/>
          <w:shd w:val="clear" w:color="auto" w:fill="FFFFFF"/>
          <w:lang w:val="hy-AM"/>
        </w:rPr>
        <w:t>համար</w:t>
      </w:r>
      <w:r>
        <w:rPr>
          <w:shd w:val="clear" w:color="auto" w:fill="FFFFFF"/>
          <w:lang w:val="af-ZA"/>
        </w:rPr>
        <w:t xml:space="preserve"> </w:t>
      </w:r>
      <w:r>
        <w:rPr>
          <w:rFonts w:cs="Sylfaen"/>
          <w:shd w:val="clear" w:color="auto" w:fill="FFFFFF"/>
          <w:lang w:val="hy-AM"/>
        </w:rPr>
        <w:t>բարենպաստ</w:t>
      </w:r>
      <w:r>
        <w:rPr>
          <w:shd w:val="clear" w:color="auto" w:fill="FFFFFF"/>
          <w:lang w:val="af-ZA"/>
        </w:rPr>
        <w:t xml:space="preserve"> </w:t>
      </w:r>
      <w:r>
        <w:rPr>
          <w:rFonts w:cs="Sylfaen"/>
          <w:shd w:val="clear" w:color="auto" w:fill="FFFFFF"/>
          <w:lang w:val="hy-AM"/>
        </w:rPr>
        <w:t>միջավայր</w:t>
      </w:r>
      <w:r>
        <w:rPr>
          <w:shd w:val="clear" w:color="auto" w:fill="FFFFFF"/>
          <w:lang w:val="af-ZA"/>
        </w:rPr>
        <w:t>,</w:t>
      </w:r>
      <w:r>
        <w:rPr>
          <w:shd w:val="clear" w:color="auto" w:fill="FFFFFF"/>
          <w:lang w:val="hy-AM"/>
        </w:rPr>
        <w:t xml:space="preserve"> </w:t>
      </w:r>
      <w:r>
        <w:rPr>
          <w:rFonts w:cs="Sylfaen"/>
          <w:shd w:val="clear" w:color="auto" w:fill="FFFFFF"/>
          <w:lang w:val="hy-AM"/>
        </w:rPr>
        <w:t>իրականացնել</w:t>
      </w:r>
      <w:r>
        <w:rPr>
          <w:shd w:val="clear" w:color="auto" w:fill="FFFFFF"/>
          <w:lang w:val="af-ZA"/>
        </w:rPr>
        <w:t xml:space="preserve"> </w:t>
      </w:r>
      <w:r>
        <w:rPr>
          <w:rFonts w:cs="Sylfaen"/>
          <w:shd w:val="clear" w:color="auto" w:fill="FFFFFF"/>
          <w:lang w:val="hy-AM"/>
        </w:rPr>
        <w:t>հայկական</w:t>
      </w:r>
      <w:r>
        <w:rPr>
          <w:shd w:val="clear" w:color="auto" w:fill="FFFFFF"/>
          <w:lang w:val="af-ZA"/>
        </w:rPr>
        <w:t xml:space="preserve"> </w:t>
      </w:r>
      <w:r>
        <w:rPr>
          <w:rFonts w:cs="Sylfaen"/>
          <w:shd w:val="clear" w:color="auto" w:fill="FFFFFF"/>
          <w:lang w:val="hy-AM"/>
        </w:rPr>
        <w:t>մշակույթի</w:t>
      </w:r>
      <w:r>
        <w:rPr>
          <w:shd w:val="clear" w:color="auto" w:fill="FFFFFF"/>
          <w:lang w:val="af-ZA"/>
        </w:rPr>
        <w:t xml:space="preserve"> </w:t>
      </w:r>
      <w:r>
        <w:rPr>
          <w:rFonts w:cs="Sylfaen"/>
          <w:shd w:val="clear" w:color="auto" w:fill="FFFFFF"/>
          <w:lang w:val="hy-AM"/>
        </w:rPr>
        <w:t>ճանաչելիությանն</w:t>
      </w:r>
      <w:r>
        <w:rPr>
          <w:shd w:val="clear" w:color="auto" w:fill="FFFFFF"/>
          <w:lang w:val="af-ZA"/>
        </w:rPr>
        <w:t xml:space="preserve"> </w:t>
      </w:r>
      <w:r>
        <w:rPr>
          <w:rFonts w:cs="Sylfaen"/>
          <w:shd w:val="clear" w:color="auto" w:fill="FFFFFF"/>
          <w:lang w:val="hy-AM"/>
        </w:rPr>
        <w:t>ուղղված</w:t>
      </w:r>
      <w:r>
        <w:rPr>
          <w:shd w:val="clear" w:color="auto" w:fill="FFFFFF"/>
          <w:lang w:val="af-ZA"/>
        </w:rPr>
        <w:t xml:space="preserve"> </w:t>
      </w:r>
      <w:r>
        <w:rPr>
          <w:rFonts w:cs="Sylfaen"/>
          <w:shd w:val="clear" w:color="auto" w:fill="FFFFFF"/>
          <w:lang w:val="hy-AM"/>
        </w:rPr>
        <w:t>ծրագրեր՝</w:t>
      </w:r>
      <w:r>
        <w:rPr>
          <w:shd w:val="clear" w:color="auto" w:fill="FFFFFF"/>
          <w:lang w:val="af-ZA"/>
        </w:rPr>
        <w:t xml:space="preserve"> </w:t>
      </w:r>
      <w:r>
        <w:rPr>
          <w:rFonts w:cs="Sylfaen"/>
          <w:shd w:val="clear" w:color="auto" w:fill="FFFFFF"/>
          <w:lang w:val="hy-AM"/>
        </w:rPr>
        <w:t>Հայաստանում</w:t>
      </w:r>
      <w:r>
        <w:rPr>
          <w:shd w:val="clear" w:color="auto" w:fill="FFFFFF"/>
          <w:lang w:val="af-ZA"/>
        </w:rPr>
        <w:t xml:space="preserve"> </w:t>
      </w:r>
      <w:r>
        <w:rPr>
          <w:rFonts w:cs="Sylfaen"/>
          <w:shd w:val="clear" w:color="auto" w:fill="FFFFFF"/>
          <w:lang w:val="hy-AM"/>
        </w:rPr>
        <w:t>և</w:t>
      </w:r>
      <w:r>
        <w:rPr>
          <w:shd w:val="clear" w:color="auto" w:fill="FFFFFF"/>
          <w:lang w:val="af-ZA"/>
        </w:rPr>
        <w:t xml:space="preserve"> </w:t>
      </w:r>
      <w:r>
        <w:rPr>
          <w:rFonts w:cs="Sylfaen"/>
          <w:shd w:val="clear" w:color="auto" w:fill="FFFFFF"/>
          <w:lang w:val="hy-AM"/>
        </w:rPr>
        <w:t>նրա</w:t>
      </w:r>
      <w:r>
        <w:rPr>
          <w:shd w:val="clear" w:color="auto" w:fill="FFFFFF"/>
          <w:lang w:val="af-ZA"/>
        </w:rPr>
        <w:t xml:space="preserve"> </w:t>
      </w:r>
      <w:r>
        <w:rPr>
          <w:rFonts w:cs="Sylfaen"/>
          <w:shd w:val="clear" w:color="auto" w:fill="FFFFFF"/>
          <w:lang w:val="hy-AM"/>
        </w:rPr>
        <w:t>սահմաններից</w:t>
      </w:r>
      <w:r>
        <w:rPr>
          <w:shd w:val="clear" w:color="auto" w:fill="FFFFFF"/>
          <w:lang w:val="af-ZA"/>
        </w:rPr>
        <w:t xml:space="preserve"> </w:t>
      </w:r>
      <w:r>
        <w:rPr>
          <w:rFonts w:cs="Sylfaen"/>
          <w:shd w:val="clear" w:color="auto" w:fill="FFFFFF"/>
          <w:lang w:val="hy-AM"/>
        </w:rPr>
        <w:t>դուրս</w:t>
      </w:r>
      <w:r>
        <w:rPr>
          <w:shd w:val="clear" w:color="auto" w:fill="FFFFFF"/>
          <w:lang w:val="af-ZA"/>
        </w:rPr>
        <w:t xml:space="preserve">, </w:t>
      </w:r>
      <w:r>
        <w:rPr>
          <w:rFonts w:cs="Sylfaen"/>
          <w:shd w:val="clear" w:color="auto" w:fill="FFFFFF"/>
          <w:lang w:val="hy-AM"/>
        </w:rPr>
        <w:t>աջակցել</w:t>
      </w:r>
      <w:r>
        <w:rPr>
          <w:shd w:val="clear" w:color="auto" w:fill="FFFFFF"/>
          <w:lang w:val="af-ZA"/>
        </w:rPr>
        <w:t xml:space="preserve"> </w:t>
      </w:r>
      <w:r>
        <w:rPr>
          <w:rFonts w:cs="Sylfaen"/>
          <w:shd w:val="clear" w:color="auto" w:fill="FFFFFF"/>
          <w:lang w:val="hy-AM"/>
        </w:rPr>
        <w:t>դեբյուտային</w:t>
      </w:r>
      <w:r>
        <w:rPr>
          <w:shd w:val="clear" w:color="auto" w:fill="FFFFFF"/>
          <w:lang w:val="af-ZA"/>
        </w:rPr>
        <w:t xml:space="preserve"> </w:t>
      </w:r>
      <w:r>
        <w:rPr>
          <w:rFonts w:cs="Sylfaen"/>
          <w:shd w:val="clear" w:color="auto" w:fill="FFFFFF"/>
          <w:lang w:val="hy-AM"/>
        </w:rPr>
        <w:t>ստեղծագործական</w:t>
      </w:r>
      <w:r>
        <w:rPr>
          <w:shd w:val="clear" w:color="auto" w:fill="FFFFFF"/>
          <w:lang w:val="af-ZA"/>
        </w:rPr>
        <w:t xml:space="preserve"> </w:t>
      </w:r>
      <w:r>
        <w:rPr>
          <w:rFonts w:cs="Sylfaen"/>
          <w:shd w:val="clear" w:color="auto" w:fill="FFFFFF"/>
          <w:lang w:val="hy-AM"/>
        </w:rPr>
        <w:t>ծրագրերին՝</w:t>
      </w:r>
      <w:r>
        <w:rPr>
          <w:shd w:val="clear" w:color="auto" w:fill="FFFFFF"/>
          <w:lang w:val="af-ZA"/>
        </w:rPr>
        <w:t xml:space="preserve"> </w:t>
      </w:r>
      <w:r>
        <w:rPr>
          <w:rFonts w:cs="Sylfaen"/>
          <w:shd w:val="clear" w:color="auto" w:fill="FFFFFF"/>
          <w:lang w:val="hy-AM"/>
        </w:rPr>
        <w:t>արվեստի</w:t>
      </w:r>
      <w:r>
        <w:rPr>
          <w:shd w:val="clear" w:color="auto" w:fill="FFFFFF"/>
          <w:lang w:val="af-ZA"/>
        </w:rPr>
        <w:t xml:space="preserve"> </w:t>
      </w:r>
      <w:r>
        <w:rPr>
          <w:rFonts w:cs="Sylfaen"/>
          <w:shd w:val="clear" w:color="auto" w:fill="FFFFFF"/>
          <w:lang w:val="hy-AM"/>
        </w:rPr>
        <w:t>փորձարարական</w:t>
      </w:r>
      <w:r>
        <w:rPr>
          <w:shd w:val="clear" w:color="auto" w:fill="FFFFFF"/>
          <w:lang w:val="af-ZA"/>
        </w:rPr>
        <w:t xml:space="preserve"> </w:t>
      </w:r>
      <w:r>
        <w:rPr>
          <w:rFonts w:cs="Sylfaen"/>
          <w:shd w:val="clear" w:color="auto" w:fill="FFFFFF"/>
          <w:lang w:val="hy-AM"/>
        </w:rPr>
        <w:t>և</w:t>
      </w:r>
      <w:r>
        <w:rPr>
          <w:shd w:val="clear" w:color="auto" w:fill="FFFFFF"/>
          <w:lang w:val="af-ZA"/>
        </w:rPr>
        <w:t xml:space="preserve"> </w:t>
      </w:r>
      <w:r>
        <w:rPr>
          <w:rFonts w:cs="Sylfaen"/>
          <w:shd w:val="clear" w:color="auto" w:fill="FFFFFF"/>
          <w:lang w:val="hy-AM"/>
        </w:rPr>
        <w:t>նորարարական</w:t>
      </w:r>
      <w:r>
        <w:rPr>
          <w:shd w:val="clear" w:color="auto" w:fill="FFFFFF"/>
          <w:lang w:val="af-ZA"/>
        </w:rPr>
        <w:t xml:space="preserve"> </w:t>
      </w:r>
      <w:r>
        <w:rPr>
          <w:rFonts w:cs="Sylfaen"/>
          <w:shd w:val="clear" w:color="auto" w:fill="FFFFFF"/>
          <w:lang w:val="hy-AM"/>
        </w:rPr>
        <w:t>ձևերի</w:t>
      </w:r>
      <w:r>
        <w:rPr>
          <w:shd w:val="clear" w:color="auto" w:fill="FFFFFF"/>
          <w:lang w:val="af-ZA"/>
        </w:rPr>
        <w:t xml:space="preserve">  </w:t>
      </w:r>
      <w:r>
        <w:rPr>
          <w:rFonts w:cs="Sylfaen"/>
          <w:shd w:val="clear" w:color="auto" w:fill="FFFFFF"/>
          <w:lang w:val="hy-AM"/>
        </w:rPr>
        <w:t>խրախուսմամբ</w:t>
      </w:r>
      <w:r>
        <w:rPr>
          <w:shd w:val="clear" w:color="auto" w:fill="FFFFFF"/>
          <w:lang w:val="hy-AM"/>
        </w:rPr>
        <w:t>,</w:t>
      </w:r>
      <w:r>
        <w:rPr>
          <w:shd w:val="clear" w:color="auto" w:fill="FFFFFF"/>
          <w:lang w:val="af-ZA"/>
        </w:rPr>
        <w:t xml:space="preserve"> </w:t>
      </w:r>
      <w:r>
        <w:rPr>
          <w:rFonts w:cs="Sylfaen"/>
          <w:shd w:val="clear" w:color="auto" w:fill="FFFFFF"/>
          <w:lang w:val="hy-AM"/>
        </w:rPr>
        <w:t>ապահովել</w:t>
      </w:r>
      <w:r>
        <w:rPr>
          <w:shd w:val="clear" w:color="auto" w:fill="FFFFFF"/>
          <w:lang w:val="af-ZA"/>
        </w:rPr>
        <w:t xml:space="preserve"> </w:t>
      </w:r>
      <w:r>
        <w:rPr>
          <w:rFonts w:cs="Sylfaen"/>
          <w:shd w:val="clear" w:color="auto" w:fill="FFFFFF"/>
          <w:lang w:val="hy-AM"/>
        </w:rPr>
        <w:t>մշակութային</w:t>
      </w:r>
      <w:r>
        <w:rPr>
          <w:shd w:val="clear" w:color="auto" w:fill="FFFFFF"/>
          <w:lang w:val="af-ZA"/>
        </w:rPr>
        <w:t xml:space="preserve"> </w:t>
      </w:r>
      <w:r>
        <w:rPr>
          <w:rFonts w:cs="Sylfaen"/>
          <w:shd w:val="clear" w:color="auto" w:fill="FFFFFF"/>
          <w:lang w:val="hy-AM"/>
        </w:rPr>
        <w:t>ծառայությունների</w:t>
      </w:r>
      <w:r>
        <w:rPr>
          <w:shd w:val="clear" w:color="auto" w:fill="FFFFFF"/>
          <w:lang w:val="af-ZA"/>
        </w:rPr>
        <w:t xml:space="preserve"> </w:t>
      </w:r>
      <w:r>
        <w:rPr>
          <w:rFonts w:cs="Sylfaen"/>
          <w:shd w:val="clear" w:color="auto" w:fill="FFFFFF"/>
          <w:lang w:val="hy-AM"/>
        </w:rPr>
        <w:t>համաչափությունը</w:t>
      </w:r>
      <w:r>
        <w:rPr>
          <w:shd w:val="clear" w:color="auto" w:fill="FFFFFF"/>
          <w:lang w:val="af-ZA"/>
        </w:rPr>
        <w:t xml:space="preserve">, </w:t>
      </w:r>
      <w:r>
        <w:rPr>
          <w:rFonts w:cs="Sylfaen"/>
          <w:shd w:val="clear" w:color="auto" w:fill="FFFFFF"/>
          <w:lang w:val="hy-AM"/>
        </w:rPr>
        <w:t>մատչելիությունը</w:t>
      </w:r>
      <w:r>
        <w:rPr>
          <w:shd w:val="clear" w:color="auto" w:fill="FFFFFF"/>
          <w:lang w:val="af-ZA"/>
        </w:rPr>
        <w:t xml:space="preserve"> </w:t>
      </w:r>
      <w:r>
        <w:rPr>
          <w:rFonts w:cs="Sylfaen"/>
          <w:shd w:val="clear" w:color="auto" w:fill="FFFFFF"/>
          <w:lang w:val="hy-AM"/>
        </w:rPr>
        <w:t>և</w:t>
      </w:r>
      <w:r>
        <w:rPr>
          <w:shd w:val="clear" w:color="auto" w:fill="FFFFFF"/>
          <w:lang w:val="af-ZA"/>
        </w:rPr>
        <w:t xml:space="preserve"> </w:t>
      </w:r>
      <w:r>
        <w:rPr>
          <w:rFonts w:cs="Sylfaen"/>
          <w:shd w:val="clear" w:color="auto" w:fill="FFFFFF"/>
          <w:lang w:val="hy-AM"/>
        </w:rPr>
        <w:t>հասանելիությունը</w:t>
      </w:r>
      <w:r>
        <w:rPr>
          <w:shd w:val="clear" w:color="auto" w:fill="FFFFFF"/>
          <w:lang w:val="af-ZA"/>
        </w:rPr>
        <w:t xml:space="preserve"> </w:t>
      </w:r>
      <w:r>
        <w:rPr>
          <w:rFonts w:cs="Sylfaen"/>
          <w:shd w:val="clear" w:color="auto" w:fill="FFFFFF"/>
          <w:lang w:val="hy-AM"/>
        </w:rPr>
        <w:t>Հայաստանի</w:t>
      </w:r>
      <w:r>
        <w:rPr>
          <w:shd w:val="clear" w:color="auto" w:fill="FFFFFF"/>
          <w:lang w:val="af-ZA"/>
        </w:rPr>
        <w:t xml:space="preserve"> </w:t>
      </w:r>
      <w:r>
        <w:rPr>
          <w:rFonts w:cs="Sylfaen"/>
          <w:shd w:val="clear" w:color="auto" w:fill="FFFFFF"/>
          <w:lang w:val="hy-AM"/>
        </w:rPr>
        <w:t>Հանրապետության</w:t>
      </w:r>
      <w:r>
        <w:rPr>
          <w:shd w:val="clear" w:color="auto" w:fill="FFFFFF"/>
          <w:lang w:val="af-ZA"/>
        </w:rPr>
        <w:t xml:space="preserve"> </w:t>
      </w:r>
      <w:r>
        <w:rPr>
          <w:rFonts w:cs="Sylfaen"/>
          <w:shd w:val="clear" w:color="auto" w:fill="FFFFFF"/>
          <w:lang w:val="hy-AM"/>
        </w:rPr>
        <w:t>մարզերում</w:t>
      </w:r>
      <w:r>
        <w:rPr>
          <w:shd w:val="clear" w:color="auto" w:fill="FFFFFF"/>
          <w:lang w:val="hy-AM"/>
        </w:rPr>
        <w:t>:</w:t>
      </w:r>
      <w:r>
        <w:rPr>
          <w:shd w:val="clear" w:color="auto" w:fill="FFFFFF"/>
          <w:lang w:val="af-ZA"/>
        </w:rPr>
        <w:t xml:space="preserve"> </w:t>
      </w:r>
      <w:r>
        <w:rPr>
          <w:rFonts w:cs="Sylfaen"/>
          <w:shd w:val="clear" w:color="auto" w:fill="FFFFFF"/>
          <w:lang w:val="hy-AM"/>
        </w:rPr>
        <w:t xml:space="preserve">Մշակույթի ոլորտում COVID-19 համավարակով և Արցախյան պատերազմով պայմանավորված 2020 թվականի ընթացքում նախատեսվող միջոցառումներն  ենթարկվել են էական փոփոխությունների՝ չեղարկվել են ՀՀ պետական բյուջեով նախատեսված մի շարք միջոցառումներ, մշակութային օջախներում մշակվել և մեկնարկել են առցանց ներկայացումներ, ցուցադրություններ ու այցելություններ: Նախատեսվող կոնֆերանսներն ու հանդիպումներն հիմնականում իրականացվել են առցանց: </w:t>
      </w:r>
    </w:p>
    <w:p w14:paraId="3F4B0EF4" w14:textId="77777777" w:rsidR="00DA0E15" w:rsidRDefault="00362131">
      <w:pPr>
        <w:spacing w:line="276" w:lineRule="auto"/>
        <w:ind w:firstLine="720"/>
        <w:rPr>
          <w:shd w:val="clear" w:color="auto" w:fill="FFFFFF"/>
          <w:lang w:val="af-ZA"/>
        </w:rPr>
      </w:pPr>
      <w:r>
        <w:rPr>
          <w:shd w:val="clear" w:color="auto" w:fill="FFFFFF"/>
          <w:lang w:val="hy-AM"/>
        </w:rPr>
        <w:t>Մշակույթի</w:t>
      </w:r>
      <w:r>
        <w:rPr>
          <w:shd w:val="clear" w:color="auto" w:fill="FFFFFF"/>
          <w:lang w:val="af-ZA"/>
        </w:rPr>
        <w:t xml:space="preserve"> </w:t>
      </w:r>
      <w:r>
        <w:rPr>
          <w:shd w:val="clear" w:color="auto" w:fill="FFFFFF"/>
          <w:lang w:val="hy-AM"/>
        </w:rPr>
        <w:t>ոլորտի</w:t>
      </w:r>
      <w:r>
        <w:rPr>
          <w:shd w:val="clear" w:color="auto" w:fill="FFFFFF"/>
          <w:lang w:val="af-ZA"/>
        </w:rPr>
        <w:t xml:space="preserve"> </w:t>
      </w:r>
      <w:r>
        <w:rPr>
          <w:shd w:val="clear" w:color="auto" w:fill="FFFFFF"/>
          <w:lang w:val="hy-AM"/>
        </w:rPr>
        <w:t>հիմնական</w:t>
      </w:r>
      <w:r>
        <w:rPr>
          <w:shd w:val="clear" w:color="auto" w:fill="FFFFFF"/>
          <w:lang w:val="af-ZA"/>
        </w:rPr>
        <w:t xml:space="preserve"> </w:t>
      </w:r>
      <w:r>
        <w:rPr>
          <w:shd w:val="clear" w:color="auto" w:fill="FFFFFF"/>
          <w:lang w:val="hy-AM"/>
        </w:rPr>
        <w:t>թիրախներն են</w:t>
      </w:r>
      <w:r>
        <w:rPr>
          <w:shd w:val="clear" w:color="auto" w:fill="FFFFFF"/>
          <w:lang w:val="af-ZA"/>
        </w:rPr>
        <w:t xml:space="preserve">. </w:t>
      </w:r>
    </w:p>
    <w:p w14:paraId="3D897AEF" w14:textId="77777777" w:rsidR="00DA0E15" w:rsidRDefault="00362131" w:rsidP="00C0628C">
      <w:pPr>
        <w:numPr>
          <w:ilvl w:val="0"/>
          <w:numId w:val="15"/>
        </w:numPr>
        <w:tabs>
          <w:tab w:val="clear" w:pos="360"/>
          <w:tab w:val="left" w:pos="0"/>
        </w:tabs>
        <w:spacing w:before="0" w:after="0" w:line="276" w:lineRule="auto"/>
        <w:rPr>
          <w:lang w:val="hy-AM"/>
        </w:rPr>
      </w:pPr>
      <w:r>
        <w:rPr>
          <w:lang w:val="hy-AM"/>
        </w:rPr>
        <w:t xml:space="preserve">Կինոարվեստի, կինոարտադրության զարգացմանն աջակցություն, հայկական ավանդույթների շարունակականության ապահովում, կինոարվեստի հանրահռչակում, </w:t>
      </w:r>
    </w:p>
    <w:p w14:paraId="5E3E09ED" w14:textId="77777777" w:rsidR="00DA0E15" w:rsidRDefault="00362131" w:rsidP="00C0628C">
      <w:pPr>
        <w:numPr>
          <w:ilvl w:val="0"/>
          <w:numId w:val="15"/>
        </w:numPr>
        <w:tabs>
          <w:tab w:val="clear" w:pos="360"/>
          <w:tab w:val="left" w:pos="0"/>
        </w:tabs>
        <w:spacing w:before="0" w:after="0" w:line="276" w:lineRule="auto"/>
        <w:rPr>
          <w:lang w:val="hy-AM"/>
        </w:rPr>
      </w:pPr>
      <w:r>
        <w:rPr>
          <w:lang w:val="hy-AM"/>
        </w:rPr>
        <w:t>Մշակութային ժառանգության պահպանում, օգտագործում, համալրում և հանրահռչակում,</w:t>
      </w:r>
    </w:p>
    <w:p w14:paraId="0D0FA08B" w14:textId="77777777" w:rsidR="00DA0E15" w:rsidRDefault="00362131" w:rsidP="00C0628C">
      <w:pPr>
        <w:numPr>
          <w:ilvl w:val="0"/>
          <w:numId w:val="15"/>
        </w:numPr>
        <w:tabs>
          <w:tab w:val="clear" w:pos="360"/>
          <w:tab w:val="left" w:pos="0"/>
        </w:tabs>
        <w:spacing w:before="0" w:after="0" w:line="276" w:lineRule="auto"/>
        <w:rPr>
          <w:lang w:val="hy-AM"/>
        </w:rPr>
      </w:pPr>
      <w:r>
        <w:rPr>
          <w:lang w:val="hy-AM"/>
        </w:rPr>
        <w:t>Գրական դաշտի բոլոր օղակների հավասարաչափ զարգացում, գրական արտադրանքի միջոցով գրական-մշակութային ժառանգության պահպանում, զարգացում, տարածում և հանրահռչակում, քաղաքացիական հասարակության ձևավորում, ստեղծագործական ներուժի վերարտադրման և զարգացման համար պայմանների ստեղծում,</w:t>
      </w:r>
    </w:p>
    <w:p w14:paraId="2B8EA700" w14:textId="77777777" w:rsidR="00DA0E15" w:rsidRDefault="00362131" w:rsidP="00C0628C">
      <w:pPr>
        <w:numPr>
          <w:ilvl w:val="0"/>
          <w:numId w:val="15"/>
        </w:numPr>
        <w:tabs>
          <w:tab w:val="clear" w:pos="360"/>
          <w:tab w:val="left" w:pos="0"/>
        </w:tabs>
        <w:spacing w:before="0" w:after="0" w:line="276" w:lineRule="auto"/>
        <w:rPr>
          <w:lang w:val="hy-AM"/>
        </w:rPr>
      </w:pPr>
      <w:r>
        <w:rPr>
          <w:lang w:val="hy-AM"/>
        </w:rPr>
        <w:t>Ազգային հենքի վրա ժամանակակից թատերարվեստի, երաժշտարվեստի, կերպարվեստի և պարարվեստի զարգացում և հանրահռչակում,</w:t>
      </w:r>
    </w:p>
    <w:p w14:paraId="1AA96ED0" w14:textId="77777777" w:rsidR="00DA0E15" w:rsidRDefault="00362131" w:rsidP="00C0628C">
      <w:pPr>
        <w:numPr>
          <w:ilvl w:val="0"/>
          <w:numId w:val="15"/>
        </w:numPr>
        <w:tabs>
          <w:tab w:val="clear" w:pos="360"/>
          <w:tab w:val="left" w:pos="0"/>
        </w:tabs>
        <w:spacing w:before="0" w:after="0" w:line="276" w:lineRule="auto"/>
        <w:rPr>
          <w:lang w:val="hy-AM"/>
        </w:rPr>
      </w:pPr>
      <w:r>
        <w:rPr>
          <w:lang w:val="hy-AM"/>
        </w:rPr>
        <w:t>Երեխաների հոգևոր և գեղագիտական ընդունակությունների բացահայտում և զարգացում,</w:t>
      </w:r>
    </w:p>
    <w:p w14:paraId="710CE3CC" w14:textId="77777777" w:rsidR="00DA0E15" w:rsidRDefault="00362131" w:rsidP="00C0628C">
      <w:pPr>
        <w:numPr>
          <w:ilvl w:val="0"/>
          <w:numId w:val="15"/>
        </w:numPr>
        <w:tabs>
          <w:tab w:val="clear" w:pos="360"/>
          <w:tab w:val="left" w:pos="0"/>
        </w:tabs>
        <w:spacing w:before="0" w:after="0" w:line="276" w:lineRule="auto"/>
        <w:rPr>
          <w:lang w:val="hy-AM"/>
        </w:rPr>
      </w:pPr>
      <w:r>
        <w:rPr>
          <w:lang w:val="hy-AM"/>
        </w:rPr>
        <w:t>Մարզերում մշակութային կյանքի և մշակութաստեղծ գործունեության ակտիվացում,</w:t>
      </w:r>
    </w:p>
    <w:p w14:paraId="168BF8D5" w14:textId="77777777" w:rsidR="00DA0E15" w:rsidRDefault="00362131" w:rsidP="00C0628C">
      <w:pPr>
        <w:numPr>
          <w:ilvl w:val="0"/>
          <w:numId w:val="15"/>
        </w:numPr>
        <w:tabs>
          <w:tab w:val="clear" w:pos="360"/>
          <w:tab w:val="left" w:pos="0"/>
        </w:tabs>
        <w:spacing w:before="0" w:after="0" w:line="276" w:lineRule="auto"/>
        <w:rPr>
          <w:lang w:val="hy-AM"/>
        </w:rPr>
      </w:pPr>
      <w:r>
        <w:rPr>
          <w:lang w:val="hy-AM"/>
        </w:rPr>
        <w:t>ՀՀ ազգային արխիվային հավաքածուի պահպանության, համալրման, հաշվառման և օգտագործման ապահովում:</w:t>
      </w:r>
    </w:p>
    <w:p w14:paraId="12D5B044" w14:textId="77777777" w:rsidR="00DA0E15" w:rsidRDefault="00DA0E15">
      <w:pPr>
        <w:keepNext/>
        <w:widowControl w:val="0"/>
        <w:tabs>
          <w:tab w:val="left" w:pos="567"/>
          <w:tab w:val="left" w:pos="993"/>
          <w:tab w:val="right" w:pos="10208"/>
        </w:tabs>
        <w:spacing w:line="276" w:lineRule="auto"/>
        <w:ind w:left="786"/>
        <w:contextualSpacing/>
        <w:outlineLvl w:val="1"/>
        <w:rPr>
          <w:rFonts w:cs="Sylfaen"/>
          <w:b/>
          <w:lang w:val="hy-AM"/>
        </w:rPr>
      </w:pPr>
    </w:p>
    <w:p w14:paraId="2AD7CC9D" w14:textId="77777777" w:rsidR="00DA0E15" w:rsidRDefault="00362131">
      <w:pPr>
        <w:tabs>
          <w:tab w:val="left" w:pos="851"/>
          <w:tab w:val="left" w:pos="993"/>
        </w:tabs>
        <w:spacing w:line="276" w:lineRule="auto"/>
        <w:ind w:firstLine="0"/>
        <w:rPr>
          <w:rFonts w:cs="Sylfaen"/>
          <w:b/>
          <w:lang w:val="hy-AM"/>
        </w:rPr>
      </w:pPr>
      <w:r>
        <w:rPr>
          <w:rFonts w:cs="Sylfaen"/>
          <w:b/>
          <w:lang w:val="hy-AM"/>
        </w:rPr>
        <w:t xml:space="preserve"> </w:t>
      </w:r>
      <w:r>
        <w:rPr>
          <w:rFonts w:cs="GHEA Grapalat"/>
          <w:b/>
          <w:lang w:val="hy-AM"/>
        </w:rPr>
        <w:t>ՈԼՈՐՏԱՅԻՆ ԾԱԽՍԱՅԻՆ ԾՐԱԳՐԵՐԸ</w:t>
      </w:r>
      <w:r>
        <w:rPr>
          <w:rFonts w:cs="Sylfaen"/>
          <w:b/>
          <w:lang w:val="hy-AM"/>
        </w:rPr>
        <w:t xml:space="preserve"> </w:t>
      </w:r>
    </w:p>
    <w:p w14:paraId="33D16772" w14:textId="77777777" w:rsidR="00DA0E15" w:rsidRDefault="00362131">
      <w:pPr>
        <w:tabs>
          <w:tab w:val="left" w:pos="851"/>
          <w:tab w:val="left" w:pos="993"/>
        </w:tabs>
        <w:spacing w:line="276" w:lineRule="auto"/>
        <w:ind w:firstLine="0"/>
        <w:rPr>
          <w:rFonts w:cs="Sylfaen"/>
          <w:lang w:val="hy-AM"/>
        </w:rPr>
      </w:pPr>
      <w:r>
        <w:rPr>
          <w:rFonts w:cs="Sylfaen"/>
          <w:lang w:val="hy-AM"/>
        </w:rPr>
        <w:t>Մշակույթի ոլորտում իրականացվում են հետևյալ 7 ծրագրերը՝</w:t>
      </w:r>
    </w:p>
    <w:p w14:paraId="037A540A" w14:textId="77777777" w:rsidR="00DA0E15" w:rsidRDefault="00362131">
      <w:pPr>
        <w:tabs>
          <w:tab w:val="left" w:pos="540"/>
          <w:tab w:val="left" w:pos="851"/>
          <w:tab w:val="left" w:pos="993"/>
        </w:tabs>
        <w:spacing w:line="276" w:lineRule="auto"/>
        <w:ind w:firstLine="0"/>
        <w:rPr>
          <w:rFonts w:cs="Sylfaen"/>
          <w:b/>
          <w:lang w:val="hy-AM"/>
        </w:rPr>
      </w:pPr>
      <w:r>
        <w:rPr>
          <w:rFonts w:cs="Sylfaen"/>
          <w:b/>
          <w:lang w:val="hy-AM"/>
        </w:rPr>
        <w:t xml:space="preserve">     </w:t>
      </w:r>
      <w:r>
        <w:rPr>
          <w:rFonts w:cs="Sylfaen"/>
          <w:b/>
          <w:i/>
          <w:lang w:val="hy-AM"/>
        </w:rPr>
        <w:t>1.</w:t>
      </w:r>
      <w:r>
        <w:rPr>
          <w:rFonts w:cs="Sylfaen"/>
          <w:b/>
          <w:i/>
          <w:lang w:val="af-ZA"/>
        </w:rPr>
        <w:t>Կինեմատոգրաֆիայի ծրագ</w:t>
      </w:r>
      <w:r>
        <w:rPr>
          <w:rFonts w:cs="Sylfaen"/>
          <w:b/>
          <w:i/>
          <w:lang w:val="hy-AM"/>
        </w:rPr>
        <w:t>իր</w:t>
      </w:r>
    </w:p>
    <w:p w14:paraId="06F6AC06" w14:textId="77777777" w:rsidR="00DA0E15" w:rsidRDefault="00362131">
      <w:pPr>
        <w:spacing w:line="276" w:lineRule="auto"/>
        <w:ind w:firstLine="360"/>
        <w:rPr>
          <w:lang w:val="hy-AM"/>
        </w:rPr>
      </w:pPr>
      <w:r>
        <w:rPr>
          <w:rFonts w:cs="Sylfaen"/>
          <w:lang w:val="hy-AM"/>
        </w:rPr>
        <w:t>Ծրագրի նպատակն է՝</w:t>
      </w:r>
      <w:r>
        <w:rPr>
          <w:lang w:val="hy-AM"/>
        </w:rPr>
        <w:t xml:space="preserve"> կ</w:t>
      </w:r>
      <w:r>
        <w:rPr>
          <w:rFonts w:cs="Sylfaen"/>
          <w:lang w:val="hy-AM"/>
        </w:rPr>
        <w:t>ինոարվեստի</w:t>
      </w:r>
      <w:r>
        <w:rPr>
          <w:lang w:val="hy-AM"/>
        </w:rPr>
        <w:t xml:space="preserve">,  </w:t>
      </w:r>
      <w:r>
        <w:rPr>
          <w:rFonts w:cs="Sylfaen"/>
          <w:lang w:val="hy-AM"/>
        </w:rPr>
        <w:t>կինոարտադրության</w:t>
      </w:r>
      <w:r>
        <w:rPr>
          <w:lang w:val="hy-AM"/>
        </w:rPr>
        <w:t xml:space="preserve"> </w:t>
      </w:r>
      <w:r>
        <w:rPr>
          <w:rFonts w:cs="Sylfaen"/>
          <w:lang w:val="hy-AM"/>
        </w:rPr>
        <w:t>զարգացմանն</w:t>
      </w:r>
      <w:r>
        <w:rPr>
          <w:lang w:val="hy-AM"/>
        </w:rPr>
        <w:t xml:space="preserve"> </w:t>
      </w:r>
      <w:r>
        <w:rPr>
          <w:rFonts w:cs="Sylfaen"/>
          <w:lang w:val="hy-AM"/>
        </w:rPr>
        <w:t>աջակցությունը</w:t>
      </w:r>
      <w:r>
        <w:rPr>
          <w:lang w:val="hy-AM"/>
        </w:rPr>
        <w:t xml:space="preserve">, </w:t>
      </w:r>
      <w:r>
        <w:rPr>
          <w:rFonts w:cs="Sylfaen"/>
          <w:lang w:val="hy-AM"/>
        </w:rPr>
        <w:t>հայկական</w:t>
      </w:r>
      <w:r>
        <w:rPr>
          <w:lang w:val="hy-AM"/>
        </w:rPr>
        <w:t xml:space="preserve"> </w:t>
      </w:r>
      <w:r>
        <w:rPr>
          <w:rFonts w:cs="Sylfaen"/>
          <w:lang w:val="hy-AM"/>
        </w:rPr>
        <w:t>ավանդույթների</w:t>
      </w:r>
      <w:r>
        <w:rPr>
          <w:lang w:val="hy-AM"/>
        </w:rPr>
        <w:t xml:space="preserve"> </w:t>
      </w:r>
      <w:r>
        <w:rPr>
          <w:rFonts w:cs="Sylfaen"/>
          <w:lang w:val="hy-AM"/>
        </w:rPr>
        <w:t>շարունակականության</w:t>
      </w:r>
      <w:r>
        <w:rPr>
          <w:lang w:val="hy-AM"/>
        </w:rPr>
        <w:t xml:space="preserve"> </w:t>
      </w:r>
      <w:r>
        <w:rPr>
          <w:rFonts w:cs="Sylfaen"/>
          <w:lang w:val="hy-AM"/>
        </w:rPr>
        <w:t>ապահովումը</w:t>
      </w:r>
      <w:r>
        <w:rPr>
          <w:lang w:val="hy-AM"/>
        </w:rPr>
        <w:t xml:space="preserve">, </w:t>
      </w:r>
      <w:r>
        <w:rPr>
          <w:rFonts w:cs="Sylfaen"/>
          <w:lang w:val="hy-AM"/>
        </w:rPr>
        <w:t>կինոարվեստի</w:t>
      </w:r>
      <w:r>
        <w:rPr>
          <w:lang w:val="hy-AM"/>
        </w:rPr>
        <w:t xml:space="preserve"> </w:t>
      </w:r>
      <w:r>
        <w:rPr>
          <w:rFonts w:cs="Sylfaen"/>
          <w:lang w:val="hy-AM"/>
        </w:rPr>
        <w:t>հանրահռչակումը</w:t>
      </w:r>
      <w:r>
        <w:rPr>
          <w:lang w:val="hy-AM"/>
        </w:rPr>
        <w:t xml:space="preserve">: </w:t>
      </w:r>
    </w:p>
    <w:p w14:paraId="403211FC" w14:textId="77777777" w:rsidR="00DA0E15" w:rsidRDefault="00362131">
      <w:pPr>
        <w:spacing w:line="276" w:lineRule="auto"/>
        <w:ind w:firstLine="360"/>
        <w:rPr>
          <w:lang w:val="hy-AM"/>
        </w:rPr>
      </w:pPr>
      <w:r>
        <w:rPr>
          <w:lang w:val="hy-AM"/>
        </w:rPr>
        <w:t>Ծրագրի գծով 2022-2024 թվականներին նախատեսվում է հատկացնել, ըստ տարիների՝ 668</w:t>
      </w:r>
      <w:r>
        <w:rPr>
          <w:rFonts w:cs="Sylfaen"/>
          <w:lang w:val="af-ZA"/>
        </w:rPr>
        <w:t>.8</w:t>
      </w:r>
      <w:r>
        <w:rPr>
          <w:rFonts w:cs="Sylfaen"/>
          <w:lang w:val="hy-AM"/>
        </w:rPr>
        <w:t>; 714</w:t>
      </w:r>
      <w:r>
        <w:rPr>
          <w:rFonts w:cs="Sylfaen"/>
          <w:lang w:val="af-ZA"/>
        </w:rPr>
        <w:t>.1</w:t>
      </w:r>
      <w:r>
        <w:rPr>
          <w:rFonts w:cs="Sylfaen"/>
          <w:lang w:val="hy-AM"/>
        </w:rPr>
        <w:t xml:space="preserve"> և 714</w:t>
      </w:r>
      <w:r>
        <w:rPr>
          <w:rFonts w:cs="Sylfaen"/>
          <w:lang w:val="af-ZA"/>
        </w:rPr>
        <w:t>.1</w:t>
      </w:r>
      <w:r>
        <w:rPr>
          <w:rFonts w:cs="Sylfaen"/>
          <w:lang w:val="hy-AM"/>
        </w:rPr>
        <w:t xml:space="preserve"> մլն դրամ</w:t>
      </w:r>
      <w:r>
        <w:rPr>
          <w:lang w:val="af-ZA"/>
        </w:rPr>
        <w:t>:</w:t>
      </w:r>
    </w:p>
    <w:p w14:paraId="5BE8C60A" w14:textId="77777777" w:rsidR="00DA0E15" w:rsidRDefault="00362131">
      <w:pPr>
        <w:spacing w:line="276" w:lineRule="auto"/>
        <w:ind w:firstLine="0"/>
        <w:rPr>
          <w:rFonts w:cs="Sylfaen"/>
          <w:b/>
          <w:i/>
          <w:lang w:val="hy-AM"/>
        </w:rPr>
      </w:pPr>
      <w:r>
        <w:rPr>
          <w:rFonts w:cs="Sylfaen"/>
          <w:b/>
          <w:i/>
          <w:lang w:val="hy-AM"/>
        </w:rPr>
        <w:t xml:space="preserve">      2.Մշակութային</w:t>
      </w:r>
      <w:r>
        <w:rPr>
          <w:b/>
          <w:i/>
          <w:lang w:val="af-ZA"/>
        </w:rPr>
        <w:t xml:space="preserve"> </w:t>
      </w:r>
      <w:r>
        <w:rPr>
          <w:rFonts w:cs="Sylfaen"/>
          <w:b/>
          <w:i/>
          <w:lang w:val="hy-AM"/>
        </w:rPr>
        <w:t>ժառանգության</w:t>
      </w:r>
      <w:r>
        <w:rPr>
          <w:rFonts w:cs="Sylfaen"/>
          <w:b/>
          <w:i/>
          <w:lang w:val="af-ZA"/>
        </w:rPr>
        <w:t xml:space="preserve"> ծրագ</w:t>
      </w:r>
      <w:r>
        <w:rPr>
          <w:rFonts w:cs="Sylfaen"/>
          <w:b/>
          <w:i/>
          <w:lang w:val="hy-AM"/>
        </w:rPr>
        <w:t>իր</w:t>
      </w:r>
    </w:p>
    <w:p w14:paraId="0C025124" w14:textId="77777777" w:rsidR="00DA0E15" w:rsidRDefault="00362131">
      <w:pPr>
        <w:tabs>
          <w:tab w:val="left" w:pos="450"/>
        </w:tabs>
        <w:spacing w:line="276" w:lineRule="auto"/>
        <w:ind w:firstLine="0"/>
        <w:rPr>
          <w:rFonts w:cs="Sylfaen"/>
          <w:b/>
          <w:i/>
          <w:lang w:val="hy-AM"/>
        </w:rPr>
      </w:pPr>
      <w:r>
        <w:rPr>
          <w:rFonts w:cs="Sylfaen"/>
          <w:lang w:val="hy-AM"/>
        </w:rPr>
        <w:tab/>
        <w:t>Ծրագրի նպատակն է՝ մշակութային</w:t>
      </w:r>
      <w:r>
        <w:rPr>
          <w:lang w:val="hy-AM"/>
        </w:rPr>
        <w:t xml:space="preserve"> </w:t>
      </w:r>
      <w:r>
        <w:rPr>
          <w:rFonts w:cs="Sylfaen"/>
          <w:lang w:val="hy-AM"/>
        </w:rPr>
        <w:t>ժառանգության</w:t>
      </w:r>
      <w:r>
        <w:rPr>
          <w:lang w:val="hy-AM"/>
        </w:rPr>
        <w:t xml:space="preserve"> </w:t>
      </w:r>
      <w:r>
        <w:rPr>
          <w:rFonts w:cs="Sylfaen"/>
          <w:lang w:val="hy-AM"/>
        </w:rPr>
        <w:t>պետական</w:t>
      </w:r>
      <w:r>
        <w:rPr>
          <w:lang w:val="hy-AM"/>
        </w:rPr>
        <w:t xml:space="preserve"> </w:t>
      </w:r>
      <w:r>
        <w:rPr>
          <w:rFonts w:cs="Sylfaen"/>
          <w:lang w:val="hy-AM"/>
        </w:rPr>
        <w:t>հաշվառումը</w:t>
      </w:r>
      <w:r>
        <w:rPr>
          <w:lang w:val="hy-AM"/>
        </w:rPr>
        <w:t xml:space="preserve">, </w:t>
      </w:r>
      <w:r>
        <w:rPr>
          <w:rFonts w:cs="Sylfaen"/>
          <w:lang w:val="hy-AM"/>
        </w:rPr>
        <w:t>պահպանումը</w:t>
      </w:r>
      <w:r>
        <w:rPr>
          <w:lang w:val="hy-AM"/>
        </w:rPr>
        <w:t xml:space="preserve">, </w:t>
      </w:r>
      <w:r>
        <w:rPr>
          <w:rFonts w:cs="Sylfaen"/>
          <w:lang w:val="hy-AM"/>
        </w:rPr>
        <w:t>օգտագործումը</w:t>
      </w:r>
      <w:r>
        <w:rPr>
          <w:lang w:val="hy-AM"/>
        </w:rPr>
        <w:t xml:space="preserve"> </w:t>
      </w:r>
      <w:r>
        <w:rPr>
          <w:rFonts w:cs="Sylfaen"/>
          <w:lang w:val="hy-AM"/>
        </w:rPr>
        <w:t>և</w:t>
      </w:r>
      <w:r>
        <w:rPr>
          <w:lang w:val="hy-AM"/>
        </w:rPr>
        <w:t xml:space="preserve"> </w:t>
      </w:r>
      <w:r>
        <w:rPr>
          <w:rFonts w:cs="Sylfaen"/>
          <w:lang w:val="hy-AM"/>
        </w:rPr>
        <w:t>հանրահռչակումը</w:t>
      </w:r>
      <w:r>
        <w:rPr>
          <w:lang w:val="hy-AM"/>
        </w:rPr>
        <w:t>:</w:t>
      </w:r>
    </w:p>
    <w:p w14:paraId="4FEF8DF2" w14:textId="77777777" w:rsidR="00DA0E15" w:rsidRDefault="00362131">
      <w:pPr>
        <w:tabs>
          <w:tab w:val="left" w:pos="450"/>
        </w:tabs>
        <w:spacing w:line="276" w:lineRule="auto"/>
        <w:ind w:firstLine="0"/>
        <w:rPr>
          <w:rFonts w:cs="Sylfaen"/>
          <w:b/>
          <w:i/>
          <w:lang w:val="hy-AM"/>
        </w:rPr>
      </w:pPr>
      <w:r>
        <w:rPr>
          <w:rFonts w:cs="Sylfaen"/>
          <w:b/>
          <w:i/>
          <w:lang w:val="hy-AM"/>
        </w:rPr>
        <w:tab/>
      </w:r>
      <w:r>
        <w:rPr>
          <w:lang w:val="hy-AM"/>
        </w:rPr>
        <w:t xml:space="preserve">Ծրագրի գծով 2022-2024 թվականներին նախատեսվում է հատկացնել, ըստ տարիների՝ </w:t>
      </w:r>
      <w:r>
        <w:rPr>
          <w:rFonts w:cs="Sylfaen"/>
          <w:lang w:val="hy-AM"/>
        </w:rPr>
        <w:t>համապատասխանաբար՝ 2,979</w:t>
      </w:r>
      <w:r>
        <w:rPr>
          <w:rFonts w:cs="Sylfaen"/>
          <w:lang w:val="af-ZA"/>
        </w:rPr>
        <w:t>.</w:t>
      </w:r>
      <w:r>
        <w:rPr>
          <w:rFonts w:cs="Sylfaen"/>
          <w:lang w:val="hy-AM"/>
        </w:rPr>
        <w:t>5; 3,120</w:t>
      </w:r>
      <w:r>
        <w:rPr>
          <w:rFonts w:cs="Sylfaen"/>
          <w:lang w:val="af-ZA"/>
        </w:rPr>
        <w:t>.8</w:t>
      </w:r>
      <w:r>
        <w:rPr>
          <w:rFonts w:cs="Sylfaen"/>
          <w:lang w:val="hy-AM"/>
        </w:rPr>
        <w:t xml:space="preserve"> և 3,097</w:t>
      </w:r>
      <w:r>
        <w:rPr>
          <w:rFonts w:cs="Sylfaen"/>
          <w:lang w:val="af-ZA"/>
        </w:rPr>
        <w:t>.7</w:t>
      </w:r>
      <w:r>
        <w:rPr>
          <w:rFonts w:cs="Sylfaen"/>
          <w:lang w:val="hy-AM"/>
        </w:rPr>
        <w:t xml:space="preserve">  մլն դրամ</w:t>
      </w:r>
      <w:r>
        <w:rPr>
          <w:lang w:val="af-ZA"/>
        </w:rPr>
        <w:t>:</w:t>
      </w:r>
    </w:p>
    <w:p w14:paraId="34255BC6" w14:textId="77777777" w:rsidR="00DA0E15" w:rsidRDefault="00362131">
      <w:pPr>
        <w:spacing w:after="0" w:line="276" w:lineRule="auto"/>
        <w:ind w:firstLine="360"/>
        <w:rPr>
          <w:b/>
          <w:i/>
          <w:spacing w:val="-2"/>
          <w:lang w:val="af-ZA"/>
        </w:rPr>
      </w:pPr>
      <w:r>
        <w:rPr>
          <w:b/>
          <w:i/>
          <w:spacing w:val="-2"/>
          <w:lang w:val="hy-AM"/>
        </w:rPr>
        <w:t xml:space="preserve"> 3.</w:t>
      </w:r>
      <w:r>
        <w:rPr>
          <w:b/>
          <w:i/>
          <w:spacing w:val="-2"/>
          <w:lang w:val="fr-FR"/>
        </w:rPr>
        <w:t>Գրահրատարակչության և գրադարանների ծրագիր</w:t>
      </w:r>
    </w:p>
    <w:p w14:paraId="183E931F" w14:textId="77777777" w:rsidR="00DA0E15" w:rsidRDefault="00362131">
      <w:pPr>
        <w:tabs>
          <w:tab w:val="left" w:pos="360"/>
          <w:tab w:val="left" w:pos="630"/>
        </w:tabs>
        <w:spacing w:after="0" w:line="276" w:lineRule="auto"/>
        <w:ind w:firstLine="0"/>
        <w:rPr>
          <w:lang w:val="hy-AM"/>
        </w:rPr>
      </w:pPr>
      <w:r>
        <w:rPr>
          <w:lang w:val="af-ZA"/>
        </w:rPr>
        <w:tab/>
      </w:r>
      <w:r>
        <w:rPr>
          <w:lang w:val="hy-AM"/>
        </w:rPr>
        <w:t xml:space="preserve">  </w:t>
      </w:r>
      <w:r>
        <w:rPr>
          <w:rFonts w:cs="Sylfaen"/>
          <w:lang w:val="hy-AM"/>
        </w:rPr>
        <w:t>Ծրագրի նպատակն է՝</w:t>
      </w:r>
      <w:r>
        <w:rPr>
          <w:lang w:val="hy-AM"/>
        </w:rPr>
        <w:t xml:space="preserve"> գ</w:t>
      </w:r>
      <w:r>
        <w:rPr>
          <w:lang w:val="af-ZA"/>
        </w:rPr>
        <w:t>րական դաշտի բոլոր օղակների հավասարաչափ զարգաց</w:t>
      </w:r>
      <w:r>
        <w:rPr>
          <w:lang w:val="hy-AM"/>
        </w:rPr>
        <w:t>ումը</w:t>
      </w:r>
      <w:r>
        <w:rPr>
          <w:lang w:val="af-ZA"/>
        </w:rPr>
        <w:t>, գրական արտադրանքի միջոցով գրական-մշակութային ժառանգության պահպան</w:t>
      </w:r>
      <w:r>
        <w:rPr>
          <w:lang w:val="hy-AM"/>
        </w:rPr>
        <w:t>ումը</w:t>
      </w:r>
      <w:r>
        <w:rPr>
          <w:lang w:val="af-ZA"/>
        </w:rPr>
        <w:t>, զարգաց</w:t>
      </w:r>
      <w:r>
        <w:rPr>
          <w:lang w:val="hy-AM"/>
        </w:rPr>
        <w:t>ումը</w:t>
      </w:r>
      <w:r>
        <w:rPr>
          <w:lang w:val="af-ZA"/>
        </w:rPr>
        <w:t>, տարած</w:t>
      </w:r>
      <w:r>
        <w:rPr>
          <w:lang w:val="hy-AM"/>
        </w:rPr>
        <w:t>ումը</w:t>
      </w:r>
      <w:r>
        <w:rPr>
          <w:lang w:val="af-ZA"/>
        </w:rPr>
        <w:t xml:space="preserve"> և հա</w:t>
      </w:r>
      <w:r>
        <w:rPr>
          <w:lang w:val="hy-AM"/>
        </w:rPr>
        <w:t>նր</w:t>
      </w:r>
      <w:r>
        <w:rPr>
          <w:lang w:val="af-ZA"/>
        </w:rPr>
        <w:t>ահռչակ</w:t>
      </w:r>
      <w:r>
        <w:rPr>
          <w:lang w:val="hy-AM"/>
        </w:rPr>
        <w:t>ու</w:t>
      </w:r>
      <w:r>
        <w:rPr>
          <w:lang w:val="af-ZA"/>
        </w:rPr>
        <w:t>մ</w:t>
      </w:r>
      <w:r>
        <w:rPr>
          <w:lang w:val="hy-AM"/>
        </w:rPr>
        <w:t>ը</w:t>
      </w:r>
      <w:r>
        <w:rPr>
          <w:lang w:val="af-ZA"/>
        </w:rPr>
        <w:t>, քաղաքացիական հասարակության ձևավոր</w:t>
      </w:r>
      <w:r>
        <w:rPr>
          <w:lang w:val="hy-AM"/>
        </w:rPr>
        <w:t>ումը</w:t>
      </w:r>
      <w:r>
        <w:rPr>
          <w:lang w:val="af-ZA"/>
        </w:rPr>
        <w:t>, ստեղծագործական ներուժի վերարտադրման և զարգացման համար պայմանների ստեղծ</w:t>
      </w:r>
      <w:r>
        <w:rPr>
          <w:lang w:val="hy-AM"/>
        </w:rPr>
        <w:t>ումը</w:t>
      </w:r>
      <w:r>
        <w:rPr>
          <w:lang w:val="af-ZA"/>
        </w:rPr>
        <w:t>, միջազգային համագործակցության համար նպաստավոր պայմանների ստեղծ</w:t>
      </w:r>
      <w:r>
        <w:rPr>
          <w:lang w:val="hy-AM"/>
        </w:rPr>
        <w:t>ումը:</w:t>
      </w:r>
      <w:r>
        <w:rPr>
          <w:lang w:val="af-ZA"/>
        </w:rPr>
        <w:t xml:space="preserve"> </w:t>
      </w:r>
    </w:p>
    <w:p w14:paraId="339EDE16" w14:textId="77777777" w:rsidR="00DA0E15" w:rsidRDefault="00362131">
      <w:pPr>
        <w:tabs>
          <w:tab w:val="left" w:pos="360"/>
        </w:tabs>
        <w:spacing w:after="0" w:line="276" w:lineRule="auto"/>
        <w:ind w:firstLine="360"/>
        <w:rPr>
          <w:lang w:val="af-ZA"/>
        </w:rPr>
      </w:pPr>
      <w:r>
        <w:rPr>
          <w:lang w:val="hy-AM"/>
        </w:rPr>
        <w:t xml:space="preserve">Ծրագրի գծով 2022-2024 թվականներին նախատեսվում է հատկացնել, ըստ տարիների՝ </w:t>
      </w:r>
      <w:r>
        <w:rPr>
          <w:rFonts w:cs="Sylfaen"/>
          <w:lang w:val="hy-AM"/>
        </w:rPr>
        <w:t>1,671</w:t>
      </w:r>
      <w:r>
        <w:rPr>
          <w:rFonts w:cs="Sylfaen"/>
          <w:lang w:val="af-ZA"/>
        </w:rPr>
        <w:t>.2</w:t>
      </w:r>
      <w:r>
        <w:rPr>
          <w:rFonts w:cs="Sylfaen"/>
          <w:lang w:val="hy-AM"/>
        </w:rPr>
        <w:t>; 1,691</w:t>
      </w:r>
      <w:r>
        <w:rPr>
          <w:rFonts w:cs="Sylfaen"/>
          <w:lang w:val="af-ZA"/>
        </w:rPr>
        <w:t>.1</w:t>
      </w:r>
      <w:r>
        <w:rPr>
          <w:rFonts w:cs="Sylfaen"/>
          <w:lang w:val="hy-AM"/>
        </w:rPr>
        <w:t xml:space="preserve"> և 1,691</w:t>
      </w:r>
      <w:r>
        <w:rPr>
          <w:rFonts w:cs="Sylfaen"/>
          <w:lang w:val="af-ZA"/>
        </w:rPr>
        <w:t>.1</w:t>
      </w:r>
      <w:r>
        <w:rPr>
          <w:rFonts w:cs="Sylfaen"/>
          <w:lang w:val="hy-AM"/>
        </w:rPr>
        <w:t xml:space="preserve">  մլն դրամ</w:t>
      </w:r>
      <w:r>
        <w:rPr>
          <w:lang w:val="af-ZA"/>
        </w:rPr>
        <w:t>:</w:t>
      </w:r>
    </w:p>
    <w:p w14:paraId="70BAB2F4" w14:textId="77777777" w:rsidR="00DA0E15" w:rsidRDefault="00362131">
      <w:pPr>
        <w:spacing w:after="0" w:line="276" w:lineRule="auto"/>
        <w:ind w:firstLine="360"/>
        <w:rPr>
          <w:rFonts w:cs="Sylfaen"/>
          <w:b/>
          <w:i/>
          <w:lang w:val="af-ZA"/>
        </w:rPr>
      </w:pPr>
      <w:r>
        <w:rPr>
          <w:lang w:val="hy-AM"/>
        </w:rPr>
        <w:t xml:space="preserve"> </w:t>
      </w:r>
      <w:r>
        <w:rPr>
          <w:rFonts w:cs="Sylfaen"/>
          <w:b/>
          <w:i/>
          <w:lang w:val="af-ZA"/>
        </w:rPr>
        <w:t xml:space="preserve"> 4.  Արվեստների ծրագիր</w:t>
      </w:r>
    </w:p>
    <w:p w14:paraId="457026FD" w14:textId="77777777" w:rsidR="00DA0E15" w:rsidRDefault="00362131">
      <w:pPr>
        <w:tabs>
          <w:tab w:val="left" w:pos="270"/>
          <w:tab w:val="left" w:pos="450"/>
          <w:tab w:val="left" w:pos="540"/>
        </w:tabs>
        <w:ind w:firstLine="0"/>
        <w:rPr>
          <w:lang w:val="af-ZA"/>
        </w:rPr>
      </w:pPr>
      <w:r>
        <w:rPr>
          <w:lang w:val="af-ZA"/>
        </w:rPr>
        <w:tab/>
      </w:r>
      <w:r>
        <w:rPr>
          <w:lang w:val="hy-AM"/>
        </w:rPr>
        <w:t xml:space="preserve">   </w:t>
      </w:r>
      <w:r>
        <w:rPr>
          <w:rFonts w:cs="Sylfaen"/>
          <w:lang w:val="hy-AM"/>
        </w:rPr>
        <w:t>Ծրագրի նպատակն է՝</w:t>
      </w:r>
      <w:r>
        <w:rPr>
          <w:lang w:val="hy-AM"/>
        </w:rPr>
        <w:t xml:space="preserve"> </w:t>
      </w:r>
      <w:bookmarkStart w:id="571" w:name="RANGE!B23"/>
      <w:r>
        <w:rPr>
          <w:lang w:val="hy-AM"/>
        </w:rPr>
        <w:t>ն</w:t>
      </w:r>
      <w:r>
        <w:rPr>
          <w:rFonts w:cs="Sylfaen"/>
          <w:lang w:val="hy-AM"/>
        </w:rPr>
        <w:t>պաստել</w:t>
      </w:r>
      <w:r>
        <w:rPr>
          <w:lang w:val="af-ZA"/>
        </w:rPr>
        <w:t xml:space="preserve"> </w:t>
      </w:r>
      <w:r>
        <w:rPr>
          <w:rFonts w:cs="Sylfaen"/>
          <w:lang w:val="hy-AM"/>
        </w:rPr>
        <w:t>ազգային</w:t>
      </w:r>
      <w:r>
        <w:rPr>
          <w:lang w:val="af-ZA"/>
        </w:rPr>
        <w:t xml:space="preserve"> </w:t>
      </w:r>
      <w:r>
        <w:rPr>
          <w:rFonts w:cs="Sylfaen"/>
          <w:lang w:val="hy-AM"/>
        </w:rPr>
        <w:t>հենքի</w:t>
      </w:r>
      <w:r>
        <w:rPr>
          <w:lang w:val="af-ZA"/>
        </w:rPr>
        <w:t xml:space="preserve"> </w:t>
      </w:r>
      <w:r>
        <w:rPr>
          <w:rFonts w:cs="Sylfaen"/>
          <w:lang w:val="hy-AM"/>
        </w:rPr>
        <w:t>վրա</w:t>
      </w:r>
      <w:r>
        <w:rPr>
          <w:lang w:val="af-ZA"/>
        </w:rPr>
        <w:t xml:space="preserve"> </w:t>
      </w:r>
      <w:r>
        <w:rPr>
          <w:rFonts w:cs="Sylfaen"/>
          <w:lang w:val="hy-AM"/>
        </w:rPr>
        <w:t>ժամանակակից</w:t>
      </w:r>
      <w:r>
        <w:rPr>
          <w:lang w:val="af-ZA"/>
        </w:rPr>
        <w:t xml:space="preserve"> </w:t>
      </w:r>
      <w:r>
        <w:rPr>
          <w:rFonts w:cs="Sylfaen"/>
          <w:lang w:val="hy-AM"/>
        </w:rPr>
        <w:t>թատերարվեստի</w:t>
      </w:r>
      <w:r>
        <w:rPr>
          <w:lang w:val="af-ZA"/>
        </w:rPr>
        <w:t xml:space="preserve">, </w:t>
      </w:r>
      <w:r>
        <w:rPr>
          <w:rFonts w:cs="Sylfaen"/>
          <w:lang w:val="hy-AM"/>
        </w:rPr>
        <w:t>երաժշտարվեստի</w:t>
      </w:r>
      <w:r>
        <w:rPr>
          <w:lang w:val="af-ZA"/>
        </w:rPr>
        <w:t xml:space="preserve">, </w:t>
      </w:r>
      <w:r>
        <w:rPr>
          <w:rFonts w:cs="Sylfaen"/>
          <w:lang w:val="hy-AM"/>
        </w:rPr>
        <w:t>կերպարվեստի</w:t>
      </w:r>
      <w:r>
        <w:rPr>
          <w:lang w:val="af-ZA"/>
        </w:rPr>
        <w:t xml:space="preserve"> </w:t>
      </w:r>
      <w:r>
        <w:rPr>
          <w:rFonts w:cs="Sylfaen"/>
          <w:lang w:val="hy-AM"/>
        </w:rPr>
        <w:t>և</w:t>
      </w:r>
      <w:r>
        <w:rPr>
          <w:lang w:val="af-ZA"/>
        </w:rPr>
        <w:t xml:space="preserve"> </w:t>
      </w:r>
      <w:r>
        <w:rPr>
          <w:rFonts w:cs="Sylfaen"/>
          <w:lang w:val="hy-AM"/>
        </w:rPr>
        <w:t>պարարվեստի</w:t>
      </w:r>
      <w:r>
        <w:rPr>
          <w:lang w:val="af-ZA"/>
        </w:rPr>
        <w:t xml:space="preserve"> </w:t>
      </w:r>
      <w:r>
        <w:rPr>
          <w:rFonts w:cs="Sylfaen"/>
          <w:lang w:val="hy-AM"/>
        </w:rPr>
        <w:t>զարգացմանը</w:t>
      </w:r>
      <w:r>
        <w:rPr>
          <w:lang w:val="af-ZA"/>
        </w:rPr>
        <w:t xml:space="preserve"> </w:t>
      </w:r>
      <w:r>
        <w:rPr>
          <w:rFonts w:cs="Sylfaen"/>
          <w:lang w:val="hy-AM"/>
        </w:rPr>
        <w:t>և</w:t>
      </w:r>
      <w:r>
        <w:rPr>
          <w:lang w:val="af-ZA"/>
        </w:rPr>
        <w:t xml:space="preserve"> </w:t>
      </w:r>
      <w:r>
        <w:rPr>
          <w:rFonts w:cs="Sylfaen"/>
          <w:lang w:val="hy-AM"/>
        </w:rPr>
        <w:t>հանրահռչակմանը</w:t>
      </w:r>
      <w:r>
        <w:rPr>
          <w:lang w:val="hy-AM"/>
        </w:rPr>
        <w:t>:</w:t>
      </w:r>
    </w:p>
    <w:bookmarkEnd w:id="571"/>
    <w:p w14:paraId="7A94848F" w14:textId="77777777" w:rsidR="00DA0E15" w:rsidRDefault="00362131">
      <w:pPr>
        <w:tabs>
          <w:tab w:val="left" w:pos="360"/>
          <w:tab w:val="left" w:pos="720"/>
        </w:tabs>
        <w:spacing w:after="0" w:line="276" w:lineRule="auto"/>
        <w:ind w:firstLine="360"/>
        <w:rPr>
          <w:lang w:val="af-ZA"/>
        </w:rPr>
      </w:pPr>
      <w:r>
        <w:rPr>
          <w:lang w:val="hy-AM"/>
        </w:rPr>
        <w:t xml:space="preserve">  Ծրագրի գծով 2022-2024 թվականներին նախատեսվում է հատկացնել, ըստ տարիների՝ </w:t>
      </w:r>
      <w:r>
        <w:rPr>
          <w:rFonts w:cs="Sylfaen"/>
          <w:lang w:val="af-ZA"/>
        </w:rPr>
        <w:t>8</w:t>
      </w:r>
      <w:r>
        <w:rPr>
          <w:rFonts w:cs="Sylfaen"/>
          <w:lang w:val="hy-AM"/>
        </w:rPr>
        <w:t>,</w:t>
      </w:r>
      <w:r>
        <w:rPr>
          <w:rFonts w:cs="Sylfaen"/>
          <w:lang w:val="af-ZA"/>
        </w:rPr>
        <w:t>485.8</w:t>
      </w:r>
      <w:r>
        <w:rPr>
          <w:rFonts w:cs="Sylfaen"/>
          <w:lang w:val="hy-AM"/>
        </w:rPr>
        <w:t xml:space="preserve">; </w:t>
      </w:r>
      <w:r>
        <w:rPr>
          <w:rFonts w:cs="Sylfaen"/>
          <w:lang w:val="af-ZA"/>
        </w:rPr>
        <w:t>8</w:t>
      </w:r>
      <w:r>
        <w:rPr>
          <w:rFonts w:cs="Sylfaen"/>
          <w:lang w:val="hy-AM"/>
        </w:rPr>
        <w:t>,</w:t>
      </w:r>
      <w:r>
        <w:rPr>
          <w:rFonts w:cs="Sylfaen"/>
          <w:lang w:val="af-ZA"/>
        </w:rPr>
        <w:t>695.4</w:t>
      </w:r>
      <w:r>
        <w:rPr>
          <w:rFonts w:cs="Sylfaen"/>
          <w:lang w:val="hy-AM"/>
        </w:rPr>
        <w:t xml:space="preserve"> և </w:t>
      </w:r>
      <w:r>
        <w:rPr>
          <w:rFonts w:cs="Sylfaen"/>
          <w:lang w:val="af-ZA"/>
        </w:rPr>
        <w:t>8</w:t>
      </w:r>
      <w:r>
        <w:rPr>
          <w:rFonts w:cs="Sylfaen"/>
          <w:lang w:val="hy-AM"/>
        </w:rPr>
        <w:t>,</w:t>
      </w:r>
      <w:r>
        <w:rPr>
          <w:rFonts w:cs="Sylfaen"/>
          <w:lang w:val="af-ZA"/>
        </w:rPr>
        <w:t>695.4</w:t>
      </w:r>
      <w:r>
        <w:rPr>
          <w:rFonts w:cs="Sylfaen"/>
          <w:lang w:val="hy-AM"/>
        </w:rPr>
        <w:t xml:space="preserve"> մլն դրամ</w:t>
      </w:r>
      <w:r>
        <w:rPr>
          <w:lang w:val="af-ZA"/>
        </w:rPr>
        <w:t>:</w:t>
      </w:r>
    </w:p>
    <w:p w14:paraId="2EAE5B2F" w14:textId="77777777" w:rsidR="00DA0E15" w:rsidRDefault="00362131">
      <w:pPr>
        <w:spacing w:after="0" w:line="276" w:lineRule="auto"/>
        <w:ind w:firstLine="360"/>
        <w:rPr>
          <w:rFonts w:cs="Sylfaen"/>
          <w:b/>
          <w:i/>
          <w:lang w:val="af-ZA"/>
        </w:rPr>
      </w:pPr>
      <w:r>
        <w:rPr>
          <w:lang w:val="hy-AM"/>
        </w:rPr>
        <w:t xml:space="preserve">  </w:t>
      </w:r>
      <w:r>
        <w:rPr>
          <w:rFonts w:cs="Sylfaen"/>
          <w:b/>
          <w:i/>
          <w:lang w:val="hy-AM"/>
        </w:rPr>
        <w:t xml:space="preserve"> 5. Մարզերի</w:t>
      </w:r>
      <w:r>
        <w:rPr>
          <w:rFonts w:cs="Sylfaen"/>
          <w:b/>
          <w:i/>
          <w:lang w:val="af-ZA"/>
        </w:rPr>
        <w:t xml:space="preserve"> </w:t>
      </w:r>
      <w:r>
        <w:rPr>
          <w:rFonts w:cs="Sylfaen"/>
          <w:b/>
          <w:i/>
          <w:lang w:val="hy-AM"/>
        </w:rPr>
        <w:t>մշակութային</w:t>
      </w:r>
      <w:r>
        <w:rPr>
          <w:rFonts w:cs="Sylfaen"/>
          <w:b/>
          <w:i/>
          <w:lang w:val="af-ZA"/>
        </w:rPr>
        <w:t xml:space="preserve"> զարգացման ծրագիր</w:t>
      </w:r>
    </w:p>
    <w:p w14:paraId="71ECF004" w14:textId="77777777" w:rsidR="00DA0E15" w:rsidRDefault="00362131">
      <w:pPr>
        <w:spacing w:after="0" w:line="276" w:lineRule="auto"/>
        <w:ind w:firstLine="720"/>
        <w:rPr>
          <w:lang w:val="af-ZA"/>
        </w:rPr>
      </w:pPr>
      <w:r>
        <w:rPr>
          <w:rFonts w:cs="Sylfaen"/>
          <w:lang w:val="hy-AM"/>
        </w:rPr>
        <w:t>Ծրագրի նպատակն է՝</w:t>
      </w:r>
      <w:r>
        <w:rPr>
          <w:lang w:val="hy-AM"/>
        </w:rPr>
        <w:t xml:space="preserve"> մ</w:t>
      </w:r>
      <w:r>
        <w:rPr>
          <w:rFonts w:cs="Sylfaen"/>
          <w:lang w:val="hy-AM"/>
        </w:rPr>
        <w:t>արզերում</w:t>
      </w:r>
      <w:r>
        <w:rPr>
          <w:lang w:val="af-ZA"/>
        </w:rPr>
        <w:t xml:space="preserve"> </w:t>
      </w:r>
      <w:r>
        <w:rPr>
          <w:rFonts w:cs="Sylfaen"/>
          <w:lang w:val="hy-AM"/>
        </w:rPr>
        <w:t>մշակութային</w:t>
      </w:r>
      <w:r>
        <w:rPr>
          <w:lang w:val="af-ZA"/>
        </w:rPr>
        <w:t xml:space="preserve"> </w:t>
      </w:r>
      <w:r>
        <w:rPr>
          <w:rFonts w:cs="Sylfaen"/>
          <w:lang w:val="hy-AM"/>
        </w:rPr>
        <w:t>կյանքի</w:t>
      </w:r>
      <w:r>
        <w:rPr>
          <w:lang w:val="af-ZA"/>
        </w:rPr>
        <w:t xml:space="preserve"> </w:t>
      </w:r>
      <w:r>
        <w:rPr>
          <w:rFonts w:cs="Sylfaen"/>
          <w:lang w:val="hy-AM"/>
        </w:rPr>
        <w:t>և</w:t>
      </w:r>
      <w:r>
        <w:rPr>
          <w:lang w:val="af-ZA"/>
        </w:rPr>
        <w:t xml:space="preserve"> </w:t>
      </w:r>
      <w:r>
        <w:rPr>
          <w:rFonts w:cs="Sylfaen"/>
          <w:lang w:val="hy-AM"/>
        </w:rPr>
        <w:t>մշակութաստեղծ</w:t>
      </w:r>
      <w:r>
        <w:rPr>
          <w:lang w:val="af-ZA"/>
        </w:rPr>
        <w:t xml:space="preserve"> </w:t>
      </w:r>
      <w:r>
        <w:rPr>
          <w:rFonts w:cs="Sylfaen"/>
          <w:lang w:val="hy-AM"/>
        </w:rPr>
        <w:t>գործունեության</w:t>
      </w:r>
      <w:r>
        <w:rPr>
          <w:lang w:val="af-ZA"/>
        </w:rPr>
        <w:t xml:space="preserve"> </w:t>
      </w:r>
      <w:r>
        <w:rPr>
          <w:rFonts w:cs="Sylfaen"/>
          <w:lang w:val="hy-AM"/>
        </w:rPr>
        <w:t>ակտիվացումը</w:t>
      </w:r>
      <w:r>
        <w:rPr>
          <w:lang w:val="hy-AM"/>
        </w:rPr>
        <w:t>:</w:t>
      </w:r>
    </w:p>
    <w:p w14:paraId="29C0B068" w14:textId="77777777" w:rsidR="00DA0E15" w:rsidRDefault="00362131">
      <w:pPr>
        <w:spacing w:after="0" w:line="276" w:lineRule="auto"/>
        <w:ind w:firstLine="360"/>
        <w:rPr>
          <w:lang w:val="af-ZA"/>
        </w:rPr>
      </w:pPr>
      <w:r>
        <w:rPr>
          <w:b/>
          <w:i/>
          <w:lang w:val="hy-AM"/>
        </w:rPr>
        <w:t xml:space="preserve">   </w:t>
      </w:r>
      <w:r>
        <w:rPr>
          <w:lang w:val="hy-AM"/>
        </w:rPr>
        <w:t xml:space="preserve">Ծրագրի գծով 2022-2024 թվականներին նախատեսվում է հատկացնել, յուրաքանչյուր տարի՝ </w:t>
      </w:r>
      <w:r>
        <w:rPr>
          <w:rFonts w:cs="Sylfaen"/>
          <w:lang w:val="af-ZA"/>
        </w:rPr>
        <w:t>79.8</w:t>
      </w:r>
      <w:r>
        <w:rPr>
          <w:rFonts w:cs="Sylfaen"/>
          <w:lang w:val="hy-AM"/>
        </w:rPr>
        <w:t xml:space="preserve"> մլն դրամ</w:t>
      </w:r>
      <w:r>
        <w:rPr>
          <w:lang w:val="af-ZA"/>
        </w:rPr>
        <w:t>:</w:t>
      </w:r>
    </w:p>
    <w:p w14:paraId="603C4F6F" w14:textId="77777777" w:rsidR="00DA0E15" w:rsidRDefault="00362131">
      <w:pPr>
        <w:tabs>
          <w:tab w:val="left" w:pos="540"/>
        </w:tabs>
        <w:spacing w:line="276" w:lineRule="auto"/>
        <w:rPr>
          <w:b/>
          <w:i/>
          <w:lang w:val="af-ZA"/>
        </w:rPr>
      </w:pPr>
      <w:r>
        <w:rPr>
          <w:rFonts w:cs="Sylfaen"/>
          <w:b/>
          <w:i/>
          <w:lang w:val="hy-AM"/>
        </w:rPr>
        <w:t xml:space="preserve">6. </w:t>
      </w:r>
      <w:r>
        <w:rPr>
          <w:b/>
          <w:i/>
          <w:lang w:val="af-ZA"/>
        </w:rPr>
        <w:t>Մշակութային և գեղագիտական դաստիարակության ծրագիր</w:t>
      </w:r>
    </w:p>
    <w:p w14:paraId="04C0445F" w14:textId="77777777" w:rsidR="00DA0E15" w:rsidRDefault="00362131">
      <w:pPr>
        <w:tabs>
          <w:tab w:val="left" w:pos="720"/>
        </w:tabs>
        <w:spacing w:line="276" w:lineRule="auto"/>
        <w:rPr>
          <w:rFonts w:cs="GHEA Grapalat"/>
          <w:lang w:val="af-ZA"/>
        </w:rPr>
      </w:pPr>
      <w:r>
        <w:rPr>
          <w:rFonts w:cs="Sylfaen"/>
          <w:lang w:val="hy-AM"/>
        </w:rPr>
        <w:t>Ծրագրի նպատակն է՝</w:t>
      </w:r>
      <w:r>
        <w:rPr>
          <w:lang w:val="hy-AM"/>
        </w:rPr>
        <w:t xml:space="preserve"> </w:t>
      </w:r>
      <w:r>
        <w:rPr>
          <w:rFonts w:cs="GHEA Grapalat"/>
          <w:lang w:val="hy-AM"/>
        </w:rPr>
        <w:t>ե</w:t>
      </w:r>
      <w:r>
        <w:rPr>
          <w:rFonts w:cs="GHEA Grapalat"/>
          <w:lang w:val="af-ZA"/>
        </w:rPr>
        <w:t>րեխաների հոգևոր և գեղագիտական ընդունակությունների</w:t>
      </w:r>
    </w:p>
    <w:p w14:paraId="5F0BAB54" w14:textId="77777777" w:rsidR="00DA0E15" w:rsidRDefault="00362131">
      <w:pPr>
        <w:pStyle w:val="ListParagraph"/>
        <w:spacing w:line="276" w:lineRule="auto"/>
        <w:ind w:left="90"/>
        <w:rPr>
          <w:b/>
          <w:i/>
          <w:lang w:val="af-ZA"/>
        </w:rPr>
      </w:pPr>
      <w:r>
        <w:rPr>
          <w:rFonts w:cs="GHEA Grapalat"/>
          <w:lang w:val="af-ZA"/>
        </w:rPr>
        <w:t>բացահայտ</w:t>
      </w:r>
      <w:r>
        <w:rPr>
          <w:rFonts w:cs="GHEA Grapalat"/>
          <w:lang w:val="hy-AM"/>
        </w:rPr>
        <w:t>ումը</w:t>
      </w:r>
      <w:r>
        <w:rPr>
          <w:rFonts w:cs="GHEA Grapalat"/>
          <w:lang w:val="af-ZA"/>
        </w:rPr>
        <w:t xml:space="preserve"> և զարգաց</w:t>
      </w:r>
      <w:r>
        <w:rPr>
          <w:rFonts w:cs="GHEA Grapalat"/>
          <w:lang w:val="hy-AM"/>
        </w:rPr>
        <w:t>ումը:</w:t>
      </w:r>
    </w:p>
    <w:p w14:paraId="5DB8A5E8" w14:textId="77777777" w:rsidR="00DA0E15" w:rsidRDefault="00362131">
      <w:pPr>
        <w:tabs>
          <w:tab w:val="left" w:pos="360"/>
        </w:tabs>
        <w:spacing w:after="0" w:line="276" w:lineRule="auto"/>
        <w:ind w:firstLine="360"/>
        <w:rPr>
          <w:lang w:val="af-ZA"/>
        </w:rPr>
      </w:pPr>
      <w:r>
        <w:rPr>
          <w:lang w:val="hy-AM"/>
        </w:rPr>
        <w:t xml:space="preserve">   Ծրագրի գծով 2022-2024 թվականներին նախատեսվում է հատկացնել, ըստ տարիների՝ </w:t>
      </w:r>
      <w:r>
        <w:rPr>
          <w:lang w:val="af-ZA"/>
        </w:rPr>
        <w:t>570</w:t>
      </w:r>
      <w:r>
        <w:rPr>
          <w:rFonts w:cs="Sylfaen"/>
          <w:lang w:val="af-ZA"/>
        </w:rPr>
        <w:t>.4</w:t>
      </w:r>
      <w:r>
        <w:rPr>
          <w:rFonts w:cs="Sylfaen"/>
          <w:lang w:val="hy-AM"/>
        </w:rPr>
        <w:t>; 6</w:t>
      </w:r>
      <w:r>
        <w:rPr>
          <w:rFonts w:cs="Sylfaen"/>
          <w:lang w:val="af-ZA"/>
        </w:rPr>
        <w:t>08.1</w:t>
      </w:r>
      <w:r>
        <w:rPr>
          <w:rFonts w:cs="Sylfaen"/>
          <w:lang w:val="hy-AM"/>
        </w:rPr>
        <w:t xml:space="preserve"> և </w:t>
      </w:r>
      <w:r>
        <w:rPr>
          <w:rFonts w:cs="Sylfaen"/>
          <w:lang w:val="af-ZA"/>
        </w:rPr>
        <w:t>608.1</w:t>
      </w:r>
      <w:r>
        <w:rPr>
          <w:rFonts w:cs="Sylfaen"/>
          <w:lang w:val="hy-AM"/>
        </w:rPr>
        <w:t xml:space="preserve"> մլն դրամ</w:t>
      </w:r>
      <w:r>
        <w:rPr>
          <w:lang w:val="af-ZA"/>
        </w:rPr>
        <w:t>:</w:t>
      </w:r>
    </w:p>
    <w:p w14:paraId="0FC1A0CE" w14:textId="77777777" w:rsidR="00DA0E15" w:rsidRDefault="00362131">
      <w:pPr>
        <w:spacing w:line="276" w:lineRule="auto"/>
        <w:rPr>
          <w:b/>
          <w:i/>
          <w:lang w:val="pt-BR"/>
        </w:rPr>
      </w:pPr>
      <w:r>
        <w:rPr>
          <w:rFonts w:cs="Sylfaen"/>
          <w:b/>
          <w:i/>
          <w:lang w:val="hy-AM"/>
        </w:rPr>
        <w:t>7</w:t>
      </w:r>
      <w:r>
        <w:rPr>
          <w:rFonts w:cs="Sylfaen"/>
          <w:b/>
          <w:i/>
          <w:lang w:val="af-ZA"/>
        </w:rPr>
        <w:t>. Ազգային արխիվի ծրագիր</w:t>
      </w:r>
    </w:p>
    <w:p w14:paraId="1242CB6A" w14:textId="77777777" w:rsidR="00DA0E15" w:rsidRDefault="00362131">
      <w:pPr>
        <w:tabs>
          <w:tab w:val="left" w:pos="360"/>
          <w:tab w:val="left" w:pos="540"/>
        </w:tabs>
        <w:ind w:firstLine="0"/>
        <w:rPr>
          <w:lang w:val="hy-AM"/>
        </w:rPr>
      </w:pPr>
      <w:r>
        <w:rPr>
          <w:lang w:val="pt-BR"/>
        </w:rPr>
        <w:tab/>
      </w:r>
      <w:r>
        <w:rPr>
          <w:lang w:val="hy-AM"/>
        </w:rPr>
        <w:t xml:space="preserve">   </w:t>
      </w:r>
      <w:r>
        <w:rPr>
          <w:rFonts w:cs="Sylfaen"/>
          <w:lang w:val="hy-AM"/>
        </w:rPr>
        <w:t>Ծրագրի նպատակն է՝</w:t>
      </w:r>
      <w:r>
        <w:rPr>
          <w:lang w:val="hy-AM"/>
        </w:rPr>
        <w:t xml:space="preserve"> </w:t>
      </w:r>
      <w:r>
        <w:rPr>
          <w:rFonts w:cs="Sylfaen"/>
          <w:lang w:val="hy-AM"/>
        </w:rPr>
        <w:t>ՀՀ</w:t>
      </w:r>
      <w:r>
        <w:rPr>
          <w:lang w:val="pt-BR"/>
        </w:rPr>
        <w:t xml:space="preserve"> </w:t>
      </w:r>
      <w:r>
        <w:rPr>
          <w:rFonts w:cs="Sylfaen"/>
          <w:lang w:val="hy-AM"/>
        </w:rPr>
        <w:t>ազգային</w:t>
      </w:r>
      <w:r>
        <w:rPr>
          <w:lang w:val="pt-BR"/>
        </w:rPr>
        <w:t xml:space="preserve"> </w:t>
      </w:r>
      <w:r>
        <w:rPr>
          <w:rFonts w:cs="Sylfaen"/>
          <w:lang w:val="hy-AM"/>
        </w:rPr>
        <w:t>արխիվային</w:t>
      </w:r>
      <w:r>
        <w:rPr>
          <w:lang w:val="pt-BR"/>
        </w:rPr>
        <w:t xml:space="preserve"> </w:t>
      </w:r>
      <w:r>
        <w:rPr>
          <w:rFonts w:cs="Sylfaen"/>
          <w:lang w:val="hy-AM"/>
        </w:rPr>
        <w:t>հավաքածուի</w:t>
      </w:r>
      <w:r>
        <w:rPr>
          <w:lang w:val="pt-BR"/>
        </w:rPr>
        <w:t xml:space="preserve"> </w:t>
      </w:r>
      <w:r>
        <w:rPr>
          <w:rFonts w:cs="Sylfaen"/>
          <w:lang w:val="hy-AM"/>
        </w:rPr>
        <w:t>պահպանության</w:t>
      </w:r>
      <w:r>
        <w:rPr>
          <w:lang w:val="pt-BR"/>
        </w:rPr>
        <w:t xml:space="preserve">, </w:t>
      </w:r>
      <w:r>
        <w:rPr>
          <w:rFonts w:cs="Sylfaen"/>
          <w:lang w:val="hy-AM"/>
        </w:rPr>
        <w:t>համալրման</w:t>
      </w:r>
      <w:r>
        <w:rPr>
          <w:lang w:val="pt-BR"/>
        </w:rPr>
        <w:t xml:space="preserve">, </w:t>
      </w:r>
      <w:r>
        <w:rPr>
          <w:rFonts w:cs="Sylfaen"/>
          <w:lang w:val="hy-AM"/>
        </w:rPr>
        <w:t>հաշվառման</w:t>
      </w:r>
      <w:r>
        <w:rPr>
          <w:lang w:val="pt-BR"/>
        </w:rPr>
        <w:t xml:space="preserve"> </w:t>
      </w:r>
      <w:r>
        <w:rPr>
          <w:rFonts w:cs="Sylfaen"/>
          <w:lang w:val="hy-AM"/>
        </w:rPr>
        <w:t>և</w:t>
      </w:r>
      <w:r>
        <w:rPr>
          <w:lang w:val="pt-BR"/>
        </w:rPr>
        <w:t xml:space="preserve"> </w:t>
      </w:r>
      <w:r>
        <w:rPr>
          <w:rFonts w:cs="Sylfaen"/>
          <w:lang w:val="hy-AM"/>
        </w:rPr>
        <w:t>օգտագործման</w:t>
      </w:r>
      <w:r>
        <w:rPr>
          <w:lang w:val="pt-BR"/>
        </w:rPr>
        <w:t xml:space="preserve"> </w:t>
      </w:r>
      <w:r>
        <w:rPr>
          <w:rFonts w:cs="Sylfaen"/>
          <w:lang w:val="hy-AM"/>
        </w:rPr>
        <w:t>ապահովումը</w:t>
      </w:r>
      <w:r>
        <w:rPr>
          <w:lang w:val="af-ZA"/>
        </w:rPr>
        <w:t>:</w:t>
      </w:r>
    </w:p>
    <w:p w14:paraId="27826D69" w14:textId="77777777" w:rsidR="00DA0E15" w:rsidRDefault="00362131">
      <w:pPr>
        <w:spacing w:after="0" w:line="276" w:lineRule="auto"/>
        <w:ind w:firstLine="360"/>
        <w:rPr>
          <w:lang w:val="af-ZA"/>
        </w:rPr>
      </w:pPr>
      <w:r>
        <w:rPr>
          <w:lang w:val="hy-AM"/>
        </w:rPr>
        <w:t xml:space="preserve">   Ծրագրի գծով 2022-2024 թվականներին նախատեսվում է հատկացնել, յուրաքանչյուր տարի՝ </w:t>
      </w:r>
      <w:r>
        <w:rPr>
          <w:rFonts w:cs="Sylfaen"/>
          <w:lang w:val="hy-AM"/>
        </w:rPr>
        <w:t xml:space="preserve"> 590.2 մլն դրամ</w:t>
      </w:r>
      <w:r>
        <w:rPr>
          <w:lang w:val="af-ZA"/>
        </w:rPr>
        <w:t>:</w:t>
      </w:r>
    </w:p>
    <w:p w14:paraId="51AC2F0F" w14:textId="77777777" w:rsidR="00DA0E15" w:rsidRDefault="00DA0E15">
      <w:pPr>
        <w:tabs>
          <w:tab w:val="left" w:pos="851"/>
          <w:tab w:val="left" w:pos="993"/>
        </w:tabs>
        <w:spacing w:line="276" w:lineRule="auto"/>
        <w:rPr>
          <w:lang w:val="hy-AM"/>
        </w:rPr>
      </w:pPr>
    </w:p>
    <w:p w14:paraId="55962B17" w14:textId="77777777" w:rsidR="00DA0E15" w:rsidRDefault="00362131">
      <w:pPr>
        <w:tabs>
          <w:tab w:val="left" w:pos="851"/>
          <w:tab w:val="left" w:pos="993"/>
        </w:tabs>
        <w:spacing w:line="276" w:lineRule="auto"/>
        <w:rPr>
          <w:rFonts w:cs="GHEA Grapalat"/>
          <w:b/>
          <w:lang w:val="hy-AM"/>
        </w:rPr>
      </w:pPr>
      <w:r>
        <w:rPr>
          <w:rFonts w:cs="GHEA Grapalat"/>
          <w:b/>
          <w:lang w:val="hy-AM"/>
        </w:rPr>
        <w:t>Սպորտի և երիտասարդության ոլորտ</w:t>
      </w:r>
    </w:p>
    <w:p w14:paraId="7CFFE69F" w14:textId="77777777" w:rsidR="00DA0E15" w:rsidRDefault="00362131">
      <w:pPr>
        <w:pStyle w:val="ListParagraph"/>
        <w:tabs>
          <w:tab w:val="left" w:pos="180"/>
          <w:tab w:val="left" w:pos="450"/>
        </w:tabs>
        <w:ind w:left="-90"/>
        <w:rPr>
          <w:color w:val="000000"/>
          <w:shd w:val="clear" w:color="auto" w:fill="FFFFFF"/>
          <w:lang w:val="af-ZA"/>
        </w:rPr>
      </w:pPr>
      <w:r>
        <w:rPr>
          <w:color w:val="000000"/>
          <w:shd w:val="clear" w:color="auto" w:fill="FFFFFF"/>
          <w:lang w:val="af-ZA"/>
        </w:rPr>
        <w:t xml:space="preserve">     </w:t>
      </w:r>
      <w:r>
        <w:rPr>
          <w:color w:val="000000"/>
          <w:shd w:val="clear" w:color="auto" w:fill="FFFFFF"/>
          <w:lang w:val="hy-AM"/>
        </w:rPr>
        <w:t xml:space="preserve">  </w:t>
      </w:r>
      <w:r>
        <w:rPr>
          <w:color w:val="000000"/>
          <w:shd w:val="clear" w:color="auto" w:fill="FFFFFF"/>
          <w:lang w:val="af-ZA"/>
        </w:rPr>
        <w:t xml:space="preserve">Համաձայն ՀՀ կառավարության 2019 թվականի փետրվարի 8-ի N 65-Ա որոշման 4.6-րդ և 4.7-րդ կետերի՝ ՀՀ կառավարությունը նպատակ ունի՝ </w:t>
      </w:r>
    </w:p>
    <w:p w14:paraId="003F56BB" w14:textId="77777777" w:rsidR="00DA0E15" w:rsidRDefault="00362131" w:rsidP="00C0628C">
      <w:pPr>
        <w:pStyle w:val="ListParagraph"/>
        <w:numPr>
          <w:ilvl w:val="0"/>
          <w:numId w:val="21"/>
        </w:numPr>
        <w:tabs>
          <w:tab w:val="left" w:pos="0"/>
          <w:tab w:val="left" w:pos="270"/>
          <w:tab w:val="left" w:pos="450"/>
        </w:tabs>
        <w:spacing w:line="276" w:lineRule="auto"/>
        <w:rPr>
          <w:color w:val="000000"/>
          <w:shd w:val="clear" w:color="auto" w:fill="FFFFFF"/>
          <w:lang w:val="af-ZA"/>
        </w:rPr>
      </w:pPr>
      <w:r>
        <w:rPr>
          <w:b/>
          <w:color w:val="000000"/>
          <w:shd w:val="clear" w:color="auto" w:fill="FFFFFF"/>
          <w:lang w:val="af-ZA"/>
        </w:rPr>
        <w:t>Սպորտի ոլորտում</w:t>
      </w:r>
      <w:r>
        <w:rPr>
          <w:color w:val="000000"/>
          <w:shd w:val="clear" w:color="auto" w:fill="FFFFFF"/>
          <w:lang w:val="af-ZA"/>
        </w:rPr>
        <w:t>՝ ապահովել մանկապատանեկան սպորտի զարգացումը՝ Հայաստանի ազգային օլիմպիական կոմիտեի, մարզաձևերի ֆեդերացիաների, մարզական հասարակական կազմակերպությունների հետ համագործակցությամբ,</w:t>
      </w:r>
    </w:p>
    <w:p w14:paraId="18EEE5E1" w14:textId="77777777" w:rsidR="00DA0E15" w:rsidRDefault="00362131" w:rsidP="00C0628C">
      <w:pPr>
        <w:pStyle w:val="ListParagraph"/>
        <w:numPr>
          <w:ilvl w:val="0"/>
          <w:numId w:val="21"/>
        </w:numPr>
        <w:tabs>
          <w:tab w:val="left" w:pos="0"/>
          <w:tab w:val="left" w:pos="270"/>
          <w:tab w:val="left" w:pos="450"/>
        </w:tabs>
        <w:spacing w:line="276" w:lineRule="auto"/>
        <w:rPr>
          <w:color w:val="000000"/>
          <w:shd w:val="clear" w:color="auto" w:fill="FFFFFF"/>
          <w:lang w:val="af-ZA"/>
        </w:rPr>
      </w:pPr>
      <w:r>
        <w:rPr>
          <w:b/>
          <w:color w:val="000000"/>
          <w:shd w:val="clear" w:color="auto" w:fill="FFFFFF"/>
          <w:lang w:val="af-ZA"/>
        </w:rPr>
        <w:t>Երիտասարդության ոլորտում</w:t>
      </w:r>
      <w:r>
        <w:rPr>
          <w:color w:val="000000"/>
          <w:shd w:val="clear" w:color="auto" w:fill="FFFFFF"/>
          <w:lang w:val="af-ZA"/>
        </w:rPr>
        <w:t>՝ բարձրացնել երիտասարդների հասարակական, քաղաքական, քաղաքացիական, սոցիալ-տնտեսական և մշակութային մասնակցության մակարդակը, ինչպես նաև մշակել երիտասարդության զբաղվածության և սոցիալ-տնտեսական հիմնախնդիրների լուծման համար անհրաժեշտ մեխանիզմներ</w:t>
      </w:r>
      <w:r>
        <w:rPr>
          <w:lang w:val="hy-AM"/>
        </w:rPr>
        <w:t>:</w:t>
      </w:r>
    </w:p>
    <w:p w14:paraId="1FF5A715" w14:textId="77777777" w:rsidR="00DA0E15" w:rsidRDefault="00362131">
      <w:pPr>
        <w:shd w:val="clear" w:color="auto" w:fill="FFFFFF"/>
        <w:tabs>
          <w:tab w:val="left" w:pos="360"/>
          <w:tab w:val="left" w:pos="450"/>
          <w:tab w:val="left" w:pos="630"/>
        </w:tabs>
        <w:spacing w:after="0" w:line="276" w:lineRule="auto"/>
        <w:ind w:firstLine="375"/>
        <w:rPr>
          <w:rFonts w:cs="Sylfaen"/>
          <w:kern w:val="16"/>
          <w:lang w:val="hy-AM"/>
        </w:rPr>
      </w:pPr>
      <w:r>
        <w:rPr>
          <w:rFonts w:cs="Sylfaen"/>
          <w:kern w:val="16"/>
          <w:lang w:val="hy-AM"/>
        </w:rPr>
        <w:t xml:space="preserve">  Միաժամանակ, երիտասարդության ոլորտում Կառավարության ծրագիրը նախատեսում է ներառական երիտասարդական քաղաքականության միջոցով ստեղծել այնպիսի միջավայր, որտեղ երիտասարդները կկարողանան լիարժեք ինքնադրսևորվել և կառուցել սեփական ապագան</w:t>
      </w:r>
      <w:r>
        <w:rPr>
          <w:lang w:val="hy-AM"/>
        </w:rPr>
        <w:t>:</w:t>
      </w:r>
      <w:r>
        <w:rPr>
          <w:rFonts w:cs="Sylfaen"/>
          <w:kern w:val="16"/>
          <w:lang w:val="hy-AM"/>
        </w:rPr>
        <w:t xml:space="preserve"> </w:t>
      </w:r>
    </w:p>
    <w:p w14:paraId="2E179745" w14:textId="77777777" w:rsidR="00DA0E15" w:rsidRDefault="00362131">
      <w:pPr>
        <w:shd w:val="clear" w:color="auto" w:fill="FFFFFF"/>
        <w:spacing w:line="276" w:lineRule="auto"/>
        <w:ind w:firstLine="375"/>
        <w:rPr>
          <w:shd w:val="clear" w:color="auto" w:fill="FFFFFF"/>
          <w:lang w:val="hy-AM"/>
        </w:rPr>
      </w:pPr>
      <w:r>
        <w:rPr>
          <w:rFonts w:cs="Calibri"/>
          <w:kern w:val="16"/>
          <w:lang w:val="hy-AM"/>
        </w:rPr>
        <w:t>    </w:t>
      </w:r>
      <w:r>
        <w:rPr>
          <w:shd w:val="clear" w:color="auto" w:fill="FFFFFF"/>
          <w:lang w:val="hy-AM"/>
        </w:rPr>
        <w:t xml:space="preserve">Սպորտի և երիտասարդության ոլորտի հիմնական թիրախներն են. </w:t>
      </w:r>
    </w:p>
    <w:p w14:paraId="5A12F86C" w14:textId="77777777" w:rsidR="00DA0E15" w:rsidRDefault="00362131" w:rsidP="00C0628C">
      <w:pPr>
        <w:pStyle w:val="ListParagraph"/>
        <w:numPr>
          <w:ilvl w:val="0"/>
          <w:numId w:val="21"/>
        </w:numPr>
        <w:tabs>
          <w:tab w:val="left" w:pos="0"/>
          <w:tab w:val="left" w:pos="270"/>
          <w:tab w:val="left" w:pos="450"/>
        </w:tabs>
        <w:spacing w:line="276" w:lineRule="auto"/>
        <w:rPr>
          <w:shd w:val="clear" w:color="auto" w:fill="FFFFFF"/>
          <w:lang w:val="hy-AM"/>
        </w:rPr>
      </w:pPr>
      <w:r>
        <w:rPr>
          <w:shd w:val="clear" w:color="auto" w:fill="FFFFFF"/>
          <w:lang w:val="hy-AM"/>
        </w:rPr>
        <w:t xml:space="preserve">ՀՀ առաջնություններին, տեղական և միջազգային մարզական միջոցառումներին հայ մարզիկների մասնակցության ընդլայնումը,  </w:t>
      </w:r>
    </w:p>
    <w:p w14:paraId="24D13694" w14:textId="77777777" w:rsidR="00DA0E15" w:rsidRDefault="00362131" w:rsidP="00C0628C">
      <w:pPr>
        <w:pStyle w:val="ListParagraph"/>
        <w:numPr>
          <w:ilvl w:val="0"/>
          <w:numId w:val="21"/>
        </w:numPr>
        <w:tabs>
          <w:tab w:val="left" w:pos="0"/>
          <w:tab w:val="left" w:pos="270"/>
          <w:tab w:val="left" w:pos="450"/>
        </w:tabs>
        <w:spacing w:line="276" w:lineRule="auto"/>
        <w:rPr>
          <w:shd w:val="clear" w:color="auto" w:fill="FFFFFF"/>
          <w:lang w:val="hy-AM"/>
        </w:rPr>
      </w:pPr>
      <w:r>
        <w:rPr>
          <w:shd w:val="clear" w:color="auto" w:fill="FFFFFF"/>
          <w:lang w:val="hy-AM"/>
        </w:rPr>
        <w:t>Միջազգային մարզական միջոցառումներում հայ մարզիկների նվաճած մեդալների աճը,  սպորտի ոլորտում ՀՀ միջազգային վարկանիշի բարձրացումը,</w:t>
      </w:r>
    </w:p>
    <w:p w14:paraId="0927A276" w14:textId="77777777" w:rsidR="00DA0E15" w:rsidRDefault="00362131" w:rsidP="00C0628C">
      <w:pPr>
        <w:pStyle w:val="ListParagraph"/>
        <w:numPr>
          <w:ilvl w:val="0"/>
          <w:numId w:val="21"/>
        </w:numPr>
        <w:tabs>
          <w:tab w:val="left" w:pos="0"/>
          <w:tab w:val="left" w:pos="270"/>
          <w:tab w:val="left" w:pos="450"/>
        </w:tabs>
        <w:spacing w:line="276" w:lineRule="auto"/>
        <w:rPr>
          <w:shd w:val="clear" w:color="auto" w:fill="FFFFFF"/>
          <w:lang w:val="hy-AM"/>
        </w:rPr>
      </w:pPr>
      <w:r>
        <w:rPr>
          <w:shd w:val="clear" w:color="auto" w:fill="FFFFFF"/>
          <w:lang w:val="hy-AM"/>
        </w:rPr>
        <w:t>Մասսայական սպորտային միջոցառումներին ՀՀ համայնքների և բնակչության մասնակցության ընդլայնումը, առողջ ապրելակերպի արմատավորումը,</w:t>
      </w:r>
    </w:p>
    <w:p w14:paraId="50904269" w14:textId="77777777" w:rsidR="00DA0E15" w:rsidRDefault="00362131" w:rsidP="00C0628C">
      <w:pPr>
        <w:pStyle w:val="ListParagraph"/>
        <w:numPr>
          <w:ilvl w:val="0"/>
          <w:numId w:val="21"/>
        </w:numPr>
        <w:tabs>
          <w:tab w:val="left" w:pos="0"/>
          <w:tab w:val="left" w:pos="270"/>
          <w:tab w:val="left" w:pos="450"/>
        </w:tabs>
        <w:spacing w:line="276" w:lineRule="auto"/>
        <w:rPr>
          <w:shd w:val="clear" w:color="auto" w:fill="FFFFFF"/>
          <w:lang w:val="hy-AM"/>
        </w:rPr>
      </w:pPr>
      <w:r>
        <w:rPr>
          <w:shd w:val="clear" w:color="auto" w:fill="FFFFFF"/>
          <w:lang w:val="hy-AM"/>
        </w:rPr>
        <w:t>Հասարակական կյանքին երիտասարդների ակտիվ մասնակցությունը, երիտասարդության շրջանում առողջ ապրելակերպի, հոգևոր-մշակութային, հայրենասիրական դաստիարակության խթանումը, երիտասարդների զբաղվածության հնարավորությունների մեծացումը,</w:t>
      </w:r>
    </w:p>
    <w:p w14:paraId="4950A32A" w14:textId="77777777" w:rsidR="00DA0E15" w:rsidRDefault="00362131" w:rsidP="00C0628C">
      <w:pPr>
        <w:pStyle w:val="ListParagraph"/>
        <w:numPr>
          <w:ilvl w:val="0"/>
          <w:numId w:val="21"/>
        </w:numPr>
        <w:spacing w:line="276" w:lineRule="auto"/>
        <w:rPr>
          <w:shd w:val="clear" w:color="auto" w:fill="FFFFFF"/>
          <w:lang w:val="hy-AM"/>
        </w:rPr>
      </w:pPr>
      <w:r>
        <w:rPr>
          <w:shd w:val="clear" w:color="auto" w:fill="FFFFFF"/>
          <w:lang w:val="hy-AM"/>
        </w:rPr>
        <w:t>Երիտասարդական ծրագրերի շրջանակներում մարդկանց շահագործման (թրաֆիքինգի) կանխարգելմանն ուղղված քարոզչական միջոցառումների իրականացումը,</w:t>
      </w:r>
    </w:p>
    <w:p w14:paraId="3590671D" w14:textId="77777777" w:rsidR="00DA0E15" w:rsidRDefault="00362131" w:rsidP="00C0628C">
      <w:pPr>
        <w:pStyle w:val="ListParagraph"/>
        <w:numPr>
          <w:ilvl w:val="0"/>
          <w:numId w:val="21"/>
        </w:numPr>
        <w:spacing w:line="276" w:lineRule="auto"/>
        <w:rPr>
          <w:shd w:val="clear" w:color="auto" w:fill="FFFFFF"/>
          <w:lang w:val="hy-AM"/>
        </w:rPr>
      </w:pPr>
      <w:r>
        <w:rPr>
          <w:shd w:val="clear" w:color="auto" w:fill="FFFFFF"/>
          <w:lang w:val="hy-AM"/>
        </w:rPr>
        <w:t>«Երիտասարդ ընտանիքին՝ մատչելի բնակարան» պետական նպատակային ծրագրի համաֆինանսավորումը</w:t>
      </w:r>
      <w:r>
        <w:rPr>
          <w:lang w:val="hy-AM"/>
        </w:rPr>
        <w:t>:</w:t>
      </w:r>
    </w:p>
    <w:p w14:paraId="7FD089BD" w14:textId="77777777" w:rsidR="00DA0E15" w:rsidRDefault="00DA0E15">
      <w:pPr>
        <w:tabs>
          <w:tab w:val="left" w:pos="851"/>
          <w:tab w:val="left" w:pos="993"/>
        </w:tabs>
        <w:spacing w:line="276" w:lineRule="auto"/>
        <w:rPr>
          <w:rFonts w:cs="GHEA Grapalat"/>
          <w:b/>
          <w:lang w:val="hy-AM"/>
        </w:rPr>
      </w:pPr>
    </w:p>
    <w:p w14:paraId="7E411F6D" w14:textId="77777777" w:rsidR="00DA0E15" w:rsidRDefault="00362131">
      <w:pPr>
        <w:tabs>
          <w:tab w:val="left" w:pos="851"/>
          <w:tab w:val="left" w:pos="993"/>
        </w:tabs>
        <w:spacing w:line="276" w:lineRule="auto"/>
        <w:rPr>
          <w:rFonts w:cs="GHEA Grapalat"/>
          <w:b/>
          <w:lang w:val="hy-AM"/>
        </w:rPr>
      </w:pPr>
      <w:r>
        <w:rPr>
          <w:rFonts w:cs="GHEA Grapalat"/>
          <w:b/>
          <w:lang w:val="hy-AM"/>
        </w:rPr>
        <w:t xml:space="preserve">ՈԼՈՐՏԱՅԻՆ ԾԱԽՍԱՅԻՆ ԾՐԱԳՐԵՐԸ </w:t>
      </w:r>
    </w:p>
    <w:p w14:paraId="235F9DE6" w14:textId="77777777" w:rsidR="00DA0E15" w:rsidRDefault="00362131">
      <w:pPr>
        <w:tabs>
          <w:tab w:val="left" w:pos="360"/>
          <w:tab w:val="left" w:pos="450"/>
          <w:tab w:val="left" w:pos="720"/>
        </w:tabs>
        <w:spacing w:line="276" w:lineRule="auto"/>
        <w:ind w:firstLine="0"/>
        <w:rPr>
          <w:rFonts w:cs="Sylfaen"/>
          <w:b/>
          <w:i/>
          <w:lang w:val="hy-AM"/>
        </w:rPr>
      </w:pPr>
      <w:r>
        <w:rPr>
          <w:rFonts w:cs="Sylfaen"/>
          <w:i/>
          <w:lang w:val="hy-AM"/>
        </w:rPr>
        <w:tab/>
        <w:t xml:space="preserve"> 1</w:t>
      </w:r>
      <w:r>
        <w:rPr>
          <w:rFonts w:cs="Sylfaen"/>
          <w:lang w:val="hy-AM"/>
        </w:rPr>
        <w:t>.</w:t>
      </w:r>
      <w:r>
        <w:rPr>
          <w:rFonts w:cs="Sylfaen"/>
          <w:b/>
          <w:i/>
          <w:lang w:val="hy-AM"/>
        </w:rPr>
        <w:t xml:space="preserve">Մեծ նվաճումների սպորտ  </w:t>
      </w:r>
    </w:p>
    <w:p w14:paraId="2639396D" w14:textId="77777777" w:rsidR="00DA0E15" w:rsidRDefault="00362131">
      <w:pPr>
        <w:tabs>
          <w:tab w:val="left" w:pos="360"/>
          <w:tab w:val="left" w:pos="540"/>
          <w:tab w:val="left" w:pos="630"/>
        </w:tabs>
        <w:spacing w:line="276" w:lineRule="auto"/>
        <w:ind w:firstLine="0"/>
        <w:rPr>
          <w:rFonts w:cs="Sylfaen"/>
          <w:b/>
          <w:i/>
          <w:lang w:val="hy-AM"/>
        </w:rPr>
      </w:pPr>
      <w:r>
        <w:rPr>
          <w:rFonts w:cs="Sylfaen"/>
          <w:lang w:val="hy-AM"/>
        </w:rPr>
        <w:t xml:space="preserve">       Ծրագրի</w:t>
      </w:r>
      <w:r>
        <w:rPr>
          <w:rFonts w:cs="Times Armenian"/>
          <w:lang w:val="hy-AM"/>
        </w:rPr>
        <w:t xml:space="preserve"> նպատակն է՝</w:t>
      </w:r>
      <w:r>
        <w:rPr>
          <w:rFonts w:cs="Times Armenian"/>
          <w:b/>
          <w:lang w:val="hy-AM"/>
        </w:rPr>
        <w:t xml:space="preserve"> </w:t>
      </w:r>
      <w:r>
        <w:rPr>
          <w:rFonts w:cs="Times Armenian"/>
          <w:lang w:val="hy-AM"/>
        </w:rPr>
        <w:t>նպաստել Հայաստանում մեծ սպորտի շարունակական զարգացմանը և միջազգային հարթակներում ՀՀ դիրքի բարելավմանը</w:t>
      </w:r>
      <w:r>
        <w:rPr>
          <w:rFonts w:cs="Sylfaen"/>
          <w:kern w:val="16"/>
          <w:lang w:val="hy-AM"/>
        </w:rPr>
        <w:t xml:space="preserve">: </w:t>
      </w:r>
    </w:p>
    <w:p w14:paraId="7C5CDF43" w14:textId="77777777" w:rsidR="00DA0E15" w:rsidRDefault="00362131">
      <w:pPr>
        <w:tabs>
          <w:tab w:val="left" w:pos="450"/>
        </w:tabs>
        <w:spacing w:after="0" w:line="276" w:lineRule="auto"/>
        <w:ind w:firstLine="360"/>
        <w:rPr>
          <w:lang w:val="af-ZA"/>
        </w:rPr>
      </w:pPr>
      <w:r>
        <w:rPr>
          <w:rFonts w:cs="Sylfaen"/>
          <w:i/>
          <w:lang w:val="hy-AM"/>
        </w:rPr>
        <w:t xml:space="preserve">  </w:t>
      </w:r>
      <w:r>
        <w:rPr>
          <w:lang w:val="hy-AM"/>
        </w:rPr>
        <w:t xml:space="preserve">Ծրագրի գծով 2022-2024 թվականներին նախատեսվում է հատկացնել, ըստ տարիների՝ </w:t>
      </w:r>
      <w:r>
        <w:rPr>
          <w:rFonts w:cs="Sylfaen"/>
          <w:lang w:val="hy-AM"/>
        </w:rPr>
        <w:t xml:space="preserve"> 1,871.6; 2,223.4 և 2,229.7 մլն դրամ</w:t>
      </w:r>
      <w:r>
        <w:rPr>
          <w:lang w:val="af-ZA"/>
        </w:rPr>
        <w:t>:</w:t>
      </w:r>
    </w:p>
    <w:p w14:paraId="11EE1749" w14:textId="77777777" w:rsidR="00DA0E15" w:rsidRDefault="00362131">
      <w:pPr>
        <w:spacing w:after="0" w:line="276" w:lineRule="auto"/>
        <w:ind w:firstLine="360"/>
        <w:rPr>
          <w:lang w:val="hy-AM" w:eastAsia="ru-RU"/>
        </w:rPr>
      </w:pPr>
      <w:r>
        <w:rPr>
          <w:lang w:val="hy-AM" w:eastAsia="ru-RU"/>
        </w:rPr>
        <w:t xml:space="preserve">  </w:t>
      </w:r>
    </w:p>
    <w:p w14:paraId="76000E6D" w14:textId="77777777" w:rsidR="00DA0E15" w:rsidRDefault="00362131">
      <w:pPr>
        <w:tabs>
          <w:tab w:val="left" w:pos="360"/>
        </w:tabs>
        <w:spacing w:line="276" w:lineRule="auto"/>
        <w:rPr>
          <w:rFonts w:cs="Sylfaen"/>
          <w:b/>
          <w:i/>
          <w:lang w:val="hy-AM"/>
        </w:rPr>
      </w:pPr>
      <w:r>
        <w:rPr>
          <w:rFonts w:cs="Sylfaen"/>
          <w:b/>
          <w:i/>
          <w:lang w:val="hy-AM"/>
        </w:rPr>
        <w:t>2</w:t>
      </w:r>
      <w:r>
        <w:rPr>
          <w:rFonts w:cs="Sylfaen"/>
          <w:lang w:val="hy-AM"/>
        </w:rPr>
        <w:t>.</w:t>
      </w:r>
      <w:r>
        <w:rPr>
          <w:rFonts w:cs="Sylfaen"/>
          <w:b/>
          <w:i/>
          <w:lang w:val="hy-AM"/>
        </w:rPr>
        <w:t>Մասսայական սպորտ</w:t>
      </w:r>
    </w:p>
    <w:p w14:paraId="7B3673AA" w14:textId="77777777" w:rsidR="00DA0E15" w:rsidRDefault="00362131">
      <w:pPr>
        <w:tabs>
          <w:tab w:val="left" w:pos="540"/>
          <w:tab w:val="left" w:pos="630"/>
        </w:tabs>
        <w:spacing w:line="276" w:lineRule="auto"/>
        <w:rPr>
          <w:rFonts w:cs="Sylfaen"/>
          <w:b/>
          <w:i/>
          <w:lang w:val="hy-AM"/>
        </w:rPr>
      </w:pPr>
      <w:r>
        <w:rPr>
          <w:rFonts w:cs="Sylfaen"/>
          <w:kern w:val="16"/>
          <w:lang w:val="hy-AM"/>
        </w:rPr>
        <w:t xml:space="preserve">Մասսայական սպորտի ծրագրի նպատակն է՝ բնակչության շրջանում առողջ ապրելակերպի արմատավորումը, անհատի բազմակողմանի ու ներդաշնակ զարգացման գործում ֆիզիկական կուլտուրայի և սպորտի դերի բարձրացումը: </w:t>
      </w:r>
    </w:p>
    <w:p w14:paraId="73003B90" w14:textId="77777777" w:rsidR="00DA0E15" w:rsidRDefault="00362131">
      <w:pPr>
        <w:spacing w:after="0" w:line="276" w:lineRule="auto"/>
        <w:ind w:firstLine="360"/>
        <w:rPr>
          <w:lang w:val="af-ZA"/>
        </w:rPr>
      </w:pPr>
      <w:r>
        <w:rPr>
          <w:rFonts w:cs="Sylfaen"/>
          <w:i/>
          <w:lang w:val="hy-AM"/>
        </w:rPr>
        <w:t xml:space="preserve">    </w:t>
      </w:r>
      <w:r>
        <w:rPr>
          <w:lang w:val="hy-AM"/>
        </w:rPr>
        <w:t xml:space="preserve">Ծրագրի գծով 2022-2024 թվականներին նախատեսվում է հատկացնել, ըստ տարիների՝ </w:t>
      </w:r>
      <w:r>
        <w:rPr>
          <w:rFonts w:cs="Sylfaen"/>
          <w:lang w:val="hy-AM"/>
        </w:rPr>
        <w:t xml:space="preserve"> 1,498.9; 1,706.1 և 1,696.1  մլն դրամ</w:t>
      </w:r>
      <w:r>
        <w:rPr>
          <w:lang w:val="af-ZA"/>
        </w:rPr>
        <w:t>:</w:t>
      </w:r>
    </w:p>
    <w:p w14:paraId="6AF9F86C" w14:textId="77777777" w:rsidR="00DA0E15" w:rsidRDefault="00362131">
      <w:pPr>
        <w:tabs>
          <w:tab w:val="left" w:pos="720"/>
        </w:tabs>
        <w:spacing w:line="276" w:lineRule="auto"/>
        <w:rPr>
          <w:b/>
          <w:i/>
          <w:spacing w:val="-2"/>
          <w:lang w:val="af-ZA"/>
        </w:rPr>
      </w:pPr>
      <w:r>
        <w:rPr>
          <w:b/>
          <w:i/>
          <w:spacing w:val="-2"/>
          <w:lang w:val="hy-AM"/>
        </w:rPr>
        <w:t>3.</w:t>
      </w:r>
      <w:r>
        <w:rPr>
          <w:lang w:val="hy-AM"/>
        </w:rPr>
        <w:t xml:space="preserve"> </w:t>
      </w:r>
      <w:r>
        <w:rPr>
          <w:b/>
          <w:i/>
          <w:lang w:val="hy-AM"/>
        </w:rPr>
        <w:t xml:space="preserve">Երիտասարդության  </w:t>
      </w:r>
      <w:r>
        <w:rPr>
          <w:b/>
          <w:i/>
          <w:spacing w:val="-2"/>
          <w:lang w:val="fr-FR"/>
        </w:rPr>
        <w:t>ծրագիր</w:t>
      </w:r>
    </w:p>
    <w:p w14:paraId="12BC43D8" w14:textId="77777777" w:rsidR="00DA0E15" w:rsidRDefault="00362131">
      <w:pPr>
        <w:tabs>
          <w:tab w:val="left" w:pos="360"/>
        </w:tabs>
        <w:spacing w:after="0" w:line="276" w:lineRule="auto"/>
        <w:ind w:firstLine="360"/>
        <w:rPr>
          <w:lang w:val="hy-AM"/>
        </w:rPr>
      </w:pPr>
      <w:r>
        <w:rPr>
          <w:lang w:val="hy-AM"/>
        </w:rPr>
        <w:t xml:space="preserve">   Երիտասարդության</w:t>
      </w:r>
      <w:r>
        <w:rPr>
          <w:rFonts w:cs="Sylfaen"/>
          <w:b/>
          <w:lang w:val="hy-AM"/>
        </w:rPr>
        <w:t xml:space="preserve"> </w:t>
      </w:r>
      <w:r>
        <w:rPr>
          <w:rFonts w:cs="Sylfaen"/>
          <w:lang w:val="hy-AM"/>
        </w:rPr>
        <w:t>ծ</w:t>
      </w:r>
      <w:r>
        <w:rPr>
          <w:rFonts w:cs="Sylfaen"/>
          <w:lang w:val="af-ZA"/>
        </w:rPr>
        <w:t>րագրի նպատակն</w:t>
      </w:r>
      <w:r>
        <w:rPr>
          <w:rFonts w:cs="Sylfaen"/>
          <w:kern w:val="16"/>
          <w:lang w:val="hy-AM"/>
        </w:rPr>
        <w:t xml:space="preserve"> է` նպաստել</w:t>
      </w:r>
      <w:r>
        <w:rPr>
          <w:rFonts w:cs="Sylfaen"/>
          <w:kern w:val="16"/>
          <w:lang w:val="af-ZA"/>
        </w:rPr>
        <w:t xml:space="preserve"> </w:t>
      </w:r>
      <w:r>
        <w:rPr>
          <w:rFonts w:cs="Sylfaen"/>
          <w:kern w:val="16"/>
          <w:lang w:val="hy-AM"/>
        </w:rPr>
        <w:t>սոցիալ</w:t>
      </w:r>
      <w:r>
        <w:rPr>
          <w:rFonts w:cs="Sylfaen"/>
          <w:kern w:val="16"/>
          <w:lang w:val="af-ZA"/>
        </w:rPr>
        <w:t>-</w:t>
      </w:r>
      <w:r>
        <w:rPr>
          <w:rFonts w:cs="Sylfaen"/>
          <w:kern w:val="16"/>
          <w:lang w:val="hy-AM"/>
        </w:rPr>
        <w:t>տնտեսական</w:t>
      </w:r>
      <w:r>
        <w:rPr>
          <w:rFonts w:cs="Sylfaen"/>
          <w:kern w:val="16"/>
          <w:lang w:val="af-ZA"/>
        </w:rPr>
        <w:t xml:space="preserve">, </w:t>
      </w:r>
      <w:r>
        <w:rPr>
          <w:rFonts w:cs="Sylfaen"/>
          <w:kern w:val="16"/>
          <w:lang w:val="hy-AM"/>
        </w:rPr>
        <w:t>քաղաքական</w:t>
      </w:r>
      <w:r>
        <w:rPr>
          <w:rFonts w:cs="Sylfaen"/>
          <w:kern w:val="16"/>
          <w:lang w:val="af-ZA"/>
        </w:rPr>
        <w:t xml:space="preserve"> </w:t>
      </w:r>
      <w:r>
        <w:rPr>
          <w:rFonts w:cs="Sylfaen"/>
          <w:kern w:val="16"/>
          <w:lang w:val="hy-AM"/>
        </w:rPr>
        <w:t>և</w:t>
      </w:r>
      <w:r>
        <w:rPr>
          <w:rFonts w:cs="Sylfaen"/>
          <w:kern w:val="16"/>
          <w:lang w:val="af-ZA"/>
        </w:rPr>
        <w:t xml:space="preserve"> </w:t>
      </w:r>
      <w:r>
        <w:rPr>
          <w:rFonts w:cs="Sylfaen"/>
          <w:kern w:val="16"/>
          <w:lang w:val="hy-AM"/>
        </w:rPr>
        <w:t>մշակութային</w:t>
      </w:r>
      <w:r>
        <w:rPr>
          <w:rFonts w:cs="Sylfaen"/>
          <w:kern w:val="16"/>
          <w:lang w:val="af-ZA"/>
        </w:rPr>
        <w:t xml:space="preserve"> </w:t>
      </w:r>
      <w:r>
        <w:rPr>
          <w:rFonts w:cs="Sylfaen"/>
          <w:kern w:val="16"/>
          <w:lang w:val="hy-AM"/>
        </w:rPr>
        <w:t>կյանքին</w:t>
      </w:r>
      <w:r>
        <w:rPr>
          <w:rFonts w:cs="Sylfaen"/>
          <w:kern w:val="16"/>
          <w:lang w:val="af-ZA"/>
        </w:rPr>
        <w:t xml:space="preserve"> երիտասարդների լիարժեք ներգրավմանը և նրանց ստեղծագործական ներուժի ամբողջական դրսևորմանը</w:t>
      </w:r>
      <w:r>
        <w:rPr>
          <w:rFonts w:cs="Sylfaen"/>
          <w:kern w:val="16"/>
          <w:lang w:val="hy-AM"/>
        </w:rPr>
        <w:t>:</w:t>
      </w:r>
      <w:r>
        <w:rPr>
          <w:lang w:val="af-ZA"/>
        </w:rPr>
        <w:t xml:space="preserve"> </w:t>
      </w:r>
    </w:p>
    <w:p w14:paraId="5B836BA4" w14:textId="77777777" w:rsidR="00DA0E15" w:rsidRDefault="00362131">
      <w:pPr>
        <w:spacing w:after="0" w:line="276" w:lineRule="auto"/>
        <w:ind w:firstLine="0"/>
        <w:rPr>
          <w:lang w:val="af-ZA"/>
        </w:rPr>
      </w:pPr>
      <w:r>
        <w:rPr>
          <w:lang w:val="hy-AM"/>
        </w:rPr>
        <w:t xml:space="preserve">         Ծրագրի գծով 2022-2024 թվականներին նախատեսվում է հատկացնել, ըստ տարիների՝ </w:t>
      </w:r>
      <w:r>
        <w:rPr>
          <w:rFonts w:cs="Sylfaen"/>
          <w:lang w:val="hy-AM"/>
        </w:rPr>
        <w:t xml:space="preserve"> 1,721</w:t>
      </w:r>
      <w:r>
        <w:rPr>
          <w:rFonts w:cs="Sylfaen"/>
          <w:lang w:val="af-ZA"/>
        </w:rPr>
        <w:t>.5</w:t>
      </w:r>
      <w:r>
        <w:rPr>
          <w:rFonts w:cs="Sylfaen"/>
          <w:lang w:val="hy-AM"/>
        </w:rPr>
        <w:t>; 1,846</w:t>
      </w:r>
      <w:r>
        <w:rPr>
          <w:rFonts w:cs="Sylfaen"/>
          <w:lang w:val="af-ZA"/>
        </w:rPr>
        <w:t>.</w:t>
      </w:r>
      <w:r>
        <w:rPr>
          <w:rFonts w:cs="Sylfaen"/>
          <w:lang w:val="hy-AM"/>
        </w:rPr>
        <w:t>5 և 1,846.5 մլն դրամ</w:t>
      </w:r>
      <w:r>
        <w:rPr>
          <w:lang w:val="af-ZA"/>
        </w:rPr>
        <w:t>:</w:t>
      </w:r>
    </w:p>
    <w:p w14:paraId="5BC558EE" w14:textId="77777777" w:rsidR="00DA0E15" w:rsidRDefault="00362131">
      <w:pPr>
        <w:spacing w:after="0" w:line="276" w:lineRule="auto"/>
        <w:ind w:firstLine="0"/>
        <w:rPr>
          <w:rFonts w:cs="Arial Armenian"/>
          <w:lang w:val="hy-AM"/>
        </w:rPr>
      </w:pPr>
      <w:r>
        <w:rPr>
          <w:lang w:val="hy-AM"/>
        </w:rPr>
        <w:t xml:space="preserve">         </w:t>
      </w:r>
      <w:r>
        <w:rPr>
          <w:rFonts w:cs="Arial Armenian"/>
          <w:lang w:val="hy-AM"/>
        </w:rPr>
        <w:t xml:space="preserve"> Կրթության, գիտության, մշակույթի և սպորտի նախարարության գծով 2022-2024 թվականներին նախատեսված չափաքանակները.</w:t>
      </w:r>
    </w:p>
    <w:p w14:paraId="3CF180F2" w14:textId="77777777" w:rsidR="00DA0E15" w:rsidRDefault="00DA0E15">
      <w:pPr>
        <w:pStyle w:val="ListParagraph"/>
        <w:tabs>
          <w:tab w:val="left" w:pos="851"/>
          <w:tab w:val="left" w:pos="993"/>
        </w:tabs>
        <w:spacing w:line="276" w:lineRule="auto"/>
        <w:ind w:left="90" w:hanging="516"/>
        <w:rPr>
          <w:rFonts w:cs="Arial Armenian"/>
          <w:lang w:val="hy-AM"/>
        </w:rPr>
      </w:pPr>
    </w:p>
    <w:p w14:paraId="17EC9FA1" w14:textId="77777777" w:rsidR="00DA0E15" w:rsidRDefault="00362131">
      <w:pPr>
        <w:pStyle w:val="ListParagraph"/>
        <w:tabs>
          <w:tab w:val="left" w:pos="851"/>
          <w:tab w:val="left" w:pos="993"/>
        </w:tabs>
        <w:spacing w:line="276" w:lineRule="auto"/>
        <w:ind w:left="90" w:hanging="516"/>
        <w:rPr>
          <w:rFonts w:cs="Sylfaen"/>
          <w:lang w:val="hy-AM"/>
        </w:rPr>
      </w:pPr>
      <w:r>
        <w:rPr>
          <w:rFonts w:cs="Arial Armenian"/>
          <w:lang w:val="hy-AM"/>
        </w:rPr>
        <w:tab/>
        <w:t xml:space="preserve">2022 թվականի համար՝ </w:t>
      </w:r>
      <w:r w:rsidRPr="007912E2">
        <w:rPr>
          <w:rFonts w:cs="Sylfaen"/>
          <w:b/>
          <w:lang w:val="hy-AM"/>
        </w:rPr>
        <w:t>178,626.1</w:t>
      </w:r>
      <w:r>
        <w:rPr>
          <w:rFonts w:cs="Sylfaen"/>
          <w:lang w:val="hy-AM"/>
        </w:rPr>
        <w:t xml:space="preserve"> մլն դրամ,</w:t>
      </w:r>
    </w:p>
    <w:p w14:paraId="6BB4A38D" w14:textId="77777777" w:rsidR="00DA0E15" w:rsidRDefault="00362131">
      <w:pPr>
        <w:pStyle w:val="ListParagraph"/>
        <w:tabs>
          <w:tab w:val="left" w:pos="851"/>
          <w:tab w:val="left" w:pos="993"/>
        </w:tabs>
        <w:spacing w:line="276" w:lineRule="auto"/>
        <w:ind w:left="90" w:hanging="516"/>
        <w:rPr>
          <w:rFonts w:cs="Sylfaen"/>
          <w:lang w:val="hy-AM"/>
        </w:rPr>
      </w:pPr>
      <w:r>
        <w:rPr>
          <w:rFonts w:cs="Sylfaen"/>
          <w:lang w:val="hy-AM"/>
        </w:rPr>
        <w:tab/>
        <w:t xml:space="preserve">2023 </w:t>
      </w:r>
      <w:r>
        <w:rPr>
          <w:rFonts w:cs="Arial Armenian"/>
          <w:lang w:val="hy-AM"/>
        </w:rPr>
        <w:t xml:space="preserve">թվականի համար՝ </w:t>
      </w:r>
      <w:r w:rsidRPr="007912E2">
        <w:rPr>
          <w:rFonts w:cs="Arial Armenian"/>
          <w:b/>
          <w:lang w:val="hy-AM"/>
        </w:rPr>
        <w:t>175</w:t>
      </w:r>
      <w:r w:rsidRPr="007912E2">
        <w:rPr>
          <w:rFonts w:cs="Sylfaen"/>
          <w:b/>
          <w:lang w:val="hy-AM"/>
        </w:rPr>
        <w:t>,132.3</w:t>
      </w:r>
      <w:r>
        <w:rPr>
          <w:rFonts w:cs="Sylfaen"/>
          <w:lang w:val="hy-AM"/>
        </w:rPr>
        <w:t xml:space="preserve"> մլն դրամ,</w:t>
      </w:r>
    </w:p>
    <w:p w14:paraId="0BF33DAE" w14:textId="77777777" w:rsidR="00DA0E15" w:rsidRDefault="00362131">
      <w:pPr>
        <w:pStyle w:val="ListParagraph"/>
        <w:tabs>
          <w:tab w:val="left" w:pos="851"/>
          <w:tab w:val="left" w:pos="993"/>
        </w:tabs>
        <w:spacing w:line="276" w:lineRule="auto"/>
        <w:ind w:left="90" w:hanging="516"/>
        <w:rPr>
          <w:lang w:val="hy-AM"/>
        </w:rPr>
      </w:pPr>
      <w:r>
        <w:rPr>
          <w:rFonts w:cs="Arial Armenian"/>
          <w:lang w:val="hy-AM"/>
        </w:rPr>
        <w:tab/>
        <w:t xml:space="preserve">2024 թվականի համար՝ </w:t>
      </w:r>
      <w:r w:rsidRPr="007912E2">
        <w:rPr>
          <w:rFonts w:cs="Arial Armenian"/>
          <w:b/>
          <w:lang w:val="hy-AM"/>
        </w:rPr>
        <w:t>174</w:t>
      </w:r>
      <w:r w:rsidRPr="007912E2">
        <w:rPr>
          <w:rFonts w:cs="Sylfaen"/>
          <w:b/>
          <w:lang w:val="hy-AM"/>
        </w:rPr>
        <w:t>,577.7</w:t>
      </w:r>
      <w:r>
        <w:rPr>
          <w:rFonts w:cs="Sylfaen"/>
          <w:lang w:val="hy-AM"/>
        </w:rPr>
        <w:t xml:space="preserve"> մլն դրամ:</w:t>
      </w:r>
    </w:p>
    <w:p w14:paraId="0D91ED98" w14:textId="77777777" w:rsidR="00DA0E15" w:rsidRDefault="00362131" w:rsidP="00F832B2">
      <w:pPr>
        <w:pStyle w:val="ListParagraph"/>
        <w:tabs>
          <w:tab w:val="left" w:pos="851"/>
          <w:tab w:val="left" w:pos="993"/>
        </w:tabs>
        <w:spacing w:after="0" w:line="276" w:lineRule="auto"/>
        <w:ind w:left="90" w:hanging="516"/>
        <w:rPr>
          <w:lang w:val="hy-AM"/>
        </w:rPr>
      </w:pPr>
      <w:r>
        <w:rPr>
          <w:rFonts w:cs="Arial Armenian"/>
          <w:lang w:val="hy-AM"/>
        </w:rPr>
        <w:tab/>
      </w:r>
    </w:p>
    <w:p w14:paraId="3254883B" w14:textId="77777777" w:rsidR="00DA0E15" w:rsidRDefault="00DA0E15">
      <w:pPr>
        <w:tabs>
          <w:tab w:val="left" w:pos="851"/>
          <w:tab w:val="left" w:pos="993"/>
        </w:tabs>
        <w:spacing w:line="276" w:lineRule="auto"/>
        <w:rPr>
          <w:rFonts w:eastAsia="Times New Roman" w:cs="Times New Roman"/>
          <w:caps/>
          <w:color w:val="1F497D" w:themeColor="text2"/>
          <w:sz w:val="28"/>
          <w:szCs w:val="28"/>
          <w:lang w:val="hy-AM"/>
        </w:rPr>
      </w:pPr>
    </w:p>
    <w:p w14:paraId="6FFB191F" w14:textId="77777777" w:rsidR="00DA0E15" w:rsidRDefault="00362131">
      <w:pPr>
        <w:pStyle w:val="Heading3"/>
        <w:spacing w:before="0" w:after="120" w:line="276" w:lineRule="auto"/>
        <w:jc w:val="both"/>
        <w:rPr>
          <w:sz w:val="28"/>
          <w:szCs w:val="28"/>
        </w:rPr>
      </w:pPr>
      <w:bookmarkStart w:id="572" w:name="_Toc77837871"/>
      <w:r w:rsidRPr="00FA0954">
        <w:rPr>
          <w:rFonts w:eastAsia="Times New Roman" w:cs="Times New Roman"/>
          <w:caps w:val="0"/>
          <w:color w:val="1F497D" w:themeColor="text2"/>
          <w:sz w:val="28"/>
          <w:szCs w:val="28"/>
        </w:rPr>
        <w:t>2</w:t>
      </w:r>
      <w:r>
        <w:rPr>
          <w:rFonts w:eastAsia="Times New Roman" w:cs="Times New Roman"/>
          <w:caps w:val="0"/>
          <w:color w:val="1F497D" w:themeColor="text2"/>
          <w:sz w:val="28"/>
          <w:szCs w:val="28"/>
        </w:rPr>
        <w:t>. ԱՌՈՂՋԱՊԱՀՈՒԹՅՈՒՆ</w:t>
      </w:r>
      <w:bookmarkEnd w:id="562"/>
      <w:bookmarkEnd w:id="563"/>
      <w:bookmarkEnd w:id="564"/>
      <w:bookmarkEnd w:id="569"/>
      <w:bookmarkEnd w:id="570"/>
      <w:bookmarkEnd w:id="572"/>
    </w:p>
    <w:p w14:paraId="0EFFA45D" w14:textId="77777777" w:rsidR="00DA0E15" w:rsidRDefault="00DA0E15">
      <w:pPr>
        <w:pStyle w:val="ListParagraph"/>
        <w:spacing w:line="276" w:lineRule="auto"/>
        <w:rPr>
          <w:b/>
          <w:lang w:val="it-IT"/>
        </w:rPr>
      </w:pPr>
    </w:p>
    <w:p w14:paraId="00513F0F" w14:textId="77777777" w:rsidR="00DA0E15" w:rsidRDefault="00362131">
      <w:pPr>
        <w:spacing w:after="0" w:line="276" w:lineRule="auto"/>
        <w:ind w:firstLine="475"/>
        <w:rPr>
          <w:rFonts w:eastAsia="Calibri" w:cs="GHEA Grapalat"/>
          <w:lang w:val="hy-AM"/>
        </w:rPr>
      </w:pPr>
      <w:r>
        <w:rPr>
          <w:rFonts w:eastAsia="Calibri" w:cs="GHEA Grapalat"/>
          <w:lang w:val="hy-AM"/>
        </w:rPr>
        <w:t xml:space="preserve">Առողջապահության ոլորտի հետագա զարգացումը, մատուցվող ծառայությունների մատչելիության ու որակի, բնակչության առողջությունը բնութագրող ցուցանիշների բարելավումը մեծապես կախված են ոլորտի ֆինանսավորման մակարդակից: Ծրագրային ժամանակահատվածում առողջապահության ոլորտը պետք է լինի պետական ծախսային առաջնահերթություններից մեկը, և ոլորտին հատկացումներն աճեն ավելի արագ, քան բյուջեի ընդհանուր ծախսերը։ </w:t>
      </w:r>
    </w:p>
    <w:p w14:paraId="47ECC990" w14:textId="77777777" w:rsidR="00DA0E15" w:rsidRDefault="00362131">
      <w:pPr>
        <w:spacing w:after="0" w:line="276" w:lineRule="auto"/>
        <w:ind w:firstLine="475"/>
        <w:rPr>
          <w:rFonts w:eastAsia="Calibri" w:cs="GHEA Grapalat"/>
          <w:lang w:val="hy-AM"/>
        </w:rPr>
      </w:pPr>
      <w:r>
        <w:rPr>
          <w:rFonts w:eastAsia="Calibri" w:cs="GHEA Grapalat"/>
          <w:lang w:val="hy-AM"/>
        </w:rPr>
        <w:t>Պետական առողջապահական ծախսերի նպատակայնության հետևողական բարձրացման, հատկացվող ֆինանսական միջոցների վերահսկման և մատուցվող ծառայությունների որակի կառավարման գործուն մեխանիզմների շարունակական բարելավման շնորհիվ առողջապահական համակարգի շահառուն ստիպված չի լինի հավելյալ վճարել պետության կողմից անվճար և արտոնյալ պայմաններով մատուցվող ծառայությունների համար և կստանա որակյալ բժշկական օգնություն և ծառայություններ: Անվճար բժշկական օգնությունը պետք է տրամադրվի միայն սոցիալական արդարության սկզբունքի հիման վրա: Միաժամանակ պետությունը պետք է կանգնած լինի անհետաձգելի բժշկական օգնության կարիք ունեցող ցանկացած մարդու կողքին:</w:t>
      </w:r>
    </w:p>
    <w:p w14:paraId="61FD6C1C" w14:textId="77777777" w:rsidR="00DA0E15" w:rsidRDefault="00362131">
      <w:pPr>
        <w:spacing w:after="0" w:line="276" w:lineRule="auto"/>
        <w:ind w:firstLine="475"/>
        <w:rPr>
          <w:rFonts w:eastAsia="Calibri" w:cs="GHEA Grapalat"/>
          <w:lang w:val="hy-AM"/>
        </w:rPr>
      </w:pPr>
      <w:r>
        <w:rPr>
          <w:rFonts w:eastAsia="Calibri" w:cs="GHEA Grapalat"/>
          <w:lang w:val="hy-AM"/>
        </w:rPr>
        <w:t>Բնակչության առողջության առաջնային պահպանումը միջնաժամկետ հեռանկարում շարունակելու է մնալ ռազմավարական կարևոր ուղղություն: Միջնաժամկետ հատվածում շարունակականորեն ապահով</w:t>
      </w:r>
      <w:r w:rsidR="00B862AA">
        <w:rPr>
          <w:rFonts w:eastAsia="Calibri" w:cs="GHEA Grapalat"/>
          <w:lang w:val="hy-AM"/>
        </w:rPr>
        <w:t xml:space="preserve">ել </w:t>
      </w:r>
      <w:r>
        <w:rPr>
          <w:rFonts w:eastAsia="Calibri" w:cs="GHEA Grapalat"/>
          <w:lang w:val="hy-AM"/>
        </w:rPr>
        <w:t xml:space="preserve">առաջնային օղակի դերի բարձրացումը և մատուցվող ծառայությունների որակի </w:t>
      </w:r>
      <w:r w:rsidR="00B862AA">
        <w:rPr>
          <w:rFonts w:eastAsia="Calibri" w:cs="GHEA Grapalat"/>
          <w:lang w:val="hy-AM"/>
        </w:rPr>
        <w:t>բարելավումն</w:t>
      </w:r>
      <w:r>
        <w:rPr>
          <w:rFonts w:eastAsia="Calibri" w:cs="GHEA Grapalat"/>
          <w:lang w:val="hy-AM"/>
        </w:rPr>
        <w:t>` ապահովվելու է որակյալ և մատչելի առաջնային բուժօգնություն, ինչպես նաև սոցիալական արդարության և հավասարության սկզբունքներ հանրապետության ողջ բնակչության համար` անկախ սեռից ու տարիքից:</w:t>
      </w:r>
    </w:p>
    <w:p w14:paraId="52294B62" w14:textId="77777777" w:rsidR="00DA0E15" w:rsidRDefault="00362131">
      <w:pPr>
        <w:spacing w:after="0" w:line="276" w:lineRule="auto"/>
        <w:ind w:firstLine="475"/>
        <w:rPr>
          <w:rFonts w:eastAsia="Calibri" w:cs="GHEA Grapalat"/>
          <w:lang w:val="hy-AM"/>
        </w:rPr>
      </w:pPr>
      <w:r>
        <w:rPr>
          <w:rFonts w:eastAsia="Calibri" w:cs="GHEA Grapalat"/>
          <w:lang w:val="hy-AM"/>
        </w:rPr>
        <w:t>Մոր և մանկան առողջությունը շարունակելու է առանցքային դեր խաղալ պետական ծախսային քաղաքականության մեջ: Հղիների նախածննդյան և ծննդյան որակյալ բուժօգնության տրամադրման, կանանց, հղիների և նորածինների լայնածավալ սքրինինգային ծրագրերի, կանանց համար մեծ ռիսկ ներկայացնող հիվանդությունների դեպքերի վաղ հայտնաբերման ու կանխարգելման, երեխաների պատվաստումներում ընդգրկվածության մեծացման արդյունում ակնկալվում է զգալի կրճատել մանկական և մայրական մահացության ցուցանիշները:</w:t>
      </w:r>
    </w:p>
    <w:p w14:paraId="153DC6F2" w14:textId="77777777" w:rsidR="00DA0E15" w:rsidRDefault="00362131">
      <w:pPr>
        <w:spacing w:after="0" w:line="276" w:lineRule="auto"/>
        <w:ind w:firstLine="475"/>
        <w:rPr>
          <w:rFonts w:eastAsia="Calibri" w:cs="GHEA Grapalat"/>
          <w:lang w:val="hy-AM"/>
        </w:rPr>
      </w:pPr>
      <w:r>
        <w:rPr>
          <w:rFonts w:eastAsia="Calibri" w:cs="GHEA Grapalat"/>
          <w:lang w:val="hy-AM"/>
        </w:rPr>
        <w:t>0-18 տարեկան երեխաների բժշկական օգնությունն ու սպասարկումը նախատեսվում է ամբողջապես վերցնել պետական հոգածության տակ և իրականացնել պետական պատվերի շրջանակներում:</w:t>
      </w:r>
    </w:p>
    <w:p w14:paraId="7E05EB4E" w14:textId="77777777" w:rsidR="00DA0E15" w:rsidRDefault="00362131">
      <w:pPr>
        <w:spacing w:after="0" w:line="276" w:lineRule="auto"/>
        <w:ind w:firstLine="475"/>
        <w:rPr>
          <w:rFonts w:eastAsia="Calibri" w:cs="GHEA Grapalat"/>
          <w:lang w:val="hy-AM"/>
        </w:rPr>
      </w:pPr>
      <w:r>
        <w:rPr>
          <w:rFonts w:eastAsia="Calibri" w:cs="GHEA Grapalat"/>
          <w:lang w:val="hy-AM"/>
        </w:rPr>
        <w:t>Միջնաժամկետ ժամանակահատվածում շարունակվելու են լրացուցիչ միջոցներ ուղղվել պետության կողմից երաշխավորված անվճար բժշկական օգնության և սպասարկման շրջանակներում կյանք փրկող գլխուղեղի սուր և ենթասուր իշեմիկ կաթվածների թրոմբոլիտիկ բուժման և մեխանիկական թրոմբէկտոմիա ծառայության զարգացմանը:</w:t>
      </w:r>
    </w:p>
    <w:p w14:paraId="442114C9" w14:textId="77777777" w:rsidR="00DA0E15" w:rsidRDefault="00362131">
      <w:pPr>
        <w:spacing w:after="0" w:line="276" w:lineRule="auto"/>
        <w:ind w:firstLine="475"/>
        <w:rPr>
          <w:rFonts w:eastAsia="Calibri" w:cs="GHEA Grapalat"/>
          <w:lang w:val="hy-AM"/>
        </w:rPr>
      </w:pPr>
      <w:r>
        <w:rPr>
          <w:rFonts w:eastAsia="Calibri" w:cs="GHEA Grapalat"/>
          <w:lang w:val="hy-AM"/>
        </w:rPr>
        <w:t>Վարակիչ և ոչ վարակիչ հիվանդությունների կանխարգելումը ռազմավարական մեկ այլ կարևոր նպատակ է, որի շրջանակներում ապահովվելու է առավել տարածված ոչ վարակիչ հիվանդությունների վաղ հայտնաբերման, ախտորոշման ու կանխարգելման ճանապարհով բնակչության առողջության հիմնական ցուցանիշների բարելավում և այդ հիվանդությունների բարդությունների, հաշմանդամության և մահացության ցուցանիշների կրճատում, ինչպես նաև վարակիչ հիվանդություններով հիվանդացության նվազեցում, կառավարելի վարակիչ հիվանդություններից մահվան դեպքերի կանխում և վարակիչ հիվանդությունների նկատմամբ բնակչության անընկալության ապահովում:</w:t>
      </w:r>
    </w:p>
    <w:p w14:paraId="442729D4" w14:textId="77777777" w:rsidR="00DA0E15" w:rsidRDefault="00362131">
      <w:pPr>
        <w:spacing w:after="0" w:line="276" w:lineRule="auto"/>
        <w:ind w:firstLine="475"/>
        <w:rPr>
          <w:rFonts w:eastAsia="Calibri" w:cs="GHEA Grapalat"/>
          <w:lang w:val="hy-AM"/>
        </w:rPr>
      </w:pPr>
      <w:r>
        <w:rPr>
          <w:rFonts w:eastAsia="Calibri" w:cs="GHEA Grapalat"/>
          <w:lang w:val="hy-AM"/>
        </w:rPr>
        <w:t>Առողջապահության նախարարության հիմնական խնդիրներից է հանրապետությունում ուռուցքաբանական ծառայությունների շարունակական բարելավումը:</w:t>
      </w:r>
    </w:p>
    <w:p w14:paraId="2D7C7672" w14:textId="77777777" w:rsidR="00DA0E15" w:rsidRDefault="00362131">
      <w:pPr>
        <w:spacing w:before="0" w:after="0" w:line="276" w:lineRule="auto"/>
        <w:ind w:firstLine="475"/>
        <w:rPr>
          <w:rFonts w:eastAsia="Calibri" w:cs="GHEA Grapalat"/>
          <w:b/>
          <w:lang w:val="hy-AM"/>
        </w:rPr>
      </w:pPr>
      <w:r>
        <w:rPr>
          <w:rFonts w:eastAsia="Calibri" w:cs="GHEA Grapalat"/>
          <w:b/>
          <w:lang w:val="hy-AM"/>
        </w:rPr>
        <w:t>ՈԼՈՐՏԱՅԻՆ ԾԱԽՍԱՅԻՆ ԾՐԱԳՐԵՐԸ</w:t>
      </w:r>
    </w:p>
    <w:p w14:paraId="1AD8B162" w14:textId="77777777" w:rsidR="00DA0E15" w:rsidRDefault="00362131">
      <w:pPr>
        <w:spacing w:before="0" w:after="0" w:line="276" w:lineRule="auto"/>
        <w:ind w:firstLine="475"/>
        <w:rPr>
          <w:rFonts w:eastAsia="Calibri" w:cs="GHEA Grapalat"/>
          <w:lang w:val="hy-AM"/>
        </w:rPr>
      </w:pPr>
      <w:r>
        <w:rPr>
          <w:rFonts w:eastAsia="Calibri" w:cs="GHEA Grapalat"/>
          <w:b/>
          <w:i/>
          <w:lang w:val="hy-AM"/>
        </w:rPr>
        <w:t>Հանրային առողջության պահպանում</w:t>
      </w:r>
      <w:r>
        <w:rPr>
          <w:rFonts w:eastAsia="Calibri" w:cs="GHEA Grapalat"/>
          <w:lang w:val="hy-AM"/>
        </w:rPr>
        <w:t xml:space="preserve"> ծրագրի նպատակն է՝ մարդու օրգանիզմի վրա շրջակա միջավայրի վնասակար և վտանգավոր գործոնների ազդեցության բացառումը և նվազեցումը՝ կառավարելի վարակիչ հիվանդությունների դեմ պայքարը, որի ուղղությամբ 2022-2024թթ. նախատեսվում է յուրաքանչյուր տարվա համար հատկացնել համապատասխանաբար՝ 5,569.5 մլն դրամ:</w:t>
      </w:r>
    </w:p>
    <w:p w14:paraId="0619B866" w14:textId="77777777" w:rsidR="00DA0E15" w:rsidRDefault="00362131">
      <w:pPr>
        <w:spacing w:line="276" w:lineRule="auto"/>
        <w:ind w:firstLine="480"/>
        <w:rPr>
          <w:rFonts w:eastAsia="Calibri" w:cs="GHEA Grapalat"/>
          <w:lang w:val="hy-AM"/>
        </w:rPr>
      </w:pPr>
      <w:r>
        <w:rPr>
          <w:rFonts w:eastAsia="Calibri" w:cs="GHEA Grapalat"/>
          <w:b/>
          <w:i/>
          <w:lang w:val="hy-AM"/>
        </w:rPr>
        <w:t>Առողջապահության համակարգի արդիականացման և արդյունավետության բարձրացման</w:t>
      </w:r>
      <w:r>
        <w:rPr>
          <w:rFonts w:eastAsia="Calibri" w:cs="GHEA Grapalat"/>
          <w:lang w:val="hy-AM"/>
        </w:rPr>
        <w:t xml:space="preserve"> ծրագրի նպատակն է՝ միջազգային ֆինանսական կազմակերպությունների կողմից տրամադրվող վարկային և դրամաշնորհային միջոցների հաշվին առողջապահության համակարգի արդիականացման ու զարգացման իրականացումը, որի ուղղությամբ 2022-2024թթ. համար նախատեսվում է հատկացնել համապատասխանաբար՝ </w:t>
      </w:r>
      <w:r w:rsidR="00FD6E09">
        <w:rPr>
          <w:rFonts w:eastAsia="Calibri" w:cs="GHEA Grapalat"/>
          <w:lang w:val="hy-AM"/>
        </w:rPr>
        <w:t>991.4</w:t>
      </w:r>
      <w:r>
        <w:rPr>
          <w:rFonts w:eastAsia="Calibri" w:cs="GHEA Grapalat"/>
          <w:lang w:val="hy-AM"/>
        </w:rPr>
        <w:t xml:space="preserve"> մլն դրամ և </w:t>
      </w:r>
      <w:r w:rsidR="00FD6E09">
        <w:rPr>
          <w:rFonts w:eastAsia="Calibri" w:cs="GHEA Grapalat"/>
          <w:lang w:val="hy-AM"/>
        </w:rPr>
        <w:t>2,505.2</w:t>
      </w:r>
      <w:r>
        <w:rPr>
          <w:rFonts w:eastAsia="Calibri" w:cs="GHEA Grapalat"/>
          <w:lang w:val="hy-AM"/>
        </w:rPr>
        <w:t xml:space="preserve"> մլն դրամ, իսկ 2024թ. համար միջոցներ չեն նախատեսվել կապված վարկային և դրամաշնորհային միջոցների տրամադրման համաձայնագրերի բացակայության հետ:</w:t>
      </w:r>
    </w:p>
    <w:p w14:paraId="23C3D296" w14:textId="77777777" w:rsidR="00DA0E15" w:rsidRDefault="00362131">
      <w:pPr>
        <w:spacing w:line="276" w:lineRule="auto"/>
        <w:ind w:firstLine="480"/>
        <w:rPr>
          <w:rFonts w:eastAsia="Calibri" w:cs="GHEA Grapalat"/>
          <w:lang w:val="hy-AM"/>
        </w:rPr>
      </w:pPr>
      <w:r>
        <w:rPr>
          <w:rFonts w:eastAsia="Calibri" w:cs="GHEA Grapalat"/>
          <w:b/>
          <w:i/>
          <w:lang w:val="hy-AM"/>
        </w:rPr>
        <w:t>Առողջության առաջնային պահպանում</w:t>
      </w:r>
      <w:r>
        <w:rPr>
          <w:rFonts w:eastAsia="Calibri" w:cs="GHEA Grapalat"/>
          <w:lang w:val="hy-AM"/>
        </w:rPr>
        <w:t xml:space="preserve"> ծրագրի նպատակն է՝ բնակչությանը մատչելի և որակյալ առաջնային բժշկական օգնության և սպասարկման տրամադրումը՝ առողջության վատթարացման ռիսկի գործոնների վերհանումը և դրանց հնարավոր անբարենպաստ ազդեցության կանխարգելումը, որի ուղղությամբ 2022-2024թթ. նախատեսվում է յուրաքանչյուր տարվա համար հատկացնել 28,451.0 մլն դրամ:</w:t>
      </w:r>
    </w:p>
    <w:p w14:paraId="2A727A71" w14:textId="77777777" w:rsidR="00DA0E15" w:rsidRDefault="00362131">
      <w:pPr>
        <w:spacing w:line="276" w:lineRule="auto"/>
        <w:ind w:firstLine="480"/>
        <w:rPr>
          <w:rFonts w:eastAsia="Calibri" w:cs="GHEA Grapalat"/>
          <w:lang w:val="hy-AM"/>
        </w:rPr>
      </w:pPr>
      <w:r>
        <w:rPr>
          <w:rFonts w:eastAsia="Calibri" w:cs="GHEA Grapalat"/>
          <w:b/>
          <w:i/>
          <w:lang w:val="hy-AM"/>
        </w:rPr>
        <w:t>Առողջապահության ոլորտում պետական քաղաքականության մշակում</w:t>
      </w:r>
      <w:r>
        <w:rPr>
          <w:rFonts w:eastAsia="Calibri" w:cs="GHEA Grapalat"/>
          <w:lang w:val="hy-AM"/>
        </w:rPr>
        <w:t xml:space="preserve">՝ </w:t>
      </w:r>
      <w:r>
        <w:rPr>
          <w:rFonts w:eastAsia="Calibri" w:cs="GHEA Grapalat"/>
          <w:b/>
          <w:i/>
          <w:lang w:val="hy-AM"/>
        </w:rPr>
        <w:t>ծրագրերի համակարգում և մոնիտորինգ</w:t>
      </w:r>
      <w:r>
        <w:rPr>
          <w:rFonts w:eastAsia="Calibri" w:cs="GHEA Grapalat"/>
          <w:lang w:val="hy-AM"/>
        </w:rPr>
        <w:t xml:space="preserve"> ծրագրի նպատակն է՝ մարդու և հանրության առողջության պահպանումը՝ բնակչության առողջության բարելավումը՝ հիվանդությունների կանխարգելում՝ հաշմանդամության և մահացության ցուցանիշների նվազեցումը, որի ուղղությամբ 2022-2024թթ. նախատեսվում է յուրաքանչյուր տարվա համար հատկացնել 991.9 մլն դրամ:</w:t>
      </w:r>
    </w:p>
    <w:p w14:paraId="04D01280" w14:textId="77777777" w:rsidR="00DA0E15" w:rsidRDefault="00362131">
      <w:pPr>
        <w:spacing w:line="276" w:lineRule="auto"/>
        <w:ind w:firstLine="480"/>
        <w:rPr>
          <w:rFonts w:eastAsia="Calibri" w:cs="GHEA Grapalat"/>
          <w:lang w:val="hy-AM"/>
        </w:rPr>
      </w:pPr>
      <w:r>
        <w:rPr>
          <w:rFonts w:eastAsia="Calibri" w:cs="GHEA Grapalat"/>
          <w:b/>
          <w:i/>
          <w:lang w:val="hy-AM"/>
        </w:rPr>
        <w:t>Դատաբժշկական և ախտաբանաանատոմիական ծառայություններ</w:t>
      </w:r>
      <w:r>
        <w:rPr>
          <w:rFonts w:eastAsia="Calibri" w:cs="GHEA Grapalat"/>
          <w:lang w:val="hy-AM"/>
        </w:rPr>
        <w:t xml:space="preserve"> ծրագրի նպատակն է՝ պաթանատոմիական կանխորոշումների հիման վրա ախտորոշման և բուժման արդյունավետության բարձրացումը, որի ուղղությամբ 2022-2024թթ. նախատեսվում է յուրաքանչյուր տարվա համար հատկացնել 490.0 մլն դրամ:</w:t>
      </w:r>
    </w:p>
    <w:p w14:paraId="3D627CFC" w14:textId="77777777" w:rsidR="00DA0E15" w:rsidRDefault="00362131">
      <w:pPr>
        <w:spacing w:line="276" w:lineRule="auto"/>
        <w:ind w:firstLine="480"/>
        <w:rPr>
          <w:rFonts w:eastAsia="Calibri" w:cs="GHEA Grapalat"/>
          <w:lang w:val="hy-AM"/>
        </w:rPr>
      </w:pPr>
      <w:r>
        <w:rPr>
          <w:rFonts w:eastAsia="Calibri" w:cs="GHEA Grapalat"/>
          <w:b/>
          <w:i/>
          <w:lang w:val="hy-AM"/>
        </w:rPr>
        <w:t>Դեղապահովում</w:t>
      </w:r>
      <w:r>
        <w:rPr>
          <w:rFonts w:eastAsia="Calibri" w:cs="GHEA Grapalat"/>
          <w:lang w:val="hy-AM"/>
        </w:rPr>
        <w:t xml:space="preserve"> ծրագրի նպատակն է՝ դեղերի անվտանգության՝ արդյունավետության և որակի ապահովումը՝  ՀՀ հիմնական դեղերի ցանկում առկա կենսականորեն անհրաժեշտ դեղերի ֆիզիկական և տնտեսական մատչելիության բարձրացումը, որի ուղղությամբ 2022-2024թթ. նախատեսվում է յուրաքանչյուր տարվա համար հատկացնել 3,339.6 մլն դրամ:</w:t>
      </w:r>
    </w:p>
    <w:p w14:paraId="0661AA24" w14:textId="77777777" w:rsidR="00DA0E15" w:rsidRDefault="00362131">
      <w:pPr>
        <w:spacing w:line="276" w:lineRule="auto"/>
        <w:ind w:firstLine="480"/>
        <w:rPr>
          <w:rFonts w:eastAsia="Calibri" w:cs="GHEA Grapalat"/>
          <w:lang w:val="hy-AM"/>
        </w:rPr>
      </w:pPr>
      <w:r>
        <w:rPr>
          <w:rFonts w:eastAsia="Calibri" w:cs="GHEA Grapalat"/>
          <w:b/>
          <w:i/>
          <w:lang w:val="hy-AM"/>
        </w:rPr>
        <w:t>Խորհրդատվական, մասնագիտական աջակցություն և հետազոտություններ</w:t>
      </w:r>
      <w:r>
        <w:rPr>
          <w:rFonts w:eastAsia="Calibri" w:cs="GHEA Grapalat"/>
          <w:lang w:val="hy-AM"/>
        </w:rPr>
        <w:t xml:space="preserve"> ծրագրի նպատակն է՝ բժշկական օգնության կազմակերպման ու որակի բարձրացման կարգավորման մասնագիտական՝ խորհրդատվական՝ կազմակերպամեթոդական ապահովումը՝ համակարգի գործունեության արդյունքների գնահատումը, որի ուղղությամբ 2022-2024թթ. նախատեսվում է յուրաքանչյուր տարվա համար հատկացնել 187.2 մլն դրամ:</w:t>
      </w:r>
    </w:p>
    <w:p w14:paraId="6BC8CB57" w14:textId="77777777" w:rsidR="00DA0E15" w:rsidRDefault="00362131">
      <w:pPr>
        <w:spacing w:line="276" w:lineRule="auto"/>
        <w:ind w:firstLine="480"/>
        <w:rPr>
          <w:rFonts w:eastAsia="Calibri" w:cs="GHEA Grapalat"/>
          <w:lang w:val="hy-AM"/>
        </w:rPr>
      </w:pPr>
      <w:r>
        <w:rPr>
          <w:rFonts w:eastAsia="Calibri" w:cs="GHEA Grapalat"/>
          <w:b/>
          <w:i/>
          <w:lang w:val="hy-AM"/>
        </w:rPr>
        <w:t>Մոր և մանկան առողջության պահպանում</w:t>
      </w:r>
      <w:r>
        <w:rPr>
          <w:rFonts w:eastAsia="Calibri" w:cs="GHEA Grapalat"/>
          <w:lang w:val="hy-AM"/>
        </w:rPr>
        <w:t xml:space="preserve"> ծրագրի նպատակն է՝ մոր և մանկան առողջության պահպանումը՝ կանանց և երեխաներին մատուցվող բժշկական ծառայությունների մատչելիության և որակի բարելավումը, որի ուղղությամբ 2022-2024թթ. նախատեսվում է յուրաքանչյուր տարվա համար հատկացնել 17,510.8 մլն դրամ:</w:t>
      </w:r>
    </w:p>
    <w:p w14:paraId="112DC584" w14:textId="77777777" w:rsidR="00DA0E15" w:rsidRDefault="00362131">
      <w:pPr>
        <w:spacing w:line="276" w:lineRule="auto"/>
        <w:ind w:firstLine="480"/>
        <w:rPr>
          <w:rFonts w:eastAsia="Calibri" w:cs="GHEA Grapalat"/>
          <w:lang w:val="hy-AM"/>
        </w:rPr>
      </w:pPr>
      <w:r>
        <w:rPr>
          <w:rFonts w:eastAsia="Calibri" w:cs="GHEA Grapalat"/>
          <w:b/>
          <w:i/>
          <w:lang w:val="hy-AM"/>
        </w:rPr>
        <w:t xml:space="preserve"> Շտապ բժշկական օգնություն</w:t>
      </w:r>
      <w:r>
        <w:rPr>
          <w:rFonts w:eastAsia="Calibri" w:cs="GHEA Grapalat"/>
          <w:lang w:val="hy-AM"/>
        </w:rPr>
        <w:t xml:space="preserve"> նպատակն է՝ Մարդու կյանքին և առողջությանը վտանգ սպառնացող վիճակներում որակյալ շտապ բժշկական օգնության ծառայությունների տրամադրումը, որի ուղղությամբ 2022-2024թթ. նախատեսվում է յուրաքանչյուր տարվա համար հատկացնել 5,000.0 մլն դրամ:</w:t>
      </w:r>
    </w:p>
    <w:p w14:paraId="23FF04A3" w14:textId="77777777" w:rsidR="00DA0E15" w:rsidRDefault="00362131">
      <w:pPr>
        <w:spacing w:line="276" w:lineRule="auto"/>
        <w:ind w:firstLine="480"/>
        <w:rPr>
          <w:rFonts w:eastAsia="Calibri" w:cs="GHEA Grapalat"/>
          <w:lang w:val="hy-AM"/>
        </w:rPr>
      </w:pPr>
      <w:r>
        <w:rPr>
          <w:rFonts w:eastAsia="Calibri" w:cs="GHEA Grapalat"/>
          <w:b/>
          <w:i/>
          <w:lang w:val="hy-AM"/>
        </w:rPr>
        <w:t>Ոչ վարակիչ հիվանդությունների բժշկական օգնության ապահովում</w:t>
      </w:r>
      <w:r>
        <w:rPr>
          <w:rFonts w:eastAsia="Calibri" w:cs="GHEA Grapalat"/>
          <w:lang w:val="hy-AM"/>
        </w:rPr>
        <w:t xml:space="preserve"> ծրագրի նպատակն է՝ ոչ վարակիչ հիվանդությունների (մասնավորապես՛ սիրտանոթային՝ շաքարային դիաբետի և չարորակ նորագոյացությունների) բուժման արդյունավետության բարձրացումը, որի ուղղությամբ 2022-2024թթ. նախատեսվում է յուրաքանչյուր տարվա համար հատկացնել համապատասխանաբար՝ 15,105.9 մլն դրամ, 21,457.3 մլն դրամ և 22,156.8 մլն դրամ:</w:t>
      </w:r>
    </w:p>
    <w:p w14:paraId="0961B716" w14:textId="77777777" w:rsidR="00DA0E15" w:rsidRDefault="00362131">
      <w:pPr>
        <w:spacing w:line="276" w:lineRule="auto"/>
        <w:ind w:firstLine="480"/>
        <w:rPr>
          <w:rFonts w:eastAsia="Calibri" w:cs="GHEA Grapalat"/>
          <w:lang w:val="hy-AM"/>
        </w:rPr>
      </w:pPr>
      <w:r>
        <w:rPr>
          <w:rFonts w:eastAsia="Calibri" w:cs="GHEA Grapalat"/>
          <w:b/>
          <w:i/>
          <w:lang w:val="hy-AM"/>
        </w:rPr>
        <w:t>Սոցիալապես անապահով և առանձին խմբերի անձանց բժշկական օգնություն</w:t>
      </w:r>
      <w:r>
        <w:rPr>
          <w:rFonts w:eastAsia="Calibri" w:cs="GHEA Grapalat"/>
          <w:lang w:val="hy-AM"/>
        </w:rPr>
        <w:t xml:space="preserve"> ծրագրի նպատակն է սոցիալապես անապահով և հատուկ խմբերում ընդգրկված անձանց բժշկական օգնության հասանելիության և մատչելիության մակարդակի բարձրացումը՝ հիվանդանոցային որակյալ բժշկական օգնության ապահովումը, որի ուղղությամբ 2022-2024թթ. նախատեսվում է յուրաքանչյուր տարվա համար հատկացնել 27,302.8 մլն դրամ:</w:t>
      </w:r>
    </w:p>
    <w:p w14:paraId="04B9809E" w14:textId="77777777" w:rsidR="00DA0E15" w:rsidRDefault="00362131">
      <w:pPr>
        <w:spacing w:line="276" w:lineRule="auto"/>
        <w:ind w:firstLine="480"/>
        <w:rPr>
          <w:rFonts w:eastAsia="Calibri" w:cs="GHEA Grapalat"/>
          <w:lang w:val="hy-AM"/>
        </w:rPr>
      </w:pPr>
      <w:r>
        <w:rPr>
          <w:rFonts w:eastAsia="Calibri" w:cs="GHEA Grapalat"/>
          <w:lang w:val="hy-AM"/>
        </w:rPr>
        <w:t xml:space="preserve"> </w:t>
      </w:r>
      <w:r>
        <w:rPr>
          <w:rFonts w:eastAsia="Calibri" w:cs="GHEA Grapalat"/>
          <w:b/>
          <w:i/>
          <w:lang w:val="hy-AM"/>
        </w:rPr>
        <w:t>Վարակիչ հիվանդությունների կանխարգելում</w:t>
      </w:r>
      <w:r>
        <w:rPr>
          <w:rFonts w:eastAsia="Calibri" w:cs="GHEA Grapalat"/>
          <w:lang w:val="hy-AM"/>
        </w:rPr>
        <w:t xml:space="preserve"> ծրագրի նպատակն է՝ վարակիչ և բնակչության համար մեծ ռիսկ ներկայացնող հիվանդությունների (մալարիա՝ տուբերկուլյոզ՝ ՄԻԱՎ/ՁԻԱՀ և այլն) վաղ հայտնաբերումն՝ արդյունվետ հակազդումը և բժշկական օգնության ապահովումը, որի ուղղությամբ 2022-2024թթ. նախատեսվում է յուրաքանչյուր տարվա համար հատկացնել 2,157.4 մլն դրամ:</w:t>
      </w:r>
    </w:p>
    <w:p w14:paraId="5B87D4A9" w14:textId="77777777" w:rsidR="00DA0E15" w:rsidRDefault="00362131">
      <w:pPr>
        <w:spacing w:after="0" w:line="276" w:lineRule="auto"/>
        <w:ind w:firstLine="475"/>
        <w:rPr>
          <w:rFonts w:eastAsia="Calibri" w:cs="GHEA Grapalat"/>
          <w:lang w:val="hy-AM"/>
        </w:rPr>
      </w:pPr>
      <w:r>
        <w:rPr>
          <w:rFonts w:eastAsia="Calibri" w:cs="GHEA Grapalat"/>
          <w:lang w:val="hy-AM"/>
        </w:rPr>
        <w:t>Առողջապահության նախարարության գծով ծախսերը միջնաժամկետ հատվածում ըստ տարիների կազմում  են.</w:t>
      </w:r>
    </w:p>
    <w:p w14:paraId="04F63822" w14:textId="77777777" w:rsidR="00DA0E15" w:rsidRDefault="00362131">
      <w:pPr>
        <w:spacing w:after="0" w:line="276" w:lineRule="auto"/>
        <w:ind w:firstLine="475"/>
        <w:rPr>
          <w:rFonts w:eastAsia="Calibri" w:cs="GHEA Grapalat"/>
          <w:lang w:val="hy-AM"/>
        </w:rPr>
      </w:pPr>
      <w:r>
        <w:rPr>
          <w:rFonts w:eastAsia="Calibri" w:cs="GHEA Grapalat"/>
          <w:lang w:val="hy-AM"/>
        </w:rPr>
        <w:t xml:space="preserve">2022 թվականի համար՝ </w:t>
      </w:r>
      <w:r w:rsidR="003045E0">
        <w:rPr>
          <w:rFonts w:eastAsia="Calibri" w:cs="GHEA Grapalat"/>
          <w:lang w:val="hy-AM"/>
        </w:rPr>
        <w:t>107,097,732.5</w:t>
      </w:r>
      <w:r>
        <w:rPr>
          <w:rFonts w:eastAsia="Calibri" w:cs="GHEA Grapalat"/>
          <w:lang w:val="hy-AM"/>
        </w:rPr>
        <w:t xml:space="preserve"> հազար դրամ,</w:t>
      </w:r>
    </w:p>
    <w:p w14:paraId="74D41091" w14:textId="77777777" w:rsidR="00DA0E15" w:rsidRDefault="00362131">
      <w:pPr>
        <w:spacing w:after="0" w:line="276" w:lineRule="auto"/>
        <w:ind w:firstLine="475"/>
        <w:rPr>
          <w:rFonts w:eastAsia="Calibri" w:cs="GHEA Grapalat"/>
          <w:lang w:val="hy-AM"/>
        </w:rPr>
      </w:pPr>
      <w:r>
        <w:rPr>
          <w:rFonts w:eastAsia="Calibri" w:cs="GHEA Grapalat"/>
          <w:lang w:val="hy-AM"/>
        </w:rPr>
        <w:t xml:space="preserve">2023 թվականի համար՝ </w:t>
      </w:r>
      <w:r w:rsidR="003045E0">
        <w:rPr>
          <w:rFonts w:eastAsia="Calibri" w:cs="GHEA Grapalat"/>
          <w:lang w:val="hy-AM"/>
        </w:rPr>
        <w:t>114,962,831.1</w:t>
      </w:r>
      <w:r>
        <w:rPr>
          <w:rFonts w:eastAsia="Calibri" w:cs="GHEA Grapalat"/>
          <w:lang w:val="hy-AM"/>
        </w:rPr>
        <w:t xml:space="preserve"> հազար դրամ,</w:t>
      </w:r>
    </w:p>
    <w:p w14:paraId="068C8EEE" w14:textId="77777777" w:rsidR="00DA0E15" w:rsidRDefault="00362131">
      <w:pPr>
        <w:spacing w:after="0" w:line="276" w:lineRule="auto"/>
        <w:ind w:firstLine="475"/>
        <w:rPr>
          <w:rFonts w:eastAsia="Calibri" w:cs="GHEA Grapalat"/>
          <w:lang w:val="hy-AM"/>
        </w:rPr>
      </w:pPr>
      <w:r>
        <w:rPr>
          <w:rFonts w:eastAsia="Calibri" w:cs="GHEA Grapalat"/>
          <w:lang w:val="hy-AM"/>
        </w:rPr>
        <w:t xml:space="preserve">2024 թվականի համար՝ </w:t>
      </w:r>
      <w:r w:rsidR="003045E0">
        <w:rPr>
          <w:rFonts w:eastAsia="Calibri" w:cs="GHEA Grapalat"/>
          <w:lang w:val="hy-AM"/>
        </w:rPr>
        <w:t>113,157,119.1</w:t>
      </w:r>
      <w:r>
        <w:rPr>
          <w:rFonts w:eastAsia="Calibri" w:cs="GHEA Grapalat"/>
          <w:lang w:val="hy-AM"/>
        </w:rPr>
        <w:t xml:space="preserve"> հազար դրամ:</w:t>
      </w:r>
    </w:p>
    <w:p w14:paraId="5953E480" w14:textId="77777777" w:rsidR="00DA0E15" w:rsidRDefault="00DA0E15" w:rsidP="00C0628C">
      <w:pPr>
        <w:pStyle w:val="Heading2"/>
        <w:numPr>
          <w:ilvl w:val="0"/>
          <w:numId w:val="14"/>
        </w:numPr>
        <w:spacing w:line="276" w:lineRule="auto"/>
        <w:rPr>
          <w:color w:val="auto"/>
          <w:sz w:val="22"/>
          <w:szCs w:val="22"/>
          <w:lang w:val="hy-AM"/>
        </w:rPr>
        <w:sectPr w:rsidR="00DA0E15" w:rsidSect="003606E3">
          <w:footerReference w:type="default" r:id="rId94"/>
          <w:pgSz w:w="11907" w:h="16840"/>
          <w:pgMar w:top="567" w:right="1134" w:bottom="1134" w:left="837" w:header="561" w:footer="130" w:gutter="0"/>
          <w:cols w:space="720"/>
          <w:docGrid w:linePitch="360"/>
        </w:sectPr>
      </w:pPr>
    </w:p>
    <w:p w14:paraId="0271EA81" w14:textId="77777777" w:rsidR="00DA0E15" w:rsidRDefault="00362131">
      <w:pPr>
        <w:pStyle w:val="Heading3"/>
        <w:spacing w:before="0" w:after="120" w:line="276" w:lineRule="auto"/>
        <w:jc w:val="both"/>
        <w:rPr>
          <w:rFonts w:eastAsia="Times New Roman" w:cs="Times New Roman"/>
          <w:caps w:val="0"/>
          <w:color w:val="1F497D" w:themeColor="text2"/>
          <w:sz w:val="28"/>
          <w:szCs w:val="28"/>
        </w:rPr>
      </w:pPr>
      <w:bookmarkStart w:id="573" w:name="_Toc45637519"/>
      <w:bookmarkStart w:id="574" w:name="_Toc45838543"/>
      <w:bookmarkStart w:id="575" w:name="_Toc13837343"/>
      <w:bookmarkStart w:id="576" w:name="_Toc77837872"/>
      <w:bookmarkStart w:id="577" w:name="_Toc393278786"/>
      <w:bookmarkStart w:id="578" w:name="_Toc170376012"/>
      <w:bookmarkStart w:id="579" w:name="_Toc170381656"/>
      <w:bookmarkStart w:id="580" w:name="_Toc137372564"/>
      <w:bookmarkStart w:id="581" w:name="_Toc107052565"/>
      <w:bookmarkStart w:id="582" w:name="_Toc137632979"/>
      <w:bookmarkStart w:id="583" w:name="_Toc170376094"/>
      <w:bookmarkStart w:id="584" w:name="_Toc137632970"/>
      <w:bookmarkStart w:id="585" w:name="_Toc47512281"/>
      <w:bookmarkStart w:id="586" w:name="_Toc47768572"/>
      <w:bookmarkStart w:id="587" w:name="_Toc266780821"/>
      <w:bookmarkEnd w:id="557"/>
      <w:bookmarkEnd w:id="558"/>
      <w:bookmarkEnd w:id="559"/>
      <w:bookmarkEnd w:id="560"/>
      <w:r w:rsidRPr="003045E0">
        <w:rPr>
          <w:rFonts w:eastAsia="Times New Roman" w:cs="Times New Roman"/>
          <w:caps w:val="0"/>
          <w:color w:val="1F497D" w:themeColor="text2"/>
          <w:sz w:val="28"/>
          <w:szCs w:val="28"/>
        </w:rPr>
        <w:t>3.</w:t>
      </w:r>
      <w:r>
        <w:rPr>
          <w:rFonts w:eastAsia="Times New Roman" w:cs="Times New Roman"/>
          <w:caps w:val="0"/>
          <w:color w:val="1F497D" w:themeColor="text2"/>
          <w:sz w:val="28"/>
          <w:szCs w:val="28"/>
        </w:rPr>
        <w:t xml:space="preserve"> ՍՈՑԻԱԼԱԿԱՆ ՊԱՇՏՊԱՆՈՒԹՅՈՒՆ</w:t>
      </w:r>
      <w:bookmarkEnd w:id="573"/>
      <w:bookmarkEnd w:id="574"/>
      <w:bookmarkEnd w:id="575"/>
      <w:bookmarkEnd w:id="576"/>
    </w:p>
    <w:p w14:paraId="673E0ED5" w14:textId="42B8E313" w:rsidR="00DA0E15" w:rsidRDefault="00362131">
      <w:pPr>
        <w:spacing w:after="0" w:line="276" w:lineRule="auto"/>
        <w:rPr>
          <w:rFonts w:cs="Sylfaen"/>
          <w:bCs/>
          <w:lang w:val="fr-FR"/>
        </w:rPr>
      </w:pPr>
      <w:bookmarkStart w:id="588" w:name="_Toc13837344"/>
      <w:r>
        <w:rPr>
          <w:rFonts w:cs="Sylfaen"/>
          <w:bCs/>
          <w:lang w:val="fr-FR"/>
        </w:rPr>
        <w:t xml:space="preserve">Սոցիալական պաշտպանությունը պատմականորեն հանդիսացել և շարունակում է հանդես գալ որպես ՀՀ պետական քաղաքականության գերակա ուղղություններից մեկը: Սոցիալական պաշտպանության ոլորտում պետական քաղաքականության հիմնական նպատակն է երկրում աղքատության մակարդակի էական կրճատումը, ժողովրդագրական իրավիճակի բարելավումն և ՀՀ բնակչության առանձին խմբերի համար սոցիալական երաշխիքների ապահովումը: Վերոհիշյալ նպատակին հասնելու համար սոցիալական պաշտպանության ոլորտում իրականացվում է լայնածավալ պետական միջամտություն, </w:t>
      </w:r>
      <w:r w:rsidR="001B265C">
        <w:rPr>
          <w:rFonts w:cs="Sylfaen"/>
          <w:bCs/>
          <w:lang w:val="fr-FR"/>
        </w:rPr>
        <w:t>որ</w:t>
      </w:r>
      <w:r w:rsidR="001B265C">
        <w:rPr>
          <w:rFonts w:cs="Sylfaen"/>
          <w:bCs/>
          <w:lang w:val="hy-AM"/>
        </w:rPr>
        <w:t xml:space="preserve">ն </w:t>
      </w:r>
      <w:r>
        <w:rPr>
          <w:rFonts w:cs="Sylfaen"/>
          <w:bCs/>
          <w:lang w:val="fr-FR"/>
        </w:rPr>
        <w:t>ուղղակի կամ անուղղակի առնչվում է Կրթության և գիտության, մշակույթի և սպորտի, Առողջապահության, Պաշտպանության, Տարածքային կառավարման և ենթակառուցվացքների և այլ նախարարությունների հետ:</w:t>
      </w:r>
    </w:p>
    <w:p w14:paraId="52CBF585" w14:textId="77777777" w:rsidR="00DA0E15" w:rsidRDefault="00362131">
      <w:pPr>
        <w:spacing w:after="0" w:line="276" w:lineRule="auto"/>
        <w:rPr>
          <w:rFonts w:cs="Sylfaen"/>
          <w:bCs/>
          <w:lang w:val="fr-FR"/>
        </w:rPr>
      </w:pPr>
      <w:r>
        <w:rPr>
          <w:rFonts w:cs="Sylfaen"/>
          <w:bCs/>
          <w:lang w:val="fr-FR"/>
        </w:rPr>
        <w:t xml:space="preserve"> Խրախուսելով մասնավոր կազմակերպությունների մուտքը սոցիալական ծառայությունների մատուցման ոլորտ՝ ձևավորել մրցակցային միջավայր, ներդնել ֆինանսավորման այլընտրանքային մոդելներ, խթանել սոցիալական ծառայությունների բազմազանությունը։ </w:t>
      </w:r>
    </w:p>
    <w:p w14:paraId="7596CE9F" w14:textId="77777777" w:rsidR="00DA0E15" w:rsidRDefault="00362131">
      <w:pPr>
        <w:spacing w:after="0" w:line="276" w:lineRule="auto"/>
        <w:rPr>
          <w:rFonts w:cs="Sylfaen"/>
          <w:bCs/>
          <w:lang w:val="fr-FR"/>
        </w:rPr>
      </w:pPr>
      <w:r>
        <w:rPr>
          <w:rFonts w:cs="Sylfaen"/>
          <w:bCs/>
          <w:lang w:val="fr-FR"/>
        </w:rPr>
        <w:t>ժողովրդագրական իրավիճակի բարելավումը խթանելու նպատակով կյանքի կոչել ծնելիության խրախուսման, երիտասարդ և երեխաներ ունեցող ընտանիքների աջակցության ծրագրեր, իրագործել միջոցառումներ, որոնց արդյունքում ակնկալվում է, որ կբարձրանա ծնելիության գումարային գործակիցը:</w:t>
      </w:r>
    </w:p>
    <w:p w14:paraId="3581ABC3" w14:textId="77777777" w:rsidR="00DA0E15" w:rsidRDefault="00362131">
      <w:pPr>
        <w:spacing w:after="0" w:line="276" w:lineRule="auto"/>
        <w:rPr>
          <w:rFonts w:cs="Sylfaen"/>
          <w:bCs/>
          <w:lang w:val="fr-FR"/>
        </w:rPr>
      </w:pPr>
      <w:r>
        <w:rPr>
          <w:rFonts w:cs="Sylfaen"/>
          <w:bCs/>
          <w:lang w:val="fr-FR"/>
        </w:rPr>
        <w:t>Պարբերաբար բարձրացնել պետական կենսաթոշակների չափերը՝ ապահովելով գնաճի նկատմամբ միջին կենսաթոշակի չափի առաջանցիկ աճ:</w:t>
      </w:r>
    </w:p>
    <w:p w14:paraId="4AA73760" w14:textId="49EC3282" w:rsidR="00DA0E15" w:rsidRDefault="00362131">
      <w:pPr>
        <w:spacing w:after="0" w:line="276" w:lineRule="auto"/>
        <w:rPr>
          <w:rFonts w:cs="Sylfaen"/>
          <w:bCs/>
          <w:lang w:val="fr-FR"/>
        </w:rPr>
      </w:pPr>
      <w:r>
        <w:rPr>
          <w:rFonts w:cs="Sylfaen"/>
          <w:bCs/>
          <w:lang w:val="fr-FR"/>
        </w:rPr>
        <w:t>Բնակչության աղքատ խավի շրջանում կրթության և աշխատանքի քաջալերումը, գործարարությունը խթանող ծրագրերի իրականացումը, զբաղվածության կարգավորման ծրագրերի հասցեականության բարձրացումը, աշխատաշուկայում երիտասարդների, հաշմանդամություն ունեցող անձանց, կանանց մրցունակության բարձրացմանն ուղղված ծրագրերի իրականացումը, գործազրկության մակարդակի նվազումը:</w:t>
      </w:r>
    </w:p>
    <w:p w14:paraId="0C04280F" w14:textId="77777777" w:rsidR="00DA0E15" w:rsidRDefault="00362131">
      <w:pPr>
        <w:spacing w:after="0" w:line="276" w:lineRule="auto"/>
        <w:rPr>
          <w:rFonts w:cs="Sylfaen"/>
          <w:bCs/>
          <w:lang w:val="fr-FR"/>
        </w:rPr>
      </w:pPr>
      <w:r>
        <w:rPr>
          <w:rFonts w:cs="Sylfaen"/>
          <w:bCs/>
          <w:lang w:val="fr-FR"/>
        </w:rPr>
        <w:t xml:space="preserve">Հաշմանդամություն ունեցող անձանց իրավունքների իրացում՝ հնարավորինս բացառելով խտրականության դրսևորումը նրանց հանդեպ: </w:t>
      </w:r>
    </w:p>
    <w:p w14:paraId="1681742F" w14:textId="77777777" w:rsidR="00DA0E15" w:rsidRDefault="00362131">
      <w:pPr>
        <w:spacing w:after="0" w:line="276" w:lineRule="auto"/>
        <w:rPr>
          <w:rFonts w:cs="Sylfaen"/>
          <w:bCs/>
          <w:lang w:val="fr-FR"/>
        </w:rPr>
      </w:pPr>
      <w:r>
        <w:rPr>
          <w:rFonts w:cs="Sylfaen"/>
          <w:bCs/>
          <w:lang w:val="fr-FR"/>
        </w:rPr>
        <w:t>Հետևողական լինել երեխաների մուտքը մանկատներ կանխարգելելու, նրանց ընտանիք վերադարձնելու, ինչպես նաև մանկատնից դուրս եկող երիտասարդների անկախ կյանքի կազմակերպման գործընթացը սահուն կազմակերպելու հարցում։</w:t>
      </w:r>
    </w:p>
    <w:p w14:paraId="7F52F368" w14:textId="77777777" w:rsidR="00DA0E15" w:rsidRDefault="00362131">
      <w:pPr>
        <w:spacing w:after="0" w:line="276" w:lineRule="auto"/>
        <w:rPr>
          <w:rFonts w:cs="Sylfaen"/>
          <w:bCs/>
          <w:lang w:val="fr-FR"/>
        </w:rPr>
      </w:pPr>
      <w:r>
        <w:rPr>
          <w:rFonts w:cs="Sylfaen"/>
          <w:bCs/>
          <w:lang w:val="fr-FR"/>
        </w:rPr>
        <w:t>Խնամքի ծառայությունների գծով հիմնական թիրախներն են.</w:t>
      </w:r>
    </w:p>
    <w:p w14:paraId="2C50CFCC" w14:textId="77777777" w:rsidR="00DA0E15" w:rsidRDefault="00362131">
      <w:pPr>
        <w:spacing w:after="0" w:line="276" w:lineRule="auto"/>
        <w:rPr>
          <w:rFonts w:cs="Sylfaen"/>
          <w:bCs/>
          <w:lang w:val="fr-FR"/>
        </w:rPr>
      </w:pPr>
      <w:r>
        <w:rPr>
          <w:rFonts w:cs="Sylfaen"/>
          <w:bCs/>
          <w:lang w:val="fr-FR"/>
        </w:rPr>
        <w:t>- պետական միջոցների շրջանակում շահառուներին մատուցվող խնամքի ծառայությունների շարունակականության ապահովումը` խրախուսելով ծառայությունների պատվիրակումը մրցութային եղանակով ընտրված կազմակերպություններին,</w:t>
      </w:r>
    </w:p>
    <w:p w14:paraId="3340980E" w14:textId="77777777" w:rsidR="00DA0E15" w:rsidRDefault="00362131">
      <w:pPr>
        <w:spacing w:after="0" w:line="276" w:lineRule="auto"/>
        <w:rPr>
          <w:rFonts w:cs="Sylfaen"/>
          <w:bCs/>
          <w:lang w:val="fr-FR"/>
        </w:rPr>
      </w:pPr>
      <w:r>
        <w:rPr>
          <w:rFonts w:cs="Sylfaen"/>
          <w:bCs/>
          <w:lang w:val="fr-FR"/>
        </w:rPr>
        <w:t>- շահառուներին մատուցվող ծառայությունների որակի բարելավումը,</w:t>
      </w:r>
    </w:p>
    <w:p w14:paraId="50162DD9" w14:textId="77777777" w:rsidR="00DA0E15" w:rsidRDefault="00362131">
      <w:pPr>
        <w:spacing w:after="0" w:line="276" w:lineRule="auto"/>
        <w:rPr>
          <w:rFonts w:cs="Sylfaen"/>
          <w:bCs/>
          <w:lang w:val="fr-FR"/>
        </w:rPr>
      </w:pPr>
      <w:r>
        <w:rPr>
          <w:rFonts w:cs="Sylfaen"/>
          <w:bCs/>
          <w:lang w:val="fr-FR"/>
        </w:rPr>
        <w:t>- խնամքի ծառայությունների ապաինստիտուցիոնալացման գործընթացի համատեքստում այլընտրանքային ծառայությունների ընդլայնումը` ներգրավելով համայնքի ներուժը,</w:t>
      </w:r>
    </w:p>
    <w:p w14:paraId="7DE9B2B9" w14:textId="77777777" w:rsidR="00DA0E15" w:rsidRDefault="00362131">
      <w:pPr>
        <w:spacing w:after="0" w:line="276" w:lineRule="auto"/>
        <w:rPr>
          <w:rFonts w:cs="Sylfaen"/>
          <w:bCs/>
          <w:lang w:val="hy-AM"/>
        </w:rPr>
      </w:pPr>
      <w:r>
        <w:rPr>
          <w:rFonts w:cs="Sylfaen"/>
          <w:bCs/>
          <w:lang w:val="fr-FR"/>
        </w:rPr>
        <w:t>- վերը նշված գործընթացների իրականացումն ապահովելու նպատակով օրենսդրական դաշտի կատարելագործումը:</w:t>
      </w:r>
    </w:p>
    <w:p w14:paraId="097A5BB2" w14:textId="77777777" w:rsidR="00DA0E15" w:rsidRDefault="00362131">
      <w:pPr>
        <w:spacing w:after="0" w:line="276" w:lineRule="auto"/>
        <w:rPr>
          <w:rFonts w:cs="Sylfaen"/>
          <w:b/>
          <w:bCs/>
          <w:lang w:val="fr-FR"/>
        </w:rPr>
      </w:pPr>
      <w:r>
        <w:rPr>
          <w:rFonts w:cs="Sylfaen"/>
          <w:b/>
          <w:bCs/>
          <w:lang w:val="fr-FR"/>
        </w:rPr>
        <w:t xml:space="preserve">ՈԼՈՐՏԱՅԻՆ ԾԱԽՍԱՅԻՆ ԾՐԱԳՐԵՐԸ </w:t>
      </w:r>
    </w:p>
    <w:p w14:paraId="361C7223" w14:textId="77777777" w:rsidR="00DA0E15" w:rsidRDefault="00362131">
      <w:pPr>
        <w:spacing w:after="0" w:line="276" w:lineRule="auto"/>
        <w:rPr>
          <w:rFonts w:cs="Sylfaen"/>
          <w:bCs/>
          <w:lang w:val="fr-FR"/>
        </w:rPr>
      </w:pPr>
      <w:r>
        <w:rPr>
          <w:rFonts w:cs="Sylfaen"/>
          <w:bCs/>
          <w:lang w:val="fr-FR"/>
        </w:rPr>
        <w:t xml:space="preserve">1. </w:t>
      </w:r>
      <w:r>
        <w:rPr>
          <w:rFonts w:cs="Sylfaen"/>
          <w:b/>
          <w:bCs/>
          <w:lang w:val="fr-FR"/>
        </w:rPr>
        <w:t>Անապահով սոցիալական խմբերին աջակցության ծրագրի (1011)</w:t>
      </w:r>
      <w:r>
        <w:rPr>
          <w:rFonts w:cs="Sylfaen"/>
          <w:bCs/>
          <w:lang w:val="fr-FR"/>
        </w:rPr>
        <w:t xml:space="preserve"> նպատակն է օժանդակել անապահով ընտանիքների կենսամակարդակի բարձրացմանը:</w:t>
      </w:r>
    </w:p>
    <w:p w14:paraId="7C538493" w14:textId="77777777" w:rsidR="00DA0E15" w:rsidRDefault="00362131">
      <w:pPr>
        <w:spacing w:after="0" w:line="276" w:lineRule="auto"/>
        <w:rPr>
          <w:rFonts w:cs="Sylfaen"/>
          <w:bCs/>
          <w:lang w:val="fr-FR"/>
        </w:rPr>
      </w:pPr>
      <w:r>
        <w:rPr>
          <w:rFonts w:cs="Sylfaen"/>
          <w:bCs/>
          <w:lang w:val="fr-FR"/>
        </w:rPr>
        <w:t xml:space="preserve">Ծրագրի գծով 2022-2024թթ ժամանակահատվածում նախատեսվում է հատկացնել համապատասխանաբար 31,109.8 մլն դրամ, 31,097.5 մլն դրամ և 31,097.5 մլն դրամ: </w:t>
      </w:r>
    </w:p>
    <w:p w14:paraId="2B11EFC5" w14:textId="77777777" w:rsidR="00DA0E15" w:rsidRDefault="00362131">
      <w:pPr>
        <w:spacing w:after="0" w:line="276" w:lineRule="auto"/>
        <w:rPr>
          <w:rFonts w:cs="Sylfaen"/>
          <w:bCs/>
          <w:lang w:val="fr-FR"/>
        </w:rPr>
      </w:pPr>
      <w:r>
        <w:rPr>
          <w:rFonts w:cs="Sylfaen"/>
          <w:b/>
          <w:bCs/>
          <w:lang w:val="fr-FR"/>
        </w:rPr>
        <w:t>2. Ժողովրդագրական վիճակի բարելավման ծրագրի (1068)</w:t>
      </w:r>
      <w:r>
        <w:rPr>
          <w:rFonts w:cs="Sylfaen"/>
          <w:bCs/>
          <w:lang w:val="fr-FR"/>
        </w:rPr>
        <w:t xml:space="preserve"> նպատակն է խթանել ժողովրդագրական վիճակի բարելավումը:</w:t>
      </w:r>
    </w:p>
    <w:p w14:paraId="6A280F7D" w14:textId="19E1240A" w:rsidR="00DA0E15" w:rsidRPr="001B265C" w:rsidRDefault="00362131">
      <w:pPr>
        <w:spacing w:after="0" w:line="276" w:lineRule="auto"/>
        <w:rPr>
          <w:rFonts w:cs="Sylfaen"/>
          <w:bCs/>
          <w:lang w:val="hy-AM"/>
        </w:rPr>
      </w:pPr>
      <w:r>
        <w:rPr>
          <w:rFonts w:cs="Sylfaen"/>
          <w:bCs/>
          <w:lang w:val="fr-FR"/>
        </w:rPr>
        <w:t>Ծրագրի գծով 2022-2024թթ ժամանակահատվածում նախատեսվում է հատկացնել համապատասխանաբար 23,496,4 մլն դրամ, 24,755.2 մլն դրամ և 24,755.2  մլն դրամ</w:t>
      </w:r>
      <w:r w:rsidR="001B265C">
        <w:rPr>
          <w:rFonts w:cs="Sylfaen"/>
          <w:bCs/>
          <w:lang w:val="fr-FR"/>
        </w:rPr>
        <w:t>:</w:t>
      </w:r>
    </w:p>
    <w:p w14:paraId="1DE70DB9" w14:textId="77777777" w:rsidR="00DA0E15" w:rsidRDefault="00362131">
      <w:pPr>
        <w:spacing w:after="0" w:line="276" w:lineRule="auto"/>
        <w:rPr>
          <w:rFonts w:cs="Sylfaen"/>
          <w:bCs/>
          <w:lang w:val="fr-FR"/>
        </w:rPr>
      </w:pPr>
      <w:r>
        <w:rPr>
          <w:rFonts w:cs="Sylfaen"/>
          <w:b/>
          <w:bCs/>
          <w:lang w:val="fr-FR"/>
        </w:rPr>
        <w:t>3. Կենսաթոշակային ապահովության ծրագրի (1102)</w:t>
      </w:r>
      <w:r>
        <w:rPr>
          <w:rFonts w:cs="Sylfaen"/>
          <w:bCs/>
          <w:lang w:val="fr-FR"/>
        </w:rPr>
        <w:t xml:space="preserve"> նպատակն է կենսաթոշակի իրավունքի իրացումը</w:t>
      </w:r>
      <w:r>
        <w:rPr>
          <w:rFonts w:ascii="Calibri" w:hAnsi="Calibri" w:cs="Calibri"/>
          <w:bCs/>
          <w:lang w:val="fr-FR"/>
        </w:rPr>
        <w:t> </w:t>
      </w:r>
      <w:r>
        <w:rPr>
          <w:rFonts w:cs="Sylfaen"/>
          <w:bCs/>
          <w:lang w:val="fr-FR"/>
        </w:rPr>
        <w:t>:</w:t>
      </w:r>
    </w:p>
    <w:p w14:paraId="4406277B" w14:textId="0102A6E0" w:rsidR="00DA0E15" w:rsidRPr="004569A6" w:rsidRDefault="00362131">
      <w:pPr>
        <w:spacing w:after="0" w:line="276" w:lineRule="auto"/>
        <w:rPr>
          <w:rFonts w:cs="Sylfaen"/>
          <w:bCs/>
          <w:lang w:val="hy-AM"/>
        </w:rPr>
      </w:pPr>
      <w:r>
        <w:rPr>
          <w:rFonts w:cs="Sylfaen"/>
          <w:bCs/>
          <w:lang w:val="fr-FR"/>
        </w:rPr>
        <w:t>Ծրագրի գծով 2022-2024թթ ժամանակահատվածում նախատեսվում է հատկացնել համապատասխանաբար 335,034.3 մլն դրամ, 361,172.3 մլն դրամ և 361,172.3 մլն դրամ</w:t>
      </w:r>
      <w:r w:rsidR="004569A6">
        <w:rPr>
          <w:rFonts w:cs="Sylfaen"/>
          <w:bCs/>
          <w:lang w:val="fr-FR"/>
        </w:rPr>
        <w:t>:</w:t>
      </w:r>
    </w:p>
    <w:p w14:paraId="3B257925" w14:textId="77777777" w:rsidR="00DA0E15" w:rsidRDefault="00362131">
      <w:pPr>
        <w:spacing w:after="0" w:line="276" w:lineRule="auto"/>
        <w:rPr>
          <w:rFonts w:cs="Sylfaen"/>
          <w:bCs/>
          <w:lang w:val="fr-FR"/>
        </w:rPr>
      </w:pPr>
      <w:r>
        <w:rPr>
          <w:rFonts w:cs="Sylfaen"/>
          <w:b/>
          <w:bCs/>
          <w:lang w:val="fr-FR"/>
        </w:rPr>
        <w:t>4. Զբաղվածության ծրագրի (1088</w:t>
      </w:r>
      <w:r>
        <w:rPr>
          <w:rFonts w:cs="Sylfaen"/>
          <w:bCs/>
          <w:lang w:val="fr-FR"/>
        </w:rPr>
        <w:t>) նպատակն է կայուն և ժամանակավոր զբաղվածության ապահովումը:</w:t>
      </w:r>
    </w:p>
    <w:p w14:paraId="27A543A7" w14:textId="702A0439" w:rsidR="00DA0E15" w:rsidRPr="004569A6" w:rsidRDefault="00362131">
      <w:pPr>
        <w:spacing w:after="0" w:line="276" w:lineRule="auto"/>
        <w:rPr>
          <w:rFonts w:cs="Sylfaen"/>
          <w:bCs/>
          <w:lang w:val="hy-AM"/>
        </w:rPr>
      </w:pPr>
      <w:r>
        <w:rPr>
          <w:rFonts w:cs="Sylfaen"/>
          <w:bCs/>
          <w:lang w:val="fr-FR"/>
        </w:rPr>
        <w:t>Ծրագրի գծով 2022-2024թթ ժամանակահատվածում նախատեսվում է հատկացնել համապատասխանաբար 1,945.0մլն դրամ, 2,049.9 մլն դրամ և 2,049.9 մլն դրամ</w:t>
      </w:r>
      <w:r w:rsidR="004569A6">
        <w:rPr>
          <w:rFonts w:cs="Sylfaen"/>
          <w:bCs/>
          <w:lang w:val="fr-FR"/>
        </w:rPr>
        <w:t>:</w:t>
      </w:r>
    </w:p>
    <w:p w14:paraId="0A2134E3" w14:textId="77777777" w:rsidR="00DA0E15" w:rsidRDefault="00362131">
      <w:pPr>
        <w:spacing w:after="0" w:line="276" w:lineRule="auto"/>
        <w:rPr>
          <w:rFonts w:cs="Sylfaen"/>
          <w:bCs/>
          <w:lang w:val="fr-FR"/>
        </w:rPr>
      </w:pPr>
      <w:r>
        <w:rPr>
          <w:rFonts w:cs="Sylfaen"/>
          <w:b/>
          <w:bCs/>
          <w:lang w:val="fr-FR"/>
        </w:rPr>
        <w:t>5. Խնամքի ծառայություններ 18 տարեկանից բարձր տարիքի անձանց ծրագրի (1032)</w:t>
      </w:r>
      <w:r>
        <w:rPr>
          <w:rFonts w:cs="Sylfaen"/>
          <w:bCs/>
          <w:lang w:val="fr-FR"/>
        </w:rPr>
        <w:t xml:space="preserve"> նպատակն է խնամքի կարիք ունեցող 18 տարեկանից բարձր տարիքի անձանց բնականոն կենսագործունեության ապահովումը</w:t>
      </w:r>
      <w:r>
        <w:rPr>
          <w:rFonts w:ascii="Calibri" w:hAnsi="Calibri" w:cs="Calibri"/>
          <w:bCs/>
          <w:lang w:val="fr-FR"/>
        </w:rPr>
        <w:t> </w:t>
      </w:r>
      <w:r>
        <w:rPr>
          <w:rFonts w:cs="Sylfaen"/>
          <w:bCs/>
          <w:lang w:val="fr-FR"/>
        </w:rPr>
        <w:t>:</w:t>
      </w:r>
    </w:p>
    <w:p w14:paraId="36F6AC6D" w14:textId="77777777" w:rsidR="00DA0E15" w:rsidRDefault="00362131">
      <w:pPr>
        <w:spacing w:after="0" w:line="276" w:lineRule="auto"/>
        <w:rPr>
          <w:rFonts w:cs="Sylfaen"/>
          <w:bCs/>
          <w:lang w:val="fr-FR"/>
        </w:rPr>
      </w:pPr>
      <w:r>
        <w:rPr>
          <w:rFonts w:cs="Sylfaen"/>
          <w:bCs/>
          <w:lang w:val="fr-FR"/>
        </w:rPr>
        <w:t>Ծրագրի գծով 2022-2024թթ ժամանակահատվածում նախատեսվում է հատկացնել համապատասխանաբար 2,908.7 մլն դրամ, 3,067.1 մլն դրամ և 3,067.1 մլն դրամ:</w:t>
      </w:r>
    </w:p>
    <w:p w14:paraId="3041A1C6" w14:textId="77777777" w:rsidR="00DA0E15" w:rsidRDefault="00362131">
      <w:pPr>
        <w:spacing w:after="0" w:line="276" w:lineRule="auto"/>
        <w:rPr>
          <w:rFonts w:cs="Sylfaen"/>
          <w:bCs/>
          <w:lang w:val="fr-FR"/>
        </w:rPr>
      </w:pPr>
      <w:r>
        <w:rPr>
          <w:rFonts w:cs="Sylfaen"/>
          <w:b/>
          <w:bCs/>
          <w:lang w:val="fr-FR"/>
        </w:rPr>
        <w:t>6. Հաշմանդամություն ունեցող անձանց աջակցության ծրագրի (1160)</w:t>
      </w:r>
      <w:r>
        <w:rPr>
          <w:rFonts w:cs="Sylfaen"/>
          <w:bCs/>
          <w:lang w:val="fr-FR"/>
        </w:rPr>
        <w:t xml:space="preserve"> նպատակն է աջակցել հաշմանդամություն ունեցող անձանց սոցիալական ներառմանը հասարակություն:</w:t>
      </w:r>
    </w:p>
    <w:p w14:paraId="60E7EA0A" w14:textId="77777777" w:rsidR="00DA0E15" w:rsidRDefault="00362131">
      <w:pPr>
        <w:spacing w:after="0" w:line="276" w:lineRule="auto"/>
        <w:rPr>
          <w:rFonts w:cs="Sylfaen"/>
          <w:bCs/>
          <w:lang w:val="fr-FR"/>
        </w:rPr>
      </w:pPr>
      <w:r>
        <w:rPr>
          <w:rFonts w:cs="Sylfaen"/>
          <w:bCs/>
          <w:lang w:val="fr-FR"/>
        </w:rPr>
        <w:t xml:space="preserve"> Ծրագրի գծով 2022-2024թթ ժամանակահատվածում նախատեսվում է հատկացնել համապատասխանաբար 1,118.1 մլն դրամ, 1,178.9 մլն դրամ և 1,178.9 մլն դրամ: </w:t>
      </w:r>
    </w:p>
    <w:p w14:paraId="3C0A7BEB" w14:textId="16F0F253" w:rsidR="00DA0E15" w:rsidRDefault="00362131">
      <w:pPr>
        <w:spacing w:after="0" w:line="276" w:lineRule="auto"/>
        <w:rPr>
          <w:rFonts w:cs="Sylfaen"/>
          <w:bCs/>
          <w:lang w:val="fr-FR"/>
        </w:rPr>
      </w:pPr>
      <w:r>
        <w:rPr>
          <w:rFonts w:cs="Sylfaen"/>
          <w:b/>
          <w:bCs/>
          <w:lang w:val="fr-FR"/>
        </w:rPr>
        <w:t>7. Ընտանիքներին, կանանց և երեխաներին աջակցության ծրագրի (1141)</w:t>
      </w:r>
      <w:r>
        <w:rPr>
          <w:rFonts w:cs="Sylfaen"/>
          <w:bCs/>
          <w:lang w:val="fr-FR"/>
        </w:rPr>
        <w:t xml:space="preserve"> նպատակն է կյանքի դժվարին իրավիճակում հայտնված ըտանիքների՝ կանանց և երեխաների հիմնական պահանջմունքների, սոցիալական կարիքների բավարարումն և ինտեգրում</w:t>
      </w:r>
      <w:r w:rsidR="004569A6">
        <w:rPr>
          <w:rFonts w:cs="Sylfaen"/>
          <w:bCs/>
          <w:lang w:val="hy-AM"/>
        </w:rPr>
        <w:t>ը</w:t>
      </w:r>
      <w:r>
        <w:rPr>
          <w:rFonts w:cs="Sylfaen"/>
          <w:bCs/>
          <w:lang w:val="fr-FR"/>
        </w:rPr>
        <w:t xml:space="preserve"> հասարակություն:</w:t>
      </w:r>
    </w:p>
    <w:p w14:paraId="7940AAA1" w14:textId="77777777" w:rsidR="00DA0E15" w:rsidRDefault="00362131">
      <w:pPr>
        <w:spacing w:after="0" w:line="276" w:lineRule="auto"/>
        <w:rPr>
          <w:rFonts w:cs="Sylfaen"/>
          <w:bCs/>
          <w:lang w:val="fr-FR"/>
        </w:rPr>
      </w:pPr>
      <w:r>
        <w:rPr>
          <w:rFonts w:cs="Sylfaen"/>
          <w:bCs/>
          <w:lang w:val="fr-FR"/>
        </w:rPr>
        <w:t xml:space="preserve">Ծրագրի գծով 2022-2024թթ ժամանակահատվածում նախատեսվում է հատկացնել համապատասխանաբար 3,460.6 մլն դրամ, 3,648.8 մլն դրամ և 3,648.8 մլն դրամ: </w:t>
      </w:r>
    </w:p>
    <w:p w14:paraId="40DECE89" w14:textId="77777777" w:rsidR="00DA0E15" w:rsidRDefault="00362131">
      <w:pPr>
        <w:spacing w:after="0" w:line="276" w:lineRule="auto"/>
        <w:rPr>
          <w:rFonts w:cs="Sylfaen"/>
          <w:bCs/>
          <w:lang w:val="fr-FR"/>
        </w:rPr>
      </w:pPr>
      <w:r>
        <w:rPr>
          <w:rFonts w:cs="Sylfaen"/>
          <w:b/>
          <w:bCs/>
          <w:lang w:val="fr-FR"/>
        </w:rPr>
        <w:t>8. Պարգևավճարներ և պատվովճարներ ծրագրի (1005)</w:t>
      </w:r>
      <w:r>
        <w:rPr>
          <w:rFonts w:cs="Sylfaen"/>
          <w:bCs/>
          <w:lang w:val="fr-FR"/>
        </w:rPr>
        <w:t xml:space="preserve"> նպատակն է պետական հոգածության դրսևորում՝ առանձին կատեգորիայի քաղաքացիներին և նրանց ընտանիքներին սոցիալական երաշխիքների տրամադրումը:</w:t>
      </w:r>
    </w:p>
    <w:p w14:paraId="3EA634E9" w14:textId="77777777" w:rsidR="00DA0E15" w:rsidRDefault="00362131">
      <w:pPr>
        <w:spacing w:after="0" w:line="276" w:lineRule="auto"/>
        <w:rPr>
          <w:rFonts w:cs="Sylfaen"/>
          <w:bCs/>
          <w:lang w:val="fr-FR"/>
        </w:rPr>
      </w:pPr>
      <w:r>
        <w:rPr>
          <w:rFonts w:cs="Sylfaen"/>
          <w:bCs/>
          <w:lang w:val="fr-FR"/>
        </w:rPr>
        <w:t xml:space="preserve">Ծրագրի գծով 2022-2024թթ ժամանակահատվածում նախատեսվում է հատկացնել համապատասխանաբար 10,449.7 մլն դրամ, 10,965.8 մլն դրամ և 10,965.8 մլն դրամ: </w:t>
      </w:r>
    </w:p>
    <w:p w14:paraId="564E65F5" w14:textId="77777777" w:rsidR="00442502" w:rsidRDefault="00362131">
      <w:pPr>
        <w:spacing w:after="0" w:line="276" w:lineRule="auto"/>
        <w:rPr>
          <w:rFonts w:cs="Sylfaen"/>
          <w:bCs/>
          <w:lang w:val="hy-AM"/>
        </w:rPr>
      </w:pPr>
      <w:r>
        <w:rPr>
          <w:rFonts w:cs="Sylfaen"/>
          <w:b/>
          <w:bCs/>
          <w:lang w:val="fr-FR"/>
        </w:rPr>
        <w:t>9. Պետական հիմնարկների և կազմակերպությունների աշխատողների սոցիալական փաթեթով ապահովման ծրագրի (1015)</w:t>
      </w:r>
      <w:r>
        <w:rPr>
          <w:rFonts w:cs="Sylfaen"/>
          <w:bCs/>
          <w:lang w:val="fr-FR"/>
        </w:rPr>
        <w:t xml:space="preserve"> նպատակն է պետական հիմնարկների և կազմակերպությունների աշխատողների՝ հիպոթեքային վարկի ամսական վճարի, ուսման վճարի և հանգստի ապահովման գծով ծախսերի փոխհատուցումը:</w:t>
      </w:r>
    </w:p>
    <w:p w14:paraId="19B6EA5A" w14:textId="0D06DA61" w:rsidR="00DA0E15" w:rsidRDefault="00362131">
      <w:pPr>
        <w:spacing w:after="0" w:line="276" w:lineRule="auto"/>
        <w:rPr>
          <w:rFonts w:cs="Sylfaen"/>
          <w:bCs/>
          <w:lang w:val="fr-FR"/>
        </w:rPr>
      </w:pPr>
      <w:r>
        <w:rPr>
          <w:rFonts w:cs="Sylfaen"/>
          <w:bCs/>
          <w:lang w:val="fr-FR"/>
        </w:rPr>
        <w:t>Ծրագրի գծով 2022-2024թթ ժամանակահատվածում նախատեսվում է հատկացնել համապատասխանաբար 9,949.8 մլն դրամ, 10,491.4 մլն դրամ և</w:t>
      </w:r>
      <w:r w:rsidR="00442502">
        <w:rPr>
          <w:rFonts w:cs="Sylfaen"/>
          <w:bCs/>
          <w:lang w:val="fr-FR"/>
        </w:rPr>
        <w:t xml:space="preserve"> 10,491.4</w:t>
      </w:r>
      <w:r>
        <w:rPr>
          <w:rFonts w:cs="Sylfaen"/>
          <w:bCs/>
          <w:lang w:val="fr-FR"/>
        </w:rPr>
        <w:t xml:space="preserve"> մլն դրամ: </w:t>
      </w:r>
    </w:p>
    <w:p w14:paraId="19492FC7" w14:textId="77777777" w:rsidR="00DA0E15" w:rsidRDefault="00362131">
      <w:pPr>
        <w:spacing w:after="0" w:line="276" w:lineRule="auto"/>
        <w:rPr>
          <w:rFonts w:cs="Sylfaen"/>
          <w:bCs/>
          <w:lang w:val="fr-FR"/>
        </w:rPr>
      </w:pPr>
      <w:r>
        <w:rPr>
          <w:rFonts w:cs="Sylfaen"/>
          <w:b/>
          <w:bCs/>
          <w:lang w:val="fr-FR"/>
        </w:rPr>
        <w:t>10. Սոցիալական աջակցություն անաշխատունակության դեպքում ծրագրի (1082)</w:t>
      </w:r>
      <w:r>
        <w:rPr>
          <w:rFonts w:cs="Sylfaen"/>
          <w:bCs/>
          <w:lang w:val="fr-FR"/>
        </w:rPr>
        <w:t xml:space="preserve"> նպատակն է կորցրած եկամուտների մասնակի փոխհատուցումը:</w:t>
      </w:r>
    </w:p>
    <w:p w14:paraId="27BA97CC" w14:textId="77777777" w:rsidR="00DA0E15" w:rsidRDefault="00362131">
      <w:pPr>
        <w:spacing w:after="0" w:line="276" w:lineRule="auto"/>
        <w:rPr>
          <w:rFonts w:cs="Sylfaen"/>
          <w:bCs/>
          <w:lang w:val="fr-FR"/>
        </w:rPr>
      </w:pPr>
      <w:r>
        <w:rPr>
          <w:rFonts w:cs="Sylfaen"/>
          <w:bCs/>
          <w:lang w:val="fr-FR"/>
        </w:rPr>
        <w:t>Ծրագրի գծով 2022-2024թթ ժամանակահատվածում նախատեսվում է հատկացնել համապատասխանաբար 13,444.1 մլն դրամ, 14,178.7 մլն դրամ և 14,178.7 մլն դրամ:</w:t>
      </w:r>
    </w:p>
    <w:p w14:paraId="3C5E30EC" w14:textId="3BD4774E" w:rsidR="00DA0E15" w:rsidRPr="004754F7" w:rsidRDefault="00362131">
      <w:pPr>
        <w:spacing w:after="0" w:line="276" w:lineRule="auto"/>
        <w:rPr>
          <w:rFonts w:cs="Sylfaen"/>
          <w:bCs/>
          <w:lang w:val="hy-AM"/>
        </w:rPr>
      </w:pPr>
      <w:r>
        <w:rPr>
          <w:rFonts w:cs="Sylfaen"/>
          <w:b/>
          <w:bCs/>
          <w:lang w:val="fr-FR"/>
        </w:rPr>
        <w:t>11. Սոցիալական պաշտպանության ոլորտի զարգացման ծրագրի (1153)</w:t>
      </w:r>
      <w:r>
        <w:rPr>
          <w:rFonts w:cs="Sylfaen"/>
          <w:bCs/>
          <w:lang w:val="fr-FR"/>
        </w:rPr>
        <w:t xml:space="preserve"> նպատակն է սոցիալական պաշտպանության ոլորտի քաղաքականության՝ ծրագրերի գիտահետազոտական և մասնագիտական կապիտալի զարգացման ապահովումը</w:t>
      </w:r>
      <w:r w:rsidR="004754F7">
        <w:rPr>
          <w:rFonts w:cs="Sylfaen"/>
          <w:bCs/>
          <w:lang w:val="fr-FR"/>
        </w:rPr>
        <w:t>:</w:t>
      </w:r>
    </w:p>
    <w:p w14:paraId="04878FFA" w14:textId="34B071D5" w:rsidR="00DA0E15" w:rsidRDefault="00362131">
      <w:pPr>
        <w:spacing w:after="0" w:line="276" w:lineRule="auto"/>
        <w:rPr>
          <w:rFonts w:cs="Sylfaen"/>
          <w:bCs/>
          <w:lang w:val="fr-FR"/>
        </w:rPr>
      </w:pPr>
      <w:r>
        <w:rPr>
          <w:rFonts w:cs="Sylfaen"/>
          <w:bCs/>
          <w:lang w:val="fr-FR"/>
        </w:rPr>
        <w:t>Ծրագրի գծով 2022-2024թթ ժամանակահատվածում նախատեսվում է հատկացնել համապատասխանաբար 120,2 մլն դրամ, 126,7 մլն դրամ և</w:t>
      </w:r>
      <w:r w:rsidR="004754F7">
        <w:rPr>
          <w:rFonts w:cs="Sylfaen"/>
          <w:bCs/>
          <w:lang w:val="fr-FR"/>
        </w:rPr>
        <w:t xml:space="preserve"> 126,7 </w:t>
      </w:r>
      <w:r>
        <w:rPr>
          <w:rFonts w:cs="Sylfaen"/>
          <w:bCs/>
          <w:lang w:val="fr-FR"/>
        </w:rPr>
        <w:t xml:space="preserve">մլն դրամ: </w:t>
      </w:r>
    </w:p>
    <w:p w14:paraId="5FAB0CCF" w14:textId="77777777" w:rsidR="00DA0E15" w:rsidRDefault="00362131">
      <w:pPr>
        <w:spacing w:after="0" w:line="276" w:lineRule="auto"/>
        <w:rPr>
          <w:rFonts w:cs="Sylfaen"/>
          <w:bCs/>
          <w:lang w:val="fr-FR"/>
        </w:rPr>
      </w:pPr>
      <w:r>
        <w:rPr>
          <w:rFonts w:cs="Sylfaen"/>
          <w:b/>
          <w:bCs/>
          <w:lang w:val="fr-FR"/>
        </w:rPr>
        <w:t>12. Ավանդների և այլ փոխհատուցումների ծրագրի (1153)</w:t>
      </w:r>
      <w:r>
        <w:rPr>
          <w:rFonts w:cs="Sylfaen"/>
          <w:bCs/>
          <w:lang w:val="fr-FR"/>
        </w:rPr>
        <w:t xml:space="preserve"> նպատակն է «ՎՏԲ-Հայաստան» ՓԲԸ-ում ավանդատու հանդիսացող քաղաքացիների, որպես նախկին ԽՍՀՄ Խնայբանկի ՀԽՍՀ հանրապետական բանկում մինչև 1993 թվականի հունիսի 10-ը ներդրված դրամական ավանդների դիմաց փոխհատուցումը:</w:t>
      </w:r>
    </w:p>
    <w:p w14:paraId="40175ABC" w14:textId="77777777" w:rsidR="00DA0E15" w:rsidRDefault="00362131">
      <w:pPr>
        <w:spacing w:after="0" w:line="276" w:lineRule="auto"/>
        <w:rPr>
          <w:rFonts w:cs="Sylfaen"/>
          <w:bCs/>
          <w:lang w:val="fr-FR"/>
        </w:rPr>
      </w:pPr>
      <w:r>
        <w:rPr>
          <w:rFonts w:cs="Sylfaen"/>
          <w:bCs/>
          <w:lang w:val="fr-FR"/>
        </w:rPr>
        <w:t>Ծրագրի գծով 2022-2024թթ ժամանակահատվածում նախատեսվում է հատկացնել համապատասխանաբար 1,135.6 մլն դրամ, 1,197.4 մլն դրամ և 1,197.4 մլն դրամ:</w:t>
      </w:r>
    </w:p>
    <w:p w14:paraId="5B00A999" w14:textId="77777777" w:rsidR="00DA0E15" w:rsidRDefault="00362131">
      <w:pPr>
        <w:spacing w:after="0" w:line="276" w:lineRule="auto"/>
        <w:rPr>
          <w:rFonts w:cs="Sylfaen"/>
          <w:bCs/>
          <w:lang w:val="fr-FR"/>
        </w:rPr>
      </w:pPr>
      <w:r>
        <w:rPr>
          <w:rFonts w:cs="Sylfaen"/>
          <w:b/>
          <w:bCs/>
          <w:lang w:val="fr-FR"/>
        </w:rPr>
        <w:t>13. Սոցիալական ապահովության ծրագրի (1205)</w:t>
      </w:r>
      <w:r>
        <w:rPr>
          <w:rFonts w:cs="Sylfaen"/>
          <w:bCs/>
          <w:lang w:val="fr-FR"/>
        </w:rPr>
        <w:t xml:space="preserve"> նպատակն է սոցիալական ապահովության իրավունքի իրականացման ապահովումը</w:t>
      </w:r>
      <w:r>
        <w:rPr>
          <w:rFonts w:ascii="Calibri" w:hAnsi="Calibri" w:cs="Calibri"/>
          <w:bCs/>
          <w:lang w:val="fr-FR"/>
        </w:rPr>
        <w:t> </w:t>
      </w:r>
      <w:r>
        <w:rPr>
          <w:rFonts w:cs="Sylfaen"/>
          <w:bCs/>
          <w:lang w:val="fr-FR"/>
        </w:rPr>
        <w:t>:</w:t>
      </w:r>
    </w:p>
    <w:p w14:paraId="4377417A" w14:textId="77777777" w:rsidR="00DA0E15" w:rsidRDefault="00362131">
      <w:pPr>
        <w:spacing w:after="0" w:line="276" w:lineRule="auto"/>
        <w:rPr>
          <w:rFonts w:cs="Sylfaen"/>
          <w:bCs/>
          <w:lang w:val="fr-FR"/>
        </w:rPr>
      </w:pPr>
      <w:r>
        <w:rPr>
          <w:rFonts w:cs="Sylfaen"/>
          <w:bCs/>
          <w:lang w:val="fr-FR"/>
        </w:rPr>
        <w:t xml:space="preserve">Ծրագրի գծով 2022-2024թթ ժամանակահատվածում նախատեսվում է հատկացնել համապատասխանաբար 28,913.0 մլն դրամ, 30,485.6 մլն դրամ և 30,485.6 մլն դրամ: </w:t>
      </w:r>
    </w:p>
    <w:p w14:paraId="5117B891" w14:textId="77777777" w:rsidR="00DA0E15" w:rsidRDefault="00362131">
      <w:pPr>
        <w:spacing w:after="0"/>
        <w:rPr>
          <w:rFonts w:cs="Sylfaen"/>
          <w:bCs/>
          <w:lang w:val="fr-FR"/>
        </w:rPr>
      </w:pPr>
      <w:r>
        <w:rPr>
          <w:rFonts w:cs="Sylfaen"/>
          <w:b/>
          <w:bCs/>
          <w:lang w:val="fr-FR"/>
        </w:rPr>
        <w:t>14. Բնակարանային ապահովման ծրագրի (1098)</w:t>
      </w:r>
      <w:r>
        <w:rPr>
          <w:rFonts w:cs="Sylfaen"/>
          <w:bCs/>
          <w:lang w:val="fr-FR"/>
        </w:rPr>
        <w:t xml:space="preserve"> նպատակն է ոչ անվտանգ բնակության պայմաններում (վթարային շենքերում, ժամանակավոր կացարաններում, ոչ հիմնական շինություններում և այլն) բնակվող ընտանիքներին անվտանգ, պատշաճ, սանիտարահիգիենիկ պահանջներին բավարարող բնակարաններով ապահովումը, ինչպես նաև զոհված (մահացած), զին</w:t>
      </w:r>
      <w:r>
        <w:rPr>
          <w:rFonts w:cs="Sylfaen"/>
          <w:bCs/>
          <w:lang w:val="fr-FR"/>
        </w:rPr>
        <w:softHyphen/>
        <w:t>վո</w:t>
      </w:r>
      <w:r>
        <w:rPr>
          <w:rFonts w:cs="Sylfaen"/>
          <w:bCs/>
          <w:lang w:val="fr-FR"/>
        </w:rPr>
        <w:softHyphen/>
        <w:t>րա</w:t>
      </w:r>
      <w:r>
        <w:rPr>
          <w:rFonts w:cs="Sylfaen"/>
          <w:bCs/>
          <w:lang w:val="fr-FR"/>
        </w:rPr>
        <w:softHyphen/>
        <w:t>կան որևէ պատ</w:t>
      </w:r>
      <w:r>
        <w:rPr>
          <w:rFonts w:cs="Sylfaen"/>
          <w:bCs/>
          <w:lang w:val="fr-FR"/>
        </w:rPr>
        <w:softHyphen/>
        <w:t>ճառական կապով հաշ</w:t>
      </w:r>
      <w:r>
        <w:rPr>
          <w:rFonts w:cs="Sylfaen"/>
          <w:bCs/>
          <w:lang w:val="fr-FR"/>
        </w:rPr>
        <w:softHyphen/>
        <w:t>ման</w:t>
      </w:r>
      <w:r>
        <w:rPr>
          <w:rFonts w:cs="Sylfaen"/>
          <w:bCs/>
          <w:lang w:val="fr-FR"/>
        </w:rPr>
        <w:softHyphen/>
        <w:t>դամ դարձած զին</w:t>
      </w:r>
      <w:r>
        <w:rPr>
          <w:rFonts w:cs="Sylfaen"/>
          <w:bCs/>
          <w:lang w:val="fr-FR"/>
        </w:rPr>
        <w:softHyphen/>
        <w:t>ծա</w:t>
      </w:r>
      <w:r>
        <w:rPr>
          <w:rFonts w:cs="Sylfaen"/>
          <w:bCs/>
          <w:lang w:val="fr-FR"/>
        </w:rPr>
        <w:softHyphen/>
        <w:t>ռա</w:t>
      </w:r>
      <w:r>
        <w:rPr>
          <w:rFonts w:cs="Sylfaen"/>
          <w:bCs/>
          <w:lang w:val="fr-FR"/>
        </w:rPr>
        <w:softHyphen/>
        <w:t>յող</w:t>
      </w:r>
      <w:r>
        <w:rPr>
          <w:rFonts w:cs="Sylfaen"/>
          <w:bCs/>
          <w:lang w:val="fr-FR"/>
        </w:rPr>
        <w:softHyphen/>
      </w:r>
      <w:r>
        <w:rPr>
          <w:rFonts w:cs="Sylfaen"/>
          <w:bCs/>
          <w:lang w:val="fr-FR"/>
        </w:rPr>
        <w:softHyphen/>
        <w:t>նե</w:t>
      </w:r>
      <w:r>
        <w:rPr>
          <w:rFonts w:cs="Sylfaen"/>
          <w:bCs/>
          <w:lang w:val="fr-FR"/>
        </w:rPr>
        <w:softHyphen/>
        <w:t>րի բնա</w:t>
      </w:r>
      <w:r>
        <w:rPr>
          <w:rFonts w:cs="Sylfaen"/>
          <w:bCs/>
          <w:lang w:val="fr-FR"/>
        </w:rPr>
        <w:softHyphen/>
      </w:r>
      <w:r>
        <w:rPr>
          <w:rFonts w:cs="Sylfaen"/>
          <w:bCs/>
          <w:lang w:val="fr-FR"/>
        </w:rPr>
        <w:softHyphen/>
        <w:t>կա</w:t>
      </w:r>
      <w:r>
        <w:rPr>
          <w:rFonts w:cs="Sylfaen"/>
          <w:bCs/>
          <w:lang w:val="fr-FR"/>
        </w:rPr>
        <w:softHyphen/>
        <w:t>րա</w:t>
      </w:r>
      <w:r>
        <w:rPr>
          <w:rFonts w:cs="Sylfaen"/>
          <w:bCs/>
          <w:lang w:val="fr-FR"/>
        </w:rPr>
        <w:softHyphen/>
        <w:t>նի կարիքավոր ընտա</w:t>
      </w:r>
      <w:r>
        <w:rPr>
          <w:rFonts w:cs="Sylfaen"/>
          <w:bCs/>
          <w:lang w:val="fr-FR"/>
        </w:rPr>
        <w:softHyphen/>
        <w:t>նիք</w:t>
      </w:r>
      <w:r>
        <w:rPr>
          <w:rFonts w:cs="Sylfaen"/>
          <w:bCs/>
          <w:lang w:val="fr-FR"/>
        </w:rPr>
        <w:softHyphen/>
        <w:t>նե</w:t>
      </w:r>
      <w:r>
        <w:rPr>
          <w:rFonts w:cs="Sylfaen"/>
          <w:bCs/>
          <w:lang w:val="fr-FR"/>
        </w:rPr>
        <w:softHyphen/>
        <w:t>րի բնակարանային պայմանների բարելավումը:</w:t>
      </w:r>
    </w:p>
    <w:p w14:paraId="161064F3" w14:textId="77777777" w:rsidR="00DA0E15" w:rsidRDefault="00362131">
      <w:pPr>
        <w:spacing w:after="0"/>
        <w:rPr>
          <w:rFonts w:cs="Sylfaen"/>
          <w:bCs/>
          <w:lang w:val="fr-FR"/>
        </w:rPr>
      </w:pPr>
      <w:r>
        <w:rPr>
          <w:rFonts w:cs="Sylfaen"/>
          <w:bCs/>
          <w:lang w:val="fr-FR"/>
        </w:rPr>
        <w:t>Ծրագրի գծով 2022-2024թթ ժամանակահատվածում նախատեսվում է հատկացնել համապատասխանաբար 780.4 մլն դրամ, 494.0 մլն դրամ և 494.0 մլն դրամ:</w:t>
      </w:r>
    </w:p>
    <w:p w14:paraId="0DFD82B1" w14:textId="77777777" w:rsidR="00DA0E15" w:rsidRDefault="00362131">
      <w:pPr>
        <w:spacing w:after="0" w:line="276" w:lineRule="auto"/>
        <w:rPr>
          <w:rFonts w:cs="Sylfaen"/>
          <w:bCs/>
          <w:lang w:val="fr-FR"/>
        </w:rPr>
      </w:pPr>
      <w:r>
        <w:rPr>
          <w:rFonts w:cs="Sylfaen"/>
          <w:b/>
          <w:bCs/>
          <w:lang w:val="fr-FR"/>
        </w:rPr>
        <w:t>15. Սոցիալական պաշտպանության բնագավառում պետական քաղաքականության մշակման, ծրագրերի համակարգման և մոնիթորինգի ծրագրի (1117)</w:t>
      </w:r>
      <w:r>
        <w:rPr>
          <w:rFonts w:cs="Sylfaen"/>
          <w:bCs/>
          <w:lang w:val="fr-FR"/>
        </w:rPr>
        <w:t xml:space="preserve"> գծով 2022-2024թթ ժամանակահատվածում նախատեսվում է հատկացնել համապատասխանաբար 6,783.7 մլն դրամ, 6,888.2 մլն դրամ և 6,975.9 մլն դրամ:</w:t>
      </w:r>
    </w:p>
    <w:p w14:paraId="1AD13DD5" w14:textId="77777777" w:rsidR="004754F7" w:rsidRDefault="00362131">
      <w:pPr>
        <w:spacing w:after="0" w:line="276" w:lineRule="auto"/>
        <w:rPr>
          <w:rFonts w:cs="Sylfaen"/>
          <w:bCs/>
          <w:lang w:val="hy-AM"/>
        </w:rPr>
      </w:pPr>
      <w:r>
        <w:rPr>
          <w:rFonts w:cs="Sylfaen"/>
          <w:bCs/>
          <w:lang w:val="fr-FR"/>
        </w:rPr>
        <w:t>Սոցիալական պաշտպանության ոլորտի գծով 2022-2024 թվականների ՄԺԾԾ-ում ընդգրկված ծախսային ծրագրերի գումարները կազմում են</w:t>
      </w:r>
      <w:r w:rsidR="004754F7">
        <w:rPr>
          <w:rFonts w:cs="Sylfaen"/>
          <w:bCs/>
          <w:lang w:val="fr-FR"/>
        </w:rPr>
        <w:t>.</w:t>
      </w:r>
    </w:p>
    <w:p w14:paraId="54710A32" w14:textId="683DDA23" w:rsidR="00DA0E15" w:rsidRDefault="00362131">
      <w:pPr>
        <w:spacing w:after="0" w:line="276" w:lineRule="auto"/>
        <w:rPr>
          <w:rFonts w:cs="Sylfaen"/>
          <w:bCs/>
          <w:lang w:val="fr-FR"/>
        </w:rPr>
      </w:pPr>
      <w:r>
        <w:rPr>
          <w:rFonts w:cs="Sylfaen"/>
          <w:bCs/>
          <w:lang w:val="fr-FR"/>
        </w:rPr>
        <w:t>2022 թվականի համար՝        470,939.6 մլն դրամ,</w:t>
      </w:r>
    </w:p>
    <w:p w14:paraId="0FA0F5CF" w14:textId="77777777" w:rsidR="00DA0E15" w:rsidRDefault="00362131">
      <w:pPr>
        <w:spacing w:after="0" w:line="276" w:lineRule="auto"/>
        <w:rPr>
          <w:rFonts w:cs="Sylfaen"/>
          <w:bCs/>
          <w:lang w:val="fr-FR"/>
        </w:rPr>
      </w:pPr>
      <w:r>
        <w:rPr>
          <w:rFonts w:cs="Sylfaen"/>
          <w:bCs/>
          <w:lang w:val="fr-FR"/>
        </w:rPr>
        <w:t>2023 թվականի համար՝        501,797.5 մլն դրամ,</w:t>
      </w:r>
    </w:p>
    <w:p w14:paraId="2D02D147" w14:textId="77777777" w:rsidR="00DA0E15" w:rsidRDefault="00362131">
      <w:pPr>
        <w:spacing w:after="0" w:line="276" w:lineRule="auto"/>
        <w:rPr>
          <w:rFonts w:cs="Sylfaen"/>
          <w:bCs/>
          <w:lang w:val="fr-FR"/>
        </w:rPr>
      </w:pPr>
      <w:r>
        <w:rPr>
          <w:rFonts w:cs="Sylfaen"/>
          <w:bCs/>
          <w:lang w:val="fr-FR"/>
        </w:rPr>
        <w:t>2024 թվականի համար՝        501,885.1 մլն դրամ:</w:t>
      </w:r>
    </w:p>
    <w:p w14:paraId="0CC7B3DB" w14:textId="77777777" w:rsidR="00DA0E15" w:rsidRDefault="00362131">
      <w:pPr>
        <w:pStyle w:val="Heading3"/>
        <w:spacing w:before="0" w:after="120" w:line="276" w:lineRule="auto"/>
        <w:jc w:val="both"/>
        <w:rPr>
          <w:rFonts w:eastAsia="Times New Roman" w:cs="Times New Roman"/>
          <w:caps w:val="0"/>
          <w:color w:val="1F497D" w:themeColor="text2"/>
          <w:sz w:val="28"/>
          <w:szCs w:val="28"/>
        </w:rPr>
      </w:pPr>
      <w:bookmarkStart w:id="589" w:name="_Toc45838544"/>
      <w:bookmarkStart w:id="590" w:name="_Toc45637520"/>
      <w:bookmarkStart w:id="591" w:name="_Toc13837348"/>
      <w:bookmarkStart w:id="592" w:name="_Toc77837873"/>
      <w:bookmarkEnd w:id="577"/>
      <w:bookmarkEnd w:id="588"/>
      <w:r w:rsidRPr="00FA0954">
        <w:rPr>
          <w:rFonts w:eastAsia="Times New Roman" w:cs="Times New Roman"/>
          <w:caps w:val="0"/>
          <w:color w:val="1F497D" w:themeColor="text2"/>
          <w:sz w:val="28"/>
          <w:szCs w:val="28"/>
          <w:lang w:val="fr-FR"/>
        </w:rPr>
        <w:t>4</w:t>
      </w:r>
      <w:r>
        <w:rPr>
          <w:rFonts w:eastAsia="Times New Roman" w:cs="Times New Roman"/>
          <w:caps w:val="0"/>
          <w:color w:val="1F497D" w:themeColor="text2"/>
          <w:sz w:val="28"/>
          <w:szCs w:val="28"/>
        </w:rPr>
        <w:t>. ՇՐՋԱԿԱ ՄԻՋԱՎԱՅՐ</w:t>
      </w:r>
      <w:bookmarkEnd w:id="589"/>
      <w:bookmarkEnd w:id="590"/>
      <w:bookmarkEnd w:id="591"/>
      <w:bookmarkEnd w:id="592"/>
    </w:p>
    <w:p w14:paraId="644B812B" w14:textId="77777777" w:rsidR="00DA0E15" w:rsidRDefault="00362131">
      <w:pPr>
        <w:spacing w:after="0" w:line="276" w:lineRule="auto"/>
        <w:rPr>
          <w:bCs/>
          <w:lang w:val="pt-BR"/>
        </w:rPr>
      </w:pPr>
      <w:bookmarkStart w:id="593" w:name="_Toc45838545"/>
      <w:bookmarkStart w:id="594" w:name="_Toc45637521"/>
      <w:bookmarkStart w:id="595" w:name="_Toc519513662"/>
      <w:bookmarkStart w:id="596" w:name="_Toc456102743"/>
      <w:r>
        <w:rPr>
          <w:rFonts w:cs="Sylfaen"/>
          <w:bCs/>
          <w:lang w:val="pt-BR"/>
        </w:rPr>
        <w:t>Շրջակա</w:t>
      </w:r>
      <w:r>
        <w:rPr>
          <w:bCs/>
          <w:lang w:val="pt-BR"/>
        </w:rPr>
        <w:t xml:space="preserve"> </w:t>
      </w:r>
      <w:r>
        <w:rPr>
          <w:rFonts w:cs="Sylfaen"/>
          <w:bCs/>
          <w:lang w:val="pt-BR"/>
        </w:rPr>
        <w:t>միջավայրի</w:t>
      </w:r>
      <w:r>
        <w:rPr>
          <w:bCs/>
          <w:lang w:val="pt-BR"/>
        </w:rPr>
        <w:t xml:space="preserve"> </w:t>
      </w:r>
      <w:r>
        <w:rPr>
          <w:rFonts w:cs="Sylfaen"/>
          <w:bCs/>
          <w:lang w:val="pt-BR"/>
        </w:rPr>
        <w:t>կառավարման</w:t>
      </w:r>
      <w:r>
        <w:rPr>
          <w:bCs/>
          <w:lang w:val="pt-BR"/>
        </w:rPr>
        <w:t xml:space="preserve"> </w:t>
      </w:r>
      <w:r>
        <w:rPr>
          <w:rFonts w:cs="Sylfaen"/>
          <w:bCs/>
          <w:lang w:val="pt-BR"/>
        </w:rPr>
        <w:t>քաղաքականությունն</w:t>
      </w:r>
      <w:r>
        <w:rPr>
          <w:bCs/>
          <w:lang w:val="pt-BR"/>
        </w:rPr>
        <w:t xml:space="preserve"> </w:t>
      </w:r>
      <w:r>
        <w:rPr>
          <w:rFonts w:cs="Sylfaen"/>
          <w:bCs/>
          <w:lang w:val="pt-BR"/>
        </w:rPr>
        <w:t>ուղղված</w:t>
      </w:r>
      <w:r>
        <w:rPr>
          <w:bCs/>
          <w:lang w:val="pt-BR"/>
        </w:rPr>
        <w:t xml:space="preserve"> </w:t>
      </w:r>
      <w:r>
        <w:rPr>
          <w:rFonts w:cs="Sylfaen"/>
          <w:bCs/>
          <w:lang w:val="pt-BR"/>
        </w:rPr>
        <w:t>է</w:t>
      </w:r>
      <w:r>
        <w:rPr>
          <w:bCs/>
          <w:lang w:val="pt-BR"/>
        </w:rPr>
        <w:t xml:space="preserve"> </w:t>
      </w:r>
      <w:r>
        <w:rPr>
          <w:rFonts w:cs="Sylfaen"/>
          <w:bCs/>
          <w:lang w:val="pt-BR"/>
        </w:rPr>
        <w:t>շրջակա</w:t>
      </w:r>
      <w:r>
        <w:rPr>
          <w:bCs/>
          <w:lang w:val="pt-BR"/>
        </w:rPr>
        <w:t xml:space="preserve"> </w:t>
      </w:r>
      <w:r>
        <w:rPr>
          <w:rFonts w:cs="Sylfaen"/>
          <w:bCs/>
          <w:lang w:val="pt-BR"/>
        </w:rPr>
        <w:t>միջավայրի</w:t>
      </w:r>
      <w:r>
        <w:rPr>
          <w:bCs/>
          <w:lang w:val="pt-BR"/>
        </w:rPr>
        <w:t xml:space="preserve"> </w:t>
      </w:r>
      <w:r>
        <w:rPr>
          <w:rFonts w:cs="Sylfaen"/>
          <w:bCs/>
          <w:lang w:val="pt-BR"/>
        </w:rPr>
        <w:t>և</w:t>
      </w:r>
      <w:r>
        <w:rPr>
          <w:bCs/>
          <w:lang w:val="pt-BR"/>
        </w:rPr>
        <w:t xml:space="preserve"> </w:t>
      </w:r>
      <w:r>
        <w:rPr>
          <w:rFonts w:cs="Sylfaen"/>
          <w:bCs/>
          <w:lang w:val="pt-BR"/>
        </w:rPr>
        <w:t>բնական</w:t>
      </w:r>
      <w:r>
        <w:rPr>
          <w:bCs/>
          <w:lang w:val="pt-BR"/>
        </w:rPr>
        <w:t xml:space="preserve"> </w:t>
      </w:r>
      <w:r>
        <w:rPr>
          <w:rFonts w:cs="Sylfaen"/>
          <w:bCs/>
          <w:lang w:val="pt-BR"/>
        </w:rPr>
        <w:t>ռեսուրսների</w:t>
      </w:r>
      <w:r>
        <w:rPr>
          <w:bCs/>
          <w:lang w:val="pt-BR"/>
        </w:rPr>
        <w:t xml:space="preserve"> </w:t>
      </w:r>
      <w:r>
        <w:rPr>
          <w:rFonts w:cs="Sylfaen"/>
          <w:bCs/>
          <w:lang w:val="pt-BR"/>
        </w:rPr>
        <w:t>համալիր</w:t>
      </w:r>
      <w:r>
        <w:rPr>
          <w:bCs/>
          <w:lang w:val="pt-BR"/>
        </w:rPr>
        <w:t xml:space="preserve"> </w:t>
      </w:r>
      <w:r>
        <w:rPr>
          <w:rFonts w:cs="Sylfaen"/>
          <w:bCs/>
          <w:lang w:val="pt-BR"/>
        </w:rPr>
        <w:t>պահպանությանը</w:t>
      </w:r>
      <w:r>
        <w:rPr>
          <w:bCs/>
          <w:lang w:val="pt-BR"/>
        </w:rPr>
        <w:t xml:space="preserve">, </w:t>
      </w:r>
      <w:r>
        <w:rPr>
          <w:rFonts w:cs="Sylfaen"/>
          <w:bCs/>
          <w:lang w:val="pt-BR"/>
        </w:rPr>
        <w:t>բարելավմանը</w:t>
      </w:r>
      <w:r>
        <w:rPr>
          <w:bCs/>
          <w:lang w:val="pt-BR"/>
        </w:rPr>
        <w:t xml:space="preserve">, </w:t>
      </w:r>
      <w:r>
        <w:rPr>
          <w:rFonts w:cs="Sylfaen"/>
          <w:bCs/>
          <w:lang w:val="pt-BR"/>
        </w:rPr>
        <w:t>վերականգնմանը</w:t>
      </w:r>
      <w:r>
        <w:rPr>
          <w:bCs/>
          <w:lang w:val="pt-BR"/>
        </w:rPr>
        <w:t xml:space="preserve"> </w:t>
      </w:r>
      <w:r>
        <w:rPr>
          <w:rFonts w:cs="Sylfaen"/>
          <w:bCs/>
          <w:lang w:val="pt-BR"/>
        </w:rPr>
        <w:t>և</w:t>
      </w:r>
      <w:r>
        <w:rPr>
          <w:bCs/>
          <w:lang w:val="pt-BR"/>
        </w:rPr>
        <w:t xml:space="preserve"> </w:t>
      </w:r>
      <w:r>
        <w:rPr>
          <w:rFonts w:cs="Sylfaen"/>
          <w:bCs/>
          <w:lang w:val="pt-BR"/>
        </w:rPr>
        <w:t>ողջամիտ</w:t>
      </w:r>
      <w:r>
        <w:rPr>
          <w:bCs/>
          <w:lang w:val="pt-BR"/>
        </w:rPr>
        <w:t xml:space="preserve"> </w:t>
      </w:r>
      <w:r>
        <w:rPr>
          <w:rFonts w:cs="Sylfaen"/>
          <w:bCs/>
          <w:lang w:val="pt-BR"/>
        </w:rPr>
        <w:t>օգտագործմանը՝</w:t>
      </w:r>
      <w:r>
        <w:rPr>
          <w:bCs/>
          <w:lang w:val="pt-BR"/>
        </w:rPr>
        <w:t xml:space="preserve"> </w:t>
      </w:r>
      <w:r>
        <w:rPr>
          <w:rFonts w:cs="Sylfaen"/>
          <w:bCs/>
          <w:lang w:val="pt-BR"/>
        </w:rPr>
        <w:t>հավասարակշռելով</w:t>
      </w:r>
      <w:r>
        <w:rPr>
          <w:bCs/>
          <w:lang w:val="pt-BR"/>
        </w:rPr>
        <w:t xml:space="preserve"> </w:t>
      </w:r>
      <w:r>
        <w:rPr>
          <w:rFonts w:cs="Sylfaen"/>
          <w:bCs/>
          <w:lang w:val="pt-BR"/>
        </w:rPr>
        <w:t>այն</w:t>
      </w:r>
      <w:r>
        <w:rPr>
          <w:bCs/>
          <w:lang w:val="pt-BR"/>
        </w:rPr>
        <w:t xml:space="preserve"> </w:t>
      </w:r>
      <w:r>
        <w:rPr>
          <w:rFonts w:cs="Sylfaen"/>
          <w:bCs/>
          <w:lang w:val="pt-BR"/>
        </w:rPr>
        <w:t>սոցիալական</w:t>
      </w:r>
      <w:r>
        <w:rPr>
          <w:bCs/>
          <w:lang w:val="pt-BR"/>
        </w:rPr>
        <w:t xml:space="preserve"> </w:t>
      </w:r>
      <w:r>
        <w:rPr>
          <w:rFonts w:cs="Sylfaen"/>
          <w:bCs/>
          <w:lang w:val="pt-BR"/>
        </w:rPr>
        <w:t>արդարության</w:t>
      </w:r>
      <w:r>
        <w:rPr>
          <w:bCs/>
          <w:lang w:val="pt-BR"/>
        </w:rPr>
        <w:t xml:space="preserve"> </w:t>
      </w:r>
      <w:r>
        <w:rPr>
          <w:rFonts w:cs="Sylfaen"/>
          <w:bCs/>
          <w:lang w:val="pt-BR"/>
        </w:rPr>
        <w:t>և</w:t>
      </w:r>
      <w:r>
        <w:rPr>
          <w:bCs/>
          <w:lang w:val="pt-BR"/>
        </w:rPr>
        <w:t xml:space="preserve"> </w:t>
      </w:r>
      <w:r>
        <w:rPr>
          <w:rFonts w:cs="Sylfaen"/>
          <w:bCs/>
          <w:lang w:val="pt-BR"/>
        </w:rPr>
        <w:t>տնտեսական</w:t>
      </w:r>
      <w:r>
        <w:rPr>
          <w:bCs/>
          <w:lang w:val="pt-BR"/>
        </w:rPr>
        <w:t xml:space="preserve"> </w:t>
      </w:r>
      <w:r>
        <w:rPr>
          <w:rFonts w:cs="Sylfaen"/>
          <w:bCs/>
          <w:lang w:val="pt-BR"/>
        </w:rPr>
        <w:t>արդյունավետության</w:t>
      </w:r>
      <w:r>
        <w:rPr>
          <w:bCs/>
          <w:lang w:val="pt-BR"/>
        </w:rPr>
        <w:t xml:space="preserve"> </w:t>
      </w:r>
      <w:r>
        <w:rPr>
          <w:rFonts w:cs="Sylfaen"/>
          <w:bCs/>
          <w:lang w:val="pt-BR"/>
        </w:rPr>
        <w:t>հետ</w:t>
      </w:r>
      <w:r>
        <w:rPr>
          <w:bCs/>
          <w:lang w:val="pt-BR"/>
        </w:rPr>
        <w:t xml:space="preserve">: </w:t>
      </w:r>
    </w:p>
    <w:p w14:paraId="3FA739B2" w14:textId="77777777" w:rsidR="00DA0E15" w:rsidRDefault="00362131">
      <w:pPr>
        <w:spacing w:after="0" w:line="276" w:lineRule="auto"/>
        <w:rPr>
          <w:bCs/>
          <w:lang w:val="pt-BR"/>
        </w:rPr>
      </w:pPr>
      <w:r>
        <w:rPr>
          <w:rFonts w:cs="Sylfaen"/>
          <w:bCs/>
          <w:lang w:val="pt-BR"/>
        </w:rPr>
        <w:t>Շրջակա</w:t>
      </w:r>
      <w:r>
        <w:rPr>
          <w:bCs/>
          <w:lang w:val="pt-BR"/>
        </w:rPr>
        <w:t xml:space="preserve"> </w:t>
      </w:r>
      <w:r>
        <w:rPr>
          <w:rFonts w:cs="Sylfaen"/>
          <w:bCs/>
          <w:lang w:val="pt-BR"/>
        </w:rPr>
        <w:t>միջավայրի</w:t>
      </w:r>
      <w:r>
        <w:rPr>
          <w:bCs/>
          <w:lang w:val="pt-BR"/>
        </w:rPr>
        <w:t xml:space="preserve"> </w:t>
      </w:r>
      <w:r>
        <w:rPr>
          <w:rFonts w:cs="Sylfaen"/>
          <w:bCs/>
          <w:lang w:val="pt-BR"/>
        </w:rPr>
        <w:t>կառավարման</w:t>
      </w:r>
      <w:r>
        <w:rPr>
          <w:bCs/>
          <w:lang w:val="pt-BR"/>
        </w:rPr>
        <w:t xml:space="preserve"> </w:t>
      </w:r>
      <w:r>
        <w:rPr>
          <w:rFonts w:cs="Sylfaen"/>
          <w:bCs/>
          <w:lang w:val="pt-BR"/>
        </w:rPr>
        <w:t>հիմնական</w:t>
      </w:r>
      <w:r>
        <w:rPr>
          <w:bCs/>
          <w:lang w:val="pt-BR"/>
        </w:rPr>
        <w:t xml:space="preserve"> </w:t>
      </w:r>
      <w:r>
        <w:rPr>
          <w:rFonts w:cs="Sylfaen"/>
          <w:bCs/>
          <w:lang w:val="pt-BR"/>
        </w:rPr>
        <w:t>խնդիրն</w:t>
      </w:r>
      <w:r>
        <w:rPr>
          <w:bCs/>
          <w:lang w:val="pt-BR"/>
        </w:rPr>
        <w:t xml:space="preserve"> </w:t>
      </w:r>
      <w:r>
        <w:rPr>
          <w:rFonts w:cs="Sylfaen"/>
          <w:bCs/>
          <w:lang w:val="pt-BR"/>
        </w:rPr>
        <w:t>է</w:t>
      </w:r>
      <w:r>
        <w:rPr>
          <w:bCs/>
          <w:lang w:val="pt-BR"/>
        </w:rPr>
        <w:t xml:space="preserve"> </w:t>
      </w:r>
      <w:r>
        <w:rPr>
          <w:rFonts w:cs="Sylfaen"/>
          <w:bCs/>
          <w:lang w:val="pt-BR"/>
        </w:rPr>
        <w:t>նվազագույնի</w:t>
      </w:r>
      <w:r>
        <w:rPr>
          <w:bCs/>
          <w:lang w:val="pt-BR"/>
        </w:rPr>
        <w:t xml:space="preserve"> </w:t>
      </w:r>
      <w:r>
        <w:rPr>
          <w:rFonts w:cs="Sylfaen"/>
          <w:bCs/>
          <w:lang w:val="pt-BR"/>
        </w:rPr>
        <w:t>հասցնել</w:t>
      </w:r>
      <w:r>
        <w:rPr>
          <w:bCs/>
          <w:lang w:val="pt-BR"/>
        </w:rPr>
        <w:t xml:space="preserve"> </w:t>
      </w:r>
      <w:r>
        <w:rPr>
          <w:rFonts w:cs="Sylfaen"/>
          <w:bCs/>
          <w:lang w:val="pt-BR"/>
        </w:rPr>
        <w:t>շրջակա</w:t>
      </w:r>
      <w:r>
        <w:rPr>
          <w:bCs/>
          <w:lang w:val="pt-BR"/>
        </w:rPr>
        <w:t xml:space="preserve"> </w:t>
      </w:r>
      <w:r>
        <w:rPr>
          <w:rFonts w:cs="Sylfaen"/>
          <w:bCs/>
          <w:lang w:val="pt-BR"/>
        </w:rPr>
        <w:t>միջավայրի՝</w:t>
      </w:r>
      <w:r>
        <w:rPr>
          <w:bCs/>
          <w:lang w:val="pt-BR"/>
        </w:rPr>
        <w:t xml:space="preserve"> </w:t>
      </w:r>
      <w:r>
        <w:rPr>
          <w:rFonts w:cs="Sylfaen"/>
          <w:bCs/>
          <w:lang w:val="pt-BR"/>
        </w:rPr>
        <w:t>օդի</w:t>
      </w:r>
      <w:r>
        <w:rPr>
          <w:bCs/>
          <w:lang w:val="pt-BR"/>
        </w:rPr>
        <w:t xml:space="preserve">, </w:t>
      </w:r>
      <w:r>
        <w:rPr>
          <w:rFonts w:cs="Sylfaen"/>
          <w:bCs/>
          <w:lang w:val="pt-BR"/>
        </w:rPr>
        <w:t>կլիմայի</w:t>
      </w:r>
      <w:r>
        <w:rPr>
          <w:bCs/>
          <w:lang w:val="pt-BR"/>
        </w:rPr>
        <w:t xml:space="preserve">, </w:t>
      </w:r>
      <w:r>
        <w:rPr>
          <w:rFonts w:cs="Sylfaen"/>
          <w:bCs/>
          <w:lang w:val="pt-BR"/>
        </w:rPr>
        <w:t>ջրի</w:t>
      </w:r>
      <w:r>
        <w:rPr>
          <w:bCs/>
          <w:lang w:val="pt-BR"/>
        </w:rPr>
        <w:t xml:space="preserve">, </w:t>
      </w:r>
      <w:r>
        <w:rPr>
          <w:rFonts w:cs="Sylfaen"/>
          <w:bCs/>
          <w:lang w:val="pt-BR"/>
        </w:rPr>
        <w:t>հողերի</w:t>
      </w:r>
      <w:r>
        <w:rPr>
          <w:bCs/>
          <w:lang w:val="pt-BR"/>
        </w:rPr>
        <w:t xml:space="preserve">, </w:t>
      </w:r>
      <w:r>
        <w:rPr>
          <w:rFonts w:cs="Sylfaen"/>
          <w:bCs/>
          <w:lang w:val="pt-BR"/>
        </w:rPr>
        <w:t>բուսական</w:t>
      </w:r>
      <w:r>
        <w:rPr>
          <w:bCs/>
          <w:lang w:val="pt-BR"/>
        </w:rPr>
        <w:t xml:space="preserve"> </w:t>
      </w:r>
      <w:r>
        <w:rPr>
          <w:rFonts w:cs="Sylfaen"/>
          <w:bCs/>
          <w:lang w:val="pt-BR"/>
        </w:rPr>
        <w:t>և</w:t>
      </w:r>
      <w:r>
        <w:rPr>
          <w:bCs/>
          <w:lang w:val="pt-BR"/>
        </w:rPr>
        <w:t xml:space="preserve"> </w:t>
      </w:r>
      <w:r>
        <w:rPr>
          <w:rFonts w:cs="Sylfaen"/>
          <w:bCs/>
          <w:lang w:val="pt-BR"/>
        </w:rPr>
        <w:t>կենդանական</w:t>
      </w:r>
      <w:r>
        <w:rPr>
          <w:bCs/>
          <w:lang w:val="pt-BR"/>
        </w:rPr>
        <w:t xml:space="preserve"> </w:t>
      </w:r>
      <w:r>
        <w:rPr>
          <w:rFonts w:cs="Sylfaen"/>
          <w:bCs/>
          <w:lang w:val="pt-BR"/>
        </w:rPr>
        <w:t>աշխարհի</w:t>
      </w:r>
      <w:r>
        <w:rPr>
          <w:bCs/>
          <w:lang w:val="pt-BR"/>
        </w:rPr>
        <w:t xml:space="preserve"> </w:t>
      </w:r>
      <w:r>
        <w:rPr>
          <w:rFonts w:cs="Sylfaen"/>
          <w:bCs/>
          <w:lang w:val="pt-BR"/>
        </w:rPr>
        <w:t>վրա</w:t>
      </w:r>
      <w:r>
        <w:rPr>
          <w:bCs/>
          <w:lang w:val="pt-BR"/>
        </w:rPr>
        <w:t xml:space="preserve"> </w:t>
      </w:r>
      <w:r>
        <w:rPr>
          <w:rFonts w:cs="Sylfaen"/>
          <w:bCs/>
          <w:lang w:val="pt-BR"/>
        </w:rPr>
        <w:t>վնասակար</w:t>
      </w:r>
      <w:r>
        <w:rPr>
          <w:bCs/>
          <w:lang w:val="pt-BR"/>
        </w:rPr>
        <w:t xml:space="preserve"> </w:t>
      </w:r>
      <w:r>
        <w:rPr>
          <w:rFonts w:cs="Sylfaen"/>
          <w:bCs/>
          <w:lang w:val="pt-BR"/>
        </w:rPr>
        <w:t>ազդեցությունները</w:t>
      </w:r>
      <w:r>
        <w:rPr>
          <w:bCs/>
          <w:lang w:val="pt-BR"/>
        </w:rPr>
        <w:t xml:space="preserve">, </w:t>
      </w:r>
      <w:r>
        <w:rPr>
          <w:rFonts w:cs="Sylfaen"/>
          <w:bCs/>
          <w:lang w:val="pt-BR"/>
        </w:rPr>
        <w:t>բացառել</w:t>
      </w:r>
      <w:r>
        <w:rPr>
          <w:bCs/>
          <w:lang w:val="pt-BR"/>
        </w:rPr>
        <w:t xml:space="preserve"> </w:t>
      </w:r>
      <w:r>
        <w:rPr>
          <w:rFonts w:cs="Sylfaen"/>
          <w:bCs/>
          <w:lang w:val="pt-BR"/>
        </w:rPr>
        <w:t>բնական</w:t>
      </w:r>
      <w:r>
        <w:rPr>
          <w:bCs/>
          <w:lang w:val="pt-BR"/>
        </w:rPr>
        <w:t xml:space="preserve"> </w:t>
      </w:r>
      <w:r>
        <w:rPr>
          <w:rFonts w:cs="Sylfaen"/>
          <w:bCs/>
          <w:lang w:val="pt-BR"/>
        </w:rPr>
        <w:t>ռեսուրսների</w:t>
      </w:r>
      <w:r>
        <w:rPr>
          <w:bCs/>
          <w:lang w:val="pt-BR"/>
        </w:rPr>
        <w:t xml:space="preserve"> </w:t>
      </w:r>
      <w:r>
        <w:rPr>
          <w:rFonts w:cs="Sylfaen"/>
          <w:bCs/>
          <w:lang w:val="pt-BR"/>
        </w:rPr>
        <w:t>գերշահագործումը</w:t>
      </w:r>
      <w:r>
        <w:rPr>
          <w:bCs/>
          <w:lang w:val="pt-BR"/>
        </w:rPr>
        <w:t xml:space="preserve"> </w:t>
      </w:r>
      <w:r>
        <w:rPr>
          <w:rFonts w:cs="Sylfaen"/>
          <w:bCs/>
          <w:lang w:val="pt-BR"/>
        </w:rPr>
        <w:t>և</w:t>
      </w:r>
      <w:r>
        <w:rPr>
          <w:bCs/>
          <w:lang w:val="pt-BR"/>
        </w:rPr>
        <w:t xml:space="preserve"> </w:t>
      </w:r>
      <w:r>
        <w:rPr>
          <w:rFonts w:cs="Sylfaen"/>
          <w:bCs/>
          <w:lang w:val="pt-BR"/>
        </w:rPr>
        <w:t>ապօրինի</w:t>
      </w:r>
      <w:r>
        <w:rPr>
          <w:bCs/>
          <w:lang w:val="pt-BR"/>
        </w:rPr>
        <w:t xml:space="preserve"> </w:t>
      </w:r>
      <w:r>
        <w:rPr>
          <w:rFonts w:cs="Sylfaen"/>
          <w:bCs/>
          <w:lang w:val="pt-BR"/>
        </w:rPr>
        <w:t>օգտագործումը</w:t>
      </w:r>
      <w:r>
        <w:rPr>
          <w:bCs/>
          <w:lang w:val="pt-BR"/>
        </w:rPr>
        <w:t xml:space="preserve">, </w:t>
      </w:r>
      <w:r>
        <w:rPr>
          <w:rFonts w:cs="Sylfaen"/>
          <w:bCs/>
          <w:lang w:val="pt-BR"/>
        </w:rPr>
        <w:t>ապահովել</w:t>
      </w:r>
      <w:r>
        <w:rPr>
          <w:bCs/>
          <w:lang w:val="pt-BR"/>
        </w:rPr>
        <w:t xml:space="preserve"> </w:t>
      </w:r>
      <w:r>
        <w:rPr>
          <w:rFonts w:cs="Sylfaen"/>
          <w:bCs/>
          <w:lang w:val="pt-BR"/>
        </w:rPr>
        <w:t>կանխարգելման</w:t>
      </w:r>
      <w:r>
        <w:rPr>
          <w:bCs/>
          <w:lang w:val="pt-BR"/>
        </w:rPr>
        <w:t xml:space="preserve"> </w:t>
      </w:r>
      <w:r>
        <w:rPr>
          <w:rFonts w:cs="Sylfaen"/>
          <w:bCs/>
          <w:lang w:val="pt-BR"/>
        </w:rPr>
        <w:t>միջոցառումների</w:t>
      </w:r>
      <w:r>
        <w:rPr>
          <w:bCs/>
          <w:lang w:val="pt-BR"/>
        </w:rPr>
        <w:t xml:space="preserve"> </w:t>
      </w:r>
      <w:r>
        <w:rPr>
          <w:rFonts w:cs="Sylfaen"/>
          <w:bCs/>
          <w:lang w:val="pt-BR"/>
        </w:rPr>
        <w:t>իրականացումը։</w:t>
      </w:r>
      <w:r>
        <w:rPr>
          <w:bCs/>
          <w:lang w:val="pt-BR"/>
        </w:rPr>
        <w:t xml:space="preserve"> </w:t>
      </w:r>
      <w:r>
        <w:rPr>
          <w:rFonts w:cs="Sylfaen"/>
          <w:bCs/>
          <w:lang w:val="pt-BR"/>
        </w:rPr>
        <w:t>Ելնելով</w:t>
      </w:r>
      <w:r>
        <w:rPr>
          <w:bCs/>
          <w:lang w:val="pt-BR"/>
        </w:rPr>
        <w:t xml:space="preserve"> </w:t>
      </w:r>
      <w:r>
        <w:rPr>
          <w:rFonts w:cs="Sylfaen"/>
          <w:bCs/>
          <w:lang w:val="pt-BR"/>
        </w:rPr>
        <w:t>նշվածից՝</w:t>
      </w:r>
      <w:r>
        <w:rPr>
          <w:bCs/>
          <w:lang w:val="pt-BR"/>
        </w:rPr>
        <w:t xml:space="preserve"> </w:t>
      </w:r>
      <w:r>
        <w:rPr>
          <w:rFonts w:cs="Sylfaen"/>
          <w:bCs/>
          <w:lang w:val="pt-BR"/>
        </w:rPr>
        <w:t>շրջակա</w:t>
      </w:r>
      <w:r>
        <w:rPr>
          <w:bCs/>
          <w:lang w:val="pt-BR"/>
        </w:rPr>
        <w:t xml:space="preserve"> </w:t>
      </w:r>
      <w:r>
        <w:rPr>
          <w:rFonts w:cs="Sylfaen"/>
          <w:bCs/>
          <w:lang w:val="pt-BR"/>
        </w:rPr>
        <w:t>միջավայրի</w:t>
      </w:r>
      <w:r>
        <w:rPr>
          <w:bCs/>
          <w:lang w:val="pt-BR"/>
        </w:rPr>
        <w:t xml:space="preserve"> </w:t>
      </w:r>
      <w:r>
        <w:rPr>
          <w:rFonts w:cs="Sylfaen"/>
          <w:bCs/>
          <w:lang w:val="pt-BR"/>
        </w:rPr>
        <w:t>կառավարման</w:t>
      </w:r>
      <w:r>
        <w:rPr>
          <w:bCs/>
          <w:lang w:val="pt-BR"/>
        </w:rPr>
        <w:t xml:space="preserve"> </w:t>
      </w:r>
      <w:r>
        <w:rPr>
          <w:rFonts w:cs="Sylfaen"/>
          <w:bCs/>
          <w:lang w:val="pt-BR"/>
        </w:rPr>
        <w:t>առաջնահերթ</w:t>
      </w:r>
      <w:r>
        <w:rPr>
          <w:bCs/>
          <w:lang w:val="pt-BR"/>
        </w:rPr>
        <w:t xml:space="preserve"> </w:t>
      </w:r>
      <w:r>
        <w:rPr>
          <w:rFonts w:cs="Sylfaen"/>
          <w:bCs/>
          <w:lang w:val="pt-BR"/>
        </w:rPr>
        <w:t>ուղղություններն</w:t>
      </w:r>
      <w:r>
        <w:rPr>
          <w:bCs/>
          <w:lang w:val="pt-BR"/>
        </w:rPr>
        <w:t xml:space="preserve"> </w:t>
      </w:r>
      <w:r>
        <w:rPr>
          <w:rFonts w:cs="Sylfaen"/>
          <w:bCs/>
          <w:lang w:val="pt-BR"/>
        </w:rPr>
        <w:t>են՝</w:t>
      </w:r>
    </w:p>
    <w:p w14:paraId="0D5D2ACC" w14:textId="77777777" w:rsidR="00DA0E15" w:rsidRDefault="00362131">
      <w:pPr>
        <w:spacing w:after="0" w:line="276" w:lineRule="auto"/>
        <w:rPr>
          <w:bCs/>
          <w:lang w:val="pt-BR"/>
        </w:rPr>
      </w:pPr>
      <w:r>
        <w:rPr>
          <w:bCs/>
          <w:lang w:val="pt-BR"/>
        </w:rPr>
        <w:t xml:space="preserve">- </w:t>
      </w:r>
      <w:r>
        <w:rPr>
          <w:rFonts w:cs="Sylfaen"/>
          <w:bCs/>
          <w:lang w:val="pt-BR"/>
        </w:rPr>
        <w:t>Սևանա</w:t>
      </w:r>
      <w:r>
        <w:rPr>
          <w:bCs/>
          <w:lang w:val="pt-BR"/>
        </w:rPr>
        <w:t xml:space="preserve"> </w:t>
      </w:r>
      <w:r>
        <w:rPr>
          <w:rFonts w:cs="Sylfaen"/>
          <w:bCs/>
          <w:lang w:val="pt-BR"/>
        </w:rPr>
        <w:t>լճի</w:t>
      </w:r>
      <w:r>
        <w:rPr>
          <w:bCs/>
          <w:lang w:val="pt-BR"/>
        </w:rPr>
        <w:t xml:space="preserve"> </w:t>
      </w:r>
      <w:r>
        <w:rPr>
          <w:rFonts w:cs="Sylfaen"/>
          <w:bCs/>
          <w:lang w:val="pt-BR"/>
        </w:rPr>
        <w:t>էկոլոգիական</w:t>
      </w:r>
      <w:r>
        <w:rPr>
          <w:bCs/>
          <w:lang w:val="pt-BR"/>
        </w:rPr>
        <w:t xml:space="preserve"> </w:t>
      </w:r>
      <w:r>
        <w:rPr>
          <w:rFonts w:cs="Sylfaen"/>
          <w:bCs/>
          <w:lang w:val="pt-BR"/>
        </w:rPr>
        <w:t>հավասարակշռության</w:t>
      </w:r>
      <w:r>
        <w:rPr>
          <w:bCs/>
          <w:lang w:val="pt-BR"/>
        </w:rPr>
        <w:t xml:space="preserve"> </w:t>
      </w:r>
      <w:r>
        <w:rPr>
          <w:rFonts w:cs="Sylfaen"/>
          <w:bCs/>
          <w:lang w:val="pt-BR"/>
        </w:rPr>
        <w:t>վերականգնումը</w:t>
      </w:r>
      <w:r>
        <w:rPr>
          <w:bCs/>
          <w:lang w:val="pt-BR"/>
        </w:rPr>
        <w:t xml:space="preserve"> </w:t>
      </w:r>
      <w:r>
        <w:rPr>
          <w:rFonts w:cs="Sylfaen"/>
          <w:bCs/>
          <w:lang w:val="pt-BR"/>
        </w:rPr>
        <w:t>և</w:t>
      </w:r>
      <w:r>
        <w:rPr>
          <w:bCs/>
          <w:lang w:val="pt-BR"/>
        </w:rPr>
        <w:t xml:space="preserve"> </w:t>
      </w:r>
      <w:r>
        <w:rPr>
          <w:rFonts w:cs="Sylfaen"/>
          <w:bCs/>
          <w:lang w:val="pt-BR"/>
        </w:rPr>
        <w:t>պահպանությունը</w:t>
      </w:r>
      <w:r>
        <w:rPr>
          <w:bCs/>
          <w:lang w:val="pt-BR"/>
        </w:rPr>
        <w:t xml:space="preserve">, </w:t>
      </w:r>
      <w:r>
        <w:rPr>
          <w:rFonts w:cs="Sylfaen"/>
          <w:bCs/>
          <w:lang w:val="pt-BR"/>
        </w:rPr>
        <w:t>Արարատյան</w:t>
      </w:r>
      <w:r>
        <w:rPr>
          <w:bCs/>
          <w:lang w:val="pt-BR"/>
        </w:rPr>
        <w:t xml:space="preserve"> </w:t>
      </w:r>
      <w:r>
        <w:rPr>
          <w:rFonts w:cs="Sylfaen"/>
          <w:bCs/>
          <w:lang w:val="pt-BR"/>
        </w:rPr>
        <w:t>արտեզյան</w:t>
      </w:r>
      <w:r>
        <w:rPr>
          <w:bCs/>
          <w:lang w:val="pt-BR"/>
        </w:rPr>
        <w:t xml:space="preserve"> </w:t>
      </w:r>
      <w:r>
        <w:rPr>
          <w:rFonts w:cs="Sylfaen"/>
          <w:bCs/>
          <w:lang w:val="pt-BR"/>
        </w:rPr>
        <w:t>ավազանի</w:t>
      </w:r>
      <w:r>
        <w:rPr>
          <w:bCs/>
          <w:lang w:val="pt-BR"/>
        </w:rPr>
        <w:t xml:space="preserve"> </w:t>
      </w:r>
      <w:r>
        <w:rPr>
          <w:rFonts w:cs="Sylfaen"/>
          <w:bCs/>
          <w:lang w:val="pt-BR"/>
        </w:rPr>
        <w:t>և</w:t>
      </w:r>
      <w:r>
        <w:rPr>
          <w:bCs/>
          <w:lang w:val="pt-BR"/>
        </w:rPr>
        <w:t xml:space="preserve"> </w:t>
      </w:r>
      <w:r>
        <w:rPr>
          <w:rFonts w:cs="Sylfaen"/>
          <w:bCs/>
          <w:lang w:val="pt-BR"/>
        </w:rPr>
        <w:t>գետային</w:t>
      </w:r>
      <w:r>
        <w:rPr>
          <w:bCs/>
          <w:lang w:val="pt-BR"/>
        </w:rPr>
        <w:t xml:space="preserve"> </w:t>
      </w:r>
      <w:r>
        <w:rPr>
          <w:rFonts w:cs="Sylfaen"/>
          <w:bCs/>
          <w:lang w:val="pt-BR"/>
        </w:rPr>
        <w:t>էկոհամակարգերի</w:t>
      </w:r>
      <w:r>
        <w:rPr>
          <w:bCs/>
          <w:lang w:val="pt-BR"/>
        </w:rPr>
        <w:t xml:space="preserve"> </w:t>
      </w:r>
      <w:r>
        <w:rPr>
          <w:rFonts w:cs="Sylfaen"/>
          <w:bCs/>
          <w:lang w:val="pt-BR"/>
        </w:rPr>
        <w:t>պահպանությունը</w:t>
      </w:r>
      <w:r>
        <w:rPr>
          <w:bCs/>
          <w:lang w:val="pt-BR"/>
        </w:rPr>
        <w:t xml:space="preserve"> </w:t>
      </w:r>
      <w:r>
        <w:rPr>
          <w:rFonts w:cs="Sylfaen"/>
          <w:bCs/>
          <w:lang w:val="pt-BR"/>
        </w:rPr>
        <w:t>և</w:t>
      </w:r>
      <w:r>
        <w:rPr>
          <w:bCs/>
          <w:lang w:val="pt-BR"/>
        </w:rPr>
        <w:t xml:space="preserve"> </w:t>
      </w:r>
      <w:r>
        <w:rPr>
          <w:rFonts w:cs="Sylfaen"/>
          <w:bCs/>
          <w:lang w:val="pt-BR"/>
        </w:rPr>
        <w:t>կառավարումը</w:t>
      </w:r>
      <w:r>
        <w:rPr>
          <w:bCs/>
          <w:lang w:val="pt-BR"/>
        </w:rPr>
        <w:t>,</w:t>
      </w:r>
    </w:p>
    <w:p w14:paraId="4A3F9260" w14:textId="77777777" w:rsidR="00DA0E15" w:rsidRDefault="00362131">
      <w:pPr>
        <w:spacing w:after="0" w:line="276" w:lineRule="auto"/>
        <w:rPr>
          <w:bCs/>
          <w:lang w:val="pt-BR"/>
        </w:rPr>
      </w:pPr>
      <w:r>
        <w:rPr>
          <w:bCs/>
          <w:lang w:val="pt-BR"/>
        </w:rPr>
        <w:t xml:space="preserve">- </w:t>
      </w:r>
      <w:r>
        <w:rPr>
          <w:rFonts w:cs="Sylfaen"/>
          <w:bCs/>
          <w:lang w:val="pt-BR"/>
        </w:rPr>
        <w:t>անտառների</w:t>
      </w:r>
      <w:r>
        <w:rPr>
          <w:bCs/>
          <w:lang w:val="pt-BR"/>
        </w:rPr>
        <w:t xml:space="preserve"> </w:t>
      </w:r>
      <w:r>
        <w:rPr>
          <w:rFonts w:cs="Sylfaen"/>
          <w:bCs/>
          <w:lang w:val="pt-BR"/>
        </w:rPr>
        <w:t>կայուն</w:t>
      </w:r>
      <w:r>
        <w:rPr>
          <w:bCs/>
          <w:lang w:val="pt-BR"/>
        </w:rPr>
        <w:t xml:space="preserve"> </w:t>
      </w:r>
      <w:r>
        <w:rPr>
          <w:rFonts w:cs="Sylfaen"/>
          <w:bCs/>
          <w:lang w:val="pt-BR"/>
        </w:rPr>
        <w:t>կառավարումը</w:t>
      </w:r>
      <w:r>
        <w:rPr>
          <w:bCs/>
          <w:lang w:val="pt-BR"/>
        </w:rPr>
        <w:t xml:space="preserve">, </w:t>
      </w:r>
      <w:r>
        <w:rPr>
          <w:rFonts w:cs="Sylfaen"/>
          <w:bCs/>
          <w:lang w:val="pt-BR"/>
        </w:rPr>
        <w:t>անտառածածկ</w:t>
      </w:r>
      <w:r>
        <w:rPr>
          <w:bCs/>
          <w:lang w:val="pt-BR"/>
        </w:rPr>
        <w:t xml:space="preserve"> </w:t>
      </w:r>
      <w:r>
        <w:rPr>
          <w:rFonts w:cs="Sylfaen"/>
          <w:bCs/>
          <w:lang w:val="pt-BR"/>
        </w:rPr>
        <w:t>տարածքների</w:t>
      </w:r>
      <w:r>
        <w:rPr>
          <w:bCs/>
          <w:lang w:val="pt-BR"/>
        </w:rPr>
        <w:t xml:space="preserve"> </w:t>
      </w:r>
      <w:r>
        <w:rPr>
          <w:rFonts w:cs="Sylfaen"/>
          <w:bCs/>
          <w:lang w:val="pt-BR"/>
        </w:rPr>
        <w:t>ընդլայնումը</w:t>
      </w:r>
      <w:r>
        <w:rPr>
          <w:bCs/>
          <w:lang w:val="pt-BR"/>
        </w:rPr>
        <w:t xml:space="preserve">, </w:t>
      </w:r>
      <w:r>
        <w:rPr>
          <w:rFonts w:cs="Sylfaen"/>
          <w:bCs/>
          <w:lang w:val="pt-BR"/>
        </w:rPr>
        <w:t>անտառվերականգնումը</w:t>
      </w:r>
      <w:r>
        <w:rPr>
          <w:bCs/>
          <w:lang w:val="pt-BR"/>
        </w:rPr>
        <w:t xml:space="preserve"> </w:t>
      </w:r>
      <w:r>
        <w:rPr>
          <w:rFonts w:cs="Sylfaen"/>
          <w:bCs/>
          <w:lang w:val="pt-BR"/>
        </w:rPr>
        <w:t>և</w:t>
      </w:r>
      <w:r>
        <w:rPr>
          <w:bCs/>
          <w:lang w:val="pt-BR"/>
        </w:rPr>
        <w:t xml:space="preserve"> </w:t>
      </w:r>
      <w:r>
        <w:rPr>
          <w:rFonts w:cs="Sylfaen"/>
          <w:bCs/>
          <w:lang w:val="pt-BR"/>
        </w:rPr>
        <w:t>անատառապատումը</w:t>
      </w:r>
      <w:r>
        <w:rPr>
          <w:bCs/>
          <w:lang w:val="pt-BR"/>
        </w:rPr>
        <w:t xml:space="preserve">, </w:t>
      </w:r>
      <w:r>
        <w:rPr>
          <w:rFonts w:cs="Sylfaen"/>
          <w:bCs/>
          <w:lang w:val="pt-BR"/>
        </w:rPr>
        <w:t>դրանց</w:t>
      </w:r>
      <w:r>
        <w:rPr>
          <w:bCs/>
          <w:lang w:val="pt-BR"/>
        </w:rPr>
        <w:t xml:space="preserve"> </w:t>
      </w:r>
      <w:r>
        <w:rPr>
          <w:rFonts w:cs="Sylfaen"/>
          <w:bCs/>
          <w:lang w:val="pt-BR"/>
        </w:rPr>
        <w:t>իրականացմանն</w:t>
      </w:r>
      <w:r>
        <w:rPr>
          <w:bCs/>
          <w:lang w:val="pt-BR"/>
        </w:rPr>
        <w:t xml:space="preserve"> </w:t>
      </w:r>
      <w:r>
        <w:rPr>
          <w:rFonts w:cs="Sylfaen"/>
          <w:bCs/>
          <w:lang w:val="pt-BR"/>
        </w:rPr>
        <w:t>ուղղված</w:t>
      </w:r>
      <w:r>
        <w:rPr>
          <w:bCs/>
          <w:lang w:val="pt-BR"/>
        </w:rPr>
        <w:t xml:space="preserve"> </w:t>
      </w:r>
      <w:r>
        <w:rPr>
          <w:rFonts w:cs="Sylfaen"/>
          <w:bCs/>
          <w:lang w:val="pt-BR"/>
        </w:rPr>
        <w:t>կարողությունների</w:t>
      </w:r>
      <w:r>
        <w:rPr>
          <w:bCs/>
          <w:lang w:val="pt-BR"/>
        </w:rPr>
        <w:t xml:space="preserve"> </w:t>
      </w:r>
      <w:r>
        <w:rPr>
          <w:rFonts w:cs="Sylfaen"/>
          <w:bCs/>
          <w:lang w:val="pt-BR"/>
        </w:rPr>
        <w:t>շարունակական</w:t>
      </w:r>
      <w:r>
        <w:rPr>
          <w:bCs/>
          <w:lang w:val="pt-BR"/>
        </w:rPr>
        <w:t xml:space="preserve"> </w:t>
      </w:r>
      <w:r>
        <w:rPr>
          <w:rFonts w:cs="Sylfaen"/>
          <w:bCs/>
          <w:lang w:val="pt-BR"/>
        </w:rPr>
        <w:t>զարգացումը</w:t>
      </w:r>
      <w:r>
        <w:rPr>
          <w:bCs/>
          <w:lang w:val="pt-BR"/>
        </w:rPr>
        <w:t xml:space="preserve">, </w:t>
      </w:r>
    </w:p>
    <w:p w14:paraId="03DF448C" w14:textId="77777777" w:rsidR="00DA0E15" w:rsidRDefault="00362131">
      <w:pPr>
        <w:spacing w:after="0" w:line="276" w:lineRule="auto"/>
        <w:rPr>
          <w:bCs/>
          <w:lang w:val="pt-BR"/>
        </w:rPr>
      </w:pPr>
      <w:r>
        <w:rPr>
          <w:bCs/>
          <w:lang w:val="pt-BR"/>
        </w:rPr>
        <w:t xml:space="preserve">- </w:t>
      </w:r>
      <w:r>
        <w:rPr>
          <w:lang w:val="hy-AM"/>
        </w:rPr>
        <w:t>կլիմայի փոփոխության հետևանքով առաջացող խնդիրների մեղմման և կանխարգելման, ինչպես նաև հարմարվողականության գործողությունների իրականացումը՝ համաձայն միջազգային համաձայնագրերով ստանձնած պարտավորությունների</w:t>
      </w:r>
      <w:r>
        <w:rPr>
          <w:lang w:val="pt-BR"/>
        </w:rPr>
        <w:t>,</w:t>
      </w:r>
    </w:p>
    <w:p w14:paraId="27554FE8" w14:textId="77777777" w:rsidR="00DA0E15" w:rsidRDefault="00362131">
      <w:pPr>
        <w:spacing w:after="0" w:line="276" w:lineRule="auto"/>
        <w:rPr>
          <w:bCs/>
          <w:lang w:val="pt-BR"/>
        </w:rPr>
      </w:pPr>
      <w:r>
        <w:rPr>
          <w:bCs/>
          <w:lang w:val="pt-BR"/>
        </w:rPr>
        <w:t xml:space="preserve">- </w:t>
      </w:r>
      <w:r>
        <w:rPr>
          <w:rFonts w:cs="Sylfaen"/>
          <w:bCs/>
          <w:lang w:val="pt-BR"/>
        </w:rPr>
        <w:t>բնության</w:t>
      </w:r>
      <w:r>
        <w:rPr>
          <w:bCs/>
          <w:lang w:val="pt-BR"/>
        </w:rPr>
        <w:t xml:space="preserve"> </w:t>
      </w:r>
      <w:r>
        <w:rPr>
          <w:rFonts w:cs="Sylfaen"/>
          <w:bCs/>
          <w:lang w:val="pt-BR"/>
        </w:rPr>
        <w:t>հատուկ</w:t>
      </w:r>
      <w:r>
        <w:rPr>
          <w:bCs/>
          <w:lang w:val="pt-BR"/>
        </w:rPr>
        <w:t xml:space="preserve"> </w:t>
      </w:r>
      <w:r>
        <w:rPr>
          <w:rFonts w:cs="Sylfaen"/>
          <w:bCs/>
          <w:lang w:val="pt-BR"/>
        </w:rPr>
        <w:t>պահպանվող</w:t>
      </w:r>
      <w:r>
        <w:rPr>
          <w:bCs/>
          <w:lang w:val="pt-BR"/>
        </w:rPr>
        <w:t xml:space="preserve"> </w:t>
      </w:r>
      <w:r>
        <w:rPr>
          <w:rFonts w:cs="Sylfaen"/>
          <w:bCs/>
          <w:lang w:val="pt-BR"/>
        </w:rPr>
        <w:t>տարածքների</w:t>
      </w:r>
      <w:r>
        <w:rPr>
          <w:bCs/>
          <w:lang w:val="pt-BR"/>
        </w:rPr>
        <w:t xml:space="preserve"> </w:t>
      </w:r>
      <w:r>
        <w:rPr>
          <w:rFonts w:cs="Sylfaen"/>
          <w:bCs/>
          <w:lang w:val="pt-BR"/>
        </w:rPr>
        <w:t>հզորացումը</w:t>
      </w:r>
      <w:r>
        <w:rPr>
          <w:bCs/>
          <w:lang w:val="pt-BR"/>
        </w:rPr>
        <w:t xml:space="preserve">, </w:t>
      </w:r>
      <w:r>
        <w:rPr>
          <w:rFonts w:cs="Sylfaen"/>
          <w:bCs/>
          <w:lang w:val="pt-BR"/>
        </w:rPr>
        <w:t>հարակից</w:t>
      </w:r>
      <w:r>
        <w:rPr>
          <w:bCs/>
          <w:lang w:val="pt-BR"/>
        </w:rPr>
        <w:t xml:space="preserve"> </w:t>
      </w:r>
      <w:r>
        <w:rPr>
          <w:rFonts w:cs="Sylfaen"/>
          <w:bCs/>
          <w:lang w:val="pt-BR"/>
        </w:rPr>
        <w:t>բնակավայրերի</w:t>
      </w:r>
      <w:r>
        <w:rPr>
          <w:bCs/>
          <w:lang w:val="pt-BR"/>
        </w:rPr>
        <w:t xml:space="preserve"> </w:t>
      </w:r>
      <w:r>
        <w:rPr>
          <w:rFonts w:cs="Sylfaen"/>
          <w:bCs/>
          <w:lang w:val="pt-BR"/>
        </w:rPr>
        <w:t>կարողությունների</w:t>
      </w:r>
      <w:r>
        <w:rPr>
          <w:bCs/>
          <w:lang w:val="pt-BR"/>
        </w:rPr>
        <w:t xml:space="preserve"> </w:t>
      </w:r>
      <w:r>
        <w:rPr>
          <w:rFonts w:cs="Sylfaen"/>
          <w:bCs/>
          <w:lang w:val="pt-BR"/>
        </w:rPr>
        <w:t>զարգացումը</w:t>
      </w:r>
      <w:r>
        <w:rPr>
          <w:bCs/>
          <w:lang w:val="pt-BR"/>
        </w:rPr>
        <w:t>,</w:t>
      </w:r>
    </w:p>
    <w:p w14:paraId="0EE72EBB" w14:textId="77777777" w:rsidR="00DA0E15" w:rsidRDefault="00362131">
      <w:pPr>
        <w:spacing w:after="0" w:line="276" w:lineRule="auto"/>
        <w:rPr>
          <w:rFonts w:cs="Sylfaen"/>
          <w:bCs/>
          <w:lang w:val="pt-BR"/>
        </w:rPr>
      </w:pPr>
      <w:r>
        <w:rPr>
          <w:bCs/>
          <w:lang w:val="pt-BR"/>
        </w:rPr>
        <w:t xml:space="preserve">- </w:t>
      </w:r>
      <w:r>
        <w:rPr>
          <w:rFonts w:cs="Sylfaen"/>
          <w:bCs/>
          <w:lang w:val="pt-BR"/>
        </w:rPr>
        <w:t>կենսաբազմազանության</w:t>
      </w:r>
      <w:r>
        <w:rPr>
          <w:bCs/>
          <w:lang w:val="pt-BR"/>
        </w:rPr>
        <w:t xml:space="preserve"> </w:t>
      </w:r>
      <w:r>
        <w:rPr>
          <w:rFonts w:cs="Sylfaen"/>
          <w:bCs/>
          <w:lang w:val="pt-BR"/>
        </w:rPr>
        <w:t>պահպանությունը</w:t>
      </w:r>
      <w:r>
        <w:rPr>
          <w:bCs/>
          <w:lang w:val="pt-BR"/>
        </w:rPr>
        <w:t xml:space="preserve"> </w:t>
      </w:r>
      <w:r>
        <w:rPr>
          <w:rFonts w:cs="Sylfaen"/>
          <w:bCs/>
          <w:lang w:val="pt-BR"/>
        </w:rPr>
        <w:t>և</w:t>
      </w:r>
      <w:r>
        <w:rPr>
          <w:bCs/>
          <w:lang w:val="pt-BR"/>
        </w:rPr>
        <w:t xml:space="preserve"> </w:t>
      </w:r>
      <w:r>
        <w:rPr>
          <w:rFonts w:cs="Sylfaen"/>
          <w:bCs/>
          <w:lang w:val="pt-BR"/>
        </w:rPr>
        <w:t>կենսաանվտանգության</w:t>
      </w:r>
      <w:r>
        <w:rPr>
          <w:bCs/>
          <w:lang w:val="pt-BR"/>
        </w:rPr>
        <w:t xml:space="preserve"> </w:t>
      </w:r>
      <w:r>
        <w:rPr>
          <w:rFonts w:cs="Sylfaen"/>
          <w:bCs/>
          <w:lang w:val="pt-BR"/>
        </w:rPr>
        <w:t>ապահովումը</w:t>
      </w:r>
      <w:r>
        <w:rPr>
          <w:bCs/>
          <w:lang w:val="pt-BR"/>
        </w:rPr>
        <w:t xml:space="preserve">, </w:t>
      </w:r>
    </w:p>
    <w:p w14:paraId="55F87F4B" w14:textId="77777777" w:rsidR="00DA0E15" w:rsidRDefault="00362131">
      <w:pPr>
        <w:spacing w:after="0" w:line="276" w:lineRule="auto"/>
        <w:rPr>
          <w:bCs/>
          <w:lang w:val="pt-BR"/>
        </w:rPr>
      </w:pPr>
      <w:r>
        <w:rPr>
          <w:bCs/>
          <w:lang w:val="pt-BR"/>
        </w:rPr>
        <w:t xml:space="preserve">- </w:t>
      </w:r>
      <w:r>
        <w:rPr>
          <w:rFonts w:cs="Sylfaen"/>
          <w:bCs/>
          <w:lang w:val="pt-BR"/>
        </w:rPr>
        <w:t>շրջակա</w:t>
      </w:r>
      <w:r>
        <w:rPr>
          <w:bCs/>
          <w:lang w:val="pt-BR"/>
        </w:rPr>
        <w:t xml:space="preserve"> </w:t>
      </w:r>
      <w:r>
        <w:rPr>
          <w:rFonts w:cs="Sylfaen"/>
          <w:bCs/>
          <w:lang w:val="pt-BR"/>
        </w:rPr>
        <w:t>միջավայրի</w:t>
      </w:r>
      <w:r>
        <w:rPr>
          <w:bCs/>
          <w:lang w:val="pt-BR"/>
        </w:rPr>
        <w:t xml:space="preserve"> </w:t>
      </w:r>
      <w:r>
        <w:rPr>
          <w:rFonts w:cs="Sylfaen"/>
          <w:bCs/>
          <w:lang w:val="pt-BR"/>
        </w:rPr>
        <w:t>վրա</w:t>
      </w:r>
      <w:r>
        <w:rPr>
          <w:bCs/>
          <w:lang w:val="pt-BR"/>
        </w:rPr>
        <w:t xml:space="preserve"> </w:t>
      </w:r>
      <w:r>
        <w:rPr>
          <w:rFonts w:cs="Sylfaen"/>
          <w:bCs/>
          <w:lang w:val="pt-BR"/>
        </w:rPr>
        <w:t>ազդեցության</w:t>
      </w:r>
      <w:r>
        <w:rPr>
          <w:bCs/>
          <w:lang w:val="pt-BR"/>
        </w:rPr>
        <w:t xml:space="preserve"> </w:t>
      </w:r>
      <w:r>
        <w:rPr>
          <w:rFonts w:cs="Sylfaen"/>
          <w:bCs/>
          <w:lang w:val="pt-BR"/>
        </w:rPr>
        <w:t>փորձաքննական</w:t>
      </w:r>
      <w:r>
        <w:rPr>
          <w:bCs/>
          <w:lang w:val="pt-BR"/>
        </w:rPr>
        <w:t xml:space="preserve"> </w:t>
      </w:r>
      <w:r>
        <w:rPr>
          <w:rFonts w:cs="Sylfaen"/>
          <w:bCs/>
          <w:lang w:val="pt-BR"/>
        </w:rPr>
        <w:t>գործընթացի</w:t>
      </w:r>
      <w:r>
        <w:rPr>
          <w:bCs/>
          <w:lang w:val="pt-BR"/>
        </w:rPr>
        <w:t xml:space="preserve"> </w:t>
      </w:r>
      <w:r>
        <w:rPr>
          <w:rFonts w:cs="Sylfaen"/>
          <w:bCs/>
          <w:lang w:val="pt-BR"/>
        </w:rPr>
        <w:t>արդյունավետ</w:t>
      </w:r>
      <w:r>
        <w:rPr>
          <w:bCs/>
          <w:lang w:val="pt-BR"/>
        </w:rPr>
        <w:t xml:space="preserve"> </w:t>
      </w:r>
      <w:r>
        <w:rPr>
          <w:rFonts w:cs="Sylfaen"/>
          <w:bCs/>
          <w:lang w:val="pt-BR"/>
        </w:rPr>
        <w:t>իրականացումը</w:t>
      </w:r>
      <w:r>
        <w:rPr>
          <w:bCs/>
          <w:lang w:val="pt-BR"/>
        </w:rPr>
        <w:t>,</w:t>
      </w:r>
    </w:p>
    <w:p w14:paraId="39384566" w14:textId="77777777" w:rsidR="00DA0E15" w:rsidRDefault="00362131">
      <w:pPr>
        <w:spacing w:after="0" w:line="276" w:lineRule="auto"/>
        <w:rPr>
          <w:bCs/>
          <w:lang w:val="pt-BR"/>
        </w:rPr>
      </w:pPr>
      <w:r>
        <w:rPr>
          <w:bCs/>
          <w:lang w:val="pt-BR"/>
        </w:rPr>
        <w:t xml:space="preserve">- </w:t>
      </w:r>
      <w:r>
        <w:rPr>
          <w:rFonts w:cs="Sylfaen"/>
          <w:bCs/>
          <w:lang w:val="pt-BR"/>
        </w:rPr>
        <w:t>կանաչ</w:t>
      </w:r>
      <w:r>
        <w:rPr>
          <w:bCs/>
          <w:lang w:val="pt-BR"/>
        </w:rPr>
        <w:t xml:space="preserve"> </w:t>
      </w:r>
      <w:r>
        <w:rPr>
          <w:rFonts w:cs="Sylfaen"/>
          <w:bCs/>
          <w:lang w:val="pt-BR"/>
        </w:rPr>
        <w:t>տնտեսության</w:t>
      </w:r>
      <w:r>
        <w:rPr>
          <w:bCs/>
          <w:lang w:val="pt-BR"/>
        </w:rPr>
        <w:t xml:space="preserve"> </w:t>
      </w:r>
      <w:r>
        <w:rPr>
          <w:rFonts w:cs="Sylfaen"/>
          <w:bCs/>
          <w:lang w:val="pt-BR"/>
        </w:rPr>
        <w:t>և</w:t>
      </w:r>
      <w:r>
        <w:rPr>
          <w:bCs/>
          <w:lang w:val="pt-BR"/>
        </w:rPr>
        <w:t xml:space="preserve"> </w:t>
      </w:r>
      <w:r>
        <w:rPr>
          <w:rFonts w:cs="Sylfaen"/>
          <w:bCs/>
          <w:lang w:val="pt-BR"/>
        </w:rPr>
        <w:t>կայուն</w:t>
      </w:r>
      <w:r>
        <w:rPr>
          <w:bCs/>
          <w:lang w:val="pt-BR"/>
        </w:rPr>
        <w:t xml:space="preserve"> </w:t>
      </w:r>
      <w:r>
        <w:rPr>
          <w:rFonts w:cs="Sylfaen"/>
          <w:bCs/>
          <w:lang w:val="pt-BR"/>
        </w:rPr>
        <w:t>զարգացման</w:t>
      </w:r>
      <w:r>
        <w:rPr>
          <w:bCs/>
          <w:lang w:val="pt-BR"/>
        </w:rPr>
        <w:t xml:space="preserve"> </w:t>
      </w:r>
      <w:r>
        <w:rPr>
          <w:rFonts w:cs="Sylfaen"/>
          <w:bCs/>
          <w:lang w:val="pt-BR"/>
        </w:rPr>
        <w:t>երկարաժամկետ</w:t>
      </w:r>
      <w:r>
        <w:rPr>
          <w:bCs/>
          <w:lang w:val="pt-BR"/>
        </w:rPr>
        <w:t xml:space="preserve"> </w:t>
      </w:r>
      <w:r>
        <w:rPr>
          <w:rFonts w:cs="Sylfaen"/>
          <w:bCs/>
          <w:lang w:val="pt-BR"/>
        </w:rPr>
        <w:t>նպատակի</w:t>
      </w:r>
      <w:r>
        <w:rPr>
          <w:bCs/>
          <w:lang w:val="pt-BR"/>
        </w:rPr>
        <w:t xml:space="preserve"> </w:t>
      </w:r>
      <w:r>
        <w:rPr>
          <w:rFonts w:cs="Sylfaen"/>
          <w:bCs/>
          <w:lang w:val="pt-BR"/>
        </w:rPr>
        <w:t>խթանմանն</w:t>
      </w:r>
      <w:r>
        <w:rPr>
          <w:bCs/>
          <w:lang w:val="pt-BR"/>
        </w:rPr>
        <w:t xml:space="preserve"> </w:t>
      </w:r>
      <w:r>
        <w:rPr>
          <w:rFonts w:cs="Sylfaen"/>
          <w:bCs/>
          <w:lang w:val="pt-BR"/>
        </w:rPr>
        <w:t>ուղղված</w:t>
      </w:r>
      <w:r>
        <w:rPr>
          <w:bCs/>
          <w:lang w:val="pt-BR"/>
        </w:rPr>
        <w:t xml:space="preserve"> </w:t>
      </w:r>
      <w:r>
        <w:rPr>
          <w:rFonts w:cs="Sylfaen"/>
          <w:bCs/>
          <w:lang w:val="pt-BR"/>
        </w:rPr>
        <w:t>քաղաքականության</w:t>
      </w:r>
      <w:r>
        <w:rPr>
          <w:bCs/>
          <w:lang w:val="pt-BR"/>
        </w:rPr>
        <w:t xml:space="preserve"> </w:t>
      </w:r>
      <w:r>
        <w:rPr>
          <w:rFonts w:cs="Sylfaen"/>
          <w:bCs/>
          <w:lang w:val="pt-BR"/>
        </w:rPr>
        <w:t>մշակումն</w:t>
      </w:r>
      <w:r>
        <w:rPr>
          <w:bCs/>
          <w:lang w:val="pt-BR"/>
        </w:rPr>
        <w:t xml:space="preserve"> </w:t>
      </w:r>
      <w:r>
        <w:rPr>
          <w:rFonts w:cs="Sylfaen"/>
          <w:bCs/>
          <w:lang w:val="pt-BR"/>
        </w:rPr>
        <w:t>ու</w:t>
      </w:r>
      <w:r>
        <w:rPr>
          <w:bCs/>
          <w:lang w:val="pt-BR"/>
        </w:rPr>
        <w:t xml:space="preserve"> </w:t>
      </w:r>
      <w:r>
        <w:rPr>
          <w:rFonts w:cs="Sylfaen"/>
          <w:bCs/>
          <w:lang w:val="pt-BR"/>
        </w:rPr>
        <w:t>իրականացումը</w:t>
      </w:r>
      <w:r>
        <w:rPr>
          <w:bCs/>
          <w:lang w:val="pt-BR"/>
        </w:rPr>
        <w:t xml:space="preserve">, </w:t>
      </w:r>
    </w:p>
    <w:p w14:paraId="3ECB3C23" w14:textId="77777777" w:rsidR="00DA0E15" w:rsidRDefault="00362131">
      <w:pPr>
        <w:spacing w:line="276" w:lineRule="auto"/>
        <w:rPr>
          <w:bCs/>
          <w:lang w:val="pt-BR"/>
        </w:rPr>
      </w:pPr>
      <w:r>
        <w:rPr>
          <w:bCs/>
          <w:lang w:val="pt-BR"/>
        </w:rPr>
        <w:t xml:space="preserve">- </w:t>
      </w:r>
      <w:r>
        <w:rPr>
          <w:rFonts w:cs="Sylfaen"/>
          <w:bCs/>
          <w:lang w:val="pt-BR"/>
        </w:rPr>
        <w:t>շրջակա</w:t>
      </w:r>
      <w:r>
        <w:rPr>
          <w:bCs/>
          <w:lang w:val="pt-BR"/>
        </w:rPr>
        <w:t xml:space="preserve"> </w:t>
      </w:r>
      <w:r>
        <w:rPr>
          <w:rFonts w:cs="Sylfaen"/>
          <w:bCs/>
          <w:lang w:val="pt-BR"/>
        </w:rPr>
        <w:t>միջավայրի</w:t>
      </w:r>
      <w:r>
        <w:rPr>
          <w:bCs/>
          <w:lang w:val="pt-BR"/>
        </w:rPr>
        <w:t xml:space="preserve"> </w:t>
      </w:r>
      <w:r>
        <w:rPr>
          <w:rFonts w:cs="Sylfaen"/>
          <w:bCs/>
          <w:lang w:val="pt-BR"/>
        </w:rPr>
        <w:t>կառավարման</w:t>
      </w:r>
      <w:r>
        <w:rPr>
          <w:bCs/>
          <w:lang w:val="pt-BR"/>
        </w:rPr>
        <w:t xml:space="preserve"> </w:t>
      </w:r>
      <w:r>
        <w:rPr>
          <w:rFonts w:cs="Sylfaen"/>
          <w:bCs/>
          <w:lang w:val="pt-BR"/>
        </w:rPr>
        <w:t>ոլորտում</w:t>
      </w:r>
      <w:r>
        <w:rPr>
          <w:bCs/>
          <w:lang w:val="pt-BR"/>
        </w:rPr>
        <w:t xml:space="preserve"> </w:t>
      </w:r>
      <w:r>
        <w:rPr>
          <w:rFonts w:cs="Sylfaen"/>
          <w:bCs/>
          <w:lang w:val="pt-BR"/>
        </w:rPr>
        <w:t>գործող</w:t>
      </w:r>
      <w:r>
        <w:rPr>
          <w:bCs/>
          <w:lang w:val="pt-BR"/>
        </w:rPr>
        <w:t xml:space="preserve"> </w:t>
      </w:r>
      <w:r>
        <w:rPr>
          <w:rFonts w:cs="Sylfaen"/>
          <w:bCs/>
          <w:lang w:val="pt-BR"/>
        </w:rPr>
        <w:t>միջազգային</w:t>
      </w:r>
      <w:r>
        <w:rPr>
          <w:bCs/>
          <w:lang w:val="pt-BR"/>
        </w:rPr>
        <w:t xml:space="preserve"> </w:t>
      </w:r>
      <w:r>
        <w:rPr>
          <w:rFonts w:cs="Sylfaen"/>
          <w:bCs/>
          <w:lang w:val="pt-BR"/>
        </w:rPr>
        <w:t>կառույցների</w:t>
      </w:r>
      <w:r>
        <w:rPr>
          <w:bCs/>
          <w:lang w:val="pt-BR"/>
        </w:rPr>
        <w:t xml:space="preserve"> </w:t>
      </w:r>
      <w:r>
        <w:rPr>
          <w:rFonts w:cs="Sylfaen"/>
          <w:bCs/>
          <w:lang w:val="pt-BR"/>
        </w:rPr>
        <w:t>հետ</w:t>
      </w:r>
      <w:r>
        <w:rPr>
          <w:bCs/>
          <w:lang w:val="pt-BR"/>
        </w:rPr>
        <w:t xml:space="preserve"> </w:t>
      </w:r>
      <w:r>
        <w:rPr>
          <w:rFonts w:cs="Sylfaen"/>
          <w:bCs/>
          <w:lang w:val="pt-BR"/>
        </w:rPr>
        <w:t>շարունակական</w:t>
      </w:r>
      <w:r>
        <w:rPr>
          <w:bCs/>
          <w:lang w:val="pt-BR"/>
        </w:rPr>
        <w:t xml:space="preserve"> </w:t>
      </w:r>
      <w:r>
        <w:rPr>
          <w:rFonts w:cs="Sylfaen"/>
          <w:bCs/>
          <w:lang w:val="pt-BR"/>
        </w:rPr>
        <w:t>համագործակցության</w:t>
      </w:r>
      <w:r>
        <w:rPr>
          <w:bCs/>
          <w:lang w:val="pt-BR"/>
        </w:rPr>
        <w:t xml:space="preserve"> </w:t>
      </w:r>
      <w:r>
        <w:rPr>
          <w:rFonts w:cs="Sylfaen"/>
          <w:bCs/>
          <w:lang w:val="pt-BR"/>
        </w:rPr>
        <w:t>ապահովումը</w:t>
      </w:r>
      <w:r>
        <w:rPr>
          <w:bCs/>
          <w:lang w:val="pt-BR"/>
        </w:rPr>
        <w:t>,</w:t>
      </w:r>
    </w:p>
    <w:p w14:paraId="15CEDBA4" w14:textId="77777777" w:rsidR="00DA0E15" w:rsidRDefault="00362131">
      <w:pPr>
        <w:spacing w:after="0" w:line="276" w:lineRule="auto"/>
        <w:rPr>
          <w:bCs/>
          <w:lang w:val="pt-BR"/>
        </w:rPr>
      </w:pPr>
      <w:r>
        <w:rPr>
          <w:bCs/>
          <w:lang w:val="pt-BR"/>
        </w:rPr>
        <w:t xml:space="preserve">- </w:t>
      </w:r>
      <w:r>
        <w:rPr>
          <w:rFonts w:cs="Sylfaen"/>
          <w:bCs/>
          <w:lang w:val="pt-BR"/>
        </w:rPr>
        <w:t>բնապահպանական</w:t>
      </w:r>
      <w:r>
        <w:rPr>
          <w:bCs/>
          <w:lang w:val="pt-BR"/>
        </w:rPr>
        <w:t xml:space="preserve"> </w:t>
      </w:r>
      <w:r>
        <w:rPr>
          <w:rFonts w:cs="Sylfaen"/>
          <w:bCs/>
          <w:lang w:val="pt-BR"/>
        </w:rPr>
        <w:t>օրենսդրության</w:t>
      </w:r>
      <w:r>
        <w:rPr>
          <w:bCs/>
          <w:lang w:val="pt-BR"/>
        </w:rPr>
        <w:t xml:space="preserve"> </w:t>
      </w:r>
      <w:r>
        <w:rPr>
          <w:rFonts w:cs="Sylfaen"/>
          <w:bCs/>
          <w:lang w:val="pt-BR"/>
        </w:rPr>
        <w:t>ներդաշնակեցումը</w:t>
      </w:r>
      <w:r>
        <w:rPr>
          <w:bCs/>
          <w:lang w:val="pt-BR"/>
        </w:rPr>
        <w:t xml:space="preserve"> </w:t>
      </w:r>
      <w:r>
        <w:rPr>
          <w:rFonts w:cs="Sylfaen"/>
          <w:bCs/>
          <w:lang w:val="pt-BR"/>
        </w:rPr>
        <w:t>ՀՀ</w:t>
      </w:r>
      <w:r>
        <w:rPr>
          <w:bCs/>
          <w:lang w:val="pt-BR"/>
        </w:rPr>
        <w:t>-</w:t>
      </w:r>
      <w:r>
        <w:rPr>
          <w:rFonts w:cs="Sylfaen"/>
          <w:bCs/>
          <w:lang w:val="pt-BR"/>
        </w:rPr>
        <w:t>ԵՄ</w:t>
      </w:r>
      <w:r>
        <w:rPr>
          <w:bCs/>
          <w:lang w:val="pt-BR"/>
        </w:rPr>
        <w:t xml:space="preserve"> </w:t>
      </w:r>
      <w:r>
        <w:rPr>
          <w:rFonts w:cs="Sylfaen"/>
          <w:bCs/>
          <w:lang w:val="pt-BR"/>
        </w:rPr>
        <w:t>համապարփակ</w:t>
      </w:r>
      <w:r>
        <w:rPr>
          <w:bCs/>
          <w:lang w:val="pt-BR"/>
        </w:rPr>
        <w:t xml:space="preserve"> </w:t>
      </w:r>
      <w:r>
        <w:rPr>
          <w:rFonts w:cs="Sylfaen"/>
          <w:bCs/>
          <w:lang w:val="pt-BR"/>
        </w:rPr>
        <w:t>և</w:t>
      </w:r>
      <w:r>
        <w:rPr>
          <w:bCs/>
          <w:lang w:val="pt-BR"/>
        </w:rPr>
        <w:t xml:space="preserve"> </w:t>
      </w:r>
      <w:r>
        <w:rPr>
          <w:rFonts w:cs="Sylfaen"/>
          <w:bCs/>
          <w:lang w:val="pt-BR"/>
        </w:rPr>
        <w:t>ընդլայնված</w:t>
      </w:r>
      <w:r>
        <w:rPr>
          <w:bCs/>
          <w:lang w:val="pt-BR"/>
        </w:rPr>
        <w:t xml:space="preserve"> </w:t>
      </w:r>
      <w:r>
        <w:rPr>
          <w:rFonts w:cs="Sylfaen"/>
          <w:bCs/>
          <w:lang w:val="pt-BR"/>
        </w:rPr>
        <w:t>գործընկերության</w:t>
      </w:r>
      <w:r>
        <w:rPr>
          <w:bCs/>
          <w:lang w:val="pt-BR"/>
        </w:rPr>
        <w:t xml:space="preserve"> </w:t>
      </w:r>
      <w:r>
        <w:rPr>
          <w:rFonts w:cs="Sylfaen"/>
          <w:bCs/>
          <w:lang w:val="pt-BR"/>
        </w:rPr>
        <w:t>համաձայնագրի</w:t>
      </w:r>
      <w:r>
        <w:rPr>
          <w:bCs/>
          <w:lang w:val="pt-BR"/>
        </w:rPr>
        <w:t xml:space="preserve"> </w:t>
      </w:r>
      <w:r>
        <w:rPr>
          <w:rFonts w:cs="Sylfaen"/>
          <w:bCs/>
          <w:lang w:val="pt-BR"/>
        </w:rPr>
        <w:t>դիրեկտիվներին</w:t>
      </w:r>
      <w:r>
        <w:rPr>
          <w:bCs/>
          <w:lang w:val="pt-BR"/>
        </w:rPr>
        <w:t xml:space="preserve"> </w:t>
      </w:r>
      <w:r>
        <w:rPr>
          <w:rFonts w:cs="Sylfaen"/>
          <w:bCs/>
          <w:lang w:val="pt-BR"/>
        </w:rPr>
        <w:t>և</w:t>
      </w:r>
      <w:r>
        <w:rPr>
          <w:bCs/>
          <w:lang w:val="pt-BR"/>
        </w:rPr>
        <w:t xml:space="preserve"> </w:t>
      </w:r>
      <w:r>
        <w:rPr>
          <w:rFonts w:cs="Sylfaen"/>
          <w:bCs/>
          <w:lang w:val="pt-BR"/>
        </w:rPr>
        <w:t>այդ</w:t>
      </w:r>
      <w:r>
        <w:rPr>
          <w:bCs/>
          <w:lang w:val="pt-BR"/>
        </w:rPr>
        <w:t xml:space="preserve"> </w:t>
      </w:r>
      <w:r>
        <w:rPr>
          <w:rFonts w:cs="Sylfaen"/>
          <w:bCs/>
          <w:lang w:val="pt-BR"/>
        </w:rPr>
        <w:t>համատեքստում</w:t>
      </w:r>
      <w:r>
        <w:rPr>
          <w:bCs/>
          <w:lang w:val="pt-BR"/>
        </w:rPr>
        <w:t xml:space="preserve"> </w:t>
      </w:r>
      <w:r>
        <w:rPr>
          <w:rFonts w:cs="Sylfaen"/>
          <w:bCs/>
          <w:lang w:val="pt-BR"/>
        </w:rPr>
        <w:t>միջազգային</w:t>
      </w:r>
      <w:r>
        <w:rPr>
          <w:bCs/>
          <w:lang w:val="pt-BR"/>
        </w:rPr>
        <w:t xml:space="preserve"> </w:t>
      </w:r>
      <w:r>
        <w:rPr>
          <w:rFonts w:cs="Sylfaen"/>
          <w:bCs/>
          <w:lang w:val="pt-BR"/>
        </w:rPr>
        <w:t>համագործակցության</w:t>
      </w:r>
      <w:r>
        <w:rPr>
          <w:bCs/>
          <w:lang w:val="pt-BR"/>
        </w:rPr>
        <w:t xml:space="preserve"> </w:t>
      </w:r>
      <w:r>
        <w:rPr>
          <w:rFonts w:cs="Sylfaen"/>
          <w:bCs/>
          <w:lang w:val="pt-BR"/>
        </w:rPr>
        <w:t>ընդլայնումը՝</w:t>
      </w:r>
      <w:r>
        <w:rPr>
          <w:bCs/>
          <w:lang w:val="pt-BR"/>
        </w:rPr>
        <w:t xml:space="preserve"> </w:t>
      </w:r>
      <w:r>
        <w:rPr>
          <w:rFonts w:cs="Sylfaen"/>
          <w:bCs/>
          <w:lang w:val="pt-BR"/>
        </w:rPr>
        <w:t>ճանապարհային</w:t>
      </w:r>
      <w:r>
        <w:rPr>
          <w:bCs/>
          <w:lang w:val="pt-BR"/>
        </w:rPr>
        <w:t xml:space="preserve"> </w:t>
      </w:r>
      <w:r>
        <w:rPr>
          <w:rFonts w:cs="Sylfaen"/>
          <w:bCs/>
          <w:lang w:val="pt-BR"/>
        </w:rPr>
        <w:t>քարտեզով</w:t>
      </w:r>
      <w:r>
        <w:rPr>
          <w:bCs/>
          <w:lang w:val="pt-BR"/>
        </w:rPr>
        <w:t xml:space="preserve"> </w:t>
      </w:r>
      <w:r>
        <w:rPr>
          <w:rFonts w:cs="Sylfaen"/>
          <w:bCs/>
          <w:lang w:val="pt-BR"/>
        </w:rPr>
        <w:t>նախանշված</w:t>
      </w:r>
      <w:r>
        <w:rPr>
          <w:bCs/>
          <w:lang w:val="pt-BR"/>
        </w:rPr>
        <w:t xml:space="preserve"> </w:t>
      </w:r>
      <w:r>
        <w:rPr>
          <w:rFonts w:cs="Sylfaen"/>
          <w:bCs/>
          <w:lang w:val="pt-BR"/>
        </w:rPr>
        <w:t>գործողությունների</w:t>
      </w:r>
      <w:r>
        <w:rPr>
          <w:bCs/>
          <w:lang w:val="pt-BR"/>
        </w:rPr>
        <w:t xml:space="preserve"> </w:t>
      </w:r>
      <w:r>
        <w:rPr>
          <w:rFonts w:cs="Sylfaen"/>
          <w:bCs/>
          <w:lang w:val="pt-BR"/>
        </w:rPr>
        <w:t>իրականացման</w:t>
      </w:r>
      <w:r>
        <w:rPr>
          <w:bCs/>
          <w:lang w:val="pt-BR"/>
        </w:rPr>
        <w:t xml:space="preserve"> </w:t>
      </w:r>
      <w:r>
        <w:rPr>
          <w:rFonts w:cs="Sylfaen"/>
          <w:bCs/>
          <w:lang w:val="pt-BR"/>
        </w:rPr>
        <w:t>արդյունավետության</w:t>
      </w:r>
      <w:r>
        <w:rPr>
          <w:bCs/>
          <w:lang w:val="pt-BR"/>
        </w:rPr>
        <w:t xml:space="preserve"> </w:t>
      </w:r>
      <w:r>
        <w:rPr>
          <w:rFonts w:cs="Sylfaen"/>
          <w:bCs/>
          <w:lang w:val="pt-BR"/>
        </w:rPr>
        <w:t>բարձրացման</w:t>
      </w:r>
      <w:r>
        <w:rPr>
          <w:bCs/>
          <w:lang w:val="pt-BR"/>
        </w:rPr>
        <w:t xml:space="preserve"> </w:t>
      </w:r>
      <w:r>
        <w:rPr>
          <w:rFonts w:cs="Sylfaen"/>
          <w:bCs/>
          <w:lang w:val="pt-BR"/>
        </w:rPr>
        <w:t>նպատակով</w:t>
      </w:r>
      <w:r>
        <w:rPr>
          <w:bCs/>
          <w:lang w:val="pt-BR"/>
        </w:rPr>
        <w:t xml:space="preserve">, </w:t>
      </w:r>
    </w:p>
    <w:p w14:paraId="3BCCDCA6" w14:textId="77777777" w:rsidR="00DA0E15" w:rsidRDefault="00362131">
      <w:pPr>
        <w:spacing w:after="0" w:line="276" w:lineRule="auto"/>
        <w:rPr>
          <w:bCs/>
          <w:lang w:val="pt-BR"/>
        </w:rPr>
      </w:pPr>
      <w:r>
        <w:rPr>
          <w:bCs/>
          <w:lang w:val="pt-BR"/>
        </w:rPr>
        <w:t>-</w:t>
      </w:r>
      <w:r>
        <w:rPr>
          <w:rFonts w:cs="Sylfaen"/>
          <w:bCs/>
          <w:lang w:val="pt-BR"/>
        </w:rPr>
        <w:t>անտառներում</w:t>
      </w:r>
      <w:r>
        <w:rPr>
          <w:bCs/>
          <w:lang w:val="pt-BR"/>
        </w:rPr>
        <w:t xml:space="preserve"> </w:t>
      </w:r>
      <w:r>
        <w:rPr>
          <w:rFonts w:cs="Sylfaen"/>
          <w:bCs/>
          <w:lang w:val="pt-BR"/>
        </w:rPr>
        <w:t>և</w:t>
      </w:r>
      <w:r>
        <w:rPr>
          <w:bCs/>
          <w:lang w:val="pt-BR"/>
        </w:rPr>
        <w:t xml:space="preserve"> </w:t>
      </w:r>
      <w:r>
        <w:rPr>
          <w:rFonts w:cs="Sylfaen"/>
          <w:bCs/>
          <w:lang w:val="pt-BR"/>
        </w:rPr>
        <w:t>բնության</w:t>
      </w:r>
      <w:r>
        <w:rPr>
          <w:bCs/>
          <w:lang w:val="pt-BR"/>
        </w:rPr>
        <w:t xml:space="preserve"> </w:t>
      </w:r>
      <w:r>
        <w:rPr>
          <w:rFonts w:cs="Sylfaen"/>
          <w:bCs/>
          <w:lang w:val="pt-BR"/>
        </w:rPr>
        <w:t>հատուկ</w:t>
      </w:r>
      <w:r>
        <w:rPr>
          <w:bCs/>
          <w:lang w:val="pt-BR"/>
        </w:rPr>
        <w:t xml:space="preserve"> </w:t>
      </w:r>
      <w:r>
        <w:rPr>
          <w:rFonts w:cs="Sylfaen"/>
          <w:bCs/>
          <w:lang w:val="pt-BR"/>
        </w:rPr>
        <w:t>պահպանվող</w:t>
      </w:r>
      <w:r>
        <w:rPr>
          <w:bCs/>
          <w:lang w:val="pt-BR"/>
        </w:rPr>
        <w:t xml:space="preserve"> </w:t>
      </w:r>
      <w:r>
        <w:rPr>
          <w:rFonts w:cs="Sylfaen"/>
          <w:bCs/>
          <w:lang w:val="pt-BR"/>
        </w:rPr>
        <w:t>տարածքներում</w:t>
      </w:r>
      <w:r>
        <w:rPr>
          <w:bCs/>
          <w:lang w:val="pt-BR"/>
        </w:rPr>
        <w:t xml:space="preserve"> </w:t>
      </w:r>
      <w:r>
        <w:rPr>
          <w:rFonts w:cs="Sylfaen"/>
          <w:bCs/>
          <w:lang w:val="pt-BR"/>
        </w:rPr>
        <w:t>էկոտուրիզմի</w:t>
      </w:r>
      <w:r>
        <w:rPr>
          <w:bCs/>
          <w:lang w:val="pt-BR"/>
        </w:rPr>
        <w:t xml:space="preserve"> </w:t>
      </w:r>
      <w:r>
        <w:rPr>
          <w:rFonts w:cs="Sylfaen"/>
          <w:bCs/>
          <w:lang w:val="pt-BR"/>
        </w:rPr>
        <w:t>զարգացումը</w:t>
      </w:r>
      <w:r>
        <w:rPr>
          <w:bCs/>
          <w:lang w:val="pt-BR"/>
        </w:rPr>
        <w:t xml:space="preserve">, </w:t>
      </w:r>
    </w:p>
    <w:p w14:paraId="3D399D61" w14:textId="77777777" w:rsidR="00DA0E15" w:rsidRDefault="00362131">
      <w:pPr>
        <w:spacing w:after="0" w:line="276" w:lineRule="auto"/>
        <w:rPr>
          <w:bCs/>
          <w:lang w:val="pt-BR"/>
        </w:rPr>
      </w:pPr>
      <w:r>
        <w:rPr>
          <w:bCs/>
          <w:lang w:val="pt-BR"/>
        </w:rPr>
        <w:t xml:space="preserve">- </w:t>
      </w:r>
      <w:r>
        <w:rPr>
          <w:rFonts w:cs="Sylfaen"/>
          <w:bCs/>
          <w:lang w:val="pt-BR"/>
        </w:rPr>
        <w:t>էկոլոգիական</w:t>
      </w:r>
      <w:r>
        <w:rPr>
          <w:bCs/>
          <w:lang w:val="pt-BR"/>
        </w:rPr>
        <w:t xml:space="preserve"> </w:t>
      </w:r>
      <w:r>
        <w:rPr>
          <w:rFonts w:cs="Sylfaen"/>
          <w:bCs/>
          <w:lang w:val="pt-BR"/>
        </w:rPr>
        <w:t>իրազեկման</w:t>
      </w:r>
      <w:r>
        <w:rPr>
          <w:bCs/>
          <w:lang w:val="pt-BR"/>
        </w:rPr>
        <w:t xml:space="preserve">, </w:t>
      </w:r>
      <w:r>
        <w:rPr>
          <w:rFonts w:cs="Sylfaen"/>
          <w:bCs/>
          <w:lang w:val="pt-BR"/>
        </w:rPr>
        <w:t>էկոկրթության</w:t>
      </w:r>
      <w:r>
        <w:rPr>
          <w:bCs/>
          <w:lang w:val="pt-BR"/>
        </w:rPr>
        <w:t xml:space="preserve">, </w:t>
      </w:r>
      <w:r>
        <w:rPr>
          <w:rFonts w:cs="Sylfaen"/>
          <w:bCs/>
          <w:lang w:val="pt-BR"/>
        </w:rPr>
        <w:t>մշակույթի</w:t>
      </w:r>
      <w:r>
        <w:rPr>
          <w:bCs/>
          <w:lang w:val="pt-BR"/>
        </w:rPr>
        <w:t xml:space="preserve">, </w:t>
      </w:r>
      <w:r>
        <w:rPr>
          <w:rFonts w:cs="Sylfaen"/>
          <w:bCs/>
          <w:lang w:val="pt-BR"/>
        </w:rPr>
        <w:t>դաստիարակության</w:t>
      </w:r>
      <w:r>
        <w:rPr>
          <w:bCs/>
          <w:lang w:val="pt-BR"/>
        </w:rPr>
        <w:t xml:space="preserve"> </w:t>
      </w:r>
      <w:r>
        <w:rPr>
          <w:rFonts w:cs="Sylfaen"/>
          <w:bCs/>
          <w:lang w:val="pt-BR"/>
        </w:rPr>
        <w:t>լայնածավալ</w:t>
      </w:r>
      <w:r>
        <w:rPr>
          <w:bCs/>
          <w:lang w:val="pt-BR"/>
        </w:rPr>
        <w:t xml:space="preserve"> </w:t>
      </w:r>
      <w:r>
        <w:rPr>
          <w:rFonts w:cs="Sylfaen"/>
          <w:bCs/>
          <w:lang w:val="pt-BR"/>
        </w:rPr>
        <w:t>միջոցառումների</w:t>
      </w:r>
      <w:r>
        <w:rPr>
          <w:bCs/>
          <w:lang w:val="pt-BR"/>
        </w:rPr>
        <w:t xml:space="preserve"> </w:t>
      </w:r>
      <w:r>
        <w:rPr>
          <w:rFonts w:cs="Sylfaen"/>
          <w:bCs/>
          <w:lang w:val="pt-BR"/>
        </w:rPr>
        <w:t>իրականացումը</w:t>
      </w:r>
      <w:r>
        <w:rPr>
          <w:bCs/>
          <w:lang w:val="pt-BR"/>
        </w:rPr>
        <w:t xml:space="preserve">, </w:t>
      </w:r>
      <w:r>
        <w:rPr>
          <w:rFonts w:cs="Sylfaen"/>
          <w:bCs/>
          <w:lang w:val="pt-BR"/>
        </w:rPr>
        <w:t>էկոլոգիական</w:t>
      </w:r>
      <w:r>
        <w:rPr>
          <w:bCs/>
          <w:lang w:val="pt-BR"/>
        </w:rPr>
        <w:t xml:space="preserve"> </w:t>
      </w:r>
      <w:r>
        <w:rPr>
          <w:rFonts w:cs="Sylfaen"/>
          <w:bCs/>
          <w:lang w:val="pt-BR"/>
        </w:rPr>
        <w:t>գիտության</w:t>
      </w:r>
      <w:r>
        <w:rPr>
          <w:bCs/>
          <w:lang w:val="pt-BR"/>
        </w:rPr>
        <w:t xml:space="preserve"> </w:t>
      </w:r>
      <w:r>
        <w:rPr>
          <w:rFonts w:cs="Sylfaen"/>
          <w:bCs/>
          <w:lang w:val="pt-BR"/>
        </w:rPr>
        <w:t>դերի</w:t>
      </w:r>
      <w:r>
        <w:rPr>
          <w:bCs/>
          <w:lang w:val="pt-BR"/>
        </w:rPr>
        <w:t xml:space="preserve"> </w:t>
      </w:r>
      <w:r>
        <w:rPr>
          <w:rFonts w:cs="Sylfaen"/>
          <w:bCs/>
          <w:lang w:val="pt-BR"/>
        </w:rPr>
        <w:t>բարձրացումը։</w:t>
      </w:r>
    </w:p>
    <w:p w14:paraId="66575A3E" w14:textId="77777777" w:rsidR="00DA0E15" w:rsidRDefault="00362131">
      <w:pPr>
        <w:spacing w:line="276" w:lineRule="auto"/>
        <w:rPr>
          <w:bCs/>
          <w:lang w:val="pt-BR"/>
        </w:rPr>
      </w:pPr>
      <w:r>
        <w:rPr>
          <w:rFonts w:cs="Sylfaen"/>
          <w:bCs/>
          <w:lang w:val="pt-BR"/>
        </w:rPr>
        <w:t>Վերոհիշյալ</w:t>
      </w:r>
      <w:r>
        <w:rPr>
          <w:bCs/>
          <w:lang w:val="pt-BR"/>
        </w:rPr>
        <w:t xml:space="preserve"> </w:t>
      </w:r>
      <w:r>
        <w:rPr>
          <w:rFonts w:cs="Sylfaen"/>
          <w:bCs/>
          <w:lang w:val="pt-BR"/>
        </w:rPr>
        <w:t>ուղղությունները</w:t>
      </w:r>
      <w:r>
        <w:rPr>
          <w:bCs/>
          <w:lang w:val="pt-BR"/>
        </w:rPr>
        <w:t xml:space="preserve"> (</w:t>
      </w:r>
      <w:r>
        <w:rPr>
          <w:rFonts w:cs="Sylfaen"/>
          <w:bCs/>
          <w:lang w:val="pt-BR"/>
        </w:rPr>
        <w:t>թիրախները</w:t>
      </w:r>
      <w:r>
        <w:rPr>
          <w:bCs/>
          <w:lang w:val="pt-BR"/>
        </w:rPr>
        <w:t xml:space="preserve">) </w:t>
      </w:r>
      <w:r>
        <w:rPr>
          <w:rFonts w:cs="Sylfaen"/>
          <w:bCs/>
          <w:lang w:val="pt-BR"/>
        </w:rPr>
        <w:t>բխում</w:t>
      </w:r>
      <w:r>
        <w:rPr>
          <w:bCs/>
          <w:lang w:val="pt-BR"/>
        </w:rPr>
        <w:t xml:space="preserve"> </w:t>
      </w:r>
      <w:r>
        <w:rPr>
          <w:rFonts w:cs="Sylfaen"/>
          <w:bCs/>
          <w:lang w:val="pt-BR"/>
        </w:rPr>
        <w:t>են</w:t>
      </w:r>
      <w:r>
        <w:rPr>
          <w:bCs/>
          <w:lang w:val="pt-BR"/>
        </w:rPr>
        <w:t xml:space="preserve"> </w:t>
      </w:r>
      <w:r>
        <w:rPr>
          <w:rFonts w:cs="Sylfaen"/>
          <w:bCs/>
          <w:lang w:val="pt-BR"/>
        </w:rPr>
        <w:t>ՀՀ</w:t>
      </w:r>
      <w:r>
        <w:rPr>
          <w:bCs/>
          <w:lang w:val="pt-BR"/>
        </w:rPr>
        <w:t xml:space="preserve"> </w:t>
      </w:r>
      <w:r>
        <w:rPr>
          <w:rFonts w:cs="Sylfaen"/>
          <w:bCs/>
          <w:lang w:val="pt-BR"/>
        </w:rPr>
        <w:t>կառավարության</w:t>
      </w:r>
      <w:r>
        <w:rPr>
          <w:bCs/>
          <w:lang w:val="pt-BR"/>
        </w:rPr>
        <w:t xml:space="preserve"> 2019</w:t>
      </w:r>
      <w:r>
        <w:rPr>
          <w:rFonts w:cs="Sylfaen"/>
          <w:bCs/>
          <w:lang w:val="pt-BR"/>
        </w:rPr>
        <w:t>թ</w:t>
      </w:r>
      <w:r>
        <w:rPr>
          <w:bCs/>
          <w:lang w:val="pt-BR"/>
        </w:rPr>
        <w:t xml:space="preserve"> </w:t>
      </w:r>
      <w:r>
        <w:rPr>
          <w:rFonts w:cs="Sylfaen"/>
          <w:bCs/>
          <w:lang w:val="pt-BR"/>
        </w:rPr>
        <w:t>փետրվարի</w:t>
      </w:r>
      <w:r>
        <w:rPr>
          <w:bCs/>
          <w:lang w:val="pt-BR"/>
        </w:rPr>
        <w:t xml:space="preserve"> 8-</w:t>
      </w:r>
      <w:r>
        <w:rPr>
          <w:rFonts w:cs="Sylfaen"/>
          <w:bCs/>
          <w:lang w:val="pt-BR"/>
        </w:rPr>
        <w:t>ի</w:t>
      </w:r>
      <w:r>
        <w:rPr>
          <w:bCs/>
          <w:lang w:val="pt-BR"/>
        </w:rPr>
        <w:t xml:space="preserve"> N 65-</w:t>
      </w:r>
      <w:r>
        <w:rPr>
          <w:rFonts w:cs="Sylfaen"/>
          <w:bCs/>
          <w:lang w:val="pt-BR"/>
        </w:rPr>
        <w:t>Ա</w:t>
      </w:r>
      <w:r>
        <w:rPr>
          <w:bCs/>
          <w:lang w:val="pt-BR"/>
        </w:rPr>
        <w:t xml:space="preserve"> </w:t>
      </w:r>
      <w:r>
        <w:rPr>
          <w:rFonts w:cs="Sylfaen"/>
          <w:bCs/>
          <w:lang w:val="pt-BR"/>
        </w:rPr>
        <w:t>որոշմամբ</w:t>
      </w:r>
      <w:r>
        <w:rPr>
          <w:bCs/>
          <w:lang w:val="pt-BR"/>
        </w:rPr>
        <w:t xml:space="preserve"> </w:t>
      </w:r>
      <w:r>
        <w:rPr>
          <w:rFonts w:cs="Sylfaen"/>
          <w:bCs/>
          <w:lang w:val="pt-BR"/>
        </w:rPr>
        <w:t>հավանության</w:t>
      </w:r>
      <w:r>
        <w:rPr>
          <w:bCs/>
          <w:lang w:val="pt-BR"/>
        </w:rPr>
        <w:t xml:space="preserve"> </w:t>
      </w:r>
      <w:r>
        <w:rPr>
          <w:rFonts w:cs="Sylfaen"/>
          <w:bCs/>
          <w:lang w:val="pt-BR"/>
        </w:rPr>
        <w:t>արժանացած</w:t>
      </w:r>
      <w:r>
        <w:rPr>
          <w:bCs/>
          <w:lang w:val="pt-BR"/>
        </w:rPr>
        <w:t xml:space="preserve"> </w:t>
      </w:r>
      <w:r>
        <w:rPr>
          <w:rFonts w:cs="Sylfaen"/>
          <w:bCs/>
          <w:lang w:val="pt-BR"/>
        </w:rPr>
        <w:t>ՀՀ</w:t>
      </w:r>
      <w:r>
        <w:rPr>
          <w:bCs/>
          <w:lang w:val="pt-BR"/>
        </w:rPr>
        <w:t xml:space="preserve"> </w:t>
      </w:r>
      <w:r>
        <w:rPr>
          <w:rFonts w:cs="Sylfaen"/>
          <w:bCs/>
          <w:lang w:val="pt-BR"/>
        </w:rPr>
        <w:t>կառավարության</w:t>
      </w:r>
      <w:r>
        <w:rPr>
          <w:bCs/>
          <w:lang w:val="pt-BR"/>
        </w:rPr>
        <w:t xml:space="preserve"> </w:t>
      </w:r>
      <w:r>
        <w:rPr>
          <w:rFonts w:cs="Sylfaen"/>
          <w:bCs/>
          <w:lang w:val="pt-BR"/>
        </w:rPr>
        <w:t>ծրագրի</w:t>
      </w:r>
      <w:r>
        <w:rPr>
          <w:bCs/>
          <w:lang w:val="pt-BR"/>
        </w:rPr>
        <w:t xml:space="preserve"> 4.8 </w:t>
      </w:r>
      <w:r>
        <w:rPr>
          <w:rFonts w:cs="Sylfaen"/>
          <w:bCs/>
          <w:lang w:val="pt-BR"/>
        </w:rPr>
        <w:t>կետում</w:t>
      </w:r>
      <w:r>
        <w:rPr>
          <w:bCs/>
          <w:lang w:val="pt-BR"/>
        </w:rPr>
        <w:t xml:space="preserve"> (</w:t>
      </w:r>
      <w:r>
        <w:rPr>
          <w:rFonts w:cs="Sylfaen"/>
          <w:bCs/>
          <w:lang w:val="pt-BR"/>
        </w:rPr>
        <w:t>Շրջակա</w:t>
      </w:r>
      <w:r>
        <w:rPr>
          <w:bCs/>
          <w:lang w:val="pt-BR"/>
        </w:rPr>
        <w:t xml:space="preserve"> </w:t>
      </w:r>
      <w:r>
        <w:rPr>
          <w:rFonts w:cs="Sylfaen"/>
          <w:bCs/>
          <w:lang w:val="pt-BR"/>
        </w:rPr>
        <w:t>միջավայրը</w:t>
      </w:r>
      <w:r>
        <w:rPr>
          <w:bCs/>
          <w:lang w:val="pt-BR"/>
        </w:rPr>
        <w:t xml:space="preserve">) </w:t>
      </w:r>
      <w:r>
        <w:rPr>
          <w:rFonts w:cs="Sylfaen"/>
          <w:bCs/>
          <w:lang w:val="pt-BR"/>
        </w:rPr>
        <w:t>ամրագրված</w:t>
      </w:r>
      <w:r>
        <w:rPr>
          <w:bCs/>
          <w:lang w:val="pt-BR"/>
        </w:rPr>
        <w:t xml:space="preserve"> </w:t>
      </w:r>
      <w:r>
        <w:rPr>
          <w:rFonts w:cs="Sylfaen"/>
          <w:bCs/>
          <w:lang w:val="pt-BR"/>
        </w:rPr>
        <w:t>առաջնահերթ</w:t>
      </w:r>
      <w:r>
        <w:rPr>
          <w:bCs/>
          <w:lang w:val="pt-BR"/>
        </w:rPr>
        <w:t xml:space="preserve"> </w:t>
      </w:r>
      <w:r>
        <w:rPr>
          <w:rFonts w:cs="Sylfaen"/>
          <w:bCs/>
          <w:lang w:val="pt-BR"/>
        </w:rPr>
        <w:t>ուղղություններից։</w:t>
      </w:r>
      <w:r>
        <w:rPr>
          <w:bCs/>
          <w:lang w:val="pt-BR"/>
        </w:rPr>
        <w:t xml:space="preserve"> </w:t>
      </w:r>
    </w:p>
    <w:p w14:paraId="402DEBB8" w14:textId="77777777" w:rsidR="00DA0E15" w:rsidRDefault="00362131">
      <w:pPr>
        <w:spacing w:after="0" w:line="276" w:lineRule="auto"/>
        <w:rPr>
          <w:b/>
          <w:bCs/>
          <w:lang w:val="pt-BR"/>
        </w:rPr>
      </w:pPr>
      <w:bookmarkStart w:id="597" w:name="_Toc13837351"/>
      <w:r>
        <w:rPr>
          <w:b/>
          <w:bCs/>
          <w:lang w:val="pt-BR"/>
        </w:rPr>
        <w:t xml:space="preserve">ՈԼՈՐՏԱՅԻՆ ԾԱԽՍԱՅԻՆ ԾՐԱԳՐԵՐԸ </w:t>
      </w:r>
      <w:bookmarkEnd w:id="597"/>
    </w:p>
    <w:p w14:paraId="3CB8BA9A" w14:textId="77777777" w:rsidR="00DA0E15" w:rsidRDefault="00362131">
      <w:pPr>
        <w:spacing w:line="276" w:lineRule="auto"/>
        <w:rPr>
          <w:b/>
          <w:lang w:val="pt-BR"/>
        </w:rPr>
      </w:pPr>
      <w:r>
        <w:rPr>
          <w:b/>
          <w:lang w:val="pt-BR"/>
        </w:rPr>
        <w:t xml:space="preserve">1. </w:t>
      </w:r>
      <w:r>
        <w:rPr>
          <w:b/>
        </w:rPr>
        <w:t></w:t>
      </w:r>
      <w:r>
        <w:rPr>
          <w:b/>
          <w:lang w:val="hy-AM"/>
        </w:rPr>
        <w:t>Շրջակա միջավայրի վրա ազդեցության գնահատում և մոնիթորինգ</w:t>
      </w:r>
      <w:r>
        <w:rPr>
          <w:b/>
        </w:rPr>
        <w:t></w:t>
      </w:r>
      <w:r>
        <w:rPr>
          <w:b/>
          <w:lang w:val="pt-BR"/>
        </w:rPr>
        <w:t xml:space="preserve"> </w:t>
      </w:r>
      <w:r>
        <w:rPr>
          <w:b/>
        </w:rPr>
        <w:t>ծրագիր</w:t>
      </w:r>
      <w:r>
        <w:rPr>
          <w:b/>
          <w:lang w:val="pt-BR"/>
        </w:rPr>
        <w:t>.</w:t>
      </w:r>
    </w:p>
    <w:p w14:paraId="15DB67BC" w14:textId="77777777" w:rsidR="00DA0E15" w:rsidRDefault="00362131">
      <w:pPr>
        <w:spacing w:line="276" w:lineRule="auto"/>
        <w:rPr>
          <w:lang w:val="pt-BR"/>
        </w:rPr>
      </w:pPr>
      <w:r>
        <w:t>Ծրագրի</w:t>
      </w:r>
      <w:r>
        <w:rPr>
          <w:lang w:val="pt-BR"/>
        </w:rPr>
        <w:t xml:space="preserve"> </w:t>
      </w:r>
      <w:r>
        <w:t>նպատակն</w:t>
      </w:r>
      <w:r>
        <w:rPr>
          <w:lang w:val="pt-BR"/>
        </w:rPr>
        <w:t xml:space="preserve"> </w:t>
      </w:r>
      <w:r>
        <w:t>է՝</w:t>
      </w:r>
      <w:r>
        <w:rPr>
          <w:lang w:val="pt-BR"/>
        </w:rPr>
        <w:t xml:space="preserve"> </w:t>
      </w:r>
      <w:r>
        <w:t>նպաստել</w:t>
      </w:r>
      <w:r>
        <w:rPr>
          <w:lang w:val="pt-BR"/>
        </w:rPr>
        <w:t xml:space="preserve"> </w:t>
      </w:r>
      <w:r>
        <w:t>շրջակա</w:t>
      </w:r>
      <w:r>
        <w:rPr>
          <w:lang w:val="pt-BR"/>
        </w:rPr>
        <w:t xml:space="preserve"> </w:t>
      </w:r>
      <w:r>
        <w:t>միջավայրի</w:t>
      </w:r>
      <w:r>
        <w:rPr>
          <w:lang w:val="pt-BR"/>
        </w:rPr>
        <w:t xml:space="preserve"> </w:t>
      </w:r>
      <w:r>
        <w:t>և</w:t>
      </w:r>
      <w:r>
        <w:rPr>
          <w:lang w:val="pt-BR"/>
        </w:rPr>
        <w:t xml:space="preserve"> </w:t>
      </w:r>
      <w:r>
        <w:t>բնական</w:t>
      </w:r>
      <w:r>
        <w:rPr>
          <w:lang w:val="pt-BR"/>
        </w:rPr>
        <w:t xml:space="preserve"> </w:t>
      </w:r>
      <w:r>
        <w:t>ռեսուրսների</w:t>
      </w:r>
      <w:r>
        <w:rPr>
          <w:lang w:val="pt-BR"/>
        </w:rPr>
        <w:t xml:space="preserve"> (</w:t>
      </w:r>
      <w:r>
        <w:t>բացառությամբ</w:t>
      </w:r>
      <w:r>
        <w:rPr>
          <w:lang w:val="pt-BR"/>
        </w:rPr>
        <w:t xml:space="preserve"> </w:t>
      </w:r>
      <w:r>
        <w:t>օգտակար</w:t>
      </w:r>
      <w:r>
        <w:rPr>
          <w:lang w:val="pt-BR"/>
        </w:rPr>
        <w:t xml:space="preserve"> </w:t>
      </w:r>
      <w:r>
        <w:t>հանածոների</w:t>
      </w:r>
      <w:r>
        <w:rPr>
          <w:lang w:val="pt-BR"/>
        </w:rPr>
        <w:t xml:space="preserve">) </w:t>
      </w:r>
      <w:r>
        <w:t>պահպանությանը</w:t>
      </w:r>
      <w:r>
        <w:rPr>
          <w:lang w:val="pt-BR"/>
        </w:rPr>
        <w:t xml:space="preserve">: </w:t>
      </w:r>
      <w:r>
        <w:t>Ծրագրի</w:t>
      </w:r>
      <w:r>
        <w:rPr>
          <w:lang w:val="pt-BR"/>
        </w:rPr>
        <w:t xml:space="preserve"> </w:t>
      </w:r>
      <w:r>
        <w:t>գծով</w:t>
      </w:r>
      <w:r>
        <w:rPr>
          <w:lang w:val="pt-BR"/>
        </w:rPr>
        <w:t xml:space="preserve"> 2022-2024 </w:t>
      </w:r>
      <w:r>
        <w:t>թվականների</w:t>
      </w:r>
      <w:r>
        <w:rPr>
          <w:lang w:val="pt-BR"/>
        </w:rPr>
        <w:t xml:space="preserve"> </w:t>
      </w:r>
      <w:r>
        <w:t>միջնաժամկետ</w:t>
      </w:r>
      <w:r>
        <w:rPr>
          <w:lang w:val="pt-BR"/>
        </w:rPr>
        <w:t xml:space="preserve"> </w:t>
      </w:r>
      <w:r>
        <w:t>ժամանակահատվածում</w:t>
      </w:r>
      <w:r>
        <w:rPr>
          <w:lang w:val="pt-BR"/>
        </w:rPr>
        <w:t xml:space="preserve"> </w:t>
      </w:r>
      <w:r>
        <w:t>յուրաքանչյուր</w:t>
      </w:r>
      <w:r>
        <w:rPr>
          <w:lang w:val="pt-BR"/>
        </w:rPr>
        <w:t xml:space="preserve"> </w:t>
      </w:r>
      <w:r>
        <w:t>տարվա</w:t>
      </w:r>
      <w:r>
        <w:rPr>
          <w:lang w:val="pt-BR"/>
        </w:rPr>
        <w:t xml:space="preserve"> </w:t>
      </w:r>
      <w:r>
        <w:t>համար</w:t>
      </w:r>
      <w:r>
        <w:rPr>
          <w:lang w:val="pt-BR"/>
        </w:rPr>
        <w:t xml:space="preserve"> </w:t>
      </w:r>
      <w:r>
        <w:t>նախատեսված</w:t>
      </w:r>
      <w:r>
        <w:rPr>
          <w:lang w:val="pt-BR"/>
        </w:rPr>
        <w:t xml:space="preserve"> </w:t>
      </w:r>
      <w:r>
        <w:t>է</w:t>
      </w:r>
      <w:r>
        <w:rPr>
          <w:lang w:val="pt-BR"/>
        </w:rPr>
        <w:t xml:space="preserve"> 1,663.1 </w:t>
      </w:r>
      <w:r>
        <w:t>մլն</w:t>
      </w:r>
      <w:r>
        <w:rPr>
          <w:lang w:val="pt-BR"/>
        </w:rPr>
        <w:t xml:space="preserve"> </w:t>
      </w:r>
      <w:r>
        <w:t>դրամ</w:t>
      </w:r>
      <w:r>
        <w:rPr>
          <w:lang w:val="pt-BR"/>
        </w:rPr>
        <w:t xml:space="preserve">: </w:t>
      </w:r>
    </w:p>
    <w:p w14:paraId="1D275D35" w14:textId="77777777" w:rsidR="00DA0E15" w:rsidRDefault="00362131">
      <w:pPr>
        <w:spacing w:line="276" w:lineRule="auto"/>
        <w:rPr>
          <w:lang w:val="pt-BR"/>
        </w:rPr>
      </w:pPr>
      <w:r>
        <w:rPr>
          <w:b/>
          <w:lang w:val="pt-BR"/>
        </w:rPr>
        <w:t>2.</w:t>
      </w:r>
      <w:r>
        <w:rPr>
          <w:lang w:val="pt-BR"/>
        </w:rPr>
        <w:t xml:space="preserve"> </w:t>
      </w:r>
      <w:r>
        <w:rPr>
          <w:b/>
        </w:rPr>
        <w:t>Շրջակա</w:t>
      </w:r>
      <w:r>
        <w:rPr>
          <w:b/>
          <w:lang w:val="pt-BR"/>
        </w:rPr>
        <w:t xml:space="preserve"> </w:t>
      </w:r>
      <w:r>
        <w:rPr>
          <w:b/>
        </w:rPr>
        <w:t>միջավայրի</w:t>
      </w:r>
      <w:r>
        <w:rPr>
          <w:b/>
          <w:lang w:val="pt-BR"/>
        </w:rPr>
        <w:t xml:space="preserve"> </w:t>
      </w:r>
      <w:r>
        <w:rPr>
          <w:b/>
        </w:rPr>
        <w:t>ոլորտում</w:t>
      </w:r>
      <w:r>
        <w:rPr>
          <w:b/>
          <w:lang w:val="pt-BR"/>
        </w:rPr>
        <w:t xml:space="preserve"> </w:t>
      </w:r>
      <w:r>
        <w:rPr>
          <w:b/>
        </w:rPr>
        <w:t>պետական</w:t>
      </w:r>
      <w:r>
        <w:rPr>
          <w:b/>
          <w:lang w:val="pt-BR"/>
        </w:rPr>
        <w:t xml:space="preserve"> </w:t>
      </w:r>
      <w:r>
        <w:rPr>
          <w:b/>
        </w:rPr>
        <w:t>քաղաքականության</w:t>
      </w:r>
      <w:r>
        <w:rPr>
          <w:b/>
          <w:lang w:val="pt-BR"/>
        </w:rPr>
        <w:t xml:space="preserve"> </w:t>
      </w:r>
      <w:r>
        <w:rPr>
          <w:b/>
        </w:rPr>
        <w:t>մշակում</w:t>
      </w:r>
      <w:r>
        <w:rPr>
          <w:b/>
          <w:lang w:val="pt-BR"/>
        </w:rPr>
        <w:t xml:space="preserve">, </w:t>
      </w:r>
      <w:r>
        <w:rPr>
          <w:b/>
        </w:rPr>
        <w:t>ծրագրերի</w:t>
      </w:r>
      <w:r>
        <w:rPr>
          <w:b/>
          <w:lang w:val="pt-BR"/>
        </w:rPr>
        <w:t xml:space="preserve"> </w:t>
      </w:r>
      <w:r>
        <w:rPr>
          <w:b/>
        </w:rPr>
        <w:t>համակարգում</w:t>
      </w:r>
      <w:r>
        <w:rPr>
          <w:b/>
          <w:lang w:val="pt-BR"/>
        </w:rPr>
        <w:t xml:space="preserve"> </w:t>
      </w:r>
      <w:r>
        <w:rPr>
          <w:b/>
        </w:rPr>
        <w:t>և</w:t>
      </w:r>
      <w:r>
        <w:rPr>
          <w:b/>
          <w:lang w:val="pt-BR"/>
        </w:rPr>
        <w:t xml:space="preserve"> </w:t>
      </w:r>
      <w:r>
        <w:rPr>
          <w:b/>
        </w:rPr>
        <w:t>մոնիտորինգ</w:t>
      </w:r>
      <w:r>
        <w:rPr>
          <w:b/>
          <w:lang w:val="pt-BR"/>
        </w:rPr>
        <w:t xml:space="preserve"> </w:t>
      </w:r>
      <w:r>
        <w:rPr>
          <w:b/>
        </w:rPr>
        <w:t>ծրագիր</w:t>
      </w:r>
      <w:r>
        <w:rPr>
          <w:b/>
          <w:lang w:val="pt-BR"/>
        </w:rPr>
        <w:t>.</w:t>
      </w:r>
    </w:p>
    <w:p w14:paraId="0A2F7FCA" w14:textId="77777777" w:rsidR="00DA0E15" w:rsidRDefault="00362131">
      <w:pPr>
        <w:spacing w:line="276" w:lineRule="auto"/>
        <w:rPr>
          <w:lang w:val="pt-BR"/>
        </w:rPr>
      </w:pPr>
      <w:r>
        <w:t>Ծրագրի</w:t>
      </w:r>
      <w:r>
        <w:rPr>
          <w:lang w:val="pt-BR"/>
        </w:rPr>
        <w:t xml:space="preserve"> </w:t>
      </w:r>
      <w:r>
        <w:t>նպատակն</w:t>
      </w:r>
      <w:r>
        <w:rPr>
          <w:lang w:val="pt-BR"/>
        </w:rPr>
        <w:t xml:space="preserve"> </w:t>
      </w:r>
      <w:r>
        <w:t>է՝</w:t>
      </w:r>
      <w:r>
        <w:rPr>
          <w:lang w:val="pt-BR"/>
        </w:rPr>
        <w:t xml:space="preserve"> </w:t>
      </w:r>
      <w:r>
        <w:t>շրջակա</w:t>
      </w:r>
      <w:r>
        <w:rPr>
          <w:lang w:val="pt-BR"/>
        </w:rPr>
        <w:t xml:space="preserve"> </w:t>
      </w:r>
      <w:r>
        <w:t>միջավայրի</w:t>
      </w:r>
      <w:r>
        <w:rPr>
          <w:lang w:val="pt-BR"/>
        </w:rPr>
        <w:t xml:space="preserve"> </w:t>
      </w:r>
      <w:r>
        <w:t>պահպանությանն</w:t>
      </w:r>
      <w:r>
        <w:rPr>
          <w:lang w:val="pt-BR"/>
        </w:rPr>
        <w:t xml:space="preserve"> </w:t>
      </w:r>
      <w:r>
        <w:t>ուղղված</w:t>
      </w:r>
      <w:r>
        <w:rPr>
          <w:lang w:val="pt-BR"/>
        </w:rPr>
        <w:t xml:space="preserve"> </w:t>
      </w:r>
      <w:r>
        <w:t>պետական</w:t>
      </w:r>
      <w:r>
        <w:rPr>
          <w:lang w:val="pt-BR"/>
        </w:rPr>
        <w:t xml:space="preserve"> </w:t>
      </w:r>
      <w:r>
        <w:t>քաղաքականության</w:t>
      </w:r>
      <w:r>
        <w:rPr>
          <w:lang w:val="pt-BR"/>
        </w:rPr>
        <w:t xml:space="preserve"> </w:t>
      </w:r>
      <w:r>
        <w:t>մշակումը</w:t>
      </w:r>
      <w:r>
        <w:rPr>
          <w:lang w:val="pt-BR"/>
        </w:rPr>
        <w:t xml:space="preserve"> </w:t>
      </w:r>
      <w:r>
        <w:t>և</w:t>
      </w:r>
      <w:r>
        <w:rPr>
          <w:lang w:val="pt-BR"/>
        </w:rPr>
        <w:t xml:space="preserve"> </w:t>
      </w:r>
      <w:r>
        <w:t>իրականացումը</w:t>
      </w:r>
      <w:r>
        <w:rPr>
          <w:lang w:val="pt-BR"/>
        </w:rPr>
        <w:t xml:space="preserve">: </w:t>
      </w:r>
      <w:r>
        <w:t>Ծրագրի</w:t>
      </w:r>
      <w:r>
        <w:rPr>
          <w:lang w:val="pt-BR"/>
        </w:rPr>
        <w:t xml:space="preserve"> </w:t>
      </w:r>
      <w:r>
        <w:t>գծով</w:t>
      </w:r>
      <w:r>
        <w:rPr>
          <w:lang w:val="pt-BR"/>
        </w:rPr>
        <w:t xml:space="preserve"> 2022-2024 </w:t>
      </w:r>
      <w:r>
        <w:t>թվականների</w:t>
      </w:r>
      <w:r>
        <w:rPr>
          <w:lang w:val="pt-BR"/>
        </w:rPr>
        <w:t xml:space="preserve"> </w:t>
      </w:r>
      <w:r>
        <w:t>համար</w:t>
      </w:r>
      <w:r>
        <w:rPr>
          <w:lang w:val="pt-BR"/>
        </w:rPr>
        <w:t xml:space="preserve"> </w:t>
      </w:r>
      <w:r>
        <w:t>համապատասխանաբար</w:t>
      </w:r>
      <w:r>
        <w:rPr>
          <w:lang w:val="pt-BR"/>
        </w:rPr>
        <w:t xml:space="preserve"> </w:t>
      </w:r>
      <w:r>
        <w:t>նախատե</w:t>
      </w:r>
      <w:r>
        <w:rPr>
          <w:lang w:val="hy-AM"/>
        </w:rPr>
        <w:t>ս</w:t>
      </w:r>
      <w:r>
        <w:t>ված</w:t>
      </w:r>
      <w:r>
        <w:rPr>
          <w:lang w:val="pt-BR"/>
        </w:rPr>
        <w:t xml:space="preserve"> </w:t>
      </w:r>
      <w:r>
        <w:t>է</w:t>
      </w:r>
      <w:r>
        <w:rPr>
          <w:lang w:val="pt-BR"/>
        </w:rPr>
        <w:t xml:space="preserve"> 1,064.6 </w:t>
      </w:r>
      <w:r>
        <w:t>մլն</w:t>
      </w:r>
      <w:r>
        <w:rPr>
          <w:lang w:val="pt-BR"/>
        </w:rPr>
        <w:t xml:space="preserve"> </w:t>
      </w:r>
      <w:r>
        <w:t>դրամ</w:t>
      </w:r>
      <w:r>
        <w:rPr>
          <w:lang w:val="pt-BR"/>
        </w:rPr>
        <w:t xml:space="preserve">, 1,075.7 </w:t>
      </w:r>
      <w:r>
        <w:t>մլն</w:t>
      </w:r>
      <w:r>
        <w:rPr>
          <w:lang w:val="pt-BR"/>
        </w:rPr>
        <w:t xml:space="preserve"> </w:t>
      </w:r>
      <w:r>
        <w:t>դրամ</w:t>
      </w:r>
      <w:r>
        <w:rPr>
          <w:lang w:val="pt-BR"/>
        </w:rPr>
        <w:t xml:space="preserve"> </w:t>
      </w:r>
      <w:r>
        <w:t>և</w:t>
      </w:r>
      <w:r>
        <w:rPr>
          <w:lang w:val="pt-BR"/>
        </w:rPr>
        <w:t xml:space="preserve"> 1,086.9 </w:t>
      </w:r>
      <w:r>
        <w:t>մլն</w:t>
      </w:r>
      <w:r>
        <w:rPr>
          <w:lang w:val="pt-BR"/>
        </w:rPr>
        <w:t xml:space="preserve"> </w:t>
      </w:r>
      <w:r>
        <w:t>դրամ</w:t>
      </w:r>
      <w:r>
        <w:rPr>
          <w:lang w:val="pt-BR"/>
        </w:rPr>
        <w:t xml:space="preserve">: </w:t>
      </w:r>
    </w:p>
    <w:p w14:paraId="5B463170" w14:textId="77777777" w:rsidR="00DA0E15" w:rsidRDefault="00362131">
      <w:pPr>
        <w:spacing w:line="276" w:lineRule="auto"/>
        <w:rPr>
          <w:lang w:val="pt-BR"/>
        </w:rPr>
      </w:pPr>
      <w:r>
        <w:rPr>
          <w:lang w:val="pt-BR"/>
        </w:rPr>
        <w:t xml:space="preserve">3. </w:t>
      </w:r>
      <w:r>
        <w:rPr>
          <w:b/>
        </w:rPr>
        <w:t>Բնապահպանական</w:t>
      </w:r>
      <w:r>
        <w:rPr>
          <w:b/>
          <w:lang w:val="pt-BR"/>
        </w:rPr>
        <w:t xml:space="preserve"> </w:t>
      </w:r>
      <w:r>
        <w:rPr>
          <w:b/>
        </w:rPr>
        <w:t>ծրագրերի</w:t>
      </w:r>
      <w:r>
        <w:rPr>
          <w:b/>
          <w:lang w:val="pt-BR"/>
        </w:rPr>
        <w:t xml:space="preserve"> </w:t>
      </w:r>
      <w:r>
        <w:rPr>
          <w:b/>
        </w:rPr>
        <w:t>իրականացում</w:t>
      </w:r>
      <w:r>
        <w:rPr>
          <w:b/>
          <w:lang w:val="pt-BR"/>
        </w:rPr>
        <w:t xml:space="preserve"> </w:t>
      </w:r>
      <w:r>
        <w:rPr>
          <w:b/>
        </w:rPr>
        <w:t>համայնքներում</w:t>
      </w:r>
      <w:r>
        <w:rPr>
          <w:b/>
          <w:lang w:val="pt-BR"/>
        </w:rPr>
        <w:t xml:space="preserve"> </w:t>
      </w:r>
      <w:r>
        <w:rPr>
          <w:b/>
        </w:rPr>
        <w:t>ծրագիր</w:t>
      </w:r>
      <w:r>
        <w:rPr>
          <w:b/>
          <w:lang w:val="pt-BR"/>
        </w:rPr>
        <w:t>.</w:t>
      </w:r>
    </w:p>
    <w:p w14:paraId="2EE37359" w14:textId="77777777" w:rsidR="00DA0E15" w:rsidRDefault="00362131">
      <w:pPr>
        <w:spacing w:line="276" w:lineRule="auto"/>
        <w:rPr>
          <w:lang w:val="pt-BR"/>
        </w:rPr>
      </w:pPr>
      <w:r>
        <w:t>Ծրագրի</w:t>
      </w:r>
      <w:r>
        <w:rPr>
          <w:lang w:val="pt-BR"/>
        </w:rPr>
        <w:t xml:space="preserve"> </w:t>
      </w:r>
      <w:r>
        <w:t>նպատակն</w:t>
      </w:r>
      <w:r>
        <w:rPr>
          <w:lang w:val="pt-BR"/>
        </w:rPr>
        <w:t xml:space="preserve"> </w:t>
      </w:r>
      <w:r>
        <w:t>է՝</w:t>
      </w:r>
      <w:r>
        <w:rPr>
          <w:lang w:val="pt-BR"/>
        </w:rPr>
        <w:t xml:space="preserve"> </w:t>
      </w:r>
      <w:r>
        <w:t>տնտեսական</w:t>
      </w:r>
      <w:r>
        <w:rPr>
          <w:lang w:val="pt-BR"/>
        </w:rPr>
        <w:t xml:space="preserve"> </w:t>
      </w:r>
      <w:r>
        <w:t>գործունեության</w:t>
      </w:r>
      <w:r>
        <w:rPr>
          <w:lang w:val="pt-BR"/>
        </w:rPr>
        <w:t xml:space="preserve"> </w:t>
      </w:r>
      <w:r>
        <w:t>հետևանքով</w:t>
      </w:r>
      <w:r>
        <w:rPr>
          <w:lang w:val="pt-BR"/>
        </w:rPr>
        <w:t xml:space="preserve"> </w:t>
      </w:r>
      <w:r>
        <w:t>շրջակա</w:t>
      </w:r>
      <w:r>
        <w:rPr>
          <w:lang w:val="pt-BR"/>
        </w:rPr>
        <w:t xml:space="preserve"> </w:t>
      </w:r>
      <w:r>
        <w:t>միջավայրին</w:t>
      </w:r>
      <w:r>
        <w:rPr>
          <w:lang w:val="pt-BR"/>
        </w:rPr>
        <w:t xml:space="preserve"> </w:t>
      </w:r>
      <w:r>
        <w:t>և</w:t>
      </w:r>
      <w:r>
        <w:rPr>
          <w:lang w:val="pt-BR"/>
        </w:rPr>
        <w:t xml:space="preserve"> </w:t>
      </w:r>
      <w:r>
        <w:t>բնակչության</w:t>
      </w:r>
      <w:r>
        <w:rPr>
          <w:lang w:val="pt-BR"/>
        </w:rPr>
        <w:t xml:space="preserve"> </w:t>
      </w:r>
      <w:r>
        <w:t>առողջությանը</w:t>
      </w:r>
      <w:r>
        <w:rPr>
          <w:lang w:val="pt-BR"/>
        </w:rPr>
        <w:t xml:space="preserve"> </w:t>
      </w:r>
      <w:r>
        <w:t>պատճառված</w:t>
      </w:r>
      <w:r>
        <w:rPr>
          <w:lang w:val="pt-BR"/>
        </w:rPr>
        <w:t xml:space="preserve"> </w:t>
      </w:r>
      <w:r>
        <w:t>վնասների</w:t>
      </w:r>
      <w:r>
        <w:rPr>
          <w:lang w:val="pt-BR"/>
        </w:rPr>
        <w:t xml:space="preserve"> </w:t>
      </w:r>
      <w:r>
        <w:t>մեղմմանն</w:t>
      </w:r>
      <w:r>
        <w:rPr>
          <w:lang w:val="pt-BR"/>
        </w:rPr>
        <w:t xml:space="preserve"> </w:t>
      </w:r>
      <w:r>
        <w:t>ուղղված</w:t>
      </w:r>
      <w:r>
        <w:rPr>
          <w:lang w:val="pt-BR"/>
        </w:rPr>
        <w:t xml:space="preserve"> </w:t>
      </w:r>
      <w:r>
        <w:t>ծրագրերի</w:t>
      </w:r>
      <w:r>
        <w:rPr>
          <w:lang w:val="pt-BR"/>
        </w:rPr>
        <w:t xml:space="preserve"> </w:t>
      </w:r>
      <w:r>
        <w:t>իրականացման</w:t>
      </w:r>
      <w:r>
        <w:rPr>
          <w:lang w:val="pt-BR"/>
        </w:rPr>
        <w:t xml:space="preserve"> </w:t>
      </w:r>
      <w:r>
        <w:t>համակարգումը</w:t>
      </w:r>
      <w:r>
        <w:rPr>
          <w:lang w:val="pt-BR"/>
        </w:rPr>
        <w:t xml:space="preserve">: </w:t>
      </w:r>
      <w:r>
        <w:t>Ծրագրի</w:t>
      </w:r>
      <w:r>
        <w:rPr>
          <w:lang w:val="pt-BR"/>
        </w:rPr>
        <w:t xml:space="preserve"> </w:t>
      </w:r>
      <w:r>
        <w:t>գծով</w:t>
      </w:r>
      <w:r>
        <w:rPr>
          <w:lang w:val="pt-BR"/>
        </w:rPr>
        <w:t xml:space="preserve"> 2022-2024 </w:t>
      </w:r>
      <w:r>
        <w:t>թվականների</w:t>
      </w:r>
      <w:r>
        <w:rPr>
          <w:lang w:val="pt-BR"/>
        </w:rPr>
        <w:t xml:space="preserve"> </w:t>
      </w:r>
      <w:r>
        <w:t>միջնաժամկետ</w:t>
      </w:r>
      <w:r>
        <w:rPr>
          <w:lang w:val="pt-BR"/>
        </w:rPr>
        <w:t xml:space="preserve"> </w:t>
      </w:r>
      <w:r>
        <w:t>ժամանակահատվածում</w:t>
      </w:r>
      <w:r>
        <w:rPr>
          <w:lang w:val="pt-BR"/>
        </w:rPr>
        <w:t xml:space="preserve"> </w:t>
      </w:r>
      <w:r>
        <w:t>յուրաքանչյուր</w:t>
      </w:r>
      <w:r>
        <w:rPr>
          <w:lang w:val="pt-BR"/>
        </w:rPr>
        <w:t xml:space="preserve"> </w:t>
      </w:r>
      <w:r>
        <w:t>տարվա</w:t>
      </w:r>
      <w:r>
        <w:rPr>
          <w:lang w:val="pt-BR"/>
        </w:rPr>
        <w:t xml:space="preserve"> </w:t>
      </w:r>
      <w:r>
        <w:t>համար</w:t>
      </w:r>
      <w:r>
        <w:rPr>
          <w:lang w:val="pt-BR"/>
        </w:rPr>
        <w:t xml:space="preserve"> </w:t>
      </w:r>
      <w:r>
        <w:t>նախատեսված</w:t>
      </w:r>
      <w:r>
        <w:rPr>
          <w:lang w:val="pt-BR"/>
        </w:rPr>
        <w:t xml:space="preserve"> </w:t>
      </w:r>
      <w:r>
        <w:t>է</w:t>
      </w:r>
      <w:r>
        <w:rPr>
          <w:lang w:val="pt-BR"/>
        </w:rPr>
        <w:t xml:space="preserve"> 150.0 </w:t>
      </w:r>
      <w:r>
        <w:t>մլն</w:t>
      </w:r>
      <w:r>
        <w:rPr>
          <w:lang w:val="pt-BR"/>
        </w:rPr>
        <w:t xml:space="preserve"> </w:t>
      </w:r>
      <w:r>
        <w:t>դրամ</w:t>
      </w:r>
      <w:r>
        <w:rPr>
          <w:lang w:val="pt-BR"/>
        </w:rPr>
        <w:t>:</w:t>
      </w:r>
    </w:p>
    <w:p w14:paraId="66CCF91E" w14:textId="77777777" w:rsidR="00DA0E15" w:rsidRDefault="00362131">
      <w:pPr>
        <w:spacing w:line="276" w:lineRule="auto"/>
        <w:rPr>
          <w:lang w:val="pt-BR"/>
        </w:rPr>
      </w:pPr>
      <w:r>
        <w:rPr>
          <w:lang w:val="pt-BR"/>
        </w:rPr>
        <w:t xml:space="preserve">4. </w:t>
      </w:r>
      <w:r>
        <w:rPr>
          <w:b/>
        </w:rPr>
        <w:t>Բնական</w:t>
      </w:r>
      <w:r>
        <w:rPr>
          <w:b/>
          <w:lang w:val="pt-BR"/>
        </w:rPr>
        <w:t xml:space="preserve"> </w:t>
      </w:r>
      <w:r>
        <w:rPr>
          <w:b/>
        </w:rPr>
        <w:t>պաշարների</w:t>
      </w:r>
      <w:r>
        <w:rPr>
          <w:b/>
          <w:lang w:val="pt-BR"/>
        </w:rPr>
        <w:t xml:space="preserve"> </w:t>
      </w:r>
      <w:r>
        <w:rPr>
          <w:b/>
        </w:rPr>
        <w:t>և</w:t>
      </w:r>
      <w:r>
        <w:rPr>
          <w:b/>
          <w:lang w:val="pt-BR"/>
        </w:rPr>
        <w:t xml:space="preserve"> </w:t>
      </w:r>
      <w:r>
        <w:rPr>
          <w:b/>
        </w:rPr>
        <w:t>բնության</w:t>
      </w:r>
      <w:r>
        <w:rPr>
          <w:b/>
          <w:lang w:val="pt-BR"/>
        </w:rPr>
        <w:t xml:space="preserve"> </w:t>
      </w:r>
      <w:r>
        <w:rPr>
          <w:b/>
        </w:rPr>
        <w:t>հատուկ</w:t>
      </w:r>
      <w:r>
        <w:rPr>
          <w:b/>
          <w:lang w:val="pt-BR"/>
        </w:rPr>
        <w:t xml:space="preserve"> </w:t>
      </w:r>
      <w:r>
        <w:rPr>
          <w:b/>
        </w:rPr>
        <w:t>պահպանվող</w:t>
      </w:r>
      <w:r>
        <w:rPr>
          <w:b/>
          <w:lang w:val="pt-BR"/>
        </w:rPr>
        <w:t xml:space="preserve"> </w:t>
      </w:r>
      <w:r>
        <w:rPr>
          <w:b/>
        </w:rPr>
        <w:t>տարածքների</w:t>
      </w:r>
      <w:r>
        <w:rPr>
          <w:b/>
          <w:lang w:val="pt-BR"/>
        </w:rPr>
        <w:t xml:space="preserve"> </w:t>
      </w:r>
      <w:r>
        <w:rPr>
          <w:b/>
        </w:rPr>
        <w:t>կառավարում</w:t>
      </w:r>
      <w:r>
        <w:rPr>
          <w:b/>
          <w:lang w:val="pt-BR"/>
        </w:rPr>
        <w:t xml:space="preserve"> </w:t>
      </w:r>
      <w:r>
        <w:rPr>
          <w:b/>
        </w:rPr>
        <w:t>և</w:t>
      </w:r>
      <w:r>
        <w:rPr>
          <w:b/>
          <w:lang w:val="pt-BR"/>
        </w:rPr>
        <w:t xml:space="preserve"> </w:t>
      </w:r>
      <w:r>
        <w:rPr>
          <w:b/>
        </w:rPr>
        <w:t>պահպանում</w:t>
      </w:r>
      <w:r>
        <w:rPr>
          <w:lang w:val="pt-BR"/>
        </w:rPr>
        <w:t xml:space="preserve"> </w:t>
      </w:r>
      <w:r>
        <w:rPr>
          <w:b/>
        </w:rPr>
        <w:t>ծրագիր</w:t>
      </w:r>
      <w:r>
        <w:rPr>
          <w:b/>
          <w:lang w:val="pt-BR"/>
        </w:rPr>
        <w:t>.</w:t>
      </w:r>
    </w:p>
    <w:p w14:paraId="607DE14B" w14:textId="77777777" w:rsidR="00DA0E15" w:rsidRDefault="00362131">
      <w:pPr>
        <w:spacing w:line="276" w:lineRule="auto"/>
        <w:rPr>
          <w:lang w:val="pt-BR"/>
        </w:rPr>
      </w:pPr>
      <w:r>
        <w:t>Ծրագրի</w:t>
      </w:r>
      <w:r>
        <w:rPr>
          <w:lang w:val="pt-BR"/>
        </w:rPr>
        <w:t xml:space="preserve"> </w:t>
      </w:r>
      <w:r>
        <w:t>նպատակն</w:t>
      </w:r>
      <w:r>
        <w:rPr>
          <w:lang w:val="pt-BR"/>
        </w:rPr>
        <w:t xml:space="preserve"> </w:t>
      </w:r>
      <w:r>
        <w:t>է՝</w:t>
      </w:r>
      <w:r>
        <w:rPr>
          <w:lang w:val="pt-BR"/>
        </w:rPr>
        <w:t xml:space="preserve"> </w:t>
      </w:r>
      <w:r>
        <w:t>բնական</w:t>
      </w:r>
      <w:r>
        <w:rPr>
          <w:lang w:val="pt-BR"/>
        </w:rPr>
        <w:t xml:space="preserve"> </w:t>
      </w:r>
      <w:r>
        <w:t>պաշարների</w:t>
      </w:r>
      <w:r>
        <w:rPr>
          <w:lang w:val="pt-BR"/>
        </w:rPr>
        <w:t xml:space="preserve"> </w:t>
      </w:r>
      <w:r>
        <w:t>և</w:t>
      </w:r>
      <w:r>
        <w:rPr>
          <w:lang w:val="pt-BR"/>
        </w:rPr>
        <w:t xml:space="preserve"> </w:t>
      </w:r>
      <w:r>
        <w:t>կենսաբազմազանության</w:t>
      </w:r>
      <w:r>
        <w:rPr>
          <w:lang w:val="pt-BR"/>
        </w:rPr>
        <w:t xml:space="preserve"> </w:t>
      </w:r>
      <w:r>
        <w:t>արդյունավետ</w:t>
      </w:r>
      <w:r>
        <w:rPr>
          <w:lang w:val="pt-BR"/>
        </w:rPr>
        <w:t xml:space="preserve"> </w:t>
      </w:r>
      <w:r>
        <w:t>կառավարումն</w:t>
      </w:r>
      <w:r>
        <w:rPr>
          <w:lang w:val="pt-BR"/>
        </w:rPr>
        <w:t xml:space="preserve"> </w:t>
      </w:r>
      <w:r>
        <w:t>ու</w:t>
      </w:r>
      <w:r>
        <w:rPr>
          <w:lang w:val="pt-BR"/>
        </w:rPr>
        <w:t xml:space="preserve"> </w:t>
      </w:r>
      <w:r>
        <w:t>պահպանությունը</w:t>
      </w:r>
      <w:r>
        <w:rPr>
          <w:lang w:val="pt-BR"/>
        </w:rPr>
        <w:t xml:space="preserve">: </w:t>
      </w:r>
      <w:r>
        <w:t>Ծրագրի</w:t>
      </w:r>
      <w:r>
        <w:rPr>
          <w:lang w:val="pt-BR"/>
        </w:rPr>
        <w:t xml:space="preserve"> </w:t>
      </w:r>
      <w:r>
        <w:t>գծով</w:t>
      </w:r>
      <w:r>
        <w:rPr>
          <w:lang w:val="pt-BR"/>
        </w:rPr>
        <w:t xml:space="preserve"> 2022-2024 </w:t>
      </w:r>
      <w:r>
        <w:t>թվականների</w:t>
      </w:r>
      <w:r>
        <w:rPr>
          <w:lang w:val="pt-BR"/>
        </w:rPr>
        <w:t xml:space="preserve"> </w:t>
      </w:r>
      <w:r>
        <w:t>միջնաժամկետ</w:t>
      </w:r>
      <w:r>
        <w:rPr>
          <w:lang w:val="pt-BR"/>
        </w:rPr>
        <w:t xml:space="preserve"> </w:t>
      </w:r>
      <w:r>
        <w:t>ժամանակահատվածում</w:t>
      </w:r>
      <w:r>
        <w:rPr>
          <w:lang w:val="pt-BR"/>
        </w:rPr>
        <w:t xml:space="preserve"> </w:t>
      </w:r>
      <w:r>
        <w:t>յուրաքանչյուր</w:t>
      </w:r>
      <w:r>
        <w:rPr>
          <w:lang w:val="pt-BR"/>
        </w:rPr>
        <w:t xml:space="preserve"> </w:t>
      </w:r>
      <w:r>
        <w:t>տարվա</w:t>
      </w:r>
      <w:r>
        <w:rPr>
          <w:lang w:val="pt-BR"/>
        </w:rPr>
        <w:t xml:space="preserve"> </w:t>
      </w:r>
      <w:r>
        <w:t>համար</w:t>
      </w:r>
      <w:r>
        <w:rPr>
          <w:lang w:val="pt-BR"/>
        </w:rPr>
        <w:t xml:space="preserve"> </w:t>
      </w:r>
      <w:r>
        <w:t>նախատեսված</w:t>
      </w:r>
      <w:r>
        <w:rPr>
          <w:lang w:val="pt-BR"/>
        </w:rPr>
        <w:t xml:space="preserve"> </w:t>
      </w:r>
      <w:r>
        <w:t>է</w:t>
      </w:r>
      <w:r>
        <w:rPr>
          <w:lang w:val="pt-BR"/>
        </w:rPr>
        <w:t xml:space="preserve"> 1,254.2 </w:t>
      </w:r>
      <w:r>
        <w:t>մլն</w:t>
      </w:r>
      <w:r>
        <w:rPr>
          <w:lang w:val="pt-BR"/>
        </w:rPr>
        <w:t xml:space="preserve"> </w:t>
      </w:r>
      <w:r>
        <w:t>դրամ</w:t>
      </w:r>
      <w:r>
        <w:rPr>
          <w:lang w:val="pt-BR"/>
        </w:rPr>
        <w:t xml:space="preserve">: </w:t>
      </w:r>
    </w:p>
    <w:p w14:paraId="5838DB94" w14:textId="77777777" w:rsidR="00DA0E15" w:rsidRDefault="00362131">
      <w:pPr>
        <w:spacing w:line="276" w:lineRule="auto"/>
        <w:rPr>
          <w:b/>
          <w:lang w:val="pt-BR"/>
        </w:rPr>
      </w:pPr>
      <w:r>
        <w:rPr>
          <w:b/>
          <w:lang w:val="pt-BR"/>
        </w:rPr>
        <w:t xml:space="preserve">5. </w:t>
      </w:r>
      <w:r>
        <w:rPr>
          <w:b/>
        </w:rPr>
        <w:t>Անտառների</w:t>
      </w:r>
      <w:r>
        <w:rPr>
          <w:b/>
          <w:lang w:val="pt-BR"/>
        </w:rPr>
        <w:t xml:space="preserve"> </w:t>
      </w:r>
      <w:r>
        <w:rPr>
          <w:b/>
        </w:rPr>
        <w:t>կառավարում</w:t>
      </w:r>
      <w:r>
        <w:rPr>
          <w:b/>
          <w:lang w:val="pt-BR"/>
        </w:rPr>
        <w:t xml:space="preserve"> </w:t>
      </w:r>
      <w:r>
        <w:rPr>
          <w:b/>
        </w:rPr>
        <w:t>ծրագիր</w:t>
      </w:r>
      <w:r>
        <w:rPr>
          <w:b/>
          <w:lang w:val="pt-BR"/>
        </w:rPr>
        <w:t>.</w:t>
      </w:r>
    </w:p>
    <w:p w14:paraId="184C94BC" w14:textId="77777777" w:rsidR="00DA0E15" w:rsidRDefault="00362131">
      <w:pPr>
        <w:spacing w:line="276" w:lineRule="auto"/>
        <w:rPr>
          <w:lang w:val="pt-BR"/>
        </w:rPr>
      </w:pPr>
      <w:r>
        <w:t>Ծրագրի</w:t>
      </w:r>
      <w:r>
        <w:rPr>
          <w:lang w:val="pt-BR"/>
        </w:rPr>
        <w:t xml:space="preserve"> </w:t>
      </w:r>
      <w:r>
        <w:t>նպատակն</w:t>
      </w:r>
      <w:r>
        <w:rPr>
          <w:lang w:val="pt-BR"/>
        </w:rPr>
        <w:t xml:space="preserve"> </w:t>
      </w:r>
      <w:r>
        <w:t>է՝</w:t>
      </w:r>
      <w:r>
        <w:rPr>
          <w:lang w:val="pt-BR"/>
        </w:rPr>
        <w:t xml:space="preserve"> </w:t>
      </w:r>
      <w:r>
        <w:t>անտառային</w:t>
      </w:r>
      <w:r>
        <w:rPr>
          <w:lang w:val="pt-BR"/>
        </w:rPr>
        <w:t xml:space="preserve"> </w:t>
      </w:r>
      <w:r>
        <w:t>տարածքների</w:t>
      </w:r>
      <w:r>
        <w:rPr>
          <w:lang w:val="pt-BR"/>
        </w:rPr>
        <w:t xml:space="preserve"> </w:t>
      </w:r>
      <w:r>
        <w:t>կայուն</w:t>
      </w:r>
      <w:r>
        <w:rPr>
          <w:lang w:val="pt-BR"/>
        </w:rPr>
        <w:t xml:space="preserve"> </w:t>
      </w:r>
      <w:r>
        <w:t>կառավարումը</w:t>
      </w:r>
      <w:r>
        <w:rPr>
          <w:lang w:val="pt-BR"/>
        </w:rPr>
        <w:t xml:space="preserve">: </w:t>
      </w:r>
      <w:r>
        <w:t>Ծրագրի</w:t>
      </w:r>
      <w:r>
        <w:rPr>
          <w:lang w:val="pt-BR"/>
        </w:rPr>
        <w:t xml:space="preserve"> </w:t>
      </w:r>
      <w:r>
        <w:t>գծով</w:t>
      </w:r>
      <w:r>
        <w:rPr>
          <w:lang w:val="pt-BR"/>
        </w:rPr>
        <w:t xml:space="preserve"> 2022-2024 </w:t>
      </w:r>
      <w:r>
        <w:t>թվականների</w:t>
      </w:r>
      <w:r>
        <w:rPr>
          <w:lang w:val="pt-BR"/>
        </w:rPr>
        <w:t xml:space="preserve"> </w:t>
      </w:r>
      <w:r>
        <w:t>համար</w:t>
      </w:r>
      <w:r>
        <w:rPr>
          <w:lang w:val="pt-BR"/>
        </w:rPr>
        <w:t xml:space="preserve"> </w:t>
      </w:r>
      <w:r>
        <w:t>համապատասխանաբար</w:t>
      </w:r>
      <w:r>
        <w:rPr>
          <w:lang w:val="pt-BR"/>
        </w:rPr>
        <w:t xml:space="preserve"> </w:t>
      </w:r>
      <w:r>
        <w:t>նախատե</w:t>
      </w:r>
      <w:r>
        <w:rPr>
          <w:lang w:val="hy-AM"/>
        </w:rPr>
        <w:t>ս</w:t>
      </w:r>
      <w:r>
        <w:t>ված</w:t>
      </w:r>
      <w:r>
        <w:rPr>
          <w:lang w:val="pt-BR"/>
        </w:rPr>
        <w:t xml:space="preserve"> </w:t>
      </w:r>
      <w:r>
        <w:t>է</w:t>
      </w:r>
      <w:r>
        <w:rPr>
          <w:lang w:val="pt-BR"/>
        </w:rPr>
        <w:t xml:space="preserve"> 1,909.4 </w:t>
      </w:r>
      <w:r>
        <w:t>մլն</w:t>
      </w:r>
      <w:r>
        <w:rPr>
          <w:lang w:val="pt-BR"/>
        </w:rPr>
        <w:t xml:space="preserve"> </w:t>
      </w:r>
      <w:r>
        <w:t>դրամ</w:t>
      </w:r>
      <w:r>
        <w:rPr>
          <w:lang w:val="pt-BR"/>
        </w:rPr>
        <w:t xml:space="preserve">, 1,978.4 </w:t>
      </w:r>
      <w:r>
        <w:t>մլն</w:t>
      </w:r>
      <w:r>
        <w:rPr>
          <w:lang w:val="pt-BR"/>
        </w:rPr>
        <w:t xml:space="preserve"> </w:t>
      </w:r>
      <w:r>
        <w:t>դրամ</w:t>
      </w:r>
      <w:r>
        <w:rPr>
          <w:lang w:val="pt-BR"/>
        </w:rPr>
        <w:t xml:space="preserve"> </w:t>
      </w:r>
      <w:r>
        <w:t>և</w:t>
      </w:r>
      <w:r>
        <w:rPr>
          <w:lang w:val="pt-BR"/>
        </w:rPr>
        <w:t xml:space="preserve"> 1,980.7 </w:t>
      </w:r>
      <w:r>
        <w:t>մլն</w:t>
      </w:r>
      <w:r>
        <w:rPr>
          <w:lang w:val="pt-BR"/>
        </w:rPr>
        <w:t xml:space="preserve"> </w:t>
      </w:r>
      <w:r>
        <w:t>դրամ</w:t>
      </w:r>
      <w:r>
        <w:rPr>
          <w:lang w:val="pt-BR"/>
        </w:rPr>
        <w:t xml:space="preserve">: </w:t>
      </w:r>
    </w:p>
    <w:p w14:paraId="4CF2AD37" w14:textId="77777777" w:rsidR="00DA0E15" w:rsidRDefault="00362131">
      <w:pPr>
        <w:spacing w:line="276" w:lineRule="auto"/>
        <w:rPr>
          <w:b/>
          <w:lang w:val="pt-BR"/>
        </w:rPr>
      </w:pPr>
      <w:r>
        <w:rPr>
          <w:b/>
          <w:lang w:val="pt-BR"/>
        </w:rPr>
        <w:t xml:space="preserve">6. </w:t>
      </w:r>
      <w:r>
        <w:rPr>
          <w:b/>
        </w:rPr>
        <w:t>Բնագիտական</w:t>
      </w:r>
      <w:r>
        <w:rPr>
          <w:b/>
          <w:lang w:val="pt-BR"/>
        </w:rPr>
        <w:t xml:space="preserve"> </w:t>
      </w:r>
      <w:r>
        <w:rPr>
          <w:b/>
        </w:rPr>
        <w:t>նմուշների</w:t>
      </w:r>
      <w:r>
        <w:rPr>
          <w:b/>
          <w:lang w:val="pt-BR"/>
        </w:rPr>
        <w:t xml:space="preserve"> </w:t>
      </w:r>
      <w:r>
        <w:rPr>
          <w:b/>
        </w:rPr>
        <w:t>պահպանություն</w:t>
      </w:r>
      <w:r>
        <w:rPr>
          <w:b/>
          <w:lang w:val="pt-BR"/>
        </w:rPr>
        <w:t xml:space="preserve"> </w:t>
      </w:r>
      <w:r>
        <w:rPr>
          <w:b/>
        </w:rPr>
        <w:t>և</w:t>
      </w:r>
      <w:r>
        <w:rPr>
          <w:b/>
          <w:lang w:val="pt-BR"/>
        </w:rPr>
        <w:t xml:space="preserve"> </w:t>
      </w:r>
      <w:r>
        <w:rPr>
          <w:b/>
        </w:rPr>
        <w:t>ցուցադրություն</w:t>
      </w:r>
      <w:r>
        <w:rPr>
          <w:b/>
          <w:lang w:val="pt-BR"/>
        </w:rPr>
        <w:t xml:space="preserve"> </w:t>
      </w:r>
      <w:r>
        <w:rPr>
          <w:b/>
        </w:rPr>
        <w:t>ծրագիր</w:t>
      </w:r>
      <w:r>
        <w:rPr>
          <w:b/>
          <w:lang w:val="pt-BR"/>
        </w:rPr>
        <w:t>.</w:t>
      </w:r>
    </w:p>
    <w:p w14:paraId="14EBE44F" w14:textId="77777777" w:rsidR="00DA0E15" w:rsidRDefault="00362131">
      <w:pPr>
        <w:spacing w:line="276" w:lineRule="auto"/>
        <w:rPr>
          <w:lang w:val="pt-BR"/>
        </w:rPr>
      </w:pPr>
      <w:r>
        <w:t>Ծրագրի</w:t>
      </w:r>
      <w:r>
        <w:rPr>
          <w:lang w:val="pt-BR"/>
        </w:rPr>
        <w:t xml:space="preserve"> </w:t>
      </w:r>
      <w:r>
        <w:t>նպատակն</w:t>
      </w:r>
      <w:r>
        <w:rPr>
          <w:lang w:val="pt-BR"/>
        </w:rPr>
        <w:t xml:space="preserve"> </w:t>
      </w:r>
      <w:r>
        <w:t>է՝</w:t>
      </w:r>
      <w:r>
        <w:rPr>
          <w:lang w:val="pt-BR"/>
        </w:rPr>
        <w:t xml:space="preserve"> </w:t>
      </w:r>
      <w:r>
        <w:t>նպաստել</w:t>
      </w:r>
      <w:r>
        <w:rPr>
          <w:lang w:val="pt-BR"/>
        </w:rPr>
        <w:t xml:space="preserve"> </w:t>
      </w:r>
      <w:r>
        <w:t>բնապահպանական</w:t>
      </w:r>
      <w:r>
        <w:rPr>
          <w:lang w:val="pt-BR"/>
        </w:rPr>
        <w:t xml:space="preserve"> </w:t>
      </w:r>
      <w:r>
        <w:t>աշխարհայացքի</w:t>
      </w:r>
      <w:r>
        <w:rPr>
          <w:lang w:val="pt-BR"/>
        </w:rPr>
        <w:t xml:space="preserve"> </w:t>
      </w:r>
      <w:r>
        <w:t>ձևավորմանը</w:t>
      </w:r>
      <w:r>
        <w:rPr>
          <w:lang w:val="pt-BR"/>
        </w:rPr>
        <w:t xml:space="preserve">, </w:t>
      </w:r>
      <w:r>
        <w:t>բնակչության</w:t>
      </w:r>
      <w:r>
        <w:rPr>
          <w:lang w:val="pt-BR"/>
        </w:rPr>
        <w:t xml:space="preserve"> </w:t>
      </w:r>
      <w:r>
        <w:t>էկոլոգիական</w:t>
      </w:r>
      <w:r>
        <w:rPr>
          <w:lang w:val="pt-BR"/>
        </w:rPr>
        <w:t xml:space="preserve"> </w:t>
      </w:r>
      <w:r>
        <w:t>դաստիարակությանը</w:t>
      </w:r>
      <w:r>
        <w:rPr>
          <w:lang w:val="pt-BR"/>
        </w:rPr>
        <w:t xml:space="preserve">: </w:t>
      </w:r>
      <w:r>
        <w:t>Ծրագրի</w:t>
      </w:r>
      <w:r>
        <w:rPr>
          <w:lang w:val="pt-BR"/>
        </w:rPr>
        <w:t xml:space="preserve"> </w:t>
      </w:r>
      <w:r>
        <w:t>գծով</w:t>
      </w:r>
      <w:r>
        <w:rPr>
          <w:lang w:val="pt-BR"/>
        </w:rPr>
        <w:t xml:space="preserve"> 2022-2024 </w:t>
      </w:r>
      <w:r>
        <w:t>թվականների</w:t>
      </w:r>
      <w:r>
        <w:rPr>
          <w:lang w:val="pt-BR"/>
        </w:rPr>
        <w:t xml:space="preserve"> </w:t>
      </w:r>
      <w:r>
        <w:t>համար</w:t>
      </w:r>
      <w:r>
        <w:rPr>
          <w:lang w:val="pt-BR"/>
        </w:rPr>
        <w:t xml:space="preserve"> </w:t>
      </w:r>
      <w:r>
        <w:t>համապատասխանաբար</w:t>
      </w:r>
      <w:r>
        <w:rPr>
          <w:lang w:val="pt-BR"/>
        </w:rPr>
        <w:t xml:space="preserve"> </w:t>
      </w:r>
      <w:r>
        <w:t>նախատե</w:t>
      </w:r>
      <w:r>
        <w:rPr>
          <w:lang w:val="hy-AM"/>
        </w:rPr>
        <w:t>ս</w:t>
      </w:r>
      <w:r>
        <w:t>ված</w:t>
      </w:r>
      <w:r>
        <w:rPr>
          <w:lang w:val="pt-BR"/>
        </w:rPr>
        <w:t xml:space="preserve"> </w:t>
      </w:r>
      <w:r>
        <w:t>է</w:t>
      </w:r>
      <w:r>
        <w:rPr>
          <w:lang w:val="pt-BR"/>
        </w:rPr>
        <w:t xml:space="preserve"> 344.9, </w:t>
      </w:r>
      <w:r>
        <w:t>մլն</w:t>
      </w:r>
      <w:r>
        <w:rPr>
          <w:lang w:val="pt-BR"/>
        </w:rPr>
        <w:t xml:space="preserve"> </w:t>
      </w:r>
      <w:r>
        <w:t>դրամ</w:t>
      </w:r>
      <w:r>
        <w:rPr>
          <w:lang w:val="pt-BR"/>
        </w:rPr>
        <w:t>:</w:t>
      </w:r>
    </w:p>
    <w:p w14:paraId="38A26F8F" w14:textId="77777777" w:rsidR="00DA0E15" w:rsidRDefault="00362131">
      <w:pPr>
        <w:spacing w:line="276" w:lineRule="auto"/>
        <w:rPr>
          <w:bCs/>
          <w:lang w:val="pt-BR"/>
        </w:rPr>
      </w:pPr>
      <w:r>
        <w:rPr>
          <w:rFonts w:cs="Sylfaen"/>
          <w:bCs/>
          <w:lang w:val="pt-BR"/>
        </w:rPr>
        <w:t>Ստորև</w:t>
      </w:r>
      <w:r>
        <w:rPr>
          <w:bCs/>
          <w:lang w:val="pt-BR"/>
        </w:rPr>
        <w:t xml:space="preserve"> </w:t>
      </w:r>
      <w:r>
        <w:rPr>
          <w:rFonts w:cs="Sylfaen"/>
          <w:bCs/>
          <w:lang w:val="pt-BR"/>
        </w:rPr>
        <w:t>ներկայացված</w:t>
      </w:r>
      <w:r>
        <w:rPr>
          <w:bCs/>
          <w:lang w:val="pt-BR"/>
        </w:rPr>
        <w:t xml:space="preserve"> </w:t>
      </w:r>
      <w:r>
        <w:rPr>
          <w:rFonts w:cs="Sylfaen"/>
          <w:bCs/>
          <w:lang w:val="pt-BR"/>
        </w:rPr>
        <w:t>են</w:t>
      </w:r>
      <w:r>
        <w:rPr>
          <w:bCs/>
          <w:lang w:val="pt-BR"/>
        </w:rPr>
        <w:t xml:space="preserve"> </w:t>
      </w:r>
      <w:r>
        <w:rPr>
          <w:rFonts w:cs="Sylfaen"/>
          <w:bCs/>
          <w:lang w:val="pt-BR"/>
        </w:rPr>
        <w:t>շրջակա</w:t>
      </w:r>
      <w:r>
        <w:rPr>
          <w:bCs/>
          <w:lang w:val="pt-BR"/>
        </w:rPr>
        <w:t xml:space="preserve"> </w:t>
      </w:r>
      <w:r>
        <w:rPr>
          <w:rFonts w:cs="Sylfaen"/>
          <w:bCs/>
          <w:lang w:val="pt-BR"/>
        </w:rPr>
        <w:t>միջավայրի</w:t>
      </w:r>
      <w:r>
        <w:rPr>
          <w:bCs/>
          <w:lang w:val="pt-BR"/>
        </w:rPr>
        <w:t xml:space="preserve"> </w:t>
      </w:r>
      <w:r>
        <w:rPr>
          <w:rFonts w:cs="Sylfaen"/>
          <w:bCs/>
          <w:lang w:val="pt-BR"/>
        </w:rPr>
        <w:t>բնագավառի</w:t>
      </w:r>
      <w:r>
        <w:rPr>
          <w:bCs/>
          <w:lang w:val="pt-BR"/>
        </w:rPr>
        <w:t xml:space="preserve"> 2022-2024</w:t>
      </w:r>
      <w:r>
        <w:rPr>
          <w:rFonts w:cs="Sylfaen"/>
          <w:bCs/>
          <w:lang w:val="pt-BR"/>
        </w:rPr>
        <w:t>թթ.</w:t>
      </w:r>
      <w:r>
        <w:rPr>
          <w:bCs/>
          <w:lang w:val="pt-BR"/>
        </w:rPr>
        <w:t xml:space="preserve"> </w:t>
      </w:r>
      <w:r>
        <w:rPr>
          <w:rFonts w:cs="Sylfaen"/>
          <w:bCs/>
          <w:lang w:val="pt-BR"/>
        </w:rPr>
        <w:t>յուրաքանչյուր</w:t>
      </w:r>
      <w:r>
        <w:rPr>
          <w:bCs/>
          <w:lang w:val="pt-BR"/>
        </w:rPr>
        <w:t xml:space="preserve"> </w:t>
      </w:r>
      <w:r>
        <w:rPr>
          <w:rFonts w:cs="Sylfaen"/>
          <w:bCs/>
          <w:lang w:val="pt-BR"/>
        </w:rPr>
        <w:t>տարվա</w:t>
      </w:r>
      <w:r>
        <w:rPr>
          <w:bCs/>
          <w:lang w:val="pt-BR"/>
        </w:rPr>
        <w:t xml:space="preserve"> </w:t>
      </w:r>
      <w:r>
        <w:rPr>
          <w:rFonts w:cs="Sylfaen"/>
          <w:bCs/>
          <w:lang w:val="pt-BR"/>
        </w:rPr>
        <w:t>համար</w:t>
      </w:r>
      <w:r>
        <w:rPr>
          <w:bCs/>
          <w:lang w:val="pt-BR"/>
        </w:rPr>
        <w:t xml:space="preserve"> </w:t>
      </w:r>
      <w:r>
        <w:rPr>
          <w:rFonts w:cs="Sylfaen"/>
          <w:bCs/>
          <w:lang w:val="pt-BR"/>
        </w:rPr>
        <w:t>նախատեսված</w:t>
      </w:r>
      <w:r>
        <w:rPr>
          <w:bCs/>
          <w:lang w:val="pt-BR"/>
        </w:rPr>
        <w:t xml:space="preserve"> </w:t>
      </w:r>
      <w:r>
        <w:rPr>
          <w:rFonts w:cs="Sylfaen"/>
          <w:bCs/>
          <w:lang w:val="pt-BR"/>
        </w:rPr>
        <w:t>չափաքանակները</w:t>
      </w:r>
      <w:r>
        <w:rPr>
          <w:bCs/>
          <w:lang w:val="pt-BR"/>
        </w:rPr>
        <w:t>.</w:t>
      </w:r>
    </w:p>
    <w:p w14:paraId="4A9E9804" w14:textId="77777777" w:rsidR="00DA0E15" w:rsidRDefault="00362131">
      <w:pPr>
        <w:spacing w:line="276" w:lineRule="auto"/>
        <w:rPr>
          <w:bCs/>
          <w:lang w:val="pt-BR"/>
        </w:rPr>
      </w:pPr>
      <w:r>
        <w:rPr>
          <w:bCs/>
          <w:lang w:val="pt-BR"/>
        </w:rPr>
        <w:t xml:space="preserve">2022 </w:t>
      </w:r>
      <w:r>
        <w:rPr>
          <w:rFonts w:cs="Sylfaen"/>
          <w:bCs/>
          <w:lang w:val="pt-BR"/>
        </w:rPr>
        <w:t>թվականի</w:t>
      </w:r>
      <w:r>
        <w:rPr>
          <w:bCs/>
          <w:lang w:val="pt-BR"/>
        </w:rPr>
        <w:t xml:space="preserve"> </w:t>
      </w:r>
      <w:r>
        <w:rPr>
          <w:rFonts w:cs="Sylfaen"/>
          <w:bCs/>
          <w:lang w:val="pt-BR"/>
        </w:rPr>
        <w:t>համար՝ 6,386.2</w:t>
      </w:r>
      <w:r>
        <w:rPr>
          <w:bCs/>
          <w:lang w:val="pt-BR"/>
        </w:rPr>
        <w:t xml:space="preserve"> </w:t>
      </w:r>
      <w:r>
        <w:rPr>
          <w:rFonts w:cs="Sylfaen"/>
          <w:bCs/>
          <w:lang w:val="pt-BR"/>
        </w:rPr>
        <w:t>մլն</w:t>
      </w:r>
      <w:r>
        <w:rPr>
          <w:bCs/>
          <w:lang w:val="pt-BR"/>
        </w:rPr>
        <w:t xml:space="preserve"> </w:t>
      </w:r>
      <w:r>
        <w:rPr>
          <w:rFonts w:cs="Sylfaen"/>
          <w:bCs/>
          <w:lang w:val="pt-BR"/>
        </w:rPr>
        <w:t>դրամ</w:t>
      </w:r>
      <w:r>
        <w:rPr>
          <w:bCs/>
          <w:lang w:val="pt-BR"/>
        </w:rPr>
        <w:t>,</w:t>
      </w:r>
    </w:p>
    <w:p w14:paraId="413AADD7" w14:textId="77777777" w:rsidR="00DA0E15" w:rsidRDefault="00362131">
      <w:pPr>
        <w:spacing w:line="276" w:lineRule="auto"/>
        <w:rPr>
          <w:bCs/>
          <w:lang w:val="pt-BR"/>
        </w:rPr>
      </w:pPr>
      <w:r>
        <w:rPr>
          <w:bCs/>
          <w:lang w:val="pt-BR"/>
        </w:rPr>
        <w:t xml:space="preserve">2023 </w:t>
      </w:r>
      <w:r>
        <w:rPr>
          <w:rFonts w:cs="Sylfaen"/>
          <w:bCs/>
          <w:lang w:val="pt-BR"/>
        </w:rPr>
        <w:t>թվականի</w:t>
      </w:r>
      <w:r>
        <w:rPr>
          <w:bCs/>
          <w:lang w:val="pt-BR"/>
        </w:rPr>
        <w:t xml:space="preserve"> </w:t>
      </w:r>
      <w:r>
        <w:rPr>
          <w:rFonts w:cs="Sylfaen"/>
          <w:bCs/>
          <w:lang w:val="pt-BR"/>
        </w:rPr>
        <w:t>համար՝</w:t>
      </w:r>
      <w:r>
        <w:rPr>
          <w:bCs/>
          <w:lang w:val="pt-BR"/>
        </w:rPr>
        <w:t xml:space="preserve"> 6,466.3</w:t>
      </w:r>
      <w:r>
        <w:rPr>
          <w:bCs/>
          <w:lang w:val="hy-AM"/>
        </w:rPr>
        <w:t xml:space="preserve"> </w:t>
      </w:r>
      <w:r>
        <w:rPr>
          <w:rFonts w:cs="Sylfaen"/>
          <w:bCs/>
          <w:lang w:val="pt-BR"/>
        </w:rPr>
        <w:t>մլն</w:t>
      </w:r>
      <w:r>
        <w:rPr>
          <w:bCs/>
          <w:lang w:val="pt-BR"/>
        </w:rPr>
        <w:t xml:space="preserve"> </w:t>
      </w:r>
      <w:r>
        <w:rPr>
          <w:rFonts w:cs="Sylfaen"/>
          <w:bCs/>
          <w:lang w:val="pt-BR"/>
        </w:rPr>
        <w:t>դրամ</w:t>
      </w:r>
      <w:r>
        <w:rPr>
          <w:bCs/>
          <w:lang w:val="pt-BR"/>
        </w:rPr>
        <w:t>,</w:t>
      </w:r>
    </w:p>
    <w:p w14:paraId="032BE986" w14:textId="77777777" w:rsidR="00DA0E15" w:rsidRDefault="00362131">
      <w:pPr>
        <w:spacing w:line="276" w:lineRule="auto"/>
        <w:rPr>
          <w:bCs/>
          <w:lang w:val="pt-BR"/>
        </w:rPr>
      </w:pPr>
      <w:r>
        <w:rPr>
          <w:bCs/>
          <w:lang w:val="pt-BR"/>
        </w:rPr>
        <w:t xml:space="preserve">2024 թվականի համար՝ 6,479.8 մլն </w:t>
      </w:r>
      <w:r>
        <w:rPr>
          <w:rFonts w:cs="Sylfaen"/>
          <w:bCs/>
          <w:lang w:val="pt-BR"/>
        </w:rPr>
        <w:t>դրամ:</w:t>
      </w:r>
    </w:p>
    <w:p w14:paraId="46AA7A0B" w14:textId="77777777" w:rsidR="000752DC" w:rsidRDefault="000752DC" w:rsidP="000752DC">
      <w:pPr>
        <w:spacing w:before="0" w:after="0" w:line="240" w:lineRule="auto"/>
        <w:ind w:firstLine="0"/>
        <w:jc w:val="left"/>
        <w:rPr>
          <w:rFonts w:eastAsia="Times New Roman" w:cs="Times New Roman"/>
          <w:caps/>
          <w:color w:val="1F497D" w:themeColor="text2"/>
          <w:sz w:val="28"/>
          <w:szCs w:val="28"/>
          <w:lang w:val="pt-BR"/>
        </w:rPr>
      </w:pPr>
    </w:p>
    <w:p w14:paraId="1518D2F7" w14:textId="77777777" w:rsidR="007112CF" w:rsidRDefault="007112CF" w:rsidP="000752DC">
      <w:pPr>
        <w:spacing w:before="0" w:after="0" w:line="240" w:lineRule="auto"/>
        <w:ind w:firstLine="0"/>
        <w:jc w:val="left"/>
        <w:rPr>
          <w:rFonts w:eastAsia="Times New Roman" w:cs="Times New Roman"/>
          <w:caps/>
          <w:color w:val="1F497D" w:themeColor="text2"/>
          <w:sz w:val="28"/>
          <w:szCs w:val="28"/>
          <w:lang w:val="pt-BR"/>
        </w:rPr>
      </w:pPr>
    </w:p>
    <w:p w14:paraId="74620579" w14:textId="77777777" w:rsidR="00DA0E15" w:rsidRPr="000752DC" w:rsidRDefault="00362131" w:rsidP="000752DC">
      <w:pPr>
        <w:pStyle w:val="Heading3"/>
        <w:spacing w:before="0" w:after="120" w:line="276" w:lineRule="auto"/>
        <w:jc w:val="both"/>
        <w:rPr>
          <w:rFonts w:eastAsia="Times New Roman" w:cs="Times New Roman"/>
          <w:caps w:val="0"/>
          <w:color w:val="1F497D" w:themeColor="text2"/>
          <w:sz w:val="28"/>
          <w:szCs w:val="28"/>
        </w:rPr>
      </w:pPr>
      <w:bookmarkStart w:id="598" w:name="_Toc77837874"/>
      <w:r w:rsidRPr="000752DC">
        <w:rPr>
          <w:rFonts w:eastAsia="Times New Roman" w:cs="Times New Roman"/>
          <w:caps w:val="0"/>
          <w:color w:val="1F497D" w:themeColor="text2"/>
          <w:sz w:val="28"/>
          <w:szCs w:val="28"/>
        </w:rPr>
        <w:t xml:space="preserve">5. </w:t>
      </w:r>
      <w:r>
        <w:rPr>
          <w:rFonts w:eastAsia="Times New Roman" w:cs="Times New Roman"/>
          <w:caps w:val="0"/>
          <w:color w:val="1F497D" w:themeColor="text2"/>
          <w:sz w:val="28"/>
          <w:szCs w:val="28"/>
        </w:rPr>
        <w:t>ԲԱՐՁՐ</w:t>
      </w:r>
      <w:r w:rsidRPr="000752DC">
        <w:rPr>
          <w:rFonts w:eastAsia="Times New Roman" w:cs="Times New Roman"/>
          <w:caps w:val="0"/>
          <w:color w:val="1F497D" w:themeColor="text2"/>
          <w:sz w:val="28"/>
          <w:szCs w:val="28"/>
        </w:rPr>
        <w:t xml:space="preserve"> </w:t>
      </w:r>
      <w:r>
        <w:rPr>
          <w:rFonts w:eastAsia="Times New Roman" w:cs="Times New Roman"/>
          <w:caps w:val="0"/>
          <w:color w:val="1F497D" w:themeColor="text2"/>
          <w:sz w:val="28"/>
          <w:szCs w:val="28"/>
        </w:rPr>
        <w:t>ՏԵԽՆՈԼՈԳԻԱԿԱՆ</w:t>
      </w:r>
      <w:r w:rsidRPr="000752DC">
        <w:rPr>
          <w:rFonts w:eastAsia="Times New Roman" w:cs="Times New Roman"/>
          <w:caps w:val="0"/>
          <w:color w:val="1F497D" w:themeColor="text2"/>
          <w:sz w:val="28"/>
          <w:szCs w:val="28"/>
        </w:rPr>
        <w:t xml:space="preserve"> </w:t>
      </w:r>
      <w:r>
        <w:rPr>
          <w:rFonts w:eastAsia="Times New Roman" w:cs="Times New Roman"/>
          <w:caps w:val="0"/>
          <w:color w:val="1F497D" w:themeColor="text2"/>
          <w:sz w:val="28"/>
          <w:szCs w:val="28"/>
        </w:rPr>
        <w:t>ԱՐԴՅՈՒՆԱԲԵՐՈՒԹՅՈԻՆ</w:t>
      </w:r>
      <w:bookmarkEnd w:id="598"/>
      <w:r w:rsidRPr="000752DC">
        <w:rPr>
          <w:rFonts w:eastAsia="Times New Roman" w:cs="Times New Roman"/>
          <w:caps w:val="0"/>
          <w:color w:val="1F497D" w:themeColor="text2"/>
          <w:sz w:val="28"/>
          <w:szCs w:val="28"/>
        </w:rPr>
        <w:t xml:space="preserve"> </w:t>
      </w:r>
      <w:bookmarkEnd w:id="593"/>
      <w:bookmarkEnd w:id="594"/>
    </w:p>
    <w:p w14:paraId="6F78F88D" w14:textId="77777777" w:rsidR="00DA0E15" w:rsidRDefault="00362131">
      <w:pPr>
        <w:pStyle w:val="NormalWeb"/>
        <w:spacing w:before="0" w:after="0" w:line="276" w:lineRule="auto"/>
        <w:rPr>
          <w:color w:val="000000"/>
          <w:szCs w:val="22"/>
          <w:shd w:val="clear" w:color="auto" w:fill="FFFFFF"/>
          <w:lang w:val="pt-BR"/>
        </w:rPr>
      </w:pPr>
      <w:r>
        <w:rPr>
          <w:color w:val="000000"/>
          <w:szCs w:val="22"/>
          <w:shd w:val="clear" w:color="auto" w:fill="FFFFFF"/>
          <w:lang w:val="hy-AM"/>
        </w:rPr>
        <w:t>Կառավարությունը</w:t>
      </w:r>
      <w:r>
        <w:rPr>
          <w:color w:val="000000"/>
          <w:szCs w:val="22"/>
          <w:shd w:val="clear" w:color="auto" w:fill="FFFFFF"/>
          <w:lang w:val="pt-BR"/>
        </w:rPr>
        <w:t xml:space="preserve">, </w:t>
      </w:r>
      <w:r>
        <w:rPr>
          <w:color w:val="000000"/>
          <w:szCs w:val="22"/>
          <w:shd w:val="clear" w:color="auto" w:fill="FFFFFF"/>
          <w:lang w:val="hy-AM"/>
        </w:rPr>
        <w:t>համաձայն</w:t>
      </w:r>
      <w:r>
        <w:rPr>
          <w:color w:val="000000"/>
          <w:szCs w:val="22"/>
          <w:shd w:val="clear" w:color="auto" w:fill="FFFFFF"/>
          <w:lang w:val="pt-BR"/>
        </w:rPr>
        <w:t xml:space="preserve"> </w:t>
      </w:r>
      <w:r>
        <w:rPr>
          <w:color w:val="000000"/>
          <w:szCs w:val="22"/>
          <w:shd w:val="clear" w:color="auto" w:fill="FFFFFF"/>
          <w:lang w:val="hy-AM"/>
        </w:rPr>
        <w:t>ՀՀ</w:t>
      </w:r>
      <w:r>
        <w:rPr>
          <w:color w:val="000000"/>
          <w:szCs w:val="22"/>
          <w:shd w:val="clear" w:color="auto" w:fill="FFFFFF"/>
          <w:lang w:val="pt-BR"/>
        </w:rPr>
        <w:t xml:space="preserve"> </w:t>
      </w:r>
      <w:r>
        <w:rPr>
          <w:color w:val="000000"/>
          <w:szCs w:val="22"/>
          <w:shd w:val="clear" w:color="auto" w:fill="FFFFFF"/>
          <w:lang w:val="hy-AM"/>
        </w:rPr>
        <w:t>կառավարության</w:t>
      </w:r>
      <w:r>
        <w:rPr>
          <w:color w:val="000000"/>
          <w:szCs w:val="22"/>
          <w:shd w:val="clear" w:color="auto" w:fill="FFFFFF"/>
          <w:lang w:val="pt-BR"/>
        </w:rPr>
        <w:t xml:space="preserve"> 2019</w:t>
      </w:r>
      <w:r>
        <w:rPr>
          <w:color w:val="000000"/>
          <w:szCs w:val="22"/>
          <w:shd w:val="clear" w:color="auto" w:fill="FFFFFF"/>
          <w:lang w:val="hy-AM"/>
        </w:rPr>
        <w:t>թ</w:t>
      </w:r>
      <w:r>
        <w:rPr>
          <w:color w:val="000000"/>
          <w:szCs w:val="22"/>
          <w:shd w:val="clear" w:color="auto" w:fill="FFFFFF"/>
          <w:lang w:val="pt-BR"/>
        </w:rPr>
        <w:t xml:space="preserve"> </w:t>
      </w:r>
      <w:r>
        <w:rPr>
          <w:color w:val="000000"/>
          <w:szCs w:val="22"/>
          <w:shd w:val="clear" w:color="auto" w:fill="FFFFFF"/>
          <w:lang w:val="hy-AM"/>
        </w:rPr>
        <w:t>փետրվարի</w:t>
      </w:r>
      <w:r>
        <w:rPr>
          <w:color w:val="000000"/>
          <w:szCs w:val="22"/>
          <w:shd w:val="clear" w:color="auto" w:fill="FFFFFF"/>
          <w:lang w:val="pt-BR"/>
        </w:rPr>
        <w:t xml:space="preserve"> 8-</w:t>
      </w:r>
      <w:r>
        <w:rPr>
          <w:color w:val="000000"/>
          <w:szCs w:val="22"/>
          <w:shd w:val="clear" w:color="auto" w:fill="FFFFFF"/>
          <w:lang w:val="hy-AM"/>
        </w:rPr>
        <w:t>ի</w:t>
      </w:r>
      <w:r>
        <w:rPr>
          <w:color w:val="000000"/>
          <w:szCs w:val="22"/>
          <w:shd w:val="clear" w:color="auto" w:fill="FFFFFF"/>
          <w:lang w:val="pt-BR"/>
        </w:rPr>
        <w:t xml:space="preserve"> N 65-</w:t>
      </w:r>
      <w:r>
        <w:rPr>
          <w:color w:val="000000"/>
          <w:szCs w:val="22"/>
          <w:shd w:val="clear" w:color="auto" w:fill="FFFFFF"/>
          <w:lang w:val="hy-AM"/>
        </w:rPr>
        <w:t>Ա</w:t>
      </w:r>
      <w:r>
        <w:rPr>
          <w:color w:val="000000"/>
          <w:szCs w:val="22"/>
          <w:shd w:val="clear" w:color="auto" w:fill="FFFFFF"/>
          <w:lang w:val="pt-BR"/>
        </w:rPr>
        <w:t xml:space="preserve"> </w:t>
      </w:r>
      <w:r>
        <w:rPr>
          <w:color w:val="000000"/>
          <w:szCs w:val="22"/>
          <w:shd w:val="clear" w:color="auto" w:fill="FFFFFF"/>
          <w:lang w:val="hy-AM"/>
        </w:rPr>
        <w:t>որոշման</w:t>
      </w:r>
      <w:r>
        <w:rPr>
          <w:color w:val="000000"/>
          <w:szCs w:val="22"/>
          <w:shd w:val="clear" w:color="auto" w:fill="FFFFFF"/>
          <w:lang w:val="pt-BR"/>
        </w:rPr>
        <w:t xml:space="preserve"> 7.1-</w:t>
      </w:r>
      <w:r>
        <w:rPr>
          <w:color w:val="000000"/>
          <w:szCs w:val="22"/>
          <w:shd w:val="clear" w:color="auto" w:fill="FFFFFF"/>
          <w:lang w:val="hy-AM"/>
        </w:rPr>
        <w:t>րդ</w:t>
      </w:r>
      <w:r>
        <w:rPr>
          <w:color w:val="000000"/>
          <w:szCs w:val="22"/>
          <w:shd w:val="clear" w:color="auto" w:fill="FFFFFF"/>
          <w:lang w:val="pt-BR"/>
        </w:rPr>
        <w:t xml:space="preserve"> </w:t>
      </w:r>
      <w:r>
        <w:rPr>
          <w:color w:val="000000"/>
          <w:szCs w:val="22"/>
          <w:shd w:val="clear" w:color="auto" w:fill="FFFFFF"/>
          <w:lang w:val="hy-AM"/>
        </w:rPr>
        <w:t>կետի</w:t>
      </w:r>
      <w:r>
        <w:rPr>
          <w:color w:val="000000"/>
          <w:szCs w:val="22"/>
          <w:shd w:val="clear" w:color="auto" w:fill="FFFFFF"/>
          <w:lang w:val="pt-BR"/>
        </w:rPr>
        <w:t xml:space="preserve">, </w:t>
      </w:r>
      <w:r>
        <w:rPr>
          <w:color w:val="000000"/>
          <w:szCs w:val="22"/>
          <w:shd w:val="clear" w:color="auto" w:fill="FFFFFF"/>
          <w:lang w:val="hy-AM"/>
        </w:rPr>
        <w:t>նպատակադրվել</w:t>
      </w:r>
      <w:r>
        <w:rPr>
          <w:color w:val="000000"/>
          <w:szCs w:val="22"/>
          <w:shd w:val="clear" w:color="auto" w:fill="FFFFFF"/>
          <w:lang w:val="pt-BR"/>
        </w:rPr>
        <w:t xml:space="preserve"> </w:t>
      </w:r>
      <w:r>
        <w:rPr>
          <w:color w:val="000000"/>
          <w:szCs w:val="22"/>
          <w:shd w:val="clear" w:color="auto" w:fill="FFFFFF"/>
          <w:lang w:val="hy-AM"/>
        </w:rPr>
        <w:t>է</w:t>
      </w:r>
      <w:r>
        <w:rPr>
          <w:color w:val="000000"/>
          <w:szCs w:val="22"/>
          <w:shd w:val="clear" w:color="auto" w:fill="FFFFFF"/>
          <w:lang w:val="pt-BR"/>
        </w:rPr>
        <w:t xml:space="preserve"> </w:t>
      </w:r>
      <w:r>
        <w:rPr>
          <w:color w:val="000000"/>
          <w:szCs w:val="22"/>
          <w:shd w:val="clear" w:color="auto" w:fill="FFFFFF"/>
          <w:lang w:val="hy-AM"/>
        </w:rPr>
        <w:t>Հայաստանը</w:t>
      </w:r>
      <w:r>
        <w:rPr>
          <w:color w:val="000000"/>
          <w:szCs w:val="22"/>
          <w:shd w:val="clear" w:color="auto" w:fill="FFFFFF"/>
          <w:lang w:val="pt-BR"/>
        </w:rPr>
        <w:t xml:space="preserve"> </w:t>
      </w:r>
      <w:r>
        <w:rPr>
          <w:color w:val="000000"/>
          <w:szCs w:val="22"/>
          <w:shd w:val="clear" w:color="auto" w:fill="FFFFFF"/>
          <w:lang w:val="hy-AM"/>
        </w:rPr>
        <w:t>դարձնել</w:t>
      </w:r>
      <w:r>
        <w:rPr>
          <w:color w:val="000000"/>
          <w:szCs w:val="22"/>
          <w:shd w:val="clear" w:color="auto" w:fill="FFFFFF"/>
          <w:lang w:val="pt-BR"/>
        </w:rPr>
        <w:t xml:space="preserve"> </w:t>
      </w:r>
      <w:r>
        <w:rPr>
          <w:color w:val="000000"/>
          <w:szCs w:val="22"/>
          <w:shd w:val="clear" w:color="auto" w:fill="FFFFFF"/>
          <w:lang w:val="hy-AM"/>
        </w:rPr>
        <w:t>բարձր</w:t>
      </w:r>
      <w:r>
        <w:rPr>
          <w:color w:val="000000"/>
          <w:szCs w:val="22"/>
          <w:shd w:val="clear" w:color="auto" w:fill="FFFFFF"/>
          <w:lang w:val="pt-BR"/>
        </w:rPr>
        <w:t xml:space="preserve"> </w:t>
      </w:r>
      <w:r>
        <w:rPr>
          <w:color w:val="000000"/>
          <w:szCs w:val="22"/>
          <w:shd w:val="clear" w:color="auto" w:fill="FFFFFF"/>
          <w:lang w:val="hy-AM"/>
        </w:rPr>
        <w:t>տեխնոլոգիական</w:t>
      </w:r>
      <w:r>
        <w:rPr>
          <w:color w:val="000000"/>
          <w:szCs w:val="22"/>
          <w:shd w:val="clear" w:color="auto" w:fill="FFFFFF"/>
          <w:lang w:val="pt-BR"/>
        </w:rPr>
        <w:t xml:space="preserve">, </w:t>
      </w:r>
      <w:r>
        <w:rPr>
          <w:color w:val="000000"/>
          <w:szCs w:val="22"/>
          <w:shd w:val="clear" w:color="auto" w:fill="FFFFFF"/>
          <w:lang w:val="hy-AM"/>
        </w:rPr>
        <w:t>արդյունաբերական</w:t>
      </w:r>
      <w:r>
        <w:rPr>
          <w:color w:val="000000"/>
          <w:szCs w:val="22"/>
          <w:shd w:val="clear" w:color="auto" w:fill="FFFFFF"/>
          <w:lang w:val="pt-BR"/>
        </w:rPr>
        <w:t xml:space="preserve"> </w:t>
      </w:r>
      <w:r>
        <w:rPr>
          <w:color w:val="000000"/>
          <w:szCs w:val="22"/>
          <w:shd w:val="clear" w:color="auto" w:fill="FFFFFF"/>
          <w:lang w:val="hy-AM"/>
        </w:rPr>
        <w:t>երկիր</w:t>
      </w:r>
      <w:r>
        <w:rPr>
          <w:color w:val="000000"/>
          <w:szCs w:val="22"/>
          <w:shd w:val="clear" w:color="auto" w:fill="FFFFFF"/>
          <w:lang w:val="pt-BR"/>
        </w:rPr>
        <w:t xml:space="preserve">: </w:t>
      </w:r>
      <w:r>
        <w:rPr>
          <w:color w:val="000000"/>
          <w:szCs w:val="22"/>
          <w:shd w:val="clear" w:color="auto" w:fill="FFFFFF"/>
          <w:lang w:val="hy-AM"/>
        </w:rPr>
        <w:t>Այս</w:t>
      </w:r>
      <w:r>
        <w:rPr>
          <w:color w:val="000000"/>
          <w:szCs w:val="22"/>
          <w:shd w:val="clear" w:color="auto" w:fill="FFFFFF"/>
          <w:lang w:val="pt-BR"/>
        </w:rPr>
        <w:t xml:space="preserve"> </w:t>
      </w:r>
      <w:r>
        <w:rPr>
          <w:color w:val="000000"/>
          <w:szCs w:val="22"/>
          <w:shd w:val="clear" w:color="auto" w:fill="FFFFFF"/>
          <w:lang w:val="hy-AM"/>
        </w:rPr>
        <w:t>նպատակին</w:t>
      </w:r>
      <w:r>
        <w:rPr>
          <w:color w:val="000000"/>
          <w:szCs w:val="22"/>
          <w:shd w:val="clear" w:color="auto" w:fill="FFFFFF"/>
          <w:lang w:val="pt-BR"/>
        </w:rPr>
        <w:t xml:space="preserve"> </w:t>
      </w:r>
      <w:r>
        <w:rPr>
          <w:color w:val="000000"/>
          <w:szCs w:val="22"/>
          <w:shd w:val="clear" w:color="auto" w:fill="FFFFFF"/>
          <w:lang w:val="hy-AM"/>
        </w:rPr>
        <w:t>հասնելու</w:t>
      </w:r>
      <w:r>
        <w:rPr>
          <w:color w:val="000000"/>
          <w:szCs w:val="22"/>
          <w:shd w:val="clear" w:color="auto" w:fill="FFFFFF"/>
          <w:lang w:val="pt-BR"/>
        </w:rPr>
        <w:t xml:space="preserve"> </w:t>
      </w:r>
      <w:r>
        <w:rPr>
          <w:color w:val="000000"/>
          <w:szCs w:val="22"/>
          <w:shd w:val="clear" w:color="auto" w:fill="FFFFFF"/>
          <w:lang w:val="hy-AM"/>
        </w:rPr>
        <w:t>և</w:t>
      </w:r>
      <w:r>
        <w:rPr>
          <w:color w:val="000000"/>
          <w:szCs w:val="22"/>
          <w:shd w:val="clear" w:color="auto" w:fill="FFFFFF"/>
          <w:lang w:val="pt-BR"/>
        </w:rPr>
        <w:t xml:space="preserve"> </w:t>
      </w:r>
      <w:r>
        <w:rPr>
          <w:color w:val="000000"/>
          <w:szCs w:val="22"/>
          <w:shd w:val="clear" w:color="auto" w:fill="FFFFFF"/>
          <w:lang w:val="hy-AM"/>
        </w:rPr>
        <w:t>բարձր</w:t>
      </w:r>
      <w:r>
        <w:rPr>
          <w:color w:val="000000"/>
          <w:szCs w:val="22"/>
          <w:shd w:val="clear" w:color="auto" w:fill="FFFFFF"/>
          <w:lang w:val="pt-BR"/>
        </w:rPr>
        <w:t xml:space="preserve"> </w:t>
      </w:r>
      <w:r>
        <w:rPr>
          <w:color w:val="000000"/>
          <w:szCs w:val="22"/>
          <w:shd w:val="clear" w:color="auto" w:fill="FFFFFF"/>
          <w:lang w:val="hy-AM"/>
        </w:rPr>
        <w:t>տեխնոլոգիաների</w:t>
      </w:r>
      <w:r>
        <w:rPr>
          <w:color w:val="000000"/>
          <w:szCs w:val="22"/>
          <w:shd w:val="clear" w:color="auto" w:fill="FFFFFF"/>
          <w:lang w:val="pt-BR"/>
        </w:rPr>
        <w:t xml:space="preserve"> </w:t>
      </w:r>
      <w:r>
        <w:rPr>
          <w:color w:val="000000"/>
          <w:szCs w:val="22"/>
          <w:shd w:val="clear" w:color="auto" w:fill="FFFFFF"/>
          <w:lang w:val="hy-AM"/>
        </w:rPr>
        <w:t>զարգացումն</w:t>
      </w:r>
      <w:r>
        <w:rPr>
          <w:color w:val="000000"/>
          <w:szCs w:val="22"/>
          <w:shd w:val="clear" w:color="auto" w:fill="FFFFFF"/>
          <w:lang w:val="pt-BR"/>
        </w:rPr>
        <w:t xml:space="preserve"> </w:t>
      </w:r>
      <w:r>
        <w:rPr>
          <w:color w:val="000000"/>
          <w:szCs w:val="22"/>
          <w:shd w:val="clear" w:color="auto" w:fill="FFFFFF"/>
          <w:lang w:val="hy-AM"/>
        </w:rPr>
        <w:t>ապահովելու</w:t>
      </w:r>
      <w:r>
        <w:rPr>
          <w:color w:val="000000"/>
          <w:szCs w:val="22"/>
          <w:shd w:val="clear" w:color="auto" w:fill="FFFFFF"/>
          <w:lang w:val="pt-BR"/>
        </w:rPr>
        <w:t xml:space="preserve"> </w:t>
      </w:r>
      <w:r>
        <w:rPr>
          <w:color w:val="000000"/>
          <w:szCs w:val="22"/>
          <w:shd w:val="clear" w:color="auto" w:fill="FFFFFF"/>
          <w:lang w:val="hy-AM"/>
        </w:rPr>
        <w:t>համար</w:t>
      </w:r>
      <w:r>
        <w:rPr>
          <w:color w:val="000000"/>
          <w:szCs w:val="22"/>
          <w:shd w:val="clear" w:color="auto" w:fill="FFFFFF"/>
          <w:lang w:val="pt-BR"/>
        </w:rPr>
        <w:t xml:space="preserve"> </w:t>
      </w:r>
      <w:r>
        <w:rPr>
          <w:color w:val="000000"/>
          <w:szCs w:val="22"/>
          <w:shd w:val="clear" w:color="auto" w:fill="FFFFFF"/>
          <w:lang w:val="hy-AM"/>
        </w:rPr>
        <w:t>կիրականացվեն</w:t>
      </w:r>
      <w:r>
        <w:rPr>
          <w:color w:val="000000"/>
          <w:szCs w:val="22"/>
          <w:shd w:val="clear" w:color="auto" w:fill="FFFFFF"/>
          <w:lang w:val="pt-BR"/>
        </w:rPr>
        <w:t xml:space="preserve"> </w:t>
      </w:r>
      <w:r>
        <w:rPr>
          <w:color w:val="000000"/>
          <w:szCs w:val="22"/>
          <w:shd w:val="clear" w:color="auto" w:fill="FFFFFF"/>
          <w:lang w:val="hy-AM"/>
        </w:rPr>
        <w:t>նպատակային</w:t>
      </w:r>
      <w:r>
        <w:rPr>
          <w:color w:val="000000"/>
          <w:szCs w:val="22"/>
          <w:shd w:val="clear" w:color="auto" w:fill="FFFFFF"/>
          <w:lang w:val="pt-BR"/>
        </w:rPr>
        <w:t xml:space="preserve"> </w:t>
      </w:r>
      <w:r>
        <w:rPr>
          <w:color w:val="000000"/>
          <w:szCs w:val="22"/>
          <w:shd w:val="clear" w:color="auto" w:fill="FFFFFF"/>
          <w:lang w:val="hy-AM"/>
        </w:rPr>
        <w:t>քայլեր</w:t>
      </w:r>
      <w:r>
        <w:rPr>
          <w:color w:val="000000"/>
          <w:szCs w:val="22"/>
          <w:shd w:val="clear" w:color="auto" w:fill="FFFFFF"/>
          <w:lang w:val="pt-BR"/>
        </w:rPr>
        <w:t xml:space="preserve">: </w:t>
      </w:r>
      <w:r>
        <w:rPr>
          <w:color w:val="000000"/>
          <w:szCs w:val="22"/>
          <w:shd w:val="clear" w:color="auto" w:fill="FFFFFF"/>
          <w:lang w:val="hy-AM"/>
        </w:rPr>
        <w:t>Մասնավորապես</w:t>
      </w:r>
      <w:r>
        <w:rPr>
          <w:color w:val="000000"/>
          <w:szCs w:val="22"/>
          <w:shd w:val="clear" w:color="auto" w:fill="FFFFFF"/>
          <w:lang w:val="pt-BR"/>
        </w:rPr>
        <w:t xml:space="preserve"> </w:t>
      </w:r>
      <w:r>
        <w:rPr>
          <w:color w:val="000000"/>
          <w:szCs w:val="22"/>
          <w:shd w:val="clear" w:color="auto" w:fill="FFFFFF"/>
          <w:lang w:val="hy-AM"/>
        </w:rPr>
        <w:t>նախանշվել</w:t>
      </w:r>
      <w:r>
        <w:rPr>
          <w:color w:val="000000"/>
          <w:szCs w:val="22"/>
          <w:shd w:val="clear" w:color="auto" w:fill="FFFFFF"/>
          <w:lang w:val="pt-BR"/>
        </w:rPr>
        <w:t xml:space="preserve"> </w:t>
      </w:r>
      <w:r>
        <w:rPr>
          <w:color w:val="000000"/>
          <w:szCs w:val="22"/>
          <w:shd w:val="clear" w:color="auto" w:fill="FFFFFF"/>
          <w:lang w:val="hy-AM"/>
        </w:rPr>
        <w:t>են</w:t>
      </w:r>
      <w:r>
        <w:rPr>
          <w:color w:val="000000"/>
          <w:szCs w:val="22"/>
          <w:shd w:val="clear" w:color="auto" w:fill="FFFFFF"/>
          <w:lang w:val="pt-BR"/>
        </w:rPr>
        <w:t xml:space="preserve"> </w:t>
      </w:r>
      <w:r>
        <w:rPr>
          <w:color w:val="000000"/>
          <w:szCs w:val="22"/>
          <w:shd w:val="clear" w:color="auto" w:fill="FFFFFF"/>
          <w:lang w:val="hy-AM"/>
        </w:rPr>
        <w:t>ոլորտի</w:t>
      </w:r>
      <w:r>
        <w:rPr>
          <w:color w:val="000000"/>
          <w:szCs w:val="22"/>
          <w:shd w:val="clear" w:color="auto" w:fill="FFFFFF"/>
          <w:lang w:val="pt-BR"/>
        </w:rPr>
        <w:t xml:space="preserve"> </w:t>
      </w:r>
      <w:r>
        <w:rPr>
          <w:color w:val="000000"/>
          <w:szCs w:val="22"/>
          <w:shd w:val="clear" w:color="auto" w:fill="FFFFFF"/>
          <w:lang w:val="hy-AM"/>
        </w:rPr>
        <w:t>հետևյալ</w:t>
      </w:r>
      <w:r>
        <w:rPr>
          <w:color w:val="000000"/>
          <w:szCs w:val="22"/>
          <w:shd w:val="clear" w:color="auto" w:fill="FFFFFF"/>
          <w:lang w:val="pt-BR"/>
        </w:rPr>
        <w:t xml:space="preserve"> </w:t>
      </w:r>
      <w:r>
        <w:rPr>
          <w:color w:val="000000"/>
          <w:szCs w:val="22"/>
          <w:shd w:val="clear" w:color="auto" w:fill="FFFFFF"/>
          <w:lang w:val="hy-AM"/>
        </w:rPr>
        <w:t>հիմնական</w:t>
      </w:r>
      <w:r>
        <w:rPr>
          <w:color w:val="000000"/>
          <w:szCs w:val="22"/>
          <w:shd w:val="clear" w:color="auto" w:fill="FFFFFF"/>
          <w:lang w:val="pt-BR"/>
        </w:rPr>
        <w:t xml:space="preserve"> </w:t>
      </w:r>
      <w:r>
        <w:rPr>
          <w:color w:val="000000"/>
          <w:szCs w:val="22"/>
          <w:shd w:val="clear" w:color="auto" w:fill="FFFFFF"/>
          <w:lang w:val="hy-AM"/>
        </w:rPr>
        <w:t>թիրախները</w:t>
      </w:r>
      <w:r>
        <w:rPr>
          <w:color w:val="000000"/>
          <w:szCs w:val="22"/>
          <w:shd w:val="clear" w:color="auto" w:fill="FFFFFF"/>
          <w:lang w:val="pt-BR"/>
        </w:rPr>
        <w:t xml:space="preserve">. </w:t>
      </w:r>
    </w:p>
    <w:p w14:paraId="0EE43455" w14:textId="77777777" w:rsidR="00DA0E15" w:rsidRDefault="00362131" w:rsidP="00C0628C">
      <w:pPr>
        <w:pStyle w:val="NormalWeb"/>
        <w:numPr>
          <w:ilvl w:val="0"/>
          <w:numId w:val="22"/>
        </w:numPr>
        <w:spacing w:before="0" w:after="0" w:line="276" w:lineRule="auto"/>
        <w:ind w:left="0" w:firstLine="567"/>
        <w:rPr>
          <w:color w:val="000000"/>
          <w:szCs w:val="22"/>
          <w:shd w:val="clear" w:color="auto" w:fill="FFFFFF"/>
          <w:lang w:val="pt-BR"/>
        </w:rPr>
      </w:pPr>
      <w:r>
        <w:rPr>
          <w:color w:val="000000"/>
          <w:szCs w:val="22"/>
          <w:shd w:val="clear" w:color="auto" w:fill="FFFFFF"/>
        </w:rPr>
        <w:t>Տնտեսության</w:t>
      </w:r>
      <w:r>
        <w:rPr>
          <w:color w:val="000000"/>
          <w:szCs w:val="22"/>
          <w:shd w:val="clear" w:color="auto" w:fill="FFFFFF"/>
          <w:lang w:val="pt-BR"/>
        </w:rPr>
        <w:t xml:space="preserve"> </w:t>
      </w:r>
      <w:r>
        <w:rPr>
          <w:color w:val="000000"/>
          <w:szCs w:val="22"/>
          <w:shd w:val="clear" w:color="auto" w:fill="FFFFFF"/>
        </w:rPr>
        <w:t>միջնաժամկետ</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երկարաժամկետ</w:t>
      </w:r>
      <w:r>
        <w:rPr>
          <w:color w:val="000000"/>
          <w:szCs w:val="22"/>
          <w:shd w:val="clear" w:color="auto" w:fill="FFFFFF"/>
          <w:lang w:val="pt-BR"/>
        </w:rPr>
        <w:t xml:space="preserve"> </w:t>
      </w:r>
      <w:r>
        <w:rPr>
          <w:color w:val="000000"/>
          <w:szCs w:val="22"/>
          <w:shd w:val="clear" w:color="auto" w:fill="FFFFFF"/>
        </w:rPr>
        <w:t>կայուն</w:t>
      </w:r>
      <w:r>
        <w:rPr>
          <w:color w:val="000000"/>
          <w:szCs w:val="22"/>
          <w:shd w:val="clear" w:color="auto" w:fill="FFFFFF"/>
          <w:lang w:val="pt-BR"/>
        </w:rPr>
        <w:t xml:space="preserve"> </w:t>
      </w:r>
      <w:r>
        <w:rPr>
          <w:color w:val="000000"/>
          <w:szCs w:val="22"/>
          <w:shd w:val="clear" w:color="auto" w:fill="FFFFFF"/>
        </w:rPr>
        <w:t>աճի</w:t>
      </w:r>
      <w:r>
        <w:rPr>
          <w:color w:val="000000"/>
          <w:szCs w:val="22"/>
          <w:shd w:val="clear" w:color="auto" w:fill="FFFFFF"/>
          <w:lang w:val="pt-BR"/>
        </w:rPr>
        <w:t xml:space="preserve"> </w:t>
      </w:r>
      <w:r>
        <w:rPr>
          <w:color w:val="000000"/>
          <w:szCs w:val="22"/>
          <w:shd w:val="clear" w:color="auto" w:fill="FFFFFF"/>
        </w:rPr>
        <w:t>շարժիչ</w:t>
      </w:r>
      <w:r>
        <w:rPr>
          <w:color w:val="000000"/>
          <w:szCs w:val="22"/>
          <w:shd w:val="clear" w:color="auto" w:fill="FFFFFF"/>
          <w:lang w:val="pt-BR"/>
        </w:rPr>
        <w:t xml:space="preserve"> </w:t>
      </w:r>
      <w:r>
        <w:rPr>
          <w:color w:val="000000"/>
          <w:szCs w:val="22"/>
          <w:shd w:val="clear" w:color="auto" w:fill="FFFFFF"/>
        </w:rPr>
        <w:t>ուժը</w:t>
      </w:r>
      <w:r>
        <w:rPr>
          <w:color w:val="000000"/>
          <w:szCs w:val="22"/>
          <w:shd w:val="clear" w:color="auto" w:fill="FFFFFF"/>
          <w:lang w:val="pt-BR"/>
        </w:rPr>
        <w:t xml:space="preserve"> </w:t>
      </w:r>
      <w:r>
        <w:rPr>
          <w:color w:val="000000"/>
          <w:szCs w:val="22"/>
          <w:shd w:val="clear" w:color="auto" w:fill="FFFFFF"/>
        </w:rPr>
        <w:t>պետք</w:t>
      </w:r>
      <w:r>
        <w:rPr>
          <w:color w:val="000000"/>
          <w:szCs w:val="22"/>
          <w:shd w:val="clear" w:color="auto" w:fill="FFFFFF"/>
          <w:lang w:val="pt-BR"/>
        </w:rPr>
        <w:t xml:space="preserve"> </w:t>
      </w:r>
      <w:r>
        <w:rPr>
          <w:color w:val="000000"/>
          <w:szCs w:val="22"/>
          <w:shd w:val="clear" w:color="auto" w:fill="FFFFFF"/>
        </w:rPr>
        <w:t>է</w:t>
      </w:r>
      <w:r>
        <w:rPr>
          <w:color w:val="000000"/>
          <w:szCs w:val="22"/>
          <w:shd w:val="clear" w:color="auto" w:fill="FFFFFF"/>
          <w:lang w:val="pt-BR"/>
        </w:rPr>
        <w:t xml:space="preserve"> </w:t>
      </w:r>
      <w:r>
        <w:rPr>
          <w:color w:val="000000"/>
          <w:szCs w:val="22"/>
          <w:shd w:val="clear" w:color="auto" w:fill="FFFFFF"/>
        </w:rPr>
        <w:t>հանդիսանա</w:t>
      </w:r>
      <w:r>
        <w:rPr>
          <w:color w:val="000000"/>
          <w:szCs w:val="22"/>
          <w:shd w:val="clear" w:color="auto" w:fill="FFFFFF"/>
          <w:lang w:val="pt-BR"/>
        </w:rPr>
        <w:t xml:space="preserve"> </w:t>
      </w:r>
      <w:r>
        <w:rPr>
          <w:color w:val="000000"/>
          <w:szCs w:val="22"/>
          <w:shd w:val="clear" w:color="auto" w:fill="FFFFFF"/>
        </w:rPr>
        <w:t>նորարարությունը</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առաջադեմ</w:t>
      </w:r>
      <w:r>
        <w:rPr>
          <w:color w:val="000000"/>
          <w:szCs w:val="22"/>
          <w:shd w:val="clear" w:color="auto" w:fill="FFFFFF"/>
          <w:lang w:val="pt-BR"/>
        </w:rPr>
        <w:t xml:space="preserve"> </w:t>
      </w:r>
      <w:r>
        <w:rPr>
          <w:color w:val="000000"/>
          <w:szCs w:val="22"/>
          <w:shd w:val="clear" w:color="auto" w:fill="FFFFFF"/>
        </w:rPr>
        <w:t>տեխնոլոգիաների</w:t>
      </w:r>
      <w:r>
        <w:rPr>
          <w:color w:val="000000"/>
          <w:szCs w:val="22"/>
          <w:shd w:val="clear" w:color="auto" w:fill="FFFFFF"/>
          <w:lang w:val="pt-BR"/>
        </w:rPr>
        <w:t xml:space="preserve"> </w:t>
      </w:r>
      <w:r>
        <w:rPr>
          <w:color w:val="000000"/>
          <w:szCs w:val="22"/>
          <w:shd w:val="clear" w:color="auto" w:fill="FFFFFF"/>
        </w:rPr>
        <w:t>ստեղծումն</w:t>
      </w:r>
      <w:r>
        <w:rPr>
          <w:color w:val="000000"/>
          <w:szCs w:val="22"/>
          <w:shd w:val="clear" w:color="auto" w:fill="FFFFFF"/>
          <w:lang w:val="pt-BR"/>
        </w:rPr>
        <w:t xml:space="preserve"> </w:t>
      </w:r>
      <w:r>
        <w:rPr>
          <w:color w:val="000000"/>
          <w:szCs w:val="22"/>
          <w:shd w:val="clear" w:color="auto" w:fill="FFFFFF"/>
        </w:rPr>
        <w:t>ու</w:t>
      </w:r>
      <w:r>
        <w:rPr>
          <w:color w:val="000000"/>
          <w:szCs w:val="22"/>
          <w:shd w:val="clear" w:color="auto" w:fill="FFFFFF"/>
          <w:lang w:val="pt-BR"/>
        </w:rPr>
        <w:t xml:space="preserve"> </w:t>
      </w:r>
      <w:r>
        <w:rPr>
          <w:color w:val="000000"/>
          <w:szCs w:val="22"/>
          <w:shd w:val="clear" w:color="auto" w:fill="FFFFFF"/>
        </w:rPr>
        <w:t>կիրառումը</w:t>
      </w:r>
      <w:r>
        <w:rPr>
          <w:color w:val="000000"/>
          <w:szCs w:val="22"/>
          <w:shd w:val="clear" w:color="auto" w:fill="FFFFFF"/>
          <w:lang w:val="pt-BR"/>
        </w:rPr>
        <w:t xml:space="preserve">: </w:t>
      </w:r>
    </w:p>
    <w:p w14:paraId="63B86523" w14:textId="77777777" w:rsidR="00DA0E15" w:rsidRDefault="00362131" w:rsidP="00C0628C">
      <w:pPr>
        <w:pStyle w:val="NormalWeb"/>
        <w:numPr>
          <w:ilvl w:val="0"/>
          <w:numId w:val="22"/>
        </w:numPr>
        <w:spacing w:before="0" w:after="0" w:line="276" w:lineRule="auto"/>
        <w:ind w:left="0" w:firstLine="567"/>
        <w:rPr>
          <w:color w:val="000000"/>
          <w:szCs w:val="22"/>
          <w:shd w:val="clear" w:color="auto" w:fill="FFFFFF"/>
          <w:lang w:val="pt-BR"/>
        </w:rPr>
      </w:pPr>
      <w:r>
        <w:rPr>
          <w:color w:val="000000"/>
          <w:szCs w:val="22"/>
          <w:shd w:val="clear" w:color="auto" w:fill="FFFFFF"/>
        </w:rPr>
        <w:t>Ապահովել</w:t>
      </w:r>
      <w:r>
        <w:rPr>
          <w:color w:val="000000"/>
          <w:szCs w:val="22"/>
          <w:shd w:val="clear" w:color="auto" w:fill="FFFFFF"/>
          <w:lang w:val="pt-BR"/>
        </w:rPr>
        <w:t xml:space="preserve"> </w:t>
      </w:r>
      <w:r>
        <w:rPr>
          <w:color w:val="000000"/>
          <w:szCs w:val="22"/>
          <w:shd w:val="clear" w:color="auto" w:fill="FFFFFF"/>
        </w:rPr>
        <w:t>տեխնոլոգիական</w:t>
      </w:r>
      <w:r>
        <w:rPr>
          <w:color w:val="000000"/>
          <w:szCs w:val="22"/>
          <w:shd w:val="clear" w:color="auto" w:fill="FFFFFF"/>
          <w:lang w:val="pt-BR"/>
        </w:rPr>
        <w:t xml:space="preserve"> </w:t>
      </w:r>
      <w:r>
        <w:rPr>
          <w:color w:val="000000"/>
          <w:szCs w:val="22"/>
          <w:shd w:val="clear" w:color="auto" w:fill="FFFFFF"/>
        </w:rPr>
        <w:t>ընկերությունների</w:t>
      </w:r>
      <w:r>
        <w:rPr>
          <w:color w:val="000000"/>
          <w:szCs w:val="22"/>
          <w:shd w:val="clear" w:color="auto" w:fill="FFFFFF"/>
          <w:lang w:val="pt-BR"/>
        </w:rPr>
        <w:t xml:space="preserve"> </w:t>
      </w:r>
      <w:r>
        <w:rPr>
          <w:color w:val="000000"/>
          <w:szCs w:val="22"/>
          <w:shd w:val="clear" w:color="auto" w:fill="FFFFFF"/>
        </w:rPr>
        <w:t>կողմից</w:t>
      </w:r>
      <w:r>
        <w:rPr>
          <w:color w:val="000000"/>
          <w:szCs w:val="22"/>
          <w:shd w:val="clear" w:color="auto" w:fill="FFFFFF"/>
          <w:lang w:val="pt-BR"/>
        </w:rPr>
        <w:t xml:space="preserve"> </w:t>
      </w:r>
      <w:r>
        <w:rPr>
          <w:color w:val="000000"/>
          <w:szCs w:val="22"/>
          <w:shd w:val="clear" w:color="auto" w:fill="FFFFFF"/>
        </w:rPr>
        <w:t>ստեղծված</w:t>
      </w:r>
      <w:r>
        <w:rPr>
          <w:color w:val="000000"/>
          <w:szCs w:val="22"/>
          <w:shd w:val="clear" w:color="auto" w:fill="FFFFFF"/>
          <w:lang w:val="pt-BR"/>
        </w:rPr>
        <w:t xml:space="preserve"> </w:t>
      </w:r>
      <w:r>
        <w:rPr>
          <w:color w:val="000000"/>
          <w:szCs w:val="22"/>
          <w:shd w:val="clear" w:color="auto" w:fill="FFFFFF"/>
        </w:rPr>
        <w:t>բարձրորակ</w:t>
      </w:r>
      <w:r>
        <w:rPr>
          <w:color w:val="000000"/>
          <w:szCs w:val="22"/>
          <w:shd w:val="clear" w:color="auto" w:fill="FFFFFF"/>
          <w:lang w:val="pt-BR"/>
        </w:rPr>
        <w:t xml:space="preserve"> </w:t>
      </w:r>
      <w:r>
        <w:rPr>
          <w:color w:val="000000"/>
          <w:szCs w:val="22"/>
          <w:shd w:val="clear" w:color="auto" w:fill="FFFFFF"/>
        </w:rPr>
        <w:t>կրթական</w:t>
      </w:r>
      <w:r>
        <w:rPr>
          <w:color w:val="000000"/>
          <w:szCs w:val="22"/>
          <w:shd w:val="clear" w:color="auto" w:fill="FFFFFF"/>
          <w:lang w:val="pt-BR"/>
        </w:rPr>
        <w:t xml:space="preserve"> </w:t>
      </w:r>
      <w:r>
        <w:rPr>
          <w:color w:val="000000"/>
          <w:szCs w:val="22"/>
          <w:shd w:val="clear" w:color="auto" w:fill="FFFFFF"/>
        </w:rPr>
        <w:t>ծրագրերի</w:t>
      </w:r>
      <w:r>
        <w:rPr>
          <w:color w:val="000000"/>
          <w:szCs w:val="22"/>
          <w:shd w:val="clear" w:color="auto" w:fill="FFFFFF"/>
          <w:lang w:val="pt-BR"/>
        </w:rPr>
        <w:t xml:space="preserve"> </w:t>
      </w:r>
      <w:r>
        <w:rPr>
          <w:color w:val="000000"/>
          <w:szCs w:val="22"/>
          <w:shd w:val="clear" w:color="auto" w:fill="FFFFFF"/>
        </w:rPr>
        <w:t>լայն</w:t>
      </w:r>
      <w:r>
        <w:rPr>
          <w:color w:val="000000"/>
          <w:szCs w:val="22"/>
          <w:shd w:val="clear" w:color="auto" w:fill="FFFFFF"/>
          <w:lang w:val="pt-BR"/>
        </w:rPr>
        <w:t xml:space="preserve"> </w:t>
      </w:r>
      <w:r>
        <w:rPr>
          <w:color w:val="000000"/>
          <w:szCs w:val="22"/>
          <w:shd w:val="clear" w:color="auto" w:fill="FFFFFF"/>
        </w:rPr>
        <w:t>կիառումը</w:t>
      </w:r>
      <w:r>
        <w:rPr>
          <w:color w:val="000000"/>
          <w:szCs w:val="22"/>
          <w:shd w:val="clear" w:color="auto" w:fill="FFFFFF"/>
          <w:lang w:val="pt-BR"/>
        </w:rPr>
        <w:t xml:space="preserve"> </w:t>
      </w:r>
      <w:r>
        <w:rPr>
          <w:color w:val="000000"/>
          <w:szCs w:val="22"/>
          <w:shd w:val="clear" w:color="auto" w:fill="FFFFFF"/>
        </w:rPr>
        <w:t>ԲՈՒՀ</w:t>
      </w:r>
      <w:r>
        <w:rPr>
          <w:color w:val="000000"/>
          <w:szCs w:val="22"/>
          <w:shd w:val="clear" w:color="auto" w:fill="FFFFFF"/>
          <w:lang w:val="pt-BR"/>
        </w:rPr>
        <w:t>-</w:t>
      </w:r>
      <w:r>
        <w:rPr>
          <w:color w:val="000000"/>
          <w:szCs w:val="22"/>
          <w:shd w:val="clear" w:color="auto" w:fill="FFFFFF"/>
        </w:rPr>
        <w:t>երում</w:t>
      </w:r>
      <w:r>
        <w:rPr>
          <w:color w:val="000000"/>
          <w:szCs w:val="22"/>
          <w:shd w:val="clear" w:color="auto" w:fill="FFFFFF"/>
          <w:lang w:val="pt-BR"/>
        </w:rPr>
        <w:t xml:space="preserve"> </w:t>
      </w:r>
      <w:r>
        <w:rPr>
          <w:color w:val="000000"/>
          <w:szCs w:val="22"/>
          <w:shd w:val="clear" w:color="auto" w:fill="FFFFFF"/>
        </w:rPr>
        <w:t>ինչպես</w:t>
      </w:r>
      <w:r>
        <w:rPr>
          <w:color w:val="000000"/>
          <w:szCs w:val="22"/>
          <w:shd w:val="clear" w:color="auto" w:fill="FFFFFF"/>
          <w:lang w:val="pt-BR"/>
        </w:rPr>
        <w:t xml:space="preserve"> </w:t>
      </w:r>
      <w:r>
        <w:rPr>
          <w:color w:val="000000"/>
          <w:szCs w:val="22"/>
          <w:shd w:val="clear" w:color="auto" w:fill="FFFFFF"/>
        </w:rPr>
        <w:t>նաև</w:t>
      </w:r>
      <w:r>
        <w:rPr>
          <w:color w:val="000000"/>
          <w:szCs w:val="22"/>
          <w:shd w:val="clear" w:color="auto" w:fill="FFFFFF"/>
          <w:lang w:val="pt-BR"/>
        </w:rPr>
        <w:t xml:space="preserve"> </w:t>
      </w:r>
      <w:r>
        <w:rPr>
          <w:color w:val="000000"/>
          <w:szCs w:val="22"/>
          <w:shd w:val="clear" w:color="auto" w:fill="FFFFFF"/>
        </w:rPr>
        <w:t>Հայաստանի</w:t>
      </w:r>
      <w:r>
        <w:rPr>
          <w:color w:val="000000"/>
          <w:szCs w:val="22"/>
          <w:shd w:val="clear" w:color="auto" w:fill="FFFFFF"/>
          <w:lang w:val="pt-BR"/>
        </w:rPr>
        <w:t xml:space="preserve"> </w:t>
      </w:r>
      <w:r>
        <w:rPr>
          <w:color w:val="000000"/>
          <w:szCs w:val="22"/>
          <w:shd w:val="clear" w:color="auto" w:fill="FFFFFF"/>
        </w:rPr>
        <w:t>տարբեր</w:t>
      </w:r>
      <w:r>
        <w:rPr>
          <w:color w:val="000000"/>
          <w:szCs w:val="22"/>
          <w:shd w:val="clear" w:color="auto" w:fill="FFFFFF"/>
          <w:lang w:val="pt-BR"/>
        </w:rPr>
        <w:t xml:space="preserve"> </w:t>
      </w:r>
      <w:r>
        <w:rPr>
          <w:color w:val="000000"/>
          <w:szCs w:val="22"/>
          <w:shd w:val="clear" w:color="auto" w:fill="FFFFFF"/>
        </w:rPr>
        <w:t>քաղաքներում</w:t>
      </w:r>
      <w:r>
        <w:rPr>
          <w:color w:val="000000"/>
          <w:szCs w:val="22"/>
          <w:shd w:val="clear" w:color="auto" w:fill="FFFFFF"/>
          <w:lang w:val="pt-BR"/>
        </w:rPr>
        <w:t xml:space="preserve"> </w:t>
      </w:r>
      <w:r>
        <w:rPr>
          <w:color w:val="000000"/>
          <w:szCs w:val="22"/>
          <w:shd w:val="clear" w:color="auto" w:fill="FFFFFF"/>
        </w:rPr>
        <w:t>գտնվող</w:t>
      </w:r>
      <w:r>
        <w:rPr>
          <w:color w:val="000000"/>
          <w:szCs w:val="22"/>
          <w:shd w:val="clear" w:color="auto" w:fill="FFFFFF"/>
          <w:lang w:val="pt-BR"/>
        </w:rPr>
        <w:t xml:space="preserve"> </w:t>
      </w:r>
      <w:r>
        <w:rPr>
          <w:color w:val="000000"/>
          <w:szCs w:val="22"/>
          <w:shd w:val="clear" w:color="auto" w:fill="FFFFFF"/>
        </w:rPr>
        <w:t>տեխնոլոգիական</w:t>
      </w:r>
      <w:r>
        <w:rPr>
          <w:color w:val="000000"/>
          <w:szCs w:val="22"/>
          <w:shd w:val="clear" w:color="auto" w:fill="FFFFFF"/>
          <w:lang w:val="pt-BR"/>
        </w:rPr>
        <w:t xml:space="preserve"> </w:t>
      </w:r>
      <w:r>
        <w:rPr>
          <w:color w:val="000000"/>
          <w:szCs w:val="22"/>
          <w:shd w:val="clear" w:color="auto" w:fill="FFFFFF"/>
        </w:rPr>
        <w:t>կենտրոններում</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կրթական</w:t>
      </w:r>
      <w:r>
        <w:rPr>
          <w:color w:val="000000"/>
          <w:szCs w:val="22"/>
          <w:shd w:val="clear" w:color="auto" w:fill="FFFFFF"/>
          <w:lang w:val="pt-BR"/>
        </w:rPr>
        <w:t xml:space="preserve"> </w:t>
      </w:r>
      <w:r>
        <w:rPr>
          <w:color w:val="000000"/>
          <w:szCs w:val="22"/>
          <w:shd w:val="clear" w:color="auto" w:fill="FFFFFF"/>
        </w:rPr>
        <w:t>այլ</w:t>
      </w:r>
      <w:r>
        <w:rPr>
          <w:color w:val="000000"/>
          <w:szCs w:val="22"/>
          <w:shd w:val="clear" w:color="auto" w:fill="FFFFFF"/>
          <w:lang w:val="pt-BR"/>
        </w:rPr>
        <w:t xml:space="preserve"> </w:t>
      </w:r>
      <w:r>
        <w:rPr>
          <w:color w:val="000000"/>
          <w:szCs w:val="22"/>
          <w:shd w:val="clear" w:color="auto" w:fill="FFFFFF"/>
        </w:rPr>
        <w:t>հաստատություններում</w:t>
      </w:r>
      <w:r>
        <w:rPr>
          <w:color w:val="000000"/>
          <w:szCs w:val="22"/>
          <w:shd w:val="clear" w:color="auto" w:fill="FFFFFF"/>
          <w:lang w:val="pt-BR"/>
        </w:rPr>
        <w:t>,</w:t>
      </w:r>
    </w:p>
    <w:p w14:paraId="340CDBC3" w14:textId="77777777" w:rsidR="00DA0E15" w:rsidRDefault="00362131" w:rsidP="00C0628C">
      <w:pPr>
        <w:pStyle w:val="NormalWeb"/>
        <w:numPr>
          <w:ilvl w:val="0"/>
          <w:numId w:val="22"/>
        </w:numPr>
        <w:spacing w:before="0" w:after="0" w:line="276" w:lineRule="auto"/>
        <w:ind w:left="0" w:firstLine="567"/>
        <w:rPr>
          <w:color w:val="000000"/>
          <w:szCs w:val="22"/>
          <w:shd w:val="clear" w:color="auto" w:fill="FFFFFF"/>
          <w:lang w:val="pt-BR"/>
        </w:rPr>
      </w:pPr>
      <w:r>
        <w:rPr>
          <w:color w:val="000000"/>
          <w:szCs w:val="22"/>
          <w:shd w:val="clear" w:color="auto" w:fill="FFFFFF"/>
        </w:rPr>
        <w:t>Խրախուսել</w:t>
      </w:r>
      <w:r>
        <w:rPr>
          <w:color w:val="000000"/>
          <w:szCs w:val="22"/>
          <w:shd w:val="clear" w:color="auto" w:fill="FFFFFF"/>
          <w:lang w:val="pt-BR"/>
        </w:rPr>
        <w:t xml:space="preserve"> </w:t>
      </w:r>
      <w:r>
        <w:rPr>
          <w:color w:val="000000"/>
          <w:szCs w:val="22"/>
          <w:shd w:val="clear" w:color="auto" w:fill="FFFFFF"/>
        </w:rPr>
        <w:t>գիտության</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մասնավոր</w:t>
      </w:r>
      <w:r>
        <w:rPr>
          <w:color w:val="000000"/>
          <w:szCs w:val="22"/>
          <w:shd w:val="clear" w:color="auto" w:fill="FFFFFF"/>
          <w:lang w:val="pt-BR"/>
        </w:rPr>
        <w:t xml:space="preserve"> </w:t>
      </w:r>
      <w:r>
        <w:rPr>
          <w:color w:val="000000"/>
          <w:szCs w:val="22"/>
          <w:shd w:val="clear" w:color="auto" w:fill="FFFFFF"/>
        </w:rPr>
        <w:t>հատվածի</w:t>
      </w:r>
      <w:r>
        <w:rPr>
          <w:color w:val="000000"/>
          <w:szCs w:val="22"/>
          <w:shd w:val="clear" w:color="auto" w:fill="FFFFFF"/>
          <w:lang w:val="pt-BR"/>
        </w:rPr>
        <w:t xml:space="preserve"> </w:t>
      </w:r>
      <w:r>
        <w:rPr>
          <w:color w:val="000000"/>
          <w:szCs w:val="22"/>
          <w:shd w:val="clear" w:color="auto" w:fill="FFFFFF"/>
        </w:rPr>
        <w:t>միջև</w:t>
      </w:r>
      <w:r>
        <w:rPr>
          <w:color w:val="000000"/>
          <w:szCs w:val="22"/>
          <w:shd w:val="clear" w:color="auto" w:fill="FFFFFF"/>
          <w:lang w:val="pt-BR"/>
        </w:rPr>
        <w:t xml:space="preserve"> </w:t>
      </w:r>
      <w:r>
        <w:rPr>
          <w:color w:val="000000"/>
          <w:szCs w:val="22"/>
          <w:shd w:val="clear" w:color="auto" w:fill="FFFFFF"/>
        </w:rPr>
        <w:t>համագործակցությունը</w:t>
      </w:r>
      <w:r>
        <w:rPr>
          <w:color w:val="000000"/>
          <w:szCs w:val="22"/>
          <w:shd w:val="clear" w:color="auto" w:fill="FFFFFF"/>
          <w:lang w:val="pt-BR"/>
        </w:rPr>
        <w:t xml:space="preserve">, </w:t>
      </w:r>
      <w:r>
        <w:rPr>
          <w:color w:val="000000"/>
          <w:szCs w:val="22"/>
          <w:shd w:val="clear" w:color="auto" w:fill="FFFFFF"/>
        </w:rPr>
        <w:t>գիտական</w:t>
      </w:r>
      <w:r>
        <w:rPr>
          <w:color w:val="000000"/>
          <w:szCs w:val="22"/>
          <w:shd w:val="clear" w:color="auto" w:fill="FFFFFF"/>
          <w:lang w:val="pt-BR"/>
        </w:rPr>
        <w:t xml:space="preserve"> </w:t>
      </w:r>
      <w:r>
        <w:rPr>
          <w:color w:val="000000"/>
          <w:szCs w:val="22"/>
          <w:shd w:val="clear" w:color="auto" w:fill="FFFFFF"/>
        </w:rPr>
        <w:t>հետազոտությունների</w:t>
      </w:r>
      <w:r>
        <w:rPr>
          <w:color w:val="000000"/>
          <w:szCs w:val="22"/>
          <w:shd w:val="clear" w:color="auto" w:fill="FFFFFF"/>
          <w:lang w:val="pt-BR"/>
        </w:rPr>
        <w:t xml:space="preserve"> </w:t>
      </w:r>
      <w:r>
        <w:rPr>
          <w:color w:val="000000"/>
          <w:szCs w:val="22"/>
          <w:shd w:val="clear" w:color="auto" w:fill="FFFFFF"/>
        </w:rPr>
        <w:t>արդյունքների</w:t>
      </w:r>
      <w:r>
        <w:rPr>
          <w:color w:val="000000"/>
          <w:szCs w:val="22"/>
          <w:shd w:val="clear" w:color="auto" w:fill="FFFFFF"/>
          <w:lang w:val="pt-BR"/>
        </w:rPr>
        <w:t xml:space="preserve"> </w:t>
      </w:r>
      <w:r>
        <w:rPr>
          <w:color w:val="000000"/>
          <w:szCs w:val="22"/>
          <w:shd w:val="clear" w:color="auto" w:fill="FFFFFF"/>
        </w:rPr>
        <w:t>առևտրայնացումը</w:t>
      </w:r>
      <w:r>
        <w:rPr>
          <w:color w:val="000000"/>
          <w:szCs w:val="22"/>
          <w:shd w:val="clear" w:color="auto" w:fill="FFFFFF"/>
          <w:lang w:val="pt-BR"/>
        </w:rPr>
        <w:t xml:space="preserve">` </w:t>
      </w:r>
      <w:r>
        <w:rPr>
          <w:color w:val="000000"/>
          <w:szCs w:val="22"/>
          <w:shd w:val="clear" w:color="auto" w:fill="FFFFFF"/>
        </w:rPr>
        <w:t>դրամաշնորհային</w:t>
      </w:r>
      <w:r>
        <w:rPr>
          <w:color w:val="000000"/>
          <w:szCs w:val="22"/>
          <w:shd w:val="clear" w:color="auto" w:fill="FFFFFF"/>
          <w:lang w:val="pt-BR"/>
        </w:rPr>
        <w:t xml:space="preserve"> </w:t>
      </w:r>
      <w:r>
        <w:rPr>
          <w:color w:val="000000"/>
          <w:szCs w:val="22"/>
          <w:shd w:val="clear" w:color="auto" w:fill="FFFFFF"/>
        </w:rPr>
        <w:t>ծրագրերի</w:t>
      </w:r>
      <w:r>
        <w:rPr>
          <w:color w:val="000000"/>
          <w:szCs w:val="22"/>
          <w:shd w:val="clear" w:color="auto" w:fill="FFFFFF"/>
          <w:lang w:val="pt-BR"/>
        </w:rPr>
        <w:t xml:space="preserve"> </w:t>
      </w:r>
      <w:r>
        <w:rPr>
          <w:color w:val="000000"/>
          <w:szCs w:val="22"/>
          <w:shd w:val="clear" w:color="auto" w:fill="FFFFFF"/>
        </w:rPr>
        <w:t>իրագործման</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ներդրողների</w:t>
      </w:r>
      <w:r>
        <w:rPr>
          <w:color w:val="000000"/>
          <w:szCs w:val="22"/>
          <w:shd w:val="clear" w:color="auto" w:fill="FFFFFF"/>
          <w:lang w:val="pt-BR"/>
        </w:rPr>
        <w:t xml:space="preserve"> </w:t>
      </w:r>
      <w:r>
        <w:rPr>
          <w:color w:val="000000"/>
          <w:szCs w:val="22"/>
          <w:shd w:val="clear" w:color="auto" w:fill="FFFFFF"/>
        </w:rPr>
        <w:t>ներգրավման</w:t>
      </w:r>
      <w:r>
        <w:rPr>
          <w:color w:val="000000"/>
          <w:szCs w:val="22"/>
          <w:shd w:val="clear" w:color="auto" w:fill="FFFFFF"/>
          <w:lang w:val="pt-BR"/>
        </w:rPr>
        <w:t xml:space="preserve"> </w:t>
      </w:r>
      <w:r>
        <w:rPr>
          <w:color w:val="000000"/>
          <w:szCs w:val="22"/>
          <w:shd w:val="clear" w:color="auto" w:fill="FFFFFF"/>
        </w:rPr>
        <w:t>միջոցով</w:t>
      </w:r>
      <w:r>
        <w:rPr>
          <w:color w:val="000000"/>
          <w:szCs w:val="22"/>
          <w:shd w:val="clear" w:color="auto" w:fill="FFFFFF"/>
          <w:lang w:val="pt-BR"/>
        </w:rPr>
        <w:t>,</w:t>
      </w:r>
    </w:p>
    <w:p w14:paraId="6C579ED4" w14:textId="77777777" w:rsidR="00DA0E15" w:rsidRDefault="00362131" w:rsidP="00C0628C">
      <w:pPr>
        <w:pStyle w:val="NormalWeb"/>
        <w:numPr>
          <w:ilvl w:val="0"/>
          <w:numId w:val="22"/>
        </w:numPr>
        <w:spacing w:before="0" w:after="0" w:line="276" w:lineRule="auto"/>
        <w:ind w:left="0" w:firstLine="567"/>
        <w:rPr>
          <w:color w:val="000000"/>
          <w:szCs w:val="22"/>
          <w:shd w:val="clear" w:color="auto" w:fill="FFFFFF"/>
          <w:lang w:val="pt-BR"/>
        </w:rPr>
      </w:pPr>
      <w:r>
        <w:rPr>
          <w:color w:val="000000"/>
          <w:szCs w:val="22"/>
          <w:shd w:val="clear" w:color="auto" w:fill="FFFFFF"/>
        </w:rPr>
        <w:t>Ստարտափ</w:t>
      </w:r>
      <w:r>
        <w:rPr>
          <w:color w:val="000000"/>
          <w:szCs w:val="22"/>
          <w:shd w:val="clear" w:color="auto" w:fill="FFFFFF"/>
          <w:lang w:val="pt-BR"/>
        </w:rPr>
        <w:t xml:space="preserve"> </w:t>
      </w:r>
      <w:r>
        <w:rPr>
          <w:color w:val="000000"/>
          <w:szCs w:val="22"/>
          <w:shd w:val="clear" w:color="auto" w:fill="FFFFFF"/>
        </w:rPr>
        <w:t>էկոհամակարգի</w:t>
      </w:r>
      <w:r>
        <w:rPr>
          <w:color w:val="000000"/>
          <w:szCs w:val="22"/>
          <w:shd w:val="clear" w:color="auto" w:fill="FFFFFF"/>
          <w:lang w:val="pt-BR"/>
        </w:rPr>
        <w:t xml:space="preserve"> </w:t>
      </w:r>
      <w:r>
        <w:rPr>
          <w:color w:val="000000"/>
          <w:szCs w:val="22"/>
          <w:shd w:val="clear" w:color="auto" w:fill="FFFFFF"/>
        </w:rPr>
        <w:t>զարգացման</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միջազգային</w:t>
      </w:r>
      <w:r>
        <w:rPr>
          <w:color w:val="000000"/>
          <w:szCs w:val="22"/>
          <w:shd w:val="clear" w:color="auto" w:fill="FFFFFF"/>
          <w:lang w:val="pt-BR"/>
        </w:rPr>
        <w:t xml:space="preserve"> </w:t>
      </w:r>
      <w:r>
        <w:rPr>
          <w:color w:val="000000"/>
          <w:szCs w:val="22"/>
          <w:shd w:val="clear" w:color="auto" w:fill="FFFFFF"/>
        </w:rPr>
        <w:t>շուկաներում</w:t>
      </w:r>
      <w:r>
        <w:rPr>
          <w:color w:val="000000"/>
          <w:szCs w:val="22"/>
          <w:shd w:val="clear" w:color="auto" w:fill="FFFFFF"/>
          <w:lang w:val="pt-BR"/>
        </w:rPr>
        <w:t xml:space="preserve"> </w:t>
      </w:r>
      <w:r>
        <w:rPr>
          <w:color w:val="000000"/>
          <w:szCs w:val="22"/>
          <w:shd w:val="clear" w:color="auto" w:fill="FFFFFF"/>
        </w:rPr>
        <w:t>հայկական</w:t>
      </w:r>
      <w:r>
        <w:rPr>
          <w:color w:val="000000"/>
          <w:szCs w:val="22"/>
          <w:shd w:val="clear" w:color="auto" w:fill="FFFFFF"/>
          <w:lang w:val="pt-BR"/>
        </w:rPr>
        <w:t xml:space="preserve"> </w:t>
      </w:r>
      <w:r>
        <w:rPr>
          <w:color w:val="000000"/>
          <w:szCs w:val="22"/>
          <w:shd w:val="clear" w:color="auto" w:fill="FFFFFF"/>
        </w:rPr>
        <w:t>ընկերությունների</w:t>
      </w:r>
      <w:r>
        <w:rPr>
          <w:color w:val="000000"/>
          <w:szCs w:val="22"/>
          <w:shd w:val="clear" w:color="auto" w:fill="FFFFFF"/>
          <w:lang w:val="pt-BR"/>
        </w:rPr>
        <w:t xml:space="preserve"> </w:t>
      </w:r>
      <w:r>
        <w:rPr>
          <w:color w:val="000000"/>
          <w:szCs w:val="22"/>
          <w:shd w:val="clear" w:color="auto" w:fill="FFFFFF"/>
        </w:rPr>
        <w:t>առաջխաղացման</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ամրապնդման</w:t>
      </w:r>
      <w:r>
        <w:rPr>
          <w:color w:val="000000"/>
          <w:szCs w:val="22"/>
          <w:shd w:val="clear" w:color="auto" w:fill="FFFFFF"/>
          <w:lang w:val="pt-BR"/>
        </w:rPr>
        <w:t xml:space="preserve"> </w:t>
      </w:r>
      <w:r>
        <w:rPr>
          <w:color w:val="000000"/>
          <w:szCs w:val="22"/>
          <w:shd w:val="clear" w:color="auto" w:fill="FFFFFF"/>
        </w:rPr>
        <w:t>նպատակով</w:t>
      </w:r>
      <w:r>
        <w:rPr>
          <w:color w:val="000000"/>
          <w:szCs w:val="22"/>
          <w:shd w:val="clear" w:color="auto" w:fill="FFFFFF"/>
          <w:lang w:val="pt-BR"/>
        </w:rPr>
        <w:t xml:space="preserve"> </w:t>
      </w:r>
      <w:r>
        <w:rPr>
          <w:color w:val="000000"/>
          <w:szCs w:val="22"/>
          <w:shd w:val="clear" w:color="auto" w:fill="FFFFFF"/>
        </w:rPr>
        <w:t>օժանդակել</w:t>
      </w:r>
      <w:r>
        <w:rPr>
          <w:color w:val="000000"/>
          <w:szCs w:val="22"/>
          <w:shd w:val="clear" w:color="auto" w:fill="FFFFFF"/>
          <w:lang w:val="pt-BR"/>
        </w:rPr>
        <w:t xml:space="preserve"> </w:t>
      </w:r>
      <w:r>
        <w:rPr>
          <w:color w:val="000000"/>
          <w:szCs w:val="22"/>
          <w:shd w:val="clear" w:color="auto" w:fill="FFFFFF"/>
        </w:rPr>
        <w:t>ընկերություններին</w:t>
      </w:r>
      <w:r>
        <w:rPr>
          <w:color w:val="000000"/>
          <w:szCs w:val="22"/>
          <w:shd w:val="clear" w:color="auto" w:fill="FFFFFF"/>
          <w:lang w:val="pt-BR"/>
        </w:rPr>
        <w:t xml:space="preserve"> </w:t>
      </w:r>
      <w:r>
        <w:rPr>
          <w:color w:val="000000"/>
          <w:szCs w:val="22"/>
          <w:shd w:val="clear" w:color="auto" w:fill="FFFFFF"/>
        </w:rPr>
        <w:t>մասնակցել</w:t>
      </w:r>
      <w:r>
        <w:rPr>
          <w:color w:val="000000"/>
          <w:szCs w:val="22"/>
          <w:shd w:val="clear" w:color="auto" w:fill="FFFFFF"/>
          <w:lang w:val="pt-BR"/>
        </w:rPr>
        <w:t xml:space="preserve"> </w:t>
      </w:r>
      <w:r>
        <w:rPr>
          <w:color w:val="000000"/>
          <w:szCs w:val="22"/>
          <w:shd w:val="clear" w:color="auto" w:fill="FFFFFF"/>
        </w:rPr>
        <w:t>միջազգային</w:t>
      </w:r>
      <w:r>
        <w:rPr>
          <w:color w:val="000000"/>
          <w:szCs w:val="22"/>
          <w:shd w:val="clear" w:color="auto" w:fill="FFFFFF"/>
          <w:lang w:val="pt-BR"/>
        </w:rPr>
        <w:t xml:space="preserve"> </w:t>
      </w:r>
      <w:r>
        <w:rPr>
          <w:color w:val="000000"/>
          <w:szCs w:val="22"/>
          <w:shd w:val="clear" w:color="auto" w:fill="FFFFFF"/>
        </w:rPr>
        <w:t>հայտնի</w:t>
      </w:r>
      <w:r>
        <w:rPr>
          <w:color w:val="000000"/>
          <w:szCs w:val="22"/>
          <w:shd w:val="clear" w:color="auto" w:fill="FFFFFF"/>
          <w:lang w:val="pt-BR"/>
        </w:rPr>
        <w:t xml:space="preserve"> </w:t>
      </w:r>
      <w:r>
        <w:rPr>
          <w:color w:val="000000"/>
          <w:szCs w:val="22"/>
          <w:shd w:val="clear" w:color="auto" w:fill="FFFFFF"/>
        </w:rPr>
        <w:t>աքսելերացիոն</w:t>
      </w:r>
      <w:r>
        <w:rPr>
          <w:color w:val="000000"/>
          <w:szCs w:val="22"/>
          <w:shd w:val="clear" w:color="auto" w:fill="FFFFFF"/>
          <w:lang w:val="pt-BR"/>
        </w:rPr>
        <w:t xml:space="preserve"> </w:t>
      </w:r>
      <w:r>
        <w:rPr>
          <w:color w:val="000000"/>
          <w:szCs w:val="22"/>
          <w:shd w:val="clear" w:color="auto" w:fill="FFFFFF"/>
        </w:rPr>
        <w:t>կազմակերպությունների</w:t>
      </w:r>
      <w:r>
        <w:rPr>
          <w:color w:val="000000"/>
          <w:szCs w:val="22"/>
          <w:shd w:val="clear" w:color="auto" w:fill="FFFFFF"/>
          <w:lang w:val="pt-BR"/>
        </w:rPr>
        <w:t xml:space="preserve"> </w:t>
      </w:r>
      <w:r>
        <w:rPr>
          <w:color w:val="000000"/>
          <w:szCs w:val="22"/>
          <w:shd w:val="clear" w:color="auto" w:fill="FFFFFF"/>
        </w:rPr>
        <w:t>ուսուցողական</w:t>
      </w:r>
      <w:r>
        <w:rPr>
          <w:color w:val="000000"/>
          <w:szCs w:val="22"/>
          <w:shd w:val="clear" w:color="auto" w:fill="FFFFFF"/>
          <w:lang w:val="pt-BR"/>
        </w:rPr>
        <w:t xml:space="preserve"> </w:t>
      </w:r>
      <w:r>
        <w:rPr>
          <w:color w:val="000000"/>
          <w:szCs w:val="22"/>
          <w:shd w:val="clear" w:color="auto" w:fill="FFFFFF"/>
        </w:rPr>
        <w:t>ծրագրերին</w:t>
      </w:r>
      <w:r>
        <w:rPr>
          <w:color w:val="000000"/>
          <w:szCs w:val="22"/>
          <w:shd w:val="clear" w:color="auto" w:fill="FFFFFF"/>
          <w:lang w:val="pt-BR"/>
        </w:rPr>
        <w:t>,</w:t>
      </w:r>
    </w:p>
    <w:p w14:paraId="787526CB" w14:textId="77777777" w:rsidR="00DA0E15" w:rsidRDefault="00362131" w:rsidP="00C0628C">
      <w:pPr>
        <w:pStyle w:val="NormalWeb"/>
        <w:numPr>
          <w:ilvl w:val="0"/>
          <w:numId w:val="22"/>
        </w:numPr>
        <w:spacing w:before="0" w:after="0" w:line="276" w:lineRule="auto"/>
        <w:ind w:left="0" w:firstLine="567"/>
        <w:rPr>
          <w:color w:val="000000"/>
          <w:szCs w:val="22"/>
          <w:shd w:val="clear" w:color="auto" w:fill="FFFFFF"/>
          <w:lang w:val="pt-BR"/>
        </w:rPr>
      </w:pPr>
      <w:r>
        <w:rPr>
          <w:color w:val="000000"/>
          <w:szCs w:val="22"/>
          <w:shd w:val="clear" w:color="auto" w:fill="FFFFFF"/>
        </w:rPr>
        <w:t>Աջակցել</w:t>
      </w:r>
      <w:r>
        <w:rPr>
          <w:color w:val="000000"/>
          <w:szCs w:val="22"/>
          <w:shd w:val="clear" w:color="auto" w:fill="FFFFFF"/>
          <w:lang w:val="pt-BR"/>
        </w:rPr>
        <w:t xml:space="preserve"> </w:t>
      </w:r>
      <w:r>
        <w:rPr>
          <w:color w:val="000000"/>
          <w:szCs w:val="22"/>
          <w:shd w:val="clear" w:color="auto" w:fill="FFFFFF"/>
        </w:rPr>
        <w:t>միջազգային</w:t>
      </w:r>
      <w:r>
        <w:rPr>
          <w:color w:val="000000"/>
          <w:szCs w:val="22"/>
          <w:shd w:val="clear" w:color="auto" w:fill="FFFFFF"/>
          <w:lang w:val="pt-BR"/>
        </w:rPr>
        <w:t xml:space="preserve"> </w:t>
      </w:r>
      <w:r>
        <w:rPr>
          <w:color w:val="000000"/>
          <w:szCs w:val="22"/>
          <w:shd w:val="clear" w:color="auto" w:fill="FFFFFF"/>
        </w:rPr>
        <w:t>շուկաներում</w:t>
      </w:r>
      <w:r>
        <w:rPr>
          <w:color w:val="000000"/>
          <w:szCs w:val="22"/>
          <w:shd w:val="clear" w:color="auto" w:fill="FFFFFF"/>
          <w:lang w:val="pt-BR"/>
        </w:rPr>
        <w:t xml:space="preserve"> </w:t>
      </w:r>
      <w:r>
        <w:rPr>
          <w:color w:val="000000"/>
          <w:szCs w:val="22"/>
          <w:shd w:val="clear" w:color="auto" w:fill="FFFFFF"/>
        </w:rPr>
        <w:t>հայկական</w:t>
      </w:r>
      <w:r>
        <w:rPr>
          <w:color w:val="000000"/>
          <w:szCs w:val="22"/>
          <w:shd w:val="clear" w:color="auto" w:fill="FFFFFF"/>
          <w:lang w:val="pt-BR"/>
        </w:rPr>
        <w:t xml:space="preserve"> </w:t>
      </w:r>
      <w:r>
        <w:rPr>
          <w:color w:val="000000"/>
          <w:szCs w:val="22"/>
          <w:shd w:val="clear" w:color="auto" w:fill="FFFFFF"/>
        </w:rPr>
        <w:t>բարձր</w:t>
      </w:r>
      <w:r>
        <w:rPr>
          <w:color w:val="000000"/>
          <w:szCs w:val="22"/>
          <w:shd w:val="clear" w:color="auto" w:fill="FFFFFF"/>
          <w:lang w:val="pt-BR"/>
        </w:rPr>
        <w:t xml:space="preserve"> </w:t>
      </w:r>
      <w:r>
        <w:rPr>
          <w:color w:val="000000"/>
          <w:szCs w:val="22"/>
          <w:shd w:val="clear" w:color="auto" w:fill="FFFFFF"/>
        </w:rPr>
        <w:t>տեխնոլոգիական</w:t>
      </w:r>
      <w:r>
        <w:rPr>
          <w:color w:val="000000"/>
          <w:szCs w:val="22"/>
          <w:shd w:val="clear" w:color="auto" w:fill="FFFFFF"/>
          <w:lang w:val="pt-BR"/>
        </w:rPr>
        <w:t xml:space="preserve"> </w:t>
      </w:r>
      <w:r>
        <w:rPr>
          <w:color w:val="000000"/>
          <w:szCs w:val="22"/>
          <w:shd w:val="clear" w:color="auto" w:fill="FFFFFF"/>
        </w:rPr>
        <w:t>ընկերությունների</w:t>
      </w:r>
      <w:r>
        <w:rPr>
          <w:color w:val="000000"/>
          <w:szCs w:val="22"/>
          <w:shd w:val="clear" w:color="auto" w:fill="FFFFFF"/>
          <w:lang w:val="pt-BR"/>
        </w:rPr>
        <w:t xml:space="preserve">, </w:t>
      </w:r>
      <w:r>
        <w:rPr>
          <w:color w:val="000000"/>
          <w:szCs w:val="22"/>
          <w:shd w:val="clear" w:color="auto" w:fill="FFFFFF"/>
        </w:rPr>
        <w:t>նրանց</w:t>
      </w:r>
      <w:r>
        <w:rPr>
          <w:color w:val="000000"/>
          <w:szCs w:val="22"/>
          <w:shd w:val="clear" w:color="auto" w:fill="FFFFFF"/>
          <w:lang w:val="pt-BR"/>
        </w:rPr>
        <w:t xml:space="preserve"> </w:t>
      </w:r>
      <w:r>
        <w:rPr>
          <w:color w:val="000000"/>
          <w:szCs w:val="22"/>
          <w:shd w:val="clear" w:color="auto" w:fill="FFFFFF"/>
        </w:rPr>
        <w:t>ստեղծած</w:t>
      </w:r>
      <w:r>
        <w:rPr>
          <w:color w:val="000000"/>
          <w:szCs w:val="22"/>
          <w:shd w:val="clear" w:color="auto" w:fill="FFFFFF"/>
          <w:lang w:val="pt-BR"/>
        </w:rPr>
        <w:t xml:space="preserve"> </w:t>
      </w:r>
      <w:r>
        <w:rPr>
          <w:color w:val="000000"/>
          <w:szCs w:val="22"/>
          <w:shd w:val="clear" w:color="auto" w:fill="FFFFFF"/>
        </w:rPr>
        <w:t>արտադրանքի</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ծառայությունների</w:t>
      </w:r>
      <w:r>
        <w:rPr>
          <w:color w:val="000000"/>
          <w:szCs w:val="22"/>
          <w:shd w:val="clear" w:color="auto" w:fill="FFFFFF"/>
          <w:lang w:val="pt-BR"/>
        </w:rPr>
        <w:t xml:space="preserve"> </w:t>
      </w:r>
      <w:r>
        <w:rPr>
          <w:color w:val="000000"/>
          <w:szCs w:val="22"/>
          <w:shd w:val="clear" w:color="auto" w:fill="FFFFFF"/>
        </w:rPr>
        <w:t>պատշաճ</w:t>
      </w:r>
      <w:r>
        <w:rPr>
          <w:color w:val="000000"/>
          <w:szCs w:val="22"/>
          <w:shd w:val="clear" w:color="auto" w:fill="FFFFFF"/>
          <w:lang w:val="pt-BR"/>
        </w:rPr>
        <w:t xml:space="preserve"> </w:t>
      </w:r>
      <w:r>
        <w:rPr>
          <w:color w:val="000000"/>
          <w:szCs w:val="22"/>
          <w:shd w:val="clear" w:color="auto" w:fill="FFFFFF"/>
        </w:rPr>
        <w:t>ներկայացմանը</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միջազգային</w:t>
      </w:r>
      <w:r>
        <w:rPr>
          <w:color w:val="000000"/>
          <w:szCs w:val="22"/>
          <w:shd w:val="clear" w:color="auto" w:fill="FFFFFF"/>
          <w:lang w:val="pt-BR"/>
        </w:rPr>
        <w:t xml:space="preserve"> </w:t>
      </w:r>
      <w:r>
        <w:rPr>
          <w:color w:val="000000"/>
          <w:szCs w:val="22"/>
          <w:shd w:val="clear" w:color="auto" w:fill="FFFFFF"/>
        </w:rPr>
        <w:t>համագործակցության</w:t>
      </w:r>
      <w:r>
        <w:rPr>
          <w:color w:val="000000"/>
          <w:szCs w:val="22"/>
          <w:shd w:val="clear" w:color="auto" w:fill="FFFFFF"/>
          <w:lang w:val="pt-BR"/>
        </w:rPr>
        <w:t xml:space="preserve"> </w:t>
      </w:r>
      <w:r>
        <w:rPr>
          <w:color w:val="000000"/>
          <w:szCs w:val="22"/>
          <w:shd w:val="clear" w:color="auto" w:fill="FFFFFF"/>
        </w:rPr>
        <w:t>պլատֆորմների</w:t>
      </w:r>
      <w:r>
        <w:rPr>
          <w:color w:val="000000"/>
          <w:szCs w:val="22"/>
          <w:shd w:val="clear" w:color="auto" w:fill="FFFFFF"/>
          <w:lang w:val="pt-BR"/>
        </w:rPr>
        <w:t xml:space="preserve"> </w:t>
      </w:r>
      <w:r>
        <w:rPr>
          <w:color w:val="000000"/>
          <w:szCs w:val="22"/>
          <w:shd w:val="clear" w:color="auto" w:fill="FFFFFF"/>
        </w:rPr>
        <w:t>զարգացմանը</w:t>
      </w:r>
      <w:r>
        <w:rPr>
          <w:color w:val="000000"/>
          <w:szCs w:val="22"/>
          <w:shd w:val="clear" w:color="auto" w:fill="FFFFFF"/>
          <w:lang w:val="pt-BR"/>
        </w:rPr>
        <w:t>,</w:t>
      </w:r>
    </w:p>
    <w:p w14:paraId="415E3CA5" w14:textId="77777777" w:rsidR="00DA0E15" w:rsidRDefault="00362131" w:rsidP="00C0628C">
      <w:pPr>
        <w:pStyle w:val="NormalWeb"/>
        <w:numPr>
          <w:ilvl w:val="0"/>
          <w:numId w:val="22"/>
        </w:numPr>
        <w:spacing w:before="0" w:after="0" w:line="276" w:lineRule="auto"/>
        <w:ind w:left="0" w:firstLine="567"/>
        <w:rPr>
          <w:color w:val="000000"/>
          <w:szCs w:val="22"/>
          <w:shd w:val="clear" w:color="auto" w:fill="FFFFFF"/>
          <w:lang w:val="pt-BR"/>
        </w:rPr>
      </w:pPr>
      <w:r>
        <w:rPr>
          <w:color w:val="000000"/>
          <w:szCs w:val="22"/>
          <w:shd w:val="clear" w:color="auto" w:fill="FFFFFF"/>
        </w:rPr>
        <w:t>ՀՀ</w:t>
      </w:r>
      <w:r>
        <w:rPr>
          <w:color w:val="000000"/>
          <w:szCs w:val="22"/>
          <w:shd w:val="clear" w:color="auto" w:fill="FFFFFF"/>
          <w:lang w:val="pt-BR"/>
        </w:rPr>
        <w:t xml:space="preserve"> </w:t>
      </w:r>
      <w:r>
        <w:rPr>
          <w:color w:val="000000"/>
          <w:szCs w:val="22"/>
          <w:shd w:val="clear" w:color="auto" w:fill="FFFFFF"/>
        </w:rPr>
        <w:t>մարզերի</w:t>
      </w:r>
      <w:r>
        <w:rPr>
          <w:color w:val="000000"/>
          <w:szCs w:val="22"/>
          <w:shd w:val="clear" w:color="auto" w:fill="FFFFFF"/>
          <w:lang w:val="pt-BR"/>
        </w:rPr>
        <w:t xml:space="preserve"> </w:t>
      </w:r>
      <w:r>
        <w:rPr>
          <w:color w:val="000000"/>
          <w:szCs w:val="22"/>
          <w:shd w:val="clear" w:color="auto" w:fill="FFFFFF"/>
        </w:rPr>
        <w:t>համահարթ</w:t>
      </w:r>
      <w:r>
        <w:rPr>
          <w:color w:val="000000"/>
          <w:szCs w:val="22"/>
          <w:shd w:val="clear" w:color="auto" w:fill="FFFFFF"/>
          <w:lang w:val="pt-BR"/>
        </w:rPr>
        <w:t xml:space="preserve"> </w:t>
      </w:r>
      <w:r>
        <w:rPr>
          <w:color w:val="000000"/>
          <w:szCs w:val="22"/>
          <w:shd w:val="clear" w:color="auto" w:fill="FFFFFF"/>
        </w:rPr>
        <w:t>զարգացման</w:t>
      </w:r>
      <w:r>
        <w:rPr>
          <w:color w:val="000000"/>
          <w:szCs w:val="22"/>
          <w:shd w:val="clear" w:color="auto" w:fill="FFFFFF"/>
          <w:lang w:val="pt-BR"/>
        </w:rPr>
        <w:t xml:space="preserve"> </w:t>
      </w:r>
      <w:r>
        <w:rPr>
          <w:color w:val="000000"/>
          <w:szCs w:val="22"/>
          <w:shd w:val="clear" w:color="auto" w:fill="FFFFFF"/>
        </w:rPr>
        <w:t>նպատակով</w:t>
      </w:r>
      <w:r>
        <w:rPr>
          <w:color w:val="000000"/>
          <w:szCs w:val="22"/>
          <w:shd w:val="clear" w:color="auto" w:fill="FFFFFF"/>
          <w:lang w:val="pt-BR"/>
        </w:rPr>
        <w:t xml:space="preserve"> </w:t>
      </w:r>
      <w:r>
        <w:rPr>
          <w:color w:val="000000"/>
          <w:szCs w:val="22"/>
          <w:shd w:val="clear" w:color="auto" w:fill="FFFFFF"/>
        </w:rPr>
        <w:t>խթանել</w:t>
      </w:r>
      <w:r>
        <w:rPr>
          <w:color w:val="000000"/>
          <w:szCs w:val="22"/>
          <w:shd w:val="clear" w:color="auto" w:fill="FFFFFF"/>
          <w:lang w:val="pt-BR"/>
        </w:rPr>
        <w:t xml:space="preserve"> </w:t>
      </w:r>
      <w:r>
        <w:rPr>
          <w:color w:val="000000"/>
          <w:szCs w:val="22"/>
          <w:shd w:val="clear" w:color="auto" w:fill="FFFFFF"/>
        </w:rPr>
        <w:t>մարզերում</w:t>
      </w:r>
      <w:r>
        <w:rPr>
          <w:color w:val="000000"/>
          <w:szCs w:val="22"/>
          <w:shd w:val="clear" w:color="auto" w:fill="FFFFFF"/>
          <w:lang w:val="pt-BR"/>
        </w:rPr>
        <w:t xml:space="preserve"> </w:t>
      </w:r>
      <w:r>
        <w:rPr>
          <w:color w:val="000000"/>
          <w:szCs w:val="22"/>
          <w:shd w:val="clear" w:color="auto" w:fill="FFFFFF"/>
        </w:rPr>
        <w:t>ժամանակակից</w:t>
      </w:r>
      <w:r>
        <w:rPr>
          <w:color w:val="000000"/>
          <w:szCs w:val="22"/>
          <w:shd w:val="clear" w:color="auto" w:fill="FFFFFF"/>
          <w:lang w:val="pt-BR"/>
        </w:rPr>
        <w:t xml:space="preserve"> </w:t>
      </w:r>
      <w:r>
        <w:rPr>
          <w:color w:val="000000"/>
          <w:szCs w:val="22"/>
          <w:shd w:val="clear" w:color="auto" w:fill="FFFFFF"/>
        </w:rPr>
        <w:t>հագեցած</w:t>
      </w:r>
      <w:r>
        <w:rPr>
          <w:color w:val="000000"/>
          <w:szCs w:val="22"/>
          <w:shd w:val="clear" w:color="auto" w:fill="FFFFFF"/>
          <w:lang w:val="pt-BR"/>
        </w:rPr>
        <w:t xml:space="preserve"> </w:t>
      </w:r>
      <w:r>
        <w:rPr>
          <w:color w:val="000000"/>
          <w:szCs w:val="22"/>
          <w:shd w:val="clear" w:color="auto" w:fill="FFFFFF"/>
        </w:rPr>
        <w:t>տեխնոլոգիական</w:t>
      </w:r>
      <w:r>
        <w:rPr>
          <w:color w:val="000000"/>
          <w:szCs w:val="22"/>
          <w:shd w:val="clear" w:color="auto" w:fill="FFFFFF"/>
          <w:lang w:val="pt-BR"/>
        </w:rPr>
        <w:t xml:space="preserve"> </w:t>
      </w:r>
      <w:r>
        <w:rPr>
          <w:color w:val="000000"/>
          <w:szCs w:val="22"/>
          <w:shd w:val="clear" w:color="auto" w:fill="FFFFFF"/>
        </w:rPr>
        <w:t>կենտրոնների</w:t>
      </w:r>
      <w:r>
        <w:rPr>
          <w:color w:val="000000"/>
          <w:szCs w:val="22"/>
          <w:shd w:val="clear" w:color="auto" w:fill="FFFFFF"/>
          <w:lang w:val="pt-BR"/>
        </w:rPr>
        <w:t xml:space="preserve"> </w:t>
      </w:r>
      <w:r>
        <w:rPr>
          <w:color w:val="000000"/>
          <w:szCs w:val="22"/>
          <w:shd w:val="clear" w:color="auto" w:fill="FFFFFF"/>
        </w:rPr>
        <w:t>արդյունավետ</w:t>
      </w:r>
      <w:r>
        <w:rPr>
          <w:color w:val="000000"/>
          <w:szCs w:val="22"/>
          <w:shd w:val="clear" w:color="auto" w:fill="FFFFFF"/>
          <w:lang w:val="pt-BR"/>
        </w:rPr>
        <w:t xml:space="preserve"> </w:t>
      </w:r>
      <w:r>
        <w:rPr>
          <w:color w:val="000000"/>
          <w:szCs w:val="22"/>
          <w:shd w:val="clear" w:color="auto" w:fill="FFFFFF"/>
        </w:rPr>
        <w:t>գործունեությունը</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ձեռնարկել</w:t>
      </w:r>
      <w:r>
        <w:rPr>
          <w:color w:val="000000"/>
          <w:szCs w:val="22"/>
          <w:shd w:val="clear" w:color="auto" w:fill="FFFFFF"/>
          <w:lang w:val="pt-BR"/>
        </w:rPr>
        <w:t xml:space="preserve"> </w:t>
      </w:r>
      <w:r>
        <w:rPr>
          <w:color w:val="000000"/>
          <w:szCs w:val="22"/>
          <w:shd w:val="clear" w:color="auto" w:fill="FFFFFF"/>
        </w:rPr>
        <w:t>միջոցներ</w:t>
      </w:r>
      <w:r>
        <w:rPr>
          <w:color w:val="000000"/>
          <w:szCs w:val="22"/>
          <w:shd w:val="clear" w:color="auto" w:fill="FFFFFF"/>
          <w:lang w:val="pt-BR"/>
        </w:rPr>
        <w:t xml:space="preserve"> </w:t>
      </w:r>
      <w:r>
        <w:rPr>
          <w:color w:val="000000"/>
          <w:szCs w:val="22"/>
          <w:shd w:val="clear" w:color="auto" w:fill="FFFFFF"/>
        </w:rPr>
        <w:t>հանրապետության</w:t>
      </w:r>
      <w:r>
        <w:rPr>
          <w:color w:val="000000"/>
          <w:szCs w:val="22"/>
          <w:shd w:val="clear" w:color="auto" w:fill="FFFFFF"/>
          <w:lang w:val="pt-BR"/>
        </w:rPr>
        <w:t xml:space="preserve"> </w:t>
      </w:r>
      <w:r>
        <w:rPr>
          <w:color w:val="000000"/>
          <w:szCs w:val="22"/>
          <w:shd w:val="clear" w:color="auto" w:fill="FFFFFF"/>
        </w:rPr>
        <w:t>տարածքում</w:t>
      </w:r>
      <w:r>
        <w:rPr>
          <w:color w:val="000000"/>
          <w:szCs w:val="22"/>
          <w:shd w:val="clear" w:color="auto" w:fill="FFFFFF"/>
          <w:lang w:val="pt-BR"/>
        </w:rPr>
        <w:t xml:space="preserve"> </w:t>
      </w:r>
      <w:r>
        <w:rPr>
          <w:color w:val="000000"/>
          <w:szCs w:val="22"/>
          <w:shd w:val="clear" w:color="auto" w:fill="FFFFFF"/>
        </w:rPr>
        <w:t>նոր</w:t>
      </w:r>
      <w:r>
        <w:rPr>
          <w:color w:val="000000"/>
          <w:szCs w:val="22"/>
          <w:shd w:val="clear" w:color="auto" w:fill="FFFFFF"/>
          <w:lang w:val="pt-BR"/>
        </w:rPr>
        <w:t xml:space="preserve"> </w:t>
      </w:r>
      <w:r>
        <w:rPr>
          <w:color w:val="000000"/>
          <w:szCs w:val="22"/>
          <w:shd w:val="clear" w:color="auto" w:fill="FFFFFF"/>
        </w:rPr>
        <w:t>կենտրոնների</w:t>
      </w:r>
      <w:r>
        <w:rPr>
          <w:color w:val="000000"/>
          <w:szCs w:val="22"/>
          <w:shd w:val="clear" w:color="auto" w:fill="FFFFFF"/>
          <w:lang w:val="pt-BR"/>
        </w:rPr>
        <w:t xml:space="preserve"> </w:t>
      </w:r>
      <w:r>
        <w:rPr>
          <w:color w:val="000000"/>
          <w:szCs w:val="22"/>
          <w:shd w:val="clear" w:color="auto" w:fill="FFFFFF"/>
        </w:rPr>
        <w:t>ստեղծման</w:t>
      </w:r>
      <w:r>
        <w:rPr>
          <w:color w:val="000000"/>
          <w:szCs w:val="22"/>
          <w:shd w:val="clear" w:color="auto" w:fill="FFFFFF"/>
          <w:lang w:val="pt-BR"/>
        </w:rPr>
        <w:t xml:space="preserve"> </w:t>
      </w:r>
      <w:r>
        <w:rPr>
          <w:color w:val="000000"/>
          <w:szCs w:val="22"/>
          <w:shd w:val="clear" w:color="auto" w:fill="FFFFFF"/>
        </w:rPr>
        <w:t>ուղղությամբ</w:t>
      </w:r>
      <w:r>
        <w:rPr>
          <w:color w:val="000000"/>
          <w:szCs w:val="22"/>
          <w:shd w:val="clear" w:color="auto" w:fill="FFFFFF"/>
          <w:lang w:val="pt-BR"/>
        </w:rPr>
        <w:t>,</w:t>
      </w:r>
    </w:p>
    <w:p w14:paraId="57496C5E" w14:textId="77777777" w:rsidR="00DA0E15" w:rsidRDefault="00362131" w:rsidP="00C0628C">
      <w:pPr>
        <w:pStyle w:val="NormalWeb"/>
        <w:numPr>
          <w:ilvl w:val="0"/>
          <w:numId w:val="22"/>
        </w:numPr>
        <w:spacing w:before="0" w:after="0" w:line="276" w:lineRule="auto"/>
        <w:ind w:left="0" w:firstLine="567"/>
        <w:rPr>
          <w:color w:val="000000"/>
          <w:szCs w:val="22"/>
          <w:shd w:val="clear" w:color="auto" w:fill="FFFFFF"/>
          <w:lang w:val="pt-BR"/>
        </w:rPr>
      </w:pPr>
      <w:r>
        <w:rPr>
          <w:color w:val="000000"/>
          <w:szCs w:val="22"/>
          <w:shd w:val="clear" w:color="auto" w:fill="FFFFFF"/>
        </w:rPr>
        <w:t>Նպաստավոր</w:t>
      </w:r>
      <w:r>
        <w:rPr>
          <w:color w:val="000000"/>
          <w:szCs w:val="22"/>
          <w:shd w:val="clear" w:color="auto" w:fill="FFFFFF"/>
          <w:lang w:val="pt-BR"/>
        </w:rPr>
        <w:t xml:space="preserve"> </w:t>
      </w:r>
      <w:r>
        <w:rPr>
          <w:color w:val="000000"/>
          <w:szCs w:val="22"/>
          <w:shd w:val="clear" w:color="auto" w:fill="FFFFFF"/>
        </w:rPr>
        <w:t>պայմաններ</w:t>
      </w:r>
      <w:r>
        <w:rPr>
          <w:color w:val="000000"/>
          <w:szCs w:val="22"/>
          <w:shd w:val="clear" w:color="auto" w:fill="FFFFFF"/>
          <w:lang w:val="pt-BR"/>
        </w:rPr>
        <w:t xml:space="preserve"> </w:t>
      </w:r>
      <w:r>
        <w:rPr>
          <w:color w:val="000000"/>
          <w:szCs w:val="22"/>
          <w:shd w:val="clear" w:color="auto" w:fill="FFFFFF"/>
        </w:rPr>
        <w:t>ստեղծել</w:t>
      </w:r>
      <w:r>
        <w:rPr>
          <w:color w:val="000000"/>
          <w:szCs w:val="22"/>
          <w:shd w:val="clear" w:color="auto" w:fill="FFFFFF"/>
          <w:lang w:val="pt-BR"/>
        </w:rPr>
        <w:t xml:space="preserve"> </w:t>
      </w:r>
      <w:r>
        <w:rPr>
          <w:color w:val="000000"/>
          <w:szCs w:val="22"/>
          <w:shd w:val="clear" w:color="auto" w:fill="FFFFFF"/>
        </w:rPr>
        <w:t>միջազգային</w:t>
      </w:r>
      <w:r>
        <w:rPr>
          <w:color w:val="000000"/>
          <w:szCs w:val="22"/>
          <w:shd w:val="clear" w:color="auto" w:fill="FFFFFF"/>
          <w:lang w:val="pt-BR"/>
        </w:rPr>
        <w:t xml:space="preserve"> </w:t>
      </w:r>
      <w:r>
        <w:rPr>
          <w:color w:val="000000"/>
          <w:szCs w:val="22"/>
          <w:shd w:val="clear" w:color="auto" w:fill="FFFFFF"/>
        </w:rPr>
        <w:t>բարձր</w:t>
      </w:r>
      <w:r>
        <w:rPr>
          <w:color w:val="000000"/>
          <w:szCs w:val="22"/>
          <w:shd w:val="clear" w:color="auto" w:fill="FFFFFF"/>
          <w:lang w:val="pt-BR"/>
        </w:rPr>
        <w:t xml:space="preserve"> </w:t>
      </w:r>
      <w:r>
        <w:rPr>
          <w:color w:val="000000"/>
          <w:szCs w:val="22"/>
          <w:shd w:val="clear" w:color="auto" w:fill="FFFFFF"/>
        </w:rPr>
        <w:t>տեխնոլոգիական</w:t>
      </w:r>
      <w:r>
        <w:rPr>
          <w:color w:val="000000"/>
          <w:szCs w:val="22"/>
          <w:shd w:val="clear" w:color="auto" w:fill="FFFFFF"/>
          <w:lang w:val="pt-BR"/>
        </w:rPr>
        <w:t xml:space="preserve"> </w:t>
      </w:r>
      <w:r>
        <w:rPr>
          <w:color w:val="000000"/>
          <w:szCs w:val="22"/>
          <w:shd w:val="clear" w:color="auto" w:fill="FFFFFF"/>
        </w:rPr>
        <w:t>ընկերությունների</w:t>
      </w:r>
      <w:r>
        <w:rPr>
          <w:color w:val="000000"/>
          <w:szCs w:val="22"/>
          <w:shd w:val="clear" w:color="auto" w:fill="FFFFFF"/>
          <w:lang w:val="pt-BR"/>
        </w:rPr>
        <w:t xml:space="preserve"> </w:t>
      </w:r>
      <w:r>
        <w:rPr>
          <w:color w:val="000000"/>
          <w:szCs w:val="22"/>
          <w:shd w:val="clear" w:color="auto" w:fill="FFFFFF"/>
        </w:rPr>
        <w:t>Հայաստան</w:t>
      </w:r>
      <w:r>
        <w:rPr>
          <w:color w:val="000000"/>
          <w:szCs w:val="22"/>
          <w:shd w:val="clear" w:color="auto" w:fill="FFFFFF"/>
          <w:lang w:val="pt-BR"/>
        </w:rPr>
        <w:t xml:space="preserve"> </w:t>
      </w:r>
      <w:r>
        <w:rPr>
          <w:color w:val="000000"/>
          <w:szCs w:val="22"/>
          <w:shd w:val="clear" w:color="auto" w:fill="FFFFFF"/>
        </w:rPr>
        <w:t>մուտքի</w:t>
      </w:r>
      <w:r>
        <w:rPr>
          <w:color w:val="000000"/>
          <w:szCs w:val="22"/>
          <w:shd w:val="clear" w:color="auto" w:fill="FFFFFF"/>
          <w:lang w:val="pt-BR"/>
        </w:rPr>
        <w:t xml:space="preserve"> </w:t>
      </w:r>
      <w:r>
        <w:rPr>
          <w:color w:val="000000"/>
          <w:szCs w:val="22"/>
          <w:shd w:val="clear" w:color="auto" w:fill="FFFFFF"/>
        </w:rPr>
        <w:t>համար՝</w:t>
      </w:r>
      <w:r>
        <w:rPr>
          <w:color w:val="000000"/>
          <w:szCs w:val="22"/>
          <w:shd w:val="clear" w:color="auto" w:fill="FFFFFF"/>
          <w:lang w:val="pt-BR"/>
        </w:rPr>
        <w:t xml:space="preserve"> </w:t>
      </w:r>
      <w:r>
        <w:rPr>
          <w:color w:val="000000"/>
          <w:szCs w:val="22"/>
          <w:shd w:val="clear" w:color="auto" w:fill="FFFFFF"/>
        </w:rPr>
        <w:t>գիտահետազոտական</w:t>
      </w:r>
      <w:r>
        <w:rPr>
          <w:color w:val="000000"/>
          <w:szCs w:val="22"/>
          <w:shd w:val="clear" w:color="auto" w:fill="FFFFFF"/>
          <w:lang w:val="pt-BR"/>
        </w:rPr>
        <w:t xml:space="preserve">, </w:t>
      </w:r>
      <w:r>
        <w:rPr>
          <w:color w:val="000000"/>
          <w:szCs w:val="22"/>
          <w:shd w:val="clear" w:color="auto" w:fill="FFFFFF"/>
        </w:rPr>
        <w:t>արտադրական</w:t>
      </w:r>
      <w:r>
        <w:rPr>
          <w:color w:val="000000"/>
          <w:szCs w:val="22"/>
          <w:shd w:val="clear" w:color="auto" w:fill="FFFFFF"/>
          <w:lang w:val="pt-BR"/>
        </w:rPr>
        <w:t xml:space="preserve"> </w:t>
      </w:r>
      <w:r>
        <w:rPr>
          <w:color w:val="000000"/>
          <w:szCs w:val="22"/>
          <w:shd w:val="clear" w:color="auto" w:fill="FFFFFF"/>
        </w:rPr>
        <w:t>և</w:t>
      </w:r>
      <w:r>
        <w:rPr>
          <w:color w:val="000000"/>
          <w:szCs w:val="22"/>
          <w:shd w:val="clear" w:color="auto" w:fill="FFFFFF"/>
          <w:lang w:val="pt-BR"/>
        </w:rPr>
        <w:t xml:space="preserve"> </w:t>
      </w:r>
      <w:r>
        <w:rPr>
          <w:color w:val="000000"/>
          <w:szCs w:val="22"/>
          <w:shd w:val="clear" w:color="auto" w:fill="FFFFFF"/>
        </w:rPr>
        <w:t>կրթական</w:t>
      </w:r>
      <w:r>
        <w:rPr>
          <w:color w:val="000000"/>
          <w:szCs w:val="22"/>
          <w:shd w:val="clear" w:color="auto" w:fill="FFFFFF"/>
          <w:lang w:val="pt-BR"/>
        </w:rPr>
        <w:t xml:space="preserve"> </w:t>
      </w:r>
      <w:r>
        <w:rPr>
          <w:color w:val="000000"/>
          <w:szCs w:val="22"/>
          <w:shd w:val="clear" w:color="auto" w:fill="FFFFFF"/>
        </w:rPr>
        <w:t>կենտրոններ</w:t>
      </w:r>
      <w:r>
        <w:rPr>
          <w:color w:val="000000"/>
          <w:szCs w:val="22"/>
          <w:shd w:val="clear" w:color="auto" w:fill="FFFFFF"/>
          <w:lang w:val="pt-BR"/>
        </w:rPr>
        <w:t xml:space="preserve"> </w:t>
      </w:r>
      <w:r>
        <w:rPr>
          <w:color w:val="000000"/>
          <w:szCs w:val="22"/>
          <w:shd w:val="clear" w:color="auto" w:fill="FFFFFF"/>
        </w:rPr>
        <w:t>հիմնելու</w:t>
      </w:r>
      <w:r>
        <w:rPr>
          <w:color w:val="000000"/>
          <w:szCs w:val="22"/>
          <w:shd w:val="clear" w:color="auto" w:fill="FFFFFF"/>
          <w:lang w:val="pt-BR"/>
        </w:rPr>
        <w:t xml:space="preserve"> </w:t>
      </w:r>
      <w:r>
        <w:rPr>
          <w:color w:val="000000"/>
          <w:szCs w:val="22"/>
          <w:shd w:val="clear" w:color="auto" w:fill="FFFFFF"/>
        </w:rPr>
        <w:t>նպատակով</w:t>
      </w:r>
      <w:r>
        <w:rPr>
          <w:color w:val="000000"/>
          <w:szCs w:val="22"/>
          <w:shd w:val="clear" w:color="auto" w:fill="FFFFFF"/>
          <w:lang w:val="hy-AM"/>
        </w:rPr>
        <w:t>:</w:t>
      </w:r>
    </w:p>
    <w:p w14:paraId="36CF379A" w14:textId="77777777" w:rsidR="00DA0E15" w:rsidRDefault="00DA0E15">
      <w:pPr>
        <w:spacing w:after="0" w:line="276" w:lineRule="auto"/>
        <w:ind w:firstLine="562"/>
        <w:rPr>
          <w:b/>
          <w:bCs/>
          <w:color w:val="000000"/>
          <w:lang w:val="hy-AM"/>
        </w:rPr>
      </w:pPr>
    </w:p>
    <w:p w14:paraId="4694E689" w14:textId="77777777" w:rsidR="00DA0E15" w:rsidRDefault="00362131">
      <w:pPr>
        <w:spacing w:after="0" w:line="276" w:lineRule="auto"/>
        <w:ind w:firstLine="562"/>
        <w:rPr>
          <w:b/>
          <w:bCs/>
          <w:color w:val="000000"/>
          <w:lang w:val="hy-AM"/>
        </w:rPr>
      </w:pPr>
      <w:r>
        <w:rPr>
          <w:b/>
          <w:bCs/>
          <w:color w:val="000000"/>
          <w:lang w:val="hy-AM"/>
        </w:rPr>
        <w:t xml:space="preserve">ՈԼՈՐՏԱՅԻՆ ԾԱԽՍԱՅԻՆ ԾՐԱԳՐԵՐԸ </w:t>
      </w:r>
    </w:p>
    <w:p w14:paraId="595CFC92" w14:textId="77777777" w:rsidR="00DA0E15" w:rsidRDefault="00362131" w:rsidP="00C0628C">
      <w:pPr>
        <w:pStyle w:val="ListParagraph"/>
        <w:numPr>
          <w:ilvl w:val="0"/>
          <w:numId w:val="23"/>
        </w:numPr>
        <w:spacing w:before="0" w:after="0" w:line="276" w:lineRule="auto"/>
        <w:ind w:left="0" w:firstLine="567"/>
        <w:rPr>
          <w:b/>
          <w:bCs/>
          <w:color w:val="000000"/>
          <w:lang w:val="hy-AM"/>
        </w:rPr>
      </w:pPr>
      <w:r>
        <w:rPr>
          <w:rFonts w:cs="Sylfaen"/>
          <w:lang w:val="hy-AM"/>
        </w:rPr>
        <w:t>«</w:t>
      </w:r>
      <w:r>
        <w:rPr>
          <w:b/>
          <w:bCs/>
          <w:color w:val="000000"/>
          <w:lang w:val="hy-AM"/>
        </w:rPr>
        <w:t>Բարձր տեխնոլոգիական արդյունաբերության էկոհամակարգի և շուկայի զարգացման ծրագիր</w:t>
      </w:r>
      <w:r>
        <w:rPr>
          <w:rFonts w:cs="Arial"/>
          <w:lang w:val="hy-AM"/>
        </w:rPr>
        <w:t>»</w:t>
      </w:r>
      <w:r>
        <w:rPr>
          <w:b/>
          <w:bCs/>
          <w:color w:val="000000"/>
          <w:lang w:val="hy-AM"/>
        </w:rPr>
        <w:t>.</w:t>
      </w:r>
    </w:p>
    <w:p w14:paraId="5F524EF8" w14:textId="77777777" w:rsidR="00DA0E15" w:rsidRDefault="00362131">
      <w:pPr>
        <w:spacing w:after="0" w:line="276" w:lineRule="auto"/>
        <w:ind w:firstLine="562"/>
        <w:rPr>
          <w:rFonts w:cs="Tahoma"/>
          <w:lang w:val="hy-AM"/>
        </w:rPr>
      </w:pPr>
      <w:r>
        <w:rPr>
          <w:bCs/>
          <w:color w:val="000000"/>
          <w:lang w:val="hy-AM"/>
        </w:rPr>
        <w:t xml:space="preserve">Ծրագրի նպատակն է Բարձր տեխնոլոգիաների ենթակառուցվածքների բարելավումը, որի շրջանակներում </w:t>
      </w:r>
      <w:r>
        <w:rPr>
          <w:rFonts w:cs="Arial"/>
          <w:lang w:val="hy-AM"/>
        </w:rPr>
        <w:t xml:space="preserve">նախատեսվում է աջակցել ոլորտի կազմակերպություններին և անհատներին ստանալ որակյալ կրթություն՝ ձեռներեցության, կառավարման, վաճառքի և մարկետինգի ոլորտներում՝ համապատասխան տեղական և միջազգային ծրագրերով; </w:t>
      </w:r>
      <w:r>
        <w:rPr>
          <w:lang w:val="hy-AM"/>
        </w:rPr>
        <w:t xml:space="preserve">դրամաշնորհներ տրամադրել գիտահետազոտական և փորձարարական խմբերին, ստարտափերին, տեխնոլոգիական ոլորտի կազմակերպություններին՝ անհրաժեշտ թեմաների շուրջ աշխատանքներ իրականացնելու համար; </w:t>
      </w:r>
      <w:r>
        <w:rPr>
          <w:rFonts w:cs="Arial"/>
          <w:lang w:val="hy-AM"/>
        </w:rPr>
        <w:t>ՀՀ կառավարության 2020 թվականի մարտի 2-ի N 297-Լ որոշմամբ հաստատված «Հայկական վիրտուալ կամուրջ» ծրագրով սահմանված նպատակների շրջանակներում իրականացնել ձեռներեցների վերապատրաստման դասընթացներ, հիմնել «Հայաստան տարածաշրջանային տեխնոլոգիական հաբ» տեխնոլոգիական ընկերությունների հայաստանյան մասնաճյուղ՝ այդ</w:t>
      </w:r>
      <w:r>
        <w:rPr>
          <w:rFonts w:cs="Calibri"/>
          <w:lang w:val="hy-AM"/>
        </w:rPr>
        <w:t xml:space="preserve"> </w:t>
      </w:r>
      <w:r>
        <w:rPr>
          <w:rFonts w:cs="Arial"/>
          <w:lang w:val="hy-AM"/>
        </w:rPr>
        <w:t xml:space="preserve">ընկերությունների համար իրականացնել միջազգային աքսելերացիոն ծրագրեր, մարզերում կազմակերպել </w:t>
      </w:r>
      <w:r>
        <w:rPr>
          <w:rFonts w:cs="Calibri"/>
          <w:lang w:val="hy-AM"/>
        </w:rPr>
        <w:t>մ</w:t>
      </w:r>
      <w:r>
        <w:rPr>
          <w:rFonts w:cs="Arial"/>
          <w:lang w:val="hy-AM"/>
        </w:rPr>
        <w:t xml:space="preserve">ասնագիտական վերապատրաստման դասընթացներ; </w:t>
      </w:r>
      <w:r>
        <w:rPr>
          <w:rFonts w:cs="Tahoma"/>
          <w:lang w:val="hy-AM"/>
        </w:rPr>
        <w:t xml:space="preserve">խթանել </w:t>
      </w:r>
      <w:r>
        <w:rPr>
          <w:lang w:val="hy-AM"/>
        </w:rPr>
        <w:t xml:space="preserve">հայկական ընկերությունների՝ ցուցահանդեսներին, սեմինարներին, երկկողմ գործարար ֆորումներին </w:t>
      </w:r>
      <w:r>
        <w:rPr>
          <w:rFonts w:cs="Tahoma"/>
          <w:lang w:val="hy-AM"/>
        </w:rPr>
        <w:t>և այլ միջոցառումներին մասնակցելը, վերջիններս հնարավորություն ստանալով ներկայացնել իրենց արտադրանքը, ծառայությունները և դուրս գալ միջազգային շուկա։</w:t>
      </w:r>
    </w:p>
    <w:p w14:paraId="73AC6971" w14:textId="77777777" w:rsidR="00DA0E15" w:rsidRDefault="00362131">
      <w:pPr>
        <w:spacing w:after="0" w:line="276" w:lineRule="auto"/>
        <w:ind w:firstLine="562"/>
        <w:rPr>
          <w:rFonts w:eastAsia="Times New Roman" w:cs="Calibri"/>
          <w:color w:val="000000"/>
          <w:sz w:val="18"/>
          <w:szCs w:val="18"/>
          <w:lang w:val="hy-AM"/>
        </w:rPr>
      </w:pPr>
      <w:r>
        <w:rPr>
          <w:rFonts w:cs="Tahoma"/>
          <w:lang w:val="hy-AM"/>
        </w:rPr>
        <w:t>Ծրագրի համար 2022-2024թթ. յուրաքանչյուր տարի նախատեսվում է հատկացնել համապատասխանաբար՝ 1,915.4 մլն դրամ, 1,878.4 մլն դրամ և 1,798.4 մլն դրամ:</w:t>
      </w:r>
    </w:p>
    <w:p w14:paraId="3855FCBA" w14:textId="77777777" w:rsidR="00DA0E15" w:rsidRDefault="00DA0E15">
      <w:pPr>
        <w:spacing w:after="0" w:line="276" w:lineRule="auto"/>
        <w:ind w:firstLine="562"/>
        <w:rPr>
          <w:rFonts w:cs="Tahoma"/>
          <w:lang w:val="hy-AM"/>
        </w:rPr>
      </w:pPr>
    </w:p>
    <w:p w14:paraId="55CD3BF8" w14:textId="77777777" w:rsidR="00DA0E15" w:rsidRDefault="00362131" w:rsidP="00C0628C">
      <w:pPr>
        <w:pStyle w:val="ListParagraph"/>
        <w:numPr>
          <w:ilvl w:val="0"/>
          <w:numId w:val="23"/>
        </w:numPr>
        <w:spacing w:before="0" w:after="0" w:line="276" w:lineRule="auto"/>
        <w:ind w:left="0" w:firstLine="567"/>
        <w:rPr>
          <w:rFonts w:cs="Tahoma"/>
          <w:b/>
          <w:lang w:val="hy-AM"/>
        </w:rPr>
      </w:pPr>
      <w:r>
        <w:rPr>
          <w:rFonts w:cs="Sylfaen"/>
          <w:lang w:val="hy-AM"/>
        </w:rPr>
        <w:t>«</w:t>
      </w:r>
      <w:r>
        <w:rPr>
          <w:rFonts w:cs="Tahoma"/>
          <w:b/>
          <w:lang w:val="hy-AM"/>
        </w:rPr>
        <w:t>Բարձր տեխնոլոգիական արդյունաբերության բնագավառում պետական քաղաքականության մշակում, ծրագրերի համակարգում և մոնիտորինգ</w:t>
      </w:r>
      <w:r>
        <w:rPr>
          <w:rFonts w:cs="Arial"/>
          <w:lang w:val="hy-AM"/>
        </w:rPr>
        <w:t xml:space="preserve">» </w:t>
      </w:r>
      <w:r>
        <w:rPr>
          <w:rFonts w:cs="Arial"/>
          <w:b/>
          <w:lang w:val="hy-AM"/>
        </w:rPr>
        <w:t>ծրագիր.</w:t>
      </w:r>
    </w:p>
    <w:p w14:paraId="3D826F1D" w14:textId="77777777" w:rsidR="00DA0E15" w:rsidRDefault="00362131">
      <w:pPr>
        <w:spacing w:after="0" w:line="276" w:lineRule="auto"/>
        <w:ind w:firstLine="562"/>
        <w:rPr>
          <w:rFonts w:eastAsia="Times New Roman" w:cs="Calibri"/>
          <w:color w:val="000000"/>
          <w:sz w:val="18"/>
          <w:szCs w:val="18"/>
          <w:lang w:val="hy-AM"/>
        </w:rPr>
      </w:pPr>
      <w:r>
        <w:rPr>
          <w:rFonts w:cs="Tahoma"/>
          <w:lang w:val="hy-AM"/>
        </w:rPr>
        <w:t>Ծրագրի նպատակն է բարձր տեխնոլոգիաների, ռազմարդյունաբերության, թվայնացման, կիբեռանվտանգության, ինովացիոն տեխնոլոգիաների, կապի, փոստի, համացանցի և տիեզերական  բնագավառներում պետական քաղաքականության մշակումը,  ծրագրերի համակարգումն ու մոնիտորինգը:</w:t>
      </w:r>
      <w:r>
        <w:rPr>
          <w:rFonts w:cs="Tahoma"/>
          <w:lang w:val="hy-AM"/>
        </w:rPr>
        <w:cr/>
        <w:t xml:space="preserve"> </w:t>
      </w:r>
      <w:r>
        <w:rPr>
          <w:rFonts w:cs="Tahoma"/>
          <w:lang w:val="hy-AM"/>
        </w:rPr>
        <w:tab/>
        <w:t>Վերը նշված նպատակի համար 2022-2024թթ. նախատեսվում է հատկացնել համապատասխանաբար՝ 1,052.2 մլն դրամ, 1,062.2 մլն դրամ և 1,072.2 մլն դրամ:</w:t>
      </w:r>
    </w:p>
    <w:p w14:paraId="4FED7317" w14:textId="77777777" w:rsidR="00DA0E15" w:rsidRDefault="00DA0E15">
      <w:pPr>
        <w:spacing w:after="0" w:line="276" w:lineRule="auto"/>
        <w:ind w:firstLine="562"/>
        <w:rPr>
          <w:rFonts w:cs="Tahoma"/>
          <w:color w:val="FF0000"/>
          <w:lang w:val="hy-AM"/>
        </w:rPr>
      </w:pPr>
    </w:p>
    <w:p w14:paraId="6365251A" w14:textId="77777777" w:rsidR="00DA0E15" w:rsidRDefault="00362131" w:rsidP="00C0628C">
      <w:pPr>
        <w:pStyle w:val="ListParagraph"/>
        <w:numPr>
          <w:ilvl w:val="0"/>
          <w:numId w:val="23"/>
        </w:numPr>
        <w:spacing w:before="0" w:after="0" w:line="276" w:lineRule="auto"/>
        <w:ind w:left="0" w:firstLine="567"/>
        <w:jc w:val="left"/>
        <w:rPr>
          <w:rFonts w:cs="Sylfaen"/>
          <w:b/>
          <w:lang w:val="hy-AM"/>
        </w:rPr>
      </w:pPr>
      <w:r>
        <w:rPr>
          <w:rFonts w:cs="Sylfaen"/>
          <w:lang w:val="hy-AM"/>
        </w:rPr>
        <w:t>«</w:t>
      </w:r>
      <w:r>
        <w:rPr>
          <w:rFonts w:cs="Sylfaen"/>
          <w:b/>
          <w:lang w:val="hy-AM"/>
        </w:rPr>
        <w:t>Պաշտպանության բնագավառում գիտական և գիտատեխնիկական նպատակային հետազոտություններ</w:t>
      </w:r>
      <w:r>
        <w:rPr>
          <w:rFonts w:cs="Arial"/>
          <w:lang w:val="hy-AM"/>
        </w:rPr>
        <w:t xml:space="preserve">» </w:t>
      </w:r>
      <w:r>
        <w:rPr>
          <w:rFonts w:cs="Arial"/>
          <w:b/>
          <w:lang w:val="hy-AM"/>
        </w:rPr>
        <w:t>ծրագիր.</w:t>
      </w:r>
      <w:r>
        <w:rPr>
          <w:rFonts w:cs="Sylfaen"/>
          <w:lang w:val="hy-AM"/>
        </w:rPr>
        <w:t xml:space="preserve"> </w:t>
      </w:r>
    </w:p>
    <w:p w14:paraId="3A4D37ED" w14:textId="77777777" w:rsidR="00DA0E15" w:rsidRDefault="00362131">
      <w:pPr>
        <w:spacing w:after="0" w:line="276" w:lineRule="auto"/>
        <w:ind w:firstLine="562"/>
        <w:rPr>
          <w:rFonts w:cs="Sylfaen"/>
          <w:lang w:val="hy-AM"/>
        </w:rPr>
      </w:pPr>
      <w:r>
        <w:rPr>
          <w:rFonts w:cs="Sylfaen"/>
          <w:lang w:val="hy-AM"/>
        </w:rPr>
        <w:t xml:space="preserve">Ծրագրի նպատակն է նպաստել ՀՀ պաշտպանության և անվտանգության համակարգերի զարգացմանը, որի շրջանակներում նախատեսվում է պաշտպանության համակարգի ապահովման համար իրականացնել  գիտահետազոտական և փորձակոնստրուկտորական աշխատանքներ:  </w:t>
      </w:r>
    </w:p>
    <w:p w14:paraId="3F676500" w14:textId="77777777" w:rsidR="00DA0E15" w:rsidRDefault="00362131">
      <w:pPr>
        <w:spacing w:after="0" w:line="276" w:lineRule="auto"/>
        <w:ind w:firstLine="562"/>
        <w:rPr>
          <w:rFonts w:cs="Tahoma"/>
          <w:lang w:val="hy-AM"/>
        </w:rPr>
      </w:pPr>
      <w:r>
        <w:rPr>
          <w:rFonts w:cs="Tahoma"/>
          <w:lang w:val="hy-AM"/>
        </w:rPr>
        <w:t>Ծրագրի համար 2022-2024թթ. նախատեսվում է հատկացնել համապատասխանաբար՝ 5,233.9 մլն դրամ,  5,707.8 մլն դրամ և 5,777.6 մլն դրամ:</w:t>
      </w:r>
    </w:p>
    <w:p w14:paraId="7C9A8C09" w14:textId="77777777" w:rsidR="00DA0E15" w:rsidRDefault="00DA0E15">
      <w:pPr>
        <w:spacing w:after="0" w:line="276" w:lineRule="auto"/>
        <w:ind w:firstLine="562"/>
        <w:rPr>
          <w:rFonts w:cs="Tahoma"/>
          <w:color w:val="FF0000"/>
          <w:lang w:val="hy-AM"/>
        </w:rPr>
      </w:pPr>
    </w:p>
    <w:p w14:paraId="4FFB29B5" w14:textId="77777777" w:rsidR="00DA0E15" w:rsidRDefault="00362131" w:rsidP="00C0628C">
      <w:pPr>
        <w:pStyle w:val="ListParagraph"/>
        <w:numPr>
          <w:ilvl w:val="0"/>
          <w:numId w:val="23"/>
        </w:numPr>
        <w:spacing w:before="0" w:after="0" w:line="276" w:lineRule="auto"/>
        <w:ind w:left="0" w:firstLine="567"/>
        <w:jc w:val="left"/>
        <w:rPr>
          <w:rFonts w:cs="Sylfaen"/>
          <w:b/>
          <w:lang w:val="hy-AM"/>
        </w:rPr>
      </w:pPr>
      <w:r>
        <w:rPr>
          <w:rFonts w:cs="Sylfaen"/>
          <w:lang w:val="hy-AM"/>
        </w:rPr>
        <w:t>«</w:t>
      </w:r>
      <w:r>
        <w:rPr>
          <w:rFonts w:cs="Sylfaen"/>
          <w:b/>
          <w:lang w:val="hy-AM"/>
        </w:rPr>
        <w:t>Հեռահաղորդակցության ապահովում</w:t>
      </w:r>
      <w:r>
        <w:rPr>
          <w:rFonts w:cs="Arial"/>
          <w:lang w:val="hy-AM"/>
        </w:rPr>
        <w:t xml:space="preserve">» </w:t>
      </w:r>
      <w:r>
        <w:rPr>
          <w:rFonts w:cs="Arial"/>
          <w:b/>
          <w:lang w:val="hy-AM"/>
        </w:rPr>
        <w:t>ծրագիր.</w:t>
      </w:r>
    </w:p>
    <w:p w14:paraId="717BE915" w14:textId="77777777" w:rsidR="00DA0E15" w:rsidRDefault="00362131">
      <w:pPr>
        <w:spacing w:after="0" w:line="276" w:lineRule="auto"/>
        <w:ind w:firstLine="562"/>
        <w:rPr>
          <w:rFonts w:cs="Sylfaen"/>
          <w:lang w:val="hy-AM"/>
        </w:rPr>
      </w:pPr>
      <w:r>
        <w:rPr>
          <w:rFonts w:cs="Sylfaen"/>
          <w:lang w:val="hy-AM"/>
        </w:rPr>
        <w:t>Ծրագրի նպատակն է ապահովել Հայաստանի Հանրապե</w:t>
      </w:r>
      <w:r>
        <w:rPr>
          <w:rFonts w:cs="Sylfaen"/>
          <w:lang w:val="hy-AM"/>
        </w:rPr>
        <w:softHyphen/>
        <w:t>տու</w:t>
      </w:r>
      <w:r>
        <w:rPr>
          <w:rFonts w:cs="Sylfaen"/>
          <w:lang w:val="hy-AM"/>
        </w:rPr>
        <w:softHyphen/>
        <w:t>թյունում հեռահաղորդակ</w:t>
      </w:r>
      <w:r>
        <w:rPr>
          <w:rFonts w:cs="Sylfaen"/>
          <w:lang w:val="hy-AM"/>
        </w:rPr>
        <w:softHyphen/>
        <w:t>ցության և կապի ծառայությունների որակի կանոնակարգումն ու բարելավումը, մասնա</w:t>
      </w:r>
      <w:r>
        <w:rPr>
          <w:rFonts w:cs="Sylfaen"/>
          <w:lang w:val="hy-AM"/>
        </w:rPr>
        <w:softHyphen/>
        <w:t>վորապես ՀՀ հաճախականությունների բաշխման աղյուսակի կազմումը, ռադիոեթերի մոնիթորինգի և ազդանշանների տեխնիկական պարամետրերի չափումների անցկացումը, ռադիոէլեկտրոնային միջոցների և բարձր հաճախության սարքավորումների տեղորոշումը, ինչպես նաև ՀՀ-ում թվային հեռուստահեռարձակման ապահովման շրջանակներում հանրապետական սփռման մուլտիպլեքսի և արբանյակային տարածման համար արբանյակային ունակության վարձակալումը:</w:t>
      </w:r>
    </w:p>
    <w:p w14:paraId="39A9ACC9" w14:textId="77777777" w:rsidR="00DA0E15" w:rsidRDefault="00362131">
      <w:pPr>
        <w:spacing w:after="0" w:line="276" w:lineRule="auto"/>
        <w:ind w:firstLine="562"/>
        <w:rPr>
          <w:rFonts w:cs="Tahoma"/>
          <w:lang w:val="hy-AM"/>
        </w:rPr>
      </w:pPr>
      <w:r>
        <w:rPr>
          <w:rFonts w:cs="Sylfaen"/>
          <w:lang w:val="hy-AM"/>
        </w:rPr>
        <w:t xml:space="preserve">Վերը նշված նպատակի համար </w:t>
      </w:r>
      <w:r>
        <w:rPr>
          <w:rFonts w:cs="Arial"/>
          <w:lang w:val="hy-AM"/>
        </w:rPr>
        <w:t>2022-2024թթ յուրաքանչյուր տարի նախատեսվում է հատկացնել՝ 418.3 մլն դրամ:</w:t>
      </w:r>
    </w:p>
    <w:p w14:paraId="3D567310" w14:textId="77777777" w:rsidR="00DA0E15" w:rsidRDefault="00DA0E15">
      <w:pPr>
        <w:spacing w:after="0" w:line="276" w:lineRule="auto"/>
        <w:ind w:firstLine="562"/>
        <w:rPr>
          <w:rFonts w:cs="Tahoma"/>
          <w:lang w:val="hy-AM"/>
        </w:rPr>
      </w:pPr>
    </w:p>
    <w:p w14:paraId="3888F0B3" w14:textId="77777777" w:rsidR="00DA0E15" w:rsidRDefault="00362131">
      <w:pPr>
        <w:spacing w:after="0" w:line="276" w:lineRule="auto"/>
        <w:ind w:firstLine="562"/>
        <w:rPr>
          <w:rFonts w:cs="Tahoma"/>
          <w:lang w:val="hy-AM"/>
        </w:rPr>
      </w:pPr>
      <w:r>
        <w:rPr>
          <w:rFonts w:cs="Tahoma"/>
          <w:lang w:val="hy-AM"/>
        </w:rPr>
        <w:t>Ստորև ներկայացված են Բարձր տեխնոլոգիական արդյունաբերության բնագավառում 2022-2024թթ. յուրաքանչյուր տարվա համար նախատեսված չափաքանակները.</w:t>
      </w:r>
    </w:p>
    <w:p w14:paraId="7886CC3B" w14:textId="77777777" w:rsidR="00DA0E15" w:rsidRDefault="00362131">
      <w:pPr>
        <w:spacing w:after="0" w:line="276" w:lineRule="auto"/>
        <w:rPr>
          <w:lang w:val="hy-AM"/>
        </w:rPr>
      </w:pPr>
      <w:r>
        <w:rPr>
          <w:lang w:val="hy-AM"/>
        </w:rPr>
        <w:t>2022 թվականի համար՝ 8</w:t>
      </w:r>
      <w:r>
        <w:rPr>
          <w:bCs/>
          <w:lang w:val="hy-AM"/>
        </w:rPr>
        <w:t xml:space="preserve">,619.8 </w:t>
      </w:r>
      <w:r>
        <w:rPr>
          <w:lang w:val="hy-AM"/>
        </w:rPr>
        <w:t xml:space="preserve"> մլն դրամ,</w:t>
      </w:r>
    </w:p>
    <w:p w14:paraId="6655DF07" w14:textId="77777777" w:rsidR="00DA0E15" w:rsidRDefault="00362131">
      <w:pPr>
        <w:spacing w:after="0" w:line="276" w:lineRule="auto"/>
        <w:rPr>
          <w:lang w:val="hy-AM"/>
        </w:rPr>
      </w:pPr>
      <w:r>
        <w:rPr>
          <w:lang w:val="hy-AM"/>
        </w:rPr>
        <w:t>2022 թվականի համար՝ 9</w:t>
      </w:r>
      <w:r>
        <w:rPr>
          <w:bCs/>
          <w:lang w:val="hy-AM"/>
        </w:rPr>
        <w:t>,066.7</w:t>
      </w:r>
      <w:r>
        <w:rPr>
          <w:lang w:val="hy-AM"/>
        </w:rPr>
        <w:t xml:space="preserve"> մլն դրամ,</w:t>
      </w:r>
    </w:p>
    <w:p w14:paraId="075A0975" w14:textId="77777777" w:rsidR="00DA0E15" w:rsidRDefault="00362131">
      <w:pPr>
        <w:spacing w:after="0" w:line="276" w:lineRule="auto"/>
        <w:rPr>
          <w:rFonts w:cs="Tahoma"/>
          <w:lang w:val="hy-AM"/>
        </w:rPr>
      </w:pPr>
      <w:r>
        <w:rPr>
          <w:lang w:val="hy-AM"/>
        </w:rPr>
        <w:t>2023 թվականի համար՝ 9</w:t>
      </w:r>
      <w:r>
        <w:rPr>
          <w:bCs/>
          <w:lang w:val="hy-AM"/>
        </w:rPr>
        <w:t>,067.2</w:t>
      </w:r>
      <w:r>
        <w:rPr>
          <w:lang w:val="hy-AM"/>
        </w:rPr>
        <w:t xml:space="preserve"> մլն դրամ:</w:t>
      </w:r>
      <w:r>
        <w:rPr>
          <w:rFonts w:cs="Tahoma"/>
          <w:lang w:val="hy-AM"/>
        </w:rPr>
        <w:t xml:space="preserve"> </w:t>
      </w:r>
    </w:p>
    <w:p w14:paraId="24296EED" w14:textId="77777777" w:rsidR="00DA0E15" w:rsidRDefault="00DA0E15">
      <w:pPr>
        <w:pStyle w:val="BodyText"/>
        <w:spacing w:line="276" w:lineRule="auto"/>
        <w:rPr>
          <w:lang w:val="hy-AM"/>
        </w:rPr>
      </w:pPr>
    </w:p>
    <w:p w14:paraId="64912E05" w14:textId="77777777" w:rsidR="00DA0E15" w:rsidRPr="00146C6E" w:rsidRDefault="00362131" w:rsidP="00146C6E">
      <w:pPr>
        <w:pStyle w:val="Heading3"/>
        <w:spacing w:before="0" w:after="120" w:line="276" w:lineRule="auto"/>
        <w:jc w:val="both"/>
        <w:rPr>
          <w:rFonts w:eastAsia="Times New Roman" w:cs="Times New Roman"/>
          <w:caps w:val="0"/>
          <w:color w:val="1F497D" w:themeColor="text2"/>
          <w:sz w:val="28"/>
          <w:szCs w:val="28"/>
        </w:rPr>
      </w:pPr>
      <w:bookmarkStart w:id="599" w:name="_Toc13837359"/>
      <w:bookmarkStart w:id="600" w:name="_Toc14687637"/>
      <w:bookmarkStart w:id="601" w:name="_Toc45637522"/>
      <w:bookmarkStart w:id="602" w:name="_Toc45838546"/>
      <w:bookmarkStart w:id="603" w:name="_Toc77837875"/>
      <w:r w:rsidRPr="00FA0954">
        <w:rPr>
          <w:rFonts w:eastAsia="Times New Roman" w:cs="Times New Roman"/>
          <w:caps w:val="0"/>
          <w:color w:val="1F497D" w:themeColor="text2"/>
          <w:sz w:val="28"/>
          <w:szCs w:val="28"/>
        </w:rPr>
        <w:t>6</w:t>
      </w:r>
      <w:r>
        <w:rPr>
          <w:rFonts w:eastAsia="Times New Roman" w:cs="Times New Roman"/>
          <w:caps w:val="0"/>
          <w:color w:val="1F497D" w:themeColor="text2"/>
          <w:sz w:val="28"/>
          <w:szCs w:val="28"/>
        </w:rPr>
        <w:t>. ՏԱՐԱԾՔԱՅԻՆ ԿԱՌԱՎԱՐՈՒՄ ԵՎ ԵՆԹԱԿԱՌՈՒՑՎԱԾՔՆԵՐ</w:t>
      </w:r>
      <w:bookmarkEnd w:id="599"/>
      <w:bookmarkEnd w:id="600"/>
      <w:bookmarkEnd w:id="601"/>
      <w:bookmarkEnd w:id="602"/>
      <w:bookmarkEnd w:id="603"/>
    </w:p>
    <w:p w14:paraId="309F714D" w14:textId="77777777" w:rsidR="00DA0E15" w:rsidRDefault="00DA0E15">
      <w:pPr>
        <w:pStyle w:val="ListParagraph"/>
        <w:tabs>
          <w:tab w:val="left" w:pos="1701"/>
        </w:tabs>
        <w:spacing w:after="0" w:line="276" w:lineRule="auto"/>
        <w:ind w:left="0" w:firstLine="567"/>
        <w:rPr>
          <w:kern w:val="16"/>
          <w:lang w:val="af-ZA"/>
        </w:rPr>
      </w:pPr>
    </w:p>
    <w:p w14:paraId="6FCA57A2" w14:textId="77777777" w:rsidR="00DA0E15" w:rsidRDefault="00362131">
      <w:pPr>
        <w:spacing w:after="0" w:line="276" w:lineRule="auto"/>
        <w:ind w:firstLine="562"/>
        <w:rPr>
          <w:rFonts w:cs="Sylfaen"/>
          <w:lang w:val="hy-AM"/>
        </w:rPr>
      </w:pPr>
      <w:r>
        <w:rPr>
          <w:rFonts w:cs="Sylfaen"/>
          <w:lang w:val="hy-AM"/>
        </w:rPr>
        <w:t xml:space="preserve">ՀՀ տարածքային կառավարման և ենթակառուցվածքների նախարարությունը մշակում և իրականացնում է՝ տարածքային կառավարման և ենթակառուցվածքների գործունեության արդյունավետության բարձրացման, Երևանում տարածքային կառավարման իրականացման ապահովման, բնակչության տեղաշարժերի ընթացքում առաջացող իրավահարաբերությունների կարգավորման և պետական գույքի կառավարման արդյունավետության բարձրացման ոլորտներում Կառավարության քաղաքականությունը: Մասնավորապես նախանշվել են ոլորտի հետևյալ հիմնական թիրախները. </w:t>
      </w:r>
    </w:p>
    <w:p w14:paraId="4090D8B0" w14:textId="77777777" w:rsidR="00DA0E15" w:rsidRDefault="00362131">
      <w:pPr>
        <w:spacing w:after="0" w:line="276" w:lineRule="auto"/>
        <w:ind w:firstLine="562"/>
        <w:rPr>
          <w:rFonts w:cs="Sylfaen"/>
          <w:lang w:val="hy-AM"/>
        </w:rPr>
      </w:pPr>
      <w:r>
        <w:rPr>
          <w:rFonts w:cs="Sylfaen"/>
          <w:lang w:val="hy-AM"/>
        </w:rPr>
        <w:t>- երկրի ճանապարհատրանսպորտային ենթակառուցվածքների գործունեության արդյունավետության բարձրացումը, ինչպես նաև տնտեսության և ազգաբնակչության պահանջների բավարարման որակի բարձրացման միջոցով՝ անվտանգ և արդյունավետ տրանսպորտային ծառայությունների ապահովումը,</w:t>
      </w:r>
    </w:p>
    <w:p w14:paraId="0FD5B514" w14:textId="77777777" w:rsidR="00DA0E15" w:rsidRDefault="00362131">
      <w:pPr>
        <w:spacing w:after="0" w:line="276" w:lineRule="auto"/>
        <w:ind w:firstLine="562"/>
        <w:rPr>
          <w:rFonts w:cs="Sylfaen"/>
          <w:lang w:val="hy-AM"/>
        </w:rPr>
      </w:pPr>
      <w:r>
        <w:rPr>
          <w:rFonts w:cs="Sylfaen"/>
          <w:lang w:val="hy-AM"/>
        </w:rPr>
        <w:t>- կայուն էներգետիկայի զարգացումը՝ էներգախնայողության, վերականգնվող էներգիայի, ինչպես նաև էներգետիկ անվտանգության ցուցանիշներին համապատասխան, ՝ Հայաստանի էներգետիկ անկախություն ապահովելու նպատակադրմամբ,</w:t>
      </w:r>
    </w:p>
    <w:p w14:paraId="14906B47" w14:textId="77777777" w:rsidR="00DA0E15" w:rsidRDefault="00362131">
      <w:pPr>
        <w:spacing w:after="0" w:line="276" w:lineRule="auto"/>
        <w:ind w:firstLine="562"/>
        <w:rPr>
          <w:rFonts w:cs="Sylfaen"/>
          <w:lang w:val="hy-AM"/>
        </w:rPr>
      </w:pPr>
      <w:r>
        <w:rPr>
          <w:rFonts w:cs="Sylfaen"/>
          <w:lang w:val="hy-AM"/>
        </w:rPr>
        <w:t xml:space="preserve">- ջրամատակարարման որակի բարձրացումը, յուրաքանչյուր սոցիալական խմբի և շահառուի համար ծառայությունների հասանելիության ապահովումը, ոռոգվող հողատարածքների ընդլայնումը, ինչպես նաև ջրային տնտեսության համակարգի զարգացման ու բարեփոխումների շարունակականությունը, </w:t>
      </w:r>
    </w:p>
    <w:p w14:paraId="03704050" w14:textId="77777777" w:rsidR="00DA0E15" w:rsidRDefault="00362131">
      <w:pPr>
        <w:spacing w:after="0" w:line="276" w:lineRule="auto"/>
        <w:ind w:firstLine="562"/>
        <w:rPr>
          <w:rFonts w:cs="Sylfaen"/>
          <w:lang w:val="hy-AM"/>
        </w:rPr>
      </w:pPr>
      <w:r>
        <w:rPr>
          <w:rFonts w:cs="Sylfaen"/>
          <w:lang w:val="hy-AM"/>
        </w:rPr>
        <w:t>- միգրացիոն քաղաքականության շրջանակում ապահովել անձանց ազատ և անվտանգ տեղաշարժը՝ հավասարակշռելով այն երկրի ազգային անվտանգության ապահովման հետ, ինչպես</w:t>
      </w:r>
      <w:r>
        <w:rPr>
          <w:kern w:val="16"/>
          <w:lang w:val="hy-AM"/>
        </w:rPr>
        <w:t xml:space="preserve"> </w:t>
      </w:r>
      <w:r>
        <w:rPr>
          <w:rFonts w:cs="Sylfaen"/>
          <w:lang w:val="hy-AM"/>
        </w:rPr>
        <w:t>նաև միգրանտների, այդ թվում` վերադարձող միգրանտների տնտեսական և մարդկային ներուժի ուղղորդումը երկրի զարգացման գործին,</w:t>
      </w:r>
    </w:p>
    <w:p w14:paraId="045FF56A" w14:textId="77777777" w:rsidR="00DA0E15" w:rsidRDefault="00362131">
      <w:pPr>
        <w:spacing w:after="0" w:line="276" w:lineRule="auto"/>
        <w:ind w:firstLine="562"/>
        <w:rPr>
          <w:rFonts w:cs="Sylfaen"/>
          <w:lang w:val="hy-AM"/>
        </w:rPr>
      </w:pPr>
      <w:r>
        <w:rPr>
          <w:rFonts w:cs="Sylfaen"/>
          <w:lang w:val="hy-AM"/>
        </w:rPr>
        <w:t>- պետական գույքի կառավարման ապահովումը, այդ թվում առկա համակարգերի բարեփոխումը, պետական գույքի մասնավորեցման, օտարման գործընթացներում հրապարակայնության և թափանցիկության ապահովումը, վաճառքի կազմակերպման ժամանակակից ձևերի և մեթոդների կիրառումը, վարձակալության գործընթացի մեկ միասնական կանոնակարգով և մոտեցմամբ իրականացումը, վարչարարության պարզեցումը և կրճատումը, ինչպես նաև անհատույց օգտագործման տրամադրման գործընթացում մրցակցային դաշտի ապահովումը։</w:t>
      </w:r>
    </w:p>
    <w:p w14:paraId="70568765" w14:textId="77777777" w:rsidR="00DA0E15" w:rsidRDefault="00DA0E15">
      <w:pPr>
        <w:spacing w:after="0" w:line="276" w:lineRule="auto"/>
        <w:rPr>
          <w:b/>
          <w:lang w:val="hy-AM"/>
        </w:rPr>
      </w:pPr>
      <w:bookmarkStart w:id="604" w:name="_Toc13837362"/>
    </w:p>
    <w:p w14:paraId="42952E1E" w14:textId="77777777" w:rsidR="00DA0E15" w:rsidRDefault="00362131">
      <w:pPr>
        <w:spacing w:after="0" w:line="276" w:lineRule="auto"/>
        <w:rPr>
          <w:b/>
          <w:lang w:val="hy-AM"/>
        </w:rPr>
      </w:pPr>
      <w:r>
        <w:rPr>
          <w:b/>
          <w:lang w:val="hy-AM"/>
        </w:rPr>
        <w:t>ՈԼՈՐՏԱՅԻՆ ԾԱԽՍԱՅԻՆ ԾՐԱԳՐԵՐԸ</w:t>
      </w:r>
    </w:p>
    <w:p w14:paraId="70171B9F" w14:textId="77777777" w:rsidR="00DA0E15" w:rsidRDefault="00362131" w:rsidP="00C0628C">
      <w:pPr>
        <w:pStyle w:val="NormalWeb"/>
        <w:numPr>
          <w:ilvl w:val="0"/>
          <w:numId w:val="24"/>
        </w:numPr>
        <w:spacing w:before="0" w:after="0" w:line="276" w:lineRule="auto"/>
        <w:ind w:left="0" w:firstLine="567"/>
        <w:rPr>
          <w:rFonts w:cs="Times LatArm"/>
          <w:b/>
          <w:szCs w:val="22"/>
          <w:lang w:val="hy-AM"/>
        </w:rPr>
      </w:pPr>
      <w:r>
        <w:rPr>
          <w:rFonts w:cs="Sylfaen"/>
          <w:szCs w:val="22"/>
          <w:lang w:val="hy-AM"/>
        </w:rPr>
        <w:t>«</w:t>
      </w:r>
      <w:r>
        <w:rPr>
          <w:b/>
          <w:szCs w:val="22"/>
          <w:lang w:val="hy-AM"/>
        </w:rPr>
        <w:t>Տարածքային կառավարման ոլորտում քաղաքականության մշակում, ծրագրերի համակարգում և մոնիտորինգի իրականացում</w:t>
      </w:r>
      <w:r>
        <w:rPr>
          <w:rFonts w:cs="Arial"/>
          <w:szCs w:val="22"/>
          <w:lang w:val="hy-AM"/>
        </w:rPr>
        <w:t xml:space="preserve">» </w:t>
      </w:r>
      <w:r>
        <w:rPr>
          <w:rFonts w:cs="Times LatArm"/>
          <w:b/>
          <w:szCs w:val="22"/>
          <w:lang w:val="hy-AM"/>
        </w:rPr>
        <w:t>ծրագիր.</w:t>
      </w:r>
    </w:p>
    <w:p w14:paraId="418BA417" w14:textId="77777777" w:rsidR="00DA0E15" w:rsidRDefault="00362131">
      <w:pPr>
        <w:spacing w:after="0" w:line="276" w:lineRule="auto"/>
        <w:ind w:firstLine="562"/>
        <w:rPr>
          <w:rFonts w:cs="Sylfaen"/>
          <w:lang w:val="hy-AM"/>
        </w:rPr>
      </w:pPr>
      <w:r>
        <w:rPr>
          <w:rFonts w:cs="Sylfaen"/>
          <w:lang w:val="hy-AM"/>
        </w:rPr>
        <w:t>Ծրագրի նպատակն է տարածքային կառավարման բնագավառում պետական արդյունավետ քաղաքականության մշակման և իրականացման ապահովումը, որի համար 2022-2024թթ. նախատեսվում է հատկացնել համապատասխանաբար՝ 1,467.7 մլն դրամ, 1,484.3 մլն դրամ և 1,501.1 մլն դրամ:</w:t>
      </w:r>
    </w:p>
    <w:p w14:paraId="2522CD9D" w14:textId="77777777" w:rsidR="00DA0E15" w:rsidRDefault="00362131" w:rsidP="00C0628C">
      <w:pPr>
        <w:pStyle w:val="ListParagraph"/>
        <w:numPr>
          <w:ilvl w:val="0"/>
          <w:numId w:val="24"/>
        </w:numPr>
        <w:spacing w:before="0" w:after="0" w:line="276" w:lineRule="auto"/>
        <w:rPr>
          <w:rFonts w:cs="Times LatArm"/>
          <w:b/>
          <w:lang w:val="hy-AM"/>
        </w:rPr>
      </w:pPr>
      <w:r>
        <w:rPr>
          <w:rFonts w:cs="Sylfaen"/>
          <w:lang w:val="hy-AM"/>
        </w:rPr>
        <w:t>«</w:t>
      </w:r>
      <w:r>
        <w:rPr>
          <w:b/>
          <w:lang w:val="hy-AM"/>
        </w:rPr>
        <w:t>Ոռոգման համակարգի առողջացում</w:t>
      </w:r>
      <w:r>
        <w:rPr>
          <w:rFonts w:cs="Arial"/>
          <w:lang w:val="hy-AM"/>
        </w:rPr>
        <w:t xml:space="preserve">» </w:t>
      </w:r>
      <w:bookmarkEnd w:id="604"/>
      <w:r>
        <w:rPr>
          <w:rFonts w:cs="Times LatArm"/>
          <w:b/>
          <w:lang w:val="hy-AM"/>
        </w:rPr>
        <w:t>ծրագիր.</w:t>
      </w:r>
    </w:p>
    <w:p w14:paraId="4336CFE9" w14:textId="77777777" w:rsidR="00DA0E15" w:rsidRDefault="00362131">
      <w:pPr>
        <w:spacing w:after="0" w:line="276" w:lineRule="auto"/>
        <w:rPr>
          <w:rFonts w:cs="Tahoma"/>
          <w:lang w:val="hy-AM"/>
        </w:rPr>
      </w:pPr>
      <w:r>
        <w:rPr>
          <w:rFonts w:cs="Times LatArm"/>
          <w:lang w:val="hy-AM"/>
        </w:rPr>
        <w:t>Ծրագրի</w:t>
      </w:r>
      <w:r>
        <w:rPr>
          <w:rFonts w:cs="Arial"/>
          <w:lang w:val="hy-AM"/>
        </w:rPr>
        <w:t xml:space="preserve"> նպատակն է ոռոգման ծառայությունների հասանելիության և մատչելիության ապահովումը, որի համար 2022-2024թթ. նախատեսվում է հատկացնել համապատասխանաբար՝ 19,039.3 մլն դրամ, 35,349.0 մլն դրամ և 10,238.7 մլն դրամ</w:t>
      </w:r>
      <w:r>
        <w:rPr>
          <w:rFonts w:cs="Tahoma"/>
          <w:lang w:val="hy-AM"/>
        </w:rPr>
        <w:t>:</w:t>
      </w:r>
    </w:p>
    <w:p w14:paraId="28D2E940" w14:textId="77777777" w:rsidR="00DA0E15" w:rsidRDefault="00362131" w:rsidP="00C0628C">
      <w:pPr>
        <w:pStyle w:val="NormalWeb"/>
        <w:numPr>
          <w:ilvl w:val="0"/>
          <w:numId w:val="24"/>
        </w:numPr>
        <w:spacing w:before="0" w:after="0" w:line="276" w:lineRule="auto"/>
        <w:rPr>
          <w:rFonts w:cs="Times LatArm"/>
          <w:b/>
          <w:szCs w:val="22"/>
          <w:lang w:val="hy-AM"/>
        </w:rPr>
      </w:pPr>
      <w:r>
        <w:rPr>
          <w:rFonts w:cs="Sylfaen"/>
          <w:szCs w:val="22"/>
          <w:lang w:val="hy-AM"/>
        </w:rPr>
        <w:t>«</w:t>
      </w:r>
      <w:r>
        <w:rPr>
          <w:b/>
          <w:szCs w:val="22"/>
          <w:lang w:val="hy-AM"/>
        </w:rPr>
        <w:t>Որոտան-Արփա-Սևան թունելի ջրային համակարգի կառավարում</w:t>
      </w:r>
      <w:r>
        <w:rPr>
          <w:rFonts w:cs="Arial"/>
          <w:szCs w:val="22"/>
          <w:lang w:val="hy-AM"/>
        </w:rPr>
        <w:t xml:space="preserve">» </w:t>
      </w:r>
      <w:r>
        <w:rPr>
          <w:rFonts w:cs="Times LatArm"/>
          <w:b/>
          <w:szCs w:val="22"/>
          <w:lang w:val="hy-AM"/>
        </w:rPr>
        <w:t>ծրագիր.</w:t>
      </w:r>
    </w:p>
    <w:p w14:paraId="3E4AFA4B" w14:textId="77777777" w:rsidR="00DA0E15" w:rsidRDefault="00362131">
      <w:pPr>
        <w:spacing w:after="0" w:line="276" w:lineRule="auto"/>
        <w:rPr>
          <w:rFonts w:cs="Tahoma"/>
          <w:lang w:val="hy-AM"/>
        </w:rPr>
      </w:pPr>
      <w:r>
        <w:rPr>
          <w:rFonts w:cs="Times LatArm"/>
          <w:lang w:val="hy-AM"/>
        </w:rPr>
        <w:t>Ծրագրի</w:t>
      </w:r>
      <w:r>
        <w:rPr>
          <w:rFonts w:cs="Tahoma"/>
          <w:lang w:val="hy-AM"/>
        </w:rPr>
        <w:t xml:space="preserve"> նպատակն է Որոտան-Արփա-Սևան թունելի ջրային համակարգի պահպանումն և շահագործումը, </w:t>
      </w:r>
      <w:r>
        <w:rPr>
          <w:rFonts w:cs="Arial"/>
          <w:lang w:val="hy-AM"/>
        </w:rPr>
        <w:t>որի համար 2022-2024թթ. նախատեսվում է հատկացնել</w:t>
      </w:r>
      <w:r>
        <w:rPr>
          <w:rFonts w:cs="Tahoma"/>
          <w:lang w:val="hy-AM"/>
        </w:rPr>
        <w:t xml:space="preserve"> յուրաքանչյուր տարի 205.8 մլն դրամ:</w:t>
      </w:r>
    </w:p>
    <w:p w14:paraId="5D70D201" w14:textId="77777777" w:rsidR="00DA0E15" w:rsidRDefault="00362131" w:rsidP="00C0628C">
      <w:pPr>
        <w:pStyle w:val="NormalWeb"/>
        <w:numPr>
          <w:ilvl w:val="0"/>
          <w:numId w:val="24"/>
        </w:numPr>
        <w:spacing w:before="0" w:after="0" w:line="276" w:lineRule="auto"/>
        <w:rPr>
          <w:rFonts w:cs="Times LatArm"/>
          <w:b/>
          <w:szCs w:val="22"/>
          <w:lang w:val="hy-AM"/>
        </w:rPr>
      </w:pPr>
      <w:r>
        <w:rPr>
          <w:rFonts w:cs="Sylfaen"/>
          <w:szCs w:val="22"/>
          <w:lang w:val="hy-AM"/>
        </w:rPr>
        <w:t xml:space="preserve"> «</w:t>
      </w:r>
      <w:r>
        <w:rPr>
          <w:b/>
          <w:szCs w:val="22"/>
          <w:lang w:val="hy-AM"/>
        </w:rPr>
        <w:t>Սոցիալական ներդրումների և տեղական զարգացման ծրագիր</w:t>
      </w:r>
      <w:r>
        <w:rPr>
          <w:rFonts w:cs="Arial"/>
          <w:szCs w:val="22"/>
          <w:lang w:val="hy-AM"/>
        </w:rPr>
        <w:t>».</w:t>
      </w:r>
      <w:r>
        <w:rPr>
          <w:b/>
          <w:szCs w:val="22"/>
          <w:lang w:val="hy-AM"/>
        </w:rPr>
        <w:t xml:space="preserve"> </w:t>
      </w:r>
      <w:r>
        <w:rPr>
          <w:rFonts w:cs="Times LatArm"/>
          <w:b/>
          <w:szCs w:val="22"/>
          <w:lang w:val="hy-AM"/>
        </w:rPr>
        <w:t>ծրագիր.</w:t>
      </w:r>
    </w:p>
    <w:p w14:paraId="4C356A7F" w14:textId="77777777" w:rsidR="00DA0E15" w:rsidRDefault="00362131">
      <w:pPr>
        <w:spacing w:after="0" w:line="276" w:lineRule="auto"/>
        <w:rPr>
          <w:rFonts w:cs="Tahoma"/>
          <w:lang w:val="hy-AM"/>
        </w:rPr>
      </w:pPr>
      <w:r>
        <w:rPr>
          <w:rFonts w:cs="Times LatArm"/>
          <w:lang w:val="hy-AM"/>
        </w:rPr>
        <w:t>Ծրագրի</w:t>
      </w:r>
      <w:r>
        <w:rPr>
          <w:rFonts w:cs="Arial"/>
          <w:lang w:val="hy-AM"/>
        </w:rPr>
        <w:t xml:space="preserve"> նպատակն է նպաստել տարածքներում բնակչության նյութական և ոչ նյութական բարեկեցության աճին, որի համար 2022-2024թթ. նախատեսվում է հատկացնել համապատասխանաբար 1,993.8 մլն դրամ, 4,569.4 մլն դրամ և 3,450.6 մլն դրամ</w:t>
      </w:r>
      <w:r>
        <w:rPr>
          <w:rFonts w:cs="Tahoma"/>
          <w:lang w:val="hy-AM"/>
        </w:rPr>
        <w:t>:</w:t>
      </w:r>
    </w:p>
    <w:p w14:paraId="384366D3" w14:textId="77777777" w:rsidR="00DA0E15" w:rsidRDefault="00362131" w:rsidP="00C0628C">
      <w:pPr>
        <w:pStyle w:val="NormalWeb"/>
        <w:numPr>
          <w:ilvl w:val="0"/>
          <w:numId w:val="24"/>
        </w:numPr>
        <w:spacing w:before="0" w:after="0" w:line="276" w:lineRule="auto"/>
        <w:rPr>
          <w:rFonts w:cs="Times LatArm"/>
          <w:b/>
          <w:szCs w:val="22"/>
          <w:lang w:val="hy-AM"/>
        </w:rPr>
      </w:pPr>
      <w:r>
        <w:rPr>
          <w:rFonts w:cs="Sylfaen"/>
          <w:szCs w:val="22"/>
          <w:lang w:val="hy-AM"/>
        </w:rPr>
        <w:t>«</w:t>
      </w:r>
      <w:r>
        <w:rPr>
          <w:b/>
          <w:szCs w:val="22"/>
          <w:lang w:val="hy-AM"/>
        </w:rPr>
        <w:t>Կոլեկտորադրենաժային ծառայություններ</w:t>
      </w:r>
      <w:r>
        <w:rPr>
          <w:rFonts w:cs="Arial"/>
          <w:szCs w:val="22"/>
          <w:lang w:val="hy-AM"/>
        </w:rPr>
        <w:t xml:space="preserve">» </w:t>
      </w:r>
      <w:r>
        <w:rPr>
          <w:rFonts w:cs="Times LatArm"/>
          <w:b/>
          <w:szCs w:val="22"/>
          <w:lang w:val="hy-AM"/>
        </w:rPr>
        <w:t>ծրագիր.</w:t>
      </w:r>
    </w:p>
    <w:p w14:paraId="0CCC7A95" w14:textId="77777777" w:rsidR="00DA0E15" w:rsidRDefault="00362131">
      <w:pPr>
        <w:spacing w:after="0" w:line="276" w:lineRule="auto"/>
        <w:rPr>
          <w:rFonts w:cs="Arial"/>
          <w:lang w:val="hy-AM"/>
        </w:rPr>
      </w:pPr>
      <w:r>
        <w:rPr>
          <w:rFonts w:cs="Times LatArm"/>
          <w:lang w:val="hy-AM"/>
        </w:rPr>
        <w:t>Ծրագրի</w:t>
      </w:r>
      <w:r>
        <w:rPr>
          <w:rFonts w:cs="Arial"/>
          <w:lang w:val="hy-AM"/>
        </w:rPr>
        <w:t xml:space="preserve"> նպատակն է կոլեկտորադրենաժային ցանցի միջոցով գրունտային ջրերի հեռացումն ու համակարգի կենսունակության բարելավումը, որի համար 2022-2024թթ. նախատեսվում է հատկացնել համապատասխանաբար՝ 266.0 մլն դրամ, 290.9 մլն դրամ և 290.9 մլն դրամ:</w:t>
      </w:r>
    </w:p>
    <w:p w14:paraId="1B875603" w14:textId="77777777" w:rsidR="00DA0E15" w:rsidRDefault="00362131" w:rsidP="00C0628C">
      <w:pPr>
        <w:pStyle w:val="NormalWeb"/>
        <w:numPr>
          <w:ilvl w:val="0"/>
          <w:numId w:val="24"/>
        </w:numPr>
        <w:spacing w:before="0" w:after="0" w:line="276" w:lineRule="auto"/>
        <w:ind w:left="0" w:firstLine="491"/>
        <w:rPr>
          <w:rFonts w:cs="Times LatArm"/>
          <w:b/>
          <w:szCs w:val="22"/>
          <w:lang w:val="hy-AM"/>
        </w:rPr>
      </w:pPr>
      <w:r>
        <w:rPr>
          <w:rFonts w:cs="Sylfaen"/>
          <w:szCs w:val="22"/>
          <w:lang w:val="hy-AM"/>
        </w:rPr>
        <w:t xml:space="preserve"> «</w:t>
      </w:r>
      <w:r>
        <w:rPr>
          <w:b/>
          <w:szCs w:val="22"/>
          <w:lang w:val="hy-AM"/>
        </w:rPr>
        <w:t>Տարածքային կառավարման և տեղական ինքնակառավարման մարմինների ներկայացուցիչների մասնագիտական վերապատրաստում և հատուկ ուսուցում</w:t>
      </w:r>
      <w:r>
        <w:rPr>
          <w:rFonts w:cs="Arial"/>
          <w:szCs w:val="22"/>
          <w:lang w:val="hy-AM"/>
        </w:rPr>
        <w:t xml:space="preserve">» </w:t>
      </w:r>
      <w:r>
        <w:rPr>
          <w:rFonts w:cs="Times LatArm"/>
          <w:b/>
          <w:szCs w:val="22"/>
          <w:lang w:val="hy-AM"/>
        </w:rPr>
        <w:t>ծրագիր.</w:t>
      </w:r>
    </w:p>
    <w:p w14:paraId="31FB6730" w14:textId="77777777" w:rsidR="00DA0E15" w:rsidRDefault="00362131">
      <w:pPr>
        <w:spacing w:after="0" w:line="276" w:lineRule="auto"/>
        <w:rPr>
          <w:rFonts w:cs="Tahoma"/>
          <w:lang w:val="hy-AM"/>
        </w:rPr>
      </w:pPr>
      <w:r>
        <w:rPr>
          <w:rFonts w:cs="Times LatArm"/>
          <w:lang w:val="hy-AM"/>
        </w:rPr>
        <w:t>Ծրագրի</w:t>
      </w:r>
      <w:r>
        <w:rPr>
          <w:rFonts w:cs="Arial"/>
          <w:lang w:val="hy-AM"/>
        </w:rPr>
        <w:t xml:space="preserve"> նպատակն է տարածքային կառավարման և տեղական ինքնակառավարման մարմինների աշխատակիցների աշխատանքի արդյունավետության բարելավումը, որի համար 2022-2024թթ. նախատեսվում է հատկացնել համապատասխանաբար՝ 18.5 մլն դրամ, 18.1 մլն դրամ և 18.1 մլն դրամ</w:t>
      </w:r>
      <w:r>
        <w:rPr>
          <w:rFonts w:cs="Tahoma"/>
          <w:lang w:val="hy-AM"/>
        </w:rPr>
        <w:t>:</w:t>
      </w:r>
    </w:p>
    <w:p w14:paraId="14B27BD3" w14:textId="77777777" w:rsidR="00DA0E15" w:rsidRDefault="00362131" w:rsidP="00C0628C">
      <w:pPr>
        <w:pStyle w:val="NormalWeb"/>
        <w:numPr>
          <w:ilvl w:val="0"/>
          <w:numId w:val="24"/>
        </w:numPr>
        <w:spacing w:before="0" w:after="0" w:line="276" w:lineRule="auto"/>
        <w:rPr>
          <w:rFonts w:cs="Times LatArm"/>
          <w:b/>
          <w:szCs w:val="22"/>
          <w:lang w:val="hy-AM"/>
        </w:rPr>
      </w:pPr>
      <w:r>
        <w:rPr>
          <w:rFonts w:cs="Sylfaen"/>
          <w:szCs w:val="22"/>
          <w:lang w:val="hy-AM"/>
        </w:rPr>
        <w:t>«</w:t>
      </w:r>
      <w:r>
        <w:rPr>
          <w:b/>
          <w:szCs w:val="22"/>
          <w:lang w:val="af-ZA"/>
        </w:rPr>
        <w:t>Կոշտ թափոնների կառավարում</w:t>
      </w:r>
      <w:r>
        <w:rPr>
          <w:rFonts w:cs="Arial"/>
          <w:szCs w:val="22"/>
          <w:lang w:val="hy-AM"/>
        </w:rPr>
        <w:t xml:space="preserve">» </w:t>
      </w:r>
      <w:r>
        <w:rPr>
          <w:rFonts w:cs="Times LatArm"/>
          <w:b/>
          <w:szCs w:val="22"/>
          <w:lang w:val="hy-AM"/>
        </w:rPr>
        <w:t>ծրագիր.</w:t>
      </w:r>
    </w:p>
    <w:p w14:paraId="1E4509E6" w14:textId="77777777" w:rsidR="00DA0E15" w:rsidRDefault="00362131">
      <w:pPr>
        <w:spacing w:after="0" w:line="276" w:lineRule="auto"/>
        <w:rPr>
          <w:rFonts w:cs="Tahoma"/>
          <w:lang w:val="hy-AM"/>
        </w:rPr>
      </w:pPr>
      <w:r>
        <w:rPr>
          <w:rFonts w:cs="Times LatArm"/>
          <w:lang w:val="hy-AM"/>
        </w:rPr>
        <w:t>Ծրագրի</w:t>
      </w:r>
      <w:r>
        <w:rPr>
          <w:rFonts w:cs="Arial"/>
          <w:lang w:val="hy-AM"/>
        </w:rPr>
        <w:t xml:space="preserve"> նպատակն է կենցաղային թափոնների արդյունավետ կառավարումը, սոցիալական և բնապահպանական խնդիրների լուծումը, որի համար 2022-2024թթ. նախատեսվում է հատկացնել համապատասխանաբար՝ 4,439.4 մլն դրամ, 4,801.8 մլն դրամ և 2,413.8 մլն դրամ</w:t>
      </w:r>
      <w:r>
        <w:rPr>
          <w:rFonts w:cs="Tahoma"/>
          <w:lang w:val="hy-AM"/>
        </w:rPr>
        <w:t>:</w:t>
      </w:r>
    </w:p>
    <w:p w14:paraId="59997187" w14:textId="77777777" w:rsidR="00DA0E15" w:rsidRDefault="00362131" w:rsidP="00C0628C">
      <w:pPr>
        <w:pStyle w:val="NormalWeb"/>
        <w:numPr>
          <w:ilvl w:val="0"/>
          <w:numId w:val="24"/>
        </w:numPr>
        <w:spacing w:before="0" w:after="0" w:line="276" w:lineRule="auto"/>
        <w:rPr>
          <w:rFonts w:cs="Times LatArm"/>
          <w:b/>
          <w:szCs w:val="22"/>
          <w:lang w:val="hy-AM"/>
        </w:rPr>
      </w:pPr>
      <w:r>
        <w:rPr>
          <w:rFonts w:cs="Sylfaen"/>
          <w:b/>
          <w:szCs w:val="22"/>
          <w:lang w:val="hy-AM"/>
        </w:rPr>
        <w:t>«</w:t>
      </w:r>
      <w:r>
        <w:rPr>
          <w:rFonts w:cs="Times Armenian"/>
          <w:b/>
          <w:kern w:val="16"/>
          <w:szCs w:val="22"/>
          <w:lang w:val="hy-AM"/>
        </w:rPr>
        <w:t>Ճանապարհային ցանցի բարելավում</w:t>
      </w:r>
      <w:r>
        <w:rPr>
          <w:rFonts w:cs="Arial"/>
          <w:b/>
          <w:szCs w:val="22"/>
          <w:lang w:val="hy-AM"/>
        </w:rPr>
        <w:t>»</w:t>
      </w:r>
      <w:r>
        <w:rPr>
          <w:rFonts w:cs="Arial"/>
          <w:szCs w:val="22"/>
          <w:lang w:val="hy-AM"/>
        </w:rPr>
        <w:t xml:space="preserve"> </w:t>
      </w:r>
      <w:r>
        <w:rPr>
          <w:rFonts w:cs="Times LatArm"/>
          <w:b/>
          <w:szCs w:val="22"/>
          <w:lang w:val="hy-AM"/>
        </w:rPr>
        <w:t>ծրագիր.</w:t>
      </w:r>
    </w:p>
    <w:p w14:paraId="6EA531FD" w14:textId="77777777" w:rsidR="00DA0E15" w:rsidRDefault="00362131">
      <w:pPr>
        <w:spacing w:after="0" w:line="276" w:lineRule="auto"/>
        <w:rPr>
          <w:rFonts w:cs="Arial"/>
          <w:lang w:val="hy-AM"/>
        </w:rPr>
      </w:pPr>
      <w:r>
        <w:rPr>
          <w:rFonts w:cs="Times LatArm"/>
          <w:lang w:val="hy-AM"/>
        </w:rPr>
        <w:t>Ծրագրի</w:t>
      </w:r>
      <w:r>
        <w:rPr>
          <w:rFonts w:cs="Tahoma"/>
          <w:lang w:val="hy-AM"/>
        </w:rPr>
        <w:t xml:space="preserve"> նպատակն է ճանապարհային ցանցի բարելավումն ու անվտանգ երթևեկության ապահովումը, որի</w:t>
      </w:r>
      <w:r>
        <w:rPr>
          <w:rFonts w:cs="Arial"/>
          <w:lang w:val="hy-AM"/>
        </w:rPr>
        <w:t xml:space="preserve"> համար 2022-2024թթ. նախատեսվում է հատկացնել համապատասխանաբար՝ 37,668.8 մլն դրամ, 39,908.8 մլն դրամ և 109,543.8 մլն դրամ:</w:t>
      </w:r>
    </w:p>
    <w:p w14:paraId="527BB0F8" w14:textId="77777777" w:rsidR="00DA0E15" w:rsidRDefault="00362131" w:rsidP="00C0628C">
      <w:pPr>
        <w:pStyle w:val="NormalWeb"/>
        <w:numPr>
          <w:ilvl w:val="0"/>
          <w:numId w:val="24"/>
        </w:numPr>
        <w:spacing w:before="0" w:after="0" w:line="276" w:lineRule="auto"/>
        <w:rPr>
          <w:rFonts w:cs="Times LatArm"/>
          <w:b/>
          <w:szCs w:val="22"/>
          <w:lang w:val="hy-AM"/>
        </w:rPr>
      </w:pPr>
      <w:r>
        <w:rPr>
          <w:rFonts w:cs="Sylfaen"/>
          <w:b/>
          <w:szCs w:val="22"/>
          <w:lang w:val="hy-AM"/>
        </w:rPr>
        <w:t xml:space="preserve"> «</w:t>
      </w:r>
      <w:r>
        <w:rPr>
          <w:rFonts w:cs="Times Armenian"/>
          <w:b/>
          <w:kern w:val="16"/>
          <w:szCs w:val="22"/>
          <w:lang w:val="hy-AM"/>
        </w:rPr>
        <w:t>Աջակցություն փախստականների ինտեգրմանը</w:t>
      </w:r>
      <w:r>
        <w:rPr>
          <w:rFonts w:cs="Arial"/>
          <w:b/>
          <w:szCs w:val="22"/>
          <w:lang w:val="hy-AM"/>
        </w:rPr>
        <w:t xml:space="preserve">» </w:t>
      </w:r>
      <w:r>
        <w:rPr>
          <w:rFonts w:cs="Times LatArm"/>
          <w:b/>
          <w:szCs w:val="22"/>
          <w:lang w:val="hy-AM"/>
        </w:rPr>
        <w:t>ծրագիր.</w:t>
      </w:r>
    </w:p>
    <w:p w14:paraId="6E40EFE2" w14:textId="77777777" w:rsidR="00DA0E15" w:rsidRDefault="00362131">
      <w:pPr>
        <w:spacing w:after="0" w:line="276" w:lineRule="auto"/>
        <w:rPr>
          <w:rFonts w:cs="Tahoma"/>
          <w:lang w:val="hy-AM"/>
        </w:rPr>
      </w:pPr>
      <w:r>
        <w:rPr>
          <w:rFonts w:cs="Times LatArm"/>
          <w:lang w:val="hy-AM"/>
        </w:rPr>
        <w:t>Ծրագրի</w:t>
      </w:r>
      <w:r>
        <w:rPr>
          <w:rFonts w:cs="Tahoma"/>
          <w:lang w:val="hy-AM"/>
        </w:rPr>
        <w:t xml:space="preserve"> նպատակն է ապահովել փախստականների ինտեգրումը հասարակությանը, որի </w:t>
      </w:r>
      <w:r>
        <w:rPr>
          <w:rFonts w:cs="Arial"/>
          <w:lang w:val="hy-AM"/>
        </w:rPr>
        <w:t>համար 2022-2024թթ. նախատեսվում է հատկացնել համապատասխանաբար՝ 1,606.9 մլն դրամ, 161.1 մլն դրամ և 161.1 մլն դրամ:</w:t>
      </w:r>
      <w:r>
        <w:rPr>
          <w:rFonts w:cs="Tahoma"/>
          <w:lang w:val="hy-AM"/>
        </w:rPr>
        <w:t xml:space="preserve"> </w:t>
      </w:r>
    </w:p>
    <w:p w14:paraId="4C3FB07B" w14:textId="77777777" w:rsidR="00DA0E15" w:rsidRDefault="00362131" w:rsidP="00C0628C">
      <w:pPr>
        <w:pStyle w:val="ListParagraph"/>
        <w:numPr>
          <w:ilvl w:val="0"/>
          <w:numId w:val="24"/>
        </w:numPr>
        <w:spacing w:before="0" w:after="0" w:line="276" w:lineRule="auto"/>
        <w:rPr>
          <w:b/>
          <w:lang w:val="hy-AM"/>
        </w:rPr>
      </w:pPr>
      <w:r>
        <w:rPr>
          <w:rFonts w:cs="Sylfaen"/>
          <w:b/>
          <w:lang w:val="hy-AM"/>
        </w:rPr>
        <w:t>«</w:t>
      </w:r>
      <w:r>
        <w:rPr>
          <w:rFonts w:cs="Times Armenian"/>
          <w:b/>
          <w:kern w:val="16"/>
          <w:lang w:val="hy-AM"/>
        </w:rPr>
        <w:t>Ջրամատակարարաման և ջրահեռացման բարելավում</w:t>
      </w:r>
      <w:r>
        <w:rPr>
          <w:rFonts w:cs="Arial"/>
          <w:b/>
          <w:lang w:val="hy-AM"/>
        </w:rPr>
        <w:t>» ծրագիր.</w:t>
      </w:r>
      <w:r>
        <w:rPr>
          <w:b/>
          <w:lang w:val="hy-AM"/>
        </w:rPr>
        <w:t xml:space="preserve"> </w:t>
      </w:r>
    </w:p>
    <w:p w14:paraId="4262306E" w14:textId="77777777" w:rsidR="00DA0E15" w:rsidRDefault="00362131">
      <w:pPr>
        <w:pStyle w:val="NormalWeb"/>
        <w:spacing w:before="0" w:after="0" w:line="276" w:lineRule="auto"/>
        <w:rPr>
          <w:rFonts w:cs="Tahoma"/>
          <w:szCs w:val="22"/>
          <w:lang w:val="hy-AM"/>
        </w:rPr>
      </w:pPr>
      <w:r>
        <w:rPr>
          <w:rFonts w:cs="Tahoma"/>
          <w:szCs w:val="22"/>
          <w:lang w:val="hy-AM"/>
        </w:rPr>
        <w:t>Ծրագրի նպատակն է ջ</w:t>
      </w:r>
      <w:r>
        <w:rPr>
          <w:rFonts w:cs="Times Armenian"/>
          <w:kern w:val="16"/>
          <w:szCs w:val="22"/>
          <w:lang w:val="hy-AM"/>
        </w:rPr>
        <w:t xml:space="preserve">րամատակարարման ծառայությունների հասանելիության և մատչելիության ապահովումը, որի </w:t>
      </w:r>
      <w:r>
        <w:rPr>
          <w:rFonts w:cs="Arial"/>
          <w:szCs w:val="22"/>
          <w:lang w:val="hy-AM"/>
        </w:rPr>
        <w:t>համար 2022-2024թթ. նախատեսվում է հատկացնել համապատասխանաբար՝ 10,632.8 մլն դրամ, 22,383.3 մլն դրամ և 2,000.0 մլն դրամ</w:t>
      </w:r>
      <w:r>
        <w:rPr>
          <w:rFonts w:cs="Tahoma"/>
          <w:szCs w:val="22"/>
          <w:lang w:val="hy-AM"/>
        </w:rPr>
        <w:t>:</w:t>
      </w:r>
    </w:p>
    <w:p w14:paraId="4BE8CC51" w14:textId="77777777" w:rsidR="00DA0E15" w:rsidRDefault="00362131" w:rsidP="00C0628C">
      <w:pPr>
        <w:pStyle w:val="ListParagraph"/>
        <w:numPr>
          <w:ilvl w:val="0"/>
          <w:numId w:val="24"/>
        </w:numPr>
        <w:spacing w:before="0" w:after="0" w:line="276" w:lineRule="auto"/>
        <w:rPr>
          <w:b/>
          <w:lang w:val="hy-AM"/>
        </w:rPr>
      </w:pPr>
      <w:r>
        <w:rPr>
          <w:rFonts w:cs="Sylfaen"/>
          <w:b/>
          <w:lang w:val="hy-AM"/>
        </w:rPr>
        <w:t>«</w:t>
      </w:r>
      <w:r>
        <w:rPr>
          <w:rFonts w:cs="Times Armenian"/>
          <w:b/>
          <w:kern w:val="16"/>
          <w:lang w:val="hy-AM"/>
        </w:rPr>
        <w:t>Ընդերքի ուսումնասիրության, օգտագործման և պահպանման ծառայություններ</w:t>
      </w:r>
      <w:r>
        <w:rPr>
          <w:rFonts w:cs="Arial"/>
          <w:b/>
          <w:lang w:val="hy-AM"/>
        </w:rPr>
        <w:t>» ծրագիր.</w:t>
      </w:r>
      <w:r>
        <w:rPr>
          <w:b/>
          <w:lang w:val="hy-AM"/>
        </w:rPr>
        <w:t xml:space="preserve"> </w:t>
      </w:r>
    </w:p>
    <w:p w14:paraId="3CF32FE5" w14:textId="77777777" w:rsidR="00DA0E15" w:rsidRDefault="00362131">
      <w:pPr>
        <w:spacing w:after="0" w:line="276" w:lineRule="auto"/>
        <w:rPr>
          <w:b/>
          <w:lang w:val="hy-AM"/>
        </w:rPr>
      </w:pPr>
      <w:r>
        <w:rPr>
          <w:rFonts w:cs="Tahoma"/>
          <w:lang w:val="hy-AM"/>
        </w:rPr>
        <w:t>Ծրագրի</w:t>
      </w:r>
      <w:r>
        <w:rPr>
          <w:rFonts w:cs="Arial"/>
          <w:lang w:val="hy-AM"/>
        </w:rPr>
        <w:t xml:space="preserve"> </w:t>
      </w:r>
      <w:r>
        <w:rPr>
          <w:rFonts w:cs="Tahoma"/>
          <w:lang w:val="hy-AM"/>
        </w:rPr>
        <w:t xml:space="preserve">նպատակն է  ընդերքի օգտագործման արդյունավետության բարձրացումը, որի համար </w:t>
      </w:r>
      <w:r>
        <w:rPr>
          <w:rFonts w:cs="Arial"/>
          <w:lang w:val="hy-AM"/>
        </w:rPr>
        <w:t>2022-2024թթ. նախատեսվում է յուրաքանչյուր տարի հատկացնել համապատասխանաբար՝ 89.3 մլն դրամ, 16.9 մլն դրամ և 16.9 մլն դրամ:</w:t>
      </w:r>
    </w:p>
    <w:p w14:paraId="58813051" w14:textId="77777777" w:rsidR="00DA0E15" w:rsidRDefault="00362131" w:rsidP="00C0628C">
      <w:pPr>
        <w:pStyle w:val="ListParagraph"/>
        <w:numPr>
          <w:ilvl w:val="0"/>
          <w:numId w:val="24"/>
        </w:numPr>
        <w:spacing w:before="0" w:after="0" w:line="276" w:lineRule="auto"/>
        <w:rPr>
          <w:b/>
          <w:lang w:val="hy-AM"/>
        </w:rPr>
      </w:pPr>
      <w:r>
        <w:rPr>
          <w:rFonts w:cs="Sylfaen"/>
          <w:b/>
          <w:lang w:val="hy-AM"/>
        </w:rPr>
        <w:t>«</w:t>
      </w:r>
      <w:r>
        <w:rPr>
          <w:rFonts w:cs="Times Armenian"/>
          <w:b/>
          <w:kern w:val="16"/>
          <w:lang w:val="hy-AM"/>
        </w:rPr>
        <w:t>Երկաթուղային ցանցի զարգացում</w:t>
      </w:r>
      <w:r>
        <w:rPr>
          <w:rFonts w:cs="Arial"/>
          <w:b/>
          <w:lang w:val="hy-AM"/>
        </w:rPr>
        <w:t>» ծրագիր.</w:t>
      </w:r>
      <w:r>
        <w:rPr>
          <w:b/>
          <w:lang w:val="hy-AM"/>
        </w:rPr>
        <w:t xml:space="preserve"> </w:t>
      </w:r>
    </w:p>
    <w:p w14:paraId="6F27823E" w14:textId="77777777" w:rsidR="00DA0E15" w:rsidRDefault="00362131">
      <w:pPr>
        <w:pStyle w:val="NormalWeb"/>
        <w:spacing w:before="0" w:after="0" w:line="276" w:lineRule="auto"/>
        <w:rPr>
          <w:rFonts w:cs="Tahoma"/>
          <w:szCs w:val="22"/>
          <w:lang w:val="hy-AM"/>
        </w:rPr>
      </w:pPr>
      <w:r>
        <w:rPr>
          <w:rFonts w:cs="Tahoma"/>
          <w:szCs w:val="22"/>
          <w:lang w:val="hy-AM"/>
        </w:rPr>
        <w:t>Ծրագրի</w:t>
      </w:r>
      <w:r>
        <w:rPr>
          <w:rFonts w:cs="Arial"/>
          <w:szCs w:val="22"/>
          <w:lang w:val="hy-AM"/>
        </w:rPr>
        <w:t xml:space="preserve"> շրջանակում ուղևորափոխադրումներից ստացված վնասի դիմաց «Հարավկովկասյան երկաթուղի» ՓԲԸ-ին սուբսիդիայի տրամադրման համար նախատեսվում է 2022-2024թթ. հատկացնել համապատասխանաբար՝ 423.0 մլն դրամ, 437.0 մլն դրամ և 444.0 մլն դրամ</w:t>
      </w:r>
      <w:r>
        <w:rPr>
          <w:rFonts w:cs="Tahoma"/>
          <w:szCs w:val="22"/>
          <w:lang w:val="hy-AM"/>
        </w:rPr>
        <w:t xml:space="preserve">: </w:t>
      </w:r>
    </w:p>
    <w:p w14:paraId="59BC772A" w14:textId="77777777" w:rsidR="00DA0E15" w:rsidRDefault="00362131">
      <w:pPr>
        <w:pStyle w:val="NormalWeb"/>
        <w:spacing w:before="0" w:after="0" w:line="276" w:lineRule="auto"/>
        <w:rPr>
          <w:rFonts w:cs="Arial"/>
          <w:szCs w:val="22"/>
          <w:lang w:val="hy-AM"/>
        </w:rPr>
      </w:pPr>
      <w:r>
        <w:rPr>
          <w:rFonts w:cs="Sylfaen"/>
          <w:b/>
          <w:szCs w:val="22"/>
          <w:lang w:val="hy-AM"/>
        </w:rPr>
        <w:t>13. «</w:t>
      </w:r>
      <w:r>
        <w:rPr>
          <w:rFonts w:cs="Times Armenian"/>
          <w:b/>
          <w:kern w:val="16"/>
          <w:szCs w:val="22"/>
          <w:lang w:val="hy-AM"/>
        </w:rPr>
        <w:t>Պետական գույքի կառավարում</w:t>
      </w:r>
      <w:r>
        <w:rPr>
          <w:rFonts w:cs="Arial"/>
          <w:b/>
          <w:szCs w:val="22"/>
          <w:lang w:val="hy-AM"/>
        </w:rPr>
        <w:t>» ծրագիր.</w:t>
      </w:r>
    </w:p>
    <w:p w14:paraId="2E345CCD" w14:textId="77777777" w:rsidR="00DA0E15" w:rsidRDefault="00362131">
      <w:pPr>
        <w:spacing w:after="0" w:line="276" w:lineRule="auto"/>
        <w:rPr>
          <w:rFonts w:cs="Tahoma"/>
          <w:lang w:val="hy-AM"/>
        </w:rPr>
      </w:pPr>
      <w:r>
        <w:rPr>
          <w:rFonts w:cs="Arial"/>
          <w:lang w:val="hy-AM"/>
        </w:rPr>
        <w:t>Ծրագրի նպատակն է պետական գույքի համալիր և արդյունավետ կառավարման ապահովումը, որի համար նախատեսվում է 2022-2024թթ. հատկացնել համապատասխանաբար՝ 1,121.0 մլն դրամ, 1,149.3 մլն դրամ և 1,198.6 մլն դրամ</w:t>
      </w:r>
      <w:r>
        <w:rPr>
          <w:rFonts w:cs="Tahoma"/>
          <w:lang w:val="hy-AM"/>
        </w:rPr>
        <w:t>:</w:t>
      </w:r>
    </w:p>
    <w:p w14:paraId="29D8F672" w14:textId="77777777" w:rsidR="00DA0E15" w:rsidRDefault="00362131">
      <w:pPr>
        <w:pStyle w:val="NormalWeb"/>
        <w:spacing w:before="0" w:after="0" w:line="276" w:lineRule="auto"/>
        <w:rPr>
          <w:rFonts w:cs="Arial"/>
          <w:b/>
          <w:szCs w:val="22"/>
          <w:lang w:val="hy-AM"/>
        </w:rPr>
      </w:pPr>
      <w:r>
        <w:rPr>
          <w:rFonts w:cs="Sylfaen"/>
          <w:b/>
          <w:szCs w:val="22"/>
          <w:lang w:val="hy-AM"/>
        </w:rPr>
        <w:t>14. «Միգրացիոն բնագավառում պետական քաղաքականության մշակում և իրականացում</w:t>
      </w:r>
      <w:r>
        <w:rPr>
          <w:rFonts w:cs="Arial"/>
          <w:b/>
          <w:szCs w:val="22"/>
          <w:lang w:val="hy-AM"/>
        </w:rPr>
        <w:t>» և «Ջրային տնտեսության ոլորտում ծրագրերի համակարգում և մոնիտորինգ» ծրագրեր.</w:t>
      </w:r>
    </w:p>
    <w:p w14:paraId="03734251" w14:textId="77777777" w:rsidR="00DA0E15" w:rsidRDefault="00362131">
      <w:pPr>
        <w:spacing w:after="0" w:line="276" w:lineRule="auto"/>
        <w:rPr>
          <w:rFonts w:cs="Tahoma"/>
          <w:lang w:val="hy-AM"/>
        </w:rPr>
      </w:pPr>
      <w:r>
        <w:rPr>
          <w:rFonts w:cs="Arial"/>
          <w:lang w:val="hy-AM"/>
        </w:rPr>
        <w:t>Նշված ծրագրերի նպատակն է  միգրացիոն պետական քաղաքականության մշակումն ու  ջրային տնտեսության ոլորտում ծրագրերի համակարգում և մոնիտորինգը, որոնց համար նախատեսվում է 2022-2024թթ. հատկացնել համապատասխանաբար՝ 548.2 մլն դրամ, 553.6 մլն դրամ և 559.0 մլն դրամ</w:t>
      </w:r>
      <w:r>
        <w:rPr>
          <w:rFonts w:cs="Tahoma"/>
          <w:lang w:val="hy-AM"/>
        </w:rPr>
        <w:t>:</w:t>
      </w:r>
    </w:p>
    <w:p w14:paraId="77C3DB2A" w14:textId="77777777" w:rsidR="00DA0E15" w:rsidRDefault="00362131">
      <w:pPr>
        <w:pStyle w:val="NormalWeb"/>
        <w:spacing w:before="0" w:after="0" w:line="276" w:lineRule="auto"/>
        <w:rPr>
          <w:rFonts w:cs="Sylfaen"/>
          <w:b/>
          <w:szCs w:val="22"/>
          <w:lang w:val="hy-AM"/>
        </w:rPr>
      </w:pPr>
      <w:r>
        <w:rPr>
          <w:rFonts w:cs="Sylfaen"/>
          <w:b/>
          <w:szCs w:val="22"/>
          <w:lang w:val="hy-AM"/>
        </w:rPr>
        <w:t>15. «Այլընտրանքային աշխատանքային ծառայություն» ծրագիր.</w:t>
      </w:r>
    </w:p>
    <w:p w14:paraId="2FBBCDE0" w14:textId="77777777" w:rsidR="00DA0E15" w:rsidRDefault="00362131">
      <w:pPr>
        <w:overflowPunct w:val="0"/>
        <w:autoSpaceDE w:val="0"/>
        <w:autoSpaceDN w:val="0"/>
        <w:adjustRightInd w:val="0"/>
        <w:spacing w:after="0" w:line="276" w:lineRule="auto"/>
        <w:textAlignment w:val="baseline"/>
        <w:rPr>
          <w:rFonts w:cs="Arial"/>
          <w:lang w:val="hy-AM"/>
        </w:rPr>
      </w:pPr>
      <w:r>
        <w:rPr>
          <w:rFonts w:cs="Arial"/>
          <w:lang w:val="hy-AM"/>
        </w:rPr>
        <w:t xml:space="preserve">Ծրագրի նպատակն է </w:t>
      </w:r>
      <w:r>
        <w:rPr>
          <w:rFonts w:cs="Times Armenian"/>
          <w:kern w:val="16"/>
          <w:lang w:val="hy-AM"/>
        </w:rPr>
        <w:t>քաղաքացիական պարտքի կատարման այլընտրանքային տարբերակների ապահովումը</w:t>
      </w:r>
      <w:r>
        <w:rPr>
          <w:rFonts w:cs="Arial"/>
          <w:lang w:val="hy-AM"/>
        </w:rPr>
        <w:t>, որի շրջանակում այլընտրանքային աշխատանքային ծառայողներին դրամական բավարարման և փոխհատուցման տրամադրման նպատակով նախատեսվում է 2022-2024թթ. հատկացնել համապատասխանաբար՝ 26.6 մլն դրամ, 12.1 մլն դրամ և 1.5 մլն դրամ:</w:t>
      </w:r>
    </w:p>
    <w:p w14:paraId="52D5C857" w14:textId="77777777" w:rsidR="00DA0E15" w:rsidRDefault="00362131">
      <w:pPr>
        <w:pStyle w:val="NormalWeb"/>
        <w:spacing w:before="0" w:after="0" w:line="276" w:lineRule="auto"/>
        <w:rPr>
          <w:rFonts w:cs="Sylfaen"/>
          <w:b/>
          <w:szCs w:val="22"/>
          <w:lang w:val="hy-AM"/>
        </w:rPr>
      </w:pPr>
      <w:r>
        <w:rPr>
          <w:rFonts w:cs="Sylfaen"/>
          <w:b/>
          <w:szCs w:val="22"/>
          <w:lang w:val="hy-AM"/>
        </w:rPr>
        <w:t>16. «Քաղաքային զարգացում» ծրագիր.</w:t>
      </w:r>
    </w:p>
    <w:p w14:paraId="6E7393C2" w14:textId="77777777" w:rsidR="00DA0E15" w:rsidRDefault="00362131">
      <w:pPr>
        <w:pStyle w:val="NormalWeb"/>
        <w:spacing w:before="0" w:after="0" w:line="276" w:lineRule="auto"/>
        <w:rPr>
          <w:rFonts w:cs="Tahoma"/>
          <w:szCs w:val="22"/>
          <w:lang w:val="hy-AM"/>
        </w:rPr>
      </w:pPr>
      <w:r>
        <w:rPr>
          <w:rFonts w:cs="Arial"/>
          <w:szCs w:val="22"/>
          <w:lang w:val="hy-AM"/>
        </w:rPr>
        <w:t>Ծրագրի նպատակն է քաղաքային ենթակառուցվածքների զարգացումը, որի համար նախատեսվում է 2022-2024թթ. հատկացնել համապատասխանաբար՝ 18,006.5 մլն դրամ, 25,215.9 մլն դրամ և 15,115.9 մլն դրամ</w:t>
      </w:r>
      <w:r>
        <w:rPr>
          <w:rFonts w:cs="Tahoma"/>
          <w:szCs w:val="22"/>
          <w:lang w:val="hy-AM"/>
        </w:rPr>
        <w:t>:</w:t>
      </w:r>
    </w:p>
    <w:p w14:paraId="62F877BB" w14:textId="77777777" w:rsidR="00DA0E15" w:rsidRDefault="00362131">
      <w:pPr>
        <w:overflowPunct w:val="0"/>
        <w:autoSpaceDE w:val="0"/>
        <w:autoSpaceDN w:val="0"/>
        <w:adjustRightInd w:val="0"/>
        <w:spacing w:after="0" w:line="276" w:lineRule="auto"/>
        <w:textAlignment w:val="baseline"/>
        <w:rPr>
          <w:rFonts w:cs="Sylfaen"/>
          <w:b/>
          <w:lang w:val="hy-AM"/>
        </w:rPr>
      </w:pPr>
      <w:r>
        <w:rPr>
          <w:rFonts w:cs="Sylfaen"/>
          <w:b/>
          <w:lang w:val="hy-AM"/>
        </w:rPr>
        <w:t>17. «Էլեկտրաէներգետիկ համակարգի զարգացման ծրագիր» ծրագիր.</w:t>
      </w:r>
    </w:p>
    <w:p w14:paraId="71161D51" w14:textId="77777777" w:rsidR="00DA0E15" w:rsidRDefault="00362131">
      <w:pPr>
        <w:pStyle w:val="NormalWeb"/>
        <w:spacing w:before="0" w:after="0" w:line="276" w:lineRule="auto"/>
        <w:rPr>
          <w:rFonts w:cs="Tahoma"/>
          <w:szCs w:val="22"/>
          <w:lang w:val="hy-AM"/>
        </w:rPr>
      </w:pPr>
      <w:r>
        <w:rPr>
          <w:rFonts w:cs="Arial"/>
          <w:szCs w:val="22"/>
          <w:lang w:val="hy-AM"/>
        </w:rPr>
        <w:t>Ծրագրի նպատակն է նպաստել էլեկտրաէներգետիկ համակարգի հուսալիության բարձրացմանը և էլեկտրաէներգիայի անխափան մատակարարման ապահովումը, որի համար նախատեսվում է 2022-2024թթ. հատկացնել համապատասխանաբար՝ 1,004.8 մլն դրամ, 1,354.7 մլն դրամ և 2,453.6 մլն դրամ</w:t>
      </w:r>
      <w:r>
        <w:rPr>
          <w:rFonts w:cs="Tahoma"/>
          <w:szCs w:val="22"/>
          <w:lang w:val="hy-AM"/>
        </w:rPr>
        <w:t>:</w:t>
      </w:r>
    </w:p>
    <w:p w14:paraId="786FAB34" w14:textId="77777777" w:rsidR="00DA0E15" w:rsidRDefault="00362131">
      <w:pPr>
        <w:overflowPunct w:val="0"/>
        <w:autoSpaceDE w:val="0"/>
        <w:autoSpaceDN w:val="0"/>
        <w:adjustRightInd w:val="0"/>
        <w:spacing w:after="0" w:line="276" w:lineRule="auto"/>
        <w:textAlignment w:val="baseline"/>
        <w:rPr>
          <w:rFonts w:cs="Sylfaen"/>
          <w:b/>
          <w:lang w:val="hy-AM"/>
        </w:rPr>
      </w:pPr>
      <w:r>
        <w:rPr>
          <w:rFonts w:cs="Sylfaen"/>
          <w:b/>
          <w:lang w:val="hy-AM"/>
        </w:rPr>
        <w:t>18. «Ռադիոակտիվ թափոնների կառավարում» ծրագիր.</w:t>
      </w:r>
    </w:p>
    <w:p w14:paraId="6F07D09D" w14:textId="77777777" w:rsidR="00DA0E15" w:rsidRDefault="00362131">
      <w:pPr>
        <w:pStyle w:val="NormalWeb"/>
        <w:spacing w:before="0" w:after="0" w:line="276" w:lineRule="auto"/>
        <w:rPr>
          <w:rFonts w:cs="Arial"/>
          <w:szCs w:val="22"/>
          <w:lang w:val="hy-AM"/>
        </w:rPr>
      </w:pPr>
      <w:r>
        <w:rPr>
          <w:rFonts w:cs="Arial"/>
          <w:szCs w:val="22"/>
          <w:lang w:val="hy-AM"/>
        </w:rPr>
        <w:t>Ծրագրի նպատակն է ռադիոակտիվ թափոնների վնասակար ազդեցությունից բնակչության և շրջակա միջավայրի պաշտպանությունը, որի համար նախատեսվում է 2022-2024թթ. յուրաքանչյուր տարի հատկացնել 37.0 մլն դրամ:</w:t>
      </w:r>
    </w:p>
    <w:p w14:paraId="19DB1870" w14:textId="77777777" w:rsidR="00DA0E15" w:rsidRDefault="00362131">
      <w:pPr>
        <w:overflowPunct w:val="0"/>
        <w:autoSpaceDE w:val="0"/>
        <w:autoSpaceDN w:val="0"/>
        <w:adjustRightInd w:val="0"/>
        <w:spacing w:after="0" w:line="276" w:lineRule="auto"/>
        <w:textAlignment w:val="baseline"/>
        <w:rPr>
          <w:rFonts w:cs="Times Armenian"/>
          <w:b/>
          <w:kern w:val="16"/>
          <w:lang w:val="hy-AM"/>
        </w:rPr>
      </w:pPr>
      <w:r>
        <w:rPr>
          <w:rFonts w:cs="Sylfaen"/>
          <w:b/>
          <w:lang w:val="hy-AM"/>
        </w:rPr>
        <w:t>19. «</w:t>
      </w:r>
      <w:r>
        <w:rPr>
          <w:rFonts w:cs="Times Armenian"/>
          <w:b/>
          <w:kern w:val="16"/>
          <w:lang w:val="hy-AM"/>
        </w:rPr>
        <w:t>Ավիացիայի բնագավառում վերահսկողության և կանոնակարգման ապահովում</w:t>
      </w:r>
      <w:r>
        <w:rPr>
          <w:rFonts w:cs="Sylfaen"/>
          <w:b/>
          <w:lang w:val="hy-AM"/>
        </w:rPr>
        <w:t>» ծրագիր.</w:t>
      </w:r>
    </w:p>
    <w:p w14:paraId="05454ED7" w14:textId="77777777" w:rsidR="00DA0E15" w:rsidRDefault="00362131">
      <w:pPr>
        <w:overflowPunct w:val="0"/>
        <w:autoSpaceDE w:val="0"/>
        <w:autoSpaceDN w:val="0"/>
        <w:adjustRightInd w:val="0"/>
        <w:spacing w:after="0" w:line="276" w:lineRule="auto"/>
        <w:textAlignment w:val="baseline"/>
        <w:rPr>
          <w:rFonts w:cs="Arial"/>
          <w:lang w:val="hy-AM"/>
        </w:rPr>
      </w:pPr>
      <w:r>
        <w:rPr>
          <w:rFonts w:cs="Arial"/>
          <w:lang w:val="hy-AM"/>
        </w:rPr>
        <w:t xml:space="preserve">Ծրագրի նպատակն է ավիացիայի բնագավառում վերահսկողության և կանոնակարգման ապահովումն է, որի համար նախատեսվում է 2022-2024թթ. հատկացնել 1,126.6 մլն դրամ, 1,188.7 մլն դրամ և 1,264.1 մլն դրամ: </w:t>
      </w:r>
    </w:p>
    <w:p w14:paraId="4EEE52E4" w14:textId="77777777" w:rsidR="00DA0E15" w:rsidRDefault="00362131">
      <w:pPr>
        <w:overflowPunct w:val="0"/>
        <w:autoSpaceDE w:val="0"/>
        <w:autoSpaceDN w:val="0"/>
        <w:adjustRightInd w:val="0"/>
        <w:spacing w:after="0" w:line="276" w:lineRule="auto"/>
        <w:textAlignment w:val="baseline"/>
        <w:rPr>
          <w:rFonts w:cs="Arial"/>
          <w:b/>
          <w:lang w:val="hy-AM"/>
        </w:rPr>
      </w:pPr>
      <w:r>
        <w:rPr>
          <w:rFonts w:cs="Sylfaen"/>
          <w:b/>
          <w:lang w:val="hy-AM"/>
        </w:rPr>
        <w:t>20. «</w:t>
      </w:r>
      <w:r>
        <w:rPr>
          <w:rFonts w:cs="Arial"/>
          <w:b/>
          <w:lang w:val="hy-AM"/>
        </w:rPr>
        <w:t>Դպրոցների սեյսմիկ անվտանգության մակարդակի բարձրացման ծրագիր</w:t>
      </w:r>
      <w:r>
        <w:rPr>
          <w:rFonts w:cs="Sylfaen"/>
          <w:b/>
          <w:lang w:val="hy-AM"/>
        </w:rPr>
        <w:t>» ծրագիր.</w:t>
      </w:r>
    </w:p>
    <w:p w14:paraId="27EEC4EE" w14:textId="77777777" w:rsidR="00DA0E15" w:rsidRDefault="00362131">
      <w:pPr>
        <w:pStyle w:val="NormalWeb"/>
        <w:spacing w:before="0" w:after="0" w:line="276" w:lineRule="auto"/>
        <w:rPr>
          <w:rFonts w:cs="Tahoma"/>
          <w:szCs w:val="22"/>
          <w:lang w:val="hy-AM"/>
        </w:rPr>
      </w:pPr>
      <w:r>
        <w:rPr>
          <w:rFonts w:cs="Arial"/>
          <w:szCs w:val="22"/>
          <w:lang w:val="hy-AM"/>
        </w:rPr>
        <w:t>Ծրագրի  նպատակն է նպաստել երկրի սեյսմակայունության ապահովմանը, անհատական և հասարակական անվտանգության մակարդակի բարձրացմանը, որի համար նախատեսվում է 2022-2024թթ. հատկացնել համապատասխանաբար՝ 2,910.0 մլն դրամ, 3,203.8 մլն դրամ և 3,179.0 մլն դրամ</w:t>
      </w:r>
      <w:r>
        <w:rPr>
          <w:rFonts w:cs="Tahoma"/>
          <w:szCs w:val="22"/>
          <w:lang w:val="hy-AM"/>
        </w:rPr>
        <w:t>:</w:t>
      </w:r>
    </w:p>
    <w:p w14:paraId="0E05989C" w14:textId="77777777" w:rsidR="00DA0E15" w:rsidRDefault="00362131">
      <w:pPr>
        <w:overflowPunct w:val="0"/>
        <w:autoSpaceDE w:val="0"/>
        <w:autoSpaceDN w:val="0"/>
        <w:adjustRightInd w:val="0"/>
        <w:spacing w:after="0" w:line="276" w:lineRule="auto"/>
        <w:textAlignment w:val="baseline"/>
        <w:rPr>
          <w:rFonts w:cs="Arial"/>
          <w:b/>
          <w:lang w:val="hy-AM"/>
        </w:rPr>
      </w:pPr>
      <w:r>
        <w:rPr>
          <w:rFonts w:cs="Sylfaen"/>
          <w:b/>
          <w:lang w:val="hy-AM"/>
        </w:rPr>
        <w:t>21. «</w:t>
      </w:r>
      <w:r>
        <w:rPr>
          <w:rFonts w:cs="Arial"/>
          <w:b/>
          <w:lang w:val="hy-AM"/>
        </w:rPr>
        <w:t>Տարածքային զարգացում</w:t>
      </w:r>
      <w:r>
        <w:rPr>
          <w:rFonts w:cs="Sylfaen"/>
          <w:b/>
          <w:lang w:val="hy-AM"/>
        </w:rPr>
        <w:t>» ծրագիր.</w:t>
      </w:r>
    </w:p>
    <w:p w14:paraId="07BC4A5A" w14:textId="77777777" w:rsidR="00DA0E15" w:rsidRDefault="00362131">
      <w:pPr>
        <w:pStyle w:val="NormalWeb"/>
        <w:spacing w:before="0" w:after="0" w:line="276" w:lineRule="auto"/>
        <w:rPr>
          <w:rFonts w:cs="Arial"/>
          <w:szCs w:val="22"/>
          <w:lang w:val="hy-AM"/>
        </w:rPr>
      </w:pPr>
      <w:r>
        <w:rPr>
          <w:rFonts w:cs="Arial"/>
          <w:szCs w:val="22"/>
          <w:lang w:val="hy-AM"/>
        </w:rPr>
        <w:t>Ծրագրի  նպատակն է ՀՀ համայնքների կառավարման արդյունավետության բարձրացումն ու տնտեսական գործունեության խթանումը, որի համար նախատեսվում է 2022-2024թթ. հատկացնել 68,642.6 մլն դրամ, 74,566.0 մլն դրամ և 8</w:t>
      </w:r>
      <w:r w:rsidR="006A4FEB" w:rsidRPr="006A4FEB">
        <w:rPr>
          <w:rFonts w:cs="Arial"/>
          <w:szCs w:val="22"/>
          <w:lang w:val="hy-AM"/>
        </w:rPr>
        <w:t>2</w:t>
      </w:r>
      <w:r>
        <w:rPr>
          <w:rFonts w:cs="Arial"/>
          <w:szCs w:val="22"/>
          <w:lang w:val="hy-AM"/>
        </w:rPr>
        <w:t>,</w:t>
      </w:r>
      <w:r w:rsidR="006A4FEB" w:rsidRPr="006A4FEB">
        <w:rPr>
          <w:rFonts w:cs="Arial"/>
          <w:szCs w:val="22"/>
          <w:lang w:val="hy-AM"/>
        </w:rPr>
        <w:t>913</w:t>
      </w:r>
      <w:r>
        <w:rPr>
          <w:rFonts w:cs="Arial"/>
          <w:szCs w:val="22"/>
          <w:lang w:val="hy-AM"/>
        </w:rPr>
        <w:t>.</w:t>
      </w:r>
      <w:r w:rsidR="006A4FEB" w:rsidRPr="00FE2BBE">
        <w:rPr>
          <w:rFonts w:cs="Arial"/>
          <w:szCs w:val="22"/>
          <w:lang w:val="hy-AM"/>
        </w:rPr>
        <w:t>5</w:t>
      </w:r>
      <w:r>
        <w:rPr>
          <w:rFonts w:cs="Arial"/>
          <w:szCs w:val="22"/>
          <w:lang w:val="hy-AM"/>
        </w:rPr>
        <w:t xml:space="preserve"> մլն դրամ:</w:t>
      </w:r>
      <w:r>
        <w:rPr>
          <w:rFonts w:cs="Arial"/>
          <w:szCs w:val="22"/>
          <w:lang w:val="hy-AM"/>
        </w:rPr>
        <w:cr/>
        <w:t xml:space="preserve"> </w:t>
      </w:r>
      <w:r>
        <w:rPr>
          <w:rFonts w:cs="Arial"/>
          <w:szCs w:val="22"/>
          <w:lang w:val="hy-AM"/>
        </w:rPr>
        <w:tab/>
        <w:t>Ստորև ներկայացված են Տարածքային կառավարման և ենթակառուցվածքների բնագավառի 2022-2024թթ</w:t>
      </w:r>
      <w:r>
        <w:rPr>
          <w:rFonts w:ascii="Cambria Math" w:eastAsia="MS Mincho" w:hAnsi="Cambria Math" w:cs="Cambria Math"/>
          <w:szCs w:val="22"/>
          <w:lang w:val="hy-AM"/>
        </w:rPr>
        <w:t xml:space="preserve">․ </w:t>
      </w:r>
      <w:r>
        <w:rPr>
          <w:rFonts w:cs="Arial"/>
          <w:szCs w:val="22"/>
          <w:lang w:val="hy-AM"/>
        </w:rPr>
        <w:t>յուրաքանչյուր տարվա համար նախատեսված չափաքանակները.</w:t>
      </w:r>
    </w:p>
    <w:p w14:paraId="5D7D2294" w14:textId="77777777" w:rsidR="00DA0E15" w:rsidRDefault="00362131">
      <w:pPr>
        <w:spacing w:after="0" w:line="276" w:lineRule="auto"/>
        <w:rPr>
          <w:lang w:val="hy-AM"/>
        </w:rPr>
      </w:pPr>
      <w:r>
        <w:rPr>
          <w:lang w:val="hy-AM"/>
        </w:rPr>
        <w:t>2022 թվականի համար՝ 171,274.8 մլն դրամ,</w:t>
      </w:r>
    </w:p>
    <w:p w14:paraId="24A47756" w14:textId="77777777" w:rsidR="00DA0E15" w:rsidRDefault="00362131">
      <w:pPr>
        <w:spacing w:after="0" w:line="276" w:lineRule="auto"/>
        <w:rPr>
          <w:lang w:val="hy-AM"/>
        </w:rPr>
      </w:pPr>
      <w:r>
        <w:rPr>
          <w:lang w:val="hy-AM"/>
        </w:rPr>
        <w:t>2023 թվականի համար՝ 216,907.5 մլն դրամ,</w:t>
      </w:r>
    </w:p>
    <w:p w14:paraId="5482E37A" w14:textId="77777777" w:rsidR="00DA0E15" w:rsidRDefault="00362131">
      <w:pPr>
        <w:spacing w:after="0" w:line="276" w:lineRule="auto"/>
        <w:rPr>
          <w:lang w:val="hy-AM"/>
        </w:rPr>
      </w:pPr>
      <w:r>
        <w:rPr>
          <w:lang w:val="hy-AM"/>
        </w:rPr>
        <w:t>2024 թվականի համար՝ 237,</w:t>
      </w:r>
      <w:r w:rsidR="00FE2BBE" w:rsidRPr="001A4AC4">
        <w:rPr>
          <w:lang w:val="hy-AM"/>
        </w:rPr>
        <w:t>007</w:t>
      </w:r>
      <w:r>
        <w:rPr>
          <w:lang w:val="hy-AM"/>
        </w:rPr>
        <w:t>.</w:t>
      </w:r>
      <w:r w:rsidR="00FE2BBE" w:rsidRPr="001A4AC4">
        <w:rPr>
          <w:lang w:val="hy-AM"/>
        </w:rPr>
        <w:t>2</w:t>
      </w:r>
      <w:r>
        <w:rPr>
          <w:lang w:val="hy-AM"/>
        </w:rPr>
        <w:t xml:space="preserve"> մլն դրամ:</w:t>
      </w:r>
    </w:p>
    <w:p w14:paraId="6CD8166D" w14:textId="77777777" w:rsidR="00DA0E15" w:rsidRDefault="00362131">
      <w:pPr>
        <w:pStyle w:val="Heading3"/>
        <w:spacing w:before="0" w:after="120" w:line="276" w:lineRule="auto"/>
        <w:jc w:val="both"/>
        <w:rPr>
          <w:rFonts w:eastAsia="Times New Roman" w:cs="Times New Roman"/>
          <w:caps w:val="0"/>
          <w:color w:val="1F497D" w:themeColor="text2"/>
          <w:sz w:val="28"/>
          <w:szCs w:val="28"/>
        </w:rPr>
      </w:pPr>
      <w:bookmarkStart w:id="605" w:name="_Toc45637523"/>
      <w:bookmarkStart w:id="606" w:name="_Toc45838547"/>
      <w:bookmarkStart w:id="607" w:name="_Toc77837876"/>
      <w:bookmarkEnd w:id="578"/>
      <w:bookmarkEnd w:id="579"/>
      <w:bookmarkEnd w:id="580"/>
      <w:bookmarkEnd w:id="581"/>
      <w:bookmarkEnd w:id="582"/>
      <w:bookmarkEnd w:id="583"/>
      <w:bookmarkEnd w:id="584"/>
      <w:bookmarkEnd w:id="585"/>
      <w:bookmarkEnd w:id="586"/>
      <w:bookmarkEnd w:id="587"/>
      <w:bookmarkEnd w:id="595"/>
      <w:bookmarkEnd w:id="596"/>
      <w:r w:rsidRPr="00FA0954">
        <w:rPr>
          <w:rFonts w:eastAsia="Times New Roman" w:cs="Times New Roman"/>
          <w:caps w:val="0"/>
          <w:color w:val="1F497D" w:themeColor="text2"/>
          <w:sz w:val="28"/>
          <w:szCs w:val="28"/>
        </w:rPr>
        <w:t>7</w:t>
      </w:r>
      <w:r>
        <w:rPr>
          <w:rFonts w:eastAsia="Times New Roman" w:cs="Times New Roman"/>
          <w:caps w:val="0"/>
          <w:color w:val="1F497D" w:themeColor="text2"/>
          <w:sz w:val="28"/>
          <w:szCs w:val="28"/>
        </w:rPr>
        <w:t>. ԷԿՈՆՈՄԻԿԱ</w:t>
      </w:r>
      <w:bookmarkEnd w:id="605"/>
      <w:bookmarkEnd w:id="606"/>
      <w:bookmarkEnd w:id="607"/>
    </w:p>
    <w:p w14:paraId="38E15440" w14:textId="77777777" w:rsidR="00DA0E15" w:rsidRDefault="00362131">
      <w:pPr>
        <w:spacing w:line="276" w:lineRule="auto"/>
        <w:ind w:firstLine="360"/>
        <w:rPr>
          <w:rFonts w:cs="Sylfaen"/>
          <w:lang w:val="hy-AM"/>
        </w:rPr>
      </w:pPr>
      <w:r>
        <w:rPr>
          <w:rFonts w:cs="Sylfaen"/>
          <w:lang w:val="hy-AM"/>
        </w:rPr>
        <w:t>Առաջիկա տարիներին տնտեսական քաղաքականության հիմնական նպատակը լինելու է Հայաստանի քաղաքացիների բարեկեցության բարձրացումը՝ տնտեսական կյանքում նրանց մասնակցային հնարավորությունների ավելացման միջոցով, ինչը դրսևորվելու է մրցունակ մասնավոր հատվածում աշխատատեղերի և յուրաքանչյուր մարդու աշխատանքային եկամուտների զգալի ավելացման ձևով։ Նպատակի իրականացմանն ուղղված քաղաքականությունների շրջանակն ամփոփվում է մրցունակության բարձրացման գաղափարի ներքո, որի հիմքում ընկած է արտադրողականության աճը: Ցածր արտադրողականությունը հայաստանյան տնտեսության հիմնական ռիսկն է։ Երկարաժամկետ կտրվածքով բնակչության բարեկեցությունը բարելավելու կարողությունը գրեթե լիովին կախված է լինելու մեկ աշխատողի հաշվով թողարկման մակարդակը բարձրացնելու ունակությունից:</w:t>
      </w:r>
    </w:p>
    <w:p w14:paraId="3769F072" w14:textId="77777777" w:rsidR="00DA0E15" w:rsidRDefault="00362131">
      <w:pPr>
        <w:spacing w:line="276" w:lineRule="auto"/>
        <w:ind w:firstLine="360"/>
        <w:rPr>
          <w:rFonts w:cs="Sylfaen"/>
          <w:lang w:val="hy-AM"/>
        </w:rPr>
      </w:pPr>
      <w:r>
        <w:rPr>
          <w:rFonts w:cs="Sylfaen"/>
          <w:lang w:val="hy-AM"/>
        </w:rPr>
        <w:t>Հայաստանի Հանրապետության ագրարային հատվածում կառավարության կողմից իրականացվող քաղաքականությունը առաջիկա տարիներին կնպատակաուղղվի ճյուղի և նրան սպասար</w:t>
      </w:r>
      <w:r>
        <w:rPr>
          <w:rFonts w:cs="Sylfaen"/>
          <w:lang w:val="hy-AM"/>
        </w:rPr>
        <w:softHyphen/>
        <w:t>կող ոլորտների գործունեության արդյունավետության բարձրացմանը և դրա հիման վրա պայ</w:t>
      </w:r>
      <w:r>
        <w:rPr>
          <w:rFonts w:cs="Sylfaen"/>
          <w:lang w:val="hy-AM"/>
        </w:rPr>
        <w:softHyphen/>
        <w:t>մաններ կստեղծվեն գյուղատնտեսության հետագա զարգացման և ընդլայնված վերարտա</w:t>
      </w:r>
      <w:r>
        <w:rPr>
          <w:rFonts w:cs="Sylfaen"/>
          <w:lang w:val="hy-AM"/>
        </w:rPr>
        <w:softHyphen/>
        <w:t>դրու</w:t>
      </w:r>
      <w:r>
        <w:rPr>
          <w:rFonts w:cs="Sylfaen"/>
          <w:lang w:val="hy-AM"/>
        </w:rPr>
        <w:softHyphen/>
        <w:t xml:space="preserve">թյան կազմակերպման, գյուղացիական տնտեսությունների իրական եկամուտների ավելացման, հանրապետության պարենային ապահովության և պարենային անվտանգության մակարդակի բարձրացման, բնակչության աղքատության մակարդակի կրճատման համար։ </w:t>
      </w:r>
    </w:p>
    <w:p w14:paraId="763A0D0B" w14:textId="77777777" w:rsidR="00DA0E15" w:rsidRDefault="00362131">
      <w:pPr>
        <w:spacing w:line="276" w:lineRule="auto"/>
        <w:ind w:firstLine="360"/>
        <w:rPr>
          <w:rFonts w:cs="Sylfaen"/>
          <w:lang w:val="hy-AM"/>
        </w:rPr>
      </w:pPr>
      <w:r>
        <w:rPr>
          <w:rFonts w:cs="Sylfaen"/>
          <w:lang w:val="hy-AM"/>
        </w:rPr>
        <w:t>Կանխատեսելի և վստահելի գործարար միջավայրը լինելու է ներդրումների ներգրավման հիմնական գրավականը և ապահովելու է ինչպես ներքին գործարար ներուժի իրացման արդյունավետ կենսամիջավայր, այնպես էլ օտարերկրյա ներդրումների կայուն ներհոսք: Մեծ են հավակնությունները օտարերկրյա ուղղակի ներդրումների ներգրավման ասպարեզում, որոնք ամրապնդվելու են ոչ միայն երկրի ու Կառավարության հանդեպ ձևավորված վստահության աննախադեպ պաշարով, այլև ինստիտուցիոնալ ու օրենսդրական դաշտում նոր նախաձեռնություններ մեկնարկելու և մեկնարկած մի շարք բարեփոխումների գծով արդյունավետ ու արագ ընթացք ապահովելու պատրաստակամությամբ:</w:t>
      </w:r>
    </w:p>
    <w:p w14:paraId="2C1351B6" w14:textId="77777777" w:rsidR="00DA0E15" w:rsidRDefault="00362131">
      <w:pPr>
        <w:spacing w:line="276" w:lineRule="auto"/>
        <w:ind w:firstLine="360"/>
        <w:rPr>
          <w:rFonts w:cs="Sylfaen"/>
          <w:lang w:val="hy-AM"/>
        </w:rPr>
      </w:pPr>
      <w:r>
        <w:rPr>
          <w:rFonts w:cs="Sylfaen"/>
          <w:lang w:val="hy-AM"/>
        </w:rPr>
        <w:t xml:space="preserve">Տնտեսական զարգացման շարժիչը լինելու են նորարարությունը և ստեղծագործելու ձիրքը, գործարար նախաձեռնողականությունը, արդյունավետություն փնտրող ներդրումները և տեխնոլոգիական տարածումը` այդպիսով ընդլայնելով հնարավորի սահմանները: Հիմնական նպատակը ներքին և արտաքին հնարավորությունները զարգացման իրական ներուժի վերածելու առումով տնտեսության արդյունավետության և ունակության բարձրացումն է: </w:t>
      </w:r>
    </w:p>
    <w:p w14:paraId="7C32908D" w14:textId="77777777" w:rsidR="00DA0E15" w:rsidRDefault="00362131">
      <w:pPr>
        <w:spacing w:line="276" w:lineRule="auto"/>
        <w:ind w:firstLine="360"/>
        <w:rPr>
          <w:rFonts w:cs="Sylfaen"/>
          <w:lang w:val="hy-AM"/>
        </w:rPr>
      </w:pPr>
      <w:r>
        <w:rPr>
          <w:rFonts w:cs="Sylfaen"/>
          <w:lang w:val="hy-AM"/>
        </w:rPr>
        <w:t>Տնտեսական զարգացման քաղաքականությունը խարսխվելու է երեք հենասյուների վրա, որոնք ըստ էության նաև լավագույնս արտացոլում են այն լրջագույն մարտահրավերները, որոնց անտեսումը նշանակալի սպառնալիք կդառնա երկրի երկարաժամկետ կայուն զարգացման և տնտեսական անվտանգության ապահովման տեսակետից: Այսպես, առաջին հենասյունը արտադրողականությունն ու մրցունակությունն է՝ որպես առանցք ունենալով ինովացիոն զարգացման իրական հիմքերի ձևավորումը և ընդլայնելով տնտեսության առանձին ոլորտների՝ տեխնոլոգիական առաջընթացի ձեռքբերումները կլանելու ունակությունը: Հաջորդը ներառականությունն է՝ որպես տնտեսական զարգացման շարժիչ ուժ դիտարկելով ձեռներեցությունը, ինքնազբաղվածությունը, փոքր և միջին ձեռնարկատիրությունը, երկրի ողջ տարածքի ներուժն ու տնտեսական, սոցիալական, աշխարհագրական, բնակլիմայական, պատմամշակութային բազմազանությունը: Մյուս հենասյունը արտահանման ուղղվածությունն է՝ ակտիվացնելով նպատակային ջանքերը, որպեսզի էապես ընդլայնվի տնտեսության ունակությունը՝ օգտագործելու միջազգային առևտրատնտեսական հարաբերությունների հնարավոր օգուտները:</w:t>
      </w:r>
    </w:p>
    <w:p w14:paraId="3AE05E78" w14:textId="77777777" w:rsidR="00DA0E15" w:rsidRDefault="00362131">
      <w:pPr>
        <w:spacing w:line="276" w:lineRule="auto"/>
        <w:ind w:firstLine="360"/>
        <w:rPr>
          <w:rFonts w:cs="Sylfaen"/>
          <w:lang w:val="hy-AM"/>
        </w:rPr>
      </w:pPr>
      <w:r>
        <w:rPr>
          <w:rFonts w:cs="Sylfaen"/>
          <w:lang w:val="hy-AM"/>
        </w:rPr>
        <w:t xml:space="preserve">ՓՄՁ սուբյեկտները, հատկապես սկսնակ գործարարները, ձեռնարկատիրական անհրաժեշտ կրթության և կարողությունների զարգացման կարիք ունեն նոր տեխնոլոգիաների, շուկայավարման, բիզնես պլանավորման, հաշվապահական հաշվառման, մարդկային ռեսուրսների և ֆինանսական կառավարման և այլ հարցերում: </w:t>
      </w:r>
    </w:p>
    <w:p w14:paraId="4C94F523" w14:textId="77777777" w:rsidR="00DA0E15" w:rsidRDefault="00362131">
      <w:pPr>
        <w:spacing w:line="276" w:lineRule="auto"/>
        <w:ind w:firstLine="360"/>
        <w:rPr>
          <w:rFonts w:cs="Sylfaen"/>
          <w:lang w:val="hy-AM"/>
        </w:rPr>
      </w:pPr>
      <w:r>
        <w:rPr>
          <w:rFonts w:cs="Sylfaen"/>
          <w:lang w:val="hy-AM"/>
        </w:rPr>
        <w:t>Արդյունաբերական արտադրության ներկայիս կառուցվածքը պայմանավորված է հիմնականում ներքին պահանջարկի բնույթով և արտաքին շուկաներում կոնկրետ ապրանքների մրցունակությամբ, ինչպես նաև՝ արտադրական կարողությունների զարգացման մակարդակով: Տեղական արտադրանքի նկատմամբ արտաքին պահանջարկը հիմնականում պայմանավորված է մրցունակ արտադրանքի թողարկման առկա հնարավորություններով: Այնինչ, պակաս կարևոր չէ միջազգային շուկաներում հայրենական ապրանքների պատշաճ ներկայացումը և արտահանման հետ կապված լոգիստիկ հիմնախնդիրների լուծումը:</w:t>
      </w:r>
    </w:p>
    <w:p w14:paraId="098D2DDD" w14:textId="77777777" w:rsidR="00DA0E15" w:rsidRDefault="00362131">
      <w:pPr>
        <w:spacing w:line="276" w:lineRule="auto"/>
        <w:ind w:firstLine="360"/>
        <w:rPr>
          <w:rFonts w:cs="Sylfaen"/>
          <w:lang w:val="hy-AM"/>
        </w:rPr>
      </w:pPr>
      <w:r>
        <w:rPr>
          <w:rFonts w:cs="Sylfaen"/>
          <w:lang w:val="hy-AM"/>
        </w:rPr>
        <w:t>ՀՀ կառավարության ծրագրով նպատակ է դրվել գյուղատնտեսության արդյունավետության բարձրացումը, պարենային անվտանգության մակարդակի բարձրացումը, արդի տեխնոլոգիաների ներմուծումը, արտահանման ծավալների ավելացումը, գյուղատնտեսական ամբողջ արժեշղթայում ընդգրկված բոլոր սուբյեկտների` փոքր տնային տնտեսությունների, գյուղացիական կոոպերատիվների, վերամշակողների և արտահանողների եկամտաբերության բարձրացումը:</w:t>
      </w:r>
    </w:p>
    <w:p w14:paraId="08252B37" w14:textId="77777777" w:rsidR="00DA0E15" w:rsidRDefault="00362131">
      <w:pPr>
        <w:spacing w:line="276" w:lineRule="auto"/>
        <w:ind w:firstLine="360"/>
        <w:rPr>
          <w:rFonts w:cs="Sylfaen"/>
          <w:lang w:val="hy-AM"/>
        </w:rPr>
      </w:pPr>
      <w:r>
        <w:rPr>
          <w:rFonts w:cs="Sylfaen"/>
          <w:lang w:val="hy-AM"/>
        </w:rPr>
        <w:t>Նշված քաղաքականության իրականացման համար նախատեսվում է 2022-2024թթ. պետական բյուջեներով ծախսերը նպատակաուղղել հետևյալ գերակա ուղղություն</w:t>
      </w:r>
      <w:r>
        <w:rPr>
          <w:rFonts w:cs="Sylfaen"/>
          <w:lang w:val="hy-AM"/>
        </w:rPr>
        <w:softHyphen/>
        <w:t xml:space="preserve">ներին. </w:t>
      </w:r>
    </w:p>
    <w:p w14:paraId="14F78BBD" w14:textId="77777777" w:rsidR="00DA0E15" w:rsidRDefault="00362131">
      <w:pPr>
        <w:spacing w:line="276" w:lineRule="auto"/>
        <w:ind w:firstLine="360"/>
        <w:rPr>
          <w:rFonts w:cs="Sylfaen"/>
          <w:lang w:val="hy-AM"/>
        </w:rPr>
      </w:pPr>
      <w:r>
        <w:rPr>
          <w:rFonts w:cs="Sylfaen"/>
          <w:lang w:val="hy-AM"/>
        </w:rPr>
        <w:t>-Անասնաբուժություն և հակահամաճարակային միջոցառումներ (պատվաստուկների ձեռքբերում, պատվաստումների իրականացում, կարանտինային միջոցառումներ),</w:t>
      </w:r>
    </w:p>
    <w:p w14:paraId="77B89252" w14:textId="77777777" w:rsidR="00DA0E15" w:rsidRDefault="00362131">
      <w:pPr>
        <w:spacing w:line="276" w:lineRule="auto"/>
        <w:ind w:firstLine="360"/>
        <w:rPr>
          <w:rFonts w:cs="Sylfaen"/>
          <w:lang w:val="hy-AM"/>
        </w:rPr>
      </w:pPr>
      <w:r>
        <w:rPr>
          <w:rFonts w:cs="Sylfaen"/>
          <w:lang w:val="hy-AM"/>
        </w:rPr>
        <w:t>- գյուղատնտեսության արդյունավետության բարձրացում,</w:t>
      </w:r>
    </w:p>
    <w:p w14:paraId="7ED24A9F" w14:textId="77777777" w:rsidR="00DA0E15" w:rsidRDefault="00362131">
      <w:pPr>
        <w:spacing w:line="276" w:lineRule="auto"/>
        <w:ind w:firstLine="360"/>
        <w:rPr>
          <w:rFonts w:cs="Sylfaen"/>
          <w:lang w:val="hy-AM"/>
        </w:rPr>
      </w:pPr>
      <w:r>
        <w:rPr>
          <w:rFonts w:cs="Sylfaen"/>
          <w:lang w:val="hy-AM"/>
        </w:rPr>
        <w:t>- պարենային անվտանգության մակարդակի բարձրացում,</w:t>
      </w:r>
    </w:p>
    <w:p w14:paraId="6485B942" w14:textId="77777777" w:rsidR="00DA0E15" w:rsidRDefault="00362131">
      <w:pPr>
        <w:spacing w:line="276" w:lineRule="auto"/>
        <w:ind w:firstLine="360"/>
        <w:rPr>
          <w:rFonts w:cs="Sylfaen"/>
          <w:lang w:val="hy-AM"/>
        </w:rPr>
      </w:pPr>
      <w:r>
        <w:rPr>
          <w:rFonts w:cs="Sylfaen"/>
          <w:lang w:val="hy-AM"/>
        </w:rPr>
        <w:t>- արդի տեխնոլոգիաների կիրառության բարձրացում, այդ թվում՝ կաթիլային և անձրևացման, կարկտապաշտպան համակարգերի ներդրման պետական աջակցություն,</w:t>
      </w:r>
    </w:p>
    <w:p w14:paraId="792110C9" w14:textId="77777777" w:rsidR="00DA0E15" w:rsidRDefault="00362131">
      <w:pPr>
        <w:spacing w:line="276" w:lineRule="auto"/>
        <w:ind w:firstLine="360"/>
        <w:rPr>
          <w:rFonts w:cs="Sylfaen"/>
          <w:lang w:val="hy-AM"/>
        </w:rPr>
      </w:pPr>
      <w:r>
        <w:rPr>
          <w:rFonts w:cs="Sylfaen"/>
          <w:lang w:val="hy-AM"/>
        </w:rPr>
        <w:t>-չօգտագործվող գյուղատնտեսական նշանակության հողերը նպատակայնորեն օգտագործման նպատակով նոր տեխնոլոգիաների կիրառման մատչելիություն,</w:t>
      </w:r>
    </w:p>
    <w:p w14:paraId="048DD9DF" w14:textId="77777777" w:rsidR="00DA0E15" w:rsidRDefault="00362131">
      <w:pPr>
        <w:spacing w:line="276" w:lineRule="auto"/>
        <w:ind w:firstLine="360"/>
        <w:rPr>
          <w:rFonts w:cs="Sylfaen"/>
          <w:lang w:val="hy-AM"/>
        </w:rPr>
      </w:pPr>
      <w:r>
        <w:rPr>
          <w:rFonts w:cs="Sylfaen"/>
          <w:lang w:val="hy-AM"/>
        </w:rPr>
        <w:t>- Սննդամթերքի, սննդամթերքի հետ շփվող նյութերի և սննդային հավելումների, կենդա</w:t>
      </w:r>
      <w:r>
        <w:rPr>
          <w:rFonts w:cs="Sylfaen"/>
          <w:lang w:val="hy-AM"/>
        </w:rPr>
        <w:softHyphen/>
        <w:t>նական ծագում ունեցող մթերքի և հումքի արտադրության, վերամշակման, պահման, իրացման բոլոր փուլերում, ինչպես նաև ներմուծման և արտահանման դեպքերում անասնաբուժա</w:t>
      </w:r>
      <w:r>
        <w:rPr>
          <w:rFonts w:cs="Sylfaen"/>
          <w:lang w:val="hy-AM"/>
        </w:rPr>
        <w:softHyphen/>
        <w:t>սանի</w:t>
      </w:r>
      <w:r>
        <w:rPr>
          <w:rFonts w:cs="Sylfaen"/>
          <w:lang w:val="hy-AM"/>
        </w:rPr>
        <w:softHyphen/>
        <w:t>տարական պահանջների նկատմամբ անվտանգության վերահսկողության իրականացում,</w:t>
      </w:r>
    </w:p>
    <w:p w14:paraId="50EBF463" w14:textId="77777777" w:rsidR="00DA0E15" w:rsidRDefault="00362131">
      <w:pPr>
        <w:spacing w:line="276" w:lineRule="auto"/>
        <w:ind w:firstLine="360"/>
        <w:rPr>
          <w:rFonts w:cs="Sylfaen"/>
          <w:lang w:val="hy-AM"/>
        </w:rPr>
      </w:pPr>
      <w:r>
        <w:rPr>
          <w:rFonts w:cs="Sylfaen"/>
          <w:lang w:val="hy-AM"/>
        </w:rPr>
        <w:t>- Նոր ախտորոշման մեթոդների կիրառման և արդիական սարքավորումների ներդրման միջոցով վարակիչ հիվանդությունների և սննդամթերքի անվտանգության անասնաբուժա</w:t>
      </w:r>
      <w:r>
        <w:rPr>
          <w:rFonts w:cs="Sylfaen"/>
          <w:lang w:val="hy-AM"/>
        </w:rPr>
        <w:softHyphen/>
        <w:t>սանիտարական և բուսասանիտարական լաբորատոր հետազոտությունների արդյունավե</w:t>
      </w:r>
      <w:r>
        <w:rPr>
          <w:rFonts w:cs="Sylfaen"/>
          <w:lang w:val="hy-AM"/>
        </w:rPr>
        <w:softHyphen/>
        <w:t>տության, որակի և հավաստիության բարձրացում,</w:t>
      </w:r>
    </w:p>
    <w:p w14:paraId="070B5289" w14:textId="77777777" w:rsidR="00DA0E15" w:rsidRDefault="00362131">
      <w:pPr>
        <w:pStyle w:val="NormalWeb"/>
        <w:spacing w:before="0" w:after="0" w:line="276" w:lineRule="auto"/>
        <w:rPr>
          <w:rFonts w:cs="Times LatArm"/>
          <w:szCs w:val="22"/>
          <w:lang w:val="hy-AM"/>
        </w:rPr>
      </w:pPr>
      <w:r>
        <w:rPr>
          <w:rFonts w:cs="Sylfaen"/>
          <w:szCs w:val="22"/>
          <w:lang w:val="hy-AM"/>
        </w:rPr>
        <w:t>-Տոհմային ԽԵԿ-ի ձեռքբերման մատչելիության ապահովման, ինչպես նաև անասնաշենքերի կառուցման, վերակառուցման, տեխնոլոգիական վերազինման նպատակով պետական աջակցություն:</w:t>
      </w:r>
    </w:p>
    <w:p w14:paraId="5869F9B5" w14:textId="77777777" w:rsidR="00DA0E15" w:rsidRDefault="00DA0E15">
      <w:pPr>
        <w:pStyle w:val="NormalWeb"/>
        <w:spacing w:before="0" w:after="0" w:line="276" w:lineRule="auto"/>
        <w:ind w:left="720"/>
        <w:rPr>
          <w:b/>
          <w:szCs w:val="22"/>
          <w:lang w:val="hy-AM"/>
        </w:rPr>
      </w:pPr>
    </w:p>
    <w:p w14:paraId="749D6779" w14:textId="77777777" w:rsidR="00DA0E15" w:rsidRDefault="00362131">
      <w:pPr>
        <w:spacing w:line="276" w:lineRule="auto"/>
        <w:rPr>
          <w:b/>
          <w:lang w:val="hy-AM"/>
        </w:rPr>
      </w:pPr>
      <w:r>
        <w:rPr>
          <w:b/>
          <w:lang w:val="hy-AM"/>
        </w:rPr>
        <w:t>ՈԼՈՐՏԱՅԻՆ ԾԱԽՍԱՅԻՆ ԾՐԱԳՐԵՐԸ</w:t>
      </w:r>
    </w:p>
    <w:p w14:paraId="55977B2D" w14:textId="77777777" w:rsidR="00DA0E15" w:rsidRDefault="00362131">
      <w:pPr>
        <w:pStyle w:val="NormalWeb"/>
        <w:spacing w:before="0" w:after="0" w:line="276" w:lineRule="auto"/>
        <w:rPr>
          <w:rFonts w:cs="Times LatArm"/>
          <w:b/>
          <w:szCs w:val="22"/>
          <w:lang w:val="hy-AM"/>
        </w:rPr>
      </w:pPr>
      <w:r>
        <w:rPr>
          <w:rFonts w:cs="Times LatArm"/>
          <w:b/>
          <w:szCs w:val="22"/>
          <w:lang w:val="hy-AM"/>
        </w:rPr>
        <w:t>1. Գյուղատնտեսության խթանման ծրագիր.</w:t>
      </w:r>
    </w:p>
    <w:p w14:paraId="2F5D4EAE" w14:textId="77777777" w:rsidR="00DA0E15" w:rsidRDefault="00362131">
      <w:pPr>
        <w:pStyle w:val="NormalWeb"/>
        <w:spacing w:before="0" w:after="0" w:line="276" w:lineRule="auto"/>
        <w:rPr>
          <w:rFonts w:cs="Times LatArm"/>
          <w:szCs w:val="22"/>
          <w:lang w:val="hy-AM"/>
        </w:rPr>
      </w:pPr>
      <w:r>
        <w:rPr>
          <w:rFonts w:cs="Times LatArm"/>
          <w:szCs w:val="22"/>
          <w:lang w:val="hy-AM"/>
        </w:rPr>
        <w:t xml:space="preserve">Ծրագրի նպատակն է ավելացնել գյուղատնտեսական մթերքի և դրանց վերամշակումից ստացվող սննդամթերքի ծավալները, որի ուղղությամբ 2022-2024թթ. նախատեսվում է հատկացնել համապատասխանաբար՝ 7,047.8 մլն դրամ, 8,207.1 մլն դրամ և 11,227.4 մլն դրամ: </w:t>
      </w:r>
    </w:p>
    <w:p w14:paraId="29A0412E" w14:textId="77777777" w:rsidR="00DA0E15" w:rsidRDefault="00362131">
      <w:pPr>
        <w:pStyle w:val="NormalWeb"/>
        <w:spacing w:before="0" w:after="0" w:line="276" w:lineRule="auto"/>
        <w:rPr>
          <w:rFonts w:cs="Times LatArm"/>
          <w:b/>
          <w:szCs w:val="22"/>
          <w:lang w:val="hy-AM"/>
        </w:rPr>
      </w:pPr>
      <w:r>
        <w:rPr>
          <w:rFonts w:cs="Times LatArm"/>
          <w:b/>
          <w:szCs w:val="22"/>
          <w:lang w:val="hy-AM"/>
        </w:rPr>
        <w:t>2. Սննդամթերքի լաբորատոր փորձաքննություններ ծրագիր.</w:t>
      </w:r>
    </w:p>
    <w:p w14:paraId="03F13EA2" w14:textId="77777777" w:rsidR="00DA0E15" w:rsidRDefault="00362131">
      <w:pPr>
        <w:pStyle w:val="NormalWeb"/>
        <w:spacing w:before="0" w:after="0" w:line="276" w:lineRule="auto"/>
        <w:rPr>
          <w:rFonts w:cs="Times LatArm"/>
          <w:szCs w:val="22"/>
          <w:lang w:val="hy-AM"/>
        </w:rPr>
      </w:pPr>
      <w:r>
        <w:rPr>
          <w:rFonts w:cs="Times LatArm"/>
          <w:szCs w:val="22"/>
          <w:lang w:val="hy-AM"/>
        </w:rPr>
        <w:t xml:space="preserve">Ծրագրի նպատակն է բարելավել սննդի անվտանգությունը և որակը, որի ուղղությամբ 2022-2024թթ. նախատեսվում է յուրաքանչյուր տարի հատկացնել 70.5 մլն դրամ: </w:t>
      </w:r>
    </w:p>
    <w:p w14:paraId="58FC73D0" w14:textId="77777777" w:rsidR="00DA0E15" w:rsidRDefault="00362131">
      <w:pPr>
        <w:pStyle w:val="NormalWeb"/>
        <w:spacing w:before="0" w:after="0" w:line="276" w:lineRule="auto"/>
        <w:rPr>
          <w:rFonts w:cs="Times LatArm"/>
          <w:b/>
          <w:szCs w:val="22"/>
          <w:lang w:val="hy-AM"/>
        </w:rPr>
      </w:pPr>
      <w:r>
        <w:rPr>
          <w:rFonts w:cs="Times LatArm"/>
          <w:b/>
          <w:szCs w:val="22"/>
          <w:lang w:val="hy-AM"/>
        </w:rPr>
        <w:t>3. Էկոնոմիկայի ոլորտում պետական քաղաքականության մշակում, ծրագրերի համակարգում և մոնիտորինգ ծրագիր.</w:t>
      </w:r>
      <w:r>
        <w:rPr>
          <w:rFonts w:cs="Times LatArm"/>
          <w:szCs w:val="22"/>
          <w:lang w:val="hy-AM"/>
        </w:rPr>
        <w:t xml:space="preserve"> </w:t>
      </w:r>
    </w:p>
    <w:p w14:paraId="67F3DDC8" w14:textId="77777777" w:rsidR="00DA0E15" w:rsidRDefault="00362131">
      <w:pPr>
        <w:pStyle w:val="NormalWeb"/>
        <w:spacing w:before="0" w:after="0" w:line="276" w:lineRule="auto"/>
        <w:rPr>
          <w:rFonts w:cs="Times LatArm"/>
          <w:szCs w:val="22"/>
          <w:lang w:val="hy-AM"/>
        </w:rPr>
      </w:pPr>
      <w:r>
        <w:rPr>
          <w:rFonts w:cs="Times LatArm"/>
          <w:szCs w:val="22"/>
          <w:lang w:val="hy-AM"/>
        </w:rPr>
        <w:t xml:space="preserve">Ծրագրի նպատակն է ապահովել էկոնոմիկայի ոլորտում պետական արդյունավետ քաղաքականության մշակումը և իրականացումը, որի ուղղությամբ 2022-2024թթ. նախատեսվում է հատկացնել համապատասխանաբար՝ 2,305.6 մլն դրամ, 2,326.3 մլն դրամ և 2,347.2 մլն դրամ: </w:t>
      </w:r>
    </w:p>
    <w:p w14:paraId="11903F17" w14:textId="77777777" w:rsidR="00DA0E15" w:rsidRDefault="00362131">
      <w:pPr>
        <w:pStyle w:val="NormalWeb"/>
        <w:spacing w:before="0" w:after="0" w:line="276" w:lineRule="auto"/>
        <w:rPr>
          <w:rFonts w:cs="Times LatArm"/>
          <w:b/>
          <w:szCs w:val="22"/>
          <w:lang w:val="hy-AM"/>
        </w:rPr>
      </w:pPr>
      <w:r>
        <w:rPr>
          <w:rFonts w:cs="Times LatArm"/>
          <w:b/>
          <w:szCs w:val="22"/>
          <w:lang w:val="hy-AM"/>
        </w:rPr>
        <w:t>4. Բուսաբուծության խթանում և բույսերի պաշտպանություն ծրագիր.</w:t>
      </w:r>
    </w:p>
    <w:p w14:paraId="65D10B60" w14:textId="77777777" w:rsidR="00DA0E15" w:rsidRDefault="00362131">
      <w:pPr>
        <w:pStyle w:val="NormalWeb"/>
        <w:spacing w:before="0" w:after="0" w:line="276" w:lineRule="auto"/>
        <w:rPr>
          <w:rFonts w:cs="Times LatArm"/>
          <w:szCs w:val="22"/>
          <w:lang w:val="hy-AM"/>
        </w:rPr>
      </w:pPr>
      <w:r>
        <w:rPr>
          <w:rFonts w:cs="Times LatArm"/>
          <w:szCs w:val="22"/>
          <w:lang w:val="hy-AM"/>
        </w:rPr>
        <w:t xml:space="preserve">Ծրագրի նպատակն է բարելավել հողագործությունից ստացվող արդյունքները, որի ուղղությամբ 2022թ. նախատեսվում է հատկացնել 199.4 մլն դրամ, իսկ 2023-2024թթ.՝ յուրաքանչյուր տարի 210.2 մլն դրամ: </w:t>
      </w:r>
    </w:p>
    <w:p w14:paraId="1FAE60A8" w14:textId="77777777" w:rsidR="00DA0E15" w:rsidRDefault="00362131">
      <w:pPr>
        <w:pStyle w:val="NormalWeb"/>
        <w:spacing w:before="0" w:after="0" w:line="276" w:lineRule="auto"/>
        <w:rPr>
          <w:rFonts w:cs="Times LatArm"/>
          <w:b/>
          <w:szCs w:val="22"/>
          <w:lang w:val="hy-AM"/>
        </w:rPr>
      </w:pPr>
      <w:r>
        <w:rPr>
          <w:rFonts w:cs="Times LatArm"/>
          <w:b/>
          <w:szCs w:val="22"/>
          <w:lang w:val="hy-AM"/>
        </w:rPr>
        <w:t>5. Ստանդարտների մշակում և հավատարմագրման համակարգի զարգացում ծրագիր.</w:t>
      </w:r>
    </w:p>
    <w:p w14:paraId="7FBECD64" w14:textId="77777777" w:rsidR="00DA0E15" w:rsidRDefault="00362131">
      <w:pPr>
        <w:pStyle w:val="NormalWeb"/>
        <w:spacing w:before="0" w:after="0" w:line="276" w:lineRule="auto"/>
        <w:rPr>
          <w:rFonts w:cs="Times LatArm"/>
          <w:szCs w:val="22"/>
          <w:lang w:val="hy-AM"/>
        </w:rPr>
      </w:pPr>
      <w:r>
        <w:rPr>
          <w:rFonts w:cs="Times LatArm"/>
          <w:szCs w:val="22"/>
          <w:lang w:val="hy-AM"/>
        </w:rPr>
        <w:t>Ծրագրի նպատակն է բարելավել արտադրանքի, ծառայությունների և գործընթացների անվտանգութան մակարդակը և ինտեգրումը միջազգային ու տարածաշրջանային հավատարմագրման համակարգերին, որի ուղղությամբ 2022-2024թթ. նախատեսվում է յուրաքանչյուր տարի հատկացնել 30.8 մլն դրամ:</w:t>
      </w:r>
    </w:p>
    <w:p w14:paraId="55DA76A7" w14:textId="77777777" w:rsidR="00DA0E15" w:rsidRDefault="00362131">
      <w:pPr>
        <w:pStyle w:val="NormalWeb"/>
        <w:spacing w:before="0" w:after="0" w:line="276" w:lineRule="auto"/>
        <w:rPr>
          <w:rFonts w:cs="Times LatArm"/>
          <w:b/>
          <w:szCs w:val="22"/>
          <w:lang w:val="hy-AM"/>
        </w:rPr>
      </w:pPr>
      <w:r>
        <w:rPr>
          <w:rFonts w:cs="Times LatArm"/>
          <w:b/>
          <w:szCs w:val="22"/>
          <w:lang w:val="hy-AM"/>
        </w:rPr>
        <w:t>6. Գյուղական ենթակառուցվածքների վերականգնում և զարգացում ծրագիր.</w:t>
      </w:r>
    </w:p>
    <w:p w14:paraId="3906D24A" w14:textId="77777777" w:rsidR="00DA0E15" w:rsidRDefault="00362131">
      <w:pPr>
        <w:pStyle w:val="NormalWeb"/>
        <w:spacing w:before="0" w:after="0" w:line="276" w:lineRule="auto"/>
        <w:rPr>
          <w:rFonts w:cs="Times LatArm"/>
          <w:szCs w:val="22"/>
          <w:lang w:val="hy-AM"/>
        </w:rPr>
      </w:pPr>
      <w:r>
        <w:rPr>
          <w:rFonts w:cs="Times LatArm"/>
          <w:szCs w:val="22"/>
          <w:lang w:val="hy-AM"/>
        </w:rPr>
        <w:t>Ծրագրի</w:t>
      </w:r>
      <w:r>
        <w:rPr>
          <w:rFonts w:cs="Times LatArm"/>
          <w:b/>
          <w:szCs w:val="22"/>
          <w:lang w:val="hy-AM"/>
        </w:rPr>
        <w:t xml:space="preserve"> </w:t>
      </w:r>
      <w:r>
        <w:rPr>
          <w:rFonts w:cs="Times LatArm"/>
          <w:szCs w:val="22"/>
          <w:lang w:val="hy-AM"/>
        </w:rPr>
        <w:t>նպատակն է ապահովել գյուղատնտեսության ոլորտի արդյունավետության աճը, որի ուղղությամբ 2022-2024թթ. նախատեսվում է հատկացնել համապատասխանաբար՝ 2,011.2 մլն դրամ, 3,572.8 մլն դրամ և 36.8 մլն դրամ:</w:t>
      </w:r>
    </w:p>
    <w:p w14:paraId="55BE30C1" w14:textId="77777777" w:rsidR="00DA0E15" w:rsidRDefault="00362131">
      <w:pPr>
        <w:pStyle w:val="NormalWeb"/>
        <w:spacing w:before="0" w:after="0" w:line="276" w:lineRule="auto"/>
        <w:rPr>
          <w:rFonts w:cs="Times LatArm"/>
          <w:b/>
          <w:szCs w:val="22"/>
          <w:lang w:val="hy-AM"/>
        </w:rPr>
      </w:pPr>
      <w:r>
        <w:rPr>
          <w:rFonts w:cs="Times LatArm"/>
          <w:b/>
          <w:szCs w:val="22"/>
          <w:lang w:val="hy-AM"/>
        </w:rPr>
        <w:t xml:space="preserve">7. Աջակցություն փոքր և միջին ձեռնարկատիրությանը ծրագիր. </w:t>
      </w:r>
    </w:p>
    <w:p w14:paraId="7C614E13" w14:textId="77777777" w:rsidR="00DA0E15" w:rsidRDefault="00362131">
      <w:pPr>
        <w:pStyle w:val="NormalWeb"/>
        <w:spacing w:before="0" w:after="0" w:line="276" w:lineRule="auto"/>
        <w:rPr>
          <w:rFonts w:cs="Times LatArm"/>
          <w:szCs w:val="22"/>
          <w:lang w:val="hy-AM"/>
        </w:rPr>
      </w:pPr>
      <w:r>
        <w:rPr>
          <w:rFonts w:cs="Times LatArm"/>
          <w:szCs w:val="22"/>
          <w:lang w:val="hy-AM"/>
        </w:rPr>
        <w:t>Ծրագրի նպատակն է փոքր և միջին ձեռնարկատիրության զարգացումն և ընդլայնումը, որի ուղղությամբ 2022-2024թթ. նախատեսվում է յուրաքանչյուր տարի հատկացնել 160.1 մլն դրամ:</w:t>
      </w:r>
    </w:p>
    <w:p w14:paraId="3BFD39AC" w14:textId="77777777" w:rsidR="00DA0E15" w:rsidRDefault="00362131">
      <w:pPr>
        <w:pStyle w:val="NormalWeb"/>
        <w:spacing w:before="0" w:after="0" w:line="276" w:lineRule="auto"/>
        <w:rPr>
          <w:rFonts w:cs="Times LatArm"/>
          <w:b/>
          <w:szCs w:val="22"/>
          <w:lang w:val="hy-AM"/>
        </w:rPr>
      </w:pPr>
      <w:r>
        <w:rPr>
          <w:rFonts w:cs="Times LatArm"/>
          <w:b/>
          <w:szCs w:val="22"/>
          <w:lang w:val="hy-AM"/>
        </w:rPr>
        <w:t>8. Անասնաբուժական ծառայություններ ծրագիր.</w:t>
      </w:r>
    </w:p>
    <w:p w14:paraId="7C9A3E3E" w14:textId="77777777" w:rsidR="00DA0E15" w:rsidRDefault="00362131">
      <w:pPr>
        <w:pStyle w:val="NormalWeb"/>
        <w:spacing w:before="0" w:after="0" w:line="276" w:lineRule="auto"/>
        <w:rPr>
          <w:rFonts w:cs="Times LatArm"/>
          <w:szCs w:val="22"/>
          <w:lang w:val="hy-AM"/>
        </w:rPr>
      </w:pPr>
      <w:r>
        <w:rPr>
          <w:rFonts w:cs="Times LatArm"/>
          <w:szCs w:val="22"/>
          <w:lang w:val="hy-AM"/>
        </w:rPr>
        <w:t xml:space="preserve">Ծրագրի նպատակն է անասնահամաճարակային կայուն ֆոնի ապահովումը, որի ուղղությամբ 2022թ. նախատեսվում է հատկացնել 2,046.7 մլն դրամ, իսկ 2023-2024թթ.՝ յուրաքանչյուր տարի 2,064.6 մլն դրամ: </w:t>
      </w:r>
    </w:p>
    <w:p w14:paraId="4452CAA8" w14:textId="77777777" w:rsidR="00DA0E15" w:rsidRDefault="00362131">
      <w:pPr>
        <w:pStyle w:val="NormalWeb"/>
        <w:spacing w:before="0" w:after="0" w:line="276" w:lineRule="auto"/>
        <w:rPr>
          <w:rFonts w:cs="Times LatArm"/>
          <w:b/>
          <w:szCs w:val="22"/>
          <w:lang w:val="hy-AM"/>
        </w:rPr>
      </w:pPr>
      <w:r>
        <w:rPr>
          <w:rFonts w:cs="Times LatArm"/>
          <w:b/>
          <w:szCs w:val="22"/>
          <w:lang w:val="hy-AM"/>
        </w:rPr>
        <w:t>9. Ենթակառուցվածքների և գյուղական ֆինանսավորման աջակցություն ծրագիր</w:t>
      </w:r>
    </w:p>
    <w:p w14:paraId="37356BDE" w14:textId="77777777" w:rsidR="00DA0E15" w:rsidRDefault="00362131">
      <w:pPr>
        <w:pStyle w:val="NormalWeb"/>
        <w:spacing w:before="0" w:after="0" w:line="276" w:lineRule="auto"/>
        <w:rPr>
          <w:rFonts w:cs="Times LatArm"/>
          <w:szCs w:val="22"/>
          <w:lang w:val="hy-AM"/>
        </w:rPr>
      </w:pPr>
      <w:r>
        <w:rPr>
          <w:rFonts w:cs="Times LatArm"/>
          <w:szCs w:val="22"/>
          <w:lang w:val="hy-AM"/>
        </w:rPr>
        <w:t>Ծրագրի</w:t>
      </w:r>
      <w:r>
        <w:rPr>
          <w:rFonts w:cs="Times LatArm"/>
          <w:b/>
          <w:szCs w:val="22"/>
          <w:lang w:val="hy-AM"/>
        </w:rPr>
        <w:t xml:space="preserve"> </w:t>
      </w:r>
      <w:r>
        <w:rPr>
          <w:rFonts w:cs="Times LatArm"/>
          <w:szCs w:val="22"/>
          <w:lang w:val="hy-AM"/>
        </w:rPr>
        <w:t xml:space="preserve">նպատակն է բարելավել գյուղական ազգաբնակչության տնտեսական ու սոցիալական կարգավիճակը, ստեղծել զբաղվածության ապահովման կայուն մեխանիզմներ, զարգացնել արտադրական համակարգերը և կապը ապրանքային մշակաբույսերի արտադրության արժեշղթայի օղակների միջև, որի ուղղությամբ 2022-2023թթ. նախատեսվում է հատկացնել համապատասխանաբար՝ 1,410.3 մլն դրամ և 526.6 մլն դրամ: </w:t>
      </w:r>
    </w:p>
    <w:p w14:paraId="1777FF83" w14:textId="77777777" w:rsidR="00DA0E15" w:rsidRDefault="00362131">
      <w:pPr>
        <w:pStyle w:val="NormalWeb"/>
        <w:spacing w:before="0" w:after="0" w:line="276" w:lineRule="auto"/>
        <w:rPr>
          <w:rFonts w:cs="Times LatArm"/>
          <w:b/>
          <w:szCs w:val="22"/>
          <w:lang w:val="hy-AM"/>
        </w:rPr>
      </w:pPr>
      <w:r>
        <w:rPr>
          <w:rFonts w:cs="Times LatArm"/>
          <w:b/>
          <w:szCs w:val="22"/>
          <w:lang w:val="hy-AM"/>
        </w:rPr>
        <w:t>10. Ներդրումների և արտահանման խթանման ծրագիր.</w:t>
      </w:r>
    </w:p>
    <w:p w14:paraId="71921296" w14:textId="77777777" w:rsidR="00DA0E15" w:rsidRDefault="00362131">
      <w:pPr>
        <w:pStyle w:val="NormalWeb"/>
        <w:spacing w:before="0" w:after="0" w:line="276" w:lineRule="auto"/>
        <w:rPr>
          <w:rFonts w:cs="Times LatArm"/>
          <w:szCs w:val="22"/>
          <w:lang w:val="hy-AM"/>
        </w:rPr>
      </w:pPr>
      <w:r>
        <w:rPr>
          <w:rFonts w:cs="Times LatArm"/>
          <w:szCs w:val="22"/>
          <w:lang w:val="hy-AM"/>
        </w:rPr>
        <w:t>Ծրագրի նպատակն է խթանել ներդրումների ներգրավումը և արտահանումը, որի ուղղությամբ 2022թ. նախատեսվում է հատկացնել 490.0 մլն դրամ, իսկ 2023-2024թթ. նախատեսվում է յուրաքանչյուր տարի հատկացնել 528.0 մլն դրամ:</w:t>
      </w:r>
    </w:p>
    <w:p w14:paraId="0BE00812" w14:textId="77777777" w:rsidR="00DA0E15" w:rsidRDefault="00362131">
      <w:pPr>
        <w:pStyle w:val="NormalWeb"/>
        <w:spacing w:before="0" w:after="0" w:line="276" w:lineRule="auto"/>
        <w:rPr>
          <w:rFonts w:cs="Times LatArm"/>
          <w:szCs w:val="22"/>
          <w:lang w:val="hy-AM"/>
        </w:rPr>
      </w:pPr>
      <w:r>
        <w:rPr>
          <w:rFonts w:cs="Times LatArm"/>
          <w:b/>
          <w:szCs w:val="22"/>
          <w:lang w:val="hy-AM"/>
        </w:rPr>
        <w:t>11. Գյուղատնտեսության արդիականացման ծրագիր.</w:t>
      </w:r>
      <w:r>
        <w:rPr>
          <w:rFonts w:cs="Times LatArm"/>
          <w:szCs w:val="22"/>
          <w:lang w:val="hy-AM"/>
        </w:rPr>
        <w:t xml:space="preserve"> </w:t>
      </w:r>
    </w:p>
    <w:p w14:paraId="2CA24C85" w14:textId="77777777" w:rsidR="00DA0E15" w:rsidRDefault="00362131">
      <w:pPr>
        <w:pStyle w:val="NormalWeb"/>
        <w:spacing w:before="0" w:after="0" w:line="276" w:lineRule="auto"/>
        <w:rPr>
          <w:rFonts w:cs="Times LatArm"/>
          <w:szCs w:val="22"/>
          <w:lang w:val="hy-AM"/>
        </w:rPr>
      </w:pPr>
      <w:r>
        <w:rPr>
          <w:rFonts w:cs="Times LatArm"/>
          <w:szCs w:val="22"/>
          <w:lang w:val="hy-AM"/>
        </w:rPr>
        <w:t xml:space="preserve">Ծրագրի նպատակն է արդիականացնել գյուղատնտեսական տեխնիկական համակարգերը, աջակցել ինտենսիվ այգիների ներդրմանը և տոհմաբուծության մեջ նոր ցեղատեսակների բուծմանը, որի ուղղությամբ 2022-2024թթ. նախատեսվում է հատկացնել համապատասխանաբար՝ 2,407.2 մլն դրամ, 2,150.4 մլն դրամ և 1,516.8 մլն դրամ: </w:t>
      </w:r>
    </w:p>
    <w:p w14:paraId="695E43B6" w14:textId="77777777" w:rsidR="00DA0E15" w:rsidRDefault="00362131">
      <w:pPr>
        <w:pStyle w:val="NormalWeb"/>
        <w:spacing w:before="0" w:after="0" w:line="276" w:lineRule="auto"/>
        <w:rPr>
          <w:rFonts w:cs="Times LatArm"/>
          <w:b/>
          <w:szCs w:val="22"/>
          <w:lang w:val="hy-AM"/>
        </w:rPr>
      </w:pPr>
      <w:r>
        <w:rPr>
          <w:rFonts w:cs="Times LatArm"/>
          <w:b/>
          <w:szCs w:val="22"/>
          <w:lang w:val="hy-AM"/>
        </w:rPr>
        <w:t>12. Զբոսաշրջության զարգացման ծրագիր.</w:t>
      </w:r>
    </w:p>
    <w:p w14:paraId="60587C33" w14:textId="77777777" w:rsidR="00DA0E15" w:rsidRDefault="00362131">
      <w:pPr>
        <w:pStyle w:val="NormalWeb"/>
        <w:spacing w:before="0" w:after="0" w:line="276" w:lineRule="auto"/>
        <w:rPr>
          <w:rFonts w:cs="Times LatArm"/>
          <w:szCs w:val="22"/>
          <w:lang w:val="hy-AM"/>
        </w:rPr>
      </w:pPr>
      <w:r>
        <w:rPr>
          <w:rFonts w:cs="Times LatArm"/>
          <w:szCs w:val="22"/>
          <w:lang w:val="hy-AM"/>
        </w:rPr>
        <w:t>Ծրագրի նպատակն է բարձրացնել Հայաստանի և հայկական զբոսաշրջային արդյունքի մրցունակությունն և ճանաչելիությունը, որի ուղղությամբ 2022-2024թթ. նախատեսվում է հատկացնել համապատասխանաբար՝ 4.579.5 մլն դրամ, 2,350.4 մլն դրամ և 10,106.1 մլն դրամ:</w:t>
      </w:r>
    </w:p>
    <w:p w14:paraId="3DA19DA0" w14:textId="77777777" w:rsidR="00DA0E15" w:rsidRDefault="00362131">
      <w:pPr>
        <w:pStyle w:val="NormalWeb"/>
        <w:spacing w:before="0" w:after="0" w:line="276" w:lineRule="auto"/>
        <w:rPr>
          <w:rFonts w:cs="Times LatArm"/>
          <w:b/>
          <w:szCs w:val="22"/>
          <w:lang w:val="hy-AM"/>
        </w:rPr>
      </w:pPr>
      <w:r>
        <w:rPr>
          <w:rFonts w:cs="Times LatArm"/>
          <w:b/>
          <w:szCs w:val="22"/>
          <w:lang w:val="hy-AM"/>
        </w:rPr>
        <w:t>13. Կորոնավիրուսի (COVID-19) տնտեսական հետևանքների չեզոքացման հետևանքով տրամադրված վարկերի տոկոսադրույքների սուբսիդավորում ծրագիր.</w:t>
      </w:r>
    </w:p>
    <w:p w14:paraId="7C28C895" w14:textId="77777777" w:rsidR="00DA0E15" w:rsidRDefault="00362131">
      <w:pPr>
        <w:pStyle w:val="NormalWeb"/>
        <w:spacing w:before="0" w:after="0" w:line="276" w:lineRule="auto"/>
        <w:rPr>
          <w:rFonts w:cs="Times LatArm"/>
          <w:szCs w:val="22"/>
          <w:lang w:val="hy-AM"/>
        </w:rPr>
      </w:pPr>
      <w:r>
        <w:rPr>
          <w:rFonts w:cs="Times LatArm"/>
          <w:szCs w:val="22"/>
          <w:lang w:val="hy-AM"/>
        </w:rPr>
        <w:t>Ծրագրի նպատակն է հակազդել բնակչության սանիտարահամաճարակային հետևանքները, որի ուղղությամբ 2022թ. նախատեսվում է հատկացնել 3,091.9 մլն դրամ, իսկ 2023-2024թթ. նախատեսվում է յուրաքանչյուր տարի հատկացնել 3,136.1 մլն դրամ:</w:t>
      </w:r>
    </w:p>
    <w:p w14:paraId="43A3E494" w14:textId="77777777" w:rsidR="00DA0E15" w:rsidRDefault="00362131">
      <w:pPr>
        <w:overflowPunct w:val="0"/>
        <w:autoSpaceDE w:val="0"/>
        <w:autoSpaceDN w:val="0"/>
        <w:adjustRightInd w:val="0"/>
        <w:spacing w:line="276" w:lineRule="auto"/>
        <w:ind w:firstLine="540"/>
        <w:textAlignment w:val="baseline"/>
        <w:rPr>
          <w:rFonts w:cs="Times Armenian"/>
          <w:kern w:val="16"/>
          <w:lang w:val="hy-AM"/>
        </w:rPr>
      </w:pPr>
      <w:bookmarkStart w:id="608" w:name="_Toc13837375"/>
      <w:r>
        <w:rPr>
          <w:rFonts w:cs="Times Armenian"/>
          <w:kern w:val="16"/>
          <w:lang w:val="hy-AM"/>
        </w:rPr>
        <w:t>Ստորև ներկայացված են էկոնոմիկայի բնագավառի 2022-2024թթ</w:t>
      </w:r>
      <w:r>
        <w:rPr>
          <w:rFonts w:ascii="Cambria Math" w:eastAsia="MS Mincho" w:hAnsi="Cambria Math" w:cs="Cambria Math"/>
          <w:kern w:val="16"/>
          <w:lang w:val="hy-AM"/>
        </w:rPr>
        <w:t>․</w:t>
      </w:r>
      <w:r>
        <w:rPr>
          <w:rFonts w:cs="Times Armenian"/>
          <w:kern w:val="16"/>
          <w:lang w:val="hy-AM"/>
        </w:rPr>
        <w:t xml:space="preserve"> </w:t>
      </w:r>
      <w:r>
        <w:rPr>
          <w:rFonts w:cs="GHEA Grapalat"/>
          <w:kern w:val="16"/>
          <w:lang w:val="hy-AM"/>
        </w:rPr>
        <w:t>յուրաքանչյուր</w:t>
      </w:r>
      <w:r>
        <w:rPr>
          <w:rFonts w:cs="Times Armenian"/>
          <w:kern w:val="16"/>
          <w:lang w:val="hy-AM"/>
        </w:rPr>
        <w:t xml:space="preserve"> </w:t>
      </w:r>
      <w:r>
        <w:rPr>
          <w:rFonts w:cs="GHEA Grapalat"/>
          <w:kern w:val="16"/>
          <w:lang w:val="hy-AM"/>
        </w:rPr>
        <w:t>տարվա</w:t>
      </w:r>
      <w:r>
        <w:rPr>
          <w:rFonts w:cs="Times Armenian"/>
          <w:kern w:val="16"/>
          <w:lang w:val="hy-AM"/>
        </w:rPr>
        <w:t xml:space="preserve"> </w:t>
      </w:r>
      <w:r>
        <w:rPr>
          <w:rFonts w:cs="GHEA Grapalat"/>
          <w:kern w:val="16"/>
          <w:lang w:val="hy-AM"/>
        </w:rPr>
        <w:t>համար</w:t>
      </w:r>
      <w:r>
        <w:rPr>
          <w:rFonts w:cs="Times Armenian"/>
          <w:kern w:val="16"/>
          <w:lang w:val="hy-AM"/>
        </w:rPr>
        <w:t xml:space="preserve"> նախատեսված չափաքանակները.</w:t>
      </w:r>
    </w:p>
    <w:p w14:paraId="0184E3B3" w14:textId="77777777" w:rsidR="00DA0E15" w:rsidRDefault="00362131">
      <w:pPr>
        <w:overflowPunct w:val="0"/>
        <w:autoSpaceDE w:val="0"/>
        <w:autoSpaceDN w:val="0"/>
        <w:adjustRightInd w:val="0"/>
        <w:spacing w:line="276" w:lineRule="auto"/>
        <w:ind w:firstLine="540"/>
        <w:textAlignment w:val="baseline"/>
        <w:rPr>
          <w:rFonts w:cs="Times Armenian"/>
          <w:kern w:val="16"/>
          <w:lang w:val="hy-AM"/>
        </w:rPr>
      </w:pPr>
      <w:r>
        <w:rPr>
          <w:rFonts w:cs="Times Armenian"/>
          <w:kern w:val="16"/>
          <w:lang w:val="hy-AM"/>
        </w:rPr>
        <w:t>2022 թվականի համար՝ 25,851.0 մլն դրամ,</w:t>
      </w:r>
    </w:p>
    <w:p w14:paraId="62200D03" w14:textId="77777777" w:rsidR="00DA0E15" w:rsidRDefault="00362131">
      <w:pPr>
        <w:overflowPunct w:val="0"/>
        <w:autoSpaceDE w:val="0"/>
        <w:autoSpaceDN w:val="0"/>
        <w:adjustRightInd w:val="0"/>
        <w:spacing w:line="276" w:lineRule="auto"/>
        <w:ind w:firstLine="540"/>
        <w:textAlignment w:val="baseline"/>
        <w:rPr>
          <w:rFonts w:cs="Times Armenian"/>
          <w:kern w:val="16"/>
          <w:lang w:val="hy-AM"/>
        </w:rPr>
      </w:pPr>
      <w:r>
        <w:rPr>
          <w:rFonts w:cs="Times Armenian"/>
          <w:kern w:val="16"/>
          <w:lang w:val="hy-AM"/>
        </w:rPr>
        <w:t>2023 թվականի համար՝ 25,334.1 մլն դրամ,</w:t>
      </w:r>
    </w:p>
    <w:p w14:paraId="02A014C5" w14:textId="178E5FEF" w:rsidR="007112CF" w:rsidRDefault="00362131">
      <w:pPr>
        <w:overflowPunct w:val="0"/>
        <w:autoSpaceDE w:val="0"/>
        <w:autoSpaceDN w:val="0"/>
        <w:adjustRightInd w:val="0"/>
        <w:spacing w:line="276" w:lineRule="auto"/>
        <w:ind w:firstLine="540"/>
        <w:textAlignment w:val="baseline"/>
        <w:rPr>
          <w:rFonts w:cs="Times Armenian"/>
          <w:kern w:val="16"/>
          <w:lang w:val="hy-AM"/>
        </w:rPr>
      </w:pPr>
      <w:r>
        <w:rPr>
          <w:rFonts w:cs="Times Armenian"/>
          <w:kern w:val="16"/>
          <w:lang w:val="hy-AM"/>
        </w:rPr>
        <w:t>2024 թվականի համար՝ 31,434.7 մլն դրամ:</w:t>
      </w:r>
    </w:p>
    <w:p w14:paraId="4C031B75" w14:textId="77777777" w:rsidR="003E1D8A" w:rsidRDefault="003E1D8A">
      <w:pPr>
        <w:overflowPunct w:val="0"/>
        <w:autoSpaceDE w:val="0"/>
        <w:autoSpaceDN w:val="0"/>
        <w:adjustRightInd w:val="0"/>
        <w:spacing w:line="276" w:lineRule="auto"/>
        <w:ind w:firstLine="540"/>
        <w:textAlignment w:val="baseline"/>
        <w:rPr>
          <w:rFonts w:cs="Times Armenian"/>
          <w:kern w:val="16"/>
          <w:lang w:val="hy-AM"/>
        </w:rPr>
      </w:pPr>
    </w:p>
    <w:p w14:paraId="52497EFD" w14:textId="77777777" w:rsidR="00DA0E15" w:rsidRDefault="00362131">
      <w:pPr>
        <w:pStyle w:val="Heading3"/>
        <w:spacing w:before="0" w:after="120" w:line="276" w:lineRule="auto"/>
        <w:jc w:val="both"/>
        <w:rPr>
          <w:rFonts w:eastAsia="Times New Roman" w:cs="Times New Roman"/>
          <w:caps w:val="0"/>
          <w:color w:val="1F497D" w:themeColor="text2"/>
          <w:sz w:val="28"/>
          <w:szCs w:val="28"/>
        </w:rPr>
      </w:pPr>
      <w:bookmarkStart w:id="609" w:name="_Toc13837377"/>
      <w:bookmarkStart w:id="610" w:name="_Toc45637524"/>
      <w:bookmarkStart w:id="611" w:name="_Toc45838548"/>
      <w:bookmarkStart w:id="612" w:name="_Toc77837877"/>
      <w:bookmarkEnd w:id="608"/>
      <w:r w:rsidRPr="00FA0954">
        <w:rPr>
          <w:rFonts w:eastAsia="Times New Roman" w:cs="Times New Roman"/>
          <w:caps w:val="0"/>
          <w:color w:val="1F497D" w:themeColor="text2"/>
          <w:sz w:val="28"/>
          <w:szCs w:val="28"/>
        </w:rPr>
        <w:t>8</w:t>
      </w:r>
      <w:r>
        <w:rPr>
          <w:rFonts w:eastAsia="Times New Roman" w:cs="Times New Roman"/>
          <w:caps w:val="0"/>
          <w:color w:val="1F497D" w:themeColor="text2"/>
          <w:sz w:val="28"/>
          <w:szCs w:val="28"/>
        </w:rPr>
        <w:t>. ԱՐՏԱԿԱՐԳ ԻՐԱՎԻՃԱԿՆԵՐ</w:t>
      </w:r>
      <w:bookmarkEnd w:id="609"/>
      <w:bookmarkEnd w:id="610"/>
      <w:bookmarkEnd w:id="611"/>
      <w:bookmarkEnd w:id="612"/>
    </w:p>
    <w:p w14:paraId="68999D4E" w14:textId="77777777" w:rsidR="00DA0E15" w:rsidRDefault="00362131">
      <w:pPr>
        <w:spacing w:line="276" w:lineRule="auto"/>
        <w:rPr>
          <w:rFonts w:eastAsia="GHEA Grapalat" w:cs="GHEA Grapalat"/>
          <w:lang w:val="hy-AM"/>
        </w:rPr>
      </w:pPr>
      <w:r>
        <w:rPr>
          <w:rFonts w:eastAsia="GHEA Grapalat" w:cs="GHEA Grapalat"/>
          <w:lang w:val="hy-AM"/>
        </w:rPr>
        <w:t>Հայաստանի Հանրապետության ազգային անվտանգության ապահովման կարևորագույն ոլորտներից մեկը՝  արտակարգ իրավիճակների համակարգը, իրականացնում  է հանրապետությունում քաղաքացիական պաշտպանության և արտակարգ իրավիճակներում բնակչության պաշտպանության բնագավառներում միաuնական պետական քաղաքականության մշակման, բնական, արհեստական և տեխնածին  աղետներ առաջացնող երևույթների ուսումնասիրության, կանխարգելման, հակազդման,  հետևանքների վերացման, բնակչության վաղաժամ իրազեկման  և ուսուցման գործառույթները:</w:t>
      </w:r>
    </w:p>
    <w:p w14:paraId="6834B1AB" w14:textId="77777777" w:rsidR="00DA0E15" w:rsidRDefault="00362131">
      <w:pPr>
        <w:spacing w:line="276" w:lineRule="auto"/>
        <w:rPr>
          <w:rFonts w:eastAsia="GHEA Grapalat" w:cs="GHEA Grapalat"/>
          <w:lang w:val="hy-AM"/>
        </w:rPr>
      </w:pPr>
      <w:r>
        <w:rPr>
          <w:rFonts w:eastAsia="GHEA Grapalat" w:cs="GHEA Grapalat"/>
          <w:lang w:val="hy-AM"/>
        </w:rPr>
        <w:t>Արտակարգ իրավիճակներին դիմագրավելու համար ոլորտում գործում են Փրկարար ծառայությունը, Պետական ռեզերվների գրասենյակը, Սեյսմիկ պաշտպանության ծառայությունը, Տեխնիկական անվտանգության ազգային կենտրոնը, Ճգնաժամային կառավարման պետական ակադեմիան, և Ռուս հայկական մարդասիրական կենտրոնը: Նպատակը՝  աղետների  հետևանքով հասարակությանը և տնտեսությանը հասցվող վնասների ռիսկի նվազեցումն է, ինչպես նաև  բնակչությանը և շրջակա միջավայրի պաշտպանությանն  ուղղված գործառություններն են:</w:t>
      </w:r>
    </w:p>
    <w:p w14:paraId="4890E262" w14:textId="77777777" w:rsidR="00DA0E15" w:rsidRDefault="00362131">
      <w:pPr>
        <w:spacing w:line="276" w:lineRule="auto"/>
        <w:rPr>
          <w:rFonts w:eastAsia="GHEA Grapalat" w:cs="GHEA Grapalat"/>
          <w:lang w:val="hy-AM"/>
        </w:rPr>
      </w:pPr>
      <w:r>
        <w:rPr>
          <w:rFonts w:eastAsia="GHEA Grapalat" w:cs="GHEA Grapalat"/>
          <w:lang w:val="hy-AM"/>
        </w:rPr>
        <w:t>Ոլորտի հիմնական թիրախներն են՝  արտակարգ իրավիճակների բնագավառի  պետական քաղաքականության մշակում՝ ծրագրերի համակարգում, արտակարգ իրավիճակների արդյունավետ արձագանքում, արտակարգ իրավիճակների կանխում, հնարավոր հետևանքների նվազեցում և վերացում, քաղաքացիական պաշտպանություն, բնակչության և տնտեսության օբյեկտների (տարածքների) պաշտպանություն, փրկարարական, վթարային փրկարարական, անհետաձգելի վթարավերականգնողական, հրդեհաշիջման և այլ աշխատանքների իրականացում, սեյսմիկ ռիսկերի գնահատում և նվազեցում, արտադրական վտանգավոր օբյեկտների շահագործմամբ պայմանավորված տեխնածին վթարների և դրանց հետևանքով հասարակությանը և տնտեսությանը պատճառվող վնասների ռիսկերի նվազեցում, ճգնաժամային կառավարման կարողությունների զարգացում, արտակարգ իրավիճակներում ռազմավարական նշանակության պաշարներով ապահովում և այլն, որոնք ներառված էն աղետների ռիսկի կառավարման ազգային ռազմավարության իրականացման գործողությունների ծրագրում:</w:t>
      </w:r>
    </w:p>
    <w:p w14:paraId="7949ADB4" w14:textId="77777777" w:rsidR="00DA0E15" w:rsidRDefault="00DA0E15">
      <w:pPr>
        <w:shd w:val="clear" w:color="auto" w:fill="FFFFFF"/>
        <w:spacing w:after="0" w:line="276" w:lineRule="auto"/>
        <w:rPr>
          <w:rFonts w:cs="Sylfaen"/>
          <w:b/>
          <w:kern w:val="16"/>
          <w:lang w:val="hy-AM"/>
        </w:rPr>
      </w:pPr>
    </w:p>
    <w:p w14:paraId="1A99C602" w14:textId="77777777" w:rsidR="00DA0E15" w:rsidRDefault="00362131">
      <w:pPr>
        <w:shd w:val="clear" w:color="auto" w:fill="FFFFFF"/>
        <w:spacing w:after="0" w:line="276" w:lineRule="auto"/>
        <w:rPr>
          <w:rFonts w:cs="Sylfaen"/>
          <w:b/>
          <w:kern w:val="16"/>
          <w:lang w:val="hy-AM"/>
        </w:rPr>
      </w:pPr>
      <w:r>
        <w:rPr>
          <w:rFonts w:cs="Sylfaen"/>
          <w:b/>
          <w:kern w:val="16"/>
          <w:lang w:val="hy-AM"/>
        </w:rPr>
        <w:t>ՈԼՈՐՏԱՅԻՆ ԾԱԽՍԱՅԻՆ ԾՐԱԳՐԵՐԸ</w:t>
      </w:r>
    </w:p>
    <w:p w14:paraId="184DF8B2" w14:textId="77777777" w:rsidR="00DA0E15" w:rsidRDefault="00362131">
      <w:pPr>
        <w:spacing w:line="276" w:lineRule="auto"/>
        <w:rPr>
          <w:rFonts w:eastAsia="GHEA Grapalat" w:cs="GHEA Grapalat"/>
          <w:lang w:val="hy-AM"/>
        </w:rPr>
      </w:pPr>
      <w:r>
        <w:rPr>
          <w:rFonts w:eastAsia="GHEA Grapalat" w:cs="GHEA Grapalat"/>
          <w:lang w:val="hy-AM"/>
        </w:rPr>
        <w:t>Ոլորտային քաղաքականության թիրախների (վերջնական արդյունքների) ապահովման նպատակով ՄԺԾԾ ժամանակահատվածում ՀՀ արտակարգ իրավիճակների նախարարության կողմից իրականցվող հիմնական ծրագրերն են.</w:t>
      </w:r>
    </w:p>
    <w:p w14:paraId="024A8076" w14:textId="77777777" w:rsidR="00DA0E15" w:rsidRDefault="00362131">
      <w:pPr>
        <w:spacing w:line="276" w:lineRule="auto"/>
        <w:rPr>
          <w:rFonts w:eastAsia="GHEA Grapalat" w:cs="GHEA Grapalat"/>
          <w:color w:val="000000" w:themeColor="text1"/>
          <w:lang w:val="hy-AM"/>
        </w:rPr>
      </w:pPr>
      <w:r>
        <w:rPr>
          <w:rFonts w:eastAsia="GHEA Grapalat" w:cs="GHEA Grapalat"/>
          <w:b/>
          <w:bCs/>
          <w:lang w:val="hy-AM"/>
        </w:rPr>
        <w:t>1</w:t>
      </w:r>
      <w:r>
        <w:rPr>
          <w:rFonts w:ascii="Cambria Math" w:eastAsia="GHEA Grapalat" w:hAnsi="Cambria Math" w:cs="GHEA Grapalat"/>
          <w:b/>
          <w:bCs/>
          <w:lang w:val="hy-AM"/>
        </w:rPr>
        <w:t xml:space="preserve">․ </w:t>
      </w:r>
      <w:r>
        <w:rPr>
          <w:rFonts w:eastAsia="GHEA Grapalat" w:cs="GHEA Grapalat"/>
          <w:b/>
          <w:bCs/>
          <w:lang w:val="hy-AM"/>
        </w:rPr>
        <w:t>«Արտակարգ իրավիճակների բնագավառի պետական քաղաքականության մշակում՝ ծրագրերի համակարգում և մոնիտորինգ»</w:t>
      </w:r>
      <w:r>
        <w:rPr>
          <w:rFonts w:eastAsia="GHEA Grapalat" w:cs="GHEA Grapalat"/>
          <w:lang w:val="hy-AM"/>
        </w:rPr>
        <w:t xml:space="preserve"> ծրագրի նպատակն է արտակարգ իրավիճակների բնագավառում պետական արդյունավետ քաղաքականության մշակման և իրականացման ապահովումը, որի ուղղությամբ 2022-2024թթ. նախատեսվում է հատկացնել համապատասխանաբար՝ 1,426.2 մլն </w:t>
      </w:r>
      <w:r>
        <w:rPr>
          <w:rFonts w:eastAsia="GHEA Grapalat" w:cs="GHEA Grapalat"/>
          <w:color w:val="000000" w:themeColor="text1"/>
          <w:lang w:val="hy-AM"/>
        </w:rPr>
        <w:t>դրամ, 1,434.2 մլն դրամ և 1,447.6 մլն դրամ:</w:t>
      </w:r>
    </w:p>
    <w:p w14:paraId="7F2EE064" w14:textId="77777777" w:rsidR="00DA0E15" w:rsidRDefault="00362131">
      <w:pPr>
        <w:spacing w:line="276" w:lineRule="auto"/>
        <w:rPr>
          <w:rFonts w:eastAsia="GHEA Grapalat" w:cs="GHEA Grapalat"/>
          <w:lang w:val="hy-AM"/>
        </w:rPr>
      </w:pPr>
      <w:r>
        <w:rPr>
          <w:rFonts w:eastAsia="GHEA Grapalat" w:cs="GHEA Grapalat"/>
          <w:b/>
          <w:bCs/>
          <w:lang w:val="hy-AM"/>
        </w:rPr>
        <w:t>2</w:t>
      </w:r>
      <w:r>
        <w:rPr>
          <w:rFonts w:ascii="Cambria Math" w:eastAsia="GHEA Grapalat" w:hAnsi="Cambria Math" w:cs="GHEA Grapalat"/>
          <w:b/>
          <w:bCs/>
          <w:lang w:val="hy-AM"/>
        </w:rPr>
        <w:t xml:space="preserve">․ </w:t>
      </w:r>
      <w:r>
        <w:rPr>
          <w:rFonts w:eastAsia="GHEA Grapalat" w:cs="GHEA Grapalat"/>
          <w:b/>
          <w:bCs/>
          <w:lang w:val="hy-AM"/>
        </w:rPr>
        <w:t>«Փրկարարական ծառայություններ»</w:t>
      </w:r>
      <w:r>
        <w:rPr>
          <w:rFonts w:eastAsia="GHEA Grapalat" w:cs="GHEA Grapalat"/>
          <w:lang w:val="hy-AM"/>
        </w:rPr>
        <w:t xml:space="preserve"> ծրագրի նպատակն է արտակարգ իրավիճակների հնարավոր դեպքերի կանխում, դրանց ժամանակին արձագանքում, հետևանքների նվազեցում և բնակչության պաշտպանություն, որի ուղղությամբ 2022-2024թթ. նախատեսվում է հատկացնել 2022թ՝ 11,300.6 մլն դրամ, 2023թ՝ 11,912.4 մլն դրամ և 2024թ՝ 11,899.5 մլն դրամ:</w:t>
      </w:r>
    </w:p>
    <w:p w14:paraId="44635F01" w14:textId="77777777" w:rsidR="00DA0E15" w:rsidRDefault="00362131">
      <w:pPr>
        <w:spacing w:line="276" w:lineRule="auto"/>
        <w:rPr>
          <w:rFonts w:eastAsia="GHEA Grapalat" w:cs="GHEA Grapalat"/>
          <w:lang w:val="hy-AM"/>
        </w:rPr>
      </w:pPr>
      <w:r>
        <w:rPr>
          <w:rFonts w:eastAsia="GHEA Grapalat" w:cs="GHEA Grapalat"/>
          <w:b/>
          <w:bCs/>
          <w:lang w:val="hy-AM"/>
        </w:rPr>
        <w:t>3</w:t>
      </w:r>
      <w:r>
        <w:rPr>
          <w:rFonts w:ascii="Cambria Math" w:eastAsia="GHEA Grapalat" w:hAnsi="Cambria Math" w:cs="GHEA Grapalat"/>
          <w:b/>
          <w:bCs/>
          <w:lang w:val="hy-AM"/>
        </w:rPr>
        <w:t xml:space="preserve">․ </w:t>
      </w:r>
      <w:r>
        <w:rPr>
          <w:rFonts w:eastAsia="GHEA Grapalat" w:cs="GHEA Grapalat"/>
          <w:b/>
          <w:bCs/>
          <w:lang w:val="hy-AM"/>
        </w:rPr>
        <w:t>«Ռազմավարական նշանակության պաշարների կառավարում»</w:t>
      </w:r>
      <w:r>
        <w:rPr>
          <w:rFonts w:eastAsia="GHEA Grapalat" w:cs="GHEA Grapalat"/>
          <w:lang w:val="hy-AM"/>
        </w:rPr>
        <w:t xml:space="preserve"> ծրագրի նպատակն է արտակարգ իրավիճակներում ռազմավարական նշանակության պաշարներով ապահովումը, որի ուղղությամբ 2022-2024թթ. նախատեսվում է յուրաքանչյուր տարի հատկացնել 29.9 մլն դրամ:</w:t>
      </w:r>
    </w:p>
    <w:p w14:paraId="334091E4" w14:textId="77777777" w:rsidR="00DA0E15" w:rsidRDefault="00362131">
      <w:pPr>
        <w:spacing w:line="276" w:lineRule="auto"/>
        <w:rPr>
          <w:rFonts w:eastAsia="GHEA Grapalat" w:cs="GHEA Grapalat"/>
          <w:lang w:val="hy-AM"/>
        </w:rPr>
      </w:pPr>
      <w:r>
        <w:rPr>
          <w:rFonts w:eastAsia="GHEA Grapalat" w:cs="GHEA Grapalat"/>
          <w:b/>
          <w:bCs/>
          <w:lang w:val="hy-AM"/>
        </w:rPr>
        <w:t>4</w:t>
      </w:r>
      <w:r>
        <w:rPr>
          <w:rFonts w:ascii="Cambria Math" w:eastAsia="GHEA Grapalat" w:hAnsi="Cambria Math" w:cs="GHEA Grapalat"/>
          <w:b/>
          <w:bCs/>
          <w:lang w:val="hy-AM"/>
        </w:rPr>
        <w:t xml:space="preserve">․ </w:t>
      </w:r>
      <w:r>
        <w:rPr>
          <w:rFonts w:eastAsia="GHEA Grapalat" w:cs="GHEA Grapalat"/>
          <w:b/>
          <w:bCs/>
          <w:lang w:val="hy-AM"/>
        </w:rPr>
        <w:t>«Սեյսմիկ պաշտպանություն»</w:t>
      </w:r>
      <w:r>
        <w:rPr>
          <w:rFonts w:eastAsia="GHEA Grapalat" w:cs="GHEA Grapalat"/>
          <w:lang w:val="hy-AM"/>
        </w:rPr>
        <w:t xml:space="preserve"> ծրագրի նպատակն է սեյսմիկ ռիսկերի գնահատումը և նվազեցումը, որի ուղղությամբ 2022-2024թթ. նախատեսվում է հատկացնել 2022թ. 752</w:t>
      </w:r>
      <w:r>
        <w:rPr>
          <w:rFonts w:ascii="Cambria Math" w:eastAsia="GHEA Grapalat" w:hAnsi="Cambria Math" w:cs="GHEA Grapalat"/>
          <w:lang w:val="hy-AM"/>
        </w:rPr>
        <w:t>․</w:t>
      </w:r>
      <w:r>
        <w:rPr>
          <w:rFonts w:eastAsia="GHEA Grapalat" w:cs="GHEA Grapalat"/>
          <w:lang w:val="hy-AM"/>
        </w:rPr>
        <w:t>9 մլն դրամ, իսկ 2023-2024թթ.՝ 793</w:t>
      </w:r>
      <w:r>
        <w:rPr>
          <w:rFonts w:ascii="Cambria Math" w:eastAsia="GHEA Grapalat" w:hAnsi="Cambria Math" w:cs="GHEA Grapalat"/>
          <w:lang w:val="hy-AM"/>
        </w:rPr>
        <w:t>․</w:t>
      </w:r>
      <w:r>
        <w:rPr>
          <w:rFonts w:eastAsia="GHEA Grapalat" w:cs="GHEA Grapalat"/>
          <w:lang w:val="hy-AM"/>
        </w:rPr>
        <w:t>8 մլն դրամ:</w:t>
      </w:r>
    </w:p>
    <w:p w14:paraId="4F299A37" w14:textId="77777777" w:rsidR="00DA0E15" w:rsidRDefault="00362131">
      <w:pPr>
        <w:spacing w:line="276" w:lineRule="auto"/>
        <w:ind w:firstLine="450"/>
        <w:rPr>
          <w:rFonts w:eastAsia="GHEA Grapalat" w:cs="GHEA Grapalat"/>
          <w:lang w:val="hy-AM"/>
        </w:rPr>
      </w:pPr>
      <w:r>
        <w:rPr>
          <w:rFonts w:eastAsia="GHEA Grapalat" w:cs="GHEA Grapalat"/>
          <w:lang w:val="hy-AM"/>
        </w:rPr>
        <w:t xml:space="preserve"> </w:t>
      </w:r>
      <w:r>
        <w:rPr>
          <w:rFonts w:eastAsia="GHEA Grapalat" w:cs="GHEA Grapalat"/>
          <w:b/>
          <w:bCs/>
          <w:lang w:val="hy-AM"/>
        </w:rPr>
        <w:t>5</w:t>
      </w:r>
      <w:r>
        <w:rPr>
          <w:rFonts w:ascii="Cambria Math" w:eastAsia="GHEA Grapalat" w:hAnsi="Cambria Math" w:cs="GHEA Grapalat"/>
          <w:b/>
          <w:bCs/>
          <w:lang w:val="hy-AM"/>
        </w:rPr>
        <w:t xml:space="preserve">․ </w:t>
      </w:r>
      <w:r>
        <w:rPr>
          <w:rFonts w:eastAsia="GHEA Grapalat" w:cs="GHEA Grapalat"/>
          <w:b/>
          <w:bCs/>
          <w:lang w:val="hy-AM"/>
        </w:rPr>
        <w:t>«Տեխնիկական անվտանգության կանոնակարգում»</w:t>
      </w:r>
      <w:r>
        <w:rPr>
          <w:rFonts w:eastAsia="GHEA Grapalat" w:cs="GHEA Grapalat"/>
          <w:lang w:val="hy-AM"/>
        </w:rPr>
        <w:t xml:space="preserve"> ծրագրի նպատակն է արտադրական վտանգավոր օբյեկտների շահագործմամբ պայմանավորված տեխնածին վթարների և դրանց հետևանքով հասարակությանը և տնտեսությանը պատճառվող վնասների ռիսկերի նվազեցումը որի ուղղությամբ 2022-2024թթ. նախատեսվում է հատկացնել 2022թ. 43</w:t>
      </w:r>
      <w:r>
        <w:rPr>
          <w:rFonts w:ascii="Cambria Math" w:eastAsia="GHEA Grapalat" w:hAnsi="Cambria Math" w:cs="GHEA Grapalat"/>
          <w:lang w:val="hy-AM"/>
        </w:rPr>
        <w:t>․</w:t>
      </w:r>
      <w:r>
        <w:rPr>
          <w:rFonts w:eastAsia="GHEA Grapalat" w:cs="GHEA Grapalat"/>
          <w:lang w:val="hy-AM"/>
        </w:rPr>
        <w:t>4 մլն դրամ, 2023-2024թթ.՝ 45</w:t>
      </w:r>
      <w:r>
        <w:rPr>
          <w:rFonts w:ascii="Cambria Math" w:eastAsia="GHEA Grapalat" w:hAnsi="Cambria Math" w:cs="GHEA Grapalat"/>
          <w:lang w:val="hy-AM"/>
        </w:rPr>
        <w:t>․</w:t>
      </w:r>
      <w:r>
        <w:rPr>
          <w:rFonts w:eastAsia="GHEA Grapalat" w:cs="GHEA Grapalat"/>
          <w:lang w:val="hy-AM"/>
        </w:rPr>
        <w:t>7 մլն դրամ:</w:t>
      </w:r>
    </w:p>
    <w:p w14:paraId="0A0E0747" w14:textId="77777777" w:rsidR="00DA0E15" w:rsidRDefault="00362131">
      <w:pPr>
        <w:spacing w:line="276" w:lineRule="auto"/>
        <w:ind w:firstLine="450"/>
        <w:rPr>
          <w:rFonts w:eastAsia="GHEA Grapalat" w:cs="GHEA Grapalat"/>
          <w:lang w:val="hy-AM"/>
        </w:rPr>
      </w:pPr>
      <w:r>
        <w:rPr>
          <w:rFonts w:eastAsia="GHEA Grapalat" w:cs="GHEA Grapalat"/>
          <w:b/>
          <w:bCs/>
          <w:lang w:val="hy-AM"/>
        </w:rPr>
        <w:t>6</w:t>
      </w:r>
      <w:r>
        <w:rPr>
          <w:rFonts w:ascii="Cambria Math" w:eastAsia="GHEA Grapalat" w:hAnsi="Cambria Math" w:cs="GHEA Grapalat"/>
          <w:b/>
          <w:bCs/>
          <w:lang w:val="hy-AM"/>
        </w:rPr>
        <w:t xml:space="preserve">․ </w:t>
      </w:r>
      <w:r>
        <w:rPr>
          <w:rFonts w:eastAsia="GHEA Grapalat" w:cs="GHEA Grapalat"/>
          <w:b/>
          <w:bCs/>
          <w:lang w:val="hy-AM"/>
        </w:rPr>
        <w:t>«Արտակարգ իրավիճակների արձագանքման կարողությունների զարգացում»</w:t>
      </w:r>
      <w:r>
        <w:rPr>
          <w:rFonts w:eastAsia="GHEA Grapalat" w:cs="GHEA Grapalat"/>
          <w:lang w:val="hy-AM"/>
        </w:rPr>
        <w:t xml:space="preserve"> ծրագրի նպատակն է արտակարգ իրավիճակների և ճգնաժամային կառավարման կարողությունների զարգացումը, որի  գծով 2022-2024թթ. նախատեսվում է հատկացնել 2022թ՝ 114.8մլն դրամ, 2023թ՝ 121.0 մլն դրամ և 2024թ՝ 121.0 մլն դրամ:</w:t>
      </w:r>
    </w:p>
    <w:p w14:paraId="5739D35B" w14:textId="77777777" w:rsidR="00DA0E15" w:rsidRDefault="00362131">
      <w:pPr>
        <w:spacing w:line="276" w:lineRule="auto"/>
        <w:rPr>
          <w:rFonts w:eastAsia="GHEA Grapalat" w:cs="GHEA Grapalat"/>
          <w:lang w:val="hy-AM"/>
        </w:rPr>
      </w:pPr>
      <w:r>
        <w:rPr>
          <w:rFonts w:eastAsia="GHEA Grapalat" w:cs="GHEA Grapalat"/>
          <w:lang w:val="hy-AM"/>
        </w:rPr>
        <w:t> </w:t>
      </w:r>
    </w:p>
    <w:p w14:paraId="606E3C79" w14:textId="77777777" w:rsidR="00DA0E15" w:rsidRDefault="00362131">
      <w:pPr>
        <w:spacing w:line="276" w:lineRule="auto"/>
        <w:rPr>
          <w:rFonts w:eastAsia="GHEA Grapalat" w:cs="GHEA Grapalat"/>
          <w:lang w:val="hy-AM"/>
        </w:rPr>
      </w:pPr>
      <w:r>
        <w:rPr>
          <w:rFonts w:eastAsia="GHEA Grapalat" w:cs="GHEA Grapalat"/>
          <w:lang w:val="hy-AM"/>
        </w:rPr>
        <w:t>Ստորև ներկայացվում է Արտակարգ իրավիճակների ոլորտում 2022-2024 թվականների յուրաքանչյուր տարվա համար նախատեսված չափաքանակները.</w:t>
      </w:r>
    </w:p>
    <w:p w14:paraId="0012D5D0" w14:textId="77777777" w:rsidR="00DA0E15" w:rsidRDefault="00362131">
      <w:pPr>
        <w:spacing w:line="276" w:lineRule="auto"/>
        <w:rPr>
          <w:rFonts w:eastAsia="GHEA Grapalat" w:cs="GHEA Grapalat"/>
          <w:lang w:val="hy-AM"/>
        </w:rPr>
      </w:pPr>
      <w:r>
        <w:rPr>
          <w:rFonts w:eastAsia="GHEA Grapalat" w:cs="GHEA Grapalat"/>
          <w:lang w:val="hy-AM"/>
        </w:rPr>
        <w:t>         2022 թվականի համար՝  13,667.8 մլն դրամ,</w:t>
      </w:r>
    </w:p>
    <w:p w14:paraId="6DA13698" w14:textId="77777777" w:rsidR="00DA0E15" w:rsidRDefault="00362131">
      <w:pPr>
        <w:spacing w:line="276" w:lineRule="auto"/>
        <w:rPr>
          <w:rFonts w:eastAsia="GHEA Grapalat" w:cs="GHEA Grapalat"/>
          <w:lang w:val="hy-AM"/>
        </w:rPr>
      </w:pPr>
      <w:r>
        <w:rPr>
          <w:rFonts w:eastAsia="GHEA Grapalat" w:cs="GHEA Grapalat"/>
          <w:lang w:val="hy-AM"/>
        </w:rPr>
        <w:t>         2023 թվականի համար՝  14,337.1 մլն դրամ,</w:t>
      </w:r>
    </w:p>
    <w:p w14:paraId="5CB8619A" w14:textId="77777777" w:rsidR="00DA0E15" w:rsidRDefault="00362131">
      <w:pPr>
        <w:spacing w:line="276" w:lineRule="auto"/>
        <w:rPr>
          <w:rFonts w:eastAsia="Times New Roman" w:cs="Times New Roman"/>
          <w:color w:val="1F497D" w:themeColor="text2"/>
          <w:sz w:val="28"/>
          <w:szCs w:val="28"/>
          <w:lang w:val="hy-AM"/>
        </w:rPr>
      </w:pPr>
      <w:r>
        <w:rPr>
          <w:rFonts w:ascii="Calibri" w:eastAsia="GHEA Grapalat" w:hAnsi="Calibri" w:cs="Calibri"/>
          <w:lang w:val="hy-AM"/>
        </w:rPr>
        <w:t>            </w:t>
      </w:r>
      <w:r>
        <w:rPr>
          <w:rFonts w:ascii="Sylfaen" w:eastAsia="GHEA Grapalat" w:hAnsi="Sylfaen" w:cs="Calibri"/>
          <w:lang w:val="hy-AM"/>
        </w:rPr>
        <w:tab/>
      </w:r>
      <w:r>
        <w:rPr>
          <w:rFonts w:ascii="Sylfaen" w:eastAsia="GHEA Grapalat" w:hAnsi="Sylfaen" w:cs="Calibri"/>
          <w:lang w:val="hy-AM"/>
        </w:rPr>
        <w:tab/>
      </w:r>
      <w:r>
        <w:rPr>
          <w:rFonts w:eastAsia="GHEA Grapalat" w:cs="GHEA Grapalat"/>
          <w:lang w:val="hy-AM"/>
        </w:rPr>
        <w:t>2024 թվականի համար՝</w:t>
      </w:r>
      <w:r>
        <w:rPr>
          <w:rFonts w:ascii="Calibri" w:eastAsia="GHEA Grapalat" w:hAnsi="Calibri" w:cs="Calibri"/>
          <w:lang w:val="hy-AM"/>
        </w:rPr>
        <w:t xml:space="preserve">     </w:t>
      </w:r>
      <w:r>
        <w:rPr>
          <w:rFonts w:eastAsia="GHEA Grapalat" w:cs="GHEA Grapalat"/>
          <w:lang w:val="hy-AM"/>
        </w:rPr>
        <w:t>14,337.7 մլն</w:t>
      </w:r>
      <w:r>
        <w:rPr>
          <w:rFonts w:ascii="Calibri" w:eastAsia="GHEA Grapalat" w:hAnsi="Calibri" w:cs="Calibri"/>
          <w:lang w:val="hy-AM"/>
        </w:rPr>
        <w:t> </w:t>
      </w:r>
      <w:r>
        <w:rPr>
          <w:rFonts w:eastAsia="GHEA Grapalat" w:cs="GHEA Grapalat"/>
          <w:lang w:val="hy-AM"/>
        </w:rPr>
        <w:t>դրամ:</w:t>
      </w:r>
    </w:p>
    <w:p w14:paraId="2885264A" w14:textId="77777777" w:rsidR="00DA0E15" w:rsidRDefault="00362131">
      <w:pPr>
        <w:pStyle w:val="BodyText"/>
        <w:spacing w:line="276" w:lineRule="auto"/>
        <w:ind w:left="34"/>
        <w:rPr>
          <w:rFonts w:cs="Sylfaen"/>
          <w:b/>
          <w:bCs/>
          <w:kern w:val="16"/>
          <w:lang w:val="af-ZA" w:eastAsia="ru-RU"/>
        </w:rPr>
      </w:pPr>
      <w:r>
        <w:rPr>
          <w:rFonts w:cs="Sylfaen"/>
          <w:kern w:val="16"/>
          <w:lang w:val="af-ZA" w:eastAsia="ru-RU"/>
        </w:rPr>
        <w:t>      </w:t>
      </w:r>
    </w:p>
    <w:p w14:paraId="171ABA74" w14:textId="77777777" w:rsidR="00DA0E15" w:rsidRDefault="00362131">
      <w:pPr>
        <w:pStyle w:val="Heading3"/>
        <w:spacing w:before="0" w:after="120" w:line="276" w:lineRule="auto"/>
        <w:jc w:val="both"/>
        <w:rPr>
          <w:rFonts w:eastAsia="Times New Roman" w:cs="Times New Roman"/>
          <w:caps w:val="0"/>
          <w:color w:val="1F497D" w:themeColor="text2"/>
        </w:rPr>
      </w:pPr>
      <w:r>
        <w:rPr>
          <w:rFonts w:eastAsia="Times New Roman" w:cs="Times New Roman"/>
          <w:caps w:val="0"/>
          <w:color w:val="1F497D" w:themeColor="text2"/>
        </w:rPr>
        <w:t xml:space="preserve"> </w:t>
      </w:r>
      <w:bookmarkStart w:id="613" w:name="_Toc45637525"/>
      <w:bookmarkStart w:id="614" w:name="_Toc45838549"/>
      <w:bookmarkStart w:id="615" w:name="_Toc13837379"/>
      <w:bookmarkStart w:id="616" w:name="_Toc266780840"/>
      <w:bookmarkStart w:id="617" w:name="_Toc456102850"/>
      <w:bookmarkStart w:id="618" w:name="_Toc519513699"/>
    </w:p>
    <w:p w14:paraId="776FB83F" w14:textId="77777777" w:rsidR="00DA0E15" w:rsidRDefault="00362131">
      <w:pPr>
        <w:spacing w:before="0" w:after="200" w:line="276" w:lineRule="auto"/>
        <w:ind w:firstLine="0"/>
        <w:jc w:val="left"/>
        <w:rPr>
          <w:rFonts w:eastAsia="Times New Roman" w:cs="Times New Roman"/>
          <w:b/>
          <w:color w:val="1F497D" w:themeColor="text2"/>
          <w:sz w:val="28"/>
          <w:szCs w:val="28"/>
          <w:lang w:val="hy-AM"/>
        </w:rPr>
      </w:pPr>
      <w:r>
        <w:rPr>
          <w:rFonts w:eastAsia="Times New Roman" w:cs="Times New Roman"/>
          <w:caps/>
          <w:color w:val="1F497D" w:themeColor="text2"/>
          <w:sz w:val="28"/>
          <w:szCs w:val="28"/>
          <w:lang w:val="hy-AM"/>
        </w:rPr>
        <w:br w:type="page"/>
      </w:r>
    </w:p>
    <w:p w14:paraId="13FC4D5D" w14:textId="77777777" w:rsidR="00DA0E15" w:rsidRDefault="00362131">
      <w:pPr>
        <w:pStyle w:val="Heading3"/>
        <w:spacing w:before="0" w:after="120" w:line="276" w:lineRule="auto"/>
        <w:jc w:val="both"/>
        <w:rPr>
          <w:rFonts w:eastAsia="Times New Roman" w:cs="Times New Roman"/>
          <w:caps w:val="0"/>
          <w:color w:val="1F497D" w:themeColor="text2"/>
          <w:sz w:val="28"/>
          <w:szCs w:val="28"/>
        </w:rPr>
      </w:pPr>
      <w:bookmarkStart w:id="619" w:name="_Toc77837878"/>
      <w:r w:rsidRPr="00FA0954">
        <w:rPr>
          <w:rFonts w:eastAsia="Times New Roman" w:cs="Times New Roman"/>
          <w:caps w:val="0"/>
          <w:color w:val="1F497D" w:themeColor="text2"/>
          <w:sz w:val="28"/>
          <w:szCs w:val="28"/>
        </w:rPr>
        <w:t>9</w:t>
      </w:r>
      <w:r>
        <w:rPr>
          <w:rFonts w:eastAsia="Times New Roman" w:cs="Times New Roman"/>
          <w:caps w:val="0"/>
          <w:color w:val="1F497D" w:themeColor="text2"/>
          <w:sz w:val="28"/>
          <w:szCs w:val="28"/>
        </w:rPr>
        <w:t>. ԱՐԴԱՐԱԴԱՏՈՒԹՅՈՒՆ</w:t>
      </w:r>
      <w:bookmarkEnd w:id="613"/>
      <w:bookmarkEnd w:id="614"/>
      <w:bookmarkEnd w:id="619"/>
      <w:r>
        <w:rPr>
          <w:rFonts w:eastAsia="Times New Roman" w:cs="Times New Roman"/>
          <w:caps w:val="0"/>
          <w:color w:val="1F497D" w:themeColor="text2"/>
          <w:sz w:val="28"/>
          <w:szCs w:val="28"/>
        </w:rPr>
        <w:t xml:space="preserve"> </w:t>
      </w:r>
      <w:bookmarkEnd w:id="615"/>
    </w:p>
    <w:p w14:paraId="5130A1A8" w14:textId="77777777" w:rsidR="00DA0E15" w:rsidRDefault="00DA0E15">
      <w:pPr>
        <w:spacing w:line="276" w:lineRule="auto"/>
        <w:rPr>
          <w:rFonts w:eastAsia="GHEA Grapalat" w:cs="GHEA Grapalat"/>
          <w:lang w:val="hy-AM"/>
        </w:rPr>
      </w:pPr>
    </w:p>
    <w:p w14:paraId="51B67EB3" w14:textId="77777777" w:rsidR="009F0A6F" w:rsidRPr="009F0A6F" w:rsidRDefault="009F0A6F" w:rsidP="009F0A6F">
      <w:pPr>
        <w:pBdr>
          <w:top w:val="nil"/>
          <w:left w:val="nil"/>
          <w:bottom w:val="nil"/>
          <w:right w:val="nil"/>
          <w:between w:val="nil"/>
        </w:pBdr>
        <w:shd w:val="clear" w:color="auto" w:fill="FFFFFF"/>
        <w:spacing w:line="276" w:lineRule="auto"/>
        <w:rPr>
          <w:rFonts w:eastAsia="GHEA Grapalat" w:cs="GHEA Grapalat"/>
          <w:color w:val="000000"/>
          <w:lang w:val="hy-AM"/>
        </w:rPr>
      </w:pPr>
      <w:r w:rsidRPr="009F0A6F">
        <w:rPr>
          <w:rFonts w:eastAsia="GHEA Grapalat" w:cs="GHEA Grapalat"/>
          <w:color w:val="000000"/>
          <w:lang w:val="hy-AM"/>
        </w:rPr>
        <w:t xml:space="preserve">ՄԺԾԾ ժամանակահատվածում արդարադատության ոլորտում ՀՀ արդարադատության նախարարությունը շարունակաբար մշակելու և իրականացնելու է կառավարության քաղաքականությունը, մասնավորապես՝ հարկադիր կատարման, քրեակատարողական, պրոբացիայի, սնանկության, փաստաբանության, հաշտարարության, նոտարական գործունեության, քաղաքացիական կացության ակտերի պետական գրանցման, իրավաբանական անձանց պետական գրանցման և հաշվառման, անհատ ձեռնարկատերերի հաշվառման, զանգվածային լրատվության միջոցների հաշվառման, անձնական տվյալների պաշտպանության, շարժական գույքի նկատմամբ ապահովված իրավունքների գրանցման, իրավական փորձաքննության, միջազգային իրավական փոխօգնության, հակակոռուպցիոն և պետական ծառայությունների մատուցման միասնական գրասենյակների գործունեության ոլորտներում: </w:t>
      </w:r>
    </w:p>
    <w:p w14:paraId="61277C9B" w14:textId="0E804776" w:rsidR="009F0A6F" w:rsidRPr="009F0A6F" w:rsidRDefault="009F0A6F" w:rsidP="009F0A6F">
      <w:pPr>
        <w:pBdr>
          <w:top w:val="nil"/>
          <w:left w:val="nil"/>
          <w:bottom w:val="nil"/>
          <w:right w:val="nil"/>
          <w:between w:val="nil"/>
        </w:pBdr>
        <w:spacing w:line="276" w:lineRule="auto"/>
        <w:rPr>
          <w:rFonts w:eastAsia="GHEA Grapalat" w:cs="GHEA Grapalat"/>
          <w:color w:val="000000"/>
          <w:lang w:val="hy-AM"/>
        </w:rPr>
      </w:pPr>
      <w:r w:rsidRPr="009F0A6F">
        <w:rPr>
          <w:rFonts w:eastAsia="GHEA Grapalat" w:cs="GHEA Grapalat"/>
          <w:color w:val="000000"/>
          <w:highlight w:val="white"/>
          <w:lang w:val="hy-AM"/>
        </w:rPr>
        <w:t xml:space="preserve">Վերոնշյալ ոլորտների շրջանակներում նախարարությունը առանձնացնում է ոլորտային քաղաքականության հիմնական թիրախները և դրանք արտացոլում Կառավարության ծրագրում: Մասնավորապես` հիմնական թիրախային ուղղությունները տեղ են գտել Կառավարության միջոցառումների ցանկում: Առանձնացվել է հակակոռուպցիոն բնագավառը, որի զարգացման նպատակով իրականացվելու են մի շարք միջոցառումներ, այդ թվում` Հակակոռուպցիոն կոմիտեի և հակակոռուպցիոն դատարանի ստեղծումը, կոռուպցիայի կանխարգելման (ներառյալ՝ </w:t>
      </w:r>
      <w:r w:rsidRPr="009F0A6F">
        <w:rPr>
          <w:rFonts w:eastAsia="GHEA Grapalat" w:cs="GHEA Grapalat"/>
          <w:color w:val="000000"/>
          <w:lang w:val="hy-AM"/>
        </w:rPr>
        <w:t>հանրային ծառայության մեջ գտնվող անձանց գործունեության գույքի և եկամուտների թափանցիկության, տնտեսական գործունեության թափանցիկության ապահովում</w:t>
      </w:r>
      <w:r w:rsidRPr="009F0A6F">
        <w:rPr>
          <w:rFonts w:eastAsia="GHEA Grapalat" w:cs="GHEA Grapalat"/>
          <w:b/>
          <w:color w:val="000000"/>
          <w:lang w:val="hy-AM"/>
        </w:rPr>
        <w:t xml:space="preserve">) </w:t>
      </w:r>
      <w:r w:rsidRPr="009F0A6F">
        <w:rPr>
          <w:rFonts w:eastAsia="GHEA Grapalat" w:cs="GHEA Grapalat"/>
          <w:color w:val="000000"/>
          <w:highlight w:val="white"/>
          <w:lang w:val="hy-AM"/>
        </w:rPr>
        <w:t xml:space="preserve">և կոռուպցիոն հանցագործությունների բացահայտման մեխանիզմների բարեփոխումը, ապօրինի ծագում ունեցող գույքի բռնագանձման գործիքակազմի ներդրումը, հանրային իրազեկման ծրագրերի շարունակական իրականացումը: Դատաիրավական բնագավառի զարգացման նպատակով իրականացվելու են մի շարք միջոցառումներ, այդ թվում` Հայաստանի Հանրապետությունում առաջիկա 5 տարիների կտրվածքով իրականացվելիք  իրավական և դատական բարեփոխումների պլանավորումը ՀՀ կառավարության քննարկմանը ներկայացնելը, Վճռաբեկ դատարանի վարչական պալատի ստեղծումը, </w:t>
      </w:r>
      <w:r w:rsidR="00CC7B45" w:rsidRPr="00CC7B45">
        <w:rPr>
          <w:rFonts w:eastAsia="GHEA Grapalat" w:cs="GHEA Grapalat"/>
          <w:color w:val="000000"/>
          <w:highlight w:val="white"/>
          <w:lang w:val="hy-AM"/>
        </w:rPr>
        <w:t>դ</w:t>
      </w:r>
      <w:r w:rsidRPr="009F0A6F">
        <w:rPr>
          <w:rFonts w:eastAsia="GHEA Grapalat" w:cs="GHEA Grapalat"/>
          <w:color w:val="000000"/>
          <w:highlight w:val="white"/>
          <w:lang w:val="hy-AM"/>
        </w:rPr>
        <w:t xml:space="preserve">ատավորների թվակազմի ավելացումը, </w:t>
      </w:r>
      <w:r w:rsidR="00CC7B45" w:rsidRPr="00CC7B45">
        <w:rPr>
          <w:rFonts w:eastAsia="GHEA Grapalat" w:cs="GHEA Grapalat"/>
          <w:color w:val="000000"/>
          <w:highlight w:val="white"/>
          <w:lang w:val="hy-AM"/>
        </w:rPr>
        <w:t>դ</w:t>
      </w:r>
      <w:r w:rsidRPr="009F0A6F">
        <w:rPr>
          <w:rFonts w:eastAsia="GHEA Grapalat" w:cs="GHEA Grapalat"/>
          <w:color w:val="000000"/>
          <w:highlight w:val="white"/>
          <w:lang w:val="hy-AM"/>
        </w:rPr>
        <w:t xml:space="preserve">ատավորների վարձատրության բարձրացումը, </w:t>
      </w:r>
      <w:r w:rsidR="00CC7B45" w:rsidRPr="003E1D8A">
        <w:rPr>
          <w:rFonts w:eastAsia="GHEA Grapalat" w:cs="GHEA Grapalat"/>
          <w:color w:val="000000"/>
          <w:highlight w:val="white"/>
          <w:lang w:val="hy-AM"/>
        </w:rPr>
        <w:t>կ</w:t>
      </w:r>
      <w:r w:rsidRPr="009F0A6F">
        <w:rPr>
          <w:rFonts w:eastAsia="GHEA Grapalat" w:cs="GHEA Grapalat"/>
          <w:color w:val="000000"/>
          <w:highlight w:val="white"/>
          <w:lang w:val="hy-AM"/>
        </w:rPr>
        <w:t>ատարողական վարույթի բարեփոխումը, Հայաստանի Հանրապետության</w:t>
      </w:r>
      <w:r w:rsidRPr="009F0A6F">
        <w:rPr>
          <w:rFonts w:eastAsia="GHEA Grapalat" w:cs="GHEA Grapalat"/>
          <w:color w:val="000000"/>
          <w:lang w:val="hy-AM"/>
        </w:rPr>
        <w:t xml:space="preserve"> վարչական դատավարության բարեփոխումը: Մարդու իրավունքների պաշտպանության ոլորտում իրականացվելու են մասնավորապես` </w:t>
      </w:r>
      <w:r w:rsidR="003E1D8A" w:rsidRPr="00622DD7">
        <w:rPr>
          <w:rFonts w:eastAsia="GHEA Grapalat" w:cs="GHEA Grapalat"/>
          <w:color w:val="000000"/>
          <w:lang w:val="hy-AM"/>
        </w:rPr>
        <w:t>մ</w:t>
      </w:r>
      <w:r w:rsidRPr="009F0A6F">
        <w:rPr>
          <w:rFonts w:eastAsia="GHEA Grapalat" w:cs="GHEA Grapalat"/>
          <w:color w:val="000000"/>
          <w:lang w:val="hy-AM"/>
        </w:rPr>
        <w:t>արդու իրավունքների պաշտպանվածության և մարդու ազատ ստեղծագործելու, արժանապատիվ ու երջանիկ ապրելու համար նպաստավոր պայմանների ստեղծում, բոլորի՝ օրենքի առջև հավասարության երաշխավորում, խտրականության դրսևորումների կանխում, ինչպես նաև հավասար իրավունքների իրագործում</w:t>
      </w:r>
      <w:r w:rsidR="003E1D8A" w:rsidRPr="003E1D8A">
        <w:rPr>
          <w:rFonts w:eastAsia="GHEA Grapalat" w:cs="GHEA Grapalat"/>
          <w:color w:val="000000"/>
          <w:lang w:val="hy-AM"/>
        </w:rPr>
        <w:t>,</w:t>
      </w:r>
      <w:r w:rsidRPr="009F0A6F">
        <w:rPr>
          <w:rFonts w:eastAsia="GHEA Grapalat" w:cs="GHEA Grapalat"/>
          <w:color w:val="000000"/>
          <w:lang w:val="hy-AM"/>
        </w:rPr>
        <w:t xml:space="preserve"> </w:t>
      </w:r>
      <w:r w:rsidR="003E1D8A" w:rsidRPr="003E1D8A">
        <w:rPr>
          <w:rFonts w:eastAsia="GHEA Grapalat" w:cs="GHEA Grapalat"/>
          <w:color w:val="000000"/>
          <w:lang w:val="hy-AM"/>
        </w:rPr>
        <w:t>ա</w:t>
      </w:r>
      <w:r w:rsidRPr="009F0A6F">
        <w:rPr>
          <w:rFonts w:eastAsia="GHEA Grapalat" w:cs="GHEA Grapalat"/>
          <w:color w:val="000000"/>
          <w:lang w:val="hy-AM"/>
        </w:rPr>
        <w:t>զգային փոքրամասնություններին պատկանող անձանց իրավունքների առավել արդյունավետ պաշտպանություն, օրենսդրական երաշխիքների ամրագրում, անվճար իրավաբանական օգնության տրամադրման շրջանակների ընդլայնում:</w:t>
      </w:r>
    </w:p>
    <w:p w14:paraId="42E42F82" w14:textId="77777777" w:rsidR="009F0A6F" w:rsidRPr="009B12D9" w:rsidRDefault="009F0A6F" w:rsidP="009F0A6F">
      <w:pPr>
        <w:pBdr>
          <w:top w:val="nil"/>
          <w:left w:val="nil"/>
          <w:bottom w:val="nil"/>
          <w:right w:val="nil"/>
          <w:between w:val="nil"/>
        </w:pBdr>
        <w:spacing w:line="276" w:lineRule="auto"/>
        <w:rPr>
          <w:rFonts w:eastAsia="GHEA Grapalat" w:cs="GHEA Grapalat"/>
          <w:color w:val="000000"/>
          <w:lang w:val="hy-AM"/>
        </w:rPr>
      </w:pPr>
      <w:r w:rsidRPr="009B12D9">
        <w:rPr>
          <w:rFonts w:eastAsia="GHEA Grapalat" w:cs="GHEA Grapalat"/>
          <w:color w:val="000000"/>
          <w:lang w:val="hy-AM"/>
        </w:rPr>
        <w:t>Քրեակատարողական և պրոբացիայի համակարգում իրավիճակը բարելավելու, ինչպես նաև քրեական պատիժների նպատակային իրագործումն առավել արդյունավետ դարձնելու համար թիրախավորվել են հետևյալ առանցքային նպատակները՝ միջազգային չափանիշներին համահունչ մարդու և քաղաքացու հիմնական իրավունքների և ազատությունների պաշտպանության մեխանիզմների կատարելագործումը, ազատությունից զրկված անձանց պահման պայմանների բարելավումը, ազատությունից զրկված անչափահաս անձանց  պահման պայմանների բարելավումը, ազատությունից զրկված և հաշմանդամություն ունեցող անձանց համար մատչելի պայմանների ապահովումը, ազատությունից զրկված անձանց բժշկական օգնության և սպասարկման պայմանների բարելավումը, դատապարտյալների և պրոբացիայի շահառուների վերասոցիալականացումը, քրեակատարողական հիմնարկների օպտիմալացումն ու արդիականացումը, քրեակատարողական ծառայության և քրեակատարողական հիմնարկների կառավարման մոդելի և կադրային քաղաքականության կատարելագործումը, կոռուպցիայի հաղթահարումը, պրոբացիայի ծառայության գործունեության արդյունավետության բարձրացումը, կադրային քաղաքականության վերանայումը</w:t>
      </w:r>
      <w:r w:rsidRPr="009B12D9">
        <w:rPr>
          <w:rFonts w:eastAsia="GHEA Grapalat" w:cs="GHEA Grapalat"/>
          <w:i/>
          <w:color w:val="000000"/>
          <w:lang w:val="hy-AM"/>
        </w:rPr>
        <w:t xml:space="preserve"> (բխում է </w:t>
      </w:r>
      <w:r w:rsidRPr="009B12D9">
        <w:rPr>
          <w:rFonts w:eastAsia="GHEA Grapalat" w:cs="GHEA Grapalat"/>
          <w:color w:val="000000"/>
          <w:lang w:val="hy-AM"/>
        </w:rPr>
        <w:t>ՀՀ</w:t>
      </w:r>
      <w:r w:rsidRPr="009B12D9">
        <w:rPr>
          <w:rFonts w:eastAsia="GHEA Grapalat" w:cs="GHEA Grapalat"/>
          <w:i/>
          <w:color w:val="000000"/>
          <w:lang w:val="hy-AM"/>
        </w:rPr>
        <w:t xml:space="preserve"> </w:t>
      </w:r>
      <w:r w:rsidRPr="009B12D9">
        <w:rPr>
          <w:rFonts w:eastAsia="GHEA Grapalat" w:cs="GHEA Grapalat"/>
          <w:color w:val="0D0D0D"/>
          <w:lang w:val="hy-AM"/>
        </w:rPr>
        <w:t>կառավարության ծրագրի Ազատ, արժանապատիվ և երջանիկ քաղաքացի վերտառությամբ 4-րդ բաժնի Օրենքի առջև բոլորի հավասարությունը, արդարադատությունը և մարդու իրավունքների պաշտպանությունը վերտառությամբ 4.1-րդ գլխում ամրագրված դրույթներից. Կառավարությունը վճռական է նաև վերականգնողական արդարադատության սկզբունքների արմատավորման հարցում. նշված սկզբունքներից բխում է, որ արդարադատության ոլորտում իրականացվող բարեփոխումները պետք է ենթադրեն ազատազրկման ավանդական գաղափարախոսությունից անցում դեպի վերասոցիալականացման և վերականգնողական արդարադատության գաղափարախոսությանը: Այս համատեքստում Կառավարությունը պետք է միջոցներ ձեռնարկի ազատազրկման այլընտրանք հանդիսացող պատիժների և կալանավորմանն այլընտրանք հանդիսացող խափանման միջոցների կիրառման համար անհրաժեշտ օրենսդրական երաշխիքների նախատեսման, դրանց գործնական կիրառման համար անհրաժեշտ միջոցների ապահովման ուղղությամբ, ինչպես նաև քաջալերի նման միջոցների կիրառումը: Միաժամանակ, կարևորելով ազատությունից զրկված անձանց իրավունքների անխոչընդոտ իրացումը՝ պետք է շարունակական քայլեր ձեռնարկել ազատությունից զրկված անձանց հիմնական իրավունքների երաշխավորման, ներառյալ՝ արտաքին աշխարհի հետ կապի ամրապնդման, պահման պայմանների բարելավման, նրանց տրամադրվող բժշկական օգնության և սպասարկման որակի բարձրացման, վերասոցիալականացման գործընթացի արդյունավետության բարձրացման նպատակով:):</w:t>
      </w:r>
    </w:p>
    <w:p w14:paraId="46FF68F7" w14:textId="77777777" w:rsidR="009F0A6F" w:rsidRDefault="009F0A6F" w:rsidP="009F0A6F">
      <w:pPr>
        <w:pStyle w:val="ColorfulList-Accent11"/>
        <w:spacing w:after="0"/>
        <w:ind w:left="0" w:right="-720"/>
        <w:rPr>
          <w:b/>
          <w:spacing w:val="-6"/>
          <w:lang w:val="hy-AM"/>
        </w:rPr>
      </w:pPr>
      <w:r w:rsidRPr="009A7904">
        <w:rPr>
          <w:b/>
          <w:spacing w:val="-6"/>
          <w:lang w:val="hy-AM"/>
        </w:rPr>
        <w:t xml:space="preserve">ՈԼՈՐՏԱՅԻՆ ԾԱԽՍԱՅԻՆ ԾՐԱԳՐԵՐԸ </w:t>
      </w:r>
    </w:p>
    <w:p w14:paraId="4F6AA44C" w14:textId="77777777" w:rsidR="009F0A6F" w:rsidRPr="00D1784B" w:rsidRDefault="009F0A6F" w:rsidP="009F0A6F">
      <w:pPr>
        <w:pStyle w:val="ColorfulList-Accent11"/>
        <w:spacing w:after="0"/>
        <w:ind w:left="0" w:right="9"/>
        <w:rPr>
          <w:rFonts w:cs="Times LatArm"/>
          <w:b/>
          <w:lang w:val="hy-AM"/>
        </w:rPr>
      </w:pPr>
      <w:r w:rsidRPr="00D1784B">
        <w:rPr>
          <w:rFonts w:cs="Times LatArm"/>
          <w:b/>
          <w:lang w:val="hy-AM"/>
        </w:rPr>
        <w:t xml:space="preserve">1. </w:t>
      </w:r>
      <w:r w:rsidRPr="00D1784B">
        <w:rPr>
          <w:rFonts w:eastAsia="GHEA Grapalat" w:cs="GHEA Grapalat"/>
          <w:b/>
          <w:color w:val="0D0D0D"/>
          <w:lang w:val="hy-AM"/>
        </w:rPr>
        <w:t xml:space="preserve">«Արդարադատության ոլորտում քաղաքականության մշակում, ծրագրերի համակարգում, խորհրդատվության և մոնիտորինգի իրականացում» </w:t>
      </w:r>
      <w:r w:rsidRPr="00D1784B">
        <w:rPr>
          <w:rFonts w:cs="Times LatArm"/>
          <w:b/>
          <w:lang w:val="hy-AM"/>
        </w:rPr>
        <w:t xml:space="preserve">ծրագիր. </w:t>
      </w:r>
    </w:p>
    <w:p w14:paraId="492DC5E9" w14:textId="77777777" w:rsidR="009F0A6F" w:rsidRPr="009F0A6F" w:rsidRDefault="009F0A6F" w:rsidP="009F0A6F">
      <w:pPr>
        <w:spacing w:line="276" w:lineRule="auto"/>
        <w:rPr>
          <w:rFonts w:eastAsia="GHEA Grapalat" w:cs="GHEA Grapalat"/>
          <w:color w:val="0D0D0D"/>
          <w:lang w:val="hy-AM"/>
        </w:rPr>
      </w:pPr>
      <w:r w:rsidRPr="009F0A6F">
        <w:rPr>
          <w:rFonts w:eastAsia="GHEA Grapalat" w:cs="GHEA Grapalat"/>
          <w:color w:val="0D0D0D"/>
          <w:lang w:val="hy-AM"/>
        </w:rPr>
        <w:t>Ծրագրի նպատակն է՝ արդարադատության ոլորտում քաղաքականության մշակումը, ծրագրերի համակարգումը, խորհրդատվության և մոնիտորինգի իրականացումը, նախարարության գործունեության արդյունավետության և նպատակաուղղվածության բարձրացումը, ինչպես նաև հանրությանը մատուցվող ծառայութունները բնակչության համար առավել մատչելի դարձնելու նպատակով բարեփոխումների իրականացումը, որի ուղղությամբ</w:t>
      </w:r>
      <w:r w:rsidRPr="009F0A6F">
        <w:rPr>
          <w:spacing w:val="-6"/>
          <w:lang w:val="hy-AM"/>
        </w:rPr>
        <w:t xml:space="preserve"> </w:t>
      </w:r>
      <w:r w:rsidRPr="009F0A6F">
        <w:rPr>
          <w:rFonts w:eastAsia="GHEA Grapalat" w:cs="GHEA Grapalat"/>
          <w:color w:val="0D0D0D"/>
          <w:lang w:val="hy-AM"/>
        </w:rPr>
        <w:t>2022-2024թթ. նախատեսվում է հատկացնել համապատասխանաբար՝ 1,699.5 մլն դրամ, 1,717.0 մլն դրամ և 1,665.1 մլն դրամ,</w:t>
      </w:r>
    </w:p>
    <w:p w14:paraId="7C0E4E5D" w14:textId="77777777" w:rsidR="009F0A6F" w:rsidRPr="003F6670" w:rsidRDefault="009F0A6F" w:rsidP="009F0A6F">
      <w:pPr>
        <w:pStyle w:val="ColorfulList-Accent11"/>
        <w:spacing w:after="0"/>
        <w:ind w:left="0" w:right="9"/>
        <w:rPr>
          <w:rFonts w:cs="Times LatArm"/>
          <w:b/>
          <w:lang w:val="hy-AM"/>
        </w:rPr>
      </w:pPr>
      <w:r w:rsidRPr="003F6670">
        <w:rPr>
          <w:rFonts w:cs="Times LatArm"/>
          <w:b/>
          <w:lang w:val="hy-AM"/>
        </w:rPr>
        <w:t xml:space="preserve">2. </w:t>
      </w:r>
      <w:r w:rsidRPr="003F6670">
        <w:rPr>
          <w:rFonts w:eastAsia="GHEA Grapalat" w:cs="GHEA Grapalat"/>
          <w:b/>
          <w:color w:val="0D0D0D"/>
          <w:lang w:val="hy-AM"/>
        </w:rPr>
        <w:t xml:space="preserve">«Դատական և հանրային պաշտպանություն» </w:t>
      </w:r>
      <w:r w:rsidRPr="003F6670">
        <w:rPr>
          <w:rFonts w:cs="Times LatArm"/>
          <w:b/>
          <w:lang w:val="hy-AM"/>
        </w:rPr>
        <w:t xml:space="preserve">ծրագիր. </w:t>
      </w:r>
    </w:p>
    <w:p w14:paraId="4BE13401" w14:textId="77777777" w:rsidR="009F0A6F" w:rsidRPr="009F0A6F" w:rsidRDefault="009F0A6F" w:rsidP="009F0A6F">
      <w:pPr>
        <w:spacing w:line="276" w:lineRule="auto"/>
        <w:rPr>
          <w:rFonts w:eastAsia="GHEA Grapalat" w:cs="GHEA Grapalat"/>
          <w:color w:val="0D0D0D"/>
          <w:lang w:val="hy-AM"/>
        </w:rPr>
      </w:pPr>
      <w:r w:rsidRPr="009F0A6F">
        <w:rPr>
          <w:rFonts w:eastAsia="GHEA Grapalat" w:cs="GHEA Grapalat"/>
          <w:color w:val="0D0D0D"/>
          <w:lang w:val="hy-AM"/>
        </w:rPr>
        <w:t>Ծրագրի նպատակն է իրավունքի պաշտպանության հասանելիության և օբյեկտիվության ապահովումը, որի ուղղությամբ 2022-2024թթ. նախատեսվում է հատկացնել համապատասխանաբար՝ 671.4 մլն դրամ, 672.1 մլն դրամ և 672.1 մլն դրամ:</w:t>
      </w:r>
    </w:p>
    <w:p w14:paraId="1994EBB3" w14:textId="77777777" w:rsidR="009F0A6F" w:rsidRPr="00D1784B" w:rsidRDefault="009F0A6F" w:rsidP="009F0A6F">
      <w:pPr>
        <w:pStyle w:val="NormalWeb"/>
        <w:spacing w:before="0" w:after="0" w:line="276" w:lineRule="auto"/>
        <w:rPr>
          <w:rFonts w:cs="Times LatArm"/>
          <w:b/>
          <w:szCs w:val="22"/>
          <w:lang w:val="hy-AM"/>
        </w:rPr>
      </w:pPr>
      <w:r>
        <w:rPr>
          <w:rFonts w:cs="Times LatArm"/>
          <w:b/>
          <w:szCs w:val="22"/>
          <w:lang w:val="hy-AM"/>
        </w:rPr>
        <w:t>3</w:t>
      </w:r>
      <w:r w:rsidRPr="00D1784B">
        <w:rPr>
          <w:rFonts w:cs="Times LatArm"/>
          <w:b/>
          <w:szCs w:val="22"/>
          <w:lang w:val="hy-AM"/>
        </w:rPr>
        <w:t xml:space="preserve">. </w:t>
      </w:r>
      <w:r w:rsidRPr="00D1784B">
        <w:rPr>
          <w:rFonts w:eastAsia="GHEA Grapalat" w:cs="GHEA Grapalat"/>
          <w:b/>
          <w:color w:val="0D0D0D"/>
          <w:szCs w:val="22"/>
          <w:lang w:val="hy-AM"/>
        </w:rPr>
        <w:t xml:space="preserve">«Քաղաքացիական կացության ակտերի գրանցում» </w:t>
      </w:r>
      <w:r w:rsidRPr="00D1784B">
        <w:rPr>
          <w:rFonts w:cs="Times LatArm"/>
          <w:b/>
          <w:szCs w:val="22"/>
          <w:lang w:val="hy-AM"/>
        </w:rPr>
        <w:t xml:space="preserve">ծրագիր. </w:t>
      </w:r>
    </w:p>
    <w:p w14:paraId="0122E3A2" w14:textId="77777777" w:rsidR="009F0A6F" w:rsidRPr="009F0A6F" w:rsidRDefault="009F0A6F" w:rsidP="009F0A6F">
      <w:pPr>
        <w:spacing w:line="276" w:lineRule="auto"/>
        <w:rPr>
          <w:rFonts w:eastAsia="GHEA Grapalat" w:cs="GHEA Grapalat"/>
          <w:color w:val="0D0D0D"/>
          <w:lang w:val="hy-AM"/>
        </w:rPr>
      </w:pPr>
      <w:r w:rsidRPr="009F0A6F">
        <w:rPr>
          <w:rFonts w:eastAsia="GHEA Grapalat" w:cs="GHEA Grapalat"/>
          <w:color w:val="0D0D0D"/>
          <w:lang w:val="hy-AM"/>
        </w:rPr>
        <w:t>Ծրագրի նպատակն է ապահովել քաղաքացիական կացության ակտերի գրանցման, ակտային գրանցումների վերականգնման, ակտային գրանցումներում ուղղումների, փոփոխությունների կատարման վերաբերյալ տեղեկատվության տրամադրումը և սահմանված լիազորությունների իրականացումը, որի</w:t>
      </w:r>
      <w:r w:rsidRPr="009F0A6F">
        <w:rPr>
          <w:rFonts w:cs="Sylfaen"/>
          <w:iCs/>
          <w:kern w:val="16"/>
          <w:lang w:val="hy-AM"/>
        </w:rPr>
        <w:t xml:space="preserve"> </w:t>
      </w:r>
      <w:r w:rsidRPr="009F0A6F">
        <w:rPr>
          <w:rFonts w:eastAsia="GHEA Grapalat" w:cs="GHEA Grapalat"/>
          <w:color w:val="0D0D0D"/>
          <w:lang w:val="hy-AM"/>
        </w:rPr>
        <w:t>ուղղությամբ 2022-2024թթ. նախատեսվում է յուրաքանչյուր տարի հատկացնել 330.6 մլն դրամ,</w:t>
      </w:r>
    </w:p>
    <w:p w14:paraId="32837AC5" w14:textId="77777777" w:rsidR="009F0A6F" w:rsidRPr="003F6670" w:rsidRDefault="009F0A6F" w:rsidP="009F0A6F">
      <w:pPr>
        <w:pStyle w:val="NormalWeb"/>
        <w:spacing w:before="0" w:after="0" w:line="276" w:lineRule="auto"/>
        <w:rPr>
          <w:rFonts w:cs="Times LatArm"/>
          <w:b/>
          <w:szCs w:val="22"/>
          <w:lang w:val="hy-AM"/>
        </w:rPr>
      </w:pPr>
      <w:r w:rsidRPr="003F6670">
        <w:rPr>
          <w:rFonts w:cs="Times LatArm"/>
          <w:b/>
          <w:szCs w:val="22"/>
          <w:lang w:val="hy-AM"/>
        </w:rPr>
        <w:t xml:space="preserve">4. </w:t>
      </w:r>
      <w:r w:rsidRPr="003F6670">
        <w:rPr>
          <w:rFonts w:eastAsia="GHEA Grapalat" w:cs="GHEA Grapalat"/>
          <w:b/>
          <w:lang w:val="hy-AM"/>
        </w:rPr>
        <w:t xml:space="preserve">«Քրեակատարողական ծառայություններ» </w:t>
      </w:r>
      <w:r w:rsidRPr="003F6670">
        <w:rPr>
          <w:rFonts w:cs="Times LatArm"/>
          <w:b/>
          <w:szCs w:val="22"/>
          <w:lang w:val="hy-AM"/>
        </w:rPr>
        <w:t xml:space="preserve">ծրագիր. </w:t>
      </w:r>
    </w:p>
    <w:p w14:paraId="7909A4E4" w14:textId="77777777" w:rsidR="009F0A6F" w:rsidRPr="009F0A6F" w:rsidRDefault="009F0A6F" w:rsidP="009F0A6F">
      <w:pPr>
        <w:pBdr>
          <w:top w:val="nil"/>
          <w:left w:val="nil"/>
          <w:bottom w:val="nil"/>
          <w:right w:val="nil"/>
          <w:between w:val="nil"/>
        </w:pBdr>
        <w:spacing w:line="276" w:lineRule="auto"/>
        <w:rPr>
          <w:rFonts w:eastAsia="GHEA Grapalat" w:cs="GHEA Grapalat"/>
          <w:color w:val="0D0D0D"/>
          <w:lang w:val="hy-AM"/>
        </w:rPr>
      </w:pPr>
      <w:r w:rsidRPr="009F0A6F">
        <w:rPr>
          <w:rFonts w:eastAsia="GHEA Grapalat" w:cs="GHEA Grapalat"/>
          <w:color w:val="0D0D0D"/>
          <w:lang w:val="hy-AM"/>
        </w:rPr>
        <w:t>Ծրագրի նպատակն է քրեակատարողական համակարգի կատարելագործումը, քրեակատարողական հիմնարկների օպտիմալացումը և արդիականացումը, արտաքին աշխարհի հետ կապի ամրապնդումը, պահման պայմանների բարելավման ապահովումը, քրեակատարողական հիմնարկներում պահվող ազատազրկվածներին բժշկական ծառայությամբ ապահովումը, տրամադրվող բժշկական օգնության և սպասարկման որակի բարձրացումը, ինչպես նաև պրոբացիայի ծառայության գործունեության արդյունավետության բարձրացումը, որի</w:t>
      </w:r>
      <w:r w:rsidRPr="009F0A6F">
        <w:rPr>
          <w:rFonts w:cs="Sylfaen"/>
          <w:iCs/>
          <w:kern w:val="16"/>
          <w:lang w:val="hy-AM"/>
        </w:rPr>
        <w:t xml:space="preserve"> </w:t>
      </w:r>
      <w:r w:rsidRPr="009F0A6F">
        <w:rPr>
          <w:rFonts w:eastAsia="GHEA Grapalat" w:cs="GHEA Grapalat"/>
          <w:color w:val="0D0D0D"/>
          <w:lang w:val="hy-AM"/>
        </w:rPr>
        <w:t>ուղղությամբ 2022-2024թթ. նախատեսվում է հատկացնել համապատասխանաբար՝ 11,811.5 մլն դրամ, 12,661.5 մլն դրամ և 12,695.8 մլն դրամ:</w:t>
      </w:r>
    </w:p>
    <w:p w14:paraId="0207B58E" w14:textId="77777777" w:rsidR="009F0A6F" w:rsidRPr="003F6670" w:rsidRDefault="009F0A6F" w:rsidP="009F0A6F">
      <w:pPr>
        <w:pStyle w:val="NormalWeb"/>
        <w:spacing w:before="0" w:after="0" w:line="276" w:lineRule="auto"/>
        <w:rPr>
          <w:rFonts w:cs="Times LatArm"/>
          <w:b/>
          <w:szCs w:val="22"/>
          <w:lang w:val="hy-AM"/>
        </w:rPr>
      </w:pPr>
      <w:r w:rsidRPr="00815272">
        <w:rPr>
          <w:rFonts w:cs="Times LatArm"/>
          <w:b/>
          <w:szCs w:val="22"/>
          <w:lang w:val="hy-AM"/>
        </w:rPr>
        <w:t xml:space="preserve">5. </w:t>
      </w:r>
      <w:r w:rsidRPr="00815272">
        <w:rPr>
          <w:rFonts w:eastAsia="GHEA Grapalat" w:cs="GHEA Grapalat"/>
          <w:b/>
          <w:color w:val="1D2228"/>
          <w:szCs w:val="22"/>
          <w:lang w:val="hy-AM"/>
        </w:rPr>
        <w:t>«Հարկադիր կատարման ծառայություններ»</w:t>
      </w:r>
      <w:r w:rsidRPr="00815272">
        <w:rPr>
          <w:rFonts w:eastAsia="GHEA Grapalat" w:cs="GHEA Grapalat"/>
          <w:b/>
          <w:lang w:val="hy-AM"/>
        </w:rPr>
        <w:t xml:space="preserve"> </w:t>
      </w:r>
      <w:r w:rsidRPr="00815272">
        <w:rPr>
          <w:rFonts w:cs="Times LatArm"/>
          <w:b/>
          <w:szCs w:val="22"/>
          <w:lang w:val="hy-AM"/>
        </w:rPr>
        <w:t>ծրագիր</w:t>
      </w:r>
      <w:r w:rsidRPr="003F6670">
        <w:rPr>
          <w:rFonts w:cs="Times LatArm"/>
          <w:b/>
          <w:szCs w:val="22"/>
          <w:lang w:val="hy-AM"/>
        </w:rPr>
        <w:t xml:space="preserve">. </w:t>
      </w:r>
    </w:p>
    <w:p w14:paraId="7CCCC80C" w14:textId="77777777" w:rsidR="009F0A6F" w:rsidRPr="009F0A6F" w:rsidRDefault="009F0A6F" w:rsidP="009F0A6F">
      <w:pPr>
        <w:spacing w:line="276" w:lineRule="auto"/>
        <w:rPr>
          <w:rFonts w:cs="Sylfaen"/>
          <w:kern w:val="16"/>
          <w:lang w:val="hy-AM"/>
        </w:rPr>
      </w:pPr>
      <w:r w:rsidRPr="009F0A6F">
        <w:rPr>
          <w:rFonts w:eastAsia="GHEA Grapalat" w:cs="GHEA Grapalat"/>
          <w:color w:val="0D0D0D"/>
          <w:lang w:val="hy-AM"/>
        </w:rPr>
        <w:t>Ծրագրի նպատակն է ապահովել հ</w:t>
      </w:r>
      <w:r w:rsidRPr="009F0A6F">
        <w:rPr>
          <w:rFonts w:cs="Sylfaen"/>
          <w:kern w:val="16"/>
          <w:lang w:val="hy-AM"/>
        </w:rPr>
        <w:t>արկադիր կատարման ենթակա ակտերի՝ դատական ակտերի, կատարողական թերթերի, կատարողական մակագրության թերթերի և անբողոքարկելի վարչական ակտերի պահանջների կատարումը</w:t>
      </w:r>
      <w:r w:rsidRPr="009F0A6F">
        <w:rPr>
          <w:rFonts w:eastAsia="GHEA Grapalat" w:cs="GHEA Grapalat"/>
          <w:color w:val="0D0D0D"/>
          <w:lang w:val="hy-AM"/>
        </w:rPr>
        <w:t>, որի</w:t>
      </w:r>
      <w:r w:rsidRPr="009F0A6F">
        <w:rPr>
          <w:rFonts w:cs="Sylfaen"/>
          <w:iCs/>
          <w:kern w:val="16"/>
          <w:lang w:val="hy-AM"/>
        </w:rPr>
        <w:t xml:space="preserve"> </w:t>
      </w:r>
      <w:r w:rsidRPr="009F0A6F">
        <w:rPr>
          <w:rFonts w:eastAsia="GHEA Grapalat" w:cs="GHEA Grapalat"/>
          <w:color w:val="0D0D0D"/>
          <w:lang w:val="hy-AM"/>
        </w:rPr>
        <w:t xml:space="preserve">ուղղությամբ 2022-2024թթ. նախատեսվում է հատկացնել </w:t>
      </w:r>
      <w:r w:rsidRPr="009F0A6F">
        <w:rPr>
          <w:rFonts w:cs="Sylfaen"/>
          <w:kern w:val="16"/>
          <w:lang w:val="hy-AM"/>
        </w:rPr>
        <w:t>համապատասխանաբար՝ 2,319.0 մլն դրամ, 2,338.2 մլն դրամ և 2,357.7 մլն դրամ:</w:t>
      </w:r>
    </w:p>
    <w:p w14:paraId="57236ECB" w14:textId="77777777" w:rsidR="009F0A6F" w:rsidRPr="003F6670" w:rsidRDefault="009F0A6F" w:rsidP="009F0A6F">
      <w:pPr>
        <w:pStyle w:val="NormalWeb"/>
        <w:spacing w:before="0" w:after="0" w:line="276" w:lineRule="auto"/>
        <w:rPr>
          <w:rFonts w:cs="Times LatArm"/>
          <w:b/>
          <w:szCs w:val="22"/>
          <w:lang w:val="hy-AM"/>
        </w:rPr>
      </w:pPr>
      <w:r w:rsidRPr="006F7817">
        <w:rPr>
          <w:rFonts w:cs="Times LatArm"/>
          <w:b/>
          <w:szCs w:val="22"/>
          <w:lang w:val="hy-AM"/>
        </w:rPr>
        <w:t>6</w:t>
      </w:r>
      <w:r w:rsidRPr="00815272">
        <w:rPr>
          <w:rFonts w:cs="Times LatArm"/>
          <w:b/>
          <w:szCs w:val="22"/>
          <w:lang w:val="hy-AM"/>
        </w:rPr>
        <w:t xml:space="preserve">. </w:t>
      </w:r>
      <w:r w:rsidRPr="00815272">
        <w:rPr>
          <w:rFonts w:eastAsia="GHEA Grapalat" w:cs="GHEA Grapalat"/>
          <w:b/>
          <w:color w:val="1D2228"/>
          <w:szCs w:val="22"/>
          <w:lang w:val="hy-AM"/>
        </w:rPr>
        <w:t>«</w:t>
      </w:r>
      <w:r w:rsidRPr="006F7817">
        <w:rPr>
          <w:rFonts w:eastAsia="GHEA Grapalat" w:cs="GHEA Grapalat"/>
          <w:b/>
          <w:color w:val="1D2228"/>
          <w:szCs w:val="22"/>
          <w:lang w:val="hy-AM"/>
        </w:rPr>
        <w:t>Իրավական իրազեկում և տեղեկատվության ապահովում</w:t>
      </w:r>
      <w:r w:rsidRPr="00815272">
        <w:rPr>
          <w:rFonts w:eastAsia="GHEA Grapalat" w:cs="GHEA Grapalat"/>
          <w:b/>
          <w:color w:val="1D2228"/>
          <w:szCs w:val="22"/>
          <w:lang w:val="hy-AM"/>
        </w:rPr>
        <w:t>»</w:t>
      </w:r>
      <w:r w:rsidRPr="00815272">
        <w:rPr>
          <w:rFonts w:eastAsia="GHEA Grapalat" w:cs="GHEA Grapalat"/>
          <w:b/>
          <w:lang w:val="hy-AM"/>
        </w:rPr>
        <w:t xml:space="preserve"> </w:t>
      </w:r>
      <w:r w:rsidRPr="00815272">
        <w:rPr>
          <w:rFonts w:cs="Times LatArm"/>
          <w:b/>
          <w:szCs w:val="22"/>
          <w:lang w:val="hy-AM"/>
        </w:rPr>
        <w:t>ծրագիր</w:t>
      </w:r>
      <w:r w:rsidRPr="003F6670">
        <w:rPr>
          <w:rFonts w:cs="Times LatArm"/>
          <w:b/>
          <w:szCs w:val="22"/>
          <w:lang w:val="hy-AM"/>
        </w:rPr>
        <w:t xml:space="preserve">. </w:t>
      </w:r>
    </w:p>
    <w:p w14:paraId="055E4B06" w14:textId="77777777" w:rsidR="009F0A6F" w:rsidRPr="009F0A6F" w:rsidRDefault="009F0A6F" w:rsidP="009F0A6F">
      <w:pPr>
        <w:spacing w:line="276" w:lineRule="auto"/>
        <w:rPr>
          <w:rFonts w:cs="Sylfaen"/>
          <w:kern w:val="16"/>
          <w:lang w:val="hy-AM"/>
        </w:rPr>
      </w:pPr>
      <w:r w:rsidRPr="009F0A6F">
        <w:rPr>
          <w:rFonts w:eastAsia="GHEA Grapalat" w:cs="GHEA Grapalat"/>
          <w:color w:val="0D0D0D"/>
          <w:lang w:val="hy-AM"/>
        </w:rPr>
        <w:t>Ծրագրի նպատակն է բարձրացնել հանրության իրազեկվածությունը, որի</w:t>
      </w:r>
      <w:r w:rsidRPr="009F0A6F">
        <w:rPr>
          <w:rFonts w:cs="Sylfaen"/>
          <w:iCs/>
          <w:kern w:val="16"/>
          <w:lang w:val="hy-AM"/>
        </w:rPr>
        <w:t xml:space="preserve"> </w:t>
      </w:r>
      <w:r w:rsidRPr="009F0A6F">
        <w:rPr>
          <w:rFonts w:eastAsia="GHEA Grapalat" w:cs="GHEA Grapalat"/>
          <w:color w:val="0D0D0D"/>
          <w:lang w:val="hy-AM"/>
        </w:rPr>
        <w:t>ուղղությամբ 2022-2024թթ. նախատեսվում է հատկացնել յուրաքանչյուր տարի</w:t>
      </w:r>
      <w:r w:rsidRPr="009F0A6F">
        <w:rPr>
          <w:rFonts w:cs="Sylfaen"/>
          <w:kern w:val="16"/>
          <w:lang w:val="hy-AM"/>
        </w:rPr>
        <w:t>՝ 635.6 մլն  դրամ:</w:t>
      </w:r>
    </w:p>
    <w:p w14:paraId="0D70E087" w14:textId="77777777" w:rsidR="009F0A6F" w:rsidRPr="005A089B" w:rsidRDefault="009F0A6F" w:rsidP="009F0A6F">
      <w:pPr>
        <w:pStyle w:val="NormalWeb"/>
        <w:spacing w:before="0" w:after="0" w:line="276" w:lineRule="auto"/>
        <w:rPr>
          <w:rFonts w:eastAsia="GHEA Grapalat" w:cs="GHEA Grapalat"/>
          <w:color w:val="1D2228"/>
          <w:szCs w:val="22"/>
          <w:lang w:val="hy-AM"/>
        </w:rPr>
      </w:pPr>
      <w:r w:rsidRPr="006F7817">
        <w:rPr>
          <w:rFonts w:eastAsia="GHEA Grapalat" w:cs="GHEA Grapalat"/>
          <w:b/>
          <w:color w:val="1D2228"/>
          <w:szCs w:val="22"/>
          <w:lang w:val="hy-AM"/>
        </w:rPr>
        <w:t>7</w:t>
      </w:r>
      <w:r w:rsidRPr="005A089B">
        <w:rPr>
          <w:rFonts w:eastAsia="GHEA Grapalat" w:cs="GHEA Grapalat"/>
          <w:b/>
          <w:color w:val="1D2228"/>
          <w:szCs w:val="22"/>
          <w:lang w:val="hy-AM"/>
        </w:rPr>
        <w:t>.</w:t>
      </w:r>
      <w:r w:rsidRPr="0093662D">
        <w:rPr>
          <w:rFonts w:eastAsia="GHEA Grapalat" w:cs="GHEA Grapalat"/>
          <w:b/>
          <w:color w:val="1D2228"/>
          <w:szCs w:val="22"/>
          <w:lang w:val="hy-AM"/>
        </w:rPr>
        <w:t xml:space="preserve"> </w:t>
      </w:r>
      <w:r w:rsidRPr="005A089B">
        <w:rPr>
          <w:rFonts w:eastAsia="GHEA Grapalat" w:cs="GHEA Grapalat"/>
          <w:b/>
          <w:color w:val="1D2228"/>
          <w:szCs w:val="22"/>
          <w:lang w:val="hy-AM"/>
        </w:rPr>
        <w:t>«Արդարադատության համակարգի աշխատակիցների վերապատրաստում և հատուկ ուսուցում»</w:t>
      </w:r>
      <w:r w:rsidRPr="005A089B">
        <w:rPr>
          <w:rFonts w:eastAsia="GHEA Grapalat" w:cs="GHEA Grapalat"/>
          <w:color w:val="1D2228"/>
          <w:szCs w:val="22"/>
          <w:lang w:val="hy-AM"/>
        </w:rPr>
        <w:t xml:space="preserve"> </w:t>
      </w:r>
      <w:r w:rsidRPr="005A089B">
        <w:rPr>
          <w:rFonts w:eastAsia="GHEA Grapalat" w:cs="GHEA Grapalat"/>
          <w:b/>
          <w:color w:val="1D2228"/>
          <w:szCs w:val="22"/>
          <w:lang w:val="hy-AM"/>
        </w:rPr>
        <w:t>ծրագիր.</w:t>
      </w:r>
    </w:p>
    <w:p w14:paraId="3E624920" w14:textId="77777777" w:rsidR="009F0A6F" w:rsidRPr="005F7013" w:rsidRDefault="009F0A6F" w:rsidP="009F0A6F">
      <w:pPr>
        <w:pStyle w:val="NormalWeb"/>
        <w:spacing w:before="0" w:after="0" w:line="276" w:lineRule="auto"/>
        <w:rPr>
          <w:rFonts w:eastAsia="GHEA Grapalat" w:cs="GHEA Grapalat"/>
          <w:color w:val="1D2228"/>
          <w:szCs w:val="22"/>
          <w:lang w:val="hy-AM"/>
        </w:rPr>
      </w:pPr>
      <w:r w:rsidRPr="005A089B">
        <w:rPr>
          <w:rFonts w:eastAsia="GHEA Grapalat" w:cs="GHEA Grapalat"/>
          <w:color w:val="1D2228"/>
          <w:szCs w:val="22"/>
          <w:lang w:val="hy-AM"/>
        </w:rPr>
        <w:t>Ծրագրի գծով 2022-2024թթ. նախատեսվում է յուրաքանչյուր տարի հատկացնել 479.6 մլն դրամ:</w:t>
      </w:r>
    </w:p>
    <w:p w14:paraId="5B9C1F4C" w14:textId="77777777" w:rsidR="009F0A6F" w:rsidRPr="009F0A6F" w:rsidRDefault="009F0A6F" w:rsidP="009F0A6F">
      <w:pPr>
        <w:overflowPunct w:val="0"/>
        <w:autoSpaceDE w:val="0"/>
        <w:autoSpaceDN w:val="0"/>
        <w:adjustRightInd w:val="0"/>
        <w:spacing w:before="400" w:line="276" w:lineRule="auto"/>
        <w:textAlignment w:val="baseline"/>
        <w:rPr>
          <w:rFonts w:eastAsia="GHEA Grapalat" w:cs="GHEA Grapalat"/>
          <w:color w:val="0D0D0D"/>
          <w:lang w:val="hy-AM"/>
        </w:rPr>
      </w:pPr>
      <w:r w:rsidRPr="009F0A6F">
        <w:rPr>
          <w:rFonts w:eastAsia="GHEA Grapalat" w:cs="GHEA Grapalat"/>
          <w:color w:val="0D0D0D"/>
          <w:lang w:val="hy-AM"/>
        </w:rPr>
        <w:t>Ստորև ներկայացվում է արդարադատության ոլորտում  2022-2024 թվականների յուրաքանչյուր տարվա համար նախատեսված չափաքանակները.</w:t>
      </w:r>
    </w:p>
    <w:p w14:paraId="0F699C2D" w14:textId="77777777" w:rsidR="009F0A6F" w:rsidRPr="009F0A6F" w:rsidRDefault="009F0A6F" w:rsidP="009F0A6F">
      <w:pPr>
        <w:overflowPunct w:val="0"/>
        <w:autoSpaceDE w:val="0"/>
        <w:autoSpaceDN w:val="0"/>
        <w:adjustRightInd w:val="0"/>
        <w:spacing w:line="276" w:lineRule="auto"/>
        <w:textAlignment w:val="baseline"/>
        <w:rPr>
          <w:rFonts w:eastAsia="GHEA Grapalat" w:cs="GHEA Grapalat"/>
          <w:color w:val="0D0D0D"/>
          <w:lang w:val="hy-AM"/>
        </w:rPr>
      </w:pPr>
      <w:r w:rsidRPr="009F0A6F">
        <w:rPr>
          <w:rFonts w:eastAsia="GHEA Grapalat" w:cs="GHEA Grapalat"/>
          <w:color w:val="0D0D0D"/>
          <w:lang w:val="hy-AM"/>
        </w:rPr>
        <w:t>2022 թվականի համար՝  17,947.2 մլն դրամ,</w:t>
      </w:r>
    </w:p>
    <w:p w14:paraId="61991D99" w14:textId="77777777" w:rsidR="009F0A6F" w:rsidRPr="009F0A6F" w:rsidRDefault="009F0A6F" w:rsidP="009F0A6F">
      <w:pPr>
        <w:overflowPunct w:val="0"/>
        <w:autoSpaceDE w:val="0"/>
        <w:autoSpaceDN w:val="0"/>
        <w:adjustRightInd w:val="0"/>
        <w:spacing w:line="276" w:lineRule="auto"/>
        <w:textAlignment w:val="baseline"/>
        <w:rPr>
          <w:rFonts w:eastAsia="GHEA Grapalat" w:cs="GHEA Grapalat"/>
          <w:color w:val="0D0D0D"/>
          <w:lang w:val="hy-AM"/>
        </w:rPr>
      </w:pPr>
      <w:r w:rsidRPr="009F0A6F">
        <w:rPr>
          <w:rFonts w:eastAsia="GHEA Grapalat" w:cs="GHEA Grapalat"/>
          <w:color w:val="0D0D0D"/>
          <w:lang w:val="hy-AM"/>
        </w:rPr>
        <w:t>2023 թվականի համար՝</w:t>
      </w:r>
      <w:r w:rsidR="00FB7363">
        <w:rPr>
          <w:rFonts w:eastAsia="GHEA Grapalat" w:cs="GHEA Grapalat"/>
          <w:color w:val="0D0D0D"/>
          <w:lang w:val="hy-AM"/>
        </w:rPr>
        <w:t xml:space="preserve">  </w:t>
      </w:r>
      <w:r w:rsidRPr="009F0A6F">
        <w:rPr>
          <w:rFonts w:eastAsia="GHEA Grapalat" w:cs="GHEA Grapalat"/>
          <w:color w:val="0D0D0D"/>
          <w:lang w:val="hy-AM"/>
        </w:rPr>
        <w:t>18,834.7 մլն դրամ,</w:t>
      </w:r>
    </w:p>
    <w:p w14:paraId="4A1159B6" w14:textId="77777777" w:rsidR="009F0A6F" w:rsidRPr="009F0A6F" w:rsidRDefault="009F0A6F" w:rsidP="009F0A6F">
      <w:pPr>
        <w:spacing w:line="276" w:lineRule="auto"/>
        <w:rPr>
          <w:rFonts w:eastAsia="GHEA Grapalat" w:cs="GHEA Grapalat"/>
          <w:color w:val="0D0D0D"/>
          <w:lang w:val="hy-AM"/>
        </w:rPr>
      </w:pPr>
      <w:r w:rsidRPr="009F0A6F">
        <w:rPr>
          <w:rFonts w:eastAsia="GHEA Grapalat" w:cs="GHEA Grapalat"/>
          <w:color w:val="0D0D0D"/>
          <w:lang w:val="hy-AM"/>
        </w:rPr>
        <w:t>2024 թվականի համար՝  18,836.6 մլն դրամ:</w:t>
      </w:r>
    </w:p>
    <w:p w14:paraId="16AB80DF" w14:textId="77777777" w:rsidR="009F0A6F" w:rsidRPr="009F0A6F" w:rsidRDefault="009F0A6F" w:rsidP="009F0A6F">
      <w:pPr>
        <w:spacing w:line="276" w:lineRule="auto"/>
        <w:rPr>
          <w:rFonts w:eastAsia="GHEA Grapalat" w:cs="GHEA Grapalat"/>
          <w:color w:val="0D0D0D"/>
          <w:lang w:val="hy-AM"/>
        </w:rPr>
      </w:pPr>
    </w:p>
    <w:p w14:paraId="4C7BB81D" w14:textId="77777777" w:rsidR="009F0A6F" w:rsidRPr="009F0A6F" w:rsidRDefault="009F0A6F" w:rsidP="009F0A6F">
      <w:pPr>
        <w:spacing w:line="276" w:lineRule="auto"/>
        <w:rPr>
          <w:rFonts w:eastAsia="GHEA Grapalat" w:cs="GHEA Grapalat"/>
          <w:color w:val="0D0D0D"/>
          <w:lang w:val="hy-AM"/>
        </w:rPr>
      </w:pPr>
      <w:r w:rsidRPr="009F0A6F">
        <w:rPr>
          <w:rFonts w:eastAsia="GHEA Grapalat" w:cs="GHEA Grapalat"/>
          <w:color w:val="0D0D0D"/>
          <w:lang w:val="hy-AM"/>
        </w:rPr>
        <w:t>Միաժամանակ 2022-2024թթ. ժամանակահատվածում ռազմավարություններից բխող ծախսային նոր նախաձեռնությունները, մասնավորապես Հակակոռուպցիոն կոմիտեի և հակակոռուպցիոն դատարանի ստեղծման, ինչպես նաև դատական համակարգի բարեփոխումների հետ կապված, դիտարկվում են որպես առաջնահերթություններ և զետեղվել են համապատասխանաբար N 6 հավելվածում:</w:t>
      </w:r>
    </w:p>
    <w:p w14:paraId="415306DA" w14:textId="77777777" w:rsidR="00DA0E15" w:rsidRPr="009F0A6F" w:rsidRDefault="00DA0E15">
      <w:pPr>
        <w:tabs>
          <w:tab w:val="left" w:pos="540"/>
        </w:tabs>
        <w:spacing w:line="276" w:lineRule="auto"/>
        <w:rPr>
          <w:rFonts w:cs="Sylfaen"/>
          <w:i/>
          <w:kern w:val="16"/>
          <w:lang w:val="hy-AM"/>
        </w:rPr>
      </w:pPr>
    </w:p>
    <w:p w14:paraId="293ABCA0" w14:textId="77777777" w:rsidR="00362131" w:rsidRPr="00146C6E" w:rsidRDefault="00362131" w:rsidP="00146C6E">
      <w:pPr>
        <w:pStyle w:val="Heading3"/>
        <w:spacing w:before="0" w:after="120" w:line="276" w:lineRule="auto"/>
        <w:jc w:val="both"/>
        <w:rPr>
          <w:rFonts w:eastAsia="Times New Roman" w:cs="Times New Roman"/>
          <w:caps w:val="0"/>
          <w:color w:val="1F497D" w:themeColor="text2"/>
          <w:sz w:val="28"/>
          <w:szCs w:val="28"/>
        </w:rPr>
      </w:pPr>
      <w:bookmarkStart w:id="620" w:name="_Toc45637526"/>
      <w:bookmarkStart w:id="621" w:name="_Toc45838550"/>
      <w:bookmarkStart w:id="622" w:name="_Toc77837879"/>
      <w:bookmarkEnd w:id="616"/>
      <w:bookmarkEnd w:id="617"/>
      <w:bookmarkEnd w:id="618"/>
      <w:r>
        <w:rPr>
          <w:rFonts w:eastAsia="Times New Roman" w:cs="Times New Roman"/>
          <w:caps w:val="0"/>
          <w:color w:val="1F497D" w:themeColor="text2"/>
          <w:sz w:val="28"/>
          <w:szCs w:val="28"/>
        </w:rPr>
        <w:t>1</w:t>
      </w:r>
      <w:r w:rsidRPr="00146C6E">
        <w:rPr>
          <w:rFonts w:eastAsia="Times New Roman" w:cs="Times New Roman"/>
          <w:caps w:val="0"/>
          <w:color w:val="1F497D" w:themeColor="text2"/>
          <w:sz w:val="28"/>
          <w:szCs w:val="28"/>
        </w:rPr>
        <w:t>0.</w:t>
      </w:r>
      <w:r>
        <w:rPr>
          <w:rFonts w:eastAsia="Times New Roman" w:cs="Times New Roman"/>
          <w:caps w:val="0"/>
          <w:color w:val="1F497D" w:themeColor="text2"/>
          <w:sz w:val="28"/>
          <w:szCs w:val="28"/>
        </w:rPr>
        <w:t xml:space="preserve"> ԱՐՏԱՔԻՆ ՀԱՐԱԲԵՐՈՒԹՅՈՒՆՆԵՐ</w:t>
      </w:r>
      <w:bookmarkEnd w:id="620"/>
      <w:bookmarkEnd w:id="621"/>
      <w:bookmarkEnd w:id="622"/>
    </w:p>
    <w:p w14:paraId="4D632163" w14:textId="7E99AFC8" w:rsidR="000417B7" w:rsidRPr="00FA0954" w:rsidRDefault="000417B7" w:rsidP="00FA0954">
      <w:pPr>
        <w:spacing w:line="276" w:lineRule="auto"/>
        <w:rPr>
          <w:rFonts w:eastAsia="GHEA Grapalat" w:cs="GHEA Grapalat"/>
          <w:color w:val="1D2228"/>
          <w:lang w:val="hy-AM"/>
        </w:rPr>
      </w:pPr>
      <w:bookmarkStart w:id="623" w:name="_Toc45637527"/>
      <w:bookmarkStart w:id="624" w:name="_Toc45838551"/>
      <w:r w:rsidRPr="00FA0954">
        <w:rPr>
          <w:rFonts w:eastAsia="GHEA Grapalat" w:cs="GHEA Grapalat"/>
          <w:color w:val="1D2228"/>
          <w:lang w:val="hy-AM"/>
        </w:rPr>
        <w:t xml:space="preserve">Առաջիկա տարիներին արտաքին քաղաքականության ոլորտում ՀՀ արտաքին գործերի նախարարությունը շարունակելու է իրականացնել արտաքին գործերի, դիվանագիտական ծառայության, միջազգային հարաբերություններում Հայաստանի Հանրապետության շահերի և իրավունքների ներկայացման, օտարերկրյա պետություններում Հայաստանի Հանրապետության քաղաքացիների և իրավաբանական անձանց իրավունքների ու օրինական շահերի պաշտպանության, Հայաստանի Հանրապետության միջազգային իրավապայմանագրային հարաբերությունների, օտարերկրյա պետությունների և միջազգային կազմակերպությունների հետ դիվանագիտական կամ հյուպատոսական հարաբերությունների իրականացման, համաշխարհային քաղաքական և տնտեսական իրադրության, օտարերկրյա պետությունների արտաքին ու ներքին քաղաքականության, միջազգային կազմակերպությունների գործունեության վերլուծության հիման վրա համապատասխան առաջարկությունների ներկայացման, համաշխարհային և տարածաշրջանային հիմնախնդիրների լուծման գործում </w:t>
      </w:r>
      <w:r w:rsidR="00267BE4" w:rsidRPr="00267BE4">
        <w:rPr>
          <w:rFonts w:eastAsia="GHEA Grapalat" w:cs="GHEA Grapalat"/>
          <w:color w:val="1D2228"/>
          <w:lang w:val="hy-AM"/>
        </w:rPr>
        <w:t>Հ</w:t>
      </w:r>
      <w:r w:rsidRPr="00FA0954">
        <w:rPr>
          <w:rFonts w:eastAsia="GHEA Grapalat" w:cs="GHEA Grapalat"/>
          <w:color w:val="1D2228"/>
          <w:lang w:val="hy-AM"/>
        </w:rPr>
        <w:t xml:space="preserve">այաստանի </w:t>
      </w:r>
      <w:r w:rsidR="00267BE4" w:rsidRPr="00AE2B71">
        <w:rPr>
          <w:rFonts w:eastAsia="GHEA Grapalat" w:cs="GHEA Grapalat"/>
          <w:color w:val="1D2228"/>
          <w:lang w:val="hy-AM"/>
        </w:rPr>
        <w:t>Հ</w:t>
      </w:r>
      <w:r w:rsidRPr="00FA0954">
        <w:rPr>
          <w:rFonts w:eastAsia="GHEA Grapalat" w:cs="GHEA Grapalat"/>
          <w:color w:val="1D2228"/>
          <w:lang w:val="hy-AM"/>
        </w:rPr>
        <w:t xml:space="preserve">անրապետության դերի բարձրացման, Հայաստանի Հանրապետության պետական արարողակարգի ապահովման, պետական մարմիններին իրենց գործունեության համար արտաքին քաղաքականության վերաբերյալ անհրաժեշտ տեղեկատվությամբ ապահովման ոլորտներում կառավարության քաղաքականությունը: </w:t>
      </w:r>
    </w:p>
    <w:p w14:paraId="6F04B5F1"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ՀՀ արտաքին քաղաքականությունն ուղղված է ՀՀ ինքնիշխանության պաշտպանությանը, Հայաստանի և Արցախի անվտանգության ապահովմանը, Հայաստանի միջազգային հեղինակության բարձրացմանը, բոլոր պետությունների հետ փոխշահավետ և իրավահավասար հարաբերությունների շարունակական զարգացմանը, միջազգային և տարածաշրջանային գործընթացներին Հայաստանի ներգրավվածության ավելացմանը, երկկողմ և բազմակողմ ձևաչափերում համագործակցության խորացմանը՝ Հայաստանի կայուն զարգացմանը և տնտեսության արդիականացմանը, նոր շուկաներ մուտքի ապահովմանը, դեպի Հայաստան և Արցախ օտարերկրյա ներդրումների ավելացմանը:</w:t>
      </w:r>
    </w:p>
    <w:p w14:paraId="22C4DCBB"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Համաձայն կառավարության ծրագրի և նրանից բխող հնգամյա միջոցառումների ցանկի՝ ՀՀ ԱԳՆ գործունեության նպատակներն ու հիմնական թիրախներն են՝</w:t>
      </w:r>
    </w:p>
    <w:p w14:paraId="7554C746" w14:textId="77777777" w:rsidR="00DA0E15" w:rsidRPr="00FA0954" w:rsidRDefault="00362131" w:rsidP="00C0628C">
      <w:pPr>
        <w:pStyle w:val="ListParagraph"/>
        <w:numPr>
          <w:ilvl w:val="0"/>
          <w:numId w:val="40"/>
        </w:numPr>
        <w:spacing w:line="276" w:lineRule="auto"/>
        <w:ind w:left="360"/>
        <w:rPr>
          <w:rFonts w:eastAsia="GHEA Grapalat" w:cs="GHEA Grapalat"/>
          <w:color w:val="1D2228"/>
          <w:lang w:val="hy-AM"/>
        </w:rPr>
      </w:pPr>
      <w:r w:rsidRPr="00FA0954">
        <w:rPr>
          <w:rFonts w:eastAsia="GHEA Grapalat" w:cs="GHEA Grapalat"/>
          <w:color w:val="1D2228"/>
          <w:lang w:val="hy-AM"/>
        </w:rPr>
        <w:t xml:space="preserve">ԵԱՀԿ Մինսկի խմբի համանախագահության ձևաչափում ղարաբաղյան խնդրի խաղաղ կարգավորումը՝ հիմնված միջազգային իրավունքի հիմնարար սկզբունքների, մասնավորապես` ժողովուրդների իրավահավասարության և ինքնորոշման իրավունքի վրա: </w:t>
      </w:r>
    </w:p>
    <w:p w14:paraId="506DC45C" w14:textId="77777777" w:rsidR="00DA0E15" w:rsidRDefault="00362131" w:rsidP="00C0628C">
      <w:pPr>
        <w:pStyle w:val="ListParagraph"/>
        <w:numPr>
          <w:ilvl w:val="0"/>
          <w:numId w:val="40"/>
        </w:numPr>
        <w:spacing w:line="276" w:lineRule="auto"/>
        <w:ind w:left="360"/>
        <w:rPr>
          <w:spacing w:val="-6"/>
          <w:lang w:val="hy-AM"/>
        </w:rPr>
      </w:pPr>
      <w:r w:rsidRPr="00FA0954">
        <w:rPr>
          <w:rFonts w:eastAsia="GHEA Grapalat" w:cs="GHEA Grapalat"/>
          <w:color w:val="1D2228"/>
          <w:lang w:val="hy-AM"/>
        </w:rPr>
        <w:t>Հայոց</w:t>
      </w:r>
      <w:r>
        <w:rPr>
          <w:rFonts w:cs="Tahoma"/>
          <w:lang w:val="hy-AM" w:eastAsia="hy-AM"/>
        </w:rPr>
        <w:t xml:space="preserve"> ցեղասպանության միջազգային ճանաչում և դատապարտում։ </w:t>
      </w:r>
    </w:p>
    <w:p w14:paraId="1E12E80C" w14:textId="77777777" w:rsidR="00DA0E15" w:rsidRPr="00FA0954" w:rsidRDefault="00362131" w:rsidP="00C0628C">
      <w:pPr>
        <w:pStyle w:val="ListParagraph"/>
        <w:numPr>
          <w:ilvl w:val="0"/>
          <w:numId w:val="40"/>
        </w:numPr>
        <w:spacing w:line="276" w:lineRule="auto"/>
        <w:ind w:left="360"/>
        <w:rPr>
          <w:rFonts w:eastAsia="GHEA Grapalat" w:cs="GHEA Grapalat"/>
          <w:color w:val="1D2228"/>
          <w:lang w:val="hy-AM"/>
        </w:rPr>
      </w:pPr>
      <w:r>
        <w:rPr>
          <w:rFonts w:cs="Tahoma"/>
          <w:lang w:val="hy-AM" w:eastAsia="hy-AM"/>
        </w:rPr>
        <w:t xml:space="preserve">Երկկողմ և բազմակողմ կապերի ակտիվացում՝ ելնելով Հայաստանի տնտեսական զարգացման օրակարգից. աշխատանք նպատակաուղղված օտարերկրյա ուղղակի ներդրումների աճին, միջազգային լավագույն օրինակների և փորձի փոխառմանը, հայրենական արտադրանքի համար նոր շուկաների բացահայտմանը և արտահանման ավելացմանը, դեպի Հայաստան զբոսաշրջության </w:t>
      </w:r>
      <w:r w:rsidRPr="00FA0954">
        <w:rPr>
          <w:rFonts w:eastAsia="GHEA Grapalat" w:cs="GHEA Grapalat"/>
          <w:color w:val="1D2228"/>
          <w:lang w:val="hy-AM"/>
        </w:rPr>
        <w:t xml:space="preserve">խթանմանը, սփյուռքի գործարար ներուժի լիարժեք ներգրավմանը, միջազգային տնտեսական ինտեգրացիոն կառույցների շրջանակում ՀՀ տնտեսական շահերի առաջմղմանը: </w:t>
      </w:r>
    </w:p>
    <w:p w14:paraId="565CDA0B" w14:textId="77777777" w:rsidR="00DA0E15" w:rsidRPr="00FA0954" w:rsidRDefault="00362131" w:rsidP="00C0628C">
      <w:pPr>
        <w:pStyle w:val="ListParagraph"/>
        <w:numPr>
          <w:ilvl w:val="0"/>
          <w:numId w:val="40"/>
        </w:numPr>
        <w:spacing w:line="276" w:lineRule="auto"/>
        <w:ind w:left="360"/>
        <w:rPr>
          <w:rFonts w:eastAsia="GHEA Grapalat" w:cs="GHEA Grapalat"/>
          <w:color w:val="1D2228"/>
          <w:lang w:val="hy-AM"/>
        </w:rPr>
      </w:pPr>
      <w:r w:rsidRPr="00FA0954">
        <w:rPr>
          <w:rFonts w:eastAsia="GHEA Grapalat" w:cs="GHEA Grapalat"/>
          <w:color w:val="1D2228"/>
          <w:lang w:val="hy-AM"/>
        </w:rPr>
        <w:t xml:space="preserve">Հայաստանում և միջազգային ասպարեզում ժողովրդավարական կառույցների առավել ամրապնդում, մարդու իրավունքների և հիմնարար ազատությունների պաշտպանության, իրավունքի գերակայության և արդյունավետ կառավարման  բնագավառներում միջազգային կազմակերպությունների և կառույցների  հետ սերտ համագործակցություն: </w:t>
      </w:r>
    </w:p>
    <w:p w14:paraId="4325AEFD" w14:textId="77777777" w:rsidR="00DA0E15" w:rsidRPr="00FA0954" w:rsidRDefault="00362131" w:rsidP="00C0628C">
      <w:pPr>
        <w:pStyle w:val="ListParagraph"/>
        <w:numPr>
          <w:ilvl w:val="0"/>
          <w:numId w:val="40"/>
        </w:numPr>
        <w:spacing w:line="276" w:lineRule="auto"/>
        <w:ind w:left="360"/>
        <w:rPr>
          <w:rFonts w:eastAsia="GHEA Grapalat" w:cs="GHEA Grapalat"/>
          <w:color w:val="1D2228"/>
          <w:lang w:val="hy-AM"/>
        </w:rPr>
      </w:pPr>
      <w:r w:rsidRPr="00FA0954">
        <w:rPr>
          <w:rFonts w:eastAsia="GHEA Grapalat" w:cs="GHEA Grapalat"/>
          <w:color w:val="1D2228"/>
          <w:lang w:val="hy-AM"/>
        </w:rPr>
        <w:t xml:space="preserve">Ակտիվ մասնակցություն գլոբալ խաղաղության և անվտանգության ապահովման ուղղությամբ միջազգային հանրության ջանքերին, այդ թվում՝ չտարածման և սպառազինությունների վերահսկման, ահաբեկչության և անդրազգային սպառնալիքների դեմ պայքարի, միջազգային խաղաղության ամրապնդմանն ուղղված գործողությունների շրջանակում: </w:t>
      </w:r>
    </w:p>
    <w:p w14:paraId="17B6F555" w14:textId="77777777" w:rsidR="00DA0E15" w:rsidRPr="00FA0954" w:rsidRDefault="00362131" w:rsidP="00C0628C">
      <w:pPr>
        <w:pStyle w:val="ListParagraph"/>
        <w:numPr>
          <w:ilvl w:val="0"/>
          <w:numId w:val="40"/>
        </w:numPr>
        <w:spacing w:line="276" w:lineRule="auto"/>
        <w:ind w:left="360"/>
        <w:rPr>
          <w:rFonts w:eastAsia="GHEA Grapalat" w:cs="GHEA Grapalat"/>
          <w:color w:val="1D2228"/>
          <w:lang w:val="hy-AM"/>
        </w:rPr>
      </w:pPr>
      <w:r w:rsidRPr="00FA0954">
        <w:rPr>
          <w:rFonts w:eastAsia="GHEA Grapalat" w:cs="GHEA Grapalat"/>
          <w:color w:val="1D2228"/>
          <w:lang w:val="hy-AM"/>
        </w:rPr>
        <w:t xml:space="preserve">Ցեղասպանության և մարդկության դեմ հանցագործությունների կանխարգելմանն ուղղված ակտիվ գործունեություն միջազգային ասպարեզում, այդ թվում՝ էթնիկ, կրոնական, ռասայական հողի վրա խտրականության և անհանդուրժողականության դեմ պայքարի ուղղությամբ: </w:t>
      </w:r>
    </w:p>
    <w:p w14:paraId="60EE740D" w14:textId="77777777" w:rsidR="00DA0E15" w:rsidRPr="00FA0954" w:rsidRDefault="00362131" w:rsidP="00C0628C">
      <w:pPr>
        <w:pStyle w:val="ListParagraph"/>
        <w:numPr>
          <w:ilvl w:val="0"/>
          <w:numId w:val="40"/>
        </w:numPr>
        <w:spacing w:line="276" w:lineRule="auto"/>
        <w:ind w:left="360"/>
        <w:rPr>
          <w:rFonts w:eastAsia="GHEA Grapalat" w:cs="GHEA Grapalat"/>
          <w:color w:val="1D2228"/>
          <w:lang w:val="hy-AM"/>
        </w:rPr>
      </w:pPr>
      <w:r w:rsidRPr="00FA0954">
        <w:rPr>
          <w:rFonts w:eastAsia="GHEA Grapalat" w:cs="GHEA Grapalat"/>
          <w:color w:val="1D2228"/>
          <w:lang w:val="hy-AM"/>
        </w:rPr>
        <w:t xml:space="preserve">Հայ ժողովրդի ինքնության պահպանման, քաղաքակրթական արժեքների և ժառանգության պաշտպանություն և հանրահռչակում։ </w:t>
      </w:r>
    </w:p>
    <w:p w14:paraId="36E6FD13" w14:textId="77777777" w:rsidR="00DA0E15" w:rsidRPr="00FA0954" w:rsidRDefault="00362131" w:rsidP="00C0628C">
      <w:pPr>
        <w:pStyle w:val="ListParagraph"/>
        <w:numPr>
          <w:ilvl w:val="0"/>
          <w:numId w:val="40"/>
        </w:numPr>
        <w:spacing w:line="276" w:lineRule="auto"/>
        <w:ind w:left="360"/>
        <w:rPr>
          <w:rFonts w:eastAsia="GHEA Grapalat" w:cs="GHEA Grapalat"/>
          <w:color w:val="1D2228"/>
          <w:lang w:val="hy-AM"/>
        </w:rPr>
      </w:pPr>
      <w:r w:rsidRPr="00FA0954">
        <w:rPr>
          <w:rFonts w:eastAsia="GHEA Grapalat" w:cs="GHEA Grapalat"/>
          <w:color w:val="1D2228"/>
          <w:lang w:val="hy-AM"/>
        </w:rPr>
        <w:t>Օտարերկրյա պետություններում Հայաստանի քաղաքացիների և իրավաբանական անձանց իրավունքների ու շահերի պաշտպանություն։ Արտակարգ իրավիճակներում հայտնված հայրենակիցներին աջակցության ցուցաբերում:</w:t>
      </w:r>
    </w:p>
    <w:p w14:paraId="5687A063" w14:textId="77777777" w:rsidR="00DA0E15" w:rsidRPr="00FA0954" w:rsidRDefault="00DA0E15" w:rsidP="00FA0954">
      <w:pPr>
        <w:pStyle w:val="ListParagraph"/>
        <w:spacing w:line="276" w:lineRule="auto"/>
        <w:ind w:left="360"/>
        <w:rPr>
          <w:rFonts w:eastAsia="GHEA Grapalat" w:cs="GHEA Grapalat"/>
          <w:color w:val="1D2228"/>
          <w:lang w:val="hy-AM"/>
        </w:rPr>
      </w:pPr>
    </w:p>
    <w:p w14:paraId="2C20D1AE" w14:textId="77777777" w:rsidR="00DA0E15" w:rsidRPr="00FA0954" w:rsidRDefault="00362131" w:rsidP="00C0628C">
      <w:pPr>
        <w:pStyle w:val="ListParagraph"/>
        <w:numPr>
          <w:ilvl w:val="0"/>
          <w:numId w:val="40"/>
        </w:numPr>
        <w:spacing w:line="276" w:lineRule="auto"/>
        <w:ind w:left="360" w:firstLine="0"/>
        <w:rPr>
          <w:rFonts w:eastAsia="GHEA Grapalat" w:cs="GHEA Grapalat"/>
          <w:color w:val="1D2228"/>
          <w:lang w:val="hy-AM"/>
        </w:rPr>
      </w:pPr>
      <w:r w:rsidRPr="00FA0954">
        <w:rPr>
          <w:rFonts w:eastAsia="GHEA Grapalat" w:cs="GHEA Grapalat"/>
          <w:color w:val="1D2228"/>
          <w:lang w:val="hy-AM"/>
        </w:rPr>
        <w:t>Համագործակցության բազմակողմ ձևաչափերում.</w:t>
      </w:r>
    </w:p>
    <w:p w14:paraId="0218C047"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 xml:space="preserve">Եվրասիական տնտեսական միությանը և Հավաքական անվտանգության պայմանագրի կազմակերպությանը Հայաստանի անդամակցության արդյունավետության բարձրացում, </w:t>
      </w:r>
    </w:p>
    <w:p w14:paraId="0A9522E3"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ՄԱԿ-ում, ԵԱՀԿ-ում, ԵԽ-ում և միջազգային այլ կառույցներում Հայաստանի առավել ակտիվ ներգրավվածություն,</w:t>
      </w:r>
    </w:p>
    <w:p w14:paraId="16680FB3"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ԱՊՀ շրջանակներում համագործակցությանն ակտիվ մասնակցություն։ ԱՊՀ երկրների հետ երկկողմ հարաբերությունների զարգացում,</w:t>
      </w:r>
    </w:p>
    <w:p w14:paraId="312EF719"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ՆԱՏՕ-ի հետ քաղաքական երկխոսության շարունակում, Անհատական գործընկերության ծրագրի հետևողական իրագործում,</w:t>
      </w:r>
    </w:p>
    <w:p w14:paraId="71CA43B2"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Ֆրանկոֆոնիայի միջազգային կազմակերպությանը Հայաստանի ներգրավվածության խորացում, ՖՄԿ –ում Հայաստանի նախագահության բարձր մակարդակի իրականացում։</w:t>
      </w:r>
    </w:p>
    <w:p w14:paraId="77940267" w14:textId="77777777" w:rsidR="00DA0E15" w:rsidRDefault="00DA0E15">
      <w:pPr>
        <w:pStyle w:val="ListParagraph"/>
        <w:spacing w:after="0" w:line="276" w:lineRule="auto"/>
        <w:ind w:left="0"/>
        <w:rPr>
          <w:rFonts w:cs="Sylfaen"/>
          <w:lang w:val="hy-AM"/>
        </w:rPr>
      </w:pPr>
    </w:p>
    <w:p w14:paraId="042D1FE2" w14:textId="77777777" w:rsidR="00DA0E15" w:rsidRDefault="00362131" w:rsidP="00C0628C">
      <w:pPr>
        <w:pStyle w:val="ListParagraph"/>
        <w:numPr>
          <w:ilvl w:val="0"/>
          <w:numId w:val="40"/>
        </w:numPr>
        <w:spacing w:line="276" w:lineRule="auto"/>
        <w:ind w:left="360" w:firstLine="0"/>
        <w:rPr>
          <w:spacing w:val="-6"/>
          <w:lang w:val="hy-AM"/>
        </w:rPr>
      </w:pPr>
      <w:r>
        <w:rPr>
          <w:spacing w:val="-6"/>
          <w:lang w:val="hy-AM"/>
        </w:rPr>
        <w:t xml:space="preserve">Երկկողմ </w:t>
      </w:r>
      <w:r w:rsidRPr="00FA0954">
        <w:rPr>
          <w:rFonts w:eastAsia="GHEA Grapalat" w:cs="GHEA Grapalat"/>
          <w:color w:val="1D2228"/>
          <w:lang w:val="hy-AM"/>
        </w:rPr>
        <w:t>հարաբերություններում</w:t>
      </w:r>
      <w:r>
        <w:rPr>
          <w:spacing w:val="-6"/>
        </w:rPr>
        <w:t>.</w:t>
      </w:r>
    </w:p>
    <w:p w14:paraId="522CDB52"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Ռուսաստանի Դաշնության հետ ամենատարբեր բնագավառներում ռազմավարական-դաշնակցային հարաբերությունների զարգացում,</w:t>
      </w:r>
    </w:p>
    <w:p w14:paraId="1DE6B7CD"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ԱՄՆ-ի հետ տարբեր ոլորտներում բարեկամական գործընկերության հետևողական ամրապնդում և խորացում,</w:t>
      </w:r>
    </w:p>
    <w:p w14:paraId="3725F33D"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Եվրոպական երկրների հետ բարեկամական և գործընկերական հարաբերությունների խորացում և ընդլայնում։ ԵՄ-ի հետ Համապարփակ և ընդլայնված գործընկերության համաձայնագրի ամբողջական կիրարկում,</w:t>
      </w:r>
    </w:p>
    <w:p w14:paraId="45F134BD"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Իրանի և Վրաստանի հետ առանձնահատուկ բարիդրացիական հարաբերությունների զարգացում՝ փորձելով դրանք զերծ պահել աշխարհաքաղաքական գործընթացների ազդեցությունից,</w:t>
      </w:r>
    </w:p>
    <w:p w14:paraId="51811EBC"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Չինաստանի հետ բարեկամական հարաբերություններին բնորոշ բազմաոլորտ լայն համագործակցության զարգացում,</w:t>
      </w:r>
    </w:p>
    <w:p w14:paraId="6184F799"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Հնդկաստանի և Ճապոնիայի հետ բարեկամական և փոխշահավետ փոխգործակցության զարգացում և խորացում,</w:t>
      </w:r>
    </w:p>
    <w:p w14:paraId="451B989A"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 xml:space="preserve">Փոխգործակցության ընդլայնում  Մերձավոր Արեւելքի գործընկեր երկրների հետ, </w:t>
      </w:r>
    </w:p>
    <w:p w14:paraId="4EBA14A0" w14:textId="4DDFA128" w:rsidR="00DA0E15" w:rsidRDefault="00362131" w:rsidP="00FA0954">
      <w:pPr>
        <w:spacing w:line="276" w:lineRule="auto"/>
        <w:rPr>
          <w:rFonts w:cs="Sylfaen"/>
          <w:lang w:val="hy-AM"/>
        </w:rPr>
      </w:pPr>
      <w:r w:rsidRPr="00FA0954">
        <w:rPr>
          <w:rFonts w:eastAsia="GHEA Grapalat" w:cs="GHEA Grapalat"/>
          <w:color w:val="1D2228"/>
          <w:lang w:val="hy-AM"/>
        </w:rPr>
        <w:t xml:space="preserve">Համագործակցության զարգացում Ամերիկայի, Ասիայի, Աֆրիկայի </w:t>
      </w:r>
      <w:r w:rsidR="00AE2B71" w:rsidRPr="005E0C21">
        <w:rPr>
          <w:rFonts w:eastAsia="GHEA Grapalat" w:cs="GHEA Grapalat"/>
          <w:color w:val="1D2228"/>
          <w:lang w:val="hy-AM"/>
        </w:rPr>
        <w:t>և</w:t>
      </w:r>
      <w:r w:rsidRPr="00FA0954">
        <w:rPr>
          <w:rFonts w:eastAsia="GHEA Grapalat" w:cs="GHEA Grapalat"/>
          <w:color w:val="1D2228"/>
          <w:lang w:val="hy-AM"/>
        </w:rPr>
        <w:t xml:space="preserve"> Օվկիանիայի պետությունների հետ:</w:t>
      </w:r>
    </w:p>
    <w:p w14:paraId="53B61F4E" w14:textId="77777777" w:rsidR="00DA0E15" w:rsidRDefault="00DA0E15">
      <w:pPr>
        <w:pStyle w:val="ColorfulList-Accent11"/>
        <w:spacing w:after="0"/>
        <w:ind w:left="0"/>
        <w:rPr>
          <w:rFonts w:cs="Sylfaen"/>
          <w:lang w:val="hy-AM"/>
        </w:rPr>
      </w:pPr>
    </w:p>
    <w:p w14:paraId="0CDBE3BB" w14:textId="77777777" w:rsidR="00DA0E15" w:rsidRDefault="00362131">
      <w:pPr>
        <w:spacing w:after="0" w:line="276" w:lineRule="auto"/>
        <w:ind w:firstLine="720"/>
        <w:contextualSpacing/>
        <w:rPr>
          <w:rFonts w:eastAsia="Calibri" w:cs="Times New Roman"/>
          <w:b/>
          <w:spacing w:val="-6"/>
          <w:lang w:val="hy-AM"/>
        </w:rPr>
      </w:pPr>
      <w:r>
        <w:rPr>
          <w:rFonts w:eastAsia="Calibri" w:cs="Times New Roman"/>
          <w:b/>
          <w:spacing w:val="-6"/>
          <w:lang w:val="hy-AM"/>
        </w:rPr>
        <w:t xml:space="preserve">ՈԼՈՐՏԱՅԻՆ ԾԱԽՍԱՅԻՆ ԾՐԱԳՐԵՐԸ </w:t>
      </w:r>
    </w:p>
    <w:p w14:paraId="6ABC4217" w14:textId="77777777" w:rsidR="00DA0E15" w:rsidRDefault="00DA0E15">
      <w:pPr>
        <w:spacing w:after="0" w:line="276" w:lineRule="auto"/>
        <w:ind w:firstLine="720"/>
        <w:contextualSpacing/>
        <w:rPr>
          <w:rFonts w:eastAsia="Calibri" w:cs="Times New Roman"/>
          <w:b/>
          <w:spacing w:val="-6"/>
          <w:lang w:val="hy-AM"/>
        </w:rPr>
      </w:pPr>
    </w:p>
    <w:p w14:paraId="53405F4B" w14:textId="77777777" w:rsidR="00DA0E15" w:rsidRDefault="00362131">
      <w:pPr>
        <w:spacing w:after="0" w:line="276" w:lineRule="auto"/>
        <w:ind w:firstLine="720"/>
        <w:contextualSpacing/>
        <w:rPr>
          <w:rFonts w:eastAsia="Calibri" w:cs="Times New Roman"/>
          <w:b/>
          <w:spacing w:val="-6"/>
          <w:lang w:val="hy-AM"/>
        </w:rPr>
      </w:pPr>
      <w:r>
        <w:rPr>
          <w:rFonts w:eastAsia="Calibri" w:cs="Times New Roman"/>
          <w:b/>
          <w:spacing w:val="-6"/>
          <w:lang w:val="hy-AM"/>
        </w:rPr>
        <w:t>1</w:t>
      </w:r>
      <w:r>
        <w:rPr>
          <w:rFonts w:ascii="MS Mincho" w:eastAsia="MS Mincho" w:hAnsi="MS Mincho" w:cs="MS Mincho" w:hint="eastAsia"/>
          <w:b/>
          <w:spacing w:val="-6"/>
          <w:lang w:val="hy-AM"/>
        </w:rPr>
        <w:t>․</w:t>
      </w:r>
      <w:r>
        <w:rPr>
          <w:rFonts w:eastAsia="Calibri" w:cs="Times New Roman"/>
          <w:b/>
          <w:spacing w:val="-6"/>
          <w:lang w:val="hy-AM"/>
        </w:rPr>
        <w:t xml:space="preserve"> </w:t>
      </w:r>
      <w:r>
        <w:rPr>
          <w:rFonts w:eastAsia="Calibri" w:cs="GHEA Grapalat"/>
          <w:b/>
          <w:spacing w:val="-6"/>
          <w:lang w:val="hy-AM"/>
        </w:rPr>
        <w:t>Արտաքին</w:t>
      </w:r>
      <w:r>
        <w:rPr>
          <w:rFonts w:eastAsia="Calibri" w:cs="Times New Roman"/>
          <w:b/>
          <w:spacing w:val="-6"/>
          <w:lang w:val="hy-AM"/>
        </w:rPr>
        <w:t xml:space="preserve"> </w:t>
      </w:r>
      <w:r>
        <w:rPr>
          <w:rFonts w:eastAsia="Calibri" w:cs="GHEA Grapalat"/>
          <w:b/>
          <w:spacing w:val="-6"/>
          <w:lang w:val="hy-AM"/>
        </w:rPr>
        <w:t>գործերի</w:t>
      </w:r>
      <w:r>
        <w:rPr>
          <w:rFonts w:eastAsia="Calibri" w:cs="Times New Roman"/>
          <w:b/>
          <w:spacing w:val="-6"/>
          <w:lang w:val="hy-AM"/>
        </w:rPr>
        <w:t xml:space="preserve"> </w:t>
      </w:r>
      <w:r>
        <w:rPr>
          <w:rFonts w:eastAsia="Calibri" w:cs="GHEA Grapalat"/>
          <w:b/>
          <w:spacing w:val="-6"/>
          <w:lang w:val="hy-AM"/>
        </w:rPr>
        <w:t>ոլորտում</w:t>
      </w:r>
      <w:r>
        <w:rPr>
          <w:rFonts w:eastAsia="Calibri" w:cs="Times New Roman"/>
          <w:b/>
          <w:spacing w:val="-6"/>
          <w:lang w:val="hy-AM"/>
        </w:rPr>
        <w:t xml:space="preserve"> </w:t>
      </w:r>
      <w:r>
        <w:rPr>
          <w:rFonts w:eastAsia="Calibri" w:cs="GHEA Grapalat"/>
          <w:b/>
          <w:spacing w:val="-6"/>
          <w:lang w:val="hy-AM"/>
        </w:rPr>
        <w:t>Կառավարության</w:t>
      </w:r>
      <w:r>
        <w:rPr>
          <w:rFonts w:eastAsia="Calibri" w:cs="Times New Roman"/>
          <w:b/>
          <w:spacing w:val="-6"/>
          <w:lang w:val="hy-AM"/>
        </w:rPr>
        <w:t xml:space="preserve"> </w:t>
      </w:r>
      <w:r>
        <w:rPr>
          <w:rFonts w:eastAsia="Calibri" w:cs="GHEA Grapalat"/>
          <w:b/>
          <w:spacing w:val="-6"/>
          <w:lang w:val="hy-AM"/>
        </w:rPr>
        <w:t>քաղաքականության</w:t>
      </w:r>
      <w:r>
        <w:rPr>
          <w:rFonts w:eastAsia="Calibri" w:cs="Times New Roman"/>
          <w:b/>
          <w:spacing w:val="-6"/>
          <w:lang w:val="hy-AM"/>
        </w:rPr>
        <w:t xml:space="preserve"> </w:t>
      </w:r>
      <w:r>
        <w:rPr>
          <w:rFonts w:eastAsia="Calibri" w:cs="GHEA Grapalat"/>
          <w:b/>
          <w:spacing w:val="-6"/>
          <w:lang w:val="hy-AM"/>
        </w:rPr>
        <w:t>մշակում</w:t>
      </w:r>
      <w:r>
        <w:rPr>
          <w:rFonts w:eastAsia="Calibri" w:cs="Times New Roman"/>
          <w:b/>
          <w:spacing w:val="-6"/>
          <w:lang w:val="hy-AM"/>
        </w:rPr>
        <w:t xml:space="preserve"> </w:t>
      </w:r>
      <w:r>
        <w:rPr>
          <w:rFonts w:eastAsia="Calibri" w:cs="GHEA Grapalat"/>
          <w:b/>
          <w:spacing w:val="-6"/>
          <w:lang w:val="hy-AM"/>
        </w:rPr>
        <w:t>և</w:t>
      </w:r>
      <w:r>
        <w:rPr>
          <w:rFonts w:eastAsia="Calibri" w:cs="Times New Roman"/>
          <w:b/>
          <w:spacing w:val="-6"/>
          <w:lang w:val="hy-AM"/>
        </w:rPr>
        <w:t xml:space="preserve"> </w:t>
      </w:r>
      <w:r>
        <w:rPr>
          <w:rFonts w:eastAsia="Calibri" w:cs="GHEA Grapalat"/>
          <w:b/>
          <w:spacing w:val="-6"/>
          <w:lang w:val="hy-AM"/>
        </w:rPr>
        <w:t>իրականացում</w:t>
      </w:r>
      <w:r>
        <w:rPr>
          <w:rFonts w:eastAsia="Calibri" w:cs="Times New Roman"/>
          <w:b/>
          <w:spacing w:val="-6"/>
          <w:lang w:val="hy-AM"/>
        </w:rPr>
        <w:t xml:space="preserve"> </w:t>
      </w:r>
      <w:r>
        <w:rPr>
          <w:rFonts w:eastAsia="Calibri" w:cs="GHEA Grapalat"/>
          <w:b/>
          <w:spacing w:val="-6"/>
          <w:lang w:val="hy-AM"/>
        </w:rPr>
        <w:t>ծրագիր</w:t>
      </w:r>
      <w:r>
        <w:rPr>
          <w:rFonts w:eastAsia="Calibri" w:cs="Times New Roman"/>
          <w:b/>
          <w:spacing w:val="-6"/>
          <w:lang w:val="hy-AM"/>
        </w:rPr>
        <w:t>.</w:t>
      </w:r>
    </w:p>
    <w:p w14:paraId="6794B282" w14:textId="77777777" w:rsidR="00DA0E15" w:rsidRPr="00FA0954" w:rsidRDefault="00362131" w:rsidP="00FA0954">
      <w:pPr>
        <w:spacing w:line="276" w:lineRule="auto"/>
        <w:rPr>
          <w:rFonts w:eastAsia="GHEA Grapalat" w:cs="GHEA Grapalat"/>
          <w:color w:val="1D2228"/>
          <w:lang w:val="hy-AM"/>
        </w:rPr>
      </w:pPr>
      <w:r w:rsidRPr="00FA0954">
        <w:rPr>
          <w:rFonts w:eastAsia="GHEA Grapalat" w:cs="GHEA Grapalat"/>
          <w:color w:val="1D2228"/>
          <w:lang w:val="hy-AM"/>
        </w:rPr>
        <w:t xml:space="preserve">Ծրագրի նպատակն է՝ ՀՀ ինքնիշխանության պաշտպանությունը, Հայաստանի և Արցախի անվտանգության ապահովումը, ՀՀ միջազգային հեղինակության բարձրացումը, ՀՀ կայուն զարգացմանն ուղղված միջազգային և տարածաշրջանային համագործակցության ապահովումը, ինչպես նաև միջազգային իրավունքի հիման վրա՝ բոլոր պետությունների հետ բարիդրացիական, փոխշահավետ հարաբերությունների հաստատումն ու զարգացումը, միջազգային հարաբերություններում Հայաստանի Հանրապետության շահերի և իրավունքների ներկայացումը, որի ուղղությամբ 2022-2024թթ. նախատեսվում է հատկացնել համապատասխանաբար՝ 1,953.4 մլն դրամ, 1,967.0 մլն դրամ և 1,983.9 մլն դրամ, </w:t>
      </w:r>
    </w:p>
    <w:p w14:paraId="4E912581" w14:textId="77777777" w:rsidR="00DA0E15" w:rsidRDefault="00362131">
      <w:pPr>
        <w:spacing w:after="0" w:line="276" w:lineRule="auto"/>
        <w:ind w:firstLine="720"/>
        <w:contextualSpacing/>
        <w:rPr>
          <w:rFonts w:eastAsia="Calibri" w:cs="Times New Roman"/>
          <w:b/>
          <w:spacing w:val="-6"/>
          <w:lang w:val="hy-AM"/>
        </w:rPr>
      </w:pPr>
      <w:r>
        <w:rPr>
          <w:rFonts w:eastAsia="Calibri" w:cs="Times New Roman"/>
          <w:b/>
          <w:spacing w:val="-6"/>
          <w:lang w:val="hy-AM"/>
        </w:rPr>
        <w:t>2</w:t>
      </w:r>
      <w:r>
        <w:rPr>
          <w:rFonts w:ascii="MS Mincho" w:eastAsia="MS Mincho" w:hAnsi="MS Mincho" w:cs="MS Mincho" w:hint="eastAsia"/>
          <w:b/>
          <w:spacing w:val="-6"/>
          <w:lang w:val="hy-AM"/>
        </w:rPr>
        <w:t>․</w:t>
      </w:r>
      <w:r>
        <w:rPr>
          <w:rFonts w:eastAsia="Calibri" w:cs="Times New Roman"/>
          <w:b/>
          <w:spacing w:val="-6"/>
          <w:lang w:val="hy-AM"/>
        </w:rPr>
        <w:t xml:space="preserve"> Համագործակցություն </w:t>
      </w:r>
      <w:r>
        <w:rPr>
          <w:rFonts w:eastAsia="Calibri" w:cs="GHEA Grapalat"/>
          <w:b/>
          <w:spacing w:val="-6"/>
          <w:lang w:val="hy-AM"/>
        </w:rPr>
        <w:t>միջազգային</w:t>
      </w:r>
      <w:r>
        <w:rPr>
          <w:rFonts w:eastAsia="Calibri" w:cs="Times New Roman"/>
          <w:b/>
          <w:spacing w:val="-6"/>
          <w:lang w:val="hy-AM"/>
        </w:rPr>
        <w:t xml:space="preserve"> </w:t>
      </w:r>
      <w:r>
        <w:rPr>
          <w:rFonts w:eastAsia="Calibri" w:cs="GHEA Grapalat"/>
          <w:b/>
          <w:spacing w:val="-6"/>
          <w:lang w:val="hy-AM"/>
        </w:rPr>
        <w:t>կազմակերպությունների</w:t>
      </w:r>
      <w:r>
        <w:rPr>
          <w:rFonts w:eastAsia="Calibri" w:cs="Times New Roman"/>
          <w:b/>
          <w:spacing w:val="-6"/>
          <w:lang w:val="hy-AM"/>
        </w:rPr>
        <w:t xml:space="preserve"> </w:t>
      </w:r>
      <w:r>
        <w:rPr>
          <w:rFonts w:eastAsia="Calibri" w:cs="GHEA Grapalat"/>
          <w:b/>
          <w:spacing w:val="-6"/>
          <w:lang w:val="hy-AM"/>
        </w:rPr>
        <w:t>հետ</w:t>
      </w:r>
      <w:r>
        <w:rPr>
          <w:rFonts w:eastAsia="Calibri" w:cs="Times New Roman"/>
          <w:b/>
          <w:spacing w:val="-6"/>
          <w:lang w:val="hy-AM"/>
        </w:rPr>
        <w:t xml:space="preserve"> </w:t>
      </w:r>
      <w:r>
        <w:rPr>
          <w:rFonts w:eastAsia="Calibri" w:cs="GHEA Grapalat"/>
          <w:b/>
          <w:spacing w:val="-6"/>
          <w:lang w:val="hy-AM"/>
        </w:rPr>
        <w:t>ծրագիր</w:t>
      </w:r>
      <w:r>
        <w:rPr>
          <w:rFonts w:eastAsia="Calibri" w:cs="Times New Roman"/>
          <w:b/>
          <w:spacing w:val="-6"/>
          <w:lang w:val="hy-AM"/>
        </w:rPr>
        <w:t>.</w:t>
      </w:r>
    </w:p>
    <w:p w14:paraId="31589E81" w14:textId="77777777" w:rsidR="00DA0E15" w:rsidRDefault="00362131">
      <w:pPr>
        <w:spacing w:after="0" w:line="276" w:lineRule="auto"/>
        <w:rPr>
          <w:rFonts w:eastAsia="Calibri" w:cs="Times New Roman"/>
          <w:spacing w:val="-6"/>
          <w:lang w:val="hy-AM"/>
        </w:rPr>
      </w:pPr>
      <w:r>
        <w:rPr>
          <w:rFonts w:eastAsia="Calibri" w:cs="Times New Roman"/>
          <w:spacing w:val="-6"/>
          <w:lang w:val="hy-AM"/>
        </w:rPr>
        <w:t xml:space="preserve"> </w:t>
      </w:r>
      <w:r>
        <w:rPr>
          <w:rFonts w:eastAsia="Calibri" w:cs="Times New Roman"/>
          <w:spacing w:val="-6"/>
          <w:lang w:val="hy-AM"/>
        </w:rPr>
        <w:tab/>
        <w:t>Ծրագրի նպատակն է՝ միջազգային համագործակցության բազմակողմ ձևաչափերում ՀՀ ակտիվ ներգրավվածության միջոցով ՀՀ արտաքին քաղաքականության գերակայությունների իրագործումը, ինչպես նաև միջազգային կազմակերպությունների հետ և դրանց շրջանակներում բնականոն փոխհարաբերությունների ու արդյունավետ համագործակցության ապահովումն ու ընդլայնումը, որի ուղղությամբ 2022-2024թթ. նախատեսվում է յուրաքանչյուր տարի հատկացնել 2,428.6 մլն դրամ,</w:t>
      </w:r>
    </w:p>
    <w:p w14:paraId="2FC59022" w14:textId="77777777" w:rsidR="00DA0E15" w:rsidRDefault="00362131">
      <w:pPr>
        <w:spacing w:after="0" w:line="276" w:lineRule="auto"/>
        <w:ind w:firstLine="720"/>
        <w:contextualSpacing/>
        <w:rPr>
          <w:rFonts w:eastAsia="Calibri" w:cs="Times New Roman"/>
          <w:b/>
          <w:spacing w:val="-6"/>
          <w:lang w:val="hy-AM"/>
        </w:rPr>
      </w:pPr>
      <w:r>
        <w:rPr>
          <w:rFonts w:eastAsia="Calibri" w:cs="Times New Roman"/>
          <w:b/>
          <w:spacing w:val="-6"/>
          <w:lang w:val="hy-AM"/>
        </w:rPr>
        <w:t>3</w:t>
      </w:r>
      <w:r>
        <w:rPr>
          <w:rFonts w:ascii="MS Mincho" w:eastAsia="MS Mincho" w:hAnsi="MS Mincho" w:cs="MS Mincho" w:hint="eastAsia"/>
          <w:b/>
          <w:spacing w:val="-6"/>
          <w:lang w:val="hy-AM"/>
        </w:rPr>
        <w:t>․</w:t>
      </w:r>
      <w:r>
        <w:rPr>
          <w:rFonts w:eastAsia="Calibri" w:cs="Times New Roman"/>
          <w:b/>
          <w:spacing w:val="-6"/>
          <w:lang w:val="hy-AM"/>
        </w:rPr>
        <w:t xml:space="preserve"> </w:t>
      </w:r>
      <w:r>
        <w:rPr>
          <w:rFonts w:eastAsia="Calibri" w:cs="GHEA Grapalat"/>
          <w:b/>
          <w:spacing w:val="-6"/>
          <w:lang w:val="hy-AM"/>
        </w:rPr>
        <w:t>Օտարերկրյա</w:t>
      </w:r>
      <w:r>
        <w:rPr>
          <w:rFonts w:eastAsia="Calibri" w:cs="Times New Roman"/>
          <w:b/>
          <w:spacing w:val="-6"/>
          <w:lang w:val="hy-AM"/>
        </w:rPr>
        <w:t xml:space="preserve"> </w:t>
      </w:r>
      <w:r>
        <w:rPr>
          <w:rFonts w:eastAsia="Calibri" w:cs="GHEA Grapalat"/>
          <w:b/>
          <w:spacing w:val="-6"/>
          <w:lang w:val="hy-AM"/>
        </w:rPr>
        <w:t>պետություններում</w:t>
      </w:r>
      <w:r>
        <w:rPr>
          <w:rFonts w:eastAsia="Calibri" w:cs="Times New Roman"/>
          <w:b/>
          <w:spacing w:val="-6"/>
          <w:lang w:val="hy-AM"/>
        </w:rPr>
        <w:t xml:space="preserve"> </w:t>
      </w:r>
      <w:r>
        <w:rPr>
          <w:rFonts w:eastAsia="Calibri" w:cs="GHEA Grapalat"/>
          <w:b/>
          <w:spacing w:val="-6"/>
          <w:lang w:val="hy-AM"/>
        </w:rPr>
        <w:t>ՀՀ</w:t>
      </w:r>
      <w:r>
        <w:rPr>
          <w:rFonts w:eastAsia="Calibri" w:cs="Times New Roman"/>
          <w:b/>
          <w:spacing w:val="-6"/>
          <w:lang w:val="hy-AM"/>
        </w:rPr>
        <w:t xml:space="preserve"> </w:t>
      </w:r>
      <w:r>
        <w:rPr>
          <w:rFonts w:eastAsia="Calibri" w:cs="GHEA Grapalat"/>
          <w:b/>
          <w:spacing w:val="-6"/>
          <w:lang w:val="hy-AM"/>
        </w:rPr>
        <w:t>դիվանագիտական</w:t>
      </w:r>
      <w:r>
        <w:rPr>
          <w:rFonts w:eastAsia="Calibri" w:cs="Times New Roman"/>
          <w:b/>
          <w:spacing w:val="-6"/>
          <w:lang w:val="hy-AM"/>
        </w:rPr>
        <w:t xml:space="preserve"> </w:t>
      </w:r>
      <w:r>
        <w:rPr>
          <w:rFonts w:eastAsia="Calibri" w:cs="GHEA Grapalat"/>
          <w:b/>
          <w:spacing w:val="-6"/>
          <w:lang w:val="hy-AM"/>
        </w:rPr>
        <w:t>ծառայության</w:t>
      </w:r>
      <w:r>
        <w:rPr>
          <w:rFonts w:eastAsia="Calibri" w:cs="Times New Roman"/>
          <w:b/>
          <w:spacing w:val="-6"/>
          <w:lang w:val="hy-AM"/>
        </w:rPr>
        <w:t xml:space="preserve"> </w:t>
      </w:r>
      <w:r>
        <w:rPr>
          <w:rFonts w:eastAsia="Calibri" w:cs="GHEA Grapalat"/>
          <w:b/>
          <w:spacing w:val="-6"/>
          <w:lang w:val="hy-AM"/>
        </w:rPr>
        <w:t>մարմինների</w:t>
      </w:r>
      <w:r>
        <w:rPr>
          <w:rFonts w:eastAsia="Calibri" w:cs="Times New Roman"/>
          <w:b/>
          <w:spacing w:val="-6"/>
          <w:lang w:val="hy-AM"/>
        </w:rPr>
        <w:t xml:space="preserve"> </w:t>
      </w:r>
      <w:r>
        <w:rPr>
          <w:rFonts w:eastAsia="Calibri" w:cs="GHEA Grapalat"/>
          <w:b/>
          <w:spacing w:val="-6"/>
          <w:lang w:val="hy-AM"/>
        </w:rPr>
        <w:t>գործունեության</w:t>
      </w:r>
      <w:r>
        <w:rPr>
          <w:rFonts w:eastAsia="Calibri" w:cs="Times New Roman"/>
          <w:b/>
          <w:spacing w:val="-6"/>
          <w:lang w:val="hy-AM"/>
        </w:rPr>
        <w:t xml:space="preserve"> </w:t>
      </w:r>
      <w:r>
        <w:rPr>
          <w:rFonts w:eastAsia="Calibri" w:cs="GHEA Grapalat"/>
          <w:b/>
          <w:spacing w:val="-6"/>
          <w:lang w:val="hy-AM"/>
        </w:rPr>
        <w:t>կազմակերպում</w:t>
      </w:r>
      <w:r>
        <w:rPr>
          <w:rFonts w:eastAsia="Calibri" w:cs="Times New Roman"/>
          <w:b/>
          <w:spacing w:val="-6"/>
          <w:lang w:val="hy-AM"/>
        </w:rPr>
        <w:t xml:space="preserve"> </w:t>
      </w:r>
      <w:r>
        <w:rPr>
          <w:rFonts w:eastAsia="Calibri" w:cs="GHEA Grapalat"/>
          <w:b/>
          <w:spacing w:val="-6"/>
          <w:lang w:val="hy-AM"/>
        </w:rPr>
        <w:t>և</w:t>
      </w:r>
      <w:r>
        <w:rPr>
          <w:rFonts w:eastAsia="Calibri" w:cs="Times New Roman"/>
          <w:b/>
          <w:spacing w:val="-6"/>
          <w:lang w:val="hy-AM"/>
        </w:rPr>
        <w:t xml:space="preserve"> </w:t>
      </w:r>
      <w:r>
        <w:rPr>
          <w:rFonts w:eastAsia="Calibri" w:cs="GHEA Grapalat"/>
          <w:b/>
          <w:spacing w:val="-6"/>
          <w:lang w:val="hy-AM"/>
        </w:rPr>
        <w:t>իրականացում</w:t>
      </w:r>
      <w:r>
        <w:rPr>
          <w:rFonts w:eastAsia="Calibri" w:cs="Times New Roman"/>
          <w:b/>
          <w:spacing w:val="-6"/>
          <w:lang w:val="hy-AM"/>
        </w:rPr>
        <w:t xml:space="preserve"> </w:t>
      </w:r>
      <w:r>
        <w:rPr>
          <w:rFonts w:eastAsia="Calibri" w:cs="GHEA Grapalat"/>
          <w:b/>
          <w:spacing w:val="-6"/>
          <w:lang w:val="hy-AM"/>
        </w:rPr>
        <w:t>ծրագիր</w:t>
      </w:r>
      <w:r>
        <w:rPr>
          <w:rFonts w:eastAsia="Calibri" w:cs="Times New Roman"/>
          <w:b/>
          <w:spacing w:val="-6"/>
          <w:lang w:val="hy-AM"/>
        </w:rPr>
        <w:t>.</w:t>
      </w:r>
    </w:p>
    <w:p w14:paraId="493736F3" w14:textId="77777777" w:rsidR="00DA0E15" w:rsidRDefault="00362131" w:rsidP="00FA0954">
      <w:pPr>
        <w:spacing w:line="276" w:lineRule="auto"/>
        <w:rPr>
          <w:rFonts w:eastAsia="Calibri" w:cs="Times New Roman"/>
          <w:spacing w:val="-6"/>
          <w:lang w:val="hy-AM"/>
        </w:rPr>
      </w:pPr>
      <w:r>
        <w:rPr>
          <w:rFonts w:eastAsia="Calibri" w:cs="Times New Roman"/>
          <w:spacing w:val="-6"/>
          <w:lang w:val="hy-AM"/>
        </w:rPr>
        <w:t xml:space="preserve"> </w:t>
      </w:r>
      <w:r>
        <w:rPr>
          <w:rFonts w:eastAsia="Calibri" w:cs="Times New Roman"/>
          <w:spacing w:val="-6"/>
          <w:lang w:val="hy-AM"/>
        </w:rPr>
        <w:tab/>
      </w:r>
      <w:r w:rsidRPr="00FA0954">
        <w:rPr>
          <w:rFonts w:eastAsia="GHEA Grapalat" w:cs="GHEA Grapalat"/>
          <w:color w:val="1D2228"/>
          <w:lang w:val="hy-AM"/>
        </w:rPr>
        <w:t>Ծրագրի նպատակն է՝ ապահովել ՀՀ պաշտոնական ներկայությունն արտերկրում՝ նպաստելով ՀՀ ինքնիշխանության և շահերի պաշտպանությանը, Հայաստանի և Արցախի անվտանգության ապահովմանը, հակահայկական քարոզչության հակազդմանը, միջազգային և տարածաշրջանային գործընթացներին ՀՀ ներգրավվածության ավելացմանը, ՀՀ կայուն զարգացման և տնտեսական արդիականացման համար նպաստավոր պայմանների ձևավորմանը, արտերկրում ՀՀ քաղաքացիների և իրավաբանական անձանց շահերի պաշտպանությանը, որի ուղղությամբ 2022-2024թթ. նախատեսվում է յուրաքանչյուր տարի հատկացնել 12,782.1 մլն դրամ,</w:t>
      </w:r>
      <w:r>
        <w:rPr>
          <w:rFonts w:eastAsia="Calibri" w:cs="Times New Roman"/>
          <w:spacing w:val="-6"/>
          <w:lang w:val="hy-AM"/>
        </w:rPr>
        <w:t xml:space="preserve"> </w:t>
      </w:r>
    </w:p>
    <w:p w14:paraId="6643F6DF" w14:textId="77777777" w:rsidR="00DA0E15" w:rsidRDefault="00362131">
      <w:pPr>
        <w:spacing w:after="0" w:line="276" w:lineRule="auto"/>
        <w:ind w:firstLine="720"/>
        <w:contextualSpacing/>
        <w:rPr>
          <w:rFonts w:eastAsia="Calibri" w:cs="Times New Roman"/>
          <w:b/>
          <w:spacing w:val="-6"/>
          <w:lang w:val="hy-AM"/>
        </w:rPr>
      </w:pPr>
      <w:r>
        <w:rPr>
          <w:rFonts w:eastAsia="Calibri" w:cs="Times New Roman"/>
          <w:b/>
          <w:spacing w:val="-6"/>
          <w:lang w:val="hy-AM"/>
        </w:rPr>
        <w:t>4</w:t>
      </w:r>
      <w:r>
        <w:rPr>
          <w:rFonts w:ascii="MS Mincho" w:eastAsia="MS Mincho" w:hAnsi="MS Mincho" w:cs="MS Mincho" w:hint="eastAsia"/>
          <w:b/>
          <w:spacing w:val="-6"/>
          <w:lang w:val="hy-AM"/>
        </w:rPr>
        <w:t>․</w:t>
      </w:r>
      <w:r>
        <w:rPr>
          <w:rFonts w:eastAsia="Calibri" w:cs="Times New Roman"/>
          <w:b/>
          <w:spacing w:val="-6"/>
          <w:lang w:val="hy-AM"/>
        </w:rPr>
        <w:t xml:space="preserve"> </w:t>
      </w:r>
      <w:r>
        <w:rPr>
          <w:rFonts w:eastAsia="Calibri" w:cs="GHEA Grapalat"/>
          <w:b/>
          <w:spacing w:val="-6"/>
          <w:lang w:val="hy-AM"/>
        </w:rPr>
        <w:t>Միջազգային</w:t>
      </w:r>
      <w:r>
        <w:rPr>
          <w:rFonts w:eastAsia="Calibri" w:cs="Times New Roman"/>
          <w:b/>
          <w:spacing w:val="-6"/>
          <w:lang w:val="hy-AM"/>
        </w:rPr>
        <w:t xml:space="preserve"> </w:t>
      </w:r>
      <w:r>
        <w:rPr>
          <w:rFonts w:eastAsia="Calibri" w:cs="GHEA Grapalat"/>
          <w:b/>
          <w:spacing w:val="-6"/>
          <w:lang w:val="hy-AM"/>
        </w:rPr>
        <w:t>հարաբերությունների</w:t>
      </w:r>
      <w:r>
        <w:rPr>
          <w:rFonts w:eastAsia="Calibri" w:cs="Times New Roman"/>
          <w:b/>
          <w:spacing w:val="-6"/>
          <w:lang w:val="hy-AM"/>
        </w:rPr>
        <w:t xml:space="preserve"> </w:t>
      </w:r>
      <w:r>
        <w:rPr>
          <w:rFonts w:eastAsia="Calibri" w:cs="GHEA Grapalat"/>
          <w:b/>
          <w:spacing w:val="-6"/>
          <w:lang w:val="hy-AM"/>
        </w:rPr>
        <w:t>և</w:t>
      </w:r>
      <w:r>
        <w:rPr>
          <w:rFonts w:eastAsia="Calibri" w:cs="Times New Roman"/>
          <w:b/>
          <w:spacing w:val="-6"/>
          <w:lang w:val="hy-AM"/>
        </w:rPr>
        <w:t xml:space="preserve"> </w:t>
      </w:r>
      <w:r>
        <w:rPr>
          <w:rFonts w:eastAsia="Calibri" w:cs="GHEA Grapalat"/>
          <w:b/>
          <w:spacing w:val="-6"/>
          <w:lang w:val="hy-AM"/>
        </w:rPr>
        <w:t>դիվանագիտության</w:t>
      </w:r>
      <w:r>
        <w:rPr>
          <w:rFonts w:eastAsia="Calibri" w:cs="Times New Roman"/>
          <w:b/>
          <w:spacing w:val="-6"/>
          <w:lang w:val="hy-AM"/>
        </w:rPr>
        <w:t xml:space="preserve"> </w:t>
      </w:r>
      <w:r>
        <w:rPr>
          <w:rFonts w:eastAsia="Calibri" w:cs="GHEA Grapalat"/>
          <w:b/>
          <w:spacing w:val="-6"/>
          <w:lang w:val="hy-AM"/>
        </w:rPr>
        <w:t>ո</w:t>
      </w:r>
      <w:r>
        <w:rPr>
          <w:rFonts w:eastAsia="Calibri" w:cs="Times New Roman"/>
          <w:b/>
          <w:spacing w:val="-6"/>
          <w:lang w:val="hy-AM"/>
        </w:rPr>
        <w:t>լորտում մասնագետների պատրաստում և վերապատրաստում ծրագիր.</w:t>
      </w:r>
    </w:p>
    <w:p w14:paraId="5862A6BF" w14:textId="77777777" w:rsidR="00DA0E15" w:rsidRDefault="00362131" w:rsidP="00FA0954">
      <w:pPr>
        <w:spacing w:line="276" w:lineRule="auto"/>
        <w:rPr>
          <w:rFonts w:eastAsia="Calibri" w:cs="Times New Roman"/>
          <w:spacing w:val="-6"/>
          <w:lang w:val="hy-AM"/>
        </w:rPr>
      </w:pPr>
      <w:r>
        <w:rPr>
          <w:rFonts w:eastAsia="Calibri" w:cs="Times New Roman"/>
          <w:spacing w:val="-6"/>
          <w:lang w:val="hy-AM"/>
        </w:rPr>
        <w:t xml:space="preserve"> </w:t>
      </w:r>
      <w:r w:rsidRPr="00FA0954">
        <w:rPr>
          <w:rFonts w:eastAsia="GHEA Grapalat" w:cs="GHEA Grapalat"/>
          <w:color w:val="1D2228"/>
          <w:lang w:val="hy-AM"/>
        </w:rPr>
        <w:t>Ծրագրի նպատակն է՝  դիվանագիտական և պետական ծառայության արդյունավետության բարձրացումը, դիվանագիտական ծառայության համալրումը նոր և որակյալ մասնագետներով, պետական ծառայողների, այդ թվում` դիվանագիտական ծառայողների վերապատրաստումը, որի ուղղությամբ 2022-2024թթ. նախատեսվում է յուրաքանչյուր տարի հատկացնել 210.4 մլն դրամ,</w:t>
      </w:r>
      <w:r>
        <w:rPr>
          <w:rFonts w:eastAsia="Calibri" w:cs="Times New Roman"/>
          <w:spacing w:val="-6"/>
          <w:lang w:val="hy-AM"/>
        </w:rPr>
        <w:t xml:space="preserve"> </w:t>
      </w:r>
    </w:p>
    <w:p w14:paraId="5BA3D024" w14:textId="77777777" w:rsidR="00DA0E15" w:rsidRDefault="00362131">
      <w:pPr>
        <w:spacing w:after="0" w:line="276" w:lineRule="auto"/>
        <w:ind w:firstLine="720"/>
        <w:contextualSpacing/>
        <w:rPr>
          <w:rFonts w:eastAsia="Calibri" w:cs="Times New Roman"/>
          <w:b/>
          <w:spacing w:val="-6"/>
          <w:lang w:val="hy-AM"/>
        </w:rPr>
      </w:pPr>
      <w:r>
        <w:rPr>
          <w:rFonts w:eastAsia="Calibri" w:cs="Times New Roman"/>
          <w:b/>
          <w:spacing w:val="-6"/>
          <w:lang w:val="hy-AM"/>
        </w:rPr>
        <w:t>5</w:t>
      </w:r>
      <w:r>
        <w:rPr>
          <w:rFonts w:eastAsia="MS Mincho" w:cs="MS Mincho"/>
          <w:b/>
          <w:spacing w:val="-6"/>
          <w:lang w:val="hy-AM"/>
        </w:rPr>
        <w:t>.</w:t>
      </w:r>
      <w:r>
        <w:rPr>
          <w:rFonts w:eastAsia="Calibri" w:cs="Times New Roman"/>
          <w:b/>
          <w:spacing w:val="-6"/>
          <w:lang w:val="hy-AM"/>
        </w:rPr>
        <w:t xml:space="preserve"> </w:t>
      </w:r>
      <w:r>
        <w:rPr>
          <w:rFonts w:eastAsia="Calibri" w:cs="GHEA Grapalat"/>
          <w:b/>
          <w:spacing w:val="-6"/>
          <w:lang w:val="hy-AM"/>
        </w:rPr>
        <w:t>Հայաստանի</w:t>
      </w:r>
      <w:r>
        <w:rPr>
          <w:rFonts w:eastAsia="Calibri" w:cs="Times New Roman"/>
          <w:b/>
          <w:spacing w:val="-6"/>
          <w:lang w:val="hy-AM"/>
        </w:rPr>
        <w:t xml:space="preserve"> </w:t>
      </w:r>
      <w:r>
        <w:rPr>
          <w:rFonts w:eastAsia="Calibri" w:cs="GHEA Grapalat"/>
          <w:b/>
          <w:spacing w:val="-6"/>
          <w:lang w:val="hy-AM"/>
        </w:rPr>
        <w:t>Հանրապետությունում</w:t>
      </w:r>
      <w:r>
        <w:rPr>
          <w:rFonts w:eastAsia="Calibri" w:cs="Times New Roman"/>
          <w:b/>
          <w:spacing w:val="-6"/>
          <w:lang w:val="hy-AM"/>
        </w:rPr>
        <w:t xml:space="preserve"> </w:t>
      </w:r>
      <w:r>
        <w:rPr>
          <w:rFonts w:eastAsia="Calibri" w:cs="GHEA Grapalat"/>
          <w:b/>
          <w:spacing w:val="-6"/>
          <w:lang w:val="hy-AM"/>
        </w:rPr>
        <w:t>և</w:t>
      </w:r>
      <w:r>
        <w:rPr>
          <w:rFonts w:eastAsia="Calibri" w:cs="Times New Roman"/>
          <w:b/>
          <w:spacing w:val="-6"/>
          <w:lang w:val="hy-AM"/>
        </w:rPr>
        <w:t xml:space="preserve"> </w:t>
      </w:r>
      <w:r>
        <w:rPr>
          <w:rFonts w:eastAsia="Calibri" w:cs="GHEA Grapalat"/>
          <w:b/>
          <w:spacing w:val="-6"/>
          <w:lang w:val="hy-AM"/>
        </w:rPr>
        <w:t>օտարերկրյա</w:t>
      </w:r>
      <w:r>
        <w:rPr>
          <w:rFonts w:eastAsia="Calibri" w:cs="Times New Roman"/>
          <w:b/>
          <w:spacing w:val="-6"/>
          <w:lang w:val="hy-AM"/>
        </w:rPr>
        <w:t xml:space="preserve"> </w:t>
      </w:r>
      <w:r>
        <w:rPr>
          <w:rFonts w:eastAsia="Calibri" w:cs="GHEA Grapalat"/>
          <w:b/>
          <w:spacing w:val="-6"/>
          <w:lang w:val="hy-AM"/>
        </w:rPr>
        <w:t>պետություններում</w:t>
      </w:r>
      <w:r>
        <w:rPr>
          <w:rFonts w:eastAsia="Calibri" w:cs="Times New Roman"/>
          <w:b/>
          <w:spacing w:val="-6"/>
          <w:lang w:val="hy-AM"/>
        </w:rPr>
        <w:t xml:space="preserve"> </w:t>
      </w:r>
      <w:r>
        <w:rPr>
          <w:rFonts w:eastAsia="Calibri" w:cs="GHEA Grapalat"/>
          <w:b/>
          <w:spacing w:val="-6"/>
          <w:lang w:val="hy-AM"/>
        </w:rPr>
        <w:t>արարողակարգային</w:t>
      </w:r>
      <w:r>
        <w:rPr>
          <w:rFonts w:eastAsia="Calibri" w:cs="Times New Roman"/>
          <w:b/>
          <w:spacing w:val="-6"/>
          <w:lang w:val="hy-AM"/>
        </w:rPr>
        <w:t xml:space="preserve"> </w:t>
      </w:r>
      <w:r>
        <w:rPr>
          <w:rFonts w:eastAsia="Calibri" w:cs="GHEA Grapalat"/>
          <w:b/>
          <w:spacing w:val="-6"/>
          <w:lang w:val="hy-AM"/>
        </w:rPr>
        <w:t>միջոցառումների</w:t>
      </w:r>
      <w:r>
        <w:rPr>
          <w:rFonts w:eastAsia="Calibri" w:cs="Times New Roman"/>
          <w:b/>
          <w:spacing w:val="-6"/>
          <w:lang w:val="hy-AM"/>
        </w:rPr>
        <w:t xml:space="preserve"> </w:t>
      </w:r>
      <w:r>
        <w:rPr>
          <w:rFonts w:eastAsia="Calibri" w:cs="GHEA Grapalat"/>
          <w:b/>
          <w:spacing w:val="-6"/>
          <w:lang w:val="hy-AM"/>
        </w:rPr>
        <w:t>իրականացում</w:t>
      </w:r>
      <w:r>
        <w:rPr>
          <w:rFonts w:eastAsia="Calibri" w:cs="Times New Roman"/>
          <w:b/>
          <w:spacing w:val="-6"/>
          <w:lang w:val="hy-AM"/>
        </w:rPr>
        <w:t xml:space="preserve"> </w:t>
      </w:r>
      <w:r>
        <w:rPr>
          <w:rFonts w:eastAsia="Calibri" w:cs="GHEA Grapalat"/>
          <w:b/>
          <w:spacing w:val="-6"/>
          <w:lang w:val="hy-AM"/>
        </w:rPr>
        <w:t>ծրագիր</w:t>
      </w:r>
      <w:r>
        <w:rPr>
          <w:rFonts w:eastAsia="Calibri" w:cs="Times New Roman"/>
          <w:b/>
          <w:spacing w:val="-6"/>
          <w:lang w:val="hy-AM"/>
        </w:rPr>
        <w:t>.</w:t>
      </w:r>
    </w:p>
    <w:p w14:paraId="3674DE5A" w14:textId="77777777" w:rsidR="00DA0E15" w:rsidRDefault="00362131">
      <w:pPr>
        <w:spacing w:after="0" w:line="276" w:lineRule="auto"/>
        <w:ind w:firstLine="720"/>
        <w:contextualSpacing/>
        <w:rPr>
          <w:rFonts w:eastAsia="Calibri" w:cs="Times New Roman"/>
          <w:spacing w:val="-6"/>
          <w:lang w:val="hy-AM"/>
        </w:rPr>
      </w:pPr>
      <w:r>
        <w:rPr>
          <w:rFonts w:eastAsia="Calibri" w:cs="Times New Roman"/>
          <w:spacing w:val="-6"/>
          <w:lang w:val="hy-AM"/>
        </w:rPr>
        <w:t xml:space="preserve">Ծրագրի նպատակն է՝  Հայաստանի Հանրապետությունում և ՀՀ միջազգային հարաբերություններում պետական արարողակարգային կանոնների միասնական կիրառումն ու ապահովումը, ինչպես նաև միջազգային արարողակարգային չափանիշներին համապատասխան միջոցառումների կազմակերպումն ու իրականացումը, որի ուղղությամբ 2022-2024թթ. նախատեսվում է հատկացնել համապատասխանաբար՝ 183.6 մլն դրամ, 184.7 մլն դրամ և 185.8 մլն դրամ: </w:t>
      </w:r>
    </w:p>
    <w:p w14:paraId="2E069ECA" w14:textId="77777777" w:rsidR="005E0C21" w:rsidRDefault="005E0C21">
      <w:pPr>
        <w:spacing w:after="0" w:line="276" w:lineRule="auto"/>
        <w:ind w:firstLine="720"/>
        <w:contextualSpacing/>
        <w:rPr>
          <w:rFonts w:eastAsia="Calibri" w:cs="Times New Roman"/>
          <w:spacing w:val="-6"/>
          <w:lang w:val="hy-AM"/>
        </w:rPr>
      </w:pPr>
    </w:p>
    <w:p w14:paraId="3C830467" w14:textId="11D1E3EC" w:rsidR="00DA0E15" w:rsidRDefault="00362131">
      <w:pPr>
        <w:spacing w:after="0" w:line="276" w:lineRule="auto"/>
        <w:ind w:firstLine="720"/>
        <w:contextualSpacing/>
        <w:rPr>
          <w:rFonts w:eastAsia="Calibri" w:cs="Times New Roman"/>
          <w:spacing w:val="-6"/>
          <w:lang w:val="hy-AM"/>
        </w:rPr>
      </w:pPr>
      <w:r>
        <w:rPr>
          <w:rFonts w:eastAsia="Calibri" w:cs="Times New Roman"/>
          <w:spacing w:val="-6"/>
          <w:lang w:val="hy-AM"/>
        </w:rPr>
        <w:t>Ստորև ներկայացված են արտաքին քաղաքականության ոլորտի 2022-2024թթ</w:t>
      </w:r>
      <w:r>
        <w:rPr>
          <w:rFonts w:eastAsia="Calibri" w:cs="Cambria Math"/>
          <w:spacing w:val="-6"/>
          <w:lang w:val="hy-AM"/>
        </w:rPr>
        <w:t>.</w:t>
      </w:r>
      <w:r>
        <w:rPr>
          <w:rFonts w:eastAsia="Calibri" w:cs="Times New Roman"/>
          <w:spacing w:val="-6"/>
          <w:lang w:val="hy-AM"/>
        </w:rPr>
        <w:t xml:space="preserve"> յուրաքանչյուր տարվա համար նախատեսված չափաքանակները. </w:t>
      </w:r>
    </w:p>
    <w:p w14:paraId="3C219865" w14:textId="77777777" w:rsidR="005E0C21" w:rsidRDefault="005E0C21">
      <w:pPr>
        <w:spacing w:after="0" w:line="276" w:lineRule="auto"/>
        <w:ind w:firstLine="720"/>
        <w:contextualSpacing/>
        <w:rPr>
          <w:rFonts w:eastAsia="Calibri" w:cs="Times New Roman"/>
          <w:spacing w:val="-6"/>
          <w:lang w:val="hy-AM"/>
        </w:rPr>
      </w:pPr>
    </w:p>
    <w:p w14:paraId="094CB7DE" w14:textId="77777777" w:rsidR="00DA0E15" w:rsidRDefault="00362131">
      <w:pPr>
        <w:spacing w:after="0" w:line="276" w:lineRule="auto"/>
        <w:ind w:firstLine="720"/>
        <w:contextualSpacing/>
        <w:rPr>
          <w:rFonts w:eastAsia="Calibri" w:cs="Times New Roman"/>
          <w:spacing w:val="-6"/>
          <w:lang w:val="hy-AM"/>
        </w:rPr>
      </w:pPr>
      <w:r>
        <w:rPr>
          <w:rFonts w:eastAsia="Calibri" w:cs="Times New Roman"/>
          <w:spacing w:val="-6"/>
          <w:lang w:val="hy-AM"/>
        </w:rPr>
        <w:t>2022 թվականի համար՝   17,558.0 մլն դրամ,</w:t>
      </w:r>
    </w:p>
    <w:p w14:paraId="5F3667F5" w14:textId="77777777" w:rsidR="00DA0E15" w:rsidRDefault="00362131">
      <w:pPr>
        <w:spacing w:after="0" w:line="276" w:lineRule="auto"/>
        <w:ind w:firstLine="720"/>
        <w:contextualSpacing/>
        <w:rPr>
          <w:rFonts w:eastAsia="Calibri" w:cs="Times New Roman"/>
          <w:spacing w:val="-6"/>
          <w:lang w:val="hy-AM"/>
        </w:rPr>
      </w:pPr>
      <w:r>
        <w:rPr>
          <w:rFonts w:eastAsia="Calibri" w:cs="Times New Roman"/>
          <w:spacing w:val="-6"/>
          <w:lang w:val="hy-AM"/>
        </w:rPr>
        <w:t>2023 թվականի համար՝   17,572.7 մլն դրամ,</w:t>
      </w:r>
    </w:p>
    <w:p w14:paraId="453F1791" w14:textId="77777777" w:rsidR="00DA0E15" w:rsidRDefault="00362131">
      <w:pPr>
        <w:spacing w:after="0" w:line="276" w:lineRule="auto"/>
        <w:ind w:firstLine="720"/>
        <w:contextualSpacing/>
        <w:rPr>
          <w:rFonts w:eastAsia="Calibri" w:cs="Times New Roman"/>
          <w:spacing w:val="-6"/>
          <w:lang w:val="hy-AM"/>
        </w:rPr>
      </w:pPr>
      <w:r>
        <w:rPr>
          <w:rFonts w:eastAsia="Calibri" w:cs="Times New Roman"/>
          <w:spacing w:val="-6"/>
          <w:lang w:val="hy-AM"/>
        </w:rPr>
        <w:t>2024 թվականի համար՝   17,590.8 մլն դրամ:</w:t>
      </w:r>
    </w:p>
    <w:p w14:paraId="2077EF4B" w14:textId="77777777" w:rsidR="00DA0E15" w:rsidRDefault="00362131">
      <w:pPr>
        <w:spacing w:before="0" w:after="200" w:line="276" w:lineRule="auto"/>
        <w:ind w:firstLine="0"/>
        <w:jc w:val="left"/>
        <w:rPr>
          <w:rFonts w:eastAsia="Calibri"/>
          <w:spacing w:val="-6"/>
          <w:lang w:val="hy-AM"/>
        </w:rPr>
      </w:pPr>
      <w:r>
        <w:rPr>
          <w:spacing w:val="-6"/>
          <w:lang w:val="hy-AM"/>
        </w:rPr>
        <w:br w:type="page"/>
      </w:r>
    </w:p>
    <w:p w14:paraId="3423CD04" w14:textId="77777777" w:rsidR="00DA0E15" w:rsidRDefault="00362131">
      <w:pPr>
        <w:pStyle w:val="Heading3"/>
        <w:spacing w:before="0" w:after="120" w:line="276" w:lineRule="auto"/>
        <w:jc w:val="both"/>
        <w:rPr>
          <w:rFonts w:eastAsia="Times New Roman" w:cs="Times New Roman"/>
          <w:caps w:val="0"/>
          <w:color w:val="1F497D" w:themeColor="text2"/>
          <w:sz w:val="28"/>
          <w:szCs w:val="28"/>
        </w:rPr>
      </w:pPr>
      <w:bookmarkStart w:id="625" w:name="_Toc77837880"/>
      <w:r>
        <w:rPr>
          <w:rFonts w:eastAsia="Times New Roman" w:cs="Times New Roman"/>
          <w:caps w:val="0"/>
          <w:color w:val="1F497D" w:themeColor="text2"/>
          <w:sz w:val="28"/>
          <w:szCs w:val="28"/>
        </w:rPr>
        <w:t>1</w:t>
      </w:r>
      <w:r w:rsidR="00DE2043" w:rsidRPr="00FA0954">
        <w:rPr>
          <w:rFonts w:eastAsia="Times New Roman" w:cs="Times New Roman"/>
          <w:caps w:val="0"/>
          <w:color w:val="1F497D" w:themeColor="text2"/>
          <w:sz w:val="28"/>
          <w:szCs w:val="28"/>
        </w:rPr>
        <w:t>1</w:t>
      </w:r>
      <w:r>
        <w:rPr>
          <w:rFonts w:eastAsia="Times New Roman" w:cs="Times New Roman"/>
          <w:caps w:val="0"/>
          <w:color w:val="1F497D" w:themeColor="text2"/>
          <w:sz w:val="28"/>
          <w:szCs w:val="28"/>
        </w:rPr>
        <w:t>. ՖԻՆԱՆՍՆԵՐ</w:t>
      </w:r>
      <w:bookmarkEnd w:id="623"/>
      <w:bookmarkEnd w:id="624"/>
      <w:bookmarkEnd w:id="625"/>
    </w:p>
    <w:p w14:paraId="5C7CD1D7" w14:textId="77777777" w:rsidR="00DA0E15" w:rsidRDefault="00362131">
      <w:pPr>
        <w:spacing w:after="100" w:afterAutospacing="1" w:line="276" w:lineRule="auto"/>
        <w:ind w:firstLine="720"/>
        <w:rPr>
          <w:rFonts w:cs="Sylfaen"/>
          <w:kern w:val="16"/>
          <w:lang w:val="hy-AM"/>
        </w:rPr>
      </w:pPr>
      <w:r>
        <w:rPr>
          <w:rFonts w:cs="Sylfaen"/>
          <w:kern w:val="16"/>
          <w:lang w:val="hy-AM"/>
        </w:rPr>
        <w:t>Առաջիկա տարիներին ֆինանսների ոլորտում հիմնական նպատակը լինելու է կառավարության միասնական պետական քաղաքականության ապահովումը, պետական ֆինանսների և պետական պարտքի արդյունավետ կառավարումը, հարկաբյուջետային քաղաքականության մշակումը և իրականացման ապահովումը, ներառյալ՝ բյուջետային գործընթացի կառավարումը, պետական գնումների արդյունավետության բարձրացմանն ուղղված շարունակական բարեփոխումների իրականացումը։</w:t>
      </w:r>
    </w:p>
    <w:p w14:paraId="3B8B1892" w14:textId="77777777" w:rsidR="00DA0E15" w:rsidRDefault="00362131">
      <w:pPr>
        <w:shd w:val="clear" w:color="auto" w:fill="FFFFFF"/>
        <w:spacing w:after="0" w:line="276" w:lineRule="auto"/>
        <w:rPr>
          <w:rFonts w:cs="Sylfaen"/>
          <w:b/>
          <w:kern w:val="16"/>
          <w:lang w:val="hy-AM"/>
        </w:rPr>
      </w:pPr>
      <w:r>
        <w:rPr>
          <w:rFonts w:cs="Sylfaen"/>
          <w:b/>
          <w:kern w:val="16"/>
          <w:lang w:val="hy-AM"/>
        </w:rPr>
        <w:t>ՈԼՈՐՏԱՅԻՆ ԾԱԽՍԱՅԻՆ ԾՐԱԳՐԵՐԸ</w:t>
      </w:r>
    </w:p>
    <w:p w14:paraId="623A6F5B" w14:textId="77777777" w:rsidR="00DA0E15" w:rsidRDefault="00362131">
      <w:pPr>
        <w:spacing w:line="276" w:lineRule="auto"/>
        <w:rPr>
          <w:rFonts w:cs="Sylfaen"/>
          <w:kern w:val="16"/>
          <w:lang w:val="hy-AM"/>
        </w:rPr>
      </w:pPr>
      <w:r>
        <w:rPr>
          <w:rFonts w:cs="Sylfaen"/>
          <w:kern w:val="16"/>
          <w:lang w:val="hy-AM"/>
        </w:rPr>
        <w:t>«Պետական պարտքի կառավարում» ծրագրի նպատակն է կառավարության ֆինանսական կարիքների բավարարման մշտական հնարավորության ապահովումը՝ երկարաժամկետ հատվածում նվազեցնելով պարտքի սպասարկման մեծությունը: Ծրագրի վերջնական արդյունքն է կառավարության պարտքի օպտիմալ կառուցվածքի ձևավորումը՝ հաշվի առնելով պոտենցիալ ռիսկերը, որի ուղղությամբ 202</w:t>
      </w:r>
      <w:r w:rsidR="005410CA" w:rsidRPr="009B6F49">
        <w:rPr>
          <w:rFonts w:cs="Sylfaen"/>
          <w:kern w:val="16"/>
          <w:lang w:val="hy-AM"/>
        </w:rPr>
        <w:t>2</w:t>
      </w:r>
      <w:r>
        <w:rPr>
          <w:rFonts w:cs="Sylfaen"/>
          <w:kern w:val="16"/>
          <w:lang w:val="hy-AM"/>
        </w:rPr>
        <w:t>-202</w:t>
      </w:r>
      <w:r w:rsidR="005410CA" w:rsidRPr="009B6F49">
        <w:rPr>
          <w:rFonts w:cs="Sylfaen"/>
          <w:kern w:val="16"/>
          <w:lang w:val="hy-AM"/>
        </w:rPr>
        <w:t>4</w:t>
      </w:r>
      <w:r>
        <w:rPr>
          <w:rFonts w:cs="Sylfaen"/>
          <w:kern w:val="16"/>
          <w:lang w:val="hy-AM"/>
        </w:rPr>
        <w:t xml:space="preserve">թթ. նախատեսվում է հատկացնել համապատասխանաբար՝ </w:t>
      </w:r>
      <w:r w:rsidR="00FA72BA" w:rsidRPr="00FA72BA">
        <w:rPr>
          <w:rFonts w:cs="Sylfaen"/>
          <w:kern w:val="16"/>
          <w:lang w:val="hy-AM"/>
        </w:rPr>
        <w:t>21</w:t>
      </w:r>
      <w:r w:rsidRPr="00FA72BA">
        <w:rPr>
          <w:rFonts w:cs="Sylfaen"/>
          <w:kern w:val="16"/>
          <w:lang w:val="hy-AM"/>
        </w:rPr>
        <w:t>5,</w:t>
      </w:r>
      <w:r w:rsidR="00FA72BA" w:rsidRPr="00FA72BA">
        <w:rPr>
          <w:rFonts w:cs="Sylfaen"/>
          <w:kern w:val="16"/>
          <w:lang w:val="hy-AM"/>
        </w:rPr>
        <w:t>720</w:t>
      </w:r>
      <w:r w:rsidRPr="00FA72BA">
        <w:rPr>
          <w:rFonts w:cs="Sylfaen"/>
          <w:kern w:val="16"/>
          <w:lang w:val="hy-AM"/>
        </w:rPr>
        <w:t>.1</w:t>
      </w:r>
      <w:r>
        <w:rPr>
          <w:rFonts w:cs="Sylfaen"/>
          <w:kern w:val="16"/>
          <w:lang w:val="hy-AM"/>
        </w:rPr>
        <w:t xml:space="preserve"> մլն դրամ, </w:t>
      </w:r>
      <w:r w:rsidRPr="00FA72BA">
        <w:rPr>
          <w:rFonts w:cs="Sylfaen"/>
          <w:kern w:val="16"/>
          <w:lang w:val="hy-AM"/>
        </w:rPr>
        <w:t>2</w:t>
      </w:r>
      <w:r w:rsidR="00FA72BA" w:rsidRPr="00FA72BA">
        <w:rPr>
          <w:rFonts w:cs="Sylfaen"/>
          <w:kern w:val="16"/>
          <w:lang w:val="hy-AM"/>
        </w:rPr>
        <w:t>43</w:t>
      </w:r>
      <w:r w:rsidRPr="00FA72BA">
        <w:rPr>
          <w:rFonts w:cs="Sylfaen"/>
          <w:kern w:val="16"/>
          <w:lang w:val="hy-AM"/>
        </w:rPr>
        <w:t>,</w:t>
      </w:r>
      <w:r w:rsidR="00FA72BA" w:rsidRPr="00FA72BA">
        <w:rPr>
          <w:rFonts w:cs="Sylfaen"/>
          <w:kern w:val="16"/>
          <w:lang w:val="hy-AM"/>
        </w:rPr>
        <w:t>468</w:t>
      </w:r>
      <w:r w:rsidRPr="00FA72BA">
        <w:rPr>
          <w:rFonts w:cs="Sylfaen"/>
          <w:kern w:val="16"/>
          <w:lang w:val="hy-AM"/>
        </w:rPr>
        <w:t>.</w:t>
      </w:r>
      <w:r w:rsidR="00FA72BA" w:rsidRPr="00FA72BA">
        <w:rPr>
          <w:rFonts w:cs="Sylfaen"/>
          <w:kern w:val="16"/>
          <w:lang w:val="hy-AM"/>
        </w:rPr>
        <w:t>2</w:t>
      </w:r>
      <w:r>
        <w:rPr>
          <w:rFonts w:cs="Sylfaen"/>
          <w:kern w:val="16"/>
          <w:lang w:val="hy-AM"/>
        </w:rPr>
        <w:t xml:space="preserve"> մլն դրամ և </w:t>
      </w:r>
      <w:r w:rsidRPr="00FA72BA">
        <w:rPr>
          <w:rFonts w:cs="Sylfaen"/>
          <w:kern w:val="16"/>
          <w:lang w:val="hy-AM"/>
        </w:rPr>
        <w:t>26</w:t>
      </w:r>
      <w:r w:rsidR="00FA72BA" w:rsidRPr="00FA72BA">
        <w:rPr>
          <w:rFonts w:cs="Sylfaen"/>
          <w:kern w:val="16"/>
          <w:lang w:val="hy-AM"/>
        </w:rPr>
        <w:t>8</w:t>
      </w:r>
      <w:r w:rsidRPr="00FA72BA">
        <w:rPr>
          <w:rFonts w:cs="Sylfaen"/>
          <w:kern w:val="16"/>
          <w:lang w:val="hy-AM"/>
        </w:rPr>
        <w:t>,</w:t>
      </w:r>
      <w:r w:rsidR="00FA72BA" w:rsidRPr="00FA72BA">
        <w:rPr>
          <w:rFonts w:cs="Sylfaen"/>
          <w:kern w:val="16"/>
          <w:lang w:val="hy-AM"/>
        </w:rPr>
        <w:t>0</w:t>
      </w:r>
      <w:r w:rsidRPr="00FA72BA">
        <w:rPr>
          <w:rFonts w:cs="Sylfaen"/>
          <w:kern w:val="16"/>
          <w:lang w:val="hy-AM"/>
        </w:rPr>
        <w:t>6</w:t>
      </w:r>
      <w:r w:rsidR="00FA72BA" w:rsidRPr="00FA72BA">
        <w:rPr>
          <w:rFonts w:cs="Sylfaen"/>
          <w:kern w:val="16"/>
          <w:lang w:val="hy-AM"/>
        </w:rPr>
        <w:t>2</w:t>
      </w:r>
      <w:r w:rsidRPr="00FA72BA">
        <w:rPr>
          <w:rFonts w:cs="Sylfaen"/>
          <w:kern w:val="16"/>
          <w:lang w:val="hy-AM"/>
        </w:rPr>
        <w:t>.1</w:t>
      </w:r>
      <w:r>
        <w:rPr>
          <w:rFonts w:cs="Sylfaen"/>
          <w:kern w:val="16"/>
          <w:lang w:val="hy-AM"/>
        </w:rPr>
        <w:t xml:space="preserve"> մլն դրամ:</w:t>
      </w:r>
    </w:p>
    <w:p w14:paraId="76CED97C" w14:textId="77777777" w:rsidR="00DA0E15" w:rsidRDefault="00362131">
      <w:pPr>
        <w:shd w:val="clear" w:color="auto" w:fill="FFFFFF"/>
        <w:spacing w:line="276" w:lineRule="auto"/>
        <w:rPr>
          <w:lang w:val="hy-AM"/>
        </w:rPr>
      </w:pPr>
      <w:r>
        <w:rPr>
          <w:rFonts w:cs="Sylfaen"/>
          <w:kern w:val="16"/>
          <w:lang w:val="hy-AM"/>
        </w:rPr>
        <w:t>«Հանրային հատվածի ֆինանսական ոլորտի մասնագետների վերապատրաստում» ծրագրի նպատակն է հանրային հատվածի ֆինանսական ոլորտի մասնագետների աշխատանքի  արդյունավետության բարելավումը, հանրային ֆինանսների կառավարման նոր գիտելիքների և փորձի յուրացումը: Նախատեսվում է, որ ծրագրի շրջանակներում շարունակական վերապատրաստում կանցնեն և արդյունքում կապահովվի որակավորված ներքին աուդիտորների, ֆինանսական և ծրագրային մասնագետների, ինչպես նաև գնումների համակարգողների ամբողջական ընդգրկվածություն համապատասխան վերապատրաստման միջոցառումներում, որի ուղղությամբ 202</w:t>
      </w:r>
      <w:r w:rsidR="009F6F3A" w:rsidRPr="009B6F49">
        <w:rPr>
          <w:rFonts w:cs="Sylfaen"/>
          <w:kern w:val="16"/>
          <w:lang w:val="hy-AM"/>
        </w:rPr>
        <w:t>2</w:t>
      </w:r>
      <w:r>
        <w:rPr>
          <w:rFonts w:cs="Sylfaen"/>
          <w:kern w:val="16"/>
          <w:lang w:val="hy-AM"/>
        </w:rPr>
        <w:t>-202</w:t>
      </w:r>
      <w:r w:rsidR="009F6F3A" w:rsidRPr="009B6F49">
        <w:rPr>
          <w:rFonts w:cs="Sylfaen"/>
          <w:kern w:val="16"/>
          <w:lang w:val="hy-AM"/>
        </w:rPr>
        <w:t>4</w:t>
      </w:r>
      <w:r>
        <w:rPr>
          <w:rFonts w:cs="Sylfaen"/>
          <w:kern w:val="16"/>
          <w:lang w:val="hy-AM"/>
        </w:rPr>
        <w:t xml:space="preserve">թթ. նախատեսվում է հատկացնել համապատասխանաբար՝ </w:t>
      </w:r>
      <w:r w:rsidR="00FA72BA" w:rsidRPr="00FA72BA">
        <w:rPr>
          <w:rFonts w:cs="Sylfaen"/>
          <w:kern w:val="16"/>
          <w:lang w:val="hy-AM"/>
        </w:rPr>
        <w:t>22</w:t>
      </w:r>
      <w:r w:rsidRPr="00FA72BA">
        <w:rPr>
          <w:rFonts w:cs="Sylfaen"/>
          <w:kern w:val="16"/>
          <w:lang w:val="hy-AM"/>
        </w:rPr>
        <w:t>.</w:t>
      </w:r>
      <w:r w:rsidR="00FA72BA" w:rsidRPr="00FA72BA">
        <w:rPr>
          <w:rFonts w:cs="Sylfaen"/>
          <w:kern w:val="16"/>
          <w:lang w:val="hy-AM"/>
        </w:rPr>
        <w:t>1</w:t>
      </w:r>
      <w:r w:rsidRPr="00FA72BA">
        <w:rPr>
          <w:rFonts w:cs="Sylfaen"/>
          <w:kern w:val="16"/>
          <w:lang w:val="hy-AM"/>
        </w:rPr>
        <w:t xml:space="preserve"> մլն դրամ, 32.</w:t>
      </w:r>
      <w:r w:rsidR="00FA72BA" w:rsidRPr="00FA72BA">
        <w:rPr>
          <w:rFonts w:cs="Sylfaen"/>
          <w:kern w:val="16"/>
          <w:lang w:val="hy-AM"/>
        </w:rPr>
        <w:t>1</w:t>
      </w:r>
      <w:r w:rsidRPr="00FA72BA">
        <w:rPr>
          <w:rFonts w:cs="Sylfaen"/>
          <w:kern w:val="16"/>
          <w:lang w:val="hy-AM"/>
        </w:rPr>
        <w:t xml:space="preserve"> մլն դրամ և 3</w:t>
      </w:r>
      <w:r w:rsidR="00FA72BA" w:rsidRPr="00FA72BA">
        <w:rPr>
          <w:rFonts w:cs="Sylfaen"/>
          <w:kern w:val="16"/>
          <w:lang w:val="hy-AM"/>
        </w:rPr>
        <w:t>2</w:t>
      </w:r>
      <w:r w:rsidRPr="00FA72BA">
        <w:rPr>
          <w:rFonts w:cs="Sylfaen"/>
          <w:kern w:val="16"/>
          <w:lang w:val="hy-AM"/>
        </w:rPr>
        <w:t>.</w:t>
      </w:r>
      <w:r w:rsidR="00FA72BA" w:rsidRPr="00FA72BA">
        <w:rPr>
          <w:rFonts w:cs="Sylfaen"/>
          <w:kern w:val="16"/>
          <w:lang w:val="hy-AM"/>
        </w:rPr>
        <w:t>8</w:t>
      </w:r>
      <w:r w:rsidRPr="00FA72BA">
        <w:rPr>
          <w:rFonts w:cs="Sylfaen"/>
          <w:kern w:val="16"/>
          <w:lang w:val="hy-AM"/>
        </w:rPr>
        <w:t xml:space="preserve"> մլն</w:t>
      </w:r>
      <w:r>
        <w:rPr>
          <w:rFonts w:cs="Sylfaen"/>
          <w:kern w:val="16"/>
          <w:lang w:val="hy-AM"/>
        </w:rPr>
        <w:t xml:space="preserve"> դրամ:   </w:t>
      </w:r>
    </w:p>
    <w:p w14:paraId="787A6BAB" w14:textId="77777777" w:rsidR="00DA0E15" w:rsidRDefault="00362131">
      <w:pPr>
        <w:spacing w:line="276" w:lineRule="auto"/>
        <w:rPr>
          <w:rFonts w:cs="Sylfaen"/>
          <w:kern w:val="16"/>
          <w:lang w:val="hy-AM"/>
        </w:rPr>
      </w:pPr>
      <w:r>
        <w:rPr>
          <w:rFonts w:cs="Sylfaen"/>
          <w:kern w:val="16"/>
          <w:lang w:val="hy-AM"/>
        </w:rPr>
        <w:t>«Հանրային ֆինանսների կառավարման բնագավառում պետական քաղաքականության մշակում, ծրագրերի համակարգում և մոնիտորինգ»</w:t>
      </w:r>
      <w:r>
        <w:rPr>
          <w:lang w:val="hy-AM"/>
        </w:rPr>
        <w:t xml:space="preserve"> </w:t>
      </w:r>
      <w:r>
        <w:rPr>
          <w:rFonts w:cs="Sylfaen"/>
          <w:kern w:val="16"/>
          <w:lang w:val="hy-AM"/>
        </w:rPr>
        <w:t>ծրագրի նպատակն է</w:t>
      </w:r>
      <w:r>
        <w:rPr>
          <w:lang w:val="hy-AM"/>
        </w:rPr>
        <w:t xml:space="preserve"> </w:t>
      </w:r>
      <w:r>
        <w:rPr>
          <w:rFonts w:cs="Sylfaen"/>
          <w:kern w:val="16"/>
          <w:lang w:val="hy-AM"/>
        </w:rPr>
        <w:t>հարկաբյուջետային քաղաքականության մշակումը և իրականացման ապահովումը, հանրային ֆինանսների արդյունավետ կառավարումը, որի ուղղությամբ 202</w:t>
      </w:r>
      <w:r w:rsidR="001276B1" w:rsidRPr="009B6F49">
        <w:rPr>
          <w:rFonts w:cs="Sylfaen"/>
          <w:kern w:val="16"/>
          <w:lang w:val="hy-AM"/>
        </w:rPr>
        <w:t>2</w:t>
      </w:r>
      <w:r>
        <w:rPr>
          <w:rFonts w:cs="Sylfaen"/>
          <w:kern w:val="16"/>
          <w:lang w:val="hy-AM"/>
        </w:rPr>
        <w:t>-202</w:t>
      </w:r>
      <w:r w:rsidR="001276B1" w:rsidRPr="009B6F49">
        <w:rPr>
          <w:rFonts w:cs="Sylfaen"/>
          <w:kern w:val="16"/>
          <w:lang w:val="hy-AM"/>
        </w:rPr>
        <w:t>4</w:t>
      </w:r>
      <w:r>
        <w:rPr>
          <w:rFonts w:cs="Sylfaen"/>
          <w:kern w:val="16"/>
          <w:lang w:val="hy-AM"/>
        </w:rPr>
        <w:t>թթ. նախատեսվում է հատկացնել համապատասխանաբար</w:t>
      </w:r>
      <w:r w:rsidRPr="00B038A4">
        <w:rPr>
          <w:rFonts w:cs="Sylfaen"/>
          <w:kern w:val="16"/>
          <w:lang w:val="hy-AM"/>
        </w:rPr>
        <w:t>՝ 2,</w:t>
      </w:r>
      <w:r w:rsidR="00B038A4" w:rsidRPr="00B038A4">
        <w:rPr>
          <w:rFonts w:cs="Sylfaen"/>
          <w:kern w:val="16"/>
          <w:lang w:val="hy-AM"/>
        </w:rPr>
        <w:t>541</w:t>
      </w:r>
      <w:r w:rsidRPr="00B038A4">
        <w:rPr>
          <w:rFonts w:cs="Sylfaen"/>
          <w:kern w:val="16"/>
          <w:lang w:val="hy-AM"/>
        </w:rPr>
        <w:t>.</w:t>
      </w:r>
      <w:r w:rsidR="00B038A4" w:rsidRPr="00B038A4">
        <w:rPr>
          <w:rFonts w:cs="Sylfaen"/>
          <w:kern w:val="16"/>
          <w:lang w:val="hy-AM"/>
        </w:rPr>
        <w:t>1</w:t>
      </w:r>
      <w:r w:rsidRPr="00B038A4">
        <w:rPr>
          <w:rFonts w:cs="Sylfaen"/>
          <w:kern w:val="16"/>
          <w:lang w:val="hy-AM"/>
        </w:rPr>
        <w:t xml:space="preserve"> մլն դրամ, 2,</w:t>
      </w:r>
      <w:r w:rsidR="00B038A4" w:rsidRPr="00B038A4">
        <w:rPr>
          <w:rFonts w:cs="Sylfaen"/>
          <w:kern w:val="16"/>
          <w:lang w:val="hy-AM"/>
        </w:rPr>
        <w:t>564</w:t>
      </w:r>
      <w:r w:rsidRPr="00B038A4">
        <w:rPr>
          <w:rFonts w:cs="Sylfaen"/>
          <w:kern w:val="16"/>
          <w:lang w:val="hy-AM"/>
        </w:rPr>
        <w:t>.</w:t>
      </w:r>
      <w:r w:rsidR="00B038A4" w:rsidRPr="00B038A4">
        <w:rPr>
          <w:rFonts w:cs="Sylfaen"/>
          <w:kern w:val="16"/>
          <w:lang w:val="hy-AM"/>
        </w:rPr>
        <w:t>7</w:t>
      </w:r>
      <w:r w:rsidRPr="00B038A4">
        <w:rPr>
          <w:rFonts w:cs="Sylfaen"/>
          <w:kern w:val="16"/>
          <w:lang w:val="hy-AM"/>
        </w:rPr>
        <w:t xml:space="preserve"> մլն դրամ և 2,</w:t>
      </w:r>
      <w:r w:rsidR="00B038A4" w:rsidRPr="00B038A4">
        <w:rPr>
          <w:rFonts w:cs="Sylfaen"/>
          <w:kern w:val="16"/>
          <w:lang w:val="hy-AM"/>
        </w:rPr>
        <w:t>588</w:t>
      </w:r>
      <w:r w:rsidRPr="00B038A4">
        <w:rPr>
          <w:rFonts w:cs="Sylfaen"/>
          <w:kern w:val="16"/>
          <w:lang w:val="hy-AM"/>
        </w:rPr>
        <w:t>.</w:t>
      </w:r>
      <w:r w:rsidR="00B038A4" w:rsidRPr="00B038A4">
        <w:rPr>
          <w:rFonts w:cs="Sylfaen"/>
          <w:kern w:val="16"/>
          <w:lang w:val="hy-AM"/>
        </w:rPr>
        <w:t>5</w:t>
      </w:r>
      <w:r w:rsidRPr="00B038A4">
        <w:rPr>
          <w:rFonts w:cs="Sylfaen"/>
          <w:kern w:val="16"/>
          <w:lang w:val="hy-AM"/>
        </w:rPr>
        <w:t xml:space="preserve"> մլն դ</w:t>
      </w:r>
      <w:r>
        <w:rPr>
          <w:rFonts w:cs="Sylfaen"/>
          <w:kern w:val="16"/>
          <w:lang w:val="hy-AM"/>
        </w:rPr>
        <w:t>րամ:</w:t>
      </w:r>
    </w:p>
    <w:p w14:paraId="0B81889E" w14:textId="77777777" w:rsidR="00DA0E15" w:rsidRDefault="00362131">
      <w:pPr>
        <w:shd w:val="clear" w:color="auto" w:fill="FFFFFF"/>
        <w:spacing w:line="276" w:lineRule="auto"/>
        <w:rPr>
          <w:lang w:val="hy-AM"/>
        </w:rPr>
      </w:pPr>
      <w:r>
        <w:rPr>
          <w:rFonts w:cs="Sylfaen"/>
          <w:iCs/>
          <w:kern w:val="16"/>
          <w:lang w:val="hy-AM"/>
        </w:rPr>
        <w:t>«Գնումների գործընթացի կարգավորում և համակարգում</w:t>
      </w:r>
      <w:r>
        <w:rPr>
          <w:rFonts w:cs="Sylfaen"/>
          <w:kern w:val="16"/>
          <w:lang w:val="hy-AM"/>
        </w:rPr>
        <w:t>» ծրագրի նպատակն է</w:t>
      </w:r>
      <w:r>
        <w:rPr>
          <w:rFonts w:cs="Calibri"/>
          <w:iCs/>
          <w:lang w:val="hy-AM"/>
        </w:rPr>
        <w:t xml:space="preserve"> </w:t>
      </w:r>
      <w:r>
        <w:rPr>
          <w:rFonts w:cs="Sylfaen"/>
          <w:iCs/>
          <w:kern w:val="16"/>
          <w:lang w:val="hy-AM"/>
        </w:rPr>
        <w:t>հանրային միջոցների ծախսման արդյունավետության բարձրացումը և կոռուպցիոն ռիսկերի նվազեցումը:</w:t>
      </w:r>
      <w:r>
        <w:rPr>
          <w:rFonts w:cs="Sylfaen"/>
          <w:kern w:val="16"/>
          <w:lang w:val="hy-AM"/>
        </w:rPr>
        <w:t xml:space="preserve"> </w:t>
      </w:r>
      <w:r>
        <w:rPr>
          <w:rFonts w:cs="Sylfaen"/>
          <w:iCs/>
          <w:kern w:val="16"/>
          <w:lang w:val="hy-AM"/>
        </w:rPr>
        <w:t>Ծրագրի գծով 202</w:t>
      </w:r>
      <w:r w:rsidR="001276B1" w:rsidRPr="009B6F49">
        <w:rPr>
          <w:rFonts w:cs="Sylfaen"/>
          <w:iCs/>
          <w:kern w:val="16"/>
          <w:lang w:val="hy-AM"/>
        </w:rPr>
        <w:t>2</w:t>
      </w:r>
      <w:r>
        <w:rPr>
          <w:rFonts w:cs="Sylfaen"/>
          <w:iCs/>
          <w:kern w:val="16"/>
          <w:lang w:val="hy-AM"/>
        </w:rPr>
        <w:t>-202</w:t>
      </w:r>
      <w:r w:rsidR="001276B1" w:rsidRPr="009B6F49">
        <w:rPr>
          <w:rFonts w:cs="Sylfaen"/>
          <w:iCs/>
          <w:kern w:val="16"/>
          <w:lang w:val="hy-AM"/>
        </w:rPr>
        <w:t>4</w:t>
      </w:r>
      <w:r>
        <w:rPr>
          <w:rFonts w:cs="Sylfaen"/>
          <w:iCs/>
          <w:kern w:val="16"/>
          <w:lang w:val="hy-AM"/>
        </w:rPr>
        <w:t xml:space="preserve">թթ. նախատեսվում է յուրաքանչյուր տարի </w:t>
      </w:r>
      <w:r w:rsidRPr="00B038A4">
        <w:rPr>
          <w:rFonts w:cs="Sylfaen"/>
          <w:kern w:val="16"/>
          <w:lang w:val="hy-AM"/>
        </w:rPr>
        <w:t>հատկացնել 1</w:t>
      </w:r>
      <w:r w:rsidR="00B038A4" w:rsidRPr="00B038A4">
        <w:rPr>
          <w:rFonts w:cs="Sylfaen"/>
          <w:kern w:val="16"/>
          <w:lang w:val="hy-AM"/>
        </w:rPr>
        <w:t>27</w:t>
      </w:r>
      <w:r w:rsidRPr="00B038A4">
        <w:rPr>
          <w:rFonts w:cs="Sylfaen"/>
          <w:kern w:val="16"/>
          <w:lang w:val="hy-AM"/>
        </w:rPr>
        <w:t>.</w:t>
      </w:r>
      <w:r w:rsidR="00B038A4" w:rsidRPr="00B038A4">
        <w:rPr>
          <w:rFonts w:cs="Sylfaen"/>
          <w:kern w:val="16"/>
          <w:lang w:val="hy-AM"/>
        </w:rPr>
        <w:t>1</w:t>
      </w:r>
      <w:r>
        <w:rPr>
          <w:rFonts w:cs="Sylfaen"/>
          <w:iCs/>
          <w:kern w:val="16"/>
          <w:lang w:val="hy-AM"/>
        </w:rPr>
        <w:t xml:space="preserve"> մլն դրամ:</w:t>
      </w:r>
    </w:p>
    <w:p w14:paraId="0362D4DE" w14:textId="77777777" w:rsidR="001276B1" w:rsidRPr="001276B1" w:rsidRDefault="001276B1" w:rsidP="005410CA">
      <w:pPr>
        <w:overflowPunct w:val="0"/>
        <w:autoSpaceDE w:val="0"/>
        <w:autoSpaceDN w:val="0"/>
        <w:adjustRightInd w:val="0"/>
        <w:spacing w:after="220"/>
        <w:textAlignment w:val="baseline"/>
        <w:rPr>
          <w:rFonts w:cs="Times Armenian"/>
          <w:kern w:val="16"/>
          <w:lang w:val="hy-AM"/>
        </w:rPr>
      </w:pPr>
      <w:r w:rsidRPr="001276B1">
        <w:rPr>
          <w:rFonts w:cs="Times Armenian"/>
          <w:kern w:val="16"/>
          <w:lang w:val="hy-AM"/>
        </w:rPr>
        <w:t>Ստորև ներկայացված են ֆինանսների բնագավառի 2022-2024թթ յուրաքա</w:t>
      </w:r>
      <w:r w:rsidR="005410CA" w:rsidRPr="009B6F49">
        <w:rPr>
          <w:rFonts w:cs="Times Armenian"/>
          <w:kern w:val="16"/>
          <w:lang w:val="hy-AM"/>
        </w:rPr>
        <w:t>ն</w:t>
      </w:r>
      <w:r w:rsidRPr="001276B1">
        <w:rPr>
          <w:rFonts w:cs="Times Armenian"/>
          <w:kern w:val="16"/>
          <w:lang w:val="hy-AM"/>
        </w:rPr>
        <w:t>չյուր տարվա համար նախատեսված չափաքանակները.</w:t>
      </w:r>
    </w:p>
    <w:p w14:paraId="018CF65C" w14:textId="77777777" w:rsidR="001276B1" w:rsidRPr="001276B1" w:rsidRDefault="001276B1" w:rsidP="005410CA">
      <w:pPr>
        <w:overflowPunct w:val="0"/>
        <w:autoSpaceDE w:val="0"/>
        <w:autoSpaceDN w:val="0"/>
        <w:adjustRightInd w:val="0"/>
        <w:spacing w:before="0" w:after="0"/>
        <w:ind w:firstLine="562"/>
        <w:textAlignment w:val="baseline"/>
        <w:rPr>
          <w:rFonts w:cs="Times Armenian"/>
          <w:kern w:val="16"/>
          <w:lang w:val="hy-AM"/>
        </w:rPr>
      </w:pPr>
      <w:r w:rsidRPr="001276B1">
        <w:rPr>
          <w:rFonts w:cs="Times Armenian"/>
          <w:kern w:val="16"/>
          <w:lang w:val="hy-AM"/>
        </w:rPr>
        <w:t xml:space="preserve">2022 թվականի համար՝             </w:t>
      </w:r>
      <w:r w:rsidR="00D665F1">
        <w:rPr>
          <w:rFonts w:cs="Times Armenian"/>
          <w:kern w:val="16"/>
          <w:lang w:val="hy-AM"/>
        </w:rPr>
        <w:t>219,</w:t>
      </w:r>
      <w:r w:rsidR="00D665F1" w:rsidRPr="00746F49">
        <w:rPr>
          <w:rFonts w:cs="Times Armenian"/>
          <w:kern w:val="16"/>
          <w:lang w:val="hy-AM"/>
        </w:rPr>
        <w:t>813.1</w:t>
      </w:r>
      <w:r w:rsidRPr="001276B1">
        <w:rPr>
          <w:rFonts w:cs="Times Armenian"/>
          <w:kern w:val="16"/>
          <w:lang w:val="hy-AM"/>
        </w:rPr>
        <w:t xml:space="preserve">   </w:t>
      </w:r>
      <w:r w:rsidRPr="00B038A4">
        <w:rPr>
          <w:rFonts w:cs="Times Armenian"/>
          <w:kern w:val="16"/>
          <w:lang w:val="hy-AM"/>
        </w:rPr>
        <w:t>մլն դրամ</w:t>
      </w:r>
      <w:r w:rsidRPr="001276B1">
        <w:rPr>
          <w:rFonts w:cs="Times Armenian"/>
          <w:kern w:val="16"/>
          <w:lang w:val="hy-AM"/>
        </w:rPr>
        <w:t>,</w:t>
      </w:r>
    </w:p>
    <w:p w14:paraId="17D3D342" w14:textId="77777777" w:rsidR="001276B1" w:rsidRPr="001276B1" w:rsidRDefault="001276B1" w:rsidP="005410CA">
      <w:pPr>
        <w:overflowPunct w:val="0"/>
        <w:autoSpaceDE w:val="0"/>
        <w:autoSpaceDN w:val="0"/>
        <w:adjustRightInd w:val="0"/>
        <w:spacing w:before="0" w:after="0"/>
        <w:ind w:firstLine="562"/>
        <w:textAlignment w:val="baseline"/>
        <w:rPr>
          <w:rFonts w:cs="Times Armenian"/>
          <w:kern w:val="16"/>
          <w:lang w:val="hy-AM"/>
        </w:rPr>
      </w:pPr>
      <w:r w:rsidRPr="001276B1">
        <w:rPr>
          <w:rFonts w:cs="Times Armenian"/>
          <w:kern w:val="16"/>
          <w:lang w:val="hy-AM"/>
        </w:rPr>
        <w:t xml:space="preserve">2023 թվականի համար՝             </w:t>
      </w:r>
      <w:r w:rsidR="00D665F1">
        <w:rPr>
          <w:rFonts w:cs="Times Armenian"/>
          <w:kern w:val="16"/>
          <w:lang w:val="hy-AM"/>
        </w:rPr>
        <w:t>248.</w:t>
      </w:r>
      <w:r w:rsidR="00D665F1" w:rsidRPr="00746F49">
        <w:rPr>
          <w:rFonts w:cs="Times Armenian"/>
          <w:kern w:val="16"/>
          <w:lang w:val="hy-AM"/>
        </w:rPr>
        <w:t>869.0</w:t>
      </w:r>
      <w:r w:rsidRPr="001276B1">
        <w:rPr>
          <w:rFonts w:cs="Times Armenian"/>
          <w:kern w:val="16"/>
          <w:lang w:val="hy-AM"/>
        </w:rPr>
        <w:t xml:space="preserve">  </w:t>
      </w:r>
      <w:r w:rsidRPr="00B038A4">
        <w:rPr>
          <w:rFonts w:cs="Times Armenian"/>
          <w:kern w:val="16"/>
          <w:lang w:val="hy-AM"/>
        </w:rPr>
        <w:t>մլն դրամ</w:t>
      </w:r>
      <w:r w:rsidRPr="001276B1">
        <w:rPr>
          <w:rFonts w:cs="Times Armenian"/>
          <w:kern w:val="16"/>
          <w:lang w:val="hy-AM"/>
        </w:rPr>
        <w:t>,</w:t>
      </w:r>
    </w:p>
    <w:p w14:paraId="345C486C" w14:textId="77777777" w:rsidR="001276B1" w:rsidRPr="001276B1" w:rsidRDefault="001276B1" w:rsidP="005410CA">
      <w:pPr>
        <w:overflowPunct w:val="0"/>
        <w:autoSpaceDE w:val="0"/>
        <w:autoSpaceDN w:val="0"/>
        <w:adjustRightInd w:val="0"/>
        <w:spacing w:before="0" w:after="0"/>
        <w:ind w:firstLine="562"/>
        <w:textAlignment w:val="baseline"/>
        <w:rPr>
          <w:rFonts w:cs="Times Armenian"/>
          <w:kern w:val="16"/>
          <w:lang w:val="hy-AM"/>
        </w:rPr>
      </w:pPr>
      <w:r w:rsidRPr="001276B1">
        <w:rPr>
          <w:rFonts w:cs="Times Armenian"/>
          <w:kern w:val="16"/>
          <w:lang w:val="hy-AM"/>
        </w:rPr>
        <w:t xml:space="preserve">2024 թվականի համար՝            </w:t>
      </w:r>
      <w:r w:rsidR="00D665F1">
        <w:rPr>
          <w:rFonts w:cs="Times Armenian"/>
          <w:kern w:val="16"/>
          <w:lang w:val="hy-AM"/>
        </w:rPr>
        <w:t xml:space="preserve"> 273,</w:t>
      </w:r>
      <w:r w:rsidR="00D665F1" w:rsidRPr="00746F49">
        <w:rPr>
          <w:rFonts w:cs="Times Armenian"/>
          <w:kern w:val="16"/>
          <w:lang w:val="hy-AM"/>
        </w:rPr>
        <w:t>507.5</w:t>
      </w:r>
      <w:r w:rsidRPr="001276B1">
        <w:rPr>
          <w:rFonts w:cs="Times Armenian"/>
          <w:kern w:val="16"/>
          <w:lang w:val="hy-AM"/>
        </w:rPr>
        <w:t xml:space="preserve">   </w:t>
      </w:r>
      <w:r w:rsidRPr="00B038A4">
        <w:rPr>
          <w:rFonts w:cs="Times Armenian"/>
          <w:kern w:val="16"/>
          <w:lang w:val="hy-AM"/>
        </w:rPr>
        <w:t>մլն դրամ</w:t>
      </w:r>
      <w:r w:rsidRPr="001276B1">
        <w:rPr>
          <w:rFonts w:cs="Times Armenian"/>
          <w:kern w:val="16"/>
          <w:lang w:val="hy-AM"/>
        </w:rPr>
        <w:t>:</w:t>
      </w:r>
    </w:p>
    <w:p w14:paraId="5353141D" w14:textId="77777777" w:rsidR="00FE6E13" w:rsidRPr="00146C6E" w:rsidRDefault="00362131" w:rsidP="00146C6E">
      <w:pPr>
        <w:pStyle w:val="Heading3"/>
        <w:spacing w:before="0" w:after="120" w:line="276" w:lineRule="auto"/>
        <w:jc w:val="both"/>
        <w:rPr>
          <w:rFonts w:eastAsia="Times New Roman" w:cs="Times New Roman"/>
          <w:caps w:val="0"/>
          <w:color w:val="1F497D" w:themeColor="text2"/>
          <w:sz w:val="28"/>
          <w:szCs w:val="28"/>
        </w:rPr>
      </w:pPr>
      <w:bookmarkStart w:id="626" w:name="_Toc77837881"/>
      <w:bookmarkStart w:id="627" w:name="_Toc45838552"/>
      <w:bookmarkStart w:id="628" w:name="_Toc45637528"/>
      <w:r>
        <w:rPr>
          <w:rFonts w:eastAsia="Times New Roman" w:cs="Times New Roman"/>
          <w:caps w:val="0"/>
          <w:color w:val="1F497D" w:themeColor="text2"/>
          <w:sz w:val="28"/>
          <w:szCs w:val="28"/>
        </w:rPr>
        <w:t>1</w:t>
      </w:r>
      <w:r w:rsidR="00DE2043" w:rsidRPr="00FA0954">
        <w:rPr>
          <w:rFonts w:eastAsia="Times New Roman" w:cs="Times New Roman"/>
          <w:caps w:val="0"/>
          <w:color w:val="1F497D" w:themeColor="text2"/>
          <w:sz w:val="28"/>
          <w:szCs w:val="28"/>
        </w:rPr>
        <w:t>2</w:t>
      </w:r>
      <w:r>
        <w:rPr>
          <w:rFonts w:eastAsia="Times New Roman" w:cs="Times New Roman"/>
          <w:caps w:val="0"/>
          <w:color w:val="1F497D" w:themeColor="text2"/>
          <w:sz w:val="28"/>
          <w:szCs w:val="28"/>
        </w:rPr>
        <w:t xml:space="preserve">. </w:t>
      </w:r>
      <w:r w:rsidR="00FE6E13" w:rsidRPr="00FA0954">
        <w:rPr>
          <w:rFonts w:eastAsia="Times New Roman" w:cs="Times New Roman"/>
          <w:caps w:val="0"/>
          <w:color w:val="1F497D" w:themeColor="text2"/>
          <w:sz w:val="28"/>
          <w:szCs w:val="28"/>
        </w:rPr>
        <w:t>ՊԱՇՏՊԱՆՈՒԹՅՈՒՆ</w:t>
      </w:r>
      <w:bookmarkEnd w:id="626"/>
    </w:p>
    <w:p w14:paraId="3537798F" w14:textId="77777777" w:rsidR="00FE6E13" w:rsidRPr="00FA0954" w:rsidRDefault="00FE6E13" w:rsidP="00FE6E13">
      <w:pPr>
        <w:spacing w:after="0" w:line="276" w:lineRule="auto"/>
        <w:rPr>
          <w:rFonts w:cs="Sylfaen"/>
          <w:color w:val="000000"/>
          <w:lang w:val="hy-AM"/>
        </w:rPr>
      </w:pPr>
      <w:r>
        <w:rPr>
          <w:rFonts w:cs="Sylfaen"/>
          <w:color w:val="000000"/>
          <w:lang w:val="hy-AM"/>
        </w:rPr>
        <w:t>Պաշտպանության ապահովում, Ռազմաբժշկական սպասարկում և առողջա</w:t>
      </w:r>
      <w:r>
        <w:rPr>
          <w:rFonts w:cs="Sylfaen"/>
          <w:color w:val="000000"/>
          <w:lang w:val="hy-AM"/>
        </w:rPr>
        <w:softHyphen/>
        <w:t>պահական ծառայություններ, Ռազմական ուսուցում և վերապատրաստում, Միջազ</w:t>
      </w:r>
      <w:r>
        <w:rPr>
          <w:rFonts w:cs="Sylfaen"/>
          <w:color w:val="000000"/>
          <w:lang w:val="hy-AM"/>
        </w:rPr>
        <w:softHyphen/>
        <w:t>գային ռազմական համագործակցություն, Հումանիտար ականազերծման և փորձա</w:t>
      </w:r>
      <w:r>
        <w:rPr>
          <w:rFonts w:cs="Sylfaen"/>
          <w:color w:val="000000"/>
          <w:lang w:val="hy-AM"/>
        </w:rPr>
        <w:softHyphen/>
        <w:t>գիտական ծառայություններ, Աջակցություն ՀՀ ՊՆ կողմից իրականացվող և ՀՀ զինված ուժերի ռազմաբժշկական վարչության կողմից իրականացվող ծրագրերին (ՀՈՒՅԺ ԳԱՂՏՆԻ)</w:t>
      </w:r>
      <w:r w:rsidRPr="00FA0954">
        <w:rPr>
          <w:rFonts w:cs="Sylfaen"/>
          <w:color w:val="000000"/>
          <w:lang w:val="hy-AM"/>
        </w:rPr>
        <w:t>:</w:t>
      </w:r>
    </w:p>
    <w:p w14:paraId="2C3F3D04" w14:textId="77777777" w:rsidR="00FE6E13" w:rsidRDefault="00FE6E13">
      <w:pPr>
        <w:pStyle w:val="Heading3"/>
        <w:spacing w:before="0" w:after="120" w:line="276" w:lineRule="auto"/>
        <w:jc w:val="both"/>
        <w:rPr>
          <w:rFonts w:eastAsia="Times New Roman" w:cs="Times New Roman"/>
          <w:caps w:val="0"/>
          <w:color w:val="1F497D" w:themeColor="text2"/>
          <w:sz w:val="28"/>
          <w:szCs w:val="28"/>
        </w:rPr>
      </w:pPr>
    </w:p>
    <w:p w14:paraId="111482AB" w14:textId="77777777" w:rsidR="00BE54A9" w:rsidRPr="001276B1" w:rsidRDefault="00BE54A9" w:rsidP="00BE54A9">
      <w:pPr>
        <w:overflowPunct w:val="0"/>
        <w:autoSpaceDE w:val="0"/>
        <w:autoSpaceDN w:val="0"/>
        <w:adjustRightInd w:val="0"/>
        <w:spacing w:after="220"/>
        <w:textAlignment w:val="baseline"/>
        <w:rPr>
          <w:rFonts w:cs="Times Armenian"/>
          <w:kern w:val="16"/>
          <w:lang w:val="hy-AM"/>
        </w:rPr>
      </w:pPr>
      <w:r w:rsidRPr="001276B1">
        <w:rPr>
          <w:rFonts w:cs="Times Armenian"/>
          <w:kern w:val="16"/>
          <w:lang w:val="hy-AM"/>
        </w:rPr>
        <w:t xml:space="preserve">Ստորև ներկայացված են </w:t>
      </w:r>
      <w:r w:rsidRPr="00BE54A9">
        <w:rPr>
          <w:rFonts w:cs="Sylfaen"/>
          <w:color w:val="000000"/>
          <w:lang w:val="hy-AM"/>
        </w:rPr>
        <w:t>պ</w:t>
      </w:r>
      <w:r>
        <w:rPr>
          <w:rFonts w:cs="Sylfaen"/>
          <w:color w:val="000000"/>
          <w:lang w:val="hy-AM"/>
        </w:rPr>
        <w:t>աշտպանության</w:t>
      </w:r>
      <w:r w:rsidRPr="001276B1">
        <w:rPr>
          <w:rFonts w:cs="Times Armenian"/>
          <w:kern w:val="16"/>
          <w:lang w:val="hy-AM"/>
        </w:rPr>
        <w:t xml:space="preserve"> բնագավառի 2022-2024թթ յուրաքա</w:t>
      </w:r>
      <w:r w:rsidRPr="009B6F49">
        <w:rPr>
          <w:rFonts w:cs="Times Armenian"/>
          <w:kern w:val="16"/>
          <w:lang w:val="hy-AM"/>
        </w:rPr>
        <w:t>ն</w:t>
      </w:r>
      <w:r w:rsidRPr="001276B1">
        <w:rPr>
          <w:rFonts w:cs="Times Armenian"/>
          <w:kern w:val="16"/>
          <w:lang w:val="hy-AM"/>
        </w:rPr>
        <w:t>չյուր տարվա համար նախատեսված չափաքանակները.</w:t>
      </w:r>
    </w:p>
    <w:p w14:paraId="5AE5A725" w14:textId="77777777" w:rsidR="00BE54A9" w:rsidRPr="001276B1" w:rsidRDefault="00BE54A9" w:rsidP="00BE54A9">
      <w:pPr>
        <w:overflowPunct w:val="0"/>
        <w:autoSpaceDE w:val="0"/>
        <w:autoSpaceDN w:val="0"/>
        <w:adjustRightInd w:val="0"/>
        <w:spacing w:before="0" w:after="0"/>
        <w:ind w:firstLine="562"/>
        <w:textAlignment w:val="baseline"/>
        <w:rPr>
          <w:rFonts w:cs="Times Armenian"/>
          <w:kern w:val="16"/>
          <w:lang w:val="hy-AM"/>
        </w:rPr>
      </w:pPr>
      <w:r w:rsidRPr="001276B1">
        <w:rPr>
          <w:rFonts w:cs="Times Armenian"/>
          <w:kern w:val="16"/>
          <w:lang w:val="hy-AM"/>
        </w:rPr>
        <w:t xml:space="preserve">2022 թվականի համար՝             </w:t>
      </w:r>
      <w:r w:rsidRPr="00B038A4">
        <w:rPr>
          <w:rFonts w:cs="Times Armenian"/>
          <w:kern w:val="16"/>
          <w:lang w:val="hy-AM"/>
        </w:rPr>
        <w:t>2</w:t>
      </w:r>
      <w:r w:rsidRPr="00BE54A9">
        <w:rPr>
          <w:rFonts w:cs="Times Armenian"/>
          <w:kern w:val="16"/>
          <w:lang w:val="hy-AM"/>
        </w:rPr>
        <w:t>09</w:t>
      </w:r>
      <w:r w:rsidRPr="00B038A4">
        <w:rPr>
          <w:rFonts w:cs="Times Armenian"/>
          <w:kern w:val="16"/>
          <w:lang w:val="hy-AM"/>
        </w:rPr>
        <w:t>,</w:t>
      </w:r>
      <w:r w:rsidRPr="00BE54A9">
        <w:rPr>
          <w:rFonts w:cs="Times Armenian"/>
          <w:kern w:val="16"/>
          <w:lang w:val="hy-AM"/>
        </w:rPr>
        <w:t>366</w:t>
      </w:r>
      <w:r w:rsidRPr="00B038A4">
        <w:rPr>
          <w:rFonts w:cs="Times Armenian"/>
          <w:kern w:val="16"/>
          <w:lang w:val="hy-AM"/>
        </w:rPr>
        <w:t>.</w:t>
      </w:r>
      <w:r w:rsidRPr="00BE54A9">
        <w:rPr>
          <w:rFonts w:cs="Times Armenian"/>
          <w:kern w:val="16"/>
          <w:lang w:val="hy-AM"/>
        </w:rPr>
        <w:t>6</w:t>
      </w:r>
      <w:r w:rsidRPr="001276B1">
        <w:rPr>
          <w:rFonts w:cs="Times Armenian"/>
          <w:kern w:val="16"/>
          <w:lang w:val="hy-AM"/>
        </w:rPr>
        <w:t xml:space="preserve"> </w:t>
      </w:r>
      <w:r w:rsidRPr="00B038A4">
        <w:rPr>
          <w:rFonts w:cs="Times Armenian"/>
          <w:kern w:val="16"/>
          <w:lang w:val="hy-AM"/>
        </w:rPr>
        <w:t>մլն դրամ</w:t>
      </w:r>
      <w:r w:rsidRPr="001276B1">
        <w:rPr>
          <w:rFonts w:cs="Times Armenian"/>
          <w:kern w:val="16"/>
          <w:lang w:val="hy-AM"/>
        </w:rPr>
        <w:t>,</w:t>
      </w:r>
    </w:p>
    <w:p w14:paraId="374A2C28" w14:textId="77777777" w:rsidR="00BE54A9" w:rsidRPr="001276B1" w:rsidRDefault="00BE54A9" w:rsidP="00BE54A9">
      <w:pPr>
        <w:overflowPunct w:val="0"/>
        <w:autoSpaceDE w:val="0"/>
        <w:autoSpaceDN w:val="0"/>
        <w:adjustRightInd w:val="0"/>
        <w:spacing w:before="0" w:after="0"/>
        <w:ind w:firstLine="562"/>
        <w:textAlignment w:val="baseline"/>
        <w:rPr>
          <w:rFonts w:cs="Times Armenian"/>
          <w:kern w:val="16"/>
          <w:lang w:val="hy-AM"/>
        </w:rPr>
      </w:pPr>
      <w:r w:rsidRPr="001276B1">
        <w:rPr>
          <w:rFonts w:cs="Times Armenian"/>
          <w:kern w:val="16"/>
          <w:lang w:val="hy-AM"/>
        </w:rPr>
        <w:t xml:space="preserve">2023 թվականի համար՝             </w:t>
      </w:r>
      <w:r w:rsidRPr="00B038A4">
        <w:rPr>
          <w:rFonts w:cs="Times Armenian"/>
          <w:kern w:val="16"/>
          <w:lang w:val="hy-AM"/>
        </w:rPr>
        <w:t>2</w:t>
      </w:r>
      <w:r w:rsidRPr="00BE54A9">
        <w:rPr>
          <w:rFonts w:cs="Times Armenian"/>
          <w:kern w:val="16"/>
          <w:lang w:val="hy-AM"/>
        </w:rPr>
        <w:t>21</w:t>
      </w:r>
      <w:r w:rsidRPr="00B038A4">
        <w:rPr>
          <w:rFonts w:cs="Times Armenian"/>
          <w:kern w:val="16"/>
          <w:lang w:val="hy-AM"/>
        </w:rPr>
        <w:t>.</w:t>
      </w:r>
      <w:r w:rsidRPr="00BE54A9">
        <w:rPr>
          <w:rFonts w:cs="Times Armenian"/>
          <w:kern w:val="16"/>
          <w:lang w:val="hy-AM"/>
        </w:rPr>
        <w:t>564</w:t>
      </w:r>
      <w:r w:rsidRPr="00B038A4">
        <w:rPr>
          <w:rFonts w:cs="Times Armenian"/>
          <w:kern w:val="16"/>
          <w:lang w:val="hy-AM"/>
        </w:rPr>
        <w:t>.</w:t>
      </w:r>
      <w:r w:rsidRPr="00BE54A9">
        <w:rPr>
          <w:rFonts w:cs="Times Armenian"/>
          <w:kern w:val="16"/>
          <w:lang w:val="hy-AM"/>
        </w:rPr>
        <w:t>4</w:t>
      </w:r>
      <w:r w:rsidRPr="001276B1">
        <w:rPr>
          <w:rFonts w:cs="Times Armenian"/>
          <w:kern w:val="16"/>
          <w:lang w:val="hy-AM"/>
        </w:rPr>
        <w:t xml:space="preserve">  </w:t>
      </w:r>
      <w:r w:rsidRPr="00B038A4">
        <w:rPr>
          <w:rFonts w:cs="Times Armenian"/>
          <w:kern w:val="16"/>
          <w:lang w:val="hy-AM"/>
        </w:rPr>
        <w:t>մլն դրամ</w:t>
      </w:r>
      <w:r w:rsidRPr="001276B1">
        <w:rPr>
          <w:rFonts w:cs="Times Armenian"/>
          <w:kern w:val="16"/>
          <w:lang w:val="hy-AM"/>
        </w:rPr>
        <w:t>,</w:t>
      </w:r>
    </w:p>
    <w:p w14:paraId="338CBBB8" w14:textId="77777777" w:rsidR="00BE54A9" w:rsidRPr="001276B1" w:rsidRDefault="00BE54A9" w:rsidP="00BE54A9">
      <w:pPr>
        <w:overflowPunct w:val="0"/>
        <w:autoSpaceDE w:val="0"/>
        <w:autoSpaceDN w:val="0"/>
        <w:adjustRightInd w:val="0"/>
        <w:spacing w:before="0" w:after="0"/>
        <w:ind w:firstLine="562"/>
        <w:textAlignment w:val="baseline"/>
        <w:rPr>
          <w:rFonts w:cs="Times Armenian"/>
          <w:kern w:val="16"/>
          <w:lang w:val="hy-AM"/>
        </w:rPr>
      </w:pPr>
      <w:r w:rsidRPr="001276B1">
        <w:rPr>
          <w:rFonts w:cs="Times Armenian"/>
          <w:kern w:val="16"/>
          <w:lang w:val="hy-AM"/>
        </w:rPr>
        <w:t xml:space="preserve">2024 թվականի համար՝            </w:t>
      </w:r>
      <w:r w:rsidRPr="00B038A4">
        <w:rPr>
          <w:rFonts w:cs="Times Armenian"/>
          <w:kern w:val="16"/>
          <w:lang w:val="hy-AM"/>
        </w:rPr>
        <w:t xml:space="preserve"> 2</w:t>
      </w:r>
      <w:r w:rsidRPr="00BE54A9">
        <w:rPr>
          <w:rFonts w:cs="Times Armenian"/>
          <w:kern w:val="16"/>
          <w:lang w:val="hy-AM"/>
        </w:rPr>
        <w:t>21</w:t>
      </w:r>
      <w:r w:rsidRPr="00B038A4">
        <w:rPr>
          <w:rFonts w:cs="Times Armenian"/>
          <w:kern w:val="16"/>
          <w:lang w:val="hy-AM"/>
        </w:rPr>
        <w:t>.</w:t>
      </w:r>
      <w:r w:rsidRPr="00BE54A9">
        <w:rPr>
          <w:rFonts w:cs="Times Armenian"/>
          <w:kern w:val="16"/>
          <w:lang w:val="hy-AM"/>
        </w:rPr>
        <w:t>564</w:t>
      </w:r>
      <w:r w:rsidRPr="00B038A4">
        <w:rPr>
          <w:rFonts w:cs="Times Armenian"/>
          <w:kern w:val="16"/>
          <w:lang w:val="hy-AM"/>
        </w:rPr>
        <w:t>.</w:t>
      </w:r>
      <w:r w:rsidRPr="00BE54A9">
        <w:rPr>
          <w:rFonts w:cs="Times Armenian"/>
          <w:kern w:val="16"/>
          <w:lang w:val="hy-AM"/>
        </w:rPr>
        <w:t>4</w:t>
      </w:r>
      <w:r w:rsidRPr="001276B1">
        <w:rPr>
          <w:rFonts w:cs="Times Armenian"/>
          <w:kern w:val="16"/>
          <w:lang w:val="hy-AM"/>
        </w:rPr>
        <w:t xml:space="preserve">  </w:t>
      </w:r>
      <w:r w:rsidRPr="00B038A4">
        <w:rPr>
          <w:rFonts w:cs="Times Armenian"/>
          <w:kern w:val="16"/>
          <w:lang w:val="hy-AM"/>
        </w:rPr>
        <w:t>մլն դրամ</w:t>
      </w:r>
      <w:r w:rsidRPr="001276B1">
        <w:rPr>
          <w:rFonts w:cs="Times Armenian"/>
          <w:kern w:val="16"/>
          <w:lang w:val="hy-AM"/>
        </w:rPr>
        <w:t>:</w:t>
      </w:r>
    </w:p>
    <w:p w14:paraId="390A5CBC" w14:textId="77777777" w:rsidR="00BE54A9" w:rsidRDefault="00BE54A9" w:rsidP="00BE54A9">
      <w:pPr>
        <w:spacing w:after="200" w:line="276" w:lineRule="auto"/>
        <w:rPr>
          <w:i/>
          <w:lang w:val="hy-AM"/>
        </w:rPr>
      </w:pPr>
    </w:p>
    <w:p w14:paraId="5D94586F" w14:textId="77777777" w:rsidR="00FE6E13" w:rsidRPr="00146C6E" w:rsidRDefault="00FE6E13" w:rsidP="00146C6E">
      <w:pPr>
        <w:pStyle w:val="Heading3"/>
        <w:spacing w:before="0" w:after="120" w:line="276" w:lineRule="auto"/>
        <w:jc w:val="both"/>
        <w:rPr>
          <w:rFonts w:eastAsia="Times New Roman" w:cs="Times New Roman"/>
          <w:caps w:val="0"/>
          <w:color w:val="1F497D" w:themeColor="text2"/>
          <w:sz w:val="28"/>
          <w:szCs w:val="28"/>
        </w:rPr>
      </w:pPr>
      <w:bookmarkStart w:id="629" w:name="_Toc77837882"/>
      <w:r>
        <w:rPr>
          <w:rFonts w:eastAsia="Times New Roman" w:cs="Times New Roman"/>
          <w:caps w:val="0"/>
          <w:color w:val="1F497D" w:themeColor="text2"/>
          <w:sz w:val="28"/>
          <w:szCs w:val="28"/>
        </w:rPr>
        <w:t>1</w:t>
      </w:r>
      <w:r w:rsidRPr="00146C6E">
        <w:rPr>
          <w:rFonts w:eastAsia="Times New Roman" w:cs="Times New Roman"/>
          <w:caps w:val="0"/>
          <w:color w:val="1F497D" w:themeColor="text2"/>
          <w:sz w:val="28"/>
          <w:szCs w:val="28"/>
        </w:rPr>
        <w:t>3</w:t>
      </w:r>
      <w:r>
        <w:rPr>
          <w:rFonts w:eastAsia="Times New Roman" w:cs="Times New Roman"/>
          <w:caps w:val="0"/>
          <w:color w:val="1F497D" w:themeColor="text2"/>
          <w:sz w:val="28"/>
          <w:szCs w:val="28"/>
        </w:rPr>
        <w:t xml:space="preserve">. </w:t>
      </w:r>
      <w:r w:rsidRPr="00FA0954">
        <w:rPr>
          <w:rFonts w:eastAsia="Times New Roman" w:cs="Times New Roman"/>
          <w:caps w:val="0"/>
          <w:color w:val="1F497D" w:themeColor="text2"/>
          <w:sz w:val="28"/>
          <w:szCs w:val="28"/>
        </w:rPr>
        <w:t>ՈՍՏԻԿԱՆՈՒԹՅՈՒՆ</w:t>
      </w:r>
      <w:bookmarkEnd w:id="629"/>
    </w:p>
    <w:p w14:paraId="1F1186BF" w14:textId="77777777" w:rsidR="00FE6E13" w:rsidRDefault="00FE6E13" w:rsidP="00FE6E13">
      <w:pPr>
        <w:spacing w:after="0" w:line="276" w:lineRule="auto"/>
        <w:rPr>
          <w:rFonts w:cs="Sylfaen"/>
          <w:color w:val="000000"/>
          <w:lang w:val="hy-AM"/>
        </w:rPr>
      </w:pPr>
      <w:r>
        <w:rPr>
          <w:rFonts w:cs="Sylfaen"/>
          <w:color w:val="000000"/>
          <w:lang w:val="hy-AM"/>
        </w:rPr>
        <w:t>«Ոստիկանության մասին», «Ոստիկանության զորքերի մասին» ՀՀ օրենքներով ամրագրված հիմնախնդիրներին համահունչ՝ ոստիկանությունը պարտավոր է ապահովել` մարդու անվտանգությունը, քաղաքացիների իրավունքներն ու ազատությունները, հանցագործությունների նախականխումը, խափանումը, հայտնա</w:t>
      </w:r>
      <w:r>
        <w:rPr>
          <w:rFonts w:cs="Sylfaen"/>
          <w:color w:val="000000"/>
          <w:lang w:val="hy-AM"/>
        </w:rPr>
        <w:softHyphen/>
        <w:t>բերումը և բացա</w:t>
      </w:r>
      <w:r>
        <w:rPr>
          <w:rFonts w:cs="Sylfaen"/>
          <w:color w:val="000000"/>
          <w:lang w:val="hy-AM"/>
        </w:rPr>
        <w:softHyphen/>
        <w:t>հայտումը, քրեական գործերով հետաքննությունը,  հասարակական կարգի պահպա</w:t>
      </w:r>
      <w:r>
        <w:rPr>
          <w:rFonts w:cs="Sylfaen"/>
          <w:color w:val="000000"/>
          <w:lang w:val="hy-AM"/>
        </w:rPr>
        <w:softHyphen/>
        <w:t>նությունը և հասարակական անվտանգությունը, ճանապարհային երթևե</w:t>
      </w:r>
      <w:r>
        <w:rPr>
          <w:rFonts w:cs="Sylfaen"/>
          <w:color w:val="000000"/>
          <w:lang w:val="hy-AM"/>
        </w:rPr>
        <w:softHyphen/>
        <w:t>կության անվտանգությունը, սեփականության բոլոր ձևերի հավասար պաշտպանու</w:t>
      </w:r>
      <w:r>
        <w:rPr>
          <w:rFonts w:cs="Sylfaen"/>
          <w:color w:val="000000"/>
          <w:lang w:val="hy-AM"/>
        </w:rPr>
        <w:softHyphen/>
        <w:t>թյունը, զենքի պահպանման և օգտագործման նկատմամբ պետական վերահսկողության իրականա</w:t>
      </w:r>
      <w:r>
        <w:rPr>
          <w:rFonts w:cs="Sylfaen"/>
          <w:color w:val="000000"/>
          <w:lang w:val="hy-AM"/>
        </w:rPr>
        <w:softHyphen/>
        <w:t>ցումը, անձնագրային ռեժիմի պահպանումը, օրենքով նախատեսված սահմաններում ֆիզիկական և իրավաբանական անձանց, իրենց իրավունքներն ու օրինական շահերը պաշտպանելիս, օգնության ցուցաբերումը և այլն:</w:t>
      </w:r>
    </w:p>
    <w:p w14:paraId="7E6B20DA" w14:textId="77777777" w:rsidR="00FE6E13" w:rsidRDefault="00FE6E13" w:rsidP="00FE6E13">
      <w:pPr>
        <w:pStyle w:val="StyleHeading1SectionSectionHeadingText11Chapterhead3"/>
        <w:rPr>
          <w:lang w:val="hy-AM"/>
        </w:rPr>
      </w:pPr>
    </w:p>
    <w:p w14:paraId="6ED858BB" w14:textId="77777777" w:rsidR="00FE6E13" w:rsidRDefault="00FE6E13" w:rsidP="00FE6E13">
      <w:pPr>
        <w:spacing w:line="276" w:lineRule="auto"/>
        <w:ind w:firstLine="540"/>
        <w:rPr>
          <w:b/>
          <w:lang w:val="hy-AM"/>
        </w:rPr>
      </w:pPr>
      <w:r>
        <w:rPr>
          <w:b/>
          <w:lang w:val="hy-AM"/>
        </w:rPr>
        <w:t xml:space="preserve">ՈԼՈՐՏԱՅԻՆ ԾԱԽՍԱՅԻՆ ԾՐԱԳՐԵՐԸ </w:t>
      </w:r>
    </w:p>
    <w:p w14:paraId="7CD102C7" w14:textId="77777777" w:rsidR="00FE6E13" w:rsidRDefault="00FE6E13" w:rsidP="00E27191">
      <w:pPr>
        <w:spacing w:line="276" w:lineRule="auto"/>
        <w:rPr>
          <w:rFonts w:cs="Sylfaen"/>
          <w:color w:val="000000"/>
          <w:lang w:val="hy-AM"/>
        </w:rPr>
      </w:pPr>
      <w:r>
        <w:rPr>
          <w:rFonts w:cs="Sylfaen"/>
          <w:color w:val="000000"/>
          <w:lang w:val="hy-AM"/>
        </w:rPr>
        <w:t>Ոստիկանության խնդիրների և կանոնադրական գործառույթների համակարգված իրագործումը նախատեսվում է ապահովել  ֆունկցիոնալ համապատասխանությամբ  խմբավորված,  հարաբերականորեն ինքնուրույն և ամբողջական  հետևյալ  ծախսային  ծրագրերով.</w:t>
      </w:r>
    </w:p>
    <w:p w14:paraId="79648E71" w14:textId="77777777" w:rsidR="00FE6E13" w:rsidRDefault="00FE6E13" w:rsidP="00C0628C">
      <w:pPr>
        <w:numPr>
          <w:ilvl w:val="0"/>
          <w:numId w:val="26"/>
        </w:numPr>
        <w:spacing w:line="276" w:lineRule="auto"/>
        <w:ind w:left="360"/>
        <w:rPr>
          <w:lang w:val="af-ZA"/>
        </w:rPr>
      </w:pPr>
      <w:r>
        <w:rPr>
          <w:rFonts w:cs="Arial"/>
          <w:lang w:val="af-ZA" w:eastAsia="ru-RU"/>
        </w:rPr>
        <w:t>«</w:t>
      </w:r>
      <w:r>
        <w:rPr>
          <w:rFonts w:cs="Arial"/>
          <w:lang w:val="hy-AM" w:eastAsia="ru-RU"/>
        </w:rPr>
        <w:t>Ոստիկանության</w:t>
      </w:r>
      <w:r>
        <w:rPr>
          <w:rFonts w:cs="Arial"/>
          <w:lang w:val="af-ZA" w:eastAsia="ru-RU"/>
        </w:rPr>
        <w:t xml:space="preserve"> </w:t>
      </w:r>
      <w:r>
        <w:rPr>
          <w:rFonts w:cs="Arial"/>
          <w:lang w:val="hy-AM" w:eastAsia="ru-RU"/>
        </w:rPr>
        <w:t>ոլորտների</w:t>
      </w:r>
      <w:r>
        <w:rPr>
          <w:rFonts w:cs="Arial"/>
          <w:lang w:val="af-ZA" w:eastAsia="ru-RU"/>
        </w:rPr>
        <w:t xml:space="preserve">` </w:t>
      </w:r>
      <w:r>
        <w:rPr>
          <w:rFonts w:cs="Arial"/>
          <w:lang w:val="hy-AM" w:eastAsia="ru-RU"/>
        </w:rPr>
        <w:t>կազմակերպաիրավական</w:t>
      </w:r>
      <w:r>
        <w:rPr>
          <w:rFonts w:cs="Arial"/>
          <w:lang w:val="af-ZA" w:eastAsia="ru-RU"/>
        </w:rPr>
        <w:t xml:space="preserve"> </w:t>
      </w:r>
      <w:r>
        <w:rPr>
          <w:rFonts w:cs="Arial"/>
          <w:lang w:val="hy-AM" w:eastAsia="ru-RU"/>
        </w:rPr>
        <w:t>գործունեության</w:t>
      </w:r>
      <w:r>
        <w:rPr>
          <w:rFonts w:cs="Arial"/>
          <w:lang w:val="af-ZA" w:eastAsia="ru-RU"/>
        </w:rPr>
        <w:t xml:space="preserve">, </w:t>
      </w:r>
      <w:r>
        <w:rPr>
          <w:rFonts w:cs="Arial"/>
          <w:lang w:val="hy-AM" w:eastAsia="ru-RU"/>
        </w:rPr>
        <w:t>ծառայությունների</w:t>
      </w:r>
      <w:r>
        <w:rPr>
          <w:rFonts w:cs="Arial"/>
          <w:lang w:val="af-ZA" w:eastAsia="ru-RU"/>
        </w:rPr>
        <w:t xml:space="preserve"> </w:t>
      </w:r>
      <w:r>
        <w:rPr>
          <w:rFonts w:cs="Arial"/>
          <w:lang w:val="hy-AM" w:eastAsia="ru-RU"/>
        </w:rPr>
        <w:t>մատուցման</w:t>
      </w:r>
      <w:r>
        <w:rPr>
          <w:rFonts w:cs="Arial"/>
          <w:lang w:val="af-ZA" w:eastAsia="ru-RU"/>
        </w:rPr>
        <w:t xml:space="preserve">, </w:t>
      </w:r>
      <w:r>
        <w:rPr>
          <w:rFonts w:cs="Arial"/>
          <w:lang w:val="hy-AM" w:eastAsia="ru-RU"/>
        </w:rPr>
        <w:t>հասարակական</w:t>
      </w:r>
      <w:r>
        <w:rPr>
          <w:rFonts w:cs="Arial"/>
          <w:lang w:val="af-ZA" w:eastAsia="ru-RU"/>
        </w:rPr>
        <w:t xml:space="preserve"> </w:t>
      </w:r>
      <w:r>
        <w:rPr>
          <w:rFonts w:cs="Arial"/>
          <w:lang w:val="hy-AM" w:eastAsia="ru-RU"/>
        </w:rPr>
        <w:t>անվտանգության</w:t>
      </w:r>
      <w:r>
        <w:rPr>
          <w:rFonts w:cs="Arial"/>
          <w:lang w:val="af-ZA" w:eastAsia="ru-RU"/>
        </w:rPr>
        <w:t xml:space="preserve"> </w:t>
      </w:r>
      <w:r>
        <w:rPr>
          <w:rFonts w:cs="Arial"/>
          <w:lang w:val="hy-AM" w:eastAsia="ru-RU"/>
        </w:rPr>
        <w:t>ապահովման</w:t>
      </w:r>
      <w:r>
        <w:rPr>
          <w:rFonts w:cs="Arial"/>
          <w:lang w:val="af-ZA" w:eastAsia="ru-RU"/>
        </w:rPr>
        <w:t xml:space="preserve"> </w:t>
      </w:r>
      <w:r>
        <w:rPr>
          <w:rFonts w:cs="Arial"/>
          <w:lang w:val="hy-AM" w:eastAsia="ru-RU"/>
        </w:rPr>
        <w:t>և</w:t>
      </w:r>
      <w:r>
        <w:rPr>
          <w:rFonts w:cs="Arial"/>
          <w:lang w:val="af-ZA" w:eastAsia="ru-RU"/>
        </w:rPr>
        <w:t xml:space="preserve"> </w:t>
      </w:r>
      <w:r>
        <w:rPr>
          <w:rFonts w:cs="Arial"/>
          <w:lang w:val="hy-AM" w:eastAsia="ru-RU"/>
        </w:rPr>
        <w:t>իրավախախտումների</w:t>
      </w:r>
      <w:r>
        <w:rPr>
          <w:rFonts w:cs="Arial"/>
          <w:lang w:val="af-ZA" w:eastAsia="ru-RU"/>
        </w:rPr>
        <w:t xml:space="preserve"> </w:t>
      </w:r>
      <w:r>
        <w:rPr>
          <w:rFonts w:cs="Arial"/>
          <w:lang w:val="hy-AM" w:eastAsia="ru-RU"/>
        </w:rPr>
        <w:t>դեմ</w:t>
      </w:r>
      <w:r>
        <w:rPr>
          <w:rFonts w:cs="Arial"/>
          <w:lang w:val="af-ZA" w:eastAsia="ru-RU"/>
        </w:rPr>
        <w:t xml:space="preserve"> </w:t>
      </w:r>
      <w:r>
        <w:rPr>
          <w:rFonts w:cs="Arial"/>
          <w:lang w:val="hy-AM" w:eastAsia="ru-RU"/>
        </w:rPr>
        <w:t>պայքարի</w:t>
      </w:r>
      <w:r>
        <w:rPr>
          <w:rFonts w:cs="Arial"/>
          <w:lang w:val="af-ZA" w:eastAsia="ru-RU"/>
        </w:rPr>
        <w:t xml:space="preserve"> </w:t>
      </w:r>
      <w:r>
        <w:rPr>
          <w:rFonts w:cs="Arial"/>
          <w:lang w:val="hy-AM" w:eastAsia="ru-RU"/>
        </w:rPr>
        <w:t>քաղաքականության</w:t>
      </w:r>
      <w:r>
        <w:rPr>
          <w:rFonts w:cs="Arial"/>
          <w:lang w:val="af-ZA" w:eastAsia="ru-RU"/>
        </w:rPr>
        <w:t xml:space="preserve"> </w:t>
      </w:r>
      <w:r>
        <w:rPr>
          <w:rFonts w:cs="Arial"/>
          <w:lang w:val="hy-AM" w:eastAsia="ru-RU"/>
        </w:rPr>
        <w:t>մշակում</w:t>
      </w:r>
      <w:r>
        <w:rPr>
          <w:rFonts w:cs="Arial"/>
          <w:lang w:val="af-ZA" w:eastAsia="ru-RU"/>
        </w:rPr>
        <w:t xml:space="preserve">, </w:t>
      </w:r>
      <w:r>
        <w:rPr>
          <w:rFonts w:cs="Arial"/>
          <w:lang w:val="hy-AM" w:eastAsia="ru-RU"/>
        </w:rPr>
        <w:t>մոնիտորինգ</w:t>
      </w:r>
      <w:r>
        <w:rPr>
          <w:rFonts w:cs="Arial"/>
          <w:lang w:val="af-ZA" w:eastAsia="ru-RU"/>
        </w:rPr>
        <w:t xml:space="preserve"> </w:t>
      </w:r>
      <w:r>
        <w:rPr>
          <w:rFonts w:cs="Arial"/>
          <w:lang w:val="hy-AM" w:eastAsia="ru-RU"/>
        </w:rPr>
        <w:t>և</w:t>
      </w:r>
      <w:r>
        <w:rPr>
          <w:rFonts w:cs="Arial"/>
          <w:lang w:val="af-ZA" w:eastAsia="ru-RU"/>
        </w:rPr>
        <w:t xml:space="preserve"> </w:t>
      </w:r>
      <w:r>
        <w:rPr>
          <w:rFonts w:cs="Arial"/>
          <w:lang w:val="hy-AM" w:eastAsia="ru-RU"/>
        </w:rPr>
        <w:t>կառավարում</w:t>
      </w:r>
      <w:r>
        <w:rPr>
          <w:rFonts w:cs="Sylfaen"/>
          <w:lang w:val="af-ZA" w:eastAsia="ru-RU"/>
        </w:rPr>
        <w:t>»</w:t>
      </w:r>
      <w:r>
        <w:rPr>
          <w:lang w:val="af-ZA" w:eastAsia="ru-RU"/>
        </w:rPr>
        <w:t>,</w:t>
      </w:r>
      <w:r>
        <w:rPr>
          <w:lang w:val="hy-AM" w:eastAsia="ru-RU"/>
        </w:rPr>
        <w:t xml:space="preserve"> որը </w:t>
      </w:r>
      <w:r>
        <w:rPr>
          <w:rFonts w:cs="Arial"/>
          <w:lang w:val="hy-AM"/>
        </w:rPr>
        <w:t>միաժամանակ բաղկացած է հետևյալ քաղաքականության միջոցառումներից</w:t>
      </w:r>
      <w:r>
        <w:rPr>
          <w:rFonts w:ascii="MS Mincho" w:eastAsia="MS Mincho" w:hAnsi="MS Mincho" w:cs="MS Mincho" w:hint="eastAsia"/>
          <w:lang w:val="hy-AM"/>
        </w:rPr>
        <w:t>․</w:t>
      </w:r>
    </w:p>
    <w:p w14:paraId="21B97286" w14:textId="77777777" w:rsidR="00FE6E13" w:rsidRDefault="00FE6E13" w:rsidP="00C0628C">
      <w:pPr>
        <w:numPr>
          <w:ilvl w:val="0"/>
          <w:numId w:val="27"/>
        </w:numPr>
        <w:spacing w:line="276" w:lineRule="auto"/>
        <w:ind w:left="360"/>
        <w:rPr>
          <w:lang w:val="af-ZA"/>
        </w:rPr>
      </w:pPr>
      <w:r>
        <w:rPr>
          <w:lang w:val="hy-AM"/>
        </w:rPr>
        <w:t>«</w:t>
      </w:r>
      <w:r>
        <w:rPr>
          <w:lang w:val="af-ZA"/>
        </w:rPr>
        <w:t>Ոստիկանության ոլորտի քաղաքականության մշակում, կառավարում, կենտրոնացված միջոցառումների, մոնիտորինգի և վերահսկողության իրականացում</w:t>
      </w:r>
      <w:r>
        <w:rPr>
          <w:lang w:val="hy-AM"/>
        </w:rPr>
        <w:t>»,</w:t>
      </w:r>
    </w:p>
    <w:p w14:paraId="626B40B1" w14:textId="77777777" w:rsidR="00FE6E13" w:rsidRDefault="00FE6E13" w:rsidP="00C0628C">
      <w:pPr>
        <w:numPr>
          <w:ilvl w:val="0"/>
          <w:numId w:val="27"/>
        </w:numPr>
        <w:spacing w:line="276" w:lineRule="auto"/>
        <w:ind w:left="360"/>
        <w:rPr>
          <w:lang w:val="af-ZA"/>
        </w:rPr>
      </w:pPr>
      <w:r>
        <w:rPr>
          <w:lang w:val="hy-AM"/>
        </w:rPr>
        <w:t>«</w:t>
      </w:r>
      <w:r>
        <w:rPr>
          <w:lang w:val="af-ZA"/>
        </w:rPr>
        <w:t>Հասարակական կարգի պահպանություն</w:t>
      </w:r>
      <w:r>
        <w:rPr>
          <w:lang w:val="hy-AM"/>
        </w:rPr>
        <w:t>»,</w:t>
      </w:r>
    </w:p>
    <w:p w14:paraId="479DA11D" w14:textId="77777777" w:rsidR="00FE6E13" w:rsidRDefault="00FE6E13" w:rsidP="00C0628C">
      <w:pPr>
        <w:numPr>
          <w:ilvl w:val="0"/>
          <w:numId w:val="27"/>
        </w:numPr>
        <w:spacing w:line="276" w:lineRule="auto"/>
        <w:ind w:left="360"/>
        <w:rPr>
          <w:lang w:val="af-ZA"/>
        </w:rPr>
      </w:pPr>
      <w:r>
        <w:rPr>
          <w:lang w:val="hy-AM"/>
        </w:rPr>
        <w:t>«Պետական պահպանության ծառայությունների կազմակերպում և իրականացում»,</w:t>
      </w:r>
    </w:p>
    <w:p w14:paraId="053AB513" w14:textId="77777777" w:rsidR="00FE6E13" w:rsidRDefault="00FE6E13" w:rsidP="00C0628C">
      <w:pPr>
        <w:numPr>
          <w:ilvl w:val="0"/>
          <w:numId w:val="27"/>
        </w:numPr>
        <w:spacing w:line="276" w:lineRule="auto"/>
        <w:ind w:left="360"/>
        <w:rPr>
          <w:lang w:val="af-ZA"/>
        </w:rPr>
      </w:pPr>
      <w:r>
        <w:rPr>
          <w:lang w:val="hy-AM"/>
        </w:rPr>
        <w:t>«Հասարակական կարգի պահպանություն, անվտանգության ապահովում և հանցագոր-ծությունների դեմ պայքար»</w:t>
      </w:r>
    </w:p>
    <w:p w14:paraId="38413DB8" w14:textId="77777777" w:rsidR="00FE6E13" w:rsidRDefault="00FE6E13" w:rsidP="00C0628C">
      <w:pPr>
        <w:numPr>
          <w:ilvl w:val="0"/>
          <w:numId w:val="27"/>
        </w:numPr>
        <w:spacing w:line="276" w:lineRule="auto"/>
        <w:ind w:left="360"/>
        <w:rPr>
          <w:lang w:val="af-ZA"/>
        </w:rPr>
      </w:pPr>
      <w:r>
        <w:rPr>
          <w:lang w:val="hy-AM"/>
        </w:rPr>
        <w:t>«Ճանապարհային երթևեկության անվտանգության ապահովում և ճանապար-հատրանսպորտային պատահարների կանխարգելում, տրանսպորտային միջոցների պետական հաշվառում»</w:t>
      </w:r>
    </w:p>
    <w:p w14:paraId="39E98EF1" w14:textId="77777777" w:rsidR="00FE6E13" w:rsidRDefault="00FE6E13" w:rsidP="00C0628C">
      <w:pPr>
        <w:numPr>
          <w:ilvl w:val="0"/>
          <w:numId w:val="27"/>
        </w:numPr>
        <w:spacing w:line="276" w:lineRule="auto"/>
        <w:ind w:left="360"/>
        <w:rPr>
          <w:lang w:val="af-ZA"/>
        </w:rPr>
      </w:pPr>
      <w:r>
        <w:rPr>
          <w:lang w:val="hy-AM"/>
        </w:rPr>
        <w:t>«Անձի անհատական տվյալների, քաղաքացիության և հաշվառման վերաբերյալ տեղեկությունների ստացման, տրամադրման և փոխանակման ծառայությունների մատուցում, ճամփորդական փաստաթղթերում կենսաչափական տեխնոլոգիաների ներդրում»</w:t>
      </w:r>
    </w:p>
    <w:p w14:paraId="501D77E2" w14:textId="77777777" w:rsidR="00FE6E13" w:rsidRDefault="00FE6E13" w:rsidP="00C0628C">
      <w:pPr>
        <w:numPr>
          <w:ilvl w:val="0"/>
          <w:numId w:val="27"/>
        </w:numPr>
        <w:spacing w:line="276" w:lineRule="auto"/>
        <w:ind w:left="360"/>
        <w:rPr>
          <w:lang w:val="af-ZA"/>
        </w:rPr>
      </w:pPr>
      <w:r>
        <w:rPr>
          <w:lang w:val="hy-AM"/>
        </w:rPr>
        <w:t>«Առողջապահական ծառայությունների տրամադրում»</w:t>
      </w:r>
    </w:p>
    <w:p w14:paraId="158D0C1F" w14:textId="77777777" w:rsidR="00FE6E13" w:rsidRPr="00E27191" w:rsidRDefault="00FE6E13" w:rsidP="00C0628C">
      <w:pPr>
        <w:numPr>
          <w:ilvl w:val="0"/>
          <w:numId w:val="27"/>
        </w:numPr>
        <w:spacing w:before="0" w:after="0" w:line="276" w:lineRule="auto"/>
        <w:ind w:left="360"/>
        <w:rPr>
          <w:lang w:val="af-ZA"/>
        </w:rPr>
      </w:pPr>
      <w:r w:rsidRPr="00E27191">
        <w:rPr>
          <w:lang w:val="hy-AM"/>
        </w:rPr>
        <w:t>«Դեղորայքի տրամադրում ոստիկանության բժշկական վարչության ծառայություններից օգտվելու իրավունք ունեցող բուժօգնություն ստացողներին և հատուկ խմբերում ընդգրկված ֆիզիկական անձանց»</w:t>
      </w:r>
      <w:r w:rsidRPr="00E27191">
        <w:rPr>
          <w:lang w:val="af-ZA"/>
        </w:rPr>
        <w:t>:</w:t>
      </w:r>
    </w:p>
    <w:p w14:paraId="5F16ADC4" w14:textId="77777777" w:rsidR="00FE6E13" w:rsidRPr="00E27191" w:rsidRDefault="00FE6E13" w:rsidP="00C0628C">
      <w:pPr>
        <w:numPr>
          <w:ilvl w:val="0"/>
          <w:numId w:val="26"/>
        </w:numPr>
        <w:spacing w:before="0" w:after="0" w:line="276" w:lineRule="auto"/>
        <w:ind w:left="360"/>
        <w:rPr>
          <w:rFonts w:cs="Sylfaen"/>
          <w:color w:val="000000"/>
          <w:lang w:val="hy-AM"/>
        </w:rPr>
      </w:pPr>
      <w:r w:rsidRPr="00E27191">
        <w:rPr>
          <w:rFonts w:cs="Sylfaen"/>
          <w:color w:val="000000"/>
          <w:lang w:val="hy-AM"/>
        </w:rPr>
        <w:t>«Ոստիկանության կրթական ծառայություններ», որը միաժամանակ բաղկացած է հետևյալ քաղաքականության միջոցառումներից</w:t>
      </w:r>
      <w:r w:rsidRPr="00E27191">
        <w:rPr>
          <w:rFonts w:ascii="Cambria Math" w:eastAsia="MS Mincho" w:hAnsi="Cambria Math" w:cs="Cambria Math"/>
          <w:color w:val="000000"/>
          <w:lang w:val="hy-AM"/>
        </w:rPr>
        <w:t>․</w:t>
      </w:r>
    </w:p>
    <w:p w14:paraId="0415345D" w14:textId="77777777" w:rsidR="00FE6E13" w:rsidRPr="00E27191" w:rsidRDefault="00FE6E13" w:rsidP="00C0628C">
      <w:pPr>
        <w:numPr>
          <w:ilvl w:val="0"/>
          <w:numId w:val="27"/>
        </w:numPr>
        <w:spacing w:before="0" w:after="0" w:line="276" w:lineRule="auto"/>
        <w:ind w:left="360"/>
        <w:rPr>
          <w:rFonts w:cs="Arial"/>
          <w:lang w:val="hy-AM"/>
        </w:rPr>
      </w:pPr>
      <w:r w:rsidRPr="00E27191">
        <w:rPr>
          <w:rFonts w:cs="Arial"/>
          <w:lang w:val="hy-AM"/>
        </w:rPr>
        <w:t>«Բարձրագույն մասնագիտական կրթության ծառայություն»</w:t>
      </w:r>
    </w:p>
    <w:p w14:paraId="3C868670" w14:textId="77777777" w:rsidR="00FE6E13" w:rsidRPr="00E27191" w:rsidRDefault="00FE6E13" w:rsidP="00C0628C">
      <w:pPr>
        <w:numPr>
          <w:ilvl w:val="0"/>
          <w:numId w:val="27"/>
        </w:numPr>
        <w:spacing w:before="0" w:after="0" w:line="276" w:lineRule="auto"/>
        <w:ind w:left="360"/>
        <w:rPr>
          <w:rFonts w:cs="Arial"/>
          <w:lang w:val="hy-AM"/>
        </w:rPr>
      </w:pPr>
      <w:r w:rsidRPr="00E27191">
        <w:rPr>
          <w:rFonts w:cs="Arial"/>
          <w:lang w:val="hy-AM"/>
        </w:rPr>
        <w:t>«Միջին մասնագիտական կրթության ծառայություն»</w:t>
      </w:r>
    </w:p>
    <w:p w14:paraId="0FE04870" w14:textId="77777777" w:rsidR="00FE6E13" w:rsidRPr="00E27191" w:rsidRDefault="00FE6E13" w:rsidP="00C0628C">
      <w:pPr>
        <w:numPr>
          <w:ilvl w:val="0"/>
          <w:numId w:val="27"/>
        </w:numPr>
        <w:spacing w:before="0" w:after="0" w:line="276" w:lineRule="auto"/>
        <w:ind w:left="360"/>
        <w:rPr>
          <w:rFonts w:cs="Arial"/>
          <w:lang w:val="hy-AM"/>
        </w:rPr>
      </w:pPr>
      <w:r w:rsidRPr="00E27191">
        <w:rPr>
          <w:rFonts w:cs="Arial"/>
          <w:lang w:val="hy-AM"/>
        </w:rPr>
        <w:t>«Նախնական մասնագիտական կրթության ծառայություն»</w:t>
      </w:r>
    </w:p>
    <w:p w14:paraId="2A47AAAF" w14:textId="77777777" w:rsidR="00FE6E13" w:rsidRPr="00E27191" w:rsidRDefault="00FE6E13" w:rsidP="00E27191">
      <w:pPr>
        <w:spacing w:after="0" w:line="276" w:lineRule="auto"/>
        <w:rPr>
          <w:rFonts w:cs="Sylfaen"/>
          <w:color w:val="000000"/>
          <w:lang w:val="hy-AM"/>
        </w:rPr>
      </w:pPr>
      <w:r w:rsidRPr="00E27191">
        <w:rPr>
          <w:rFonts w:cs="Sylfaen"/>
          <w:color w:val="000000"/>
          <w:lang w:val="hy-AM"/>
        </w:rPr>
        <w:t>ՄԺԾԾ ժամանակահատվածում ոստիկանության ծախսային գերակայություններ   են հանդիսանալու.</w:t>
      </w:r>
    </w:p>
    <w:p w14:paraId="1A6BC5AE" w14:textId="77777777" w:rsidR="00FE6E13" w:rsidRDefault="00FE6E13" w:rsidP="00FE6E13">
      <w:pPr>
        <w:spacing w:after="0" w:line="276" w:lineRule="auto"/>
        <w:rPr>
          <w:rFonts w:cs="Sylfaen"/>
          <w:color w:val="000000"/>
          <w:lang w:val="hy-AM"/>
        </w:rPr>
      </w:pPr>
      <w:r>
        <w:rPr>
          <w:rFonts w:cs="Sylfaen"/>
          <w:color w:val="000000"/>
          <w:lang w:val="hy-AM"/>
        </w:rPr>
        <w:t>Ծառայողների (աշխատողների)  աշխատանքի վարձատրության, ինչպես նաև ծառայությանն առնչվող ծախսերի փոխատուցման համակարգերի կատարելագործումը, որը կարևորվում է  համակարգում ծառայողների (աշխատողների) մոտիվացման, աշխատանքի արդյունավետության բարձրացման և երկարաժամկետ հեռանկարում հակակոռուպցիոն ռազմավարության հաջող իրագործման տեսանկյունից։ Այս առումով հատկանշական է</w:t>
      </w:r>
      <w:r>
        <w:rPr>
          <w:rFonts w:ascii="MS Mincho" w:eastAsia="MS Mincho" w:hAnsi="MS Mincho" w:cs="MS Mincho" w:hint="eastAsia"/>
          <w:color w:val="000000"/>
          <w:lang w:val="hy-AM"/>
        </w:rPr>
        <w:t>․</w:t>
      </w:r>
      <w:r>
        <w:rPr>
          <w:rFonts w:ascii="Cambria Math" w:hAnsi="Cambria Math" w:cs="Cambria Math"/>
          <w:color w:val="000000"/>
          <w:lang w:val="hy-AM"/>
        </w:rPr>
        <w:t xml:space="preserve"> </w:t>
      </w:r>
      <w:r>
        <w:rPr>
          <w:rFonts w:cs="Sylfaen"/>
          <w:color w:val="000000"/>
          <w:lang w:val="hy-AM"/>
        </w:rPr>
        <w:t xml:space="preserve">որակյալ աշխատանքի և (կամ) հատուկ հանձնարարությունների կատարման համար ամսական, ինչպես նաև դիտավորությամբ, ոչ ակնհայտ պայմաններում կատարված ՝ ըստ բնույթի և հանրության համար վտանգավորության աստիճանի դասակարգված առանձին հանցագործությունների կանխման կամ բացահայտման համար տրվող՝ լրացուցիչ պարգևատրումները, Երևան քաղաքի և մարզային վարչությունների, դրանց ենթակա տարածքային բաժինների միջին խմբի պաշտոններ զբաղեցնող ծառայողների (քրեական հետախուզության բաժանմունքների պետի տեղակալների, ավագ օպերլիազորների, օպերլիազորների, հետաքննության գծով ավագ տեսուչների, տեսուչների, համայնքային ոստիկանության ավագ տեսուչների, տեսուչների, անչափահասների գործերով և ընտանիքում բռնության կանխարգելման ավագ օպերլիազորների, ավագ տեսուչների, օպերլիազորների և տեսուչների)  տրանսպորտային ծախսերի փոխհատուցումը, </w:t>
      </w:r>
      <w:r>
        <w:rPr>
          <w:sz w:val="20"/>
          <w:szCs w:val="20"/>
          <w:lang w:val="hy-AM"/>
        </w:rPr>
        <w:t>Զինծառայողներին</w:t>
      </w:r>
      <w:r>
        <w:rPr>
          <w:sz w:val="20"/>
          <w:szCs w:val="20"/>
          <w:lang w:val="fr-FR"/>
        </w:rPr>
        <w:t xml:space="preserve"> </w:t>
      </w:r>
      <w:r>
        <w:rPr>
          <w:sz w:val="20"/>
          <w:szCs w:val="20"/>
          <w:lang w:val="hy-AM"/>
        </w:rPr>
        <w:t>ծառայության</w:t>
      </w:r>
      <w:r>
        <w:rPr>
          <w:sz w:val="20"/>
          <w:szCs w:val="20"/>
          <w:lang w:val="fr-FR"/>
        </w:rPr>
        <w:t xml:space="preserve"> </w:t>
      </w:r>
      <w:r>
        <w:rPr>
          <w:rFonts w:cs="Sylfaen"/>
          <w:color w:val="000000"/>
          <w:lang w:val="hy-AM"/>
        </w:rPr>
        <w:t xml:space="preserve">վայրում ծառայողական բնակարանով չապահովելու դեպքում այլ բնակելի տարածք վարձակալելու դիմաց դրամական փոխհատուցման վճարների լիարժեք ապահովումը։  </w:t>
      </w:r>
    </w:p>
    <w:p w14:paraId="338B7057" w14:textId="77777777" w:rsidR="00FE6E13" w:rsidRDefault="00FE6E13" w:rsidP="00FE6E13">
      <w:pPr>
        <w:spacing w:after="0" w:line="276" w:lineRule="auto"/>
        <w:rPr>
          <w:rFonts w:cs="Sylfaen"/>
          <w:color w:val="000000"/>
          <w:lang w:val="hy-AM"/>
        </w:rPr>
      </w:pPr>
      <w:r>
        <w:rPr>
          <w:rFonts w:cs="Sylfaen"/>
          <w:color w:val="000000"/>
          <w:lang w:val="hy-AM"/>
        </w:rPr>
        <w:t xml:space="preserve">Ոստիկանության ստորաբաժանումների (առավելապես տարածքային ստորաբաժանումների) ընթացիկ գործունեության պատշաճ կազմակերպման և իրականացման նպատակով  շենքերի, շինությունների, մեքենաների և սարքավորումների ընթացիկ պահպանման, շահագործման և սպասարկման ծախսերի, ինչպես նաև գրասենյակային, կենցաղային, տրանսպորտային նյութերի տարեկան նվազագույն պահանջարկի ապահովումը։ </w:t>
      </w:r>
    </w:p>
    <w:p w14:paraId="07618211" w14:textId="77777777" w:rsidR="00FE6E13" w:rsidRDefault="00FE6E13" w:rsidP="00FE6E13">
      <w:pPr>
        <w:overflowPunct w:val="0"/>
        <w:autoSpaceDE w:val="0"/>
        <w:autoSpaceDN w:val="0"/>
        <w:adjustRightInd w:val="0"/>
        <w:spacing w:line="360" w:lineRule="auto"/>
        <w:textAlignment w:val="baseline"/>
        <w:rPr>
          <w:rFonts w:eastAsia="SimSun"/>
          <w:bCs/>
          <w:iCs/>
          <w:lang w:val="fr-FR"/>
        </w:rPr>
      </w:pPr>
    </w:p>
    <w:p w14:paraId="42C76C17" w14:textId="77777777" w:rsidR="00FE6E13" w:rsidRDefault="00FE6E13" w:rsidP="00FE6E13">
      <w:pPr>
        <w:overflowPunct w:val="0"/>
        <w:autoSpaceDE w:val="0"/>
        <w:autoSpaceDN w:val="0"/>
        <w:adjustRightInd w:val="0"/>
        <w:spacing w:line="276" w:lineRule="auto"/>
        <w:ind w:firstLine="540"/>
        <w:textAlignment w:val="baseline"/>
        <w:rPr>
          <w:rFonts w:eastAsia="SimSun"/>
          <w:bCs/>
          <w:iCs/>
          <w:lang w:val="fr-FR"/>
        </w:rPr>
      </w:pPr>
      <w:r>
        <w:rPr>
          <w:rFonts w:eastAsia="SimSun"/>
          <w:bCs/>
          <w:iCs/>
          <w:lang w:val="fr-FR"/>
        </w:rPr>
        <w:t xml:space="preserve">Ստորև ներկայացված են </w:t>
      </w:r>
      <w:r w:rsidR="00BE54A9">
        <w:rPr>
          <w:rFonts w:eastAsia="SimSun"/>
          <w:bCs/>
          <w:iCs/>
          <w:lang w:val="fr-FR"/>
        </w:rPr>
        <w:t>ոստիկանության</w:t>
      </w:r>
      <w:r>
        <w:rPr>
          <w:rFonts w:eastAsia="SimSun"/>
          <w:bCs/>
          <w:iCs/>
          <w:lang w:val="fr-FR"/>
        </w:rPr>
        <w:t xml:space="preserve"> բնագավառի 2022-2024 թթ  յուրաքանչյուր տարվա համար նախատեսված չափաքանակները.</w:t>
      </w:r>
    </w:p>
    <w:p w14:paraId="778A84BF" w14:textId="77777777" w:rsidR="00FE6E13" w:rsidRDefault="00FE6E13" w:rsidP="00FE6E13">
      <w:pPr>
        <w:spacing w:line="276" w:lineRule="auto"/>
        <w:ind w:firstLine="720"/>
        <w:rPr>
          <w:rFonts w:eastAsia="SimSun"/>
          <w:bCs/>
          <w:iCs/>
          <w:lang w:val="fr-FR"/>
        </w:rPr>
      </w:pPr>
      <w:r>
        <w:rPr>
          <w:rFonts w:eastAsia="SimSun"/>
          <w:bCs/>
          <w:iCs/>
          <w:lang w:val="fr-FR"/>
        </w:rPr>
        <w:t>2022 թվականի համար՝                  60,282,158.7 մլն դրամ,</w:t>
      </w:r>
    </w:p>
    <w:p w14:paraId="18137DCA" w14:textId="77777777" w:rsidR="00FE6E13" w:rsidRDefault="00FE6E13" w:rsidP="00FE6E13">
      <w:pPr>
        <w:spacing w:line="276" w:lineRule="auto"/>
        <w:ind w:firstLine="720"/>
        <w:rPr>
          <w:rFonts w:eastAsia="SimSun"/>
          <w:bCs/>
          <w:iCs/>
          <w:lang w:val="fr-FR"/>
        </w:rPr>
      </w:pPr>
      <w:r>
        <w:rPr>
          <w:rFonts w:eastAsia="SimSun"/>
          <w:bCs/>
          <w:iCs/>
          <w:lang w:val="fr-FR"/>
        </w:rPr>
        <w:t>2023 թվականի համար՝                  63,563,131.2 մլն դրամ,</w:t>
      </w:r>
    </w:p>
    <w:p w14:paraId="3ECD5F29" w14:textId="77777777" w:rsidR="00FE6E13" w:rsidRDefault="00FE6E13" w:rsidP="00FE6E13">
      <w:pPr>
        <w:spacing w:line="276" w:lineRule="auto"/>
        <w:ind w:firstLine="720"/>
        <w:rPr>
          <w:rFonts w:eastAsia="SimSun"/>
          <w:bCs/>
          <w:iCs/>
          <w:lang w:val="fr-FR"/>
        </w:rPr>
      </w:pPr>
      <w:r>
        <w:rPr>
          <w:rFonts w:eastAsia="SimSun"/>
          <w:bCs/>
          <w:iCs/>
          <w:lang w:val="fr-FR"/>
        </w:rPr>
        <w:t>2024 թվականի համար՝                  63,563,131.2 մլն դրամ:</w:t>
      </w:r>
    </w:p>
    <w:p w14:paraId="67C88B3F" w14:textId="77777777" w:rsidR="00FE6E13" w:rsidRDefault="00FE6E13" w:rsidP="00FE6E13">
      <w:pPr>
        <w:overflowPunct w:val="0"/>
        <w:autoSpaceDE w:val="0"/>
        <w:autoSpaceDN w:val="0"/>
        <w:adjustRightInd w:val="0"/>
        <w:spacing w:line="360" w:lineRule="auto"/>
        <w:textAlignment w:val="baseline"/>
        <w:rPr>
          <w:rFonts w:eastAsia="SimSun"/>
          <w:bCs/>
          <w:iCs/>
          <w:lang w:val="fr-FR"/>
        </w:rPr>
      </w:pPr>
    </w:p>
    <w:p w14:paraId="1392EA8C" w14:textId="77777777" w:rsidR="00FE6E13" w:rsidRPr="00146C6E" w:rsidRDefault="00FE6E13" w:rsidP="00146C6E">
      <w:pPr>
        <w:pStyle w:val="Heading3"/>
        <w:spacing w:before="0" w:after="120" w:line="276" w:lineRule="auto"/>
        <w:jc w:val="both"/>
        <w:rPr>
          <w:rFonts w:eastAsia="Times New Roman" w:cs="Times New Roman"/>
          <w:caps w:val="0"/>
          <w:color w:val="1F497D" w:themeColor="text2"/>
          <w:sz w:val="28"/>
          <w:szCs w:val="28"/>
        </w:rPr>
      </w:pPr>
      <w:bookmarkStart w:id="630" w:name="_Toc77837883"/>
      <w:r>
        <w:rPr>
          <w:rFonts w:eastAsia="Times New Roman" w:cs="Times New Roman"/>
          <w:caps w:val="0"/>
          <w:color w:val="1F497D" w:themeColor="text2"/>
          <w:sz w:val="28"/>
          <w:szCs w:val="28"/>
        </w:rPr>
        <w:t>1</w:t>
      </w:r>
      <w:r w:rsidRPr="00146C6E">
        <w:rPr>
          <w:rFonts w:eastAsia="Times New Roman" w:cs="Times New Roman"/>
          <w:caps w:val="0"/>
          <w:color w:val="1F497D" w:themeColor="text2"/>
          <w:sz w:val="28"/>
          <w:szCs w:val="28"/>
        </w:rPr>
        <w:t>4</w:t>
      </w:r>
      <w:r>
        <w:rPr>
          <w:rFonts w:eastAsia="Times New Roman" w:cs="Times New Roman"/>
          <w:caps w:val="0"/>
          <w:color w:val="1F497D" w:themeColor="text2"/>
          <w:sz w:val="28"/>
          <w:szCs w:val="28"/>
        </w:rPr>
        <w:t>. ԱԶԳԱՅԻՆ ԱՆՎՏԱՆԳՈՒԹՅՈՒՆ</w:t>
      </w:r>
      <w:bookmarkEnd w:id="630"/>
    </w:p>
    <w:p w14:paraId="063CBD9A" w14:textId="77777777" w:rsidR="00FE6E13" w:rsidRDefault="00FE6E13" w:rsidP="00FE6E13">
      <w:pPr>
        <w:spacing w:after="0" w:line="276" w:lineRule="auto"/>
        <w:rPr>
          <w:rFonts w:cs="Sylfaen"/>
          <w:color w:val="000000"/>
          <w:lang w:val="hy-AM"/>
        </w:rPr>
      </w:pPr>
      <w:r>
        <w:rPr>
          <w:rFonts w:cs="Sylfaen"/>
          <w:color w:val="000000"/>
          <w:lang w:val="hy-AM"/>
        </w:rPr>
        <w:t xml:space="preserve">Հայաստանի Հանրապետության ազգային անվտանգությունը պետության և հասարակության այնպիսի կացություն է, երբ ապահովված է անձի, հասարակության և պետության անվտանգությունը, երկրի տարածքային ամբողջականությունը, ինքնիշխանությունը, սահմանադրական կարգը, տնտեսության բնականոն զարգացումը, հասարակության նյութական և հոգևոր արժեքների, քաղաքացիների իրավունքների և ազատությունների, շրջակա միջավայրի պաշտպանությունը ներքին և արտաքին սպառնալիքներից: </w:t>
      </w:r>
    </w:p>
    <w:p w14:paraId="63426E06" w14:textId="77777777" w:rsidR="00FE6E13" w:rsidRDefault="00FE6E13" w:rsidP="00FE6E13">
      <w:pPr>
        <w:spacing w:after="0" w:line="276" w:lineRule="auto"/>
        <w:rPr>
          <w:rFonts w:cs="Sylfaen"/>
          <w:color w:val="000000"/>
          <w:lang w:val="hy-AM"/>
        </w:rPr>
      </w:pPr>
      <w:r>
        <w:rPr>
          <w:rFonts w:cs="Sylfaen"/>
          <w:color w:val="000000"/>
          <w:lang w:val="hy-AM"/>
        </w:rPr>
        <w:t>Պետական պահպանության ծառայությունն իրականացնում է պետական պահպանության ենթակա օբյեկտների անվտանգության ապահովման և պետական օբյեկտների պաշտպանության ոլորտի գործառույթ, իրավական, կազմակերպական, պահպանական, ռեժիմային, օպերատիվ-հետախուզական, տեխնիկական և այլ միջոցառումների համակցմամբ:</w:t>
      </w:r>
    </w:p>
    <w:p w14:paraId="0683B50C" w14:textId="77777777" w:rsidR="00FE6E13" w:rsidRDefault="00FE6E13" w:rsidP="00FE6E13">
      <w:pPr>
        <w:spacing w:after="0" w:line="276" w:lineRule="auto"/>
        <w:rPr>
          <w:rFonts w:cs="Sylfaen"/>
          <w:color w:val="000000"/>
          <w:lang w:val="hy-AM"/>
        </w:rPr>
      </w:pPr>
      <w:r>
        <w:rPr>
          <w:rFonts w:cs="Sylfaen"/>
          <w:color w:val="000000"/>
          <w:lang w:val="hy-AM"/>
        </w:rPr>
        <w:t>Հայաստանի Հանրապետության արտաքին և ներքին անվտանգության ապահովման կարևորագույն նախապայմանն անվտանգության միջավայրի համակողմանի գնահատման հիման վրա արտաքին, ներքին և պաշտպանական քաղաքականության ճկուն գործիքակազմի ձևավորումն է, ինչը հնարավորություն կտա Կառավարության քաղաքական առաջնահերթությունները կյանքի կոչելու համար ստեղծել կայուն և կանխատեսելի մթնոլորտ, իսկ արտաքին անվտանգության ապահովման երաշխիքների համար՝ բավարար կարողություններ: Կառավարության առաջնահերթությունների թվում են Հայաստանի Հանրապետության ռազմավարական նշանակության օբյեկտների և ենթակառուցվածքների անվտանգության ապահովումը, անվտանգության մակարդակի բարձրացմանն ուղղված խնդիրների և դրանցից բխող միջոցառումների իրականացումը:</w:t>
      </w:r>
    </w:p>
    <w:p w14:paraId="05C5512C" w14:textId="77777777" w:rsidR="00FE6E13" w:rsidRDefault="00FE6E13" w:rsidP="00FE6E13">
      <w:pPr>
        <w:spacing w:after="0" w:line="276" w:lineRule="auto"/>
        <w:rPr>
          <w:rFonts w:cs="Sylfaen"/>
          <w:color w:val="000000"/>
          <w:lang w:val="hy-AM"/>
        </w:rPr>
      </w:pPr>
      <w:r>
        <w:rPr>
          <w:rFonts w:cs="Sylfaen"/>
          <w:color w:val="000000"/>
          <w:lang w:val="hy-AM"/>
        </w:rPr>
        <w:t>Ազգային անվտանգության ծառայության նպատակներն են հետախուզական գործունեությունը, հակահետախուզական գործունեությունը, ռազմական հակահետախուզական գործունեությունը, պետական սահմանի պահպանությունը և պայքարը հանցագործությունների դեմ: Այս առումով վերջնական արդյունքներն են ՀՀ ազգային անվտանգության սպառնալիքների մասին տեղեկությունների ստացումը և կանխարգելիչ միջոցառումների անցկացումը, օտարերկրյա պետությունների հատուկ ծառայությունների և այլ կազմակերպությունների, ինչպես նաև առանձին անձանց հետախուզական գործունեության բացահայտումը, կանխումը և խափանումը, օպերատիվ-հետախուզական միջոցառումների շնորհիվ հանցագործությունների բացահայտումը, կանխումը և խափանումը, ՀՀ պետական սահմանի անձեռնմխելիության ապահովումը, սահմանափակումների կանխումը և խափանումը:</w:t>
      </w:r>
    </w:p>
    <w:p w14:paraId="7DC7C738" w14:textId="77777777" w:rsidR="00FE6E13" w:rsidRDefault="00FE6E13" w:rsidP="00FE6E13">
      <w:pPr>
        <w:spacing w:after="0" w:line="276" w:lineRule="auto"/>
        <w:rPr>
          <w:rFonts w:cs="Sylfaen"/>
          <w:color w:val="000000"/>
          <w:lang w:val="hy-AM"/>
        </w:rPr>
      </w:pPr>
      <w:r>
        <w:rPr>
          <w:rFonts w:cs="Sylfaen"/>
          <w:color w:val="000000"/>
          <w:lang w:val="hy-AM"/>
        </w:rPr>
        <w:t>Պետական պահպանության ծառայության նպատակներն են` իր իրավասության սահմաններում կազմակերպել պետական պահպանության ենթակա օբյեկտների անվտանգությունը, կանխատեսել և բացահայտել այդ օբյեկտներին սպառնացող վտանգը և նրանց կանխարգելման համար իրականացնել համալիր միջոցառումներ, պետական պահպանության օբյեկտների անվտանգությունն ապահովել նրանց մշտական կամ ժամանակավոր գտնվելու վայրում, իր իրավասության շրջանակներում մասնակցել ահաբեկչության դեմ պայքարին, պաշտպանել պահպանվող օբյեկտները, կանխել և խափանել պահպանվող օբյեկտներում հանցագործությունները և այլ իրավախախտումները, ապահովել սահմանված անցագրային ռեժիմն ու կարգը:</w:t>
      </w:r>
    </w:p>
    <w:p w14:paraId="74329F0F" w14:textId="77777777" w:rsidR="00FE6E13" w:rsidRDefault="00FE6E13" w:rsidP="00FE6E13">
      <w:pPr>
        <w:spacing w:after="0" w:line="276" w:lineRule="auto"/>
        <w:rPr>
          <w:rFonts w:cs="Sylfaen"/>
          <w:color w:val="000000"/>
          <w:lang w:val="hy-AM"/>
        </w:rPr>
      </w:pPr>
      <w:r>
        <w:rPr>
          <w:rFonts w:cs="Sylfaen"/>
          <w:color w:val="000000"/>
          <w:lang w:val="hy-AM"/>
        </w:rPr>
        <w:t>Ազգային անվտանգության գերակա վերջնական արդյունքն է ազգային անվտանգության ապահովումը, իսկ պետական պահպանության ծառայության գերակա վերջնական արդյունքն է հատուկ պետական պաշտպանության ենթակա օբյեկտների անվտանգության ապահովումը:</w:t>
      </w:r>
    </w:p>
    <w:p w14:paraId="550CFC0F" w14:textId="77777777" w:rsidR="00FE6E13" w:rsidRDefault="00FE6E13" w:rsidP="00FE6E13">
      <w:pPr>
        <w:spacing w:after="0" w:line="276" w:lineRule="auto"/>
        <w:rPr>
          <w:rFonts w:cs="Sylfaen"/>
          <w:color w:val="000000"/>
          <w:lang w:val="hy-AM"/>
        </w:rPr>
      </w:pPr>
      <w:r>
        <w:rPr>
          <w:b/>
          <w:lang w:val="hy-AM"/>
        </w:rPr>
        <w:t xml:space="preserve">ՈԼՈՐՏԱՅԻՆ ԾԱԽՍԱՅԻՆ ԾՐԱԳՐԵՐԸ </w:t>
      </w:r>
    </w:p>
    <w:p w14:paraId="6E2E9DCB" w14:textId="77777777" w:rsidR="00FE6E13" w:rsidRDefault="00FE6E13" w:rsidP="00FE6E13">
      <w:pPr>
        <w:spacing w:after="0" w:line="276" w:lineRule="auto"/>
        <w:rPr>
          <w:rFonts w:cs="Sylfaen"/>
          <w:color w:val="000000"/>
          <w:lang w:val="hy-AM"/>
        </w:rPr>
      </w:pPr>
      <w:r>
        <w:rPr>
          <w:rFonts w:cs="Sylfaen"/>
          <w:color w:val="000000"/>
          <w:lang w:val="hy-AM"/>
        </w:rPr>
        <w:t>Ազգային անվտանգության համակարգի զարգացման հիմնական միտումները նպատակաուղղված են ներքին և արտաքին սպառնալիքներից անձի, հասարակության ու պետության անվտանգության ապահովման բարձրացմանը, տնտեսության ոլորտում կատարվող հանցագործությունների, այդ թվում՝ կոռուպցիայի տարբեր դրսևորումների և տնտեսության զարգացմանը խոչընդոտող այլ երևույթների ժամանակին հայտնաբերման ու բացահայտման աշխատանքների ակտիվացմանը, օպերատիվ գործունեության արդյունավետության բարձրացմանը, պետական սահմանի շուրջօրյա հսկման և պահպանման բարելավմանը, այդ թվում նաև էլեկտրոնային համակարգերով և ծառայողական կենդանիներով (շներ, ձիեր և այլն), հետախուզության, հակահետախուզության ոլորտի ընդլայնմանը, օտարերկրյա հատուկ ծառայությունների կողմից օգտագործվող գործակալական ցանցի բացահայտման հետ կապված աշխատանքների զարգացմանը, գաղտնի տեղեկատվության անվտանգություն մակարդակի բարելավմանը, նոր համակարգի ներդրման ապահովմանը:</w:t>
      </w:r>
    </w:p>
    <w:p w14:paraId="0D68667E" w14:textId="77777777" w:rsidR="00FE6E13" w:rsidRDefault="00FE6E13" w:rsidP="00FE6E13">
      <w:pPr>
        <w:spacing w:after="0" w:line="276" w:lineRule="auto"/>
        <w:rPr>
          <w:rFonts w:cs="Sylfaen"/>
          <w:color w:val="000000"/>
          <w:lang w:val="hy-AM"/>
        </w:rPr>
      </w:pPr>
      <w:r>
        <w:rPr>
          <w:rFonts w:cs="Sylfaen"/>
          <w:color w:val="000000"/>
          <w:lang w:val="hy-AM"/>
        </w:rPr>
        <w:t>Պետական պահպանության ծառայության զարգացման հիմնական միտումները նպատակաուղղված են պետական պահպանության ծառայության հատուկ պետական պաշտպանության ենթակա անձանց, ինչպես նաև մշտական և ժամանակավոր պահպանվող օբյեկտների անվտանգության ապահովման բարձրացմանը, պետական պահպանության ապահովման համար տեխնիկա-տնտեսական բազայի ամրապնդմանը, զենք զինամթերքի արդիականացմանը և ավելացմանը, անհրաժեշտ նյութական ռեսուրսներով ապահովմանը, զինծառայողների և զինվորական կոչում չունեցող աշխատակիցների ֆինանսական և սոցիալական վիճակի բարելավմանը, սեփական ուսումնական կենտրոնի և նրան կից անհրաժեշտ շինություններով, լրացուցիչ պահեստներով ապահովմանը, ինչպես նաև անձնակազմի մասնագիտական պատրաստականության բարձրացմանը:</w:t>
      </w:r>
    </w:p>
    <w:p w14:paraId="7930990E" w14:textId="77777777" w:rsidR="00FE6E13" w:rsidRDefault="00FE6E13" w:rsidP="00FE6E13">
      <w:pPr>
        <w:pStyle w:val="NormalWeb"/>
        <w:spacing w:before="0" w:after="0" w:line="276" w:lineRule="auto"/>
        <w:rPr>
          <w:rFonts w:cs="Times LatArm"/>
          <w:b/>
          <w:szCs w:val="22"/>
          <w:lang w:val="hy-AM"/>
        </w:rPr>
      </w:pPr>
      <w:r>
        <w:rPr>
          <w:rFonts w:cs="Times LatArm"/>
          <w:b/>
          <w:szCs w:val="22"/>
          <w:lang w:val="hy-AM"/>
        </w:rPr>
        <w:t>1. Ազգային</w:t>
      </w:r>
      <w:r>
        <w:rPr>
          <w:rFonts w:cs="Times LatArm"/>
          <w:b/>
          <w:szCs w:val="22"/>
          <w:lang w:val="it-IT"/>
        </w:rPr>
        <w:t xml:space="preserve"> </w:t>
      </w:r>
      <w:r>
        <w:rPr>
          <w:rFonts w:cs="Times LatArm"/>
          <w:b/>
          <w:szCs w:val="22"/>
          <w:lang w:val="hy-AM"/>
        </w:rPr>
        <w:t>անվտանգություն</w:t>
      </w:r>
      <w:r>
        <w:rPr>
          <w:rFonts w:cs="Times LatArm"/>
          <w:b/>
          <w:szCs w:val="22"/>
          <w:lang w:val="it-IT"/>
        </w:rPr>
        <w:t xml:space="preserve"> </w:t>
      </w:r>
      <w:r>
        <w:rPr>
          <w:rFonts w:cs="Times LatArm"/>
          <w:b/>
          <w:szCs w:val="22"/>
          <w:lang w:val="hy-AM"/>
        </w:rPr>
        <w:t>ծրագիր.</w:t>
      </w:r>
    </w:p>
    <w:p w14:paraId="586CB182" w14:textId="77777777" w:rsidR="00FE6E13" w:rsidRDefault="00FE6E13" w:rsidP="00FE6E13">
      <w:pPr>
        <w:spacing w:after="0" w:line="276" w:lineRule="auto"/>
        <w:rPr>
          <w:rFonts w:cs="Sylfaen"/>
          <w:color w:val="000000"/>
          <w:lang w:val="hy-AM"/>
        </w:rPr>
      </w:pPr>
      <w:r>
        <w:rPr>
          <w:rFonts w:cs="Sylfaen"/>
          <w:color w:val="000000"/>
          <w:lang w:val="hy-AM"/>
        </w:rPr>
        <w:t>Ծրագրի նպատակն է ներքին և արտաքին սպառնալիքներից անձի, հասարակության ու պետության անվտանգության ապահովում</w:t>
      </w:r>
      <w:r w:rsidR="00E27191">
        <w:rPr>
          <w:rFonts w:cs="Sylfaen"/>
          <w:color w:val="000000"/>
          <w:lang w:val="hy-AM"/>
        </w:rPr>
        <w:t>ը,</w:t>
      </w:r>
      <w:r>
        <w:rPr>
          <w:rFonts w:cs="Sylfaen"/>
          <w:color w:val="000000"/>
          <w:lang w:val="hy-AM"/>
        </w:rPr>
        <w:t xml:space="preserve"> որի ուղղությամբ 2022-2024թթ. նախատեսվում է հատկացնել համապատասխանաբար՝ 31,293.1 մլն դրամ, 32,866.5 մլն դրամ և 33,140.3 մլն դրամ:</w:t>
      </w:r>
    </w:p>
    <w:p w14:paraId="5CE2B924" w14:textId="77777777" w:rsidR="00FE6E13" w:rsidRDefault="00FE6E13" w:rsidP="00FE6E13">
      <w:pPr>
        <w:pStyle w:val="NormalWeb"/>
        <w:spacing w:before="0" w:after="0" w:line="276" w:lineRule="auto"/>
        <w:rPr>
          <w:rFonts w:cs="Times LatArm"/>
          <w:b/>
          <w:szCs w:val="22"/>
          <w:lang w:val="hy-AM"/>
        </w:rPr>
      </w:pPr>
      <w:r>
        <w:rPr>
          <w:rFonts w:cs="Times LatArm"/>
          <w:szCs w:val="22"/>
          <w:lang w:val="hy-AM"/>
        </w:rPr>
        <w:t xml:space="preserve"> </w:t>
      </w:r>
      <w:r>
        <w:rPr>
          <w:rFonts w:cs="Times LatArm"/>
          <w:b/>
          <w:bCs/>
          <w:szCs w:val="22"/>
          <w:lang w:val="hy-AM"/>
        </w:rPr>
        <w:t>2</w:t>
      </w:r>
      <w:r>
        <w:rPr>
          <w:rFonts w:cs="Times LatArm"/>
          <w:b/>
          <w:szCs w:val="22"/>
          <w:lang w:val="hy-AM"/>
        </w:rPr>
        <w:t>. Պետական պահպանության ապահովում ծրագիր.</w:t>
      </w:r>
    </w:p>
    <w:p w14:paraId="00E59005" w14:textId="77777777" w:rsidR="00FE6E13" w:rsidRDefault="00FE6E13" w:rsidP="00FE6E13">
      <w:pPr>
        <w:spacing w:after="0" w:line="276" w:lineRule="auto"/>
        <w:rPr>
          <w:rFonts w:cs="Sylfaen"/>
          <w:color w:val="000000"/>
          <w:lang w:val="hy-AM"/>
        </w:rPr>
      </w:pPr>
      <w:r>
        <w:rPr>
          <w:rFonts w:cs="Sylfaen"/>
          <w:color w:val="000000"/>
          <w:lang w:val="hy-AM"/>
        </w:rPr>
        <w:t>Ծրագրի նպատակն է հատուկ պետական պաշտպանության ենթակա օբյեկտների անվտանգության ապահովումը, որի ուղղությամբ 2022 թվականին նախատեսվում է հատկացնել 3,562.0 մլն դրամ և 2023-2024թթ.՝ 3,751.0 մլն դրամ:</w:t>
      </w:r>
    </w:p>
    <w:p w14:paraId="01D2BF8D" w14:textId="77777777" w:rsidR="00FE6E13" w:rsidRDefault="00FE6E13" w:rsidP="00FE6E13">
      <w:pPr>
        <w:spacing w:after="0" w:line="276" w:lineRule="auto"/>
        <w:rPr>
          <w:rFonts w:cs="Sylfaen"/>
          <w:color w:val="000000"/>
          <w:lang w:val="hy-AM"/>
        </w:rPr>
      </w:pPr>
      <w:r>
        <w:rPr>
          <w:rFonts w:cs="Sylfaen"/>
          <w:color w:val="000000"/>
          <w:lang w:val="hy-AM"/>
        </w:rPr>
        <w:t>Ստորև ներկայացված են ազգային անվտանգության բնագավառի 2022-2024թթ</w:t>
      </w:r>
      <w:r>
        <w:rPr>
          <w:rFonts w:ascii="MS Mincho" w:eastAsia="MS Mincho" w:hAnsi="MS Mincho" w:cs="MS Mincho" w:hint="eastAsia"/>
          <w:color w:val="000000"/>
          <w:lang w:val="hy-AM"/>
        </w:rPr>
        <w:t>․</w:t>
      </w:r>
      <w:r>
        <w:rPr>
          <w:rFonts w:cs="Sylfaen"/>
          <w:color w:val="000000"/>
          <w:lang w:val="hy-AM"/>
        </w:rPr>
        <w:t xml:space="preserve"> յուրաքանչյուր տարվա համար նախատեսված չափաքանակները.</w:t>
      </w:r>
    </w:p>
    <w:p w14:paraId="0D0B2C64" w14:textId="77777777" w:rsidR="00FE6E13" w:rsidRDefault="00FE6E13" w:rsidP="00FE6E13">
      <w:pPr>
        <w:spacing w:after="0" w:line="276" w:lineRule="auto"/>
        <w:rPr>
          <w:rFonts w:cs="Sylfaen"/>
          <w:color w:val="000000"/>
          <w:lang w:val="hy-AM"/>
        </w:rPr>
      </w:pPr>
      <w:r>
        <w:rPr>
          <w:rFonts w:cs="Sylfaen"/>
          <w:color w:val="000000"/>
          <w:lang w:val="hy-AM"/>
        </w:rPr>
        <w:t>2022 թվականի համար՝ 34,855.1 մլն դրամ,</w:t>
      </w:r>
    </w:p>
    <w:p w14:paraId="00B29EBB" w14:textId="77777777" w:rsidR="00FE6E13" w:rsidRDefault="00FE6E13" w:rsidP="00FE6E13">
      <w:pPr>
        <w:spacing w:after="0" w:line="276" w:lineRule="auto"/>
        <w:rPr>
          <w:rFonts w:cs="Sylfaen"/>
          <w:color w:val="000000"/>
          <w:lang w:val="hy-AM"/>
        </w:rPr>
      </w:pPr>
      <w:r>
        <w:rPr>
          <w:rFonts w:cs="Sylfaen"/>
          <w:color w:val="000000"/>
          <w:lang w:val="hy-AM"/>
        </w:rPr>
        <w:t>2023 թվականի համար՝ 36,617.5 մլն դրամ,</w:t>
      </w:r>
    </w:p>
    <w:p w14:paraId="5F801F14" w14:textId="77777777" w:rsidR="00FE6E13" w:rsidRDefault="00FE6E13" w:rsidP="00BE6CC0">
      <w:pPr>
        <w:spacing w:after="0" w:line="276" w:lineRule="auto"/>
        <w:rPr>
          <w:rFonts w:cs="Sylfaen"/>
          <w:color w:val="000000"/>
          <w:lang w:val="hy-AM"/>
        </w:rPr>
      </w:pPr>
      <w:r>
        <w:rPr>
          <w:rFonts w:cs="Sylfaen"/>
          <w:color w:val="000000"/>
          <w:lang w:val="hy-AM"/>
        </w:rPr>
        <w:t xml:space="preserve">2024 թվականի համար՝ 36,891.3 մլն </w:t>
      </w:r>
      <w:r w:rsidR="00BE6CC0">
        <w:rPr>
          <w:rFonts w:cs="Sylfaen"/>
          <w:color w:val="000000"/>
          <w:lang w:val="hy-AM"/>
        </w:rPr>
        <w:t>դրա</w:t>
      </w:r>
    </w:p>
    <w:p w14:paraId="51353D62" w14:textId="77777777" w:rsidR="00146C6E" w:rsidRPr="00BE6CC0" w:rsidRDefault="00146C6E" w:rsidP="00BE6CC0">
      <w:pPr>
        <w:spacing w:after="0" w:line="276" w:lineRule="auto"/>
        <w:rPr>
          <w:rFonts w:cs="Sylfaen"/>
          <w:color w:val="000000"/>
          <w:lang w:val="hy-AM"/>
        </w:rPr>
      </w:pPr>
    </w:p>
    <w:p w14:paraId="0280B78A" w14:textId="77777777" w:rsidR="00DA0E15" w:rsidRDefault="00FE6E13">
      <w:pPr>
        <w:pStyle w:val="Heading3"/>
        <w:spacing w:before="0" w:after="120" w:line="276" w:lineRule="auto"/>
        <w:jc w:val="both"/>
        <w:rPr>
          <w:rFonts w:eastAsia="Times New Roman" w:cs="Times New Roman"/>
          <w:caps w:val="0"/>
          <w:color w:val="1F497D" w:themeColor="text2"/>
          <w:sz w:val="28"/>
          <w:szCs w:val="28"/>
        </w:rPr>
      </w:pPr>
      <w:bookmarkStart w:id="631" w:name="_Toc77837884"/>
      <w:r w:rsidRPr="00FA0954">
        <w:rPr>
          <w:rFonts w:eastAsia="Times New Roman" w:cs="Times New Roman"/>
          <w:caps w:val="0"/>
          <w:color w:val="1F497D" w:themeColor="text2"/>
          <w:sz w:val="28"/>
          <w:szCs w:val="28"/>
        </w:rPr>
        <w:t>15.</w:t>
      </w:r>
      <w:r w:rsidR="00362131">
        <w:rPr>
          <w:rFonts w:eastAsia="Times New Roman" w:cs="Times New Roman"/>
          <w:caps w:val="0"/>
          <w:color w:val="1F497D" w:themeColor="text2"/>
          <w:sz w:val="28"/>
          <w:szCs w:val="28"/>
        </w:rPr>
        <w:t>ՊԵՏԱԿԱՆ ԵԿԱՄՈՒՏՆԵՐ</w:t>
      </w:r>
      <w:bookmarkEnd w:id="627"/>
      <w:bookmarkEnd w:id="628"/>
      <w:bookmarkEnd w:id="631"/>
    </w:p>
    <w:p w14:paraId="1F0DE1EE" w14:textId="143CD4E0" w:rsidR="00DA0E15" w:rsidRDefault="00362131">
      <w:pPr>
        <w:spacing w:after="0" w:line="276" w:lineRule="auto"/>
        <w:rPr>
          <w:rFonts w:cs="Calibri"/>
          <w:iCs/>
          <w:color w:val="000000"/>
          <w:lang w:val="af-ZA" w:eastAsia="en-GB"/>
        </w:rPr>
      </w:pPr>
      <w:bookmarkStart w:id="632" w:name="_Toc45637529"/>
      <w:bookmarkStart w:id="633" w:name="_Toc45838553"/>
      <w:r>
        <w:rPr>
          <w:rFonts w:eastAsia="GHEA Grapalat" w:cs="GHEA Grapalat"/>
          <w:color w:val="1D2228"/>
          <w:lang w:val="hy-AM"/>
        </w:rPr>
        <w:t xml:space="preserve">Առաջիկա տարիներին ՊԵԿ-ի կողմից իրականացվող հիմնական նպատակն է լինելու </w:t>
      </w:r>
      <w:r>
        <w:rPr>
          <w:rFonts w:cs="Arial"/>
          <w:iCs/>
          <w:color w:val="000000"/>
          <w:lang w:val="af-ZA" w:eastAsia="en-GB"/>
        </w:rPr>
        <w:t xml:space="preserve"> </w:t>
      </w:r>
      <w:r>
        <w:rPr>
          <w:rFonts w:cs="Arial"/>
          <w:iCs/>
          <w:color w:val="000000"/>
          <w:lang w:val="hy-AM" w:eastAsia="en-GB"/>
        </w:rPr>
        <w:t>հարկային</w:t>
      </w:r>
      <w:r>
        <w:rPr>
          <w:rFonts w:cs="Calibri"/>
          <w:iCs/>
          <w:color w:val="000000"/>
          <w:lang w:val="af-ZA" w:eastAsia="en-GB"/>
        </w:rPr>
        <w:t xml:space="preserve"> </w:t>
      </w:r>
      <w:r>
        <w:rPr>
          <w:rFonts w:cs="Arial"/>
          <w:iCs/>
          <w:color w:val="000000"/>
          <w:lang w:val="hy-AM" w:eastAsia="en-GB"/>
        </w:rPr>
        <w:t>և</w:t>
      </w:r>
      <w:r>
        <w:rPr>
          <w:rFonts w:cs="Calibri"/>
          <w:iCs/>
          <w:color w:val="000000"/>
          <w:lang w:val="af-ZA" w:eastAsia="en-GB"/>
        </w:rPr>
        <w:t xml:space="preserve"> </w:t>
      </w:r>
      <w:r>
        <w:rPr>
          <w:rFonts w:cs="Arial"/>
          <w:iCs/>
          <w:color w:val="000000"/>
          <w:lang w:val="hy-AM" w:eastAsia="en-GB"/>
        </w:rPr>
        <w:t>մաքսային</w:t>
      </w:r>
      <w:r>
        <w:rPr>
          <w:rFonts w:cs="Calibri"/>
          <w:iCs/>
          <w:color w:val="000000"/>
          <w:lang w:val="af-ZA" w:eastAsia="en-GB"/>
        </w:rPr>
        <w:t xml:space="preserve"> </w:t>
      </w:r>
      <w:r>
        <w:rPr>
          <w:rFonts w:cs="Arial"/>
          <w:iCs/>
          <w:color w:val="000000"/>
          <w:lang w:val="hy-AM" w:eastAsia="en-GB"/>
        </w:rPr>
        <w:t>օրենսդրության</w:t>
      </w:r>
      <w:r>
        <w:rPr>
          <w:rFonts w:cs="Calibri"/>
          <w:iCs/>
          <w:color w:val="000000"/>
          <w:lang w:val="af-ZA" w:eastAsia="en-GB"/>
        </w:rPr>
        <w:t xml:space="preserve"> </w:t>
      </w:r>
      <w:r>
        <w:rPr>
          <w:rFonts w:cs="Arial"/>
          <w:iCs/>
          <w:color w:val="000000"/>
          <w:lang w:val="hy-AM" w:eastAsia="en-GB"/>
        </w:rPr>
        <w:t>ամբողջական</w:t>
      </w:r>
      <w:r>
        <w:rPr>
          <w:rFonts w:cs="Calibri"/>
          <w:iCs/>
          <w:color w:val="000000"/>
          <w:lang w:val="af-ZA" w:eastAsia="en-GB"/>
        </w:rPr>
        <w:t xml:space="preserve"> </w:t>
      </w:r>
      <w:r>
        <w:rPr>
          <w:rFonts w:cs="Arial"/>
          <w:iCs/>
          <w:color w:val="000000"/>
          <w:lang w:val="hy-AM" w:eastAsia="en-GB"/>
        </w:rPr>
        <w:t>և</w:t>
      </w:r>
      <w:r>
        <w:rPr>
          <w:rFonts w:cs="Calibri"/>
          <w:iCs/>
          <w:color w:val="000000"/>
          <w:lang w:val="af-ZA" w:eastAsia="en-GB"/>
        </w:rPr>
        <w:t xml:space="preserve"> </w:t>
      </w:r>
      <w:r>
        <w:rPr>
          <w:rFonts w:cs="Arial"/>
          <w:iCs/>
          <w:color w:val="000000"/>
          <w:lang w:val="hy-AM" w:eastAsia="en-GB"/>
        </w:rPr>
        <w:t>համահավասար</w:t>
      </w:r>
      <w:r>
        <w:rPr>
          <w:rFonts w:cs="Calibri"/>
          <w:iCs/>
          <w:color w:val="000000"/>
          <w:lang w:val="af-ZA" w:eastAsia="en-GB"/>
        </w:rPr>
        <w:t xml:space="preserve"> </w:t>
      </w:r>
      <w:r>
        <w:rPr>
          <w:rFonts w:cs="Arial"/>
          <w:iCs/>
          <w:color w:val="000000"/>
          <w:lang w:val="hy-AM" w:eastAsia="en-GB"/>
        </w:rPr>
        <w:t>կիրառում</w:t>
      </w:r>
      <w:r>
        <w:rPr>
          <w:rFonts w:cs="Calibri"/>
          <w:iCs/>
          <w:color w:val="000000"/>
          <w:lang w:val="af-ZA" w:eastAsia="en-GB"/>
        </w:rPr>
        <w:t xml:space="preserve">ը: </w:t>
      </w:r>
    </w:p>
    <w:p w14:paraId="72A13529" w14:textId="77777777" w:rsidR="00DA0E15" w:rsidRDefault="00362131">
      <w:pPr>
        <w:spacing w:after="0" w:line="276" w:lineRule="auto"/>
        <w:rPr>
          <w:b/>
          <w:lang w:val="hy-AM"/>
        </w:rPr>
      </w:pPr>
      <w:r>
        <w:rPr>
          <w:b/>
          <w:lang w:val="hy-AM"/>
        </w:rPr>
        <w:t>ՈԼՈՐՏԱՅԻՆ ԾԱԽՍԱՅԻՆ ԾՐԱԳՐԵՐԸ</w:t>
      </w:r>
    </w:p>
    <w:p w14:paraId="2D81649A" w14:textId="77777777" w:rsidR="00DA0E15" w:rsidRDefault="00362131">
      <w:pPr>
        <w:spacing w:after="0" w:line="276" w:lineRule="auto"/>
        <w:rPr>
          <w:b/>
          <w:lang w:val="hy-AM"/>
        </w:rPr>
      </w:pPr>
      <w:r>
        <w:rPr>
          <w:b/>
          <w:lang w:val="hy-AM"/>
        </w:rPr>
        <w:t>«1023. Հարկային և մաքսային ծառայություններ»</w:t>
      </w:r>
    </w:p>
    <w:p w14:paraId="57FD216A" w14:textId="77777777" w:rsidR="00DA0E15" w:rsidRDefault="00362131">
      <w:pPr>
        <w:spacing w:after="0" w:line="276" w:lineRule="auto"/>
      </w:pPr>
      <w:r>
        <w:t>Ծրագրի նպատակն է՝</w:t>
      </w:r>
    </w:p>
    <w:p w14:paraId="24F7C590" w14:textId="1090721C" w:rsidR="00DA0E15" w:rsidRDefault="00362131" w:rsidP="00C0628C">
      <w:pPr>
        <w:numPr>
          <w:ilvl w:val="0"/>
          <w:numId w:val="25"/>
        </w:numPr>
        <w:tabs>
          <w:tab w:val="left" w:pos="851"/>
        </w:tabs>
        <w:spacing w:before="0" w:after="0" w:line="276" w:lineRule="auto"/>
        <w:ind w:left="0" w:firstLine="567"/>
      </w:pPr>
      <w:r>
        <w:t xml:space="preserve">  Հարկային և մաքսային </w:t>
      </w:r>
      <w:r w:rsidR="00C0525B">
        <w:t>վարչարարության</w:t>
      </w:r>
      <w:r>
        <w:t xml:space="preserve"> պլանավորումը, մոնիտորինգը, հարկային և մաքսային օրենսդրության ամբողջական և համահավասար կիրառում</w:t>
      </w:r>
      <w:r w:rsidR="00C0525B">
        <w:t>ը</w:t>
      </w:r>
      <w:r>
        <w:t>, ծրագրերի համակարգումը, գանձման, վերահսկողության և աջակցության ծառայություները, որոնք նպաստում են ՀՀ-ում արդյունավետ հարկային և մաքսային վարչարարության իրականացմանը:</w:t>
      </w:r>
    </w:p>
    <w:p w14:paraId="5062E7EC" w14:textId="77777777" w:rsidR="00DA0E15" w:rsidRDefault="00362131" w:rsidP="00C0628C">
      <w:pPr>
        <w:numPr>
          <w:ilvl w:val="0"/>
          <w:numId w:val="25"/>
        </w:numPr>
        <w:tabs>
          <w:tab w:val="left" w:pos="851"/>
        </w:tabs>
        <w:spacing w:before="0" w:after="0" w:line="276" w:lineRule="auto"/>
        <w:ind w:left="0" w:firstLine="567"/>
        <w:rPr>
          <w:lang w:val="hy-AM"/>
        </w:rPr>
      </w:pPr>
      <w:r>
        <w:t xml:space="preserve">  </w:t>
      </w:r>
      <w:r>
        <w:rPr>
          <w:lang w:val="hy-AM"/>
        </w:rPr>
        <w:t xml:space="preserve">ՀՀ հարկային օրենսգրքի համաձայն ակցիզային հարկով հարկման ենթակա ապրանքների համար տնտեսվարող սուբյեկտներին ակցիզային դրոշմանիշերով ապահովման դերը էական է հարկային եկամուտների հավաքագրման տեսանկյունից: </w:t>
      </w:r>
      <w:r>
        <w:t>Բացի այդ,</w:t>
      </w:r>
      <w:r>
        <w:rPr>
          <w:lang w:val="hy-AM"/>
        </w:rPr>
        <w:t xml:space="preserve"> «Առևտրի և ծառայությունների մասին» ՀՀ օրենքի և Եվրասիական տնտեսական միության մաքսային օրենսգրքի համաձայն պարտադիր դրոշմավորման ենթակա ապրանքների համար դրոշմապիտակների տրամադրումն ունի ռազմավարական նշանակություն հարկերի հավաքագրման և բյուջետային եկամուտների ապահովման տեսանկյունից:</w:t>
      </w:r>
      <w:r>
        <w:rPr>
          <w:lang w:val="hy-AM" w:eastAsia="zh-CN"/>
        </w:rPr>
        <w:t xml:space="preserve"> </w:t>
      </w:r>
    </w:p>
    <w:p w14:paraId="7D6834ED" w14:textId="77777777" w:rsidR="00DA0E15" w:rsidRDefault="00362131" w:rsidP="00C0628C">
      <w:pPr>
        <w:numPr>
          <w:ilvl w:val="0"/>
          <w:numId w:val="25"/>
        </w:numPr>
        <w:tabs>
          <w:tab w:val="left" w:pos="993"/>
        </w:tabs>
        <w:spacing w:before="0" w:after="0" w:line="276" w:lineRule="auto"/>
        <w:ind w:left="0" w:firstLine="567"/>
        <w:rPr>
          <w:lang w:val="hy-AM"/>
        </w:rPr>
      </w:pPr>
      <w:r>
        <w:rPr>
          <w:lang w:val="hy-AM"/>
        </w:rPr>
        <w:t xml:space="preserve">Հարկային և մաքսային ծառայությունների համար անհրաժեշտ նյութատեխնիկական բազայով ապահովումը նպաստում է ՀՀ ՊԵԿ բնականոն գործունեության անխափան ընթացքին: </w:t>
      </w:r>
    </w:p>
    <w:p w14:paraId="21C37364" w14:textId="77777777" w:rsidR="00DA0E15" w:rsidRDefault="00362131" w:rsidP="00C0628C">
      <w:pPr>
        <w:numPr>
          <w:ilvl w:val="0"/>
          <w:numId w:val="25"/>
        </w:numPr>
        <w:tabs>
          <w:tab w:val="left" w:pos="993"/>
        </w:tabs>
        <w:spacing w:before="0" w:after="0" w:line="276" w:lineRule="auto"/>
        <w:ind w:left="0" w:firstLine="567"/>
        <w:rPr>
          <w:lang w:val="hy-AM"/>
        </w:rPr>
      </w:pPr>
      <w:r>
        <w:rPr>
          <w:lang w:val="hy-AM"/>
        </w:rPr>
        <w:t>Յուրաքանչյուր ոք ունի իրավաբանական օգնություն ստանալու իրավունք: Համաձայն ՀՀ Սամանադրության իրավաբանական օգնությունը ցույց է տրվում պետական միջոցների հաշվին։ Յուրաքանչյուր տարի հարկային և մաքսային ծառայողների առնվազն մեկ երրորդը ենթակա է պարտադիր վերապատրաստման: Վերջիններիս մասնագիտական որակների կատարելագործումը միմիայն կնպաստի առավել որակյալ կադրային ապահովվածության իրականացմանը և որակյալ ծառայությունների մատուցմանը հասարակությանը:</w:t>
      </w:r>
    </w:p>
    <w:p w14:paraId="622E9094" w14:textId="77777777" w:rsidR="00DA0E15" w:rsidRDefault="00362131" w:rsidP="00C0628C">
      <w:pPr>
        <w:numPr>
          <w:ilvl w:val="0"/>
          <w:numId w:val="25"/>
        </w:numPr>
        <w:tabs>
          <w:tab w:val="left" w:pos="993"/>
        </w:tabs>
        <w:spacing w:before="0" w:after="0" w:line="276" w:lineRule="auto"/>
        <w:ind w:left="0" w:firstLine="567"/>
        <w:rPr>
          <w:lang w:val="hy-AM"/>
        </w:rPr>
      </w:pPr>
      <w:r>
        <w:rPr>
          <w:lang w:val="hy-AM"/>
        </w:rPr>
        <w:t>ՀՀ ՊԵԿ-ի նոր շենքերի և շինությունների շինարարությունը (նախագծումը) նպաստում է համակարգի գործունեության ընդլայնմանը, բարելավում է աշխատակիցների աշխատանքային պայմանները, իսկ ազատ տնտեսական գոտիների ընդլայնումը խթան է հանդիսանում ՀՀ-ում ներդրումային միջավայրի գրավչության բարձրացման համար: Նշված գործոններում իր կարևոր դերն ունի սահմանային անցակետերում վերափոխված շենքային պայմանների բարելավումը, որը հնարավորություն կստեղծի ժամանակակից չափանիշներին համապատասխան ընթացակարգեր կիրառելուն` խթանելով բեռնափոխադրումների արագ սպասարկումը: «Մեղրիի անցակետի արդիականացմամբ կգործի «մեկ պատուհան» համակարգը, ինչի արդյունքում բեռնափոխադրողները և սահմանային անցակետը հատողները կշփվեն մեկ մարմնի հետ:</w:t>
      </w:r>
    </w:p>
    <w:p w14:paraId="2F6D6205" w14:textId="77777777" w:rsidR="00DA0E15" w:rsidRDefault="00362131">
      <w:pPr>
        <w:spacing w:after="0" w:line="276" w:lineRule="auto"/>
        <w:rPr>
          <w:lang w:val="hy-AM"/>
        </w:rPr>
      </w:pPr>
      <w:r>
        <w:rPr>
          <w:lang w:val="hy-AM"/>
        </w:rPr>
        <w:t>Ծրագրի գծով 2022-2024թթ. նախատեսված չափաքանակներն են՝</w:t>
      </w:r>
    </w:p>
    <w:p w14:paraId="12563502" w14:textId="120D583C" w:rsidR="00DA0E15" w:rsidRDefault="00362131">
      <w:pPr>
        <w:spacing w:after="0" w:line="276" w:lineRule="auto"/>
        <w:rPr>
          <w:lang w:val="hy-AM"/>
        </w:rPr>
      </w:pPr>
      <w:r>
        <w:rPr>
          <w:lang w:val="hy-AM"/>
        </w:rPr>
        <w:t xml:space="preserve">2022 թվականի համար՝ </w:t>
      </w:r>
      <w:r w:rsidR="00531303" w:rsidRPr="00267BE4">
        <w:rPr>
          <w:lang w:val="hy-AM"/>
        </w:rPr>
        <w:t>32,644.9</w:t>
      </w:r>
      <w:r>
        <w:rPr>
          <w:lang w:val="hy-AM"/>
        </w:rPr>
        <w:t xml:space="preserve"> մլն դրամ, </w:t>
      </w:r>
    </w:p>
    <w:p w14:paraId="103C4361" w14:textId="1F182769" w:rsidR="00DA0E15" w:rsidRDefault="00362131">
      <w:pPr>
        <w:spacing w:after="0" w:line="276" w:lineRule="auto"/>
        <w:rPr>
          <w:lang w:val="hy-AM"/>
        </w:rPr>
      </w:pPr>
      <w:r>
        <w:rPr>
          <w:lang w:val="hy-AM"/>
        </w:rPr>
        <w:t>2023 թվականի համար՝</w:t>
      </w:r>
      <w:r w:rsidR="00DD120B">
        <w:rPr>
          <w:lang w:val="hy-AM"/>
        </w:rPr>
        <w:t xml:space="preserve"> </w:t>
      </w:r>
      <w:r w:rsidR="00531303" w:rsidRPr="00267BE4">
        <w:rPr>
          <w:lang w:val="hy-AM"/>
        </w:rPr>
        <w:t>35,265.1</w:t>
      </w:r>
      <w:r>
        <w:rPr>
          <w:lang w:val="hy-AM"/>
        </w:rPr>
        <w:t xml:space="preserve"> մլն դրամ,</w:t>
      </w:r>
    </w:p>
    <w:p w14:paraId="72F195CF" w14:textId="166EC093" w:rsidR="00DA0E15" w:rsidRDefault="00362131">
      <w:pPr>
        <w:spacing w:after="0" w:line="276" w:lineRule="auto"/>
        <w:rPr>
          <w:lang w:val="hy-AM"/>
        </w:rPr>
      </w:pPr>
      <w:r>
        <w:rPr>
          <w:lang w:val="hy-AM"/>
        </w:rPr>
        <w:t>2024 թվականի համար՝</w:t>
      </w:r>
      <w:r w:rsidR="00DD120B">
        <w:rPr>
          <w:lang w:val="hy-AM"/>
        </w:rPr>
        <w:t xml:space="preserve"> </w:t>
      </w:r>
      <w:r w:rsidR="00531303" w:rsidRPr="00267BE4">
        <w:rPr>
          <w:lang w:val="hy-AM"/>
        </w:rPr>
        <w:t>33,923.2</w:t>
      </w:r>
      <w:r>
        <w:rPr>
          <w:lang w:val="hy-AM"/>
        </w:rPr>
        <w:t xml:space="preserve"> մլն դրամ:</w:t>
      </w:r>
    </w:p>
    <w:p w14:paraId="390D2188" w14:textId="77777777" w:rsidR="00146C6E" w:rsidRDefault="00146C6E">
      <w:pPr>
        <w:spacing w:after="0" w:line="276" w:lineRule="auto"/>
        <w:rPr>
          <w:lang w:val="hy-AM"/>
        </w:rPr>
      </w:pPr>
    </w:p>
    <w:p w14:paraId="47CC37A5" w14:textId="77777777" w:rsidR="00DA0E15" w:rsidRDefault="00DE2043" w:rsidP="00DE2043">
      <w:pPr>
        <w:pStyle w:val="Heading3"/>
        <w:spacing w:before="0" w:after="120" w:line="276" w:lineRule="auto"/>
        <w:jc w:val="both"/>
        <w:rPr>
          <w:sz w:val="28"/>
          <w:szCs w:val="28"/>
        </w:rPr>
      </w:pPr>
      <w:bookmarkStart w:id="634" w:name="_Toc77837885"/>
      <w:r w:rsidRPr="00FA0954">
        <w:rPr>
          <w:rFonts w:eastAsia="Times New Roman" w:cs="Times New Roman"/>
          <w:caps w:val="0"/>
          <w:color w:val="1F497D" w:themeColor="text2"/>
          <w:sz w:val="28"/>
          <w:szCs w:val="28"/>
        </w:rPr>
        <w:t>1</w:t>
      </w:r>
      <w:r w:rsidR="00FE6E13" w:rsidRPr="00FA0954">
        <w:rPr>
          <w:rFonts w:eastAsia="Times New Roman" w:cs="Times New Roman"/>
          <w:caps w:val="0"/>
          <w:color w:val="1F497D" w:themeColor="text2"/>
          <w:sz w:val="28"/>
          <w:szCs w:val="28"/>
        </w:rPr>
        <w:t>6</w:t>
      </w:r>
      <w:r w:rsidRPr="00FA0954">
        <w:rPr>
          <w:rFonts w:eastAsia="Times New Roman" w:cs="Times New Roman"/>
          <w:caps w:val="0"/>
          <w:color w:val="1F497D" w:themeColor="text2"/>
          <w:sz w:val="28"/>
          <w:szCs w:val="28"/>
        </w:rPr>
        <w:t xml:space="preserve">. </w:t>
      </w:r>
      <w:r w:rsidR="00362131">
        <w:rPr>
          <w:rFonts w:eastAsia="Times New Roman" w:cs="Times New Roman"/>
          <w:caps w:val="0"/>
          <w:color w:val="1F497D" w:themeColor="text2"/>
          <w:sz w:val="28"/>
          <w:szCs w:val="28"/>
        </w:rPr>
        <w:t>ԱՆՇԱՐԺ ԳՈՒՅՔԻ ԿԱԴԱՍՏՐ</w:t>
      </w:r>
      <w:bookmarkEnd w:id="632"/>
      <w:bookmarkEnd w:id="633"/>
      <w:bookmarkEnd w:id="634"/>
    </w:p>
    <w:p w14:paraId="007F9B99" w14:textId="77777777" w:rsidR="00DA0E15" w:rsidRDefault="00362131">
      <w:pPr>
        <w:spacing w:after="0" w:line="276" w:lineRule="auto"/>
        <w:rPr>
          <w:rFonts w:cs="Sylfaen"/>
          <w:color w:val="000000"/>
          <w:lang w:val="hy-AM"/>
        </w:rPr>
      </w:pPr>
      <w:r>
        <w:rPr>
          <w:rFonts w:cs="Sylfaen"/>
          <w:color w:val="000000"/>
          <w:lang w:val="hy-AM"/>
        </w:rPr>
        <w:t>Վերջին տարիներին անշարժ գույքի կադաստրի վարման միջազգային առաջադեմ փորձի ուսումնասիրությունը ցույց տվեց, որ ուսումնասիրված երկրներում կադաստրի համակարգերի անվիճելի առավելությունը դրանց վարման գործընթացներում տեղեկատվական տեխնոլոգիաների կիրառման չափազանց բարձր մակարդակն է և համոզված լինելով, որ համակարգի հետագա զարգացումը, գործառույթների իրականացման որակի բարձրացումը և համակարգի գործունեության թափանցիկության ապահովումը, համակարգում կոռուպցիոն ռիսկերի նվազեցումը հնարավոր չէ առանց համակարգում արմատական բարեփոխումների իրականացման:</w:t>
      </w:r>
    </w:p>
    <w:p w14:paraId="3A80EA37" w14:textId="77777777" w:rsidR="00DA0E15" w:rsidRDefault="00DA0E15">
      <w:pPr>
        <w:spacing w:after="0" w:line="276" w:lineRule="auto"/>
        <w:rPr>
          <w:rFonts w:cs="Sylfaen"/>
          <w:color w:val="000000"/>
          <w:lang w:val="hy-AM"/>
        </w:rPr>
      </w:pPr>
    </w:p>
    <w:p w14:paraId="7EA60B35" w14:textId="77777777" w:rsidR="00DA0E15" w:rsidRDefault="00362131">
      <w:pPr>
        <w:spacing w:line="276" w:lineRule="auto"/>
        <w:ind w:left="340" w:firstLine="227"/>
        <w:rPr>
          <w:b/>
          <w:lang w:val="hy-AM"/>
        </w:rPr>
      </w:pPr>
      <w:r>
        <w:rPr>
          <w:b/>
          <w:lang w:val="hy-AM"/>
        </w:rPr>
        <w:t xml:space="preserve">ՈԼՈՐՏԱՅԻՆ ԾԱԽՍԱՅԻՆ ԾՐԱԳՐԵՐԸ </w:t>
      </w:r>
    </w:p>
    <w:p w14:paraId="4308E3A5" w14:textId="77777777" w:rsidR="00DA0E15" w:rsidRDefault="00362131">
      <w:pPr>
        <w:pStyle w:val="ListParagraph"/>
        <w:spacing w:after="0" w:line="276" w:lineRule="auto"/>
        <w:rPr>
          <w:b/>
          <w:bCs/>
          <w:color w:val="000000"/>
          <w:lang w:val="hy-AM"/>
        </w:rPr>
      </w:pPr>
      <w:r>
        <w:rPr>
          <w:rFonts w:cs="Sylfaen"/>
          <w:lang w:val="hy-AM"/>
        </w:rPr>
        <w:t>«</w:t>
      </w:r>
      <w:r>
        <w:rPr>
          <w:b/>
          <w:bCs/>
          <w:color w:val="000000"/>
          <w:lang w:val="hy-AM"/>
        </w:rPr>
        <w:t>Անշարժ գույքի կադաստրի վարման բնագավառում պետական քաղաքականության իրականացում</w:t>
      </w:r>
      <w:r>
        <w:rPr>
          <w:rFonts w:cs="Arial"/>
          <w:lang w:val="hy-AM"/>
        </w:rPr>
        <w:t>»</w:t>
      </w:r>
      <w:r>
        <w:rPr>
          <w:b/>
          <w:bCs/>
          <w:color w:val="000000"/>
          <w:lang w:val="hy-AM"/>
        </w:rPr>
        <w:t>.</w:t>
      </w:r>
    </w:p>
    <w:p w14:paraId="4712004A" w14:textId="77777777" w:rsidR="00DA0E15" w:rsidRDefault="00362131">
      <w:pPr>
        <w:spacing w:after="0" w:line="276" w:lineRule="auto"/>
        <w:rPr>
          <w:rFonts w:cs="Sylfaen"/>
          <w:color w:val="000000"/>
          <w:lang w:val="hy-AM"/>
        </w:rPr>
      </w:pPr>
      <w:r>
        <w:rPr>
          <w:rFonts w:cs="Sylfaen"/>
          <w:color w:val="000000"/>
          <w:lang w:val="hy-AM"/>
        </w:rPr>
        <w:t>Հասարակության</w:t>
      </w:r>
      <w:r>
        <w:rPr>
          <w:color w:val="000000"/>
          <w:lang w:val="hy-AM"/>
        </w:rPr>
        <w:t xml:space="preserve"> </w:t>
      </w:r>
      <w:r>
        <w:rPr>
          <w:rFonts w:ascii="GHEA Mariam" w:hAnsi="GHEA Mariam" w:cs="Sylfaen"/>
          <w:color w:val="000000" w:themeColor="text1"/>
          <w:sz w:val="24"/>
          <w:szCs w:val="24"/>
          <w:lang w:val="hy-AM"/>
        </w:rPr>
        <w:t xml:space="preserve"> </w:t>
      </w:r>
      <w:r>
        <w:rPr>
          <w:rFonts w:cs="Sylfaen"/>
          <w:color w:val="000000"/>
          <w:lang w:val="hy-AM"/>
        </w:rPr>
        <w:t>տեղեկատվական պահանջները բավարարելու նպատակով կոմիտեն 2022-2024 թվականների զարգացման հատվածում ամբողջապես կփորձի անցնելու առցանց ծառայությունների ինքնաշխատ համակարգի՝ հրաժարվելով թղթային փաստաթղթաշրջառանությունից։ Համակարգում առկա կոռուպցիոն ռիսկերը նվազեցնելու նպատակով կիրականացվեն կառուցվածքային բարեփոխումներ, որի  ռազմավարական նպատակները և գերակա վերջնական արդյունքներն առցանց, ինքնաշխատ, անթուղթ անշարժ գույքի կադաստրի ստեղծումն է:</w:t>
      </w:r>
    </w:p>
    <w:p w14:paraId="18A1FE70" w14:textId="77777777" w:rsidR="00DA0E15" w:rsidRDefault="00362131">
      <w:pPr>
        <w:spacing w:after="0" w:line="276" w:lineRule="auto"/>
        <w:rPr>
          <w:rFonts w:cs="Sylfaen"/>
          <w:color w:val="000000"/>
          <w:lang w:val="hy-AM"/>
        </w:rPr>
      </w:pPr>
      <w:r>
        <w:rPr>
          <w:rFonts w:cs="Sylfaen"/>
          <w:color w:val="000000"/>
          <w:lang w:val="hy-AM"/>
        </w:rPr>
        <w:t>Անշարժ գույքի հարկման համակարգի բարեփոխումների շրջանակներում Հայաստանի Հանրապետությունում արդեն ներդրվել է անշարժ գույքի միասնական գնահատման և հարկման համակարգ, որը հնարավորություն է տալիս անշարժ գույքի հարկով արդարացի հարկման մեխանիզմներ իրականացնելու, ապահովելով անշարժ գույքի շուկայի գնային իրավիճակի վերաբերյալ վերլուծական տեղեկատվական բազայի ստեղծմանը:</w:t>
      </w:r>
    </w:p>
    <w:p w14:paraId="19AAC337" w14:textId="77777777" w:rsidR="00DA0E15" w:rsidRDefault="00362131">
      <w:pPr>
        <w:spacing w:after="0" w:line="276" w:lineRule="auto"/>
        <w:rPr>
          <w:rFonts w:cs="Sylfaen"/>
          <w:color w:val="000000"/>
          <w:lang w:val="hy-AM"/>
        </w:rPr>
      </w:pPr>
      <w:r>
        <w:rPr>
          <w:rFonts w:cs="Sylfaen"/>
          <w:color w:val="000000"/>
          <w:lang w:val="hy-AM"/>
        </w:rPr>
        <w:t>Բարեփոխումներ են իրականացնել նաև գույքի շուկայական գնահատման ոլորտում, մասնավորապես օրենսդրական փոփոխություններով կկարգավորվեն նաև  ոչ միայն անշարժ գույքի, այլ նաև գույքի մյուս տեսակների՝ շարժական, բիզնեսի, ոչ նյութական ակտիվների և այլն շուկայական գնահատումները:</w:t>
      </w:r>
    </w:p>
    <w:p w14:paraId="470FD51E" w14:textId="77777777" w:rsidR="00DA0E15" w:rsidRDefault="00362131">
      <w:pPr>
        <w:spacing w:after="0" w:line="276" w:lineRule="auto"/>
        <w:rPr>
          <w:rFonts w:cs="Sylfaen"/>
          <w:color w:val="000000"/>
          <w:lang w:val="hy-AM"/>
        </w:rPr>
      </w:pPr>
      <w:r>
        <w:rPr>
          <w:rFonts w:cs="Sylfaen"/>
          <w:color w:val="000000"/>
          <w:lang w:val="hy-AM"/>
        </w:rPr>
        <w:t xml:space="preserve">Նշված ռազմավարության պահանջների խթանումը գեոդեզիական, քարտեզագրական և երկրատեղեկատվական համակարգի հիման վրա ՀՀ ինտեգրված, միասնական կադաստրի ստեղծումն է։ </w:t>
      </w:r>
    </w:p>
    <w:p w14:paraId="456FCC52" w14:textId="77777777" w:rsidR="00DA0E15" w:rsidRDefault="00362131">
      <w:pPr>
        <w:spacing w:after="0" w:line="276" w:lineRule="auto"/>
        <w:rPr>
          <w:rFonts w:cs="Sylfaen"/>
          <w:color w:val="000000"/>
          <w:lang w:val="hy-AM"/>
        </w:rPr>
      </w:pPr>
      <w:r>
        <w:rPr>
          <w:rFonts w:cs="Sylfaen"/>
          <w:color w:val="000000"/>
          <w:lang w:val="hy-AM"/>
        </w:rPr>
        <w:t>Ստեղծված քարտեզագեոդեզիական հիմքով երկրատեղեկատվական համակարգը հանդիսանալու է գերատեսչական տարբեր ոլորտների և առանձին տարածքների զարգացման ու արդյունավետ պլանավորման համար որպես բազա։ Գեոդեզիայի ու քարտեզագրության բնագավառի զարգացման նպատակով նախատեսվում է ավարտել հանրապետության ամբողջ տարածքի օդալուսանկարահանման աշխատանքները։</w:t>
      </w:r>
    </w:p>
    <w:p w14:paraId="6CFE3942" w14:textId="77777777" w:rsidR="00DA0E15" w:rsidRDefault="00362131">
      <w:pPr>
        <w:spacing w:after="0" w:line="276" w:lineRule="auto"/>
        <w:rPr>
          <w:rFonts w:cs="Sylfaen"/>
          <w:color w:val="000000"/>
          <w:lang w:val="hy-AM"/>
        </w:rPr>
      </w:pPr>
      <w:r>
        <w:rPr>
          <w:rFonts w:cs="Sylfaen"/>
          <w:color w:val="000000"/>
          <w:lang w:val="hy-AM"/>
        </w:rPr>
        <w:t>Ստեղծված քարտեզագեոդեզիական հիմքով երկրատեղեկատվական համակարգը հանդիսանալու է գերատեսչական տարբեր ոլորտների և առանձին տարածքների զարգացման ու արդյունավետ պլանավորման համար՝ որպես բազա: Գեոդեզիայի ու քարտեզագրության բնագավառի զարգացման նպատակով 2022-2024 թվականներին նախատեսվում է ավարտել հանրապետության ամբողջ տարածքի օդալուսանկարահանման աշխատանքները, իրականացնել Հայաստանի Հանրապետության սեյսմաակտիվ շրջաններում երկրակեղևի գործող խզվածքների բացահայտման համար I դասի ընթացքների կրկնակի նիվելիրացման աշխատանքները, ՀՀ թվային տեղագրական քարտեզները ԵՏՀ միջավայրում ստեղծելու աշխատանքները, օրթոֆոտոհատակագծերով ծածկված համայնքների կադաստրային թաղամասերի ճշգրտման, թաղամասերի ուղղման նպատակով լրացուցիչ կետերի դիտարկման և թաղամասերի արտաքին սահմանների ամբողջական ուղղման աշխատանքները։</w:t>
      </w:r>
    </w:p>
    <w:p w14:paraId="6FE78026" w14:textId="77777777" w:rsidR="00DA0E15" w:rsidRDefault="00362131">
      <w:pPr>
        <w:spacing w:after="0" w:line="276" w:lineRule="auto"/>
        <w:rPr>
          <w:rFonts w:cs="Sylfaen"/>
          <w:color w:val="000000"/>
          <w:lang w:val="hy-AM"/>
        </w:rPr>
      </w:pPr>
      <w:r>
        <w:rPr>
          <w:rFonts w:cs="Sylfaen"/>
          <w:color w:val="000000"/>
          <w:lang w:val="hy-AM"/>
        </w:rPr>
        <w:t xml:space="preserve">Ծրագրի համար 2022-2024թթ. նախատեսվում է հատկացնել համապատասխանաբար 4,407.6 մլն դրամ,  4,437.6 մլն դրամ և 3,870.9 մլն դրամ։ </w:t>
      </w:r>
    </w:p>
    <w:p w14:paraId="1F2C36A8" w14:textId="77777777" w:rsidR="00DA0E15" w:rsidRDefault="00DA0E15">
      <w:pPr>
        <w:spacing w:after="0" w:line="276" w:lineRule="auto"/>
        <w:rPr>
          <w:lang w:val="hy-AM"/>
        </w:rPr>
      </w:pPr>
    </w:p>
    <w:p w14:paraId="7E398074" w14:textId="77777777" w:rsidR="00DA0E15" w:rsidRDefault="00362131">
      <w:pPr>
        <w:spacing w:before="0" w:after="200" w:line="276" w:lineRule="auto"/>
        <w:ind w:firstLine="0"/>
        <w:jc w:val="left"/>
        <w:rPr>
          <w:rFonts w:eastAsiaTheme="majorEastAsia" w:cstheme="majorBidi"/>
          <w:bCs/>
          <w:lang w:val="es-ES"/>
        </w:rPr>
      </w:pPr>
      <w:r>
        <w:rPr>
          <w:lang w:val="hy-AM"/>
        </w:rPr>
        <w:br w:type="page"/>
      </w:r>
    </w:p>
    <w:p w14:paraId="7F01CF88" w14:textId="77777777" w:rsidR="00FE6E13" w:rsidRDefault="00362131" w:rsidP="00FE6E13">
      <w:pPr>
        <w:pStyle w:val="Heading3"/>
        <w:spacing w:before="0" w:after="120"/>
        <w:rPr>
          <w:rFonts w:eastAsia="Times New Roman" w:cs="Times New Roman"/>
          <w:caps w:val="0"/>
          <w:color w:val="1F497D" w:themeColor="text2"/>
          <w:sz w:val="28"/>
          <w:szCs w:val="28"/>
        </w:rPr>
      </w:pPr>
      <w:bookmarkStart w:id="635" w:name="_Toc77837886"/>
      <w:r>
        <w:rPr>
          <w:rFonts w:eastAsia="Times New Roman" w:cs="Times New Roman"/>
          <w:caps w:val="0"/>
          <w:color w:val="1F497D" w:themeColor="text2"/>
          <w:sz w:val="28"/>
          <w:szCs w:val="28"/>
        </w:rPr>
        <w:t>1</w:t>
      </w:r>
      <w:r w:rsidR="00FE6E13" w:rsidRPr="00FA0954">
        <w:rPr>
          <w:rFonts w:eastAsia="Times New Roman" w:cs="Times New Roman"/>
          <w:caps w:val="0"/>
          <w:color w:val="1F497D" w:themeColor="text2"/>
          <w:sz w:val="28"/>
          <w:szCs w:val="28"/>
          <w:lang w:val="es-ES"/>
        </w:rPr>
        <w:t>7</w:t>
      </w:r>
      <w:r w:rsidR="00FE6E13">
        <w:rPr>
          <w:rFonts w:eastAsia="Times New Roman" w:cs="Times New Roman"/>
          <w:caps w:val="0"/>
          <w:color w:val="1F497D" w:themeColor="text2"/>
          <w:sz w:val="28"/>
          <w:szCs w:val="28"/>
        </w:rPr>
        <w:t>. ՀՀ ՎԱՐՉԱՊԵՏԻ ԱՇԽԱՏԱԿԱԶՄ</w:t>
      </w:r>
      <w:bookmarkEnd w:id="635"/>
    </w:p>
    <w:p w14:paraId="03839C1B" w14:textId="77777777" w:rsidR="00FE6E13" w:rsidRDefault="00FE6E13" w:rsidP="00FE6E13">
      <w:pPr>
        <w:tabs>
          <w:tab w:val="left" w:pos="720"/>
          <w:tab w:val="left" w:pos="851"/>
          <w:tab w:val="left" w:pos="993"/>
        </w:tabs>
        <w:spacing w:line="276" w:lineRule="auto"/>
        <w:rPr>
          <w:rFonts w:cs="GHEA Grapalat"/>
          <w:lang w:val="hy-AM"/>
        </w:rPr>
      </w:pPr>
      <w:r>
        <w:rPr>
          <w:rFonts w:cs="GHEA Grapalat"/>
          <w:b/>
          <w:lang w:val="hy-AM"/>
        </w:rPr>
        <w:t xml:space="preserve"> </w:t>
      </w:r>
      <w:r>
        <w:rPr>
          <w:rFonts w:cs="GHEA Grapalat"/>
          <w:b/>
          <w:lang w:val="hy-AM"/>
        </w:rPr>
        <w:tab/>
      </w:r>
      <w:r>
        <w:rPr>
          <w:rFonts w:cs="GHEA Grapalat"/>
          <w:lang w:val="hy-AM"/>
        </w:rPr>
        <w:t>ՀՀ վարչապետի աշխատակազմը իրականացնում է</w:t>
      </w:r>
      <w:r>
        <w:rPr>
          <w:rFonts w:cs="GHEA Grapalat"/>
          <w:b/>
          <w:lang w:val="hy-AM"/>
        </w:rPr>
        <w:t xml:space="preserve"> 10 </w:t>
      </w:r>
      <w:r>
        <w:rPr>
          <w:rFonts w:cs="GHEA Grapalat"/>
          <w:lang w:val="hy-AM"/>
        </w:rPr>
        <w:t>ծրագ</w:t>
      </w:r>
      <w:r w:rsidR="00EE2180">
        <w:rPr>
          <w:rFonts w:cs="GHEA Grapalat"/>
          <w:lang w:val="hy-AM"/>
        </w:rPr>
        <w:t>ի</w:t>
      </w:r>
      <w:r>
        <w:rPr>
          <w:rFonts w:cs="GHEA Grapalat"/>
          <w:lang w:val="hy-AM"/>
        </w:rPr>
        <w:t>ր, որից 2-ը սփյուռքի գծով:</w:t>
      </w:r>
    </w:p>
    <w:p w14:paraId="6B08697C" w14:textId="77777777" w:rsidR="00FE6E13" w:rsidRDefault="00FE6E13" w:rsidP="00FE6E13">
      <w:pPr>
        <w:spacing w:after="0" w:line="276" w:lineRule="auto"/>
        <w:ind w:firstLine="720"/>
        <w:rPr>
          <w:rFonts w:cs="GHEA Grapalat"/>
          <w:lang w:val="hy-AM"/>
        </w:rPr>
      </w:pPr>
      <w:r>
        <w:rPr>
          <w:rFonts w:cs="GHEA Grapalat"/>
          <w:lang w:val="hy-AM"/>
        </w:rPr>
        <w:t>1.</w:t>
      </w:r>
      <w:r>
        <w:rPr>
          <w:lang w:val="hy-AM"/>
        </w:rPr>
        <w:t xml:space="preserve"> </w:t>
      </w:r>
      <w:r>
        <w:rPr>
          <w:rFonts w:cs="GHEA Grapalat"/>
          <w:b/>
          <w:lang w:val="hy-AM"/>
        </w:rPr>
        <w:t>Պետական հատվածի արդիականացման ծրագիր»</w:t>
      </w:r>
      <w:r>
        <w:rPr>
          <w:rFonts w:cs="GHEA Grapalat"/>
          <w:lang w:val="hy-AM"/>
        </w:rPr>
        <w:t>-ի նպատակ</w:t>
      </w:r>
      <w:r w:rsidR="00EE2180">
        <w:rPr>
          <w:rFonts w:cs="GHEA Grapalat"/>
          <w:lang w:val="hy-AM"/>
        </w:rPr>
        <w:t>ն է</w:t>
      </w:r>
      <w:r>
        <w:rPr>
          <w:rFonts w:cs="GHEA Grapalat"/>
          <w:lang w:val="hy-AM"/>
        </w:rPr>
        <w:t>՝</w:t>
      </w:r>
      <w:r>
        <w:rPr>
          <w:lang w:val="hy-AM"/>
        </w:rPr>
        <w:t xml:space="preserve"> </w:t>
      </w:r>
      <w:r>
        <w:rPr>
          <w:rFonts w:cs="GHEA Grapalat"/>
          <w:lang w:val="hy-AM"/>
        </w:rPr>
        <w:t>հանրային ֆինանսական հաշվետվությունների որակի և ընտրված էլեկտրոնային կառավարման կատարելագործված ծառայությունների հասանելիության բարելավում</w:t>
      </w:r>
      <w:r w:rsidR="00EE2180">
        <w:rPr>
          <w:rFonts w:cs="GHEA Grapalat"/>
          <w:lang w:val="hy-AM"/>
        </w:rPr>
        <w:t>ը</w:t>
      </w:r>
      <w:r>
        <w:rPr>
          <w:rFonts w:cs="GHEA Grapalat"/>
          <w:lang w:val="hy-AM"/>
        </w:rPr>
        <w:t>:</w:t>
      </w:r>
    </w:p>
    <w:p w14:paraId="3CC3A44C" w14:textId="77777777" w:rsidR="00FE6E13" w:rsidRDefault="00FE6E13" w:rsidP="00FE6E13">
      <w:pPr>
        <w:spacing w:after="0" w:line="276" w:lineRule="auto"/>
        <w:ind w:firstLine="720"/>
        <w:rPr>
          <w:lang w:val="af-ZA"/>
        </w:rPr>
      </w:pPr>
      <w:r>
        <w:rPr>
          <w:lang w:val="hy-AM"/>
        </w:rPr>
        <w:t xml:space="preserve"> Ծրագրի գծով 2022-2023 թվականներին նախատեսվում է հատկացնել, ըստ տարիների՝ </w:t>
      </w:r>
      <w:r w:rsidR="00EE2180">
        <w:rPr>
          <w:lang w:val="hy-AM"/>
        </w:rPr>
        <w:t>1,871</w:t>
      </w:r>
      <w:r>
        <w:rPr>
          <w:rFonts w:cs="Sylfaen"/>
          <w:lang w:val="af-ZA"/>
        </w:rPr>
        <w:t>.</w:t>
      </w:r>
      <w:r w:rsidR="00EE2180">
        <w:rPr>
          <w:rFonts w:cs="Sylfaen"/>
          <w:lang w:val="hy-AM"/>
        </w:rPr>
        <w:t>6</w:t>
      </w:r>
      <w:r>
        <w:rPr>
          <w:rFonts w:cs="Sylfaen"/>
          <w:lang w:val="hy-AM"/>
        </w:rPr>
        <w:t xml:space="preserve"> և </w:t>
      </w:r>
      <w:r w:rsidR="00EE2180">
        <w:rPr>
          <w:rFonts w:cs="Sylfaen"/>
          <w:lang w:val="hy-AM"/>
        </w:rPr>
        <w:t>2,688</w:t>
      </w:r>
      <w:r>
        <w:rPr>
          <w:rFonts w:cs="Sylfaen"/>
          <w:lang w:val="hy-AM"/>
        </w:rPr>
        <w:t>.0 մլն դրամ</w:t>
      </w:r>
      <w:r>
        <w:rPr>
          <w:lang w:val="af-ZA"/>
        </w:rPr>
        <w:t>:</w:t>
      </w:r>
    </w:p>
    <w:p w14:paraId="3882C0F7" w14:textId="77777777" w:rsidR="00FE6E13" w:rsidRDefault="00FE6E13" w:rsidP="00FE6E13">
      <w:pPr>
        <w:tabs>
          <w:tab w:val="left" w:pos="720"/>
          <w:tab w:val="left" w:pos="851"/>
          <w:tab w:val="left" w:pos="993"/>
        </w:tabs>
        <w:spacing w:line="276" w:lineRule="auto"/>
        <w:rPr>
          <w:rFonts w:cs="GHEA Grapalat"/>
          <w:lang w:val="hy-AM"/>
        </w:rPr>
      </w:pPr>
      <w:r>
        <w:rPr>
          <w:rFonts w:cs="GHEA Grapalat"/>
          <w:lang w:val="hy-AM"/>
        </w:rPr>
        <w:tab/>
        <w:t xml:space="preserve">2. </w:t>
      </w:r>
      <w:r>
        <w:rPr>
          <w:rFonts w:cs="GHEA Grapalat"/>
          <w:b/>
          <w:lang w:val="hy-AM"/>
        </w:rPr>
        <w:t>Աջակցություն քաղաքական կուսակցություններին, հասարակական կազմակերպություններին և արհմիություններին»</w:t>
      </w:r>
      <w:r>
        <w:rPr>
          <w:rFonts w:cs="GHEA Grapalat"/>
          <w:lang w:val="hy-AM"/>
        </w:rPr>
        <w:t xml:space="preserve"> ծրագրի նպատակ</w:t>
      </w:r>
      <w:r w:rsidR="00EE2180">
        <w:rPr>
          <w:rFonts w:cs="GHEA Grapalat"/>
          <w:lang w:val="hy-AM"/>
        </w:rPr>
        <w:t>ն է</w:t>
      </w:r>
      <w:r>
        <w:rPr>
          <w:rFonts w:cs="GHEA Grapalat"/>
          <w:lang w:val="hy-AM"/>
        </w:rPr>
        <w:t>՝ նպաստել քաղաքացիական հասարակության զարգացմանը:</w:t>
      </w:r>
    </w:p>
    <w:p w14:paraId="0B3196E8" w14:textId="77777777" w:rsidR="00FE6E13" w:rsidRDefault="00FE6E13" w:rsidP="00FE6E13">
      <w:pPr>
        <w:tabs>
          <w:tab w:val="left" w:pos="720"/>
          <w:tab w:val="left" w:pos="851"/>
          <w:tab w:val="left" w:pos="993"/>
        </w:tabs>
        <w:spacing w:line="276" w:lineRule="auto"/>
        <w:rPr>
          <w:rFonts w:cs="GHEA Grapalat"/>
          <w:lang w:val="hy-AM"/>
        </w:rPr>
      </w:pPr>
      <w:r>
        <w:rPr>
          <w:rFonts w:cs="GHEA Grapalat"/>
          <w:lang w:val="hy-AM"/>
        </w:rPr>
        <w:tab/>
        <w:t>Ծրագրի շրջանակներում հատկացումներն ուղղվելու են պետական կառավարման գործընթացներին քաղաքացիական հասարակության մասնակցության ապահովմանը, հասարակական կազմակերպություններին, կուսակցություններին և կուսակցությունների դաշինքներին աջակցմանը:</w:t>
      </w:r>
    </w:p>
    <w:p w14:paraId="0876E73A" w14:textId="77777777" w:rsidR="00FE6E13" w:rsidRDefault="00FE6E13" w:rsidP="00FE6E13">
      <w:pPr>
        <w:spacing w:after="0" w:line="276" w:lineRule="auto"/>
        <w:ind w:firstLine="720"/>
        <w:rPr>
          <w:lang w:val="af-ZA"/>
        </w:rPr>
      </w:pPr>
      <w:r>
        <w:rPr>
          <w:lang w:val="hy-AM"/>
        </w:rPr>
        <w:t>Ծրագրի գծով 2022-2024 թվականներին նախատեսվում է հատկացնել, ըստ տարիների՝ 195</w:t>
      </w:r>
      <w:r>
        <w:rPr>
          <w:rFonts w:cs="Sylfaen"/>
          <w:lang w:val="af-ZA"/>
        </w:rPr>
        <w:t>.5</w:t>
      </w:r>
      <w:r>
        <w:rPr>
          <w:rFonts w:cs="Sylfaen"/>
          <w:lang w:val="hy-AM"/>
        </w:rPr>
        <w:t>; 191.0 և 196.7 մլն դրամ</w:t>
      </w:r>
      <w:r>
        <w:rPr>
          <w:lang w:val="af-ZA"/>
        </w:rPr>
        <w:t>:</w:t>
      </w:r>
    </w:p>
    <w:p w14:paraId="54913E3D" w14:textId="77777777" w:rsidR="00FE6E13" w:rsidRDefault="00FE6E13" w:rsidP="00FE6E13">
      <w:pPr>
        <w:tabs>
          <w:tab w:val="left" w:pos="720"/>
          <w:tab w:val="left" w:pos="851"/>
          <w:tab w:val="left" w:pos="993"/>
        </w:tabs>
        <w:spacing w:line="276" w:lineRule="auto"/>
        <w:rPr>
          <w:rFonts w:cs="GHEA Grapalat"/>
          <w:lang w:val="hy-AM"/>
        </w:rPr>
      </w:pPr>
      <w:r>
        <w:rPr>
          <w:rFonts w:cs="GHEA Grapalat"/>
          <w:lang w:val="hy-AM"/>
        </w:rPr>
        <w:tab/>
        <w:t xml:space="preserve">3. </w:t>
      </w:r>
      <w:r>
        <w:rPr>
          <w:rFonts w:cs="GHEA Grapalat"/>
          <w:b/>
          <w:lang w:val="hy-AM"/>
        </w:rPr>
        <w:t>Հանրային իրազեկում»</w:t>
      </w:r>
      <w:r>
        <w:rPr>
          <w:rFonts w:cs="GHEA Grapalat"/>
          <w:lang w:val="hy-AM"/>
        </w:rPr>
        <w:t xml:space="preserve"> ծրագրի նպատակ</w:t>
      </w:r>
      <w:r w:rsidR="00EE2180">
        <w:rPr>
          <w:rFonts w:cs="GHEA Grapalat"/>
          <w:lang w:val="hy-AM"/>
        </w:rPr>
        <w:t>ն է</w:t>
      </w:r>
      <w:r>
        <w:rPr>
          <w:rFonts w:cs="GHEA Grapalat"/>
          <w:lang w:val="hy-AM"/>
        </w:rPr>
        <w:t>՝ ապահովել հանրային կապերի՝ պետական մարմինների թափանցիկությունը, տեղեկատվության մատչելիությունը:</w:t>
      </w:r>
    </w:p>
    <w:p w14:paraId="630D7D67" w14:textId="77777777" w:rsidR="00FE6E13" w:rsidRDefault="00FE6E13" w:rsidP="00FE6E13">
      <w:pPr>
        <w:tabs>
          <w:tab w:val="left" w:pos="720"/>
          <w:tab w:val="left" w:pos="851"/>
          <w:tab w:val="left" w:pos="993"/>
        </w:tabs>
        <w:spacing w:line="276" w:lineRule="auto"/>
        <w:rPr>
          <w:rFonts w:cs="GHEA Grapalat"/>
          <w:lang w:val="hy-AM"/>
        </w:rPr>
      </w:pPr>
      <w:r>
        <w:rPr>
          <w:rFonts w:cs="GHEA Grapalat"/>
          <w:lang w:val="hy-AM"/>
        </w:rPr>
        <w:tab/>
        <w:t xml:space="preserve">Ծրագրով նախատեսված հատկացումները ուղղվելու են հանրային իրազեկման ապահովմանը, պետական մամուլի հրատարակմանը, «Միր» միջպետական հեռուստառադիոընկերության ՀՀ մասնաբաժնի վճարմանը, տեղեկատվության ձեռքբերման, պահպանման և արխիվացման ծառայությունների իրականացմանը: </w:t>
      </w:r>
    </w:p>
    <w:p w14:paraId="1790D10E" w14:textId="77777777" w:rsidR="00FE6E13" w:rsidRDefault="00FE6E13" w:rsidP="00FE6E13">
      <w:pPr>
        <w:spacing w:after="0" w:line="276" w:lineRule="auto"/>
        <w:ind w:firstLine="720"/>
        <w:rPr>
          <w:lang w:val="af-ZA"/>
        </w:rPr>
      </w:pPr>
      <w:r>
        <w:rPr>
          <w:lang w:val="hy-AM"/>
        </w:rPr>
        <w:t>Ծրագրի գծով 2022-2024 թվականներին նախատեսվում է հատկացնել, ըստ տարիների՝ 837.2</w:t>
      </w:r>
      <w:r>
        <w:rPr>
          <w:rFonts w:cs="Sylfaen"/>
          <w:lang w:val="hy-AM"/>
        </w:rPr>
        <w:t>; 860.5 և 886.2 մլն դրամ</w:t>
      </w:r>
      <w:r>
        <w:rPr>
          <w:lang w:val="af-ZA"/>
        </w:rPr>
        <w:t>:</w:t>
      </w:r>
    </w:p>
    <w:p w14:paraId="29B0CA7F" w14:textId="77777777" w:rsidR="00FE6E13" w:rsidRDefault="00FE6E13" w:rsidP="00FE6E13">
      <w:pPr>
        <w:tabs>
          <w:tab w:val="left" w:pos="720"/>
          <w:tab w:val="left" w:pos="851"/>
          <w:tab w:val="left" w:pos="993"/>
        </w:tabs>
        <w:spacing w:line="276" w:lineRule="auto"/>
        <w:rPr>
          <w:lang w:val="af-ZA"/>
        </w:rPr>
      </w:pPr>
      <w:r>
        <w:rPr>
          <w:rFonts w:cs="GHEA Grapalat"/>
          <w:lang w:val="hy-AM"/>
        </w:rPr>
        <w:tab/>
        <w:t>4.</w:t>
      </w:r>
      <w:r>
        <w:rPr>
          <w:lang w:val="hy-AM"/>
        </w:rPr>
        <w:t xml:space="preserve"> </w:t>
      </w:r>
      <w:r>
        <w:rPr>
          <w:rFonts w:cs="GHEA Grapalat"/>
          <w:b/>
          <w:lang w:val="hy-AM"/>
        </w:rPr>
        <w:t>Քաղաքացիական ծառայողների վերապատրաստում»</w:t>
      </w:r>
      <w:r>
        <w:rPr>
          <w:rFonts w:cs="GHEA Grapalat"/>
          <w:lang w:val="hy-AM"/>
        </w:rPr>
        <w:t xml:space="preserve"> ծրագրի նպատակ</w:t>
      </w:r>
      <w:r w:rsidR="00EE2180">
        <w:rPr>
          <w:rFonts w:cs="GHEA Grapalat"/>
          <w:lang w:val="hy-AM"/>
        </w:rPr>
        <w:t>ն է</w:t>
      </w:r>
      <w:r>
        <w:rPr>
          <w:rFonts w:cs="GHEA Grapalat"/>
          <w:lang w:val="hy-AM"/>
        </w:rPr>
        <w:t xml:space="preserve">՝ քաղաքացիական ծառայողների աշխատանքի  արդյունավետության բարելավումը: </w:t>
      </w:r>
      <w:r>
        <w:rPr>
          <w:rFonts w:cs="GHEA Grapalat"/>
          <w:lang w:val="hy-AM"/>
        </w:rPr>
        <w:cr/>
      </w:r>
      <w:r>
        <w:rPr>
          <w:lang w:val="hy-AM"/>
        </w:rPr>
        <w:t xml:space="preserve"> </w:t>
      </w:r>
      <w:r>
        <w:rPr>
          <w:lang w:val="hy-AM"/>
        </w:rPr>
        <w:tab/>
        <w:t>Ծրագրի գծով 2022-2024 թվականներին նախատեսվում է հատկացնել, ըստ տարիների՝ 16.2</w:t>
      </w:r>
      <w:r>
        <w:rPr>
          <w:rFonts w:cs="Sylfaen"/>
          <w:lang w:val="hy-AM"/>
        </w:rPr>
        <w:t>; 15.9 և 15.9 մլն դրամ</w:t>
      </w:r>
      <w:r>
        <w:rPr>
          <w:lang w:val="af-ZA"/>
        </w:rPr>
        <w:t>:</w:t>
      </w:r>
    </w:p>
    <w:p w14:paraId="7E553DC1" w14:textId="77777777" w:rsidR="00FE6E13" w:rsidRDefault="00FE6E13" w:rsidP="00FE6E13">
      <w:pPr>
        <w:tabs>
          <w:tab w:val="left" w:pos="720"/>
          <w:tab w:val="left" w:pos="851"/>
          <w:tab w:val="left" w:pos="993"/>
        </w:tabs>
        <w:spacing w:line="276" w:lineRule="auto"/>
        <w:rPr>
          <w:rFonts w:cs="GHEA Grapalat"/>
          <w:lang w:val="hy-AM"/>
        </w:rPr>
      </w:pPr>
      <w:r>
        <w:rPr>
          <w:rFonts w:cs="GHEA Grapalat"/>
          <w:lang w:val="hy-AM"/>
        </w:rPr>
        <w:t xml:space="preserve"> </w:t>
      </w:r>
      <w:r>
        <w:rPr>
          <w:rFonts w:cs="GHEA Grapalat"/>
          <w:lang w:val="hy-AM"/>
        </w:rPr>
        <w:tab/>
        <w:t xml:space="preserve">5. </w:t>
      </w:r>
      <w:r>
        <w:rPr>
          <w:rFonts w:cs="GHEA Grapalat"/>
          <w:b/>
          <w:lang w:val="hy-AM"/>
        </w:rPr>
        <w:t>ՀՀ Վարչապետի լիազորությունների իրականացման ապահովում»</w:t>
      </w:r>
      <w:r>
        <w:rPr>
          <w:rFonts w:cs="GHEA Grapalat"/>
          <w:lang w:val="hy-AM"/>
        </w:rPr>
        <w:t xml:space="preserve"> ծրագրի նպատակ</w:t>
      </w:r>
      <w:r w:rsidR="00EE2180">
        <w:rPr>
          <w:rFonts w:cs="GHEA Grapalat"/>
          <w:lang w:val="hy-AM"/>
        </w:rPr>
        <w:t>ն է</w:t>
      </w:r>
      <w:r>
        <w:rPr>
          <w:rFonts w:cs="GHEA Grapalat"/>
          <w:lang w:val="hy-AM"/>
        </w:rPr>
        <w:t>՝ աջակցել կառավարության՝ վարչապետի և փոխվարչապետերի գործունեությանը:</w:t>
      </w:r>
    </w:p>
    <w:p w14:paraId="272F0A3A" w14:textId="77777777" w:rsidR="00FE6E13" w:rsidRDefault="00FE6E13" w:rsidP="00FE6E13">
      <w:pPr>
        <w:tabs>
          <w:tab w:val="left" w:pos="720"/>
          <w:tab w:val="left" w:pos="851"/>
          <w:tab w:val="left" w:pos="993"/>
        </w:tabs>
        <w:spacing w:line="276" w:lineRule="auto"/>
        <w:rPr>
          <w:lang w:val="af-ZA"/>
        </w:rPr>
      </w:pPr>
      <w:r>
        <w:rPr>
          <w:lang w:val="hy-AM"/>
        </w:rPr>
        <w:tab/>
        <w:t>Ծրագրի գծով 2022-2024 թվականներին նախատեսվում է հատկացնել, ըստ տարիների՝ 10,</w:t>
      </w:r>
      <w:r w:rsidR="00EE2180">
        <w:rPr>
          <w:lang w:val="hy-AM"/>
        </w:rPr>
        <w:t>325</w:t>
      </w:r>
      <w:r>
        <w:rPr>
          <w:lang w:val="hy-AM"/>
        </w:rPr>
        <w:t>.</w:t>
      </w:r>
      <w:r w:rsidR="00EE2180">
        <w:rPr>
          <w:lang w:val="hy-AM"/>
        </w:rPr>
        <w:t>8</w:t>
      </w:r>
      <w:r>
        <w:rPr>
          <w:rFonts w:cs="Sylfaen"/>
          <w:lang w:val="hy-AM"/>
        </w:rPr>
        <w:t xml:space="preserve">; </w:t>
      </w:r>
      <w:r w:rsidR="00EE2180">
        <w:rPr>
          <w:rFonts w:cs="Sylfaen"/>
          <w:lang w:val="hy-AM"/>
        </w:rPr>
        <w:t>10</w:t>
      </w:r>
      <w:r>
        <w:rPr>
          <w:rFonts w:cs="Sylfaen"/>
          <w:lang w:val="hy-AM"/>
        </w:rPr>
        <w:t>,</w:t>
      </w:r>
      <w:r w:rsidR="00EE2180">
        <w:rPr>
          <w:rFonts w:cs="Sylfaen"/>
          <w:lang w:val="hy-AM"/>
        </w:rPr>
        <w:t>155</w:t>
      </w:r>
      <w:r>
        <w:rPr>
          <w:rFonts w:cs="Sylfaen"/>
          <w:lang w:val="hy-AM"/>
        </w:rPr>
        <w:t>.</w:t>
      </w:r>
      <w:r w:rsidR="00EE2180">
        <w:rPr>
          <w:rFonts w:cs="Sylfaen"/>
          <w:lang w:val="hy-AM"/>
        </w:rPr>
        <w:t>5</w:t>
      </w:r>
      <w:r>
        <w:rPr>
          <w:rFonts w:cs="Sylfaen"/>
          <w:lang w:val="hy-AM"/>
        </w:rPr>
        <w:t xml:space="preserve"> և 6,553.9 մլն դրամ</w:t>
      </w:r>
      <w:r>
        <w:rPr>
          <w:lang w:val="af-ZA"/>
        </w:rPr>
        <w:t>:</w:t>
      </w:r>
    </w:p>
    <w:p w14:paraId="52A82950" w14:textId="77777777" w:rsidR="00FE6E13" w:rsidRDefault="00FE6E13" w:rsidP="00FE6E13">
      <w:pPr>
        <w:tabs>
          <w:tab w:val="left" w:pos="720"/>
          <w:tab w:val="left" w:pos="851"/>
          <w:tab w:val="left" w:pos="993"/>
        </w:tabs>
        <w:spacing w:line="276" w:lineRule="auto"/>
        <w:rPr>
          <w:rFonts w:cs="GHEA Grapalat"/>
          <w:lang w:val="af-ZA"/>
        </w:rPr>
      </w:pPr>
      <w:r>
        <w:rPr>
          <w:lang w:val="af-ZA"/>
        </w:rPr>
        <w:tab/>
        <w:t xml:space="preserve">6. </w:t>
      </w:r>
      <w:r>
        <w:rPr>
          <w:rFonts w:cs="GHEA Grapalat"/>
          <w:b/>
          <w:lang w:val="hy-AM"/>
        </w:rPr>
        <w:t></w:t>
      </w:r>
      <w:r>
        <w:rPr>
          <w:b/>
          <w:lang w:val="af-ZA"/>
        </w:rPr>
        <w:t>Տեսչական վերահսկողության ծրագիր</w:t>
      </w:r>
      <w:r>
        <w:rPr>
          <w:rFonts w:cs="GHEA Grapalat"/>
          <w:b/>
          <w:lang w:val="hy-AM"/>
        </w:rPr>
        <w:t>»</w:t>
      </w:r>
      <w:r>
        <w:rPr>
          <w:rFonts w:cs="GHEA Grapalat"/>
          <w:lang w:val="af-ZA"/>
        </w:rPr>
        <w:t>-</w:t>
      </w:r>
      <w:r>
        <w:rPr>
          <w:rFonts w:cs="GHEA Grapalat"/>
        </w:rPr>
        <w:t>ի</w:t>
      </w:r>
      <w:r>
        <w:rPr>
          <w:rFonts w:cs="GHEA Grapalat"/>
          <w:lang w:val="af-ZA"/>
        </w:rPr>
        <w:t xml:space="preserve"> </w:t>
      </w:r>
      <w:r>
        <w:rPr>
          <w:rFonts w:cs="GHEA Grapalat"/>
          <w:lang w:val="hy-AM"/>
        </w:rPr>
        <w:t>նպատակ</w:t>
      </w:r>
      <w:r w:rsidR="00EE2180">
        <w:rPr>
          <w:rFonts w:cs="GHEA Grapalat"/>
          <w:lang w:val="hy-AM"/>
        </w:rPr>
        <w:t>ն է</w:t>
      </w:r>
      <w:r>
        <w:rPr>
          <w:rFonts w:cs="GHEA Grapalat"/>
          <w:lang w:val="hy-AM"/>
        </w:rPr>
        <w:t>՝</w:t>
      </w:r>
      <w:r>
        <w:rPr>
          <w:lang w:val="af-ZA"/>
        </w:rPr>
        <w:t xml:space="preserve"> </w:t>
      </w:r>
      <w:r>
        <w:t>տ</w:t>
      </w:r>
      <w:r>
        <w:rPr>
          <w:rFonts w:cs="GHEA Grapalat"/>
          <w:lang w:val="hy-AM"/>
        </w:rPr>
        <w:t>եսչական վերահսկողության ապահովում</w:t>
      </w:r>
      <w:r w:rsidR="00EE2180">
        <w:rPr>
          <w:rFonts w:cs="GHEA Grapalat"/>
          <w:lang w:val="hy-AM"/>
        </w:rPr>
        <w:t>ը</w:t>
      </w:r>
      <w:r>
        <w:rPr>
          <w:rFonts w:cs="GHEA Grapalat"/>
          <w:lang w:val="af-ZA"/>
        </w:rPr>
        <w:t>:</w:t>
      </w:r>
    </w:p>
    <w:p w14:paraId="1845BE87" w14:textId="77777777" w:rsidR="00FE6E13" w:rsidRDefault="00FE6E13" w:rsidP="00FE6E13">
      <w:pPr>
        <w:tabs>
          <w:tab w:val="left" w:pos="720"/>
          <w:tab w:val="left" w:pos="851"/>
          <w:tab w:val="left" w:pos="993"/>
        </w:tabs>
        <w:spacing w:line="276" w:lineRule="auto"/>
        <w:rPr>
          <w:lang w:val="af-ZA"/>
        </w:rPr>
      </w:pPr>
      <w:r>
        <w:rPr>
          <w:rFonts w:cs="GHEA Grapalat"/>
          <w:lang w:val="af-ZA"/>
        </w:rPr>
        <w:tab/>
      </w:r>
      <w:r>
        <w:rPr>
          <w:lang w:val="hy-AM"/>
        </w:rPr>
        <w:t xml:space="preserve">Ծրագրի գծով 2022-2024 թվականներին նախատեսվում է հատկացնել, ըստ տարիների՝ </w:t>
      </w:r>
      <w:r>
        <w:rPr>
          <w:lang w:val="af-ZA"/>
        </w:rPr>
        <w:t>5,178.3</w:t>
      </w:r>
      <w:r>
        <w:rPr>
          <w:rFonts w:cs="Sylfaen"/>
          <w:lang w:val="hy-AM"/>
        </w:rPr>
        <w:t xml:space="preserve">; </w:t>
      </w:r>
      <w:r>
        <w:rPr>
          <w:rFonts w:cs="Sylfaen"/>
          <w:lang w:val="af-ZA"/>
        </w:rPr>
        <w:t>5,228.5</w:t>
      </w:r>
      <w:r>
        <w:rPr>
          <w:rFonts w:cs="Sylfaen"/>
          <w:lang w:val="hy-AM"/>
        </w:rPr>
        <w:t xml:space="preserve"> և </w:t>
      </w:r>
      <w:r>
        <w:rPr>
          <w:rFonts w:cs="Sylfaen"/>
          <w:lang w:val="af-ZA"/>
        </w:rPr>
        <w:t>5,279.1</w:t>
      </w:r>
      <w:r>
        <w:rPr>
          <w:rFonts w:cs="Sylfaen"/>
          <w:lang w:val="hy-AM"/>
        </w:rPr>
        <w:t xml:space="preserve"> մլն դրամ</w:t>
      </w:r>
      <w:r>
        <w:rPr>
          <w:lang w:val="af-ZA"/>
        </w:rPr>
        <w:t>:</w:t>
      </w:r>
    </w:p>
    <w:p w14:paraId="46AAFA10" w14:textId="77777777" w:rsidR="00FE6E13" w:rsidRDefault="00FE6E13" w:rsidP="00FE6E13">
      <w:pPr>
        <w:numPr>
          <w:ilvl w:val="12"/>
          <w:numId w:val="0"/>
        </w:numPr>
        <w:tabs>
          <w:tab w:val="left" w:pos="851"/>
        </w:tabs>
        <w:spacing w:after="0" w:line="276" w:lineRule="auto"/>
        <w:ind w:left="-142" w:firstLine="540"/>
        <w:rPr>
          <w:rFonts w:eastAsia="Times New Roman" w:cs="Times New Roman"/>
          <w:lang w:val="af-ZA"/>
        </w:rPr>
      </w:pPr>
      <w:r>
        <w:rPr>
          <w:rFonts w:eastAsia="Times New Roman" w:cs="Times New Roman"/>
          <w:b/>
          <w:lang w:val="af-ZA"/>
        </w:rPr>
        <w:tab/>
      </w:r>
      <w:r>
        <w:rPr>
          <w:rFonts w:eastAsia="Times New Roman" w:cs="Times New Roman"/>
          <w:lang w:val="af-ZA"/>
        </w:rPr>
        <w:t xml:space="preserve">7. </w:t>
      </w:r>
      <w:r>
        <w:rPr>
          <w:rFonts w:eastAsia="Times New Roman" w:cs="Times New Roman"/>
          <w:b/>
          <w:lang w:val="af-ZA"/>
        </w:rPr>
        <w:t></w:t>
      </w:r>
      <w:r>
        <w:rPr>
          <w:rFonts w:eastAsia="Times New Roman" w:cs="Times New Roman"/>
          <w:b/>
        </w:rPr>
        <w:t>Տոների</w:t>
      </w:r>
      <w:r>
        <w:rPr>
          <w:rFonts w:eastAsia="Times New Roman" w:cs="Times New Roman"/>
          <w:b/>
          <w:lang w:val="af-ZA"/>
        </w:rPr>
        <w:t xml:space="preserve"> </w:t>
      </w:r>
      <w:r>
        <w:rPr>
          <w:rFonts w:eastAsia="Times New Roman" w:cs="Times New Roman"/>
          <w:b/>
        </w:rPr>
        <w:t>և</w:t>
      </w:r>
      <w:r>
        <w:rPr>
          <w:rFonts w:eastAsia="Times New Roman" w:cs="Times New Roman"/>
          <w:b/>
          <w:lang w:val="af-ZA"/>
        </w:rPr>
        <w:t xml:space="preserve"> </w:t>
      </w:r>
      <w:r>
        <w:rPr>
          <w:rFonts w:eastAsia="Times New Roman" w:cs="Times New Roman"/>
          <w:b/>
        </w:rPr>
        <w:t>հիշատակի</w:t>
      </w:r>
      <w:r>
        <w:rPr>
          <w:rFonts w:eastAsia="Times New Roman" w:cs="Times New Roman"/>
          <w:b/>
          <w:lang w:val="af-ZA"/>
        </w:rPr>
        <w:t xml:space="preserve"> </w:t>
      </w:r>
      <w:r>
        <w:rPr>
          <w:rFonts w:eastAsia="Times New Roman" w:cs="Times New Roman"/>
          <w:b/>
        </w:rPr>
        <w:t>օրերի</w:t>
      </w:r>
      <w:r>
        <w:rPr>
          <w:rFonts w:eastAsia="Times New Roman" w:cs="Times New Roman"/>
          <w:b/>
          <w:lang w:val="af-ZA"/>
        </w:rPr>
        <w:t xml:space="preserve"> </w:t>
      </w:r>
      <w:r>
        <w:rPr>
          <w:rFonts w:eastAsia="Times New Roman" w:cs="Times New Roman"/>
          <w:b/>
        </w:rPr>
        <w:t>ծրագիր</w:t>
      </w:r>
      <w:r>
        <w:rPr>
          <w:rFonts w:eastAsia="Times New Roman" w:cs="Times New Roman"/>
          <w:b/>
          <w:lang w:val="af-ZA"/>
        </w:rPr>
        <w:t>»</w:t>
      </w:r>
      <w:r>
        <w:rPr>
          <w:rFonts w:eastAsia="Times New Roman" w:cs="Times New Roman"/>
          <w:b/>
          <w:lang w:val="hy-AM"/>
        </w:rPr>
        <w:t>-</w:t>
      </w:r>
      <w:r>
        <w:rPr>
          <w:rFonts w:eastAsia="Times New Roman" w:cs="Times New Roman"/>
          <w:lang w:val="hy-AM"/>
        </w:rPr>
        <w:t>ի նպատակ</w:t>
      </w:r>
      <w:r w:rsidR="00EE2180">
        <w:rPr>
          <w:rFonts w:eastAsia="Times New Roman" w:cs="Times New Roman"/>
          <w:lang w:val="hy-AM"/>
        </w:rPr>
        <w:t>ն է</w:t>
      </w:r>
      <w:r>
        <w:rPr>
          <w:rFonts w:eastAsia="Times New Roman" w:cs="Times New Roman"/>
        </w:rPr>
        <w:t>՝</w:t>
      </w:r>
      <w:r>
        <w:rPr>
          <w:rFonts w:eastAsia="Times New Roman" w:cs="Times New Roman"/>
          <w:lang w:val="af-ZA"/>
        </w:rPr>
        <w:t xml:space="preserve"> </w:t>
      </w:r>
      <w:r>
        <w:rPr>
          <w:rFonts w:eastAsia="Times New Roman" w:cs="Times New Roman"/>
        </w:rPr>
        <w:t>տոների</w:t>
      </w:r>
      <w:r>
        <w:rPr>
          <w:rFonts w:eastAsia="Times New Roman" w:cs="Times New Roman"/>
          <w:lang w:val="af-ZA"/>
        </w:rPr>
        <w:t xml:space="preserve"> </w:t>
      </w:r>
      <w:r>
        <w:rPr>
          <w:rFonts w:eastAsia="Times New Roman" w:cs="Times New Roman"/>
        </w:rPr>
        <w:t>և</w:t>
      </w:r>
      <w:r>
        <w:rPr>
          <w:rFonts w:eastAsia="Times New Roman" w:cs="Times New Roman"/>
          <w:lang w:val="af-ZA"/>
        </w:rPr>
        <w:t xml:space="preserve"> </w:t>
      </w:r>
      <w:r>
        <w:rPr>
          <w:rFonts w:eastAsia="Times New Roman" w:cs="Times New Roman"/>
        </w:rPr>
        <w:t>հիշատակի</w:t>
      </w:r>
      <w:r>
        <w:rPr>
          <w:rFonts w:eastAsia="Times New Roman" w:cs="Times New Roman"/>
          <w:lang w:val="af-ZA"/>
        </w:rPr>
        <w:t xml:space="preserve"> </w:t>
      </w:r>
      <w:r>
        <w:rPr>
          <w:rFonts w:eastAsia="Times New Roman" w:cs="Times New Roman"/>
        </w:rPr>
        <w:t>օրերին</w:t>
      </w:r>
      <w:r>
        <w:rPr>
          <w:rFonts w:eastAsia="Times New Roman" w:cs="Times New Roman"/>
          <w:lang w:val="af-ZA"/>
        </w:rPr>
        <w:t xml:space="preserve"> </w:t>
      </w:r>
      <w:r>
        <w:rPr>
          <w:rFonts w:eastAsia="Times New Roman" w:cs="Times New Roman"/>
        </w:rPr>
        <w:t>նվիրված</w:t>
      </w:r>
      <w:r>
        <w:rPr>
          <w:rFonts w:eastAsia="Times New Roman" w:cs="Times New Roman"/>
          <w:lang w:val="af-ZA"/>
        </w:rPr>
        <w:t xml:space="preserve"> </w:t>
      </w:r>
      <w:r>
        <w:rPr>
          <w:rFonts w:eastAsia="Times New Roman" w:cs="Times New Roman"/>
        </w:rPr>
        <w:t>միջոցառումների</w:t>
      </w:r>
      <w:r>
        <w:rPr>
          <w:rFonts w:eastAsia="Times New Roman" w:cs="Times New Roman"/>
          <w:lang w:val="af-ZA"/>
        </w:rPr>
        <w:t xml:space="preserve"> </w:t>
      </w:r>
      <w:r>
        <w:rPr>
          <w:rFonts w:eastAsia="Times New Roman" w:cs="Times New Roman"/>
        </w:rPr>
        <w:t>անցկացումը՝</w:t>
      </w:r>
      <w:r>
        <w:rPr>
          <w:rFonts w:eastAsia="Times New Roman" w:cs="Times New Roman"/>
          <w:lang w:val="af-ZA"/>
        </w:rPr>
        <w:t xml:space="preserve"> </w:t>
      </w:r>
      <w:r>
        <w:rPr>
          <w:rFonts w:eastAsia="Times New Roman" w:cs="Times New Roman"/>
        </w:rPr>
        <w:t>ի</w:t>
      </w:r>
      <w:r>
        <w:rPr>
          <w:rFonts w:eastAsia="Times New Roman" w:cs="Times New Roman"/>
          <w:lang w:val="af-ZA"/>
        </w:rPr>
        <w:t xml:space="preserve"> </w:t>
      </w:r>
      <w:r>
        <w:rPr>
          <w:rFonts w:eastAsia="Times New Roman" w:cs="Times New Roman"/>
        </w:rPr>
        <w:t>նպաստ</w:t>
      </w:r>
      <w:r>
        <w:rPr>
          <w:rFonts w:eastAsia="Times New Roman" w:cs="Times New Roman"/>
          <w:lang w:val="af-ZA"/>
        </w:rPr>
        <w:t xml:space="preserve"> </w:t>
      </w:r>
      <w:r>
        <w:rPr>
          <w:rFonts w:eastAsia="Times New Roman" w:cs="Times New Roman"/>
        </w:rPr>
        <w:t>Ազգային</w:t>
      </w:r>
      <w:r>
        <w:rPr>
          <w:rFonts w:eastAsia="Times New Roman" w:cs="Times New Roman"/>
          <w:lang w:val="af-ZA"/>
        </w:rPr>
        <w:t xml:space="preserve"> </w:t>
      </w:r>
      <w:r>
        <w:rPr>
          <w:rFonts w:eastAsia="Times New Roman" w:cs="Times New Roman"/>
        </w:rPr>
        <w:t>ինքնության</w:t>
      </w:r>
      <w:r>
        <w:rPr>
          <w:rFonts w:eastAsia="Times New Roman" w:cs="Times New Roman"/>
          <w:lang w:val="af-ZA"/>
        </w:rPr>
        <w:t xml:space="preserve"> </w:t>
      </w:r>
      <w:r>
        <w:rPr>
          <w:rFonts w:eastAsia="Times New Roman" w:cs="Times New Roman"/>
        </w:rPr>
        <w:t>պահպանմանը</w:t>
      </w:r>
      <w:r>
        <w:rPr>
          <w:rFonts w:eastAsia="Times New Roman" w:cs="Times New Roman"/>
          <w:lang w:val="af-ZA"/>
        </w:rPr>
        <w:t xml:space="preserve">:  </w:t>
      </w:r>
    </w:p>
    <w:p w14:paraId="28481A6B" w14:textId="77777777" w:rsidR="00FE6E13" w:rsidRDefault="00FE6E13" w:rsidP="00FE6E13">
      <w:pPr>
        <w:spacing w:after="0" w:line="276" w:lineRule="auto"/>
        <w:ind w:firstLine="720"/>
        <w:rPr>
          <w:lang w:val="af-ZA"/>
        </w:rPr>
      </w:pPr>
      <w:r>
        <w:rPr>
          <w:lang w:val="hy-AM"/>
        </w:rPr>
        <w:t>Ծրագրի գծով 2022-2024 թվականներին նախատեսվում է հատկացնել</w:t>
      </w:r>
      <w:r>
        <w:rPr>
          <w:lang w:val="af-ZA"/>
        </w:rPr>
        <w:t xml:space="preserve"> </w:t>
      </w:r>
      <w:r>
        <w:t>յուրաքանչյուր</w:t>
      </w:r>
      <w:r>
        <w:rPr>
          <w:lang w:val="af-ZA"/>
        </w:rPr>
        <w:t xml:space="preserve"> </w:t>
      </w:r>
      <w:r>
        <w:t>տարի</w:t>
      </w:r>
      <w:r>
        <w:rPr>
          <w:lang w:val="hy-AM"/>
        </w:rPr>
        <w:t xml:space="preserve">՝ </w:t>
      </w:r>
      <w:r>
        <w:rPr>
          <w:lang w:val="af-ZA"/>
        </w:rPr>
        <w:t>190.0</w:t>
      </w:r>
      <w:r>
        <w:rPr>
          <w:rFonts w:cs="Sylfaen"/>
          <w:lang w:val="hy-AM"/>
        </w:rPr>
        <w:t xml:space="preserve"> մլն դրամ</w:t>
      </w:r>
      <w:r>
        <w:rPr>
          <w:lang w:val="af-ZA"/>
        </w:rPr>
        <w:t>:</w:t>
      </w:r>
    </w:p>
    <w:p w14:paraId="712A5635" w14:textId="77777777" w:rsidR="00FE6E13" w:rsidRDefault="00FE6E13" w:rsidP="00FE6E13">
      <w:pPr>
        <w:spacing w:after="0" w:line="276" w:lineRule="auto"/>
        <w:ind w:firstLine="720"/>
        <w:rPr>
          <w:rFonts w:cs="GHEA Grapalat"/>
          <w:lang w:val="af-ZA"/>
        </w:rPr>
      </w:pPr>
      <w:r>
        <w:rPr>
          <w:lang w:val="af-ZA"/>
        </w:rPr>
        <w:t xml:space="preserve">8. </w:t>
      </w:r>
      <w:r>
        <w:rPr>
          <w:rFonts w:cs="GHEA Grapalat"/>
          <w:b/>
          <w:lang w:val="hy-AM"/>
        </w:rPr>
        <w:t></w:t>
      </w:r>
      <w:r>
        <w:rPr>
          <w:b/>
          <w:lang w:val="af-ZA"/>
        </w:rPr>
        <w:t>Միջազգային դատարաններում, միջազգային արբիտրաժներում և այլ միջազգային ատյաններում ՀՀ շահերի ներկայացում և պաշտպանություն, դրանց կողմից ընդունված վճիռների և որոշումների կատարման ապահովում</w:t>
      </w:r>
      <w:r>
        <w:rPr>
          <w:rFonts w:cs="GHEA Grapalat"/>
          <w:b/>
          <w:lang w:val="hy-AM"/>
        </w:rPr>
        <w:t>»</w:t>
      </w:r>
      <w:r>
        <w:rPr>
          <w:lang w:val="hy-AM"/>
        </w:rPr>
        <w:t xml:space="preserve"> </w:t>
      </w:r>
      <w:r>
        <w:t>ծ</w:t>
      </w:r>
      <w:r>
        <w:rPr>
          <w:lang w:val="hy-AM"/>
        </w:rPr>
        <w:t xml:space="preserve">րագրի </w:t>
      </w:r>
      <w:r>
        <w:rPr>
          <w:rFonts w:cs="GHEA Grapalat"/>
          <w:lang w:val="hy-AM"/>
        </w:rPr>
        <w:t>նպատակ</w:t>
      </w:r>
      <w:r w:rsidR="00EE2180">
        <w:rPr>
          <w:rFonts w:cs="GHEA Grapalat"/>
          <w:lang w:val="hy-AM"/>
        </w:rPr>
        <w:t>ն է</w:t>
      </w:r>
      <w:r>
        <w:rPr>
          <w:rFonts w:cs="GHEA Grapalat"/>
          <w:lang w:val="hy-AM"/>
        </w:rPr>
        <w:t>՝</w:t>
      </w:r>
      <w:r>
        <w:rPr>
          <w:rFonts w:cs="GHEA Grapalat"/>
          <w:lang w:val="af-ZA"/>
        </w:rPr>
        <w:t xml:space="preserve"> </w:t>
      </w:r>
      <w:r>
        <w:rPr>
          <w:rFonts w:cs="GHEA Grapalat"/>
        </w:rPr>
        <w:t>միջազգային</w:t>
      </w:r>
      <w:r>
        <w:rPr>
          <w:rFonts w:cs="GHEA Grapalat"/>
          <w:lang w:val="af-ZA"/>
        </w:rPr>
        <w:t xml:space="preserve"> </w:t>
      </w:r>
      <w:r>
        <w:rPr>
          <w:rFonts w:cs="GHEA Grapalat"/>
        </w:rPr>
        <w:t>դատարաններում</w:t>
      </w:r>
      <w:r>
        <w:rPr>
          <w:rFonts w:cs="GHEA Grapalat"/>
          <w:lang w:val="af-ZA"/>
        </w:rPr>
        <w:t xml:space="preserve">, </w:t>
      </w:r>
      <w:r>
        <w:rPr>
          <w:rFonts w:cs="GHEA Grapalat"/>
        </w:rPr>
        <w:t>միջազգային</w:t>
      </w:r>
      <w:r>
        <w:rPr>
          <w:rFonts w:cs="GHEA Grapalat"/>
          <w:lang w:val="af-ZA"/>
        </w:rPr>
        <w:t xml:space="preserve"> </w:t>
      </w:r>
      <w:r>
        <w:rPr>
          <w:rFonts w:cs="GHEA Grapalat"/>
        </w:rPr>
        <w:t>արբիտրաժներում</w:t>
      </w:r>
      <w:r>
        <w:rPr>
          <w:rFonts w:cs="GHEA Grapalat"/>
          <w:lang w:val="af-ZA"/>
        </w:rPr>
        <w:t xml:space="preserve"> </w:t>
      </w:r>
      <w:r>
        <w:rPr>
          <w:rFonts w:cs="GHEA Grapalat"/>
        </w:rPr>
        <w:t>և</w:t>
      </w:r>
      <w:r>
        <w:rPr>
          <w:rFonts w:cs="GHEA Grapalat"/>
          <w:lang w:val="af-ZA"/>
        </w:rPr>
        <w:t xml:space="preserve"> </w:t>
      </w:r>
      <w:r>
        <w:rPr>
          <w:rFonts w:cs="GHEA Grapalat"/>
        </w:rPr>
        <w:t>այլ</w:t>
      </w:r>
      <w:r>
        <w:rPr>
          <w:rFonts w:cs="GHEA Grapalat"/>
          <w:lang w:val="af-ZA"/>
        </w:rPr>
        <w:t xml:space="preserve"> </w:t>
      </w:r>
      <w:r>
        <w:rPr>
          <w:rFonts w:cs="GHEA Grapalat"/>
        </w:rPr>
        <w:t>միջազգային</w:t>
      </w:r>
      <w:r>
        <w:rPr>
          <w:rFonts w:cs="GHEA Grapalat"/>
          <w:lang w:val="af-ZA"/>
        </w:rPr>
        <w:t xml:space="preserve"> </w:t>
      </w:r>
      <w:r>
        <w:rPr>
          <w:rFonts w:cs="GHEA Grapalat"/>
        </w:rPr>
        <w:t>ատյաններում</w:t>
      </w:r>
      <w:r>
        <w:rPr>
          <w:rFonts w:cs="GHEA Grapalat"/>
          <w:lang w:val="af-ZA"/>
        </w:rPr>
        <w:t xml:space="preserve"> </w:t>
      </w:r>
      <w:r>
        <w:rPr>
          <w:rFonts w:cs="GHEA Grapalat"/>
        </w:rPr>
        <w:t>ՀՀ</w:t>
      </w:r>
      <w:r>
        <w:rPr>
          <w:rFonts w:cs="GHEA Grapalat"/>
          <w:lang w:val="af-ZA"/>
        </w:rPr>
        <w:t xml:space="preserve"> </w:t>
      </w:r>
      <w:r>
        <w:rPr>
          <w:rFonts w:cs="GHEA Grapalat"/>
        </w:rPr>
        <w:t>վերաբերյալ</w:t>
      </w:r>
      <w:r>
        <w:rPr>
          <w:rFonts w:cs="GHEA Grapalat"/>
          <w:lang w:val="af-ZA"/>
        </w:rPr>
        <w:t xml:space="preserve"> </w:t>
      </w:r>
      <w:r>
        <w:rPr>
          <w:rFonts w:cs="GHEA Grapalat"/>
        </w:rPr>
        <w:t>գործընթացներում</w:t>
      </w:r>
      <w:r>
        <w:rPr>
          <w:rFonts w:cs="GHEA Grapalat"/>
          <w:lang w:val="af-ZA"/>
        </w:rPr>
        <w:t xml:space="preserve"> </w:t>
      </w:r>
      <w:r>
        <w:rPr>
          <w:rFonts w:cs="GHEA Grapalat"/>
        </w:rPr>
        <w:t>մասնակցություն</w:t>
      </w:r>
      <w:r w:rsidR="00EE2180">
        <w:rPr>
          <w:rFonts w:cs="GHEA Grapalat"/>
          <w:lang w:val="hy-AM"/>
        </w:rPr>
        <w:t>ը</w:t>
      </w:r>
      <w:r>
        <w:rPr>
          <w:rFonts w:cs="GHEA Grapalat"/>
          <w:lang w:val="af-ZA"/>
        </w:rPr>
        <w:t xml:space="preserve">, </w:t>
      </w:r>
      <w:r>
        <w:rPr>
          <w:rFonts w:cs="GHEA Grapalat"/>
        </w:rPr>
        <w:t>դրանց</w:t>
      </w:r>
      <w:r>
        <w:rPr>
          <w:rFonts w:cs="GHEA Grapalat"/>
          <w:lang w:val="af-ZA"/>
        </w:rPr>
        <w:t xml:space="preserve"> </w:t>
      </w:r>
      <w:r>
        <w:rPr>
          <w:rFonts w:cs="GHEA Grapalat"/>
        </w:rPr>
        <w:t>կողմից</w:t>
      </w:r>
      <w:r>
        <w:rPr>
          <w:rFonts w:cs="GHEA Grapalat"/>
          <w:lang w:val="af-ZA"/>
        </w:rPr>
        <w:t xml:space="preserve"> </w:t>
      </w:r>
      <w:r>
        <w:rPr>
          <w:rFonts w:cs="GHEA Grapalat"/>
        </w:rPr>
        <w:t>ընդունված</w:t>
      </w:r>
      <w:r>
        <w:rPr>
          <w:rFonts w:cs="GHEA Grapalat"/>
          <w:lang w:val="af-ZA"/>
        </w:rPr>
        <w:t xml:space="preserve"> </w:t>
      </w:r>
      <w:r>
        <w:rPr>
          <w:rFonts w:cs="GHEA Grapalat"/>
        </w:rPr>
        <w:t>վճիռների</w:t>
      </w:r>
      <w:r>
        <w:rPr>
          <w:rFonts w:cs="GHEA Grapalat"/>
          <w:lang w:val="af-ZA"/>
        </w:rPr>
        <w:t xml:space="preserve"> </w:t>
      </w:r>
      <w:r>
        <w:rPr>
          <w:rFonts w:cs="GHEA Grapalat"/>
        </w:rPr>
        <w:t>և</w:t>
      </w:r>
      <w:r>
        <w:rPr>
          <w:rFonts w:cs="GHEA Grapalat"/>
          <w:lang w:val="af-ZA"/>
        </w:rPr>
        <w:t xml:space="preserve"> </w:t>
      </w:r>
      <w:r>
        <w:rPr>
          <w:rFonts w:cs="GHEA Grapalat"/>
        </w:rPr>
        <w:t>որոշումների</w:t>
      </w:r>
      <w:r>
        <w:rPr>
          <w:rFonts w:cs="GHEA Grapalat"/>
          <w:lang w:val="af-ZA"/>
        </w:rPr>
        <w:t xml:space="preserve"> </w:t>
      </w:r>
      <w:r>
        <w:rPr>
          <w:rFonts w:cs="GHEA Grapalat"/>
        </w:rPr>
        <w:t>կատարման</w:t>
      </w:r>
      <w:r>
        <w:rPr>
          <w:rFonts w:cs="GHEA Grapalat"/>
          <w:lang w:val="af-ZA"/>
        </w:rPr>
        <w:t xml:space="preserve"> </w:t>
      </w:r>
      <w:r>
        <w:rPr>
          <w:rFonts w:cs="GHEA Grapalat"/>
        </w:rPr>
        <w:t>ապահովում</w:t>
      </w:r>
      <w:r w:rsidR="00EE2180">
        <w:rPr>
          <w:rFonts w:cs="GHEA Grapalat"/>
          <w:lang w:val="hy-AM"/>
        </w:rPr>
        <w:t>ը</w:t>
      </w:r>
      <w:r>
        <w:rPr>
          <w:rFonts w:cs="GHEA Grapalat"/>
          <w:lang w:val="af-ZA"/>
        </w:rPr>
        <w:t>:</w:t>
      </w:r>
    </w:p>
    <w:p w14:paraId="003A1935" w14:textId="77777777" w:rsidR="00FE6E13" w:rsidRDefault="00FE6E13" w:rsidP="00FE6E13">
      <w:pPr>
        <w:spacing w:after="0" w:line="276" w:lineRule="auto"/>
        <w:ind w:firstLine="720"/>
        <w:rPr>
          <w:lang w:val="af-ZA"/>
        </w:rPr>
      </w:pPr>
      <w:r>
        <w:rPr>
          <w:rFonts w:cs="GHEA Grapalat"/>
        </w:rPr>
        <w:t>Ծ</w:t>
      </w:r>
      <w:r>
        <w:rPr>
          <w:rFonts w:cs="GHEA Grapalat"/>
          <w:lang w:val="hy-AM"/>
        </w:rPr>
        <w:t xml:space="preserve">րագրի </w:t>
      </w:r>
      <w:r>
        <w:rPr>
          <w:lang w:val="hy-AM"/>
        </w:rPr>
        <w:t xml:space="preserve">գծով 2022 թվականին նախատեսվում է հատկացնել </w:t>
      </w:r>
      <w:r>
        <w:rPr>
          <w:lang w:val="af-ZA"/>
        </w:rPr>
        <w:t>632</w:t>
      </w:r>
      <w:r>
        <w:rPr>
          <w:rFonts w:cs="Sylfaen"/>
          <w:lang w:val="af-ZA"/>
        </w:rPr>
        <w:t>.1</w:t>
      </w:r>
      <w:r>
        <w:rPr>
          <w:rFonts w:cs="Sylfaen"/>
          <w:lang w:val="hy-AM"/>
        </w:rPr>
        <w:t xml:space="preserve"> մլն դրամ</w:t>
      </w:r>
      <w:r>
        <w:rPr>
          <w:lang w:val="af-ZA"/>
        </w:rPr>
        <w:t>:</w:t>
      </w:r>
    </w:p>
    <w:p w14:paraId="4FE5B3BC" w14:textId="77777777" w:rsidR="007912E2" w:rsidRDefault="007912E2" w:rsidP="00FE6E13">
      <w:pPr>
        <w:tabs>
          <w:tab w:val="left" w:pos="720"/>
          <w:tab w:val="left" w:pos="851"/>
          <w:tab w:val="left" w:pos="993"/>
        </w:tabs>
        <w:spacing w:line="276" w:lineRule="auto"/>
        <w:rPr>
          <w:rFonts w:cs="GHEA Grapalat"/>
          <w:b/>
          <w:lang w:val="hy-AM"/>
        </w:rPr>
      </w:pPr>
    </w:p>
    <w:p w14:paraId="3A2D16F4" w14:textId="77777777" w:rsidR="00FE6E13" w:rsidRDefault="00FE6E13" w:rsidP="00FE6E13">
      <w:pPr>
        <w:tabs>
          <w:tab w:val="left" w:pos="720"/>
          <w:tab w:val="left" w:pos="851"/>
          <w:tab w:val="left" w:pos="993"/>
        </w:tabs>
        <w:spacing w:line="276" w:lineRule="auto"/>
        <w:rPr>
          <w:rFonts w:cs="GHEA Grapalat"/>
          <w:b/>
          <w:lang w:val="hy-AM"/>
        </w:rPr>
      </w:pPr>
      <w:r>
        <w:rPr>
          <w:rFonts w:cs="GHEA Grapalat"/>
          <w:b/>
          <w:lang w:val="hy-AM"/>
        </w:rPr>
        <w:tab/>
        <w:t>Սփյուռք</w:t>
      </w:r>
    </w:p>
    <w:p w14:paraId="6ED666D4" w14:textId="77777777" w:rsidR="00FE6E13" w:rsidRDefault="00FE6E13" w:rsidP="00FE6E13">
      <w:pPr>
        <w:tabs>
          <w:tab w:val="left" w:pos="720"/>
          <w:tab w:val="left" w:pos="851"/>
          <w:tab w:val="left" w:pos="993"/>
        </w:tabs>
        <w:spacing w:line="276" w:lineRule="auto"/>
        <w:rPr>
          <w:rFonts w:cs="Sylfaen"/>
          <w:lang w:val="hy-AM"/>
        </w:rPr>
      </w:pPr>
      <w:r>
        <w:rPr>
          <w:rFonts w:cs="GHEA Grapalat"/>
          <w:b/>
          <w:lang w:val="hy-AM"/>
        </w:rPr>
        <w:tab/>
      </w:r>
      <w:r>
        <w:rPr>
          <w:rFonts w:cs="Sylfaen"/>
          <w:lang w:val="hy-AM"/>
        </w:rPr>
        <w:t>Համաձայն ՀՀ կառավարության 2019 թվականի փետրվարի 8-ի N 65-Ա որոշման 2.4-րդ կետի, սփյուռքի ոլորտում Կառավարությունը՝</w:t>
      </w:r>
    </w:p>
    <w:p w14:paraId="3233CB34" w14:textId="77777777" w:rsidR="00FE6E13" w:rsidRDefault="00FE6E13" w:rsidP="00FE6E13">
      <w:pPr>
        <w:shd w:val="clear" w:color="auto" w:fill="FFFFFF"/>
        <w:spacing w:after="0" w:line="276" w:lineRule="auto"/>
        <w:ind w:firstLine="375"/>
        <w:rPr>
          <w:rFonts w:cs="Sylfaen"/>
          <w:lang w:val="hy-AM"/>
        </w:rPr>
      </w:pPr>
      <w:r>
        <w:rPr>
          <w:rFonts w:cs="Sylfaen"/>
          <w:lang w:val="hy-AM"/>
        </w:rPr>
        <w:t>- որդեգրում է գիտական, մասնագիտական, կրթամշակութային, տնտեսական և այլ ոլորտներում համահայկական ցանցերի ստեղծման և զարգացման քաղաքականությունը,</w:t>
      </w:r>
    </w:p>
    <w:p w14:paraId="08074ADB" w14:textId="77777777" w:rsidR="00FE6E13" w:rsidRDefault="00FE6E13" w:rsidP="00FE6E13">
      <w:pPr>
        <w:shd w:val="clear" w:color="auto" w:fill="FFFFFF"/>
        <w:spacing w:after="0" w:line="276" w:lineRule="auto"/>
        <w:ind w:firstLine="375"/>
        <w:rPr>
          <w:rFonts w:cs="Sylfaen"/>
          <w:lang w:val="hy-AM"/>
        </w:rPr>
      </w:pPr>
      <w:r>
        <w:rPr>
          <w:rFonts w:cs="Sylfaen"/>
          <w:lang w:val="hy-AM"/>
        </w:rPr>
        <w:t>- կարևորում է Հայաստանի զարգացմանը սփյուռքի ներուժի լիարժեք ներգրավումը, սփյուռքի հայ համայնքների՝ բնակության երկրի և Հայաստանի միջև կայուն հարաբերությունների կամրջող դերի մեծացումը, Հայաստան-սփյուռք գործակցության խորացման և ընդլայնման համար այնպիսի քայլերի ու ծրագրերի իրականացումը, որոնք կնպաստեն սփյուռքի մասնակցությանը՝ Հայաստանի հանրային կյանքին,</w:t>
      </w:r>
    </w:p>
    <w:p w14:paraId="1ACF798B" w14:textId="77777777" w:rsidR="00FE6E13" w:rsidRDefault="00FE6E13" w:rsidP="00FE6E13">
      <w:pPr>
        <w:shd w:val="clear" w:color="auto" w:fill="FFFFFF"/>
        <w:spacing w:after="0" w:line="276" w:lineRule="auto"/>
        <w:ind w:firstLine="375"/>
        <w:rPr>
          <w:rFonts w:cs="Sylfaen"/>
          <w:lang w:val="hy-AM"/>
        </w:rPr>
      </w:pPr>
      <w:r>
        <w:rPr>
          <w:rFonts w:cs="Sylfaen"/>
          <w:lang w:val="hy-AM"/>
        </w:rPr>
        <w:t>- առաջնահերթություն է համարում հայրենադարձության խթանումը, ինչպես նաև Հայաստանում սփյուռքահայերի ինտեգրման գործընթացին աջակցումը.</w:t>
      </w:r>
    </w:p>
    <w:p w14:paraId="24769600" w14:textId="77777777" w:rsidR="00FE6E13" w:rsidRDefault="00FE6E13" w:rsidP="00FE6E13">
      <w:pPr>
        <w:shd w:val="clear" w:color="auto" w:fill="FFFFFF"/>
        <w:spacing w:after="0" w:line="276" w:lineRule="auto"/>
        <w:ind w:firstLine="375"/>
        <w:rPr>
          <w:rFonts w:cs="Sylfaen"/>
          <w:lang w:val="hy-AM"/>
        </w:rPr>
      </w:pPr>
      <w:r>
        <w:rPr>
          <w:rFonts w:cs="Sylfaen"/>
          <w:lang w:val="hy-AM"/>
        </w:rPr>
        <w:t>- կարևորում է համահայկական ազգային, հոգևոր, գիտակրթական, մշակութային և այլ կառույցների ամրապնդումը և նրանց դերակատարումը համահայկական խնդիրների լուծման գործում և ջանքեր է գործադրելու սփյուռքը ներկայացնող ներկայացուցչական կազմակերպություն ստեղծելու ուղղությամբ:</w:t>
      </w:r>
    </w:p>
    <w:p w14:paraId="746542EE" w14:textId="77777777" w:rsidR="00FE6E13" w:rsidRDefault="00FE6E13" w:rsidP="00FE6E13">
      <w:pPr>
        <w:spacing w:line="276" w:lineRule="auto"/>
        <w:ind w:firstLine="720"/>
        <w:rPr>
          <w:rFonts w:cs="Sylfaen"/>
          <w:lang w:val="hy-AM"/>
        </w:rPr>
      </w:pPr>
      <w:r>
        <w:rPr>
          <w:rFonts w:cs="Sylfaen"/>
          <w:lang w:val="hy-AM"/>
        </w:rPr>
        <w:t xml:space="preserve">Սփյուռքի գծով հիմնական թիրախներն են. </w:t>
      </w:r>
    </w:p>
    <w:p w14:paraId="6BC5A8DB" w14:textId="77777777" w:rsidR="00FE6E13" w:rsidRDefault="00FE6E13" w:rsidP="00C0628C">
      <w:pPr>
        <w:numPr>
          <w:ilvl w:val="0"/>
          <w:numId w:val="15"/>
        </w:numPr>
        <w:tabs>
          <w:tab w:val="left" w:pos="180"/>
          <w:tab w:val="left" w:pos="270"/>
          <w:tab w:val="left" w:pos="540"/>
        </w:tabs>
        <w:spacing w:after="0" w:line="276" w:lineRule="auto"/>
        <w:ind w:left="540"/>
        <w:rPr>
          <w:rFonts w:cs="Sylfaen"/>
          <w:lang w:val="hy-AM"/>
        </w:rPr>
      </w:pPr>
      <w:r>
        <w:rPr>
          <w:rFonts w:cs="Sylfaen"/>
          <w:lang w:val="hy-AM"/>
        </w:rPr>
        <w:t xml:space="preserve">Հայաստանի և հայկական սփյուռքի միջև կապերի ամրապնդմանը և զարգացմանը նպաստելը, </w:t>
      </w:r>
    </w:p>
    <w:p w14:paraId="18EBD844" w14:textId="77777777" w:rsidR="00FE6E13" w:rsidRDefault="00FE6E13" w:rsidP="00C0628C">
      <w:pPr>
        <w:pStyle w:val="ListParagraph"/>
        <w:numPr>
          <w:ilvl w:val="0"/>
          <w:numId w:val="15"/>
        </w:numPr>
        <w:tabs>
          <w:tab w:val="left" w:pos="540"/>
        </w:tabs>
        <w:spacing w:after="0" w:line="276" w:lineRule="auto"/>
        <w:ind w:hanging="180"/>
        <w:rPr>
          <w:sz w:val="24"/>
          <w:szCs w:val="24"/>
          <w:lang w:val="hy-AM"/>
        </w:rPr>
      </w:pPr>
      <w:r>
        <w:rPr>
          <w:rFonts w:cs="Sylfaen"/>
          <w:lang w:val="hy-AM"/>
        </w:rPr>
        <w:t>Սփյուռքի ներուժի բացահայտումը, տեղեկատվական համակարգերի ստեղծումը,   ՀՀ զարգացման գործընթացներում ներգրավվածությունը, Հայաստան- Սփյուռք համատեղ ծրագրերի իրականացումը, ըստ ոլորտների համահայկական մասնագիտական ցանցերի ստեղծումը</w:t>
      </w:r>
      <w:r>
        <w:rPr>
          <w:sz w:val="24"/>
          <w:szCs w:val="24"/>
          <w:lang w:val="hy-AM"/>
        </w:rPr>
        <w:t>:</w:t>
      </w:r>
    </w:p>
    <w:p w14:paraId="2AD4622D" w14:textId="77777777" w:rsidR="00FE6E13" w:rsidRDefault="00FE6E13" w:rsidP="00FE6E13">
      <w:pPr>
        <w:numPr>
          <w:ilvl w:val="12"/>
          <w:numId w:val="0"/>
        </w:numPr>
        <w:tabs>
          <w:tab w:val="left" w:pos="851"/>
        </w:tabs>
        <w:spacing w:after="0" w:line="276" w:lineRule="auto"/>
        <w:ind w:firstLine="540"/>
        <w:rPr>
          <w:rFonts w:eastAsia="Times New Roman" w:cs="Times New Roman"/>
          <w:lang w:val="hy-AM"/>
        </w:rPr>
      </w:pPr>
      <w:r w:rsidRPr="00EE2180">
        <w:rPr>
          <w:rFonts w:cs="Sylfaen"/>
          <w:lang w:val="hy-AM"/>
        </w:rPr>
        <w:t>Ս</w:t>
      </w:r>
      <w:r>
        <w:rPr>
          <w:rFonts w:eastAsia="Times New Roman" w:cs="Times New Roman"/>
          <w:lang w:val="hy-AM"/>
        </w:rPr>
        <w:t>փյուռքի գծով նախատեսված հատկացումները ուղղվելու են 2 ծրագրերի իրականացմանը՝ «Հայաստան-Սփյուռք գործակցության ծրագիր» և «ՀՀ զարգացման գործընթացներում Սփյուռքի ներուժի ներգրավում»:</w:t>
      </w:r>
    </w:p>
    <w:p w14:paraId="30C7180A" w14:textId="77777777" w:rsidR="00FE6E13" w:rsidRDefault="00FE6E13" w:rsidP="00FE6E13">
      <w:pPr>
        <w:numPr>
          <w:ilvl w:val="12"/>
          <w:numId w:val="0"/>
        </w:numPr>
        <w:tabs>
          <w:tab w:val="left" w:pos="851"/>
        </w:tabs>
        <w:spacing w:after="0" w:line="276" w:lineRule="auto"/>
        <w:ind w:firstLine="540"/>
        <w:rPr>
          <w:rFonts w:eastAsia="Times New Roman" w:cs="Times New Roman"/>
          <w:lang w:val="af-ZA"/>
        </w:rPr>
      </w:pPr>
      <w:r>
        <w:rPr>
          <w:rFonts w:eastAsia="Times New Roman" w:cs="Times New Roman"/>
          <w:b/>
          <w:lang w:val="hy-AM"/>
        </w:rPr>
        <w:t>Հայաստան-Սփյուռք գործակցության ծրագրի</w:t>
      </w:r>
      <w:r>
        <w:rPr>
          <w:rFonts w:eastAsia="Times New Roman" w:cs="Times New Roman"/>
          <w:lang w:val="hy-AM"/>
        </w:rPr>
        <w:t xml:space="preserve"> նպատակ</w:t>
      </w:r>
      <w:r w:rsidR="00EE2180">
        <w:rPr>
          <w:rFonts w:eastAsia="Times New Roman" w:cs="Times New Roman"/>
          <w:lang w:val="hy-AM"/>
        </w:rPr>
        <w:t>ն է</w:t>
      </w:r>
      <w:r>
        <w:rPr>
          <w:rFonts w:eastAsia="Times New Roman" w:cs="Times New Roman"/>
          <w:lang w:val="hy-AM"/>
        </w:rPr>
        <w:t>՝</w:t>
      </w:r>
      <w:r>
        <w:rPr>
          <w:rFonts w:eastAsia="Times New Roman" w:cs="Times New Roman"/>
          <w:lang w:val="af-ZA"/>
        </w:rPr>
        <w:t xml:space="preserve"> </w:t>
      </w:r>
      <w:r>
        <w:rPr>
          <w:rFonts w:eastAsia="Times New Roman" w:cs="Times New Roman"/>
          <w:lang w:val="hy-AM"/>
        </w:rPr>
        <w:t>նպաստել Հայաստանի և հայկական սփյուռքի միջև կապերի ամրապնդմանը և զարգացմանը</w:t>
      </w:r>
      <w:r>
        <w:rPr>
          <w:rFonts w:eastAsia="Times New Roman" w:cs="Times New Roman"/>
          <w:lang w:val="af-ZA"/>
        </w:rPr>
        <w:t>:</w:t>
      </w:r>
    </w:p>
    <w:p w14:paraId="60F1FA3E" w14:textId="77777777" w:rsidR="00FE6E13" w:rsidRDefault="00FE6E13" w:rsidP="00FE6E13">
      <w:pPr>
        <w:spacing w:after="0" w:line="276" w:lineRule="auto"/>
        <w:ind w:firstLine="360"/>
        <w:rPr>
          <w:lang w:val="af-ZA"/>
        </w:rPr>
      </w:pPr>
      <w:r>
        <w:rPr>
          <w:lang w:val="hy-AM"/>
        </w:rPr>
        <w:t>Ծրագրի գծով 2022-2024 թվականներին նախատեսվում է հատկացնել, ըստ տարիների՝ 585</w:t>
      </w:r>
      <w:r>
        <w:rPr>
          <w:rFonts w:cs="Sylfaen"/>
          <w:lang w:val="af-ZA"/>
        </w:rPr>
        <w:t>.</w:t>
      </w:r>
      <w:r>
        <w:rPr>
          <w:rFonts w:cs="Sylfaen"/>
          <w:lang w:val="hy-AM"/>
        </w:rPr>
        <w:t>2; 584</w:t>
      </w:r>
      <w:r>
        <w:rPr>
          <w:rFonts w:cs="Sylfaen"/>
          <w:lang w:val="af-ZA"/>
        </w:rPr>
        <w:t>.</w:t>
      </w:r>
      <w:r>
        <w:rPr>
          <w:rFonts w:cs="Sylfaen"/>
          <w:lang w:val="hy-AM"/>
        </w:rPr>
        <w:t>4 և 624</w:t>
      </w:r>
      <w:r>
        <w:rPr>
          <w:rFonts w:cs="Sylfaen"/>
          <w:lang w:val="af-ZA"/>
        </w:rPr>
        <w:t>.</w:t>
      </w:r>
      <w:r>
        <w:rPr>
          <w:rFonts w:cs="Sylfaen"/>
          <w:lang w:val="hy-AM"/>
        </w:rPr>
        <w:t>4 մլն դրամ</w:t>
      </w:r>
      <w:r>
        <w:rPr>
          <w:lang w:val="af-ZA"/>
        </w:rPr>
        <w:t>:</w:t>
      </w:r>
    </w:p>
    <w:p w14:paraId="3E1A08B8" w14:textId="77777777" w:rsidR="00FE6E13" w:rsidRDefault="00FE6E13" w:rsidP="00FE6E13">
      <w:pPr>
        <w:numPr>
          <w:ilvl w:val="12"/>
          <w:numId w:val="0"/>
        </w:numPr>
        <w:tabs>
          <w:tab w:val="left" w:pos="851"/>
        </w:tabs>
        <w:spacing w:after="0" w:line="276" w:lineRule="auto"/>
        <w:ind w:firstLine="540"/>
        <w:rPr>
          <w:rFonts w:eastAsia="Times New Roman" w:cs="Sylfaen"/>
          <w:bCs/>
          <w:lang w:val="hy-AM"/>
        </w:rPr>
      </w:pPr>
      <w:r>
        <w:rPr>
          <w:rFonts w:eastAsia="Times New Roman" w:cs="Times New Roman"/>
          <w:b/>
          <w:lang w:val="hy-AM"/>
        </w:rPr>
        <w:t>ՀՀ զարգացման գործընթացներում Սփյուռքի ներուժի ներգրավում</w:t>
      </w:r>
      <w:r>
        <w:rPr>
          <w:rFonts w:eastAsia="Times New Roman" w:cs="Times New Roman"/>
          <w:lang w:val="hy-AM"/>
        </w:rPr>
        <w:t xml:space="preserve"> ծրագրի նպատակ</w:t>
      </w:r>
      <w:r w:rsidR="00EE2180">
        <w:rPr>
          <w:rFonts w:eastAsia="Times New Roman" w:cs="Times New Roman"/>
          <w:lang w:val="hy-AM"/>
        </w:rPr>
        <w:t>ն է</w:t>
      </w:r>
      <w:r>
        <w:rPr>
          <w:rFonts w:eastAsia="Times New Roman" w:cs="Times New Roman"/>
          <w:lang w:val="hy-AM"/>
        </w:rPr>
        <w:t xml:space="preserve">՝  ապահովել </w:t>
      </w:r>
      <w:r>
        <w:rPr>
          <w:rFonts w:eastAsia="Times New Roman" w:cs="Sylfaen"/>
          <w:bCs/>
          <w:lang w:val="hy-AM"/>
        </w:rPr>
        <w:t xml:space="preserve">Սփյուռքի ներուժի բացահայտումը, Սփյուռքի ներուժի վերաբերյալ տեղեկատվական համակարգերի ստեղծումը, Հայաստան-Սփյուռք համատեղ ծրագրերի իրականացումը, ըստ ոլորտների համահայկական մասնագիտական ցանցերի ստեղծումը: </w:t>
      </w:r>
    </w:p>
    <w:p w14:paraId="07CD5FC7" w14:textId="77777777" w:rsidR="00FE6E13" w:rsidRDefault="00FE6E13" w:rsidP="00FE6E13">
      <w:pPr>
        <w:spacing w:after="0" w:line="276" w:lineRule="auto"/>
        <w:ind w:firstLine="360"/>
        <w:rPr>
          <w:lang w:val="af-ZA"/>
        </w:rPr>
      </w:pPr>
      <w:r>
        <w:rPr>
          <w:rFonts w:eastAsia="Times New Roman" w:cs="Sylfaen"/>
          <w:kern w:val="16"/>
          <w:lang w:val="pt-BR"/>
        </w:rPr>
        <w:t xml:space="preserve"> </w:t>
      </w:r>
      <w:r>
        <w:rPr>
          <w:rFonts w:eastAsia="Times New Roman" w:cs="Sylfaen"/>
          <w:kern w:val="16"/>
          <w:lang w:val="pt-BR"/>
        </w:rPr>
        <w:tab/>
      </w:r>
      <w:r>
        <w:rPr>
          <w:lang w:val="hy-AM"/>
        </w:rPr>
        <w:t>Ծրագրի գծով 2022-2024 թվականներին նախատեսվում է հատկացնել, ըստ տարիների՝ 206</w:t>
      </w:r>
      <w:r>
        <w:rPr>
          <w:rFonts w:cs="Sylfaen"/>
          <w:lang w:val="af-ZA"/>
        </w:rPr>
        <w:t>.</w:t>
      </w:r>
      <w:r>
        <w:rPr>
          <w:rFonts w:cs="Sylfaen"/>
          <w:lang w:val="hy-AM"/>
        </w:rPr>
        <w:t>8; 75</w:t>
      </w:r>
      <w:r>
        <w:rPr>
          <w:rFonts w:cs="Sylfaen"/>
          <w:lang w:val="af-ZA"/>
        </w:rPr>
        <w:t>.</w:t>
      </w:r>
      <w:r>
        <w:rPr>
          <w:rFonts w:cs="Sylfaen"/>
          <w:lang w:val="hy-AM"/>
        </w:rPr>
        <w:t>0 և 247</w:t>
      </w:r>
      <w:r>
        <w:rPr>
          <w:rFonts w:cs="Sylfaen"/>
          <w:lang w:val="af-ZA"/>
        </w:rPr>
        <w:t>.</w:t>
      </w:r>
      <w:r>
        <w:rPr>
          <w:rFonts w:cs="Sylfaen"/>
          <w:lang w:val="hy-AM"/>
        </w:rPr>
        <w:t>5 մլն դրամ</w:t>
      </w:r>
      <w:r>
        <w:rPr>
          <w:lang w:val="af-ZA"/>
        </w:rPr>
        <w:t>:</w:t>
      </w:r>
    </w:p>
    <w:p w14:paraId="6CDFFC1A" w14:textId="77777777" w:rsidR="00FE6E13" w:rsidRDefault="00FE6E13" w:rsidP="00FE6E13">
      <w:pPr>
        <w:spacing w:after="0" w:line="276" w:lineRule="auto"/>
        <w:ind w:left="227" w:firstLine="227"/>
        <w:rPr>
          <w:rFonts w:cs="Arial Armenian"/>
          <w:lang w:val="hy-AM"/>
        </w:rPr>
      </w:pPr>
      <w:r>
        <w:rPr>
          <w:rFonts w:cs="Arial Armenian"/>
          <w:lang w:val="hy-AM"/>
        </w:rPr>
        <w:t>ՀՀ վարչապետի աշխատակազմի համար 2022-2024 թվականներին նախատեսված չափաքանակները.</w:t>
      </w:r>
    </w:p>
    <w:p w14:paraId="67D77518" w14:textId="77777777" w:rsidR="00FE6E13" w:rsidRDefault="00FE6E13" w:rsidP="00FE6E13">
      <w:pPr>
        <w:tabs>
          <w:tab w:val="left" w:pos="851"/>
          <w:tab w:val="left" w:pos="993"/>
        </w:tabs>
        <w:spacing w:line="276" w:lineRule="auto"/>
        <w:ind w:left="450" w:hanging="516"/>
        <w:contextualSpacing/>
        <w:rPr>
          <w:rFonts w:cs="Arial Armenian"/>
          <w:lang w:val="hy-AM"/>
        </w:rPr>
      </w:pPr>
    </w:p>
    <w:p w14:paraId="4FB3F91A" w14:textId="77777777" w:rsidR="00FE6E13" w:rsidRDefault="00FE6E13" w:rsidP="00FE6E13">
      <w:pPr>
        <w:tabs>
          <w:tab w:val="left" w:pos="851"/>
          <w:tab w:val="left" w:pos="993"/>
        </w:tabs>
        <w:spacing w:line="276" w:lineRule="auto"/>
        <w:ind w:left="450" w:hanging="516"/>
        <w:contextualSpacing/>
        <w:rPr>
          <w:rFonts w:cs="Sylfaen"/>
          <w:lang w:val="hy-AM"/>
        </w:rPr>
      </w:pPr>
      <w:r>
        <w:rPr>
          <w:rFonts w:cs="Arial Armenian"/>
          <w:lang w:val="hy-AM"/>
        </w:rPr>
        <w:tab/>
        <w:t xml:space="preserve">2022 թվականի համար՝ </w:t>
      </w:r>
      <w:r w:rsidR="00EE2180" w:rsidRPr="00FC2D51">
        <w:rPr>
          <w:rFonts w:cs="Arial Armenian"/>
          <w:lang w:val="hy-AM"/>
        </w:rPr>
        <w:t>20</w:t>
      </w:r>
      <w:r w:rsidRPr="00FC2D51">
        <w:rPr>
          <w:rFonts w:cs="Arial Armenian"/>
          <w:lang w:val="hy-AM"/>
        </w:rPr>
        <w:t>,</w:t>
      </w:r>
      <w:r w:rsidR="00EE2180" w:rsidRPr="00FC2D51">
        <w:rPr>
          <w:rFonts w:cs="Arial Armenian"/>
          <w:lang w:val="hy-AM"/>
        </w:rPr>
        <w:t>038</w:t>
      </w:r>
      <w:r w:rsidRPr="00FC2D51">
        <w:rPr>
          <w:rFonts w:cs="Arial Armenian"/>
          <w:lang w:val="hy-AM"/>
        </w:rPr>
        <w:t>.</w:t>
      </w:r>
      <w:r w:rsidR="00EE2180" w:rsidRPr="00FC2D51">
        <w:rPr>
          <w:rFonts w:cs="Arial Armenian"/>
          <w:lang w:val="hy-AM"/>
        </w:rPr>
        <w:t>7</w:t>
      </w:r>
      <w:r w:rsidRPr="00FC2D51">
        <w:rPr>
          <w:rFonts w:cs="Arial Armenian"/>
          <w:lang w:val="hy-AM"/>
        </w:rPr>
        <w:t xml:space="preserve"> մլն</w:t>
      </w:r>
      <w:r>
        <w:rPr>
          <w:rFonts w:cs="Sylfaen"/>
          <w:lang w:val="hy-AM"/>
        </w:rPr>
        <w:t xml:space="preserve"> դրամ;</w:t>
      </w:r>
    </w:p>
    <w:p w14:paraId="46683D0D" w14:textId="77777777" w:rsidR="00FE6E13" w:rsidRDefault="00FE6E13" w:rsidP="00FE6E13">
      <w:pPr>
        <w:tabs>
          <w:tab w:val="left" w:pos="851"/>
          <w:tab w:val="left" w:pos="993"/>
        </w:tabs>
        <w:spacing w:line="276" w:lineRule="auto"/>
        <w:ind w:left="450" w:hanging="516"/>
        <w:contextualSpacing/>
        <w:rPr>
          <w:rFonts w:cs="Sylfaen"/>
          <w:lang w:val="hy-AM"/>
        </w:rPr>
      </w:pPr>
      <w:r>
        <w:rPr>
          <w:rFonts w:cs="Sylfaen"/>
          <w:lang w:val="hy-AM"/>
        </w:rPr>
        <w:tab/>
        <w:t xml:space="preserve">2023 </w:t>
      </w:r>
      <w:r>
        <w:rPr>
          <w:rFonts w:cs="Arial Armenian"/>
          <w:lang w:val="hy-AM"/>
        </w:rPr>
        <w:t xml:space="preserve">թվականի համար՝ </w:t>
      </w:r>
      <w:r w:rsidRPr="00FC2D51">
        <w:rPr>
          <w:rFonts w:cs="Sylfaen"/>
          <w:lang w:val="hy-AM"/>
        </w:rPr>
        <w:t>1</w:t>
      </w:r>
      <w:r w:rsidR="00EE2180" w:rsidRPr="00FC2D51">
        <w:rPr>
          <w:rFonts w:cs="Sylfaen"/>
          <w:lang w:val="hy-AM"/>
        </w:rPr>
        <w:t>9</w:t>
      </w:r>
      <w:r w:rsidRPr="00FC2D51">
        <w:rPr>
          <w:rFonts w:cs="Sylfaen"/>
          <w:lang w:val="hy-AM"/>
        </w:rPr>
        <w:t>,</w:t>
      </w:r>
      <w:r w:rsidR="00EE2180" w:rsidRPr="00FC2D51">
        <w:rPr>
          <w:rFonts w:cs="Sylfaen"/>
          <w:lang w:val="hy-AM"/>
        </w:rPr>
        <w:t>988</w:t>
      </w:r>
      <w:r w:rsidRPr="00FC2D51">
        <w:rPr>
          <w:rFonts w:cs="Sylfaen"/>
          <w:lang w:val="hy-AM"/>
        </w:rPr>
        <w:t>.</w:t>
      </w:r>
      <w:r w:rsidR="00EE2180" w:rsidRPr="00FC2D51">
        <w:rPr>
          <w:rFonts w:cs="Sylfaen"/>
          <w:lang w:val="hy-AM"/>
        </w:rPr>
        <w:t>9</w:t>
      </w:r>
      <w:r>
        <w:rPr>
          <w:rFonts w:cs="Sylfaen"/>
          <w:lang w:val="hy-AM"/>
        </w:rPr>
        <w:t xml:space="preserve"> մլն դրամ;</w:t>
      </w:r>
    </w:p>
    <w:p w14:paraId="27FAF710" w14:textId="77777777" w:rsidR="00FE6E13" w:rsidRPr="00DE2043" w:rsidRDefault="00FE6E13" w:rsidP="00C0628C">
      <w:pPr>
        <w:pStyle w:val="ListParagraph"/>
        <w:numPr>
          <w:ilvl w:val="0"/>
          <w:numId w:val="30"/>
        </w:numPr>
        <w:tabs>
          <w:tab w:val="left" w:pos="851"/>
          <w:tab w:val="left" w:pos="993"/>
        </w:tabs>
        <w:spacing w:line="276" w:lineRule="auto"/>
        <w:rPr>
          <w:lang w:val="hy-AM"/>
        </w:rPr>
      </w:pPr>
      <w:r w:rsidRPr="00DE2043">
        <w:rPr>
          <w:rFonts w:cs="Arial Armenian"/>
          <w:lang w:val="hy-AM"/>
        </w:rPr>
        <w:t xml:space="preserve">թվականի համար՝ </w:t>
      </w:r>
      <w:r w:rsidRPr="00FC2D51">
        <w:rPr>
          <w:rFonts w:cs="Sylfaen"/>
          <w:lang w:val="hy-AM"/>
        </w:rPr>
        <w:t>13,993.7</w:t>
      </w:r>
      <w:r w:rsidRPr="00DE2043">
        <w:rPr>
          <w:rFonts w:cs="Sylfaen"/>
          <w:lang w:val="hy-AM"/>
        </w:rPr>
        <w:t xml:space="preserve"> մլն դրամ:</w:t>
      </w:r>
    </w:p>
    <w:p w14:paraId="61E4E465" w14:textId="77777777" w:rsidR="00DA0E15" w:rsidRPr="00CF585F" w:rsidRDefault="00DA0E15" w:rsidP="00FE6E13">
      <w:pPr>
        <w:pStyle w:val="Heading3"/>
        <w:spacing w:before="0" w:after="120" w:line="276" w:lineRule="auto"/>
        <w:jc w:val="both"/>
        <w:rPr>
          <w:rFonts w:cs="Sylfaen"/>
          <w:color w:val="000000"/>
          <w:lang w:val="en-US"/>
        </w:rPr>
      </w:pPr>
    </w:p>
    <w:p w14:paraId="251AF0C0" w14:textId="77777777" w:rsidR="00DA0E15" w:rsidRDefault="00DA0E15">
      <w:pPr>
        <w:spacing w:after="0" w:line="276" w:lineRule="auto"/>
        <w:rPr>
          <w:b/>
          <w:lang w:val="hy-AM"/>
        </w:rPr>
      </w:pPr>
    </w:p>
    <w:p w14:paraId="1592CB79" w14:textId="77777777" w:rsidR="00DA0E15" w:rsidRDefault="00DA0E15">
      <w:pPr>
        <w:pStyle w:val="ListParagraph"/>
        <w:spacing w:after="0" w:line="276" w:lineRule="auto"/>
        <w:rPr>
          <w:lang w:val="af-ZA"/>
        </w:rPr>
      </w:pPr>
    </w:p>
    <w:p w14:paraId="3B948CA4" w14:textId="77777777" w:rsidR="00DA0E15" w:rsidRDefault="00362131" w:rsidP="00C0628C">
      <w:pPr>
        <w:pStyle w:val="Heading2"/>
        <w:numPr>
          <w:ilvl w:val="0"/>
          <w:numId w:val="14"/>
        </w:numPr>
      </w:pPr>
      <w:r>
        <w:br w:type="page"/>
      </w:r>
    </w:p>
    <w:p w14:paraId="4CE44572" w14:textId="77777777" w:rsidR="00DA0E15" w:rsidRDefault="00362131">
      <w:pPr>
        <w:pStyle w:val="Heading3"/>
        <w:spacing w:before="0" w:after="120" w:line="276" w:lineRule="auto"/>
        <w:jc w:val="both"/>
        <w:rPr>
          <w:rFonts w:eastAsia="Times New Roman" w:cs="Times New Roman"/>
          <w:caps w:val="0"/>
          <w:color w:val="1F497D" w:themeColor="text2"/>
          <w:sz w:val="28"/>
          <w:szCs w:val="28"/>
        </w:rPr>
      </w:pPr>
      <w:bookmarkStart w:id="636" w:name="_Toc77837887"/>
      <w:r>
        <w:rPr>
          <w:rFonts w:eastAsia="Times New Roman" w:cs="Times New Roman"/>
          <w:caps w:val="0"/>
          <w:color w:val="1F497D" w:themeColor="text2"/>
          <w:sz w:val="28"/>
          <w:szCs w:val="28"/>
        </w:rPr>
        <w:t>1</w:t>
      </w:r>
      <w:r>
        <w:rPr>
          <w:rFonts w:eastAsia="Times New Roman" w:cs="Times New Roman"/>
          <w:caps w:val="0"/>
          <w:color w:val="1F497D" w:themeColor="text2"/>
          <w:sz w:val="28"/>
          <w:szCs w:val="28"/>
          <w:lang w:val="es-ES"/>
        </w:rPr>
        <w:t>8</w:t>
      </w:r>
      <w:r>
        <w:rPr>
          <w:rFonts w:eastAsia="Times New Roman" w:cs="Times New Roman"/>
          <w:caps w:val="0"/>
          <w:color w:val="1F497D" w:themeColor="text2"/>
          <w:sz w:val="28"/>
          <w:szCs w:val="28"/>
        </w:rPr>
        <w:t>. ՌԱԴԻՈ ԵՎ ՀԵՌՈՒՍՏԱՀԱՂՈՐԴՈՒՄՆԵՐԻ ՀԵՌԱՐՁԱԿՈՒՄ</w:t>
      </w:r>
      <w:bookmarkEnd w:id="636"/>
      <w:r>
        <w:rPr>
          <w:rFonts w:eastAsia="Times New Roman" w:cs="Times New Roman"/>
          <w:caps w:val="0"/>
          <w:color w:val="1F497D" w:themeColor="text2"/>
          <w:sz w:val="28"/>
          <w:szCs w:val="28"/>
        </w:rPr>
        <w:t xml:space="preserve"> </w:t>
      </w:r>
    </w:p>
    <w:p w14:paraId="6C490665" w14:textId="77777777" w:rsidR="00DA0E15" w:rsidRDefault="00362131">
      <w:pPr>
        <w:tabs>
          <w:tab w:val="left" w:pos="0"/>
        </w:tabs>
        <w:spacing w:line="276" w:lineRule="auto"/>
        <w:ind w:firstLine="0"/>
        <w:rPr>
          <w:rFonts w:cs="Sylfaen"/>
          <w:lang w:val="hy-AM"/>
        </w:rPr>
      </w:pPr>
      <w:r>
        <w:rPr>
          <w:rFonts w:cs="Sylfaen"/>
          <w:lang w:val="hy-AM"/>
        </w:rPr>
        <w:tab/>
      </w:r>
      <w:r>
        <w:rPr>
          <w:rFonts w:cs="Sylfaen"/>
          <w:lang w:val="hy-AM"/>
        </w:rPr>
        <w:tab/>
        <w:t>Ռադիո և հեռուստահաղորդումների հեռարձակման ոլորտը կարգավորվում է «Տեսալսողական մեդիայի մասին» ՀՀ օրենքով: Նույն օրենքի համաձայն՝ Հանրային հեռարձակողի խորհուրդը (այսուհետ` Խորհուրդ) հանդիսանում է «Հայաստանի հանրային հեռուստաընկերություն», «Հայաստանի հանրային ռադիոընկերություն» և «Հոգևոր-մշակութային հանրային հեռուստաընկերություն» փակ բաժնետիրական ընկերությունների (այսուհետ` Ընկերություններ) կառավարման մարմինը, և իր աշխատանքները կազմակերպում է աշխատակազմի միջոցով: Խորհրդի աշխատակազմը «Հանրային հեռարձակողի խորհրդի աշխատակազմ» պետական հիմնարկն է:</w:t>
      </w:r>
    </w:p>
    <w:p w14:paraId="488744AE" w14:textId="77777777" w:rsidR="00DA0E15" w:rsidRDefault="00362131">
      <w:pPr>
        <w:tabs>
          <w:tab w:val="left" w:pos="0"/>
        </w:tabs>
        <w:spacing w:line="276" w:lineRule="auto"/>
        <w:rPr>
          <w:rFonts w:cs="Sylfaen"/>
          <w:lang w:val="hy-AM"/>
        </w:rPr>
      </w:pPr>
      <w:r>
        <w:rPr>
          <w:rFonts w:cs="Sylfaen"/>
          <w:lang w:val="hy-AM"/>
        </w:rPr>
        <w:tab/>
        <w:t>Ռադիո և հեռուստահաղորդումների հեռարձակման ոլորտի հիմնական թիրախներն են.</w:t>
      </w:r>
    </w:p>
    <w:p w14:paraId="0862A7F2" w14:textId="77777777" w:rsidR="00DA0E15" w:rsidRDefault="00362131" w:rsidP="00C0628C">
      <w:pPr>
        <w:pStyle w:val="ListParagraph"/>
        <w:numPr>
          <w:ilvl w:val="0"/>
          <w:numId w:val="21"/>
        </w:numPr>
        <w:spacing w:line="276" w:lineRule="auto"/>
        <w:rPr>
          <w:rFonts w:eastAsia="Calibri"/>
          <w:lang w:val="fr-FR"/>
        </w:rPr>
      </w:pPr>
      <w:r>
        <w:rPr>
          <w:shd w:val="clear" w:color="auto" w:fill="FFFFFF"/>
          <w:lang w:val="hy-AM"/>
        </w:rPr>
        <w:t>Ստեղծել</w:t>
      </w:r>
      <w:r>
        <w:rPr>
          <w:rFonts w:eastAsia="Calibri" w:cs="Sylfaen"/>
          <w:color w:val="000000"/>
          <w:lang w:val="hy-AM"/>
        </w:rPr>
        <w:t xml:space="preserve"> և տարածել շուրջօրյա հեռուստատեսային, ռադիո և տեսալսողական տեղեկատվություն,</w:t>
      </w:r>
    </w:p>
    <w:p w14:paraId="4BD1B57F" w14:textId="77777777" w:rsidR="00DA0E15" w:rsidRDefault="00362131" w:rsidP="00C0628C">
      <w:pPr>
        <w:pStyle w:val="ListParagraph"/>
        <w:numPr>
          <w:ilvl w:val="0"/>
          <w:numId w:val="21"/>
        </w:numPr>
        <w:spacing w:line="276" w:lineRule="auto"/>
        <w:rPr>
          <w:rFonts w:eastAsia="Calibri" w:cs="Sylfaen"/>
          <w:color w:val="000000"/>
          <w:lang w:val="fr-FR"/>
        </w:rPr>
      </w:pPr>
      <w:r>
        <w:rPr>
          <w:shd w:val="clear" w:color="auto" w:fill="FFFFFF"/>
          <w:lang w:val="hy-AM"/>
        </w:rPr>
        <w:t>Ապահովել</w:t>
      </w:r>
      <w:r>
        <w:rPr>
          <w:rFonts w:eastAsia="Calibri" w:cs="Sylfaen"/>
          <w:color w:val="000000"/>
          <w:lang w:val="fr-FR"/>
        </w:rPr>
        <w:t xml:space="preserve"> </w:t>
      </w:r>
      <w:r>
        <w:rPr>
          <w:rFonts w:eastAsia="Calibri" w:cs="Sylfaen"/>
          <w:color w:val="000000"/>
          <w:lang w:val="ru-RU"/>
        </w:rPr>
        <w:t>բազմազան</w:t>
      </w:r>
      <w:r>
        <w:rPr>
          <w:rFonts w:eastAsia="Calibri" w:cs="Sylfaen"/>
          <w:color w:val="000000"/>
          <w:lang w:val="fr-FR"/>
        </w:rPr>
        <w:t xml:space="preserve"> </w:t>
      </w:r>
      <w:r>
        <w:rPr>
          <w:rFonts w:eastAsia="Calibri" w:cs="Sylfaen"/>
          <w:color w:val="000000"/>
          <w:lang w:val="ru-RU"/>
        </w:rPr>
        <w:t>տեղեկատվական</w:t>
      </w:r>
      <w:r>
        <w:rPr>
          <w:rFonts w:eastAsia="Calibri" w:cs="Sylfaen"/>
          <w:color w:val="000000"/>
          <w:lang w:val="fr-FR"/>
        </w:rPr>
        <w:t xml:space="preserve">, </w:t>
      </w:r>
      <w:r>
        <w:rPr>
          <w:rFonts w:eastAsia="Calibri" w:cs="Sylfaen"/>
          <w:color w:val="000000"/>
          <w:lang w:val="ru-RU"/>
        </w:rPr>
        <w:t>ճանաչողական</w:t>
      </w:r>
      <w:r>
        <w:rPr>
          <w:rFonts w:eastAsia="Calibri" w:cs="Sylfaen"/>
          <w:color w:val="000000"/>
          <w:lang w:val="fr-FR"/>
        </w:rPr>
        <w:t xml:space="preserve">, </w:t>
      </w:r>
      <w:r>
        <w:rPr>
          <w:rFonts w:eastAsia="Calibri" w:cs="Sylfaen"/>
          <w:color w:val="000000"/>
          <w:lang w:val="ru-RU"/>
        </w:rPr>
        <w:t>կրթական</w:t>
      </w:r>
      <w:r>
        <w:rPr>
          <w:rFonts w:eastAsia="Calibri" w:cs="Sylfaen"/>
          <w:color w:val="000000"/>
          <w:lang w:val="fr-FR"/>
        </w:rPr>
        <w:t xml:space="preserve">, </w:t>
      </w:r>
      <w:r>
        <w:rPr>
          <w:rFonts w:eastAsia="Calibri" w:cs="Sylfaen"/>
          <w:color w:val="000000"/>
          <w:lang w:val="ru-RU"/>
        </w:rPr>
        <w:t>ժամանցային</w:t>
      </w:r>
      <w:r>
        <w:rPr>
          <w:rFonts w:eastAsia="Calibri" w:cs="Sylfaen"/>
          <w:color w:val="000000"/>
          <w:lang w:val="fr-FR"/>
        </w:rPr>
        <w:t xml:space="preserve"> </w:t>
      </w:r>
      <w:r>
        <w:rPr>
          <w:rFonts w:eastAsia="Calibri" w:cs="Sylfaen"/>
          <w:color w:val="000000"/>
          <w:lang w:val="ru-RU"/>
        </w:rPr>
        <w:t>բովանդակություն</w:t>
      </w:r>
      <w:r>
        <w:rPr>
          <w:rFonts w:eastAsia="Calibri" w:cs="Sylfaen"/>
          <w:color w:val="000000"/>
          <w:lang w:val="fr-FR"/>
        </w:rPr>
        <w:t>,</w:t>
      </w:r>
    </w:p>
    <w:p w14:paraId="472CA706" w14:textId="77777777" w:rsidR="00DA0E15" w:rsidRDefault="00362131" w:rsidP="00C0628C">
      <w:pPr>
        <w:pStyle w:val="ListParagraph"/>
        <w:numPr>
          <w:ilvl w:val="0"/>
          <w:numId w:val="21"/>
        </w:numPr>
        <w:spacing w:line="276" w:lineRule="auto"/>
        <w:rPr>
          <w:rFonts w:eastAsia="Calibri" w:cs="Arial"/>
          <w:lang w:val="fr-FR"/>
        </w:rPr>
      </w:pPr>
      <w:r>
        <w:rPr>
          <w:shd w:val="clear" w:color="auto" w:fill="FFFFFF"/>
          <w:lang w:val="hy-AM"/>
        </w:rPr>
        <w:t>Տրամադրել</w:t>
      </w:r>
      <w:r>
        <w:rPr>
          <w:rFonts w:eastAsia="Calibri" w:cs="Sylfaen"/>
          <w:color w:val="000000"/>
          <w:lang w:val="fr-FR"/>
        </w:rPr>
        <w:t xml:space="preserve"> </w:t>
      </w:r>
      <w:r>
        <w:rPr>
          <w:rFonts w:eastAsia="Calibri" w:cs="Sylfaen"/>
          <w:color w:val="000000"/>
          <w:lang w:val="ru-RU"/>
        </w:rPr>
        <w:t>անաչառ</w:t>
      </w:r>
      <w:r>
        <w:rPr>
          <w:rFonts w:eastAsia="Calibri" w:cs="Sylfaen"/>
          <w:color w:val="000000"/>
          <w:lang w:val="fr-FR"/>
        </w:rPr>
        <w:t xml:space="preserve"> </w:t>
      </w:r>
      <w:r>
        <w:rPr>
          <w:rFonts w:eastAsia="Calibri" w:cs="Sylfaen"/>
          <w:color w:val="000000"/>
          <w:lang w:val="ru-RU"/>
        </w:rPr>
        <w:t>լրատվություն</w:t>
      </w:r>
      <w:r>
        <w:rPr>
          <w:rFonts w:eastAsia="Calibri" w:cs="Sylfaen"/>
          <w:color w:val="000000"/>
          <w:lang w:val="fr-FR"/>
        </w:rPr>
        <w:t xml:space="preserve"> </w:t>
      </w:r>
      <w:r>
        <w:rPr>
          <w:rFonts w:eastAsia="Calibri" w:cs="Sylfaen"/>
          <w:color w:val="000000"/>
          <w:lang w:val="ru-RU"/>
        </w:rPr>
        <w:t>Հայաստանում</w:t>
      </w:r>
      <w:r>
        <w:rPr>
          <w:rFonts w:eastAsia="Calibri" w:cs="Sylfaen"/>
          <w:color w:val="000000"/>
          <w:lang w:val="fr-FR"/>
        </w:rPr>
        <w:t xml:space="preserve"> </w:t>
      </w:r>
      <w:r>
        <w:rPr>
          <w:rFonts w:eastAsia="Calibri" w:cs="Sylfaen"/>
          <w:color w:val="000000"/>
          <w:lang w:val="ru-RU"/>
        </w:rPr>
        <w:t>և</w:t>
      </w:r>
      <w:r>
        <w:rPr>
          <w:rFonts w:eastAsia="Calibri" w:cs="Sylfaen"/>
          <w:color w:val="000000"/>
          <w:lang w:val="fr-FR"/>
        </w:rPr>
        <w:t xml:space="preserve"> </w:t>
      </w:r>
      <w:r>
        <w:rPr>
          <w:rFonts w:eastAsia="Calibri" w:cs="Sylfaen"/>
          <w:color w:val="000000"/>
          <w:lang w:val="ru-RU"/>
        </w:rPr>
        <w:t>աշխարհում</w:t>
      </w:r>
      <w:r>
        <w:rPr>
          <w:rFonts w:eastAsia="Calibri" w:cs="Sylfaen"/>
          <w:color w:val="000000"/>
          <w:lang w:val="fr-FR"/>
        </w:rPr>
        <w:t xml:space="preserve"> </w:t>
      </w:r>
      <w:r>
        <w:rPr>
          <w:rFonts w:eastAsia="Calibri" w:cs="Sylfaen"/>
          <w:color w:val="000000"/>
          <w:lang w:val="ru-RU"/>
        </w:rPr>
        <w:t>տեղի</w:t>
      </w:r>
      <w:r>
        <w:rPr>
          <w:rFonts w:eastAsia="Calibri" w:cs="Sylfaen"/>
          <w:color w:val="000000"/>
          <w:lang w:val="fr-FR"/>
        </w:rPr>
        <w:t xml:space="preserve"> </w:t>
      </w:r>
      <w:r>
        <w:rPr>
          <w:rFonts w:eastAsia="Calibri" w:cs="Sylfaen"/>
          <w:color w:val="000000"/>
          <w:lang w:val="ru-RU"/>
        </w:rPr>
        <w:t>ունեցող</w:t>
      </w:r>
      <w:r>
        <w:rPr>
          <w:rFonts w:eastAsia="Calibri" w:cs="Sylfaen"/>
          <w:color w:val="000000"/>
          <w:lang w:val="fr-FR"/>
        </w:rPr>
        <w:t xml:space="preserve"> </w:t>
      </w:r>
      <w:r>
        <w:rPr>
          <w:rFonts w:eastAsia="Calibri" w:cs="Sylfaen"/>
          <w:color w:val="000000"/>
          <w:lang w:val="ru-RU"/>
        </w:rPr>
        <w:t>կարևոր</w:t>
      </w:r>
      <w:r>
        <w:rPr>
          <w:rFonts w:eastAsia="Calibri" w:cs="Sylfaen"/>
          <w:color w:val="000000"/>
          <w:lang w:val="fr-FR"/>
        </w:rPr>
        <w:t xml:space="preserve"> </w:t>
      </w:r>
      <w:r>
        <w:rPr>
          <w:rFonts w:eastAsia="Calibri" w:cs="Sylfaen"/>
          <w:color w:val="000000"/>
          <w:lang w:val="ru-RU"/>
        </w:rPr>
        <w:t>իրադարձությունների</w:t>
      </w:r>
      <w:r>
        <w:rPr>
          <w:rFonts w:eastAsia="Calibri" w:cs="Sylfaen"/>
          <w:color w:val="000000"/>
          <w:lang w:val="fr-FR"/>
        </w:rPr>
        <w:t xml:space="preserve"> </w:t>
      </w:r>
      <w:r>
        <w:rPr>
          <w:rFonts w:eastAsia="Calibri" w:cs="Sylfaen"/>
          <w:color w:val="000000"/>
          <w:lang w:val="ru-RU"/>
        </w:rPr>
        <w:t>մասին</w:t>
      </w:r>
      <w:r>
        <w:rPr>
          <w:rFonts w:eastAsia="Calibri" w:cs="Sylfaen"/>
          <w:color w:val="000000"/>
          <w:lang w:val="fr-FR"/>
        </w:rPr>
        <w:t>:</w:t>
      </w:r>
    </w:p>
    <w:p w14:paraId="17105B83" w14:textId="77777777" w:rsidR="00DA0E15" w:rsidRDefault="00362131">
      <w:pPr>
        <w:spacing w:after="200" w:line="276" w:lineRule="auto"/>
        <w:ind w:firstLine="652"/>
        <w:contextualSpacing/>
        <w:rPr>
          <w:rFonts w:eastAsia="Calibri" w:cs="Arial"/>
          <w:lang w:val="fr-FR"/>
        </w:rPr>
      </w:pPr>
      <w:r>
        <w:rPr>
          <w:rFonts w:cs="Sylfaen"/>
          <w:lang w:val="hy-AM"/>
        </w:rPr>
        <w:t>Արդյունք</w:t>
      </w:r>
      <w:r w:rsidR="00EE2180">
        <w:rPr>
          <w:rFonts w:cs="Sylfaen"/>
          <w:lang w:val="hy-AM"/>
        </w:rPr>
        <w:t>ը</w:t>
      </w:r>
      <w:r>
        <w:rPr>
          <w:rFonts w:eastAsia="Calibri" w:cs="Arial"/>
          <w:i/>
          <w:lang w:val="fr-FR"/>
        </w:rPr>
        <w:t>.</w:t>
      </w:r>
      <w:r>
        <w:rPr>
          <w:rFonts w:eastAsia="Calibri" w:cs="Arial"/>
          <w:lang w:val="fr-FR"/>
        </w:rPr>
        <w:t xml:space="preserve"> Բազմազան տեղեկատվական, ճանաչողական, կրթական, ժամանցային հեռուստատեսային և ռադիո հաղորդումների արտադրության և հեռարձակման ապահովում:</w:t>
      </w:r>
    </w:p>
    <w:p w14:paraId="69936B42" w14:textId="77777777" w:rsidR="00DA0E15" w:rsidRDefault="00DA0E15">
      <w:pPr>
        <w:spacing w:after="200" w:line="276" w:lineRule="auto"/>
        <w:contextualSpacing/>
        <w:rPr>
          <w:rFonts w:eastAsia="Calibri"/>
          <w:lang w:val="fr-FR"/>
        </w:rPr>
      </w:pPr>
    </w:p>
    <w:p w14:paraId="5786A56E" w14:textId="77777777" w:rsidR="00DA0E15" w:rsidRDefault="00362131">
      <w:pPr>
        <w:widowControl w:val="0"/>
        <w:spacing w:before="60" w:line="276" w:lineRule="auto"/>
        <w:ind w:firstLine="652"/>
        <w:rPr>
          <w:rFonts w:cs="Sylfaen"/>
          <w:lang w:val="hy-AM"/>
        </w:rPr>
      </w:pPr>
      <w:r>
        <w:rPr>
          <w:rFonts w:cs="GHEA Grapalat"/>
          <w:b/>
          <w:lang w:val="hy-AM"/>
        </w:rPr>
        <w:t>ՈԼՈՐՏԱՅԻՆ ԾԱԽՍԱՅԻՆ ԾՐԱԳՐԵՐԸ</w:t>
      </w:r>
    </w:p>
    <w:p w14:paraId="638560B9" w14:textId="77777777" w:rsidR="00DA0E15" w:rsidRDefault="00362131">
      <w:pPr>
        <w:spacing w:after="200" w:line="276" w:lineRule="auto"/>
        <w:ind w:firstLine="652"/>
        <w:contextualSpacing/>
        <w:rPr>
          <w:rFonts w:eastAsia="Calibri"/>
          <w:lang w:val="fr-FR"/>
        </w:rPr>
      </w:pPr>
      <w:r>
        <w:rPr>
          <w:rFonts w:cs="Sylfaen"/>
          <w:lang w:val="hy-AM"/>
        </w:rPr>
        <w:t>Հանրային հեռարձակողի խորհրդի</w:t>
      </w:r>
      <w:r>
        <w:rPr>
          <w:rFonts w:cs="Sylfaen"/>
          <w:lang w:val="es-ES"/>
        </w:rPr>
        <w:t xml:space="preserve"> </w:t>
      </w:r>
      <w:r>
        <w:rPr>
          <w:rFonts w:cs="Sylfaen"/>
          <w:lang w:val="hy-AM"/>
        </w:rPr>
        <w:t>կողմից</w:t>
      </w:r>
      <w:r>
        <w:rPr>
          <w:rFonts w:cs="Sylfaen"/>
          <w:lang w:val="es-ES"/>
        </w:rPr>
        <w:t xml:space="preserve"> </w:t>
      </w:r>
      <w:r>
        <w:rPr>
          <w:rFonts w:cs="Sylfaen"/>
          <w:lang w:val="hy-AM"/>
        </w:rPr>
        <w:t>իրականացվում</w:t>
      </w:r>
      <w:r>
        <w:rPr>
          <w:rFonts w:cs="Sylfaen"/>
          <w:lang w:val="es-ES"/>
        </w:rPr>
        <w:t xml:space="preserve"> </w:t>
      </w:r>
      <w:r>
        <w:rPr>
          <w:rFonts w:cs="Sylfaen"/>
          <w:lang w:val="hy-AM"/>
        </w:rPr>
        <w:t>է</w:t>
      </w:r>
      <w:r>
        <w:rPr>
          <w:rFonts w:cs="Sylfaen"/>
          <w:lang w:val="es-ES"/>
        </w:rPr>
        <w:t xml:space="preserve"> 1042 </w:t>
      </w:r>
      <w:r>
        <w:rPr>
          <w:rFonts w:ascii="Calibri" w:hAnsi="Calibri" w:cs="Calibri"/>
          <w:lang w:val="es-ES"/>
        </w:rPr>
        <w:t> </w:t>
      </w:r>
      <w:r>
        <w:rPr>
          <w:rFonts w:cs="Calibri"/>
          <w:lang w:val="es-ES"/>
        </w:rPr>
        <w:t>«</w:t>
      </w:r>
      <w:r>
        <w:rPr>
          <w:rFonts w:cs="Sylfaen"/>
          <w:lang w:val="es-ES"/>
        </w:rPr>
        <w:t>Ռադիո և հեռուստահաղորդումների հեռարձակում</w:t>
      </w:r>
      <w:r>
        <w:rPr>
          <w:rFonts w:cs="Calibri"/>
          <w:lang w:val="es-ES"/>
        </w:rPr>
        <w:t xml:space="preserve">» </w:t>
      </w:r>
      <w:r>
        <w:rPr>
          <w:rFonts w:cs="Sylfaen"/>
          <w:lang w:val="es-ES"/>
        </w:rPr>
        <w:t xml:space="preserve">բյուջետային </w:t>
      </w:r>
      <w:r>
        <w:rPr>
          <w:rFonts w:cs="Sylfaen"/>
          <w:lang w:val="hy-AM"/>
        </w:rPr>
        <w:t>ծրագիրը</w:t>
      </w:r>
      <w:r>
        <w:rPr>
          <w:rFonts w:eastAsia="Calibri"/>
          <w:lang w:val="fr-FR"/>
        </w:rPr>
        <w:t>:</w:t>
      </w:r>
    </w:p>
    <w:p w14:paraId="0EDC8B67" w14:textId="77777777" w:rsidR="00DA0E15" w:rsidRDefault="00362131">
      <w:pPr>
        <w:spacing w:after="200" w:line="276" w:lineRule="auto"/>
        <w:ind w:firstLine="720"/>
        <w:contextualSpacing/>
        <w:rPr>
          <w:lang w:val="fr-FR"/>
        </w:rPr>
      </w:pPr>
      <w:r>
        <w:rPr>
          <w:rFonts w:cs="Sylfaen"/>
          <w:lang w:val="hy-AM"/>
        </w:rPr>
        <w:t>Ծրագրի նպատակն է՝</w:t>
      </w:r>
      <w:r>
        <w:rPr>
          <w:lang w:val="fr-FR"/>
        </w:rPr>
        <w:t xml:space="preserve"> </w:t>
      </w:r>
      <w:r>
        <w:rPr>
          <w:lang w:val="hy-AM"/>
        </w:rPr>
        <w:t>ա</w:t>
      </w:r>
      <w:r>
        <w:rPr>
          <w:lang w:val="fr-FR"/>
        </w:rPr>
        <w:t>պահովել բազմազան տեղեկատվական, ճանաչողական, կրթական, ժամանցային հեռուստատեսային և ռադիո հաղորդումների արտադրություն և հեռարձակում</w:t>
      </w:r>
      <w:r>
        <w:rPr>
          <w:rFonts w:eastAsia="Calibri"/>
          <w:lang w:val="fr-FR"/>
        </w:rPr>
        <w:t>:</w:t>
      </w:r>
      <w:r>
        <w:rPr>
          <w:lang w:val="fr-FR"/>
        </w:rPr>
        <w:t xml:space="preserve"> </w:t>
      </w:r>
    </w:p>
    <w:p w14:paraId="3DDC9B00" w14:textId="77777777" w:rsidR="00DA0E15" w:rsidRDefault="00362131">
      <w:pPr>
        <w:tabs>
          <w:tab w:val="left" w:pos="720"/>
        </w:tabs>
        <w:spacing w:after="200" w:line="276" w:lineRule="auto"/>
        <w:ind w:firstLine="720"/>
        <w:contextualSpacing/>
        <w:rPr>
          <w:rFonts w:cs="Sylfaen"/>
          <w:lang w:val="hy-AM"/>
        </w:rPr>
      </w:pPr>
      <w:r>
        <w:rPr>
          <w:rFonts w:cs="Sylfaen"/>
          <w:lang w:val="hy-AM"/>
        </w:rPr>
        <w:t>Հանրային հեռարձակողի խորհրդի ծրագրի նպատակներ</w:t>
      </w:r>
      <w:r>
        <w:rPr>
          <w:rFonts w:cs="Sylfaen"/>
        </w:rPr>
        <w:t>ն</w:t>
      </w:r>
      <w:r>
        <w:rPr>
          <w:rFonts w:cs="Sylfaen"/>
          <w:lang w:val="hy-AM"/>
        </w:rPr>
        <w:t xml:space="preserve"> անմիջականորեն կապված են ՀՀ Կառավարության ծրագրի գրեթե բոլոր ուղղությունների հետ՝ լուսաբանման և հանրայնացման իմաստով: Մասնավորապես՝ Հանրայինի արբանյակային հեռարձակումը աջակցում է Սփյուռքի հետ կապերի զարգացմանը:</w:t>
      </w:r>
    </w:p>
    <w:p w14:paraId="53332BC3" w14:textId="77777777" w:rsidR="00EE2180" w:rsidRDefault="00362131" w:rsidP="00EE2180">
      <w:pPr>
        <w:spacing w:after="0" w:line="276" w:lineRule="auto"/>
        <w:ind w:left="227" w:firstLine="227"/>
        <w:rPr>
          <w:rFonts w:cs="Arial Armenian"/>
          <w:lang w:val="hy-AM"/>
        </w:rPr>
      </w:pPr>
      <w:r>
        <w:rPr>
          <w:rFonts w:cs="Sylfaen"/>
          <w:lang w:val="hy-AM"/>
        </w:rPr>
        <w:t xml:space="preserve">Հանրային հեռարձակողի խորհրդի </w:t>
      </w:r>
      <w:r w:rsidR="00EE2180">
        <w:rPr>
          <w:rFonts w:cs="Arial Armenian"/>
          <w:lang w:val="hy-AM"/>
        </w:rPr>
        <w:t>համար 2022-2024 թվականներին նախատեսված չափաքանակները.</w:t>
      </w:r>
    </w:p>
    <w:p w14:paraId="6D22ACBB" w14:textId="77777777" w:rsidR="00DA0E15" w:rsidRDefault="00362131">
      <w:pPr>
        <w:spacing w:after="200" w:line="276" w:lineRule="auto"/>
        <w:contextualSpacing/>
        <w:rPr>
          <w:rFonts w:cs="Arial Armenian"/>
          <w:lang w:val="hy-AM"/>
        </w:rPr>
      </w:pPr>
      <w:r>
        <w:rPr>
          <w:rFonts w:cs="Sylfaen"/>
          <w:lang w:val="hy-AM"/>
        </w:rPr>
        <w:tab/>
      </w:r>
    </w:p>
    <w:p w14:paraId="66497A6B" w14:textId="77777777" w:rsidR="00DA0E15" w:rsidRPr="003961CE" w:rsidRDefault="00362131">
      <w:pPr>
        <w:tabs>
          <w:tab w:val="left" w:pos="567"/>
        </w:tabs>
        <w:spacing w:line="276" w:lineRule="auto"/>
        <w:ind w:firstLine="720"/>
        <w:rPr>
          <w:lang w:val="fr-FR"/>
        </w:rPr>
      </w:pPr>
      <w:r>
        <w:rPr>
          <w:lang w:val="fr-FR"/>
        </w:rPr>
        <w:t xml:space="preserve">2022 թվականի համար՝ </w:t>
      </w:r>
      <w:r w:rsidRPr="003961CE">
        <w:rPr>
          <w:lang w:val="hy-AM"/>
        </w:rPr>
        <w:t>6</w:t>
      </w:r>
      <w:r w:rsidRPr="003961CE">
        <w:rPr>
          <w:lang w:val="fr-FR"/>
        </w:rPr>
        <w:t>,</w:t>
      </w:r>
      <w:r w:rsidRPr="003961CE">
        <w:rPr>
          <w:lang w:val="hy-AM"/>
        </w:rPr>
        <w:t>617</w:t>
      </w:r>
      <w:r w:rsidRPr="003961CE">
        <w:rPr>
          <w:lang w:val="fr-FR"/>
        </w:rPr>
        <w:t>.</w:t>
      </w:r>
      <w:r w:rsidRPr="003961CE">
        <w:rPr>
          <w:lang w:val="hy-AM"/>
        </w:rPr>
        <w:t>4</w:t>
      </w:r>
      <w:r w:rsidRPr="003961CE">
        <w:rPr>
          <w:lang w:val="fr-FR"/>
        </w:rPr>
        <w:t xml:space="preserve"> </w:t>
      </w:r>
      <w:r w:rsidRPr="003961CE">
        <w:rPr>
          <w:lang w:val="hy-AM"/>
        </w:rPr>
        <w:t>մլն</w:t>
      </w:r>
      <w:r w:rsidRPr="003961CE">
        <w:rPr>
          <w:lang w:val="fr-FR"/>
        </w:rPr>
        <w:t xml:space="preserve"> դրամ,</w:t>
      </w:r>
    </w:p>
    <w:p w14:paraId="2BEA37B5" w14:textId="77777777" w:rsidR="00DA0E15" w:rsidRPr="003961CE" w:rsidRDefault="00362131">
      <w:pPr>
        <w:tabs>
          <w:tab w:val="left" w:pos="567"/>
        </w:tabs>
        <w:spacing w:line="276" w:lineRule="auto"/>
        <w:ind w:firstLine="720"/>
        <w:rPr>
          <w:lang w:val="fr-FR"/>
        </w:rPr>
      </w:pPr>
      <w:r w:rsidRPr="003961CE">
        <w:rPr>
          <w:lang w:val="fr-FR"/>
        </w:rPr>
        <w:t xml:space="preserve">2023 թվականի համար՝ </w:t>
      </w:r>
      <w:r w:rsidRPr="003961CE">
        <w:rPr>
          <w:lang w:val="hy-AM"/>
        </w:rPr>
        <w:t>6</w:t>
      </w:r>
      <w:r w:rsidRPr="003961CE">
        <w:rPr>
          <w:lang w:val="fr-FR"/>
        </w:rPr>
        <w:t>,</w:t>
      </w:r>
      <w:r w:rsidRPr="003961CE">
        <w:rPr>
          <w:lang w:val="hy-AM"/>
        </w:rPr>
        <w:t>972</w:t>
      </w:r>
      <w:r w:rsidRPr="003961CE">
        <w:rPr>
          <w:lang w:val="fr-FR"/>
        </w:rPr>
        <w:t>.</w:t>
      </w:r>
      <w:r w:rsidRPr="003961CE">
        <w:rPr>
          <w:lang w:val="hy-AM"/>
        </w:rPr>
        <w:t>9</w:t>
      </w:r>
      <w:r w:rsidRPr="003961CE">
        <w:rPr>
          <w:lang w:val="fr-FR"/>
        </w:rPr>
        <w:t xml:space="preserve"> </w:t>
      </w:r>
      <w:r w:rsidRPr="003961CE">
        <w:rPr>
          <w:lang w:val="hy-AM"/>
        </w:rPr>
        <w:t>մլն</w:t>
      </w:r>
      <w:r w:rsidRPr="003961CE">
        <w:rPr>
          <w:lang w:val="fr-FR"/>
        </w:rPr>
        <w:t xml:space="preserve"> դրամ,</w:t>
      </w:r>
    </w:p>
    <w:p w14:paraId="5367F69D" w14:textId="77777777" w:rsidR="00DA0E15" w:rsidRDefault="00362131">
      <w:pPr>
        <w:tabs>
          <w:tab w:val="left" w:pos="567"/>
        </w:tabs>
        <w:spacing w:line="276" w:lineRule="auto"/>
        <w:ind w:firstLine="720"/>
        <w:rPr>
          <w:lang w:val="fr-FR"/>
        </w:rPr>
      </w:pPr>
      <w:r w:rsidRPr="003961CE">
        <w:rPr>
          <w:lang w:val="fr-FR"/>
        </w:rPr>
        <w:t xml:space="preserve">2024 թվականի համար՝ </w:t>
      </w:r>
      <w:r w:rsidRPr="003961CE">
        <w:rPr>
          <w:lang w:val="hy-AM"/>
        </w:rPr>
        <w:t>6</w:t>
      </w:r>
      <w:r w:rsidRPr="003961CE">
        <w:rPr>
          <w:lang w:val="fr-FR"/>
        </w:rPr>
        <w:t>,</w:t>
      </w:r>
      <w:r w:rsidRPr="003961CE">
        <w:rPr>
          <w:lang w:val="hy-AM"/>
        </w:rPr>
        <w:t>972</w:t>
      </w:r>
      <w:r w:rsidRPr="003961CE">
        <w:rPr>
          <w:lang w:val="fr-FR"/>
        </w:rPr>
        <w:t>.</w:t>
      </w:r>
      <w:r w:rsidRPr="003961CE">
        <w:rPr>
          <w:lang w:val="hy-AM"/>
        </w:rPr>
        <w:t>9</w:t>
      </w:r>
      <w:r w:rsidRPr="003961CE">
        <w:rPr>
          <w:lang w:val="fr-FR"/>
        </w:rPr>
        <w:t xml:space="preserve"> </w:t>
      </w:r>
      <w:r w:rsidRPr="003961CE">
        <w:rPr>
          <w:lang w:val="hy-AM"/>
        </w:rPr>
        <w:t>մլն</w:t>
      </w:r>
      <w:r>
        <w:rPr>
          <w:lang w:val="fr-FR"/>
        </w:rPr>
        <w:t xml:space="preserve"> դրամ:</w:t>
      </w:r>
    </w:p>
    <w:p w14:paraId="566CD966" w14:textId="77777777" w:rsidR="00DA0E15" w:rsidRDefault="00DA0E15">
      <w:pPr>
        <w:spacing w:after="0" w:line="276" w:lineRule="auto"/>
        <w:rPr>
          <w:rFonts w:cs="Sylfaen"/>
          <w:color w:val="000000"/>
          <w:lang w:val="hy-AM"/>
        </w:rPr>
      </w:pPr>
    </w:p>
    <w:p w14:paraId="28DCFB44" w14:textId="77777777" w:rsidR="00F832B2" w:rsidRDefault="00362131" w:rsidP="007112CF">
      <w:pPr>
        <w:pStyle w:val="Heading3"/>
        <w:spacing w:before="0" w:after="120" w:line="276" w:lineRule="auto"/>
        <w:jc w:val="both"/>
        <w:rPr>
          <w:rFonts w:eastAsia="Times New Roman" w:cs="Times New Roman"/>
          <w:b w:val="0"/>
          <w:color w:val="1F497D" w:themeColor="text2"/>
          <w:sz w:val="28"/>
          <w:szCs w:val="28"/>
        </w:rPr>
      </w:pPr>
      <w:r>
        <w:rPr>
          <w:rFonts w:eastAsia="Times New Roman" w:cs="Times New Roman"/>
          <w:caps w:val="0"/>
          <w:color w:val="1F497D" w:themeColor="text2"/>
          <w:sz w:val="28"/>
          <w:szCs w:val="28"/>
        </w:rPr>
        <w:tab/>
      </w:r>
      <w:r w:rsidR="00F832B2" w:rsidRPr="005F3901">
        <w:rPr>
          <w:rFonts w:eastAsia="Times New Roman" w:cs="Times New Roman"/>
          <w:color w:val="1F497D" w:themeColor="text2"/>
          <w:sz w:val="28"/>
          <w:szCs w:val="28"/>
          <w:lang w:val="fr-FR"/>
        </w:rPr>
        <w:br w:type="page"/>
      </w:r>
    </w:p>
    <w:p w14:paraId="40A0380B" w14:textId="77777777" w:rsidR="009C572E" w:rsidRDefault="00362131" w:rsidP="009C572E">
      <w:pPr>
        <w:pStyle w:val="Heading3"/>
        <w:spacing w:before="0" w:after="120" w:line="276" w:lineRule="auto"/>
        <w:jc w:val="both"/>
        <w:rPr>
          <w:rFonts w:eastAsia="Times New Roman" w:cs="Times New Roman"/>
          <w:caps w:val="0"/>
          <w:color w:val="1F497D" w:themeColor="text2"/>
          <w:sz w:val="28"/>
          <w:szCs w:val="28"/>
        </w:rPr>
      </w:pPr>
      <w:bookmarkStart w:id="637" w:name="_Toc77837888"/>
      <w:r w:rsidRPr="009C572E">
        <w:rPr>
          <w:rFonts w:eastAsia="Times New Roman" w:cs="Times New Roman"/>
          <w:caps w:val="0"/>
          <w:color w:val="1F497D" w:themeColor="text2"/>
          <w:sz w:val="28"/>
          <w:szCs w:val="28"/>
        </w:rPr>
        <w:t xml:space="preserve">19. </w:t>
      </w:r>
      <w:r w:rsidR="009C572E">
        <w:rPr>
          <w:rFonts w:eastAsia="Times New Roman" w:cs="Times New Roman"/>
          <w:caps w:val="0"/>
          <w:color w:val="1F497D" w:themeColor="text2"/>
          <w:sz w:val="28"/>
          <w:szCs w:val="28"/>
        </w:rPr>
        <w:t>ՔԱՂԱՔԱՇԻՆՈՒԹՅՈՒՆ</w:t>
      </w:r>
      <w:bookmarkEnd w:id="637"/>
    </w:p>
    <w:p w14:paraId="5D92DDC1" w14:textId="77777777" w:rsidR="009C572E" w:rsidRDefault="009C572E" w:rsidP="009C572E">
      <w:pPr>
        <w:numPr>
          <w:ilvl w:val="12"/>
          <w:numId w:val="0"/>
        </w:numPr>
        <w:tabs>
          <w:tab w:val="left" w:pos="851"/>
        </w:tabs>
        <w:spacing w:before="0" w:after="0" w:line="276" w:lineRule="auto"/>
        <w:ind w:firstLine="547"/>
        <w:rPr>
          <w:rFonts w:eastAsia="Times New Roman" w:cs="Times New Roman"/>
          <w:lang w:val="hy-AM"/>
        </w:rPr>
      </w:pPr>
      <w:r>
        <w:rPr>
          <w:rFonts w:eastAsia="Times New Roman" w:cs="Times New Roman"/>
          <w:lang w:val="hy-AM"/>
        </w:rPr>
        <w:t>Քաղաքաշինության ոլորտում իրականացվող ծախսային գերակայությունները բխում են կառավարության ծրագրից, Սահմանադրությամբ և օրենքներով սահմանված գործառույթներից, որոնք ուղղված են մարդու կենսագործունեության  համար բարենպաստ տարածական միջավայրի ստեղծմանը: Ոլորտում առաջնահերթ ռազմավարական  նպատակներից է՝</w:t>
      </w:r>
    </w:p>
    <w:p w14:paraId="66521432" w14:textId="77777777" w:rsidR="009C572E" w:rsidRDefault="009C572E" w:rsidP="00C0628C">
      <w:pPr>
        <w:numPr>
          <w:ilvl w:val="0"/>
          <w:numId w:val="28"/>
        </w:numPr>
        <w:spacing w:before="0" w:after="0" w:line="276" w:lineRule="auto"/>
        <w:ind w:left="0" w:firstLine="547"/>
        <w:rPr>
          <w:lang w:val="hy-AM"/>
        </w:rPr>
      </w:pPr>
      <w:r>
        <w:rPr>
          <w:rFonts w:eastAsia="Times New Roman" w:cs="Times New Roman"/>
          <w:lang w:val="hy-AM"/>
        </w:rPr>
        <w:t xml:space="preserve">     միջազգային և եվրոպական ստանդարտներին ներդաշնակ շինարարական նորմերի, տեխնիկական կանոնակարգերի, ստանդարտների, շինարարական նորմերի կանոնների հավաքածուների և այլ նորմատիվ փաստաթղթերի մշակումն ու բազայի ընդլայնում</w:t>
      </w:r>
      <w:r>
        <w:rPr>
          <w:lang w:val="hy-AM"/>
        </w:rPr>
        <w:t>ը՝ նպատակ ունենալով խթանել տեխնոլոգիաների զարգացմանը, ինչպես նաև նախագծային և շինարարական աշխատանքների որակի բարձրացմանն ու անվտանգության պահանջների ապահովմանը:</w:t>
      </w:r>
    </w:p>
    <w:p w14:paraId="75DDAF42" w14:textId="77777777" w:rsidR="009C572E" w:rsidRDefault="009C572E" w:rsidP="00C0628C">
      <w:pPr>
        <w:numPr>
          <w:ilvl w:val="0"/>
          <w:numId w:val="28"/>
        </w:numPr>
        <w:spacing w:before="0" w:after="0" w:line="276" w:lineRule="auto"/>
        <w:ind w:left="0" w:firstLine="547"/>
        <w:rPr>
          <w:lang w:val="hy-AM"/>
        </w:rPr>
      </w:pPr>
      <w:r>
        <w:rPr>
          <w:lang w:val="hy-AM"/>
        </w:rPr>
        <w:t xml:space="preserve">     քաղաքաշինական պլանավորման հիման վրա համայնքների տարածքային համաչափ զարգացման ապահովումը, նաև կիրառելով միկրոռեգիոնալ մակարդակի պլանավորում: Պլանավորման փաստաթղթերի հիման վրա տարածքային զարգացումը կապահովի՝ </w:t>
      </w:r>
    </w:p>
    <w:p w14:paraId="549962CC" w14:textId="77777777" w:rsidR="009C572E" w:rsidRDefault="009C572E" w:rsidP="009765EB">
      <w:pPr>
        <w:spacing w:before="0" w:after="0" w:line="276" w:lineRule="auto"/>
        <w:ind w:firstLine="0"/>
        <w:rPr>
          <w:lang w:val="hy-AM"/>
        </w:rPr>
      </w:pPr>
      <w:r>
        <w:rPr>
          <w:lang w:val="hy-AM"/>
        </w:rPr>
        <w:t>-     մարդկանց կյանքի անվտանգությունը, բարենպաստ միջավայրի ձևավոր</w:t>
      </w:r>
      <w:r>
        <w:rPr>
          <w:lang w:val="hy-AM"/>
        </w:rPr>
        <w:softHyphen/>
        <w:t>ումն ու պահպանումը,</w:t>
      </w:r>
    </w:p>
    <w:p w14:paraId="1B7014A3" w14:textId="77777777" w:rsidR="009C572E" w:rsidRDefault="009C572E" w:rsidP="009765EB">
      <w:pPr>
        <w:spacing w:before="0" w:after="0" w:line="276" w:lineRule="auto"/>
        <w:ind w:firstLine="0"/>
        <w:rPr>
          <w:lang w:val="hy-AM"/>
        </w:rPr>
      </w:pPr>
      <w:r>
        <w:rPr>
          <w:lang w:val="hy-AM"/>
        </w:rPr>
        <w:t>-    պլանավորման ու կառուցապատման որակական երաշխիքների ապա</w:t>
      </w:r>
      <w:r>
        <w:rPr>
          <w:lang w:val="hy-AM"/>
        </w:rPr>
        <w:softHyphen/>
        <w:t>հովումը,</w:t>
      </w:r>
    </w:p>
    <w:p w14:paraId="35D4739A" w14:textId="77777777" w:rsidR="009C572E" w:rsidRDefault="009C572E" w:rsidP="009765EB">
      <w:pPr>
        <w:spacing w:before="0" w:after="0" w:line="276" w:lineRule="auto"/>
        <w:ind w:firstLine="0"/>
        <w:rPr>
          <w:lang w:val="hy-AM"/>
        </w:rPr>
      </w:pPr>
      <w:r>
        <w:rPr>
          <w:lang w:val="hy-AM"/>
        </w:rPr>
        <w:t>-    շենքերի, շինությունների, ինժեներատրանսպորտային ենթակառուցվածք</w:t>
      </w:r>
      <w:r>
        <w:rPr>
          <w:lang w:val="hy-AM"/>
        </w:rPr>
        <w:softHyphen/>
        <w:t>ների կայունության ու երաշխավորված շահագործման, քաղաքաշինական և բնական միջավայրերի միջև ներդաշնակության ապահովման համար նվազագույն պարտադիր պահանջների սահմանումը:</w:t>
      </w:r>
    </w:p>
    <w:p w14:paraId="3263B23D" w14:textId="77777777" w:rsidR="009C572E" w:rsidRDefault="009C572E" w:rsidP="009C572E">
      <w:pPr>
        <w:spacing w:before="0" w:after="0" w:line="276" w:lineRule="auto"/>
        <w:ind w:firstLine="547"/>
        <w:rPr>
          <w:b/>
          <w:lang w:val="hy-AM"/>
        </w:rPr>
      </w:pPr>
    </w:p>
    <w:p w14:paraId="35B99917" w14:textId="77777777" w:rsidR="009C572E" w:rsidRDefault="009C572E" w:rsidP="009C572E">
      <w:pPr>
        <w:tabs>
          <w:tab w:val="left" w:pos="851"/>
          <w:tab w:val="left" w:pos="993"/>
        </w:tabs>
        <w:spacing w:line="276" w:lineRule="auto"/>
        <w:ind w:firstLine="540"/>
        <w:rPr>
          <w:rFonts w:cs="Sylfaen"/>
          <w:b/>
          <w:lang w:val="hy-AM"/>
        </w:rPr>
      </w:pPr>
      <w:r>
        <w:rPr>
          <w:rFonts w:cs="GHEA Grapalat"/>
          <w:b/>
          <w:lang w:val="hy-AM"/>
        </w:rPr>
        <w:t>ՈԼՈՐՏԱՅԻՆ ԾԱԽՍԱՅԻՆ ԾՐԱԳՐԵՐԸ</w:t>
      </w:r>
      <w:r>
        <w:rPr>
          <w:rFonts w:cs="Sylfaen"/>
          <w:b/>
          <w:lang w:val="hy-AM"/>
        </w:rPr>
        <w:t xml:space="preserve"> </w:t>
      </w:r>
    </w:p>
    <w:p w14:paraId="2C32D369" w14:textId="77777777" w:rsidR="009C572E" w:rsidRDefault="009C572E" w:rsidP="009C572E">
      <w:pPr>
        <w:numPr>
          <w:ilvl w:val="12"/>
          <w:numId w:val="0"/>
        </w:numPr>
        <w:tabs>
          <w:tab w:val="left" w:pos="851"/>
        </w:tabs>
        <w:spacing w:after="0" w:line="276" w:lineRule="auto"/>
        <w:ind w:firstLine="540"/>
        <w:rPr>
          <w:rFonts w:eastAsia="Times New Roman" w:cs="Times New Roman"/>
          <w:lang w:val="hy-AM"/>
        </w:rPr>
      </w:pPr>
      <w:r>
        <w:rPr>
          <w:rFonts w:eastAsia="Times New Roman" w:cs="Times New Roman"/>
          <w:lang w:val="hy-AM"/>
        </w:rPr>
        <w:t>Քաղաքաշինության ոլորտում նախատեսված հատկացումներն ուղղվելու են «1103. Քաղաքաշինության և ճարտարապետության բնագավառում պետական քաղաքականության իրականացում և կանոնակարգում» ծրագրի իրականացմանը, որի հիմնական նպատակներն են ներկա և գալիք սերունդների կենսագործունեության բարենպաստ միջավայրի ձևավորումն ու քաղաքաշինական միջոցներով բնակչության կյանքի որակի հետևողական բարելավումը, բնակարանային խնդիրների լուծումը: Մասնավորապես.</w:t>
      </w:r>
    </w:p>
    <w:p w14:paraId="34E524A2" w14:textId="77777777" w:rsidR="009C572E" w:rsidRDefault="009C572E" w:rsidP="009C572E">
      <w:pPr>
        <w:numPr>
          <w:ilvl w:val="12"/>
          <w:numId w:val="0"/>
        </w:numPr>
        <w:tabs>
          <w:tab w:val="left" w:pos="851"/>
        </w:tabs>
        <w:spacing w:after="0" w:line="276" w:lineRule="auto"/>
        <w:ind w:firstLine="540"/>
        <w:rPr>
          <w:rFonts w:eastAsia="Times New Roman" w:cs="Times New Roman"/>
          <w:lang w:val="hy-AM"/>
        </w:rPr>
      </w:pPr>
      <w:r>
        <w:rPr>
          <w:rFonts w:eastAsia="Times New Roman" w:cs="Times New Roman"/>
          <w:lang w:val="hy-AM"/>
        </w:rPr>
        <w:t>- մասնակցություն ՀՀ կառավարության որդեգրած ռազմավարական ծրագրերի իրականացմանը, այդ թվում՝ տարածքների կայուն զարգացմանը, համայնքների խոշորացման պետական քաղաքականությանն, ինչի ապահովումը պայմանավորված է տարածքային զարգացման նպատակային ծրագրերի մշակմամբ և արդյունավետ իրականացմամբ:</w:t>
      </w:r>
    </w:p>
    <w:p w14:paraId="55BB2B40" w14:textId="77777777" w:rsidR="009C572E" w:rsidRDefault="009C572E" w:rsidP="009C572E">
      <w:pPr>
        <w:numPr>
          <w:ilvl w:val="12"/>
          <w:numId w:val="0"/>
        </w:numPr>
        <w:tabs>
          <w:tab w:val="left" w:pos="851"/>
        </w:tabs>
        <w:spacing w:after="0" w:line="276" w:lineRule="auto"/>
        <w:ind w:firstLine="540"/>
        <w:rPr>
          <w:rFonts w:eastAsia="Times New Roman" w:cs="Times New Roman"/>
          <w:lang w:val="hy-AM"/>
        </w:rPr>
      </w:pPr>
      <w:r>
        <w:rPr>
          <w:rFonts w:eastAsia="Times New Roman" w:cs="Times New Roman"/>
          <w:lang w:val="hy-AM"/>
        </w:rPr>
        <w:t>- քաղաքաշինական քաղաքականության բարեփոխումների իրականացում` բնակավայրերի կառուցապատմանն ու տարածական զարգացմանն առնչվող հիմնախնդիրների կարգավորման ուղղությամբ,</w:t>
      </w:r>
    </w:p>
    <w:p w14:paraId="08770C45" w14:textId="77777777" w:rsidR="009C572E" w:rsidRDefault="009C572E" w:rsidP="009C572E">
      <w:pPr>
        <w:numPr>
          <w:ilvl w:val="12"/>
          <w:numId w:val="0"/>
        </w:numPr>
        <w:tabs>
          <w:tab w:val="left" w:pos="851"/>
        </w:tabs>
        <w:spacing w:after="0" w:line="276" w:lineRule="auto"/>
        <w:ind w:firstLine="540"/>
        <w:rPr>
          <w:rFonts w:eastAsia="Times New Roman" w:cs="Times New Roman"/>
          <w:lang w:val="hy-AM"/>
        </w:rPr>
      </w:pPr>
      <w:r>
        <w:rPr>
          <w:rFonts w:eastAsia="Times New Roman" w:cs="Times New Roman"/>
          <w:lang w:val="hy-AM"/>
        </w:rPr>
        <w:t>Նշված նպատակները բխում են «Քաղաքաշինության մասին», «Տեղական ինքնակառավարման մասին» ՀՀ օրենքների, ՀՀ հողային օրենսգրքի դրույթներից, այլ օրենքներից և իրավական ակտերից, համահունչ են ՄԱԿ-ի Կայուն զարգացման նպատակներին, համապատասխանում են նշված բնագավառում միջազգային պրակտիկային, «Լանդշաֆտի Եվրոպական կոնվենցիայի» գաղափարախոսությանը:</w:t>
      </w:r>
    </w:p>
    <w:p w14:paraId="5A1E7A9F" w14:textId="77777777" w:rsidR="009C572E" w:rsidRDefault="009C572E" w:rsidP="009C572E">
      <w:pPr>
        <w:numPr>
          <w:ilvl w:val="12"/>
          <w:numId w:val="0"/>
        </w:numPr>
        <w:tabs>
          <w:tab w:val="left" w:pos="851"/>
        </w:tabs>
        <w:spacing w:after="0" w:line="276" w:lineRule="auto"/>
        <w:ind w:firstLine="540"/>
        <w:rPr>
          <w:rFonts w:eastAsia="Times New Roman" w:cs="Times New Roman"/>
          <w:lang w:val="hy-AM"/>
        </w:rPr>
      </w:pPr>
      <w:r>
        <w:rPr>
          <w:rFonts w:eastAsia="Times New Roman" w:cs="Times New Roman"/>
          <w:lang w:val="hy-AM"/>
        </w:rPr>
        <w:t>Ստորև ներկայացված են քաղաքաշինության ոլորտի 2022-2024թթ.  յուրաքանչյուր տարվա համար նախատեսված չափաքանակները.</w:t>
      </w:r>
    </w:p>
    <w:p w14:paraId="5E531182" w14:textId="77777777" w:rsidR="009C572E" w:rsidRDefault="009C572E" w:rsidP="009C572E">
      <w:pPr>
        <w:numPr>
          <w:ilvl w:val="12"/>
          <w:numId w:val="0"/>
        </w:numPr>
        <w:tabs>
          <w:tab w:val="left" w:pos="851"/>
        </w:tabs>
        <w:spacing w:after="0" w:line="276" w:lineRule="auto"/>
        <w:ind w:firstLine="540"/>
        <w:rPr>
          <w:rFonts w:eastAsia="Times New Roman" w:cs="Times New Roman"/>
          <w:sz w:val="12"/>
          <w:szCs w:val="12"/>
          <w:lang w:val="hy-AM"/>
        </w:rPr>
      </w:pPr>
    </w:p>
    <w:p w14:paraId="33D389B6" w14:textId="6E71C76A" w:rsidR="009C572E" w:rsidRDefault="009C572E" w:rsidP="009C572E">
      <w:pPr>
        <w:numPr>
          <w:ilvl w:val="12"/>
          <w:numId w:val="0"/>
        </w:numPr>
        <w:tabs>
          <w:tab w:val="left" w:pos="851"/>
        </w:tabs>
        <w:spacing w:after="0" w:line="276" w:lineRule="auto"/>
        <w:ind w:firstLine="540"/>
        <w:rPr>
          <w:rFonts w:eastAsia="Times New Roman" w:cs="Times New Roman"/>
          <w:lang w:val="hy-AM"/>
        </w:rPr>
      </w:pPr>
      <w:r>
        <w:rPr>
          <w:rFonts w:eastAsia="Times New Roman" w:cs="Times New Roman"/>
          <w:lang w:val="hy-AM"/>
        </w:rPr>
        <w:t>2022 թվականի համար՝    1,422.</w:t>
      </w:r>
      <w:r w:rsidR="003A2C49" w:rsidRPr="00267BE4">
        <w:rPr>
          <w:rFonts w:eastAsia="Times New Roman" w:cs="Times New Roman"/>
          <w:lang w:val="hy-AM"/>
        </w:rPr>
        <w:t>9</w:t>
      </w:r>
      <w:r>
        <w:rPr>
          <w:rFonts w:eastAsia="Times New Roman" w:cs="Times New Roman"/>
          <w:lang w:val="hy-AM"/>
        </w:rPr>
        <w:t xml:space="preserve"> մլն դրամ,</w:t>
      </w:r>
    </w:p>
    <w:p w14:paraId="5556CAA8" w14:textId="77777777" w:rsidR="009C572E" w:rsidRDefault="009C572E" w:rsidP="009C572E">
      <w:pPr>
        <w:numPr>
          <w:ilvl w:val="12"/>
          <w:numId w:val="0"/>
        </w:numPr>
        <w:tabs>
          <w:tab w:val="left" w:pos="851"/>
        </w:tabs>
        <w:spacing w:after="0" w:line="276" w:lineRule="auto"/>
        <w:ind w:firstLine="540"/>
        <w:rPr>
          <w:rFonts w:eastAsia="Times New Roman" w:cs="Times New Roman"/>
          <w:lang w:val="hy-AM"/>
        </w:rPr>
      </w:pPr>
      <w:r>
        <w:rPr>
          <w:rFonts w:eastAsia="Times New Roman" w:cs="Times New Roman"/>
          <w:lang w:val="hy-AM"/>
        </w:rPr>
        <w:t>2023 թվականի համար՝    935.7 մլն դրամ,</w:t>
      </w:r>
    </w:p>
    <w:p w14:paraId="7DA96A11" w14:textId="77777777" w:rsidR="009C572E" w:rsidRDefault="009C572E" w:rsidP="009C572E">
      <w:pPr>
        <w:numPr>
          <w:ilvl w:val="12"/>
          <w:numId w:val="0"/>
        </w:numPr>
        <w:tabs>
          <w:tab w:val="left" w:pos="851"/>
        </w:tabs>
        <w:spacing w:after="0" w:line="276" w:lineRule="auto"/>
        <w:ind w:firstLine="540"/>
        <w:rPr>
          <w:rFonts w:eastAsia="Times New Roman" w:cs="Times New Roman"/>
          <w:lang w:val="hy-AM"/>
        </w:rPr>
      </w:pPr>
      <w:r>
        <w:rPr>
          <w:rFonts w:eastAsia="Times New Roman" w:cs="Times New Roman"/>
          <w:lang w:val="hy-AM"/>
        </w:rPr>
        <w:t>2024 թվականի համար՝     676.4 մլն դրամ:</w:t>
      </w:r>
    </w:p>
    <w:p w14:paraId="6757029D" w14:textId="77777777" w:rsidR="00DA0E15" w:rsidRDefault="00DA0E15">
      <w:pPr>
        <w:pStyle w:val="StyleHeading1SectionSectionHeadingText11Chapterhead3"/>
        <w:rPr>
          <w:lang w:val="hy-AM"/>
        </w:rPr>
      </w:pPr>
    </w:p>
    <w:p w14:paraId="100C255E" w14:textId="77777777" w:rsidR="00DA0E15" w:rsidRPr="00146C6E" w:rsidRDefault="00DA0E15" w:rsidP="00146C6E">
      <w:pPr>
        <w:pStyle w:val="Heading3"/>
        <w:spacing w:before="0" w:after="120" w:line="276" w:lineRule="auto"/>
        <w:jc w:val="both"/>
        <w:rPr>
          <w:rFonts w:eastAsia="Times New Roman" w:cs="Times New Roman"/>
          <w:caps w:val="0"/>
          <w:color w:val="1F497D" w:themeColor="text2"/>
          <w:sz w:val="28"/>
          <w:szCs w:val="28"/>
        </w:rPr>
      </w:pPr>
    </w:p>
    <w:p w14:paraId="3D0242F1" w14:textId="77777777" w:rsidR="009C572E" w:rsidRPr="00146C6E" w:rsidRDefault="00362131" w:rsidP="00146C6E">
      <w:pPr>
        <w:pStyle w:val="Heading3"/>
        <w:spacing w:before="0" w:after="120" w:line="276" w:lineRule="auto"/>
        <w:jc w:val="both"/>
        <w:rPr>
          <w:rFonts w:eastAsia="Times New Roman" w:cs="Times New Roman"/>
          <w:caps w:val="0"/>
          <w:color w:val="1F497D" w:themeColor="text2"/>
          <w:sz w:val="28"/>
          <w:szCs w:val="28"/>
        </w:rPr>
      </w:pPr>
      <w:bookmarkStart w:id="638" w:name="_Toc77837889"/>
      <w:r>
        <w:rPr>
          <w:rFonts w:eastAsia="Times New Roman" w:cs="Times New Roman"/>
          <w:caps w:val="0"/>
          <w:color w:val="1F497D" w:themeColor="text2"/>
          <w:sz w:val="28"/>
          <w:szCs w:val="28"/>
        </w:rPr>
        <w:t xml:space="preserve">20. </w:t>
      </w:r>
      <w:r w:rsidR="009C572E">
        <w:rPr>
          <w:rFonts w:eastAsia="Times New Roman" w:cs="Times New Roman"/>
          <w:caps w:val="0"/>
          <w:color w:val="1F497D" w:themeColor="text2"/>
          <w:sz w:val="28"/>
          <w:szCs w:val="28"/>
        </w:rPr>
        <w:t>ՎԻՃԱԿԱԳՐՈՒԹՅՈՒՆ</w:t>
      </w:r>
      <w:bookmarkEnd w:id="638"/>
    </w:p>
    <w:p w14:paraId="1ACEEF72" w14:textId="77777777" w:rsidR="009C572E" w:rsidRDefault="009C572E" w:rsidP="009C572E">
      <w:pPr>
        <w:pStyle w:val="NormalWeb"/>
        <w:shd w:val="clear" w:color="auto" w:fill="FFFFFF"/>
        <w:spacing w:before="0" w:after="0" w:line="276" w:lineRule="auto"/>
        <w:ind w:firstLine="720"/>
        <w:rPr>
          <w:rFonts w:eastAsia="Times New Roman" w:cs="Times New Roman"/>
          <w:lang w:val="hy-AM"/>
        </w:rPr>
      </w:pPr>
      <w:r>
        <w:rPr>
          <w:szCs w:val="22"/>
          <w:lang w:val="hy-AM"/>
        </w:rPr>
        <w:t>Պաշտոնական</w:t>
      </w:r>
      <w:r>
        <w:rPr>
          <w:szCs w:val="22"/>
          <w:lang w:val="af-ZA"/>
        </w:rPr>
        <w:t xml:space="preserve"> </w:t>
      </w:r>
      <w:r>
        <w:rPr>
          <w:szCs w:val="22"/>
          <w:lang w:val="hy-AM"/>
        </w:rPr>
        <w:t>վիճակագրության</w:t>
      </w:r>
      <w:r>
        <w:rPr>
          <w:szCs w:val="22"/>
          <w:lang w:val="af-ZA"/>
        </w:rPr>
        <w:t xml:space="preserve"> </w:t>
      </w:r>
      <w:r>
        <w:rPr>
          <w:szCs w:val="22"/>
          <w:lang w:val="hy-AM"/>
        </w:rPr>
        <w:t>մշակման</w:t>
      </w:r>
      <w:r>
        <w:rPr>
          <w:szCs w:val="22"/>
          <w:lang w:val="af-ZA"/>
        </w:rPr>
        <w:t xml:space="preserve">, </w:t>
      </w:r>
      <w:r>
        <w:rPr>
          <w:szCs w:val="22"/>
          <w:lang w:val="hy-AM"/>
        </w:rPr>
        <w:t>արտադրության</w:t>
      </w:r>
      <w:r>
        <w:rPr>
          <w:szCs w:val="22"/>
          <w:lang w:val="af-ZA"/>
        </w:rPr>
        <w:t xml:space="preserve"> </w:t>
      </w:r>
      <w:r>
        <w:rPr>
          <w:szCs w:val="22"/>
          <w:lang w:val="hy-AM"/>
        </w:rPr>
        <w:t>և</w:t>
      </w:r>
      <w:r>
        <w:rPr>
          <w:szCs w:val="22"/>
          <w:lang w:val="af-ZA"/>
        </w:rPr>
        <w:t xml:space="preserve"> </w:t>
      </w:r>
      <w:r>
        <w:rPr>
          <w:szCs w:val="22"/>
          <w:lang w:val="hy-AM"/>
        </w:rPr>
        <w:t>տարածման</w:t>
      </w:r>
      <w:r>
        <w:rPr>
          <w:szCs w:val="22"/>
          <w:lang w:val="af-ZA"/>
        </w:rPr>
        <w:t xml:space="preserve"> </w:t>
      </w:r>
      <w:r>
        <w:rPr>
          <w:szCs w:val="22"/>
          <w:lang w:val="hy-AM"/>
        </w:rPr>
        <w:t>գործառույթների</w:t>
      </w:r>
      <w:r>
        <w:rPr>
          <w:szCs w:val="22"/>
          <w:lang w:val="af-ZA"/>
        </w:rPr>
        <w:t xml:space="preserve"> </w:t>
      </w:r>
      <w:r>
        <w:rPr>
          <w:szCs w:val="22"/>
          <w:lang w:val="hy-AM"/>
        </w:rPr>
        <w:t>մասով</w:t>
      </w:r>
      <w:r>
        <w:rPr>
          <w:szCs w:val="22"/>
          <w:lang w:val="af-ZA"/>
        </w:rPr>
        <w:t xml:space="preserve"> </w:t>
      </w:r>
      <w:r>
        <w:rPr>
          <w:szCs w:val="22"/>
          <w:lang w:val="hy-AM"/>
        </w:rPr>
        <w:t>ազգային</w:t>
      </w:r>
      <w:r>
        <w:rPr>
          <w:szCs w:val="22"/>
          <w:lang w:val="af-ZA"/>
        </w:rPr>
        <w:t xml:space="preserve"> </w:t>
      </w:r>
      <w:r>
        <w:rPr>
          <w:szCs w:val="22"/>
          <w:lang w:val="hy-AM"/>
        </w:rPr>
        <w:t>վիճակագրական</w:t>
      </w:r>
      <w:r>
        <w:rPr>
          <w:szCs w:val="22"/>
          <w:lang w:val="af-ZA"/>
        </w:rPr>
        <w:t xml:space="preserve"> </w:t>
      </w:r>
      <w:r>
        <w:rPr>
          <w:szCs w:val="22"/>
          <w:lang w:val="hy-AM"/>
        </w:rPr>
        <w:t>համակարգի</w:t>
      </w:r>
      <w:r>
        <w:rPr>
          <w:szCs w:val="22"/>
          <w:lang w:val="af-ZA"/>
        </w:rPr>
        <w:t xml:space="preserve">, </w:t>
      </w:r>
      <w:r>
        <w:rPr>
          <w:szCs w:val="22"/>
          <w:lang w:val="hy-AM"/>
        </w:rPr>
        <w:t>այդ</w:t>
      </w:r>
      <w:r>
        <w:rPr>
          <w:szCs w:val="22"/>
          <w:lang w:val="af-ZA"/>
        </w:rPr>
        <w:t xml:space="preserve"> </w:t>
      </w:r>
      <w:r>
        <w:rPr>
          <w:szCs w:val="22"/>
          <w:lang w:val="hy-AM"/>
        </w:rPr>
        <w:t>թվում՝</w:t>
      </w:r>
      <w:r>
        <w:rPr>
          <w:szCs w:val="22"/>
          <w:lang w:val="af-ZA"/>
        </w:rPr>
        <w:t xml:space="preserve"> </w:t>
      </w:r>
      <w:r>
        <w:rPr>
          <w:kern w:val="16"/>
          <w:lang w:val="af-ZA"/>
        </w:rPr>
        <w:t xml:space="preserve">ՀՀ </w:t>
      </w:r>
      <w:r>
        <w:rPr>
          <w:kern w:val="16"/>
          <w:lang w:val="hy-AM"/>
        </w:rPr>
        <w:t>վիճակագրական</w:t>
      </w:r>
      <w:r>
        <w:rPr>
          <w:kern w:val="16"/>
          <w:lang w:val="af-ZA"/>
        </w:rPr>
        <w:t xml:space="preserve"> </w:t>
      </w:r>
      <w:r>
        <w:rPr>
          <w:szCs w:val="22"/>
          <w:lang w:val="hy-AM"/>
        </w:rPr>
        <w:t>կոմիտեի</w:t>
      </w:r>
      <w:r>
        <w:rPr>
          <w:szCs w:val="22"/>
          <w:lang w:val="af-ZA"/>
        </w:rPr>
        <w:t xml:space="preserve"> </w:t>
      </w:r>
      <w:r>
        <w:rPr>
          <w:szCs w:val="22"/>
          <w:lang w:val="hy-AM"/>
        </w:rPr>
        <w:t>կառավարման</w:t>
      </w:r>
      <w:r>
        <w:rPr>
          <w:szCs w:val="22"/>
          <w:lang w:val="af-ZA"/>
        </w:rPr>
        <w:t xml:space="preserve"> </w:t>
      </w:r>
      <w:r>
        <w:rPr>
          <w:szCs w:val="22"/>
          <w:lang w:val="hy-AM"/>
        </w:rPr>
        <w:t>բարձրագույն</w:t>
      </w:r>
      <w:r>
        <w:rPr>
          <w:szCs w:val="22"/>
          <w:lang w:val="af-ZA"/>
        </w:rPr>
        <w:t xml:space="preserve"> </w:t>
      </w:r>
      <w:r>
        <w:rPr>
          <w:szCs w:val="22"/>
          <w:lang w:val="hy-AM"/>
        </w:rPr>
        <w:t>մարմինը</w:t>
      </w:r>
      <w:r>
        <w:rPr>
          <w:szCs w:val="22"/>
          <w:lang w:val="af-ZA"/>
        </w:rPr>
        <w:t xml:space="preserve">, </w:t>
      </w:r>
      <w:r>
        <w:rPr>
          <w:szCs w:val="22"/>
          <w:lang w:val="hy-AM"/>
        </w:rPr>
        <w:t>բացառությամբ</w:t>
      </w:r>
      <w:r>
        <w:rPr>
          <w:szCs w:val="22"/>
          <w:lang w:val="af-ZA"/>
        </w:rPr>
        <w:t xml:space="preserve"> </w:t>
      </w:r>
      <w:r>
        <w:rPr>
          <w:szCs w:val="22"/>
          <w:lang w:val="hy-AM"/>
        </w:rPr>
        <w:t>ՀՀ</w:t>
      </w:r>
      <w:r>
        <w:rPr>
          <w:szCs w:val="22"/>
          <w:lang w:val="af-ZA"/>
        </w:rPr>
        <w:t xml:space="preserve"> </w:t>
      </w:r>
      <w:r>
        <w:rPr>
          <w:szCs w:val="22"/>
          <w:lang w:val="hy-AM"/>
        </w:rPr>
        <w:t>կենտրոնական</w:t>
      </w:r>
      <w:r>
        <w:rPr>
          <w:szCs w:val="22"/>
          <w:lang w:val="af-ZA"/>
        </w:rPr>
        <w:t xml:space="preserve"> </w:t>
      </w:r>
      <w:r>
        <w:rPr>
          <w:szCs w:val="22"/>
          <w:lang w:val="hy-AM"/>
        </w:rPr>
        <w:t>բանկի</w:t>
      </w:r>
      <w:r>
        <w:rPr>
          <w:szCs w:val="22"/>
          <w:lang w:val="af-ZA"/>
        </w:rPr>
        <w:t xml:space="preserve">, </w:t>
      </w:r>
      <w:r>
        <w:rPr>
          <w:rFonts w:eastAsia="Times New Roman" w:cs="Times New Roman"/>
          <w:lang w:val="hy-AM"/>
        </w:rPr>
        <w:t>ՀՀ</w:t>
      </w:r>
      <w:r>
        <w:rPr>
          <w:rFonts w:eastAsia="Times New Roman" w:cs="Times New Roman"/>
          <w:lang w:val="af-ZA"/>
        </w:rPr>
        <w:t xml:space="preserve"> </w:t>
      </w:r>
      <w:r>
        <w:rPr>
          <w:rFonts w:eastAsia="Times New Roman" w:cs="Times New Roman"/>
          <w:lang w:val="hy-AM"/>
        </w:rPr>
        <w:t>վիճակագրության</w:t>
      </w:r>
      <w:r>
        <w:rPr>
          <w:rFonts w:eastAsia="Times New Roman" w:cs="Times New Roman"/>
          <w:lang w:val="af-ZA"/>
        </w:rPr>
        <w:t xml:space="preserve"> </w:t>
      </w:r>
      <w:r>
        <w:rPr>
          <w:rFonts w:eastAsia="Times New Roman" w:cs="Times New Roman"/>
          <w:lang w:val="hy-AM"/>
        </w:rPr>
        <w:t>պետական</w:t>
      </w:r>
      <w:r>
        <w:rPr>
          <w:rFonts w:eastAsia="Times New Roman" w:cs="Times New Roman"/>
          <w:lang w:val="af-ZA"/>
        </w:rPr>
        <w:t xml:space="preserve"> </w:t>
      </w:r>
      <w:r>
        <w:rPr>
          <w:rFonts w:eastAsia="Times New Roman" w:cs="Times New Roman"/>
          <w:lang w:val="hy-AM"/>
        </w:rPr>
        <w:t>խորհուրդն</w:t>
      </w:r>
      <w:r>
        <w:rPr>
          <w:rFonts w:eastAsia="Times New Roman" w:cs="Times New Roman"/>
          <w:lang w:val="af-ZA"/>
        </w:rPr>
        <w:t xml:space="preserve"> </w:t>
      </w:r>
      <w:r>
        <w:rPr>
          <w:rFonts w:eastAsia="Times New Roman" w:cs="Times New Roman"/>
          <w:lang w:val="hy-AM"/>
        </w:rPr>
        <w:t>է</w:t>
      </w:r>
      <w:r>
        <w:rPr>
          <w:rFonts w:eastAsia="Times New Roman" w:cs="Times New Roman"/>
          <w:lang w:val="af-ZA"/>
        </w:rPr>
        <w:t>:</w:t>
      </w:r>
    </w:p>
    <w:p w14:paraId="0FC49E5E" w14:textId="77777777" w:rsidR="009C572E" w:rsidRDefault="009C572E" w:rsidP="009C572E">
      <w:pPr>
        <w:pStyle w:val="NormalWeb"/>
        <w:shd w:val="clear" w:color="auto" w:fill="FFFFFF"/>
        <w:spacing w:before="0" w:after="0" w:line="276" w:lineRule="auto"/>
        <w:ind w:firstLine="720"/>
        <w:rPr>
          <w:rFonts w:eastAsia="Times New Roman" w:cs="Times New Roman"/>
          <w:lang w:val="hy-AM"/>
        </w:rPr>
      </w:pPr>
      <w:r>
        <w:rPr>
          <w:kern w:val="16"/>
          <w:lang w:val="af-ZA"/>
        </w:rPr>
        <w:t xml:space="preserve">ՀՀ </w:t>
      </w:r>
      <w:r>
        <w:rPr>
          <w:kern w:val="16"/>
          <w:lang w:val="hy-AM"/>
        </w:rPr>
        <w:t>վիճակագրական</w:t>
      </w:r>
      <w:r>
        <w:rPr>
          <w:kern w:val="16"/>
          <w:lang w:val="af-ZA"/>
        </w:rPr>
        <w:t xml:space="preserve"> </w:t>
      </w:r>
      <w:r>
        <w:rPr>
          <w:kern w:val="16"/>
          <w:lang w:val="hy-AM"/>
        </w:rPr>
        <w:t>կ</w:t>
      </w:r>
      <w:r>
        <w:rPr>
          <w:rFonts w:eastAsia="Times New Roman" w:cs="Times New Roman"/>
          <w:lang w:val="hy-AM"/>
        </w:rPr>
        <w:t>ոմիտեն ՀՀ պաշտոնական վիճակագրության գլխավոր արտադրողն է և համակարգում է ազգային վիճակագրական համակարգում պաշտոնական վիճակագրության մշակմանը, արտադրությանը և տարածմանն ուղղված ողջ գործունեությունը, բացառությամբ  ՀՀ կենտրոնական բանկի:</w:t>
      </w:r>
    </w:p>
    <w:p w14:paraId="04FC273C" w14:textId="77777777" w:rsidR="009C572E" w:rsidRDefault="009C572E" w:rsidP="009C572E">
      <w:pPr>
        <w:shd w:val="clear" w:color="auto" w:fill="FFFFFF"/>
        <w:spacing w:before="0" w:after="0" w:line="276" w:lineRule="auto"/>
        <w:ind w:firstLine="720"/>
        <w:rPr>
          <w:rFonts w:eastAsia="Times New Roman" w:cs="Times New Roman"/>
          <w:lang w:val="hy-AM"/>
        </w:rPr>
      </w:pPr>
      <w:r>
        <w:rPr>
          <w:rFonts w:eastAsia="Times New Roman" w:cs="Times New Roman"/>
          <w:lang w:val="hy-AM"/>
        </w:rPr>
        <w:t>Համաձայն «Պաշտոնական վիճակագրության մասին» օրենքի Գլուխ 10-ի հոդված 33-ի, Կոմիտեն իր իրավասությունների շրջանակում ակտիվորեն մասնակցում է վիճակագրական ստանդարտների և ուղեցույցների մշակմանն ու ներդրմանն ուղղված միջազգային գործունեությանը, համակարգում է պաշտոնական վիճակագրության բնագավառում միջազգային համագործակցության բոլոր միջոցառումները, ինչպես նաև միջազգային կազմակերպությունների կողմից Կոմիտեին տրվող բոլոր այն գնահատականները, որոնք վերաբերում են պաշտոնական վիճակագրությանը՝ անկախ վիճակագրության ոլորտից և արտադրողից:</w:t>
      </w:r>
    </w:p>
    <w:p w14:paraId="5879ED48" w14:textId="77777777" w:rsidR="009C572E" w:rsidRDefault="009C572E" w:rsidP="009C572E">
      <w:pPr>
        <w:shd w:val="clear" w:color="auto" w:fill="FFFFFF"/>
        <w:spacing w:before="0" w:after="0" w:line="276" w:lineRule="auto"/>
        <w:ind w:firstLine="720"/>
        <w:rPr>
          <w:rFonts w:eastAsia="Times New Roman" w:cs="Times New Roman"/>
          <w:lang w:val="hy-AM"/>
        </w:rPr>
      </w:pPr>
      <w:r>
        <w:rPr>
          <w:rFonts w:eastAsia="Times New Roman" w:cs="Times New Roman"/>
          <w:lang w:val="hy-AM"/>
        </w:rPr>
        <w:t>Կոմիտեն համակարգում է պաշտոնական վիճակագրության տվյալների փոխանցումը միջազգային և այլ կազմակերպությունների:</w:t>
      </w:r>
    </w:p>
    <w:p w14:paraId="5890BDBE" w14:textId="77777777" w:rsidR="009C572E" w:rsidRDefault="009C572E" w:rsidP="009C572E">
      <w:pPr>
        <w:pStyle w:val="ListParagraph"/>
        <w:tabs>
          <w:tab w:val="left" w:pos="1701"/>
        </w:tabs>
        <w:spacing w:after="0" w:line="276" w:lineRule="auto"/>
        <w:ind w:left="0" w:firstLine="567"/>
        <w:rPr>
          <w:kern w:val="16"/>
          <w:lang w:val="af-ZA"/>
        </w:rPr>
      </w:pPr>
      <w:r>
        <w:rPr>
          <w:kern w:val="16"/>
          <w:lang w:val="hy-AM"/>
        </w:rPr>
        <w:t>Ո</w:t>
      </w:r>
      <w:r>
        <w:rPr>
          <w:kern w:val="16"/>
          <w:lang w:val="af-ZA"/>
        </w:rPr>
        <w:t>լորտի հետևյալ հիմնական թիրախներ</w:t>
      </w:r>
      <w:r>
        <w:rPr>
          <w:kern w:val="16"/>
          <w:lang w:val="hy-AM"/>
        </w:rPr>
        <w:t>ն են</w:t>
      </w:r>
      <w:r>
        <w:rPr>
          <w:kern w:val="16"/>
          <w:lang w:val="af-ZA"/>
        </w:rPr>
        <w:t xml:space="preserve">. </w:t>
      </w:r>
    </w:p>
    <w:p w14:paraId="43CC1304" w14:textId="77777777" w:rsidR="009C572E" w:rsidRDefault="009C572E" w:rsidP="00C0628C">
      <w:pPr>
        <w:numPr>
          <w:ilvl w:val="0"/>
          <w:numId w:val="28"/>
        </w:numPr>
        <w:spacing w:before="0" w:after="0" w:line="276" w:lineRule="auto"/>
        <w:ind w:left="0" w:firstLine="547"/>
        <w:rPr>
          <w:rFonts w:eastAsia="Calibri" w:cs="Sylfaen"/>
          <w:lang w:val="fr-FR"/>
        </w:rPr>
      </w:pPr>
      <w:r>
        <w:rPr>
          <w:kern w:val="16"/>
          <w:lang w:val="hy-AM"/>
        </w:rPr>
        <w:t xml:space="preserve"> </w:t>
      </w:r>
      <w:r>
        <w:rPr>
          <w:rFonts w:eastAsia="Calibri" w:cs="Sylfaen"/>
          <w:lang w:val="fr-FR"/>
        </w:rPr>
        <w:t xml:space="preserve">Ազգային </w:t>
      </w:r>
      <w:r>
        <w:rPr>
          <w:lang w:val="hy-AM"/>
        </w:rPr>
        <w:t>պաշտոնական</w:t>
      </w:r>
      <w:r>
        <w:rPr>
          <w:rFonts w:eastAsia="Calibri" w:cs="Sylfaen"/>
          <w:lang w:val="fr-FR"/>
        </w:rPr>
        <w:t xml:space="preserve"> վիճակագրության արտադրություն և տարածում՝ միջազգային վիճակագրական ստանդարտների (ներառյալ՝ Արժույթի միջազգային հիմնադրամի Տվյալների տարածման հատուկ ստանդարտը) պահանջներին համապատասխան (այդ թվում՝ ռեսուրսների մասով, հոդված 13, մաս 1 և հոդված 14, մաս 2 և 3),  </w:t>
      </w:r>
    </w:p>
    <w:p w14:paraId="07025700" w14:textId="77777777" w:rsidR="009C572E" w:rsidRDefault="009C572E" w:rsidP="00C0628C">
      <w:pPr>
        <w:numPr>
          <w:ilvl w:val="0"/>
          <w:numId w:val="28"/>
        </w:numPr>
        <w:spacing w:before="0" w:after="0" w:line="276" w:lineRule="auto"/>
        <w:ind w:left="0" w:firstLine="547"/>
        <w:rPr>
          <w:rFonts w:eastAsia="Calibri" w:cs="Sylfaen"/>
          <w:lang w:val="fr-FR"/>
        </w:rPr>
      </w:pPr>
      <w:r>
        <w:rPr>
          <w:lang w:val="hy-AM"/>
        </w:rPr>
        <w:t>Վիճակագրական</w:t>
      </w:r>
      <w:r>
        <w:rPr>
          <w:rFonts w:eastAsia="Calibri" w:cs="Sylfaen"/>
          <w:lang w:val="fr-FR"/>
        </w:rPr>
        <w:t xml:space="preserve"> համակարգի ամրապնդման ազգային ռազմավարական ծրագրի իրականացում</w:t>
      </w:r>
      <w:r>
        <w:rPr>
          <w:rFonts w:eastAsia="Calibri" w:cs="Sylfaen"/>
          <w:lang w:val="hy-AM"/>
        </w:rPr>
        <w:t>:</w:t>
      </w:r>
    </w:p>
    <w:p w14:paraId="7FD0469B" w14:textId="77777777" w:rsidR="009C572E" w:rsidRDefault="009C572E" w:rsidP="009C572E">
      <w:pPr>
        <w:spacing w:before="0" w:after="0" w:line="276" w:lineRule="auto"/>
        <w:ind w:left="547" w:firstLine="0"/>
        <w:rPr>
          <w:rFonts w:eastAsia="Calibri" w:cs="Sylfaen"/>
          <w:lang w:val="fr-FR"/>
        </w:rPr>
      </w:pPr>
    </w:p>
    <w:p w14:paraId="74319D92" w14:textId="77777777" w:rsidR="009C572E" w:rsidRDefault="009C572E" w:rsidP="009C572E">
      <w:pPr>
        <w:tabs>
          <w:tab w:val="left" w:pos="851"/>
          <w:tab w:val="left" w:pos="993"/>
        </w:tabs>
        <w:spacing w:line="276" w:lineRule="auto"/>
        <w:ind w:left="360" w:firstLine="0"/>
        <w:rPr>
          <w:rFonts w:cs="Sylfaen"/>
          <w:b/>
          <w:lang w:val="hy-AM"/>
        </w:rPr>
      </w:pPr>
      <w:r>
        <w:rPr>
          <w:rFonts w:cs="GHEA Grapalat"/>
          <w:b/>
          <w:lang w:val="hy-AM"/>
        </w:rPr>
        <w:t>ՈԼՈՐՏԱՅԻՆ ԾԱԽՍԱՅԻՆ ԾՐԱԳՐԵՐԸ</w:t>
      </w:r>
      <w:r>
        <w:rPr>
          <w:rFonts w:cs="Sylfaen"/>
          <w:b/>
          <w:lang w:val="hy-AM"/>
        </w:rPr>
        <w:t xml:space="preserve"> </w:t>
      </w:r>
    </w:p>
    <w:p w14:paraId="2E76CE38" w14:textId="77777777" w:rsidR="009C572E" w:rsidRDefault="009C572E" w:rsidP="009C572E">
      <w:pPr>
        <w:shd w:val="clear" w:color="auto" w:fill="FFFFFF"/>
        <w:spacing w:before="0" w:after="0" w:line="276" w:lineRule="auto"/>
        <w:ind w:firstLine="720"/>
        <w:rPr>
          <w:rFonts w:eastAsia="Times New Roman" w:cs="Times New Roman"/>
          <w:lang w:val="hy-AM"/>
        </w:rPr>
      </w:pPr>
      <w:r>
        <w:rPr>
          <w:rFonts w:eastAsia="Times New Roman" w:cs="Times New Roman"/>
          <w:lang w:val="hy-AM"/>
        </w:rPr>
        <w:t>2022-2024թթ. ՄԺԾԾ ժամանակահատվածում Կոմիտեի գոյություն ունեցող ծախսային ծրագրերն են.</w:t>
      </w:r>
    </w:p>
    <w:p w14:paraId="1ED20EA4" w14:textId="77777777" w:rsidR="009C572E" w:rsidRDefault="009C572E" w:rsidP="009C572E">
      <w:pPr>
        <w:shd w:val="clear" w:color="auto" w:fill="FFFFFF"/>
        <w:spacing w:before="0" w:after="0" w:line="276" w:lineRule="auto"/>
        <w:ind w:firstLine="720"/>
        <w:rPr>
          <w:rFonts w:eastAsia="Times New Roman" w:cs="Times New Roman"/>
          <w:lang w:val="hy-AM"/>
        </w:rPr>
      </w:pPr>
      <w:r>
        <w:rPr>
          <w:rFonts w:eastAsia="Times New Roman" w:cs="Times New Roman"/>
          <w:lang w:val="hy-AM"/>
        </w:rPr>
        <w:t>«Ազգային պաշտոնական վիճակագրության արտադրություն և տարածում» ծրագիր.</w:t>
      </w:r>
    </w:p>
    <w:p w14:paraId="7B886A50" w14:textId="77777777" w:rsidR="009C572E" w:rsidRDefault="009C572E" w:rsidP="009C572E">
      <w:pPr>
        <w:shd w:val="clear" w:color="auto" w:fill="FFFFFF"/>
        <w:spacing w:before="0" w:after="0" w:line="276" w:lineRule="auto"/>
        <w:ind w:firstLine="720"/>
        <w:rPr>
          <w:rFonts w:eastAsia="Times New Roman" w:cs="Times New Roman"/>
          <w:lang w:val="hy-AM"/>
        </w:rPr>
      </w:pPr>
      <w:r>
        <w:rPr>
          <w:rFonts w:eastAsia="Times New Roman" w:cs="Times New Roman"/>
          <w:lang w:val="hy-AM"/>
        </w:rPr>
        <w:t xml:space="preserve">         Ծրագրի նպատակն է տնտեսական և հասարակական գործընթացների վերաբերյալ պաշտոնական վիճակագրության մշակումը, արտադրումն ու տարածումը: Որպես վերջնական արդյունք, նախատեսվում է ծրագրով նախատեսված ժամկետներով և պարբերականությամբ ամբողջական, համադրելի, արդիական և օգտատերերին հավասար մատչելիությամբ հասանելի պաշտոնական վիճա</w:t>
      </w:r>
      <w:r>
        <w:rPr>
          <w:rFonts w:eastAsia="Times New Roman" w:cs="Times New Roman"/>
          <w:lang w:val="hy-AM"/>
        </w:rPr>
        <w:softHyphen/>
        <w:t>կա</w:t>
      </w:r>
      <w:r>
        <w:rPr>
          <w:rFonts w:eastAsia="Times New Roman" w:cs="Times New Roman"/>
          <w:lang w:val="hy-AM"/>
        </w:rPr>
        <w:softHyphen/>
        <w:t xml:space="preserve">գրության ապահովում: </w:t>
      </w:r>
    </w:p>
    <w:p w14:paraId="3B637CDE" w14:textId="77777777" w:rsidR="009C572E" w:rsidRDefault="009C572E" w:rsidP="009C572E">
      <w:pPr>
        <w:spacing w:after="0" w:line="276" w:lineRule="auto"/>
        <w:ind w:left="360" w:firstLine="0"/>
        <w:rPr>
          <w:lang w:val="hy-AM"/>
        </w:rPr>
      </w:pPr>
      <w:r>
        <w:rPr>
          <w:lang w:val="hy-AM"/>
        </w:rPr>
        <w:t>Ծրագրի գծով 2022-2024 թվականներին նախատեսվում է հատկացնել, ըստ տարիների՝ 2,897.0</w:t>
      </w:r>
      <w:r>
        <w:rPr>
          <w:rFonts w:cs="Sylfaen"/>
          <w:lang w:val="hy-AM"/>
        </w:rPr>
        <w:t>; 2,024.3 և 1,962.5 մլն դրամ</w:t>
      </w:r>
      <w:r>
        <w:rPr>
          <w:lang w:val="hy-AM"/>
        </w:rPr>
        <w:t>:</w:t>
      </w:r>
    </w:p>
    <w:p w14:paraId="72BA2996" w14:textId="77777777" w:rsidR="009C572E" w:rsidRDefault="009C572E" w:rsidP="009C572E">
      <w:pPr>
        <w:spacing w:after="0" w:line="276" w:lineRule="auto"/>
        <w:ind w:left="360" w:firstLine="0"/>
        <w:rPr>
          <w:rFonts w:cs="Times LatArm"/>
          <w:b/>
          <w:lang w:val="hy-AM"/>
        </w:rPr>
      </w:pPr>
      <w:r>
        <w:rPr>
          <w:rFonts w:cs="Sylfaen"/>
          <w:lang w:val="hy-AM"/>
        </w:rPr>
        <w:t xml:space="preserve"> </w:t>
      </w:r>
      <w:r>
        <w:rPr>
          <w:rFonts w:cs="Sylfaen"/>
          <w:b/>
          <w:lang w:val="hy-AM"/>
        </w:rPr>
        <w:t>«</w:t>
      </w:r>
      <w:r>
        <w:rPr>
          <w:rFonts w:cs="Sylfaen"/>
          <w:b/>
          <w:kern w:val="16"/>
          <w:lang w:val="af-ZA"/>
        </w:rPr>
        <w:t>Վիճակագրական համակարգի ամրապնդման ազգային ռազմավարական ծրագիր</w:t>
      </w:r>
      <w:r>
        <w:rPr>
          <w:rFonts w:cs="Arial"/>
          <w:b/>
          <w:lang w:val="hy-AM"/>
        </w:rPr>
        <w:t xml:space="preserve">» </w:t>
      </w:r>
      <w:r>
        <w:rPr>
          <w:rFonts w:cs="Times LatArm"/>
          <w:b/>
          <w:lang w:val="hy-AM"/>
        </w:rPr>
        <w:t>ծրագիր.</w:t>
      </w:r>
    </w:p>
    <w:p w14:paraId="6ADA50A2" w14:textId="77777777" w:rsidR="009C572E" w:rsidRDefault="009C572E" w:rsidP="009C572E">
      <w:pPr>
        <w:spacing w:after="0" w:line="276" w:lineRule="auto"/>
        <w:ind w:left="360" w:firstLine="0"/>
        <w:rPr>
          <w:rFonts w:eastAsiaTheme="minorHAnsi" w:cs="Sylfaen"/>
          <w:lang w:val="hy-AM"/>
        </w:rPr>
      </w:pPr>
      <w:r>
        <w:rPr>
          <w:rFonts w:cs="Times LatArm"/>
          <w:lang w:val="hy-AM"/>
        </w:rPr>
        <w:t>Ծրագրի</w:t>
      </w:r>
      <w:r>
        <w:rPr>
          <w:rFonts w:cs="Arial"/>
          <w:lang w:val="hy-AM"/>
        </w:rPr>
        <w:t xml:space="preserve"> նպատակն է </w:t>
      </w:r>
      <w:r>
        <w:rPr>
          <w:rFonts w:eastAsiaTheme="minorHAnsi" w:cs="Sylfaen"/>
          <w:lang w:val="hy-AM"/>
        </w:rPr>
        <w:t>միջազգային</w:t>
      </w:r>
      <w:r>
        <w:rPr>
          <w:rFonts w:eastAsiaTheme="minorHAnsi" w:cs="Sylfaen"/>
          <w:lang w:val="af-ZA"/>
        </w:rPr>
        <w:t xml:space="preserve"> </w:t>
      </w:r>
      <w:r>
        <w:rPr>
          <w:rFonts w:eastAsiaTheme="minorHAnsi" w:cs="Sylfaen"/>
          <w:lang w:val="hy-AM"/>
        </w:rPr>
        <w:t>չափանիշներին</w:t>
      </w:r>
      <w:r>
        <w:rPr>
          <w:rFonts w:eastAsiaTheme="minorHAnsi" w:cs="Sylfaen"/>
          <w:lang w:val="af-ZA"/>
        </w:rPr>
        <w:t xml:space="preserve"> </w:t>
      </w:r>
      <w:r>
        <w:rPr>
          <w:rFonts w:eastAsiaTheme="minorHAnsi" w:cs="Sylfaen"/>
          <w:lang w:val="hy-AM"/>
        </w:rPr>
        <w:t>համապատասխան</w:t>
      </w:r>
      <w:r>
        <w:rPr>
          <w:rFonts w:eastAsiaTheme="minorHAnsi" w:cs="Sylfaen"/>
          <w:lang w:val="af-ZA"/>
        </w:rPr>
        <w:t xml:space="preserve"> </w:t>
      </w:r>
      <w:r>
        <w:rPr>
          <w:rFonts w:eastAsiaTheme="minorHAnsi" w:cs="Sylfaen"/>
          <w:lang w:val="hy-AM"/>
        </w:rPr>
        <w:t>Հայաստանի</w:t>
      </w:r>
      <w:r>
        <w:rPr>
          <w:rFonts w:eastAsiaTheme="minorHAnsi" w:cs="Sylfaen"/>
          <w:lang w:val="af-ZA"/>
        </w:rPr>
        <w:t xml:space="preserve"> </w:t>
      </w:r>
      <w:r>
        <w:rPr>
          <w:rFonts w:eastAsiaTheme="minorHAnsi" w:cs="Sylfaen"/>
          <w:lang w:val="hy-AM"/>
        </w:rPr>
        <w:t>վիճակագրական</w:t>
      </w:r>
      <w:r>
        <w:rPr>
          <w:rFonts w:eastAsiaTheme="minorHAnsi" w:cs="Sylfaen"/>
          <w:lang w:val="af-ZA"/>
        </w:rPr>
        <w:t xml:space="preserve"> </w:t>
      </w:r>
      <w:r>
        <w:rPr>
          <w:rFonts w:eastAsiaTheme="minorHAnsi" w:cs="Sylfaen"/>
          <w:lang w:val="hy-AM"/>
        </w:rPr>
        <w:t>համակարգի</w:t>
      </w:r>
      <w:r>
        <w:rPr>
          <w:rFonts w:eastAsiaTheme="minorHAnsi" w:cs="Sylfaen"/>
          <w:lang w:val="af-ZA"/>
        </w:rPr>
        <w:t xml:space="preserve"> </w:t>
      </w:r>
      <w:r>
        <w:rPr>
          <w:rFonts w:eastAsiaTheme="minorHAnsi" w:cs="Sylfaen"/>
          <w:lang w:val="hy-AM"/>
        </w:rPr>
        <w:t>զարգացումը</w:t>
      </w:r>
      <w:r>
        <w:rPr>
          <w:rFonts w:eastAsiaTheme="minorHAnsi" w:cs="Sylfaen"/>
          <w:lang w:val="af-ZA"/>
        </w:rPr>
        <w:t xml:space="preserve">: </w:t>
      </w:r>
      <w:r>
        <w:rPr>
          <w:rFonts w:eastAsiaTheme="minorHAnsi" w:cs="Sylfaen"/>
          <w:lang w:val="hy-AM"/>
        </w:rPr>
        <w:t>Որպես</w:t>
      </w:r>
      <w:r>
        <w:rPr>
          <w:rFonts w:eastAsiaTheme="minorHAnsi" w:cs="Sylfaen"/>
          <w:lang w:val="af-ZA"/>
        </w:rPr>
        <w:t xml:space="preserve"> </w:t>
      </w:r>
      <w:r>
        <w:rPr>
          <w:rFonts w:eastAsiaTheme="minorHAnsi" w:cs="Sylfaen"/>
          <w:lang w:val="hy-AM"/>
        </w:rPr>
        <w:t>վերջնական</w:t>
      </w:r>
      <w:r>
        <w:rPr>
          <w:rFonts w:eastAsiaTheme="minorHAnsi" w:cs="Sylfaen"/>
          <w:lang w:val="af-ZA"/>
        </w:rPr>
        <w:t xml:space="preserve"> </w:t>
      </w:r>
      <w:r>
        <w:rPr>
          <w:rFonts w:eastAsiaTheme="minorHAnsi" w:cs="Sylfaen"/>
          <w:lang w:val="hy-AM"/>
        </w:rPr>
        <w:t>արդյունք</w:t>
      </w:r>
      <w:r>
        <w:rPr>
          <w:rFonts w:eastAsiaTheme="minorHAnsi" w:cs="Sylfaen"/>
          <w:lang w:val="af-ZA"/>
        </w:rPr>
        <w:t xml:space="preserve">, </w:t>
      </w:r>
      <w:r>
        <w:rPr>
          <w:rFonts w:eastAsiaTheme="minorHAnsi" w:cs="Sylfaen"/>
          <w:lang w:val="hy-AM"/>
        </w:rPr>
        <w:t>նախատեսվում</w:t>
      </w:r>
      <w:r>
        <w:rPr>
          <w:rFonts w:eastAsiaTheme="minorHAnsi" w:cs="Sylfaen"/>
          <w:lang w:val="af-ZA"/>
        </w:rPr>
        <w:t xml:space="preserve"> </w:t>
      </w:r>
      <w:r>
        <w:rPr>
          <w:rFonts w:eastAsiaTheme="minorHAnsi" w:cs="Sylfaen"/>
          <w:lang w:val="hy-AM"/>
        </w:rPr>
        <w:t>է</w:t>
      </w:r>
      <w:r>
        <w:rPr>
          <w:rFonts w:eastAsiaTheme="minorHAnsi" w:cs="Sylfaen"/>
          <w:lang w:val="af-ZA"/>
        </w:rPr>
        <w:t xml:space="preserve"> </w:t>
      </w:r>
      <w:r>
        <w:rPr>
          <w:rFonts w:eastAsiaTheme="minorHAnsi" w:cs="Sylfaen"/>
          <w:lang w:val="hy-AM"/>
        </w:rPr>
        <w:t>Հայաստանի</w:t>
      </w:r>
      <w:r>
        <w:rPr>
          <w:rFonts w:eastAsiaTheme="minorHAnsi" w:cs="Sylfaen"/>
          <w:lang w:val="af-ZA"/>
        </w:rPr>
        <w:t xml:space="preserve"> </w:t>
      </w:r>
      <w:r>
        <w:rPr>
          <w:rFonts w:eastAsiaTheme="minorHAnsi" w:cs="Sylfaen"/>
          <w:lang w:val="hy-AM"/>
        </w:rPr>
        <w:t>վիճակա</w:t>
      </w:r>
      <w:r>
        <w:rPr>
          <w:rFonts w:eastAsiaTheme="minorHAnsi" w:cs="Sylfaen"/>
          <w:lang w:val="af-ZA"/>
        </w:rPr>
        <w:softHyphen/>
      </w:r>
      <w:r>
        <w:rPr>
          <w:rFonts w:eastAsiaTheme="minorHAnsi" w:cs="Sylfaen"/>
          <w:lang w:val="hy-AM"/>
        </w:rPr>
        <w:t>գրական</w:t>
      </w:r>
      <w:r>
        <w:rPr>
          <w:rFonts w:eastAsiaTheme="minorHAnsi" w:cs="Sylfaen"/>
          <w:lang w:val="af-ZA"/>
        </w:rPr>
        <w:t xml:space="preserve"> </w:t>
      </w:r>
      <w:r>
        <w:rPr>
          <w:rFonts w:eastAsiaTheme="minorHAnsi" w:cs="Sylfaen"/>
          <w:lang w:val="hy-AM"/>
        </w:rPr>
        <w:t>համակարգի</w:t>
      </w:r>
      <w:r>
        <w:rPr>
          <w:rFonts w:eastAsiaTheme="minorHAnsi" w:cs="Sylfaen"/>
          <w:lang w:val="af-ZA"/>
        </w:rPr>
        <w:t xml:space="preserve"> </w:t>
      </w:r>
      <w:r>
        <w:rPr>
          <w:rFonts w:eastAsiaTheme="minorHAnsi" w:cs="Sylfaen"/>
          <w:lang w:val="hy-AM"/>
        </w:rPr>
        <w:t>կարողությունների</w:t>
      </w:r>
      <w:r>
        <w:rPr>
          <w:rFonts w:eastAsiaTheme="minorHAnsi" w:cs="Sylfaen"/>
          <w:lang w:val="af-ZA"/>
        </w:rPr>
        <w:t xml:space="preserve"> </w:t>
      </w:r>
      <w:r>
        <w:rPr>
          <w:rFonts w:eastAsiaTheme="minorHAnsi" w:cs="Sylfaen"/>
          <w:lang w:val="hy-AM"/>
        </w:rPr>
        <w:t>և</w:t>
      </w:r>
      <w:r>
        <w:rPr>
          <w:rFonts w:eastAsiaTheme="minorHAnsi" w:cs="Sylfaen"/>
          <w:lang w:val="af-ZA"/>
        </w:rPr>
        <w:t xml:space="preserve"> </w:t>
      </w:r>
      <w:r>
        <w:rPr>
          <w:rFonts w:eastAsiaTheme="minorHAnsi" w:cs="Sylfaen"/>
          <w:lang w:val="hy-AM"/>
        </w:rPr>
        <w:t>Կոմիտեի</w:t>
      </w:r>
      <w:r>
        <w:rPr>
          <w:rFonts w:eastAsiaTheme="minorHAnsi" w:cs="Sylfaen"/>
          <w:lang w:val="af-ZA"/>
        </w:rPr>
        <w:t xml:space="preserve"> </w:t>
      </w:r>
      <w:r>
        <w:rPr>
          <w:rFonts w:eastAsiaTheme="minorHAnsi" w:cs="Sylfaen"/>
          <w:lang w:val="hy-AM"/>
        </w:rPr>
        <w:t>անձնակազմի</w:t>
      </w:r>
      <w:r>
        <w:rPr>
          <w:rFonts w:eastAsiaTheme="minorHAnsi" w:cs="Sylfaen"/>
          <w:lang w:val="af-ZA"/>
        </w:rPr>
        <w:t xml:space="preserve"> </w:t>
      </w:r>
      <w:r>
        <w:rPr>
          <w:rFonts w:eastAsiaTheme="minorHAnsi" w:cs="Sylfaen"/>
          <w:lang w:val="hy-AM"/>
        </w:rPr>
        <w:t>մասնագիտական</w:t>
      </w:r>
      <w:r>
        <w:rPr>
          <w:rFonts w:eastAsiaTheme="minorHAnsi" w:cs="Sylfaen"/>
          <w:lang w:val="af-ZA"/>
        </w:rPr>
        <w:t xml:space="preserve"> </w:t>
      </w:r>
      <w:r>
        <w:rPr>
          <w:rFonts w:eastAsiaTheme="minorHAnsi" w:cs="Sylfaen"/>
          <w:lang w:val="hy-AM"/>
        </w:rPr>
        <w:t>կարո</w:t>
      </w:r>
      <w:r>
        <w:rPr>
          <w:rFonts w:eastAsiaTheme="minorHAnsi" w:cs="Sylfaen"/>
          <w:lang w:val="af-ZA"/>
        </w:rPr>
        <w:softHyphen/>
      </w:r>
      <w:r>
        <w:rPr>
          <w:rFonts w:eastAsiaTheme="minorHAnsi" w:cs="Sylfaen"/>
          <w:lang w:val="hy-AM"/>
        </w:rPr>
        <w:t>ղու</w:t>
      </w:r>
      <w:r>
        <w:rPr>
          <w:rFonts w:eastAsiaTheme="minorHAnsi" w:cs="Sylfaen"/>
          <w:lang w:val="af-ZA"/>
        </w:rPr>
        <w:softHyphen/>
      </w:r>
      <w:r>
        <w:rPr>
          <w:rFonts w:eastAsiaTheme="minorHAnsi" w:cs="Sylfaen"/>
          <w:lang w:val="hy-AM"/>
        </w:rPr>
        <w:t>թյունների</w:t>
      </w:r>
      <w:r>
        <w:rPr>
          <w:rFonts w:eastAsiaTheme="minorHAnsi" w:cs="Sylfaen"/>
          <w:lang w:val="af-ZA"/>
        </w:rPr>
        <w:t xml:space="preserve"> </w:t>
      </w:r>
      <w:r>
        <w:rPr>
          <w:rFonts w:eastAsiaTheme="minorHAnsi" w:cs="Sylfaen"/>
          <w:lang w:val="hy-AM"/>
        </w:rPr>
        <w:t>զարգացումը</w:t>
      </w:r>
      <w:r>
        <w:rPr>
          <w:rFonts w:eastAsiaTheme="minorHAnsi" w:cs="Sylfaen"/>
          <w:lang w:val="af-ZA"/>
        </w:rPr>
        <w:t xml:space="preserve">: </w:t>
      </w:r>
    </w:p>
    <w:p w14:paraId="54543B7B" w14:textId="77777777" w:rsidR="009C572E" w:rsidRDefault="009C572E" w:rsidP="009C572E">
      <w:pPr>
        <w:spacing w:after="0" w:line="276" w:lineRule="auto"/>
        <w:ind w:left="360" w:firstLine="0"/>
        <w:rPr>
          <w:lang w:val="hy-AM"/>
        </w:rPr>
      </w:pPr>
      <w:r>
        <w:rPr>
          <w:lang w:val="hy-AM"/>
        </w:rPr>
        <w:t>Ծրագրի գծով 2022 թվականին նախատեսվում է հատկացնել 571.6</w:t>
      </w:r>
      <w:r>
        <w:rPr>
          <w:rFonts w:cs="Sylfaen"/>
          <w:lang w:val="hy-AM"/>
        </w:rPr>
        <w:t xml:space="preserve"> մլն դրամ</w:t>
      </w:r>
      <w:r>
        <w:rPr>
          <w:lang w:val="hy-AM"/>
        </w:rPr>
        <w:t>:</w:t>
      </w:r>
    </w:p>
    <w:p w14:paraId="3E7AB56D" w14:textId="77777777" w:rsidR="009C572E" w:rsidRDefault="009C572E" w:rsidP="009C572E">
      <w:pPr>
        <w:spacing w:after="0" w:line="276" w:lineRule="auto"/>
        <w:ind w:left="360" w:firstLine="0"/>
        <w:rPr>
          <w:rFonts w:cs="Arial Armenian"/>
          <w:lang w:val="hy-AM"/>
        </w:rPr>
      </w:pPr>
      <w:r>
        <w:rPr>
          <w:rFonts w:cs="Arial Armenian"/>
          <w:lang w:val="hy-AM"/>
        </w:rPr>
        <w:t xml:space="preserve">        </w:t>
      </w:r>
    </w:p>
    <w:p w14:paraId="048EE4FA" w14:textId="77777777" w:rsidR="009C572E" w:rsidRDefault="009C572E" w:rsidP="009C572E">
      <w:pPr>
        <w:spacing w:after="0" w:line="276" w:lineRule="auto"/>
        <w:ind w:left="360" w:firstLine="0"/>
        <w:rPr>
          <w:rFonts w:cs="Arial Armenian"/>
          <w:lang w:val="hy-AM"/>
        </w:rPr>
      </w:pPr>
      <w:r>
        <w:rPr>
          <w:rFonts w:cs="Arial Armenian"/>
          <w:lang w:val="hy-AM"/>
        </w:rPr>
        <w:t xml:space="preserve">     Վիճակագրության գծով 2022-2024 թվականներին նախատեսված չափաքանակները.</w:t>
      </w:r>
    </w:p>
    <w:p w14:paraId="78F2FE25" w14:textId="77777777" w:rsidR="009C572E" w:rsidRDefault="009C572E" w:rsidP="009C572E">
      <w:pPr>
        <w:tabs>
          <w:tab w:val="left" w:pos="851"/>
          <w:tab w:val="left" w:pos="993"/>
        </w:tabs>
        <w:spacing w:line="276" w:lineRule="auto"/>
        <w:ind w:left="360" w:firstLine="0"/>
        <w:rPr>
          <w:rFonts w:cs="Sylfaen"/>
          <w:lang w:val="hy-AM"/>
        </w:rPr>
      </w:pPr>
      <w:r>
        <w:rPr>
          <w:rFonts w:cs="Arial Armenian"/>
          <w:lang w:val="hy-AM"/>
        </w:rPr>
        <w:tab/>
        <w:t xml:space="preserve">    2022 թվականի համար՝ 3</w:t>
      </w:r>
      <w:r>
        <w:rPr>
          <w:rFonts w:cs="Sylfaen"/>
          <w:lang w:val="hy-AM"/>
        </w:rPr>
        <w:t>,468.7 մլն դրամ,</w:t>
      </w:r>
    </w:p>
    <w:p w14:paraId="1D0CBB8B" w14:textId="77777777" w:rsidR="009C572E" w:rsidRDefault="009C572E" w:rsidP="009C572E">
      <w:pPr>
        <w:tabs>
          <w:tab w:val="left" w:pos="851"/>
          <w:tab w:val="left" w:pos="993"/>
        </w:tabs>
        <w:spacing w:line="276" w:lineRule="auto"/>
        <w:ind w:left="360" w:firstLine="0"/>
        <w:rPr>
          <w:rFonts w:cs="Sylfaen"/>
          <w:lang w:val="hy-AM"/>
        </w:rPr>
      </w:pPr>
      <w:r>
        <w:rPr>
          <w:rFonts w:cs="Sylfaen"/>
          <w:lang w:val="hy-AM"/>
        </w:rPr>
        <w:tab/>
        <w:t xml:space="preserve">    2023 </w:t>
      </w:r>
      <w:r>
        <w:rPr>
          <w:rFonts w:cs="Arial Armenian"/>
          <w:lang w:val="hy-AM"/>
        </w:rPr>
        <w:t>թվականի համար՝ 2</w:t>
      </w:r>
      <w:r>
        <w:rPr>
          <w:rFonts w:cs="Sylfaen"/>
          <w:lang w:val="hy-AM"/>
        </w:rPr>
        <w:t>,024.3 մլն դրամ,</w:t>
      </w:r>
    </w:p>
    <w:p w14:paraId="0C837EC5" w14:textId="77777777" w:rsidR="00DA0E15" w:rsidRDefault="009C572E" w:rsidP="00FE6E13">
      <w:pPr>
        <w:tabs>
          <w:tab w:val="left" w:pos="851"/>
          <w:tab w:val="left" w:pos="993"/>
        </w:tabs>
        <w:spacing w:line="276" w:lineRule="auto"/>
        <w:ind w:left="360" w:firstLine="0"/>
        <w:rPr>
          <w:lang w:val="hy-AM"/>
        </w:rPr>
      </w:pPr>
      <w:r>
        <w:rPr>
          <w:rFonts w:cs="Arial Armenian"/>
          <w:lang w:val="hy-AM"/>
        </w:rPr>
        <w:tab/>
        <w:t xml:space="preserve">    2024 թվականի համար՝ 1</w:t>
      </w:r>
      <w:r>
        <w:rPr>
          <w:rFonts w:cs="Sylfaen"/>
          <w:lang w:val="hy-AM"/>
        </w:rPr>
        <w:t>,962.5 մլն դրամ:</w:t>
      </w:r>
    </w:p>
    <w:p w14:paraId="2BA2F2AE" w14:textId="77777777" w:rsidR="00DA0E15" w:rsidRDefault="00DA0E15">
      <w:pPr>
        <w:pStyle w:val="StyleHeading1SectionSectionHeadingText11Chapterhead3"/>
        <w:rPr>
          <w:lang w:val="hy-AM"/>
        </w:rPr>
      </w:pPr>
    </w:p>
    <w:p w14:paraId="2544D002" w14:textId="77777777" w:rsidR="00DA0E15" w:rsidRDefault="00DA0E15">
      <w:pPr>
        <w:pStyle w:val="StyleHeading1SectionSectionHeadingText11Chapterhead3"/>
        <w:rPr>
          <w:lang w:val="hy-AM"/>
        </w:rPr>
      </w:pPr>
    </w:p>
    <w:p w14:paraId="5BECAB8D" w14:textId="77777777" w:rsidR="00DA0E15" w:rsidRDefault="00DA0E15">
      <w:pPr>
        <w:pStyle w:val="StyleHeading1SectionSectionHeadingText11Chapterhead3"/>
        <w:rPr>
          <w:lang w:val="hy-AM"/>
        </w:rPr>
      </w:pPr>
    </w:p>
    <w:p w14:paraId="217E1D5C" w14:textId="77777777" w:rsidR="00DA0E15" w:rsidRDefault="00362131" w:rsidP="00FE6E13">
      <w:pPr>
        <w:spacing w:before="0" w:after="200" w:line="276" w:lineRule="auto"/>
        <w:ind w:firstLine="0"/>
        <w:jc w:val="left"/>
        <w:rPr>
          <w:lang w:val="hy-AM"/>
        </w:rPr>
      </w:pPr>
      <w:r>
        <w:rPr>
          <w:lang w:val="hy-AM"/>
        </w:rPr>
        <w:br w:type="page"/>
      </w:r>
    </w:p>
    <w:p w14:paraId="7E3923CA" w14:textId="77777777" w:rsidR="00FA0954" w:rsidRDefault="00362131" w:rsidP="00FA0954">
      <w:pPr>
        <w:pStyle w:val="Heading3"/>
        <w:spacing w:before="0" w:after="120" w:line="276" w:lineRule="auto"/>
        <w:jc w:val="both"/>
        <w:rPr>
          <w:rFonts w:eastAsia="Times New Roman" w:cs="Times New Roman"/>
          <w:caps w:val="0"/>
          <w:color w:val="1F497D" w:themeColor="text2"/>
          <w:sz w:val="28"/>
          <w:szCs w:val="28"/>
        </w:rPr>
      </w:pPr>
      <w:r>
        <w:rPr>
          <w:rFonts w:cs="Arial Armenian"/>
        </w:rPr>
        <w:tab/>
      </w:r>
      <w:bookmarkStart w:id="639" w:name="_Toc488070533"/>
      <w:bookmarkStart w:id="640" w:name="_Toc13837292"/>
      <w:bookmarkStart w:id="641" w:name="_Toc45637516"/>
      <w:bookmarkStart w:id="642" w:name="_Toc45838540"/>
      <w:bookmarkStart w:id="643" w:name="_Toc77837890"/>
      <w:r w:rsidR="00EC4BA1" w:rsidRPr="003504D4">
        <w:rPr>
          <w:rFonts w:eastAsia="Times New Roman" w:cs="Times New Roman"/>
          <w:caps w:val="0"/>
          <w:color w:val="1F497D" w:themeColor="text2"/>
          <w:sz w:val="28"/>
          <w:szCs w:val="28"/>
        </w:rPr>
        <w:t>21</w:t>
      </w:r>
      <w:r w:rsidR="00FA0954">
        <w:rPr>
          <w:rFonts w:eastAsia="Times New Roman" w:cs="Times New Roman"/>
          <w:caps w:val="0"/>
          <w:color w:val="1F497D" w:themeColor="text2"/>
          <w:sz w:val="28"/>
          <w:szCs w:val="28"/>
          <w:lang w:val="es-ES"/>
        </w:rPr>
        <w:t>.</w:t>
      </w:r>
      <w:r w:rsidR="00FA0954">
        <w:rPr>
          <w:rFonts w:eastAsia="Times New Roman" w:cs="Times New Roman"/>
          <w:caps w:val="0"/>
          <w:color w:val="1F497D" w:themeColor="text2"/>
          <w:sz w:val="28"/>
          <w:szCs w:val="28"/>
        </w:rPr>
        <w:t xml:space="preserve"> </w:t>
      </w:r>
      <w:bookmarkEnd w:id="639"/>
      <w:bookmarkEnd w:id="640"/>
      <w:r w:rsidR="00FA0954">
        <w:rPr>
          <w:rFonts w:eastAsia="Times New Roman" w:cs="Times New Roman"/>
          <w:caps w:val="0"/>
          <w:color w:val="1F497D" w:themeColor="text2"/>
          <w:sz w:val="28"/>
          <w:szCs w:val="28"/>
        </w:rPr>
        <w:t>ՊԵՏԱԿԱՆ ՄԱՐՄԻՆՆԵՐԻ ՊԱՀՊԱՆՄԱՆ ԾԱԽՍԵՐ</w:t>
      </w:r>
      <w:bookmarkEnd w:id="641"/>
      <w:bookmarkEnd w:id="642"/>
      <w:bookmarkEnd w:id="643"/>
    </w:p>
    <w:p w14:paraId="711F069F" w14:textId="77777777" w:rsidR="00FA0954" w:rsidRPr="0020592A" w:rsidRDefault="00FA0954" w:rsidP="00FA0954">
      <w:pPr>
        <w:overflowPunct w:val="0"/>
        <w:autoSpaceDE w:val="0"/>
        <w:autoSpaceDN w:val="0"/>
        <w:adjustRightInd w:val="0"/>
        <w:spacing w:before="240" w:line="276" w:lineRule="auto"/>
        <w:ind w:firstLine="547"/>
        <w:textAlignment w:val="baseline"/>
        <w:rPr>
          <w:rFonts w:cs="Times New Roman"/>
          <w:bCs/>
          <w:lang w:val="hy-AM"/>
        </w:rPr>
      </w:pPr>
      <w:r w:rsidRPr="00FA0954">
        <w:rPr>
          <w:rFonts w:cs="Times New Roman"/>
          <w:lang w:val="hy-AM"/>
        </w:rPr>
        <w:t>Ոլորտը</w:t>
      </w:r>
      <w:r w:rsidRPr="0020592A">
        <w:rPr>
          <w:rFonts w:cs="Times New Roman"/>
          <w:lang w:val="es-ES"/>
        </w:rPr>
        <w:t xml:space="preserve"> </w:t>
      </w:r>
      <w:r w:rsidRPr="00FA0954">
        <w:rPr>
          <w:rFonts w:cs="Times New Roman"/>
          <w:lang w:val="hy-AM"/>
        </w:rPr>
        <w:t>ներառում</w:t>
      </w:r>
      <w:r w:rsidRPr="0020592A">
        <w:rPr>
          <w:rFonts w:cs="Times New Roman"/>
          <w:lang w:val="es-ES"/>
        </w:rPr>
        <w:t xml:space="preserve"> </w:t>
      </w:r>
      <w:r w:rsidRPr="00FA0954">
        <w:rPr>
          <w:rFonts w:cs="Times New Roman"/>
          <w:lang w:val="hy-AM"/>
        </w:rPr>
        <w:t>է</w:t>
      </w:r>
      <w:r w:rsidRPr="0020592A">
        <w:rPr>
          <w:rFonts w:cs="Times New Roman"/>
          <w:lang w:val="es-ES"/>
        </w:rPr>
        <w:t xml:space="preserve"> </w:t>
      </w:r>
      <w:r w:rsidRPr="00FA0954">
        <w:rPr>
          <w:rFonts w:cs="Times New Roman"/>
          <w:lang w:val="hy-AM"/>
        </w:rPr>
        <w:t>Սահմանադրությամբ</w:t>
      </w:r>
      <w:r w:rsidRPr="0020592A">
        <w:rPr>
          <w:rFonts w:cs="Times New Roman"/>
          <w:lang w:val="es-ES"/>
        </w:rPr>
        <w:t xml:space="preserve"> </w:t>
      </w:r>
      <w:r w:rsidRPr="00FA0954">
        <w:rPr>
          <w:rFonts w:cs="Times New Roman"/>
          <w:lang w:val="hy-AM"/>
        </w:rPr>
        <w:t>և</w:t>
      </w:r>
      <w:r w:rsidRPr="0020592A">
        <w:rPr>
          <w:rFonts w:cs="Times New Roman"/>
          <w:lang w:val="es-ES"/>
        </w:rPr>
        <w:t xml:space="preserve"> </w:t>
      </w:r>
      <w:r w:rsidRPr="00FA0954">
        <w:rPr>
          <w:rFonts w:cs="Times New Roman"/>
          <w:lang w:val="hy-AM"/>
        </w:rPr>
        <w:t>օրենքով</w:t>
      </w:r>
      <w:r w:rsidRPr="0020592A">
        <w:rPr>
          <w:rFonts w:cs="Times New Roman"/>
          <w:lang w:val="es-ES"/>
        </w:rPr>
        <w:t xml:space="preserve"> </w:t>
      </w:r>
      <w:r w:rsidRPr="00FA0954">
        <w:rPr>
          <w:rFonts w:cs="Times New Roman"/>
          <w:lang w:val="hy-AM"/>
        </w:rPr>
        <w:t>ստեղծված</w:t>
      </w:r>
      <w:r w:rsidRPr="0020592A">
        <w:rPr>
          <w:rFonts w:cs="Times New Roman"/>
          <w:lang w:val="es-ES"/>
        </w:rPr>
        <w:t xml:space="preserve"> </w:t>
      </w:r>
      <w:r w:rsidRPr="00FA0954">
        <w:rPr>
          <w:rFonts w:cs="Times New Roman"/>
          <w:lang w:val="hy-AM"/>
        </w:rPr>
        <w:t>պետական</w:t>
      </w:r>
      <w:r w:rsidRPr="0020592A">
        <w:rPr>
          <w:rFonts w:cs="Times New Roman"/>
          <w:lang w:val="es-ES"/>
        </w:rPr>
        <w:t xml:space="preserve"> </w:t>
      </w:r>
      <w:r w:rsidRPr="00FA0954">
        <w:rPr>
          <w:rFonts w:cs="Times New Roman"/>
          <w:lang w:val="hy-AM"/>
        </w:rPr>
        <w:t>մարմինների</w:t>
      </w:r>
      <w:r w:rsidRPr="0020592A">
        <w:rPr>
          <w:rFonts w:cs="Times New Roman"/>
          <w:lang w:val="es-ES"/>
        </w:rPr>
        <w:t xml:space="preserve"> </w:t>
      </w:r>
      <w:r w:rsidRPr="00FA0954">
        <w:rPr>
          <w:rFonts w:cs="Times New Roman"/>
          <w:lang w:val="hy-AM"/>
        </w:rPr>
        <w:t>պահպանմանն</w:t>
      </w:r>
      <w:r w:rsidRPr="0020592A">
        <w:rPr>
          <w:rFonts w:cs="Times New Roman"/>
          <w:lang w:val="es-ES"/>
        </w:rPr>
        <w:t xml:space="preserve"> </w:t>
      </w:r>
      <w:r w:rsidRPr="00FA0954">
        <w:rPr>
          <w:rFonts w:cs="Times New Roman"/>
          <w:lang w:val="hy-AM"/>
        </w:rPr>
        <w:t>ուղղված</w:t>
      </w:r>
      <w:r w:rsidRPr="0020592A">
        <w:rPr>
          <w:rFonts w:cs="Times New Roman"/>
          <w:lang w:val="es-ES"/>
        </w:rPr>
        <w:t xml:space="preserve"> </w:t>
      </w:r>
      <w:r w:rsidRPr="00FA0954">
        <w:rPr>
          <w:rFonts w:cs="Times New Roman"/>
          <w:lang w:val="hy-AM"/>
        </w:rPr>
        <w:t>բյուջետային</w:t>
      </w:r>
      <w:r w:rsidRPr="0020592A">
        <w:rPr>
          <w:rFonts w:cs="Times New Roman"/>
          <w:lang w:val="es-ES"/>
        </w:rPr>
        <w:t xml:space="preserve"> </w:t>
      </w:r>
      <w:r w:rsidRPr="00FA0954">
        <w:rPr>
          <w:rFonts w:cs="Times New Roman"/>
          <w:lang w:val="hy-AM"/>
        </w:rPr>
        <w:t>ծրագրերի</w:t>
      </w:r>
      <w:r w:rsidRPr="0020592A">
        <w:rPr>
          <w:rFonts w:cs="Times New Roman"/>
          <w:lang w:val="es-ES"/>
        </w:rPr>
        <w:t xml:space="preserve"> </w:t>
      </w:r>
      <w:r w:rsidRPr="00FA0954">
        <w:rPr>
          <w:rFonts w:cs="Times New Roman"/>
          <w:lang w:val="hy-AM"/>
        </w:rPr>
        <w:t>ու</w:t>
      </w:r>
      <w:r w:rsidRPr="0020592A">
        <w:rPr>
          <w:rFonts w:cs="Times New Roman"/>
          <w:lang w:val="es-ES"/>
        </w:rPr>
        <w:t xml:space="preserve"> </w:t>
      </w:r>
      <w:r w:rsidRPr="00FA0954">
        <w:rPr>
          <w:rFonts w:cs="Times New Roman"/>
          <w:lang w:val="hy-AM"/>
        </w:rPr>
        <w:t>միջոցառումների</w:t>
      </w:r>
      <w:r w:rsidRPr="0020592A">
        <w:rPr>
          <w:rFonts w:cs="Times New Roman"/>
          <w:lang w:val="es-ES"/>
        </w:rPr>
        <w:t xml:space="preserve"> </w:t>
      </w:r>
      <w:r w:rsidRPr="00FA0954">
        <w:rPr>
          <w:rFonts w:cs="Times New Roman"/>
          <w:lang w:val="hy-AM"/>
        </w:rPr>
        <w:t>շրջանակը</w:t>
      </w:r>
      <w:r w:rsidRPr="0020592A">
        <w:rPr>
          <w:rFonts w:cs="Times New Roman"/>
          <w:lang w:val="hy-AM"/>
        </w:rPr>
        <w:t xml:space="preserve">, որն ընդգրկում է պետական իշխանության մարմինների (օրենսդիր, գործադիր և դատական), Սահմանադրությամբ և օրենքով ստեղծված ինքնավար և անկախ մարմինների ընթացիկ պահպանումը և տեխնիկական միջոցներով ապահովումը: </w:t>
      </w:r>
    </w:p>
    <w:p w14:paraId="4E4E06E9" w14:textId="77777777" w:rsidR="00FA0954" w:rsidRPr="0020592A" w:rsidRDefault="00FA0954" w:rsidP="00FA0954">
      <w:pPr>
        <w:overflowPunct w:val="0"/>
        <w:autoSpaceDE w:val="0"/>
        <w:autoSpaceDN w:val="0"/>
        <w:adjustRightInd w:val="0"/>
        <w:spacing w:line="276" w:lineRule="auto"/>
        <w:ind w:firstLine="547"/>
        <w:textAlignment w:val="baseline"/>
        <w:rPr>
          <w:rFonts w:cs="Times New Roman"/>
          <w:bCs/>
          <w:lang w:val="es-ES"/>
        </w:rPr>
      </w:pPr>
      <w:r w:rsidRPr="0020592A">
        <w:rPr>
          <w:rFonts w:cs="Times New Roman"/>
          <w:lang w:val="hy-AM"/>
        </w:rPr>
        <w:t>Ընդհանուր</w:t>
      </w:r>
      <w:r w:rsidRPr="0020592A">
        <w:rPr>
          <w:rFonts w:cs="Times New Roman"/>
          <w:lang w:val="es-ES"/>
        </w:rPr>
        <w:t xml:space="preserve"> </w:t>
      </w:r>
      <w:r w:rsidRPr="0020592A">
        <w:rPr>
          <w:rFonts w:cs="Times New Roman"/>
          <w:lang w:val="hy-AM"/>
        </w:rPr>
        <w:t>առմամբ</w:t>
      </w:r>
      <w:r w:rsidRPr="0020592A">
        <w:rPr>
          <w:rFonts w:cs="Times New Roman"/>
          <w:lang w:val="es-ES"/>
        </w:rPr>
        <w:t xml:space="preserve">, </w:t>
      </w:r>
      <w:r w:rsidRPr="0020592A">
        <w:rPr>
          <w:rFonts w:cs="Times New Roman"/>
          <w:lang w:val="hy-AM"/>
        </w:rPr>
        <w:t>պետական</w:t>
      </w:r>
      <w:r w:rsidRPr="0020592A">
        <w:rPr>
          <w:rFonts w:cs="Times New Roman"/>
          <w:lang w:val="es-ES"/>
        </w:rPr>
        <w:t xml:space="preserve"> </w:t>
      </w:r>
      <w:r w:rsidRPr="0020592A">
        <w:rPr>
          <w:rFonts w:cs="Times New Roman"/>
          <w:lang w:val="hy-AM"/>
        </w:rPr>
        <w:t>կառավարման</w:t>
      </w:r>
      <w:r w:rsidRPr="0020592A">
        <w:rPr>
          <w:rFonts w:cs="Times New Roman"/>
          <w:lang w:val="es-ES"/>
        </w:rPr>
        <w:t xml:space="preserve"> </w:t>
      </w:r>
      <w:r w:rsidRPr="0020592A">
        <w:rPr>
          <w:rFonts w:cs="Times New Roman"/>
          <w:lang w:val="hy-AM"/>
        </w:rPr>
        <w:t>համակարգի</w:t>
      </w:r>
      <w:r w:rsidRPr="0020592A">
        <w:rPr>
          <w:rFonts w:cs="Times New Roman"/>
          <w:lang w:val="es-ES"/>
        </w:rPr>
        <w:t xml:space="preserve"> </w:t>
      </w:r>
      <w:r w:rsidRPr="0020592A">
        <w:rPr>
          <w:rFonts w:cs="Times New Roman"/>
          <w:lang w:val="hy-AM"/>
        </w:rPr>
        <w:t>բարեփոխումները</w:t>
      </w:r>
      <w:r w:rsidRPr="0020592A">
        <w:rPr>
          <w:rFonts w:cs="Times New Roman"/>
          <w:lang w:val="es-ES"/>
        </w:rPr>
        <w:t xml:space="preserve"> </w:t>
      </w:r>
      <w:r w:rsidRPr="0020592A">
        <w:rPr>
          <w:rFonts w:cs="Times New Roman"/>
          <w:lang w:val="hy-AM"/>
        </w:rPr>
        <w:t>միտված</w:t>
      </w:r>
      <w:r w:rsidRPr="0020592A">
        <w:rPr>
          <w:rFonts w:cs="Times New Roman"/>
          <w:lang w:val="es-ES"/>
        </w:rPr>
        <w:t xml:space="preserve"> </w:t>
      </w:r>
      <w:r w:rsidRPr="0020592A">
        <w:rPr>
          <w:rFonts w:cs="Times New Roman"/>
          <w:lang w:val="hy-AM"/>
        </w:rPr>
        <w:t>են</w:t>
      </w:r>
      <w:r w:rsidRPr="0020592A">
        <w:rPr>
          <w:rFonts w:cs="Times New Roman"/>
          <w:lang w:val="es-ES"/>
        </w:rPr>
        <w:t xml:space="preserve"> </w:t>
      </w:r>
      <w:r w:rsidRPr="0020592A">
        <w:rPr>
          <w:rFonts w:cs="Times New Roman"/>
          <w:lang w:val="hy-AM"/>
        </w:rPr>
        <w:t>պետական</w:t>
      </w:r>
      <w:r w:rsidRPr="0020592A">
        <w:rPr>
          <w:rFonts w:cs="Times New Roman"/>
          <w:lang w:val="es-ES"/>
        </w:rPr>
        <w:t xml:space="preserve"> </w:t>
      </w:r>
      <w:r w:rsidRPr="0020592A">
        <w:rPr>
          <w:rFonts w:cs="Times New Roman"/>
          <w:lang w:val="hy-AM"/>
        </w:rPr>
        <w:t>կառավարման</w:t>
      </w:r>
      <w:r w:rsidRPr="0020592A">
        <w:rPr>
          <w:rFonts w:cs="Times New Roman"/>
          <w:lang w:val="es-ES"/>
        </w:rPr>
        <w:t xml:space="preserve"> </w:t>
      </w:r>
      <w:r w:rsidRPr="0020592A">
        <w:rPr>
          <w:rFonts w:cs="Times New Roman"/>
          <w:lang w:val="hy-AM"/>
        </w:rPr>
        <w:t>համակարգում</w:t>
      </w:r>
      <w:r w:rsidRPr="0020592A">
        <w:rPr>
          <w:rFonts w:cs="Times New Roman"/>
          <w:lang w:val="es-ES"/>
        </w:rPr>
        <w:t xml:space="preserve"> </w:t>
      </w:r>
      <w:r w:rsidRPr="0020592A">
        <w:rPr>
          <w:rFonts w:cs="Times New Roman"/>
          <w:lang w:val="hy-AM"/>
        </w:rPr>
        <w:t>կոռուպցիոն</w:t>
      </w:r>
      <w:r w:rsidRPr="0020592A">
        <w:rPr>
          <w:rFonts w:cs="Times New Roman"/>
          <w:lang w:val="es-ES"/>
        </w:rPr>
        <w:t xml:space="preserve"> </w:t>
      </w:r>
      <w:r w:rsidRPr="0020592A">
        <w:rPr>
          <w:rFonts w:cs="Times New Roman"/>
          <w:lang w:val="hy-AM"/>
        </w:rPr>
        <w:t>երևույթների</w:t>
      </w:r>
      <w:r w:rsidRPr="0020592A">
        <w:rPr>
          <w:rFonts w:cs="Times New Roman"/>
          <w:lang w:val="es-ES"/>
        </w:rPr>
        <w:t xml:space="preserve"> </w:t>
      </w:r>
      <w:r w:rsidRPr="0020592A">
        <w:rPr>
          <w:rFonts w:cs="Times New Roman"/>
          <w:lang w:val="hy-AM"/>
        </w:rPr>
        <w:t>բացառմանը`</w:t>
      </w:r>
      <w:r w:rsidRPr="0020592A">
        <w:rPr>
          <w:rFonts w:cs="Times New Roman"/>
          <w:lang w:val="es-ES"/>
        </w:rPr>
        <w:t xml:space="preserve"> </w:t>
      </w:r>
      <w:r w:rsidRPr="0020592A">
        <w:rPr>
          <w:rFonts w:cs="Times New Roman"/>
          <w:lang w:val="hy-AM"/>
        </w:rPr>
        <w:t>միաժամանակ</w:t>
      </w:r>
      <w:r w:rsidRPr="0020592A">
        <w:rPr>
          <w:rFonts w:cs="Times New Roman"/>
          <w:lang w:val="es-ES"/>
        </w:rPr>
        <w:t xml:space="preserve"> </w:t>
      </w:r>
      <w:r w:rsidRPr="0020592A">
        <w:rPr>
          <w:rFonts w:cs="Times New Roman"/>
          <w:lang w:val="hy-AM"/>
        </w:rPr>
        <w:t>պետական</w:t>
      </w:r>
      <w:r w:rsidRPr="0020592A">
        <w:rPr>
          <w:rFonts w:cs="Times New Roman"/>
          <w:lang w:val="es-ES"/>
        </w:rPr>
        <w:t xml:space="preserve"> </w:t>
      </w:r>
      <w:r w:rsidRPr="0020592A">
        <w:rPr>
          <w:rFonts w:cs="Times New Roman"/>
          <w:lang w:val="hy-AM"/>
        </w:rPr>
        <w:t>իշխանության</w:t>
      </w:r>
      <w:r w:rsidRPr="0020592A">
        <w:rPr>
          <w:rFonts w:cs="Times New Roman"/>
          <w:lang w:val="es-ES"/>
        </w:rPr>
        <w:t xml:space="preserve"> </w:t>
      </w:r>
      <w:r w:rsidRPr="0020592A">
        <w:rPr>
          <w:rFonts w:cs="Times New Roman"/>
          <w:lang w:val="hy-AM"/>
        </w:rPr>
        <w:t>մարմինների</w:t>
      </w:r>
      <w:r w:rsidRPr="0020592A">
        <w:rPr>
          <w:rFonts w:cs="Times New Roman"/>
          <w:lang w:val="es-ES"/>
        </w:rPr>
        <w:t xml:space="preserve"> </w:t>
      </w:r>
      <w:r w:rsidRPr="0020592A">
        <w:rPr>
          <w:rFonts w:cs="Times New Roman"/>
          <w:lang w:val="hy-AM"/>
        </w:rPr>
        <w:t>գործունեության</w:t>
      </w:r>
      <w:r w:rsidRPr="0020592A">
        <w:rPr>
          <w:rFonts w:cs="Times New Roman"/>
          <w:lang w:val="es-ES"/>
        </w:rPr>
        <w:t xml:space="preserve"> </w:t>
      </w:r>
      <w:r w:rsidRPr="0020592A">
        <w:rPr>
          <w:rFonts w:cs="Times New Roman"/>
          <w:lang w:val="hy-AM"/>
        </w:rPr>
        <w:t>թափանցիկության</w:t>
      </w:r>
      <w:r w:rsidRPr="0020592A">
        <w:rPr>
          <w:rFonts w:cs="Times New Roman"/>
          <w:lang w:val="es-ES"/>
        </w:rPr>
        <w:t xml:space="preserve">, </w:t>
      </w:r>
      <w:r w:rsidRPr="0020592A">
        <w:rPr>
          <w:rFonts w:cs="Times New Roman"/>
          <w:lang w:val="hy-AM"/>
        </w:rPr>
        <w:t>պետական</w:t>
      </w:r>
      <w:r w:rsidRPr="0020592A">
        <w:rPr>
          <w:rFonts w:cs="Times New Roman"/>
          <w:lang w:val="es-ES"/>
        </w:rPr>
        <w:t xml:space="preserve"> </w:t>
      </w:r>
      <w:r w:rsidRPr="0020592A">
        <w:rPr>
          <w:rFonts w:cs="Times New Roman"/>
          <w:lang w:val="hy-AM"/>
        </w:rPr>
        <w:t>կառավարման</w:t>
      </w:r>
      <w:r w:rsidRPr="0020592A">
        <w:rPr>
          <w:rFonts w:cs="Times New Roman"/>
          <w:lang w:val="es-ES"/>
        </w:rPr>
        <w:t xml:space="preserve"> </w:t>
      </w:r>
      <w:r w:rsidRPr="0020592A">
        <w:rPr>
          <w:rFonts w:cs="Times New Roman"/>
          <w:lang w:val="hy-AM"/>
        </w:rPr>
        <w:t>գործընթացներին</w:t>
      </w:r>
      <w:r w:rsidRPr="0020592A">
        <w:rPr>
          <w:rFonts w:cs="Times New Roman"/>
          <w:lang w:val="es-ES"/>
        </w:rPr>
        <w:t xml:space="preserve"> </w:t>
      </w:r>
      <w:r w:rsidRPr="0020592A">
        <w:rPr>
          <w:rFonts w:cs="Times New Roman"/>
          <w:lang w:val="hy-AM"/>
        </w:rPr>
        <w:t>քաղաքացիական</w:t>
      </w:r>
      <w:r w:rsidRPr="0020592A">
        <w:rPr>
          <w:rFonts w:cs="Times New Roman"/>
          <w:lang w:val="es-ES"/>
        </w:rPr>
        <w:t xml:space="preserve"> </w:t>
      </w:r>
      <w:r w:rsidRPr="0020592A">
        <w:rPr>
          <w:rFonts w:cs="Times New Roman"/>
          <w:lang w:val="hy-AM"/>
        </w:rPr>
        <w:t>հասարակության</w:t>
      </w:r>
      <w:r w:rsidRPr="0020592A">
        <w:rPr>
          <w:rFonts w:cs="Times New Roman"/>
          <w:lang w:val="es-ES"/>
        </w:rPr>
        <w:t xml:space="preserve"> </w:t>
      </w:r>
      <w:r w:rsidRPr="0020592A">
        <w:rPr>
          <w:rFonts w:cs="Times New Roman"/>
          <w:lang w:val="hy-AM"/>
        </w:rPr>
        <w:t>ներկայացուցիչների</w:t>
      </w:r>
      <w:r w:rsidRPr="0020592A">
        <w:rPr>
          <w:rFonts w:cs="Times New Roman"/>
          <w:lang w:val="es-ES"/>
        </w:rPr>
        <w:t xml:space="preserve"> </w:t>
      </w:r>
      <w:r w:rsidRPr="0020592A">
        <w:rPr>
          <w:rFonts w:cs="Times New Roman"/>
          <w:lang w:val="hy-AM"/>
        </w:rPr>
        <w:t>մասնակցության</w:t>
      </w:r>
      <w:r w:rsidRPr="0020592A">
        <w:rPr>
          <w:rFonts w:cs="Times New Roman"/>
          <w:lang w:val="es-ES"/>
        </w:rPr>
        <w:t xml:space="preserve"> </w:t>
      </w:r>
      <w:r w:rsidRPr="0020592A">
        <w:rPr>
          <w:rFonts w:cs="Times New Roman"/>
          <w:lang w:val="hy-AM"/>
        </w:rPr>
        <w:t>աստիճանի</w:t>
      </w:r>
      <w:r w:rsidRPr="0020592A">
        <w:rPr>
          <w:rFonts w:cs="Times New Roman"/>
          <w:lang w:val="es-ES"/>
        </w:rPr>
        <w:t xml:space="preserve"> </w:t>
      </w:r>
      <w:r w:rsidRPr="0020592A">
        <w:rPr>
          <w:rFonts w:cs="Times New Roman"/>
          <w:lang w:val="hy-AM"/>
        </w:rPr>
        <w:t>բարձրացման</w:t>
      </w:r>
      <w:r w:rsidRPr="0020592A">
        <w:rPr>
          <w:rFonts w:cs="Times New Roman"/>
          <w:lang w:val="es-ES"/>
        </w:rPr>
        <w:t xml:space="preserve"> </w:t>
      </w:r>
      <w:r w:rsidRPr="0020592A">
        <w:rPr>
          <w:rFonts w:cs="Times New Roman"/>
          <w:lang w:val="hy-AM"/>
        </w:rPr>
        <w:t>և</w:t>
      </w:r>
      <w:r w:rsidRPr="0020592A">
        <w:rPr>
          <w:rFonts w:cs="Times New Roman"/>
          <w:lang w:val="es-ES"/>
        </w:rPr>
        <w:t xml:space="preserve"> </w:t>
      </w:r>
      <w:r w:rsidRPr="0020592A">
        <w:rPr>
          <w:rFonts w:cs="Times New Roman"/>
          <w:lang w:val="hy-AM"/>
        </w:rPr>
        <w:t>այլ</w:t>
      </w:r>
      <w:r w:rsidRPr="0020592A">
        <w:rPr>
          <w:rFonts w:cs="Times New Roman"/>
          <w:lang w:val="es-ES"/>
        </w:rPr>
        <w:t xml:space="preserve"> </w:t>
      </w:r>
      <w:r w:rsidRPr="0020592A">
        <w:rPr>
          <w:rFonts w:cs="Times New Roman"/>
          <w:lang w:val="hy-AM"/>
        </w:rPr>
        <w:t>մեխանիզմների</w:t>
      </w:r>
      <w:r w:rsidRPr="0020592A">
        <w:rPr>
          <w:rFonts w:cs="Times New Roman"/>
          <w:lang w:val="es-ES"/>
        </w:rPr>
        <w:t xml:space="preserve"> </w:t>
      </w:r>
      <w:r w:rsidRPr="0020592A">
        <w:rPr>
          <w:rFonts w:cs="Times New Roman"/>
          <w:lang w:val="hy-AM"/>
        </w:rPr>
        <w:t>գործարկմամբ</w:t>
      </w:r>
      <w:r w:rsidRPr="0020592A">
        <w:rPr>
          <w:rFonts w:cs="Times New Roman"/>
          <w:lang w:val="es-ES"/>
        </w:rPr>
        <w:t>:</w:t>
      </w:r>
    </w:p>
    <w:p w14:paraId="226BE9F2" w14:textId="77777777" w:rsidR="00FA0954" w:rsidRPr="0020592A" w:rsidRDefault="00FA0954" w:rsidP="00FA0954">
      <w:pPr>
        <w:spacing w:line="276" w:lineRule="auto"/>
        <w:ind w:firstLine="547"/>
        <w:rPr>
          <w:rFonts w:cs="Times New Roman"/>
          <w:bCs/>
          <w:lang w:val="es-ES"/>
        </w:rPr>
      </w:pPr>
      <w:r w:rsidRPr="0020592A">
        <w:rPr>
          <w:rFonts w:cs="Times New Roman"/>
          <w:lang w:val="ru-RU"/>
        </w:rPr>
        <w:t>Հանրային</w:t>
      </w:r>
      <w:r w:rsidRPr="0020592A">
        <w:rPr>
          <w:rFonts w:cs="Times New Roman"/>
          <w:lang w:val="es-ES"/>
        </w:rPr>
        <w:t xml:space="preserve"> </w:t>
      </w:r>
      <w:r w:rsidRPr="0020592A">
        <w:rPr>
          <w:rFonts w:cs="Times New Roman"/>
          <w:lang w:val="ru-RU"/>
        </w:rPr>
        <w:t>կառավարման</w:t>
      </w:r>
      <w:r w:rsidRPr="0020592A">
        <w:rPr>
          <w:rFonts w:cs="Times New Roman"/>
          <w:lang w:val="es-ES"/>
        </w:rPr>
        <w:t xml:space="preserve"> </w:t>
      </w:r>
      <w:r w:rsidRPr="0020592A">
        <w:rPr>
          <w:rFonts w:cs="Times New Roman"/>
          <w:lang w:val="ru-RU"/>
        </w:rPr>
        <w:t>թափանցիկության</w:t>
      </w:r>
      <w:r w:rsidRPr="0020592A">
        <w:rPr>
          <w:rFonts w:cs="Times New Roman"/>
          <w:lang w:val="es-ES"/>
        </w:rPr>
        <w:t xml:space="preserve"> </w:t>
      </w:r>
      <w:r w:rsidRPr="0020592A">
        <w:rPr>
          <w:rFonts w:cs="Times New Roman"/>
          <w:lang w:val="ru-RU"/>
        </w:rPr>
        <w:t>և</w:t>
      </w:r>
      <w:r w:rsidRPr="0020592A">
        <w:rPr>
          <w:rFonts w:cs="Times New Roman"/>
          <w:lang w:val="es-ES"/>
        </w:rPr>
        <w:t xml:space="preserve"> </w:t>
      </w:r>
      <w:r w:rsidRPr="0020592A">
        <w:rPr>
          <w:rFonts w:cs="Times New Roman"/>
          <w:lang w:val="ru-RU"/>
        </w:rPr>
        <w:t>հաշվետվողականության</w:t>
      </w:r>
      <w:r w:rsidRPr="0020592A">
        <w:rPr>
          <w:rFonts w:cs="Times New Roman"/>
          <w:lang w:val="es-ES"/>
        </w:rPr>
        <w:t xml:space="preserve"> </w:t>
      </w:r>
      <w:r w:rsidRPr="0020592A">
        <w:rPr>
          <w:rFonts w:cs="Times New Roman"/>
          <w:lang w:val="ru-RU"/>
        </w:rPr>
        <w:t>ապահովման</w:t>
      </w:r>
      <w:r w:rsidRPr="0020592A">
        <w:rPr>
          <w:rFonts w:cs="Times New Roman"/>
          <w:lang w:val="es-ES"/>
        </w:rPr>
        <w:t xml:space="preserve">, </w:t>
      </w:r>
      <w:r w:rsidRPr="0020592A">
        <w:rPr>
          <w:rFonts w:cs="Times New Roman"/>
          <w:lang w:val="ru-RU"/>
        </w:rPr>
        <w:t>վարչական</w:t>
      </w:r>
      <w:r w:rsidRPr="0020592A">
        <w:rPr>
          <w:rFonts w:cs="Times New Roman"/>
          <w:lang w:val="es-ES"/>
        </w:rPr>
        <w:t xml:space="preserve"> </w:t>
      </w:r>
      <w:r w:rsidRPr="0020592A">
        <w:rPr>
          <w:rFonts w:cs="Times New Roman"/>
          <w:lang w:val="ru-RU"/>
        </w:rPr>
        <w:t>կոռուպցիայի</w:t>
      </w:r>
      <w:r w:rsidRPr="0020592A">
        <w:rPr>
          <w:rFonts w:cs="Times New Roman"/>
          <w:lang w:val="es-ES"/>
        </w:rPr>
        <w:t xml:space="preserve"> </w:t>
      </w:r>
      <w:r w:rsidRPr="0020592A">
        <w:rPr>
          <w:rFonts w:cs="Times New Roman"/>
          <w:lang w:val="ru-RU"/>
        </w:rPr>
        <w:t>հաղթահարման</w:t>
      </w:r>
      <w:r w:rsidRPr="0020592A">
        <w:rPr>
          <w:rFonts w:cs="Times New Roman"/>
          <w:lang w:val="es-ES"/>
        </w:rPr>
        <w:t xml:space="preserve"> </w:t>
      </w:r>
      <w:r w:rsidRPr="0020592A">
        <w:rPr>
          <w:rFonts w:cs="Times New Roman"/>
          <w:lang w:val="ru-RU"/>
        </w:rPr>
        <w:t>նպատակով</w:t>
      </w:r>
      <w:r w:rsidRPr="0020592A">
        <w:rPr>
          <w:rFonts w:cs="Times New Roman"/>
          <w:lang w:val="es-ES"/>
        </w:rPr>
        <w:t xml:space="preserve"> </w:t>
      </w:r>
      <w:r w:rsidRPr="0020592A">
        <w:rPr>
          <w:rFonts w:cs="Times New Roman"/>
          <w:lang w:val="ru-RU"/>
        </w:rPr>
        <w:t>կարևորվում</w:t>
      </w:r>
      <w:r w:rsidRPr="0020592A">
        <w:rPr>
          <w:rFonts w:cs="Times New Roman"/>
          <w:lang w:val="es-ES"/>
        </w:rPr>
        <w:t xml:space="preserve"> </w:t>
      </w:r>
      <w:r w:rsidRPr="0020592A">
        <w:rPr>
          <w:rFonts w:cs="Times New Roman"/>
          <w:lang w:val="ru-RU"/>
        </w:rPr>
        <w:t>է</w:t>
      </w:r>
      <w:r w:rsidRPr="0020592A">
        <w:rPr>
          <w:rFonts w:cs="Times New Roman"/>
          <w:lang w:val="es-ES"/>
        </w:rPr>
        <w:t xml:space="preserve"> </w:t>
      </w:r>
      <w:r w:rsidRPr="0020592A">
        <w:rPr>
          <w:rFonts w:cs="Times New Roman"/>
          <w:lang w:val="ru-RU"/>
        </w:rPr>
        <w:t>պետության</w:t>
      </w:r>
      <w:r w:rsidRPr="0020592A">
        <w:rPr>
          <w:rFonts w:cs="Times New Roman"/>
          <w:lang w:val="es-ES"/>
        </w:rPr>
        <w:t xml:space="preserve"> </w:t>
      </w:r>
      <w:r w:rsidRPr="0020592A">
        <w:rPr>
          <w:rFonts w:cs="Times New Roman"/>
          <w:lang w:val="ru-RU"/>
        </w:rPr>
        <w:t>կողմից</w:t>
      </w:r>
      <w:r w:rsidRPr="0020592A">
        <w:rPr>
          <w:rFonts w:cs="Times New Roman"/>
          <w:lang w:val="es-ES"/>
        </w:rPr>
        <w:t xml:space="preserve"> </w:t>
      </w:r>
      <w:r w:rsidRPr="0020592A">
        <w:rPr>
          <w:rFonts w:cs="Times New Roman"/>
          <w:lang w:val="ru-RU"/>
        </w:rPr>
        <w:t>ծառայությունների</w:t>
      </w:r>
      <w:r w:rsidRPr="0020592A">
        <w:rPr>
          <w:rFonts w:cs="Times New Roman"/>
          <w:lang w:val="es-ES"/>
        </w:rPr>
        <w:t xml:space="preserve"> </w:t>
      </w:r>
      <w:r w:rsidRPr="0020592A">
        <w:rPr>
          <w:rFonts w:cs="Times New Roman"/>
          <w:lang w:val="ru-RU"/>
        </w:rPr>
        <w:t>մատուցման</w:t>
      </w:r>
      <w:r w:rsidRPr="0020592A">
        <w:rPr>
          <w:rFonts w:cs="Times New Roman"/>
          <w:lang w:val="es-ES"/>
        </w:rPr>
        <w:t xml:space="preserve"> </w:t>
      </w:r>
      <w:r w:rsidRPr="0020592A">
        <w:rPr>
          <w:rFonts w:cs="Times New Roman"/>
          <w:lang w:val="ru-RU"/>
        </w:rPr>
        <w:t>ոլորտում</w:t>
      </w:r>
      <w:r w:rsidRPr="0020592A">
        <w:rPr>
          <w:rFonts w:cs="Times New Roman"/>
          <w:lang w:val="es-ES"/>
        </w:rPr>
        <w:t xml:space="preserve"> </w:t>
      </w:r>
      <w:r w:rsidRPr="0020592A">
        <w:rPr>
          <w:rFonts w:cs="Times New Roman"/>
          <w:lang w:val="ru-RU"/>
        </w:rPr>
        <w:t>էլեկտրոնային</w:t>
      </w:r>
      <w:r w:rsidRPr="0020592A">
        <w:rPr>
          <w:rFonts w:cs="Times New Roman"/>
          <w:lang w:val="es-ES"/>
        </w:rPr>
        <w:t xml:space="preserve"> </w:t>
      </w:r>
      <w:r w:rsidRPr="0020592A">
        <w:rPr>
          <w:rFonts w:cs="Times New Roman"/>
          <w:lang w:val="ru-RU"/>
        </w:rPr>
        <w:t>գործիքների</w:t>
      </w:r>
      <w:r w:rsidRPr="0020592A">
        <w:rPr>
          <w:rFonts w:cs="Times New Roman"/>
          <w:lang w:val="es-ES"/>
        </w:rPr>
        <w:t xml:space="preserve"> </w:t>
      </w:r>
      <w:r w:rsidRPr="0020592A">
        <w:rPr>
          <w:rFonts w:cs="Times New Roman"/>
          <w:lang w:val="ru-RU"/>
        </w:rPr>
        <w:t>ներդրման</w:t>
      </w:r>
      <w:r w:rsidRPr="0020592A">
        <w:rPr>
          <w:rFonts w:cs="Times New Roman"/>
          <w:lang w:val="es-ES"/>
        </w:rPr>
        <w:t xml:space="preserve"> </w:t>
      </w:r>
      <w:r w:rsidRPr="0020592A">
        <w:rPr>
          <w:rFonts w:cs="Times New Roman"/>
          <w:lang w:val="ru-RU"/>
        </w:rPr>
        <w:t>միջոցով</w:t>
      </w:r>
      <w:r w:rsidRPr="0020592A">
        <w:rPr>
          <w:rFonts w:cs="Times New Roman"/>
          <w:lang w:val="es-ES"/>
        </w:rPr>
        <w:t xml:space="preserve"> </w:t>
      </w:r>
      <w:r w:rsidRPr="0020592A">
        <w:rPr>
          <w:rFonts w:cs="Times New Roman"/>
          <w:lang w:val="ru-RU"/>
        </w:rPr>
        <w:t>քաղաքացի</w:t>
      </w:r>
      <w:r w:rsidRPr="0020592A">
        <w:rPr>
          <w:rFonts w:cs="Times New Roman"/>
          <w:lang w:val="es-ES"/>
        </w:rPr>
        <w:t>-</w:t>
      </w:r>
      <w:r w:rsidRPr="0020592A">
        <w:rPr>
          <w:rFonts w:cs="Times New Roman"/>
          <w:lang w:val="ru-RU"/>
        </w:rPr>
        <w:t>պետություն</w:t>
      </w:r>
      <w:r w:rsidRPr="0020592A">
        <w:rPr>
          <w:rFonts w:cs="Times New Roman"/>
          <w:lang w:val="es-ES"/>
        </w:rPr>
        <w:t xml:space="preserve"> </w:t>
      </w:r>
      <w:r w:rsidRPr="0020592A">
        <w:rPr>
          <w:rFonts w:cs="Times New Roman"/>
          <w:lang w:val="ru-RU"/>
        </w:rPr>
        <w:t>շփման</w:t>
      </w:r>
      <w:r w:rsidRPr="0020592A">
        <w:rPr>
          <w:rFonts w:cs="Times New Roman"/>
          <w:lang w:val="es-ES"/>
        </w:rPr>
        <w:t xml:space="preserve"> </w:t>
      </w:r>
      <w:r w:rsidRPr="0020592A">
        <w:rPr>
          <w:rFonts w:cs="Times New Roman"/>
          <w:lang w:val="ru-RU"/>
        </w:rPr>
        <w:t>հնարավորինս</w:t>
      </w:r>
      <w:r w:rsidRPr="0020592A">
        <w:rPr>
          <w:rFonts w:cs="Times New Roman"/>
          <w:lang w:val="es-ES"/>
        </w:rPr>
        <w:t xml:space="preserve"> </w:t>
      </w:r>
      <w:r w:rsidRPr="0020592A">
        <w:rPr>
          <w:rFonts w:cs="Times New Roman"/>
          <w:lang w:val="ru-RU"/>
        </w:rPr>
        <w:t>սահմանափակումը</w:t>
      </w:r>
      <w:r w:rsidRPr="0020592A">
        <w:rPr>
          <w:rFonts w:cs="Times New Roman"/>
          <w:lang w:val="es-ES"/>
        </w:rPr>
        <w:t xml:space="preserve">, այդ թվում՝ մեկ պատուհանի սկզբունքով ծառայությունների մատուցման նպատակով միասնական կենտրոնների ստեղծման և գործարկման միջոցով, </w:t>
      </w:r>
      <w:r w:rsidRPr="0020592A">
        <w:rPr>
          <w:rFonts w:cs="Times New Roman"/>
          <w:lang w:val="ru-RU"/>
        </w:rPr>
        <w:t>պետական</w:t>
      </w:r>
      <w:r w:rsidRPr="0020592A">
        <w:rPr>
          <w:rFonts w:cs="Times New Roman"/>
          <w:lang w:val="es-ES"/>
        </w:rPr>
        <w:t xml:space="preserve"> </w:t>
      </w:r>
      <w:r w:rsidRPr="0020592A">
        <w:rPr>
          <w:rFonts w:cs="Times New Roman"/>
          <w:lang w:val="ru-RU"/>
        </w:rPr>
        <w:t>մարմինների</w:t>
      </w:r>
      <w:r w:rsidRPr="0020592A">
        <w:rPr>
          <w:rFonts w:cs="Times New Roman"/>
          <w:lang w:val="es-ES"/>
        </w:rPr>
        <w:t xml:space="preserve"> </w:t>
      </w:r>
      <w:r w:rsidRPr="0020592A">
        <w:rPr>
          <w:rFonts w:cs="Times New Roman"/>
          <w:lang w:val="ru-RU"/>
        </w:rPr>
        <w:t>գործունեության</w:t>
      </w:r>
      <w:r w:rsidRPr="0020592A">
        <w:rPr>
          <w:rFonts w:cs="Times New Roman"/>
          <w:lang w:val="es-ES"/>
        </w:rPr>
        <w:t xml:space="preserve"> </w:t>
      </w:r>
      <w:r w:rsidRPr="0020592A">
        <w:rPr>
          <w:rFonts w:cs="Times New Roman"/>
          <w:lang w:val="ru-RU"/>
        </w:rPr>
        <w:t>թափանցիկության</w:t>
      </w:r>
      <w:r w:rsidRPr="0020592A">
        <w:rPr>
          <w:rFonts w:cs="Times New Roman"/>
          <w:lang w:val="es-ES"/>
        </w:rPr>
        <w:t xml:space="preserve">, </w:t>
      </w:r>
      <w:r w:rsidRPr="0020592A">
        <w:rPr>
          <w:rFonts w:cs="Times New Roman"/>
          <w:lang w:val="ru-RU"/>
        </w:rPr>
        <w:t>հաշվետվողականության</w:t>
      </w:r>
      <w:r w:rsidRPr="0020592A">
        <w:rPr>
          <w:rFonts w:cs="Times New Roman"/>
          <w:lang w:val="es-ES"/>
        </w:rPr>
        <w:t xml:space="preserve">, էլեկտրոնային </w:t>
      </w:r>
      <w:r w:rsidRPr="0020592A">
        <w:rPr>
          <w:rFonts w:cs="Times New Roman"/>
          <w:lang w:val="ru-RU"/>
        </w:rPr>
        <w:t>տվյալների</w:t>
      </w:r>
      <w:r w:rsidRPr="0020592A">
        <w:rPr>
          <w:rFonts w:cs="Times New Roman"/>
          <w:lang w:val="es-ES"/>
        </w:rPr>
        <w:t xml:space="preserve"> համակարգերի </w:t>
      </w:r>
      <w:r w:rsidRPr="0020592A">
        <w:rPr>
          <w:rFonts w:cs="Times New Roman"/>
          <w:lang w:val="ru-RU"/>
        </w:rPr>
        <w:t>միասնականության</w:t>
      </w:r>
      <w:r w:rsidRPr="0020592A">
        <w:rPr>
          <w:rFonts w:cs="Times New Roman"/>
          <w:lang w:val="es-ES"/>
        </w:rPr>
        <w:t xml:space="preserve"> </w:t>
      </w:r>
      <w:r w:rsidRPr="0020592A">
        <w:rPr>
          <w:rFonts w:cs="Times New Roman"/>
          <w:lang w:val="ru-RU"/>
        </w:rPr>
        <w:t>և</w:t>
      </w:r>
      <w:r w:rsidRPr="0020592A">
        <w:rPr>
          <w:rFonts w:cs="Times New Roman"/>
          <w:lang w:val="es-ES"/>
        </w:rPr>
        <w:t xml:space="preserve"> </w:t>
      </w:r>
      <w:r w:rsidRPr="0020592A">
        <w:rPr>
          <w:rFonts w:cs="Times New Roman"/>
          <w:lang w:val="ru-RU"/>
        </w:rPr>
        <w:t>ավտոմատացման</w:t>
      </w:r>
      <w:r w:rsidRPr="0020592A">
        <w:rPr>
          <w:rFonts w:cs="Times New Roman"/>
          <w:lang w:val="es-ES"/>
        </w:rPr>
        <w:t xml:space="preserve"> </w:t>
      </w:r>
      <w:r w:rsidRPr="0020592A">
        <w:rPr>
          <w:rFonts w:cs="Times New Roman"/>
          <w:lang w:val="ru-RU"/>
        </w:rPr>
        <w:t>ապահովումը</w:t>
      </w:r>
      <w:r w:rsidRPr="0020592A">
        <w:rPr>
          <w:rFonts w:cs="Times New Roman"/>
          <w:lang w:val="es-ES"/>
        </w:rPr>
        <w:t xml:space="preserve">, </w:t>
      </w:r>
      <w:r w:rsidRPr="0020592A">
        <w:rPr>
          <w:rFonts w:cs="Times New Roman"/>
          <w:lang w:val="ru-RU"/>
        </w:rPr>
        <w:t>ինչը</w:t>
      </w:r>
      <w:r w:rsidRPr="0020592A">
        <w:rPr>
          <w:rFonts w:cs="Times New Roman"/>
          <w:lang w:val="es-ES"/>
        </w:rPr>
        <w:t xml:space="preserve"> </w:t>
      </w:r>
      <w:r w:rsidRPr="0020592A">
        <w:rPr>
          <w:rFonts w:cs="Times New Roman"/>
          <w:lang w:val="ru-RU"/>
        </w:rPr>
        <w:t>կբարձրացնի</w:t>
      </w:r>
      <w:r w:rsidRPr="0020592A">
        <w:rPr>
          <w:rFonts w:cs="Times New Roman"/>
          <w:lang w:val="es-ES"/>
        </w:rPr>
        <w:t xml:space="preserve"> </w:t>
      </w:r>
      <w:r w:rsidRPr="0020592A">
        <w:rPr>
          <w:rFonts w:cs="Times New Roman"/>
          <w:lang w:val="ru-RU"/>
        </w:rPr>
        <w:t>որոշումների</w:t>
      </w:r>
      <w:r w:rsidRPr="0020592A">
        <w:rPr>
          <w:rFonts w:cs="Times New Roman"/>
          <w:lang w:val="es-ES"/>
        </w:rPr>
        <w:t xml:space="preserve"> </w:t>
      </w:r>
      <w:r w:rsidRPr="0020592A">
        <w:rPr>
          <w:rFonts w:cs="Times New Roman"/>
          <w:lang w:val="ru-RU"/>
        </w:rPr>
        <w:t>ընդունման</w:t>
      </w:r>
      <w:r w:rsidRPr="0020592A">
        <w:rPr>
          <w:rFonts w:cs="Times New Roman"/>
          <w:lang w:val="es-ES"/>
        </w:rPr>
        <w:t xml:space="preserve"> </w:t>
      </w:r>
      <w:r w:rsidRPr="0020592A">
        <w:rPr>
          <w:rFonts w:cs="Times New Roman"/>
          <w:lang w:val="ru-RU"/>
        </w:rPr>
        <w:t>ժամանակ</w:t>
      </w:r>
      <w:r w:rsidRPr="0020592A">
        <w:rPr>
          <w:rFonts w:cs="Times New Roman"/>
          <w:lang w:val="es-ES"/>
        </w:rPr>
        <w:t xml:space="preserve"> </w:t>
      </w:r>
      <w:r w:rsidRPr="0020592A">
        <w:rPr>
          <w:rFonts w:cs="Times New Roman"/>
          <w:lang w:val="ru-RU"/>
        </w:rPr>
        <w:t>կիրառվող</w:t>
      </w:r>
      <w:r w:rsidRPr="0020592A">
        <w:rPr>
          <w:rFonts w:cs="Times New Roman"/>
          <w:lang w:val="es-ES"/>
        </w:rPr>
        <w:t xml:space="preserve"> </w:t>
      </w:r>
      <w:r w:rsidRPr="0020592A">
        <w:rPr>
          <w:rFonts w:cs="Times New Roman"/>
          <w:lang w:val="ru-RU"/>
        </w:rPr>
        <w:t>տեղեկատվության</w:t>
      </w:r>
      <w:r w:rsidRPr="0020592A">
        <w:rPr>
          <w:rFonts w:cs="Times New Roman"/>
          <w:lang w:val="es-ES"/>
        </w:rPr>
        <w:t xml:space="preserve"> </w:t>
      </w:r>
      <w:r w:rsidRPr="0020592A">
        <w:rPr>
          <w:rFonts w:cs="Times New Roman"/>
          <w:lang w:val="ru-RU"/>
        </w:rPr>
        <w:t>հուսալիության</w:t>
      </w:r>
      <w:r w:rsidRPr="0020592A">
        <w:rPr>
          <w:rFonts w:cs="Times New Roman"/>
          <w:lang w:val="es-ES"/>
        </w:rPr>
        <w:t xml:space="preserve"> </w:t>
      </w:r>
      <w:r w:rsidRPr="0020592A">
        <w:rPr>
          <w:rFonts w:cs="Times New Roman"/>
          <w:lang w:val="ru-RU"/>
        </w:rPr>
        <w:t>և</w:t>
      </w:r>
      <w:r w:rsidRPr="0020592A">
        <w:rPr>
          <w:rFonts w:cs="Times New Roman"/>
          <w:lang w:val="es-ES"/>
        </w:rPr>
        <w:t xml:space="preserve"> </w:t>
      </w:r>
      <w:r w:rsidRPr="0020592A">
        <w:rPr>
          <w:rFonts w:cs="Times New Roman"/>
          <w:lang w:val="ru-RU"/>
        </w:rPr>
        <w:t>ամբողջականության</w:t>
      </w:r>
      <w:r w:rsidRPr="0020592A">
        <w:rPr>
          <w:rFonts w:cs="Times New Roman"/>
          <w:lang w:val="es-ES"/>
        </w:rPr>
        <w:t xml:space="preserve"> </w:t>
      </w:r>
      <w:r w:rsidRPr="0020592A">
        <w:rPr>
          <w:rFonts w:cs="Times New Roman"/>
          <w:lang w:val="ru-RU"/>
        </w:rPr>
        <w:t>աստիճանը</w:t>
      </w:r>
      <w:r w:rsidRPr="0020592A">
        <w:rPr>
          <w:rFonts w:cs="Times New Roman"/>
          <w:lang w:val="es-ES"/>
        </w:rPr>
        <w:t>:</w:t>
      </w:r>
    </w:p>
    <w:p w14:paraId="20FA9F77" w14:textId="77777777" w:rsidR="00FA0954" w:rsidRPr="0020592A" w:rsidRDefault="00FA0954" w:rsidP="00FA0954">
      <w:pPr>
        <w:spacing w:line="276" w:lineRule="auto"/>
        <w:ind w:firstLine="547"/>
        <w:rPr>
          <w:rFonts w:cs="Times New Roman"/>
          <w:bCs/>
          <w:lang w:val="es-ES"/>
        </w:rPr>
      </w:pPr>
      <w:r w:rsidRPr="0020592A">
        <w:rPr>
          <w:rFonts w:cs="Times New Roman"/>
        </w:rPr>
        <w:t>Պետական</w:t>
      </w:r>
      <w:r w:rsidRPr="0020592A">
        <w:rPr>
          <w:rFonts w:cs="Times New Roman"/>
          <w:lang w:val="es-ES"/>
        </w:rPr>
        <w:t xml:space="preserve"> </w:t>
      </w:r>
      <w:r w:rsidRPr="0020592A">
        <w:rPr>
          <w:rFonts w:cs="Times New Roman"/>
          <w:lang w:val="ru-RU"/>
        </w:rPr>
        <w:t>կառավարման</w:t>
      </w:r>
      <w:r w:rsidRPr="0020592A">
        <w:rPr>
          <w:rFonts w:cs="Times New Roman"/>
          <w:lang w:val="es-ES"/>
        </w:rPr>
        <w:t xml:space="preserve"> </w:t>
      </w:r>
      <w:r w:rsidRPr="0020592A">
        <w:rPr>
          <w:rFonts w:cs="Times New Roman"/>
          <w:lang w:val="ru-RU"/>
        </w:rPr>
        <w:t>համակարգում</w:t>
      </w:r>
      <w:r w:rsidRPr="0020592A">
        <w:rPr>
          <w:rFonts w:cs="Times New Roman"/>
          <w:lang w:val="es-ES"/>
        </w:rPr>
        <w:t xml:space="preserve"> </w:t>
      </w:r>
      <w:r w:rsidRPr="0020592A">
        <w:rPr>
          <w:rFonts w:cs="Times New Roman"/>
          <w:lang w:val="ru-RU"/>
        </w:rPr>
        <w:t>Կառավարությ</w:t>
      </w:r>
      <w:r w:rsidRPr="0020592A">
        <w:rPr>
          <w:rFonts w:cs="Times New Roman"/>
          <w:lang w:val="hy-AM"/>
        </w:rPr>
        <w:t>ունը դրսևորում է</w:t>
      </w:r>
      <w:r w:rsidRPr="0020592A">
        <w:rPr>
          <w:rFonts w:cs="Times New Roman"/>
          <w:lang w:val="es-ES"/>
        </w:rPr>
        <w:t xml:space="preserve"> </w:t>
      </w:r>
      <w:r w:rsidRPr="0020592A">
        <w:rPr>
          <w:rFonts w:cs="Times New Roman"/>
          <w:lang w:val="hy-AM"/>
        </w:rPr>
        <w:t>պ</w:t>
      </w:r>
      <w:r w:rsidRPr="0020592A">
        <w:rPr>
          <w:rFonts w:cs="Times New Roman"/>
          <w:lang w:val="ru-RU"/>
        </w:rPr>
        <w:t>ետական</w:t>
      </w:r>
      <w:r w:rsidRPr="0020592A">
        <w:rPr>
          <w:rFonts w:cs="Times New Roman"/>
          <w:lang w:val="es-ES"/>
        </w:rPr>
        <w:t xml:space="preserve"> </w:t>
      </w:r>
      <w:r w:rsidRPr="0020592A">
        <w:rPr>
          <w:rFonts w:cs="Times New Roman"/>
          <w:lang w:val="ru-RU"/>
        </w:rPr>
        <w:t>ռեսուրսների</w:t>
      </w:r>
      <w:r w:rsidRPr="0020592A">
        <w:rPr>
          <w:rFonts w:cs="Times New Roman"/>
          <w:lang w:val="es-ES"/>
        </w:rPr>
        <w:t xml:space="preserve"> </w:t>
      </w:r>
      <w:r w:rsidRPr="0020592A">
        <w:rPr>
          <w:rFonts w:cs="Times New Roman"/>
          <w:lang w:val="ru-RU"/>
        </w:rPr>
        <w:t>կառավարում</w:t>
      </w:r>
      <w:r w:rsidRPr="0020592A">
        <w:rPr>
          <w:rFonts w:cs="Times New Roman"/>
          <w:lang w:val="hy-AM"/>
        </w:rPr>
        <w:t>ը</w:t>
      </w:r>
      <w:r w:rsidRPr="0020592A">
        <w:rPr>
          <w:rFonts w:cs="Times New Roman"/>
          <w:lang w:val="es-ES"/>
        </w:rPr>
        <w:t xml:space="preserve"> </w:t>
      </w:r>
      <w:r w:rsidRPr="0020592A">
        <w:rPr>
          <w:rFonts w:cs="Times New Roman"/>
          <w:lang w:val="ru-RU"/>
        </w:rPr>
        <w:t>արդյունավետ</w:t>
      </w:r>
      <w:r w:rsidRPr="0020592A">
        <w:rPr>
          <w:rFonts w:cs="Times New Roman"/>
          <w:lang w:val="es-ES"/>
        </w:rPr>
        <w:t xml:space="preserve">, </w:t>
      </w:r>
      <w:r w:rsidRPr="0020592A">
        <w:rPr>
          <w:rFonts w:cs="Times New Roman"/>
          <w:lang w:val="ru-RU"/>
        </w:rPr>
        <w:t>օգտավետ</w:t>
      </w:r>
      <w:r w:rsidRPr="0020592A">
        <w:rPr>
          <w:rFonts w:cs="Times New Roman"/>
          <w:lang w:val="es-ES"/>
        </w:rPr>
        <w:t xml:space="preserve"> </w:t>
      </w:r>
      <w:r w:rsidRPr="0020592A">
        <w:rPr>
          <w:rFonts w:cs="Times New Roman"/>
          <w:lang w:val="ru-RU"/>
        </w:rPr>
        <w:t>և</w:t>
      </w:r>
      <w:r w:rsidRPr="0020592A">
        <w:rPr>
          <w:rFonts w:cs="Times New Roman"/>
          <w:lang w:val="es-ES"/>
        </w:rPr>
        <w:t xml:space="preserve"> </w:t>
      </w:r>
      <w:r w:rsidRPr="0020592A">
        <w:rPr>
          <w:rFonts w:cs="Times New Roman"/>
          <w:lang w:val="ru-RU"/>
        </w:rPr>
        <w:t>խնայողաբար</w:t>
      </w:r>
      <w:r w:rsidRPr="0020592A">
        <w:rPr>
          <w:rFonts w:cs="Times New Roman"/>
          <w:lang w:val="hy-AM"/>
        </w:rPr>
        <w:t xml:space="preserve"> </w:t>
      </w:r>
      <w:r w:rsidRPr="0020592A">
        <w:rPr>
          <w:rFonts w:cs="Times New Roman"/>
          <w:lang w:val="ru-RU"/>
        </w:rPr>
        <w:t>իրականաց</w:t>
      </w:r>
      <w:r w:rsidRPr="0020592A">
        <w:rPr>
          <w:rFonts w:cs="Times New Roman"/>
          <w:lang w:val="hy-AM"/>
        </w:rPr>
        <w:t>նելու</w:t>
      </w:r>
      <w:r w:rsidRPr="0020592A">
        <w:rPr>
          <w:rFonts w:cs="Times New Roman"/>
          <w:lang w:val="es-ES"/>
        </w:rPr>
        <w:t xml:space="preserve"> </w:t>
      </w:r>
      <w:r w:rsidRPr="0020592A">
        <w:rPr>
          <w:rFonts w:cs="Times New Roman"/>
          <w:lang w:val="ru-RU"/>
        </w:rPr>
        <w:t>մոտեցում</w:t>
      </w:r>
      <w:r w:rsidRPr="0020592A">
        <w:rPr>
          <w:rFonts w:cs="Times New Roman"/>
          <w:lang w:val="hy-AM"/>
        </w:rPr>
        <w:t>։</w:t>
      </w:r>
    </w:p>
    <w:p w14:paraId="49C454B3" w14:textId="77777777" w:rsidR="00FA0954" w:rsidRPr="0020592A" w:rsidRDefault="00FA0954" w:rsidP="00FA0954">
      <w:pPr>
        <w:spacing w:line="276" w:lineRule="auto"/>
        <w:ind w:firstLine="480"/>
        <w:rPr>
          <w:rFonts w:eastAsia="Calibri" w:cs="GHEA Grapalat"/>
          <w:b/>
          <w:bCs/>
          <w:lang w:val="hy-AM"/>
        </w:rPr>
      </w:pPr>
      <w:bookmarkStart w:id="644" w:name="_Toc13837293"/>
    </w:p>
    <w:p w14:paraId="0BF220E9" w14:textId="77777777" w:rsidR="00FA0954" w:rsidRPr="0020592A" w:rsidRDefault="00FA0954" w:rsidP="00FA0954">
      <w:pPr>
        <w:spacing w:line="276" w:lineRule="auto"/>
        <w:ind w:left="428" w:firstLine="292"/>
        <w:rPr>
          <w:rFonts w:eastAsia="Calibri" w:cs="GHEA Grapalat"/>
          <w:b/>
          <w:bCs/>
          <w:lang w:val="hy-AM"/>
        </w:rPr>
      </w:pPr>
      <w:r w:rsidRPr="0020592A">
        <w:rPr>
          <w:rFonts w:eastAsia="Calibri" w:cs="GHEA Grapalat"/>
          <w:b/>
          <w:lang w:val="hy-AM"/>
        </w:rPr>
        <w:t>ԾԱԽՍԱՅԻՆ ԾՐԱԳՐԵՐԻ ԳՆԱՀԱՏԱԿԱՆԸ</w:t>
      </w:r>
    </w:p>
    <w:p w14:paraId="62E541DD" w14:textId="77777777" w:rsidR="00FA0954" w:rsidRPr="0020592A" w:rsidRDefault="00FA0954" w:rsidP="00FA0954">
      <w:pPr>
        <w:spacing w:line="276" w:lineRule="auto"/>
        <w:ind w:firstLine="720"/>
        <w:rPr>
          <w:rFonts w:cs="Times New Roman"/>
          <w:bCs/>
          <w:lang w:val="hy-AM"/>
        </w:rPr>
      </w:pPr>
      <w:r w:rsidRPr="0020592A">
        <w:rPr>
          <w:rFonts w:cs="Times New Roman"/>
          <w:lang w:val="hy-AM"/>
        </w:rPr>
        <w:t>Պետական կառավարման համակարգի պահպանման գծով գոյություն ունեցող բյուջետային ծրագրերը՝ դրանք հանրային իշխանության մարմինների պահպանմանն ու տեխնիկական կարողությունների զարգացմանն ուղղված ծախսային ծրագրերն ու միջոցառումներն են, որոնց գծով ծախսերի մակարդակը կախված է պետական կառավարման համակարգում տեղի ունեցող փոփոխություններից, այդ թվում՝ կառուցվածքային կամ գործառութային փոփոխություններից, ինչպես նաև տնտեսության մեջ տեղի ունեցող գնային և սակագնային տարբեր գործոնների փոփոխություններից:</w:t>
      </w:r>
      <w:bookmarkEnd w:id="644"/>
    </w:p>
    <w:p w14:paraId="101CB678" w14:textId="77777777" w:rsidR="00FA0954" w:rsidRPr="0020592A" w:rsidRDefault="00FA0954" w:rsidP="00FA0954">
      <w:pPr>
        <w:spacing w:line="276" w:lineRule="auto"/>
        <w:ind w:firstLine="547"/>
        <w:rPr>
          <w:rFonts w:cs="Times New Roman"/>
          <w:bCs/>
          <w:lang w:val="hy-AM"/>
        </w:rPr>
      </w:pPr>
      <w:r w:rsidRPr="0020592A">
        <w:rPr>
          <w:rFonts w:cs="Times New Roman"/>
          <w:lang w:val="af-ZA"/>
        </w:rPr>
        <w:t>20</w:t>
      </w:r>
      <w:r w:rsidRPr="0020592A">
        <w:rPr>
          <w:rFonts w:cs="Times New Roman"/>
          <w:lang w:val="hy-AM"/>
        </w:rPr>
        <w:t>22</w:t>
      </w:r>
      <w:r w:rsidRPr="0020592A">
        <w:rPr>
          <w:rFonts w:cs="Times New Roman"/>
          <w:lang w:val="af-ZA"/>
        </w:rPr>
        <w:t>-2024</w:t>
      </w:r>
      <w:r w:rsidRPr="0020592A">
        <w:rPr>
          <w:rFonts w:cs="Times New Roman"/>
          <w:lang w:val="hy-AM"/>
        </w:rPr>
        <w:t>թթ</w:t>
      </w:r>
      <w:r w:rsidRPr="0020592A">
        <w:rPr>
          <w:rFonts w:cs="Times New Roman"/>
          <w:lang w:val="af-ZA"/>
        </w:rPr>
        <w:t>.</w:t>
      </w:r>
      <w:r w:rsidRPr="0020592A">
        <w:rPr>
          <w:rFonts w:cs="Times New Roman"/>
          <w:lang w:val="hy-AM"/>
        </w:rPr>
        <w:t xml:space="preserve"> ՄԺԾԾ չափաքանակները հաշվարկվել են հիմք ընդունելով ՀՀ 2021 թվականի պետական բյուջեի ցուցանիշները և </w:t>
      </w:r>
      <w:r w:rsidRPr="0020592A">
        <w:rPr>
          <w:rFonts w:cs="Calibri"/>
          <w:lang w:val="hy-AM" w:eastAsia="ru-RU"/>
        </w:rPr>
        <w:t xml:space="preserve">2021 թվականի ընթացքում որոշակի իրավական կարգավորումների արդյունքում կատարված օրենսդրական փոփոխությունները: Հանրային իշխանության մարմինների պահպանման ծախսերը ծրագրավորվում են միասնական սկզբունքի կիրառմամբ: </w:t>
      </w:r>
    </w:p>
    <w:p w14:paraId="3890E4BF" w14:textId="77777777" w:rsidR="00FA0954" w:rsidRPr="0020592A" w:rsidRDefault="00FA0954" w:rsidP="00FA0954">
      <w:pPr>
        <w:spacing w:line="276" w:lineRule="auto"/>
        <w:ind w:firstLine="720"/>
        <w:rPr>
          <w:rFonts w:cs="Times New Roman"/>
          <w:bCs/>
          <w:lang w:val="hy-AM"/>
        </w:rPr>
      </w:pPr>
      <w:r w:rsidRPr="0020592A">
        <w:rPr>
          <w:rFonts w:cs="Times New Roman"/>
          <w:lang w:val="hy-AM"/>
        </w:rPr>
        <w:t>Հանրային իշխանության մարմինների պահպանման հա</w:t>
      </w:r>
      <w:r w:rsidRPr="0020592A">
        <w:rPr>
          <w:rFonts w:cs="Times New Roman"/>
          <w:lang w:val="hy-AM"/>
        </w:rPr>
        <w:softHyphen/>
        <w:t>մար պետական բյուջեով նա</w:t>
      </w:r>
      <w:r w:rsidRPr="0020592A">
        <w:rPr>
          <w:rFonts w:cs="Times New Roman"/>
          <w:lang w:val="hy-AM"/>
        </w:rPr>
        <w:softHyphen/>
        <w:t>խա</w:t>
      </w:r>
      <w:r w:rsidRPr="0020592A">
        <w:rPr>
          <w:rFonts w:cs="Times New Roman"/>
          <w:lang w:val="hy-AM"/>
        </w:rPr>
        <w:softHyphen/>
        <w:t>տես</w:t>
      </w:r>
      <w:r w:rsidRPr="0020592A">
        <w:rPr>
          <w:rFonts w:cs="Times New Roman"/>
          <w:lang w:val="hy-AM"/>
        </w:rPr>
        <w:softHyphen/>
        <w:t xml:space="preserve">ված ծախսերի տեսակարար կշիռը </w:t>
      </w:r>
      <w:r w:rsidRPr="0020592A">
        <w:rPr>
          <w:rFonts w:cs="Times New Roman"/>
          <w:lang w:val="af-ZA"/>
        </w:rPr>
        <w:t>20</w:t>
      </w:r>
      <w:r w:rsidRPr="0020592A">
        <w:rPr>
          <w:rFonts w:cs="Times New Roman"/>
          <w:lang w:val="hy-AM"/>
        </w:rPr>
        <w:t>22</w:t>
      </w:r>
      <w:r w:rsidRPr="0020592A">
        <w:rPr>
          <w:rFonts w:cs="Times New Roman"/>
          <w:lang w:val="af-ZA"/>
        </w:rPr>
        <w:t>-2024</w:t>
      </w:r>
      <w:r w:rsidRPr="0020592A">
        <w:rPr>
          <w:rFonts w:cs="Times New Roman"/>
          <w:lang w:val="hy-AM"/>
        </w:rPr>
        <w:t>թթ</w:t>
      </w:r>
      <w:r w:rsidRPr="0020592A">
        <w:rPr>
          <w:rFonts w:cs="Times New Roman"/>
          <w:lang w:val="af-ZA"/>
        </w:rPr>
        <w:t xml:space="preserve">. </w:t>
      </w:r>
      <w:r w:rsidRPr="0020592A">
        <w:rPr>
          <w:rFonts w:cs="Times New Roman"/>
          <w:lang w:val="hy-AM"/>
        </w:rPr>
        <w:t>ժամանա</w:t>
      </w:r>
      <w:r w:rsidRPr="0020592A">
        <w:rPr>
          <w:rFonts w:cs="Times New Roman"/>
          <w:lang w:val="hy-AM"/>
        </w:rPr>
        <w:softHyphen/>
        <w:t>կահատվածի համար կկազմի համա</w:t>
      </w:r>
      <w:r w:rsidRPr="0020592A">
        <w:rPr>
          <w:rFonts w:cs="Times New Roman"/>
          <w:lang w:val="hy-AM"/>
        </w:rPr>
        <w:softHyphen/>
        <w:t>պատաս</w:t>
      </w:r>
      <w:r w:rsidRPr="0020592A">
        <w:rPr>
          <w:rFonts w:cs="Times New Roman"/>
          <w:lang w:val="hy-AM"/>
        </w:rPr>
        <w:softHyphen/>
        <w:t>խա</w:t>
      </w:r>
      <w:r w:rsidRPr="0020592A">
        <w:rPr>
          <w:rFonts w:cs="Times New Roman"/>
          <w:lang w:val="hy-AM"/>
        </w:rPr>
        <w:softHyphen/>
        <w:t>նա</w:t>
      </w:r>
      <w:r w:rsidRPr="0020592A">
        <w:rPr>
          <w:rFonts w:cs="Times New Roman"/>
          <w:lang w:val="hy-AM"/>
        </w:rPr>
        <w:softHyphen/>
        <w:t>բար՝</w:t>
      </w:r>
    </w:p>
    <w:p w14:paraId="29A45458" w14:textId="77777777" w:rsidR="00343192" w:rsidRPr="00343192" w:rsidRDefault="00343192" w:rsidP="00343192">
      <w:pPr>
        <w:spacing w:line="276" w:lineRule="auto"/>
        <w:ind w:firstLine="720"/>
        <w:rPr>
          <w:rFonts w:cs="Times New Roman"/>
          <w:bCs/>
          <w:lang w:val="hy-AM"/>
        </w:rPr>
      </w:pPr>
      <w:r w:rsidRPr="00343192">
        <w:rPr>
          <w:rFonts w:cs="Times New Roman"/>
          <w:lang w:val="hy-AM"/>
        </w:rPr>
        <w:t>1. ՀՆԱ-ի 1.7%, 1.6% և 1.5%-ը (2021թ-ին` 2.0%-ը),</w:t>
      </w:r>
    </w:p>
    <w:p w14:paraId="20448F75" w14:textId="77777777" w:rsidR="00343192" w:rsidRPr="00343192" w:rsidRDefault="00343192" w:rsidP="00343192">
      <w:pPr>
        <w:spacing w:line="276" w:lineRule="auto"/>
        <w:ind w:firstLine="720"/>
        <w:rPr>
          <w:rFonts w:cs="Times New Roman"/>
          <w:bCs/>
          <w:lang w:val="hy-AM"/>
        </w:rPr>
      </w:pPr>
      <w:r w:rsidRPr="00343192">
        <w:rPr>
          <w:rFonts w:cs="Times New Roman"/>
          <w:lang w:val="hy-AM"/>
        </w:rPr>
        <w:t>2. պետա</w:t>
      </w:r>
      <w:r w:rsidRPr="00343192">
        <w:rPr>
          <w:rFonts w:cs="Times New Roman"/>
          <w:lang w:val="hy-AM"/>
        </w:rPr>
        <w:softHyphen/>
        <w:t>կան բյուջեի` 6.4%, 6.1% և 5.7% (2021թ.` 7.1%):</w:t>
      </w:r>
    </w:p>
    <w:p w14:paraId="01404D08" w14:textId="77777777" w:rsidR="00FA0954" w:rsidRPr="0020592A" w:rsidRDefault="00FA0954" w:rsidP="00FA0954">
      <w:pPr>
        <w:spacing w:line="276" w:lineRule="auto"/>
        <w:ind w:firstLine="708"/>
        <w:rPr>
          <w:rFonts w:cs="Times New Roman"/>
          <w:bCs/>
          <w:lang w:val="hy-AM"/>
        </w:rPr>
      </w:pPr>
    </w:p>
    <w:p w14:paraId="1AD7D100" w14:textId="77777777" w:rsidR="00FA0954" w:rsidRPr="0020592A" w:rsidRDefault="00FA0954" w:rsidP="00FA0954">
      <w:pPr>
        <w:spacing w:line="276" w:lineRule="auto"/>
        <w:ind w:firstLine="708"/>
        <w:rPr>
          <w:rFonts w:cs="Times New Roman"/>
          <w:bCs/>
          <w:lang w:val="hy-AM"/>
        </w:rPr>
      </w:pPr>
    </w:p>
    <w:p w14:paraId="64799D1A" w14:textId="77777777" w:rsidR="00FA0954" w:rsidRPr="0020592A" w:rsidRDefault="00FA0954" w:rsidP="00FA0954">
      <w:pPr>
        <w:spacing w:line="276" w:lineRule="auto"/>
        <w:ind w:firstLine="708"/>
        <w:rPr>
          <w:rFonts w:cs="Times New Roman"/>
          <w:bCs/>
          <w:lang w:val="af-ZA"/>
        </w:rPr>
      </w:pPr>
      <w:r w:rsidRPr="0020592A">
        <w:rPr>
          <w:rFonts w:cs="Times New Roman"/>
          <w:lang w:val="hy-AM"/>
        </w:rPr>
        <w:t>Պետական</w:t>
      </w:r>
      <w:r w:rsidRPr="0020592A">
        <w:rPr>
          <w:rFonts w:cs="Times New Roman"/>
          <w:lang w:val="af-ZA"/>
        </w:rPr>
        <w:t xml:space="preserve"> </w:t>
      </w:r>
      <w:r w:rsidRPr="0020592A">
        <w:rPr>
          <w:rFonts w:cs="Times New Roman"/>
          <w:lang w:val="hy-AM"/>
        </w:rPr>
        <w:t>իշխանության</w:t>
      </w:r>
      <w:r w:rsidRPr="0020592A">
        <w:rPr>
          <w:rFonts w:cs="Times New Roman"/>
          <w:lang w:val="af-ZA"/>
        </w:rPr>
        <w:t xml:space="preserve"> </w:t>
      </w:r>
      <w:r w:rsidRPr="0020592A">
        <w:rPr>
          <w:rFonts w:cs="Times New Roman"/>
          <w:lang w:val="hy-AM"/>
        </w:rPr>
        <w:t>մարմինների</w:t>
      </w:r>
      <w:r w:rsidRPr="0020592A">
        <w:rPr>
          <w:rFonts w:cs="Times New Roman"/>
          <w:lang w:val="af-ZA"/>
        </w:rPr>
        <w:t xml:space="preserve"> </w:t>
      </w:r>
      <w:r w:rsidRPr="0020592A">
        <w:rPr>
          <w:rFonts w:cs="Times New Roman"/>
          <w:lang w:val="hy-AM"/>
        </w:rPr>
        <w:t>գծով</w:t>
      </w:r>
      <w:r w:rsidRPr="0020592A">
        <w:rPr>
          <w:rFonts w:cs="Times New Roman"/>
          <w:lang w:val="af-ZA"/>
        </w:rPr>
        <w:t xml:space="preserve"> 2022-2024</w:t>
      </w:r>
      <w:r w:rsidRPr="0020592A">
        <w:rPr>
          <w:rFonts w:cs="Times New Roman"/>
          <w:lang w:val="hy-AM"/>
        </w:rPr>
        <w:t>թթ</w:t>
      </w:r>
      <w:r w:rsidRPr="0020592A">
        <w:rPr>
          <w:rFonts w:cs="Times New Roman"/>
          <w:lang w:val="af-ZA"/>
        </w:rPr>
        <w:t xml:space="preserve">. </w:t>
      </w:r>
      <w:r w:rsidRPr="0020592A">
        <w:rPr>
          <w:rFonts w:cs="Times New Roman"/>
          <w:lang w:val="hy-AM"/>
        </w:rPr>
        <w:t>ժամանակահատվածի</w:t>
      </w:r>
      <w:r w:rsidRPr="0020592A">
        <w:rPr>
          <w:rFonts w:cs="Times New Roman"/>
          <w:lang w:val="af-ZA"/>
        </w:rPr>
        <w:t xml:space="preserve"> </w:t>
      </w:r>
      <w:r w:rsidRPr="0020592A">
        <w:rPr>
          <w:rFonts w:cs="Times New Roman"/>
          <w:lang w:val="hy-AM"/>
        </w:rPr>
        <w:t>համար</w:t>
      </w:r>
      <w:r w:rsidRPr="0020592A">
        <w:rPr>
          <w:rFonts w:cs="Times New Roman"/>
          <w:lang w:val="af-ZA"/>
        </w:rPr>
        <w:t xml:space="preserve"> </w:t>
      </w:r>
      <w:r w:rsidRPr="0020592A">
        <w:rPr>
          <w:rFonts w:cs="Times New Roman"/>
          <w:lang w:val="hy-AM"/>
        </w:rPr>
        <w:t>ծրագ</w:t>
      </w:r>
      <w:r w:rsidRPr="0020592A">
        <w:rPr>
          <w:rFonts w:cs="Times New Roman"/>
          <w:lang w:val="af-ZA"/>
        </w:rPr>
        <w:softHyphen/>
      </w:r>
      <w:r w:rsidRPr="0020592A">
        <w:rPr>
          <w:rFonts w:cs="Times New Roman"/>
          <w:lang w:val="hy-AM"/>
        </w:rPr>
        <w:t>րա</w:t>
      </w:r>
      <w:r w:rsidRPr="0020592A">
        <w:rPr>
          <w:rFonts w:cs="Times New Roman"/>
          <w:lang w:val="af-ZA"/>
        </w:rPr>
        <w:softHyphen/>
      </w:r>
      <w:r w:rsidRPr="0020592A">
        <w:rPr>
          <w:rFonts w:cs="Times New Roman"/>
          <w:lang w:val="af-ZA"/>
        </w:rPr>
        <w:softHyphen/>
      </w:r>
      <w:r w:rsidRPr="0020592A">
        <w:rPr>
          <w:rFonts w:cs="Times New Roman"/>
          <w:lang w:val="af-ZA"/>
        </w:rPr>
        <w:softHyphen/>
      </w:r>
      <w:r w:rsidRPr="0020592A">
        <w:rPr>
          <w:rFonts w:cs="Times New Roman"/>
          <w:lang w:val="af-ZA"/>
        </w:rPr>
        <w:softHyphen/>
      </w:r>
      <w:r w:rsidRPr="0020592A">
        <w:rPr>
          <w:rFonts w:cs="Times New Roman"/>
          <w:lang w:val="af-ZA"/>
        </w:rPr>
        <w:softHyphen/>
      </w:r>
      <w:r w:rsidRPr="0020592A">
        <w:rPr>
          <w:rFonts w:cs="Times New Roman"/>
          <w:lang w:val="hy-AM"/>
        </w:rPr>
        <w:t>վոր</w:t>
      </w:r>
      <w:r w:rsidRPr="0020592A">
        <w:rPr>
          <w:rFonts w:cs="Times New Roman"/>
          <w:lang w:val="af-ZA"/>
        </w:rPr>
        <w:softHyphen/>
      </w:r>
      <w:r w:rsidRPr="0020592A">
        <w:rPr>
          <w:rFonts w:cs="Times New Roman"/>
          <w:lang w:val="hy-AM"/>
        </w:rPr>
        <w:t>ված</w:t>
      </w:r>
      <w:r w:rsidRPr="0020592A">
        <w:rPr>
          <w:rFonts w:cs="Times New Roman"/>
          <w:lang w:val="af-ZA"/>
        </w:rPr>
        <w:t xml:space="preserve"> </w:t>
      </w:r>
      <w:r w:rsidRPr="0020592A">
        <w:rPr>
          <w:rFonts w:cs="Times New Roman"/>
          <w:lang w:val="hy-AM"/>
        </w:rPr>
        <w:t>ծախսերը</w:t>
      </w:r>
      <w:r w:rsidRPr="0020592A">
        <w:rPr>
          <w:rFonts w:cs="Times New Roman"/>
          <w:lang w:val="af-ZA"/>
        </w:rPr>
        <w:t xml:space="preserve"> </w:t>
      </w:r>
      <w:r w:rsidRPr="0020592A">
        <w:rPr>
          <w:rFonts w:cs="Times New Roman"/>
          <w:lang w:val="hy-AM"/>
        </w:rPr>
        <w:t>ներկայացված</w:t>
      </w:r>
      <w:r w:rsidRPr="0020592A">
        <w:rPr>
          <w:rFonts w:cs="Times New Roman"/>
          <w:lang w:val="af-ZA"/>
        </w:rPr>
        <w:t xml:space="preserve"> </w:t>
      </w:r>
      <w:r w:rsidRPr="0020592A">
        <w:rPr>
          <w:rFonts w:cs="Times New Roman"/>
          <w:lang w:val="hy-AM"/>
        </w:rPr>
        <w:t>են</w:t>
      </w:r>
      <w:r w:rsidRPr="0020592A">
        <w:rPr>
          <w:rFonts w:cs="Times New Roman"/>
          <w:lang w:val="af-ZA"/>
        </w:rPr>
        <w:t xml:space="preserve"> </w:t>
      </w:r>
      <w:r w:rsidRPr="0020592A">
        <w:rPr>
          <w:rFonts w:cs="Times New Roman"/>
          <w:lang w:val="hy-AM"/>
        </w:rPr>
        <w:t>ստորև</w:t>
      </w:r>
      <w:r w:rsidRPr="0020592A">
        <w:rPr>
          <w:rFonts w:cs="Times New Roman"/>
          <w:lang w:val="af-ZA"/>
        </w:rPr>
        <w:t xml:space="preserve"> </w:t>
      </w:r>
      <w:r w:rsidRPr="0020592A">
        <w:rPr>
          <w:rFonts w:cs="Times New Roman"/>
          <w:lang w:val="hy-AM"/>
        </w:rPr>
        <w:t>բերված</w:t>
      </w:r>
      <w:r w:rsidRPr="0020592A">
        <w:rPr>
          <w:rFonts w:cs="Times New Roman"/>
          <w:lang w:val="af-ZA"/>
        </w:rPr>
        <w:t xml:space="preserve"> </w:t>
      </w:r>
      <w:r w:rsidRPr="0020592A">
        <w:rPr>
          <w:rFonts w:cs="Times New Roman"/>
          <w:lang w:val="hy-AM"/>
        </w:rPr>
        <w:t>աղյուսակում</w:t>
      </w:r>
      <w:r w:rsidRPr="0020592A">
        <w:rPr>
          <w:rFonts w:cs="Times New Roman"/>
          <w:lang w:val="af-ZA"/>
        </w:rPr>
        <w:t>.</w:t>
      </w:r>
    </w:p>
    <w:p w14:paraId="288CEB51" w14:textId="77777777" w:rsidR="00FA0954" w:rsidRPr="0020592A" w:rsidRDefault="00FA0954" w:rsidP="00FA0954">
      <w:pPr>
        <w:spacing w:line="276" w:lineRule="auto"/>
        <w:ind w:firstLine="708"/>
        <w:rPr>
          <w:rFonts w:cs="Times New Roman"/>
          <w:bCs/>
          <w:lang w:val="af-ZA"/>
        </w:rPr>
      </w:pPr>
    </w:p>
    <w:p w14:paraId="412C3DC5" w14:textId="77777777" w:rsidR="00FA0954" w:rsidRPr="0020592A" w:rsidRDefault="00FA0954" w:rsidP="00FA0954">
      <w:pPr>
        <w:tabs>
          <w:tab w:val="left" w:pos="7560"/>
        </w:tabs>
        <w:spacing w:line="276" w:lineRule="auto"/>
        <w:rPr>
          <w:rFonts w:cs="Times New Roman"/>
          <w:bCs/>
          <w:lang w:val="hy-AM"/>
        </w:rPr>
      </w:pPr>
      <w:r w:rsidRPr="0020592A">
        <w:rPr>
          <w:rFonts w:cs="Times New Roman"/>
          <w:lang w:val="it-IT"/>
        </w:rPr>
        <w:t xml:space="preserve">                                              </w:t>
      </w:r>
      <w:r w:rsidRPr="0020592A">
        <w:rPr>
          <w:rFonts w:cs="Times New Roman"/>
          <w:lang w:val="af-ZA"/>
        </w:rPr>
        <w:tab/>
      </w:r>
      <w:r w:rsidRPr="0020592A">
        <w:rPr>
          <w:rFonts w:cs="Times New Roman"/>
          <w:lang w:val="af-ZA"/>
        </w:rPr>
        <w:tab/>
        <w:t xml:space="preserve">    </w:t>
      </w:r>
      <w:r w:rsidRPr="0020592A">
        <w:rPr>
          <w:rFonts w:cs="Times New Roman"/>
        </w:rPr>
        <w:t>(</w:t>
      </w:r>
      <w:r w:rsidRPr="0020592A">
        <w:rPr>
          <w:rFonts w:cs="Times New Roman"/>
          <w:lang w:val="hy-AM"/>
        </w:rPr>
        <w:t>հազ դրամ</w:t>
      </w:r>
      <w:r w:rsidRPr="0020592A">
        <w:rPr>
          <w:rFonts w:cs="Times New Roman"/>
        </w:rPr>
        <w:t>)</w:t>
      </w:r>
      <w:r w:rsidRPr="0020592A">
        <w:rPr>
          <w:rFonts w:cs="Times New Roman"/>
          <w:lang w:val="af-ZA"/>
        </w:rPr>
        <w:tab/>
      </w:r>
      <w:r w:rsidRPr="0020592A">
        <w:rPr>
          <w:rFonts w:cs="Times New Roman"/>
          <w:lang w:val="af-ZA"/>
        </w:rPr>
        <w:tab/>
      </w:r>
    </w:p>
    <w:tbl>
      <w:tblPr>
        <w:tblW w:w="9459" w:type="dxa"/>
        <w:tblInd w:w="288" w:type="dxa"/>
        <w:tblLook w:val="04A0" w:firstRow="1" w:lastRow="0" w:firstColumn="1" w:lastColumn="0" w:noHBand="0" w:noVBand="1"/>
      </w:tblPr>
      <w:tblGrid>
        <w:gridCol w:w="3004"/>
        <w:gridCol w:w="2188"/>
        <w:gridCol w:w="2147"/>
        <w:gridCol w:w="2120"/>
      </w:tblGrid>
      <w:tr w:rsidR="00FA0954" w:rsidRPr="0020592A" w14:paraId="26D2F10A" w14:textId="77777777" w:rsidTr="00343192">
        <w:trPr>
          <w:trHeight w:val="345"/>
        </w:trPr>
        <w:tc>
          <w:tcPr>
            <w:tcW w:w="3004" w:type="dxa"/>
            <w:tcBorders>
              <w:top w:val="single" w:sz="8" w:space="0" w:color="auto"/>
              <w:left w:val="single" w:sz="8" w:space="0" w:color="auto"/>
              <w:bottom w:val="single" w:sz="8" w:space="0" w:color="auto"/>
              <w:right w:val="single" w:sz="8" w:space="0" w:color="auto"/>
            </w:tcBorders>
            <w:shd w:val="clear" w:color="000000" w:fill="4F81BD"/>
            <w:vAlign w:val="center"/>
            <w:hideMark/>
          </w:tcPr>
          <w:p w14:paraId="594A8302" w14:textId="77777777" w:rsidR="00FA0954" w:rsidRPr="0020592A" w:rsidRDefault="00FA0954" w:rsidP="00FA0954">
            <w:pPr>
              <w:spacing w:line="276" w:lineRule="auto"/>
              <w:ind w:firstLine="0"/>
              <w:rPr>
                <w:rFonts w:cs="Courier New"/>
                <w:bCs/>
                <w:color w:val="FFFFFF"/>
              </w:rPr>
            </w:pPr>
            <w:r w:rsidRPr="0020592A">
              <w:rPr>
                <w:rFonts w:ascii="Courier New" w:hAnsi="Courier New" w:cs="Courier New"/>
                <w:color w:val="FFFFFF"/>
              </w:rPr>
              <w:t> </w:t>
            </w:r>
          </w:p>
        </w:tc>
        <w:tc>
          <w:tcPr>
            <w:tcW w:w="2188" w:type="dxa"/>
            <w:tcBorders>
              <w:top w:val="single" w:sz="8" w:space="0" w:color="auto"/>
              <w:left w:val="nil"/>
              <w:bottom w:val="single" w:sz="8" w:space="0" w:color="auto"/>
              <w:right w:val="single" w:sz="8" w:space="0" w:color="auto"/>
            </w:tcBorders>
            <w:shd w:val="clear" w:color="000000" w:fill="4F81BD"/>
            <w:vAlign w:val="center"/>
            <w:hideMark/>
          </w:tcPr>
          <w:p w14:paraId="1A90D8C4" w14:textId="77777777" w:rsidR="00FA0954" w:rsidRPr="0020592A" w:rsidRDefault="00FA0954" w:rsidP="00FA0954">
            <w:pPr>
              <w:spacing w:line="276" w:lineRule="auto"/>
              <w:ind w:firstLine="0"/>
              <w:jc w:val="center"/>
              <w:rPr>
                <w:rFonts w:cs="Times New Roman"/>
                <w:bCs/>
                <w:color w:val="FFFFFF"/>
              </w:rPr>
            </w:pPr>
            <w:r w:rsidRPr="0020592A">
              <w:rPr>
                <w:rFonts w:cs="Times New Roman"/>
                <w:color w:val="FFFFFF"/>
              </w:rPr>
              <w:t>2022թ.</w:t>
            </w:r>
          </w:p>
        </w:tc>
        <w:tc>
          <w:tcPr>
            <w:tcW w:w="2147" w:type="dxa"/>
            <w:tcBorders>
              <w:top w:val="single" w:sz="8" w:space="0" w:color="auto"/>
              <w:left w:val="nil"/>
              <w:bottom w:val="single" w:sz="8" w:space="0" w:color="auto"/>
              <w:right w:val="single" w:sz="8" w:space="0" w:color="auto"/>
            </w:tcBorders>
            <w:shd w:val="clear" w:color="000000" w:fill="4F81BD"/>
            <w:vAlign w:val="center"/>
            <w:hideMark/>
          </w:tcPr>
          <w:p w14:paraId="41D8A667" w14:textId="77777777" w:rsidR="00FA0954" w:rsidRPr="0020592A" w:rsidRDefault="00FA0954" w:rsidP="00FA0954">
            <w:pPr>
              <w:spacing w:line="276" w:lineRule="auto"/>
              <w:ind w:firstLine="0"/>
              <w:jc w:val="center"/>
              <w:rPr>
                <w:rFonts w:cs="Times New Roman"/>
                <w:bCs/>
                <w:color w:val="FFFFFF"/>
              </w:rPr>
            </w:pPr>
            <w:r w:rsidRPr="0020592A">
              <w:rPr>
                <w:rFonts w:cs="Times New Roman"/>
                <w:color w:val="FFFFFF"/>
              </w:rPr>
              <w:t>2023թ.</w:t>
            </w:r>
          </w:p>
        </w:tc>
        <w:tc>
          <w:tcPr>
            <w:tcW w:w="2120" w:type="dxa"/>
            <w:tcBorders>
              <w:top w:val="single" w:sz="8" w:space="0" w:color="auto"/>
              <w:left w:val="nil"/>
              <w:bottom w:val="single" w:sz="8" w:space="0" w:color="auto"/>
              <w:right w:val="single" w:sz="8" w:space="0" w:color="auto"/>
            </w:tcBorders>
            <w:shd w:val="clear" w:color="000000" w:fill="4F81BD"/>
            <w:vAlign w:val="center"/>
            <w:hideMark/>
          </w:tcPr>
          <w:p w14:paraId="2F749709" w14:textId="77777777" w:rsidR="00FA0954" w:rsidRPr="0020592A" w:rsidRDefault="00FA0954" w:rsidP="00FA0954">
            <w:pPr>
              <w:spacing w:line="276" w:lineRule="auto"/>
              <w:ind w:firstLine="0"/>
              <w:jc w:val="center"/>
              <w:rPr>
                <w:rFonts w:cs="Times New Roman"/>
                <w:bCs/>
                <w:color w:val="FFFFFF"/>
              </w:rPr>
            </w:pPr>
            <w:r w:rsidRPr="0020592A">
              <w:rPr>
                <w:rFonts w:cs="Times New Roman"/>
                <w:color w:val="FFFFFF"/>
              </w:rPr>
              <w:t>2024թ.</w:t>
            </w:r>
          </w:p>
        </w:tc>
      </w:tr>
      <w:tr w:rsidR="00343192" w:rsidRPr="0020592A" w14:paraId="45272D4D" w14:textId="77777777" w:rsidTr="00343192">
        <w:trPr>
          <w:trHeight w:val="1005"/>
        </w:trPr>
        <w:tc>
          <w:tcPr>
            <w:tcW w:w="3004" w:type="dxa"/>
            <w:tcBorders>
              <w:top w:val="nil"/>
              <w:left w:val="single" w:sz="8" w:space="0" w:color="auto"/>
              <w:bottom w:val="single" w:sz="8" w:space="0" w:color="auto"/>
              <w:right w:val="single" w:sz="8" w:space="0" w:color="auto"/>
            </w:tcBorders>
            <w:shd w:val="clear" w:color="000000" w:fill="FFFFFF"/>
            <w:vAlign w:val="center"/>
            <w:hideMark/>
          </w:tcPr>
          <w:p w14:paraId="0575CC07" w14:textId="77777777" w:rsidR="00343192" w:rsidRPr="0020592A" w:rsidRDefault="00343192" w:rsidP="00343192">
            <w:pPr>
              <w:spacing w:line="276" w:lineRule="auto"/>
              <w:ind w:firstLine="0"/>
              <w:jc w:val="left"/>
              <w:rPr>
                <w:rFonts w:cs="Times New Roman"/>
                <w:bCs/>
              </w:rPr>
            </w:pPr>
            <w:r w:rsidRPr="0020592A">
              <w:rPr>
                <w:rFonts w:cs="Times New Roman"/>
              </w:rPr>
              <w:t>Հանրային իշխանության մարմինների պահպանման ծախսեր</w:t>
            </w:r>
          </w:p>
        </w:tc>
        <w:tc>
          <w:tcPr>
            <w:tcW w:w="2188" w:type="dxa"/>
            <w:tcBorders>
              <w:top w:val="nil"/>
              <w:left w:val="nil"/>
              <w:bottom w:val="single" w:sz="8" w:space="0" w:color="auto"/>
              <w:right w:val="single" w:sz="8" w:space="0" w:color="auto"/>
            </w:tcBorders>
            <w:shd w:val="clear" w:color="000000" w:fill="FFFFFF"/>
            <w:vAlign w:val="center"/>
            <w:hideMark/>
          </w:tcPr>
          <w:p w14:paraId="1320CF49" w14:textId="77777777" w:rsidR="00343192" w:rsidRPr="00343192" w:rsidRDefault="00343192" w:rsidP="00343192">
            <w:pPr>
              <w:spacing w:line="240" w:lineRule="auto"/>
              <w:ind w:firstLine="0"/>
              <w:jc w:val="center"/>
              <w:rPr>
                <w:rFonts w:cs="Times New Roman"/>
                <w:bCs/>
              </w:rPr>
            </w:pPr>
            <w:r w:rsidRPr="00343192">
              <w:rPr>
                <w:rFonts w:cs="Times New Roman"/>
              </w:rPr>
              <w:t xml:space="preserve">       128,868,864.5 </w:t>
            </w:r>
          </w:p>
        </w:tc>
        <w:tc>
          <w:tcPr>
            <w:tcW w:w="2147" w:type="dxa"/>
            <w:tcBorders>
              <w:top w:val="nil"/>
              <w:left w:val="nil"/>
              <w:bottom w:val="single" w:sz="8" w:space="0" w:color="auto"/>
              <w:right w:val="single" w:sz="8" w:space="0" w:color="auto"/>
            </w:tcBorders>
            <w:shd w:val="clear" w:color="000000" w:fill="FFFFFF"/>
            <w:vAlign w:val="center"/>
            <w:hideMark/>
          </w:tcPr>
          <w:p w14:paraId="6CBCD379" w14:textId="77777777" w:rsidR="00343192" w:rsidRPr="00343192" w:rsidRDefault="00343192" w:rsidP="00343192">
            <w:pPr>
              <w:spacing w:line="240" w:lineRule="auto"/>
              <w:ind w:firstLine="0"/>
              <w:jc w:val="center"/>
              <w:rPr>
                <w:rFonts w:cs="Times New Roman"/>
                <w:bCs/>
              </w:rPr>
            </w:pPr>
            <w:r w:rsidRPr="00343192">
              <w:rPr>
                <w:rFonts w:cs="Times New Roman"/>
              </w:rPr>
              <w:t xml:space="preserve">      129,983,328.5 </w:t>
            </w:r>
          </w:p>
        </w:tc>
        <w:tc>
          <w:tcPr>
            <w:tcW w:w="2120" w:type="dxa"/>
            <w:tcBorders>
              <w:top w:val="nil"/>
              <w:left w:val="nil"/>
              <w:bottom w:val="single" w:sz="8" w:space="0" w:color="auto"/>
              <w:right w:val="single" w:sz="8" w:space="0" w:color="auto"/>
            </w:tcBorders>
            <w:shd w:val="clear" w:color="000000" w:fill="FFFFFF"/>
            <w:vAlign w:val="center"/>
            <w:hideMark/>
          </w:tcPr>
          <w:p w14:paraId="2309AC64" w14:textId="77777777" w:rsidR="00343192" w:rsidRPr="00343192" w:rsidRDefault="00343192" w:rsidP="00343192">
            <w:pPr>
              <w:spacing w:line="240" w:lineRule="auto"/>
              <w:ind w:firstLine="0"/>
              <w:jc w:val="center"/>
              <w:rPr>
                <w:rFonts w:cs="Times New Roman"/>
                <w:bCs/>
              </w:rPr>
            </w:pPr>
            <w:r w:rsidRPr="00343192">
              <w:rPr>
                <w:rFonts w:cs="Times New Roman"/>
              </w:rPr>
              <w:t xml:space="preserve">      130,792,960.6 </w:t>
            </w:r>
          </w:p>
        </w:tc>
      </w:tr>
      <w:tr w:rsidR="00343192" w:rsidRPr="0020592A" w14:paraId="62CC04D8" w14:textId="77777777" w:rsidTr="00343192">
        <w:trPr>
          <w:trHeight w:val="1335"/>
        </w:trPr>
        <w:tc>
          <w:tcPr>
            <w:tcW w:w="3004" w:type="dxa"/>
            <w:tcBorders>
              <w:top w:val="nil"/>
              <w:left w:val="single" w:sz="8" w:space="0" w:color="auto"/>
              <w:bottom w:val="single" w:sz="8" w:space="0" w:color="auto"/>
              <w:right w:val="single" w:sz="8" w:space="0" w:color="auto"/>
            </w:tcBorders>
            <w:shd w:val="clear" w:color="000000" w:fill="FFFFFF"/>
            <w:vAlign w:val="center"/>
            <w:hideMark/>
          </w:tcPr>
          <w:p w14:paraId="0B01CCED" w14:textId="77777777" w:rsidR="00343192" w:rsidRPr="0020592A" w:rsidRDefault="00343192" w:rsidP="00343192">
            <w:pPr>
              <w:spacing w:line="276" w:lineRule="auto"/>
              <w:ind w:firstLine="0"/>
              <w:jc w:val="left"/>
              <w:rPr>
                <w:rFonts w:cs="Times New Roman"/>
                <w:bCs/>
              </w:rPr>
            </w:pPr>
            <w:r w:rsidRPr="0020592A">
              <w:rPr>
                <w:rFonts w:cs="Times New Roman"/>
              </w:rPr>
              <w:t>Հերթական՝ մարդահամարի նախապատրաստման, անցկացման և ամփոփման աշխատանքներ</w:t>
            </w:r>
          </w:p>
        </w:tc>
        <w:tc>
          <w:tcPr>
            <w:tcW w:w="2188" w:type="dxa"/>
            <w:tcBorders>
              <w:top w:val="nil"/>
              <w:left w:val="nil"/>
              <w:bottom w:val="single" w:sz="8" w:space="0" w:color="auto"/>
              <w:right w:val="single" w:sz="8" w:space="0" w:color="auto"/>
            </w:tcBorders>
            <w:shd w:val="clear" w:color="000000" w:fill="FFFFFF"/>
            <w:vAlign w:val="center"/>
            <w:hideMark/>
          </w:tcPr>
          <w:p w14:paraId="5F1F4D6D" w14:textId="77777777" w:rsidR="00343192" w:rsidRPr="00343192" w:rsidRDefault="00343192" w:rsidP="00343192">
            <w:pPr>
              <w:spacing w:line="240" w:lineRule="auto"/>
              <w:ind w:firstLine="0"/>
              <w:jc w:val="center"/>
              <w:rPr>
                <w:rFonts w:cs="Times New Roman"/>
                <w:bCs/>
              </w:rPr>
            </w:pPr>
            <w:r w:rsidRPr="00343192">
              <w:rPr>
                <w:rFonts w:cs="Times New Roman"/>
              </w:rPr>
              <w:t xml:space="preserve">            995,589.8 </w:t>
            </w:r>
          </w:p>
        </w:tc>
        <w:tc>
          <w:tcPr>
            <w:tcW w:w="2147" w:type="dxa"/>
            <w:tcBorders>
              <w:top w:val="nil"/>
              <w:left w:val="nil"/>
              <w:bottom w:val="single" w:sz="8" w:space="0" w:color="auto"/>
              <w:right w:val="single" w:sz="8" w:space="0" w:color="auto"/>
            </w:tcBorders>
            <w:shd w:val="clear" w:color="000000" w:fill="FFFFFF"/>
            <w:vAlign w:val="center"/>
            <w:hideMark/>
          </w:tcPr>
          <w:p w14:paraId="4EEA4AAE" w14:textId="77777777" w:rsidR="00343192" w:rsidRPr="00343192" w:rsidRDefault="00343192" w:rsidP="00343192">
            <w:pPr>
              <w:spacing w:line="240" w:lineRule="auto"/>
              <w:ind w:firstLine="0"/>
              <w:jc w:val="center"/>
              <w:rPr>
                <w:rFonts w:cs="Times New Roman"/>
                <w:bCs/>
              </w:rPr>
            </w:pPr>
            <w:r w:rsidRPr="00343192">
              <w:rPr>
                <w:rFonts w:cs="Times New Roman"/>
              </w:rPr>
              <w:t xml:space="preserve">             78,755.2 </w:t>
            </w:r>
          </w:p>
        </w:tc>
        <w:tc>
          <w:tcPr>
            <w:tcW w:w="2120" w:type="dxa"/>
            <w:tcBorders>
              <w:top w:val="nil"/>
              <w:left w:val="nil"/>
              <w:bottom w:val="single" w:sz="8" w:space="0" w:color="auto"/>
              <w:right w:val="single" w:sz="8" w:space="0" w:color="auto"/>
            </w:tcBorders>
            <w:shd w:val="clear" w:color="000000" w:fill="FFFFFF"/>
            <w:vAlign w:val="center"/>
            <w:hideMark/>
          </w:tcPr>
          <w:p w14:paraId="0D3FC743" w14:textId="77777777" w:rsidR="00343192" w:rsidRPr="00343192" w:rsidRDefault="00343192" w:rsidP="00343192">
            <w:pPr>
              <w:spacing w:line="240" w:lineRule="auto"/>
              <w:ind w:firstLine="0"/>
              <w:jc w:val="left"/>
              <w:rPr>
                <w:rFonts w:cs="Times New Roman"/>
                <w:bCs/>
              </w:rPr>
            </w:pPr>
            <w:r w:rsidRPr="00343192">
              <w:rPr>
                <w:rFonts w:ascii="Courier New" w:hAnsi="Courier New" w:cs="Courier New"/>
              </w:rPr>
              <w:t> </w:t>
            </w:r>
          </w:p>
        </w:tc>
      </w:tr>
      <w:tr w:rsidR="00343192" w:rsidRPr="0020592A" w14:paraId="3C9BC074" w14:textId="77777777" w:rsidTr="00343192">
        <w:trPr>
          <w:trHeight w:val="675"/>
        </w:trPr>
        <w:tc>
          <w:tcPr>
            <w:tcW w:w="3004" w:type="dxa"/>
            <w:tcBorders>
              <w:top w:val="nil"/>
              <w:left w:val="single" w:sz="8" w:space="0" w:color="auto"/>
              <w:bottom w:val="single" w:sz="8" w:space="0" w:color="auto"/>
              <w:right w:val="single" w:sz="8" w:space="0" w:color="auto"/>
            </w:tcBorders>
            <w:shd w:val="clear" w:color="000000" w:fill="FFFFFF"/>
            <w:vAlign w:val="center"/>
            <w:hideMark/>
          </w:tcPr>
          <w:p w14:paraId="47E2B274" w14:textId="77777777" w:rsidR="00343192" w:rsidRPr="0020592A" w:rsidRDefault="00343192" w:rsidP="00343192">
            <w:pPr>
              <w:spacing w:line="276" w:lineRule="auto"/>
              <w:ind w:firstLine="0"/>
              <w:jc w:val="left"/>
              <w:rPr>
                <w:rFonts w:cs="Times New Roman"/>
                <w:bCs/>
              </w:rPr>
            </w:pPr>
            <w:r w:rsidRPr="0020592A">
              <w:rPr>
                <w:rFonts w:cs="Times New Roman"/>
              </w:rPr>
              <w:t>Տեղական ինքնակառավարման մարմինների ընտրություններ</w:t>
            </w:r>
          </w:p>
        </w:tc>
        <w:tc>
          <w:tcPr>
            <w:tcW w:w="2188" w:type="dxa"/>
            <w:tcBorders>
              <w:top w:val="nil"/>
              <w:left w:val="nil"/>
              <w:bottom w:val="single" w:sz="8" w:space="0" w:color="auto"/>
              <w:right w:val="single" w:sz="8" w:space="0" w:color="auto"/>
            </w:tcBorders>
            <w:shd w:val="clear" w:color="000000" w:fill="FFFFFF"/>
            <w:vAlign w:val="center"/>
            <w:hideMark/>
          </w:tcPr>
          <w:p w14:paraId="5EE4D9C4" w14:textId="77777777" w:rsidR="00343192" w:rsidRPr="00343192" w:rsidRDefault="00343192" w:rsidP="00343192">
            <w:pPr>
              <w:spacing w:line="240" w:lineRule="auto"/>
              <w:ind w:firstLine="0"/>
              <w:jc w:val="center"/>
              <w:rPr>
                <w:rFonts w:cs="Times New Roman"/>
                <w:bCs/>
              </w:rPr>
            </w:pPr>
            <w:r w:rsidRPr="00343192">
              <w:rPr>
                <w:rFonts w:cs="Times New Roman"/>
              </w:rPr>
              <w:t xml:space="preserve">             828,024.0 </w:t>
            </w:r>
          </w:p>
        </w:tc>
        <w:tc>
          <w:tcPr>
            <w:tcW w:w="2147" w:type="dxa"/>
            <w:tcBorders>
              <w:top w:val="nil"/>
              <w:left w:val="nil"/>
              <w:bottom w:val="single" w:sz="8" w:space="0" w:color="auto"/>
              <w:right w:val="single" w:sz="8" w:space="0" w:color="auto"/>
            </w:tcBorders>
            <w:shd w:val="clear" w:color="000000" w:fill="FFFFFF"/>
            <w:vAlign w:val="center"/>
            <w:hideMark/>
          </w:tcPr>
          <w:p w14:paraId="0C8314F0" w14:textId="77777777" w:rsidR="00343192" w:rsidRPr="00343192" w:rsidRDefault="00343192" w:rsidP="00343192">
            <w:pPr>
              <w:spacing w:line="240" w:lineRule="auto"/>
              <w:ind w:firstLine="0"/>
              <w:jc w:val="center"/>
              <w:rPr>
                <w:rFonts w:cs="Times New Roman"/>
                <w:bCs/>
              </w:rPr>
            </w:pPr>
            <w:r w:rsidRPr="00343192">
              <w:rPr>
                <w:rFonts w:cs="Times New Roman"/>
              </w:rPr>
              <w:t xml:space="preserve">            828,024.0 </w:t>
            </w:r>
          </w:p>
        </w:tc>
        <w:tc>
          <w:tcPr>
            <w:tcW w:w="2120" w:type="dxa"/>
            <w:tcBorders>
              <w:top w:val="nil"/>
              <w:left w:val="nil"/>
              <w:bottom w:val="single" w:sz="8" w:space="0" w:color="auto"/>
              <w:right w:val="single" w:sz="8" w:space="0" w:color="auto"/>
            </w:tcBorders>
            <w:shd w:val="clear" w:color="000000" w:fill="FFFFFF"/>
            <w:vAlign w:val="center"/>
            <w:hideMark/>
          </w:tcPr>
          <w:p w14:paraId="1BC701C6" w14:textId="77777777" w:rsidR="00343192" w:rsidRPr="00343192" w:rsidRDefault="00343192" w:rsidP="00343192">
            <w:pPr>
              <w:spacing w:line="240" w:lineRule="auto"/>
              <w:ind w:firstLine="0"/>
              <w:jc w:val="center"/>
              <w:rPr>
                <w:rFonts w:cs="Times New Roman"/>
                <w:bCs/>
              </w:rPr>
            </w:pPr>
            <w:r w:rsidRPr="00343192">
              <w:rPr>
                <w:rFonts w:cs="Times New Roman"/>
              </w:rPr>
              <w:t xml:space="preserve">            828,024.0 </w:t>
            </w:r>
          </w:p>
        </w:tc>
      </w:tr>
      <w:tr w:rsidR="00343192" w:rsidRPr="0020592A" w14:paraId="1427DE3D" w14:textId="77777777" w:rsidTr="00343192">
        <w:trPr>
          <w:trHeight w:val="795"/>
        </w:trPr>
        <w:tc>
          <w:tcPr>
            <w:tcW w:w="3004" w:type="dxa"/>
            <w:tcBorders>
              <w:top w:val="nil"/>
              <w:left w:val="single" w:sz="8" w:space="0" w:color="auto"/>
              <w:bottom w:val="single" w:sz="8" w:space="0" w:color="auto"/>
              <w:right w:val="single" w:sz="8" w:space="0" w:color="auto"/>
            </w:tcBorders>
            <w:shd w:val="clear" w:color="000000" w:fill="FFFFFF"/>
            <w:vAlign w:val="center"/>
            <w:hideMark/>
          </w:tcPr>
          <w:p w14:paraId="3E32EC78" w14:textId="77777777" w:rsidR="00343192" w:rsidRPr="0020592A" w:rsidRDefault="00343192" w:rsidP="00343192">
            <w:pPr>
              <w:spacing w:line="276" w:lineRule="auto"/>
              <w:ind w:firstLine="0"/>
              <w:jc w:val="left"/>
              <w:rPr>
                <w:rFonts w:cs="Times New Roman"/>
                <w:bCs/>
              </w:rPr>
            </w:pPr>
            <w:r w:rsidRPr="0020592A">
              <w:rPr>
                <w:rFonts w:cs="Times New Roman"/>
              </w:rPr>
              <w:t>Երևանի ավագանու հերթական ընտրություններ</w:t>
            </w:r>
          </w:p>
        </w:tc>
        <w:tc>
          <w:tcPr>
            <w:tcW w:w="2188" w:type="dxa"/>
            <w:tcBorders>
              <w:top w:val="nil"/>
              <w:left w:val="nil"/>
              <w:bottom w:val="single" w:sz="8" w:space="0" w:color="auto"/>
              <w:right w:val="single" w:sz="8" w:space="0" w:color="auto"/>
            </w:tcBorders>
            <w:shd w:val="clear" w:color="000000" w:fill="FFFFFF"/>
            <w:vAlign w:val="center"/>
            <w:hideMark/>
          </w:tcPr>
          <w:p w14:paraId="42A698A0" w14:textId="77777777" w:rsidR="00343192" w:rsidRPr="00343192" w:rsidRDefault="00343192" w:rsidP="00343192">
            <w:pPr>
              <w:spacing w:line="240" w:lineRule="auto"/>
              <w:ind w:firstLine="0"/>
              <w:jc w:val="left"/>
              <w:rPr>
                <w:rFonts w:cs="Times New Roman"/>
                <w:bCs/>
              </w:rPr>
            </w:pPr>
            <w:r w:rsidRPr="00343192">
              <w:rPr>
                <w:rFonts w:ascii="Courier New" w:hAnsi="Courier New" w:cs="Courier New"/>
              </w:rPr>
              <w:t> </w:t>
            </w:r>
          </w:p>
        </w:tc>
        <w:tc>
          <w:tcPr>
            <w:tcW w:w="2147" w:type="dxa"/>
            <w:tcBorders>
              <w:top w:val="nil"/>
              <w:left w:val="nil"/>
              <w:bottom w:val="single" w:sz="8" w:space="0" w:color="auto"/>
              <w:right w:val="single" w:sz="8" w:space="0" w:color="auto"/>
            </w:tcBorders>
            <w:shd w:val="clear" w:color="000000" w:fill="FFFFFF"/>
            <w:vAlign w:val="center"/>
            <w:hideMark/>
          </w:tcPr>
          <w:p w14:paraId="0C3A1496" w14:textId="77777777" w:rsidR="00343192" w:rsidRPr="00343192" w:rsidRDefault="00343192" w:rsidP="00343192">
            <w:pPr>
              <w:spacing w:line="240" w:lineRule="auto"/>
              <w:ind w:firstLine="0"/>
              <w:jc w:val="center"/>
              <w:rPr>
                <w:rFonts w:cs="Times New Roman"/>
                <w:bCs/>
              </w:rPr>
            </w:pPr>
            <w:r w:rsidRPr="00343192">
              <w:rPr>
                <w:rFonts w:cs="Times New Roman"/>
              </w:rPr>
              <w:t xml:space="preserve">            706,681.1 </w:t>
            </w:r>
          </w:p>
        </w:tc>
        <w:tc>
          <w:tcPr>
            <w:tcW w:w="2120" w:type="dxa"/>
            <w:tcBorders>
              <w:top w:val="nil"/>
              <w:left w:val="nil"/>
              <w:bottom w:val="single" w:sz="8" w:space="0" w:color="auto"/>
              <w:right w:val="single" w:sz="8" w:space="0" w:color="auto"/>
            </w:tcBorders>
            <w:shd w:val="clear" w:color="000000" w:fill="FFFFFF"/>
            <w:vAlign w:val="center"/>
            <w:hideMark/>
          </w:tcPr>
          <w:p w14:paraId="2B346588" w14:textId="77777777" w:rsidR="00343192" w:rsidRPr="00343192" w:rsidRDefault="00343192" w:rsidP="00343192">
            <w:pPr>
              <w:spacing w:line="240" w:lineRule="auto"/>
              <w:ind w:firstLine="0"/>
              <w:jc w:val="center"/>
              <w:rPr>
                <w:rFonts w:cs="Times New Roman"/>
                <w:bCs/>
              </w:rPr>
            </w:pPr>
            <w:r w:rsidRPr="00343192">
              <w:rPr>
                <w:rFonts w:ascii="Courier New" w:hAnsi="Courier New" w:cs="Courier New"/>
              </w:rPr>
              <w:t> </w:t>
            </w:r>
          </w:p>
        </w:tc>
      </w:tr>
    </w:tbl>
    <w:p w14:paraId="588576BE" w14:textId="77777777" w:rsidR="00FA0954" w:rsidRPr="0020592A" w:rsidRDefault="00FA0954" w:rsidP="00FA0954">
      <w:pPr>
        <w:spacing w:line="276" w:lineRule="auto"/>
      </w:pPr>
    </w:p>
    <w:p w14:paraId="132933CA" w14:textId="77777777" w:rsidR="00FA0954" w:rsidRPr="00564490" w:rsidRDefault="00FA0954" w:rsidP="00FA0954"/>
    <w:p w14:paraId="2EB47AEA" w14:textId="77777777" w:rsidR="00FA0954" w:rsidRPr="00564490" w:rsidRDefault="00FA0954" w:rsidP="00FA0954">
      <w:pPr>
        <w:ind w:firstLine="720"/>
      </w:pPr>
      <w:r w:rsidRPr="00564490">
        <w:br w:type="page"/>
      </w:r>
    </w:p>
    <w:p w14:paraId="5CDC3521" w14:textId="77777777" w:rsidR="00FA0954" w:rsidRPr="00F832B2" w:rsidRDefault="00EC4BA1" w:rsidP="00EC4BA1">
      <w:pPr>
        <w:pStyle w:val="Heading3"/>
        <w:spacing w:before="0" w:after="120" w:line="276" w:lineRule="auto"/>
        <w:jc w:val="both"/>
        <w:rPr>
          <w:rFonts w:eastAsia="Times New Roman" w:cs="Times New Roman"/>
          <w:caps w:val="0"/>
          <w:color w:val="1F497D" w:themeColor="text2"/>
          <w:sz w:val="28"/>
          <w:szCs w:val="28"/>
        </w:rPr>
      </w:pPr>
      <w:bookmarkStart w:id="645" w:name="_Toc77837891"/>
      <w:bookmarkStart w:id="646" w:name="_Toc46154377"/>
      <w:r w:rsidRPr="00F832B2">
        <w:rPr>
          <w:rFonts w:eastAsia="Times New Roman" w:cs="Times New Roman"/>
          <w:caps w:val="0"/>
          <w:color w:val="1F497D" w:themeColor="text2"/>
          <w:sz w:val="28"/>
          <w:szCs w:val="28"/>
          <w:lang w:val="en-US"/>
        </w:rPr>
        <w:t xml:space="preserve">22. </w:t>
      </w:r>
      <w:r w:rsidRPr="00F832B2">
        <w:rPr>
          <w:rFonts w:eastAsia="Times New Roman" w:cs="Times New Roman"/>
          <w:caps w:val="0"/>
          <w:color w:val="1F497D" w:themeColor="text2"/>
          <w:sz w:val="28"/>
          <w:szCs w:val="28"/>
        </w:rPr>
        <w:t>ՀԱՆՐԱՅԻՆ ԻՇԽԱՆՈՒԹՅԱՆ ԱՅԼ ՄԱՐՄԻՆՆԵՐԻ ԳՈՐԾՈՒՆԵՈՒԹՅԱՆ ՀԻՄՆԱԿԱՆ  ՈՒՂՂՈՒԹՅՈՒՆՆԵՐԸ ԵՎ ԳԵՐԱԿԱՅՈՒԹՅՈՒՆՆԵՐԸ</w:t>
      </w:r>
      <w:bookmarkEnd w:id="645"/>
    </w:p>
    <w:p w14:paraId="06EF0FD4" w14:textId="77777777" w:rsidR="003504D4" w:rsidRDefault="003504D4" w:rsidP="00EC4BA1">
      <w:pPr>
        <w:pStyle w:val="Heading3"/>
        <w:tabs>
          <w:tab w:val="left" w:pos="810"/>
        </w:tabs>
        <w:spacing w:before="0" w:after="120" w:line="276" w:lineRule="auto"/>
        <w:ind w:left="540"/>
        <w:jc w:val="both"/>
        <w:rPr>
          <w:color w:val="1F497D" w:themeColor="text2"/>
        </w:rPr>
      </w:pPr>
    </w:p>
    <w:p w14:paraId="1C3EED84"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47" w:name="_Toc77837892"/>
      <w:r w:rsidRPr="003504D4">
        <w:rPr>
          <w:color w:val="1F497D" w:themeColor="text2"/>
        </w:rPr>
        <w:t>22</w:t>
      </w:r>
      <w:r w:rsidR="00FA0954" w:rsidRPr="0020592A">
        <w:rPr>
          <w:color w:val="1F497D" w:themeColor="text2"/>
        </w:rPr>
        <w:t xml:space="preserve">.1. </w:t>
      </w:r>
      <w:r w:rsidR="00FA0954" w:rsidRPr="0020592A">
        <w:rPr>
          <w:rFonts w:cs="Sylfaen"/>
          <w:color w:val="1F497D" w:themeColor="text2"/>
        </w:rPr>
        <w:t>ՆԱԽԱԳԱՀԻ ԱՇԽԱՏԱԿԱԶՄ</w:t>
      </w:r>
      <w:bookmarkEnd w:id="647"/>
    </w:p>
    <w:p w14:paraId="352AAEF4" w14:textId="77777777" w:rsidR="00FA0954" w:rsidRPr="0020592A" w:rsidRDefault="00FA0954" w:rsidP="00FA0954">
      <w:pPr>
        <w:tabs>
          <w:tab w:val="num" w:pos="720"/>
        </w:tabs>
        <w:spacing w:line="276" w:lineRule="auto"/>
        <w:ind w:firstLine="720"/>
        <w:rPr>
          <w:rFonts w:cs="Times New Roman"/>
          <w:bCs/>
          <w:lang w:val="hy-AM"/>
        </w:rPr>
      </w:pPr>
      <w:r w:rsidRPr="0020592A">
        <w:rPr>
          <w:rFonts w:cs="Times New Roman"/>
          <w:lang w:val="hy-AM"/>
        </w:rPr>
        <w:t>Հայաստանի Հանրապետության նախագահը, որպես պետության գլուխ, ունի Սահմանադրությամբ նախատեսված լիազորություններ:</w:t>
      </w:r>
    </w:p>
    <w:p w14:paraId="4186A3DA" w14:textId="77777777" w:rsidR="00FA0954" w:rsidRPr="0020592A" w:rsidRDefault="00FA0954" w:rsidP="00FA0954">
      <w:pPr>
        <w:tabs>
          <w:tab w:val="num" w:pos="720"/>
        </w:tabs>
        <w:spacing w:line="276" w:lineRule="auto"/>
        <w:ind w:firstLine="720"/>
        <w:rPr>
          <w:rFonts w:cs="Times New Roman"/>
          <w:bCs/>
          <w:lang w:val="hy-AM"/>
        </w:rPr>
      </w:pPr>
      <w:r w:rsidRPr="0020592A">
        <w:rPr>
          <w:rFonts w:cs="Times New Roman"/>
          <w:lang w:val="hy-AM"/>
        </w:rPr>
        <w:t xml:space="preserve">Հանրապետության նախագահի աշխատակազմն իր կառուցվածքով և գործառույթներով ապահովում է Հանրապետության նախագահի լիազորությունների իրականացումը՝  օրենքի սահմաններում ստեղծելով անհրաժեշտ պայմաններ, իրականացնելով կազմակերպչական և այլ` օրենքից բխող գործողություններ:  </w:t>
      </w:r>
    </w:p>
    <w:p w14:paraId="6548BA89" w14:textId="77777777" w:rsidR="00FA0954" w:rsidRPr="0020592A" w:rsidRDefault="00FA0954" w:rsidP="00FA0954">
      <w:pPr>
        <w:tabs>
          <w:tab w:val="num" w:pos="720"/>
        </w:tabs>
        <w:spacing w:line="276" w:lineRule="auto"/>
        <w:ind w:firstLine="720"/>
        <w:rPr>
          <w:rFonts w:cs="Times New Roman"/>
          <w:bCs/>
          <w:lang w:val="hy-AM"/>
        </w:rPr>
      </w:pPr>
      <w:r w:rsidRPr="0020592A">
        <w:rPr>
          <w:rFonts w:cs="Times New Roman"/>
          <w:lang w:val="hy-AM"/>
        </w:rPr>
        <w:t>Հանրապետության նախագահի աշխատակազմի առաքելությունն է ապահովել Հանրապետության նախագահին վերապահված լիազորությունների լիարժեք և արդյունավետ իրականացումը:</w:t>
      </w:r>
    </w:p>
    <w:p w14:paraId="3228F987"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Հանրապետության նախագահի աշխատակազմ պետական մարմինը ձևավորվել է 2018թ. ապրիլի 9-ին՝ Ազգային Ժողովի կողմից Հանրապետության նախագահի ընտրությամբ: Նշված պետական մարմնի գործառույթներն ամրագրված են Հանրապետության նախագահի ապրիլի 18-ի ՆՀ-264-Լ հրամանագրով: Աշխատակազմը չի կարող իրականացնել ձեռնարկատիրական գործունեություն, իր կնքած գործարքներով ձեռք է բերում ապրանքներ, ծառայություններ և աշխատանքներ:</w:t>
      </w:r>
    </w:p>
    <w:p w14:paraId="68F98F20"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Հանրապետության նախագահի աշխատակազմի միջնաժամկետ նպատակներն են`</w:t>
      </w:r>
    </w:p>
    <w:p w14:paraId="48F4ABB8"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1.</w:t>
      </w:r>
      <w:r w:rsidRPr="0020592A">
        <w:rPr>
          <w:rFonts w:cs="Times New Roman"/>
          <w:lang w:val="hy-AM"/>
        </w:rPr>
        <w:tab/>
        <w:t>Հանրության կողմից Հանրապետության նախագահի և նրա աշխատակազմի գործառույթների հստակ ընկալում, հանրության վստահության ձեռք բերում և ամրապնդում: Այս նպատակին հասնելու համար անհրաժեշտ է՝</w:t>
      </w:r>
    </w:p>
    <w:p w14:paraId="6D6C9DAA" w14:textId="77777777" w:rsidR="00826188" w:rsidRPr="00826188" w:rsidRDefault="00FA0954" w:rsidP="00C0628C">
      <w:pPr>
        <w:pStyle w:val="ListParagraph"/>
        <w:numPr>
          <w:ilvl w:val="0"/>
          <w:numId w:val="41"/>
        </w:numPr>
        <w:tabs>
          <w:tab w:val="num" w:pos="851"/>
        </w:tabs>
        <w:spacing w:line="276" w:lineRule="auto"/>
        <w:ind w:left="284" w:hanging="284"/>
        <w:rPr>
          <w:rFonts w:cs="Times New Roman"/>
          <w:bCs/>
          <w:lang w:val="hy-AM"/>
        </w:rPr>
      </w:pPr>
      <w:r w:rsidRPr="00852761">
        <w:rPr>
          <w:rFonts w:cs="Times New Roman"/>
          <w:lang w:val="hy-AM"/>
        </w:rPr>
        <w:t>Հանրապետության նախագահի և աշխատակազմի կողմից բարեգործական թիրախային ծրագրերի իրականացում, այդ ծրագրերի պատշաճ լուսաբանում,</w:t>
      </w:r>
    </w:p>
    <w:p w14:paraId="7AE96B34" w14:textId="77777777" w:rsidR="00FA0954" w:rsidRPr="0020592A" w:rsidRDefault="00826188" w:rsidP="00C0628C">
      <w:pPr>
        <w:pStyle w:val="ListParagraph"/>
        <w:numPr>
          <w:ilvl w:val="0"/>
          <w:numId w:val="41"/>
        </w:numPr>
        <w:tabs>
          <w:tab w:val="num" w:pos="851"/>
        </w:tabs>
        <w:spacing w:line="276" w:lineRule="auto"/>
        <w:ind w:left="284" w:hanging="284"/>
        <w:rPr>
          <w:rFonts w:cs="Times New Roman"/>
          <w:bCs/>
          <w:lang w:val="hy-AM"/>
        </w:rPr>
      </w:pPr>
      <w:r w:rsidRPr="0020592A">
        <w:rPr>
          <w:rFonts w:cs="Times New Roman"/>
          <w:lang w:val="hy-AM"/>
        </w:rPr>
        <w:t xml:space="preserve"> </w:t>
      </w:r>
      <w:r w:rsidR="00FA0954" w:rsidRPr="0020592A">
        <w:rPr>
          <w:rFonts w:cs="Times New Roman"/>
          <w:lang w:val="hy-AM"/>
        </w:rPr>
        <w:t xml:space="preserve">Պաշտոնական ինտերնետային կայքի միջոցով Նախագահի լիազորությունների հստակ և հանրամատչելի եղանակով ներկայացում, առանձին մանկական և/կամ երիտասարդական էջի ստեղծում, </w:t>
      </w:r>
    </w:p>
    <w:p w14:paraId="67C2B22F"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Նախագահի նստավայրում այցելուների կենտրոնի ստեղծում, մշակութային միջոցառումների կազմակերպում,</w:t>
      </w:r>
    </w:p>
    <w:p w14:paraId="333A9E80"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Սոցիալական մեդիայում ակտիվ գործունեության շարունակություն, հետևորդների թվի ավելացում,</w:t>
      </w:r>
    </w:p>
    <w:p w14:paraId="6ADF5DC7"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Հանրապետության նախագահի և աշխատակազմի իրականացրած ծրագրերի վերաբերյալ հաշվետվողականության ապահովում, ընկալելի ձևով դրանց ներկայացում վերջնական արդյունքի ցուցադրմամբ,</w:t>
      </w:r>
    </w:p>
    <w:p w14:paraId="161D8DDC"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 xml:space="preserve">Նախագահին դիմած անձանց նկատմամբ հոգատար վերաբերմունքի ցուցաբերում, արագ արձագանքի ապահովում, հետևողականություն: </w:t>
      </w:r>
    </w:p>
    <w:p w14:paraId="06D8006D"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2.</w:t>
      </w:r>
      <w:r w:rsidRPr="0020592A">
        <w:rPr>
          <w:rFonts w:cs="Times New Roman"/>
          <w:lang w:val="hy-AM"/>
        </w:rPr>
        <w:tab/>
        <w:t>Նոր գաղափարներ գեներացնող և ռազմավարական ծրագրեր մշակող լոկոմոտիվի դերի ստանձնում և այդ դերի ճանաչելիություն հանրության կողմից: Այս նպատակին հասնելու համար անհրաժեշտ է՝</w:t>
      </w:r>
    </w:p>
    <w:p w14:paraId="2794FE5C"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Հանդես գալ նախաձեռնություններով, հայեցակարգերով, զարգացման տեսլականներով տարբեր ոլորտների վերաբերյալ՝ առաջարկելով նորարար լուծումներ,</w:t>
      </w:r>
    </w:p>
    <w:p w14:paraId="19EEE212"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Կազմակերպել թեմատիկ կոնֆերանսներ, գիտաժողովներ և քննարկումներ՝ լավագույն միջազգային փորձագետների և շահագրգիռ անձանց ներգրավմամբ,</w:t>
      </w:r>
    </w:p>
    <w:p w14:paraId="7C638D6C"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 xml:space="preserve">Մրցույթների միջոցով վեր հանել երկրի զարգացմանն ուղղված գաղափարները, աշխատել այդ գաղափարների իրագործման հայեցակարգերի մշակման ուղղությամբ: </w:t>
      </w:r>
    </w:p>
    <w:p w14:paraId="123573FB"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3. ՀՀ-ի և Արցախի, ՀՀ-ի և սփյուռքի, ՀՀ-ի և այլ երկրների միջև առանձնահատուկ կամուրջի դերի ստանձնում և այդ դերի ճանաչելիություն հանրության կողմից:</w:t>
      </w:r>
    </w:p>
    <w:p w14:paraId="27AF0E85"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 xml:space="preserve"> Այս նպատակին հասնելու համար անհրաժեշտ է՝</w:t>
      </w:r>
    </w:p>
    <w:p w14:paraId="01CCCFD9"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Համաշխարհային հարթակներում Հայաստանի ներկայացում, օրինակ՝ գիտաժողովներին, ցուցահանդեսներին մասնակցություն,</w:t>
      </w:r>
    </w:p>
    <w:p w14:paraId="294E6EE8"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Հայկական պատմամշակութային ժառանգությանն ու արժեքների պահպանությանը և դրանց ճանաչմանն ուղղված միջոցառումների իրականացում,</w:t>
      </w:r>
    </w:p>
    <w:p w14:paraId="4101812B"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 xml:space="preserve">Հայաստանի ճանաչելիության բարձրացմանն ուղղված  միջոցառումների կազմակերպում, միջազգային հեղինակավոր միջոցառումների հյուրընկալում Հայաստանում: </w:t>
      </w:r>
    </w:p>
    <w:p w14:paraId="71C512A7" w14:textId="77777777" w:rsidR="00FA0954" w:rsidRPr="00826188" w:rsidRDefault="00FA0954" w:rsidP="00826188">
      <w:pPr>
        <w:tabs>
          <w:tab w:val="num" w:pos="851"/>
        </w:tabs>
        <w:spacing w:line="276" w:lineRule="auto"/>
        <w:ind w:firstLine="0"/>
        <w:rPr>
          <w:rFonts w:cs="Times New Roman"/>
          <w:lang w:val="hy-AM"/>
        </w:rPr>
      </w:pPr>
      <w:r w:rsidRPr="00826188">
        <w:rPr>
          <w:rFonts w:cs="Times New Roman"/>
          <w:lang w:val="hy-AM"/>
        </w:rPr>
        <w:t>4. Նախագահի աշխատակազմի դիրքավորում՝ որպես ցանկալի աշխատավայր: Այս նպատակին հասնելու համար անհրաժեշտ է՝</w:t>
      </w:r>
    </w:p>
    <w:p w14:paraId="30698E2D"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Նախագահի աշխատակազմում ապահովել աշխատակցի հարմարավետության համար անհրաժեշտ ենթակառուցվածքներ,</w:t>
      </w:r>
    </w:p>
    <w:p w14:paraId="5C80116A"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 xml:space="preserve">Ստեղծել աշխատակիցների վերապատրաստման մեխանիզմներ, այդ թվում՝ հեռակա ուսուցման հնարավորությամբ, </w:t>
      </w:r>
    </w:p>
    <w:p w14:paraId="3828EAC5" w14:textId="77777777" w:rsidR="00FA0954" w:rsidRPr="00826188" w:rsidRDefault="00FA0954" w:rsidP="00C0628C">
      <w:pPr>
        <w:pStyle w:val="ListParagraph"/>
        <w:numPr>
          <w:ilvl w:val="0"/>
          <w:numId w:val="41"/>
        </w:numPr>
        <w:tabs>
          <w:tab w:val="num" w:pos="851"/>
        </w:tabs>
        <w:spacing w:line="276" w:lineRule="auto"/>
        <w:ind w:left="284" w:hanging="284"/>
        <w:rPr>
          <w:rFonts w:cs="Times New Roman"/>
          <w:lang w:val="hy-AM"/>
        </w:rPr>
      </w:pPr>
      <w:r w:rsidRPr="0020592A">
        <w:rPr>
          <w:rFonts w:cs="Times New Roman"/>
          <w:lang w:val="hy-AM"/>
        </w:rPr>
        <w:t>Ապահովել աշխատակցի առաջխաղացման մեխանիզմները և պարբերաբար գնահատել աշխատանքից բավարարվածությունը;</w:t>
      </w:r>
    </w:p>
    <w:p w14:paraId="14C36A8D" w14:textId="77777777" w:rsidR="00FA0954" w:rsidRPr="0020592A" w:rsidRDefault="00FA0954" w:rsidP="00FA0954">
      <w:pPr>
        <w:tabs>
          <w:tab w:val="num" w:pos="720"/>
          <w:tab w:val="left" w:pos="1170"/>
        </w:tabs>
        <w:spacing w:line="276" w:lineRule="auto"/>
        <w:ind w:firstLine="720"/>
        <w:rPr>
          <w:rFonts w:cs="Times New Roman"/>
          <w:bCs/>
          <w:lang w:val="hy-AM"/>
        </w:rPr>
      </w:pPr>
    </w:p>
    <w:p w14:paraId="27DB54AD"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48" w:name="_Toc77837893"/>
      <w:r w:rsidRPr="003504D4">
        <w:rPr>
          <w:color w:val="1F497D" w:themeColor="text2"/>
        </w:rPr>
        <w:t>22</w:t>
      </w:r>
      <w:r w:rsidR="00FA0954" w:rsidRPr="0020592A">
        <w:rPr>
          <w:color w:val="1F497D" w:themeColor="text2"/>
        </w:rPr>
        <w:t xml:space="preserve">.2. </w:t>
      </w:r>
      <w:r w:rsidR="00FA0954" w:rsidRPr="0020592A">
        <w:rPr>
          <w:rFonts w:cs="Sylfaen"/>
          <w:color w:val="1F497D" w:themeColor="text2"/>
        </w:rPr>
        <w:t>ԱԶԳԱՅԻՆ ԺՈՂՈՎ</w:t>
      </w:r>
      <w:bookmarkEnd w:id="648"/>
    </w:p>
    <w:p w14:paraId="244C4631"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Հայաստանի Հանրապետությունը խորհրդարանական կառավարման երկիր է և Ազգային ժողովը ոչ միայն ժողովրդի ներկայացուցչական մարմինն է և իրականացնում է Հայաստանի Հանրապետության օրենսդիր իշխանությունը, այլև օժտված է իրականացնելու սահմանադրությամբ իրեն վերապահված գործադիր իշխանության գործունեության վերահսկողական գործառույթ: Որպես լեգիտիմ և ժողովրդավար խորհրդարան՝ Ազգային ժողովը ձգտում է հնարավորինս բաց և թափանցիկ լինել հանրության առջև՝ ապահովելով ՀՀ-ում արդյունավետ օրենսդրական դաշտ:</w:t>
      </w:r>
    </w:p>
    <w:p w14:paraId="1D2D9B5F"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 xml:space="preserve"> ՀՀ Ազգային ժողովը գործում է Սահմանադրությանը և իր կանոնակարգին համապատասխան՝ ձևավորելով և կատարելագործելով  օրենսդրական դաշտը: </w:t>
      </w:r>
    </w:p>
    <w:p w14:paraId="79AE4F9E"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ՀՀ Ազգային ժողովի միջնաժամկետ նպատակներն են՝</w:t>
      </w:r>
    </w:p>
    <w:p w14:paraId="2F3164DF"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w:t>
      </w:r>
      <w:r w:rsidRPr="0020592A">
        <w:rPr>
          <w:rFonts w:cs="Times New Roman"/>
          <w:lang w:val="hy-AM"/>
        </w:rPr>
        <w:tab/>
        <w:t>Իրականացնել ՀՀ ԱԺ դերի բարձրացման ուղղված միջոցառումներ ամրապնդելով խորհրդարանի և հանրության կապը,</w:t>
      </w:r>
    </w:p>
    <w:p w14:paraId="14F79E40"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w:t>
      </w:r>
      <w:r w:rsidRPr="0020592A">
        <w:rPr>
          <w:rFonts w:cs="Times New Roman"/>
          <w:lang w:val="hy-AM"/>
        </w:rPr>
        <w:tab/>
        <w:t>միջազգային խորհրդարանական կազմակերպությունների ներգրավմամբ համաշխարհային հարթակներում իրականացնել հայկական պատմամշակույթային ժառանգության և արժեքների պահպանման և ճանաչման ուղղված միջոցառումներ,</w:t>
      </w:r>
    </w:p>
    <w:p w14:paraId="7A7EAB8D"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w:t>
      </w:r>
      <w:r w:rsidRPr="0020592A">
        <w:rPr>
          <w:rFonts w:cs="Times New Roman"/>
          <w:lang w:val="hy-AM"/>
        </w:rPr>
        <w:tab/>
        <w:t>հանդես գալ  երկրի զարգացմանն ուղղված նոր գաղափարների և ռազմավարական ծրագրերի հայեցակարգերի մշակմամբ,</w:t>
      </w:r>
    </w:p>
    <w:p w14:paraId="68884A2A"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w:t>
      </w:r>
      <w:r w:rsidRPr="0020592A">
        <w:rPr>
          <w:rFonts w:cs="Times New Roman"/>
          <w:lang w:val="hy-AM"/>
        </w:rPr>
        <w:tab/>
        <w:t>ստեղծել այցելուների կենտրոն,</w:t>
      </w:r>
    </w:p>
    <w:p w14:paraId="4F921688"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w:t>
      </w:r>
      <w:r w:rsidRPr="0020592A">
        <w:rPr>
          <w:rFonts w:cs="Times New Roman"/>
          <w:lang w:val="hy-AM"/>
        </w:rPr>
        <w:tab/>
        <w:t xml:space="preserve"> բարձրացնել ՀՀ Ազգային ժողովի աշխատակազմի փորձագիտական և վերլուծական ներուժը խորհրդարանական վերահսկողության ոլորտում,</w:t>
      </w:r>
    </w:p>
    <w:p w14:paraId="3277411D" w14:textId="77777777" w:rsidR="00FA0954" w:rsidRPr="0020592A" w:rsidRDefault="00FA0954" w:rsidP="00FA0954">
      <w:pPr>
        <w:tabs>
          <w:tab w:val="num" w:pos="720"/>
          <w:tab w:val="left" w:pos="1170"/>
        </w:tabs>
        <w:spacing w:line="276" w:lineRule="auto"/>
        <w:ind w:firstLine="720"/>
        <w:rPr>
          <w:rFonts w:cs="Times New Roman"/>
          <w:bCs/>
          <w:lang w:val="hy-AM"/>
        </w:rPr>
      </w:pPr>
      <w:r w:rsidRPr="0020592A">
        <w:rPr>
          <w:rFonts w:cs="Times New Roman"/>
          <w:lang w:val="hy-AM"/>
        </w:rPr>
        <w:t>•</w:t>
      </w:r>
      <w:r w:rsidRPr="0020592A">
        <w:rPr>
          <w:rFonts w:cs="Times New Roman"/>
          <w:lang w:val="hy-AM"/>
        </w:rPr>
        <w:tab/>
        <w:t>իրականացնել ՀՀ Ազգային ժողովի տեխնիկական հագեցվածության և շենքային պայմանների բարելավման աշխատանքներ:</w:t>
      </w:r>
    </w:p>
    <w:p w14:paraId="2409C9FB" w14:textId="77777777" w:rsidR="00FA0954" w:rsidRPr="0020592A" w:rsidRDefault="00FA0954" w:rsidP="00FA0954">
      <w:pPr>
        <w:tabs>
          <w:tab w:val="num" w:pos="720"/>
          <w:tab w:val="left" w:pos="1170"/>
        </w:tabs>
        <w:spacing w:line="276" w:lineRule="auto"/>
        <w:ind w:firstLine="720"/>
        <w:rPr>
          <w:rFonts w:cs="Times New Roman"/>
          <w:bCs/>
          <w:lang w:val="hy-AM"/>
        </w:rPr>
      </w:pPr>
    </w:p>
    <w:p w14:paraId="269670DC" w14:textId="77777777" w:rsidR="00FA0954" w:rsidRPr="0020592A" w:rsidRDefault="00EC4BA1" w:rsidP="00EC4BA1">
      <w:pPr>
        <w:pStyle w:val="Heading3"/>
        <w:tabs>
          <w:tab w:val="left" w:pos="810"/>
        </w:tabs>
        <w:spacing w:before="0" w:after="120" w:line="276" w:lineRule="auto"/>
        <w:ind w:left="540"/>
        <w:jc w:val="both"/>
        <w:rPr>
          <w:caps w:val="0"/>
          <w:color w:val="1F497D" w:themeColor="text2"/>
        </w:rPr>
      </w:pPr>
      <w:bookmarkStart w:id="649" w:name="_Toc77837894"/>
      <w:r w:rsidRPr="003504D4">
        <w:rPr>
          <w:color w:val="1F497D" w:themeColor="text2"/>
        </w:rPr>
        <w:t>22</w:t>
      </w:r>
      <w:r w:rsidR="00FA0954" w:rsidRPr="0020592A">
        <w:rPr>
          <w:color w:val="1F497D" w:themeColor="text2"/>
        </w:rPr>
        <w:t>.3. ՀՀ ԴԱՏԱԽԱԶՈՒԹՅՈՒՆ</w:t>
      </w:r>
      <w:bookmarkEnd w:id="649"/>
    </w:p>
    <w:p w14:paraId="7474771E" w14:textId="77777777" w:rsidR="00FA0954" w:rsidRPr="0020592A" w:rsidRDefault="00FA0954" w:rsidP="00FA0954">
      <w:pPr>
        <w:tabs>
          <w:tab w:val="left" w:pos="810"/>
          <w:tab w:val="left" w:pos="1080"/>
        </w:tabs>
        <w:spacing w:line="276" w:lineRule="auto"/>
        <w:ind w:firstLine="540"/>
        <w:rPr>
          <w:rFonts w:eastAsia="Calibri" w:cs="Times New Roman"/>
          <w:bCs/>
          <w:lang w:val="hy-AM"/>
        </w:rPr>
      </w:pPr>
      <w:r w:rsidRPr="0020592A">
        <w:rPr>
          <w:rFonts w:eastAsia="Calibri" w:cs="Times New Roman"/>
          <w:lang w:val="hy-AM"/>
        </w:rPr>
        <w:t>ՀՀ դատախազության գործունեության հիմնական ոլորտներն են՝</w:t>
      </w:r>
    </w:p>
    <w:p w14:paraId="330AB9E1" w14:textId="77777777" w:rsidR="00FA0954" w:rsidRPr="0020592A" w:rsidRDefault="00FA0954" w:rsidP="00C0628C">
      <w:pPr>
        <w:numPr>
          <w:ilvl w:val="0"/>
          <w:numId w:val="39"/>
        </w:numPr>
        <w:tabs>
          <w:tab w:val="left" w:pos="810"/>
          <w:tab w:val="left" w:pos="1080"/>
        </w:tabs>
        <w:spacing w:before="0" w:after="0" w:line="276" w:lineRule="auto"/>
        <w:ind w:left="0" w:firstLine="540"/>
        <w:jc w:val="left"/>
        <w:rPr>
          <w:rFonts w:eastAsia="Calibri" w:cs="Times New Roman"/>
          <w:bCs/>
          <w:lang w:val="hy-AM"/>
        </w:rPr>
      </w:pPr>
      <w:r w:rsidRPr="0020592A">
        <w:rPr>
          <w:rFonts w:eastAsia="Calibri" w:cs="Times New Roman"/>
          <w:lang w:val="hy-AM"/>
        </w:rPr>
        <w:t>Կոռուպցիայի և կազմակերպված հանցավորության դեմ պայքարի ոլորտ</w:t>
      </w:r>
    </w:p>
    <w:p w14:paraId="3D89A981" w14:textId="77777777" w:rsidR="00FA0954" w:rsidRPr="0020592A" w:rsidRDefault="00FA0954" w:rsidP="00C0628C">
      <w:pPr>
        <w:numPr>
          <w:ilvl w:val="0"/>
          <w:numId w:val="39"/>
        </w:numPr>
        <w:tabs>
          <w:tab w:val="left" w:pos="810"/>
          <w:tab w:val="left" w:pos="1080"/>
        </w:tabs>
        <w:spacing w:before="0" w:after="0" w:line="276" w:lineRule="auto"/>
        <w:ind w:left="0" w:firstLine="540"/>
        <w:jc w:val="left"/>
        <w:rPr>
          <w:rFonts w:eastAsia="Calibri" w:cs="Times New Roman"/>
          <w:bCs/>
          <w:lang w:val="hy-AM"/>
        </w:rPr>
      </w:pPr>
      <w:r w:rsidRPr="0020592A">
        <w:rPr>
          <w:rFonts w:eastAsia="Calibri" w:cs="Times New Roman"/>
          <w:lang w:val="hy-AM"/>
        </w:rPr>
        <w:t>Քրեական հետապնդում հարուցելու ոլորտ</w:t>
      </w:r>
    </w:p>
    <w:p w14:paraId="65389F9D" w14:textId="77777777" w:rsidR="00FA0954" w:rsidRPr="0020592A" w:rsidRDefault="00FA0954" w:rsidP="00C0628C">
      <w:pPr>
        <w:numPr>
          <w:ilvl w:val="0"/>
          <w:numId w:val="39"/>
        </w:numPr>
        <w:tabs>
          <w:tab w:val="left" w:pos="810"/>
          <w:tab w:val="left" w:pos="1080"/>
        </w:tabs>
        <w:spacing w:before="0" w:after="0" w:line="276" w:lineRule="auto"/>
        <w:ind w:left="0" w:firstLine="540"/>
        <w:jc w:val="left"/>
        <w:rPr>
          <w:rFonts w:eastAsia="Calibri" w:cs="Times New Roman"/>
          <w:bCs/>
          <w:lang w:val="hy-AM"/>
        </w:rPr>
      </w:pPr>
      <w:r w:rsidRPr="0020592A">
        <w:rPr>
          <w:rFonts w:eastAsia="Calibri" w:cs="Times New Roman"/>
          <w:lang w:val="hy-AM"/>
        </w:rPr>
        <w:t>Հետաքննության և նախաքննության օրինականության նկատմամբ հսկողության իրականացման ոլորտ</w:t>
      </w:r>
    </w:p>
    <w:p w14:paraId="48503D80" w14:textId="77777777" w:rsidR="00FA0954" w:rsidRPr="0020592A" w:rsidRDefault="00FA0954" w:rsidP="00C0628C">
      <w:pPr>
        <w:numPr>
          <w:ilvl w:val="0"/>
          <w:numId w:val="39"/>
        </w:numPr>
        <w:tabs>
          <w:tab w:val="left" w:pos="810"/>
          <w:tab w:val="left" w:pos="1080"/>
        </w:tabs>
        <w:spacing w:before="0" w:after="0" w:line="276" w:lineRule="auto"/>
        <w:ind w:left="0" w:firstLine="540"/>
        <w:jc w:val="left"/>
        <w:rPr>
          <w:rFonts w:eastAsia="Calibri" w:cs="Times New Roman"/>
          <w:bCs/>
          <w:lang w:val="hy-AM"/>
        </w:rPr>
      </w:pPr>
      <w:r w:rsidRPr="0020592A">
        <w:rPr>
          <w:rFonts w:eastAsia="Calibri" w:cs="Times New Roman"/>
          <w:lang w:val="hy-AM"/>
        </w:rPr>
        <w:t>Պատիժների և հարկադրանքի այլ միջոցների կիրառման օրինականության նկատմամբ հսկողության իրականացման ոլորտ</w:t>
      </w:r>
    </w:p>
    <w:p w14:paraId="49542DD1" w14:textId="77777777" w:rsidR="00FA0954" w:rsidRPr="0020592A" w:rsidRDefault="00FA0954" w:rsidP="00C0628C">
      <w:pPr>
        <w:numPr>
          <w:ilvl w:val="0"/>
          <w:numId w:val="39"/>
        </w:numPr>
        <w:tabs>
          <w:tab w:val="left" w:pos="810"/>
          <w:tab w:val="left" w:pos="1080"/>
        </w:tabs>
        <w:spacing w:before="0" w:after="0" w:line="276" w:lineRule="auto"/>
        <w:ind w:left="0" w:firstLine="540"/>
        <w:jc w:val="left"/>
        <w:rPr>
          <w:rFonts w:eastAsia="Calibri" w:cs="Times New Roman"/>
          <w:bCs/>
          <w:lang w:val="hy-AM"/>
        </w:rPr>
      </w:pPr>
      <w:r w:rsidRPr="0020592A">
        <w:rPr>
          <w:rFonts w:eastAsia="Calibri" w:cs="Times New Roman"/>
          <w:lang w:val="hy-AM"/>
        </w:rPr>
        <w:t>Դատարանում մեղադրանքի պաշտպանության և վճիռների, դատավճիռների և որոշումների բողոքարկման ոլորտներ</w:t>
      </w:r>
    </w:p>
    <w:p w14:paraId="3D6E8E5B" w14:textId="77777777" w:rsidR="00FA0954" w:rsidRPr="0020592A" w:rsidRDefault="00FA0954" w:rsidP="00C0628C">
      <w:pPr>
        <w:numPr>
          <w:ilvl w:val="0"/>
          <w:numId w:val="39"/>
        </w:numPr>
        <w:tabs>
          <w:tab w:val="left" w:pos="810"/>
          <w:tab w:val="left" w:pos="1080"/>
        </w:tabs>
        <w:spacing w:before="0" w:after="0" w:line="276" w:lineRule="auto"/>
        <w:ind w:left="0" w:firstLine="540"/>
        <w:rPr>
          <w:rFonts w:eastAsia="Calibri" w:cs="Times New Roman"/>
          <w:bCs/>
          <w:lang w:val="hy-AM"/>
        </w:rPr>
      </w:pPr>
      <w:r w:rsidRPr="0020592A">
        <w:rPr>
          <w:rFonts w:eastAsia="Calibri" w:cs="Times New Roman"/>
          <w:lang w:val="hy-AM"/>
        </w:rPr>
        <w:t>Պետական շահերի պաշտպանության ոլորտ</w:t>
      </w:r>
    </w:p>
    <w:p w14:paraId="55581452" w14:textId="77777777" w:rsidR="00FA0954" w:rsidRPr="0020592A" w:rsidRDefault="00FA0954" w:rsidP="00C0628C">
      <w:pPr>
        <w:numPr>
          <w:ilvl w:val="0"/>
          <w:numId w:val="39"/>
        </w:numPr>
        <w:tabs>
          <w:tab w:val="left" w:pos="810"/>
          <w:tab w:val="left" w:pos="1080"/>
        </w:tabs>
        <w:spacing w:before="0" w:after="0" w:line="276" w:lineRule="auto"/>
        <w:ind w:left="0" w:firstLine="540"/>
        <w:rPr>
          <w:rFonts w:eastAsia="Calibri" w:cs="Times New Roman"/>
          <w:bCs/>
          <w:lang w:val="hy-AM"/>
        </w:rPr>
      </w:pPr>
      <w:r w:rsidRPr="0020592A">
        <w:rPr>
          <w:rFonts w:eastAsia="Calibri" w:cs="Times New Roman"/>
          <w:lang w:val="hy-AM"/>
        </w:rPr>
        <w:t>Ապօրինի ծագում ունեցող գույքի բռնագանձման ոլորտ</w:t>
      </w:r>
    </w:p>
    <w:p w14:paraId="2F1070C5" w14:textId="77777777" w:rsidR="00FA0954" w:rsidRPr="0020592A" w:rsidRDefault="00FA0954" w:rsidP="00FA0954">
      <w:pPr>
        <w:tabs>
          <w:tab w:val="left" w:pos="810"/>
          <w:tab w:val="left" w:pos="1080"/>
        </w:tabs>
        <w:spacing w:line="276" w:lineRule="auto"/>
        <w:ind w:firstLine="540"/>
        <w:rPr>
          <w:rFonts w:cs="Times New Roman"/>
          <w:bCs/>
          <w:lang w:val="hy-AM"/>
        </w:rPr>
      </w:pPr>
      <w:r w:rsidRPr="0020592A">
        <w:rPr>
          <w:rFonts w:cs="Times New Roman"/>
          <w:lang w:val="hy-AM"/>
        </w:rPr>
        <w:t xml:space="preserve">Կոռուպցիայի և կազմակերպված հանցագործության դեմ պայքարի ոլորտում ՀՀ դատախազության կողմից, մասնավորապես.  </w:t>
      </w:r>
    </w:p>
    <w:p w14:paraId="24C30D62" w14:textId="77777777" w:rsidR="00FA0954" w:rsidRPr="0020592A" w:rsidRDefault="00FA0954" w:rsidP="00C0628C">
      <w:pPr>
        <w:numPr>
          <w:ilvl w:val="0"/>
          <w:numId w:val="37"/>
        </w:numPr>
        <w:tabs>
          <w:tab w:val="left" w:pos="810"/>
          <w:tab w:val="left" w:pos="1080"/>
        </w:tabs>
        <w:spacing w:before="0" w:after="0" w:line="276" w:lineRule="auto"/>
        <w:ind w:left="0" w:firstLine="540"/>
        <w:rPr>
          <w:rFonts w:cs="Times New Roman"/>
          <w:bCs/>
          <w:lang w:val="hy-AM"/>
        </w:rPr>
      </w:pPr>
      <w:r w:rsidRPr="0020592A">
        <w:rPr>
          <w:rFonts w:cs="Times New Roman"/>
          <w:lang w:val="hy-AM"/>
        </w:rPr>
        <w:t>ձեռնարկվելու են անհրաժեշտ միջոցառումներ՝ կոռուպցիոն բնույթի և կազմակերպված հանցագործությունները ժամանակին հայտնաբերելու և բացահայտելու հարցում այլ իրավապահ մարմինների հետ համագործակցությունը խորացնելու ուղղությամբ,</w:t>
      </w:r>
    </w:p>
    <w:p w14:paraId="69E53DF1" w14:textId="77777777" w:rsidR="00FA0954" w:rsidRPr="0020592A" w:rsidRDefault="00FA0954" w:rsidP="00C0628C">
      <w:pPr>
        <w:numPr>
          <w:ilvl w:val="0"/>
          <w:numId w:val="34"/>
        </w:numPr>
        <w:tabs>
          <w:tab w:val="left" w:pos="810"/>
          <w:tab w:val="left" w:pos="1080"/>
        </w:tabs>
        <w:spacing w:before="0" w:after="0" w:line="276" w:lineRule="auto"/>
        <w:ind w:left="0" w:firstLine="540"/>
        <w:rPr>
          <w:rFonts w:cs="Times New Roman"/>
          <w:b/>
          <w:bCs/>
          <w:lang w:val="hy-AM"/>
        </w:rPr>
      </w:pPr>
      <w:r w:rsidRPr="0020592A">
        <w:rPr>
          <w:lang w:val="af-ZA"/>
        </w:rPr>
        <w:t>իրականացվելու են համապատասխան միջոցառումներ՝ ուղղված կոռուպցիոն երևույթների ծագման, դրանց պատճառների և նպաստող պայմանների, օրենսդրական թերի կարգավորումների հայտնաբերմանը՝ օրենսդրական բարեփոխումների իրականացմանը նպաստելու նպատակով</w:t>
      </w:r>
      <w:r w:rsidRPr="0020592A">
        <w:rPr>
          <w:rFonts w:cs="Times New Roman"/>
          <w:b/>
          <w:lang w:val="hy-AM"/>
        </w:rPr>
        <w:t>,</w:t>
      </w:r>
    </w:p>
    <w:p w14:paraId="1A86427C" w14:textId="77777777" w:rsidR="00FA0954" w:rsidRPr="0020592A" w:rsidRDefault="00FA0954" w:rsidP="00C0628C">
      <w:pPr>
        <w:numPr>
          <w:ilvl w:val="0"/>
          <w:numId w:val="34"/>
        </w:numPr>
        <w:tabs>
          <w:tab w:val="left" w:pos="810"/>
          <w:tab w:val="left" w:pos="1080"/>
        </w:tabs>
        <w:spacing w:before="0" w:after="0" w:line="276" w:lineRule="auto"/>
        <w:ind w:left="0" w:firstLine="540"/>
        <w:rPr>
          <w:rFonts w:cs="Times New Roman"/>
          <w:bCs/>
          <w:lang w:val="hy-AM"/>
        </w:rPr>
      </w:pPr>
      <w:r w:rsidRPr="0020592A">
        <w:rPr>
          <w:rFonts w:cs="Times New Roman"/>
          <w:lang w:val="hy-AM"/>
        </w:rPr>
        <w:t xml:space="preserve">միջոցներ են ձեռնարկվելու կոռուպցիայի դեմ պայքարի ոլորտում իրավապահ մարմինների նկատմամբ հանրության վստահությունը բարձրացնելու ուղղությամբ, այդ թվում՝ հասարակական հնչեղություն ունեցող կոռուպցիոն հանցագործությունների քննության ընթացքի և ավարտի մասին հանրությանն իրազեկելու միջոցով, </w:t>
      </w:r>
    </w:p>
    <w:p w14:paraId="2BB15329" w14:textId="77777777" w:rsidR="00FA0954" w:rsidRPr="0020592A" w:rsidRDefault="00FA0954" w:rsidP="00C0628C">
      <w:pPr>
        <w:numPr>
          <w:ilvl w:val="0"/>
          <w:numId w:val="34"/>
        </w:numPr>
        <w:tabs>
          <w:tab w:val="left" w:pos="810"/>
          <w:tab w:val="left" w:pos="1080"/>
        </w:tabs>
        <w:spacing w:before="0" w:after="0" w:line="276" w:lineRule="auto"/>
        <w:ind w:left="0" w:firstLine="540"/>
        <w:rPr>
          <w:rFonts w:cs="Times New Roman"/>
          <w:bCs/>
          <w:lang w:val="hy-AM"/>
        </w:rPr>
      </w:pPr>
      <w:r w:rsidRPr="0020592A">
        <w:rPr>
          <w:rFonts w:cs="Times New Roman"/>
          <w:lang w:val="hy-AM"/>
        </w:rPr>
        <w:t>ակտիվացվելու է համագործակցությունը կոռուպցիայի դեմ պայքարի ոլորտում գործունեություն իրականացնող մարմինների, ինչպես նաև հասարակական կազմակերպությունների հետ,</w:t>
      </w:r>
    </w:p>
    <w:p w14:paraId="4CD003A4" w14:textId="77777777" w:rsidR="00FA0954" w:rsidRPr="0020592A" w:rsidRDefault="00FA0954" w:rsidP="00C0628C">
      <w:pPr>
        <w:numPr>
          <w:ilvl w:val="0"/>
          <w:numId w:val="34"/>
        </w:numPr>
        <w:tabs>
          <w:tab w:val="left" w:pos="810"/>
          <w:tab w:val="left" w:pos="1080"/>
        </w:tabs>
        <w:spacing w:before="0" w:after="0" w:line="276" w:lineRule="auto"/>
        <w:ind w:left="0" w:firstLine="540"/>
        <w:rPr>
          <w:rFonts w:cs="Times New Roman"/>
          <w:bCs/>
          <w:lang w:val="hy-AM"/>
        </w:rPr>
      </w:pPr>
      <w:r w:rsidRPr="0020592A">
        <w:rPr>
          <w:rFonts w:cs="Times New Roman"/>
          <w:lang w:val="hy-AM"/>
        </w:rPr>
        <w:t>շարունակվելու են միջոցներ ձեռնարկվել Հայաստանի Հանրապետության հակակոռուպցիոն ռազմավարության և Հայաստանի Հանրապետությունում կազմակերպված հանցավորության դեմ պայքարի արդյունավետության բարձրացման ազգային ծրագրով նախատեսված միջոցառումների իրականացման ուղղությամբ:</w:t>
      </w:r>
    </w:p>
    <w:p w14:paraId="632889CF" w14:textId="77777777" w:rsidR="00FA0954" w:rsidRPr="0020592A" w:rsidRDefault="00FA0954" w:rsidP="00FA0954">
      <w:pPr>
        <w:tabs>
          <w:tab w:val="left" w:pos="810"/>
          <w:tab w:val="left" w:pos="1080"/>
        </w:tabs>
        <w:spacing w:line="276" w:lineRule="auto"/>
        <w:ind w:firstLine="540"/>
        <w:rPr>
          <w:rFonts w:cs="Times New Roman"/>
          <w:b/>
          <w:bCs/>
          <w:color w:val="FF0000"/>
          <w:lang w:val="hy-AM"/>
        </w:rPr>
      </w:pPr>
      <w:r w:rsidRPr="0020592A">
        <w:rPr>
          <w:rFonts w:cs="Times New Roman"/>
          <w:lang w:val="hy-AM"/>
        </w:rPr>
        <w:t>Քրեական հետապնդում հարուցելու ոլորտում ՀՀ դատախազությունը.</w:t>
      </w:r>
    </w:p>
    <w:p w14:paraId="253BC53C" w14:textId="77777777" w:rsidR="00FA0954" w:rsidRPr="0020592A" w:rsidRDefault="00FA0954" w:rsidP="00C0628C">
      <w:pPr>
        <w:numPr>
          <w:ilvl w:val="0"/>
          <w:numId w:val="38"/>
        </w:numPr>
        <w:tabs>
          <w:tab w:val="left" w:pos="810"/>
          <w:tab w:val="left" w:pos="1080"/>
        </w:tabs>
        <w:spacing w:before="0" w:after="0" w:line="276" w:lineRule="auto"/>
        <w:ind w:left="0" w:firstLine="540"/>
        <w:rPr>
          <w:rFonts w:cs="Times New Roman"/>
          <w:bCs/>
          <w:lang w:val="hy-AM"/>
        </w:rPr>
      </w:pPr>
      <w:r w:rsidRPr="0020592A">
        <w:rPr>
          <w:rFonts w:cs="Times New Roman"/>
          <w:lang w:val="hy-AM"/>
        </w:rPr>
        <w:t>ապահովելու է առերևույթ հանցանք կատարած յուրաքանչյուր անձի նկատմամբ օրենքով սահմանված դեպքերում և կարգով քրեական հետապնդման հարուցումը:</w:t>
      </w:r>
    </w:p>
    <w:p w14:paraId="010A4C04" w14:textId="77777777" w:rsidR="00FA0954" w:rsidRPr="0020592A" w:rsidRDefault="00FA0954" w:rsidP="00FA0954">
      <w:pPr>
        <w:tabs>
          <w:tab w:val="left" w:pos="810"/>
          <w:tab w:val="left" w:pos="1080"/>
        </w:tabs>
        <w:spacing w:line="276" w:lineRule="auto"/>
        <w:ind w:firstLine="540"/>
        <w:rPr>
          <w:rFonts w:cs="Times New Roman"/>
          <w:bCs/>
          <w:lang w:val="hy-AM"/>
        </w:rPr>
      </w:pPr>
      <w:r w:rsidRPr="0020592A">
        <w:rPr>
          <w:rFonts w:cs="Times New Roman"/>
          <w:lang w:val="hy-AM"/>
        </w:rPr>
        <w:t>Հետաքննության և նախաքննության օրինականության նկատմամբ հսկողության ոլորտում ՀՀ դատախազության կողմից.</w:t>
      </w:r>
    </w:p>
    <w:p w14:paraId="0312F84B"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ուժեղացվելու է հսկողությունը հետաքննության և նախաքննության մարմինների կողմից հանցագործությունների վերաբերյալ հաղորդումների գրանցման, հաշվառման և ընթացքը լուծելու նկատմամբ,</w:t>
      </w:r>
    </w:p>
    <w:p w14:paraId="09CC09A0"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 xml:space="preserve">հետաքննության և նախաքննության լրիվության, օբյեկտիվության, բազմակողմանիության և արդյունավետության ապահովման նպատակով ուժեղացվելու է ըստ անհրաժեշտության դատախազական ներգործության միջոցների (ցուցումներ, միջնորդագրեր, միջնորդություններ և այլն) կիրառման պրակտիկան, </w:t>
      </w:r>
    </w:p>
    <w:p w14:paraId="7399FCD3"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հիշյալ ոլորտում դատախազական գործունեության արդյունավետությունը բարձրացնելու, առաջնահերթությունները նախանշելու նպատակով շարունակաբար վերլուծվելու և ամփոփվելու են հանցավորության վիճակի, կառուցվածքի և  շարժընթացի վերաբերյալ վիճակագրական տվյալները,</w:t>
      </w:r>
    </w:p>
    <w:p w14:paraId="758516F8"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i/>
          <w:lang w:val="hy-AM"/>
        </w:rPr>
      </w:pPr>
      <w:r w:rsidRPr="0020592A">
        <w:rPr>
          <w:rFonts w:cs="Times New Roman"/>
          <w:lang w:val="hy-AM"/>
        </w:rPr>
        <w:t>միջոցներ են ձեռք առնվելու կոնվենցիոն ու քրեադատավարական հիմնադրույթների պահպանմամբ յուրաքանչյուր քրեական գործով արդյունավետ քննություն ապահովելու, միասնական իրավակիրառ պրակտիկա ձևավորելու նպատակով իրավապահ բոլոր մարմինների ջանքների համախմբման ուղղությամբ:</w:t>
      </w:r>
    </w:p>
    <w:p w14:paraId="0DCF139F" w14:textId="77777777" w:rsidR="00FA0954" w:rsidRPr="0020592A" w:rsidRDefault="00FA0954" w:rsidP="00FA0954">
      <w:pPr>
        <w:tabs>
          <w:tab w:val="num" w:pos="720"/>
          <w:tab w:val="left" w:pos="810"/>
        </w:tabs>
        <w:spacing w:line="276" w:lineRule="auto"/>
        <w:ind w:firstLine="540"/>
        <w:rPr>
          <w:rFonts w:cs="Times New Roman"/>
          <w:bCs/>
          <w:lang w:val="hy-AM"/>
        </w:rPr>
      </w:pPr>
      <w:r w:rsidRPr="0020592A">
        <w:rPr>
          <w:rFonts w:cs="Times New Roman"/>
          <w:lang w:val="hy-AM"/>
        </w:rPr>
        <w:t>Պատիժների և հարկադրանքի այլ միջոցների կիրառման օրինականության նկատմամբ հսկողության ոլորտում ՀՀ դատախազության կողմից.</w:t>
      </w:r>
    </w:p>
    <w:p w14:paraId="5C30610C"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 xml:space="preserve">խստացվելու է հիշյալ ոլորտում դատախազական հսկողության առարկա հանդիսացող իրավական ակտերի և մյուս փաստաթղթերի օրինականության և հիմնավորվածության նկատմամբ հսկողությունը և, ըստ անհրաժեշտության, դատախազական ներգործության միջոցներ կիրառելու պրակտիկան, </w:t>
      </w:r>
    </w:p>
    <w:p w14:paraId="47080298"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շարունակվելու են հետևողականորեն միջոցներ ձեռնարկվել՝ ուղղված ազատազրկման վայրերում կոռուպցիոն երևույթների հայտնաբերմանը և մեղավոր անձանց պատասխանատվության ենթարկելուն,</w:t>
      </w:r>
    </w:p>
    <w:p w14:paraId="19585704"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ուժեղացվելու է հսկողությունը ազատազրկման վայրերում պահվող անձանց հիմնարար իրավունքների, հատկապես վերջիններիս բժշկական օգնություն ստանալու իրավունքի պատշաճ իրացումն ապահովելու նկատմամբ,</w:t>
      </w:r>
    </w:p>
    <w:p w14:paraId="6D0EE71A"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պարբերաբար ուսումնասիրվելու և ամփոփվելու է պատիժների ու հարկադրանքի այլ միջոցների կիրառման օրինականության ոլորտում դատախազական հսկողության պրակտիկան և, ըստ այդմ, կանխորոշվելու են պատիժների և հարկադրանքի այլ միջոցների կիրառման օրինականության նկատմամբ հսկողության ոլորտի գերակա ուղղությունները:</w:t>
      </w:r>
    </w:p>
    <w:p w14:paraId="6FC4C88E" w14:textId="77777777" w:rsidR="00FA0954" w:rsidRPr="0020592A" w:rsidRDefault="00FA0954" w:rsidP="00FA0954">
      <w:pPr>
        <w:tabs>
          <w:tab w:val="num" w:pos="720"/>
          <w:tab w:val="left" w:pos="810"/>
        </w:tabs>
        <w:spacing w:line="276" w:lineRule="auto"/>
        <w:ind w:firstLine="540"/>
        <w:rPr>
          <w:rFonts w:cs="Times New Roman"/>
          <w:bCs/>
          <w:lang w:val="hy-AM"/>
        </w:rPr>
      </w:pPr>
      <w:r w:rsidRPr="0020592A">
        <w:rPr>
          <w:rFonts w:cs="Times New Roman"/>
          <w:lang w:val="hy-AM"/>
        </w:rPr>
        <w:t>Դատարանում մեղադրանքի պաշտպանության և վճիռների, դատավճիռների և որոշումների բողոքարկման ոլորտում ՀՀ դատախազության կողմից.</w:t>
      </w:r>
    </w:p>
    <w:p w14:paraId="6B4ED004"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բարձրացվելու է դատարանում մեղադրանքի պաշտպանության որակը,</w:t>
      </w:r>
    </w:p>
    <w:p w14:paraId="498F20F7"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ապահովվելու է մեղադրանքի պաշտպանության գործառույթի ինքնուրույնությունը և ակտիվությունը՝ մինչդատական վարույթից դրա անբաժանելիությունը չափավոր բացառելու միջոցով,</w:t>
      </w:r>
    </w:p>
    <w:p w14:paraId="12F072C8"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վեր են հանվելու մեղադրանքի պաշտպանության և դատական ակտերի բողոքարկման գործառույթների իրականացման հետ կապված իրավակարգավորման խնդիրները ու նախաձեռնողականություն է ցուցաբերվելու դրանք հստակ ուղղություններով լուծելու հարցում,</w:t>
      </w:r>
    </w:p>
    <w:p w14:paraId="2D702E56"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սահմանվելու և ապահովվելու են վերահսկողության մեխանիզմներ մեղադրանքի պաշտպանության նկատմամբ՝ նկատի ունենալով այդ դատավարական փուլի առանձնահատկությունները,</w:t>
      </w:r>
    </w:p>
    <w:p w14:paraId="43AE5E40"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ապահովվելու է գործի ելքի վրա ազդող դատավարական գործողությունների՝ մեղադրանքը փոփոխելու և մեղադրանքից հրաժարվելու լիազորությունների օրինականությունը,</w:t>
      </w:r>
    </w:p>
    <w:p w14:paraId="1362A242"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իրականացվելու է միասնական պատժողական քաղաքականություն՝ ապահովելով պատիժների կիրառման համաչափությունը,</w:t>
      </w:r>
    </w:p>
    <w:p w14:paraId="49F76BC2" w14:textId="77777777" w:rsidR="00FA0954" w:rsidRPr="0020592A" w:rsidRDefault="00FA0954" w:rsidP="00C0628C">
      <w:pPr>
        <w:numPr>
          <w:ilvl w:val="0"/>
          <w:numId w:val="34"/>
        </w:numPr>
        <w:tabs>
          <w:tab w:val="clear" w:pos="750"/>
          <w:tab w:val="num" w:pos="720"/>
          <w:tab w:val="left" w:pos="810"/>
        </w:tabs>
        <w:spacing w:before="0" w:after="0" w:line="276" w:lineRule="auto"/>
        <w:ind w:left="0" w:firstLine="540"/>
        <w:rPr>
          <w:rFonts w:cs="Times New Roman"/>
          <w:bCs/>
          <w:lang w:val="hy-AM"/>
        </w:rPr>
      </w:pPr>
      <w:r w:rsidRPr="0020592A">
        <w:rPr>
          <w:rFonts w:cs="Times New Roman"/>
          <w:lang w:val="hy-AM"/>
        </w:rPr>
        <w:t>ուժեղացվելու է վերահսկողությունը դատական ակտերի բողոքարկման ոլորտում՝ պատշաճ բողոքներ նախապատրաստելու և ներկայացնելու, վճռաբեկ բողոքարկման ոլորտում հատկապես իրավունքի զարգացման խնդիրներ առաջադրելու նպատակով:</w:t>
      </w:r>
    </w:p>
    <w:p w14:paraId="33EDCAA4" w14:textId="77777777" w:rsidR="00FA0954" w:rsidRPr="0020592A" w:rsidRDefault="00FA0954" w:rsidP="00FA0954">
      <w:pPr>
        <w:tabs>
          <w:tab w:val="num" w:pos="720"/>
          <w:tab w:val="left" w:pos="810"/>
        </w:tabs>
        <w:spacing w:line="276" w:lineRule="auto"/>
        <w:ind w:firstLine="540"/>
        <w:rPr>
          <w:rFonts w:cs="Times New Roman"/>
          <w:bCs/>
          <w:lang w:val="hy-AM"/>
        </w:rPr>
      </w:pPr>
      <w:r w:rsidRPr="0020592A">
        <w:rPr>
          <w:rFonts w:cs="Times New Roman"/>
          <w:lang w:val="hy-AM"/>
        </w:rPr>
        <w:t>Պետական շահերի պաշտպանության ոլորտում ՀՀ դատախազության կողմից.</w:t>
      </w:r>
    </w:p>
    <w:p w14:paraId="4483D543" w14:textId="77777777" w:rsidR="00FA0954" w:rsidRPr="0020592A" w:rsidRDefault="00FA0954" w:rsidP="00C0628C">
      <w:pPr>
        <w:numPr>
          <w:ilvl w:val="0"/>
          <w:numId w:val="35"/>
        </w:numPr>
        <w:tabs>
          <w:tab w:val="num" w:pos="720"/>
          <w:tab w:val="left" w:pos="810"/>
        </w:tabs>
        <w:spacing w:before="0" w:after="0" w:line="276" w:lineRule="auto"/>
        <w:ind w:left="0" w:firstLine="540"/>
        <w:rPr>
          <w:rFonts w:cs="Times New Roman"/>
          <w:bCs/>
          <w:lang w:val="hy-AM"/>
        </w:rPr>
      </w:pPr>
      <w:r w:rsidRPr="0020592A">
        <w:rPr>
          <w:rFonts w:cs="Times New Roman"/>
          <w:lang w:val="hy-AM"/>
        </w:rPr>
        <w:t>ակտիվացվելու է օրենքով սահմանված կարգով և դեպքերում քաղաքացիական դատավարության կարգով պետության գույքային շահերի, վարչական դատավարության կարգով պետության գույքային և ոչ գույքային շահերի և քրեական դատավարության կարգով հանցագործությամբ պետությանը ուղղակի պատճառված գույքային վնասի հատուցման հայց հարուցելու համար անհրաժեշտ ուսումնասիրությունների կատարման պրակտիկան,</w:t>
      </w:r>
    </w:p>
    <w:p w14:paraId="10994375" w14:textId="77777777" w:rsidR="00FA0954" w:rsidRPr="0020592A" w:rsidRDefault="00FA0954" w:rsidP="00C0628C">
      <w:pPr>
        <w:numPr>
          <w:ilvl w:val="0"/>
          <w:numId w:val="36"/>
        </w:numPr>
        <w:tabs>
          <w:tab w:val="num" w:pos="720"/>
          <w:tab w:val="left" w:pos="810"/>
        </w:tabs>
        <w:spacing w:before="0" w:after="0" w:line="276" w:lineRule="auto"/>
        <w:ind w:left="0" w:firstLine="540"/>
        <w:rPr>
          <w:rFonts w:cs="Times New Roman"/>
          <w:bCs/>
          <w:lang w:val="hy-AM"/>
        </w:rPr>
      </w:pPr>
      <w:r w:rsidRPr="0020592A">
        <w:rPr>
          <w:rFonts w:cs="Times New Roman"/>
          <w:lang w:val="hy-AM"/>
        </w:rPr>
        <w:t>բարձրացվեու է դատախազության տարածքային ստորաբաժանումների կողմից պետությանը պատճառված վնասի հատուցման ուղղությամբ ձեռնարկվող միջոցառումների արդյունավետությունը, հաշվի առնելով դատախազների ծանրաբեռնվածության աստիճանը՝ ակտիվացվելու է տարածքային դատախազությունների համագործակցությունը հանրապետական և տեղական հսկողական-տեսչական մարմինների հետ՝ դրանց ակտերով արձանագրված վնասների կապակցությամբ դատախազական ներգործության միջոցներ ձեռնարկելու միջոցով:</w:t>
      </w:r>
    </w:p>
    <w:p w14:paraId="62BDAA5B" w14:textId="77777777" w:rsidR="00FA0954" w:rsidRPr="0020592A" w:rsidRDefault="00FA0954" w:rsidP="00FA0954">
      <w:pPr>
        <w:tabs>
          <w:tab w:val="num" w:pos="720"/>
          <w:tab w:val="left" w:pos="810"/>
        </w:tabs>
        <w:spacing w:line="276" w:lineRule="auto"/>
        <w:ind w:firstLine="540"/>
        <w:rPr>
          <w:rFonts w:cs="Times New Roman"/>
          <w:bCs/>
          <w:lang w:val="hy-AM"/>
        </w:rPr>
      </w:pPr>
      <w:r w:rsidRPr="0020592A">
        <w:rPr>
          <w:lang w:val="hy-AM"/>
        </w:rPr>
        <w:t>Ա</w:t>
      </w:r>
      <w:r w:rsidRPr="0020592A">
        <w:rPr>
          <w:shd w:val="clear" w:color="auto" w:fill="FFFFFF"/>
          <w:lang w:val="hy-AM"/>
        </w:rPr>
        <w:t>պօրինի</w:t>
      </w:r>
      <w:r w:rsidRPr="0020592A">
        <w:rPr>
          <w:rFonts w:cs="Times New Roman"/>
          <w:shd w:val="clear" w:color="auto" w:fill="FFFFFF"/>
          <w:lang w:val="af-ZA"/>
        </w:rPr>
        <w:t xml:space="preserve"> </w:t>
      </w:r>
      <w:r w:rsidRPr="0020592A">
        <w:rPr>
          <w:shd w:val="clear" w:color="auto" w:fill="FFFFFF"/>
          <w:lang w:val="hy-AM"/>
        </w:rPr>
        <w:t>ծագում</w:t>
      </w:r>
      <w:r w:rsidRPr="0020592A">
        <w:rPr>
          <w:rFonts w:cs="Times New Roman"/>
          <w:shd w:val="clear" w:color="auto" w:fill="FFFFFF"/>
          <w:lang w:val="af-ZA"/>
        </w:rPr>
        <w:t xml:space="preserve"> </w:t>
      </w:r>
      <w:r w:rsidRPr="0020592A">
        <w:rPr>
          <w:shd w:val="clear" w:color="auto" w:fill="FFFFFF"/>
          <w:lang w:val="hy-AM"/>
        </w:rPr>
        <w:t>ունեցող</w:t>
      </w:r>
      <w:r w:rsidRPr="0020592A">
        <w:rPr>
          <w:rFonts w:cs="Times New Roman"/>
          <w:shd w:val="clear" w:color="auto" w:fill="FFFFFF"/>
          <w:lang w:val="af-ZA"/>
        </w:rPr>
        <w:t xml:space="preserve"> </w:t>
      </w:r>
      <w:r w:rsidRPr="0020592A">
        <w:rPr>
          <w:shd w:val="clear" w:color="auto" w:fill="FFFFFF"/>
          <w:lang w:val="hy-AM"/>
        </w:rPr>
        <w:t>գույքի</w:t>
      </w:r>
      <w:r w:rsidRPr="0020592A">
        <w:rPr>
          <w:rFonts w:cs="Times New Roman"/>
          <w:shd w:val="clear" w:color="auto" w:fill="FFFFFF"/>
          <w:lang w:val="af-ZA"/>
        </w:rPr>
        <w:t xml:space="preserve"> </w:t>
      </w:r>
      <w:r w:rsidRPr="0020592A">
        <w:rPr>
          <w:shd w:val="clear" w:color="auto" w:fill="FFFFFF"/>
          <w:lang w:val="hy-AM"/>
        </w:rPr>
        <w:t>բռնագանձման</w:t>
      </w:r>
      <w:r w:rsidRPr="0020592A">
        <w:rPr>
          <w:rFonts w:cs="Times New Roman"/>
          <w:shd w:val="clear" w:color="auto" w:fill="FFFFFF"/>
          <w:lang w:val="af-ZA"/>
        </w:rPr>
        <w:t xml:space="preserve"> </w:t>
      </w:r>
      <w:r w:rsidRPr="0020592A">
        <w:rPr>
          <w:rFonts w:cs="Times New Roman"/>
          <w:lang w:val="hy-AM"/>
        </w:rPr>
        <w:t>ոլորտում ՀՀ դատախազության կողմից.</w:t>
      </w:r>
    </w:p>
    <w:p w14:paraId="213D5082" w14:textId="77777777" w:rsidR="00FA0954" w:rsidRPr="0020592A" w:rsidRDefault="00FA0954" w:rsidP="00FA0954">
      <w:pPr>
        <w:tabs>
          <w:tab w:val="num" w:pos="720"/>
          <w:tab w:val="left" w:pos="810"/>
        </w:tabs>
        <w:spacing w:line="276" w:lineRule="auto"/>
        <w:ind w:firstLine="540"/>
        <w:rPr>
          <w:rFonts w:cs="Times New Roman"/>
          <w:bCs/>
          <w:lang w:val="hy-AM"/>
        </w:rPr>
      </w:pPr>
      <w:r w:rsidRPr="0020592A">
        <w:rPr>
          <w:rFonts w:cs="Times New Roman"/>
          <w:lang w:val="hy-AM"/>
        </w:rPr>
        <w:t xml:space="preserve">- ապօրինի ծագում ունեցող գույքի առկայության, դրա ծավալների և շահագրգիռ անձանց շրջանակի վերաբերյալ տվյալներ ձեռք բերելու նպատակով իրականացվելու են հայց հարուցելու հիմքերի ուսումնասիրություններ, այդ նպատակով պահանջվելու են անհրաժեշտ իրավական ակտեր, փաստաթղթեր, տեղեկություններ (այդ թվում՝ հարկային կամ մաքսային գաղտնիք համարվող), նախնական քննության տվյալներ, </w:t>
      </w:r>
    </w:p>
    <w:p w14:paraId="484650D6" w14:textId="77777777" w:rsidR="00FA0954" w:rsidRPr="0020592A" w:rsidRDefault="00FA0954" w:rsidP="00FA0954">
      <w:pPr>
        <w:tabs>
          <w:tab w:val="num" w:pos="720"/>
          <w:tab w:val="left" w:pos="810"/>
        </w:tabs>
        <w:spacing w:line="276" w:lineRule="auto"/>
        <w:ind w:firstLine="540"/>
        <w:rPr>
          <w:rFonts w:cs="Times New Roman"/>
          <w:bCs/>
          <w:lang w:val="hy-AM"/>
        </w:rPr>
      </w:pPr>
      <w:r w:rsidRPr="0020592A">
        <w:rPr>
          <w:rFonts w:cs="Times New Roman"/>
          <w:lang w:val="hy-AM"/>
        </w:rPr>
        <w:t>- ուսումնասիրության արդյունքներով դիմումներ են ներկայացվելու առաջին ատյանի դատարան՝ հայցի նախնական ապահովման միջոցներ, ինչպես նաև ապացույցների նախնական ապահովում կիրառելու մասին.</w:t>
      </w:r>
    </w:p>
    <w:p w14:paraId="4C97F1C4" w14:textId="77777777" w:rsidR="00FA0954" w:rsidRPr="0020592A" w:rsidRDefault="00FA0954" w:rsidP="00FA0954">
      <w:pPr>
        <w:tabs>
          <w:tab w:val="num" w:pos="720"/>
          <w:tab w:val="left" w:pos="810"/>
        </w:tabs>
        <w:spacing w:line="276" w:lineRule="auto"/>
        <w:ind w:firstLine="540"/>
        <w:rPr>
          <w:rFonts w:cs="Times New Roman"/>
          <w:bCs/>
          <w:lang w:val="hy-AM"/>
        </w:rPr>
      </w:pPr>
      <w:r w:rsidRPr="0020592A">
        <w:rPr>
          <w:rFonts w:cs="Times New Roman"/>
          <w:lang w:val="hy-AM"/>
        </w:rPr>
        <w:t>- ներկայացրած նյութերի և հավաքված ապացույցների հիման վրա կազմվելու են ուսումնասիրության արդյունքների վերաբերյալ եզրակացություններ, հարուցվելու են գույքի քաղաքացիական բռնագանձման հայցեր, կնքվելու են հաշտության համաձայնություններ.</w:t>
      </w:r>
    </w:p>
    <w:p w14:paraId="7C22C5BD" w14:textId="77777777" w:rsidR="00FA0954" w:rsidRPr="0020592A" w:rsidRDefault="00FA0954" w:rsidP="00FA0954">
      <w:pPr>
        <w:tabs>
          <w:tab w:val="num" w:pos="720"/>
          <w:tab w:val="left" w:pos="810"/>
        </w:tabs>
        <w:spacing w:line="276" w:lineRule="auto"/>
        <w:ind w:firstLine="540"/>
        <w:rPr>
          <w:rFonts w:cs="Times New Roman"/>
          <w:bCs/>
          <w:lang w:val="hy-AM"/>
        </w:rPr>
      </w:pPr>
      <w:r w:rsidRPr="0020592A">
        <w:rPr>
          <w:rFonts w:cs="Times New Roman"/>
          <w:lang w:val="hy-AM"/>
        </w:rPr>
        <w:t>- նոր երևան եկած կամ նոր հանգամանքներ ի հայտ գալու դեպքում, ՀՀ քաղաքացիական դատավարության օրենսգրքով սահմանված կարգով դատական ակտի վերանայման բողոք նախապատրաստելու և ներկայացնելու նպատակով վերսկսվելու են ավարտված ուսումնասիրությունները:</w:t>
      </w:r>
    </w:p>
    <w:p w14:paraId="5D08E62F" w14:textId="77777777" w:rsidR="00FA0954" w:rsidRPr="0020592A" w:rsidRDefault="00FA0954" w:rsidP="00FA0954">
      <w:pPr>
        <w:tabs>
          <w:tab w:val="left" w:pos="810"/>
        </w:tabs>
        <w:spacing w:line="276" w:lineRule="auto"/>
        <w:ind w:firstLine="540"/>
        <w:rPr>
          <w:lang w:val="hy-AM"/>
        </w:rPr>
      </w:pPr>
    </w:p>
    <w:p w14:paraId="39738319"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50" w:name="_Toc77837895"/>
      <w:bookmarkEnd w:id="646"/>
      <w:r w:rsidRPr="003504D4">
        <w:rPr>
          <w:color w:val="1F497D" w:themeColor="text2"/>
        </w:rPr>
        <w:t>22</w:t>
      </w:r>
      <w:r w:rsidR="00FA0954" w:rsidRPr="0020592A">
        <w:rPr>
          <w:color w:val="1F497D" w:themeColor="text2"/>
        </w:rPr>
        <w:t xml:space="preserve">.4. </w:t>
      </w:r>
      <w:r w:rsidR="00FA0954" w:rsidRPr="0020592A">
        <w:rPr>
          <w:rFonts w:cs="Sylfaen"/>
          <w:color w:val="1F497D" w:themeColor="text2"/>
        </w:rPr>
        <w:t>ՀՀ ՔՆՆՉԱԿԱՆ ԿՈՄԻՏԵ</w:t>
      </w:r>
      <w:bookmarkEnd w:id="650"/>
    </w:p>
    <w:p w14:paraId="1F7930BF"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 xml:space="preserve">ՀՀ Քննչական կոմիտեի լիազորություններն են Հայաստանի Հանրապետության քրեական դատավարության օրենսգրքով իր իրավասությանը վերապահված՝ ենթադրյալ հանցագործությունների կապակցությամբ նախաքննության կազմա-կերպումը և իրականացում: Որպես միչդատական վարույթ իրականացնող մարմին ՀՀ քննչական կոմիտեն սերտ փոխհամագործակցում է իրավապահ մյուս մարմինների հետ, ինչպես նաև մասնավորապես հետաքննության մարմինների, ինչպես նաև ՀՀ դատախազության հետ: Դատախազությունը հսկողություն է իրականացնում միչդատական քրեական վարույթի օրինականության նկատմամբ: </w:t>
      </w:r>
    </w:p>
    <w:p w14:paraId="074FE0FD"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ՀՀ քննչական կոմիտեն՝ որպես նախաքննություն իրականացնող մարմին պարտավոր է ձեռնարկել բոլոր միջոցառումները, որպեսզի իր գործունեության արդյունքում քրեական օրենսգրքերով չթույլատրված արարք կատարած յուրաքանչյուր ոք բացահայտվի և քրեական օրենքով նախատեսված դեպքերում, ՀՀ քրեական դատավարության օրենսգրքով սահմանված կարգով պատասխանատվության ենթարկվի: ՀՀ քննչական կոմիտեի քննիչները քրեական գործի պատշաճ քննությունն ու դրա արդյունավետությունն ապահովելու նպատակով կատարում են մի շարք քննչական գործողություններ, այդ թվում՝ նշանակում փորձաքննություններ, դատավարական փաստաթղթերը ներկայացնում թարգմանության և այլն: Քննված քրեական գործերով հանցագործությունների կատարմանը նպաստող պատճառների ու պայմանների պարզումը և դրանք վերացնելու և կանխելու ուղղված միջոցների ձեռնարկելու նպատակով` համապատասխան մարմիններին միջնորդագրերի ներկայացնելը, հանցագործությունների քննության մեթոդիկայի ուսումնասիրությունը, քննության դրական փորձի ներդրումը քննչական պրակտիկայում, ստացված դիմումների և բողոքների քննարկումն ու լուծումը, ինչը վերջնական արդյունքում ձգտում է՝ քննության որակի, բազմակողմանիության, լրիվության, օբեկտիվության և արդյունավետության ապահովում, մարդու և քաղաքացու իրավունքների, հիմնարար ազատությունների, անձնական անձեռնմխելիության և մյուս իրավունքների պաշտպանության ապահովում, նախաքնության ժամկետների անհարկի ձգձգումների բացառում, պետությանը և քաղաքացիններին պատճառված վնասի վերականգնման ապահովում, ՀՀ միջազգային պայմանագրերով նախատեսված քրեական գործերով իրավական օգնություն ցույց տալու հարցերի լուծում, կոռուպցիոն երևույթների ծագման, դրանց պատճառների և նպաստող պայմանների բացահայտման ու դրանց կանխմանն ուղղված գործուղությունների իրականացումը որը բխում է ՀՀ կառավարության 2019 թվականի ծրագրից:</w:t>
      </w:r>
    </w:p>
    <w:p w14:paraId="1E76F5F8"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ՀՀ քննչական կոմիտեի  կողմից իրականացվող գործունեության հիմնական նպատակն է քրեական գործերի քննությունը, որի շրջանակներում կարող է անհրաժեշտություն առաջանալ նշանակել մի շարք փորձաքննություններ, դատավարական փաստաթղթերը ներկայացնել թարգմանության, իրավական օգնության համար կազմել և ուղարկել միջազգային հարցումներ՝ համապատասխան երկրի պաշտոնական լեզվով, քննիչներին վերապատրաստելու և պատրաստելու  ուսուցումը կազմակերպելու համար ներգրավել մի շարք դասընթացներում, համապատասխան վերապատրաստման ծրագրերում, մասնագիտական պատրաստում անցնեղ ունկնդիրներին կրթաթոշակի տրամադրում և ՀՀ քննչական կոմիտեի տեխնիկական հագեցվածության բարելավում:</w:t>
      </w:r>
    </w:p>
    <w:p w14:paraId="54C6FD70"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p>
    <w:p w14:paraId="70F5A36D" w14:textId="77777777" w:rsidR="00FA0954" w:rsidRPr="0020592A" w:rsidRDefault="00EC4BA1" w:rsidP="00EC4BA1">
      <w:pPr>
        <w:pStyle w:val="Heading3"/>
        <w:tabs>
          <w:tab w:val="left" w:pos="810"/>
        </w:tabs>
        <w:spacing w:before="0" w:line="276" w:lineRule="auto"/>
        <w:ind w:left="547"/>
        <w:jc w:val="both"/>
        <w:rPr>
          <w:caps w:val="0"/>
          <w:color w:val="1F497D" w:themeColor="text2"/>
        </w:rPr>
      </w:pPr>
      <w:bookmarkStart w:id="651" w:name="_Toc77837896"/>
      <w:r w:rsidRPr="003504D4">
        <w:rPr>
          <w:color w:val="1F497D" w:themeColor="text2"/>
        </w:rPr>
        <w:t>22.5</w:t>
      </w:r>
      <w:r w:rsidR="00FA0954" w:rsidRPr="0020592A">
        <w:rPr>
          <w:color w:val="1F497D" w:themeColor="text2"/>
        </w:rPr>
        <w:t>. ՍԱՀՄԱՆԱԴՐԱԿԱՆ ԴԱՏԱՐԱՆ</w:t>
      </w:r>
      <w:bookmarkEnd w:id="651"/>
    </w:p>
    <w:p w14:paraId="1A8B8276" w14:textId="77777777" w:rsidR="00FA0954" w:rsidRPr="0020592A" w:rsidRDefault="00FA0954" w:rsidP="00FA0954">
      <w:pPr>
        <w:pStyle w:val="NormalWeb"/>
        <w:shd w:val="clear" w:color="auto" w:fill="FFFFFF"/>
        <w:tabs>
          <w:tab w:val="left" w:pos="810"/>
          <w:tab w:val="left" w:pos="1080"/>
        </w:tabs>
        <w:spacing w:before="120" w:after="0" w:line="276" w:lineRule="auto"/>
        <w:ind w:firstLine="547"/>
        <w:rPr>
          <w:rFonts w:cs="Sylfaen"/>
          <w:bCs/>
          <w:color w:val="000000"/>
          <w:kern w:val="16"/>
          <w:szCs w:val="22"/>
          <w:lang w:val="hy-AM"/>
        </w:rPr>
      </w:pPr>
      <w:r w:rsidRPr="0020592A">
        <w:rPr>
          <w:rFonts w:cs="Sylfaen"/>
          <w:bCs/>
          <w:color w:val="000000"/>
          <w:kern w:val="16"/>
          <w:szCs w:val="22"/>
          <w:lang w:val="hy-AM"/>
        </w:rPr>
        <w:t>ՀՀ սահմանադրական դատարանը Հայաստանի Հանրապետության իրավակարգում ապահովելով Սահմանադրության գերակայությունը և անմիջական գործողությունը, որպես ռազմավարական առաջնահերթ խնդիր Հայաստանի Հանրապետությունում իրականացնում է սահմանադրական արդարադատություն:</w:t>
      </w:r>
    </w:p>
    <w:p w14:paraId="7518B810"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ՀՀ սահմանադրական դատարանն օրենքով սահմանված կարգով շարունակելու է որոշել օրենքների, Ազգային ժողովի որոշումների, Հանրապետության Նախագահի հրամանագրերի, կառավարության, վարչապետի, ՏԻՄ որոշումների, մինչև միջազգային պայմանագրերի վավերացումը նրանցում ամրագրված պարտավորությունների համապատասխանությունը ՀՀ սահմանադրությանը, ինչպես նաև լուծելու է  հանրահավաքների արդյունքների ու պատգամավորների ընտրությունների արդյունքներով ընդունված որոշումների հետ կապված վեճերը:</w:t>
      </w:r>
    </w:p>
    <w:p w14:paraId="505A3DCA"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ՀՀ սահմանադրական դատարանի գործունեության ապահովում ծրագրով նախատեսված ՀՀ սահմանադրական դատարանի առաջնահերթ ռազմավարական նպատակներն են.</w:t>
      </w:r>
    </w:p>
    <w:p w14:paraId="31015184"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w:t>
      </w:r>
      <w:r w:rsidRPr="0020592A">
        <w:rPr>
          <w:rFonts w:cs="Sylfaen"/>
          <w:bCs/>
          <w:color w:val="000000"/>
          <w:kern w:val="16"/>
          <w:szCs w:val="22"/>
          <w:lang w:val="hy-AM"/>
        </w:rPr>
        <w:tab/>
        <w:t>Բարձրացնել սահմանադրական արդարադատության արդյունավետությունը, ապահովել Հայաստանի Հանրապետությունում սահմանադրության գերակայությունն ու անմիջական գործողությունը,</w:t>
      </w:r>
    </w:p>
    <w:p w14:paraId="1AA0F458"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w:t>
      </w:r>
      <w:r w:rsidRPr="0020592A">
        <w:rPr>
          <w:rFonts w:cs="Sylfaen"/>
          <w:bCs/>
          <w:color w:val="000000"/>
          <w:kern w:val="16"/>
          <w:szCs w:val="22"/>
          <w:lang w:val="hy-AM"/>
        </w:rPr>
        <w:tab/>
        <w:t>իր գործունեությամբ նպաստել սահմանադրության և նրանում ամրագրված իրավունքների ու պարտավորությունների նկատմամբ հասարակության վստահության բարձրացմանը,</w:t>
      </w:r>
    </w:p>
    <w:p w14:paraId="2BCAA112"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w:t>
      </w:r>
      <w:r w:rsidRPr="0020592A">
        <w:rPr>
          <w:rFonts w:cs="Sylfaen"/>
          <w:bCs/>
          <w:color w:val="000000"/>
          <w:kern w:val="16"/>
          <w:szCs w:val="22"/>
          <w:lang w:val="hy-AM"/>
        </w:rPr>
        <w:tab/>
        <w:t>սահմանված կարգով որոշում կայացնել օրենքների, Ազգային ժողովի որոշումների և այլ նորմատիվ ակտերի սահմանադրությանը համապատասխանության մասին,</w:t>
      </w:r>
    </w:p>
    <w:p w14:paraId="179205DC"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w:t>
      </w:r>
      <w:r w:rsidRPr="0020592A">
        <w:rPr>
          <w:rFonts w:cs="Sylfaen"/>
          <w:bCs/>
          <w:color w:val="000000"/>
          <w:kern w:val="16"/>
          <w:szCs w:val="22"/>
          <w:lang w:val="hy-AM"/>
        </w:rPr>
        <w:tab/>
        <w:t>շարունակել Հանրապետությունում իրավունքի գերակայության ապահովման ուղղությամբ գործունեությունը:</w:t>
      </w:r>
    </w:p>
    <w:p w14:paraId="57F785FD"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 xml:space="preserve">Հիմնական գերակա վերջնական արդյունքները, որոնց վրա գերատեսչությունը ձգտում է ներազդել, նրանց իրագործման ռազմավարությունով ՀՀ սահմանադրական դատարանը հետամուտ կլինի հետևյալ արդյունքներին, մասնավորապես՝ </w:t>
      </w:r>
    </w:p>
    <w:p w14:paraId="4DDC162C"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Օրենքով սահմանված կարգով որոշել օրենքների, Ազգային ժողովի որոշումների, այլ նորմատիվ ակտերի համապատասխանությունը Սահմանադրությանը, մինչև վավերացումը որոշել միջազգային պայմանագրերում ամրագրված պարտավորությունների համապատասխանությունը ՀՀ սահմանադրությանը, լուծել հանրաքվեների հետ կապված վեճերը:</w:t>
      </w:r>
    </w:p>
    <w:p w14:paraId="0F4B78F8"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Սահմանադրական դատարանի այս լիազորությունը սահմանված է Սահմանադրությամբ և առաջնահերթ է հանդիսանում առաջիկա տարիների համար:</w:t>
      </w:r>
    </w:p>
    <w:p w14:paraId="5D6C738C" w14:textId="77777777" w:rsidR="00FA0954" w:rsidRPr="0020592A"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 xml:space="preserve">ՀՀ սահմանադրական դատարանի գործունեության ապահովում ծրագրի իրականացման արդյունքնում ակնկալվում է  Օրենքով սահմանված կարգով լուծելով ընդունված որոշումների, օրենքների, իրավական այլ ակտերի սահմանադրությանը համապատասխանությունը՝ ապահովելով նրանց արդյունավետ գործողությունը:  Սահմանադրական արդարադատություն իրականացնելիս սահմանադրական դատարանն անկախ է և ենթարկվում է միայն Սահմանադրությանը: Սահմանադրական դատարանի որոշումներին բնորոշ են պարտադիրությունը, վերջնական լինելը, անմիջական գործողությունը: </w:t>
      </w:r>
    </w:p>
    <w:p w14:paraId="24999734" w14:textId="77777777" w:rsidR="00FA0954" w:rsidRDefault="00FA0954"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20592A">
        <w:rPr>
          <w:rFonts w:cs="Sylfaen"/>
          <w:bCs/>
          <w:color w:val="000000"/>
          <w:kern w:val="16"/>
          <w:szCs w:val="22"/>
          <w:lang w:val="hy-AM"/>
        </w:rPr>
        <w:t>ՍԴ-ի՝ գործով ըստ էության ընդունված որոշումները պարտադիր են բոլոր պետական և տեղական ինքնակառավարման մարմինների, դրանց պաշտոնատար անձնաց, ինչպես նաև ֆիզիկական և իրավաբանական անձանց համար ՀՀ-ի ամբողջ տարածքում: ՍԴ-ի խնդիրը վիճարկվող իրավական նորմի հետագա իրավաբանական ճակատագրի որոշումն է: Կախված ՍԴ-ի որոշումից՝ վիճարկվող իրավական ակտը կամ կորցնում է իր իրավաբանակն ուժը, կամ շարունակում է պահպանել իր գործողությունը: Այդ իսկ պատճառով ՍԴ-ի որոշումները տարածվում են ոչ միայն վիճարկվող նորմի կիրառման հետ կապված կոնկրետ գործի վրա. Վիճարկվող նորմատիվ ակտի հակասահմանադրականության վերաբերյալ ՍԴ-ի որոշումն ունի գործողության այնպիսի ոլորտ, ինչպիսին որ ունի նորաստեղծ մարմնի նորմատիվ ակտը:</w:t>
      </w:r>
    </w:p>
    <w:p w14:paraId="334A7B76" w14:textId="77777777" w:rsidR="009B12D9" w:rsidRDefault="009B12D9" w:rsidP="00FA0954">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p>
    <w:p w14:paraId="4B6F21FA" w14:textId="77777777" w:rsidR="009B12D9" w:rsidRPr="00EA4A06" w:rsidRDefault="00533DE5" w:rsidP="009B12D9">
      <w:pPr>
        <w:pStyle w:val="Heading3"/>
        <w:tabs>
          <w:tab w:val="left" w:pos="810"/>
        </w:tabs>
        <w:spacing w:before="0" w:after="120" w:line="276" w:lineRule="auto"/>
        <w:ind w:left="540"/>
        <w:jc w:val="both"/>
        <w:rPr>
          <w:rFonts w:cs="Sylfaen"/>
          <w:color w:val="1F497D" w:themeColor="text2"/>
        </w:rPr>
      </w:pPr>
      <w:bookmarkStart w:id="652" w:name="_Toc77837897"/>
      <w:r w:rsidRPr="003504D4">
        <w:rPr>
          <w:caps w:val="0"/>
          <w:color w:val="1F497D" w:themeColor="text2"/>
        </w:rPr>
        <w:t>22</w:t>
      </w:r>
      <w:r w:rsidRPr="0020592A">
        <w:rPr>
          <w:caps w:val="0"/>
          <w:color w:val="1F497D" w:themeColor="text2"/>
        </w:rPr>
        <w:t xml:space="preserve">.6. </w:t>
      </w:r>
      <w:r w:rsidRPr="00EA4A06">
        <w:rPr>
          <w:rFonts w:cs="Sylfaen"/>
          <w:caps w:val="0"/>
          <w:color w:val="1F497D" w:themeColor="text2"/>
        </w:rPr>
        <w:t>ՀՀ ՄԱՐԴՈՒ ԻՐԱՎՈՒՆՔՆԵՐԻ ՊԱՇՏՊԱՆ</w:t>
      </w:r>
      <w:bookmarkEnd w:id="652"/>
    </w:p>
    <w:p w14:paraId="017751EF" w14:textId="77777777" w:rsidR="00EA4A06" w:rsidRPr="00EA4A06" w:rsidRDefault="00EA4A06" w:rsidP="00EA4A06">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EA4A06">
        <w:rPr>
          <w:rFonts w:cs="Sylfaen"/>
          <w:bCs/>
          <w:color w:val="000000"/>
          <w:kern w:val="16"/>
          <w:szCs w:val="22"/>
          <w:lang w:val="hy-AM"/>
        </w:rPr>
        <w:t xml:space="preserve">ՀՀ մարդու իրավունքների պաշտպանը՝ որպես անկախ սահմանադրական ինստիտուտ, հետևում է պետական և տեղական ինքնակառավարման մարմինների ու պաշտոնատար անձանց, իսկ օրենքով սահմանված դեպքերում` նաև կազմակերպությունների կողմից մարդու իրավունքների և ազատությունների պահպանմանը, նպաստում է խախտված իրավունքների և ազատությունների վերականգնմանը, իրավունքներին ու ազատություններին առնչվող նորմատիվ իրավական ակտերի կատարելագործմանը: </w:t>
      </w:r>
    </w:p>
    <w:p w14:paraId="598EF6B2" w14:textId="77777777" w:rsidR="00EA4A06" w:rsidRPr="00EA4A06" w:rsidRDefault="00EA4A06" w:rsidP="00EA4A06">
      <w:pPr>
        <w:pStyle w:val="NormalWeb"/>
        <w:shd w:val="clear" w:color="auto" w:fill="FFFFFF"/>
        <w:tabs>
          <w:tab w:val="left" w:pos="810"/>
          <w:tab w:val="left" w:pos="1080"/>
        </w:tabs>
        <w:spacing w:before="0" w:after="0" w:line="276" w:lineRule="auto"/>
        <w:ind w:firstLine="547"/>
        <w:rPr>
          <w:rFonts w:cs="Sylfaen"/>
          <w:bCs/>
          <w:color w:val="000000"/>
          <w:kern w:val="16"/>
          <w:szCs w:val="22"/>
          <w:lang w:val="hy-AM"/>
        </w:rPr>
      </w:pPr>
      <w:r w:rsidRPr="00EA4A06">
        <w:rPr>
          <w:rFonts w:cs="Sylfaen"/>
          <w:bCs/>
          <w:color w:val="000000"/>
          <w:kern w:val="16"/>
          <w:szCs w:val="22"/>
          <w:lang w:val="hy-AM"/>
        </w:rPr>
        <w:t xml:space="preserve">Մարդու իրավունքների պաշտպանի գործունեությունն ընդգրկում է հետևյալ հիմնական ուղղությունները. </w:t>
      </w:r>
    </w:p>
    <w:p w14:paraId="5C9ADF55" w14:textId="77777777" w:rsidR="00EA4A06" w:rsidRPr="00EA4A06" w:rsidRDefault="00EA4A06" w:rsidP="00C0628C">
      <w:pPr>
        <w:pStyle w:val="NormalWeb"/>
        <w:numPr>
          <w:ilvl w:val="0"/>
          <w:numId w:val="40"/>
        </w:numPr>
        <w:shd w:val="clear" w:color="auto" w:fill="FFFFFF"/>
        <w:tabs>
          <w:tab w:val="left" w:pos="540"/>
        </w:tabs>
        <w:spacing w:before="0" w:after="0" w:line="276" w:lineRule="auto"/>
        <w:ind w:left="540" w:hanging="540"/>
        <w:rPr>
          <w:rFonts w:cs="Sylfaen"/>
          <w:bCs/>
          <w:color w:val="000000"/>
          <w:kern w:val="16"/>
          <w:szCs w:val="22"/>
          <w:lang w:val="hy-AM"/>
        </w:rPr>
      </w:pPr>
      <w:r w:rsidRPr="00EA4A06">
        <w:rPr>
          <w:rFonts w:cs="Sylfaen"/>
          <w:bCs/>
          <w:color w:val="000000"/>
          <w:kern w:val="16"/>
          <w:szCs w:val="22"/>
          <w:lang w:val="hy-AM"/>
        </w:rPr>
        <w:t xml:space="preserve">անհատական բողոքների և դիմումների քննարկում, մշտադիտարկման այցեր, դրանց արդյունքներով համակարգային խնդիրների վերհանում, </w:t>
      </w:r>
    </w:p>
    <w:p w14:paraId="3C76AEEC" w14:textId="77777777" w:rsidR="00EA4A06" w:rsidRPr="00EA4A06" w:rsidRDefault="00EA4A06" w:rsidP="00C0628C">
      <w:pPr>
        <w:pStyle w:val="NormalWeb"/>
        <w:numPr>
          <w:ilvl w:val="0"/>
          <w:numId w:val="40"/>
        </w:numPr>
        <w:shd w:val="clear" w:color="auto" w:fill="FFFFFF"/>
        <w:tabs>
          <w:tab w:val="left" w:pos="540"/>
        </w:tabs>
        <w:spacing w:before="0" w:after="0" w:line="276" w:lineRule="auto"/>
        <w:ind w:left="540" w:hanging="540"/>
        <w:rPr>
          <w:rFonts w:cs="Sylfaen"/>
          <w:bCs/>
          <w:color w:val="000000"/>
          <w:kern w:val="16"/>
          <w:szCs w:val="22"/>
          <w:lang w:val="hy-AM"/>
        </w:rPr>
      </w:pPr>
      <w:r w:rsidRPr="00EA4A06">
        <w:rPr>
          <w:rFonts w:cs="Sylfaen"/>
          <w:bCs/>
          <w:color w:val="000000"/>
          <w:kern w:val="16"/>
          <w:szCs w:val="22"/>
          <w:lang w:val="hy-AM"/>
        </w:rPr>
        <w:t>մարդու իրավունքներին և ազատություններին վերաբերող նորմատիվ իրավական ակտերի նախագծերի վերաբերյալ իրավասու մարմին կարծիքների տրամադրում,</w:t>
      </w:r>
    </w:p>
    <w:p w14:paraId="302174EB" w14:textId="77777777" w:rsidR="00EA4A06" w:rsidRPr="00EA4A06" w:rsidRDefault="00EA4A06" w:rsidP="00C0628C">
      <w:pPr>
        <w:pStyle w:val="NormalWeb"/>
        <w:numPr>
          <w:ilvl w:val="0"/>
          <w:numId w:val="40"/>
        </w:numPr>
        <w:shd w:val="clear" w:color="auto" w:fill="FFFFFF"/>
        <w:tabs>
          <w:tab w:val="left" w:pos="540"/>
        </w:tabs>
        <w:spacing w:before="0" w:after="0" w:line="276" w:lineRule="auto"/>
        <w:ind w:left="540" w:hanging="540"/>
        <w:rPr>
          <w:rFonts w:cs="Sylfaen"/>
          <w:bCs/>
          <w:color w:val="000000"/>
          <w:kern w:val="16"/>
          <w:szCs w:val="22"/>
          <w:lang w:val="hy-AM"/>
        </w:rPr>
      </w:pPr>
      <w:r w:rsidRPr="00EA4A06">
        <w:rPr>
          <w:rFonts w:cs="Sylfaen"/>
          <w:bCs/>
          <w:color w:val="000000"/>
          <w:kern w:val="16"/>
          <w:szCs w:val="22"/>
          <w:lang w:val="hy-AM"/>
        </w:rPr>
        <w:t>մարդու իրավունքների ու ազատությունների ապահովմանն ուղղված օրենսդրական նախագծերի մշակում</w:t>
      </w:r>
    </w:p>
    <w:p w14:paraId="0E8F2567" w14:textId="77777777" w:rsidR="00EA4A06" w:rsidRPr="00EA4A06" w:rsidRDefault="00EA4A06" w:rsidP="00C0628C">
      <w:pPr>
        <w:pStyle w:val="NormalWeb"/>
        <w:numPr>
          <w:ilvl w:val="0"/>
          <w:numId w:val="40"/>
        </w:numPr>
        <w:shd w:val="clear" w:color="auto" w:fill="FFFFFF"/>
        <w:tabs>
          <w:tab w:val="left" w:pos="540"/>
        </w:tabs>
        <w:spacing w:before="0" w:after="0" w:line="276" w:lineRule="auto"/>
        <w:ind w:left="540" w:hanging="540"/>
        <w:rPr>
          <w:rFonts w:cs="Sylfaen"/>
          <w:bCs/>
          <w:color w:val="000000"/>
          <w:kern w:val="16"/>
          <w:szCs w:val="22"/>
          <w:lang w:val="hy-AM"/>
        </w:rPr>
      </w:pPr>
      <w:r w:rsidRPr="00EA4A06">
        <w:rPr>
          <w:rFonts w:cs="Sylfaen"/>
          <w:bCs/>
          <w:color w:val="000000"/>
          <w:kern w:val="16"/>
          <w:szCs w:val="22"/>
          <w:lang w:val="hy-AM"/>
        </w:rPr>
        <w:t xml:space="preserve">օրենքների, Ազգային ժողովի որոշումների, Հանրապետության նախագահի հրամանագրերի և կարգադրությունների, Կառավարության և վարչապետի որոշումների, ենթաօրենսդրական նորմատիվ իրավական ակտերի Սահմանադրության 2-րդ գլխի դրույթներին համապատասխանության հարցերով Սահմանադրական դատարան դիմումների հասցեագրում, </w:t>
      </w:r>
    </w:p>
    <w:p w14:paraId="249AA594" w14:textId="77777777" w:rsidR="00EA4A06" w:rsidRPr="00EA4A06" w:rsidRDefault="00EA4A06" w:rsidP="00C0628C">
      <w:pPr>
        <w:pStyle w:val="NormalWeb"/>
        <w:numPr>
          <w:ilvl w:val="0"/>
          <w:numId w:val="40"/>
        </w:numPr>
        <w:shd w:val="clear" w:color="auto" w:fill="FFFFFF"/>
        <w:tabs>
          <w:tab w:val="left" w:pos="540"/>
        </w:tabs>
        <w:spacing w:before="0" w:after="0" w:line="276" w:lineRule="auto"/>
        <w:ind w:left="540" w:hanging="540"/>
        <w:rPr>
          <w:rFonts w:cs="Sylfaen"/>
          <w:bCs/>
          <w:color w:val="000000"/>
          <w:kern w:val="16"/>
          <w:szCs w:val="22"/>
          <w:lang w:val="hy-AM"/>
        </w:rPr>
      </w:pPr>
      <w:r w:rsidRPr="00EA4A06">
        <w:rPr>
          <w:rFonts w:cs="Sylfaen"/>
          <w:bCs/>
          <w:color w:val="000000"/>
          <w:kern w:val="16"/>
          <w:szCs w:val="22"/>
          <w:lang w:val="hy-AM"/>
        </w:rPr>
        <w:t xml:space="preserve">Սահմանադրական դատարանում քննվող՝ Սահմանադրության 2-րդ գլխի դրույթներին հակասությանը վերաբերող դիմումների վերաբերյալ հատուկ կարծիքների ներկայացում, </w:t>
      </w:r>
    </w:p>
    <w:p w14:paraId="5BCEEB57" w14:textId="77777777" w:rsidR="00EA4A06" w:rsidRPr="00EA4A06" w:rsidRDefault="00EA4A06" w:rsidP="00C0628C">
      <w:pPr>
        <w:pStyle w:val="NormalWeb"/>
        <w:numPr>
          <w:ilvl w:val="0"/>
          <w:numId w:val="40"/>
        </w:numPr>
        <w:shd w:val="clear" w:color="auto" w:fill="FFFFFF"/>
        <w:tabs>
          <w:tab w:val="left" w:pos="540"/>
        </w:tabs>
        <w:spacing w:before="0" w:after="0" w:line="276" w:lineRule="auto"/>
        <w:ind w:left="540" w:hanging="540"/>
        <w:rPr>
          <w:rFonts w:cs="Sylfaen"/>
          <w:bCs/>
          <w:color w:val="000000"/>
          <w:kern w:val="16"/>
          <w:szCs w:val="22"/>
          <w:lang w:val="hy-AM"/>
        </w:rPr>
      </w:pPr>
      <w:r w:rsidRPr="00EA4A06">
        <w:rPr>
          <w:rFonts w:cs="Sylfaen"/>
          <w:bCs/>
          <w:color w:val="000000"/>
          <w:kern w:val="16"/>
          <w:szCs w:val="22"/>
          <w:lang w:val="hy-AM"/>
        </w:rPr>
        <w:t>մարդու իրավունքների կրթությանն ու իրազեկմանն ուղղված շարունակական միջոցառումների անցկացում:</w:t>
      </w:r>
    </w:p>
    <w:p w14:paraId="2C275ADF" w14:textId="77777777" w:rsidR="009B12D9" w:rsidRPr="0020592A" w:rsidRDefault="009B12D9" w:rsidP="00EA4A06">
      <w:pPr>
        <w:tabs>
          <w:tab w:val="left" w:pos="810"/>
          <w:tab w:val="left" w:pos="1080"/>
        </w:tabs>
        <w:spacing w:line="276" w:lineRule="auto"/>
        <w:ind w:firstLine="547"/>
        <w:rPr>
          <w:caps/>
          <w:color w:val="1F497D" w:themeColor="text2"/>
          <w:lang w:val="hy-AM"/>
        </w:rPr>
      </w:pPr>
    </w:p>
    <w:p w14:paraId="7CD5F6EC" w14:textId="77777777" w:rsidR="009B12D9" w:rsidRPr="0020592A" w:rsidRDefault="009B12D9" w:rsidP="009B12D9">
      <w:pPr>
        <w:pStyle w:val="Heading3"/>
        <w:tabs>
          <w:tab w:val="left" w:pos="810"/>
        </w:tabs>
        <w:spacing w:before="0" w:after="120" w:line="276" w:lineRule="auto"/>
        <w:ind w:left="540"/>
        <w:jc w:val="both"/>
        <w:rPr>
          <w:color w:val="1F497D" w:themeColor="text2"/>
        </w:rPr>
      </w:pPr>
      <w:bookmarkStart w:id="653" w:name="_Toc77837898"/>
      <w:r w:rsidRPr="003504D4">
        <w:rPr>
          <w:color w:val="1F497D" w:themeColor="text2"/>
        </w:rPr>
        <w:t>22</w:t>
      </w:r>
      <w:r w:rsidRPr="0020592A">
        <w:rPr>
          <w:color w:val="1F497D" w:themeColor="text2"/>
        </w:rPr>
        <w:t>.</w:t>
      </w:r>
      <w:r w:rsidRPr="00533DE5">
        <w:rPr>
          <w:color w:val="1F497D" w:themeColor="text2"/>
        </w:rPr>
        <w:t>7</w:t>
      </w:r>
      <w:r w:rsidRPr="0020592A">
        <w:rPr>
          <w:color w:val="1F497D" w:themeColor="text2"/>
        </w:rPr>
        <w:t xml:space="preserve">. </w:t>
      </w:r>
      <w:r w:rsidRPr="0020592A">
        <w:rPr>
          <w:rFonts w:cs="Sylfaen"/>
          <w:color w:val="1F497D" w:themeColor="text2"/>
        </w:rPr>
        <w:t>ԲԱՐՁՐԱԳՈՒՅՆ ԴԱՏԱԿԱՆ ԽՈՐՀՈՒՐԴ</w:t>
      </w:r>
      <w:bookmarkEnd w:id="653"/>
    </w:p>
    <w:p w14:paraId="376EBABD" w14:textId="77777777" w:rsidR="00FA0954" w:rsidRPr="0020592A" w:rsidRDefault="009B12D9" w:rsidP="00146C6E">
      <w:pPr>
        <w:tabs>
          <w:tab w:val="left" w:pos="810"/>
          <w:tab w:val="left" w:pos="1080"/>
        </w:tabs>
        <w:spacing w:line="276" w:lineRule="auto"/>
        <w:ind w:firstLine="547"/>
        <w:rPr>
          <w:kern w:val="16"/>
          <w:lang w:val="hy-AM"/>
        </w:rPr>
      </w:pPr>
      <w:r w:rsidRPr="0020592A">
        <w:rPr>
          <w:kern w:val="16"/>
          <w:lang w:val="hy-AM"/>
        </w:rPr>
        <w:t xml:space="preserve">Բարձրագույն դատական խորհուրդն անկախ պետական մարմին է, որը Սահմանադրությամբ և «ՀՀ դատական օրենսգրիք» ՀՀ սահմանադրական օրենքով սահմանված լիազորություններն իրականացնելու միջոցով երաշխավորում է դատարանների և դատավորների անկախությունը: Բարձրագույն դատական խորհրդի գլխավոր նպատակն է նախադրյալներ ստեղծել Հայաստանում ձևավորելու արդարադատության անկախության, անաչառության, մատչելիության, թափանցիկության, հաշվետվողականության </w:t>
      </w:r>
      <w:r w:rsidR="00FA0954" w:rsidRPr="0020592A">
        <w:rPr>
          <w:kern w:val="16"/>
          <w:lang w:val="hy-AM"/>
        </w:rPr>
        <w:t>և արդյունավետության նոր մշակույթ: Բարձրագույն դատական խորհրդի կողմից որդեգրվել են փոխկապակցված ու փոխլրացնող ռազմավարական ուղղություններ, մոտեցումը համակարգային է, հատվածական կամ այսրոպեական լուծումները չեն կարող ակնկալվող արդյունքներն ապահովել: Հստակ առանձնացվում են ճգնաժամային և ֆունկցիոնալ կառավարման խնդիրներ:</w:t>
      </w:r>
    </w:p>
    <w:p w14:paraId="2DFEBA01" w14:textId="77777777" w:rsidR="00FA0954" w:rsidRPr="0020592A" w:rsidRDefault="00FA0954" w:rsidP="00146C6E">
      <w:pPr>
        <w:tabs>
          <w:tab w:val="left" w:pos="810"/>
          <w:tab w:val="left" w:pos="1080"/>
        </w:tabs>
        <w:spacing w:line="276" w:lineRule="auto"/>
        <w:ind w:firstLine="547"/>
        <w:rPr>
          <w:kern w:val="16"/>
          <w:lang w:val="hy-AM"/>
        </w:rPr>
      </w:pPr>
      <w:r w:rsidRPr="0020592A">
        <w:rPr>
          <w:kern w:val="16"/>
          <w:lang w:val="hy-AM"/>
        </w:rPr>
        <w:t>Բարձրագույն դատական խորհրդի կողմից մշակված արդյունավետ արդարադատության արդյունավետության ռազմավարական առաջնահերթությունների շրջանակներում նախատեսվում են օրենսդրական  և կազմակերպչական բնույթի այնպիսի քայլեր, ինչպիսին են արդարադատության ծախսատարության կրճատումը, էլեկտրոնային արդարադատության փուլային ներդրումը, դատական գործերի կառավարման ժամանակակից թվայնացված համա-կարգի ներդրումը, արդարադատության   համակարգային մշտադիտարկումը, դատական արխիվների և ընթացիկ գործերի ամբողջական թվայնացման համակարգի արմատավորումը, դատարանների շենքային ու նյութատեխնիկական պայմանների որակական բարելավումը, դատարանների ու դատավորների նյութական ու սոցիալական անկախու¬թյան անհրաժեշտ ու բավարար երաշխիքների ապահովումը, դատավորների օպտիմալ ծանրաբեռնվածության ապահովումը:</w:t>
      </w:r>
    </w:p>
    <w:p w14:paraId="20328DEF" w14:textId="77777777" w:rsidR="00FA0954" w:rsidRDefault="00FA0954" w:rsidP="00146C6E">
      <w:pPr>
        <w:tabs>
          <w:tab w:val="left" w:pos="810"/>
          <w:tab w:val="left" w:pos="1080"/>
        </w:tabs>
        <w:spacing w:line="276" w:lineRule="auto"/>
        <w:ind w:firstLine="547"/>
        <w:rPr>
          <w:kern w:val="16"/>
          <w:lang w:val="hy-AM"/>
        </w:rPr>
      </w:pPr>
      <w:r w:rsidRPr="0020592A">
        <w:rPr>
          <w:kern w:val="16"/>
          <w:lang w:val="hy-AM"/>
        </w:rPr>
        <w:t xml:space="preserve"> «Դատական իշխանության գործունեության ապահովում և իրականացում» ծրագրի նպատակն է Դատական իշխանության անկախության երաշխավորումը, բնականոն գործունեության և դատական պաշտպանության իրավունքի ապահովումը: Ծրագրի գծով 2022-2024թթ. համար սահմանվել են հետևյալ թիրախային ցուցանիշները՝</w:t>
      </w:r>
    </w:p>
    <w:p w14:paraId="4E7BCDEF" w14:textId="77777777" w:rsidR="00146C6E" w:rsidRPr="0020592A" w:rsidRDefault="00146C6E" w:rsidP="00FA0954">
      <w:pPr>
        <w:tabs>
          <w:tab w:val="left" w:pos="810"/>
          <w:tab w:val="left" w:pos="1080"/>
        </w:tabs>
        <w:spacing w:line="276" w:lineRule="auto"/>
        <w:ind w:firstLine="547"/>
        <w:rPr>
          <w:kern w:val="16"/>
          <w:lang w:val="hy-AM"/>
        </w:rPr>
      </w:pPr>
    </w:p>
    <w:tbl>
      <w:tblPr>
        <w:tblW w:w="9835" w:type="dxa"/>
        <w:tblInd w:w="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65"/>
        <w:gridCol w:w="2970"/>
      </w:tblGrid>
      <w:tr w:rsidR="00FA0954" w:rsidRPr="0020592A" w14:paraId="0920A332" w14:textId="77777777" w:rsidTr="00146C6E">
        <w:trPr>
          <w:trHeight w:val="99"/>
        </w:trPr>
        <w:tc>
          <w:tcPr>
            <w:tcW w:w="6865" w:type="dxa"/>
            <w:shd w:val="clear" w:color="auto" w:fill="auto"/>
            <w:vAlign w:val="center"/>
          </w:tcPr>
          <w:p w14:paraId="7E9827EE" w14:textId="77777777" w:rsidR="00FA0954" w:rsidRPr="0020592A" w:rsidRDefault="00FA0954" w:rsidP="00146C6E">
            <w:pPr>
              <w:spacing w:line="276" w:lineRule="auto"/>
              <w:ind w:firstLine="0"/>
              <w:jc w:val="center"/>
              <w:rPr>
                <w:rFonts w:cs="Calibri"/>
                <w:b/>
                <w:bCs/>
              </w:rPr>
            </w:pPr>
            <w:r w:rsidRPr="0020592A">
              <w:rPr>
                <w:rFonts w:cs="Calibri"/>
                <w:b/>
              </w:rPr>
              <w:t>Չափորոշիչը</w:t>
            </w:r>
          </w:p>
        </w:tc>
        <w:tc>
          <w:tcPr>
            <w:tcW w:w="2970" w:type="dxa"/>
            <w:shd w:val="clear" w:color="auto" w:fill="auto"/>
            <w:vAlign w:val="center"/>
          </w:tcPr>
          <w:p w14:paraId="2E40DB0F" w14:textId="77777777" w:rsidR="00FA0954" w:rsidRPr="0020592A" w:rsidRDefault="00FA0954" w:rsidP="00146C6E">
            <w:pPr>
              <w:spacing w:line="276" w:lineRule="auto"/>
              <w:ind w:firstLine="0"/>
              <w:rPr>
                <w:rFonts w:cs="Calibri"/>
                <w:b/>
                <w:bCs/>
              </w:rPr>
            </w:pPr>
            <w:r w:rsidRPr="0020592A">
              <w:rPr>
                <w:rFonts w:cs="Calibri"/>
                <w:b/>
              </w:rPr>
              <w:t>Ցուցանիշի մակարդակը</w:t>
            </w:r>
          </w:p>
        </w:tc>
      </w:tr>
      <w:tr w:rsidR="00FA0954" w:rsidRPr="0020592A" w14:paraId="54030742" w14:textId="77777777" w:rsidTr="00146C6E">
        <w:trPr>
          <w:trHeight w:val="179"/>
        </w:trPr>
        <w:tc>
          <w:tcPr>
            <w:tcW w:w="6865" w:type="dxa"/>
            <w:shd w:val="clear" w:color="auto" w:fill="auto"/>
            <w:vAlign w:val="center"/>
          </w:tcPr>
          <w:p w14:paraId="44217959" w14:textId="77777777" w:rsidR="00FA0954" w:rsidRPr="0020592A" w:rsidRDefault="00FA0954" w:rsidP="00FA0954">
            <w:pPr>
              <w:spacing w:line="276" w:lineRule="auto"/>
              <w:ind w:firstLine="0"/>
              <w:jc w:val="left"/>
              <w:rPr>
                <w:rFonts w:cs="Calibri"/>
                <w:bCs/>
              </w:rPr>
            </w:pPr>
            <w:r w:rsidRPr="0020592A">
              <w:rPr>
                <w:rFonts w:cs="Calibri"/>
                <w:iCs/>
              </w:rPr>
              <w:t>Ըստ WEF-ի ցուցանիշի՝ դատական համակարգի անկախությունը իշխանության այլ ճյուղերի, անհատների կամ ընկերությունների ազդեցությունից</w:t>
            </w:r>
          </w:p>
        </w:tc>
        <w:tc>
          <w:tcPr>
            <w:tcW w:w="2970" w:type="dxa"/>
            <w:shd w:val="clear" w:color="auto" w:fill="auto"/>
            <w:vAlign w:val="center"/>
          </w:tcPr>
          <w:p w14:paraId="53393069" w14:textId="77777777" w:rsidR="00FA0954" w:rsidRPr="0020592A" w:rsidRDefault="00FA0954" w:rsidP="00FA0954">
            <w:pPr>
              <w:spacing w:line="276" w:lineRule="auto"/>
              <w:ind w:firstLine="0"/>
              <w:jc w:val="center"/>
              <w:rPr>
                <w:rFonts w:cs="Calibri"/>
                <w:bCs/>
              </w:rPr>
            </w:pPr>
            <w:r w:rsidRPr="0020592A">
              <w:rPr>
                <w:rFonts w:cs="Calibri"/>
              </w:rPr>
              <w:t>6,3</w:t>
            </w:r>
          </w:p>
        </w:tc>
      </w:tr>
    </w:tbl>
    <w:p w14:paraId="133A4406" w14:textId="77777777" w:rsidR="00FA0954" w:rsidRPr="0020592A" w:rsidRDefault="00FA0954" w:rsidP="00FA0954">
      <w:pPr>
        <w:tabs>
          <w:tab w:val="left" w:pos="810"/>
          <w:tab w:val="left" w:pos="1080"/>
        </w:tabs>
        <w:spacing w:line="276" w:lineRule="auto"/>
        <w:ind w:firstLine="547"/>
        <w:rPr>
          <w:kern w:val="16"/>
        </w:rPr>
      </w:pPr>
    </w:p>
    <w:p w14:paraId="3D5053E0" w14:textId="77777777" w:rsidR="00FA0954" w:rsidRPr="0020592A" w:rsidRDefault="00FA0954" w:rsidP="00FA0954">
      <w:pPr>
        <w:tabs>
          <w:tab w:val="left" w:pos="810"/>
          <w:tab w:val="left" w:pos="1080"/>
        </w:tabs>
        <w:spacing w:line="276" w:lineRule="auto"/>
        <w:ind w:firstLine="547"/>
        <w:rPr>
          <w:kern w:val="16"/>
        </w:rPr>
      </w:pPr>
      <w:r w:rsidRPr="0020592A">
        <w:rPr>
          <w:kern w:val="16"/>
        </w:rPr>
        <w:t>ՄԺԾԾ ժամանակահատվածում հիմնական ծախսային գերակայություններն են.</w:t>
      </w:r>
    </w:p>
    <w:p w14:paraId="4DAE8CF8" w14:textId="77777777" w:rsidR="00FA0954" w:rsidRPr="0020592A" w:rsidRDefault="00FA0954" w:rsidP="00FA0954">
      <w:pPr>
        <w:tabs>
          <w:tab w:val="left" w:pos="810"/>
          <w:tab w:val="left" w:pos="1080"/>
        </w:tabs>
        <w:spacing w:line="276" w:lineRule="auto"/>
        <w:ind w:firstLine="547"/>
        <w:rPr>
          <w:kern w:val="16"/>
        </w:rPr>
      </w:pPr>
      <w:r w:rsidRPr="0020592A">
        <w:rPr>
          <w:kern w:val="16"/>
        </w:rPr>
        <w:t>1.</w:t>
      </w:r>
      <w:r w:rsidRPr="0020592A">
        <w:rPr>
          <w:kern w:val="16"/>
        </w:rPr>
        <w:tab/>
        <w:t>Սահմանված ժամանակահատվածում, ինչպես նաև հաջորդող տարիներին թիրախային նպատակը համարվում է WEF-ի ցուցանիշի՝ դատական համակարգի անկախությունը իշխանության այլ ճյուղերի, անհատների կամ ընկերությունների ազդեցությունից, բարելավումը՝ միջազգային հարթակում դիրքի ամրապնդման համար, անկախ, անաչառ, մատչելի, արդյունավետ ու հաշվետու արդարադատություն ունենալու համար, ինչն էլ իր հերթին կհանգեցնի ՀՀ-ում մակրոտնտեսական ցուցանիշների բարելավմանը, մասնավորապես՝ զգալի կավելանան ներդրումները, ինչն էլ մեծապես կնպաստի ՀՆԱ-ի աճին:</w:t>
      </w:r>
    </w:p>
    <w:p w14:paraId="3C62E2B5" w14:textId="77777777" w:rsidR="00FA0954" w:rsidRPr="0020592A" w:rsidRDefault="00FA0954" w:rsidP="00FA0954">
      <w:pPr>
        <w:tabs>
          <w:tab w:val="left" w:pos="810"/>
          <w:tab w:val="left" w:pos="1080"/>
        </w:tabs>
        <w:spacing w:line="276" w:lineRule="auto"/>
        <w:ind w:firstLine="547"/>
        <w:rPr>
          <w:kern w:val="16"/>
        </w:rPr>
      </w:pPr>
    </w:p>
    <w:p w14:paraId="38A000B6"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54" w:name="_Toc77837899"/>
      <w:r>
        <w:rPr>
          <w:color w:val="1F497D" w:themeColor="text2"/>
          <w:lang w:val="en-US"/>
        </w:rPr>
        <w:t>22.</w:t>
      </w:r>
      <w:r w:rsidR="009B12D9">
        <w:rPr>
          <w:color w:val="1F497D" w:themeColor="text2"/>
          <w:lang w:val="en-US"/>
        </w:rPr>
        <w:t>8</w:t>
      </w:r>
      <w:r w:rsidR="00FA0954" w:rsidRPr="0020592A">
        <w:rPr>
          <w:color w:val="1F497D" w:themeColor="text2"/>
        </w:rPr>
        <w:t xml:space="preserve">. </w:t>
      </w:r>
      <w:r w:rsidR="00FA0954" w:rsidRPr="0020592A">
        <w:rPr>
          <w:rFonts w:cs="Sylfaen"/>
          <w:color w:val="1F497D" w:themeColor="text2"/>
        </w:rPr>
        <w:t>ԿՈՌՈՒՊՑԻԱՅԻ ԿԱՆԽԱՐԳԵԼՄԱՆ ՀԱՆՁՆԱԺՈՂՈՎ</w:t>
      </w:r>
      <w:bookmarkEnd w:id="654"/>
    </w:p>
    <w:p w14:paraId="6D48207A"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Հանձնաժողովի գործունեության ոլորտն առնչվում է.</w:t>
      </w:r>
    </w:p>
    <w:p w14:paraId="0312EAC6" w14:textId="77777777" w:rsidR="00FA0954" w:rsidRPr="0020592A" w:rsidRDefault="00FA0954" w:rsidP="00C0628C">
      <w:pPr>
        <w:pStyle w:val="ListParagraph"/>
        <w:numPr>
          <w:ilvl w:val="0"/>
          <w:numId w:val="31"/>
        </w:numPr>
        <w:tabs>
          <w:tab w:val="left" w:pos="810"/>
          <w:tab w:val="left" w:pos="1080"/>
        </w:tabs>
        <w:spacing w:before="120" w:after="0" w:line="276" w:lineRule="auto"/>
        <w:ind w:left="0" w:firstLine="547"/>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ՀՀ Կառավարության 2019 թվականի հոկտեմբերի N 1332-Ն որոշմամբ սահմանված կոռուպցիայի կանխարգելման քաղաքականությանը՝ ինստիտուցիոնալ համակարգի ներդրման և կայացման առումով, </w:t>
      </w:r>
    </w:p>
    <w:p w14:paraId="07C56A8D" w14:textId="77777777" w:rsidR="00FA0954" w:rsidRPr="0020592A" w:rsidRDefault="00FA0954" w:rsidP="00C0628C">
      <w:pPr>
        <w:pStyle w:val="ListParagraph"/>
        <w:numPr>
          <w:ilvl w:val="0"/>
          <w:numId w:val="31"/>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«Ապօրինի ծագում ունեցող գույքի բռնագանձման մասին» ՀՀ օրենքի կիրառումն ապահովող մեխանիզմների կիրառմանը, </w:t>
      </w:r>
    </w:p>
    <w:p w14:paraId="3B9554AE" w14:textId="77777777" w:rsidR="00FA0954" w:rsidRPr="0020592A" w:rsidRDefault="00FA0954" w:rsidP="00C0628C">
      <w:pPr>
        <w:pStyle w:val="ListParagraph"/>
        <w:numPr>
          <w:ilvl w:val="0"/>
          <w:numId w:val="31"/>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«Հանրային ծառայության մասին» ՀՀ օրենքով սահմանված հայտարարագրման համակարգին, ինչպես նաև </w:t>
      </w:r>
    </w:p>
    <w:p w14:paraId="6ADE5D2F" w14:textId="77777777" w:rsidR="00FA0954" w:rsidRPr="0020592A" w:rsidRDefault="00FA0954" w:rsidP="00C0628C">
      <w:pPr>
        <w:pStyle w:val="ListParagraph"/>
        <w:numPr>
          <w:ilvl w:val="0"/>
          <w:numId w:val="31"/>
        </w:numPr>
        <w:tabs>
          <w:tab w:val="left" w:pos="810"/>
          <w:tab w:val="left" w:pos="1080"/>
        </w:tabs>
        <w:spacing w:before="0" w:after="0"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«Կոռուպցիայի կանխարգելման մասին» ՀՀ օրենքով Հանձնաժողովի հետևյալ լիազորությունների իրականացմանը    </w:t>
      </w:r>
    </w:p>
    <w:p w14:paraId="6FA9B7A7" w14:textId="77777777" w:rsidR="00FA0954" w:rsidRPr="0020592A" w:rsidRDefault="00FA0954" w:rsidP="00C0628C">
      <w:pPr>
        <w:pStyle w:val="ListParagraph"/>
        <w:numPr>
          <w:ilvl w:val="0"/>
          <w:numId w:val="32"/>
        </w:numPr>
        <w:tabs>
          <w:tab w:val="left" w:pos="810"/>
          <w:tab w:val="left" w:pos="1080"/>
        </w:tabs>
        <w:spacing w:before="0" w:after="0"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պետական պաշտոն զբաղեցնող անձանց, համայնքների ղեկավարների, նրանց տեղակալների, Երևան համայնքի վարչական շրջանների ղեկավարների, նրանց տեղակալների պաշտոն զբաղեցնող անձանց կողմից «Հանրային ծառայության մասին» Հայաստանի Հանրապետության օրենքով սահմանված անհամատեղելիության պահանջների և այլ սահմանափակումների, ինչպես նաև պետական պաշտոն զբաղեցնող անձանց (բացառությամբ պատգամավորի, դատավորի, Բարձրագույն դատական խորհրդի անդամի, դատախազի, քննիչի), համայնքների ղեկավարների, նրանց տեղակալների, Երևան համայնքի վարչական շրջանների ղեկավարների, նրանց տեղակալների պաշտոն զբաղեցնող անձանց վարքագծի կանոնների խախտումների և իրավիճակային շահերի բախման դեպքերի վերաբերյալ դիմումների քննություն և որոշումների կայացում,</w:t>
      </w:r>
    </w:p>
    <w:p w14:paraId="5CF76AF1" w14:textId="77777777" w:rsidR="00FA0954" w:rsidRPr="0020592A" w:rsidRDefault="00FA0954" w:rsidP="00C0628C">
      <w:pPr>
        <w:pStyle w:val="ListParagraph"/>
        <w:numPr>
          <w:ilvl w:val="0"/>
          <w:numId w:val="32"/>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հայտարարագրմանն առնչվող խախտումների վերաբերյալ գործերի քննում,</w:t>
      </w:r>
    </w:p>
    <w:p w14:paraId="1ACE8156" w14:textId="77777777" w:rsidR="00FA0954" w:rsidRPr="0020592A" w:rsidRDefault="00FA0954" w:rsidP="00C0628C">
      <w:pPr>
        <w:pStyle w:val="ListParagraph"/>
        <w:numPr>
          <w:ilvl w:val="0"/>
          <w:numId w:val="32"/>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պետական պաշտոն զբաղեցնող անձանց (բացառությամբ պատգամավորի, դատավորի, Բարձրագույն դատական խորհրդի անդամի, դատախազի, քննիչի), համայնքների ղեկավարների, նրանց տեղակալների, Երևան համայնքի վարչական շրջանների ղեկավարների, նրանց տեղակալների պաշտոն զբաղեցնող անձանց վարքագծի կանոնների վերաբերյալ խորհրդատվական բնույթի պարզաբանումներ, ինչպես նաև շահերի բախման իրավիճակի լուծմանն ուղղված քայլեր ձեռնարկելու վերաբերյալ առաջարկությունների ներկայացում, </w:t>
      </w:r>
    </w:p>
    <w:p w14:paraId="7F44754A" w14:textId="77777777" w:rsidR="00FA0954" w:rsidRPr="0020592A" w:rsidRDefault="00FA0954" w:rsidP="00C0628C">
      <w:pPr>
        <w:pStyle w:val="ListParagraph"/>
        <w:numPr>
          <w:ilvl w:val="0"/>
          <w:numId w:val="32"/>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անհամատեղելիության պահանջների և այլ սահմանափակումների, վարքագծի կանոնների խախտումների, շահերի բախման դեպքերի վիճակագրության վարում, </w:t>
      </w:r>
    </w:p>
    <w:p w14:paraId="005488CE" w14:textId="77777777" w:rsidR="00FA0954" w:rsidRPr="0020592A" w:rsidRDefault="00FA0954" w:rsidP="00C0628C">
      <w:pPr>
        <w:pStyle w:val="ListParagraph"/>
        <w:numPr>
          <w:ilvl w:val="0"/>
          <w:numId w:val="32"/>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կոռուպցիայի դեմ պայքարին առնչվող ռազմավարությունների և միջոցառումների ծրագրերի (այդ թվում՝ ոլորտային) նախագծերի փորձագիտական վերլուծություն և դրանց վերաբերյալ ներկայացնում է առաջարկություններ իրավասու մարմին, </w:t>
      </w:r>
    </w:p>
    <w:p w14:paraId="4610F01F" w14:textId="77777777" w:rsidR="00FA0954" w:rsidRPr="0020592A" w:rsidRDefault="00FA0954" w:rsidP="00C0628C">
      <w:pPr>
        <w:pStyle w:val="ListParagraph"/>
        <w:numPr>
          <w:ilvl w:val="0"/>
          <w:numId w:val="32"/>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կոռուպցիայի կանխարգելման ծրագրերի մշակում և դրանք ներկայացնում է Կառավարություն, </w:t>
      </w:r>
    </w:p>
    <w:p w14:paraId="12D8B254" w14:textId="77777777" w:rsidR="00FA0954" w:rsidRPr="0020592A" w:rsidRDefault="00FA0954" w:rsidP="00C0628C">
      <w:pPr>
        <w:pStyle w:val="ListParagraph"/>
        <w:numPr>
          <w:ilvl w:val="0"/>
          <w:numId w:val="32"/>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կոռուպցիայի դեմ պայքարին առնչվող հարցերով կրթական և հանրային իրազեկման բարձրացման ծրագրերի և իրականացնում միջոցառումների մշակում, </w:t>
      </w:r>
    </w:p>
    <w:p w14:paraId="1E3DF2F2" w14:textId="77777777" w:rsidR="00FA0954" w:rsidRPr="0020592A" w:rsidRDefault="00FA0954" w:rsidP="00C0628C">
      <w:pPr>
        <w:pStyle w:val="ListParagraph"/>
        <w:numPr>
          <w:ilvl w:val="0"/>
          <w:numId w:val="32"/>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իր մշակած հակակոռուպցիոն ծրագրերի և դրանց իրականացման միջոցառումների ծրագրի (այդ թվում՝ ոլորտային) կատարման վերաբերյալ մոնիտորինգի զեկույցների մշակում, դրանց վերաբերյալ առաջարկություններ է ներկայացնում իրավասու մարմիններ, </w:t>
      </w:r>
    </w:p>
    <w:p w14:paraId="499DEAC1" w14:textId="77777777" w:rsidR="00FA0954" w:rsidRPr="0020592A" w:rsidRDefault="00FA0954" w:rsidP="00C0628C">
      <w:pPr>
        <w:pStyle w:val="ListParagraph"/>
        <w:numPr>
          <w:ilvl w:val="0"/>
          <w:numId w:val="32"/>
        </w:numPr>
        <w:tabs>
          <w:tab w:val="left" w:pos="810"/>
          <w:tab w:val="left" w:pos="1080"/>
        </w:tabs>
        <w:spacing w:before="100" w:beforeAutospacing="1" w:after="100" w:afterAutospacing="1"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«Հանրային ծառայության մասին» Հայաստանի Հանրապետության օրենքով սահմանված դեպքերում և կարգով պետական պաշտոններում նշանակման ենթակա անձանց բարեվարքության ուսումնասիրության իրականացում, </w:t>
      </w:r>
    </w:p>
    <w:p w14:paraId="4A43DAD5" w14:textId="77777777" w:rsidR="00FA0954" w:rsidRPr="0020592A" w:rsidRDefault="00FA0954" w:rsidP="00C0628C">
      <w:pPr>
        <w:pStyle w:val="ListParagraph"/>
        <w:numPr>
          <w:ilvl w:val="0"/>
          <w:numId w:val="32"/>
        </w:numPr>
        <w:tabs>
          <w:tab w:val="left" w:pos="810"/>
          <w:tab w:val="left" w:pos="1080"/>
        </w:tabs>
        <w:spacing w:before="0" w:after="0"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 xml:space="preserve">պետական պաշտոն զբաղեցնող անձանց (բացառությամբ պատգամավորի, դատավորի, Բարձրագույն դատական խորհրդի անդամի, դատախազի, քննիչի), համայնքների ղեկավարների, նրանց տեղակալների, Երևան համայնքի վարչական շրջանների ղեկավարների, նրանց տեղակալների պաշտոն զբաղեցնող անձանց, հանրային ծառայողի վարքագծի տիպային կանոնների (կանոնագիրքը) ընդունում, </w:t>
      </w:r>
    </w:p>
    <w:p w14:paraId="282F0CB9" w14:textId="77777777" w:rsidR="00FA0954" w:rsidRPr="0020592A" w:rsidRDefault="00FA0954" w:rsidP="00FA0954">
      <w:pPr>
        <w:pStyle w:val="ListParagraph"/>
        <w:tabs>
          <w:tab w:val="left" w:pos="810"/>
          <w:tab w:val="left" w:pos="1080"/>
        </w:tabs>
        <w:spacing w:line="276" w:lineRule="auto"/>
        <w:ind w:left="0" w:firstLine="540"/>
        <w:rPr>
          <w:rFonts w:eastAsia="Times New Roman" w:cs="Sylfaen"/>
          <w:bCs/>
          <w:color w:val="000000"/>
          <w:kern w:val="16"/>
          <w:lang w:val="hy-AM"/>
        </w:rPr>
      </w:pPr>
      <w:r w:rsidRPr="0020592A">
        <w:rPr>
          <w:rFonts w:eastAsia="Times New Roman" w:cs="Sylfaen"/>
          <w:bCs/>
          <w:color w:val="000000"/>
          <w:kern w:val="16"/>
          <w:lang w:val="hy-AM"/>
        </w:rPr>
        <w:t>2022-2024 թվականների համար Կոռուպցիայի կանխարգելման հանձնաժողովը սահմանել է հետևյալ հիմնական թիրախները`</w:t>
      </w:r>
    </w:p>
    <w:p w14:paraId="3007EBE6" w14:textId="77777777" w:rsidR="00FA0954" w:rsidRPr="0020592A" w:rsidRDefault="00FA0954" w:rsidP="00C0628C">
      <w:pPr>
        <w:pStyle w:val="ListParagraph"/>
        <w:numPr>
          <w:ilvl w:val="0"/>
          <w:numId w:val="33"/>
        </w:numPr>
        <w:tabs>
          <w:tab w:val="left" w:pos="810"/>
          <w:tab w:val="left" w:pos="1080"/>
        </w:tabs>
        <w:spacing w:before="0" w:after="0" w:line="276" w:lineRule="auto"/>
        <w:ind w:left="0" w:firstLine="540"/>
        <w:rPr>
          <w:rFonts w:eastAsia="Times New Roman" w:cs="Sylfaen"/>
          <w:bCs/>
          <w:color w:val="000000"/>
          <w:kern w:val="16"/>
          <w:lang w:val="hy-AM"/>
        </w:rPr>
      </w:pPr>
      <w:r w:rsidRPr="0020592A">
        <w:rPr>
          <w:rFonts w:eastAsia="Times New Roman" w:cs="Sylfaen"/>
          <w:bCs/>
          <w:color w:val="000000"/>
          <w:kern w:val="16"/>
          <w:lang w:val="hy-AM"/>
        </w:rPr>
        <w:t xml:space="preserve">հայտարարագրերի վերլուծության և հնարավոր խախտումների հայտնաբերման մեխանիզմների արդյունավետության բարձրացում, </w:t>
      </w:r>
    </w:p>
    <w:p w14:paraId="3AF1B677" w14:textId="77777777" w:rsidR="00FA0954" w:rsidRPr="0020592A" w:rsidRDefault="00FA0954" w:rsidP="00C0628C">
      <w:pPr>
        <w:pStyle w:val="ListParagraph"/>
        <w:numPr>
          <w:ilvl w:val="0"/>
          <w:numId w:val="33"/>
        </w:numPr>
        <w:tabs>
          <w:tab w:val="left" w:pos="810"/>
          <w:tab w:val="left" w:pos="1080"/>
        </w:tabs>
        <w:spacing w:before="0" w:after="0" w:line="276" w:lineRule="auto"/>
        <w:ind w:left="0" w:firstLine="540"/>
        <w:rPr>
          <w:rFonts w:eastAsia="Times New Roman" w:cs="Sylfaen"/>
          <w:bCs/>
          <w:color w:val="000000"/>
          <w:kern w:val="16"/>
          <w:lang w:val="hy-AM"/>
        </w:rPr>
      </w:pPr>
      <w:r w:rsidRPr="0020592A">
        <w:rPr>
          <w:rFonts w:eastAsia="Times New Roman" w:cs="Sylfaen"/>
          <w:bCs/>
          <w:color w:val="000000"/>
          <w:kern w:val="16"/>
          <w:lang w:val="hy-AM"/>
        </w:rPr>
        <w:t>պետական կառավարման, տեղական ինքնակառավարման համակարգում հանրային պաշտոն զբաղեցնող անձանց կողմից շահերի բախման, անհամատեղելիության, վարքագծի կանոնների և այլ սահմանափակումների խախտումների նվազեցում,</w:t>
      </w:r>
    </w:p>
    <w:p w14:paraId="65F1B9E3" w14:textId="77777777" w:rsidR="00FA0954" w:rsidRPr="0020592A" w:rsidRDefault="00FA0954" w:rsidP="00C0628C">
      <w:pPr>
        <w:pStyle w:val="ListParagraph"/>
        <w:numPr>
          <w:ilvl w:val="0"/>
          <w:numId w:val="33"/>
        </w:numPr>
        <w:tabs>
          <w:tab w:val="left" w:pos="810"/>
          <w:tab w:val="left" w:pos="1080"/>
        </w:tabs>
        <w:spacing w:before="0" w:after="0" w:line="276" w:lineRule="auto"/>
        <w:ind w:left="0" w:firstLine="540"/>
        <w:rPr>
          <w:rFonts w:eastAsia="Times New Roman" w:cs="Sylfaen"/>
          <w:bCs/>
          <w:color w:val="000000"/>
          <w:kern w:val="16"/>
          <w:lang w:val="hy-AM"/>
        </w:rPr>
      </w:pPr>
      <w:r w:rsidRPr="0020592A">
        <w:rPr>
          <w:rFonts w:eastAsia="Times New Roman" w:cs="Sylfaen"/>
          <w:bCs/>
          <w:color w:val="000000"/>
          <w:kern w:val="16"/>
          <w:lang w:val="hy-AM"/>
        </w:rPr>
        <w:t>պետական պաշտոնների նշանակման ենթակա անձանց/թեկնածուների բարեվարքության ուսումնասիրության օրենսդրական և գործնական հնարավորությունների ընդլայնում,</w:t>
      </w:r>
    </w:p>
    <w:p w14:paraId="05751E52" w14:textId="77777777" w:rsidR="00FA0954" w:rsidRPr="0020592A" w:rsidRDefault="00FA0954" w:rsidP="00C0628C">
      <w:pPr>
        <w:pStyle w:val="ListParagraph"/>
        <w:numPr>
          <w:ilvl w:val="0"/>
          <w:numId w:val="33"/>
        </w:numPr>
        <w:tabs>
          <w:tab w:val="left" w:pos="810"/>
          <w:tab w:val="left" w:pos="1080"/>
        </w:tabs>
        <w:spacing w:before="0" w:after="0" w:line="276" w:lineRule="auto"/>
        <w:ind w:left="0" w:firstLine="540"/>
        <w:rPr>
          <w:rFonts w:eastAsia="Times New Roman" w:cs="Sylfaen"/>
          <w:bCs/>
          <w:color w:val="000000"/>
          <w:kern w:val="16"/>
          <w:lang w:val="hy-AM"/>
        </w:rPr>
      </w:pPr>
      <w:r w:rsidRPr="0020592A">
        <w:rPr>
          <w:rFonts w:eastAsia="Times New Roman" w:cs="Sylfaen"/>
          <w:bCs/>
          <w:color w:val="000000"/>
          <w:kern w:val="16"/>
          <w:lang w:val="hy-AM"/>
        </w:rPr>
        <w:t>պետական կառավարման և տեղական ինքնակառավարման մարմիններում կոռուպցիոն ռիսկերի գնահատման և դրանց արդյունքների հիման վրա կոռուպցիոն ռիսկերի չեզոքացման գործողությունների ծրագրեր մշակման համակարգի ներդրում,</w:t>
      </w:r>
    </w:p>
    <w:p w14:paraId="7918F5FE" w14:textId="77777777" w:rsidR="00FA0954" w:rsidRPr="0020592A" w:rsidRDefault="00FA0954" w:rsidP="00C0628C">
      <w:pPr>
        <w:pStyle w:val="ListParagraph"/>
        <w:numPr>
          <w:ilvl w:val="0"/>
          <w:numId w:val="33"/>
        </w:numPr>
        <w:tabs>
          <w:tab w:val="left" w:pos="810"/>
          <w:tab w:val="left" w:pos="1080"/>
        </w:tabs>
        <w:spacing w:before="0" w:after="0" w:line="276" w:lineRule="auto"/>
        <w:ind w:left="0" w:firstLine="540"/>
        <w:rPr>
          <w:rFonts w:eastAsia="Times New Roman" w:cs="Sylfaen"/>
          <w:bCs/>
          <w:color w:val="000000"/>
          <w:kern w:val="16"/>
          <w:lang w:val="hy-AM"/>
        </w:rPr>
      </w:pPr>
      <w:r w:rsidRPr="0020592A">
        <w:rPr>
          <w:rFonts w:eastAsia="Times New Roman" w:cs="Sylfaen"/>
          <w:bCs/>
          <w:color w:val="000000"/>
          <w:kern w:val="16"/>
          <w:lang w:val="hy-AM"/>
        </w:rPr>
        <w:t>կոռուպցիայի կանխարգելման և դրա հիմնական թիրախների վերաբերյալ հանրային իրազեկման մակարդակի բարձրացում և կոռուպցիայի կանխարգելմանն ուղղված ֆորմալ և ոչ ֆորմալ կրթության ապահովում,</w:t>
      </w:r>
    </w:p>
    <w:p w14:paraId="4DA2190B" w14:textId="77777777" w:rsidR="00FA0954" w:rsidRPr="0020592A" w:rsidRDefault="00FA0954" w:rsidP="00C0628C">
      <w:pPr>
        <w:pStyle w:val="ListParagraph"/>
        <w:numPr>
          <w:ilvl w:val="0"/>
          <w:numId w:val="33"/>
        </w:numPr>
        <w:tabs>
          <w:tab w:val="left" w:pos="810"/>
          <w:tab w:val="left" w:pos="1080"/>
        </w:tabs>
        <w:spacing w:before="0" w:after="0" w:line="276" w:lineRule="auto"/>
        <w:ind w:left="0" w:firstLine="540"/>
        <w:rPr>
          <w:rFonts w:eastAsia="Times New Roman" w:cs="Sylfaen"/>
          <w:bCs/>
          <w:color w:val="000000"/>
          <w:kern w:val="16"/>
          <w:lang w:val="hy-AM"/>
        </w:rPr>
      </w:pPr>
      <w:r w:rsidRPr="0020592A">
        <w:rPr>
          <w:rFonts w:eastAsia="Times New Roman" w:cs="Sylfaen"/>
          <w:bCs/>
          <w:color w:val="000000"/>
          <w:kern w:val="16"/>
          <w:lang w:val="hy-AM"/>
        </w:rPr>
        <w:t xml:space="preserve">Հանձնաժողովի միջազգային համագործակցության խթանում </w:t>
      </w:r>
    </w:p>
    <w:p w14:paraId="5EA799EE" w14:textId="77777777" w:rsidR="00FA0954" w:rsidRPr="0020592A" w:rsidRDefault="00FA0954" w:rsidP="00C0628C">
      <w:pPr>
        <w:pStyle w:val="ListParagraph"/>
        <w:numPr>
          <w:ilvl w:val="0"/>
          <w:numId w:val="33"/>
        </w:numPr>
        <w:tabs>
          <w:tab w:val="left" w:pos="810"/>
          <w:tab w:val="left" w:pos="1080"/>
        </w:tabs>
        <w:spacing w:before="0" w:after="0" w:line="276" w:lineRule="auto"/>
        <w:ind w:left="0" w:firstLine="540"/>
        <w:contextualSpacing w:val="0"/>
        <w:rPr>
          <w:rFonts w:eastAsia="Times New Roman" w:cs="Sylfaen"/>
          <w:bCs/>
          <w:color w:val="000000"/>
          <w:kern w:val="16"/>
          <w:lang w:val="hy-AM"/>
        </w:rPr>
      </w:pPr>
      <w:r w:rsidRPr="0020592A">
        <w:rPr>
          <w:rFonts w:eastAsia="Times New Roman" w:cs="Sylfaen"/>
          <w:bCs/>
          <w:color w:val="000000"/>
          <w:kern w:val="16"/>
          <w:lang w:val="hy-AM"/>
        </w:rPr>
        <w:t>ապօրինի ծագում ունեցող գույքի բռնագանձման մեխանիզմների արդյունավետ իրագործում (Հանձնաժողովի գործունեությանն առնչվող մասով)։</w:t>
      </w:r>
    </w:p>
    <w:p w14:paraId="5EC91E9E" w14:textId="77777777" w:rsidR="00FA0954" w:rsidRPr="0020592A" w:rsidRDefault="00FA0954" w:rsidP="00FA0954">
      <w:pPr>
        <w:spacing w:line="276" w:lineRule="auto"/>
        <w:ind w:firstLine="475"/>
        <w:rPr>
          <w:kern w:val="16"/>
          <w:lang w:val="hy-AM"/>
        </w:rPr>
      </w:pPr>
      <w:r w:rsidRPr="0020592A">
        <w:rPr>
          <w:kern w:val="16"/>
          <w:lang w:val="hy-AM"/>
        </w:rPr>
        <w:t xml:space="preserve">Կոռուպցիայի կանխարգելման հանձնաժողովի ծախսային ծրագրային գերակայությունները բխում են գործունեության հիմնական նպատակից, այն է՝ ապահովել պետական կառավարման և տեղական ինքնակառավարման ոլորտում կոռուպցիայի կանխարգելման համակարգային և անհատական գործուն մեխանիզմների ներդրումն ու արդյունավետ շահագործումը։ </w:t>
      </w:r>
    </w:p>
    <w:p w14:paraId="64A88776" w14:textId="77777777" w:rsidR="00146C6E" w:rsidRDefault="00146C6E" w:rsidP="00EC4BA1">
      <w:pPr>
        <w:pStyle w:val="Heading3"/>
        <w:tabs>
          <w:tab w:val="left" w:pos="810"/>
        </w:tabs>
        <w:spacing w:before="0" w:after="120" w:line="276" w:lineRule="auto"/>
        <w:ind w:left="540"/>
        <w:jc w:val="both"/>
        <w:rPr>
          <w:color w:val="1F497D" w:themeColor="text2"/>
        </w:rPr>
      </w:pPr>
    </w:p>
    <w:p w14:paraId="3061A192"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55" w:name="_Toc77837900"/>
      <w:r w:rsidRPr="003504D4">
        <w:rPr>
          <w:color w:val="1F497D" w:themeColor="text2"/>
        </w:rPr>
        <w:t>22</w:t>
      </w:r>
      <w:r w:rsidR="00FA0954" w:rsidRPr="0020592A">
        <w:rPr>
          <w:color w:val="1F497D" w:themeColor="text2"/>
        </w:rPr>
        <w:t>.</w:t>
      </w:r>
      <w:r w:rsidR="009B12D9" w:rsidRPr="00533DE5">
        <w:rPr>
          <w:color w:val="1F497D" w:themeColor="text2"/>
        </w:rPr>
        <w:t>9</w:t>
      </w:r>
      <w:r w:rsidR="00FA0954" w:rsidRPr="0020592A">
        <w:rPr>
          <w:color w:val="1F497D" w:themeColor="text2"/>
        </w:rPr>
        <w:t xml:space="preserve">. </w:t>
      </w:r>
      <w:r w:rsidR="00FA0954" w:rsidRPr="0020592A">
        <w:rPr>
          <w:rFonts w:cs="Sylfaen"/>
          <w:color w:val="1F497D" w:themeColor="text2"/>
        </w:rPr>
        <w:t>ՄՐՑԱԿՑՈՒԹՅԱՆ ՊԱՇՏՊԱՆՈՒԹՅԱՆ ՀԱՆՁՆԱԺՈՂՈՎ</w:t>
      </w:r>
      <w:bookmarkEnd w:id="655"/>
    </w:p>
    <w:p w14:paraId="2C802081"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Մրցակցության պաշտպանության հանձնաժողով (այսուհետ՝ Հանձնաժողով) Հանձնաժողովը «Տնտեսական մրցակցության պաշտպանության մասին» Հայաստանի Հանրապետության օրենքով (այսուհետ նաև՝ Օրենք) սահմանված նպատակի համաձայն՝ տնտեսական մրցակցության պաշտպանությունն իրականացնող մարմին է: Հանձնաժողովը համաձայն որդեգրված հրամայականի՝ ամրագրում է տնտեսական մրցակցության իրավիճակի վերլուծությունը, 2022-2024 թվականների ընթացքում իրականացվելիք մրցակցության պաշտպանության գերակա ուղղությունները, առկա հիմնախնդիրների հիման վրա սահմանում է ապրանքային շուկաներում մրցակցության խթանման համար անհրաժեշտ միջոցառումները, արդի պայմաններում մրցակցության խրախուսմանն ու զարգացմանն ուղղված կարգավորման մեխանիզմները: Հայաստանի Հանրապետությունում տնտեսական զարգացման բնագավառի հիմնական գերակա ուղղությունը շարունակում է մնալ փոքր և միջին ձեռնարկատիրության զարգացումն ու աջակցումը: Ծրագիրն ապահովում է Հանձնաժողովի 2021-2023թթ. միջնաժամկետ ծախսային ծրագրի շարունակությունը:</w:t>
      </w:r>
    </w:p>
    <w:p w14:paraId="4A6BACC2"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Հանձնաժողովը, համաձայն ծրագրային բյուջետավորման գործընթացի, յուրաքանչյուր տարի պարտավոր է իրականացնել 100 ուսումնասիրություն և լայն սպառման պարենային և ոչ պարենային նշանակության ապրանքների և ծառայությունների հինգ շուկաների (ոլորտների) ուսումնասիրություններ։ Ապրանքային շուկայի մրցակցային իրավիճակը գնահատող ուսումնասիրությունները սահմանում են ապրանքային շուկայի կառուցվածքը, կենտրոնացվածության աստիճանը, օրենսդրական խնդիրները և մրցակցությունը սահմանափակող երևույթները։</w:t>
      </w:r>
    </w:p>
    <w:p w14:paraId="1FCF7BA6"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 «Տնտեսական մրցակցության պաշտպանություն» ծրագրի շրջանակներում Հանձնաժողովի ոլորտային ծախսերի գերակա ուղղություններն են. </w:t>
      </w:r>
    </w:p>
    <w:p w14:paraId="75C75BBB"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 Տնտեսական մրցակցության պաշտպանությանն ուղղված միջոցառումների իրականացում, </w:t>
      </w:r>
    </w:p>
    <w:p w14:paraId="7C16F942"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 «Տնտեսական մրցակցության պաշտպանության մասին» օրենքում և հարակից մի շարք օրենքներում կատարված փոփոխությունների և լրացումների հիման վրա նորմատիվ իրավական ակտերի լրամշակում և նոր նորմատիվ իրավական ակտերի ընդունում, </w:t>
      </w:r>
    </w:p>
    <w:p w14:paraId="18656193"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Ապրանքային շուկաներում «Տնտեսական մրցակցության պաշտպանության մասին» ՀՀ օրենքով սահմանված չարաշահումների սահմանափակումը, կանխումը, արգելումը, ձեռնարկատիրության զարգացման նպաստումը,</w:t>
      </w:r>
    </w:p>
    <w:p w14:paraId="045CFCFA"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 • Միջազգային համանման կառույցներին ինտեգրվելը և փորձի փոխանակումը:</w:t>
      </w:r>
    </w:p>
    <w:p w14:paraId="7E61BB9D" w14:textId="77777777" w:rsidR="00FA0954" w:rsidRPr="0020592A" w:rsidRDefault="00FA0954" w:rsidP="00FA0954">
      <w:pPr>
        <w:tabs>
          <w:tab w:val="left" w:pos="810"/>
          <w:tab w:val="left" w:pos="1080"/>
        </w:tabs>
        <w:spacing w:line="276" w:lineRule="auto"/>
        <w:ind w:firstLine="547"/>
        <w:rPr>
          <w:kern w:val="16"/>
          <w:lang w:val="hy-AM"/>
        </w:rPr>
      </w:pPr>
    </w:p>
    <w:p w14:paraId="06676A1A"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56" w:name="_Toc77837901"/>
      <w:r w:rsidRPr="003504D4">
        <w:rPr>
          <w:color w:val="1F497D" w:themeColor="text2"/>
        </w:rPr>
        <w:t>22.</w:t>
      </w:r>
      <w:r w:rsidR="009B12D9" w:rsidRPr="00533DE5">
        <w:rPr>
          <w:color w:val="1F497D" w:themeColor="text2"/>
        </w:rPr>
        <w:t>10</w:t>
      </w:r>
      <w:r w:rsidR="00FA0954" w:rsidRPr="0020592A">
        <w:rPr>
          <w:color w:val="1F497D" w:themeColor="text2"/>
        </w:rPr>
        <w:t xml:space="preserve">. </w:t>
      </w:r>
      <w:r w:rsidR="00FA0954" w:rsidRPr="0020592A">
        <w:rPr>
          <w:rFonts w:cs="Sylfaen"/>
          <w:color w:val="1F497D" w:themeColor="text2"/>
        </w:rPr>
        <w:t>ՀԵՌՈՒՍՏԱՏԵՍՈՒԹՅԱՆ ԵՎ ՌԱԴԻՈՅԻ ՀԱՆՁՆԱԺՈՂՈՎ</w:t>
      </w:r>
      <w:bookmarkEnd w:id="656"/>
    </w:p>
    <w:p w14:paraId="485E28DC"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Հանձնաժողովը սահմանադրական կարգավիճակ ունեցող անկախ պետական մարմին է, որն ապահովում է հեռարձակվող լրատվության միջոցների ազատությունը, անկախությունը և բազմազանությունը, վերահսկում է տեսալսողական մեդիածառայություն մատուցողների, ցանցային և մուլտիպլեքս օպերատորների, ինչպես նաև տեսալսողական ծրագրերի դիստրիբյուտորների գործունեությունը։ </w:t>
      </w:r>
    </w:p>
    <w:p w14:paraId="5F52495A"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Հանձնաժողովի հիմնական գործառույթներն են`</w:t>
      </w:r>
    </w:p>
    <w:p w14:paraId="72D4DBD5"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1)</w:t>
      </w:r>
      <w:r w:rsidRPr="0020592A">
        <w:rPr>
          <w:rFonts w:eastAsia="Calibri" w:cs="Times New Roman"/>
          <w:lang w:val="hy-AM"/>
        </w:rPr>
        <w:tab/>
        <w:t>հանրային մուլտիպլեքսում սլոթի օգտագործման լիցենզավորման մրցույթների անցկացում.</w:t>
      </w:r>
    </w:p>
    <w:p w14:paraId="6B0267EC"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2)</w:t>
      </w:r>
      <w:r w:rsidRPr="0020592A">
        <w:rPr>
          <w:rFonts w:eastAsia="Calibri" w:cs="Times New Roman"/>
          <w:lang w:val="hy-AM"/>
        </w:rPr>
        <w:tab/>
        <w:t>լսողական ծրագրի հաճախականության օգտագործման լիցենզավորման մրցույթների անցկացում.</w:t>
      </w:r>
    </w:p>
    <w:p w14:paraId="5659B827"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3)</w:t>
      </w:r>
      <w:r w:rsidRPr="0020592A">
        <w:rPr>
          <w:rFonts w:eastAsia="Calibri" w:cs="Times New Roman"/>
          <w:lang w:val="hy-AM"/>
        </w:rPr>
        <w:tab/>
        <w:t>մուլտիպլեքս օպերատորի գործունեության լիցենզավորման մրցույթների անցկացում.</w:t>
      </w:r>
    </w:p>
    <w:p w14:paraId="4AFA8DE7"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4)</w:t>
      </w:r>
      <w:r w:rsidRPr="0020592A">
        <w:rPr>
          <w:rFonts w:eastAsia="Calibri" w:cs="Times New Roman"/>
          <w:lang w:val="hy-AM"/>
        </w:rPr>
        <w:tab/>
        <w:t>ցանցային օպերատորի գործունեության լիցենզավորում.</w:t>
      </w:r>
    </w:p>
    <w:p w14:paraId="0922B9AD"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5)</w:t>
      </w:r>
      <w:r w:rsidRPr="0020592A">
        <w:rPr>
          <w:rFonts w:eastAsia="Calibri" w:cs="Times New Roman"/>
          <w:lang w:val="hy-AM"/>
        </w:rPr>
        <w:tab/>
        <w:t>տեսալսողական մեդիածառայություն մատուցողի կարգավիճակի տրամադրում՝ հեղինակազորում.</w:t>
      </w:r>
    </w:p>
    <w:p w14:paraId="1439E4C3"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6)</w:t>
      </w:r>
      <w:r w:rsidRPr="0020592A">
        <w:rPr>
          <w:rFonts w:eastAsia="Calibri" w:cs="Times New Roman"/>
          <w:lang w:val="hy-AM"/>
        </w:rPr>
        <w:tab/>
        <w:t>տեսալսողական ծրագրերի դիստրիբյուտորների ծանուցումների հաստատում.</w:t>
      </w:r>
    </w:p>
    <w:p w14:paraId="0C09C830"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7)</w:t>
      </w:r>
      <w:r w:rsidRPr="0020592A">
        <w:rPr>
          <w:rFonts w:eastAsia="Calibri" w:cs="Times New Roman"/>
          <w:lang w:val="hy-AM"/>
        </w:rPr>
        <w:tab/>
        <w:t>լիցենզիա ստացած անձանց ցուցակի կազմում և հրապարակում, լիցենզիայում նշված պայմանների և «Տեսալսողական մեդիայի մասին» օրենքի պահանջների կատարման նկատմամբ հսկողության իրականացում.</w:t>
      </w:r>
    </w:p>
    <w:p w14:paraId="6E518784"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8)</w:t>
      </w:r>
      <w:r w:rsidRPr="0020592A">
        <w:rPr>
          <w:rFonts w:eastAsia="Calibri" w:cs="Times New Roman"/>
          <w:lang w:val="hy-AM"/>
        </w:rPr>
        <w:tab/>
        <w:t>տեսալսողական հաղորդումների տեսագրությունների և ձայնագրությունների ընտրանքային դիտարկման միջոցով օրենսդրության և լիցենզիայի պահանջներին դրանց համապատասխանության  պարզում.</w:t>
      </w:r>
    </w:p>
    <w:p w14:paraId="48C8C7FE"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9)</w:t>
      </w:r>
      <w:r w:rsidRPr="0020592A">
        <w:rPr>
          <w:rFonts w:eastAsia="Calibri" w:cs="Times New Roman"/>
          <w:lang w:val="hy-AM"/>
        </w:rPr>
        <w:tab/>
        <w:t>«Տեսալսողական մեդիայի մասին» օրենքի խախտման կամ իր որոշումները չկատարելու դեպքում պատասխանատվության միջոցների կիրառում.</w:t>
      </w:r>
    </w:p>
    <w:p w14:paraId="59AD2A9F"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10)</w:t>
      </w:r>
      <w:r w:rsidRPr="0020592A">
        <w:rPr>
          <w:rFonts w:eastAsia="Calibri" w:cs="Times New Roman"/>
          <w:lang w:val="hy-AM"/>
        </w:rPr>
        <w:tab/>
        <w:t xml:space="preserve"> տեսալսողական մեդիածառայություն մատուցողների կողմից նախընտրական քարոզչության՝ Հայաստանի Հանրապետության ընտրական օրենսգրքով սահմանված կարգի պահպանման նկատմամբ վերահսկողություն.</w:t>
      </w:r>
    </w:p>
    <w:p w14:paraId="6348FD50"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11)</w:t>
      </w:r>
      <w:r w:rsidRPr="0020592A">
        <w:rPr>
          <w:rFonts w:eastAsia="Calibri" w:cs="Times New Roman"/>
          <w:lang w:val="hy-AM"/>
        </w:rPr>
        <w:tab/>
        <w:t>տեսալսողական մեդիածառայություն մատուցողների, ցանցային և մուլտիպլեքս օպերատորների և տեսալսողական ծրագրերի դիստրիբյուտորների գործունեության վերաբերյալ բողոքների, առաջարկությունների և հարցումների ուսումնասիրում և պատասխանում կամ եզրակացության տրամադրում.</w:t>
      </w:r>
    </w:p>
    <w:p w14:paraId="022AC0F4"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12)</w:t>
      </w:r>
      <w:r w:rsidRPr="0020592A">
        <w:rPr>
          <w:rFonts w:eastAsia="Calibri" w:cs="Times New Roman"/>
          <w:lang w:val="hy-AM"/>
        </w:rPr>
        <w:tab/>
        <w:t>տեսալսողական մեդիածառայություն մատուցողների և ցանցային օպերատորների գործունեության մշտադիտարկում.</w:t>
      </w:r>
    </w:p>
    <w:p w14:paraId="3D3910C8"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13)</w:t>
      </w:r>
      <w:r w:rsidRPr="0020592A">
        <w:rPr>
          <w:rFonts w:eastAsia="Calibri" w:cs="Times New Roman"/>
          <w:lang w:val="hy-AM"/>
        </w:rPr>
        <w:tab/>
        <w:t>«Հայաստանի Հանրապետությունում ստուգումների կազմակերպման և անցկացման մասին» օրենքով սահմանված կարգով և դեպքերում ստուգումների և ուսումնասիրությունների իրականացում.</w:t>
      </w:r>
    </w:p>
    <w:p w14:paraId="51458EB7"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14)</w:t>
      </w:r>
      <w:r w:rsidRPr="0020592A">
        <w:rPr>
          <w:rFonts w:eastAsia="Calibri" w:cs="Times New Roman"/>
          <w:lang w:val="hy-AM"/>
        </w:rPr>
        <w:tab/>
        <w:t xml:space="preserve"> Հանրային հեռարձակողի ծրագրերում տեղեկատվական, կրթական, մշակութային և ժամանցային բնույթի հաղորդումների բազմազանության ապահովման համար վերահսկողության իրականացում.</w:t>
      </w:r>
    </w:p>
    <w:p w14:paraId="7480ECF3" w14:textId="77777777" w:rsidR="00FA0954" w:rsidRPr="0020592A" w:rsidRDefault="00FA0954" w:rsidP="00FA0954">
      <w:pPr>
        <w:tabs>
          <w:tab w:val="left" w:pos="810"/>
          <w:tab w:val="left" w:pos="1080"/>
        </w:tabs>
        <w:spacing w:line="276" w:lineRule="auto"/>
        <w:ind w:firstLine="547"/>
        <w:rPr>
          <w:kern w:val="16"/>
          <w:lang w:val="hy-AM"/>
        </w:rPr>
      </w:pPr>
      <w:r w:rsidRPr="0020592A">
        <w:rPr>
          <w:rFonts w:eastAsia="Calibri" w:cs="Times New Roman"/>
          <w:lang w:val="hy-AM"/>
        </w:rPr>
        <w:t>15)</w:t>
      </w:r>
      <w:r w:rsidRPr="0020592A">
        <w:rPr>
          <w:rFonts w:eastAsia="Calibri" w:cs="Times New Roman"/>
          <w:lang w:val="hy-AM"/>
        </w:rPr>
        <w:tab/>
        <w:t>օրենքով սահմանված դեպքերում կարգերի, մեթոդաբանությունների և այլ ենթաօրենսդրական նորմատիվ իրավական ակտերի ընդունում:</w:t>
      </w:r>
    </w:p>
    <w:p w14:paraId="110F2AC1"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ՄԺԾԾ ժամանակահատվածում Հանձնաժողովի կողմից իրականացվելիք հիմնական ծրագրերն են՝</w:t>
      </w:r>
    </w:p>
    <w:p w14:paraId="0DE7E6FD"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1.</w:t>
      </w:r>
      <w:r w:rsidRPr="0020592A">
        <w:rPr>
          <w:kern w:val="16"/>
          <w:lang w:val="hy-AM"/>
        </w:rPr>
        <w:tab/>
        <w:t>Տեսալսողական մեդիայի ոլորտը կարգավորող օրենսդրության, ինչպես նաև լիցենզիայի պայմանների պահպանման վերահսկում, ինչը կնպաստի ոլորտային նպատակների իրագործմանը:</w:t>
      </w:r>
    </w:p>
    <w:p w14:paraId="14952638"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2.</w:t>
      </w:r>
      <w:r w:rsidRPr="0020592A">
        <w:rPr>
          <w:kern w:val="16"/>
          <w:lang w:val="hy-AM"/>
        </w:rPr>
        <w:tab/>
        <w:t>Տեսալսողական մեդիածառայությունների լիցենզավորման մրցույթների անցկացում, ներառյալ մարզային մրցույթների, ինչը տեղեկատվություն ստանալու ավելի լայն ընտրության հնարավորություն կտա սպառողներին, իսկ մարզերի բնակչությանը՝ մշտապես իրազեկ լինելու տեղական նորություններին և մարզերին առնչվող խնդիրներին:</w:t>
      </w:r>
    </w:p>
    <w:p w14:paraId="38E7EF90"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3.</w:t>
      </w:r>
      <w:r w:rsidRPr="0020592A">
        <w:rPr>
          <w:kern w:val="16"/>
          <w:lang w:val="hy-AM"/>
        </w:rPr>
        <w:tab/>
        <w:t>Մասնավոր մուլտիպլեքս օպերատորի գործունեության լիցենզավորման մրցույթի անցկացում, ինչը կնպաստի տեսալսողական ծրագրերի հեռարձակման թվայնացման համակարգի կայուն գործարկմանը:</w:t>
      </w:r>
    </w:p>
    <w:p w14:paraId="34DE2A26" w14:textId="77777777" w:rsidR="00FA0954" w:rsidRPr="0020592A" w:rsidRDefault="00FA0954" w:rsidP="00FA0954">
      <w:pPr>
        <w:tabs>
          <w:tab w:val="left" w:pos="810"/>
          <w:tab w:val="left" w:pos="1080"/>
        </w:tabs>
        <w:spacing w:line="276" w:lineRule="auto"/>
        <w:ind w:firstLine="547"/>
        <w:rPr>
          <w:kern w:val="16"/>
          <w:lang w:val="hy-AM"/>
        </w:rPr>
      </w:pPr>
    </w:p>
    <w:p w14:paraId="4A03CE8B"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57" w:name="_Toc77837902"/>
      <w:r w:rsidRPr="003504D4">
        <w:rPr>
          <w:color w:val="1F497D" w:themeColor="text2"/>
        </w:rPr>
        <w:t>22</w:t>
      </w:r>
      <w:r w:rsidR="00FA0954" w:rsidRPr="0020592A">
        <w:rPr>
          <w:color w:val="1F497D" w:themeColor="text2"/>
        </w:rPr>
        <w:t>.1</w:t>
      </w:r>
      <w:r w:rsidR="009B12D9" w:rsidRPr="00533DE5">
        <w:rPr>
          <w:color w:val="1F497D" w:themeColor="text2"/>
        </w:rPr>
        <w:t>1</w:t>
      </w:r>
      <w:r w:rsidR="00FA0954" w:rsidRPr="0020592A">
        <w:rPr>
          <w:color w:val="1F497D" w:themeColor="text2"/>
        </w:rPr>
        <w:t xml:space="preserve">. </w:t>
      </w:r>
      <w:r w:rsidR="00FA0954" w:rsidRPr="0020592A">
        <w:rPr>
          <w:rFonts w:cs="Sylfaen"/>
          <w:color w:val="1F497D" w:themeColor="text2"/>
        </w:rPr>
        <w:t>ԿԵՆՏՐՈՆԱԿԱՆ ԸՆՏՐԱԿԱՆ ՀԱՆՁՆԱԺՈՂՈՎ</w:t>
      </w:r>
      <w:bookmarkEnd w:id="657"/>
    </w:p>
    <w:p w14:paraId="0F178311"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Հայաստանի Հանրապետության կենտրոնական ընտրական հանձնաժողովը  սահմանադրական կարգավիճակով օժտված անկախ պետական մարմին է, որը կազմակերպում է Ազգային ժողովի և տեղական ինքնակառավարման մարմինների ընտրությունները, հանրաքվեները, ինչպես նաև վերահսկողություն է իրականացնում դրանց օրինականության նկատմամբ:</w:t>
      </w:r>
    </w:p>
    <w:p w14:paraId="140BCB1E"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Հանձնաժողովի աշխատանքներն ուղղված են ընտրական գործընթացների պատշաճ կազմակերպմանն ու անցկացմանը, դրանց բարելավմանն ու կատարելագործմանը, ընտրական իրավունքի և ընտրական գործընթացների վերաբերյալ ուսուցումների և դասընթացների կազմակերպմանը, դասավանդման նոր մեթոդաբանության, ուսուցման նոր հարթակների մշակմանն ու ներդրմանը և ընտրական գործընթացների վերաբերյալ հանրային իրազեկման ապահովմանն ու ընդլայնմանը։</w:t>
      </w:r>
    </w:p>
    <w:p w14:paraId="237BEA42"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Վերոգրյալի ապահովման համար իրականացվում են վերլուծություններ, ուսումնասիրություններ, կազմակերպվում են Հանձնաժողովի անդամների և Հանձնաժողովի աշխատակիցների վերապատրաստումներ, անցկացվում են սեմինարներ, կոնֆերանսներ, ապահովվում են շփումներ շահագրգիռ մասնակիցների հետ (կուսակցությունների ներկայացուցիչներ, հասարակական կազմակերպություններ, զանգվածային լրատվության միջոցների ներկայացուցիչներ, տարածքային ընտրական հանձնաժողովներ և այլն)։</w:t>
      </w:r>
    </w:p>
    <w:p w14:paraId="63D6ADD5"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Հանձնաժողովը անդամակցում է Եվրոպայի ընտրական իշխանությունների ասոցիացիա (ACEEEO) կազմակերպությանը:</w:t>
      </w:r>
    </w:p>
    <w:p w14:paraId="3DD7A5A3"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Հանձնաժողովը համագործակցել է՝ </w:t>
      </w:r>
    </w:p>
    <w:p w14:paraId="14FA2F37"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1) 2016-2017 թվականներին՝ Միավորված Ազգերի Զարգացման Ծրագիր «Աջակցություն ընտրական գործընթացին Հայաստանում» ծրագրի շրջանակներում,</w:t>
      </w:r>
    </w:p>
    <w:p w14:paraId="5CF21204"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2) 2018-2020 թվականներին՝ Միավորված Ազգերի Զարգացման Ծրագիր «Հայաստանում ընտրական գործընթացի աջակցություն» ծրագրի շրջանակներում։</w:t>
      </w:r>
    </w:p>
    <w:p w14:paraId="4DAA16C4"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Կենտրոնական ընտրական հանձնաժողովի կանոնադրության համաձայն՝ Հանձնաժողովի նպատակն է Ազգային ժողովի և տեղական ինքնակառավարման մարմինների ընտրությունների, ինչպես նաև հանրաքվեների  կազմակերպումն ու անցկացումը։ </w:t>
      </w:r>
    </w:p>
    <w:p w14:paraId="11384BF3"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Հանձնաժողովի խնդիրներն են՝ </w:t>
      </w:r>
    </w:p>
    <w:p w14:paraId="37C66E96"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 1. կազմակերպել և անցկացնել Ազգային ժողովի և տեղական ինքնակառավարման մարմինների ընտրությունները, ամփոփել արդյունքները,</w:t>
      </w:r>
    </w:p>
    <w:p w14:paraId="528D4B01"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2.  կազմակերպել և անցկացնել հանրաքվեները, ամփոփել արդյունքները,</w:t>
      </w:r>
    </w:p>
    <w:p w14:paraId="11834F64"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3. վերահսկողություն իրականացնել ընտրությունների և հանրաքվեների կազմակերպման և անցկացման օրինականության նկատմամբ:</w:t>
      </w:r>
    </w:p>
    <w:p w14:paraId="758963A0"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Հանձնաժողովը համագործակցում է հասարակական կազմակերպությունների հետ՝ հաշվանդամություն ունեցող անձանց համար ընտրական գործընթացներն առավել մատչելի դարձնելու ուղղությամբ։ Նշված աշխատանքները կնպաստեն նաև  ՀՀ կառավարության ծրագրով սահմանված նպատակին, ըստ որի՝ «վերահաստատելով հաշմանդամություն ունեցող անձանց իրավունքների պաշտպանությանն ուղղված հետևողական ջանքերը՝ Կառավարությունը շարունակելու է ձեռնարկել անհրաժեշտ բոլոր միջոցները՝ բացառելու hամար հաշմանդամության հիմքով խտրականությունը կյանքի բոլոր ոլորտներում», և ՀՀ կառավարության ծրագրով սահմանված՝ հաշմանդամություն ունեցող անձանց իրավունքների և արժանապատվության պաշտպանությանը և նրանց սոցիալական ներառման ապահովման խնդրի լուծմանը։</w:t>
      </w:r>
    </w:p>
    <w:p w14:paraId="32BFE916"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 Հանձնաժողովը ապահովում է կանանց լիարժեք և արդյունավետ մասնակցությունը և հավասար հնարավորությունները քաղաքական, տնտեսական և հանրային կյանքում որոշումների կայացման բոլոր մակարդակներում ղեկավար դիրք զբաղեցնելու համար (և՛ հանձնաժողովների անդամների, և՛ թեկնածուների շրջանում)։</w:t>
      </w:r>
    </w:p>
    <w:p w14:paraId="075DC37E"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Հաշվի առնելով, որ քաղաքացիների իրազեկումը առաջնային է Կենտրոնական ընտրական հանձնաժողովի համար, Կենտրոնական ընտրական հանձնաժողովը միջոցներ է ձեռնարկելու ընդլայնելու համար իրազեկման աշխատանքները (այդ թվում՝ բաց դասեր անցկացնելով, երիտասարդների ներգրավելով և այլն)։</w:t>
      </w:r>
    </w:p>
    <w:p w14:paraId="33216BBA"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Կենտրոնական ընտրական հանձնաժողովն իր նպատակները սահմանելիս առաջնորդվում է Հայաստանի Հանրապետության կողմից վավերացված միջազգային պայմանագրերով և այն միջազգային կազմակերպությունների ընդունած փաստաթղթերով և ծրագրերով, որոնց հետ Հանձնաժողովը համագործակցում է։</w:t>
      </w:r>
      <w:r w:rsidRPr="0020592A">
        <w:rPr>
          <w:rFonts w:eastAsia="Calibri" w:cs="Times New Roman"/>
          <w:lang w:val="hy-AM"/>
        </w:rPr>
        <w:cr/>
        <w:t>2016-2020 թվականների «Աջակցություն ընտրական գործընթացներին Հայաստանում» և «Հայաստանում ընտրական գործընթացների աջակցություն» ծրագրերի շրջանակներում Կենտրոնական ընտրական հանձնաժողովին տրամադրվել են ծրագրատեխնիկական միջոցներ։</w:t>
      </w:r>
    </w:p>
    <w:p w14:paraId="242E85D4"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Նախատեսվող և մշակման փուլում են գտնվում հեռահար ուսուցման, մասնագիտական դասընթացների անցկացման, ընտրողների գրանցումն իրականացնող տեխնիկական սարքավորումների (VAD) ռեեստրի վարման ավտոմատացված համակարգերը, ինչպես նաև Կենտրոնական ընտրական հանձնաժողովի Տվյալների կենտրոնի ծրագրատեխնիկական  (սերվերային հավաքածու) միջոցների,  դյուրակիր համակարգիչների (notebook) և բազմաֆունկցիոնալ տպող սարքերի ձեռք բերման նախագիծը:</w:t>
      </w:r>
    </w:p>
    <w:p w14:paraId="27D0E5E4"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Կենտրոնական ընտրական հանձնաժողովի ծախսային գերակայություններն են՝</w:t>
      </w:r>
    </w:p>
    <w:p w14:paraId="1410276F"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   1</w:t>
      </w:r>
      <w:r w:rsidRPr="0020592A">
        <w:rPr>
          <w:rFonts w:ascii="Cambria Math" w:eastAsia="MS Gothic" w:hAnsi="Cambria Math" w:cs="Cambria Math"/>
          <w:lang w:val="hy-AM"/>
        </w:rPr>
        <w:t>․</w:t>
      </w:r>
      <w:r w:rsidRPr="0020592A">
        <w:rPr>
          <w:rFonts w:eastAsia="Calibri" w:cs="Times New Roman"/>
          <w:lang w:val="hy-AM"/>
        </w:rPr>
        <w:t>Կենտրոնական ընտրական հանձնաժողովի գործունեության  ապահովումը,  ընտրական ծրագրերի համակարգման, կազմակերպման, անցկացման և մոնիտորինգի իրականացումը, ընտրությունների կազմակերպումն ու անցկացումը.</w:t>
      </w:r>
    </w:p>
    <w:p w14:paraId="4AC58B5D"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2</w:t>
      </w:r>
      <w:r w:rsidRPr="0020592A">
        <w:rPr>
          <w:rFonts w:ascii="Cambria Math" w:eastAsia="MS Gothic" w:hAnsi="Cambria Math" w:cs="Cambria Math"/>
          <w:lang w:val="hy-AM"/>
        </w:rPr>
        <w:t>․</w:t>
      </w:r>
      <w:r w:rsidRPr="0020592A">
        <w:rPr>
          <w:rFonts w:eastAsia="Calibri" w:cs="Times New Roman"/>
          <w:lang w:val="hy-AM"/>
        </w:rPr>
        <w:t>Տեղական ինքնակառավարման մարմինների ընտրությունների կազմակերպումը.</w:t>
      </w:r>
    </w:p>
    <w:p w14:paraId="178057EA"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3. Երևանի ավագանու  ընտրությունների կազմակերպումը.</w:t>
      </w:r>
    </w:p>
    <w:p w14:paraId="31B9596A" w14:textId="77777777" w:rsidR="00FA0954" w:rsidRPr="0020592A" w:rsidRDefault="00FA0954" w:rsidP="00FA0954">
      <w:pPr>
        <w:tabs>
          <w:tab w:val="left" w:pos="810"/>
          <w:tab w:val="left" w:pos="1080"/>
        </w:tabs>
        <w:spacing w:line="276" w:lineRule="auto"/>
        <w:ind w:firstLine="547"/>
        <w:rPr>
          <w:kern w:val="16"/>
          <w:lang w:val="hy-AM"/>
        </w:rPr>
      </w:pPr>
      <w:r w:rsidRPr="0020592A">
        <w:rPr>
          <w:rFonts w:eastAsia="Calibri" w:cs="Times New Roman"/>
          <w:lang w:val="hy-AM"/>
        </w:rPr>
        <w:t>4.Ընտրական հանձնաժողովների անդամների մասնագիտական դասընթացների կազմակերպումը:</w:t>
      </w:r>
    </w:p>
    <w:p w14:paraId="2EA81432" w14:textId="77777777" w:rsidR="00FA0954" w:rsidRPr="0020592A" w:rsidRDefault="00FA0954" w:rsidP="00FA0954">
      <w:pPr>
        <w:tabs>
          <w:tab w:val="left" w:pos="810"/>
          <w:tab w:val="left" w:pos="1080"/>
        </w:tabs>
        <w:spacing w:line="276" w:lineRule="auto"/>
        <w:ind w:firstLine="547"/>
        <w:rPr>
          <w:kern w:val="16"/>
          <w:lang w:val="hy-AM"/>
        </w:rPr>
      </w:pPr>
    </w:p>
    <w:p w14:paraId="011B9018"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58" w:name="_Toc77837903"/>
      <w:r w:rsidRPr="003504D4">
        <w:rPr>
          <w:color w:val="1F497D" w:themeColor="text2"/>
        </w:rPr>
        <w:t>22.1</w:t>
      </w:r>
      <w:r w:rsidR="009B12D9" w:rsidRPr="00533DE5">
        <w:rPr>
          <w:color w:val="1F497D" w:themeColor="text2"/>
        </w:rPr>
        <w:t>2</w:t>
      </w:r>
      <w:r w:rsidR="00FA0954" w:rsidRPr="0020592A">
        <w:rPr>
          <w:color w:val="1F497D" w:themeColor="text2"/>
        </w:rPr>
        <w:t xml:space="preserve">. </w:t>
      </w:r>
      <w:r w:rsidR="00FA0954" w:rsidRPr="0020592A">
        <w:rPr>
          <w:rFonts w:cs="Sylfaen"/>
          <w:color w:val="1F497D" w:themeColor="text2"/>
        </w:rPr>
        <w:t>ՀԱՆՐԱՅԻՆ ԾԱՌԱՅՈՒԹՅՈՒՆՆԵՐԸ ԿԱՐԳԱՎՈՐՈՂ ՀԱՆՁՆԱԺՈՂՈՎ</w:t>
      </w:r>
      <w:bookmarkEnd w:id="658"/>
    </w:p>
    <w:p w14:paraId="1973989A"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Հայաստանի Հանրապետության հանրային ծառայությունները կարգավորող հանձնաժողովի առաջնահերթ գործառույթներից է կարգավորման օրենսդրական դաշտի շարունակական կատարելագործումը, և միջազգային առաջավոր փորձի վրա հիմնված բազմակողմանի և առավել ճկուն իրավական կարգավորումը՝ ելնելով սպառողների և կարգավորվող անձանց իրավունքների պաշտպանության, նրանց շահերի հավասարակշռման, մրցակցային միջավայրի զարգացման համար անհրաժեշտ պայմանների ստեղծման, կարգավորվող ենթակառուցվածքներում արդյունավետ ներդրումների խրախուսման և կարգավորման դաշտի թափանցիկության ապահովման առաջնահերթություններից, հանրային ծառայությունների ոլորտում միջազգային համագործակցության անհրաժեշտությունից։</w:t>
      </w:r>
    </w:p>
    <w:p w14:paraId="02B2020C"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     Հանձնաժողովն, իր կողմից հիմնարար նշանակություն ունեցող հանրային շահերի պաշտպանության սահմանադրաիրավական մանդատի իրագործման ուղղված խնդիրների առավել համակողմանի և արդյունավետ լուծումների ապահովման, հանրային ծառայություններից օգտվող սպառողների և ոլորտի կարգավորվող անձանց շահերի հավասարակշռման և վերջիններիս նկատմամբ խտրականության բացառման անհրաժեշտությունից ելնելով, մշակել է «Հայաստանի Հանրապետության հանրային ծառայությունները կարգավորող մարմնի մասին» օրենքում փոփոխություն կատարելու մասին»,  Էներգետիկայի մասին օրենքում փոփոխություններ և լրացումներ կատարելու մասին և «Հանրային ծառայությունների կարգավորման պարտադիր վճարների մասին» օրենքների նախագծերը։</w:t>
      </w:r>
    </w:p>
    <w:p w14:paraId="02054AE3"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Նշված օրենքների նախագծերը, համապատասխանաբար, ուղղված են Հանձնաժողովի աշխատանքի արդյունավետության բարձրացմանը (այդ թվում նաև՝ Հանձնաժողովի կողմից իրականացվող վարույթների արդյունավետ իրականացման մեխանիզմների ստեղծմանն ուղղված իրավակարգավորումների ձևավորմանը), էներգետիկայի ոլորտում գործունեության խթանմանն ու դյուրինացմանը, կարգավորման պարտադիր վճար վճարողների ցանկի՝ հանրային ծառայությունների ոլորտներում կարգավորման ներկայիս քաղաքականությանը համահունչ ձևավորմանը և հանրային ծառայությունները կարգավորող մարմնի ֆինանսավորման մեխանիզմների բարելավմանը, ինչի արդյունքում համապատասխանաբար կավելանան պետական բյուջե վճարվող հանրային ծառայությունների կարգավորման պարտադիր վճարները։ Օրենքների նախագծերի ընդունումը բխում է հանրային կարգավորման շահերից։</w:t>
      </w:r>
    </w:p>
    <w:p w14:paraId="20168AFF"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Կարգավորվող բնագավառների (համակարգերի) իրավական դաշտի կատարելագործումը շարունակական գործընթաց է և հանդիսանում է ՀՀ հանրային ծառայությունները կարգավորող  հանձնաժողովի կարևորագույն գործառույթներից մեկը։         </w:t>
      </w:r>
    </w:p>
    <w:p w14:paraId="1BDF2506"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Հանձնաժողովը իրավական ոլորտի կարգավորման կատարելագործման գործընթացում որդեգրած քաղաքականության իրականացման սահմաններում 2021 թվականի ընթացքում շարունակելու է հետամուտ լինել կարգավորվող ոլորտների իրավական ակտերի լրամշակման աշխատանքներին։ </w:t>
      </w:r>
    </w:p>
    <w:p w14:paraId="5A9C1D33"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Հանձնաժողովը, մասնավորապես, մասնակցելու է կարգավորման խնդիրների լուծմանը նպաստող ծրագրերի, իրավական ակտերի և այլ փաստաթղթերի մշակմանը, կատարելագործմանը և իրականացմանը։ </w:t>
      </w:r>
    </w:p>
    <w:p w14:paraId="321910B2"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Կշարունակվեն նաև ոլորտում ներդրումների խթանմանն ուղղված էներգետիկայի բնագավառում գործունեության լիցենզավորման կարգի կատարելագործման աշխատանքները։ </w:t>
      </w:r>
    </w:p>
    <w:p w14:paraId="06A252B0"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2022-2024թթ. ևս շարունակվելու են աշխատանքները սակագնային քաղաքականության իրականացման ու կատարելագործման, էներգետիկայի բնագավառում իրականացվող ներդրումային ծրագրերի ուսումնասիրման, համապատասխան կազմակերպությունների կողմից կազմված և հրապարակված գնումների պլանների վերլուծության և շուկայի ազատականացման իրավական դաշտի կատարելագործման ուղղությամբ։ Մասնավորապես, հաշվի առնելով 2021թ. շուկայի կառավարման ծրագրի թեստավորման արդյունքները, ըստ անհրաժեշտության, կլրամշակվեն ՀՀ էլեկտրաէներգետիկական մեծածախ և մանրածախ շուկայի առևտրային կանոնները և համապատասխան պայմանագրերի օրինակելի ձևերը։</w:t>
      </w:r>
    </w:p>
    <w:p w14:paraId="1C4ACB22"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2022-2024թթ. կշարունակվեն իրականացվել էներգետիկայի բնագավառում էներգետիկ հաշվեկշիռների, կարգավորվող ընկերությունների կողմից լիցենզավորված գործունեության իրականացման համար անհրաժեշտ ծախսերի ու պարտավորությունների, իրականացված ներդրումների և սակագների վրա ազդող մի շարք այլ գործոնների վերլուծության և էլեկտրաէներգետիկական համակարգի սակագների վերանայման աշխատանքները, կճշգրտվեն փոքր հիդրոէլեկտրակայաններից և վերականգնվող այլ աղբյուրների կիրառմամբ գործող կայաններից առաքվող էլեկտրական էներգիայի վաճառքի սակագները։ </w:t>
      </w:r>
    </w:p>
    <w:p w14:paraId="7C5F9CBB"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2022-2024թթ. նախատեսվում է իրականացնել «Վեոլիա ջուր» ՓԲԸ-ի կողմից վարձակալության պայմանագրային հաշվետու տարվա համար ներկայացված խմելու ջրի մատակարարման և ջրահեռացման (կեղտաջրերի մաքրման) ծառայությունների մատուցման սակագների վերանայման (ճշգրտման) հայտի ուսումնասիրման, խմելու ջրի ծավալների մոնիթորինգի իրականացման աշխատանքներ և խմելու ջրի մատակարարման և ջրահեռացման (կեղտաջրերի մաքրման) սակագների սահմանման աշխատանքներ։</w:t>
      </w:r>
    </w:p>
    <w:p w14:paraId="7B0CB9C6"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Մատակարար-սպառող հարաբերություններում բաժանորդների կողմից բարձրացված խնդիրների ուսումնասիրության արդյունքում՝ սպառողներին մատուցվող ծառայությունների սպասարկման որակի ցուցանիշների բարելավման նպատակով 2021 թվականին կլրամշակվեն էլեկտրական էներգիայի, բնական գազի մատակարարման և օգտագործման, ինչպես նաև խմելու ջրի մատակարարման և ջրահեռացման (կեղտաջրերի մաքրման) ծառայությունների մատուցման կանոնները:  </w:t>
      </w:r>
    </w:p>
    <w:p w14:paraId="323FED46"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էլեկտրաէներգետիկական համակարգում ֆինանսական կայունություն և առաքված էլեկտրաէներգիայի և մատուցված ծառայությունների դիմաց «Հայաստանի էլեկտրական ցանցեր» փակ բաժնետիրական ընկերության կողմից 100% վճարումներ ապահովելու նպատակով 2021 թվականին ևս հանձնաժողովը կշարունակի վերահսկել իր կողմից ներդրված հատուկ հաշվի մեխանիզմի բնականոն աշխատանքը՝ երաշխավորելով արտադրողներին և շուկային ծառայություններ մատուցող ընկերություններին վճարումների կատարումը:</w:t>
      </w:r>
    </w:p>
    <w:p w14:paraId="597E5225"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      Հաշվի առնելով, ՀՀ-ում սպառողների պահանջի աճը ինտերնետի նկատմամբ՝ հանձնաժողովը նախատեսում է շարունակել աշխատանքները, այդ թվում՝ օպերատորների հետ համագործակցության շրջանակում, ՀՀ բնակավայրերում ամրակցված (լարային և անլար տեխնոլոգիաների) լայնաշերտ ինտերնետ հասանելիության ծառայությունների զարգացման ուղղությամբ, ինչը հնրավարություն կընձեռի բարձրացնելու Հայաստանի Հանրապետության բնակավայրերում հանրային ամրակցված կապի տեխնոլոգիաների ցանցերի փոխադարձ ներթափանցելիության և լայնաշերտ ինտերնետ հասանելիության ցուցանիշները: </w:t>
      </w:r>
    </w:p>
    <w:p w14:paraId="5E224CBA"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Ելնելով Հայաստանի Հանրապետության հեռահաղորդակցության ոլորտի առկա ձեռքբերումներից, հանրային շարժական կապի 4G տեխնոլոգիայից դեպի 5G տեխնոլոգիայի ցանցերի սահուն անցումն ապահովող LTE-A և LTE-A Pro ցանցերի զարգացման նկատառումներից, հանձնաժողովի նախաձեռնությամբ 800ՄՀց ռադիոհաճախականությունների տիրույթի 791-801ՄՀց և 832-842ՄՀց ռադիոհաճախականությունների շերտերն առանձնացվել են՝ առևտրային նպատակով տրամադրման համար։ Այս կապակցությամբ, հաշվի առնելով Հայաստանի Հանրապետության շարժական կապի շուկայի հնարավոր կառուցվածքային փոփոխությունների (կոնսոլիդացման) միտումները, հանձնաժողովը ոլորտի իրավասու և շահագրգիռ պետական այլ մարմինների հետ կքննարկի նշված տիրույթները մրցութային հիմունքներով տրամադելու հնարավորություններն ու տարբերակները։</w:t>
      </w:r>
    </w:p>
    <w:p w14:paraId="64E65C00" w14:textId="77777777" w:rsidR="00FA0954" w:rsidRPr="00FA0954" w:rsidRDefault="00FA0954" w:rsidP="00FA0954">
      <w:pPr>
        <w:tabs>
          <w:tab w:val="left" w:pos="810"/>
          <w:tab w:val="left" w:pos="1080"/>
        </w:tabs>
        <w:spacing w:line="276" w:lineRule="auto"/>
        <w:ind w:firstLine="547"/>
        <w:rPr>
          <w:rFonts w:eastAsia="Calibri" w:cs="Times New Roman"/>
          <w:bCs/>
          <w:lang w:val="hy-AM"/>
        </w:rPr>
      </w:pPr>
      <w:r w:rsidRPr="00FA0954">
        <w:rPr>
          <w:rFonts w:eastAsia="Calibri" w:cs="Times New Roman"/>
          <w:lang w:val="hy-AM"/>
        </w:rPr>
        <w:t>Հաշվի առնելով հեռահաղորդակցության ոլորտի զարգացման միջազգային միտումները, հանձնաժողովի նախաձեռնությամբ նախատեսվում և շարունակվելու են քննարկումները ՀՀ շահագրգիռ պետական մարմինների հետ շարժական կապի լայնաշերտ 5G տեխնոլոգիայի ներդրման և դրա համար անհրաժեշտ 700 ՄՀց ՄՀց ռադիոհաճախականությունների  ազատականացման հարցերը։</w:t>
      </w:r>
    </w:p>
    <w:p w14:paraId="7464636F" w14:textId="77777777" w:rsidR="00FA0954" w:rsidRPr="00FA0954" w:rsidRDefault="00FA0954" w:rsidP="00FA0954">
      <w:pPr>
        <w:tabs>
          <w:tab w:val="left" w:pos="810"/>
          <w:tab w:val="left" w:pos="1080"/>
        </w:tabs>
        <w:spacing w:line="276" w:lineRule="auto"/>
        <w:ind w:firstLine="547"/>
        <w:rPr>
          <w:rFonts w:eastAsia="Calibri" w:cs="Times New Roman"/>
          <w:bCs/>
          <w:lang w:val="hy-AM"/>
        </w:rPr>
      </w:pPr>
      <w:r w:rsidRPr="00FA0954">
        <w:rPr>
          <w:rFonts w:eastAsia="Calibri" w:cs="Times New Roman"/>
          <w:lang w:val="hy-AM"/>
        </w:rPr>
        <w:tab/>
        <w:t>Հաշվի առնելով էլեկտրոնային հաղորդակցության ոլորտը կարգավորող օրենսդրության բարելավման Եվրոպական միության փորձը, ինչպես նաև ՀՀ և ԵՄ միջև ստորագրված համապարփակ և ընդլայնված գործընկերության համաձայնագրում ամրագրված հանձնառությունները՝ հանձնաժողովը նախատեսում է նախաձեռնել էլեկտրոնային հաղորդակցության ոլորտը կարգավորող օրենսդրության, մասնավորապես՝ «Էլեկտրոնային հաղորդակցության մասին» օրենքի հանձնաժողովի իրավական ակտերի բարեփոխումներ։</w:t>
      </w:r>
    </w:p>
    <w:p w14:paraId="4A4787B1" w14:textId="77777777" w:rsidR="00FA0954" w:rsidRPr="00FA0954" w:rsidRDefault="00FA0954" w:rsidP="00FA0954">
      <w:pPr>
        <w:tabs>
          <w:tab w:val="left" w:pos="810"/>
          <w:tab w:val="left" w:pos="1080"/>
        </w:tabs>
        <w:spacing w:line="276" w:lineRule="auto"/>
        <w:ind w:firstLine="547"/>
        <w:rPr>
          <w:rFonts w:eastAsia="Calibri" w:cs="Times New Roman"/>
          <w:bCs/>
          <w:lang w:val="hy-AM"/>
        </w:rPr>
      </w:pPr>
      <w:r w:rsidRPr="00FA0954">
        <w:rPr>
          <w:rFonts w:eastAsia="Calibri" w:cs="Times New Roman"/>
          <w:lang w:val="hy-AM"/>
        </w:rPr>
        <w:t xml:space="preserve"> Միաժամանակ, հաշվի առնելով հանրային ամրակցված և շարժական կապի լայնաշերտ տեխնոլոգիաների ենթակառուցվածքների զարգացման ուղղությամբ իրականացված աշխատանքները՝ հանձնաժողովը ԵՄ արևելյան գործընկերության երկրների հեռահաղորդակցության ոլորտի կարգավորողների խմբի շրջանակում շարունակելու է աշխատանքները ենթակառուցվածքների քարտեզագրման մշակմանն ուղղված աշխատանքներին։ ԵՄ արևելյան գործընկերության երկրների հեռահաղորդակցության ոլորտի կարգավորողների խմբի շրջանակում նախատեսվում են նաև կարգավորող մարմինների անկախության ամրապնդմանը, էլեկտրոնային հաղորդակցության շուկաների վերլուծությանը, ԵՄ արևելյան գործընկերության երկրների տարածաշրջանում միջազգային ռոումինգի միասնական տարածք ձևավորելուն և սակագների նվազեցմանն ուղված աշխատանքների շարունակական մասնակցություն: Բացի այդ, շարունակվելու են աշխատանքները նաև ԵԱՏՄ անդամ պետությունների կապի ոլորտում մրցակցության և խոչընդոտների վերացման հարցերով աշխատանքային խմբի շրջանակում, ինչպես նաև ԵԱՏՄ անդամ պետությունների կապի օպերատորների միջև տրաֆիկի անցման ծառայությունների գնագոյացման կարգավորման վերաբերյալ քննարկումներին։</w:t>
      </w:r>
    </w:p>
    <w:p w14:paraId="352D8092" w14:textId="77777777" w:rsidR="00FA0954" w:rsidRPr="0020592A" w:rsidRDefault="00FA0954" w:rsidP="00FA0954">
      <w:pPr>
        <w:tabs>
          <w:tab w:val="left" w:pos="810"/>
          <w:tab w:val="left" w:pos="1080"/>
        </w:tabs>
        <w:spacing w:line="276" w:lineRule="auto"/>
        <w:ind w:firstLine="547"/>
        <w:rPr>
          <w:kern w:val="16"/>
          <w:lang w:val="hy-AM"/>
        </w:rPr>
      </w:pPr>
    </w:p>
    <w:p w14:paraId="2DAA30C4" w14:textId="77777777" w:rsidR="00FA0954" w:rsidRPr="0020592A" w:rsidRDefault="00EC4BA1" w:rsidP="00EC4BA1">
      <w:pPr>
        <w:pStyle w:val="Heading3"/>
        <w:tabs>
          <w:tab w:val="left" w:pos="810"/>
        </w:tabs>
        <w:spacing w:before="0" w:after="120" w:line="276" w:lineRule="auto"/>
        <w:ind w:left="540"/>
        <w:jc w:val="both"/>
        <w:rPr>
          <w:caps w:val="0"/>
          <w:color w:val="1F497D" w:themeColor="text2"/>
        </w:rPr>
      </w:pPr>
      <w:bookmarkStart w:id="659" w:name="_Toc77837904"/>
      <w:r w:rsidRPr="003504D4">
        <w:rPr>
          <w:color w:val="1F497D" w:themeColor="text2"/>
        </w:rPr>
        <w:t>22</w:t>
      </w:r>
      <w:r w:rsidR="00FA0954" w:rsidRPr="0020592A">
        <w:rPr>
          <w:color w:val="1F497D" w:themeColor="text2"/>
        </w:rPr>
        <w:t>.1</w:t>
      </w:r>
      <w:r w:rsidR="009B12D9" w:rsidRPr="00533DE5">
        <w:rPr>
          <w:color w:val="1F497D" w:themeColor="text2"/>
        </w:rPr>
        <w:t>3</w:t>
      </w:r>
      <w:r w:rsidR="00FA0954" w:rsidRPr="0020592A">
        <w:rPr>
          <w:color w:val="1F497D" w:themeColor="text2"/>
        </w:rPr>
        <w:t>. ՊԵՏԱԿԱՆ ՎԵՐԱՀՍԿՈՂԱԿԱՆ ԾԱՌԱՅՈՒԹՅՈՒՆ</w:t>
      </w:r>
      <w:bookmarkEnd w:id="659"/>
    </w:p>
    <w:p w14:paraId="751D8CDE"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«Պետական վերահսկողական ծառայության մասին» ՀՀ օրենքով ՀՀ պետական վերահսկողական ծառայությունը «Պետական կառավարման համակարգի մարմինների մասին» Հայաստանի Հանրապետության օրենքով սահմանված պետական վերահսկողության ոլորտում գործող վարչապետին ենթակա մարմին է, որն իրականացնում է սույն օրենքով իրեն վերապահված վերահսկողական լիազորություններ:</w:t>
      </w:r>
    </w:p>
    <w:p w14:paraId="09B20D4C"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Ծառայությունը պետական վերահսկողության շրջանակներում և սույն օրենքով սահմանված կարգով՝</w:t>
      </w:r>
    </w:p>
    <w:p w14:paraId="0EB4DEC6"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1) պետական կառավարման համակարգի մարմիններում և պետական հիմնարկներում իրականացնում է ուսումնասիրություններ. </w:t>
      </w:r>
    </w:p>
    <w:p w14:paraId="4BD31451"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2) Սահմանադրությամբ և օրենքներով ստեղծված, պետական կառավարման համակարգի մարմին չհանդիսացող մարմիններում իրականացնում է ուսումնասիրություններ պետական միջոցների կառավարման օրինականության վերահսկողության նպատակով.</w:t>
      </w:r>
    </w:p>
    <w:p w14:paraId="7BBF3EB7"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3) տեղական ինքնակառավարման մարմիններում իրականացնում է ուսումնասիրություններ պետական միջոցների տրամադրման համար հիմք հանդիսացող տեղեկատվության արժանահավատության գնահատման նպատակով.</w:t>
      </w:r>
    </w:p>
    <w:p w14:paraId="72D5E3C5"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4) պետական միջոցների ձևավորման գործառույթ իրականացնող լիազորված անձանց մոտ իրականացնում է ուսումնասիրություններ պետական միջոցների ձևավորման օրինականության վերահսկողության նպատակով.</w:t>
      </w:r>
    </w:p>
    <w:p w14:paraId="128FEEFC"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5) Հայաստանի Հանրապետության մասնակցությամբ իրավաբանական անձանց մոտ իրականացնում է ուսումնասիրություններ Հայաստանի Հանրապետության մասնակցությունից ծագող և լիազոր մարմնի, ինչպես նաև կառավարման բարձրագույն և հսկողություն իրականացնող մարմնում Հայաստանի Հանրապետության ներկայացուցչի լիազորություններից բխող վերահսկողության իրականացման նպատակով.</w:t>
      </w:r>
    </w:p>
    <w:p w14:paraId="36CFFB1C"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6) Հայաստանի Հանրապետության մասնակցությամբ քաղաքացիաիրավական գործարքների կողմ հանդիսացող անձանց մոտ իրականացնում է ուսումնասիրություններ Հայաստանի Հանրապետության մասնակցությամբ քաղաքացիաիրավական գործարքներից բխող և դրանց պայմանների կատարման նկատմամբ վերահսկողության իրականացման նպատակով, բացառությամբ պայմանագրից բխող ցուցումներ տալու, որն իրականացվում է պայմանագրով Հայաստանի Հանրապետության անունից հանդես եկող լիազոր մարմնի միջոցով. </w:t>
      </w:r>
    </w:p>
    <w:p w14:paraId="63E13889"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7) պետությունից, համայնքից, պետական, համայնքային ոչ առևտրային կազմակերպություններից, պետության, համայնքների հիսուն տոկոսից ավելի բաժնեմաս ունեցող կազմակերպություններից նվիրաբերության կամ դրամաշնորհի կարգով միջոցներ ստացած իրավաբանական անձանց մոտ իրականացնում է ուսումնասիրություններ գնումների գործընթացը կանոնակարգող օրենսդրության պահանջների պահպանման նկատմամբ վերահսկողության նպատակով.</w:t>
      </w:r>
    </w:p>
    <w:p w14:paraId="5242D807"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8) Հայաստանի Հանրապետությունից սուբսիդիա և դրամաշնորհ ստացած անձանց մոտ իրականացնում է ուսումնասիրություններ պետական միջոց տրամադրելու համար հիմք հանդիսացող տեղեկատվության արժանահավատության գնահատման նպատակով.</w:t>
      </w:r>
    </w:p>
    <w:p w14:paraId="696672D6"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9) պետական միջոցների կառավարման և ձևավորման հակաօրինական գործողությունների, չարաշահումների վտանգի և հնարավոր վնասների առաջացման ռիսկերի դեպքերում նշված ռիսկերի հիմնավորվածությունը պարզելու, գնահատելու կամ դրանք նվազագույնի հասցնելու նպատակով վարչապետի համաձայնությամբ իրավասու է առաջարկելու կասեցնել գործարքների կատարումը, ինչպես նաև դրանց կնքմանն ուղղված ընթացակարգերը կամ գործողությունները.</w:t>
      </w:r>
    </w:p>
    <w:p w14:paraId="1A5063F8"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10) վարչապետի հանձնարարությամբ իրականացնում է կարգապահական վարույթներ.</w:t>
      </w:r>
    </w:p>
    <w:p w14:paraId="1917EDF9"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11) ստացված դիմումները, բողոքները և առաջարկությունները հասցեագրում է իրավասու պետական կառավարման համակարգի մարմիններին և վերահսկում դրանց ընթացքը. </w:t>
      </w:r>
    </w:p>
    <w:p w14:paraId="46112ADF"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12) իրականացնում է հանդիպակաց ուսումնասիրություններ սույն օրենքով սահմանված դեպքերում և կարգով. </w:t>
      </w:r>
    </w:p>
    <w:p w14:paraId="1BA67672"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13) ներկայացնում է վերահսկողության արդյունքներից բխող պահանջվող միջոցառումների վերաբերյալ առաջարկություններ և իրականացնում դրանց իրականացման նկատմամբ հսկողություն.</w:t>
      </w:r>
    </w:p>
    <w:p w14:paraId="5C1AA730"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14) համագործակցում է պետական և տեղական ինքնակառավարման մարմինների, միջազգային կազմակերպությունների և օտարերկրյա պետությունների համապատասխան կառույցների հետ.</w:t>
      </w:r>
    </w:p>
    <w:p w14:paraId="058CC9FD"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15) առաջարկություններ է ներկայացնում պետական կառավարման ոլորտում իրավական ակտերի նախագծերի և փոփոխությունների (լրացումների) վերաբերյալ: </w:t>
      </w:r>
    </w:p>
    <w:p w14:paraId="052D9175"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ՀՀ կառավարության ծրագրով սահմանված քաղաքականության նպատակների և թիրախների հետ կապը կոռուպցիայի դեմ պայքարն է:</w:t>
      </w:r>
    </w:p>
    <w:p w14:paraId="4031DEDD"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ՀՀ պետական վերահսկողական ծառայության քաղաքականության հիմնական թիրախներից է՝ ՀՀ պետական միջոցների կառավարման, ձևավորման և օգտագործման արդյունավետության և օրինականության բարձրացումը:</w:t>
      </w:r>
    </w:p>
    <w:p w14:paraId="543FA850"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ՀՀ պետական վերահսկողական ծառայության գործունեությունը նպաստում է ՄԱԿ-ի  կայուն զարգացման 17 նպատակների և դրանց գծով սահմանված գլոբալ ցուցանիշների ապահովմանը:</w:t>
      </w:r>
    </w:p>
    <w:p w14:paraId="2928F1B6"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ՀՀ պետական վերահսկողական ծառայության կողմից կատարվող աշխատանքների գերակայություններն  են. </w:t>
      </w:r>
    </w:p>
    <w:p w14:paraId="22CD9522"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1)</w:t>
      </w:r>
      <w:r w:rsidRPr="0020592A">
        <w:rPr>
          <w:kern w:val="16"/>
          <w:lang w:val="hy-AM"/>
        </w:rPr>
        <w:tab/>
        <w:t>պետական կառավարման համակարգի մարմիններում և պետական հիմնարկներում իրականացնում է ուսումնասիրություններ.</w:t>
      </w:r>
    </w:p>
    <w:p w14:paraId="43DEEDCD"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2)</w:t>
      </w:r>
      <w:r w:rsidRPr="0020592A">
        <w:rPr>
          <w:kern w:val="16"/>
          <w:lang w:val="hy-AM"/>
        </w:rPr>
        <w:tab/>
        <w:t>Սահմանադրությամբ և օրենքներով ստեղծված, պետական կառավարման համակարգի մարմին չհանդիսացող մարմիններում իրականացնում է ուսումնասիրություններ պետական միջոցների կառավարման օրինականության վերահսկողության նպատակով.</w:t>
      </w:r>
    </w:p>
    <w:p w14:paraId="5A55B101"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3)</w:t>
      </w:r>
      <w:r w:rsidRPr="0020592A">
        <w:rPr>
          <w:kern w:val="16"/>
          <w:lang w:val="hy-AM"/>
        </w:rPr>
        <w:tab/>
        <w:t>Հայաստանի Հանրապետության մասնակցությամբ իրավաբանական անձանց մոտ իրականացնում է ուսումնասիրություններ Հայաստանի Հանրապետության մասնակցությունից ծագող և լիազոր մարմնի, ինչպես նաև կառավարման բարձրագույն և հսկողություն իրականացնող մարմնում Հայաստանի Հանրապետության ներկայացուցչի լիազորություններից բխող վերահսկողության իրականացման նպատակով.</w:t>
      </w:r>
    </w:p>
    <w:p w14:paraId="247463E8"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4)</w:t>
      </w:r>
      <w:r w:rsidRPr="0020592A">
        <w:rPr>
          <w:kern w:val="16"/>
          <w:lang w:val="hy-AM"/>
        </w:rPr>
        <w:tab/>
        <w:t>Հայաստանի Հանրապետությունից սուբսիդիա և դրամաշնորհ ստացած անձանց մոտ իրականացնում է ուսումնասիրություններ պետական միջոց տրամադրելու համար հիմք հանդիսացող տեղեկատվության արժանահավատության գնահատման նպատակով:</w:t>
      </w:r>
    </w:p>
    <w:p w14:paraId="20298E61" w14:textId="77777777" w:rsidR="00FA0954" w:rsidRPr="0020592A" w:rsidRDefault="00FA0954" w:rsidP="00FA0954">
      <w:pPr>
        <w:tabs>
          <w:tab w:val="left" w:pos="810"/>
          <w:tab w:val="left" w:pos="1080"/>
        </w:tabs>
        <w:spacing w:line="276" w:lineRule="auto"/>
        <w:ind w:firstLine="547"/>
        <w:rPr>
          <w:kern w:val="16"/>
          <w:lang w:val="hy-AM"/>
        </w:rPr>
      </w:pPr>
    </w:p>
    <w:p w14:paraId="7547E392"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60" w:name="_Toc77837905"/>
      <w:r w:rsidRPr="003504D4">
        <w:rPr>
          <w:color w:val="1F497D" w:themeColor="text2"/>
        </w:rPr>
        <w:t>22</w:t>
      </w:r>
      <w:r w:rsidR="00FA0954" w:rsidRPr="0020592A">
        <w:rPr>
          <w:color w:val="1F497D" w:themeColor="text2"/>
        </w:rPr>
        <w:t>.1</w:t>
      </w:r>
      <w:r w:rsidR="009B12D9" w:rsidRPr="00533DE5">
        <w:rPr>
          <w:color w:val="1F497D" w:themeColor="text2"/>
        </w:rPr>
        <w:t>4</w:t>
      </w:r>
      <w:r w:rsidR="00FA0954" w:rsidRPr="0020592A">
        <w:rPr>
          <w:color w:val="1F497D" w:themeColor="text2"/>
        </w:rPr>
        <w:t xml:space="preserve">. </w:t>
      </w:r>
      <w:r w:rsidR="00FA0954" w:rsidRPr="0020592A">
        <w:rPr>
          <w:rFonts w:cs="Sylfaen"/>
          <w:color w:val="1F497D" w:themeColor="text2"/>
        </w:rPr>
        <w:t>ՄԻՋՈՒԿԱՅԻՆ ԱՆՎՏԱՆԳՈՒԹՅԱՆ ԿԱՐԳԱՎՈՐՄԱՆ ԿՈՄԻՏԵ</w:t>
      </w:r>
      <w:bookmarkEnd w:id="660"/>
    </w:p>
    <w:p w14:paraId="61F24B0D" w14:textId="77777777" w:rsidR="00FA0954" w:rsidRPr="0020592A" w:rsidRDefault="00FA0954" w:rsidP="00FA0954">
      <w:pPr>
        <w:tabs>
          <w:tab w:val="left" w:pos="810"/>
          <w:tab w:val="left" w:pos="1080"/>
        </w:tabs>
        <w:spacing w:line="276" w:lineRule="auto"/>
        <w:ind w:firstLine="540"/>
        <w:rPr>
          <w:rFonts w:eastAsia="Calibri" w:cs="Times New Roman"/>
          <w:bCs/>
          <w:lang w:val="hy-AM"/>
        </w:rPr>
      </w:pPr>
      <w:r w:rsidRPr="0020592A">
        <w:rPr>
          <w:rFonts w:eastAsia="Calibri" w:cs="Times New Roman"/>
          <w:lang w:val="hy-AM"/>
        </w:rPr>
        <w:t>Կոմիտեի գործունեության հիմնական ուղղություններն են՝</w:t>
      </w:r>
    </w:p>
    <w:p w14:paraId="27362B09"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Ատոմային էներգիայի օգտագործման ոլորտի միջուկային և ճառագայթային անվտանգության կարգավորում:</w:t>
      </w:r>
    </w:p>
    <w:p w14:paraId="641DAEAA"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Ճառագայթային և գեներացնող աղբյուրներ պարունակող ախտորոշիչ սարքերի լիցենզավորում։</w:t>
      </w:r>
    </w:p>
    <w:p w14:paraId="61C2AB03"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Միջուկային տեղակայնքների և միջուկային նյութերի ֆիզիկական պաշտպանություն՝ ՀՀ ազգային անվտանգության ծառայության հետ։</w:t>
      </w:r>
    </w:p>
    <w:p w14:paraId="04278A94"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Սահմանային անցակետերում միջուկային նյութերի և ճառագայթային աղբյուրների չարտոնված տեղափոխման հսկողություն՝ ՀՀ պետական եկամուտների կոմիտեի հետ:</w:t>
      </w:r>
    </w:p>
    <w:p w14:paraId="7BFC063C"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 Բնակչության և ՀԱԷԿ-ի անձնակազմի պաշտպանություն միջուկային և ճառագայթային վթարների դեպքում, այդ թվում  միջուկային տեղակայնքների հրդեհի առաջացման դեպքում՝ ՀՀ արտակարգ իրավիճակների նախարարության հետ։ </w:t>
      </w:r>
    </w:p>
    <w:p w14:paraId="0E882E07"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 ՀՀ միջուկային օրենսդրության համապատասխանեցումը  Ատոմային էներգիայի միջազգային գործակալության (ԱԷՄԳ) անվտանգության ստանդարտներին,  Եվրոպական միության անվտանգության դիրեկտիվների՝ այդ թվում  Արևմտաեվրոպական երկրների կարգավորող մարմինների ասոցիացիայի (WENRA) անվտանգության պահանջներին, «Ատոմային էներգիայի մասին» ՀՀ նոր օրենքի նախագծի մշակումը, միջուկային և ճառագայթային  անվտանգության նոր նորմերի, կանոնների, պահանջների, ուղեցույցների, մեթոդների մշակումը, գործող նորմերի ու կանոնների վերանայումը, լրամշակումը, անվտանգությանը վերաբերվող փաստաթղթերի քննարկումը, վերլուծությունը և գնահատումը: </w:t>
      </w:r>
    </w:p>
    <w:p w14:paraId="195A6A55"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ՀՀ միջուկային անվտանգության կարգավորման կոմիտեն իրականացնում է «Միջուկային և ճառագայթային անվտանգության կարգավորում» ծրագիրը: </w:t>
      </w:r>
    </w:p>
    <w:p w14:paraId="3CAE03AA"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Ծրագրի վերջնական արդյունքն է՝ ՀՀ բնակչության համար թույլատրելի տարեկան արդյունարար դոզայի արժեքի չգերազանցումը սահմանված չափաքանակներից։ Վերջնական արդյունքին հասնելու գերակա ուղղությունները՝</w:t>
      </w:r>
    </w:p>
    <w:p w14:paraId="7ACF60DA"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շրջակա միջավայրի ճառագայթային մոնիթորինգի ժամանակակից համակարգի ներդրումը՝ շրջակա միջավայրի հնարավոր ռադիոակտիվ աղտոտմամբ պայմանավորված բնակչության ճառագայթահարումը վերահսկելու համար</w:t>
      </w:r>
    </w:p>
    <w:p w14:paraId="00C39212"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կոմիտեի գիտատեխնիկական աջակցության զարգացում</w:t>
      </w:r>
    </w:p>
    <w:p w14:paraId="69C76E37"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մասնագիտական և տեսչական անձնակազմի որակավորման բարձրացումը, (փորձի   փոխանակում, վերապատրաստում, դասընթացներ)</w:t>
      </w:r>
    </w:p>
    <w:p w14:paraId="22DC1E3B"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 xml:space="preserve">- միջուկային զենքի չտարածման ռեժիմի ուժեղացում, միջուկային նյութի </w:t>
      </w:r>
    </w:p>
    <w:p w14:paraId="7180921A"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Ծրագրի նպատակն է՝ ատոմային էներգիայի օգտագործման բնագավառում անվտանգության պետական կարգավորման ապահովումը, ՀՀ միջուկային օրենսդրության համապատասխանեցումը  Ատոմային էներգիայի միջազգային գործակալության (ԱԷՄԳ) անվտանգության ստանդարտներին և  Եվրոպական միության անվտանգության դիրեկտիվներին, իրավաբանական և ֆիզիկական անձանց լիցենզավորումը, միջուկային զենքի չտարածման ռեժիմի ուժեղացումը, միջուկային նյութի հաշվառման և վերահսկման պետական համակարգի կատարելագործումը, ատոմային էներգիայի օգտագործման օբյեկտների կարգավորող վերահսկողության և տեսչական ստուգումների անցկացումը, շրջակա միջավայրի ճառագայթային մոնիթորինգի ժամանակակից համակարգի ներդրումը, վթարային հակազդման համակարգի զարգացումը։</w:t>
      </w:r>
    </w:p>
    <w:p w14:paraId="6C71D306" w14:textId="77777777" w:rsidR="00FA0954" w:rsidRPr="0020592A" w:rsidRDefault="00FA0954" w:rsidP="00FA0954">
      <w:pPr>
        <w:tabs>
          <w:tab w:val="left" w:pos="810"/>
          <w:tab w:val="left" w:pos="1080"/>
        </w:tabs>
        <w:spacing w:line="276" w:lineRule="auto"/>
        <w:ind w:firstLine="547"/>
        <w:rPr>
          <w:kern w:val="16"/>
          <w:lang w:val="hy-AM"/>
        </w:rPr>
      </w:pPr>
      <w:r w:rsidRPr="0020592A">
        <w:rPr>
          <w:kern w:val="16"/>
          <w:lang w:val="hy-AM"/>
        </w:rPr>
        <w:t>Ծրագրի վերջնական արդյունքն է՝ բնակչության, ատոմային էներգիայի օգտագործման օբյեկտների անձնակազմի, շրջակա միջավայրի պաշտպանությունն իոնացնող ճառագայթման հնարավոր վնասակար ազդեցությունից։</w:t>
      </w:r>
    </w:p>
    <w:p w14:paraId="65B97674" w14:textId="77777777" w:rsidR="00FA0954" w:rsidRPr="0020592A" w:rsidRDefault="00FA0954" w:rsidP="00FA0954">
      <w:pPr>
        <w:tabs>
          <w:tab w:val="left" w:pos="810"/>
          <w:tab w:val="left" w:pos="1080"/>
        </w:tabs>
        <w:spacing w:line="276" w:lineRule="auto"/>
        <w:ind w:firstLine="547"/>
        <w:rPr>
          <w:kern w:val="16"/>
          <w:lang w:val="hy-AM"/>
        </w:rPr>
      </w:pPr>
    </w:p>
    <w:p w14:paraId="170221ED" w14:textId="77777777" w:rsidR="00FA0954" w:rsidRPr="0020592A" w:rsidRDefault="00EC4BA1" w:rsidP="00EC4BA1">
      <w:pPr>
        <w:pStyle w:val="Heading3"/>
        <w:tabs>
          <w:tab w:val="left" w:pos="810"/>
        </w:tabs>
        <w:spacing w:before="0" w:after="120" w:line="276" w:lineRule="auto"/>
        <w:ind w:left="540"/>
        <w:jc w:val="both"/>
        <w:rPr>
          <w:color w:val="1F497D" w:themeColor="text2"/>
        </w:rPr>
      </w:pPr>
      <w:bookmarkStart w:id="661" w:name="_Toc77837906"/>
      <w:r w:rsidRPr="003504D4">
        <w:rPr>
          <w:color w:val="1F497D" w:themeColor="text2"/>
        </w:rPr>
        <w:t>22.1</w:t>
      </w:r>
      <w:r w:rsidR="009B12D9" w:rsidRPr="00533DE5">
        <w:rPr>
          <w:color w:val="1F497D" w:themeColor="text2"/>
        </w:rPr>
        <w:t>5</w:t>
      </w:r>
      <w:r w:rsidR="00FA0954" w:rsidRPr="0020592A">
        <w:rPr>
          <w:color w:val="1F497D" w:themeColor="text2"/>
        </w:rPr>
        <w:t xml:space="preserve">. </w:t>
      </w:r>
      <w:r w:rsidR="00FA0954" w:rsidRPr="0020592A">
        <w:rPr>
          <w:rFonts w:cs="Sylfaen"/>
          <w:color w:val="1F497D" w:themeColor="text2"/>
        </w:rPr>
        <w:t>ՀՀ ՀԱՇՎԵՔՆՆԻՉ ՊԱԼԱՏ</w:t>
      </w:r>
      <w:bookmarkEnd w:id="661"/>
    </w:p>
    <w:p w14:paraId="47DC3626"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ՀՀ հաշվեքննիչ պալատն արտաքին պետական հաշվեքննություն իրականացնող անկախ պետական մարմինն է։</w:t>
      </w:r>
    </w:p>
    <w:p w14:paraId="66161A5B"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Հաշվեքննիչ պալատի գործունեության նպատակը հանրային ֆինանսների և սեփա-կանության ոլորտում պետական և համայնքային բյուջեների միջոցների, ստացած փոխառությունների և վարկերի, պետական և համայնքային սեփականության օգտա-գործման օրինականության և արդյունավետության վերաբերյալ Ազգային ժողովին և հանրությանը ժամանակին, մասնագիտական և անկողմնակալ տեղեկատվություն ներկայացնելն է:</w:t>
      </w:r>
    </w:p>
    <w:p w14:paraId="78FE0AFE"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Նշված նպատակի ապահովման համար Հաշվեքննիչ պալատն իրականացնում է  հանրային ֆինանսների և սեփականության ոլորտում հաշվեքննություն (ստուգում) պետական բյուջեի և համայնքային բյուջեների միջոցների, ստացված փոխառությունների ու վարկերի, պետական և համայնքային սեփականության օգտագործման օրինականության և արդյունավետության նկատմամբ։</w:t>
      </w:r>
    </w:p>
    <w:p w14:paraId="44F8AEBB"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Հաշվեքննության նպատակն է պարզել հաշվեքննության առարկայի օրինականութ¬յան ու տնտեսման, նպատակային և ծախսային արդյունավետության սկզբունքների պահպանումը:</w:t>
      </w:r>
    </w:p>
    <w:p w14:paraId="13540A89"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Հաշվեքննությունն իրականացվում է պետական բյուջեի և համայնքային բյուջեների միջոցներից ֆինանսավորվող պետական և տեղական ինքնակառավարման մարմիններում և հիմնարկներում։ Իրավաբանական անձանց մոտ ստուգում իրականացվում է հատուկ դեպքերում` օրենքով սահմանված կարգով։</w:t>
      </w:r>
    </w:p>
    <w:p w14:paraId="1A24F201"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Նկատի ունենալով սահմանադրորեն և օրենքով Հաշվեքննիչ պալատի անկախության համար սահմանված սկզբունքը, Հաշվեքննիչ պալատն ինքնուրույն   է սահմանում իր հիմնական թիրախները, այնուամենայնիվ դրանք, ըստ էության, փոխկապակցված են հանրային ֆինանսերի և սեփականության ոլորտում ՀՀ կառավարության հիմնական նպատակների և թիրախների հետ։ Այդ մասով Հաշվեքննիչ պալատը նպատակադրված է հաշվեքննությունների միջոցով պարզել հաշվեքննության առարկայի օրինականության ու տնտեսման, նպատակային և ծախսային արդյունավետության սկզբունքների պահպանումը:</w:t>
      </w:r>
    </w:p>
    <w:p w14:paraId="1664C7BD"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Այդ նպատակով Հաշվեքննիչ պալատն, իր գործունեության տարեկան ծրագրի հիման վրա իրականացնում է ֆինանսական, համապատասխանության և կատարողականի հաշվեքննություններ, իսկ հաշվեքննության թիրախները սահմանվում են ռիսկերի գնահատման մեթոդաբանությամբ։ Այս առումով Հաշվեքննիչ պալատի գերակայություններից է ավելացնել հաշվեքննության թիրախների քանակը, որի իրականացման համար անհրաժեշտ են լրացուցիչ ռեսուրսներ:</w:t>
      </w:r>
    </w:p>
    <w:p w14:paraId="334F5A0E"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Հաշվեքննիչ պալատի ֆինանսական, հսկողության և կառավարչական գործընթացների հետ կապված ռիսկերի կառավարման արդյունավետությունը բարձրացնելու նպատակով հաշվեքննիչ պալատը նպատակադրված է ներսում ներդնել և զարգացնել որակի կառավարման համակարգ, ինչի իրագործման համար նույնպես պետք է ներգրավվի լրացուցիչ ֆինանսական, մարդկային և նյութական ռեսուրսներ, ինչպես նաև պետք է բարձրացվի Հաշվեքննիչ պալատի աշխատակազմի մասնագիտական կարողությունները: </w:t>
      </w:r>
    </w:p>
    <w:p w14:paraId="063E8E00"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 xml:space="preserve"> Նպատակային թիրախներն ապահովելու և ծրագիրը հաջող ավարտելու նպատակով Հաշվեքննիչ պալատը ձգտում է հասնել վերջնական արդյունքներին հետևյալ ուղղությունների սահմաններում</w:t>
      </w:r>
      <w:r w:rsidRPr="0020592A">
        <w:rPr>
          <w:rFonts w:ascii="Cambria Math" w:eastAsia="MS Gothic" w:hAnsi="Cambria Math" w:cs="Cambria Math"/>
          <w:lang w:val="hy-AM"/>
        </w:rPr>
        <w:t>․</w:t>
      </w:r>
    </w:p>
    <w:p w14:paraId="28DA5158"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w:t>
      </w:r>
      <w:r w:rsidRPr="0020592A">
        <w:rPr>
          <w:rFonts w:eastAsia="Calibri" w:cs="Times New Roman"/>
          <w:lang w:val="hy-AM"/>
        </w:rPr>
        <w:tab/>
        <w:t xml:space="preserve">Արտաքին պետական հաշվեքննության ոլորտի վերաբերյալ ՀՀ օրենսդրության բարելավում՝ նկատի ունենալով Աուդիտի բարձրագույն մարմինների միջազգային կազմակերպության (INTOSAI) ստանդարտներով  սահմանված ֆինանսական, գործառնական և կազմակերպչական անկախության հարցերը:  </w:t>
      </w:r>
      <w:r w:rsidRPr="0020592A">
        <w:rPr>
          <w:rFonts w:eastAsia="Calibri" w:cs="Times New Roman"/>
          <w:lang w:val="hy-AM"/>
        </w:rPr>
        <w:cr/>
      </w:r>
    </w:p>
    <w:p w14:paraId="5A6F7169"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w:t>
      </w:r>
      <w:r w:rsidRPr="0020592A">
        <w:rPr>
          <w:rFonts w:eastAsia="Calibri" w:cs="Times New Roman"/>
          <w:lang w:val="hy-AM"/>
        </w:rPr>
        <w:tab/>
        <w:t>Հաշվեքննության գործընթացի որակի բարձրացում՝ նկատի ունենալով նաև Հաշվեքննիչ պալատի ՏՏ ենթակառուցվածքների զարգացման հարցերը:</w:t>
      </w:r>
    </w:p>
    <w:p w14:paraId="005EBE30"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w:t>
      </w:r>
      <w:r w:rsidRPr="0020592A">
        <w:rPr>
          <w:rFonts w:eastAsia="Calibri" w:cs="Times New Roman"/>
          <w:lang w:val="hy-AM"/>
        </w:rPr>
        <w:tab/>
        <w:t xml:space="preserve">Ազգային ժողովի, կառավարության և այլ շահառուների հետ համագործակցության զարգացում՝ հատկապես նկատի ունենալով հաշվեքննությունից հետո տարվող աշխատանքները՝ follow-up գործընթաց: </w:t>
      </w:r>
    </w:p>
    <w:p w14:paraId="4DB2E046"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w:t>
      </w:r>
      <w:r w:rsidRPr="0020592A">
        <w:rPr>
          <w:rFonts w:eastAsia="Calibri" w:cs="Times New Roman"/>
          <w:lang w:val="hy-AM"/>
        </w:rPr>
        <w:tab/>
        <w:t>Հաշվեքննիչ պալատում մասնագիտական կարողություների շարունակական զարգացում:</w:t>
      </w:r>
    </w:p>
    <w:p w14:paraId="6252B70B"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Հաշվեքննության ոլորտային քաղաքականության թիրախների (վերջնական արդյունքների) ապահովման նպատակով ՄԺԾԾ ժամանակահատվածում Հաշվեքննիչ պալատի համար գերակա համարվող ուղղություններն են.</w:t>
      </w:r>
    </w:p>
    <w:p w14:paraId="1A451284"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w:t>
      </w:r>
      <w:r w:rsidRPr="0020592A">
        <w:rPr>
          <w:rFonts w:eastAsia="Calibri" w:cs="Times New Roman"/>
          <w:lang w:val="hy-AM"/>
        </w:rPr>
        <w:tab/>
        <w:t xml:space="preserve">Արտաքին պետական հաշվեքննության ոլորտի վերաբերյալ ՀՀ օրենսդրության բարելավում: </w:t>
      </w:r>
    </w:p>
    <w:p w14:paraId="66E40C8C"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w:t>
      </w:r>
      <w:r w:rsidRPr="0020592A">
        <w:rPr>
          <w:rFonts w:eastAsia="Calibri" w:cs="Times New Roman"/>
          <w:lang w:val="hy-AM"/>
        </w:rPr>
        <w:tab/>
        <w:t xml:space="preserve">Հաշվեքննիչ պալատում մասնագիտական կարողություների շարունակական զարգացում: </w:t>
      </w:r>
    </w:p>
    <w:p w14:paraId="55C23259" w14:textId="77777777" w:rsidR="00FA0954" w:rsidRPr="0020592A" w:rsidRDefault="00FA0954" w:rsidP="00FA0954">
      <w:pPr>
        <w:tabs>
          <w:tab w:val="left" w:pos="810"/>
          <w:tab w:val="left" w:pos="1080"/>
        </w:tabs>
        <w:spacing w:line="276" w:lineRule="auto"/>
        <w:ind w:firstLine="547"/>
        <w:rPr>
          <w:rFonts w:eastAsia="Calibri" w:cs="Times New Roman"/>
          <w:bCs/>
          <w:lang w:val="hy-AM"/>
        </w:rPr>
      </w:pPr>
      <w:r w:rsidRPr="0020592A">
        <w:rPr>
          <w:rFonts w:eastAsia="Calibri" w:cs="Times New Roman"/>
          <w:lang w:val="hy-AM"/>
        </w:rPr>
        <w:t>-</w:t>
      </w:r>
      <w:r w:rsidRPr="0020592A">
        <w:rPr>
          <w:rFonts w:eastAsia="Calibri" w:cs="Times New Roman"/>
          <w:lang w:val="hy-AM"/>
        </w:rPr>
        <w:tab/>
        <w:t xml:space="preserve">Հաշվեքննության գործընթացի որակի բարձրացում՝ նկատի ունենալով նաև Հաշվեքննիչ պալատի ՏՏ ենթակառուցվածքների զարգացման հարցերը: </w:t>
      </w:r>
    </w:p>
    <w:p w14:paraId="161251DB" w14:textId="77777777" w:rsidR="00FA0954" w:rsidRPr="0020592A" w:rsidRDefault="00FA0954" w:rsidP="00FA0954">
      <w:pPr>
        <w:tabs>
          <w:tab w:val="left" w:pos="810"/>
          <w:tab w:val="left" w:pos="1080"/>
        </w:tabs>
        <w:spacing w:line="276" w:lineRule="auto"/>
        <w:ind w:firstLine="547"/>
        <w:rPr>
          <w:b/>
          <w:caps/>
          <w:color w:val="1F497D" w:themeColor="text2"/>
          <w:lang w:val="hy-AM"/>
        </w:rPr>
      </w:pPr>
      <w:r w:rsidRPr="0020592A">
        <w:rPr>
          <w:rFonts w:eastAsia="Calibri" w:cs="Times New Roman"/>
          <w:lang w:val="hy-AM"/>
        </w:rPr>
        <w:t>-</w:t>
      </w:r>
      <w:r w:rsidRPr="0020592A">
        <w:rPr>
          <w:rFonts w:eastAsia="Calibri" w:cs="Times New Roman"/>
          <w:lang w:val="hy-AM"/>
        </w:rPr>
        <w:tab/>
        <w:t>Ազգային ժողովի, կառավարության և այլ շահառուների հետ համագործակցության զարգացում՝ հատկապես նկատի ունենալով հաշվեքննությունից հետո տարվող աշխատանքները (follow-up գործընթաց);</w:t>
      </w:r>
    </w:p>
    <w:p w14:paraId="57DB0A03" w14:textId="77777777" w:rsidR="00EC4BA1" w:rsidRDefault="00EC4BA1">
      <w:pPr>
        <w:pStyle w:val="StyleHeading1SectionSectionHeadingText11Chapterhead3"/>
        <w:rPr>
          <w:lang w:val="hy-AM"/>
        </w:rPr>
      </w:pPr>
    </w:p>
    <w:p w14:paraId="091BEB90" w14:textId="77777777" w:rsidR="00EC4BA1" w:rsidRDefault="00EC4BA1">
      <w:pPr>
        <w:pStyle w:val="StyleHeading1SectionSectionHeadingText11Chapterhead3"/>
        <w:rPr>
          <w:lang w:val="hy-AM"/>
        </w:rPr>
      </w:pPr>
    </w:p>
    <w:p w14:paraId="0F2897F5" w14:textId="77777777" w:rsidR="00EC4BA1" w:rsidRDefault="00EC4BA1">
      <w:pPr>
        <w:pStyle w:val="StyleHeading1SectionSectionHeadingText11Chapterhead3"/>
        <w:rPr>
          <w:lang w:val="hy-AM"/>
        </w:rPr>
      </w:pPr>
    </w:p>
    <w:p w14:paraId="235A3EAA" w14:textId="77777777" w:rsidR="00EC4BA1" w:rsidRDefault="00EC4BA1">
      <w:pPr>
        <w:pStyle w:val="StyleHeading1SectionSectionHeadingText11Chapterhead3"/>
        <w:rPr>
          <w:lang w:val="hy-AM"/>
        </w:rPr>
      </w:pPr>
    </w:p>
    <w:p w14:paraId="5822BD1F" w14:textId="77777777" w:rsidR="00EC4BA1" w:rsidRDefault="00EC4BA1">
      <w:pPr>
        <w:pStyle w:val="StyleHeading1SectionSectionHeadingText11Chapterhead3"/>
        <w:rPr>
          <w:lang w:val="hy-AM"/>
        </w:rPr>
      </w:pPr>
    </w:p>
    <w:p w14:paraId="47BE4566" w14:textId="77777777" w:rsidR="00EC4BA1" w:rsidRDefault="00EC4BA1">
      <w:pPr>
        <w:pStyle w:val="StyleHeading1SectionSectionHeadingText11Chapterhead3"/>
        <w:rPr>
          <w:lang w:val="hy-AM"/>
        </w:rPr>
      </w:pPr>
    </w:p>
    <w:p w14:paraId="69792C8C" w14:textId="77777777" w:rsidR="00EC4BA1" w:rsidRDefault="00EC4BA1">
      <w:pPr>
        <w:pStyle w:val="StyleHeading1SectionSectionHeadingText11Chapterhead3"/>
        <w:rPr>
          <w:lang w:val="hy-AM"/>
        </w:rPr>
      </w:pPr>
    </w:p>
    <w:p w14:paraId="68AEF689" w14:textId="77777777" w:rsidR="003D748B" w:rsidRDefault="003D748B" w:rsidP="00146C6E">
      <w:pPr>
        <w:pStyle w:val="Heading1"/>
        <w:jc w:val="center"/>
        <w:rPr>
          <w:lang w:val="hy-AM"/>
        </w:rPr>
      </w:pPr>
      <w:bookmarkStart w:id="662" w:name="_Toc45838556"/>
    </w:p>
    <w:p w14:paraId="1B34D364" w14:textId="77777777" w:rsidR="007112CF" w:rsidRPr="007112CF" w:rsidRDefault="007112CF" w:rsidP="007112CF">
      <w:pPr>
        <w:rPr>
          <w:lang w:val="hy-AM"/>
        </w:rPr>
      </w:pPr>
    </w:p>
    <w:p w14:paraId="549E7333" w14:textId="77777777" w:rsidR="003D748B" w:rsidRDefault="003D748B" w:rsidP="00146C6E">
      <w:pPr>
        <w:pStyle w:val="Heading1"/>
        <w:jc w:val="center"/>
        <w:rPr>
          <w:lang w:val="hy-AM"/>
        </w:rPr>
      </w:pPr>
    </w:p>
    <w:p w14:paraId="5DB65D7E" w14:textId="77777777" w:rsidR="003D748B" w:rsidRDefault="003D748B" w:rsidP="00146C6E">
      <w:pPr>
        <w:pStyle w:val="Heading1"/>
        <w:jc w:val="center"/>
        <w:rPr>
          <w:lang w:val="hy-AM"/>
        </w:rPr>
      </w:pPr>
    </w:p>
    <w:p w14:paraId="382D8F2E" w14:textId="77777777" w:rsidR="00DA0E15" w:rsidRDefault="00362131" w:rsidP="00146C6E">
      <w:pPr>
        <w:pStyle w:val="Heading1"/>
        <w:jc w:val="center"/>
        <w:rPr>
          <w:lang w:val="hy-AM"/>
        </w:rPr>
      </w:pPr>
      <w:bookmarkStart w:id="663" w:name="_Toc77837907"/>
      <w:r>
        <w:rPr>
          <w:lang w:val="hy-AM"/>
        </w:rPr>
        <w:t>ՎԵՐԼՈՒԾՈՒԹՅՈՒՆՆԵՐ</w:t>
      </w:r>
      <w:bookmarkEnd w:id="662"/>
      <w:bookmarkEnd w:id="663"/>
    </w:p>
    <w:p w14:paraId="46DA9A79" w14:textId="77777777" w:rsidR="00DA0E15" w:rsidRDefault="00DA0E15">
      <w:pPr>
        <w:keepNext/>
        <w:spacing w:line="360" w:lineRule="auto"/>
        <w:outlineLvl w:val="0"/>
        <w:rPr>
          <w:b/>
          <w:bCs/>
          <w:spacing w:val="40"/>
          <w:kern w:val="32"/>
          <w:lang w:val="es-ES"/>
        </w:rPr>
      </w:pPr>
    </w:p>
    <w:p w14:paraId="4B64E7BA" w14:textId="77777777" w:rsidR="00DA0E15" w:rsidRDefault="00DA0E15">
      <w:pPr>
        <w:keepNext/>
        <w:spacing w:line="360" w:lineRule="auto"/>
        <w:outlineLvl w:val="0"/>
        <w:rPr>
          <w:b/>
          <w:bCs/>
          <w:spacing w:val="40"/>
          <w:kern w:val="32"/>
          <w:lang w:val="es-ES"/>
        </w:rPr>
      </w:pPr>
    </w:p>
    <w:p w14:paraId="791AA741" w14:textId="77777777" w:rsidR="00DA0E15" w:rsidRDefault="00DA0E15">
      <w:pPr>
        <w:keepNext/>
        <w:spacing w:line="360" w:lineRule="auto"/>
        <w:outlineLvl w:val="0"/>
        <w:rPr>
          <w:b/>
          <w:bCs/>
          <w:spacing w:val="40"/>
          <w:kern w:val="32"/>
          <w:lang w:val="es-ES"/>
        </w:rPr>
      </w:pPr>
    </w:p>
    <w:p w14:paraId="0E8F5CE8" w14:textId="77777777" w:rsidR="00DA0E15" w:rsidRDefault="00DA0E15">
      <w:pPr>
        <w:keepNext/>
        <w:spacing w:line="360" w:lineRule="auto"/>
        <w:outlineLvl w:val="0"/>
        <w:rPr>
          <w:b/>
          <w:bCs/>
          <w:spacing w:val="40"/>
          <w:kern w:val="32"/>
          <w:lang w:val="es-ES"/>
        </w:rPr>
      </w:pPr>
    </w:p>
    <w:p w14:paraId="2CEBE029" w14:textId="77777777" w:rsidR="00DA0E15" w:rsidRDefault="00DA0E15">
      <w:pPr>
        <w:keepNext/>
        <w:spacing w:line="360" w:lineRule="auto"/>
        <w:outlineLvl w:val="0"/>
        <w:rPr>
          <w:b/>
          <w:bCs/>
          <w:spacing w:val="40"/>
          <w:kern w:val="32"/>
          <w:lang w:val="es-ES"/>
        </w:rPr>
      </w:pPr>
    </w:p>
    <w:p w14:paraId="7003615A" w14:textId="77777777" w:rsidR="00DA0E15" w:rsidRDefault="00DA0E15">
      <w:pPr>
        <w:keepNext/>
        <w:spacing w:line="360" w:lineRule="auto"/>
        <w:outlineLvl w:val="0"/>
        <w:rPr>
          <w:b/>
          <w:bCs/>
          <w:spacing w:val="40"/>
          <w:kern w:val="32"/>
          <w:lang w:val="es-ES"/>
        </w:rPr>
      </w:pPr>
    </w:p>
    <w:p w14:paraId="4CBABF71" w14:textId="77777777" w:rsidR="00DA0E15" w:rsidRDefault="00DA0E15">
      <w:pPr>
        <w:keepNext/>
        <w:spacing w:line="360" w:lineRule="auto"/>
        <w:outlineLvl w:val="0"/>
        <w:rPr>
          <w:b/>
          <w:bCs/>
          <w:spacing w:val="40"/>
          <w:kern w:val="32"/>
          <w:lang w:val="es-ES"/>
        </w:rPr>
      </w:pPr>
    </w:p>
    <w:p w14:paraId="334F34BC" w14:textId="77777777" w:rsidR="00DA0E15" w:rsidRDefault="00362131">
      <w:pPr>
        <w:keepNext/>
        <w:spacing w:line="360" w:lineRule="auto"/>
        <w:outlineLvl w:val="0"/>
        <w:rPr>
          <w:b/>
          <w:bCs/>
          <w:spacing w:val="40"/>
          <w:kern w:val="32"/>
          <w:lang w:val="hy-AM"/>
        </w:rPr>
      </w:pPr>
      <w:r>
        <w:rPr>
          <w:b/>
          <w:bCs/>
          <w:spacing w:val="40"/>
          <w:kern w:val="32"/>
          <w:lang w:val="es-ES"/>
        </w:rPr>
        <w:br w:type="page"/>
      </w:r>
    </w:p>
    <w:p w14:paraId="00A6CC3E" w14:textId="77777777" w:rsidR="00DA0E15" w:rsidRDefault="00362131">
      <w:pPr>
        <w:pStyle w:val="Heading3"/>
        <w:spacing w:before="0" w:after="120"/>
        <w:jc w:val="both"/>
        <w:rPr>
          <w:rFonts w:eastAsia="Times New Roman" w:cs="Times New Roman"/>
          <w:caps w:val="0"/>
          <w:color w:val="1F497D" w:themeColor="text2"/>
          <w:sz w:val="32"/>
          <w:szCs w:val="32"/>
        </w:rPr>
      </w:pPr>
      <w:bookmarkStart w:id="664" w:name="_Toc45838557"/>
      <w:bookmarkStart w:id="665" w:name="_Toc45898777"/>
      <w:bookmarkStart w:id="666" w:name="_Toc77837908"/>
      <w:bookmarkStart w:id="667" w:name="_Toc45838558"/>
      <w:bookmarkEnd w:id="552"/>
      <w:bookmarkEnd w:id="553"/>
      <w:bookmarkEnd w:id="554"/>
      <w:r>
        <w:rPr>
          <w:rFonts w:eastAsia="Times New Roman" w:cs="Times New Roman"/>
          <w:caps w:val="0"/>
          <w:color w:val="1F497D" w:themeColor="text2"/>
          <w:sz w:val="32"/>
          <w:szCs w:val="32"/>
        </w:rPr>
        <w:t xml:space="preserve">1. ՀՀ </w:t>
      </w:r>
      <w:r w:rsidRPr="00AD6087">
        <w:rPr>
          <w:rFonts w:eastAsia="Times New Roman" w:cs="Times New Roman"/>
          <w:caps w:val="0"/>
          <w:color w:val="1F497D" w:themeColor="text2"/>
          <w:sz w:val="32"/>
          <w:szCs w:val="32"/>
        </w:rPr>
        <w:t>ԿԱՌԱՎԱՐՈՒԹՅԱՆ</w:t>
      </w:r>
      <w:r>
        <w:rPr>
          <w:rFonts w:eastAsia="Times New Roman" w:cs="Times New Roman"/>
          <w:caps w:val="0"/>
          <w:color w:val="1F497D" w:themeColor="text2"/>
          <w:sz w:val="32"/>
          <w:szCs w:val="32"/>
        </w:rPr>
        <w:t xml:space="preserve"> ՊԱՐՏՔԻ ԿԱՌԱՎԱՐՄԱՆ 202</w:t>
      </w:r>
      <w:r w:rsidR="00585A06" w:rsidRPr="00FA0954">
        <w:rPr>
          <w:rFonts w:eastAsia="Times New Roman" w:cs="Times New Roman"/>
          <w:caps w:val="0"/>
          <w:color w:val="1F497D" w:themeColor="text2"/>
          <w:sz w:val="32"/>
          <w:szCs w:val="32"/>
        </w:rPr>
        <w:t>2</w:t>
      </w:r>
      <w:r>
        <w:rPr>
          <w:rFonts w:eastAsia="Times New Roman" w:cs="Times New Roman"/>
          <w:caps w:val="0"/>
          <w:color w:val="1F497D" w:themeColor="text2"/>
          <w:sz w:val="32"/>
          <w:szCs w:val="32"/>
        </w:rPr>
        <w:t>-202</w:t>
      </w:r>
      <w:r w:rsidR="00585A06" w:rsidRPr="00FA0954">
        <w:rPr>
          <w:rFonts w:eastAsia="Times New Roman" w:cs="Times New Roman"/>
          <w:caps w:val="0"/>
          <w:color w:val="1F497D" w:themeColor="text2"/>
          <w:sz w:val="32"/>
          <w:szCs w:val="32"/>
        </w:rPr>
        <w:t>4</w:t>
      </w:r>
      <w:r>
        <w:rPr>
          <w:rFonts w:eastAsia="Times New Roman" w:cs="Times New Roman"/>
          <w:caps w:val="0"/>
          <w:color w:val="1F497D" w:themeColor="text2"/>
          <w:sz w:val="32"/>
          <w:szCs w:val="32"/>
        </w:rPr>
        <w:t xml:space="preserve"> ԹՎԱԿԱՆՆԵՐԻ ՌԱԶՄԱՎԱՐԱԿԱՆ ԾՐԱԳԻՐ</w:t>
      </w:r>
      <w:bookmarkEnd w:id="664"/>
      <w:bookmarkEnd w:id="665"/>
      <w:bookmarkEnd w:id="666"/>
      <w:r>
        <w:rPr>
          <w:rFonts w:eastAsia="Times New Roman" w:cs="Times New Roman"/>
          <w:caps w:val="0"/>
          <w:color w:val="1F497D" w:themeColor="text2"/>
          <w:sz w:val="32"/>
          <w:szCs w:val="32"/>
        </w:rPr>
        <w:t xml:space="preserve"> </w:t>
      </w:r>
    </w:p>
    <w:p w14:paraId="578AD90D" w14:textId="77777777" w:rsidR="00AD6087" w:rsidRPr="00AD6087" w:rsidRDefault="00AD6087" w:rsidP="00AD6087">
      <w:pPr>
        <w:spacing w:line="276" w:lineRule="auto"/>
        <w:rPr>
          <w:lang w:val="hy-AM"/>
        </w:rPr>
      </w:pPr>
      <w:r w:rsidRPr="00AD6087">
        <w:rPr>
          <w:lang w:val="hy-AM"/>
        </w:rPr>
        <w:t>ՀՀ կառավարության պարտքի կառավարման ռազմավարական ծրագիրը ներկայացնում է ՀՀ պետական բյուջեի դեֆիցիտի ֆինանսավորման համար անհրա</w:t>
      </w:r>
      <w:r w:rsidRPr="00AD6087">
        <w:rPr>
          <w:lang w:val="hy-AM"/>
        </w:rPr>
        <w:softHyphen/>
        <w:t>ժեշտ փոխառու միջոցների ներգրավման, ինչպես նաև ՀՀ կառավարության պարտքի պորտֆելի ռիսկերի կառավարման ռազմավարությունը: Այն եռամյա ծրագիր է, որը վերանայվում և հրապարակվում է տարեկան պարբերականությամբ՝ նպաստելով կառավարության պարտքի կանխատեսելի և թափանցիկ կառավարման ապահովմանը:</w:t>
      </w:r>
    </w:p>
    <w:p w14:paraId="04B59B32" w14:textId="77777777" w:rsidR="00AD6087" w:rsidRPr="00AD6087" w:rsidRDefault="00AD6087" w:rsidP="00AD6087">
      <w:pPr>
        <w:spacing w:line="276" w:lineRule="auto"/>
        <w:rPr>
          <w:lang w:val="hy-AM"/>
        </w:rPr>
      </w:pPr>
      <w:r w:rsidRPr="00AD6087">
        <w:rPr>
          <w:lang w:val="hy-AM"/>
        </w:rPr>
        <w:t>ՀՀ կառավարության պարտքի կառավարման ռազմավարությունը պարզաբանում է պարտք ներգրավելու քաղաքականությունը՝ ներառելով կառավարության պարտքի կառավարման ուղենշային ցուցանիշ</w:t>
      </w:r>
      <w:r w:rsidRPr="00AD6087">
        <w:rPr>
          <w:lang w:val="hy-AM"/>
        </w:rPr>
        <w:softHyphen/>
        <w:t>ները, բացահայտում և գնահատում է կառավարության պարտ</w:t>
      </w:r>
      <w:r w:rsidRPr="00AD6087">
        <w:rPr>
          <w:lang w:val="hy-AM"/>
        </w:rPr>
        <w:softHyphen/>
        <w:t>քի կառավարման հետ կապված ռիսկերը, ինչպես նաև նախանշում է այն սկզբունքները, նպատակադրումներն ու իրականացվելիք միջոցառումները, որոնց ներքո չի վտանգվի հարկա</w:t>
      </w:r>
      <w:r w:rsidRPr="00AD6087">
        <w:rPr>
          <w:lang w:val="hy-AM"/>
        </w:rPr>
        <w:softHyphen/>
        <w:t>բյուջետային  կայունությունը:</w:t>
      </w:r>
    </w:p>
    <w:p w14:paraId="460F8DFA" w14:textId="77777777" w:rsidR="00AD6087" w:rsidRPr="00AD6087" w:rsidRDefault="00AD6087" w:rsidP="00AD6087">
      <w:pPr>
        <w:spacing w:line="276" w:lineRule="auto"/>
        <w:rPr>
          <w:lang w:val="hy-AM"/>
        </w:rPr>
      </w:pPr>
      <w:r w:rsidRPr="00AD6087">
        <w:rPr>
          <w:lang w:val="hy-AM"/>
        </w:rPr>
        <w:t>Պարտքի կառավարումը նշանակալի տեղ ունի պետական հատվածի ֆինանսների կառա</w:t>
      </w:r>
      <w:r w:rsidRPr="00AD6087">
        <w:rPr>
          <w:lang w:val="hy-AM"/>
        </w:rPr>
        <w:softHyphen/>
        <w:t>վարման գործընթացում, որտեղ ռեսուրսների սահմանափակության պայման</w:t>
      </w:r>
      <w:r w:rsidRPr="00AD6087">
        <w:rPr>
          <w:lang w:val="hy-AM"/>
        </w:rPr>
        <w:softHyphen/>
        <w:t>ներում կառա</w:t>
      </w:r>
      <w:r w:rsidRPr="00AD6087">
        <w:rPr>
          <w:lang w:val="hy-AM"/>
        </w:rPr>
        <w:softHyphen/>
        <w:t>վարու</w:t>
      </w:r>
      <w:r w:rsidRPr="00AD6087">
        <w:rPr>
          <w:lang w:val="hy-AM"/>
        </w:rPr>
        <w:softHyphen/>
        <w:t>թյունը պարտք է ներգրավում` երկարաժամկետ և կայուն տնտեսական աճին նպաստող հարկաբյուջետային քաղաքակա</w:t>
      </w:r>
      <w:r w:rsidRPr="00AD6087">
        <w:rPr>
          <w:lang w:val="hy-AM"/>
        </w:rPr>
        <w:softHyphen/>
        <w:t>նություն իրա</w:t>
      </w:r>
      <w:r w:rsidRPr="00AD6087">
        <w:rPr>
          <w:lang w:val="hy-AM"/>
        </w:rPr>
        <w:softHyphen/>
        <w:t>կա</w:t>
      </w:r>
      <w:r w:rsidRPr="00AD6087">
        <w:rPr>
          <w:lang w:val="hy-AM"/>
        </w:rPr>
        <w:softHyphen/>
        <w:t xml:space="preserve">նացնելու նպատակով: </w:t>
      </w:r>
    </w:p>
    <w:p w14:paraId="5DC68E3A" w14:textId="77777777" w:rsidR="00AD6087" w:rsidRPr="00AD6087" w:rsidRDefault="00AD6087" w:rsidP="00AD6087">
      <w:pPr>
        <w:spacing w:line="276" w:lineRule="auto"/>
        <w:rPr>
          <w:lang w:val="hy-AM"/>
        </w:rPr>
      </w:pPr>
      <w:r w:rsidRPr="00AD6087">
        <w:rPr>
          <w:lang w:val="hy-AM"/>
        </w:rPr>
        <w:t>ՀՀ կառավարության պարտքի ընդունելի պորտֆելի ձևավորման նպատակով ՀՀ ֆինանսների նախարարության կողմից իրականացվում են ծախսերի և ռիսկերի վերլուծություններ՝ կիրառելով նաև միջազգային լավագույն փորձի հիման վրա հեղինակավոր միջազգային ֆինանսական կառույցների կողմից մշակված մոտեցումները: Վերլուծությունները հնարավորություն են ընձեռում գնահատել ՀՀ կառավարության պարտքի պորտֆելի ծախսերի ու ռիսկերի ցուցանիշները և դրանց վրա հնարավոր շոկերի ազդեցությունները: ՀՀ կառավարության պարտքի կառավարման ռազմավարությունում ներկայացվում և վերլուծվում են ՀՀ կառավարության պարտքի պորտֆելի շուկայական՝ փոխարժեքի և տոկոսադրույքի ռիսկերը, վերաֆինանսա</w:t>
      </w:r>
      <w:r w:rsidRPr="00AD6087">
        <w:rPr>
          <w:lang w:val="hy-AM"/>
        </w:rPr>
        <w:softHyphen/>
        <w:t>վորման ռիսկը, ինչպես նաև ոչ շուկայական՝ գործառնական ռիսկը: Ռազմավարությունը կազմելիս հաշվի են առնվել նաև ՀՀ կառավարության պարտքի կառավարման այնպիսի սահմանափակումներ, ինչպիսիք են ներքին շուկայի կարողությունը կամ արտաքին վարկերից օգտվելու հնարավորությունները:</w:t>
      </w:r>
    </w:p>
    <w:p w14:paraId="254B422E" w14:textId="77777777" w:rsidR="00AD6087" w:rsidRPr="00AD6087" w:rsidRDefault="00AD6087" w:rsidP="00AD6087">
      <w:pPr>
        <w:spacing w:line="276" w:lineRule="auto"/>
        <w:rPr>
          <w:b/>
          <w:lang w:val="hy-AM"/>
        </w:rPr>
      </w:pPr>
      <w:r w:rsidRPr="00AD6087">
        <w:rPr>
          <w:lang w:val="hy-AM"/>
        </w:rPr>
        <w:t xml:space="preserve">Ընդհանուր առմամբ, ՀՀ կառավարության պարտքի կառավարման ռազմավարությունը ներկայացնում է ծախսերի և ռիսկերի համադրման հնարավոր տարբերակներից նախընտրելին, որի ընտրության հիմքում ընկած է ընդունելի ծախսերով ֆինանսական կարիքի բավարարումը: </w:t>
      </w:r>
    </w:p>
    <w:p w14:paraId="548CE6E6" w14:textId="77777777" w:rsidR="00AD6087" w:rsidRDefault="00AD6087" w:rsidP="00AD6087">
      <w:pPr>
        <w:spacing w:line="276" w:lineRule="auto"/>
        <w:rPr>
          <w:b/>
          <w:lang w:val="hy-AM"/>
        </w:rPr>
      </w:pPr>
      <w:bookmarkStart w:id="668" w:name="_Toc77434482"/>
    </w:p>
    <w:p w14:paraId="2D4A58F1" w14:textId="77777777" w:rsidR="00AD6087" w:rsidRDefault="00AD6087" w:rsidP="00AD6087">
      <w:pPr>
        <w:spacing w:line="276" w:lineRule="auto"/>
        <w:rPr>
          <w:b/>
          <w:lang w:val="hy-AM"/>
        </w:rPr>
      </w:pPr>
    </w:p>
    <w:p w14:paraId="76E02BD6" w14:textId="77777777" w:rsidR="00AD6087" w:rsidRDefault="00AD6087" w:rsidP="00AD6087">
      <w:pPr>
        <w:spacing w:line="276" w:lineRule="auto"/>
        <w:rPr>
          <w:b/>
          <w:lang w:val="hy-AM"/>
        </w:rPr>
      </w:pPr>
    </w:p>
    <w:p w14:paraId="5336A2E5" w14:textId="63A61E2A" w:rsidR="00AD6087" w:rsidRPr="00AD6087" w:rsidRDefault="00AD6087" w:rsidP="00AD6087">
      <w:pPr>
        <w:spacing w:line="276" w:lineRule="auto"/>
        <w:rPr>
          <w:b/>
          <w:color w:val="1F497D" w:themeColor="text2"/>
          <w:lang w:val="hy-AM"/>
        </w:rPr>
      </w:pPr>
      <w:r w:rsidRPr="00AD6087">
        <w:rPr>
          <w:b/>
          <w:color w:val="1F497D" w:themeColor="text2"/>
          <w:lang w:val="hy-AM"/>
        </w:rPr>
        <w:t>ՀՀ կառավարության պարտքի կառավարման ռազմավարության նպատակները և ընդգրկման շրջանակը</w:t>
      </w:r>
      <w:bookmarkEnd w:id="668"/>
    </w:p>
    <w:p w14:paraId="72141044" w14:textId="77777777" w:rsidR="00AD6087" w:rsidRPr="00AD6087" w:rsidRDefault="00AD6087" w:rsidP="00AD6087">
      <w:pPr>
        <w:spacing w:line="276" w:lineRule="auto"/>
        <w:rPr>
          <w:lang w:val="hy-AM"/>
        </w:rPr>
      </w:pPr>
      <w:r w:rsidRPr="00AD6087">
        <w:rPr>
          <w:lang w:val="hy-AM"/>
        </w:rPr>
        <w:t xml:space="preserve">ՀՀ կառավարության պարտքի կառավարման ռազմավարությունը մշակվում է 2008 թվականին ընդունված «Պետական պարտքի մասին» Հայաստանի Հանրապետության օրենքի դրույթներին համապատասխան: </w:t>
      </w:r>
    </w:p>
    <w:p w14:paraId="06C1022F" w14:textId="77777777" w:rsidR="00AD6087" w:rsidRPr="00AD6087" w:rsidDel="0018173E" w:rsidRDefault="00AD6087" w:rsidP="00AD6087">
      <w:pPr>
        <w:spacing w:line="276" w:lineRule="auto"/>
        <w:rPr>
          <w:lang w:val="hy-AM"/>
        </w:rPr>
      </w:pPr>
      <w:r w:rsidRPr="00AD6087">
        <w:rPr>
          <w:lang w:val="hy-AM"/>
        </w:rPr>
        <w:t>«Պետական պարտքի մասին» ՀՀ օրենքի համաձայն, ՀՀ կառավարության պարտքի կառավարման հիմնական նպատակը կառա</w:t>
      </w:r>
      <w:r w:rsidRPr="00AD6087">
        <w:rPr>
          <w:lang w:val="hy-AM"/>
        </w:rPr>
        <w:softHyphen/>
        <w:t>վարու</w:t>
      </w:r>
      <w:r w:rsidRPr="00AD6087">
        <w:rPr>
          <w:lang w:val="hy-AM"/>
        </w:rPr>
        <w:softHyphen/>
        <w:t>թյան ֆինանսական կարիքի բավարարման մշտական հնարավորության ապահովումն է` երկարաժամ</w:t>
      </w:r>
      <w:r w:rsidRPr="00AD6087">
        <w:rPr>
          <w:lang w:val="hy-AM"/>
        </w:rPr>
        <w:softHyphen/>
        <w:t xml:space="preserve">կետ հատվածում նվազեցնելով պարտքի սպասարկման մեծությունը: Քանի որ ՀՀ կառավարության պարտքի կառավարման հիմնական նպատակի երկրորդ հատվածը ենթադրում է նաև գնահատել այն հավանական ռիսկերը, որոնք կարող են ազդել երկարաժամկետ կտրվածքով պարտքի սպասարկման կրճատման վրա, ապա այն կարելի է վերաձևակերպել` որպես պարտքի պորտֆելի այնպիսի կառուցվածքի ձևավորում, որը, հաշվի առնելով ֆինանսական ռիսկերը, նվազագույնի է հասցնում կառավարության կողմից փոխառություններ ներգրավելու ծախսերը: </w:t>
      </w:r>
    </w:p>
    <w:p w14:paraId="357D73C1" w14:textId="77777777" w:rsidR="00AD6087" w:rsidRPr="00AD6087" w:rsidRDefault="00AD6087" w:rsidP="00AD6087">
      <w:pPr>
        <w:spacing w:line="276" w:lineRule="auto"/>
        <w:rPr>
          <w:lang w:val="hy-AM"/>
        </w:rPr>
      </w:pPr>
      <w:r w:rsidRPr="00AD6087">
        <w:rPr>
          <w:lang w:val="hy-AM"/>
        </w:rPr>
        <w:t>«Պետական պարտքի մասին» ՀՀ օրենքով սահմանվել են նաև պետական պարտքի ներգրավման այնպիսի նպատակներ, ինչպիսիք են պետական բյուջեի դեֆիցիտի ֆինանսավորումը և ընթացիկ իրացվելիության ապահովումը, ներքին պետական պարտքի շուկայի պահպանումը և զարգացումը:</w:t>
      </w:r>
    </w:p>
    <w:p w14:paraId="28CE932C" w14:textId="77777777" w:rsidR="00AD6087" w:rsidRPr="00AD6087" w:rsidRDefault="00AD6087" w:rsidP="00AD6087">
      <w:pPr>
        <w:spacing w:line="276" w:lineRule="auto"/>
        <w:rPr>
          <w:lang w:val="hy-AM"/>
        </w:rPr>
      </w:pPr>
      <w:r w:rsidRPr="00AD6087">
        <w:rPr>
          <w:lang w:val="hy-AM"/>
        </w:rPr>
        <w:t>ՀՀ կառավարության պարտքի կառավարման ռազմավարությունն ընդգրկում է միայն ՀՀ կառավարության պարտքը (ներառյալ ՀՀ կառավարության կողմից տրամադրված երաշխիքները), և կատարված վերլուծությունները չեն ներառում ՀՀ կենտրոնական բանկի արտաքին պարտքը: Վերջինս ստանձնվում է ՀՀ կենտրոնական բանկի անունից և կողմից: «Պետական պարտքի մասին» ՀՀ օրենքի համաձայն Կենտրոնական բանկի պարտքի կառավարման նպատակները սահմանվում են «ՀՀ կենտրոնական բանկի մասին» ՀՀ օրենքով:</w:t>
      </w:r>
    </w:p>
    <w:p w14:paraId="17F0D395" w14:textId="77777777" w:rsidR="00AD6087" w:rsidRPr="00AD6087" w:rsidRDefault="00AD6087" w:rsidP="00AD6087">
      <w:pPr>
        <w:spacing w:line="276" w:lineRule="auto"/>
        <w:rPr>
          <w:lang w:val="hy-AM"/>
        </w:rPr>
      </w:pPr>
    </w:p>
    <w:p w14:paraId="0CF1B161" w14:textId="77777777" w:rsidR="00AD6087" w:rsidRPr="00AD6087" w:rsidRDefault="00AD6087" w:rsidP="00AD6087">
      <w:pPr>
        <w:spacing w:line="276" w:lineRule="auto"/>
        <w:rPr>
          <w:lang w:val="hy-AM"/>
        </w:rPr>
      </w:pPr>
    </w:p>
    <w:p w14:paraId="2F2E9D32" w14:textId="77777777" w:rsidR="00AD6087" w:rsidRPr="00AD6087" w:rsidRDefault="00AD6087" w:rsidP="00AD6087">
      <w:pPr>
        <w:spacing w:line="276" w:lineRule="auto"/>
        <w:rPr>
          <w:lang w:val="hy-AM"/>
        </w:rPr>
      </w:pPr>
    </w:p>
    <w:p w14:paraId="2A516187" w14:textId="77777777" w:rsidR="00AD6087" w:rsidRPr="00AD6087" w:rsidRDefault="00AD6087" w:rsidP="00AD6087">
      <w:pPr>
        <w:spacing w:line="276" w:lineRule="auto"/>
        <w:rPr>
          <w:lang w:val="hy-AM"/>
        </w:rPr>
      </w:pPr>
      <w:r w:rsidRPr="00AD6087">
        <w:rPr>
          <w:lang w:val="hy-AM"/>
        </w:rPr>
        <w:br w:type="page"/>
      </w:r>
      <w:bookmarkStart w:id="669" w:name="_Toc77434483"/>
      <w:r w:rsidRPr="00AD6087">
        <w:rPr>
          <w:b/>
          <w:color w:val="1F497D" w:themeColor="text2"/>
          <w:lang w:val="hy-AM"/>
        </w:rPr>
        <w:t>ՀՀ կառավարության պարտքի կառավարման ոլորտում 2020 թվականի տարեսկզբից արձանագրված զարգացումները</w:t>
      </w:r>
      <w:bookmarkEnd w:id="669"/>
    </w:p>
    <w:p w14:paraId="0F175422" w14:textId="77777777" w:rsidR="00AD6087" w:rsidRPr="00AD6087" w:rsidRDefault="00AD6087" w:rsidP="00AD6087">
      <w:pPr>
        <w:spacing w:line="276" w:lineRule="auto"/>
        <w:rPr>
          <w:lang w:val="hy-AM"/>
        </w:rPr>
      </w:pPr>
      <w:r w:rsidRPr="00AD6087">
        <w:rPr>
          <w:lang w:val="hy-AM"/>
        </w:rPr>
        <w:t>2020 թվականի տարե</w:t>
      </w:r>
      <w:r w:rsidRPr="00AD6087">
        <w:rPr>
          <w:lang w:val="hy-AM"/>
        </w:rPr>
        <w:softHyphen/>
        <w:t>վերջին ՀՀ կառավարության պարտք/ՀՆԱ ցուցանիշը կազմել է 63.5%, որն ավել է ծրագրային ցուցանիշից 4</w:t>
      </w:r>
      <w:r w:rsidRPr="00AD6087">
        <w:rPr>
          <w:rFonts w:ascii="Cambria Math" w:hAnsi="Cambria Math" w:cs="Cambria Math"/>
          <w:lang w:val="hy-AM"/>
        </w:rPr>
        <w:t>․</w:t>
      </w:r>
      <w:r w:rsidRPr="00AD6087">
        <w:rPr>
          <w:lang w:val="hy-AM"/>
        </w:rPr>
        <w:t>9 տոկոսային կետով: Այն հատել է հարկաբյուջետային կանոններով սահմանված 60% սահմանային շեմը` հանգեցնելով հարկաբյուջետային կանոններով նախատեսված ամենախիստ պահանջների կիրառման:</w:t>
      </w:r>
    </w:p>
    <w:p w14:paraId="0D0358E6" w14:textId="77777777" w:rsidR="00AD6087" w:rsidRPr="00AD6087" w:rsidRDefault="00AD6087" w:rsidP="00AD6087">
      <w:pPr>
        <w:spacing w:line="276" w:lineRule="auto"/>
        <w:rPr>
          <w:lang w:val="hy-AM"/>
        </w:rPr>
      </w:pPr>
      <w:r w:rsidRPr="00AD6087">
        <w:rPr>
          <w:lang w:val="hy-AM"/>
        </w:rPr>
        <w:t xml:space="preserve">ՀՀ կառավարության պարտքի կառավարման արդյունքում 2020-2022 թվականների ռազմավարական ծրագրով սահմանված բոլոր ուղենշային ցուցանիշները գտնվել են նախանշված միջակայքերում.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11"/>
        <w:gridCol w:w="2105"/>
        <w:gridCol w:w="2119"/>
      </w:tblGrid>
      <w:tr w:rsidR="00AD6087" w:rsidRPr="006435A5" w14:paraId="267A2BF4" w14:textId="77777777" w:rsidTr="00A42F0D">
        <w:trPr>
          <w:tblHeader/>
          <w:jc w:val="center"/>
        </w:trPr>
        <w:tc>
          <w:tcPr>
            <w:tcW w:w="5893" w:type="dxa"/>
            <w:tcBorders>
              <w:top w:val="thinThickThinSmallGap" w:sz="24" w:space="0" w:color="auto"/>
              <w:left w:val="nil"/>
              <w:bottom w:val="thinThickSmallGap" w:sz="24" w:space="0" w:color="auto"/>
              <w:right w:val="nil"/>
            </w:tcBorders>
            <w:shd w:val="clear" w:color="auto" w:fill="5B9BD5"/>
          </w:tcPr>
          <w:p w14:paraId="54761A0A" w14:textId="77777777" w:rsidR="00AD6087" w:rsidRPr="00AD6087" w:rsidRDefault="00AD6087" w:rsidP="00A42F0D">
            <w:pPr>
              <w:spacing w:line="276" w:lineRule="auto"/>
              <w:rPr>
                <w:lang w:val="hy-AM"/>
              </w:rPr>
            </w:pPr>
          </w:p>
        </w:tc>
        <w:tc>
          <w:tcPr>
            <w:tcW w:w="2115" w:type="dxa"/>
            <w:tcBorders>
              <w:top w:val="thinThickThinSmallGap" w:sz="24" w:space="0" w:color="auto"/>
              <w:left w:val="nil"/>
              <w:bottom w:val="thinThickSmallGap" w:sz="24" w:space="0" w:color="auto"/>
              <w:right w:val="nil"/>
            </w:tcBorders>
            <w:shd w:val="clear" w:color="auto" w:fill="5B9BD5"/>
            <w:vAlign w:val="center"/>
          </w:tcPr>
          <w:p w14:paraId="51D1CB19" w14:textId="77777777" w:rsidR="00AD6087" w:rsidRPr="006435A5" w:rsidRDefault="00AD6087" w:rsidP="00A42F0D">
            <w:pPr>
              <w:spacing w:line="276" w:lineRule="auto"/>
            </w:pPr>
            <w:r w:rsidRPr="006435A5">
              <w:t>Ուղենիշ</w:t>
            </w:r>
          </w:p>
        </w:tc>
        <w:tc>
          <w:tcPr>
            <w:tcW w:w="2127" w:type="dxa"/>
            <w:tcBorders>
              <w:top w:val="thinThickThinSmallGap" w:sz="24" w:space="0" w:color="auto"/>
              <w:left w:val="nil"/>
              <w:bottom w:val="thinThickSmallGap" w:sz="24" w:space="0" w:color="auto"/>
              <w:right w:val="nil"/>
            </w:tcBorders>
            <w:shd w:val="clear" w:color="auto" w:fill="5B9BD5"/>
          </w:tcPr>
          <w:p w14:paraId="78695346" w14:textId="77777777" w:rsidR="00AD6087" w:rsidRPr="006435A5" w:rsidRDefault="00AD6087" w:rsidP="00A42F0D">
            <w:pPr>
              <w:spacing w:line="276" w:lineRule="auto"/>
            </w:pPr>
            <w:r w:rsidRPr="006435A5">
              <w:t>31.12.2020</w:t>
            </w:r>
          </w:p>
          <w:p w14:paraId="7BAC926C" w14:textId="77777777" w:rsidR="00AD6087" w:rsidRPr="006435A5" w:rsidRDefault="00AD6087" w:rsidP="00A42F0D">
            <w:pPr>
              <w:spacing w:line="276" w:lineRule="auto"/>
            </w:pPr>
            <w:r w:rsidRPr="006435A5">
              <w:t>փաստացի</w:t>
            </w:r>
          </w:p>
        </w:tc>
      </w:tr>
      <w:tr w:rsidR="00AD6087" w:rsidRPr="006435A5" w14:paraId="776E24EA" w14:textId="77777777" w:rsidTr="00A42F0D">
        <w:trPr>
          <w:jc w:val="center"/>
        </w:trPr>
        <w:tc>
          <w:tcPr>
            <w:tcW w:w="5893" w:type="dxa"/>
            <w:tcBorders>
              <w:top w:val="thinThickSmallGap" w:sz="24" w:space="0" w:color="auto"/>
              <w:left w:val="nil"/>
              <w:right w:val="nil"/>
            </w:tcBorders>
          </w:tcPr>
          <w:p w14:paraId="37F4E6B7" w14:textId="77777777" w:rsidR="00AD6087" w:rsidRPr="006435A5" w:rsidRDefault="00AD6087" w:rsidP="00A42F0D">
            <w:pPr>
              <w:spacing w:line="276" w:lineRule="auto"/>
              <w:ind w:firstLine="559"/>
              <w:rPr>
                <w:b/>
              </w:rPr>
            </w:pPr>
            <w:r w:rsidRPr="006435A5">
              <w:rPr>
                <w:b/>
              </w:rPr>
              <w:t>Վերաֆինանսավորման ռիսկ</w:t>
            </w:r>
          </w:p>
        </w:tc>
        <w:tc>
          <w:tcPr>
            <w:tcW w:w="2115" w:type="dxa"/>
            <w:tcBorders>
              <w:top w:val="thinThickSmallGap" w:sz="24" w:space="0" w:color="auto"/>
              <w:left w:val="nil"/>
              <w:right w:val="nil"/>
            </w:tcBorders>
            <w:vAlign w:val="center"/>
          </w:tcPr>
          <w:p w14:paraId="4943C15D" w14:textId="77777777" w:rsidR="00AD6087" w:rsidRPr="006435A5" w:rsidRDefault="00AD6087" w:rsidP="00A42F0D">
            <w:pPr>
              <w:spacing w:line="276" w:lineRule="auto"/>
              <w:ind w:firstLine="0"/>
              <w:jc w:val="center"/>
              <w:rPr>
                <w:b/>
              </w:rPr>
            </w:pPr>
          </w:p>
        </w:tc>
        <w:tc>
          <w:tcPr>
            <w:tcW w:w="2127" w:type="dxa"/>
            <w:tcBorders>
              <w:top w:val="thinThickSmallGap" w:sz="24" w:space="0" w:color="auto"/>
              <w:left w:val="nil"/>
              <w:right w:val="nil"/>
            </w:tcBorders>
            <w:vAlign w:val="center"/>
          </w:tcPr>
          <w:p w14:paraId="475DE02E" w14:textId="77777777" w:rsidR="00AD6087" w:rsidRPr="006435A5" w:rsidRDefault="00AD6087" w:rsidP="00A42F0D">
            <w:pPr>
              <w:spacing w:line="276" w:lineRule="auto"/>
              <w:ind w:firstLine="0"/>
              <w:jc w:val="center"/>
              <w:rPr>
                <w:b/>
              </w:rPr>
            </w:pPr>
          </w:p>
        </w:tc>
      </w:tr>
      <w:tr w:rsidR="00AD6087" w:rsidRPr="006435A5" w14:paraId="6153E711" w14:textId="77777777" w:rsidTr="00A42F0D">
        <w:trPr>
          <w:jc w:val="center"/>
        </w:trPr>
        <w:tc>
          <w:tcPr>
            <w:tcW w:w="5893" w:type="dxa"/>
            <w:tcBorders>
              <w:left w:val="nil"/>
              <w:right w:val="nil"/>
            </w:tcBorders>
          </w:tcPr>
          <w:p w14:paraId="578B2DE7" w14:textId="77777777" w:rsidR="00AD6087" w:rsidRPr="006435A5" w:rsidRDefault="00AD6087" w:rsidP="00A42F0D">
            <w:pPr>
              <w:spacing w:line="276" w:lineRule="auto"/>
              <w:ind w:firstLine="0"/>
            </w:pPr>
            <w:r w:rsidRPr="006435A5">
              <w:t xml:space="preserve">Մինչև մարում միջին ժամկետը </w:t>
            </w:r>
          </w:p>
        </w:tc>
        <w:tc>
          <w:tcPr>
            <w:tcW w:w="2115" w:type="dxa"/>
            <w:tcBorders>
              <w:left w:val="nil"/>
              <w:right w:val="nil"/>
            </w:tcBorders>
            <w:vAlign w:val="center"/>
          </w:tcPr>
          <w:p w14:paraId="116CCB5E" w14:textId="77777777" w:rsidR="00AD6087" w:rsidRPr="006435A5" w:rsidRDefault="00AD6087" w:rsidP="00A42F0D">
            <w:pPr>
              <w:spacing w:line="276" w:lineRule="auto"/>
              <w:ind w:firstLine="0"/>
              <w:jc w:val="center"/>
            </w:pPr>
            <w:r w:rsidRPr="006435A5">
              <w:t>8 – 11 տարի</w:t>
            </w:r>
          </w:p>
        </w:tc>
        <w:tc>
          <w:tcPr>
            <w:tcW w:w="2127" w:type="dxa"/>
            <w:tcBorders>
              <w:left w:val="nil"/>
              <w:right w:val="nil"/>
            </w:tcBorders>
            <w:vAlign w:val="center"/>
          </w:tcPr>
          <w:p w14:paraId="15C27D76" w14:textId="77777777" w:rsidR="00AD6087" w:rsidRPr="006435A5" w:rsidRDefault="00AD6087" w:rsidP="00A42F0D">
            <w:pPr>
              <w:spacing w:line="276" w:lineRule="auto"/>
              <w:ind w:firstLine="0"/>
              <w:jc w:val="center"/>
            </w:pPr>
            <w:r w:rsidRPr="006435A5">
              <w:t>8.8 տարի</w:t>
            </w:r>
          </w:p>
        </w:tc>
      </w:tr>
      <w:tr w:rsidR="00AD6087" w:rsidRPr="006435A5" w14:paraId="3807E004" w14:textId="77777777" w:rsidTr="00A42F0D">
        <w:trPr>
          <w:jc w:val="center"/>
        </w:trPr>
        <w:tc>
          <w:tcPr>
            <w:tcW w:w="5893" w:type="dxa"/>
            <w:tcBorders>
              <w:left w:val="nil"/>
              <w:right w:val="nil"/>
            </w:tcBorders>
          </w:tcPr>
          <w:p w14:paraId="6AD450CA" w14:textId="77777777" w:rsidR="00AD6087" w:rsidRPr="006435A5" w:rsidRDefault="00AD6087" w:rsidP="00A42F0D">
            <w:pPr>
              <w:spacing w:line="276" w:lineRule="auto"/>
              <w:ind w:firstLine="0"/>
            </w:pPr>
            <w:r w:rsidRPr="006435A5">
              <w:t>Առաջիկա տարվա ընթացքում մարվող պետական գանձապետական պարտատոմսերի (ՊԳՊ) կշիռը ՊԳՊ-երի ծավալի մեջ (տարեվերջին)</w:t>
            </w:r>
          </w:p>
        </w:tc>
        <w:tc>
          <w:tcPr>
            <w:tcW w:w="2115" w:type="dxa"/>
            <w:tcBorders>
              <w:left w:val="nil"/>
              <w:right w:val="nil"/>
            </w:tcBorders>
            <w:vAlign w:val="center"/>
          </w:tcPr>
          <w:p w14:paraId="6E2C3883" w14:textId="77777777" w:rsidR="00AD6087" w:rsidRPr="006435A5" w:rsidRDefault="00AD6087" w:rsidP="00A42F0D">
            <w:pPr>
              <w:spacing w:line="276" w:lineRule="auto"/>
              <w:ind w:firstLine="0"/>
              <w:jc w:val="center"/>
            </w:pPr>
            <w:r w:rsidRPr="006435A5">
              <w:t>առավելագույնը 20%</w:t>
            </w:r>
          </w:p>
        </w:tc>
        <w:tc>
          <w:tcPr>
            <w:tcW w:w="2127" w:type="dxa"/>
            <w:tcBorders>
              <w:left w:val="nil"/>
              <w:right w:val="nil"/>
            </w:tcBorders>
            <w:vAlign w:val="center"/>
          </w:tcPr>
          <w:p w14:paraId="3180DF6B" w14:textId="77777777" w:rsidR="00AD6087" w:rsidRPr="006435A5" w:rsidRDefault="00AD6087" w:rsidP="00A42F0D">
            <w:pPr>
              <w:spacing w:line="276" w:lineRule="auto"/>
              <w:ind w:firstLine="0"/>
              <w:jc w:val="center"/>
            </w:pPr>
            <w:r w:rsidRPr="006435A5">
              <w:t>11.5 %</w:t>
            </w:r>
          </w:p>
        </w:tc>
      </w:tr>
      <w:tr w:rsidR="00AD6087" w:rsidRPr="006435A5" w14:paraId="3633223E" w14:textId="77777777" w:rsidTr="00A42F0D">
        <w:trPr>
          <w:jc w:val="center"/>
        </w:trPr>
        <w:tc>
          <w:tcPr>
            <w:tcW w:w="5893" w:type="dxa"/>
            <w:tcBorders>
              <w:left w:val="nil"/>
              <w:right w:val="nil"/>
            </w:tcBorders>
          </w:tcPr>
          <w:p w14:paraId="2129D29F" w14:textId="77777777" w:rsidR="00AD6087" w:rsidRPr="006435A5" w:rsidRDefault="00AD6087" w:rsidP="00A42F0D">
            <w:pPr>
              <w:spacing w:line="276" w:lineRule="auto"/>
              <w:ind w:firstLine="559"/>
              <w:rPr>
                <w:b/>
              </w:rPr>
            </w:pPr>
            <w:r w:rsidRPr="006435A5">
              <w:rPr>
                <w:b/>
              </w:rPr>
              <w:t>Տոկոսադրույքի ռիսկ</w:t>
            </w:r>
          </w:p>
        </w:tc>
        <w:tc>
          <w:tcPr>
            <w:tcW w:w="2115" w:type="dxa"/>
            <w:tcBorders>
              <w:left w:val="nil"/>
              <w:right w:val="nil"/>
            </w:tcBorders>
            <w:vAlign w:val="center"/>
          </w:tcPr>
          <w:p w14:paraId="5C81D715" w14:textId="77777777" w:rsidR="00AD6087" w:rsidRPr="006435A5" w:rsidRDefault="00AD6087" w:rsidP="00A42F0D">
            <w:pPr>
              <w:spacing w:line="276" w:lineRule="auto"/>
              <w:ind w:firstLine="0"/>
              <w:jc w:val="center"/>
              <w:rPr>
                <w:b/>
              </w:rPr>
            </w:pPr>
          </w:p>
        </w:tc>
        <w:tc>
          <w:tcPr>
            <w:tcW w:w="2127" w:type="dxa"/>
            <w:tcBorders>
              <w:left w:val="nil"/>
              <w:right w:val="nil"/>
            </w:tcBorders>
            <w:vAlign w:val="center"/>
          </w:tcPr>
          <w:p w14:paraId="7C2518BE" w14:textId="77777777" w:rsidR="00AD6087" w:rsidRPr="006435A5" w:rsidRDefault="00AD6087" w:rsidP="00A42F0D">
            <w:pPr>
              <w:spacing w:line="276" w:lineRule="auto"/>
              <w:ind w:firstLine="0"/>
              <w:jc w:val="center"/>
              <w:rPr>
                <w:b/>
              </w:rPr>
            </w:pPr>
          </w:p>
        </w:tc>
      </w:tr>
      <w:tr w:rsidR="00AD6087" w:rsidRPr="006435A5" w14:paraId="02D1E375" w14:textId="77777777" w:rsidTr="00A42F0D">
        <w:trPr>
          <w:jc w:val="center"/>
        </w:trPr>
        <w:tc>
          <w:tcPr>
            <w:tcW w:w="5893" w:type="dxa"/>
            <w:tcBorders>
              <w:left w:val="nil"/>
              <w:right w:val="nil"/>
            </w:tcBorders>
          </w:tcPr>
          <w:p w14:paraId="62B569AE" w14:textId="77777777" w:rsidR="00AD6087" w:rsidRPr="006435A5" w:rsidRDefault="00AD6087" w:rsidP="00A42F0D">
            <w:pPr>
              <w:spacing w:line="276" w:lineRule="auto"/>
              <w:ind w:firstLine="0"/>
            </w:pPr>
            <w:r w:rsidRPr="006435A5">
              <w:t>Ֆիքսված տոկոսադրույքով պարտքի կշիռն ընդամենը պարտքի մեջ</w:t>
            </w:r>
          </w:p>
        </w:tc>
        <w:tc>
          <w:tcPr>
            <w:tcW w:w="2115" w:type="dxa"/>
            <w:tcBorders>
              <w:left w:val="nil"/>
              <w:right w:val="nil"/>
            </w:tcBorders>
            <w:vAlign w:val="center"/>
          </w:tcPr>
          <w:p w14:paraId="64A42B26" w14:textId="77777777" w:rsidR="00AD6087" w:rsidRPr="006435A5" w:rsidRDefault="00AD6087" w:rsidP="00A42F0D">
            <w:pPr>
              <w:spacing w:line="276" w:lineRule="auto"/>
              <w:ind w:firstLine="0"/>
              <w:jc w:val="center"/>
            </w:pPr>
            <w:r w:rsidRPr="006435A5">
              <w:t>առնվազն 80%</w:t>
            </w:r>
          </w:p>
        </w:tc>
        <w:tc>
          <w:tcPr>
            <w:tcW w:w="2127" w:type="dxa"/>
            <w:tcBorders>
              <w:left w:val="nil"/>
              <w:right w:val="nil"/>
            </w:tcBorders>
            <w:vAlign w:val="center"/>
          </w:tcPr>
          <w:p w14:paraId="09184313" w14:textId="77777777" w:rsidR="00AD6087" w:rsidRPr="006435A5" w:rsidRDefault="00AD6087" w:rsidP="00A42F0D">
            <w:pPr>
              <w:spacing w:line="276" w:lineRule="auto"/>
              <w:ind w:firstLine="0"/>
              <w:jc w:val="center"/>
            </w:pPr>
            <w:r w:rsidRPr="006435A5">
              <w:t>80.4 %</w:t>
            </w:r>
          </w:p>
        </w:tc>
      </w:tr>
      <w:tr w:rsidR="00AD6087" w:rsidRPr="006435A5" w14:paraId="1EDE478F" w14:textId="77777777" w:rsidTr="00A42F0D">
        <w:trPr>
          <w:jc w:val="center"/>
        </w:trPr>
        <w:tc>
          <w:tcPr>
            <w:tcW w:w="5893" w:type="dxa"/>
            <w:tcBorders>
              <w:left w:val="nil"/>
              <w:right w:val="nil"/>
            </w:tcBorders>
          </w:tcPr>
          <w:p w14:paraId="490FB1C8" w14:textId="77777777" w:rsidR="00AD6087" w:rsidRPr="006435A5" w:rsidRDefault="00AD6087" w:rsidP="00A42F0D">
            <w:pPr>
              <w:spacing w:line="276" w:lineRule="auto"/>
              <w:ind w:firstLine="559"/>
              <w:rPr>
                <w:b/>
              </w:rPr>
            </w:pPr>
            <w:r w:rsidRPr="006435A5">
              <w:rPr>
                <w:b/>
              </w:rPr>
              <w:t>Փոխարժեքի ռիսկ</w:t>
            </w:r>
          </w:p>
        </w:tc>
        <w:tc>
          <w:tcPr>
            <w:tcW w:w="2115" w:type="dxa"/>
            <w:tcBorders>
              <w:left w:val="nil"/>
              <w:right w:val="nil"/>
            </w:tcBorders>
            <w:vAlign w:val="center"/>
          </w:tcPr>
          <w:p w14:paraId="7A241AEC" w14:textId="77777777" w:rsidR="00AD6087" w:rsidRPr="006435A5" w:rsidRDefault="00AD6087" w:rsidP="00A42F0D">
            <w:pPr>
              <w:spacing w:line="276" w:lineRule="auto"/>
              <w:ind w:firstLine="0"/>
              <w:jc w:val="center"/>
              <w:rPr>
                <w:b/>
              </w:rPr>
            </w:pPr>
          </w:p>
        </w:tc>
        <w:tc>
          <w:tcPr>
            <w:tcW w:w="2127" w:type="dxa"/>
            <w:tcBorders>
              <w:left w:val="nil"/>
              <w:right w:val="nil"/>
            </w:tcBorders>
            <w:vAlign w:val="center"/>
          </w:tcPr>
          <w:p w14:paraId="5629DBB3" w14:textId="77777777" w:rsidR="00AD6087" w:rsidRPr="006435A5" w:rsidRDefault="00AD6087" w:rsidP="00A42F0D">
            <w:pPr>
              <w:spacing w:line="276" w:lineRule="auto"/>
              <w:ind w:firstLine="0"/>
              <w:jc w:val="center"/>
              <w:rPr>
                <w:b/>
              </w:rPr>
            </w:pPr>
          </w:p>
        </w:tc>
      </w:tr>
      <w:tr w:rsidR="00AD6087" w:rsidRPr="006435A5" w14:paraId="029CBE82" w14:textId="77777777" w:rsidTr="00A42F0D">
        <w:trPr>
          <w:jc w:val="center"/>
        </w:trPr>
        <w:tc>
          <w:tcPr>
            <w:tcW w:w="5893" w:type="dxa"/>
            <w:tcBorders>
              <w:left w:val="nil"/>
              <w:right w:val="nil"/>
            </w:tcBorders>
          </w:tcPr>
          <w:p w14:paraId="506BF125" w14:textId="77777777" w:rsidR="00AD6087" w:rsidRPr="006435A5" w:rsidRDefault="00AD6087" w:rsidP="00A42F0D">
            <w:pPr>
              <w:spacing w:line="276" w:lineRule="auto"/>
              <w:ind w:firstLine="0"/>
              <w:rPr>
                <w:b/>
              </w:rPr>
            </w:pPr>
            <w:r w:rsidRPr="006435A5">
              <w:t>Ներքին պարտքի կշիռն ընդամենը պարտքի մեջ</w:t>
            </w:r>
          </w:p>
        </w:tc>
        <w:tc>
          <w:tcPr>
            <w:tcW w:w="2115" w:type="dxa"/>
            <w:tcBorders>
              <w:left w:val="nil"/>
              <w:right w:val="nil"/>
            </w:tcBorders>
            <w:vAlign w:val="center"/>
          </w:tcPr>
          <w:p w14:paraId="580EFB1F" w14:textId="77777777" w:rsidR="00AD6087" w:rsidRPr="006435A5" w:rsidRDefault="00AD6087" w:rsidP="00A42F0D">
            <w:pPr>
              <w:spacing w:line="276" w:lineRule="auto"/>
              <w:ind w:firstLine="0"/>
              <w:jc w:val="center"/>
              <w:rPr>
                <w:b/>
              </w:rPr>
            </w:pPr>
            <w:r w:rsidRPr="006435A5">
              <w:t>առնվազն 20%</w:t>
            </w:r>
          </w:p>
        </w:tc>
        <w:tc>
          <w:tcPr>
            <w:tcW w:w="2127" w:type="dxa"/>
            <w:tcBorders>
              <w:left w:val="nil"/>
              <w:right w:val="nil"/>
            </w:tcBorders>
            <w:vAlign w:val="center"/>
          </w:tcPr>
          <w:p w14:paraId="51C4B691" w14:textId="77777777" w:rsidR="00AD6087" w:rsidRPr="006435A5" w:rsidRDefault="00AD6087" w:rsidP="00A42F0D">
            <w:pPr>
              <w:spacing w:line="276" w:lineRule="auto"/>
              <w:ind w:firstLine="0"/>
              <w:jc w:val="center"/>
            </w:pPr>
            <w:r w:rsidRPr="006435A5">
              <w:t>25.5 %</w:t>
            </w:r>
          </w:p>
        </w:tc>
      </w:tr>
      <w:tr w:rsidR="00AD6087" w:rsidRPr="006435A5" w14:paraId="688E3BCC" w14:textId="77777777" w:rsidTr="00A42F0D">
        <w:trPr>
          <w:jc w:val="center"/>
        </w:trPr>
        <w:tc>
          <w:tcPr>
            <w:tcW w:w="5893" w:type="dxa"/>
            <w:tcBorders>
              <w:left w:val="nil"/>
              <w:bottom w:val="thickThinSmallGap" w:sz="24" w:space="0" w:color="auto"/>
              <w:right w:val="nil"/>
            </w:tcBorders>
          </w:tcPr>
          <w:p w14:paraId="52452EEF" w14:textId="77777777" w:rsidR="00AD6087" w:rsidRPr="006435A5" w:rsidRDefault="00AD6087" w:rsidP="00A42F0D">
            <w:pPr>
              <w:spacing w:line="276" w:lineRule="auto"/>
              <w:ind w:firstLine="0"/>
            </w:pPr>
            <w:r w:rsidRPr="006435A5">
              <w:t>ՀՀ դրամով ներգրավված պարտքի կշիռն ընդամենը պարտքի մեջ</w:t>
            </w:r>
          </w:p>
        </w:tc>
        <w:tc>
          <w:tcPr>
            <w:tcW w:w="2115" w:type="dxa"/>
            <w:tcBorders>
              <w:left w:val="nil"/>
              <w:bottom w:val="thickThinSmallGap" w:sz="24" w:space="0" w:color="auto"/>
              <w:right w:val="nil"/>
            </w:tcBorders>
            <w:vAlign w:val="center"/>
          </w:tcPr>
          <w:p w14:paraId="43265906" w14:textId="77777777" w:rsidR="00AD6087" w:rsidRPr="006435A5" w:rsidRDefault="00AD6087" w:rsidP="00A42F0D">
            <w:pPr>
              <w:spacing w:line="276" w:lineRule="auto"/>
              <w:ind w:firstLine="0"/>
              <w:jc w:val="center"/>
            </w:pPr>
            <w:r w:rsidRPr="006435A5">
              <w:t>առնվազն 20%</w:t>
            </w:r>
          </w:p>
        </w:tc>
        <w:tc>
          <w:tcPr>
            <w:tcW w:w="2127" w:type="dxa"/>
            <w:tcBorders>
              <w:left w:val="nil"/>
              <w:bottom w:val="thickThinSmallGap" w:sz="24" w:space="0" w:color="auto"/>
              <w:right w:val="nil"/>
            </w:tcBorders>
            <w:vAlign w:val="center"/>
          </w:tcPr>
          <w:p w14:paraId="31320FA0" w14:textId="77777777" w:rsidR="00AD6087" w:rsidRPr="006435A5" w:rsidRDefault="00AD6087" w:rsidP="00A42F0D">
            <w:pPr>
              <w:spacing w:line="276" w:lineRule="auto"/>
              <w:ind w:firstLine="0"/>
              <w:jc w:val="center"/>
            </w:pPr>
            <w:r w:rsidRPr="006435A5">
              <w:t>24.4 %</w:t>
            </w:r>
          </w:p>
        </w:tc>
      </w:tr>
    </w:tbl>
    <w:p w14:paraId="3398F6AC" w14:textId="77777777" w:rsidR="00AD6087" w:rsidRPr="006435A5" w:rsidRDefault="00AD6087" w:rsidP="00AD6087">
      <w:pPr>
        <w:spacing w:line="276" w:lineRule="auto"/>
      </w:pPr>
    </w:p>
    <w:p w14:paraId="0E3BFE1A" w14:textId="77777777" w:rsidR="00AD6087" w:rsidRPr="006435A5" w:rsidRDefault="00AD6087" w:rsidP="00AD6087">
      <w:pPr>
        <w:spacing w:line="276" w:lineRule="auto"/>
      </w:pPr>
      <w:r w:rsidRPr="006435A5">
        <w:t>2020 թվականի դեֆիցիտի ֆինանսավորումը ներքին փոխառու զուտ միջոցների հաշվին (առանց մուրհակ</w:t>
      </w:r>
      <w:r w:rsidRPr="006435A5">
        <w:softHyphen/>
        <w:t>ների) կազմել է 300.5 մլրդ դրամ կամ փոխառու զուտ միջոցների հաշվին դեֆիցիտի ֆինանսավորման 84.7%-ը, իսկ արտաքին փոխառու զուտ միջոցների հաշվին՝ 54.1 մլրդ դրամ կամ փոխառու զուտ միջոցների հաշվին դեֆիցիտի ֆինանսավորման 15.3%-ը: 2020 թվականի դեֆիցիտի ֆինանսավորումը ներքին փոխառու զուտ միջոցների հաշվին (առանց մուրհակ</w:t>
      </w:r>
      <w:r w:rsidRPr="006435A5">
        <w:softHyphen/>
        <w:t>ների) հաստատված բյուջեով ծրագրված է եղել իրականացնել 145</w:t>
      </w:r>
      <w:r w:rsidRPr="006435A5">
        <w:rPr>
          <w:rFonts w:ascii="Cambria Math" w:hAnsi="Cambria Math" w:cs="Cambria Math"/>
        </w:rPr>
        <w:t>․</w:t>
      </w:r>
      <w:r w:rsidRPr="006435A5">
        <w:t xml:space="preserve">0 </w:t>
      </w:r>
      <w:r w:rsidRPr="006435A5">
        <w:rPr>
          <w:rFonts w:cs="GHEA Grapalat"/>
        </w:rPr>
        <w:t>մլրդ</w:t>
      </w:r>
      <w:r w:rsidRPr="006435A5">
        <w:t xml:space="preserve"> </w:t>
      </w:r>
      <w:r w:rsidRPr="006435A5">
        <w:rPr>
          <w:rFonts w:cs="GHEA Grapalat"/>
        </w:rPr>
        <w:t>դրամի</w:t>
      </w:r>
      <w:r w:rsidRPr="006435A5">
        <w:t xml:space="preserve"> </w:t>
      </w:r>
      <w:r w:rsidRPr="006435A5">
        <w:rPr>
          <w:rFonts w:cs="GHEA Grapalat"/>
        </w:rPr>
        <w:t>չափով</w:t>
      </w:r>
      <w:r w:rsidRPr="006435A5">
        <w:t xml:space="preserve">, </w:t>
      </w:r>
      <w:r w:rsidRPr="006435A5">
        <w:rPr>
          <w:rFonts w:cs="GHEA Grapalat"/>
        </w:rPr>
        <w:t>սակայն</w:t>
      </w:r>
      <w:r w:rsidRPr="006435A5">
        <w:t xml:space="preserve"> տարվա ընթացքում վերանայված ծրագրի շրջանակում փաստացի ցուցանիշը գերազանցել է սկզբնապես հաստատված ծրագրային մակարդակը ավելի քան երկու անգամ՝ պայմանավորված համավարակի և Արցախյան պատերազմի հետևանքով առաջացած ֆինանսական կարիքի բավարարման անհրաժեշտությամբ։</w:t>
      </w:r>
    </w:p>
    <w:p w14:paraId="2E8FE837" w14:textId="77777777" w:rsidR="00AD6087" w:rsidRPr="006435A5" w:rsidRDefault="00AD6087" w:rsidP="00AD6087">
      <w:pPr>
        <w:spacing w:line="276" w:lineRule="auto"/>
      </w:pPr>
      <w:r w:rsidRPr="006435A5">
        <w:t>2020 թվականի ընթացքում պետական գանձապետական պարտատոմսերի առաջնային տեղաբաշխումների միջին կշռված եկամտաբերությունը կազմել է 7.74%` նախորդ տարվա (8.97%) համեմատությամբ նվազելով 1.23 տոկոսային կետով:</w:t>
      </w:r>
    </w:p>
    <w:p w14:paraId="61CC455E" w14:textId="77777777" w:rsidR="00AD6087" w:rsidRPr="006435A5" w:rsidRDefault="00AD6087" w:rsidP="00AD6087">
      <w:pPr>
        <w:spacing w:line="276" w:lineRule="auto"/>
      </w:pPr>
      <w:r w:rsidRPr="006435A5">
        <w:t xml:space="preserve">2021 թվականի տարեսկզբին Հայաստանի Հանրապետությունը միջազգային կապիտալի շուկայում հաջողությամբ տեղաբաշխել է 750 մլն ԱՄՆ դոլար ծավալով, 10 տարի մարման ժամկետով և 3.875% եկամտաբերությամբ եվրապարտատոմսեր, որոնց եկամտաբերությունը </w:t>
      </w:r>
      <w:r w:rsidRPr="006435A5">
        <w:rPr>
          <w:rFonts w:cs="GHEA Grapalat"/>
        </w:rPr>
        <w:t>ցածր</w:t>
      </w:r>
      <w:r w:rsidRPr="006435A5">
        <w:t xml:space="preserve"> </w:t>
      </w:r>
      <w:r w:rsidRPr="006435A5">
        <w:rPr>
          <w:rFonts w:cs="GHEA Grapalat"/>
        </w:rPr>
        <w:t>է</w:t>
      </w:r>
      <w:r w:rsidRPr="006435A5">
        <w:t xml:space="preserve"> 2019 թվականին (4.2%) և 2015 թվականին (7.5%) թողարկված 10 տարի մարման ժամկետով եվրապարտատոմսերի եկամտաբերություններից: Նոր թողարկված եվրապարտատոմսերի արժեկտրոնի եկամտաբերությունը կազմել է 3.6%:</w:t>
      </w:r>
    </w:p>
    <w:p w14:paraId="748E1A9C" w14:textId="77777777" w:rsidR="00AD6087" w:rsidRPr="006435A5" w:rsidRDefault="00AD6087" w:rsidP="00AD6087">
      <w:pPr>
        <w:spacing w:line="276" w:lineRule="auto"/>
      </w:pPr>
      <w:r w:rsidRPr="006435A5">
        <w:t>2020 թվականի սեպտեմբերի 30-ին մարվել է 2013 թվականի սեպտեմբերի 30-ին թողարկված և շրջանառության մեջ եղած 97.7 մլն ԱՄՆ դոլար ծավալով արտարժութային պետական պարտատոմսերը։</w:t>
      </w:r>
    </w:p>
    <w:p w14:paraId="0A9FCF5B" w14:textId="77777777" w:rsidR="00AD6087" w:rsidRPr="006435A5" w:rsidRDefault="00AD6087" w:rsidP="00AD6087">
      <w:pPr>
        <w:spacing w:line="276" w:lineRule="auto"/>
      </w:pPr>
      <w:r w:rsidRPr="006435A5">
        <w:t>Զարգացման միջազգային ընկերակցությունը (ԶՄԸ՝ Համաշխարհային բանկի խմբի մեջ մտնող կառույց) իր անդամ-պետություններին վարկեր տրամադրելիս հաշվի է առնում և վարկային համաձայնագրերով էլ ամրագրում է, որ տրամադրված արտոնյալ վարկերի պայմանները կարող են վերանայվել՝ տվյալ երկրի մեկ շնչին ընկնող համախառն ազգային եկամտի բարելավման դեպքում։ Համաշխարհային բանկը, 2013 թվականին ուսումնասիրելով ՀՀ տնտեսական վիճակը, ինչպես նաև հաշվի առնելով, որ Հայաստանը վարկունակ է Վերակառուցման և զարգացման միջազգային բանկի վարկերից ֆինանսավորման համար ու 2015 թվականից այլևս ենթակա չի լինելու ԶՄԸ ռեսուրսներից վարկավորման, 2014 թվականի հուլիսի 1-ից իր կողմից տրամադրված վարկերի մեծամասնության գծով, ի լրումն գործող տոկոսադրույքի, սահմանել է լրացուցիչ տոկոսադրույք՝ տարեկան 1.7%-ի չափով: 2020 թվականի հունիսի 4-ին Համաշխարհային բանկը, հաշվի առնելով COVID-19 համավարակի հետևանքով Հայաստանում տնտեսական իրավիճակի հնարավոր վատթարացումը և հայկական կողմի խնդրանքը, տեղեկացրել է, որ ԶՄԸ-ի կողմից Հայաստանին տրամադրված վարկերից շատերի գծով գործող հավելյալ տոկոսադրույքը (1.7% դրույքաչափով) չի կիրառվելու Համաշխարհային բանկի 2021 թվականի ֆինանսական տարվա (2020 թվականի</w:t>
      </w:r>
      <w:r w:rsidRPr="006435A5" w:rsidDel="00A97A21">
        <w:t xml:space="preserve"> </w:t>
      </w:r>
      <w:r w:rsidRPr="006435A5">
        <w:t>հուլիսի 1-ից մինչև 2021 թվականի</w:t>
      </w:r>
      <w:r w:rsidRPr="006435A5" w:rsidDel="00A97A21">
        <w:t xml:space="preserve"> </w:t>
      </w:r>
      <w:r w:rsidRPr="006435A5">
        <w:t>հունիսի 30-ը) ընթացքում, որը 2021 թվականի հունիսի 29-ին երկարացվել է ևս մեկ տարով:</w:t>
      </w:r>
    </w:p>
    <w:p w14:paraId="2FE29320" w14:textId="77777777" w:rsidR="00AD6087" w:rsidRPr="006435A5" w:rsidRDefault="00AD6087" w:rsidP="00AD6087">
      <w:pPr>
        <w:spacing w:line="276" w:lineRule="auto"/>
      </w:pPr>
      <w:r w:rsidRPr="006435A5">
        <w:t>ՀՀ ֆինանսների նախարարի 2020 թվականի փետրվարի 7-ի թիվ 30-Ա հրամանով հաստատվել է «ՀՀ պետական պարտքի կառավարման կատարողականի բարելավման միջոցառումների ծրագիրը», որով նախատեսվում է կանոնակարգել պարտքի կառավարման առանձին գործառույթներ, ինչպես նաև բարձրացնել պարտքի կառավարման հաշվետվողականությունն ու թափանցիկությունը: 2020 թվականի ընթացքում արդեն իսկ իրականացվել են վերը նշված ծրագրով նախատեսված միջոցառումների մեծ մասը։</w:t>
      </w:r>
    </w:p>
    <w:p w14:paraId="22330DE4" w14:textId="77777777" w:rsidR="00AD6087" w:rsidRPr="006435A5" w:rsidRDefault="00AD6087" w:rsidP="00AD6087">
      <w:pPr>
        <w:keepNext/>
        <w:spacing w:line="276" w:lineRule="auto"/>
      </w:pPr>
      <w:r w:rsidRPr="006435A5">
        <w:t>2020 թվականի ընթացքում պետական գանձա</w:t>
      </w:r>
      <w:r w:rsidRPr="006435A5">
        <w:softHyphen/>
        <w:t>պետական պարտատոմսերի գծով իրականացվել են հետևյալ գործառնությունները.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1786"/>
        <w:gridCol w:w="1919"/>
        <w:gridCol w:w="1325"/>
        <w:gridCol w:w="1936"/>
      </w:tblGrid>
      <w:tr w:rsidR="00AD6087" w:rsidRPr="006435A5" w14:paraId="6D52F28A" w14:textId="77777777" w:rsidTr="00A42F0D">
        <w:trPr>
          <w:trHeight w:val="724"/>
          <w:tblHeader/>
          <w:jc w:val="center"/>
        </w:trPr>
        <w:tc>
          <w:tcPr>
            <w:tcW w:w="3319" w:type="dxa"/>
            <w:tcBorders>
              <w:top w:val="thinThickThinSmallGap" w:sz="24" w:space="0" w:color="auto"/>
              <w:left w:val="nil"/>
              <w:bottom w:val="thinThickSmallGap" w:sz="24" w:space="0" w:color="auto"/>
              <w:right w:val="nil"/>
            </w:tcBorders>
            <w:shd w:val="clear" w:color="auto" w:fill="5B9BD5"/>
            <w:vAlign w:val="center"/>
          </w:tcPr>
          <w:p w14:paraId="1BA8A073" w14:textId="77777777" w:rsidR="00AD6087" w:rsidRPr="006435A5" w:rsidRDefault="00AD6087" w:rsidP="00A42F0D">
            <w:pPr>
              <w:spacing w:line="276" w:lineRule="auto"/>
              <w:ind w:firstLine="0"/>
              <w:jc w:val="center"/>
            </w:pPr>
            <w:r w:rsidRPr="006435A5">
              <w:t>2020</w:t>
            </w:r>
          </w:p>
        </w:tc>
        <w:tc>
          <w:tcPr>
            <w:tcW w:w="1786" w:type="dxa"/>
            <w:tcBorders>
              <w:top w:val="thinThickThinSmallGap" w:sz="24" w:space="0" w:color="auto"/>
              <w:left w:val="nil"/>
              <w:bottom w:val="thinThickSmallGap" w:sz="24" w:space="0" w:color="auto"/>
              <w:right w:val="nil"/>
            </w:tcBorders>
            <w:shd w:val="clear" w:color="auto" w:fill="5B9BD5"/>
            <w:vAlign w:val="center"/>
          </w:tcPr>
          <w:p w14:paraId="2F200D3B" w14:textId="77777777" w:rsidR="00AD6087" w:rsidRPr="006435A5" w:rsidRDefault="00AD6087" w:rsidP="00A42F0D">
            <w:pPr>
              <w:spacing w:line="276" w:lineRule="auto"/>
              <w:ind w:firstLine="0"/>
              <w:jc w:val="center"/>
            </w:pPr>
            <w:r w:rsidRPr="006435A5">
              <w:t>Տեղաբաշխված ծավալը</w:t>
            </w:r>
          </w:p>
        </w:tc>
        <w:tc>
          <w:tcPr>
            <w:tcW w:w="1919" w:type="dxa"/>
            <w:tcBorders>
              <w:top w:val="thinThickThinSmallGap" w:sz="24" w:space="0" w:color="auto"/>
              <w:left w:val="nil"/>
              <w:bottom w:val="thinThickSmallGap" w:sz="24" w:space="0" w:color="auto"/>
              <w:right w:val="nil"/>
            </w:tcBorders>
            <w:shd w:val="clear" w:color="auto" w:fill="5B9BD5"/>
            <w:vAlign w:val="center"/>
          </w:tcPr>
          <w:p w14:paraId="7BA865C6" w14:textId="77777777" w:rsidR="00AD6087" w:rsidRPr="006435A5" w:rsidRDefault="00AD6087" w:rsidP="00A42F0D">
            <w:pPr>
              <w:spacing w:line="276" w:lineRule="auto"/>
              <w:ind w:firstLine="0"/>
              <w:jc w:val="center"/>
            </w:pPr>
            <w:r w:rsidRPr="006435A5">
              <w:t>Տեղաբաշխումից մուտքը</w:t>
            </w:r>
          </w:p>
        </w:tc>
        <w:tc>
          <w:tcPr>
            <w:tcW w:w="1325" w:type="dxa"/>
            <w:tcBorders>
              <w:top w:val="thinThickThinSmallGap" w:sz="24" w:space="0" w:color="auto"/>
              <w:left w:val="nil"/>
              <w:bottom w:val="thinThickSmallGap" w:sz="24" w:space="0" w:color="auto"/>
              <w:right w:val="nil"/>
            </w:tcBorders>
            <w:shd w:val="clear" w:color="auto" w:fill="5B9BD5"/>
            <w:vAlign w:val="center"/>
          </w:tcPr>
          <w:p w14:paraId="065558DD" w14:textId="77777777" w:rsidR="00AD6087" w:rsidRPr="006435A5" w:rsidRDefault="00AD6087" w:rsidP="00A42F0D">
            <w:pPr>
              <w:spacing w:line="276" w:lineRule="auto"/>
              <w:ind w:firstLine="0"/>
              <w:jc w:val="center"/>
            </w:pPr>
            <w:r w:rsidRPr="006435A5">
              <w:t>Մարման և հետգնման ծավալը</w:t>
            </w:r>
          </w:p>
        </w:tc>
        <w:tc>
          <w:tcPr>
            <w:tcW w:w="1936" w:type="dxa"/>
            <w:tcBorders>
              <w:top w:val="thinThickThinSmallGap" w:sz="24" w:space="0" w:color="auto"/>
              <w:left w:val="nil"/>
              <w:bottom w:val="thinThickSmallGap" w:sz="24" w:space="0" w:color="auto"/>
              <w:right w:val="nil"/>
            </w:tcBorders>
            <w:shd w:val="clear" w:color="auto" w:fill="5B9BD5"/>
            <w:vAlign w:val="center"/>
          </w:tcPr>
          <w:p w14:paraId="133EDA8C" w14:textId="77777777" w:rsidR="00AD6087" w:rsidRPr="006435A5" w:rsidRDefault="00AD6087" w:rsidP="00A42F0D">
            <w:pPr>
              <w:spacing w:line="276" w:lineRule="auto"/>
              <w:ind w:firstLine="0"/>
              <w:jc w:val="center"/>
            </w:pPr>
            <w:r w:rsidRPr="006435A5">
              <w:t>Վճարված տոկոսագումարը</w:t>
            </w:r>
          </w:p>
        </w:tc>
      </w:tr>
      <w:tr w:rsidR="00AD6087" w:rsidRPr="006435A5" w14:paraId="1F320D8C" w14:textId="77777777" w:rsidTr="00A42F0D">
        <w:trPr>
          <w:trHeight w:val="485"/>
          <w:jc w:val="center"/>
        </w:trPr>
        <w:tc>
          <w:tcPr>
            <w:tcW w:w="3319" w:type="dxa"/>
            <w:tcBorders>
              <w:top w:val="thinThickSmallGap" w:sz="24" w:space="0" w:color="auto"/>
              <w:left w:val="nil"/>
              <w:bottom w:val="thickThinSmallGap" w:sz="24" w:space="0" w:color="auto"/>
              <w:right w:val="nil"/>
            </w:tcBorders>
          </w:tcPr>
          <w:p w14:paraId="222F957D" w14:textId="77777777" w:rsidR="00AD6087" w:rsidRPr="006435A5" w:rsidRDefault="00AD6087" w:rsidP="00A42F0D">
            <w:pPr>
              <w:spacing w:line="276" w:lineRule="auto"/>
              <w:ind w:firstLine="0"/>
              <w:jc w:val="left"/>
            </w:pPr>
            <w:r w:rsidRPr="006435A5">
              <w:t>Պետական գանձա</w:t>
            </w:r>
            <w:r w:rsidRPr="006435A5">
              <w:softHyphen/>
              <w:t>պետական պարտատոմսեր, մլրդ դրամ</w:t>
            </w:r>
          </w:p>
        </w:tc>
        <w:tc>
          <w:tcPr>
            <w:tcW w:w="1786" w:type="dxa"/>
            <w:tcBorders>
              <w:top w:val="thinThickSmallGap" w:sz="24" w:space="0" w:color="auto"/>
              <w:left w:val="nil"/>
              <w:bottom w:val="thickThinSmallGap" w:sz="24" w:space="0" w:color="auto"/>
              <w:right w:val="nil"/>
            </w:tcBorders>
            <w:vAlign w:val="center"/>
          </w:tcPr>
          <w:p w14:paraId="1686B1E8" w14:textId="77777777" w:rsidR="00AD6087" w:rsidRPr="006435A5" w:rsidRDefault="00AD6087" w:rsidP="00A42F0D">
            <w:pPr>
              <w:spacing w:line="276" w:lineRule="auto"/>
              <w:ind w:firstLine="0"/>
              <w:jc w:val="center"/>
            </w:pPr>
            <w:r w:rsidRPr="006435A5">
              <w:t>390.0</w:t>
            </w:r>
          </w:p>
        </w:tc>
        <w:tc>
          <w:tcPr>
            <w:tcW w:w="1919" w:type="dxa"/>
            <w:tcBorders>
              <w:top w:val="thinThickSmallGap" w:sz="24" w:space="0" w:color="auto"/>
              <w:left w:val="nil"/>
              <w:bottom w:val="thickThinSmallGap" w:sz="24" w:space="0" w:color="auto"/>
              <w:right w:val="nil"/>
            </w:tcBorders>
            <w:vAlign w:val="center"/>
          </w:tcPr>
          <w:p w14:paraId="4863CE6C" w14:textId="77777777" w:rsidR="00AD6087" w:rsidRPr="006435A5" w:rsidRDefault="00AD6087" w:rsidP="00A42F0D">
            <w:pPr>
              <w:spacing w:line="276" w:lineRule="auto"/>
              <w:ind w:firstLine="0"/>
              <w:jc w:val="center"/>
            </w:pPr>
            <w:r w:rsidRPr="006435A5">
              <w:t>411.3</w:t>
            </w:r>
          </w:p>
        </w:tc>
        <w:tc>
          <w:tcPr>
            <w:tcW w:w="1325" w:type="dxa"/>
            <w:tcBorders>
              <w:top w:val="thinThickSmallGap" w:sz="24" w:space="0" w:color="auto"/>
              <w:left w:val="nil"/>
              <w:bottom w:val="thickThinSmallGap" w:sz="24" w:space="0" w:color="auto"/>
              <w:right w:val="nil"/>
            </w:tcBorders>
            <w:vAlign w:val="center"/>
          </w:tcPr>
          <w:p w14:paraId="37F2E777" w14:textId="77777777" w:rsidR="00AD6087" w:rsidRPr="006435A5" w:rsidRDefault="00AD6087" w:rsidP="00A42F0D">
            <w:pPr>
              <w:spacing w:line="276" w:lineRule="auto"/>
              <w:ind w:firstLine="0"/>
              <w:jc w:val="center"/>
            </w:pPr>
            <w:r w:rsidRPr="006435A5">
              <w:t>110.9</w:t>
            </w:r>
          </w:p>
        </w:tc>
        <w:tc>
          <w:tcPr>
            <w:tcW w:w="1936" w:type="dxa"/>
            <w:tcBorders>
              <w:top w:val="thinThickSmallGap" w:sz="24" w:space="0" w:color="auto"/>
              <w:left w:val="nil"/>
              <w:bottom w:val="thickThinSmallGap" w:sz="24" w:space="0" w:color="auto"/>
              <w:right w:val="nil"/>
            </w:tcBorders>
            <w:vAlign w:val="center"/>
          </w:tcPr>
          <w:p w14:paraId="7CA69F16" w14:textId="77777777" w:rsidR="00AD6087" w:rsidRPr="006435A5" w:rsidRDefault="00AD6087" w:rsidP="00A42F0D">
            <w:pPr>
              <w:spacing w:line="276" w:lineRule="auto"/>
              <w:ind w:firstLine="0"/>
              <w:jc w:val="center"/>
            </w:pPr>
            <w:r w:rsidRPr="006435A5">
              <w:t>86.8</w:t>
            </w:r>
          </w:p>
        </w:tc>
      </w:tr>
    </w:tbl>
    <w:p w14:paraId="5E3E85C1" w14:textId="77777777" w:rsidR="00AD6087" w:rsidRPr="006435A5" w:rsidRDefault="00AD6087" w:rsidP="00AD6087">
      <w:pPr>
        <w:keepNext/>
        <w:spacing w:before="240" w:line="276" w:lineRule="auto"/>
      </w:pPr>
      <w:r w:rsidRPr="006435A5">
        <w:t>2020 թվականին արտաքին վարկերի գծով կատարված գործառնությունները.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7"/>
        <w:gridCol w:w="1717"/>
        <w:gridCol w:w="1224"/>
        <w:gridCol w:w="1936"/>
      </w:tblGrid>
      <w:tr w:rsidR="00AD6087" w:rsidRPr="006435A5" w14:paraId="55A6E3A3" w14:textId="77777777" w:rsidTr="00A42F0D">
        <w:trPr>
          <w:trHeight w:val="479"/>
          <w:tblHeader/>
          <w:jc w:val="center"/>
        </w:trPr>
        <w:tc>
          <w:tcPr>
            <w:tcW w:w="3887" w:type="dxa"/>
            <w:tcBorders>
              <w:top w:val="thinThickThinSmallGap" w:sz="24" w:space="0" w:color="auto"/>
              <w:left w:val="nil"/>
              <w:bottom w:val="thinThickSmallGap" w:sz="24" w:space="0" w:color="auto"/>
              <w:right w:val="nil"/>
            </w:tcBorders>
            <w:shd w:val="clear" w:color="auto" w:fill="5B9BD5"/>
            <w:vAlign w:val="center"/>
          </w:tcPr>
          <w:p w14:paraId="1F9E2B69" w14:textId="77777777" w:rsidR="00AD6087" w:rsidRPr="006435A5" w:rsidRDefault="00AD6087" w:rsidP="00A42F0D">
            <w:pPr>
              <w:spacing w:line="276" w:lineRule="auto"/>
              <w:ind w:firstLine="0"/>
              <w:jc w:val="center"/>
            </w:pPr>
            <w:r w:rsidRPr="006435A5">
              <w:t>2020</w:t>
            </w:r>
          </w:p>
        </w:tc>
        <w:tc>
          <w:tcPr>
            <w:tcW w:w="1717" w:type="dxa"/>
            <w:tcBorders>
              <w:top w:val="thinThickThinSmallGap" w:sz="24" w:space="0" w:color="auto"/>
              <w:left w:val="nil"/>
              <w:bottom w:val="thinThickSmallGap" w:sz="24" w:space="0" w:color="auto"/>
              <w:right w:val="nil"/>
            </w:tcBorders>
            <w:shd w:val="clear" w:color="auto" w:fill="5B9BD5"/>
            <w:vAlign w:val="center"/>
          </w:tcPr>
          <w:p w14:paraId="11F41D02" w14:textId="77777777" w:rsidR="00AD6087" w:rsidRPr="006435A5" w:rsidRDefault="00AD6087" w:rsidP="00A42F0D">
            <w:pPr>
              <w:spacing w:line="276" w:lineRule="auto"/>
              <w:ind w:firstLine="0"/>
              <w:jc w:val="center"/>
            </w:pPr>
            <w:r w:rsidRPr="006435A5">
              <w:t>Մասհանման ծավալը</w:t>
            </w:r>
          </w:p>
        </w:tc>
        <w:tc>
          <w:tcPr>
            <w:tcW w:w="1224" w:type="dxa"/>
            <w:tcBorders>
              <w:top w:val="thinThickThinSmallGap" w:sz="24" w:space="0" w:color="auto"/>
              <w:left w:val="nil"/>
              <w:bottom w:val="thinThickSmallGap" w:sz="24" w:space="0" w:color="auto"/>
              <w:right w:val="nil"/>
            </w:tcBorders>
            <w:shd w:val="clear" w:color="auto" w:fill="5B9BD5"/>
            <w:vAlign w:val="center"/>
          </w:tcPr>
          <w:p w14:paraId="5D09A29A" w14:textId="77777777" w:rsidR="00AD6087" w:rsidRPr="006435A5" w:rsidRDefault="00AD6087" w:rsidP="00A42F0D">
            <w:pPr>
              <w:spacing w:line="276" w:lineRule="auto"/>
              <w:ind w:firstLine="0"/>
              <w:jc w:val="center"/>
            </w:pPr>
            <w:r w:rsidRPr="006435A5">
              <w:t>Մարման ծավալը</w:t>
            </w:r>
          </w:p>
        </w:tc>
        <w:tc>
          <w:tcPr>
            <w:tcW w:w="1936" w:type="dxa"/>
            <w:tcBorders>
              <w:top w:val="thinThickThinSmallGap" w:sz="24" w:space="0" w:color="auto"/>
              <w:left w:val="nil"/>
              <w:bottom w:val="thinThickSmallGap" w:sz="24" w:space="0" w:color="auto"/>
              <w:right w:val="nil"/>
            </w:tcBorders>
            <w:shd w:val="clear" w:color="auto" w:fill="5B9BD5"/>
            <w:vAlign w:val="center"/>
          </w:tcPr>
          <w:p w14:paraId="55AFD5B8" w14:textId="77777777" w:rsidR="00AD6087" w:rsidRPr="006435A5" w:rsidRDefault="00AD6087" w:rsidP="00A42F0D">
            <w:pPr>
              <w:spacing w:line="276" w:lineRule="auto"/>
              <w:ind w:firstLine="0"/>
              <w:jc w:val="center"/>
            </w:pPr>
            <w:r w:rsidRPr="006435A5">
              <w:t>Վճարված տոկոսագումարը</w:t>
            </w:r>
          </w:p>
        </w:tc>
      </w:tr>
      <w:tr w:rsidR="00AD6087" w:rsidRPr="006435A5" w14:paraId="1D5E4B63" w14:textId="77777777" w:rsidTr="00A42F0D">
        <w:trPr>
          <w:trHeight w:val="335"/>
          <w:jc w:val="center"/>
        </w:trPr>
        <w:tc>
          <w:tcPr>
            <w:tcW w:w="3887" w:type="dxa"/>
            <w:tcBorders>
              <w:top w:val="thinThickSmallGap" w:sz="24" w:space="0" w:color="auto"/>
              <w:left w:val="nil"/>
              <w:bottom w:val="single" w:sz="4" w:space="0" w:color="auto"/>
              <w:right w:val="nil"/>
            </w:tcBorders>
          </w:tcPr>
          <w:p w14:paraId="7E77BE5A" w14:textId="77777777" w:rsidR="00AD6087" w:rsidRPr="006435A5" w:rsidRDefault="00AD6087" w:rsidP="00A42F0D">
            <w:pPr>
              <w:spacing w:line="276" w:lineRule="auto"/>
              <w:ind w:firstLine="0"/>
              <w:jc w:val="left"/>
            </w:pPr>
            <w:r w:rsidRPr="006435A5">
              <w:t>Արտաքին վարկեր, մլն ԱՄՆ դոլար</w:t>
            </w:r>
          </w:p>
        </w:tc>
        <w:tc>
          <w:tcPr>
            <w:tcW w:w="1717" w:type="dxa"/>
            <w:tcBorders>
              <w:top w:val="thinThickSmallGap" w:sz="24" w:space="0" w:color="auto"/>
              <w:left w:val="nil"/>
              <w:bottom w:val="single" w:sz="4" w:space="0" w:color="auto"/>
              <w:right w:val="nil"/>
            </w:tcBorders>
            <w:vAlign w:val="center"/>
          </w:tcPr>
          <w:p w14:paraId="52CE703D" w14:textId="77777777" w:rsidR="00AD6087" w:rsidRPr="006435A5" w:rsidRDefault="00AD6087" w:rsidP="00A42F0D">
            <w:pPr>
              <w:spacing w:line="276" w:lineRule="auto"/>
              <w:ind w:firstLine="0"/>
              <w:jc w:val="center"/>
            </w:pPr>
            <w:r w:rsidRPr="006435A5">
              <w:t>416.1</w:t>
            </w:r>
          </w:p>
        </w:tc>
        <w:tc>
          <w:tcPr>
            <w:tcW w:w="1224" w:type="dxa"/>
            <w:tcBorders>
              <w:top w:val="thinThickSmallGap" w:sz="24" w:space="0" w:color="auto"/>
              <w:left w:val="nil"/>
              <w:bottom w:val="single" w:sz="4" w:space="0" w:color="auto"/>
              <w:right w:val="nil"/>
            </w:tcBorders>
            <w:vAlign w:val="center"/>
          </w:tcPr>
          <w:p w14:paraId="54B4C394" w14:textId="77777777" w:rsidR="00AD6087" w:rsidRPr="006435A5" w:rsidRDefault="00AD6087" w:rsidP="00A42F0D">
            <w:pPr>
              <w:spacing w:line="276" w:lineRule="auto"/>
              <w:ind w:firstLine="0"/>
              <w:jc w:val="center"/>
            </w:pPr>
            <w:r w:rsidRPr="006435A5">
              <w:t>214.0</w:t>
            </w:r>
          </w:p>
        </w:tc>
        <w:tc>
          <w:tcPr>
            <w:tcW w:w="1936" w:type="dxa"/>
            <w:tcBorders>
              <w:top w:val="thinThickSmallGap" w:sz="24" w:space="0" w:color="auto"/>
              <w:left w:val="nil"/>
              <w:bottom w:val="single" w:sz="4" w:space="0" w:color="auto"/>
              <w:right w:val="nil"/>
            </w:tcBorders>
            <w:vAlign w:val="center"/>
          </w:tcPr>
          <w:p w14:paraId="35BFE26D" w14:textId="77777777" w:rsidR="00AD6087" w:rsidRPr="006435A5" w:rsidRDefault="00AD6087" w:rsidP="00A42F0D">
            <w:pPr>
              <w:spacing w:line="276" w:lineRule="auto"/>
              <w:ind w:firstLine="0"/>
              <w:jc w:val="center"/>
            </w:pPr>
            <w:r w:rsidRPr="006435A5">
              <w:t>101.6</w:t>
            </w:r>
          </w:p>
        </w:tc>
      </w:tr>
      <w:tr w:rsidR="00AD6087" w:rsidRPr="006435A5" w14:paraId="0016FD44" w14:textId="77777777" w:rsidTr="00A42F0D">
        <w:trPr>
          <w:trHeight w:val="335"/>
          <w:jc w:val="center"/>
        </w:trPr>
        <w:tc>
          <w:tcPr>
            <w:tcW w:w="3887" w:type="dxa"/>
            <w:tcBorders>
              <w:top w:val="single" w:sz="4" w:space="0" w:color="auto"/>
              <w:left w:val="nil"/>
              <w:bottom w:val="thickThinSmallGap" w:sz="24" w:space="0" w:color="auto"/>
              <w:right w:val="nil"/>
            </w:tcBorders>
          </w:tcPr>
          <w:p w14:paraId="457EDBFF" w14:textId="77777777" w:rsidR="00AD6087" w:rsidRPr="006435A5" w:rsidRDefault="00AD6087" w:rsidP="00A42F0D">
            <w:pPr>
              <w:spacing w:line="276" w:lineRule="auto"/>
              <w:ind w:firstLine="0"/>
              <w:jc w:val="left"/>
            </w:pPr>
            <w:r w:rsidRPr="006435A5">
              <w:t>Արտաքին վարկեր, մլրդ դրամ</w:t>
            </w:r>
          </w:p>
        </w:tc>
        <w:tc>
          <w:tcPr>
            <w:tcW w:w="1717" w:type="dxa"/>
            <w:tcBorders>
              <w:top w:val="single" w:sz="4" w:space="0" w:color="auto"/>
              <w:left w:val="nil"/>
              <w:bottom w:val="thickThinSmallGap" w:sz="24" w:space="0" w:color="auto"/>
              <w:right w:val="nil"/>
            </w:tcBorders>
            <w:vAlign w:val="center"/>
          </w:tcPr>
          <w:p w14:paraId="2ECAA6F8" w14:textId="77777777" w:rsidR="00AD6087" w:rsidRPr="006435A5" w:rsidRDefault="00AD6087" w:rsidP="00A42F0D">
            <w:pPr>
              <w:spacing w:line="276" w:lineRule="auto"/>
              <w:ind w:firstLine="0"/>
              <w:jc w:val="center"/>
            </w:pPr>
            <w:r w:rsidRPr="006435A5">
              <w:t>203.8</w:t>
            </w:r>
          </w:p>
        </w:tc>
        <w:tc>
          <w:tcPr>
            <w:tcW w:w="1224" w:type="dxa"/>
            <w:tcBorders>
              <w:top w:val="single" w:sz="4" w:space="0" w:color="auto"/>
              <w:left w:val="nil"/>
              <w:bottom w:val="thickThinSmallGap" w:sz="24" w:space="0" w:color="auto"/>
              <w:right w:val="nil"/>
            </w:tcBorders>
            <w:vAlign w:val="center"/>
          </w:tcPr>
          <w:p w14:paraId="2F745010" w14:textId="77777777" w:rsidR="00AD6087" w:rsidRPr="006435A5" w:rsidRDefault="00AD6087" w:rsidP="00A42F0D">
            <w:pPr>
              <w:spacing w:line="276" w:lineRule="auto"/>
              <w:ind w:firstLine="0"/>
              <w:jc w:val="center"/>
            </w:pPr>
            <w:r w:rsidRPr="006435A5">
              <w:t>103.1</w:t>
            </w:r>
          </w:p>
        </w:tc>
        <w:tc>
          <w:tcPr>
            <w:tcW w:w="1936" w:type="dxa"/>
            <w:tcBorders>
              <w:top w:val="single" w:sz="4" w:space="0" w:color="auto"/>
              <w:left w:val="nil"/>
              <w:bottom w:val="thickThinSmallGap" w:sz="24" w:space="0" w:color="auto"/>
              <w:right w:val="nil"/>
            </w:tcBorders>
            <w:vAlign w:val="center"/>
          </w:tcPr>
          <w:p w14:paraId="1C3032BB" w14:textId="77777777" w:rsidR="00AD6087" w:rsidRPr="006435A5" w:rsidRDefault="00AD6087" w:rsidP="00A42F0D">
            <w:pPr>
              <w:spacing w:line="276" w:lineRule="auto"/>
              <w:ind w:firstLine="0"/>
              <w:jc w:val="center"/>
            </w:pPr>
            <w:r w:rsidRPr="006435A5">
              <w:t>48.6</w:t>
            </w:r>
          </w:p>
        </w:tc>
      </w:tr>
    </w:tbl>
    <w:p w14:paraId="0CFEB834" w14:textId="77777777" w:rsidR="00AD6087" w:rsidRPr="006435A5" w:rsidRDefault="00AD6087" w:rsidP="00AD6087">
      <w:pPr>
        <w:keepNext/>
        <w:spacing w:before="240" w:line="276" w:lineRule="auto"/>
      </w:pPr>
      <w:r w:rsidRPr="006435A5">
        <w:t>2020 թվականի ընթացքում արտարժութային պետական պարտատոմսերի գծով իրականացված գործառնությունները.</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1"/>
        <w:gridCol w:w="1566"/>
        <w:gridCol w:w="1764"/>
        <w:gridCol w:w="1425"/>
        <w:gridCol w:w="1998"/>
      </w:tblGrid>
      <w:tr w:rsidR="00AD6087" w:rsidRPr="006435A5" w14:paraId="70CC8570" w14:textId="77777777" w:rsidTr="00A42F0D">
        <w:trPr>
          <w:trHeight w:val="479"/>
          <w:tblHeader/>
          <w:jc w:val="center"/>
        </w:trPr>
        <w:tc>
          <w:tcPr>
            <w:tcW w:w="3551" w:type="dxa"/>
            <w:tcBorders>
              <w:top w:val="thinThickThinSmallGap" w:sz="24" w:space="0" w:color="auto"/>
              <w:left w:val="nil"/>
              <w:bottom w:val="thinThickSmallGap" w:sz="24" w:space="0" w:color="auto"/>
              <w:right w:val="nil"/>
            </w:tcBorders>
            <w:shd w:val="clear" w:color="auto" w:fill="5B9BD5"/>
            <w:vAlign w:val="center"/>
          </w:tcPr>
          <w:p w14:paraId="22ED5399" w14:textId="77777777" w:rsidR="00AD6087" w:rsidRPr="006435A5" w:rsidRDefault="00AD6087" w:rsidP="00A42F0D">
            <w:pPr>
              <w:spacing w:line="276" w:lineRule="auto"/>
              <w:ind w:firstLine="0"/>
              <w:jc w:val="center"/>
            </w:pPr>
            <w:r w:rsidRPr="006435A5">
              <w:t>2020</w:t>
            </w:r>
          </w:p>
        </w:tc>
        <w:tc>
          <w:tcPr>
            <w:tcW w:w="1566" w:type="dxa"/>
            <w:tcBorders>
              <w:top w:val="thinThickThinSmallGap" w:sz="24" w:space="0" w:color="auto"/>
              <w:left w:val="nil"/>
              <w:bottom w:val="thinThickSmallGap" w:sz="24" w:space="0" w:color="auto"/>
              <w:right w:val="nil"/>
            </w:tcBorders>
            <w:shd w:val="clear" w:color="auto" w:fill="5B9BD5"/>
            <w:vAlign w:val="center"/>
          </w:tcPr>
          <w:p w14:paraId="05ACD844" w14:textId="77777777" w:rsidR="00AD6087" w:rsidRPr="006435A5" w:rsidRDefault="00AD6087" w:rsidP="00A42F0D">
            <w:pPr>
              <w:spacing w:line="276" w:lineRule="auto"/>
              <w:ind w:firstLine="0"/>
              <w:jc w:val="center"/>
            </w:pPr>
            <w:r w:rsidRPr="006435A5">
              <w:t>Թողարկման ծավալը</w:t>
            </w:r>
          </w:p>
        </w:tc>
        <w:tc>
          <w:tcPr>
            <w:tcW w:w="1764" w:type="dxa"/>
            <w:tcBorders>
              <w:top w:val="thinThickThinSmallGap" w:sz="24" w:space="0" w:color="auto"/>
              <w:left w:val="nil"/>
              <w:bottom w:val="thinThickSmallGap" w:sz="24" w:space="0" w:color="auto"/>
              <w:right w:val="nil"/>
            </w:tcBorders>
            <w:shd w:val="clear" w:color="auto" w:fill="5B9BD5"/>
            <w:vAlign w:val="center"/>
          </w:tcPr>
          <w:p w14:paraId="52F15523" w14:textId="77777777" w:rsidR="00AD6087" w:rsidRPr="006435A5" w:rsidRDefault="00AD6087" w:rsidP="00A42F0D">
            <w:pPr>
              <w:spacing w:line="276" w:lineRule="auto"/>
              <w:ind w:firstLine="0"/>
              <w:jc w:val="center"/>
            </w:pPr>
            <w:r w:rsidRPr="006435A5">
              <w:t>Տեղաբաշխումից մուտքը</w:t>
            </w:r>
          </w:p>
        </w:tc>
        <w:tc>
          <w:tcPr>
            <w:tcW w:w="1425" w:type="dxa"/>
            <w:tcBorders>
              <w:top w:val="thinThickThinSmallGap" w:sz="24" w:space="0" w:color="auto"/>
              <w:left w:val="nil"/>
              <w:bottom w:val="thinThickSmallGap" w:sz="24" w:space="0" w:color="auto"/>
              <w:right w:val="nil"/>
            </w:tcBorders>
            <w:shd w:val="clear" w:color="auto" w:fill="5B9BD5"/>
            <w:vAlign w:val="center"/>
          </w:tcPr>
          <w:p w14:paraId="0F5BEE8B" w14:textId="77777777" w:rsidR="00AD6087" w:rsidRPr="006435A5" w:rsidRDefault="00AD6087" w:rsidP="00A42F0D">
            <w:pPr>
              <w:spacing w:line="276" w:lineRule="auto"/>
              <w:ind w:firstLine="0"/>
              <w:jc w:val="center"/>
            </w:pPr>
            <w:r w:rsidRPr="006435A5">
              <w:t>Մարման և հետգնման ծավալը</w:t>
            </w:r>
          </w:p>
        </w:tc>
        <w:tc>
          <w:tcPr>
            <w:tcW w:w="1998" w:type="dxa"/>
            <w:tcBorders>
              <w:top w:val="thinThickThinSmallGap" w:sz="24" w:space="0" w:color="auto"/>
              <w:left w:val="nil"/>
              <w:bottom w:val="thinThickSmallGap" w:sz="24" w:space="0" w:color="auto"/>
              <w:right w:val="nil"/>
            </w:tcBorders>
            <w:shd w:val="clear" w:color="auto" w:fill="5B9BD5"/>
            <w:vAlign w:val="center"/>
          </w:tcPr>
          <w:p w14:paraId="54DB0145" w14:textId="77777777" w:rsidR="00AD6087" w:rsidRPr="006435A5" w:rsidRDefault="00AD6087" w:rsidP="00A42F0D">
            <w:pPr>
              <w:spacing w:line="276" w:lineRule="auto"/>
              <w:ind w:firstLine="0"/>
              <w:jc w:val="center"/>
            </w:pPr>
            <w:r w:rsidRPr="006435A5">
              <w:t>Վճարված տոկոսագումարը</w:t>
            </w:r>
          </w:p>
        </w:tc>
      </w:tr>
      <w:tr w:rsidR="00AD6087" w:rsidRPr="006435A5" w14:paraId="3265BA19" w14:textId="77777777" w:rsidTr="00A42F0D">
        <w:trPr>
          <w:trHeight w:val="335"/>
          <w:jc w:val="center"/>
        </w:trPr>
        <w:tc>
          <w:tcPr>
            <w:tcW w:w="3551" w:type="dxa"/>
            <w:tcBorders>
              <w:top w:val="thinThickSmallGap" w:sz="24" w:space="0" w:color="auto"/>
              <w:left w:val="nil"/>
              <w:bottom w:val="single" w:sz="4" w:space="0" w:color="auto"/>
              <w:right w:val="nil"/>
            </w:tcBorders>
            <w:vAlign w:val="center"/>
          </w:tcPr>
          <w:p w14:paraId="7127FD90" w14:textId="77777777" w:rsidR="00AD6087" w:rsidRPr="006435A5" w:rsidRDefault="00AD6087" w:rsidP="00A42F0D">
            <w:pPr>
              <w:spacing w:line="276" w:lineRule="auto"/>
              <w:ind w:firstLine="0"/>
              <w:jc w:val="left"/>
            </w:pPr>
            <w:r w:rsidRPr="006435A5">
              <w:t>Արտարժութային պետական պարտատոմսեր, մլն ԱՄՆ դոլար</w:t>
            </w:r>
          </w:p>
        </w:tc>
        <w:tc>
          <w:tcPr>
            <w:tcW w:w="1566" w:type="dxa"/>
            <w:tcBorders>
              <w:top w:val="thinThickSmallGap" w:sz="24" w:space="0" w:color="auto"/>
              <w:left w:val="nil"/>
              <w:bottom w:val="single" w:sz="4" w:space="0" w:color="auto"/>
              <w:right w:val="nil"/>
            </w:tcBorders>
            <w:vAlign w:val="center"/>
          </w:tcPr>
          <w:p w14:paraId="26378276" w14:textId="77777777" w:rsidR="00AD6087" w:rsidRPr="006435A5" w:rsidRDefault="00AD6087" w:rsidP="00A42F0D">
            <w:pPr>
              <w:spacing w:line="276" w:lineRule="auto"/>
              <w:ind w:firstLine="0"/>
              <w:jc w:val="center"/>
            </w:pPr>
            <w:r w:rsidRPr="006435A5">
              <w:t>-</w:t>
            </w:r>
          </w:p>
        </w:tc>
        <w:tc>
          <w:tcPr>
            <w:tcW w:w="1764" w:type="dxa"/>
            <w:tcBorders>
              <w:top w:val="thinThickSmallGap" w:sz="24" w:space="0" w:color="auto"/>
              <w:left w:val="nil"/>
              <w:bottom w:val="single" w:sz="4" w:space="0" w:color="auto"/>
              <w:right w:val="nil"/>
            </w:tcBorders>
            <w:vAlign w:val="center"/>
          </w:tcPr>
          <w:p w14:paraId="3A94BA2A" w14:textId="77777777" w:rsidR="00AD6087" w:rsidRPr="006435A5" w:rsidRDefault="00AD6087" w:rsidP="00A42F0D">
            <w:pPr>
              <w:spacing w:line="276" w:lineRule="auto"/>
              <w:ind w:firstLine="0"/>
              <w:jc w:val="center"/>
            </w:pPr>
            <w:r w:rsidRPr="006435A5">
              <w:t>-</w:t>
            </w:r>
          </w:p>
        </w:tc>
        <w:tc>
          <w:tcPr>
            <w:tcW w:w="1425" w:type="dxa"/>
            <w:tcBorders>
              <w:top w:val="thinThickSmallGap" w:sz="24" w:space="0" w:color="auto"/>
              <w:left w:val="nil"/>
              <w:bottom w:val="single" w:sz="4" w:space="0" w:color="auto"/>
              <w:right w:val="nil"/>
            </w:tcBorders>
            <w:vAlign w:val="center"/>
          </w:tcPr>
          <w:p w14:paraId="76B6BA2A" w14:textId="77777777" w:rsidR="00AD6087" w:rsidRPr="006435A5" w:rsidRDefault="00AD6087" w:rsidP="00A42F0D">
            <w:pPr>
              <w:spacing w:line="276" w:lineRule="auto"/>
              <w:ind w:firstLine="0"/>
              <w:jc w:val="center"/>
            </w:pPr>
            <w:r w:rsidRPr="006435A5">
              <w:t>97.7</w:t>
            </w:r>
          </w:p>
        </w:tc>
        <w:tc>
          <w:tcPr>
            <w:tcW w:w="1998" w:type="dxa"/>
            <w:tcBorders>
              <w:top w:val="thinThickSmallGap" w:sz="24" w:space="0" w:color="auto"/>
              <w:left w:val="nil"/>
              <w:bottom w:val="single" w:sz="4" w:space="0" w:color="auto"/>
              <w:right w:val="nil"/>
            </w:tcBorders>
            <w:vAlign w:val="center"/>
          </w:tcPr>
          <w:p w14:paraId="5B10E673" w14:textId="77777777" w:rsidR="00AD6087" w:rsidRPr="006435A5" w:rsidRDefault="00AD6087" w:rsidP="00A42F0D">
            <w:pPr>
              <w:spacing w:line="276" w:lineRule="auto"/>
              <w:ind w:firstLine="0"/>
              <w:jc w:val="center"/>
            </w:pPr>
            <w:r w:rsidRPr="006435A5">
              <w:t>61.5</w:t>
            </w:r>
          </w:p>
        </w:tc>
      </w:tr>
      <w:tr w:rsidR="00AD6087" w:rsidRPr="006435A5" w14:paraId="52179103" w14:textId="77777777" w:rsidTr="00A42F0D">
        <w:trPr>
          <w:trHeight w:val="335"/>
          <w:jc w:val="center"/>
        </w:trPr>
        <w:tc>
          <w:tcPr>
            <w:tcW w:w="3551" w:type="dxa"/>
            <w:tcBorders>
              <w:top w:val="single" w:sz="4" w:space="0" w:color="auto"/>
              <w:left w:val="nil"/>
              <w:bottom w:val="thickThinSmallGap" w:sz="24" w:space="0" w:color="auto"/>
              <w:right w:val="nil"/>
            </w:tcBorders>
            <w:vAlign w:val="center"/>
          </w:tcPr>
          <w:p w14:paraId="03A10F47" w14:textId="77777777" w:rsidR="00AD6087" w:rsidRPr="006435A5" w:rsidRDefault="00AD6087" w:rsidP="00A42F0D">
            <w:pPr>
              <w:spacing w:line="276" w:lineRule="auto"/>
              <w:ind w:firstLine="0"/>
              <w:jc w:val="left"/>
            </w:pPr>
            <w:r w:rsidRPr="006435A5">
              <w:t>Արտարժութային պետական պարտատոմսեր, մլրդ դրամ</w:t>
            </w:r>
          </w:p>
        </w:tc>
        <w:tc>
          <w:tcPr>
            <w:tcW w:w="1566" w:type="dxa"/>
            <w:tcBorders>
              <w:top w:val="single" w:sz="4" w:space="0" w:color="auto"/>
              <w:left w:val="nil"/>
              <w:bottom w:val="thickThinSmallGap" w:sz="24" w:space="0" w:color="auto"/>
              <w:right w:val="nil"/>
            </w:tcBorders>
            <w:vAlign w:val="center"/>
          </w:tcPr>
          <w:p w14:paraId="54D3C120" w14:textId="77777777" w:rsidR="00AD6087" w:rsidRPr="006435A5" w:rsidRDefault="00AD6087" w:rsidP="00A42F0D">
            <w:pPr>
              <w:spacing w:line="276" w:lineRule="auto"/>
              <w:ind w:firstLine="0"/>
              <w:jc w:val="center"/>
            </w:pPr>
            <w:r w:rsidRPr="006435A5">
              <w:t>-</w:t>
            </w:r>
          </w:p>
        </w:tc>
        <w:tc>
          <w:tcPr>
            <w:tcW w:w="1764" w:type="dxa"/>
            <w:tcBorders>
              <w:top w:val="single" w:sz="4" w:space="0" w:color="auto"/>
              <w:left w:val="nil"/>
              <w:bottom w:val="thickThinSmallGap" w:sz="24" w:space="0" w:color="auto"/>
              <w:right w:val="nil"/>
            </w:tcBorders>
            <w:vAlign w:val="center"/>
          </w:tcPr>
          <w:p w14:paraId="5AA4DA84" w14:textId="77777777" w:rsidR="00AD6087" w:rsidRPr="006435A5" w:rsidRDefault="00AD6087" w:rsidP="00A42F0D">
            <w:pPr>
              <w:spacing w:line="276" w:lineRule="auto"/>
              <w:ind w:firstLine="0"/>
              <w:jc w:val="center"/>
            </w:pPr>
            <w:r w:rsidRPr="006435A5">
              <w:t>-</w:t>
            </w:r>
          </w:p>
        </w:tc>
        <w:tc>
          <w:tcPr>
            <w:tcW w:w="1425" w:type="dxa"/>
            <w:tcBorders>
              <w:top w:val="single" w:sz="4" w:space="0" w:color="auto"/>
              <w:left w:val="nil"/>
              <w:bottom w:val="thickThinSmallGap" w:sz="24" w:space="0" w:color="auto"/>
              <w:right w:val="nil"/>
            </w:tcBorders>
            <w:vAlign w:val="center"/>
          </w:tcPr>
          <w:p w14:paraId="015FD765" w14:textId="77777777" w:rsidR="00AD6087" w:rsidRPr="006435A5" w:rsidRDefault="00AD6087" w:rsidP="00A42F0D">
            <w:pPr>
              <w:spacing w:line="276" w:lineRule="auto"/>
              <w:ind w:firstLine="0"/>
              <w:jc w:val="center"/>
            </w:pPr>
            <w:r w:rsidRPr="006435A5">
              <w:t>46.5</w:t>
            </w:r>
          </w:p>
        </w:tc>
        <w:tc>
          <w:tcPr>
            <w:tcW w:w="1998" w:type="dxa"/>
            <w:tcBorders>
              <w:top w:val="single" w:sz="4" w:space="0" w:color="auto"/>
              <w:left w:val="nil"/>
              <w:bottom w:val="thickThinSmallGap" w:sz="24" w:space="0" w:color="auto"/>
              <w:right w:val="nil"/>
            </w:tcBorders>
            <w:vAlign w:val="center"/>
          </w:tcPr>
          <w:p w14:paraId="54D6DE36" w14:textId="77777777" w:rsidR="00AD6087" w:rsidRPr="006435A5" w:rsidRDefault="00AD6087" w:rsidP="00A42F0D">
            <w:pPr>
              <w:spacing w:line="276" w:lineRule="auto"/>
              <w:ind w:firstLine="0"/>
              <w:jc w:val="center"/>
            </w:pPr>
            <w:r w:rsidRPr="006435A5">
              <w:t>29.2</w:t>
            </w:r>
          </w:p>
        </w:tc>
      </w:tr>
    </w:tbl>
    <w:p w14:paraId="6D230BC2" w14:textId="77777777" w:rsidR="00AD6087" w:rsidRPr="006435A5" w:rsidRDefault="00AD6087" w:rsidP="00AD6087">
      <w:pPr>
        <w:spacing w:line="276" w:lineRule="auto"/>
      </w:pPr>
      <w:r w:rsidRPr="006435A5">
        <w:br w:type="page"/>
      </w:r>
      <w:bookmarkStart w:id="670" w:name="_Toc77434484"/>
      <w:r w:rsidRPr="00AD6087">
        <w:rPr>
          <w:b/>
          <w:color w:val="1F497D" w:themeColor="text2"/>
          <w:lang w:val="hy-AM"/>
        </w:rPr>
        <w:t>ՀՀ կառավարության պարտքի պորտֆելի ծախսերի ու ռիսկերի նկարագիրը</w:t>
      </w:r>
      <w:bookmarkEnd w:id="670"/>
    </w:p>
    <w:p w14:paraId="7487125A" w14:textId="77777777" w:rsidR="00AD6087" w:rsidRPr="006435A5" w:rsidRDefault="00AD6087" w:rsidP="00AD6087">
      <w:pPr>
        <w:spacing w:line="276" w:lineRule="auto"/>
      </w:pPr>
      <w:r w:rsidRPr="006435A5">
        <w:t>2020 թվականի տարեվերջին ՀՀ կառավարության ծախսերի և ռիսկերի ցուցանիշներն ունեցել են հետևյալ տեսքը.</w:t>
      </w:r>
    </w:p>
    <w:p w14:paraId="7CD7F0B7" w14:textId="77777777" w:rsidR="00AD6087" w:rsidRPr="006435A5" w:rsidRDefault="00AD6087" w:rsidP="00AD6087">
      <w:pPr>
        <w:pStyle w:val="aff1"/>
        <w:spacing w:line="276" w:lineRule="auto"/>
      </w:pPr>
      <w:r w:rsidRPr="006435A5">
        <w:rPr>
          <w:b/>
        </w:rPr>
        <w:t xml:space="preserve">Աղյուսակ 1. </w:t>
      </w:r>
      <w:r w:rsidRPr="006435A5">
        <w:t>ՀՀ կառավարության պարտքի ծախսերի և ռիսկերի ցուցանիշները 31.12.2020 թվականի դրությամբ</w:t>
      </w:r>
    </w:p>
    <w:tbl>
      <w:tblPr>
        <w:tblW w:w="10159" w:type="dxa"/>
        <w:tblInd w:w="108" w:type="dxa"/>
        <w:tblLayout w:type="fixed"/>
        <w:tblLook w:val="04A0" w:firstRow="1" w:lastRow="0" w:firstColumn="1" w:lastColumn="0" w:noHBand="0" w:noVBand="1"/>
      </w:tblPr>
      <w:tblGrid>
        <w:gridCol w:w="2410"/>
        <w:gridCol w:w="3136"/>
        <w:gridCol w:w="17"/>
        <w:gridCol w:w="1950"/>
        <w:gridCol w:w="17"/>
        <w:gridCol w:w="1339"/>
        <w:gridCol w:w="17"/>
        <w:gridCol w:w="1256"/>
        <w:gridCol w:w="17"/>
      </w:tblGrid>
      <w:tr w:rsidR="00AD6087" w:rsidRPr="006435A5" w14:paraId="03E4635F" w14:textId="77777777" w:rsidTr="00A42F0D">
        <w:trPr>
          <w:trHeight w:val="312"/>
          <w:tblHeader/>
        </w:trPr>
        <w:tc>
          <w:tcPr>
            <w:tcW w:w="5563" w:type="dxa"/>
            <w:gridSpan w:val="3"/>
            <w:tcBorders>
              <w:top w:val="single" w:sz="4" w:space="0" w:color="auto"/>
              <w:left w:val="single" w:sz="4" w:space="0" w:color="auto"/>
              <w:bottom w:val="single" w:sz="4" w:space="0" w:color="auto"/>
              <w:right w:val="single" w:sz="4" w:space="0" w:color="000000"/>
            </w:tcBorders>
            <w:shd w:val="clear" w:color="auto" w:fill="5B9BD5"/>
            <w:noWrap/>
            <w:vAlign w:val="bottom"/>
            <w:hideMark/>
          </w:tcPr>
          <w:p w14:paraId="033A9D96" w14:textId="77777777" w:rsidR="00AD6087" w:rsidRPr="006435A5" w:rsidRDefault="00AD6087" w:rsidP="00A42F0D">
            <w:pPr>
              <w:spacing w:line="276" w:lineRule="auto"/>
              <w:ind w:firstLine="0"/>
            </w:pPr>
          </w:p>
        </w:tc>
        <w:tc>
          <w:tcPr>
            <w:tcW w:w="1967" w:type="dxa"/>
            <w:gridSpan w:val="2"/>
            <w:tcBorders>
              <w:top w:val="single" w:sz="4" w:space="0" w:color="auto"/>
              <w:left w:val="nil"/>
              <w:bottom w:val="single" w:sz="4" w:space="0" w:color="auto"/>
              <w:right w:val="single" w:sz="4" w:space="0" w:color="auto"/>
            </w:tcBorders>
            <w:shd w:val="clear" w:color="auto" w:fill="5B9BD5"/>
            <w:noWrap/>
            <w:vAlign w:val="center"/>
            <w:hideMark/>
          </w:tcPr>
          <w:p w14:paraId="7ABC35C4" w14:textId="77777777" w:rsidR="00AD6087" w:rsidRPr="006435A5" w:rsidRDefault="00AD6087" w:rsidP="00A42F0D">
            <w:pPr>
              <w:spacing w:line="276" w:lineRule="auto"/>
              <w:ind w:firstLine="0"/>
              <w:jc w:val="center"/>
            </w:pPr>
            <w:r w:rsidRPr="006435A5">
              <w:t>Արտարժութային պարտք</w:t>
            </w:r>
          </w:p>
        </w:tc>
        <w:tc>
          <w:tcPr>
            <w:tcW w:w="1356" w:type="dxa"/>
            <w:gridSpan w:val="2"/>
            <w:tcBorders>
              <w:top w:val="single" w:sz="4" w:space="0" w:color="auto"/>
              <w:left w:val="nil"/>
              <w:bottom w:val="single" w:sz="4" w:space="0" w:color="auto"/>
              <w:right w:val="nil"/>
            </w:tcBorders>
            <w:shd w:val="clear" w:color="auto" w:fill="5B9BD5"/>
            <w:noWrap/>
            <w:vAlign w:val="center"/>
            <w:hideMark/>
          </w:tcPr>
          <w:p w14:paraId="21679BD7" w14:textId="77777777" w:rsidR="00AD6087" w:rsidRPr="006435A5" w:rsidRDefault="00AD6087" w:rsidP="00A42F0D">
            <w:pPr>
              <w:spacing w:line="276" w:lineRule="auto"/>
              <w:ind w:firstLine="0"/>
              <w:jc w:val="center"/>
            </w:pPr>
            <w:r w:rsidRPr="006435A5">
              <w:t>Դրամային պարտք</w:t>
            </w:r>
          </w:p>
        </w:tc>
        <w:tc>
          <w:tcPr>
            <w:tcW w:w="1273" w:type="dxa"/>
            <w:gridSpan w:val="2"/>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ED2466C" w14:textId="77777777" w:rsidR="00AD6087" w:rsidRPr="006435A5" w:rsidRDefault="00AD6087" w:rsidP="00A42F0D">
            <w:pPr>
              <w:spacing w:line="276" w:lineRule="auto"/>
              <w:ind w:firstLine="0"/>
              <w:jc w:val="center"/>
            </w:pPr>
            <w:r w:rsidRPr="006435A5">
              <w:t>Ընդամենը</w:t>
            </w:r>
          </w:p>
        </w:tc>
      </w:tr>
      <w:tr w:rsidR="00AD6087" w:rsidRPr="006435A5" w14:paraId="7CBB1CD9" w14:textId="77777777" w:rsidTr="00A42F0D">
        <w:trPr>
          <w:trHeight w:val="312"/>
        </w:trPr>
        <w:tc>
          <w:tcPr>
            <w:tcW w:w="5563"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BC4E796" w14:textId="77777777" w:rsidR="00AD6087" w:rsidRPr="006435A5" w:rsidRDefault="00AD6087" w:rsidP="00A42F0D">
            <w:pPr>
              <w:spacing w:line="276" w:lineRule="auto"/>
              <w:ind w:firstLine="0"/>
              <w:jc w:val="left"/>
              <w:rPr>
                <w:rFonts w:cs="Calibri"/>
              </w:rPr>
            </w:pPr>
            <w:r w:rsidRPr="006435A5">
              <w:t>ՀՀ կառավարության պարտքի</w:t>
            </w:r>
            <w:r w:rsidRPr="006435A5">
              <w:rPr>
                <w:rFonts w:cs="Calibri"/>
              </w:rPr>
              <w:t xml:space="preserve"> ծավալը (մլրդ դրամ)</w:t>
            </w:r>
          </w:p>
        </w:tc>
        <w:tc>
          <w:tcPr>
            <w:tcW w:w="1967" w:type="dxa"/>
            <w:gridSpan w:val="2"/>
            <w:tcBorders>
              <w:top w:val="nil"/>
              <w:left w:val="nil"/>
              <w:bottom w:val="single" w:sz="4" w:space="0" w:color="auto"/>
              <w:right w:val="nil"/>
            </w:tcBorders>
            <w:shd w:val="clear" w:color="auto" w:fill="auto"/>
            <w:noWrap/>
            <w:vAlign w:val="center"/>
            <w:hideMark/>
          </w:tcPr>
          <w:p w14:paraId="7BF5488B" w14:textId="77777777" w:rsidR="00AD6087" w:rsidRPr="006435A5" w:rsidRDefault="00AD6087" w:rsidP="00A42F0D">
            <w:pPr>
              <w:spacing w:line="276" w:lineRule="auto"/>
              <w:ind w:firstLine="0"/>
              <w:jc w:val="center"/>
            </w:pPr>
            <w:r w:rsidRPr="006435A5">
              <w:t>2,965.1</w:t>
            </w:r>
          </w:p>
        </w:tc>
        <w:tc>
          <w:tcPr>
            <w:tcW w:w="1356" w:type="dxa"/>
            <w:gridSpan w:val="2"/>
            <w:tcBorders>
              <w:top w:val="nil"/>
              <w:left w:val="single" w:sz="4" w:space="0" w:color="auto"/>
              <w:bottom w:val="single" w:sz="4" w:space="0" w:color="auto"/>
              <w:right w:val="nil"/>
            </w:tcBorders>
            <w:shd w:val="clear" w:color="auto" w:fill="auto"/>
            <w:noWrap/>
            <w:vAlign w:val="center"/>
            <w:hideMark/>
          </w:tcPr>
          <w:p w14:paraId="0BED01CC" w14:textId="77777777" w:rsidR="00AD6087" w:rsidRPr="006435A5" w:rsidRDefault="00AD6087" w:rsidP="00A42F0D">
            <w:pPr>
              <w:spacing w:line="276" w:lineRule="auto"/>
              <w:ind w:firstLine="0"/>
              <w:jc w:val="center"/>
            </w:pPr>
            <w:r w:rsidRPr="006435A5">
              <w:t>958.8</w:t>
            </w:r>
          </w:p>
        </w:tc>
        <w:tc>
          <w:tcPr>
            <w:tcW w:w="1273" w:type="dxa"/>
            <w:gridSpan w:val="2"/>
            <w:tcBorders>
              <w:top w:val="nil"/>
              <w:left w:val="single" w:sz="4" w:space="0" w:color="auto"/>
              <w:bottom w:val="single" w:sz="4" w:space="0" w:color="auto"/>
              <w:right w:val="single" w:sz="4" w:space="0" w:color="auto"/>
            </w:tcBorders>
            <w:shd w:val="clear" w:color="auto" w:fill="auto"/>
            <w:noWrap/>
            <w:vAlign w:val="center"/>
            <w:hideMark/>
          </w:tcPr>
          <w:p w14:paraId="1E6AA7FB" w14:textId="77777777" w:rsidR="00AD6087" w:rsidRPr="006435A5" w:rsidRDefault="00AD6087" w:rsidP="00A42F0D">
            <w:pPr>
              <w:spacing w:line="276" w:lineRule="auto"/>
              <w:ind w:firstLine="0"/>
              <w:jc w:val="center"/>
            </w:pPr>
            <w:r w:rsidRPr="006435A5">
              <w:t>3,923.9</w:t>
            </w:r>
          </w:p>
        </w:tc>
      </w:tr>
      <w:tr w:rsidR="00AD6087" w:rsidRPr="006435A5" w14:paraId="69672437" w14:textId="77777777" w:rsidTr="00A42F0D">
        <w:trPr>
          <w:trHeight w:val="312"/>
        </w:trPr>
        <w:tc>
          <w:tcPr>
            <w:tcW w:w="5563"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14EBAC7" w14:textId="77777777" w:rsidR="00AD6087" w:rsidRPr="006435A5" w:rsidRDefault="00AD6087" w:rsidP="00A42F0D">
            <w:pPr>
              <w:spacing w:line="276" w:lineRule="auto"/>
              <w:ind w:firstLine="0"/>
              <w:jc w:val="left"/>
            </w:pPr>
            <w:r w:rsidRPr="006435A5">
              <w:t>ՀՀ կառավարության պարտքի ծավալը (մլն ԱՄՆ դոլար)</w:t>
            </w:r>
          </w:p>
        </w:tc>
        <w:tc>
          <w:tcPr>
            <w:tcW w:w="1967" w:type="dxa"/>
            <w:gridSpan w:val="2"/>
            <w:tcBorders>
              <w:top w:val="nil"/>
              <w:left w:val="nil"/>
              <w:bottom w:val="single" w:sz="4" w:space="0" w:color="auto"/>
              <w:right w:val="nil"/>
            </w:tcBorders>
            <w:shd w:val="clear" w:color="auto" w:fill="auto"/>
            <w:noWrap/>
            <w:vAlign w:val="center"/>
            <w:hideMark/>
          </w:tcPr>
          <w:p w14:paraId="34602734" w14:textId="77777777" w:rsidR="00AD6087" w:rsidRPr="006435A5" w:rsidRDefault="00AD6087" w:rsidP="00A42F0D">
            <w:pPr>
              <w:spacing w:line="276" w:lineRule="auto"/>
              <w:ind w:firstLine="0"/>
              <w:jc w:val="center"/>
            </w:pPr>
            <w:r w:rsidRPr="006435A5">
              <w:t>5,673.8</w:t>
            </w:r>
          </w:p>
        </w:tc>
        <w:tc>
          <w:tcPr>
            <w:tcW w:w="1356" w:type="dxa"/>
            <w:gridSpan w:val="2"/>
            <w:tcBorders>
              <w:top w:val="nil"/>
              <w:left w:val="single" w:sz="4" w:space="0" w:color="auto"/>
              <w:bottom w:val="single" w:sz="4" w:space="0" w:color="auto"/>
              <w:right w:val="nil"/>
            </w:tcBorders>
            <w:shd w:val="clear" w:color="auto" w:fill="auto"/>
            <w:noWrap/>
            <w:vAlign w:val="center"/>
            <w:hideMark/>
          </w:tcPr>
          <w:p w14:paraId="67CCD798" w14:textId="77777777" w:rsidR="00AD6087" w:rsidRPr="006435A5" w:rsidRDefault="00AD6087" w:rsidP="00A42F0D">
            <w:pPr>
              <w:spacing w:line="276" w:lineRule="auto"/>
              <w:ind w:firstLine="0"/>
              <w:jc w:val="center"/>
            </w:pPr>
            <w:r w:rsidRPr="006435A5">
              <w:t>1,834.8</w:t>
            </w:r>
          </w:p>
        </w:tc>
        <w:tc>
          <w:tcPr>
            <w:tcW w:w="127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877DD07" w14:textId="77777777" w:rsidR="00AD6087" w:rsidRPr="006435A5" w:rsidRDefault="00AD6087" w:rsidP="00A42F0D">
            <w:pPr>
              <w:spacing w:line="276" w:lineRule="auto"/>
              <w:ind w:firstLine="0"/>
              <w:jc w:val="center"/>
            </w:pPr>
            <w:r w:rsidRPr="006435A5">
              <w:t>7,508.5</w:t>
            </w:r>
          </w:p>
        </w:tc>
      </w:tr>
      <w:tr w:rsidR="00AD6087" w:rsidRPr="006435A5" w14:paraId="2BC5D9AC" w14:textId="77777777" w:rsidTr="00A42F0D">
        <w:trPr>
          <w:trHeight w:val="318"/>
        </w:trPr>
        <w:tc>
          <w:tcPr>
            <w:tcW w:w="5563" w:type="dxa"/>
            <w:gridSpan w:val="3"/>
            <w:tcBorders>
              <w:top w:val="single" w:sz="4" w:space="0" w:color="auto"/>
              <w:left w:val="single" w:sz="4" w:space="0" w:color="auto"/>
              <w:bottom w:val="double" w:sz="6" w:space="0" w:color="auto"/>
              <w:right w:val="single" w:sz="4" w:space="0" w:color="000000"/>
            </w:tcBorders>
            <w:shd w:val="clear" w:color="auto" w:fill="auto"/>
            <w:noWrap/>
            <w:vAlign w:val="center"/>
          </w:tcPr>
          <w:p w14:paraId="34E5478B" w14:textId="77777777" w:rsidR="00AD6087" w:rsidRPr="006435A5" w:rsidRDefault="00AD6087" w:rsidP="00A42F0D">
            <w:pPr>
              <w:spacing w:line="276" w:lineRule="auto"/>
              <w:ind w:firstLine="0"/>
              <w:jc w:val="left"/>
              <w:rPr>
                <w:rFonts w:cs="Calibri"/>
              </w:rPr>
            </w:pPr>
            <w:r w:rsidRPr="006435A5">
              <w:t>ՀՀ կառավարության պարտք/ՀՆԱ</w:t>
            </w:r>
            <w:r w:rsidRPr="006435A5">
              <w:rPr>
                <w:rFonts w:cs="Calibri"/>
              </w:rPr>
              <w:t>, (%)</w:t>
            </w:r>
          </w:p>
        </w:tc>
        <w:tc>
          <w:tcPr>
            <w:tcW w:w="1967" w:type="dxa"/>
            <w:gridSpan w:val="2"/>
            <w:tcBorders>
              <w:top w:val="nil"/>
              <w:left w:val="nil"/>
              <w:bottom w:val="double" w:sz="6" w:space="0" w:color="auto"/>
              <w:right w:val="single" w:sz="4" w:space="0" w:color="auto"/>
            </w:tcBorders>
            <w:shd w:val="clear" w:color="auto" w:fill="auto"/>
            <w:noWrap/>
            <w:vAlign w:val="center"/>
          </w:tcPr>
          <w:p w14:paraId="5AF6791C" w14:textId="77777777" w:rsidR="00AD6087" w:rsidRPr="006435A5" w:rsidRDefault="00AD6087" w:rsidP="00A42F0D">
            <w:pPr>
              <w:spacing w:line="276" w:lineRule="auto"/>
              <w:ind w:firstLine="0"/>
              <w:jc w:val="center"/>
            </w:pPr>
            <w:r w:rsidRPr="006435A5">
              <w:t>48.0</w:t>
            </w:r>
          </w:p>
        </w:tc>
        <w:tc>
          <w:tcPr>
            <w:tcW w:w="1356" w:type="dxa"/>
            <w:gridSpan w:val="2"/>
            <w:tcBorders>
              <w:top w:val="nil"/>
              <w:left w:val="nil"/>
              <w:bottom w:val="double" w:sz="6" w:space="0" w:color="auto"/>
              <w:right w:val="single" w:sz="4" w:space="0" w:color="auto"/>
            </w:tcBorders>
            <w:shd w:val="clear" w:color="auto" w:fill="auto"/>
            <w:noWrap/>
            <w:vAlign w:val="center"/>
          </w:tcPr>
          <w:p w14:paraId="3C910A4D" w14:textId="77777777" w:rsidR="00AD6087" w:rsidRPr="006435A5" w:rsidRDefault="00AD6087" w:rsidP="00A42F0D">
            <w:pPr>
              <w:spacing w:line="276" w:lineRule="auto"/>
              <w:ind w:firstLine="0"/>
              <w:jc w:val="center"/>
            </w:pPr>
            <w:r w:rsidRPr="006435A5">
              <w:t>15.5</w:t>
            </w:r>
          </w:p>
        </w:tc>
        <w:tc>
          <w:tcPr>
            <w:tcW w:w="1273" w:type="dxa"/>
            <w:gridSpan w:val="2"/>
            <w:tcBorders>
              <w:top w:val="nil"/>
              <w:left w:val="nil"/>
              <w:bottom w:val="double" w:sz="6" w:space="0" w:color="auto"/>
              <w:right w:val="single" w:sz="4" w:space="0" w:color="auto"/>
            </w:tcBorders>
            <w:shd w:val="clear" w:color="auto" w:fill="auto"/>
            <w:noWrap/>
            <w:vAlign w:val="center"/>
          </w:tcPr>
          <w:p w14:paraId="234511BA" w14:textId="77777777" w:rsidR="00AD6087" w:rsidRPr="006435A5" w:rsidRDefault="00AD6087" w:rsidP="00A42F0D">
            <w:pPr>
              <w:spacing w:line="276" w:lineRule="auto"/>
              <w:ind w:firstLine="0"/>
              <w:jc w:val="center"/>
            </w:pPr>
            <w:r w:rsidRPr="006435A5">
              <w:t>63.5</w:t>
            </w:r>
          </w:p>
        </w:tc>
      </w:tr>
      <w:tr w:rsidR="00AD6087" w:rsidRPr="006435A5" w14:paraId="62241E30" w14:textId="77777777" w:rsidTr="00A42F0D">
        <w:trPr>
          <w:gridAfter w:val="1"/>
          <w:wAfter w:w="17" w:type="dxa"/>
          <w:trHeight w:val="318"/>
        </w:trPr>
        <w:tc>
          <w:tcPr>
            <w:tcW w:w="2410" w:type="dxa"/>
            <w:vMerge w:val="restart"/>
            <w:tcBorders>
              <w:top w:val="nil"/>
              <w:left w:val="single" w:sz="4" w:space="0" w:color="auto"/>
              <w:bottom w:val="double" w:sz="6" w:space="0" w:color="000000"/>
              <w:right w:val="nil"/>
            </w:tcBorders>
            <w:shd w:val="clear" w:color="auto" w:fill="auto"/>
            <w:noWrap/>
            <w:vAlign w:val="center"/>
            <w:hideMark/>
          </w:tcPr>
          <w:p w14:paraId="603C71CD" w14:textId="77777777" w:rsidR="00AD6087" w:rsidRPr="006435A5" w:rsidRDefault="00AD6087" w:rsidP="00A42F0D">
            <w:pPr>
              <w:spacing w:line="276" w:lineRule="auto"/>
              <w:ind w:firstLine="0"/>
              <w:jc w:val="left"/>
            </w:pPr>
            <w:r w:rsidRPr="006435A5">
              <w:t>Ծախսի ցուցանիշներ</w:t>
            </w:r>
          </w:p>
        </w:tc>
        <w:tc>
          <w:tcPr>
            <w:tcW w:w="3136" w:type="dxa"/>
            <w:tcBorders>
              <w:top w:val="nil"/>
              <w:left w:val="single" w:sz="4" w:space="0" w:color="auto"/>
              <w:bottom w:val="single" w:sz="4" w:space="0" w:color="auto"/>
              <w:right w:val="single" w:sz="4" w:space="0" w:color="auto"/>
            </w:tcBorders>
            <w:shd w:val="clear" w:color="auto" w:fill="auto"/>
            <w:noWrap/>
            <w:vAlign w:val="center"/>
            <w:hideMark/>
          </w:tcPr>
          <w:p w14:paraId="09E6A8E8" w14:textId="77777777" w:rsidR="00AD6087" w:rsidRPr="006435A5" w:rsidRDefault="00AD6087" w:rsidP="00A42F0D">
            <w:pPr>
              <w:spacing w:line="276" w:lineRule="auto"/>
              <w:ind w:firstLine="0"/>
              <w:jc w:val="left"/>
              <w:rPr>
                <w:rFonts w:cs="Calibri"/>
              </w:rPr>
            </w:pPr>
            <w:r w:rsidRPr="006435A5">
              <w:t xml:space="preserve">Տոկոսավճար/ՀՆԱ, </w:t>
            </w:r>
            <w:r w:rsidRPr="006435A5">
              <w:rPr>
                <w:rFonts w:cs="Calibri"/>
              </w:rPr>
              <w:t xml:space="preserve">(%) </w:t>
            </w:r>
          </w:p>
        </w:tc>
        <w:tc>
          <w:tcPr>
            <w:tcW w:w="1967" w:type="dxa"/>
            <w:gridSpan w:val="2"/>
            <w:tcBorders>
              <w:top w:val="nil"/>
              <w:left w:val="nil"/>
              <w:bottom w:val="single" w:sz="4" w:space="0" w:color="auto"/>
              <w:right w:val="single" w:sz="4" w:space="0" w:color="auto"/>
            </w:tcBorders>
            <w:shd w:val="clear" w:color="auto" w:fill="auto"/>
            <w:noWrap/>
            <w:vAlign w:val="center"/>
            <w:hideMark/>
          </w:tcPr>
          <w:p w14:paraId="70EA812E" w14:textId="77777777" w:rsidR="00AD6087" w:rsidRPr="006435A5" w:rsidRDefault="00AD6087" w:rsidP="00A42F0D">
            <w:pPr>
              <w:spacing w:line="276" w:lineRule="auto"/>
              <w:ind w:firstLine="0"/>
              <w:jc w:val="center"/>
            </w:pPr>
            <w:r w:rsidRPr="006435A5">
              <w:t>1.3</w:t>
            </w:r>
          </w:p>
        </w:tc>
        <w:tc>
          <w:tcPr>
            <w:tcW w:w="1356" w:type="dxa"/>
            <w:gridSpan w:val="2"/>
            <w:tcBorders>
              <w:top w:val="nil"/>
              <w:left w:val="nil"/>
              <w:bottom w:val="single" w:sz="4" w:space="0" w:color="auto"/>
              <w:right w:val="single" w:sz="4" w:space="0" w:color="auto"/>
            </w:tcBorders>
            <w:shd w:val="clear" w:color="auto" w:fill="auto"/>
            <w:noWrap/>
            <w:vAlign w:val="center"/>
            <w:hideMark/>
          </w:tcPr>
          <w:p w14:paraId="6F6AA4B0" w14:textId="77777777" w:rsidR="00AD6087" w:rsidRPr="006435A5" w:rsidRDefault="00AD6087" w:rsidP="00A42F0D">
            <w:pPr>
              <w:spacing w:line="276" w:lineRule="auto"/>
              <w:ind w:firstLine="0"/>
              <w:jc w:val="center"/>
            </w:pPr>
            <w:r w:rsidRPr="006435A5">
              <w:t>1.4</w:t>
            </w:r>
          </w:p>
        </w:tc>
        <w:tc>
          <w:tcPr>
            <w:tcW w:w="1273" w:type="dxa"/>
            <w:gridSpan w:val="2"/>
            <w:tcBorders>
              <w:top w:val="nil"/>
              <w:left w:val="nil"/>
              <w:bottom w:val="single" w:sz="4" w:space="0" w:color="auto"/>
              <w:right w:val="single" w:sz="4" w:space="0" w:color="auto"/>
            </w:tcBorders>
            <w:shd w:val="clear" w:color="auto" w:fill="auto"/>
            <w:noWrap/>
            <w:vAlign w:val="center"/>
            <w:hideMark/>
          </w:tcPr>
          <w:p w14:paraId="693CF231" w14:textId="77777777" w:rsidR="00AD6087" w:rsidRPr="006435A5" w:rsidRDefault="00AD6087" w:rsidP="00A42F0D">
            <w:pPr>
              <w:spacing w:line="276" w:lineRule="auto"/>
              <w:ind w:firstLine="0"/>
              <w:jc w:val="center"/>
            </w:pPr>
            <w:r w:rsidRPr="006435A5">
              <w:t>2.7</w:t>
            </w:r>
          </w:p>
        </w:tc>
      </w:tr>
      <w:tr w:rsidR="00AD6087" w:rsidRPr="006435A5" w14:paraId="7CC48082" w14:textId="77777777" w:rsidTr="00A42F0D">
        <w:trPr>
          <w:gridAfter w:val="1"/>
          <w:wAfter w:w="17" w:type="dxa"/>
          <w:trHeight w:val="332"/>
        </w:trPr>
        <w:tc>
          <w:tcPr>
            <w:tcW w:w="2410" w:type="dxa"/>
            <w:vMerge/>
            <w:tcBorders>
              <w:top w:val="nil"/>
              <w:left w:val="single" w:sz="4" w:space="0" w:color="auto"/>
              <w:bottom w:val="double" w:sz="6" w:space="0" w:color="000000"/>
              <w:right w:val="nil"/>
            </w:tcBorders>
            <w:vAlign w:val="center"/>
            <w:hideMark/>
          </w:tcPr>
          <w:p w14:paraId="1EA6EFDB" w14:textId="77777777" w:rsidR="00AD6087" w:rsidRPr="006435A5" w:rsidRDefault="00AD6087" w:rsidP="00A42F0D">
            <w:pPr>
              <w:spacing w:line="276" w:lineRule="auto"/>
              <w:ind w:firstLine="0"/>
              <w:jc w:val="left"/>
            </w:pPr>
          </w:p>
        </w:tc>
        <w:tc>
          <w:tcPr>
            <w:tcW w:w="3136" w:type="dxa"/>
            <w:tcBorders>
              <w:top w:val="nil"/>
              <w:left w:val="single" w:sz="4" w:space="0" w:color="auto"/>
              <w:bottom w:val="double" w:sz="6" w:space="0" w:color="auto"/>
              <w:right w:val="single" w:sz="4" w:space="0" w:color="auto"/>
            </w:tcBorders>
            <w:shd w:val="clear" w:color="auto" w:fill="auto"/>
            <w:noWrap/>
            <w:vAlign w:val="center"/>
            <w:hideMark/>
          </w:tcPr>
          <w:p w14:paraId="054C64ED" w14:textId="77777777" w:rsidR="00AD6087" w:rsidRPr="006435A5" w:rsidRDefault="00AD6087" w:rsidP="00A42F0D">
            <w:pPr>
              <w:spacing w:line="276" w:lineRule="auto"/>
              <w:ind w:firstLine="0"/>
              <w:jc w:val="left"/>
              <w:rPr>
                <w:rFonts w:cs="Calibri"/>
              </w:rPr>
            </w:pPr>
            <w:r w:rsidRPr="006435A5">
              <w:t>Միջին կշռված տոկոսադրույքը</w:t>
            </w:r>
            <w:r w:rsidRPr="006435A5">
              <w:rPr>
                <w:rFonts w:cs="Calibri"/>
              </w:rPr>
              <w:t xml:space="preserve"> (%)</w:t>
            </w:r>
          </w:p>
        </w:tc>
        <w:tc>
          <w:tcPr>
            <w:tcW w:w="1967" w:type="dxa"/>
            <w:gridSpan w:val="2"/>
            <w:tcBorders>
              <w:top w:val="nil"/>
              <w:left w:val="nil"/>
              <w:bottom w:val="double" w:sz="6" w:space="0" w:color="auto"/>
              <w:right w:val="single" w:sz="4" w:space="0" w:color="auto"/>
            </w:tcBorders>
            <w:shd w:val="clear" w:color="auto" w:fill="auto"/>
            <w:noWrap/>
            <w:vAlign w:val="center"/>
            <w:hideMark/>
          </w:tcPr>
          <w:p w14:paraId="5EC88CB2" w14:textId="77777777" w:rsidR="00AD6087" w:rsidRPr="006435A5" w:rsidRDefault="00AD6087" w:rsidP="00A42F0D">
            <w:pPr>
              <w:spacing w:line="276" w:lineRule="auto"/>
              <w:ind w:firstLine="0"/>
              <w:jc w:val="center"/>
            </w:pPr>
            <w:r w:rsidRPr="006435A5">
              <w:t>2.3</w:t>
            </w:r>
          </w:p>
        </w:tc>
        <w:tc>
          <w:tcPr>
            <w:tcW w:w="1356" w:type="dxa"/>
            <w:gridSpan w:val="2"/>
            <w:tcBorders>
              <w:top w:val="nil"/>
              <w:left w:val="nil"/>
              <w:bottom w:val="double" w:sz="6" w:space="0" w:color="auto"/>
              <w:right w:val="single" w:sz="4" w:space="0" w:color="auto"/>
            </w:tcBorders>
            <w:shd w:val="clear" w:color="auto" w:fill="auto"/>
            <w:noWrap/>
            <w:vAlign w:val="center"/>
            <w:hideMark/>
          </w:tcPr>
          <w:p w14:paraId="4ECA7622" w14:textId="77777777" w:rsidR="00AD6087" w:rsidRPr="006435A5" w:rsidRDefault="00AD6087" w:rsidP="00A42F0D">
            <w:pPr>
              <w:spacing w:line="276" w:lineRule="auto"/>
              <w:ind w:firstLine="0"/>
              <w:jc w:val="center"/>
            </w:pPr>
            <w:r w:rsidRPr="006435A5">
              <w:t>10.4</w:t>
            </w:r>
          </w:p>
        </w:tc>
        <w:tc>
          <w:tcPr>
            <w:tcW w:w="1273" w:type="dxa"/>
            <w:gridSpan w:val="2"/>
            <w:tcBorders>
              <w:top w:val="nil"/>
              <w:left w:val="nil"/>
              <w:bottom w:val="double" w:sz="6" w:space="0" w:color="auto"/>
              <w:right w:val="single" w:sz="4" w:space="0" w:color="auto"/>
            </w:tcBorders>
            <w:shd w:val="clear" w:color="auto" w:fill="auto"/>
            <w:noWrap/>
            <w:vAlign w:val="center"/>
            <w:hideMark/>
          </w:tcPr>
          <w:p w14:paraId="4822DEA7" w14:textId="77777777" w:rsidR="00AD6087" w:rsidRPr="006435A5" w:rsidRDefault="00AD6087" w:rsidP="00A42F0D">
            <w:pPr>
              <w:spacing w:line="276" w:lineRule="auto"/>
              <w:ind w:firstLine="0"/>
              <w:jc w:val="center"/>
            </w:pPr>
            <w:r w:rsidRPr="006435A5">
              <w:t>4.3</w:t>
            </w:r>
          </w:p>
        </w:tc>
      </w:tr>
      <w:tr w:rsidR="00AD6087" w:rsidRPr="006435A5" w14:paraId="189D6D53" w14:textId="77777777" w:rsidTr="00A42F0D">
        <w:trPr>
          <w:gridAfter w:val="1"/>
          <w:wAfter w:w="17" w:type="dxa"/>
          <w:trHeight w:val="627"/>
        </w:trPr>
        <w:tc>
          <w:tcPr>
            <w:tcW w:w="2410" w:type="dxa"/>
            <w:vMerge w:val="restart"/>
            <w:tcBorders>
              <w:top w:val="nil"/>
              <w:left w:val="single" w:sz="4" w:space="0" w:color="auto"/>
              <w:right w:val="single" w:sz="4" w:space="0" w:color="auto"/>
            </w:tcBorders>
            <w:shd w:val="clear" w:color="auto" w:fill="auto"/>
            <w:noWrap/>
            <w:vAlign w:val="center"/>
            <w:hideMark/>
          </w:tcPr>
          <w:p w14:paraId="1983053F" w14:textId="77777777" w:rsidR="00AD6087" w:rsidRPr="006435A5" w:rsidRDefault="00AD6087" w:rsidP="00A42F0D">
            <w:pPr>
              <w:spacing w:line="276" w:lineRule="auto"/>
              <w:ind w:firstLine="0"/>
              <w:jc w:val="left"/>
            </w:pPr>
            <w:r w:rsidRPr="006435A5">
              <w:t>Վերաֆինանսավորման ռիսկ</w:t>
            </w:r>
          </w:p>
        </w:tc>
        <w:tc>
          <w:tcPr>
            <w:tcW w:w="3136" w:type="dxa"/>
            <w:tcBorders>
              <w:top w:val="nil"/>
              <w:left w:val="nil"/>
              <w:bottom w:val="single" w:sz="4" w:space="0" w:color="auto"/>
              <w:right w:val="single" w:sz="4" w:space="0" w:color="auto"/>
            </w:tcBorders>
            <w:shd w:val="clear" w:color="auto" w:fill="auto"/>
            <w:noWrap/>
            <w:vAlign w:val="center"/>
            <w:hideMark/>
          </w:tcPr>
          <w:p w14:paraId="526D0BD7" w14:textId="77777777" w:rsidR="00AD6087" w:rsidRPr="006435A5" w:rsidRDefault="00AD6087" w:rsidP="00A42F0D">
            <w:pPr>
              <w:spacing w:line="276" w:lineRule="auto"/>
              <w:ind w:firstLine="0"/>
              <w:jc w:val="left"/>
              <w:rPr>
                <w:rFonts w:cs="Calibri"/>
              </w:rPr>
            </w:pPr>
            <w:r w:rsidRPr="006435A5">
              <w:t>Մինչև մարում միջին ժամկետը</w:t>
            </w:r>
            <w:r w:rsidRPr="006435A5">
              <w:rPr>
                <w:rFonts w:cs="Calibri"/>
              </w:rPr>
              <w:t xml:space="preserve"> (տարի)</w:t>
            </w:r>
          </w:p>
        </w:tc>
        <w:tc>
          <w:tcPr>
            <w:tcW w:w="1967" w:type="dxa"/>
            <w:gridSpan w:val="2"/>
            <w:tcBorders>
              <w:top w:val="nil"/>
              <w:left w:val="nil"/>
              <w:bottom w:val="single" w:sz="4" w:space="0" w:color="auto"/>
              <w:right w:val="single" w:sz="4" w:space="0" w:color="auto"/>
            </w:tcBorders>
            <w:shd w:val="clear" w:color="auto" w:fill="auto"/>
            <w:noWrap/>
            <w:vAlign w:val="center"/>
            <w:hideMark/>
          </w:tcPr>
          <w:p w14:paraId="3C6C1BA9" w14:textId="77777777" w:rsidR="00AD6087" w:rsidRPr="006435A5" w:rsidRDefault="00AD6087" w:rsidP="00A42F0D">
            <w:pPr>
              <w:spacing w:line="276" w:lineRule="auto"/>
              <w:ind w:firstLine="0"/>
              <w:jc w:val="center"/>
            </w:pPr>
            <w:r w:rsidRPr="006435A5">
              <w:t>8.1</w:t>
            </w:r>
          </w:p>
        </w:tc>
        <w:tc>
          <w:tcPr>
            <w:tcW w:w="1356" w:type="dxa"/>
            <w:gridSpan w:val="2"/>
            <w:tcBorders>
              <w:top w:val="nil"/>
              <w:left w:val="nil"/>
              <w:bottom w:val="single" w:sz="4" w:space="0" w:color="auto"/>
              <w:right w:val="single" w:sz="4" w:space="0" w:color="auto"/>
            </w:tcBorders>
            <w:shd w:val="clear" w:color="auto" w:fill="auto"/>
            <w:noWrap/>
            <w:vAlign w:val="center"/>
            <w:hideMark/>
          </w:tcPr>
          <w:p w14:paraId="1A6DF318" w14:textId="77777777" w:rsidR="00AD6087" w:rsidRPr="006435A5" w:rsidRDefault="00AD6087" w:rsidP="00A42F0D">
            <w:pPr>
              <w:spacing w:line="276" w:lineRule="auto"/>
              <w:ind w:firstLine="0"/>
              <w:jc w:val="center"/>
            </w:pPr>
            <w:r w:rsidRPr="006435A5">
              <w:t>10.8</w:t>
            </w:r>
          </w:p>
        </w:tc>
        <w:tc>
          <w:tcPr>
            <w:tcW w:w="1273" w:type="dxa"/>
            <w:gridSpan w:val="2"/>
            <w:tcBorders>
              <w:top w:val="nil"/>
              <w:left w:val="nil"/>
              <w:bottom w:val="single" w:sz="4" w:space="0" w:color="auto"/>
              <w:right w:val="single" w:sz="4" w:space="0" w:color="auto"/>
            </w:tcBorders>
            <w:shd w:val="clear" w:color="auto" w:fill="auto"/>
            <w:noWrap/>
            <w:vAlign w:val="center"/>
            <w:hideMark/>
          </w:tcPr>
          <w:p w14:paraId="0713AB40" w14:textId="77777777" w:rsidR="00AD6087" w:rsidRPr="006435A5" w:rsidRDefault="00AD6087" w:rsidP="00A42F0D">
            <w:pPr>
              <w:spacing w:line="276" w:lineRule="auto"/>
              <w:ind w:firstLine="0"/>
              <w:jc w:val="center"/>
            </w:pPr>
            <w:r w:rsidRPr="006435A5">
              <w:t>8.8</w:t>
            </w:r>
          </w:p>
        </w:tc>
      </w:tr>
      <w:tr w:rsidR="00AD6087" w:rsidRPr="006435A5" w14:paraId="329F82D3" w14:textId="77777777" w:rsidTr="00A42F0D">
        <w:trPr>
          <w:gridAfter w:val="1"/>
          <w:wAfter w:w="17" w:type="dxa"/>
          <w:trHeight w:val="642"/>
        </w:trPr>
        <w:tc>
          <w:tcPr>
            <w:tcW w:w="2410" w:type="dxa"/>
            <w:vMerge/>
            <w:tcBorders>
              <w:left w:val="single" w:sz="4" w:space="0" w:color="auto"/>
              <w:bottom w:val="double" w:sz="6" w:space="0" w:color="000000"/>
              <w:right w:val="single" w:sz="4" w:space="0" w:color="auto"/>
            </w:tcBorders>
            <w:shd w:val="clear" w:color="auto" w:fill="auto"/>
            <w:vAlign w:val="center"/>
            <w:hideMark/>
          </w:tcPr>
          <w:p w14:paraId="6A77D008" w14:textId="77777777" w:rsidR="00AD6087" w:rsidRPr="006435A5" w:rsidRDefault="00AD6087" w:rsidP="00A42F0D">
            <w:pPr>
              <w:spacing w:line="276" w:lineRule="auto"/>
              <w:ind w:firstLine="0"/>
              <w:jc w:val="left"/>
            </w:pPr>
          </w:p>
        </w:tc>
        <w:tc>
          <w:tcPr>
            <w:tcW w:w="3136" w:type="dxa"/>
            <w:tcBorders>
              <w:top w:val="nil"/>
              <w:left w:val="nil"/>
              <w:bottom w:val="double" w:sz="6" w:space="0" w:color="auto"/>
              <w:right w:val="single" w:sz="4" w:space="0" w:color="auto"/>
            </w:tcBorders>
            <w:shd w:val="clear" w:color="auto" w:fill="auto"/>
            <w:noWrap/>
            <w:vAlign w:val="center"/>
          </w:tcPr>
          <w:p w14:paraId="1174BCAB" w14:textId="77777777" w:rsidR="00AD6087" w:rsidRPr="006435A5" w:rsidRDefault="00AD6087" w:rsidP="00A42F0D">
            <w:pPr>
              <w:spacing w:line="276" w:lineRule="auto"/>
              <w:ind w:firstLine="0"/>
              <w:jc w:val="left"/>
              <w:rPr>
                <w:rFonts w:cs="Calibri"/>
              </w:rPr>
            </w:pPr>
            <w:r w:rsidRPr="006435A5">
              <w:t>Մեկ տարվա ընթացքում մարվող պարտքի կշիռը</w:t>
            </w:r>
            <w:r w:rsidRPr="006435A5">
              <w:rPr>
                <w:rFonts w:cs="Calibri"/>
              </w:rPr>
              <w:t xml:space="preserve"> (% ընդամենի մեջ)</w:t>
            </w:r>
          </w:p>
        </w:tc>
        <w:tc>
          <w:tcPr>
            <w:tcW w:w="1967" w:type="dxa"/>
            <w:gridSpan w:val="2"/>
            <w:tcBorders>
              <w:top w:val="nil"/>
              <w:left w:val="nil"/>
              <w:bottom w:val="double" w:sz="6" w:space="0" w:color="auto"/>
              <w:right w:val="single" w:sz="4" w:space="0" w:color="auto"/>
            </w:tcBorders>
            <w:shd w:val="clear" w:color="auto" w:fill="auto"/>
            <w:noWrap/>
            <w:vAlign w:val="center"/>
          </w:tcPr>
          <w:p w14:paraId="4676A5F7" w14:textId="77777777" w:rsidR="00AD6087" w:rsidRPr="006435A5" w:rsidRDefault="00AD6087" w:rsidP="00A42F0D">
            <w:pPr>
              <w:spacing w:line="276" w:lineRule="auto"/>
              <w:ind w:firstLine="0"/>
              <w:jc w:val="center"/>
            </w:pPr>
            <w:r w:rsidRPr="006435A5">
              <w:t>4.0</w:t>
            </w:r>
          </w:p>
        </w:tc>
        <w:tc>
          <w:tcPr>
            <w:tcW w:w="1356" w:type="dxa"/>
            <w:gridSpan w:val="2"/>
            <w:tcBorders>
              <w:top w:val="nil"/>
              <w:left w:val="nil"/>
              <w:bottom w:val="double" w:sz="6" w:space="0" w:color="auto"/>
              <w:right w:val="single" w:sz="4" w:space="0" w:color="auto"/>
            </w:tcBorders>
            <w:shd w:val="clear" w:color="auto" w:fill="auto"/>
            <w:noWrap/>
            <w:vAlign w:val="center"/>
          </w:tcPr>
          <w:p w14:paraId="50C9D743" w14:textId="77777777" w:rsidR="00AD6087" w:rsidRPr="006435A5" w:rsidRDefault="00AD6087" w:rsidP="00A42F0D">
            <w:pPr>
              <w:spacing w:line="276" w:lineRule="auto"/>
              <w:ind w:firstLine="0"/>
              <w:jc w:val="center"/>
            </w:pPr>
            <w:r w:rsidRPr="006435A5">
              <w:t>11.5</w:t>
            </w:r>
          </w:p>
        </w:tc>
        <w:tc>
          <w:tcPr>
            <w:tcW w:w="1273" w:type="dxa"/>
            <w:gridSpan w:val="2"/>
            <w:tcBorders>
              <w:top w:val="nil"/>
              <w:left w:val="nil"/>
              <w:bottom w:val="double" w:sz="6" w:space="0" w:color="auto"/>
              <w:right w:val="single" w:sz="4" w:space="0" w:color="auto"/>
            </w:tcBorders>
            <w:shd w:val="clear" w:color="auto" w:fill="auto"/>
            <w:noWrap/>
            <w:vAlign w:val="center"/>
          </w:tcPr>
          <w:p w14:paraId="6A53F9B5" w14:textId="77777777" w:rsidR="00AD6087" w:rsidRPr="006435A5" w:rsidRDefault="00AD6087" w:rsidP="00A42F0D">
            <w:pPr>
              <w:spacing w:line="276" w:lineRule="auto"/>
              <w:ind w:firstLine="0"/>
              <w:jc w:val="center"/>
            </w:pPr>
            <w:r w:rsidRPr="006435A5">
              <w:t>5.8</w:t>
            </w:r>
          </w:p>
        </w:tc>
      </w:tr>
      <w:tr w:rsidR="00AD6087" w:rsidRPr="006435A5" w14:paraId="0C1AFECC" w14:textId="77777777" w:rsidTr="00A42F0D">
        <w:trPr>
          <w:gridAfter w:val="1"/>
          <w:wAfter w:w="17" w:type="dxa"/>
          <w:trHeight w:val="615"/>
        </w:trPr>
        <w:tc>
          <w:tcPr>
            <w:tcW w:w="2410" w:type="dxa"/>
            <w:vMerge w:val="restart"/>
            <w:tcBorders>
              <w:top w:val="nil"/>
              <w:left w:val="single" w:sz="4" w:space="0" w:color="auto"/>
              <w:bottom w:val="nil"/>
              <w:right w:val="single" w:sz="4" w:space="0" w:color="auto"/>
            </w:tcBorders>
            <w:shd w:val="clear" w:color="auto" w:fill="auto"/>
            <w:noWrap/>
            <w:vAlign w:val="center"/>
            <w:hideMark/>
          </w:tcPr>
          <w:p w14:paraId="2C6AABF9" w14:textId="77777777" w:rsidR="00AD6087" w:rsidRPr="006435A5" w:rsidRDefault="00AD6087" w:rsidP="00A42F0D">
            <w:pPr>
              <w:spacing w:line="276" w:lineRule="auto"/>
              <w:ind w:firstLine="0"/>
              <w:jc w:val="left"/>
            </w:pPr>
            <w:r w:rsidRPr="006435A5">
              <w:t>Տոկոսադրույքի ռիսկ</w:t>
            </w:r>
          </w:p>
        </w:tc>
        <w:tc>
          <w:tcPr>
            <w:tcW w:w="3136" w:type="dxa"/>
            <w:tcBorders>
              <w:top w:val="nil"/>
              <w:left w:val="nil"/>
              <w:bottom w:val="single" w:sz="4" w:space="0" w:color="auto"/>
              <w:right w:val="single" w:sz="4" w:space="0" w:color="auto"/>
            </w:tcBorders>
            <w:shd w:val="clear" w:color="auto" w:fill="auto"/>
            <w:noWrap/>
            <w:vAlign w:val="center"/>
            <w:hideMark/>
          </w:tcPr>
          <w:p w14:paraId="135448B3" w14:textId="77777777" w:rsidR="00AD6087" w:rsidRPr="006435A5" w:rsidRDefault="00AD6087" w:rsidP="00A42F0D">
            <w:pPr>
              <w:spacing w:line="276" w:lineRule="auto"/>
              <w:ind w:firstLine="0"/>
              <w:jc w:val="left"/>
              <w:rPr>
                <w:rFonts w:cs="Calibri"/>
              </w:rPr>
            </w:pPr>
            <w:r w:rsidRPr="006435A5">
              <w:t>Մինչև վերաֆիքսում միջին ժամկետը</w:t>
            </w:r>
            <w:r w:rsidRPr="006435A5">
              <w:rPr>
                <w:rFonts w:cs="Calibri"/>
              </w:rPr>
              <w:t xml:space="preserve"> (տարի)</w:t>
            </w:r>
          </w:p>
        </w:tc>
        <w:tc>
          <w:tcPr>
            <w:tcW w:w="1967" w:type="dxa"/>
            <w:gridSpan w:val="2"/>
            <w:tcBorders>
              <w:top w:val="nil"/>
              <w:left w:val="nil"/>
              <w:bottom w:val="single" w:sz="4" w:space="0" w:color="auto"/>
              <w:right w:val="single" w:sz="4" w:space="0" w:color="auto"/>
            </w:tcBorders>
            <w:shd w:val="clear" w:color="auto" w:fill="auto"/>
            <w:noWrap/>
            <w:vAlign w:val="center"/>
            <w:hideMark/>
          </w:tcPr>
          <w:p w14:paraId="2375BB51" w14:textId="77777777" w:rsidR="00AD6087" w:rsidRPr="006435A5" w:rsidRDefault="00AD6087" w:rsidP="00A42F0D">
            <w:pPr>
              <w:spacing w:line="276" w:lineRule="auto"/>
              <w:ind w:firstLine="0"/>
              <w:jc w:val="center"/>
            </w:pPr>
            <w:r w:rsidRPr="006435A5">
              <w:t>5.9</w:t>
            </w:r>
          </w:p>
        </w:tc>
        <w:tc>
          <w:tcPr>
            <w:tcW w:w="1356" w:type="dxa"/>
            <w:gridSpan w:val="2"/>
            <w:tcBorders>
              <w:top w:val="nil"/>
              <w:left w:val="nil"/>
              <w:bottom w:val="single" w:sz="4" w:space="0" w:color="auto"/>
              <w:right w:val="single" w:sz="4" w:space="0" w:color="auto"/>
            </w:tcBorders>
            <w:shd w:val="clear" w:color="auto" w:fill="auto"/>
            <w:noWrap/>
            <w:vAlign w:val="center"/>
            <w:hideMark/>
          </w:tcPr>
          <w:p w14:paraId="769FE66B" w14:textId="77777777" w:rsidR="00AD6087" w:rsidRPr="006435A5" w:rsidRDefault="00AD6087" w:rsidP="00A42F0D">
            <w:pPr>
              <w:spacing w:line="276" w:lineRule="auto"/>
              <w:ind w:firstLine="0"/>
              <w:jc w:val="center"/>
            </w:pPr>
            <w:r w:rsidRPr="006435A5">
              <w:t>10.8</w:t>
            </w:r>
          </w:p>
        </w:tc>
        <w:tc>
          <w:tcPr>
            <w:tcW w:w="1273" w:type="dxa"/>
            <w:gridSpan w:val="2"/>
            <w:tcBorders>
              <w:top w:val="nil"/>
              <w:left w:val="nil"/>
              <w:bottom w:val="single" w:sz="4" w:space="0" w:color="auto"/>
              <w:right w:val="single" w:sz="4" w:space="0" w:color="auto"/>
            </w:tcBorders>
            <w:shd w:val="clear" w:color="auto" w:fill="auto"/>
            <w:noWrap/>
            <w:vAlign w:val="center"/>
            <w:hideMark/>
          </w:tcPr>
          <w:p w14:paraId="6F578876" w14:textId="77777777" w:rsidR="00AD6087" w:rsidRPr="006435A5" w:rsidRDefault="00AD6087" w:rsidP="00A42F0D">
            <w:pPr>
              <w:spacing w:line="276" w:lineRule="auto"/>
              <w:ind w:firstLine="0"/>
              <w:jc w:val="center"/>
            </w:pPr>
            <w:r w:rsidRPr="006435A5">
              <w:t>7.1</w:t>
            </w:r>
          </w:p>
        </w:tc>
      </w:tr>
      <w:tr w:rsidR="00AD6087" w:rsidRPr="006435A5" w14:paraId="7224F64C" w14:textId="77777777" w:rsidTr="00A42F0D">
        <w:trPr>
          <w:gridAfter w:val="1"/>
          <w:wAfter w:w="17" w:type="dxa"/>
          <w:trHeight w:val="616"/>
        </w:trPr>
        <w:tc>
          <w:tcPr>
            <w:tcW w:w="2410" w:type="dxa"/>
            <w:vMerge/>
            <w:tcBorders>
              <w:top w:val="nil"/>
              <w:left w:val="single" w:sz="4" w:space="0" w:color="auto"/>
              <w:bottom w:val="nil"/>
              <w:right w:val="single" w:sz="4" w:space="0" w:color="auto"/>
            </w:tcBorders>
            <w:vAlign w:val="center"/>
            <w:hideMark/>
          </w:tcPr>
          <w:p w14:paraId="02AD8931" w14:textId="77777777" w:rsidR="00AD6087" w:rsidRPr="006435A5" w:rsidRDefault="00AD6087" w:rsidP="00A42F0D">
            <w:pPr>
              <w:spacing w:line="276" w:lineRule="auto"/>
              <w:ind w:firstLine="0"/>
              <w:jc w:val="left"/>
            </w:pPr>
          </w:p>
        </w:tc>
        <w:tc>
          <w:tcPr>
            <w:tcW w:w="3136" w:type="dxa"/>
            <w:tcBorders>
              <w:top w:val="nil"/>
              <w:left w:val="nil"/>
              <w:bottom w:val="single" w:sz="4" w:space="0" w:color="auto"/>
              <w:right w:val="single" w:sz="4" w:space="0" w:color="auto"/>
            </w:tcBorders>
            <w:shd w:val="clear" w:color="auto" w:fill="auto"/>
            <w:noWrap/>
            <w:vAlign w:val="center"/>
            <w:hideMark/>
          </w:tcPr>
          <w:p w14:paraId="5674CF4D" w14:textId="77777777" w:rsidR="00AD6087" w:rsidRPr="006435A5" w:rsidRDefault="00AD6087" w:rsidP="00A42F0D">
            <w:pPr>
              <w:spacing w:line="276" w:lineRule="auto"/>
              <w:ind w:firstLine="0"/>
              <w:jc w:val="left"/>
              <w:rPr>
                <w:rFonts w:cs="Calibri"/>
              </w:rPr>
            </w:pPr>
            <w:r w:rsidRPr="006435A5">
              <w:t xml:space="preserve">Առաջիկա տարում վերաֆիքսվող պարտքի կշիռը </w:t>
            </w:r>
            <w:r w:rsidRPr="006435A5">
              <w:rPr>
                <w:rFonts w:cs="Calibri"/>
              </w:rPr>
              <w:t>(% ընդամենի մեջ)</w:t>
            </w:r>
          </w:p>
        </w:tc>
        <w:tc>
          <w:tcPr>
            <w:tcW w:w="1967" w:type="dxa"/>
            <w:gridSpan w:val="2"/>
            <w:tcBorders>
              <w:top w:val="nil"/>
              <w:left w:val="nil"/>
              <w:bottom w:val="single" w:sz="4" w:space="0" w:color="auto"/>
              <w:right w:val="single" w:sz="4" w:space="0" w:color="auto"/>
            </w:tcBorders>
            <w:shd w:val="clear" w:color="auto" w:fill="auto"/>
            <w:noWrap/>
            <w:vAlign w:val="center"/>
            <w:hideMark/>
          </w:tcPr>
          <w:p w14:paraId="5A41A726" w14:textId="77777777" w:rsidR="00AD6087" w:rsidRPr="006435A5" w:rsidRDefault="00AD6087" w:rsidP="00A42F0D">
            <w:pPr>
              <w:spacing w:line="276" w:lineRule="auto"/>
              <w:ind w:firstLine="0"/>
              <w:jc w:val="center"/>
            </w:pPr>
            <w:r w:rsidRPr="006435A5">
              <w:t>30.3</w:t>
            </w:r>
          </w:p>
        </w:tc>
        <w:tc>
          <w:tcPr>
            <w:tcW w:w="1356" w:type="dxa"/>
            <w:gridSpan w:val="2"/>
            <w:tcBorders>
              <w:top w:val="nil"/>
              <w:left w:val="nil"/>
              <w:bottom w:val="single" w:sz="4" w:space="0" w:color="auto"/>
              <w:right w:val="single" w:sz="4" w:space="0" w:color="auto"/>
            </w:tcBorders>
            <w:shd w:val="clear" w:color="auto" w:fill="auto"/>
            <w:noWrap/>
            <w:vAlign w:val="center"/>
            <w:hideMark/>
          </w:tcPr>
          <w:p w14:paraId="23B6360C" w14:textId="77777777" w:rsidR="00AD6087" w:rsidRPr="006435A5" w:rsidRDefault="00AD6087" w:rsidP="00A42F0D">
            <w:pPr>
              <w:spacing w:line="276" w:lineRule="auto"/>
              <w:ind w:firstLine="0"/>
              <w:jc w:val="center"/>
            </w:pPr>
            <w:r w:rsidRPr="006435A5">
              <w:t>11.5</w:t>
            </w:r>
          </w:p>
        </w:tc>
        <w:tc>
          <w:tcPr>
            <w:tcW w:w="1273" w:type="dxa"/>
            <w:gridSpan w:val="2"/>
            <w:tcBorders>
              <w:top w:val="nil"/>
              <w:left w:val="nil"/>
              <w:bottom w:val="single" w:sz="4" w:space="0" w:color="auto"/>
              <w:right w:val="single" w:sz="4" w:space="0" w:color="auto"/>
            </w:tcBorders>
            <w:shd w:val="clear" w:color="auto" w:fill="auto"/>
            <w:noWrap/>
            <w:vAlign w:val="center"/>
            <w:hideMark/>
          </w:tcPr>
          <w:p w14:paraId="20442AA6" w14:textId="77777777" w:rsidR="00AD6087" w:rsidRPr="006435A5" w:rsidRDefault="00AD6087" w:rsidP="00A42F0D">
            <w:pPr>
              <w:spacing w:line="276" w:lineRule="auto"/>
              <w:ind w:firstLine="0"/>
              <w:jc w:val="center"/>
            </w:pPr>
            <w:r w:rsidRPr="006435A5">
              <w:t>25.7</w:t>
            </w:r>
          </w:p>
        </w:tc>
      </w:tr>
      <w:tr w:rsidR="00AD6087" w:rsidRPr="006435A5" w14:paraId="5CA6761A" w14:textId="77777777" w:rsidTr="00A42F0D">
        <w:trPr>
          <w:gridAfter w:val="1"/>
          <w:wAfter w:w="17" w:type="dxa"/>
          <w:trHeight w:val="624"/>
        </w:trPr>
        <w:tc>
          <w:tcPr>
            <w:tcW w:w="2410" w:type="dxa"/>
            <w:vMerge/>
            <w:tcBorders>
              <w:top w:val="nil"/>
              <w:left w:val="single" w:sz="4" w:space="0" w:color="auto"/>
              <w:bottom w:val="nil"/>
              <w:right w:val="single" w:sz="4" w:space="0" w:color="auto"/>
            </w:tcBorders>
            <w:vAlign w:val="center"/>
            <w:hideMark/>
          </w:tcPr>
          <w:p w14:paraId="0F09B334" w14:textId="77777777" w:rsidR="00AD6087" w:rsidRPr="006435A5" w:rsidRDefault="00AD6087" w:rsidP="00A42F0D">
            <w:pPr>
              <w:spacing w:line="276" w:lineRule="auto"/>
              <w:ind w:firstLine="0"/>
              <w:jc w:val="left"/>
            </w:pPr>
          </w:p>
        </w:tc>
        <w:tc>
          <w:tcPr>
            <w:tcW w:w="3136" w:type="dxa"/>
            <w:tcBorders>
              <w:top w:val="nil"/>
              <w:left w:val="nil"/>
              <w:right w:val="single" w:sz="4" w:space="0" w:color="auto"/>
            </w:tcBorders>
            <w:shd w:val="clear" w:color="auto" w:fill="auto"/>
            <w:noWrap/>
            <w:vAlign w:val="center"/>
            <w:hideMark/>
          </w:tcPr>
          <w:p w14:paraId="022C9375" w14:textId="77777777" w:rsidR="00AD6087" w:rsidRPr="006435A5" w:rsidRDefault="00AD6087" w:rsidP="00A42F0D">
            <w:pPr>
              <w:spacing w:line="276" w:lineRule="auto"/>
              <w:ind w:firstLine="0"/>
              <w:jc w:val="left"/>
              <w:rPr>
                <w:rFonts w:cs="Calibri"/>
              </w:rPr>
            </w:pPr>
            <w:r w:rsidRPr="006435A5">
              <w:t xml:space="preserve">ֆիքսված տոկոսադրույքով պարտքի կշիռը </w:t>
            </w:r>
            <w:r w:rsidRPr="006435A5">
              <w:rPr>
                <w:rFonts w:cs="Calibri"/>
              </w:rPr>
              <w:t>(% ընդամենի մեջ)</w:t>
            </w:r>
          </w:p>
        </w:tc>
        <w:tc>
          <w:tcPr>
            <w:tcW w:w="1967" w:type="dxa"/>
            <w:gridSpan w:val="2"/>
            <w:tcBorders>
              <w:top w:val="nil"/>
              <w:left w:val="nil"/>
              <w:right w:val="single" w:sz="4" w:space="0" w:color="auto"/>
            </w:tcBorders>
            <w:shd w:val="clear" w:color="auto" w:fill="auto"/>
            <w:noWrap/>
            <w:vAlign w:val="center"/>
            <w:hideMark/>
          </w:tcPr>
          <w:p w14:paraId="0321A083" w14:textId="77777777" w:rsidR="00AD6087" w:rsidRPr="006435A5" w:rsidRDefault="00AD6087" w:rsidP="00A42F0D">
            <w:pPr>
              <w:spacing w:line="276" w:lineRule="auto"/>
              <w:ind w:firstLine="0"/>
              <w:jc w:val="center"/>
            </w:pPr>
            <w:r w:rsidRPr="006435A5">
              <w:t>74.1</w:t>
            </w:r>
          </w:p>
        </w:tc>
        <w:tc>
          <w:tcPr>
            <w:tcW w:w="1356" w:type="dxa"/>
            <w:gridSpan w:val="2"/>
            <w:tcBorders>
              <w:top w:val="nil"/>
              <w:left w:val="nil"/>
              <w:right w:val="single" w:sz="4" w:space="0" w:color="auto"/>
            </w:tcBorders>
            <w:shd w:val="clear" w:color="auto" w:fill="auto"/>
            <w:noWrap/>
            <w:vAlign w:val="center"/>
            <w:hideMark/>
          </w:tcPr>
          <w:p w14:paraId="3C176D20" w14:textId="77777777" w:rsidR="00AD6087" w:rsidRPr="006435A5" w:rsidRDefault="00AD6087" w:rsidP="00A42F0D">
            <w:pPr>
              <w:spacing w:line="276" w:lineRule="auto"/>
              <w:ind w:firstLine="0"/>
              <w:jc w:val="center"/>
            </w:pPr>
            <w:r w:rsidRPr="006435A5">
              <w:t>100.0</w:t>
            </w:r>
          </w:p>
        </w:tc>
        <w:tc>
          <w:tcPr>
            <w:tcW w:w="1273" w:type="dxa"/>
            <w:gridSpan w:val="2"/>
            <w:tcBorders>
              <w:top w:val="nil"/>
              <w:left w:val="nil"/>
              <w:right w:val="single" w:sz="4" w:space="0" w:color="auto"/>
            </w:tcBorders>
            <w:shd w:val="clear" w:color="auto" w:fill="auto"/>
            <w:noWrap/>
            <w:vAlign w:val="center"/>
            <w:hideMark/>
          </w:tcPr>
          <w:p w14:paraId="69C2438D" w14:textId="77777777" w:rsidR="00AD6087" w:rsidRPr="006435A5" w:rsidRDefault="00AD6087" w:rsidP="00A42F0D">
            <w:pPr>
              <w:spacing w:line="276" w:lineRule="auto"/>
              <w:ind w:firstLine="0"/>
              <w:jc w:val="center"/>
            </w:pPr>
            <w:r w:rsidRPr="006435A5">
              <w:t>80.4</w:t>
            </w:r>
          </w:p>
        </w:tc>
      </w:tr>
      <w:tr w:rsidR="00AD6087" w:rsidRPr="006435A5" w14:paraId="05A3B696" w14:textId="77777777" w:rsidTr="00A42F0D">
        <w:trPr>
          <w:gridAfter w:val="1"/>
          <w:wAfter w:w="17" w:type="dxa"/>
          <w:trHeight w:val="318"/>
        </w:trPr>
        <w:tc>
          <w:tcPr>
            <w:tcW w:w="2410" w:type="dxa"/>
            <w:vMerge w:val="restart"/>
            <w:tcBorders>
              <w:top w:val="double" w:sz="6" w:space="0" w:color="auto"/>
              <w:left w:val="single" w:sz="4" w:space="0" w:color="auto"/>
              <w:bottom w:val="single" w:sz="4" w:space="0" w:color="000000"/>
              <w:right w:val="single" w:sz="4" w:space="0" w:color="auto"/>
            </w:tcBorders>
            <w:shd w:val="clear" w:color="auto" w:fill="auto"/>
            <w:noWrap/>
            <w:vAlign w:val="center"/>
            <w:hideMark/>
          </w:tcPr>
          <w:p w14:paraId="790DA347" w14:textId="77777777" w:rsidR="00AD6087" w:rsidRPr="006435A5" w:rsidRDefault="00AD6087" w:rsidP="00A42F0D">
            <w:pPr>
              <w:spacing w:line="276" w:lineRule="auto"/>
              <w:ind w:firstLine="0"/>
              <w:jc w:val="left"/>
            </w:pPr>
            <w:r w:rsidRPr="006435A5">
              <w:t>Փոխարժեքի ռիսկ</w:t>
            </w:r>
          </w:p>
        </w:tc>
        <w:tc>
          <w:tcPr>
            <w:tcW w:w="3136" w:type="dxa"/>
            <w:tcBorders>
              <w:top w:val="double" w:sz="6" w:space="0" w:color="auto"/>
              <w:left w:val="nil"/>
              <w:bottom w:val="single" w:sz="4" w:space="0" w:color="auto"/>
              <w:right w:val="nil"/>
            </w:tcBorders>
            <w:shd w:val="clear" w:color="auto" w:fill="auto"/>
            <w:noWrap/>
            <w:vAlign w:val="center"/>
            <w:hideMark/>
          </w:tcPr>
          <w:p w14:paraId="1B3DC0D9" w14:textId="77777777" w:rsidR="00AD6087" w:rsidRPr="006435A5" w:rsidRDefault="00AD6087" w:rsidP="00A42F0D">
            <w:pPr>
              <w:spacing w:line="276" w:lineRule="auto"/>
              <w:ind w:firstLine="0"/>
              <w:jc w:val="left"/>
              <w:rPr>
                <w:rFonts w:cs="Calibri"/>
              </w:rPr>
            </w:pPr>
            <w:r w:rsidRPr="006435A5">
              <w:t xml:space="preserve">Արտարժութային պարտքի կշիռը </w:t>
            </w:r>
            <w:r w:rsidRPr="006435A5">
              <w:rPr>
                <w:rFonts w:cs="Calibri"/>
              </w:rPr>
              <w:t>(% ընդամենի մեջ)</w:t>
            </w:r>
          </w:p>
        </w:tc>
        <w:tc>
          <w:tcPr>
            <w:tcW w:w="1967" w:type="dxa"/>
            <w:gridSpan w:val="2"/>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2B1C0798" w14:textId="77777777" w:rsidR="00AD6087" w:rsidRPr="006435A5" w:rsidRDefault="00AD6087" w:rsidP="00A42F0D">
            <w:pPr>
              <w:spacing w:line="276" w:lineRule="auto"/>
              <w:ind w:firstLine="0"/>
              <w:jc w:val="center"/>
            </w:pPr>
            <w:r w:rsidRPr="006435A5">
              <w:t>-</w:t>
            </w:r>
          </w:p>
        </w:tc>
        <w:tc>
          <w:tcPr>
            <w:tcW w:w="1356" w:type="dxa"/>
            <w:gridSpan w:val="2"/>
            <w:tcBorders>
              <w:top w:val="double" w:sz="6" w:space="0" w:color="auto"/>
              <w:left w:val="nil"/>
              <w:bottom w:val="single" w:sz="4" w:space="0" w:color="auto"/>
              <w:right w:val="single" w:sz="4" w:space="0" w:color="auto"/>
            </w:tcBorders>
            <w:shd w:val="clear" w:color="auto" w:fill="auto"/>
            <w:noWrap/>
            <w:vAlign w:val="center"/>
            <w:hideMark/>
          </w:tcPr>
          <w:p w14:paraId="6D5C25FC" w14:textId="77777777" w:rsidR="00AD6087" w:rsidRPr="006435A5" w:rsidRDefault="00AD6087" w:rsidP="00A42F0D">
            <w:pPr>
              <w:spacing w:line="276" w:lineRule="auto"/>
              <w:ind w:firstLine="0"/>
              <w:jc w:val="center"/>
            </w:pPr>
            <w:r w:rsidRPr="006435A5">
              <w:t>-</w:t>
            </w:r>
          </w:p>
        </w:tc>
        <w:tc>
          <w:tcPr>
            <w:tcW w:w="1273" w:type="dxa"/>
            <w:gridSpan w:val="2"/>
            <w:tcBorders>
              <w:top w:val="double" w:sz="6" w:space="0" w:color="auto"/>
              <w:left w:val="nil"/>
              <w:bottom w:val="single" w:sz="4" w:space="0" w:color="auto"/>
              <w:right w:val="single" w:sz="4" w:space="0" w:color="auto"/>
            </w:tcBorders>
            <w:shd w:val="clear" w:color="auto" w:fill="auto"/>
            <w:noWrap/>
            <w:vAlign w:val="center"/>
            <w:hideMark/>
          </w:tcPr>
          <w:p w14:paraId="032A379A" w14:textId="77777777" w:rsidR="00AD6087" w:rsidRPr="006435A5" w:rsidRDefault="00AD6087" w:rsidP="00A42F0D">
            <w:pPr>
              <w:spacing w:line="276" w:lineRule="auto"/>
              <w:ind w:firstLine="0"/>
              <w:jc w:val="center"/>
            </w:pPr>
            <w:r w:rsidRPr="006435A5">
              <w:t>75.6</w:t>
            </w:r>
          </w:p>
        </w:tc>
      </w:tr>
      <w:tr w:rsidR="00AD6087" w:rsidRPr="006435A5" w14:paraId="09805A15" w14:textId="77777777" w:rsidTr="00A42F0D">
        <w:trPr>
          <w:gridAfter w:val="1"/>
          <w:wAfter w:w="17" w:type="dxa"/>
          <w:trHeight w:val="288"/>
        </w:trPr>
        <w:tc>
          <w:tcPr>
            <w:tcW w:w="2410" w:type="dxa"/>
            <w:vMerge/>
            <w:tcBorders>
              <w:top w:val="double" w:sz="6" w:space="0" w:color="auto"/>
              <w:left w:val="single" w:sz="4" w:space="0" w:color="auto"/>
              <w:bottom w:val="single" w:sz="4" w:space="0" w:color="000000"/>
              <w:right w:val="single" w:sz="4" w:space="0" w:color="auto"/>
            </w:tcBorders>
            <w:vAlign w:val="center"/>
            <w:hideMark/>
          </w:tcPr>
          <w:p w14:paraId="74A04F57" w14:textId="77777777" w:rsidR="00AD6087" w:rsidRPr="006435A5" w:rsidRDefault="00AD6087" w:rsidP="00A42F0D">
            <w:pPr>
              <w:spacing w:line="276" w:lineRule="auto"/>
              <w:ind w:firstLine="0"/>
            </w:pPr>
          </w:p>
        </w:tc>
        <w:tc>
          <w:tcPr>
            <w:tcW w:w="3136" w:type="dxa"/>
            <w:tcBorders>
              <w:top w:val="nil"/>
              <w:left w:val="nil"/>
              <w:bottom w:val="single" w:sz="4" w:space="0" w:color="auto"/>
              <w:right w:val="nil"/>
            </w:tcBorders>
            <w:shd w:val="clear" w:color="auto" w:fill="auto"/>
            <w:noWrap/>
            <w:vAlign w:val="center"/>
            <w:hideMark/>
          </w:tcPr>
          <w:p w14:paraId="4510ABF1" w14:textId="77777777" w:rsidR="00AD6087" w:rsidRPr="006435A5" w:rsidRDefault="00AD6087" w:rsidP="00A42F0D">
            <w:pPr>
              <w:spacing w:line="276" w:lineRule="auto"/>
              <w:ind w:firstLine="0"/>
              <w:jc w:val="left"/>
              <w:rPr>
                <w:rFonts w:cs="Calibri"/>
              </w:rPr>
            </w:pPr>
            <w:r w:rsidRPr="006435A5">
              <w:t>Արտարժութային կարճաժամկետ պարտք (մարումներ)/միջազգային պահուստներ, (%)</w:t>
            </w:r>
            <w:r w:rsidRPr="006435A5">
              <w:rPr>
                <w:rFonts w:cs="Calibri"/>
              </w:rPr>
              <w:t xml:space="preserve"> </w:t>
            </w:r>
          </w:p>
        </w:tc>
        <w:tc>
          <w:tcPr>
            <w:tcW w:w="1967" w:type="dxa"/>
            <w:gridSpan w:val="2"/>
            <w:tcBorders>
              <w:top w:val="nil"/>
              <w:left w:val="single" w:sz="4" w:space="0" w:color="auto"/>
              <w:bottom w:val="single" w:sz="4" w:space="0" w:color="auto"/>
              <w:right w:val="single" w:sz="4" w:space="0" w:color="auto"/>
            </w:tcBorders>
            <w:shd w:val="clear" w:color="auto" w:fill="auto"/>
            <w:noWrap/>
            <w:vAlign w:val="center"/>
            <w:hideMark/>
          </w:tcPr>
          <w:p w14:paraId="2BA1041C" w14:textId="77777777" w:rsidR="00AD6087" w:rsidRPr="006435A5" w:rsidRDefault="00AD6087" w:rsidP="00A42F0D">
            <w:pPr>
              <w:spacing w:line="276" w:lineRule="auto"/>
              <w:ind w:firstLine="0"/>
              <w:jc w:val="center"/>
            </w:pPr>
            <w:r w:rsidRPr="006435A5">
              <w:t>-</w:t>
            </w:r>
          </w:p>
        </w:tc>
        <w:tc>
          <w:tcPr>
            <w:tcW w:w="1356" w:type="dxa"/>
            <w:gridSpan w:val="2"/>
            <w:tcBorders>
              <w:top w:val="nil"/>
              <w:left w:val="nil"/>
              <w:bottom w:val="single" w:sz="4" w:space="0" w:color="auto"/>
              <w:right w:val="single" w:sz="4" w:space="0" w:color="auto"/>
            </w:tcBorders>
            <w:shd w:val="clear" w:color="auto" w:fill="auto"/>
            <w:noWrap/>
            <w:vAlign w:val="center"/>
            <w:hideMark/>
          </w:tcPr>
          <w:p w14:paraId="5B276B8E" w14:textId="77777777" w:rsidR="00AD6087" w:rsidRPr="006435A5" w:rsidRDefault="00AD6087" w:rsidP="00A42F0D">
            <w:pPr>
              <w:spacing w:line="276" w:lineRule="auto"/>
              <w:ind w:firstLine="0"/>
              <w:jc w:val="center"/>
            </w:pPr>
            <w:r w:rsidRPr="006435A5">
              <w:t>-</w:t>
            </w:r>
          </w:p>
        </w:tc>
        <w:tc>
          <w:tcPr>
            <w:tcW w:w="1273" w:type="dxa"/>
            <w:gridSpan w:val="2"/>
            <w:tcBorders>
              <w:top w:val="nil"/>
              <w:left w:val="nil"/>
              <w:bottom w:val="single" w:sz="4" w:space="0" w:color="auto"/>
              <w:right w:val="single" w:sz="4" w:space="0" w:color="auto"/>
            </w:tcBorders>
            <w:shd w:val="clear" w:color="auto" w:fill="auto"/>
            <w:noWrap/>
            <w:vAlign w:val="center"/>
            <w:hideMark/>
          </w:tcPr>
          <w:p w14:paraId="12560812" w14:textId="77777777" w:rsidR="00AD6087" w:rsidRPr="006435A5" w:rsidRDefault="00AD6087" w:rsidP="00A42F0D">
            <w:pPr>
              <w:spacing w:line="276" w:lineRule="auto"/>
              <w:ind w:firstLine="0"/>
              <w:jc w:val="center"/>
            </w:pPr>
            <w:r w:rsidRPr="006435A5">
              <w:t>8.7</w:t>
            </w:r>
          </w:p>
        </w:tc>
      </w:tr>
    </w:tbl>
    <w:p w14:paraId="1C0C8C4E" w14:textId="77777777" w:rsidR="00AD6087" w:rsidRPr="006435A5" w:rsidRDefault="00AD6087" w:rsidP="00AD6087">
      <w:pPr>
        <w:spacing w:line="276" w:lineRule="auto"/>
      </w:pPr>
    </w:p>
    <w:p w14:paraId="286F5A6A" w14:textId="77777777" w:rsidR="00AD6087" w:rsidRPr="006435A5" w:rsidRDefault="00AD6087" w:rsidP="00AD6087">
      <w:pPr>
        <w:spacing w:line="276" w:lineRule="auto"/>
      </w:pPr>
      <w:r w:rsidRPr="006435A5">
        <w:t>Կառավարության պարտքի ծախսերը բնութագրելու համար կիրառվել են հետևյալ ցուցա</w:t>
      </w:r>
      <w:r w:rsidRPr="006435A5">
        <w:softHyphen/>
        <w:t xml:space="preserve">նիշները՝ պարտքի պորտֆելի միջին կշռված տոկոսադրույքը, տոկոսավճարի կշիռը պետական բյուջեի եկամուտների մեջ և տոկոսավճարի կշիռը ՀՆԱ-ի մեջ: </w:t>
      </w:r>
    </w:p>
    <w:p w14:paraId="52EC5253" w14:textId="77777777" w:rsidR="00AD6087" w:rsidRPr="006435A5" w:rsidRDefault="00AD6087" w:rsidP="00AD6087">
      <w:pPr>
        <w:spacing w:line="276" w:lineRule="auto"/>
      </w:pPr>
      <w:r w:rsidRPr="006435A5">
        <w:t xml:space="preserve">2020 թվականի տարեվերջին ՀՀ կառավարության պարտքի պորտֆելի միջին կշռված տոկոսադրույքը կազմել է 4.3%, ընդ որում՝ դրամային պարտքի համար այն կազմել է 10.4%, իսկ արտարժութային պարտքի համար` 2.3%: </w:t>
      </w:r>
    </w:p>
    <w:p w14:paraId="4F1F0E5F" w14:textId="77777777" w:rsidR="00AD6087" w:rsidRPr="006435A5" w:rsidRDefault="00AD6087" w:rsidP="00AD6087">
      <w:pPr>
        <w:spacing w:line="276" w:lineRule="auto"/>
        <w:rPr>
          <w:rFonts w:cs="Times Armenian"/>
        </w:rPr>
      </w:pPr>
      <w:r w:rsidRPr="006435A5">
        <w:t>ՀՀ կառավարության պարտքի պորտֆելի միջին տոկոսադրույքը, որը հաշվարկվում է որպես 2020 թվականի ընթացքում վճարված ՀՀ կառավարության պարտքի տոկոսավճարի հարաբերություն նախորդ տարվա վերջի դրությամբ պարտքի մնա</w:t>
      </w:r>
      <w:r w:rsidRPr="006435A5">
        <w:softHyphen/>
        <w:t xml:space="preserve">ցորդին, կազմել է 5.0%` 2019 թվականի 5.1%-ի դիմաց: Ըստ ռեզիդենտության տարանջատման դեպքում ՀՀ կառավարության արտաքին պարտքի միջին տոկոսադրույքը 2020 թվականի համար կազմել է 3.0%՝ 2019 թվականի 3.5%-ի դիմաց, իսկ ներքին պարտքի միջին տոկոսադրույքը` 12.1%` նախորդ տարվա 11.0%-ի դիմաց: Արտաքին վարկերի տոկոսադրույքներն ունեն աճման միտում, որովհետև միջին եկամուտ ունեցող երկրների շարքին դասվելու արդյունքում Հայաստանին այլևս հասանելի չեն միջազգային կառույցների կողմից տրամադրվող արտոնյալության բարձր աստիճան ունեցող վարկերը: Ավելին, Համաշխարհային բանկի ու Ասիական զարգացման բանկի կողմից իրականացվել է նախկինում տրամադրված արտոնյալ վարկերի տոկոսադրույքների վերանայում՝ բարձրացման ուղղությամբ: Ինչ վերաբերում է ներքին շուկայի միջին եկամտաբերությանը, ապա </w:t>
      </w:r>
      <w:r w:rsidRPr="006435A5">
        <w:rPr>
          <w:rFonts w:cs="Sylfaen"/>
        </w:rPr>
        <w:t>2020 թվականի դեկտեմբերի 31-ի դրությամբ ՊԳՊ-երի</w:t>
      </w:r>
      <w:r w:rsidRPr="006435A5">
        <w:rPr>
          <w:rFonts w:cs="Times Armenian"/>
        </w:rPr>
        <w:t xml:space="preserve"> </w:t>
      </w:r>
      <w:r w:rsidRPr="006435A5">
        <w:rPr>
          <w:rFonts w:cs="Sylfaen"/>
        </w:rPr>
        <w:t>միջին</w:t>
      </w:r>
      <w:r w:rsidRPr="006435A5">
        <w:rPr>
          <w:rFonts w:cs="Times Armenian"/>
        </w:rPr>
        <w:t xml:space="preserve"> </w:t>
      </w:r>
      <w:r w:rsidRPr="006435A5">
        <w:rPr>
          <w:rFonts w:cs="Sylfaen"/>
        </w:rPr>
        <w:t>կշռված</w:t>
      </w:r>
      <w:r w:rsidRPr="006435A5">
        <w:rPr>
          <w:rFonts w:cs="Times Armenian"/>
        </w:rPr>
        <w:t xml:space="preserve"> </w:t>
      </w:r>
      <w:r w:rsidRPr="006435A5">
        <w:rPr>
          <w:rFonts w:cs="Sylfaen"/>
        </w:rPr>
        <w:t>եկամտաբերությունը կազմել է</w:t>
      </w:r>
      <w:r w:rsidRPr="006435A5">
        <w:rPr>
          <w:rFonts w:cs="Times Armenian"/>
        </w:rPr>
        <w:t xml:space="preserve"> 10.4%, </w:t>
      </w:r>
      <w:r w:rsidRPr="006435A5">
        <w:rPr>
          <w:spacing w:val="-5"/>
        </w:rPr>
        <w:t>2019 թվականի տարեվերջի 11.8% տոկոսի դիմաց</w:t>
      </w:r>
      <w:r w:rsidRPr="006435A5">
        <w:rPr>
          <w:rFonts w:cs="Times Armenian"/>
        </w:rPr>
        <w:t xml:space="preserve">: </w:t>
      </w:r>
    </w:p>
    <w:p w14:paraId="757732A4" w14:textId="77777777" w:rsidR="00AD6087" w:rsidRPr="006435A5" w:rsidRDefault="00AD6087" w:rsidP="00AD6087">
      <w:pPr>
        <w:pStyle w:val="aff2"/>
        <w:spacing w:line="276" w:lineRule="auto"/>
        <w:rPr>
          <w:sz w:val="22"/>
          <w:szCs w:val="22"/>
        </w:rPr>
      </w:pPr>
      <w:r w:rsidRPr="006435A5">
        <w:rPr>
          <w:sz w:val="22"/>
          <w:szCs w:val="22"/>
        </w:rPr>
        <w:t>Գծապատկեր 1. ՊԳՊ-երի եկամտաբերության դինամիկան 2018-2020 թվականներին</w:t>
      </w:r>
    </w:p>
    <w:p w14:paraId="78DEBF80" w14:textId="1EB8BDBE" w:rsidR="00AD6087" w:rsidRPr="006435A5" w:rsidRDefault="00AD6087" w:rsidP="00AD6087">
      <w:pPr>
        <w:spacing w:line="276" w:lineRule="auto"/>
        <w:ind w:firstLine="0"/>
      </w:pPr>
      <w:r w:rsidRPr="006435A5">
        <w:rPr>
          <w:noProof/>
        </w:rPr>
        <w:drawing>
          <wp:inline distT="0" distB="0" distL="0" distR="0" wp14:anchorId="792E6E21" wp14:editId="47799793">
            <wp:extent cx="5948045" cy="35490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8045" cy="3549015"/>
                    </a:xfrm>
                    <a:prstGeom prst="rect">
                      <a:avLst/>
                    </a:prstGeom>
                    <a:noFill/>
                  </pic:spPr>
                </pic:pic>
              </a:graphicData>
            </a:graphic>
          </wp:inline>
        </w:drawing>
      </w:r>
    </w:p>
    <w:p w14:paraId="14659082" w14:textId="77777777" w:rsidR="00AD6087" w:rsidRPr="006435A5" w:rsidRDefault="00AD6087" w:rsidP="00AD6087">
      <w:pPr>
        <w:spacing w:line="276" w:lineRule="auto"/>
      </w:pPr>
      <w:r w:rsidRPr="006435A5">
        <w:t>Տարվա արդյունքներով հաջողվել է միջին կշռված եկամտաբերությունը նվազեցնել 1.4 տոկոսային կետով, որին հիմնականում նպաստել են տնտեսության իրական հատվածում անորոշությունների աճի պայմաններում ֆինանսական կազմակերպությունների` նվազ ռիսկային ակտիվների նկատմամբ պահանջարկի աճը, ՀՀ ԿԲ-ի կողմից տարվա մեծ մասում դրամավարկային պայմանների շարունակական մեղմացումը, ինչպես նաև 2020 թվականի ընթացքում բարձր եկամտաբերությամբ ՊԳՊ-երի հետգնումն ու մարումը:</w:t>
      </w:r>
    </w:p>
    <w:p w14:paraId="17657A36" w14:textId="77777777" w:rsidR="00AD6087" w:rsidRPr="006435A5" w:rsidRDefault="00AD6087" w:rsidP="00AD6087">
      <w:pPr>
        <w:spacing w:line="276" w:lineRule="auto"/>
        <w:rPr>
          <w:color w:val="FF0000"/>
        </w:rPr>
      </w:pPr>
      <w:r w:rsidRPr="006435A5">
        <w:t>ՀՀ կառավարությունը 2020 թվականի ընթացքում պարտքի գծով վճարել է 164.7 մլրդ դրամ տոկոսավճար, որը կազմել է պետական բյուջեի եկամուտների 10.6%-ը, պետական բյուջեի ծախսերի 8.7%-ը և ՀՆԱ-ի 2.7%-ը: Այս ցուցանիշներն արտահայտում են ՀՀ կառավարության պարտքի ծախսերի չափա</w:t>
      </w:r>
      <w:r w:rsidRPr="006435A5">
        <w:softHyphen/>
        <w:t>վոր մակարդակ:</w:t>
      </w:r>
      <w:r w:rsidRPr="006435A5">
        <w:rPr>
          <w:color w:val="FF0000"/>
        </w:rPr>
        <w:t xml:space="preserve"> </w:t>
      </w:r>
    </w:p>
    <w:p w14:paraId="2B0E18D3" w14:textId="77777777" w:rsidR="00AD6087" w:rsidRPr="006435A5" w:rsidRDefault="00AD6087" w:rsidP="00AD6087">
      <w:pPr>
        <w:spacing w:line="276" w:lineRule="auto"/>
      </w:pPr>
      <w:r w:rsidRPr="006435A5">
        <w:t>ՀՀ կառավարության պարտքի արդյունավետ կառավարման խնդրի լուծման տեսան</w:t>
      </w:r>
      <w:r w:rsidRPr="006435A5">
        <w:softHyphen/>
        <w:t>կյու</w:t>
      </w:r>
      <w:r w:rsidRPr="006435A5">
        <w:softHyphen/>
        <w:t>նից կարևո</w:t>
      </w:r>
      <w:r w:rsidRPr="006435A5">
        <w:softHyphen/>
        <w:t xml:space="preserve">րագույն նշանակություն ունի ռիսկերի կառավարումը: </w:t>
      </w:r>
    </w:p>
    <w:p w14:paraId="56DB1AC3" w14:textId="77777777" w:rsidR="00AD6087" w:rsidRPr="006435A5" w:rsidRDefault="00AD6087" w:rsidP="00AD6087">
      <w:pPr>
        <w:pStyle w:val="aff3"/>
        <w:keepLines/>
        <w:spacing w:before="360" w:line="276" w:lineRule="auto"/>
      </w:pPr>
      <w:r w:rsidRPr="006435A5">
        <w:t>Փոխարժեքի ռիսկ</w:t>
      </w:r>
    </w:p>
    <w:p w14:paraId="2E9E88F3" w14:textId="77777777" w:rsidR="00AD6087" w:rsidRPr="004F1221" w:rsidRDefault="00AD6087" w:rsidP="00AD6087">
      <w:pPr>
        <w:spacing w:line="276" w:lineRule="auto"/>
        <w:rPr>
          <w:lang w:val="hy-AM"/>
        </w:rPr>
      </w:pPr>
      <w:r w:rsidRPr="004F1221">
        <w:rPr>
          <w:lang w:val="hy-AM"/>
        </w:rPr>
        <w:t>ՀՀ կառավարության պարտքի առկա պորտֆելում շուկայական ռիսկերից ամենաէականը փոխարժեքի ռիսկն է: Փոխարժեքի ռիսկը հիմնականում չափվում է հետևյալ երկու ցուցանիշներով՝  արտարժութային պարտքի կշիռն ընդամենը պարտքի մեջ և արտարժութային կարճաժամկետ պարտքի կշիռը միջազգային պահուստների մեջ:</w:t>
      </w:r>
    </w:p>
    <w:p w14:paraId="12F8B184" w14:textId="77777777" w:rsidR="00AD6087" w:rsidRPr="006435A5" w:rsidRDefault="00AD6087" w:rsidP="00AD6087">
      <w:pPr>
        <w:spacing w:line="276" w:lineRule="auto"/>
      </w:pPr>
      <w:r w:rsidRPr="006435A5">
        <w:t xml:space="preserve">ՀՀ կառավարության պարտքի ներկայիս պորտֆելը կրում է փոխարժեքի մեծ ռիսկ, քանի որ 2020 թվականի դեկտեմբերի 31-ի դրությամբ պարտքի գերակշիռ մասը՝ 75.6%-ը ներգրավված է արտարժույթով (նախորդ տարվա համեմատ նվազել է 3.65 տոկոսային կետով): </w:t>
      </w:r>
    </w:p>
    <w:p w14:paraId="69BEC342" w14:textId="77777777" w:rsidR="00AD6087" w:rsidRPr="006435A5" w:rsidRDefault="00AD6087" w:rsidP="00AD6087">
      <w:pPr>
        <w:pStyle w:val="aff2"/>
        <w:spacing w:line="276" w:lineRule="auto"/>
        <w:rPr>
          <w:sz w:val="22"/>
          <w:szCs w:val="22"/>
        </w:rPr>
      </w:pPr>
      <w:r w:rsidRPr="006435A5">
        <w:rPr>
          <w:sz w:val="22"/>
          <w:szCs w:val="22"/>
        </w:rPr>
        <w:t>Գծապատկեր 2. ՀՀ կառավարության արտարժութային և դրամային պարտքերի հարաբերակցությունը 2019-2020 թվականներին (%)</w:t>
      </w:r>
    </w:p>
    <w:p w14:paraId="56559E8E" w14:textId="67B9A6E1" w:rsidR="00AD6087" w:rsidRPr="006435A5" w:rsidRDefault="00AD6087" w:rsidP="00AD6087">
      <w:pPr>
        <w:spacing w:line="276" w:lineRule="auto"/>
        <w:ind w:firstLine="0"/>
      </w:pPr>
      <w:r w:rsidRPr="006435A5">
        <w:rPr>
          <w:noProof/>
        </w:rPr>
        <w:drawing>
          <wp:inline distT="0" distB="0" distL="0" distR="0" wp14:anchorId="0543E5F2" wp14:editId="370C2379">
            <wp:extent cx="4664710" cy="297497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64710" cy="2974975"/>
                    </a:xfrm>
                    <a:prstGeom prst="rect">
                      <a:avLst/>
                    </a:prstGeom>
                    <a:noFill/>
                  </pic:spPr>
                </pic:pic>
              </a:graphicData>
            </a:graphic>
          </wp:inline>
        </w:drawing>
      </w:r>
    </w:p>
    <w:p w14:paraId="2DB096C9" w14:textId="77777777" w:rsidR="00AD6087" w:rsidRPr="006435A5" w:rsidRDefault="00AD6087" w:rsidP="00AD6087">
      <w:pPr>
        <w:spacing w:line="276" w:lineRule="auto"/>
      </w:pPr>
    </w:p>
    <w:p w14:paraId="6A9577C1" w14:textId="77777777" w:rsidR="00AD6087" w:rsidRPr="006435A5" w:rsidRDefault="00AD6087" w:rsidP="00AD6087">
      <w:pPr>
        <w:spacing w:line="276" w:lineRule="auto"/>
      </w:pPr>
      <w:r w:rsidRPr="006435A5">
        <w:t>ՀՀ կառավարության արտարժույթով ներգրավված պարտքի պորտֆելի արտարժութային կառուցվածքը ներկայացված է ստորև.</w:t>
      </w:r>
    </w:p>
    <w:p w14:paraId="0320260C" w14:textId="77777777" w:rsidR="00AD6087" w:rsidRPr="006435A5" w:rsidRDefault="00AD6087" w:rsidP="00AD6087">
      <w:pPr>
        <w:pStyle w:val="aff2"/>
        <w:spacing w:line="276" w:lineRule="auto"/>
        <w:rPr>
          <w:sz w:val="22"/>
          <w:szCs w:val="22"/>
        </w:rPr>
      </w:pPr>
      <w:r w:rsidRPr="006435A5">
        <w:rPr>
          <w:sz w:val="22"/>
          <w:szCs w:val="22"/>
        </w:rPr>
        <w:t>Գծապատկեր 3. ՀՀ կառավարության արտարժութային պարտքի պորտֆելի կառուցվածքը 2020 թվականի տարեվերջին</w:t>
      </w:r>
    </w:p>
    <w:p w14:paraId="0360424D" w14:textId="4CE18B05" w:rsidR="00AD6087" w:rsidRPr="006435A5" w:rsidRDefault="00AD6087" w:rsidP="00AD6087">
      <w:pPr>
        <w:spacing w:line="276" w:lineRule="auto"/>
        <w:ind w:firstLine="0"/>
      </w:pPr>
      <w:r w:rsidRPr="006435A5">
        <w:rPr>
          <w:noProof/>
        </w:rPr>
        <w:drawing>
          <wp:inline distT="0" distB="0" distL="0" distR="0" wp14:anchorId="18D9356E" wp14:editId="47E59067">
            <wp:extent cx="6753225" cy="2797810"/>
            <wp:effectExtent l="0" t="0" r="9525"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753225" cy="2797810"/>
                    </a:xfrm>
                    <a:prstGeom prst="rect">
                      <a:avLst/>
                    </a:prstGeom>
                    <a:noFill/>
                  </pic:spPr>
                </pic:pic>
              </a:graphicData>
            </a:graphic>
          </wp:inline>
        </w:drawing>
      </w:r>
    </w:p>
    <w:p w14:paraId="1EDC3056" w14:textId="77777777" w:rsidR="00AD6087" w:rsidRPr="006435A5" w:rsidRDefault="00AD6087" w:rsidP="00AD6087">
      <w:pPr>
        <w:spacing w:line="276" w:lineRule="auto"/>
      </w:pPr>
    </w:p>
    <w:p w14:paraId="00370BBC" w14:textId="77777777" w:rsidR="00AD6087" w:rsidRPr="006435A5" w:rsidRDefault="00AD6087" w:rsidP="00AD6087">
      <w:pPr>
        <w:spacing w:line="276" w:lineRule="auto"/>
      </w:pPr>
      <w:r w:rsidRPr="006435A5">
        <w:t>Աջ գծապատկերը ցույց է տալիս արտարժութային պարտքի պորտֆելի կառուցվածքը՝ SDR-ի համապատասխան արտարժույթների կշիռներով բաշխմամբ:</w:t>
      </w:r>
    </w:p>
    <w:p w14:paraId="5AC9CDE0" w14:textId="77777777" w:rsidR="00AD6087" w:rsidRPr="006435A5" w:rsidRDefault="00AD6087" w:rsidP="00AD6087">
      <w:pPr>
        <w:spacing w:line="276" w:lineRule="auto"/>
      </w:pPr>
      <w:r w:rsidRPr="006435A5">
        <w:t>Արտարժութային կարճաժամկետ պարտքի կշիռը միջազգային պահուստների մեջ կազմել է 8.7%, ինչը նշանակում է, որ արտարժութային պարտքի մարումների իրականացման համար առկա է արտարժութային ակտիվների բավարար ծավալ:</w:t>
      </w:r>
    </w:p>
    <w:p w14:paraId="0AEBF0C5" w14:textId="77777777" w:rsidR="00AD6087" w:rsidRPr="006435A5" w:rsidRDefault="00AD6087" w:rsidP="00AD6087">
      <w:pPr>
        <w:spacing w:line="276" w:lineRule="auto"/>
      </w:pPr>
      <w:r w:rsidRPr="006435A5">
        <w:t xml:space="preserve">Արտարժութային պարտքի մեծ կշիռը պարտքի պորտֆելում երկկողմ և բազմակողմ արտաքին վարկատուների կողմից տրամադրված փոխառությունների գերակայության, ինչպես նաև 1.0 մլրդ ԱՄՆ դոլար ծավալով շրջանառության մեջ գտնվող եվրապարտատոմսերի երկու թողարկումների առկայության հետևանք է: 2020 թվականին արտարժութային կարճաժամկետ պարտքի կշիռը միջազգային պահուստների մեջ ցուցանիշը նվազել է նախորդ տարվա նկատմամբ 1.8 տոկոսային կետով և կազմել է 8.7%: </w:t>
      </w:r>
    </w:p>
    <w:p w14:paraId="18806C57" w14:textId="77777777" w:rsidR="00AD6087" w:rsidRPr="006435A5" w:rsidRDefault="00AD6087" w:rsidP="00AD6087">
      <w:pPr>
        <w:pStyle w:val="aff3"/>
        <w:spacing w:line="276" w:lineRule="auto"/>
      </w:pPr>
      <w:r w:rsidRPr="006435A5">
        <w:t>Վերաֆինանսավորման ռիսկ</w:t>
      </w:r>
    </w:p>
    <w:p w14:paraId="11C916FB" w14:textId="77777777" w:rsidR="00AD6087" w:rsidRPr="006435A5" w:rsidRDefault="00AD6087" w:rsidP="00AD6087">
      <w:pPr>
        <w:spacing w:line="276" w:lineRule="auto"/>
      </w:pPr>
      <w:r w:rsidRPr="006435A5">
        <w:t>Կառավարության պարտքի պորտֆելի վերաֆինանսավորման ռիսկը գնահատվում է երեք ցուցանիշներով՝ մինչև մարում միջին ժամկետը, մեկ տարվա ընթացքում մարվող պարտքի կշիռը և կառավարության պարտքի պորտֆելի մարման գրաֆիկը:</w:t>
      </w:r>
    </w:p>
    <w:p w14:paraId="6A8358B3" w14:textId="77777777" w:rsidR="00AD6087" w:rsidRPr="006435A5" w:rsidRDefault="00AD6087" w:rsidP="00AD6087">
      <w:pPr>
        <w:spacing w:line="276" w:lineRule="auto"/>
      </w:pPr>
      <w:r w:rsidRPr="006435A5">
        <w:t>ՀՀ կառավարության պարտքի մինչև մարում միջին ժամկետի ցուցանիշը 2020 թվականի դեկտեմ</w:t>
      </w:r>
      <w:r w:rsidRPr="006435A5">
        <w:softHyphen/>
        <w:t>բերի 31-ի դրությամբ կազմել է 8.8 տարի: Ընդ որում, ՀՀ կառավարության արտաքին պարտքի մինչև մարում միջին ժամկետը կազմել է 8.1 տարի՝ նախորդ ժամանակահատվածի 8.9 տարվա դիմաց, իսկ ներքին պարտքինը՝ 10.6 տարի՝ նախորդ ժամանակահատվածի 9.8 տարվա դիմաց: ՀՀ կառավարության պարտքի պորտֆելի վերաֆինանսավորման ռիսկի տեսակետից այս երկու ցուցանիշներն էլ գտնվում են բարենպաստ միջակայքում:</w:t>
      </w:r>
    </w:p>
    <w:p w14:paraId="4BEEA9BC" w14:textId="77777777" w:rsidR="00AD6087" w:rsidRPr="006435A5" w:rsidRDefault="00AD6087" w:rsidP="00AD6087">
      <w:pPr>
        <w:spacing w:line="276" w:lineRule="auto"/>
      </w:pPr>
      <w:r w:rsidRPr="006435A5">
        <w:t>2020 թվականի դեկտեմբերի 31-ի դրությամբ առաջիկա տարվա ընթացքում մարվող պարտքի կշի</w:t>
      </w:r>
      <w:r w:rsidRPr="006435A5">
        <w:softHyphen/>
        <w:t>ռը կազմել է ընդամենը 5.8%: Նախորդ տարվա նկատմամբ այն նվազել է 1.2 տոկոսային կետով, որը հիմնականում պայմանավորված է 2020 թվականին իրականացված</w:t>
      </w:r>
      <w:r w:rsidRPr="006435A5" w:rsidDel="00C83238">
        <w:t xml:space="preserve"> </w:t>
      </w:r>
      <w:r w:rsidRPr="006435A5">
        <w:t xml:space="preserve"> եվրապարտատոմսերի մարումով և առաջիկա տարվա ընթացքում մարվող պետական գանձապետական պարտատոմսերի կշռի 1</w:t>
      </w:r>
      <w:r w:rsidRPr="006435A5">
        <w:rPr>
          <w:rFonts w:ascii="Cambria Math" w:hAnsi="Cambria Math" w:cs="Cambria Math"/>
        </w:rPr>
        <w:t>․</w:t>
      </w:r>
      <w:r w:rsidRPr="006435A5">
        <w:t>1 տոկոսային կետով նվազմամբ: Ըստ ռեզիդենտության դիտարկելու դեպքում, ՀՀ կառավա</w:t>
      </w:r>
      <w:r w:rsidRPr="006435A5">
        <w:softHyphen/>
        <w:t>րության արտաքին պարտքի մեկ տարվա ընթացքում մարման կշիռը կազմել է 4.1%, իսկ ներքին պարտքի համար` 11.0%: Նշենք, որ ներքին պարտքի կշիռը 2019 թվականի տարեվերջին կազմել է 15.5%: ՀՀ կառավա</w:t>
      </w:r>
      <w:r w:rsidRPr="006435A5">
        <w:softHyphen/>
        <w:t>րության արտաքին և ներքին պարտքերի՝ մեկ տարվա ընթացքում մարման փոքր ծավալները հնարավոր է վերաֆինանսավորել առանց դժվարությունների, ինչը նշանակում է, որ ՀՀ կառավարության պարտքի պորտֆելը կրում է վերաֆինանսավորման ցածր ռիսկ:</w:t>
      </w:r>
    </w:p>
    <w:p w14:paraId="1DF281EB" w14:textId="77777777" w:rsidR="00AD6087" w:rsidRPr="006435A5" w:rsidRDefault="00AD6087" w:rsidP="00AD6087">
      <w:pPr>
        <w:spacing w:line="276" w:lineRule="auto"/>
      </w:pPr>
      <w:r w:rsidRPr="006435A5">
        <w:t>Վերաֆինանսավորման ռիսկն առավել պատկերավոր է ներկայացված մարման գրաֆիկի միջոցով, որտեղ 2025 թվականի և 2029 թվականի մարման մեծ ծավալները պայմանավորված են թողարկված եվրապարտատոմսերի մարումներով, որոնք համապատասխանաբար կազմում են տվյալ տարում մարվող պարտքի 47.9%-ը և 46.6%-ը:</w:t>
      </w:r>
      <w:r w:rsidRPr="006435A5">
        <w:rPr>
          <w:color w:val="FF0000"/>
        </w:rPr>
        <w:t xml:space="preserve"> </w:t>
      </w:r>
    </w:p>
    <w:p w14:paraId="7B6EC811" w14:textId="77777777" w:rsidR="00AD6087" w:rsidRPr="006435A5" w:rsidRDefault="00AD6087" w:rsidP="00AD6087">
      <w:pPr>
        <w:pStyle w:val="aff2"/>
        <w:spacing w:line="276" w:lineRule="auto"/>
        <w:rPr>
          <w:sz w:val="22"/>
          <w:szCs w:val="22"/>
        </w:rPr>
      </w:pPr>
      <w:r w:rsidRPr="006435A5">
        <w:rPr>
          <w:sz w:val="22"/>
          <w:szCs w:val="22"/>
        </w:rPr>
        <w:t>Գծապատկեր 4. Կառավարության պարտքի մարումների գրաֆիկն ըստ գործիքակազմի 31.12.2020 թվականի դրությամբ (մլրդ դրամ)</w:t>
      </w:r>
    </w:p>
    <w:p w14:paraId="63FE411D" w14:textId="6330FF28" w:rsidR="00AD6087" w:rsidRPr="006435A5" w:rsidRDefault="00AD6087" w:rsidP="00AD6087">
      <w:pPr>
        <w:spacing w:line="276" w:lineRule="auto"/>
        <w:ind w:firstLine="0"/>
      </w:pPr>
      <w:r w:rsidRPr="006435A5">
        <w:rPr>
          <w:noProof/>
        </w:rPr>
        <w:drawing>
          <wp:inline distT="0" distB="0" distL="0" distR="0" wp14:anchorId="5FE37F7F" wp14:editId="24AEDBBF">
            <wp:extent cx="6513195" cy="305244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513195" cy="3052445"/>
                    </a:xfrm>
                    <a:prstGeom prst="rect">
                      <a:avLst/>
                    </a:prstGeom>
                    <a:noFill/>
                  </pic:spPr>
                </pic:pic>
              </a:graphicData>
            </a:graphic>
          </wp:inline>
        </w:drawing>
      </w:r>
    </w:p>
    <w:p w14:paraId="2C14E900" w14:textId="77777777" w:rsidR="00AD6087" w:rsidRPr="006435A5" w:rsidRDefault="00AD6087" w:rsidP="00AD6087">
      <w:pPr>
        <w:spacing w:before="120" w:line="276" w:lineRule="auto"/>
      </w:pPr>
      <w:r w:rsidRPr="006435A5">
        <w:t>Կառավարության պարտքի մարումների գրաֆիկն ըստ ներքին և արտաքին պարտքերի տարանջատման, այսինքն ըստ ռեզիդենտության, ունի հետևյալ տեսքը.</w:t>
      </w:r>
    </w:p>
    <w:p w14:paraId="393B7B51" w14:textId="77777777" w:rsidR="00AD6087" w:rsidRPr="006435A5" w:rsidRDefault="00AD6087" w:rsidP="00AD6087">
      <w:pPr>
        <w:pStyle w:val="aff2"/>
        <w:spacing w:line="276" w:lineRule="auto"/>
        <w:rPr>
          <w:sz w:val="22"/>
          <w:szCs w:val="22"/>
        </w:rPr>
      </w:pPr>
      <w:r w:rsidRPr="006435A5">
        <w:rPr>
          <w:sz w:val="22"/>
          <w:szCs w:val="22"/>
        </w:rPr>
        <w:t>Գծապատկեր 5. Կառավարության պարտքի մարումների գրաֆիկը 31.12.2020 թվականի դրությամբ</w:t>
      </w:r>
    </w:p>
    <w:p w14:paraId="39F6B5DB" w14:textId="629E1E50" w:rsidR="00AD6087" w:rsidRPr="006435A5" w:rsidRDefault="00AD6087" w:rsidP="00AD6087">
      <w:pPr>
        <w:spacing w:line="276" w:lineRule="auto"/>
        <w:ind w:firstLine="0"/>
        <w:rPr>
          <w:color w:val="FF0000"/>
        </w:rPr>
      </w:pPr>
      <w:r w:rsidRPr="006435A5">
        <w:rPr>
          <w:noProof/>
        </w:rPr>
        <w:drawing>
          <wp:inline distT="0" distB="0" distL="0" distR="0" wp14:anchorId="21DEE23B" wp14:editId="07299DF9">
            <wp:extent cx="6486525" cy="3328670"/>
            <wp:effectExtent l="0" t="0" r="28575" b="43180"/>
            <wp:docPr id="19" name="Char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8AB6DD2" w14:textId="77777777" w:rsidR="00AD6087" w:rsidRPr="006435A5" w:rsidRDefault="00AD6087" w:rsidP="00AD6087">
      <w:pPr>
        <w:spacing w:line="276" w:lineRule="auto"/>
        <w:rPr>
          <w:u w:val="single"/>
        </w:rPr>
      </w:pPr>
      <w:r w:rsidRPr="006435A5">
        <w:t>2020 թվականի տարեվերջին ձևավորված կառավարության արտաքին պարտքի մարում</w:t>
      </w:r>
      <w:r w:rsidRPr="006435A5">
        <w:softHyphen/>
        <w:t>ներն սփռված են մինչև 2054 թվականը, իսկ ներքին պարտքինը` մինչև 2050 թվականը:</w:t>
      </w:r>
    </w:p>
    <w:p w14:paraId="73A0F444" w14:textId="77777777" w:rsidR="00AD6087" w:rsidRPr="006435A5" w:rsidRDefault="00AD6087" w:rsidP="00AD6087">
      <w:pPr>
        <w:spacing w:line="276" w:lineRule="auto"/>
        <w:rPr>
          <w:u w:val="single"/>
        </w:rPr>
      </w:pPr>
      <w:r w:rsidRPr="006435A5">
        <w:t>Տոկոսադրույքի ռիսկ</w:t>
      </w:r>
    </w:p>
    <w:p w14:paraId="00C7D2E3" w14:textId="77777777" w:rsidR="00AD6087" w:rsidRPr="006435A5" w:rsidRDefault="00AD6087" w:rsidP="00AD6087">
      <w:pPr>
        <w:spacing w:line="276" w:lineRule="auto"/>
      </w:pPr>
      <w:r w:rsidRPr="006435A5">
        <w:t>Կառավարության պարտքի պորտֆելի տոկոսադրույքի ռիսկը գնահատվում է հիմնականում երեք ցուցանիշներով՝ ֆիքսված տոկոսադրույքով պարտքի կշիռն ընդամենը պարտքի մեջ,  առաջիկա տարում վերաֆիքսվող պարտքի կշիռն ընդամենը պարտքի մեջ և մինչև վերաֆիքսում միջին ժամկետը:</w:t>
      </w:r>
    </w:p>
    <w:p w14:paraId="0CF1FD73" w14:textId="77777777" w:rsidR="00AD6087" w:rsidRPr="006435A5" w:rsidRDefault="00AD6087" w:rsidP="00AD6087">
      <w:pPr>
        <w:spacing w:line="276" w:lineRule="auto"/>
      </w:pPr>
      <w:r w:rsidRPr="006435A5">
        <w:t xml:space="preserve">ՀՀ կառավարության պարտքի 80.4%-ը ֆիքսված տոկոսադրույքով է, ընդ որում արտաքին պարտքի 73.7%-ն է ֆիքսված տոկոսադրույքով, իսկ ներքին պարտքն՝ ամբողջությամբ: Այս պարագայում լողացող տոկոսադրույքով պարտքի տոկոսադրույքների աճը չի կարող հանգեցնել ծախսերի նշանակալի աճի: </w:t>
      </w:r>
    </w:p>
    <w:p w14:paraId="3A94D3FC" w14:textId="77777777" w:rsidR="00AD6087" w:rsidRPr="006435A5" w:rsidRDefault="00AD6087" w:rsidP="00AD6087">
      <w:pPr>
        <w:spacing w:line="276" w:lineRule="auto"/>
      </w:pPr>
      <w:r w:rsidRPr="006435A5">
        <w:t xml:space="preserve">Այնուամենայնիվ, ՀՀ կառավարության պարտքի 25.7%-ը ենթակա է վերաֆիքսման 2021 թվականին, ուստի այս ցուցանիշի գծով տոկոսադրույքի ռիսկը չափավոր է: </w:t>
      </w:r>
    </w:p>
    <w:p w14:paraId="7A953A28" w14:textId="77777777" w:rsidR="00AD6087" w:rsidRPr="006435A5" w:rsidRDefault="00AD6087" w:rsidP="00AD6087">
      <w:pPr>
        <w:spacing w:line="276" w:lineRule="auto"/>
      </w:pPr>
      <w:r w:rsidRPr="006435A5">
        <w:t>Մինչև վերաֆիքսում միջին ժամկետի ցուցանիշը 2020 թվականի վերջին կազմել է 7.1 տարի, որը կարելի է գնահատել որպես պարտքի պորտֆելի տոկոսադրույքի ռիսկի ցածր մակարդակ: Այս ցուցանիշն ավելի փոքր է, քան մինչև մարում միջին ժամկետի ցուցանիշը, քանի որ պարտքի 19.6%-ը լողացող տոկոսադրույքով է, որը ևս ենթակա է վերաֆիքսման 2021 թվականի ընթացքում:</w:t>
      </w:r>
    </w:p>
    <w:p w14:paraId="49E4FD54" w14:textId="77777777" w:rsidR="00AD6087" w:rsidRPr="006435A5" w:rsidRDefault="00AD6087" w:rsidP="00AD6087">
      <w:pPr>
        <w:spacing w:line="276" w:lineRule="auto"/>
      </w:pPr>
      <w:r w:rsidRPr="006435A5">
        <w:t>Արտաքին ֆինանսավորմամբ իրականացվող վարկային ծրագրերի գծով վերջին տարիներին արձանագրված կատարողականի դանդաղ տեմպերի և դրա հետևանքով վարկային միջոցների մասհանումների վերջնաժամկետների անընդհատ երկարաձգումների արդյունքում ստեղծվել է մի իրավիճակ, երբ որ ավարտվում են մի շարք վարկերի արտոնյալ ժամկետները, սակայն վարկային միջոցներն ամբողջությամբ չեն մասհանվել, իսկ որոշ դեպքերում՝ մասհանումներ գրեթե չեն կատարվել: Նման վարքագծի պահպանումը  կարող է նպաստել պարտքի վերաֆինանսավորման և տոկոսադրույքի ռիսկերի ավելացմանը, քանի որ մյուս հավասար պայմաններում, եթե այդ վարկերի գծով մայր գումարի մարման վերջնաժամկետները մնան անփոփոխ և մասհանումները կատարվեն ավելի արագ տեմպերով, ապա զգալիորեն կկրճատվեն արտաքին վարկերի գծով մինչև մարումը և տոկոսադրույքի վերաֆիքսումը մնացած ժամկետները, ինչպես նաև կավելանան մեկ տարվա ընթացքում մարվող և վերաֆիքսվող պարտքի տեսակարար կշիռները:</w:t>
      </w:r>
    </w:p>
    <w:p w14:paraId="70D74F76" w14:textId="77777777" w:rsidR="00AD6087" w:rsidRPr="006435A5" w:rsidRDefault="00AD6087" w:rsidP="00AD6087">
      <w:pPr>
        <w:spacing w:line="276" w:lineRule="auto"/>
      </w:pPr>
      <w:r w:rsidRPr="006435A5">
        <w:t xml:space="preserve"> ՀՀ կառավարության պարտքի առկա պորտֆելի ծախսերի և ռիսկերի վերլուծությունը ցույց է տալիս, որ պարտքի առկա պորտֆելը ամենաշատը կրում է փոխարժեքի ռիսկի ազդեցությունը, ինչը հաստատվում է նաև ՀՀ կառավարության պարտքի պորտֆելի սույն ռազմավարության շրջանակներում կատարված զգայունության վերլուծություններով: </w:t>
      </w:r>
    </w:p>
    <w:p w14:paraId="0F105ACE" w14:textId="77777777" w:rsidR="00AD6087" w:rsidRPr="006435A5" w:rsidRDefault="00AD6087" w:rsidP="00AD6087">
      <w:pPr>
        <w:spacing w:line="276" w:lineRule="auto"/>
      </w:pPr>
      <w:bookmarkStart w:id="671" w:name="_Toc77434485"/>
      <w:r w:rsidRPr="00AD6087">
        <w:rPr>
          <w:b/>
          <w:color w:val="1F497D" w:themeColor="text2"/>
          <w:lang w:val="hy-AM"/>
        </w:rPr>
        <w:t>ՀՀ կառավարության պարտքի կառավարման 2022-2024 թվականների ռազմավարությունը</w:t>
      </w:r>
      <w:bookmarkEnd w:id="671"/>
    </w:p>
    <w:p w14:paraId="01784AE9" w14:textId="20F5DEC3" w:rsidR="00AD6087" w:rsidRPr="00BB2C3D" w:rsidRDefault="00BB2C3D" w:rsidP="00BB2C3D">
      <w:pPr>
        <w:spacing w:line="276" w:lineRule="auto"/>
        <w:rPr>
          <w:b/>
          <w:color w:val="1F497D" w:themeColor="text2"/>
        </w:rPr>
      </w:pPr>
      <w:bookmarkStart w:id="672" w:name="_Toc77434486"/>
      <w:r w:rsidRPr="00BB2C3D">
        <w:rPr>
          <w:b/>
          <w:color w:val="1F497D" w:themeColor="text2"/>
        </w:rPr>
        <w:t>ՄԱԿՐՈՏՆՏԵՍԱԿԱՆ ԵՆԹԱԴՐՈՒԹՅՈՒՆՆԵՐԸ և ՀԻՄՆԱԿԱՆ ՌԻՍԿԵՐԻ ԳՈՐԾՈՆՆԵՐԸ</w:t>
      </w:r>
      <w:bookmarkEnd w:id="672"/>
      <w:r w:rsidRPr="00BB2C3D">
        <w:rPr>
          <w:b/>
          <w:color w:val="1F497D" w:themeColor="text2"/>
        </w:rPr>
        <w:t xml:space="preserve"> </w:t>
      </w:r>
    </w:p>
    <w:p w14:paraId="7EDE775A" w14:textId="77777777" w:rsidR="00AD6087" w:rsidRPr="00AD6087" w:rsidRDefault="00AD6087" w:rsidP="00AD6087">
      <w:pPr>
        <w:spacing w:line="276" w:lineRule="auto"/>
        <w:rPr>
          <w:lang w:val="es-ES"/>
        </w:rPr>
      </w:pPr>
      <w:r w:rsidRPr="006435A5">
        <w:t>Միջնաժամկետում</w:t>
      </w:r>
      <w:r w:rsidRPr="00AD6087">
        <w:rPr>
          <w:lang w:val="es-ES"/>
        </w:rPr>
        <w:t xml:space="preserve"> </w:t>
      </w:r>
      <w:r w:rsidRPr="006435A5">
        <w:t>հարկաբյուջետային</w:t>
      </w:r>
      <w:r w:rsidRPr="00AD6087">
        <w:rPr>
          <w:lang w:val="es-ES"/>
        </w:rPr>
        <w:t xml:space="preserve"> </w:t>
      </w:r>
      <w:r w:rsidRPr="006435A5">
        <w:t>քաղաքականությունը</w:t>
      </w:r>
      <w:r w:rsidRPr="00AD6087">
        <w:rPr>
          <w:lang w:val="es-ES"/>
        </w:rPr>
        <w:t xml:space="preserve"> </w:t>
      </w:r>
      <w:r w:rsidRPr="006435A5">
        <w:t>միտված</w:t>
      </w:r>
      <w:r w:rsidRPr="00AD6087">
        <w:rPr>
          <w:lang w:val="es-ES"/>
        </w:rPr>
        <w:t xml:space="preserve"> </w:t>
      </w:r>
      <w:r w:rsidRPr="006435A5">
        <w:t>կլինի</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բեռի</w:t>
      </w:r>
      <w:r w:rsidRPr="00AD6087">
        <w:rPr>
          <w:lang w:val="es-ES"/>
        </w:rPr>
        <w:t xml:space="preserve"> </w:t>
      </w:r>
      <w:r w:rsidRPr="006435A5">
        <w:t>նվազեցմանը</w:t>
      </w:r>
      <w:r w:rsidRPr="00AD6087">
        <w:rPr>
          <w:lang w:val="es-ES"/>
        </w:rPr>
        <w:t xml:space="preserve"> </w:t>
      </w:r>
      <w:r w:rsidRPr="006435A5">
        <w:t>և</w:t>
      </w:r>
      <w:r w:rsidRPr="00AD6087">
        <w:rPr>
          <w:lang w:val="es-ES"/>
        </w:rPr>
        <w:t xml:space="preserve"> </w:t>
      </w:r>
      <w:r w:rsidRPr="006435A5">
        <w:t>երկարաժամկետ</w:t>
      </w:r>
      <w:r w:rsidRPr="00AD6087">
        <w:rPr>
          <w:lang w:val="es-ES"/>
        </w:rPr>
        <w:t xml:space="preserve"> </w:t>
      </w:r>
      <w:r w:rsidRPr="006435A5">
        <w:t>տնտեսական</w:t>
      </w:r>
      <w:r w:rsidRPr="00AD6087">
        <w:rPr>
          <w:lang w:val="es-ES"/>
        </w:rPr>
        <w:t xml:space="preserve"> </w:t>
      </w:r>
      <w:r w:rsidRPr="006435A5">
        <w:t>աճի</w:t>
      </w:r>
      <w:r w:rsidRPr="00AD6087">
        <w:rPr>
          <w:lang w:val="es-ES"/>
        </w:rPr>
        <w:t xml:space="preserve"> </w:t>
      </w:r>
      <w:r w:rsidRPr="006435A5">
        <w:t>խթանմանը</w:t>
      </w:r>
      <w:r w:rsidRPr="00AD6087">
        <w:rPr>
          <w:lang w:val="es-ES"/>
        </w:rPr>
        <w:t xml:space="preserve">: </w:t>
      </w:r>
      <w:r w:rsidRPr="006435A5">
        <w:t>Տնտեսության</w:t>
      </w:r>
      <w:r w:rsidRPr="00AD6087">
        <w:rPr>
          <w:lang w:val="es-ES"/>
        </w:rPr>
        <w:t xml:space="preserve"> </w:t>
      </w:r>
      <w:r w:rsidRPr="006435A5">
        <w:t>վերականգնմանը</w:t>
      </w:r>
      <w:r w:rsidRPr="00AD6087">
        <w:rPr>
          <w:lang w:val="es-ES"/>
        </w:rPr>
        <w:t xml:space="preserve"> </w:t>
      </w:r>
      <w:r w:rsidRPr="006435A5">
        <w:t>զուգահեռ</w:t>
      </w:r>
      <w:r w:rsidRPr="00AD6087">
        <w:rPr>
          <w:lang w:val="es-ES"/>
        </w:rPr>
        <w:t xml:space="preserve"> </w:t>
      </w:r>
      <w:r w:rsidRPr="006435A5">
        <w:t>նախատեսվում</w:t>
      </w:r>
      <w:r w:rsidRPr="00AD6087">
        <w:rPr>
          <w:lang w:val="es-ES"/>
        </w:rPr>
        <w:t xml:space="preserve"> </w:t>
      </w:r>
      <w:r w:rsidRPr="006435A5">
        <w:t>է</w:t>
      </w:r>
      <w:r w:rsidRPr="00AD6087">
        <w:rPr>
          <w:lang w:val="es-ES"/>
        </w:rPr>
        <w:t xml:space="preserve"> </w:t>
      </w:r>
      <w:r w:rsidRPr="006435A5">
        <w:t>սահուն</w:t>
      </w:r>
      <w:r w:rsidRPr="00AD6087">
        <w:rPr>
          <w:lang w:val="es-ES"/>
        </w:rPr>
        <w:t xml:space="preserve"> </w:t>
      </w:r>
      <w:r w:rsidRPr="006435A5">
        <w:t>կերպով</w:t>
      </w:r>
      <w:r w:rsidRPr="00AD6087">
        <w:rPr>
          <w:lang w:val="es-ES"/>
        </w:rPr>
        <w:t xml:space="preserve"> </w:t>
      </w:r>
      <w:r w:rsidRPr="006435A5">
        <w:t>նվազեցնել</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բեռը՝</w:t>
      </w:r>
      <w:r w:rsidRPr="00AD6087">
        <w:rPr>
          <w:lang w:val="es-ES"/>
        </w:rPr>
        <w:t xml:space="preserve"> </w:t>
      </w:r>
      <w:r w:rsidRPr="006435A5">
        <w:t>ապահովելով</w:t>
      </w:r>
      <w:r w:rsidRPr="00AD6087">
        <w:rPr>
          <w:lang w:val="es-ES"/>
        </w:rPr>
        <w:t xml:space="preserve"> </w:t>
      </w:r>
      <w:r w:rsidRPr="006435A5">
        <w:t>հարկաբյուջետային</w:t>
      </w:r>
      <w:r w:rsidRPr="00AD6087">
        <w:rPr>
          <w:lang w:val="es-ES"/>
        </w:rPr>
        <w:t xml:space="preserve"> </w:t>
      </w:r>
      <w:r w:rsidRPr="006435A5">
        <w:t>կանոններով</w:t>
      </w:r>
      <w:r w:rsidRPr="00AD6087">
        <w:rPr>
          <w:lang w:val="es-ES"/>
        </w:rPr>
        <w:t xml:space="preserve"> </w:t>
      </w:r>
      <w:r w:rsidRPr="006435A5">
        <w:t>սահմանված՝</w:t>
      </w:r>
      <w:r w:rsidRPr="00AD6087">
        <w:rPr>
          <w:lang w:val="es-ES"/>
        </w:rPr>
        <w:t xml:space="preserve"> </w:t>
      </w:r>
      <w:r w:rsidRPr="006435A5">
        <w:t>կառավարության</w:t>
      </w:r>
      <w:r w:rsidRPr="00AD6087">
        <w:rPr>
          <w:lang w:val="es-ES"/>
        </w:rPr>
        <w:t xml:space="preserve"> </w:t>
      </w:r>
      <w:r w:rsidRPr="006435A5">
        <w:t>պարտք</w:t>
      </w:r>
      <w:r w:rsidRPr="00AD6087">
        <w:rPr>
          <w:lang w:val="es-ES"/>
        </w:rPr>
        <w:t>/</w:t>
      </w:r>
      <w:r w:rsidRPr="006435A5">
        <w:t>ՀՆԱ</w:t>
      </w:r>
      <w:r w:rsidRPr="00AD6087">
        <w:rPr>
          <w:lang w:val="es-ES"/>
        </w:rPr>
        <w:t xml:space="preserve"> </w:t>
      </w:r>
      <w:r w:rsidRPr="006435A5">
        <w:t>հարաբերակցության</w:t>
      </w:r>
      <w:r w:rsidRPr="00AD6087">
        <w:rPr>
          <w:lang w:val="es-ES"/>
        </w:rPr>
        <w:t xml:space="preserve"> 60%-</w:t>
      </w:r>
      <w:r w:rsidRPr="006435A5">
        <w:t>ից</w:t>
      </w:r>
      <w:r w:rsidRPr="00AD6087">
        <w:rPr>
          <w:lang w:val="es-ES"/>
        </w:rPr>
        <w:t xml:space="preserve"> </w:t>
      </w:r>
      <w:r w:rsidRPr="006435A5">
        <w:t>նվազեցնելու</w:t>
      </w:r>
      <w:r w:rsidRPr="00AD6087">
        <w:rPr>
          <w:lang w:val="es-ES"/>
        </w:rPr>
        <w:t xml:space="preserve"> </w:t>
      </w:r>
      <w:r w:rsidRPr="006435A5">
        <w:t>թիրախի</w:t>
      </w:r>
      <w:r w:rsidRPr="00AD6087">
        <w:rPr>
          <w:lang w:val="es-ES"/>
        </w:rPr>
        <w:t xml:space="preserve"> </w:t>
      </w:r>
      <w:r w:rsidRPr="006435A5">
        <w:t>ապահովումը</w:t>
      </w:r>
      <w:r w:rsidRPr="00AD6087">
        <w:rPr>
          <w:lang w:val="es-ES"/>
        </w:rPr>
        <w:t xml:space="preserve">: </w:t>
      </w:r>
      <w:r w:rsidRPr="006435A5">
        <w:t>Հարկաբյուջետային</w:t>
      </w:r>
      <w:r w:rsidRPr="00AD6087">
        <w:rPr>
          <w:lang w:val="es-ES"/>
        </w:rPr>
        <w:t xml:space="preserve"> </w:t>
      </w:r>
      <w:r w:rsidRPr="006435A5">
        <w:t>կոնսոլիդացիային</w:t>
      </w:r>
      <w:r w:rsidRPr="00AD6087">
        <w:rPr>
          <w:lang w:val="es-ES"/>
        </w:rPr>
        <w:t xml:space="preserve"> </w:t>
      </w:r>
      <w:r w:rsidRPr="006435A5">
        <w:t>զուգահեռ</w:t>
      </w:r>
      <w:r w:rsidRPr="00AD6087">
        <w:rPr>
          <w:lang w:val="es-ES"/>
        </w:rPr>
        <w:t xml:space="preserve"> </w:t>
      </w:r>
      <w:r w:rsidRPr="006435A5">
        <w:t>վերադարձ</w:t>
      </w:r>
      <w:r w:rsidRPr="00AD6087">
        <w:rPr>
          <w:lang w:val="es-ES"/>
        </w:rPr>
        <w:t xml:space="preserve"> </w:t>
      </w:r>
      <w:r w:rsidRPr="006435A5">
        <w:t>կկատարվի</w:t>
      </w:r>
      <w:r w:rsidRPr="00AD6087">
        <w:rPr>
          <w:lang w:val="es-ES"/>
        </w:rPr>
        <w:t xml:space="preserve"> </w:t>
      </w:r>
      <w:r w:rsidRPr="006435A5">
        <w:t>հարկաբյուջետային</w:t>
      </w:r>
      <w:r w:rsidRPr="00AD6087">
        <w:rPr>
          <w:lang w:val="es-ES"/>
        </w:rPr>
        <w:t xml:space="preserve"> </w:t>
      </w:r>
      <w:r w:rsidRPr="006435A5">
        <w:t>կանոններով</w:t>
      </w:r>
      <w:r w:rsidRPr="00AD6087">
        <w:rPr>
          <w:lang w:val="es-ES"/>
        </w:rPr>
        <w:t xml:space="preserve"> </w:t>
      </w:r>
      <w:r w:rsidRPr="006435A5">
        <w:t>սահմանված</w:t>
      </w:r>
      <w:r w:rsidRPr="00AD6087">
        <w:rPr>
          <w:lang w:val="es-ES"/>
        </w:rPr>
        <w:t xml:space="preserve"> </w:t>
      </w:r>
      <w:r w:rsidRPr="006435A5">
        <w:t>պետական</w:t>
      </w:r>
      <w:r w:rsidRPr="00AD6087">
        <w:rPr>
          <w:lang w:val="es-ES"/>
        </w:rPr>
        <w:t xml:space="preserve"> </w:t>
      </w:r>
      <w:r w:rsidRPr="006435A5">
        <w:t>ֆինանսների</w:t>
      </w:r>
      <w:r w:rsidRPr="00AD6087">
        <w:rPr>
          <w:lang w:val="es-ES"/>
        </w:rPr>
        <w:t xml:space="preserve"> «</w:t>
      </w:r>
      <w:r w:rsidRPr="006435A5">
        <w:t>ոսկե</w:t>
      </w:r>
      <w:r w:rsidRPr="00AD6087">
        <w:rPr>
          <w:lang w:val="es-ES"/>
        </w:rPr>
        <w:t xml:space="preserve"> </w:t>
      </w:r>
      <w:r w:rsidRPr="006435A5">
        <w:t>կանոնների</w:t>
      </w:r>
      <w:r w:rsidRPr="00AD6087">
        <w:rPr>
          <w:lang w:val="es-ES"/>
        </w:rPr>
        <w:t xml:space="preserve">» </w:t>
      </w:r>
      <w:r w:rsidRPr="006435A5">
        <w:t>տրամաբանությանը՝</w:t>
      </w:r>
      <w:r w:rsidRPr="00AD6087">
        <w:rPr>
          <w:lang w:val="es-ES"/>
        </w:rPr>
        <w:t xml:space="preserve"> </w:t>
      </w:r>
      <w:r w:rsidRPr="006435A5">
        <w:t>կայուն</w:t>
      </w:r>
      <w:r w:rsidRPr="00AD6087">
        <w:rPr>
          <w:lang w:val="es-ES"/>
        </w:rPr>
        <w:t xml:space="preserve"> </w:t>
      </w:r>
      <w:r w:rsidRPr="006435A5">
        <w:t>հիմքեր</w:t>
      </w:r>
      <w:r w:rsidRPr="00AD6087">
        <w:rPr>
          <w:lang w:val="es-ES"/>
        </w:rPr>
        <w:t xml:space="preserve"> </w:t>
      </w:r>
      <w:r w:rsidRPr="006435A5">
        <w:t>ստեղծելով</w:t>
      </w:r>
      <w:r w:rsidRPr="00AD6087">
        <w:rPr>
          <w:lang w:val="es-ES"/>
        </w:rPr>
        <w:t xml:space="preserve"> </w:t>
      </w:r>
      <w:r w:rsidRPr="006435A5">
        <w:t>երկարաժամկետ</w:t>
      </w:r>
      <w:r w:rsidRPr="00AD6087">
        <w:rPr>
          <w:lang w:val="es-ES"/>
        </w:rPr>
        <w:t xml:space="preserve"> </w:t>
      </w:r>
      <w:r w:rsidRPr="006435A5">
        <w:t>տնտեսական</w:t>
      </w:r>
      <w:r w:rsidRPr="00AD6087">
        <w:rPr>
          <w:lang w:val="es-ES"/>
        </w:rPr>
        <w:t xml:space="preserve"> </w:t>
      </w:r>
      <w:r w:rsidRPr="006435A5">
        <w:t>աճի</w:t>
      </w:r>
      <w:r w:rsidRPr="00AD6087">
        <w:rPr>
          <w:lang w:val="es-ES"/>
        </w:rPr>
        <w:t xml:space="preserve"> </w:t>
      </w:r>
      <w:r w:rsidRPr="006435A5">
        <w:t>ապահովման</w:t>
      </w:r>
      <w:r w:rsidRPr="00AD6087">
        <w:rPr>
          <w:lang w:val="es-ES"/>
        </w:rPr>
        <w:t xml:space="preserve"> </w:t>
      </w:r>
      <w:r w:rsidRPr="006435A5">
        <w:t>համար</w:t>
      </w:r>
      <w:r w:rsidRPr="00AD6087">
        <w:rPr>
          <w:lang w:val="es-ES"/>
        </w:rPr>
        <w:t xml:space="preserve"> </w:t>
      </w:r>
      <w:r w:rsidRPr="006435A5">
        <w:t>և</w:t>
      </w:r>
      <w:r w:rsidRPr="00AD6087">
        <w:rPr>
          <w:lang w:val="es-ES"/>
        </w:rPr>
        <w:t xml:space="preserve"> </w:t>
      </w:r>
      <w:r w:rsidRPr="006435A5">
        <w:t>ապահովելով</w:t>
      </w:r>
      <w:r w:rsidRPr="00AD6087">
        <w:rPr>
          <w:lang w:val="es-ES"/>
        </w:rPr>
        <w:t xml:space="preserve"> </w:t>
      </w:r>
      <w:r w:rsidRPr="006435A5">
        <w:t>բյուջեի</w:t>
      </w:r>
      <w:r w:rsidRPr="00AD6087">
        <w:rPr>
          <w:lang w:val="es-ES"/>
        </w:rPr>
        <w:t xml:space="preserve"> </w:t>
      </w:r>
      <w:r w:rsidRPr="006435A5">
        <w:t>ծախսերի</w:t>
      </w:r>
      <w:r w:rsidRPr="00AD6087">
        <w:rPr>
          <w:lang w:val="es-ES"/>
        </w:rPr>
        <w:t xml:space="preserve"> </w:t>
      </w:r>
      <w:r w:rsidRPr="006435A5">
        <w:t>կառուցվածքի</w:t>
      </w:r>
      <w:r w:rsidRPr="00AD6087">
        <w:rPr>
          <w:lang w:val="es-ES"/>
        </w:rPr>
        <w:t xml:space="preserve"> </w:t>
      </w:r>
      <w:r w:rsidRPr="006435A5">
        <w:t>բարելավումը</w:t>
      </w:r>
      <w:r w:rsidRPr="00AD6087">
        <w:rPr>
          <w:lang w:val="es-ES"/>
        </w:rPr>
        <w:t xml:space="preserve">: </w:t>
      </w:r>
    </w:p>
    <w:p w14:paraId="3795A611" w14:textId="77777777" w:rsidR="00AD6087" w:rsidRPr="00AD6087" w:rsidRDefault="00AD6087" w:rsidP="00AD6087">
      <w:pPr>
        <w:spacing w:line="276" w:lineRule="auto"/>
        <w:rPr>
          <w:lang w:val="es-ES"/>
        </w:rPr>
      </w:pPr>
      <w:r w:rsidRPr="006435A5">
        <w:t>Մակրոտնտեսական</w:t>
      </w:r>
      <w:r w:rsidRPr="00AD6087">
        <w:rPr>
          <w:lang w:val="es-ES"/>
        </w:rPr>
        <w:t xml:space="preserve"> </w:t>
      </w:r>
      <w:r w:rsidRPr="006435A5">
        <w:t>կանխատեսումներն</w:t>
      </w:r>
      <w:r w:rsidRPr="00AD6087">
        <w:rPr>
          <w:lang w:val="es-ES"/>
        </w:rPr>
        <w:t xml:space="preserve"> </w:t>
      </w:r>
      <w:r w:rsidRPr="006435A5">
        <w:t>ու</w:t>
      </w:r>
      <w:r w:rsidRPr="00AD6087">
        <w:rPr>
          <w:lang w:val="es-ES"/>
        </w:rPr>
        <w:t xml:space="preserve"> </w:t>
      </w:r>
      <w:r w:rsidRPr="006435A5">
        <w:t>ենթադրությունները</w:t>
      </w:r>
      <w:r w:rsidRPr="00AD6087">
        <w:rPr>
          <w:lang w:val="es-ES"/>
        </w:rPr>
        <w:t xml:space="preserve"> </w:t>
      </w:r>
      <w:r w:rsidRPr="006435A5">
        <w:t>հակիրճ</w:t>
      </w:r>
      <w:r w:rsidRPr="00AD6087">
        <w:rPr>
          <w:lang w:val="es-ES"/>
        </w:rPr>
        <w:t xml:space="preserve"> </w:t>
      </w:r>
      <w:r w:rsidRPr="006435A5">
        <w:t>ամփոփված</w:t>
      </w:r>
      <w:r w:rsidRPr="00AD6087">
        <w:rPr>
          <w:lang w:val="es-ES"/>
        </w:rPr>
        <w:t xml:space="preserve"> </w:t>
      </w:r>
      <w:r w:rsidRPr="006435A5">
        <w:t>են</w:t>
      </w:r>
      <w:r w:rsidRPr="00AD6087">
        <w:rPr>
          <w:lang w:val="es-ES"/>
        </w:rPr>
        <w:t xml:space="preserve"> </w:t>
      </w:r>
      <w:r w:rsidRPr="006435A5">
        <w:t>հետևյալ</w:t>
      </w:r>
      <w:r w:rsidRPr="00AD6087">
        <w:rPr>
          <w:lang w:val="es-ES"/>
        </w:rPr>
        <w:t xml:space="preserve"> </w:t>
      </w:r>
      <w:r w:rsidRPr="006435A5">
        <w:t>կետերում</w:t>
      </w:r>
      <w:r w:rsidRPr="00AD6087">
        <w:rPr>
          <w:lang w:val="es-ES"/>
        </w:rPr>
        <w:t>.</w:t>
      </w:r>
    </w:p>
    <w:p w14:paraId="0310AEA0" w14:textId="77777777" w:rsidR="00AD6087" w:rsidRPr="006435A5" w:rsidRDefault="00AD6087" w:rsidP="00AD6087">
      <w:pPr>
        <w:pStyle w:val="ListParagraph1"/>
        <w:numPr>
          <w:ilvl w:val="0"/>
          <w:numId w:val="45"/>
        </w:numPr>
        <w:spacing w:before="0" w:after="0" w:line="276" w:lineRule="auto"/>
        <w:rPr>
          <w:rFonts w:ascii="GHEA Grapalat" w:hAnsi="GHEA Grapalat" w:cs="Sylfaen"/>
          <w:color w:val="FF0000"/>
          <w:sz w:val="22"/>
          <w:szCs w:val="22"/>
          <w:lang w:val="es-ES"/>
        </w:rPr>
      </w:pPr>
      <w:r w:rsidRPr="006435A5">
        <w:rPr>
          <w:rFonts w:ascii="GHEA Grapalat" w:hAnsi="GHEA Grapalat" w:cs="Times New Roman"/>
          <w:sz w:val="22"/>
          <w:szCs w:val="22"/>
        </w:rPr>
        <w:t>Ներկայումս</w:t>
      </w:r>
      <w:r w:rsidRPr="006435A5">
        <w:rPr>
          <w:rFonts w:ascii="GHEA Grapalat" w:hAnsi="GHEA Grapalat"/>
          <w:sz w:val="22"/>
          <w:szCs w:val="22"/>
        </w:rPr>
        <w:t xml:space="preserve"> </w:t>
      </w:r>
      <w:r w:rsidRPr="006435A5">
        <w:rPr>
          <w:rFonts w:ascii="GHEA Grapalat" w:hAnsi="GHEA Grapalat" w:cs="Times New Roman"/>
          <w:sz w:val="22"/>
          <w:szCs w:val="22"/>
        </w:rPr>
        <w:t>աշխարհը</w:t>
      </w:r>
      <w:r w:rsidRPr="006435A5">
        <w:rPr>
          <w:rFonts w:ascii="GHEA Grapalat" w:hAnsi="GHEA Grapalat"/>
          <w:sz w:val="22"/>
          <w:szCs w:val="22"/>
        </w:rPr>
        <w:t xml:space="preserve"> </w:t>
      </w:r>
      <w:r w:rsidRPr="006435A5">
        <w:rPr>
          <w:rFonts w:ascii="GHEA Grapalat" w:hAnsi="GHEA Grapalat" w:cs="Times New Roman"/>
          <w:sz w:val="22"/>
          <w:szCs w:val="22"/>
        </w:rPr>
        <w:t>դեռևս</w:t>
      </w:r>
      <w:r w:rsidRPr="006435A5">
        <w:rPr>
          <w:rFonts w:ascii="GHEA Grapalat" w:hAnsi="GHEA Grapalat"/>
          <w:sz w:val="22"/>
          <w:szCs w:val="22"/>
        </w:rPr>
        <w:t xml:space="preserve"> </w:t>
      </w:r>
      <w:r w:rsidRPr="006435A5">
        <w:rPr>
          <w:rFonts w:ascii="GHEA Grapalat" w:hAnsi="GHEA Grapalat" w:cs="Times New Roman"/>
          <w:sz w:val="22"/>
          <w:szCs w:val="22"/>
        </w:rPr>
        <w:t>շարունակում</w:t>
      </w:r>
      <w:r w:rsidRPr="006435A5">
        <w:rPr>
          <w:rFonts w:ascii="GHEA Grapalat" w:hAnsi="GHEA Grapalat"/>
          <w:sz w:val="22"/>
          <w:szCs w:val="22"/>
        </w:rPr>
        <w:t xml:space="preserve"> </w:t>
      </w:r>
      <w:r w:rsidRPr="006435A5">
        <w:rPr>
          <w:rFonts w:ascii="GHEA Grapalat" w:hAnsi="GHEA Grapalat" w:cs="Times New Roman"/>
          <w:sz w:val="22"/>
          <w:szCs w:val="22"/>
        </w:rPr>
        <w:t>է</w:t>
      </w:r>
      <w:r w:rsidRPr="006435A5">
        <w:rPr>
          <w:rFonts w:ascii="GHEA Grapalat" w:hAnsi="GHEA Grapalat"/>
          <w:sz w:val="22"/>
          <w:szCs w:val="22"/>
        </w:rPr>
        <w:t xml:space="preserve"> </w:t>
      </w:r>
      <w:r w:rsidRPr="006435A5">
        <w:rPr>
          <w:rFonts w:ascii="GHEA Grapalat" w:hAnsi="GHEA Grapalat" w:cs="Times New Roman"/>
          <w:sz w:val="22"/>
          <w:szCs w:val="22"/>
        </w:rPr>
        <w:t>կրել</w:t>
      </w:r>
      <w:r w:rsidRPr="006435A5">
        <w:rPr>
          <w:rFonts w:ascii="GHEA Grapalat" w:hAnsi="GHEA Grapalat"/>
          <w:sz w:val="22"/>
          <w:szCs w:val="22"/>
        </w:rPr>
        <w:t xml:space="preserve"> </w:t>
      </w:r>
      <w:r w:rsidRPr="006435A5">
        <w:rPr>
          <w:rFonts w:ascii="GHEA Grapalat" w:hAnsi="GHEA Grapalat" w:cs="Times New Roman"/>
          <w:sz w:val="22"/>
          <w:szCs w:val="22"/>
        </w:rPr>
        <w:t>համավարակի</w:t>
      </w:r>
      <w:r w:rsidRPr="006435A5">
        <w:rPr>
          <w:rFonts w:ascii="GHEA Grapalat" w:hAnsi="GHEA Grapalat"/>
          <w:sz w:val="22"/>
          <w:szCs w:val="22"/>
        </w:rPr>
        <w:t xml:space="preserve"> </w:t>
      </w:r>
      <w:r w:rsidRPr="006435A5">
        <w:rPr>
          <w:rFonts w:ascii="GHEA Grapalat" w:hAnsi="GHEA Grapalat" w:cs="Times New Roman"/>
          <w:sz w:val="22"/>
          <w:szCs w:val="22"/>
        </w:rPr>
        <w:t>հետևանքները</w:t>
      </w:r>
      <w:r w:rsidRPr="006435A5">
        <w:rPr>
          <w:rFonts w:ascii="GHEA Grapalat" w:hAnsi="GHEA Grapalat"/>
          <w:sz w:val="22"/>
          <w:szCs w:val="22"/>
          <w:lang w:val="es-ES"/>
        </w:rPr>
        <w:t>,</w:t>
      </w:r>
      <w:r w:rsidRPr="006435A5">
        <w:rPr>
          <w:rFonts w:ascii="GHEA Grapalat" w:hAnsi="GHEA Grapalat"/>
          <w:sz w:val="22"/>
          <w:szCs w:val="22"/>
        </w:rPr>
        <w:t xml:space="preserve"> </w:t>
      </w:r>
      <w:r w:rsidRPr="006435A5">
        <w:rPr>
          <w:rFonts w:ascii="GHEA Grapalat" w:hAnsi="GHEA Grapalat" w:cs="Times New Roman"/>
          <w:sz w:val="22"/>
          <w:szCs w:val="22"/>
        </w:rPr>
        <w:t>սակայն</w:t>
      </w:r>
      <w:r w:rsidRPr="006435A5">
        <w:rPr>
          <w:rFonts w:ascii="GHEA Grapalat" w:hAnsi="GHEA Grapalat"/>
          <w:sz w:val="22"/>
          <w:szCs w:val="22"/>
          <w:lang w:val="es-ES"/>
        </w:rPr>
        <w:t xml:space="preserve"> </w:t>
      </w:r>
      <w:r w:rsidRPr="006435A5">
        <w:rPr>
          <w:rFonts w:ascii="GHEA Grapalat" w:hAnsi="GHEA Grapalat" w:cs="Times New Roman"/>
          <w:noProof/>
          <w:sz w:val="22"/>
          <w:szCs w:val="22"/>
        </w:rPr>
        <w:t>բացասական</w:t>
      </w:r>
      <w:r w:rsidRPr="006435A5">
        <w:rPr>
          <w:rFonts w:ascii="GHEA Grapalat" w:hAnsi="GHEA Grapalat"/>
          <w:noProof/>
          <w:sz w:val="22"/>
          <w:szCs w:val="22"/>
        </w:rPr>
        <w:t xml:space="preserve"> </w:t>
      </w:r>
      <w:r w:rsidRPr="006435A5">
        <w:rPr>
          <w:rFonts w:ascii="GHEA Grapalat" w:hAnsi="GHEA Grapalat" w:cs="Times New Roman"/>
          <w:noProof/>
          <w:sz w:val="22"/>
          <w:szCs w:val="22"/>
        </w:rPr>
        <w:t>ազդեցությունները</w:t>
      </w:r>
      <w:r w:rsidRPr="006435A5">
        <w:rPr>
          <w:rFonts w:ascii="GHEA Grapalat" w:hAnsi="GHEA Grapalat"/>
          <w:noProof/>
          <w:sz w:val="22"/>
          <w:szCs w:val="22"/>
        </w:rPr>
        <w:t xml:space="preserve"> </w:t>
      </w:r>
      <w:r w:rsidRPr="006435A5">
        <w:rPr>
          <w:rFonts w:ascii="GHEA Grapalat" w:hAnsi="GHEA Grapalat" w:cs="Times New Roman"/>
          <w:noProof/>
          <w:sz w:val="22"/>
          <w:szCs w:val="22"/>
        </w:rPr>
        <w:t>աստիճանաբար</w:t>
      </w:r>
      <w:r w:rsidRPr="006435A5">
        <w:rPr>
          <w:rFonts w:ascii="GHEA Grapalat" w:hAnsi="GHEA Grapalat"/>
          <w:noProof/>
          <w:sz w:val="22"/>
          <w:szCs w:val="22"/>
        </w:rPr>
        <w:t xml:space="preserve"> </w:t>
      </w:r>
      <w:r w:rsidRPr="006435A5">
        <w:rPr>
          <w:rFonts w:ascii="GHEA Grapalat" w:hAnsi="GHEA Grapalat" w:cs="Times New Roman"/>
          <w:noProof/>
          <w:sz w:val="22"/>
          <w:szCs w:val="22"/>
        </w:rPr>
        <w:t>թուլանում</w:t>
      </w:r>
      <w:r w:rsidRPr="006435A5">
        <w:rPr>
          <w:rFonts w:ascii="GHEA Grapalat" w:hAnsi="GHEA Grapalat"/>
          <w:noProof/>
          <w:sz w:val="22"/>
          <w:szCs w:val="22"/>
        </w:rPr>
        <w:t xml:space="preserve"> </w:t>
      </w:r>
      <w:r w:rsidRPr="006435A5">
        <w:rPr>
          <w:rFonts w:ascii="GHEA Grapalat" w:hAnsi="GHEA Grapalat" w:cs="Times New Roman"/>
          <w:noProof/>
          <w:sz w:val="22"/>
          <w:szCs w:val="22"/>
        </w:rPr>
        <w:t>են։</w:t>
      </w:r>
      <w:r w:rsidRPr="006435A5">
        <w:rPr>
          <w:rFonts w:ascii="GHEA Grapalat" w:hAnsi="GHEA Grapalat"/>
          <w:noProof/>
          <w:sz w:val="22"/>
          <w:szCs w:val="22"/>
          <w:lang w:val="es-ES"/>
        </w:rPr>
        <w:t xml:space="preserve"> </w:t>
      </w:r>
      <w:r w:rsidRPr="006435A5">
        <w:rPr>
          <w:rFonts w:ascii="GHEA Grapalat" w:hAnsi="GHEA Grapalat" w:cs="Times New Roman"/>
          <w:sz w:val="22"/>
          <w:szCs w:val="22"/>
        </w:rPr>
        <w:t>Հաշվի</w:t>
      </w:r>
      <w:r w:rsidRPr="006435A5">
        <w:rPr>
          <w:rFonts w:ascii="GHEA Grapalat" w:hAnsi="GHEA Grapalat"/>
          <w:sz w:val="22"/>
          <w:szCs w:val="22"/>
        </w:rPr>
        <w:t xml:space="preserve"> </w:t>
      </w:r>
      <w:r w:rsidRPr="006435A5">
        <w:rPr>
          <w:rFonts w:ascii="GHEA Grapalat" w:hAnsi="GHEA Grapalat" w:cs="Times New Roman"/>
          <w:sz w:val="22"/>
          <w:szCs w:val="22"/>
        </w:rPr>
        <w:t>առնելով</w:t>
      </w:r>
      <w:r w:rsidRPr="006435A5">
        <w:rPr>
          <w:rFonts w:ascii="GHEA Grapalat" w:hAnsi="GHEA Grapalat"/>
          <w:sz w:val="22"/>
          <w:szCs w:val="22"/>
        </w:rPr>
        <w:t xml:space="preserve"> </w:t>
      </w:r>
      <w:r w:rsidRPr="006435A5">
        <w:rPr>
          <w:rFonts w:ascii="GHEA Grapalat" w:hAnsi="GHEA Grapalat" w:cs="Times New Roman"/>
          <w:sz w:val="22"/>
          <w:szCs w:val="22"/>
        </w:rPr>
        <w:t>ընթացիկ</w:t>
      </w:r>
      <w:r w:rsidRPr="006435A5">
        <w:rPr>
          <w:rFonts w:ascii="GHEA Grapalat" w:hAnsi="GHEA Grapalat"/>
          <w:sz w:val="22"/>
          <w:szCs w:val="22"/>
        </w:rPr>
        <w:t xml:space="preserve"> </w:t>
      </w:r>
      <w:r w:rsidRPr="006435A5">
        <w:rPr>
          <w:rFonts w:ascii="GHEA Grapalat" w:hAnsi="GHEA Grapalat" w:cs="Times New Roman"/>
          <w:sz w:val="22"/>
          <w:szCs w:val="22"/>
        </w:rPr>
        <w:t>զարգացումները</w:t>
      </w:r>
      <w:r w:rsidRPr="006435A5">
        <w:rPr>
          <w:rFonts w:ascii="GHEA Grapalat" w:hAnsi="GHEA Grapalat"/>
          <w:sz w:val="22"/>
          <w:szCs w:val="22"/>
        </w:rPr>
        <w:t xml:space="preserve"> </w:t>
      </w:r>
      <w:r w:rsidRPr="006435A5">
        <w:rPr>
          <w:rFonts w:ascii="GHEA Grapalat" w:hAnsi="GHEA Grapalat" w:cs="Times New Roman"/>
          <w:sz w:val="22"/>
          <w:szCs w:val="22"/>
        </w:rPr>
        <w:t>և</w:t>
      </w:r>
      <w:r w:rsidRPr="006435A5">
        <w:rPr>
          <w:rFonts w:ascii="GHEA Grapalat" w:hAnsi="GHEA Grapalat"/>
          <w:sz w:val="22"/>
          <w:szCs w:val="22"/>
        </w:rPr>
        <w:t xml:space="preserve"> </w:t>
      </w:r>
      <w:r w:rsidRPr="006435A5">
        <w:rPr>
          <w:rFonts w:ascii="GHEA Grapalat" w:hAnsi="GHEA Grapalat" w:cs="Times New Roman"/>
          <w:sz w:val="22"/>
          <w:szCs w:val="22"/>
        </w:rPr>
        <w:t>տարվա</w:t>
      </w:r>
      <w:r w:rsidRPr="006435A5">
        <w:rPr>
          <w:rFonts w:ascii="GHEA Grapalat" w:hAnsi="GHEA Grapalat"/>
          <w:sz w:val="22"/>
          <w:szCs w:val="22"/>
        </w:rPr>
        <w:t xml:space="preserve"> </w:t>
      </w:r>
      <w:r w:rsidRPr="006435A5">
        <w:rPr>
          <w:rFonts w:ascii="GHEA Grapalat" w:hAnsi="GHEA Grapalat" w:cs="Times New Roman"/>
          <w:sz w:val="22"/>
          <w:szCs w:val="22"/>
        </w:rPr>
        <w:t>հաջորդ</w:t>
      </w:r>
      <w:r w:rsidRPr="006435A5">
        <w:rPr>
          <w:rFonts w:ascii="GHEA Grapalat" w:hAnsi="GHEA Grapalat"/>
          <w:sz w:val="22"/>
          <w:szCs w:val="22"/>
        </w:rPr>
        <w:t xml:space="preserve"> </w:t>
      </w:r>
      <w:r w:rsidRPr="006435A5">
        <w:rPr>
          <w:rFonts w:ascii="GHEA Grapalat" w:hAnsi="GHEA Grapalat" w:cs="Times New Roman"/>
          <w:sz w:val="22"/>
          <w:szCs w:val="22"/>
        </w:rPr>
        <w:t>ամիսներին</w:t>
      </w:r>
      <w:r w:rsidRPr="006435A5">
        <w:rPr>
          <w:rFonts w:ascii="GHEA Grapalat" w:hAnsi="GHEA Grapalat"/>
          <w:sz w:val="22"/>
          <w:szCs w:val="22"/>
        </w:rPr>
        <w:t xml:space="preserve"> </w:t>
      </w:r>
      <w:r w:rsidRPr="006435A5">
        <w:rPr>
          <w:rFonts w:ascii="GHEA Grapalat" w:hAnsi="GHEA Grapalat" w:cs="Times New Roman"/>
          <w:sz w:val="22"/>
          <w:szCs w:val="22"/>
        </w:rPr>
        <w:t>տնտեսական</w:t>
      </w:r>
      <w:r w:rsidRPr="006435A5">
        <w:rPr>
          <w:rFonts w:ascii="GHEA Grapalat" w:hAnsi="GHEA Grapalat"/>
          <w:sz w:val="22"/>
          <w:szCs w:val="22"/>
        </w:rPr>
        <w:t xml:space="preserve"> </w:t>
      </w:r>
      <w:r w:rsidRPr="006435A5">
        <w:rPr>
          <w:rFonts w:ascii="GHEA Grapalat" w:hAnsi="GHEA Grapalat" w:cs="Times New Roman"/>
          <w:sz w:val="22"/>
          <w:szCs w:val="22"/>
        </w:rPr>
        <w:t>ակտիվության</w:t>
      </w:r>
      <w:r w:rsidRPr="006435A5">
        <w:rPr>
          <w:rFonts w:ascii="GHEA Grapalat" w:hAnsi="GHEA Grapalat"/>
          <w:sz w:val="22"/>
          <w:szCs w:val="22"/>
        </w:rPr>
        <w:t xml:space="preserve"> </w:t>
      </w:r>
      <w:r w:rsidRPr="006435A5">
        <w:rPr>
          <w:rFonts w:ascii="GHEA Grapalat" w:hAnsi="GHEA Grapalat" w:cs="Times New Roman"/>
          <w:sz w:val="22"/>
          <w:szCs w:val="22"/>
        </w:rPr>
        <w:t>աճի</w:t>
      </w:r>
      <w:r w:rsidRPr="006435A5">
        <w:rPr>
          <w:rFonts w:ascii="GHEA Grapalat" w:hAnsi="GHEA Grapalat"/>
          <w:sz w:val="22"/>
          <w:szCs w:val="22"/>
        </w:rPr>
        <w:t xml:space="preserve"> </w:t>
      </w:r>
      <w:r w:rsidRPr="006435A5">
        <w:rPr>
          <w:rFonts w:ascii="GHEA Grapalat" w:hAnsi="GHEA Grapalat" w:cs="Times New Roman"/>
          <w:sz w:val="22"/>
          <w:szCs w:val="22"/>
        </w:rPr>
        <w:t>ամրապնդման</w:t>
      </w:r>
      <w:r w:rsidRPr="006435A5">
        <w:rPr>
          <w:rFonts w:ascii="GHEA Grapalat" w:hAnsi="GHEA Grapalat"/>
          <w:sz w:val="22"/>
          <w:szCs w:val="22"/>
        </w:rPr>
        <w:t xml:space="preserve"> </w:t>
      </w:r>
      <w:r w:rsidRPr="006435A5">
        <w:rPr>
          <w:rFonts w:ascii="GHEA Grapalat" w:hAnsi="GHEA Grapalat" w:cs="Times New Roman"/>
          <w:sz w:val="22"/>
          <w:szCs w:val="22"/>
        </w:rPr>
        <w:t>սպասումները՝</w:t>
      </w:r>
      <w:r w:rsidRPr="006435A5">
        <w:rPr>
          <w:rFonts w:ascii="GHEA Grapalat" w:hAnsi="GHEA Grapalat"/>
          <w:sz w:val="22"/>
          <w:szCs w:val="22"/>
        </w:rPr>
        <w:t xml:space="preserve"> </w:t>
      </w:r>
      <w:r w:rsidRPr="006435A5">
        <w:rPr>
          <w:rFonts w:ascii="GHEA Grapalat" w:hAnsi="GHEA Grapalat" w:cs="Times New Roman"/>
          <w:sz w:val="22"/>
          <w:szCs w:val="22"/>
        </w:rPr>
        <w:t>ԱՄՀ</w:t>
      </w:r>
      <w:r w:rsidRPr="006435A5">
        <w:rPr>
          <w:rFonts w:ascii="GHEA Grapalat" w:hAnsi="GHEA Grapalat"/>
          <w:sz w:val="22"/>
          <w:szCs w:val="22"/>
        </w:rPr>
        <w:t>-</w:t>
      </w:r>
      <w:r w:rsidRPr="006435A5">
        <w:rPr>
          <w:rFonts w:ascii="GHEA Grapalat" w:hAnsi="GHEA Grapalat" w:cs="Times New Roman"/>
          <w:sz w:val="22"/>
          <w:szCs w:val="22"/>
        </w:rPr>
        <w:t>ը</w:t>
      </w:r>
      <w:r w:rsidRPr="006435A5">
        <w:rPr>
          <w:rFonts w:ascii="GHEA Grapalat" w:hAnsi="GHEA Grapalat"/>
          <w:sz w:val="22"/>
          <w:szCs w:val="22"/>
        </w:rPr>
        <w:t xml:space="preserve"> 2021 </w:t>
      </w:r>
      <w:r w:rsidRPr="006435A5">
        <w:rPr>
          <w:rFonts w:ascii="GHEA Grapalat" w:hAnsi="GHEA Grapalat" w:cs="Times New Roman"/>
          <w:sz w:val="22"/>
          <w:szCs w:val="22"/>
        </w:rPr>
        <w:t>թվականի</w:t>
      </w:r>
      <w:r w:rsidRPr="006435A5">
        <w:rPr>
          <w:rFonts w:ascii="GHEA Grapalat" w:hAnsi="GHEA Grapalat"/>
          <w:sz w:val="22"/>
          <w:szCs w:val="22"/>
        </w:rPr>
        <w:t xml:space="preserve"> </w:t>
      </w:r>
      <w:r w:rsidRPr="006435A5">
        <w:rPr>
          <w:rFonts w:ascii="GHEA Grapalat" w:hAnsi="GHEA Grapalat" w:cs="Times New Roman"/>
          <w:sz w:val="22"/>
          <w:szCs w:val="22"/>
        </w:rPr>
        <w:t>համաշխարհային</w:t>
      </w:r>
      <w:r w:rsidRPr="006435A5">
        <w:rPr>
          <w:rFonts w:ascii="GHEA Grapalat" w:hAnsi="GHEA Grapalat"/>
          <w:sz w:val="22"/>
          <w:szCs w:val="22"/>
        </w:rPr>
        <w:t xml:space="preserve"> </w:t>
      </w:r>
      <w:r w:rsidRPr="006435A5">
        <w:rPr>
          <w:rFonts w:ascii="GHEA Grapalat" w:hAnsi="GHEA Grapalat" w:cs="Times New Roman"/>
          <w:sz w:val="22"/>
          <w:szCs w:val="22"/>
        </w:rPr>
        <w:t>տնտեսական</w:t>
      </w:r>
      <w:r w:rsidRPr="006435A5">
        <w:rPr>
          <w:rFonts w:ascii="GHEA Grapalat" w:hAnsi="GHEA Grapalat"/>
          <w:sz w:val="22"/>
          <w:szCs w:val="22"/>
        </w:rPr>
        <w:t xml:space="preserve"> </w:t>
      </w:r>
      <w:r w:rsidRPr="006435A5">
        <w:rPr>
          <w:rFonts w:ascii="GHEA Grapalat" w:hAnsi="GHEA Grapalat" w:cs="Times New Roman"/>
          <w:sz w:val="22"/>
          <w:szCs w:val="22"/>
        </w:rPr>
        <w:t>աճի</w:t>
      </w:r>
      <w:r w:rsidRPr="006435A5">
        <w:rPr>
          <w:rFonts w:ascii="GHEA Grapalat" w:hAnsi="GHEA Grapalat"/>
          <w:sz w:val="22"/>
          <w:szCs w:val="22"/>
        </w:rPr>
        <w:t xml:space="preserve"> </w:t>
      </w:r>
      <w:r w:rsidRPr="006435A5">
        <w:rPr>
          <w:rFonts w:ascii="GHEA Grapalat" w:hAnsi="GHEA Grapalat" w:cs="Times New Roman"/>
          <w:sz w:val="22"/>
          <w:szCs w:val="22"/>
        </w:rPr>
        <w:t>կանխատեսումը</w:t>
      </w:r>
      <w:r w:rsidRPr="006435A5">
        <w:rPr>
          <w:rFonts w:ascii="GHEA Grapalat" w:hAnsi="GHEA Grapalat"/>
          <w:sz w:val="22"/>
          <w:szCs w:val="22"/>
        </w:rPr>
        <w:t xml:space="preserve"> </w:t>
      </w:r>
      <w:r w:rsidRPr="006435A5">
        <w:rPr>
          <w:rFonts w:ascii="GHEA Grapalat" w:hAnsi="GHEA Grapalat" w:cs="Times New Roman"/>
          <w:sz w:val="22"/>
          <w:szCs w:val="22"/>
        </w:rPr>
        <w:t>վերանայել</w:t>
      </w:r>
      <w:r w:rsidRPr="006435A5">
        <w:rPr>
          <w:rFonts w:ascii="GHEA Grapalat" w:hAnsi="GHEA Grapalat"/>
          <w:sz w:val="22"/>
          <w:szCs w:val="22"/>
        </w:rPr>
        <w:t xml:space="preserve"> </w:t>
      </w:r>
      <w:r w:rsidRPr="006435A5">
        <w:rPr>
          <w:rFonts w:ascii="GHEA Grapalat" w:hAnsi="GHEA Grapalat" w:cs="Times New Roman"/>
          <w:sz w:val="22"/>
          <w:szCs w:val="22"/>
        </w:rPr>
        <w:t>է</w:t>
      </w:r>
      <w:r w:rsidRPr="006435A5">
        <w:rPr>
          <w:rFonts w:ascii="GHEA Grapalat" w:hAnsi="GHEA Grapalat"/>
          <w:sz w:val="22"/>
          <w:szCs w:val="22"/>
        </w:rPr>
        <w:t xml:space="preserve"> </w:t>
      </w:r>
      <w:r w:rsidRPr="006435A5">
        <w:rPr>
          <w:rFonts w:ascii="GHEA Grapalat" w:hAnsi="GHEA Grapalat" w:cs="Times New Roman"/>
          <w:sz w:val="22"/>
          <w:szCs w:val="22"/>
        </w:rPr>
        <w:t>դեպի</w:t>
      </w:r>
      <w:r w:rsidRPr="006435A5">
        <w:rPr>
          <w:rFonts w:ascii="GHEA Grapalat" w:hAnsi="GHEA Grapalat"/>
          <w:sz w:val="22"/>
          <w:szCs w:val="22"/>
        </w:rPr>
        <w:t xml:space="preserve"> </w:t>
      </w:r>
      <w:r w:rsidRPr="006435A5">
        <w:rPr>
          <w:rFonts w:ascii="GHEA Grapalat" w:hAnsi="GHEA Grapalat" w:cs="Times New Roman"/>
          <w:sz w:val="22"/>
          <w:szCs w:val="22"/>
        </w:rPr>
        <w:t>վերև՝</w:t>
      </w:r>
      <w:r w:rsidRPr="006435A5">
        <w:rPr>
          <w:rFonts w:ascii="GHEA Grapalat" w:hAnsi="GHEA Grapalat"/>
          <w:sz w:val="22"/>
          <w:szCs w:val="22"/>
        </w:rPr>
        <w:t xml:space="preserve"> 6</w:t>
      </w:r>
      <w:r w:rsidRPr="006435A5">
        <w:rPr>
          <w:rFonts w:ascii="GHEA Grapalat" w:hAnsi="GHEA Grapalat"/>
          <w:sz w:val="22"/>
          <w:szCs w:val="22"/>
          <w:lang w:val="es-ES"/>
        </w:rPr>
        <w:t>%</w:t>
      </w:r>
      <w:r w:rsidRPr="006435A5">
        <w:rPr>
          <w:rFonts w:ascii="GHEA Grapalat" w:hAnsi="GHEA Grapalat"/>
          <w:sz w:val="22"/>
          <w:szCs w:val="22"/>
        </w:rPr>
        <w:t xml:space="preserve"> </w:t>
      </w:r>
      <w:r w:rsidRPr="006435A5">
        <w:rPr>
          <w:rFonts w:ascii="GHEA Grapalat" w:hAnsi="GHEA Grapalat" w:cs="Times New Roman"/>
          <w:sz w:val="22"/>
          <w:szCs w:val="22"/>
        </w:rPr>
        <w:t>շրջանակներում։</w:t>
      </w:r>
      <w:r w:rsidRPr="006435A5">
        <w:rPr>
          <w:rFonts w:ascii="GHEA Grapalat" w:hAnsi="GHEA Grapalat"/>
          <w:sz w:val="22"/>
          <w:szCs w:val="22"/>
        </w:rPr>
        <w:t xml:space="preserve"> </w:t>
      </w:r>
      <w:r w:rsidRPr="006435A5">
        <w:rPr>
          <w:rFonts w:ascii="GHEA Grapalat" w:hAnsi="GHEA Grapalat" w:cs="Times New Roman"/>
          <w:sz w:val="22"/>
          <w:szCs w:val="22"/>
        </w:rPr>
        <w:t>ԱՄՀ</w:t>
      </w:r>
      <w:r w:rsidRPr="006435A5">
        <w:rPr>
          <w:rFonts w:ascii="GHEA Grapalat" w:hAnsi="GHEA Grapalat"/>
          <w:sz w:val="22"/>
          <w:szCs w:val="22"/>
        </w:rPr>
        <w:t>-</w:t>
      </w:r>
      <w:r w:rsidRPr="006435A5">
        <w:rPr>
          <w:rFonts w:ascii="GHEA Grapalat" w:hAnsi="GHEA Grapalat" w:cs="Times New Roman"/>
          <w:sz w:val="22"/>
          <w:szCs w:val="22"/>
        </w:rPr>
        <w:t>ի</w:t>
      </w:r>
      <w:r w:rsidRPr="006435A5">
        <w:rPr>
          <w:rFonts w:ascii="GHEA Grapalat" w:hAnsi="GHEA Grapalat"/>
          <w:sz w:val="22"/>
          <w:szCs w:val="22"/>
        </w:rPr>
        <w:t xml:space="preserve"> </w:t>
      </w:r>
      <w:r w:rsidRPr="006435A5">
        <w:rPr>
          <w:rFonts w:ascii="GHEA Grapalat" w:hAnsi="GHEA Grapalat" w:cs="Times New Roman"/>
          <w:sz w:val="22"/>
          <w:szCs w:val="22"/>
        </w:rPr>
        <w:t>ապրիլյան</w:t>
      </w:r>
      <w:r w:rsidRPr="006435A5">
        <w:rPr>
          <w:rFonts w:ascii="GHEA Grapalat" w:hAnsi="GHEA Grapalat"/>
          <w:sz w:val="22"/>
          <w:szCs w:val="22"/>
        </w:rPr>
        <w:t xml:space="preserve"> </w:t>
      </w:r>
      <w:r w:rsidRPr="006435A5">
        <w:rPr>
          <w:rFonts w:ascii="GHEA Grapalat" w:hAnsi="GHEA Grapalat" w:cs="Times New Roman"/>
          <w:sz w:val="22"/>
          <w:szCs w:val="22"/>
        </w:rPr>
        <w:t>կանխատեսումներով</w:t>
      </w:r>
      <w:r w:rsidRPr="006435A5">
        <w:rPr>
          <w:rFonts w:ascii="GHEA Grapalat" w:hAnsi="GHEA Grapalat"/>
          <w:sz w:val="22"/>
          <w:szCs w:val="22"/>
        </w:rPr>
        <w:t xml:space="preserve"> </w:t>
      </w:r>
      <w:r w:rsidRPr="006435A5">
        <w:rPr>
          <w:rFonts w:ascii="GHEA Grapalat" w:hAnsi="GHEA Grapalat" w:cs="Times New Roman"/>
          <w:sz w:val="22"/>
          <w:szCs w:val="22"/>
        </w:rPr>
        <w:t>ՀՀ</w:t>
      </w:r>
      <w:r w:rsidRPr="006435A5">
        <w:rPr>
          <w:rFonts w:ascii="GHEA Grapalat" w:hAnsi="GHEA Grapalat"/>
          <w:sz w:val="22"/>
          <w:szCs w:val="22"/>
        </w:rPr>
        <w:t xml:space="preserve"> </w:t>
      </w:r>
      <w:r w:rsidRPr="006435A5">
        <w:rPr>
          <w:rFonts w:ascii="GHEA Grapalat" w:hAnsi="GHEA Grapalat" w:cs="Times New Roman"/>
          <w:sz w:val="22"/>
          <w:szCs w:val="22"/>
        </w:rPr>
        <w:t>գործընկեր</w:t>
      </w:r>
      <w:r w:rsidRPr="006435A5">
        <w:rPr>
          <w:rFonts w:ascii="GHEA Grapalat" w:hAnsi="GHEA Grapalat"/>
          <w:sz w:val="22"/>
          <w:szCs w:val="22"/>
        </w:rPr>
        <w:t xml:space="preserve"> </w:t>
      </w:r>
      <w:r w:rsidRPr="006435A5">
        <w:rPr>
          <w:rFonts w:ascii="GHEA Grapalat" w:hAnsi="GHEA Grapalat" w:cs="Times New Roman"/>
          <w:sz w:val="22"/>
          <w:szCs w:val="22"/>
        </w:rPr>
        <w:t>երկրների</w:t>
      </w:r>
      <w:r w:rsidRPr="006435A5">
        <w:rPr>
          <w:rFonts w:ascii="GHEA Grapalat" w:hAnsi="GHEA Grapalat"/>
          <w:sz w:val="22"/>
          <w:szCs w:val="22"/>
        </w:rPr>
        <w:t xml:space="preserve"> </w:t>
      </w:r>
      <w:r w:rsidRPr="006435A5">
        <w:rPr>
          <w:rFonts w:ascii="GHEA Grapalat" w:hAnsi="GHEA Grapalat" w:cs="Times New Roman"/>
          <w:sz w:val="22"/>
          <w:szCs w:val="22"/>
        </w:rPr>
        <w:t>տնտեսությունների</w:t>
      </w:r>
      <w:r w:rsidRPr="006435A5">
        <w:rPr>
          <w:rFonts w:ascii="GHEA Grapalat" w:hAnsi="GHEA Grapalat"/>
          <w:sz w:val="22"/>
          <w:szCs w:val="22"/>
        </w:rPr>
        <w:t xml:space="preserve"> </w:t>
      </w:r>
      <w:r w:rsidRPr="006435A5">
        <w:rPr>
          <w:rFonts w:ascii="GHEA Grapalat" w:hAnsi="GHEA Grapalat" w:cs="Times New Roman"/>
          <w:sz w:val="22"/>
          <w:szCs w:val="22"/>
        </w:rPr>
        <w:t>համար</w:t>
      </w:r>
      <w:r w:rsidRPr="006435A5">
        <w:rPr>
          <w:rFonts w:ascii="GHEA Grapalat" w:hAnsi="GHEA Grapalat"/>
          <w:sz w:val="22"/>
          <w:szCs w:val="22"/>
        </w:rPr>
        <w:t xml:space="preserve"> </w:t>
      </w:r>
      <w:r w:rsidRPr="006435A5">
        <w:rPr>
          <w:rFonts w:ascii="GHEA Grapalat" w:hAnsi="GHEA Grapalat" w:cs="Times New Roman"/>
          <w:sz w:val="22"/>
          <w:szCs w:val="22"/>
        </w:rPr>
        <w:t>գնահատվել</w:t>
      </w:r>
      <w:r w:rsidRPr="006435A5">
        <w:rPr>
          <w:rFonts w:ascii="GHEA Grapalat" w:hAnsi="GHEA Grapalat"/>
          <w:sz w:val="22"/>
          <w:szCs w:val="22"/>
        </w:rPr>
        <w:t xml:space="preserve"> </w:t>
      </w:r>
      <w:r w:rsidRPr="006435A5">
        <w:rPr>
          <w:rFonts w:ascii="GHEA Grapalat" w:hAnsi="GHEA Grapalat" w:cs="Times New Roman"/>
          <w:sz w:val="22"/>
          <w:szCs w:val="22"/>
        </w:rPr>
        <w:t>է</w:t>
      </w:r>
      <w:r w:rsidRPr="006435A5">
        <w:rPr>
          <w:rFonts w:ascii="GHEA Grapalat" w:hAnsi="GHEA Grapalat"/>
          <w:sz w:val="22"/>
          <w:szCs w:val="22"/>
        </w:rPr>
        <w:t xml:space="preserve"> </w:t>
      </w:r>
      <w:r w:rsidRPr="006435A5">
        <w:rPr>
          <w:rFonts w:ascii="GHEA Grapalat" w:hAnsi="GHEA Grapalat" w:cs="Times New Roman"/>
          <w:sz w:val="22"/>
          <w:szCs w:val="22"/>
        </w:rPr>
        <w:t>իրենց</w:t>
      </w:r>
      <w:r w:rsidRPr="006435A5">
        <w:rPr>
          <w:rFonts w:ascii="GHEA Grapalat" w:hAnsi="GHEA Grapalat"/>
          <w:sz w:val="22"/>
          <w:szCs w:val="22"/>
        </w:rPr>
        <w:t xml:space="preserve"> </w:t>
      </w:r>
      <w:r w:rsidRPr="006435A5">
        <w:rPr>
          <w:rFonts w:ascii="GHEA Grapalat" w:hAnsi="GHEA Grapalat" w:cs="Times New Roman"/>
          <w:sz w:val="22"/>
          <w:szCs w:val="22"/>
        </w:rPr>
        <w:t>պոտենցիալ</w:t>
      </w:r>
      <w:r w:rsidRPr="006435A5">
        <w:rPr>
          <w:rFonts w:ascii="GHEA Grapalat" w:hAnsi="GHEA Grapalat"/>
          <w:sz w:val="22"/>
          <w:szCs w:val="22"/>
        </w:rPr>
        <w:t xml:space="preserve"> </w:t>
      </w:r>
      <w:r w:rsidRPr="006435A5">
        <w:rPr>
          <w:rFonts w:ascii="GHEA Grapalat" w:hAnsi="GHEA Grapalat" w:cs="Times New Roman"/>
          <w:sz w:val="22"/>
          <w:szCs w:val="22"/>
        </w:rPr>
        <w:t>աճերից</w:t>
      </w:r>
      <w:r w:rsidRPr="006435A5">
        <w:rPr>
          <w:rFonts w:ascii="GHEA Grapalat" w:hAnsi="GHEA Grapalat"/>
          <w:sz w:val="22"/>
          <w:szCs w:val="22"/>
        </w:rPr>
        <w:t xml:space="preserve"> </w:t>
      </w:r>
      <w:r w:rsidRPr="006435A5">
        <w:rPr>
          <w:rFonts w:ascii="GHEA Grapalat" w:hAnsi="GHEA Grapalat" w:cs="Times New Roman"/>
          <w:sz w:val="22"/>
          <w:szCs w:val="22"/>
        </w:rPr>
        <w:t>բարձր</w:t>
      </w:r>
      <w:r w:rsidRPr="006435A5">
        <w:rPr>
          <w:rFonts w:ascii="GHEA Grapalat" w:hAnsi="GHEA Grapalat"/>
          <w:sz w:val="22"/>
          <w:szCs w:val="22"/>
        </w:rPr>
        <w:t xml:space="preserve"> </w:t>
      </w:r>
      <w:r w:rsidRPr="006435A5">
        <w:rPr>
          <w:rFonts w:ascii="GHEA Grapalat" w:hAnsi="GHEA Grapalat" w:cs="Times New Roman"/>
          <w:sz w:val="22"/>
          <w:szCs w:val="22"/>
        </w:rPr>
        <w:t>տնտեսական</w:t>
      </w:r>
      <w:r w:rsidRPr="006435A5">
        <w:rPr>
          <w:rFonts w:ascii="GHEA Grapalat" w:hAnsi="GHEA Grapalat"/>
          <w:sz w:val="22"/>
          <w:szCs w:val="22"/>
        </w:rPr>
        <w:t xml:space="preserve"> </w:t>
      </w:r>
      <w:r w:rsidRPr="006435A5">
        <w:rPr>
          <w:rFonts w:ascii="GHEA Grapalat" w:hAnsi="GHEA Grapalat" w:cs="Times New Roman"/>
          <w:sz w:val="22"/>
          <w:szCs w:val="22"/>
        </w:rPr>
        <w:t>աճեր՝</w:t>
      </w:r>
      <w:r w:rsidRPr="006435A5">
        <w:rPr>
          <w:rFonts w:ascii="GHEA Grapalat" w:hAnsi="GHEA Grapalat"/>
          <w:sz w:val="22"/>
          <w:szCs w:val="22"/>
        </w:rPr>
        <w:t xml:space="preserve"> </w:t>
      </w:r>
      <w:r w:rsidRPr="006435A5">
        <w:rPr>
          <w:rFonts w:ascii="GHEA Grapalat" w:hAnsi="GHEA Grapalat" w:cs="Times New Roman"/>
          <w:sz w:val="22"/>
          <w:szCs w:val="22"/>
        </w:rPr>
        <w:t>նախանշելով</w:t>
      </w:r>
      <w:r w:rsidRPr="006435A5">
        <w:rPr>
          <w:rFonts w:ascii="GHEA Grapalat" w:hAnsi="GHEA Grapalat"/>
          <w:sz w:val="22"/>
          <w:szCs w:val="22"/>
        </w:rPr>
        <w:t xml:space="preserve"> </w:t>
      </w:r>
      <w:r w:rsidRPr="006435A5">
        <w:rPr>
          <w:rFonts w:ascii="GHEA Grapalat" w:hAnsi="GHEA Grapalat" w:cs="Times New Roman"/>
          <w:sz w:val="22"/>
          <w:szCs w:val="22"/>
        </w:rPr>
        <w:t>վերականգնման</w:t>
      </w:r>
      <w:r w:rsidRPr="006435A5">
        <w:rPr>
          <w:rFonts w:ascii="GHEA Grapalat" w:hAnsi="GHEA Grapalat"/>
          <w:sz w:val="22"/>
          <w:szCs w:val="22"/>
        </w:rPr>
        <w:t xml:space="preserve"> </w:t>
      </w:r>
      <w:r w:rsidRPr="006435A5">
        <w:rPr>
          <w:rFonts w:ascii="GHEA Grapalat" w:hAnsi="GHEA Grapalat" w:cs="Times New Roman"/>
          <w:sz w:val="22"/>
          <w:szCs w:val="22"/>
        </w:rPr>
        <w:t>գործընթացը</w:t>
      </w:r>
      <w:r w:rsidRPr="006435A5">
        <w:rPr>
          <w:rFonts w:ascii="GHEA Grapalat" w:hAnsi="GHEA Grapalat"/>
          <w:sz w:val="22"/>
          <w:szCs w:val="22"/>
        </w:rPr>
        <w:t xml:space="preserve">, </w:t>
      </w:r>
      <w:r w:rsidRPr="006435A5">
        <w:rPr>
          <w:rFonts w:ascii="GHEA Grapalat" w:hAnsi="GHEA Grapalat" w:cs="Times New Roman"/>
          <w:sz w:val="22"/>
          <w:szCs w:val="22"/>
        </w:rPr>
        <w:t>որը</w:t>
      </w:r>
      <w:r w:rsidRPr="006435A5">
        <w:rPr>
          <w:rFonts w:ascii="GHEA Grapalat" w:hAnsi="GHEA Grapalat"/>
          <w:sz w:val="22"/>
          <w:szCs w:val="22"/>
        </w:rPr>
        <w:t xml:space="preserve"> </w:t>
      </w:r>
      <w:r w:rsidRPr="006435A5">
        <w:rPr>
          <w:rFonts w:ascii="GHEA Grapalat" w:hAnsi="GHEA Grapalat" w:cs="Times New Roman"/>
          <w:sz w:val="22"/>
          <w:szCs w:val="22"/>
        </w:rPr>
        <w:t>էական</w:t>
      </w:r>
      <w:r w:rsidRPr="006435A5">
        <w:rPr>
          <w:rFonts w:ascii="GHEA Grapalat" w:hAnsi="GHEA Grapalat"/>
          <w:sz w:val="22"/>
          <w:szCs w:val="22"/>
        </w:rPr>
        <w:t xml:space="preserve"> </w:t>
      </w:r>
      <w:r w:rsidRPr="006435A5">
        <w:rPr>
          <w:rFonts w:ascii="GHEA Grapalat" w:hAnsi="GHEA Grapalat" w:cs="Times New Roman"/>
          <w:sz w:val="22"/>
          <w:szCs w:val="22"/>
        </w:rPr>
        <w:t>դրական</w:t>
      </w:r>
      <w:r w:rsidRPr="006435A5">
        <w:rPr>
          <w:rFonts w:ascii="GHEA Grapalat" w:hAnsi="GHEA Grapalat"/>
          <w:sz w:val="22"/>
          <w:szCs w:val="22"/>
        </w:rPr>
        <w:t xml:space="preserve"> </w:t>
      </w:r>
      <w:r w:rsidRPr="006435A5">
        <w:rPr>
          <w:rFonts w:ascii="GHEA Grapalat" w:hAnsi="GHEA Grapalat" w:cs="Times New Roman"/>
          <w:sz w:val="22"/>
          <w:szCs w:val="22"/>
        </w:rPr>
        <w:t>ազդեցություն</w:t>
      </w:r>
      <w:r w:rsidRPr="006435A5">
        <w:rPr>
          <w:rFonts w:ascii="GHEA Grapalat" w:hAnsi="GHEA Grapalat"/>
          <w:sz w:val="22"/>
          <w:szCs w:val="22"/>
        </w:rPr>
        <w:t xml:space="preserve"> </w:t>
      </w:r>
      <w:r w:rsidRPr="006435A5">
        <w:rPr>
          <w:rFonts w:ascii="GHEA Grapalat" w:hAnsi="GHEA Grapalat" w:cs="Times New Roman"/>
          <w:sz w:val="22"/>
          <w:szCs w:val="22"/>
        </w:rPr>
        <w:t>կունենա</w:t>
      </w:r>
      <w:r w:rsidRPr="006435A5">
        <w:rPr>
          <w:rFonts w:ascii="GHEA Grapalat" w:hAnsi="GHEA Grapalat"/>
          <w:sz w:val="22"/>
          <w:szCs w:val="22"/>
        </w:rPr>
        <w:t xml:space="preserve"> </w:t>
      </w:r>
      <w:r w:rsidRPr="006435A5">
        <w:rPr>
          <w:rFonts w:ascii="GHEA Grapalat" w:hAnsi="GHEA Grapalat" w:cs="Times New Roman"/>
          <w:sz w:val="22"/>
          <w:szCs w:val="22"/>
        </w:rPr>
        <w:t>ՀՀ</w:t>
      </w:r>
      <w:r w:rsidRPr="006435A5">
        <w:rPr>
          <w:rFonts w:ascii="GHEA Grapalat" w:hAnsi="GHEA Grapalat"/>
          <w:sz w:val="22"/>
          <w:szCs w:val="22"/>
        </w:rPr>
        <w:t xml:space="preserve"> </w:t>
      </w:r>
      <w:r w:rsidRPr="006435A5">
        <w:rPr>
          <w:rFonts w:ascii="GHEA Grapalat" w:hAnsi="GHEA Grapalat" w:cs="Times New Roman"/>
          <w:sz w:val="22"/>
          <w:szCs w:val="22"/>
        </w:rPr>
        <w:t>տնտեսական</w:t>
      </w:r>
      <w:r w:rsidRPr="006435A5">
        <w:rPr>
          <w:rFonts w:ascii="GHEA Grapalat" w:hAnsi="GHEA Grapalat"/>
          <w:sz w:val="22"/>
          <w:szCs w:val="22"/>
        </w:rPr>
        <w:t xml:space="preserve"> </w:t>
      </w:r>
      <w:r w:rsidRPr="006435A5">
        <w:rPr>
          <w:rFonts w:ascii="GHEA Grapalat" w:hAnsi="GHEA Grapalat" w:cs="Times New Roman"/>
          <w:sz w:val="22"/>
          <w:szCs w:val="22"/>
        </w:rPr>
        <w:t>ակտիվության</w:t>
      </w:r>
      <w:r w:rsidRPr="006435A5">
        <w:rPr>
          <w:rFonts w:ascii="GHEA Grapalat" w:hAnsi="GHEA Grapalat"/>
          <w:sz w:val="22"/>
          <w:szCs w:val="22"/>
        </w:rPr>
        <w:t xml:space="preserve"> </w:t>
      </w:r>
      <w:r w:rsidRPr="006435A5">
        <w:rPr>
          <w:rFonts w:ascii="GHEA Grapalat" w:hAnsi="GHEA Grapalat" w:cs="Times New Roman"/>
          <w:sz w:val="22"/>
          <w:szCs w:val="22"/>
        </w:rPr>
        <w:t>վրա։</w:t>
      </w:r>
      <w:r w:rsidRPr="006435A5">
        <w:rPr>
          <w:rFonts w:ascii="GHEA Grapalat" w:hAnsi="GHEA Grapalat" w:cs="Sylfaen"/>
          <w:color w:val="FF0000"/>
          <w:sz w:val="22"/>
          <w:szCs w:val="22"/>
          <w:lang w:val="es-ES"/>
        </w:rPr>
        <w:t xml:space="preserve">  </w:t>
      </w:r>
    </w:p>
    <w:p w14:paraId="3207D870" w14:textId="77777777" w:rsidR="00AD6087" w:rsidRPr="006435A5" w:rsidRDefault="00AD6087" w:rsidP="00AD6087">
      <w:pPr>
        <w:pStyle w:val="ListParagraph1"/>
        <w:numPr>
          <w:ilvl w:val="0"/>
          <w:numId w:val="45"/>
        </w:numPr>
        <w:spacing w:before="0" w:after="0" w:line="276" w:lineRule="auto"/>
        <w:rPr>
          <w:rFonts w:ascii="GHEA Grapalat" w:hAnsi="GHEA Grapalat"/>
          <w:color w:val="FF0000"/>
          <w:sz w:val="22"/>
          <w:szCs w:val="22"/>
          <w:lang w:val="es-ES"/>
        </w:rPr>
      </w:pPr>
      <w:r w:rsidRPr="006435A5">
        <w:rPr>
          <w:rFonts w:ascii="GHEA Grapalat" w:hAnsi="GHEA Grapalat" w:cs="Times New Roman"/>
          <w:sz w:val="22"/>
          <w:szCs w:val="22"/>
        </w:rPr>
        <w:t>Համավարակի և Արցախյան պատերազմի բացասական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ազդեցությունների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մեղմմանն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ու</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տնտեսության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վերականգնմանն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ուղղված</w:t>
      </w:r>
      <w:r w:rsidRPr="006435A5">
        <w:rPr>
          <w:rFonts w:ascii="GHEA Grapalat" w:hAnsi="GHEA Grapalat"/>
          <w:sz w:val="22"/>
          <w:szCs w:val="22"/>
          <w:lang w:val="es-ES"/>
        </w:rPr>
        <w:t xml:space="preserve"> </w:t>
      </w:r>
      <w:r w:rsidRPr="006435A5">
        <w:rPr>
          <w:rFonts w:ascii="GHEA Grapalat" w:hAnsi="GHEA Grapalat"/>
          <w:sz w:val="22"/>
          <w:szCs w:val="22"/>
        </w:rPr>
        <w:t xml:space="preserve">ՀՀ </w:t>
      </w:r>
      <w:r w:rsidRPr="006435A5">
        <w:rPr>
          <w:rFonts w:ascii="GHEA Grapalat" w:hAnsi="GHEA Grapalat" w:cs="Times New Roman"/>
          <w:sz w:val="22"/>
          <w:szCs w:val="22"/>
          <w:lang w:val="es-ES"/>
        </w:rPr>
        <w:t>կառավարության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կողմից</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իրականացված</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և</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իրականացվող</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հարկաբյուջետային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միջոցառումների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ինչպես</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նաև</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Համավարակի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համաշխարհային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ճգնաժամի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աստիճանական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հաղթահարման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պայմաններում՝</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բացասական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ազդեցությունների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աստիճանական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չեզոքացման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հետ</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մեկտեղ</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տնտեսական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աճը</w:t>
      </w:r>
      <w:r w:rsidRPr="006435A5">
        <w:rPr>
          <w:rFonts w:ascii="GHEA Grapalat" w:hAnsi="GHEA Grapalat"/>
          <w:sz w:val="22"/>
          <w:szCs w:val="22"/>
          <w:lang w:val="es-ES"/>
        </w:rPr>
        <w:t xml:space="preserve"> 2021</w:t>
      </w:r>
      <w:r w:rsidRPr="006435A5">
        <w:rPr>
          <w:rFonts w:ascii="GHEA Grapalat" w:hAnsi="GHEA Grapalat"/>
          <w:sz w:val="22"/>
          <w:szCs w:val="22"/>
        </w:rPr>
        <w:t xml:space="preserve"> </w:t>
      </w:r>
      <w:r w:rsidRPr="006435A5">
        <w:rPr>
          <w:rFonts w:ascii="GHEA Grapalat" w:hAnsi="GHEA Grapalat" w:cs="Times New Roman"/>
          <w:sz w:val="22"/>
          <w:szCs w:val="22"/>
          <w:lang w:val="es-ES"/>
        </w:rPr>
        <w:t>թ</w:t>
      </w:r>
      <w:r w:rsidRPr="006435A5">
        <w:rPr>
          <w:rFonts w:ascii="GHEA Grapalat" w:hAnsi="GHEA Grapalat" w:cs="Times New Roman"/>
          <w:sz w:val="22"/>
          <w:szCs w:val="22"/>
        </w:rPr>
        <w:t>վականին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կվերականգնվի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իսկ</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միջնաժամկետ</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հատվածում</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կմոտենա</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իր</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ներուժային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մակարդակին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Այս</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պայմաններում</w:t>
      </w:r>
      <w:r w:rsidRPr="006435A5">
        <w:rPr>
          <w:rFonts w:ascii="GHEA Grapalat" w:hAnsi="GHEA Grapalat"/>
          <w:sz w:val="22"/>
          <w:szCs w:val="22"/>
          <w:lang w:val="es-ES"/>
        </w:rPr>
        <w:t>, 2021</w:t>
      </w:r>
      <w:r w:rsidRPr="006435A5">
        <w:rPr>
          <w:rFonts w:ascii="GHEA Grapalat" w:hAnsi="GHEA Grapalat"/>
          <w:sz w:val="22"/>
          <w:szCs w:val="22"/>
        </w:rPr>
        <w:t xml:space="preserve"> </w:t>
      </w:r>
      <w:r w:rsidRPr="006435A5">
        <w:rPr>
          <w:rFonts w:ascii="GHEA Grapalat" w:hAnsi="GHEA Grapalat" w:cs="Times New Roman"/>
          <w:sz w:val="22"/>
          <w:szCs w:val="22"/>
          <w:lang w:val="es-ES"/>
        </w:rPr>
        <w:t>թ</w:t>
      </w:r>
      <w:r w:rsidRPr="006435A5">
        <w:rPr>
          <w:rFonts w:ascii="GHEA Grapalat" w:hAnsi="GHEA Grapalat" w:cs="Times New Roman"/>
          <w:sz w:val="22"/>
          <w:szCs w:val="22"/>
        </w:rPr>
        <w:t>վականին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կանխատեսվում</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է</w:t>
      </w:r>
      <w:r w:rsidRPr="006435A5">
        <w:rPr>
          <w:rFonts w:ascii="GHEA Grapalat" w:hAnsi="GHEA Grapalat"/>
          <w:sz w:val="22"/>
          <w:szCs w:val="22"/>
          <w:lang w:val="es-ES"/>
        </w:rPr>
        <w:t xml:space="preserve"> 6.0%, </w:t>
      </w:r>
      <w:r w:rsidRPr="006435A5">
        <w:rPr>
          <w:rFonts w:ascii="GHEA Grapalat" w:hAnsi="GHEA Grapalat" w:cs="Times New Roman"/>
          <w:sz w:val="22"/>
          <w:szCs w:val="22"/>
          <w:lang w:val="es-ES"/>
        </w:rPr>
        <w:t>իսկ</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միջնաժամկետում՝</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միջինում</w:t>
      </w:r>
      <w:r w:rsidRPr="006435A5">
        <w:rPr>
          <w:rFonts w:ascii="GHEA Grapalat" w:hAnsi="GHEA Grapalat"/>
          <w:sz w:val="22"/>
          <w:szCs w:val="22"/>
          <w:lang w:val="es-ES"/>
        </w:rPr>
        <w:t xml:space="preserve"> 4.3% </w:t>
      </w:r>
      <w:r w:rsidRPr="006435A5">
        <w:rPr>
          <w:rFonts w:ascii="GHEA Grapalat" w:hAnsi="GHEA Grapalat" w:cs="Times New Roman"/>
          <w:sz w:val="22"/>
          <w:szCs w:val="22"/>
        </w:rPr>
        <w:t>տնտեսական</w:t>
      </w:r>
      <w:r w:rsidRPr="006435A5">
        <w:rPr>
          <w:rFonts w:ascii="GHEA Grapalat" w:hAnsi="GHEA Grapalat"/>
          <w:sz w:val="22"/>
          <w:szCs w:val="22"/>
        </w:rPr>
        <w:t xml:space="preserve"> </w:t>
      </w:r>
      <w:r w:rsidRPr="006435A5">
        <w:rPr>
          <w:rFonts w:ascii="GHEA Grapalat" w:hAnsi="GHEA Grapalat" w:cs="Times New Roman"/>
          <w:sz w:val="22"/>
          <w:szCs w:val="22"/>
          <w:lang w:val="es-ES"/>
        </w:rPr>
        <w:t>աճ</w:t>
      </w:r>
      <w:r w:rsidRPr="006435A5">
        <w:rPr>
          <w:rFonts w:ascii="GHEA Grapalat" w:hAnsi="GHEA Grapalat"/>
          <w:sz w:val="22"/>
          <w:szCs w:val="22"/>
          <w:lang w:val="es-ES"/>
        </w:rPr>
        <w:t xml:space="preserve">: </w:t>
      </w:r>
      <w:r w:rsidRPr="006435A5">
        <w:rPr>
          <w:rFonts w:ascii="GHEA Grapalat" w:hAnsi="GHEA Grapalat"/>
          <w:sz w:val="22"/>
          <w:szCs w:val="22"/>
        </w:rPr>
        <w:t xml:space="preserve"> Սակայն, ՀՀ կառավարությունը մշակել է նաև թիրախային </w:t>
      </w:r>
      <w:r w:rsidRPr="006435A5">
        <w:rPr>
          <w:rFonts w:ascii="GHEA Grapalat" w:hAnsi="GHEA Grapalat"/>
          <w:sz w:val="22"/>
          <w:szCs w:val="22"/>
          <w:lang w:val="es-ES"/>
        </w:rPr>
        <w:t>(</w:t>
      </w:r>
      <w:r w:rsidRPr="006435A5">
        <w:rPr>
          <w:rFonts w:ascii="GHEA Grapalat" w:hAnsi="GHEA Grapalat"/>
          <w:sz w:val="22"/>
          <w:szCs w:val="22"/>
        </w:rPr>
        <w:t>բարձր</w:t>
      </w:r>
      <w:r w:rsidRPr="006435A5">
        <w:rPr>
          <w:rFonts w:ascii="GHEA Grapalat" w:hAnsi="GHEA Grapalat"/>
          <w:sz w:val="22"/>
          <w:szCs w:val="22"/>
          <w:lang w:val="es-ES"/>
        </w:rPr>
        <w:t>)</w:t>
      </w:r>
      <w:r w:rsidRPr="006435A5">
        <w:rPr>
          <w:rFonts w:ascii="GHEA Grapalat" w:hAnsi="GHEA Grapalat"/>
          <w:sz w:val="22"/>
          <w:szCs w:val="22"/>
        </w:rPr>
        <w:t xml:space="preserve"> տնտեսական աճի սցենար, որով </w:t>
      </w:r>
      <w:r w:rsidRPr="006435A5">
        <w:rPr>
          <w:rFonts w:ascii="GHEA Grapalat" w:hAnsi="GHEA Grapalat"/>
          <w:sz w:val="22"/>
          <w:szCs w:val="22"/>
          <w:lang w:val="es-ES"/>
        </w:rPr>
        <w:t>2022-</w:t>
      </w:r>
      <w:r w:rsidRPr="006435A5">
        <w:rPr>
          <w:rFonts w:ascii="GHEA Grapalat" w:hAnsi="GHEA Grapalat"/>
          <w:sz w:val="22"/>
          <w:szCs w:val="22"/>
        </w:rPr>
        <w:t>20</w:t>
      </w:r>
      <w:r w:rsidRPr="006435A5">
        <w:rPr>
          <w:rFonts w:ascii="GHEA Grapalat" w:hAnsi="GHEA Grapalat"/>
          <w:sz w:val="22"/>
          <w:szCs w:val="22"/>
          <w:lang w:val="es-ES"/>
        </w:rPr>
        <w:t xml:space="preserve">26 </w:t>
      </w:r>
      <w:r w:rsidRPr="006435A5">
        <w:rPr>
          <w:rFonts w:ascii="GHEA Grapalat" w:hAnsi="GHEA Grapalat"/>
          <w:sz w:val="22"/>
          <w:szCs w:val="22"/>
        </w:rPr>
        <w:t xml:space="preserve">թվականների </w:t>
      </w:r>
      <w:r w:rsidRPr="006435A5">
        <w:rPr>
          <w:rFonts w:ascii="GHEA Grapalat" w:hAnsi="GHEA Grapalat" w:cs="GHEA Grapalat"/>
          <w:sz w:val="22"/>
          <w:szCs w:val="22"/>
        </w:rPr>
        <w:t>համար</w:t>
      </w:r>
      <w:r w:rsidRPr="006435A5">
        <w:rPr>
          <w:rFonts w:ascii="GHEA Grapalat" w:hAnsi="GHEA Grapalat"/>
          <w:sz w:val="22"/>
          <w:szCs w:val="22"/>
        </w:rPr>
        <w:t xml:space="preserve"> նախանշում է միջինում 7</w:t>
      </w:r>
      <w:r w:rsidRPr="006435A5">
        <w:rPr>
          <w:rFonts w:ascii="GHEA Grapalat" w:hAnsi="GHEA Grapalat"/>
          <w:sz w:val="22"/>
          <w:szCs w:val="22"/>
          <w:lang w:val="es-ES"/>
        </w:rPr>
        <w:t xml:space="preserve">% </w:t>
      </w:r>
      <w:r w:rsidRPr="006435A5">
        <w:rPr>
          <w:rFonts w:ascii="GHEA Grapalat" w:hAnsi="GHEA Grapalat"/>
          <w:sz w:val="22"/>
          <w:szCs w:val="22"/>
        </w:rPr>
        <w:t xml:space="preserve">տնտեսական աճ՝ </w:t>
      </w:r>
      <w:r w:rsidRPr="006435A5">
        <w:rPr>
          <w:rFonts w:ascii="GHEA Grapalat" w:hAnsi="GHEA Grapalat" w:cs="Times New Roman"/>
          <w:sz w:val="22"/>
          <w:szCs w:val="22"/>
        </w:rPr>
        <w:t>զուգորդվող</w:t>
      </w:r>
      <w:r w:rsidRPr="006435A5">
        <w:rPr>
          <w:rFonts w:ascii="GHEA Grapalat" w:hAnsi="GHEA Grapalat"/>
          <w:sz w:val="22"/>
          <w:szCs w:val="22"/>
        </w:rPr>
        <w:t xml:space="preserve"> տնտեսության կայուն առաջընթացով և մրցունակության բարձրացմամբ</w:t>
      </w:r>
      <w:r w:rsidRPr="006435A5">
        <w:rPr>
          <w:rStyle w:val="FootnoteReference"/>
          <w:rFonts w:ascii="GHEA Grapalat" w:hAnsi="GHEA Grapalat"/>
          <w:sz w:val="22"/>
          <w:szCs w:val="22"/>
        </w:rPr>
        <w:footnoteReference w:id="33"/>
      </w:r>
      <w:r w:rsidRPr="006435A5">
        <w:rPr>
          <w:rFonts w:ascii="GHEA Grapalat" w:hAnsi="GHEA Grapalat"/>
          <w:sz w:val="22"/>
          <w:szCs w:val="22"/>
        </w:rPr>
        <w:t>:</w:t>
      </w:r>
    </w:p>
    <w:p w14:paraId="72070FE3" w14:textId="77777777" w:rsidR="00AD6087" w:rsidRPr="006435A5" w:rsidRDefault="00AD6087" w:rsidP="00AD6087">
      <w:pPr>
        <w:pStyle w:val="ListParagraph1"/>
        <w:numPr>
          <w:ilvl w:val="0"/>
          <w:numId w:val="45"/>
        </w:numPr>
        <w:spacing w:before="0" w:after="0" w:line="276" w:lineRule="auto"/>
        <w:rPr>
          <w:rFonts w:ascii="GHEA Grapalat" w:eastAsia="Calibri" w:hAnsi="GHEA Grapalat"/>
          <w:sz w:val="22"/>
          <w:szCs w:val="22"/>
        </w:rPr>
      </w:pPr>
      <w:r w:rsidRPr="006435A5">
        <w:rPr>
          <w:rFonts w:ascii="GHEA Grapalat" w:eastAsia="Calibri" w:hAnsi="GHEA Grapalat" w:cs="Times New Roman"/>
          <w:sz w:val="22"/>
          <w:szCs w:val="22"/>
        </w:rPr>
        <w:t>Տնտեսական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ակտիվության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և</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ներքին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ու</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արտաքին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պահանջարկների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աստիճանական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վերականգնման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պայմաններում</w:t>
      </w:r>
      <w:r w:rsidRPr="006435A5">
        <w:rPr>
          <w:rFonts w:ascii="GHEA Grapalat" w:eastAsia="Calibri" w:hAnsi="GHEA Grapalat"/>
          <w:sz w:val="22"/>
          <w:szCs w:val="22"/>
        </w:rPr>
        <w:t xml:space="preserve"> 2021 </w:t>
      </w:r>
      <w:r w:rsidRPr="006435A5">
        <w:rPr>
          <w:rFonts w:ascii="GHEA Grapalat" w:eastAsia="Calibri" w:hAnsi="GHEA Grapalat" w:cs="Times New Roman"/>
          <w:sz w:val="22"/>
          <w:szCs w:val="22"/>
        </w:rPr>
        <w:t>թվականին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տեղի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կունենա</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արտահանման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և</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ներմուծման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դոլարային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ծավալների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աճ։</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Հիմնականում</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դրամական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փոխանցումների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արագ</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վերականգնմամբ</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պայմանավորված</w:t>
      </w:r>
      <w:r w:rsidRPr="006435A5">
        <w:rPr>
          <w:rFonts w:ascii="GHEA Grapalat" w:eastAsia="Calibri" w:hAnsi="GHEA Grapalat"/>
          <w:sz w:val="22"/>
          <w:szCs w:val="22"/>
        </w:rPr>
        <w:t xml:space="preserve"> 2021 </w:t>
      </w:r>
      <w:r w:rsidRPr="006435A5">
        <w:rPr>
          <w:rFonts w:ascii="GHEA Grapalat" w:eastAsia="Calibri" w:hAnsi="GHEA Grapalat" w:cs="Times New Roman"/>
          <w:sz w:val="22"/>
          <w:szCs w:val="22"/>
        </w:rPr>
        <w:t>թվականին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ընթացիկ</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հաշվի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պակասուրդը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կբարելավվի՝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մոտենալով</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ՀՆԱ</w:t>
      </w:r>
      <w:r w:rsidRPr="006435A5">
        <w:rPr>
          <w:rFonts w:ascii="GHEA Grapalat" w:eastAsia="Calibri" w:hAnsi="GHEA Grapalat"/>
          <w:sz w:val="22"/>
          <w:szCs w:val="22"/>
        </w:rPr>
        <w:t>-</w:t>
      </w:r>
      <w:r w:rsidRPr="006435A5">
        <w:rPr>
          <w:rFonts w:ascii="GHEA Grapalat" w:eastAsia="Calibri" w:hAnsi="GHEA Grapalat" w:cs="Times New Roman"/>
          <w:sz w:val="22"/>
          <w:szCs w:val="22"/>
        </w:rPr>
        <w:t>ի</w:t>
      </w:r>
      <w:r w:rsidRPr="006435A5">
        <w:rPr>
          <w:rFonts w:ascii="GHEA Grapalat" w:eastAsia="Calibri" w:hAnsi="GHEA Grapalat"/>
          <w:sz w:val="22"/>
          <w:szCs w:val="22"/>
        </w:rPr>
        <w:t xml:space="preserve"> 2.1% </w:t>
      </w:r>
      <w:r w:rsidRPr="006435A5">
        <w:rPr>
          <w:rFonts w:ascii="GHEA Grapalat" w:eastAsia="Calibri" w:hAnsi="GHEA Grapalat" w:cs="Times New Roman"/>
          <w:sz w:val="22"/>
          <w:szCs w:val="22"/>
        </w:rPr>
        <w:t>մակարդակի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Միջնաժամկետ</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հորիզոնում</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ընթացիկ</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հաշվի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պակասուրդը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կխորանա՝</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ձգտելով</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իր</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հավասարակշիռ</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մակարդակին</w:t>
      </w:r>
      <w:r w:rsidRPr="006435A5">
        <w:rPr>
          <w:rFonts w:ascii="GHEA Grapalat" w:eastAsia="Calibri" w:hAnsi="GHEA Grapalat"/>
          <w:sz w:val="22"/>
          <w:szCs w:val="22"/>
        </w:rPr>
        <w:t xml:space="preserve">: </w:t>
      </w:r>
    </w:p>
    <w:p w14:paraId="13F96816" w14:textId="77777777" w:rsidR="00AD6087" w:rsidRPr="006435A5" w:rsidRDefault="00AD6087" w:rsidP="00AD6087">
      <w:pPr>
        <w:pStyle w:val="ListParagraph1"/>
        <w:numPr>
          <w:ilvl w:val="0"/>
          <w:numId w:val="45"/>
        </w:numPr>
        <w:spacing w:before="0" w:after="0" w:line="276" w:lineRule="auto"/>
        <w:rPr>
          <w:rFonts w:ascii="GHEA Grapalat" w:eastAsia="Calibri" w:hAnsi="GHEA Grapalat" w:cs="Sylfaen"/>
          <w:sz w:val="22"/>
          <w:szCs w:val="22"/>
        </w:rPr>
      </w:pPr>
      <w:r w:rsidRPr="006435A5">
        <w:rPr>
          <w:rFonts w:ascii="GHEA Grapalat" w:eastAsia="Calibri" w:hAnsi="GHEA Grapalat"/>
          <w:sz w:val="22"/>
          <w:szCs w:val="22"/>
        </w:rPr>
        <w:t xml:space="preserve">2021 </w:t>
      </w:r>
      <w:r w:rsidRPr="006435A5">
        <w:rPr>
          <w:rFonts w:ascii="GHEA Grapalat" w:eastAsia="Calibri" w:hAnsi="GHEA Grapalat" w:cs="Times New Roman"/>
          <w:sz w:val="22"/>
          <w:szCs w:val="22"/>
        </w:rPr>
        <w:t>թվականին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ՀՀ</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Կառավարությունը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կիրականացնի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սահուն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հարկաբյուջետային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կոնսոլիդացիա՝</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նպատակ</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ունենալով</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չխաթարել</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տնտեսության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վերականգնումը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և</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ապահովել</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պարտքի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բեռի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նվազումը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իսկ</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միջնաժամկետում</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տնտեսության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վերականգնմանը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զուգահեռ</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հարկաբյուջետային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քաղաքականությունն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ուղղված</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կլինի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պարտքի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մակարդակի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նվազեցմանը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և</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կայունության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պահպանմանը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ինչպես</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նաև</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երկարաժամկետ</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տնտեսական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աճի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խթանմանը՝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շեշտադրվելով</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պետական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ներդրումների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մասնաբաժնի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մեծացումը</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և</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ծախսերի</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իրականացման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արդյունավետության</w:t>
      </w:r>
      <w:r w:rsidRPr="006435A5">
        <w:rPr>
          <w:rFonts w:ascii="GHEA Grapalat" w:eastAsia="Calibri" w:hAnsi="GHEA Grapalat"/>
          <w:sz w:val="22"/>
          <w:szCs w:val="22"/>
        </w:rPr>
        <w:t xml:space="preserve"> </w:t>
      </w:r>
      <w:r w:rsidRPr="006435A5">
        <w:rPr>
          <w:rFonts w:ascii="GHEA Grapalat" w:eastAsia="Calibri" w:hAnsi="GHEA Grapalat" w:cs="Times New Roman"/>
          <w:sz w:val="22"/>
          <w:szCs w:val="22"/>
        </w:rPr>
        <w:t>բարձրացումը</w:t>
      </w:r>
      <w:r w:rsidRPr="006435A5">
        <w:rPr>
          <w:rFonts w:ascii="GHEA Grapalat" w:hAnsi="GHEA Grapalat" w:cs="Times New Roman"/>
          <w:sz w:val="22"/>
          <w:szCs w:val="22"/>
          <w:lang w:val="es-ES"/>
        </w:rPr>
        <w:t>։</w:t>
      </w:r>
      <w:r w:rsidRPr="006435A5">
        <w:rPr>
          <w:rFonts w:ascii="GHEA Grapalat" w:hAnsi="GHEA Grapalat" w:cs="Sylfaen"/>
          <w:sz w:val="22"/>
          <w:szCs w:val="22"/>
          <w:lang w:val="es-ES"/>
        </w:rPr>
        <w:t xml:space="preserve"> </w:t>
      </w:r>
    </w:p>
    <w:p w14:paraId="621AC7C4" w14:textId="77777777" w:rsidR="00AD6087" w:rsidRPr="006435A5" w:rsidRDefault="00AD6087" w:rsidP="00AD6087">
      <w:pPr>
        <w:pStyle w:val="ListParagraph1"/>
        <w:numPr>
          <w:ilvl w:val="0"/>
          <w:numId w:val="45"/>
        </w:numPr>
        <w:spacing w:before="0" w:after="0" w:line="276" w:lineRule="auto"/>
        <w:rPr>
          <w:rFonts w:ascii="GHEA Grapalat" w:hAnsi="GHEA Grapalat"/>
          <w:color w:val="000000"/>
          <w:sz w:val="22"/>
          <w:szCs w:val="22"/>
          <w:lang w:val="es-ES"/>
        </w:rPr>
      </w:pPr>
      <w:r w:rsidRPr="006435A5">
        <w:rPr>
          <w:rFonts w:ascii="GHEA Grapalat" w:hAnsi="GHEA Grapalat" w:cs="Times New Roman"/>
          <w:sz w:val="22"/>
          <w:szCs w:val="22"/>
          <w:lang w:val="es-ES"/>
        </w:rPr>
        <w:t>Կարճաժամկետ</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հատվածում</w:t>
      </w:r>
      <w:r w:rsidRPr="006435A5">
        <w:rPr>
          <w:rFonts w:ascii="GHEA Grapalat" w:hAnsi="GHEA Grapalat"/>
          <w:sz w:val="22"/>
          <w:szCs w:val="22"/>
          <w:lang w:val="es-ES"/>
        </w:rPr>
        <w:t xml:space="preserve"> </w:t>
      </w:r>
      <w:r w:rsidRPr="006435A5">
        <w:rPr>
          <w:rFonts w:ascii="GHEA Grapalat" w:hAnsi="GHEA Grapalat" w:cs="Times New Roman"/>
          <w:sz w:val="22"/>
          <w:szCs w:val="22"/>
        </w:rPr>
        <w:t>ՀՀ</w:t>
      </w:r>
      <w:r w:rsidRPr="006435A5">
        <w:rPr>
          <w:rFonts w:ascii="GHEA Grapalat" w:hAnsi="GHEA Grapalat"/>
          <w:sz w:val="22"/>
          <w:szCs w:val="22"/>
        </w:rPr>
        <w:t xml:space="preserve"> </w:t>
      </w:r>
      <w:r w:rsidRPr="006435A5">
        <w:rPr>
          <w:rFonts w:ascii="GHEA Grapalat" w:hAnsi="GHEA Grapalat" w:cs="Times New Roman"/>
          <w:sz w:val="22"/>
          <w:szCs w:val="22"/>
          <w:lang w:val="es-ES"/>
        </w:rPr>
        <w:t>ԿԲ</w:t>
      </w:r>
      <w:r w:rsidRPr="006435A5">
        <w:rPr>
          <w:rFonts w:ascii="GHEA Grapalat" w:hAnsi="GHEA Grapalat"/>
          <w:sz w:val="22"/>
          <w:szCs w:val="22"/>
          <w:lang w:val="es-ES"/>
        </w:rPr>
        <w:t>-</w:t>
      </w:r>
      <w:r w:rsidRPr="006435A5">
        <w:rPr>
          <w:rFonts w:ascii="GHEA Grapalat" w:hAnsi="GHEA Grapalat" w:cs="Times New Roman"/>
          <w:sz w:val="22"/>
          <w:szCs w:val="22"/>
          <w:lang w:val="es-ES"/>
        </w:rPr>
        <w:t>ը</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կշարունակի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իրականացնել</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գնաճային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սպասումների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արագացման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ռիսկերի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չեզոքացմանն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ուղղված</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դրամավարկային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քաղաքականություն՝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միևնույն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ժամանակ</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ապահովելով</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հնարավորին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նպաստավոր</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պայմաններ</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ամբողջական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պահանջարկի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վերականգնման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համար</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իսկ</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միջնաժամկետ</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հատվածում</w:t>
      </w:r>
      <w:r w:rsidRPr="006435A5">
        <w:rPr>
          <w:rFonts w:ascii="GHEA Grapalat" w:hAnsi="GHEA Grapalat"/>
          <w:sz w:val="22"/>
          <w:szCs w:val="22"/>
        </w:rPr>
        <w:t>,</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գնաճի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նպատակային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ցուցանիշին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հասնելու</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նպատակով</w:t>
      </w:r>
      <w:r w:rsidRPr="006435A5">
        <w:rPr>
          <w:rFonts w:ascii="GHEA Grapalat" w:hAnsi="GHEA Grapalat"/>
          <w:sz w:val="22"/>
          <w:szCs w:val="22"/>
        </w:rPr>
        <w:t>,</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ցանկացած</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ռիսկերի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դրսևորման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պարագայում</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պատրաստ</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է</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համապատասխանորեն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արձագանքել</w:t>
      </w:r>
      <w:r w:rsidRPr="006435A5">
        <w:rPr>
          <w:rFonts w:ascii="GHEA Grapalat" w:hAnsi="GHEA Grapalat"/>
          <w:sz w:val="22"/>
          <w:szCs w:val="22"/>
          <w:lang w:val="es-ES"/>
        </w:rPr>
        <w:t>:</w:t>
      </w:r>
    </w:p>
    <w:p w14:paraId="386E97C0" w14:textId="77777777" w:rsidR="00AD6087" w:rsidRPr="006435A5" w:rsidRDefault="00AD6087" w:rsidP="00AD6087">
      <w:pPr>
        <w:pStyle w:val="ListParagraph1"/>
        <w:numPr>
          <w:ilvl w:val="0"/>
          <w:numId w:val="45"/>
        </w:numPr>
        <w:spacing w:before="0" w:after="0" w:line="276" w:lineRule="auto"/>
        <w:rPr>
          <w:rFonts w:ascii="GHEA Grapalat" w:hAnsi="GHEA Grapalat"/>
          <w:sz w:val="22"/>
          <w:szCs w:val="22"/>
          <w:lang w:val="es-ES"/>
        </w:rPr>
      </w:pPr>
      <w:r w:rsidRPr="006435A5">
        <w:rPr>
          <w:rFonts w:ascii="GHEA Grapalat" w:hAnsi="GHEA Grapalat" w:cs="Times New Roman"/>
          <w:sz w:val="22"/>
          <w:szCs w:val="22"/>
          <w:lang w:val="es-ES"/>
        </w:rPr>
        <w:t>Համաշխարհային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տնտեսության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զարգացման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ընթացքը</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մեծապես</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կախված</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է</w:t>
      </w:r>
      <w:r w:rsidRPr="006435A5">
        <w:rPr>
          <w:rFonts w:ascii="GHEA Grapalat" w:hAnsi="GHEA Grapalat"/>
          <w:sz w:val="22"/>
          <w:szCs w:val="22"/>
          <w:lang w:val="es-ES"/>
        </w:rPr>
        <w:t xml:space="preserve"> COVID-19 </w:t>
      </w:r>
      <w:r w:rsidRPr="006435A5">
        <w:rPr>
          <w:rFonts w:ascii="GHEA Grapalat" w:hAnsi="GHEA Grapalat" w:cs="Times New Roman"/>
          <w:sz w:val="22"/>
          <w:szCs w:val="22"/>
          <w:lang w:val="es-ES"/>
        </w:rPr>
        <w:t>համավարակի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հաղթահարմանն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ուղղված</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առողջապահական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միջոցառումներից</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աջակցության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փաթեթներից</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և</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պատվաստումների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ծրագրերից։</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Այս</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պայմաններում</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ինչպես</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աշխարհի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և</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ՀՀ</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գործընկերների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այնպես</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էլ</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ՀՀ</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տնտեսական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աճի</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կանխատեսումներում</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ռիսկերը</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գնահատվում</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են</w:t>
      </w:r>
      <w:r w:rsidRPr="006435A5">
        <w:rPr>
          <w:rFonts w:ascii="GHEA Grapalat" w:hAnsi="GHEA Grapalat"/>
          <w:sz w:val="22"/>
          <w:szCs w:val="22"/>
          <w:lang w:val="es-ES"/>
        </w:rPr>
        <w:t xml:space="preserve"> </w:t>
      </w:r>
      <w:r w:rsidRPr="006435A5">
        <w:rPr>
          <w:rFonts w:ascii="GHEA Grapalat" w:hAnsi="GHEA Grapalat" w:cs="Times New Roman"/>
          <w:sz w:val="22"/>
          <w:szCs w:val="22"/>
          <w:lang w:val="es-ES"/>
        </w:rPr>
        <w:t>հավասարակշռված։</w:t>
      </w:r>
    </w:p>
    <w:p w14:paraId="05C069A9" w14:textId="77777777" w:rsidR="00AD6087" w:rsidRPr="00AD6087" w:rsidRDefault="00AD6087" w:rsidP="00AD6087">
      <w:pPr>
        <w:spacing w:line="276" w:lineRule="auto"/>
        <w:rPr>
          <w:lang w:val="es-ES"/>
        </w:rPr>
      </w:pPr>
      <w:r w:rsidRPr="00AD6087">
        <w:rPr>
          <w:lang w:val="es-ES"/>
        </w:rPr>
        <w:t xml:space="preserve"> 2022-2024 </w:t>
      </w:r>
      <w:r w:rsidRPr="006435A5">
        <w:t>թվականների</w:t>
      </w:r>
      <w:r w:rsidRPr="00AD6087">
        <w:rPr>
          <w:lang w:val="es-ES"/>
        </w:rPr>
        <w:t xml:space="preserve"> </w:t>
      </w: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կառավարման</w:t>
      </w:r>
      <w:r w:rsidRPr="00AD6087">
        <w:rPr>
          <w:lang w:val="es-ES"/>
        </w:rPr>
        <w:t xml:space="preserve"> </w:t>
      </w:r>
      <w:r w:rsidRPr="006435A5">
        <w:t>ռազմավարության</w:t>
      </w:r>
      <w:r w:rsidRPr="00AD6087">
        <w:rPr>
          <w:lang w:val="es-ES"/>
        </w:rPr>
        <w:t xml:space="preserve"> </w:t>
      </w:r>
      <w:r w:rsidRPr="006435A5">
        <w:t>հիմքում</w:t>
      </w:r>
      <w:r w:rsidRPr="00AD6087">
        <w:rPr>
          <w:lang w:val="es-ES"/>
        </w:rPr>
        <w:t xml:space="preserve"> </w:t>
      </w:r>
      <w:r w:rsidRPr="006435A5">
        <w:t>ընկած</w:t>
      </w:r>
      <w:r w:rsidRPr="00AD6087">
        <w:rPr>
          <w:lang w:val="es-ES"/>
        </w:rPr>
        <w:t xml:space="preserve"> </w:t>
      </w:r>
      <w:r w:rsidRPr="006435A5">
        <w:t>հիմնական</w:t>
      </w:r>
      <w:r w:rsidRPr="00AD6087">
        <w:rPr>
          <w:lang w:val="es-ES"/>
        </w:rPr>
        <w:t xml:space="preserve"> </w:t>
      </w:r>
      <w:r w:rsidRPr="006435A5">
        <w:t>ցուցանիշներն</w:t>
      </w:r>
      <w:r w:rsidRPr="00AD6087">
        <w:rPr>
          <w:lang w:val="es-ES"/>
        </w:rPr>
        <w:t xml:space="preserve"> </w:t>
      </w:r>
      <w:r w:rsidRPr="006435A5">
        <w:t>արտացոլված</w:t>
      </w:r>
      <w:r w:rsidRPr="00AD6087">
        <w:rPr>
          <w:lang w:val="es-ES"/>
        </w:rPr>
        <w:t xml:space="preserve"> </w:t>
      </w:r>
      <w:r w:rsidRPr="006435A5">
        <w:t>են</w:t>
      </w:r>
      <w:r w:rsidRPr="00AD6087">
        <w:rPr>
          <w:lang w:val="es-ES"/>
        </w:rPr>
        <w:t xml:space="preserve"> </w:t>
      </w:r>
      <w:r w:rsidRPr="006435A5">
        <w:t>ստորև</w:t>
      </w:r>
      <w:r w:rsidRPr="00AD6087">
        <w:rPr>
          <w:lang w:val="es-ES"/>
        </w:rPr>
        <w:t xml:space="preserve"> </w:t>
      </w:r>
      <w:r w:rsidRPr="006435A5">
        <w:t>ներկայացվող</w:t>
      </w:r>
      <w:r w:rsidRPr="00AD6087">
        <w:rPr>
          <w:lang w:val="es-ES"/>
        </w:rPr>
        <w:t xml:space="preserve"> </w:t>
      </w:r>
      <w:r w:rsidRPr="006435A5">
        <w:t>աղյուսակում</w:t>
      </w:r>
      <w:r w:rsidRPr="00AD6087">
        <w:rPr>
          <w:lang w:val="es-ES"/>
        </w:rPr>
        <w:t>:</w:t>
      </w:r>
    </w:p>
    <w:p w14:paraId="41A221C1" w14:textId="77777777" w:rsidR="00AD6087" w:rsidRPr="006435A5" w:rsidRDefault="00AD6087" w:rsidP="00AD6087">
      <w:pPr>
        <w:pStyle w:val="aff1"/>
        <w:spacing w:line="276" w:lineRule="auto"/>
      </w:pPr>
      <w:r w:rsidRPr="006435A5">
        <w:rPr>
          <w:b/>
        </w:rPr>
        <w:t xml:space="preserve">Աղյուսակ 2. </w:t>
      </w:r>
      <w:r w:rsidRPr="006435A5">
        <w:t>ՀՀ կառավարության պարտքի կառավարման ռազմավարության հիմքում ընկած հիմնական ցուցանիշները 2020-2024 թվականներին</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2"/>
        <w:gridCol w:w="1322"/>
        <w:gridCol w:w="1277"/>
        <w:gridCol w:w="1322"/>
        <w:gridCol w:w="1233"/>
        <w:gridCol w:w="1110"/>
      </w:tblGrid>
      <w:tr w:rsidR="00AD6087" w:rsidRPr="006435A5" w14:paraId="5903673A" w14:textId="77777777" w:rsidTr="00A42F0D">
        <w:trPr>
          <w:trHeight w:val="584"/>
          <w:tblHeader/>
          <w:jc w:val="center"/>
        </w:trPr>
        <w:tc>
          <w:tcPr>
            <w:tcW w:w="3502" w:type="dxa"/>
            <w:tcBorders>
              <w:top w:val="thinThickThinSmallGap" w:sz="24" w:space="0" w:color="auto"/>
              <w:left w:val="nil"/>
              <w:bottom w:val="thinThickSmallGap" w:sz="24" w:space="0" w:color="auto"/>
              <w:right w:val="nil"/>
            </w:tcBorders>
            <w:shd w:val="clear" w:color="auto" w:fill="5B9BD5"/>
          </w:tcPr>
          <w:p w14:paraId="03F5CD26" w14:textId="77777777" w:rsidR="00AD6087" w:rsidRPr="00AD6087" w:rsidRDefault="00AD6087" w:rsidP="00A42F0D">
            <w:pPr>
              <w:spacing w:line="276" w:lineRule="auto"/>
              <w:ind w:firstLine="0"/>
              <w:rPr>
                <w:lang w:val="es-ES"/>
              </w:rPr>
            </w:pPr>
          </w:p>
        </w:tc>
        <w:tc>
          <w:tcPr>
            <w:tcW w:w="1322" w:type="dxa"/>
            <w:tcBorders>
              <w:top w:val="thinThickThinSmallGap" w:sz="24" w:space="0" w:color="auto"/>
              <w:left w:val="double" w:sz="4" w:space="0" w:color="auto"/>
              <w:bottom w:val="thinThickSmallGap" w:sz="24" w:space="0" w:color="auto"/>
              <w:right w:val="nil"/>
            </w:tcBorders>
            <w:shd w:val="clear" w:color="auto" w:fill="5B9BD5"/>
            <w:vAlign w:val="center"/>
          </w:tcPr>
          <w:p w14:paraId="07CBCABA" w14:textId="77777777" w:rsidR="00AD6087" w:rsidRPr="006435A5" w:rsidRDefault="00AD6087" w:rsidP="00A42F0D">
            <w:pPr>
              <w:keepNext/>
              <w:spacing w:line="276" w:lineRule="auto"/>
              <w:ind w:firstLine="0"/>
              <w:jc w:val="center"/>
            </w:pPr>
            <w:r w:rsidRPr="006435A5">
              <w:t>2020 փաստ.</w:t>
            </w:r>
          </w:p>
        </w:tc>
        <w:tc>
          <w:tcPr>
            <w:tcW w:w="1277" w:type="dxa"/>
            <w:tcBorders>
              <w:top w:val="thinThickThinSmallGap" w:sz="24" w:space="0" w:color="auto"/>
              <w:left w:val="nil"/>
              <w:bottom w:val="thinThickSmallGap" w:sz="24" w:space="0" w:color="auto"/>
              <w:right w:val="nil"/>
            </w:tcBorders>
            <w:shd w:val="clear" w:color="auto" w:fill="5B9BD5"/>
            <w:vAlign w:val="center"/>
          </w:tcPr>
          <w:p w14:paraId="302D0395" w14:textId="77777777" w:rsidR="00AD6087" w:rsidRPr="006435A5" w:rsidDel="007A73B0" w:rsidRDefault="00AD6087" w:rsidP="00A42F0D">
            <w:pPr>
              <w:keepNext/>
              <w:spacing w:line="276" w:lineRule="auto"/>
              <w:ind w:firstLine="0"/>
              <w:jc w:val="center"/>
            </w:pPr>
            <w:r w:rsidRPr="006435A5">
              <w:t>2021 կանխ.</w:t>
            </w:r>
          </w:p>
        </w:tc>
        <w:tc>
          <w:tcPr>
            <w:tcW w:w="1322" w:type="dxa"/>
            <w:tcBorders>
              <w:top w:val="thinThickThinSmallGap" w:sz="24" w:space="0" w:color="auto"/>
              <w:left w:val="nil"/>
              <w:bottom w:val="thinThickSmallGap" w:sz="24" w:space="0" w:color="auto"/>
              <w:right w:val="nil"/>
            </w:tcBorders>
            <w:shd w:val="clear" w:color="auto" w:fill="5B9BD5"/>
            <w:vAlign w:val="center"/>
          </w:tcPr>
          <w:p w14:paraId="49EF45F1" w14:textId="77777777" w:rsidR="00AD6087" w:rsidRPr="006435A5" w:rsidRDefault="00AD6087" w:rsidP="00A42F0D">
            <w:pPr>
              <w:keepNext/>
              <w:spacing w:line="276" w:lineRule="auto"/>
              <w:ind w:firstLine="0"/>
              <w:jc w:val="center"/>
            </w:pPr>
            <w:r w:rsidRPr="006435A5">
              <w:t>2022 կանխ.</w:t>
            </w:r>
          </w:p>
        </w:tc>
        <w:tc>
          <w:tcPr>
            <w:tcW w:w="1233" w:type="dxa"/>
            <w:tcBorders>
              <w:top w:val="thinThickThinSmallGap" w:sz="24" w:space="0" w:color="auto"/>
              <w:left w:val="nil"/>
              <w:bottom w:val="thinThickSmallGap" w:sz="24" w:space="0" w:color="auto"/>
              <w:right w:val="nil"/>
            </w:tcBorders>
            <w:shd w:val="clear" w:color="auto" w:fill="5B9BD5"/>
            <w:vAlign w:val="center"/>
          </w:tcPr>
          <w:p w14:paraId="7B5B0E15" w14:textId="77777777" w:rsidR="00AD6087" w:rsidRPr="006435A5" w:rsidRDefault="00AD6087" w:rsidP="00A42F0D">
            <w:pPr>
              <w:keepNext/>
              <w:spacing w:line="276" w:lineRule="auto"/>
              <w:ind w:firstLine="0"/>
              <w:jc w:val="center"/>
            </w:pPr>
            <w:r w:rsidRPr="006435A5">
              <w:t>2023 կանխ.</w:t>
            </w:r>
          </w:p>
        </w:tc>
        <w:tc>
          <w:tcPr>
            <w:tcW w:w="1110" w:type="dxa"/>
            <w:tcBorders>
              <w:top w:val="thinThickThinSmallGap" w:sz="24" w:space="0" w:color="auto"/>
              <w:left w:val="nil"/>
              <w:bottom w:val="thinThickSmallGap" w:sz="24" w:space="0" w:color="auto"/>
              <w:right w:val="nil"/>
            </w:tcBorders>
            <w:shd w:val="clear" w:color="auto" w:fill="5B9BD5"/>
            <w:vAlign w:val="center"/>
          </w:tcPr>
          <w:p w14:paraId="6F382C2B" w14:textId="77777777" w:rsidR="00AD6087" w:rsidRPr="006435A5" w:rsidRDefault="00AD6087" w:rsidP="00A42F0D">
            <w:pPr>
              <w:keepNext/>
              <w:spacing w:line="276" w:lineRule="auto"/>
              <w:ind w:firstLine="0"/>
              <w:jc w:val="center"/>
            </w:pPr>
            <w:r w:rsidRPr="006435A5">
              <w:t>2024 կանխ.</w:t>
            </w:r>
          </w:p>
        </w:tc>
      </w:tr>
      <w:tr w:rsidR="00AD6087" w:rsidRPr="006435A5" w14:paraId="021C1E29" w14:textId="77777777" w:rsidTr="00A42F0D">
        <w:trPr>
          <w:trHeight w:val="318"/>
          <w:jc w:val="center"/>
        </w:trPr>
        <w:tc>
          <w:tcPr>
            <w:tcW w:w="3502" w:type="dxa"/>
            <w:tcBorders>
              <w:top w:val="thinThickSmallGap" w:sz="24" w:space="0" w:color="auto"/>
              <w:left w:val="nil"/>
              <w:right w:val="nil"/>
            </w:tcBorders>
            <w:vAlign w:val="center"/>
          </w:tcPr>
          <w:p w14:paraId="729C14C7" w14:textId="77777777" w:rsidR="00AD6087" w:rsidRPr="006435A5" w:rsidRDefault="00AD6087" w:rsidP="00A42F0D">
            <w:pPr>
              <w:spacing w:line="276" w:lineRule="auto"/>
              <w:ind w:firstLine="0"/>
              <w:jc w:val="left"/>
            </w:pPr>
            <w:r w:rsidRPr="006435A5">
              <w:t>Իրական</w:t>
            </w:r>
            <w:r w:rsidRPr="006435A5">
              <w:rPr>
                <w:rFonts w:cs="Arial"/>
              </w:rPr>
              <w:t xml:space="preserve"> </w:t>
            </w:r>
            <w:r w:rsidRPr="006435A5">
              <w:t>ՀՆԱ</w:t>
            </w:r>
            <w:r w:rsidRPr="006435A5">
              <w:rPr>
                <w:rFonts w:cs="Arial"/>
              </w:rPr>
              <w:t xml:space="preserve"> </w:t>
            </w:r>
            <w:r w:rsidRPr="006435A5">
              <w:t>աճ</w:t>
            </w:r>
            <w:r w:rsidRPr="006435A5">
              <w:rPr>
                <w:rFonts w:cs="Arial"/>
              </w:rPr>
              <w:t xml:space="preserve"> (%)</w:t>
            </w:r>
          </w:p>
        </w:tc>
        <w:tc>
          <w:tcPr>
            <w:tcW w:w="1322" w:type="dxa"/>
            <w:tcBorders>
              <w:top w:val="thinThickSmallGap" w:sz="24" w:space="0" w:color="auto"/>
              <w:left w:val="double" w:sz="4" w:space="0" w:color="auto"/>
              <w:right w:val="nil"/>
            </w:tcBorders>
            <w:vAlign w:val="bottom"/>
          </w:tcPr>
          <w:p w14:paraId="68D60808" w14:textId="77777777" w:rsidR="00AD6087" w:rsidRPr="006435A5" w:rsidRDefault="00AD6087" w:rsidP="00A42F0D">
            <w:pPr>
              <w:spacing w:line="276" w:lineRule="auto"/>
              <w:ind w:firstLine="0"/>
            </w:pPr>
            <w:r w:rsidRPr="006435A5">
              <w:t>-7.4</w:t>
            </w:r>
          </w:p>
        </w:tc>
        <w:tc>
          <w:tcPr>
            <w:tcW w:w="1277" w:type="dxa"/>
            <w:tcBorders>
              <w:top w:val="thinThickSmallGap" w:sz="24" w:space="0" w:color="auto"/>
              <w:left w:val="nil"/>
              <w:right w:val="nil"/>
            </w:tcBorders>
            <w:vAlign w:val="bottom"/>
          </w:tcPr>
          <w:p w14:paraId="75FF10EA" w14:textId="77777777" w:rsidR="00AD6087" w:rsidRPr="006435A5" w:rsidRDefault="00AD6087" w:rsidP="00A42F0D">
            <w:pPr>
              <w:spacing w:line="276" w:lineRule="auto"/>
              <w:ind w:firstLine="0"/>
            </w:pPr>
            <w:r w:rsidRPr="006435A5">
              <w:t>6.0</w:t>
            </w:r>
          </w:p>
        </w:tc>
        <w:tc>
          <w:tcPr>
            <w:tcW w:w="1322" w:type="dxa"/>
            <w:tcBorders>
              <w:top w:val="thinThickSmallGap" w:sz="24" w:space="0" w:color="auto"/>
              <w:left w:val="nil"/>
              <w:right w:val="nil"/>
            </w:tcBorders>
            <w:vAlign w:val="bottom"/>
          </w:tcPr>
          <w:p w14:paraId="5538E46E" w14:textId="77777777" w:rsidR="00AD6087" w:rsidRPr="006435A5" w:rsidRDefault="00AD6087" w:rsidP="00A42F0D">
            <w:pPr>
              <w:spacing w:line="276" w:lineRule="auto"/>
              <w:ind w:firstLine="0"/>
            </w:pPr>
            <w:r w:rsidRPr="006435A5">
              <w:t>5.2</w:t>
            </w:r>
          </w:p>
        </w:tc>
        <w:tc>
          <w:tcPr>
            <w:tcW w:w="1233" w:type="dxa"/>
            <w:tcBorders>
              <w:top w:val="thinThickSmallGap" w:sz="24" w:space="0" w:color="auto"/>
              <w:left w:val="nil"/>
              <w:right w:val="nil"/>
            </w:tcBorders>
            <w:vAlign w:val="bottom"/>
          </w:tcPr>
          <w:p w14:paraId="02A040E2" w14:textId="77777777" w:rsidR="00AD6087" w:rsidRPr="006435A5" w:rsidRDefault="00AD6087" w:rsidP="00A42F0D">
            <w:pPr>
              <w:spacing w:line="276" w:lineRule="auto"/>
              <w:ind w:firstLine="0"/>
            </w:pPr>
            <w:r w:rsidRPr="006435A5">
              <w:t>3.7</w:t>
            </w:r>
          </w:p>
        </w:tc>
        <w:tc>
          <w:tcPr>
            <w:tcW w:w="1110" w:type="dxa"/>
            <w:tcBorders>
              <w:top w:val="thinThickSmallGap" w:sz="24" w:space="0" w:color="auto"/>
              <w:left w:val="nil"/>
              <w:right w:val="nil"/>
            </w:tcBorders>
            <w:vAlign w:val="bottom"/>
          </w:tcPr>
          <w:p w14:paraId="58E5C750" w14:textId="77777777" w:rsidR="00AD6087" w:rsidRPr="006435A5" w:rsidRDefault="00AD6087" w:rsidP="00A42F0D">
            <w:pPr>
              <w:spacing w:line="276" w:lineRule="auto"/>
              <w:ind w:firstLine="0"/>
            </w:pPr>
            <w:r w:rsidRPr="006435A5">
              <w:t>4.0</w:t>
            </w:r>
          </w:p>
        </w:tc>
      </w:tr>
      <w:tr w:rsidR="00AD6087" w:rsidRPr="006435A5" w14:paraId="37DEE037" w14:textId="77777777" w:rsidTr="00A42F0D">
        <w:trPr>
          <w:trHeight w:val="334"/>
          <w:jc w:val="center"/>
        </w:trPr>
        <w:tc>
          <w:tcPr>
            <w:tcW w:w="3502" w:type="dxa"/>
            <w:tcBorders>
              <w:left w:val="nil"/>
              <w:right w:val="nil"/>
            </w:tcBorders>
            <w:vAlign w:val="center"/>
          </w:tcPr>
          <w:p w14:paraId="0BBDCA10" w14:textId="77777777" w:rsidR="00AD6087" w:rsidRPr="006435A5" w:rsidRDefault="00AD6087" w:rsidP="00A42F0D">
            <w:pPr>
              <w:spacing w:line="276" w:lineRule="auto"/>
              <w:ind w:firstLine="0"/>
              <w:jc w:val="left"/>
            </w:pPr>
            <w:r w:rsidRPr="006435A5">
              <w:t>ՍԳԻ</w:t>
            </w:r>
            <w:r w:rsidRPr="006435A5">
              <w:rPr>
                <w:rFonts w:cs="Arial"/>
              </w:rPr>
              <w:t xml:space="preserve"> (</w:t>
            </w:r>
            <w:r w:rsidRPr="006435A5">
              <w:t>ժամկետի</w:t>
            </w:r>
            <w:r w:rsidRPr="006435A5">
              <w:rPr>
                <w:rFonts w:cs="Arial"/>
              </w:rPr>
              <w:t xml:space="preserve"> </w:t>
            </w:r>
            <w:r w:rsidRPr="006435A5">
              <w:t>միջինը</w:t>
            </w:r>
            <w:r w:rsidRPr="006435A5">
              <w:rPr>
                <w:rFonts w:cs="Arial"/>
              </w:rPr>
              <w:t xml:space="preserve">, </w:t>
            </w:r>
            <w:r w:rsidRPr="006435A5">
              <w:rPr>
                <w:rFonts w:cs="Arial"/>
                <w:lang w:val="ru-RU"/>
              </w:rPr>
              <w:t>%</w:t>
            </w:r>
            <w:r w:rsidRPr="006435A5">
              <w:rPr>
                <w:rFonts w:cs="Arial"/>
              </w:rPr>
              <w:t>)</w:t>
            </w:r>
          </w:p>
        </w:tc>
        <w:tc>
          <w:tcPr>
            <w:tcW w:w="1322" w:type="dxa"/>
            <w:tcBorders>
              <w:left w:val="double" w:sz="4" w:space="0" w:color="auto"/>
              <w:right w:val="nil"/>
            </w:tcBorders>
            <w:vAlign w:val="center"/>
          </w:tcPr>
          <w:p w14:paraId="0AFD8004" w14:textId="77777777" w:rsidR="00AD6087" w:rsidRPr="006435A5" w:rsidRDefault="00AD6087" w:rsidP="00A42F0D">
            <w:pPr>
              <w:spacing w:line="276" w:lineRule="auto"/>
              <w:ind w:firstLine="0"/>
              <w:jc w:val="center"/>
              <w:rPr>
                <w:color w:val="FF0000"/>
              </w:rPr>
            </w:pPr>
            <w:r w:rsidRPr="006435A5">
              <w:t>1.2</w:t>
            </w:r>
          </w:p>
        </w:tc>
        <w:tc>
          <w:tcPr>
            <w:tcW w:w="1277" w:type="dxa"/>
            <w:tcBorders>
              <w:left w:val="nil"/>
              <w:right w:val="nil"/>
            </w:tcBorders>
            <w:vAlign w:val="center"/>
          </w:tcPr>
          <w:p w14:paraId="3A24C667" w14:textId="77777777" w:rsidR="00AD6087" w:rsidRPr="006435A5" w:rsidRDefault="00AD6087" w:rsidP="00A42F0D">
            <w:pPr>
              <w:spacing w:line="276" w:lineRule="auto"/>
              <w:ind w:firstLine="0"/>
              <w:jc w:val="center"/>
              <w:rPr>
                <w:color w:val="FF0000"/>
              </w:rPr>
            </w:pPr>
            <w:r w:rsidRPr="006435A5">
              <w:t>5.3</w:t>
            </w:r>
          </w:p>
        </w:tc>
        <w:tc>
          <w:tcPr>
            <w:tcW w:w="1322" w:type="dxa"/>
            <w:tcBorders>
              <w:left w:val="nil"/>
              <w:right w:val="nil"/>
            </w:tcBorders>
            <w:vAlign w:val="center"/>
          </w:tcPr>
          <w:p w14:paraId="2FDC2767" w14:textId="77777777" w:rsidR="00AD6087" w:rsidRPr="006435A5" w:rsidRDefault="00AD6087" w:rsidP="00A42F0D">
            <w:pPr>
              <w:spacing w:line="276" w:lineRule="auto"/>
              <w:ind w:firstLine="0"/>
              <w:jc w:val="center"/>
              <w:rPr>
                <w:color w:val="FF0000"/>
              </w:rPr>
            </w:pPr>
            <w:r w:rsidRPr="006435A5">
              <w:t>4.1</w:t>
            </w:r>
          </w:p>
        </w:tc>
        <w:tc>
          <w:tcPr>
            <w:tcW w:w="1233" w:type="dxa"/>
            <w:tcBorders>
              <w:left w:val="nil"/>
              <w:right w:val="nil"/>
            </w:tcBorders>
            <w:vAlign w:val="center"/>
          </w:tcPr>
          <w:p w14:paraId="2BE06007" w14:textId="77777777" w:rsidR="00AD6087" w:rsidRPr="006435A5" w:rsidRDefault="00AD6087" w:rsidP="00A42F0D">
            <w:pPr>
              <w:spacing w:line="276" w:lineRule="auto"/>
              <w:ind w:firstLine="0"/>
              <w:jc w:val="center"/>
              <w:rPr>
                <w:color w:val="FF0000"/>
              </w:rPr>
            </w:pPr>
            <w:r w:rsidRPr="006435A5">
              <w:t>4.0</w:t>
            </w:r>
          </w:p>
        </w:tc>
        <w:tc>
          <w:tcPr>
            <w:tcW w:w="1110" w:type="dxa"/>
            <w:tcBorders>
              <w:left w:val="nil"/>
              <w:right w:val="nil"/>
            </w:tcBorders>
            <w:vAlign w:val="center"/>
          </w:tcPr>
          <w:p w14:paraId="59D0BC91" w14:textId="77777777" w:rsidR="00AD6087" w:rsidRPr="006435A5" w:rsidRDefault="00AD6087" w:rsidP="00A42F0D">
            <w:pPr>
              <w:spacing w:line="276" w:lineRule="auto"/>
              <w:ind w:firstLine="0"/>
              <w:jc w:val="center"/>
              <w:rPr>
                <w:color w:val="FF0000"/>
              </w:rPr>
            </w:pPr>
            <w:r w:rsidRPr="006435A5">
              <w:t>4.0</w:t>
            </w:r>
          </w:p>
        </w:tc>
      </w:tr>
      <w:tr w:rsidR="00AD6087" w:rsidRPr="006435A5" w14:paraId="1CF6A0F4" w14:textId="77777777" w:rsidTr="00A42F0D">
        <w:trPr>
          <w:trHeight w:val="334"/>
          <w:jc w:val="center"/>
        </w:trPr>
        <w:tc>
          <w:tcPr>
            <w:tcW w:w="9766" w:type="dxa"/>
            <w:gridSpan w:val="6"/>
            <w:tcBorders>
              <w:left w:val="nil"/>
              <w:right w:val="nil"/>
            </w:tcBorders>
            <w:vAlign w:val="center"/>
          </w:tcPr>
          <w:p w14:paraId="7C4C7A24" w14:textId="77777777" w:rsidR="00AD6087" w:rsidRPr="006435A5" w:rsidRDefault="00AD6087" w:rsidP="00A42F0D">
            <w:pPr>
              <w:spacing w:line="276" w:lineRule="auto"/>
              <w:ind w:firstLine="0"/>
              <w:jc w:val="center"/>
            </w:pPr>
            <w:r w:rsidRPr="006435A5">
              <w:t>ՀՀ</w:t>
            </w:r>
            <w:r w:rsidRPr="006435A5">
              <w:rPr>
                <w:rFonts w:cs="Arial"/>
              </w:rPr>
              <w:t xml:space="preserve"> </w:t>
            </w:r>
            <w:r w:rsidRPr="006435A5">
              <w:t xml:space="preserve">կառավարության գործառնությունները </w:t>
            </w:r>
            <w:r w:rsidRPr="006435A5">
              <w:rPr>
                <w:rFonts w:cs="Arial"/>
              </w:rPr>
              <w:t xml:space="preserve">(% </w:t>
            </w:r>
            <w:r w:rsidRPr="006435A5">
              <w:t>ՀՆԱ</w:t>
            </w:r>
            <w:r w:rsidRPr="006435A5">
              <w:rPr>
                <w:rFonts w:cs="Arial"/>
              </w:rPr>
              <w:t>-</w:t>
            </w:r>
            <w:r w:rsidRPr="006435A5">
              <w:t>ի</w:t>
            </w:r>
            <w:r w:rsidRPr="006435A5">
              <w:rPr>
                <w:rFonts w:cs="Arial"/>
              </w:rPr>
              <w:t xml:space="preserve"> </w:t>
            </w:r>
            <w:r w:rsidRPr="006435A5">
              <w:t>նկատմամբ</w:t>
            </w:r>
            <w:r w:rsidRPr="006435A5">
              <w:rPr>
                <w:rFonts w:cs="Arial"/>
              </w:rPr>
              <w:t>)</w:t>
            </w:r>
          </w:p>
        </w:tc>
      </w:tr>
      <w:tr w:rsidR="00AD6087" w:rsidRPr="006435A5" w14:paraId="42CA61A3" w14:textId="77777777" w:rsidTr="00A42F0D">
        <w:trPr>
          <w:trHeight w:val="334"/>
          <w:jc w:val="center"/>
        </w:trPr>
        <w:tc>
          <w:tcPr>
            <w:tcW w:w="3502" w:type="dxa"/>
            <w:tcBorders>
              <w:left w:val="nil"/>
              <w:right w:val="nil"/>
            </w:tcBorders>
            <w:vAlign w:val="center"/>
          </w:tcPr>
          <w:p w14:paraId="3C897D71" w14:textId="77777777" w:rsidR="00AD6087" w:rsidRPr="006435A5" w:rsidRDefault="00AD6087" w:rsidP="00A42F0D">
            <w:pPr>
              <w:spacing w:line="276" w:lineRule="auto"/>
              <w:ind w:firstLine="0"/>
              <w:jc w:val="left"/>
            </w:pPr>
            <w:r w:rsidRPr="006435A5">
              <w:t>Եկամուտներ</w:t>
            </w:r>
            <w:r w:rsidRPr="006435A5">
              <w:rPr>
                <w:rFonts w:cs="Arial"/>
              </w:rPr>
              <w:t xml:space="preserve"> </w:t>
            </w:r>
            <w:r w:rsidRPr="006435A5">
              <w:t>և</w:t>
            </w:r>
            <w:r w:rsidRPr="006435A5">
              <w:rPr>
                <w:rFonts w:cs="Arial"/>
              </w:rPr>
              <w:t xml:space="preserve"> </w:t>
            </w:r>
            <w:r w:rsidRPr="006435A5">
              <w:t>դրամաշնորհներ</w:t>
            </w:r>
          </w:p>
        </w:tc>
        <w:tc>
          <w:tcPr>
            <w:tcW w:w="1322" w:type="dxa"/>
            <w:tcBorders>
              <w:left w:val="double" w:sz="4" w:space="0" w:color="auto"/>
              <w:right w:val="nil"/>
            </w:tcBorders>
            <w:vAlign w:val="center"/>
          </w:tcPr>
          <w:p w14:paraId="019E38DD" w14:textId="77777777" w:rsidR="00AD6087" w:rsidRPr="006435A5" w:rsidRDefault="00AD6087" w:rsidP="00A42F0D">
            <w:pPr>
              <w:spacing w:line="276" w:lineRule="auto"/>
              <w:ind w:firstLine="0"/>
              <w:jc w:val="center"/>
            </w:pPr>
            <w:r w:rsidRPr="006435A5">
              <w:t>25.2</w:t>
            </w:r>
          </w:p>
        </w:tc>
        <w:tc>
          <w:tcPr>
            <w:tcW w:w="1277" w:type="dxa"/>
            <w:tcBorders>
              <w:left w:val="nil"/>
              <w:right w:val="nil"/>
            </w:tcBorders>
            <w:vAlign w:val="center"/>
          </w:tcPr>
          <w:p w14:paraId="2DF81D79" w14:textId="77777777" w:rsidR="00AD6087" w:rsidRPr="006435A5" w:rsidRDefault="00AD6087" w:rsidP="00A42F0D">
            <w:pPr>
              <w:spacing w:line="276" w:lineRule="auto"/>
              <w:ind w:firstLine="0"/>
              <w:jc w:val="center"/>
            </w:pPr>
            <w:r w:rsidRPr="006435A5">
              <w:t>23.5</w:t>
            </w:r>
          </w:p>
        </w:tc>
        <w:tc>
          <w:tcPr>
            <w:tcW w:w="1322" w:type="dxa"/>
            <w:tcBorders>
              <w:left w:val="nil"/>
              <w:right w:val="nil"/>
            </w:tcBorders>
            <w:vAlign w:val="center"/>
          </w:tcPr>
          <w:p w14:paraId="228F84B9" w14:textId="77777777" w:rsidR="00AD6087" w:rsidRPr="006435A5" w:rsidRDefault="00AD6087" w:rsidP="00A42F0D">
            <w:pPr>
              <w:spacing w:line="276" w:lineRule="auto"/>
              <w:ind w:firstLine="0"/>
              <w:jc w:val="center"/>
            </w:pPr>
            <w:r w:rsidRPr="006435A5">
              <w:t>24.0</w:t>
            </w:r>
          </w:p>
        </w:tc>
        <w:tc>
          <w:tcPr>
            <w:tcW w:w="1233" w:type="dxa"/>
            <w:tcBorders>
              <w:left w:val="nil"/>
              <w:right w:val="nil"/>
            </w:tcBorders>
            <w:vAlign w:val="center"/>
          </w:tcPr>
          <w:p w14:paraId="76E38369" w14:textId="77777777" w:rsidR="00AD6087" w:rsidRPr="006435A5" w:rsidRDefault="00AD6087" w:rsidP="00A42F0D">
            <w:pPr>
              <w:spacing w:line="276" w:lineRule="auto"/>
              <w:ind w:firstLine="0"/>
              <w:jc w:val="center"/>
            </w:pPr>
            <w:r w:rsidRPr="006435A5">
              <w:t>24.1</w:t>
            </w:r>
          </w:p>
        </w:tc>
        <w:tc>
          <w:tcPr>
            <w:tcW w:w="1110" w:type="dxa"/>
            <w:tcBorders>
              <w:left w:val="nil"/>
              <w:right w:val="nil"/>
            </w:tcBorders>
            <w:vAlign w:val="center"/>
          </w:tcPr>
          <w:p w14:paraId="11353F4F" w14:textId="77777777" w:rsidR="00AD6087" w:rsidRPr="006435A5" w:rsidRDefault="00AD6087" w:rsidP="00A42F0D">
            <w:pPr>
              <w:spacing w:line="276" w:lineRule="auto"/>
              <w:ind w:firstLine="0"/>
              <w:jc w:val="center"/>
            </w:pPr>
            <w:r w:rsidRPr="006435A5">
              <w:t>24.3</w:t>
            </w:r>
          </w:p>
        </w:tc>
      </w:tr>
      <w:tr w:rsidR="00AD6087" w:rsidRPr="006435A5" w14:paraId="704DFF03" w14:textId="77777777" w:rsidTr="00A42F0D">
        <w:trPr>
          <w:trHeight w:val="272"/>
          <w:jc w:val="center"/>
        </w:trPr>
        <w:tc>
          <w:tcPr>
            <w:tcW w:w="3502" w:type="dxa"/>
            <w:tcBorders>
              <w:left w:val="nil"/>
              <w:right w:val="nil"/>
            </w:tcBorders>
            <w:vAlign w:val="center"/>
          </w:tcPr>
          <w:p w14:paraId="69107CEF" w14:textId="77777777" w:rsidR="00AD6087" w:rsidRPr="006435A5" w:rsidRDefault="00AD6087" w:rsidP="00A42F0D">
            <w:pPr>
              <w:spacing w:line="276" w:lineRule="auto"/>
              <w:ind w:firstLine="0"/>
              <w:jc w:val="left"/>
            </w:pPr>
            <w:r w:rsidRPr="006435A5">
              <w:t>Ծախսեր</w:t>
            </w:r>
          </w:p>
        </w:tc>
        <w:tc>
          <w:tcPr>
            <w:tcW w:w="1322" w:type="dxa"/>
            <w:tcBorders>
              <w:left w:val="double" w:sz="4" w:space="0" w:color="auto"/>
              <w:right w:val="nil"/>
            </w:tcBorders>
            <w:vAlign w:val="center"/>
          </w:tcPr>
          <w:p w14:paraId="3895CB0B" w14:textId="77777777" w:rsidR="00AD6087" w:rsidRPr="006435A5" w:rsidRDefault="00AD6087" w:rsidP="00A42F0D">
            <w:pPr>
              <w:spacing w:line="276" w:lineRule="auto"/>
              <w:ind w:firstLine="0"/>
              <w:jc w:val="center"/>
            </w:pPr>
            <w:r w:rsidRPr="006435A5">
              <w:t>30.6</w:t>
            </w:r>
          </w:p>
        </w:tc>
        <w:tc>
          <w:tcPr>
            <w:tcW w:w="1277" w:type="dxa"/>
            <w:tcBorders>
              <w:left w:val="nil"/>
              <w:right w:val="nil"/>
            </w:tcBorders>
            <w:vAlign w:val="center"/>
          </w:tcPr>
          <w:p w14:paraId="659B4640" w14:textId="77777777" w:rsidR="00AD6087" w:rsidRPr="006435A5" w:rsidRDefault="00AD6087" w:rsidP="00A42F0D">
            <w:pPr>
              <w:spacing w:line="276" w:lineRule="auto"/>
              <w:ind w:firstLine="0"/>
              <w:jc w:val="center"/>
            </w:pPr>
            <w:r w:rsidRPr="006435A5">
              <w:t>28.1</w:t>
            </w:r>
          </w:p>
        </w:tc>
        <w:tc>
          <w:tcPr>
            <w:tcW w:w="1322" w:type="dxa"/>
            <w:tcBorders>
              <w:left w:val="nil"/>
              <w:right w:val="nil"/>
            </w:tcBorders>
            <w:vAlign w:val="center"/>
          </w:tcPr>
          <w:p w14:paraId="10E2FC9D" w14:textId="77777777" w:rsidR="00AD6087" w:rsidRPr="006435A5" w:rsidRDefault="00AD6087" w:rsidP="00A42F0D">
            <w:pPr>
              <w:spacing w:line="276" w:lineRule="auto"/>
              <w:ind w:firstLine="0"/>
              <w:jc w:val="center"/>
            </w:pPr>
            <w:r w:rsidRPr="006435A5">
              <w:t>26.4</w:t>
            </w:r>
          </w:p>
        </w:tc>
        <w:tc>
          <w:tcPr>
            <w:tcW w:w="1233" w:type="dxa"/>
            <w:tcBorders>
              <w:left w:val="nil"/>
              <w:right w:val="nil"/>
            </w:tcBorders>
            <w:vAlign w:val="center"/>
          </w:tcPr>
          <w:p w14:paraId="6F01D412" w14:textId="77777777" w:rsidR="00AD6087" w:rsidRPr="006435A5" w:rsidRDefault="00AD6087" w:rsidP="00A42F0D">
            <w:pPr>
              <w:spacing w:line="276" w:lineRule="auto"/>
              <w:ind w:firstLine="0"/>
              <w:jc w:val="center"/>
            </w:pPr>
            <w:r w:rsidRPr="006435A5">
              <w:t>26.1</w:t>
            </w:r>
          </w:p>
        </w:tc>
        <w:tc>
          <w:tcPr>
            <w:tcW w:w="1110" w:type="dxa"/>
            <w:tcBorders>
              <w:left w:val="nil"/>
              <w:right w:val="nil"/>
            </w:tcBorders>
            <w:vAlign w:val="center"/>
          </w:tcPr>
          <w:p w14:paraId="3431A9DB" w14:textId="77777777" w:rsidR="00AD6087" w:rsidRPr="006435A5" w:rsidRDefault="00AD6087" w:rsidP="00A42F0D">
            <w:pPr>
              <w:spacing w:line="276" w:lineRule="auto"/>
              <w:ind w:firstLine="0"/>
              <w:jc w:val="center"/>
            </w:pPr>
            <w:r w:rsidRPr="006435A5">
              <w:t>26.2</w:t>
            </w:r>
          </w:p>
        </w:tc>
      </w:tr>
      <w:tr w:rsidR="00AD6087" w:rsidRPr="006435A5" w14:paraId="44EBF6FF" w14:textId="77777777" w:rsidTr="00A42F0D">
        <w:trPr>
          <w:trHeight w:val="378"/>
          <w:jc w:val="center"/>
        </w:trPr>
        <w:tc>
          <w:tcPr>
            <w:tcW w:w="3502" w:type="dxa"/>
            <w:tcBorders>
              <w:left w:val="nil"/>
              <w:right w:val="nil"/>
            </w:tcBorders>
            <w:vAlign w:val="center"/>
          </w:tcPr>
          <w:p w14:paraId="7B3D08BA" w14:textId="77777777" w:rsidR="00AD6087" w:rsidRPr="006435A5" w:rsidRDefault="00AD6087" w:rsidP="00A42F0D">
            <w:pPr>
              <w:spacing w:line="276" w:lineRule="auto"/>
              <w:ind w:firstLine="0"/>
              <w:jc w:val="left"/>
            </w:pPr>
            <w:r w:rsidRPr="006435A5">
              <w:t>Պակասուրդ (-)</w:t>
            </w:r>
          </w:p>
        </w:tc>
        <w:tc>
          <w:tcPr>
            <w:tcW w:w="1322" w:type="dxa"/>
            <w:tcBorders>
              <w:left w:val="double" w:sz="4" w:space="0" w:color="auto"/>
              <w:right w:val="nil"/>
            </w:tcBorders>
            <w:vAlign w:val="center"/>
          </w:tcPr>
          <w:p w14:paraId="6F84C479" w14:textId="77777777" w:rsidR="00AD6087" w:rsidRPr="006435A5" w:rsidRDefault="00AD6087" w:rsidP="00A42F0D">
            <w:pPr>
              <w:spacing w:line="276" w:lineRule="auto"/>
              <w:ind w:firstLine="0"/>
              <w:jc w:val="center"/>
            </w:pPr>
            <w:r w:rsidRPr="006435A5">
              <w:t>-5.4</w:t>
            </w:r>
          </w:p>
        </w:tc>
        <w:tc>
          <w:tcPr>
            <w:tcW w:w="1277" w:type="dxa"/>
            <w:tcBorders>
              <w:left w:val="nil"/>
              <w:right w:val="nil"/>
            </w:tcBorders>
            <w:vAlign w:val="center"/>
          </w:tcPr>
          <w:p w14:paraId="53724E5E" w14:textId="77777777" w:rsidR="00AD6087" w:rsidRPr="006435A5" w:rsidRDefault="00AD6087" w:rsidP="00A42F0D">
            <w:pPr>
              <w:spacing w:line="276" w:lineRule="auto"/>
              <w:ind w:firstLine="0"/>
              <w:jc w:val="center"/>
            </w:pPr>
            <w:r w:rsidRPr="006435A5">
              <w:t>-4.6</w:t>
            </w:r>
          </w:p>
        </w:tc>
        <w:tc>
          <w:tcPr>
            <w:tcW w:w="1322" w:type="dxa"/>
            <w:tcBorders>
              <w:left w:val="nil"/>
              <w:right w:val="nil"/>
            </w:tcBorders>
            <w:vAlign w:val="center"/>
          </w:tcPr>
          <w:p w14:paraId="63354217" w14:textId="77777777" w:rsidR="00AD6087" w:rsidRPr="006435A5" w:rsidRDefault="00AD6087" w:rsidP="00A42F0D">
            <w:pPr>
              <w:spacing w:line="276" w:lineRule="auto"/>
              <w:ind w:firstLine="0"/>
              <w:jc w:val="center"/>
            </w:pPr>
            <w:r w:rsidRPr="006435A5">
              <w:t>-2.4</w:t>
            </w:r>
          </w:p>
        </w:tc>
        <w:tc>
          <w:tcPr>
            <w:tcW w:w="1233" w:type="dxa"/>
            <w:tcBorders>
              <w:left w:val="nil"/>
              <w:right w:val="nil"/>
            </w:tcBorders>
            <w:vAlign w:val="center"/>
          </w:tcPr>
          <w:p w14:paraId="0D35534F" w14:textId="77777777" w:rsidR="00AD6087" w:rsidRPr="006435A5" w:rsidRDefault="00AD6087" w:rsidP="00A42F0D">
            <w:pPr>
              <w:spacing w:line="276" w:lineRule="auto"/>
              <w:ind w:firstLine="0"/>
              <w:jc w:val="center"/>
            </w:pPr>
            <w:r w:rsidRPr="006435A5">
              <w:t>-2.1</w:t>
            </w:r>
          </w:p>
        </w:tc>
        <w:tc>
          <w:tcPr>
            <w:tcW w:w="1110" w:type="dxa"/>
            <w:tcBorders>
              <w:left w:val="nil"/>
              <w:right w:val="nil"/>
            </w:tcBorders>
            <w:vAlign w:val="center"/>
          </w:tcPr>
          <w:p w14:paraId="51C9C734" w14:textId="77777777" w:rsidR="00AD6087" w:rsidRPr="006435A5" w:rsidRDefault="00AD6087" w:rsidP="00A42F0D">
            <w:pPr>
              <w:spacing w:line="276" w:lineRule="auto"/>
              <w:ind w:firstLine="0"/>
              <w:jc w:val="center"/>
            </w:pPr>
            <w:r w:rsidRPr="006435A5">
              <w:t>-1.9</w:t>
            </w:r>
          </w:p>
        </w:tc>
      </w:tr>
      <w:tr w:rsidR="00AD6087" w:rsidRPr="006435A5" w14:paraId="1502627E" w14:textId="77777777" w:rsidTr="00A42F0D">
        <w:trPr>
          <w:trHeight w:val="376"/>
          <w:jc w:val="center"/>
        </w:trPr>
        <w:tc>
          <w:tcPr>
            <w:tcW w:w="3502" w:type="dxa"/>
            <w:tcBorders>
              <w:left w:val="nil"/>
              <w:right w:val="nil"/>
            </w:tcBorders>
            <w:vAlign w:val="center"/>
          </w:tcPr>
          <w:p w14:paraId="2B6F7E10" w14:textId="77777777" w:rsidR="00AD6087" w:rsidRPr="006435A5" w:rsidRDefault="00AD6087" w:rsidP="00A42F0D">
            <w:pPr>
              <w:spacing w:line="276" w:lineRule="auto"/>
              <w:ind w:firstLine="0"/>
              <w:jc w:val="left"/>
            </w:pPr>
            <w:r w:rsidRPr="006435A5">
              <w:t>ՀՀ</w:t>
            </w:r>
            <w:r w:rsidRPr="006435A5">
              <w:rPr>
                <w:rFonts w:cs="Arial"/>
              </w:rPr>
              <w:t xml:space="preserve"> </w:t>
            </w:r>
            <w:r w:rsidRPr="006435A5">
              <w:t>կառավարության</w:t>
            </w:r>
            <w:r w:rsidRPr="006435A5">
              <w:rPr>
                <w:rFonts w:cs="Arial"/>
              </w:rPr>
              <w:t xml:space="preserve"> </w:t>
            </w:r>
            <w:r w:rsidRPr="006435A5">
              <w:t>պարտք</w:t>
            </w:r>
          </w:p>
        </w:tc>
        <w:tc>
          <w:tcPr>
            <w:tcW w:w="1322" w:type="dxa"/>
            <w:tcBorders>
              <w:left w:val="double" w:sz="4" w:space="0" w:color="auto"/>
              <w:right w:val="nil"/>
            </w:tcBorders>
            <w:vAlign w:val="center"/>
          </w:tcPr>
          <w:p w14:paraId="6F43F517" w14:textId="77777777" w:rsidR="00AD6087" w:rsidRPr="006435A5" w:rsidRDefault="00AD6087" w:rsidP="00A42F0D">
            <w:pPr>
              <w:spacing w:line="276" w:lineRule="auto"/>
              <w:ind w:firstLine="0"/>
              <w:jc w:val="center"/>
            </w:pPr>
            <w:r w:rsidRPr="006435A5">
              <w:t>63.5</w:t>
            </w:r>
          </w:p>
        </w:tc>
        <w:tc>
          <w:tcPr>
            <w:tcW w:w="1277" w:type="dxa"/>
            <w:tcBorders>
              <w:left w:val="nil"/>
              <w:right w:val="nil"/>
            </w:tcBorders>
            <w:vAlign w:val="center"/>
          </w:tcPr>
          <w:p w14:paraId="1D1E65EC" w14:textId="77777777" w:rsidR="00AD6087" w:rsidRPr="006435A5" w:rsidRDefault="00AD6087" w:rsidP="00A42F0D">
            <w:pPr>
              <w:spacing w:line="276" w:lineRule="auto"/>
              <w:ind w:firstLine="0"/>
              <w:jc w:val="center"/>
            </w:pPr>
            <w:r w:rsidRPr="006435A5">
              <w:t>62.3</w:t>
            </w:r>
          </w:p>
        </w:tc>
        <w:tc>
          <w:tcPr>
            <w:tcW w:w="1322" w:type="dxa"/>
            <w:tcBorders>
              <w:left w:val="nil"/>
              <w:right w:val="nil"/>
            </w:tcBorders>
            <w:vAlign w:val="center"/>
          </w:tcPr>
          <w:p w14:paraId="3238DE3C" w14:textId="77777777" w:rsidR="00AD6087" w:rsidRPr="006435A5" w:rsidRDefault="00AD6087" w:rsidP="00A42F0D">
            <w:pPr>
              <w:spacing w:line="276" w:lineRule="auto"/>
              <w:ind w:firstLine="0"/>
              <w:jc w:val="center"/>
            </w:pPr>
            <w:r w:rsidRPr="006435A5">
              <w:t>60.5</w:t>
            </w:r>
          </w:p>
        </w:tc>
        <w:tc>
          <w:tcPr>
            <w:tcW w:w="1233" w:type="dxa"/>
            <w:tcBorders>
              <w:left w:val="nil"/>
              <w:right w:val="nil"/>
            </w:tcBorders>
            <w:vAlign w:val="center"/>
          </w:tcPr>
          <w:p w14:paraId="4AB272EC" w14:textId="77777777" w:rsidR="00AD6087" w:rsidRPr="006435A5" w:rsidRDefault="00AD6087" w:rsidP="00A42F0D">
            <w:pPr>
              <w:spacing w:line="276" w:lineRule="auto"/>
              <w:ind w:firstLine="0"/>
              <w:jc w:val="center"/>
            </w:pPr>
            <w:r w:rsidRPr="006435A5">
              <w:t>58.7</w:t>
            </w:r>
          </w:p>
        </w:tc>
        <w:tc>
          <w:tcPr>
            <w:tcW w:w="1110" w:type="dxa"/>
            <w:tcBorders>
              <w:left w:val="nil"/>
              <w:right w:val="nil"/>
            </w:tcBorders>
            <w:vAlign w:val="center"/>
          </w:tcPr>
          <w:p w14:paraId="3AEF9A62" w14:textId="77777777" w:rsidR="00AD6087" w:rsidRPr="006435A5" w:rsidRDefault="00AD6087" w:rsidP="00A42F0D">
            <w:pPr>
              <w:spacing w:line="276" w:lineRule="auto"/>
              <w:ind w:firstLine="0"/>
              <w:jc w:val="center"/>
            </w:pPr>
            <w:r w:rsidRPr="006435A5">
              <w:t>56.8</w:t>
            </w:r>
          </w:p>
        </w:tc>
      </w:tr>
      <w:tr w:rsidR="00AD6087" w:rsidRPr="006435A5" w14:paraId="06A12802" w14:textId="77777777" w:rsidTr="00A42F0D">
        <w:trPr>
          <w:trHeight w:val="345"/>
          <w:jc w:val="center"/>
        </w:trPr>
        <w:tc>
          <w:tcPr>
            <w:tcW w:w="9766" w:type="dxa"/>
            <w:gridSpan w:val="6"/>
            <w:tcBorders>
              <w:left w:val="nil"/>
              <w:right w:val="nil"/>
            </w:tcBorders>
            <w:vAlign w:val="center"/>
          </w:tcPr>
          <w:p w14:paraId="17893ACA" w14:textId="77777777" w:rsidR="00AD6087" w:rsidRPr="006435A5" w:rsidDel="00A75F14" w:rsidRDefault="00AD6087" w:rsidP="00A42F0D">
            <w:pPr>
              <w:spacing w:line="276" w:lineRule="auto"/>
              <w:ind w:firstLine="0"/>
              <w:jc w:val="center"/>
            </w:pPr>
            <w:r w:rsidRPr="006435A5">
              <w:t>Արտաքին</w:t>
            </w:r>
            <w:r w:rsidRPr="006435A5">
              <w:rPr>
                <w:rFonts w:cs="Arial"/>
              </w:rPr>
              <w:t xml:space="preserve"> </w:t>
            </w:r>
            <w:r w:rsidRPr="006435A5">
              <w:t>հատված</w:t>
            </w:r>
          </w:p>
        </w:tc>
      </w:tr>
      <w:tr w:rsidR="00AD6087" w:rsidRPr="006435A5" w14:paraId="5D936747" w14:textId="77777777" w:rsidTr="00A42F0D">
        <w:trPr>
          <w:trHeight w:val="452"/>
          <w:jc w:val="center"/>
        </w:trPr>
        <w:tc>
          <w:tcPr>
            <w:tcW w:w="3502" w:type="dxa"/>
            <w:tcBorders>
              <w:left w:val="nil"/>
              <w:right w:val="nil"/>
            </w:tcBorders>
            <w:vAlign w:val="center"/>
          </w:tcPr>
          <w:p w14:paraId="6F889949" w14:textId="77777777" w:rsidR="00AD6087" w:rsidRPr="006435A5" w:rsidDel="00A75F14" w:rsidRDefault="00AD6087" w:rsidP="00A42F0D">
            <w:pPr>
              <w:spacing w:line="276" w:lineRule="auto"/>
              <w:ind w:firstLine="0"/>
              <w:jc w:val="left"/>
            </w:pPr>
            <w:r w:rsidRPr="006435A5">
              <w:t>Ապրանքների</w:t>
            </w:r>
            <w:r w:rsidRPr="006435A5">
              <w:rPr>
                <w:rFonts w:cs="Arial"/>
              </w:rPr>
              <w:t xml:space="preserve"> </w:t>
            </w:r>
            <w:r w:rsidRPr="006435A5">
              <w:t>և</w:t>
            </w:r>
            <w:r w:rsidRPr="006435A5">
              <w:rPr>
                <w:rFonts w:cs="Arial"/>
              </w:rPr>
              <w:t xml:space="preserve"> </w:t>
            </w:r>
            <w:r w:rsidRPr="006435A5">
              <w:t>ծառայությունների</w:t>
            </w:r>
            <w:r w:rsidRPr="006435A5">
              <w:rPr>
                <w:rFonts w:cs="Arial"/>
              </w:rPr>
              <w:t xml:space="preserve"> </w:t>
            </w:r>
            <w:r w:rsidRPr="006435A5">
              <w:t>արտահանում</w:t>
            </w:r>
            <w:r w:rsidRPr="006435A5">
              <w:rPr>
                <w:rFonts w:cs="Arial"/>
              </w:rPr>
              <w:t xml:space="preserve"> (մլն </w:t>
            </w:r>
            <w:r w:rsidRPr="006435A5">
              <w:t>ԱՄՆ</w:t>
            </w:r>
            <w:r w:rsidRPr="006435A5">
              <w:rPr>
                <w:rFonts w:cs="Arial"/>
              </w:rPr>
              <w:t xml:space="preserve"> </w:t>
            </w:r>
            <w:r w:rsidRPr="006435A5">
              <w:t>դոլար</w:t>
            </w:r>
            <w:r w:rsidRPr="006435A5">
              <w:rPr>
                <w:rFonts w:cs="Arial"/>
              </w:rPr>
              <w:t>)</w:t>
            </w:r>
          </w:p>
        </w:tc>
        <w:tc>
          <w:tcPr>
            <w:tcW w:w="1322" w:type="dxa"/>
            <w:tcBorders>
              <w:left w:val="double" w:sz="4" w:space="0" w:color="auto"/>
              <w:right w:val="nil"/>
            </w:tcBorders>
            <w:vAlign w:val="center"/>
          </w:tcPr>
          <w:p w14:paraId="666D6713" w14:textId="77777777" w:rsidR="00AD6087" w:rsidRPr="006435A5" w:rsidDel="00A75F14" w:rsidRDefault="00AD6087" w:rsidP="00A42F0D">
            <w:pPr>
              <w:spacing w:line="276" w:lineRule="auto"/>
              <w:ind w:firstLine="0"/>
              <w:jc w:val="center"/>
              <w:rPr>
                <w:color w:val="FF0000"/>
              </w:rPr>
            </w:pPr>
            <w:r w:rsidRPr="006435A5">
              <w:t>3,762.6</w:t>
            </w:r>
          </w:p>
        </w:tc>
        <w:tc>
          <w:tcPr>
            <w:tcW w:w="1277" w:type="dxa"/>
            <w:tcBorders>
              <w:left w:val="nil"/>
              <w:right w:val="nil"/>
            </w:tcBorders>
            <w:vAlign w:val="center"/>
          </w:tcPr>
          <w:p w14:paraId="0E1830ED" w14:textId="77777777" w:rsidR="00AD6087" w:rsidRPr="006435A5" w:rsidRDefault="00AD6087" w:rsidP="00A42F0D">
            <w:pPr>
              <w:spacing w:line="276" w:lineRule="auto"/>
              <w:ind w:firstLine="0"/>
              <w:jc w:val="center"/>
              <w:rPr>
                <w:color w:val="FF0000"/>
              </w:rPr>
            </w:pPr>
            <w:r w:rsidRPr="006435A5">
              <w:t>4,446.8</w:t>
            </w:r>
          </w:p>
        </w:tc>
        <w:tc>
          <w:tcPr>
            <w:tcW w:w="1322" w:type="dxa"/>
            <w:tcBorders>
              <w:left w:val="nil"/>
              <w:right w:val="nil"/>
            </w:tcBorders>
            <w:vAlign w:val="center"/>
          </w:tcPr>
          <w:p w14:paraId="5119B296" w14:textId="77777777" w:rsidR="00AD6087" w:rsidRPr="006435A5" w:rsidDel="00A75F14" w:rsidRDefault="00AD6087" w:rsidP="00A42F0D">
            <w:pPr>
              <w:spacing w:line="276" w:lineRule="auto"/>
              <w:ind w:firstLine="0"/>
              <w:jc w:val="center"/>
              <w:rPr>
                <w:color w:val="FF0000"/>
              </w:rPr>
            </w:pPr>
            <w:r w:rsidRPr="006435A5">
              <w:t>5,112.6</w:t>
            </w:r>
          </w:p>
        </w:tc>
        <w:tc>
          <w:tcPr>
            <w:tcW w:w="1233" w:type="dxa"/>
            <w:tcBorders>
              <w:left w:val="nil"/>
              <w:right w:val="nil"/>
            </w:tcBorders>
            <w:vAlign w:val="center"/>
          </w:tcPr>
          <w:p w14:paraId="61E51110" w14:textId="77777777" w:rsidR="00AD6087" w:rsidRPr="006435A5" w:rsidDel="00A75F14" w:rsidRDefault="00AD6087" w:rsidP="00A42F0D">
            <w:pPr>
              <w:spacing w:line="276" w:lineRule="auto"/>
              <w:ind w:firstLine="0"/>
              <w:jc w:val="center"/>
              <w:rPr>
                <w:color w:val="FF0000"/>
              </w:rPr>
            </w:pPr>
            <w:r w:rsidRPr="006435A5">
              <w:t>5,727.1</w:t>
            </w:r>
          </w:p>
        </w:tc>
        <w:tc>
          <w:tcPr>
            <w:tcW w:w="1110" w:type="dxa"/>
            <w:tcBorders>
              <w:left w:val="nil"/>
              <w:right w:val="nil"/>
            </w:tcBorders>
            <w:vAlign w:val="center"/>
          </w:tcPr>
          <w:p w14:paraId="2BCC7439" w14:textId="77777777" w:rsidR="00AD6087" w:rsidRPr="006435A5" w:rsidDel="00A75F14" w:rsidRDefault="00AD6087" w:rsidP="00A42F0D">
            <w:pPr>
              <w:spacing w:line="276" w:lineRule="auto"/>
              <w:ind w:firstLine="0"/>
              <w:jc w:val="center"/>
              <w:rPr>
                <w:color w:val="FF0000"/>
              </w:rPr>
            </w:pPr>
            <w:r w:rsidRPr="006435A5">
              <w:t>6,322.7</w:t>
            </w:r>
          </w:p>
        </w:tc>
      </w:tr>
      <w:tr w:rsidR="00AD6087" w:rsidRPr="006435A5" w14:paraId="179E8267" w14:textId="77777777" w:rsidTr="00A42F0D">
        <w:trPr>
          <w:trHeight w:val="452"/>
          <w:jc w:val="center"/>
        </w:trPr>
        <w:tc>
          <w:tcPr>
            <w:tcW w:w="3502" w:type="dxa"/>
            <w:tcBorders>
              <w:left w:val="nil"/>
              <w:right w:val="nil"/>
            </w:tcBorders>
            <w:vAlign w:val="center"/>
          </w:tcPr>
          <w:p w14:paraId="7AEDEDF3" w14:textId="77777777" w:rsidR="00AD6087" w:rsidRPr="006435A5" w:rsidDel="00A75F14" w:rsidRDefault="00AD6087" w:rsidP="00A42F0D">
            <w:pPr>
              <w:spacing w:line="276" w:lineRule="auto"/>
              <w:ind w:firstLine="0"/>
              <w:jc w:val="left"/>
            </w:pPr>
            <w:r w:rsidRPr="006435A5">
              <w:t>Ապրանքների</w:t>
            </w:r>
            <w:r w:rsidRPr="006435A5">
              <w:rPr>
                <w:rFonts w:cs="Arial"/>
              </w:rPr>
              <w:t xml:space="preserve"> </w:t>
            </w:r>
            <w:r w:rsidRPr="006435A5">
              <w:t>և</w:t>
            </w:r>
            <w:r w:rsidRPr="006435A5">
              <w:rPr>
                <w:rFonts w:cs="Arial"/>
              </w:rPr>
              <w:t xml:space="preserve"> </w:t>
            </w:r>
            <w:r w:rsidRPr="006435A5">
              <w:t>ծառայությունների</w:t>
            </w:r>
            <w:r w:rsidRPr="006435A5">
              <w:rPr>
                <w:rFonts w:cs="Arial"/>
              </w:rPr>
              <w:t xml:space="preserve"> </w:t>
            </w:r>
            <w:r w:rsidRPr="006435A5">
              <w:t>ներմուծում</w:t>
            </w:r>
            <w:r w:rsidRPr="006435A5">
              <w:rPr>
                <w:rFonts w:cs="Arial"/>
              </w:rPr>
              <w:t xml:space="preserve"> (մլն </w:t>
            </w:r>
            <w:r w:rsidRPr="006435A5">
              <w:t>ԱՄՆ</w:t>
            </w:r>
            <w:r w:rsidRPr="006435A5">
              <w:rPr>
                <w:rFonts w:cs="Arial"/>
              </w:rPr>
              <w:t xml:space="preserve"> </w:t>
            </w:r>
            <w:r w:rsidRPr="006435A5">
              <w:t>դոլար</w:t>
            </w:r>
            <w:r w:rsidRPr="006435A5">
              <w:rPr>
                <w:rFonts w:cs="Arial"/>
              </w:rPr>
              <w:t>)</w:t>
            </w:r>
          </w:p>
        </w:tc>
        <w:tc>
          <w:tcPr>
            <w:tcW w:w="1322" w:type="dxa"/>
            <w:tcBorders>
              <w:left w:val="double" w:sz="4" w:space="0" w:color="auto"/>
              <w:right w:val="nil"/>
            </w:tcBorders>
            <w:vAlign w:val="center"/>
          </w:tcPr>
          <w:p w14:paraId="14CE7758" w14:textId="77777777" w:rsidR="00AD6087" w:rsidRPr="006435A5" w:rsidDel="00A75F14" w:rsidRDefault="00AD6087" w:rsidP="00A42F0D">
            <w:pPr>
              <w:spacing w:line="276" w:lineRule="auto"/>
              <w:ind w:firstLine="0"/>
              <w:jc w:val="center"/>
              <w:rPr>
                <w:color w:val="FF0000"/>
              </w:rPr>
            </w:pPr>
            <w:r w:rsidRPr="006435A5">
              <w:t>5,018.7</w:t>
            </w:r>
          </w:p>
        </w:tc>
        <w:tc>
          <w:tcPr>
            <w:tcW w:w="1277" w:type="dxa"/>
            <w:tcBorders>
              <w:left w:val="nil"/>
              <w:right w:val="nil"/>
            </w:tcBorders>
            <w:vAlign w:val="center"/>
          </w:tcPr>
          <w:p w14:paraId="4FC52C61" w14:textId="77777777" w:rsidR="00AD6087" w:rsidRPr="006435A5" w:rsidRDefault="00AD6087" w:rsidP="00A42F0D">
            <w:pPr>
              <w:spacing w:line="276" w:lineRule="auto"/>
              <w:ind w:firstLine="0"/>
              <w:jc w:val="center"/>
              <w:rPr>
                <w:color w:val="FF0000"/>
              </w:rPr>
            </w:pPr>
            <w:r w:rsidRPr="006435A5">
              <w:t>5,835.7</w:t>
            </w:r>
          </w:p>
        </w:tc>
        <w:tc>
          <w:tcPr>
            <w:tcW w:w="1322" w:type="dxa"/>
            <w:tcBorders>
              <w:left w:val="nil"/>
              <w:right w:val="nil"/>
            </w:tcBorders>
            <w:vAlign w:val="center"/>
          </w:tcPr>
          <w:p w14:paraId="5A447508" w14:textId="77777777" w:rsidR="00AD6087" w:rsidRPr="006435A5" w:rsidDel="00A75F14" w:rsidRDefault="00AD6087" w:rsidP="00A42F0D">
            <w:pPr>
              <w:spacing w:line="276" w:lineRule="auto"/>
              <w:ind w:firstLine="0"/>
              <w:jc w:val="center"/>
              <w:rPr>
                <w:color w:val="FF0000"/>
              </w:rPr>
            </w:pPr>
            <w:r w:rsidRPr="006435A5">
              <w:t>6,722.0</w:t>
            </w:r>
          </w:p>
        </w:tc>
        <w:tc>
          <w:tcPr>
            <w:tcW w:w="1233" w:type="dxa"/>
            <w:tcBorders>
              <w:left w:val="nil"/>
              <w:right w:val="nil"/>
            </w:tcBorders>
            <w:vAlign w:val="center"/>
          </w:tcPr>
          <w:p w14:paraId="0F4A8E0C" w14:textId="77777777" w:rsidR="00AD6087" w:rsidRPr="006435A5" w:rsidDel="00A75F14" w:rsidRDefault="00AD6087" w:rsidP="00A42F0D">
            <w:pPr>
              <w:spacing w:line="276" w:lineRule="auto"/>
              <w:ind w:firstLine="0"/>
              <w:jc w:val="center"/>
              <w:rPr>
                <w:color w:val="FF0000"/>
              </w:rPr>
            </w:pPr>
            <w:r w:rsidRPr="006435A5">
              <w:t>7,467.8</w:t>
            </w:r>
          </w:p>
        </w:tc>
        <w:tc>
          <w:tcPr>
            <w:tcW w:w="1110" w:type="dxa"/>
            <w:tcBorders>
              <w:left w:val="nil"/>
              <w:right w:val="nil"/>
            </w:tcBorders>
            <w:vAlign w:val="center"/>
          </w:tcPr>
          <w:p w14:paraId="3A38298B" w14:textId="77777777" w:rsidR="00AD6087" w:rsidRPr="006435A5" w:rsidDel="00A75F14" w:rsidRDefault="00AD6087" w:rsidP="00A42F0D">
            <w:pPr>
              <w:spacing w:line="276" w:lineRule="auto"/>
              <w:ind w:firstLine="0"/>
              <w:jc w:val="center"/>
              <w:rPr>
                <w:color w:val="FF0000"/>
              </w:rPr>
            </w:pPr>
            <w:r w:rsidRPr="006435A5">
              <w:t>8,155.8</w:t>
            </w:r>
          </w:p>
        </w:tc>
      </w:tr>
      <w:tr w:rsidR="00AD6087" w:rsidRPr="006435A5" w14:paraId="66933BD7" w14:textId="77777777" w:rsidTr="00A42F0D">
        <w:trPr>
          <w:trHeight w:val="452"/>
          <w:jc w:val="center"/>
        </w:trPr>
        <w:tc>
          <w:tcPr>
            <w:tcW w:w="3502" w:type="dxa"/>
            <w:tcBorders>
              <w:left w:val="nil"/>
              <w:right w:val="nil"/>
            </w:tcBorders>
            <w:vAlign w:val="center"/>
          </w:tcPr>
          <w:p w14:paraId="36FD7924" w14:textId="77777777" w:rsidR="00AD6087" w:rsidRPr="006435A5" w:rsidDel="00A75F14" w:rsidRDefault="00AD6087" w:rsidP="00A42F0D">
            <w:pPr>
              <w:spacing w:line="276" w:lineRule="auto"/>
              <w:ind w:firstLine="0"/>
              <w:jc w:val="left"/>
            </w:pPr>
            <w:r w:rsidRPr="006435A5">
              <w:t>Ընթացիկ</w:t>
            </w:r>
            <w:r w:rsidRPr="006435A5">
              <w:rPr>
                <w:rFonts w:cs="Arial"/>
              </w:rPr>
              <w:t xml:space="preserve"> </w:t>
            </w:r>
            <w:r w:rsidRPr="006435A5">
              <w:t>հաշվի</w:t>
            </w:r>
            <w:r w:rsidRPr="006435A5">
              <w:rPr>
                <w:rFonts w:cs="Arial"/>
              </w:rPr>
              <w:t xml:space="preserve"> </w:t>
            </w:r>
            <w:r w:rsidRPr="006435A5">
              <w:t>հաշվեկշիռ</w:t>
            </w:r>
            <w:r w:rsidRPr="006435A5">
              <w:rPr>
                <w:rFonts w:cs="Arial"/>
              </w:rPr>
              <w:t xml:space="preserve"> (</w:t>
            </w:r>
            <w:r w:rsidRPr="006435A5">
              <w:rPr>
                <w:rFonts w:cs="Arial"/>
                <w:iCs/>
              </w:rPr>
              <w:t xml:space="preserve">% </w:t>
            </w:r>
            <w:r w:rsidRPr="006435A5">
              <w:rPr>
                <w:iCs/>
              </w:rPr>
              <w:t>ՀՆԱ</w:t>
            </w:r>
            <w:r w:rsidRPr="006435A5">
              <w:rPr>
                <w:rFonts w:cs="Arial"/>
                <w:iCs/>
              </w:rPr>
              <w:t>-</w:t>
            </w:r>
            <w:r w:rsidRPr="006435A5">
              <w:rPr>
                <w:iCs/>
              </w:rPr>
              <w:t>ի</w:t>
            </w:r>
            <w:r w:rsidRPr="006435A5">
              <w:rPr>
                <w:rFonts w:cs="Arial"/>
                <w:iCs/>
              </w:rPr>
              <w:t xml:space="preserve"> </w:t>
            </w:r>
            <w:r w:rsidRPr="006435A5">
              <w:rPr>
                <w:iCs/>
              </w:rPr>
              <w:t>նկատմամբ</w:t>
            </w:r>
            <w:r w:rsidRPr="006435A5">
              <w:rPr>
                <w:rFonts w:cs="Arial"/>
              </w:rPr>
              <w:t>)</w:t>
            </w:r>
          </w:p>
        </w:tc>
        <w:tc>
          <w:tcPr>
            <w:tcW w:w="1322" w:type="dxa"/>
            <w:tcBorders>
              <w:left w:val="double" w:sz="4" w:space="0" w:color="auto"/>
              <w:right w:val="nil"/>
            </w:tcBorders>
            <w:vAlign w:val="center"/>
          </w:tcPr>
          <w:p w14:paraId="351D3E1C" w14:textId="77777777" w:rsidR="00AD6087" w:rsidRPr="006435A5" w:rsidDel="00A75F14" w:rsidRDefault="00AD6087" w:rsidP="00A42F0D">
            <w:pPr>
              <w:spacing w:line="276" w:lineRule="auto"/>
              <w:ind w:firstLine="0"/>
              <w:jc w:val="center"/>
              <w:rPr>
                <w:color w:val="FF0000"/>
              </w:rPr>
            </w:pPr>
            <w:r w:rsidRPr="006435A5">
              <w:t>-3.8</w:t>
            </w:r>
          </w:p>
        </w:tc>
        <w:tc>
          <w:tcPr>
            <w:tcW w:w="1277" w:type="dxa"/>
            <w:tcBorders>
              <w:left w:val="nil"/>
              <w:right w:val="nil"/>
            </w:tcBorders>
            <w:vAlign w:val="center"/>
          </w:tcPr>
          <w:p w14:paraId="3DE47E74" w14:textId="77777777" w:rsidR="00AD6087" w:rsidRPr="006435A5" w:rsidRDefault="00AD6087" w:rsidP="00A42F0D">
            <w:pPr>
              <w:spacing w:line="276" w:lineRule="auto"/>
              <w:ind w:firstLine="0"/>
              <w:jc w:val="center"/>
              <w:rPr>
                <w:color w:val="FF0000"/>
              </w:rPr>
            </w:pPr>
            <w:r w:rsidRPr="006435A5">
              <w:t>-2.1</w:t>
            </w:r>
          </w:p>
        </w:tc>
        <w:tc>
          <w:tcPr>
            <w:tcW w:w="1322" w:type="dxa"/>
            <w:tcBorders>
              <w:left w:val="nil"/>
              <w:right w:val="nil"/>
            </w:tcBorders>
            <w:vAlign w:val="center"/>
          </w:tcPr>
          <w:p w14:paraId="01D41085" w14:textId="77777777" w:rsidR="00AD6087" w:rsidRPr="006435A5" w:rsidDel="00A75F14" w:rsidRDefault="00AD6087" w:rsidP="00A42F0D">
            <w:pPr>
              <w:spacing w:line="276" w:lineRule="auto"/>
              <w:ind w:firstLine="0"/>
              <w:jc w:val="center"/>
              <w:rPr>
                <w:color w:val="FF0000"/>
              </w:rPr>
            </w:pPr>
            <w:r w:rsidRPr="006435A5">
              <w:t>-2.9</w:t>
            </w:r>
          </w:p>
        </w:tc>
        <w:tc>
          <w:tcPr>
            <w:tcW w:w="1233" w:type="dxa"/>
            <w:tcBorders>
              <w:left w:val="nil"/>
              <w:right w:val="nil"/>
            </w:tcBorders>
            <w:vAlign w:val="center"/>
          </w:tcPr>
          <w:p w14:paraId="3F8A72C4" w14:textId="77777777" w:rsidR="00AD6087" w:rsidRPr="006435A5" w:rsidDel="00A75F14" w:rsidRDefault="00AD6087" w:rsidP="00A42F0D">
            <w:pPr>
              <w:spacing w:line="276" w:lineRule="auto"/>
              <w:ind w:firstLine="0"/>
              <w:jc w:val="center"/>
              <w:rPr>
                <w:color w:val="FF0000"/>
              </w:rPr>
            </w:pPr>
            <w:r w:rsidRPr="006435A5">
              <w:t>-3.5</w:t>
            </w:r>
          </w:p>
        </w:tc>
        <w:tc>
          <w:tcPr>
            <w:tcW w:w="1110" w:type="dxa"/>
            <w:tcBorders>
              <w:left w:val="nil"/>
              <w:right w:val="nil"/>
            </w:tcBorders>
            <w:vAlign w:val="center"/>
          </w:tcPr>
          <w:p w14:paraId="3D61A8BD" w14:textId="77777777" w:rsidR="00AD6087" w:rsidRPr="006435A5" w:rsidDel="00A75F14" w:rsidRDefault="00AD6087" w:rsidP="00A42F0D">
            <w:pPr>
              <w:spacing w:line="276" w:lineRule="auto"/>
              <w:ind w:firstLine="0"/>
              <w:jc w:val="center"/>
              <w:rPr>
                <w:color w:val="FF0000"/>
              </w:rPr>
            </w:pPr>
            <w:r w:rsidRPr="006435A5">
              <w:t>-3.8</w:t>
            </w:r>
          </w:p>
        </w:tc>
      </w:tr>
      <w:tr w:rsidR="00AD6087" w:rsidRPr="006435A5" w14:paraId="33D58E85" w14:textId="77777777" w:rsidTr="00A42F0D">
        <w:trPr>
          <w:trHeight w:val="118"/>
          <w:jc w:val="center"/>
        </w:trPr>
        <w:tc>
          <w:tcPr>
            <w:tcW w:w="3502" w:type="dxa"/>
            <w:tcBorders>
              <w:left w:val="nil"/>
              <w:right w:val="nil"/>
            </w:tcBorders>
            <w:shd w:val="clear" w:color="auto" w:fill="D9D9D9"/>
            <w:vAlign w:val="center"/>
          </w:tcPr>
          <w:p w14:paraId="396B9780" w14:textId="77777777" w:rsidR="00AD6087" w:rsidRPr="006435A5" w:rsidDel="00A75F14" w:rsidRDefault="00AD6087" w:rsidP="00A42F0D">
            <w:pPr>
              <w:spacing w:line="276" w:lineRule="auto"/>
              <w:ind w:firstLine="0"/>
              <w:jc w:val="left"/>
            </w:pPr>
          </w:p>
        </w:tc>
        <w:tc>
          <w:tcPr>
            <w:tcW w:w="1322" w:type="dxa"/>
            <w:tcBorders>
              <w:left w:val="double" w:sz="4" w:space="0" w:color="auto"/>
              <w:right w:val="nil"/>
            </w:tcBorders>
            <w:shd w:val="clear" w:color="auto" w:fill="D9D9D9"/>
            <w:vAlign w:val="center"/>
          </w:tcPr>
          <w:p w14:paraId="6F9FCEA8" w14:textId="77777777" w:rsidR="00AD6087" w:rsidRPr="006435A5" w:rsidDel="00A75F14" w:rsidRDefault="00AD6087" w:rsidP="00A42F0D">
            <w:pPr>
              <w:spacing w:line="276" w:lineRule="auto"/>
              <w:ind w:firstLine="0"/>
              <w:jc w:val="center"/>
            </w:pPr>
          </w:p>
        </w:tc>
        <w:tc>
          <w:tcPr>
            <w:tcW w:w="1277" w:type="dxa"/>
            <w:tcBorders>
              <w:left w:val="nil"/>
              <w:right w:val="nil"/>
            </w:tcBorders>
            <w:shd w:val="clear" w:color="auto" w:fill="D9D9D9"/>
            <w:vAlign w:val="center"/>
          </w:tcPr>
          <w:p w14:paraId="60C7F5F8" w14:textId="77777777" w:rsidR="00AD6087" w:rsidRPr="006435A5" w:rsidRDefault="00AD6087" w:rsidP="00A42F0D">
            <w:pPr>
              <w:spacing w:line="276" w:lineRule="auto"/>
              <w:ind w:firstLine="0"/>
              <w:jc w:val="center"/>
            </w:pPr>
          </w:p>
        </w:tc>
        <w:tc>
          <w:tcPr>
            <w:tcW w:w="1322" w:type="dxa"/>
            <w:tcBorders>
              <w:left w:val="nil"/>
              <w:right w:val="nil"/>
            </w:tcBorders>
            <w:shd w:val="clear" w:color="auto" w:fill="D9D9D9"/>
            <w:vAlign w:val="center"/>
          </w:tcPr>
          <w:p w14:paraId="72341D82" w14:textId="77777777" w:rsidR="00AD6087" w:rsidRPr="006435A5" w:rsidDel="00A75F14" w:rsidRDefault="00AD6087" w:rsidP="00A42F0D">
            <w:pPr>
              <w:spacing w:line="276" w:lineRule="auto"/>
              <w:ind w:firstLine="0"/>
              <w:jc w:val="center"/>
            </w:pPr>
          </w:p>
        </w:tc>
        <w:tc>
          <w:tcPr>
            <w:tcW w:w="1233" w:type="dxa"/>
            <w:tcBorders>
              <w:left w:val="nil"/>
              <w:right w:val="nil"/>
            </w:tcBorders>
            <w:shd w:val="clear" w:color="auto" w:fill="D9D9D9"/>
            <w:vAlign w:val="center"/>
          </w:tcPr>
          <w:p w14:paraId="545CEC14" w14:textId="77777777" w:rsidR="00AD6087" w:rsidRPr="006435A5" w:rsidDel="00A75F14" w:rsidRDefault="00AD6087" w:rsidP="00A42F0D">
            <w:pPr>
              <w:spacing w:line="276" w:lineRule="auto"/>
              <w:ind w:firstLine="0"/>
              <w:jc w:val="center"/>
            </w:pPr>
          </w:p>
        </w:tc>
        <w:tc>
          <w:tcPr>
            <w:tcW w:w="1110" w:type="dxa"/>
            <w:tcBorders>
              <w:left w:val="nil"/>
              <w:right w:val="nil"/>
            </w:tcBorders>
            <w:shd w:val="clear" w:color="auto" w:fill="D9D9D9"/>
            <w:vAlign w:val="center"/>
          </w:tcPr>
          <w:p w14:paraId="0BD98BD1" w14:textId="77777777" w:rsidR="00AD6087" w:rsidRPr="006435A5" w:rsidDel="00A75F14" w:rsidRDefault="00AD6087" w:rsidP="00A42F0D">
            <w:pPr>
              <w:spacing w:line="276" w:lineRule="auto"/>
              <w:ind w:firstLine="0"/>
              <w:jc w:val="center"/>
            </w:pPr>
          </w:p>
        </w:tc>
      </w:tr>
      <w:tr w:rsidR="00AD6087" w:rsidRPr="006435A5" w14:paraId="46140379" w14:textId="77777777" w:rsidTr="00A42F0D">
        <w:trPr>
          <w:trHeight w:val="275"/>
          <w:jc w:val="center"/>
        </w:trPr>
        <w:tc>
          <w:tcPr>
            <w:tcW w:w="3502" w:type="dxa"/>
            <w:tcBorders>
              <w:left w:val="nil"/>
              <w:right w:val="nil"/>
            </w:tcBorders>
            <w:vAlign w:val="center"/>
          </w:tcPr>
          <w:p w14:paraId="22C943A2" w14:textId="77777777" w:rsidR="00AD6087" w:rsidRPr="006435A5" w:rsidDel="00A75F14" w:rsidRDefault="00AD6087" w:rsidP="00A42F0D">
            <w:pPr>
              <w:spacing w:line="276" w:lineRule="auto"/>
              <w:ind w:firstLine="0"/>
              <w:jc w:val="left"/>
            </w:pPr>
            <w:r w:rsidRPr="006435A5">
              <w:t>ՀՀ կառավարության պարտք (մլրդ դրամ)</w:t>
            </w:r>
          </w:p>
        </w:tc>
        <w:tc>
          <w:tcPr>
            <w:tcW w:w="1322" w:type="dxa"/>
            <w:tcBorders>
              <w:left w:val="double" w:sz="4" w:space="0" w:color="auto"/>
              <w:right w:val="nil"/>
            </w:tcBorders>
            <w:vAlign w:val="center"/>
          </w:tcPr>
          <w:p w14:paraId="1E3463FD" w14:textId="77777777" w:rsidR="00AD6087" w:rsidRPr="006435A5" w:rsidDel="00A75F14" w:rsidRDefault="00AD6087" w:rsidP="00A42F0D">
            <w:pPr>
              <w:spacing w:line="276" w:lineRule="auto"/>
              <w:ind w:firstLine="0"/>
              <w:jc w:val="center"/>
              <w:rPr>
                <w:color w:val="FF0000"/>
              </w:rPr>
            </w:pPr>
            <w:r w:rsidRPr="006435A5">
              <w:t>3,923.9</w:t>
            </w:r>
          </w:p>
        </w:tc>
        <w:tc>
          <w:tcPr>
            <w:tcW w:w="1277" w:type="dxa"/>
            <w:tcBorders>
              <w:left w:val="nil"/>
              <w:right w:val="nil"/>
            </w:tcBorders>
            <w:vAlign w:val="center"/>
          </w:tcPr>
          <w:p w14:paraId="5AEC94FC" w14:textId="77777777" w:rsidR="00AD6087" w:rsidRPr="006435A5" w:rsidRDefault="00AD6087" w:rsidP="00A42F0D">
            <w:pPr>
              <w:spacing w:line="276" w:lineRule="auto"/>
              <w:ind w:firstLine="0"/>
              <w:jc w:val="center"/>
              <w:rPr>
                <w:rFonts w:cs="Arial"/>
                <w:color w:val="FF0000"/>
              </w:rPr>
            </w:pPr>
            <w:r w:rsidRPr="006435A5">
              <w:t>4,286.3</w:t>
            </w:r>
          </w:p>
        </w:tc>
        <w:tc>
          <w:tcPr>
            <w:tcW w:w="1322" w:type="dxa"/>
            <w:tcBorders>
              <w:left w:val="nil"/>
              <w:right w:val="nil"/>
            </w:tcBorders>
            <w:vAlign w:val="center"/>
          </w:tcPr>
          <w:p w14:paraId="411C6A9A" w14:textId="77777777" w:rsidR="00AD6087" w:rsidRPr="006435A5" w:rsidDel="00A75F14" w:rsidRDefault="00AD6087" w:rsidP="00A42F0D">
            <w:pPr>
              <w:spacing w:line="276" w:lineRule="auto"/>
              <w:ind w:firstLine="0"/>
              <w:jc w:val="center"/>
              <w:rPr>
                <w:rFonts w:cs="Arial"/>
                <w:color w:val="FF0000"/>
              </w:rPr>
            </w:pPr>
            <w:r w:rsidRPr="006435A5">
              <w:t>4,579.8</w:t>
            </w:r>
          </w:p>
        </w:tc>
        <w:tc>
          <w:tcPr>
            <w:tcW w:w="1233" w:type="dxa"/>
            <w:tcBorders>
              <w:left w:val="nil"/>
              <w:right w:val="nil"/>
            </w:tcBorders>
            <w:vAlign w:val="center"/>
          </w:tcPr>
          <w:p w14:paraId="7A3274BA" w14:textId="77777777" w:rsidR="00AD6087" w:rsidRPr="006435A5" w:rsidDel="00A75F14" w:rsidRDefault="00AD6087" w:rsidP="00A42F0D">
            <w:pPr>
              <w:spacing w:line="276" w:lineRule="auto"/>
              <w:ind w:firstLine="0"/>
              <w:jc w:val="center"/>
              <w:rPr>
                <w:rFonts w:cs="Arial"/>
                <w:color w:val="FF0000"/>
              </w:rPr>
            </w:pPr>
            <w:r w:rsidRPr="006435A5">
              <w:t>4,794.8</w:t>
            </w:r>
          </w:p>
        </w:tc>
        <w:tc>
          <w:tcPr>
            <w:tcW w:w="1110" w:type="dxa"/>
            <w:tcBorders>
              <w:left w:val="nil"/>
              <w:right w:val="nil"/>
            </w:tcBorders>
            <w:vAlign w:val="center"/>
          </w:tcPr>
          <w:p w14:paraId="7CB4FB27" w14:textId="77777777" w:rsidR="00AD6087" w:rsidRPr="006435A5" w:rsidDel="00A75F14" w:rsidRDefault="00AD6087" w:rsidP="00A42F0D">
            <w:pPr>
              <w:spacing w:line="276" w:lineRule="auto"/>
              <w:ind w:firstLine="0"/>
              <w:jc w:val="center"/>
              <w:rPr>
                <w:rFonts w:cs="Arial"/>
                <w:color w:val="FF0000"/>
              </w:rPr>
            </w:pPr>
            <w:r w:rsidRPr="006435A5">
              <w:t>5,018.3</w:t>
            </w:r>
          </w:p>
        </w:tc>
      </w:tr>
      <w:tr w:rsidR="00AD6087" w:rsidRPr="006435A5" w14:paraId="6A40B95A" w14:textId="77777777" w:rsidTr="00A42F0D">
        <w:trPr>
          <w:trHeight w:val="452"/>
          <w:jc w:val="center"/>
        </w:trPr>
        <w:tc>
          <w:tcPr>
            <w:tcW w:w="3502" w:type="dxa"/>
            <w:tcBorders>
              <w:left w:val="nil"/>
              <w:bottom w:val="thickThinSmallGap" w:sz="24" w:space="0" w:color="auto"/>
              <w:right w:val="nil"/>
            </w:tcBorders>
            <w:vAlign w:val="center"/>
          </w:tcPr>
          <w:p w14:paraId="08D61FFD" w14:textId="77777777" w:rsidR="00AD6087" w:rsidRPr="006435A5" w:rsidRDefault="00AD6087" w:rsidP="00A42F0D">
            <w:pPr>
              <w:spacing w:line="276" w:lineRule="auto"/>
              <w:ind w:firstLine="0"/>
              <w:jc w:val="left"/>
            </w:pPr>
            <w:r w:rsidRPr="006435A5">
              <w:rPr>
                <w:lang w:val="ru-RU"/>
              </w:rPr>
              <w:t>Անվանական</w:t>
            </w:r>
            <w:r w:rsidRPr="006435A5">
              <w:rPr>
                <w:rFonts w:cs="Arial"/>
                <w:lang w:val="ru-RU"/>
              </w:rPr>
              <w:t xml:space="preserve"> </w:t>
            </w:r>
            <w:r w:rsidRPr="006435A5">
              <w:t>ՀՆԱ</w:t>
            </w:r>
            <w:r w:rsidRPr="006435A5">
              <w:rPr>
                <w:rFonts w:cs="Arial"/>
              </w:rPr>
              <w:t xml:space="preserve"> (</w:t>
            </w:r>
            <w:r w:rsidRPr="006435A5">
              <w:rPr>
                <w:lang w:val="ru-RU"/>
              </w:rPr>
              <w:t>միլիարդ</w:t>
            </w:r>
            <w:r w:rsidRPr="006435A5">
              <w:rPr>
                <w:rFonts w:cs="Arial"/>
              </w:rPr>
              <w:t xml:space="preserve"> </w:t>
            </w:r>
            <w:r w:rsidRPr="006435A5">
              <w:rPr>
                <w:lang w:val="ru-RU"/>
              </w:rPr>
              <w:t>դրամ</w:t>
            </w:r>
            <w:r w:rsidRPr="006435A5">
              <w:rPr>
                <w:rFonts w:cs="Arial"/>
              </w:rPr>
              <w:t>)</w:t>
            </w:r>
          </w:p>
        </w:tc>
        <w:tc>
          <w:tcPr>
            <w:tcW w:w="1322" w:type="dxa"/>
            <w:tcBorders>
              <w:left w:val="double" w:sz="4" w:space="0" w:color="auto"/>
              <w:bottom w:val="thickThinSmallGap" w:sz="24" w:space="0" w:color="auto"/>
              <w:right w:val="nil"/>
            </w:tcBorders>
            <w:vAlign w:val="center"/>
          </w:tcPr>
          <w:p w14:paraId="1995D706" w14:textId="77777777" w:rsidR="00AD6087" w:rsidRPr="006435A5" w:rsidRDefault="00AD6087" w:rsidP="00A42F0D">
            <w:pPr>
              <w:spacing w:line="276" w:lineRule="auto"/>
              <w:ind w:firstLine="0"/>
              <w:jc w:val="center"/>
            </w:pPr>
            <w:r w:rsidRPr="006435A5">
              <w:t>6,181.7</w:t>
            </w:r>
          </w:p>
        </w:tc>
        <w:tc>
          <w:tcPr>
            <w:tcW w:w="1277" w:type="dxa"/>
            <w:tcBorders>
              <w:left w:val="nil"/>
              <w:bottom w:val="thickThinSmallGap" w:sz="24" w:space="0" w:color="auto"/>
              <w:right w:val="nil"/>
            </w:tcBorders>
            <w:vAlign w:val="center"/>
          </w:tcPr>
          <w:p w14:paraId="2466B7CE" w14:textId="77777777" w:rsidR="00AD6087" w:rsidRPr="006435A5" w:rsidRDefault="00AD6087" w:rsidP="00A42F0D">
            <w:pPr>
              <w:spacing w:line="276" w:lineRule="auto"/>
              <w:ind w:firstLine="0"/>
              <w:jc w:val="center"/>
            </w:pPr>
            <w:r w:rsidRPr="006435A5">
              <w:t>6,880.2</w:t>
            </w:r>
          </w:p>
        </w:tc>
        <w:tc>
          <w:tcPr>
            <w:tcW w:w="1322" w:type="dxa"/>
            <w:tcBorders>
              <w:left w:val="nil"/>
              <w:bottom w:val="thickThinSmallGap" w:sz="24" w:space="0" w:color="auto"/>
              <w:right w:val="nil"/>
            </w:tcBorders>
            <w:vAlign w:val="center"/>
          </w:tcPr>
          <w:p w14:paraId="13A61D46" w14:textId="77777777" w:rsidR="00AD6087" w:rsidRPr="006435A5" w:rsidRDefault="00AD6087" w:rsidP="00A42F0D">
            <w:pPr>
              <w:spacing w:line="276" w:lineRule="auto"/>
              <w:ind w:firstLine="0"/>
              <w:jc w:val="center"/>
            </w:pPr>
            <w:r w:rsidRPr="006435A5">
              <w:t>7,570.8</w:t>
            </w:r>
          </w:p>
        </w:tc>
        <w:tc>
          <w:tcPr>
            <w:tcW w:w="1233" w:type="dxa"/>
            <w:tcBorders>
              <w:left w:val="nil"/>
              <w:bottom w:val="thickThinSmallGap" w:sz="24" w:space="0" w:color="auto"/>
              <w:right w:val="nil"/>
            </w:tcBorders>
            <w:vAlign w:val="center"/>
          </w:tcPr>
          <w:p w14:paraId="66BDCC30" w14:textId="77777777" w:rsidR="00AD6087" w:rsidRPr="006435A5" w:rsidRDefault="00AD6087" w:rsidP="00A42F0D">
            <w:pPr>
              <w:spacing w:line="276" w:lineRule="auto"/>
              <w:ind w:firstLine="0"/>
              <w:jc w:val="center"/>
            </w:pPr>
            <w:r w:rsidRPr="006435A5">
              <w:t>8,171.1</w:t>
            </w:r>
          </w:p>
        </w:tc>
        <w:tc>
          <w:tcPr>
            <w:tcW w:w="1110" w:type="dxa"/>
            <w:tcBorders>
              <w:left w:val="nil"/>
              <w:bottom w:val="thickThinSmallGap" w:sz="24" w:space="0" w:color="auto"/>
              <w:right w:val="nil"/>
            </w:tcBorders>
            <w:vAlign w:val="center"/>
          </w:tcPr>
          <w:p w14:paraId="1A4F2B66" w14:textId="77777777" w:rsidR="00AD6087" w:rsidRPr="006435A5" w:rsidRDefault="00AD6087" w:rsidP="00A42F0D">
            <w:pPr>
              <w:spacing w:line="276" w:lineRule="auto"/>
              <w:ind w:firstLine="0"/>
              <w:jc w:val="center"/>
            </w:pPr>
            <w:r w:rsidRPr="006435A5">
              <w:t>8,835.4</w:t>
            </w:r>
          </w:p>
        </w:tc>
      </w:tr>
    </w:tbl>
    <w:p w14:paraId="50138E9B" w14:textId="77777777" w:rsidR="00AD6087" w:rsidRPr="006435A5" w:rsidRDefault="00AD6087" w:rsidP="00AD6087">
      <w:pPr>
        <w:spacing w:line="276" w:lineRule="auto"/>
      </w:pPr>
    </w:p>
    <w:p w14:paraId="1952B324" w14:textId="77777777" w:rsidR="00AD6087" w:rsidRPr="006435A5" w:rsidRDefault="00AD6087" w:rsidP="00AD6087">
      <w:pPr>
        <w:spacing w:line="276" w:lineRule="auto"/>
      </w:pPr>
      <w:r w:rsidRPr="006435A5">
        <w:t>ՀՀ կառավարության պարտք/ՀՆԱ հարաբերակցությունը միջնաժամկետ հատվածում աստիճանաբար նվազում է, իսկ 2023 թվականի դեկտեմբերի 31-ի դրությամբ այն կգտնվի «Պետական պարտքի մասին» ՀՀ օրենքի 5-րդ հոդվածով նախատեսված 60 տոկոս սահմանային շեմից ներքև: Քանի որ 2023-2024 թվականներին յուրաքանչյուր տարվա վերջին ՀՀ կառավարության պարտք/ՀՆԱ ցուցանիշը գերազանցելու է 50%-ը, ուստի, համաձայն «Պետական պարտքի մասին» ՀՀ օրենքի 5-րդ հոդվածի 7-րդ կետի, կիրառվելու են օրենսդրությամբ սահմանված համապատասխան հարկաբյուջետային կանոնները:</w:t>
      </w:r>
    </w:p>
    <w:p w14:paraId="14AF35F6" w14:textId="77777777" w:rsidR="00AD6087" w:rsidRPr="006435A5" w:rsidRDefault="00AD6087" w:rsidP="00AD6087">
      <w:pPr>
        <w:spacing w:line="276" w:lineRule="auto"/>
      </w:pPr>
      <w:r w:rsidRPr="006435A5">
        <w:t>Քանի որ «Պետական պարտքի մասին» ՀՀ օրենքի 12-րդ հոդվածի 1-ին կետի համաձայն ՀՀ կառավարության պարտքի կառավարման ռազմավարական եռամյա ծրագիրը ներառվում է պետական միջնաժամկետ ծախսերի ծրագրի կազմում, ապա ՀՀ կառավարության պարտքի ռազմավարության հիմքում ընկած են 2022-2024 թվականների պետական միջնաժամկետ ծախսերի ծրագրի հիմնական մակրոտնտեսական սցենարի հետ համահունչ մակրոտնտեսական կանխատեսումներ, որոնց ռիսկերը մակրոտնտեսական կայունության տեսակետից կառավարելի են: Մակրոտնտեսական ցուցանիշներն ու դրանց հետ կապված ռիսկերի վերլուծությունները մանրամասն ներկայացված են 2022-2024 թվականների ՄԺԾԾ-ի «Մակրոտնտեսական զարգացումներ և կանխատեսումներ» հատվածում:</w:t>
      </w:r>
    </w:p>
    <w:p w14:paraId="20B5D597" w14:textId="77777777" w:rsidR="00AD6087" w:rsidRPr="006435A5" w:rsidRDefault="00AD6087" w:rsidP="00AD6087">
      <w:pPr>
        <w:spacing w:line="276" w:lineRule="auto"/>
      </w:pPr>
      <w:r w:rsidRPr="006435A5">
        <w:t xml:space="preserve">Մակրոտնտեսական իրատեսական կանխատեսումների մուտքագրումը պարտքի ծախսերի և ռիսկերի վերլուծության ժամանակ առանցքային նշանակություն ունի, քանի որ դրանց շեղումները կարող են էականորեն փոխել ռիսկերի ցուցանիշների մակարդակը և ուղղվածությունը: Այլ կերպ ասած, ինչպես շուկայական փոփոխականների, այնպես էլ մակրոտնտեսական ցուցանիշների տատանումները կարող են նշանակալի ազդեցություն ունենալ ՀՀ կառավարության պարտքի ծախսերի և ռիսկերի ցուցանիշների վրա: </w:t>
      </w:r>
    </w:p>
    <w:p w14:paraId="7ACFD6AC" w14:textId="77777777" w:rsidR="00AD6087" w:rsidRPr="006435A5" w:rsidRDefault="00AD6087" w:rsidP="00AD6087">
      <w:pPr>
        <w:spacing w:line="276" w:lineRule="auto"/>
      </w:pPr>
      <w:r w:rsidRPr="006435A5">
        <w:t>Ֆինանսավորման կարիքի կանխատեսումը հիմնական մակրոտնտեսական սցենարի ներքո հետևյալն է.</w:t>
      </w:r>
    </w:p>
    <w:p w14:paraId="126B7601" w14:textId="77777777" w:rsidR="00AD6087" w:rsidRPr="006435A5" w:rsidRDefault="00AD6087" w:rsidP="00AD6087">
      <w:pPr>
        <w:pStyle w:val="aff1"/>
        <w:spacing w:line="276" w:lineRule="auto"/>
      </w:pPr>
      <w:r w:rsidRPr="006435A5">
        <w:rPr>
          <w:b/>
        </w:rPr>
        <w:t xml:space="preserve">Աղյուսակ 3. </w:t>
      </w:r>
      <w:r w:rsidRPr="006435A5">
        <w:t>Ֆինանսավորման կարիք (մլրդ դրամ)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85"/>
        <w:gridCol w:w="1268"/>
        <w:gridCol w:w="1049"/>
        <w:gridCol w:w="1166"/>
        <w:gridCol w:w="1125"/>
        <w:gridCol w:w="1101"/>
      </w:tblGrid>
      <w:tr w:rsidR="00AD6087" w:rsidRPr="006435A5" w14:paraId="15C8BB13" w14:textId="77777777" w:rsidTr="00A42F0D">
        <w:trPr>
          <w:trHeight w:val="697"/>
          <w:tblHeader/>
          <w:jc w:val="center"/>
        </w:trPr>
        <w:tc>
          <w:tcPr>
            <w:tcW w:w="3885" w:type="dxa"/>
            <w:tcBorders>
              <w:top w:val="thinThickThinSmallGap" w:sz="24" w:space="0" w:color="auto"/>
              <w:left w:val="nil"/>
              <w:bottom w:val="thinThickSmallGap" w:sz="24" w:space="0" w:color="auto"/>
              <w:right w:val="nil"/>
            </w:tcBorders>
            <w:shd w:val="clear" w:color="auto" w:fill="5B9BD5"/>
          </w:tcPr>
          <w:p w14:paraId="3F9ABF08" w14:textId="77777777" w:rsidR="00AD6087" w:rsidRPr="006435A5" w:rsidRDefault="00AD6087" w:rsidP="00A42F0D">
            <w:pPr>
              <w:keepNext/>
              <w:spacing w:line="276" w:lineRule="auto"/>
              <w:ind w:firstLine="0"/>
            </w:pPr>
          </w:p>
        </w:tc>
        <w:tc>
          <w:tcPr>
            <w:tcW w:w="1268" w:type="dxa"/>
            <w:tcBorders>
              <w:top w:val="thinThickThinSmallGap" w:sz="24" w:space="0" w:color="auto"/>
              <w:left w:val="nil"/>
              <w:bottom w:val="thinThickSmallGap" w:sz="24" w:space="0" w:color="auto"/>
              <w:right w:val="nil"/>
            </w:tcBorders>
            <w:shd w:val="clear" w:color="auto" w:fill="5B9BD5"/>
            <w:vAlign w:val="center"/>
          </w:tcPr>
          <w:p w14:paraId="2E9F785D" w14:textId="77777777" w:rsidR="00AD6087" w:rsidRPr="006435A5" w:rsidRDefault="00AD6087" w:rsidP="00A42F0D">
            <w:pPr>
              <w:keepNext/>
              <w:spacing w:line="276" w:lineRule="auto"/>
              <w:ind w:firstLine="0"/>
              <w:jc w:val="center"/>
            </w:pPr>
            <w:r w:rsidRPr="006435A5">
              <w:t xml:space="preserve">2020 </w:t>
            </w:r>
            <w:r w:rsidRPr="006435A5">
              <w:rPr>
                <w:rFonts w:cs="Sylfaen"/>
                <w:lang w:val="ru-RU"/>
              </w:rPr>
              <w:t>փաստ</w:t>
            </w:r>
          </w:p>
        </w:tc>
        <w:tc>
          <w:tcPr>
            <w:tcW w:w="1049" w:type="dxa"/>
            <w:tcBorders>
              <w:top w:val="thinThickThinSmallGap" w:sz="24" w:space="0" w:color="auto"/>
              <w:left w:val="nil"/>
              <w:bottom w:val="thinThickSmallGap" w:sz="24" w:space="0" w:color="auto"/>
              <w:right w:val="nil"/>
            </w:tcBorders>
            <w:shd w:val="clear" w:color="auto" w:fill="5B9BD5"/>
            <w:vAlign w:val="center"/>
          </w:tcPr>
          <w:p w14:paraId="36D95530" w14:textId="77777777" w:rsidR="00AD6087" w:rsidRPr="006435A5" w:rsidRDefault="00AD6087" w:rsidP="00A42F0D">
            <w:pPr>
              <w:keepNext/>
              <w:spacing w:line="276" w:lineRule="auto"/>
              <w:ind w:firstLine="0"/>
              <w:jc w:val="center"/>
            </w:pPr>
            <w:r w:rsidRPr="006435A5">
              <w:t xml:space="preserve">2021 </w:t>
            </w:r>
            <w:r w:rsidRPr="006435A5">
              <w:rPr>
                <w:rFonts w:cs="Sylfaen"/>
                <w:lang w:val="ru-RU"/>
              </w:rPr>
              <w:t>կանխ</w:t>
            </w:r>
            <w:r w:rsidRPr="006435A5">
              <w:rPr>
                <w:lang w:val="ru-RU"/>
              </w:rPr>
              <w:t>.</w:t>
            </w:r>
          </w:p>
        </w:tc>
        <w:tc>
          <w:tcPr>
            <w:tcW w:w="1166" w:type="dxa"/>
            <w:tcBorders>
              <w:top w:val="thinThickThinSmallGap" w:sz="24" w:space="0" w:color="auto"/>
              <w:left w:val="nil"/>
              <w:bottom w:val="thinThickSmallGap" w:sz="24" w:space="0" w:color="auto"/>
              <w:right w:val="nil"/>
            </w:tcBorders>
            <w:shd w:val="clear" w:color="auto" w:fill="5B9BD5"/>
            <w:vAlign w:val="center"/>
          </w:tcPr>
          <w:p w14:paraId="4AA5DE44" w14:textId="77777777" w:rsidR="00AD6087" w:rsidRPr="006435A5" w:rsidRDefault="00AD6087" w:rsidP="00A42F0D">
            <w:pPr>
              <w:keepNext/>
              <w:spacing w:line="276" w:lineRule="auto"/>
              <w:ind w:firstLine="0"/>
              <w:jc w:val="center"/>
            </w:pPr>
            <w:r w:rsidRPr="006435A5">
              <w:t xml:space="preserve">2022 </w:t>
            </w:r>
            <w:r w:rsidRPr="006435A5">
              <w:rPr>
                <w:rFonts w:cs="Sylfaen"/>
                <w:lang w:val="ru-RU"/>
              </w:rPr>
              <w:t>կանխ</w:t>
            </w:r>
            <w:r w:rsidRPr="006435A5">
              <w:rPr>
                <w:lang w:val="ru-RU"/>
              </w:rPr>
              <w:t>.</w:t>
            </w:r>
          </w:p>
        </w:tc>
        <w:tc>
          <w:tcPr>
            <w:tcW w:w="1125" w:type="dxa"/>
            <w:tcBorders>
              <w:top w:val="thinThickThinSmallGap" w:sz="24" w:space="0" w:color="auto"/>
              <w:left w:val="nil"/>
              <w:bottom w:val="thinThickSmallGap" w:sz="24" w:space="0" w:color="auto"/>
              <w:right w:val="nil"/>
            </w:tcBorders>
            <w:shd w:val="clear" w:color="auto" w:fill="5B9BD5"/>
            <w:vAlign w:val="center"/>
          </w:tcPr>
          <w:p w14:paraId="584CA9A6" w14:textId="77777777" w:rsidR="00AD6087" w:rsidRPr="006435A5" w:rsidRDefault="00AD6087" w:rsidP="00A42F0D">
            <w:pPr>
              <w:keepNext/>
              <w:spacing w:line="276" w:lineRule="auto"/>
              <w:ind w:firstLine="0"/>
              <w:jc w:val="center"/>
            </w:pPr>
            <w:r w:rsidRPr="006435A5">
              <w:t xml:space="preserve">2023 </w:t>
            </w:r>
            <w:r w:rsidRPr="006435A5">
              <w:rPr>
                <w:rFonts w:cs="Sylfaen"/>
                <w:lang w:val="ru-RU"/>
              </w:rPr>
              <w:t>կանխ</w:t>
            </w:r>
            <w:r w:rsidRPr="006435A5">
              <w:rPr>
                <w:lang w:val="ru-RU"/>
              </w:rPr>
              <w:t>.</w:t>
            </w:r>
          </w:p>
        </w:tc>
        <w:tc>
          <w:tcPr>
            <w:tcW w:w="1101" w:type="dxa"/>
            <w:tcBorders>
              <w:top w:val="thinThickThinSmallGap" w:sz="24" w:space="0" w:color="auto"/>
              <w:left w:val="nil"/>
              <w:bottom w:val="thinThickSmallGap" w:sz="24" w:space="0" w:color="auto"/>
              <w:right w:val="nil"/>
            </w:tcBorders>
            <w:shd w:val="clear" w:color="auto" w:fill="5B9BD5"/>
            <w:vAlign w:val="center"/>
          </w:tcPr>
          <w:p w14:paraId="10152212" w14:textId="77777777" w:rsidR="00AD6087" w:rsidRPr="006435A5" w:rsidRDefault="00AD6087" w:rsidP="00A42F0D">
            <w:pPr>
              <w:keepNext/>
              <w:spacing w:line="276" w:lineRule="auto"/>
              <w:ind w:firstLine="0"/>
              <w:jc w:val="center"/>
            </w:pPr>
            <w:r w:rsidRPr="006435A5">
              <w:t xml:space="preserve">2024 </w:t>
            </w:r>
            <w:r w:rsidRPr="006435A5">
              <w:rPr>
                <w:rFonts w:cs="Sylfaen"/>
                <w:lang w:val="ru-RU"/>
              </w:rPr>
              <w:t>կանխ</w:t>
            </w:r>
            <w:r w:rsidRPr="006435A5">
              <w:rPr>
                <w:lang w:val="ru-RU"/>
              </w:rPr>
              <w:t>.</w:t>
            </w:r>
          </w:p>
        </w:tc>
      </w:tr>
      <w:tr w:rsidR="00AD6087" w:rsidRPr="006435A5" w14:paraId="629E94CF" w14:textId="77777777" w:rsidTr="00A42F0D">
        <w:trPr>
          <w:trHeight w:val="563"/>
          <w:jc w:val="center"/>
        </w:trPr>
        <w:tc>
          <w:tcPr>
            <w:tcW w:w="3885" w:type="dxa"/>
            <w:tcBorders>
              <w:top w:val="thinThickSmallGap" w:sz="24" w:space="0" w:color="auto"/>
              <w:left w:val="nil"/>
              <w:right w:val="nil"/>
            </w:tcBorders>
            <w:vAlign w:val="center"/>
          </w:tcPr>
          <w:p w14:paraId="50BD73A9" w14:textId="77777777" w:rsidR="00AD6087" w:rsidRPr="006435A5" w:rsidRDefault="00AD6087" w:rsidP="00A42F0D">
            <w:pPr>
              <w:spacing w:line="276" w:lineRule="auto"/>
              <w:ind w:firstLine="0"/>
              <w:jc w:val="left"/>
              <w:rPr>
                <w:rFonts w:cs="Arial"/>
              </w:rPr>
            </w:pPr>
            <w:r w:rsidRPr="006435A5">
              <w:t>Պետական</w:t>
            </w:r>
            <w:r w:rsidRPr="006435A5">
              <w:rPr>
                <w:rFonts w:cs="Arial"/>
              </w:rPr>
              <w:t xml:space="preserve"> </w:t>
            </w:r>
            <w:r w:rsidRPr="006435A5">
              <w:t>բյուջեի</w:t>
            </w:r>
            <w:r w:rsidRPr="006435A5">
              <w:rPr>
                <w:rFonts w:cs="Arial"/>
              </w:rPr>
              <w:t xml:space="preserve"> </w:t>
            </w:r>
            <w:r w:rsidRPr="006435A5">
              <w:t>առաջնային</w:t>
            </w:r>
            <w:r w:rsidRPr="006435A5">
              <w:rPr>
                <w:rFonts w:cs="Arial"/>
              </w:rPr>
              <w:t xml:space="preserve"> </w:t>
            </w:r>
            <w:r w:rsidRPr="006435A5">
              <w:t>պակասուրդ (դրականը՝ հավելուրդ)</w:t>
            </w:r>
          </w:p>
        </w:tc>
        <w:tc>
          <w:tcPr>
            <w:tcW w:w="1268" w:type="dxa"/>
            <w:tcBorders>
              <w:top w:val="thinThickSmallGap" w:sz="24" w:space="0" w:color="auto"/>
              <w:left w:val="nil"/>
              <w:right w:val="nil"/>
            </w:tcBorders>
            <w:vAlign w:val="center"/>
          </w:tcPr>
          <w:p w14:paraId="0F0AF73C" w14:textId="77777777" w:rsidR="00AD6087" w:rsidRPr="006435A5" w:rsidRDefault="00AD6087" w:rsidP="00A42F0D">
            <w:pPr>
              <w:spacing w:line="276" w:lineRule="auto"/>
              <w:ind w:firstLine="0"/>
              <w:jc w:val="center"/>
            </w:pPr>
            <w:r w:rsidRPr="006435A5">
              <w:t>(169.3)</w:t>
            </w:r>
          </w:p>
        </w:tc>
        <w:tc>
          <w:tcPr>
            <w:tcW w:w="1049" w:type="dxa"/>
            <w:tcBorders>
              <w:top w:val="thinThickSmallGap" w:sz="24" w:space="0" w:color="auto"/>
              <w:left w:val="nil"/>
              <w:right w:val="nil"/>
            </w:tcBorders>
            <w:vAlign w:val="center"/>
          </w:tcPr>
          <w:p w14:paraId="32BB6E4C" w14:textId="77777777" w:rsidR="00AD6087" w:rsidRPr="006435A5" w:rsidRDefault="00AD6087" w:rsidP="00A42F0D">
            <w:pPr>
              <w:spacing w:line="276" w:lineRule="auto"/>
              <w:ind w:firstLine="0"/>
              <w:jc w:val="center"/>
            </w:pPr>
            <w:r w:rsidRPr="006435A5">
              <w:t>(124.3)</w:t>
            </w:r>
          </w:p>
        </w:tc>
        <w:tc>
          <w:tcPr>
            <w:tcW w:w="1166" w:type="dxa"/>
            <w:tcBorders>
              <w:top w:val="thinThickSmallGap" w:sz="24" w:space="0" w:color="auto"/>
              <w:left w:val="nil"/>
              <w:right w:val="nil"/>
            </w:tcBorders>
            <w:vAlign w:val="center"/>
          </w:tcPr>
          <w:p w14:paraId="5B83279C" w14:textId="77777777" w:rsidR="00AD6087" w:rsidRPr="006435A5" w:rsidRDefault="00AD6087" w:rsidP="00A42F0D">
            <w:pPr>
              <w:spacing w:line="276" w:lineRule="auto"/>
              <w:ind w:firstLine="0"/>
              <w:jc w:val="center"/>
            </w:pPr>
            <w:r w:rsidRPr="006435A5">
              <w:t>34.0</w:t>
            </w:r>
          </w:p>
        </w:tc>
        <w:tc>
          <w:tcPr>
            <w:tcW w:w="1125" w:type="dxa"/>
            <w:tcBorders>
              <w:top w:val="thinThickSmallGap" w:sz="24" w:space="0" w:color="auto"/>
              <w:left w:val="nil"/>
              <w:right w:val="nil"/>
            </w:tcBorders>
            <w:vAlign w:val="center"/>
          </w:tcPr>
          <w:p w14:paraId="519368E2" w14:textId="77777777" w:rsidR="00AD6087" w:rsidRPr="006435A5" w:rsidRDefault="00AD6087" w:rsidP="00A42F0D">
            <w:pPr>
              <w:spacing w:line="276" w:lineRule="auto"/>
              <w:ind w:firstLine="0"/>
              <w:jc w:val="center"/>
            </w:pPr>
            <w:r w:rsidRPr="006435A5">
              <w:t>74.7</w:t>
            </w:r>
          </w:p>
        </w:tc>
        <w:tc>
          <w:tcPr>
            <w:tcW w:w="1101" w:type="dxa"/>
            <w:tcBorders>
              <w:top w:val="thinThickSmallGap" w:sz="24" w:space="0" w:color="auto"/>
              <w:left w:val="nil"/>
              <w:right w:val="nil"/>
            </w:tcBorders>
            <w:vAlign w:val="center"/>
          </w:tcPr>
          <w:p w14:paraId="1F2B7E72" w14:textId="77777777" w:rsidR="00AD6087" w:rsidRPr="006435A5" w:rsidRDefault="00AD6087" w:rsidP="00A42F0D">
            <w:pPr>
              <w:spacing w:line="276" w:lineRule="auto"/>
              <w:ind w:firstLine="0"/>
              <w:jc w:val="center"/>
            </w:pPr>
            <w:r w:rsidRPr="006435A5">
              <w:t>104.3</w:t>
            </w:r>
          </w:p>
        </w:tc>
      </w:tr>
      <w:tr w:rsidR="00AD6087" w:rsidRPr="006435A5" w14:paraId="022CEF51" w14:textId="77777777" w:rsidTr="00A42F0D">
        <w:trPr>
          <w:trHeight w:val="553"/>
          <w:jc w:val="center"/>
        </w:trPr>
        <w:tc>
          <w:tcPr>
            <w:tcW w:w="3885" w:type="dxa"/>
            <w:tcBorders>
              <w:left w:val="nil"/>
              <w:right w:val="nil"/>
            </w:tcBorders>
            <w:vAlign w:val="center"/>
          </w:tcPr>
          <w:p w14:paraId="78BFA848" w14:textId="77777777" w:rsidR="00AD6087" w:rsidRPr="006435A5" w:rsidRDefault="00AD6087" w:rsidP="00A42F0D">
            <w:pPr>
              <w:spacing w:line="276" w:lineRule="auto"/>
              <w:ind w:firstLine="0"/>
              <w:jc w:val="left"/>
              <w:rPr>
                <w:rFonts w:cs="Arial"/>
              </w:rPr>
            </w:pPr>
            <w:r w:rsidRPr="006435A5">
              <w:t>ՀՀ</w:t>
            </w:r>
            <w:r w:rsidRPr="006435A5">
              <w:rPr>
                <w:rFonts w:cs="Arial"/>
              </w:rPr>
              <w:t xml:space="preserve"> </w:t>
            </w:r>
            <w:r w:rsidRPr="006435A5">
              <w:t>կառավարության</w:t>
            </w:r>
            <w:r w:rsidRPr="006435A5">
              <w:rPr>
                <w:rFonts w:cs="Arial"/>
              </w:rPr>
              <w:t xml:space="preserve"> </w:t>
            </w:r>
            <w:r w:rsidRPr="006435A5">
              <w:t>պարտքի</w:t>
            </w:r>
            <w:r w:rsidRPr="006435A5">
              <w:rPr>
                <w:rFonts w:cs="Arial"/>
              </w:rPr>
              <w:t xml:space="preserve"> </w:t>
            </w:r>
            <w:r w:rsidRPr="006435A5">
              <w:t>տոկոսավճար</w:t>
            </w:r>
          </w:p>
        </w:tc>
        <w:tc>
          <w:tcPr>
            <w:tcW w:w="1268" w:type="dxa"/>
            <w:tcBorders>
              <w:left w:val="nil"/>
              <w:right w:val="nil"/>
            </w:tcBorders>
            <w:vAlign w:val="center"/>
          </w:tcPr>
          <w:p w14:paraId="6BA7BF40" w14:textId="77777777" w:rsidR="00AD6087" w:rsidRPr="006435A5" w:rsidRDefault="00AD6087" w:rsidP="00A42F0D">
            <w:pPr>
              <w:spacing w:line="276" w:lineRule="auto"/>
              <w:ind w:firstLine="0"/>
              <w:jc w:val="center"/>
            </w:pPr>
            <w:r w:rsidRPr="006435A5">
              <w:t>164.7</w:t>
            </w:r>
          </w:p>
        </w:tc>
        <w:tc>
          <w:tcPr>
            <w:tcW w:w="1049" w:type="dxa"/>
            <w:tcBorders>
              <w:left w:val="nil"/>
              <w:right w:val="nil"/>
            </w:tcBorders>
            <w:vAlign w:val="center"/>
          </w:tcPr>
          <w:p w14:paraId="1D60E613" w14:textId="77777777" w:rsidR="00AD6087" w:rsidRPr="006435A5" w:rsidRDefault="00AD6087" w:rsidP="00A42F0D">
            <w:pPr>
              <w:spacing w:line="276" w:lineRule="auto"/>
              <w:ind w:firstLine="0"/>
              <w:jc w:val="center"/>
              <w:rPr>
                <w:rFonts w:cs="Sylfaen"/>
              </w:rPr>
            </w:pPr>
            <w:r w:rsidRPr="006435A5">
              <w:t>194.5</w:t>
            </w:r>
          </w:p>
        </w:tc>
        <w:tc>
          <w:tcPr>
            <w:tcW w:w="1166" w:type="dxa"/>
            <w:tcBorders>
              <w:left w:val="nil"/>
              <w:right w:val="nil"/>
            </w:tcBorders>
            <w:vAlign w:val="center"/>
          </w:tcPr>
          <w:p w14:paraId="29672911" w14:textId="77777777" w:rsidR="00AD6087" w:rsidRPr="006435A5" w:rsidRDefault="00AD6087" w:rsidP="00A42F0D">
            <w:pPr>
              <w:spacing w:line="276" w:lineRule="auto"/>
              <w:ind w:firstLine="0"/>
              <w:jc w:val="center"/>
              <w:rPr>
                <w:rFonts w:cs="Sylfaen"/>
              </w:rPr>
            </w:pPr>
            <w:r w:rsidRPr="006435A5">
              <w:t>215.7</w:t>
            </w:r>
          </w:p>
        </w:tc>
        <w:tc>
          <w:tcPr>
            <w:tcW w:w="1125" w:type="dxa"/>
            <w:tcBorders>
              <w:left w:val="nil"/>
              <w:right w:val="nil"/>
            </w:tcBorders>
            <w:vAlign w:val="center"/>
          </w:tcPr>
          <w:p w14:paraId="759F338F" w14:textId="77777777" w:rsidR="00AD6087" w:rsidRPr="006435A5" w:rsidRDefault="00AD6087" w:rsidP="00A42F0D">
            <w:pPr>
              <w:spacing w:line="276" w:lineRule="auto"/>
              <w:ind w:firstLine="0"/>
              <w:jc w:val="center"/>
              <w:rPr>
                <w:rFonts w:cs="Sylfaen"/>
              </w:rPr>
            </w:pPr>
            <w:r w:rsidRPr="006435A5">
              <w:t>243.5</w:t>
            </w:r>
          </w:p>
        </w:tc>
        <w:tc>
          <w:tcPr>
            <w:tcW w:w="1101" w:type="dxa"/>
            <w:tcBorders>
              <w:left w:val="nil"/>
              <w:right w:val="nil"/>
            </w:tcBorders>
            <w:vAlign w:val="center"/>
          </w:tcPr>
          <w:p w14:paraId="7789F29A" w14:textId="77777777" w:rsidR="00AD6087" w:rsidRPr="006435A5" w:rsidRDefault="00AD6087" w:rsidP="00A42F0D">
            <w:pPr>
              <w:spacing w:line="276" w:lineRule="auto"/>
              <w:ind w:firstLine="0"/>
              <w:jc w:val="center"/>
              <w:rPr>
                <w:rFonts w:cs="Sylfaen"/>
              </w:rPr>
            </w:pPr>
            <w:r w:rsidRPr="006435A5">
              <w:t>268.1</w:t>
            </w:r>
          </w:p>
        </w:tc>
      </w:tr>
      <w:tr w:rsidR="00AD6087" w:rsidRPr="006435A5" w14:paraId="72E6082F" w14:textId="77777777" w:rsidTr="00A42F0D">
        <w:trPr>
          <w:trHeight w:val="437"/>
          <w:jc w:val="center"/>
        </w:trPr>
        <w:tc>
          <w:tcPr>
            <w:tcW w:w="3885" w:type="dxa"/>
            <w:tcBorders>
              <w:left w:val="nil"/>
              <w:right w:val="nil"/>
            </w:tcBorders>
            <w:vAlign w:val="center"/>
          </w:tcPr>
          <w:p w14:paraId="10E5A329" w14:textId="77777777" w:rsidR="00AD6087" w:rsidRPr="006435A5" w:rsidRDefault="00AD6087" w:rsidP="00A42F0D">
            <w:pPr>
              <w:spacing w:line="276" w:lineRule="auto"/>
              <w:ind w:firstLine="0"/>
              <w:jc w:val="left"/>
              <w:rPr>
                <w:rFonts w:cs="Arial"/>
              </w:rPr>
            </w:pPr>
            <w:r w:rsidRPr="006435A5">
              <w:t>ՀՀ</w:t>
            </w:r>
            <w:r w:rsidRPr="006435A5">
              <w:rPr>
                <w:rFonts w:cs="Arial"/>
              </w:rPr>
              <w:t xml:space="preserve"> </w:t>
            </w:r>
            <w:r w:rsidRPr="006435A5">
              <w:t>կառավարության</w:t>
            </w:r>
            <w:r w:rsidRPr="006435A5">
              <w:rPr>
                <w:rFonts w:cs="Arial"/>
              </w:rPr>
              <w:t xml:space="preserve"> </w:t>
            </w:r>
            <w:r w:rsidRPr="006435A5">
              <w:t>պարտքի</w:t>
            </w:r>
            <w:r w:rsidRPr="006435A5">
              <w:rPr>
                <w:rFonts w:cs="Arial"/>
              </w:rPr>
              <w:t xml:space="preserve"> </w:t>
            </w:r>
            <w:r w:rsidRPr="006435A5">
              <w:t>մարում</w:t>
            </w:r>
          </w:p>
        </w:tc>
        <w:tc>
          <w:tcPr>
            <w:tcW w:w="1268" w:type="dxa"/>
            <w:tcBorders>
              <w:left w:val="nil"/>
              <w:right w:val="nil"/>
            </w:tcBorders>
            <w:vAlign w:val="center"/>
          </w:tcPr>
          <w:p w14:paraId="54B1203B" w14:textId="77777777" w:rsidR="00AD6087" w:rsidRPr="006435A5" w:rsidRDefault="00AD6087" w:rsidP="00A42F0D">
            <w:pPr>
              <w:spacing w:line="276" w:lineRule="auto"/>
              <w:ind w:firstLine="0"/>
              <w:jc w:val="center"/>
            </w:pPr>
            <w:r w:rsidRPr="006435A5">
              <w:t>260.5</w:t>
            </w:r>
          </w:p>
        </w:tc>
        <w:tc>
          <w:tcPr>
            <w:tcW w:w="1049" w:type="dxa"/>
            <w:tcBorders>
              <w:left w:val="nil"/>
              <w:right w:val="nil"/>
            </w:tcBorders>
            <w:vAlign w:val="center"/>
          </w:tcPr>
          <w:p w14:paraId="2A2E5B17" w14:textId="77777777" w:rsidR="00AD6087" w:rsidRPr="006435A5" w:rsidRDefault="00AD6087" w:rsidP="00A42F0D">
            <w:pPr>
              <w:spacing w:line="276" w:lineRule="auto"/>
              <w:ind w:firstLine="0"/>
              <w:jc w:val="center"/>
              <w:rPr>
                <w:rFonts w:cs="Sylfaen"/>
              </w:rPr>
            </w:pPr>
            <w:r w:rsidRPr="006435A5">
              <w:t>272.4</w:t>
            </w:r>
          </w:p>
        </w:tc>
        <w:tc>
          <w:tcPr>
            <w:tcW w:w="1166" w:type="dxa"/>
            <w:tcBorders>
              <w:left w:val="nil"/>
              <w:right w:val="nil"/>
            </w:tcBorders>
            <w:vAlign w:val="center"/>
          </w:tcPr>
          <w:p w14:paraId="4F694B29" w14:textId="77777777" w:rsidR="00AD6087" w:rsidRPr="006435A5" w:rsidRDefault="00AD6087" w:rsidP="00A42F0D">
            <w:pPr>
              <w:spacing w:line="276" w:lineRule="auto"/>
              <w:ind w:firstLine="0"/>
              <w:jc w:val="center"/>
              <w:rPr>
                <w:rFonts w:cs="Sylfaen"/>
              </w:rPr>
            </w:pPr>
            <w:r w:rsidRPr="006435A5">
              <w:t>312.8</w:t>
            </w:r>
          </w:p>
        </w:tc>
        <w:tc>
          <w:tcPr>
            <w:tcW w:w="1125" w:type="dxa"/>
            <w:tcBorders>
              <w:left w:val="nil"/>
              <w:right w:val="nil"/>
            </w:tcBorders>
            <w:vAlign w:val="center"/>
          </w:tcPr>
          <w:p w14:paraId="15753A84" w14:textId="77777777" w:rsidR="00AD6087" w:rsidRPr="006435A5" w:rsidRDefault="00AD6087" w:rsidP="00A42F0D">
            <w:pPr>
              <w:spacing w:line="276" w:lineRule="auto"/>
              <w:ind w:firstLine="0"/>
              <w:jc w:val="center"/>
              <w:rPr>
                <w:rFonts w:cs="Sylfaen"/>
              </w:rPr>
            </w:pPr>
            <w:r w:rsidRPr="006435A5">
              <w:t>373.4</w:t>
            </w:r>
          </w:p>
        </w:tc>
        <w:tc>
          <w:tcPr>
            <w:tcW w:w="1101" w:type="dxa"/>
            <w:tcBorders>
              <w:left w:val="nil"/>
              <w:right w:val="nil"/>
            </w:tcBorders>
            <w:vAlign w:val="center"/>
          </w:tcPr>
          <w:p w14:paraId="4D528C87" w14:textId="77777777" w:rsidR="00AD6087" w:rsidRPr="006435A5" w:rsidRDefault="00AD6087" w:rsidP="00A42F0D">
            <w:pPr>
              <w:spacing w:line="276" w:lineRule="auto"/>
              <w:ind w:firstLine="0"/>
              <w:jc w:val="center"/>
              <w:rPr>
                <w:rFonts w:cs="Sylfaen"/>
              </w:rPr>
            </w:pPr>
            <w:r w:rsidRPr="006435A5">
              <w:t>701.2</w:t>
            </w:r>
          </w:p>
        </w:tc>
      </w:tr>
      <w:tr w:rsidR="00AD6087" w:rsidRPr="006435A5" w14:paraId="5E34DB4E" w14:textId="77777777" w:rsidTr="00A42F0D">
        <w:trPr>
          <w:trHeight w:val="415"/>
          <w:jc w:val="center"/>
        </w:trPr>
        <w:tc>
          <w:tcPr>
            <w:tcW w:w="3885" w:type="dxa"/>
            <w:tcBorders>
              <w:left w:val="nil"/>
              <w:right w:val="nil"/>
            </w:tcBorders>
            <w:vAlign w:val="center"/>
          </w:tcPr>
          <w:p w14:paraId="7DD4D78D" w14:textId="77777777" w:rsidR="00AD6087" w:rsidRPr="006435A5" w:rsidRDefault="00AD6087" w:rsidP="00A42F0D">
            <w:pPr>
              <w:spacing w:line="276" w:lineRule="auto"/>
              <w:ind w:firstLine="0"/>
              <w:jc w:val="left"/>
              <w:rPr>
                <w:rFonts w:cs="Arial"/>
              </w:rPr>
            </w:pPr>
            <w:r w:rsidRPr="006435A5">
              <w:t>Ֆինանսավորման</w:t>
            </w:r>
            <w:r w:rsidRPr="006435A5">
              <w:rPr>
                <w:rFonts w:cs="Arial"/>
              </w:rPr>
              <w:t xml:space="preserve"> </w:t>
            </w:r>
            <w:r w:rsidRPr="006435A5">
              <w:t>կարիք</w:t>
            </w:r>
          </w:p>
        </w:tc>
        <w:tc>
          <w:tcPr>
            <w:tcW w:w="1268" w:type="dxa"/>
            <w:tcBorders>
              <w:left w:val="nil"/>
              <w:right w:val="nil"/>
            </w:tcBorders>
            <w:vAlign w:val="center"/>
          </w:tcPr>
          <w:p w14:paraId="695E2C63" w14:textId="77777777" w:rsidR="00AD6087" w:rsidRPr="006435A5" w:rsidRDefault="00AD6087" w:rsidP="00A42F0D">
            <w:pPr>
              <w:spacing w:line="276" w:lineRule="auto"/>
              <w:ind w:firstLine="0"/>
              <w:jc w:val="center"/>
            </w:pPr>
            <w:r w:rsidRPr="006435A5">
              <w:t>594.5</w:t>
            </w:r>
          </w:p>
        </w:tc>
        <w:tc>
          <w:tcPr>
            <w:tcW w:w="1049" w:type="dxa"/>
            <w:tcBorders>
              <w:left w:val="nil"/>
              <w:right w:val="nil"/>
            </w:tcBorders>
            <w:vAlign w:val="center"/>
          </w:tcPr>
          <w:p w14:paraId="5CD9CF05" w14:textId="77777777" w:rsidR="00AD6087" w:rsidRPr="006435A5" w:rsidRDefault="00AD6087" w:rsidP="00A42F0D">
            <w:pPr>
              <w:spacing w:line="276" w:lineRule="auto"/>
              <w:ind w:firstLine="0"/>
              <w:jc w:val="center"/>
            </w:pPr>
            <w:r w:rsidRPr="006435A5">
              <w:t>591.2</w:t>
            </w:r>
          </w:p>
        </w:tc>
        <w:tc>
          <w:tcPr>
            <w:tcW w:w="1166" w:type="dxa"/>
            <w:tcBorders>
              <w:left w:val="nil"/>
              <w:right w:val="nil"/>
            </w:tcBorders>
            <w:vAlign w:val="center"/>
          </w:tcPr>
          <w:p w14:paraId="2AE7D2BA" w14:textId="77777777" w:rsidR="00AD6087" w:rsidRPr="006435A5" w:rsidRDefault="00AD6087" w:rsidP="00A42F0D">
            <w:pPr>
              <w:spacing w:line="276" w:lineRule="auto"/>
              <w:ind w:firstLine="0"/>
              <w:jc w:val="center"/>
            </w:pPr>
            <w:r w:rsidRPr="006435A5">
              <w:t>494.5</w:t>
            </w:r>
          </w:p>
        </w:tc>
        <w:tc>
          <w:tcPr>
            <w:tcW w:w="1125" w:type="dxa"/>
            <w:tcBorders>
              <w:left w:val="nil"/>
              <w:right w:val="nil"/>
            </w:tcBorders>
            <w:vAlign w:val="center"/>
          </w:tcPr>
          <w:p w14:paraId="1A8BF03B" w14:textId="77777777" w:rsidR="00AD6087" w:rsidRPr="006435A5" w:rsidRDefault="00AD6087" w:rsidP="00A42F0D">
            <w:pPr>
              <w:spacing w:line="276" w:lineRule="auto"/>
              <w:ind w:firstLine="0"/>
              <w:jc w:val="center"/>
            </w:pPr>
            <w:r w:rsidRPr="006435A5">
              <w:t>542.2</w:t>
            </w:r>
          </w:p>
        </w:tc>
        <w:tc>
          <w:tcPr>
            <w:tcW w:w="1101" w:type="dxa"/>
            <w:tcBorders>
              <w:left w:val="nil"/>
              <w:right w:val="nil"/>
            </w:tcBorders>
            <w:vAlign w:val="center"/>
          </w:tcPr>
          <w:p w14:paraId="058BC5ED" w14:textId="77777777" w:rsidR="00AD6087" w:rsidRPr="006435A5" w:rsidRDefault="00AD6087" w:rsidP="00A42F0D">
            <w:pPr>
              <w:spacing w:line="276" w:lineRule="auto"/>
              <w:ind w:firstLine="0"/>
              <w:jc w:val="center"/>
            </w:pPr>
            <w:r w:rsidRPr="006435A5">
              <w:t>865.0</w:t>
            </w:r>
          </w:p>
        </w:tc>
      </w:tr>
      <w:tr w:rsidR="00AD6087" w:rsidRPr="006435A5" w14:paraId="06917DA6" w14:textId="77777777" w:rsidTr="00A42F0D">
        <w:trPr>
          <w:trHeight w:val="478"/>
          <w:jc w:val="center"/>
        </w:trPr>
        <w:tc>
          <w:tcPr>
            <w:tcW w:w="3885" w:type="dxa"/>
            <w:tcBorders>
              <w:left w:val="nil"/>
              <w:bottom w:val="thickThinSmallGap" w:sz="24" w:space="0" w:color="auto"/>
              <w:right w:val="nil"/>
            </w:tcBorders>
            <w:vAlign w:val="center"/>
          </w:tcPr>
          <w:p w14:paraId="2CCE20BF" w14:textId="77777777" w:rsidR="00AD6087" w:rsidRPr="006435A5" w:rsidRDefault="00AD6087" w:rsidP="00A42F0D">
            <w:pPr>
              <w:spacing w:line="276" w:lineRule="auto"/>
              <w:ind w:firstLine="0"/>
              <w:jc w:val="left"/>
              <w:rPr>
                <w:rFonts w:cs="Arial"/>
              </w:rPr>
            </w:pPr>
            <w:r w:rsidRPr="006435A5">
              <w:t>Ֆինանսավորման</w:t>
            </w:r>
            <w:r w:rsidRPr="006435A5">
              <w:rPr>
                <w:rFonts w:cs="Arial"/>
              </w:rPr>
              <w:t xml:space="preserve"> </w:t>
            </w:r>
            <w:r w:rsidRPr="006435A5">
              <w:t>կարիք</w:t>
            </w:r>
            <w:r w:rsidRPr="006435A5">
              <w:rPr>
                <w:rFonts w:cs="Arial"/>
              </w:rPr>
              <w:t>/</w:t>
            </w:r>
            <w:r w:rsidRPr="006435A5">
              <w:rPr>
                <w:lang w:val="ru-RU"/>
              </w:rPr>
              <w:t>ՀՆԱ</w:t>
            </w:r>
            <w:r w:rsidRPr="006435A5">
              <w:rPr>
                <w:rFonts w:cs="Arial"/>
              </w:rPr>
              <w:t>, %</w:t>
            </w:r>
          </w:p>
        </w:tc>
        <w:tc>
          <w:tcPr>
            <w:tcW w:w="1268" w:type="dxa"/>
            <w:tcBorders>
              <w:left w:val="nil"/>
              <w:bottom w:val="thickThinSmallGap" w:sz="24" w:space="0" w:color="auto"/>
              <w:right w:val="nil"/>
            </w:tcBorders>
            <w:vAlign w:val="center"/>
          </w:tcPr>
          <w:p w14:paraId="7ACAF7F4" w14:textId="77777777" w:rsidR="00AD6087" w:rsidRPr="006435A5" w:rsidRDefault="00AD6087" w:rsidP="00A42F0D">
            <w:pPr>
              <w:spacing w:line="276" w:lineRule="auto"/>
              <w:ind w:firstLine="0"/>
              <w:jc w:val="center"/>
            </w:pPr>
            <w:r w:rsidRPr="006435A5">
              <w:t>9</w:t>
            </w:r>
            <w:r w:rsidRPr="006435A5">
              <w:rPr>
                <w:rFonts w:ascii="Cambria Math" w:hAnsi="Cambria Math" w:cs="Cambria Math"/>
              </w:rPr>
              <w:t>․</w:t>
            </w:r>
            <w:r w:rsidRPr="006435A5">
              <w:t>6</w:t>
            </w:r>
          </w:p>
        </w:tc>
        <w:tc>
          <w:tcPr>
            <w:tcW w:w="1049" w:type="dxa"/>
            <w:tcBorders>
              <w:left w:val="nil"/>
              <w:bottom w:val="thickThinSmallGap" w:sz="24" w:space="0" w:color="auto"/>
              <w:right w:val="nil"/>
            </w:tcBorders>
            <w:vAlign w:val="center"/>
          </w:tcPr>
          <w:p w14:paraId="57975129" w14:textId="77777777" w:rsidR="00AD6087" w:rsidRPr="006435A5" w:rsidRDefault="00AD6087" w:rsidP="00A42F0D">
            <w:pPr>
              <w:spacing w:line="276" w:lineRule="auto"/>
              <w:ind w:firstLine="0"/>
              <w:jc w:val="center"/>
            </w:pPr>
            <w:r w:rsidRPr="006435A5">
              <w:t>8.6</w:t>
            </w:r>
          </w:p>
        </w:tc>
        <w:tc>
          <w:tcPr>
            <w:tcW w:w="1166" w:type="dxa"/>
            <w:tcBorders>
              <w:left w:val="nil"/>
              <w:bottom w:val="thickThinSmallGap" w:sz="24" w:space="0" w:color="auto"/>
              <w:right w:val="nil"/>
            </w:tcBorders>
            <w:vAlign w:val="center"/>
          </w:tcPr>
          <w:p w14:paraId="6311861B" w14:textId="77777777" w:rsidR="00AD6087" w:rsidRPr="006435A5" w:rsidRDefault="00AD6087" w:rsidP="00A42F0D">
            <w:pPr>
              <w:spacing w:line="276" w:lineRule="auto"/>
              <w:ind w:firstLine="0"/>
              <w:jc w:val="center"/>
            </w:pPr>
            <w:r w:rsidRPr="006435A5">
              <w:t>6.5</w:t>
            </w:r>
          </w:p>
        </w:tc>
        <w:tc>
          <w:tcPr>
            <w:tcW w:w="1125" w:type="dxa"/>
            <w:tcBorders>
              <w:left w:val="nil"/>
              <w:bottom w:val="thickThinSmallGap" w:sz="24" w:space="0" w:color="auto"/>
              <w:right w:val="nil"/>
            </w:tcBorders>
            <w:vAlign w:val="center"/>
          </w:tcPr>
          <w:p w14:paraId="3252AF72" w14:textId="77777777" w:rsidR="00AD6087" w:rsidRPr="006435A5" w:rsidRDefault="00AD6087" w:rsidP="00A42F0D">
            <w:pPr>
              <w:spacing w:line="276" w:lineRule="auto"/>
              <w:ind w:firstLine="0"/>
              <w:jc w:val="center"/>
            </w:pPr>
            <w:r w:rsidRPr="006435A5">
              <w:t>6.6</w:t>
            </w:r>
          </w:p>
        </w:tc>
        <w:tc>
          <w:tcPr>
            <w:tcW w:w="1101" w:type="dxa"/>
            <w:tcBorders>
              <w:left w:val="nil"/>
              <w:bottom w:val="thickThinSmallGap" w:sz="24" w:space="0" w:color="auto"/>
              <w:right w:val="nil"/>
            </w:tcBorders>
            <w:vAlign w:val="center"/>
          </w:tcPr>
          <w:p w14:paraId="29218900" w14:textId="77777777" w:rsidR="00AD6087" w:rsidRPr="006435A5" w:rsidRDefault="00AD6087" w:rsidP="00A42F0D">
            <w:pPr>
              <w:spacing w:line="276" w:lineRule="auto"/>
              <w:ind w:firstLine="0"/>
              <w:jc w:val="center"/>
            </w:pPr>
            <w:r w:rsidRPr="006435A5">
              <w:t>9.8</w:t>
            </w:r>
          </w:p>
        </w:tc>
      </w:tr>
    </w:tbl>
    <w:p w14:paraId="168E0912" w14:textId="77777777" w:rsidR="00AD6087" w:rsidRPr="006435A5" w:rsidRDefault="00AD6087" w:rsidP="00AD6087">
      <w:pPr>
        <w:spacing w:line="276" w:lineRule="auto"/>
        <w:rPr>
          <w:highlight w:val="yellow"/>
        </w:rPr>
      </w:pPr>
    </w:p>
    <w:p w14:paraId="61FEC11E" w14:textId="77777777" w:rsidR="00AD6087" w:rsidRPr="006435A5" w:rsidRDefault="00AD6087" w:rsidP="00AD6087">
      <w:pPr>
        <w:spacing w:line="276" w:lineRule="auto"/>
        <w:rPr>
          <w:color w:val="FF0000"/>
        </w:rPr>
      </w:pPr>
      <w:r w:rsidRPr="006435A5">
        <w:t>ՀՀ կառավարության պարտքի աճին զուգընթաց միջնաժամկետ հատվածում ավելանում են նաև տոկոսավճարներն ու մարումները: 2022–2024 թվականների պետական բյուջեի առաջնային հավելուրդները նվազեցնում են ֆինանսավորման կարիքը։ Ֆինանսավորման կարիքի հարաբերակցությունը ՀՆԱ-ում նախորդ տարվա նկատմամբ 2022 թվականին նվազում է 2.1 տոկոսային կետով, իսկ 2023 և 2024 թվականներին աճում է համապատասխանաբար 0.1 և 3</w:t>
      </w:r>
      <w:r w:rsidRPr="006435A5">
        <w:rPr>
          <w:rFonts w:ascii="Cambria Math" w:hAnsi="Cambria Math" w:cs="Cambria Math"/>
        </w:rPr>
        <w:t>․</w:t>
      </w:r>
      <w:r w:rsidRPr="006435A5">
        <w:t>2 տոկոսային կետով: 2024 թվականին ֆինանսավորման կարիքի կանխատեսված կտրուկ աճը պայմանավորված է 2025 թվականին մարվող 500 մլն ԱՄՆ դոլար ծավալով եվրապարտատոմսերի 2024 թվականին նախատեսված հետգնմամբ:</w:t>
      </w:r>
    </w:p>
    <w:p w14:paraId="054383FA" w14:textId="77777777" w:rsidR="00AD6087" w:rsidRPr="006435A5" w:rsidRDefault="00AD6087" w:rsidP="00AD6087">
      <w:pPr>
        <w:spacing w:line="276" w:lineRule="auto"/>
      </w:pPr>
      <w:r w:rsidRPr="006435A5">
        <w:t xml:space="preserve">2022-2024 թվականների ՀՀ կառավարության պարտքի կառավարման ռազմավարության իրագործման հիմքում ընկած են վերը նշված մակրոտնտեսական ենթադրությունները: Սակայն, արտաքին տնտեսական միջավայրից բխող շոկերի ի հայտ գալը որոշակի ռիսկեր կարող է առաջացնել ռազմավարությամբ նախատեսվող նպատակադրումների ապահովման տեսակետից: </w:t>
      </w:r>
    </w:p>
    <w:p w14:paraId="0A2ACCC4" w14:textId="77777777" w:rsidR="00AD6087" w:rsidRPr="006435A5" w:rsidRDefault="00AD6087" w:rsidP="00AD6087">
      <w:pPr>
        <w:spacing w:line="276" w:lineRule="auto"/>
      </w:pPr>
    </w:p>
    <w:p w14:paraId="26FE1E7F" w14:textId="2BCE5625" w:rsidR="00AD6087" w:rsidRPr="006435A5" w:rsidRDefault="00AD6087" w:rsidP="00BB2C3D">
      <w:pPr>
        <w:spacing w:line="276" w:lineRule="auto"/>
      </w:pPr>
      <w:r w:rsidRPr="006435A5">
        <w:br w:type="page"/>
      </w:r>
      <w:bookmarkStart w:id="673" w:name="_Toc77434487"/>
      <w:r w:rsidR="00BB2C3D" w:rsidRPr="00BB2C3D">
        <w:rPr>
          <w:b/>
          <w:color w:val="1F497D" w:themeColor="text2"/>
        </w:rPr>
        <w:t>ՆՊԱՏԱԿԱԴՐՈՒՄՆԵՐՆ ՈՒ ԻՐԱԿԱՆԱՑՎԵԼԻՔ ՄԻՋՈՑԱՌՈՒՄՆԵՐԸ</w:t>
      </w:r>
      <w:bookmarkEnd w:id="673"/>
    </w:p>
    <w:p w14:paraId="7DE4B6D0" w14:textId="77777777" w:rsidR="00AD6087" w:rsidRPr="006435A5" w:rsidRDefault="00AD6087" w:rsidP="00AD6087">
      <w:pPr>
        <w:spacing w:line="276" w:lineRule="auto"/>
      </w:pPr>
    </w:p>
    <w:p w14:paraId="4A46511C" w14:textId="77777777" w:rsidR="00AD6087" w:rsidRPr="006435A5" w:rsidRDefault="00AD6087" w:rsidP="00AD6087">
      <w:pPr>
        <w:numPr>
          <w:ilvl w:val="0"/>
          <w:numId w:val="44"/>
        </w:numPr>
        <w:spacing w:before="0" w:after="0" w:line="276" w:lineRule="auto"/>
      </w:pPr>
      <w:r w:rsidRPr="006435A5">
        <w:t>Միջնաժամկետ և երկարաժամկետ հատվածներում, շուկայի մասնակիցների կազմի ու կառուցվածքի նպատակաուղղված փոփոխության և թվաքանակի էական մեծացման պայմաններում, կաճի պետական բյուջեի դեֆիցիտի ֆինանսավորման աղբյուրներում ներքին փոխառու զուտ միջոցների տեսա</w:t>
      </w:r>
      <w:r w:rsidRPr="006435A5">
        <w:softHyphen/>
        <w:t>կարար կշիռը: Այն միտված կլինի նվազեցնել փոխարժեքի ռիսկը, ինչպես նաև հիմքեր կստեղծի ֆինանսական շուկայում նոր գործիքների (լողացող, ինդեքսավորվող, նպատակային և այլն) կիրառման ու շուկայի հետագա զարգացման համար: Կենսաթոշակային և ապահովագրական բարեփոխումների ընթացքով պայմանավորված՝ հնարավոր կլինի արագացնել պետական բյուջեի դեֆիցիտի ֆինանսավորման աղբյուրներում ներքին փոխառու զուտ միջոցների տեսա</w:t>
      </w:r>
      <w:r w:rsidRPr="006435A5">
        <w:softHyphen/>
        <w:t xml:space="preserve">կարար կշռի մեծացման գործընթացը: </w:t>
      </w:r>
    </w:p>
    <w:p w14:paraId="06A26948" w14:textId="77777777" w:rsidR="00AD6087" w:rsidRPr="006435A5" w:rsidRDefault="00AD6087" w:rsidP="00AD6087">
      <w:pPr>
        <w:numPr>
          <w:ilvl w:val="0"/>
          <w:numId w:val="44"/>
        </w:numPr>
        <w:spacing w:before="0" w:after="0" w:line="276" w:lineRule="auto"/>
      </w:pPr>
      <w:r w:rsidRPr="006435A5">
        <w:t>Որպես ներքին պետական պարտքի կառավարման նպատակադրում՝ կշարու</w:t>
      </w:r>
      <w:r w:rsidRPr="006435A5">
        <w:softHyphen/>
        <w:t xml:space="preserve">նակվի դիտարկվել պետական գանձապետական պարտատոմսերի իրացվելիության աճը` մեծացնելով շրջանառության մեջ գտնվող պարտատոմսերի ծավալը: </w:t>
      </w:r>
    </w:p>
    <w:p w14:paraId="1FAD94EC" w14:textId="77777777" w:rsidR="00AD6087" w:rsidRPr="006435A5" w:rsidRDefault="00AD6087" w:rsidP="00AD6087">
      <w:pPr>
        <w:numPr>
          <w:ilvl w:val="0"/>
          <w:numId w:val="44"/>
        </w:numPr>
        <w:spacing w:before="0" w:after="0" w:line="276" w:lineRule="auto"/>
      </w:pPr>
      <w:r w:rsidRPr="006435A5">
        <w:rPr>
          <w:shd w:val="clear" w:color="auto" w:fill="FFFFFF"/>
        </w:rPr>
        <w:t>Պետական կարճաժամկետ պարտատոմսերի տեղաբաշխումների ծավալների ավելացման միջոցով դրանց թողարկումները կկենտրոնացվեն 6 ամիս մարման ժամկետ ունեցող պարտատոմսերի շուրջ։ Կարճաժամկետ պարտատոմսերի թողարկումների կենտրոնացումը 6 ամիս մարման ժամկետ ունեցող պարտատոմսերի շուրջ կնպաստի դրամային շուկայում իրացվելիության բարձրացմանը, ինչպես նաև հնարավորություն կտա ձևավորել ուղենիշ, որը կարևոր է</w:t>
      </w:r>
      <w:r w:rsidRPr="006435A5">
        <w:rPr>
          <w:rFonts w:ascii="Calibri" w:hAnsi="Calibri" w:cs="Calibri"/>
          <w:shd w:val="clear" w:color="auto" w:fill="FFFFFF"/>
        </w:rPr>
        <w:t> </w:t>
      </w:r>
      <w:r w:rsidRPr="006435A5">
        <w:rPr>
          <w:shd w:val="clear" w:color="auto" w:fill="FFFFFF"/>
        </w:rPr>
        <w:t>կապիտալի շուկայի այլ հատվածների հետագա զարգացման համար:</w:t>
      </w:r>
    </w:p>
    <w:p w14:paraId="6136EA30" w14:textId="77777777" w:rsidR="00AD6087" w:rsidRPr="006435A5" w:rsidRDefault="00AD6087" w:rsidP="00AD6087">
      <w:pPr>
        <w:numPr>
          <w:ilvl w:val="0"/>
          <w:numId w:val="44"/>
        </w:numPr>
        <w:spacing w:before="0" w:after="0" w:line="276" w:lineRule="auto"/>
      </w:pPr>
      <w:r w:rsidRPr="006435A5">
        <w:t>Ֆինանսական շուկաներում բարենպաստ զարգացումների պայմաններում կդիտարկվի ֆինանսական միջոցների որոշակի կուտակման և բուֆերի ապահովման հնարավորությունը: Ներքին և արտաքին շուկաներում անցան</w:t>
      </w:r>
      <w:r w:rsidRPr="006435A5">
        <w:softHyphen/>
        <w:t>կալի գործընթացների դեպքում այն թույլ կտա ՀՀ պետական բյուջեի կատարումն իրականացնել առանց ցնցումների, ինչպես նաև հարկ եղած դեպքում ճշգրտել պետական գանձապետական պարտատոմսերով դեֆիցի</w:t>
      </w:r>
      <w:r w:rsidRPr="006435A5">
        <w:softHyphen/>
        <w:t>տի ֆինանսավորման չափը:</w:t>
      </w:r>
    </w:p>
    <w:p w14:paraId="12C32615" w14:textId="77777777" w:rsidR="00AD6087" w:rsidRPr="006435A5" w:rsidRDefault="00AD6087" w:rsidP="00AD6087">
      <w:pPr>
        <w:numPr>
          <w:ilvl w:val="0"/>
          <w:numId w:val="44"/>
        </w:numPr>
        <w:spacing w:before="0" w:after="0" w:line="276" w:lineRule="auto"/>
      </w:pPr>
      <w:r w:rsidRPr="006435A5">
        <w:t>Միջազգային լավագույն փորձին համապատասխան կվերանայվի պարտքային գործառ</w:t>
      </w:r>
      <w:r w:rsidRPr="006435A5">
        <w:softHyphen/>
        <w:t>նությունները կարգավորող օրենսդրությունը, մասնավորապես, կվերանայվի «Պետական պարտքի մասին» ՀՀ օրենքը և այն կհամապատասխանեցվի միջազգային ֆինանսական կառույցների կողմից կիրառվող նոր չափանիշներին: «Պետական պարտքի մասին» ՀՀ օրենքի բարելավումը, որպես միջոցառում, ներառվել է նաև ՀՀ կառավարության 2019 թվականի նոյեմբերի 28-ի N 1716-Լ որոշմամբ հաստատված «Պետական ֆինանսների կառավարման համակարգի 2019-2023 թվականների բարեփոխումների ռազմավարությունում» և «Պետական ֆինանսների կառավարման համակարգի բարեփոխումների 2019-2023 թվականների գործողությունների ծրագրում»:</w:t>
      </w:r>
    </w:p>
    <w:p w14:paraId="6398A3A8" w14:textId="77777777" w:rsidR="00AD6087" w:rsidRPr="006435A5" w:rsidRDefault="00AD6087" w:rsidP="00AD6087">
      <w:pPr>
        <w:numPr>
          <w:ilvl w:val="0"/>
          <w:numId w:val="44"/>
        </w:numPr>
        <w:spacing w:before="0" w:after="0" w:line="276" w:lineRule="auto"/>
        <w:rPr>
          <w:b/>
        </w:rPr>
      </w:pPr>
      <w:r w:rsidRPr="006435A5">
        <w:t>Պարտքի արդյունավետ կառավարման կարևորագույն գործոններից է թափանցի</w:t>
      </w:r>
      <w:r w:rsidRPr="006435A5">
        <w:softHyphen/>
        <w:t>կության ու հասարակության հետ մշտական հաղորդակցության ապահովումը: Այդ նպատակով կառավարությունը կշարունակի ներդրողների ու հանրության հետ բաց ու հրապարակային աշխատանքները և պարտքի վերաբերյալ հաշվետ</w:t>
      </w:r>
      <w:r w:rsidRPr="006435A5">
        <w:softHyphen/>
        <w:t xml:space="preserve">վությունների ներկայացումը:  </w:t>
      </w:r>
    </w:p>
    <w:p w14:paraId="71CB4E6D" w14:textId="77777777" w:rsidR="00AD6087" w:rsidRPr="006435A5" w:rsidRDefault="00AD6087" w:rsidP="00AD6087">
      <w:pPr>
        <w:numPr>
          <w:ilvl w:val="0"/>
          <w:numId w:val="44"/>
        </w:numPr>
        <w:spacing w:before="0" w:after="0" w:line="276" w:lineRule="auto"/>
      </w:pPr>
      <w:r w:rsidRPr="006435A5">
        <w:t>2025 թվականին մարվող եվրապարտատոմսերը վերաֆինան</w:t>
      </w:r>
      <w:r w:rsidRPr="006435A5">
        <w:softHyphen/>
        <w:t>սա</w:t>
      </w:r>
      <w:r w:rsidRPr="006435A5">
        <w:softHyphen/>
        <w:t xml:space="preserve">վորելու նպատակով 2024 թվականին նախատեսվում է իրականացնել նոր եվրապարտատոմսերի թողարկում, որից ստացված միջոցները կուղղվեն 2025 թվականին մարվող եվրապարտատոմսերի հետգնմանը: Այդ գործառնությունները 2024 թվականի ՀՀ պետական բյուջեի պակասուրդի ֆինանսավորման վրա ազդեցություն չեն ունենա։ </w:t>
      </w:r>
    </w:p>
    <w:p w14:paraId="1F8CA91B" w14:textId="77777777" w:rsidR="00AD6087" w:rsidRPr="006435A5" w:rsidRDefault="00AD6087" w:rsidP="00AD6087">
      <w:pPr>
        <w:numPr>
          <w:ilvl w:val="0"/>
          <w:numId w:val="44"/>
        </w:numPr>
        <w:spacing w:before="0" w:after="0" w:line="276" w:lineRule="auto"/>
      </w:pPr>
      <w:r w:rsidRPr="006435A5">
        <w:t>ՀՀ ֆինանսների նախարարությունը կշարունակի պետական գանձապետական պարտատոմ</w:t>
      </w:r>
      <w:r w:rsidRPr="006435A5">
        <w:softHyphen/>
        <w:t>սերի հետգնումների, փոխա</w:t>
      </w:r>
      <w:r w:rsidRPr="006435A5">
        <w:softHyphen/>
        <w:t>նակումների իրականացումը` նպատակ ունենալով հարթեցնել պարտ</w:t>
      </w:r>
      <w:r w:rsidRPr="006435A5">
        <w:softHyphen/>
        <w:t>քի մարման գրաֆիկը և նվազեցնել վերաֆինանսավորման ռիսկը, ինչպես նաև բարձ</w:t>
      </w:r>
      <w:r w:rsidRPr="006435A5">
        <w:softHyphen/>
        <w:t>րաց</w:t>
      </w:r>
      <w:r w:rsidRPr="006435A5">
        <w:softHyphen/>
        <w:t xml:space="preserve">նել տեղաբաշխվող պարտատոմսերի իրացվելիությունը և նպաստել երկրորդային շուկայի զարգացմանը: </w:t>
      </w:r>
    </w:p>
    <w:p w14:paraId="72402DDF" w14:textId="77777777" w:rsidR="00AD6087" w:rsidRPr="006435A5" w:rsidRDefault="00AD6087" w:rsidP="00AD6087">
      <w:pPr>
        <w:numPr>
          <w:ilvl w:val="0"/>
          <w:numId w:val="44"/>
        </w:numPr>
        <w:spacing w:before="0" w:after="0" w:line="276" w:lineRule="auto"/>
      </w:pPr>
      <w:r w:rsidRPr="006435A5">
        <w:t xml:space="preserve">Կներդրվի պետական գանձապետական պարտատոմսերի փոխանակման աճուրդների կազմակերպման էլեկտրոնային համակարգ: </w:t>
      </w:r>
    </w:p>
    <w:p w14:paraId="232CC5A4" w14:textId="77777777" w:rsidR="00AD6087" w:rsidRPr="006435A5" w:rsidRDefault="00AD6087" w:rsidP="00AD6087">
      <w:pPr>
        <w:numPr>
          <w:ilvl w:val="0"/>
          <w:numId w:val="44"/>
        </w:numPr>
        <w:spacing w:before="0" w:after="0" w:line="276" w:lineRule="auto"/>
      </w:pPr>
      <w:r w:rsidRPr="006435A5">
        <w:t>Կարևորելով պետական գանձապետական պարտատոմսերի մանրածախ շուկայի զարգացումը` քայլեր կձեռնարկվեն խնայողական պարտատոմսերի ներդրողների շրջանակը մեծացնելու և ժամկետայնությունը երկարացնելու ուղղու</w:t>
      </w:r>
      <w:r w:rsidRPr="006435A5">
        <w:softHyphen/>
        <w:t>թյամբ: Այս առումով, կառավարության նկատմամբ վստահության ամրապնդման ուղղությամբ քայլերին զուգահեռ, կիրականացվեն հանրային իրազեկման աշխատանքներ պոտեն</w:t>
      </w:r>
      <w:r w:rsidRPr="006435A5">
        <w:softHyphen/>
        <w:t xml:space="preserve">ցիալ ներդրողների շրջանում: </w:t>
      </w:r>
    </w:p>
    <w:p w14:paraId="07A6E159" w14:textId="77777777" w:rsidR="00AD6087" w:rsidRPr="006435A5" w:rsidRDefault="00AD6087" w:rsidP="00AD6087">
      <w:pPr>
        <w:numPr>
          <w:ilvl w:val="0"/>
          <w:numId w:val="44"/>
        </w:numPr>
        <w:spacing w:before="0" w:after="0" w:line="276" w:lineRule="auto"/>
      </w:pPr>
      <w:r w:rsidRPr="006435A5">
        <w:t>Համագործակցությունն արտաքին վարկատուների հետ կշարունակվի՝ նա</w:t>
      </w:r>
      <w:r w:rsidRPr="006435A5">
        <w:softHyphen/>
        <w:t>խա</w:t>
      </w:r>
      <w:r w:rsidRPr="006435A5">
        <w:softHyphen/>
      </w:r>
      <w:r w:rsidRPr="006435A5">
        <w:softHyphen/>
        <w:t>պատվությունը տալով վարկավորման առավել բարենպաստ պայմաններով և ազատ փոխարկելի արժույթով փոխառու միջոցներ տրամադրող վարկատուների հետ համա</w:t>
      </w:r>
      <w:r w:rsidRPr="006435A5">
        <w:softHyphen/>
        <w:t>գործակ</w:t>
      </w:r>
      <w:r w:rsidRPr="006435A5">
        <w:softHyphen/>
        <w:t xml:space="preserve">ցությանը, և աստիճանաբար անցում կկատարվի շուկայական գործիքներով պակասուրդի ֆինանսավորմանը: </w:t>
      </w:r>
    </w:p>
    <w:p w14:paraId="281FD2B9" w14:textId="09899F36" w:rsidR="00AD6087" w:rsidRPr="006435A5" w:rsidRDefault="00AD6087" w:rsidP="00BB2C3D">
      <w:pPr>
        <w:spacing w:line="276" w:lineRule="auto"/>
      </w:pPr>
      <w:r w:rsidRPr="006435A5">
        <w:br w:type="page"/>
      </w:r>
      <w:bookmarkStart w:id="674" w:name="_Toc77434488"/>
      <w:r w:rsidR="00BB2C3D" w:rsidRPr="00BB2C3D">
        <w:rPr>
          <w:b/>
          <w:color w:val="1F497D" w:themeColor="text2"/>
        </w:rPr>
        <w:t>ՈՒՂԵՆՇԱՅԻՆ ՑՈՒՑԱՆԻՇՆԵՐԸ</w:t>
      </w:r>
      <w:bookmarkEnd w:id="674"/>
    </w:p>
    <w:p w14:paraId="67E3D04E" w14:textId="77777777" w:rsidR="00AD6087" w:rsidRPr="00AD6087" w:rsidRDefault="00AD6087" w:rsidP="00AD6087">
      <w:pPr>
        <w:spacing w:line="276" w:lineRule="auto"/>
        <w:rPr>
          <w:lang w:val="es-ES"/>
        </w:rPr>
      </w:pP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պորտֆելի</w:t>
      </w:r>
      <w:r w:rsidRPr="00AD6087">
        <w:rPr>
          <w:lang w:val="es-ES"/>
        </w:rPr>
        <w:t xml:space="preserve"> </w:t>
      </w:r>
      <w:r w:rsidRPr="006435A5">
        <w:t>արդյունավետ</w:t>
      </w:r>
      <w:r w:rsidRPr="00AD6087">
        <w:rPr>
          <w:lang w:val="es-ES"/>
        </w:rPr>
        <w:t xml:space="preserve"> </w:t>
      </w:r>
      <w:r w:rsidRPr="006435A5">
        <w:t>կառավարման</w:t>
      </w:r>
      <w:r w:rsidRPr="00AD6087">
        <w:rPr>
          <w:lang w:val="es-ES"/>
        </w:rPr>
        <w:t xml:space="preserve"> </w:t>
      </w:r>
      <w:r w:rsidRPr="006435A5">
        <w:t>նպատակով</w:t>
      </w:r>
      <w:r w:rsidRPr="00AD6087">
        <w:rPr>
          <w:lang w:val="es-ES"/>
        </w:rPr>
        <w:t xml:space="preserve"> </w:t>
      </w:r>
      <w:r w:rsidRPr="006435A5">
        <w:t>անհրաժեշտ</w:t>
      </w:r>
      <w:r w:rsidRPr="00AD6087">
        <w:rPr>
          <w:lang w:val="es-ES"/>
        </w:rPr>
        <w:t xml:space="preserve"> </w:t>
      </w:r>
      <w:r w:rsidRPr="006435A5">
        <w:t>է</w:t>
      </w:r>
      <w:r w:rsidRPr="00AD6087">
        <w:rPr>
          <w:lang w:val="es-ES"/>
        </w:rPr>
        <w:t xml:space="preserve"> </w:t>
      </w:r>
      <w:r w:rsidRPr="006435A5">
        <w:t>բացահայտել</w:t>
      </w:r>
      <w:r w:rsidRPr="00AD6087">
        <w:rPr>
          <w:lang w:val="es-ES"/>
        </w:rPr>
        <w:t xml:space="preserve"> </w:t>
      </w:r>
      <w:r w:rsidRPr="006435A5">
        <w:t>և</w:t>
      </w:r>
      <w:r w:rsidRPr="00AD6087">
        <w:rPr>
          <w:lang w:val="es-ES"/>
        </w:rPr>
        <w:t xml:space="preserve"> </w:t>
      </w:r>
      <w:r w:rsidRPr="006435A5">
        <w:t>գնահատել</w:t>
      </w:r>
      <w:r w:rsidRPr="00AD6087">
        <w:rPr>
          <w:lang w:val="es-ES"/>
        </w:rPr>
        <w:t xml:space="preserve"> </w:t>
      </w: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պորտֆելին</w:t>
      </w:r>
      <w:r w:rsidRPr="00AD6087">
        <w:rPr>
          <w:lang w:val="es-ES"/>
        </w:rPr>
        <w:t xml:space="preserve"> </w:t>
      </w:r>
      <w:r w:rsidRPr="006435A5">
        <w:t>բնորոշ</w:t>
      </w:r>
      <w:r w:rsidRPr="00AD6087">
        <w:rPr>
          <w:lang w:val="es-ES"/>
        </w:rPr>
        <w:t xml:space="preserve"> </w:t>
      </w:r>
      <w:r w:rsidRPr="006435A5">
        <w:t>ռիսկերը</w:t>
      </w:r>
      <w:r w:rsidRPr="00AD6087">
        <w:rPr>
          <w:lang w:val="es-ES"/>
        </w:rPr>
        <w:t xml:space="preserve">: </w:t>
      </w:r>
      <w:r w:rsidRPr="006435A5">
        <w:t>Այդ</w:t>
      </w:r>
      <w:r w:rsidRPr="00AD6087">
        <w:rPr>
          <w:lang w:val="es-ES"/>
        </w:rPr>
        <w:t xml:space="preserve"> </w:t>
      </w:r>
      <w:r w:rsidRPr="006435A5">
        <w:t>պատճառով</w:t>
      </w:r>
      <w:r w:rsidRPr="00AD6087">
        <w:rPr>
          <w:lang w:val="es-ES"/>
        </w:rPr>
        <w:t xml:space="preserve"> </w:t>
      </w: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կառավարման</w:t>
      </w:r>
      <w:r w:rsidRPr="00AD6087">
        <w:rPr>
          <w:lang w:val="es-ES"/>
        </w:rPr>
        <w:t xml:space="preserve"> </w:t>
      </w:r>
      <w:r w:rsidRPr="006435A5">
        <w:t>ռազմավարությունը</w:t>
      </w:r>
      <w:r w:rsidRPr="00AD6087">
        <w:rPr>
          <w:lang w:val="es-ES"/>
        </w:rPr>
        <w:t xml:space="preserve"> </w:t>
      </w:r>
      <w:r w:rsidRPr="006435A5">
        <w:t>սահմանում</w:t>
      </w:r>
      <w:r w:rsidRPr="00AD6087">
        <w:rPr>
          <w:lang w:val="es-ES"/>
        </w:rPr>
        <w:t xml:space="preserve"> </w:t>
      </w:r>
      <w:r w:rsidRPr="006435A5">
        <w:t>է</w:t>
      </w:r>
      <w:r w:rsidRPr="00AD6087">
        <w:rPr>
          <w:lang w:val="es-ES"/>
        </w:rPr>
        <w:t xml:space="preserve"> </w:t>
      </w:r>
      <w:r w:rsidRPr="006435A5">
        <w:t>պարտքի</w:t>
      </w:r>
      <w:r w:rsidRPr="00AD6087">
        <w:rPr>
          <w:lang w:val="es-ES"/>
        </w:rPr>
        <w:t xml:space="preserve"> </w:t>
      </w:r>
      <w:r w:rsidRPr="006435A5">
        <w:t>պորտֆելի</w:t>
      </w:r>
      <w:r w:rsidRPr="00AD6087">
        <w:rPr>
          <w:lang w:val="es-ES"/>
        </w:rPr>
        <w:t xml:space="preserve"> </w:t>
      </w:r>
      <w:r w:rsidRPr="006435A5">
        <w:t>ռիսկերի</w:t>
      </w:r>
      <w:r w:rsidRPr="00AD6087">
        <w:rPr>
          <w:lang w:val="es-ES"/>
        </w:rPr>
        <w:t xml:space="preserve"> </w:t>
      </w:r>
      <w:r w:rsidRPr="006435A5">
        <w:t>ուղենշային</w:t>
      </w:r>
      <w:r w:rsidRPr="00AD6087">
        <w:rPr>
          <w:lang w:val="es-ES"/>
        </w:rPr>
        <w:t xml:space="preserve"> </w:t>
      </w:r>
      <w:r w:rsidRPr="006435A5">
        <w:t>ցուցանիշներ</w:t>
      </w:r>
      <w:r w:rsidRPr="00AD6087">
        <w:rPr>
          <w:lang w:val="es-ES"/>
        </w:rPr>
        <w:t xml:space="preserve">, </w:t>
      </w:r>
      <w:r w:rsidRPr="006435A5">
        <w:t>որոնց</w:t>
      </w:r>
      <w:r w:rsidRPr="00AD6087">
        <w:rPr>
          <w:lang w:val="es-ES"/>
        </w:rPr>
        <w:t xml:space="preserve"> </w:t>
      </w:r>
      <w:r w:rsidRPr="006435A5">
        <w:t>նպատակն</w:t>
      </w:r>
      <w:r w:rsidRPr="00AD6087">
        <w:rPr>
          <w:lang w:val="es-ES"/>
        </w:rPr>
        <w:t xml:space="preserve"> </w:t>
      </w:r>
      <w:r w:rsidRPr="006435A5">
        <w:t>է</w:t>
      </w:r>
      <w:r w:rsidRPr="00AD6087">
        <w:rPr>
          <w:lang w:val="es-ES"/>
        </w:rPr>
        <w:t xml:space="preserve"> </w:t>
      </w:r>
      <w:r w:rsidRPr="006435A5">
        <w:t>որոշակի</w:t>
      </w:r>
      <w:r w:rsidRPr="00AD6087">
        <w:rPr>
          <w:lang w:val="es-ES"/>
        </w:rPr>
        <w:t xml:space="preserve"> </w:t>
      </w:r>
      <w:r w:rsidRPr="006435A5">
        <w:t>սահմանափակումների</w:t>
      </w:r>
      <w:r w:rsidRPr="00AD6087">
        <w:rPr>
          <w:lang w:val="es-ES"/>
        </w:rPr>
        <w:t xml:space="preserve"> </w:t>
      </w:r>
      <w:r w:rsidRPr="006435A5">
        <w:t>միջոցով</w:t>
      </w:r>
      <w:r w:rsidRPr="00AD6087">
        <w:rPr>
          <w:lang w:val="es-ES"/>
        </w:rPr>
        <w:t xml:space="preserve"> </w:t>
      </w:r>
      <w:r w:rsidRPr="006435A5">
        <w:t>պահպանել</w:t>
      </w:r>
      <w:r w:rsidRPr="00AD6087">
        <w:rPr>
          <w:lang w:val="es-ES"/>
        </w:rPr>
        <w:t xml:space="preserve"> </w:t>
      </w:r>
      <w:r w:rsidRPr="006435A5">
        <w:t>փոխարժեքի</w:t>
      </w:r>
      <w:r w:rsidRPr="00AD6087">
        <w:rPr>
          <w:lang w:val="es-ES"/>
        </w:rPr>
        <w:t xml:space="preserve">, </w:t>
      </w:r>
      <w:r w:rsidRPr="006435A5">
        <w:t>տոկոսադրույքի</w:t>
      </w:r>
      <w:r w:rsidRPr="00AD6087">
        <w:rPr>
          <w:lang w:val="es-ES"/>
        </w:rPr>
        <w:t xml:space="preserve"> </w:t>
      </w:r>
      <w:r w:rsidRPr="006435A5">
        <w:t>և</w:t>
      </w:r>
      <w:r w:rsidRPr="00AD6087">
        <w:rPr>
          <w:lang w:val="es-ES"/>
        </w:rPr>
        <w:t xml:space="preserve"> </w:t>
      </w:r>
      <w:r w:rsidRPr="006435A5">
        <w:t>վերաֆինանսավորման</w:t>
      </w:r>
      <w:r w:rsidRPr="00AD6087">
        <w:rPr>
          <w:lang w:val="es-ES"/>
        </w:rPr>
        <w:t xml:space="preserve"> </w:t>
      </w:r>
      <w:r w:rsidRPr="006435A5">
        <w:t>ռիսկերը</w:t>
      </w:r>
      <w:r w:rsidRPr="00AD6087">
        <w:rPr>
          <w:lang w:val="es-ES"/>
        </w:rPr>
        <w:t xml:space="preserve"> </w:t>
      </w:r>
      <w:r w:rsidRPr="006435A5">
        <w:t>վերահսկելիության</w:t>
      </w:r>
      <w:r w:rsidRPr="00AD6087">
        <w:rPr>
          <w:lang w:val="es-ES"/>
        </w:rPr>
        <w:t xml:space="preserve"> </w:t>
      </w:r>
      <w:r w:rsidRPr="006435A5">
        <w:t>շրջանակներում</w:t>
      </w:r>
      <w:r w:rsidRPr="00AD6087">
        <w:rPr>
          <w:lang w:val="es-ES"/>
        </w:rPr>
        <w:t xml:space="preserve">: </w:t>
      </w:r>
      <w:r w:rsidRPr="006435A5">
        <w:t>Ուղենշային</w:t>
      </w:r>
      <w:r w:rsidRPr="00AD6087">
        <w:rPr>
          <w:lang w:val="es-ES"/>
        </w:rPr>
        <w:t xml:space="preserve"> </w:t>
      </w:r>
      <w:r w:rsidRPr="006435A5">
        <w:t>ցուցանիշները</w:t>
      </w:r>
      <w:r w:rsidRPr="00AD6087">
        <w:rPr>
          <w:lang w:val="es-ES"/>
        </w:rPr>
        <w:t xml:space="preserve"> </w:t>
      </w:r>
      <w:r w:rsidRPr="006435A5">
        <w:t>սահմանվել</w:t>
      </w:r>
      <w:r w:rsidRPr="00AD6087">
        <w:rPr>
          <w:lang w:val="es-ES"/>
        </w:rPr>
        <w:t xml:space="preserve"> </w:t>
      </w:r>
      <w:r w:rsidRPr="006435A5">
        <w:t>են՝</w:t>
      </w:r>
      <w:r w:rsidRPr="00AD6087">
        <w:rPr>
          <w:lang w:val="es-ES"/>
        </w:rPr>
        <w:t xml:space="preserve"> </w:t>
      </w:r>
      <w:r w:rsidRPr="006435A5">
        <w:t>հաշվի</w:t>
      </w:r>
      <w:r w:rsidRPr="00AD6087">
        <w:rPr>
          <w:lang w:val="es-ES"/>
        </w:rPr>
        <w:t xml:space="preserve"> </w:t>
      </w:r>
      <w:r w:rsidRPr="006435A5">
        <w:t>առնելով</w:t>
      </w:r>
      <w:r w:rsidRPr="00AD6087">
        <w:rPr>
          <w:lang w:val="es-ES"/>
        </w:rPr>
        <w:t xml:space="preserve"> </w:t>
      </w: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կառավարման</w:t>
      </w:r>
      <w:r w:rsidRPr="00AD6087">
        <w:rPr>
          <w:lang w:val="es-ES"/>
        </w:rPr>
        <w:t xml:space="preserve"> </w:t>
      </w:r>
      <w:r w:rsidRPr="006435A5">
        <w:t>միջավայրին</w:t>
      </w:r>
      <w:r w:rsidRPr="00AD6087">
        <w:rPr>
          <w:lang w:val="es-ES"/>
        </w:rPr>
        <w:t xml:space="preserve"> </w:t>
      </w:r>
      <w:r w:rsidRPr="006435A5">
        <w:t>բնորոշ</w:t>
      </w:r>
      <w:r w:rsidRPr="00AD6087">
        <w:rPr>
          <w:lang w:val="es-ES"/>
        </w:rPr>
        <w:t xml:space="preserve"> </w:t>
      </w:r>
      <w:r w:rsidRPr="006435A5">
        <w:t>առանձնահատկություններն</w:t>
      </w:r>
      <w:r w:rsidRPr="00AD6087">
        <w:rPr>
          <w:lang w:val="es-ES"/>
        </w:rPr>
        <w:t xml:space="preserve"> </w:t>
      </w:r>
      <w:r w:rsidRPr="006435A5">
        <w:t>ու</w:t>
      </w:r>
      <w:r w:rsidRPr="00AD6087">
        <w:rPr>
          <w:lang w:val="es-ES"/>
        </w:rPr>
        <w:t xml:space="preserve"> </w:t>
      </w:r>
      <w:r w:rsidRPr="006435A5">
        <w:t>սահմանափակումները</w:t>
      </w:r>
      <w:r w:rsidRPr="00AD6087">
        <w:rPr>
          <w:lang w:val="es-ES"/>
        </w:rPr>
        <w:t>:</w:t>
      </w:r>
    </w:p>
    <w:p w14:paraId="29BB3D05" w14:textId="77777777" w:rsidR="00AD6087" w:rsidRPr="006435A5" w:rsidRDefault="00AD6087" w:rsidP="00AD6087">
      <w:pPr>
        <w:pStyle w:val="aff1"/>
        <w:spacing w:line="276" w:lineRule="auto"/>
      </w:pPr>
      <w:r w:rsidRPr="006435A5">
        <w:rPr>
          <w:b/>
        </w:rPr>
        <w:t>Աղյուսակ 4.</w:t>
      </w:r>
      <w:r w:rsidRPr="006435A5">
        <w:t xml:space="preserve"> ՀՀ կառավարության պարտքի պորտֆելի 2021-2024 թվականների ուղենշային ցուցանիշները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41"/>
        <w:gridCol w:w="2780"/>
      </w:tblGrid>
      <w:tr w:rsidR="00AD6087" w:rsidRPr="006435A5" w14:paraId="7FFC94C3" w14:textId="77777777" w:rsidTr="00A42F0D">
        <w:trPr>
          <w:tblHeader/>
          <w:jc w:val="center"/>
        </w:trPr>
        <w:tc>
          <w:tcPr>
            <w:tcW w:w="7241" w:type="dxa"/>
            <w:tcBorders>
              <w:top w:val="thinThickThinSmallGap" w:sz="24" w:space="0" w:color="auto"/>
              <w:left w:val="nil"/>
              <w:bottom w:val="thinThickSmallGap" w:sz="24" w:space="0" w:color="auto"/>
              <w:right w:val="nil"/>
            </w:tcBorders>
            <w:shd w:val="clear" w:color="auto" w:fill="5B9BD5"/>
          </w:tcPr>
          <w:p w14:paraId="0F20A5E3" w14:textId="77777777" w:rsidR="00AD6087" w:rsidRPr="00AD6087" w:rsidRDefault="00AD6087" w:rsidP="00A42F0D">
            <w:pPr>
              <w:spacing w:line="276" w:lineRule="auto"/>
              <w:rPr>
                <w:lang w:val="es-ES"/>
              </w:rPr>
            </w:pPr>
          </w:p>
        </w:tc>
        <w:tc>
          <w:tcPr>
            <w:tcW w:w="2780" w:type="dxa"/>
            <w:tcBorders>
              <w:top w:val="thinThickThinSmallGap" w:sz="24" w:space="0" w:color="auto"/>
              <w:left w:val="nil"/>
              <w:bottom w:val="thinThickSmallGap" w:sz="24" w:space="0" w:color="auto"/>
              <w:right w:val="nil"/>
            </w:tcBorders>
            <w:shd w:val="clear" w:color="auto" w:fill="5B9BD5"/>
            <w:vAlign w:val="center"/>
          </w:tcPr>
          <w:p w14:paraId="7288AA5D" w14:textId="77777777" w:rsidR="00AD6087" w:rsidRPr="006435A5" w:rsidRDefault="00AD6087" w:rsidP="00A42F0D">
            <w:pPr>
              <w:spacing w:line="276" w:lineRule="auto"/>
              <w:ind w:hanging="69"/>
              <w:jc w:val="center"/>
            </w:pPr>
            <w:r w:rsidRPr="006435A5">
              <w:t>Ուղենիշ</w:t>
            </w:r>
          </w:p>
        </w:tc>
      </w:tr>
      <w:tr w:rsidR="00AD6087" w:rsidRPr="006435A5" w14:paraId="38B8783A" w14:textId="77777777" w:rsidTr="00A42F0D">
        <w:trPr>
          <w:trHeight w:val="405"/>
          <w:jc w:val="center"/>
        </w:trPr>
        <w:tc>
          <w:tcPr>
            <w:tcW w:w="7241" w:type="dxa"/>
            <w:tcBorders>
              <w:top w:val="thinThickSmallGap" w:sz="24" w:space="0" w:color="auto"/>
              <w:left w:val="nil"/>
              <w:right w:val="nil"/>
            </w:tcBorders>
            <w:vAlign w:val="center"/>
          </w:tcPr>
          <w:p w14:paraId="17E3FB19" w14:textId="77777777" w:rsidR="00AD6087" w:rsidRPr="006435A5" w:rsidRDefault="00AD6087" w:rsidP="00A42F0D">
            <w:pPr>
              <w:spacing w:line="276" w:lineRule="auto"/>
              <w:ind w:firstLine="647"/>
              <w:jc w:val="left"/>
              <w:rPr>
                <w:b/>
              </w:rPr>
            </w:pPr>
            <w:r w:rsidRPr="006435A5">
              <w:rPr>
                <w:b/>
              </w:rPr>
              <w:t>Վերաֆինանսավորման ռիսկ</w:t>
            </w:r>
          </w:p>
        </w:tc>
        <w:tc>
          <w:tcPr>
            <w:tcW w:w="2780" w:type="dxa"/>
            <w:tcBorders>
              <w:top w:val="thinThickSmallGap" w:sz="24" w:space="0" w:color="auto"/>
              <w:left w:val="nil"/>
              <w:right w:val="nil"/>
            </w:tcBorders>
            <w:vAlign w:val="center"/>
          </w:tcPr>
          <w:p w14:paraId="2024A41C" w14:textId="77777777" w:rsidR="00AD6087" w:rsidRPr="006435A5" w:rsidRDefault="00AD6087" w:rsidP="00A42F0D">
            <w:pPr>
              <w:spacing w:line="276" w:lineRule="auto"/>
              <w:ind w:firstLine="0"/>
              <w:jc w:val="center"/>
              <w:rPr>
                <w:b/>
              </w:rPr>
            </w:pPr>
          </w:p>
        </w:tc>
      </w:tr>
      <w:tr w:rsidR="00AD6087" w:rsidRPr="006435A5" w14:paraId="5DF957FD" w14:textId="77777777" w:rsidTr="00A42F0D">
        <w:trPr>
          <w:jc w:val="center"/>
        </w:trPr>
        <w:tc>
          <w:tcPr>
            <w:tcW w:w="7241" w:type="dxa"/>
            <w:tcBorders>
              <w:left w:val="nil"/>
              <w:right w:val="nil"/>
            </w:tcBorders>
            <w:vAlign w:val="center"/>
          </w:tcPr>
          <w:p w14:paraId="17E90970" w14:textId="77777777" w:rsidR="00AD6087" w:rsidRPr="006435A5" w:rsidRDefault="00AD6087" w:rsidP="00A42F0D">
            <w:pPr>
              <w:spacing w:line="276" w:lineRule="auto"/>
              <w:ind w:firstLine="0"/>
              <w:jc w:val="left"/>
            </w:pPr>
            <w:r w:rsidRPr="006435A5">
              <w:t xml:space="preserve">Մինչև մարում միջին ժամկետը </w:t>
            </w:r>
          </w:p>
        </w:tc>
        <w:tc>
          <w:tcPr>
            <w:tcW w:w="2780" w:type="dxa"/>
            <w:tcBorders>
              <w:left w:val="nil"/>
              <w:right w:val="nil"/>
            </w:tcBorders>
            <w:vAlign w:val="center"/>
          </w:tcPr>
          <w:p w14:paraId="621BC249" w14:textId="77777777" w:rsidR="00AD6087" w:rsidRPr="006435A5" w:rsidRDefault="00AD6087" w:rsidP="00A42F0D">
            <w:pPr>
              <w:spacing w:line="276" w:lineRule="auto"/>
              <w:ind w:firstLine="0"/>
              <w:jc w:val="center"/>
            </w:pPr>
            <w:r w:rsidRPr="006435A5">
              <w:t>8 – 11 տարի</w:t>
            </w:r>
          </w:p>
        </w:tc>
      </w:tr>
      <w:tr w:rsidR="00AD6087" w:rsidRPr="006435A5" w14:paraId="71618685" w14:textId="77777777" w:rsidTr="00A42F0D">
        <w:trPr>
          <w:jc w:val="center"/>
        </w:trPr>
        <w:tc>
          <w:tcPr>
            <w:tcW w:w="7241" w:type="dxa"/>
            <w:tcBorders>
              <w:left w:val="nil"/>
              <w:right w:val="nil"/>
            </w:tcBorders>
            <w:vAlign w:val="center"/>
          </w:tcPr>
          <w:p w14:paraId="41B16D36" w14:textId="77777777" w:rsidR="00AD6087" w:rsidRPr="006435A5" w:rsidRDefault="00AD6087" w:rsidP="00A42F0D">
            <w:pPr>
              <w:spacing w:line="276" w:lineRule="auto"/>
              <w:ind w:firstLine="0"/>
              <w:jc w:val="left"/>
            </w:pPr>
            <w:r w:rsidRPr="006435A5">
              <w:t>Առաջիկա տարվա ընթացքում մարվող պետական գանձապետական պարտատոմսերի (ՊԳՊ) կշիռը ՊԳՊ-երի ծավալի մեջ (տարեվերջին)</w:t>
            </w:r>
          </w:p>
        </w:tc>
        <w:tc>
          <w:tcPr>
            <w:tcW w:w="2780" w:type="dxa"/>
            <w:tcBorders>
              <w:left w:val="nil"/>
              <w:right w:val="nil"/>
            </w:tcBorders>
            <w:vAlign w:val="center"/>
          </w:tcPr>
          <w:p w14:paraId="4EB78476" w14:textId="77777777" w:rsidR="00AD6087" w:rsidRPr="006435A5" w:rsidRDefault="00AD6087" w:rsidP="00A42F0D">
            <w:pPr>
              <w:spacing w:line="276" w:lineRule="auto"/>
              <w:ind w:firstLine="0"/>
              <w:jc w:val="center"/>
            </w:pPr>
            <w:r w:rsidRPr="006435A5">
              <w:t>առավելագույնը 20%</w:t>
            </w:r>
          </w:p>
        </w:tc>
      </w:tr>
      <w:tr w:rsidR="00AD6087" w:rsidRPr="006435A5" w14:paraId="2BC0FD92" w14:textId="77777777" w:rsidTr="00A42F0D">
        <w:trPr>
          <w:trHeight w:val="417"/>
          <w:jc w:val="center"/>
        </w:trPr>
        <w:tc>
          <w:tcPr>
            <w:tcW w:w="7241" w:type="dxa"/>
            <w:tcBorders>
              <w:left w:val="nil"/>
              <w:right w:val="nil"/>
            </w:tcBorders>
            <w:vAlign w:val="center"/>
          </w:tcPr>
          <w:p w14:paraId="45728C7C" w14:textId="77777777" w:rsidR="00AD6087" w:rsidRPr="006435A5" w:rsidRDefault="00AD6087" w:rsidP="00A42F0D">
            <w:pPr>
              <w:spacing w:line="276" w:lineRule="auto"/>
              <w:ind w:firstLine="647"/>
              <w:jc w:val="left"/>
              <w:rPr>
                <w:b/>
              </w:rPr>
            </w:pPr>
            <w:r w:rsidRPr="006435A5">
              <w:rPr>
                <w:b/>
              </w:rPr>
              <w:t>Տոկոսադրույքի ռիսկ</w:t>
            </w:r>
          </w:p>
        </w:tc>
        <w:tc>
          <w:tcPr>
            <w:tcW w:w="2780" w:type="dxa"/>
            <w:tcBorders>
              <w:left w:val="nil"/>
              <w:right w:val="nil"/>
            </w:tcBorders>
            <w:vAlign w:val="center"/>
          </w:tcPr>
          <w:p w14:paraId="568447BD" w14:textId="77777777" w:rsidR="00AD6087" w:rsidRPr="006435A5" w:rsidRDefault="00AD6087" w:rsidP="00A42F0D">
            <w:pPr>
              <w:spacing w:line="276" w:lineRule="auto"/>
              <w:ind w:firstLine="0"/>
              <w:jc w:val="center"/>
              <w:rPr>
                <w:b/>
              </w:rPr>
            </w:pPr>
          </w:p>
        </w:tc>
      </w:tr>
      <w:tr w:rsidR="00AD6087" w:rsidRPr="006435A5" w14:paraId="7BF37185" w14:textId="77777777" w:rsidTr="00A42F0D">
        <w:trPr>
          <w:jc w:val="center"/>
        </w:trPr>
        <w:tc>
          <w:tcPr>
            <w:tcW w:w="7241" w:type="dxa"/>
            <w:tcBorders>
              <w:left w:val="nil"/>
              <w:right w:val="nil"/>
            </w:tcBorders>
            <w:vAlign w:val="center"/>
          </w:tcPr>
          <w:p w14:paraId="25CC90B3" w14:textId="77777777" w:rsidR="00AD6087" w:rsidRPr="006435A5" w:rsidRDefault="00AD6087" w:rsidP="00A42F0D">
            <w:pPr>
              <w:spacing w:line="276" w:lineRule="auto"/>
              <w:ind w:firstLine="0"/>
              <w:jc w:val="left"/>
            </w:pPr>
            <w:r w:rsidRPr="006435A5">
              <w:t>Ֆիքսված տոկոսադրույքով պարտքի կշիռն ընդամենը պարտքի մեջ</w:t>
            </w:r>
          </w:p>
        </w:tc>
        <w:tc>
          <w:tcPr>
            <w:tcW w:w="2780" w:type="dxa"/>
            <w:tcBorders>
              <w:left w:val="nil"/>
              <w:right w:val="nil"/>
            </w:tcBorders>
            <w:vAlign w:val="center"/>
          </w:tcPr>
          <w:p w14:paraId="33D7E185" w14:textId="77777777" w:rsidR="00AD6087" w:rsidRPr="006435A5" w:rsidRDefault="00AD6087" w:rsidP="00A42F0D">
            <w:pPr>
              <w:spacing w:line="276" w:lineRule="auto"/>
              <w:ind w:firstLine="0"/>
              <w:jc w:val="center"/>
            </w:pPr>
            <w:r w:rsidRPr="006435A5">
              <w:t>առնվազն 80%</w:t>
            </w:r>
          </w:p>
        </w:tc>
      </w:tr>
      <w:tr w:rsidR="00AD6087" w:rsidRPr="006435A5" w14:paraId="41D40042" w14:textId="77777777" w:rsidTr="00A42F0D">
        <w:trPr>
          <w:trHeight w:val="414"/>
          <w:jc w:val="center"/>
        </w:trPr>
        <w:tc>
          <w:tcPr>
            <w:tcW w:w="7241" w:type="dxa"/>
            <w:tcBorders>
              <w:left w:val="nil"/>
              <w:right w:val="nil"/>
            </w:tcBorders>
            <w:vAlign w:val="center"/>
          </w:tcPr>
          <w:p w14:paraId="45570316" w14:textId="77777777" w:rsidR="00AD6087" w:rsidRPr="006435A5" w:rsidRDefault="00AD6087" w:rsidP="00A42F0D">
            <w:pPr>
              <w:spacing w:line="276" w:lineRule="auto"/>
              <w:ind w:firstLine="647"/>
              <w:jc w:val="left"/>
              <w:rPr>
                <w:b/>
              </w:rPr>
            </w:pPr>
            <w:r w:rsidRPr="006435A5">
              <w:rPr>
                <w:b/>
              </w:rPr>
              <w:t>Փոխարժեքի ռիսկ</w:t>
            </w:r>
          </w:p>
        </w:tc>
        <w:tc>
          <w:tcPr>
            <w:tcW w:w="2780" w:type="dxa"/>
            <w:tcBorders>
              <w:left w:val="nil"/>
              <w:right w:val="nil"/>
            </w:tcBorders>
            <w:vAlign w:val="center"/>
          </w:tcPr>
          <w:p w14:paraId="361E41ED" w14:textId="77777777" w:rsidR="00AD6087" w:rsidRPr="006435A5" w:rsidRDefault="00AD6087" w:rsidP="00A42F0D">
            <w:pPr>
              <w:spacing w:line="276" w:lineRule="auto"/>
              <w:ind w:firstLine="0"/>
              <w:jc w:val="center"/>
              <w:rPr>
                <w:b/>
              </w:rPr>
            </w:pPr>
          </w:p>
        </w:tc>
      </w:tr>
      <w:tr w:rsidR="00AD6087" w:rsidRPr="006435A5" w14:paraId="3956E0AF" w14:textId="77777777" w:rsidTr="00A42F0D">
        <w:trPr>
          <w:jc w:val="center"/>
        </w:trPr>
        <w:tc>
          <w:tcPr>
            <w:tcW w:w="7241" w:type="dxa"/>
            <w:tcBorders>
              <w:left w:val="nil"/>
              <w:right w:val="nil"/>
            </w:tcBorders>
            <w:vAlign w:val="center"/>
          </w:tcPr>
          <w:p w14:paraId="7D1AB1AC" w14:textId="77777777" w:rsidR="00AD6087" w:rsidRPr="006435A5" w:rsidRDefault="00AD6087" w:rsidP="00A42F0D">
            <w:pPr>
              <w:spacing w:line="276" w:lineRule="auto"/>
              <w:ind w:firstLine="0"/>
              <w:jc w:val="left"/>
            </w:pPr>
            <w:r w:rsidRPr="006435A5">
              <w:t>Ներքին պարտքի կշիռն ընդամենը պարտքի մեջ</w:t>
            </w:r>
          </w:p>
        </w:tc>
        <w:tc>
          <w:tcPr>
            <w:tcW w:w="2780" w:type="dxa"/>
            <w:tcBorders>
              <w:left w:val="nil"/>
              <w:right w:val="nil"/>
            </w:tcBorders>
            <w:vAlign w:val="center"/>
          </w:tcPr>
          <w:p w14:paraId="041F218D" w14:textId="77777777" w:rsidR="00AD6087" w:rsidRPr="006435A5" w:rsidRDefault="00AD6087" w:rsidP="00A42F0D">
            <w:pPr>
              <w:spacing w:line="276" w:lineRule="auto"/>
              <w:ind w:firstLine="0"/>
              <w:jc w:val="center"/>
            </w:pPr>
            <w:r w:rsidRPr="006435A5">
              <w:t>առնվազն 25%</w:t>
            </w:r>
          </w:p>
        </w:tc>
      </w:tr>
      <w:tr w:rsidR="00AD6087" w:rsidRPr="006435A5" w14:paraId="16DAD4A7" w14:textId="77777777" w:rsidTr="00A42F0D">
        <w:trPr>
          <w:jc w:val="center"/>
        </w:trPr>
        <w:tc>
          <w:tcPr>
            <w:tcW w:w="7241" w:type="dxa"/>
            <w:tcBorders>
              <w:left w:val="nil"/>
              <w:bottom w:val="thickThinSmallGap" w:sz="24" w:space="0" w:color="auto"/>
              <w:right w:val="nil"/>
            </w:tcBorders>
            <w:vAlign w:val="center"/>
          </w:tcPr>
          <w:p w14:paraId="54F677D5" w14:textId="77777777" w:rsidR="00AD6087" w:rsidRPr="006435A5" w:rsidRDefault="00AD6087" w:rsidP="00A42F0D">
            <w:pPr>
              <w:spacing w:line="276" w:lineRule="auto"/>
              <w:ind w:firstLine="0"/>
              <w:jc w:val="left"/>
              <w:rPr>
                <w:strike/>
              </w:rPr>
            </w:pPr>
            <w:r w:rsidRPr="006435A5">
              <w:t>ՀՀ դրամով ներգրավված պարտքի կշիռն ընդամենը պարտքի մեջ</w:t>
            </w:r>
          </w:p>
        </w:tc>
        <w:tc>
          <w:tcPr>
            <w:tcW w:w="2780" w:type="dxa"/>
            <w:tcBorders>
              <w:left w:val="nil"/>
              <w:bottom w:val="thickThinSmallGap" w:sz="24" w:space="0" w:color="auto"/>
              <w:right w:val="nil"/>
            </w:tcBorders>
            <w:vAlign w:val="center"/>
          </w:tcPr>
          <w:p w14:paraId="0E60138E" w14:textId="77777777" w:rsidR="00AD6087" w:rsidRPr="006435A5" w:rsidRDefault="00AD6087" w:rsidP="00A42F0D">
            <w:pPr>
              <w:spacing w:line="276" w:lineRule="auto"/>
              <w:ind w:firstLine="0"/>
              <w:jc w:val="center"/>
              <w:rPr>
                <w:strike/>
              </w:rPr>
            </w:pPr>
            <w:r w:rsidRPr="006435A5">
              <w:t>առնվազն 25%</w:t>
            </w:r>
          </w:p>
        </w:tc>
      </w:tr>
    </w:tbl>
    <w:p w14:paraId="641CC8A2" w14:textId="77777777" w:rsidR="00AD6087" w:rsidRPr="006435A5" w:rsidRDefault="00AD6087" w:rsidP="00AD6087">
      <w:pPr>
        <w:spacing w:line="276" w:lineRule="auto"/>
      </w:pPr>
      <w:r w:rsidRPr="006435A5">
        <w:t xml:space="preserve"> </w:t>
      </w:r>
    </w:p>
    <w:p w14:paraId="3F49D102" w14:textId="77777777" w:rsidR="00AD6087" w:rsidRPr="006435A5" w:rsidRDefault="00AD6087" w:rsidP="00AD6087">
      <w:pPr>
        <w:spacing w:line="276" w:lineRule="auto"/>
      </w:pPr>
    </w:p>
    <w:p w14:paraId="0DE4119F" w14:textId="77777777" w:rsidR="00AD6087" w:rsidRPr="006435A5" w:rsidRDefault="00AD6087" w:rsidP="00AD6087">
      <w:pPr>
        <w:spacing w:line="276" w:lineRule="auto"/>
      </w:pPr>
      <w:r w:rsidRPr="006435A5">
        <w:t xml:space="preserve"> </w:t>
      </w:r>
    </w:p>
    <w:p w14:paraId="0184B6B7" w14:textId="5796D994" w:rsidR="00AD6087" w:rsidRPr="006435A5" w:rsidRDefault="00AD6087" w:rsidP="00BB2C3D">
      <w:pPr>
        <w:spacing w:line="276" w:lineRule="auto"/>
      </w:pPr>
      <w:r w:rsidRPr="006435A5">
        <w:br w:type="page"/>
      </w:r>
      <w:bookmarkStart w:id="675" w:name="_Toc77434489"/>
      <w:r w:rsidR="00BB2C3D" w:rsidRPr="00BB2C3D">
        <w:rPr>
          <w:b/>
          <w:color w:val="1F497D" w:themeColor="text2"/>
        </w:rPr>
        <w:t>ՀՀ ԿԱՌԱՎԱՐՈՒԹՅԱՆ ՊԱՐՏՔԻ ԿԱՌԱՎԱՐՄԱՆ ՌԱԶՄԱՎԱՐՈՒԹՅԱՆ ԸՆՏՐՈՒԹՅՈՒՆԸ</w:t>
      </w:r>
      <w:bookmarkEnd w:id="675"/>
    </w:p>
    <w:p w14:paraId="5B623590" w14:textId="77777777" w:rsidR="00AD6087" w:rsidRPr="00AD6087" w:rsidRDefault="00AD6087" w:rsidP="00AD6087">
      <w:pPr>
        <w:spacing w:line="276" w:lineRule="auto"/>
        <w:rPr>
          <w:lang w:val="es-ES"/>
        </w:rPr>
      </w:pP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կառավարման</w:t>
      </w:r>
      <w:r w:rsidRPr="00AD6087">
        <w:rPr>
          <w:lang w:val="es-ES"/>
        </w:rPr>
        <w:t xml:space="preserve"> </w:t>
      </w:r>
      <w:r w:rsidRPr="006435A5">
        <w:t>հիմնական</w:t>
      </w:r>
      <w:r w:rsidRPr="00AD6087">
        <w:rPr>
          <w:lang w:val="es-ES"/>
        </w:rPr>
        <w:t xml:space="preserve"> </w:t>
      </w:r>
      <w:r w:rsidRPr="006435A5">
        <w:t>ռիսկերը</w:t>
      </w:r>
      <w:r w:rsidRPr="00AD6087">
        <w:rPr>
          <w:lang w:val="es-ES"/>
        </w:rPr>
        <w:t xml:space="preserve"> </w:t>
      </w:r>
      <w:r w:rsidRPr="006435A5">
        <w:t>կառավարելիության</w:t>
      </w:r>
      <w:r w:rsidRPr="00AD6087">
        <w:rPr>
          <w:lang w:val="es-ES"/>
        </w:rPr>
        <w:t xml:space="preserve"> </w:t>
      </w:r>
      <w:r w:rsidRPr="006435A5">
        <w:t>շրջանակներում</w:t>
      </w:r>
      <w:r w:rsidRPr="00AD6087">
        <w:rPr>
          <w:lang w:val="es-ES"/>
        </w:rPr>
        <w:t xml:space="preserve"> </w:t>
      </w:r>
      <w:r w:rsidRPr="006435A5">
        <w:t>պահելու</w:t>
      </w:r>
      <w:r w:rsidRPr="00AD6087">
        <w:rPr>
          <w:lang w:val="es-ES"/>
        </w:rPr>
        <w:t xml:space="preserve">, </w:t>
      </w:r>
      <w:r w:rsidRPr="006435A5">
        <w:t>և</w:t>
      </w:r>
      <w:r w:rsidRPr="00AD6087">
        <w:rPr>
          <w:lang w:val="es-ES"/>
        </w:rPr>
        <w:t xml:space="preserve"> </w:t>
      </w:r>
      <w:r w:rsidRPr="006435A5">
        <w:t>հատկապես</w:t>
      </w:r>
      <w:r w:rsidRPr="00AD6087">
        <w:rPr>
          <w:lang w:val="es-ES"/>
        </w:rPr>
        <w:t xml:space="preserve"> </w:t>
      </w:r>
      <w:r w:rsidRPr="006435A5">
        <w:t>փոխարժեքի</w:t>
      </w:r>
      <w:r w:rsidRPr="00AD6087">
        <w:rPr>
          <w:lang w:val="es-ES"/>
        </w:rPr>
        <w:t xml:space="preserve"> </w:t>
      </w:r>
      <w:r w:rsidRPr="006435A5">
        <w:t>բարձր</w:t>
      </w:r>
      <w:r w:rsidRPr="00AD6087">
        <w:rPr>
          <w:lang w:val="es-ES"/>
        </w:rPr>
        <w:t xml:space="preserve"> </w:t>
      </w:r>
      <w:r w:rsidRPr="006435A5">
        <w:t>ռիսկը</w:t>
      </w:r>
      <w:r w:rsidRPr="00AD6087">
        <w:rPr>
          <w:lang w:val="es-ES"/>
        </w:rPr>
        <w:t xml:space="preserve"> </w:t>
      </w:r>
      <w:r w:rsidRPr="006435A5">
        <w:t>նվազեցնելու</w:t>
      </w:r>
      <w:r w:rsidRPr="00AD6087">
        <w:rPr>
          <w:lang w:val="es-ES"/>
        </w:rPr>
        <w:t xml:space="preserve"> </w:t>
      </w:r>
      <w:r w:rsidRPr="006435A5">
        <w:t>նպատակով</w:t>
      </w:r>
      <w:r w:rsidRPr="00AD6087">
        <w:rPr>
          <w:lang w:val="es-ES"/>
        </w:rPr>
        <w:t xml:space="preserve">, </w:t>
      </w:r>
      <w:r w:rsidRPr="006435A5">
        <w:t>որպես</w:t>
      </w:r>
      <w:r w:rsidRPr="00AD6087">
        <w:rPr>
          <w:lang w:val="es-ES"/>
        </w:rPr>
        <w:t xml:space="preserve"> </w:t>
      </w:r>
      <w:r w:rsidRPr="006435A5">
        <w:t>ռազմավարական</w:t>
      </w:r>
      <w:r w:rsidRPr="00AD6087">
        <w:rPr>
          <w:lang w:val="es-ES"/>
        </w:rPr>
        <w:t xml:space="preserve"> </w:t>
      </w:r>
      <w:r w:rsidRPr="006435A5">
        <w:t>նպատա</w:t>
      </w:r>
      <w:r w:rsidRPr="00AD6087">
        <w:rPr>
          <w:lang w:val="es-ES"/>
        </w:rPr>
        <w:softHyphen/>
      </w:r>
      <w:r w:rsidRPr="006435A5">
        <w:t>կա</w:t>
      </w:r>
      <w:r w:rsidRPr="00AD6087">
        <w:rPr>
          <w:lang w:val="es-ES"/>
        </w:rPr>
        <w:softHyphen/>
      </w:r>
      <w:r w:rsidRPr="006435A5">
        <w:t>դ</w:t>
      </w:r>
      <w:r w:rsidRPr="00AD6087">
        <w:rPr>
          <w:lang w:val="es-ES"/>
        </w:rPr>
        <w:softHyphen/>
      </w:r>
      <w:r w:rsidRPr="006435A5">
        <w:t>րում</w:t>
      </w:r>
      <w:r w:rsidRPr="00AD6087">
        <w:rPr>
          <w:lang w:val="es-ES"/>
        </w:rPr>
        <w:t xml:space="preserve">, </w:t>
      </w:r>
      <w:r w:rsidRPr="006435A5">
        <w:t>դիտարկվում</w:t>
      </w:r>
      <w:r w:rsidRPr="00AD6087">
        <w:rPr>
          <w:lang w:val="es-ES"/>
        </w:rPr>
        <w:t xml:space="preserve"> </w:t>
      </w:r>
      <w:r w:rsidRPr="006435A5">
        <w:t>է</w:t>
      </w:r>
      <w:r w:rsidRPr="00AD6087">
        <w:rPr>
          <w:lang w:val="es-ES"/>
        </w:rPr>
        <w:t xml:space="preserve"> </w:t>
      </w:r>
      <w:r w:rsidRPr="006435A5">
        <w:t>ներքին</w:t>
      </w:r>
      <w:r w:rsidRPr="00AD6087">
        <w:rPr>
          <w:lang w:val="es-ES"/>
        </w:rPr>
        <w:t xml:space="preserve"> </w:t>
      </w:r>
      <w:r w:rsidRPr="006435A5">
        <w:t>պետական</w:t>
      </w:r>
      <w:r w:rsidRPr="00AD6087">
        <w:rPr>
          <w:lang w:val="es-ES"/>
        </w:rPr>
        <w:t xml:space="preserve"> </w:t>
      </w:r>
      <w:r w:rsidRPr="006435A5">
        <w:t>պարտքի</w:t>
      </w:r>
      <w:r w:rsidRPr="00AD6087">
        <w:rPr>
          <w:lang w:val="es-ES"/>
        </w:rPr>
        <w:t xml:space="preserve"> </w:t>
      </w:r>
      <w:r w:rsidRPr="006435A5">
        <w:t>շուկայի</w:t>
      </w:r>
      <w:r w:rsidRPr="00AD6087">
        <w:rPr>
          <w:lang w:val="es-ES"/>
        </w:rPr>
        <w:t xml:space="preserve"> </w:t>
      </w:r>
      <w:r w:rsidRPr="006435A5">
        <w:t>զարգացումը</w:t>
      </w:r>
      <w:r w:rsidRPr="00AD6087">
        <w:rPr>
          <w:lang w:val="es-ES"/>
        </w:rPr>
        <w:t xml:space="preserve"> </w:t>
      </w:r>
      <w:r w:rsidRPr="006435A5">
        <w:t>և</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մեջ</w:t>
      </w:r>
      <w:r w:rsidRPr="00AD6087">
        <w:rPr>
          <w:lang w:val="es-ES"/>
        </w:rPr>
        <w:t xml:space="preserve"> </w:t>
      </w:r>
      <w:r w:rsidRPr="006435A5">
        <w:t>ՀՀ</w:t>
      </w:r>
      <w:r w:rsidRPr="00AD6087">
        <w:rPr>
          <w:lang w:val="es-ES"/>
        </w:rPr>
        <w:t xml:space="preserve"> </w:t>
      </w:r>
      <w:r w:rsidRPr="006435A5">
        <w:t>դրամով</w:t>
      </w:r>
      <w:r w:rsidRPr="00AD6087">
        <w:rPr>
          <w:lang w:val="es-ES"/>
        </w:rPr>
        <w:t xml:space="preserve"> </w:t>
      </w:r>
      <w:r w:rsidRPr="006435A5">
        <w:t>ներգրավված</w:t>
      </w:r>
      <w:r w:rsidRPr="00AD6087">
        <w:rPr>
          <w:lang w:val="es-ES"/>
        </w:rPr>
        <w:t xml:space="preserve"> </w:t>
      </w:r>
      <w:r w:rsidRPr="006435A5">
        <w:t>պարտքի</w:t>
      </w:r>
      <w:r w:rsidRPr="00AD6087">
        <w:rPr>
          <w:lang w:val="es-ES"/>
        </w:rPr>
        <w:t xml:space="preserve"> </w:t>
      </w:r>
      <w:r w:rsidRPr="006435A5">
        <w:t>կշռի</w:t>
      </w:r>
      <w:r w:rsidRPr="00AD6087">
        <w:rPr>
          <w:lang w:val="es-ES"/>
        </w:rPr>
        <w:t xml:space="preserve"> </w:t>
      </w:r>
      <w:r w:rsidRPr="006435A5">
        <w:t>ավելա</w:t>
      </w:r>
      <w:r w:rsidRPr="00AD6087">
        <w:rPr>
          <w:lang w:val="es-ES"/>
        </w:rPr>
        <w:softHyphen/>
      </w:r>
      <w:r w:rsidRPr="006435A5">
        <w:t>ցումը</w:t>
      </w:r>
      <w:r w:rsidRPr="00AD6087">
        <w:rPr>
          <w:lang w:val="es-ES"/>
        </w:rPr>
        <w:t xml:space="preserve">: </w:t>
      </w:r>
    </w:p>
    <w:p w14:paraId="61ADC029" w14:textId="77777777" w:rsidR="00AD6087" w:rsidRPr="00AD6087" w:rsidRDefault="00AD6087" w:rsidP="00AD6087">
      <w:pPr>
        <w:spacing w:line="276" w:lineRule="auto"/>
        <w:rPr>
          <w:lang w:val="es-ES" w:eastAsia="ru-RU"/>
        </w:rPr>
      </w:pPr>
      <w:r w:rsidRPr="006435A5">
        <w:rPr>
          <w:lang w:eastAsia="ru-RU"/>
        </w:rPr>
        <w:t>Ուշադրության</w:t>
      </w:r>
      <w:r w:rsidRPr="00AD6087">
        <w:rPr>
          <w:lang w:val="es-ES" w:eastAsia="ru-RU"/>
        </w:rPr>
        <w:t xml:space="preserve"> </w:t>
      </w:r>
      <w:r w:rsidRPr="006435A5">
        <w:rPr>
          <w:lang w:eastAsia="ru-RU"/>
        </w:rPr>
        <w:t>է</w:t>
      </w:r>
      <w:r w:rsidRPr="00AD6087">
        <w:rPr>
          <w:lang w:val="es-ES" w:eastAsia="ru-RU"/>
        </w:rPr>
        <w:t xml:space="preserve"> </w:t>
      </w:r>
      <w:r w:rsidRPr="006435A5">
        <w:rPr>
          <w:lang w:eastAsia="ru-RU"/>
        </w:rPr>
        <w:t>արժանի</w:t>
      </w:r>
      <w:r w:rsidRPr="00AD6087">
        <w:rPr>
          <w:lang w:val="es-ES" w:eastAsia="ru-RU"/>
        </w:rPr>
        <w:t xml:space="preserve"> </w:t>
      </w:r>
      <w:r w:rsidRPr="006435A5">
        <w:rPr>
          <w:lang w:eastAsia="ru-RU"/>
        </w:rPr>
        <w:t>այն</w:t>
      </w:r>
      <w:r w:rsidRPr="00AD6087">
        <w:rPr>
          <w:lang w:val="es-ES" w:eastAsia="ru-RU"/>
        </w:rPr>
        <w:t xml:space="preserve"> </w:t>
      </w:r>
      <w:r w:rsidRPr="006435A5">
        <w:rPr>
          <w:lang w:eastAsia="ru-RU"/>
        </w:rPr>
        <w:t>հանգամանքը</w:t>
      </w:r>
      <w:r w:rsidRPr="00AD6087">
        <w:rPr>
          <w:lang w:val="es-ES" w:eastAsia="ru-RU"/>
        </w:rPr>
        <w:t xml:space="preserve">, </w:t>
      </w:r>
      <w:r w:rsidRPr="006435A5">
        <w:rPr>
          <w:lang w:eastAsia="ru-RU"/>
        </w:rPr>
        <w:t>որ</w:t>
      </w:r>
      <w:r w:rsidRPr="00AD6087">
        <w:rPr>
          <w:lang w:val="es-ES" w:eastAsia="ru-RU"/>
        </w:rPr>
        <w:t xml:space="preserve"> </w:t>
      </w:r>
      <w:r w:rsidRPr="006435A5">
        <w:rPr>
          <w:lang w:eastAsia="ru-RU"/>
        </w:rPr>
        <w:t>ԱՄՀ</w:t>
      </w:r>
      <w:r w:rsidRPr="00AD6087">
        <w:rPr>
          <w:lang w:val="es-ES" w:eastAsia="ru-RU"/>
        </w:rPr>
        <w:t>-</w:t>
      </w:r>
      <w:r w:rsidRPr="006435A5">
        <w:rPr>
          <w:lang w:eastAsia="ru-RU"/>
        </w:rPr>
        <w:t>ի</w:t>
      </w:r>
      <w:r w:rsidRPr="00AD6087">
        <w:rPr>
          <w:lang w:val="es-ES" w:eastAsia="ru-RU"/>
        </w:rPr>
        <w:t xml:space="preserve"> </w:t>
      </w:r>
      <w:r w:rsidRPr="006435A5">
        <w:rPr>
          <w:lang w:eastAsia="ru-RU"/>
        </w:rPr>
        <w:t>կողմից</w:t>
      </w:r>
      <w:r w:rsidRPr="00AD6087">
        <w:rPr>
          <w:lang w:val="es-ES" w:eastAsia="ru-RU"/>
        </w:rPr>
        <w:t xml:space="preserve"> </w:t>
      </w:r>
      <w:r w:rsidRPr="006435A5">
        <w:rPr>
          <w:lang w:eastAsia="ru-RU"/>
        </w:rPr>
        <w:t>հրապարակված</w:t>
      </w:r>
      <w:r w:rsidRPr="00AD6087">
        <w:rPr>
          <w:lang w:val="es-ES" w:eastAsia="ru-RU"/>
        </w:rPr>
        <w:t xml:space="preserve"> (</w:t>
      </w:r>
      <w:r w:rsidRPr="006435A5">
        <w:rPr>
          <w:lang w:eastAsia="ru-RU"/>
        </w:rPr>
        <w:t>մայիսի</w:t>
      </w:r>
      <w:r w:rsidRPr="00AD6087">
        <w:rPr>
          <w:lang w:val="es-ES" w:eastAsia="ru-RU"/>
        </w:rPr>
        <w:t xml:space="preserve"> 9, 2013 </w:t>
      </w:r>
      <w:r w:rsidRPr="006435A5">
        <w:rPr>
          <w:lang w:eastAsia="ru-RU"/>
        </w:rPr>
        <w:t>թվական</w:t>
      </w:r>
      <w:r w:rsidRPr="00AD6087">
        <w:rPr>
          <w:lang w:val="es-ES" w:eastAsia="ru-RU"/>
        </w:rPr>
        <w:t xml:space="preserve">) </w:t>
      </w:r>
      <w:r w:rsidRPr="006435A5">
        <w:rPr>
          <w:lang w:eastAsia="ru-RU"/>
        </w:rPr>
        <w:t>կապիտալի</w:t>
      </w:r>
      <w:r w:rsidRPr="00AD6087">
        <w:rPr>
          <w:lang w:val="es-ES" w:eastAsia="ru-RU"/>
        </w:rPr>
        <w:t xml:space="preserve"> </w:t>
      </w:r>
      <w:r w:rsidRPr="006435A5">
        <w:rPr>
          <w:lang w:eastAsia="ru-RU"/>
        </w:rPr>
        <w:t>շուկա</w:t>
      </w:r>
      <w:r w:rsidRPr="00AD6087">
        <w:rPr>
          <w:lang w:val="es-ES" w:eastAsia="ru-RU"/>
        </w:rPr>
        <w:t xml:space="preserve"> </w:t>
      </w:r>
      <w:r w:rsidRPr="006435A5">
        <w:rPr>
          <w:lang w:eastAsia="ru-RU"/>
        </w:rPr>
        <w:t>մուտք</w:t>
      </w:r>
      <w:r w:rsidRPr="00AD6087">
        <w:rPr>
          <w:lang w:val="es-ES" w:eastAsia="ru-RU"/>
        </w:rPr>
        <w:t xml:space="preserve"> </w:t>
      </w:r>
      <w:r w:rsidRPr="006435A5">
        <w:rPr>
          <w:lang w:eastAsia="ru-RU"/>
        </w:rPr>
        <w:t>ունեցող</w:t>
      </w:r>
      <w:r w:rsidRPr="00AD6087">
        <w:rPr>
          <w:lang w:val="es-ES" w:eastAsia="ru-RU"/>
        </w:rPr>
        <w:t xml:space="preserve"> </w:t>
      </w:r>
      <w:r w:rsidRPr="006435A5">
        <w:rPr>
          <w:lang w:eastAsia="ru-RU"/>
        </w:rPr>
        <w:t>երկրների</w:t>
      </w:r>
      <w:r w:rsidRPr="00AD6087">
        <w:rPr>
          <w:lang w:val="es-ES" w:eastAsia="ru-RU"/>
        </w:rPr>
        <w:t xml:space="preserve"> </w:t>
      </w:r>
      <w:r w:rsidRPr="006435A5">
        <w:rPr>
          <w:lang w:eastAsia="ru-RU"/>
        </w:rPr>
        <w:t>պետական</w:t>
      </w:r>
      <w:r w:rsidRPr="00AD6087">
        <w:rPr>
          <w:lang w:val="es-ES" w:eastAsia="ru-RU"/>
        </w:rPr>
        <w:t xml:space="preserve"> </w:t>
      </w:r>
      <w:r w:rsidRPr="006435A5">
        <w:rPr>
          <w:lang w:eastAsia="ru-RU"/>
        </w:rPr>
        <w:t>պարտքի</w:t>
      </w:r>
      <w:r w:rsidRPr="00AD6087">
        <w:rPr>
          <w:lang w:val="es-ES" w:eastAsia="ru-RU"/>
        </w:rPr>
        <w:t xml:space="preserve"> </w:t>
      </w:r>
      <w:r w:rsidRPr="006435A5">
        <w:rPr>
          <w:lang w:eastAsia="ru-RU"/>
        </w:rPr>
        <w:t>կայունության</w:t>
      </w:r>
      <w:r w:rsidRPr="00AD6087">
        <w:rPr>
          <w:lang w:val="es-ES" w:eastAsia="ru-RU"/>
        </w:rPr>
        <w:t xml:space="preserve"> </w:t>
      </w:r>
      <w:r w:rsidRPr="006435A5">
        <w:rPr>
          <w:lang w:eastAsia="ru-RU"/>
        </w:rPr>
        <w:t>ուղեցույցում</w:t>
      </w:r>
      <w:r w:rsidRPr="00AD6087">
        <w:rPr>
          <w:lang w:val="es-ES" w:eastAsia="ru-RU"/>
        </w:rPr>
        <w:t xml:space="preserve"> </w:t>
      </w:r>
      <w:r w:rsidRPr="006435A5">
        <w:rPr>
          <w:lang w:eastAsia="ru-RU"/>
        </w:rPr>
        <w:t>զարգացող</w:t>
      </w:r>
      <w:r w:rsidRPr="00AD6087">
        <w:rPr>
          <w:lang w:val="es-ES" w:eastAsia="ru-RU"/>
        </w:rPr>
        <w:t xml:space="preserve"> </w:t>
      </w:r>
      <w:r w:rsidRPr="006435A5">
        <w:rPr>
          <w:lang w:eastAsia="ru-RU"/>
        </w:rPr>
        <w:t>երկրների</w:t>
      </w:r>
      <w:r w:rsidRPr="00AD6087">
        <w:rPr>
          <w:lang w:val="es-ES" w:eastAsia="ru-RU"/>
        </w:rPr>
        <w:t xml:space="preserve"> </w:t>
      </w:r>
      <w:r w:rsidRPr="006435A5">
        <w:rPr>
          <w:lang w:eastAsia="ru-RU"/>
        </w:rPr>
        <w:t>համար</w:t>
      </w:r>
      <w:r w:rsidRPr="00AD6087">
        <w:rPr>
          <w:lang w:val="es-ES" w:eastAsia="ru-RU"/>
        </w:rPr>
        <w:t xml:space="preserve"> </w:t>
      </w:r>
      <w:r w:rsidRPr="006435A5">
        <w:rPr>
          <w:lang w:eastAsia="ru-RU"/>
        </w:rPr>
        <w:t>պարտքի</w:t>
      </w:r>
      <w:r w:rsidRPr="00AD6087">
        <w:rPr>
          <w:lang w:val="es-ES" w:eastAsia="ru-RU"/>
        </w:rPr>
        <w:t xml:space="preserve"> </w:t>
      </w:r>
      <w:r w:rsidRPr="006435A5">
        <w:rPr>
          <w:lang w:eastAsia="ru-RU"/>
        </w:rPr>
        <w:t>պորտֆելի</w:t>
      </w:r>
      <w:r w:rsidRPr="00AD6087">
        <w:rPr>
          <w:lang w:val="es-ES" w:eastAsia="ru-RU"/>
        </w:rPr>
        <w:t xml:space="preserve"> </w:t>
      </w:r>
      <w:r w:rsidRPr="006435A5">
        <w:rPr>
          <w:lang w:eastAsia="ru-RU"/>
        </w:rPr>
        <w:t>ուղենշային</w:t>
      </w:r>
      <w:r w:rsidRPr="00AD6087">
        <w:rPr>
          <w:lang w:val="es-ES" w:eastAsia="ru-RU"/>
        </w:rPr>
        <w:t xml:space="preserve"> </w:t>
      </w:r>
      <w:r w:rsidRPr="006435A5">
        <w:rPr>
          <w:lang w:eastAsia="ru-RU"/>
        </w:rPr>
        <w:t>ցուցանիշների</w:t>
      </w:r>
      <w:r w:rsidRPr="00AD6087">
        <w:rPr>
          <w:lang w:val="es-ES" w:eastAsia="ru-RU"/>
        </w:rPr>
        <w:t xml:space="preserve"> </w:t>
      </w:r>
      <w:r w:rsidRPr="006435A5">
        <w:rPr>
          <w:lang w:eastAsia="ru-RU"/>
        </w:rPr>
        <w:t>շարքում</w:t>
      </w:r>
      <w:r w:rsidRPr="00AD6087">
        <w:rPr>
          <w:lang w:val="es-ES" w:eastAsia="ru-RU"/>
        </w:rPr>
        <w:t xml:space="preserve"> </w:t>
      </w:r>
      <w:r w:rsidRPr="006435A5">
        <w:rPr>
          <w:lang w:eastAsia="ru-RU"/>
        </w:rPr>
        <w:t>ոչ</w:t>
      </w:r>
      <w:r w:rsidRPr="00AD6087">
        <w:rPr>
          <w:lang w:val="es-ES" w:eastAsia="ru-RU"/>
        </w:rPr>
        <w:t xml:space="preserve"> </w:t>
      </w:r>
      <w:r w:rsidRPr="006435A5">
        <w:rPr>
          <w:lang w:eastAsia="ru-RU"/>
        </w:rPr>
        <w:t>ռեզիդենտների</w:t>
      </w:r>
      <w:r w:rsidRPr="00AD6087">
        <w:rPr>
          <w:lang w:val="es-ES" w:eastAsia="ru-RU"/>
        </w:rPr>
        <w:t xml:space="preserve"> </w:t>
      </w:r>
      <w:r w:rsidRPr="006435A5">
        <w:rPr>
          <w:lang w:eastAsia="ru-RU"/>
        </w:rPr>
        <w:t>նկատմամբ</w:t>
      </w:r>
      <w:r w:rsidRPr="00AD6087">
        <w:rPr>
          <w:lang w:val="es-ES" w:eastAsia="ru-RU"/>
        </w:rPr>
        <w:t xml:space="preserve"> </w:t>
      </w:r>
      <w:r w:rsidRPr="006435A5">
        <w:rPr>
          <w:lang w:eastAsia="ru-RU"/>
        </w:rPr>
        <w:t>պետական</w:t>
      </w:r>
      <w:r w:rsidRPr="00AD6087">
        <w:rPr>
          <w:lang w:val="es-ES" w:eastAsia="ru-RU"/>
        </w:rPr>
        <w:t xml:space="preserve"> </w:t>
      </w:r>
      <w:r w:rsidRPr="006435A5">
        <w:rPr>
          <w:lang w:eastAsia="ru-RU"/>
        </w:rPr>
        <w:t>պարտքի</w:t>
      </w:r>
      <w:r w:rsidRPr="00AD6087">
        <w:rPr>
          <w:lang w:val="es-ES" w:eastAsia="ru-RU"/>
        </w:rPr>
        <w:t xml:space="preserve"> </w:t>
      </w:r>
      <w:r w:rsidRPr="006435A5">
        <w:rPr>
          <w:lang w:eastAsia="ru-RU"/>
        </w:rPr>
        <w:t>մասնաբաժնի</w:t>
      </w:r>
      <w:r w:rsidRPr="00AD6087">
        <w:rPr>
          <w:lang w:val="es-ES" w:eastAsia="ru-RU"/>
        </w:rPr>
        <w:t xml:space="preserve"> </w:t>
      </w:r>
      <w:r w:rsidRPr="006435A5">
        <w:rPr>
          <w:lang w:eastAsia="ru-RU"/>
        </w:rPr>
        <w:t>բարձր</w:t>
      </w:r>
      <w:r w:rsidRPr="00AD6087">
        <w:rPr>
          <w:lang w:val="es-ES" w:eastAsia="ru-RU"/>
        </w:rPr>
        <w:t xml:space="preserve"> </w:t>
      </w:r>
      <w:r w:rsidRPr="006435A5">
        <w:rPr>
          <w:lang w:eastAsia="ru-RU"/>
        </w:rPr>
        <w:t>ռիսկային</w:t>
      </w:r>
      <w:r w:rsidRPr="00AD6087">
        <w:rPr>
          <w:lang w:val="es-ES" w:eastAsia="ru-RU"/>
        </w:rPr>
        <w:t xml:space="preserve"> </w:t>
      </w:r>
      <w:r w:rsidRPr="006435A5">
        <w:rPr>
          <w:lang w:eastAsia="ru-RU"/>
        </w:rPr>
        <w:t>համարվող</w:t>
      </w:r>
      <w:r w:rsidRPr="00AD6087">
        <w:rPr>
          <w:lang w:val="es-ES" w:eastAsia="ru-RU"/>
        </w:rPr>
        <w:t xml:space="preserve"> </w:t>
      </w:r>
      <w:r w:rsidRPr="006435A5">
        <w:rPr>
          <w:lang w:eastAsia="ru-RU"/>
        </w:rPr>
        <w:t>մակարդակը</w:t>
      </w:r>
      <w:r w:rsidRPr="00AD6087">
        <w:rPr>
          <w:lang w:val="es-ES" w:eastAsia="ru-RU"/>
        </w:rPr>
        <w:t xml:space="preserve"> 60%-</w:t>
      </w:r>
      <w:r w:rsidRPr="006435A5">
        <w:rPr>
          <w:lang w:eastAsia="ru-RU"/>
        </w:rPr>
        <w:t>ն</w:t>
      </w:r>
      <w:r w:rsidRPr="00AD6087">
        <w:rPr>
          <w:lang w:val="es-ES" w:eastAsia="ru-RU"/>
        </w:rPr>
        <w:t xml:space="preserve"> </w:t>
      </w:r>
      <w:r w:rsidRPr="006435A5">
        <w:rPr>
          <w:lang w:eastAsia="ru-RU"/>
        </w:rPr>
        <w:t>է</w:t>
      </w:r>
      <w:r w:rsidRPr="00AD6087">
        <w:rPr>
          <w:lang w:val="es-ES" w:eastAsia="ru-RU"/>
        </w:rPr>
        <w:t xml:space="preserve">, </w:t>
      </w:r>
      <w:r w:rsidRPr="006435A5">
        <w:rPr>
          <w:lang w:eastAsia="ru-RU"/>
        </w:rPr>
        <w:t>որն</w:t>
      </w:r>
      <w:r w:rsidRPr="00AD6087">
        <w:rPr>
          <w:lang w:val="es-ES" w:eastAsia="ru-RU"/>
        </w:rPr>
        <w:t xml:space="preserve"> </w:t>
      </w:r>
      <w:r w:rsidRPr="006435A5">
        <w:rPr>
          <w:lang w:eastAsia="ru-RU"/>
        </w:rPr>
        <w:t>իր</w:t>
      </w:r>
      <w:r w:rsidRPr="00AD6087">
        <w:rPr>
          <w:lang w:val="es-ES" w:eastAsia="ru-RU"/>
        </w:rPr>
        <w:t xml:space="preserve"> </w:t>
      </w:r>
      <w:r w:rsidRPr="006435A5">
        <w:rPr>
          <w:lang w:eastAsia="ru-RU"/>
        </w:rPr>
        <w:t>հերթին</w:t>
      </w:r>
      <w:r w:rsidRPr="00AD6087">
        <w:rPr>
          <w:lang w:val="es-ES" w:eastAsia="ru-RU"/>
        </w:rPr>
        <w:t xml:space="preserve"> </w:t>
      </w:r>
      <w:r w:rsidRPr="006435A5">
        <w:rPr>
          <w:lang w:eastAsia="ru-RU"/>
        </w:rPr>
        <w:t>տարանջատվում</w:t>
      </w:r>
      <w:r w:rsidRPr="00AD6087">
        <w:rPr>
          <w:lang w:val="es-ES" w:eastAsia="ru-RU"/>
        </w:rPr>
        <w:t xml:space="preserve"> </w:t>
      </w:r>
      <w:r w:rsidRPr="006435A5">
        <w:rPr>
          <w:lang w:eastAsia="ru-RU"/>
        </w:rPr>
        <w:t>է</w:t>
      </w:r>
      <w:r w:rsidRPr="00AD6087">
        <w:rPr>
          <w:lang w:val="es-ES" w:eastAsia="ru-RU"/>
        </w:rPr>
        <w:t xml:space="preserve"> </w:t>
      </w:r>
      <w:r w:rsidRPr="006435A5">
        <w:rPr>
          <w:lang w:eastAsia="ru-RU"/>
        </w:rPr>
        <w:t>վաղ</w:t>
      </w:r>
      <w:r w:rsidRPr="00AD6087">
        <w:rPr>
          <w:lang w:val="es-ES" w:eastAsia="ru-RU"/>
        </w:rPr>
        <w:t xml:space="preserve"> </w:t>
      </w:r>
      <w:r w:rsidRPr="006435A5">
        <w:rPr>
          <w:lang w:eastAsia="ru-RU"/>
        </w:rPr>
        <w:t>նախազգուշական</w:t>
      </w:r>
      <w:r w:rsidRPr="00AD6087">
        <w:rPr>
          <w:lang w:val="es-ES" w:eastAsia="ru-RU"/>
        </w:rPr>
        <w:t xml:space="preserve"> </w:t>
      </w:r>
      <w:r w:rsidRPr="006435A5">
        <w:rPr>
          <w:lang w:eastAsia="ru-RU"/>
        </w:rPr>
        <w:t>ստորին</w:t>
      </w:r>
      <w:r w:rsidRPr="00AD6087">
        <w:rPr>
          <w:lang w:val="es-ES" w:eastAsia="ru-RU"/>
        </w:rPr>
        <w:t xml:space="preserve"> (15%) </w:t>
      </w:r>
      <w:r w:rsidRPr="006435A5">
        <w:rPr>
          <w:lang w:eastAsia="ru-RU"/>
        </w:rPr>
        <w:t>և</w:t>
      </w:r>
      <w:r w:rsidRPr="00AD6087">
        <w:rPr>
          <w:lang w:val="es-ES" w:eastAsia="ru-RU"/>
        </w:rPr>
        <w:t xml:space="preserve"> </w:t>
      </w:r>
      <w:r w:rsidRPr="006435A5">
        <w:rPr>
          <w:lang w:eastAsia="ru-RU"/>
        </w:rPr>
        <w:t>վերին</w:t>
      </w:r>
      <w:r w:rsidRPr="00AD6087">
        <w:rPr>
          <w:lang w:val="es-ES" w:eastAsia="ru-RU"/>
        </w:rPr>
        <w:t xml:space="preserve"> (45%) </w:t>
      </w:r>
      <w:r w:rsidRPr="006435A5">
        <w:rPr>
          <w:lang w:eastAsia="ru-RU"/>
        </w:rPr>
        <w:t>շեմերի</w:t>
      </w:r>
      <w:r w:rsidRPr="00AD6087">
        <w:rPr>
          <w:lang w:val="es-ES" w:eastAsia="ru-RU"/>
        </w:rPr>
        <w:t xml:space="preserve">: </w:t>
      </w:r>
      <w:r w:rsidRPr="006435A5">
        <w:rPr>
          <w:lang w:eastAsia="ru-RU"/>
        </w:rPr>
        <w:t>Նույն</w:t>
      </w:r>
      <w:r w:rsidRPr="00AD6087">
        <w:rPr>
          <w:lang w:val="es-ES" w:eastAsia="ru-RU"/>
        </w:rPr>
        <w:t xml:space="preserve"> </w:t>
      </w:r>
      <w:r w:rsidRPr="006435A5">
        <w:rPr>
          <w:lang w:eastAsia="ru-RU"/>
        </w:rPr>
        <w:t>ուղեցույցում</w:t>
      </w:r>
      <w:r w:rsidRPr="00AD6087">
        <w:rPr>
          <w:lang w:val="es-ES" w:eastAsia="ru-RU"/>
        </w:rPr>
        <w:t xml:space="preserve"> </w:t>
      </w:r>
      <w:r w:rsidRPr="006435A5">
        <w:rPr>
          <w:lang w:eastAsia="ru-RU"/>
        </w:rPr>
        <w:t>զարգացող</w:t>
      </w:r>
      <w:r w:rsidRPr="00AD6087">
        <w:rPr>
          <w:lang w:val="es-ES" w:eastAsia="ru-RU"/>
        </w:rPr>
        <w:t xml:space="preserve"> </w:t>
      </w:r>
      <w:r w:rsidRPr="006435A5">
        <w:rPr>
          <w:lang w:eastAsia="ru-RU"/>
        </w:rPr>
        <w:t>երկրների</w:t>
      </w:r>
      <w:r w:rsidRPr="00AD6087">
        <w:rPr>
          <w:lang w:val="es-ES" w:eastAsia="ru-RU"/>
        </w:rPr>
        <w:t xml:space="preserve"> </w:t>
      </w:r>
      <w:r w:rsidRPr="006435A5">
        <w:rPr>
          <w:lang w:eastAsia="ru-RU"/>
        </w:rPr>
        <w:t>համար</w:t>
      </w:r>
      <w:r w:rsidRPr="00AD6087">
        <w:rPr>
          <w:lang w:val="es-ES" w:eastAsia="ru-RU"/>
        </w:rPr>
        <w:t xml:space="preserve"> </w:t>
      </w:r>
      <w:r w:rsidRPr="006435A5">
        <w:rPr>
          <w:lang w:eastAsia="ru-RU"/>
        </w:rPr>
        <w:t>պարտքի</w:t>
      </w:r>
      <w:r w:rsidRPr="00AD6087">
        <w:rPr>
          <w:lang w:val="es-ES" w:eastAsia="ru-RU"/>
        </w:rPr>
        <w:t xml:space="preserve"> </w:t>
      </w:r>
      <w:r w:rsidRPr="006435A5">
        <w:rPr>
          <w:lang w:eastAsia="ru-RU"/>
        </w:rPr>
        <w:t>պորտֆելի</w:t>
      </w:r>
      <w:r w:rsidRPr="00AD6087">
        <w:rPr>
          <w:lang w:val="es-ES" w:eastAsia="ru-RU"/>
        </w:rPr>
        <w:t xml:space="preserve"> </w:t>
      </w:r>
      <w:r w:rsidRPr="006435A5">
        <w:rPr>
          <w:lang w:eastAsia="ru-RU"/>
        </w:rPr>
        <w:t>ուղենշային</w:t>
      </w:r>
      <w:r w:rsidRPr="00AD6087">
        <w:rPr>
          <w:lang w:val="es-ES" w:eastAsia="ru-RU"/>
        </w:rPr>
        <w:t xml:space="preserve"> </w:t>
      </w:r>
      <w:r w:rsidRPr="006435A5">
        <w:rPr>
          <w:lang w:eastAsia="ru-RU"/>
        </w:rPr>
        <w:t>ցուցանիշների</w:t>
      </w:r>
      <w:r w:rsidRPr="00AD6087">
        <w:rPr>
          <w:lang w:val="es-ES" w:eastAsia="ru-RU"/>
        </w:rPr>
        <w:t xml:space="preserve"> </w:t>
      </w:r>
      <w:r w:rsidRPr="006435A5">
        <w:rPr>
          <w:lang w:eastAsia="ru-RU"/>
        </w:rPr>
        <w:t>շարքում</w:t>
      </w:r>
      <w:r w:rsidRPr="00AD6087">
        <w:rPr>
          <w:lang w:val="es-ES" w:eastAsia="ru-RU"/>
        </w:rPr>
        <w:t xml:space="preserve"> </w:t>
      </w:r>
      <w:r w:rsidRPr="006435A5">
        <w:rPr>
          <w:lang w:eastAsia="ru-RU"/>
        </w:rPr>
        <w:t>արտարժութային</w:t>
      </w:r>
      <w:r w:rsidRPr="00AD6087">
        <w:rPr>
          <w:lang w:val="es-ES" w:eastAsia="ru-RU"/>
        </w:rPr>
        <w:t xml:space="preserve"> </w:t>
      </w:r>
      <w:r w:rsidRPr="006435A5">
        <w:rPr>
          <w:lang w:eastAsia="ru-RU"/>
        </w:rPr>
        <w:t>պետական</w:t>
      </w:r>
      <w:r w:rsidRPr="00AD6087">
        <w:rPr>
          <w:lang w:val="es-ES" w:eastAsia="ru-RU"/>
        </w:rPr>
        <w:t xml:space="preserve"> </w:t>
      </w:r>
      <w:r w:rsidRPr="006435A5">
        <w:rPr>
          <w:lang w:eastAsia="ru-RU"/>
        </w:rPr>
        <w:t>պարտքի</w:t>
      </w:r>
      <w:r w:rsidRPr="00AD6087">
        <w:rPr>
          <w:lang w:val="es-ES" w:eastAsia="ru-RU"/>
        </w:rPr>
        <w:t xml:space="preserve"> </w:t>
      </w:r>
      <w:r w:rsidRPr="006435A5">
        <w:rPr>
          <w:lang w:eastAsia="ru-RU"/>
        </w:rPr>
        <w:t>մասնաբաժնի</w:t>
      </w:r>
      <w:r w:rsidRPr="00AD6087">
        <w:rPr>
          <w:lang w:val="es-ES" w:eastAsia="ru-RU"/>
        </w:rPr>
        <w:t xml:space="preserve"> </w:t>
      </w:r>
      <w:r w:rsidRPr="006435A5">
        <w:rPr>
          <w:lang w:eastAsia="ru-RU"/>
        </w:rPr>
        <w:t>բարձր</w:t>
      </w:r>
      <w:r w:rsidRPr="00AD6087">
        <w:rPr>
          <w:lang w:val="es-ES" w:eastAsia="ru-RU"/>
        </w:rPr>
        <w:t xml:space="preserve"> </w:t>
      </w:r>
      <w:r w:rsidRPr="006435A5">
        <w:rPr>
          <w:lang w:eastAsia="ru-RU"/>
        </w:rPr>
        <w:t>ռիսկային</w:t>
      </w:r>
      <w:r w:rsidRPr="00AD6087">
        <w:rPr>
          <w:lang w:val="es-ES" w:eastAsia="ru-RU"/>
        </w:rPr>
        <w:t xml:space="preserve"> </w:t>
      </w:r>
      <w:r w:rsidRPr="006435A5">
        <w:rPr>
          <w:lang w:eastAsia="ru-RU"/>
        </w:rPr>
        <w:t>համարվող</w:t>
      </w:r>
      <w:r w:rsidRPr="00AD6087">
        <w:rPr>
          <w:lang w:val="es-ES" w:eastAsia="ru-RU"/>
        </w:rPr>
        <w:t xml:space="preserve"> </w:t>
      </w:r>
      <w:r w:rsidRPr="006435A5">
        <w:rPr>
          <w:lang w:eastAsia="ru-RU"/>
        </w:rPr>
        <w:t>մակարդակը</w:t>
      </w:r>
      <w:r w:rsidRPr="00AD6087">
        <w:rPr>
          <w:lang w:val="es-ES" w:eastAsia="ru-RU"/>
        </w:rPr>
        <w:t xml:space="preserve"> 80%-</w:t>
      </w:r>
      <w:r w:rsidRPr="006435A5">
        <w:rPr>
          <w:lang w:eastAsia="ru-RU"/>
        </w:rPr>
        <w:t>ն</w:t>
      </w:r>
      <w:r w:rsidRPr="00AD6087">
        <w:rPr>
          <w:lang w:val="es-ES" w:eastAsia="ru-RU"/>
        </w:rPr>
        <w:t xml:space="preserve"> </w:t>
      </w:r>
      <w:r w:rsidRPr="006435A5">
        <w:rPr>
          <w:lang w:eastAsia="ru-RU"/>
        </w:rPr>
        <w:t>է</w:t>
      </w:r>
      <w:r w:rsidRPr="00AD6087">
        <w:rPr>
          <w:lang w:val="es-ES" w:eastAsia="ru-RU"/>
        </w:rPr>
        <w:t xml:space="preserve">, </w:t>
      </w:r>
      <w:r w:rsidRPr="006435A5">
        <w:rPr>
          <w:lang w:eastAsia="ru-RU"/>
        </w:rPr>
        <w:t>որը</w:t>
      </w:r>
      <w:r w:rsidRPr="00AD6087">
        <w:rPr>
          <w:lang w:val="es-ES" w:eastAsia="ru-RU"/>
        </w:rPr>
        <w:t xml:space="preserve"> </w:t>
      </w:r>
      <w:r w:rsidRPr="006435A5">
        <w:rPr>
          <w:lang w:eastAsia="ru-RU"/>
        </w:rPr>
        <w:t>տարանջատվում</w:t>
      </w:r>
      <w:r w:rsidRPr="00AD6087">
        <w:rPr>
          <w:lang w:val="es-ES" w:eastAsia="ru-RU"/>
        </w:rPr>
        <w:t xml:space="preserve"> </w:t>
      </w:r>
      <w:r w:rsidRPr="006435A5">
        <w:rPr>
          <w:lang w:eastAsia="ru-RU"/>
        </w:rPr>
        <w:t>է</w:t>
      </w:r>
      <w:r w:rsidRPr="00AD6087">
        <w:rPr>
          <w:lang w:val="es-ES" w:eastAsia="ru-RU"/>
        </w:rPr>
        <w:t xml:space="preserve"> </w:t>
      </w:r>
      <w:r w:rsidRPr="006435A5">
        <w:rPr>
          <w:lang w:eastAsia="ru-RU"/>
        </w:rPr>
        <w:t>վաղ</w:t>
      </w:r>
      <w:r w:rsidRPr="00AD6087">
        <w:rPr>
          <w:lang w:val="es-ES" w:eastAsia="ru-RU"/>
        </w:rPr>
        <w:t xml:space="preserve"> </w:t>
      </w:r>
      <w:r w:rsidRPr="006435A5">
        <w:rPr>
          <w:lang w:eastAsia="ru-RU"/>
        </w:rPr>
        <w:t>նախազգուշական</w:t>
      </w:r>
      <w:r w:rsidRPr="00AD6087">
        <w:rPr>
          <w:lang w:val="es-ES" w:eastAsia="ru-RU"/>
        </w:rPr>
        <w:t xml:space="preserve"> </w:t>
      </w:r>
      <w:r w:rsidRPr="006435A5">
        <w:rPr>
          <w:lang w:eastAsia="ru-RU"/>
        </w:rPr>
        <w:t>ստորին</w:t>
      </w:r>
      <w:r w:rsidRPr="00AD6087">
        <w:rPr>
          <w:lang w:val="es-ES" w:eastAsia="ru-RU"/>
        </w:rPr>
        <w:t xml:space="preserve"> (20%) </w:t>
      </w:r>
      <w:r w:rsidRPr="006435A5">
        <w:rPr>
          <w:lang w:eastAsia="ru-RU"/>
        </w:rPr>
        <w:t>և</w:t>
      </w:r>
      <w:r w:rsidRPr="00AD6087">
        <w:rPr>
          <w:lang w:val="es-ES" w:eastAsia="ru-RU"/>
        </w:rPr>
        <w:t xml:space="preserve"> </w:t>
      </w:r>
      <w:r w:rsidRPr="006435A5">
        <w:rPr>
          <w:lang w:eastAsia="ru-RU"/>
        </w:rPr>
        <w:t>վերին</w:t>
      </w:r>
      <w:r w:rsidRPr="00AD6087">
        <w:rPr>
          <w:lang w:val="es-ES" w:eastAsia="ru-RU"/>
        </w:rPr>
        <w:t xml:space="preserve"> (60%) </w:t>
      </w:r>
      <w:r w:rsidRPr="006435A5">
        <w:rPr>
          <w:lang w:eastAsia="ru-RU"/>
        </w:rPr>
        <w:t>շեմերի</w:t>
      </w:r>
      <w:r w:rsidRPr="00AD6087">
        <w:rPr>
          <w:lang w:val="es-ES" w:eastAsia="ru-RU"/>
        </w:rPr>
        <w:t>:</w:t>
      </w:r>
    </w:p>
    <w:p w14:paraId="61B1CAF2" w14:textId="77777777" w:rsidR="00AD6087" w:rsidRPr="00AD6087" w:rsidRDefault="00AD6087" w:rsidP="00AD6087">
      <w:pPr>
        <w:spacing w:line="276" w:lineRule="auto"/>
        <w:rPr>
          <w:lang w:val="es-ES" w:eastAsia="ru-RU"/>
        </w:rPr>
      </w:pPr>
      <w:r w:rsidRPr="006435A5">
        <w:rPr>
          <w:lang w:eastAsia="ru-RU"/>
        </w:rPr>
        <w:t>Ներքին</w:t>
      </w:r>
      <w:r w:rsidRPr="00AD6087">
        <w:rPr>
          <w:lang w:val="es-ES" w:eastAsia="ru-RU"/>
        </w:rPr>
        <w:t xml:space="preserve"> </w:t>
      </w:r>
      <w:r w:rsidRPr="006435A5">
        <w:rPr>
          <w:lang w:eastAsia="ru-RU"/>
        </w:rPr>
        <w:t>փոխառու</w:t>
      </w:r>
      <w:r w:rsidRPr="00AD6087">
        <w:rPr>
          <w:lang w:val="es-ES" w:eastAsia="ru-RU"/>
        </w:rPr>
        <w:t xml:space="preserve"> </w:t>
      </w:r>
      <w:r w:rsidRPr="006435A5">
        <w:rPr>
          <w:lang w:eastAsia="ru-RU"/>
        </w:rPr>
        <w:t>զուտ</w:t>
      </w:r>
      <w:r w:rsidRPr="00AD6087">
        <w:rPr>
          <w:lang w:val="es-ES" w:eastAsia="ru-RU"/>
        </w:rPr>
        <w:t xml:space="preserve"> </w:t>
      </w:r>
      <w:r w:rsidRPr="006435A5">
        <w:rPr>
          <w:lang w:eastAsia="ru-RU"/>
        </w:rPr>
        <w:t>միջոցների</w:t>
      </w:r>
      <w:r w:rsidRPr="00AD6087">
        <w:rPr>
          <w:lang w:val="es-ES" w:eastAsia="ru-RU"/>
        </w:rPr>
        <w:t xml:space="preserve"> </w:t>
      </w:r>
      <w:r w:rsidRPr="006435A5">
        <w:rPr>
          <w:lang w:eastAsia="ru-RU"/>
        </w:rPr>
        <w:t>հաշվին</w:t>
      </w:r>
      <w:r w:rsidRPr="00AD6087">
        <w:rPr>
          <w:lang w:val="es-ES" w:eastAsia="ru-RU"/>
        </w:rPr>
        <w:t xml:space="preserve"> </w:t>
      </w:r>
      <w:r w:rsidRPr="006435A5">
        <w:rPr>
          <w:lang w:eastAsia="ru-RU"/>
        </w:rPr>
        <w:t>դեֆիցիտի</w:t>
      </w:r>
      <w:r w:rsidRPr="00AD6087">
        <w:rPr>
          <w:lang w:val="es-ES" w:eastAsia="ru-RU"/>
        </w:rPr>
        <w:t xml:space="preserve"> </w:t>
      </w:r>
      <w:r w:rsidRPr="006435A5">
        <w:rPr>
          <w:lang w:eastAsia="ru-RU"/>
        </w:rPr>
        <w:t>ֆինանսավորումն</w:t>
      </w:r>
      <w:r w:rsidRPr="00AD6087">
        <w:rPr>
          <w:lang w:val="es-ES" w:eastAsia="ru-RU"/>
        </w:rPr>
        <w:t xml:space="preserve"> </w:t>
      </w:r>
      <w:r w:rsidRPr="006435A5">
        <w:rPr>
          <w:lang w:eastAsia="ru-RU"/>
        </w:rPr>
        <w:t>իրականացվելու</w:t>
      </w:r>
      <w:r w:rsidRPr="00AD6087">
        <w:rPr>
          <w:lang w:val="es-ES" w:eastAsia="ru-RU"/>
        </w:rPr>
        <w:t xml:space="preserve"> </w:t>
      </w:r>
      <w:r w:rsidRPr="006435A5">
        <w:rPr>
          <w:lang w:eastAsia="ru-RU"/>
        </w:rPr>
        <w:t>է</w:t>
      </w:r>
      <w:r w:rsidRPr="00AD6087">
        <w:rPr>
          <w:lang w:val="es-ES" w:eastAsia="ru-RU"/>
        </w:rPr>
        <w:t xml:space="preserve"> </w:t>
      </w:r>
      <w:r w:rsidRPr="006435A5">
        <w:rPr>
          <w:lang w:eastAsia="ru-RU"/>
        </w:rPr>
        <w:t>մինչև</w:t>
      </w:r>
      <w:r w:rsidRPr="00AD6087">
        <w:rPr>
          <w:lang w:val="es-ES" w:eastAsia="ru-RU"/>
        </w:rPr>
        <w:t xml:space="preserve"> </w:t>
      </w:r>
      <w:r w:rsidRPr="006435A5">
        <w:rPr>
          <w:lang w:eastAsia="ru-RU"/>
        </w:rPr>
        <w:t>մեկ</w:t>
      </w:r>
      <w:r w:rsidRPr="00AD6087">
        <w:rPr>
          <w:lang w:val="es-ES" w:eastAsia="ru-RU"/>
        </w:rPr>
        <w:t xml:space="preserve"> </w:t>
      </w:r>
      <w:r w:rsidRPr="006435A5">
        <w:rPr>
          <w:lang w:eastAsia="ru-RU"/>
        </w:rPr>
        <w:t>տարի</w:t>
      </w:r>
      <w:r w:rsidRPr="00AD6087">
        <w:rPr>
          <w:lang w:val="es-ES" w:eastAsia="ru-RU"/>
        </w:rPr>
        <w:t xml:space="preserve"> </w:t>
      </w:r>
      <w:r w:rsidRPr="006435A5">
        <w:rPr>
          <w:lang w:eastAsia="ru-RU"/>
        </w:rPr>
        <w:t>մարման</w:t>
      </w:r>
      <w:r w:rsidRPr="00AD6087">
        <w:rPr>
          <w:lang w:val="es-ES" w:eastAsia="ru-RU"/>
        </w:rPr>
        <w:t xml:space="preserve"> </w:t>
      </w:r>
      <w:r w:rsidRPr="006435A5">
        <w:rPr>
          <w:lang w:eastAsia="ru-RU"/>
        </w:rPr>
        <w:t>ժամկետով</w:t>
      </w:r>
      <w:r w:rsidRPr="00AD6087">
        <w:rPr>
          <w:lang w:val="es-ES" w:eastAsia="ru-RU"/>
        </w:rPr>
        <w:t xml:space="preserve"> </w:t>
      </w:r>
      <w:r w:rsidRPr="006435A5">
        <w:rPr>
          <w:lang w:eastAsia="ru-RU"/>
        </w:rPr>
        <w:t>պետական</w:t>
      </w:r>
      <w:r w:rsidRPr="00AD6087">
        <w:rPr>
          <w:lang w:val="es-ES" w:eastAsia="ru-RU"/>
        </w:rPr>
        <w:t xml:space="preserve"> </w:t>
      </w:r>
      <w:r w:rsidRPr="006435A5">
        <w:rPr>
          <w:lang w:eastAsia="ru-RU"/>
        </w:rPr>
        <w:t>գանձապետական</w:t>
      </w:r>
      <w:r w:rsidRPr="00AD6087">
        <w:rPr>
          <w:lang w:val="es-ES" w:eastAsia="ru-RU"/>
        </w:rPr>
        <w:t xml:space="preserve"> </w:t>
      </w:r>
      <w:r w:rsidRPr="006435A5">
        <w:rPr>
          <w:lang w:eastAsia="ru-RU"/>
        </w:rPr>
        <w:t>կարճաժամկետ</w:t>
      </w:r>
      <w:r w:rsidRPr="00AD6087">
        <w:rPr>
          <w:lang w:val="es-ES" w:eastAsia="ru-RU"/>
        </w:rPr>
        <w:t xml:space="preserve"> </w:t>
      </w:r>
      <w:r w:rsidRPr="006435A5">
        <w:rPr>
          <w:lang w:eastAsia="ru-RU"/>
        </w:rPr>
        <w:t>պարտատոմսեր</w:t>
      </w:r>
      <w:r w:rsidRPr="00AD6087">
        <w:rPr>
          <w:lang w:val="es-ES" w:eastAsia="ru-RU"/>
        </w:rPr>
        <w:t xml:space="preserve">, 3 </w:t>
      </w:r>
      <w:r w:rsidRPr="006435A5">
        <w:rPr>
          <w:lang w:eastAsia="ru-RU"/>
        </w:rPr>
        <w:t>և</w:t>
      </w:r>
      <w:r w:rsidRPr="00AD6087">
        <w:rPr>
          <w:lang w:val="es-ES" w:eastAsia="ru-RU"/>
        </w:rPr>
        <w:t xml:space="preserve"> 5 </w:t>
      </w:r>
      <w:r w:rsidRPr="006435A5">
        <w:rPr>
          <w:lang w:eastAsia="ru-RU"/>
        </w:rPr>
        <w:t>տարի</w:t>
      </w:r>
      <w:r w:rsidRPr="00AD6087">
        <w:rPr>
          <w:lang w:val="es-ES" w:eastAsia="ru-RU"/>
        </w:rPr>
        <w:t xml:space="preserve"> </w:t>
      </w:r>
      <w:r w:rsidRPr="006435A5">
        <w:rPr>
          <w:lang w:eastAsia="ru-RU"/>
        </w:rPr>
        <w:t>մարման</w:t>
      </w:r>
      <w:r w:rsidRPr="00AD6087">
        <w:rPr>
          <w:lang w:val="es-ES" w:eastAsia="ru-RU"/>
        </w:rPr>
        <w:t xml:space="preserve"> </w:t>
      </w:r>
      <w:r w:rsidRPr="006435A5">
        <w:rPr>
          <w:lang w:eastAsia="ru-RU"/>
        </w:rPr>
        <w:t>ժամկետով</w:t>
      </w:r>
      <w:r w:rsidRPr="00AD6087">
        <w:rPr>
          <w:lang w:val="es-ES" w:eastAsia="ru-RU"/>
        </w:rPr>
        <w:t xml:space="preserve"> </w:t>
      </w:r>
      <w:r w:rsidRPr="006435A5">
        <w:rPr>
          <w:lang w:eastAsia="ru-RU"/>
        </w:rPr>
        <w:t>միջնաժամկետ</w:t>
      </w:r>
      <w:r w:rsidRPr="00AD6087">
        <w:rPr>
          <w:lang w:val="es-ES" w:eastAsia="ru-RU"/>
        </w:rPr>
        <w:t xml:space="preserve"> </w:t>
      </w:r>
      <w:r w:rsidRPr="006435A5">
        <w:rPr>
          <w:lang w:eastAsia="ru-RU"/>
        </w:rPr>
        <w:t>արժեկտրոնային</w:t>
      </w:r>
      <w:r w:rsidRPr="00AD6087">
        <w:rPr>
          <w:lang w:val="es-ES" w:eastAsia="ru-RU"/>
        </w:rPr>
        <w:t xml:space="preserve"> </w:t>
      </w:r>
      <w:r w:rsidRPr="006435A5">
        <w:rPr>
          <w:lang w:eastAsia="ru-RU"/>
        </w:rPr>
        <w:t>պարտատոմսեր</w:t>
      </w:r>
      <w:r w:rsidRPr="00AD6087">
        <w:rPr>
          <w:lang w:val="es-ES" w:eastAsia="ru-RU"/>
        </w:rPr>
        <w:t xml:space="preserve">, 10 </w:t>
      </w:r>
      <w:r w:rsidRPr="006435A5">
        <w:rPr>
          <w:lang w:eastAsia="ru-RU"/>
        </w:rPr>
        <w:t>և</w:t>
      </w:r>
      <w:r w:rsidRPr="00AD6087">
        <w:rPr>
          <w:lang w:val="es-ES" w:eastAsia="ru-RU"/>
        </w:rPr>
        <w:t xml:space="preserve"> 30  </w:t>
      </w:r>
      <w:r w:rsidRPr="006435A5">
        <w:rPr>
          <w:lang w:eastAsia="ru-RU"/>
        </w:rPr>
        <w:t>տարի</w:t>
      </w:r>
      <w:r w:rsidRPr="00AD6087">
        <w:rPr>
          <w:lang w:val="es-ES" w:eastAsia="ru-RU"/>
        </w:rPr>
        <w:t xml:space="preserve"> </w:t>
      </w:r>
      <w:r w:rsidRPr="006435A5">
        <w:rPr>
          <w:lang w:eastAsia="ru-RU"/>
        </w:rPr>
        <w:t>մարման</w:t>
      </w:r>
      <w:r w:rsidRPr="00AD6087">
        <w:rPr>
          <w:lang w:val="es-ES" w:eastAsia="ru-RU"/>
        </w:rPr>
        <w:t xml:space="preserve"> </w:t>
      </w:r>
      <w:r w:rsidRPr="006435A5">
        <w:rPr>
          <w:lang w:eastAsia="ru-RU"/>
        </w:rPr>
        <w:t>ժամկետով</w:t>
      </w:r>
      <w:r w:rsidRPr="00AD6087">
        <w:rPr>
          <w:lang w:val="es-ES" w:eastAsia="ru-RU"/>
        </w:rPr>
        <w:t xml:space="preserve"> </w:t>
      </w:r>
      <w:r w:rsidRPr="006435A5">
        <w:rPr>
          <w:lang w:eastAsia="ru-RU"/>
        </w:rPr>
        <w:t>երկարաժամկետ</w:t>
      </w:r>
      <w:r w:rsidRPr="00AD6087">
        <w:rPr>
          <w:lang w:val="es-ES" w:eastAsia="ru-RU"/>
        </w:rPr>
        <w:t xml:space="preserve"> </w:t>
      </w:r>
      <w:r w:rsidRPr="006435A5">
        <w:rPr>
          <w:lang w:eastAsia="ru-RU"/>
        </w:rPr>
        <w:t>արժեկտրոնային</w:t>
      </w:r>
      <w:r w:rsidRPr="00AD6087">
        <w:rPr>
          <w:lang w:val="es-ES" w:eastAsia="ru-RU"/>
        </w:rPr>
        <w:t xml:space="preserve"> </w:t>
      </w:r>
      <w:r w:rsidRPr="006435A5">
        <w:rPr>
          <w:lang w:eastAsia="ru-RU"/>
        </w:rPr>
        <w:t>պարտատոմսեր</w:t>
      </w:r>
      <w:r w:rsidRPr="00AD6087">
        <w:rPr>
          <w:lang w:val="es-ES" w:eastAsia="ru-RU"/>
        </w:rPr>
        <w:t xml:space="preserve">, </w:t>
      </w:r>
      <w:r w:rsidRPr="006435A5">
        <w:rPr>
          <w:lang w:eastAsia="ru-RU"/>
        </w:rPr>
        <w:t>ինչպես</w:t>
      </w:r>
      <w:r w:rsidRPr="00AD6087">
        <w:rPr>
          <w:lang w:val="es-ES" w:eastAsia="ru-RU"/>
        </w:rPr>
        <w:t xml:space="preserve"> </w:t>
      </w:r>
      <w:r w:rsidRPr="006435A5">
        <w:rPr>
          <w:lang w:eastAsia="ru-RU"/>
        </w:rPr>
        <w:t>նաև</w:t>
      </w:r>
      <w:r w:rsidRPr="00AD6087">
        <w:rPr>
          <w:lang w:val="es-ES" w:eastAsia="ru-RU"/>
        </w:rPr>
        <w:t xml:space="preserve"> 6 </w:t>
      </w:r>
      <w:r w:rsidRPr="006435A5">
        <w:rPr>
          <w:lang w:eastAsia="ru-RU"/>
        </w:rPr>
        <w:t>ամիս</w:t>
      </w:r>
      <w:r w:rsidRPr="00AD6087">
        <w:rPr>
          <w:lang w:val="es-ES" w:eastAsia="ru-RU"/>
        </w:rPr>
        <w:t xml:space="preserve">, 1, 2 </w:t>
      </w:r>
      <w:r w:rsidRPr="006435A5">
        <w:rPr>
          <w:lang w:eastAsia="ru-RU"/>
        </w:rPr>
        <w:t>և</w:t>
      </w:r>
      <w:r w:rsidRPr="00AD6087">
        <w:rPr>
          <w:lang w:val="es-ES" w:eastAsia="ru-RU"/>
        </w:rPr>
        <w:t xml:space="preserve"> 3 </w:t>
      </w:r>
      <w:r w:rsidRPr="006435A5">
        <w:rPr>
          <w:lang w:eastAsia="ru-RU"/>
        </w:rPr>
        <w:t>տարի</w:t>
      </w:r>
      <w:r w:rsidRPr="00AD6087">
        <w:rPr>
          <w:lang w:val="es-ES" w:eastAsia="ru-RU"/>
        </w:rPr>
        <w:t xml:space="preserve"> </w:t>
      </w:r>
      <w:r w:rsidRPr="006435A5">
        <w:rPr>
          <w:lang w:eastAsia="ru-RU"/>
        </w:rPr>
        <w:t>մարման</w:t>
      </w:r>
      <w:r w:rsidRPr="00AD6087">
        <w:rPr>
          <w:lang w:val="es-ES" w:eastAsia="ru-RU"/>
        </w:rPr>
        <w:t xml:space="preserve"> </w:t>
      </w:r>
      <w:r w:rsidRPr="006435A5">
        <w:rPr>
          <w:lang w:eastAsia="ru-RU"/>
        </w:rPr>
        <w:t>ժամկետով</w:t>
      </w:r>
      <w:r w:rsidRPr="00AD6087">
        <w:rPr>
          <w:lang w:val="es-ES" w:eastAsia="ru-RU"/>
        </w:rPr>
        <w:t xml:space="preserve">  </w:t>
      </w:r>
      <w:r w:rsidRPr="006435A5">
        <w:rPr>
          <w:lang w:eastAsia="ru-RU"/>
        </w:rPr>
        <w:t>խնայողական</w:t>
      </w:r>
      <w:r w:rsidRPr="00AD6087">
        <w:rPr>
          <w:lang w:val="es-ES" w:eastAsia="ru-RU"/>
        </w:rPr>
        <w:t xml:space="preserve"> </w:t>
      </w:r>
      <w:r w:rsidRPr="006435A5">
        <w:rPr>
          <w:lang w:eastAsia="ru-RU"/>
        </w:rPr>
        <w:t>արժեկտրոնային</w:t>
      </w:r>
      <w:r w:rsidRPr="00AD6087">
        <w:rPr>
          <w:lang w:val="es-ES" w:eastAsia="ru-RU"/>
        </w:rPr>
        <w:t xml:space="preserve"> </w:t>
      </w:r>
      <w:r w:rsidRPr="006435A5">
        <w:rPr>
          <w:lang w:eastAsia="ru-RU"/>
        </w:rPr>
        <w:t>պարտատոմսեր</w:t>
      </w:r>
      <w:r w:rsidRPr="00AD6087">
        <w:rPr>
          <w:lang w:val="es-ES" w:eastAsia="ru-RU"/>
        </w:rPr>
        <w:t xml:space="preserve"> </w:t>
      </w:r>
      <w:r w:rsidRPr="006435A5">
        <w:rPr>
          <w:lang w:eastAsia="ru-RU"/>
        </w:rPr>
        <w:t>տեղաբաշխելու</w:t>
      </w:r>
      <w:r w:rsidRPr="00AD6087">
        <w:rPr>
          <w:lang w:val="es-ES" w:eastAsia="ru-RU"/>
        </w:rPr>
        <w:t xml:space="preserve"> </w:t>
      </w:r>
      <w:r w:rsidRPr="006435A5">
        <w:rPr>
          <w:lang w:eastAsia="ru-RU"/>
        </w:rPr>
        <w:t>միջոցով</w:t>
      </w:r>
      <w:r w:rsidRPr="00AD6087">
        <w:rPr>
          <w:lang w:val="es-ES" w:eastAsia="ru-RU"/>
        </w:rPr>
        <w:t xml:space="preserve">: </w:t>
      </w:r>
    </w:p>
    <w:p w14:paraId="7CC38EE3" w14:textId="77777777" w:rsidR="00AD6087" w:rsidRPr="00AD6087" w:rsidRDefault="00AD6087" w:rsidP="00AD6087">
      <w:pPr>
        <w:spacing w:line="276" w:lineRule="auto"/>
        <w:rPr>
          <w:lang w:val="es-ES" w:eastAsia="ru-RU"/>
        </w:rPr>
      </w:pPr>
      <w:r w:rsidRPr="006435A5">
        <w:rPr>
          <w:lang w:eastAsia="ru-RU"/>
        </w:rPr>
        <w:t>Արտաքին</w:t>
      </w:r>
      <w:r w:rsidRPr="00AD6087">
        <w:rPr>
          <w:lang w:val="es-ES" w:eastAsia="ru-RU"/>
        </w:rPr>
        <w:t xml:space="preserve"> </w:t>
      </w:r>
      <w:r w:rsidRPr="006435A5">
        <w:rPr>
          <w:lang w:eastAsia="ru-RU"/>
        </w:rPr>
        <w:t>փոխառու</w:t>
      </w:r>
      <w:r w:rsidRPr="00AD6087">
        <w:rPr>
          <w:lang w:val="es-ES" w:eastAsia="ru-RU"/>
        </w:rPr>
        <w:t xml:space="preserve"> </w:t>
      </w:r>
      <w:r w:rsidRPr="006435A5">
        <w:rPr>
          <w:lang w:eastAsia="ru-RU"/>
        </w:rPr>
        <w:t>զուտ</w:t>
      </w:r>
      <w:r w:rsidRPr="00AD6087">
        <w:rPr>
          <w:lang w:val="es-ES" w:eastAsia="ru-RU"/>
        </w:rPr>
        <w:t xml:space="preserve"> </w:t>
      </w:r>
      <w:r w:rsidRPr="006435A5">
        <w:rPr>
          <w:lang w:eastAsia="ru-RU"/>
        </w:rPr>
        <w:t>միջոցների</w:t>
      </w:r>
      <w:r w:rsidRPr="00AD6087">
        <w:rPr>
          <w:lang w:val="es-ES" w:eastAsia="ru-RU"/>
        </w:rPr>
        <w:t xml:space="preserve"> </w:t>
      </w:r>
      <w:r w:rsidRPr="006435A5">
        <w:rPr>
          <w:lang w:eastAsia="ru-RU"/>
        </w:rPr>
        <w:t>հաշվին</w:t>
      </w:r>
      <w:r w:rsidRPr="00AD6087">
        <w:rPr>
          <w:lang w:val="es-ES" w:eastAsia="ru-RU"/>
        </w:rPr>
        <w:t xml:space="preserve"> </w:t>
      </w:r>
      <w:r w:rsidRPr="006435A5">
        <w:rPr>
          <w:lang w:eastAsia="ru-RU"/>
        </w:rPr>
        <w:t>դեֆիցիտի</w:t>
      </w:r>
      <w:r w:rsidRPr="00AD6087">
        <w:rPr>
          <w:lang w:val="es-ES" w:eastAsia="ru-RU"/>
        </w:rPr>
        <w:t xml:space="preserve"> </w:t>
      </w:r>
      <w:r w:rsidRPr="006435A5">
        <w:rPr>
          <w:lang w:eastAsia="ru-RU"/>
        </w:rPr>
        <w:t>ֆինանսավորումն</w:t>
      </w:r>
      <w:r w:rsidRPr="00AD6087">
        <w:rPr>
          <w:lang w:val="es-ES" w:eastAsia="ru-RU"/>
        </w:rPr>
        <w:t xml:space="preserve"> </w:t>
      </w:r>
      <w:r w:rsidRPr="006435A5">
        <w:rPr>
          <w:lang w:eastAsia="ru-RU"/>
        </w:rPr>
        <w:t>իրականացվելու</w:t>
      </w:r>
      <w:r w:rsidRPr="00AD6087">
        <w:rPr>
          <w:lang w:val="es-ES" w:eastAsia="ru-RU"/>
        </w:rPr>
        <w:t xml:space="preserve"> </w:t>
      </w:r>
      <w:r w:rsidRPr="006435A5">
        <w:rPr>
          <w:lang w:eastAsia="ru-RU"/>
        </w:rPr>
        <w:t>է</w:t>
      </w:r>
      <w:r w:rsidRPr="00AD6087">
        <w:rPr>
          <w:lang w:val="es-ES" w:eastAsia="ru-RU"/>
        </w:rPr>
        <w:t xml:space="preserve"> </w:t>
      </w:r>
      <w:r w:rsidRPr="006435A5">
        <w:rPr>
          <w:lang w:eastAsia="ru-RU"/>
        </w:rPr>
        <w:t>երկկողմ</w:t>
      </w:r>
      <w:r w:rsidRPr="00AD6087">
        <w:rPr>
          <w:lang w:val="es-ES" w:eastAsia="ru-RU"/>
        </w:rPr>
        <w:t xml:space="preserve"> </w:t>
      </w:r>
      <w:r w:rsidRPr="006435A5">
        <w:rPr>
          <w:lang w:eastAsia="ru-RU"/>
        </w:rPr>
        <w:t>և</w:t>
      </w:r>
      <w:r w:rsidRPr="00AD6087">
        <w:rPr>
          <w:lang w:val="es-ES" w:eastAsia="ru-RU"/>
        </w:rPr>
        <w:t xml:space="preserve"> </w:t>
      </w:r>
      <w:r w:rsidRPr="006435A5">
        <w:rPr>
          <w:lang w:eastAsia="ru-RU"/>
        </w:rPr>
        <w:t>բազմակողմ</w:t>
      </w:r>
      <w:r w:rsidRPr="00AD6087">
        <w:rPr>
          <w:lang w:val="es-ES" w:eastAsia="ru-RU"/>
        </w:rPr>
        <w:t xml:space="preserve"> </w:t>
      </w:r>
      <w:r w:rsidRPr="006435A5">
        <w:rPr>
          <w:lang w:eastAsia="ru-RU"/>
        </w:rPr>
        <w:t>միջազգային</w:t>
      </w:r>
      <w:r w:rsidRPr="00AD6087">
        <w:rPr>
          <w:lang w:val="es-ES" w:eastAsia="ru-RU"/>
        </w:rPr>
        <w:t xml:space="preserve"> </w:t>
      </w:r>
      <w:r w:rsidRPr="006435A5">
        <w:rPr>
          <w:lang w:eastAsia="ru-RU"/>
        </w:rPr>
        <w:t>վարկատուներից</w:t>
      </w:r>
      <w:r w:rsidRPr="00AD6087">
        <w:rPr>
          <w:lang w:val="es-ES" w:eastAsia="ru-RU"/>
        </w:rPr>
        <w:t xml:space="preserve"> </w:t>
      </w:r>
      <w:r w:rsidRPr="006435A5">
        <w:rPr>
          <w:lang w:eastAsia="ru-RU"/>
        </w:rPr>
        <w:t>նպատակային</w:t>
      </w:r>
      <w:r w:rsidRPr="00AD6087">
        <w:rPr>
          <w:lang w:val="es-ES" w:eastAsia="ru-RU"/>
        </w:rPr>
        <w:t xml:space="preserve"> </w:t>
      </w:r>
      <w:r w:rsidRPr="006435A5">
        <w:rPr>
          <w:lang w:eastAsia="ru-RU"/>
        </w:rPr>
        <w:t>վարկեր</w:t>
      </w:r>
      <w:r w:rsidRPr="00AD6087">
        <w:rPr>
          <w:lang w:val="es-ES" w:eastAsia="ru-RU"/>
        </w:rPr>
        <w:t xml:space="preserve"> </w:t>
      </w:r>
      <w:r w:rsidRPr="006435A5">
        <w:rPr>
          <w:lang w:eastAsia="ru-RU"/>
        </w:rPr>
        <w:t>ներգրավելու</w:t>
      </w:r>
      <w:r w:rsidRPr="00AD6087">
        <w:rPr>
          <w:lang w:val="es-ES" w:eastAsia="ru-RU"/>
        </w:rPr>
        <w:t xml:space="preserve"> </w:t>
      </w:r>
      <w:r w:rsidRPr="006435A5">
        <w:rPr>
          <w:lang w:eastAsia="ru-RU"/>
        </w:rPr>
        <w:t>միջոցով</w:t>
      </w:r>
      <w:r w:rsidRPr="00AD6087">
        <w:rPr>
          <w:lang w:val="es-ES" w:eastAsia="ru-RU"/>
        </w:rPr>
        <w:t>:</w:t>
      </w:r>
    </w:p>
    <w:p w14:paraId="754D86A9" w14:textId="77777777" w:rsidR="00AD6087" w:rsidRPr="00AD6087" w:rsidRDefault="00AD6087" w:rsidP="00AD6087">
      <w:pPr>
        <w:spacing w:line="276" w:lineRule="auto"/>
        <w:rPr>
          <w:lang w:val="es-ES"/>
        </w:rPr>
      </w:pPr>
      <w:r w:rsidRPr="006435A5">
        <w:t>Ստորև</w:t>
      </w:r>
      <w:r w:rsidRPr="00AD6087">
        <w:rPr>
          <w:lang w:val="es-ES"/>
        </w:rPr>
        <w:t xml:space="preserve"> </w:t>
      </w:r>
      <w:r w:rsidRPr="006435A5">
        <w:t>ներկայացվում</w:t>
      </w:r>
      <w:r w:rsidRPr="00AD6087">
        <w:rPr>
          <w:lang w:val="es-ES"/>
        </w:rPr>
        <w:t xml:space="preserve"> </w:t>
      </w:r>
      <w:r w:rsidRPr="006435A5">
        <w:t>է</w:t>
      </w:r>
      <w:r w:rsidRPr="00AD6087">
        <w:rPr>
          <w:lang w:val="es-ES"/>
        </w:rPr>
        <w:t xml:space="preserve"> </w:t>
      </w:r>
      <w:r w:rsidRPr="006435A5">
        <w:t>ծախսերի</w:t>
      </w:r>
      <w:r w:rsidRPr="00AD6087">
        <w:rPr>
          <w:lang w:val="es-ES"/>
        </w:rPr>
        <w:t xml:space="preserve"> </w:t>
      </w:r>
      <w:r w:rsidRPr="006435A5">
        <w:t>և</w:t>
      </w:r>
      <w:r w:rsidRPr="00AD6087">
        <w:rPr>
          <w:lang w:val="es-ES"/>
        </w:rPr>
        <w:t xml:space="preserve"> </w:t>
      </w:r>
      <w:r w:rsidRPr="006435A5">
        <w:t>ռիսկի</w:t>
      </w:r>
      <w:r w:rsidRPr="00AD6087">
        <w:rPr>
          <w:lang w:val="es-ES"/>
        </w:rPr>
        <w:t xml:space="preserve"> </w:t>
      </w:r>
      <w:r w:rsidRPr="006435A5">
        <w:t>տեսակետից</w:t>
      </w:r>
      <w:r w:rsidRPr="00AD6087">
        <w:rPr>
          <w:lang w:val="es-ES"/>
        </w:rPr>
        <w:t xml:space="preserve"> </w:t>
      </w:r>
      <w:r w:rsidRPr="006435A5">
        <w:t>ընտրված</w:t>
      </w:r>
      <w:r w:rsidRPr="00AD6087">
        <w:rPr>
          <w:lang w:val="es-ES"/>
        </w:rPr>
        <w:t xml:space="preserve"> </w:t>
      </w:r>
      <w:r w:rsidRPr="006435A5">
        <w:t>ռազմավարության</w:t>
      </w:r>
      <w:r w:rsidRPr="00AD6087">
        <w:rPr>
          <w:lang w:val="es-ES"/>
        </w:rPr>
        <w:t xml:space="preserve"> (</w:t>
      </w:r>
      <w:r w:rsidRPr="006435A5">
        <w:t>Ռ</w:t>
      </w:r>
      <w:r w:rsidRPr="00AD6087">
        <w:rPr>
          <w:lang w:val="es-ES"/>
        </w:rPr>
        <w:t xml:space="preserve">1) </w:t>
      </w:r>
      <w:r w:rsidRPr="006435A5">
        <w:t>ու</w:t>
      </w:r>
      <w:r w:rsidRPr="00AD6087">
        <w:rPr>
          <w:lang w:val="es-ES"/>
        </w:rPr>
        <w:t xml:space="preserve"> </w:t>
      </w:r>
      <w:r w:rsidRPr="006435A5">
        <w:t>այլընտրանքային</w:t>
      </w:r>
      <w:r w:rsidRPr="00AD6087">
        <w:rPr>
          <w:lang w:val="es-ES"/>
        </w:rPr>
        <w:t xml:space="preserve"> </w:t>
      </w:r>
      <w:r w:rsidRPr="006435A5">
        <w:t>երկու</w:t>
      </w:r>
      <w:r w:rsidRPr="00AD6087">
        <w:rPr>
          <w:lang w:val="es-ES"/>
        </w:rPr>
        <w:t xml:space="preserve"> </w:t>
      </w:r>
      <w:r w:rsidRPr="006435A5">
        <w:t>ռազմավարությունների</w:t>
      </w:r>
      <w:r w:rsidRPr="00AD6087">
        <w:rPr>
          <w:lang w:val="es-ES"/>
        </w:rPr>
        <w:t xml:space="preserve"> </w:t>
      </w:r>
      <w:r w:rsidRPr="006435A5">
        <w:t>արդյունքները</w:t>
      </w:r>
      <w:r w:rsidRPr="00AD6087">
        <w:rPr>
          <w:lang w:val="es-ES"/>
        </w:rPr>
        <w:t xml:space="preserve">: </w:t>
      </w:r>
      <w:r w:rsidRPr="006435A5">
        <w:t>Որպես</w:t>
      </w:r>
      <w:r w:rsidRPr="00AD6087">
        <w:rPr>
          <w:lang w:val="es-ES"/>
        </w:rPr>
        <w:t xml:space="preserve"> </w:t>
      </w:r>
      <w:r w:rsidRPr="006435A5">
        <w:t>այլընտրանքային</w:t>
      </w:r>
      <w:r w:rsidRPr="00AD6087">
        <w:rPr>
          <w:lang w:val="es-ES"/>
        </w:rPr>
        <w:t xml:space="preserve"> </w:t>
      </w:r>
      <w:r w:rsidRPr="006435A5">
        <w:t>երկրորդ</w:t>
      </w:r>
      <w:r w:rsidRPr="00AD6087">
        <w:rPr>
          <w:lang w:val="es-ES"/>
        </w:rPr>
        <w:t xml:space="preserve"> </w:t>
      </w:r>
      <w:r w:rsidRPr="006435A5">
        <w:t>ռազմավարություն</w:t>
      </w:r>
      <w:r w:rsidRPr="00AD6087">
        <w:rPr>
          <w:lang w:val="es-ES"/>
        </w:rPr>
        <w:t xml:space="preserve"> (</w:t>
      </w:r>
      <w:r w:rsidRPr="006435A5">
        <w:t>Ռ</w:t>
      </w:r>
      <w:r w:rsidRPr="00AD6087">
        <w:rPr>
          <w:lang w:val="es-ES"/>
        </w:rPr>
        <w:t xml:space="preserve">2) </w:t>
      </w:r>
      <w:r w:rsidRPr="006435A5">
        <w:t>է</w:t>
      </w:r>
      <w:r w:rsidRPr="00AD6087">
        <w:rPr>
          <w:lang w:val="es-ES"/>
        </w:rPr>
        <w:t xml:space="preserve"> </w:t>
      </w:r>
      <w:r w:rsidRPr="006435A5">
        <w:t>դիտարկվել</w:t>
      </w:r>
      <w:r w:rsidRPr="00AD6087">
        <w:rPr>
          <w:lang w:val="es-ES"/>
        </w:rPr>
        <w:t xml:space="preserve"> </w:t>
      </w:r>
      <w:r w:rsidRPr="006435A5">
        <w:t>ներքին</w:t>
      </w:r>
      <w:r w:rsidRPr="00AD6087">
        <w:rPr>
          <w:lang w:val="es-ES"/>
        </w:rPr>
        <w:t xml:space="preserve"> </w:t>
      </w:r>
      <w:r w:rsidRPr="006435A5">
        <w:t>փոխառու</w:t>
      </w:r>
      <w:r w:rsidRPr="00AD6087">
        <w:rPr>
          <w:lang w:val="es-ES"/>
        </w:rPr>
        <w:t xml:space="preserve"> </w:t>
      </w:r>
      <w:r w:rsidRPr="006435A5">
        <w:t>զուտ</w:t>
      </w:r>
      <w:r w:rsidRPr="00AD6087">
        <w:rPr>
          <w:lang w:val="es-ES"/>
        </w:rPr>
        <w:t xml:space="preserve"> </w:t>
      </w:r>
      <w:r w:rsidRPr="006435A5">
        <w:t>միջոցների</w:t>
      </w:r>
      <w:r w:rsidRPr="00AD6087">
        <w:rPr>
          <w:lang w:val="es-ES"/>
        </w:rPr>
        <w:t xml:space="preserve"> </w:t>
      </w:r>
      <w:r w:rsidRPr="006435A5">
        <w:t>հաշվին</w:t>
      </w:r>
      <w:r w:rsidRPr="00AD6087">
        <w:rPr>
          <w:lang w:val="es-ES"/>
        </w:rPr>
        <w:t xml:space="preserve"> </w:t>
      </w:r>
      <w:r w:rsidRPr="006435A5">
        <w:t>դեֆիցիտի</w:t>
      </w:r>
      <w:r w:rsidRPr="00AD6087">
        <w:rPr>
          <w:lang w:val="es-ES"/>
        </w:rPr>
        <w:t xml:space="preserve"> </w:t>
      </w:r>
      <w:r w:rsidRPr="006435A5">
        <w:t>կրկնակի</w:t>
      </w:r>
      <w:r w:rsidRPr="00AD6087">
        <w:rPr>
          <w:lang w:val="es-ES"/>
        </w:rPr>
        <w:t xml:space="preserve"> </w:t>
      </w:r>
      <w:r w:rsidRPr="006435A5">
        <w:t>ավել</w:t>
      </w:r>
      <w:r w:rsidRPr="00AD6087">
        <w:rPr>
          <w:lang w:val="es-ES"/>
        </w:rPr>
        <w:t xml:space="preserve"> </w:t>
      </w:r>
      <w:r w:rsidRPr="006435A5">
        <w:t>ծավալներով</w:t>
      </w:r>
      <w:r w:rsidRPr="00AD6087">
        <w:rPr>
          <w:lang w:val="es-ES"/>
        </w:rPr>
        <w:t xml:space="preserve"> </w:t>
      </w:r>
      <w:r w:rsidRPr="006435A5">
        <w:t>ֆինանսավորումը՝</w:t>
      </w:r>
      <w:r w:rsidRPr="00AD6087">
        <w:rPr>
          <w:lang w:val="es-ES"/>
        </w:rPr>
        <w:t xml:space="preserve"> </w:t>
      </w:r>
      <w:r w:rsidRPr="006435A5">
        <w:t>ընտրված</w:t>
      </w:r>
      <w:r w:rsidRPr="00AD6087">
        <w:rPr>
          <w:lang w:val="es-ES"/>
        </w:rPr>
        <w:t xml:space="preserve"> </w:t>
      </w:r>
      <w:r w:rsidRPr="006435A5">
        <w:t>ռազմավարության</w:t>
      </w:r>
      <w:r w:rsidRPr="00AD6087">
        <w:rPr>
          <w:lang w:val="es-ES"/>
        </w:rPr>
        <w:t xml:space="preserve"> </w:t>
      </w:r>
      <w:r w:rsidRPr="006435A5">
        <w:t>նկատմամբ</w:t>
      </w:r>
      <w:r w:rsidRPr="00AD6087">
        <w:rPr>
          <w:lang w:val="es-ES"/>
        </w:rPr>
        <w:t xml:space="preserve">, </w:t>
      </w:r>
      <w:r w:rsidRPr="006435A5">
        <w:t>և</w:t>
      </w:r>
      <w:r w:rsidRPr="00AD6087">
        <w:rPr>
          <w:lang w:val="es-ES"/>
        </w:rPr>
        <w:t xml:space="preserve"> </w:t>
      </w:r>
      <w:r w:rsidRPr="006435A5">
        <w:t>որպես</w:t>
      </w:r>
      <w:r w:rsidRPr="00AD6087">
        <w:rPr>
          <w:lang w:val="es-ES"/>
        </w:rPr>
        <w:t xml:space="preserve"> </w:t>
      </w:r>
      <w:r w:rsidRPr="006435A5">
        <w:t>այլընտրանքային</w:t>
      </w:r>
      <w:r w:rsidRPr="00AD6087">
        <w:rPr>
          <w:lang w:val="es-ES"/>
        </w:rPr>
        <w:t xml:space="preserve"> </w:t>
      </w:r>
      <w:r w:rsidRPr="006435A5">
        <w:t>երրորդ</w:t>
      </w:r>
      <w:r w:rsidRPr="00AD6087">
        <w:rPr>
          <w:lang w:val="es-ES"/>
        </w:rPr>
        <w:t xml:space="preserve"> </w:t>
      </w:r>
      <w:r w:rsidRPr="006435A5">
        <w:t>ռազմավարութուն</w:t>
      </w:r>
      <w:r w:rsidRPr="00AD6087">
        <w:rPr>
          <w:lang w:val="es-ES"/>
        </w:rPr>
        <w:t xml:space="preserve"> (</w:t>
      </w:r>
      <w:r w:rsidRPr="006435A5">
        <w:t>Ռ</w:t>
      </w:r>
      <w:r w:rsidRPr="00AD6087">
        <w:rPr>
          <w:lang w:val="es-ES"/>
        </w:rPr>
        <w:t xml:space="preserve">3) </w:t>
      </w:r>
      <w:r w:rsidRPr="006435A5">
        <w:t>է</w:t>
      </w:r>
      <w:r w:rsidRPr="00AD6087">
        <w:rPr>
          <w:lang w:val="es-ES"/>
        </w:rPr>
        <w:t xml:space="preserve"> </w:t>
      </w:r>
      <w:r w:rsidRPr="006435A5">
        <w:t>դիտարկվել</w:t>
      </w:r>
      <w:r w:rsidRPr="00AD6087">
        <w:rPr>
          <w:lang w:val="es-ES"/>
        </w:rPr>
        <w:t xml:space="preserve"> </w:t>
      </w:r>
      <w:r w:rsidRPr="006435A5">
        <w:t>ներքին</w:t>
      </w:r>
      <w:r w:rsidRPr="00AD6087">
        <w:rPr>
          <w:lang w:val="es-ES"/>
        </w:rPr>
        <w:t xml:space="preserve"> </w:t>
      </w:r>
      <w:r w:rsidRPr="006435A5">
        <w:t>փոխառու</w:t>
      </w:r>
      <w:r w:rsidRPr="00AD6087">
        <w:rPr>
          <w:lang w:val="es-ES"/>
        </w:rPr>
        <w:t xml:space="preserve"> </w:t>
      </w:r>
      <w:r w:rsidRPr="006435A5">
        <w:t>զուտ</w:t>
      </w:r>
      <w:r w:rsidRPr="00AD6087">
        <w:rPr>
          <w:lang w:val="es-ES"/>
        </w:rPr>
        <w:t xml:space="preserve"> </w:t>
      </w:r>
      <w:r w:rsidRPr="006435A5">
        <w:t>միջոցների</w:t>
      </w:r>
      <w:r w:rsidRPr="00AD6087">
        <w:rPr>
          <w:lang w:val="es-ES"/>
        </w:rPr>
        <w:t xml:space="preserve"> </w:t>
      </w:r>
      <w:r w:rsidRPr="006435A5">
        <w:t>հաշվին</w:t>
      </w:r>
      <w:r w:rsidRPr="00AD6087">
        <w:rPr>
          <w:lang w:val="es-ES"/>
        </w:rPr>
        <w:t xml:space="preserve"> </w:t>
      </w:r>
      <w:r w:rsidRPr="006435A5">
        <w:t>դեֆիցիտի</w:t>
      </w:r>
      <w:r w:rsidRPr="00AD6087">
        <w:rPr>
          <w:lang w:val="es-ES"/>
        </w:rPr>
        <w:t xml:space="preserve"> </w:t>
      </w:r>
      <w:r w:rsidRPr="006435A5">
        <w:t>կրկնակի</w:t>
      </w:r>
      <w:r w:rsidRPr="00AD6087">
        <w:rPr>
          <w:lang w:val="es-ES"/>
        </w:rPr>
        <w:t xml:space="preserve"> </w:t>
      </w:r>
      <w:r w:rsidRPr="006435A5">
        <w:t>պակաս</w:t>
      </w:r>
      <w:r w:rsidRPr="00AD6087">
        <w:rPr>
          <w:lang w:val="es-ES"/>
        </w:rPr>
        <w:t xml:space="preserve"> </w:t>
      </w:r>
      <w:r w:rsidRPr="006435A5">
        <w:t>ծավալներով</w:t>
      </w:r>
      <w:r w:rsidRPr="00AD6087">
        <w:rPr>
          <w:lang w:val="es-ES"/>
        </w:rPr>
        <w:t xml:space="preserve"> </w:t>
      </w:r>
      <w:r w:rsidRPr="006435A5">
        <w:t>ֆինանսավորումը</w:t>
      </w:r>
      <w:r w:rsidRPr="00AD6087">
        <w:rPr>
          <w:lang w:val="es-ES"/>
        </w:rPr>
        <w:t xml:space="preserve">, </w:t>
      </w:r>
      <w:r w:rsidRPr="006435A5">
        <w:t>կամ</w:t>
      </w:r>
      <w:r w:rsidRPr="00AD6087">
        <w:rPr>
          <w:lang w:val="es-ES"/>
        </w:rPr>
        <w:t xml:space="preserve"> </w:t>
      </w:r>
      <w:r w:rsidRPr="006435A5">
        <w:t>որ</w:t>
      </w:r>
      <w:r w:rsidRPr="00AD6087">
        <w:rPr>
          <w:lang w:val="es-ES"/>
        </w:rPr>
        <w:t xml:space="preserve"> </w:t>
      </w:r>
      <w:r w:rsidRPr="006435A5">
        <w:t>նույնն</w:t>
      </w:r>
      <w:r w:rsidRPr="00AD6087">
        <w:rPr>
          <w:lang w:val="es-ES"/>
        </w:rPr>
        <w:t xml:space="preserve"> </w:t>
      </w:r>
      <w:r w:rsidRPr="006435A5">
        <w:t>է՝</w:t>
      </w:r>
      <w:r w:rsidRPr="00AD6087">
        <w:rPr>
          <w:lang w:val="es-ES"/>
        </w:rPr>
        <w:t xml:space="preserve"> </w:t>
      </w:r>
      <w:r w:rsidRPr="006435A5">
        <w:t>արտաքին</w:t>
      </w:r>
      <w:r w:rsidRPr="00AD6087">
        <w:rPr>
          <w:lang w:val="es-ES"/>
        </w:rPr>
        <w:t xml:space="preserve"> </w:t>
      </w:r>
      <w:r w:rsidRPr="006435A5">
        <w:t>փոխառու</w:t>
      </w:r>
      <w:r w:rsidRPr="00AD6087">
        <w:rPr>
          <w:lang w:val="es-ES"/>
        </w:rPr>
        <w:t xml:space="preserve"> </w:t>
      </w:r>
      <w:r w:rsidRPr="006435A5">
        <w:t>զուտ</w:t>
      </w:r>
      <w:r w:rsidRPr="00AD6087">
        <w:rPr>
          <w:lang w:val="es-ES"/>
        </w:rPr>
        <w:t xml:space="preserve"> </w:t>
      </w:r>
      <w:r w:rsidRPr="006435A5">
        <w:t>միջոցների</w:t>
      </w:r>
      <w:r w:rsidRPr="00AD6087">
        <w:rPr>
          <w:lang w:val="es-ES"/>
        </w:rPr>
        <w:t xml:space="preserve"> </w:t>
      </w:r>
      <w:r w:rsidRPr="006435A5">
        <w:t>հաշվին</w:t>
      </w:r>
      <w:r w:rsidRPr="00AD6087">
        <w:rPr>
          <w:lang w:val="es-ES"/>
        </w:rPr>
        <w:t xml:space="preserve"> </w:t>
      </w:r>
      <w:r w:rsidRPr="006435A5">
        <w:t>ավելի</w:t>
      </w:r>
      <w:r w:rsidRPr="00AD6087">
        <w:rPr>
          <w:lang w:val="es-ES"/>
        </w:rPr>
        <w:t xml:space="preserve"> </w:t>
      </w:r>
      <w:r w:rsidRPr="006435A5">
        <w:t>մեծ</w:t>
      </w:r>
      <w:r w:rsidRPr="00AD6087">
        <w:rPr>
          <w:lang w:val="es-ES"/>
        </w:rPr>
        <w:t xml:space="preserve"> </w:t>
      </w:r>
      <w:r w:rsidRPr="006435A5">
        <w:t>ծավալներով</w:t>
      </w:r>
      <w:r w:rsidRPr="00AD6087">
        <w:rPr>
          <w:lang w:val="es-ES"/>
        </w:rPr>
        <w:t xml:space="preserve"> </w:t>
      </w:r>
      <w:r w:rsidRPr="006435A5">
        <w:t>դեֆիցիտի</w:t>
      </w:r>
      <w:r w:rsidRPr="00AD6087">
        <w:rPr>
          <w:lang w:val="es-ES"/>
        </w:rPr>
        <w:t xml:space="preserve"> </w:t>
      </w:r>
      <w:r w:rsidRPr="006435A5">
        <w:t>ֆինանսավորումը</w:t>
      </w:r>
      <w:r w:rsidRPr="00AD6087">
        <w:rPr>
          <w:lang w:val="es-ES"/>
        </w:rPr>
        <w:t xml:space="preserve">: </w:t>
      </w:r>
      <w:r w:rsidRPr="006435A5">
        <w:t>Արդյունքում</w:t>
      </w:r>
      <w:r w:rsidRPr="00AD6087">
        <w:rPr>
          <w:lang w:val="es-ES"/>
        </w:rPr>
        <w:t xml:space="preserve"> </w:t>
      </w:r>
      <w:r w:rsidRPr="006435A5">
        <w:t>ստացվել</w:t>
      </w:r>
      <w:r w:rsidRPr="00AD6087">
        <w:rPr>
          <w:lang w:val="es-ES"/>
        </w:rPr>
        <w:t xml:space="preserve"> </w:t>
      </w:r>
      <w:r w:rsidRPr="006435A5">
        <w:t>է</w:t>
      </w:r>
      <w:r w:rsidRPr="00AD6087">
        <w:rPr>
          <w:lang w:val="es-ES"/>
        </w:rPr>
        <w:t xml:space="preserve"> </w:t>
      </w:r>
      <w:r w:rsidRPr="006435A5">
        <w:t>հետևյալը</w:t>
      </w:r>
      <w:r w:rsidRPr="00AD6087">
        <w:rPr>
          <w:lang w:val="es-ES"/>
        </w:rPr>
        <w:t>.</w:t>
      </w:r>
    </w:p>
    <w:p w14:paraId="3A33E653" w14:textId="77777777" w:rsidR="00AD6087" w:rsidRPr="006435A5" w:rsidRDefault="00AD6087" w:rsidP="00AD6087">
      <w:pPr>
        <w:pStyle w:val="aff2"/>
        <w:spacing w:line="276" w:lineRule="auto"/>
        <w:rPr>
          <w:sz w:val="22"/>
          <w:szCs w:val="22"/>
        </w:rPr>
      </w:pPr>
      <w:r w:rsidRPr="006435A5">
        <w:rPr>
          <w:sz w:val="22"/>
          <w:szCs w:val="22"/>
        </w:rPr>
        <w:t>Գծապատկեր 6. ՀՀ կառավարության պարտք/ՀՆԱ ցուցանիշը 2024 թվականին</w:t>
      </w:r>
    </w:p>
    <w:p w14:paraId="7417CB67" w14:textId="440A3184" w:rsidR="00AD6087" w:rsidRPr="006435A5" w:rsidRDefault="00AD6087" w:rsidP="00AD6087">
      <w:pPr>
        <w:spacing w:line="276" w:lineRule="auto"/>
        <w:ind w:firstLine="0"/>
        <w:rPr>
          <w:color w:val="FF0000"/>
        </w:rPr>
      </w:pPr>
      <w:r w:rsidRPr="006435A5">
        <w:rPr>
          <w:noProof/>
        </w:rPr>
        <w:drawing>
          <wp:inline distT="0" distB="0" distL="0" distR="0" wp14:anchorId="7E99BC22" wp14:editId="5461B92F">
            <wp:extent cx="4987925" cy="3045460"/>
            <wp:effectExtent l="0" t="0" r="3175" b="2540"/>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E312AC" w14:textId="77777777" w:rsidR="00AD6087" w:rsidRPr="006435A5" w:rsidRDefault="00AD6087" w:rsidP="00AD6087">
      <w:pPr>
        <w:spacing w:line="276" w:lineRule="auto"/>
      </w:pPr>
      <w:r w:rsidRPr="006435A5">
        <w:t>Գծապատկերը ցույց է տալիս, որ նշված երեք ռազմավարություններից Ռ2-ի ՀՀ կառավարության պարտք/ՀՆԱ ցուցանիշը, որպես ծախսի ցուցանիշ, 2024 թվականին կազմում է 58</w:t>
      </w:r>
      <w:r w:rsidRPr="006435A5">
        <w:rPr>
          <w:rFonts w:ascii="Cambria Math" w:hAnsi="Cambria Math" w:cs="Cambria Math"/>
        </w:rPr>
        <w:t>․</w:t>
      </w:r>
      <w:r w:rsidRPr="006435A5">
        <w:t>0% և այն ամենաբարձրն է։ Ռ2 ռազմավարությունը ծախսի տեսակետից Ռ1 ռազմավարությունից ավելի է 1</w:t>
      </w:r>
      <w:r w:rsidRPr="006435A5">
        <w:rPr>
          <w:rFonts w:ascii="Cambria Math" w:hAnsi="Cambria Math" w:cs="Cambria Math"/>
        </w:rPr>
        <w:t>․</w:t>
      </w:r>
      <w:r w:rsidRPr="006435A5">
        <w:t>2 տոկոսային կետով, սակայն Ռ1 ռազմավարությունը պարունակում է 0</w:t>
      </w:r>
      <w:r w:rsidRPr="006435A5">
        <w:rPr>
          <w:rFonts w:ascii="Cambria Math" w:hAnsi="Cambria Math" w:cs="Cambria Math"/>
        </w:rPr>
        <w:t>․</w:t>
      </w:r>
      <w:r w:rsidRPr="006435A5">
        <w:t xml:space="preserve">7 </w:t>
      </w:r>
      <w:r w:rsidRPr="006435A5">
        <w:rPr>
          <w:rFonts w:cs="GHEA Grapalat"/>
        </w:rPr>
        <w:t>տոկոսային</w:t>
      </w:r>
      <w:r w:rsidRPr="006435A5">
        <w:t xml:space="preserve"> </w:t>
      </w:r>
      <w:r w:rsidRPr="006435A5">
        <w:rPr>
          <w:rFonts w:cs="GHEA Grapalat"/>
        </w:rPr>
        <w:t>կետ</w:t>
      </w:r>
      <w:r w:rsidRPr="006435A5">
        <w:t xml:space="preserve"> </w:t>
      </w:r>
      <w:r w:rsidRPr="006435A5">
        <w:rPr>
          <w:rFonts w:cs="GHEA Grapalat"/>
        </w:rPr>
        <w:t>ավելի</w:t>
      </w:r>
      <w:r w:rsidRPr="006435A5">
        <w:t xml:space="preserve"> </w:t>
      </w:r>
      <w:r w:rsidRPr="006435A5">
        <w:rPr>
          <w:rFonts w:cs="GHEA Grapalat"/>
        </w:rPr>
        <w:t>ռիսկ</w:t>
      </w:r>
      <w:r w:rsidRPr="006435A5">
        <w:t>։ 2022 թվականին կիրառված փոխարժեքի 30% շոկի դեպքում ամենամեծ ռիսկը պարունակում է Ռ3 ռազմավարությունը, որը ՀՀ կառավարության պարտք/ՀՆԱ ցուցանիշի ռիսկի տեսակետից Ռ1 ռազմավարությունից ավելի է 0</w:t>
      </w:r>
      <w:r w:rsidRPr="006435A5">
        <w:rPr>
          <w:rFonts w:ascii="Cambria Math" w:hAnsi="Cambria Math" w:cs="Cambria Math"/>
        </w:rPr>
        <w:t>․</w:t>
      </w:r>
      <w:r w:rsidRPr="006435A5">
        <w:t>08 տոկոսային կետով, իսկ Ռ2 ռազմավարությունից՝ 0</w:t>
      </w:r>
      <w:r w:rsidRPr="006435A5">
        <w:rPr>
          <w:rFonts w:ascii="Cambria Math" w:hAnsi="Cambria Math" w:cs="Cambria Math"/>
        </w:rPr>
        <w:t>․</w:t>
      </w:r>
      <w:r w:rsidRPr="006435A5">
        <w:t>15 տոկոսային կետով: Ռ1 ռազմավարությունը միանշանակ նախընտրելի է Ռ3 ռազմավարությունից, քանի որ այն պարունակում է պակաս ծախս և ռիսկ։ Ավելին, Ռ3 ռազմավարությունը ենթադրում է արտարժութային պարտքի կշռի ավելացում, հետևաբար ավելի մեծ փոխարժեքի ռիսկ, որն արդեն իսկ կառավարության առկա պարտքի գծով ամենաէական ռիսկն է: Ռազմավարությունների ընտրությունը կատարվում է ծախսերի և ռիսկերի ցուցանիշների մի ամբողջ համակարգի ուսումնասիրության և վերլուծության արդյունքում:</w:t>
      </w:r>
    </w:p>
    <w:p w14:paraId="55502BD2" w14:textId="77777777" w:rsidR="00AD6087" w:rsidRPr="006435A5" w:rsidRDefault="00AD6087" w:rsidP="00AD6087">
      <w:pPr>
        <w:spacing w:line="276" w:lineRule="auto"/>
      </w:pPr>
      <w:r w:rsidRPr="006435A5">
        <w:t>Ավելացնենք, որ փոխարժեքի 30% արժեզրկման շոկը Համաշխարհային բանկի և ԱՄՀ կողմից մշակված պարտքի միջնաժամկետ ռազմավարության վերլուծական գործիքում կիրառվող ներքին արժույթի արժեզրկման տիպային առավելագույն շոկն է: ՀՀ դրամի արժեզրկման պատմական առավելագույն մեծությունը կազմել է 23.6%` 2009 թվականին (հիմք է ընդունվել ԱՄՆ դոլարի նկատմամբ ՀՀ դրամի տարեվերջի դրությամբ ձևավորված փոխարժեքները):</w:t>
      </w:r>
    </w:p>
    <w:p w14:paraId="7FAE013C" w14:textId="77777777" w:rsidR="00AD6087" w:rsidRPr="006435A5" w:rsidRDefault="00AD6087" w:rsidP="00AD6087">
      <w:pPr>
        <w:spacing w:line="276" w:lineRule="auto"/>
      </w:pPr>
      <w:r w:rsidRPr="006435A5">
        <w:t>Վերը նշված վերլուծությունը հավաստում է, որ անհրաժեշտ է զարգացնել ներքին պետական պարտքի շուկան և աստիճանաբար ավելացնել փոխառու զուտ միջոցների հաշվին դեֆիցիտի ֆինանսավորման մեջ ներքին փոխառու զուտ միջոցների հաշվին դեֆիցիտի ֆինանսավորման կշիռը՝ հաշվի առնելով պոտենցիալ ռիսկերը: Ուստի, համադրելով բոլոր գործոնները, նախընտրելի է համարվել Ռ1 ռազմավարությունը (հիմնական սցենարը):</w:t>
      </w:r>
    </w:p>
    <w:p w14:paraId="517254DB" w14:textId="77777777" w:rsidR="00AD6087" w:rsidRPr="006435A5" w:rsidRDefault="00AD6087" w:rsidP="00AD6087">
      <w:pPr>
        <w:spacing w:line="276" w:lineRule="auto"/>
      </w:pPr>
      <w:r w:rsidRPr="006435A5">
        <w:rPr>
          <w:lang w:eastAsia="ru-RU"/>
        </w:rPr>
        <w:t>Ներքին փոխառու զուտ միջոցների հաշվին դեֆիցիտի ֆինանսավորման կառուցվածքը նախատեսելիս հաշվի են առնվել տնտեսությունում մակրոմիջավայրի բարելավման միտումները, իրացվելիության առկա մակարդակն ու պետական գանձապետական պարտատոմսերի նկատմամբ ձևավորված կայուն պահանջարկը:</w:t>
      </w:r>
    </w:p>
    <w:p w14:paraId="2A2E2B5A" w14:textId="77777777" w:rsidR="00AD6087" w:rsidRPr="006435A5" w:rsidRDefault="00AD6087" w:rsidP="00AD6087">
      <w:pPr>
        <w:spacing w:line="276" w:lineRule="auto"/>
      </w:pPr>
      <w:r w:rsidRPr="006435A5">
        <w:t>2021-2024 թվականների համար պետական բյուջեի դեֆիցիտի ֆինանսավորումը փոխառու զուտ միջոցների հաշվին նախատեսվում է իրականացնել հետևյալ կերպ.</w:t>
      </w:r>
    </w:p>
    <w:p w14:paraId="4841F4B6" w14:textId="77777777" w:rsidR="00AD6087" w:rsidRPr="006435A5" w:rsidRDefault="00AD6087" w:rsidP="00AD6087">
      <w:pPr>
        <w:pStyle w:val="aff1"/>
        <w:spacing w:line="276" w:lineRule="auto"/>
      </w:pPr>
      <w:r w:rsidRPr="006435A5">
        <w:rPr>
          <w:b/>
        </w:rPr>
        <w:t>Աղյուսակ 5.</w:t>
      </w:r>
      <w:r w:rsidRPr="006435A5">
        <w:t xml:space="preserve"> Պետական բյուջեի դեֆիցիտի ֆինանսավորումը փոխառու զուտ միջոցների հաշվին 2021-2024 թվականներին  (մլրդ դրամ)</w:t>
      </w:r>
    </w:p>
    <w:tbl>
      <w:tblPr>
        <w:tblW w:w="10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62"/>
        <w:gridCol w:w="1364"/>
        <w:gridCol w:w="1167"/>
        <w:gridCol w:w="1003"/>
        <w:gridCol w:w="1007"/>
        <w:gridCol w:w="1027"/>
      </w:tblGrid>
      <w:tr w:rsidR="00AD6087" w:rsidRPr="006435A5" w14:paraId="1DF22A7E" w14:textId="77777777" w:rsidTr="00A42F0D">
        <w:trPr>
          <w:trHeight w:val="797"/>
          <w:tblHeader/>
          <w:jc w:val="center"/>
        </w:trPr>
        <w:tc>
          <w:tcPr>
            <w:tcW w:w="4762" w:type="dxa"/>
            <w:tcBorders>
              <w:top w:val="thinThickThinSmallGap" w:sz="24" w:space="0" w:color="auto"/>
              <w:left w:val="nil"/>
              <w:bottom w:val="thinThickSmallGap" w:sz="24" w:space="0" w:color="auto"/>
              <w:right w:val="nil"/>
            </w:tcBorders>
            <w:shd w:val="clear" w:color="auto" w:fill="5B9BD5"/>
          </w:tcPr>
          <w:p w14:paraId="2555BBDE" w14:textId="77777777" w:rsidR="00AD6087" w:rsidRPr="006435A5" w:rsidRDefault="00AD6087" w:rsidP="00A42F0D">
            <w:pPr>
              <w:spacing w:line="276" w:lineRule="auto"/>
              <w:ind w:firstLine="94"/>
            </w:pPr>
          </w:p>
        </w:tc>
        <w:tc>
          <w:tcPr>
            <w:tcW w:w="1364" w:type="dxa"/>
            <w:tcBorders>
              <w:top w:val="thinThickThinSmallGap" w:sz="24" w:space="0" w:color="auto"/>
              <w:left w:val="nil"/>
              <w:bottom w:val="thinThickSmallGap" w:sz="24" w:space="0" w:color="auto"/>
              <w:right w:val="double" w:sz="4" w:space="0" w:color="auto"/>
            </w:tcBorders>
            <w:shd w:val="clear" w:color="auto" w:fill="5B9BD5"/>
            <w:vAlign w:val="center"/>
          </w:tcPr>
          <w:p w14:paraId="6514EDA4" w14:textId="77777777" w:rsidR="00AD6087" w:rsidRPr="006435A5" w:rsidRDefault="00AD6087" w:rsidP="00A42F0D">
            <w:pPr>
              <w:spacing w:line="276" w:lineRule="auto"/>
              <w:ind w:firstLine="94"/>
              <w:jc w:val="center"/>
            </w:pPr>
            <w:r w:rsidRPr="006435A5">
              <w:t>2021 պետբյուջեի ծրագիր</w:t>
            </w:r>
          </w:p>
        </w:tc>
        <w:tc>
          <w:tcPr>
            <w:tcW w:w="1167" w:type="dxa"/>
            <w:tcBorders>
              <w:top w:val="thinThickThinSmallGap" w:sz="24" w:space="0" w:color="auto"/>
              <w:left w:val="double" w:sz="4" w:space="0" w:color="auto"/>
              <w:bottom w:val="thinThickSmallGap" w:sz="24" w:space="0" w:color="auto"/>
              <w:right w:val="nil"/>
            </w:tcBorders>
            <w:shd w:val="clear" w:color="auto" w:fill="5B9BD5"/>
            <w:vAlign w:val="center"/>
          </w:tcPr>
          <w:p w14:paraId="6EED9D0B" w14:textId="77777777" w:rsidR="00AD6087" w:rsidRPr="006435A5" w:rsidRDefault="00AD6087" w:rsidP="00A42F0D">
            <w:pPr>
              <w:spacing w:line="276" w:lineRule="auto"/>
              <w:ind w:firstLine="94"/>
              <w:jc w:val="center"/>
            </w:pPr>
            <w:r w:rsidRPr="006435A5">
              <w:t>2021 կանխ.</w:t>
            </w:r>
          </w:p>
        </w:tc>
        <w:tc>
          <w:tcPr>
            <w:tcW w:w="1003" w:type="dxa"/>
            <w:tcBorders>
              <w:top w:val="thinThickThinSmallGap" w:sz="24" w:space="0" w:color="auto"/>
              <w:left w:val="nil"/>
              <w:bottom w:val="thinThickSmallGap" w:sz="24" w:space="0" w:color="auto"/>
              <w:right w:val="nil"/>
            </w:tcBorders>
            <w:shd w:val="clear" w:color="auto" w:fill="5B9BD5"/>
            <w:vAlign w:val="center"/>
          </w:tcPr>
          <w:p w14:paraId="2CAEA17D" w14:textId="77777777" w:rsidR="00AD6087" w:rsidRPr="006435A5" w:rsidRDefault="00AD6087" w:rsidP="00A42F0D">
            <w:pPr>
              <w:spacing w:line="276" w:lineRule="auto"/>
              <w:ind w:firstLine="94"/>
              <w:jc w:val="center"/>
            </w:pPr>
            <w:r w:rsidRPr="006435A5">
              <w:t>2022 կանխ.</w:t>
            </w:r>
          </w:p>
        </w:tc>
        <w:tc>
          <w:tcPr>
            <w:tcW w:w="1007" w:type="dxa"/>
            <w:tcBorders>
              <w:top w:val="thinThickThinSmallGap" w:sz="24" w:space="0" w:color="auto"/>
              <w:left w:val="nil"/>
              <w:bottom w:val="thinThickSmallGap" w:sz="24" w:space="0" w:color="auto"/>
              <w:right w:val="nil"/>
            </w:tcBorders>
            <w:shd w:val="clear" w:color="auto" w:fill="5B9BD5"/>
            <w:vAlign w:val="center"/>
          </w:tcPr>
          <w:p w14:paraId="427600DE" w14:textId="77777777" w:rsidR="00AD6087" w:rsidRPr="006435A5" w:rsidRDefault="00AD6087" w:rsidP="00A42F0D">
            <w:pPr>
              <w:spacing w:line="276" w:lineRule="auto"/>
              <w:ind w:firstLine="94"/>
              <w:jc w:val="center"/>
            </w:pPr>
            <w:r w:rsidRPr="006435A5">
              <w:t>2023 կանխ.</w:t>
            </w:r>
          </w:p>
        </w:tc>
        <w:tc>
          <w:tcPr>
            <w:tcW w:w="1027" w:type="dxa"/>
            <w:tcBorders>
              <w:top w:val="thinThickThinSmallGap" w:sz="24" w:space="0" w:color="auto"/>
              <w:left w:val="nil"/>
              <w:bottom w:val="thinThickSmallGap" w:sz="24" w:space="0" w:color="auto"/>
              <w:right w:val="nil"/>
            </w:tcBorders>
            <w:shd w:val="clear" w:color="auto" w:fill="5B9BD5"/>
            <w:vAlign w:val="center"/>
          </w:tcPr>
          <w:p w14:paraId="440C10ED" w14:textId="77777777" w:rsidR="00AD6087" w:rsidRPr="006435A5" w:rsidRDefault="00AD6087" w:rsidP="00A42F0D">
            <w:pPr>
              <w:spacing w:line="276" w:lineRule="auto"/>
              <w:ind w:firstLine="94"/>
              <w:jc w:val="center"/>
            </w:pPr>
            <w:r w:rsidRPr="006435A5">
              <w:t>2024 կանխ.</w:t>
            </w:r>
          </w:p>
        </w:tc>
      </w:tr>
      <w:tr w:rsidR="00AD6087" w:rsidRPr="006435A5" w14:paraId="7CCAC6FF" w14:textId="77777777" w:rsidTr="00A42F0D">
        <w:trPr>
          <w:trHeight w:val="525"/>
          <w:jc w:val="center"/>
        </w:trPr>
        <w:tc>
          <w:tcPr>
            <w:tcW w:w="4762" w:type="dxa"/>
            <w:tcBorders>
              <w:top w:val="thinThickSmallGap" w:sz="24" w:space="0" w:color="auto"/>
              <w:left w:val="nil"/>
              <w:right w:val="nil"/>
            </w:tcBorders>
            <w:vAlign w:val="center"/>
          </w:tcPr>
          <w:p w14:paraId="6E54E7CE" w14:textId="77777777" w:rsidR="00AD6087" w:rsidRPr="006435A5" w:rsidRDefault="00AD6087" w:rsidP="00A42F0D">
            <w:pPr>
              <w:spacing w:line="276" w:lineRule="auto"/>
              <w:ind w:firstLine="94"/>
              <w:jc w:val="left"/>
            </w:pPr>
            <w:r w:rsidRPr="006435A5">
              <w:t>Պետական բյուջեի դեֆիցիտի ֆինանսավորումը փոխառու զուտ միջոցների հաշվին</w:t>
            </w:r>
          </w:p>
        </w:tc>
        <w:tc>
          <w:tcPr>
            <w:tcW w:w="1364" w:type="dxa"/>
            <w:tcBorders>
              <w:top w:val="thinThickSmallGap" w:sz="24" w:space="0" w:color="auto"/>
              <w:left w:val="nil"/>
              <w:right w:val="double" w:sz="4" w:space="0" w:color="auto"/>
            </w:tcBorders>
            <w:vAlign w:val="center"/>
          </w:tcPr>
          <w:p w14:paraId="4A4DC757" w14:textId="77777777" w:rsidR="00AD6087" w:rsidRPr="006435A5" w:rsidRDefault="00AD6087" w:rsidP="00A42F0D">
            <w:pPr>
              <w:spacing w:line="276" w:lineRule="auto"/>
              <w:ind w:firstLine="94"/>
              <w:jc w:val="center"/>
            </w:pPr>
            <w:r w:rsidRPr="006435A5">
              <w:t>478.0</w:t>
            </w:r>
          </w:p>
        </w:tc>
        <w:tc>
          <w:tcPr>
            <w:tcW w:w="1167" w:type="dxa"/>
            <w:tcBorders>
              <w:top w:val="thinThickSmallGap" w:sz="24" w:space="0" w:color="auto"/>
              <w:left w:val="double" w:sz="4" w:space="0" w:color="auto"/>
              <w:right w:val="nil"/>
            </w:tcBorders>
            <w:vAlign w:val="center"/>
          </w:tcPr>
          <w:p w14:paraId="24E5380A" w14:textId="77777777" w:rsidR="00AD6087" w:rsidRPr="006435A5" w:rsidRDefault="00AD6087" w:rsidP="00A42F0D">
            <w:pPr>
              <w:spacing w:line="276" w:lineRule="auto"/>
              <w:ind w:firstLine="94"/>
              <w:jc w:val="center"/>
            </w:pPr>
            <w:r w:rsidRPr="006435A5">
              <w:t>552.7</w:t>
            </w:r>
          </w:p>
        </w:tc>
        <w:tc>
          <w:tcPr>
            <w:tcW w:w="1003" w:type="dxa"/>
            <w:tcBorders>
              <w:top w:val="thinThickSmallGap" w:sz="24" w:space="0" w:color="auto"/>
              <w:left w:val="nil"/>
              <w:right w:val="nil"/>
            </w:tcBorders>
            <w:vAlign w:val="center"/>
          </w:tcPr>
          <w:p w14:paraId="08A38C89" w14:textId="77777777" w:rsidR="00AD6087" w:rsidRPr="006435A5" w:rsidRDefault="00AD6087" w:rsidP="00A42F0D">
            <w:pPr>
              <w:spacing w:line="276" w:lineRule="auto"/>
              <w:ind w:firstLine="94"/>
              <w:jc w:val="center"/>
            </w:pPr>
            <w:r w:rsidRPr="006435A5">
              <w:t>173.4</w:t>
            </w:r>
          </w:p>
        </w:tc>
        <w:tc>
          <w:tcPr>
            <w:tcW w:w="1007" w:type="dxa"/>
            <w:tcBorders>
              <w:top w:val="thinThickSmallGap" w:sz="24" w:space="0" w:color="auto"/>
              <w:left w:val="nil"/>
              <w:right w:val="nil"/>
            </w:tcBorders>
            <w:vAlign w:val="center"/>
          </w:tcPr>
          <w:p w14:paraId="05532064" w14:textId="77777777" w:rsidR="00AD6087" w:rsidRPr="006435A5" w:rsidRDefault="00AD6087" w:rsidP="00A42F0D">
            <w:pPr>
              <w:spacing w:line="276" w:lineRule="auto"/>
              <w:ind w:firstLine="94"/>
              <w:jc w:val="center"/>
            </w:pPr>
            <w:r w:rsidRPr="006435A5">
              <w:t>199.2</w:t>
            </w:r>
          </w:p>
        </w:tc>
        <w:tc>
          <w:tcPr>
            <w:tcW w:w="1027" w:type="dxa"/>
            <w:tcBorders>
              <w:top w:val="thinThickSmallGap" w:sz="24" w:space="0" w:color="auto"/>
              <w:left w:val="nil"/>
              <w:right w:val="nil"/>
            </w:tcBorders>
            <w:vAlign w:val="center"/>
          </w:tcPr>
          <w:p w14:paraId="610E4DC7" w14:textId="77777777" w:rsidR="00AD6087" w:rsidRPr="006435A5" w:rsidRDefault="00AD6087" w:rsidP="00A42F0D">
            <w:pPr>
              <w:spacing w:line="276" w:lineRule="auto"/>
              <w:ind w:firstLine="94"/>
              <w:jc w:val="center"/>
            </w:pPr>
            <w:r w:rsidRPr="006435A5">
              <w:t>208.1</w:t>
            </w:r>
          </w:p>
        </w:tc>
      </w:tr>
      <w:tr w:rsidR="00AD6087" w:rsidRPr="006435A5" w14:paraId="419D6E79" w14:textId="77777777" w:rsidTr="00A42F0D">
        <w:trPr>
          <w:trHeight w:val="322"/>
          <w:jc w:val="center"/>
        </w:trPr>
        <w:tc>
          <w:tcPr>
            <w:tcW w:w="4762" w:type="dxa"/>
            <w:tcBorders>
              <w:left w:val="nil"/>
              <w:right w:val="nil"/>
            </w:tcBorders>
            <w:vAlign w:val="center"/>
          </w:tcPr>
          <w:p w14:paraId="0A412092" w14:textId="77777777" w:rsidR="00AD6087" w:rsidRPr="006435A5" w:rsidRDefault="00AD6087" w:rsidP="00A42F0D">
            <w:pPr>
              <w:spacing w:line="276" w:lineRule="auto"/>
              <w:ind w:firstLine="94"/>
              <w:jc w:val="left"/>
            </w:pPr>
            <w:r w:rsidRPr="006435A5">
              <w:t xml:space="preserve">որից` </w:t>
            </w:r>
          </w:p>
        </w:tc>
        <w:tc>
          <w:tcPr>
            <w:tcW w:w="1364" w:type="dxa"/>
            <w:tcBorders>
              <w:left w:val="nil"/>
              <w:right w:val="double" w:sz="4" w:space="0" w:color="auto"/>
            </w:tcBorders>
            <w:vAlign w:val="center"/>
          </w:tcPr>
          <w:p w14:paraId="7F8B454C" w14:textId="77777777" w:rsidR="00AD6087" w:rsidRPr="006435A5" w:rsidRDefault="00AD6087" w:rsidP="00A42F0D">
            <w:pPr>
              <w:spacing w:line="276" w:lineRule="auto"/>
              <w:ind w:firstLine="94"/>
              <w:jc w:val="center"/>
            </w:pPr>
          </w:p>
        </w:tc>
        <w:tc>
          <w:tcPr>
            <w:tcW w:w="1167" w:type="dxa"/>
            <w:tcBorders>
              <w:left w:val="double" w:sz="4" w:space="0" w:color="auto"/>
              <w:right w:val="nil"/>
            </w:tcBorders>
            <w:vAlign w:val="center"/>
          </w:tcPr>
          <w:p w14:paraId="1CEE60A9" w14:textId="77777777" w:rsidR="00AD6087" w:rsidRPr="006435A5" w:rsidRDefault="00AD6087" w:rsidP="00A42F0D">
            <w:pPr>
              <w:spacing w:line="276" w:lineRule="auto"/>
              <w:ind w:firstLine="94"/>
              <w:jc w:val="center"/>
            </w:pPr>
          </w:p>
        </w:tc>
        <w:tc>
          <w:tcPr>
            <w:tcW w:w="1003" w:type="dxa"/>
            <w:tcBorders>
              <w:left w:val="nil"/>
              <w:right w:val="nil"/>
            </w:tcBorders>
            <w:vAlign w:val="center"/>
          </w:tcPr>
          <w:p w14:paraId="7FFEE42B" w14:textId="77777777" w:rsidR="00AD6087" w:rsidRPr="006435A5" w:rsidRDefault="00AD6087" w:rsidP="00A42F0D">
            <w:pPr>
              <w:spacing w:line="276" w:lineRule="auto"/>
              <w:ind w:firstLine="94"/>
              <w:jc w:val="center"/>
            </w:pPr>
          </w:p>
        </w:tc>
        <w:tc>
          <w:tcPr>
            <w:tcW w:w="1007" w:type="dxa"/>
            <w:tcBorders>
              <w:left w:val="nil"/>
              <w:right w:val="nil"/>
            </w:tcBorders>
            <w:vAlign w:val="center"/>
          </w:tcPr>
          <w:p w14:paraId="70844F56" w14:textId="77777777" w:rsidR="00AD6087" w:rsidRPr="006435A5" w:rsidRDefault="00AD6087" w:rsidP="00A42F0D">
            <w:pPr>
              <w:spacing w:line="276" w:lineRule="auto"/>
              <w:ind w:firstLine="94"/>
              <w:jc w:val="center"/>
            </w:pPr>
          </w:p>
        </w:tc>
        <w:tc>
          <w:tcPr>
            <w:tcW w:w="1027" w:type="dxa"/>
            <w:tcBorders>
              <w:left w:val="nil"/>
              <w:right w:val="nil"/>
            </w:tcBorders>
            <w:vAlign w:val="center"/>
          </w:tcPr>
          <w:p w14:paraId="1EE4910D" w14:textId="77777777" w:rsidR="00AD6087" w:rsidRPr="006435A5" w:rsidRDefault="00AD6087" w:rsidP="00A42F0D">
            <w:pPr>
              <w:spacing w:line="276" w:lineRule="auto"/>
              <w:ind w:firstLine="94"/>
              <w:jc w:val="center"/>
            </w:pPr>
          </w:p>
        </w:tc>
      </w:tr>
      <w:tr w:rsidR="00AD6087" w:rsidRPr="006435A5" w14:paraId="474E9D99" w14:textId="77777777" w:rsidTr="00A42F0D">
        <w:trPr>
          <w:trHeight w:val="505"/>
          <w:jc w:val="center"/>
        </w:trPr>
        <w:tc>
          <w:tcPr>
            <w:tcW w:w="4762" w:type="dxa"/>
            <w:tcBorders>
              <w:left w:val="nil"/>
              <w:right w:val="nil"/>
            </w:tcBorders>
            <w:vAlign w:val="center"/>
          </w:tcPr>
          <w:p w14:paraId="4FA3EE20" w14:textId="77777777" w:rsidR="00AD6087" w:rsidRPr="006435A5" w:rsidRDefault="00AD6087" w:rsidP="00A42F0D">
            <w:pPr>
              <w:spacing w:line="276" w:lineRule="auto"/>
              <w:ind w:firstLine="94"/>
              <w:jc w:val="left"/>
            </w:pPr>
            <w:r w:rsidRPr="006435A5">
              <w:t>Ներքին փոխառու զուտ միջոցներ (առանց մուրհակների)</w:t>
            </w:r>
          </w:p>
        </w:tc>
        <w:tc>
          <w:tcPr>
            <w:tcW w:w="1364" w:type="dxa"/>
            <w:tcBorders>
              <w:left w:val="nil"/>
              <w:right w:val="double" w:sz="4" w:space="0" w:color="auto"/>
            </w:tcBorders>
            <w:vAlign w:val="center"/>
          </w:tcPr>
          <w:p w14:paraId="5EF3171E" w14:textId="77777777" w:rsidR="00AD6087" w:rsidRPr="006435A5" w:rsidRDefault="00AD6087" w:rsidP="00A42F0D">
            <w:pPr>
              <w:spacing w:line="276" w:lineRule="auto"/>
              <w:ind w:firstLine="94"/>
              <w:jc w:val="center"/>
            </w:pPr>
            <w:r w:rsidRPr="006435A5">
              <w:t>209.9</w:t>
            </w:r>
          </w:p>
        </w:tc>
        <w:tc>
          <w:tcPr>
            <w:tcW w:w="1167" w:type="dxa"/>
            <w:tcBorders>
              <w:left w:val="double" w:sz="4" w:space="0" w:color="auto"/>
              <w:right w:val="nil"/>
            </w:tcBorders>
            <w:vAlign w:val="center"/>
          </w:tcPr>
          <w:p w14:paraId="2ECABD68" w14:textId="77777777" w:rsidR="00AD6087" w:rsidRPr="006435A5" w:rsidRDefault="00AD6087" w:rsidP="00A42F0D">
            <w:pPr>
              <w:spacing w:line="276" w:lineRule="auto"/>
              <w:ind w:firstLine="94"/>
              <w:jc w:val="center"/>
            </w:pPr>
            <w:r w:rsidRPr="006435A5">
              <w:t>203.5</w:t>
            </w:r>
          </w:p>
        </w:tc>
        <w:tc>
          <w:tcPr>
            <w:tcW w:w="1003" w:type="dxa"/>
            <w:tcBorders>
              <w:left w:val="nil"/>
              <w:right w:val="nil"/>
            </w:tcBorders>
            <w:vAlign w:val="center"/>
          </w:tcPr>
          <w:p w14:paraId="32D0FAA6" w14:textId="77777777" w:rsidR="00AD6087" w:rsidRPr="006435A5" w:rsidDel="00796972" w:rsidRDefault="00AD6087" w:rsidP="00A42F0D">
            <w:pPr>
              <w:spacing w:line="276" w:lineRule="auto"/>
              <w:ind w:firstLine="94"/>
              <w:jc w:val="center"/>
            </w:pPr>
            <w:r w:rsidRPr="006435A5">
              <w:t>220.0</w:t>
            </w:r>
          </w:p>
        </w:tc>
        <w:tc>
          <w:tcPr>
            <w:tcW w:w="1007" w:type="dxa"/>
            <w:tcBorders>
              <w:left w:val="nil"/>
              <w:right w:val="nil"/>
            </w:tcBorders>
            <w:vAlign w:val="center"/>
          </w:tcPr>
          <w:p w14:paraId="162C912B" w14:textId="77777777" w:rsidR="00AD6087" w:rsidRPr="006435A5" w:rsidRDefault="00AD6087" w:rsidP="00A42F0D">
            <w:pPr>
              <w:spacing w:line="276" w:lineRule="auto"/>
              <w:ind w:firstLine="94"/>
              <w:jc w:val="center"/>
            </w:pPr>
            <w:r w:rsidRPr="006435A5">
              <w:t>240.0</w:t>
            </w:r>
          </w:p>
        </w:tc>
        <w:tc>
          <w:tcPr>
            <w:tcW w:w="1027" w:type="dxa"/>
            <w:tcBorders>
              <w:left w:val="nil"/>
              <w:right w:val="nil"/>
            </w:tcBorders>
            <w:vAlign w:val="center"/>
          </w:tcPr>
          <w:p w14:paraId="46C9D073" w14:textId="77777777" w:rsidR="00AD6087" w:rsidRPr="006435A5" w:rsidRDefault="00AD6087" w:rsidP="00A42F0D">
            <w:pPr>
              <w:spacing w:line="276" w:lineRule="auto"/>
              <w:ind w:firstLine="94"/>
              <w:jc w:val="center"/>
            </w:pPr>
            <w:r w:rsidRPr="006435A5">
              <w:t>260.0</w:t>
            </w:r>
          </w:p>
        </w:tc>
      </w:tr>
      <w:tr w:rsidR="00AD6087" w:rsidRPr="006435A5" w14:paraId="393E8ECC" w14:textId="77777777" w:rsidTr="00A42F0D">
        <w:trPr>
          <w:trHeight w:val="397"/>
          <w:jc w:val="center"/>
        </w:trPr>
        <w:tc>
          <w:tcPr>
            <w:tcW w:w="4762" w:type="dxa"/>
            <w:tcBorders>
              <w:left w:val="nil"/>
              <w:bottom w:val="thickThinSmallGap" w:sz="24" w:space="0" w:color="auto"/>
              <w:right w:val="nil"/>
            </w:tcBorders>
            <w:vAlign w:val="center"/>
          </w:tcPr>
          <w:p w14:paraId="2E00DDE9" w14:textId="77777777" w:rsidR="00AD6087" w:rsidRPr="006435A5" w:rsidRDefault="00AD6087" w:rsidP="00A42F0D">
            <w:pPr>
              <w:spacing w:line="276" w:lineRule="auto"/>
              <w:ind w:firstLine="94"/>
              <w:jc w:val="left"/>
            </w:pPr>
            <w:r w:rsidRPr="006435A5">
              <w:t>Արտաքին փոխառու զուտ միջոցներ</w:t>
            </w:r>
          </w:p>
        </w:tc>
        <w:tc>
          <w:tcPr>
            <w:tcW w:w="1364" w:type="dxa"/>
            <w:tcBorders>
              <w:left w:val="nil"/>
              <w:bottom w:val="thickThinSmallGap" w:sz="24" w:space="0" w:color="auto"/>
              <w:right w:val="double" w:sz="4" w:space="0" w:color="auto"/>
            </w:tcBorders>
            <w:vAlign w:val="center"/>
          </w:tcPr>
          <w:p w14:paraId="724DF9A0" w14:textId="77777777" w:rsidR="00AD6087" w:rsidRPr="006435A5" w:rsidRDefault="00AD6087" w:rsidP="00A42F0D">
            <w:pPr>
              <w:spacing w:line="276" w:lineRule="auto"/>
              <w:ind w:firstLine="94"/>
              <w:jc w:val="center"/>
            </w:pPr>
            <w:r w:rsidRPr="006435A5">
              <w:t>268.1</w:t>
            </w:r>
          </w:p>
        </w:tc>
        <w:tc>
          <w:tcPr>
            <w:tcW w:w="1167" w:type="dxa"/>
            <w:tcBorders>
              <w:left w:val="double" w:sz="4" w:space="0" w:color="auto"/>
              <w:bottom w:val="thickThinSmallGap" w:sz="24" w:space="0" w:color="auto"/>
              <w:right w:val="nil"/>
            </w:tcBorders>
            <w:vAlign w:val="center"/>
          </w:tcPr>
          <w:p w14:paraId="346E61FE" w14:textId="77777777" w:rsidR="00AD6087" w:rsidRPr="006435A5" w:rsidRDefault="00AD6087" w:rsidP="00A42F0D">
            <w:pPr>
              <w:spacing w:line="276" w:lineRule="auto"/>
              <w:ind w:firstLine="94"/>
              <w:jc w:val="center"/>
            </w:pPr>
            <w:r w:rsidRPr="006435A5">
              <w:t>349.2</w:t>
            </w:r>
          </w:p>
        </w:tc>
        <w:tc>
          <w:tcPr>
            <w:tcW w:w="1003" w:type="dxa"/>
            <w:tcBorders>
              <w:left w:val="nil"/>
              <w:bottom w:val="thickThinSmallGap" w:sz="24" w:space="0" w:color="auto"/>
              <w:right w:val="nil"/>
            </w:tcBorders>
            <w:vAlign w:val="center"/>
          </w:tcPr>
          <w:p w14:paraId="09B21249" w14:textId="77777777" w:rsidR="00AD6087" w:rsidRPr="006435A5" w:rsidRDefault="00AD6087" w:rsidP="00A42F0D">
            <w:pPr>
              <w:spacing w:line="276" w:lineRule="auto"/>
              <w:ind w:firstLine="94"/>
              <w:jc w:val="center"/>
            </w:pPr>
            <w:r w:rsidRPr="006435A5">
              <w:t>(46.6)</w:t>
            </w:r>
          </w:p>
        </w:tc>
        <w:tc>
          <w:tcPr>
            <w:tcW w:w="1007" w:type="dxa"/>
            <w:tcBorders>
              <w:left w:val="nil"/>
              <w:bottom w:val="thickThinSmallGap" w:sz="24" w:space="0" w:color="auto"/>
              <w:right w:val="nil"/>
            </w:tcBorders>
            <w:vAlign w:val="center"/>
          </w:tcPr>
          <w:p w14:paraId="0F74392A" w14:textId="77777777" w:rsidR="00AD6087" w:rsidRPr="006435A5" w:rsidRDefault="00AD6087" w:rsidP="00A42F0D">
            <w:pPr>
              <w:spacing w:line="276" w:lineRule="auto"/>
              <w:ind w:firstLine="94"/>
              <w:jc w:val="center"/>
            </w:pPr>
            <w:r w:rsidRPr="006435A5">
              <w:t>(40.8)</w:t>
            </w:r>
          </w:p>
        </w:tc>
        <w:tc>
          <w:tcPr>
            <w:tcW w:w="1027" w:type="dxa"/>
            <w:tcBorders>
              <w:left w:val="nil"/>
              <w:bottom w:val="thickThinSmallGap" w:sz="24" w:space="0" w:color="auto"/>
              <w:right w:val="nil"/>
            </w:tcBorders>
            <w:vAlign w:val="center"/>
          </w:tcPr>
          <w:p w14:paraId="78C1AE09" w14:textId="77777777" w:rsidR="00AD6087" w:rsidRPr="006435A5" w:rsidRDefault="00AD6087" w:rsidP="00A42F0D">
            <w:pPr>
              <w:spacing w:line="276" w:lineRule="auto"/>
              <w:ind w:firstLine="94"/>
              <w:jc w:val="center"/>
              <w:rPr>
                <w:color w:val="FF0000"/>
              </w:rPr>
            </w:pPr>
            <w:r w:rsidRPr="006435A5">
              <w:t>(51.9)</w:t>
            </w:r>
          </w:p>
        </w:tc>
      </w:tr>
    </w:tbl>
    <w:p w14:paraId="2FF907F2" w14:textId="77777777" w:rsidR="00AD6087" w:rsidRPr="006435A5" w:rsidRDefault="00AD6087" w:rsidP="00AD6087">
      <w:pPr>
        <w:spacing w:line="276" w:lineRule="auto"/>
      </w:pPr>
    </w:p>
    <w:p w14:paraId="7FB28E99" w14:textId="77777777" w:rsidR="00AD6087" w:rsidRPr="006435A5" w:rsidRDefault="00AD6087" w:rsidP="00AD6087">
      <w:pPr>
        <w:spacing w:line="276" w:lineRule="auto"/>
      </w:pPr>
    </w:p>
    <w:p w14:paraId="001592ED" w14:textId="77777777" w:rsidR="00AD6087" w:rsidRPr="006435A5" w:rsidRDefault="00AD6087" w:rsidP="00AD6087">
      <w:pPr>
        <w:pStyle w:val="aff2"/>
        <w:spacing w:line="276" w:lineRule="auto"/>
        <w:rPr>
          <w:sz w:val="22"/>
          <w:szCs w:val="22"/>
        </w:rPr>
      </w:pPr>
      <w:r w:rsidRPr="006435A5">
        <w:rPr>
          <w:sz w:val="22"/>
          <w:szCs w:val="22"/>
        </w:rPr>
        <w:t>Գծապատկեր 7. Ներքին և արտաքին փոխառու զուտ միջոցների հաշվին դեֆիցիտի ֆինանսավորման կառուցվածքը 2019-2024 թվականներին</w:t>
      </w:r>
      <w:r w:rsidRPr="006435A5">
        <w:rPr>
          <w:rStyle w:val="FootnoteReference"/>
          <w:sz w:val="22"/>
          <w:szCs w:val="22"/>
        </w:rPr>
        <w:footnoteReference w:id="34"/>
      </w:r>
    </w:p>
    <w:p w14:paraId="56B22DA4" w14:textId="514C148F" w:rsidR="00AD6087" w:rsidRPr="006435A5" w:rsidRDefault="00AD6087" w:rsidP="00AD6087">
      <w:pPr>
        <w:spacing w:line="276" w:lineRule="auto"/>
        <w:ind w:firstLine="0"/>
        <w:rPr>
          <w:noProof/>
        </w:rPr>
      </w:pPr>
      <w:r w:rsidRPr="006435A5">
        <w:rPr>
          <w:noProof/>
        </w:rPr>
        <w:drawing>
          <wp:inline distT="0" distB="0" distL="0" distR="0" wp14:anchorId="359F105E" wp14:editId="39B4346D">
            <wp:extent cx="6026150" cy="31140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026150" cy="3114040"/>
                    </a:xfrm>
                    <a:prstGeom prst="rect">
                      <a:avLst/>
                    </a:prstGeom>
                    <a:noFill/>
                  </pic:spPr>
                </pic:pic>
              </a:graphicData>
            </a:graphic>
          </wp:inline>
        </w:drawing>
      </w:r>
    </w:p>
    <w:p w14:paraId="0C8DD87B" w14:textId="77777777" w:rsidR="00AD6087" w:rsidRPr="006435A5" w:rsidRDefault="00AD6087" w:rsidP="00AD6087">
      <w:pPr>
        <w:spacing w:line="276" w:lineRule="auto"/>
      </w:pPr>
      <w:r w:rsidRPr="006435A5">
        <w:t xml:space="preserve">ՀՀ կառավարության արտաքին պարտքն աստիճանաբար ներքինով փոխարինելու դեպքում պարտքի սպասարկման ծախսերի էական աճ չի սպասվում: Ավելին, հաշվի առնելով այն, որ արտաքին աղբյուրներից ստացվող վարկային միջոցների արտոնյալությունը գնալով նվազում է, ինչպես նաև ներքին պարտքի կազմում արդեն իսկ առկա են մինչև 30 տարի մարման ժամկետով պարտատոմսեր, ապա ներքին պարտքի կշռի աստիճանական ավելացումը դրական է անդրադառնում նաև վերաֆինանսավորման ռիսկի ցուցանիշի վրա: </w:t>
      </w:r>
    </w:p>
    <w:p w14:paraId="38B69703" w14:textId="77777777" w:rsidR="00AD6087" w:rsidRPr="006435A5" w:rsidRDefault="00AD6087" w:rsidP="00AD6087">
      <w:pPr>
        <w:spacing w:line="276" w:lineRule="auto"/>
      </w:pPr>
    </w:p>
    <w:p w14:paraId="4FCC2DFF" w14:textId="30B932A7" w:rsidR="00AD6087" w:rsidRPr="006435A5" w:rsidRDefault="00AD6087" w:rsidP="00BB2C3D">
      <w:pPr>
        <w:spacing w:line="276" w:lineRule="auto"/>
      </w:pPr>
      <w:r w:rsidRPr="006435A5">
        <w:br w:type="page"/>
      </w:r>
      <w:bookmarkStart w:id="676" w:name="_Toc77434490"/>
      <w:r w:rsidR="00BB2C3D" w:rsidRPr="00BB2C3D">
        <w:rPr>
          <w:b/>
          <w:color w:val="1F497D" w:themeColor="text2"/>
        </w:rPr>
        <w:t>ԸՆՏՐՎԱԾ ՌԱԶՄԱՎԱՐՈՒԹՅԱՆ ԾԱԽՍԵՐԻ և ՌԻՍԿԵՐԻ ՎԵՐԼՈՒԾՈՒԹՅՈՒՆԸ</w:t>
      </w:r>
      <w:bookmarkEnd w:id="676"/>
    </w:p>
    <w:p w14:paraId="670D7CA8" w14:textId="77777777" w:rsidR="00AD6087" w:rsidRPr="00AD6087" w:rsidRDefault="00AD6087" w:rsidP="00AD6087">
      <w:pPr>
        <w:spacing w:line="276" w:lineRule="auto"/>
        <w:rPr>
          <w:b/>
          <w:lang w:val="es-ES"/>
        </w:rPr>
      </w:pPr>
      <w:r w:rsidRPr="006435A5">
        <w:t>Կանխատեսված</w:t>
      </w:r>
      <w:r w:rsidRPr="00AD6087">
        <w:rPr>
          <w:lang w:val="es-ES"/>
        </w:rPr>
        <w:t xml:space="preserve"> </w:t>
      </w:r>
      <w:r w:rsidRPr="006435A5">
        <w:t>մակրոտնտեսական</w:t>
      </w:r>
      <w:r w:rsidRPr="00AD6087">
        <w:rPr>
          <w:lang w:val="es-ES"/>
        </w:rPr>
        <w:t xml:space="preserve"> </w:t>
      </w:r>
      <w:r w:rsidRPr="006435A5">
        <w:t>միջավայրի՝</w:t>
      </w:r>
      <w:r w:rsidRPr="00AD6087">
        <w:rPr>
          <w:lang w:val="es-ES"/>
        </w:rPr>
        <w:t xml:space="preserve"> 2022-2024 </w:t>
      </w:r>
      <w:r w:rsidRPr="006435A5">
        <w:t>թվականների</w:t>
      </w:r>
      <w:r w:rsidRPr="00AD6087">
        <w:rPr>
          <w:lang w:val="es-ES"/>
        </w:rPr>
        <w:t xml:space="preserve"> </w:t>
      </w:r>
      <w:r w:rsidRPr="006435A5">
        <w:t>պետական</w:t>
      </w:r>
      <w:r w:rsidRPr="00AD6087">
        <w:rPr>
          <w:lang w:val="es-ES"/>
        </w:rPr>
        <w:t xml:space="preserve"> </w:t>
      </w:r>
      <w:r w:rsidRPr="006435A5">
        <w:t>միջնաժամկետ</w:t>
      </w:r>
      <w:r w:rsidRPr="00AD6087">
        <w:rPr>
          <w:lang w:val="es-ES"/>
        </w:rPr>
        <w:t xml:space="preserve"> </w:t>
      </w:r>
      <w:r w:rsidRPr="006435A5">
        <w:t>ծախսերի</w:t>
      </w:r>
      <w:r w:rsidRPr="00AD6087">
        <w:rPr>
          <w:lang w:val="es-ES"/>
        </w:rPr>
        <w:t xml:space="preserve"> </w:t>
      </w:r>
      <w:r w:rsidRPr="006435A5">
        <w:t>ծրագրի</w:t>
      </w:r>
      <w:r w:rsidRPr="00AD6087">
        <w:rPr>
          <w:lang w:val="es-ES"/>
        </w:rPr>
        <w:t xml:space="preserve"> </w:t>
      </w:r>
      <w:r w:rsidRPr="006435A5">
        <w:t>հիմնական</w:t>
      </w:r>
      <w:r w:rsidRPr="00AD6087">
        <w:rPr>
          <w:lang w:val="es-ES"/>
        </w:rPr>
        <w:t xml:space="preserve"> </w:t>
      </w:r>
      <w:r w:rsidRPr="006435A5">
        <w:t>մակրոտնտեսական</w:t>
      </w:r>
      <w:r w:rsidRPr="00AD6087">
        <w:rPr>
          <w:lang w:val="es-ES"/>
        </w:rPr>
        <w:t xml:space="preserve"> </w:t>
      </w:r>
      <w:r w:rsidRPr="006435A5">
        <w:t>սցենարի</w:t>
      </w:r>
      <w:r w:rsidRPr="00AD6087">
        <w:rPr>
          <w:lang w:val="es-ES"/>
        </w:rPr>
        <w:t xml:space="preserve"> </w:t>
      </w:r>
      <w:r w:rsidRPr="006435A5">
        <w:t>պայմաններում</w:t>
      </w:r>
      <w:r w:rsidRPr="00AD6087">
        <w:rPr>
          <w:lang w:val="es-ES"/>
        </w:rPr>
        <w:t xml:space="preserve"> </w:t>
      </w: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ծախսի</w:t>
      </w:r>
      <w:r w:rsidRPr="00AD6087">
        <w:rPr>
          <w:lang w:val="es-ES"/>
        </w:rPr>
        <w:t xml:space="preserve"> </w:t>
      </w:r>
      <w:r w:rsidRPr="006435A5">
        <w:t>ցուցանիշներն</w:t>
      </w:r>
      <w:r w:rsidRPr="00AD6087">
        <w:rPr>
          <w:lang w:val="es-ES"/>
        </w:rPr>
        <w:t xml:space="preserve"> </w:t>
      </w:r>
      <w:r w:rsidRPr="006435A5">
        <w:t>էապես</w:t>
      </w:r>
      <w:r w:rsidRPr="00AD6087">
        <w:rPr>
          <w:lang w:val="es-ES"/>
        </w:rPr>
        <w:t xml:space="preserve"> </w:t>
      </w:r>
      <w:r w:rsidRPr="006435A5">
        <w:t>չեն</w:t>
      </w:r>
      <w:r w:rsidRPr="00AD6087">
        <w:rPr>
          <w:lang w:val="es-ES"/>
        </w:rPr>
        <w:t xml:space="preserve"> </w:t>
      </w:r>
      <w:r w:rsidRPr="006435A5">
        <w:t>փոխվի</w:t>
      </w:r>
      <w:r w:rsidRPr="00AD6087">
        <w:rPr>
          <w:lang w:val="es-ES"/>
        </w:rPr>
        <w:t xml:space="preserve"> </w:t>
      </w:r>
      <w:r w:rsidRPr="006435A5">
        <w:t>կանխատեսվող</w:t>
      </w:r>
      <w:r w:rsidRPr="00AD6087">
        <w:rPr>
          <w:lang w:val="es-ES"/>
        </w:rPr>
        <w:t xml:space="preserve"> </w:t>
      </w:r>
      <w:r w:rsidRPr="006435A5">
        <w:t>ժամանակա</w:t>
      </w:r>
      <w:r w:rsidRPr="00AD6087">
        <w:rPr>
          <w:lang w:val="es-ES"/>
        </w:rPr>
        <w:softHyphen/>
      </w:r>
      <w:r w:rsidRPr="006435A5">
        <w:t>հատ</w:t>
      </w:r>
      <w:r w:rsidRPr="00AD6087">
        <w:rPr>
          <w:lang w:val="es-ES"/>
        </w:rPr>
        <w:softHyphen/>
      </w:r>
      <w:r w:rsidRPr="006435A5">
        <w:t>վածում</w:t>
      </w:r>
      <w:r w:rsidRPr="00AD6087">
        <w:rPr>
          <w:lang w:val="es-ES"/>
        </w:rPr>
        <w:t>:</w:t>
      </w:r>
    </w:p>
    <w:p w14:paraId="0B741DE3" w14:textId="77777777" w:rsidR="00AD6087" w:rsidRPr="006435A5" w:rsidRDefault="00AD6087" w:rsidP="00AD6087">
      <w:pPr>
        <w:pStyle w:val="aff1"/>
        <w:spacing w:line="276" w:lineRule="auto"/>
      </w:pPr>
      <w:r w:rsidRPr="006435A5">
        <w:rPr>
          <w:b/>
        </w:rPr>
        <w:t>Աղյուսակ 6.</w:t>
      </w:r>
      <w:r w:rsidRPr="006435A5">
        <w:t xml:space="preserve"> ՀՀ կառավարության պարտքի պորտֆելի ծախսերի ցուցանիշների կանխատեսումները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76"/>
        <w:gridCol w:w="1496"/>
        <w:gridCol w:w="1014"/>
        <w:gridCol w:w="949"/>
        <w:gridCol w:w="969"/>
        <w:gridCol w:w="1031"/>
      </w:tblGrid>
      <w:tr w:rsidR="00AD6087" w:rsidRPr="006435A5" w14:paraId="5564C56B" w14:textId="77777777" w:rsidTr="00A42F0D">
        <w:trPr>
          <w:trHeight w:val="771"/>
          <w:tblHeader/>
          <w:jc w:val="center"/>
        </w:trPr>
        <w:tc>
          <w:tcPr>
            <w:tcW w:w="4276" w:type="dxa"/>
            <w:tcBorders>
              <w:top w:val="thinThickThinSmallGap" w:sz="24" w:space="0" w:color="auto"/>
              <w:left w:val="nil"/>
              <w:bottom w:val="thinThickSmallGap" w:sz="24" w:space="0" w:color="auto"/>
              <w:right w:val="nil"/>
            </w:tcBorders>
            <w:shd w:val="clear" w:color="auto" w:fill="5B9BD5"/>
          </w:tcPr>
          <w:p w14:paraId="00AB53AD" w14:textId="77777777" w:rsidR="00AD6087" w:rsidRPr="00AD6087" w:rsidRDefault="00AD6087" w:rsidP="00A42F0D">
            <w:pPr>
              <w:spacing w:line="276" w:lineRule="auto"/>
              <w:ind w:firstLine="0"/>
              <w:rPr>
                <w:lang w:val="es-ES"/>
              </w:rPr>
            </w:pPr>
          </w:p>
        </w:tc>
        <w:tc>
          <w:tcPr>
            <w:tcW w:w="1496" w:type="dxa"/>
            <w:tcBorders>
              <w:top w:val="thinThickThinSmallGap" w:sz="24" w:space="0" w:color="auto"/>
              <w:left w:val="nil"/>
              <w:bottom w:val="thinThickSmallGap" w:sz="24" w:space="0" w:color="auto"/>
              <w:right w:val="double" w:sz="4" w:space="0" w:color="auto"/>
            </w:tcBorders>
            <w:shd w:val="clear" w:color="auto" w:fill="5B9BD5"/>
            <w:vAlign w:val="center"/>
          </w:tcPr>
          <w:p w14:paraId="47B5CEE4" w14:textId="77777777" w:rsidR="00AD6087" w:rsidRPr="006435A5" w:rsidRDefault="00AD6087" w:rsidP="00A42F0D">
            <w:pPr>
              <w:spacing w:line="276" w:lineRule="auto"/>
              <w:ind w:firstLine="0"/>
              <w:jc w:val="center"/>
            </w:pPr>
            <w:r w:rsidRPr="006435A5">
              <w:t>2021 պետբյուջեի ծրագիր</w:t>
            </w:r>
          </w:p>
        </w:tc>
        <w:tc>
          <w:tcPr>
            <w:tcW w:w="1014" w:type="dxa"/>
            <w:tcBorders>
              <w:top w:val="thinThickThinSmallGap" w:sz="24" w:space="0" w:color="auto"/>
              <w:left w:val="double" w:sz="4" w:space="0" w:color="auto"/>
              <w:bottom w:val="thinThickSmallGap" w:sz="24" w:space="0" w:color="auto"/>
              <w:right w:val="nil"/>
            </w:tcBorders>
            <w:shd w:val="clear" w:color="auto" w:fill="5B9BD5"/>
            <w:vAlign w:val="center"/>
          </w:tcPr>
          <w:p w14:paraId="24CEDFC4" w14:textId="77777777" w:rsidR="00AD6087" w:rsidRPr="006435A5" w:rsidRDefault="00AD6087" w:rsidP="00A42F0D">
            <w:pPr>
              <w:spacing w:line="276" w:lineRule="auto"/>
              <w:ind w:firstLine="0"/>
              <w:jc w:val="center"/>
            </w:pPr>
            <w:r w:rsidRPr="006435A5">
              <w:t>2021 կանխ.</w:t>
            </w:r>
          </w:p>
        </w:tc>
        <w:tc>
          <w:tcPr>
            <w:tcW w:w="949" w:type="dxa"/>
            <w:tcBorders>
              <w:top w:val="thinThickThinSmallGap" w:sz="24" w:space="0" w:color="auto"/>
              <w:left w:val="nil"/>
              <w:bottom w:val="thinThickSmallGap" w:sz="24" w:space="0" w:color="auto"/>
              <w:right w:val="nil"/>
            </w:tcBorders>
            <w:shd w:val="clear" w:color="auto" w:fill="5B9BD5"/>
            <w:vAlign w:val="center"/>
          </w:tcPr>
          <w:p w14:paraId="2F6B2677" w14:textId="77777777" w:rsidR="00AD6087" w:rsidRPr="006435A5" w:rsidRDefault="00AD6087" w:rsidP="00A42F0D">
            <w:pPr>
              <w:spacing w:line="276" w:lineRule="auto"/>
              <w:ind w:firstLine="0"/>
              <w:jc w:val="center"/>
            </w:pPr>
            <w:r w:rsidRPr="006435A5">
              <w:t>2022 կանխ.</w:t>
            </w:r>
          </w:p>
        </w:tc>
        <w:tc>
          <w:tcPr>
            <w:tcW w:w="969" w:type="dxa"/>
            <w:tcBorders>
              <w:top w:val="thinThickThinSmallGap" w:sz="24" w:space="0" w:color="auto"/>
              <w:left w:val="nil"/>
              <w:bottom w:val="thinThickSmallGap" w:sz="24" w:space="0" w:color="auto"/>
              <w:right w:val="nil"/>
            </w:tcBorders>
            <w:shd w:val="clear" w:color="auto" w:fill="5B9BD5"/>
            <w:vAlign w:val="center"/>
          </w:tcPr>
          <w:p w14:paraId="3CAF68EA" w14:textId="77777777" w:rsidR="00AD6087" w:rsidRPr="006435A5" w:rsidRDefault="00AD6087" w:rsidP="00A42F0D">
            <w:pPr>
              <w:spacing w:line="276" w:lineRule="auto"/>
              <w:ind w:firstLine="0"/>
              <w:jc w:val="center"/>
            </w:pPr>
            <w:r w:rsidRPr="006435A5">
              <w:t>2023 կանխ.</w:t>
            </w:r>
          </w:p>
        </w:tc>
        <w:tc>
          <w:tcPr>
            <w:tcW w:w="1031" w:type="dxa"/>
            <w:tcBorders>
              <w:top w:val="thinThickThinSmallGap" w:sz="24" w:space="0" w:color="auto"/>
              <w:left w:val="nil"/>
              <w:bottom w:val="thinThickSmallGap" w:sz="24" w:space="0" w:color="auto"/>
              <w:right w:val="nil"/>
            </w:tcBorders>
            <w:shd w:val="clear" w:color="auto" w:fill="5B9BD5"/>
            <w:vAlign w:val="center"/>
          </w:tcPr>
          <w:p w14:paraId="3058B000" w14:textId="77777777" w:rsidR="00AD6087" w:rsidRPr="006435A5" w:rsidRDefault="00AD6087" w:rsidP="00A42F0D">
            <w:pPr>
              <w:spacing w:line="276" w:lineRule="auto"/>
              <w:ind w:firstLine="0"/>
              <w:jc w:val="center"/>
            </w:pPr>
            <w:r w:rsidRPr="006435A5">
              <w:t>2024 կանխ.</w:t>
            </w:r>
          </w:p>
        </w:tc>
      </w:tr>
      <w:tr w:rsidR="00AD6087" w:rsidRPr="006435A5" w14:paraId="03613A95" w14:textId="77777777" w:rsidTr="00A42F0D">
        <w:trPr>
          <w:trHeight w:val="702"/>
          <w:jc w:val="center"/>
        </w:trPr>
        <w:tc>
          <w:tcPr>
            <w:tcW w:w="4276" w:type="dxa"/>
            <w:tcBorders>
              <w:left w:val="nil"/>
              <w:right w:val="nil"/>
            </w:tcBorders>
            <w:vAlign w:val="center"/>
          </w:tcPr>
          <w:p w14:paraId="15F67669" w14:textId="77777777" w:rsidR="00AD6087" w:rsidRPr="006435A5" w:rsidRDefault="00AD6087" w:rsidP="00A42F0D">
            <w:pPr>
              <w:spacing w:line="276" w:lineRule="auto"/>
              <w:ind w:firstLine="0"/>
              <w:jc w:val="left"/>
            </w:pPr>
            <w:r w:rsidRPr="006435A5">
              <w:t>ՀՀ կառավարության պարտքի պորտֆելի միջին տոկոսադրույքը (%)</w:t>
            </w:r>
          </w:p>
        </w:tc>
        <w:tc>
          <w:tcPr>
            <w:tcW w:w="1496" w:type="dxa"/>
            <w:tcBorders>
              <w:left w:val="nil"/>
              <w:right w:val="double" w:sz="4" w:space="0" w:color="auto"/>
            </w:tcBorders>
            <w:vAlign w:val="center"/>
          </w:tcPr>
          <w:p w14:paraId="2B295A23" w14:textId="77777777" w:rsidR="00AD6087" w:rsidRPr="006435A5" w:rsidRDefault="00AD6087" w:rsidP="00A42F0D">
            <w:pPr>
              <w:spacing w:line="276" w:lineRule="auto"/>
              <w:ind w:firstLine="0"/>
              <w:jc w:val="center"/>
            </w:pPr>
            <w:r w:rsidRPr="006435A5">
              <w:t>5.0</w:t>
            </w:r>
          </w:p>
        </w:tc>
        <w:tc>
          <w:tcPr>
            <w:tcW w:w="1014" w:type="dxa"/>
            <w:tcBorders>
              <w:left w:val="double" w:sz="4" w:space="0" w:color="auto"/>
              <w:right w:val="nil"/>
            </w:tcBorders>
            <w:vAlign w:val="center"/>
          </w:tcPr>
          <w:p w14:paraId="6C73A8D5" w14:textId="77777777" w:rsidR="00AD6087" w:rsidRPr="006435A5" w:rsidRDefault="00AD6087" w:rsidP="00A42F0D">
            <w:pPr>
              <w:spacing w:line="276" w:lineRule="auto"/>
              <w:ind w:firstLine="0"/>
              <w:jc w:val="center"/>
            </w:pPr>
            <w:r w:rsidRPr="006435A5">
              <w:t>5.0</w:t>
            </w:r>
          </w:p>
        </w:tc>
        <w:tc>
          <w:tcPr>
            <w:tcW w:w="949" w:type="dxa"/>
            <w:tcBorders>
              <w:left w:val="nil"/>
              <w:right w:val="nil"/>
            </w:tcBorders>
            <w:vAlign w:val="center"/>
          </w:tcPr>
          <w:p w14:paraId="2C20F575" w14:textId="77777777" w:rsidR="00AD6087" w:rsidRPr="006435A5" w:rsidRDefault="00AD6087" w:rsidP="00A42F0D">
            <w:pPr>
              <w:spacing w:line="276" w:lineRule="auto"/>
              <w:ind w:firstLine="0"/>
              <w:jc w:val="center"/>
            </w:pPr>
            <w:r w:rsidRPr="006435A5">
              <w:t>5.0</w:t>
            </w:r>
          </w:p>
        </w:tc>
        <w:tc>
          <w:tcPr>
            <w:tcW w:w="969" w:type="dxa"/>
            <w:tcBorders>
              <w:left w:val="nil"/>
              <w:right w:val="nil"/>
            </w:tcBorders>
            <w:vAlign w:val="center"/>
          </w:tcPr>
          <w:p w14:paraId="07754992" w14:textId="77777777" w:rsidR="00AD6087" w:rsidRPr="006435A5" w:rsidRDefault="00AD6087" w:rsidP="00A42F0D">
            <w:pPr>
              <w:spacing w:line="276" w:lineRule="auto"/>
              <w:ind w:firstLine="0"/>
              <w:jc w:val="center"/>
            </w:pPr>
            <w:r w:rsidRPr="006435A5">
              <w:t>5.3</w:t>
            </w:r>
          </w:p>
        </w:tc>
        <w:tc>
          <w:tcPr>
            <w:tcW w:w="1031" w:type="dxa"/>
            <w:tcBorders>
              <w:left w:val="nil"/>
              <w:right w:val="nil"/>
            </w:tcBorders>
            <w:vAlign w:val="center"/>
          </w:tcPr>
          <w:p w14:paraId="39942521" w14:textId="77777777" w:rsidR="00AD6087" w:rsidRPr="006435A5" w:rsidRDefault="00AD6087" w:rsidP="00A42F0D">
            <w:pPr>
              <w:spacing w:line="276" w:lineRule="auto"/>
              <w:ind w:firstLine="0"/>
              <w:jc w:val="center"/>
            </w:pPr>
            <w:r w:rsidRPr="006435A5">
              <w:t>5.6</w:t>
            </w:r>
          </w:p>
        </w:tc>
      </w:tr>
      <w:tr w:rsidR="00AD6087" w:rsidRPr="006435A5" w14:paraId="34D9531B" w14:textId="77777777" w:rsidTr="00A42F0D">
        <w:trPr>
          <w:trHeight w:val="401"/>
          <w:jc w:val="center"/>
        </w:trPr>
        <w:tc>
          <w:tcPr>
            <w:tcW w:w="4276" w:type="dxa"/>
            <w:tcBorders>
              <w:left w:val="nil"/>
              <w:right w:val="nil"/>
            </w:tcBorders>
            <w:vAlign w:val="center"/>
          </w:tcPr>
          <w:p w14:paraId="44112691" w14:textId="77777777" w:rsidR="00AD6087" w:rsidRPr="006435A5" w:rsidRDefault="00AD6087" w:rsidP="00A42F0D">
            <w:pPr>
              <w:spacing w:line="276" w:lineRule="auto"/>
              <w:ind w:firstLine="0"/>
              <w:jc w:val="left"/>
            </w:pPr>
            <w:r w:rsidRPr="006435A5">
              <w:t>Տոկոսավճար/պետական բյուջեի եկամուտներ(%)</w:t>
            </w:r>
          </w:p>
        </w:tc>
        <w:tc>
          <w:tcPr>
            <w:tcW w:w="1496" w:type="dxa"/>
            <w:tcBorders>
              <w:left w:val="nil"/>
              <w:right w:val="double" w:sz="4" w:space="0" w:color="auto"/>
            </w:tcBorders>
            <w:vAlign w:val="center"/>
          </w:tcPr>
          <w:p w14:paraId="61016A9B" w14:textId="77777777" w:rsidR="00AD6087" w:rsidRPr="006435A5" w:rsidRDefault="00AD6087" w:rsidP="00A42F0D">
            <w:pPr>
              <w:spacing w:line="276" w:lineRule="auto"/>
              <w:ind w:firstLine="0"/>
              <w:jc w:val="center"/>
            </w:pPr>
            <w:r w:rsidRPr="006435A5">
              <w:t>12.9</w:t>
            </w:r>
          </w:p>
        </w:tc>
        <w:tc>
          <w:tcPr>
            <w:tcW w:w="1014" w:type="dxa"/>
            <w:tcBorders>
              <w:left w:val="double" w:sz="4" w:space="0" w:color="auto"/>
              <w:right w:val="nil"/>
            </w:tcBorders>
            <w:vAlign w:val="center"/>
          </w:tcPr>
          <w:p w14:paraId="0E63A5A9" w14:textId="77777777" w:rsidR="00AD6087" w:rsidRPr="006435A5" w:rsidRDefault="00AD6087" w:rsidP="00A42F0D">
            <w:pPr>
              <w:spacing w:line="276" w:lineRule="auto"/>
              <w:ind w:firstLine="0"/>
              <w:jc w:val="center"/>
            </w:pPr>
            <w:r w:rsidRPr="006435A5">
              <w:t>12.0</w:t>
            </w:r>
          </w:p>
        </w:tc>
        <w:tc>
          <w:tcPr>
            <w:tcW w:w="949" w:type="dxa"/>
            <w:tcBorders>
              <w:left w:val="nil"/>
              <w:right w:val="nil"/>
            </w:tcBorders>
            <w:vAlign w:val="center"/>
          </w:tcPr>
          <w:p w14:paraId="1FD706B5" w14:textId="77777777" w:rsidR="00AD6087" w:rsidRPr="006435A5" w:rsidRDefault="00AD6087" w:rsidP="00A42F0D">
            <w:pPr>
              <w:spacing w:line="276" w:lineRule="auto"/>
              <w:ind w:firstLine="0"/>
              <w:jc w:val="center"/>
            </w:pPr>
            <w:r w:rsidRPr="006435A5">
              <w:t>11.9</w:t>
            </w:r>
          </w:p>
        </w:tc>
        <w:tc>
          <w:tcPr>
            <w:tcW w:w="969" w:type="dxa"/>
            <w:tcBorders>
              <w:left w:val="nil"/>
              <w:right w:val="nil"/>
            </w:tcBorders>
            <w:vAlign w:val="center"/>
          </w:tcPr>
          <w:p w14:paraId="17291E14" w14:textId="77777777" w:rsidR="00AD6087" w:rsidRPr="006435A5" w:rsidRDefault="00AD6087" w:rsidP="00A42F0D">
            <w:pPr>
              <w:spacing w:line="276" w:lineRule="auto"/>
              <w:ind w:firstLine="0"/>
              <w:jc w:val="center"/>
            </w:pPr>
            <w:r w:rsidRPr="006435A5">
              <w:t>12.4</w:t>
            </w:r>
          </w:p>
        </w:tc>
        <w:tc>
          <w:tcPr>
            <w:tcW w:w="1031" w:type="dxa"/>
            <w:tcBorders>
              <w:left w:val="nil"/>
              <w:right w:val="nil"/>
            </w:tcBorders>
            <w:vAlign w:val="center"/>
          </w:tcPr>
          <w:p w14:paraId="1F73B451" w14:textId="77777777" w:rsidR="00AD6087" w:rsidRPr="006435A5" w:rsidRDefault="00AD6087" w:rsidP="00A42F0D">
            <w:pPr>
              <w:spacing w:line="276" w:lineRule="auto"/>
              <w:ind w:firstLine="0"/>
              <w:jc w:val="center"/>
            </w:pPr>
            <w:r w:rsidRPr="006435A5">
              <w:t>12.5</w:t>
            </w:r>
          </w:p>
        </w:tc>
      </w:tr>
      <w:tr w:rsidR="00AD6087" w:rsidRPr="006435A5" w14:paraId="60369085" w14:textId="77777777" w:rsidTr="00A42F0D">
        <w:trPr>
          <w:trHeight w:val="408"/>
          <w:jc w:val="center"/>
        </w:trPr>
        <w:tc>
          <w:tcPr>
            <w:tcW w:w="4276" w:type="dxa"/>
            <w:tcBorders>
              <w:left w:val="nil"/>
              <w:right w:val="nil"/>
            </w:tcBorders>
            <w:vAlign w:val="center"/>
          </w:tcPr>
          <w:p w14:paraId="1055F7D2" w14:textId="77777777" w:rsidR="00AD6087" w:rsidRPr="006435A5" w:rsidRDefault="00AD6087" w:rsidP="00A42F0D">
            <w:pPr>
              <w:spacing w:line="276" w:lineRule="auto"/>
              <w:ind w:firstLine="0"/>
              <w:jc w:val="left"/>
            </w:pPr>
            <w:r w:rsidRPr="006435A5">
              <w:t>Տոկոսավճար/պետական բյուջեի ծախսեր (%)</w:t>
            </w:r>
          </w:p>
        </w:tc>
        <w:tc>
          <w:tcPr>
            <w:tcW w:w="1496" w:type="dxa"/>
            <w:tcBorders>
              <w:left w:val="nil"/>
              <w:right w:val="double" w:sz="4" w:space="0" w:color="auto"/>
            </w:tcBorders>
            <w:vAlign w:val="center"/>
          </w:tcPr>
          <w:p w14:paraId="4D10F1EE" w14:textId="77777777" w:rsidR="00AD6087" w:rsidRPr="006435A5" w:rsidRDefault="00AD6087" w:rsidP="00A42F0D">
            <w:pPr>
              <w:spacing w:line="276" w:lineRule="auto"/>
              <w:ind w:firstLine="0"/>
              <w:jc w:val="center"/>
            </w:pPr>
            <w:r w:rsidRPr="006435A5">
              <w:t>10.5</w:t>
            </w:r>
          </w:p>
        </w:tc>
        <w:tc>
          <w:tcPr>
            <w:tcW w:w="1014" w:type="dxa"/>
            <w:tcBorders>
              <w:left w:val="double" w:sz="4" w:space="0" w:color="auto"/>
              <w:right w:val="nil"/>
            </w:tcBorders>
            <w:vAlign w:val="center"/>
          </w:tcPr>
          <w:p w14:paraId="1E1E0B9C" w14:textId="77777777" w:rsidR="00AD6087" w:rsidRPr="006435A5" w:rsidRDefault="00AD6087" w:rsidP="00A42F0D">
            <w:pPr>
              <w:spacing w:line="276" w:lineRule="auto"/>
              <w:ind w:firstLine="0"/>
              <w:jc w:val="center"/>
            </w:pPr>
            <w:r w:rsidRPr="006435A5">
              <w:t>10.0</w:t>
            </w:r>
          </w:p>
        </w:tc>
        <w:tc>
          <w:tcPr>
            <w:tcW w:w="949" w:type="dxa"/>
            <w:tcBorders>
              <w:left w:val="nil"/>
              <w:right w:val="nil"/>
            </w:tcBorders>
            <w:vAlign w:val="center"/>
          </w:tcPr>
          <w:p w14:paraId="01B0127A" w14:textId="77777777" w:rsidR="00AD6087" w:rsidRPr="006435A5" w:rsidRDefault="00AD6087" w:rsidP="00A42F0D">
            <w:pPr>
              <w:spacing w:line="276" w:lineRule="auto"/>
              <w:ind w:firstLine="0"/>
              <w:jc w:val="center"/>
            </w:pPr>
            <w:r w:rsidRPr="006435A5">
              <w:t>10.8</w:t>
            </w:r>
          </w:p>
        </w:tc>
        <w:tc>
          <w:tcPr>
            <w:tcW w:w="969" w:type="dxa"/>
            <w:tcBorders>
              <w:left w:val="nil"/>
              <w:right w:val="nil"/>
            </w:tcBorders>
            <w:vAlign w:val="center"/>
          </w:tcPr>
          <w:p w14:paraId="5AC18BA4" w14:textId="77777777" w:rsidR="00AD6087" w:rsidRPr="006435A5" w:rsidRDefault="00AD6087" w:rsidP="00A42F0D">
            <w:pPr>
              <w:spacing w:line="276" w:lineRule="auto"/>
              <w:ind w:firstLine="0"/>
              <w:jc w:val="center"/>
            </w:pPr>
            <w:r w:rsidRPr="006435A5">
              <w:t>11.4</w:t>
            </w:r>
          </w:p>
        </w:tc>
        <w:tc>
          <w:tcPr>
            <w:tcW w:w="1031" w:type="dxa"/>
            <w:tcBorders>
              <w:left w:val="nil"/>
              <w:right w:val="nil"/>
            </w:tcBorders>
            <w:vAlign w:val="center"/>
          </w:tcPr>
          <w:p w14:paraId="4E16EAB2" w14:textId="77777777" w:rsidR="00AD6087" w:rsidRPr="006435A5" w:rsidRDefault="00AD6087" w:rsidP="00A42F0D">
            <w:pPr>
              <w:spacing w:line="276" w:lineRule="auto"/>
              <w:ind w:firstLine="0"/>
              <w:jc w:val="center"/>
            </w:pPr>
            <w:r w:rsidRPr="006435A5">
              <w:t>11.6</w:t>
            </w:r>
          </w:p>
        </w:tc>
      </w:tr>
      <w:tr w:rsidR="00AD6087" w:rsidRPr="006435A5" w14:paraId="5B9675C2" w14:textId="77777777" w:rsidTr="00A42F0D">
        <w:trPr>
          <w:trHeight w:val="310"/>
          <w:jc w:val="center"/>
        </w:trPr>
        <w:tc>
          <w:tcPr>
            <w:tcW w:w="4276" w:type="dxa"/>
            <w:tcBorders>
              <w:left w:val="nil"/>
              <w:right w:val="nil"/>
            </w:tcBorders>
            <w:vAlign w:val="center"/>
          </w:tcPr>
          <w:p w14:paraId="285320B3" w14:textId="77777777" w:rsidR="00AD6087" w:rsidRPr="006435A5" w:rsidRDefault="00AD6087" w:rsidP="00A42F0D">
            <w:pPr>
              <w:spacing w:line="276" w:lineRule="auto"/>
              <w:ind w:firstLine="0"/>
              <w:jc w:val="left"/>
            </w:pPr>
            <w:r w:rsidRPr="006435A5">
              <w:t>Տոկոսավճար/ՀՆԱ (%)</w:t>
            </w:r>
          </w:p>
        </w:tc>
        <w:tc>
          <w:tcPr>
            <w:tcW w:w="1496" w:type="dxa"/>
            <w:tcBorders>
              <w:left w:val="nil"/>
              <w:right w:val="double" w:sz="4" w:space="0" w:color="auto"/>
            </w:tcBorders>
            <w:vAlign w:val="center"/>
          </w:tcPr>
          <w:p w14:paraId="181A3976" w14:textId="77777777" w:rsidR="00AD6087" w:rsidRPr="006435A5" w:rsidRDefault="00AD6087" w:rsidP="00A42F0D">
            <w:pPr>
              <w:spacing w:line="276" w:lineRule="auto"/>
              <w:ind w:firstLine="0"/>
              <w:jc w:val="center"/>
            </w:pPr>
            <w:r w:rsidRPr="006435A5">
              <w:t>3.0</w:t>
            </w:r>
          </w:p>
        </w:tc>
        <w:tc>
          <w:tcPr>
            <w:tcW w:w="1014" w:type="dxa"/>
            <w:tcBorders>
              <w:left w:val="double" w:sz="4" w:space="0" w:color="auto"/>
              <w:right w:val="nil"/>
            </w:tcBorders>
            <w:vAlign w:val="center"/>
          </w:tcPr>
          <w:p w14:paraId="411B33D1" w14:textId="77777777" w:rsidR="00AD6087" w:rsidRPr="006435A5" w:rsidRDefault="00AD6087" w:rsidP="00A42F0D">
            <w:pPr>
              <w:spacing w:line="276" w:lineRule="auto"/>
              <w:ind w:firstLine="0"/>
              <w:jc w:val="center"/>
            </w:pPr>
            <w:r w:rsidRPr="006435A5">
              <w:t>2.8</w:t>
            </w:r>
          </w:p>
        </w:tc>
        <w:tc>
          <w:tcPr>
            <w:tcW w:w="949" w:type="dxa"/>
            <w:tcBorders>
              <w:left w:val="nil"/>
              <w:right w:val="nil"/>
            </w:tcBorders>
            <w:vAlign w:val="center"/>
          </w:tcPr>
          <w:p w14:paraId="4B9FAB7F" w14:textId="77777777" w:rsidR="00AD6087" w:rsidRPr="006435A5" w:rsidRDefault="00AD6087" w:rsidP="00A42F0D">
            <w:pPr>
              <w:spacing w:line="276" w:lineRule="auto"/>
              <w:ind w:firstLine="0"/>
              <w:jc w:val="center"/>
            </w:pPr>
            <w:r w:rsidRPr="006435A5">
              <w:t>2.8</w:t>
            </w:r>
          </w:p>
        </w:tc>
        <w:tc>
          <w:tcPr>
            <w:tcW w:w="969" w:type="dxa"/>
            <w:tcBorders>
              <w:left w:val="nil"/>
              <w:right w:val="nil"/>
            </w:tcBorders>
            <w:vAlign w:val="center"/>
          </w:tcPr>
          <w:p w14:paraId="4783076B" w14:textId="77777777" w:rsidR="00AD6087" w:rsidRPr="006435A5" w:rsidRDefault="00AD6087" w:rsidP="00A42F0D">
            <w:pPr>
              <w:spacing w:line="276" w:lineRule="auto"/>
              <w:ind w:firstLine="0"/>
              <w:jc w:val="center"/>
            </w:pPr>
            <w:r w:rsidRPr="006435A5">
              <w:t>3.0</w:t>
            </w:r>
          </w:p>
        </w:tc>
        <w:tc>
          <w:tcPr>
            <w:tcW w:w="1031" w:type="dxa"/>
            <w:tcBorders>
              <w:left w:val="nil"/>
              <w:right w:val="nil"/>
            </w:tcBorders>
            <w:vAlign w:val="center"/>
          </w:tcPr>
          <w:p w14:paraId="08C07D60" w14:textId="77777777" w:rsidR="00AD6087" w:rsidRPr="006435A5" w:rsidRDefault="00AD6087" w:rsidP="00A42F0D">
            <w:pPr>
              <w:spacing w:line="276" w:lineRule="auto"/>
              <w:ind w:firstLine="0"/>
              <w:jc w:val="center"/>
            </w:pPr>
            <w:r w:rsidRPr="006435A5">
              <w:t>3.0</w:t>
            </w:r>
          </w:p>
        </w:tc>
      </w:tr>
    </w:tbl>
    <w:p w14:paraId="363081EC" w14:textId="77777777" w:rsidR="00AD6087" w:rsidRPr="006435A5" w:rsidRDefault="00AD6087" w:rsidP="00AD6087">
      <w:pPr>
        <w:spacing w:line="276" w:lineRule="auto"/>
      </w:pPr>
    </w:p>
    <w:p w14:paraId="7DF50A88" w14:textId="77777777" w:rsidR="00AD6087" w:rsidRPr="006435A5" w:rsidRDefault="00AD6087" w:rsidP="00AD6087">
      <w:pPr>
        <w:spacing w:line="276" w:lineRule="auto"/>
        <w:rPr>
          <w:color w:val="FF0000"/>
        </w:rPr>
      </w:pPr>
      <w:r w:rsidRPr="006435A5">
        <w:t>Ընդհանուր առմամբ, կանխատեսվում է, որ միջնաժամկետ հատվածում՝ հիմնական մակրոտնտեսական սցենարի դեպքում տեղի կունենա ՀՆԱ-ի անվանական ծավալի առաջանցիկ աճ պարտքի ծավալի աճի նկատմամբ՝ հանգեցնելով ՀՀ կառավա</w:t>
      </w:r>
      <w:r w:rsidRPr="006435A5">
        <w:softHyphen/>
        <w:t>րության պարտք/ՀՆԱ ցուցանիշի նվազմանը, որը 2024 թվականի տարեվերջին կանխատեսվում է 56.8%: ՀՀ կառավարության պարտքի միջին տոկոսադրույքը կանխատեսվող ժամանակա</w:t>
      </w:r>
      <w:r w:rsidRPr="006435A5">
        <w:softHyphen/>
        <w:t>հատվածի վերջում կկազմի 5.6%: ՀՀ կառավարության պարտքի տոկոսավճար/պետական բյուջեի եկամուտներ, ՀՀ կառավարության պարտքի տոկոսավճար/պետական բյուջեի ծախսեր և ՀՀ կառավարության պարտքի տոկոսավճար/ՀՆԱ ցուցանիշները միջնաժամկետ հատվածում աճում են` ժամանակահատվածի վերջում կազմելով համապատասխանաբար 12.5%, 11.6% և 3.0%:</w:t>
      </w:r>
      <w:r w:rsidRPr="006435A5">
        <w:rPr>
          <w:color w:val="FF0000"/>
        </w:rPr>
        <w:t xml:space="preserve"> </w:t>
      </w:r>
    </w:p>
    <w:p w14:paraId="3CA1EE68" w14:textId="77777777" w:rsidR="00AD6087" w:rsidRPr="006435A5" w:rsidRDefault="00AD6087" w:rsidP="00AD6087">
      <w:pPr>
        <w:spacing w:line="276" w:lineRule="auto"/>
        <w:rPr>
          <w:color w:val="FF0000"/>
        </w:rPr>
      </w:pPr>
      <w:r w:rsidRPr="006435A5">
        <w:t>Միջնաժամկետ հատվածում ՀՀ կառավարության պարտքի տոկոսավճարների միջին տարեկան աճն առաջանցիկ է պետական բյուջեի եկամուտների,  պետական բյուջեի ծախսերի և անվանական ՀՆԱ-ի միջին տարեկան աճերի նկատմամբ: Միջնաժամկետ հատվածում  ՀՀ կառավարության պարտքի տոկոսավճարների միջին աճի տեմպը կանխատեսվում է 11.3%, որը միջինում կգերազանցի պետական բյուջեի եկամուտների աճի տեմպին 1.3 տոկոսային կետով, պետական բյուջեի ծախսերի աճի տեմպին՝ 5.2 տոկոսային կետով  և անվանական ՀՆԱ-ի աճի տեմպին՝ 2.6 տոկոսային կետով:  Նշենք նաև, որ ՀՀ կառավարության պարտքի տոկոսավճարների տարեկան աճն արագանում է և 2023 թվականին կազմում է 12.9%` նախորդ տարվա 10.9%-ի դիմաց, սակայն կրկին դանդաղում է միջնաժամկետ հատվածի վերջում և 2024 թվականին կազմում է 10.1%:</w:t>
      </w:r>
    </w:p>
    <w:p w14:paraId="2B43CDF2" w14:textId="77777777" w:rsidR="00AD6087" w:rsidRPr="006435A5" w:rsidRDefault="00AD6087" w:rsidP="00AD6087">
      <w:pPr>
        <w:spacing w:line="276" w:lineRule="auto"/>
      </w:pPr>
      <w:r w:rsidRPr="006435A5">
        <w:t>Ռիսկերի կառավարման տեսակետից կարևորվել են փոխարժեքի, վերաֆինանսա</w:t>
      </w:r>
      <w:r w:rsidRPr="006435A5">
        <w:softHyphen/>
        <w:t xml:space="preserve">վորման, տոկոսադրույքի ու գործառնական ռիսկերը: </w:t>
      </w:r>
    </w:p>
    <w:p w14:paraId="63407F4C" w14:textId="77777777" w:rsidR="00AD6087" w:rsidRPr="006435A5" w:rsidRDefault="00AD6087" w:rsidP="00AD6087">
      <w:pPr>
        <w:pStyle w:val="aff3"/>
        <w:spacing w:line="276" w:lineRule="auto"/>
      </w:pPr>
      <w:r w:rsidRPr="006435A5">
        <w:t>Փոխարժեքի ռիսկ</w:t>
      </w:r>
    </w:p>
    <w:p w14:paraId="3C608444" w14:textId="77777777" w:rsidR="00AD6087" w:rsidRPr="006435A5" w:rsidRDefault="00AD6087" w:rsidP="00AD6087">
      <w:pPr>
        <w:spacing w:line="276" w:lineRule="auto"/>
      </w:pPr>
      <w:r w:rsidRPr="006435A5">
        <w:t>Ներքին պարտքի կշիռն ընդամենը պարտքի մեջ ցուցանիշի մակարդակը միջնաժամկետ հատվածում կգտնվի սահմանված ուղենշային տիրույթում` ժամանակահատվածի վերջում հասնելով 38.5%-ի:</w:t>
      </w:r>
    </w:p>
    <w:p w14:paraId="5DBEEFA1" w14:textId="77777777" w:rsidR="00AD6087" w:rsidRPr="006435A5" w:rsidRDefault="00AD6087" w:rsidP="00AD6087">
      <w:pPr>
        <w:pStyle w:val="aff1"/>
        <w:spacing w:line="276" w:lineRule="auto"/>
      </w:pPr>
      <w:r w:rsidRPr="006435A5">
        <w:rPr>
          <w:b/>
        </w:rPr>
        <w:t>Աղյուսակ  7.</w:t>
      </w:r>
      <w:r w:rsidRPr="006435A5">
        <w:t xml:space="preserve">   ՀՀ կառավարության ներքին պարտքի և ՀՀ դրամով ներգրաված պարտքի տեսակարար կշիռներն ընդամենը պարտքում</w:t>
      </w:r>
    </w:p>
    <w:p w14:paraId="00FBE5E8" w14:textId="77777777" w:rsidR="00AD6087" w:rsidRPr="006435A5" w:rsidRDefault="00AD6087" w:rsidP="00AD6087">
      <w:pPr>
        <w:spacing w:line="276"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61"/>
        <w:gridCol w:w="1502"/>
        <w:gridCol w:w="1143"/>
        <w:gridCol w:w="950"/>
        <w:gridCol w:w="969"/>
        <w:gridCol w:w="975"/>
      </w:tblGrid>
      <w:tr w:rsidR="00AD6087" w:rsidRPr="006435A5" w14:paraId="632E1766" w14:textId="77777777" w:rsidTr="00A42F0D">
        <w:trPr>
          <w:trHeight w:val="780"/>
          <w:tblHeader/>
          <w:jc w:val="center"/>
        </w:trPr>
        <w:tc>
          <w:tcPr>
            <w:tcW w:w="4361" w:type="dxa"/>
            <w:tcBorders>
              <w:top w:val="thinThickThinSmallGap" w:sz="24" w:space="0" w:color="auto"/>
              <w:left w:val="nil"/>
              <w:bottom w:val="thinThickSmallGap" w:sz="24" w:space="0" w:color="auto"/>
              <w:right w:val="nil"/>
            </w:tcBorders>
            <w:shd w:val="clear" w:color="auto" w:fill="5B9BD5"/>
          </w:tcPr>
          <w:p w14:paraId="5AAFB6C4" w14:textId="77777777" w:rsidR="00AD6087" w:rsidRPr="006435A5" w:rsidRDefault="00AD6087" w:rsidP="00A42F0D">
            <w:pPr>
              <w:spacing w:line="276" w:lineRule="auto"/>
              <w:ind w:firstLine="20"/>
            </w:pPr>
          </w:p>
        </w:tc>
        <w:tc>
          <w:tcPr>
            <w:tcW w:w="1502" w:type="dxa"/>
            <w:tcBorders>
              <w:top w:val="thinThickThinSmallGap" w:sz="24" w:space="0" w:color="auto"/>
              <w:left w:val="nil"/>
              <w:bottom w:val="thinThickSmallGap" w:sz="24" w:space="0" w:color="auto"/>
              <w:right w:val="double" w:sz="4" w:space="0" w:color="auto"/>
            </w:tcBorders>
            <w:shd w:val="clear" w:color="auto" w:fill="5B9BD5"/>
            <w:vAlign w:val="center"/>
          </w:tcPr>
          <w:p w14:paraId="220373F8" w14:textId="77777777" w:rsidR="00AD6087" w:rsidRPr="006435A5" w:rsidRDefault="00AD6087" w:rsidP="00A42F0D">
            <w:pPr>
              <w:spacing w:line="276" w:lineRule="auto"/>
              <w:ind w:firstLine="20"/>
              <w:jc w:val="center"/>
            </w:pPr>
            <w:r w:rsidRPr="006435A5">
              <w:t>2021 պետբյուջեի ծրագիր</w:t>
            </w:r>
          </w:p>
        </w:tc>
        <w:tc>
          <w:tcPr>
            <w:tcW w:w="1143" w:type="dxa"/>
            <w:tcBorders>
              <w:top w:val="thinThickThinSmallGap" w:sz="24" w:space="0" w:color="auto"/>
              <w:left w:val="double" w:sz="4" w:space="0" w:color="auto"/>
              <w:bottom w:val="thinThickSmallGap" w:sz="24" w:space="0" w:color="auto"/>
              <w:right w:val="nil"/>
            </w:tcBorders>
            <w:shd w:val="clear" w:color="auto" w:fill="5B9BD5"/>
            <w:vAlign w:val="center"/>
          </w:tcPr>
          <w:p w14:paraId="7984AC36" w14:textId="77777777" w:rsidR="00AD6087" w:rsidRPr="006435A5" w:rsidRDefault="00AD6087" w:rsidP="00A42F0D">
            <w:pPr>
              <w:spacing w:line="276" w:lineRule="auto"/>
              <w:ind w:firstLine="20"/>
              <w:jc w:val="center"/>
            </w:pPr>
            <w:r w:rsidRPr="006435A5">
              <w:t>2021 կանխ.</w:t>
            </w:r>
          </w:p>
        </w:tc>
        <w:tc>
          <w:tcPr>
            <w:tcW w:w="950" w:type="dxa"/>
            <w:tcBorders>
              <w:top w:val="thinThickThinSmallGap" w:sz="24" w:space="0" w:color="auto"/>
              <w:left w:val="nil"/>
              <w:bottom w:val="thinThickSmallGap" w:sz="24" w:space="0" w:color="auto"/>
              <w:right w:val="nil"/>
            </w:tcBorders>
            <w:shd w:val="clear" w:color="auto" w:fill="5B9BD5"/>
            <w:vAlign w:val="center"/>
          </w:tcPr>
          <w:p w14:paraId="71CF7984" w14:textId="77777777" w:rsidR="00AD6087" w:rsidRPr="006435A5" w:rsidRDefault="00AD6087" w:rsidP="00A42F0D">
            <w:pPr>
              <w:spacing w:line="276" w:lineRule="auto"/>
              <w:ind w:firstLine="20"/>
              <w:jc w:val="center"/>
            </w:pPr>
            <w:r w:rsidRPr="006435A5">
              <w:t>2022 կանխ.</w:t>
            </w:r>
          </w:p>
        </w:tc>
        <w:tc>
          <w:tcPr>
            <w:tcW w:w="969" w:type="dxa"/>
            <w:tcBorders>
              <w:top w:val="thinThickThinSmallGap" w:sz="24" w:space="0" w:color="auto"/>
              <w:left w:val="nil"/>
              <w:bottom w:val="thinThickSmallGap" w:sz="24" w:space="0" w:color="auto"/>
              <w:right w:val="nil"/>
            </w:tcBorders>
            <w:shd w:val="clear" w:color="auto" w:fill="5B9BD5"/>
            <w:vAlign w:val="center"/>
          </w:tcPr>
          <w:p w14:paraId="3F75BE5B" w14:textId="77777777" w:rsidR="00AD6087" w:rsidRPr="006435A5" w:rsidRDefault="00AD6087" w:rsidP="00A42F0D">
            <w:pPr>
              <w:spacing w:line="276" w:lineRule="auto"/>
              <w:ind w:firstLine="20"/>
              <w:jc w:val="center"/>
            </w:pPr>
            <w:r w:rsidRPr="006435A5">
              <w:t>2023 կանխ.</w:t>
            </w:r>
          </w:p>
        </w:tc>
        <w:tc>
          <w:tcPr>
            <w:tcW w:w="975" w:type="dxa"/>
            <w:tcBorders>
              <w:top w:val="thinThickThinSmallGap" w:sz="24" w:space="0" w:color="auto"/>
              <w:left w:val="nil"/>
              <w:bottom w:val="thinThickSmallGap" w:sz="24" w:space="0" w:color="auto"/>
              <w:right w:val="nil"/>
            </w:tcBorders>
            <w:shd w:val="clear" w:color="auto" w:fill="5B9BD5"/>
            <w:vAlign w:val="center"/>
          </w:tcPr>
          <w:p w14:paraId="23147736" w14:textId="77777777" w:rsidR="00AD6087" w:rsidRPr="006435A5" w:rsidRDefault="00AD6087" w:rsidP="00A42F0D">
            <w:pPr>
              <w:spacing w:line="276" w:lineRule="auto"/>
              <w:ind w:firstLine="20"/>
              <w:jc w:val="center"/>
            </w:pPr>
            <w:r w:rsidRPr="006435A5">
              <w:t>2024 կանխ.</w:t>
            </w:r>
          </w:p>
        </w:tc>
      </w:tr>
      <w:tr w:rsidR="00AD6087" w:rsidRPr="006435A5" w14:paraId="4FBD1E9C" w14:textId="77777777" w:rsidTr="00A42F0D">
        <w:trPr>
          <w:trHeight w:val="393"/>
          <w:jc w:val="center"/>
        </w:trPr>
        <w:tc>
          <w:tcPr>
            <w:tcW w:w="4361" w:type="dxa"/>
            <w:tcBorders>
              <w:top w:val="thinThickSmallGap" w:sz="24" w:space="0" w:color="auto"/>
              <w:left w:val="nil"/>
              <w:bottom w:val="single" w:sz="4" w:space="0" w:color="auto"/>
              <w:right w:val="nil"/>
            </w:tcBorders>
            <w:vAlign w:val="center"/>
          </w:tcPr>
          <w:p w14:paraId="7A449A83" w14:textId="77777777" w:rsidR="00AD6087" w:rsidRPr="006435A5" w:rsidRDefault="00AD6087" w:rsidP="00A42F0D">
            <w:pPr>
              <w:spacing w:line="276" w:lineRule="auto"/>
              <w:ind w:firstLine="20"/>
              <w:jc w:val="left"/>
            </w:pPr>
            <w:r w:rsidRPr="006435A5">
              <w:t>Ներքին պարտք/Ընդամենը պարտք (%)</w:t>
            </w:r>
          </w:p>
        </w:tc>
        <w:tc>
          <w:tcPr>
            <w:tcW w:w="1502" w:type="dxa"/>
            <w:tcBorders>
              <w:top w:val="thinThickSmallGap" w:sz="24" w:space="0" w:color="auto"/>
              <w:left w:val="nil"/>
              <w:bottom w:val="single" w:sz="4" w:space="0" w:color="auto"/>
              <w:right w:val="double" w:sz="4" w:space="0" w:color="auto"/>
            </w:tcBorders>
            <w:vAlign w:val="center"/>
          </w:tcPr>
          <w:p w14:paraId="34E89A76" w14:textId="77777777" w:rsidR="00AD6087" w:rsidRPr="006435A5" w:rsidRDefault="00AD6087" w:rsidP="00A42F0D">
            <w:pPr>
              <w:spacing w:line="276" w:lineRule="auto"/>
              <w:ind w:firstLine="20"/>
              <w:jc w:val="center"/>
            </w:pPr>
            <w:r w:rsidRPr="006435A5">
              <w:t>28.1</w:t>
            </w:r>
          </w:p>
        </w:tc>
        <w:tc>
          <w:tcPr>
            <w:tcW w:w="1143" w:type="dxa"/>
            <w:tcBorders>
              <w:top w:val="thinThickSmallGap" w:sz="24" w:space="0" w:color="auto"/>
              <w:left w:val="double" w:sz="4" w:space="0" w:color="auto"/>
              <w:bottom w:val="single" w:sz="4" w:space="0" w:color="auto"/>
              <w:right w:val="nil"/>
            </w:tcBorders>
            <w:vAlign w:val="center"/>
          </w:tcPr>
          <w:p w14:paraId="5A7A78E8" w14:textId="77777777" w:rsidR="00AD6087" w:rsidRPr="006435A5" w:rsidRDefault="00AD6087" w:rsidP="00A42F0D">
            <w:pPr>
              <w:spacing w:line="276" w:lineRule="auto"/>
              <w:ind w:firstLine="20"/>
              <w:jc w:val="center"/>
            </w:pPr>
            <w:r w:rsidRPr="006435A5">
              <w:t>28.3</w:t>
            </w:r>
          </w:p>
        </w:tc>
        <w:tc>
          <w:tcPr>
            <w:tcW w:w="950" w:type="dxa"/>
            <w:tcBorders>
              <w:top w:val="thinThickSmallGap" w:sz="24" w:space="0" w:color="auto"/>
              <w:left w:val="nil"/>
              <w:bottom w:val="single" w:sz="4" w:space="0" w:color="auto"/>
              <w:right w:val="nil"/>
            </w:tcBorders>
            <w:vAlign w:val="center"/>
          </w:tcPr>
          <w:p w14:paraId="277D4688" w14:textId="77777777" w:rsidR="00AD6087" w:rsidRPr="006435A5" w:rsidRDefault="00AD6087" w:rsidP="00A42F0D">
            <w:pPr>
              <w:spacing w:line="276" w:lineRule="auto"/>
              <w:ind w:firstLine="20"/>
              <w:jc w:val="center"/>
            </w:pPr>
            <w:r w:rsidRPr="006435A5">
              <w:t>31.3</w:t>
            </w:r>
          </w:p>
        </w:tc>
        <w:tc>
          <w:tcPr>
            <w:tcW w:w="969" w:type="dxa"/>
            <w:tcBorders>
              <w:top w:val="thinThickSmallGap" w:sz="24" w:space="0" w:color="auto"/>
              <w:left w:val="nil"/>
              <w:bottom w:val="single" w:sz="4" w:space="0" w:color="auto"/>
              <w:right w:val="nil"/>
            </w:tcBorders>
            <w:vAlign w:val="center"/>
          </w:tcPr>
          <w:p w14:paraId="0C07989D" w14:textId="77777777" w:rsidR="00AD6087" w:rsidRPr="006435A5" w:rsidRDefault="00AD6087" w:rsidP="00A42F0D">
            <w:pPr>
              <w:spacing w:line="276" w:lineRule="auto"/>
              <w:ind w:firstLine="20"/>
              <w:jc w:val="center"/>
            </w:pPr>
            <w:r w:rsidRPr="006435A5">
              <w:t>34.9</w:t>
            </w:r>
          </w:p>
        </w:tc>
        <w:tc>
          <w:tcPr>
            <w:tcW w:w="975" w:type="dxa"/>
            <w:tcBorders>
              <w:top w:val="thinThickSmallGap" w:sz="24" w:space="0" w:color="auto"/>
              <w:left w:val="nil"/>
              <w:bottom w:val="single" w:sz="4" w:space="0" w:color="auto"/>
              <w:right w:val="nil"/>
            </w:tcBorders>
            <w:vAlign w:val="center"/>
          </w:tcPr>
          <w:p w14:paraId="1A768446" w14:textId="77777777" w:rsidR="00AD6087" w:rsidRPr="006435A5" w:rsidRDefault="00AD6087" w:rsidP="00A42F0D">
            <w:pPr>
              <w:spacing w:line="276" w:lineRule="auto"/>
              <w:ind w:firstLine="20"/>
              <w:jc w:val="center"/>
            </w:pPr>
            <w:r w:rsidRPr="006435A5">
              <w:t>38.5</w:t>
            </w:r>
          </w:p>
        </w:tc>
      </w:tr>
      <w:tr w:rsidR="00AD6087" w:rsidRPr="006435A5" w14:paraId="3DB8CEA3" w14:textId="77777777" w:rsidTr="00A42F0D">
        <w:trPr>
          <w:trHeight w:val="439"/>
          <w:jc w:val="center"/>
        </w:trPr>
        <w:tc>
          <w:tcPr>
            <w:tcW w:w="4361" w:type="dxa"/>
            <w:tcBorders>
              <w:top w:val="single" w:sz="4" w:space="0" w:color="auto"/>
              <w:left w:val="nil"/>
              <w:bottom w:val="thickThinSmallGap" w:sz="24" w:space="0" w:color="auto"/>
              <w:right w:val="nil"/>
            </w:tcBorders>
            <w:vAlign w:val="center"/>
          </w:tcPr>
          <w:p w14:paraId="254C34D2" w14:textId="77777777" w:rsidR="00AD6087" w:rsidRPr="006435A5" w:rsidRDefault="00AD6087" w:rsidP="00A42F0D">
            <w:pPr>
              <w:spacing w:line="276" w:lineRule="auto"/>
              <w:ind w:firstLine="20"/>
              <w:jc w:val="left"/>
            </w:pPr>
            <w:r w:rsidRPr="006435A5">
              <w:t>ՀՀ դրամով ներգրավված պարտք/Ընդամենը պարտք (%)</w:t>
            </w:r>
          </w:p>
        </w:tc>
        <w:tc>
          <w:tcPr>
            <w:tcW w:w="1502" w:type="dxa"/>
            <w:tcBorders>
              <w:top w:val="single" w:sz="4" w:space="0" w:color="auto"/>
              <w:left w:val="nil"/>
              <w:bottom w:val="thickThinSmallGap" w:sz="24" w:space="0" w:color="auto"/>
              <w:right w:val="double" w:sz="4" w:space="0" w:color="auto"/>
            </w:tcBorders>
            <w:vAlign w:val="center"/>
          </w:tcPr>
          <w:p w14:paraId="77931036" w14:textId="77777777" w:rsidR="00AD6087" w:rsidRPr="006435A5" w:rsidRDefault="00AD6087" w:rsidP="00A42F0D">
            <w:pPr>
              <w:spacing w:line="276" w:lineRule="auto"/>
              <w:ind w:firstLine="20"/>
              <w:jc w:val="center"/>
            </w:pPr>
            <w:r w:rsidRPr="006435A5">
              <w:t>27.1</w:t>
            </w:r>
          </w:p>
        </w:tc>
        <w:tc>
          <w:tcPr>
            <w:tcW w:w="1143" w:type="dxa"/>
            <w:tcBorders>
              <w:top w:val="single" w:sz="4" w:space="0" w:color="auto"/>
              <w:left w:val="double" w:sz="4" w:space="0" w:color="auto"/>
              <w:bottom w:val="thickThinSmallGap" w:sz="24" w:space="0" w:color="auto"/>
              <w:right w:val="nil"/>
            </w:tcBorders>
            <w:vAlign w:val="center"/>
          </w:tcPr>
          <w:p w14:paraId="5FE1E319" w14:textId="77777777" w:rsidR="00AD6087" w:rsidRPr="006435A5" w:rsidRDefault="00AD6087" w:rsidP="00A42F0D">
            <w:pPr>
              <w:spacing w:line="276" w:lineRule="auto"/>
              <w:ind w:firstLine="20"/>
              <w:jc w:val="center"/>
            </w:pPr>
            <w:r w:rsidRPr="006435A5">
              <w:t>27.1</w:t>
            </w:r>
          </w:p>
        </w:tc>
        <w:tc>
          <w:tcPr>
            <w:tcW w:w="950" w:type="dxa"/>
            <w:tcBorders>
              <w:top w:val="single" w:sz="4" w:space="0" w:color="auto"/>
              <w:left w:val="nil"/>
              <w:bottom w:val="thickThinSmallGap" w:sz="24" w:space="0" w:color="auto"/>
              <w:right w:val="nil"/>
            </w:tcBorders>
            <w:vAlign w:val="center"/>
          </w:tcPr>
          <w:p w14:paraId="77D21D1B" w14:textId="77777777" w:rsidR="00AD6087" w:rsidRPr="006435A5" w:rsidRDefault="00AD6087" w:rsidP="00A42F0D">
            <w:pPr>
              <w:spacing w:line="276" w:lineRule="auto"/>
              <w:ind w:firstLine="20"/>
              <w:jc w:val="center"/>
            </w:pPr>
            <w:r w:rsidRPr="006435A5">
              <w:t>30.2</w:t>
            </w:r>
          </w:p>
        </w:tc>
        <w:tc>
          <w:tcPr>
            <w:tcW w:w="969" w:type="dxa"/>
            <w:tcBorders>
              <w:top w:val="single" w:sz="4" w:space="0" w:color="auto"/>
              <w:left w:val="nil"/>
              <w:bottom w:val="thickThinSmallGap" w:sz="24" w:space="0" w:color="auto"/>
              <w:right w:val="nil"/>
            </w:tcBorders>
            <w:vAlign w:val="center"/>
          </w:tcPr>
          <w:p w14:paraId="52B38BA5" w14:textId="77777777" w:rsidR="00AD6087" w:rsidRPr="006435A5" w:rsidRDefault="00AD6087" w:rsidP="00A42F0D">
            <w:pPr>
              <w:spacing w:line="276" w:lineRule="auto"/>
              <w:ind w:firstLine="20"/>
              <w:jc w:val="center"/>
            </w:pPr>
            <w:r w:rsidRPr="006435A5">
              <w:t>33.8</w:t>
            </w:r>
          </w:p>
        </w:tc>
        <w:tc>
          <w:tcPr>
            <w:tcW w:w="975" w:type="dxa"/>
            <w:tcBorders>
              <w:top w:val="single" w:sz="4" w:space="0" w:color="auto"/>
              <w:left w:val="nil"/>
              <w:bottom w:val="thickThinSmallGap" w:sz="24" w:space="0" w:color="auto"/>
              <w:right w:val="nil"/>
            </w:tcBorders>
            <w:vAlign w:val="center"/>
          </w:tcPr>
          <w:p w14:paraId="4D011614" w14:textId="77777777" w:rsidR="00AD6087" w:rsidRPr="006435A5" w:rsidRDefault="00AD6087" w:rsidP="00A42F0D">
            <w:pPr>
              <w:spacing w:line="276" w:lineRule="auto"/>
              <w:ind w:firstLine="20"/>
              <w:jc w:val="center"/>
            </w:pPr>
            <w:r w:rsidRPr="006435A5">
              <w:t>37.5</w:t>
            </w:r>
          </w:p>
        </w:tc>
      </w:tr>
    </w:tbl>
    <w:p w14:paraId="75DC2717" w14:textId="77777777" w:rsidR="00AD6087" w:rsidRPr="006435A5" w:rsidRDefault="00AD6087" w:rsidP="00AD6087">
      <w:pPr>
        <w:spacing w:line="276" w:lineRule="auto"/>
      </w:pPr>
    </w:p>
    <w:p w14:paraId="19D4A26E" w14:textId="77777777" w:rsidR="00AD6087" w:rsidRPr="006435A5" w:rsidRDefault="00AD6087" w:rsidP="00AD6087">
      <w:pPr>
        <w:spacing w:line="276" w:lineRule="auto"/>
      </w:pPr>
      <w:r w:rsidRPr="006435A5">
        <w:t>2024 թվականի վերջին արտարժութային պարտքի տեսակարար կշիռը միջնաժամկետ հատվածում նվազում է՝ կազմելով 62.5%, սակայն ՀՀ կառավարության պարտքի պորտֆելի փոխարժեքի ռիսկը առաջիկա տարիներին դեռևս կմնա որպես հիմնական ռիսկ:</w:t>
      </w:r>
    </w:p>
    <w:p w14:paraId="0D682038" w14:textId="77777777" w:rsidR="00AD6087" w:rsidRPr="006435A5" w:rsidRDefault="00AD6087" w:rsidP="00AD6087">
      <w:pPr>
        <w:spacing w:line="276" w:lineRule="auto"/>
      </w:pPr>
    </w:p>
    <w:p w14:paraId="6EA8B80B" w14:textId="77777777" w:rsidR="00AD6087" w:rsidRPr="006435A5" w:rsidRDefault="00AD6087" w:rsidP="00AD6087">
      <w:pPr>
        <w:pStyle w:val="aff1"/>
        <w:spacing w:line="276" w:lineRule="auto"/>
      </w:pPr>
      <w:r w:rsidRPr="006435A5">
        <w:rPr>
          <w:b/>
        </w:rPr>
        <w:t xml:space="preserve"> </w:t>
      </w:r>
      <w:r w:rsidRPr="006435A5">
        <w:rPr>
          <w:rFonts w:cs="Sylfaen"/>
          <w:b/>
        </w:rPr>
        <w:t xml:space="preserve">Աղյուսակ </w:t>
      </w:r>
      <w:r w:rsidRPr="006435A5">
        <w:rPr>
          <w:b/>
        </w:rPr>
        <w:t>8.</w:t>
      </w:r>
      <w:r w:rsidRPr="006435A5">
        <w:t xml:space="preserve"> </w:t>
      </w:r>
      <w:r w:rsidRPr="006435A5">
        <w:rPr>
          <w:rFonts w:cs="Sylfaen"/>
        </w:rPr>
        <w:t>ՀՀ</w:t>
      </w:r>
      <w:r w:rsidRPr="006435A5">
        <w:t xml:space="preserve"> </w:t>
      </w:r>
      <w:r w:rsidRPr="006435A5">
        <w:rPr>
          <w:rFonts w:cs="Sylfaen"/>
        </w:rPr>
        <w:t>կառավարության</w:t>
      </w:r>
      <w:r w:rsidRPr="006435A5">
        <w:t xml:space="preserve"> </w:t>
      </w:r>
      <w:r w:rsidRPr="006435A5">
        <w:rPr>
          <w:rFonts w:cs="Sylfaen"/>
        </w:rPr>
        <w:t>արտարժութային</w:t>
      </w:r>
      <w:r w:rsidRPr="006435A5">
        <w:t xml:space="preserve"> </w:t>
      </w:r>
      <w:r w:rsidRPr="006435A5">
        <w:rPr>
          <w:rFonts w:cs="Sylfaen"/>
        </w:rPr>
        <w:t>պարտքի</w:t>
      </w:r>
      <w:r w:rsidRPr="006435A5">
        <w:t xml:space="preserve"> </w:t>
      </w:r>
      <w:r w:rsidRPr="006435A5">
        <w:rPr>
          <w:rFonts w:cs="Sylfaen"/>
        </w:rPr>
        <w:t>կառուցվածքը</w:t>
      </w:r>
      <w:r w:rsidRPr="006435A5">
        <w:t xml:space="preserve"> 2021-2024 </w:t>
      </w:r>
      <w:r w:rsidRPr="006435A5">
        <w:rPr>
          <w:rFonts w:cs="Sylfaen"/>
        </w:rPr>
        <w:t>թ</w:t>
      </w:r>
      <w:r w:rsidRPr="006435A5">
        <w:t>վականներին տարեվերջի դրությամբ (տոկոս)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26"/>
        <w:gridCol w:w="1286"/>
        <w:gridCol w:w="1080"/>
        <w:gridCol w:w="1080"/>
        <w:gridCol w:w="1089"/>
      </w:tblGrid>
      <w:tr w:rsidR="00AD6087" w:rsidRPr="006435A5" w14:paraId="3F49E0F1" w14:textId="77777777" w:rsidTr="00A42F0D">
        <w:trPr>
          <w:trHeight w:val="720"/>
          <w:tblHeader/>
          <w:jc w:val="center"/>
        </w:trPr>
        <w:tc>
          <w:tcPr>
            <w:tcW w:w="1260" w:type="dxa"/>
            <w:tcBorders>
              <w:top w:val="thinThickThinSmallGap" w:sz="24" w:space="0" w:color="auto"/>
              <w:left w:val="nil"/>
              <w:bottom w:val="thinThickSmallGap" w:sz="24" w:space="0" w:color="auto"/>
              <w:right w:val="nil"/>
            </w:tcBorders>
            <w:shd w:val="clear" w:color="auto" w:fill="5B9BD5"/>
          </w:tcPr>
          <w:p w14:paraId="59A96492" w14:textId="77777777" w:rsidR="00AD6087" w:rsidRPr="00AD6087" w:rsidRDefault="00AD6087" w:rsidP="00A42F0D">
            <w:pPr>
              <w:spacing w:line="276" w:lineRule="auto"/>
              <w:ind w:firstLine="6"/>
              <w:rPr>
                <w:lang w:val="hy-AM"/>
              </w:rPr>
            </w:pPr>
          </w:p>
        </w:tc>
        <w:tc>
          <w:tcPr>
            <w:tcW w:w="1526" w:type="dxa"/>
            <w:tcBorders>
              <w:top w:val="thinThickThinSmallGap" w:sz="24" w:space="0" w:color="auto"/>
              <w:left w:val="nil"/>
              <w:bottom w:val="thinThickSmallGap" w:sz="24" w:space="0" w:color="auto"/>
              <w:right w:val="double" w:sz="4" w:space="0" w:color="auto"/>
            </w:tcBorders>
            <w:shd w:val="clear" w:color="auto" w:fill="5B9BD5"/>
            <w:vAlign w:val="center"/>
          </w:tcPr>
          <w:p w14:paraId="52842881" w14:textId="77777777" w:rsidR="00AD6087" w:rsidRPr="006435A5" w:rsidRDefault="00AD6087" w:rsidP="00A42F0D">
            <w:pPr>
              <w:spacing w:line="276" w:lineRule="auto"/>
              <w:ind w:firstLine="6"/>
              <w:jc w:val="center"/>
            </w:pPr>
            <w:r w:rsidRPr="006435A5">
              <w:t>2021 պետբյուջեի ծրագիր</w:t>
            </w:r>
          </w:p>
        </w:tc>
        <w:tc>
          <w:tcPr>
            <w:tcW w:w="1286" w:type="dxa"/>
            <w:tcBorders>
              <w:top w:val="thinThickThinSmallGap" w:sz="24" w:space="0" w:color="auto"/>
              <w:left w:val="double" w:sz="4" w:space="0" w:color="auto"/>
              <w:bottom w:val="thinThickSmallGap" w:sz="24" w:space="0" w:color="auto"/>
              <w:right w:val="nil"/>
            </w:tcBorders>
            <w:shd w:val="clear" w:color="auto" w:fill="5B9BD5"/>
            <w:vAlign w:val="center"/>
          </w:tcPr>
          <w:p w14:paraId="3312B32F" w14:textId="77777777" w:rsidR="00AD6087" w:rsidRPr="006435A5" w:rsidRDefault="00AD6087" w:rsidP="00A42F0D">
            <w:pPr>
              <w:spacing w:line="276" w:lineRule="auto"/>
              <w:ind w:firstLine="6"/>
              <w:jc w:val="center"/>
            </w:pPr>
            <w:r w:rsidRPr="006435A5">
              <w:t>2021</w:t>
            </w:r>
          </w:p>
          <w:p w14:paraId="6F70CF23" w14:textId="77777777" w:rsidR="00AD6087" w:rsidRPr="006435A5" w:rsidRDefault="00AD6087" w:rsidP="00A42F0D">
            <w:pPr>
              <w:spacing w:line="276" w:lineRule="auto"/>
              <w:ind w:firstLine="6"/>
              <w:jc w:val="center"/>
            </w:pPr>
            <w:r w:rsidRPr="006435A5">
              <w:t>կանխ.</w:t>
            </w:r>
          </w:p>
        </w:tc>
        <w:tc>
          <w:tcPr>
            <w:tcW w:w="1080" w:type="dxa"/>
            <w:tcBorders>
              <w:top w:val="thinThickThinSmallGap" w:sz="24" w:space="0" w:color="auto"/>
              <w:left w:val="nil"/>
              <w:bottom w:val="thinThickSmallGap" w:sz="24" w:space="0" w:color="auto"/>
              <w:right w:val="nil"/>
            </w:tcBorders>
            <w:shd w:val="clear" w:color="auto" w:fill="5B9BD5"/>
            <w:vAlign w:val="center"/>
          </w:tcPr>
          <w:p w14:paraId="55C77357" w14:textId="77777777" w:rsidR="00AD6087" w:rsidRPr="006435A5" w:rsidRDefault="00AD6087" w:rsidP="00A42F0D">
            <w:pPr>
              <w:spacing w:line="276" w:lineRule="auto"/>
              <w:ind w:firstLine="6"/>
              <w:jc w:val="center"/>
            </w:pPr>
            <w:r w:rsidRPr="006435A5">
              <w:t>2022</w:t>
            </w:r>
          </w:p>
          <w:p w14:paraId="5FA0B3BC" w14:textId="77777777" w:rsidR="00AD6087" w:rsidRPr="006435A5" w:rsidRDefault="00AD6087" w:rsidP="00A42F0D">
            <w:pPr>
              <w:spacing w:line="276" w:lineRule="auto"/>
              <w:ind w:firstLine="6"/>
              <w:jc w:val="center"/>
            </w:pPr>
            <w:r w:rsidRPr="006435A5">
              <w:t>կանխ.</w:t>
            </w:r>
          </w:p>
        </w:tc>
        <w:tc>
          <w:tcPr>
            <w:tcW w:w="1080" w:type="dxa"/>
            <w:tcBorders>
              <w:top w:val="thinThickThinSmallGap" w:sz="24" w:space="0" w:color="auto"/>
              <w:left w:val="nil"/>
              <w:bottom w:val="thinThickSmallGap" w:sz="24" w:space="0" w:color="auto"/>
              <w:right w:val="nil"/>
            </w:tcBorders>
            <w:shd w:val="clear" w:color="auto" w:fill="5B9BD5"/>
            <w:vAlign w:val="center"/>
          </w:tcPr>
          <w:p w14:paraId="331C190D" w14:textId="77777777" w:rsidR="00AD6087" w:rsidRPr="006435A5" w:rsidRDefault="00AD6087" w:rsidP="00A42F0D">
            <w:pPr>
              <w:spacing w:line="276" w:lineRule="auto"/>
              <w:ind w:firstLine="6"/>
              <w:jc w:val="center"/>
            </w:pPr>
            <w:r w:rsidRPr="006435A5">
              <w:t>2023</w:t>
            </w:r>
          </w:p>
          <w:p w14:paraId="57F9D4D3" w14:textId="77777777" w:rsidR="00AD6087" w:rsidRPr="006435A5" w:rsidRDefault="00AD6087" w:rsidP="00A42F0D">
            <w:pPr>
              <w:spacing w:line="276" w:lineRule="auto"/>
              <w:ind w:firstLine="6"/>
              <w:jc w:val="center"/>
            </w:pPr>
            <w:r w:rsidRPr="006435A5">
              <w:t>կանխ.</w:t>
            </w:r>
          </w:p>
        </w:tc>
        <w:tc>
          <w:tcPr>
            <w:tcW w:w="1089" w:type="dxa"/>
            <w:tcBorders>
              <w:top w:val="thinThickThinSmallGap" w:sz="24" w:space="0" w:color="auto"/>
              <w:left w:val="nil"/>
              <w:bottom w:val="thinThickSmallGap" w:sz="24" w:space="0" w:color="auto"/>
              <w:right w:val="nil"/>
            </w:tcBorders>
            <w:shd w:val="clear" w:color="auto" w:fill="5B9BD5"/>
            <w:vAlign w:val="center"/>
          </w:tcPr>
          <w:p w14:paraId="266678F9" w14:textId="77777777" w:rsidR="00AD6087" w:rsidRPr="006435A5" w:rsidRDefault="00AD6087" w:rsidP="00A42F0D">
            <w:pPr>
              <w:spacing w:line="276" w:lineRule="auto"/>
              <w:ind w:firstLine="6"/>
              <w:jc w:val="center"/>
            </w:pPr>
            <w:r w:rsidRPr="006435A5">
              <w:t>2024</w:t>
            </w:r>
          </w:p>
          <w:p w14:paraId="443BA586" w14:textId="77777777" w:rsidR="00AD6087" w:rsidRPr="006435A5" w:rsidRDefault="00AD6087" w:rsidP="00A42F0D">
            <w:pPr>
              <w:spacing w:line="276" w:lineRule="auto"/>
              <w:ind w:firstLine="6"/>
              <w:jc w:val="center"/>
            </w:pPr>
            <w:r w:rsidRPr="006435A5">
              <w:t>կանխ.</w:t>
            </w:r>
          </w:p>
        </w:tc>
      </w:tr>
      <w:tr w:rsidR="00AD6087" w:rsidRPr="006435A5" w14:paraId="553037A3" w14:textId="77777777" w:rsidTr="00A42F0D">
        <w:trPr>
          <w:jc w:val="center"/>
        </w:trPr>
        <w:tc>
          <w:tcPr>
            <w:tcW w:w="1260" w:type="dxa"/>
            <w:tcBorders>
              <w:top w:val="thinThickSmallGap" w:sz="24" w:space="0" w:color="auto"/>
              <w:left w:val="nil"/>
              <w:right w:val="nil"/>
            </w:tcBorders>
          </w:tcPr>
          <w:p w14:paraId="10476089" w14:textId="77777777" w:rsidR="00AD6087" w:rsidRPr="006435A5" w:rsidRDefault="00AD6087" w:rsidP="00A42F0D">
            <w:pPr>
              <w:spacing w:line="276" w:lineRule="auto"/>
              <w:ind w:firstLine="6"/>
              <w:jc w:val="left"/>
            </w:pPr>
            <w:r w:rsidRPr="006435A5">
              <w:t xml:space="preserve"> USD </w:t>
            </w:r>
          </w:p>
        </w:tc>
        <w:tc>
          <w:tcPr>
            <w:tcW w:w="1526" w:type="dxa"/>
            <w:tcBorders>
              <w:top w:val="thinThickSmallGap" w:sz="24" w:space="0" w:color="auto"/>
              <w:left w:val="nil"/>
              <w:right w:val="double" w:sz="4" w:space="0" w:color="auto"/>
            </w:tcBorders>
            <w:vAlign w:val="center"/>
          </w:tcPr>
          <w:p w14:paraId="1D4F193A" w14:textId="77777777" w:rsidR="00AD6087" w:rsidRPr="006435A5" w:rsidRDefault="00AD6087" w:rsidP="00A42F0D">
            <w:pPr>
              <w:spacing w:line="276" w:lineRule="auto"/>
              <w:ind w:firstLine="6"/>
              <w:jc w:val="center"/>
            </w:pPr>
            <w:r w:rsidRPr="006435A5">
              <w:t>42.9</w:t>
            </w:r>
          </w:p>
        </w:tc>
        <w:tc>
          <w:tcPr>
            <w:tcW w:w="1286" w:type="dxa"/>
            <w:tcBorders>
              <w:top w:val="thinThickSmallGap" w:sz="24" w:space="0" w:color="auto"/>
              <w:left w:val="double" w:sz="4" w:space="0" w:color="auto"/>
              <w:right w:val="nil"/>
            </w:tcBorders>
            <w:vAlign w:val="center"/>
          </w:tcPr>
          <w:p w14:paraId="7E87750C" w14:textId="77777777" w:rsidR="00AD6087" w:rsidRPr="006435A5" w:rsidRDefault="00AD6087" w:rsidP="00A42F0D">
            <w:pPr>
              <w:spacing w:line="276" w:lineRule="auto"/>
              <w:ind w:firstLine="6"/>
              <w:jc w:val="center"/>
            </w:pPr>
            <w:r w:rsidRPr="006435A5">
              <w:t>57.7</w:t>
            </w:r>
          </w:p>
        </w:tc>
        <w:tc>
          <w:tcPr>
            <w:tcW w:w="1080" w:type="dxa"/>
            <w:tcBorders>
              <w:top w:val="thinThickSmallGap" w:sz="24" w:space="0" w:color="auto"/>
              <w:left w:val="nil"/>
              <w:right w:val="nil"/>
            </w:tcBorders>
            <w:vAlign w:val="center"/>
          </w:tcPr>
          <w:p w14:paraId="2DA2494B" w14:textId="77777777" w:rsidR="00AD6087" w:rsidRPr="006435A5" w:rsidRDefault="00AD6087" w:rsidP="00A42F0D">
            <w:pPr>
              <w:spacing w:line="276" w:lineRule="auto"/>
              <w:ind w:firstLine="6"/>
              <w:jc w:val="center"/>
            </w:pPr>
            <w:r w:rsidRPr="006435A5">
              <w:t>58.0</w:t>
            </w:r>
          </w:p>
        </w:tc>
        <w:tc>
          <w:tcPr>
            <w:tcW w:w="1080" w:type="dxa"/>
            <w:tcBorders>
              <w:top w:val="thinThickSmallGap" w:sz="24" w:space="0" w:color="auto"/>
              <w:left w:val="nil"/>
              <w:right w:val="nil"/>
            </w:tcBorders>
            <w:vAlign w:val="center"/>
          </w:tcPr>
          <w:p w14:paraId="45E28681" w14:textId="77777777" w:rsidR="00AD6087" w:rsidRPr="006435A5" w:rsidRDefault="00AD6087" w:rsidP="00A42F0D">
            <w:pPr>
              <w:spacing w:line="276" w:lineRule="auto"/>
              <w:ind w:firstLine="6"/>
              <w:jc w:val="center"/>
            </w:pPr>
            <w:r w:rsidRPr="006435A5">
              <w:t>59.2</w:t>
            </w:r>
          </w:p>
        </w:tc>
        <w:tc>
          <w:tcPr>
            <w:tcW w:w="1089" w:type="dxa"/>
            <w:tcBorders>
              <w:top w:val="thinThickSmallGap" w:sz="24" w:space="0" w:color="auto"/>
              <w:left w:val="nil"/>
              <w:right w:val="nil"/>
            </w:tcBorders>
            <w:vAlign w:val="center"/>
          </w:tcPr>
          <w:p w14:paraId="1E4EEEEA" w14:textId="77777777" w:rsidR="00AD6087" w:rsidRPr="006435A5" w:rsidRDefault="00AD6087" w:rsidP="00A42F0D">
            <w:pPr>
              <w:spacing w:line="276" w:lineRule="auto"/>
              <w:ind w:firstLine="6"/>
              <w:jc w:val="center"/>
            </w:pPr>
            <w:r w:rsidRPr="006435A5">
              <w:t>61.7</w:t>
            </w:r>
          </w:p>
        </w:tc>
      </w:tr>
      <w:tr w:rsidR="00AD6087" w:rsidRPr="006435A5" w14:paraId="2E9D9280" w14:textId="77777777" w:rsidTr="00A42F0D">
        <w:trPr>
          <w:jc w:val="center"/>
        </w:trPr>
        <w:tc>
          <w:tcPr>
            <w:tcW w:w="1260" w:type="dxa"/>
            <w:tcBorders>
              <w:left w:val="nil"/>
              <w:right w:val="nil"/>
            </w:tcBorders>
          </w:tcPr>
          <w:p w14:paraId="35D33DA2" w14:textId="77777777" w:rsidR="00AD6087" w:rsidRPr="006435A5" w:rsidRDefault="00AD6087" w:rsidP="00A42F0D">
            <w:pPr>
              <w:spacing w:line="276" w:lineRule="auto"/>
              <w:ind w:firstLine="6"/>
              <w:jc w:val="left"/>
            </w:pPr>
            <w:r w:rsidRPr="006435A5">
              <w:t xml:space="preserve"> SDR </w:t>
            </w:r>
          </w:p>
        </w:tc>
        <w:tc>
          <w:tcPr>
            <w:tcW w:w="1526" w:type="dxa"/>
            <w:tcBorders>
              <w:left w:val="nil"/>
              <w:right w:val="double" w:sz="4" w:space="0" w:color="auto"/>
            </w:tcBorders>
            <w:vAlign w:val="center"/>
          </w:tcPr>
          <w:p w14:paraId="03F04C64" w14:textId="77777777" w:rsidR="00AD6087" w:rsidRPr="006435A5" w:rsidRDefault="00AD6087" w:rsidP="00A42F0D">
            <w:pPr>
              <w:spacing w:line="276" w:lineRule="auto"/>
              <w:ind w:firstLine="6"/>
              <w:jc w:val="center"/>
            </w:pPr>
            <w:r w:rsidRPr="006435A5">
              <w:t>34.4</w:t>
            </w:r>
          </w:p>
        </w:tc>
        <w:tc>
          <w:tcPr>
            <w:tcW w:w="1286" w:type="dxa"/>
            <w:tcBorders>
              <w:left w:val="double" w:sz="4" w:space="0" w:color="auto"/>
              <w:right w:val="nil"/>
            </w:tcBorders>
            <w:vAlign w:val="center"/>
          </w:tcPr>
          <w:p w14:paraId="34AF5851" w14:textId="77777777" w:rsidR="00AD6087" w:rsidRPr="006435A5" w:rsidRDefault="00AD6087" w:rsidP="00A42F0D">
            <w:pPr>
              <w:spacing w:line="276" w:lineRule="auto"/>
              <w:ind w:firstLine="6"/>
              <w:jc w:val="center"/>
            </w:pPr>
            <w:r w:rsidRPr="006435A5">
              <w:t>13.0</w:t>
            </w:r>
          </w:p>
        </w:tc>
        <w:tc>
          <w:tcPr>
            <w:tcW w:w="1080" w:type="dxa"/>
            <w:tcBorders>
              <w:left w:val="nil"/>
              <w:right w:val="nil"/>
            </w:tcBorders>
            <w:vAlign w:val="center"/>
          </w:tcPr>
          <w:p w14:paraId="45DBF9E9" w14:textId="77777777" w:rsidR="00AD6087" w:rsidRPr="006435A5" w:rsidRDefault="00AD6087" w:rsidP="00A42F0D">
            <w:pPr>
              <w:spacing w:line="276" w:lineRule="auto"/>
              <w:ind w:firstLine="6"/>
              <w:jc w:val="center"/>
            </w:pPr>
            <w:r w:rsidRPr="006435A5">
              <w:t>14.0</w:t>
            </w:r>
          </w:p>
        </w:tc>
        <w:tc>
          <w:tcPr>
            <w:tcW w:w="1080" w:type="dxa"/>
            <w:tcBorders>
              <w:left w:val="nil"/>
              <w:right w:val="nil"/>
            </w:tcBorders>
            <w:vAlign w:val="center"/>
          </w:tcPr>
          <w:p w14:paraId="230F3B5C" w14:textId="77777777" w:rsidR="00AD6087" w:rsidRPr="006435A5" w:rsidRDefault="00AD6087" w:rsidP="00A42F0D">
            <w:pPr>
              <w:spacing w:line="276" w:lineRule="auto"/>
              <w:ind w:firstLine="6"/>
              <w:jc w:val="center"/>
            </w:pPr>
            <w:r w:rsidRPr="006435A5">
              <w:t>15.0</w:t>
            </w:r>
          </w:p>
        </w:tc>
        <w:tc>
          <w:tcPr>
            <w:tcW w:w="1089" w:type="dxa"/>
            <w:tcBorders>
              <w:left w:val="nil"/>
              <w:right w:val="nil"/>
            </w:tcBorders>
            <w:vAlign w:val="center"/>
          </w:tcPr>
          <w:p w14:paraId="1A64F87D" w14:textId="77777777" w:rsidR="00AD6087" w:rsidRPr="006435A5" w:rsidRDefault="00AD6087" w:rsidP="00A42F0D">
            <w:pPr>
              <w:spacing w:line="276" w:lineRule="auto"/>
              <w:ind w:firstLine="6"/>
              <w:jc w:val="center"/>
            </w:pPr>
            <w:r w:rsidRPr="006435A5">
              <w:t>16.5</w:t>
            </w:r>
          </w:p>
        </w:tc>
      </w:tr>
      <w:tr w:rsidR="00AD6087" w:rsidRPr="006435A5" w14:paraId="0879FE1D" w14:textId="77777777" w:rsidTr="00A42F0D">
        <w:trPr>
          <w:jc w:val="center"/>
        </w:trPr>
        <w:tc>
          <w:tcPr>
            <w:tcW w:w="1260" w:type="dxa"/>
            <w:tcBorders>
              <w:left w:val="nil"/>
              <w:right w:val="nil"/>
            </w:tcBorders>
          </w:tcPr>
          <w:p w14:paraId="6E0A1017" w14:textId="77777777" w:rsidR="00AD6087" w:rsidRPr="006435A5" w:rsidRDefault="00AD6087" w:rsidP="00A42F0D">
            <w:pPr>
              <w:spacing w:line="276" w:lineRule="auto"/>
              <w:ind w:firstLine="6"/>
              <w:jc w:val="left"/>
            </w:pPr>
            <w:r w:rsidRPr="006435A5">
              <w:t xml:space="preserve"> EUR </w:t>
            </w:r>
          </w:p>
        </w:tc>
        <w:tc>
          <w:tcPr>
            <w:tcW w:w="1526" w:type="dxa"/>
            <w:tcBorders>
              <w:left w:val="nil"/>
              <w:right w:val="double" w:sz="4" w:space="0" w:color="auto"/>
            </w:tcBorders>
            <w:vAlign w:val="center"/>
          </w:tcPr>
          <w:p w14:paraId="13182929" w14:textId="77777777" w:rsidR="00AD6087" w:rsidRPr="006435A5" w:rsidRDefault="00AD6087" w:rsidP="00A42F0D">
            <w:pPr>
              <w:spacing w:line="276" w:lineRule="auto"/>
              <w:ind w:firstLine="6"/>
              <w:jc w:val="center"/>
            </w:pPr>
            <w:r w:rsidRPr="006435A5">
              <w:t>18.0</w:t>
            </w:r>
          </w:p>
        </w:tc>
        <w:tc>
          <w:tcPr>
            <w:tcW w:w="1286" w:type="dxa"/>
            <w:tcBorders>
              <w:left w:val="double" w:sz="4" w:space="0" w:color="auto"/>
              <w:right w:val="nil"/>
            </w:tcBorders>
            <w:vAlign w:val="center"/>
          </w:tcPr>
          <w:p w14:paraId="20EFC577" w14:textId="77777777" w:rsidR="00AD6087" w:rsidRPr="006435A5" w:rsidRDefault="00AD6087" w:rsidP="00A42F0D">
            <w:pPr>
              <w:spacing w:line="276" w:lineRule="auto"/>
              <w:ind w:firstLine="6"/>
              <w:jc w:val="center"/>
            </w:pPr>
            <w:r w:rsidRPr="006435A5">
              <w:t>25.6</w:t>
            </w:r>
          </w:p>
        </w:tc>
        <w:tc>
          <w:tcPr>
            <w:tcW w:w="1080" w:type="dxa"/>
            <w:tcBorders>
              <w:left w:val="nil"/>
              <w:right w:val="nil"/>
            </w:tcBorders>
            <w:vAlign w:val="center"/>
          </w:tcPr>
          <w:p w14:paraId="29772938" w14:textId="77777777" w:rsidR="00AD6087" w:rsidRPr="006435A5" w:rsidRDefault="00AD6087" w:rsidP="00A42F0D">
            <w:pPr>
              <w:spacing w:line="276" w:lineRule="auto"/>
              <w:ind w:firstLine="6"/>
              <w:jc w:val="center"/>
            </w:pPr>
            <w:r w:rsidRPr="006435A5">
              <w:t>24.5</w:t>
            </w:r>
          </w:p>
        </w:tc>
        <w:tc>
          <w:tcPr>
            <w:tcW w:w="1080" w:type="dxa"/>
            <w:tcBorders>
              <w:left w:val="nil"/>
              <w:right w:val="nil"/>
            </w:tcBorders>
            <w:vAlign w:val="center"/>
          </w:tcPr>
          <w:p w14:paraId="5B750BA7" w14:textId="77777777" w:rsidR="00AD6087" w:rsidRPr="006435A5" w:rsidRDefault="00AD6087" w:rsidP="00A42F0D">
            <w:pPr>
              <w:spacing w:line="276" w:lineRule="auto"/>
              <w:ind w:firstLine="6"/>
              <w:jc w:val="center"/>
            </w:pPr>
            <w:r w:rsidRPr="006435A5">
              <w:t>22.5</w:t>
            </w:r>
          </w:p>
        </w:tc>
        <w:tc>
          <w:tcPr>
            <w:tcW w:w="1089" w:type="dxa"/>
            <w:tcBorders>
              <w:left w:val="nil"/>
              <w:right w:val="nil"/>
            </w:tcBorders>
            <w:vAlign w:val="center"/>
          </w:tcPr>
          <w:p w14:paraId="344CFC5B" w14:textId="77777777" w:rsidR="00AD6087" w:rsidRPr="006435A5" w:rsidRDefault="00AD6087" w:rsidP="00A42F0D">
            <w:pPr>
              <w:spacing w:line="276" w:lineRule="auto"/>
              <w:ind w:firstLine="6"/>
              <w:jc w:val="center"/>
            </w:pPr>
            <w:r w:rsidRPr="006435A5">
              <w:t>18.7</w:t>
            </w:r>
          </w:p>
        </w:tc>
      </w:tr>
      <w:tr w:rsidR="00AD6087" w:rsidRPr="006435A5" w14:paraId="44E09D59" w14:textId="77777777" w:rsidTr="00A42F0D">
        <w:trPr>
          <w:jc w:val="center"/>
        </w:trPr>
        <w:tc>
          <w:tcPr>
            <w:tcW w:w="1260" w:type="dxa"/>
            <w:tcBorders>
              <w:left w:val="nil"/>
              <w:right w:val="nil"/>
            </w:tcBorders>
          </w:tcPr>
          <w:p w14:paraId="4B1643D9" w14:textId="77777777" w:rsidR="00AD6087" w:rsidRPr="006435A5" w:rsidRDefault="00AD6087" w:rsidP="00A42F0D">
            <w:pPr>
              <w:spacing w:line="276" w:lineRule="auto"/>
              <w:ind w:firstLine="6"/>
              <w:jc w:val="left"/>
            </w:pPr>
            <w:r w:rsidRPr="006435A5">
              <w:t xml:space="preserve"> JPY </w:t>
            </w:r>
          </w:p>
        </w:tc>
        <w:tc>
          <w:tcPr>
            <w:tcW w:w="1526" w:type="dxa"/>
            <w:tcBorders>
              <w:left w:val="nil"/>
              <w:right w:val="double" w:sz="4" w:space="0" w:color="auto"/>
            </w:tcBorders>
            <w:vAlign w:val="center"/>
          </w:tcPr>
          <w:p w14:paraId="3035C735" w14:textId="77777777" w:rsidR="00AD6087" w:rsidRPr="006435A5" w:rsidRDefault="00AD6087" w:rsidP="00A42F0D">
            <w:pPr>
              <w:spacing w:line="276" w:lineRule="auto"/>
              <w:ind w:firstLine="6"/>
              <w:jc w:val="center"/>
            </w:pPr>
            <w:r w:rsidRPr="006435A5">
              <w:t>4.2</w:t>
            </w:r>
          </w:p>
        </w:tc>
        <w:tc>
          <w:tcPr>
            <w:tcW w:w="1286" w:type="dxa"/>
            <w:tcBorders>
              <w:left w:val="double" w:sz="4" w:space="0" w:color="auto"/>
              <w:right w:val="nil"/>
            </w:tcBorders>
            <w:vAlign w:val="center"/>
          </w:tcPr>
          <w:p w14:paraId="1A27FAE6" w14:textId="77777777" w:rsidR="00AD6087" w:rsidRPr="006435A5" w:rsidRDefault="00AD6087" w:rsidP="00A42F0D">
            <w:pPr>
              <w:spacing w:line="276" w:lineRule="auto"/>
              <w:ind w:firstLine="6"/>
              <w:jc w:val="center"/>
            </w:pPr>
            <w:r w:rsidRPr="006435A5">
              <w:t>3.2</w:t>
            </w:r>
          </w:p>
        </w:tc>
        <w:tc>
          <w:tcPr>
            <w:tcW w:w="1080" w:type="dxa"/>
            <w:tcBorders>
              <w:left w:val="nil"/>
              <w:right w:val="nil"/>
            </w:tcBorders>
            <w:vAlign w:val="center"/>
          </w:tcPr>
          <w:p w14:paraId="0AD0F757" w14:textId="77777777" w:rsidR="00AD6087" w:rsidRPr="006435A5" w:rsidRDefault="00AD6087" w:rsidP="00A42F0D">
            <w:pPr>
              <w:spacing w:line="276" w:lineRule="auto"/>
              <w:ind w:firstLine="6"/>
              <w:jc w:val="center"/>
            </w:pPr>
            <w:r w:rsidRPr="006435A5">
              <w:t>3.1</w:t>
            </w:r>
          </w:p>
        </w:tc>
        <w:tc>
          <w:tcPr>
            <w:tcW w:w="1080" w:type="dxa"/>
            <w:tcBorders>
              <w:left w:val="nil"/>
              <w:right w:val="nil"/>
            </w:tcBorders>
            <w:vAlign w:val="center"/>
          </w:tcPr>
          <w:p w14:paraId="0DAD7769" w14:textId="77777777" w:rsidR="00AD6087" w:rsidRPr="006435A5" w:rsidRDefault="00AD6087" w:rsidP="00A42F0D">
            <w:pPr>
              <w:spacing w:line="276" w:lineRule="auto"/>
              <w:ind w:firstLine="6"/>
              <w:jc w:val="center"/>
            </w:pPr>
            <w:r w:rsidRPr="006435A5">
              <w:t>3.0</w:t>
            </w:r>
          </w:p>
        </w:tc>
        <w:tc>
          <w:tcPr>
            <w:tcW w:w="1089" w:type="dxa"/>
            <w:tcBorders>
              <w:left w:val="nil"/>
              <w:right w:val="nil"/>
            </w:tcBorders>
            <w:vAlign w:val="center"/>
          </w:tcPr>
          <w:p w14:paraId="52CAB077" w14:textId="77777777" w:rsidR="00AD6087" w:rsidRPr="006435A5" w:rsidRDefault="00AD6087" w:rsidP="00A42F0D">
            <w:pPr>
              <w:spacing w:line="276" w:lineRule="auto"/>
              <w:ind w:firstLine="6"/>
              <w:jc w:val="center"/>
            </w:pPr>
            <w:r w:rsidRPr="006435A5">
              <w:t>2.8</w:t>
            </w:r>
          </w:p>
        </w:tc>
      </w:tr>
      <w:tr w:rsidR="00AD6087" w:rsidRPr="006435A5" w14:paraId="0B4CED64" w14:textId="77777777" w:rsidTr="00A42F0D">
        <w:trPr>
          <w:jc w:val="center"/>
        </w:trPr>
        <w:tc>
          <w:tcPr>
            <w:tcW w:w="1260" w:type="dxa"/>
            <w:tcBorders>
              <w:left w:val="nil"/>
              <w:right w:val="nil"/>
            </w:tcBorders>
          </w:tcPr>
          <w:p w14:paraId="78012A2F" w14:textId="77777777" w:rsidR="00AD6087" w:rsidRPr="006435A5" w:rsidRDefault="00AD6087" w:rsidP="00A42F0D">
            <w:pPr>
              <w:spacing w:line="276" w:lineRule="auto"/>
              <w:ind w:firstLine="6"/>
              <w:jc w:val="left"/>
            </w:pPr>
            <w:r w:rsidRPr="006435A5">
              <w:t>AED</w:t>
            </w:r>
          </w:p>
        </w:tc>
        <w:tc>
          <w:tcPr>
            <w:tcW w:w="1526" w:type="dxa"/>
            <w:tcBorders>
              <w:left w:val="nil"/>
              <w:right w:val="double" w:sz="4" w:space="0" w:color="auto"/>
            </w:tcBorders>
            <w:vAlign w:val="center"/>
          </w:tcPr>
          <w:p w14:paraId="5FBC3885" w14:textId="77777777" w:rsidR="00AD6087" w:rsidRPr="006435A5" w:rsidRDefault="00AD6087" w:rsidP="00A42F0D">
            <w:pPr>
              <w:spacing w:line="276" w:lineRule="auto"/>
              <w:ind w:firstLine="6"/>
              <w:jc w:val="center"/>
            </w:pPr>
            <w:r w:rsidRPr="006435A5">
              <w:t>0.1</w:t>
            </w:r>
          </w:p>
        </w:tc>
        <w:tc>
          <w:tcPr>
            <w:tcW w:w="1286" w:type="dxa"/>
            <w:tcBorders>
              <w:left w:val="double" w:sz="4" w:space="0" w:color="auto"/>
              <w:right w:val="nil"/>
            </w:tcBorders>
            <w:vAlign w:val="center"/>
          </w:tcPr>
          <w:p w14:paraId="52D13270" w14:textId="77777777" w:rsidR="00AD6087" w:rsidRPr="006435A5" w:rsidRDefault="00AD6087" w:rsidP="00A42F0D">
            <w:pPr>
              <w:spacing w:line="276" w:lineRule="auto"/>
              <w:ind w:firstLine="6"/>
              <w:jc w:val="center"/>
            </w:pPr>
            <w:r w:rsidRPr="006435A5">
              <w:t>0.1</w:t>
            </w:r>
          </w:p>
        </w:tc>
        <w:tc>
          <w:tcPr>
            <w:tcW w:w="1080" w:type="dxa"/>
            <w:tcBorders>
              <w:left w:val="nil"/>
              <w:right w:val="nil"/>
            </w:tcBorders>
            <w:vAlign w:val="center"/>
          </w:tcPr>
          <w:p w14:paraId="3E88D0A6" w14:textId="77777777" w:rsidR="00AD6087" w:rsidRPr="006435A5" w:rsidRDefault="00AD6087" w:rsidP="00A42F0D">
            <w:pPr>
              <w:spacing w:line="276" w:lineRule="auto"/>
              <w:ind w:firstLine="6"/>
              <w:jc w:val="center"/>
            </w:pPr>
            <w:r w:rsidRPr="006435A5">
              <w:t>0.0</w:t>
            </w:r>
          </w:p>
        </w:tc>
        <w:tc>
          <w:tcPr>
            <w:tcW w:w="1080" w:type="dxa"/>
            <w:tcBorders>
              <w:left w:val="nil"/>
              <w:right w:val="nil"/>
            </w:tcBorders>
            <w:vAlign w:val="center"/>
          </w:tcPr>
          <w:p w14:paraId="21B9419B" w14:textId="77777777" w:rsidR="00AD6087" w:rsidRPr="006435A5" w:rsidRDefault="00AD6087" w:rsidP="00A42F0D">
            <w:pPr>
              <w:spacing w:line="276" w:lineRule="auto"/>
              <w:ind w:firstLine="6"/>
              <w:jc w:val="center"/>
            </w:pPr>
            <w:r w:rsidRPr="006435A5">
              <w:t>0.0</w:t>
            </w:r>
          </w:p>
        </w:tc>
        <w:tc>
          <w:tcPr>
            <w:tcW w:w="1089" w:type="dxa"/>
            <w:tcBorders>
              <w:left w:val="nil"/>
              <w:right w:val="nil"/>
            </w:tcBorders>
            <w:vAlign w:val="center"/>
          </w:tcPr>
          <w:p w14:paraId="5B168DDB" w14:textId="77777777" w:rsidR="00AD6087" w:rsidRPr="006435A5" w:rsidRDefault="00AD6087" w:rsidP="00A42F0D">
            <w:pPr>
              <w:spacing w:line="276" w:lineRule="auto"/>
              <w:ind w:firstLine="6"/>
              <w:jc w:val="center"/>
            </w:pPr>
            <w:r w:rsidRPr="006435A5">
              <w:t>0.0</w:t>
            </w:r>
          </w:p>
        </w:tc>
      </w:tr>
      <w:tr w:rsidR="00AD6087" w:rsidRPr="006435A5" w14:paraId="3A13728C" w14:textId="77777777" w:rsidTr="00A42F0D">
        <w:trPr>
          <w:jc w:val="center"/>
        </w:trPr>
        <w:tc>
          <w:tcPr>
            <w:tcW w:w="1260" w:type="dxa"/>
            <w:tcBorders>
              <w:left w:val="nil"/>
              <w:bottom w:val="thickThinSmallGap" w:sz="24" w:space="0" w:color="auto"/>
              <w:right w:val="nil"/>
            </w:tcBorders>
          </w:tcPr>
          <w:p w14:paraId="213BDF36" w14:textId="77777777" w:rsidR="00AD6087" w:rsidRPr="006435A5" w:rsidRDefault="00AD6087" w:rsidP="00A42F0D">
            <w:pPr>
              <w:spacing w:line="276" w:lineRule="auto"/>
              <w:ind w:firstLine="6"/>
              <w:jc w:val="left"/>
            </w:pPr>
            <w:r w:rsidRPr="006435A5">
              <w:t>CNY</w:t>
            </w:r>
          </w:p>
        </w:tc>
        <w:tc>
          <w:tcPr>
            <w:tcW w:w="1526" w:type="dxa"/>
            <w:tcBorders>
              <w:left w:val="nil"/>
              <w:bottom w:val="thickThinSmallGap" w:sz="24" w:space="0" w:color="auto"/>
              <w:right w:val="double" w:sz="4" w:space="0" w:color="auto"/>
            </w:tcBorders>
            <w:vAlign w:val="center"/>
          </w:tcPr>
          <w:p w14:paraId="10EED1D8" w14:textId="77777777" w:rsidR="00AD6087" w:rsidRPr="006435A5" w:rsidRDefault="00AD6087" w:rsidP="00A42F0D">
            <w:pPr>
              <w:spacing w:line="276" w:lineRule="auto"/>
              <w:ind w:firstLine="6"/>
              <w:jc w:val="center"/>
            </w:pPr>
            <w:r w:rsidRPr="006435A5">
              <w:t>0.4</w:t>
            </w:r>
          </w:p>
        </w:tc>
        <w:tc>
          <w:tcPr>
            <w:tcW w:w="1286" w:type="dxa"/>
            <w:tcBorders>
              <w:left w:val="double" w:sz="4" w:space="0" w:color="auto"/>
              <w:bottom w:val="thickThinSmallGap" w:sz="24" w:space="0" w:color="auto"/>
              <w:right w:val="nil"/>
            </w:tcBorders>
            <w:vAlign w:val="center"/>
          </w:tcPr>
          <w:p w14:paraId="34F4F9ED" w14:textId="77777777" w:rsidR="00AD6087" w:rsidRPr="006435A5" w:rsidRDefault="00AD6087" w:rsidP="00A42F0D">
            <w:pPr>
              <w:spacing w:line="276" w:lineRule="auto"/>
              <w:ind w:firstLine="6"/>
              <w:jc w:val="center"/>
            </w:pPr>
            <w:r w:rsidRPr="006435A5">
              <w:t>0.3</w:t>
            </w:r>
          </w:p>
        </w:tc>
        <w:tc>
          <w:tcPr>
            <w:tcW w:w="1080" w:type="dxa"/>
            <w:tcBorders>
              <w:left w:val="nil"/>
              <w:bottom w:val="thickThinSmallGap" w:sz="24" w:space="0" w:color="auto"/>
              <w:right w:val="nil"/>
            </w:tcBorders>
            <w:vAlign w:val="center"/>
          </w:tcPr>
          <w:p w14:paraId="3524C440" w14:textId="77777777" w:rsidR="00AD6087" w:rsidRPr="006435A5" w:rsidRDefault="00AD6087" w:rsidP="00A42F0D">
            <w:pPr>
              <w:spacing w:line="276" w:lineRule="auto"/>
              <w:ind w:firstLine="6"/>
              <w:jc w:val="center"/>
            </w:pPr>
            <w:r w:rsidRPr="006435A5">
              <w:t>0.3</w:t>
            </w:r>
          </w:p>
        </w:tc>
        <w:tc>
          <w:tcPr>
            <w:tcW w:w="1080" w:type="dxa"/>
            <w:tcBorders>
              <w:left w:val="nil"/>
              <w:bottom w:val="thickThinSmallGap" w:sz="24" w:space="0" w:color="auto"/>
              <w:right w:val="nil"/>
            </w:tcBorders>
            <w:vAlign w:val="center"/>
          </w:tcPr>
          <w:p w14:paraId="5E89AC35" w14:textId="77777777" w:rsidR="00AD6087" w:rsidRPr="006435A5" w:rsidRDefault="00AD6087" w:rsidP="00A42F0D">
            <w:pPr>
              <w:spacing w:line="276" w:lineRule="auto"/>
              <w:ind w:firstLine="6"/>
              <w:jc w:val="center"/>
            </w:pPr>
            <w:r w:rsidRPr="006435A5">
              <w:t>0.3</w:t>
            </w:r>
          </w:p>
        </w:tc>
        <w:tc>
          <w:tcPr>
            <w:tcW w:w="1089" w:type="dxa"/>
            <w:tcBorders>
              <w:left w:val="nil"/>
              <w:bottom w:val="thickThinSmallGap" w:sz="24" w:space="0" w:color="auto"/>
              <w:right w:val="nil"/>
            </w:tcBorders>
            <w:vAlign w:val="center"/>
          </w:tcPr>
          <w:p w14:paraId="62A048BD" w14:textId="77777777" w:rsidR="00AD6087" w:rsidRPr="006435A5" w:rsidRDefault="00AD6087" w:rsidP="00A42F0D">
            <w:pPr>
              <w:spacing w:line="276" w:lineRule="auto"/>
              <w:ind w:firstLine="6"/>
              <w:jc w:val="center"/>
            </w:pPr>
            <w:r w:rsidRPr="006435A5">
              <w:t>0.3</w:t>
            </w:r>
          </w:p>
        </w:tc>
      </w:tr>
    </w:tbl>
    <w:p w14:paraId="171E3051" w14:textId="77777777" w:rsidR="00AD6087" w:rsidRPr="006435A5" w:rsidRDefault="00AD6087" w:rsidP="00AD6087">
      <w:pPr>
        <w:spacing w:line="276" w:lineRule="auto"/>
      </w:pPr>
    </w:p>
    <w:p w14:paraId="7C304387" w14:textId="77777777" w:rsidR="00AD6087" w:rsidRPr="006435A5" w:rsidRDefault="00AD6087" w:rsidP="00AD6087">
      <w:pPr>
        <w:spacing w:line="276" w:lineRule="auto"/>
      </w:pPr>
      <w:r w:rsidRPr="006435A5">
        <w:t xml:space="preserve">ՀՀ կառավարության արտարժութային պարտքի կառուցվածքում ծավալով երկրորդը SDR-ով արտահայտված պարտքն է: Եթե SDR-ը, որը կազմված է հինգ արժույթներից, տարանջատում ենք այդ արժույթների կշիռներին համապատասխան` USD – 41.73%, EUR – 30.93%, GBP – 8.09%, JPY – 8.33% և CNY – 10.92%, ապա ՀՀ կառավարության արտարժութային պարտքի կառուցվածքն ստանում է հետևյալ տեսքը` </w:t>
      </w:r>
    </w:p>
    <w:p w14:paraId="629B8368" w14:textId="77777777" w:rsidR="00AD6087" w:rsidRPr="006435A5" w:rsidRDefault="00AD6087" w:rsidP="00AD6087">
      <w:pPr>
        <w:pStyle w:val="aff1"/>
        <w:spacing w:line="276" w:lineRule="auto"/>
      </w:pPr>
      <w:r w:rsidRPr="006435A5">
        <w:rPr>
          <w:b/>
        </w:rPr>
        <w:t>Աղյուսակ</w:t>
      </w:r>
      <w:r w:rsidRPr="006435A5">
        <w:rPr>
          <w:rFonts w:cs="Times Armenian"/>
          <w:b/>
        </w:rPr>
        <w:t xml:space="preserve"> 9.</w:t>
      </w:r>
      <w:r w:rsidRPr="006435A5">
        <w:rPr>
          <w:rFonts w:cs="Times Armenian"/>
        </w:rPr>
        <w:t xml:space="preserve">     </w:t>
      </w:r>
      <w:r w:rsidRPr="006435A5">
        <w:t>ՀՀ</w:t>
      </w:r>
      <w:r w:rsidRPr="006435A5">
        <w:rPr>
          <w:rFonts w:cs="Times Armenian"/>
        </w:rPr>
        <w:t xml:space="preserve"> </w:t>
      </w:r>
      <w:r w:rsidRPr="006435A5">
        <w:t>կառավարության</w:t>
      </w:r>
      <w:r w:rsidRPr="006435A5">
        <w:rPr>
          <w:rFonts w:cs="Times Armenian"/>
        </w:rPr>
        <w:t xml:space="preserve"> </w:t>
      </w:r>
      <w:r w:rsidRPr="006435A5">
        <w:t>արտարժութային</w:t>
      </w:r>
      <w:r w:rsidRPr="006435A5">
        <w:rPr>
          <w:rFonts w:cs="Times Armenian"/>
        </w:rPr>
        <w:t xml:space="preserve"> </w:t>
      </w:r>
      <w:r w:rsidRPr="006435A5">
        <w:t>պարտքի</w:t>
      </w:r>
      <w:r w:rsidRPr="006435A5">
        <w:rPr>
          <w:rFonts w:cs="Times Armenian"/>
        </w:rPr>
        <w:t xml:space="preserve"> </w:t>
      </w:r>
      <w:r w:rsidRPr="006435A5">
        <w:t>կառուցվածքը</w:t>
      </w:r>
      <w:r w:rsidRPr="006435A5">
        <w:rPr>
          <w:rFonts w:cs="Times Armenian"/>
        </w:rPr>
        <w:t xml:space="preserve"> </w:t>
      </w:r>
      <w:r w:rsidRPr="006435A5">
        <w:t xml:space="preserve">2021-2024 թվականների տարեվերջի դրությամբ` SDR-ի տարանջատմամբ </w:t>
      </w:r>
      <w:r w:rsidRPr="006435A5">
        <w:rPr>
          <w:rFonts w:cs="Times Armenian"/>
        </w:rPr>
        <w:t>(տոկոս)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7"/>
        <w:gridCol w:w="1359"/>
        <w:gridCol w:w="1080"/>
        <w:gridCol w:w="1080"/>
        <w:gridCol w:w="1080"/>
        <w:gridCol w:w="1080"/>
      </w:tblGrid>
      <w:tr w:rsidR="00AD6087" w:rsidRPr="006435A5" w14:paraId="341D0709" w14:textId="77777777" w:rsidTr="00A42F0D">
        <w:trPr>
          <w:tblHeader/>
          <w:jc w:val="center"/>
        </w:trPr>
        <w:tc>
          <w:tcPr>
            <w:tcW w:w="1427" w:type="dxa"/>
            <w:tcBorders>
              <w:top w:val="thinThickThinSmallGap" w:sz="24" w:space="0" w:color="auto"/>
              <w:left w:val="nil"/>
              <w:bottom w:val="thinThickSmallGap" w:sz="24" w:space="0" w:color="auto"/>
              <w:right w:val="nil"/>
            </w:tcBorders>
            <w:shd w:val="clear" w:color="auto" w:fill="5B9BD5"/>
          </w:tcPr>
          <w:p w14:paraId="030D263E" w14:textId="77777777" w:rsidR="00AD6087" w:rsidRPr="006435A5" w:rsidRDefault="00AD6087" w:rsidP="00A42F0D">
            <w:pPr>
              <w:spacing w:line="276" w:lineRule="auto"/>
              <w:ind w:firstLine="39"/>
            </w:pPr>
          </w:p>
        </w:tc>
        <w:tc>
          <w:tcPr>
            <w:tcW w:w="1359" w:type="dxa"/>
            <w:tcBorders>
              <w:top w:val="thinThickThinSmallGap" w:sz="24" w:space="0" w:color="auto"/>
              <w:left w:val="nil"/>
              <w:bottom w:val="thinThickSmallGap" w:sz="24" w:space="0" w:color="auto"/>
              <w:right w:val="double" w:sz="4" w:space="0" w:color="auto"/>
            </w:tcBorders>
            <w:shd w:val="clear" w:color="auto" w:fill="5B9BD5"/>
            <w:vAlign w:val="center"/>
          </w:tcPr>
          <w:p w14:paraId="2A80DCDC" w14:textId="77777777" w:rsidR="00AD6087" w:rsidRPr="006435A5" w:rsidRDefault="00AD6087" w:rsidP="00A42F0D">
            <w:pPr>
              <w:spacing w:line="276" w:lineRule="auto"/>
              <w:ind w:firstLine="39"/>
              <w:jc w:val="center"/>
            </w:pPr>
            <w:r w:rsidRPr="006435A5">
              <w:t>2021 պետբյուջեի ծրագիր</w:t>
            </w:r>
          </w:p>
        </w:tc>
        <w:tc>
          <w:tcPr>
            <w:tcW w:w="1080" w:type="dxa"/>
            <w:tcBorders>
              <w:top w:val="thinThickThinSmallGap" w:sz="24" w:space="0" w:color="auto"/>
              <w:left w:val="double" w:sz="4" w:space="0" w:color="auto"/>
              <w:bottom w:val="thinThickSmallGap" w:sz="24" w:space="0" w:color="auto"/>
              <w:right w:val="nil"/>
            </w:tcBorders>
            <w:shd w:val="clear" w:color="auto" w:fill="5B9BD5"/>
            <w:vAlign w:val="center"/>
          </w:tcPr>
          <w:p w14:paraId="2CA5B094" w14:textId="77777777" w:rsidR="00AD6087" w:rsidRPr="006435A5" w:rsidRDefault="00AD6087" w:rsidP="00A42F0D">
            <w:pPr>
              <w:spacing w:line="276" w:lineRule="auto"/>
              <w:ind w:firstLine="39"/>
              <w:jc w:val="center"/>
            </w:pPr>
            <w:r w:rsidRPr="006435A5">
              <w:t>2021</w:t>
            </w:r>
          </w:p>
          <w:p w14:paraId="6B73E146" w14:textId="77777777" w:rsidR="00AD6087" w:rsidRPr="006435A5" w:rsidRDefault="00AD6087" w:rsidP="00A42F0D">
            <w:pPr>
              <w:spacing w:line="276" w:lineRule="auto"/>
              <w:ind w:firstLine="39"/>
              <w:jc w:val="center"/>
            </w:pPr>
            <w:r w:rsidRPr="006435A5">
              <w:t>կանխ.</w:t>
            </w:r>
          </w:p>
        </w:tc>
        <w:tc>
          <w:tcPr>
            <w:tcW w:w="1080" w:type="dxa"/>
            <w:tcBorders>
              <w:top w:val="thinThickThinSmallGap" w:sz="24" w:space="0" w:color="auto"/>
              <w:left w:val="nil"/>
              <w:bottom w:val="thinThickSmallGap" w:sz="24" w:space="0" w:color="auto"/>
              <w:right w:val="nil"/>
            </w:tcBorders>
            <w:shd w:val="clear" w:color="auto" w:fill="5B9BD5"/>
            <w:vAlign w:val="center"/>
          </w:tcPr>
          <w:p w14:paraId="57962D85" w14:textId="77777777" w:rsidR="00AD6087" w:rsidRPr="006435A5" w:rsidRDefault="00AD6087" w:rsidP="00A42F0D">
            <w:pPr>
              <w:spacing w:line="276" w:lineRule="auto"/>
              <w:ind w:firstLine="39"/>
              <w:jc w:val="center"/>
            </w:pPr>
            <w:r w:rsidRPr="006435A5">
              <w:t>2022</w:t>
            </w:r>
          </w:p>
          <w:p w14:paraId="375D2128" w14:textId="77777777" w:rsidR="00AD6087" w:rsidRPr="006435A5" w:rsidRDefault="00AD6087" w:rsidP="00A42F0D">
            <w:pPr>
              <w:spacing w:line="276" w:lineRule="auto"/>
              <w:ind w:firstLine="39"/>
              <w:jc w:val="center"/>
            </w:pPr>
            <w:r w:rsidRPr="006435A5">
              <w:t>կանխ.</w:t>
            </w:r>
          </w:p>
        </w:tc>
        <w:tc>
          <w:tcPr>
            <w:tcW w:w="1080" w:type="dxa"/>
            <w:tcBorders>
              <w:top w:val="thinThickThinSmallGap" w:sz="24" w:space="0" w:color="auto"/>
              <w:left w:val="nil"/>
              <w:bottom w:val="thinThickSmallGap" w:sz="24" w:space="0" w:color="auto"/>
              <w:right w:val="nil"/>
            </w:tcBorders>
            <w:shd w:val="clear" w:color="auto" w:fill="5B9BD5"/>
            <w:vAlign w:val="center"/>
          </w:tcPr>
          <w:p w14:paraId="0ACDCD35" w14:textId="77777777" w:rsidR="00AD6087" w:rsidRPr="006435A5" w:rsidRDefault="00AD6087" w:rsidP="00A42F0D">
            <w:pPr>
              <w:spacing w:line="276" w:lineRule="auto"/>
              <w:ind w:firstLine="39"/>
              <w:jc w:val="center"/>
            </w:pPr>
            <w:r w:rsidRPr="006435A5">
              <w:t>2023</w:t>
            </w:r>
          </w:p>
          <w:p w14:paraId="14461D48" w14:textId="77777777" w:rsidR="00AD6087" w:rsidRPr="006435A5" w:rsidRDefault="00AD6087" w:rsidP="00A42F0D">
            <w:pPr>
              <w:spacing w:line="276" w:lineRule="auto"/>
              <w:ind w:firstLine="39"/>
              <w:jc w:val="center"/>
            </w:pPr>
            <w:r w:rsidRPr="006435A5">
              <w:t>կանխ.</w:t>
            </w:r>
          </w:p>
        </w:tc>
        <w:tc>
          <w:tcPr>
            <w:tcW w:w="1080" w:type="dxa"/>
            <w:tcBorders>
              <w:top w:val="thinThickThinSmallGap" w:sz="24" w:space="0" w:color="auto"/>
              <w:left w:val="nil"/>
              <w:bottom w:val="thinThickSmallGap" w:sz="24" w:space="0" w:color="auto"/>
              <w:right w:val="nil"/>
            </w:tcBorders>
            <w:shd w:val="clear" w:color="auto" w:fill="5B9BD5"/>
            <w:vAlign w:val="center"/>
          </w:tcPr>
          <w:p w14:paraId="60DE2161" w14:textId="77777777" w:rsidR="00AD6087" w:rsidRPr="006435A5" w:rsidRDefault="00AD6087" w:rsidP="00A42F0D">
            <w:pPr>
              <w:spacing w:line="276" w:lineRule="auto"/>
              <w:ind w:firstLine="39"/>
              <w:jc w:val="center"/>
            </w:pPr>
            <w:r w:rsidRPr="006435A5">
              <w:t>2024</w:t>
            </w:r>
          </w:p>
          <w:p w14:paraId="44B3785B" w14:textId="77777777" w:rsidR="00AD6087" w:rsidRPr="006435A5" w:rsidRDefault="00AD6087" w:rsidP="00A42F0D">
            <w:pPr>
              <w:spacing w:line="276" w:lineRule="auto"/>
              <w:ind w:firstLine="39"/>
              <w:jc w:val="center"/>
            </w:pPr>
            <w:r w:rsidRPr="006435A5">
              <w:t>կանխ.</w:t>
            </w:r>
          </w:p>
        </w:tc>
      </w:tr>
      <w:tr w:rsidR="00AD6087" w:rsidRPr="006435A5" w14:paraId="2471E780" w14:textId="77777777" w:rsidTr="00A42F0D">
        <w:trPr>
          <w:jc w:val="center"/>
        </w:trPr>
        <w:tc>
          <w:tcPr>
            <w:tcW w:w="1427" w:type="dxa"/>
            <w:tcBorders>
              <w:top w:val="thinThickSmallGap" w:sz="24" w:space="0" w:color="auto"/>
              <w:left w:val="nil"/>
              <w:right w:val="nil"/>
            </w:tcBorders>
            <w:vAlign w:val="center"/>
          </w:tcPr>
          <w:p w14:paraId="58A3C527" w14:textId="77777777" w:rsidR="00AD6087" w:rsidRPr="006435A5" w:rsidRDefault="00AD6087" w:rsidP="00A42F0D">
            <w:pPr>
              <w:spacing w:line="276" w:lineRule="auto"/>
              <w:ind w:firstLine="39"/>
            </w:pPr>
            <w:r w:rsidRPr="006435A5">
              <w:t>USD</w:t>
            </w:r>
          </w:p>
        </w:tc>
        <w:tc>
          <w:tcPr>
            <w:tcW w:w="1359" w:type="dxa"/>
            <w:tcBorders>
              <w:top w:val="thinThickSmallGap" w:sz="24" w:space="0" w:color="auto"/>
              <w:left w:val="nil"/>
              <w:right w:val="double" w:sz="4" w:space="0" w:color="auto"/>
            </w:tcBorders>
            <w:vAlign w:val="center"/>
          </w:tcPr>
          <w:p w14:paraId="1DCF3DB1" w14:textId="77777777" w:rsidR="00AD6087" w:rsidRPr="006435A5" w:rsidRDefault="00AD6087" w:rsidP="00A42F0D">
            <w:pPr>
              <w:spacing w:line="276" w:lineRule="auto"/>
              <w:ind w:firstLine="39"/>
              <w:jc w:val="center"/>
            </w:pPr>
            <w:r w:rsidRPr="006435A5">
              <w:t>57.3</w:t>
            </w:r>
          </w:p>
        </w:tc>
        <w:tc>
          <w:tcPr>
            <w:tcW w:w="1080" w:type="dxa"/>
            <w:tcBorders>
              <w:top w:val="thinThickSmallGap" w:sz="24" w:space="0" w:color="auto"/>
              <w:left w:val="double" w:sz="4" w:space="0" w:color="auto"/>
              <w:right w:val="nil"/>
            </w:tcBorders>
            <w:vAlign w:val="center"/>
          </w:tcPr>
          <w:p w14:paraId="327E5E95" w14:textId="77777777" w:rsidR="00AD6087" w:rsidRPr="006435A5" w:rsidRDefault="00AD6087" w:rsidP="00A42F0D">
            <w:pPr>
              <w:spacing w:line="276" w:lineRule="auto"/>
              <w:ind w:firstLine="39"/>
              <w:jc w:val="center"/>
            </w:pPr>
            <w:r w:rsidRPr="006435A5">
              <w:t>63.2</w:t>
            </w:r>
          </w:p>
        </w:tc>
        <w:tc>
          <w:tcPr>
            <w:tcW w:w="1080" w:type="dxa"/>
            <w:tcBorders>
              <w:top w:val="thinThickSmallGap" w:sz="24" w:space="0" w:color="auto"/>
              <w:left w:val="nil"/>
              <w:right w:val="nil"/>
            </w:tcBorders>
            <w:vAlign w:val="center"/>
          </w:tcPr>
          <w:p w14:paraId="34FF4535" w14:textId="77777777" w:rsidR="00AD6087" w:rsidRPr="006435A5" w:rsidRDefault="00AD6087" w:rsidP="00A42F0D">
            <w:pPr>
              <w:spacing w:line="276" w:lineRule="auto"/>
              <w:ind w:firstLine="39"/>
              <w:jc w:val="center"/>
            </w:pPr>
            <w:r w:rsidRPr="006435A5">
              <w:t>63.8</w:t>
            </w:r>
          </w:p>
        </w:tc>
        <w:tc>
          <w:tcPr>
            <w:tcW w:w="1080" w:type="dxa"/>
            <w:tcBorders>
              <w:top w:val="thinThickSmallGap" w:sz="24" w:space="0" w:color="auto"/>
              <w:left w:val="nil"/>
              <w:right w:val="nil"/>
            </w:tcBorders>
            <w:vAlign w:val="center"/>
          </w:tcPr>
          <w:p w14:paraId="400EDC3E" w14:textId="77777777" w:rsidR="00AD6087" w:rsidRPr="006435A5" w:rsidRDefault="00AD6087" w:rsidP="00A42F0D">
            <w:pPr>
              <w:spacing w:line="276" w:lineRule="auto"/>
              <w:ind w:firstLine="39"/>
              <w:jc w:val="center"/>
            </w:pPr>
            <w:r w:rsidRPr="006435A5">
              <w:t>65.4</w:t>
            </w:r>
          </w:p>
        </w:tc>
        <w:tc>
          <w:tcPr>
            <w:tcW w:w="1080" w:type="dxa"/>
            <w:tcBorders>
              <w:top w:val="thinThickSmallGap" w:sz="24" w:space="0" w:color="auto"/>
              <w:left w:val="nil"/>
              <w:right w:val="nil"/>
            </w:tcBorders>
            <w:vAlign w:val="center"/>
          </w:tcPr>
          <w:p w14:paraId="15241623" w14:textId="77777777" w:rsidR="00AD6087" w:rsidRPr="006435A5" w:rsidRDefault="00AD6087" w:rsidP="00A42F0D">
            <w:pPr>
              <w:spacing w:line="276" w:lineRule="auto"/>
              <w:ind w:firstLine="39"/>
              <w:jc w:val="center"/>
            </w:pPr>
            <w:r w:rsidRPr="006435A5">
              <w:t>68.6</w:t>
            </w:r>
          </w:p>
        </w:tc>
      </w:tr>
      <w:tr w:rsidR="00AD6087" w:rsidRPr="006435A5" w14:paraId="6ED36516" w14:textId="77777777" w:rsidTr="00A42F0D">
        <w:trPr>
          <w:jc w:val="center"/>
        </w:trPr>
        <w:tc>
          <w:tcPr>
            <w:tcW w:w="1427" w:type="dxa"/>
            <w:tcBorders>
              <w:left w:val="nil"/>
              <w:right w:val="nil"/>
            </w:tcBorders>
            <w:vAlign w:val="center"/>
          </w:tcPr>
          <w:p w14:paraId="40CAE87A" w14:textId="77777777" w:rsidR="00AD6087" w:rsidRPr="006435A5" w:rsidRDefault="00AD6087" w:rsidP="00A42F0D">
            <w:pPr>
              <w:spacing w:line="276" w:lineRule="auto"/>
              <w:ind w:firstLine="39"/>
            </w:pPr>
            <w:r w:rsidRPr="006435A5">
              <w:t>EUR</w:t>
            </w:r>
          </w:p>
        </w:tc>
        <w:tc>
          <w:tcPr>
            <w:tcW w:w="1359" w:type="dxa"/>
            <w:tcBorders>
              <w:left w:val="nil"/>
              <w:right w:val="double" w:sz="4" w:space="0" w:color="auto"/>
            </w:tcBorders>
            <w:vAlign w:val="center"/>
          </w:tcPr>
          <w:p w14:paraId="43455508" w14:textId="77777777" w:rsidR="00AD6087" w:rsidRPr="006435A5" w:rsidRDefault="00AD6087" w:rsidP="00A42F0D">
            <w:pPr>
              <w:spacing w:line="276" w:lineRule="auto"/>
              <w:ind w:firstLine="39"/>
              <w:jc w:val="center"/>
            </w:pPr>
            <w:r w:rsidRPr="006435A5">
              <w:t>28.6</w:t>
            </w:r>
          </w:p>
        </w:tc>
        <w:tc>
          <w:tcPr>
            <w:tcW w:w="1080" w:type="dxa"/>
            <w:tcBorders>
              <w:left w:val="double" w:sz="4" w:space="0" w:color="auto"/>
              <w:right w:val="nil"/>
            </w:tcBorders>
            <w:vAlign w:val="center"/>
          </w:tcPr>
          <w:p w14:paraId="55DBDD09" w14:textId="77777777" w:rsidR="00AD6087" w:rsidRPr="006435A5" w:rsidRDefault="00AD6087" w:rsidP="00A42F0D">
            <w:pPr>
              <w:spacing w:line="276" w:lineRule="auto"/>
              <w:ind w:firstLine="39"/>
              <w:jc w:val="center"/>
            </w:pPr>
            <w:r w:rsidRPr="006435A5">
              <w:t>29.7</w:t>
            </w:r>
          </w:p>
        </w:tc>
        <w:tc>
          <w:tcPr>
            <w:tcW w:w="1080" w:type="dxa"/>
            <w:tcBorders>
              <w:left w:val="nil"/>
              <w:right w:val="nil"/>
            </w:tcBorders>
            <w:vAlign w:val="center"/>
          </w:tcPr>
          <w:p w14:paraId="6EBB86E5" w14:textId="77777777" w:rsidR="00AD6087" w:rsidRPr="006435A5" w:rsidRDefault="00AD6087" w:rsidP="00A42F0D">
            <w:pPr>
              <w:spacing w:line="276" w:lineRule="auto"/>
              <w:ind w:firstLine="39"/>
              <w:jc w:val="center"/>
            </w:pPr>
            <w:r w:rsidRPr="006435A5">
              <w:t>28.9</w:t>
            </w:r>
          </w:p>
        </w:tc>
        <w:tc>
          <w:tcPr>
            <w:tcW w:w="1080" w:type="dxa"/>
            <w:tcBorders>
              <w:left w:val="nil"/>
              <w:right w:val="nil"/>
            </w:tcBorders>
            <w:vAlign w:val="center"/>
          </w:tcPr>
          <w:p w14:paraId="2B32FD39" w14:textId="77777777" w:rsidR="00AD6087" w:rsidRPr="006435A5" w:rsidRDefault="00AD6087" w:rsidP="00A42F0D">
            <w:pPr>
              <w:spacing w:line="276" w:lineRule="auto"/>
              <w:ind w:firstLine="39"/>
              <w:jc w:val="center"/>
            </w:pPr>
            <w:r w:rsidRPr="006435A5">
              <w:t>27.2</w:t>
            </w:r>
          </w:p>
        </w:tc>
        <w:tc>
          <w:tcPr>
            <w:tcW w:w="1080" w:type="dxa"/>
            <w:tcBorders>
              <w:left w:val="nil"/>
              <w:right w:val="nil"/>
            </w:tcBorders>
            <w:vAlign w:val="center"/>
          </w:tcPr>
          <w:p w14:paraId="5E293B43" w14:textId="77777777" w:rsidR="00AD6087" w:rsidRPr="006435A5" w:rsidRDefault="00AD6087" w:rsidP="00A42F0D">
            <w:pPr>
              <w:spacing w:line="276" w:lineRule="auto"/>
              <w:ind w:firstLine="39"/>
              <w:jc w:val="center"/>
            </w:pPr>
            <w:r w:rsidRPr="006435A5">
              <w:t>23.8</w:t>
            </w:r>
          </w:p>
        </w:tc>
      </w:tr>
      <w:tr w:rsidR="00AD6087" w:rsidRPr="006435A5" w14:paraId="78F9E5C7" w14:textId="77777777" w:rsidTr="00A42F0D">
        <w:trPr>
          <w:jc w:val="center"/>
        </w:trPr>
        <w:tc>
          <w:tcPr>
            <w:tcW w:w="1427" w:type="dxa"/>
            <w:tcBorders>
              <w:left w:val="nil"/>
              <w:right w:val="nil"/>
            </w:tcBorders>
            <w:vAlign w:val="center"/>
          </w:tcPr>
          <w:p w14:paraId="3ED9DE79" w14:textId="77777777" w:rsidR="00AD6087" w:rsidRPr="006435A5" w:rsidRDefault="00AD6087" w:rsidP="00A42F0D">
            <w:pPr>
              <w:spacing w:line="276" w:lineRule="auto"/>
              <w:ind w:firstLine="39"/>
            </w:pPr>
            <w:r w:rsidRPr="006435A5">
              <w:t>GBP</w:t>
            </w:r>
          </w:p>
        </w:tc>
        <w:tc>
          <w:tcPr>
            <w:tcW w:w="1359" w:type="dxa"/>
            <w:tcBorders>
              <w:left w:val="nil"/>
              <w:right w:val="double" w:sz="4" w:space="0" w:color="auto"/>
            </w:tcBorders>
            <w:vAlign w:val="center"/>
          </w:tcPr>
          <w:p w14:paraId="4738ADEF" w14:textId="77777777" w:rsidR="00AD6087" w:rsidRPr="006435A5" w:rsidRDefault="00AD6087" w:rsidP="00A42F0D">
            <w:pPr>
              <w:spacing w:line="276" w:lineRule="auto"/>
              <w:ind w:firstLine="39"/>
              <w:jc w:val="center"/>
            </w:pPr>
            <w:r w:rsidRPr="006435A5">
              <w:t>2.8</w:t>
            </w:r>
          </w:p>
        </w:tc>
        <w:tc>
          <w:tcPr>
            <w:tcW w:w="1080" w:type="dxa"/>
            <w:tcBorders>
              <w:left w:val="double" w:sz="4" w:space="0" w:color="auto"/>
              <w:right w:val="nil"/>
            </w:tcBorders>
            <w:vAlign w:val="center"/>
          </w:tcPr>
          <w:p w14:paraId="64758BD4" w14:textId="77777777" w:rsidR="00AD6087" w:rsidRPr="006435A5" w:rsidRDefault="00AD6087" w:rsidP="00A42F0D">
            <w:pPr>
              <w:spacing w:line="276" w:lineRule="auto"/>
              <w:ind w:firstLine="39"/>
              <w:jc w:val="center"/>
            </w:pPr>
            <w:r w:rsidRPr="006435A5">
              <w:t>1.1</w:t>
            </w:r>
          </w:p>
        </w:tc>
        <w:tc>
          <w:tcPr>
            <w:tcW w:w="1080" w:type="dxa"/>
            <w:tcBorders>
              <w:left w:val="nil"/>
              <w:right w:val="nil"/>
            </w:tcBorders>
            <w:vAlign w:val="center"/>
          </w:tcPr>
          <w:p w14:paraId="0C823456" w14:textId="77777777" w:rsidR="00AD6087" w:rsidRPr="006435A5" w:rsidRDefault="00AD6087" w:rsidP="00A42F0D">
            <w:pPr>
              <w:spacing w:line="276" w:lineRule="auto"/>
              <w:ind w:firstLine="39"/>
              <w:jc w:val="center"/>
            </w:pPr>
            <w:r w:rsidRPr="006435A5">
              <w:t>1.1</w:t>
            </w:r>
          </w:p>
        </w:tc>
        <w:tc>
          <w:tcPr>
            <w:tcW w:w="1080" w:type="dxa"/>
            <w:tcBorders>
              <w:left w:val="nil"/>
              <w:right w:val="nil"/>
            </w:tcBorders>
            <w:vAlign w:val="center"/>
          </w:tcPr>
          <w:p w14:paraId="7A1E856E" w14:textId="77777777" w:rsidR="00AD6087" w:rsidRPr="006435A5" w:rsidRDefault="00AD6087" w:rsidP="00A42F0D">
            <w:pPr>
              <w:spacing w:line="276" w:lineRule="auto"/>
              <w:ind w:firstLine="39"/>
              <w:jc w:val="center"/>
            </w:pPr>
            <w:r w:rsidRPr="006435A5">
              <w:t>1.2</w:t>
            </w:r>
          </w:p>
        </w:tc>
        <w:tc>
          <w:tcPr>
            <w:tcW w:w="1080" w:type="dxa"/>
            <w:tcBorders>
              <w:left w:val="nil"/>
              <w:right w:val="nil"/>
            </w:tcBorders>
            <w:vAlign w:val="center"/>
          </w:tcPr>
          <w:p w14:paraId="7FF1C405" w14:textId="77777777" w:rsidR="00AD6087" w:rsidRPr="006435A5" w:rsidRDefault="00AD6087" w:rsidP="00A42F0D">
            <w:pPr>
              <w:spacing w:line="276" w:lineRule="auto"/>
              <w:ind w:firstLine="39"/>
              <w:jc w:val="center"/>
            </w:pPr>
            <w:r w:rsidRPr="006435A5">
              <w:t>1.3</w:t>
            </w:r>
          </w:p>
        </w:tc>
      </w:tr>
      <w:tr w:rsidR="00AD6087" w:rsidRPr="006435A5" w14:paraId="461D283B" w14:textId="77777777" w:rsidTr="00A42F0D">
        <w:trPr>
          <w:jc w:val="center"/>
        </w:trPr>
        <w:tc>
          <w:tcPr>
            <w:tcW w:w="1427" w:type="dxa"/>
            <w:tcBorders>
              <w:left w:val="nil"/>
              <w:right w:val="nil"/>
            </w:tcBorders>
            <w:vAlign w:val="center"/>
          </w:tcPr>
          <w:p w14:paraId="25F10E23" w14:textId="77777777" w:rsidR="00AD6087" w:rsidRPr="006435A5" w:rsidRDefault="00AD6087" w:rsidP="00A42F0D">
            <w:pPr>
              <w:spacing w:line="276" w:lineRule="auto"/>
              <w:ind w:firstLine="39"/>
            </w:pPr>
            <w:r w:rsidRPr="006435A5">
              <w:t>JPY</w:t>
            </w:r>
          </w:p>
        </w:tc>
        <w:tc>
          <w:tcPr>
            <w:tcW w:w="1359" w:type="dxa"/>
            <w:tcBorders>
              <w:left w:val="nil"/>
              <w:right w:val="double" w:sz="4" w:space="0" w:color="auto"/>
            </w:tcBorders>
            <w:vAlign w:val="center"/>
          </w:tcPr>
          <w:p w14:paraId="2BB81E85" w14:textId="77777777" w:rsidR="00AD6087" w:rsidRPr="006435A5" w:rsidRDefault="00AD6087" w:rsidP="00A42F0D">
            <w:pPr>
              <w:spacing w:line="276" w:lineRule="auto"/>
              <w:ind w:firstLine="39"/>
              <w:jc w:val="center"/>
            </w:pPr>
            <w:r w:rsidRPr="006435A5">
              <w:t>7.0</w:t>
            </w:r>
          </w:p>
        </w:tc>
        <w:tc>
          <w:tcPr>
            <w:tcW w:w="1080" w:type="dxa"/>
            <w:tcBorders>
              <w:left w:val="double" w:sz="4" w:space="0" w:color="auto"/>
              <w:right w:val="nil"/>
            </w:tcBorders>
            <w:vAlign w:val="center"/>
          </w:tcPr>
          <w:p w14:paraId="5177AAEF" w14:textId="77777777" w:rsidR="00AD6087" w:rsidRPr="006435A5" w:rsidRDefault="00AD6087" w:rsidP="00A42F0D">
            <w:pPr>
              <w:spacing w:line="276" w:lineRule="auto"/>
              <w:ind w:firstLine="39"/>
              <w:jc w:val="center"/>
            </w:pPr>
            <w:r w:rsidRPr="006435A5">
              <w:t>4.3</w:t>
            </w:r>
          </w:p>
        </w:tc>
        <w:tc>
          <w:tcPr>
            <w:tcW w:w="1080" w:type="dxa"/>
            <w:tcBorders>
              <w:left w:val="nil"/>
              <w:right w:val="nil"/>
            </w:tcBorders>
            <w:vAlign w:val="center"/>
          </w:tcPr>
          <w:p w14:paraId="76E56BC3" w14:textId="77777777" w:rsidR="00AD6087" w:rsidRPr="006435A5" w:rsidRDefault="00AD6087" w:rsidP="00A42F0D">
            <w:pPr>
              <w:spacing w:line="276" w:lineRule="auto"/>
              <w:ind w:firstLine="39"/>
              <w:jc w:val="center"/>
            </w:pPr>
            <w:r w:rsidRPr="006435A5">
              <w:t>4.3</w:t>
            </w:r>
          </w:p>
        </w:tc>
        <w:tc>
          <w:tcPr>
            <w:tcW w:w="1080" w:type="dxa"/>
            <w:tcBorders>
              <w:left w:val="nil"/>
              <w:right w:val="nil"/>
            </w:tcBorders>
            <w:vAlign w:val="center"/>
          </w:tcPr>
          <w:p w14:paraId="5A6408FB" w14:textId="77777777" w:rsidR="00AD6087" w:rsidRPr="006435A5" w:rsidRDefault="00AD6087" w:rsidP="00A42F0D">
            <w:pPr>
              <w:spacing w:line="276" w:lineRule="auto"/>
              <w:ind w:firstLine="39"/>
              <w:jc w:val="center"/>
            </w:pPr>
            <w:r w:rsidRPr="006435A5">
              <w:t>4.2</w:t>
            </w:r>
          </w:p>
        </w:tc>
        <w:tc>
          <w:tcPr>
            <w:tcW w:w="1080" w:type="dxa"/>
            <w:tcBorders>
              <w:left w:val="nil"/>
              <w:right w:val="nil"/>
            </w:tcBorders>
            <w:vAlign w:val="center"/>
          </w:tcPr>
          <w:p w14:paraId="4AB969D0" w14:textId="77777777" w:rsidR="00AD6087" w:rsidRPr="006435A5" w:rsidRDefault="00AD6087" w:rsidP="00A42F0D">
            <w:pPr>
              <w:spacing w:line="276" w:lineRule="auto"/>
              <w:ind w:firstLine="39"/>
              <w:jc w:val="center"/>
            </w:pPr>
            <w:r w:rsidRPr="006435A5">
              <w:t>4.2</w:t>
            </w:r>
          </w:p>
        </w:tc>
      </w:tr>
      <w:tr w:rsidR="00AD6087" w:rsidRPr="006435A5" w14:paraId="4C23F12A" w14:textId="77777777" w:rsidTr="00A42F0D">
        <w:trPr>
          <w:jc w:val="center"/>
        </w:trPr>
        <w:tc>
          <w:tcPr>
            <w:tcW w:w="1427" w:type="dxa"/>
            <w:tcBorders>
              <w:left w:val="nil"/>
              <w:right w:val="nil"/>
            </w:tcBorders>
            <w:vAlign w:val="center"/>
          </w:tcPr>
          <w:p w14:paraId="679D26D7" w14:textId="77777777" w:rsidR="00AD6087" w:rsidRPr="006435A5" w:rsidRDefault="00AD6087" w:rsidP="00A42F0D">
            <w:pPr>
              <w:spacing w:line="276" w:lineRule="auto"/>
              <w:ind w:firstLine="39"/>
            </w:pPr>
            <w:r w:rsidRPr="006435A5">
              <w:t>AED</w:t>
            </w:r>
          </w:p>
        </w:tc>
        <w:tc>
          <w:tcPr>
            <w:tcW w:w="1359" w:type="dxa"/>
            <w:tcBorders>
              <w:left w:val="nil"/>
              <w:right w:val="double" w:sz="4" w:space="0" w:color="auto"/>
            </w:tcBorders>
            <w:vAlign w:val="center"/>
          </w:tcPr>
          <w:p w14:paraId="12E7E3EB" w14:textId="77777777" w:rsidR="00AD6087" w:rsidRPr="006435A5" w:rsidRDefault="00AD6087" w:rsidP="00A42F0D">
            <w:pPr>
              <w:spacing w:line="276" w:lineRule="auto"/>
              <w:ind w:firstLine="39"/>
              <w:jc w:val="center"/>
            </w:pPr>
            <w:r w:rsidRPr="006435A5">
              <w:t>0.1</w:t>
            </w:r>
          </w:p>
        </w:tc>
        <w:tc>
          <w:tcPr>
            <w:tcW w:w="1080" w:type="dxa"/>
            <w:tcBorders>
              <w:left w:val="double" w:sz="4" w:space="0" w:color="auto"/>
              <w:right w:val="nil"/>
            </w:tcBorders>
            <w:vAlign w:val="center"/>
          </w:tcPr>
          <w:p w14:paraId="651F71BB" w14:textId="77777777" w:rsidR="00AD6087" w:rsidRPr="006435A5" w:rsidRDefault="00AD6087" w:rsidP="00A42F0D">
            <w:pPr>
              <w:spacing w:line="276" w:lineRule="auto"/>
              <w:ind w:firstLine="39"/>
              <w:jc w:val="center"/>
            </w:pPr>
            <w:r w:rsidRPr="006435A5">
              <w:t>0.1</w:t>
            </w:r>
          </w:p>
        </w:tc>
        <w:tc>
          <w:tcPr>
            <w:tcW w:w="1080" w:type="dxa"/>
            <w:tcBorders>
              <w:left w:val="nil"/>
              <w:right w:val="nil"/>
            </w:tcBorders>
            <w:vAlign w:val="center"/>
          </w:tcPr>
          <w:p w14:paraId="025AF817" w14:textId="77777777" w:rsidR="00AD6087" w:rsidRPr="006435A5" w:rsidRDefault="00AD6087" w:rsidP="00A42F0D">
            <w:pPr>
              <w:spacing w:line="276" w:lineRule="auto"/>
              <w:ind w:firstLine="39"/>
              <w:jc w:val="center"/>
            </w:pPr>
            <w:r w:rsidRPr="006435A5">
              <w:t>0.0</w:t>
            </w:r>
          </w:p>
        </w:tc>
        <w:tc>
          <w:tcPr>
            <w:tcW w:w="1080" w:type="dxa"/>
            <w:tcBorders>
              <w:left w:val="nil"/>
              <w:right w:val="nil"/>
            </w:tcBorders>
            <w:vAlign w:val="center"/>
          </w:tcPr>
          <w:p w14:paraId="76EC4612" w14:textId="77777777" w:rsidR="00AD6087" w:rsidRPr="006435A5" w:rsidRDefault="00AD6087" w:rsidP="00A42F0D">
            <w:pPr>
              <w:spacing w:line="276" w:lineRule="auto"/>
              <w:ind w:firstLine="39"/>
              <w:jc w:val="center"/>
            </w:pPr>
            <w:r w:rsidRPr="006435A5">
              <w:t>0.0</w:t>
            </w:r>
          </w:p>
        </w:tc>
        <w:tc>
          <w:tcPr>
            <w:tcW w:w="1080" w:type="dxa"/>
            <w:tcBorders>
              <w:left w:val="nil"/>
              <w:right w:val="nil"/>
            </w:tcBorders>
            <w:vAlign w:val="center"/>
          </w:tcPr>
          <w:p w14:paraId="614917D3" w14:textId="77777777" w:rsidR="00AD6087" w:rsidRPr="006435A5" w:rsidRDefault="00AD6087" w:rsidP="00A42F0D">
            <w:pPr>
              <w:spacing w:line="276" w:lineRule="auto"/>
              <w:ind w:firstLine="39"/>
              <w:jc w:val="center"/>
            </w:pPr>
            <w:r w:rsidRPr="006435A5">
              <w:t>0.0</w:t>
            </w:r>
          </w:p>
        </w:tc>
      </w:tr>
      <w:tr w:rsidR="00AD6087" w:rsidRPr="006435A5" w14:paraId="3069A609" w14:textId="77777777" w:rsidTr="00A42F0D">
        <w:trPr>
          <w:jc w:val="center"/>
        </w:trPr>
        <w:tc>
          <w:tcPr>
            <w:tcW w:w="1427" w:type="dxa"/>
            <w:tcBorders>
              <w:left w:val="nil"/>
              <w:bottom w:val="thickThinSmallGap" w:sz="24" w:space="0" w:color="auto"/>
              <w:right w:val="nil"/>
            </w:tcBorders>
            <w:vAlign w:val="center"/>
          </w:tcPr>
          <w:p w14:paraId="19E7A73C" w14:textId="77777777" w:rsidR="00AD6087" w:rsidRPr="006435A5" w:rsidRDefault="00AD6087" w:rsidP="00A42F0D">
            <w:pPr>
              <w:spacing w:line="276" w:lineRule="auto"/>
              <w:ind w:firstLine="39"/>
            </w:pPr>
            <w:r w:rsidRPr="006435A5">
              <w:t>CNY</w:t>
            </w:r>
          </w:p>
        </w:tc>
        <w:tc>
          <w:tcPr>
            <w:tcW w:w="1359" w:type="dxa"/>
            <w:tcBorders>
              <w:left w:val="nil"/>
              <w:bottom w:val="thickThinSmallGap" w:sz="24" w:space="0" w:color="auto"/>
              <w:right w:val="double" w:sz="4" w:space="0" w:color="auto"/>
            </w:tcBorders>
            <w:vAlign w:val="center"/>
          </w:tcPr>
          <w:p w14:paraId="67076D81" w14:textId="77777777" w:rsidR="00AD6087" w:rsidRPr="006435A5" w:rsidRDefault="00AD6087" w:rsidP="00A42F0D">
            <w:pPr>
              <w:spacing w:line="276" w:lineRule="auto"/>
              <w:ind w:firstLine="39"/>
              <w:jc w:val="center"/>
            </w:pPr>
            <w:r w:rsidRPr="006435A5">
              <w:t>4.2</w:t>
            </w:r>
          </w:p>
        </w:tc>
        <w:tc>
          <w:tcPr>
            <w:tcW w:w="1080" w:type="dxa"/>
            <w:tcBorders>
              <w:left w:val="double" w:sz="4" w:space="0" w:color="auto"/>
              <w:bottom w:val="thickThinSmallGap" w:sz="24" w:space="0" w:color="auto"/>
              <w:right w:val="nil"/>
            </w:tcBorders>
            <w:vAlign w:val="center"/>
          </w:tcPr>
          <w:p w14:paraId="2300DD5C" w14:textId="77777777" w:rsidR="00AD6087" w:rsidRPr="006435A5" w:rsidRDefault="00AD6087" w:rsidP="00A42F0D">
            <w:pPr>
              <w:spacing w:line="276" w:lineRule="auto"/>
              <w:ind w:firstLine="39"/>
              <w:jc w:val="center"/>
            </w:pPr>
            <w:r w:rsidRPr="006435A5">
              <w:t>1.8</w:t>
            </w:r>
          </w:p>
        </w:tc>
        <w:tc>
          <w:tcPr>
            <w:tcW w:w="1080" w:type="dxa"/>
            <w:tcBorders>
              <w:left w:val="nil"/>
              <w:bottom w:val="thickThinSmallGap" w:sz="24" w:space="0" w:color="auto"/>
              <w:right w:val="nil"/>
            </w:tcBorders>
            <w:vAlign w:val="center"/>
          </w:tcPr>
          <w:p w14:paraId="7338D0AF" w14:textId="77777777" w:rsidR="00AD6087" w:rsidRPr="006435A5" w:rsidRDefault="00AD6087" w:rsidP="00A42F0D">
            <w:pPr>
              <w:spacing w:line="276" w:lineRule="auto"/>
              <w:ind w:firstLine="39"/>
              <w:jc w:val="center"/>
            </w:pPr>
            <w:r w:rsidRPr="006435A5">
              <w:t>1.9</w:t>
            </w:r>
          </w:p>
        </w:tc>
        <w:tc>
          <w:tcPr>
            <w:tcW w:w="1080" w:type="dxa"/>
            <w:tcBorders>
              <w:left w:val="nil"/>
              <w:bottom w:val="thickThinSmallGap" w:sz="24" w:space="0" w:color="auto"/>
              <w:right w:val="nil"/>
            </w:tcBorders>
            <w:vAlign w:val="center"/>
          </w:tcPr>
          <w:p w14:paraId="65AAC79A" w14:textId="77777777" w:rsidR="00AD6087" w:rsidRPr="006435A5" w:rsidRDefault="00AD6087" w:rsidP="00A42F0D">
            <w:pPr>
              <w:spacing w:line="276" w:lineRule="auto"/>
              <w:ind w:firstLine="39"/>
              <w:jc w:val="center"/>
            </w:pPr>
            <w:r w:rsidRPr="006435A5">
              <w:t>1.9</w:t>
            </w:r>
          </w:p>
        </w:tc>
        <w:tc>
          <w:tcPr>
            <w:tcW w:w="1080" w:type="dxa"/>
            <w:tcBorders>
              <w:left w:val="nil"/>
              <w:bottom w:val="thickThinSmallGap" w:sz="24" w:space="0" w:color="auto"/>
              <w:right w:val="nil"/>
            </w:tcBorders>
            <w:vAlign w:val="center"/>
          </w:tcPr>
          <w:p w14:paraId="63B84CDD" w14:textId="77777777" w:rsidR="00AD6087" w:rsidRPr="006435A5" w:rsidRDefault="00AD6087" w:rsidP="00A42F0D">
            <w:pPr>
              <w:spacing w:line="276" w:lineRule="auto"/>
              <w:ind w:firstLine="39"/>
              <w:jc w:val="center"/>
            </w:pPr>
            <w:r w:rsidRPr="006435A5">
              <w:t>2.1</w:t>
            </w:r>
          </w:p>
        </w:tc>
      </w:tr>
    </w:tbl>
    <w:p w14:paraId="60136263" w14:textId="77777777" w:rsidR="00AD6087" w:rsidRPr="006435A5" w:rsidRDefault="00AD6087" w:rsidP="00AD6087">
      <w:pPr>
        <w:spacing w:line="276" w:lineRule="auto"/>
      </w:pPr>
    </w:p>
    <w:p w14:paraId="62B255DE" w14:textId="77777777" w:rsidR="00AD6087" w:rsidRPr="006435A5" w:rsidRDefault="00AD6087" w:rsidP="00AD6087">
      <w:pPr>
        <w:spacing w:line="276" w:lineRule="auto"/>
      </w:pPr>
      <w:r w:rsidRPr="006435A5">
        <w:t>Փոխարժեքի ռիսկի նվազման և արդյունավետ կառավարման նպատակով նոր վարկերի պայմանները քննարկելիս, հնարավորության դեպքում, կնվազեցվի մեկ կամ մի քանի արժույթներից կախվածությունը: Միաժամանակ, փոխարժեքի շուկայի զարգացմանը զուգահեռ կօգտագործվեն հեջավորման տարբեր մոտեցումներ (օրինակ` արտարժութային սվոփներ):</w:t>
      </w:r>
    </w:p>
    <w:p w14:paraId="6E9500AF" w14:textId="77777777" w:rsidR="00AD6087" w:rsidRPr="006435A5" w:rsidRDefault="00AD6087" w:rsidP="00AD6087">
      <w:pPr>
        <w:spacing w:line="276" w:lineRule="auto"/>
      </w:pPr>
      <w:r w:rsidRPr="006435A5">
        <w:t>ՀՀ կառավարության արտարժութային պարտքի կառուցվածքում կանխատեսվող ժամանակահատվածի վերջում 2020 թվականին փաստացի ցուցանիշի նկատմամբ հիմնական արժույթներից SDR–ի և ճապոնական իենի կշիռները նվազում են համապատասխանաբար 14.1 և 1.2 տոկոսային կետով, իսկ ԱՄՆ դոլարի և եվրոյի նույն ցուցանիշներն աճում են համապատասխանաբար 11.0 և 4.4 տոկոսային կետով:</w:t>
      </w:r>
    </w:p>
    <w:p w14:paraId="65482E03" w14:textId="77777777" w:rsidR="00AD6087" w:rsidRPr="006435A5" w:rsidRDefault="00AD6087" w:rsidP="00AD6087">
      <w:pPr>
        <w:pStyle w:val="aff2"/>
        <w:spacing w:line="276" w:lineRule="auto"/>
        <w:rPr>
          <w:color w:val="FF0000"/>
          <w:sz w:val="22"/>
          <w:szCs w:val="22"/>
        </w:rPr>
      </w:pPr>
      <w:r w:rsidRPr="006435A5">
        <w:rPr>
          <w:sz w:val="22"/>
          <w:szCs w:val="22"/>
        </w:rPr>
        <w:t>Գծապատկեր 8.   ՀՀ կառավարության արտարժութային պարտքի առաջիկա տարվա մարումների և տոկոսավճարների կշիռը տվյալ տարվա վերջի դրությամբ արտարժութային արտաքին ակտիվներում 2021-2024 թվականներին</w:t>
      </w:r>
      <w:r w:rsidRPr="006435A5">
        <w:rPr>
          <w:color w:val="FF0000"/>
          <w:sz w:val="22"/>
          <w:szCs w:val="22"/>
        </w:rPr>
        <w:t xml:space="preserve"> </w:t>
      </w:r>
    </w:p>
    <w:p w14:paraId="1D1A0D6C" w14:textId="5BB3DB05" w:rsidR="00AD6087" w:rsidRPr="006435A5" w:rsidRDefault="00AD6087" w:rsidP="00AD6087">
      <w:pPr>
        <w:spacing w:line="276" w:lineRule="auto"/>
        <w:ind w:firstLine="0"/>
        <w:rPr>
          <w:rFonts w:cs="Sylfaen"/>
          <w:color w:val="FF0000"/>
        </w:rPr>
      </w:pPr>
      <w:r w:rsidRPr="006435A5">
        <w:rPr>
          <w:noProof/>
        </w:rPr>
        <w:drawing>
          <wp:inline distT="0" distB="0" distL="0" distR="0" wp14:anchorId="4B5246EC" wp14:editId="62B52E08">
            <wp:extent cx="5539105" cy="3444875"/>
            <wp:effectExtent l="0" t="0" r="4445" b="3175"/>
            <wp:docPr id="1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0B81A408" w14:textId="77777777" w:rsidR="00AD6087" w:rsidRPr="006435A5" w:rsidRDefault="00AD6087" w:rsidP="00AD6087">
      <w:pPr>
        <w:spacing w:line="276" w:lineRule="auto"/>
      </w:pPr>
    </w:p>
    <w:p w14:paraId="077E7870" w14:textId="77777777" w:rsidR="00AD6087" w:rsidRPr="006435A5" w:rsidRDefault="00AD6087" w:rsidP="00AD6087">
      <w:pPr>
        <w:spacing w:line="276" w:lineRule="auto"/>
      </w:pPr>
      <w:r w:rsidRPr="006435A5">
        <w:t>ՀՀ կառավարության արտարժութային պարտքի առաջիկա տարվա մարումների և տոկոսավճարների կշիռը տվյալ տարվա վերջի դրությամբ արտարժութային արտաքին ակտիվներում ցուցանիշը 2023 թվականին էապես կաճի և կկազմի 40.7%` պայմանավորված 2025 թվականին մարվող եվրապարտատոմսերը վերաֆինան</w:t>
      </w:r>
      <w:r w:rsidRPr="006435A5">
        <w:softHyphen/>
        <w:t>սա</w:t>
      </w:r>
      <w:r w:rsidRPr="006435A5">
        <w:softHyphen/>
        <w:t xml:space="preserve">վորելու նպատակով 2024 թվականին նախատեսված նոր եվրապարտատոմսերի թողարկումից ստացվելիք միջոցներով 2025 թվականին մարվող եվրապարտատոմսերի հետգնմամբ: 2024 թվականին այդ նույն ցուցանիշը կտրուկ կնվազի և կկազմի 14.5%: Այս ցուցանիշը գնահատում է ՀՀ կառավարության հնարավորությունը սպասարկելու արտարժութային պարտքի մարումներն ու տոկոսագումարների վճարումներն` արտարժութային ակտիվների բավարար ծավալի առկայության տեսանկյունից: </w:t>
      </w:r>
    </w:p>
    <w:p w14:paraId="19DF16A3" w14:textId="77777777" w:rsidR="00AD6087" w:rsidRPr="006435A5" w:rsidRDefault="00AD6087" w:rsidP="00AD6087">
      <w:pPr>
        <w:pStyle w:val="aff3"/>
        <w:spacing w:line="276" w:lineRule="auto"/>
      </w:pPr>
      <w:r w:rsidRPr="006435A5">
        <w:t>Վերաֆինանսավորման ռիսկ</w:t>
      </w:r>
    </w:p>
    <w:p w14:paraId="1E743CAA" w14:textId="77777777" w:rsidR="00AD6087" w:rsidRPr="006435A5" w:rsidRDefault="00AD6087" w:rsidP="00AD6087">
      <w:pPr>
        <w:spacing w:line="276" w:lineRule="auto"/>
      </w:pPr>
      <w:r w:rsidRPr="006435A5">
        <w:t>Վերաֆինանսավորման ռիսկը կարևորվում է՝ պայմանավորված առաջիկա տարիներին ՀՀ կառավա</w:t>
      </w:r>
      <w:r w:rsidRPr="006435A5">
        <w:softHyphen/>
        <w:t>րության պարտքի մարումների ծավալներով և միջազգային ու ներքին ֆինանսական շուկաներում հնարավոր բացասական զարգացումներով: Նոր պարտքի ներգրավման ընթացքում ՀՀ կառավարությունը միջոցներ է ձեռնարկում մարում</w:t>
      </w:r>
      <w:r w:rsidRPr="006435A5">
        <w:softHyphen/>
        <w:t>ների գրաֆիկը հարթեցնելու և վերաֆինանսա</w:t>
      </w:r>
      <w:r w:rsidRPr="006435A5">
        <w:softHyphen/>
        <w:t>վորման ռիսկը մեղմելու ուղղությամբ: Վերաֆինանսավորման ռիսկի նվազեց</w:t>
      </w:r>
      <w:r w:rsidRPr="006435A5">
        <w:softHyphen/>
        <w:t xml:space="preserve">ման նպատակով կիրառվում են նաև հետգնումներ: </w:t>
      </w:r>
    </w:p>
    <w:p w14:paraId="6C480A3D" w14:textId="77777777" w:rsidR="00AD6087" w:rsidRPr="006435A5" w:rsidRDefault="00AD6087" w:rsidP="00AD6087">
      <w:pPr>
        <w:pStyle w:val="aff1"/>
        <w:spacing w:line="276" w:lineRule="auto"/>
      </w:pPr>
      <w:r w:rsidRPr="006435A5">
        <w:rPr>
          <w:b/>
        </w:rPr>
        <w:t>Աղյուսակ 10.</w:t>
      </w:r>
      <w:r w:rsidRPr="006435A5">
        <w:t xml:space="preserve"> ՀՀ կառավարության պարտքի վերաֆինանսավորման ռիսկի ցուցանիշները 2021-2024 թվականներին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71"/>
        <w:gridCol w:w="1079"/>
        <w:gridCol w:w="1100"/>
        <w:gridCol w:w="953"/>
        <w:gridCol w:w="946"/>
      </w:tblGrid>
      <w:tr w:rsidR="00AD6087" w:rsidRPr="006435A5" w14:paraId="2F8E5989" w14:textId="77777777" w:rsidTr="00A42F0D">
        <w:trPr>
          <w:trHeight w:val="530"/>
          <w:tblHeader/>
          <w:jc w:val="center"/>
        </w:trPr>
        <w:tc>
          <w:tcPr>
            <w:tcW w:w="5871" w:type="dxa"/>
            <w:tcBorders>
              <w:top w:val="thinThickThinSmallGap" w:sz="24" w:space="0" w:color="auto"/>
              <w:left w:val="nil"/>
              <w:bottom w:val="thinThickSmallGap" w:sz="24" w:space="0" w:color="auto"/>
              <w:right w:val="nil"/>
            </w:tcBorders>
            <w:shd w:val="clear" w:color="auto" w:fill="5B9BD5"/>
            <w:vAlign w:val="center"/>
          </w:tcPr>
          <w:p w14:paraId="22BDC71D" w14:textId="77777777" w:rsidR="00AD6087" w:rsidRPr="006435A5" w:rsidRDefault="00AD6087" w:rsidP="00A42F0D">
            <w:pPr>
              <w:spacing w:line="276" w:lineRule="auto"/>
              <w:ind w:firstLine="44"/>
            </w:pPr>
          </w:p>
        </w:tc>
        <w:tc>
          <w:tcPr>
            <w:tcW w:w="1079" w:type="dxa"/>
            <w:tcBorders>
              <w:top w:val="thinThickThinSmallGap" w:sz="24" w:space="0" w:color="auto"/>
              <w:left w:val="nil"/>
              <w:bottom w:val="thinThickSmallGap" w:sz="24" w:space="0" w:color="auto"/>
              <w:right w:val="nil"/>
            </w:tcBorders>
            <w:shd w:val="clear" w:color="auto" w:fill="5B9BD5"/>
            <w:vAlign w:val="center"/>
          </w:tcPr>
          <w:p w14:paraId="658C6E3D" w14:textId="77777777" w:rsidR="00AD6087" w:rsidRPr="006435A5" w:rsidRDefault="00AD6087" w:rsidP="00A42F0D">
            <w:pPr>
              <w:spacing w:line="276" w:lineRule="auto"/>
              <w:ind w:firstLine="44"/>
              <w:jc w:val="center"/>
            </w:pPr>
            <w:r w:rsidRPr="006435A5">
              <w:t>2021 կանխ.</w:t>
            </w:r>
          </w:p>
        </w:tc>
        <w:tc>
          <w:tcPr>
            <w:tcW w:w="1100" w:type="dxa"/>
            <w:tcBorders>
              <w:top w:val="thinThickThinSmallGap" w:sz="24" w:space="0" w:color="auto"/>
              <w:left w:val="nil"/>
              <w:bottom w:val="thinThickSmallGap" w:sz="24" w:space="0" w:color="auto"/>
              <w:right w:val="nil"/>
            </w:tcBorders>
            <w:shd w:val="clear" w:color="auto" w:fill="5B9BD5"/>
            <w:vAlign w:val="center"/>
          </w:tcPr>
          <w:p w14:paraId="576DF7AB" w14:textId="77777777" w:rsidR="00AD6087" w:rsidRPr="006435A5" w:rsidRDefault="00AD6087" w:rsidP="00A42F0D">
            <w:pPr>
              <w:spacing w:line="276" w:lineRule="auto"/>
              <w:ind w:firstLine="44"/>
              <w:jc w:val="center"/>
            </w:pPr>
            <w:r w:rsidRPr="006435A5">
              <w:t>2022 կանխ.</w:t>
            </w:r>
          </w:p>
        </w:tc>
        <w:tc>
          <w:tcPr>
            <w:tcW w:w="953" w:type="dxa"/>
            <w:tcBorders>
              <w:top w:val="thinThickThinSmallGap" w:sz="24" w:space="0" w:color="auto"/>
              <w:left w:val="nil"/>
              <w:bottom w:val="thinThickSmallGap" w:sz="24" w:space="0" w:color="auto"/>
              <w:right w:val="nil"/>
            </w:tcBorders>
            <w:shd w:val="clear" w:color="auto" w:fill="5B9BD5"/>
            <w:vAlign w:val="center"/>
          </w:tcPr>
          <w:p w14:paraId="30C34F56" w14:textId="77777777" w:rsidR="00AD6087" w:rsidRPr="006435A5" w:rsidRDefault="00AD6087" w:rsidP="00A42F0D">
            <w:pPr>
              <w:spacing w:line="276" w:lineRule="auto"/>
              <w:ind w:firstLine="44"/>
              <w:jc w:val="center"/>
            </w:pPr>
            <w:r w:rsidRPr="006435A5">
              <w:t>2023 կանխ.</w:t>
            </w:r>
          </w:p>
        </w:tc>
        <w:tc>
          <w:tcPr>
            <w:tcW w:w="946" w:type="dxa"/>
            <w:tcBorders>
              <w:top w:val="thinThickThinSmallGap" w:sz="24" w:space="0" w:color="auto"/>
              <w:left w:val="nil"/>
              <w:bottom w:val="thinThickSmallGap" w:sz="24" w:space="0" w:color="auto"/>
              <w:right w:val="nil"/>
            </w:tcBorders>
            <w:shd w:val="clear" w:color="auto" w:fill="5B9BD5"/>
            <w:vAlign w:val="center"/>
          </w:tcPr>
          <w:p w14:paraId="4FC76584" w14:textId="77777777" w:rsidR="00AD6087" w:rsidRPr="006435A5" w:rsidRDefault="00AD6087" w:rsidP="00A42F0D">
            <w:pPr>
              <w:spacing w:line="276" w:lineRule="auto"/>
              <w:ind w:firstLine="44"/>
              <w:jc w:val="center"/>
            </w:pPr>
            <w:r w:rsidRPr="006435A5">
              <w:t>2024 կանխ.</w:t>
            </w:r>
          </w:p>
        </w:tc>
      </w:tr>
      <w:tr w:rsidR="00AD6087" w:rsidRPr="006435A5" w14:paraId="3F319868" w14:textId="77777777" w:rsidTr="00A42F0D">
        <w:trPr>
          <w:trHeight w:val="690"/>
          <w:jc w:val="center"/>
        </w:trPr>
        <w:tc>
          <w:tcPr>
            <w:tcW w:w="5871" w:type="dxa"/>
            <w:tcBorders>
              <w:top w:val="thinThickSmallGap" w:sz="24" w:space="0" w:color="auto"/>
              <w:left w:val="nil"/>
              <w:right w:val="nil"/>
            </w:tcBorders>
            <w:vAlign w:val="center"/>
          </w:tcPr>
          <w:p w14:paraId="030DBBC8" w14:textId="77777777" w:rsidR="00AD6087" w:rsidRPr="006435A5" w:rsidRDefault="00AD6087" w:rsidP="00A42F0D">
            <w:pPr>
              <w:spacing w:line="276" w:lineRule="auto"/>
              <w:ind w:firstLine="44"/>
              <w:jc w:val="left"/>
            </w:pPr>
            <w:r w:rsidRPr="006435A5">
              <w:t>ՀՀ կառավարության պարտքի մինչև մարում միջին ժամկետը, (տարի)</w:t>
            </w:r>
          </w:p>
        </w:tc>
        <w:tc>
          <w:tcPr>
            <w:tcW w:w="1079" w:type="dxa"/>
            <w:tcBorders>
              <w:top w:val="thinThickSmallGap" w:sz="24" w:space="0" w:color="auto"/>
              <w:left w:val="nil"/>
              <w:right w:val="nil"/>
            </w:tcBorders>
            <w:vAlign w:val="center"/>
          </w:tcPr>
          <w:p w14:paraId="40E9A76C" w14:textId="77777777" w:rsidR="00AD6087" w:rsidRPr="006435A5" w:rsidRDefault="00AD6087" w:rsidP="00A42F0D">
            <w:pPr>
              <w:spacing w:line="276" w:lineRule="auto"/>
              <w:ind w:firstLine="44"/>
              <w:jc w:val="center"/>
            </w:pPr>
            <w:r w:rsidRPr="006435A5">
              <w:t>8.4</w:t>
            </w:r>
          </w:p>
        </w:tc>
        <w:tc>
          <w:tcPr>
            <w:tcW w:w="1100" w:type="dxa"/>
            <w:tcBorders>
              <w:top w:val="thinThickSmallGap" w:sz="24" w:space="0" w:color="auto"/>
              <w:left w:val="nil"/>
              <w:right w:val="nil"/>
            </w:tcBorders>
            <w:vAlign w:val="center"/>
          </w:tcPr>
          <w:p w14:paraId="5EC8A3D1" w14:textId="77777777" w:rsidR="00AD6087" w:rsidRPr="006435A5" w:rsidRDefault="00AD6087" w:rsidP="00A42F0D">
            <w:pPr>
              <w:spacing w:line="276" w:lineRule="auto"/>
              <w:ind w:firstLine="44"/>
              <w:jc w:val="center"/>
            </w:pPr>
            <w:r w:rsidRPr="006435A5">
              <w:t>7.8</w:t>
            </w:r>
          </w:p>
        </w:tc>
        <w:tc>
          <w:tcPr>
            <w:tcW w:w="953" w:type="dxa"/>
            <w:tcBorders>
              <w:top w:val="thinThickSmallGap" w:sz="24" w:space="0" w:color="auto"/>
              <w:left w:val="nil"/>
              <w:right w:val="nil"/>
            </w:tcBorders>
            <w:vAlign w:val="center"/>
          </w:tcPr>
          <w:p w14:paraId="524161A4" w14:textId="77777777" w:rsidR="00AD6087" w:rsidRPr="006435A5" w:rsidRDefault="00AD6087" w:rsidP="00A42F0D">
            <w:pPr>
              <w:spacing w:line="276" w:lineRule="auto"/>
              <w:ind w:firstLine="44"/>
              <w:jc w:val="center"/>
            </w:pPr>
            <w:r w:rsidRPr="006435A5">
              <w:t>7.5</w:t>
            </w:r>
          </w:p>
        </w:tc>
        <w:tc>
          <w:tcPr>
            <w:tcW w:w="946" w:type="dxa"/>
            <w:tcBorders>
              <w:top w:val="thinThickSmallGap" w:sz="24" w:space="0" w:color="auto"/>
              <w:left w:val="nil"/>
              <w:right w:val="nil"/>
            </w:tcBorders>
            <w:vAlign w:val="center"/>
          </w:tcPr>
          <w:p w14:paraId="314BACD1" w14:textId="77777777" w:rsidR="00AD6087" w:rsidRPr="006435A5" w:rsidRDefault="00AD6087" w:rsidP="00A42F0D">
            <w:pPr>
              <w:spacing w:line="276" w:lineRule="auto"/>
              <w:ind w:firstLine="44"/>
              <w:jc w:val="center"/>
            </w:pPr>
            <w:r w:rsidRPr="006435A5">
              <w:t>7.7</w:t>
            </w:r>
          </w:p>
        </w:tc>
      </w:tr>
      <w:tr w:rsidR="00AD6087" w:rsidRPr="006435A5" w14:paraId="7931CAB8" w14:textId="77777777" w:rsidTr="00A42F0D">
        <w:trPr>
          <w:trHeight w:val="694"/>
          <w:jc w:val="center"/>
        </w:trPr>
        <w:tc>
          <w:tcPr>
            <w:tcW w:w="5871" w:type="dxa"/>
            <w:tcBorders>
              <w:left w:val="nil"/>
              <w:bottom w:val="single" w:sz="4" w:space="0" w:color="auto"/>
              <w:right w:val="nil"/>
            </w:tcBorders>
            <w:vAlign w:val="center"/>
          </w:tcPr>
          <w:p w14:paraId="6CB09662" w14:textId="77777777" w:rsidR="00AD6087" w:rsidRPr="006435A5" w:rsidRDefault="00AD6087" w:rsidP="00A42F0D">
            <w:pPr>
              <w:spacing w:line="276" w:lineRule="auto"/>
              <w:ind w:firstLine="44"/>
              <w:jc w:val="left"/>
            </w:pPr>
            <w:r w:rsidRPr="006435A5">
              <w:t>ՀՀ կառավարության արտաքին պարտքի մինչև մարում միջին ժամկետը, (տարի)</w:t>
            </w:r>
          </w:p>
        </w:tc>
        <w:tc>
          <w:tcPr>
            <w:tcW w:w="1079" w:type="dxa"/>
            <w:tcBorders>
              <w:left w:val="nil"/>
              <w:bottom w:val="single" w:sz="4" w:space="0" w:color="auto"/>
              <w:right w:val="nil"/>
            </w:tcBorders>
            <w:vAlign w:val="center"/>
          </w:tcPr>
          <w:p w14:paraId="4D862E2E" w14:textId="77777777" w:rsidR="00AD6087" w:rsidRPr="006435A5" w:rsidRDefault="00AD6087" w:rsidP="00A42F0D">
            <w:pPr>
              <w:spacing w:line="276" w:lineRule="auto"/>
              <w:ind w:firstLine="44"/>
              <w:jc w:val="center"/>
            </w:pPr>
            <w:r w:rsidRPr="006435A5">
              <w:t>7.7</w:t>
            </w:r>
          </w:p>
        </w:tc>
        <w:tc>
          <w:tcPr>
            <w:tcW w:w="1100" w:type="dxa"/>
            <w:tcBorders>
              <w:left w:val="nil"/>
              <w:bottom w:val="single" w:sz="4" w:space="0" w:color="auto"/>
              <w:right w:val="nil"/>
            </w:tcBorders>
            <w:vAlign w:val="center"/>
          </w:tcPr>
          <w:p w14:paraId="2FA668DD" w14:textId="77777777" w:rsidR="00AD6087" w:rsidRPr="006435A5" w:rsidRDefault="00AD6087" w:rsidP="00A42F0D">
            <w:pPr>
              <w:spacing w:line="276" w:lineRule="auto"/>
              <w:ind w:firstLine="44"/>
              <w:jc w:val="center"/>
            </w:pPr>
            <w:r w:rsidRPr="006435A5">
              <w:t>7.0</w:t>
            </w:r>
          </w:p>
        </w:tc>
        <w:tc>
          <w:tcPr>
            <w:tcW w:w="953" w:type="dxa"/>
            <w:tcBorders>
              <w:left w:val="nil"/>
              <w:bottom w:val="single" w:sz="4" w:space="0" w:color="auto"/>
              <w:right w:val="nil"/>
            </w:tcBorders>
            <w:vAlign w:val="center"/>
          </w:tcPr>
          <w:p w14:paraId="1E11AB12" w14:textId="77777777" w:rsidR="00AD6087" w:rsidRPr="006435A5" w:rsidRDefault="00AD6087" w:rsidP="00A42F0D">
            <w:pPr>
              <w:spacing w:line="276" w:lineRule="auto"/>
              <w:ind w:firstLine="44"/>
              <w:jc w:val="center"/>
            </w:pPr>
            <w:r w:rsidRPr="006435A5">
              <w:t>6.4</w:t>
            </w:r>
          </w:p>
        </w:tc>
        <w:tc>
          <w:tcPr>
            <w:tcW w:w="946" w:type="dxa"/>
            <w:tcBorders>
              <w:left w:val="nil"/>
              <w:bottom w:val="single" w:sz="4" w:space="0" w:color="auto"/>
              <w:right w:val="nil"/>
            </w:tcBorders>
            <w:vAlign w:val="center"/>
          </w:tcPr>
          <w:p w14:paraId="26DCA1A4" w14:textId="77777777" w:rsidR="00AD6087" w:rsidRPr="006435A5" w:rsidRDefault="00AD6087" w:rsidP="00A42F0D">
            <w:pPr>
              <w:spacing w:line="276" w:lineRule="auto"/>
              <w:ind w:firstLine="44"/>
              <w:jc w:val="center"/>
            </w:pPr>
            <w:r w:rsidRPr="006435A5">
              <w:t>6.8</w:t>
            </w:r>
          </w:p>
        </w:tc>
      </w:tr>
      <w:tr w:rsidR="00AD6087" w:rsidRPr="006435A5" w14:paraId="451B1299" w14:textId="77777777" w:rsidTr="00A42F0D">
        <w:trPr>
          <w:trHeight w:val="676"/>
          <w:jc w:val="center"/>
        </w:trPr>
        <w:tc>
          <w:tcPr>
            <w:tcW w:w="5871" w:type="dxa"/>
            <w:tcBorders>
              <w:left w:val="nil"/>
              <w:bottom w:val="single" w:sz="12" w:space="0" w:color="auto"/>
              <w:right w:val="nil"/>
            </w:tcBorders>
            <w:vAlign w:val="center"/>
          </w:tcPr>
          <w:p w14:paraId="063AF340" w14:textId="77777777" w:rsidR="00AD6087" w:rsidRPr="006435A5" w:rsidRDefault="00AD6087" w:rsidP="00A42F0D">
            <w:pPr>
              <w:spacing w:line="276" w:lineRule="auto"/>
              <w:ind w:firstLine="44"/>
              <w:jc w:val="left"/>
            </w:pPr>
            <w:r w:rsidRPr="006435A5">
              <w:t>ՀՀ կառավարության ներքին պարտքի մինչև մարում միջին ժամկետը, (տարի)</w:t>
            </w:r>
          </w:p>
        </w:tc>
        <w:tc>
          <w:tcPr>
            <w:tcW w:w="1079" w:type="dxa"/>
            <w:tcBorders>
              <w:left w:val="nil"/>
              <w:bottom w:val="single" w:sz="12" w:space="0" w:color="auto"/>
              <w:right w:val="nil"/>
            </w:tcBorders>
            <w:vAlign w:val="center"/>
          </w:tcPr>
          <w:p w14:paraId="1E92A236" w14:textId="77777777" w:rsidR="00AD6087" w:rsidRPr="006435A5" w:rsidRDefault="00AD6087" w:rsidP="00A42F0D">
            <w:pPr>
              <w:spacing w:line="276" w:lineRule="auto"/>
              <w:ind w:firstLine="44"/>
              <w:jc w:val="center"/>
            </w:pPr>
            <w:r w:rsidRPr="006435A5">
              <w:t>10.3</w:t>
            </w:r>
          </w:p>
        </w:tc>
        <w:tc>
          <w:tcPr>
            <w:tcW w:w="1100" w:type="dxa"/>
            <w:tcBorders>
              <w:left w:val="nil"/>
              <w:bottom w:val="single" w:sz="12" w:space="0" w:color="auto"/>
              <w:right w:val="nil"/>
            </w:tcBorders>
            <w:vAlign w:val="center"/>
          </w:tcPr>
          <w:p w14:paraId="7A65C1CA" w14:textId="77777777" w:rsidR="00AD6087" w:rsidRPr="006435A5" w:rsidRDefault="00AD6087" w:rsidP="00A42F0D">
            <w:pPr>
              <w:spacing w:line="276" w:lineRule="auto"/>
              <w:ind w:firstLine="44"/>
              <w:jc w:val="center"/>
            </w:pPr>
            <w:r w:rsidRPr="006435A5">
              <w:t>9.7</w:t>
            </w:r>
          </w:p>
        </w:tc>
        <w:tc>
          <w:tcPr>
            <w:tcW w:w="953" w:type="dxa"/>
            <w:tcBorders>
              <w:left w:val="nil"/>
              <w:bottom w:val="single" w:sz="12" w:space="0" w:color="auto"/>
              <w:right w:val="nil"/>
            </w:tcBorders>
            <w:vAlign w:val="center"/>
          </w:tcPr>
          <w:p w14:paraId="2CC849DC" w14:textId="77777777" w:rsidR="00AD6087" w:rsidRPr="006435A5" w:rsidRDefault="00AD6087" w:rsidP="00A42F0D">
            <w:pPr>
              <w:spacing w:line="276" w:lineRule="auto"/>
              <w:ind w:firstLine="44"/>
              <w:jc w:val="center"/>
            </w:pPr>
            <w:r w:rsidRPr="006435A5">
              <w:t>9.4</w:t>
            </w:r>
          </w:p>
        </w:tc>
        <w:tc>
          <w:tcPr>
            <w:tcW w:w="946" w:type="dxa"/>
            <w:tcBorders>
              <w:left w:val="nil"/>
              <w:bottom w:val="single" w:sz="12" w:space="0" w:color="auto"/>
              <w:right w:val="nil"/>
            </w:tcBorders>
            <w:vAlign w:val="center"/>
          </w:tcPr>
          <w:p w14:paraId="1AC650EB" w14:textId="77777777" w:rsidR="00AD6087" w:rsidRPr="006435A5" w:rsidRDefault="00AD6087" w:rsidP="00A42F0D">
            <w:pPr>
              <w:spacing w:line="276" w:lineRule="auto"/>
              <w:ind w:firstLine="44"/>
              <w:jc w:val="center"/>
            </w:pPr>
            <w:r w:rsidRPr="006435A5">
              <w:t>9.0</w:t>
            </w:r>
          </w:p>
        </w:tc>
      </w:tr>
      <w:tr w:rsidR="00AD6087" w:rsidRPr="006435A5" w14:paraId="6CFB324A" w14:textId="77777777" w:rsidTr="00A42F0D">
        <w:trPr>
          <w:trHeight w:val="593"/>
          <w:jc w:val="center"/>
        </w:trPr>
        <w:tc>
          <w:tcPr>
            <w:tcW w:w="5871" w:type="dxa"/>
            <w:tcBorders>
              <w:top w:val="single" w:sz="12" w:space="0" w:color="auto"/>
              <w:left w:val="nil"/>
              <w:right w:val="nil"/>
            </w:tcBorders>
            <w:vAlign w:val="center"/>
          </w:tcPr>
          <w:p w14:paraId="3AA55F82" w14:textId="77777777" w:rsidR="00AD6087" w:rsidRPr="006435A5" w:rsidRDefault="00AD6087" w:rsidP="00A42F0D">
            <w:pPr>
              <w:spacing w:line="276" w:lineRule="auto"/>
              <w:ind w:firstLine="44"/>
              <w:jc w:val="left"/>
            </w:pPr>
            <w:r w:rsidRPr="006435A5">
              <w:t>Մեկ տարվա ընթացքում մարվող ՀՀ կառավարության պարտքի կշիռը (%)</w:t>
            </w:r>
          </w:p>
        </w:tc>
        <w:tc>
          <w:tcPr>
            <w:tcW w:w="1079" w:type="dxa"/>
            <w:tcBorders>
              <w:top w:val="single" w:sz="12" w:space="0" w:color="auto"/>
              <w:left w:val="nil"/>
              <w:right w:val="nil"/>
            </w:tcBorders>
            <w:vAlign w:val="center"/>
          </w:tcPr>
          <w:p w14:paraId="754DD597" w14:textId="77777777" w:rsidR="00AD6087" w:rsidRPr="006435A5" w:rsidRDefault="00AD6087" w:rsidP="00A42F0D">
            <w:pPr>
              <w:spacing w:line="276" w:lineRule="auto"/>
              <w:ind w:firstLine="44"/>
              <w:jc w:val="center"/>
            </w:pPr>
            <w:r w:rsidRPr="006435A5">
              <w:t>6.1</w:t>
            </w:r>
          </w:p>
        </w:tc>
        <w:tc>
          <w:tcPr>
            <w:tcW w:w="1100" w:type="dxa"/>
            <w:tcBorders>
              <w:top w:val="single" w:sz="12" w:space="0" w:color="auto"/>
              <w:left w:val="nil"/>
              <w:right w:val="nil"/>
            </w:tcBorders>
            <w:vAlign w:val="center"/>
          </w:tcPr>
          <w:p w14:paraId="4607FA1E" w14:textId="77777777" w:rsidR="00AD6087" w:rsidRPr="006435A5" w:rsidRDefault="00AD6087" w:rsidP="00A42F0D">
            <w:pPr>
              <w:spacing w:line="276" w:lineRule="auto"/>
              <w:ind w:firstLine="44"/>
              <w:jc w:val="center"/>
            </w:pPr>
            <w:r w:rsidRPr="006435A5">
              <w:t>7.1</w:t>
            </w:r>
          </w:p>
        </w:tc>
        <w:tc>
          <w:tcPr>
            <w:tcW w:w="953" w:type="dxa"/>
            <w:tcBorders>
              <w:top w:val="single" w:sz="12" w:space="0" w:color="auto"/>
              <w:left w:val="nil"/>
              <w:right w:val="nil"/>
            </w:tcBorders>
            <w:vAlign w:val="center"/>
          </w:tcPr>
          <w:p w14:paraId="3B1318E8" w14:textId="77777777" w:rsidR="00AD6087" w:rsidRPr="006435A5" w:rsidRDefault="00AD6087" w:rsidP="00A42F0D">
            <w:pPr>
              <w:spacing w:line="276" w:lineRule="auto"/>
              <w:ind w:firstLine="44"/>
              <w:jc w:val="center"/>
            </w:pPr>
            <w:r w:rsidRPr="006435A5">
              <w:t>13.6</w:t>
            </w:r>
          </w:p>
        </w:tc>
        <w:tc>
          <w:tcPr>
            <w:tcW w:w="946" w:type="dxa"/>
            <w:tcBorders>
              <w:top w:val="single" w:sz="12" w:space="0" w:color="auto"/>
              <w:left w:val="nil"/>
              <w:right w:val="nil"/>
            </w:tcBorders>
            <w:vAlign w:val="center"/>
          </w:tcPr>
          <w:p w14:paraId="66AF451C" w14:textId="77777777" w:rsidR="00AD6087" w:rsidRPr="006435A5" w:rsidRDefault="00AD6087" w:rsidP="00A42F0D">
            <w:pPr>
              <w:spacing w:line="276" w:lineRule="auto"/>
              <w:ind w:firstLine="44"/>
              <w:jc w:val="center"/>
            </w:pPr>
            <w:r w:rsidRPr="006435A5">
              <w:t>9.7</w:t>
            </w:r>
          </w:p>
        </w:tc>
      </w:tr>
      <w:tr w:rsidR="00AD6087" w:rsidRPr="006435A5" w14:paraId="6A0D7858" w14:textId="77777777" w:rsidTr="00A42F0D">
        <w:trPr>
          <w:trHeight w:val="622"/>
          <w:jc w:val="center"/>
        </w:trPr>
        <w:tc>
          <w:tcPr>
            <w:tcW w:w="5871" w:type="dxa"/>
            <w:tcBorders>
              <w:left w:val="nil"/>
              <w:right w:val="nil"/>
            </w:tcBorders>
            <w:vAlign w:val="center"/>
          </w:tcPr>
          <w:p w14:paraId="7BC52908" w14:textId="77777777" w:rsidR="00AD6087" w:rsidRPr="006435A5" w:rsidRDefault="00AD6087" w:rsidP="00A42F0D">
            <w:pPr>
              <w:spacing w:line="276" w:lineRule="auto"/>
              <w:ind w:firstLine="44"/>
              <w:jc w:val="left"/>
            </w:pPr>
            <w:r w:rsidRPr="006435A5">
              <w:t>Մեկ տարվա ընթացքում մարվող ՀՀ կառավարության արտաքին պարտքի կշիռը (%)</w:t>
            </w:r>
          </w:p>
        </w:tc>
        <w:tc>
          <w:tcPr>
            <w:tcW w:w="1079" w:type="dxa"/>
            <w:tcBorders>
              <w:left w:val="nil"/>
              <w:right w:val="nil"/>
            </w:tcBorders>
            <w:vAlign w:val="center"/>
          </w:tcPr>
          <w:p w14:paraId="55C40454" w14:textId="77777777" w:rsidR="00AD6087" w:rsidRPr="006435A5" w:rsidRDefault="00AD6087" w:rsidP="00A42F0D">
            <w:pPr>
              <w:spacing w:line="276" w:lineRule="auto"/>
              <w:ind w:firstLine="44"/>
              <w:jc w:val="center"/>
            </w:pPr>
            <w:r w:rsidRPr="006435A5">
              <w:t>3.9</w:t>
            </w:r>
          </w:p>
        </w:tc>
        <w:tc>
          <w:tcPr>
            <w:tcW w:w="1100" w:type="dxa"/>
            <w:tcBorders>
              <w:left w:val="nil"/>
              <w:right w:val="nil"/>
            </w:tcBorders>
            <w:vAlign w:val="center"/>
          </w:tcPr>
          <w:p w14:paraId="5BE6DE0F" w14:textId="77777777" w:rsidR="00AD6087" w:rsidRPr="006435A5" w:rsidRDefault="00AD6087" w:rsidP="00A42F0D">
            <w:pPr>
              <w:spacing w:line="276" w:lineRule="auto"/>
              <w:ind w:firstLine="44"/>
              <w:jc w:val="center"/>
            </w:pPr>
            <w:r w:rsidRPr="006435A5">
              <w:t>5.5</w:t>
            </w:r>
          </w:p>
        </w:tc>
        <w:tc>
          <w:tcPr>
            <w:tcW w:w="953" w:type="dxa"/>
            <w:tcBorders>
              <w:left w:val="nil"/>
              <w:right w:val="nil"/>
            </w:tcBorders>
            <w:vAlign w:val="center"/>
          </w:tcPr>
          <w:p w14:paraId="42E1D398" w14:textId="77777777" w:rsidR="00AD6087" w:rsidRPr="006435A5" w:rsidRDefault="00AD6087" w:rsidP="00A42F0D">
            <w:pPr>
              <w:spacing w:line="276" w:lineRule="auto"/>
              <w:ind w:firstLine="44"/>
              <w:jc w:val="center"/>
            </w:pPr>
            <w:r w:rsidRPr="006435A5">
              <w:t>15.2</w:t>
            </w:r>
          </w:p>
        </w:tc>
        <w:tc>
          <w:tcPr>
            <w:tcW w:w="946" w:type="dxa"/>
            <w:tcBorders>
              <w:left w:val="nil"/>
              <w:right w:val="nil"/>
            </w:tcBorders>
            <w:vAlign w:val="center"/>
          </w:tcPr>
          <w:p w14:paraId="6C7F4881" w14:textId="77777777" w:rsidR="00AD6087" w:rsidRPr="006435A5" w:rsidRDefault="00AD6087" w:rsidP="00A42F0D">
            <w:pPr>
              <w:spacing w:line="276" w:lineRule="auto"/>
              <w:ind w:firstLine="44"/>
              <w:jc w:val="center"/>
            </w:pPr>
            <w:r w:rsidRPr="006435A5">
              <w:t>7.2</w:t>
            </w:r>
          </w:p>
        </w:tc>
      </w:tr>
      <w:tr w:rsidR="00AD6087" w:rsidRPr="006435A5" w14:paraId="387BC52D" w14:textId="77777777" w:rsidTr="00A42F0D">
        <w:trPr>
          <w:trHeight w:val="649"/>
          <w:jc w:val="center"/>
        </w:trPr>
        <w:tc>
          <w:tcPr>
            <w:tcW w:w="5871" w:type="dxa"/>
            <w:tcBorders>
              <w:left w:val="nil"/>
              <w:bottom w:val="thickThinSmallGap" w:sz="24" w:space="0" w:color="auto"/>
              <w:right w:val="nil"/>
            </w:tcBorders>
            <w:vAlign w:val="center"/>
          </w:tcPr>
          <w:p w14:paraId="21CEAEFF" w14:textId="77777777" w:rsidR="00AD6087" w:rsidRPr="006435A5" w:rsidRDefault="00AD6087" w:rsidP="00A42F0D">
            <w:pPr>
              <w:spacing w:line="276" w:lineRule="auto"/>
              <w:ind w:firstLine="44"/>
              <w:jc w:val="left"/>
            </w:pPr>
            <w:r w:rsidRPr="006435A5">
              <w:t>Մեկ տարվա ընթացքում մարվող ՀՀ կառավարության ներքին պարտքի կշիռը (%)</w:t>
            </w:r>
          </w:p>
        </w:tc>
        <w:tc>
          <w:tcPr>
            <w:tcW w:w="1079" w:type="dxa"/>
            <w:tcBorders>
              <w:left w:val="nil"/>
              <w:bottom w:val="thickThinSmallGap" w:sz="24" w:space="0" w:color="auto"/>
              <w:right w:val="nil"/>
            </w:tcBorders>
            <w:vAlign w:val="center"/>
          </w:tcPr>
          <w:p w14:paraId="111C3D1D" w14:textId="77777777" w:rsidR="00AD6087" w:rsidRPr="006435A5" w:rsidRDefault="00AD6087" w:rsidP="00A42F0D">
            <w:pPr>
              <w:spacing w:line="276" w:lineRule="auto"/>
              <w:ind w:firstLine="44"/>
              <w:jc w:val="center"/>
            </w:pPr>
            <w:r w:rsidRPr="006435A5">
              <w:t>11.6</w:t>
            </w:r>
          </w:p>
        </w:tc>
        <w:tc>
          <w:tcPr>
            <w:tcW w:w="1100" w:type="dxa"/>
            <w:tcBorders>
              <w:left w:val="nil"/>
              <w:bottom w:val="thickThinSmallGap" w:sz="24" w:space="0" w:color="auto"/>
              <w:right w:val="nil"/>
            </w:tcBorders>
            <w:vAlign w:val="center"/>
          </w:tcPr>
          <w:p w14:paraId="03613829" w14:textId="77777777" w:rsidR="00AD6087" w:rsidRPr="006435A5" w:rsidRDefault="00AD6087" w:rsidP="00A42F0D">
            <w:pPr>
              <w:spacing w:line="276" w:lineRule="auto"/>
              <w:ind w:firstLine="44"/>
              <w:jc w:val="center"/>
            </w:pPr>
            <w:r w:rsidRPr="006435A5">
              <w:t>10.7</w:t>
            </w:r>
          </w:p>
        </w:tc>
        <w:tc>
          <w:tcPr>
            <w:tcW w:w="953" w:type="dxa"/>
            <w:tcBorders>
              <w:left w:val="nil"/>
              <w:bottom w:val="thickThinSmallGap" w:sz="24" w:space="0" w:color="auto"/>
              <w:right w:val="nil"/>
            </w:tcBorders>
            <w:vAlign w:val="center"/>
          </w:tcPr>
          <w:p w14:paraId="43B44055" w14:textId="77777777" w:rsidR="00AD6087" w:rsidRPr="006435A5" w:rsidRDefault="00AD6087" w:rsidP="00A42F0D">
            <w:pPr>
              <w:spacing w:line="276" w:lineRule="auto"/>
              <w:ind w:firstLine="44"/>
              <w:jc w:val="center"/>
            </w:pPr>
            <w:r w:rsidRPr="006435A5">
              <w:t>10.7</w:t>
            </w:r>
          </w:p>
        </w:tc>
        <w:tc>
          <w:tcPr>
            <w:tcW w:w="946" w:type="dxa"/>
            <w:tcBorders>
              <w:left w:val="nil"/>
              <w:bottom w:val="thickThinSmallGap" w:sz="24" w:space="0" w:color="auto"/>
              <w:right w:val="nil"/>
            </w:tcBorders>
            <w:vAlign w:val="center"/>
          </w:tcPr>
          <w:p w14:paraId="7514C2A2" w14:textId="77777777" w:rsidR="00AD6087" w:rsidRPr="006435A5" w:rsidRDefault="00AD6087" w:rsidP="00A42F0D">
            <w:pPr>
              <w:spacing w:line="276" w:lineRule="auto"/>
              <w:ind w:firstLine="44"/>
              <w:jc w:val="center"/>
            </w:pPr>
            <w:r w:rsidRPr="006435A5">
              <w:t>13.7</w:t>
            </w:r>
          </w:p>
        </w:tc>
      </w:tr>
    </w:tbl>
    <w:p w14:paraId="7F4820CB" w14:textId="77777777" w:rsidR="00AD6087" w:rsidRPr="006435A5" w:rsidRDefault="00AD6087" w:rsidP="00AD6087">
      <w:pPr>
        <w:spacing w:line="276" w:lineRule="auto"/>
      </w:pPr>
    </w:p>
    <w:p w14:paraId="0D1EF699" w14:textId="77777777" w:rsidR="00AD6087" w:rsidRPr="006435A5" w:rsidRDefault="00AD6087" w:rsidP="00AD6087">
      <w:pPr>
        <w:spacing w:line="276" w:lineRule="auto"/>
      </w:pPr>
      <w:r w:rsidRPr="006435A5">
        <w:t xml:space="preserve">ՀՀ կառավարության պարտքի պորտֆելի մինչև մարում միջին ժամկետի ցուցանիշը 2024 թվականի վերջին կնվազի մինչև 7.7 տարի, սակայն վերաֆինանսավորման ռիսկը կմնա չափավոր: </w:t>
      </w:r>
    </w:p>
    <w:p w14:paraId="77E6FFF4" w14:textId="77777777" w:rsidR="00AD6087" w:rsidRPr="006435A5" w:rsidRDefault="00AD6087" w:rsidP="00AD6087">
      <w:pPr>
        <w:spacing w:line="276" w:lineRule="auto"/>
      </w:pPr>
      <w:r w:rsidRPr="006435A5">
        <w:t>Մեկ տարվա ընթացքում մարվող ՀՀ կառավարության պարտքի կշիռն ընդամենը պարտ</w:t>
      </w:r>
      <w:r w:rsidRPr="006435A5">
        <w:softHyphen/>
        <w:t xml:space="preserve">քի մեջ ցուցանիշը 2024 թվականի տարեվերջին կկազմի 9.7%, ընդ որում մեկ տարվա ընթացքում մարվող ՀՀ կառավարության արտաքին պարտքի կշիռը արտաքին պարտքում կկազմի 7.2%, իսկ մեկ տարվա ընթացքում մարվող ՀՀ կառավարության ներքին պարտքի կշիռը ներքին պարտքում՝ 13.7%: </w:t>
      </w:r>
    </w:p>
    <w:p w14:paraId="73F63291" w14:textId="77777777" w:rsidR="00AD6087" w:rsidRPr="006435A5" w:rsidRDefault="00AD6087" w:rsidP="00AD6087">
      <w:pPr>
        <w:spacing w:line="276" w:lineRule="auto"/>
      </w:pPr>
      <w:r w:rsidRPr="006435A5">
        <w:t>Ստորև ներկայացվում է նաև ՀՀ կառավարության պարտքի գծով վճարումների ցուցանիշը, որն իրենից ներկայացնում է տարվա ընթացքում մարումների և տոկոսավճարների հանրագումարը:</w:t>
      </w:r>
    </w:p>
    <w:p w14:paraId="46FED97D" w14:textId="77777777" w:rsidR="00AD6087" w:rsidRPr="006435A5" w:rsidRDefault="00AD6087" w:rsidP="00AD6087">
      <w:pPr>
        <w:pStyle w:val="aff2"/>
        <w:spacing w:line="276" w:lineRule="auto"/>
        <w:rPr>
          <w:color w:val="FF0000"/>
          <w:sz w:val="22"/>
          <w:szCs w:val="22"/>
        </w:rPr>
      </w:pPr>
      <w:r w:rsidRPr="006435A5">
        <w:rPr>
          <w:sz w:val="22"/>
          <w:szCs w:val="22"/>
        </w:rPr>
        <w:t>Գծապատկեր 9. ՀՀ կառավարության պարտքի գծով վճարումները 2019-2024 թվականների ընթացքում (մլրդ դրամ)</w:t>
      </w:r>
    </w:p>
    <w:p w14:paraId="39EA7125" w14:textId="7526EEC5" w:rsidR="00AD6087" w:rsidRPr="006435A5" w:rsidRDefault="00AD6087" w:rsidP="00AD6087">
      <w:pPr>
        <w:spacing w:line="276" w:lineRule="auto"/>
        <w:ind w:firstLine="0"/>
      </w:pPr>
      <w:r w:rsidRPr="006435A5">
        <w:rPr>
          <w:noProof/>
        </w:rPr>
        <w:drawing>
          <wp:inline distT="0" distB="0" distL="0" distR="0" wp14:anchorId="2E779B16" wp14:editId="08DF2F51">
            <wp:extent cx="6094095" cy="3524250"/>
            <wp:effectExtent l="38100" t="57150" r="40005" b="38100"/>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72035F05" w14:textId="77777777" w:rsidR="00AD6087" w:rsidRPr="006435A5" w:rsidRDefault="00AD6087" w:rsidP="00AD6087">
      <w:pPr>
        <w:spacing w:line="276" w:lineRule="auto"/>
      </w:pPr>
    </w:p>
    <w:p w14:paraId="06614712" w14:textId="77777777" w:rsidR="00AD6087" w:rsidRPr="006435A5" w:rsidRDefault="00AD6087" w:rsidP="00AD6087">
      <w:pPr>
        <w:spacing w:line="276" w:lineRule="auto"/>
      </w:pPr>
      <w:r w:rsidRPr="006435A5">
        <w:t>ՀՀ կառավարության պարտքի գծով վճարումների ցուցանիշը միջնաժամկետ հատվածում աճում է՝ 2024 թվականին կազմելով 969.3 մլրդ դրամ:</w:t>
      </w:r>
    </w:p>
    <w:p w14:paraId="5CF02194" w14:textId="77777777" w:rsidR="00AD6087" w:rsidRPr="006435A5" w:rsidRDefault="00AD6087" w:rsidP="00AD6087">
      <w:pPr>
        <w:pStyle w:val="aff1"/>
        <w:spacing w:line="276" w:lineRule="auto"/>
      </w:pPr>
      <w:r w:rsidRPr="006435A5">
        <w:rPr>
          <w:b/>
        </w:rPr>
        <w:t>Աղյուսակ 11.</w:t>
      </w:r>
      <w:r w:rsidRPr="006435A5">
        <w:t xml:space="preserve"> ՀՀ կառավարության պարտքի գծով վճարումներն ըստ գործիքակազմի </w:t>
      </w:r>
    </w:p>
    <w:p w14:paraId="034512C5" w14:textId="77777777" w:rsidR="00AD6087" w:rsidRPr="006435A5" w:rsidRDefault="00AD6087" w:rsidP="00AD6087">
      <w:pPr>
        <w:pStyle w:val="aff1"/>
        <w:spacing w:line="276" w:lineRule="auto"/>
      </w:pPr>
      <w:r w:rsidRPr="006435A5">
        <w:t>(մլրդ դրամ)</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41"/>
        <w:gridCol w:w="1429"/>
        <w:gridCol w:w="1005"/>
        <w:gridCol w:w="1005"/>
        <w:gridCol w:w="1005"/>
        <w:gridCol w:w="1007"/>
      </w:tblGrid>
      <w:tr w:rsidR="00AD6087" w:rsidRPr="006435A5" w14:paraId="16E99AE0" w14:textId="77777777" w:rsidTr="00A42F0D">
        <w:trPr>
          <w:trHeight w:val="486"/>
          <w:tblHeader/>
          <w:jc w:val="center"/>
        </w:trPr>
        <w:tc>
          <w:tcPr>
            <w:tcW w:w="4441" w:type="dxa"/>
            <w:tcBorders>
              <w:top w:val="thinThickThinSmallGap" w:sz="24" w:space="0" w:color="auto"/>
              <w:left w:val="nil"/>
              <w:bottom w:val="thinThickSmallGap" w:sz="24" w:space="0" w:color="auto"/>
              <w:right w:val="nil"/>
            </w:tcBorders>
            <w:shd w:val="clear" w:color="auto" w:fill="5B9BD5"/>
            <w:vAlign w:val="center"/>
          </w:tcPr>
          <w:p w14:paraId="0BEDC78B" w14:textId="77777777" w:rsidR="00AD6087" w:rsidRPr="006435A5" w:rsidRDefault="00AD6087" w:rsidP="00A42F0D">
            <w:pPr>
              <w:spacing w:line="276" w:lineRule="auto"/>
              <w:ind w:firstLine="20"/>
              <w:jc w:val="center"/>
            </w:pPr>
          </w:p>
        </w:tc>
        <w:tc>
          <w:tcPr>
            <w:tcW w:w="1429" w:type="dxa"/>
            <w:tcBorders>
              <w:top w:val="thinThickThinSmallGap" w:sz="24" w:space="0" w:color="auto"/>
              <w:left w:val="nil"/>
              <w:bottom w:val="thinThickSmallGap" w:sz="24" w:space="0" w:color="auto"/>
              <w:right w:val="double" w:sz="4" w:space="0" w:color="auto"/>
            </w:tcBorders>
            <w:shd w:val="clear" w:color="auto" w:fill="5B9BD5"/>
            <w:vAlign w:val="center"/>
          </w:tcPr>
          <w:p w14:paraId="3C0CC6E9" w14:textId="77777777" w:rsidR="00AD6087" w:rsidRPr="006435A5" w:rsidRDefault="00AD6087" w:rsidP="00A42F0D">
            <w:pPr>
              <w:spacing w:line="276" w:lineRule="auto"/>
              <w:ind w:firstLine="20"/>
              <w:jc w:val="center"/>
            </w:pPr>
            <w:r w:rsidRPr="006435A5">
              <w:t>2021 պետբյուջեի ծրագիր</w:t>
            </w:r>
          </w:p>
        </w:tc>
        <w:tc>
          <w:tcPr>
            <w:tcW w:w="1005" w:type="dxa"/>
            <w:tcBorders>
              <w:top w:val="thinThickThinSmallGap" w:sz="24" w:space="0" w:color="auto"/>
              <w:left w:val="double" w:sz="4" w:space="0" w:color="auto"/>
              <w:bottom w:val="thinThickSmallGap" w:sz="24" w:space="0" w:color="auto"/>
              <w:right w:val="nil"/>
            </w:tcBorders>
            <w:shd w:val="clear" w:color="auto" w:fill="5B9BD5"/>
            <w:vAlign w:val="center"/>
          </w:tcPr>
          <w:p w14:paraId="5137B7F1" w14:textId="77777777" w:rsidR="00AD6087" w:rsidRPr="006435A5" w:rsidRDefault="00AD6087" w:rsidP="00A42F0D">
            <w:pPr>
              <w:spacing w:line="276" w:lineRule="auto"/>
              <w:ind w:firstLine="20"/>
              <w:jc w:val="center"/>
            </w:pPr>
            <w:r w:rsidRPr="006435A5">
              <w:t>2021 կանխ.</w:t>
            </w:r>
          </w:p>
        </w:tc>
        <w:tc>
          <w:tcPr>
            <w:tcW w:w="1005" w:type="dxa"/>
            <w:tcBorders>
              <w:top w:val="thinThickThinSmallGap" w:sz="24" w:space="0" w:color="auto"/>
              <w:left w:val="nil"/>
              <w:bottom w:val="thinThickSmallGap" w:sz="24" w:space="0" w:color="auto"/>
              <w:right w:val="nil"/>
            </w:tcBorders>
            <w:shd w:val="clear" w:color="auto" w:fill="5B9BD5"/>
            <w:vAlign w:val="center"/>
          </w:tcPr>
          <w:p w14:paraId="61988B44" w14:textId="77777777" w:rsidR="00AD6087" w:rsidRPr="006435A5" w:rsidRDefault="00AD6087" w:rsidP="00A42F0D">
            <w:pPr>
              <w:spacing w:line="276" w:lineRule="auto"/>
              <w:ind w:firstLine="20"/>
              <w:jc w:val="center"/>
            </w:pPr>
            <w:r w:rsidRPr="006435A5">
              <w:t>2022 կանխ.</w:t>
            </w:r>
          </w:p>
        </w:tc>
        <w:tc>
          <w:tcPr>
            <w:tcW w:w="1005" w:type="dxa"/>
            <w:tcBorders>
              <w:top w:val="thinThickThinSmallGap" w:sz="24" w:space="0" w:color="auto"/>
              <w:left w:val="nil"/>
              <w:bottom w:val="thinThickSmallGap" w:sz="24" w:space="0" w:color="auto"/>
              <w:right w:val="nil"/>
            </w:tcBorders>
            <w:shd w:val="clear" w:color="auto" w:fill="5B9BD5"/>
            <w:vAlign w:val="center"/>
          </w:tcPr>
          <w:p w14:paraId="34238D11" w14:textId="77777777" w:rsidR="00AD6087" w:rsidRPr="006435A5" w:rsidRDefault="00AD6087" w:rsidP="00A42F0D">
            <w:pPr>
              <w:spacing w:line="276" w:lineRule="auto"/>
              <w:ind w:firstLine="20"/>
              <w:jc w:val="center"/>
            </w:pPr>
            <w:r w:rsidRPr="006435A5">
              <w:t>2023 կանխ.</w:t>
            </w:r>
          </w:p>
        </w:tc>
        <w:tc>
          <w:tcPr>
            <w:tcW w:w="1007" w:type="dxa"/>
            <w:tcBorders>
              <w:top w:val="thinThickThinSmallGap" w:sz="24" w:space="0" w:color="auto"/>
              <w:left w:val="nil"/>
              <w:bottom w:val="thinThickSmallGap" w:sz="24" w:space="0" w:color="auto"/>
              <w:right w:val="nil"/>
            </w:tcBorders>
            <w:shd w:val="clear" w:color="auto" w:fill="5B9BD5"/>
            <w:vAlign w:val="center"/>
          </w:tcPr>
          <w:p w14:paraId="52E78517" w14:textId="77777777" w:rsidR="00AD6087" w:rsidRPr="006435A5" w:rsidRDefault="00AD6087" w:rsidP="00A42F0D">
            <w:pPr>
              <w:spacing w:line="276" w:lineRule="auto"/>
              <w:ind w:firstLine="20"/>
              <w:jc w:val="center"/>
            </w:pPr>
            <w:r w:rsidRPr="006435A5">
              <w:t>2024 կանխ.</w:t>
            </w:r>
          </w:p>
        </w:tc>
      </w:tr>
      <w:tr w:rsidR="00AD6087" w:rsidRPr="006435A5" w14:paraId="56B96FC3" w14:textId="77777777" w:rsidTr="00A42F0D">
        <w:trPr>
          <w:trHeight w:val="238"/>
          <w:jc w:val="center"/>
        </w:trPr>
        <w:tc>
          <w:tcPr>
            <w:tcW w:w="4441" w:type="dxa"/>
            <w:tcBorders>
              <w:left w:val="nil"/>
              <w:right w:val="nil"/>
            </w:tcBorders>
            <w:vAlign w:val="center"/>
          </w:tcPr>
          <w:p w14:paraId="1AE73CD9" w14:textId="77777777" w:rsidR="00AD6087" w:rsidRPr="006435A5" w:rsidRDefault="00AD6087" w:rsidP="00A42F0D">
            <w:pPr>
              <w:spacing w:line="276" w:lineRule="auto"/>
              <w:ind w:firstLine="20"/>
              <w:jc w:val="left"/>
            </w:pPr>
            <w:r w:rsidRPr="006435A5">
              <w:t>ՀՀ կառավարության պարտքի գծով վճարումներն ըստ գործիքակազմի, որից`</w:t>
            </w:r>
          </w:p>
        </w:tc>
        <w:tc>
          <w:tcPr>
            <w:tcW w:w="1429" w:type="dxa"/>
            <w:tcBorders>
              <w:left w:val="nil"/>
              <w:right w:val="double" w:sz="4" w:space="0" w:color="auto"/>
            </w:tcBorders>
            <w:vAlign w:val="center"/>
          </w:tcPr>
          <w:p w14:paraId="34161086" w14:textId="77777777" w:rsidR="00AD6087" w:rsidRPr="006435A5" w:rsidRDefault="00AD6087" w:rsidP="00A42F0D">
            <w:pPr>
              <w:spacing w:line="276" w:lineRule="auto"/>
              <w:ind w:firstLine="20"/>
              <w:jc w:val="center"/>
            </w:pPr>
            <w:r w:rsidRPr="006435A5">
              <w:t>480.4</w:t>
            </w:r>
          </w:p>
        </w:tc>
        <w:tc>
          <w:tcPr>
            <w:tcW w:w="1005" w:type="dxa"/>
            <w:tcBorders>
              <w:left w:val="double" w:sz="4" w:space="0" w:color="auto"/>
              <w:right w:val="nil"/>
            </w:tcBorders>
            <w:vAlign w:val="center"/>
          </w:tcPr>
          <w:p w14:paraId="4D84A74A" w14:textId="77777777" w:rsidR="00AD6087" w:rsidRPr="006435A5" w:rsidRDefault="00AD6087" w:rsidP="00A42F0D">
            <w:pPr>
              <w:spacing w:line="276" w:lineRule="auto"/>
              <w:ind w:firstLine="20"/>
              <w:jc w:val="center"/>
            </w:pPr>
            <w:r w:rsidRPr="006435A5">
              <w:t>466.9</w:t>
            </w:r>
          </w:p>
        </w:tc>
        <w:tc>
          <w:tcPr>
            <w:tcW w:w="1005" w:type="dxa"/>
            <w:tcBorders>
              <w:left w:val="nil"/>
              <w:right w:val="nil"/>
            </w:tcBorders>
            <w:vAlign w:val="center"/>
          </w:tcPr>
          <w:p w14:paraId="7512AE14" w14:textId="77777777" w:rsidR="00AD6087" w:rsidRPr="006435A5" w:rsidRDefault="00AD6087" w:rsidP="00A42F0D">
            <w:pPr>
              <w:spacing w:line="276" w:lineRule="auto"/>
              <w:ind w:firstLine="20"/>
              <w:jc w:val="center"/>
            </w:pPr>
            <w:r w:rsidRPr="006435A5">
              <w:t>528.6</w:t>
            </w:r>
          </w:p>
        </w:tc>
        <w:tc>
          <w:tcPr>
            <w:tcW w:w="1005" w:type="dxa"/>
            <w:tcBorders>
              <w:left w:val="nil"/>
              <w:right w:val="nil"/>
            </w:tcBorders>
            <w:vAlign w:val="center"/>
          </w:tcPr>
          <w:p w14:paraId="68AD1A31" w14:textId="77777777" w:rsidR="00AD6087" w:rsidRPr="006435A5" w:rsidRDefault="00AD6087" w:rsidP="00A42F0D">
            <w:pPr>
              <w:spacing w:line="276" w:lineRule="auto"/>
              <w:ind w:firstLine="20"/>
              <w:jc w:val="center"/>
            </w:pPr>
            <w:r w:rsidRPr="006435A5">
              <w:t>616.9</w:t>
            </w:r>
          </w:p>
        </w:tc>
        <w:tc>
          <w:tcPr>
            <w:tcW w:w="1007" w:type="dxa"/>
            <w:tcBorders>
              <w:left w:val="nil"/>
              <w:right w:val="nil"/>
            </w:tcBorders>
            <w:vAlign w:val="center"/>
          </w:tcPr>
          <w:p w14:paraId="53D2BD6A" w14:textId="77777777" w:rsidR="00AD6087" w:rsidRPr="006435A5" w:rsidRDefault="00AD6087" w:rsidP="00A42F0D">
            <w:pPr>
              <w:spacing w:line="276" w:lineRule="auto"/>
              <w:ind w:firstLine="20"/>
              <w:jc w:val="center"/>
            </w:pPr>
            <w:r w:rsidRPr="006435A5">
              <w:t>969.3</w:t>
            </w:r>
          </w:p>
        </w:tc>
      </w:tr>
      <w:tr w:rsidR="00AD6087" w:rsidRPr="006435A5" w14:paraId="5C6ED904" w14:textId="77777777" w:rsidTr="00A42F0D">
        <w:trPr>
          <w:trHeight w:val="238"/>
          <w:jc w:val="center"/>
        </w:trPr>
        <w:tc>
          <w:tcPr>
            <w:tcW w:w="4441" w:type="dxa"/>
            <w:tcBorders>
              <w:left w:val="nil"/>
              <w:right w:val="nil"/>
            </w:tcBorders>
            <w:vAlign w:val="center"/>
          </w:tcPr>
          <w:p w14:paraId="23016708" w14:textId="77777777" w:rsidR="00AD6087" w:rsidRPr="006435A5" w:rsidRDefault="00AD6087" w:rsidP="00A42F0D">
            <w:pPr>
              <w:spacing w:line="276" w:lineRule="auto"/>
              <w:ind w:firstLine="20"/>
              <w:jc w:val="left"/>
            </w:pPr>
            <w:r w:rsidRPr="006435A5">
              <w:t>արտաքին վարկեր և փոխառություններ</w:t>
            </w:r>
          </w:p>
        </w:tc>
        <w:tc>
          <w:tcPr>
            <w:tcW w:w="1429" w:type="dxa"/>
            <w:tcBorders>
              <w:left w:val="nil"/>
              <w:right w:val="double" w:sz="4" w:space="0" w:color="auto"/>
            </w:tcBorders>
            <w:vAlign w:val="center"/>
          </w:tcPr>
          <w:p w14:paraId="07DA538F" w14:textId="77777777" w:rsidR="00AD6087" w:rsidRPr="006435A5" w:rsidRDefault="00AD6087" w:rsidP="00A42F0D">
            <w:pPr>
              <w:spacing w:line="276" w:lineRule="auto"/>
              <w:ind w:firstLine="20"/>
              <w:jc w:val="center"/>
            </w:pPr>
            <w:r w:rsidRPr="006435A5">
              <w:t>172.2</w:t>
            </w:r>
          </w:p>
        </w:tc>
        <w:tc>
          <w:tcPr>
            <w:tcW w:w="1005" w:type="dxa"/>
            <w:tcBorders>
              <w:left w:val="double" w:sz="4" w:space="0" w:color="auto"/>
              <w:right w:val="nil"/>
            </w:tcBorders>
            <w:vAlign w:val="center"/>
          </w:tcPr>
          <w:p w14:paraId="5DC44A85" w14:textId="77777777" w:rsidR="00AD6087" w:rsidRPr="006435A5" w:rsidRDefault="00AD6087" w:rsidP="00A42F0D">
            <w:pPr>
              <w:spacing w:line="276" w:lineRule="auto"/>
              <w:ind w:firstLine="20"/>
              <w:jc w:val="center"/>
            </w:pPr>
            <w:r w:rsidRPr="006435A5">
              <w:t>163.7</w:t>
            </w:r>
          </w:p>
        </w:tc>
        <w:tc>
          <w:tcPr>
            <w:tcW w:w="1005" w:type="dxa"/>
            <w:tcBorders>
              <w:left w:val="nil"/>
              <w:right w:val="nil"/>
            </w:tcBorders>
            <w:vAlign w:val="center"/>
          </w:tcPr>
          <w:p w14:paraId="4E6BCBA6" w14:textId="77777777" w:rsidR="00AD6087" w:rsidRPr="006435A5" w:rsidRDefault="00AD6087" w:rsidP="00A42F0D">
            <w:pPr>
              <w:spacing w:line="276" w:lineRule="auto"/>
              <w:ind w:firstLine="20"/>
              <w:jc w:val="center"/>
            </w:pPr>
            <w:r w:rsidRPr="006435A5">
              <w:t>171.9</w:t>
            </w:r>
          </w:p>
        </w:tc>
        <w:tc>
          <w:tcPr>
            <w:tcW w:w="1005" w:type="dxa"/>
            <w:tcBorders>
              <w:left w:val="nil"/>
              <w:right w:val="nil"/>
            </w:tcBorders>
            <w:vAlign w:val="center"/>
          </w:tcPr>
          <w:p w14:paraId="18707866" w14:textId="77777777" w:rsidR="00AD6087" w:rsidRPr="006435A5" w:rsidRDefault="00AD6087" w:rsidP="00A42F0D">
            <w:pPr>
              <w:spacing w:line="276" w:lineRule="auto"/>
              <w:ind w:firstLine="20"/>
              <w:jc w:val="center"/>
            </w:pPr>
            <w:r w:rsidRPr="006435A5">
              <w:t>226.3</w:t>
            </w:r>
          </w:p>
        </w:tc>
        <w:tc>
          <w:tcPr>
            <w:tcW w:w="1007" w:type="dxa"/>
            <w:tcBorders>
              <w:left w:val="nil"/>
              <w:right w:val="nil"/>
            </w:tcBorders>
            <w:vAlign w:val="center"/>
          </w:tcPr>
          <w:p w14:paraId="2DC79368" w14:textId="77777777" w:rsidR="00AD6087" w:rsidRPr="006435A5" w:rsidRDefault="00AD6087" w:rsidP="00A42F0D">
            <w:pPr>
              <w:spacing w:line="276" w:lineRule="auto"/>
              <w:ind w:firstLine="20"/>
              <w:jc w:val="center"/>
            </w:pPr>
            <w:r w:rsidRPr="006435A5">
              <w:t>281.5</w:t>
            </w:r>
          </w:p>
        </w:tc>
      </w:tr>
      <w:tr w:rsidR="00AD6087" w:rsidRPr="006435A5" w14:paraId="39FEE0E1" w14:textId="77777777" w:rsidTr="00A42F0D">
        <w:trPr>
          <w:trHeight w:val="224"/>
          <w:jc w:val="center"/>
        </w:trPr>
        <w:tc>
          <w:tcPr>
            <w:tcW w:w="4441" w:type="dxa"/>
            <w:tcBorders>
              <w:left w:val="nil"/>
              <w:right w:val="nil"/>
            </w:tcBorders>
            <w:vAlign w:val="center"/>
          </w:tcPr>
          <w:p w14:paraId="23885F4C" w14:textId="77777777" w:rsidR="00AD6087" w:rsidRPr="006435A5" w:rsidRDefault="00AD6087" w:rsidP="00A42F0D">
            <w:pPr>
              <w:spacing w:line="276" w:lineRule="auto"/>
              <w:ind w:firstLine="20"/>
              <w:jc w:val="left"/>
            </w:pPr>
            <w:r w:rsidRPr="006435A5">
              <w:t>տոկոսավճար</w:t>
            </w:r>
          </w:p>
        </w:tc>
        <w:tc>
          <w:tcPr>
            <w:tcW w:w="1429" w:type="dxa"/>
            <w:tcBorders>
              <w:left w:val="nil"/>
              <w:right w:val="double" w:sz="4" w:space="0" w:color="auto"/>
            </w:tcBorders>
            <w:vAlign w:val="center"/>
          </w:tcPr>
          <w:p w14:paraId="41BCAF37" w14:textId="77777777" w:rsidR="00AD6087" w:rsidRPr="006435A5" w:rsidRDefault="00AD6087" w:rsidP="00A42F0D">
            <w:pPr>
              <w:spacing w:line="276" w:lineRule="auto"/>
              <w:ind w:firstLine="20"/>
              <w:jc w:val="center"/>
            </w:pPr>
            <w:r w:rsidRPr="006435A5">
              <w:t>46.2</w:t>
            </w:r>
          </w:p>
        </w:tc>
        <w:tc>
          <w:tcPr>
            <w:tcW w:w="1005" w:type="dxa"/>
            <w:tcBorders>
              <w:left w:val="double" w:sz="4" w:space="0" w:color="auto"/>
              <w:right w:val="nil"/>
            </w:tcBorders>
            <w:vAlign w:val="center"/>
          </w:tcPr>
          <w:p w14:paraId="7E9AAB31" w14:textId="77777777" w:rsidR="00AD6087" w:rsidRPr="006435A5" w:rsidRDefault="00AD6087" w:rsidP="00A42F0D">
            <w:pPr>
              <w:spacing w:line="276" w:lineRule="auto"/>
              <w:ind w:firstLine="20"/>
              <w:jc w:val="center"/>
            </w:pPr>
            <w:r w:rsidRPr="006435A5">
              <w:t>46.0</w:t>
            </w:r>
          </w:p>
        </w:tc>
        <w:tc>
          <w:tcPr>
            <w:tcW w:w="1005" w:type="dxa"/>
            <w:tcBorders>
              <w:left w:val="nil"/>
              <w:right w:val="nil"/>
            </w:tcBorders>
            <w:vAlign w:val="center"/>
          </w:tcPr>
          <w:p w14:paraId="0EA66B51" w14:textId="77777777" w:rsidR="00AD6087" w:rsidRPr="006435A5" w:rsidRDefault="00AD6087" w:rsidP="00A42F0D">
            <w:pPr>
              <w:spacing w:line="276" w:lineRule="auto"/>
              <w:ind w:firstLine="20"/>
              <w:jc w:val="center"/>
            </w:pPr>
            <w:r w:rsidRPr="006435A5">
              <w:t>45.2</w:t>
            </w:r>
          </w:p>
        </w:tc>
        <w:tc>
          <w:tcPr>
            <w:tcW w:w="1005" w:type="dxa"/>
            <w:tcBorders>
              <w:left w:val="nil"/>
              <w:right w:val="nil"/>
            </w:tcBorders>
            <w:vAlign w:val="center"/>
          </w:tcPr>
          <w:p w14:paraId="216FC749" w14:textId="77777777" w:rsidR="00AD6087" w:rsidRPr="006435A5" w:rsidRDefault="00AD6087" w:rsidP="00A42F0D">
            <w:pPr>
              <w:spacing w:line="276" w:lineRule="auto"/>
              <w:ind w:firstLine="20"/>
              <w:jc w:val="center"/>
            </w:pPr>
            <w:r w:rsidRPr="006435A5">
              <w:t>49.6</w:t>
            </w:r>
          </w:p>
        </w:tc>
        <w:tc>
          <w:tcPr>
            <w:tcW w:w="1007" w:type="dxa"/>
            <w:tcBorders>
              <w:left w:val="nil"/>
              <w:right w:val="nil"/>
            </w:tcBorders>
            <w:vAlign w:val="center"/>
          </w:tcPr>
          <w:p w14:paraId="583D1296" w14:textId="77777777" w:rsidR="00AD6087" w:rsidRPr="006435A5" w:rsidRDefault="00AD6087" w:rsidP="00A42F0D">
            <w:pPr>
              <w:spacing w:line="276" w:lineRule="auto"/>
              <w:ind w:firstLine="20"/>
              <w:jc w:val="center"/>
            </w:pPr>
            <w:r w:rsidRPr="006435A5">
              <w:t>48.8</w:t>
            </w:r>
          </w:p>
        </w:tc>
      </w:tr>
      <w:tr w:rsidR="00AD6087" w:rsidRPr="006435A5" w14:paraId="768DCB03" w14:textId="77777777" w:rsidTr="00A42F0D">
        <w:trPr>
          <w:trHeight w:val="224"/>
          <w:jc w:val="center"/>
        </w:trPr>
        <w:tc>
          <w:tcPr>
            <w:tcW w:w="4441" w:type="dxa"/>
            <w:tcBorders>
              <w:left w:val="nil"/>
              <w:right w:val="nil"/>
            </w:tcBorders>
            <w:vAlign w:val="center"/>
          </w:tcPr>
          <w:p w14:paraId="0205F028" w14:textId="77777777" w:rsidR="00AD6087" w:rsidRPr="006435A5" w:rsidRDefault="00AD6087" w:rsidP="00A42F0D">
            <w:pPr>
              <w:spacing w:line="276" w:lineRule="auto"/>
              <w:ind w:firstLine="20"/>
              <w:jc w:val="left"/>
            </w:pPr>
            <w:r w:rsidRPr="006435A5">
              <w:t>մարում</w:t>
            </w:r>
          </w:p>
        </w:tc>
        <w:tc>
          <w:tcPr>
            <w:tcW w:w="1429" w:type="dxa"/>
            <w:tcBorders>
              <w:left w:val="nil"/>
              <w:right w:val="double" w:sz="4" w:space="0" w:color="auto"/>
            </w:tcBorders>
            <w:vAlign w:val="center"/>
          </w:tcPr>
          <w:p w14:paraId="38DAEEE5" w14:textId="77777777" w:rsidR="00AD6087" w:rsidRPr="006435A5" w:rsidRDefault="00AD6087" w:rsidP="00A42F0D">
            <w:pPr>
              <w:spacing w:line="276" w:lineRule="auto"/>
              <w:ind w:firstLine="20"/>
              <w:jc w:val="center"/>
            </w:pPr>
            <w:r w:rsidRPr="006435A5">
              <w:t>126.1</w:t>
            </w:r>
          </w:p>
        </w:tc>
        <w:tc>
          <w:tcPr>
            <w:tcW w:w="1005" w:type="dxa"/>
            <w:tcBorders>
              <w:left w:val="double" w:sz="4" w:space="0" w:color="auto"/>
              <w:right w:val="nil"/>
            </w:tcBorders>
            <w:vAlign w:val="center"/>
          </w:tcPr>
          <w:p w14:paraId="420BA228" w14:textId="77777777" w:rsidR="00AD6087" w:rsidRPr="006435A5" w:rsidRDefault="00AD6087" w:rsidP="00A42F0D">
            <w:pPr>
              <w:spacing w:line="276" w:lineRule="auto"/>
              <w:ind w:firstLine="20"/>
              <w:jc w:val="center"/>
            </w:pPr>
            <w:r w:rsidRPr="006435A5">
              <w:t>117.8</w:t>
            </w:r>
          </w:p>
        </w:tc>
        <w:tc>
          <w:tcPr>
            <w:tcW w:w="1005" w:type="dxa"/>
            <w:tcBorders>
              <w:left w:val="nil"/>
              <w:right w:val="nil"/>
            </w:tcBorders>
            <w:vAlign w:val="center"/>
          </w:tcPr>
          <w:p w14:paraId="5358B6A4" w14:textId="77777777" w:rsidR="00AD6087" w:rsidRPr="006435A5" w:rsidRDefault="00AD6087" w:rsidP="00A42F0D">
            <w:pPr>
              <w:spacing w:line="276" w:lineRule="auto"/>
              <w:ind w:firstLine="20"/>
              <w:jc w:val="center"/>
            </w:pPr>
            <w:r w:rsidRPr="006435A5">
              <w:t>126.7</w:t>
            </w:r>
          </w:p>
        </w:tc>
        <w:tc>
          <w:tcPr>
            <w:tcW w:w="1005" w:type="dxa"/>
            <w:tcBorders>
              <w:left w:val="nil"/>
              <w:right w:val="nil"/>
            </w:tcBorders>
            <w:vAlign w:val="center"/>
          </w:tcPr>
          <w:p w14:paraId="0D6390D1" w14:textId="77777777" w:rsidR="00AD6087" w:rsidRPr="006435A5" w:rsidRDefault="00AD6087" w:rsidP="00A42F0D">
            <w:pPr>
              <w:spacing w:line="276" w:lineRule="auto"/>
              <w:ind w:firstLine="20"/>
              <w:jc w:val="center"/>
            </w:pPr>
            <w:r w:rsidRPr="006435A5">
              <w:t>176.6</w:t>
            </w:r>
          </w:p>
        </w:tc>
        <w:tc>
          <w:tcPr>
            <w:tcW w:w="1007" w:type="dxa"/>
            <w:tcBorders>
              <w:left w:val="nil"/>
              <w:right w:val="nil"/>
            </w:tcBorders>
            <w:vAlign w:val="center"/>
          </w:tcPr>
          <w:p w14:paraId="3FB7503B" w14:textId="77777777" w:rsidR="00AD6087" w:rsidRPr="006435A5" w:rsidRDefault="00AD6087" w:rsidP="00A42F0D">
            <w:pPr>
              <w:spacing w:line="276" w:lineRule="auto"/>
              <w:ind w:firstLine="20"/>
              <w:jc w:val="center"/>
            </w:pPr>
            <w:r w:rsidRPr="006435A5">
              <w:t>232.7</w:t>
            </w:r>
          </w:p>
        </w:tc>
      </w:tr>
      <w:tr w:rsidR="00AD6087" w:rsidRPr="006435A5" w14:paraId="492B7227" w14:textId="77777777" w:rsidTr="00A42F0D">
        <w:trPr>
          <w:trHeight w:val="486"/>
          <w:jc w:val="center"/>
        </w:trPr>
        <w:tc>
          <w:tcPr>
            <w:tcW w:w="4441" w:type="dxa"/>
            <w:tcBorders>
              <w:left w:val="nil"/>
              <w:right w:val="nil"/>
            </w:tcBorders>
            <w:vAlign w:val="center"/>
          </w:tcPr>
          <w:p w14:paraId="38B21B4A" w14:textId="77777777" w:rsidR="00AD6087" w:rsidRPr="006435A5" w:rsidRDefault="00AD6087" w:rsidP="00A42F0D">
            <w:pPr>
              <w:spacing w:line="276" w:lineRule="auto"/>
              <w:ind w:firstLine="20"/>
              <w:jc w:val="left"/>
            </w:pPr>
            <w:r w:rsidRPr="006435A5">
              <w:t>պետական գանձապետական պարտատոմսեր</w:t>
            </w:r>
          </w:p>
        </w:tc>
        <w:tc>
          <w:tcPr>
            <w:tcW w:w="1429" w:type="dxa"/>
            <w:tcBorders>
              <w:left w:val="nil"/>
              <w:right w:val="double" w:sz="4" w:space="0" w:color="auto"/>
            </w:tcBorders>
            <w:vAlign w:val="center"/>
          </w:tcPr>
          <w:p w14:paraId="23CDC09F" w14:textId="77777777" w:rsidR="00AD6087" w:rsidRPr="006435A5" w:rsidRDefault="00AD6087" w:rsidP="00A42F0D">
            <w:pPr>
              <w:spacing w:line="276" w:lineRule="auto"/>
              <w:ind w:firstLine="20"/>
              <w:jc w:val="center"/>
            </w:pPr>
            <w:r w:rsidRPr="006435A5">
              <w:t>271.9</w:t>
            </w:r>
          </w:p>
        </w:tc>
        <w:tc>
          <w:tcPr>
            <w:tcW w:w="1005" w:type="dxa"/>
            <w:tcBorders>
              <w:left w:val="double" w:sz="4" w:space="0" w:color="auto"/>
              <w:right w:val="nil"/>
            </w:tcBorders>
            <w:vAlign w:val="center"/>
          </w:tcPr>
          <w:p w14:paraId="27636C54" w14:textId="77777777" w:rsidR="00AD6087" w:rsidRPr="006435A5" w:rsidRDefault="00AD6087" w:rsidP="00A42F0D">
            <w:pPr>
              <w:spacing w:line="276" w:lineRule="auto"/>
              <w:ind w:firstLine="20"/>
              <w:jc w:val="center"/>
            </w:pPr>
            <w:r w:rsidRPr="006435A5">
              <w:t>266.9</w:t>
            </w:r>
          </w:p>
        </w:tc>
        <w:tc>
          <w:tcPr>
            <w:tcW w:w="1005" w:type="dxa"/>
            <w:tcBorders>
              <w:left w:val="nil"/>
              <w:right w:val="nil"/>
            </w:tcBorders>
            <w:vAlign w:val="center"/>
          </w:tcPr>
          <w:p w14:paraId="2C3FA0D1" w14:textId="77777777" w:rsidR="00AD6087" w:rsidRPr="006435A5" w:rsidRDefault="00AD6087" w:rsidP="00A42F0D">
            <w:pPr>
              <w:spacing w:line="276" w:lineRule="auto"/>
              <w:ind w:firstLine="20"/>
              <w:jc w:val="center"/>
            </w:pPr>
            <w:r w:rsidRPr="006435A5">
              <w:t>314.2</w:t>
            </w:r>
          </w:p>
        </w:tc>
        <w:tc>
          <w:tcPr>
            <w:tcW w:w="1005" w:type="dxa"/>
            <w:tcBorders>
              <w:left w:val="nil"/>
              <w:right w:val="nil"/>
            </w:tcBorders>
            <w:vAlign w:val="center"/>
          </w:tcPr>
          <w:p w14:paraId="200944A6" w14:textId="77777777" w:rsidR="00AD6087" w:rsidRPr="006435A5" w:rsidRDefault="00AD6087" w:rsidP="00A42F0D">
            <w:pPr>
              <w:spacing w:line="276" w:lineRule="auto"/>
              <w:ind w:firstLine="20"/>
              <w:jc w:val="center"/>
            </w:pPr>
            <w:r w:rsidRPr="006435A5">
              <w:t>348.0</w:t>
            </w:r>
          </w:p>
        </w:tc>
        <w:tc>
          <w:tcPr>
            <w:tcW w:w="1007" w:type="dxa"/>
            <w:tcBorders>
              <w:left w:val="nil"/>
              <w:right w:val="nil"/>
            </w:tcBorders>
            <w:vAlign w:val="center"/>
          </w:tcPr>
          <w:p w14:paraId="1E9B5C2A" w14:textId="77777777" w:rsidR="00AD6087" w:rsidRPr="006435A5" w:rsidRDefault="00AD6087" w:rsidP="00A42F0D">
            <w:pPr>
              <w:spacing w:line="276" w:lineRule="auto"/>
              <w:ind w:firstLine="20"/>
              <w:jc w:val="center"/>
            </w:pPr>
            <w:r w:rsidRPr="006435A5">
              <w:t>385.0</w:t>
            </w:r>
          </w:p>
        </w:tc>
      </w:tr>
      <w:tr w:rsidR="00AD6087" w:rsidRPr="006435A5" w14:paraId="417FD237" w14:textId="77777777" w:rsidTr="00A42F0D">
        <w:trPr>
          <w:trHeight w:val="211"/>
          <w:jc w:val="center"/>
        </w:trPr>
        <w:tc>
          <w:tcPr>
            <w:tcW w:w="4441" w:type="dxa"/>
            <w:tcBorders>
              <w:left w:val="nil"/>
              <w:right w:val="nil"/>
            </w:tcBorders>
            <w:vAlign w:val="center"/>
          </w:tcPr>
          <w:p w14:paraId="22C7132B" w14:textId="77777777" w:rsidR="00AD6087" w:rsidRPr="006435A5" w:rsidRDefault="00AD6087" w:rsidP="00A42F0D">
            <w:pPr>
              <w:spacing w:line="276" w:lineRule="auto"/>
              <w:ind w:firstLine="20"/>
              <w:jc w:val="left"/>
            </w:pPr>
            <w:r w:rsidRPr="006435A5">
              <w:t>տոկոսավճար</w:t>
            </w:r>
          </w:p>
        </w:tc>
        <w:tc>
          <w:tcPr>
            <w:tcW w:w="1429" w:type="dxa"/>
            <w:tcBorders>
              <w:left w:val="nil"/>
              <w:right w:val="double" w:sz="4" w:space="0" w:color="auto"/>
            </w:tcBorders>
            <w:vAlign w:val="center"/>
          </w:tcPr>
          <w:p w14:paraId="4A3719A9" w14:textId="77777777" w:rsidR="00AD6087" w:rsidRPr="006435A5" w:rsidRDefault="00AD6087" w:rsidP="00A42F0D">
            <w:pPr>
              <w:spacing w:line="276" w:lineRule="auto"/>
              <w:ind w:firstLine="20"/>
              <w:jc w:val="center"/>
            </w:pPr>
            <w:r w:rsidRPr="006435A5">
              <w:t>112.3</w:t>
            </w:r>
          </w:p>
        </w:tc>
        <w:tc>
          <w:tcPr>
            <w:tcW w:w="1005" w:type="dxa"/>
            <w:tcBorders>
              <w:left w:val="double" w:sz="4" w:space="0" w:color="auto"/>
              <w:right w:val="nil"/>
            </w:tcBorders>
            <w:vAlign w:val="center"/>
          </w:tcPr>
          <w:p w14:paraId="3EE03559" w14:textId="77777777" w:rsidR="00AD6087" w:rsidRPr="006435A5" w:rsidRDefault="00AD6087" w:rsidP="00A42F0D">
            <w:pPr>
              <w:spacing w:line="276" w:lineRule="auto"/>
              <w:ind w:firstLine="20"/>
              <w:jc w:val="center"/>
            </w:pPr>
            <w:r w:rsidRPr="006435A5">
              <w:t>112.3</w:t>
            </w:r>
          </w:p>
        </w:tc>
        <w:tc>
          <w:tcPr>
            <w:tcW w:w="1005" w:type="dxa"/>
            <w:tcBorders>
              <w:left w:val="nil"/>
              <w:right w:val="nil"/>
            </w:tcBorders>
            <w:vAlign w:val="center"/>
          </w:tcPr>
          <w:p w14:paraId="3A6B5FB7" w14:textId="77777777" w:rsidR="00AD6087" w:rsidRPr="006435A5" w:rsidRDefault="00AD6087" w:rsidP="00A42F0D">
            <w:pPr>
              <w:spacing w:line="276" w:lineRule="auto"/>
              <w:ind w:firstLine="20"/>
              <w:jc w:val="center"/>
            </w:pPr>
            <w:r w:rsidRPr="006435A5">
              <w:t>128.0</w:t>
            </w:r>
          </w:p>
        </w:tc>
        <w:tc>
          <w:tcPr>
            <w:tcW w:w="1005" w:type="dxa"/>
            <w:tcBorders>
              <w:left w:val="nil"/>
              <w:right w:val="nil"/>
            </w:tcBorders>
            <w:vAlign w:val="center"/>
          </w:tcPr>
          <w:p w14:paraId="4443B4CA" w14:textId="77777777" w:rsidR="00AD6087" w:rsidRPr="006435A5" w:rsidRDefault="00AD6087" w:rsidP="00A42F0D">
            <w:pPr>
              <w:spacing w:line="276" w:lineRule="auto"/>
              <w:ind w:firstLine="20"/>
              <w:jc w:val="center"/>
            </w:pPr>
            <w:r w:rsidRPr="006435A5">
              <w:t>151.2</w:t>
            </w:r>
          </w:p>
        </w:tc>
        <w:tc>
          <w:tcPr>
            <w:tcW w:w="1007" w:type="dxa"/>
            <w:tcBorders>
              <w:left w:val="nil"/>
              <w:right w:val="nil"/>
            </w:tcBorders>
            <w:vAlign w:val="center"/>
          </w:tcPr>
          <w:p w14:paraId="747B83E5" w14:textId="77777777" w:rsidR="00AD6087" w:rsidRPr="006435A5" w:rsidRDefault="00AD6087" w:rsidP="00A42F0D">
            <w:pPr>
              <w:spacing w:line="276" w:lineRule="auto"/>
              <w:ind w:firstLine="20"/>
              <w:jc w:val="center"/>
            </w:pPr>
            <w:r w:rsidRPr="006435A5">
              <w:t>176.3</w:t>
            </w:r>
          </w:p>
        </w:tc>
      </w:tr>
      <w:tr w:rsidR="00AD6087" w:rsidRPr="006435A5" w14:paraId="429A379B" w14:textId="77777777" w:rsidTr="00A42F0D">
        <w:trPr>
          <w:trHeight w:val="224"/>
          <w:jc w:val="center"/>
        </w:trPr>
        <w:tc>
          <w:tcPr>
            <w:tcW w:w="4441" w:type="dxa"/>
            <w:tcBorders>
              <w:left w:val="nil"/>
              <w:right w:val="nil"/>
            </w:tcBorders>
            <w:vAlign w:val="center"/>
          </w:tcPr>
          <w:p w14:paraId="5FB062B8" w14:textId="77777777" w:rsidR="00AD6087" w:rsidRPr="006435A5" w:rsidRDefault="00AD6087" w:rsidP="00A42F0D">
            <w:pPr>
              <w:spacing w:line="276" w:lineRule="auto"/>
              <w:ind w:firstLine="20"/>
              <w:jc w:val="left"/>
            </w:pPr>
            <w:r w:rsidRPr="006435A5">
              <w:t>մարում</w:t>
            </w:r>
          </w:p>
        </w:tc>
        <w:tc>
          <w:tcPr>
            <w:tcW w:w="1429" w:type="dxa"/>
            <w:tcBorders>
              <w:left w:val="nil"/>
              <w:right w:val="double" w:sz="4" w:space="0" w:color="auto"/>
            </w:tcBorders>
            <w:vAlign w:val="center"/>
          </w:tcPr>
          <w:p w14:paraId="0CC8056A" w14:textId="77777777" w:rsidR="00AD6087" w:rsidRPr="006435A5" w:rsidRDefault="00AD6087" w:rsidP="00A42F0D">
            <w:pPr>
              <w:spacing w:line="276" w:lineRule="auto"/>
              <w:ind w:firstLine="20"/>
              <w:jc w:val="center"/>
            </w:pPr>
            <w:r w:rsidRPr="006435A5">
              <w:t>159.6</w:t>
            </w:r>
          </w:p>
        </w:tc>
        <w:tc>
          <w:tcPr>
            <w:tcW w:w="1005" w:type="dxa"/>
            <w:tcBorders>
              <w:left w:val="double" w:sz="4" w:space="0" w:color="auto"/>
              <w:right w:val="nil"/>
            </w:tcBorders>
            <w:vAlign w:val="center"/>
          </w:tcPr>
          <w:p w14:paraId="70845B71" w14:textId="77777777" w:rsidR="00AD6087" w:rsidRPr="006435A5" w:rsidRDefault="00AD6087" w:rsidP="00A42F0D">
            <w:pPr>
              <w:spacing w:line="276" w:lineRule="auto"/>
              <w:ind w:firstLine="20"/>
              <w:jc w:val="center"/>
            </w:pPr>
            <w:r w:rsidRPr="006435A5">
              <w:t>154.6</w:t>
            </w:r>
          </w:p>
        </w:tc>
        <w:tc>
          <w:tcPr>
            <w:tcW w:w="1005" w:type="dxa"/>
            <w:tcBorders>
              <w:left w:val="nil"/>
              <w:right w:val="nil"/>
            </w:tcBorders>
            <w:vAlign w:val="center"/>
          </w:tcPr>
          <w:p w14:paraId="20B4F723" w14:textId="77777777" w:rsidR="00AD6087" w:rsidRPr="006435A5" w:rsidRDefault="00AD6087" w:rsidP="00A42F0D">
            <w:pPr>
              <w:spacing w:line="276" w:lineRule="auto"/>
              <w:ind w:firstLine="20"/>
              <w:jc w:val="center"/>
            </w:pPr>
            <w:r w:rsidRPr="006435A5">
              <w:t>186.2</w:t>
            </w:r>
          </w:p>
        </w:tc>
        <w:tc>
          <w:tcPr>
            <w:tcW w:w="1005" w:type="dxa"/>
            <w:tcBorders>
              <w:left w:val="nil"/>
              <w:right w:val="nil"/>
            </w:tcBorders>
            <w:vAlign w:val="center"/>
          </w:tcPr>
          <w:p w14:paraId="5979C192" w14:textId="77777777" w:rsidR="00AD6087" w:rsidRPr="006435A5" w:rsidRDefault="00AD6087" w:rsidP="00A42F0D">
            <w:pPr>
              <w:spacing w:line="276" w:lineRule="auto"/>
              <w:ind w:firstLine="20"/>
              <w:jc w:val="center"/>
            </w:pPr>
            <w:r w:rsidRPr="006435A5">
              <w:t>196.8</w:t>
            </w:r>
          </w:p>
        </w:tc>
        <w:tc>
          <w:tcPr>
            <w:tcW w:w="1007" w:type="dxa"/>
            <w:tcBorders>
              <w:left w:val="nil"/>
              <w:right w:val="nil"/>
            </w:tcBorders>
            <w:vAlign w:val="center"/>
          </w:tcPr>
          <w:p w14:paraId="2F03DF4C" w14:textId="77777777" w:rsidR="00AD6087" w:rsidRPr="006435A5" w:rsidRDefault="00AD6087" w:rsidP="00A42F0D">
            <w:pPr>
              <w:spacing w:line="276" w:lineRule="auto"/>
              <w:ind w:firstLine="20"/>
              <w:jc w:val="center"/>
            </w:pPr>
            <w:r w:rsidRPr="006435A5">
              <w:t>208.6</w:t>
            </w:r>
          </w:p>
        </w:tc>
      </w:tr>
      <w:tr w:rsidR="00AD6087" w:rsidRPr="006435A5" w14:paraId="34323B7F" w14:textId="77777777" w:rsidTr="00A42F0D">
        <w:trPr>
          <w:trHeight w:val="486"/>
          <w:jc w:val="center"/>
        </w:trPr>
        <w:tc>
          <w:tcPr>
            <w:tcW w:w="4441" w:type="dxa"/>
            <w:tcBorders>
              <w:left w:val="nil"/>
              <w:right w:val="nil"/>
            </w:tcBorders>
            <w:vAlign w:val="center"/>
          </w:tcPr>
          <w:p w14:paraId="31541CB6" w14:textId="77777777" w:rsidR="00AD6087" w:rsidRPr="006435A5" w:rsidRDefault="00AD6087" w:rsidP="00A42F0D">
            <w:pPr>
              <w:spacing w:line="276" w:lineRule="auto"/>
              <w:ind w:firstLine="20"/>
              <w:jc w:val="left"/>
            </w:pPr>
            <w:r w:rsidRPr="006435A5">
              <w:t>արտարժութային պետական պարտատոմսեր</w:t>
            </w:r>
          </w:p>
        </w:tc>
        <w:tc>
          <w:tcPr>
            <w:tcW w:w="1429" w:type="dxa"/>
            <w:tcBorders>
              <w:left w:val="nil"/>
              <w:right w:val="double" w:sz="4" w:space="0" w:color="auto"/>
            </w:tcBorders>
            <w:vAlign w:val="center"/>
          </w:tcPr>
          <w:p w14:paraId="02DE3F13" w14:textId="77777777" w:rsidR="00AD6087" w:rsidRPr="006435A5" w:rsidRDefault="00AD6087" w:rsidP="00A42F0D">
            <w:pPr>
              <w:spacing w:line="276" w:lineRule="auto"/>
              <w:ind w:firstLine="20"/>
              <w:jc w:val="center"/>
            </w:pPr>
            <w:r w:rsidRPr="006435A5">
              <w:t>36.3</w:t>
            </w:r>
          </w:p>
        </w:tc>
        <w:tc>
          <w:tcPr>
            <w:tcW w:w="1005" w:type="dxa"/>
            <w:tcBorders>
              <w:left w:val="double" w:sz="4" w:space="0" w:color="auto"/>
              <w:right w:val="nil"/>
            </w:tcBorders>
            <w:vAlign w:val="center"/>
          </w:tcPr>
          <w:p w14:paraId="23265DEC" w14:textId="77777777" w:rsidR="00AD6087" w:rsidRPr="006435A5" w:rsidRDefault="00AD6087" w:rsidP="00A42F0D">
            <w:pPr>
              <w:spacing w:line="276" w:lineRule="auto"/>
              <w:ind w:firstLine="20"/>
              <w:jc w:val="center"/>
            </w:pPr>
            <w:r w:rsidRPr="006435A5">
              <w:t>36.3</w:t>
            </w:r>
          </w:p>
        </w:tc>
        <w:tc>
          <w:tcPr>
            <w:tcW w:w="1005" w:type="dxa"/>
            <w:tcBorders>
              <w:left w:val="nil"/>
              <w:right w:val="nil"/>
            </w:tcBorders>
            <w:vAlign w:val="center"/>
          </w:tcPr>
          <w:p w14:paraId="11EDEC0C" w14:textId="77777777" w:rsidR="00AD6087" w:rsidRPr="006435A5" w:rsidRDefault="00AD6087" w:rsidP="00A42F0D">
            <w:pPr>
              <w:spacing w:line="276" w:lineRule="auto"/>
              <w:ind w:firstLine="20"/>
              <w:jc w:val="center"/>
            </w:pPr>
            <w:r w:rsidRPr="006435A5">
              <w:t>42.5</w:t>
            </w:r>
          </w:p>
        </w:tc>
        <w:tc>
          <w:tcPr>
            <w:tcW w:w="1005" w:type="dxa"/>
            <w:tcBorders>
              <w:left w:val="nil"/>
              <w:right w:val="nil"/>
            </w:tcBorders>
            <w:vAlign w:val="center"/>
          </w:tcPr>
          <w:p w14:paraId="6F855383" w14:textId="77777777" w:rsidR="00AD6087" w:rsidRPr="006435A5" w:rsidRDefault="00AD6087" w:rsidP="00A42F0D">
            <w:pPr>
              <w:spacing w:line="276" w:lineRule="auto"/>
              <w:ind w:firstLine="20"/>
              <w:jc w:val="center"/>
            </w:pPr>
            <w:r w:rsidRPr="006435A5">
              <w:t>42.7</w:t>
            </w:r>
          </w:p>
        </w:tc>
        <w:tc>
          <w:tcPr>
            <w:tcW w:w="1007" w:type="dxa"/>
            <w:tcBorders>
              <w:left w:val="nil"/>
              <w:right w:val="nil"/>
            </w:tcBorders>
            <w:vAlign w:val="center"/>
          </w:tcPr>
          <w:p w14:paraId="68E1A98B" w14:textId="77777777" w:rsidR="00AD6087" w:rsidRPr="006435A5" w:rsidRDefault="00AD6087" w:rsidP="00A42F0D">
            <w:pPr>
              <w:spacing w:line="276" w:lineRule="auto"/>
              <w:ind w:firstLine="20"/>
              <w:jc w:val="center"/>
            </w:pPr>
            <w:r w:rsidRPr="006435A5">
              <w:t>302.8</w:t>
            </w:r>
          </w:p>
        </w:tc>
      </w:tr>
      <w:tr w:rsidR="00AD6087" w:rsidRPr="006435A5" w14:paraId="2FD55C3F" w14:textId="77777777" w:rsidTr="00A42F0D">
        <w:trPr>
          <w:trHeight w:val="224"/>
          <w:jc w:val="center"/>
        </w:trPr>
        <w:tc>
          <w:tcPr>
            <w:tcW w:w="4441" w:type="dxa"/>
            <w:tcBorders>
              <w:left w:val="nil"/>
              <w:right w:val="nil"/>
            </w:tcBorders>
            <w:vAlign w:val="center"/>
          </w:tcPr>
          <w:p w14:paraId="06215699" w14:textId="77777777" w:rsidR="00AD6087" w:rsidRPr="006435A5" w:rsidRDefault="00AD6087" w:rsidP="00A42F0D">
            <w:pPr>
              <w:spacing w:line="276" w:lineRule="auto"/>
              <w:ind w:firstLine="20"/>
              <w:jc w:val="left"/>
            </w:pPr>
            <w:r w:rsidRPr="006435A5">
              <w:t>տոկոսավճար</w:t>
            </w:r>
          </w:p>
        </w:tc>
        <w:tc>
          <w:tcPr>
            <w:tcW w:w="1429" w:type="dxa"/>
            <w:tcBorders>
              <w:left w:val="nil"/>
              <w:right w:val="double" w:sz="4" w:space="0" w:color="auto"/>
            </w:tcBorders>
            <w:vAlign w:val="center"/>
          </w:tcPr>
          <w:p w14:paraId="4803EECB" w14:textId="77777777" w:rsidR="00AD6087" w:rsidRPr="006435A5" w:rsidRDefault="00AD6087" w:rsidP="00A42F0D">
            <w:pPr>
              <w:spacing w:line="276" w:lineRule="auto"/>
              <w:ind w:firstLine="20"/>
              <w:jc w:val="center"/>
            </w:pPr>
            <w:r w:rsidRPr="006435A5">
              <w:t>36.3</w:t>
            </w:r>
          </w:p>
        </w:tc>
        <w:tc>
          <w:tcPr>
            <w:tcW w:w="1005" w:type="dxa"/>
            <w:tcBorders>
              <w:left w:val="double" w:sz="4" w:space="0" w:color="auto"/>
              <w:right w:val="nil"/>
            </w:tcBorders>
            <w:vAlign w:val="center"/>
          </w:tcPr>
          <w:p w14:paraId="59ECB8F6" w14:textId="77777777" w:rsidR="00AD6087" w:rsidRPr="006435A5" w:rsidRDefault="00AD6087" w:rsidP="00A42F0D">
            <w:pPr>
              <w:spacing w:line="276" w:lineRule="auto"/>
              <w:ind w:firstLine="20"/>
              <w:jc w:val="center"/>
            </w:pPr>
            <w:r w:rsidRPr="006435A5">
              <w:t>36.3</w:t>
            </w:r>
          </w:p>
        </w:tc>
        <w:tc>
          <w:tcPr>
            <w:tcW w:w="1005" w:type="dxa"/>
            <w:tcBorders>
              <w:left w:val="nil"/>
              <w:right w:val="nil"/>
            </w:tcBorders>
            <w:vAlign w:val="center"/>
          </w:tcPr>
          <w:p w14:paraId="69809FB0" w14:textId="77777777" w:rsidR="00AD6087" w:rsidRPr="006435A5" w:rsidRDefault="00AD6087" w:rsidP="00A42F0D">
            <w:pPr>
              <w:spacing w:line="276" w:lineRule="auto"/>
              <w:ind w:firstLine="20"/>
              <w:jc w:val="center"/>
            </w:pPr>
            <w:r w:rsidRPr="006435A5">
              <w:t>42.5</w:t>
            </w:r>
          </w:p>
        </w:tc>
        <w:tc>
          <w:tcPr>
            <w:tcW w:w="1005" w:type="dxa"/>
            <w:tcBorders>
              <w:left w:val="nil"/>
              <w:right w:val="nil"/>
            </w:tcBorders>
            <w:vAlign w:val="center"/>
          </w:tcPr>
          <w:p w14:paraId="067B197A" w14:textId="77777777" w:rsidR="00AD6087" w:rsidRPr="006435A5" w:rsidRDefault="00AD6087" w:rsidP="00A42F0D">
            <w:pPr>
              <w:spacing w:line="276" w:lineRule="auto"/>
              <w:ind w:firstLine="20"/>
              <w:jc w:val="center"/>
            </w:pPr>
            <w:r w:rsidRPr="006435A5">
              <w:t>42.7</w:t>
            </w:r>
          </w:p>
        </w:tc>
        <w:tc>
          <w:tcPr>
            <w:tcW w:w="1007" w:type="dxa"/>
            <w:tcBorders>
              <w:left w:val="nil"/>
              <w:right w:val="nil"/>
            </w:tcBorders>
            <w:vAlign w:val="center"/>
          </w:tcPr>
          <w:p w14:paraId="3B8D1E6F" w14:textId="77777777" w:rsidR="00AD6087" w:rsidRPr="006435A5" w:rsidRDefault="00AD6087" w:rsidP="00A42F0D">
            <w:pPr>
              <w:spacing w:line="276" w:lineRule="auto"/>
              <w:ind w:firstLine="20"/>
              <w:jc w:val="center"/>
            </w:pPr>
            <w:r w:rsidRPr="006435A5">
              <w:t>42.9</w:t>
            </w:r>
          </w:p>
        </w:tc>
      </w:tr>
      <w:tr w:rsidR="00AD6087" w:rsidRPr="006435A5" w14:paraId="48322421" w14:textId="77777777" w:rsidTr="00A42F0D">
        <w:trPr>
          <w:trHeight w:val="211"/>
          <w:jc w:val="center"/>
        </w:trPr>
        <w:tc>
          <w:tcPr>
            <w:tcW w:w="4441" w:type="dxa"/>
            <w:tcBorders>
              <w:left w:val="nil"/>
              <w:bottom w:val="thickThinSmallGap" w:sz="24" w:space="0" w:color="auto"/>
              <w:right w:val="nil"/>
            </w:tcBorders>
            <w:vAlign w:val="center"/>
          </w:tcPr>
          <w:p w14:paraId="2740A126" w14:textId="77777777" w:rsidR="00AD6087" w:rsidRPr="006435A5" w:rsidRDefault="00AD6087" w:rsidP="00A42F0D">
            <w:pPr>
              <w:spacing w:line="276" w:lineRule="auto"/>
              <w:ind w:firstLine="20"/>
              <w:jc w:val="left"/>
            </w:pPr>
            <w:r w:rsidRPr="006435A5">
              <w:t>մարում</w:t>
            </w:r>
          </w:p>
        </w:tc>
        <w:tc>
          <w:tcPr>
            <w:tcW w:w="1429" w:type="dxa"/>
            <w:tcBorders>
              <w:left w:val="nil"/>
              <w:bottom w:val="thickThinSmallGap" w:sz="24" w:space="0" w:color="auto"/>
              <w:right w:val="double" w:sz="4" w:space="0" w:color="auto"/>
            </w:tcBorders>
            <w:vAlign w:val="center"/>
          </w:tcPr>
          <w:p w14:paraId="7572F47C" w14:textId="77777777" w:rsidR="00AD6087" w:rsidRPr="006435A5" w:rsidRDefault="00AD6087" w:rsidP="00A42F0D">
            <w:pPr>
              <w:spacing w:line="276" w:lineRule="auto"/>
              <w:ind w:firstLine="20"/>
              <w:jc w:val="center"/>
            </w:pPr>
            <w:r w:rsidRPr="006435A5">
              <w:t>-</w:t>
            </w:r>
          </w:p>
        </w:tc>
        <w:tc>
          <w:tcPr>
            <w:tcW w:w="1005" w:type="dxa"/>
            <w:tcBorders>
              <w:left w:val="double" w:sz="4" w:space="0" w:color="auto"/>
              <w:bottom w:val="thickThinSmallGap" w:sz="24" w:space="0" w:color="auto"/>
              <w:right w:val="nil"/>
            </w:tcBorders>
            <w:vAlign w:val="center"/>
          </w:tcPr>
          <w:p w14:paraId="561A3667" w14:textId="77777777" w:rsidR="00AD6087" w:rsidRPr="006435A5" w:rsidRDefault="00AD6087" w:rsidP="00A42F0D">
            <w:pPr>
              <w:spacing w:line="276" w:lineRule="auto"/>
              <w:ind w:firstLine="20"/>
              <w:jc w:val="center"/>
            </w:pPr>
            <w:r w:rsidRPr="006435A5">
              <w:t>-</w:t>
            </w:r>
          </w:p>
        </w:tc>
        <w:tc>
          <w:tcPr>
            <w:tcW w:w="1005" w:type="dxa"/>
            <w:tcBorders>
              <w:left w:val="nil"/>
              <w:bottom w:val="thickThinSmallGap" w:sz="24" w:space="0" w:color="auto"/>
              <w:right w:val="nil"/>
            </w:tcBorders>
            <w:vAlign w:val="center"/>
          </w:tcPr>
          <w:p w14:paraId="46A5E2E9" w14:textId="77777777" w:rsidR="00AD6087" w:rsidRPr="006435A5" w:rsidRDefault="00AD6087" w:rsidP="00A42F0D">
            <w:pPr>
              <w:spacing w:line="276" w:lineRule="auto"/>
              <w:ind w:firstLine="20"/>
              <w:jc w:val="center"/>
            </w:pPr>
            <w:r w:rsidRPr="006435A5">
              <w:t>-</w:t>
            </w:r>
          </w:p>
        </w:tc>
        <w:tc>
          <w:tcPr>
            <w:tcW w:w="1005" w:type="dxa"/>
            <w:tcBorders>
              <w:left w:val="nil"/>
              <w:bottom w:val="thickThinSmallGap" w:sz="24" w:space="0" w:color="auto"/>
              <w:right w:val="nil"/>
            </w:tcBorders>
            <w:vAlign w:val="center"/>
          </w:tcPr>
          <w:p w14:paraId="64FEE826" w14:textId="77777777" w:rsidR="00AD6087" w:rsidRPr="006435A5" w:rsidRDefault="00AD6087" w:rsidP="00A42F0D">
            <w:pPr>
              <w:spacing w:line="276" w:lineRule="auto"/>
              <w:ind w:firstLine="20"/>
              <w:jc w:val="center"/>
            </w:pPr>
            <w:r w:rsidRPr="006435A5">
              <w:t>-</w:t>
            </w:r>
          </w:p>
        </w:tc>
        <w:tc>
          <w:tcPr>
            <w:tcW w:w="1007" w:type="dxa"/>
            <w:tcBorders>
              <w:left w:val="nil"/>
              <w:bottom w:val="thickThinSmallGap" w:sz="24" w:space="0" w:color="auto"/>
              <w:right w:val="nil"/>
            </w:tcBorders>
            <w:vAlign w:val="center"/>
          </w:tcPr>
          <w:p w14:paraId="221CDC0A" w14:textId="77777777" w:rsidR="00AD6087" w:rsidRPr="006435A5" w:rsidRDefault="00AD6087" w:rsidP="00A42F0D">
            <w:pPr>
              <w:spacing w:line="276" w:lineRule="auto"/>
              <w:ind w:firstLine="20"/>
              <w:jc w:val="center"/>
            </w:pPr>
            <w:r w:rsidRPr="006435A5">
              <w:t>259.9</w:t>
            </w:r>
          </w:p>
        </w:tc>
      </w:tr>
    </w:tbl>
    <w:p w14:paraId="46A0DE2E" w14:textId="77777777" w:rsidR="00AD6087" w:rsidRPr="006435A5" w:rsidRDefault="00AD6087" w:rsidP="00AD6087">
      <w:pPr>
        <w:spacing w:line="276" w:lineRule="auto"/>
      </w:pPr>
    </w:p>
    <w:p w14:paraId="24785C89" w14:textId="77777777" w:rsidR="00AD6087" w:rsidRPr="006435A5" w:rsidRDefault="00AD6087" w:rsidP="00AD6087">
      <w:pPr>
        <w:spacing w:line="276" w:lineRule="auto"/>
      </w:pPr>
      <w:r w:rsidRPr="006435A5">
        <w:t>ՀՀ կառավարությունը պարտքի և կանխիկ հոսքերի կառավարման գործիքների (հետգնումներ, ՀՀ կենտրոնական բանկում միջոցների ավանդադրում և այլն) կիրառմամբ վերահսկում է վերաֆինանսավորման հետ կապված ռիսկերը:</w:t>
      </w:r>
    </w:p>
    <w:p w14:paraId="3882B4BC" w14:textId="77777777" w:rsidR="00AD6087" w:rsidRPr="006435A5" w:rsidRDefault="00AD6087" w:rsidP="00AD6087">
      <w:pPr>
        <w:pStyle w:val="aff3"/>
        <w:spacing w:line="276" w:lineRule="auto"/>
      </w:pPr>
      <w:r w:rsidRPr="006435A5">
        <w:t>Տոկոսադրույքի ռիսկ</w:t>
      </w:r>
    </w:p>
    <w:p w14:paraId="095C5649" w14:textId="77777777" w:rsidR="00AD6087" w:rsidRPr="006435A5" w:rsidRDefault="00AD6087" w:rsidP="00AD6087">
      <w:pPr>
        <w:spacing w:line="276" w:lineRule="auto"/>
        <w:rPr>
          <w:color w:val="FF0000"/>
        </w:rPr>
      </w:pPr>
      <w:r w:rsidRPr="006435A5">
        <w:t>Տոկոսադրույքի հետ կապված ռիսկերը արժանի են մեծ ուշադրության, քանի որ շուկայական պայմաններով ներգրավվող փոխառու միջոցների կշիռը գնալով աճում է: Տոկոսադրույքի ռիսկի կառավարման նպա</w:t>
      </w:r>
      <w:r w:rsidRPr="006435A5">
        <w:softHyphen/>
        <w:t>տակն է ապահովել կառավարության պարտքի այն</w:t>
      </w:r>
      <w:r w:rsidRPr="006435A5">
        <w:softHyphen/>
        <w:t>պիսի կառուցվածք, որի դեպքում ֆինան</w:t>
      </w:r>
      <w:r w:rsidRPr="006435A5">
        <w:softHyphen/>
        <w:t>սական շուկա</w:t>
      </w:r>
      <w:r w:rsidRPr="006435A5">
        <w:softHyphen/>
        <w:t>ներում տոկոսադրույքների փոփոխու</w:t>
      </w:r>
      <w:r w:rsidRPr="006435A5">
        <w:softHyphen/>
        <w:t>թյունը հնարավորինս քիչ ազդեցություն կունենա կանխա</w:t>
      </w:r>
      <w:r w:rsidRPr="006435A5">
        <w:softHyphen/>
        <w:t>տես</w:t>
      </w:r>
      <w:r w:rsidRPr="006435A5">
        <w:softHyphen/>
        <w:t>վող տոկոսագումարների մակարդակի վրա: ՀՀ կառավարության պարտքի պորտֆելի տոկոսադրույքի ռիսկի ցուցանիշները կանխա</w:t>
      </w:r>
      <w:r w:rsidRPr="006435A5">
        <w:softHyphen/>
        <w:t>տես</w:t>
      </w:r>
      <w:r w:rsidRPr="006435A5">
        <w:softHyphen/>
      </w:r>
      <w:r w:rsidRPr="006435A5">
        <w:softHyphen/>
        <w:t>վող ժամանակահատվածում մնում են կառավարելի:</w:t>
      </w:r>
      <w:r w:rsidRPr="006435A5">
        <w:rPr>
          <w:color w:val="FF0000"/>
        </w:rPr>
        <w:t xml:space="preserve"> </w:t>
      </w:r>
    </w:p>
    <w:p w14:paraId="3666D4A9" w14:textId="77777777" w:rsidR="00AD6087" w:rsidRPr="006435A5" w:rsidRDefault="00AD6087" w:rsidP="00AD6087">
      <w:pPr>
        <w:spacing w:line="276" w:lineRule="auto"/>
      </w:pPr>
      <w:r w:rsidRPr="006435A5">
        <w:t>Ֆիքսված տոկոսադրույքով պարտքի կշիռը միջնաժամկետ հատվածում աստիճանաբար կաճի և 2024 թվականի տարեվերջին, ըստ կանխատեսման, կկազմի 85.4%: Ֆիքսված տոկոսադրույքով պարտքի կշռի ավելացմանը էապես կնպաստի այն, որ ՀՀ կառավարության կողմից կանխատեսվող ժամանակահատվածում նախորդ տարիների համեմատ կավելանա թողարկվող ֆիքսված տոկոսադրույքով ներքին պարտքի ծավալը: Կանխատեսվում է, որ շրջանառության մեջ գտնվող պետական գանձապետական պարտատոմսերի ծավալի կշիռը միջնաժամկետ հատվածում կաճի` 2020 թվականի ՀՀ կառավարության պարտքի 24.4% փաստացի ցուցանիշի նկատմամբ 2024 թվականին կազմելով 37.5%-ը: Սակայն, մյուս կողմից էլ միջազգային վարկատուներն ավելի շատ լողացող տոկոսադրույքով նոր վարկեր են տրամադրելու, որն իր հերթին որոշ չափով կմեղմի ՀՀ կառավարության պարտքի պորտֆելի ֆիքսված տոկոսադրույքով պարտքի կշռի աճի տեմպը: Անհրաժեշտության դեպքում, տոկոսադրույքի ռիսկը կառավարելու նպատակով, արտաքին վարկատուների կողմից սահմանված ընթացա</w:t>
      </w:r>
      <w:r w:rsidRPr="006435A5">
        <w:softHyphen/>
        <w:t>կարգերի համաձայն, կիրականացվի լողացող տոկոսադրույքով ներգրավված վարկերի տոկոսադրույքի ֆիքսում:</w:t>
      </w:r>
    </w:p>
    <w:p w14:paraId="21F91C55" w14:textId="77777777" w:rsidR="00AD6087" w:rsidRPr="006435A5" w:rsidRDefault="00AD6087" w:rsidP="00AD6087">
      <w:pPr>
        <w:spacing w:line="276" w:lineRule="auto"/>
      </w:pPr>
    </w:p>
    <w:p w14:paraId="6CC0A08C" w14:textId="77777777" w:rsidR="00AD6087" w:rsidRPr="006435A5" w:rsidRDefault="00AD6087" w:rsidP="00AD6087">
      <w:pPr>
        <w:spacing w:line="276" w:lineRule="auto"/>
      </w:pPr>
    </w:p>
    <w:p w14:paraId="34DC197D" w14:textId="77777777" w:rsidR="00AD6087" w:rsidRPr="006435A5" w:rsidRDefault="00AD6087" w:rsidP="00AD6087">
      <w:pPr>
        <w:pStyle w:val="aff1"/>
        <w:spacing w:before="120" w:after="0" w:line="276" w:lineRule="auto"/>
      </w:pPr>
      <w:r w:rsidRPr="006435A5">
        <w:rPr>
          <w:b/>
        </w:rPr>
        <w:t xml:space="preserve">Աղյուսակ 12. </w:t>
      </w:r>
      <w:r w:rsidRPr="006435A5">
        <w:t xml:space="preserve"> ՀՀ կառավարության պարտքի կառուցվածքում ֆիքսված և լողացող տոկոսադրույքով վարկերի տեսակարար կշիռը 2021-2024 թվականներին </w:t>
      </w:r>
    </w:p>
    <w:p w14:paraId="7ACAA959" w14:textId="77777777" w:rsidR="00AD6087" w:rsidRPr="006435A5" w:rsidRDefault="00AD6087" w:rsidP="00AD6087">
      <w:pPr>
        <w:pStyle w:val="aff1"/>
        <w:spacing w:line="276" w:lineRule="auto"/>
      </w:pPr>
      <w:r w:rsidRPr="006435A5">
        <w:t>(տոկոս)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0"/>
        <w:gridCol w:w="1376"/>
        <w:gridCol w:w="1009"/>
        <w:gridCol w:w="1051"/>
        <w:gridCol w:w="986"/>
        <w:gridCol w:w="1009"/>
      </w:tblGrid>
      <w:tr w:rsidR="00AD6087" w:rsidRPr="006435A5" w14:paraId="69C2EFDF" w14:textId="77777777" w:rsidTr="00A42F0D">
        <w:trPr>
          <w:trHeight w:val="664"/>
          <w:tblHeader/>
          <w:jc w:val="center"/>
        </w:trPr>
        <w:tc>
          <w:tcPr>
            <w:tcW w:w="4110" w:type="dxa"/>
            <w:tcBorders>
              <w:top w:val="thinThickThinSmallGap" w:sz="24" w:space="0" w:color="auto"/>
              <w:left w:val="nil"/>
              <w:bottom w:val="thinThickSmallGap" w:sz="24" w:space="0" w:color="auto"/>
              <w:right w:val="nil"/>
            </w:tcBorders>
            <w:shd w:val="clear" w:color="auto" w:fill="5B9BD5"/>
            <w:vAlign w:val="center"/>
          </w:tcPr>
          <w:p w14:paraId="4BCFAC79" w14:textId="77777777" w:rsidR="00AD6087" w:rsidRPr="006435A5" w:rsidRDefault="00AD6087" w:rsidP="00A42F0D">
            <w:pPr>
              <w:spacing w:line="276" w:lineRule="auto"/>
              <w:ind w:firstLine="0"/>
              <w:jc w:val="center"/>
            </w:pPr>
          </w:p>
        </w:tc>
        <w:tc>
          <w:tcPr>
            <w:tcW w:w="1376" w:type="dxa"/>
            <w:tcBorders>
              <w:top w:val="thinThickThinSmallGap" w:sz="24" w:space="0" w:color="auto"/>
              <w:left w:val="nil"/>
              <w:bottom w:val="thinThickSmallGap" w:sz="24" w:space="0" w:color="auto"/>
              <w:right w:val="double" w:sz="4" w:space="0" w:color="auto"/>
            </w:tcBorders>
            <w:shd w:val="clear" w:color="auto" w:fill="5B9BD5"/>
            <w:vAlign w:val="center"/>
          </w:tcPr>
          <w:p w14:paraId="79188295" w14:textId="77777777" w:rsidR="00AD6087" w:rsidRPr="006435A5" w:rsidRDefault="00AD6087" w:rsidP="00A42F0D">
            <w:pPr>
              <w:spacing w:line="276" w:lineRule="auto"/>
              <w:ind w:firstLine="0"/>
              <w:jc w:val="center"/>
            </w:pPr>
            <w:r w:rsidRPr="006435A5">
              <w:t>2021 պետբյուջեի ծրագիր</w:t>
            </w:r>
          </w:p>
        </w:tc>
        <w:tc>
          <w:tcPr>
            <w:tcW w:w="1009" w:type="dxa"/>
            <w:tcBorders>
              <w:top w:val="thinThickThinSmallGap" w:sz="24" w:space="0" w:color="auto"/>
              <w:left w:val="double" w:sz="4" w:space="0" w:color="auto"/>
              <w:bottom w:val="thinThickSmallGap" w:sz="24" w:space="0" w:color="auto"/>
              <w:right w:val="nil"/>
            </w:tcBorders>
            <w:shd w:val="clear" w:color="auto" w:fill="5B9BD5"/>
            <w:vAlign w:val="center"/>
          </w:tcPr>
          <w:p w14:paraId="3C568C29" w14:textId="77777777" w:rsidR="00AD6087" w:rsidRPr="006435A5" w:rsidRDefault="00AD6087" w:rsidP="00A42F0D">
            <w:pPr>
              <w:spacing w:line="276" w:lineRule="auto"/>
              <w:ind w:firstLine="0"/>
              <w:jc w:val="center"/>
            </w:pPr>
            <w:r w:rsidRPr="006435A5">
              <w:t>2021 կանխ.</w:t>
            </w:r>
          </w:p>
        </w:tc>
        <w:tc>
          <w:tcPr>
            <w:tcW w:w="1051" w:type="dxa"/>
            <w:tcBorders>
              <w:top w:val="thinThickThinSmallGap" w:sz="24" w:space="0" w:color="auto"/>
              <w:left w:val="nil"/>
              <w:bottom w:val="thinThickSmallGap" w:sz="24" w:space="0" w:color="auto"/>
              <w:right w:val="nil"/>
            </w:tcBorders>
            <w:shd w:val="clear" w:color="auto" w:fill="5B9BD5"/>
            <w:vAlign w:val="center"/>
          </w:tcPr>
          <w:p w14:paraId="5F4BC873" w14:textId="77777777" w:rsidR="00AD6087" w:rsidRPr="006435A5" w:rsidRDefault="00AD6087" w:rsidP="00A42F0D">
            <w:pPr>
              <w:spacing w:line="276" w:lineRule="auto"/>
              <w:ind w:firstLine="0"/>
              <w:jc w:val="center"/>
            </w:pPr>
            <w:r w:rsidRPr="006435A5">
              <w:t>2022 կանխ.</w:t>
            </w:r>
          </w:p>
        </w:tc>
        <w:tc>
          <w:tcPr>
            <w:tcW w:w="986" w:type="dxa"/>
            <w:tcBorders>
              <w:top w:val="thinThickThinSmallGap" w:sz="24" w:space="0" w:color="auto"/>
              <w:left w:val="nil"/>
              <w:bottom w:val="thinThickSmallGap" w:sz="24" w:space="0" w:color="auto"/>
              <w:right w:val="nil"/>
            </w:tcBorders>
            <w:shd w:val="clear" w:color="auto" w:fill="5B9BD5"/>
            <w:vAlign w:val="center"/>
          </w:tcPr>
          <w:p w14:paraId="7955CF85" w14:textId="77777777" w:rsidR="00AD6087" w:rsidRPr="006435A5" w:rsidRDefault="00AD6087" w:rsidP="00A42F0D">
            <w:pPr>
              <w:spacing w:line="276" w:lineRule="auto"/>
              <w:ind w:firstLine="0"/>
              <w:jc w:val="center"/>
            </w:pPr>
            <w:r w:rsidRPr="006435A5">
              <w:t>2023 կանխ.</w:t>
            </w:r>
          </w:p>
        </w:tc>
        <w:tc>
          <w:tcPr>
            <w:tcW w:w="1009" w:type="dxa"/>
            <w:tcBorders>
              <w:top w:val="thinThickThinSmallGap" w:sz="24" w:space="0" w:color="auto"/>
              <w:left w:val="nil"/>
              <w:bottom w:val="thinThickSmallGap" w:sz="24" w:space="0" w:color="auto"/>
              <w:right w:val="nil"/>
            </w:tcBorders>
            <w:shd w:val="clear" w:color="auto" w:fill="5B9BD5"/>
            <w:vAlign w:val="center"/>
          </w:tcPr>
          <w:p w14:paraId="6C072929" w14:textId="77777777" w:rsidR="00AD6087" w:rsidRPr="006435A5" w:rsidRDefault="00AD6087" w:rsidP="00A42F0D">
            <w:pPr>
              <w:spacing w:line="276" w:lineRule="auto"/>
              <w:ind w:firstLine="0"/>
              <w:jc w:val="center"/>
            </w:pPr>
            <w:r w:rsidRPr="006435A5">
              <w:t>2024 կանխ.</w:t>
            </w:r>
          </w:p>
        </w:tc>
      </w:tr>
      <w:tr w:rsidR="00AD6087" w:rsidRPr="006435A5" w14:paraId="20340D87" w14:textId="77777777" w:rsidTr="00A42F0D">
        <w:trPr>
          <w:trHeight w:val="399"/>
          <w:jc w:val="center"/>
        </w:trPr>
        <w:tc>
          <w:tcPr>
            <w:tcW w:w="4110" w:type="dxa"/>
            <w:tcBorders>
              <w:top w:val="thinThickSmallGap" w:sz="24" w:space="0" w:color="auto"/>
              <w:left w:val="nil"/>
              <w:right w:val="nil"/>
            </w:tcBorders>
            <w:vAlign w:val="center"/>
          </w:tcPr>
          <w:p w14:paraId="76792017" w14:textId="77777777" w:rsidR="00AD6087" w:rsidRPr="006435A5" w:rsidRDefault="00AD6087" w:rsidP="00A42F0D">
            <w:pPr>
              <w:spacing w:line="276" w:lineRule="auto"/>
              <w:ind w:firstLine="0"/>
              <w:jc w:val="left"/>
            </w:pPr>
            <w:r w:rsidRPr="006435A5">
              <w:t>ՀՀ կառավարության պարտք,</w:t>
            </w:r>
          </w:p>
        </w:tc>
        <w:tc>
          <w:tcPr>
            <w:tcW w:w="1376" w:type="dxa"/>
            <w:tcBorders>
              <w:top w:val="thinThickSmallGap" w:sz="24" w:space="0" w:color="auto"/>
              <w:left w:val="nil"/>
              <w:right w:val="double" w:sz="4" w:space="0" w:color="auto"/>
            </w:tcBorders>
            <w:vAlign w:val="center"/>
          </w:tcPr>
          <w:p w14:paraId="1FD109A5" w14:textId="77777777" w:rsidR="00AD6087" w:rsidRPr="006435A5" w:rsidRDefault="00AD6087" w:rsidP="00A42F0D">
            <w:pPr>
              <w:spacing w:line="276" w:lineRule="auto"/>
              <w:ind w:firstLine="0"/>
              <w:jc w:val="center"/>
            </w:pPr>
            <w:r w:rsidRPr="006435A5">
              <w:t>100.0</w:t>
            </w:r>
          </w:p>
        </w:tc>
        <w:tc>
          <w:tcPr>
            <w:tcW w:w="1009" w:type="dxa"/>
            <w:tcBorders>
              <w:top w:val="thinThickSmallGap" w:sz="24" w:space="0" w:color="auto"/>
              <w:left w:val="double" w:sz="4" w:space="0" w:color="auto"/>
              <w:right w:val="nil"/>
            </w:tcBorders>
            <w:vAlign w:val="center"/>
          </w:tcPr>
          <w:p w14:paraId="316BB903" w14:textId="77777777" w:rsidR="00AD6087" w:rsidRPr="006435A5" w:rsidRDefault="00AD6087" w:rsidP="00A42F0D">
            <w:pPr>
              <w:spacing w:line="276" w:lineRule="auto"/>
              <w:ind w:firstLine="0"/>
              <w:jc w:val="center"/>
            </w:pPr>
            <w:r w:rsidRPr="006435A5">
              <w:t>100.0</w:t>
            </w:r>
          </w:p>
        </w:tc>
        <w:tc>
          <w:tcPr>
            <w:tcW w:w="1051" w:type="dxa"/>
            <w:tcBorders>
              <w:top w:val="thinThickSmallGap" w:sz="24" w:space="0" w:color="auto"/>
              <w:left w:val="nil"/>
              <w:right w:val="nil"/>
            </w:tcBorders>
            <w:vAlign w:val="center"/>
          </w:tcPr>
          <w:p w14:paraId="0CA5792A" w14:textId="77777777" w:rsidR="00AD6087" w:rsidRPr="006435A5" w:rsidRDefault="00AD6087" w:rsidP="00A42F0D">
            <w:pPr>
              <w:spacing w:line="276" w:lineRule="auto"/>
              <w:ind w:firstLine="0"/>
              <w:jc w:val="center"/>
            </w:pPr>
            <w:r w:rsidRPr="006435A5">
              <w:t>100.0</w:t>
            </w:r>
          </w:p>
        </w:tc>
        <w:tc>
          <w:tcPr>
            <w:tcW w:w="986" w:type="dxa"/>
            <w:tcBorders>
              <w:top w:val="thinThickSmallGap" w:sz="24" w:space="0" w:color="auto"/>
              <w:left w:val="nil"/>
              <w:right w:val="nil"/>
            </w:tcBorders>
            <w:vAlign w:val="center"/>
          </w:tcPr>
          <w:p w14:paraId="43260844" w14:textId="77777777" w:rsidR="00AD6087" w:rsidRPr="006435A5" w:rsidRDefault="00AD6087" w:rsidP="00A42F0D">
            <w:pPr>
              <w:spacing w:line="276" w:lineRule="auto"/>
              <w:ind w:firstLine="0"/>
              <w:jc w:val="center"/>
            </w:pPr>
            <w:r w:rsidRPr="006435A5">
              <w:t>100.0</w:t>
            </w:r>
          </w:p>
        </w:tc>
        <w:tc>
          <w:tcPr>
            <w:tcW w:w="1009" w:type="dxa"/>
            <w:tcBorders>
              <w:top w:val="thinThickSmallGap" w:sz="24" w:space="0" w:color="auto"/>
              <w:left w:val="nil"/>
              <w:right w:val="nil"/>
            </w:tcBorders>
            <w:vAlign w:val="center"/>
          </w:tcPr>
          <w:p w14:paraId="2517E189" w14:textId="77777777" w:rsidR="00AD6087" w:rsidRPr="006435A5" w:rsidRDefault="00AD6087" w:rsidP="00A42F0D">
            <w:pPr>
              <w:spacing w:line="276" w:lineRule="auto"/>
              <w:ind w:firstLine="0"/>
              <w:jc w:val="center"/>
            </w:pPr>
            <w:r w:rsidRPr="006435A5">
              <w:t>100.0</w:t>
            </w:r>
          </w:p>
        </w:tc>
      </w:tr>
      <w:tr w:rsidR="00AD6087" w:rsidRPr="006435A5" w14:paraId="03B2D1BD" w14:textId="77777777" w:rsidTr="00A42F0D">
        <w:trPr>
          <w:trHeight w:val="306"/>
          <w:jc w:val="center"/>
        </w:trPr>
        <w:tc>
          <w:tcPr>
            <w:tcW w:w="4110" w:type="dxa"/>
            <w:tcBorders>
              <w:left w:val="nil"/>
              <w:right w:val="nil"/>
            </w:tcBorders>
            <w:vAlign w:val="center"/>
          </w:tcPr>
          <w:p w14:paraId="07F7B5D5" w14:textId="77777777" w:rsidR="00AD6087" w:rsidRPr="006435A5" w:rsidRDefault="00AD6087" w:rsidP="00A42F0D">
            <w:pPr>
              <w:spacing w:line="276" w:lineRule="auto"/>
              <w:ind w:firstLine="0"/>
              <w:jc w:val="left"/>
            </w:pPr>
            <w:r w:rsidRPr="006435A5">
              <w:t>այդ թվում`</w:t>
            </w:r>
          </w:p>
        </w:tc>
        <w:tc>
          <w:tcPr>
            <w:tcW w:w="1376" w:type="dxa"/>
            <w:tcBorders>
              <w:left w:val="nil"/>
              <w:right w:val="double" w:sz="4" w:space="0" w:color="auto"/>
            </w:tcBorders>
            <w:vAlign w:val="center"/>
          </w:tcPr>
          <w:p w14:paraId="45077249" w14:textId="77777777" w:rsidR="00AD6087" w:rsidRPr="006435A5" w:rsidRDefault="00AD6087" w:rsidP="00A42F0D">
            <w:pPr>
              <w:spacing w:line="276" w:lineRule="auto"/>
              <w:ind w:firstLine="0"/>
              <w:jc w:val="center"/>
            </w:pPr>
          </w:p>
        </w:tc>
        <w:tc>
          <w:tcPr>
            <w:tcW w:w="1009" w:type="dxa"/>
            <w:tcBorders>
              <w:left w:val="double" w:sz="4" w:space="0" w:color="auto"/>
              <w:right w:val="nil"/>
            </w:tcBorders>
            <w:vAlign w:val="center"/>
          </w:tcPr>
          <w:p w14:paraId="49B8466A" w14:textId="77777777" w:rsidR="00AD6087" w:rsidRPr="006435A5" w:rsidRDefault="00AD6087" w:rsidP="00A42F0D">
            <w:pPr>
              <w:spacing w:line="276" w:lineRule="auto"/>
              <w:ind w:firstLine="0"/>
              <w:jc w:val="center"/>
            </w:pPr>
          </w:p>
        </w:tc>
        <w:tc>
          <w:tcPr>
            <w:tcW w:w="1051" w:type="dxa"/>
            <w:tcBorders>
              <w:left w:val="nil"/>
              <w:right w:val="nil"/>
            </w:tcBorders>
            <w:vAlign w:val="center"/>
          </w:tcPr>
          <w:p w14:paraId="3D723FED" w14:textId="77777777" w:rsidR="00AD6087" w:rsidRPr="006435A5" w:rsidRDefault="00AD6087" w:rsidP="00A42F0D">
            <w:pPr>
              <w:spacing w:line="276" w:lineRule="auto"/>
              <w:ind w:firstLine="0"/>
              <w:jc w:val="center"/>
            </w:pPr>
          </w:p>
        </w:tc>
        <w:tc>
          <w:tcPr>
            <w:tcW w:w="986" w:type="dxa"/>
            <w:tcBorders>
              <w:left w:val="nil"/>
              <w:right w:val="nil"/>
            </w:tcBorders>
            <w:vAlign w:val="center"/>
          </w:tcPr>
          <w:p w14:paraId="630B44C2" w14:textId="77777777" w:rsidR="00AD6087" w:rsidRPr="006435A5" w:rsidRDefault="00AD6087" w:rsidP="00A42F0D">
            <w:pPr>
              <w:spacing w:line="276" w:lineRule="auto"/>
              <w:ind w:firstLine="0"/>
              <w:jc w:val="center"/>
            </w:pPr>
          </w:p>
        </w:tc>
        <w:tc>
          <w:tcPr>
            <w:tcW w:w="1009" w:type="dxa"/>
            <w:tcBorders>
              <w:left w:val="nil"/>
              <w:right w:val="nil"/>
            </w:tcBorders>
            <w:vAlign w:val="center"/>
          </w:tcPr>
          <w:p w14:paraId="4259A244" w14:textId="77777777" w:rsidR="00AD6087" w:rsidRPr="006435A5" w:rsidRDefault="00AD6087" w:rsidP="00A42F0D">
            <w:pPr>
              <w:spacing w:line="276" w:lineRule="auto"/>
              <w:ind w:firstLine="0"/>
              <w:jc w:val="center"/>
            </w:pPr>
          </w:p>
        </w:tc>
      </w:tr>
      <w:tr w:rsidR="00AD6087" w:rsidRPr="006435A5" w14:paraId="5CD904CA" w14:textId="77777777" w:rsidTr="00A42F0D">
        <w:trPr>
          <w:trHeight w:val="306"/>
          <w:jc w:val="center"/>
        </w:trPr>
        <w:tc>
          <w:tcPr>
            <w:tcW w:w="4110" w:type="dxa"/>
            <w:tcBorders>
              <w:left w:val="nil"/>
              <w:right w:val="nil"/>
            </w:tcBorders>
            <w:vAlign w:val="center"/>
          </w:tcPr>
          <w:p w14:paraId="7E24FAA0" w14:textId="77777777" w:rsidR="00AD6087" w:rsidRPr="006435A5" w:rsidRDefault="00AD6087" w:rsidP="00A42F0D">
            <w:pPr>
              <w:spacing w:line="276" w:lineRule="auto"/>
              <w:ind w:firstLine="0"/>
              <w:jc w:val="left"/>
            </w:pPr>
            <w:r w:rsidRPr="006435A5">
              <w:t>Ֆիքսված տոկոսադրույքով</w:t>
            </w:r>
          </w:p>
        </w:tc>
        <w:tc>
          <w:tcPr>
            <w:tcW w:w="1376" w:type="dxa"/>
            <w:tcBorders>
              <w:left w:val="nil"/>
              <w:right w:val="double" w:sz="4" w:space="0" w:color="auto"/>
            </w:tcBorders>
            <w:vAlign w:val="center"/>
          </w:tcPr>
          <w:p w14:paraId="6BAFCA74" w14:textId="77777777" w:rsidR="00AD6087" w:rsidRPr="006435A5" w:rsidRDefault="00AD6087" w:rsidP="00A42F0D">
            <w:pPr>
              <w:spacing w:line="276" w:lineRule="auto"/>
              <w:ind w:firstLine="0"/>
              <w:jc w:val="center"/>
            </w:pPr>
            <w:r w:rsidRPr="006435A5">
              <w:t>81.3</w:t>
            </w:r>
          </w:p>
        </w:tc>
        <w:tc>
          <w:tcPr>
            <w:tcW w:w="1009" w:type="dxa"/>
            <w:tcBorders>
              <w:left w:val="double" w:sz="4" w:space="0" w:color="auto"/>
              <w:right w:val="nil"/>
            </w:tcBorders>
            <w:vAlign w:val="center"/>
          </w:tcPr>
          <w:p w14:paraId="51F6A792" w14:textId="77777777" w:rsidR="00AD6087" w:rsidRPr="006435A5" w:rsidRDefault="00AD6087" w:rsidP="00A42F0D">
            <w:pPr>
              <w:spacing w:line="276" w:lineRule="auto"/>
              <w:ind w:firstLine="0"/>
              <w:jc w:val="center"/>
            </w:pPr>
            <w:r w:rsidRPr="006435A5">
              <w:t>82.4</w:t>
            </w:r>
          </w:p>
        </w:tc>
        <w:tc>
          <w:tcPr>
            <w:tcW w:w="1051" w:type="dxa"/>
            <w:tcBorders>
              <w:left w:val="nil"/>
              <w:right w:val="nil"/>
            </w:tcBorders>
            <w:vAlign w:val="center"/>
          </w:tcPr>
          <w:p w14:paraId="7E876760" w14:textId="77777777" w:rsidR="00AD6087" w:rsidRPr="006435A5" w:rsidRDefault="00AD6087" w:rsidP="00A42F0D">
            <w:pPr>
              <w:spacing w:line="276" w:lineRule="auto"/>
              <w:ind w:firstLine="0"/>
              <w:jc w:val="center"/>
            </w:pPr>
            <w:r w:rsidRPr="006435A5">
              <w:t>82.4</w:t>
            </w:r>
          </w:p>
        </w:tc>
        <w:tc>
          <w:tcPr>
            <w:tcW w:w="986" w:type="dxa"/>
            <w:tcBorders>
              <w:left w:val="nil"/>
              <w:right w:val="nil"/>
            </w:tcBorders>
            <w:vAlign w:val="center"/>
          </w:tcPr>
          <w:p w14:paraId="2B95B7D3" w14:textId="77777777" w:rsidR="00AD6087" w:rsidRPr="006435A5" w:rsidRDefault="00AD6087" w:rsidP="00A42F0D">
            <w:pPr>
              <w:spacing w:line="276" w:lineRule="auto"/>
              <w:ind w:firstLine="0"/>
              <w:jc w:val="center"/>
            </w:pPr>
            <w:r w:rsidRPr="006435A5">
              <w:t>83.6</w:t>
            </w:r>
          </w:p>
        </w:tc>
        <w:tc>
          <w:tcPr>
            <w:tcW w:w="1009" w:type="dxa"/>
            <w:tcBorders>
              <w:left w:val="nil"/>
              <w:right w:val="nil"/>
            </w:tcBorders>
            <w:vAlign w:val="center"/>
          </w:tcPr>
          <w:p w14:paraId="29B9ED80" w14:textId="77777777" w:rsidR="00AD6087" w:rsidRPr="006435A5" w:rsidRDefault="00AD6087" w:rsidP="00A42F0D">
            <w:pPr>
              <w:spacing w:line="276" w:lineRule="auto"/>
              <w:ind w:firstLine="0"/>
              <w:jc w:val="center"/>
            </w:pPr>
            <w:r w:rsidRPr="006435A5">
              <w:t>85.4</w:t>
            </w:r>
          </w:p>
        </w:tc>
      </w:tr>
      <w:tr w:rsidR="00AD6087" w:rsidRPr="006435A5" w14:paraId="4ECB00CE" w14:textId="77777777" w:rsidTr="00A42F0D">
        <w:trPr>
          <w:trHeight w:val="320"/>
          <w:jc w:val="center"/>
        </w:trPr>
        <w:tc>
          <w:tcPr>
            <w:tcW w:w="4110" w:type="dxa"/>
            <w:tcBorders>
              <w:left w:val="nil"/>
              <w:right w:val="nil"/>
            </w:tcBorders>
            <w:vAlign w:val="center"/>
          </w:tcPr>
          <w:p w14:paraId="0C99A98E" w14:textId="77777777" w:rsidR="00AD6087" w:rsidRPr="006435A5" w:rsidRDefault="00AD6087" w:rsidP="00A42F0D">
            <w:pPr>
              <w:spacing w:line="276" w:lineRule="auto"/>
              <w:ind w:firstLine="0"/>
              <w:jc w:val="left"/>
            </w:pPr>
            <w:r w:rsidRPr="006435A5">
              <w:t>Լողացող տոկոսադրույքով</w:t>
            </w:r>
          </w:p>
        </w:tc>
        <w:tc>
          <w:tcPr>
            <w:tcW w:w="1376" w:type="dxa"/>
            <w:tcBorders>
              <w:left w:val="nil"/>
              <w:right w:val="double" w:sz="4" w:space="0" w:color="auto"/>
            </w:tcBorders>
            <w:vAlign w:val="center"/>
          </w:tcPr>
          <w:p w14:paraId="7E0A5CD6" w14:textId="77777777" w:rsidR="00AD6087" w:rsidRPr="006435A5" w:rsidRDefault="00AD6087" w:rsidP="00A42F0D">
            <w:pPr>
              <w:spacing w:line="276" w:lineRule="auto"/>
              <w:ind w:firstLine="0"/>
              <w:jc w:val="center"/>
            </w:pPr>
            <w:r w:rsidRPr="006435A5">
              <w:t>18.7</w:t>
            </w:r>
          </w:p>
        </w:tc>
        <w:tc>
          <w:tcPr>
            <w:tcW w:w="1009" w:type="dxa"/>
            <w:tcBorders>
              <w:left w:val="double" w:sz="4" w:space="0" w:color="auto"/>
              <w:right w:val="nil"/>
            </w:tcBorders>
            <w:vAlign w:val="center"/>
          </w:tcPr>
          <w:p w14:paraId="6E987D0B" w14:textId="77777777" w:rsidR="00AD6087" w:rsidRPr="006435A5" w:rsidRDefault="00AD6087" w:rsidP="00A42F0D">
            <w:pPr>
              <w:spacing w:line="276" w:lineRule="auto"/>
              <w:ind w:firstLine="0"/>
              <w:jc w:val="center"/>
            </w:pPr>
            <w:r w:rsidRPr="006435A5">
              <w:t>17.6</w:t>
            </w:r>
          </w:p>
        </w:tc>
        <w:tc>
          <w:tcPr>
            <w:tcW w:w="1051" w:type="dxa"/>
            <w:tcBorders>
              <w:left w:val="nil"/>
              <w:right w:val="nil"/>
            </w:tcBorders>
            <w:vAlign w:val="center"/>
          </w:tcPr>
          <w:p w14:paraId="6B020036" w14:textId="77777777" w:rsidR="00AD6087" w:rsidRPr="006435A5" w:rsidRDefault="00AD6087" w:rsidP="00A42F0D">
            <w:pPr>
              <w:spacing w:line="276" w:lineRule="auto"/>
              <w:ind w:firstLine="0"/>
              <w:jc w:val="center"/>
            </w:pPr>
            <w:r w:rsidRPr="006435A5">
              <w:t>17.6</w:t>
            </w:r>
          </w:p>
        </w:tc>
        <w:tc>
          <w:tcPr>
            <w:tcW w:w="986" w:type="dxa"/>
            <w:tcBorders>
              <w:left w:val="nil"/>
              <w:right w:val="nil"/>
            </w:tcBorders>
            <w:vAlign w:val="center"/>
          </w:tcPr>
          <w:p w14:paraId="46CF0324" w14:textId="77777777" w:rsidR="00AD6087" w:rsidRPr="006435A5" w:rsidRDefault="00AD6087" w:rsidP="00A42F0D">
            <w:pPr>
              <w:spacing w:line="276" w:lineRule="auto"/>
              <w:ind w:firstLine="0"/>
              <w:jc w:val="center"/>
            </w:pPr>
            <w:r w:rsidRPr="006435A5">
              <w:t>16.4</w:t>
            </w:r>
          </w:p>
        </w:tc>
        <w:tc>
          <w:tcPr>
            <w:tcW w:w="1009" w:type="dxa"/>
            <w:tcBorders>
              <w:left w:val="nil"/>
              <w:right w:val="nil"/>
            </w:tcBorders>
            <w:vAlign w:val="center"/>
          </w:tcPr>
          <w:p w14:paraId="0EB848BC" w14:textId="77777777" w:rsidR="00AD6087" w:rsidRPr="006435A5" w:rsidRDefault="00AD6087" w:rsidP="00A42F0D">
            <w:pPr>
              <w:spacing w:line="276" w:lineRule="auto"/>
              <w:ind w:firstLine="0"/>
              <w:jc w:val="center"/>
            </w:pPr>
            <w:r w:rsidRPr="006435A5">
              <w:t>14.6</w:t>
            </w:r>
          </w:p>
        </w:tc>
      </w:tr>
      <w:tr w:rsidR="00AD6087" w:rsidRPr="006435A5" w14:paraId="28D8EC95" w14:textId="77777777" w:rsidTr="00A42F0D">
        <w:trPr>
          <w:trHeight w:val="375"/>
          <w:jc w:val="center"/>
        </w:trPr>
        <w:tc>
          <w:tcPr>
            <w:tcW w:w="4110" w:type="dxa"/>
            <w:tcBorders>
              <w:left w:val="nil"/>
              <w:right w:val="nil"/>
            </w:tcBorders>
            <w:vAlign w:val="center"/>
          </w:tcPr>
          <w:p w14:paraId="5CEAB4A1" w14:textId="77777777" w:rsidR="00AD6087" w:rsidRPr="006435A5" w:rsidRDefault="00AD6087" w:rsidP="00A42F0D">
            <w:pPr>
              <w:spacing w:line="276" w:lineRule="auto"/>
              <w:ind w:firstLine="0"/>
              <w:jc w:val="left"/>
            </w:pPr>
            <w:r w:rsidRPr="006435A5">
              <w:t>ՀՀ կառավարության արտաքին պարտք</w:t>
            </w:r>
          </w:p>
        </w:tc>
        <w:tc>
          <w:tcPr>
            <w:tcW w:w="1376" w:type="dxa"/>
            <w:tcBorders>
              <w:left w:val="nil"/>
              <w:right w:val="double" w:sz="4" w:space="0" w:color="auto"/>
            </w:tcBorders>
            <w:vAlign w:val="center"/>
          </w:tcPr>
          <w:p w14:paraId="33205D81" w14:textId="77777777" w:rsidR="00AD6087" w:rsidRPr="006435A5" w:rsidRDefault="00AD6087" w:rsidP="00A42F0D">
            <w:pPr>
              <w:spacing w:line="276" w:lineRule="auto"/>
              <w:ind w:firstLine="0"/>
              <w:jc w:val="center"/>
            </w:pPr>
            <w:r w:rsidRPr="006435A5">
              <w:t>100.0</w:t>
            </w:r>
          </w:p>
        </w:tc>
        <w:tc>
          <w:tcPr>
            <w:tcW w:w="1009" w:type="dxa"/>
            <w:tcBorders>
              <w:left w:val="double" w:sz="4" w:space="0" w:color="auto"/>
              <w:right w:val="nil"/>
            </w:tcBorders>
            <w:vAlign w:val="center"/>
          </w:tcPr>
          <w:p w14:paraId="7BAFEF9B" w14:textId="77777777" w:rsidR="00AD6087" w:rsidRPr="006435A5" w:rsidRDefault="00AD6087" w:rsidP="00A42F0D">
            <w:pPr>
              <w:spacing w:line="276" w:lineRule="auto"/>
              <w:ind w:firstLine="0"/>
              <w:jc w:val="center"/>
            </w:pPr>
            <w:r w:rsidRPr="006435A5">
              <w:t>100.0</w:t>
            </w:r>
          </w:p>
        </w:tc>
        <w:tc>
          <w:tcPr>
            <w:tcW w:w="1051" w:type="dxa"/>
            <w:tcBorders>
              <w:left w:val="nil"/>
              <w:right w:val="nil"/>
            </w:tcBorders>
            <w:vAlign w:val="center"/>
          </w:tcPr>
          <w:p w14:paraId="27881408" w14:textId="77777777" w:rsidR="00AD6087" w:rsidRPr="006435A5" w:rsidRDefault="00AD6087" w:rsidP="00A42F0D">
            <w:pPr>
              <w:spacing w:line="276" w:lineRule="auto"/>
              <w:ind w:firstLine="0"/>
              <w:jc w:val="center"/>
            </w:pPr>
            <w:r w:rsidRPr="006435A5">
              <w:t>100.0</w:t>
            </w:r>
          </w:p>
        </w:tc>
        <w:tc>
          <w:tcPr>
            <w:tcW w:w="986" w:type="dxa"/>
            <w:tcBorders>
              <w:left w:val="nil"/>
              <w:right w:val="nil"/>
            </w:tcBorders>
            <w:vAlign w:val="center"/>
          </w:tcPr>
          <w:p w14:paraId="2A754129" w14:textId="77777777" w:rsidR="00AD6087" w:rsidRPr="006435A5" w:rsidRDefault="00AD6087" w:rsidP="00A42F0D">
            <w:pPr>
              <w:spacing w:line="276" w:lineRule="auto"/>
              <w:ind w:firstLine="0"/>
              <w:jc w:val="center"/>
            </w:pPr>
            <w:r w:rsidRPr="006435A5">
              <w:t>100.0</w:t>
            </w:r>
          </w:p>
        </w:tc>
        <w:tc>
          <w:tcPr>
            <w:tcW w:w="1009" w:type="dxa"/>
            <w:tcBorders>
              <w:left w:val="nil"/>
              <w:right w:val="nil"/>
            </w:tcBorders>
            <w:vAlign w:val="center"/>
          </w:tcPr>
          <w:p w14:paraId="6F519BF5" w14:textId="77777777" w:rsidR="00AD6087" w:rsidRPr="006435A5" w:rsidRDefault="00AD6087" w:rsidP="00A42F0D">
            <w:pPr>
              <w:spacing w:line="276" w:lineRule="auto"/>
              <w:ind w:firstLine="0"/>
              <w:jc w:val="center"/>
            </w:pPr>
            <w:r w:rsidRPr="006435A5">
              <w:t>100.0</w:t>
            </w:r>
          </w:p>
        </w:tc>
      </w:tr>
      <w:tr w:rsidR="00AD6087" w:rsidRPr="006435A5" w14:paraId="7B981768" w14:textId="77777777" w:rsidTr="00A42F0D">
        <w:trPr>
          <w:trHeight w:val="306"/>
          <w:jc w:val="center"/>
        </w:trPr>
        <w:tc>
          <w:tcPr>
            <w:tcW w:w="4110" w:type="dxa"/>
            <w:tcBorders>
              <w:left w:val="nil"/>
              <w:right w:val="nil"/>
            </w:tcBorders>
            <w:vAlign w:val="center"/>
          </w:tcPr>
          <w:p w14:paraId="24F8DD3B" w14:textId="77777777" w:rsidR="00AD6087" w:rsidRPr="006435A5" w:rsidRDefault="00AD6087" w:rsidP="00A42F0D">
            <w:pPr>
              <w:spacing w:line="276" w:lineRule="auto"/>
              <w:ind w:firstLine="0"/>
              <w:jc w:val="left"/>
            </w:pPr>
            <w:r w:rsidRPr="006435A5">
              <w:t>այդ թվում</w:t>
            </w:r>
          </w:p>
        </w:tc>
        <w:tc>
          <w:tcPr>
            <w:tcW w:w="1376" w:type="dxa"/>
            <w:tcBorders>
              <w:left w:val="nil"/>
              <w:right w:val="double" w:sz="4" w:space="0" w:color="auto"/>
            </w:tcBorders>
            <w:vAlign w:val="center"/>
          </w:tcPr>
          <w:p w14:paraId="7A4BF6BF" w14:textId="77777777" w:rsidR="00AD6087" w:rsidRPr="006435A5" w:rsidRDefault="00AD6087" w:rsidP="00A42F0D">
            <w:pPr>
              <w:spacing w:line="276" w:lineRule="auto"/>
              <w:ind w:firstLine="0"/>
              <w:jc w:val="center"/>
            </w:pPr>
          </w:p>
        </w:tc>
        <w:tc>
          <w:tcPr>
            <w:tcW w:w="1009" w:type="dxa"/>
            <w:tcBorders>
              <w:left w:val="double" w:sz="4" w:space="0" w:color="auto"/>
              <w:right w:val="nil"/>
            </w:tcBorders>
            <w:vAlign w:val="center"/>
          </w:tcPr>
          <w:p w14:paraId="4F46072E" w14:textId="77777777" w:rsidR="00AD6087" w:rsidRPr="006435A5" w:rsidRDefault="00AD6087" w:rsidP="00A42F0D">
            <w:pPr>
              <w:spacing w:line="276" w:lineRule="auto"/>
              <w:ind w:firstLine="0"/>
              <w:jc w:val="center"/>
            </w:pPr>
          </w:p>
        </w:tc>
        <w:tc>
          <w:tcPr>
            <w:tcW w:w="1051" w:type="dxa"/>
            <w:tcBorders>
              <w:left w:val="nil"/>
              <w:right w:val="nil"/>
            </w:tcBorders>
            <w:vAlign w:val="center"/>
          </w:tcPr>
          <w:p w14:paraId="4C8E4B0C" w14:textId="77777777" w:rsidR="00AD6087" w:rsidRPr="006435A5" w:rsidRDefault="00AD6087" w:rsidP="00A42F0D">
            <w:pPr>
              <w:spacing w:line="276" w:lineRule="auto"/>
              <w:ind w:firstLine="0"/>
              <w:jc w:val="center"/>
            </w:pPr>
          </w:p>
        </w:tc>
        <w:tc>
          <w:tcPr>
            <w:tcW w:w="986" w:type="dxa"/>
            <w:tcBorders>
              <w:left w:val="nil"/>
              <w:right w:val="nil"/>
            </w:tcBorders>
            <w:vAlign w:val="center"/>
          </w:tcPr>
          <w:p w14:paraId="09E1F550" w14:textId="77777777" w:rsidR="00AD6087" w:rsidRPr="006435A5" w:rsidRDefault="00AD6087" w:rsidP="00A42F0D">
            <w:pPr>
              <w:spacing w:line="276" w:lineRule="auto"/>
              <w:ind w:firstLine="0"/>
              <w:jc w:val="center"/>
            </w:pPr>
          </w:p>
        </w:tc>
        <w:tc>
          <w:tcPr>
            <w:tcW w:w="1009" w:type="dxa"/>
            <w:tcBorders>
              <w:left w:val="nil"/>
              <w:right w:val="nil"/>
            </w:tcBorders>
            <w:vAlign w:val="center"/>
          </w:tcPr>
          <w:p w14:paraId="3C8CAB65" w14:textId="77777777" w:rsidR="00AD6087" w:rsidRPr="006435A5" w:rsidRDefault="00AD6087" w:rsidP="00A42F0D">
            <w:pPr>
              <w:spacing w:line="276" w:lineRule="auto"/>
              <w:ind w:firstLine="0"/>
              <w:jc w:val="center"/>
            </w:pPr>
          </w:p>
        </w:tc>
      </w:tr>
      <w:tr w:rsidR="00AD6087" w:rsidRPr="006435A5" w14:paraId="1037ED97" w14:textId="77777777" w:rsidTr="00A42F0D">
        <w:trPr>
          <w:trHeight w:val="306"/>
          <w:jc w:val="center"/>
        </w:trPr>
        <w:tc>
          <w:tcPr>
            <w:tcW w:w="4110" w:type="dxa"/>
            <w:tcBorders>
              <w:left w:val="nil"/>
              <w:right w:val="nil"/>
            </w:tcBorders>
            <w:vAlign w:val="center"/>
          </w:tcPr>
          <w:p w14:paraId="14C6E932" w14:textId="77777777" w:rsidR="00AD6087" w:rsidRPr="006435A5" w:rsidRDefault="00AD6087" w:rsidP="00A42F0D">
            <w:pPr>
              <w:spacing w:line="276" w:lineRule="auto"/>
              <w:ind w:firstLine="0"/>
              <w:jc w:val="left"/>
            </w:pPr>
            <w:r w:rsidRPr="006435A5">
              <w:t>Ֆիքսված տոկոսադրույքով</w:t>
            </w:r>
          </w:p>
        </w:tc>
        <w:tc>
          <w:tcPr>
            <w:tcW w:w="1376" w:type="dxa"/>
            <w:tcBorders>
              <w:left w:val="nil"/>
              <w:right w:val="double" w:sz="4" w:space="0" w:color="auto"/>
            </w:tcBorders>
            <w:vAlign w:val="center"/>
          </w:tcPr>
          <w:p w14:paraId="2DECD2BF" w14:textId="77777777" w:rsidR="00AD6087" w:rsidRPr="006435A5" w:rsidRDefault="00AD6087" w:rsidP="00A42F0D">
            <w:pPr>
              <w:spacing w:line="276" w:lineRule="auto"/>
              <w:ind w:firstLine="0"/>
              <w:jc w:val="center"/>
            </w:pPr>
            <w:r w:rsidRPr="006435A5">
              <w:t>74.0</w:t>
            </w:r>
          </w:p>
        </w:tc>
        <w:tc>
          <w:tcPr>
            <w:tcW w:w="1009" w:type="dxa"/>
            <w:tcBorders>
              <w:left w:val="double" w:sz="4" w:space="0" w:color="auto"/>
              <w:right w:val="nil"/>
            </w:tcBorders>
            <w:vAlign w:val="center"/>
          </w:tcPr>
          <w:p w14:paraId="715DA9F9" w14:textId="77777777" w:rsidR="00AD6087" w:rsidRPr="006435A5" w:rsidRDefault="00AD6087" w:rsidP="00A42F0D">
            <w:pPr>
              <w:spacing w:line="276" w:lineRule="auto"/>
              <w:ind w:firstLine="0"/>
              <w:jc w:val="center"/>
            </w:pPr>
            <w:r w:rsidRPr="006435A5">
              <w:t>75.4</w:t>
            </w:r>
          </w:p>
        </w:tc>
        <w:tc>
          <w:tcPr>
            <w:tcW w:w="1051" w:type="dxa"/>
            <w:tcBorders>
              <w:left w:val="nil"/>
              <w:right w:val="nil"/>
            </w:tcBorders>
            <w:vAlign w:val="center"/>
          </w:tcPr>
          <w:p w14:paraId="314EA554" w14:textId="77777777" w:rsidR="00AD6087" w:rsidRPr="006435A5" w:rsidRDefault="00AD6087" w:rsidP="00A42F0D">
            <w:pPr>
              <w:spacing w:line="276" w:lineRule="auto"/>
              <w:ind w:firstLine="0"/>
              <w:jc w:val="center"/>
            </w:pPr>
            <w:r w:rsidRPr="006435A5">
              <w:t>74.5</w:t>
            </w:r>
          </w:p>
        </w:tc>
        <w:tc>
          <w:tcPr>
            <w:tcW w:w="986" w:type="dxa"/>
            <w:tcBorders>
              <w:left w:val="nil"/>
              <w:right w:val="nil"/>
            </w:tcBorders>
            <w:vAlign w:val="center"/>
          </w:tcPr>
          <w:p w14:paraId="31294256" w14:textId="77777777" w:rsidR="00AD6087" w:rsidRPr="006435A5" w:rsidRDefault="00AD6087" w:rsidP="00A42F0D">
            <w:pPr>
              <w:spacing w:line="276" w:lineRule="auto"/>
              <w:ind w:firstLine="0"/>
              <w:jc w:val="center"/>
            </w:pPr>
            <w:r w:rsidRPr="006435A5">
              <w:t>74.8</w:t>
            </w:r>
          </w:p>
        </w:tc>
        <w:tc>
          <w:tcPr>
            <w:tcW w:w="1009" w:type="dxa"/>
            <w:tcBorders>
              <w:left w:val="nil"/>
              <w:right w:val="nil"/>
            </w:tcBorders>
            <w:vAlign w:val="center"/>
          </w:tcPr>
          <w:p w14:paraId="16E2A746" w14:textId="77777777" w:rsidR="00AD6087" w:rsidRPr="006435A5" w:rsidRDefault="00AD6087" w:rsidP="00A42F0D">
            <w:pPr>
              <w:spacing w:line="276" w:lineRule="auto"/>
              <w:ind w:firstLine="0"/>
              <w:jc w:val="center"/>
            </w:pPr>
            <w:r w:rsidRPr="006435A5">
              <w:t>76.2</w:t>
            </w:r>
          </w:p>
        </w:tc>
      </w:tr>
      <w:tr w:rsidR="00AD6087" w:rsidRPr="006435A5" w14:paraId="281BA32F" w14:textId="77777777" w:rsidTr="00A42F0D">
        <w:trPr>
          <w:trHeight w:val="308"/>
          <w:jc w:val="center"/>
        </w:trPr>
        <w:tc>
          <w:tcPr>
            <w:tcW w:w="4110" w:type="dxa"/>
            <w:tcBorders>
              <w:left w:val="nil"/>
              <w:right w:val="nil"/>
            </w:tcBorders>
            <w:vAlign w:val="center"/>
          </w:tcPr>
          <w:p w14:paraId="4CA2866F" w14:textId="77777777" w:rsidR="00AD6087" w:rsidRPr="006435A5" w:rsidRDefault="00AD6087" w:rsidP="00A42F0D">
            <w:pPr>
              <w:spacing w:line="276" w:lineRule="auto"/>
              <w:ind w:firstLine="0"/>
              <w:jc w:val="left"/>
            </w:pPr>
            <w:r w:rsidRPr="006435A5">
              <w:t>Լողացող տոկոսադրույքով</w:t>
            </w:r>
          </w:p>
        </w:tc>
        <w:tc>
          <w:tcPr>
            <w:tcW w:w="1376" w:type="dxa"/>
            <w:tcBorders>
              <w:left w:val="nil"/>
              <w:right w:val="double" w:sz="4" w:space="0" w:color="auto"/>
            </w:tcBorders>
            <w:vAlign w:val="center"/>
          </w:tcPr>
          <w:p w14:paraId="120C1C3B" w14:textId="77777777" w:rsidR="00AD6087" w:rsidRPr="006435A5" w:rsidRDefault="00AD6087" w:rsidP="00A42F0D">
            <w:pPr>
              <w:spacing w:line="276" w:lineRule="auto"/>
              <w:ind w:firstLine="0"/>
              <w:jc w:val="center"/>
            </w:pPr>
            <w:r w:rsidRPr="006435A5">
              <w:t>26.0</w:t>
            </w:r>
          </w:p>
        </w:tc>
        <w:tc>
          <w:tcPr>
            <w:tcW w:w="1009" w:type="dxa"/>
            <w:tcBorders>
              <w:left w:val="double" w:sz="4" w:space="0" w:color="auto"/>
              <w:right w:val="nil"/>
            </w:tcBorders>
            <w:vAlign w:val="center"/>
          </w:tcPr>
          <w:p w14:paraId="75A3B6FB" w14:textId="77777777" w:rsidR="00AD6087" w:rsidRPr="006435A5" w:rsidRDefault="00AD6087" w:rsidP="00A42F0D">
            <w:pPr>
              <w:spacing w:line="276" w:lineRule="auto"/>
              <w:ind w:firstLine="0"/>
              <w:jc w:val="center"/>
            </w:pPr>
            <w:r w:rsidRPr="006435A5">
              <w:t>24.6</w:t>
            </w:r>
          </w:p>
        </w:tc>
        <w:tc>
          <w:tcPr>
            <w:tcW w:w="1051" w:type="dxa"/>
            <w:tcBorders>
              <w:left w:val="nil"/>
              <w:right w:val="nil"/>
            </w:tcBorders>
            <w:vAlign w:val="center"/>
          </w:tcPr>
          <w:p w14:paraId="24AFBA30" w14:textId="77777777" w:rsidR="00AD6087" w:rsidRPr="006435A5" w:rsidRDefault="00AD6087" w:rsidP="00A42F0D">
            <w:pPr>
              <w:spacing w:line="276" w:lineRule="auto"/>
              <w:ind w:firstLine="0"/>
              <w:jc w:val="center"/>
            </w:pPr>
            <w:r w:rsidRPr="006435A5">
              <w:t>25.5</w:t>
            </w:r>
          </w:p>
        </w:tc>
        <w:tc>
          <w:tcPr>
            <w:tcW w:w="986" w:type="dxa"/>
            <w:tcBorders>
              <w:left w:val="nil"/>
              <w:right w:val="nil"/>
            </w:tcBorders>
            <w:vAlign w:val="center"/>
          </w:tcPr>
          <w:p w14:paraId="048698C9" w14:textId="77777777" w:rsidR="00AD6087" w:rsidRPr="006435A5" w:rsidRDefault="00AD6087" w:rsidP="00A42F0D">
            <w:pPr>
              <w:spacing w:line="276" w:lineRule="auto"/>
              <w:ind w:firstLine="0"/>
              <w:jc w:val="center"/>
            </w:pPr>
            <w:r w:rsidRPr="006435A5">
              <w:t>25.2</w:t>
            </w:r>
          </w:p>
        </w:tc>
        <w:tc>
          <w:tcPr>
            <w:tcW w:w="1009" w:type="dxa"/>
            <w:tcBorders>
              <w:left w:val="nil"/>
              <w:right w:val="nil"/>
            </w:tcBorders>
            <w:vAlign w:val="center"/>
          </w:tcPr>
          <w:p w14:paraId="3AA0063A" w14:textId="77777777" w:rsidR="00AD6087" w:rsidRPr="006435A5" w:rsidRDefault="00AD6087" w:rsidP="00A42F0D">
            <w:pPr>
              <w:spacing w:line="276" w:lineRule="auto"/>
              <w:ind w:firstLine="0"/>
              <w:jc w:val="center"/>
            </w:pPr>
            <w:r w:rsidRPr="006435A5">
              <w:t>23.8</w:t>
            </w:r>
          </w:p>
        </w:tc>
      </w:tr>
      <w:tr w:rsidR="00AD6087" w:rsidRPr="006435A5" w14:paraId="70045BD1" w14:textId="77777777" w:rsidTr="00A42F0D">
        <w:trPr>
          <w:trHeight w:val="394"/>
          <w:jc w:val="center"/>
        </w:trPr>
        <w:tc>
          <w:tcPr>
            <w:tcW w:w="4110" w:type="dxa"/>
            <w:tcBorders>
              <w:left w:val="nil"/>
              <w:right w:val="nil"/>
            </w:tcBorders>
            <w:vAlign w:val="center"/>
          </w:tcPr>
          <w:p w14:paraId="474FF9D2" w14:textId="77777777" w:rsidR="00AD6087" w:rsidRPr="006435A5" w:rsidRDefault="00AD6087" w:rsidP="00A42F0D">
            <w:pPr>
              <w:spacing w:line="276" w:lineRule="auto"/>
              <w:ind w:firstLine="0"/>
              <w:jc w:val="left"/>
            </w:pPr>
            <w:r w:rsidRPr="006435A5">
              <w:t>ՀՀ կառավարության ներքին պարտք</w:t>
            </w:r>
          </w:p>
        </w:tc>
        <w:tc>
          <w:tcPr>
            <w:tcW w:w="1376" w:type="dxa"/>
            <w:tcBorders>
              <w:left w:val="nil"/>
              <w:right w:val="double" w:sz="4" w:space="0" w:color="auto"/>
            </w:tcBorders>
            <w:vAlign w:val="center"/>
          </w:tcPr>
          <w:p w14:paraId="622FCC85" w14:textId="77777777" w:rsidR="00AD6087" w:rsidRPr="006435A5" w:rsidRDefault="00AD6087" w:rsidP="00A42F0D">
            <w:pPr>
              <w:spacing w:line="276" w:lineRule="auto"/>
              <w:ind w:firstLine="0"/>
              <w:jc w:val="center"/>
            </w:pPr>
            <w:r w:rsidRPr="006435A5">
              <w:t>100.0</w:t>
            </w:r>
          </w:p>
        </w:tc>
        <w:tc>
          <w:tcPr>
            <w:tcW w:w="1009" w:type="dxa"/>
            <w:tcBorders>
              <w:left w:val="double" w:sz="4" w:space="0" w:color="auto"/>
              <w:right w:val="nil"/>
            </w:tcBorders>
            <w:vAlign w:val="center"/>
          </w:tcPr>
          <w:p w14:paraId="5EC60559" w14:textId="77777777" w:rsidR="00AD6087" w:rsidRPr="006435A5" w:rsidRDefault="00AD6087" w:rsidP="00A42F0D">
            <w:pPr>
              <w:spacing w:line="276" w:lineRule="auto"/>
              <w:ind w:firstLine="0"/>
              <w:jc w:val="center"/>
            </w:pPr>
            <w:r w:rsidRPr="006435A5">
              <w:t>100.0</w:t>
            </w:r>
          </w:p>
        </w:tc>
        <w:tc>
          <w:tcPr>
            <w:tcW w:w="1051" w:type="dxa"/>
            <w:tcBorders>
              <w:left w:val="nil"/>
              <w:right w:val="nil"/>
            </w:tcBorders>
            <w:vAlign w:val="center"/>
          </w:tcPr>
          <w:p w14:paraId="6DC80AE9" w14:textId="77777777" w:rsidR="00AD6087" w:rsidRPr="006435A5" w:rsidRDefault="00AD6087" w:rsidP="00A42F0D">
            <w:pPr>
              <w:spacing w:line="276" w:lineRule="auto"/>
              <w:ind w:firstLine="0"/>
              <w:jc w:val="center"/>
            </w:pPr>
            <w:r w:rsidRPr="006435A5">
              <w:t>100.0</w:t>
            </w:r>
          </w:p>
        </w:tc>
        <w:tc>
          <w:tcPr>
            <w:tcW w:w="986" w:type="dxa"/>
            <w:tcBorders>
              <w:left w:val="nil"/>
              <w:right w:val="nil"/>
            </w:tcBorders>
            <w:vAlign w:val="center"/>
          </w:tcPr>
          <w:p w14:paraId="2E5775D8" w14:textId="77777777" w:rsidR="00AD6087" w:rsidRPr="006435A5" w:rsidRDefault="00AD6087" w:rsidP="00A42F0D">
            <w:pPr>
              <w:spacing w:line="276" w:lineRule="auto"/>
              <w:ind w:firstLine="0"/>
              <w:jc w:val="center"/>
            </w:pPr>
            <w:r w:rsidRPr="006435A5">
              <w:t>100.0</w:t>
            </w:r>
          </w:p>
        </w:tc>
        <w:tc>
          <w:tcPr>
            <w:tcW w:w="1009" w:type="dxa"/>
            <w:tcBorders>
              <w:left w:val="nil"/>
              <w:right w:val="nil"/>
            </w:tcBorders>
            <w:vAlign w:val="center"/>
          </w:tcPr>
          <w:p w14:paraId="6C50BA34" w14:textId="77777777" w:rsidR="00AD6087" w:rsidRPr="006435A5" w:rsidRDefault="00AD6087" w:rsidP="00A42F0D">
            <w:pPr>
              <w:spacing w:line="276" w:lineRule="auto"/>
              <w:ind w:firstLine="0"/>
              <w:jc w:val="center"/>
            </w:pPr>
            <w:r w:rsidRPr="006435A5">
              <w:t>100.0</w:t>
            </w:r>
          </w:p>
        </w:tc>
      </w:tr>
      <w:tr w:rsidR="00AD6087" w:rsidRPr="006435A5" w14:paraId="6CB92B0C" w14:textId="77777777" w:rsidTr="00A42F0D">
        <w:trPr>
          <w:trHeight w:val="306"/>
          <w:jc w:val="center"/>
        </w:trPr>
        <w:tc>
          <w:tcPr>
            <w:tcW w:w="4110" w:type="dxa"/>
            <w:tcBorders>
              <w:left w:val="nil"/>
              <w:right w:val="nil"/>
            </w:tcBorders>
            <w:vAlign w:val="center"/>
          </w:tcPr>
          <w:p w14:paraId="724355BC" w14:textId="77777777" w:rsidR="00AD6087" w:rsidRPr="006435A5" w:rsidRDefault="00AD6087" w:rsidP="00A42F0D">
            <w:pPr>
              <w:spacing w:line="276" w:lineRule="auto"/>
              <w:ind w:firstLine="0"/>
              <w:jc w:val="left"/>
            </w:pPr>
            <w:r w:rsidRPr="006435A5">
              <w:t>այդ թվում</w:t>
            </w:r>
          </w:p>
        </w:tc>
        <w:tc>
          <w:tcPr>
            <w:tcW w:w="1376" w:type="dxa"/>
            <w:tcBorders>
              <w:left w:val="nil"/>
              <w:right w:val="double" w:sz="4" w:space="0" w:color="auto"/>
            </w:tcBorders>
            <w:vAlign w:val="center"/>
          </w:tcPr>
          <w:p w14:paraId="1C3D1465" w14:textId="77777777" w:rsidR="00AD6087" w:rsidRPr="006435A5" w:rsidRDefault="00AD6087" w:rsidP="00A42F0D">
            <w:pPr>
              <w:spacing w:line="276" w:lineRule="auto"/>
              <w:ind w:firstLine="0"/>
              <w:jc w:val="center"/>
            </w:pPr>
          </w:p>
        </w:tc>
        <w:tc>
          <w:tcPr>
            <w:tcW w:w="1009" w:type="dxa"/>
            <w:tcBorders>
              <w:left w:val="double" w:sz="4" w:space="0" w:color="auto"/>
              <w:right w:val="nil"/>
            </w:tcBorders>
            <w:vAlign w:val="center"/>
          </w:tcPr>
          <w:p w14:paraId="6E442D59" w14:textId="77777777" w:rsidR="00AD6087" w:rsidRPr="006435A5" w:rsidRDefault="00AD6087" w:rsidP="00A42F0D">
            <w:pPr>
              <w:spacing w:line="276" w:lineRule="auto"/>
              <w:ind w:firstLine="0"/>
              <w:jc w:val="center"/>
            </w:pPr>
          </w:p>
        </w:tc>
        <w:tc>
          <w:tcPr>
            <w:tcW w:w="1051" w:type="dxa"/>
            <w:tcBorders>
              <w:left w:val="nil"/>
              <w:right w:val="nil"/>
            </w:tcBorders>
            <w:vAlign w:val="center"/>
          </w:tcPr>
          <w:p w14:paraId="488C942F" w14:textId="77777777" w:rsidR="00AD6087" w:rsidRPr="006435A5" w:rsidRDefault="00AD6087" w:rsidP="00A42F0D">
            <w:pPr>
              <w:spacing w:line="276" w:lineRule="auto"/>
              <w:ind w:firstLine="0"/>
              <w:jc w:val="center"/>
            </w:pPr>
          </w:p>
        </w:tc>
        <w:tc>
          <w:tcPr>
            <w:tcW w:w="986" w:type="dxa"/>
            <w:tcBorders>
              <w:left w:val="nil"/>
              <w:right w:val="nil"/>
            </w:tcBorders>
            <w:vAlign w:val="center"/>
          </w:tcPr>
          <w:p w14:paraId="541DBBCB" w14:textId="77777777" w:rsidR="00AD6087" w:rsidRPr="006435A5" w:rsidRDefault="00AD6087" w:rsidP="00A42F0D">
            <w:pPr>
              <w:spacing w:line="276" w:lineRule="auto"/>
              <w:ind w:firstLine="0"/>
              <w:jc w:val="center"/>
            </w:pPr>
          </w:p>
        </w:tc>
        <w:tc>
          <w:tcPr>
            <w:tcW w:w="1009" w:type="dxa"/>
            <w:tcBorders>
              <w:left w:val="nil"/>
              <w:right w:val="nil"/>
            </w:tcBorders>
            <w:vAlign w:val="center"/>
          </w:tcPr>
          <w:p w14:paraId="13BA4A18" w14:textId="77777777" w:rsidR="00AD6087" w:rsidRPr="006435A5" w:rsidRDefault="00AD6087" w:rsidP="00A42F0D">
            <w:pPr>
              <w:spacing w:line="276" w:lineRule="auto"/>
              <w:ind w:firstLine="0"/>
              <w:jc w:val="center"/>
            </w:pPr>
          </w:p>
        </w:tc>
      </w:tr>
      <w:tr w:rsidR="00AD6087" w:rsidRPr="006435A5" w14:paraId="38427F09" w14:textId="77777777" w:rsidTr="00A42F0D">
        <w:trPr>
          <w:trHeight w:val="187"/>
          <w:jc w:val="center"/>
        </w:trPr>
        <w:tc>
          <w:tcPr>
            <w:tcW w:w="4110" w:type="dxa"/>
            <w:tcBorders>
              <w:left w:val="nil"/>
              <w:right w:val="nil"/>
            </w:tcBorders>
            <w:vAlign w:val="center"/>
          </w:tcPr>
          <w:p w14:paraId="16B54B45" w14:textId="77777777" w:rsidR="00AD6087" w:rsidRPr="006435A5" w:rsidRDefault="00AD6087" w:rsidP="00A42F0D">
            <w:pPr>
              <w:spacing w:line="276" w:lineRule="auto"/>
              <w:ind w:firstLine="0"/>
              <w:jc w:val="left"/>
            </w:pPr>
            <w:r w:rsidRPr="006435A5">
              <w:t>Ֆիքսված տոկոսադրույքով</w:t>
            </w:r>
          </w:p>
        </w:tc>
        <w:tc>
          <w:tcPr>
            <w:tcW w:w="1376" w:type="dxa"/>
            <w:tcBorders>
              <w:left w:val="nil"/>
              <w:right w:val="double" w:sz="4" w:space="0" w:color="auto"/>
            </w:tcBorders>
            <w:vAlign w:val="center"/>
          </w:tcPr>
          <w:p w14:paraId="44155CB9" w14:textId="77777777" w:rsidR="00AD6087" w:rsidRPr="006435A5" w:rsidRDefault="00AD6087" w:rsidP="00A42F0D">
            <w:pPr>
              <w:spacing w:line="276" w:lineRule="auto"/>
              <w:ind w:firstLine="0"/>
              <w:jc w:val="center"/>
            </w:pPr>
            <w:r w:rsidRPr="006435A5">
              <w:t>100.0</w:t>
            </w:r>
          </w:p>
        </w:tc>
        <w:tc>
          <w:tcPr>
            <w:tcW w:w="1009" w:type="dxa"/>
            <w:tcBorders>
              <w:left w:val="double" w:sz="4" w:space="0" w:color="auto"/>
              <w:right w:val="nil"/>
            </w:tcBorders>
            <w:vAlign w:val="center"/>
          </w:tcPr>
          <w:p w14:paraId="02930A11" w14:textId="77777777" w:rsidR="00AD6087" w:rsidRPr="006435A5" w:rsidRDefault="00AD6087" w:rsidP="00A42F0D">
            <w:pPr>
              <w:spacing w:line="276" w:lineRule="auto"/>
              <w:ind w:firstLine="0"/>
              <w:jc w:val="center"/>
            </w:pPr>
            <w:r w:rsidRPr="006435A5">
              <w:t>100.0</w:t>
            </w:r>
          </w:p>
        </w:tc>
        <w:tc>
          <w:tcPr>
            <w:tcW w:w="1051" w:type="dxa"/>
            <w:tcBorders>
              <w:left w:val="nil"/>
              <w:right w:val="nil"/>
            </w:tcBorders>
            <w:vAlign w:val="center"/>
          </w:tcPr>
          <w:p w14:paraId="5DF5CE05" w14:textId="77777777" w:rsidR="00AD6087" w:rsidRPr="006435A5" w:rsidRDefault="00AD6087" w:rsidP="00A42F0D">
            <w:pPr>
              <w:spacing w:line="276" w:lineRule="auto"/>
              <w:ind w:firstLine="0"/>
              <w:jc w:val="center"/>
            </w:pPr>
            <w:r w:rsidRPr="006435A5">
              <w:t>100.0</w:t>
            </w:r>
          </w:p>
        </w:tc>
        <w:tc>
          <w:tcPr>
            <w:tcW w:w="986" w:type="dxa"/>
            <w:tcBorders>
              <w:left w:val="nil"/>
              <w:right w:val="nil"/>
            </w:tcBorders>
            <w:vAlign w:val="center"/>
          </w:tcPr>
          <w:p w14:paraId="39ED773A" w14:textId="77777777" w:rsidR="00AD6087" w:rsidRPr="006435A5" w:rsidRDefault="00AD6087" w:rsidP="00A42F0D">
            <w:pPr>
              <w:spacing w:line="276" w:lineRule="auto"/>
              <w:ind w:firstLine="0"/>
              <w:jc w:val="center"/>
            </w:pPr>
            <w:r w:rsidRPr="006435A5">
              <w:t>100.0</w:t>
            </w:r>
          </w:p>
        </w:tc>
        <w:tc>
          <w:tcPr>
            <w:tcW w:w="1009" w:type="dxa"/>
            <w:tcBorders>
              <w:left w:val="nil"/>
              <w:right w:val="nil"/>
            </w:tcBorders>
            <w:vAlign w:val="center"/>
          </w:tcPr>
          <w:p w14:paraId="6603BBA4" w14:textId="77777777" w:rsidR="00AD6087" w:rsidRPr="006435A5" w:rsidRDefault="00AD6087" w:rsidP="00A42F0D">
            <w:pPr>
              <w:spacing w:line="276" w:lineRule="auto"/>
              <w:ind w:firstLine="0"/>
              <w:jc w:val="center"/>
            </w:pPr>
            <w:r w:rsidRPr="006435A5">
              <w:t>100.0</w:t>
            </w:r>
          </w:p>
        </w:tc>
      </w:tr>
      <w:tr w:rsidR="00AD6087" w:rsidRPr="006435A5" w14:paraId="2EF75A8D" w14:textId="77777777" w:rsidTr="00A42F0D">
        <w:trPr>
          <w:trHeight w:val="320"/>
          <w:jc w:val="center"/>
        </w:trPr>
        <w:tc>
          <w:tcPr>
            <w:tcW w:w="4110" w:type="dxa"/>
            <w:tcBorders>
              <w:left w:val="nil"/>
              <w:bottom w:val="thickThinSmallGap" w:sz="24" w:space="0" w:color="auto"/>
              <w:right w:val="nil"/>
            </w:tcBorders>
            <w:vAlign w:val="center"/>
          </w:tcPr>
          <w:p w14:paraId="6A104ACB" w14:textId="77777777" w:rsidR="00AD6087" w:rsidRPr="006435A5" w:rsidRDefault="00AD6087" w:rsidP="00A42F0D">
            <w:pPr>
              <w:spacing w:line="276" w:lineRule="auto"/>
              <w:ind w:firstLine="0"/>
              <w:jc w:val="left"/>
            </w:pPr>
            <w:r w:rsidRPr="006435A5">
              <w:t>Լողացող տոկոսադրույքով</w:t>
            </w:r>
          </w:p>
        </w:tc>
        <w:tc>
          <w:tcPr>
            <w:tcW w:w="1376" w:type="dxa"/>
            <w:tcBorders>
              <w:left w:val="nil"/>
              <w:bottom w:val="thickThinSmallGap" w:sz="24" w:space="0" w:color="auto"/>
              <w:right w:val="double" w:sz="4" w:space="0" w:color="auto"/>
            </w:tcBorders>
            <w:vAlign w:val="center"/>
          </w:tcPr>
          <w:p w14:paraId="0E123560" w14:textId="77777777" w:rsidR="00AD6087" w:rsidRPr="006435A5" w:rsidRDefault="00AD6087" w:rsidP="00A42F0D">
            <w:pPr>
              <w:spacing w:line="276" w:lineRule="auto"/>
              <w:ind w:firstLine="0"/>
              <w:jc w:val="center"/>
            </w:pPr>
            <w:r w:rsidRPr="006435A5">
              <w:t>0.0</w:t>
            </w:r>
          </w:p>
        </w:tc>
        <w:tc>
          <w:tcPr>
            <w:tcW w:w="1009" w:type="dxa"/>
            <w:tcBorders>
              <w:left w:val="double" w:sz="4" w:space="0" w:color="auto"/>
              <w:bottom w:val="thickThinSmallGap" w:sz="24" w:space="0" w:color="auto"/>
              <w:right w:val="nil"/>
            </w:tcBorders>
            <w:vAlign w:val="center"/>
          </w:tcPr>
          <w:p w14:paraId="6B965F5E" w14:textId="77777777" w:rsidR="00AD6087" w:rsidRPr="006435A5" w:rsidRDefault="00AD6087" w:rsidP="00A42F0D">
            <w:pPr>
              <w:spacing w:line="276" w:lineRule="auto"/>
              <w:ind w:firstLine="0"/>
              <w:jc w:val="center"/>
            </w:pPr>
            <w:r w:rsidRPr="006435A5">
              <w:t>0.0</w:t>
            </w:r>
          </w:p>
        </w:tc>
        <w:tc>
          <w:tcPr>
            <w:tcW w:w="1051" w:type="dxa"/>
            <w:tcBorders>
              <w:left w:val="nil"/>
              <w:bottom w:val="thickThinSmallGap" w:sz="24" w:space="0" w:color="auto"/>
              <w:right w:val="nil"/>
            </w:tcBorders>
            <w:vAlign w:val="center"/>
          </w:tcPr>
          <w:p w14:paraId="02D57B89" w14:textId="77777777" w:rsidR="00AD6087" w:rsidRPr="006435A5" w:rsidRDefault="00AD6087" w:rsidP="00A42F0D">
            <w:pPr>
              <w:spacing w:line="276" w:lineRule="auto"/>
              <w:ind w:firstLine="0"/>
              <w:jc w:val="center"/>
            </w:pPr>
            <w:r w:rsidRPr="006435A5">
              <w:t>0.0</w:t>
            </w:r>
          </w:p>
        </w:tc>
        <w:tc>
          <w:tcPr>
            <w:tcW w:w="986" w:type="dxa"/>
            <w:tcBorders>
              <w:left w:val="nil"/>
              <w:bottom w:val="thickThinSmallGap" w:sz="24" w:space="0" w:color="auto"/>
              <w:right w:val="nil"/>
            </w:tcBorders>
            <w:vAlign w:val="center"/>
          </w:tcPr>
          <w:p w14:paraId="52F0D6EA" w14:textId="77777777" w:rsidR="00AD6087" w:rsidRPr="006435A5" w:rsidRDefault="00AD6087" w:rsidP="00A42F0D">
            <w:pPr>
              <w:spacing w:line="276" w:lineRule="auto"/>
              <w:ind w:firstLine="0"/>
              <w:jc w:val="center"/>
            </w:pPr>
            <w:r w:rsidRPr="006435A5">
              <w:t>0.0</w:t>
            </w:r>
          </w:p>
        </w:tc>
        <w:tc>
          <w:tcPr>
            <w:tcW w:w="1009" w:type="dxa"/>
            <w:tcBorders>
              <w:left w:val="nil"/>
              <w:bottom w:val="thickThinSmallGap" w:sz="24" w:space="0" w:color="auto"/>
              <w:right w:val="nil"/>
            </w:tcBorders>
            <w:vAlign w:val="center"/>
          </w:tcPr>
          <w:p w14:paraId="7C71A5EC" w14:textId="77777777" w:rsidR="00AD6087" w:rsidRPr="006435A5" w:rsidRDefault="00AD6087" w:rsidP="00A42F0D">
            <w:pPr>
              <w:spacing w:line="276" w:lineRule="auto"/>
              <w:ind w:firstLine="0"/>
              <w:jc w:val="center"/>
            </w:pPr>
            <w:r w:rsidRPr="006435A5">
              <w:t>0.0</w:t>
            </w:r>
          </w:p>
        </w:tc>
      </w:tr>
    </w:tbl>
    <w:p w14:paraId="6259AAF6" w14:textId="5E6A63E9" w:rsidR="00AD6087" w:rsidRDefault="00AD6087" w:rsidP="00AD6087">
      <w:pPr>
        <w:spacing w:before="240" w:line="276" w:lineRule="auto"/>
      </w:pPr>
      <w:r w:rsidRPr="006435A5">
        <w:t>ՀՀ կառավարության պարտքի մինչև վերաֆիքսում միջին ժամկետի ցուցանիշը ժամանակահատվածի վերջում կկազմի 6.7 տարի, իսկ մեկ տարվա ընթացքում վերաֆիքսվող ՀՀ կառավարու</w:t>
      </w:r>
      <w:r w:rsidRPr="006435A5">
        <w:softHyphen/>
        <w:t>թյան պարտքի մասնաբաժինը՝ 22.5%:</w:t>
      </w:r>
    </w:p>
    <w:p w14:paraId="3287C41A" w14:textId="77777777" w:rsidR="00AD6087" w:rsidRPr="006435A5" w:rsidRDefault="00AD6087" w:rsidP="00AD6087">
      <w:pPr>
        <w:spacing w:before="240" w:line="276" w:lineRule="auto"/>
      </w:pPr>
    </w:p>
    <w:p w14:paraId="2500941C" w14:textId="77777777" w:rsidR="00AD6087" w:rsidRPr="006435A5" w:rsidRDefault="00AD6087" w:rsidP="00AD6087">
      <w:pPr>
        <w:pStyle w:val="aff1"/>
        <w:spacing w:line="276" w:lineRule="auto"/>
      </w:pPr>
      <w:r w:rsidRPr="006435A5">
        <w:rPr>
          <w:b/>
        </w:rPr>
        <w:t>Աղյուսակ 13.</w:t>
      </w:r>
      <w:r w:rsidRPr="006435A5">
        <w:t xml:space="preserve"> ՀՀ կառավարության պարտքի տոկոսադրույքի ռիսկի ցուցանիշները 2021-2024 թվականներին</w:t>
      </w:r>
      <w:r w:rsidRPr="006435A5">
        <w:rPr>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4"/>
        <w:gridCol w:w="1258"/>
        <w:gridCol w:w="922"/>
        <w:gridCol w:w="975"/>
        <w:gridCol w:w="899"/>
      </w:tblGrid>
      <w:tr w:rsidR="00AD6087" w:rsidRPr="006435A5" w14:paraId="7A02259C" w14:textId="77777777" w:rsidTr="00A42F0D">
        <w:trPr>
          <w:trHeight w:val="590"/>
          <w:tblHeader/>
          <w:jc w:val="center"/>
        </w:trPr>
        <w:tc>
          <w:tcPr>
            <w:tcW w:w="5144" w:type="dxa"/>
            <w:tcBorders>
              <w:top w:val="thinThickThinSmallGap" w:sz="24" w:space="0" w:color="auto"/>
              <w:left w:val="nil"/>
              <w:bottom w:val="thinThickSmallGap" w:sz="24" w:space="0" w:color="auto"/>
              <w:right w:val="nil"/>
            </w:tcBorders>
            <w:shd w:val="clear" w:color="auto" w:fill="5B9BD5"/>
            <w:vAlign w:val="center"/>
          </w:tcPr>
          <w:p w14:paraId="223EA980" w14:textId="77777777" w:rsidR="00AD6087" w:rsidRPr="006435A5" w:rsidRDefault="00AD6087" w:rsidP="00A42F0D">
            <w:pPr>
              <w:spacing w:line="276" w:lineRule="auto"/>
              <w:ind w:firstLine="0"/>
              <w:jc w:val="center"/>
            </w:pPr>
          </w:p>
        </w:tc>
        <w:tc>
          <w:tcPr>
            <w:tcW w:w="1258" w:type="dxa"/>
            <w:tcBorders>
              <w:top w:val="thinThickThinSmallGap" w:sz="24" w:space="0" w:color="auto"/>
              <w:left w:val="nil"/>
              <w:bottom w:val="thinThickSmallGap" w:sz="24" w:space="0" w:color="auto"/>
              <w:right w:val="nil"/>
            </w:tcBorders>
            <w:shd w:val="clear" w:color="auto" w:fill="5B9BD5"/>
            <w:vAlign w:val="center"/>
          </w:tcPr>
          <w:p w14:paraId="58F9573C" w14:textId="77777777" w:rsidR="00AD6087" w:rsidRPr="006435A5" w:rsidRDefault="00AD6087" w:rsidP="00A42F0D">
            <w:pPr>
              <w:spacing w:line="276" w:lineRule="auto"/>
              <w:ind w:firstLine="0"/>
              <w:jc w:val="center"/>
            </w:pPr>
            <w:r w:rsidRPr="006435A5">
              <w:t>2021 կանխ.</w:t>
            </w:r>
          </w:p>
        </w:tc>
        <w:tc>
          <w:tcPr>
            <w:tcW w:w="922" w:type="dxa"/>
            <w:tcBorders>
              <w:top w:val="thinThickThinSmallGap" w:sz="24" w:space="0" w:color="auto"/>
              <w:left w:val="nil"/>
              <w:bottom w:val="thinThickSmallGap" w:sz="24" w:space="0" w:color="auto"/>
              <w:right w:val="nil"/>
            </w:tcBorders>
            <w:shd w:val="clear" w:color="auto" w:fill="5B9BD5"/>
            <w:vAlign w:val="center"/>
          </w:tcPr>
          <w:p w14:paraId="70947A6D" w14:textId="77777777" w:rsidR="00AD6087" w:rsidRPr="006435A5" w:rsidRDefault="00AD6087" w:rsidP="00A42F0D">
            <w:pPr>
              <w:spacing w:line="276" w:lineRule="auto"/>
              <w:ind w:firstLine="0"/>
              <w:jc w:val="center"/>
            </w:pPr>
            <w:r w:rsidRPr="006435A5">
              <w:t>2022 կանխ.</w:t>
            </w:r>
          </w:p>
        </w:tc>
        <w:tc>
          <w:tcPr>
            <w:tcW w:w="975" w:type="dxa"/>
            <w:tcBorders>
              <w:top w:val="thinThickThinSmallGap" w:sz="24" w:space="0" w:color="auto"/>
              <w:left w:val="nil"/>
              <w:bottom w:val="thinThickSmallGap" w:sz="24" w:space="0" w:color="auto"/>
              <w:right w:val="nil"/>
            </w:tcBorders>
            <w:shd w:val="clear" w:color="auto" w:fill="5B9BD5"/>
            <w:vAlign w:val="center"/>
          </w:tcPr>
          <w:p w14:paraId="0B299B71" w14:textId="77777777" w:rsidR="00AD6087" w:rsidRPr="006435A5" w:rsidRDefault="00AD6087" w:rsidP="00A42F0D">
            <w:pPr>
              <w:spacing w:line="276" w:lineRule="auto"/>
              <w:ind w:firstLine="0"/>
              <w:jc w:val="center"/>
            </w:pPr>
            <w:r w:rsidRPr="006435A5">
              <w:t>2023 կանխ.</w:t>
            </w:r>
          </w:p>
        </w:tc>
        <w:tc>
          <w:tcPr>
            <w:tcW w:w="899" w:type="dxa"/>
            <w:tcBorders>
              <w:top w:val="thinThickThinSmallGap" w:sz="24" w:space="0" w:color="auto"/>
              <w:left w:val="nil"/>
              <w:bottom w:val="thinThickSmallGap" w:sz="24" w:space="0" w:color="auto"/>
              <w:right w:val="nil"/>
            </w:tcBorders>
            <w:shd w:val="clear" w:color="auto" w:fill="5B9BD5"/>
            <w:vAlign w:val="center"/>
          </w:tcPr>
          <w:p w14:paraId="563CEAA2" w14:textId="77777777" w:rsidR="00AD6087" w:rsidRPr="006435A5" w:rsidRDefault="00AD6087" w:rsidP="00A42F0D">
            <w:pPr>
              <w:spacing w:line="276" w:lineRule="auto"/>
              <w:ind w:firstLine="0"/>
              <w:jc w:val="center"/>
            </w:pPr>
            <w:r w:rsidRPr="006435A5">
              <w:t>2024 կանխ.</w:t>
            </w:r>
          </w:p>
        </w:tc>
      </w:tr>
      <w:tr w:rsidR="00AD6087" w:rsidRPr="006435A5" w14:paraId="2AF758ED" w14:textId="77777777" w:rsidTr="00A42F0D">
        <w:trPr>
          <w:trHeight w:val="629"/>
          <w:jc w:val="center"/>
        </w:trPr>
        <w:tc>
          <w:tcPr>
            <w:tcW w:w="5144" w:type="dxa"/>
            <w:tcBorders>
              <w:top w:val="thinThickSmallGap" w:sz="24" w:space="0" w:color="auto"/>
              <w:left w:val="nil"/>
              <w:right w:val="nil"/>
            </w:tcBorders>
            <w:vAlign w:val="center"/>
          </w:tcPr>
          <w:p w14:paraId="3F69CCEE" w14:textId="77777777" w:rsidR="00AD6087" w:rsidRPr="006435A5" w:rsidRDefault="00AD6087" w:rsidP="00A42F0D">
            <w:pPr>
              <w:spacing w:line="276" w:lineRule="auto"/>
              <w:ind w:firstLine="0"/>
              <w:jc w:val="left"/>
            </w:pPr>
            <w:r w:rsidRPr="006435A5">
              <w:t>ՀՀ կառավարության պարտքի մինչև վերաֆիքսում միջին ժամկետը, (տարի)</w:t>
            </w:r>
          </w:p>
        </w:tc>
        <w:tc>
          <w:tcPr>
            <w:tcW w:w="1258" w:type="dxa"/>
            <w:tcBorders>
              <w:top w:val="thinThickSmallGap" w:sz="24" w:space="0" w:color="auto"/>
              <w:left w:val="nil"/>
              <w:right w:val="nil"/>
            </w:tcBorders>
            <w:vAlign w:val="center"/>
          </w:tcPr>
          <w:p w14:paraId="58E798A8" w14:textId="77777777" w:rsidR="00AD6087" w:rsidRPr="006435A5" w:rsidRDefault="00AD6087" w:rsidP="00A42F0D">
            <w:pPr>
              <w:spacing w:line="276" w:lineRule="auto"/>
              <w:ind w:firstLine="0"/>
              <w:jc w:val="center"/>
            </w:pPr>
            <w:r w:rsidRPr="006435A5">
              <w:t>7.2</w:t>
            </w:r>
          </w:p>
        </w:tc>
        <w:tc>
          <w:tcPr>
            <w:tcW w:w="922" w:type="dxa"/>
            <w:tcBorders>
              <w:top w:val="thinThickSmallGap" w:sz="24" w:space="0" w:color="auto"/>
              <w:left w:val="nil"/>
              <w:right w:val="nil"/>
            </w:tcBorders>
            <w:vAlign w:val="center"/>
          </w:tcPr>
          <w:p w14:paraId="47D848D6" w14:textId="77777777" w:rsidR="00AD6087" w:rsidRPr="006435A5" w:rsidRDefault="00AD6087" w:rsidP="00A42F0D">
            <w:pPr>
              <w:spacing w:line="276" w:lineRule="auto"/>
              <w:ind w:firstLine="0"/>
              <w:jc w:val="center"/>
            </w:pPr>
            <w:r w:rsidRPr="006435A5">
              <w:t>6.7</w:t>
            </w:r>
          </w:p>
        </w:tc>
        <w:tc>
          <w:tcPr>
            <w:tcW w:w="975" w:type="dxa"/>
            <w:tcBorders>
              <w:top w:val="thinThickSmallGap" w:sz="24" w:space="0" w:color="auto"/>
              <w:left w:val="nil"/>
              <w:right w:val="nil"/>
            </w:tcBorders>
            <w:vAlign w:val="center"/>
          </w:tcPr>
          <w:p w14:paraId="4F6F117C" w14:textId="77777777" w:rsidR="00AD6087" w:rsidRPr="006435A5" w:rsidRDefault="00AD6087" w:rsidP="00A42F0D">
            <w:pPr>
              <w:spacing w:line="276" w:lineRule="auto"/>
              <w:ind w:firstLine="0"/>
              <w:jc w:val="center"/>
            </w:pPr>
            <w:r w:rsidRPr="006435A5">
              <w:t>6.4</w:t>
            </w:r>
          </w:p>
        </w:tc>
        <w:tc>
          <w:tcPr>
            <w:tcW w:w="899" w:type="dxa"/>
            <w:tcBorders>
              <w:top w:val="thinThickSmallGap" w:sz="24" w:space="0" w:color="auto"/>
              <w:left w:val="nil"/>
              <w:right w:val="nil"/>
            </w:tcBorders>
            <w:vAlign w:val="center"/>
          </w:tcPr>
          <w:p w14:paraId="72FE906B" w14:textId="77777777" w:rsidR="00AD6087" w:rsidRPr="006435A5" w:rsidRDefault="00AD6087" w:rsidP="00A42F0D">
            <w:pPr>
              <w:spacing w:line="276" w:lineRule="auto"/>
              <w:ind w:firstLine="0"/>
              <w:jc w:val="center"/>
            </w:pPr>
            <w:r w:rsidRPr="006435A5">
              <w:t>6.7</w:t>
            </w:r>
          </w:p>
        </w:tc>
      </w:tr>
      <w:tr w:rsidR="00AD6087" w:rsidRPr="006435A5" w14:paraId="1375EDB4" w14:textId="77777777" w:rsidTr="00A42F0D">
        <w:trPr>
          <w:trHeight w:val="665"/>
          <w:jc w:val="center"/>
        </w:trPr>
        <w:tc>
          <w:tcPr>
            <w:tcW w:w="5144" w:type="dxa"/>
            <w:tcBorders>
              <w:left w:val="nil"/>
              <w:bottom w:val="single" w:sz="4" w:space="0" w:color="auto"/>
              <w:right w:val="nil"/>
            </w:tcBorders>
            <w:vAlign w:val="center"/>
          </w:tcPr>
          <w:p w14:paraId="6E1B3FE8" w14:textId="77777777" w:rsidR="00AD6087" w:rsidRPr="006435A5" w:rsidRDefault="00AD6087" w:rsidP="00A42F0D">
            <w:pPr>
              <w:spacing w:line="276" w:lineRule="auto"/>
              <w:ind w:firstLine="0"/>
              <w:jc w:val="left"/>
            </w:pPr>
            <w:r w:rsidRPr="006435A5">
              <w:t>ՀՀ կառավարության արտաքին պարտքի մինչև վերաֆիքսում միջին ժամկետը, (տարի)</w:t>
            </w:r>
          </w:p>
        </w:tc>
        <w:tc>
          <w:tcPr>
            <w:tcW w:w="1258" w:type="dxa"/>
            <w:tcBorders>
              <w:left w:val="nil"/>
              <w:bottom w:val="single" w:sz="4" w:space="0" w:color="auto"/>
              <w:right w:val="nil"/>
            </w:tcBorders>
            <w:vAlign w:val="center"/>
          </w:tcPr>
          <w:p w14:paraId="266F8FE2" w14:textId="77777777" w:rsidR="00AD6087" w:rsidRPr="006435A5" w:rsidRDefault="00AD6087" w:rsidP="00A42F0D">
            <w:pPr>
              <w:spacing w:line="276" w:lineRule="auto"/>
              <w:ind w:firstLine="0"/>
              <w:jc w:val="center"/>
            </w:pPr>
            <w:r w:rsidRPr="006435A5">
              <w:t>5.9</w:t>
            </w:r>
          </w:p>
        </w:tc>
        <w:tc>
          <w:tcPr>
            <w:tcW w:w="922" w:type="dxa"/>
            <w:tcBorders>
              <w:left w:val="nil"/>
              <w:bottom w:val="single" w:sz="4" w:space="0" w:color="auto"/>
              <w:right w:val="nil"/>
            </w:tcBorders>
            <w:vAlign w:val="center"/>
          </w:tcPr>
          <w:p w14:paraId="20EF9A75" w14:textId="77777777" w:rsidR="00AD6087" w:rsidRPr="006435A5" w:rsidRDefault="00AD6087" w:rsidP="00A42F0D">
            <w:pPr>
              <w:spacing w:line="276" w:lineRule="auto"/>
              <w:ind w:firstLine="0"/>
              <w:jc w:val="center"/>
            </w:pPr>
            <w:r w:rsidRPr="006435A5">
              <w:t>5.3</w:t>
            </w:r>
          </w:p>
        </w:tc>
        <w:tc>
          <w:tcPr>
            <w:tcW w:w="975" w:type="dxa"/>
            <w:tcBorders>
              <w:left w:val="nil"/>
              <w:bottom w:val="single" w:sz="4" w:space="0" w:color="auto"/>
              <w:right w:val="nil"/>
            </w:tcBorders>
            <w:vAlign w:val="center"/>
          </w:tcPr>
          <w:p w14:paraId="23054DAD" w14:textId="77777777" w:rsidR="00AD6087" w:rsidRPr="006435A5" w:rsidRDefault="00AD6087" w:rsidP="00A42F0D">
            <w:pPr>
              <w:spacing w:line="276" w:lineRule="auto"/>
              <w:ind w:firstLine="0"/>
              <w:jc w:val="center"/>
            </w:pPr>
            <w:r w:rsidRPr="006435A5">
              <w:t>4.8</w:t>
            </w:r>
          </w:p>
        </w:tc>
        <w:tc>
          <w:tcPr>
            <w:tcW w:w="899" w:type="dxa"/>
            <w:tcBorders>
              <w:left w:val="nil"/>
              <w:bottom w:val="single" w:sz="4" w:space="0" w:color="auto"/>
              <w:right w:val="nil"/>
            </w:tcBorders>
            <w:vAlign w:val="center"/>
          </w:tcPr>
          <w:p w14:paraId="1D81B127" w14:textId="77777777" w:rsidR="00AD6087" w:rsidRPr="006435A5" w:rsidRDefault="00AD6087" w:rsidP="00A42F0D">
            <w:pPr>
              <w:spacing w:line="276" w:lineRule="auto"/>
              <w:ind w:firstLine="0"/>
              <w:jc w:val="center"/>
            </w:pPr>
            <w:r w:rsidRPr="006435A5">
              <w:t>5.3</w:t>
            </w:r>
          </w:p>
        </w:tc>
      </w:tr>
      <w:tr w:rsidR="00AD6087" w:rsidRPr="006435A5" w14:paraId="75DB2BC2" w14:textId="77777777" w:rsidTr="00A42F0D">
        <w:trPr>
          <w:trHeight w:val="733"/>
          <w:jc w:val="center"/>
        </w:trPr>
        <w:tc>
          <w:tcPr>
            <w:tcW w:w="5144" w:type="dxa"/>
            <w:tcBorders>
              <w:left w:val="nil"/>
              <w:bottom w:val="single" w:sz="12" w:space="0" w:color="auto"/>
              <w:right w:val="nil"/>
            </w:tcBorders>
            <w:vAlign w:val="center"/>
          </w:tcPr>
          <w:p w14:paraId="2E2CBF46" w14:textId="77777777" w:rsidR="00AD6087" w:rsidRPr="006435A5" w:rsidRDefault="00AD6087" w:rsidP="00A42F0D">
            <w:pPr>
              <w:spacing w:line="276" w:lineRule="auto"/>
              <w:ind w:firstLine="0"/>
              <w:jc w:val="left"/>
            </w:pPr>
            <w:r w:rsidRPr="006435A5">
              <w:t>ՀՀ կառավարության ներքին պարտքի մինչև վերաֆիքսում միջին ժամկետը, (տարի)</w:t>
            </w:r>
          </w:p>
        </w:tc>
        <w:tc>
          <w:tcPr>
            <w:tcW w:w="1258" w:type="dxa"/>
            <w:tcBorders>
              <w:left w:val="nil"/>
              <w:bottom w:val="single" w:sz="12" w:space="0" w:color="auto"/>
              <w:right w:val="nil"/>
            </w:tcBorders>
            <w:vAlign w:val="center"/>
          </w:tcPr>
          <w:p w14:paraId="05B2B2B4" w14:textId="77777777" w:rsidR="00AD6087" w:rsidRPr="006435A5" w:rsidRDefault="00AD6087" w:rsidP="00A42F0D">
            <w:pPr>
              <w:spacing w:line="276" w:lineRule="auto"/>
              <w:ind w:firstLine="0"/>
              <w:jc w:val="center"/>
            </w:pPr>
            <w:r w:rsidRPr="006435A5">
              <w:t>10.3</w:t>
            </w:r>
          </w:p>
        </w:tc>
        <w:tc>
          <w:tcPr>
            <w:tcW w:w="922" w:type="dxa"/>
            <w:tcBorders>
              <w:left w:val="nil"/>
              <w:bottom w:val="single" w:sz="12" w:space="0" w:color="auto"/>
              <w:right w:val="nil"/>
            </w:tcBorders>
            <w:vAlign w:val="center"/>
          </w:tcPr>
          <w:p w14:paraId="337E67CD" w14:textId="77777777" w:rsidR="00AD6087" w:rsidRPr="006435A5" w:rsidRDefault="00AD6087" w:rsidP="00A42F0D">
            <w:pPr>
              <w:spacing w:line="276" w:lineRule="auto"/>
              <w:ind w:firstLine="0"/>
              <w:jc w:val="center"/>
            </w:pPr>
            <w:r w:rsidRPr="006435A5">
              <w:t>9.7</w:t>
            </w:r>
          </w:p>
        </w:tc>
        <w:tc>
          <w:tcPr>
            <w:tcW w:w="975" w:type="dxa"/>
            <w:tcBorders>
              <w:left w:val="nil"/>
              <w:bottom w:val="single" w:sz="12" w:space="0" w:color="auto"/>
              <w:right w:val="nil"/>
            </w:tcBorders>
            <w:vAlign w:val="center"/>
          </w:tcPr>
          <w:p w14:paraId="1360F718" w14:textId="77777777" w:rsidR="00AD6087" w:rsidRPr="006435A5" w:rsidRDefault="00AD6087" w:rsidP="00A42F0D">
            <w:pPr>
              <w:spacing w:line="276" w:lineRule="auto"/>
              <w:ind w:firstLine="0"/>
              <w:jc w:val="center"/>
            </w:pPr>
            <w:r w:rsidRPr="006435A5">
              <w:t>9.4</w:t>
            </w:r>
          </w:p>
        </w:tc>
        <w:tc>
          <w:tcPr>
            <w:tcW w:w="899" w:type="dxa"/>
            <w:tcBorders>
              <w:left w:val="nil"/>
              <w:bottom w:val="single" w:sz="12" w:space="0" w:color="auto"/>
              <w:right w:val="nil"/>
            </w:tcBorders>
            <w:vAlign w:val="center"/>
          </w:tcPr>
          <w:p w14:paraId="09F42279" w14:textId="77777777" w:rsidR="00AD6087" w:rsidRPr="006435A5" w:rsidRDefault="00AD6087" w:rsidP="00A42F0D">
            <w:pPr>
              <w:spacing w:line="276" w:lineRule="auto"/>
              <w:ind w:firstLine="0"/>
              <w:jc w:val="center"/>
            </w:pPr>
            <w:r w:rsidRPr="006435A5">
              <w:t>9.0</w:t>
            </w:r>
          </w:p>
        </w:tc>
      </w:tr>
      <w:tr w:rsidR="00AD6087" w:rsidRPr="006435A5" w14:paraId="58643A16" w14:textId="77777777" w:rsidTr="00A42F0D">
        <w:trPr>
          <w:trHeight w:val="577"/>
          <w:jc w:val="center"/>
        </w:trPr>
        <w:tc>
          <w:tcPr>
            <w:tcW w:w="5144" w:type="dxa"/>
            <w:tcBorders>
              <w:top w:val="single" w:sz="12" w:space="0" w:color="auto"/>
              <w:left w:val="nil"/>
              <w:right w:val="nil"/>
            </w:tcBorders>
            <w:vAlign w:val="center"/>
          </w:tcPr>
          <w:p w14:paraId="742AAD55" w14:textId="77777777" w:rsidR="00AD6087" w:rsidRPr="006435A5" w:rsidRDefault="00AD6087" w:rsidP="00A42F0D">
            <w:pPr>
              <w:spacing w:line="276" w:lineRule="auto"/>
              <w:ind w:firstLine="0"/>
              <w:jc w:val="left"/>
            </w:pPr>
            <w:r w:rsidRPr="006435A5">
              <w:t>Մեկ տարվա ընթացքում վերաֆիքսվող ՀՀ կառավարության պարտքի կշիռը (%)</w:t>
            </w:r>
          </w:p>
        </w:tc>
        <w:tc>
          <w:tcPr>
            <w:tcW w:w="1258" w:type="dxa"/>
            <w:tcBorders>
              <w:top w:val="single" w:sz="12" w:space="0" w:color="auto"/>
              <w:left w:val="nil"/>
              <w:right w:val="nil"/>
            </w:tcBorders>
            <w:vAlign w:val="center"/>
          </w:tcPr>
          <w:p w14:paraId="24487976" w14:textId="77777777" w:rsidR="00AD6087" w:rsidRPr="006435A5" w:rsidRDefault="00AD6087" w:rsidP="00A42F0D">
            <w:pPr>
              <w:spacing w:line="276" w:lineRule="auto"/>
              <w:ind w:firstLine="0"/>
              <w:jc w:val="center"/>
            </w:pPr>
            <w:r w:rsidRPr="006435A5">
              <w:t>23.2</w:t>
            </w:r>
          </w:p>
        </w:tc>
        <w:tc>
          <w:tcPr>
            <w:tcW w:w="922" w:type="dxa"/>
            <w:tcBorders>
              <w:top w:val="single" w:sz="12" w:space="0" w:color="auto"/>
              <w:left w:val="nil"/>
              <w:right w:val="nil"/>
            </w:tcBorders>
            <w:vAlign w:val="center"/>
          </w:tcPr>
          <w:p w14:paraId="0B6866C8" w14:textId="77777777" w:rsidR="00AD6087" w:rsidRPr="006435A5" w:rsidRDefault="00AD6087" w:rsidP="00A42F0D">
            <w:pPr>
              <w:spacing w:line="276" w:lineRule="auto"/>
              <w:ind w:firstLine="0"/>
              <w:jc w:val="center"/>
            </w:pPr>
            <w:r w:rsidRPr="006435A5">
              <w:t>23.2</w:t>
            </w:r>
          </w:p>
        </w:tc>
        <w:tc>
          <w:tcPr>
            <w:tcW w:w="975" w:type="dxa"/>
            <w:tcBorders>
              <w:top w:val="single" w:sz="12" w:space="0" w:color="auto"/>
              <w:left w:val="nil"/>
              <w:right w:val="nil"/>
            </w:tcBorders>
            <w:vAlign w:val="center"/>
          </w:tcPr>
          <w:p w14:paraId="3F3BC200" w14:textId="77777777" w:rsidR="00AD6087" w:rsidRPr="006435A5" w:rsidRDefault="00AD6087" w:rsidP="00A42F0D">
            <w:pPr>
              <w:spacing w:line="276" w:lineRule="auto"/>
              <w:ind w:firstLine="0"/>
              <w:jc w:val="center"/>
            </w:pPr>
            <w:r w:rsidRPr="006435A5">
              <w:t>27.5</w:t>
            </w:r>
          </w:p>
        </w:tc>
        <w:tc>
          <w:tcPr>
            <w:tcW w:w="899" w:type="dxa"/>
            <w:tcBorders>
              <w:top w:val="single" w:sz="12" w:space="0" w:color="auto"/>
              <w:left w:val="nil"/>
              <w:right w:val="nil"/>
            </w:tcBorders>
            <w:vAlign w:val="center"/>
          </w:tcPr>
          <w:p w14:paraId="728E4E71" w14:textId="77777777" w:rsidR="00AD6087" w:rsidRPr="006435A5" w:rsidRDefault="00AD6087" w:rsidP="00A42F0D">
            <w:pPr>
              <w:spacing w:line="276" w:lineRule="auto"/>
              <w:ind w:firstLine="0"/>
              <w:jc w:val="center"/>
            </w:pPr>
            <w:r w:rsidRPr="006435A5">
              <w:t>22.5</w:t>
            </w:r>
          </w:p>
        </w:tc>
      </w:tr>
      <w:tr w:rsidR="00AD6087" w:rsidRPr="006435A5" w14:paraId="7A604A64" w14:textId="77777777" w:rsidTr="00A42F0D">
        <w:trPr>
          <w:trHeight w:val="649"/>
          <w:jc w:val="center"/>
        </w:trPr>
        <w:tc>
          <w:tcPr>
            <w:tcW w:w="5144" w:type="dxa"/>
            <w:tcBorders>
              <w:left w:val="nil"/>
              <w:right w:val="nil"/>
            </w:tcBorders>
            <w:vAlign w:val="center"/>
          </w:tcPr>
          <w:p w14:paraId="181553B5" w14:textId="77777777" w:rsidR="00AD6087" w:rsidRPr="006435A5" w:rsidRDefault="00AD6087" w:rsidP="00A42F0D">
            <w:pPr>
              <w:spacing w:line="276" w:lineRule="auto"/>
              <w:ind w:firstLine="0"/>
              <w:jc w:val="left"/>
            </w:pPr>
            <w:r w:rsidRPr="006435A5">
              <w:t>Մեկ տարվա ընթացքում վերաֆիքսվող ՀՀ կառավարության արտաքին պարտքի կշիռը (%)</w:t>
            </w:r>
          </w:p>
        </w:tc>
        <w:tc>
          <w:tcPr>
            <w:tcW w:w="1258" w:type="dxa"/>
            <w:tcBorders>
              <w:left w:val="nil"/>
              <w:right w:val="nil"/>
            </w:tcBorders>
            <w:vAlign w:val="center"/>
          </w:tcPr>
          <w:p w14:paraId="053907F2" w14:textId="77777777" w:rsidR="00AD6087" w:rsidRPr="006435A5" w:rsidRDefault="00AD6087" w:rsidP="00A42F0D">
            <w:pPr>
              <w:spacing w:line="276" w:lineRule="auto"/>
              <w:ind w:firstLine="0"/>
              <w:jc w:val="center"/>
            </w:pPr>
            <w:r w:rsidRPr="006435A5">
              <w:t>27.7</w:t>
            </w:r>
          </w:p>
        </w:tc>
        <w:tc>
          <w:tcPr>
            <w:tcW w:w="922" w:type="dxa"/>
            <w:tcBorders>
              <w:left w:val="nil"/>
              <w:right w:val="nil"/>
            </w:tcBorders>
            <w:vAlign w:val="center"/>
          </w:tcPr>
          <w:p w14:paraId="77F28370" w14:textId="77777777" w:rsidR="00AD6087" w:rsidRPr="006435A5" w:rsidRDefault="00AD6087" w:rsidP="00A42F0D">
            <w:pPr>
              <w:spacing w:line="276" w:lineRule="auto"/>
              <w:ind w:firstLine="0"/>
              <w:jc w:val="center"/>
            </w:pPr>
            <w:r w:rsidRPr="006435A5">
              <w:t>28.9</w:t>
            </w:r>
          </w:p>
        </w:tc>
        <w:tc>
          <w:tcPr>
            <w:tcW w:w="975" w:type="dxa"/>
            <w:tcBorders>
              <w:left w:val="nil"/>
              <w:right w:val="nil"/>
            </w:tcBorders>
            <w:vAlign w:val="center"/>
          </w:tcPr>
          <w:p w14:paraId="2DA94631" w14:textId="77777777" w:rsidR="00AD6087" w:rsidRPr="006435A5" w:rsidRDefault="00AD6087" w:rsidP="00A42F0D">
            <w:pPr>
              <w:spacing w:line="276" w:lineRule="auto"/>
              <w:ind w:firstLine="0"/>
              <w:jc w:val="center"/>
            </w:pPr>
            <w:r w:rsidRPr="006435A5">
              <w:t>36.5</w:t>
            </w:r>
          </w:p>
        </w:tc>
        <w:tc>
          <w:tcPr>
            <w:tcW w:w="899" w:type="dxa"/>
            <w:tcBorders>
              <w:left w:val="nil"/>
              <w:right w:val="nil"/>
            </w:tcBorders>
            <w:vAlign w:val="center"/>
          </w:tcPr>
          <w:p w14:paraId="51F68BDC" w14:textId="77777777" w:rsidR="00AD6087" w:rsidRPr="006435A5" w:rsidRDefault="00AD6087" w:rsidP="00A42F0D">
            <w:pPr>
              <w:spacing w:line="276" w:lineRule="auto"/>
              <w:ind w:firstLine="0"/>
              <w:jc w:val="center"/>
            </w:pPr>
            <w:r w:rsidRPr="006435A5">
              <w:t>28.1</w:t>
            </w:r>
          </w:p>
        </w:tc>
      </w:tr>
      <w:tr w:rsidR="00AD6087" w:rsidRPr="006435A5" w14:paraId="62E56587" w14:textId="77777777" w:rsidTr="00A42F0D">
        <w:trPr>
          <w:trHeight w:val="701"/>
          <w:jc w:val="center"/>
        </w:trPr>
        <w:tc>
          <w:tcPr>
            <w:tcW w:w="5144" w:type="dxa"/>
            <w:tcBorders>
              <w:left w:val="nil"/>
              <w:bottom w:val="thickThinSmallGap" w:sz="24" w:space="0" w:color="auto"/>
              <w:right w:val="nil"/>
            </w:tcBorders>
            <w:vAlign w:val="center"/>
          </w:tcPr>
          <w:p w14:paraId="5B12C581" w14:textId="77777777" w:rsidR="00AD6087" w:rsidRPr="006435A5" w:rsidRDefault="00AD6087" w:rsidP="00A42F0D">
            <w:pPr>
              <w:spacing w:line="276" w:lineRule="auto"/>
              <w:ind w:firstLine="0"/>
              <w:jc w:val="left"/>
            </w:pPr>
            <w:r w:rsidRPr="006435A5">
              <w:t>Մեկ տարվա ընթացքում վերաֆիքսվող ՀՀ կառավարության ներքին պարտքի կշիռը (%)</w:t>
            </w:r>
          </w:p>
        </w:tc>
        <w:tc>
          <w:tcPr>
            <w:tcW w:w="1258" w:type="dxa"/>
            <w:tcBorders>
              <w:left w:val="nil"/>
              <w:bottom w:val="thickThinSmallGap" w:sz="24" w:space="0" w:color="auto"/>
              <w:right w:val="nil"/>
            </w:tcBorders>
            <w:vAlign w:val="center"/>
          </w:tcPr>
          <w:p w14:paraId="7A2FC458" w14:textId="77777777" w:rsidR="00AD6087" w:rsidRPr="006435A5" w:rsidRDefault="00AD6087" w:rsidP="00A42F0D">
            <w:pPr>
              <w:spacing w:line="276" w:lineRule="auto"/>
              <w:ind w:firstLine="0"/>
              <w:jc w:val="center"/>
            </w:pPr>
            <w:r w:rsidRPr="006435A5">
              <w:t>11.6</w:t>
            </w:r>
          </w:p>
        </w:tc>
        <w:tc>
          <w:tcPr>
            <w:tcW w:w="922" w:type="dxa"/>
            <w:tcBorders>
              <w:left w:val="nil"/>
              <w:bottom w:val="thickThinSmallGap" w:sz="24" w:space="0" w:color="auto"/>
              <w:right w:val="nil"/>
            </w:tcBorders>
            <w:vAlign w:val="center"/>
          </w:tcPr>
          <w:p w14:paraId="158C660C" w14:textId="77777777" w:rsidR="00AD6087" w:rsidRPr="006435A5" w:rsidRDefault="00AD6087" w:rsidP="00A42F0D">
            <w:pPr>
              <w:spacing w:line="276" w:lineRule="auto"/>
              <w:ind w:firstLine="0"/>
              <w:jc w:val="center"/>
            </w:pPr>
            <w:r w:rsidRPr="006435A5">
              <w:t>10.7</w:t>
            </w:r>
          </w:p>
        </w:tc>
        <w:tc>
          <w:tcPr>
            <w:tcW w:w="975" w:type="dxa"/>
            <w:tcBorders>
              <w:left w:val="nil"/>
              <w:bottom w:val="thickThinSmallGap" w:sz="24" w:space="0" w:color="auto"/>
              <w:right w:val="nil"/>
            </w:tcBorders>
            <w:vAlign w:val="center"/>
          </w:tcPr>
          <w:p w14:paraId="46339A6C" w14:textId="77777777" w:rsidR="00AD6087" w:rsidRPr="006435A5" w:rsidRDefault="00AD6087" w:rsidP="00A42F0D">
            <w:pPr>
              <w:spacing w:line="276" w:lineRule="auto"/>
              <w:ind w:firstLine="0"/>
              <w:jc w:val="center"/>
            </w:pPr>
            <w:r w:rsidRPr="006435A5">
              <w:t>10.7</w:t>
            </w:r>
          </w:p>
        </w:tc>
        <w:tc>
          <w:tcPr>
            <w:tcW w:w="899" w:type="dxa"/>
            <w:tcBorders>
              <w:left w:val="nil"/>
              <w:bottom w:val="thickThinSmallGap" w:sz="24" w:space="0" w:color="auto"/>
              <w:right w:val="nil"/>
            </w:tcBorders>
            <w:vAlign w:val="center"/>
          </w:tcPr>
          <w:p w14:paraId="44B806B0" w14:textId="77777777" w:rsidR="00AD6087" w:rsidRPr="006435A5" w:rsidRDefault="00AD6087" w:rsidP="00A42F0D">
            <w:pPr>
              <w:spacing w:line="276" w:lineRule="auto"/>
              <w:ind w:firstLine="0"/>
              <w:jc w:val="center"/>
            </w:pPr>
            <w:r w:rsidRPr="006435A5">
              <w:t>13.7</w:t>
            </w:r>
          </w:p>
        </w:tc>
      </w:tr>
    </w:tbl>
    <w:p w14:paraId="1574D2D9" w14:textId="77777777" w:rsidR="00AD6087" w:rsidRPr="006435A5" w:rsidRDefault="00AD6087" w:rsidP="00AD6087">
      <w:pPr>
        <w:pStyle w:val="aff3"/>
        <w:spacing w:line="276" w:lineRule="auto"/>
      </w:pPr>
      <w:r w:rsidRPr="006435A5">
        <w:t xml:space="preserve">Գործառնական ռիսկ   </w:t>
      </w:r>
    </w:p>
    <w:p w14:paraId="3DC98A67" w14:textId="77777777" w:rsidR="00AD6087" w:rsidRPr="00AD6087" w:rsidRDefault="00AD6087" w:rsidP="00AD6087">
      <w:pPr>
        <w:spacing w:line="276" w:lineRule="auto"/>
        <w:rPr>
          <w:lang w:val="hy-AM"/>
        </w:rPr>
      </w:pPr>
      <w:r w:rsidRPr="00AD6087">
        <w:rPr>
          <w:lang w:val="hy-AM"/>
        </w:rPr>
        <w:t>Գործառնական ռիսկը սահմանվում է որպես արտաքին գործոնների, տեխնոլոգիաների արդյունք, ինչպես նաև անձնակազմի, կազմակերպության, գործընթացների անբավարար գոր</w:t>
      </w:r>
      <w:r w:rsidRPr="00AD6087">
        <w:rPr>
          <w:lang w:val="hy-AM"/>
        </w:rPr>
        <w:softHyphen/>
        <w:t>ծու</w:t>
      </w:r>
      <w:r w:rsidRPr="00AD6087">
        <w:rPr>
          <w:lang w:val="hy-AM"/>
        </w:rPr>
        <w:softHyphen/>
        <w:t>նեության հետևանք: Գործառնական ռիսկը կառավարելու տեսանկյունից կարևոր նշա</w:t>
      </w:r>
      <w:r w:rsidRPr="00AD6087">
        <w:rPr>
          <w:lang w:val="hy-AM"/>
        </w:rPr>
        <w:softHyphen/>
        <w:t>նակու</w:t>
      </w:r>
      <w:r w:rsidRPr="00AD6087">
        <w:rPr>
          <w:lang w:val="hy-AM"/>
        </w:rPr>
        <w:softHyphen/>
        <w:t>թյուն ունի տեղեկատվության անվտանգության ապահովումը` ներառյալ փաստաթղթերը և տեխնո</w:t>
      </w:r>
      <w:r w:rsidRPr="00AD6087">
        <w:rPr>
          <w:lang w:val="hy-AM"/>
        </w:rPr>
        <w:softHyphen/>
        <w:t>լո</w:t>
      </w:r>
      <w:r w:rsidRPr="00AD6087">
        <w:rPr>
          <w:lang w:val="hy-AM"/>
        </w:rPr>
        <w:softHyphen/>
        <w:t>գիական համակարգերը: Անհրաժեշտ է ապահովել պարտքի գրանցման և հաշվառման տվյալների բազայի այլընտրանքային պահպանումը՝ ֆորս մաժորային իրավիճակ</w:t>
      </w:r>
      <w:r w:rsidRPr="00AD6087">
        <w:rPr>
          <w:lang w:val="hy-AM"/>
        </w:rPr>
        <w:softHyphen/>
        <w:t>ներում ամբող</w:t>
      </w:r>
      <w:r w:rsidRPr="00AD6087">
        <w:rPr>
          <w:lang w:val="hy-AM"/>
        </w:rPr>
        <w:softHyphen/>
        <w:t>ջական տեղեկատվության պահպանման և աշխատանքների ընթացքը չխաթարելու, պարտքային պարտավորությունները ժամանակին և անթերի իրականացնելու համար: ՀՀ կառավարության պարտքի կառավարման հետ կապված գործառնական ռիսկերը բացահայտելու, գնահատելու, կառավարելու և նվազեցնելու նպատակով կիրականացվեն ՀՀ ֆինանսների նախարարության պետական պարտքի կառավարման վարչության «Բիզնես գործընթացների շարունակականության ծրագրով» նախատեսված միջոցառումները:</w:t>
      </w:r>
    </w:p>
    <w:p w14:paraId="77CF5467" w14:textId="77777777" w:rsidR="00AD6087" w:rsidRPr="00AD6087" w:rsidRDefault="00AD6087" w:rsidP="00AD6087">
      <w:pPr>
        <w:spacing w:line="276" w:lineRule="auto"/>
        <w:rPr>
          <w:lang w:val="hy-AM"/>
        </w:rPr>
      </w:pPr>
    </w:p>
    <w:p w14:paraId="67E5DC17" w14:textId="7FE7A796" w:rsidR="00AD6087" w:rsidRPr="00C55EBB" w:rsidRDefault="00AD6087" w:rsidP="00BB2C3D">
      <w:pPr>
        <w:spacing w:line="276" w:lineRule="auto"/>
        <w:rPr>
          <w:lang w:val="hy-AM"/>
        </w:rPr>
      </w:pPr>
      <w:r w:rsidRPr="00C55EBB">
        <w:rPr>
          <w:lang w:val="hy-AM"/>
        </w:rPr>
        <w:br w:type="page"/>
      </w:r>
      <w:bookmarkStart w:id="677" w:name="_Toc77434491"/>
      <w:r w:rsidR="00BB2C3D" w:rsidRPr="00C55EBB">
        <w:rPr>
          <w:b/>
          <w:color w:val="1F497D" w:themeColor="text2"/>
          <w:lang w:val="hy-AM"/>
        </w:rPr>
        <w:t>ԶԳԱՅՈՒՆՈՒԹՅԱՆ ՎԵՐԼՈՒԾՈՒԹՅՈՒՆՆԵՐ</w:t>
      </w:r>
      <w:bookmarkEnd w:id="677"/>
    </w:p>
    <w:p w14:paraId="7839551D" w14:textId="77777777" w:rsidR="00AD6087" w:rsidRPr="00AD6087" w:rsidRDefault="00AD6087" w:rsidP="00AD6087">
      <w:pPr>
        <w:spacing w:line="276" w:lineRule="auto"/>
        <w:rPr>
          <w:lang w:val="es-ES"/>
        </w:rPr>
      </w:pPr>
      <w:r w:rsidRPr="00BB2C3D">
        <w:rPr>
          <w:lang w:val="hy-AM"/>
        </w:rPr>
        <w:t>Մինչ</w:t>
      </w:r>
      <w:r w:rsidRPr="00AD6087">
        <w:rPr>
          <w:lang w:val="es-ES"/>
        </w:rPr>
        <w:t xml:space="preserve"> </w:t>
      </w:r>
      <w:r w:rsidRPr="00BB2C3D">
        <w:rPr>
          <w:lang w:val="hy-AM"/>
        </w:rPr>
        <w:t>այժմ</w:t>
      </w:r>
      <w:r w:rsidRPr="00AD6087">
        <w:rPr>
          <w:lang w:val="es-ES"/>
        </w:rPr>
        <w:t xml:space="preserve"> </w:t>
      </w:r>
      <w:r w:rsidRPr="00BB2C3D">
        <w:rPr>
          <w:lang w:val="hy-AM"/>
        </w:rPr>
        <w:t>կատարված</w:t>
      </w:r>
      <w:r w:rsidRPr="00AD6087">
        <w:rPr>
          <w:lang w:val="es-ES"/>
        </w:rPr>
        <w:t xml:space="preserve"> </w:t>
      </w:r>
      <w:r w:rsidRPr="00BB2C3D">
        <w:rPr>
          <w:lang w:val="hy-AM"/>
        </w:rPr>
        <w:t>ծախսերի</w:t>
      </w:r>
      <w:r w:rsidRPr="00AD6087">
        <w:rPr>
          <w:lang w:val="es-ES"/>
        </w:rPr>
        <w:t xml:space="preserve"> </w:t>
      </w:r>
      <w:r w:rsidRPr="00BB2C3D">
        <w:rPr>
          <w:lang w:val="hy-AM"/>
        </w:rPr>
        <w:t>և</w:t>
      </w:r>
      <w:r w:rsidRPr="00AD6087">
        <w:rPr>
          <w:lang w:val="es-ES"/>
        </w:rPr>
        <w:t xml:space="preserve"> </w:t>
      </w:r>
      <w:r w:rsidRPr="00BB2C3D">
        <w:rPr>
          <w:lang w:val="hy-AM"/>
        </w:rPr>
        <w:t>ռիսկերի</w:t>
      </w:r>
      <w:r w:rsidRPr="00AD6087">
        <w:rPr>
          <w:lang w:val="es-ES"/>
        </w:rPr>
        <w:t xml:space="preserve"> </w:t>
      </w:r>
      <w:r w:rsidRPr="00BB2C3D">
        <w:rPr>
          <w:lang w:val="hy-AM"/>
        </w:rPr>
        <w:t>վերլուծությունը</w:t>
      </w:r>
      <w:r w:rsidRPr="00AD6087">
        <w:rPr>
          <w:lang w:val="es-ES"/>
        </w:rPr>
        <w:t xml:space="preserve"> </w:t>
      </w:r>
      <w:r w:rsidRPr="00BB2C3D">
        <w:rPr>
          <w:lang w:val="hy-AM"/>
        </w:rPr>
        <w:t>հիմնված</w:t>
      </w:r>
      <w:r w:rsidRPr="00AD6087">
        <w:rPr>
          <w:lang w:val="es-ES"/>
        </w:rPr>
        <w:t xml:space="preserve"> </w:t>
      </w:r>
      <w:r w:rsidRPr="00BB2C3D">
        <w:rPr>
          <w:lang w:val="hy-AM"/>
        </w:rPr>
        <w:t>է</w:t>
      </w:r>
      <w:r w:rsidRPr="00AD6087">
        <w:rPr>
          <w:lang w:val="es-ES"/>
        </w:rPr>
        <w:t xml:space="preserve"> </w:t>
      </w:r>
      <w:r w:rsidRPr="00BB2C3D">
        <w:rPr>
          <w:lang w:val="hy-AM"/>
        </w:rPr>
        <w:t>եղել</w:t>
      </w:r>
      <w:r w:rsidRPr="00AD6087">
        <w:rPr>
          <w:lang w:val="es-ES"/>
        </w:rPr>
        <w:t xml:space="preserve"> </w:t>
      </w:r>
      <w:r w:rsidRPr="00BB2C3D">
        <w:rPr>
          <w:lang w:val="hy-AM"/>
        </w:rPr>
        <w:t>կանխատես</w:t>
      </w:r>
      <w:r w:rsidRPr="00AD6087">
        <w:rPr>
          <w:lang w:val="es-ES"/>
        </w:rPr>
        <w:softHyphen/>
      </w:r>
      <w:r w:rsidRPr="00BB2C3D">
        <w:rPr>
          <w:lang w:val="hy-AM"/>
        </w:rPr>
        <w:t>ված</w:t>
      </w:r>
      <w:r w:rsidRPr="00AD6087">
        <w:rPr>
          <w:lang w:val="es-ES"/>
        </w:rPr>
        <w:t xml:space="preserve"> </w:t>
      </w:r>
      <w:r w:rsidRPr="00BB2C3D">
        <w:rPr>
          <w:lang w:val="hy-AM"/>
        </w:rPr>
        <w:t>մակրոտնտեսական</w:t>
      </w:r>
      <w:r w:rsidRPr="00AD6087">
        <w:rPr>
          <w:lang w:val="es-ES"/>
        </w:rPr>
        <w:t xml:space="preserve"> </w:t>
      </w:r>
      <w:r w:rsidRPr="00BB2C3D">
        <w:rPr>
          <w:lang w:val="hy-AM"/>
        </w:rPr>
        <w:t>և</w:t>
      </w:r>
      <w:r w:rsidRPr="00AD6087">
        <w:rPr>
          <w:lang w:val="es-ES"/>
        </w:rPr>
        <w:t xml:space="preserve"> </w:t>
      </w:r>
      <w:r w:rsidRPr="00BB2C3D">
        <w:rPr>
          <w:lang w:val="hy-AM"/>
        </w:rPr>
        <w:t>հարկաբյուջետային</w:t>
      </w:r>
      <w:r w:rsidRPr="00AD6087">
        <w:rPr>
          <w:lang w:val="es-ES"/>
        </w:rPr>
        <w:t xml:space="preserve"> </w:t>
      </w:r>
      <w:r w:rsidRPr="00BB2C3D">
        <w:rPr>
          <w:lang w:val="hy-AM"/>
        </w:rPr>
        <w:t>ցուցանիշների</w:t>
      </w:r>
      <w:r w:rsidRPr="00AD6087">
        <w:rPr>
          <w:lang w:val="es-ES"/>
        </w:rPr>
        <w:t xml:space="preserve"> </w:t>
      </w:r>
      <w:r w:rsidRPr="00BB2C3D">
        <w:rPr>
          <w:lang w:val="hy-AM"/>
        </w:rPr>
        <w:t>վրա</w:t>
      </w:r>
      <w:r w:rsidRPr="00AD6087">
        <w:rPr>
          <w:lang w:val="es-ES"/>
        </w:rPr>
        <w:t xml:space="preserve"> </w:t>
      </w:r>
      <w:r w:rsidRPr="00BB2C3D">
        <w:rPr>
          <w:lang w:val="hy-AM"/>
        </w:rPr>
        <w:t>և</w:t>
      </w:r>
      <w:r w:rsidRPr="00AD6087">
        <w:rPr>
          <w:lang w:val="es-ES"/>
        </w:rPr>
        <w:t xml:space="preserve"> </w:t>
      </w:r>
      <w:r w:rsidRPr="00BB2C3D">
        <w:rPr>
          <w:lang w:val="hy-AM"/>
        </w:rPr>
        <w:t>իրենից</w:t>
      </w:r>
      <w:r w:rsidRPr="00AD6087">
        <w:rPr>
          <w:lang w:val="es-ES"/>
        </w:rPr>
        <w:t xml:space="preserve"> </w:t>
      </w:r>
      <w:r w:rsidRPr="00BB2C3D">
        <w:rPr>
          <w:lang w:val="hy-AM"/>
        </w:rPr>
        <w:t>ներ</w:t>
      </w:r>
      <w:r w:rsidRPr="00AD6087">
        <w:rPr>
          <w:lang w:val="es-ES"/>
        </w:rPr>
        <w:softHyphen/>
      </w:r>
      <w:r w:rsidRPr="00BB2C3D">
        <w:rPr>
          <w:lang w:val="hy-AM"/>
        </w:rPr>
        <w:t>կա</w:t>
      </w:r>
      <w:r w:rsidRPr="00AD6087">
        <w:rPr>
          <w:lang w:val="es-ES"/>
        </w:rPr>
        <w:softHyphen/>
      </w:r>
      <w:r w:rsidRPr="00BB2C3D">
        <w:rPr>
          <w:lang w:val="hy-AM"/>
        </w:rPr>
        <w:t>յացնում</w:t>
      </w:r>
      <w:r w:rsidRPr="00AD6087">
        <w:rPr>
          <w:lang w:val="es-ES"/>
        </w:rPr>
        <w:t xml:space="preserve"> </w:t>
      </w:r>
      <w:r w:rsidRPr="00BB2C3D">
        <w:rPr>
          <w:lang w:val="hy-AM"/>
        </w:rPr>
        <w:t>է</w:t>
      </w:r>
      <w:r w:rsidRPr="00AD6087">
        <w:rPr>
          <w:lang w:val="es-ES"/>
        </w:rPr>
        <w:t xml:space="preserve"> </w:t>
      </w:r>
      <w:r w:rsidRPr="00BB2C3D">
        <w:rPr>
          <w:lang w:val="hy-AM"/>
        </w:rPr>
        <w:t>ՀՀ</w:t>
      </w:r>
      <w:r w:rsidRPr="00AD6087">
        <w:rPr>
          <w:lang w:val="es-ES"/>
        </w:rPr>
        <w:t xml:space="preserve"> </w:t>
      </w:r>
      <w:r w:rsidRPr="00BB2C3D">
        <w:rPr>
          <w:lang w:val="hy-AM"/>
        </w:rPr>
        <w:t>կառավարության</w:t>
      </w:r>
      <w:r w:rsidRPr="00AD6087">
        <w:rPr>
          <w:lang w:val="es-ES"/>
        </w:rPr>
        <w:t xml:space="preserve"> </w:t>
      </w:r>
      <w:r w:rsidRPr="00BB2C3D">
        <w:rPr>
          <w:lang w:val="hy-AM"/>
        </w:rPr>
        <w:t>պարտքի</w:t>
      </w:r>
      <w:r w:rsidRPr="00AD6087">
        <w:rPr>
          <w:lang w:val="es-ES"/>
        </w:rPr>
        <w:t xml:space="preserve"> </w:t>
      </w:r>
      <w:r w:rsidRPr="00BB2C3D">
        <w:rPr>
          <w:lang w:val="hy-AM"/>
        </w:rPr>
        <w:t>կառավարման</w:t>
      </w:r>
      <w:r w:rsidRPr="00AD6087">
        <w:rPr>
          <w:lang w:val="es-ES"/>
        </w:rPr>
        <w:t xml:space="preserve"> </w:t>
      </w:r>
      <w:r w:rsidRPr="00BB2C3D">
        <w:rPr>
          <w:lang w:val="hy-AM"/>
        </w:rPr>
        <w:t>ռազմավարության</w:t>
      </w:r>
      <w:r w:rsidRPr="00AD6087">
        <w:rPr>
          <w:lang w:val="es-ES"/>
        </w:rPr>
        <w:t xml:space="preserve"> </w:t>
      </w:r>
      <w:r w:rsidRPr="00BB2C3D">
        <w:rPr>
          <w:lang w:val="hy-AM"/>
        </w:rPr>
        <w:t>հիմնական</w:t>
      </w:r>
      <w:r w:rsidRPr="00AD6087">
        <w:rPr>
          <w:lang w:val="es-ES"/>
        </w:rPr>
        <w:t xml:space="preserve"> </w:t>
      </w:r>
      <w:r w:rsidRPr="00BB2C3D">
        <w:rPr>
          <w:lang w:val="hy-AM"/>
        </w:rPr>
        <w:t>սցե</w:t>
      </w:r>
      <w:r w:rsidRPr="00AD6087">
        <w:rPr>
          <w:lang w:val="es-ES"/>
        </w:rPr>
        <w:softHyphen/>
      </w:r>
      <w:r w:rsidRPr="00BB2C3D">
        <w:rPr>
          <w:lang w:val="hy-AM"/>
        </w:rPr>
        <w:t>նար</w:t>
      </w:r>
      <w:r w:rsidRPr="00AD6087">
        <w:rPr>
          <w:lang w:val="es-ES"/>
        </w:rPr>
        <w:t xml:space="preserve">: </w:t>
      </w:r>
      <w:r w:rsidRPr="00BB2C3D">
        <w:rPr>
          <w:lang w:val="hy-AM"/>
        </w:rPr>
        <w:t>Ստորև</w:t>
      </w:r>
      <w:r w:rsidRPr="00AD6087">
        <w:rPr>
          <w:lang w:val="es-ES"/>
        </w:rPr>
        <w:t xml:space="preserve"> </w:t>
      </w:r>
      <w:r w:rsidRPr="00BB2C3D">
        <w:rPr>
          <w:lang w:val="hy-AM"/>
        </w:rPr>
        <w:t>ներկայացվում</w:t>
      </w:r>
      <w:r w:rsidRPr="00AD6087">
        <w:rPr>
          <w:lang w:val="es-ES"/>
        </w:rPr>
        <w:t xml:space="preserve"> </w:t>
      </w:r>
      <w:r w:rsidRPr="00BB2C3D">
        <w:rPr>
          <w:lang w:val="hy-AM"/>
        </w:rPr>
        <w:t>է</w:t>
      </w:r>
      <w:r w:rsidRPr="00AD6087">
        <w:rPr>
          <w:lang w:val="es-ES"/>
        </w:rPr>
        <w:t xml:space="preserve"> </w:t>
      </w:r>
      <w:r w:rsidRPr="00BB2C3D">
        <w:rPr>
          <w:lang w:val="hy-AM"/>
        </w:rPr>
        <w:t>շուկայական</w:t>
      </w:r>
      <w:r w:rsidRPr="00AD6087">
        <w:rPr>
          <w:lang w:val="es-ES"/>
        </w:rPr>
        <w:t xml:space="preserve"> </w:t>
      </w:r>
      <w:r w:rsidRPr="00BB2C3D">
        <w:rPr>
          <w:lang w:val="hy-AM"/>
        </w:rPr>
        <w:t>փոփոխականների</w:t>
      </w:r>
      <w:r w:rsidRPr="00AD6087">
        <w:rPr>
          <w:lang w:val="es-ES"/>
        </w:rPr>
        <w:t xml:space="preserve"> </w:t>
      </w:r>
      <w:r w:rsidRPr="00BB2C3D">
        <w:rPr>
          <w:lang w:val="hy-AM"/>
        </w:rPr>
        <w:t>նկատմամբ</w:t>
      </w:r>
      <w:r w:rsidRPr="00AD6087">
        <w:rPr>
          <w:lang w:val="es-ES"/>
        </w:rPr>
        <w:t xml:space="preserve"> </w:t>
      </w:r>
      <w:r w:rsidRPr="00BB2C3D">
        <w:rPr>
          <w:lang w:val="hy-AM"/>
        </w:rPr>
        <w:t>կիրառված</w:t>
      </w:r>
      <w:r w:rsidRPr="00AD6087">
        <w:rPr>
          <w:lang w:val="es-ES"/>
        </w:rPr>
        <w:t xml:space="preserve"> </w:t>
      </w:r>
      <w:r w:rsidRPr="00BB2C3D">
        <w:rPr>
          <w:lang w:val="hy-AM"/>
        </w:rPr>
        <w:t>տարբեր</w:t>
      </w:r>
      <w:r w:rsidRPr="00AD6087">
        <w:rPr>
          <w:lang w:val="es-ES"/>
        </w:rPr>
        <w:t xml:space="preserve"> </w:t>
      </w:r>
      <w:r w:rsidRPr="00BB2C3D">
        <w:rPr>
          <w:lang w:val="hy-AM"/>
        </w:rPr>
        <w:t>շոկերի</w:t>
      </w:r>
      <w:r w:rsidRPr="00AD6087">
        <w:rPr>
          <w:lang w:val="es-ES"/>
        </w:rPr>
        <w:t xml:space="preserve"> </w:t>
      </w:r>
      <w:r w:rsidRPr="00BB2C3D">
        <w:rPr>
          <w:lang w:val="hy-AM"/>
        </w:rPr>
        <w:t>արդյունքում</w:t>
      </w:r>
      <w:r w:rsidRPr="00AD6087">
        <w:rPr>
          <w:lang w:val="es-ES"/>
        </w:rPr>
        <w:t xml:space="preserve"> </w:t>
      </w:r>
      <w:r w:rsidRPr="00BB2C3D">
        <w:rPr>
          <w:lang w:val="hy-AM"/>
        </w:rPr>
        <w:t>ծախ</w:t>
      </w:r>
      <w:r w:rsidRPr="00AD6087">
        <w:rPr>
          <w:lang w:val="es-ES"/>
        </w:rPr>
        <w:softHyphen/>
      </w:r>
      <w:r w:rsidRPr="00BB2C3D">
        <w:rPr>
          <w:lang w:val="hy-AM"/>
        </w:rPr>
        <w:t>սերի</w:t>
      </w:r>
      <w:r w:rsidRPr="00AD6087">
        <w:rPr>
          <w:lang w:val="es-ES"/>
        </w:rPr>
        <w:t xml:space="preserve"> </w:t>
      </w:r>
      <w:r w:rsidRPr="00BB2C3D">
        <w:rPr>
          <w:lang w:val="hy-AM"/>
        </w:rPr>
        <w:t>և</w:t>
      </w:r>
      <w:r w:rsidRPr="00AD6087">
        <w:rPr>
          <w:lang w:val="es-ES"/>
        </w:rPr>
        <w:t xml:space="preserve"> </w:t>
      </w:r>
      <w:r w:rsidRPr="00BB2C3D">
        <w:rPr>
          <w:lang w:val="hy-AM"/>
        </w:rPr>
        <w:t>ռիսկերի</w:t>
      </w:r>
      <w:r w:rsidRPr="00AD6087">
        <w:rPr>
          <w:lang w:val="es-ES"/>
        </w:rPr>
        <w:t xml:space="preserve"> </w:t>
      </w:r>
      <w:r w:rsidRPr="00BB2C3D">
        <w:rPr>
          <w:lang w:val="hy-AM"/>
        </w:rPr>
        <w:t>ցուցանիշների</w:t>
      </w:r>
      <w:r w:rsidRPr="00AD6087">
        <w:rPr>
          <w:lang w:val="es-ES"/>
        </w:rPr>
        <w:t xml:space="preserve"> </w:t>
      </w:r>
      <w:r w:rsidRPr="00BB2C3D">
        <w:rPr>
          <w:lang w:val="hy-AM"/>
        </w:rPr>
        <w:t>շեղման</w:t>
      </w:r>
      <w:r w:rsidRPr="00AD6087">
        <w:rPr>
          <w:lang w:val="es-ES"/>
        </w:rPr>
        <w:t xml:space="preserve"> </w:t>
      </w:r>
      <w:r w:rsidRPr="00BB2C3D">
        <w:rPr>
          <w:lang w:val="hy-AM"/>
        </w:rPr>
        <w:t>չափը</w:t>
      </w:r>
      <w:r w:rsidRPr="00AD6087">
        <w:rPr>
          <w:lang w:val="es-ES"/>
        </w:rPr>
        <w:t xml:space="preserve"> </w:t>
      </w:r>
      <w:r w:rsidRPr="00BB2C3D">
        <w:rPr>
          <w:lang w:val="hy-AM"/>
        </w:rPr>
        <w:t>հիմնական</w:t>
      </w:r>
      <w:r w:rsidRPr="00AD6087">
        <w:rPr>
          <w:lang w:val="es-ES"/>
        </w:rPr>
        <w:t xml:space="preserve"> </w:t>
      </w:r>
      <w:r w:rsidRPr="00BB2C3D">
        <w:rPr>
          <w:lang w:val="hy-AM"/>
        </w:rPr>
        <w:t>սցենարի</w:t>
      </w:r>
      <w:r w:rsidRPr="00AD6087">
        <w:rPr>
          <w:lang w:val="es-ES"/>
        </w:rPr>
        <w:t xml:space="preserve"> </w:t>
      </w:r>
      <w:r w:rsidRPr="00BB2C3D">
        <w:rPr>
          <w:lang w:val="hy-AM"/>
        </w:rPr>
        <w:t>արդյունքներից</w:t>
      </w:r>
      <w:r w:rsidRPr="00AD6087">
        <w:rPr>
          <w:lang w:val="es-ES"/>
        </w:rPr>
        <w:t xml:space="preserve">: </w:t>
      </w:r>
    </w:p>
    <w:p w14:paraId="4A8335EA" w14:textId="77777777" w:rsidR="00AD6087" w:rsidRPr="006435A5" w:rsidRDefault="00AD6087" w:rsidP="00AD6087">
      <w:pPr>
        <w:pStyle w:val="aff2"/>
        <w:spacing w:line="276" w:lineRule="auto"/>
        <w:rPr>
          <w:sz w:val="22"/>
          <w:szCs w:val="22"/>
        </w:rPr>
      </w:pPr>
      <w:r w:rsidRPr="006435A5">
        <w:rPr>
          <w:sz w:val="22"/>
          <w:szCs w:val="22"/>
        </w:rPr>
        <w:t>Գծապատկեր 10. ՀՀ կառավարության պարտք/ՀՆԱ ցուցանիշը 2021-2024 թվականներին</w:t>
      </w:r>
    </w:p>
    <w:p w14:paraId="26B83FEE" w14:textId="77777777" w:rsidR="00AD6087" w:rsidRPr="006435A5" w:rsidRDefault="00AD6087" w:rsidP="00AD6087">
      <w:pPr>
        <w:spacing w:line="276" w:lineRule="auto"/>
        <w:ind w:firstLine="0"/>
        <w:rPr>
          <w:color w:val="FF0000"/>
        </w:rPr>
      </w:pPr>
      <w:r w:rsidRPr="006435A5">
        <w:rPr>
          <w:noProof/>
        </w:rPr>
        <w:object w:dxaOrig="8660" w:dyaOrig="6145" w14:anchorId="3D855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1" o:spid="_x0000_i1025" type="#_x0000_t75" style="width:375.75pt;height:249pt;visibility:visible" o:ole="">
            <v:imagedata r:id="rId104" o:title=""/>
            <o:lock v:ext="edit" aspectratio="f"/>
          </v:shape>
          <o:OLEObject Type="Embed" ProgID="Excel.Sheet.8" ShapeID="Chart 1" DrawAspect="Content" ObjectID="_1688476315" r:id="rId105">
            <o:FieldCodes>\s</o:FieldCodes>
          </o:OLEObject>
        </w:object>
      </w:r>
    </w:p>
    <w:p w14:paraId="057952D9" w14:textId="77777777" w:rsidR="00AD6087" w:rsidRPr="006435A5" w:rsidRDefault="00AD6087" w:rsidP="00AD6087">
      <w:pPr>
        <w:pStyle w:val="aff2"/>
        <w:spacing w:before="120" w:line="276" w:lineRule="auto"/>
        <w:rPr>
          <w:sz w:val="22"/>
          <w:szCs w:val="22"/>
        </w:rPr>
      </w:pPr>
      <w:r w:rsidRPr="006435A5">
        <w:rPr>
          <w:sz w:val="22"/>
          <w:szCs w:val="22"/>
        </w:rPr>
        <w:t>Գծապատկեր 11. Տոկոսավճար/ՀՆԱ ցուցանիշը 2021-2024 թվականներին</w:t>
      </w:r>
    </w:p>
    <w:p w14:paraId="1A6C09F4" w14:textId="1C161193" w:rsidR="00AD6087" w:rsidRPr="006435A5" w:rsidRDefault="00AD6087" w:rsidP="00AD6087">
      <w:pPr>
        <w:spacing w:line="276" w:lineRule="auto"/>
        <w:ind w:firstLine="0"/>
      </w:pPr>
      <w:r w:rsidRPr="006435A5">
        <w:rPr>
          <w:noProof/>
        </w:rPr>
        <w:drawing>
          <wp:inline distT="0" distB="0" distL="0" distR="0" wp14:anchorId="402E2B99" wp14:editId="0100F079">
            <wp:extent cx="4633595" cy="3081655"/>
            <wp:effectExtent l="0" t="0" r="14605" b="4445"/>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DC6952E" w14:textId="77777777" w:rsidR="00AD6087" w:rsidRPr="006435A5" w:rsidRDefault="00AD6087" w:rsidP="00AD6087">
      <w:pPr>
        <w:pStyle w:val="aff3"/>
        <w:spacing w:line="276" w:lineRule="auto"/>
      </w:pPr>
      <w:r w:rsidRPr="006435A5">
        <w:t>Փոխարժեքի շոկ</w:t>
      </w:r>
    </w:p>
    <w:p w14:paraId="0655E0C1" w14:textId="77777777" w:rsidR="00AD6087" w:rsidRPr="006435A5" w:rsidRDefault="00AD6087" w:rsidP="00AD6087">
      <w:pPr>
        <w:spacing w:line="276" w:lineRule="auto"/>
      </w:pPr>
      <w:r w:rsidRPr="006435A5">
        <w:t>ՀՀ կառավարության պարտքի պորտֆելը պարունակում է փոխարժեքի էական ռիսկեր: Կիրառելով 30% շոկ՝ 2022 թվականին արժեզրկելով ՀՀ դրամը ԱՄՆ դոլարի, եվրոյի և SDR-ի նկատմամբ, ՀՀ կառա</w:t>
      </w:r>
      <w:r w:rsidRPr="006435A5">
        <w:softHyphen/>
        <w:t xml:space="preserve">վարության պարտք/ՀՆԱ հարաբերակցությունը 2024 թվականի տարեվերջին հասնում է 68.0%-ի, որը 11.2 տոկոսային կետով ավելի է հիմնական սցենարի նույն ցուցանիշից: </w:t>
      </w:r>
    </w:p>
    <w:p w14:paraId="279BF3D4" w14:textId="77777777" w:rsidR="00AD6087" w:rsidRPr="006435A5" w:rsidRDefault="00AD6087" w:rsidP="00AD6087">
      <w:pPr>
        <w:spacing w:line="276" w:lineRule="auto"/>
      </w:pPr>
      <w:r w:rsidRPr="006435A5">
        <w:t>Եթե 01.04.2021 թվականի դրությամբ ձևավորված փոխարժեքները, որոնց հիման վրա ՀՀ կառավարության արտարժութային պարտքը փոխարկվել է ԱՄՆ դոլարի, փոփոխվեն 1%-ով, ապա 2022-2024 թվականներին ընթացքում ՀՀ կառա</w:t>
      </w:r>
      <w:r w:rsidRPr="006435A5">
        <w:softHyphen/>
        <w:t>վա</w:t>
      </w:r>
      <w:r w:rsidRPr="006435A5">
        <w:softHyphen/>
        <w:t>րության արտարժութային պարտքը կփոփոխվի միջին հաշվով տարեկան 32.5 մլրդ դրամով կամ ՀՆԱ-ի 0.4%-ով:</w:t>
      </w:r>
    </w:p>
    <w:p w14:paraId="24E5C9D5" w14:textId="77777777" w:rsidR="00AD6087" w:rsidRPr="006435A5" w:rsidRDefault="00AD6087" w:rsidP="00AD6087">
      <w:pPr>
        <w:pStyle w:val="aff3"/>
        <w:spacing w:line="276" w:lineRule="auto"/>
      </w:pPr>
      <w:r w:rsidRPr="006435A5">
        <w:t>Տոկոսադրույքի շոկ</w:t>
      </w:r>
    </w:p>
    <w:p w14:paraId="1E7CC49A" w14:textId="77777777" w:rsidR="00AD6087" w:rsidRPr="006435A5" w:rsidRDefault="00AD6087" w:rsidP="00AD6087">
      <w:pPr>
        <w:spacing w:line="276" w:lineRule="auto"/>
      </w:pPr>
      <w:r w:rsidRPr="006435A5">
        <w:t>Վերլուծելով արտաքին աղբյուրներից ներգրավվող փոխառու միջոցների տոկո</w:t>
      </w:r>
      <w:r w:rsidRPr="006435A5">
        <w:softHyphen/>
        <w:t>սադրույք</w:t>
      </w:r>
      <w:r w:rsidRPr="006435A5">
        <w:softHyphen/>
        <w:t>ների 250 բազիսային կետի և ներքին աղբյուրներից ներգրավվող փոխառու միջոցների 500 բազիսային կետի չափով աճի շոկային սցենարը՝ պարզ է դառնում, որ տոկոսադրույքի շոկի ազդեցությունը ՀՀ կառավարության պարտքի պորտֆելի վրա մնում է չափավոր: ՀՀ կառա</w:t>
      </w:r>
      <w:r w:rsidRPr="006435A5">
        <w:softHyphen/>
        <w:t xml:space="preserve">վարության պարտք/ՀՆԱ հարաբերակցությունը 2024 թվականի տարեվերջին հիմնական սցենարի նույն ցուցանիշի նկատմամբ ավելանալով 2.1 տոկոսային կետով՝ կազմում է 58.9%: Տոկոսավճար/ՀՆԱ հարաբերակցությունն այս պարագայում կարող է ավելանալ 0.9 տոկոսային կետով: </w:t>
      </w:r>
    </w:p>
    <w:p w14:paraId="338F01B7" w14:textId="77777777" w:rsidR="00AD6087" w:rsidRPr="006435A5" w:rsidRDefault="00AD6087" w:rsidP="00AD6087">
      <w:pPr>
        <w:spacing w:line="276" w:lineRule="auto"/>
      </w:pPr>
      <w:r w:rsidRPr="006435A5">
        <w:t>Զուգահեռաբար ենթադրվել է նաև էական՝ 500 բազիսային կետի չափով արտաքին աղբյուրներից ներգրավվող փոխառու միջոցների տոկոսադրույքների և 1000 բազիսային կետի չափով ներքին աղբյուրներից ներգրավվող փոխառու միջոցների նկատմամբ շոկային սցենար, որի տեղի ունենալու հավանականությունը բավականին ցածր է: Տոկոսադրույքների նման շոկը ՀՀ կառավարության պարտք/ՀՆԱ ցուցանիշը բազային սցենարի նկատմամբ կավելացնի 4.3 տոկոսային կետով՝ 2024 թվականի տարեվերջին հասցնելով 61.1%-ի: ՀՀ կառավարության պարտքի սպասարկման տեսա</w:t>
      </w:r>
      <w:r w:rsidRPr="006435A5">
        <w:softHyphen/>
        <w:t xml:space="preserve">կետից այսպիսի էական շոկը 2024 թվականի տարեվերջին Տոկոսավճար/ՀՆԱ ցուցանիշը կարող է ավելացնել 2.0 տոկոսային կետով: </w:t>
      </w:r>
    </w:p>
    <w:p w14:paraId="1041A50C" w14:textId="77777777" w:rsidR="00AD6087" w:rsidRPr="006435A5" w:rsidRDefault="00AD6087" w:rsidP="00AD6087">
      <w:pPr>
        <w:pStyle w:val="aff3"/>
        <w:spacing w:line="276" w:lineRule="auto"/>
      </w:pPr>
      <w:r w:rsidRPr="006435A5">
        <w:t>Փոխարժեքի և տոկոսադրույքի համակցված շոկ</w:t>
      </w:r>
    </w:p>
    <w:p w14:paraId="41656F7D" w14:textId="77777777" w:rsidR="00AD6087" w:rsidRPr="006435A5" w:rsidRDefault="00AD6087" w:rsidP="00AD6087">
      <w:pPr>
        <w:spacing w:line="276" w:lineRule="auto"/>
      </w:pPr>
      <w:r w:rsidRPr="006435A5">
        <w:t>Կիրառելով 15% փոխարժեքի (2022 թվականին արժեզրկելով ՀՀ դրամը ԱՄՆ դոլարի, եվրոյի և SDR-ի նկատմամբ) և տոկոսադրույքի առաջին սցենարում նկարագրված համակցված շոկ՝ ՀՀ կառա</w:t>
      </w:r>
      <w:r w:rsidRPr="006435A5">
        <w:softHyphen/>
        <w:t>վարության պարտք/ՀՆԱ հարաբերակցությունը 2024 թվականի տարեվերջին հասնում է 64.7%-ի, որը 7.9 տոկոսային կետով ավելի է հիմնական սցենարի նույն ցուցանիշից: Տոկոսավճար/ՀՆԱ հարաբերակցությունն այս դեպքում կարող է ավելանալ 1.2 տոկոսային կետով:</w:t>
      </w:r>
    </w:p>
    <w:p w14:paraId="6B72D5BD" w14:textId="77777777" w:rsidR="00AD6087" w:rsidRPr="006435A5" w:rsidRDefault="00AD6087" w:rsidP="00AD6087">
      <w:pPr>
        <w:spacing w:line="276" w:lineRule="auto"/>
      </w:pPr>
      <w:r w:rsidRPr="006435A5">
        <w:t>Ստորև ներկայացվում է նաև լողացող տոկոսադրույքով պարտքի մեկ տոկոսային կետով աճի և ներքին տոկոսադրույքների մեկ տոկոսային կետով աճի ազդեցությունները:</w:t>
      </w:r>
    </w:p>
    <w:p w14:paraId="2F7EB0DE" w14:textId="77777777" w:rsidR="00AD6087" w:rsidRPr="006435A5" w:rsidRDefault="00AD6087" w:rsidP="00AD6087">
      <w:pPr>
        <w:spacing w:line="276" w:lineRule="auto"/>
      </w:pPr>
      <w:r w:rsidRPr="006435A5">
        <w:t>Լողացող տոկոսադրույքների՝ 6-ամսյա ԱՄՆ դոլարի լիբորի և 6-ամսյա եվրիբորի մեկ տոկոսային կետի փոփոխության դեպքում 2022-2024 թվականներին ՀՀ կառավարության արտաքին պարտ</w:t>
      </w:r>
      <w:r w:rsidRPr="006435A5">
        <w:softHyphen/>
        <w:t>քի գծով տոկոսային ծախսերը միջին հաշվով կփոփոխվեն տարեկան 6.4 մլրդ դրամով: Մասնավորապես, լողացող տոկոսադրույքներից յուրաքանչյուրի ազդեցությունը ՀՀ կառավա</w:t>
      </w:r>
      <w:r w:rsidRPr="006435A5">
        <w:softHyphen/>
        <w:t>րու</w:t>
      </w:r>
      <w:r w:rsidRPr="006435A5">
        <w:softHyphen/>
        <w:t>թյան արտաքին պարտքի սպասարկման ծախսերի վրա կանխատեսվող ժամանա</w:t>
      </w:r>
      <w:r w:rsidRPr="006435A5">
        <w:softHyphen/>
        <w:t>կաշրջանում կլինի հետևյալը.</w:t>
      </w:r>
    </w:p>
    <w:p w14:paraId="2A53FC35" w14:textId="77777777" w:rsidR="00AD6087" w:rsidRPr="006435A5" w:rsidRDefault="00AD6087" w:rsidP="00AD6087">
      <w:pPr>
        <w:pStyle w:val="aff1"/>
        <w:spacing w:line="276" w:lineRule="auto"/>
      </w:pPr>
      <w:r w:rsidRPr="006435A5">
        <w:rPr>
          <w:b/>
        </w:rPr>
        <w:t>Աղյուսակ 14.</w:t>
      </w:r>
      <w:r w:rsidRPr="006435A5">
        <w:t xml:space="preserve"> Լողացող տոկոսադրույքների 1 տոկոսային կետի փոփոխության ազդեցությունը ՀՀ կառավարության արտաքին պարտքի տոկոսավճարների վրա</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7"/>
        <w:gridCol w:w="1421"/>
        <w:gridCol w:w="1358"/>
        <w:gridCol w:w="1212"/>
      </w:tblGrid>
      <w:tr w:rsidR="00AD6087" w:rsidRPr="006435A5" w14:paraId="4A95CF72" w14:textId="77777777" w:rsidTr="00A42F0D">
        <w:trPr>
          <w:trHeight w:val="294"/>
          <w:tblHeader/>
          <w:jc w:val="center"/>
        </w:trPr>
        <w:tc>
          <w:tcPr>
            <w:tcW w:w="5227" w:type="dxa"/>
            <w:tcBorders>
              <w:top w:val="thinThickSmallGap" w:sz="24" w:space="0" w:color="auto"/>
              <w:left w:val="nil"/>
              <w:bottom w:val="thinThickSmallGap" w:sz="24" w:space="0" w:color="auto"/>
              <w:right w:val="nil"/>
            </w:tcBorders>
            <w:shd w:val="clear" w:color="auto" w:fill="5B9BD5"/>
            <w:noWrap/>
            <w:vAlign w:val="center"/>
          </w:tcPr>
          <w:p w14:paraId="72FF42A2" w14:textId="77777777" w:rsidR="00AD6087" w:rsidRPr="006435A5" w:rsidRDefault="00AD6087" w:rsidP="00A42F0D">
            <w:pPr>
              <w:spacing w:line="276" w:lineRule="auto"/>
              <w:ind w:firstLine="0"/>
              <w:jc w:val="center"/>
            </w:pPr>
          </w:p>
        </w:tc>
        <w:tc>
          <w:tcPr>
            <w:tcW w:w="1421" w:type="dxa"/>
            <w:tcBorders>
              <w:top w:val="thinThickSmallGap" w:sz="24" w:space="0" w:color="auto"/>
              <w:left w:val="nil"/>
              <w:bottom w:val="thinThickSmallGap" w:sz="24" w:space="0" w:color="auto"/>
              <w:right w:val="nil"/>
            </w:tcBorders>
            <w:shd w:val="clear" w:color="auto" w:fill="5B9BD5"/>
            <w:noWrap/>
            <w:vAlign w:val="center"/>
          </w:tcPr>
          <w:p w14:paraId="45AC48B2" w14:textId="77777777" w:rsidR="00AD6087" w:rsidRPr="006435A5" w:rsidRDefault="00AD6087" w:rsidP="00A42F0D">
            <w:pPr>
              <w:spacing w:line="276" w:lineRule="auto"/>
              <w:ind w:firstLine="0"/>
              <w:jc w:val="center"/>
            </w:pPr>
            <w:r w:rsidRPr="006435A5">
              <w:t>2022</w:t>
            </w:r>
          </w:p>
        </w:tc>
        <w:tc>
          <w:tcPr>
            <w:tcW w:w="1358" w:type="dxa"/>
            <w:tcBorders>
              <w:top w:val="thinThickSmallGap" w:sz="24" w:space="0" w:color="auto"/>
              <w:left w:val="nil"/>
              <w:bottom w:val="thinThickSmallGap" w:sz="24" w:space="0" w:color="auto"/>
              <w:right w:val="nil"/>
            </w:tcBorders>
            <w:shd w:val="clear" w:color="auto" w:fill="5B9BD5"/>
            <w:noWrap/>
            <w:vAlign w:val="center"/>
          </w:tcPr>
          <w:p w14:paraId="7D6DBAA3" w14:textId="77777777" w:rsidR="00AD6087" w:rsidRPr="006435A5" w:rsidRDefault="00AD6087" w:rsidP="00A42F0D">
            <w:pPr>
              <w:spacing w:line="276" w:lineRule="auto"/>
              <w:ind w:firstLine="0"/>
              <w:jc w:val="center"/>
            </w:pPr>
            <w:r w:rsidRPr="006435A5">
              <w:t>2023</w:t>
            </w:r>
          </w:p>
        </w:tc>
        <w:tc>
          <w:tcPr>
            <w:tcW w:w="1212" w:type="dxa"/>
            <w:tcBorders>
              <w:top w:val="thinThickSmallGap" w:sz="24" w:space="0" w:color="auto"/>
              <w:left w:val="nil"/>
              <w:bottom w:val="thinThickSmallGap" w:sz="24" w:space="0" w:color="auto"/>
              <w:right w:val="nil"/>
            </w:tcBorders>
            <w:shd w:val="clear" w:color="auto" w:fill="5B9BD5"/>
            <w:noWrap/>
            <w:vAlign w:val="center"/>
          </w:tcPr>
          <w:p w14:paraId="759E0795" w14:textId="77777777" w:rsidR="00AD6087" w:rsidRPr="006435A5" w:rsidRDefault="00AD6087" w:rsidP="00A42F0D">
            <w:pPr>
              <w:spacing w:line="276" w:lineRule="auto"/>
              <w:ind w:firstLine="0"/>
              <w:jc w:val="center"/>
            </w:pPr>
            <w:r w:rsidRPr="006435A5">
              <w:t>2024</w:t>
            </w:r>
          </w:p>
        </w:tc>
      </w:tr>
      <w:tr w:rsidR="00AD6087" w:rsidRPr="006435A5" w14:paraId="49627CAF" w14:textId="77777777" w:rsidTr="00AD6087">
        <w:trPr>
          <w:trHeight w:val="477"/>
          <w:jc w:val="center"/>
        </w:trPr>
        <w:tc>
          <w:tcPr>
            <w:tcW w:w="5227" w:type="dxa"/>
            <w:tcBorders>
              <w:left w:val="nil"/>
              <w:bottom w:val="single" w:sz="4" w:space="0" w:color="auto"/>
              <w:right w:val="nil"/>
            </w:tcBorders>
            <w:shd w:val="clear" w:color="auto" w:fill="auto"/>
            <w:noWrap/>
            <w:vAlign w:val="center"/>
          </w:tcPr>
          <w:p w14:paraId="70442D0A" w14:textId="77777777" w:rsidR="00AD6087" w:rsidRPr="006435A5" w:rsidRDefault="00AD6087" w:rsidP="00AD6087">
            <w:pPr>
              <w:spacing w:line="240" w:lineRule="auto"/>
              <w:ind w:firstLine="0"/>
              <w:jc w:val="left"/>
            </w:pPr>
            <w:r w:rsidRPr="006435A5">
              <w:t>ՀՀ կառավարության արտաքին պարտքի տոկոսավճարի փոփոխությունը (մլրդ դրամ)</w:t>
            </w:r>
          </w:p>
        </w:tc>
        <w:tc>
          <w:tcPr>
            <w:tcW w:w="1421" w:type="dxa"/>
            <w:tcBorders>
              <w:left w:val="nil"/>
              <w:bottom w:val="single" w:sz="4" w:space="0" w:color="auto"/>
              <w:right w:val="nil"/>
            </w:tcBorders>
            <w:shd w:val="clear" w:color="auto" w:fill="auto"/>
            <w:noWrap/>
            <w:vAlign w:val="center"/>
          </w:tcPr>
          <w:p w14:paraId="0280D6AB" w14:textId="77777777" w:rsidR="00AD6087" w:rsidRPr="006435A5" w:rsidRDefault="00AD6087" w:rsidP="00AD6087">
            <w:pPr>
              <w:spacing w:line="240" w:lineRule="auto"/>
              <w:ind w:firstLine="0"/>
              <w:jc w:val="center"/>
            </w:pPr>
            <w:r w:rsidRPr="006435A5">
              <w:t>6.2</w:t>
            </w:r>
          </w:p>
        </w:tc>
        <w:tc>
          <w:tcPr>
            <w:tcW w:w="1358" w:type="dxa"/>
            <w:tcBorders>
              <w:left w:val="nil"/>
              <w:bottom w:val="single" w:sz="4" w:space="0" w:color="auto"/>
              <w:right w:val="nil"/>
            </w:tcBorders>
            <w:shd w:val="clear" w:color="auto" w:fill="auto"/>
            <w:noWrap/>
            <w:vAlign w:val="center"/>
          </w:tcPr>
          <w:p w14:paraId="23B7FF51" w14:textId="77777777" w:rsidR="00AD6087" w:rsidRPr="006435A5" w:rsidRDefault="00AD6087" w:rsidP="00AD6087">
            <w:pPr>
              <w:spacing w:line="240" w:lineRule="auto"/>
              <w:ind w:firstLine="0"/>
              <w:jc w:val="center"/>
            </w:pPr>
            <w:r w:rsidRPr="006435A5">
              <w:t>6.4</w:t>
            </w:r>
          </w:p>
        </w:tc>
        <w:tc>
          <w:tcPr>
            <w:tcW w:w="1212" w:type="dxa"/>
            <w:tcBorders>
              <w:left w:val="nil"/>
              <w:bottom w:val="single" w:sz="4" w:space="0" w:color="auto"/>
              <w:right w:val="nil"/>
            </w:tcBorders>
            <w:shd w:val="clear" w:color="auto" w:fill="auto"/>
            <w:noWrap/>
            <w:vAlign w:val="center"/>
          </w:tcPr>
          <w:p w14:paraId="64CA8BCF" w14:textId="77777777" w:rsidR="00AD6087" w:rsidRPr="006435A5" w:rsidRDefault="00AD6087" w:rsidP="00AD6087">
            <w:pPr>
              <w:spacing w:line="240" w:lineRule="auto"/>
              <w:ind w:firstLine="0"/>
              <w:jc w:val="center"/>
            </w:pPr>
            <w:r w:rsidRPr="006435A5">
              <w:t>6.6</w:t>
            </w:r>
          </w:p>
        </w:tc>
      </w:tr>
      <w:tr w:rsidR="00AD6087" w:rsidRPr="006435A5" w14:paraId="2AA94100" w14:textId="77777777" w:rsidTr="00A42F0D">
        <w:trPr>
          <w:trHeight w:val="294"/>
          <w:jc w:val="center"/>
        </w:trPr>
        <w:tc>
          <w:tcPr>
            <w:tcW w:w="5227" w:type="dxa"/>
            <w:tcBorders>
              <w:left w:val="nil"/>
              <w:bottom w:val="single" w:sz="4" w:space="0" w:color="auto"/>
              <w:right w:val="nil"/>
            </w:tcBorders>
            <w:shd w:val="clear" w:color="auto" w:fill="auto"/>
            <w:noWrap/>
            <w:vAlign w:val="center"/>
          </w:tcPr>
          <w:p w14:paraId="62562269" w14:textId="77777777" w:rsidR="00AD6087" w:rsidRPr="006435A5" w:rsidRDefault="00AD6087" w:rsidP="00AD6087">
            <w:pPr>
              <w:spacing w:line="240" w:lineRule="auto"/>
              <w:ind w:firstLine="0"/>
              <w:jc w:val="left"/>
            </w:pPr>
            <w:r w:rsidRPr="006435A5">
              <w:t>այդ թվում</w:t>
            </w:r>
          </w:p>
        </w:tc>
        <w:tc>
          <w:tcPr>
            <w:tcW w:w="1421" w:type="dxa"/>
            <w:tcBorders>
              <w:left w:val="nil"/>
              <w:bottom w:val="single" w:sz="4" w:space="0" w:color="auto"/>
              <w:right w:val="nil"/>
            </w:tcBorders>
            <w:shd w:val="clear" w:color="auto" w:fill="auto"/>
            <w:noWrap/>
            <w:vAlign w:val="center"/>
          </w:tcPr>
          <w:p w14:paraId="1D72F202" w14:textId="77777777" w:rsidR="00AD6087" w:rsidRPr="006435A5" w:rsidRDefault="00AD6087" w:rsidP="00AD6087">
            <w:pPr>
              <w:spacing w:line="240" w:lineRule="auto"/>
              <w:ind w:firstLine="0"/>
              <w:jc w:val="center"/>
            </w:pPr>
          </w:p>
        </w:tc>
        <w:tc>
          <w:tcPr>
            <w:tcW w:w="1358" w:type="dxa"/>
            <w:tcBorders>
              <w:left w:val="nil"/>
              <w:bottom w:val="single" w:sz="4" w:space="0" w:color="auto"/>
              <w:right w:val="nil"/>
            </w:tcBorders>
            <w:shd w:val="clear" w:color="auto" w:fill="auto"/>
            <w:noWrap/>
            <w:vAlign w:val="center"/>
          </w:tcPr>
          <w:p w14:paraId="5DBB04BA" w14:textId="77777777" w:rsidR="00AD6087" w:rsidRPr="006435A5" w:rsidRDefault="00AD6087" w:rsidP="00AD6087">
            <w:pPr>
              <w:spacing w:line="240" w:lineRule="auto"/>
              <w:ind w:firstLine="0"/>
              <w:jc w:val="center"/>
            </w:pPr>
          </w:p>
        </w:tc>
        <w:tc>
          <w:tcPr>
            <w:tcW w:w="1212" w:type="dxa"/>
            <w:tcBorders>
              <w:left w:val="nil"/>
              <w:bottom w:val="single" w:sz="4" w:space="0" w:color="auto"/>
              <w:right w:val="nil"/>
            </w:tcBorders>
            <w:shd w:val="clear" w:color="auto" w:fill="auto"/>
            <w:noWrap/>
            <w:vAlign w:val="center"/>
          </w:tcPr>
          <w:p w14:paraId="6AB130C7" w14:textId="77777777" w:rsidR="00AD6087" w:rsidRPr="006435A5" w:rsidRDefault="00AD6087" w:rsidP="00AD6087">
            <w:pPr>
              <w:spacing w:line="240" w:lineRule="auto"/>
              <w:ind w:firstLine="0"/>
              <w:jc w:val="center"/>
            </w:pPr>
          </w:p>
        </w:tc>
      </w:tr>
      <w:tr w:rsidR="00AD6087" w:rsidRPr="006435A5" w14:paraId="72388E73" w14:textId="77777777" w:rsidTr="00A42F0D">
        <w:trPr>
          <w:trHeight w:val="294"/>
          <w:jc w:val="center"/>
        </w:trPr>
        <w:tc>
          <w:tcPr>
            <w:tcW w:w="5227" w:type="dxa"/>
            <w:tcBorders>
              <w:left w:val="nil"/>
              <w:right w:val="nil"/>
            </w:tcBorders>
            <w:shd w:val="clear" w:color="auto" w:fill="auto"/>
            <w:noWrap/>
            <w:vAlign w:val="center"/>
          </w:tcPr>
          <w:p w14:paraId="3A2F5665" w14:textId="77777777" w:rsidR="00AD6087" w:rsidRPr="006435A5" w:rsidRDefault="00AD6087" w:rsidP="00AD6087">
            <w:pPr>
              <w:spacing w:line="240" w:lineRule="auto"/>
              <w:ind w:firstLine="0"/>
              <w:jc w:val="left"/>
            </w:pPr>
            <w:r w:rsidRPr="006435A5">
              <w:t>6-ամսյա ԱՄՆ դոլարի Libor (մլրդ դրամ)</w:t>
            </w:r>
          </w:p>
        </w:tc>
        <w:tc>
          <w:tcPr>
            <w:tcW w:w="1421" w:type="dxa"/>
            <w:tcBorders>
              <w:left w:val="nil"/>
              <w:right w:val="nil"/>
            </w:tcBorders>
            <w:shd w:val="clear" w:color="auto" w:fill="auto"/>
            <w:noWrap/>
            <w:vAlign w:val="center"/>
          </w:tcPr>
          <w:p w14:paraId="45123FC7" w14:textId="77777777" w:rsidR="00AD6087" w:rsidRPr="006435A5" w:rsidRDefault="00AD6087" w:rsidP="00AD6087">
            <w:pPr>
              <w:spacing w:line="240" w:lineRule="auto"/>
              <w:ind w:firstLine="0"/>
              <w:jc w:val="center"/>
            </w:pPr>
            <w:r w:rsidRPr="006435A5">
              <w:t>5.4</w:t>
            </w:r>
          </w:p>
        </w:tc>
        <w:tc>
          <w:tcPr>
            <w:tcW w:w="1358" w:type="dxa"/>
            <w:tcBorders>
              <w:left w:val="nil"/>
              <w:right w:val="nil"/>
            </w:tcBorders>
            <w:shd w:val="clear" w:color="auto" w:fill="auto"/>
            <w:noWrap/>
            <w:vAlign w:val="center"/>
          </w:tcPr>
          <w:p w14:paraId="68257C06" w14:textId="77777777" w:rsidR="00AD6087" w:rsidRPr="006435A5" w:rsidRDefault="00AD6087" w:rsidP="00AD6087">
            <w:pPr>
              <w:spacing w:line="240" w:lineRule="auto"/>
              <w:ind w:firstLine="0"/>
              <w:jc w:val="center"/>
            </w:pPr>
            <w:r w:rsidRPr="006435A5">
              <w:t>5.4</w:t>
            </w:r>
          </w:p>
        </w:tc>
        <w:tc>
          <w:tcPr>
            <w:tcW w:w="1212" w:type="dxa"/>
            <w:tcBorders>
              <w:left w:val="nil"/>
              <w:right w:val="nil"/>
            </w:tcBorders>
            <w:shd w:val="clear" w:color="auto" w:fill="auto"/>
            <w:noWrap/>
            <w:vAlign w:val="center"/>
          </w:tcPr>
          <w:p w14:paraId="0113DE01" w14:textId="77777777" w:rsidR="00AD6087" w:rsidRPr="006435A5" w:rsidRDefault="00AD6087" w:rsidP="00AD6087">
            <w:pPr>
              <w:spacing w:line="240" w:lineRule="auto"/>
              <w:ind w:firstLine="0"/>
              <w:jc w:val="center"/>
            </w:pPr>
            <w:r w:rsidRPr="006435A5">
              <w:t>5.5</w:t>
            </w:r>
          </w:p>
        </w:tc>
      </w:tr>
      <w:tr w:rsidR="00AD6087" w:rsidRPr="006435A5" w14:paraId="280E2320" w14:textId="77777777" w:rsidTr="00A42F0D">
        <w:trPr>
          <w:trHeight w:val="294"/>
          <w:jc w:val="center"/>
        </w:trPr>
        <w:tc>
          <w:tcPr>
            <w:tcW w:w="5227" w:type="dxa"/>
            <w:tcBorders>
              <w:top w:val="single" w:sz="4" w:space="0" w:color="auto"/>
              <w:left w:val="nil"/>
              <w:bottom w:val="single" w:sz="4" w:space="0" w:color="auto"/>
              <w:right w:val="nil"/>
            </w:tcBorders>
            <w:shd w:val="clear" w:color="auto" w:fill="auto"/>
            <w:noWrap/>
            <w:vAlign w:val="center"/>
          </w:tcPr>
          <w:p w14:paraId="7EBDB38E" w14:textId="77777777" w:rsidR="00AD6087" w:rsidRPr="006435A5" w:rsidRDefault="00AD6087" w:rsidP="00AD6087">
            <w:pPr>
              <w:spacing w:line="240" w:lineRule="auto"/>
              <w:ind w:firstLine="0"/>
              <w:jc w:val="left"/>
            </w:pPr>
            <w:r w:rsidRPr="006435A5">
              <w:t>6-ամսյա Euribor (մլրդ դրամ)</w:t>
            </w:r>
          </w:p>
        </w:tc>
        <w:tc>
          <w:tcPr>
            <w:tcW w:w="1421" w:type="dxa"/>
            <w:tcBorders>
              <w:top w:val="single" w:sz="4" w:space="0" w:color="auto"/>
              <w:left w:val="nil"/>
              <w:bottom w:val="single" w:sz="4" w:space="0" w:color="auto"/>
              <w:right w:val="nil"/>
            </w:tcBorders>
            <w:shd w:val="clear" w:color="auto" w:fill="auto"/>
            <w:noWrap/>
            <w:vAlign w:val="center"/>
          </w:tcPr>
          <w:p w14:paraId="4E9E5BFA" w14:textId="77777777" w:rsidR="00AD6087" w:rsidRPr="006435A5" w:rsidRDefault="00AD6087" w:rsidP="00AD6087">
            <w:pPr>
              <w:spacing w:line="240" w:lineRule="auto"/>
              <w:ind w:firstLine="0"/>
              <w:jc w:val="center"/>
            </w:pPr>
            <w:r w:rsidRPr="006435A5">
              <w:t>0.9</w:t>
            </w:r>
          </w:p>
        </w:tc>
        <w:tc>
          <w:tcPr>
            <w:tcW w:w="1358" w:type="dxa"/>
            <w:tcBorders>
              <w:top w:val="single" w:sz="4" w:space="0" w:color="auto"/>
              <w:left w:val="nil"/>
              <w:bottom w:val="single" w:sz="4" w:space="0" w:color="auto"/>
              <w:right w:val="nil"/>
            </w:tcBorders>
            <w:shd w:val="clear" w:color="auto" w:fill="auto"/>
            <w:noWrap/>
            <w:vAlign w:val="center"/>
          </w:tcPr>
          <w:p w14:paraId="2C3B565F" w14:textId="77777777" w:rsidR="00AD6087" w:rsidRPr="006435A5" w:rsidRDefault="00AD6087" w:rsidP="00AD6087">
            <w:pPr>
              <w:spacing w:line="240" w:lineRule="auto"/>
              <w:ind w:firstLine="0"/>
              <w:jc w:val="center"/>
            </w:pPr>
            <w:r w:rsidRPr="006435A5">
              <w:t>1.0</w:t>
            </w:r>
          </w:p>
        </w:tc>
        <w:tc>
          <w:tcPr>
            <w:tcW w:w="1212" w:type="dxa"/>
            <w:tcBorders>
              <w:top w:val="single" w:sz="4" w:space="0" w:color="auto"/>
              <w:left w:val="nil"/>
              <w:bottom w:val="single" w:sz="4" w:space="0" w:color="auto"/>
              <w:right w:val="nil"/>
            </w:tcBorders>
            <w:shd w:val="clear" w:color="auto" w:fill="auto"/>
            <w:noWrap/>
            <w:vAlign w:val="center"/>
          </w:tcPr>
          <w:p w14:paraId="7B6D3819" w14:textId="77777777" w:rsidR="00AD6087" w:rsidRPr="006435A5" w:rsidRDefault="00AD6087" w:rsidP="00AD6087">
            <w:pPr>
              <w:spacing w:line="240" w:lineRule="auto"/>
              <w:ind w:firstLine="0"/>
              <w:jc w:val="center"/>
            </w:pPr>
            <w:r w:rsidRPr="006435A5">
              <w:t>1.2</w:t>
            </w:r>
          </w:p>
        </w:tc>
      </w:tr>
      <w:tr w:rsidR="00AD6087" w:rsidRPr="006435A5" w14:paraId="5DDD422C" w14:textId="77777777" w:rsidTr="00A42F0D">
        <w:trPr>
          <w:trHeight w:val="612"/>
          <w:jc w:val="center"/>
        </w:trPr>
        <w:tc>
          <w:tcPr>
            <w:tcW w:w="5227" w:type="dxa"/>
            <w:tcBorders>
              <w:top w:val="single" w:sz="4" w:space="0" w:color="auto"/>
              <w:left w:val="nil"/>
              <w:bottom w:val="single" w:sz="4" w:space="0" w:color="auto"/>
              <w:right w:val="nil"/>
            </w:tcBorders>
            <w:shd w:val="clear" w:color="auto" w:fill="auto"/>
            <w:noWrap/>
            <w:vAlign w:val="center"/>
          </w:tcPr>
          <w:p w14:paraId="416648D5" w14:textId="77777777" w:rsidR="00AD6087" w:rsidRPr="006435A5" w:rsidRDefault="00AD6087" w:rsidP="00AD6087">
            <w:pPr>
              <w:spacing w:line="240" w:lineRule="auto"/>
              <w:ind w:firstLine="0"/>
              <w:jc w:val="left"/>
            </w:pPr>
            <w:r w:rsidRPr="006435A5">
              <w:t>ՀՀ կառավարության արտաքին պարտքի տոկոսավճարի փոփոխությունը (%)</w:t>
            </w:r>
          </w:p>
        </w:tc>
        <w:tc>
          <w:tcPr>
            <w:tcW w:w="1421" w:type="dxa"/>
            <w:tcBorders>
              <w:top w:val="single" w:sz="4" w:space="0" w:color="auto"/>
              <w:left w:val="nil"/>
              <w:bottom w:val="single" w:sz="4" w:space="0" w:color="auto"/>
              <w:right w:val="nil"/>
            </w:tcBorders>
            <w:shd w:val="clear" w:color="auto" w:fill="auto"/>
            <w:noWrap/>
            <w:vAlign w:val="center"/>
          </w:tcPr>
          <w:p w14:paraId="0C04F4CA" w14:textId="77777777" w:rsidR="00AD6087" w:rsidRPr="006435A5" w:rsidRDefault="00AD6087" w:rsidP="00AD6087">
            <w:pPr>
              <w:spacing w:line="240" w:lineRule="auto"/>
              <w:ind w:firstLine="0"/>
              <w:jc w:val="center"/>
            </w:pPr>
            <w:r w:rsidRPr="006435A5">
              <w:t>13.8</w:t>
            </w:r>
          </w:p>
        </w:tc>
        <w:tc>
          <w:tcPr>
            <w:tcW w:w="1358" w:type="dxa"/>
            <w:tcBorders>
              <w:top w:val="single" w:sz="4" w:space="0" w:color="auto"/>
              <w:left w:val="nil"/>
              <w:bottom w:val="single" w:sz="4" w:space="0" w:color="auto"/>
              <w:right w:val="nil"/>
            </w:tcBorders>
            <w:shd w:val="clear" w:color="auto" w:fill="auto"/>
            <w:noWrap/>
            <w:vAlign w:val="center"/>
          </w:tcPr>
          <w:p w14:paraId="352FA1F4" w14:textId="77777777" w:rsidR="00AD6087" w:rsidRPr="006435A5" w:rsidRDefault="00AD6087" w:rsidP="00AD6087">
            <w:pPr>
              <w:spacing w:line="240" w:lineRule="auto"/>
              <w:ind w:firstLine="0"/>
              <w:jc w:val="center"/>
            </w:pPr>
            <w:r w:rsidRPr="006435A5">
              <w:t>12.8</w:t>
            </w:r>
          </w:p>
        </w:tc>
        <w:tc>
          <w:tcPr>
            <w:tcW w:w="1212" w:type="dxa"/>
            <w:tcBorders>
              <w:top w:val="single" w:sz="4" w:space="0" w:color="auto"/>
              <w:left w:val="nil"/>
              <w:bottom w:val="single" w:sz="4" w:space="0" w:color="auto"/>
              <w:right w:val="nil"/>
            </w:tcBorders>
            <w:shd w:val="clear" w:color="auto" w:fill="auto"/>
            <w:noWrap/>
            <w:vAlign w:val="center"/>
          </w:tcPr>
          <w:p w14:paraId="7F64ECCC" w14:textId="77777777" w:rsidR="00AD6087" w:rsidRPr="006435A5" w:rsidRDefault="00AD6087" w:rsidP="00AD6087">
            <w:pPr>
              <w:spacing w:line="240" w:lineRule="auto"/>
              <w:ind w:firstLine="0"/>
              <w:jc w:val="center"/>
            </w:pPr>
            <w:r w:rsidRPr="006435A5">
              <w:t>13.6</w:t>
            </w:r>
          </w:p>
        </w:tc>
      </w:tr>
      <w:tr w:rsidR="00AD6087" w:rsidRPr="006435A5" w14:paraId="090AB599" w14:textId="77777777" w:rsidTr="00A42F0D">
        <w:trPr>
          <w:trHeight w:val="1028"/>
          <w:jc w:val="center"/>
        </w:trPr>
        <w:tc>
          <w:tcPr>
            <w:tcW w:w="5227" w:type="dxa"/>
            <w:tcBorders>
              <w:top w:val="single" w:sz="4" w:space="0" w:color="auto"/>
              <w:left w:val="nil"/>
              <w:bottom w:val="thinThickSmallGap" w:sz="24" w:space="0" w:color="auto"/>
              <w:right w:val="nil"/>
            </w:tcBorders>
            <w:shd w:val="clear" w:color="auto" w:fill="auto"/>
            <w:noWrap/>
            <w:vAlign w:val="center"/>
          </w:tcPr>
          <w:p w14:paraId="0C4079C3" w14:textId="77777777" w:rsidR="00AD6087" w:rsidRPr="006435A5" w:rsidRDefault="00AD6087" w:rsidP="00AD6087">
            <w:pPr>
              <w:spacing w:line="240" w:lineRule="auto"/>
              <w:ind w:firstLine="0"/>
              <w:jc w:val="left"/>
            </w:pPr>
            <w:r w:rsidRPr="006435A5">
              <w:t>ՀՀ կառավարության արտաքին պարտքի տոկոսավճարի փոփոխության կշիռը պետբյուջեի սեփական եկամուտներում (առանց դրամաշնորհի) (%)</w:t>
            </w:r>
          </w:p>
        </w:tc>
        <w:tc>
          <w:tcPr>
            <w:tcW w:w="1421" w:type="dxa"/>
            <w:tcBorders>
              <w:top w:val="single" w:sz="4" w:space="0" w:color="auto"/>
              <w:left w:val="nil"/>
              <w:bottom w:val="thinThickSmallGap" w:sz="24" w:space="0" w:color="auto"/>
              <w:right w:val="nil"/>
            </w:tcBorders>
            <w:shd w:val="clear" w:color="auto" w:fill="auto"/>
            <w:noWrap/>
            <w:vAlign w:val="center"/>
          </w:tcPr>
          <w:p w14:paraId="208BF746" w14:textId="77777777" w:rsidR="00AD6087" w:rsidRPr="006435A5" w:rsidRDefault="00AD6087" w:rsidP="00AD6087">
            <w:pPr>
              <w:spacing w:line="240" w:lineRule="auto"/>
              <w:ind w:firstLine="0"/>
              <w:jc w:val="center"/>
            </w:pPr>
            <w:r w:rsidRPr="006435A5">
              <w:t>0.3</w:t>
            </w:r>
          </w:p>
        </w:tc>
        <w:tc>
          <w:tcPr>
            <w:tcW w:w="1358" w:type="dxa"/>
            <w:tcBorders>
              <w:top w:val="single" w:sz="4" w:space="0" w:color="auto"/>
              <w:left w:val="nil"/>
              <w:bottom w:val="thinThickSmallGap" w:sz="24" w:space="0" w:color="auto"/>
              <w:right w:val="nil"/>
            </w:tcBorders>
            <w:shd w:val="clear" w:color="auto" w:fill="auto"/>
            <w:noWrap/>
            <w:vAlign w:val="center"/>
          </w:tcPr>
          <w:p w14:paraId="3499EC35" w14:textId="77777777" w:rsidR="00AD6087" w:rsidRPr="006435A5" w:rsidRDefault="00AD6087" w:rsidP="00AD6087">
            <w:pPr>
              <w:spacing w:line="240" w:lineRule="auto"/>
              <w:ind w:firstLine="0"/>
              <w:jc w:val="center"/>
            </w:pPr>
            <w:r w:rsidRPr="006435A5">
              <w:t>0.3</w:t>
            </w:r>
          </w:p>
        </w:tc>
        <w:tc>
          <w:tcPr>
            <w:tcW w:w="1212" w:type="dxa"/>
            <w:tcBorders>
              <w:top w:val="single" w:sz="4" w:space="0" w:color="auto"/>
              <w:left w:val="nil"/>
              <w:bottom w:val="thinThickSmallGap" w:sz="24" w:space="0" w:color="auto"/>
              <w:right w:val="nil"/>
            </w:tcBorders>
            <w:shd w:val="clear" w:color="auto" w:fill="auto"/>
            <w:noWrap/>
            <w:vAlign w:val="center"/>
          </w:tcPr>
          <w:p w14:paraId="10077470" w14:textId="77777777" w:rsidR="00AD6087" w:rsidRPr="006435A5" w:rsidRDefault="00AD6087" w:rsidP="00AD6087">
            <w:pPr>
              <w:spacing w:line="240" w:lineRule="auto"/>
              <w:ind w:firstLine="0"/>
              <w:jc w:val="center"/>
            </w:pPr>
            <w:r w:rsidRPr="006435A5">
              <w:t>0.3</w:t>
            </w:r>
          </w:p>
        </w:tc>
      </w:tr>
    </w:tbl>
    <w:p w14:paraId="7AE557F0" w14:textId="77777777" w:rsidR="00AD6087" w:rsidRPr="006435A5" w:rsidRDefault="00AD6087" w:rsidP="00AD6087">
      <w:pPr>
        <w:spacing w:line="276" w:lineRule="auto"/>
      </w:pPr>
    </w:p>
    <w:p w14:paraId="4B6B9C94" w14:textId="77777777" w:rsidR="00AD6087" w:rsidRPr="006435A5" w:rsidRDefault="00AD6087" w:rsidP="00AD6087">
      <w:pPr>
        <w:spacing w:line="276" w:lineRule="auto"/>
      </w:pPr>
      <w:r w:rsidRPr="006435A5">
        <w:t>Ներքին պարտքի շուկայում, միջնաժամկետ հատվածի սկզբում, եկամտաբերության կորի մեկ տոկոսային կետով աճը 2022-2024 թվականների ընթացքում կավելացնի պարտքի տոկոսավճարները տարեկան միջինը 5.6 մլրդ դրամով:</w:t>
      </w:r>
    </w:p>
    <w:p w14:paraId="7A62C67C" w14:textId="77777777" w:rsidR="00AD6087" w:rsidRPr="006435A5" w:rsidRDefault="00AD6087" w:rsidP="00AD6087">
      <w:pPr>
        <w:spacing w:line="276" w:lineRule="auto"/>
      </w:pPr>
    </w:p>
    <w:p w14:paraId="62518877" w14:textId="77777777" w:rsidR="00AD6087" w:rsidRPr="006435A5" w:rsidRDefault="00AD6087" w:rsidP="00AD6087">
      <w:pPr>
        <w:pStyle w:val="aff1"/>
        <w:spacing w:line="276" w:lineRule="auto"/>
      </w:pPr>
      <w:r w:rsidRPr="006435A5">
        <w:rPr>
          <w:b/>
        </w:rPr>
        <w:t xml:space="preserve">Աղյուսակ 15. </w:t>
      </w:r>
      <w:r w:rsidRPr="006435A5">
        <w:t>Միջնաժամկետ հատվածի սկզբում ՀՀ կառավարության ներքին պարտքի տոկոսադրույքի մեկ տոկոսային կետի փոփոխության ազդեցությունը ՀՀ կառավարության ներքին պարտքի տոկոսավճարի վրա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7"/>
        <w:gridCol w:w="1170"/>
        <w:gridCol w:w="1040"/>
        <w:gridCol w:w="1107"/>
      </w:tblGrid>
      <w:tr w:rsidR="00AD6087" w:rsidRPr="006435A5" w14:paraId="55273644" w14:textId="77777777" w:rsidTr="00A42F0D">
        <w:trPr>
          <w:trHeight w:val="612"/>
          <w:tblHeader/>
          <w:jc w:val="center"/>
        </w:trPr>
        <w:tc>
          <w:tcPr>
            <w:tcW w:w="5627" w:type="dxa"/>
            <w:tcBorders>
              <w:top w:val="thinThickThinSmallGap" w:sz="24" w:space="0" w:color="auto"/>
              <w:left w:val="nil"/>
              <w:bottom w:val="thinThickSmallGap" w:sz="24" w:space="0" w:color="auto"/>
              <w:right w:val="nil"/>
            </w:tcBorders>
            <w:shd w:val="clear" w:color="auto" w:fill="5B9BD5"/>
            <w:vAlign w:val="center"/>
          </w:tcPr>
          <w:p w14:paraId="6CED2202" w14:textId="77777777" w:rsidR="00AD6087" w:rsidRPr="006435A5" w:rsidRDefault="00AD6087" w:rsidP="00A42F0D">
            <w:pPr>
              <w:spacing w:line="276" w:lineRule="auto"/>
              <w:ind w:firstLine="131"/>
              <w:jc w:val="center"/>
            </w:pPr>
          </w:p>
        </w:tc>
        <w:tc>
          <w:tcPr>
            <w:tcW w:w="1170" w:type="dxa"/>
            <w:tcBorders>
              <w:top w:val="thinThickThinSmallGap" w:sz="24" w:space="0" w:color="auto"/>
              <w:left w:val="double" w:sz="4" w:space="0" w:color="auto"/>
              <w:bottom w:val="thinThickSmallGap" w:sz="24" w:space="0" w:color="auto"/>
              <w:right w:val="nil"/>
            </w:tcBorders>
            <w:shd w:val="clear" w:color="auto" w:fill="5B9BD5"/>
            <w:vAlign w:val="center"/>
          </w:tcPr>
          <w:p w14:paraId="603E8C54" w14:textId="77777777" w:rsidR="00AD6087" w:rsidRPr="006435A5" w:rsidRDefault="00AD6087" w:rsidP="00A42F0D">
            <w:pPr>
              <w:spacing w:line="276" w:lineRule="auto"/>
              <w:ind w:firstLine="131"/>
              <w:jc w:val="center"/>
            </w:pPr>
            <w:r w:rsidRPr="006435A5">
              <w:t>2022 կանխ.</w:t>
            </w:r>
          </w:p>
        </w:tc>
        <w:tc>
          <w:tcPr>
            <w:tcW w:w="1040" w:type="dxa"/>
            <w:tcBorders>
              <w:top w:val="thinThickThinSmallGap" w:sz="24" w:space="0" w:color="auto"/>
              <w:left w:val="nil"/>
              <w:bottom w:val="thinThickSmallGap" w:sz="24" w:space="0" w:color="auto"/>
              <w:right w:val="nil"/>
            </w:tcBorders>
            <w:shd w:val="clear" w:color="auto" w:fill="5B9BD5"/>
            <w:vAlign w:val="center"/>
          </w:tcPr>
          <w:p w14:paraId="5A9A580B" w14:textId="77777777" w:rsidR="00AD6087" w:rsidRPr="006435A5" w:rsidRDefault="00AD6087" w:rsidP="00A42F0D">
            <w:pPr>
              <w:spacing w:line="276" w:lineRule="auto"/>
              <w:ind w:firstLine="131"/>
              <w:jc w:val="center"/>
            </w:pPr>
            <w:r w:rsidRPr="006435A5">
              <w:t>2023 կանխ.</w:t>
            </w:r>
          </w:p>
        </w:tc>
        <w:tc>
          <w:tcPr>
            <w:tcW w:w="1107" w:type="dxa"/>
            <w:tcBorders>
              <w:top w:val="thinThickThinSmallGap" w:sz="24" w:space="0" w:color="auto"/>
              <w:left w:val="nil"/>
              <w:bottom w:val="thinThickSmallGap" w:sz="24" w:space="0" w:color="auto"/>
              <w:right w:val="nil"/>
            </w:tcBorders>
            <w:shd w:val="clear" w:color="auto" w:fill="5B9BD5"/>
            <w:vAlign w:val="center"/>
          </w:tcPr>
          <w:p w14:paraId="6E307C8E" w14:textId="77777777" w:rsidR="00AD6087" w:rsidRPr="006435A5" w:rsidRDefault="00AD6087" w:rsidP="00A42F0D">
            <w:pPr>
              <w:spacing w:line="276" w:lineRule="auto"/>
              <w:ind w:firstLine="131"/>
              <w:jc w:val="center"/>
            </w:pPr>
            <w:r w:rsidRPr="006435A5">
              <w:t>2024 կանխ.</w:t>
            </w:r>
          </w:p>
        </w:tc>
      </w:tr>
      <w:tr w:rsidR="00AD6087" w:rsidRPr="006435A5" w14:paraId="6AD99D1D" w14:textId="77777777" w:rsidTr="00A42F0D">
        <w:trPr>
          <w:trHeight w:val="607"/>
          <w:jc w:val="center"/>
        </w:trPr>
        <w:tc>
          <w:tcPr>
            <w:tcW w:w="5627" w:type="dxa"/>
            <w:tcBorders>
              <w:left w:val="nil"/>
              <w:right w:val="nil"/>
            </w:tcBorders>
            <w:vAlign w:val="center"/>
          </w:tcPr>
          <w:p w14:paraId="5C59B115" w14:textId="77777777" w:rsidR="00AD6087" w:rsidRPr="006435A5" w:rsidRDefault="00AD6087" w:rsidP="00A42F0D">
            <w:pPr>
              <w:spacing w:line="276" w:lineRule="auto"/>
              <w:ind w:firstLine="131"/>
              <w:jc w:val="left"/>
            </w:pPr>
            <w:r w:rsidRPr="006435A5">
              <w:t>ՀՀ կառավարության ներքին պարտքի տոկոսավճարի փոփոխությունը (մլրդ դրամ)</w:t>
            </w:r>
          </w:p>
        </w:tc>
        <w:tc>
          <w:tcPr>
            <w:tcW w:w="1170" w:type="dxa"/>
            <w:tcBorders>
              <w:left w:val="double" w:sz="4" w:space="0" w:color="auto"/>
              <w:right w:val="nil"/>
            </w:tcBorders>
            <w:vAlign w:val="center"/>
          </w:tcPr>
          <w:p w14:paraId="77EB5F6C" w14:textId="77777777" w:rsidR="00AD6087" w:rsidRPr="006435A5" w:rsidRDefault="00AD6087" w:rsidP="00A42F0D">
            <w:pPr>
              <w:spacing w:line="276" w:lineRule="auto"/>
              <w:ind w:firstLine="131"/>
              <w:jc w:val="center"/>
            </w:pPr>
            <w:r w:rsidRPr="006435A5">
              <w:t>1.8</w:t>
            </w:r>
          </w:p>
        </w:tc>
        <w:tc>
          <w:tcPr>
            <w:tcW w:w="1040" w:type="dxa"/>
            <w:tcBorders>
              <w:left w:val="nil"/>
              <w:right w:val="nil"/>
            </w:tcBorders>
            <w:vAlign w:val="center"/>
          </w:tcPr>
          <w:p w14:paraId="1BB8A88C" w14:textId="77777777" w:rsidR="00AD6087" w:rsidRPr="006435A5" w:rsidRDefault="00AD6087" w:rsidP="00A42F0D">
            <w:pPr>
              <w:spacing w:line="276" w:lineRule="auto"/>
              <w:ind w:firstLine="131"/>
              <w:jc w:val="center"/>
            </w:pPr>
            <w:r w:rsidRPr="006435A5">
              <w:t>5.5</w:t>
            </w:r>
          </w:p>
        </w:tc>
        <w:tc>
          <w:tcPr>
            <w:tcW w:w="1107" w:type="dxa"/>
            <w:tcBorders>
              <w:left w:val="nil"/>
              <w:right w:val="nil"/>
            </w:tcBorders>
            <w:vAlign w:val="center"/>
          </w:tcPr>
          <w:p w14:paraId="1626D582" w14:textId="77777777" w:rsidR="00AD6087" w:rsidRPr="006435A5" w:rsidRDefault="00AD6087" w:rsidP="00A42F0D">
            <w:pPr>
              <w:spacing w:line="276" w:lineRule="auto"/>
              <w:ind w:firstLine="131"/>
              <w:jc w:val="center"/>
            </w:pPr>
            <w:r w:rsidRPr="006435A5">
              <w:t>9.6</w:t>
            </w:r>
          </w:p>
        </w:tc>
      </w:tr>
      <w:tr w:rsidR="00AD6087" w:rsidRPr="006435A5" w14:paraId="1173471B" w14:textId="77777777" w:rsidTr="00A42F0D">
        <w:trPr>
          <w:trHeight w:val="696"/>
          <w:jc w:val="center"/>
        </w:trPr>
        <w:tc>
          <w:tcPr>
            <w:tcW w:w="5627" w:type="dxa"/>
            <w:tcBorders>
              <w:left w:val="nil"/>
              <w:right w:val="nil"/>
            </w:tcBorders>
            <w:vAlign w:val="center"/>
          </w:tcPr>
          <w:p w14:paraId="396D46EA" w14:textId="77777777" w:rsidR="00AD6087" w:rsidRPr="006435A5" w:rsidRDefault="00AD6087" w:rsidP="00A42F0D">
            <w:pPr>
              <w:spacing w:line="276" w:lineRule="auto"/>
              <w:ind w:firstLine="131"/>
              <w:jc w:val="left"/>
            </w:pPr>
            <w:r w:rsidRPr="006435A5">
              <w:t>ՀՀ կառավարության ներքին պարտքի տոկոսավճարի փոփոխությունը (%)</w:t>
            </w:r>
          </w:p>
        </w:tc>
        <w:tc>
          <w:tcPr>
            <w:tcW w:w="1170" w:type="dxa"/>
            <w:tcBorders>
              <w:left w:val="double" w:sz="4" w:space="0" w:color="auto"/>
              <w:right w:val="nil"/>
            </w:tcBorders>
            <w:vAlign w:val="center"/>
          </w:tcPr>
          <w:p w14:paraId="30464FB5" w14:textId="77777777" w:rsidR="00AD6087" w:rsidRPr="006435A5" w:rsidRDefault="00AD6087" w:rsidP="00A42F0D">
            <w:pPr>
              <w:spacing w:line="276" w:lineRule="auto"/>
              <w:ind w:firstLine="131"/>
              <w:jc w:val="center"/>
            </w:pPr>
            <w:r w:rsidRPr="006435A5">
              <w:t>1.4</w:t>
            </w:r>
          </w:p>
        </w:tc>
        <w:tc>
          <w:tcPr>
            <w:tcW w:w="1040" w:type="dxa"/>
            <w:tcBorders>
              <w:left w:val="nil"/>
              <w:right w:val="nil"/>
            </w:tcBorders>
            <w:vAlign w:val="center"/>
          </w:tcPr>
          <w:p w14:paraId="146C9E49" w14:textId="77777777" w:rsidR="00AD6087" w:rsidRPr="006435A5" w:rsidRDefault="00AD6087" w:rsidP="00A42F0D">
            <w:pPr>
              <w:spacing w:line="276" w:lineRule="auto"/>
              <w:ind w:firstLine="131"/>
              <w:jc w:val="center"/>
            </w:pPr>
            <w:r w:rsidRPr="006435A5">
              <w:t>3.6</w:t>
            </w:r>
          </w:p>
        </w:tc>
        <w:tc>
          <w:tcPr>
            <w:tcW w:w="1107" w:type="dxa"/>
            <w:tcBorders>
              <w:left w:val="nil"/>
              <w:right w:val="nil"/>
            </w:tcBorders>
            <w:vAlign w:val="center"/>
          </w:tcPr>
          <w:p w14:paraId="26010D98" w14:textId="77777777" w:rsidR="00AD6087" w:rsidRPr="006435A5" w:rsidRDefault="00AD6087" w:rsidP="00A42F0D">
            <w:pPr>
              <w:spacing w:line="276" w:lineRule="auto"/>
              <w:ind w:firstLine="131"/>
              <w:jc w:val="center"/>
            </w:pPr>
            <w:r w:rsidRPr="006435A5">
              <w:t>5.4</w:t>
            </w:r>
          </w:p>
        </w:tc>
      </w:tr>
      <w:tr w:rsidR="00AD6087" w:rsidRPr="006435A5" w14:paraId="336B39B6" w14:textId="77777777" w:rsidTr="00A42F0D">
        <w:trPr>
          <w:trHeight w:val="887"/>
          <w:jc w:val="center"/>
        </w:trPr>
        <w:tc>
          <w:tcPr>
            <w:tcW w:w="5627" w:type="dxa"/>
            <w:tcBorders>
              <w:left w:val="nil"/>
              <w:bottom w:val="thickThinSmallGap" w:sz="24" w:space="0" w:color="auto"/>
              <w:right w:val="nil"/>
            </w:tcBorders>
            <w:vAlign w:val="center"/>
          </w:tcPr>
          <w:p w14:paraId="0E7B83D8" w14:textId="77777777" w:rsidR="00AD6087" w:rsidRPr="006435A5" w:rsidRDefault="00AD6087" w:rsidP="00A42F0D">
            <w:pPr>
              <w:spacing w:line="276" w:lineRule="auto"/>
              <w:ind w:firstLine="131"/>
              <w:jc w:val="left"/>
            </w:pPr>
            <w:r w:rsidRPr="006435A5">
              <w:t>ՀՀ կառավարության ներքին պարտքի տոկոսավճարի փոփոխության կշիռը պետբյուջեի սեփական եկամուտներում (առանց դրամաշնորհ) (%)</w:t>
            </w:r>
          </w:p>
        </w:tc>
        <w:tc>
          <w:tcPr>
            <w:tcW w:w="1170" w:type="dxa"/>
            <w:tcBorders>
              <w:left w:val="double" w:sz="4" w:space="0" w:color="auto"/>
              <w:bottom w:val="thickThinSmallGap" w:sz="24" w:space="0" w:color="auto"/>
              <w:right w:val="nil"/>
            </w:tcBorders>
            <w:vAlign w:val="center"/>
          </w:tcPr>
          <w:p w14:paraId="337DAF51" w14:textId="77777777" w:rsidR="00AD6087" w:rsidRPr="006435A5" w:rsidRDefault="00AD6087" w:rsidP="00A42F0D">
            <w:pPr>
              <w:spacing w:line="276" w:lineRule="auto"/>
              <w:ind w:firstLine="131"/>
              <w:jc w:val="center"/>
            </w:pPr>
            <w:r w:rsidRPr="006435A5">
              <w:t>0.1</w:t>
            </w:r>
          </w:p>
        </w:tc>
        <w:tc>
          <w:tcPr>
            <w:tcW w:w="1040" w:type="dxa"/>
            <w:tcBorders>
              <w:left w:val="nil"/>
              <w:bottom w:val="thickThinSmallGap" w:sz="24" w:space="0" w:color="auto"/>
              <w:right w:val="nil"/>
            </w:tcBorders>
            <w:vAlign w:val="center"/>
          </w:tcPr>
          <w:p w14:paraId="77BB7297" w14:textId="77777777" w:rsidR="00AD6087" w:rsidRPr="006435A5" w:rsidRDefault="00AD6087" w:rsidP="00A42F0D">
            <w:pPr>
              <w:spacing w:line="276" w:lineRule="auto"/>
              <w:ind w:firstLine="131"/>
              <w:jc w:val="center"/>
            </w:pPr>
            <w:r w:rsidRPr="006435A5">
              <w:t>0.3</w:t>
            </w:r>
          </w:p>
        </w:tc>
        <w:tc>
          <w:tcPr>
            <w:tcW w:w="1107" w:type="dxa"/>
            <w:tcBorders>
              <w:left w:val="nil"/>
              <w:bottom w:val="thickThinSmallGap" w:sz="24" w:space="0" w:color="auto"/>
              <w:right w:val="nil"/>
            </w:tcBorders>
            <w:vAlign w:val="center"/>
          </w:tcPr>
          <w:p w14:paraId="6D280596" w14:textId="77777777" w:rsidR="00AD6087" w:rsidRPr="006435A5" w:rsidRDefault="00AD6087" w:rsidP="00A42F0D">
            <w:pPr>
              <w:spacing w:line="276" w:lineRule="auto"/>
              <w:ind w:firstLine="131"/>
              <w:jc w:val="center"/>
            </w:pPr>
            <w:r w:rsidRPr="006435A5">
              <w:t>0.4</w:t>
            </w:r>
          </w:p>
        </w:tc>
      </w:tr>
    </w:tbl>
    <w:p w14:paraId="3391DC73" w14:textId="77777777" w:rsidR="00AD6087" w:rsidRPr="006435A5" w:rsidRDefault="00AD6087" w:rsidP="00AD6087">
      <w:pPr>
        <w:spacing w:line="276" w:lineRule="auto"/>
      </w:pPr>
      <w:r w:rsidRPr="006435A5">
        <w:t>Իրականացված զգայունության վերլուծությունները թույլ են տալիս ենթադրել, որ ՀՀ կառավարության պարտքի պորտֆելի վրա փոխարժեքի շոկի ազդեցությունը շատ ավելի մեծ է, քան տոկո</w:t>
      </w:r>
      <w:r w:rsidRPr="006435A5">
        <w:softHyphen/>
        <w:t>սա</w:t>
      </w:r>
      <w:r w:rsidRPr="006435A5">
        <w:softHyphen/>
        <w:t>դրույքի շոկի ազդեցությունը: Դա հիմնականում պայմանավորված է մի կողմից ՀՀ կառավարության պարտքի պորտֆելում արտարժութային պարտքի մեծ տեսակարար կշռով և մյուս կողմից` ֆիքսված տոկոսադրույքով պարտքի գերակայությամբ:</w:t>
      </w:r>
    </w:p>
    <w:p w14:paraId="7DC2FFBD" w14:textId="77777777" w:rsidR="00AD6087" w:rsidRPr="006435A5" w:rsidRDefault="00AD6087" w:rsidP="00AD6087">
      <w:pPr>
        <w:spacing w:line="276" w:lineRule="auto"/>
      </w:pPr>
    </w:p>
    <w:p w14:paraId="3CD9FF4E" w14:textId="1070249E" w:rsidR="00AD6087" w:rsidRPr="006435A5" w:rsidRDefault="00AD6087" w:rsidP="00BB2C3D">
      <w:pPr>
        <w:spacing w:line="276" w:lineRule="auto"/>
      </w:pPr>
      <w:bookmarkStart w:id="678" w:name="_Toc77434492"/>
      <w:r w:rsidRPr="006435A5">
        <w:br w:type="page"/>
      </w:r>
      <w:r w:rsidR="00BB2C3D" w:rsidRPr="00BB2C3D">
        <w:rPr>
          <w:b/>
          <w:color w:val="1F497D" w:themeColor="text2"/>
        </w:rPr>
        <w:t>ԵԶՐԱԿԱՑՈՒԹՅՈՒՆՆԵՐ</w:t>
      </w:r>
      <w:bookmarkEnd w:id="678"/>
    </w:p>
    <w:p w14:paraId="122420BD" w14:textId="77777777" w:rsidR="00AD6087" w:rsidRPr="00AD6087" w:rsidRDefault="00AD6087" w:rsidP="00AD6087">
      <w:pPr>
        <w:spacing w:line="276" w:lineRule="auto"/>
        <w:rPr>
          <w:lang w:val="es-ES"/>
        </w:rPr>
      </w:pP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պորտֆելի</w:t>
      </w:r>
      <w:r w:rsidRPr="00AD6087">
        <w:rPr>
          <w:lang w:val="es-ES"/>
        </w:rPr>
        <w:t xml:space="preserve"> </w:t>
      </w:r>
      <w:r w:rsidRPr="006435A5">
        <w:t>ծախսերի</w:t>
      </w:r>
      <w:r w:rsidRPr="00AD6087">
        <w:rPr>
          <w:lang w:val="es-ES"/>
        </w:rPr>
        <w:t xml:space="preserve"> </w:t>
      </w:r>
      <w:r w:rsidRPr="006435A5">
        <w:t>և</w:t>
      </w:r>
      <w:r w:rsidRPr="00AD6087">
        <w:rPr>
          <w:lang w:val="es-ES"/>
        </w:rPr>
        <w:t xml:space="preserve"> </w:t>
      </w:r>
      <w:r w:rsidRPr="006435A5">
        <w:t>ռիսկերի</w:t>
      </w:r>
      <w:r w:rsidRPr="00AD6087">
        <w:rPr>
          <w:lang w:val="es-ES"/>
        </w:rPr>
        <w:t xml:space="preserve"> </w:t>
      </w:r>
      <w:r w:rsidRPr="006435A5">
        <w:t>վերլուծության</w:t>
      </w:r>
      <w:r w:rsidRPr="00AD6087">
        <w:rPr>
          <w:lang w:val="es-ES"/>
        </w:rPr>
        <w:t xml:space="preserve"> </w:t>
      </w:r>
      <w:r w:rsidRPr="006435A5">
        <w:t>արդյունք</w:t>
      </w:r>
      <w:r w:rsidRPr="00AD6087">
        <w:rPr>
          <w:lang w:val="es-ES"/>
        </w:rPr>
        <w:softHyphen/>
      </w:r>
      <w:r w:rsidRPr="006435A5">
        <w:t>ները</w:t>
      </w:r>
      <w:r w:rsidRPr="00AD6087">
        <w:rPr>
          <w:lang w:val="es-ES"/>
        </w:rPr>
        <w:t xml:space="preserve"> </w:t>
      </w:r>
      <w:r w:rsidRPr="006435A5">
        <w:t>ցույց</w:t>
      </w:r>
      <w:r w:rsidRPr="00AD6087">
        <w:rPr>
          <w:lang w:val="es-ES"/>
        </w:rPr>
        <w:t xml:space="preserve"> </w:t>
      </w:r>
      <w:r w:rsidRPr="006435A5">
        <w:t>են</w:t>
      </w:r>
      <w:r w:rsidRPr="00AD6087">
        <w:rPr>
          <w:lang w:val="es-ES"/>
        </w:rPr>
        <w:t xml:space="preserve"> </w:t>
      </w:r>
      <w:r w:rsidRPr="006435A5">
        <w:t>տալիս</w:t>
      </w:r>
      <w:r w:rsidRPr="00AD6087">
        <w:rPr>
          <w:lang w:val="es-ES"/>
        </w:rPr>
        <w:t xml:space="preserve">, </w:t>
      </w:r>
      <w:r w:rsidRPr="006435A5">
        <w:t>որ</w:t>
      </w:r>
      <w:r w:rsidRPr="00AD6087">
        <w:rPr>
          <w:lang w:val="es-ES"/>
        </w:rPr>
        <w:t xml:space="preserve"> </w:t>
      </w:r>
      <w:r w:rsidRPr="006435A5">
        <w:t>պարտքի</w:t>
      </w:r>
      <w:r w:rsidRPr="00AD6087">
        <w:rPr>
          <w:lang w:val="es-ES"/>
        </w:rPr>
        <w:t xml:space="preserve"> </w:t>
      </w:r>
      <w:r w:rsidRPr="006435A5">
        <w:t>պորտֆելն</w:t>
      </w:r>
      <w:r w:rsidRPr="00AD6087">
        <w:rPr>
          <w:lang w:val="es-ES"/>
        </w:rPr>
        <w:t xml:space="preserve"> </w:t>
      </w:r>
      <w:r w:rsidRPr="006435A5">
        <w:t>ամենաշատը</w:t>
      </w:r>
      <w:r w:rsidRPr="00AD6087">
        <w:rPr>
          <w:lang w:val="es-ES"/>
        </w:rPr>
        <w:t xml:space="preserve"> </w:t>
      </w:r>
      <w:r w:rsidRPr="006435A5">
        <w:t>ենթակա</w:t>
      </w:r>
      <w:r w:rsidRPr="00AD6087">
        <w:rPr>
          <w:lang w:val="es-ES"/>
        </w:rPr>
        <w:t xml:space="preserve"> </w:t>
      </w:r>
      <w:r w:rsidRPr="006435A5">
        <w:t>է</w:t>
      </w:r>
      <w:r w:rsidRPr="00AD6087">
        <w:rPr>
          <w:lang w:val="es-ES"/>
        </w:rPr>
        <w:t xml:space="preserve"> </w:t>
      </w:r>
      <w:r w:rsidRPr="006435A5">
        <w:t>փոխարժեքի</w:t>
      </w:r>
      <w:r w:rsidRPr="00AD6087">
        <w:rPr>
          <w:lang w:val="es-ES"/>
        </w:rPr>
        <w:t xml:space="preserve"> </w:t>
      </w:r>
      <w:r w:rsidRPr="006435A5">
        <w:t>ռիսկի</w:t>
      </w:r>
      <w:r w:rsidRPr="00AD6087">
        <w:rPr>
          <w:lang w:val="es-ES"/>
        </w:rPr>
        <w:t xml:space="preserve"> </w:t>
      </w:r>
      <w:r w:rsidRPr="006435A5">
        <w:t>ազդե</w:t>
      </w:r>
      <w:r w:rsidRPr="00AD6087">
        <w:rPr>
          <w:lang w:val="es-ES"/>
        </w:rPr>
        <w:softHyphen/>
      </w:r>
      <w:r w:rsidRPr="006435A5">
        <w:t>ցությանը</w:t>
      </w:r>
      <w:r w:rsidRPr="00AD6087">
        <w:rPr>
          <w:lang w:val="es-ES"/>
        </w:rPr>
        <w:t xml:space="preserve">: </w:t>
      </w:r>
      <w:r w:rsidRPr="006435A5">
        <w:t>Այդ</w:t>
      </w:r>
      <w:r w:rsidRPr="00AD6087">
        <w:rPr>
          <w:lang w:val="es-ES"/>
        </w:rPr>
        <w:t xml:space="preserve"> </w:t>
      </w:r>
      <w:r w:rsidRPr="006435A5">
        <w:t>իսկ</w:t>
      </w:r>
      <w:r w:rsidRPr="00AD6087">
        <w:rPr>
          <w:lang w:val="es-ES"/>
        </w:rPr>
        <w:t xml:space="preserve"> </w:t>
      </w:r>
      <w:r w:rsidRPr="006435A5">
        <w:t>պատճառով</w:t>
      </w:r>
      <w:r w:rsidRPr="00AD6087">
        <w:rPr>
          <w:lang w:val="es-ES"/>
        </w:rPr>
        <w:t xml:space="preserve">, </w:t>
      </w:r>
      <w:r w:rsidRPr="006435A5">
        <w:t>ՀՀ</w:t>
      </w:r>
      <w:r w:rsidRPr="00AD6087">
        <w:rPr>
          <w:lang w:val="es-ES"/>
        </w:rPr>
        <w:t xml:space="preserve"> </w:t>
      </w:r>
      <w:r w:rsidRPr="006435A5">
        <w:t>կառավարությունն</w:t>
      </w:r>
      <w:r w:rsidRPr="00AD6087">
        <w:rPr>
          <w:lang w:val="es-ES"/>
        </w:rPr>
        <w:t xml:space="preserve"> </w:t>
      </w:r>
      <w:r w:rsidRPr="006435A5">
        <w:t>առաջնային</w:t>
      </w:r>
      <w:r w:rsidRPr="00AD6087">
        <w:rPr>
          <w:lang w:val="es-ES"/>
        </w:rPr>
        <w:t xml:space="preserve"> </w:t>
      </w:r>
      <w:r w:rsidRPr="006435A5">
        <w:t>է</w:t>
      </w:r>
      <w:r w:rsidRPr="00AD6087">
        <w:rPr>
          <w:lang w:val="es-ES"/>
        </w:rPr>
        <w:t xml:space="preserve"> </w:t>
      </w:r>
      <w:r w:rsidRPr="006435A5">
        <w:t>համարում</w:t>
      </w:r>
      <w:r w:rsidRPr="00AD6087">
        <w:rPr>
          <w:lang w:val="es-ES"/>
        </w:rPr>
        <w:t xml:space="preserve"> </w:t>
      </w:r>
      <w:r w:rsidRPr="006435A5">
        <w:t>պետական</w:t>
      </w:r>
      <w:r w:rsidRPr="00AD6087">
        <w:rPr>
          <w:lang w:val="es-ES"/>
        </w:rPr>
        <w:t xml:space="preserve"> </w:t>
      </w:r>
      <w:r w:rsidRPr="006435A5">
        <w:t>գան</w:t>
      </w:r>
      <w:r w:rsidRPr="00AD6087">
        <w:rPr>
          <w:lang w:val="es-ES"/>
        </w:rPr>
        <w:softHyphen/>
      </w:r>
      <w:r w:rsidRPr="006435A5">
        <w:t>ձա</w:t>
      </w:r>
      <w:r w:rsidRPr="00AD6087">
        <w:rPr>
          <w:lang w:val="es-ES"/>
        </w:rPr>
        <w:softHyphen/>
      </w:r>
      <w:r w:rsidRPr="006435A5">
        <w:t>պե</w:t>
      </w:r>
      <w:r w:rsidRPr="00AD6087">
        <w:rPr>
          <w:lang w:val="es-ES"/>
        </w:rPr>
        <w:softHyphen/>
      </w:r>
      <w:r w:rsidRPr="006435A5">
        <w:t>տական</w:t>
      </w:r>
      <w:r w:rsidRPr="00AD6087">
        <w:rPr>
          <w:lang w:val="es-ES"/>
        </w:rPr>
        <w:t xml:space="preserve"> </w:t>
      </w:r>
      <w:r w:rsidRPr="006435A5">
        <w:t>պարտատոմսերի</w:t>
      </w:r>
      <w:r w:rsidRPr="00AD6087">
        <w:rPr>
          <w:lang w:val="es-ES"/>
        </w:rPr>
        <w:t xml:space="preserve"> </w:t>
      </w:r>
      <w:r w:rsidRPr="006435A5">
        <w:t>շուկայի</w:t>
      </w:r>
      <w:r w:rsidRPr="00AD6087">
        <w:rPr>
          <w:lang w:val="es-ES"/>
        </w:rPr>
        <w:t xml:space="preserve"> </w:t>
      </w:r>
      <w:r w:rsidRPr="006435A5">
        <w:t>շարունակական</w:t>
      </w:r>
      <w:r w:rsidRPr="00AD6087">
        <w:rPr>
          <w:lang w:val="es-ES"/>
        </w:rPr>
        <w:t xml:space="preserve"> </w:t>
      </w:r>
      <w:r w:rsidRPr="006435A5">
        <w:t>զարգացումը</w:t>
      </w:r>
      <w:r w:rsidRPr="00AD6087">
        <w:rPr>
          <w:lang w:val="es-ES"/>
        </w:rPr>
        <w:t xml:space="preserve"> </w:t>
      </w:r>
      <w:r w:rsidRPr="006435A5">
        <w:t>և</w:t>
      </w:r>
      <w:r w:rsidRPr="00AD6087">
        <w:rPr>
          <w:lang w:val="es-ES"/>
        </w:rPr>
        <w:t xml:space="preserve"> </w:t>
      </w:r>
      <w:r w:rsidRPr="006435A5">
        <w:t>ներքին</w:t>
      </w:r>
      <w:r w:rsidRPr="00AD6087">
        <w:rPr>
          <w:lang w:val="es-ES"/>
        </w:rPr>
        <w:t xml:space="preserve"> </w:t>
      </w:r>
      <w:r w:rsidRPr="006435A5">
        <w:t>շուկայից</w:t>
      </w:r>
      <w:r w:rsidRPr="00AD6087">
        <w:rPr>
          <w:lang w:val="es-ES"/>
        </w:rPr>
        <w:t xml:space="preserve"> </w:t>
      </w:r>
      <w:r w:rsidRPr="006435A5">
        <w:t>փոխա</w:t>
      </w:r>
      <w:r w:rsidRPr="00AD6087">
        <w:rPr>
          <w:lang w:val="es-ES"/>
        </w:rPr>
        <w:softHyphen/>
      </w:r>
      <w:r w:rsidRPr="006435A5">
        <w:t>ռությունների</w:t>
      </w:r>
      <w:r w:rsidRPr="00AD6087">
        <w:rPr>
          <w:lang w:val="es-ES"/>
        </w:rPr>
        <w:t xml:space="preserve"> </w:t>
      </w:r>
      <w:r w:rsidRPr="006435A5">
        <w:t>ներգրավման</w:t>
      </w:r>
      <w:r w:rsidRPr="00AD6087">
        <w:rPr>
          <w:lang w:val="es-ES"/>
        </w:rPr>
        <w:t xml:space="preserve"> </w:t>
      </w:r>
      <w:r w:rsidRPr="006435A5">
        <w:t>ծավալի</w:t>
      </w:r>
      <w:r w:rsidRPr="00AD6087">
        <w:rPr>
          <w:lang w:val="es-ES"/>
        </w:rPr>
        <w:t xml:space="preserve"> </w:t>
      </w:r>
      <w:r w:rsidRPr="006435A5">
        <w:t>աճի</w:t>
      </w:r>
      <w:r w:rsidRPr="00AD6087">
        <w:rPr>
          <w:lang w:val="es-ES"/>
        </w:rPr>
        <w:t xml:space="preserve"> </w:t>
      </w:r>
      <w:r w:rsidRPr="006435A5">
        <w:t>միջոցով</w:t>
      </w:r>
      <w:r w:rsidRPr="00AD6087">
        <w:rPr>
          <w:lang w:val="es-ES"/>
        </w:rPr>
        <w:t xml:space="preserve"> </w:t>
      </w:r>
      <w:r w:rsidRPr="006435A5">
        <w:t>դրամային</w:t>
      </w:r>
      <w:r w:rsidRPr="00AD6087">
        <w:rPr>
          <w:lang w:val="es-ES"/>
        </w:rPr>
        <w:t xml:space="preserve"> </w:t>
      </w:r>
      <w:r w:rsidRPr="006435A5">
        <w:t>պարտքի</w:t>
      </w:r>
      <w:r w:rsidRPr="00AD6087">
        <w:rPr>
          <w:lang w:val="es-ES"/>
        </w:rPr>
        <w:t xml:space="preserve"> </w:t>
      </w:r>
      <w:r w:rsidRPr="006435A5">
        <w:t>մասնաբաժնի</w:t>
      </w:r>
      <w:r w:rsidRPr="00AD6087">
        <w:rPr>
          <w:lang w:val="es-ES"/>
        </w:rPr>
        <w:t xml:space="preserve"> </w:t>
      </w:r>
      <w:r w:rsidRPr="006435A5">
        <w:t>ավելացումը</w:t>
      </w:r>
      <w:r w:rsidRPr="00AD6087">
        <w:rPr>
          <w:lang w:val="es-ES"/>
        </w:rPr>
        <w:t xml:space="preserve">: 2022-2024 </w:t>
      </w:r>
      <w:r w:rsidRPr="006435A5">
        <w:t>թվականներին</w:t>
      </w:r>
      <w:r w:rsidRPr="00AD6087">
        <w:rPr>
          <w:lang w:val="es-ES"/>
        </w:rPr>
        <w:t xml:space="preserve"> </w:t>
      </w:r>
      <w:r w:rsidRPr="006435A5">
        <w:t>նախա</w:t>
      </w:r>
      <w:r w:rsidRPr="00AD6087">
        <w:rPr>
          <w:lang w:val="es-ES"/>
        </w:rPr>
        <w:softHyphen/>
      </w:r>
      <w:r w:rsidRPr="006435A5">
        <w:t>տես</w:t>
      </w:r>
      <w:r w:rsidRPr="00AD6087">
        <w:rPr>
          <w:lang w:val="es-ES"/>
        </w:rPr>
        <w:softHyphen/>
      </w:r>
      <w:r w:rsidRPr="006435A5">
        <w:t>վում</w:t>
      </w:r>
      <w:r w:rsidRPr="00AD6087">
        <w:rPr>
          <w:lang w:val="es-ES"/>
        </w:rPr>
        <w:t xml:space="preserve"> </w:t>
      </w:r>
      <w:r w:rsidRPr="006435A5">
        <w:t>է</w:t>
      </w:r>
      <w:r w:rsidRPr="00AD6087">
        <w:rPr>
          <w:lang w:val="es-ES"/>
        </w:rPr>
        <w:t xml:space="preserve"> </w:t>
      </w:r>
      <w:r w:rsidRPr="006435A5">
        <w:t>ավելացնել</w:t>
      </w:r>
      <w:r w:rsidRPr="00AD6087">
        <w:rPr>
          <w:lang w:val="es-ES"/>
        </w:rPr>
        <w:t xml:space="preserve"> </w:t>
      </w:r>
      <w:r w:rsidRPr="006435A5">
        <w:t>ներքին</w:t>
      </w:r>
      <w:r w:rsidRPr="00AD6087">
        <w:rPr>
          <w:lang w:val="es-ES"/>
        </w:rPr>
        <w:t xml:space="preserve"> </w:t>
      </w:r>
      <w:r w:rsidRPr="006435A5">
        <w:t>փոխառու</w:t>
      </w:r>
      <w:r w:rsidRPr="00AD6087">
        <w:rPr>
          <w:lang w:val="es-ES"/>
        </w:rPr>
        <w:t xml:space="preserve"> </w:t>
      </w:r>
      <w:r w:rsidRPr="006435A5">
        <w:t>զուտ</w:t>
      </w:r>
      <w:r w:rsidRPr="00AD6087">
        <w:rPr>
          <w:lang w:val="es-ES"/>
        </w:rPr>
        <w:t xml:space="preserve"> </w:t>
      </w:r>
      <w:r w:rsidRPr="006435A5">
        <w:t>միջոցների</w:t>
      </w:r>
      <w:r w:rsidRPr="00AD6087">
        <w:rPr>
          <w:lang w:val="es-ES"/>
        </w:rPr>
        <w:t xml:space="preserve"> </w:t>
      </w:r>
      <w:r w:rsidRPr="006435A5">
        <w:t>հաշվին</w:t>
      </w:r>
      <w:r w:rsidRPr="00AD6087">
        <w:rPr>
          <w:lang w:val="es-ES"/>
        </w:rPr>
        <w:t xml:space="preserve"> </w:t>
      </w:r>
      <w:r w:rsidRPr="006435A5">
        <w:t>դեֆիցիտի</w:t>
      </w:r>
      <w:r w:rsidRPr="00AD6087">
        <w:rPr>
          <w:lang w:val="es-ES"/>
        </w:rPr>
        <w:t xml:space="preserve"> </w:t>
      </w:r>
      <w:r w:rsidRPr="006435A5">
        <w:t>ֆինանսավորման</w:t>
      </w:r>
      <w:r w:rsidRPr="00AD6087">
        <w:rPr>
          <w:lang w:val="es-ES"/>
        </w:rPr>
        <w:t xml:space="preserve"> </w:t>
      </w:r>
      <w:r w:rsidRPr="006435A5">
        <w:t>կշիռը</w:t>
      </w:r>
      <w:r w:rsidRPr="00AD6087">
        <w:rPr>
          <w:lang w:val="es-ES"/>
        </w:rPr>
        <w:t xml:space="preserve"> </w:t>
      </w:r>
      <w:r w:rsidRPr="006435A5">
        <w:t>և</w:t>
      </w:r>
      <w:r w:rsidRPr="00AD6087">
        <w:rPr>
          <w:lang w:val="es-ES"/>
        </w:rPr>
        <w:t xml:space="preserve"> </w:t>
      </w:r>
      <w:r w:rsidRPr="006435A5">
        <w:t>միջնաժամկետ</w:t>
      </w:r>
      <w:r w:rsidRPr="00AD6087">
        <w:rPr>
          <w:lang w:val="es-ES"/>
        </w:rPr>
        <w:t xml:space="preserve"> </w:t>
      </w:r>
      <w:r w:rsidRPr="006435A5">
        <w:t>հատվածում</w:t>
      </w:r>
      <w:r w:rsidRPr="00AD6087">
        <w:rPr>
          <w:lang w:val="es-ES"/>
        </w:rPr>
        <w:t xml:space="preserve"> </w:t>
      </w:r>
      <w:r w:rsidRPr="006435A5">
        <w:t>փոխառու</w:t>
      </w:r>
      <w:r w:rsidRPr="00AD6087">
        <w:rPr>
          <w:lang w:val="es-ES"/>
        </w:rPr>
        <w:t xml:space="preserve"> </w:t>
      </w:r>
      <w:r w:rsidRPr="006435A5">
        <w:t>զուտ</w:t>
      </w:r>
      <w:r w:rsidRPr="00AD6087">
        <w:rPr>
          <w:lang w:val="es-ES"/>
        </w:rPr>
        <w:t xml:space="preserve"> </w:t>
      </w:r>
      <w:r w:rsidRPr="006435A5">
        <w:t>միջոցների</w:t>
      </w:r>
      <w:r w:rsidRPr="00AD6087">
        <w:rPr>
          <w:lang w:val="es-ES"/>
        </w:rPr>
        <w:t xml:space="preserve"> </w:t>
      </w:r>
      <w:r w:rsidRPr="006435A5">
        <w:t>հաշվին</w:t>
      </w:r>
      <w:r w:rsidRPr="00AD6087">
        <w:rPr>
          <w:lang w:val="es-ES"/>
        </w:rPr>
        <w:t xml:space="preserve"> </w:t>
      </w:r>
      <w:r w:rsidRPr="006435A5">
        <w:t>դեֆիցիտի</w:t>
      </w:r>
      <w:r w:rsidRPr="00AD6087">
        <w:rPr>
          <w:lang w:val="es-ES"/>
        </w:rPr>
        <w:t xml:space="preserve"> </w:t>
      </w:r>
      <w:r w:rsidRPr="006435A5">
        <w:t>ֆինանսավորումն</w:t>
      </w:r>
      <w:r w:rsidRPr="00AD6087">
        <w:rPr>
          <w:lang w:val="es-ES"/>
        </w:rPr>
        <w:t xml:space="preserve"> </w:t>
      </w:r>
      <w:r w:rsidRPr="006435A5">
        <w:t>ամբողջությամբ</w:t>
      </w:r>
      <w:r w:rsidRPr="00AD6087">
        <w:rPr>
          <w:lang w:val="es-ES"/>
        </w:rPr>
        <w:t xml:space="preserve"> </w:t>
      </w:r>
      <w:r w:rsidRPr="006435A5">
        <w:t>իրականացնել</w:t>
      </w:r>
      <w:r w:rsidRPr="00AD6087">
        <w:rPr>
          <w:lang w:val="es-ES"/>
        </w:rPr>
        <w:t xml:space="preserve"> </w:t>
      </w:r>
      <w:r w:rsidRPr="006435A5">
        <w:t>ներքին</w:t>
      </w:r>
      <w:r w:rsidRPr="00AD6087">
        <w:rPr>
          <w:lang w:val="es-ES"/>
        </w:rPr>
        <w:t xml:space="preserve"> </w:t>
      </w:r>
      <w:r w:rsidRPr="006435A5">
        <w:t>փոխառու</w:t>
      </w:r>
      <w:r w:rsidRPr="00AD6087">
        <w:rPr>
          <w:lang w:val="es-ES"/>
        </w:rPr>
        <w:t xml:space="preserve"> </w:t>
      </w:r>
      <w:r w:rsidRPr="006435A5">
        <w:t>զուտ</w:t>
      </w:r>
      <w:r w:rsidRPr="00AD6087">
        <w:rPr>
          <w:lang w:val="es-ES"/>
        </w:rPr>
        <w:t xml:space="preserve"> </w:t>
      </w:r>
      <w:r w:rsidRPr="006435A5">
        <w:t>միջոցների</w:t>
      </w:r>
      <w:r w:rsidRPr="00AD6087">
        <w:rPr>
          <w:lang w:val="es-ES"/>
        </w:rPr>
        <w:t xml:space="preserve"> </w:t>
      </w:r>
      <w:r w:rsidRPr="006435A5">
        <w:t>հաշվին</w:t>
      </w:r>
      <w:r w:rsidRPr="00AD6087">
        <w:rPr>
          <w:lang w:val="es-ES"/>
        </w:rPr>
        <w:t xml:space="preserve">: </w:t>
      </w:r>
    </w:p>
    <w:p w14:paraId="0F08BE7E" w14:textId="77777777" w:rsidR="00AD6087" w:rsidRPr="00AD6087" w:rsidRDefault="00AD6087" w:rsidP="00AD6087">
      <w:pPr>
        <w:spacing w:line="276" w:lineRule="auto"/>
        <w:rPr>
          <w:lang w:val="es-ES"/>
        </w:rPr>
      </w:pPr>
      <w:r w:rsidRPr="006435A5">
        <w:t>Կարևոր</w:t>
      </w:r>
      <w:r w:rsidRPr="00AD6087">
        <w:rPr>
          <w:lang w:val="es-ES"/>
        </w:rPr>
        <w:t xml:space="preserve"> </w:t>
      </w:r>
      <w:r w:rsidRPr="006435A5">
        <w:t>է</w:t>
      </w:r>
      <w:r w:rsidRPr="00AD6087">
        <w:rPr>
          <w:lang w:val="es-ES"/>
        </w:rPr>
        <w:t xml:space="preserve"> </w:t>
      </w:r>
      <w:r w:rsidRPr="006435A5">
        <w:t>նշել</w:t>
      </w:r>
      <w:r w:rsidRPr="00AD6087">
        <w:rPr>
          <w:lang w:val="es-ES"/>
        </w:rPr>
        <w:t xml:space="preserve">, </w:t>
      </w:r>
      <w:r w:rsidRPr="006435A5">
        <w:t>որ</w:t>
      </w:r>
      <w:r w:rsidRPr="00AD6087">
        <w:rPr>
          <w:lang w:val="es-ES"/>
        </w:rPr>
        <w:t xml:space="preserve"> </w:t>
      </w:r>
      <w:r w:rsidRPr="006435A5">
        <w:t>միայն</w:t>
      </w:r>
      <w:r w:rsidRPr="00AD6087">
        <w:rPr>
          <w:lang w:val="es-ES"/>
        </w:rPr>
        <w:t xml:space="preserve"> </w:t>
      </w: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կառավարման</w:t>
      </w:r>
      <w:r w:rsidRPr="00AD6087">
        <w:rPr>
          <w:lang w:val="es-ES"/>
        </w:rPr>
        <w:t xml:space="preserve"> </w:t>
      </w:r>
      <w:r w:rsidRPr="006435A5">
        <w:t>ոլորտում</w:t>
      </w:r>
      <w:r w:rsidRPr="00AD6087">
        <w:rPr>
          <w:lang w:val="es-ES"/>
        </w:rPr>
        <w:t xml:space="preserve"> </w:t>
      </w:r>
      <w:r w:rsidRPr="006435A5">
        <w:t>իրակա</w:t>
      </w:r>
      <w:r w:rsidRPr="00AD6087">
        <w:rPr>
          <w:lang w:val="es-ES"/>
        </w:rPr>
        <w:softHyphen/>
      </w:r>
      <w:r w:rsidRPr="006435A5">
        <w:t>նացվող</w:t>
      </w:r>
      <w:r w:rsidRPr="00AD6087">
        <w:rPr>
          <w:lang w:val="es-ES"/>
        </w:rPr>
        <w:t xml:space="preserve"> </w:t>
      </w:r>
      <w:r w:rsidRPr="006435A5">
        <w:t>միջոցառումները</w:t>
      </w:r>
      <w:r w:rsidRPr="00AD6087">
        <w:rPr>
          <w:lang w:val="es-ES"/>
        </w:rPr>
        <w:t xml:space="preserve"> </w:t>
      </w:r>
      <w:r w:rsidRPr="006435A5">
        <w:t>բավարար</w:t>
      </w:r>
      <w:r w:rsidRPr="00AD6087">
        <w:rPr>
          <w:lang w:val="es-ES"/>
        </w:rPr>
        <w:t xml:space="preserve"> </w:t>
      </w:r>
      <w:r w:rsidRPr="006435A5">
        <w:t>չեն</w:t>
      </w:r>
      <w:r w:rsidRPr="00AD6087">
        <w:rPr>
          <w:lang w:val="es-ES"/>
        </w:rPr>
        <w:t xml:space="preserve"> </w:t>
      </w:r>
      <w:r w:rsidRPr="006435A5">
        <w:t>ՀՀ</w:t>
      </w:r>
      <w:r w:rsidRPr="00AD6087">
        <w:rPr>
          <w:lang w:val="es-ES"/>
        </w:rPr>
        <w:t xml:space="preserve"> </w:t>
      </w:r>
      <w:r w:rsidRPr="006435A5">
        <w:t>կառավարության</w:t>
      </w:r>
      <w:r w:rsidRPr="00AD6087">
        <w:rPr>
          <w:lang w:val="es-ES"/>
        </w:rPr>
        <w:t xml:space="preserve"> </w:t>
      </w:r>
      <w:r w:rsidRPr="006435A5">
        <w:t>ներքին</w:t>
      </w:r>
      <w:r w:rsidRPr="00AD6087">
        <w:rPr>
          <w:lang w:val="es-ES"/>
        </w:rPr>
        <w:t xml:space="preserve"> </w:t>
      </w:r>
      <w:r w:rsidRPr="006435A5">
        <w:t>պարտքի</w:t>
      </w:r>
      <w:r w:rsidRPr="00AD6087">
        <w:rPr>
          <w:lang w:val="es-ES"/>
        </w:rPr>
        <w:t xml:space="preserve"> </w:t>
      </w:r>
      <w:r w:rsidRPr="006435A5">
        <w:t>շուկան</w:t>
      </w:r>
      <w:r w:rsidRPr="00AD6087">
        <w:rPr>
          <w:lang w:val="es-ES"/>
        </w:rPr>
        <w:t xml:space="preserve"> </w:t>
      </w:r>
      <w:r w:rsidRPr="006435A5">
        <w:t>էակա</w:t>
      </w:r>
      <w:r w:rsidRPr="00AD6087">
        <w:rPr>
          <w:lang w:val="es-ES"/>
        </w:rPr>
        <w:softHyphen/>
      </w:r>
      <w:r w:rsidRPr="006435A5">
        <w:t>նորեն</w:t>
      </w:r>
      <w:r w:rsidRPr="00AD6087">
        <w:rPr>
          <w:lang w:val="es-ES"/>
        </w:rPr>
        <w:t xml:space="preserve"> </w:t>
      </w:r>
      <w:r w:rsidRPr="006435A5">
        <w:t>զարգացնելու</w:t>
      </w:r>
      <w:r w:rsidRPr="00AD6087">
        <w:rPr>
          <w:lang w:val="es-ES"/>
        </w:rPr>
        <w:t xml:space="preserve"> </w:t>
      </w:r>
      <w:r w:rsidRPr="006435A5">
        <w:t>համար</w:t>
      </w:r>
      <w:r w:rsidRPr="00AD6087">
        <w:rPr>
          <w:lang w:val="es-ES"/>
        </w:rPr>
        <w:t xml:space="preserve">: </w:t>
      </w:r>
      <w:r w:rsidRPr="006435A5">
        <w:t>Ներքին</w:t>
      </w:r>
      <w:r w:rsidRPr="00AD6087">
        <w:rPr>
          <w:lang w:val="es-ES"/>
        </w:rPr>
        <w:t xml:space="preserve"> </w:t>
      </w:r>
      <w:r w:rsidRPr="006435A5">
        <w:t>պարտքի</w:t>
      </w:r>
      <w:r w:rsidRPr="00AD6087">
        <w:rPr>
          <w:lang w:val="es-ES"/>
        </w:rPr>
        <w:t xml:space="preserve"> </w:t>
      </w:r>
      <w:r w:rsidRPr="006435A5">
        <w:t>շուկայի</w:t>
      </w:r>
      <w:r w:rsidRPr="00AD6087">
        <w:rPr>
          <w:lang w:val="es-ES"/>
        </w:rPr>
        <w:t xml:space="preserve"> </w:t>
      </w:r>
      <w:r w:rsidRPr="006435A5">
        <w:t>զարգացման</w:t>
      </w:r>
      <w:r w:rsidRPr="00AD6087">
        <w:rPr>
          <w:lang w:val="es-ES"/>
        </w:rPr>
        <w:t xml:space="preserve"> </w:t>
      </w:r>
      <w:r w:rsidRPr="006435A5">
        <w:t>և</w:t>
      </w:r>
      <w:r w:rsidRPr="00AD6087">
        <w:rPr>
          <w:lang w:val="es-ES"/>
        </w:rPr>
        <w:t xml:space="preserve"> </w:t>
      </w:r>
      <w:r w:rsidRPr="006435A5">
        <w:t>ներդրողների</w:t>
      </w:r>
      <w:r w:rsidRPr="00AD6087">
        <w:rPr>
          <w:lang w:val="es-ES"/>
        </w:rPr>
        <w:t xml:space="preserve"> </w:t>
      </w:r>
      <w:r w:rsidRPr="006435A5">
        <w:t>բազայի</w:t>
      </w:r>
      <w:r w:rsidRPr="00AD6087">
        <w:rPr>
          <w:lang w:val="es-ES"/>
        </w:rPr>
        <w:t xml:space="preserve"> </w:t>
      </w:r>
      <w:r w:rsidRPr="006435A5">
        <w:t>ընդլայնման</w:t>
      </w:r>
      <w:r w:rsidRPr="00AD6087">
        <w:rPr>
          <w:lang w:val="es-ES"/>
        </w:rPr>
        <w:t xml:space="preserve"> </w:t>
      </w:r>
      <w:r w:rsidRPr="006435A5">
        <w:t>նախապայմաններից</w:t>
      </w:r>
      <w:r w:rsidRPr="00AD6087">
        <w:rPr>
          <w:lang w:val="es-ES"/>
        </w:rPr>
        <w:t xml:space="preserve"> </w:t>
      </w:r>
      <w:r w:rsidRPr="006435A5">
        <w:t>է</w:t>
      </w:r>
      <w:r w:rsidRPr="00AD6087">
        <w:rPr>
          <w:lang w:val="es-ES"/>
        </w:rPr>
        <w:t xml:space="preserve"> </w:t>
      </w:r>
      <w:r w:rsidRPr="006435A5">
        <w:t>նաև</w:t>
      </w:r>
      <w:r w:rsidRPr="00AD6087">
        <w:rPr>
          <w:lang w:val="es-ES"/>
        </w:rPr>
        <w:t xml:space="preserve"> </w:t>
      </w:r>
      <w:r w:rsidRPr="006435A5">
        <w:t>ֆինանսական</w:t>
      </w:r>
      <w:r w:rsidRPr="00AD6087">
        <w:rPr>
          <w:lang w:val="es-ES"/>
        </w:rPr>
        <w:t xml:space="preserve"> </w:t>
      </w:r>
      <w:r w:rsidRPr="006435A5">
        <w:t>շուկայի</w:t>
      </w:r>
      <w:r w:rsidRPr="00AD6087">
        <w:rPr>
          <w:lang w:val="es-ES"/>
        </w:rPr>
        <w:t xml:space="preserve"> </w:t>
      </w:r>
      <w:r w:rsidRPr="006435A5">
        <w:t>այլ</w:t>
      </w:r>
      <w:r w:rsidRPr="00AD6087">
        <w:rPr>
          <w:lang w:val="es-ES"/>
        </w:rPr>
        <w:t xml:space="preserve"> </w:t>
      </w:r>
      <w:r w:rsidRPr="006435A5">
        <w:t>հատվածների</w:t>
      </w:r>
      <w:r w:rsidRPr="00AD6087">
        <w:rPr>
          <w:lang w:val="es-ES"/>
        </w:rPr>
        <w:t xml:space="preserve"> (</w:t>
      </w:r>
      <w:r w:rsidRPr="006435A5">
        <w:t>կենսաթո</w:t>
      </w:r>
      <w:r w:rsidRPr="00AD6087">
        <w:rPr>
          <w:lang w:val="es-ES"/>
        </w:rPr>
        <w:softHyphen/>
      </w:r>
      <w:r w:rsidRPr="006435A5">
        <w:t>շակային</w:t>
      </w:r>
      <w:r w:rsidRPr="00AD6087">
        <w:rPr>
          <w:lang w:val="es-ES"/>
        </w:rPr>
        <w:t xml:space="preserve">, </w:t>
      </w:r>
      <w:r w:rsidRPr="006435A5">
        <w:t>ապահովագրական</w:t>
      </w:r>
      <w:r w:rsidRPr="00AD6087">
        <w:rPr>
          <w:lang w:val="es-ES"/>
        </w:rPr>
        <w:t xml:space="preserve"> </w:t>
      </w:r>
      <w:r w:rsidRPr="006435A5">
        <w:t>և</w:t>
      </w:r>
      <w:r w:rsidRPr="00AD6087">
        <w:rPr>
          <w:lang w:val="es-ES"/>
        </w:rPr>
        <w:t xml:space="preserve"> </w:t>
      </w:r>
      <w:r w:rsidRPr="006435A5">
        <w:t>այլն</w:t>
      </w:r>
      <w:r w:rsidRPr="00AD6087">
        <w:rPr>
          <w:lang w:val="es-ES"/>
        </w:rPr>
        <w:t xml:space="preserve">) </w:t>
      </w:r>
      <w:r w:rsidRPr="006435A5">
        <w:t>հետագա</w:t>
      </w:r>
      <w:r w:rsidRPr="00AD6087">
        <w:rPr>
          <w:lang w:val="es-ES"/>
        </w:rPr>
        <w:t xml:space="preserve">  </w:t>
      </w:r>
      <w:r w:rsidRPr="006435A5">
        <w:t>զարգացումը</w:t>
      </w:r>
      <w:r w:rsidRPr="00AD6087">
        <w:rPr>
          <w:lang w:val="es-ES"/>
        </w:rPr>
        <w:t xml:space="preserve">: </w:t>
      </w:r>
    </w:p>
    <w:p w14:paraId="5D80945B" w14:textId="77777777" w:rsidR="00AD6087" w:rsidRPr="00AD6087" w:rsidRDefault="00AD6087" w:rsidP="00AD6087">
      <w:pPr>
        <w:spacing w:line="276" w:lineRule="auto"/>
        <w:rPr>
          <w:color w:val="FF0000"/>
          <w:lang w:val="es-ES"/>
        </w:rPr>
      </w:pPr>
      <w:r w:rsidRPr="006435A5">
        <w:t>ՀՀ</w:t>
      </w:r>
      <w:r w:rsidRPr="00AD6087">
        <w:rPr>
          <w:lang w:val="es-ES"/>
        </w:rPr>
        <w:t xml:space="preserve"> </w:t>
      </w:r>
      <w:r w:rsidRPr="006435A5">
        <w:t>կառավա</w:t>
      </w:r>
      <w:r w:rsidRPr="00AD6087">
        <w:rPr>
          <w:lang w:val="es-ES"/>
        </w:rPr>
        <w:softHyphen/>
      </w:r>
      <w:r w:rsidRPr="006435A5">
        <w:t>րությունը</w:t>
      </w:r>
      <w:r w:rsidRPr="00AD6087">
        <w:rPr>
          <w:lang w:val="es-ES"/>
        </w:rPr>
        <w:t xml:space="preserve"> </w:t>
      </w:r>
      <w:r w:rsidRPr="006435A5">
        <w:t>միջնաժամկետ</w:t>
      </w:r>
      <w:r w:rsidRPr="00AD6087">
        <w:rPr>
          <w:lang w:val="es-ES"/>
        </w:rPr>
        <w:t xml:space="preserve"> </w:t>
      </w:r>
      <w:r w:rsidRPr="006435A5">
        <w:t>հատվածում</w:t>
      </w:r>
      <w:r w:rsidRPr="00AD6087">
        <w:rPr>
          <w:lang w:val="es-ES"/>
        </w:rPr>
        <w:t xml:space="preserve"> </w:t>
      </w:r>
      <w:r w:rsidRPr="006435A5">
        <w:t>շարունակելու</w:t>
      </w:r>
      <w:r w:rsidRPr="00AD6087">
        <w:rPr>
          <w:lang w:val="es-ES"/>
        </w:rPr>
        <w:t xml:space="preserve"> </w:t>
      </w:r>
      <w:r w:rsidRPr="006435A5">
        <w:t>է</w:t>
      </w:r>
      <w:r w:rsidRPr="00AD6087">
        <w:rPr>
          <w:lang w:val="es-ES"/>
        </w:rPr>
        <w:t xml:space="preserve"> </w:t>
      </w:r>
      <w:r w:rsidRPr="006435A5">
        <w:t>ՀՀ</w:t>
      </w:r>
      <w:r w:rsidRPr="00AD6087">
        <w:rPr>
          <w:lang w:val="es-ES"/>
        </w:rPr>
        <w:t xml:space="preserve"> </w:t>
      </w:r>
      <w:r w:rsidRPr="006435A5">
        <w:t>կառավարության</w:t>
      </w:r>
      <w:r w:rsidRPr="00AD6087">
        <w:rPr>
          <w:lang w:val="es-ES"/>
        </w:rPr>
        <w:t xml:space="preserve"> </w:t>
      </w:r>
      <w:r w:rsidRPr="006435A5">
        <w:t>պարտքի</w:t>
      </w:r>
      <w:r w:rsidRPr="00AD6087">
        <w:rPr>
          <w:lang w:val="es-ES"/>
        </w:rPr>
        <w:t xml:space="preserve"> </w:t>
      </w:r>
      <w:r w:rsidRPr="006435A5">
        <w:t>մարման</w:t>
      </w:r>
      <w:r w:rsidRPr="00AD6087">
        <w:rPr>
          <w:lang w:val="es-ES"/>
        </w:rPr>
        <w:t xml:space="preserve"> </w:t>
      </w:r>
      <w:r w:rsidRPr="006435A5">
        <w:t>գրաֆիկի</w:t>
      </w:r>
      <w:r w:rsidRPr="00AD6087">
        <w:rPr>
          <w:lang w:val="es-ES"/>
        </w:rPr>
        <w:t xml:space="preserve"> </w:t>
      </w:r>
      <w:r w:rsidRPr="006435A5">
        <w:t>հարթեցման</w:t>
      </w:r>
      <w:r w:rsidRPr="00AD6087">
        <w:rPr>
          <w:lang w:val="es-ES"/>
        </w:rPr>
        <w:t xml:space="preserve"> </w:t>
      </w:r>
      <w:r w:rsidRPr="006435A5">
        <w:t>և</w:t>
      </w:r>
      <w:r w:rsidRPr="00AD6087">
        <w:rPr>
          <w:lang w:val="es-ES"/>
        </w:rPr>
        <w:t xml:space="preserve"> </w:t>
      </w:r>
      <w:r w:rsidRPr="006435A5">
        <w:t>վերաֆինանսավորման</w:t>
      </w:r>
      <w:r w:rsidRPr="00AD6087">
        <w:rPr>
          <w:lang w:val="es-ES"/>
        </w:rPr>
        <w:t xml:space="preserve"> </w:t>
      </w:r>
      <w:r w:rsidRPr="006435A5">
        <w:t>ռիսկի</w:t>
      </w:r>
      <w:r w:rsidRPr="00AD6087">
        <w:rPr>
          <w:lang w:val="es-ES"/>
        </w:rPr>
        <w:t xml:space="preserve"> </w:t>
      </w:r>
      <w:r w:rsidRPr="006435A5">
        <w:t>նվազեց</w:t>
      </w:r>
      <w:r w:rsidRPr="00AD6087">
        <w:rPr>
          <w:lang w:val="es-ES"/>
        </w:rPr>
        <w:softHyphen/>
      </w:r>
      <w:r w:rsidRPr="006435A5">
        <w:t>մանն</w:t>
      </w:r>
      <w:r w:rsidRPr="00AD6087">
        <w:rPr>
          <w:lang w:val="es-ES"/>
        </w:rPr>
        <w:t xml:space="preserve"> </w:t>
      </w:r>
      <w:r w:rsidRPr="006435A5">
        <w:t>ուղղված</w:t>
      </w:r>
      <w:r w:rsidRPr="00AD6087">
        <w:rPr>
          <w:lang w:val="es-ES"/>
        </w:rPr>
        <w:t xml:space="preserve"> </w:t>
      </w:r>
      <w:r w:rsidRPr="006435A5">
        <w:t>գործողությունները՝</w:t>
      </w:r>
      <w:r w:rsidRPr="00AD6087">
        <w:rPr>
          <w:lang w:val="es-ES"/>
        </w:rPr>
        <w:t xml:space="preserve"> </w:t>
      </w:r>
      <w:r w:rsidRPr="006435A5">
        <w:t>կիրառելով</w:t>
      </w:r>
      <w:r w:rsidRPr="00AD6087">
        <w:rPr>
          <w:lang w:val="es-ES"/>
        </w:rPr>
        <w:t xml:space="preserve"> </w:t>
      </w:r>
      <w:r w:rsidRPr="006435A5">
        <w:t>իրացվելիության</w:t>
      </w:r>
      <w:r w:rsidRPr="00AD6087">
        <w:rPr>
          <w:lang w:val="es-ES"/>
        </w:rPr>
        <w:t xml:space="preserve"> </w:t>
      </w:r>
      <w:r w:rsidRPr="006435A5">
        <w:t>կառավարման</w:t>
      </w:r>
      <w:r w:rsidRPr="00AD6087">
        <w:rPr>
          <w:lang w:val="es-ES"/>
        </w:rPr>
        <w:t xml:space="preserve"> </w:t>
      </w:r>
      <w:r w:rsidRPr="006435A5">
        <w:t>այնպիսի</w:t>
      </w:r>
      <w:r w:rsidRPr="00AD6087">
        <w:rPr>
          <w:lang w:val="es-ES"/>
        </w:rPr>
        <w:t xml:space="preserve"> </w:t>
      </w:r>
      <w:r w:rsidRPr="006435A5">
        <w:t>գործիքներ</w:t>
      </w:r>
      <w:r w:rsidRPr="00AD6087">
        <w:rPr>
          <w:lang w:val="es-ES"/>
        </w:rPr>
        <w:t xml:space="preserve">, </w:t>
      </w:r>
      <w:r w:rsidRPr="006435A5">
        <w:t>ինչպիսիք</w:t>
      </w:r>
      <w:r w:rsidRPr="00AD6087">
        <w:rPr>
          <w:lang w:val="es-ES"/>
        </w:rPr>
        <w:t xml:space="preserve"> </w:t>
      </w:r>
      <w:r w:rsidRPr="006435A5">
        <w:t>են</w:t>
      </w:r>
      <w:r w:rsidRPr="00AD6087">
        <w:rPr>
          <w:lang w:val="es-ES"/>
        </w:rPr>
        <w:t xml:space="preserve"> </w:t>
      </w:r>
      <w:r w:rsidRPr="006435A5">
        <w:t>կանխիկի</w:t>
      </w:r>
      <w:r w:rsidRPr="00AD6087">
        <w:rPr>
          <w:lang w:val="es-ES"/>
        </w:rPr>
        <w:t xml:space="preserve"> </w:t>
      </w:r>
      <w:r w:rsidRPr="006435A5">
        <w:t>բուֆերի</w:t>
      </w:r>
      <w:r w:rsidRPr="00AD6087">
        <w:rPr>
          <w:lang w:val="es-ES"/>
        </w:rPr>
        <w:t xml:space="preserve"> </w:t>
      </w:r>
      <w:r w:rsidRPr="006435A5">
        <w:t>ձևավորումը</w:t>
      </w:r>
      <w:r w:rsidRPr="00AD6087">
        <w:rPr>
          <w:lang w:val="es-ES"/>
        </w:rPr>
        <w:t xml:space="preserve">, </w:t>
      </w:r>
      <w:r w:rsidRPr="006435A5">
        <w:t>հետգնումների</w:t>
      </w:r>
      <w:r w:rsidRPr="00AD6087">
        <w:rPr>
          <w:lang w:val="es-ES"/>
        </w:rPr>
        <w:t xml:space="preserve"> </w:t>
      </w:r>
      <w:r w:rsidRPr="006435A5">
        <w:t>ու</w:t>
      </w:r>
      <w:r w:rsidRPr="00AD6087">
        <w:rPr>
          <w:lang w:val="es-ES"/>
        </w:rPr>
        <w:t xml:space="preserve"> </w:t>
      </w:r>
      <w:r w:rsidRPr="006435A5">
        <w:t>փոխանակումների</w:t>
      </w:r>
      <w:r w:rsidRPr="00AD6087">
        <w:rPr>
          <w:lang w:val="es-ES"/>
        </w:rPr>
        <w:t xml:space="preserve"> </w:t>
      </w:r>
      <w:r w:rsidRPr="006435A5">
        <w:t>իրականացումը</w:t>
      </w:r>
      <w:r w:rsidRPr="00AD6087">
        <w:rPr>
          <w:lang w:val="es-ES"/>
        </w:rPr>
        <w:t>:</w:t>
      </w:r>
    </w:p>
    <w:p w14:paraId="28C843D2" w14:textId="77777777" w:rsidR="00AD6087" w:rsidRPr="00AD6087" w:rsidRDefault="00AD6087" w:rsidP="00AD6087">
      <w:pPr>
        <w:pStyle w:val="Subtitle"/>
        <w:spacing w:line="276" w:lineRule="auto"/>
        <w:rPr>
          <w:rFonts w:ascii="GHEA Grapalat" w:hAnsi="GHEA Grapalat"/>
          <w:sz w:val="22"/>
          <w:szCs w:val="22"/>
          <w:lang w:val="es-ES"/>
        </w:rPr>
      </w:pPr>
      <w:r w:rsidRPr="00AD6087">
        <w:rPr>
          <w:rFonts w:ascii="GHEA Grapalat" w:hAnsi="GHEA Grapalat"/>
          <w:color w:val="FF0000"/>
          <w:sz w:val="22"/>
          <w:szCs w:val="22"/>
          <w:lang w:val="es-ES"/>
        </w:rPr>
        <w:br w:type="page"/>
      </w:r>
      <w:bookmarkStart w:id="679" w:name="_Toc77434493"/>
      <w:r w:rsidRPr="006435A5">
        <w:rPr>
          <w:rFonts w:ascii="GHEA Grapalat" w:hAnsi="GHEA Grapalat"/>
          <w:sz w:val="22"/>
          <w:szCs w:val="22"/>
        </w:rPr>
        <w:t>Հավելված</w:t>
      </w:r>
      <w:bookmarkEnd w:id="679"/>
      <w:r w:rsidRPr="00AD6087">
        <w:rPr>
          <w:rFonts w:ascii="GHEA Grapalat" w:hAnsi="GHEA Grapalat"/>
          <w:sz w:val="22"/>
          <w:szCs w:val="22"/>
          <w:lang w:val="es-ES"/>
        </w:rPr>
        <w:t xml:space="preserve"> </w:t>
      </w:r>
    </w:p>
    <w:p w14:paraId="25DEA42F" w14:textId="77777777" w:rsidR="00AD6087" w:rsidRPr="00AD6087" w:rsidRDefault="00AD6087" w:rsidP="00AD6087">
      <w:pPr>
        <w:spacing w:line="276" w:lineRule="auto"/>
        <w:rPr>
          <w:lang w:val="es-ES"/>
        </w:rPr>
      </w:pPr>
      <w:r w:rsidRPr="006435A5">
        <w:t>ՀՀ</w:t>
      </w:r>
      <w:r w:rsidRPr="00AD6087">
        <w:rPr>
          <w:lang w:val="es-ES"/>
        </w:rPr>
        <w:t xml:space="preserve"> </w:t>
      </w:r>
      <w:r w:rsidRPr="006435A5">
        <w:t>կառավարության</w:t>
      </w:r>
      <w:r w:rsidRPr="00AD6087">
        <w:rPr>
          <w:lang w:val="es-ES"/>
        </w:rPr>
        <w:t xml:space="preserve"> </w:t>
      </w:r>
      <w:r w:rsidRPr="006435A5">
        <w:t>պարտքը</w:t>
      </w:r>
      <w:r w:rsidRPr="00AD6087">
        <w:rPr>
          <w:lang w:val="es-ES"/>
        </w:rPr>
        <w:t xml:space="preserve"> </w:t>
      </w:r>
      <w:r w:rsidRPr="006435A5">
        <w:t>բնութագրող</w:t>
      </w:r>
      <w:r w:rsidRPr="00AD6087">
        <w:rPr>
          <w:lang w:val="es-ES"/>
        </w:rPr>
        <w:t xml:space="preserve"> 2019-2020 </w:t>
      </w:r>
      <w:r w:rsidRPr="006435A5">
        <w:t>թվականի</w:t>
      </w:r>
      <w:r w:rsidRPr="00AD6087">
        <w:rPr>
          <w:lang w:val="es-ES"/>
        </w:rPr>
        <w:t xml:space="preserve"> </w:t>
      </w:r>
      <w:r w:rsidRPr="006435A5">
        <w:t>փաստացի</w:t>
      </w:r>
      <w:r w:rsidRPr="00AD6087">
        <w:rPr>
          <w:lang w:val="es-ES"/>
        </w:rPr>
        <w:t xml:space="preserve">, 2021 </w:t>
      </w:r>
      <w:r w:rsidRPr="006435A5">
        <w:t>թվականի</w:t>
      </w:r>
      <w:r w:rsidRPr="00AD6087">
        <w:rPr>
          <w:lang w:val="es-ES"/>
        </w:rPr>
        <w:t xml:space="preserve"> </w:t>
      </w:r>
      <w:r w:rsidRPr="006435A5">
        <w:t>պետական</w:t>
      </w:r>
      <w:r w:rsidRPr="00AD6087">
        <w:rPr>
          <w:lang w:val="es-ES"/>
        </w:rPr>
        <w:t xml:space="preserve"> </w:t>
      </w:r>
      <w:r w:rsidRPr="006435A5">
        <w:t>բյուջեի</w:t>
      </w:r>
      <w:r w:rsidRPr="00AD6087">
        <w:rPr>
          <w:lang w:val="es-ES"/>
        </w:rPr>
        <w:t xml:space="preserve"> </w:t>
      </w:r>
      <w:r w:rsidRPr="006435A5">
        <w:t>ծրագրային</w:t>
      </w:r>
      <w:r w:rsidRPr="00AD6087">
        <w:rPr>
          <w:lang w:val="es-ES"/>
        </w:rPr>
        <w:t xml:space="preserve"> </w:t>
      </w:r>
      <w:r w:rsidRPr="006435A5">
        <w:t>և</w:t>
      </w:r>
      <w:r w:rsidRPr="00AD6087">
        <w:rPr>
          <w:lang w:val="es-ES"/>
        </w:rPr>
        <w:t xml:space="preserve"> 2021-2024 </w:t>
      </w:r>
      <w:r w:rsidRPr="006435A5">
        <w:t>թվականների</w:t>
      </w:r>
      <w:r w:rsidRPr="00AD6087">
        <w:rPr>
          <w:lang w:val="es-ES"/>
        </w:rPr>
        <w:t xml:space="preserve"> </w:t>
      </w:r>
      <w:r w:rsidRPr="006435A5">
        <w:t>կանխատեսումային</w:t>
      </w:r>
      <w:r w:rsidRPr="00AD6087">
        <w:rPr>
          <w:lang w:val="es-ES"/>
        </w:rPr>
        <w:t xml:space="preserve"> </w:t>
      </w:r>
      <w:r w:rsidRPr="006435A5">
        <w:t>ցուցանիշները</w:t>
      </w:r>
    </w:p>
    <w:p w14:paraId="694D7132" w14:textId="77777777" w:rsidR="00AD6087" w:rsidRPr="006435A5" w:rsidRDefault="00AD6087" w:rsidP="00AD6087">
      <w:pPr>
        <w:pStyle w:val="aff1"/>
        <w:spacing w:line="276" w:lineRule="auto"/>
      </w:pPr>
      <w:r w:rsidRPr="006435A5">
        <w:rPr>
          <w:b/>
        </w:rPr>
        <w:t xml:space="preserve">Աղյուսակ 16. </w:t>
      </w:r>
      <w:r w:rsidRPr="006435A5">
        <w:t>ՀՀ կառավարության պարտքի հիմնական ցուցանիշները 2019-2024 թվականներին (մլրդ դրամ)</w:t>
      </w:r>
    </w:p>
    <w:tbl>
      <w:tblPr>
        <w:tblW w:w="10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3"/>
        <w:gridCol w:w="1095"/>
        <w:gridCol w:w="1071"/>
        <w:gridCol w:w="1351"/>
        <w:gridCol w:w="1071"/>
        <w:gridCol w:w="1093"/>
        <w:gridCol w:w="1014"/>
        <w:gridCol w:w="1019"/>
      </w:tblGrid>
      <w:tr w:rsidR="00AD6087" w:rsidRPr="006435A5" w14:paraId="26DC09F8" w14:textId="77777777" w:rsidTr="00A42F0D">
        <w:trPr>
          <w:trHeight w:val="616"/>
          <w:tblHeader/>
          <w:jc w:val="center"/>
        </w:trPr>
        <w:tc>
          <w:tcPr>
            <w:tcW w:w="2783" w:type="dxa"/>
            <w:tcBorders>
              <w:top w:val="thinThickThinSmallGap" w:sz="24" w:space="0" w:color="auto"/>
              <w:left w:val="nil"/>
              <w:bottom w:val="thinThickSmallGap" w:sz="24" w:space="0" w:color="auto"/>
              <w:right w:val="nil"/>
            </w:tcBorders>
            <w:shd w:val="clear" w:color="auto" w:fill="5B9BD5"/>
            <w:vAlign w:val="center"/>
          </w:tcPr>
          <w:p w14:paraId="5AFC6800" w14:textId="77777777" w:rsidR="00AD6087" w:rsidRPr="00AD6087" w:rsidRDefault="00AD6087" w:rsidP="00A42F0D">
            <w:pPr>
              <w:spacing w:line="276" w:lineRule="auto"/>
              <w:ind w:hanging="5"/>
              <w:jc w:val="center"/>
              <w:rPr>
                <w:lang w:val="es-ES"/>
              </w:rPr>
            </w:pPr>
          </w:p>
        </w:tc>
        <w:tc>
          <w:tcPr>
            <w:tcW w:w="1095" w:type="dxa"/>
            <w:tcBorders>
              <w:top w:val="thinThickThinSmallGap" w:sz="24" w:space="0" w:color="auto"/>
              <w:left w:val="nil"/>
              <w:bottom w:val="thinThickSmallGap" w:sz="24" w:space="0" w:color="auto"/>
              <w:right w:val="nil"/>
            </w:tcBorders>
            <w:shd w:val="clear" w:color="auto" w:fill="5B9BD5"/>
            <w:vAlign w:val="center"/>
          </w:tcPr>
          <w:p w14:paraId="202EA3DD" w14:textId="77777777" w:rsidR="00AD6087" w:rsidRPr="006435A5" w:rsidRDefault="00AD6087" w:rsidP="00A42F0D">
            <w:pPr>
              <w:spacing w:line="276" w:lineRule="auto"/>
              <w:ind w:hanging="5"/>
              <w:jc w:val="center"/>
            </w:pPr>
            <w:r w:rsidRPr="006435A5">
              <w:t>2019 փաստ.</w:t>
            </w:r>
          </w:p>
        </w:tc>
        <w:tc>
          <w:tcPr>
            <w:tcW w:w="1071" w:type="dxa"/>
            <w:tcBorders>
              <w:top w:val="thinThickThinSmallGap" w:sz="24" w:space="0" w:color="auto"/>
              <w:left w:val="nil"/>
              <w:bottom w:val="thinThickSmallGap" w:sz="24" w:space="0" w:color="auto"/>
              <w:right w:val="nil"/>
            </w:tcBorders>
            <w:shd w:val="clear" w:color="auto" w:fill="5B9BD5"/>
            <w:vAlign w:val="center"/>
          </w:tcPr>
          <w:p w14:paraId="38512349" w14:textId="77777777" w:rsidR="00AD6087" w:rsidRPr="006435A5" w:rsidRDefault="00AD6087" w:rsidP="00A42F0D">
            <w:pPr>
              <w:spacing w:line="276" w:lineRule="auto"/>
              <w:ind w:hanging="5"/>
              <w:jc w:val="center"/>
            </w:pPr>
            <w:r w:rsidRPr="006435A5">
              <w:t>2020 փաստ.</w:t>
            </w:r>
          </w:p>
        </w:tc>
        <w:tc>
          <w:tcPr>
            <w:tcW w:w="1351" w:type="dxa"/>
            <w:tcBorders>
              <w:top w:val="thinThickThinSmallGap" w:sz="24" w:space="0" w:color="auto"/>
              <w:left w:val="nil"/>
              <w:bottom w:val="thinThickSmallGap" w:sz="24" w:space="0" w:color="auto"/>
              <w:right w:val="double" w:sz="4" w:space="0" w:color="auto"/>
            </w:tcBorders>
            <w:shd w:val="clear" w:color="auto" w:fill="5B9BD5"/>
            <w:vAlign w:val="center"/>
          </w:tcPr>
          <w:p w14:paraId="1BC384BC" w14:textId="77777777" w:rsidR="00AD6087" w:rsidRPr="006435A5" w:rsidRDefault="00AD6087" w:rsidP="00A42F0D">
            <w:pPr>
              <w:spacing w:line="276" w:lineRule="auto"/>
              <w:ind w:hanging="5"/>
              <w:jc w:val="center"/>
            </w:pPr>
            <w:r w:rsidRPr="006435A5">
              <w:t>2021 պետբյուջեի ծրագիր</w:t>
            </w:r>
          </w:p>
        </w:tc>
        <w:tc>
          <w:tcPr>
            <w:tcW w:w="1071" w:type="dxa"/>
            <w:tcBorders>
              <w:top w:val="thinThickThinSmallGap" w:sz="24" w:space="0" w:color="auto"/>
              <w:left w:val="double" w:sz="4" w:space="0" w:color="auto"/>
              <w:bottom w:val="thinThickSmallGap" w:sz="24" w:space="0" w:color="auto"/>
              <w:right w:val="nil"/>
            </w:tcBorders>
            <w:shd w:val="clear" w:color="auto" w:fill="5B9BD5"/>
            <w:vAlign w:val="center"/>
          </w:tcPr>
          <w:p w14:paraId="36C7D246" w14:textId="77777777" w:rsidR="00AD6087" w:rsidRPr="006435A5" w:rsidRDefault="00AD6087" w:rsidP="00A42F0D">
            <w:pPr>
              <w:spacing w:line="276" w:lineRule="auto"/>
              <w:ind w:hanging="5"/>
              <w:jc w:val="center"/>
            </w:pPr>
            <w:r w:rsidRPr="006435A5">
              <w:t>2021 կանխ.</w:t>
            </w:r>
          </w:p>
        </w:tc>
        <w:tc>
          <w:tcPr>
            <w:tcW w:w="1093" w:type="dxa"/>
            <w:tcBorders>
              <w:top w:val="thinThickThinSmallGap" w:sz="24" w:space="0" w:color="auto"/>
              <w:left w:val="nil"/>
              <w:bottom w:val="thinThickSmallGap" w:sz="24" w:space="0" w:color="auto"/>
              <w:right w:val="nil"/>
            </w:tcBorders>
            <w:shd w:val="clear" w:color="auto" w:fill="5B9BD5"/>
            <w:vAlign w:val="center"/>
          </w:tcPr>
          <w:p w14:paraId="2ADAA731" w14:textId="77777777" w:rsidR="00AD6087" w:rsidRPr="006435A5" w:rsidRDefault="00AD6087" w:rsidP="00A42F0D">
            <w:pPr>
              <w:spacing w:line="276" w:lineRule="auto"/>
              <w:ind w:hanging="5"/>
              <w:jc w:val="center"/>
            </w:pPr>
            <w:r w:rsidRPr="006435A5">
              <w:t>2022 կանխ.</w:t>
            </w:r>
          </w:p>
        </w:tc>
        <w:tc>
          <w:tcPr>
            <w:tcW w:w="1014" w:type="dxa"/>
            <w:tcBorders>
              <w:top w:val="thinThickThinSmallGap" w:sz="24" w:space="0" w:color="auto"/>
              <w:left w:val="nil"/>
              <w:bottom w:val="thinThickSmallGap" w:sz="24" w:space="0" w:color="auto"/>
              <w:right w:val="nil"/>
            </w:tcBorders>
            <w:shd w:val="clear" w:color="auto" w:fill="5B9BD5"/>
            <w:vAlign w:val="center"/>
          </w:tcPr>
          <w:p w14:paraId="214CBB86" w14:textId="77777777" w:rsidR="00AD6087" w:rsidRPr="006435A5" w:rsidRDefault="00AD6087" w:rsidP="00A42F0D">
            <w:pPr>
              <w:spacing w:line="276" w:lineRule="auto"/>
              <w:ind w:hanging="5"/>
              <w:jc w:val="center"/>
            </w:pPr>
            <w:r w:rsidRPr="006435A5">
              <w:t>2023 կանխ.</w:t>
            </w:r>
          </w:p>
        </w:tc>
        <w:tc>
          <w:tcPr>
            <w:tcW w:w="1019" w:type="dxa"/>
            <w:tcBorders>
              <w:top w:val="thinThickThinSmallGap" w:sz="24" w:space="0" w:color="auto"/>
              <w:left w:val="nil"/>
              <w:bottom w:val="thinThickSmallGap" w:sz="24" w:space="0" w:color="auto"/>
              <w:right w:val="nil"/>
            </w:tcBorders>
            <w:shd w:val="clear" w:color="auto" w:fill="5B9BD5"/>
            <w:vAlign w:val="center"/>
          </w:tcPr>
          <w:p w14:paraId="17C2CA6A" w14:textId="77777777" w:rsidR="00AD6087" w:rsidRPr="006435A5" w:rsidRDefault="00AD6087" w:rsidP="00A42F0D">
            <w:pPr>
              <w:spacing w:line="276" w:lineRule="auto"/>
              <w:ind w:hanging="5"/>
              <w:jc w:val="center"/>
            </w:pPr>
            <w:r w:rsidRPr="006435A5">
              <w:t>2024 կանխ.</w:t>
            </w:r>
          </w:p>
        </w:tc>
      </w:tr>
      <w:tr w:rsidR="00AD6087" w:rsidRPr="006435A5" w14:paraId="21A7BCD3" w14:textId="77777777" w:rsidTr="00A42F0D">
        <w:trPr>
          <w:trHeight w:val="256"/>
          <w:jc w:val="center"/>
        </w:trPr>
        <w:tc>
          <w:tcPr>
            <w:tcW w:w="2783" w:type="dxa"/>
            <w:tcBorders>
              <w:left w:val="nil"/>
              <w:bottom w:val="single" w:sz="4" w:space="0" w:color="auto"/>
              <w:right w:val="nil"/>
            </w:tcBorders>
            <w:vAlign w:val="center"/>
          </w:tcPr>
          <w:p w14:paraId="6277312E" w14:textId="77777777" w:rsidR="00AD6087" w:rsidRPr="006435A5" w:rsidRDefault="00AD6087" w:rsidP="00AD6087">
            <w:pPr>
              <w:spacing w:line="240" w:lineRule="auto"/>
              <w:ind w:hanging="5"/>
              <w:jc w:val="left"/>
            </w:pPr>
            <w:r w:rsidRPr="006435A5">
              <w:t>Կառավարության պարտք</w:t>
            </w:r>
          </w:p>
        </w:tc>
        <w:tc>
          <w:tcPr>
            <w:tcW w:w="1095" w:type="dxa"/>
            <w:tcBorders>
              <w:left w:val="nil"/>
              <w:bottom w:val="single" w:sz="4" w:space="0" w:color="auto"/>
              <w:right w:val="nil"/>
            </w:tcBorders>
            <w:vAlign w:val="center"/>
          </w:tcPr>
          <w:p w14:paraId="11A6937F" w14:textId="77777777" w:rsidR="00AD6087" w:rsidRPr="006435A5" w:rsidRDefault="00AD6087" w:rsidP="00AD6087">
            <w:pPr>
              <w:spacing w:line="240" w:lineRule="auto"/>
              <w:ind w:hanging="5"/>
              <w:jc w:val="center"/>
            </w:pPr>
            <w:r w:rsidRPr="006435A5">
              <w:t>3,277.3</w:t>
            </w:r>
          </w:p>
        </w:tc>
        <w:tc>
          <w:tcPr>
            <w:tcW w:w="1071" w:type="dxa"/>
            <w:tcBorders>
              <w:left w:val="nil"/>
              <w:bottom w:val="single" w:sz="4" w:space="0" w:color="auto"/>
              <w:right w:val="nil"/>
            </w:tcBorders>
            <w:vAlign w:val="center"/>
          </w:tcPr>
          <w:p w14:paraId="3E752430" w14:textId="77777777" w:rsidR="00AD6087" w:rsidRPr="006435A5" w:rsidRDefault="00AD6087" w:rsidP="00AD6087">
            <w:pPr>
              <w:spacing w:line="240" w:lineRule="auto"/>
              <w:ind w:hanging="5"/>
              <w:jc w:val="center"/>
            </w:pPr>
            <w:r w:rsidRPr="006435A5">
              <w:t>3,923.9</w:t>
            </w:r>
          </w:p>
        </w:tc>
        <w:tc>
          <w:tcPr>
            <w:tcW w:w="1351" w:type="dxa"/>
            <w:tcBorders>
              <w:left w:val="nil"/>
              <w:bottom w:val="single" w:sz="4" w:space="0" w:color="auto"/>
              <w:right w:val="double" w:sz="4" w:space="0" w:color="auto"/>
            </w:tcBorders>
            <w:vAlign w:val="center"/>
          </w:tcPr>
          <w:p w14:paraId="2EFA0FFE" w14:textId="77777777" w:rsidR="00AD6087" w:rsidRPr="006435A5" w:rsidRDefault="00AD6087" w:rsidP="00AD6087">
            <w:pPr>
              <w:spacing w:line="240" w:lineRule="auto"/>
              <w:ind w:hanging="5"/>
              <w:jc w:val="center"/>
            </w:pPr>
            <w:r w:rsidRPr="006435A5">
              <w:t>4,345.7</w:t>
            </w:r>
          </w:p>
        </w:tc>
        <w:tc>
          <w:tcPr>
            <w:tcW w:w="1071" w:type="dxa"/>
            <w:tcBorders>
              <w:left w:val="double" w:sz="4" w:space="0" w:color="auto"/>
              <w:bottom w:val="single" w:sz="4" w:space="0" w:color="auto"/>
              <w:right w:val="nil"/>
            </w:tcBorders>
            <w:vAlign w:val="center"/>
          </w:tcPr>
          <w:p w14:paraId="4A4452D9" w14:textId="77777777" w:rsidR="00AD6087" w:rsidRPr="006435A5" w:rsidRDefault="00AD6087" w:rsidP="00AD6087">
            <w:pPr>
              <w:spacing w:line="240" w:lineRule="auto"/>
              <w:ind w:hanging="5"/>
              <w:jc w:val="center"/>
            </w:pPr>
            <w:r w:rsidRPr="006435A5">
              <w:t>4,286.3</w:t>
            </w:r>
          </w:p>
        </w:tc>
        <w:tc>
          <w:tcPr>
            <w:tcW w:w="1093" w:type="dxa"/>
            <w:tcBorders>
              <w:left w:val="nil"/>
              <w:bottom w:val="single" w:sz="4" w:space="0" w:color="auto"/>
              <w:right w:val="nil"/>
            </w:tcBorders>
            <w:vAlign w:val="center"/>
          </w:tcPr>
          <w:p w14:paraId="3A2B24ED" w14:textId="77777777" w:rsidR="00AD6087" w:rsidRPr="006435A5" w:rsidRDefault="00AD6087" w:rsidP="00AD6087">
            <w:pPr>
              <w:spacing w:line="240" w:lineRule="auto"/>
              <w:ind w:hanging="5"/>
              <w:jc w:val="center"/>
            </w:pPr>
            <w:r w:rsidRPr="006435A5">
              <w:t>4,579.8</w:t>
            </w:r>
          </w:p>
        </w:tc>
        <w:tc>
          <w:tcPr>
            <w:tcW w:w="1014" w:type="dxa"/>
            <w:tcBorders>
              <w:left w:val="nil"/>
              <w:bottom w:val="single" w:sz="4" w:space="0" w:color="auto"/>
              <w:right w:val="nil"/>
            </w:tcBorders>
            <w:vAlign w:val="center"/>
          </w:tcPr>
          <w:p w14:paraId="243466A0" w14:textId="77777777" w:rsidR="00AD6087" w:rsidRPr="006435A5" w:rsidRDefault="00AD6087" w:rsidP="00AD6087">
            <w:pPr>
              <w:spacing w:line="240" w:lineRule="auto"/>
              <w:ind w:hanging="5"/>
              <w:jc w:val="center"/>
            </w:pPr>
            <w:r w:rsidRPr="006435A5">
              <w:t>4,794.8</w:t>
            </w:r>
          </w:p>
        </w:tc>
        <w:tc>
          <w:tcPr>
            <w:tcW w:w="1019" w:type="dxa"/>
            <w:tcBorders>
              <w:left w:val="nil"/>
              <w:bottom w:val="single" w:sz="4" w:space="0" w:color="auto"/>
              <w:right w:val="nil"/>
            </w:tcBorders>
            <w:vAlign w:val="center"/>
          </w:tcPr>
          <w:p w14:paraId="0951C964" w14:textId="77777777" w:rsidR="00AD6087" w:rsidRPr="006435A5" w:rsidRDefault="00AD6087" w:rsidP="00AD6087">
            <w:pPr>
              <w:spacing w:line="240" w:lineRule="auto"/>
              <w:ind w:hanging="5"/>
              <w:jc w:val="center"/>
            </w:pPr>
            <w:r w:rsidRPr="006435A5">
              <w:t>5,018.3</w:t>
            </w:r>
          </w:p>
        </w:tc>
      </w:tr>
      <w:tr w:rsidR="00AD6087" w:rsidRPr="006435A5" w14:paraId="6A946421" w14:textId="77777777" w:rsidTr="00A42F0D">
        <w:trPr>
          <w:trHeight w:val="328"/>
          <w:jc w:val="center"/>
        </w:trPr>
        <w:tc>
          <w:tcPr>
            <w:tcW w:w="2783" w:type="dxa"/>
            <w:tcBorders>
              <w:left w:val="nil"/>
              <w:bottom w:val="single" w:sz="12" w:space="0" w:color="auto"/>
              <w:right w:val="nil"/>
            </w:tcBorders>
            <w:vAlign w:val="center"/>
          </w:tcPr>
          <w:p w14:paraId="3B03A6AC" w14:textId="77777777" w:rsidR="00AD6087" w:rsidRPr="006435A5" w:rsidRDefault="00AD6087" w:rsidP="00AD6087">
            <w:pPr>
              <w:spacing w:line="240" w:lineRule="auto"/>
              <w:ind w:hanging="5"/>
              <w:jc w:val="left"/>
            </w:pPr>
            <w:r w:rsidRPr="006435A5">
              <w:t>% ՀՆԱ-ի նկատմամբ</w:t>
            </w:r>
          </w:p>
        </w:tc>
        <w:tc>
          <w:tcPr>
            <w:tcW w:w="1095" w:type="dxa"/>
            <w:tcBorders>
              <w:left w:val="nil"/>
              <w:bottom w:val="single" w:sz="12" w:space="0" w:color="auto"/>
              <w:right w:val="nil"/>
            </w:tcBorders>
            <w:vAlign w:val="center"/>
          </w:tcPr>
          <w:p w14:paraId="161DDAEB" w14:textId="77777777" w:rsidR="00AD6087" w:rsidRPr="006435A5" w:rsidRDefault="00AD6087" w:rsidP="00AD6087">
            <w:pPr>
              <w:spacing w:line="240" w:lineRule="auto"/>
              <w:ind w:hanging="5"/>
              <w:jc w:val="center"/>
            </w:pPr>
            <w:r w:rsidRPr="006435A5">
              <w:t>50.1</w:t>
            </w:r>
          </w:p>
        </w:tc>
        <w:tc>
          <w:tcPr>
            <w:tcW w:w="1071" w:type="dxa"/>
            <w:tcBorders>
              <w:left w:val="nil"/>
              <w:bottom w:val="single" w:sz="12" w:space="0" w:color="auto"/>
              <w:right w:val="nil"/>
            </w:tcBorders>
            <w:vAlign w:val="center"/>
          </w:tcPr>
          <w:p w14:paraId="12643953" w14:textId="77777777" w:rsidR="00AD6087" w:rsidRPr="006435A5" w:rsidRDefault="00AD6087" w:rsidP="00AD6087">
            <w:pPr>
              <w:spacing w:line="240" w:lineRule="auto"/>
              <w:ind w:hanging="5"/>
              <w:jc w:val="center"/>
            </w:pPr>
            <w:r w:rsidRPr="006435A5">
              <w:t>63.5</w:t>
            </w:r>
          </w:p>
        </w:tc>
        <w:tc>
          <w:tcPr>
            <w:tcW w:w="1351" w:type="dxa"/>
            <w:tcBorders>
              <w:left w:val="nil"/>
              <w:bottom w:val="single" w:sz="12" w:space="0" w:color="auto"/>
              <w:right w:val="double" w:sz="4" w:space="0" w:color="auto"/>
            </w:tcBorders>
            <w:vAlign w:val="center"/>
          </w:tcPr>
          <w:p w14:paraId="29F7D15D" w14:textId="77777777" w:rsidR="00AD6087" w:rsidRPr="006435A5" w:rsidRDefault="00AD6087" w:rsidP="00AD6087">
            <w:pPr>
              <w:spacing w:line="240" w:lineRule="auto"/>
              <w:ind w:hanging="5"/>
              <w:jc w:val="center"/>
            </w:pPr>
            <w:r w:rsidRPr="006435A5">
              <w:t>66.5</w:t>
            </w:r>
          </w:p>
        </w:tc>
        <w:tc>
          <w:tcPr>
            <w:tcW w:w="1071" w:type="dxa"/>
            <w:tcBorders>
              <w:left w:val="double" w:sz="4" w:space="0" w:color="auto"/>
              <w:bottom w:val="single" w:sz="12" w:space="0" w:color="auto"/>
              <w:right w:val="nil"/>
            </w:tcBorders>
            <w:vAlign w:val="center"/>
          </w:tcPr>
          <w:p w14:paraId="232796B5" w14:textId="77777777" w:rsidR="00AD6087" w:rsidRPr="006435A5" w:rsidRDefault="00AD6087" w:rsidP="00AD6087">
            <w:pPr>
              <w:spacing w:line="240" w:lineRule="auto"/>
              <w:ind w:hanging="5"/>
              <w:jc w:val="center"/>
            </w:pPr>
            <w:r w:rsidRPr="006435A5">
              <w:t>62.3</w:t>
            </w:r>
          </w:p>
        </w:tc>
        <w:tc>
          <w:tcPr>
            <w:tcW w:w="1093" w:type="dxa"/>
            <w:tcBorders>
              <w:left w:val="nil"/>
              <w:bottom w:val="single" w:sz="12" w:space="0" w:color="auto"/>
              <w:right w:val="nil"/>
            </w:tcBorders>
            <w:vAlign w:val="center"/>
          </w:tcPr>
          <w:p w14:paraId="40CD60E4" w14:textId="77777777" w:rsidR="00AD6087" w:rsidRPr="006435A5" w:rsidRDefault="00AD6087" w:rsidP="00AD6087">
            <w:pPr>
              <w:spacing w:line="240" w:lineRule="auto"/>
              <w:ind w:hanging="5"/>
              <w:jc w:val="center"/>
            </w:pPr>
            <w:r w:rsidRPr="006435A5">
              <w:t>60.5</w:t>
            </w:r>
          </w:p>
        </w:tc>
        <w:tc>
          <w:tcPr>
            <w:tcW w:w="1014" w:type="dxa"/>
            <w:tcBorders>
              <w:left w:val="nil"/>
              <w:bottom w:val="single" w:sz="12" w:space="0" w:color="auto"/>
              <w:right w:val="nil"/>
            </w:tcBorders>
            <w:vAlign w:val="center"/>
          </w:tcPr>
          <w:p w14:paraId="220ADB14" w14:textId="77777777" w:rsidR="00AD6087" w:rsidRPr="006435A5" w:rsidRDefault="00AD6087" w:rsidP="00AD6087">
            <w:pPr>
              <w:spacing w:line="240" w:lineRule="auto"/>
              <w:ind w:hanging="5"/>
              <w:jc w:val="center"/>
            </w:pPr>
            <w:r w:rsidRPr="006435A5">
              <w:t>58.7</w:t>
            </w:r>
          </w:p>
        </w:tc>
        <w:tc>
          <w:tcPr>
            <w:tcW w:w="1019" w:type="dxa"/>
            <w:tcBorders>
              <w:left w:val="nil"/>
              <w:bottom w:val="single" w:sz="12" w:space="0" w:color="auto"/>
              <w:right w:val="nil"/>
            </w:tcBorders>
            <w:vAlign w:val="center"/>
          </w:tcPr>
          <w:p w14:paraId="15835659" w14:textId="77777777" w:rsidR="00AD6087" w:rsidRPr="006435A5" w:rsidRDefault="00AD6087" w:rsidP="00AD6087">
            <w:pPr>
              <w:spacing w:line="240" w:lineRule="auto"/>
              <w:ind w:hanging="5"/>
              <w:jc w:val="center"/>
            </w:pPr>
            <w:r w:rsidRPr="006435A5">
              <w:t>56.8</w:t>
            </w:r>
          </w:p>
        </w:tc>
      </w:tr>
      <w:tr w:rsidR="00AD6087" w:rsidRPr="006435A5" w14:paraId="4EA5BE44" w14:textId="77777777" w:rsidTr="00A42F0D">
        <w:trPr>
          <w:trHeight w:val="256"/>
          <w:jc w:val="center"/>
        </w:trPr>
        <w:tc>
          <w:tcPr>
            <w:tcW w:w="2783" w:type="dxa"/>
            <w:tcBorders>
              <w:top w:val="single" w:sz="12" w:space="0" w:color="auto"/>
              <w:left w:val="nil"/>
              <w:right w:val="nil"/>
            </w:tcBorders>
            <w:vAlign w:val="center"/>
          </w:tcPr>
          <w:p w14:paraId="59D230FC" w14:textId="77777777" w:rsidR="00AD6087" w:rsidRPr="006435A5" w:rsidRDefault="00AD6087" w:rsidP="00AD6087">
            <w:pPr>
              <w:spacing w:line="240" w:lineRule="auto"/>
              <w:ind w:hanging="5"/>
              <w:jc w:val="left"/>
            </w:pPr>
            <w:r w:rsidRPr="006435A5">
              <w:t>Ըստ ռեզիդենտության</w:t>
            </w:r>
          </w:p>
        </w:tc>
        <w:tc>
          <w:tcPr>
            <w:tcW w:w="1095" w:type="dxa"/>
            <w:tcBorders>
              <w:top w:val="single" w:sz="12" w:space="0" w:color="auto"/>
              <w:left w:val="nil"/>
              <w:right w:val="nil"/>
            </w:tcBorders>
            <w:vAlign w:val="center"/>
          </w:tcPr>
          <w:p w14:paraId="6FAE1C12" w14:textId="77777777" w:rsidR="00AD6087" w:rsidRPr="006435A5" w:rsidRDefault="00AD6087" w:rsidP="00AD6087">
            <w:pPr>
              <w:spacing w:line="240" w:lineRule="auto"/>
              <w:ind w:hanging="5"/>
              <w:jc w:val="center"/>
            </w:pPr>
          </w:p>
        </w:tc>
        <w:tc>
          <w:tcPr>
            <w:tcW w:w="1071" w:type="dxa"/>
            <w:tcBorders>
              <w:top w:val="single" w:sz="12" w:space="0" w:color="auto"/>
              <w:left w:val="nil"/>
              <w:right w:val="nil"/>
            </w:tcBorders>
            <w:vAlign w:val="center"/>
          </w:tcPr>
          <w:p w14:paraId="0577C74B" w14:textId="77777777" w:rsidR="00AD6087" w:rsidRPr="006435A5" w:rsidRDefault="00AD6087" w:rsidP="00AD6087">
            <w:pPr>
              <w:spacing w:line="240" w:lineRule="auto"/>
              <w:ind w:hanging="5"/>
              <w:jc w:val="center"/>
            </w:pPr>
          </w:p>
        </w:tc>
        <w:tc>
          <w:tcPr>
            <w:tcW w:w="1351" w:type="dxa"/>
            <w:tcBorders>
              <w:top w:val="single" w:sz="12" w:space="0" w:color="auto"/>
              <w:left w:val="nil"/>
              <w:right w:val="double" w:sz="4" w:space="0" w:color="auto"/>
            </w:tcBorders>
            <w:vAlign w:val="center"/>
          </w:tcPr>
          <w:p w14:paraId="5F253953" w14:textId="77777777" w:rsidR="00AD6087" w:rsidRPr="006435A5" w:rsidRDefault="00AD6087" w:rsidP="00AD6087">
            <w:pPr>
              <w:spacing w:line="240" w:lineRule="auto"/>
              <w:ind w:hanging="5"/>
              <w:jc w:val="center"/>
            </w:pPr>
          </w:p>
        </w:tc>
        <w:tc>
          <w:tcPr>
            <w:tcW w:w="1071" w:type="dxa"/>
            <w:tcBorders>
              <w:top w:val="single" w:sz="12" w:space="0" w:color="auto"/>
              <w:left w:val="double" w:sz="4" w:space="0" w:color="auto"/>
              <w:right w:val="nil"/>
            </w:tcBorders>
            <w:vAlign w:val="center"/>
          </w:tcPr>
          <w:p w14:paraId="3214FE05" w14:textId="77777777" w:rsidR="00AD6087" w:rsidRPr="006435A5" w:rsidRDefault="00AD6087" w:rsidP="00AD6087">
            <w:pPr>
              <w:spacing w:line="240" w:lineRule="auto"/>
              <w:ind w:hanging="5"/>
              <w:jc w:val="center"/>
            </w:pPr>
          </w:p>
        </w:tc>
        <w:tc>
          <w:tcPr>
            <w:tcW w:w="1093" w:type="dxa"/>
            <w:tcBorders>
              <w:top w:val="single" w:sz="12" w:space="0" w:color="auto"/>
              <w:left w:val="nil"/>
              <w:right w:val="nil"/>
            </w:tcBorders>
            <w:vAlign w:val="center"/>
          </w:tcPr>
          <w:p w14:paraId="6A61C9A0" w14:textId="77777777" w:rsidR="00AD6087" w:rsidRPr="006435A5" w:rsidRDefault="00AD6087" w:rsidP="00AD6087">
            <w:pPr>
              <w:spacing w:line="240" w:lineRule="auto"/>
              <w:ind w:hanging="5"/>
              <w:jc w:val="center"/>
            </w:pPr>
          </w:p>
        </w:tc>
        <w:tc>
          <w:tcPr>
            <w:tcW w:w="1014" w:type="dxa"/>
            <w:tcBorders>
              <w:top w:val="single" w:sz="12" w:space="0" w:color="auto"/>
              <w:left w:val="nil"/>
              <w:right w:val="nil"/>
            </w:tcBorders>
            <w:vAlign w:val="center"/>
          </w:tcPr>
          <w:p w14:paraId="4480E7BA" w14:textId="77777777" w:rsidR="00AD6087" w:rsidRPr="006435A5" w:rsidRDefault="00AD6087" w:rsidP="00AD6087">
            <w:pPr>
              <w:spacing w:line="240" w:lineRule="auto"/>
              <w:ind w:hanging="5"/>
              <w:jc w:val="center"/>
            </w:pPr>
          </w:p>
        </w:tc>
        <w:tc>
          <w:tcPr>
            <w:tcW w:w="1019" w:type="dxa"/>
            <w:tcBorders>
              <w:top w:val="single" w:sz="12" w:space="0" w:color="auto"/>
              <w:left w:val="nil"/>
              <w:right w:val="nil"/>
            </w:tcBorders>
            <w:vAlign w:val="center"/>
          </w:tcPr>
          <w:p w14:paraId="204693ED" w14:textId="77777777" w:rsidR="00AD6087" w:rsidRPr="006435A5" w:rsidRDefault="00AD6087" w:rsidP="00AD6087">
            <w:pPr>
              <w:spacing w:line="240" w:lineRule="auto"/>
              <w:ind w:hanging="5"/>
              <w:jc w:val="center"/>
            </w:pPr>
          </w:p>
        </w:tc>
      </w:tr>
      <w:tr w:rsidR="00AD6087" w:rsidRPr="006435A5" w14:paraId="24E3E78E" w14:textId="77777777" w:rsidTr="00A42F0D">
        <w:trPr>
          <w:trHeight w:val="256"/>
          <w:jc w:val="center"/>
        </w:trPr>
        <w:tc>
          <w:tcPr>
            <w:tcW w:w="2783" w:type="dxa"/>
            <w:tcBorders>
              <w:left w:val="nil"/>
              <w:bottom w:val="single" w:sz="4" w:space="0" w:color="auto"/>
              <w:right w:val="nil"/>
            </w:tcBorders>
            <w:vAlign w:val="center"/>
          </w:tcPr>
          <w:p w14:paraId="4781285F" w14:textId="77777777" w:rsidR="00AD6087" w:rsidRPr="006435A5" w:rsidRDefault="00AD6087" w:rsidP="00AD6087">
            <w:pPr>
              <w:spacing w:line="240" w:lineRule="auto"/>
              <w:ind w:hanging="5"/>
              <w:jc w:val="left"/>
            </w:pPr>
            <w:r w:rsidRPr="006435A5">
              <w:t>կառավարության ներքին պարտք</w:t>
            </w:r>
          </w:p>
        </w:tc>
        <w:tc>
          <w:tcPr>
            <w:tcW w:w="1095" w:type="dxa"/>
            <w:tcBorders>
              <w:left w:val="nil"/>
              <w:bottom w:val="single" w:sz="4" w:space="0" w:color="auto"/>
              <w:right w:val="nil"/>
            </w:tcBorders>
            <w:vAlign w:val="center"/>
          </w:tcPr>
          <w:p w14:paraId="40F68D0B" w14:textId="77777777" w:rsidR="00AD6087" w:rsidRPr="006435A5" w:rsidRDefault="00AD6087" w:rsidP="00AD6087">
            <w:pPr>
              <w:spacing w:line="240" w:lineRule="auto"/>
              <w:ind w:hanging="5"/>
              <w:jc w:val="center"/>
            </w:pPr>
            <w:r w:rsidRPr="006435A5">
              <w:t>737.2</w:t>
            </w:r>
          </w:p>
        </w:tc>
        <w:tc>
          <w:tcPr>
            <w:tcW w:w="1071" w:type="dxa"/>
            <w:tcBorders>
              <w:left w:val="nil"/>
              <w:bottom w:val="single" w:sz="4" w:space="0" w:color="auto"/>
              <w:right w:val="nil"/>
            </w:tcBorders>
            <w:vAlign w:val="center"/>
          </w:tcPr>
          <w:p w14:paraId="4D8DB23E" w14:textId="77777777" w:rsidR="00AD6087" w:rsidRPr="006435A5" w:rsidRDefault="00AD6087" w:rsidP="00AD6087">
            <w:pPr>
              <w:spacing w:line="240" w:lineRule="auto"/>
              <w:ind w:hanging="5"/>
              <w:jc w:val="center"/>
            </w:pPr>
            <w:r w:rsidRPr="006435A5">
              <w:t>1,000.9</w:t>
            </w:r>
          </w:p>
        </w:tc>
        <w:tc>
          <w:tcPr>
            <w:tcW w:w="1351" w:type="dxa"/>
            <w:tcBorders>
              <w:left w:val="nil"/>
              <w:bottom w:val="single" w:sz="4" w:space="0" w:color="auto"/>
              <w:right w:val="double" w:sz="4" w:space="0" w:color="auto"/>
            </w:tcBorders>
            <w:vAlign w:val="center"/>
          </w:tcPr>
          <w:p w14:paraId="4FFBC6CB" w14:textId="77777777" w:rsidR="00AD6087" w:rsidRPr="006435A5" w:rsidRDefault="00AD6087" w:rsidP="00AD6087">
            <w:pPr>
              <w:spacing w:line="240" w:lineRule="auto"/>
              <w:ind w:hanging="5"/>
              <w:jc w:val="center"/>
            </w:pPr>
            <w:r w:rsidRPr="006435A5">
              <w:t>1,221.3</w:t>
            </w:r>
          </w:p>
        </w:tc>
        <w:tc>
          <w:tcPr>
            <w:tcW w:w="1071" w:type="dxa"/>
            <w:tcBorders>
              <w:left w:val="double" w:sz="4" w:space="0" w:color="auto"/>
              <w:bottom w:val="single" w:sz="4" w:space="0" w:color="auto"/>
              <w:right w:val="nil"/>
            </w:tcBorders>
            <w:vAlign w:val="center"/>
          </w:tcPr>
          <w:p w14:paraId="09064486" w14:textId="77777777" w:rsidR="00AD6087" w:rsidRPr="006435A5" w:rsidRDefault="00AD6087" w:rsidP="00AD6087">
            <w:pPr>
              <w:spacing w:line="240" w:lineRule="auto"/>
              <w:ind w:hanging="5"/>
              <w:jc w:val="center"/>
            </w:pPr>
            <w:r w:rsidRPr="006435A5">
              <w:t>1,212.2</w:t>
            </w:r>
          </w:p>
        </w:tc>
        <w:tc>
          <w:tcPr>
            <w:tcW w:w="1093" w:type="dxa"/>
            <w:tcBorders>
              <w:left w:val="nil"/>
              <w:bottom w:val="single" w:sz="4" w:space="0" w:color="auto"/>
              <w:right w:val="nil"/>
            </w:tcBorders>
            <w:vAlign w:val="center"/>
          </w:tcPr>
          <w:p w14:paraId="507F75F0" w14:textId="77777777" w:rsidR="00AD6087" w:rsidRPr="006435A5" w:rsidRDefault="00AD6087" w:rsidP="00AD6087">
            <w:pPr>
              <w:spacing w:line="240" w:lineRule="auto"/>
              <w:ind w:hanging="5"/>
              <w:jc w:val="center"/>
            </w:pPr>
            <w:r w:rsidRPr="006435A5">
              <w:t>1,433.5</w:t>
            </w:r>
          </w:p>
        </w:tc>
        <w:tc>
          <w:tcPr>
            <w:tcW w:w="1014" w:type="dxa"/>
            <w:tcBorders>
              <w:left w:val="nil"/>
              <w:bottom w:val="single" w:sz="4" w:space="0" w:color="auto"/>
              <w:right w:val="nil"/>
            </w:tcBorders>
            <w:vAlign w:val="center"/>
          </w:tcPr>
          <w:p w14:paraId="44DC46F0" w14:textId="77777777" w:rsidR="00AD6087" w:rsidRPr="006435A5" w:rsidRDefault="00AD6087" w:rsidP="00AD6087">
            <w:pPr>
              <w:spacing w:line="240" w:lineRule="auto"/>
              <w:ind w:hanging="5"/>
              <w:jc w:val="center"/>
            </w:pPr>
            <w:r w:rsidRPr="006435A5">
              <w:t>1,673.0</w:t>
            </w:r>
          </w:p>
        </w:tc>
        <w:tc>
          <w:tcPr>
            <w:tcW w:w="1019" w:type="dxa"/>
            <w:tcBorders>
              <w:left w:val="nil"/>
              <w:bottom w:val="single" w:sz="4" w:space="0" w:color="auto"/>
              <w:right w:val="nil"/>
            </w:tcBorders>
            <w:vAlign w:val="center"/>
          </w:tcPr>
          <w:p w14:paraId="519A3B5B" w14:textId="77777777" w:rsidR="00AD6087" w:rsidRPr="006435A5" w:rsidRDefault="00AD6087" w:rsidP="00AD6087">
            <w:pPr>
              <w:spacing w:line="240" w:lineRule="auto"/>
              <w:ind w:hanging="5"/>
              <w:jc w:val="center"/>
            </w:pPr>
            <w:r w:rsidRPr="006435A5">
              <w:t>1,932.4</w:t>
            </w:r>
          </w:p>
        </w:tc>
      </w:tr>
      <w:tr w:rsidR="00AD6087" w:rsidRPr="006435A5" w14:paraId="2B0EC07C" w14:textId="77777777" w:rsidTr="00A42F0D">
        <w:trPr>
          <w:trHeight w:val="511"/>
          <w:jc w:val="center"/>
        </w:trPr>
        <w:tc>
          <w:tcPr>
            <w:tcW w:w="2783" w:type="dxa"/>
            <w:tcBorders>
              <w:left w:val="nil"/>
              <w:bottom w:val="single" w:sz="12" w:space="0" w:color="auto"/>
              <w:right w:val="nil"/>
            </w:tcBorders>
            <w:vAlign w:val="center"/>
          </w:tcPr>
          <w:p w14:paraId="5636EFBA" w14:textId="77777777" w:rsidR="00AD6087" w:rsidRPr="006435A5" w:rsidRDefault="00AD6087" w:rsidP="00AD6087">
            <w:pPr>
              <w:spacing w:line="240" w:lineRule="auto"/>
              <w:ind w:hanging="5"/>
              <w:jc w:val="left"/>
            </w:pPr>
            <w:r w:rsidRPr="006435A5">
              <w:t>կառավարության արտաքին պարտք</w:t>
            </w:r>
          </w:p>
        </w:tc>
        <w:tc>
          <w:tcPr>
            <w:tcW w:w="1095" w:type="dxa"/>
            <w:tcBorders>
              <w:left w:val="nil"/>
              <w:bottom w:val="single" w:sz="12" w:space="0" w:color="auto"/>
              <w:right w:val="nil"/>
            </w:tcBorders>
            <w:vAlign w:val="center"/>
          </w:tcPr>
          <w:p w14:paraId="149794CE" w14:textId="77777777" w:rsidR="00AD6087" w:rsidRPr="006435A5" w:rsidRDefault="00AD6087" w:rsidP="00AD6087">
            <w:pPr>
              <w:spacing w:line="240" w:lineRule="auto"/>
              <w:ind w:hanging="5"/>
              <w:jc w:val="center"/>
            </w:pPr>
            <w:r w:rsidRPr="006435A5">
              <w:t>2,540.1</w:t>
            </w:r>
          </w:p>
        </w:tc>
        <w:tc>
          <w:tcPr>
            <w:tcW w:w="1071" w:type="dxa"/>
            <w:tcBorders>
              <w:left w:val="nil"/>
              <w:bottom w:val="single" w:sz="12" w:space="0" w:color="auto"/>
              <w:right w:val="nil"/>
            </w:tcBorders>
            <w:vAlign w:val="center"/>
          </w:tcPr>
          <w:p w14:paraId="16345B56" w14:textId="77777777" w:rsidR="00AD6087" w:rsidRPr="006435A5" w:rsidRDefault="00AD6087" w:rsidP="00AD6087">
            <w:pPr>
              <w:spacing w:line="240" w:lineRule="auto"/>
              <w:ind w:hanging="5"/>
              <w:jc w:val="center"/>
            </w:pPr>
            <w:r w:rsidRPr="006435A5">
              <w:t>2,923.0</w:t>
            </w:r>
          </w:p>
        </w:tc>
        <w:tc>
          <w:tcPr>
            <w:tcW w:w="1351" w:type="dxa"/>
            <w:tcBorders>
              <w:left w:val="nil"/>
              <w:bottom w:val="single" w:sz="12" w:space="0" w:color="auto"/>
              <w:right w:val="double" w:sz="4" w:space="0" w:color="auto"/>
            </w:tcBorders>
            <w:vAlign w:val="center"/>
          </w:tcPr>
          <w:p w14:paraId="71A0A411" w14:textId="77777777" w:rsidR="00AD6087" w:rsidRPr="006435A5" w:rsidRDefault="00AD6087" w:rsidP="00AD6087">
            <w:pPr>
              <w:spacing w:line="240" w:lineRule="auto"/>
              <w:ind w:hanging="5"/>
              <w:jc w:val="center"/>
            </w:pPr>
            <w:r w:rsidRPr="006435A5">
              <w:t>3,124.3</w:t>
            </w:r>
          </w:p>
        </w:tc>
        <w:tc>
          <w:tcPr>
            <w:tcW w:w="1071" w:type="dxa"/>
            <w:tcBorders>
              <w:left w:val="double" w:sz="4" w:space="0" w:color="auto"/>
              <w:bottom w:val="single" w:sz="12" w:space="0" w:color="auto"/>
              <w:right w:val="nil"/>
            </w:tcBorders>
            <w:vAlign w:val="center"/>
          </w:tcPr>
          <w:p w14:paraId="3AC3185D" w14:textId="77777777" w:rsidR="00AD6087" w:rsidRPr="006435A5" w:rsidRDefault="00AD6087" w:rsidP="00AD6087">
            <w:pPr>
              <w:spacing w:line="240" w:lineRule="auto"/>
              <w:ind w:hanging="5"/>
              <w:jc w:val="center"/>
            </w:pPr>
            <w:r w:rsidRPr="006435A5">
              <w:t>3,074.1</w:t>
            </w:r>
          </w:p>
        </w:tc>
        <w:tc>
          <w:tcPr>
            <w:tcW w:w="1093" w:type="dxa"/>
            <w:tcBorders>
              <w:left w:val="nil"/>
              <w:bottom w:val="single" w:sz="12" w:space="0" w:color="auto"/>
              <w:right w:val="nil"/>
            </w:tcBorders>
            <w:vAlign w:val="center"/>
          </w:tcPr>
          <w:p w14:paraId="698A68BF" w14:textId="77777777" w:rsidR="00AD6087" w:rsidRPr="006435A5" w:rsidRDefault="00AD6087" w:rsidP="00AD6087">
            <w:pPr>
              <w:spacing w:line="240" w:lineRule="auto"/>
              <w:ind w:hanging="5"/>
              <w:jc w:val="center"/>
            </w:pPr>
            <w:r w:rsidRPr="006435A5">
              <w:t>3,146.3</w:t>
            </w:r>
          </w:p>
        </w:tc>
        <w:tc>
          <w:tcPr>
            <w:tcW w:w="1014" w:type="dxa"/>
            <w:tcBorders>
              <w:left w:val="nil"/>
              <w:bottom w:val="single" w:sz="12" w:space="0" w:color="auto"/>
              <w:right w:val="nil"/>
            </w:tcBorders>
            <w:vAlign w:val="center"/>
          </w:tcPr>
          <w:p w14:paraId="7DE153BB" w14:textId="77777777" w:rsidR="00AD6087" w:rsidRPr="006435A5" w:rsidRDefault="00AD6087" w:rsidP="00AD6087">
            <w:pPr>
              <w:spacing w:line="240" w:lineRule="auto"/>
              <w:ind w:hanging="5"/>
              <w:jc w:val="center"/>
            </w:pPr>
            <w:r w:rsidRPr="006435A5">
              <w:t>3,121.8</w:t>
            </w:r>
          </w:p>
        </w:tc>
        <w:tc>
          <w:tcPr>
            <w:tcW w:w="1019" w:type="dxa"/>
            <w:tcBorders>
              <w:left w:val="nil"/>
              <w:bottom w:val="single" w:sz="12" w:space="0" w:color="auto"/>
              <w:right w:val="nil"/>
            </w:tcBorders>
            <w:vAlign w:val="center"/>
          </w:tcPr>
          <w:p w14:paraId="48561FCC" w14:textId="77777777" w:rsidR="00AD6087" w:rsidRPr="006435A5" w:rsidRDefault="00AD6087" w:rsidP="00AD6087">
            <w:pPr>
              <w:spacing w:line="240" w:lineRule="auto"/>
              <w:ind w:hanging="5"/>
              <w:jc w:val="center"/>
            </w:pPr>
            <w:r w:rsidRPr="006435A5">
              <w:t>3,085.8</w:t>
            </w:r>
          </w:p>
        </w:tc>
      </w:tr>
      <w:tr w:rsidR="00AD6087" w:rsidRPr="006435A5" w14:paraId="03D8B0E2" w14:textId="77777777" w:rsidTr="00A42F0D">
        <w:trPr>
          <w:trHeight w:val="249"/>
          <w:jc w:val="center"/>
        </w:trPr>
        <w:tc>
          <w:tcPr>
            <w:tcW w:w="2783" w:type="dxa"/>
            <w:tcBorders>
              <w:top w:val="single" w:sz="12" w:space="0" w:color="auto"/>
              <w:left w:val="nil"/>
              <w:right w:val="nil"/>
            </w:tcBorders>
            <w:vAlign w:val="center"/>
          </w:tcPr>
          <w:p w14:paraId="6FFB13AF" w14:textId="77777777" w:rsidR="00AD6087" w:rsidRPr="006435A5" w:rsidRDefault="00AD6087" w:rsidP="00AD6087">
            <w:pPr>
              <w:spacing w:line="240" w:lineRule="auto"/>
              <w:ind w:hanging="5"/>
              <w:jc w:val="left"/>
            </w:pPr>
            <w:r w:rsidRPr="006435A5">
              <w:t>Ըստ գործիքակազմի</w:t>
            </w:r>
          </w:p>
        </w:tc>
        <w:tc>
          <w:tcPr>
            <w:tcW w:w="1095" w:type="dxa"/>
            <w:tcBorders>
              <w:top w:val="single" w:sz="12" w:space="0" w:color="auto"/>
              <w:left w:val="nil"/>
              <w:right w:val="nil"/>
            </w:tcBorders>
            <w:vAlign w:val="center"/>
          </w:tcPr>
          <w:p w14:paraId="0E2F1B16" w14:textId="77777777" w:rsidR="00AD6087" w:rsidRPr="006435A5" w:rsidRDefault="00AD6087" w:rsidP="00AD6087">
            <w:pPr>
              <w:spacing w:line="240" w:lineRule="auto"/>
              <w:ind w:hanging="5"/>
              <w:jc w:val="center"/>
            </w:pPr>
          </w:p>
        </w:tc>
        <w:tc>
          <w:tcPr>
            <w:tcW w:w="1071" w:type="dxa"/>
            <w:tcBorders>
              <w:top w:val="single" w:sz="12" w:space="0" w:color="auto"/>
              <w:left w:val="nil"/>
              <w:right w:val="nil"/>
            </w:tcBorders>
            <w:vAlign w:val="center"/>
          </w:tcPr>
          <w:p w14:paraId="402ECDDE" w14:textId="77777777" w:rsidR="00AD6087" w:rsidRPr="006435A5" w:rsidRDefault="00AD6087" w:rsidP="00AD6087">
            <w:pPr>
              <w:spacing w:line="240" w:lineRule="auto"/>
              <w:ind w:hanging="5"/>
              <w:jc w:val="center"/>
            </w:pPr>
          </w:p>
        </w:tc>
        <w:tc>
          <w:tcPr>
            <w:tcW w:w="1351" w:type="dxa"/>
            <w:tcBorders>
              <w:top w:val="single" w:sz="12" w:space="0" w:color="auto"/>
              <w:left w:val="nil"/>
              <w:right w:val="double" w:sz="4" w:space="0" w:color="auto"/>
            </w:tcBorders>
            <w:vAlign w:val="center"/>
          </w:tcPr>
          <w:p w14:paraId="5E9CA44C" w14:textId="77777777" w:rsidR="00AD6087" w:rsidRPr="006435A5" w:rsidRDefault="00AD6087" w:rsidP="00AD6087">
            <w:pPr>
              <w:spacing w:line="240" w:lineRule="auto"/>
              <w:ind w:hanging="5"/>
              <w:jc w:val="center"/>
            </w:pPr>
          </w:p>
        </w:tc>
        <w:tc>
          <w:tcPr>
            <w:tcW w:w="1071" w:type="dxa"/>
            <w:tcBorders>
              <w:top w:val="single" w:sz="12" w:space="0" w:color="auto"/>
              <w:left w:val="double" w:sz="4" w:space="0" w:color="auto"/>
              <w:right w:val="nil"/>
            </w:tcBorders>
            <w:vAlign w:val="center"/>
          </w:tcPr>
          <w:p w14:paraId="3A57F1F8" w14:textId="77777777" w:rsidR="00AD6087" w:rsidRPr="006435A5" w:rsidRDefault="00AD6087" w:rsidP="00AD6087">
            <w:pPr>
              <w:spacing w:line="240" w:lineRule="auto"/>
              <w:ind w:hanging="5"/>
              <w:jc w:val="center"/>
            </w:pPr>
          </w:p>
        </w:tc>
        <w:tc>
          <w:tcPr>
            <w:tcW w:w="1093" w:type="dxa"/>
            <w:tcBorders>
              <w:top w:val="single" w:sz="12" w:space="0" w:color="auto"/>
              <w:left w:val="nil"/>
              <w:right w:val="nil"/>
            </w:tcBorders>
            <w:vAlign w:val="center"/>
          </w:tcPr>
          <w:p w14:paraId="5AEA8252" w14:textId="77777777" w:rsidR="00AD6087" w:rsidRPr="006435A5" w:rsidRDefault="00AD6087" w:rsidP="00AD6087">
            <w:pPr>
              <w:spacing w:line="240" w:lineRule="auto"/>
              <w:ind w:hanging="5"/>
              <w:jc w:val="center"/>
            </w:pPr>
          </w:p>
        </w:tc>
        <w:tc>
          <w:tcPr>
            <w:tcW w:w="1014" w:type="dxa"/>
            <w:tcBorders>
              <w:top w:val="single" w:sz="12" w:space="0" w:color="auto"/>
              <w:left w:val="nil"/>
              <w:right w:val="nil"/>
            </w:tcBorders>
            <w:vAlign w:val="center"/>
          </w:tcPr>
          <w:p w14:paraId="71966BB6" w14:textId="77777777" w:rsidR="00AD6087" w:rsidRPr="006435A5" w:rsidRDefault="00AD6087" w:rsidP="00AD6087">
            <w:pPr>
              <w:spacing w:line="240" w:lineRule="auto"/>
              <w:ind w:hanging="5"/>
              <w:jc w:val="center"/>
            </w:pPr>
          </w:p>
        </w:tc>
        <w:tc>
          <w:tcPr>
            <w:tcW w:w="1019" w:type="dxa"/>
            <w:tcBorders>
              <w:top w:val="single" w:sz="12" w:space="0" w:color="auto"/>
              <w:left w:val="nil"/>
              <w:right w:val="nil"/>
            </w:tcBorders>
            <w:vAlign w:val="center"/>
          </w:tcPr>
          <w:p w14:paraId="32AF22D9" w14:textId="77777777" w:rsidR="00AD6087" w:rsidRPr="006435A5" w:rsidRDefault="00AD6087" w:rsidP="00AD6087">
            <w:pPr>
              <w:spacing w:line="240" w:lineRule="auto"/>
              <w:ind w:hanging="5"/>
              <w:jc w:val="center"/>
            </w:pPr>
          </w:p>
        </w:tc>
      </w:tr>
      <w:tr w:rsidR="00AD6087" w:rsidRPr="006435A5" w14:paraId="67AF8F4A" w14:textId="77777777" w:rsidTr="00A42F0D">
        <w:trPr>
          <w:trHeight w:val="511"/>
          <w:jc w:val="center"/>
        </w:trPr>
        <w:tc>
          <w:tcPr>
            <w:tcW w:w="2783" w:type="dxa"/>
            <w:tcBorders>
              <w:left w:val="nil"/>
              <w:right w:val="nil"/>
            </w:tcBorders>
            <w:vAlign w:val="center"/>
          </w:tcPr>
          <w:p w14:paraId="2B067D9C" w14:textId="77777777" w:rsidR="00AD6087" w:rsidRPr="006435A5" w:rsidRDefault="00AD6087" w:rsidP="00AD6087">
            <w:pPr>
              <w:spacing w:line="240" w:lineRule="auto"/>
              <w:ind w:hanging="5"/>
              <w:jc w:val="left"/>
            </w:pPr>
            <w:r w:rsidRPr="006435A5">
              <w:t>արտաքին վարկեր և փոխառություններ</w:t>
            </w:r>
          </w:p>
        </w:tc>
        <w:tc>
          <w:tcPr>
            <w:tcW w:w="1095" w:type="dxa"/>
            <w:tcBorders>
              <w:left w:val="nil"/>
              <w:right w:val="nil"/>
            </w:tcBorders>
            <w:vAlign w:val="center"/>
          </w:tcPr>
          <w:p w14:paraId="330D834B" w14:textId="77777777" w:rsidR="00AD6087" w:rsidRPr="006435A5" w:rsidRDefault="00AD6087" w:rsidP="00AD6087">
            <w:pPr>
              <w:spacing w:line="240" w:lineRule="auto"/>
              <w:ind w:hanging="5"/>
              <w:jc w:val="center"/>
            </w:pPr>
            <w:r w:rsidRPr="006435A5">
              <w:t>2,065.9</w:t>
            </w:r>
          </w:p>
        </w:tc>
        <w:tc>
          <w:tcPr>
            <w:tcW w:w="1071" w:type="dxa"/>
            <w:tcBorders>
              <w:left w:val="nil"/>
              <w:right w:val="nil"/>
            </w:tcBorders>
            <w:vAlign w:val="center"/>
          </w:tcPr>
          <w:p w14:paraId="2872A1E0" w14:textId="77777777" w:rsidR="00AD6087" w:rsidRPr="006435A5" w:rsidRDefault="00AD6087" w:rsidP="00AD6087">
            <w:pPr>
              <w:spacing w:line="240" w:lineRule="auto"/>
              <w:ind w:hanging="5"/>
              <w:jc w:val="center"/>
            </w:pPr>
            <w:r w:rsidRPr="006435A5">
              <w:t>2,438.0</w:t>
            </w:r>
          </w:p>
        </w:tc>
        <w:tc>
          <w:tcPr>
            <w:tcW w:w="1351" w:type="dxa"/>
            <w:tcBorders>
              <w:left w:val="nil"/>
              <w:right w:val="double" w:sz="4" w:space="0" w:color="auto"/>
            </w:tcBorders>
            <w:vAlign w:val="center"/>
          </w:tcPr>
          <w:p w14:paraId="50B8C8BE" w14:textId="77777777" w:rsidR="00AD6087" w:rsidRPr="006435A5" w:rsidRDefault="00AD6087" w:rsidP="00AD6087">
            <w:pPr>
              <w:spacing w:line="240" w:lineRule="auto"/>
              <w:ind w:hanging="5"/>
              <w:jc w:val="center"/>
            </w:pPr>
            <w:r w:rsidRPr="006435A5">
              <w:t>2,299.1</w:t>
            </w:r>
          </w:p>
        </w:tc>
        <w:tc>
          <w:tcPr>
            <w:tcW w:w="1071" w:type="dxa"/>
            <w:tcBorders>
              <w:left w:val="double" w:sz="4" w:space="0" w:color="auto"/>
              <w:right w:val="nil"/>
            </w:tcBorders>
            <w:vAlign w:val="center"/>
          </w:tcPr>
          <w:p w14:paraId="5BFA0DF8" w14:textId="77777777" w:rsidR="00AD6087" w:rsidRPr="006435A5" w:rsidRDefault="00AD6087" w:rsidP="00AD6087">
            <w:pPr>
              <w:spacing w:line="240" w:lineRule="auto"/>
              <w:ind w:hanging="5"/>
              <w:jc w:val="center"/>
            </w:pPr>
            <w:r w:rsidRPr="006435A5">
              <w:t>2,250.4</w:t>
            </w:r>
          </w:p>
        </w:tc>
        <w:tc>
          <w:tcPr>
            <w:tcW w:w="1093" w:type="dxa"/>
            <w:tcBorders>
              <w:left w:val="nil"/>
              <w:right w:val="nil"/>
            </w:tcBorders>
            <w:vAlign w:val="center"/>
          </w:tcPr>
          <w:p w14:paraId="22F6C0FB" w14:textId="77777777" w:rsidR="00AD6087" w:rsidRPr="006435A5" w:rsidRDefault="00AD6087" w:rsidP="00AD6087">
            <w:pPr>
              <w:spacing w:line="240" w:lineRule="auto"/>
              <w:ind w:hanging="5"/>
              <w:jc w:val="center"/>
            </w:pPr>
            <w:r w:rsidRPr="006435A5">
              <w:t>2,290.3</w:t>
            </w:r>
          </w:p>
        </w:tc>
        <w:tc>
          <w:tcPr>
            <w:tcW w:w="1014" w:type="dxa"/>
            <w:tcBorders>
              <w:left w:val="nil"/>
              <w:right w:val="nil"/>
            </w:tcBorders>
            <w:vAlign w:val="center"/>
          </w:tcPr>
          <w:p w14:paraId="6F562783" w14:textId="77777777" w:rsidR="00AD6087" w:rsidRPr="006435A5" w:rsidRDefault="00AD6087" w:rsidP="00AD6087">
            <w:pPr>
              <w:spacing w:line="240" w:lineRule="auto"/>
              <w:ind w:hanging="5"/>
              <w:jc w:val="center"/>
            </w:pPr>
            <w:r w:rsidRPr="006435A5">
              <w:t>2,260.9</w:t>
            </w:r>
          </w:p>
        </w:tc>
        <w:tc>
          <w:tcPr>
            <w:tcW w:w="1019" w:type="dxa"/>
            <w:tcBorders>
              <w:left w:val="nil"/>
              <w:right w:val="nil"/>
            </w:tcBorders>
            <w:vAlign w:val="center"/>
          </w:tcPr>
          <w:p w14:paraId="5736AD9F" w14:textId="77777777" w:rsidR="00AD6087" w:rsidRPr="006435A5" w:rsidRDefault="00AD6087" w:rsidP="00AD6087">
            <w:pPr>
              <w:spacing w:line="240" w:lineRule="auto"/>
              <w:ind w:hanging="5"/>
              <w:jc w:val="center"/>
            </w:pPr>
            <w:r w:rsidRPr="006435A5">
              <w:t>2,220.2</w:t>
            </w:r>
          </w:p>
        </w:tc>
      </w:tr>
      <w:tr w:rsidR="00AD6087" w:rsidRPr="006435A5" w14:paraId="530DC580" w14:textId="77777777" w:rsidTr="00A42F0D">
        <w:trPr>
          <w:trHeight w:val="511"/>
          <w:jc w:val="center"/>
        </w:trPr>
        <w:tc>
          <w:tcPr>
            <w:tcW w:w="2783" w:type="dxa"/>
            <w:tcBorders>
              <w:left w:val="nil"/>
              <w:right w:val="nil"/>
            </w:tcBorders>
            <w:vAlign w:val="center"/>
          </w:tcPr>
          <w:p w14:paraId="5519049D" w14:textId="77777777" w:rsidR="00AD6087" w:rsidRPr="006435A5" w:rsidRDefault="00AD6087" w:rsidP="00AD6087">
            <w:pPr>
              <w:spacing w:line="240" w:lineRule="auto"/>
              <w:ind w:hanging="5"/>
              <w:jc w:val="left"/>
            </w:pPr>
            <w:r w:rsidRPr="006435A5">
              <w:t>պետական գանձապետական պարտատոմսեր</w:t>
            </w:r>
          </w:p>
        </w:tc>
        <w:tc>
          <w:tcPr>
            <w:tcW w:w="1095" w:type="dxa"/>
            <w:tcBorders>
              <w:left w:val="nil"/>
              <w:right w:val="nil"/>
            </w:tcBorders>
            <w:vAlign w:val="center"/>
          </w:tcPr>
          <w:p w14:paraId="3BD2E91B" w14:textId="77777777" w:rsidR="00AD6087" w:rsidRPr="006435A5" w:rsidRDefault="00AD6087" w:rsidP="00AD6087">
            <w:pPr>
              <w:spacing w:line="240" w:lineRule="auto"/>
              <w:ind w:hanging="5"/>
              <w:jc w:val="center"/>
            </w:pPr>
            <w:r w:rsidRPr="006435A5">
              <w:t>681.0</w:t>
            </w:r>
          </w:p>
        </w:tc>
        <w:tc>
          <w:tcPr>
            <w:tcW w:w="1071" w:type="dxa"/>
            <w:tcBorders>
              <w:left w:val="nil"/>
              <w:right w:val="nil"/>
            </w:tcBorders>
            <w:vAlign w:val="center"/>
          </w:tcPr>
          <w:p w14:paraId="25458421" w14:textId="77777777" w:rsidR="00AD6087" w:rsidRPr="006435A5" w:rsidRDefault="00AD6087" w:rsidP="00AD6087">
            <w:pPr>
              <w:spacing w:line="240" w:lineRule="auto"/>
              <w:ind w:hanging="5"/>
              <w:jc w:val="center"/>
            </w:pPr>
            <w:r w:rsidRPr="006435A5">
              <w:t>958.8</w:t>
            </w:r>
          </w:p>
        </w:tc>
        <w:tc>
          <w:tcPr>
            <w:tcW w:w="1351" w:type="dxa"/>
            <w:tcBorders>
              <w:left w:val="nil"/>
              <w:right w:val="double" w:sz="4" w:space="0" w:color="auto"/>
            </w:tcBorders>
            <w:vAlign w:val="center"/>
          </w:tcPr>
          <w:p w14:paraId="76EABF3A" w14:textId="77777777" w:rsidR="00AD6087" w:rsidRPr="006435A5" w:rsidRDefault="00AD6087" w:rsidP="00AD6087">
            <w:pPr>
              <w:spacing w:line="240" w:lineRule="auto"/>
              <w:ind w:hanging="5"/>
              <w:jc w:val="center"/>
            </w:pPr>
            <w:r w:rsidRPr="006435A5">
              <w:t>1,178.1</w:t>
            </w:r>
          </w:p>
        </w:tc>
        <w:tc>
          <w:tcPr>
            <w:tcW w:w="1071" w:type="dxa"/>
            <w:tcBorders>
              <w:left w:val="double" w:sz="4" w:space="0" w:color="auto"/>
              <w:right w:val="nil"/>
            </w:tcBorders>
            <w:vAlign w:val="center"/>
          </w:tcPr>
          <w:p w14:paraId="26B6FAB9" w14:textId="77777777" w:rsidR="00AD6087" w:rsidRPr="006435A5" w:rsidRDefault="00AD6087" w:rsidP="00AD6087">
            <w:pPr>
              <w:spacing w:line="240" w:lineRule="auto"/>
              <w:ind w:hanging="5"/>
              <w:jc w:val="center"/>
            </w:pPr>
            <w:r w:rsidRPr="006435A5">
              <w:t>1,162.3</w:t>
            </w:r>
          </w:p>
        </w:tc>
        <w:tc>
          <w:tcPr>
            <w:tcW w:w="1093" w:type="dxa"/>
            <w:tcBorders>
              <w:left w:val="nil"/>
              <w:right w:val="nil"/>
            </w:tcBorders>
            <w:vAlign w:val="center"/>
          </w:tcPr>
          <w:p w14:paraId="54BD5F5A" w14:textId="77777777" w:rsidR="00AD6087" w:rsidRPr="006435A5" w:rsidRDefault="00AD6087" w:rsidP="00AD6087">
            <w:pPr>
              <w:spacing w:line="240" w:lineRule="auto"/>
              <w:ind w:hanging="5"/>
              <w:jc w:val="center"/>
            </w:pPr>
            <w:r w:rsidRPr="006435A5">
              <w:t>1,382.3</w:t>
            </w:r>
          </w:p>
        </w:tc>
        <w:tc>
          <w:tcPr>
            <w:tcW w:w="1014" w:type="dxa"/>
            <w:tcBorders>
              <w:left w:val="nil"/>
              <w:right w:val="nil"/>
            </w:tcBorders>
            <w:vAlign w:val="center"/>
          </w:tcPr>
          <w:p w14:paraId="7FFFD8DB" w14:textId="77777777" w:rsidR="00AD6087" w:rsidRPr="006435A5" w:rsidRDefault="00AD6087" w:rsidP="00AD6087">
            <w:pPr>
              <w:spacing w:line="240" w:lineRule="auto"/>
              <w:ind w:hanging="5"/>
              <w:jc w:val="center"/>
            </w:pPr>
            <w:r w:rsidRPr="006435A5">
              <w:t>1,622.3</w:t>
            </w:r>
          </w:p>
        </w:tc>
        <w:tc>
          <w:tcPr>
            <w:tcW w:w="1019" w:type="dxa"/>
            <w:tcBorders>
              <w:left w:val="nil"/>
              <w:right w:val="nil"/>
            </w:tcBorders>
            <w:vAlign w:val="center"/>
          </w:tcPr>
          <w:p w14:paraId="152F4F9C" w14:textId="77777777" w:rsidR="00AD6087" w:rsidRPr="006435A5" w:rsidRDefault="00AD6087" w:rsidP="00AD6087">
            <w:pPr>
              <w:spacing w:line="240" w:lineRule="auto"/>
              <w:ind w:hanging="5"/>
              <w:jc w:val="center"/>
            </w:pPr>
            <w:r w:rsidRPr="006435A5">
              <w:t>1,882.3</w:t>
            </w:r>
          </w:p>
        </w:tc>
      </w:tr>
      <w:tr w:rsidR="00AD6087" w:rsidRPr="006435A5" w14:paraId="36558FC6" w14:textId="77777777" w:rsidTr="00A42F0D">
        <w:trPr>
          <w:trHeight w:val="511"/>
          <w:jc w:val="center"/>
        </w:trPr>
        <w:tc>
          <w:tcPr>
            <w:tcW w:w="2783" w:type="dxa"/>
            <w:tcBorders>
              <w:left w:val="nil"/>
              <w:right w:val="nil"/>
            </w:tcBorders>
            <w:vAlign w:val="center"/>
          </w:tcPr>
          <w:p w14:paraId="525E9152" w14:textId="77777777" w:rsidR="00AD6087" w:rsidRPr="006435A5" w:rsidRDefault="00AD6087" w:rsidP="00AD6087">
            <w:pPr>
              <w:spacing w:line="240" w:lineRule="auto"/>
              <w:ind w:hanging="5"/>
              <w:jc w:val="left"/>
            </w:pPr>
            <w:r w:rsidRPr="006435A5">
              <w:t>արտարժութային պետական պարտատոմսեր</w:t>
            </w:r>
          </w:p>
        </w:tc>
        <w:tc>
          <w:tcPr>
            <w:tcW w:w="1095" w:type="dxa"/>
            <w:tcBorders>
              <w:left w:val="nil"/>
              <w:right w:val="nil"/>
            </w:tcBorders>
            <w:vAlign w:val="center"/>
          </w:tcPr>
          <w:p w14:paraId="10F9DE1E" w14:textId="77777777" w:rsidR="00AD6087" w:rsidRPr="006435A5" w:rsidRDefault="00AD6087" w:rsidP="00AD6087">
            <w:pPr>
              <w:spacing w:line="240" w:lineRule="auto"/>
              <w:ind w:hanging="5"/>
              <w:jc w:val="center"/>
            </w:pPr>
            <w:r w:rsidRPr="006435A5">
              <w:t>526.5</w:t>
            </w:r>
          </w:p>
        </w:tc>
        <w:tc>
          <w:tcPr>
            <w:tcW w:w="1071" w:type="dxa"/>
            <w:tcBorders>
              <w:left w:val="nil"/>
              <w:right w:val="nil"/>
            </w:tcBorders>
            <w:vAlign w:val="center"/>
          </w:tcPr>
          <w:p w14:paraId="5CCAEAE1" w14:textId="77777777" w:rsidR="00AD6087" w:rsidRPr="006435A5" w:rsidRDefault="00AD6087" w:rsidP="00AD6087">
            <w:pPr>
              <w:spacing w:line="240" w:lineRule="auto"/>
              <w:ind w:hanging="5"/>
              <w:jc w:val="center"/>
            </w:pPr>
            <w:r w:rsidRPr="006435A5">
              <w:t>522.6</w:t>
            </w:r>
          </w:p>
        </w:tc>
        <w:tc>
          <w:tcPr>
            <w:tcW w:w="1351" w:type="dxa"/>
            <w:tcBorders>
              <w:left w:val="nil"/>
              <w:right w:val="double" w:sz="4" w:space="0" w:color="auto"/>
            </w:tcBorders>
            <w:vAlign w:val="center"/>
          </w:tcPr>
          <w:p w14:paraId="6FA1AC9A" w14:textId="77777777" w:rsidR="00AD6087" w:rsidRPr="006435A5" w:rsidRDefault="00AD6087" w:rsidP="00AD6087">
            <w:pPr>
              <w:spacing w:line="240" w:lineRule="auto"/>
              <w:ind w:hanging="5"/>
              <w:jc w:val="center"/>
            </w:pPr>
            <w:r w:rsidRPr="006435A5">
              <w:t>864.1</w:t>
            </w:r>
          </w:p>
        </w:tc>
        <w:tc>
          <w:tcPr>
            <w:tcW w:w="1071" w:type="dxa"/>
            <w:tcBorders>
              <w:left w:val="double" w:sz="4" w:space="0" w:color="auto"/>
              <w:right w:val="nil"/>
            </w:tcBorders>
            <w:vAlign w:val="center"/>
          </w:tcPr>
          <w:p w14:paraId="28677B3F" w14:textId="77777777" w:rsidR="00AD6087" w:rsidRPr="006435A5" w:rsidRDefault="00AD6087" w:rsidP="00AD6087">
            <w:pPr>
              <w:spacing w:line="240" w:lineRule="auto"/>
              <w:ind w:hanging="5"/>
              <w:jc w:val="center"/>
            </w:pPr>
            <w:r w:rsidRPr="006435A5">
              <w:t>869.5</w:t>
            </w:r>
          </w:p>
        </w:tc>
        <w:tc>
          <w:tcPr>
            <w:tcW w:w="1093" w:type="dxa"/>
            <w:tcBorders>
              <w:left w:val="nil"/>
              <w:right w:val="nil"/>
            </w:tcBorders>
            <w:vAlign w:val="center"/>
          </w:tcPr>
          <w:p w14:paraId="24EFD78F" w14:textId="77777777" w:rsidR="00AD6087" w:rsidRPr="006435A5" w:rsidRDefault="00AD6087" w:rsidP="00AD6087">
            <w:pPr>
              <w:spacing w:line="240" w:lineRule="auto"/>
              <w:ind w:hanging="5"/>
              <w:jc w:val="center"/>
            </w:pPr>
            <w:r w:rsidRPr="006435A5">
              <w:t>902.9</w:t>
            </w:r>
          </w:p>
        </w:tc>
        <w:tc>
          <w:tcPr>
            <w:tcW w:w="1014" w:type="dxa"/>
            <w:tcBorders>
              <w:left w:val="nil"/>
              <w:right w:val="nil"/>
            </w:tcBorders>
            <w:vAlign w:val="center"/>
          </w:tcPr>
          <w:p w14:paraId="202D6138" w14:textId="77777777" w:rsidR="00AD6087" w:rsidRPr="006435A5" w:rsidRDefault="00AD6087" w:rsidP="00AD6087">
            <w:pPr>
              <w:spacing w:line="240" w:lineRule="auto"/>
              <w:ind w:hanging="5"/>
              <w:jc w:val="center"/>
            </w:pPr>
            <w:r w:rsidRPr="006435A5">
              <w:t>907.5</w:t>
            </w:r>
          </w:p>
        </w:tc>
        <w:tc>
          <w:tcPr>
            <w:tcW w:w="1019" w:type="dxa"/>
            <w:tcBorders>
              <w:left w:val="nil"/>
              <w:right w:val="nil"/>
            </w:tcBorders>
            <w:vAlign w:val="center"/>
          </w:tcPr>
          <w:p w14:paraId="07F753C6" w14:textId="77777777" w:rsidR="00AD6087" w:rsidRPr="006435A5" w:rsidRDefault="00AD6087" w:rsidP="00AD6087">
            <w:pPr>
              <w:spacing w:line="240" w:lineRule="auto"/>
              <w:ind w:hanging="5"/>
              <w:jc w:val="center"/>
            </w:pPr>
            <w:r w:rsidRPr="006435A5">
              <w:t>912.0</w:t>
            </w:r>
          </w:p>
        </w:tc>
      </w:tr>
      <w:tr w:rsidR="00AD6087" w:rsidRPr="006435A5" w14:paraId="3C798CE2" w14:textId="77777777" w:rsidTr="00A42F0D">
        <w:trPr>
          <w:trHeight w:val="249"/>
          <w:jc w:val="center"/>
        </w:trPr>
        <w:tc>
          <w:tcPr>
            <w:tcW w:w="2783" w:type="dxa"/>
            <w:tcBorders>
              <w:left w:val="nil"/>
              <w:bottom w:val="single" w:sz="4" w:space="0" w:color="auto"/>
              <w:right w:val="nil"/>
            </w:tcBorders>
            <w:vAlign w:val="center"/>
          </w:tcPr>
          <w:p w14:paraId="0B79654A" w14:textId="77777777" w:rsidR="00AD6087" w:rsidRPr="006435A5" w:rsidRDefault="00AD6087" w:rsidP="00AD6087">
            <w:pPr>
              <w:spacing w:line="240" w:lineRule="auto"/>
              <w:ind w:hanging="5"/>
              <w:jc w:val="left"/>
            </w:pPr>
            <w:r w:rsidRPr="006435A5">
              <w:t>արտաքին երաշխիքներ</w:t>
            </w:r>
          </w:p>
        </w:tc>
        <w:tc>
          <w:tcPr>
            <w:tcW w:w="1095" w:type="dxa"/>
            <w:tcBorders>
              <w:left w:val="nil"/>
              <w:bottom w:val="single" w:sz="4" w:space="0" w:color="auto"/>
              <w:right w:val="nil"/>
            </w:tcBorders>
            <w:vAlign w:val="center"/>
          </w:tcPr>
          <w:p w14:paraId="4B2F90DD" w14:textId="77777777" w:rsidR="00AD6087" w:rsidRPr="006435A5" w:rsidRDefault="00AD6087" w:rsidP="00AD6087">
            <w:pPr>
              <w:spacing w:line="240" w:lineRule="auto"/>
              <w:ind w:hanging="5"/>
              <w:jc w:val="center"/>
            </w:pPr>
            <w:r w:rsidRPr="006435A5">
              <w:t>3.8</w:t>
            </w:r>
          </w:p>
        </w:tc>
        <w:tc>
          <w:tcPr>
            <w:tcW w:w="1071" w:type="dxa"/>
            <w:tcBorders>
              <w:left w:val="nil"/>
              <w:bottom w:val="single" w:sz="4" w:space="0" w:color="auto"/>
              <w:right w:val="nil"/>
            </w:tcBorders>
            <w:vAlign w:val="center"/>
          </w:tcPr>
          <w:p w14:paraId="7AD544F9" w14:textId="77777777" w:rsidR="00AD6087" w:rsidRPr="006435A5" w:rsidRDefault="00AD6087" w:rsidP="00AD6087">
            <w:pPr>
              <w:spacing w:line="240" w:lineRule="auto"/>
              <w:ind w:hanging="5"/>
              <w:jc w:val="center"/>
            </w:pPr>
            <w:r w:rsidRPr="006435A5">
              <w:t>4.5</w:t>
            </w:r>
          </w:p>
        </w:tc>
        <w:tc>
          <w:tcPr>
            <w:tcW w:w="1351" w:type="dxa"/>
            <w:tcBorders>
              <w:left w:val="nil"/>
              <w:bottom w:val="single" w:sz="4" w:space="0" w:color="auto"/>
              <w:right w:val="double" w:sz="4" w:space="0" w:color="auto"/>
            </w:tcBorders>
            <w:vAlign w:val="center"/>
          </w:tcPr>
          <w:p w14:paraId="62C40ABA" w14:textId="77777777" w:rsidR="00AD6087" w:rsidRPr="006435A5" w:rsidRDefault="00AD6087" w:rsidP="00AD6087">
            <w:pPr>
              <w:spacing w:line="240" w:lineRule="auto"/>
              <w:ind w:hanging="5"/>
              <w:jc w:val="center"/>
            </w:pPr>
            <w:r w:rsidRPr="006435A5">
              <w:t>4.4</w:t>
            </w:r>
          </w:p>
        </w:tc>
        <w:tc>
          <w:tcPr>
            <w:tcW w:w="1071" w:type="dxa"/>
            <w:tcBorders>
              <w:left w:val="double" w:sz="4" w:space="0" w:color="auto"/>
              <w:bottom w:val="single" w:sz="4" w:space="0" w:color="auto"/>
              <w:right w:val="nil"/>
            </w:tcBorders>
            <w:vAlign w:val="center"/>
          </w:tcPr>
          <w:p w14:paraId="15DC6E98" w14:textId="77777777" w:rsidR="00AD6087" w:rsidRPr="006435A5" w:rsidRDefault="00AD6087" w:rsidP="00AD6087">
            <w:pPr>
              <w:spacing w:line="240" w:lineRule="auto"/>
              <w:ind w:hanging="5"/>
              <w:jc w:val="center"/>
            </w:pPr>
            <w:r w:rsidRPr="006435A5">
              <w:t>4.1</w:t>
            </w:r>
          </w:p>
        </w:tc>
        <w:tc>
          <w:tcPr>
            <w:tcW w:w="1093" w:type="dxa"/>
            <w:tcBorders>
              <w:left w:val="nil"/>
              <w:bottom w:val="single" w:sz="4" w:space="0" w:color="auto"/>
              <w:right w:val="nil"/>
            </w:tcBorders>
            <w:vAlign w:val="center"/>
          </w:tcPr>
          <w:p w14:paraId="448B7BB6" w14:textId="77777777" w:rsidR="00AD6087" w:rsidRPr="006435A5" w:rsidRDefault="00AD6087" w:rsidP="00AD6087">
            <w:pPr>
              <w:spacing w:line="240" w:lineRule="auto"/>
              <w:ind w:hanging="5"/>
              <w:jc w:val="center"/>
            </w:pPr>
            <w:r w:rsidRPr="006435A5">
              <w:t>4.2</w:t>
            </w:r>
          </w:p>
        </w:tc>
        <w:tc>
          <w:tcPr>
            <w:tcW w:w="1014" w:type="dxa"/>
            <w:tcBorders>
              <w:left w:val="nil"/>
              <w:bottom w:val="single" w:sz="4" w:space="0" w:color="auto"/>
              <w:right w:val="nil"/>
            </w:tcBorders>
            <w:vAlign w:val="center"/>
          </w:tcPr>
          <w:p w14:paraId="3615BB53" w14:textId="77777777" w:rsidR="00AD6087" w:rsidRPr="006435A5" w:rsidRDefault="00AD6087" w:rsidP="00AD6087">
            <w:pPr>
              <w:spacing w:line="240" w:lineRule="auto"/>
              <w:ind w:hanging="5"/>
              <w:jc w:val="center"/>
            </w:pPr>
            <w:r w:rsidRPr="006435A5">
              <w:t>4.1</w:t>
            </w:r>
          </w:p>
        </w:tc>
        <w:tc>
          <w:tcPr>
            <w:tcW w:w="1019" w:type="dxa"/>
            <w:tcBorders>
              <w:left w:val="nil"/>
              <w:bottom w:val="single" w:sz="4" w:space="0" w:color="auto"/>
              <w:right w:val="nil"/>
            </w:tcBorders>
            <w:vAlign w:val="center"/>
          </w:tcPr>
          <w:p w14:paraId="7AC0408E" w14:textId="77777777" w:rsidR="00AD6087" w:rsidRPr="006435A5" w:rsidRDefault="00AD6087" w:rsidP="00AD6087">
            <w:pPr>
              <w:spacing w:line="240" w:lineRule="auto"/>
              <w:ind w:hanging="5"/>
              <w:jc w:val="center"/>
            </w:pPr>
            <w:r w:rsidRPr="006435A5">
              <w:t>3.8</w:t>
            </w:r>
          </w:p>
        </w:tc>
      </w:tr>
      <w:tr w:rsidR="00AD6087" w:rsidRPr="006435A5" w14:paraId="159582AE" w14:textId="77777777" w:rsidTr="00A42F0D">
        <w:trPr>
          <w:trHeight w:val="256"/>
          <w:jc w:val="center"/>
        </w:trPr>
        <w:tc>
          <w:tcPr>
            <w:tcW w:w="2783" w:type="dxa"/>
            <w:tcBorders>
              <w:left w:val="nil"/>
              <w:bottom w:val="single" w:sz="12" w:space="0" w:color="auto"/>
              <w:right w:val="nil"/>
            </w:tcBorders>
            <w:vAlign w:val="center"/>
          </w:tcPr>
          <w:p w14:paraId="1E1E9956" w14:textId="77777777" w:rsidR="00AD6087" w:rsidRPr="006435A5" w:rsidRDefault="00AD6087" w:rsidP="00AD6087">
            <w:pPr>
              <w:spacing w:line="240" w:lineRule="auto"/>
              <w:ind w:hanging="5"/>
              <w:jc w:val="left"/>
            </w:pPr>
            <w:r w:rsidRPr="006435A5">
              <w:t>ներքին երաշխիքներ</w:t>
            </w:r>
          </w:p>
        </w:tc>
        <w:tc>
          <w:tcPr>
            <w:tcW w:w="1095" w:type="dxa"/>
            <w:tcBorders>
              <w:left w:val="nil"/>
              <w:bottom w:val="single" w:sz="12" w:space="0" w:color="auto"/>
              <w:right w:val="nil"/>
            </w:tcBorders>
            <w:vAlign w:val="center"/>
          </w:tcPr>
          <w:p w14:paraId="16ED4CEA" w14:textId="77777777" w:rsidR="00AD6087" w:rsidRPr="006435A5" w:rsidRDefault="00AD6087" w:rsidP="00AD6087">
            <w:pPr>
              <w:spacing w:line="240" w:lineRule="auto"/>
              <w:ind w:hanging="5"/>
              <w:jc w:val="center"/>
            </w:pPr>
            <w:r w:rsidRPr="006435A5">
              <w:t>-</w:t>
            </w:r>
          </w:p>
        </w:tc>
        <w:tc>
          <w:tcPr>
            <w:tcW w:w="1071" w:type="dxa"/>
            <w:tcBorders>
              <w:left w:val="nil"/>
              <w:bottom w:val="single" w:sz="12" w:space="0" w:color="auto"/>
              <w:right w:val="nil"/>
            </w:tcBorders>
            <w:vAlign w:val="center"/>
          </w:tcPr>
          <w:p w14:paraId="28AC6A3A" w14:textId="77777777" w:rsidR="00AD6087" w:rsidRPr="006435A5" w:rsidRDefault="00AD6087" w:rsidP="00AD6087">
            <w:pPr>
              <w:spacing w:line="240" w:lineRule="auto"/>
              <w:ind w:hanging="5"/>
              <w:jc w:val="center"/>
            </w:pPr>
            <w:r w:rsidRPr="006435A5">
              <w:t>-</w:t>
            </w:r>
          </w:p>
        </w:tc>
        <w:tc>
          <w:tcPr>
            <w:tcW w:w="1351" w:type="dxa"/>
            <w:tcBorders>
              <w:left w:val="nil"/>
              <w:bottom w:val="single" w:sz="12" w:space="0" w:color="auto"/>
              <w:right w:val="double" w:sz="4" w:space="0" w:color="auto"/>
            </w:tcBorders>
            <w:vAlign w:val="center"/>
          </w:tcPr>
          <w:p w14:paraId="7973F5E7" w14:textId="77777777" w:rsidR="00AD6087" w:rsidRPr="006435A5" w:rsidRDefault="00AD6087" w:rsidP="00AD6087">
            <w:pPr>
              <w:spacing w:line="240" w:lineRule="auto"/>
              <w:ind w:hanging="5"/>
              <w:jc w:val="center"/>
            </w:pPr>
            <w:r w:rsidRPr="006435A5">
              <w:t>-</w:t>
            </w:r>
          </w:p>
        </w:tc>
        <w:tc>
          <w:tcPr>
            <w:tcW w:w="1071" w:type="dxa"/>
            <w:tcBorders>
              <w:left w:val="double" w:sz="4" w:space="0" w:color="auto"/>
              <w:bottom w:val="single" w:sz="12" w:space="0" w:color="auto"/>
              <w:right w:val="nil"/>
            </w:tcBorders>
            <w:vAlign w:val="center"/>
          </w:tcPr>
          <w:p w14:paraId="70ADA004" w14:textId="77777777" w:rsidR="00AD6087" w:rsidRPr="006435A5" w:rsidRDefault="00AD6087" w:rsidP="00AD6087">
            <w:pPr>
              <w:spacing w:line="240" w:lineRule="auto"/>
              <w:ind w:hanging="5"/>
              <w:jc w:val="center"/>
            </w:pPr>
            <w:r w:rsidRPr="006435A5">
              <w:t>-</w:t>
            </w:r>
          </w:p>
        </w:tc>
        <w:tc>
          <w:tcPr>
            <w:tcW w:w="1093" w:type="dxa"/>
            <w:tcBorders>
              <w:left w:val="nil"/>
              <w:bottom w:val="single" w:sz="12" w:space="0" w:color="auto"/>
              <w:right w:val="nil"/>
            </w:tcBorders>
            <w:vAlign w:val="center"/>
          </w:tcPr>
          <w:p w14:paraId="4FE0B875" w14:textId="77777777" w:rsidR="00AD6087" w:rsidRPr="006435A5" w:rsidRDefault="00AD6087" w:rsidP="00AD6087">
            <w:pPr>
              <w:spacing w:line="240" w:lineRule="auto"/>
              <w:ind w:hanging="5"/>
              <w:jc w:val="center"/>
            </w:pPr>
            <w:r w:rsidRPr="006435A5">
              <w:t>-</w:t>
            </w:r>
          </w:p>
        </w:tc>
        <w:tc>
          <w:tcPr>
            <w:tcW w:w="1014" w:type="dxa"/>
            <w:tcBorders>
              <w:left w:val="nil"/>
              <w:bottom w:val="single" w:sz="12" w:space="0" w:color="auto"/>
              <w:right w:val="nil"/>
            </w:tcBorders>
            <w:vAlign w:val="center"/>
          </w:tcPr>
          <w:p w14:paraId="7B1135D8" w14:textId="77777777" w:rsidR="00AD6087" w:rsidRPr="006435A5" w:rsidRDefault="00AD6087" w:rsidP="00AD6087">
            <w:pPr>
              <w:spacing w:line="240" w:lineRule="auto"/>
              <w:ind w:hanging="5"/>
              <w:jc w:val="center"/>
            </w:pPr>
            <w:r w:rsidRPr="006435A5">
              <w:t>-</w:t>
            </w:r>
          </w:p>
        </w:tc>
        <w:tc>
          <w:tcPr>
            <w:tcW w:w="1019" w:type="dxa"/>
            <w:tcBorders>
              <w:left w:val="nil"/>
              <w:bottom w:val="single" w:sz="12" w:space="0" w:color="auto"/>
              <w:right w:val="nil"/>
            </w:tcBorders>
            <w:vAlign w:val="center"/>
          </w:tcPr>
          <w:p w14:paraId="5E4B9B66" w14:textId="77777777" w:rsidR="00AD6087" w:rsidRPr="006435A5" w:rsidRDefault="00AD6087" w:rsidP="00AD6087">
            <w:pPr>
              <w:spacing w:line="240" w:lineRule="auto"/>
              <w:ind w:hanging="5"/>
              <w:jc w:val="center"/>
            </w:pPr>
            <w:r w:rsidRPr="006435A5">
              <w:t>-</w:t>
            </w:r>
          </w:p>
        </w:tc>
      </w:tr>
      <w:tr w:rsidR="00AD6087" w:rsidRPr="006435A5" w14:paraId="1BF5FF29" w14:textId="77777777" w:rsidTr="00A42F0D">
        <w:trPr>
          <w:trHeight w:val="511"/>
          <w:jc w:val="center"/>
        </w:trPr>
        <w:tc>
          <w:tcPr>
            <w:tcW w:w="2783" w:type="dxa"/>
            <w:tcBorders>
              <w:top w:val="single" w:sz="12" w:space="0" w:color="auto"/>
              <w:left w:val="nil"/>
              <w:right w:val="nil"/>
            </w:tcBorders>
            <w:vAlign w:val="center"/>
          </w:tcPr>
          <w:p w14:paraId="23C312E5" w14:textId="77777777" w:rsidR="00AD6087" w:rsidRPr="006435A5" w:rsidRDefault="00AD6087" w:rsidP="00AD6087">
            <w:pPr>
              <w:spacing w:line="240" w:lineRule="auto"/>
              <w:ind w:hanging="5"/>
              <w:jc w:val="left"/>
            </w:pPr>
            <w:r w:rsidRPr="006435A5">
              <w:t>Կառավարության պարտքի տոկոսավճար</w:t>
            </w:r>
          </w:p>
        </w:tc>
        <w:tc>
          <w:tcPr>
            <w:tcW w:w="1095" w:type="dxa"/>
            <w:tcBorders>
              <w:top w:val="single" w:sz="12" w:space="0" w:color="auto"/>
              <w:left w:val="nil"/>
              <w:right w:val="nil"/>
            </w:tcBorders>
            <w:vAlign w:val="center"/>
          </w:tcPr>
          <w:p w14:paraId="0DB8B230" w14:textId="77777777" w:rsidR="00AD6087" w:rsidRPr="006435A5" w:rsidRDefault="00AD6087" w:rsidP="00AD6087">
            <w:pPr>
              <w:spacing w:line="240" w:lineRule="auto"/>
              <w:ind w:hanging="5"/>
              <w:jc w:val="center"/>
            </w:pPr>
            <w:r w:rsidRPr="006435A5">
              <w:t>157.5</w:t>
            </w:r>
          </w:p>
        </w:tc>
        <w:tc>
          <w:tcPr>
            <w:tcW w:w="1071" w:type="dxa"/>
            <w:tcBorders>
              <w:top w:val="single" w:sz="12" w:space="0" w:color="auto"/>
              <w:left w:val="nil"/>
              <w:right w:val="nil"/>
            </w:tcBorders>
            <w:vAlign w:val="center"/>
          </w:tcPr>
          <w:p w14:paraId="01988A7F" w14:textId="77777777" w:rsidR="00AD6087" w:rsidRPr="006435A5" w:rsidRDefault="00AD6087" w:rsidP="00AD6087">
            <w:pPr>
              <w:spacing w:line="240" w:lineRule="auto"/>
              <w:ind w:hanging="5"/>
              <w:jc w:val="center"/>
            </w:pPr>
            <w:r w:rsidRPr="006435A5">
              <w:t>164.7</w:t>
            </w:r>
          </w:p>
        </w:tc>
        <w:tc>
          <w:tcPr>
            <w:tcW w:w="1351" w:type="dxa"/>
            <w:tcBorders>
              <w:top w:val="single" w:sz="12" w:space="0" w:color="auto"/>
              <w:left w:val="nil"/>
              <w:right w:val="double" w:sz="4" w:space="0" w:color="auto"/>
            </w:tcBorders>
            <w:vAlign w:val="center"/>
          </w:tcPr>
          <w:p w14:paraId="5405E04F" w14:textId="77777777" w:rsidR="00AD6087" w:rsidRPr="006435A5" w:rsidRDefault="00AD6087" w:rsidP="00AD6087">
            <w:pPr>
              <w:spacing w:line="240" w:lineRule="auto"/>
              <w:ind w:hanging="5"/>
              <w:jc w:val="center"/>
            </w:pPr>
            <w:r w:rsidRPr="006435A5">
              <w:t>194.7</w:t>
            </w:r>
          </w:p>
        </w:tc>
        <w:tc>
          <w:tcPr>
            <w:tcW w:w="1071" w:type="dxa"/>
            <w:tcBorders>
              <w:top w:val="single" w:sz="12" w:space="0" w:color="auto"/>
              <w:left w:val="double" w:sz="4" w:space="0" w:color="auto"/>
              <w:right w:val="nil"/>
            </w:tcBorders>
            <w:vAlign w:val="center"/>
          </w:tcPr>
          <w:p w14:paraId="007B1D0E" w14:textId="77777777" w:rsidR="00AD6087" w:rsidRPr="006435A5" w:rsidRDefault="00AD6087" w:rsidP="00AD6087">
            <w:pPr>
              <w:spacing w:line="240" w:lineRule="auto"/>
              <w:ind w:hanging="5"/>
              <w:jc w:val="center"/>
            </w:pPr>
            <w:r w:rsidRPr="006435A5">
              <w:t>194.5</w:t>
            </w:r>
          </w:p>
        </w:tc>
        <w:tc>
          <w:tcPr>
            <w:tcW w:w="1093" w:type="dxa"/>
            <w:tcBorders>
              <w:top w:val="single" w:sz="12" w:space="0" w:color="auto"/>
              <w:left w:val="nil"/>
              <w:right w:val="nil"/>
            </w:tcBorders>
            <w:vAlign w:val="center"/>
          </w:tcPr>
          <w:p w14:paraId="0E1665AD" w14:textId="77777777" w:rsidR="00AD6087" w:rsidRPr="006435A5" w:rsidRDefault="00AD6087" w:rsidP="00AD6087">
            <w:pPr>
              <w:spacing w:line="240" w:lineRule="auto"/>
              <w:ind w:hanging="5"/>
              <w:jc w:val="center"/>
            </w:pPr>
            <w:r w:rsidRPr="006435A5">
              <w:t>215.7</w:t>
            </w:r>
          </w:p>
        </w:tc>
        <w:tc>
          <w:tcPr>
            <w:tcW w:w="1014" w:type="dxa"/>
            <w:tcBorders>
              <w:top w:val="single" w:sz="12" w:space="0" w:color="auto"/>
              <w:left w:val="nil"/>
              <w:right w:val="nil"/>
            </w:tcBorders>
            <w:vAlign w:val="center"/>
          </w:tcPr>
          <w:p w14:paraId="0C474B2F" w14:textId="77777777" w:rsidR="00AD6087" w:rsidRPr="006435A5" w:rsidRDefault="00AD6087" w:rsidP="00AD6087">
            <w:pPr>
              <w:spacing w:line="240" w:lineRule="auto"/>
              <w:ind w:hanging="5"/>
              <w:jc w:val="center"/>
            </w:pPr>
            <w:r w:rsidRPr="006435A5">
              <w:t>243.5</w:t>
            </w:r>
          </w:p>
        </w:tc>
        <w:tc>
          <w:tcPr>
            <w:tcW w:w="1019" w:type="dxa"/>
            <w:tcBorders>
              <w:top w:val="single" w:sz="12" w:space="0" w:color="auto"/>
              <w:left w:val="nil"/>
              <w:right w:val="nil"/>
            </w:tcBorders>
            <w:vAlign w:val="center"/>
          </w:tcPr>
          <w:p w14:paraId="261C04EF" w14:textId="77777777" w:rsidR="00AD6087" w:rsidRPr="006435A5" w:rsidRDefault="00AD6087" w:rsidP="00AD6087">
            <w:pPr>
              <w:spacing w:line="240" w:lineRule="auto"/>
              <w:ind w:hanging="5"/>
              <w:jc w:val="center"/>
            </w:pPr>
            <w:r w:rsidRPr="006435A5">
              <w:t>268.1</w:t>
            </w:r>
          </w:p>
        </w:tc>
      </w:tr>
      <w:tr w:rsidR="00AD6087" w:rsidRPr="006435A5" w14:paraId="394F3FDA" w14:textId="77777777" w:rsidTr="00A42F0D">
        <w:trPr>
          <w:trHeight w:val="511"/>
          <w:jc w:val="center"/>
        </w:trPr>
        <w:tc>
          <w:tcPr>
            <w:tcW w:w="2783" w:type="dxa"/>
            <w:tcBorders>
              <w:left w:val="nil"/>
              <w:right w:val="nil"/>
            </w:tcBorders>
            <w:vAlign w:val="center"/>
          </w:tcPr>
          <w:p w14:paraId="474A77D0" w14:textId="77777777" w:rsidR="00AD6087" w:rsidRPr="006435A5" w:rsidRDefault="00AD6087" w:rsidP="00AD6087">
            <w:pPr>
              <w:spacing w:line="240" w:lineRule="auto"/>
              <w:ind w:hanging="5"/>
              <w:jc w:val="left"/>
            </w:pPr>
            <w:r w:rsidRPr="006435A5">
              <w:t>Տոկոսավճար/պետական բյուջեի ծախսեր (%)</w:t>
            </w:r>
          </w:p>
        </w:tc>
        <w:tc>
          <w:tcPr>
            <w:tcW w:w="1095" w:type="dxa"/>
            <w:tcBorders>
              <w:left w:val="nil"/>
              <w:right w:val="nil"/>
            </w:tcBorders>
            <w:vAlign w:val="center"/>
          </w:tcPr>
          <w:p w14:paraId="0EE33354" w14:textId="77777777" w:rsidR="00AD6087" w:rsidRPr="006435A5" w:rsidRDefault="00AD6087" w:rsidP="00AD6087">
            <w:pPr>
              <w:spacing w:line="240" w:lineRule="auto"/>
              <w:ind w:hanging="5"/>
              <w:jc w:val="center"/>
            </w:pPr>
            <w:r w:rsidRPr="006435A5">
              <w:t>9.7</w:t>
            </w:r>
          </w:p>
        </w:tc>
        <w:tc>
          <w:tcPr>
            <w:tcW w:w="1071" w:type="dxa"/>
            <w:tcBorders>
              <w:left w:val="nil"/>
              <w:right w:val="nil"/>
            </w:tcBorders>
            <w:vAlign w:val="center"/>
          </w:tcPr>
          <w:p w14:paraId="3D34E7B2" w14:textId="77777777" w:rsidR="00AD6087" w:rsidRPr="006435A5" w:rsidRDefault="00AD6087" w:rsidP="00AD6087">
            <w:pPr>
              <w:spacing w:line="240" w:lineRule="auto"/>
              <w:ind w:hanging="5"/>
              <w:jc w:val="center"/>
            </w:pPr>
            <w:r w:rsidRPr="006435A5">
              <w:t>8.7</w:t>
            </w:r>
          </w:p>
        </w:tc>
        <w:tc>
          <w:tcPr>
            <w:tcW w:w="1351" w:type="dxa"/>
            <w:tcBorders>
              <w:left w:val="nil"/>
              <w:right w:val="double" w:sz="4" w:space="0" w:color="auto"/>
            </w:tcBorders>
            <w:vAlign w:val="center"/>
          </w:tcPr>
          <w:p w14:paraId="31A96AC3" w14:textId="77777777" w:rsidR="00AD6087" w:rsidRPr="006435A5" w:rsidRDefault="00AD6087" w:rsidP="00AD6087">
            <w:pPr>
              <w:spacing w:line="240" w:lineRule="auto"/>
              <w:ind w:hanging="5"/>
              <w:jc w:val="center"/>
            </w:pPr>
            <w:r w:rsidRPr="006435A5">
              <w:t>10.5</w:t>
            </w:r>
          </w:p>
        </w:tc>
        <w:tc>
          <w:tcPr>
            <w:tcW w:w="1071" w:type="dxa"/>
            <w:tcBorders>
              <w:left w:val="double" w:sz="4" w:space="0" w:color="auto"/>
              <w:right w:val="nil"/>
            </w:tcBorders>
            <w:vAlign w:val="center"/>
          </w:tcPr>
          <w:p w14:paraId="4B717F2D" w14:textId="77777777" w:rsidR="00AD6087" w:rsidRPr="006435A5" w:rsidRDefault="00AD6087" w:rsidP="00AD6087">
            <w:pPr>
              <w:spacing w:line="240" w:lineRule="auto"/>
              <w:ind w:hanging="5"/>
              <w:jc w:val="center"/>
            </w:pPr>
            <w:r w:rsidRPr="006435A5">
              <w:t>10.0</w:t>
            </w:r>
          </w:p>
        </w:tc>
        <w:tc>
          <w:tcPr>
            <w:tcW w:w="1093" w:type="dxa"/>
            <w:tcBorders>
              <w:left w:val="nil"/>
              <w:right w:val="nil"/>
            </w:tcBorders>
            <w:vAlign w:val="center"/>
          </w:tcPr>
          <w:p w14:paraId="5C28ADFF" w14:textId="77777777" w:rsidR="00AD6087" w:rsidRPr="006435A5" w:rsidRDefault="00AD6087" w:rsidP="00AD6087">
            <w:pPr>
              <w:spacing w:line="240" w:lineRule="auto"/>
              <w:ind w:hanging="5"/>
              <w:jc w:val="center"/>
            </w:pPr>
            <w:r w:rsidRPr="006435A5">
              <w:t>10.8</w:t>
            </w:r>
          </w:p>
        </w:tc>
        <w:tc>
          <w:tcPr>
            <w:tcW w:w="1014" w:type="dxa"/>
            <w:tcBorders>
              <w:left w:val="nil"/>
              <w:right w:val="nil"/>
            </w:tcBorders>
            <w:vAlign w:val="center"/>
          </w:tcPr>
          <w:p w14:paraId="1FA808DF" w14:textId="77777777" w:rsidR="00AD6087" w:rsidRPr="006435A5" w:rsidRDefault="00AD6087" w:rsidP="00AD6087">
            <w:pPr>
              <w:spacing w:line="240" w:lineRule="auto"/>
              <w:ind w:hanging="5"/>
              <w:jc w:val="center"/>
            </w:pPr>
            <w:r w:rsidRPr="006435A5">
              <w:t>11.4</w:t>
            </w:r>
          </w:p>
        </w:tc>
        <w:tc>
          <w:tcPr>
            <w:tcW w:w="1019" w:type="dxa"/>
            <w:tcBorders>
              <w:left w:val="nil"/>
              <w:right w:val="nil"/>
            </w:tcBorders>
            <w:vAlign w:val="center"/>
          </w:tcPr>
          <w:p w14:paraId="0C6928CF" w14:textId="77777777" w:rsidR="00AD6087" w:rsidRPr="006435A5" w:rsidRDefault="00AD6087" w:rsidP="00AD6087">
            <w:pPr>
              <w:spacing w:line="240" w:lineRule="auto"/>
              <w:ind w:hanging="5"/>
              <w:jc w:val="center"/>
            </w:pPr>
            <w:r w:rsidRPr="006435A5">
              <w:t>11.6</w:t>
            </w:r>
          </w:p>
        </w:tc>
      </w:tr>
      <w:tr w:rsidR="00AD6087" w:rsidRPr="006435A5" w14:paraId="7BF4D7EA" w14:textId="77777777" w:rsidTr="00A42F0D">
        <w:trPr>
          <w:trHeight w:val="766"/>
          <w:jc w:val="center"/>
        </w:trPr>
        <w:tc>
          <w:tcPr>
            <w:tcW w:w="2783" w:type="dxa"/>
            <w:tcBorders>
              <w:left w:val="nil"/>
              <w:right w:val="nil"/>
            </w:tcBorders>
            <w:vAlign w:val="center"/>
          </w:tcPr>
          <w:p w14:paraId="30515FF2" w14:textId="77777777" w:rsidR="00AD6087" w:rsidRPr="006435A5" w:rsidRDefault="00AD6087" w:rsidP="00AD6087">
            <w:pPr>
              <w:spacing w:line="240" w:lineRule="auto"/>
              <w:ind w:hanging="5"/>
              <w:jc w:val="left"/>
            </w:pPr>
            <w:r w:rsidRPr="006435A5">
              <w:t>Տոկոսավճար/պետական բյուջեի սեփական (առանց դրամաշնորհներ) եկամուտներ (%)</w:t>
            </w:r>
          </w:p>
        </w:tc>
        <w:tc>
          <w:tcPr>
            <w:tcW w:w="1095" w:type="dxa"/>
            <w:tcBorders>
              <w:left w:val="nil"/>
              <w:right w:val="nil"/>
            </w:tcBorders>
            <w:vAlign w:val="center"/>
          </w:tcPr>
          <w:p w14:paraId="3CDA80E9" w14:textId="77777777" w:rsidR="00AD6087" w:rsidRPr="006435A5" w:rsidRDefault="00AD6087" w:rsidP="00AD6087">
            <w:pPr>
              <w:spacing w:line="240" w:lineRule="auto"/>
              <w:ind w:hanging="5"/>
              <w:jc w:val="center"/>
            </w:pPr>
            <w:r w:rsidRPr="006435A5">
              <w:t>10.1</w:t>
            </w:r>
          </w:p>
        </w:tc>
        <w:tc>
          <w:tcPr>
            <w:tcW w:w="1071" w:type="dxa"/>
            <w:tcBorders>
              <w:left w:val="nil"/>
              <w:right w:val="nil"/>
            </w:tcBorders>
            <w:vAlign w:val="center"/>
          </w:tcPr>
          <w:p w14:paraId="259034C0" w14:textId="77777777" w:rsidR="00AD6087" w:rsidRPr="006435A5" w:rsidRDefault="00AD6087" w:rsidP="00AD6087">
            <w:pPr>
              <w:spacing w:line="240" w:lineRule="auto"/>
              <w:ind w:hanging="5"/>
              <w:jc w:val="center"/>
            </w:pPr>
            <w:r w:rsidRPr="006435A5">
              <w:t>10.9</w:t>
            </w:r>
          </w:p>
        </w:tc>
        <w:tc>
          <w:tcPr>
            <w:tcW w:w="1351" w:type="dxa"/>
            <w:tcBorders>
              <w:left w:val="nil"/>
              <w:right w:val="double" w:sz="4" w:space="0" w:color="auto"/>
            </w:tcBorders>
            <w:vAlign w:val="center"/>
          </w:tcPr>
          <w:p w14:paraId="284475E1" w14:textId="77777777" w:rsidR="00AD6087" w:rsidRPr="006435A5" w:rsidRDefault="00AD6087" w:rsidP="00AD6087">
            <w:pPr>
              <w:spacing w:line="240" w:lineRule="auto"/>
              <w:ind w:hanging="5"/>
              <w:jc w:val="center"/>
            </w:pPr>
            <w:r w:rsidRPr="006435A5">
              <w:t>13.1</w:t>
            </w:r>
          </w:p>
        </w:tc>
        <w:tc>
          <w:tcPr>
            <w:tcW w:w="1071" w:type="dxa"/>
            <w:tcBorders>
              <w:left w:val="double" w:sz="4" w:space="0" w:color="auto"/>
              <w:right w:val="nil"/>
            </w:tcBorders>
            <w:vAlign w:val="center"/>
          </w:tcPr>
          <w:p w14:paraId="656B0131" w14:textId="77777777" w:rsidR="00AD6087" w:rsidRPr="006435A5" w:rsidRDefault="00AD6087" w:rsidP="00AD6087">
            <w:pPr>
              <w:spacing w:line="240" w:lineRule="auto"/>
              <w:ind w:hanging="5"/>
              <w:jc w:val="center"/>
            </w:pPr>
            <w:r w:rsidRPr="006435A5">
              <w:t>12.2</w:t>
            </w:r>
          </w:p>
        </w:tc>
        <w:tc>
          <w:tcPr>
            <w:tcW w:w="1093" w:type="dxa"/>
            <w:tcBorders>
              <w:left w:val="nil"/>
              <w:right w:val="nil"/>
            </w:tcBorders>
            <w:vAlign w:val="center"/>
          </w:tcPr>
          <w:p w14:paraId="5519A771" w14:textId="77777777" w:rsidR="00AD6087" w:rsidRPr="006435A5" w:rsidRDefault="00AD6087" w:rsidP="00AD6087">
            <w:pPr>
              <w:spacing w:line="240" w:lineRule="auto"/>
              <w:ind w:hanging="5"/>
              <w:jc w:val="center"/>
            </w:pPr>
            <w:r w:rsidRPr="006435A5">
              <w:t>12.0</w:t>
            </w:r>
          </w:p>
        </w:tc>
        <w:tc>
          <w:tcPr>
            <w:tcW w:w="1014" w:type="dxa"/>
            <w:tcBorders>
              <w:left w:val="nil"/>
              <w:right w:val="nil"/>
            </w:tcBorders>
            <w:vAlign w:val="center"/>
          </w:tcPr>
          <w:p w14:paraId="54397071" w14:textId="77777777" w:rsidR="00AD6087" w:rsidRPr="006435A5" w:rsidRDefault="00AD6087" w:rsidP="00AD6087">
            <w:pPr>
              <w:spacing w:line="240" w:lineRule="auto"/>
              <w:ind w:hanging="5"/>
              <w:jc w:val="center"/>
            </w:pPr>
            <w:r w:rsidRPr="006435A5">
              <w:t>12.5</w:t>
            </w:r>
          </w:p>
        </w:tc>
        <w:tc>
          <w:tcPr>
            <w:tcW w:w="1019" w:type="dxa"/>
            <w:tcBorders>
              <w:left w:val="nil"/>
              <w:right w:val="nil"/>
            </w:tcBorders>
            <w:vAlign w:val="center"/>
          </w:tcPr>
          <w:p w14:paraId="3A9B8973" w14:textId="77777777" w:rsidR="00AD6087" w:rsidRPr="006435A5" w:rsidRDefault="00AD6087" w:rsidP="00AD6087">
            <w:pPr>
              <w:spacing w:line="240" w:lineRule="auto"/>
              <w:ind w:hanging="5"/>
              <w:jc w:val="center"/>
            </w:pPr>
            <w:r w:rsidRPr="006435A5">
              <w:t>12.5</w:t>
            </w:r>
          </w:p>
        </w:tc>
      </w:tr>
      <w:tr w:rsidR="00AD6087" w:rsidRPr="006435A5" w14:paraId="26131C95" w14:textId="77777777" w:rsidTr="00A42F0D">
        <w:trPr>
          <w:trHeight w:val="261"/>
          <w:jc w:val="center"/>
        </w:trPr>
        <w:tc>
          <w:tcPr>
            <w:tcW w:w="2783" w:type="dxa"/>
            <w:tcBorders>
              <w:left w:val="nil"/>
              <w:bottom w:val="thickThinSmallGap" w:sz="24" w:space="0" w:color="auto"/>
              <w:right w:val="nil"/>
            </w:tcBorders>
            <w:vAlign w:val="center"/>
          </w:tcPr>
          <w:p w14:paraId="7B0C35B9" w14:textId="77777777" w:rsidR="00AD6087" w:rsidRPr="006435A5" w:rsidRDefault="00AD6087" w:rsidP="00AD6087">
            <w:pPr>
              <w:spacing w:line="240" w:lineRule="auto"/>
              <w:ind w:hanging="5"/>
              <w:jc w:val="left"/>
            </w:pPr>
            <w:r w:rsidRPr="006435A5">
              <w:t>Տոկոսավճար/ՀՆԱ (%)</w:t>
            </w:r>
          </w:p>
        </w:tc>
        <w:tc>
          <w:tcPr>
            <w:tcW w:w="1095" w:type="dxa"/>
            <w:tcBorders>
              <w:left w:val="nil"/>
              <w:bottom w:val="thickThinSmallGap" w:sz="24" w:space="0" w:color="auto"/>
              <w:right w:val="nil"/>
            </w:tcBorders>
            <w:vAlign w:val="center"/>
          </w:tcPr>
          <w:p w14:paraId="1E75F504" w14:textId="77777777" w:rsidR="00AD6087" w:rsidRPr="006435A5" w:rsidRDefault="00AD6087" w:rsidP="00AD6087">
            <w:pPr>
              <w:spacing w:line="240" w:lineRule="auto"/>
              <w:ind w:hanging="5"/>
              <w:jc w:val="center"/>
            </w:pPr>
            <w:r w:rsidRPr="006435A5">
              <w:t>2.4</w:t>
            </w:r>
          </w:p>
        </w:tc>
        <w:tc>
          <w:tcPr>
            <w:tcW w:w="1071" w:type="dxa"/>
            <w:tcBorders>
              <w:left w:val="nil"/>
              <w:bottom w:val="thickThinSmallGap" w:sz="24" w:space="0" w:color="auto"/>
              <w:right w:val="nil"/>
            </w:tcBorders>
            <w:vAlign w:val="center"/>
          </w:tcPr>
          <w:p w14:paraId="2E456934" w14:textId="77777777" w:rsidR="00AD6087" w:rsidRPr="006435A5" w:rsidRDefault="00AD6087" w:rsidP="00AD6087">
            <w:pPr>
              <w:spacing w:line="240" w:lineRule="auto"/>
              <w:ind w:hanging="5"/>
              <w:jc w:val="center"/>
            </w:pPr>
            <w:r w:rsidRPr="006435A5">
              <w:t>2.7</w:t>
            </w:r>
          </w:p>
        </w:tc>
        <w:tc>
          <w:tcPr>
            <w:tcW w:w="1351" w:type="dxa"/>
            <w:tcBorders>
              <w:left w:val="nil"/>
              <w:bottom w:val="thickThinSmallGap" w:sz="24" w:space="0" w:color="auto"/>
              <w:right w:val="double" w:sz="4" w:space="0" w:color="auto"/>
            </w:tcBorders>
            <w:vAlign w:val="center"/>
          </w:tcPr>
          <w:p w14:paraId="37E1C60F" w14:textId="77777777" w:rsidR="00AD6087" w:rsidRPr="006435A5" w:rsidRDefault="00AD6087" w:rsidP="00AD6087">
            <w:pPr>
              <w:spacing w:line="240" w:lineRule="auto"/>
              <w:ind w:hanging="5"/>
              <w:jc w:val="center"/>
            </w:pPr>
            <w:r w:rsidRPr="006435A5">
              <w:t>3.0</w:t>
            </w:r>
          </w:p>
        </w:tc>
        <w:tc>
          <w:tcPr>
            <w:tcW w:w="1071" w:type="dxa"/>
            <w:tcBorders>
              <w:left w:val="double" w:sz="4" w:space="0" w:color="auto"/>
              <w:bottom w:val="thickThinSmallGap" w:sz="24" w:space="0" w:color="auto"/>
              <w:right w:val="nil"/>
            </w:tcBorders>
            <w:vAlign w:val="center"/>
          </w:tcPr>
          <w:p w14:paraId="6B7802F1" w14:textId="77777777" w:rsidR="00AD6087" w:rsidRPr="006435A5" w:rsidRDefault="00AD6087" w:rsidP="00AD6087">
            <w:pPr>
              <w:spacing w:line="240" w:lineRule="auto"/>
              <w:ind w:hanging="5"/>
              <w:jc w:val="center"/>
            </w:pPr>
            <w:r w:rsidRPr="006435A5">
              <w:t>2.8</w:t>
            </w:r>
          </w:p>
        </w:tc>
        <w:tc>
          <w:tcPr>
            <w:tcW w:w="1093" w:type="dxa"/>
            <w:tcBorders>
              <w:left w:val="nil"/>
              <w:bottom w:val="thickThinSmallGap" w:sz="24" w:space="0" w:color="auto"/>
              <w:right w:val="nil"/>
            </w:tcBorders>
            <w:vAlign w:val="center"/>
          </w:tcPr>
          <w:p w14:paraId="7615BB0D" w14:textId="77777777" w:rsidR="00AD6087" w:rsidRPr="006435A5" w:rsidRDefault="00AD6087" w:rsidP="00AD6087">
            <w:pPr>
              <w:spacing w:line="240" w:lineRule="auto"/>
              <w:ind w:hanging="5"/>
              <w:jc w:val="center"/>
            </w:pPr>
            <w:r w:rsidRPr="006435A5">
              <w:t>2.8</w:t>
            </w:r>
          </w:p>
        </w:tc>
        <w:tc>
          <w:tcPr>
            <w:tcW w:w="1014" w:type="dxa"/>
            <w:tcBorders>
              <w:left w:val="nil"/>
              <w:bottom w:val="thickThinSmallGap" w:sz="24" w:space="0" w:color="auto"/>
              <w:right w:val="nil"/>
            </w:tcBorders>
            <w:vAlign w:val="center"/>
          </w:tcPr>
          <w:p w14:paraId="3AB5EA51" w14:textId="77777777" w:rsidR="00AD6087" w:rsidRPr="006435A5" w:rsidRDefault="00AD6087" w:rsidP="00AD6087">
            <w:pPr>
              <w:spacing w:line="240" w:lineRule="auto"/>
              <w:ind w:hanging="5"/>
              <w:jc w:val="center"/>
            </w:pPr>
            <w:r w:rsidRPr="006435A5">
              <w:t>3.0</w:t>
            </w:r>
          </w:p>
        </w:tc>
        <w:tc>
          <w:tcPr>
            <w:tcW w:w="1019" w:type="dxa"/>
            <w:tcBorders>
              <w:left w:val="nil"/>
              <w:bottom w:val="thickThinSmallGap" w:sz="24" w:space="0" w:color="auto"/>
              <w:right w:val="nil"/>
            </w:tcBorders>
            <w:vAlign w:val="center"/>
          </w:tcPr>
          <w:p w14:paraId="6FEB045B" w14:textId="77777777" w:rsidR="00AD6087" w:rsidRPr="006435A5" w:rsidRDefault="00AD6087" w:rsidP="00AD6087">
            <w:pPr>
              <w:spacing w:line="240" w:lineRule="auto"/>
              <w:ind w:hanging="5"/>
              <w:jc w:val="center"/>
            </w:pPr>
            <w:r w:rsidRPr="006435A5">
              <w:t>3.0</w:t>
            </w:r>
          </w:p>
        </w:tc>
      </w:tr>
    </w:tbl>
    <w:p w14:paraId="463C4DFB" w14:textId="77777777" w:rsidR="00AD6087" w:rsidRPr="006435A5" w:rsidRDefault="00AD6087" w:rsidP="00AD6087">
      <w:pPr>
        <w:spacing w:line="276" w:lineRule="auto"/>
      </w:pPr>
    </w:p>
    <w:p w14:paraId="12886576" w14:textId="77777777" w:rsidR="00AD6087" w:rsidRPr="006435A5" w:rsidRDefault="00AD6087" w:rsidP="00AD6087">
      <w:pPr>
        <w:pStyle w:val="aff1"/>
        <w:spacing w:line="276" w:lineRule="auto"/>
        <w:rPr>
          <w:b/>
        </w:rPr>
      </w:pPr>
      <w:r w:rsidRPr="006435A5">
        <w:rPr>
          <w:b/>
        </w:rPr>
        <w:t xml:space="preserve">Աղյուսակ 17. </w:t>
      </w:r>
      <w:r w:rsidRPr="006435A5">
        <w:t>Պետական պարտատոմսերի ցուցանիշները 2019-2024 թվականներին</w:t>
      </w:r>
    </w:p>
    <w:tbl>
      <w:tblPr>
        <w:tblW w:w="10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56"/>
        <w:gridCol w:w="1132"/>
        <w:gridCol w:w="983"/>
        <w:gridCol w:w="1373"/>
        <w:gridCol w:w="1087"/>
        <w:gridCol w:w="971"/>
        <w:gridCol w:w="1003"/>
        <w:gridCol w:w="972"/>
      </w:tblGrid>
      <w:tr w:rsidR="00AD6087" w:rsidRPr="006435A5" w14:paraId="2B6514E6" w14:textId="77777777" w:rsidTr="00A42F0D">
        <w:trPr>
          <w:trHeight w:val="794"/>
          <w:tblHeader/>
          <w:jc w:val="center"/>
        </w:trPr>
        <w:tc>
          <w:tcPr>
            <w:tcW w:w="2856" w:type="dxa"/>
            <w:tcBorders>
              <w:top w:val="thinThickThinSmallGap" w:sz="24" w:space="0" w:color="auto"/>
              <w:left w:val="nil"/>
              <w:bottom w:val="thinThickSmallGap" w:sz="24" w:space="0" w:color="auto"/>
              <w:right w:val="nil"/>
            </w:tcBorders>
            <w:shd w:val="clear" w:color="auto" w:fill="5B9BD5"/>
            <w:vAlign w:val="center"/>
          </w:tcPr>
          <w:p w14:paraId="15A91A17" w14:textId="77777777" w:rsidR="00AD6087" w:rsidRPr="006435A5" w:rsidRDefault="00AD6087" w:rsidP="00A42F0D">
            <w:pPr>
              <w:spacing w:line="276" w:lineRule="auto"/>
              <w:ind w:firstLine="0"/>
              <w:jc w:val="center"/>
            </w:pPr>
          </w:p>
        </w:tc>
        <w:tc>
          <w:tcPr>
            <w:tcW w:w="1132" w:type="dxa"/>
            <w:tcBorders>
              <w:top w:val="thinThickThinSmallGap" w:sz="24" w:space="0" w:color="auto"/>
              <w:left w:val="nil"/>
              <w:bottom w:val="thinThickSmallGap" w:sz="24" w:space="0" w:color="auto"/>
              <w:right w:val="nil"/>
            </w:tcBorders>
            <w:shd w:val="clear" w:color="auto" w:fill="5B9BD5"/>
            <w:vAlign w:val="center"/>
          </w:tcPr>
          <w:p w14:paraId="135A9D01" w14:textId="77777777" w:rsidR="00AD6087" w:rsidRPr="006435A5" w:rsidRDefault="00AD6087" w:rsidP="00A42F0D">
            <w:pPr>
              <w:spacing w:line="276" w:lineRule="auto"/>
              <w:ind w:firstLine="0"/>
              <w:jc w:val="center"/>
            </w:pPr>
            <w:r w:rsidRPr="006435A5">
              <w:t>2019 փաստ.</w:t>
            </w:r>
          </w:p>
        </w:tc>
        <w:tc>
          <w:tcPr>
            <w:tcW w:w="983" w:type="dxa"/>
            <w:tcBorders>
              <w:top w:val="thinThickThinSmallGap" w:sz="24" w:space="0" w:color="auto"/>
              <w:left w:val="nil"/>
              <w:bottom w:val="thinThickSmallGap" w:sz="24" w:space="0" w:color="auto"/>
              <w:right w:val="nil"/>
            </w:tcBorders>
            <w:shd w:val="clear" w:color="auto" w:fill="5B9BD5"/>
            <w:vAlign w:val="center"/>
          </w:tcPr>
          <w:p w14:paraId="1645EF21" w14:textId="77777777" w:rsidR="00AD6087" w:rsidRPr="006435A5" w:rsidRDefault="00AD6087" w:rsidP="00A42F0D">
            <w:pPr>
              <w:spacing w:line="276" w:lineRule="auto"/>
              <w:ind w:firstLine="0"/>
              <w:jc w:val="center"/>
            </w:pPr>
            <w:r w:rsidRPr="006435A5">
              <w:t>2020 փաստ.</w:t>
            </w:r>
          </w:p>
        </w:tc>
        <w:tc>
          <w:tcPr>
            <w:tcW w:w="1373" w:type="dxa"/>
            <w:tcBorders>
              <w:top w:val="thinThickThinSmallGap" w:sz="24" w:space="0" w:color="auto"/>
              <w:left w:val="nil"/>
              <w:bottom w:val="thinThickSmallGap" w:sz="24" w:space="0" w:color="auto"/>
              <w:right w:val="double" w:sz="4" w:space="0" w:color="auto"/>
            </w:tcBorders>
            <w:shd w:val="clear" w:color="auto" w:fill="5B9BD5"/>
            <w:vAlign w:val="center"/>
          </w:tcPr>
          <w:p w14:paraId="13F38E92" w14:textId="77777777" w:rsidR="00AD6087" w:rsidRPr="006435A5" w:rsidRDefault="00AD6087" w:rsidP="00A42F0D">
            <w:pPr>
              <w:spacing w:line="276" w:lineRule="auto"/>
              <w:ind w:firstLine="0"/>
              <w:jc w:val="center"/>
            </w:pPr>
            <w:r w:rsidRPr="006435A5">
              <w:t>2021 պետբյուջեի ծրագիր</w:t>
            </w:r>
          </w:p>
        </w:tc>
        <w:tc>
          <w:tcPr>
            <w:tcW w:w="1087" w:type="dxa"/>
            <w:tcBorders>
              <w:top w:val="thinThickThinSmallGap" w:sz="24" w:space="0" w:color="auto"/>
              <w:left w:val="double" w:sz="4" w:space="0" w:color="auto"/>
              <w:bottom w:val="thinThickSmallGap" w:sz="24" w:space="0" w:color="auto"/>
              <w:right w:val="nil"/>
            </w:tcBorders>
            <w:shd w:val="clear" w:color="auto" w:fill="5B9BD5"/>
            <w:vAlign w:val="center"/>
          </w:tcPr>
          <w:p w14:paraId="01B138C1" w14:textId="77777777" w:rsidR="00AD6087" w:rsidRPr="006435A5" w:rsidRDefault="00AD6087" w:rsidP="00A42F0D">
            <w:pPr>
              <w:spacing w:line="276" w:lineRule="auto"/>
              <w:ind w:firstLine="0"/>
              <w:jc w:val="center"/>
            </w:pPr>
            <w:r w:rsidRPr="006435A5">
              <w:t>2021 կանխ.</w:t>
            </w:r>
          </w:p>
        </w:tc>
        <w:tc>
          <w:tcPr>
            <w:tcW w:w="971" w:type="dxa"/>
            <w:tcBorders>
              <w:top w:val="thinThickThinSmallGap" w:sz="24" w:space="0" w:color="auto"/>
              <w:left w:val="nil"/>
              <w:bottom w:val="thinThickSmallGap" w:sz="24" w:space="0" w:color="auto"/>
              <w:right w:val="nil"/>
            </w:tcBorders>
            <w:shd w:val="clear" w:color="auto" w:fill="5B9BD5"/>
            <w:vAlign w:val="center"/>
          </w:tcPr>
          <w:p w14:paraId="06DB030F" w14:textId="77777777" w:rsidR="00AD6087" w:rsidRPr="006435A5" w:rsidRDefault="00AD6087" w:rsidP="00A42F0D">
            <w:pPr>
              <w:spacing w:line="276" w:lineRule="auto"/>
              <w:ind w:firstLine="0"/>
              <w:jc w:val="center"/>
            </w:pPr>
            <w:r w:rsidRPr="006435A5">
              <w:t>2022 կանխ.</w:t>
            </w:r>
          </w:p>
        </w:tc>
        <w:tc>
          <w:tcPr>
            <w:tcW w:w="1003" w:type="dxa"/>
            <w:tcBorders>
              <w:top w:val="thinThickThinSmallGap" w:sz="24" w:space="0" w:color="auto"/>
              <w:left w:val="nil"/>
              <w:bottom w:val="thinThickSmallGap" w:sz="24" w:space="0" w:color="auto"/>
              <w:right w:val="nil"/>
            </w:tcBorders>
            <w:shd w:val="clear" w:color="auto" w:fill="5B9BD5"/>
            <w:vAlign w:val="center"/>
          </w:tcPr>
          <w:p w14:paraId="1B10F9BF" w14:textId="77777777" w:rsidR="00AD6087" w:rsidRPr="006435A5" w:rsidRDefault="00AD6087" w:rsidP="00A42F0D">
            <w:pPr>
              <w:spacing w:line="276" w:lineRule="auto"/>
              <w:ind w:firstLine="0"/>
              <w:jc w:val="center"/>
            </w:pPr>
            <w:r w:rsidRPr="006435A5">
              <w:t>2023 կանխ.</w:t>
            </w:r>
          </w:p>
        </w:tc>
        <w:tc>
          <w:tcPr>
            <w:tcW w:w="972" w:type="dxa"/>
            <w:tcBorders>
              <w:top w:val="thinThickThinSmallGap" w:sz="24" w:space="0" w:color="auto"/>
              <w:left w:val="nil"/>
              <w:bottom w:val="thinThickSmallGap" w:sz="24" w:space="0" w:color="auto"/>
              <w:right w:val="nil"/>
            </w:tcBorders>
            <w:shd w:val="clear" w:color="auto" w:fill="5B9BD5"/>
            <w:vAlign w:val="center"/>
          </w:tcPr>
          <w:p w14:paraId="7549CDB2" w14:textId="77777777" w:rsidR="00AD6087" w:rsidRPr="006435A5" w:rsidRDefault="00AD6087" w:rsidP="00A42F0D">
            <w:pPr>
              <w:spacing w:line="276" w:lineRule="auto"/>
              <w:ind w:firstLine="0"/>
              <w:jc w:val="center"/>
            </w:pPr>
            <w:r w:rsidRPr="006435A5">
              <w:t>2024 կանխ.</w:t>
            </w:r>
          </w:p>
        </w:tc>
      </w:tr>
      <w:tr w:rsidR="00AD6087" w:rsidRPr="006435A5" w14:paraId="0C9A9118" w14:textId="77777777" w:rsidTr="00A42F0D">
        <w:trPr>
          <w:trHeight w:val="524"/>
          <w:jc w:val="center"/>
        </w:trPr>
        <w:tc>
          <w:tcPr>
            <w:tcW w:w="2856" w:type="dxa"/>
            <w:tcBorders>
              <w:left w:val="nil"/>
              <w:bottom w:val="single" w:sz="4" w:space="0" w:color="auto"/>
              <w:right w:val="nil"/>
            </w:tcBorders>
            <w:vAlign w:val="center"/>
          </w:tcPr>
          <w:p w14:paraId="5FDF74B9" w14:textId="77777777" w:rsidR="00AD6087" w:rsidRPr="006435A5" w:rsidRDefault="00AD6087" w:rsidP="00AD6087">
            <w:pPr>
              <w:spacing w:line="240" w:lineRule="auto"/>
              <w:ind w:firstLine="0"/>
              <w:jc w:val="left"/>
            </w:pPr>
            <w:r w:rsidRPr="006435A5">
              <w:t>Պետական գանձապետական պարտատոմսեր, մլրդ դրամ</w:t>
            </w:r>
          </w:p>
        </w:tc>
        <w:tc>
          <w:tcPr>
            <w:tcW w:w="1132" w:type="dxa"/>
            <w:tcBorders>
              <w:left w:val="nil"/>
              <w:bottom w:val="single" w:sz="4" w:space="0" w:color="auto"/>
              <w:right w:val="nil"/>
            </w:tcBorders>
            <w:vAlign w:val="center"/>
          </w:tcPr>
          <w:p w14:paraId="1A8DCDC0" w14:textId="77777777" w:rsidR="00AD6087" w:rsidRPr="006435A5" w:rsidRDefault="00AD6087" w:rsidP="00AD6087">
            <w:pPr>
              <w:spacing w:line="240" w:lineRule="auto"/>
              <w:ind w:firstLine="0"/>
              <w:jc w:val="center"/>
            </w:pPr>
            <w:r w:rsidRPr="006435A5">
              <w:t>681.0</w:t>
            </w:r>
          </w:p>
        </w:tc>
        <w:tc>
          <w:tcPr>
            <w:tcW w:w="983" w:type="dxa"/>
            <w:tcBorders>
              <w:left w:val="nil"/>
              <w:bottom w:val="single" w:sz="4" w:space="0" w:color="auto"/>
              <w:right w:val="nil"/>
            </w:tcBorders>
            <w:vAlign w:val="center"/>
          </w:tcPr>
          <w:p w14:paraId="4D1B11D8" w14:textId="77777777" w:rsidR="00AD6087" w:rsidRPr="006435A5" w:rsidRDefault="00AD6087" w:rsidP="00AD6087">
            <w:pPr>
              <w:spacing w:line="240" w:lineRule="auto"/>
              <w:ind w:firstLine="0"/>
              <w:jc w:val="center"/>
            </w:pPr>
            <w:r w:rsidRPr="006435A5">
              <w:t>958.8</w:t>
            </w:r>
          </w:p>
        </w:tc>
        <w:tc>
          <w:tcPr>
            <w:tcW w:w="1373" w:type="dxa"/>
            <w:tcBorders>
              <w:left w:val="nil"/>
              <w:bottom w:val="single" w:sz="4" w:space="0" w:color="auto"/>
              <w:right w:val="double" w:sz="4" w:space="0" w:color="auto"/>
            </w:tcBorders>
            <w:vAlign w:val="center"/>
          </w:tcPr>
          <w:p w14:paraId="2288762B" w14:textId="77777777" w:rsidR="00AD6087" w:rsidRPr="006435A5" w:rsidRDefault="00AD6087" w:rsidP="00AD6087">
            <w:pPr>
              <w:spacing w:line="240" w:lineRule="auto"/>
              <w:ind w:firstLine="0"/>
              <w:jc w:val="center"/>
            </w:pPr>
            <w:r w:rsidRPr="006435A5">
              <w:t>1,178.1</w:t>
            </w:r>
          </w:p>
        </w:tc>
        <w:tc>
          <w:tcPr>
            <w:tcW w:w="1087" w:type="dxa"/>
            <w:tcBorders>
              <w:left w:val="double" w:sz="4" w:space="0" w:color="auto"/>
              <w:bottom w:val="single" w:sz="4" w:space="0" w:color="auto"/>
              <w:right w:val="nil"/>
            </w:tcBorders>
            <w:vAlign w:val="center"/>
          </w:tcPr>
          <w:p w14:paraId="682A1C45" w14:textId="77777777" w:rsidR="00AD6087" w:rsidRPr="006435A5" w:rsidRDefault="00AD6087" w:rsidP="00AD6087">
            <w:pPr>
              <w:spacing w:line="240" w:lineRule="auto"/>
              <w:ind w:firstLine="0"/>
              <w:jc w:val="center"/>
            </w:pPr>
            <w:r w:rsidRPr="006435A5">
              <w:t>1,162.3</w:t>
            </w:r>
          </w:p>
        </w:tc>
        <w:tc>
          <w:tcPr>
            <w:tcW w:w="971" w:type="dxa"/>
            <w:tcBorders>
              <w:left w:val="nil"/>
              <w:bottom w:val="single" w:sz="4" w:space="0" w:color="auto"/>
              <w:right w:val="nil"/>
            </w:tcBorders>
            <w:vAlign w:val="center"/>
          </w:tcPr>
          <w:p w14:paraId="328B7C4D" w14:textId="77777777" w:rsidR="00AD6087" w:rsidRPr="006435A5" w:rsidRDefault="00AD6087" w:rsidP="00AD6087">
            <w:pPr>
              <w:spacing w:line="240" w:lineRule="auto"/>
              <w:ind w:firstLine="0"/>
              <w:jc w:val="center"/>
            </w:pPr>
            <w:r w:rsidRPr="006435A5">
              <w:t>1,382.3</w:t>
            </w:r>
          </w:p>
        </w:tc>
        <w:tc>
          <w:tcPr>
            <w:tcW w:w="1003" w:type="dxa"/>
            <w:tcBorders>
              <w:left w:val="nil"/>
              <w:bottom w:val="single" w:sz="4" w:space="0" w:color="auto"/>
              <w:right w:val="nil"/>
            </w:tcBorders>
            <w:vAlign w:val="center"/>
          </w:tcPr>
          <w:p w14:paraId="2C2C6BC4" w14:textId="77777777" w:rsidR="00AD6087" w:rsidRPr="006435A5" w:rsidRDefault="00AD6087" w:rsidP="00AD6087">
            <w:pPr>
              <w:spacing w:line="240" w:lineRule="auto"/>
              <w:ind w:firstLine="0"/>
              <w:jc w:val="center"/>
            </w:pPr>
            <w:r w:rsidRPr="006435A5">
              <w:t>1,622.3</w:t>
            </w:r>
          </w:p>
        </w:tc>
        <w:tc>
          <w:tcPr>
            <w:tcW w:w="972" w:type="dxa"/>
            <w:tcBorders>
              <w:left w:val="nil"/>
              <w:bottom w:val="single" w:sz="4" w:space="0" w:color="auto"/>
              <w:right w:val="nil"/>
            </w:tcBorders>
            <w:vAlign w:val="center"/>
          </w:tcPr>
          <w:p w14:paraId="3F2F1738" w14:textId="77777777" w:rsidR="00AD6087" w:rsidRPr="006435A5" w:rsidRDefault="00AD6087" w:rsidP="00AD6087">
            <w:pPr>
              <w:spacing w:line="240" w:lineRule="auto"/>
              <w:ind w:firstLine="0"/>
              <w:jc w:val="center"/>
            </w:pPr>
            <w:r w:rsidRPr="006435A5">
              <w:t>1,882.3</w:t>
            </w:r>
          </w:p>
        </w:tc>
      </w:tr>
      <w:tr w:rsidR="00AD6087" w:rsidRPr="006435A5" w14:paraId="7906ECED" w14:textId="77777777" w:rsidTr="00A42F0D">
        <w:trPr>
          <w:trHeight w:val="263"/>
          <w:jc w:val="center"/>
        </w:trPr>
        <w:tc>
          <w:tcPr>
            <w:tcW w:w="2856" w:type="dxa"/>
            <w:tcBorders>
              <w:left w:val="nil"/>
              <w:bottom w:val="single" w:sz="12" w:space="0" w:color="auto"/>
              <w:right w:val="nil"/>
            </w:tcBorders>
            <w:vAlign w:val="center"/>
          </w:tcPr>
          <w:p w14:paraId="20BCFFB7" w14:textId="77777777" w:rsidR="00AD6087" w:rsidRPr="006435A5" w:rsidRDefault="00AD6087" w:rsidP="00AD6087">
            <w:pPr>
              <w:spacing w:line="240" w:lineRule="auto"/>
              <w:ind w:firstLine="0"/>
              <w:jc w:val="left"/>
            </w:pPr>
            <w:r w:rsidRPr="006435A5">
              <w:t>% ՀՆԱ-ի նկատմամբ</w:t>
            </w:r>
          </w:p>
        </w:tc>
        <w:tc>
          <w:tcPr>
            <w:tcW w:w="1132" w:type="dxa"/>
            <w:tcBorders>
              <w:left w:val="nil"/>
              <w:bottom w:val="single" w:sz="12" w:space="0" w:color="auto"/>
              <w:right w:val="nil"/>
            </w:tcBorders>
            <w:vAlign w:val="center"/>
          </w:tcPr>
          <w:p w14:paraId="0DAAD997" w14:textId="77777777" w:rsidR="00AD6087" w:rsidRPr="006435A5" w:rsidRDefault="00AD6087" w:rsidP="00AD6087">
            <w:pPr>
              <w:spacing w:line="240" w:lineRule="auto"/>
              <w:ind w:firstLine="0"/>
              <w:jc w:val="center"/>
            </w:pPr>
            <w:r w:rsidRPr="006435A5">
              <w:t>10.4</w:t>
            </w:r>
          </w:p>
        </w:tc>
        <w:tc>
          <w:tcPr>
            <w:tcW w:w="983" w:type="dxa"/>
            <w:tcBorders>
              <w:left w:val="nil"/>
              <w:bottom w:val="single" w:sz="12" w:space="0" w:color="auto"/>
              <w:right w:val="nil"/>
            </w:tcBorders>
            <w:vAlign w:val="center"/>
          </w:tcPr>
          <w:p w14:paraId="6E6A1B9E" w14:textId="77777777" w:rsidR="00AD6087" w:rsidRPr="006435A5" w:rsidRDefault="00AD6087" w:rsidP="00AD6087">
            <w:pPr>
              <w:spacing w:line="240" w:lineRule="auto"/>
              <w:ind w:firstLine="0"/>
              <w:jc w:val="center"/>
            </w:pPr>
            <w:r w:rsidRPr="006435A5">
              <w:t>15.5</w:t>
            </w:r>
          </w:p>
        </w:tc>
        <w:tc>
          <w:tcPr>
            <w:tcW w:w="1373" w:type="dxa"/>
            <w:tcBorders>
              <w:left w:val="nil"/>
              <w:bottom w:val="single" w:sz="12" w:space="0" w:color="auto"/>
              <w:right w:val="double" w:sz="4" w:space="0" w:color="auto"/>
            </w:tcBorders>
            <w:vAlign w:val="center"/>
          </w:tcPr>
          <w:p w14:paraId="77B26B37" w14:textId="77777777" w:rsidR="00AD6087" w:rsidRPr="006435A5" w:rsidRDefault="00AD6087" w:rsidP="00AD6087">
            <w:pPr>
              <w:spacing w:line="240" w:lineRule="auto"/>
              <w:ind w:firstLine="0"/>
              <w:jc w:val="center"/>
            </w:pPr>
            <w:r w:rsidRPr="006435A5">
              <w:t>18.0</w:t>
            </w:r>
          </w:p>
        </w:tc>
        <w:tc>
          <w:tcPr>
            <w:tcW w:w="1087" w:type="dxa"/>
            <w:tcBorders>
              <w:left w:val="double" w:sz="4" w:space="0" w:color="auto"/>
              <w:bottom w:val="single" w:sz="12" w:space="0" w:color="auto"/>
              <w:right w:val="nil"/>
            </w:tcBorders>
            <w:vAlign w:val="center"/>
          </w:tcPr>
          <w:p w14:paraId="12C80FB3" w14:textId="77777777" w:rsidR="00AD6087" w:rsidRPr="006435A5" w:rsidRDefault="00AD6087" w:rsidP="00AD6087">
            <w:pPr>
              <w:spacing w:line="240" w:lineRule="auto"/>
              <w:ind w:firstLine="0"/>
              <w:jc w:val="center"/>
            </w:pPr>
            <w:r w:rsidRPr="006435A5">
              <w:t>16.9</w:t>
            </w:r>
          </w:p>
        </w:tc>
        <w:tc>
          <w:tcPr>
            <w:tcW w:w="971" w:type="dxa"/>
            <w:tcBorders>
              <w:left w:val="nil"/>
              <w:bottom w:val="single" w:sz="12" w:space="0" w:color="auto"/>
              <w:right w:val="nil"/>
            </w:tcBorders>
            <w:vAlign w:val="center"/>
          </w:tcPr>
          <w:p w14:paraId="200EFD1A" w14:textId="77777777" w:rsidR="00AD6087" w:rsidRPr="006435A5" w:rsidRDefault="00AD6087" w:rsidP="00AD6087">
            <w:pPr>
              <w:spacing w:line="240" w:lineRule="auto"/>
              <w:ind w:firstLine="0"/>
              <w:jc w:val="center"/>
            </w:pPr>
            <w:r w:rsidRPr="006435A5">
              <w:t>18.3</w:t>
            </w:r>
          </w:p>
        </w:tc>
        <w:tc>
          <w:tcPr>
            <w:tcW w:w="1003" w:type="dxa"/>
            <w:tcBorders>
              <w:left w:val="nil"/>
              <w:bottom w:val="single" w:sz="12" w:space="0" w:color="auto"/>
              <w:right w:val="nil"/>
            </w:tcBorders>
            <w:vAlign w:val="center"/>
          </w:tcPr>
          <w:p w14:paraId="7A109553" w14:textId="77777777" w:rsidR="00AD6087" w:rsidRPr="006435A5" w:rsidRDefault="00AD6087" w:rsidP="00AD6087">
            <w:pPr>
              <w:spacing w:line="240" w:lineRule="auto"/>
              <w:ind w:firstLine="0"/>
              <w:jc w:val="center"/>
            </w:pPr>
            <w:r w:rsidRPr="006435A5">
              <w:t>19.9</w:t>
            </w:r>
          </w:p>
        </w:tc>
        <w:tc>
          <w:tcPr>
            <w:tcW w:w="972" w:type="dxa"/>
            <w:tcBorders>
              <w:left w:val="nil"/>
              <w:bottom w:val="single" w:sz="12" w:space="0" w:color="auto"/>
              <w:right w:val="nil"/>
            </w:tcBorders>
            <w:vAlign w:val="center"/>
          </w:tcPr>
          <w:p w14:paraId="693D8AE9" w14:textId="77777777" w:rsidR="00AD6087" w:rsidRPr="006435A5" w:rsidRDefault="00AD6087" w:rsidP="00AD6087">
            <w:pPr>
              <w:spacing w:line="240" w:lineRule="auto"/>
              <w:ind w:firstLine="0"/>
              <w:jc w:val="center"/>
            </w:pPr>
            <w:r w:rsidRPr="006435A5">
              <w:t>21.3</w:t>
            </w:r>
          </w:p>
        </w:tc>
      </w:tr>
      <w:tr w:rsidR="00AD6087" w:rsidRPr="006435A5" w14:paraId="522215DD" w14:textId="77777777" w:rsidTr="00A42F0D">
        <w:trPr>
          <w:trHeight w:val="524"/>
          <w:jc w:val="center"/>
        </w:trPr>
        <w:tc>
          <w:tcPr>
            <w:tcW w:w="2856" w:type="dxa"/>
            <w:tcBorders>
              <w:top w:val="single" w:sz="12" w:space="0" w:color="auto"/>
              <w:left w:val="nil"/>
              <w:right w:val="nil"/>
            </w:tcBorders>
            <w:vAlign w:val="center"/>
          </w:tcPr>
          <w:p w14:paraId="19BC2999" w14:textId="77777777" w:rsidR="00AD6087" w:rsidRPr="006435A5" w:rsidRDefault="00AD6087" w:rsidP="00AD6087">
            <w:pPr>
              <w:spacing w:line="240" w:lineRule="auto"/>
              <w:ind w:firstLine="0"/>
              <w:jc w:val="left"/>
            </w:pPr>
            <w:r w:rsidRPr="006435A5">
              <w:t>ըստ մարման մնացած օրերի</w:t>
            </w:r>
            <w:r w:rsidRPr="006435A5">
              <w:rPr>
                <w:bCs/>
              </w:rPr>
              <w:t>, մլրդ դրամ</w:t>
            </w:r>
          </w:p>
        </w:tc>
        <w:tc>
          <w:tcPr>
            <w:tcW w:w="1132" w:type="dxa"/>
            <w:tcBorders>
              <w:top w:val="single" w:sz="12" w:space="0" w:color="auto"/>
              <w:left w:val="nil"/>
              <w:right w:val="nil"/>
            </w:tcBorders>
            <w:vAlign w:val="center"/>
          </w:tcPr>
          <w:p w14:paraId="6294A2D4" w14:textId="77777777" w:rsidR="00AD6087" w:rsidRPr="006435A5" w:rsidRDefault="00AD6087" w:rsidP="00AD6087">
            <w:pPr>
              <w:spacing w:line="240" w:lineRule="auto"/>
              <w:ind w:firstLine="0"/>
              <w:jc w:val="center"/>
            </w:pPr>
          </w:p>
        </w:tc>
        <w:tc>
          <w:tcPr>
            <w:tcW w:w="983" w:type="dxa"/>
            <w:tcBorders>
              <w:top w:val="single" w:sz="12" w:space="0" w:color="auto"/>
              <w:left w:val="nil"/>
              <w:right w:val="nil"/>
            </w:tcBorders>
            <w:vAlign w:val="center"/>
          </w:tcPr>
          <w:p w14:paraId="7B378D75" w14:textId="77777777" w:rsidR="00AD6087" w:rsidRPr="006435A5" w:rsidRDefault="00AD6087" w:rsidP="00AD6087">
            <w:pPr>
              <w:spacing w:line="240" w:lineRule="auto"/>
              <w:ind w:firstLine="0"/>
              <w:jc w:val="center"/>
            </w:pPr>
          </w:p>
        </w:tc>
        <w:tc>
          <w:tcPr>
            <w:tcW w:w="1373" w:type="dxa"/>
            <w:tcBorders>
              <w:top w:val="single" w:sz="12" w:space="0" w:color="auto"/>
              <w:left w:val="nil"/>
              <w:right w:val="double" w:sz="4" w:space="0" w:color="auto"/>
            </w:tcBorders>
            <w:vAlign w:val="center"/>
          </w:tcPr>
          <w:p w14:paraId="1D3AB7AB" w14:textId="77777777" w:rsidR="00AD6087" w:rsidRPr="006435A5" w:rsidRDefault="00AD6087" w:rsidP="00AD6087">
            <w:pPr>
              <w:spacing w:line="240" w:lineRule="auto"/>
              <w:ind w:firstLine="0"/>
              <w:jc w:val="center"/>
            </w:pPr>
          </w:p>
        </w:tc>
        <w:tc>
          <w:tcPr>
            <w:tcW w:w="1087" w:type="dxa"/>
            <w:tcBorders>
              <w:top w:val="single" w:sz="12" w:space="0" w:color="auto"/>
              <w:left w:val="double" w:sz="4" w:space="0" w:color="auto"/>
              <w:right w:val="nil"/>
            </w:tcBorders>
            <w:vAlign w:val="center"/>
          </w:tcPr>
          <w:p w14:paraId="70A4DFD4" w14:textId="77777777" w:rsidR="00AD6087" w:rsidRPr="006435A5" w:rsidRDefault="00AD6087" w:rsidP="00AD6087">
            <w:pPr>
              <w:spacing w:line="240" w:lineRule="auto"/>
              <w:ind w:firstLine="0"/>
              <w:jc w:val="center"/>
            </w:pPr>
          </w:p>
        </w:tc>
        <w:tc>
          <w:tcPr>
            <w:tcW w:w="971" w:type="dxa"/>
            <w:tcBorders>
              <w:top w:val="single" w:sz="12" w:space="0" w:color="auto"/>
              <w:left w:val="nil"/>
              <w:right w:val="nil"/>
            </w:tcBorders>
            <w:vAlign w:val="center"/>
          </w:tcPr>
          <w:p w14:paraId="002BB783" w14:textId="77777777" w:rsidR="00AD6087" w:rsidRPr="006435A5" w:rsidRDefault="00AD6087" w:rsidP="00AD6087">
            <w:pPr>
              <w:spacing w:line="240" w:lineRule="auto"/>
              <w:ind w:firstLine="0"/>
              <w:jc w:val="center"/>
            </w:pPr>
          </w:p>
        </w:tc>
        <w:tc>
          <w:tcPr>
            <w:tcW w:w="1003" w:type="dxa"/>
            <w:tcBorders>
              <w:top w:val="single" w:sz="12" w:space="0" w:color="auto"/>
              <w:left w:val="nil"/>
              <w:right w:val="nil"/>
            </w:tcBorders>
            <w:vAlign w:val="center"/>
          </w:tcPr>
          <w:p w14:paraId="282BDADB" w14:textId="77777777" w:rsidR="00AD6087" w:rsidRPr="006435A5" w:rsidRDefault="00AD6087" w:rsidP="00AD6087">
            <w:pPr>
              <w:spacing w:line="240" w:lineRule="auto"/>
              <w:ind w:firstLine="0"/>
              <w:jc w:val="center"/>
            </w:pPr>
          </w:p>
        </w:tc>
        <w:tc>
          <w:tcPr>
            <w:tcW w:w="972" w:type="dxa"/>
            <w:tcBorders>
              <w:top w:val="single" w:sz="12" w:space="0" w:color="auto"/>
              <w:left w:val="nil"/>
              <w:right w:val="nil"/>
            </w:tcBorders>
            <w:vAlign w:val="center"/>
          </w:tcPr>
          <w:p w14:paraId="3577DB3A" w14:textId="77777777" w:rsidR="00AD6087" w:rsidRPr="006435A5" w:rsidRDefault="00AD6087" w:rsidP="00AD6087">
            <w:pPr>
              <w:spacing w:line="240" w:lineRule="auto"/>
              <w:ind w:firstLine="0"/>
              <w:jc w:val="center"/>
            </w:pPr>
          </w:p>
        </w:tc>
      </w:tr>
      <w:tr w:rsidR="00AD6087" w:rsidRPr="006435A5" w14:paraId="7347EEBF" w14:textId="77777777" w:rsidTr="00A42F0D">
        <w:trPr>
          <w:trHeight w:val="263"/>
          <w:jc w:val="center"/>
        </w:trPr>
        <w:tc>
          <w:tcPr>
            <w:tcW w:w="2856" w:type="dxa"/>
            <w:tcBorders>
              <w:left w:val="nil"/>
              <w:right w:val="nil"/>
            </w:tcBorders>
            <w:vAlign w:val="center"/>
          </w:tcPr>
          <w:p w14:paraId="00AD984E" w14:textId="77777777" w:rsidR="00AD6087" w:rsidRPr="006435A5" w:rsidRDefault="00AD6087" w:rsidP="00AD6087">
            <w:pPr>
              <w:spacing w:line="240" w:lineRule="auto"/>
              <w:ind w:firstLine="0"/>
              <w:jc w:val="left"/>
              <w:rPr>
                <w:bCs/>
              </w:rPr>
            </w:pPr>
            <w:r w:rsidRPr="006435A5">
              <w:t>Մինչև 1 տարի</w:t>
            </w:r>
          </w:p>
        </w:tc>
        <w:tc>
          <w:tcPr>
            <w:tcW w:w="1132" w:type="dxa"/>
            <w:tcBorders>
              <w:left w:val="nil"/>
              <w:right w:val="nil"/>
            </w:tcBorders>
            <w:vAlign w:val="center"/>
          </w:tcPr>
          <w:p w14:paraId="1EB893B9" w14:textId="77777777" w:rsidR="00AD6087" w:rsidRPr="006435A5" w:rsidRDefault="00AD6087" w:rsidP="00AD6087">
            <w:pPr>
              <w:spacing w:line="240" w:lineRule="auto"/>
              <w:ind w:firstLine="0"/>
              <w:jc w:val="center"/>
            </w:pPr>
            <w:r w:rsidRPr="006435A5">
              <w:t>86.2</w:t>
            </w:r>
          </w:p>
        </w:tc>
        <w:tc>
          <w:tcPr>
            <w:tcW w:w="983" w:type="dxa"/>
            <w:tcBorders>
              <w:left w:val="nil"/>
              <w:right w:val="nil"/>
            </w:tcBorders>
            <w:vAlign w:val="center"/>
          </w:tcPr>
          <w:p w14:paraId="2A07DA34" w14:textId="77777777" w:rsidR="00AD6087" w:rsidRPr="006435A5" w:rsidRDefault="00AD6087" w:rsidP="00AD6087">
            <w:pPr>
              <w:spacing w:line="240" w:lineRule="auto"/>
              <w:ind w:firstLine="0"/>
              <w:jc w:val="center"/>
            </w:pPr>
            <w:r w:rsidRPr="006435A5">
              <w:t>110.4</w:t>
            </w:r>
          </w:p>
        </w:tc>
        <w:tc>
          <w:tcPr>
            <w:tcW w:w="1373" w:type="dxa"/>
            <w:tcBorders>
              <w:left w:val="nil"/>
              <w:right w:val="double" w:sz="4" w:space="0" w:color="auto"/>
            </w:tcBorders>
            <w:vAlign w:val="center"/>
          </w:tcPr>
          <w:p w14:paraId="0A4AD280" w14:textId="77777777" w:rsidR="00AD6087" w:rsidRPr="006435A5" w:rsidRDefault="00AD6087" w:rsidP="00AD6087">
            <w:pPr>
              <w:spacing w:line="240" w:lineRule="auto"/>
              <w:ind w:firstLine="0"/>
              <w:jc w:val="center"/>
            </w:pPr>
            <w:r w:rsidRPr="006435A5">
              <w:t>121.5</w:t>
            </w:r>
          </w:p>
        </w:tc>
        <w:tc>
          <w:tcPr>
            <w:tcW w:w="1087" w:type="dxa"/>
            <w:tcBorders>
              <w:left w:val="double" w:sz="4" w:space="0" w:color="auto"/>
              <w:right w:val="nil"/>
            </w:tcBorders>
            <w:vAlign w:val="center"/>
          </w:tcPr>
          <w:p w14:paraId="737A2CE9" w14:textId="77777777" w:rsidR="00AD6087" w:rsidRPr="006435A5" w:rsidRDefault="00AD6087" w:rsidP="00AD6087">
            <w:pPr>
              <w:spacing w:line="240" w:lineRule="auto"/>
              <w:ind w:firstLine="0"/>
              <w:jc w:val="center"/>
            </w:pPr>
            <w:r w:rsidRPr="006435A5">
              <w:t>141.5</w:t>
            </w:r>
          </w:p>
        </w:tc>
        <w:tc>
          <w:tcPr>
            <w:tcW w:w="971" w:type="dxa"/>
            <w:tcBorders>
              <w:left w:val="nil"/>
              <w:right w:val="nil"/>
            </w:tcBorders>
            <w:vAlign w:val="center"/>
          </w:tcPr>
          <w:p w14:paraId="3119D5E0" w14:textId="77777777" w:rsidR="00AD6087" w:rsidRPr="006435A5" w:rsidRDefault="00AD6087" w:rsidP="00AD6087">
            <w:pPr>
              <w:spacing w:line="240" w:lineRule="auto"/>
              <w:ind w:firstLine="0"/>
              <w:jc w:val="center"/>
            </w:pPr>
            <w:r w:rsidRPr="006435A5">
              <w:t>153.9</w:t>
            </w:r>
          </w:p>
        </w:tc>
        <w:tc>
          <w:tcPr>
            <w:tcW w:w="1003" w:type="dxa"/>
            <w:tcBorders>
              <w:left w:val="nil"/>
              <w:right w:val="nil"/>
            </w:tcBorders>
            <w:vAlign w:val="center"/>
          </w:tcPr>
          <w:p w14:paraId="472ED1E9" w14:textId="77777777" w:rsidR="00AD6087" w:rsidRPr="006435A5" w:rsidRDefault="00AD6087" w:rsidP="00AD6087">
            <w:pPr>
              <w:spacing w:line="240" w:lineRule="auto"/>
              <w:ind w:firstLine="0"/>
              <w:jc w:val="center"/>
            </w:pPr>
            <w:r w:rsidRPr="006435A5">
              <w:t>162.9</w:t>
            </w:r>
          </w:p>
        </w:tc>
        <w:tc>
          <w:tcPr>
            <w:tcW w:w="972" w:type="dxa"/>
            <w:tcBorders>
              <w:left w:val="nil"/>
              <w:right w:val="nil"/>
            </w:tcBorders>
            <w:vAlign w:val="center"/>
          </w:tcPr>
          <w:p w14:paraId="6A37A1D2" w14:textId="77777777" w:rsidR="00AD6087" w:rsidRPr="006435A5" w:rsidRDefault="00AD6087" w:rsidP="00AD6087">
            <w:pPr>
              <w:spacing w:line="240" w:lineRule="auto"/>
              <w:ind w:firstLine="0"/>
              <w:jc w:val="center"/>
            </w:pPr>
            <w:r w:rsidRPr="006435A5">
              <w:t>265.4</w:t>
            </w:r>
          </w:p>
        </w:tc>
      </w:tr>
      <w:tr w:rsidR="00AD6087" w:rsidRPr="006435A5" w14:paraId="4FA82069" w14:textId="77777777" w:rsidTr="00A42F0D">
        <w:trPr>
          <w:trHeight w:val="256"/>
          <w:jc w:val="center"/>
        </w:trPr>
        <w:tc>
          <w:tcPr>
            <w:tcW w:w="2856" w:type="dxa"/>
            <w:tcBorders>
              <w:left w:val="nil"/>
              <w:bottom w:val="single" w:sz="4" w:space="0" w:color="auto"/>
              <w:right w:val="nil"/>
            </w:tcBorders>
            <w:vAlign w:val="center"/>
          </w:tcPr>
          <w:p w14:paraId="299F0016" w14:textId="77777777" w:rsidR="00AD6087" w:rsidRPr="006435A5" w:rsidRDefault="00AD6087" w:rsidP="00AD6087">
            <w:pPr>
              <w:spacing w:line="240" w:lineRule="auto"/>
              <w:ind w:firstLine="0"/>
              <w:jc w:val="left"/>
              <w:rPr>
                <w:bCs/>
              </w:rPr>
            </w:pPr>
            <w:r w:rsidRPr="006435A5">
              <w:t>1-5 տարի</w:t>
            </w:r>
          </w:p>
        </w:tc>
        <w:tc>
          <w:tcPr>
            <w:tcW w:w="1132" w:type="dxa"/>
            <w:tcBorders>
              <w:left w:val="nil"/>
              <w:bottom w:val="single" w:sz="4" w:space="0" w:color="auto"/>
              <w:right w:val="nil"/>
            </w:tcBorders>
            <w:vAlign w:val="center"/>
          </w:tcPr>
          <w:p w14:paraId="53D318A5" w14:textId="77777777" w:rsidR="00AD6087" w:rsidRPr="006435A5" w:rsidRDefault="00AD6087" w:rsidP="00AD6087">
            <w:pPr>
              <w:spacing w:line="240" w:lineRule="auto"/>
              <w:ind w:firstLine="0"/>
              <w:jc w:val="center"/>
            </w:pPr>
            <w:r w:rsidRPr="006435A5">
              <w:t>196.1</w:t>
            </w:r>
          </w:p>
        </w:tc>
        <w:tc>
          <w:tcPr>
            <w:tcW w:w="983" w:type="dxa"/>
            <w:tcBorders>
              <w:left w:val="nil"/>
              <w:bottom w:val="single" w:sz="4" w:space="0" w:color="auto"/>
              <w:right w:val="nil"/>
            </w:tcBorders>
            <w:vAlign w:val="center"/>
          </w:tcPr>
          <w:p w14:paraId="646544CF" w14:textId="77777777" w:rsidR="00AD6087" w:rsidRPr="006435A5" w:rsidRDefault="00AD6087" w:rsidP="00AD6087">
            <w:pPr>
              <w:spacing w:line="240" w:lineRule="auto"/>
              <w:ind w:firstLine="0"/>
              <w:jc w:val="center"/>
            </w:pPr>
            <w:r w:rsidRPr="006435A5">
              <w:t>277.6</w:t>
            </w:r>
          </w:p>
        </w:tc>
        <w:tc>
          <w:tcPr>
            <w:tcW w:w="1373" w:type="dxa"/>
            <w:tcBorders>
              <w:left w:val="nil"/>
              <w:bottom w:val="single" w:sz="4" w:space="0" w:color="auto"/>
              <w:right w:val="double" w:sz="4" w:space="0" w:color="auto"/>
            </w:tcBorders>
            <w:vAlign w:val="center"/>
          </w:tcPr>
          <w:p w14:paraId="1C0DB55C" w14:textId="77777777" w:rsidR="00AD6087" w:rsidRPr="006435A5" w:rsidRDefault="00AD6087" w:rsidP="00AD6087">
            <w:pPr>
              <w:spacing w:line="240" w:lineRule="auto"/>
              <w:ind w:firstLine="0"/>
              <w:jc w:val="center"/>
            </w:pPr>
            <w:r w:rsidRPr="006435A5">
              <w:t>349.8</w:t>
            </w:r>
          </w:p>
        </w:tc>
        <w:tc>
          <w:tcPr>
            <w:tcW w:w="1087" w:type="dxa"/>
            <w:tcBorders>
              <w:left w:val="double" w:sz="4" w:space="0" w:color="auto"/>
              <w:bottom w:val="single" w:sz="4" w:space="0" w:color="auto"/>
              <w:right w:val="nil"/>
            </w:tcBorders>
            <w:vAlign w:val="center"/>
          </w:tcPr>
          <w:p w14:paraId="54F33D13" w14:textId="77777777" w:rsidR="00AD6087" w:rsidRPr="006435A5" w:rsidRDefault="00AD6087" w:rsidP="00AD6087">
            <w:pPr>
              <w:spacing w:line="240" w:lineRule="auto"/>
              <w:ind w:firstLine="0"/>
              <w:jc w:val="center"/>
            </w:pPr>
            <w:r w:rsidRPr="006435A5">
              <w:t>308.5</w:t>
            </w:r>
          </w:p>
        </w:tc>
        <w:tc>
          <w:tcPr>
            <w:tcW w:w="971" w:type="dxa"/>
            <w:tcBorders>
              <w:left w:val="nil"/>
              <w:bottom w:val="single" w:sz="4" w:space="0" w:color="auto"/>
              <w:right w:val="nil"/>
            </w:tcBorders>
            <w:vAlign w:val="center"/>
          </w:tcPr>
          <w:p w14:paraId="127AD3A7" w14:textId="77777777" w:rsidR="00AD6087" w:rsidRPr="006435A5" w:rsidRDefault="00AD6087" w:rsidP="00AD6087">
            <w:pPr>
              <w:spacing w:line="240" w:lineRule="auto"/>
              <w:ind w:firstLine="0"/>
              <w:jc w:val="center"/>
            </w:pPr>
            <w:r w:rsidRPr="006435A5">
              <w:t>421.5</w:t>
            </w:r>
          </w:p>
        </w:tc>
        <w:tc>
          <w:tcPr>
            <w:tcW w:w="1003" w:type="dxa"/>
            <w:tcBorders>
              <w:left w:val="nil"/>
              <w:bottom w:val="single" w:sz="4" w:space="0" w:color="auto"/>
              <w:right w:val="nil"/>
            </w:tcBorders>
            <w:vAlign w:val="center"/>
          </w:tcPr>
          <w:p w14:paraId="0D1667AA" w14:textId="77777777" w:rsidR="00AD6087" w:rsidRPr="006435A5" w:rsidRDefault="00AD6087" w:rsidP="00AD6087">
            <w:pPr>
              <w:spacing w:line="240" w:lineRule="auto"/>
              <w:ind w:firstLine="0"/>
              <w:jc w:val="center"/>
            </w:pPr>
            <w:r w:rsidRPr="006435A5">
              <w:t>512.1</w:t>
            </w:r>
          </w:p>
        </w:tc>
        <w:tc>
          <w:tcPr>
            <w:tcW w:w="972" w:type="dxa"/>
            <w:tcBorders>
              <w:left w:val="nil"/>
              <w:bottom w:val="single" w:sz="4" w:space="0" w:color="auto"/>
              <w:right w:val="nil"/>
            </w:tcBorders>
            <w:vAlign w:val="center"/>
          </w:tcPr>
          <w:p w14:paraId="2F93AEDD" w14:textId="77777777" w:rsidR="00AD6087" w:rsidRPr="006435A5" w:rsidRDefault="00AD6087" w:rsidP="00AD6087">
            <w:pPr>
              <w:spacing w:line="240" w:lineRule="auto"/>
              <w:ind w:firstLine="0"/>
              <w:jc w:val="center"/>
            </w:pPr>
            <w:r w:rsidRPr="006435A5">
              <w:t>655.1</w:t>
            </w:r>
          </w:p>
        </w:tc>
      </w:tr>
      <w:tr w:rsidR="00AD6087" w:rsidRPr="006435A5" w14:paraId="034BDE5A" w14:textId="77777777" w:rsidTr="00A42F0D">
        <w:trPr>
          <w:trHeight w:val="263"/>
          <w:jc w:val="center"/>
        </w:trPr>
        <w:tc>
          <w:tcPr>
            <w:tcW w:w="2856" w:type="dxa"/>
            <w:tcBorders>
              <w:left w:val="nil"/>
              <w:bottom w:val="single" w:sz="12" w:space="0" w:color="auto"/>
              <w:right w:val="nil"/>
            </w:tcBorders>
            <w:vAlign w:val="center"/>
          </w:tcPr>
          <w:p w14:paraId="7FF04AF6" w14:textId="77777777" w:rsidR="00AD6087" w:rsidRPr="006435A5" w:rsidRDefault="00AD6087" w:rsidP="00AD6087">
            <w:pPr>
              <w:spacing w:line="240" w:lineRule="auto"/>
              <w:ind w:firstLine="0"/>
              <w:jc w:val="left"/>
              <w:rPr>
                <w:bCs/>
              </w:rPr>
            </w:pPr>
            <w:r w:rsidRPr="006435A5">
              <w:t>5-ից ավելի տարի</w:t>
            </w:r>
          </w:p>
        </w:tc>
        <w:tc>
          <w:tcPr>
            <w:tcW w:w="1132" w:type="dxa"/>
            <w:tcBorders>
              <w:left w:val="nil"/>
              <w:bottom w:val="single" w:sz="12" w:space="0" w:color="auto"/>
              <w:right w:val="nil"/>
            </w:tcBorders>
            <w:vAlign w:val="center"/>
          </w:tcPr>
          <w:p w14:paraId="4078B202" w14:textId="77777777" w:rsidR="00AD6087" w:rsidRPr="006435A5" w:rsidRDefault="00AD6087" w:rsidP="00AD6087">
            <w:pPr>
              <w:spacing w:line="240" w:lineRule="auto"/>
              <w:ind w:firstLine="0"/>
              <w:jc w:val="center"/>
            </w:pPr>
            <w:r w:rsidRPr="006435A5">
              <w:t>398.7</w:t>
            </w:r>
          </w:p>
        </w:tc>
        <w:tc>
          <w:tcPr>
            <w:tcW w:w="983" w:type="dxa"/>
            <w:tcBorders>
              <w:left w:val="nil"/>
              <w:bottom w:val="single" w:sz="12" w:space="0" w:color="auto"/>
              <w:right w:val="nil"/>
            </w:tcBorders>
            <w:vAlign w:val="center"/>
          </w:tcPr>
          <w:p w14:paraId="7151CD44" w14:textId="77777777" w:rsidR="00AD6087" w:rsidRPr="006435A5" w:rsidRDefault="00AD6087" w:rsidP="00AD6087">
            <w:pPr>
              <w:spacing w:line="240" w:lineRule="auto"/>
              <w:ind w:firstLine="0"/>
              <w:jc w:val="center"/>
            </w:pPr>
            <w:r w:rsidRPr="006435A5">
              <w:t>570.8</w:t>
            </w:r>
          </w:p>
        </w:tc>
        <w:tc>
          <w:tcPr>
            <w:tcW w:w="1373" w:type="dxa"/>
            <w:tcBorders>
              <w:left w:val="nil"/>
              <w:bottom w:val="single" w:sz="12" w:space="0" w:color="auto"/>
              <w:right w:val="double" w:sz="4" w:space="0" w:color="auto"/>
            </w:tcBorders>
            <w:vAlign w:val="center"/>
          </w:tcPr>
          <w:p w14:paraId="6A3CA209" w14:textId="77777777" w:rsidR="00AD6087" w:rsidRPr="006435A5" w:rsidRDefault="00AD6087" w:rsidP="00AD6087">
            <w:pPr>
              <w:spacing w:line="240" w:lineRule="auto"/>
              <w:ind w:firstLine="0"/>
              <w:jc w:val="center"/>
            </w:pPr>
            <w:r w:rsidRPr="006435A5">
              <w:t>706.8</w:t>
            </w:r>
          </w:p>
        </w:tc>
        <w:tc>
          <w:tcPr>
            <w:tcW w:w="1087" w:type="dxa"/>
            <w:tcBorders>
              <w:left w:val="double" w:sz="4" w:space="0" w:color="auto"/>
              <w:bottom w:val="single" w:sz="12" w:space="0" w:color="auto"/>
              <w:right w:val="nil"/>
            </w:tcBorders>
            <w:vAlign w:val="center"/>
          </w:tcPr>
          <w:p w14:paraId="332128AF" w14:textId="77777777" w:rsidR="00AD6087" w:rsidRPr="006435A5" w:rsidRDefault="00AD6087" w:rsidP="00AD6087">
            <w:pPr>
              <w:spacing w:line="240" w:lineRule="auto"/>
              <w:ind w:firstLine="0"/>
              <w:jc w:val="center"/>
            </w:pPr>
            <w:r w:rsidRPr="006435A5">
              <w:t>712.4</w:t>
            </w:r>
          </w:p>
        </w:tc>
        <w:tc>
          <w:tcPr>
            <w:tcW w:w="971" w:type="dxa"/>
            <w:tcBorders>
              <w:left w:val="nil"/>
              <w:bottom w:val="single" w:sz="12" w:space="0" w:color="auto"/>
              <w:right w:val="nil"/>
            </w:tcBorders>
            <w:vAlign w:val="center"/>
          </w:tcPr>
          <w:p w14:paraId="1A228D41" w14:textId="77777777" w:rsidR="00AD6087" w:rsidRPr="006435A5" w:rsidRDefault="00AD6087" w:rsidP="00AD6087">
            <w:pPr>
              <w:spacing w:line="240" w:lineRule="auto"/>
              <w:ind w:firstLine="0"/>
              <w:jc w:val="center"/>
            </w:pPr>
            <w:r w:rsidRPr="006435A5">
              <w:t>806.9</w:t>
            </w:r>
          </w:p>
        </w:tc>
        <w:tc>
          <w:tcPr>
            <w:tcW w:w="1003" w:type="dxa"/>
            <w:tcBorders>
              <w:left w:val="nil"/>
              <w:bottom w:val="single" w:sz="12" w:space="0" w:color="auto"/>
              <w:right w:val="nil"/>
            </w:tcBorders>
            <w:vAlign w:val="center"/>
          </w:tcPr>
          <w:p w14:paraId="3A91BB9F" w14:textId="77777777" w:rsidR="00AD6087" w:rsidRPr="006435A5" w:rsidRDefault="00AD6087" w:rsidP="00AD6087">
            <w:pPr>
              <w:spacing w:line="240" w:lineRule="auto"/>
              <w:ind w:firstLine="0"/>
              <w:jc w:val="center"/>
            </w:pPr>
            <w:r w:rsidRPr="006435A5">
              <w:t>947.4</w:t>
            </w:r>
          </w:p>
        </w:tc>
        <w:tc>
          <w:tcPr>
            <w:tcW w:w="972" w:type="dxa"/>
            <w:tcBorders>
              <w:left w:val="nil"/>
              <w:bottom w:val="single" w:sz="12" w:space="0" w:color="auto"/>
              <w:right w:val="nil"/>
            </w:tcBorders>
            <w:vAlign w:val="center"/>
          </w:tcPr>
          <w:p w14:paraId="03D7A7C5" w14:textId="77777777" w:rsidR="00AD6087" w:rsidRPr="006435A5" w:rsidRDefault="00AD6087" w:rsidP="00AD6087">
            <w:pPr>
              <w:spacing w:line="240" w:lineRule="auto"/>
              <w:ind w:firstLine="0"/>
              <w:jc w:val="center"/>
            </w:pPr>
            <w:r w:rsidRPr="006435A5">
              <w:t>961.8</w:t>
            </w:r>
          </w:p>
        </w:tc>
      </w:tr>
      <w:tr w:rsidR="00AD6087" w:rsidRPr="006435A5" w14:paraId="193A419D" w14:textId="77777777" w:rsidTr="00A42F0D">
        <w:trPr>
          <w:trHeight w:val="263"/>
          <w:jc w:val="center"/>
        </w:trPr>
        <w:tc>
          <w:tcPr>
            <w:tcW w:w="2856" w:type="dxa"/>
            <w:tcBorders>
              <w:top w:val="single" w:sz="12" w:space="0" w:color="auto"/>
              <w:left w:val="nil"/>
              <w:right w:val="nil"/>
            </w:tcBorders>
            <w:vAlign w:val="center"/>
          </w:tcPr>
          <w:p w14:paraId="109DD580" w14:textId="77777777" w:rsidR="00AD6087" w:rsidRPr="006435A5" w:rsidRDefault="00AD6087" w:rsidP="00AD6087">
            <w:pPr>
              <w:spacing w:line="240" w:lineRule="auto"/>
              <w:ind w:firstLine="0"/>
              <w:jc w:val="left"/>
              <w:rPr>
                <w:bCs/>
              </w:rPr>
            </w:pPr>
            <w:r w:rsidRPr="006435A5">
              <w:t>ըստ մարման մնացած օրերի</w:t>
            </w:r>
            <w:r w:rsidRPr="006435A5">
              <w:rPr>
                <w:bCs/>
              </w:rPr>
              <w:t xml:space="preserve"> կշիռը (%)</w:t>
            </w:r>
          </w:p>
        </w:tc>
        <w:tc>
          <w:tcPr>
            <w:tcW w:w="1132" w:type="dxa"/>
            <w:tcBorders>
              <w:top w:val="single" w:sz="12" w:space="0" w:color="auto"/>
              <w:left w:val="nil"/>
              <w:right w:val="nil"/>
            </w:tcBorders>
            <w:vAlign w:val="center"/>
          </w:tcPr>
          <w:p w14:paraId="121448D3" w14:textId="77777777" w:rsidR="00AD6087" w:rsidRPr="006435A5" w:rsidRDefault="00AD6087" w:rsidP="00AD6087">
            <w:pPr>
              <w:spacing w:line="240" w:lineRule="auto"/>
              <w:ind w:firstLine="0"/>
              <w:jc w:val="center"/>
            </w:pPr>
            <w:r w:rsidRPr="006435A5">
              <w:t>100</w:t>
            </w:r>
          </w:p>
        </w:tc>
        <w:tc>
          <w:tcPr>
            <w:tcW w:w="983" w:type="dxa"/>
            <w:tcBorders>
              <w:top w:val="single" w:sz="12" w:space="0" w:color="auto"/>
              <w:left w:val="nil"/>
              <w:right w:val="nil"/>
            </w:tcBorders>
            <w:vAlign w:val="center"/>
          </w:tcPr>
          <w:p w14:paraId="2F3A8F69" w14:textId="77777777" w:rsidR="00AD6087" w:rsidRPr="006435A5" w:rsidRDefault="00AD6087" w:rsidP="00AD6087">
            <w:pPr>
              <w:spacing w:line="240" w:lineRule="auto"/>
              <w:ind w:firstLine="0"/>
              <w:jc w:val="center"/>
            </w:pPr>
            <w:r w:rsidRPr="006435A5">
              <w:t>100</w:t>
            </w:r>
          </w:p>
        </w:tc>
        <w:tc>
          <w:tcPr>
            <w:tcW w:w="1373" w:type="dxa"/>
            <w:tcBorders>
              <w:top w:val="single" w:sz="12" w:space="0" w:color="auto"/>
              <w:left w:val="nil"/>
              <w:right w:val="double" w:sz="4" w:space="0" w:color="auto"/>
            </w:tcBorders>
            <w:vAlign w:val="center"/>
          </w:tcPr>
          <w:p w14:paraId="749C70EE" w14:textId="77777777" w:rsidR="00AD6087" w:rsidRPr="006435A5" w:rsidRDefault="00AD6087" w:rsidP="00AD6087">
            <w:pPr>
              <w:spacing w:line="240" w:lineRule="auto"/>
              <w:ind w:firstLine="0"/>
              <w:jc w:val="center"/>
            </w:pPr>
            <w:r w:rsidRPr="006435A5">
              <w:t>100</w:t>
            </w:r>
          </w:p>
        </w:tc>
        <w:tc>
          <w:tcPr>
            <w:tcW w:w="1087" w:type="dxa"/>
            <w:tcBorders>
              <w:top w:val="single" w:sz="12" w:space="0" w:color="auto"/>
              <w:left w:val="double" w:sz="4" w:space="0" w:color="auto"/>
              <w:right w:val="nil"/>
            </w:tcBorders>
            <w:vAlign w:val="center"/>
          </w:tcPr>
          <w:p w14:paraId="30A546BC" w14:textId="77777777" w:rsidR="00AD6087" w:rsidRPr="006435A5" w:rsidRDefault="00AD6087" w:rsidP="00AD6087">
            <w:pPr>
              <w:spacing w:line="240" w:lineRule="auto"/>
              <w:ind w:firstLine="0"/>
              <w:jc w:val="center"/>
            </w:pPr>
            <w:r w:rsidRPr="006435A5">
              <w:t>100</w:t>
            </w:r>
          </w:p>
        </w:tc>
        <w:tc>
          <w:tcPr>
            <w:tcW w:w="971" w:type="dxa"/>
            <w:tcBorders>
              <w:top w:val="single" w:sz="12" w:space="0" w:color="auto"/>
              <w:left w:val="nil"/>
              <w:right w:val="nil"/>
            </w:tcBorders>
            <w:vAlign w:val="center"/>
          </w:tcPr>
          <w:p w14:paraId="4F975FE8" w14:textId="77777777" w:rsidR="00AD6087" w:rsidRPr="006435A5" w:rsidRDefault="00AD6087" w:rsidP="00AD6087">
            <w:pPr>
              <w:spacing w:line="240" w:lineRule="auto"/>
              <w:ind w:firstLine="0"/>
              <w:jc w:val="center"/>
            </w:pPr>
            <w:r w:rsidRPr="006435A5">
              <w:t>100</w:t>
            </w:r>
          </w:p>
        </w:tc>
        <w:tc>
          <w:tcPr>
            <w:tcW w:w="1003" w:type="dxa"/>
            <w:tcBorders>
              <w:top w:val="single" w:sz="12" w:space="0" w:color="auto"/>
              <w:left w:val="nil"/>
              <w:right w:val="nil"/>
            </w:tcBorders>
            <w:vAlign w:val="center"/>
          </w:tcPr>
          <w:p w14:paraId="7D47174D" w14:textId="77777777" w:rsidR="00AD6087" w:rsidRPr="006435A5" w:rsidRDefault="00AD6087" w:rsidP="00AD6087">
            <w:pPr>
              <w:spacing w:line="240" w:lineRule="auto"/>
              <w:ind w:firstLine="0"/>
              <w:jc w:val="center"/>
            </w:pPr>
            <w:r w:rsidRPr="006435A5">
              <w:t>100</w:t>
            </w:r>
          </w:p>
        </w:tc>
        <w:tc>
          <w:tcPr>
            <w:tcW w:w="972" w:type="dxa"/>
            <w:tcBorders>
              <w:top w:val="single" w:sz="12" w:space="0" w:color="auto"/>
              <w:left w:val="nil"/>
              <w:right w:val="nil"/>
            </w:tcBorders>
            <w:vAlign w:val="center"/>
          </w:tcPr>
          <w:p w14:paraId="2B55E4E0" w14:textId="77777777" w:rsidR="00AD6087" w:rsidRPr="006435A5" w:rsidRDefault="00AD6087" w:rsidP="00AD6087">
            <w:pPr>
              <w:spacing w:line="240" w:lineRule="auto"/>
              <w:ind w:firstLine="0"/>
              <w:jc w:val="center"/>
            </w:pPr>
            <w:r w:rsidRPr="006435A5">
              <w:t>100</w:t>
            </w:r>
          </w:p>
        </w:tc>
      </w:tr>
      <w:tr w:rsidR="00AD6087" w:rsidRPr="006435A5" w14:paraId="6B4329E6" w14:textId="77777777" w:rsidTr="00A42F0D">
        <w:trPr>
          <w:trHeight w:val="263"/>
          <w:jc w:val="center"/>
        </w:trPr>
        <w:tc>
          <w:tcPr>
            <w:tcW w:w="2856" w:type="dxa"/>
            <w:tcBorders>
              <w:left w:val="nil"/>
              <w:right w:val="nil"/>
            </w:tcBorders>
            <w:vAlign w:val="center"/>
          </w:tcPr>
          <w:p w14:paraId="6AF3EE83" w14:textId="77777777" w:rsidR="00AD6087" w:rsidRPr="006435A5" w:rsidRDefault="00AD6087" w:rsidP="00AD6087">
            <w:pPr>
              <w:spacing w:line="240" w:lineRule="auto"/>
              <w:ind w:firstLine="0"/>
              <w:jc w:val="left"/>
              <w:rPr>
                <w:bCs/>
              </w:rPr>
            </w:pPr>
            <w:r w:rsidRPr="006435A5">
              <w:t>Մինչև 1 տարի</w:t>
            </w:r>
          </w:p>
        </w:tc>
        <w:tc>
          <w:tcPr>
            <w:tcW w:w="1132" w:type="dxa"/>
            <w:tcBorders>
              <w:left w:val="nil"/>
              <w:right w:val="nil"/>
            </w:tcBorders>
            <w:vAlign w:val="center"/>
          </w:tcPr>
          <w:p w14:paraId="2B12068F" w14:textId="77777777" w:rsidR="00AD6087" w:rsidRPr="006435A5" w:rsidRDefault="00AD6087" w:rsidP="00AD6087">
            <w:pPr>
              <w:spacing w:line="240" w:lineRule="auto"/>
              <w:ind w:firstLine="0"/>
              <w:jc w:val="center"/>
            </w:pPr>
            <w:r w:rsidRPr="006435A5">
              <w:t>12.7</w:t>
            </w:r>
          </w:p>
        </w:tc>
        <w:tc>
          <w:tcPr>
            <w:tcW w:w="983" w:type="dxa"/>
            <w:tcBorders>
              <w:left w:val="nil"/>
              <w:right w:val="nil"/>
            </w:tcBorders>
            <w:vAlign w:val="center"/>
          </w:tcPr>
          <w:p w14:paraId="6D92763C" w14:textId="77777777" w:rsidR="00AD6087" w:rsidRPr="006435A5" w:rsidRDefault="00AD6087" w:rsidP="00AD6087">
            <w:pPr>
              <w:spacing w:line="240" w:lineRule="auto"/>
              <w:ind w:firstLine="0"/>
              <w:jc w:val="center"/>
            </w:pPr>
            <w:r w:rsidRPr="006435A5">
              <w:t>11.5</w:t>
            </w:r>
          </w:p>
        </w:tc>
        <w:tc>
          <w:tcPr>
            <w:tcW w:w="1373" w:type="dxa"/>
            <w:tcBorders>
              <w:left w:val="nil"/>
              <w:right w:val="double" w:sz="4" w:space="0" w:color="auto"/>
            </w:tcBorders>
            <w:vAlign w:val="center"/>
          </w:tcPr>
          <w:p w14:paraId="26CED748" w14:textId="77777777" w:rsidR="00AD6087" w:rsidRPr="006435A5" w:rsidRDefault="00AD6087" w:rsidP="00AD6087">
            <w:pPr>
              <w:spacing w:line="240" w:lineRule="auto"/>
              <w:ind w:firstLine="0"/>
              <w:jc w:val="center"/>
            </w:pPr>
            <w:r w:rsidRPr="006435A5">
              <w:t>10.3</w:t>
            </w:r>
          </w:p>
        </w:tc>
        <w:tc>
          <w:tcPr>
            <w:tcW w:w="1087" w:type="dxa"/>
            <w:tcBorders>
              <w:left w:val="double" w:sz="4" w:space="0" w:color="auto"/>
              <w:right w:val="nil"/>
            </w:tcBorders>
            <w:vAlign w:val="center"/>
          </w:tcPr>
          <w:p w14:paraId="6825A5D1" w14:textId="77777777" w:rsidR="00AD6087" w:rsidRPr="006435A5" w:rsidRDefault="00AD6087" w:rsidP="00AD6087">
            <w:pPr>
              <w:spacing w:line="240" w:lineRule="auto"/>
              <w:ind w:firstLine="0"/>
              <w:jc w:val="center"/>
            </w:pPr>
            <w:r w:rsidRPr="006435A5">
              <w:t>12.2</w:t>
            </w:r>
          </w:p>
        </w:tc>
        <w:tc>
          <w:tcPr>
            <w:tcW w:w="971" w:type="dxa"/>
            <w:tcBorders>
              <w:left w:val="nil"/>
              <w:right w:val="nil"/>
            </w:tcBorders>
            <w:vAlign w:val="center"/>
          </w:tcPr>
          <w:p w14:paraId="075739C4" w14:textId="77777777" w:rsidR="00AD6087" w:rsidRPr="006435A5" w:rsidRDefault="00AD6087" w:rsidP="00AD6087">
            <w:pPr>
              <w:spacing w:line="240" w:lineRule="auto"/>
              <w:ind w:firstLine="0"/>
              <w:jc w:val="center"/>
            </w:pPr>
            <w:r w:rsidRPr="006435A5">
              <w:t>11.1</w:t>
            </w:r>
          </w:p>
        </w:tc>
        <w:tc>
          <w:tcPr>
            <w:tcW w:w="1003" w:type="dxa"/>
            <w:tcBorders>
              <w:left w:val="nil"/>
              <w:right w:val="nil"/>
            </w:tcBorders>
            <w:vAlign w:val="center"/>
          </w:tcPr>
          <w:p w14:paraId="384FCAD4" w14:textId="77777777" w:rsidR="00AD6087" w:rsidRPr="006435A5" w:rsidRDefault="00AD6087" w:rsidP="00AD6087">
            <w:pPr>
              <w:spacing w:line="240" w:lineRule="auto"/>
              <w:ind w:firstLine="0"/>
              <w:jc w:val="center"/>
            </w:pPr>
            <w:r w:rsidRPr="006435A5">
              <w:t>10.0</w:t>
            </w:r>
          </w:p>
        </w:tc>
        <w:tc>
          <w:tcPr>
            <w:tcW w:w="972" w:type="dxa"/>
            <w:tcBorders>
              <w:left w:val="nil"/>
              <w:right w:val="nil"/>
            </w:tcBorders>
            <w:vAlign w:val="center"/>
          </w:tcPr>
          <w:p w14:paraId="6824EA73" w14:textId="77777777" w:rsidR="00AD6087" w:rsidRPr="006435A5" w:rsidRDefault="00AD6087" w:rsidP="00AD6087">
            <w:pPr>
              <w:spacing w:line="240" w:lineRule="auto"/>
              <w:ind w:firstLine="0"/>
              <w:jc w:val="center"/>
            </w:pPr>
            <w:r w:rsidRPr="006435A5">
              <w:t>14.1</w:t>
            </w:r>
          </w:p>
        </w:tc>
      </w:tr>
      <w:tr w:rsidR="00AD6087" w:rsidRPr="006435A5" w14:paraId="0FCEEAAD" w14:textId="77777777" w:rsidTr="00A42F0D">
        <w:trPr>
          <w:trHeight w:val="263"/>
          <w:jc w:val="center"/>
        </w:trPr>
        <w:tc>
          <w:tcPr>
            <w:tcW w:w="2856" w:type="dxa"/>
            <w:tcBorders>
              <w:left w:val="nil"/>
              <w:bottom w:val="single" w:sz="4" w:space="0" w:color="auto"/>
              <w:right w:val="nil"/>
            </w:tcBorders>
            <w:vAlign w:val="center"/>
          </w:tcPr>
          <w:p w14:paraId="0AAB3A85" w14:textId="77777777" w:rsidR="00AD6087" w:rsidRPr="006435A5" w:rsidRDefault="00AD6087" w:rsidP="00AD6087">
            <w:pPr>
              <w:spacing w:line="240" w:lineRule="auto"/>
              <w:ind w:firstLine="0"/>
              <w:jc w:val="left"/>
              <w:rPr>
                <w:bCs/>
              </w:rPr>
            </w:pPr>
            <w:r w:rsidRPr="006435A5">
              <w:t>1-5 տարի</w:t>
            </w:r>
          </w:p>
        </w:tc>
        <w:tc>
          <w:tcPr>
            <w:tcW w:w="1132" w:type="dxa"/>
            <w:tcBorders>
              <w:left w:val="nil"/>
              <w:bottom w:val="single" w:sz="4" w:space="0" w:color="auto"/>
              <w:right w:val="nil"/>
            </w:tcBorders>
            <w:vAlign w:val="center"/>
          </w:tcPr>
          <w:p w14:paraId="65F0AB66" w14:textId="77777777" w:rsidR="00AD6087" w:rsidRPr="006435A5" w:rsidRDefault="00AD6087" w:rsidP="00AD6087">
            <w:pPr>
              <w:spacing w:line="240" w:lineRule="auto"/>
              <w:ind w:firstLine="0"/>
              <w:jc w:val="center"/>
            </w:pPr>
            <w:r w:rsidRPr="006435A5">
              <w:t>28.8</w:t>
            </w:r>
          </w:p>
        </w:tc>
        <w:tc>
          <w:tcPr>
            <w:tcW w:w="983" w:type="dxa"/>
            <w:tcBorders>
              <w:left w:val="nil"/>
              <w:bottom w:val="single" w:sz="4" w:space="0" w:color="auto"/>
              <w:right w:val="nil"/>
            </w:tcBorders>
            <w:vAlign w:val="center"/>
          </w:tcPr>
          <w:p w14:paraId="5CEC52E7" w14:textId="77777777" w:rsidR="00AD6087" w:rsidRPr="006435A5" w:rsidRDefault="00AD6087" w:rsidP="00AD6087">
            <w:pPr>
              <w:spacing w:line="240" w:lineRule="auto"/>
              <w:ind w:firstLine="0"/>
              <w:jc w:val="center"/>
            </w:pPr>
            <w:r w:rsidRPr="006435A5">
              <w:t>29.0</w:t>
            </w:r>
          </w:p>
        </w:tc>
        <w:tc>
          <w:tcPr>
            <w:tcW w:w="1373" w:type="dxa"/>
            <w:tcBorders>
              <w:left w:val="nil"/>
              <w:bottom w:val="single" w:sz="4" w:space="0" w:color="auto"/>
              <w:right w:val="double" w:sz="4" w:space="0" w:color="auto"/>
            </w:tcBorders>
            <w:vAlign w:val="center"/>
          </w:tcPr>
          <w:p w14:paraId="71354281" w14:textId="77777777" w:rsidR="00AD6087" w:rsidRPr="006435A5" w:rsidRDefault="00AD6087" w:rsidP="00AD6087">
            <w:pPr>
              <w:spacing w:line="240" w:lineRule="auto"/>
              <w:ind w:firstLine="0"/>
              <w:jc w:val="center"/>
            </w:pPr>
            <w:r w:rsidRPr="006435A5">
              <w:t>29.7</w:t>
            </w:r>
          </w:p>
        </w:tc>
        <w:tc>
          <w:tcPr>
            <w:tcW w:w="1087" w:type="dxa"/>
            <w:tcBorders>
              <w:left w:val="double" w:sz="4" w:space="0" w:color="auto"/>
              <w:bottom w:val="single" w:sz="4" w:space="0" w:color="auto"/>
              <w:right w:val="nil"/>
            </w:tcBorders>
            <w:vAlign w:val="center"/>
          </w:tcPr>
          <w:p w14:paraId="23453FDB" w14:textId="77777777" w:rsidR="00AD6087" w:rsidRPr="006435A5" w:rsidRDefault="00AD6087" w:rsidP="00AD6087">
            <w:pPr>
              <w:spacing w:line="240" w:lineRule="auto"/>
              <w:ind w:firstLine="0"/>
              <w:jc w:val="center"/>
            </w:pPr>
            <w:r w:rsidRPr="006435A5">
              <w:t>26.5</w:t>
            </w:r>
          </w:p>
        </w:tc>
        <w:tc>
          <w:tcPr>
            <w:tcW w:w="971" w:type="dxa"/>
            <w:tcBorders>
              <w:left w:val="nil"/>
              <w:bottom w:val="single" w:sz="4" w:space="0" w:color="auto"/>
              <w:right w:val="nil"/>
            </w:tcBorders>
            <w:vAlign w:val="center"/>
          </w:tcPr>
          <w:p w14:paraId="32AF8B1A" w14:textId="77777777" w:rsidR="00AD6087" w:rsidRPr="006435A5" w:rsidRDefault="00AD6087" w:rsidP="00AD6087">
            <w:pPr>
              <w:spacing w:line="240" w:lineRule="auto"/>
              <w:ind w:firstLine="0"/>
              <w:jc w:val="center"/>
            </w:pPr>
            <w:r w:rsidRPr="006435A5">
              <w:t>30.5</w:t>
            </w:r>
          </w:p>
        </w:tc>
        <w:tc>
          <w:tcPr>
            <w:tcW w:w="1003" w:type="dxa"/>
            <w:tcBorders>
              <w:left w:val="nil"/>
              <w:bottom w:val="single" w:sz="4" w:space="0" w:color="auto"/>
              <w:right w:val="nil"/>
            </w:tcBorders>
            <w:vAlign w:val="center"/>
          </w:tcPr>
          <w:p w14:paraId="1378366B" w14:textId="77777777" w:rsidR="00AD6087" w:rsidRPr="006435A5" w:rsidRDefault="00AD6087" w:rsidP="00AD6087">
            <w:pPr>
              <w:spacing w:line="240" w:lineRule="auto"/>
              <w:ind w:firstLine="0"/>
              <w:jc w:val="center"/>
            </w:pPr>
            <w:r w:rsidRPr="006435A5">
              <w:t>31.6</w:t>
            </w:r>
          </w:p>
        </w:tc>
        <w:tc>
          <w:tcPr>
            <w:tcW w:w="972" w:type="dxa"/>
            <w:tcBorders>
              <w:left w:val="nil"/>
              <w:bottom w:val="single" w:sz="4" w:space="0" w:color="auto"/>
              <w:right w:val="nil"/>
            </w:tcBorders>
            <w:vAlign w:val="center"/>
          </w:tcPr>
          <w:p w14:paraId="05CC75C6" w14:textId="77777777" w:rsidR="00AD6087" w:rsidRPr="006435A5" w:rsidRDefault="00AD6087" w:rsidP="00AD6087">
            <w:pPr>
              <w:spacing w:line="240" w:lineRule="auto"/>
              <w:ind w:firstLine="0"/>
              <w:jc w:val="center"/>
            </w:pPr>
            <w:r w:rsidRPr="006435A5">
              <w:t>34.8</w:t>
            </w:r>
          </w:p>
        </w:tc>
      </w:tr>
      <w:tr w:rsidR="00AD6087" w:rsidRPr="006435A5" w14:paraId="4EDE577F" w14:textId="77777777" w:rsidTr="00A42F0D">
        <w:trPr>
          <w:trHeight w:val="256"/>
          <w:jc w:val="center"/>
        </w:trPr>
        <w:tc>
          <w:tcPr>
            <w:tcW w:w="2856" w:type="dxa"/>
            <w:tcBorders>
              <w:left w:val="nil"/>
              <w:bottom w:val="single" w:sz="12" w:space="0" w:color="auto"/>
              <w:right w:val="nil"/>
            </w:tcBorders>
            <w:vAlign w:val="center"/>
          </w:tcPr>
          <w:p w14:paraId="100D95BD" w14:textId="77777777" w:rsidR="00AD6087" w:rsidRPr="006435A5" w:rsidRDefault="00AD6087" w:rsidP="00AD6087">
            <w:pPr>
              <w:spacing w:line="240" w:lineRule="auto"/>
              <w:ind w:firstLine="0"/>
              <w:jc w:val="left"/>
              <w:rPr>
                <w:bCs/>
              </w:rPr>
            </w:pPr>
            <w:r w:rsidRPr="006435A5">
              <w:t>5-ից ավելի տարի</w:t>
            </w:r>
          </w:p>
        </w:tc>
        <w:tc>
          <w:tcPr>
            <w:tcW w:w="1132" w:type="dxa"/>
            <w:tcBorders>
              <w:left w:val="nil"/>
              <w:bottom w:val="single" w:sz="12" w:space="0" w:color="auto"/>
              <w:right w:val="nil"/>
            </w:tcBorders>
            <w:vAlign w:val="center"/>
          </w:tcPr>
          <w:p w14:paraId="7436318C" w14:textId="77777777" w:rsidR="00AD6087" w:rsidRPr="006435A5" w:rsidRDefault="00AD6087" w:rsidP="00AD6087">
            <w:pPr>
              <w:spacing w:line="240" w:lineRule="auto"/>
              <w:ind w:firstLine="0"/>
              <w:jc w:val="center"/>
            </w:pPr>
            <w:r w:rsidRPr="006435A5">
              <w:t>58.5</w:t>
            </w:r>
          </w:p>
        </w:tc>
        <w:tc>
          <w:tcPr>
            <w:tcW w:w="983" w:type="dxa"/>
            <w:tcBorders>
              <w:left w:val="nil"/>
              <w:bottom w:val="single" w:sz="12" w:space="0" w:color="auto"/>
              <w:right w:val="nil"/>
            </w:tcBorders>
            <w:vAlign w:val="center"/>
          </w:tcPr>
          <w:p w14:paraId="5E17C969" w14:textId="77777777" w:rsidR="00AD6087" w:rsidRPr="006435A5" w:rsidRDefault="00AD6087" w:rsidP="00AD6087">
            <w:pPr>
              <w:spacing w:line="240" w:lineRule="auto"/>
              <w:ind w:firstLine="0"/>
              <w:jc w:val="center"/>
            </w:pPr>
            <w:r w:rsidRPr="006435A5">
              <w:t>59.5</w:t>
            </w:r>
          </w:p>
        </w:tc>
        <w:tc>
          <w:tcPr>
            <w:tcW w:w="1373" w:type="dxa"/>
            <w:tcBorders>
              <w:left w:val="nil"/>
              <w:bottom w:val="single" w:sz="12" w:space="0" w:color="auto"/>
              <w:right w:val="double" w:sz="4" w:space="0" w:color="auto"/>
            </w:tcBorders>
            <w:vAlign w:val="center"/>
          </w:tcPr>
          <w:p w14:paraId="51969D3B" w14:textId="77777777" w:rsidR="00AD6087" w:rsidRPr="006435A5" w:rsidRDefault="00AD6087" w:rsidP="00AD6087">
            <w:pPr>
              <w:spacing w:line="240" w:lineRule="auto"/>
              <w:ind w:firstLine="0"/>
              <w:jc w:val="center"/>
            </w:pPr>
            <w:r w:rsidRPr="006435A5">
              <w:t>60.0</w:t>
            </w:r>
          </w:p>
        </w:tc>
        <w:tc>
          <w:tcPr>
            <w:tcW w:w="1087" w:type="dxa"/>
            <w:tcBorders>
              <w:left w:val="double" w:sz="4" w:space="0" w:color="auto"/>
              <w:bottom w:val="single" w:sz="12" w:space="0" w:color="auto"/>
              <w:right w:val="nil"/>
            </w:tcBorders>
            <w:vAlign w:val="center"/>
          </w:tcPr>
          <w:p w14:paraId="1A1AC357" w14:textId="77777777" w:rsidR="00AD6087" w:rsidRPr="006435A5" w:rsidRDefault="00AD6087" w:rsidP="00AD6087">
            <w:pPr>
              <w:spacing w:line="240" w:lineRule="auto"/>
              <w:ind w:firstLine="0"/>
              <w:jc w:val="center"/>
            </w:pPr>
            <w:r w:rsidRPr="006435A5">
              <w:t>61.3</w:t>
            </w:r>
          </w:p>
        </w:tc>
        <w:tc>
          <w:tcPr>
            <w:tcW w:w="971" w:type="dxa"/>
            <w:tcBorders>
              <w:left w:val="nil"/>
              <w:bottom w:val="single" w:sz="12" w:space="0" w:color="auto"/>
              <w:right w:val="nil"/>
            </w:tcBorders>
            <w:vAlign w:val="center"/>
          </w:tcPr>
          <w:p w14:paraId="0FC4B175" w14:textId="77777777" w:rsidR="00AD6087" w:rsidRPr="006435A5" w:rsidRDefault="00AD6087" w:rsidP="00AD6087">
            <w:pPr>
              <w:spacing w:line="240" w:lineRule="auto"/>
              <w:ind w:firstLine="0"/>
              <w:jc w:val="center"/>
            </w:pPr>
            <w:r w:rsidRPr="006435A5">
              <w:t>58.4</w:t>
            </w:r>
          </w:p>
        </w:tc>
        <w:tc>
          <w:tcPr>
            <w:tcW w:w="1003" w:type="dxa"/>
            <w:tcBorders>
              <w:left w:val="nil"/>
              <w:bottom w:val="single" w:sz="12" w:space="0" w:color="auto"/>
              <w:right w:val="nil"/>
            </w:tcBorders>
            <w:vAlign w:val="center"/>
          </w:tcPr>
          <w:p w14:paraId="07D8889C" w14:textId="77777777" w:rsidR="00AD6087" w:rsidRPr="006435A5" w:rsidRDefault="00AD6087" w:rsidP="00AD6087">
            <w:pPr>
              <w:spacing w:line="240" w:lineRule="auto"/>
              <w:ind w:firstLine="0"/>
              <w:jc w:val="center"/>
            </w:pPr>
            <w:r w:rsidRPr="006435A5">
              <w:t>58.4</w:t>
            </w:r>
          </w:p>
        </w:tc>
        <w:tc>
          <w:tcPr>
            <w:tcW w:w="972" w:type="dxa"/>
            <w:tcBorders>
              <w:left w:val="nil"/>
              <w:bottom w:val="single" w:sz="12" w:space="0" w:color="auto"/>
              <w:right w:val="nil"/>
            </w:tcBorders>
            <w:vAlign w:val="center"/>
          </w:tcPr>
          <w:p w14:paraId="18FD7781" w14:textId="77777777" w:rsidR="00AD6087" w:rsidRPr="006435A5" w:rsidRDefault="00AD6087" w:rsidP="00AD6087">
            <w:pPr>
              <w:spacing w:line="240" w:lineRule="auto"/>
              <w:ind w:firstLine="0"/>
              <w:jc w:val="center"/>
            </w:pPr>
            <w:r w:rsidRPr="006435A5">
              <w:t>51.1</w:t>
            </w:r>
          </w:p>
        </w:tc>
      </w:tr>
      <w:tr w:rsidR="00AD6087" w:rsidRPr="006435A5" w14:paraId="1B93BA0B" w14:textId="77777777" w:rsidTr="00A42F0D">
        <w:trPr>
          <w:trHeight w:val="263"/>
          <w:jc w:val="center"/>
        </w:trPr>
        <w:tc>
          <w:tcPr>
            <w:tcW w:w="2856" w:type="dxa"/>
            <w:tcBorders>
              <w:top w:val="single" w:sz="12" w:space="0" w:color="auto"/>
              <w:left w:val="nil"/>
              <w:bottom w:val="single" w:sz="4" w:space="0" w:color="auto"/>
              <w:right w:val="nil"/>
            </w:tcBorders>
            <w:vAlign w:val="center"/>
          </w:tcPr>
          <w:p w14:paraId="42CF6F7D" w14:textId="77777777" w:rsidR="00AD6087" w:rsidRPr="006435A5" w:rsidRDefault="00AD6087" w:rsidP="00AD6087">
            <w:pPr>
              <w:spacing w:line="240" w:lineRule="auto"/>
              <w:ind w:firstLine="0"/>
              <w:jc w:val="left"/>
            </w:pPr>
            <w:r w:rsidRPr="006435A5">
              <w:t>Միջին տոկոսադրույք (%)</w:t>
            </w:r>
          </w:p>
        </w:tc>
        <w:tc>
          <w:tcPr>
            <w:tcW w:w="1132" w:type="dxa"/>
            <w:tcBorders>
              <w:top w:val="single" w:sz="12" w:space="0" w:color="auto"/>
              <w:left w:val="nil"/>
              <w:bottom w:val="single" w:sz="4" w:space="0" w:color="auto"/>
              <w:right w:val="nil"/>
            </w:tcBorders>
            <w:vAlign w:val="center"/>
          </w:tcPr>
          <w:p w14:paraId="2AF4EBC6" w14:textId="77777777" w:rsidR="00AD6087" w:rsidRPr="006435A5" w:rsidRDefault="00AD6087" w:rsidP="00AD6087">
            <w:pPr>
              <w:spacing w:line="240" w:lineRule="auto"/>
              <w:ind w:firstLine="0"/>
              <w:jc w:val="center"/>
            </w:pPr>
            <w:r w:rsidRPr="006435A5">
              <w:t>11.8</w:t>
            </w:r>
          </w:p>
        </w:tc>
        <w:tc>
          <w:tcPr>
            <w:tcW w:w="983" w:type="dxa"/>
            <w:tcBorders>
              <w:top w:val="single" w:sz="12" w:space="0" w:color="auto"/>
              <w:left w:val="nil"/>
              <w:bottom w:val="single" w:sz="4" w:space="0" w:color="auto"/>
              <w:right w:val="nil"/>
            </w:tcBorders>
            <w:vAlign w:val="center"/>
          </w:tcPr>
          <w:p w14:paraId="1105CAD9" w14:textId="77777777" w:rsidR="00AD6087" w:rsidRPr="006435A5" w:rsidRDefault="00AD6087" w:rsidP="00AD6087">
            <w:pPr>
              <w:spacing w:line="240" w:lineRule="auto"/>
              <w:ind w:firstLine="0"/>
              <w:jc w:val="center"/>
            </w:pPr>
            <w:r w:rsidRPr="006435A5">
              <w:t>10.4</w:t>
            </w:r>
          </w:p>
        </w:tc>
        <w:tc>
          <w:tcPr>
            <w:tcW w:w="1373" w:type="dxa"/>
            <w:tcBorders>
              <w:top w:val="single" w:sz="12" w:space="0" w:color="auto"/>
              <w:left w:val="nil"/>
              <w:bottom w:val="single" w:sz="4" w:space="0" w:color="auto"/>
              <w:right w:val="double" w:sz="4" w:space="0" w:color="auto"/>
            </w:tcBorders>
            <w:vAlign w:val="center"/>
          </w:tcPr>
          <w:p w14:paraId="264397FD" w14:textId="77777777" w:rsidR="00AD6087" w:rsidRPr="006435A5" w:rsidRDefault="00AD6087" w:rsidP="00AD6087">
            <w:pPr>
              <w:spacing w:line="240" w:lineRule="auto"/>
              <w:ind w:firstLine="0"/>
              <w:jc w:val="center"/>
            </w:pPr>
            <w:r w:rsidRPr="006435A5">
              <w:t>9.6</w:t>
            </w:r>
          </w:p>
        </w:tc>
        <w:tc>
          <w:tcPr>
            <w:tcW w:w="1087" w:type="dxa"/>
            <w:tcBorders>
              <w:top w:val="single" w:sz="12" w:space="0" w:color="auto"/>
              <w:left w:val="double" w:sz="4" w:space="0" w:color="auto"/>
              <w:bottom w:val="single" w:sz="4" w:space="0" w:color="auto"/>
              <w:right w:val="nil"/>
            </w:tcBorders>
            <w:vAlign w:val="center"/>
          </w:tcPr>
          <w:p w14:paraId="0A2A7E62" w14:textId="77777777" w:rsidR="00AD6087" w:rsidRPr="006435A5" w:rsidRDefault="00AD6087" w:rsidP="00AD6087">
            <w:pPr>
              <w:spacing w:line="240" w:lineRule="auto"/>
              <w:ind w:firstLine="0"/>
              <w:jc w:val="center"/>
            </w:pPr>
            <w:r w:rsidRPr="006435A5">
              <w:t>10.1</w:t>
            </w:r>
          </w:p>
        </w:tc>
        <w:tc>
          <w:tcPr>
            <w:tcW w:w="971" w:type="dxa"/>
            <w:tcBorders>
              <w:top w:val="single" w:sz="12" w:space="0" w:color="auto"/>
              <w:left w:val="nil"/>
              <w:bottom w:val="single" w:sz="4" w:space="0" w:color="auto"/>
              <w:right w:val="nil"/>
            </w:tcBorders>
            <w:vAlign w:val="center"/>
          </w:tcPr>
          <w:p w14:paraId="1B3F354B" w14:textId="77777777" w:rsidR="00AD6087" w:rsidRPr="006435A5" w:rsidRDefault="00AD6087" w:rsidP="00AD6087">
            <w:pPr>
              <w:spacing w:line="240" w:lineRule="auto"/>
              <w:ind w:firstLine="0"/>
              <w:jc w:val="center"/>
            </w:pPr>
            <w:r w:rsidRPr="006435A5">
              <w:t>10.0</w:t>
            </w:r>
          </w:p>
        </w:tc>
        <w:tc>
          <w:tcPr>
            <w:tcW w:w="1003" w:type="dxa"/>
            <w:tcBorders>
              <w:top w:val="single" w:sz="12" w:space="0" w:color="auto"/>
              <w:left w:val="nil"/>
              <w:bottom w:val="single" w:sz="4" w:space="0" w:color="auto"/>
              <w:right w:val="nil"/>
            </w:tcBorders>
            <w:vAlign w:val="center"/>
          </w:tcPr>
          <w:p w14:paraId="62EC40DB" w14:textId="77777777" w:rsidR="00AD6087" w:rsidRPr="006435A5" w:rsidRDefault="00AD6087" w:rsidP="00AD6087">
            <w:pPr>
              <w:spacing w:line="240" w:lineRule="auto"/>
              <w:ind w:firstLine="0"/>
              <w:jc w:val="center"/>
            </w:pPr>
            <w:r w:rsidRPr="006435A5">
              <w:t>10.0</w:t>
            </w:r>
          </w:p>
        </w:tc>
        <w:tc>
          <w:tcPr>
            <w:tcW w:w="972" w:type="dxa"/>
            <w:tcBorders>
              <w:top w:val="single" w:sz="12" w:space="0" w:color="auto"/>
              <w:left w:val="nil"/>
              <w:bottom w:val="single" w:sz="4" w:space="0" w:color="auto"/>
              <w:right w:val="nil"/>
            </w:tcBorders>
            <w:vAlign w:val="center"/>
          </w:tcPr>
          <w:p w14:paraId="1C80FDC2" w14:textId="77777777" w:rsidR="00AD6087" w:rsidRPr="006435A5" w:rsidRDefault="00AD6087" w:rsidP="00AD6087">
            <w:pPr>
              <w:spacing w:line="240" w:lineRule="auto"/>
              <w:ind w:firstLine="0"/>
              <w:jc w:val="center"/>
            </w:pPr>
            <w:r w:rsidRPr="006435A5">
              <w:t>9.9</w:t>
            </w:r>
          </w:p>
        </w:tc>
      </w:tr>
      <w:tr w:rsidR="00AD6087" w:rsidRPr="006435A5" w14:paraId="1FA9D82E" w14:textId="77777777" w:rsidTr="00A42F0D">
        <w:trPr>
          <w:trHeight w:val="263"/>
          <w:jc w:val="center"/>
        </w:trPr>
        <w:tc>
          <w:tcPr>
            <w:tcW w:w="2856" w:type="dxa"/>
            <w:tcBorders>
              <w:left w:val="nil"/>
              <w:bottom w:val="single" w:sz="36" w:space="0" w:color="auto"/>
              <w:right w:val="nil"/>
            </w:tcBorders>
            <w:vAlign w:val="center"/>
          </w:tcPr>
          <w:p w14:paraId="0D55052D" w14:textId="77777777" w:rsidR="00AD6087" w:rsidRPr="006435A5" w:rsidRDefault="00AD6087" w:rsidP="00AD6087">
            <w:pPr>
              <w:spacing w:line="240" w:lineRule="auto"/>
              <w:ind w:firstLine="0"/>
              <w:jc w:val="left"/>
            </w:pPr>
            <w:r w:rsidRPr="006435A5">
              <w:t>Միջին ժամկետայնություն (տարի)</w:t>
            </w:r>
          </w:p>
        </w:tc>
        <w:tc>
          <w:tcPr>
            <w:tcW w:w="1132" w:type="dxa"/>
            <w:tcBorders>
              <w:left w:val="nil"/>
              <w:bottom w:val="single" w:sz="36" w:space="0" w:color="auto"/>
              <w:right w:val="nil"/>
            </w:tcBorders>
            <w:vAlign w:val="center"/>
          </w:tcPr>
          <w:p w14:paraId="11B44646" w14:textId="77777777" w:rsidR="00AD6087" w:rsidRPr="006435A5" w:rsidRDefault="00AD6087" w:rsidP="00AD6087">
            <w:pPr>
              <w:spacing w:line="240" w:lineRule="auto"/>
              <w:ind w:firstLine="0"/>
              <w:jc w:val="center"/>
            </w:pPr>
            <w:r w:rsidRPr="006435A5">
              <w:t>10.2</w:t>
            </w:r>
          </w:p>
        </w:tc>
        <w:tc>
          <w:tcPr>
            <w:tcW w:w="983" w:type="dxa"/>
            <w:tcBorders>
              <w:left w:val="nil"/>
              <w:bottom w:val="single" w:sz="36" w:space="0" w:color="auto"/>
              <w:right w:val="nil"/>
            </w:tcBorders>
            <w:vAlign w:val="center"/>
          </w:tcPr>
          <w:p w14:paraId="4BF8A460" w14:textId="77777777" w:rsidR="00AD6087" w:rsidRPr="006435A5" w:rsidRDefault="00AD6087" w:rsidP="00AD6087">
            <w:pPr>
              <w:spacing w:line="240" w:lineRule="auto"/>
              <w:ind w:firstLine="0"/>
              <w:jc w:val="center"/>
            </w:pPr>
            <w:r w:rsidRPr="006435A5">
              <w:t>10.8</w:t>
            </w:r>
          </w:p>
        </w:tc>
        <w:tc>
          <w:tcPr>
            <w:tcW w:w="1373" w:type="dxa"/>
            <w:tcBorders>
              <w:left w:val="nil"/>
              <w:bottom w:val="single" w:sz="36" w:space="0" w:color="auto"/>
              <w:right w:val="double" w:sz="4" w:space="0" w:color="auto"/>
            </w:tcBorders>
            <w:vAlign w:val="center"/>
          </w:tcPr>
          <w:p w14:paraId="1CC6D284" w14:textId="77777777" w:rsidR="00AD6087" w:rsidRPr="006435A5" w:rsidRDefault="00AD6087" w:rsidP="00AD6087">
            <w:pPr>
              <w:spacing w:line="240" w:lineRule="auto"/>
              <w:ind w:firstLine="0"/>
              <w:jc w:val="center"/>
            </w:pPr>
            <w:r w:rsidRPr="006435A5">
              <w:t>10.3</w:t>
            </w:r>
          </w:p>
        </w:tc>
        <w:tc>
          <w:tcPr>
            <w:tcW w:w="1087" w:type="dxa"/>
            <w:tcBorders>
              <w:left w:val="double" w:sz="4" w:space="0" w:color="auto"/>
              <w:bottom w:val="single" w:sz="36" w:space="0" w:color="auto"/>
              <w:right w:val="nil"/>
            </w:tcBorders>
            <w:vAlign w:val="center"/>
          </w:tcPr>
          <w:p w14:paraId="1286CB0D" w14:textId="77777777" w:rsidR="00AD6087" w:rsidRPr="006435A5" w:rsidRDefault="00AD6087" w:rsidP="00AD6087">
            <w:pPr>
              <w:spacing w:line="240" w:lineRule="auto"/>
              <w:ind w:firstLine="0"/>
              <w:jc w:val="center"/>
            </w:pPr>
            <w:r w:rsidRPr="006435A5">
              <w:t>10.5</w:t>
            </w:r>
          </w:p>
        </w:tc>
        <w:tc>
          <w:tcPr>
            <w:tcW w:w="971" w:type="dxa"/>
            <w:tcBorders>
              <w:left w:val="nil"/>
              <w:bottom w:val="single" w:sz="36" w:space="0" w:color="auto"/>
              <w:right w:val="nil"/>
            </w:tcBorders>
            <w:vAlign w:val="center"/>
          </w:tcPr>
          <w:p w14:paraId="582874EF" w14:textId="77777777" w:rsidR="00AD6087" w:rsidRPr="006435A5" w:rsidRDefault="00AD6087" w:rsidP="00AD6087">
            <w:pPr>
              <w:spacing w:line="240" w:lineRule="auto"/>
              <w:ind w:firstLine="0"/>
              <w:jc w:val="center"/>
            </w:pPr>
            <w:r w:rsidRPr="006435A5">
              <w:t>9.9</w:t>
            </w:r>
          </w:p>
        </w:tc>
        <w:tc>
          <w:tcPr>
            <w:tcW w:w="1003" w:type="dxa"/>
            <w:tcBorders>
              <w:left w:val="nil"/>
              <w:bottom w:val="single" w:sz="36" w:space="0" w:color="auto"/>
              <w:right w:val="nil"/>
            </w:tcBorders>
            <w:vAlign w:val="center"/>
          </w:tcPr>
          <w:p w14:paraId="231ACC0B" w14:textId="77777777" w:rsidR="00AD6087" w:rsidRPr="006435A5" w:rsidRDefault="00AD6087" w:rsidP="00AD6087">
            <w:pPr>
              <w:spacing w:line="240" w:lineRule="auto"/>
              <w:ind w:firstLine="0"/>
              <w:jc w:val="center"/>
            </w:pPr>
            <w:r w:rsidRPr="006435A5">
              <w:t>9.7</w:t>
            </w:r>
          </w:p>
        </w:tc>
        <w:tc>
          <w:tcPr>
            <w:tcW w:w="972" w:type="dxa"/>
            <w:tcBorders>
              <w:left w:val="nil"/>
              <w:bottom w:val="single" w:sz="36" w:space="0" w:color="auto"/>
              <w:right w:val="nil"/>
            </w:tcBorders>
            <w:vAlign w:val="center"/>
          </w:tcPr>
          <w:p w14:paraId="561285F4" w14:textId="77777777" w:rsidR="00AD6087" w:rsidRPr="006435A5" w:rsidRDefault="00AD6087" w:rsidP="00AD6087">
            <w:pPr>
              <w:spacing w:line="240" w:lineRule="auto"/>
              <w:ind w:firstLine="0"/>
              <w:jc w:val="center"/>
            </w:pPr>
            <w:r w:rsidRPr="006435A5">
              <w:t>9.2</w:t>
            </w:r>
          </w:p>
        </w:tc>
      </w:tr>
      <w:tr w:rsidR="00AD6087" w:rsidRPr="006435A5" w14:paraId="1EAFD1D2" w14:textId="77777777" w:rsidTr="00A42F0D">
        <w:trPr>
          <w:trHeight w:val="268"/>
          <w:jc w:val="center"/>
        </w:trPr>
        <w:tc>
          <w:tcPr>
            <w:tcW w:w="2856" w:type="dxa"/>
            <w:tcBorders>
              <w:top w:val="single" w:sz="36" w:space="0" w:color="auto"/>
              <w:left w:val="nil"/>
              <w:bottom w:val="single" w:sz="4" w:space="0" w:color="auto"/>
              <w:right w:val="nil"/>
            </w:tcBorders>
            <w:vAlign w:val="center"/>
          </w:tcPr>
          <w:p w14:paraId="51D71DD3" w14:textId="77777777" w:rsidR="00AD6087" w:rsidRPr="006435A5" w:rsidRDefault="00AD6087" w:rsidP="00AD6087">
            <w:pPr>
              <w:spacing w:line="240" w:lineRule="auto"/>
              <w:ind w:firstLine="0"/>
              <w:jc w:val="left"/>
            </w:pPr>
            <w:r w:rsidRPr="006435A5">
              <w:t>Արտարժութային պետական պարտատոմսեր, մլն ԱՄՆ դոլար</w:t>
            </w:r>
          </w:p>
        </w:tc>
        <w:tc>
          <w:tcPr>
            <w:tcW w:w="1132" w:type="dxa"/>
            <w:tcBorders>
              <w:top w:val="single" w:sz="36" w:space="0" w:color="auto"/>
              <w:left w:val="nil"/>
              <w:bottom w:val="single" w:sz="4" w:space="0" w:color="auto"/>
              <w:right w:val="nil"/>
            </w:tcBorders>
            <w:vAlign w:val="center"/>
          </w:tcPr>
          <w:p w14:paraId="449FFB92" w14:textId="77777777" w:rsidR="00AD6087" w:rsidRPr="006435A5" w:rsidRDefault="00AD6087" w:rsidP="00AD6087">
            <w:pPr>
              <w:spacing w:line="240" w:lineRule="auto"/>
              <w:ind w:firstLine="0"/>
              <w:jc w:val="center"/>
            </w:pPr>
            <w:r w:rsidRPr="006435A5">
              <w:t>1,097.7</w:t>
            </w:r>
          </w:p>
        </w:tc>
        <w:tc>
          <w:tcPr>
            <w:tcW w:w="983" w:type="dxa"/>
            <w:tcBorders>
              <w:top w:val="single" w:sz="36" w:space="0" w:color="auto"/>
              <w:left w:val="nil"/>
              <w:bottom w:val="single" w:sz="4" w:space="0" w:color="auto"/>
              <w:right w:val="nil"/>
            </w:tcBorders>
            <w:vAlign w:val="center"/>
          </w:tcPr>
          <w:p w14:paraId="4882FAA9" w14:textId="77777777" w:rsidR="00AD6087" w:rsidRPr="006435A5" w:rsidRDefault="00AD6087" w:rsidP="00AD6087">
            <w:pPr>
              <w:spacing w:line="240" w:lineRule="auto"/>
              <w:ind w:firstLine="0"/>
              <w:jc w:val="center"/>
            </w:pPr>
            <w:r w:rsidRPr="006435A5">
              <w:t>1,000.0</w:t>
            </w:r>
          </w:p>
        </w:tc>
        <w:tc>
          <w:tcPr>
            <w:tcW w:w="1373" w:type="dxa"/>
            <w:tcBorders>
              <w:top w:val="single" w:sz="36" w:space="0" w:color="auto"/>
              <w:left w:val="nil"/>
              <w:bottom w:val="single" w:sz="4" w:space="0" w:color="auto"/>
              <w:right w:val="double" w:sz="4" w:space="0" w:color="auto"/>
            </w:tcBorders>
            <w:vAlign w:val="center"/>
          </w:tcPr>
          <w:p w14:paraId="63D71170" w14:textId="77777777" w:rsidR="00AD6087" w:rsidRPr="006435A5" w:rsidRDefault="00AD6087" w:rsidP="00AD6087">
            <w:pPr>
              <w:spacing w:line="240" w:lineRule="auto"/>
              <w:ind w:firstLine="0"/>
              <w:jc w:val="center"/>
            </w:pPr>
            <w:r w:rsidRPr="006435A5">
              <w:t>1,750.0</w:t>
            </w:r>
          </w:p>
        </w:tc>
        <w:tc>
          <w:tcPr>
            <w:tcW w:w="1087" w:type="dxa"/>
            <w:tcBorders>
              <w:top w:val="single" w:sz="36" w:space="0" w:color="auto"/>
              <w:left w:val="double" w:sz="4" w:space="0" w:color="auto"/>
              <w:bottom w:val="single" w:sz="4" w:space="0" w:color="auto"/>
              <w:right w:val="nil"/>
            </w:tcBorders>
            <w:vAlign w:val="center"/>
          </w:tcPr>
          <w:p w14:paraId="4CC4F30B" w14:textId="77777777" w:rsidR="00AD6087" w:rsidRPr="006435A5" w:rsidRDefault="00AD6087" w:rsidP="00AD6087">
            <w:pPr>
              <w:spacing w:line="240" w:lineRule="auto"/>
              <w:ind w:firstLine="0"/>
              <w:jc w:val="center"/>
            </w:pPr>
            <w:r w:rsidRPr="006435A5">
              <w:t>1,750.0</w:t>
            </w:r>
          </w:p>
        </w:tc>
        <w:tc>
          <w:tcPr>
            <w:tcW w:w="971" w:type="dxa"/>
            <w:tcBorders>
              <w:top w:val="single" w:sz="36" w:space="0" w:color="auto"/>
              <w:left w:val="nil"/>
              <w:bottom w:val="single" w:sz="4" w:space="0" w:color="auto"/>
              <w:right w:val="nil"/>
            </w:tcBorders>
            <w:vAlign w:val="center"/>
          </w:tcPr>
          <w:p w14:paraId="3AACC26A" w14:textId="77777777" w:rsidR="00AD6087" w:rsidRPr="006435A5" w:rsidRDefault="00AD6087" w:rsidP="00AD6087">
            <w:pPr>
              <w:spacing w:line="240" w:lineRule="auto"/>
              <w:ind w:firstLine="0"/>
              <w:jc w:val="center"/>
            </w:pPr>
            <w:r w:rsidRPr="006435A5">
              <w:t>1,750.0</w:t>
            </w:r>
          </w:p>
        </w:tc>
        <w:tc>
          <w:tcPr>
            <w:tcW w:w="1003" w:type="dxa"/>
            <w:tcBorders>
              <w:top w:val="single" w:sz="36" w:space="0" w:color="auto"/>
              <w:left w:val="nil"/>
              <w:bottom w:val="single" w:sz="4" w:space="0" w:color="auto"/>
              <w:right w:val="nil"/>
            </w:tcBorders>
            <w:vAlign w:val="center"/>
          </w:tcPr>
          <w:p w14:paraId="10AB390C" w14:textId="77777777" w:rsidR="00AD6087" w:rsidRPr="006435A5" w:rsidRDefault="00AD6087" w:rsidP="00AD6087">
            <w:pPr>
              <w:spacing w:line="240" w:lineRule="auto"/>
              <w:ind w:firstLine="0"/>
              <w:jc w:val="center"/>
            </w:pPr>
            <w:r w:rsidRPr="006435A5">
              <w:t>1,750.0</w:t>
            </w:r>
          </w:p>
        </w:tc>
        <w:tc>
          <w:tcPr>
            <w:tcW w:w="972" w:type="dxa"/>
            <w:tcBorders>
              <w:top w:val="single" w:sz="36" w:space="0" w:color="auto"/>
              <w:left w:val="nil"/>
              <w:bottom w:val="single" w:sz="4" w:space="0" w:color="auto"/>
              <w:right w:val="nil"/>
            </w:tcBorders>
            <w:vAlign w:val="center"/>
          </w:tcPr>
          <w:p w14:paraId="13B8415A" w14:textId="77777777" w:rsidR="00AD6087" w:rsidRPr="006435A5" w:rsidRDefault="00AD6087" w:rsidP="00AD6087">
            <w:pPr>
              <w:spacing w:line="240" w:lineRule="auto"/>
              <w:ind w:firstLine="0"/>
              <w:jc w:val="center"/>
            </w:pPr>
            <w:r w:rsidRPr="006435A5">
              <w:t>1,750.0</w:t>
            </w:r>
          </w:p>
        </w:tc>
      </w:tr>
      <w:tr w:rsidR="00AD6087" w:rsidRPr="006435A5" w14:paraId="38ECE874" w14:textId="77777777" w:rsidTr="00A42F0D">
        <w:trPr>
          <w:trHeight w:val="142"/>
          <w:jc w:val="center"/>
        </w:trPr>
        <w:tc>
          <w:tcPr>
            <w:tcW w:w="2856" w:type="dxa"/>
            <w:tcBorders>
              <w:left w:val="nil"/>
              <w:bottom w:val="single" w:sz="12" w:space="0" w:color="auto"/>
              <w:right w:val="nil"/>
            </w:tcBorders>
            <w:vAlign w:val="center"/>
          </w:tcPr>
          <w:p w14:paraId="5A111AA3" w14:textId="77777777" w:rsidR="00AD6087" w:rsidRPr="006435A5" w:rsidRDefault="00AD6087" w:rsidP="00AD6087">
            <w:pPr>
              <w:spacing w:line="240" w:lineRule="auto"/>
              <w:ind w:firstLine="0"/>
              <w:jc w:val="left"/>
            </w:pPr>
            <w:r w:rsidRPr="006435A5">
              <w:t>% ՀՆԱ-ի նկատմամբ</w:t>
            </w:r>
          </w:p>
        </w:tc>
        <w:tc>
          <w:tcPr>
            <w:tcW w:w="1132" w:type="dxa"/>
            <w:tcBorders>
              <w:left w:val="nil"/>
              <w:bottom w:val="single" w:sz="12" w:space="0" w:color="auto"/>
              <w:right w:val="nil"/>
            </w:tcBorders>
            <w:vAlign w:val="center"/>
          </w:tcPr>
          <w:p w14:paraId="5D37C5A4" w14:textId="77777777" w:rsidR="00AD6087" w:rsidRPr="006435A5" w:rsidRDefault="00AD6087" w:rsidP="00AD6087">
            <w:pPr>
              <w:spacing w:line="240" w:lineRule="auto"/>
              <w:ind w:firstLine="0"/>
              <w:jc w:val="center"/>
            </w:pPr>
            <w:r w:rsidRPr="006435A5">
              <w:t>8.0</w:t>
            </w:r>
          </w:p>
        </w:tc>
        <w:tc>
          <w:tcPr>
            <w:tcW w:w="983" w:type="dxa"/>
            <w:tcBorders>
              <w:left w:val="nil"/>
              <w:bottom w:val="single" w:sz="12" w:space="0" w:color="auto"/>
              <w:right w:val="nil"/>
            </w:tcBorders>
            <w:vAlign w:val="center"/>
          </w:tcPr>
          <w:p w14:paraId="3FA60A08" w14:textId="77777777" w:rsidR="00AD6087" w:rsidRPr="006435A5" w:rsidRDefault="00AD6087" w:rsidP="00AD6087">
            <w:pPr>
              <w:spacing w:line="240" w:lineRule="auto"/>
              <w:ind w:firstLine="0"/>
              <w:jc w:val="center"/>
            </w:pPr>
            <w:r w:rsidRPr="006435A5">
              <w:t>8.5</w:t>
            </w:r>
          </w:p>
        </w:tc>
        <w:tc>
          <w:tcPr>
            <w:tcW w:w="1373" w:type="dxa"/>
            <w:tcBorders>
              <w:left w:val="nil"/>
              <w:bottom w:val="single" w:sz="12" w:space="0" w:color="auto"/>
              <w:right w:val="double" w:sz="4" w:space="0" w:color="auto"/>
            </w:tcBorders>
            <w:vAlign w:val="center"/>
          </w:tcPr>
          <w:p w14:paraId="5FDBAC7F" w14:textId="77777777" w:rsidR="00AD6087" w:rsidRPr="006435A5" w:rsidRDefault="00AD6087" w:rsidP="00AD6087">
            <w:pPr>
              <w:spacing w:line="240" w:lineRule="auto"/>
              <w:ind w:firstLine="0"/>
              <w:jc w:val="center"/>
            </w:pPr>
            <w:r w:rsidRPr="006435A5">
              <w:t>13.2</w:t>
            </w:r>
          </w:p>
        </w:tc>
        <w:tc>
          <w:tcPr>
            <w:tcW w:w="1087" w:type="dxa"/>
            <w:tcBorders>
              <w:left w:val="double" w:sz="4" w:space="0" w:color="auto"/>
              <w:bottom w:val="single" w:sz="12" w:space="0" w:color="auto"/>
              <w:right w:val="nil"/>
            </w:tcBorders>
            <w:vAlign w:val="center"/>
          </w:tcPr>
          <w:p w14:paraId="09756AF1" w14:textId="77777777" w:rsidR="00AD6087" w:rsidRPr="006435A5" w:rsidRDefault="00AD6087" w:rsidP="00AD6087">
            <w:pPr>
              <w:spacing w:line="240" w:lineRule="auto"/>
              <w:ind w:firstLine="0"/>
              <w:jc w:val="center"/>
            </w:pPr>
            <w:r w:rsidRPr="006435A5">
              <w:t>12.6</w:t>
            </w:r>
          </w:p>
        </w:tc>
        <w:tc>
          <w:tcPr>
            <w:tcW w:w="971" w:type="dxa"/>
            <w:tcBorders>
              <w:left w:val="nil"/>
              <w:bottom w:val="single" w:sz="12" w:space="0" w:color="auto"/>
              <w:right w:val="nil"/>
            </w:tcBorders>
            <w:vAlign w:val="center"/>
          </w:tcPr>
          <w:p w14:paraId="78945B1E" w14:textId="77777777" w:rsidR="00AD6087" w:rsidRPr="006435A5" w:rsidRDefault="00AD6087" w:rsidP="00AD6087">
            <w:pPr>
              <w:spacing w:line="240" w:lineRule="auto"/>
              <w:ind w:firstLine="0"/>
              <w:jc w:val="center"/>
            </w:pPr>
            <w:r w:rsidRPr="006435A5">
              <w:t>11.9</w:t>
            </w:r>
          </w:p>
        </w:tc>
        <w:tc>
          <w:tcPr>
            <w:tcW w:w="1003" w:type="dxa"/>
            <w:tcBorders>
              <w:left w:val="nil"/>
              <w:bottom w:val="single" w:sz="12" w:space="0" w:color="auto"/>
              <w:right w:val="nil"/>
            </w:tcBorders>
            <w:vAlign w:val="center"/>
          </w:tcPr>
          <w:p w14:paraId="6E78773F" w14:textId="77777777" w:rsidR="00AD6087" w:rsidRPr="006435A5" w:rsidRDefault="00AD6087" w:rsidP="00AD6087">
            <w:pPr>
              <w:spacing w:line="240" w:lineRule="auto"/>
              <w:ind w:firstLine="0"/>
              <w:jc w:val="center"/>
            </w:pPr>
            <w:r w:rsidRPr="006435A5">
              <w:t>11.1</w:t>
            </w:r>
          </w:p>
        </w:tc>
        <w:tc>
          <w:tcPr>
            <w:tcW w:w="972" w:type="dxa"/>
            <w:tcBorders>
              <w:left w:val="nil"/>
              <w:bottom w:val="single" w:sz="12" w:space="0" w:color="auto"/>
              <w:right w:val="nil"/>
            </w:tcBorders>
            <w:vAlign w:val="center"/>
          </w:tcPr>
          <w:p w14:paraId="1E8394B7" w14:textId="77777777" w:rsidR="00AD6087" w:rsidRPr="006435A5" w:rsidRDefault="00AD6087" w:rsidP="00AD6087">
            <w:pPr>
              <w:spacing w:line="240" w:lineRule="auto"/>
              <w:ind w:firstLine="0"/>
              <w:jc w:val="center"/>
            </w:pPr>
            <w:r w:rsidRPr="006435A5">
              <w:t>10.3</w:t>
            </w:r>
          </w:p>
        </w:tc>
      </w:tr>
      <w:tr w:rsidR="00AD6087" w:rsidRPr="006435A5" w14:paraId="5402C7FC" w14:textId="77777777" w:rsidTr="00A42F0D">
        <w:trPr>
          <w:trHeight w:val="142"/>
          <w:jc w:val="center"/>
        </w:trPr>
        <w:tc>
          <w:tcPr>
            <w:tcW w:w="2856" w:type="dxa"/>
            <w:tcBorders>
              <w:top w:val="single" w:sz="12" w:space="0" w:color="auto"/>
              <w:left w:val="nil"/>
              <w:right w:val="nil"/>
            </w:tcBorders>
            <w:vAlign w:val="center"/>
          </w:tcPr>
          <w:p w14:paraId="739E77EA" w14:textId="77777777" w:rsidR="00AD6087" w:rsidRPr="006435A5" w:rsidRDefault="00AD6087" w:rsidP="00AD6087">
            <w:pPr>
              <w:spacing w:line="240" w:lineRule="auto"/>
              <w:ind w:firstLine="0"/>
              <w:jc w:val="left"/>
            </w:pPr>
            <w:r w:rsidRPr="006435A5">
              <w:t>Միջին տոկոսադրույք (%)</w:t>
            </w:r>
          </w:p>
        </w:tc>
        <w:tc>
          <w:tcPr>
            <w:tcW w:w="1132" w:type="dxa"/>
            <w:tcBorders>
              <w:top w:val="single" w:sz="12" w:space="0" w:color="auto"/>
              <w:left w:val="nil"/>
              <w:right w:val="nil"/>
            </w:tcBorders>
            <w:vAlign w:val="center"/>
          </w:tcPr>
          <w:p w14:paraId="216B3AAE" w14:textId="77777777" w:rsidR="00AD6087" w:rsidRPr="006435A5" w:rsidRDefault="00AD6087" w:rsidP="00AD6087">
            <w:pPr>
              <w:spacing w:line="240" w:lineRule="auto"/>
              <w:ind w:firstLine="0"/>
              <w:jc w:val="center"/>
            </w:pPr>
            <w:r w:rsidRPr="006435A5">
              <w:t>5.9</w:t>
            </w:r>
          </w:p>
        </w:tc>
        <w:tc>
          <w:tcPr>
            <w:tcW w:w="983" w:type="dxa"/>
            <w:tcBorders>
              <w:top w:val="single" w:sz="12" w:space="0" w:color="auto"/>
              <w:left w:val="nil"/>
              <w:right w:val="nil"/>
            </w:tcBorders>
            <w:vAlign w:val="center"/>
          </w:tcPr>
          <w:p w14:paraId="29B6E3A1" w14:textId="77777777" w:rsidR="00AD6087" w:rsidRPr="006435A5" w:rsidRDefault="00AD6087" w:rsidP="00AD6087">
            <w:pPr>
              <w:spacing w:line="240" w:lineRule="auto"/>
              <w:ind w:firstLine="0"/>
              <w:jc w:val="center"/>
            </w:pPr>
            <w:r w:rsidRPr="006435A5">
              <w:t>5.9</w:t>
            </w:r>
          </w:p>
        </w:tc>
        <w:tc>
          <w:tcPr>
            <w:tcW w:w="1373" w:type="dxa"/>
            <w:tcBorders>
              <w:top w:val="single" w:sz="12" w:space="0" w:color="auto"/>
              <w:left w:val="nil"/>
              <w:right w:val="double" w:sz="4" w:space="0" w:color="auto"/>
            </w:tcBorders>
            <w:vAlign w:val="center"/>
          </w:tcPr>
          <w:p w14:paraId="684756BA" w14:textId="77777777" w:rsidR="00AD6087" w:rsidRPr="006435A5" w:rsidRDefault="00AD6087" w:rsidP="00AD6087">
            <w:pPr>
              <w:spacing w:line="240" w:lineRule="auto"/>
              <w:ind w:firstLine="0"/>
              <w:jc w:val="center"/>
            </w:pPr>
            <w:r w:rsidRPr="006435A5">
              <w:t>5.6</w:t>
            </w:r>
          </w:p>
        </w:tc>
        <w:tc>
          <w:tcPr>
            <w:tcW w:w="1087" w:type="dxa"/>
            <w:tcBorders>
              <w:top w:val="single" w:sz="12" w:space="0" w:color="auto"/>
              <w:left w:val="double" w:sz="4" w:space="0" w:color="auto"/>
              <w:right w:val="nil"/>
            </w:tcBorders>
            <w:vAlign w:val="center"/>
          </w:tcPr>
          <w:p w14:paraId="13D7031A" w14:textId="77777777" w:rsidR="00AD6087" w:rsidRPr="006435A5" w:rsidRDefault="00AD6087" w:rsidP="00AD6087">
            <w:pPr>
              <w:spacing w:line="240" w:lineRule="auto"/>
              <w:ind w:firstLine="0"/>
              <w:jc w:val="center"/>
            </w:pPr>
            <w:r w:rsidRPr="006435A5">
              <w:t>5.0</w:t>
            </w:r>
          </w:p>
        </w:tc>
        <w:tc>
          <w:tcPr>
            <w:tcW w:w="971" w:type="dxa"/>
            <w:tcBorders>
              <w:top w:val="single" w:sz="12" w:space="0" w:color="auto"/>
              <w:left w:val="nil"/>
              <w:right w:val="nil"/>
            </w:tcBorders>
            <w:vAlign w:val="center"/>
          </w:tcPr>
          <w:p w14:paraId="3A9EB4A4" w14:textId="77777777" w:rsidR="00AD6087" w:rsidRPr="006435A5" w:rsidRDefault="00AD6087" w:rsidP="00AD6087">
            <w:pPr>
              <w:spacing w:line="240" w:lineRule="auto"/>
              <w:ind w:firstLine="0"/>
              <w:jc w:val="center"/>
            </w:pPr>
            <w:r w:rsidRPr="006435A5">
              <w:t>5.0</w:t>
            </w:r>
          </w:p>
        </w:tc>
        <w:tc>
          <w:tcPr>
            <w:tcW w:w="1003" w:type="dxa"/>
            <w:tcBorders>
              <w:top w:val="single" w:sz="12" w:space="0" w:color="auto"/>
              <w:left w:val="nil"/>
              <w:right w:val="nil"/>
            </w:tcBorders>
            <w:vAlign w:val="center"/>
          </w:tcPr>
          <w:p w14:paraId="7584DA41" w14:textId="77777777" w:rsidR="00AD6087" w:rsidRPr="006435A5" w:rsidRDefault="00AD6087" w:rsidP="00AD6087">
            <w:pPr>
              <w:spacing w:line="240" w:lineRule="auto"/>
              <w:ind w:firstLine="0"/>
              <w:jc w:val="center"/>
            </w:pPr>
            <w:r w:rsidRPr="006435A5">
              <w:t>5.0</w:t>
            </w:r>
          </w:p>
        </w:tc>
        <w:tc>
          <w:tcPr>
            <w:tcW w:w="972" w:type="dxa"/>
            <w:tcBorders>
              <w:top w:val="single" w:sz="12" w:space="0" w:color="auto"/>
              <w:left w:val="nil"/>
              <w:right w:val="nil"/>
            </w:tcBorders>
            <w:vAlign w:val="center"/>
          </w:tcPr>
          <w:p w14:paraId="04B5F849" w14:textId="77777777" w:rsidR="00AD6087" w:rsidRPr="006435A5" w:rsidRDefault="00AD6087" w:rsidP="00AD6087">
            <w:pPr>
              <w:spacing w:line="240" w:lineRule="auto"/>
              <w:ind w:firstLine="0"/>
              <w:jc w:val="center"/>
            </w:pPr>
            <w:r w:rsidRPr="006435A5">
              <w:t>4.1</w:t>
            </w:r>
          </w:p>
        </w:tc>
      </w:tr>
      <w:tr w:rsidR="00AD6087" w:rsidRPr="006435A5" w14:paraId="04EEBE26" w14:textId="77777777" w:rsidTr="00A42F0D">
        <w:trPr>
          <w:trHeight w:val="36"/>
          <w:jc w:val="center"/>
        </w:trPr>
        <w:tc>
          <w:tcPr>
            <w:tcW w:w="2856" w:type="dxa"/>
            <w:tcBorders>
              <w:left w:val="nil"/>
              <w:bottom w:val="thickThinSmallGap" w:sz="24" w:space="0" w:color="auto"/>
              <w:right w:val="nil"/>
            </w:tcBorders>
            <w:vAlign w:val="center"/>
          </w:tcPr>
          <w:p w14:paraId="09BEE29F" w14:textId="77777777" w:rsidR="00AD6087" w:rsidRPr="006435A5" w:rsidRDefault="00AD6087" w:rsidP="00AD6087">
            <w:pPr>
              <w:spacing w:line="240" w:lineRule="auto"/>
              <w:ind w:firstLine="0"/>
              <w:jc w:val="left"/>
            </w:pPr>
            <w:r w:rsidRPr="006435A5">
              <w:t>Միջին ժամկետայնություն (տարի)</w:t>
            </w:r>
          </w:p>
        </w:tc>
        <w:tc>
          <w:tcPr>
            <w:tcW w:w="1132" w:type="dxa"/>
            <w:tcBorders>
              <w:left w:val="nil"/>
              <w:bottom w:val="thickThinSmallGap" w:sz="24" w:space="0" w:color="auto"/>
              <w:right w:val="nil"/>
            </w:tcBorders>
            <w:vAlign w:val="center"/>
          </w:tcPr>
          <w:p w14:paraId="7B089997" w14:textId="77777777" w:rsidR="00AD6087" w:rsidRPr="006435A5" w:rsidRDefault="00AD6087" w:rsidP="00AD6087">
            <w:pPr>
              <w:spacing w:line="240" w:lineRule="auto"/>
              <w:ind w:firstLine="0"/>
              <w:jc w:val="center"/>
            </w:pPr>
            <w:r w:rsidRPr="006435A5">
              <w:t>6.9</w:t>
            </w:r>
          </w:p>
        </w:tc>
        <w:tc>
          <w:tcPr>
            <w:tcW w:w="983" w:type="dxa"/>
            <w:tcBorders>
              <w:left w:val="nil"/>
              <w:bottom w:val="thickThinSmallGap" w:sz="24" w:space="0" w:color="auto"/>
              <w:right w:val="nil"/>
            </w:tcBorders>
            <w:vAlign w:val="center"/>
          </w:tcPr>
          <w:p w14:paraId="13F94007" w14:textId="77777777" w:rsidR="00AD6087" w:rsidRPr="006435A5" w:rsidRDefault="00AD6087" w:rsidP="00AD6087">
            <w:pPr>
              <w:spacing w:line="240" w:lineRule="auto"/>
              <w:ind w:firstLine="0"/>
              <w:jc w:val="center"/>
            </w:pPr>
            <w:r w:rsidRPr="006435A5">
              <w:t>6.5</w:t>
            </w:r>
          </w:p>
        </w:tc>
        <w:tc>
          <w:tcPr>
            <w:tcW w:w="1373" w:type="dxa"/>
            <w:tcBorders>
              <w:left w:val="nil"/>
              <w:bottom w:val="thickThinSmallGap" w:sz="24" w:space="0" w:color="auto"/>
              <w:right w:val="double" w:sz="4" w:space="0" w:color="auto"/>
            </w:tcBorders>
            <w:vAlign w:val="center"/>
          </w:tcPr>
          <w:p w14:paraId="5C19FDEB" w14:textId="77777777" w:rsidR="00AD6087" w:rsidRPr="006435A5" w:rsidRDefault="00AD6087" w:rsidP="00AD6087">
            <w:pPr>
              <w:spacing w:line="240" w:lineRule="auto"/>
              <w:ind w:firstLine="0"/>
              <w:jc w:val="center"/>
            </w:pPr>
            <w:r w:rsidRPr="006435A5">
              <w:t>7.3</w:t>
            </w:r>
          </w:p>
        </w:tc>
        <w:tc>
          <w:tcPr>
            <w:tcW w:w="1087" w:type="dxa"/>
            <w:tcBorders>
              <w:left w:val="double" w:sz="4" w:space="0" w:color="auto"/>
              <w:bottom w:val="thickThinSmallGap" w:sz="24" w:space="0" w:color="auto"/>
              <w:right w:val="nil"/>
            </w:tcBorders>
            <w:vAlign w:val="center"/>
          </w:tcPr>
          <w:p w14:paraId="6C2F151B" w14:textId="77777777" w:rsidR="00AD6087" w:rsidRPr="006435A5" w:rsidRDefault="00AD6087" w:rsidP="00AD6087">
            <w:pPr>
              <w:spacing w:line="240" w:lineRule="auto"/>
              <w:ind w:firstLine="0"/>
              <w:jc w:val="center"/>
            </w:pPr>
            <w:r w:rsidRPr="006435A5">
              <w:t>7.0</w:t>
            </w:r>
          </w:p>
        </w:tc>
        <w:tc>
          <w:tcPr>
            <w:tcW w:w="971" w:type="dxa"/>
            <w:tcBorders>
              <w:left w:val="nil"/>
              <w:bottom w:val="thickThinSmallGap" w:sz="24" w:space="0" w:color="auto"/>
              <w:right w:val="nil"/>
            </w:tcBorders>
            <w:vAlign w:val="center"/>
          </w:tcPr>
          <w:p w14:paraId="6549ACDC" w14:textId="77777777" w:rsidR="00AD6087" w:rsidRPr="006435A5" w:rsidRDefault="00AD6087" w:rsidP="00AD6087">
            <w:pPr>
              <w:spacing w:line="240" w:lineRule="auto"/>
              <w:ind w:firstLine="0"/>
              <w:jc w:val="center"/>
            </w:pPr>
            <w:r w:rsidRPr="006435A5">
              <w:t>6.0</w:t>
            </w:r>
          </w:p>
        </w:tc>
        <w:tc>
          <w:tcPr>
            <w:tcW w:w="1003" w:type="dxa"/>
            <w:tcBorders>
              <w:left w:val="nil"/>
              <w:bottom w:val="thickThinSmallGap" w:sz="24" w:space="0" w:color="auto"/>
              <w:right w:val="nil"/>
            </w:tcBorders>
            <w:vAlign w:val="center"/>
          </w:tcPr>
          <w:p w14:paraId="56795E18" w14:textId="77777777" w:rsidR="00AD6087" w:rsidRPr="006435A5" w:rsidRDefault="00AD6087" w:rsidP="00AD6087">
            <w:pPr>
              <w:spacing w:line="240" w:lineRule="auto"/>
              <w:ind w:firstLine="0"/>
              <w:jc w:val="center"/>
            </w:pPr>
            <w:r w:rsidRPr="006435A5">
              <w:t>5.0</w:t>
            </w:r>
          </w:p>
        </w:tc>
        <w:tc>
          <w:tcPr>
            <w:tcW w:w="972" w:type="dxa"/>
            <w:tcBorders>
              <w:left w:val="nil"/>
              <w:bottom w:val="thickThinSmallGap" w:sz="24" w:space="0" w:color="auto"/>
              <w:right w:val="nil"/>
            </w:tcBorders>
            <w:vAlign w:val="center"/>
          </w:tcPr>
          <w:p w14:paraId="091BA753" w14:textId="77777777" w:rsidR="00AD6087" w:rsidRPr="006435A5" w:rsidRDefault="00AD6087" w:rsidP="00AD6087">
            <w:pPr>
              <w:spacing w:line="240" w:lineRule="auto"/>
              <w:ind w:firstLine="0"/>
              <w:jc w:val="center"/>
            </w:pPr>
            <w:r w:rsidRPr="006435A5">
              <w:t>6.8</w:t>
            </w:r>
          </w:p>
        </w:tc>
      </w:tr>
    </w:tbl>
    <w:p w14:paraId="5601649C" w14:textId="77777777" w:rsidR="00AD6087" w:rsidRPr="006435A5" w:rsidRDefault="00AD6087" w:rsidP="00AD6087">
      <w:pPr>
        <w:spacing w:line="276" w:lineRule="auto"/>
      </w:pPr>
    </w:p>
    <w:p w14:paraId="0B523489" w14:textId="77777777" w:rsidR="00AD6087" w:rsidRPr="006435A5" w:rsidRDefault="00AD6087" w:rsidP="00AD6087">
      <w:pPr>
        <w:pStyle w:val="aff1"/>
        <w:spacing w:line="276" w:lineRule="auto"/>
      </w:pPr>
      <w:r w:rsidRPr="006435A5">
        <w:rPr>
          <w:b/>
        </w:rPr>
        <w:t xml:space="preserve">Աղյուսակ 18. </w:t>
      </w:r>
      <w:r w:rsidRPr="006435A5">
        <w:t>ՀՀ կառավարության վարկերի և փոխառությունների ցուցանիշները 2019-2024 թվականներին</w:t>
      </w:r>
    </w:p>
    <w:p w14:paraId="6BB61427" w14:textId="77777777" w:rsidR="00AD6087" w:rsidRPr="006435A5" w:rsidRDefault="00AD6087" w:rsidP="00AD6087">
      <w:pPr>
        <w:pStyle w:val="aff1"/>
        <w:spacing w:line="276" w:lineRule="auto"/>
      </w:pPr>
      <w:r w:rsidRPr="006435A5">
        <w:t>(մլն ԱՄՆ դոլար)</w:t>
      </w:r>
    </w:p>
    <w:tbl>
      <w:tblPr>
        <w:tblW w:w="10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1"/>
        <w:gridCol w:w="1196"/>
        <w:gridCol w:w="1071"/>
        <w:gridCol w:w="1330"/>
        <w:gridCol w:w="1127"/>
        <w:gridCol w:w="1016"/>
        <w:gridCol w:w="1055"/>
        <w:gridCol w:w="1018"/>
      </w:tblGrid>
      <w:tr w:rsidR="00AD6087" w:rsidRPr="006435A5" w14:paraId="11A0E1AB" w14:textId="77777777" w:rsidTr="00A42F0D">
        <w:trPr>
          <w:trHeight w:val="765"/>
          <w:tblHeader/>
          <w:jc w:val="center"/>
        </w:trPr>
        <w:tc>
          <w:tcPr>
            <w:tcW w:w="2761" w:type="dxa"/>
            <w:tcBorders>
              <w:top w:val="thinThickThinSmallGap" w:sz="24" w:space="0" w:color="auto"/>
              <w:left w:val="nil"/>
              <w:bottom w:val="thinThickSmallGap" w:sz="24" w:space="0" w:color="auto"/>
              <w:right w:val="nil"/>
            </w:tcBorders>
            <w:shd w:val="clear" w:color="auto" w:fill="5B9BD5"/>
            <w:vAlign w:val="center"/>
          </w:tcPr>
          <w:p w14:paraId="433018B3" w14:textId="77777777" w:rsidR="00AD6087" w:rsidRPr="006435A5" w:rsidRDefault="00AD6087" w:rsidP="00A42F0D">
            <w:pPr>
              <w:spacing w:line="276" w:lineRule="auto"/>
              <w:ind w:firstLine="0"/>
              <w:jc w:val="center"/>
            </w:pPr>
          </w:p>
        </w:tc>
        <w:tc>
          <w:tcPr>
            <w:tcW w:w="1196" w:type="dxa"/>
            <w:tcBorders>
              <w:top w:val="thinThickThinSmallGap" w:sz="24" w:space="0" w:color="auto"/>
              <w:left w:val="nil"/>
              <w:bottom w:val="thinThickSmallGap" w:sz="24" w:space="0" w:color="auto"/>
              <w:right w:val="nil"/>
            </w:tcBorders>
            <w:shd w:val="clear" w:color="auto" w:fill="5B9BD5"/>
            <w:vAlign w:val="center"/>
          </w:tcPr>
          <w:p w14:paraId="273060AC" w14:textId="77777777" w:rsidR="00AD6087" w:rsidRPr="006435A5" w:rsidRDefault="00AD6087" w:rsidP="00A42F0D">
            <w:pPr>
              <w:spacing w:line="276" w:lineRule="auto"/>
              <w:ind w:firstLine="0"/>
              <w:jc w:val="center"/>
            </w:pPr>
            <w:r w:rsidRPr="006435A5">
              <w:t>2019 փաստ.</w:t>
            </w:r>
          </w:p>
        </w:tc>
        <w:tc>
          <w:tcPr>
            <w:tcW w:w="1071" w:type="dxa"/>
            <w:tcBorders>
              <w:top w:val="thinThickThinSmallGap" w:sz="24" w:space="0" w:color="auto"/>
              <w:left w:val="nil"/>
              <w:bottom w:val="thinThickSmallGap" w:sz="24" w:space="0" w:color="auto"/>
              <w:right w:val="nil"/>
            </w:tcBorders>
            <w:shd w:val="clear" w:color="auto" w:fill="5B9BD5"/>
            <w:vAlign w:val="center"/>
          </w:tcPr>
          <w:p w14:paraId="05F97191" w14:textId="77777777" w:rsidR="00AD6087" w:rsidRPr="006435A5" w:rsidRDefault="00AD6087" w:rsidP="00A42F0D">
            <w:pPr>
              <w:spacing w:line="276" w:lineRule="auto"/>
              <w:ind w:firstLine="0"/>
              <w:jc w:val="center"/>
            </w:pPr>
            <w:r w:rsidRPr="006435A5">
              <w:t>2020 փաստ.</w:t>
            </w:r>
          </w:p>
        </w:tc>
        <w:tc>
          <w:tcPr>
            <w:tcW w:w="1330" w:type="dxa"/>
            <w:tcBorders>
              <w:top w:val="thinThickThinSmallGap" w:sz="24" w:space="0" w:color="auto"/>
              <w:left w:val="nil"/>
              <w:bottom w:val="thinThickSmallGap" w:sz="24" w:space="0" w:color="auto"/>
              <w:right w:val="double" w:sz="4" w:space="0" w:color="auto"/>
            </w:tcBorders>
            <w:shd w:val="clear" w:color="auto" w:fill="5B9BD5"/>
            <w:vAlign w:val="center"/>
          </w:tcPr>
          <w:p w14:paraId="4D867B4D" w14:textId="77777777" w:rsidR="00AD6087" w:rsidRPr="006435A5" w:rsidRDefault="00AD6087" w:rsidP="00A42F0D">
            <w:pPr>
              <w:spacing w:line="276" w:lineRule="auto"/>
              <w:ind w:firstLine="0"/>
              <w:jc w:val="center"/>
            </w:pPr>
            <w:r w:rsidRPr="006435A5">
              <w:t>2021 պետբյուջեի ծրագիր</w:t>
            </w:r>
          </w:p>
        </w:tc>
        <w:tc>
          <w:tcPr>
            <w:tcW w:w="1127" w:type="dxa"/>
            <w:tcBorders>
              <w:top w:val="thinThickThinSmallGap" w:sz="24" w:space="0" w:color="auto"/>
              <w:left w:val="double" w:sz="4" w:space="0" w:color="auto"/>
              <w:bottom w:val="thinThickSmallGap" w:sz="24" w:space="0" w:color="auto"/>
              <w:right w:val="nil"/>
            </w:tcBorders>
            <w:shd w:val="clear" w:color="auto" w:fill="5B9BD5"/>
            <w:vAlign w:val="center"/>
          </w:tcPr>
          <w:p w14:paraId="3B351895" w14:textId="77777777" w:rsidR="00AD6087" w:rsidRPr="006435A5" w:rsidRDefault="00AD6087" w:rsidP="00A42F0D">
            <w:pPr>
              <w:spacing w:line="276" w:lineRule="auto"/>
              <w:ind w:firstLine="0"/>
              <w:jc w:val="center"/>
            </w:pPr>
            <w:r w:rsidRPr="006435A5">
              <w:t>2021 կանխ.</w:t>
            </w:r>
          </w:p>
        </w:tc>
        <w:tc>
          <w:tcPr>
            <w:tcW w:w="1016" w:type="dxa"/>
            <w:tcBorders>
              <w:top w:val="thinThickThinSmallGap" w:sz="24" w:space="0" w:color="auto"/>
              <w:left w:val="nil"/>
              <w:bottom w:val="thinThickSmallGap" w:sz="24" w:space="0" w:color="auto"/>
              <w:right w:val="nil"/>
            </w:tcBorders>
            <w:shd w:val="clear" w:color="auto" w:fill="5B9BD5"/>
            <w:vAlign w:val="center"/>
          </w:tcPr>
          <w:p w14:paraId="7EFCDD46" w14:textId="77777777" w:rsidR="00AD6087" w:rsidRPr="006435A5" w:rsidRDefault="00AD6087" w:rsidP="00A42F0D">
            <w:pPr>
              <w:spacing w:line="276" w:lineRule="auto"/>
              <w:ind w:firstLine="0"/>
              <w:jc w:val="center"/>
            </w:pPr>
            <w:r w:rsidRPr="006435A5">
              <w:t>2022 կանխ.</w:t>
            </w:r>
          </w:p>
        </w:tc>
        <w:tc>
          <w:tcPr>
            <w:tcW w:w="1055" w:type="dxa"/>
            <w:tcBorders>
              <w:top w:val="thinThickThinSmallGap" w:sz="24" w:space="0" w:color="auto"/>
              <w:left w:val="nil"/>
              <w:bottom w:val="thinThickSmallGap" w:sz="24" w:space="0" w:color="auto"/>
              <w:right w:val="nil"/>
            </w:tcBorders>
            <w:shd w:val="clear" w:color="auto" w:fill="5B9BD5"/>
            <w:vAlign w:val="center"/>
          </w:tcPr>
          <w:p w14:paraId="45C1BBC4" w14:textId="77777777" w:rsidR="00AD6087" w:rsidRPr="006435A5" w:rsidRDefault="00AD6087" w:rsidP="00A42F0D">
            <w:pPr>
              <w:spacing w:line="276" w:lineRule="auto"/>
              <w:ind w:firstLine="0"/>
              <w:jc w:val="center"/>
            </w:pPr>
            <w:r w:rsidRPr="006435A5">
              <w:t>2023 կանխ.</w:t>
            </w:r>
          </w:p>
        </w:tc>
        <w:tc>
          <w:tcPr>
            <w:tcW w:w="1018" w:type="dxa"/>
            <w:tcBorders>
              <w:top w:val="thinThickThinSmallGap" w:sz="24" w:space="0" w:color="auto"/>
              <w:left w:val="nil"/>
              <w:bottom w:val="thinThickSmallGap" w:sz="24" w:space="0" w:color="auto"/>
              <w:right w:val="nil"/>
            </w:tcBorders>
            <w:shd w:val="clear" w:color="auto" w:fill="5B9BD5"/>
            <w:vAlign w:val="center"/>
          </w:tcPr>
          <w:p w14:paraId="344D396D" w14:textId="77777777" w:rsidR="00AD6087" w:rsidRPr="006435A5" w:rsidRDefault="00AD6087" w:rsidP="00A42F0D">
            <w:pPr>
              <w:spacing w:line="276" w:lineRule="auto"/>
              <w:ind w:firstLine="0"/>
              <w:jc w:val="center"/>
            </w:pPr>
            <w:r w:rsidRPr="006435A5">
              <w:t>2024 կանխ.</w:t>
            </w:r>
          </w:p>
        </w:tc>
      </w:tr>
      <w:tr w:rsidR="00AD6087" w:rsidRPr="006435A5" w14:paraId="449D8083" w14:textId="77777777" w:rsidTr="00A42F0D">
        <w:trPr>
          <w:trHeight w:val="510"/>
          <w:jc w:val="center"/>
        </w:trPr>
        <w:tc>
          <w:tcPr>
            <w:tcW w:w="2761" w:type="dxa"/>
            <w:tcBorders>
              <w:left w:val="nil"/>
              <w:bottom w:val="single" w:sz="4" w:space="0" w:color="auto"/>
              <w:right w:val="nil"/>
            </w:tcBorders>
            <w:vAlign w:val="center"/>
          </w:tcPr>
          <w:p w14:paraId="63FE1324" w14:textId="77777777" w:rsidR="00AD6087" w:rsidRPr="006435A5" w:rsidRDefault="00AD6087" w:rsidP="00AD6087">
            <w:pPr>
              <w:spacing w:line="240" w:lineRule="auto"/>
              <w:ind w:firstLine="0"/>
              <w:jc w:val="left"/>
            </w:pPr>
            <w:r w:rsidRPr="006435A5">
              <w:t>Կառավարության վարկեր և փոխառություններ</w:t>
            </w:r>
          </w:p>
        </w:tc>
        <w:tc>
          <w:tcPr>
            <w:tcW w:w="1196" w:type="dxa"/>
            <w:tcBorders>
              <w:left w:val="nil"/>
              <w:bottom w:val="single" w:sz="4" w:space="0" w:color="auto"/>
              <w:right w:val="nil"/>
            </w:tcBorders>
            <w:vAlign w:val="center"/>
          </w:tcPr>
          <w:p w14:paraId="25314ADC" w14:textId="77777777" w:rsidR="00AD6087" w:rsidRPr="006435A5" w:rsidRDefault="00AD6087" w:rsidP="00AD6087">
            <w:pPr>
              <w:spacing w:line="240" w:lineRule="auto"/>
              <w:ind w:firstLine="0"/>
              <w:jc w:val="center"/>
            </w:pPr>
            <w:r w:rsidRPr="006435A5">
              <w:t>4,306.7</w:t>
            </w:r>
          </w:p>
        </w:tc>
        <w:tc>
          <w:tcPr>
            <w:tcW w:w="1071" w:type="dxa"/>
            <w:tcBorders>
              <w:left w:val="nil"/>
              <w:bottom w:val="single" w:sz="4" w:space="0" w:color="auto"/>
              <w:right w:val="nil"/>
            </w:tcBorders>
            <w:vAlign w:val="center"/>
          </w:tcPr>
          <w:p w14:paraId="6F119A48" w14:textId="77777777" w:rsidR="00AD6087" w:rsidRPr="006435A5" w:rsidRDefault="00AD6087" w:rsidP="00AD6087">
            <w:pPr>
              <w:spacing w:line="240" w:lineRule="auto"/>
              <w:ind w:firstLine="0"/>
              <w:jc w:val="center"/>
            </w:pPr>
            <w:r w:rsidRPr="006435A5">
              <w:t>4,665.2</w:t>
            </w:r>
          </w:p>
        </w:tc>
        <w:tc>
          <w:tcPr>
            <w:tcW w:w="1330" w:type="dxa"/>
            <w:tcBorders>
              <w:left w:val="nil"/>
              <w:bottom w:val="single" w:sz="4" w:space="0" w:color="auto"/>
              <w:right w:val="double" w:sz="4" w:space="0" w:color="auto"/>
            </w:tcBorders>
            <w:vAlign w:val="center"/>
          </w:tcPr>
          <w:p w14:paraId="1158BD7C" w14:textId="77777777" w:rsidR="00AD6087" w:rsidRPr="006435A5" w:rsidRDefault="00AD6087" w:rsidP="00AD6087">
            <w:pPr>
              <w:spacing w:line="240" w:lineRule="auto"/>
              <w:ind w:firstLine="0"/>
              <w:jc w:val="center"/>
            </w:pPr>
            <w:r w:rsidRPr="006435A5">
              <w:t>4,656.4</w:t>
            </w:r>
          </w:p>
        </w:tc>
        <w:tc>
          <w:tcPr>
            <w:tcW w:w="1127" w:type="dxa"/>
            <w:tcBorders>
              <w:left w:val="double" w:sz="4" w:space="0" w:color="auto"/>
              <w:bottom w:val="single" w:sz="4" w:space="0" w:color="auto"/>
              <w:right w:val="nil"/>
            </w:tcBorders>
            <w:vAlign w:val="center"/>
          </w:tcPr>
          <w:p w14:paraId="146A054F" w14:textId="77777777" w:rsidR="00AD6087" w:rsidRPr="006435A5" w:rsidRDefault="00AD6087" w:rsidP="00AD6087">
            <w:pPr>
              <w:spacing w:line="240" w:lineRule="auto"/>
              <w:ind w:firstLine="0"/>
              <w:jc w:val="center"/>
            </w:pPr>
            <w:r w:rsidRPr="006435A5">
              <w:t>4,529.6</w:t>
            </w:r>
          </w:p>
        </w:tc>
        <w:tc>
          <w:tcPr>
            <w:tcW w:w="1016" w:type="dxa"/>
            <w:tcBorders>
              <w:left w:val="nil"/>
              <w:bottom w:val="single" w:sz="4" w:space="0" w:color="auto"/>
              <w:right w:val="nil"/>
            </w:tcBorders>
            <w:vAlign w:val="center"/>
          </w:tcPr>
          <w:p w14:paraId="425A5136" w14:textId="77777777" w:rsidR="00AD6087" w:rsidRPr="006435A5" w:rsidRDefault="00AD6087" w:rsidP="00AD6087">
            <w:pPr>
              <w:spacing w:line="240" w:lineRule="auto"/>
              <w:ind w:firstLine="0"/>
              <w:jc w:val="center"/>
            </w:pPr>
            <w:r w:rsidRPr="006435A5">
              <w:t>4,438.9</w:t>
            </w:r>
          </w:p>
        </w:tc>
        <w:tc>
          <w:tcPr>
            <w:tcW w:w="1055" w:type="dxa"/>
            <w:tcBorders>
              <w:left w:val="nil"/>
              <w:bottom w:val="single" w:sz="4" w:space="0" w:color="auto"/>
              <w:right w:val="nil"/>
            </w:tcBorders>
            <w:vAlign w:val="center"/>
          </w:tcPr>
          <w:p w14:paraId="1DEA5039" w14:textId="77777777" w:rsidR="00AD6087" w:rsidRPr="006435A5" w:rsidRDefault="00AD6087" w:rsidP="00AD6087">
            <w:pPr>
              <w:spacing w:line="240" w:lineRule="auto"/>
              <w:ind w:firstLine="0"/>
              <w:jc w:val="center"/>
            </w:pPr>
            <w:r w:rsidRPr="006435A5">
              <w:t>4,360.1</w:t>
            </w:r>
          </w:p>
        </w:tc>
        <w:tc>
          <w:tcPr>
            <w:tcW w:w="1018" w:type="dxa"/>
            <w:tcBorders>
              <w:left w:val="nil"/>
              <w:bottom w:val="single" w:sz="4" w:space="0" w:color="auto"/>
              <w:right w:val="nil"/>
            </w:tcBorders>
            <w:vAlign w:val="center"/>
          </w:tcPr>
          <w:p w14:paraId="411458BF" w14:textId="77777777" w:rsidR="00AD6087" w:rsidRPr="006435A5" w:rsidRDefault="00AD6087" w:rsidP="00AD6087">
            <w:pPr>
              <w:spacing w:line="240" w:lineRule="auto"/>
              <w:ind w:firstLine="0"/>
              <w:jc w:val="center"/>
            </w:pPr>
            <w:r w:rsidRPr="006435A5">
              <w:t>4,260.2</w:t>
            </w:r>
          </w:p>
        </w:tc>
      </w:tr>
      <w:tr w:rsidR="00AD6087" w:rsidRPr="006435A5" w14:paraId="76FC5F20" w14:textId="77777777" w:rsidTr="00A42F0D">
        <w:trPr>
          <w:trHeight w:val="255"/>
          <w:jc w:val="center"/>
        </w:trPr>
        <w:tc>
          <w:tcPr>
            <w:tcW w:w="2761" w:type="dxa"/>
            <w:tcBorders>
              <w:left w:val="nil"/>
              <w:bottom w:val="single" w:sz="12" w:space="0" w:color="auto"/>
              <w:right w:val="nil"/>
            </w:tcBorders>
            <w:vAlign w:val="center"/>
          </w:tcPr>
          <w:p w14:paraId="6957F55C" w14:textId="77777777" w:rsidR="00AD6087" w:rsidRPr="006435A5" w:rsidRDefault="00AD6087" w:rsidP="00AD6087">
            <w:pPr>
              <w:spacing w:line="240" w:lineRule="auto"/>
              <w:ind w:firstLine="0"/>
              <w:jc w:val="left"/>
            </w:pPr>
            <w:r w:rsidRPr="006435A5">
              <w:t>% ՀՆԱ-ի նկատմամբ</w:t>
            </w:r>
          </w:p>
        </w:tc>
        <w:tc>
          <w:tcPr>
            <w:tcW w:w="1196" w:type="dxa"/>
            <w:tcBorders>
              <w:left w:val="nil"/>
              <w:bottom w:val="single" w:sz="12" w:space="0" w:color="auto"/>
              <w:right w:val="nil"/>
            </w:tcBorders>
            <w:vAlign w:val="center"/>
          </w:tcPr>
          <w:p w14:paraId="6E6CA71B" w14:textId="77777777" w:rsidR="00AD6087" w:rsidRPr="006435A5" w:rsidRDefault="00AD6087" w:rsidP="00AD6087">
            <w:pPr>
              <w:spacing w:line="240" w:lineRule="auto"/>
              <w:ind w:firstLine="0"/>
              <w:jc w:val="center"/>
            </w:pPr>
            <w:r w:rsidRPr="006435A5">
              <w:t>31.6</w:t>
            </w:r>
          </w:p>
        </w:tc>
        <w:tc>
          <w:tcPr>
            <w:tcW w:w="1071" w:type="dxa"/>
            <w:tcBorders>
              <w:left w:val="nil"/>
              <w:bottom w:val="single" w:sz="12" w:space="0" w:color="auto"/>
              <w:right w:val="nil"/>
            </w:tcBorders>
            <w:vAlign w:val="center"/>
          </w:tcPr>
          <w:p w14:paraId="5953AB19" w14:textId="77777777" w:rsidR="00AD6087" w:rsidRPr="006435A5" w:rsidRDefault="00AD6087" w:rsidP="00AD6087">
            <w:pPr>
              <w:spacing w:line="240" w:lineRule="auto"/>
              <w:ind w:firstLine="0"/>
              <w:jc w:val="center"/>
            </w:pPr>
            <w:r w:rsidRPr="006435A5">
              <w:t>39.4</w:t>
            </w:r>
          </w:p>
        </w:tc>
        <w:tc>
          <w:tcPr>
            <w:tcW w:w="1330" w:type="dxa"/>
            <w:tcBorders>
              <w:left w:val="nil"/>
              <w:bottom w:val="single" w:sz="12" w:space="0" w:color="auto"/>
              <w:right w:val="double" w:sz="4" w:space="0" w:color="auto"/>
            </w:tcBorders>
            <w:vAlign w:val="center"/>
          </w:tcPr>
          <w:p w14:paraId="79D7B452" w14:textId="77777777" w:rsidR="00AD6087" w:rsidRPr="006435A5" w:rsidRDefault="00AD6087" w:rsidP="00AD6087">
            <w:pPr>
              <w:spacing w:line="240" w:lineRule="auto"/>
              <w:ind w:firstLine="0"/>
              <w:jc w:val="center"/>
            </w:pPr>
            <w:r w:rsidRPr="006435A5">
              <w:t>35.2</w:t>
            </w:r>
          </w:p>
        </w:tc>
        <w:tc>
          <w:tcPr>
            <w:tcW w:w="1127" w:type="dxa"/>
            <w:tcBorders>
              <w:left w:val="double" w:sz="4" w:space="0" w:color="auto"/>
              <w:bottom w:val="single" w:sz="12" w:space="0" w:color="auto"/>
              <w:right w:val="nil"/>
            </w:tcBorders>
            <w:vAlign w:val="center"/>
          </w:tcPr>
          <w:p w14:paraId="632DB09D" w14:textId="77777777" w:rsidR="00AD6087" w:rsidRPr="006435A5" w:rsidRDefault="00AD6087" w:rsidP="00AD6087">
            <w:pPr>
              <w:spacing w:line="240" w:lineRule="auto"/>
              <w:ind w:firstLine="0"/>
              <w:jc w:val="center"/>
            </w:pPr>
            <w:r w:rsidRPr="006435A5">
              <w:t>32.7</w:t>
            </w:r>
          </w:p>
        </w:tc>
        <w:tc>
          <w:tcPr>
            <w:tcW w:w="1016" w:type="dxa"/>
            <w:tcBorders>
              <w:left w:val="nil"/>
              <w:bottom w:val="single" w:sz="12" w:space="0" w:color="auto"/>
              <w:right w:val="nil"/>
            </w:tcBorders>
            <w:vAlign w:val="center"/>
          </w:tcPr>
          <w:p w14:paraId="6ADD5691" w14:textId="77777777" w:rsidR="00AD6087" w:rsidRPr="006435A5" w:rsidRDefault="00AD6087" w:rsidP="00AD6087">
            <w:pPr>
              <w:spacing w:line="240" w:lineRule="auto"/>
              <w:ind w:firstLine="0"/>
              <w:jc w:val="center"/>
            </w:pPr>
            <w:r w:rsidRPr="006435A5">
              <w:t>30.3</w:t>
            </w:r>
          </w:p>
        </w:tc>
        <w:tc>
          <w:tcPr>
            <w:tcW w:w="1055" w:type="dxa"/>
            <w:tcBorders>
              <w:left w:val="nil"/>
              <w:bottom w:val="single" w:sz="12" w:space="0" w:color="auto"/>
              <w:right w:val="nil"/>
            </w:tcBorders>
            <w:vAlign w:val="center"/>
          </w:tcPr>
          <w:p w14:paraId="484EE938" w14:textId="77777777" w:rsidR="00AD6087" w:rsidRPr="006435A5" w:rsidRDefault="00AD6087" w:rsidP="00AD6087">
            <w:pPr>
              <w:spacing w:line="240" w:lineRule="auto"/>
              <w:ind w:firstLine="0"/>
              <w:jc w:val="center"/>
            </w:pPr>
            <w:r w:rsidRPr="006435A5">
              <w:t>27.7</w:t>
            </w:r>
          </w:p>
        </w:tc>
        <w:tc>
          <w:tcPr>
            <w:tcW w:w="1018" w:type="dxa"/>
            <w:tcBorders>
              <w:left w:val="nil"/>
              <w:bottom w:val="single" w:sz="12" w:space="0" w:color="auto"/>
              <w:right w:val="nil"/>
            </w:tcBorders>
            <w:vAlign w:val="center"/>
          </w:tcPr>
          <w:p w14:paraId="1655DC98" w14:textId="77777777" w:rsidR="00AD6087" w:rsidRPr="006435A5" w:rsidRDefault="00AD6087" w:rsidP="00AD6087">
            <w:pPr>
              <w:spacing w:line="240" w:lineRule="auto"/>
              <w:ind w:firstLine="0"/>
              <w:jc w:val="center"/>
            </w:pPr>
            <w:r w:rsidRPr="006435A5">
              <w:t>25.1</w:t>
            </w:r>
          </w:p>
        </w:tc>
      </w:tr>
      <w:tr w:rsidR="00AD6087" w:rsidRPr="006435A5" w14:paraId="194526EF" w14:textId="77777777" w:rsidTr="00A42F0D">
        <w:trPr>
          <w:trHeight w:val="255"/>
          <w:jc w:val="center"/>
        </w:trPr>
        <w:tc>
          <w:tcPr>
            <w:tcW w:w="2761" w:type="dxa"/>
            <w:tcBorders>
              <w:top w:val="single" w:sz="12" w:space="0" w:color="auto"/>
              <w:left w:val="nil"/>
              <w:right w:val="nil"/>
            </w:tcBorders>
            <w:vAlign w:val="center"/>
          </w:tcPr>
          <w:p w14:paraId="4ADA3966" w14:textId="77777777" w:rsidR="00AD6087" w:rsidRPr="006435A5" w:rsidRDefault="00AD6087" w:rsidP="00AD6087">
            <w:pPr>
              <w:spacing w:line="240" w:lineRule="auto"/>
              <w:ind w:firstLine="0"/>
              <w:jc w:val="left"/>
            </w:pPr>
            <w:r w:rsidRPr="006435A5">
              <w:t>Ըստ ռեզիդենտության</w:t>
            </w:r>
          </w:p>
        </w:tc>
        <w:tc>
          <w:tcPr>
            <w:tcW w:w="1196" w:type="dxa"/>
            <w:tcBorders>
              <w:top w:val="single" w:sz="12" w:space="0" w:color="auto"/>
              <w:left w:val="nil"/>
              <w:right w:val="nil"/>
            </w:tcBorders>
            <w:vAlign w:val="center"/>
          </w:tcPr>
          <w:p w14:paraId="30D8D1C0" w14:textId="77777777" w:rsidR="00AD6087" w:rsidRPr="006435A5" w:rsidRDefault="00AD6087" w:rsidP="00AD6087">
            <w:pPr>
              <w:spacing w:line="240" w:lineRule="auto"/>
              <w:ind w:firstLine="0"/>
              <w:jc w:val="center"/>
            </w:pPr>
          </w:p>
        </w:tc>
        <w:tc>
          <w:tcPr>
            <w:tcW w:w="1071" w:type="dxa"/>
            <w:tcBorders>
              <w:top w:val="single" w:sz="12" w:space="0" w:color="auto"/>
              <w:left w:val="nil"/>
              <w:right w:val="nil"/>
            </w:tcBorders>
            <w:vAlign w:val="center"/>
          </w:tcPr>
          <w:p w14:paraId="08F38879" w14:textId="77777777" w:rsidR="00AD6087" w:rsidRPr="006435A5" w:rsidRDefault="00AD6087" w:rsidP="00AD6087">
            <w:pPr>
              <w:spacing w:line="240" w:lineRule="auto"/>
              <w:ind w:firstLine="0"/>
              <w:jc w:val="center"/>
            </w:pPr>
          </w:p>
        </w:tc>
        <w:tc>
          <w:tcPr>
            <w:tcW w:w="1330" w:type="dxa"/>
            <w:tcBorders>
              <w:top w:val="single" w:sz="12" w:space="0" w:color="auto"/>
              <w:left w:val="nil"/>
              <w:right w:val="double" w:sz="4" w:space="0" w:color="auto"/>
            </w:tcBorders>
            <w:vAlign w:val="center"/>
          </w:tcPr>
          <w:p w14:paraId="01C735A5" w14:textId="77777777" w:rsidR="00AD6087" w:rsidRPr="006435A5" w:rsidRDefault="00AD6087" w:rsidP="00AD6087">
            <w:pPr>
              <w:spacing w:line="240" w:lineRule="auto"/>
              <w:ind w:firstLine="0"/>
              <w:jc w:val="center"/>
            </w:pPr>
          </w:p>
        </w:tc>
        <w:tc>
          <w:tcPr>
            <w:tcW w:w="1127" w:type="dxa"/>
            <w:tcBorders>
              <w:top w:val="single" w:sz="12" w:space="0" w:color="auto"/>
              <w:left w:val="double" w:sz="4" w:space="0" w:color="auto"/>
              <w:right w:val="nil"/>
            </w:tcBorders>
            <w:vAlign w:val="center"/>
          </w:tcPr>
          <w:p w14:paraId="5261AA72" w14:textId="77777777" w:rsidR="00AD6087" w:rsidRPr="006435A5" w:rsidRDefault="00AD6087" w:rsidP="00AD6087">
            <w:pPr>
              <w:spacing w:line="240" w:lineRule="auto"/>
              <w:ind w:firstLine="0"/>
              <w:jc w:val="center"/>
            </w:pPr>
          </w:p>
        </w:tc>
        <w:tc>
          <w:tcPr>
            <w:tcW w:w="1016" w:type="dxa"/>
            <w:tcBorders>
              <w:top w:val="single" w:sz="12" w:space="0" w:color="auto"/>
              <w:left w:val="nil"/>
              <w:right w:val="nil"/>
            </w:tcBorders>
            <w:vAlign w:val="center"/>
          </w:tcPr>
          <w:p w14:paraId="07D4B767" w14:textId="77777777" w:rsidR="00AD6087" w:rsidRPr="006435A5" w:rsidRDefault="00AD6087" w:rsidP="00AD6087">
            <w:pPr>
              <w:spacing w:line="240" w:lineRule="auto"/>
              <w:ind w:firstLine="0"/>
              <w:jc w:val="center"/>
            </w:pPr>
          </w:p>
        </w:tc>
        <w:tc>
          <w:tcPr>
            <w:tcW w:w="1055" w:type="dxa"/>
            <w:tcBorders>
              <w:top w:val="single" w:sz="12" w:space="0" w:color="auto"/>
              <w:left w:val="nil"/>
              <w:right w:val="nil"/>
            </w:tcBorders>
            <w:vAlign w:val="center"/>
          </w:tcPr>
          <w:p w14:paraId="068CA8B0" w14:textId="77777777" w:rsidR="00AD6087" w:rsidRPr="006435A5" w:rsidRDefault="00AD6087" w:rsidP="00AD6087">
            <w:pPr>
              <w:spacing w:line="240" w:lineRule="auto"/>
              <w:ind w:firstLine="0"/>
              <w:jc w:val="center"/>
            </w:pPr>
          </w:p>
        </w:tc>
        <w:tc>
          <w:tcPr>
            <w:tcW w:w="1018" w:type="dxa"/>
            <w:tcBorders>
              <w:top w:val="single" w:sz="12" w:space="0" w:color="auto"/>
              <w:left w:val="nil"/>
              <w:right w:val="nil"/>
            </w:tcBorders>
            <w:vAlign w:val="center"/>
          </w:tcPr>
          <w:p w14:paraId="5D30193D" w14:textId="77777777" w:rsidR="00AD6087" w:rsidRPr="006435A5" w:rsidRDefault="00AD6087" w:rsidP="00AD6087">
            <w:pPr>
              <w:spacing w:line="240" w:lineRule="auto"/>
              <w:ind w:firstLine="0"/>
              <w:jc w:val="center"/>
            </w:pPr>
          </w:p>
        </w:tc>
      </w:tr>
      <w:tr w:rsidR="00AD6087" w:rsidRPr="006435A5" w14:paraId="6C4F97F2" w14:textId="77777777" w:rsidTr="00A42F0D">
        <w:trPr>
          <w:trHeight w:val="510"/>
          <w:jc w:val="center"/>
        </w:trPr>
        <w:tc>
          <w:tcPr>
            <w:tcW w:w="2761" w:type="dxa"/>
            <w:tcBorders>
              <w:left w:val="nil"/>
              <w:bottom w:val="single" w:sz="4" w:space="0" w:color="auto"/>
              <w:right w:val="nil"/>
            </w:tcBorders>
            <w:vAlign w:val="center"/>
          </w:tcPr>
          <w:p w14:paraId="0CF35646" w14:textId="77777777" w:rsidR="00AD6087" w:rsidRPr="006435A5" w:rsidRDefault="00AD6087" w:rsidP="00AD6087">
            <w:pPr>
              <w:spacing w:line="240" w:lineRule="auto"/>
              <w:ind w:firstLine="0"/>
              <w:jc w:val="left"/>
            </w:pPr>
            <w:r w:rsidRPr="006435A5">
              <w:t>արտաքին վարկեր և փոխառություններ</w:t>
            </w:r>
          </w:p>
        </w:tc>
        <w:tc>
          <w:tcPr>
            <w:tcW w:w="1196" w:type="dxa"/>
            <w:tcBorders>
              <w:left w:val="nil"/>
              <w:bottom w:val="single" w:sz="4" w:space="0" w:color="auto"/>
              <w:right w:val="nil"/>
            </w:tcBorders>
            <w:vAlign w:val="center"/>
          </w:tcPr>
          <w:p w14:paraId="6E417ECA" w14:textId="77777777" w:rsidR="00AD6087" w:rsidRPr="006435A5" w:rsidRDefault="00AD6087" w:rsidP="00AD6087">
            <w:pPr>
              <w:spacing w:line="240" w:lineRule="auto"/>
              <w:ind w:firstLine="0"/>
              <w:jc w:val="center"/>
            </w:pPr>
            <w:r w:rsidRPr="006435A5">
              <w:t>4,306.7</w:t>
            </w:r>
          </w:p>
        </w:tc>
        <w:tc>
          <w:tcPr>
            <w:tcW w:w="1071" w:type="dxa"/>
            <w:tcBorders>
              <w:left w:val="nil"/>
              <w:bottom w:val="single" w:sz="4" w:space="0" w:color="auto"/>
              <w:right w:val="nil"/>
            </w:tcBorders>
            <w:vAlign w:val="center"/>
          </w:tcPr>
          <w:p w14:paraId="61A9F089" w14:textId="77777777" w:rsidR="00AD6087" w:rsidRPr="006435A5" w:rsidRDefault="00AD6087" w:rsidP="00AD6087">
            <w:pPr>
              <w:spacing w:line="240" w:lineRule="auto"/>
              <w:ind w:firstLine="0"/>
              <w:jc w:val="center"/>
            </w:pPr>
            <w:r w:rsidRPr="006435A5">
              <w:t>4,665.2</w:t>
            </w:r>
          </w:p>
        </w:tc>
        <w:tc>
          <w:tcPr>
            <w:tcW w:w="1330" w:type="dxa"/>
            <w:tcBorders>
              <w:left w:val="nil"/>
              <w:bottom w:val="single" w:sz="4" w:space="0" w:color="auto"/>
              <w:right w:val="double" w:sz="4" w:space="0" w:color="auto"/>
            </w:tcBorders>
            <w:vAlign w:val="center"/>
          </w:tcPr>
          <w:p w14:paraId="4F7D9A00" w14:textId="77777777" w:rsidR="00AD6087" w:rsidRPr="006435A5" w:rsidRDefault="00AD6087" w:rsidP="00AD6087">
            <w:pPr>
              <w:spacing w:line="240" w:lineRule="auto"/>
              <w:ind w:firstLine="0"/>
              <w:jc w:val="center"/>
            </w:pPr>
            <w:r w:rsidRPr="006435A5">
              <w:t>4,656.4</w:t>
            </w:r>
          </w:p>
        </w:tc>
        <w:tc>
          <w:tcPr>
            <w:tcW w:w="1127" w:type="dxa"/>
            <w:tcBorders>
              <w:left w:val="double" w:sz="4" w:space="0" w:color="auto"/>
              <w:bottom w:val="single" w:sz="4" w:space="0" w:color="auto"/>
              <w:right w:val="nil"/>
            </w:tcBorders>
            <w:vAlign w:val="center"/>
          </w:tcPr>
          <w:p w14:paraId="2089D0DD" w14:textId="77777777" w:rsidR="00AD6087" w:rsidRPr="006435A5" w:rsidRDefault="00AD6087" w:rsidP="00AD6087">
            <w:pPr>
              <w:spacing w:line="240" w:lineRule="auto"/>
              <w:ind w:firstLine="0"/>
              <w:jc w:val="center"/>
            </w:pPr>
            <w:r w:rsidRPr="006435A5">
              <w:t>4,529.6</w:t>
            </w:r>
          </w:p>
        </w:tc>
        <w:tc>
          <w:tcPr>
            <w:tcW w:w="1016" w:type="dxa"/>
            <w:tcBorders>
              <w:left w:val="nil"/>
              <w:bottom w:val="single" w:sz="4" w:space="0" w:color="auto"/>
              <w:right w:val="nil"/>
            </w:tcBorders>
            <w:vAlign w:val="center"/>
          </w:tcPr>
          <w:p w14:paraId="621E601C" w14:textId="77777777" w:rsidR="00AD6087" w:rsidRPr="006435A5" w:rsidRDefault="00AD6087" w:rsidP="00AD6087">
            <w:pPr>
              <w:spacing w:line="240" w:lineRule="auto"/>
              <w:ind w:firstLine="0"/>
              <w:jc w:val="center"/>
            </w:pPr>
            <w:r w:rsidRPr="006435A5">
              <w:t>4,438.9</w:t>
            </w:r>
          </w:p>
        </w:tc>
        <w:tc>
          <w:tcPr>
            <w:tcW w:w="1055" w:type="dxa"/>
            <w:tcBorders>
              <w:left w:val="nil"/>
              <w:bottom w:val="single" w:sz="4" w:space="0" w:color="auto"/>
              <w:right w:val="nil"/>
            </w:tcBorders>
            <w:vAlign w:val="center"/>
          </w:tcPr>
          <w:p w14:paraId="425A0A5B" w14:textId="77777777" w:rsidR="00AD6087" w:rsidRPr="006435A5" w:rsidRDefault="00AD6087" w:rsidP="00AD6087">
            <w:pPr>
              <w:spacing w:line="240" w:lineRule="auto"/>
              <w:ind w:firstLine="0"/>
              <w:jc w:val="center"/>
            </w:pPr>
            <w:r w:rsidRPr="006435A5">
              <w:t>4,360.1</w:t>
            </w:r>
          </w:p>
        </w:tc>
        <w:tc>
          <w:tcPr>
            <w:tcW w:w="1018" w:type="dxa"/>
            <w:tcBorders>
              <w:left w:val="nil"/>
              <w:bottom w:val="single" w:sz="4" w:space="0" w:color="auto"/>
              <w:right w:val="nil"/>
            </w:tcBorders>
            <w:vAlign w:val="center"/>
          </w:tcPr>
          <w:p w14:paraId="134C2C63" w14:textId="77777777" w:rsidR="00AD6087" w:rsidRPr="006435A5" w:rsidRDefault="00AD6087" w:rsidP="00AD6087">
            <w:pPr>
              <w:spacing w:line="240" w:lineRule="auto"/>
              <w:ind w:firstLine="0"/>
              <w:jc w:val="center"/>
            </w:pPr>
            <w:r w:rsidRPr="006435A5">
              <w:t>4,260.2</w:t>
            </w:r>
          </w:p>
        </w:tc>
      </w:tr>
      <w:tr w:rsidR="00AD6087" w:rsidRPr="006435A5" w14:paraId="25EA8B34" w14:textId="77777777" w:rsidTr="00A42F0D">
        <w:trPr>
          <w:trHeight w:val="510"/>
          <w:jc w:val="center"/>
        </w:trPr>
        <w:tc>
          <w:tcPr>
            <w:tcW w:w="2761" w:type="dxa"/>
            <w:tcBorders>
              <w:left w:val="nil"/>
              <w:bottom w:val="single" w:sz="12" w:space="0" w:color="auto"/>
              <w:right w:val="nil"/>
            </w:tcBorders>
            <w:vAlign w:val="center"/>
          </w:tcPr>
          <w:p w14:paraId="448511C7" w14:textId="77777777" w:rsidR="00AD6087" w:rsidRPr="006435A5" w:rsidRDefault="00AD6087" w:rsidP="00AD6087">
            <w:pPr>
              <w:spacing w:line="240" w:lineRule="auto"/>
              <w:ind w:firstLine="0"/>
              <w:jc w:val="left"/>
            </w:pPr>
            <w:r w:rsidRPr="006435A5">
              <w:t>ներքին վարկեր և փոխառություններ</w:t>
            </w:r>
          </w:p>
        </w:tc>
        <w:tc>
          <w:tcPr>
            <w:tcW w:w="1196" w:type="dxa"/>
            <w:tcBorders>
              <w:left w:val="nil"/>
              <w:bottom w:val="single" w:sz="12" w:space="0" w:color="auto"/>
              <w:right w:val="nil"/>
            </w:tcBorders>
            <w:vAlign w:val="center"/>
          </w:tcPr>
          <w:p w14:paraId="4007EAAA" w14:textId="77777777" w:rsidR="00AD6087" w:rsidRPr="006435A5" w:rsidRDefault="00AD6087" w:rsidP="00AD6087">
            <w:pPr>
              <w:spacing w:line="240" w:lineRule="auto"/>
              <w:ind w:firstLine="0"/>
              <w:jc w:val="center"/>
            </w:pPr>
            <w:r w:rsidRPr="006435A5">
              <w:t>-</w:t>
            </w:r>
          </w:p>
        </w:tc>
        <w:tc>
          <w:tcPr>
            <w:tcW w:w="1071" w:type="dxa"/>
            <w:tcBorders>
              <w:left w:val="nil"/>
              <w:bottom w:val="single" w:sz="12" w:space="0" w:color="auto"/>
              <w:right w:val="nil"/>
            </w:tcBorders>
            <w:vAlign w:val="center"/>
          </w:tcPr>
          <w:p w14:paraId="0AC260C4" w14:textId="77777777" w:rsidR="00AD6087" w:rsidRPr="006435A5" w:rsidRDefault="00AD6087" w:rsidP="00AD6087">
            <w:pPr>
              <w:spacing w:line="240" w:lineRule="auto"/>
              <w:ind w:firstLine="0"/>
              <w:jc w:val="center"/>
            </w:pPr>
            <w:r w:rsidRPr="006435A5">
              <w:t>-</w:t>
            </w:r>
          </w:p>
        </w:tc>
        <w:tc>
          <w:tcPr>
            <w:tcW w:w="1330" w:type="dxa"/>
            <w:tcBorders>
              <w:left w:val="nil"/>
              <w:bottom w:val="single" w:sz="12" w:space="0" w:color="auto"/>
              <w:right w:val="double" w:sz="4" w:space="0" w:color="auto"/>
            </w:tcBorders>
            <w:vAlign w:val="center"/>
          </w:tcPr>
          <w:p w14:paraId="5E06ECFC" w14:textId="77777777" w:rsidR="00AD6087" w:rsidRPr="006435A5" w:rsidRDefault="00AD6087" w:rsidP="00AD6087">
            <w:pPr>
              <w:spacing w:line="240" w:lineRule="auto"/>
              <w:ind w:firstLine="0"/>
              <w:jc w:val="center"/>
            </w:pPr>
            <w:r w:rsidRPr="006435A5">
              <w:t>-</w:t>
            </w:r>
          </w:p>
        </w:tc>
        <w:tc>
          <w:tcPr>
            <w:tcW w:w="1127" w:type="dxa"/>
            <w:tcBorders>
              <w:left w:val="double" w:sz="4" w:space="0" w:color="auto"/>
              <w:bottom w:val="single" w:sz="12" w:space="0" w:color="auto"/>
              <w:right w:val="nil"/>
            </w:tcBorders>
            <w:vAlign w:val="center"/>
          </w:tcPr>
          <w:p w14:paraId="4ABE58B6" w14:textId="77777777" w:rsidR="00AD6087" w:rsidRPr="006435A5" w:rsidRDefault="00AD6087" w:rsidP="00AD6087">
            <w:pPr>
              <w:spacing w:line="240" w:lineRule="auto"/>
              <w:ind w:firstLine="0"/>
              <w:jc w:val="center"/>
            </w:pPr>
            <w:r w:rsidRPr="006435A5">
              <w:t>-</w:t>
            </w:r>
          </w:p>
        </w:tc>
        <w:tc>
          <w:tcPr>
            <w:tcW w:w="1016" w:type="dxa"/>
            <w:tcBorders>
              <w:left w:val="nil"/>
              <w:bottom w:val="single" w:sz="12" w:space="0" w:color="auto"/>
              <w:right w:val="nil"/>
            </w:tcBorders>
            <w:vAlign w:val="center"/>
          </w:tcPr>
          <w:p w14:paraId="035E1DCE" w14:textId="77777777" w:rsidR="00AD6087" w:rsidRPr="006435A5" w:rsidRDefault="00AD6087" w:rsidP="00AD6087">
            <w:pPr>
              <w:spacing w:line="240" w:lineRule="auto"/>
              <w:ind w:firstLine="0"/>
              <w:jc w:val="center"/>
            </w:pPr>
            <w:r w:rsidRPr="006435A5">
              <w:t>-</w:t>
            </w:r>
          </w:p>
        </w:tc>
        <w:tc>
          <w:tcPr>
            <w:tcW w:w="1055" w:type="dxa"/>
            <w:tcBorders>
              <w:left w:val="nil"/>
              <w:bottom w:val="single" w:sz="12" w:space="0" w:color="auto"/>
              <w:right w:val="nil"/>
            </w:tcBorders>
            <w:vAlign w:val="center"/>
          </w:tcPr>
          <w:p w14:paraId="4CAA1996" w14:textId="77777777" w:rsidR="00AD6087" w:rsidRPr="006435A5" w:rsidRDefault="00AD6087" w:rsidP="00AD6087">
            <w:pPr>
              <w:spacing w:line="240" w:lineRule="auto"/>
              <w:ind w:firstLine="0"/>
              <w:jc w:val="center"/>
            </w:pPr>
            <w:r w:rsidRPr="006435A5">
              <w:t>-</w:t>
            </w:r>
          </w:p>
        </w:tc>
        <w:tc>
          <w:tcPr>
            <w:tcW w:w="1018" w:type="dxa"/>
            <w:tcBorders>
              <w:left w:val="nil"/>
              <w:bottom w:val="single" w:sz="12" w:space="0" w:color="auto"/>
              <w:right w:val="nil"/>
            </w:tcBorders>
            <w:vAlign w:val="center"/>
          </w:tcPr>
          <w:p w14:paraId="34A480B6" w14:textId="77777777" w:rsidR="00AD6087" w:rsidRPr="006435A5" w:rsidRDefault="00AD6087" w:rsidP="00AD6087">
            <w:pPr>
              <w:spacing w:line="240" w:lineRule="auto"/>
              <w:ind w:firstLine="0"/>
              <w:jc w:val="center"/>
            </w:pPr>
            <w:r w:rsidRPr="006435A5">
              <w:t>-</w:t>
            </w:r>
          </w:p>
        </w:tc>
      </w:tr>
      <w:tr w:rsidR="00AD6087" w:rsidRPr="006435A5" w14:paraId="181AA79E" w14:textId="77777777" w:rsidTr="00A42F0D">
        <w:trPr>
          <w:trHeight w:val="255"/>
          <w:jc w:val="center"/>
        </w:trPr>
        <w:tc>
          <w:tcPr>
            <w:tcW w:w="2761" w:type="dxa"/>
            <w:tcBorders>
              <w:top w:val="single" w:sz="12" w:space="0" w:color="auto"/>
              <w:left w:val="nil"/>
              <w:right w:val="nil"/>
            </w:tcBorders>
            <w:vAlign w:val="center"/>
          </w:tcPr>
          <w:p w14:paraId="31EB0F80" w14:textId="77777777" w:rsidR="00AD6087" w:rsidRPr="006435A5" w:rsidRDefault="00AD6087" w:rsidP="00AD6087">
            <w:pPr>
              <w:spacing w:line="240" w:lineRule="auto"/>
              <w:ind w:firstLine="0"/>
              <w:jc w:val="left"/>
            </w:pPr>
            <w:r w:rsidRPr="006435A5">
              <w:t>Ըստ վարկատուի</w:t>
            </w:r>
          </w:p>
        </w:tc>
        <w:tc>
          <w:tcPr>
            <w:tcW w:w="1196" w:type="dxa"/>
            <w:tcBorders>
              <w:top w:val="single" w:sz="12" w:space="0" w:color="auto"/>
              <w:left w:val="nil"/>
              <w:right w:val="nil"/>
            </w:tcBorders>
            <w:vAlign w:val="center"/>
          </w:tcPr>
          <w:p w14:paraId="21BE7187" w14:textId="77777777" w:rsidR="00AD6087" w:rsidRPr="006435A5" w:rsidRDefault="00AD6087" w:rsidP="00AD6087">
            <w:pPr>
              <w:spacing w:line="240" w:lineRule="auto"/>
              <w:ind w:firstLine="0"/>
              <w:jc w:val="center"/>
            </w:pPr>
          </w:p>
        </w:tc>
        <w:tc>
          <w:tcPr>
            <w:tcW w:w="1071" w:type="dxa"/>
            <w:tcBorders>
              <w:top w:val="single" w:sz="12" w:space="0" w:color="auto"/>
              <w:left w:val="nil"/>
              <w:right w:val="nil"/>
            </w:tcBorders>
            <w:vAlign w:val="center"/>
          </w:tcPr>
          <w:p w14:paraId="2215FB39" w14:textId="77777777" w:rsidR="00AD6087" w:rsidRPr="006435A5" w:rsidRDefault="00AD6087" w:rsidP="00AD6087">
            <w:pPr>
              <w:spacing w:line="240" w:lineRule="auto"/>
              <w:ind w:firstLine="0"/>
              <w:jc w:val="center"/>
            </w:pPr>
          </w:p>
        </w:tc>
        <w:tc>
          <w:tcPr>
            <w:tcW w:w="1330" w:type="dxa"/>
            <w:tcBorders>
              <w:top w:val="single" w:sz="12" w:space="0" w:color="auto"/>
              <w:left w:val="nil"/>
              <w:right w:val="double" w:sz="4" w:space="0" w:color="auto"/>
            </w:tcBorders>
            <w:vAlign w:val="center"/>
          </w:tcPr>
          <w:p w14:paraId="40536F81" w14:textId="77777777" w:rsidR="00AD6087" w:rsidRPr="006435A5" w:rsidRDefault="00AD6087" w:rsidP="00AD6087">
            <w:pPr>
              <w:spacing w:line="240" w:lineRule="auto"/>
              <w:ind w:firstLine="0"/>
              <w:jc w:val="center"/>
            </w:pPr>
          </w:p>
        </w:tc>
        <w:tc>
          <w:tcPr>
            <w:tcW w:w="1127" w:type="dxa"/>
            <w:tcBorders>
              <w:top w:val="single" w:sz="12" w:space="0" w:color="auto"/>
              <w:left w:val="double" w:sz="4" w:space="0" w:color="auto"/>
              <w:right w:val="nil"/>
            </w:tcBorders>
            <w:vAlign w:val="center"/>
          </w:tcPr>
          <w:p w14:paraId="5BE991BC" w14:textId="77777777" w:rsidR="00AD6087" w:rsidRPr="006435A5" w:rsidRDefault="00AD6087" w:rsidP="00AD6087">
            <w:pPr>
              <w:spacing w:line="240" w:lineRule="auto"/>
              <w:ind w:firstLine="0"/>
              <w:jc w:val="center"/>
            </w:pPr>
          </w:p>
        </w:tc>
        <w:tc>
          <w:tcPr>
            <w:tcW w:w="1016" w:type="dxa"/>
            <w:tcBorders>
              <w:top w:val="single" w:sz="12" w:space="0" w:color="auto"/>
              <w:left w:val="nil"/>
              <w:right w:val="nil"/>
            </w:tcBorders>
            <w:vAlign w:val="center"/>
          </w:tcPr>
          <w:p w14:paraId="2A88CC63" w14:textId="77777777" w:rsidR="00AD6087" w:rsidRPr="006435A5" w:rsidRDefault="00AD6087" w:rsidP="00AD6087">
            <w:pPr>
              <w:spacing w:line="240" w:lineRule="auto"/>
              <w:ind w:firstLine="0"/>
              <w:jc w:val="center"/>
            </w:pPr>
          </w:p>
        </w:tc>
        <w:tc>
          <w:tcPr>
            <w:tcW w:w="1055" w:type="dxa"/>
            <w:tcBorders>
              <w:top w:val="single" w:sz="12" w:space="0" w:color="auto"/>
              <w:left w:val="nil"/>
              <w:right w:val="nil"/>
            </w:tcBorders>
            <w:vAlign w:val="center"/>
          </w:tcPr>
          <w:p w14:paraId="5D15CBCD" w14:textId="77777777" w:rsidR="00AD6087" w:rsidRPr="006435A5" w:rsidRDefault="00AD6087" w:rsidP="00AD6087">
            <w:pPr>
              <w:spacing w:line="240" w:lineRule="auto"/>
              <w:ind w:firstLine="0"/>
              <w:jc w:val="center"/>
            </w:pPr>
          </w:p>
        </w:tc>
        <w:tc>
          <w:tcPr>
            <w:tcW w:w="1018" w:type="dxa"/>
            <w:tcBorders>
              <w:top w:val="single" w:sz="12" w:space="0" w:color="auto"/>
              <w:left w:val="nil"/>
              <w:right w:val="nil"/>
            </w:tcBorders>
            <w:vAlign w:val="center"/>
          </w:tcPr>
          <w:p w14:paraId="28386F82" w14:textId="77777777" w:rsidR="00AD6087" w:rsidRPr="006435A5" w:rsidRDefault="00AD6087" w:rsidP="00AD6087">
            <w:pPr>
              <w:spacing w:line="240" w:lineRule="auto"/>
              <w:ind w:firstLine="0"/>
              <w:jc w:val="center"/>
            </w:pPr>
          </w:p>
        </w:tc>
      </w:tr>
      <w:tr w:rsidR="00AD6087" w:rsidRPr="006435A5" w14:paraId="3CB1AE8F" w14:textId="77777777" w:rsidTr="00A42F0D">
        <w:trPr>
          <w:trHeight w:val="510"/>
          <w:jc w:val="center"/>
        </w:trPr>
        <w:tc>
          <w:tcPr>
            <w:tcW w:w="2761" w:type="dxa"/>
            <w:tcBorders>
              <w:left w:val="nil"/>
              <w:right w:val="nil"/>
            </w:tcBorders>
            <w:vAlign w:val="center"/>
          </w:tcPr>
          <w:p w14:paraId="519D269F" w14:textId="77777777" w:rsidR="00AD6087" w:rsidRPr="006435A5" w:rsidRDefault="00AD6087" w:rsidP="00AD6087">
            <w:pPr>
              <w:spacing w:line="240" w:lineRule="auto"/>
              <w:ind w:firstLine="0"/>
              <w:jc w:val="left"/>
            </w:pPr>
            <w:r w:rsidRPr="006435A5">
              <w:t>միջազգային ֆինանսական կառույցներից</w:t>
            </w:r>
          </w:p>
        </w:tc>
        <w:tc>
          <w:tcPr>
            <w:tcW w:w="1196" w:type="dxa"/>
            <w:tcBorders>
              <w:left w:val="nil"/>
              <w:right w:val="nil"/>
            </w:tcBorders>
            <w:vAlign w:val="center"/>
          </w:tcPr>
          <w:p w14:paraId="14DF93E1" w14:textId="77777777" w:rsidR="00AD6087" w:rsidRPr="006435A5" w:rsidRDefault="00AD6087" w:rsidP="00AD6087">
            <w:pPr>
              <w:spacing w:line="240" w:lineRule="auto"/>
              <w:ind w:firstLine="0"/>
              <w:jc w:val="center"/>
            </w:pPr>
            <w:r w:rsidRPr="006435A5">
              <w:t>3,237.4</w:t>
            </w:r>
          </w:p>
        </w:tc>
        <w:tc>
          <w:tcPr>
            <w:tcW w:w="1071" w:type="dxa"/>
            <w:tcBorders>
              <w:left w:val="nil"/>
              <w:right w:val="nil"/>
            </w:tcBorders>
            <w:vAlign w:val="center"/>
          </w:tcPr>
          <w:p w14:paraId="6038EAB7" w14:textId="77777777" w:rsidR="00AD6087" w:rsidRPr="006435A5" w:rsidRDefault="00AD6087" w:rsidP="00AD6087">
            <w:pPr>
              <w:spacing w:line="240" w:lineRule="auto"/>
              <w:ind w:firstLine="0"/>
              <w:jc w:val="center"/>
            </w:pPr>
            <w:r w:rsidRPr="006435A5">
              <w:t>3,588.2</w:t>
            </w:r>
          </w:p>
        </w:tc>
        <w:tc>
          <w:tcPr>
            <w:tcW w:w="1330" w:type="dxa"/>
            <w:tcBorders>
              <w:left w:val="nil"/>
              <w:right w:val="double" w:sz="4" w:space="0" w:color="auto"/>
            </w:tcBorders>
            <w:vAlign w:val="center"/>
          </w:tcPr>
          <w:p w14:paraId="02914F5E" w14:textId="77777777" w:rsidR="00AD6087" w:rsidRPr="006435A5" w:rsidRDefault="00AD6087" w:rsidP="00AD6087">
            <w:pPr>
              <w:spacing w:line="240" w:lineRule="auto"/>
              <w:ind w:firstLine="0"/>
              <w:jc w:val="center"/>
            </w:pPr>
            <w:r w:rsidRPr="006435A5">
              <w:t>3,625.4</w:t>
            </w:r>
          </w:p>
        </w:tc>
        <w:tc>
          <w:tcPr>
            <w:tcW w:w="1127" w:type="dxa"/>
            <w:tcBorders>
              <w:left w:val="double" w:sz="4" w:space="0" w:color="auto"/>
              <w:right w:val="nil"/>
            </w:tcBorders>
            <w:vAlign w:val="center"/>
          </w:tcPr>
          <w:p w14:paraId="1B9E774F" w14:textId="77777777" w:rsidR="00AD6087" w:rsidRPr="006435A5" w:rsidRDefault="00AD6087" w:rsidP="00AD6087">
            <w:pPr>
              <w:spacing w:line="240" w:lineRule="auto"/>
              <w:ind w:firstLine="0"/>
              <w:jc w:val="center"/>
            </w:pPr>
            <w:r w:rsidRPr="006435A5">
              <w:t>3,511.7</w:t>
            </w:r>
          </w:p>
        </w:tc>
        <w:tc>
          <w:tcPr>
            <w:tcW w:w="1016" w:type="dxa"/>
            <w:tcBorders>
              <w:left w:val="nil"/>
              <w:right w:val="nil"/>
            </w:tcBorders>
            <w:vAlign w:val="center"/>
          </w:tcPr>
          <w:p w14:paraId="2953C0FC" w14:textId="77777777" w:rsidR="00AD6087" w:rsidRPr="006435A5" w:rsidRDefault="00AD6087" w:rsidP="00AD6087">
            <w:pPr>
              <w:spacing w:line="240" w:lineRule="auto"/>
              <w:ind w:firstLine="0"/>
              <w:jc w:val="center"/>
            </w:pPr>
            <w:r w:rsidRPr="006435A5">
              <w:t>3,452.3</w:t>
            </w:r>
          </w:p>
        </w:tc>
        <w:tc>
          <w:tcPr>
            <w:tcW w:w="1055" w:type="dxa"/>
            <w:tcBorders>
              <w:left w:val="nil"/>
              <w:right w:val="nil"/>
            </w:tcBorders>
            <w:vAlign w:val="center"/>
          </w:tcPr>
          <w:p w14:paraId="0D1F3F45" w14:textId="77777777" w:rsidR="00AD6087" w:rsidRPr="006435A5" w:rsidRDefault="00AD6087" w:rsidP="00AD6087">
            <w:pPr>
              <w:spacing w:line="240" w:lineRule="auto"/>
              <w:ind w:firstLine="0"/>
              <w:jc w:val="center"/>
            </w:pPr>
            <w:r w:rsidRPr="006435A5">
              <w:t>3,398.0</w:t>
            </w:r>
          </w:p>
        </w:tc>
        <w:tc>
          <w:tcPr>
            <w:tcW w:w="1018" w:type="dxa"/>
            <w:tcBorders>
              <w:left w:val="nil"/>
              <w:right w:val="nil"/>
            </w:tcBorders>
            <w:vAlign w:val="center"/>
          </w:tcPr>
          <w:p w14:paraId="02CAE4A1" w14:textId="77777777" w:rsidR="00AD6087" w:rsidRPr="006435A5" w:rsidRDefault="00AD6087" w:rsidP="00AD6087">
            <w:pPr>
              <w:spacing w:line="240" w:lineRule="auto"/>
              <w:ind w:firstLine="0"/>
              <w:jc w:val="center"/>
            </w:pPr>
            <w:r w:rsidRPr="006435A5">
              <w:t>3,303.8</w:t>
            </w:r>
          </w:p>
        </w:tc>
      </w:tr>
      <w:tr w:rsidR="00AD6087" w:rsidRPr="006435A5" w14:paraId="6111583F" w14:textId="77777777" w:rsidTr="00A42F0D">
        <w:trPr>
          <w:trHeight w:val="248"/>
          <w:jc w:val="center"/>
        </w:trPr>
        <w:tc>
          <w:tcPr>
            <w:tcW w:w="2761" w:type="dxa"/>
            <w:tcBorders>
              <w:left w:val="nil"/>
              <w:bottom w:val="single" w:sz="4" w:space="0" w:color="auto"/>
              <w:right w:val="nil"/>
            </w:tcBorders>
            <w:vAlign w:val="center"/>
          </w:tcPr>
          <w:p w14:paraId="07827507" w14:textId="77777777" w:rsidR="00AD6087" w:rsidRPr="006435A5" w:rsidRDefault="00AD6087" w:rsidP="00AD6087">
            <w:pPr>
              <w:spacing w:line="240" w:lineRule="auto"/>
              <w:ind w:firstLine="0"/>
              <w:jc w:val="left"/>
            </w:pPr>
            <w:r w:rsidRPr="006435A5">
              <w:t>օտարերկրյա պետություններից</w:t>
            </w:r>
          </w:p>
        </w:tc>
        <w:tc>
          <w:tcPr>
            <w:tcW w:w="1196" w:type="dxa"/>
            <w:tcBorders>
              <w:left w:val="nil"/>
              <w:bottom w:val="single" w:sz="4" w:space="0" w:color="auto"/>
              <w:right w:val="nil"/>
            </w:tcBorders>
            <w:vAlign w:val="center"/>
          </w:tcPr>
          <w:p w14:paraId="32D04631" w14:textId="77777777" w:rsidR="00AD6087" w:rsidRPr="006435A5" w:rsidRDefault="00AD6087" w:rsidP="00AD6087">
            <w:pPr>
              <w:spacing w:line="240" w:lineRule="auto"/>
              <w:ind w:firstLine="0"/>
              <w:jc w:val="center"/>
            </w:pPr>
            <w:r w:rsidRPr="006435A5">
              <w:t>1,048.9</w:t>
            </w:r>
          </w:p>
        </w:tc>
        <w:tc>
          <w:tcPr>
            <w:tcW w:w="1071" w:type="dxa"/>
            <w:tcBorders>
              <w:left w:val="nil"/>
              <w:bottom w:val="single" w:sz="4" w:space="0" w:color="auto"/>
              <w:right w:val="nil"/>
            </w:tcBorders>
            <w:vAlign w:val="center"/>
          </w:tcPr>
          <w:p w14:paraId="7B218590" w14:textId="77777777" w:rsidR="00AD6087" w:rsidRPr="006435A5" w:rsidRDefault="00AD6087" w:rsidP="00AD6087">
            <w:pPr>
              <w:spacing w:line="240" w:lineRule="auto"/>
              <w:ind w:firstLine="0"/>
              <w:jc w:val="center"/>
            </w:pPr>
            <w:r w:rsidRPr="006435A5">
              <w:t>1,056.5</w:t>
            </w:r>
          </w:p>
        </w:tc>
        <w:tc>
          <w:tcPr>
            <w:tcW w:w="1330" w:type="dxa"/>
            <w:tcBorders>
              <w:left w:val="nil"/>
              <w:bottom w:val="single" w:sz="4" w:space="0" w:color="auto"/>
              <w:right w:val="double" w:sz="4" w:space="0" w:color="auto"/>
            </w:tcBorders>
            <w:vAlign w:val="center"/>
          </w:tcPr>
          <w:p w14:paraId="500DD541" w14:textId="77777777" w:rsidR="00AD6087" w:rsidRPr="006435A5" w:rsidRDefault="00AD6087" w:rsidP="00AD6087">
            <w:pPr>
              <w:spacing w:line="240" w:lineRule="auto"/>
              <w:ind w:firstLine="0"/>
              <w:jc w:val="center"/>
            </w:pPr>
            <w:r w:rsidRPr="006435A5">
              <w:t>1,014.1</w:t>
            </w:r>
          </w:p>
        </w:tc>
        <w:tc>
          <w:tcPr>
            <w:tcW w:w="1127" w:type="dxa"/>
            <w:tcBorders>
              <w:left w:val="double" w:sz="4" w:space="0" w:color="auto"/>
              <w:bottom w:val="single" w:sz="4" w:space="0" w:color="auto"/>
              <w:right w:val="nil"/>
            </w:tcBorders>
            <w:vAlign w:val="center"/>
          </w:tcPr>
          <w:p w14:paraId="3DBB06D7" w14:textId="77777777" w:rsidR="00AD6087" w:rsidRPr="006435A5" w:rsidRDefault="00AD6087" w:rsidP="00AD6087">
            <w:pPr>
              <w:spacing w:line="240" w:lineRule="auto"/>
              <w:ind w:firstLine="0"/>
              <w:jc w:val="center"/>
            </w:pPr>
            <w:r w:rsidRPr="006435A5">
              <w:t>1,000.5</w:t>
            </w:r>
          </w:p>
        </w:tc>
        <w:tc>
          <w:tcPr>
            <w:tcW w:w="1016" w:type="dxa"/>
            <w:tcBorders>
              <w:left w:val="nil"/>
              <w:bottom w:val="single" w:sz="4" w:space="0" w:color="auto"/>
              <w:right w:val="nil"/>
            </w:tcBorders>
            <w:vAlign w:val="center"/>
          </w:tcPr>
          <w:p w14:paraId="4B0232FB" w14:textId="77777777" w:rsidR="00AD6087" w:rsidRPr="006435A5" w:rsidRDefault="00AD6087" w:rsidP="00AD6087">
            <w:pPr>
              <w:spacing w:line="240" w:lineRule="auto"/>
              <w:ind w:firstLine="0"/>
              <w:jc w:val="center"/>
            </w:pPr>
            <w:r w:rsidRPr="006435A5">
              <w:t>971.5</w:t>
            </w:r>
          </w:p>
        </w:tc>
        <w:tc>
          <w:tcPr>
            <w:tcW w:w="1055" w:type="dxa"/>
            <w:tcBorders>
              <w:left w:val="nil"/>
              <w:bottom w:val="single" w:sz="4" w:space="0" w:color="auto"/>
              <w:right w:val="nil"/>
            </w:tcBorders>
            <w:vAlign w:val="center"/>
          </w:tcPr>
          <w:p w14:paraId="2E6AAEF6" w14:textId="77777777" w:rsidR="00AD6087" w:rsidRPr="006435A5" w:rsidRDefault="00AD6087" w:rsidP="00AD6087">
            <w:pPr>
              <w:spacing w:line="240" w:lineRule="auto"/>
              <w:ind w:firstLine="0"/>
              <w:jc w:val="center"/>
            </w:pPr>
            <w:r w:rsidRPr="006435A5">
              <w:t>949.2</w:t>
            </w:r>
          </w:p>
        </w:tc>
        <w:tc>
          <w:tcPr>
            <w:tcW w:w="1018" w:type="dxa"/>
            <w:tcBorders>
              <w:left w:val="nil"/>
              <w:bottom w:val="single" w:sz="4" w:space="0" w:color="auto"/>
              <w:right w:val="nil"/>
            </w:tcBorders>
            <w:vAlign w:val="center"/>
          </w:tcPr>
          <w:p w14:paraId="4DC6DCCC" w14:textId="77777777" w:rsidR="00AD6087" w:rsidRPr="006435A5" w:rsidRDefault="00AD6087" w:rsidP="00AD6087">
            <w:pPr>
              <w:spacing w:line="240" w:lineRule="auto"/>
              <w:ind w:firstLine="0"/>
              <w:jc w:val="center"/>
            </w:pPr>
            <w:r w:rsidRPr="006435A5">
              <w:t>945.9</w:t>
            </w:r>
          </w:p>
        </w:tc>
      </w:tr>
      <w:tr w:rsidR="00AD6087" w:rsidRPr="006435A5" w14:paraId="0D246F61" w14:textId="77777777" w:rsidTr="00A42F0D">
        <w:trPr>
          <w:trHeight w:val="255"/>
          <w:jc w:val="center"/>
        </w:trPr>
        <w:tc>
          <w:tcPr>
            <w:tcW w:w="2761" w:type="dxa"/>
            <w:tcBorders>
              <w:left w:val="nil"/>
              <w:bottom w:val="single" w:sz="12" w:space="0" w:color="auto"/>
              <w:right w:val="nil"/>
            </w:tcBorders>
            <w:vAlign w:val="center"/>
          </w:tcPr>
          <w:p w14:paraId="7173566E" w14:textId="77777777" w:rsidR="00AD6087" w:rsidRPr="006435A5" w:rsidRDefault="00AD6087" w:rsidP="00AD6087">
            <w:pPr>
              <w:spacing w:line="240" w:lineRule="auto"/>
              <w:ind w:firstLine="0"/>
              <w:jc w:val="left"/>
            </w:pPr>
            <w:r w:rsidRPr="006435A5">
              <w:t>առևտրային բանկերից</w:t>
            </w:r>
          </w:p>
        </w:tc>
        <w:tc>
          <w:tcPr>
            <w:tcW w:w="1196" w:type="dxa"/>
            <w:tcBorders>
              <w:left w:val="nil"/>
              <w:bottom w:val="single" w:sz="12" w:space="0" w:color="auto"/>
              <w:right w:val="nil"/>
            </w:tcBorders>
            <w:vAlign w:val="center"/>
          </w:tcPr>
          <w:p w14:paraId="70C7A93A" w14:textId="77777777" w:rsidR="00AD6087" w:rsidRPr="006435A5" w:rsidRDefault="00AD6087" w:rsidP="00AD6087">
            <w:pPr>
              <w:spacing w:line="240" w:lineRule="auto"/>
              <w:ind w:firstLine="0"/>
              <w:jc w:val="center"/>
            </w:pPr>
            <w:r w:rsidRPr="006435A5">
              <w:t>20.5</w:t>
            </w:r>
          </w:p>
        </w:tc>
        <w:tc>
          <w:tcPr>
            <w:tcW w:w="1071" w:type="dxa"/>
            <w:tcBorders>
              <w:left w:val="nil"/>
              <w:bottom w:val="single" w:sz="12" w:space="0" w:color="auto"/>
              <w:right w:val="nil"/>
            </w:tcBorders>
            <w:vAlign w:val="center"/>
          </w:tcPr>
          <w:p w14:paraId="36B40C3C" w14:textId="77777777" w:rsidR="00AD6087" w:rsidRPr="006435A5" w:rsidRDefault="00AD6087" w:rsidP="00AD6087">
            <w:pPr>
              <w:spacing w:line="240" w:lineRule="auto"/>
              <w:ind w:firstLine="0"/>
              <w:jc w:val="center"/>
            </w:pPr>
            <w:r w:rsidRPr="006435A5">
              <w:t>20.6</w:t>
            </w:r>
          </w:p>
        </w:tc>
        <w:tc>
          <w:tcPr>
            <w:tcW w:w="1330" w:type="dxa"/>
            <w:tcBorders>
              <w:left w:val="nil"/>
              <w:bottom w:val="single" w:sz="12" w:space="0" w:color="auto"/>
              <w:right w:val="double" w:sz="4" w:space="0" w:color="auto"/>
            </w:tcBorders>
            <w:vAlign w:val="center"/>
          </w:tcPr>
          <w:p w14:paraId="34461E82" w14:textId="77777777" w:rsidR="00AD6087" w:rsidRPr="006435A5" w:rsidRDefault="00AD6087" w:rsidP="00AD6087">
            <w:pPr>
              <w:spacing w:line="240" w:lineRule="auto"/>
              <w:ind w:firstLine="0"/>
              <w:jc w:val="center"/>
            </w:pPr>
            <w:r w:rsidRPr="006435A5">
              <w:t>16.9</w:t>
            </w:r>
          </w:p>
        </w:tc>
        <w:tc>
          <w:tcPr>
            <w:tcW w:w="1127" w:type="dxa"/>
            <w:tcBorders>
              <w:left w:val="double" w:sz="4" w:space="0" w:color="auto"/>
              <w:bottom w:val="single" w:sz="12" w:space="0" w:color="auto"/>
              <w:right w:val="nil"/>
            </w:tcBorders>
            <w:vAlign w:val="center"/>
          </w:tcPr>
          <w:p w14:paraId="010D2A5C" w14:textId="77777777" w:rsidR="00AD6087" w:rsidRPr="006435A5" w:rsidRDefault="00AD6087" w:rsidP="00AD6087">
            <w:pPr>
              <w:spacing w:line="240" w:lineRule="auto"/>
              <w:ind w:firstLine="0"/>
              <w:jc w:val="center"/>
            </w:pPr>
            <w:r w:rsidRPr="006435A5">
              <w:t>17.4</w:t>
            </w:r>
          </w:p>
        </w:tc>
        <w:tc>
          <w:tcPr>
            <w:tcW w:w="1016" w:type="dxa"/>
            <w:tcBorders>
              <w:left w:val="nil"/>
              <w:bottom w:val="single" w:sz="12" w:space="0" w:color="auto"/>
              <w:right w:val="nil"/>
            </w:tcBorders>
            <w:vAlign w:val="center"/>
          </w:tcPr>
          <w:p w14:paraId="711EC9AF" w14:textId="77777777" w:rsidR="00AD6087" w:rsidRPr="006435A5" w:rsidRDefault="00AD6087" w:rsidP="00AD6087">
            <w:pPr>
              <w:spacing w:line="240" w:lineRule="auto"/>
              <w:ind w:firstLine="0"/>
              <w:jc w:val="center"/>
            </w:pPr>
            <w:r w:rsidRPr="006435A5">
              <w:t>15.1</w:t>
            </w:r>
          </w:p>
        </w:tc>
        <w:tc>
          <w:tcPr>
            <w:tcW w:w="1055" w:type="dxa"/>
            <w:tcBorders>
              <w:left w:val="nil"/>
              <w:bottom w:val="single" w:sz="12" w:space="0" w:color="auto"/>
              <w:right w:val="nil"/>
            </w:tcBorders>
            <w:vAlign w:val="center"/>
          </w:tcPr>
          <w:p w14:paraId="452C3C9B" w14:textId="77777777" w:rsidR="00AD6087" w:rsidRPr="006435A5" w:rsidRDefault="00AD6087" w:rsidP="00AD6087">
            <w:pPr>
              <w:spacing w:line="240" w:lineRule="auto"/>
              <w:ind w:firstLine="0"/>
              <w:jc w:val="center"/>
            </w:pPr>
            <w:r w:rsidRPr="006435A5">
              <w:t>12.8</w:t>
            </w:r>
          </w:p>
        </w:tc>
        <w:tc>
          <w:tcPr>
            <w:tcW w:w="1018" w:type="dxa"/>
            <w:tcBorders>
              <w:left w:val="nil"/>
              <w:bottom w:val="single" w:sz="12" w:space="0" w:color="auto"/>
              <w:right w:val="nil"/>
            </w:tcBorders>
            <w:vAlign w:val="center"/>
          </w:tcPr>
          <w:p w14:paraId="4D1DD941" w14:textId="77777777" w:rsidR="00AD6087" w:rsidRPr="006435A5" w:rsidRDefault="00AD6087" w:rsidP="00AD6087">
            <w:pPr>
              <w:spacing w:line="240" w:lineRule="auto"/>
              <w:ind w:firstLine="0"/>
              <w:jc w:val="center"/>
            </w:pPr>
            <w:r w:rsidRPr="006435A5">
              <w:t>10.6</w:t>
            </w:r>
          </w:p>
        </w:tc>
      </w:tr>
      <w:tr w:rsidR="00AD6087" w:rsidRPr="006435A5" w14:paraId="03C44FDD" w14:textId="77777777" w:rsidTr="00A42F0D">
        <w:trPr>
          <w:trHeight w:val="255"/>
          <w:jc w:val="center"/>
        </w:trPr>
        <w:tc>
          <w:tcPr>
            <w:tcW w:w="2761" w:type="dxa"/>
            <w:tcBorders>
              <w:top w:val="single" w:sz="12" w:space="0" w:color="auto"/>
              <w:left w:val="nil"/>
              <w:right w:val="nil"/>
            </w:tcBorders>
            <w:vAlign w:val="center"/>
          </w:tcPr>
          <w:p w14:paraId="49D18AC5" w14:textId="77777777" w:rsidR="00AD6087" w:rsidRPr="006435A5" w:rsidRDefault="00AD6087" w:rsidP="00AD6087">
            <w:pPr>
              <w:spacing w:line="240" w:lineRule="auto"/>
              <w:ind w:firstLine="0"/>
              <w:jc w:val="left"/>
            </w:pPr>
            <w:r w:rsidRPr="006435A5">
              <w:t>Միջին տոկոսադրույք (%)</w:t>
            </w:r>
          </w:p>
        </w:tc>
        <w:tc>
          <w:tcPr>
            <w:tcW w:w="1196" w:type="dxa"/>
            <w:tcBorders>
              <w:top w:val="single" w:sz="12" w:space="0" w:color="auto"/>
              <w:left w:val="nil"/>
              <w:right w:val="nil"/>
            </w:tcBorders>
            <w:vAlign w:val="center"/>
          </w:tcPr>
          <w:p w14:paraId="06C579B1" w14:textId="77777777" w:rsidR="00AD6087" w:rsidRPr="006435A5" w:rsidRDefault="00AD6087" w:rsidP="00AD6087">
            <w:pPr>
              <w:spacing w:line="240" w:lineRule="auto"/>
              <w:ind w:firstLine="0"/>
              <w:jc w:val="center"/>
            </w:pPr>
            <w:r w:rsidRPr="006435A5">
              <w:t>2.3</w:t>
            </w:r>
          </w:p>
        </w:tc>
        <w:tc>
          <w:tcPr>
            <w:tcW w:w="1071" w:type="dxa"/>
            <w:tcBorders>
              <w:top w:val="single" w:sz="12" w:space="0" w:color="auto"/>
              <w:left w:val="nil"/>
              <w:right w:val="nil"/>
            </w:tcBorders>
            <w:vAlign w:val="center"/>
          </w:tcPr>
          <w:p w14:paraId="60DA31C6" w14:textId="77777777" w:rsidR="00AD6087" w:rsidRPr="006435A5" w:rsidRDefault="00AD6087" w:rsidP="00AD6087">
            <w:pPr>
              <w:spacing w:line="240" w:lineRule="auto"/>
              <w:ind w:firstLine="0"/>
              <w:jc w:val="center"/>
            </w:pPr>
            <w:r w:rsidRPr="006435A5">
              <w:t>1.5</w:t>
            </w:r>
          </w:p>
        </w:tc>
        <w:tc>
          <w:tcPr>
            <w:tcW w:w="1330" w:type="dxa"/>
            <w:tcBorders>
              <w:top w:val="single" w:sz="12" w:space="0" w:color="auto"/>
              <w:left w:val="nil"/>
              <w:right w:val="double" w:sz="4" w:space="0" w:color="auto"/>
            </w:tcBorders>
            <w:vAlign w:val="center"/>
          </w:tcPr>
          <w:p w14:paraId="2DB454CB" w14:textId="77777777" w:rsidR="00AD6087" w:rsidRPr="006435A5" w:rsidRDefault="00AD6087" w:rsidP="00AD6087">
            <w:pPr>
              <w:spacing w:line="240" w:lineRule="auto"/>
              <w:ind w:firstLine="0"/>
              <w:jc w:val="center"/>
            </w:pPr>
            <w:r w:rsidRPr="006435A5">
              <w:t>2.0</w:t>
            </w:r>
          </w:p>
        </w:tc>
        <w:tc>
          <w:tcPr>
            <w:tcW w:w="1127" w:type="dxa"/>
            <w:tcBorders>
              <w:top w:val="single" w:sz="12" w:space="0" w:color="auto"/>
              <w:left w:val="double" w:sz="4" w:space="0" w:color="auto"/>
              <w:right w:val="nil"/>
            </w:tcBorders>
            <w:vAlign w:val="center"/>
          </w:tcPr>
          <w:p w14:paraId="7A25BDBE" w14:textId="77777777" w:rsidR="00AD6087" w:rsidRPr="006435A5" w:rsidRDefault="00AD6087" w:rsidP="00AD6087">
            <w:pPr>
              <w:spacing w:line="240" w:lineRule="auto"/>
              <w:ind w:firstLine="0"/>
              <w:jc w:val="center"/>
            </w:pPr>
            <w:r w:rsidRPr="006435A5">
              <w:t>1.6</w:t>
            </w:r>
          </w:p>
        </w:tc>
        <w:tc>
          <w:tcPr>
            <w:tcW w:w="1016" w:type="dxa"/>
            <w:tcBorders>
              <w:top w:val="single" w:sz="12" w:space="0" w:color="auto"/>
              <w:left w:val="nil"/>
              <w:right w:val="nil"/>
            </w:tcBorders>
            <w:vAlign w:val="center"/>
          </w:tcPr>
          <w:p w14:paraId="14ED259A" w14:textId="77777777" w:rsidR="00AD6087" w:rsidRPr="006435A5" w:rsidRDefault="00AD6087" w:rsidP="00AD6087">
            <w:pPr>
              <w:spacing w:line="240" w:lineRule="auto"/>
              <w:ind w:firstLine="0"/>
              <w:jc w:val="center"/>
            </w:pPr>
            <w:r w:rsidRPr="006435A5">
              <w:t>2.0</w:t>
            </w:r>
          </w:p>
        </w:tc>
        <w:tc>
          <w:tcPr>
            <w:tcW w:w="1055" w:type="dxa"/>
            <w:tcBorders>
              <w:top w:val="single" w:sz="12" w:space="0" w:color="auto"/>
              <w:left w:val="nil"/>
              <w:right w:val="nil"/>
            </w:tcBorders>
            <w:vAlign w:val="center"/>
          </w:tcPr>
          <w:p w14:paraId="68C836EC" w14:textId="77777777" w:rsidR="00AD6087" w:rsidRPr="006435A5" w:rsidRDefault="00AD6087" w:rsidP="00AD6087">
            <w:pPr>
              <w:spacing w:line="240" w:lineRule="auto"/>
              <w:ind w:firstLine="0"/>
              <w:jc w:val="center"/>
            </w:pPr>
            <w:r w:rsidRPr="006435A5">
              <w:t>2.2</w:t>
            </w:r>
          </w:p>
        </w:tc>
        <w:tc>
          <w:tcPr>
            <w:tcW w:w="1018" w:type="dxa"/>
            <w:tcBorders>
              <w:top w:val="single" w:sz="12" w:space="0" w:color="auto"/>
              <w:left w:val="nil"/>
              <w:right w:val="nil"/>
            </w:tcBorders>
            <w:vAlign w:val="center"/>
          </w:tcPr>
          <w:p w14:paraId="63EFDB7E" w14:textId="77777777" w:rsidR="00AD6087" w:rsidRPr="006435A5" w:rsidRDefault="00AD6087" w:rsidP="00AD6087">
            <w:pPr>
              <w:spacing w:line="240" w:lineRule="auto"/>
              <w:ind w:firstLine="0"/>
              <w:jc w:val="center"/>
            </w:pPr>
            <w:r w:rsidRPr="006435A5">
              <w:t>2.2</w:t>
            </w:r>
          </w:p>
        </w:tc>
      </w:tr>
      <w:tr w:rsidR="00AD6087" w:rsidRPr="006435A5" w14:paraId="7EDCE49C" w14:textId="77777777" w:rsidTr="00A42F0D">
        <w:trPr>
          <w:trHeight w:val="255"/>
          <w:jc w:val="center"/>
        </w:trPr>
        <w:tc>
          <w:tcPr>
            <w:tcW w:w="2761" w:type="dxa"/>
            <w:tcBorders>
              <w:left w:val="nil"/>
              <w:bottom w:val="thickThinSmallGap" w:sz="24" w:space="0" w:color="auto"/>
              <w:right w:val="nil"/>
            </w:tcBorders>
            <w:vAlign w:val="center"/>
          </w:tcPr>
          <w:p w14:paraId="1D3871A8" w14:textId="77777777" w:rsidR="00AD6087" w:rsidRPr="006435A5" w:rsidRDefault="00AD6087" w:rsidP="00AD6087">
            <w:pPr>
              <w:spacing w:line="240" w:lineRule="auto"/>
              <w:ind w:firstLine="0"/>
              <w:jc w:val="left"/>
            </w:pPr>
            <w:r w:rsidRPr="006435A5">
              <w:t>Միջին ժամկետայնություն (տարի)</w:t>
            </w:r>
          </w:p>
        </w:tc>
        <w:tc>
          <w:tcPr>
            <w:tcW w:w="1196" w:type="dxa"/>
            <w:tcBorders>
              <w:left w:val="nil"/>
              <w:bottom w:val="thickThinSmallGap" w:sz="24" w:space="0" w:color="auto"/>
              <w:right w:val="nil"/>
            </w:tcBorders>
            <w:vAlign w:val="center"/>
          </w:tcPr>
          <w:p w14:paraId="196CFF7E" w14:textId="77777777" w:rsidR="00AD6087" w:rsidRPr="006435A5" w:rsidRDefault="00AD6087" w:rsidP="00AD6087">
            <w:pPr>
              <w:spacing w:line="240" w:lineRule="auto"/>
              <w:ind w:firstLine="0"/>
              <w:jc w:val="center"/>
            </w:pPr>
            <w:r w:rsidRPr="006435A5">
              <w:t>9.3</w:t>
            </w:r>
          </w:p>
        </w:tc>
        <w:tc>
          <w:tcPr>
            <w:tcW w:w="1071" w:type="dxa"/>
            <w:tcBorders>
              <w:left w:val="nil"/>
              <w:bottom w:val="thickThinSmallGap" w:sz="24" w:space="0" w:color="auto"/>
              <w:right w:val="nil"/>
            </w:tcBorders>
            <w:vAlign w:val="center"/>
          </w:tcPr>
          <w:p w14:paraId="059246DD" w14:textId="77777777" w:rsidR="00AD6087" w:rsidRPr="006435A5" w:rsidRDefault="00AD6087" w:rsidP="00AD6087">
            <w:pPr>
              <w:spacing w:line="240" w:lineRule="auto"/>
              <w:ind w:firstLine="0"/>
              <w:jc w:val="center"/>
            </w:pPr>
            <w:r w:rsidRPr="006435A5">
              <w:t>8.4</w:t>
            </w:r>
          </w:p>
        </w:tc>
        <w:tc>
          <w:tcPr>
            <w:tcW w:w="1330" w:type="dxa"/>
            <w:tcBorders>
              <w:left w:val="nil"/>
              <w:bottom w:val="thickThinSmallGap" w:sz="24" w:space="0" w:color="auto"/>
              <w:right w:val="double" w:sz="4" w:space="0" w:color="auto"/>
            </w:tcBorders>
            <w:vAlign w:val="center"/>
          </w:tcPr>
          <w:p w14:paraId="57B547B4" w14:textId="77777777" w:rsidR="00AD6087" w:rsidRPr="006435A5" w:rsidRDefault="00AD6087" w:rsidP="00AD6087">
            <w:pPr>
              <w:spacing w:line="240" w:lineRule="auto"/>
              <w:ind w:firstLine="0"/>
              <w:jc w:val="center"/>
            </w:pPr>
            <w:r w:rsidRPr="006435A5">
              <w:t>7.8</w:t>
            </w:r>
          </w:p>
        </w:tc>
        <w:tc>
          <w:tcPr>
            <w:tcW w:w="1127" w:type="dxa"/>
            <w:tcBorders>
              <w:left w:val="double" w:sz="4" w:space="0" w:color="auto"/>
              <w:bottom w:val="thickThinSmallGap" w:sz="24" w:space="0" w:color="auto"/>
              <w:right w:val="nil"/>
            </w:tcBorders>
            <w:vAlign w:val="center"/>
          </w:tcPr>
          <w:p w14:paraId="608C9FCD" w14:textId="77777777" w:rsidR="00AD6087" w:rsidRPr="006435A5" w:rsidRDefault="00AD6087" w:rsidP="00AD6087">
            <w:pPr>
              <w:spacing w:line="240" w:lineRule="auto"/>
              <w:ind w:firstLine="0"/>
              <w:jc w:val="center"/>
            </w:pPr>
            <w:r w:rsidRPr="006435A5">
              <w:t>7.8</w:t>
            </w:r>
          </w:p>
        </w:tc>
        <w:tc>
          <w:tcPr>
            <w:tcW w:w="1016" w:type="dxa"/>
            <w:tcBorders>
              <w:left w:val="nil"/>
              <w:bottom w:val="thickThinSmallGap" w:sz="24" w:space="0" w:color="auto"/>
              <w:right w:val="nil"/>
            </w:tcBorders>
            <w:vAlign w:val="center"/>
          </w:tcPr>
          <w:p w14:paraId="0DDB6C65" w14:textId="77777777" w:rsidR="00AD6087" w:rsidRPr="006435A5" w:rsidRDefault="00AD6087" w:rsidP="00AD6087">
            <w:pPr>
              <w:spacing w:line="240" w:lineRule="auto"/>
              <w:ind w:firstLine="0"/>
              <w:jc w:val="center"/>
            </w:pPr>
            <w:r w:rsidRPr="006435A5">
              <w:t>7.3</w:t>
            </w:r>
          </w:p>
        </w:tc>
        <w:tc>
          <w:tcPr>
            <w:tcW w:w="1055" w:type="dxa"/>
            <w:tcBorders>
              <w:left w:val="nil"/>
              <w:bottom w:val="thickThinSmallGap" w:sz="24" w:space="0" w:color="auto"/>
              <w:right w:val="nil"/>
            </w:tcBorders>
            <w:vAlign w:val="center"/>
          </w:tcPr>
          <w:p w14:paraId="35DA07E7" w14:textId="77777777" w:rsidR="00AD6087" w:rsidRPr="006435A5" w:rsidRDefault="00AD6087" w:rsidP="00AD6087">
            <w:pPr>
              <w:spacing w:line="240" w:lineRule="auto"/>
              <w:ind w:firstLine="0"/>
              <w:jc w:val="center"/>
            </w:pPr>
            <w:r w:rsidRPr="006435A5">
              <w:t>6.9</w:t>
            </w:r>
          </w:p>
        </w:tc>
        <w:tc>
          <w:tcPr>
            <w:tcW w:w="1018" w:type="dxa"/>
            <w:tcBorders>
              <w:left w:val="nil"/>
              <w:bottom w:val="thickThinSmallGap" w:sz="24" w:space="0" w:color="auto"/>
              <w:right w:val="nil"/>
            </w:tcBorders>
            <w:vAlign w:val="center"/>
          </w:tcPr>
          <w:p w14:paraId="086DFF04" w14:textId="77777777" w:rsidR="00AD6087" w:rsidRPr="006435A5" w:rsidRDefault="00AD6087" w:rsidP="00AD6087">
            <w:pPr>
              <w:spacing w:line="240" w:lineRule="auto"/>
              <w:ind w:firstLine="0"/>
              <w:jc w:val="center"/>
            </w:pPr>
            <w:r w:rsidRPr="006435A5">
              <w:t>6.8</w:t>
            </w:r>
          </w:p>
        </w:tc>
      </w:tr>
    </w:tbl>
    <w:p w14:paraId="5F95CCF1" w14:textId="4AF9AC8E" w:rsidR="00DA0E15" w:rsidRDefault="00362131">
      <w:pPr>
        <w:pStyle w:val="Heading3"/>
        <w:spacing w:before="0" w:after="120"/>
        <w:rPr>
          <w:rFonts w:eastAsia="Times New Roman" w:cs="Times New Roman"/>
          <w:caps w:val="0"/>
          <w:color w:val="1F497D" w:themeColor="text2"/>
          <w:sz w:val="28"/>
          <w:szCs w:val="28"/>
        </w:rPr>
      </w:pPr>
      <w:bookmarkStart w:id="680" w:name="_Toc77837909"/>
      <w:r>
        <w:rPr>
          <w:rFonts w:eastAsia="Times New Roman" w:cs="Times New Roman"/>
          <w:caps w:val="0"/>
          <w:color w:val="1F497D" w:themeColor="text2"/>
          <w:sz w:val="28"/>
          <w:szCs w:val="28"/>
        </w:rPr>
        <w:t>2. ԱՅԼ ԿԱՌՈՒՅՑՆԵՐԻ ԿՈՂՄԻՑ ՀՀ ՏՆՏԵՍԱԿԱՆ ԱՃԻ ԿԱՆԽԱՏԵՍՈՒՄՆԵՐԻ ՀԵՏ ՀԱՄԵՄԱՏԱԿԱՆ</w:t>
      </w:r>
      <w:bookmarkEnd w:id="667"/>
      <w:bookmarkEnd w:id="680"/>
    </w:p>
    <w:p w14:paraId="10E41D49" w14:textId="77777777" w:rsidR="009940B4" w:rsidRDefault="009940B4" w:rsidP="009940B4">
      <w:pPr>
        <w:spacing w:line="276" w:lineRule="auto"/>
        <w:ind w:left="90" w:firstLine="360"/>
        <w:rPr>
          <w:rFonts w:cs="Sylfaen"/>
          <w:lang w:val="hy-AM"/>
        </w:rPr>
      </w:pPr>
      <w:r w:rsidRPr="00681C73">
        <w:rPr>
          <w:rFonts w:cs="Sylfaen"/>
          <w:b/>
          <w:bCs/>
          <w:u w:val="single"/>
          <w:lang w:val="hy-AM"/>
        </w:rPr>
        <w:t>Կանխատեսումներ։</w:t>
      </w:r>
      <w:r w:rsidRPr="00681C73">
        <w:rPr>
          <w:rFonts w:cs="Sylfaen"/>
          <w:lang w:val="hy-AM"/>
        </w:rPr>
        <w:t xml:space="preserve"> Աղյուսակում ներկայացված </w:t>
      </w:r>
      <w:r w:rsidRPr="00843B67">
        <w:rPr>
          <w:rFonts w:cs="Sylfaen"/>
          <w:lang w:val="hy-AM"/>
        </w:rPr>
        <w:t>է</w:t>
      </w:r>
      <w:r w:rsidRPr="00681C73">
        <w:rPr>
          <w:rFonts w:cs="Sylfaen"/>
          <w:lang w:val="hy-AM"/>
        </w:rPr>
        <w:t xml:space="preserve"> ՀՀ ֆինանսների նախարարության և այլ կառույցների կողմից ՀՀ տնտեսական աճի կարճաժամկետ և միջնաժամկետ կանխատեսումների համեմատականը: Արժույթի միջազգային հիմնադրամի</w:t>
      </w:r>
      <w:r w:rsidRPr="004D4A8D">
        <w:rPr>
          <w:rFonts w:cs="Sylfaen"/>
          <w:lang w:val="hy-AM"/>
        </w:rPr>
        <w:t xml:space="preserve"> </w:t>
      </w:r>
      <w:r>
        <w:rPr>
          <w:rFonts w:cs="Sylfaen"/>
          <w:lang w:val="hy-AM"/>
        </w:rPr>
        <w:t>ապրիլ ամսվա կանխատեսումներով 2021թ. սպասվում է 1.0</w:t>
      </w:r>
      <w:r w:rsidRPr="00681C73">
        <w:rPr>
          <w:rFonts w:cs="Sylfaen"/>
          <w:lang w:val="hy-AM"/>
        </w:rPr>
        <w:t xml:space="preserve">% </w:t>
      </w:r>
      <w:r>
        <w:rPr>
          <w:rFonts w:cs="Sylfaen"/>
          <w:lang w:val="hy-AM"/>
        </w:rPr>
        <w:t xml:space="preserve">աճ, իսկ </w:t>
      </w:r>
      <w:r w:rsidRPr="00681C73">
        <w:rPr>
          <w:rFonts w:cs="Sylfaen"/>
          <w:lang w:val="hy-AM"/>
        </w:rPr>
        <w:t xml:space="preserve">Համաշխարհային բանկի </w:t>
      </w:r>
      <w:r w:rsidRPr="00DB432B">
        <w:rPr>
          <w:rFonts w:cs="Sylfaen"/>
          <w:lang w:val="hy-AM"/>
        </w:rPr>
        <w:t xml:space="preserve">հունիս ամսվա </w:t>
      </w:r>
      <w:r w:rsidRPr="00681C73">
        <w:rPr>
          <w:rFonts w:cs="Sylfaen"/>
          <w:lang w:val="hy-AM"/>
        </w:rPr>
        <w:t>կանխատեսումներով</w:t>
      </w:r>
      <w:r>
        <w:rPr>
          <w:rFonts w:cs="Sylfaen"/>
          <w:lang w:val="hy-AM"/>
        </w:rPr>
        <w:t>՝ 3.4</w:t>
      </w:r>
      <w:r w:rsidRPr="00681C73">
        <w:rPr>
          <w:rFonts w:cs="Sylfaen"/>
          <w:lang w:val="hy-AM"/>
        </w:rPr>
        <w:t>%</w:t>
      </w:r>
      <w:r>
        <w:rPr>
          <w:rFonts w:cs="Sylfaen"/>
          <w:lang w:val="hy-AM"/>
        </w:rPr>
        <w:t xml:space="preserve"> աճ</w:t>
      </w:r>
      <w:r w:rsidRPr="00681C73">
        <w:rPr>
          <w:rFonts w:cs="Sylfaen"/>
          <w:lang w:val="hy-AM"/>
        </w:rPr>
        <w:t>։ ՀՀ կենտրոնական բանկի</w:t>
      </w:r>
      <w:r>
        <w:rPr>
          <w:rFonts w:cs="Sylfaen"/>
          <w:lang w:val="hy-AM"/>
        </w:rPr>
        <w:t xml:space="preserve"> </w:t>
      </w:r>
      <w:r w:rsidRPr="00DB432B">
        <w:rPr>
          <w:rFonts w:cs="Sylfaen"/>
          <w:lang w:val="hy-AM"/>
        </w:rPr>
        <w:t>մարտ</w:t>
      </w:r>
      <w:r>
        <w:rPr>
          <w:rFonts w:cs="Sylfaen"/>
          <w:lang w:val="hy-AM"/>
        </w:rPr>
        <w:t xml:space="preserve"> ամսվա կանխատեսումներով 2021</w:t>
      </w:r>
      <w:r w:rsidRPr="00681C73">
        <w:rPr>
          <w:rFonts w:cs="Sylfaen"/>
          <w:lang w:val="hy-AM"/>
        </w:rPr>
        <w:t xml:space="preserve">թ. կանխատեսվում էր </w:t>
      </w:r>
      <w:r w:rsidRPr="007F488F">
        <w:rPr>
          <w:rFonts w:cs="Sylfaen"/>
          <w:lang w:val="hy-AM"/>
        </w:rPr>
        <w:t>1.4</w:t>
      </w:r>
      <w:r w:rsidRPr="00681C73">
        <w:rPr>
          <w:rFonts w:cs="Sylfaen"/>
          <w:lang w:val="hy-AM"/>
        </w:rPr>
        <w:t xml:space="preserve">% աճ, սակայն </w:t>
      </w:r>
      <w:r w:rsidRPr="007F488F">
        <w:rPr>
          <w:rFonts w:cs="Sylfaen"/>
          <w:lang w:val="hy-AM"/>
        </w:rPr>
        <w:t>հուն</w:t>
      </w:r>
      <w:r w:rsidRPr="000618D3">
        <w:rPr>
          <w:rFonts w:cs="Sylfaen"/>
          <w:lang w:val="hy-AM"/>
        </w:rPr>
        <w:t>իսի</w:t>
      </w:r>
      <w:r w:rsidRPr="00681C73">
        <w:rPr>
          <w:rFonts w:cs="Sylfaen"/>
          <w:lang w:val="hy-AM"/>
        </w:rPr>
        <w:t xml:space="preserve"> կանխատեսումներով </w:t>
      </w:r>
      <w:r>
        <w:rPr>
          <w:rFonts w:cs="Sylfaen"/>
          <w:lang w:val="hy-AM"/>
        </w:rPr>
        <w:t xml:space="preserve">սպասվում է ավելի </w:t>
      </w:r>
      <w:r w:rsidRPr="007F488F">
        <w:rPr>
          <w:rFonts w:cs="Sylfaen"/>
          <w:lang w:val="hy-AM"/>
        </w:rPr>
        <w:t>բարձր</w:t>
      </w:r>
      <w:r w:rsidRPr="00681C73">
        <w:rPr>
          <w:rFonts w:cs="Sylfaen"/>
          <w:lang w:val="hy-AM"/>
        </w:rPr>
        <w:t xml:space="preserve">՝ </w:t>
      </w:r>
      <w:r w:rsidRPr="007F488F">
        <w:rPr>
          <w:rFonts w:cs="Sylfaen"/>
          <w:lang w:val="hy-AM"/>
        </w:rPr>
        <w:t>4.6</w:t>
      </w:r>
      <w:r>
        <w:rPr>
          <w:rFonts w:cs="Sylfaen"/>
          <w:lang w:val="hy-AM"/>
        </w:rPr>
        <w:t xml:space="preserve">% տնտեսական աճ: </w:t>
      </w:r>
    </w:p>
    <w:p w14:paraId="1A443AEF" w14:textId="77777777" w:rsidR="009940B4" w:rsidRPr="00347043" w:rsidRDefault="009940B4" w:rsidP="009940B4">
      <w:pPr>
        <w:spacing w:line="276" w:lineRule="auto"/>
        <w:rPr>
          <w:rFonts w:cs="Sylfaen"/>
          <w:b/>
          <w:bCs/>
          <w:i/>
          <w:u w:val="single"/>
          <w:lang w:val="hy-AM"/>
        </w:rPr>
      </w:pPr>
      <w:r w:rsidRPr="00681C73">
        <w:rPr>
          <w:rFonts w:cs="Sylfaen"/>
          <w:b/>
          <w:bCs/>
          <w:lang w:val="hy-AM"/>
        </w:rPr>
        <w:t xml:space="preserve">Աղյուսակ 2.1 </w:t>
      </w:r>
      <w:r w:rsidRPr="00681C73">
        <w:rPr>
          <w:rFonts w:cs="Sylfaen"/>
          <w:bCs/>
          <w:i/>
          <w:lang w:val="hy-AM"/>
        </w:rPr>
        <w:t>Այլ կառույցների կողմից ՀՀ տնտեսական աճի կանխատեսումները (%)</w:t>
      </w:r>
    </w:p>
    <w:tbl>
      <w:tblPr>
        <w:tblStyle w:val="GridTable4-Accent11"/>
        <w:tblW w:w="10002" w:type="dxa"/>
        <w:tblLook w:val="04A0" w:firstRow="1" w:lastRow="0" w:firstColumn="1" w:lastColumn="0" w:noHBand="0" w:noVBand="1"/>
      </w:tblPr>
      <w:tblGrid>
        <w:gridCol w:w="5688"/>
        <w:gridCol w:w="1170"/>
        <w:gridCol w:w="1170"/>
        <w:gridCol w:w="990"/>
        <w:gridCol w:w="984"/>
      </w:tblGrid>
      <w:tr w:rsidR="009940B4" w:rsidRPr="00681C73" w14:paraId="7F260DA8" w14:textId="77777777" w:rsidTr="00311D12">
        <w:trPr>
          <w:cnfStyle w:val="100000000000" w:firstRow="1" w:lastRow="0" w:firstColumn="0" w:lastColumn="0" w:oddVBand="0" w:evenVBand="0" w:oddHBand="0"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5688" w:type="dxa"/>
            <w:noWrap/>
          </w:tcPr>
          <w:p w14:paraId="4695AC41" w14:textId="77777777" w:rsidR="009940B4" w:rsidRPr="009940B4" w:rsidRDefault="009940B4" w:rsidP="00311D12">
            <w:pPr>
              <w:spacing w:line="276" w:lineRule="auto"/>
              <w:rPr>
                <w:rFonts w:cs="Calibri"/>
                <w:color w:val="FFFFFF" w:themeColor="background1"/>
                <w:highlight w:val="yellow"/>
                <w:lang w:val="it-IT"/>
              </w:rPr>
            </w:pPr>
          </w:p>
        </w:tc>
        <w:tc>
          <w:tcPr>
            <w:tcW w:w="1170" w:type="dxa"/>
            <w:noWrap/>
            <w:hideMark/>
          </w:tcPr>
          <w:p w14:paraId="76FE13C0" w14:textId="77777777" w:rsidR="009940B4" w:rsidRPr="009940B4" w:rsidRDefault="009940B4" w:rsidP="009940B4">
            <w:pPr>
              <w:spacing w:line="276" w:lineRule="auto"/>
              <w:ind w:firstLine="0"/>
              <w:cnfStyle w:val="100000000000" w:firstRow="1" w:lastRow="0" w:firstColumn="0" w:lastColumn="0" w:oddVBand="0" w:evenVBand="0" w:oddHBand="0" w:evenHBand="0" w:firstRowFirstColumn="0" w:firstRowLastColumn="0" w:lastRowFirstColumn="0" w:lastRowLastColumn="0"/>
              <w:rPr>
                <w:rFonts w:cs="Calibri"/>
                <w:b w:val="0"/>
                <w:bCs w:val="0"/>
                <w:color w:val="FFFFFF" w:themeColor="background1"/>
                <w:lang w:val="hy-AM"/>
              </w:rPr>
            </w:pPr>
            <w:r w:rsidRPr="009940B4">
              <w:rPr>
                <w:rFonts w:cs="Calibri"/>
                <w:b w:val="0"/>
                <w:bCs w:val="0"/>
                <w:color w:val="FFFFFF" w:themeColor="background1"/>
              </w:rPr>
              <w:t>20</w:t>
            </w:r>
            <w:r w:rsidRPr="009940B4">
              <w:rPr>
                <w:rFonts w:cs="Calibri"/>
                <w:b w:val="0"/>
                <w:bCs w:val="0"/>
                <w:color w:val="FFFFFF" w:themeColor="background1"/>
                <w:lang w:val="hy-AM"/>
              </w:rPr>
              <w:t>2</w:t>
            </w:r>
            <w:r w:rsidRPr="009940B4">
              <w:rPr>
                <w:rFonts w:cs="Calibri"/>
                <w:b w:val="0"/>
                <w:bCs w:val="0"/>
                <w:color w:val="FFFFFF" w:themeColor="background1"/>
              </w:rPr>
              <w:t>1</w:t>
            </w:r>
          </w:p>
        </w:tc>
        <w:tc>
          <w:tcPr>
            <w:tcW w:w="1170" w:type="dxa"/>
            <w:noWrap/>
            <w:hideMark/>
          </w:tcPr>
          <w:p w14:paraId="0C489A4C" w14:textId="77777777" w:rsidR="009940B4" w:rsidRPr="009940B4" w:rsidRDefault="009940B4" w:rsidP="009940B4">
            <w:pPr>
              <w:spacing w:line="276" w:lineRule="auto"/>
              <w:ind w:firstLine="0"/>
              <w:cnfStyle w:val="100000000000" w:firstRow="1" w:lastRow="0" w:firstColumn="0" w:lastColumn="0" w:oddVBand="0" w:evenVBand="0" w:oddHBand="0" w:evenHBand="0" w:firstRowFirstColumn="0" w:firstRowLastColumn="0" w:lastRowFirstColumn="0" w:lastRowLastColumn="0"/>
              <w:rPr>
                <w:rFonts w:cs="Calibri"/>
                <w:b w:val="0"/>
                <w:bCs w:val="0"/>
                <w:color w:val="FFFFFF" w:themeColor="background1"/>
                <w:lang w:val="hy-AM"/>
              </w:rPr>
            </w:pPr>
            <w:r w:rsidRPr="009940B4">
              <w:rPr>
                <w:rFonts w:cs="Calibri"/>
                <w:b w:val="0"/>
                <w:bCs w:val="0"/>
                <w:color w:val="FFFFFF" w:themeColor="background1"/>
              </w:rPr>
              <w:t>2022</w:t>
            </w:r>
          </w:p>
        </w:tc>
        <w:tc>
          <w:tcPr>
            <w:tcW w:w="990" w:type="dxa"/>
          </w:tcPr>
          <w:p w14:paraId="58541EAA" w14:textId="77777777" w:rsidR="009940B4" w:rsidRPr="009940B4" w:rsidRDefault="009940B4" w:rsidP="009940B4">
            <w:pPr>
              <w:spacing w:line="276" w:lineRule="auto"/>
              <w:ind w:firstLine="0"/>
              <w:cnfStyle w:val="100000000000" w:firstRow="1" w:lastRow="0" w:firstColumn="0" w:lastColumn="0" w:oddVBand="0" w:evenVBand="0" w:oddHBand="0" w:evenHBand="0" w:firstRowFirstColumn="0" w:firstRowLastColumn="0" w:lastRowFirstColumn="0" w:lastRowLastColumn="0"/>
              <w:rPr>
                <w:rFonts w:cs="Calibri"/>
                <w:b w:val="0"/>
                <w:bCs w:val="0"/>
                <w:color w:val="FFFFFF" w:themeColor="background1"/>
                <w:lang w:val="hy-AM"/>
              </w:rPr>
            </w:pPr>
            <w:r w:rsidRPr="009940B4">
              <w:rPr>
                <w:rFonts w:cs="Calibri"/>
                <w:b w:val="0"/>
                <w:bCs w:val="0"/>
                <w:color w:val="FFFFFF" w:themeColor="background1"/>
              </w:rPr>
              <w:t>2023</w:t>
            </w:r>
          </w:p>
        </w:tc>
        <w:tc>
          <w:tcPr>
            <w:tcW w:w="984" w:type="dxa"/>
          </w:tcPr>
          <w:p w14:paraId="2E293D6B" w14:textId="77777777" w:rsidR="009940B4" w:rsidRPr="009940B4" w:rsidRDefault="009940B4" w:rsidP="009940B4">
            <w:pPr>
              <w:spacing w:line="276" w:lineRule="auto"/>
              <w:ind w:firstLine="0"/>
              <w:cnfStyle w:val="100000000000" w:firstRow="1" w:lastRow="0" w:firstColumn="0" w:lastColumn="0" w:oddVBand="0" w:evenVBand="0" w:oddHBand="0" w:evenHBand="0" w:firstRowFirstColumn="0" w:firstRowLastColumn="0" w:lastRowFirstColumn="0" w:lastRowLastColumn="0"/>
              <w:rPr>
                <w:rFonts w:cs="Calibri"/>
                <w:b w:val="0"/>
                <w:bCs w:val="0"/>
                <w:color w:val="FFFFFF" w:themeColor="background1"/>
                <w:lang w:val="hy-AM"/>
              </w:rPr>
            </w:pPr>
            <w:r w:rsidRPr="009940B4">
              <w:rPr>
                <w:rFonts w:cs="Calibri"/>
                <w:b w:val="0"/>
                <w:bCs w:val="0"/>
                <w:color w:val="FFFFFF" w:themeColor="background1"/>
              </w:rPr>
              <w:t>2024</w:t>
            </w:r>
          </w:p>
        </w:tc>
      </w:tr>
      <w:tr w:rsidR="009940B4" w:rsidRPr="00681C73" w14:paraId="2103E13D" w14:textId="77777777" w:rsidTr="009940B4">
        <w:trPr>
          <w:trHeight w:val="269"/>
        </w:trPr>
        <w:tc>
          <w:tcPr>
            <w:cnfStyle w:val="001000000000" w:firstRow="0" w:lastRow="0" w:firstColumn="1" w:lastColumn="0" w:oddVBand="0" w:evenVBand="0" w:oddHBand="0" w:evenHBand="0" w:firstRowFirstColumn="0" w:firstRowLastColumn="0" w:lastRowFirstColumn="0" w:lastRowLastColumn="0"/>
            <w:tcW w:w="5688" w:type="dxa"/>
            <w:shd w:val="clear" w:color="auto" w:fill="DBE5F1" w:themeFill="accent1" w:themeFillTint="33"/>
            <w:noWrap/>
          </w:tcPr>
          <w:p w14:paraId="71E6D36D" w14:textId="77777777" w:rsidR="009940B4" w:rsidRPr="001E5E48" w:rsidRDefault="009940B4" w:rsidP="009940B4">
            <w:pPr>
              <w:spacing w:line="276" w:lineRule="auto"/>
              <w:ind w:firstLine="0"/>
              <w:rPr>
                <w:rFonts w:cs="Calibri"/>
                <w:color w:val="C00000"/>
              </w:rPr>
            </w:pPr>
            <w:r w:rsidRPr="00C81DBB">
              <w:rPr>
                <w:rFonts w:cs="Calibri"/>
                <w:lang w:val="hy-AM"/>
              </w:rPr>
              <w:t>ՀՀ ֆինանսների նախարարություն</w:t>
            </w:r>
            <w:r w:rsidRPr="00C81DBB">
              <w:rPr>
                <w:rFonts w:cs="Calibri"/>
              </w:rPr>
              <w:t xml:space="preserve"> (2021 </w:t>
            </w:r>
            <w:r>
              <w:rPr>
                <w:rFonts w:cs="Calibri"/>
              </w:rPr>
              <w:t>հուլիս</w:t>
            </w:r>
            <w:r w:rsidRPr="00C81DBB">
              <w:rPr>
                <w:rFonts w:cs="Calibri"/>
              </w:rPr>
              <w:t>)</w:t>
            </w:r>
          </w:p>
        </w:tc>
        <w:tc>
          <w:tcPr>
            <w:tcW w:w="1170" w:type="dxa"/>
            <w:shd w:val="clear" w:color="auto" w:fill="DBE5F1" w:themeFill="accent1" w:themeFillTint="33"/>
            <w:noWrap/>
            <w:vAlign w:val="center"/>
          </w:tcPr>
          <w:p w14:paraId="3F49DDEE" w14:textId="77777777" w:rsidR="009940B4" w:rsidRPr="00C81DBB"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lang w:val="hy-AM" w:eastAsia="ru-RU"/>
              </w:rPr>
            </w:pPr>
            <w:r>
              <w:rPr>
                <w:rFonts w:cs="Calibri"/>
              </w:rPr>
              <w:t>6.0</w:t>
            </w:r>
          </w:p>
        </w:tc>
        <w:tc>
          <w:tcPr>
            <w:tcW w:w="1170" w:type="dxa"/>
            <w:shd w:val="clear" w:color="auto" w:fill="DBE5F1" w:themeFill="accent1" w:themeFillTint="33"/>
            <w:noWrap/>
            <w:vAlign w:val="center"/>
          </w:tcPr>
          <w:p w14:paraId="0FD3CB81" w14:textId="77777777" w:rsidR="009940B4" w:rsidRPr="00C81DBB"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lang w:val="hy-AM" w:eastAsia="ru-RU"/>
              </w:rPr>
            </w:pPr>
            <w:r>
              <w:rPr>
                <w:rFonts w:cs="Calibri"/>
              </w:rPr>
              <w:t>5.2</w:t>
            </w:r>
          </w:p>
        </w:tc>
        <w:tc>
          <w:tcPr>
            <w:tcW w:w="990" w:type="dxa"/>
            <w:shd w:val="clear" w:color="auto" w:fill="DBE5F1" w:themeFill="accent1" w:themeFillTint="33"/>
            <w:vAlign w:val="center"/>
          </w:tcPr>
          <w:p w14:paraId="4B32D7BF" w14:textId="77777777" w:rsidR="009940B4" w:rsidRPr="00C81DBB"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lang w:val="hy-AM" w:eastAsia="ru-RU"/>
              </w:rPr>
            </w:pPr>
            <w:r>
              <w:rPr>
                <w:rFonts w:cs="Calibri"/>
              </w:rPr>
              <w:t>3.7</w:t>
            </w:r>
          </w:p>
        </w:tc>
        <w:tc>
          <w:tcPr>
            <w:tcW w:w="984" w:type="dxa"/>
            <w:shd w:val="clear" w:color="auto" w:fill="DBE5F1" w:themeFill="accent1" w:themeFillTint="33"/>
            <w:vAlign w:val="center"/>
          </w:tcPr>
          <w:p w14:paraId="788BA9F4" w14:textId="77777777" w:rsidR="009940B4" w:rsidRPr="00C81DBB"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lang w:val="hy-AM" w:eastAsia="ru-RU"/>
              </w:rPr>
            </w:pPr>
            <w:r>
              <w:rPr>
                <w:rFonts w:cs="Calibri"/>
              </w:rPr>
              <w:t>4.0</w:t>
            </w:r>
          </w:p>
        </w:tc>
      </w:tr>
      <w:tr w:rsidR="009940B4" w:rsidRPr="00681C73" w14:paraId="3EE31FF0" w14:textId="77777777" w:rsidTr="00311D12">
        <w:trPr>
          <w:trHeight w:val="351"/>
        </w:trPr>
        <w:tc>
          <w:tcPr>
            <w:cnfStyle w:val="001000000000" w:firstRow="0" w:lastRow="0" w:firstColumn="1" w:lastColumn="0" w:oddVBand="0" w:evenVBand="0" w:oddHBand="0" w:evenHBand="0" w:firstRowFirstColumn="0" w:firstRowLastColumn="0" w:lastRowFirstColumn="0" w:lastRowLastColumn="0"/>
            <w:tcW w:w="5688" w:type="dxa"/>
          </w:tcPr>
          <w:p w14:paraId="2CE4B4B5" w14:textId="77777777" w:rsidR="009940B4" w:rsidRPr="001E5E48" w:rsidRDefault="009940B4" w:rsidP="009940B4">
            <w:pPr>
              <w:spacing w:line="276" w:lineRule="auto"/>
              <w:ind w:firstLine="0"/>
              <w:rPr>
                <w:rFonts w:cs="Calibri"/>
                <w:color w:val="000000"/>
                <w:lang w:val="hy-AM"/>
              </w:rPr>
            </w:pPr>
            <w:r w:rsidRPr="001E5E48">
              <w:rPr>
                <w:rFonts w:cs="Calibri"/>
                <w:color w:val="000000"/>
                <w:lang w:val="hy-AM"/>
              </w:rPr>
              <w:t xml:space="preserve">ՀՀ կենտրոնական բանկ (2021թ.  </w:t>
            </w:r>
            <w:r>
              <w:rPr>
                <w:rFonts w:cs="Calibri"/>
                <w:color w:val="000000"/>
              </w:rPr>
              <w:t>հունիս</w:t>
            </w:r>
            <w:r w:rsidRPr="001E5E48">
              <w:rPr>
                <w:rFonts w:cs="Calibri"/>
                <w:color w:val="000000"/>
                <w:lang w:val="hy-AM"/>
              </w:rPr>
              <w:t>)</w:t>
            </w:r>
          </w:p>
        </w:tc>
        <w:tc>
          <w:tcPr>
            <w:tcW w:w="1170" w:type="dxa"/>
            <w:noWrap/>
            <w:vAlign w:val="center"/>
          </w:tcPr>
          <w:p w14:paraId="5CF54B89"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val="hy-AM" w:eastAsia="ru-RU"/>
              </w:rPr>
            </w:pPr>
            <w:r>
              <w:rPr>
                <w:rFonts w:cs="Calibri"/>
                <w:color w:val="000000"/>
              </w:rPr>
              <w:t>4.6</w:t>
            </w:r>
          </w:p>
        </w:tc>
        <w:tc>
          <w:tcPr>
            <w:tcW w:w="1170" w:type="dxa"/>
            <w:noWrap/>
            <w:vAlign w:val="center"/>
          </w:tcPr>
          <w:p w14:paraId="495FA10F"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val="hy-AM" w:eastAsia="ru-RU"/>
              </w:rPr>
            </w:pPr>
            <w:r>
              <w:rPr>
                <w:rFonts w:cs="Calibri"/>
                <w:color w:val="000000"/>
              </w:rPr>
              <w:t>2.8</w:t>
            </w:r>
          </w:p>
        </w:tc>
        <w:tc>
          <w:tcPr>
            <w:tcW w:w="990" w:type="dxa"/>
            <w:vAlign w:val="center"/>
          </w:tcPr>
          <w:p w14:paraId="74B29191"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val="hy-AM" w:eastAsia="ru-RU"/>
              </w:rPr>
            </w:pPr>
            <w:r>
              <w:rPr>
                <w:rFonts w:cs="Calibri"/>
                <w:color w:val="000000"/>
              </w:rPr>
              <w:t>3.8</w:t>
            </w:r>
          </w:p>
        </w:tc>
        <w:tc>
          <w:tcPr>
            <w:tcW w:w="984" w:type="dxa"/>
            <w:vAlign w:val="center"/>
          </w:tcPr>
          <w:p w14:paraId="01874EB5" w14:textId="77777777" w:rsidR="009940B4" w:rsidRPr="00C81DBB"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eastAsia="ru-RU"/>
              </w:rPr>
            </w:pPr>
            <w:r>
              <w:rPr>
                <w:rFonts w:cs="Calibri"/>
                <w:color w:val="000000"/>
              </w:rPr>
              <w:t>-</w:t>
            </w:r>
          </w:p>
        </w:tc>
      </w:tr>
      <w:tr w:rsidR="009940B4" w:rsidRPr="00681C73" w14:paraId="17830D34" w14:textId="77777777" w:rsidTr="009940B4">
        <w:trPr>
          <w:trHeight w:val="269"/>
        </w:trPr>
        <w:tc>
          <w:tcPr>
            <w:cnfStyle w:val="001000000000" w:firstRow="0" w:lastRow="0" w:firstColumn="1" w:lastColumn="0" w:oddVBand="0" w:evenVBand="0" w:oddHBand="0" w:evenHBand="0" w:firstRowFirstColumn="0" w:firstRowLastColumn="0" w:lastRowFirstColumn="0" w:lastRowLastColumn="0"/>
            <w:tcW w:w="5688" w:type="dxa"/>
            <w:shd w:val="clear" w:color="auto" w:fill="DBE5F1" w:themeFill="accent1" w:themeFillTint="33"/>
            <w:noWrap/>
            <w:hideMark/>
          </w:tcPr>
          <w:p w14:paraId="2A4D1E25" w14:textId="77777777" w:rsidR="009940B4" w:rsidRPr="001E5E48" w:rsidRDefault="009940B4" w:rsidP="009940B4">
            <w:pPr>
              <w:spacing w:line="276" w:lineRule="auto"/>
              <w:ind w:firstLine="0"/>
              <w:rPr>
                <w:rFonts w:cs="Calibri"/>
                <w:b w:val="0"/>
                <w:bCs w:val="0"/>
                <w:color w:val="000000"/>
                <w:lang w:val="hy-AM" w:eastAsia="ru-RU"/>
              </w:rPr>
            </w:pPr>
            <w:r w:rsidRPr="001E5E48">
              <w:rPr>
                <w:rFonts w:cs="Calibri"/>
                <w:color w:val="000000"/>
                <w:lang w:val="hy-AM"/>
              </w:rPr>
              <w:t>Արժույթի միջազգային հիմնադրամ (2021 ապրիլ)</w:t>
            </w:r>
          </w:p>
        </w:tc>
        <w:tc>
          <w:tcPr>
            <w:tcW w:w="1170" w:type="dxa"/>
            <w:shd w:val="clear" w:color="auto" w:fill="DBE5F1" w:themeFill="accent1" w:themeFillTint="33"/>
            <w:noWrap/>
            <w:vAlign w:val="center"/>
            <w:hideMark/>
          </w:tcPr>
          <w:p w14:paraId="6B8A3C38"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val="hy-AM" w:eastAsia="ru-RU"/>
              </w:rPr>
            </w:pPr>
            <w:r w:rsidRPr="001E5E48">
              <w:rPr>
                <w:rFonts w:cs="Calibri"/>
                <w:color w:val="000000"/>
                <w:lang w:val="hy-AM"/>
              </w:rPr>
              <w:t>1.0</w:t>
            </w:r>
          </w:p>
        </w:tc>
        <w:tc>
          <w:tcPr>
            <w:tcW w:w="1170" w:type="dxa"/>
            <w:shd w:val="clear" w:color="auto" w:fill="DBE5F1" w:themeFill="accent1" w:themeFillTint="33"/>
            <w:noWrap/>
            <w:vAlign w:val="center"/>
            <w:hideMark/>
          </w:tcPr>
          <w:p w14:paraId="313514D3"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eastAsia="ru-RU"/>
              </w:rPr>
            </w:pPr>
            <w:r>
              <w:rPr>
                <w:rFonts w:cs="Calibri"/>
                <w:color w:val="000000"/>
              </w:rPr>
              <w:t>3.5</w:t>
            </w:r>
          </w:p>
        </w:tc>
        <w:tc>
          <w:tcPr>
            <w:tcW w:w="990" w:type="dxa"/>
            <w:shd w:val="clear" w:color="auto" w:fill="DBE5F1" w:themeFill="accent1" w:themeFillTint="33"/>
            <w:vAlign w:val="center"/>
          </w:tcPr>
          <w:p w14:paraId="5C6CAC75"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eastAsia="ru-RU"/>
              </w:rPr>
            </w:pPr>
            <w:r>
              <w:rPr>
                <w:rFonts w:cs="Calibri"/>
                <w:color w:val="000000"/>
              </w:rPr>
              <w:t>5.2</w:t>
            </w:r>
          </w:p>
        </w:tc>
        <w:tc>
          <w:tcPr>
            <w:tcW w:w="984" w:type="dxa"/>
            <w:shd w:val="clear" w:color="auto" w:fill="DBE5F1" w:themeFill="accent1" w:themeFillTint="33"/>
            <w:vAlign w:val="center"/>
          </w:tcPr>
          <w:p w14:paraId="5020DB1F"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eastAsia="ru-RU"/>
              </w:rPr>
            </w:pPr>
            <w:r>
              <w:rPr>
                <w:rFonts w:cs="Calibri"/>
                <w:color w:val="000000"/>
              </w:rPr>
              <w:t>4.7</w:t>
            </w:r>
          </w:p>
        </w:tc>
      </w:tr>
      <w:tr w:rsidR="009940B4" w:rsidRPr="00681C73" w14:paraId="399D8715" w14:textId="77777777" w:rsidTr="00311D12">
        <w:trPr>
          <w:trHeight w:val="251"/>
        </w:trPr>
        <w:tc>
          <w:tcPr>
            <w:cnfStyle w:val="001000000000" w:firstRow="0" w:lastRow="0" w:firstColumn="1" w:lastColumn="0" w:oddVBand="0" w:evenVBand="0" w:oddHBand="0" w:evenHBand="0" w:firstRowFirstColumn="0" w:firstRowLastColumn="0" w:lastRowFirstColumn="0" w:lastRowLastColumn="0"/>
            <w:tcW w:w="5688" w:type="dxa"/>
            <w:noWrap/>
            <w:hideMark/>
          </w:tcPr>
          <w:p w14:paraId="199E4EAC" w14:textId="77777777" w:rsidR="009940B4" w:rsidRPr="001E5E48" w:rsidRDefault="009940B4" w:rsidP="009940B4">
            <w:pPr>
              <w:spacing w:line="276" w:lineRule="auto"/>
              <w:ind w:firstLine="0"/>
              <w:rPr>
                <w:rFonts w:cs="Calibri"/>
                <w:b w:val="0"/>
                <w:bCs w:val="0"/>
                <w:color w:val="000000"/>
                <w:lang w:val="hy-AM" w:eastAsia="ru-RU"/>
              </w:rPr>
            </w:pPr>
            <w:r w:rsidRPr="001E5E48">
              <w:rPr>
                <w:rFonts w:cs="Calibri"/>
                <w:color w:val="000000"/>
                <w:lang w:val="hy-AM"/>
              </w:rPr>
              <w:t>Համաշխարհային բանկ (2021</w:t>
            </w:r>
            <w:r>
              <w:rPr>
                <w:rFonts w:cs="Calibri"/>
                <w:color w:val="000000"/>
                <w:lang w:val="hy-AM"/>
              </w:rPr>
              <w:t xml:space="preserve"> </w:t>
            </w:r>
            <w:r>
              <w:rPr>
                <w:rFonts w:cs="Calibri"/>
                <w:color w:val="000000"/>
              </w:rPr>
              <w:t>հունիս</w:t>
            </w:r>
            <w:r w:rsidRPr="001E5E48">
              <w:rPr>
                <w:rFonts w:cs="Calibri"/>
                <w:color w:val="000000"/>
                <w:lang w:val="hy-AM"/>
              </w:rPr>
              <w:t>)</w:t>
            </w:r>
          </w:p>
        </w:tc>
        <w:tc>
          <w:tcPr>
            <w:tcW w:w="1170" w:type="dxa"/>
            <w:noWrap/>
            <w:vAlign w:val="center"/>
            <w:hideMark/>
          </w:tcPr>
          <w:p w14:paraId="693CDA99"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val="hy-AM" w:eastAsia="ru-RU"/>
              </w:rPr>
            </w:pPr>
            <w:r w:rsidRPr="001E5E48">
              <w:rPr>
                <w:rFonts w:cs="Calibri"/>
                <w:color w:val="000000"/>
                <w:lang w:val="hy-AM"/>
              </w:rPr>
              <w:t>3.4</w:t>
            </w:r>
          </w:p>
        </w:tc>
        <w:tc>
          <w:tcPr>
            <w:tcW w:w="1170" w:type="dxa"/>
            <w:noWrap/>
            <w:vAlign w:val="center"/>
            <w:hideMark/>
          </w:tcPr>
          <w:p w14:paraId="5E9B0FAC"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val="hy-AM" w:eastAsia="ru-RU"/>
              </w:rPr>
            </w:pPr>
            <w:r w:rsidRPr="001E5E48">
              <w:rPr>
                <w:rFonts w:cs="Calibri"/>
                <w:color w:val="000000"/>
                <w:lang w:val="hy-AM"/>
              </w:rPr>
              <w:t>4.3</w:t>
            </w:r>
          </w:p>
        </w:tc>
        <w:tc>
          <w:tcPr>
            <w:tcW w:w="990" w:type="dxa"/>
            <w:vAlign w:val="center"/>
          </w:tcPr>
          <w:p w14:paraId="7DB52F7E" w14:textId="77777777" w:rsidR="009940B4" w:rsidRPr="007F488F"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rPr>
            </w:pPr>
            <w:r>
              <w:rPr>
                <w:rFonts w:cs="Calibri"/>
                <w:color w:val="000000"/>
              </w:rPr>
              <w:t>5.3</w:t>
            </w:r>
          </w:p>
        </w:tc>
        <w:tc>
          <w:tcPr>
            <w:tcW w:w="984" w:type="dxa"/>
            <w:vAlign w:val="center"/>
          </w:tcPr>
          <w:p w14:paraId="2AEBF833" w14:textId="77777777" w:rsidR="009940B4" w:rsidRPr="001E5E48"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color w:val="000000"/>
                <w:lang w:val="hy-AM"/>
              </w:rPr>
            </w:pPr>
          </w:p>
        </w:tc>
      </w:tr>
      <w:tr w:rsidR="009940B4" w:rsidRPr="001E5E48" w14:paraId="4BFC481E" w14:textId="77777777" w:rsidTr="009940B4">
        <w:trPr>
          <w:trHeight w:val="260"/>
        </w:trPr>
        <w:tc>
          <w:tcPr>
            <w:cnfStyle w:val="001000000000" w:firstRow="0" w:lastRow="0" w:firstColumn="1" w:lastColumn="0" w:oddVBand="0" w:evenVBand="0" w:oddHBand="0" w:evenHBand="0" w:firstRowFirstColumn="0" w:firstRowLastColumn="0" w:lastRowFirstColumn="0" w:lastRowLastColumn="0"/>
            <w:tcW w:w="5688" w:type="dxa"/>
            <w:shd w:val="clear" w:color="auto" w:fill="DBE5F1" w:themeFill="accent1" w:themeFillTint="33"/>
            <w:noWrap/>
            <w:hideMark/>
          </w:tcPr>
          <w:p w14:paraId="6B540033" w14:textId="77777777" w:rsidR="009940B4" w:rsidRPr="00C21281" w:rsidRDefault="009940B4" w:rsidP="009940B4">
            <w:pPr>
              <w:spacing w:line="276" w:lineRule="auto"/>
              <w:ind w:firstLine="0"/>
              <w:rPr>
                <w:rFonts w:cs="Calibri"/>
                <w:lang w:val="hy-AM"/>
              </w:rPr>
            </w:pPr>
            <w:r w:rsidRPr="00C21281">
              <w:rPr>
                <w:rFonts w:cs="Calibri"/>
                <w:lang w:val="hy-AM"/>
              </w:rPr>
              <w:t>Ֆիթչ (202</w:t>
            </w:r>
            <w:r>
              <w:rPr>
                <w:rFonts w:cs="Calibri"/>
              </w:rPr>
              <w:t>1</w:t>
            </w:r>
            <w:r w:rsidRPr="00C21281">
              <w:rPr>
                <w:rFonts w:cs="Calibri"/>
                <w:lang w:val="hy-AM"/>
              </w:rPr>
              <w:t xml:space="preserve"> </w:t>
            </w:r>
            <w:r>
              <w:rPr>
                <w:rFonts w:cs="Calibri"/>
                <w:lang w:val="hy-AM"/>
              </w:rPr>
              <w:t>մարտ</w:t>
            </w:r>
            <w:r w:rsidRPr="00C21281">
              <w:rPr>
                <w:rFonts w:cs="Calibri"/>
                <w:lang w:val="hy-AM"/>
              </w:rPr>
              <w:t>)</w:t>
            </w:r>
          </w:p>
        </w:tc>
        <w:tc>
          <w:tcPr>
            <w:tcW w:w="1170" w:type="dxa"/>
            <w:shd w:val="clear" w:color="auto" w:fill="DBE5F1" w:themeFill="accent1" w:themeFillTint="33"/>
            <w:noWrap/>
            <w:vAlign w:val="center"/>
            <w:hideMark/>
          </w:tcPr>
          <w:p w14:paraId="1098A0FD" w14:textId="77777777" w:rsidR="009940B4" w:rsidRPr="00C21281"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lang w:val="hy-AM" w:eastAsia="ru-RU"/>
              </w:rPr>
            </w:pPr>
            <w:r w:rsidRPr="00C21281">
              <w:rPr>
                <w:rFonts w:cs="Calibri"/>
                <w:lang w:val="hy-AM"/>
              </w:rPr>
              <w:t>3.2</w:t>
            </w:r>
          </w:p>
        </w:tc>
        <w:tc>
          <w:tcPr>
            <w:tcW w:w="1170" w:type="dxa"/>
            <w:shd w:val="clear" w:color="auto" w:fill="DBE5F1" w:themeFill="accent1" w:themeFillTint="33"/>
            <w:noWrap/>
            <w:vAlign w:val="center"/>
            <w:hideMark/>
          </w:tcPr>
          <w:p w14:paraId="4A64B225" w14:textId="77777777" w:rsidR="009940B4" w:rsidRPr="00C21281"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lang w:val="hy-AM" w:eastAsia="ru-RU"/>
              </w:rPr>
            </w:pPr>
            <w:r w:rsidRPr="00C21281">
              <w:rPr>
                <w:rFonts w:cs="Calibri"/>
                <w:lang w:val="hy-AM"/>
              </w:rPr>
              <w:t>4.0</w:t>
            </w:r>
          </w:p>
        </w:tc>
        <w:tc>
          <w:tcPr>
            <w:tcW w:w="990" w:type="dxa"/>
            <w:shd w:val="clear" w:color="auto" w:fill="DBE5F1" w:themeFill="accent1" w:themeFillTint="33"/>
            <w:vAlign w:val="center"/>
          </w:tcPr>
          <w:p w14:paraId="1413240A" w14:textId="77777777" w:rsidR="009940B4" w:rsidRPr="00C21281"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lang w:val="hy-AM" w:eastAsia="ru-RU"/>
              </w:rPr>
            </w:pPr>
            <w:r w:rsidRPr="00C21281">
              <w:rPr>
                <w:rFonts w:cs="Calibri"/>
                <w:lang w:val="hy-AM"/>
              </w:rPr>
              <w:t>-</w:t>
            </w:r>
          </w:p>
        </w:tc>
        <w:tc>
          <w:tcPr>
            <w:tcW w:w="984" w:type="dxa"/>
            <w:shd w:val="clear" w:color="auto" w:fill="DBE5F1" w:themeFill="accent1" w:themeFillTint="33"/>
            <w:vAlign w:val="center"/>
          </w:tcPr>
          <w:p w14:paraId="3D5A4B01" w14:textId="77777777" w:rsidR="009940B4" w:rsidRPr="00C21281" w:rsidRDefault="009940B4" w:rsidP="009940B4">
            <w:pPr>
              <w:spacing w:line="276" w:lineRule="auto"/>
              <w:ind w:firstLine="0"/>
              <w:cnfStyle w:val="000000000000" w:firstRow="0" w:lastRow="0" w:firstColumn="0" w:lastColumn="0" w:oddVBand="0" w:evenVBand="0" w:oddHBand="0" w:evenHBand="0" w:firstRowFirstColumn="0" w:firstRowLastColumn="0" w:lastRowFirstColumn="0" w:lastRowLastColumn="0"/>
              <w:rPr>
                <w:rFonts w:cs="Calibri"/>
                <w:lang w:val="hy-AM" w:eastAsia="ru-RU"/>
              </w:rPr>
            </w:pPr>
            <w:r w:rsidRPr="00C21281">
              <w:rPr>
                <w:rFonts w:cs="Calibri"/>
                <w:lang w:val="hy-AM"/>
              </w:rPr>
              <w:t>-</w:t>
            </w:r>
          </w:p>
        </w:tc>
      </w:tr>
    </w:tbl>
    <w:p w14:paraId="2867902D" w14:textId="77777777" w:rsidR="009940B4" w:rsidRPr="00681C73" w:rsidRDefault="009940B4" w:rsidP="0027114B">
      <w:pPr>
        <w:pStyle w:val="afd"/>
      </w:pPr>
      <w:r w:rsidRPr="00681C73">
        <w:t>Աղբյուրը՝ համապատասխա</w:t>
      </w:r>
      <w:r>
        <w:t>ն</w:t>
      </w:r>
      <w:r w:rsidRPr="00681C73">
        <w:t xml:space="preserve"> կառույցների հրապարակումներ</w:t>
      </w:r>
    </w:p>
    <w:p w14:paraId="2812C9B1" w14:textId="77777777" w:rsidR="009940B4" w:rsidRPr="00681C73" w:rsidRDefault="009940B4" w:rsidP="0027114B">
      <w:pPr>
        <w:pStyle w:val="afd"/>
      </w:pPr>
      <w:r w:rsidRPr="00681C73">
        <w:t xml:space="preserve"> </w:t>
      </w:r>
      <w:r w:rsidRPr="00681C73">
        <w:tab/>
        <w:t>«-» տվյալները հասանելի չեն</w:t>
      </w:r>
    </w:p>
    <w:p w14:paraId="73D05FBE" w14:textId="77777777" w:rsidR="009940B4" w:rsidRPr="00681C73" w:rsidRDefault="009940B4" w:rsidP="0027114B">
      <w:pPr>
        <w:pStyle w:val="afd"/>
      </w:pPr>
    </w:p>
    <w:p w14:paraId="1BF5F110" w14:textId="77777777" w:rsidR="00252566" w:rsidRDefault="00252566">
      <w:pPr>
        <w:spacing w:before="0" w:after="0" w:line="240" w:lineRule="auto"/>
        <w:ind w:firstLine="0"/>
        <w:jc w:val="left"/>
        <w:rPr>
          <w:b/>
          <w:bCs/>
          <w:color w:val="1F497D"/>
          <w:sz w:val="28"/>
          <w:szCs w:val="28"/>
          <w:lang w:val="af-ZA"/>
        </w:rPr>
      </w:pPr>
      <w:r>
        <w:rPr>
          <w:b/>
          <w:bCs/>
          <w:color w:val="1F497D"/>
          <w:sz w:val="28"/>
          <w:szCs w:val="28"/>
          <w:lang w:val="af-ZA"/>
        </w:rPr>
        <w:br w:type="page"/>
      </w:r>
    </w:p>
    <w:p w14:paraId="452DC229" w14:textId="77777777" w:rsidR="00DA0E15" w:rsidRDefault="00362131">
      <w:pPr>
        <w:pStyle w:val="Heading3"/>
        <w:spacing w:before="0" w:after="120"/>
        <w:rPr>
          <w:rFonts w:eastAsia="Times New Roman" w:cs="Times New Roman"/>
          <w:caps w:val="0"/>
          <w:color w:val="1F497D" w:themeColor="text2"/>
          <w:sz w:val="28"/>
          <w:szCs w:val="28"/>
        </w:rPr>
      </w:pPr>
      <w:bookmarkStart w:id="681" w:name="_Toc14687615"/>
      <w:bookmarkStart w:id="682" w:name="_Toc13837279"/>
      <w:bookmarkStart w:id="683" w:name="_Toc45838560"/>
      <w:bookmarkStart w:id="684" w:name="_Toc77837910"/>
      <w:bookmarkStart w:id="685" w:name="_Toc14684188"/>
      <w:bookmarkStart w:id="686" w:name="_Toc13837390"/>
      <w:bookmarkStart w:id="687" w:name="_Toc500177756"/>
      <w:bookmarkStart w:id="688" w:name="_Toc45838559"/>
      <w:r>
        <w:rPr>
          <w:rFonts w:eastAsia="Times New Roman" w:cs="Times New Roman"/>
          <w:caps w:val="0"/>
          <w:color w:val="1F497D" w:themeColor="text2"/>
          <w:sz w:val="28"/>
          <w:szCs w:val="28"/>
        </w:rPr>
        <w:t>3. ՊԵՏԱԿԱՆ ԲՅՈՒՋԵԻ ՎՐԱ ՄԱԿՐՈՏՆՏԵՍԱԿԱՆ ԿԱՆԽԱՏԵՍՎԱԾ ՑՈՒՑԱՆԻՇՆԵՐԻՑ ՇԵՂՄԱՆ ՌԻՍԿԵՐԻ ԱԶԴԵՑՈՒԹՅԱՆ ՔԱՆԱԿԱԿԱՆ ԳՆԱՀԱՏՈՒՄ</w:t>
      </w:r>
      <w:bookmarkEnd w:id="681"/>
      <w:bookmarkEnd w:id="682"/>
      <w:bookmarkEnd w:id="683"/>
      <w:bookmarkEnd w:id="684"/>
    </w:p>
    <w:p w14:paraId="077E8673" w14:textId="77777777" w:rsidR="00DA0E15" w:rsidRDefault="00362131">
      <w:pPr>
        <w:pStyle w:val="BodyText2"/>
        <w:spacing w:line="276" w:lineRule="auto"/>
        <w:ind w:firstLine="0"/>
        <w:rPr>
          <w:b/>
          <w:color w:val="1F497D" w:themeColor="text2"/>
          <w:sz w:val="24"/>
          <w:szCs w:val="24"/>
          <w:lang w:val="hy-AM"/>
        </w:rPr>
      </w:pPr>
      <w:bookmarkStart w:id="689" w:name="_Toc14687616"/>
      <w:bookmarkStart w:id="690" w:name="_Toc13837280"/>
      <w:r>
        <w:rPr>
          <w:b/>
          <w:color w:val="1F497D" w:themeColor="text2"/>
          <w:sz w:val="24"/>
          <w:szCs w:val="24"/>
          <w:lang w:val="es-ES"/>
        </w:rPr>
        <w:t>3</w:t>
      </w:r>
      <w:r>
        <w:rPr>
          <w:b/>
          <w:color w:val="1F497D" w:themeColor="text2"/>
          <w:sz w:val="24"/>
          <w:szCs w:val="24"/>
          <w:lang w:val="hy-AM"/>
        </w:rPr>
        <w:t>.1. 202</w:t>
      </w:r>
      <w:r w:rsidR="00AF5737" w:rsidRPr="00252566">
        <w:rPr>
          <w:b/>
          <w:color w:val="1F497D" w:themeColor="text2"/>
          <w:sz w:val="24"/>
          <w:szCs w:val="24"/>
          <w:lang w:val="hy-AM"/>
        </w:rPr>
        <w:t>2</w:t>
      </w:r>
      <w:r>
        <w:rPr>
          <w:b/>
          <w:color w:val="1F497D" w:themeColor="text2"/>
          <w:sz w:val="24"/>
          <w:szCs w:val="24"/>
          <w:lang w:val="hy-AM"/>
        </w:rPr>
        <w:t>-202</w:t>
      </w:r>
      <w:r w:rsidR="00AF5737" w:rsidRPr="00252566">
        <w:rPr>
          <w:b/>
          <w:color w:val="1F497D" w:themeColor="text2"/>
          <w:sz w:val="24"/>
          <w:szCs w:val="24"/>
          <w:lang w:val="hy-AM"/>
        </w:rPr>
        <w:t>4</w:t>
      </w:r>
      <w:r>
        <w:rPr>
          <w:b/>
          <w:color w:val="1F497D" w:themeColor="text2"/>
          <w:sz w:val="24"/>
          <w:szCs w:val="24"/>
          <w:lang w:val="hy-AM"/>
        </w:rPr>
        <w:t xml:space="preserve"> թվականներին ՄԺԾԾ հարկային եկամուտների վրա մակրոտնտեսական ցուցանիշների կանխատեսվածից շեղման ռիսկերի ազդեցության քանակական գնահատումը</w:t>
      </w:r>
    </w:p>
    <w:p w14:paraId="1BF89E4E" w14:textId="77777777" w:rsidR="00AF5737" w:rsidRPr="00FA1DE2" w:rsidRDefault="00AF5737" w:rsidP="00AF5737">
      <w:pPr>
        <w:spacing w:after="120" w:line="276" w:lineRule="auto"/>
        <w:ind w:firstLine="720"/>
        <w:rPr>
          <w:rFonts w:cs="Sylfaen"/>
          <w:lang w:val="hy-AM"/>
        </w:rPr>
      </w:pPr>
      <w:r w:rsidRPr="00FA1DE2">
        <w:rPr>
          <w:rFonts w:cs="Sylfaen"/>
          <w:lang w:val="hy-AM"/>
        </w:rPr>
        <w:t xml:space="preserve">Միջնաժամկետ հատվածում հարկային եկամուտների կանխատեսվող հոսքերի վրա մակրոտնտեսական բնույթի ռիսկերի ազդեցության քանակական գնահատումը հիմնվել է ստորև նկարագրված </w:t>
      </w:r>
      <w:r w:rsidRPr="00FA1DE2">
        <w:rPr>
          <w:rFonts w:cs="Sylfaen"/>
          <w:b/>
          <w:lang w:val="hy-AM"/>
        </w:rPr>
        <w:t>կանխատեսումների ռիսկի և</w:t>
      </w:r>
      <w:r w:rsidRPr="00FA1DE2">
        <w:rPr>
          <w:rFonts w:cs="Sylfaen"/>
          <w:lang w:val="hy-AM"/>
        </w:rPr>
        <w:t xml:space="preserve"> </w:t>
      </w:r>
      <w:r w:rsidRPr="00FA1DE2">
        <w:rPr>
          <w:rFonts w:cs="Sylfaen"/>
          <w:b/>
          <w:lang w:val="hy-AM"/>
        </w:rPr>
        <w:t>ենթադրություններից շեղումների ռիսկի</w:t>
      </w:r>
      <w:r w:rsidRPr="00FA1DE2">
        <w:rPr>
          <w:rFonts w:cs="Sylfaen"/>
          <w:lang w:val="hy-AM"/>
        </w:rPr>
        <w:t xml:space="preserve"> վրա:</w:t>
      </w:r>
    </w:p>
    <w:p w14:paraId="2BDDD67A" w14:textId="77777777" w:rsidR="00AF5737" w:rsidRPr="00FA1DE2" w:rsidRDefault="00AF5737" w:rsidP="00AF5737">
      <w:pPr>
        <w:spacing w:after="120" w:line="276" w:lineRule="auto"/>
        <w:ind w:firstLine="720"/>
        <w:rPr>
          <w:rFonts w:cs="Sylfaen"/>
          <w:b/>
          <w:lang w:val="hy-AM"/>
        </w:rPr>
      </w:pPr>
      <w:r w:rsidRPr="00FA1DE2">
        <w:rPr>
          <w:rFonts w:cs="Sylfaen"/>
          <w:b/>
          <w:lang w:val="hy-AM"/>
        </w:rPr>
        <w:t>1. Կանխատեսումների ռիսկ</w:t>
      </w:r>
    </w:p>
    <w:p w14:paraId="7879CC60" w14:textId="77777777" w:rsidR="00AF5737" w:rsidRPr="00FA1DE2" w:rsidRDefault="00AF5737" w:rsidP="00AF5737">
      <w:pPr>
        <w:spacing w:after="120" w:line="276" w:lineRule="auto"/>
        <w:ind w:firstLine="720"/>
        <w:rPr>
          <w:rFonts w:cs="Sylfaen"/>
          <w:lang w:val="hy-AM"/>
        </w:rPr>
      </w:pPr>
      <w:r w:rsidRPr="00FA1DE2">
        <w:rPr>
          <w:rFonts w:cs="Sylfaen"/>
          <w:lang w:val="hy-AM"/>
        </w:rPr>
        <w:t>Սովորաբար կանխատեսումներ իրականացնելիս ի հայտ են գալիս հանգամանքներ, որոնք կապված են լինում օգտագործվող կանխատեսման մոդելների տեղայնացումից և մասնավորեցումից, տնտեսության կառուցվածքային տեղաշարժերից</w:t>
      </w:r>
      <w:r w:rsidRPr="00FA1DE2">
        <w:rPr>
          <w:rStyle w:val="FootnoteReference"/>
          <w:rFonts w:cs="Sylfaen"/>
          <w:lang w:val="hy-AM"/>
        </w:rPr>
        <w:footnoteReference w:id="35"/>
      </w:r>
      <w:r w:rsidRPr="00FA1DE2">
        <w:rPr>
          <w:rFonts w:cs="Sylfaen"/>
          <w:lang w:val="hy-AM"/>
        </w:rPr>
        <w:t>, նոր երևույթներից (որի վերաբերյալ նախկինում տեղեկատվությունը բացակայել է) և այլն: Այս ռիսկերն ընդունված է անվանել կանխա</w:t>
      </w:r>
      <w:r w:rsidRPr="00FA1DE2">
        <w:rPr>
          <w:rFonts w:cs="Sylfaen"/>
          <w:lang w:val="hy-AM"/>
        </w:rPr>
        <w:softHyphen/>
        <w:t>տես</w:t>
      </w:r>
      <w:r w:rsidRPr="00FA1DE2">
        <w:rPr>
          <w:rFonts w:cs="Sylfaen"/>
          <w:lang w:val="hy-AM"/>
        </w:rPr>
        <w:softHyphen/>
        <w:t>ման ռիսկեր: ՄԺԾԾ տեսանկյունից կարևորվում է ՀՆԱ-ի կանխատեսման ռիսկի գնահատումը, քանի որ ՄԺԾԾ սցենարի սահուն իրականացումը կախված է տնտեսությունում ստեղծված անվանական ՀՆԱ-ի մեծությունից: ՀՆԱ-ի գծով կանխատեսումների ռիսկը գնահատվել է հետճգնաժամային տարիներին միջնաժամկետ ծախսերի ծրագրերի հիմքում դրվող ՀՆԱ-ի կանխատեսված ցուցա</w:t>
      </w:r>
      <w:r w:rsidRPr="00FA1DE2">
        <w:rPr>
          <w:rFonts w:cs="Sylfaen"/>
          <w:lang w:val="hy-AM"/>
        </w:rPr>
        <w:softHyphen/>
        <w:t xml:space="preserve">նիշների և ՀՆԱ-ի փաստացի ցուցանիշների միջև շեղման հիման վրա: </w:t>
      </w:r>
    </w:p>
    <w:p w14:paraId="73A278B5" w14:textId="77777777" w:rsidR="00AF5737" w:rsidRPr="00FA1DE2" w:rsidRDefault="00AF5737" w:rsidP="00AF5737">
      <w:pPr>
        <w:spacing w:after="120" w:line="276" w:lineRule="auto"/>
        <w:ind w:firstLine="720"/>
        <w:rPr>
          <w:rFonts w:cs="Sylfaen"/>
          <w:lang w:val="hy-AM"/>
        </w:rPr>
      </w:pPr>
      <w:r w:rsidRPr="00FA1DE2">
        <w:rPr>
          <w:rFonts w:cs="Sylfaen"/>
          <w:lang w:val="hy-AM"/>
        </w:rPr>
        <w:t>ՀՆԱ-ի միջնաժամկետ կանխատեսումներից փաստացիի շեղումները նախաճգնաժամային 2003-2008 թվականների համար եղել են 7.1-ից 9.0-ը տոկոսային կետ, իսկ հետճգնաժամային 2010-20</w:t>
      </w:r>
      <w:r>
        <w:rPr>
          <w:rFonts w:cs="Sylfaen"/>
          <w:lang w:val="hy-AM"/>
        </w:rPr>
        <w:t>19</w:t>
      </w:r>
      <w:r w:rsidRPr="00FA1DE2">
        <w:rPr>
          <w:rFonts w:cs="Sylfaen"/>
          <w:lang w:val="hy-AM"/>
        </w:rPr>
        <w:t xml:space="preserve"> թվականների համար՝ </w:t>
      </w:r>
      <w:r>
        <w:rPr>
          <w:rFonts w:cs="Sylfaen"/>
          <w:lang w:val="hy-AM"/>
        </w:rPr>
        <w:t>2</w:t>
      </w:r>
      <w:r w:rsidRPr="00FA1DE2">
        <w:rPr>
          <w:rFonts w:cs="Sylfaen"/>
          <w:lang w:val="hy-AM"/>
        </w:rPr>
        <w:t xml:space="preserve">.0-ից </w:t>
      </w:r>
      <w:r>
        <w:rPr>
          <w:rFonts w:cs="Sylfaen"/>
          <w:lang w:val="hy-AM"/>
        </w:rPr>
        <w:t>2.6</w:t>
      </w:r>
      <w:r w:rsidRPr="00FA1DE2">
        <w:rPr>
          <w:rFonts w:cs="Sylfaen"/>
          <w:lang w:val="hy-AM"/>
        </w:rPr>
        <w:t xml:space="preserve"> տոկոսային կետ: Այս պարագայում, հաշվի առնելով կանխատեսվածից ցածր ՀՆԱ-ի ձևավորման վերոնկարագրյալ ռիսկերի գերակշռությունը</w:t>
      </w:r>
      <w:r>
        <w:rPr>
          <w:rFonts w:cs="Sylfaen"/>
          <w:lang w:val="hy-AM"/>
        </w:rPr>
        <w:t>,</w:t>
      </w:r>
      <w:r w:rsidRPr="00FA1DE2">
        <w:rPr>
          <w:rFonts w:cs="Sylfaen"/>
          <w:lang w:val="hy-AM"/>
        </w:rPr>
        <w:t xml:space="preserve"> որպես ռիսկ է դիտարկվել ՀՆԱ-ի իրական</w:t>
      </w:r>
      <w:r>
        <w:rPr>
          <w:rFonts w:cs="Sylfaen"/>
          <w:lang w:val="hy-AM"/>
        </w:rPr>
        <w:t xml:space="preserve"> աճի</w:t>
      </w:r>
      <w:r w:rsidRPr="00FA1DE2">
        <w:rPr>
          <w:rFonts w:cs="Sylfaen"/>
          <w:lang w:val="hy-AM"/>
        </w:rPr>
        <w:t xml:space="preserve"> կանխատեսված</w:t>
      </w:r>
      <w:r>
        <w:rPr>
          <w:rFonts w:cs="Sylfaen"/>
          <w:lang w:val="hy-AM"/>
        </w:rPr>
        <w:t>ից 2</w:t>
      </w:r>
      <w:r w:rsidRPr="00FA1DE2">
        <w:rPr>
          <w:rFonts w:cs="Sylfaen"/>
          <w:lang w:val="hy-AM"/>
        </w:rPr>
        <w:t xml:space="preserve">.0 տոկոսային կետով ավելի ցածր </w:t>
      </w:r>
      <w:r>
        <w:rPr>
          <w:rFonts w:cs="Sylfaen"/>
          <w:lang w:val="hy-AM"/>
        </w:rPr>
        <w:t>ցուցանիշի</w:t>
      </w:r>
      <w:r w:rsidRPr="00FA1DE2">
        <w:rPr>
          <w:rFonts w:cs="Sylfaen"/>
          <w:lang w:val="hy-AM"/>
        </w:rPr>
        <w:t xml:space="preserve"> ձևավորումը 2022 թվականին, </w:t>
      </w:r>
      <w:r>
        <w:rPr>
          <w:rFonts w:cs="Sylfaen"/>
          <w:lang w:val="hy-AM"/>
        </w:rPr>
        <w:t>2.3</w:t>
      </w:r>
      <w:r w:rsidRPr="00FA1DE2">
        <w:rPr>
          <w:rFonts w:cs="Sylfaen"/>
          <w:lang w:val="hy-AM"/>
        </w:rPr>
        <w:t xml:space="preserve"> տոկոսային կետով ցածր՝ 2023 թվականին և </w:t>
      </w:r>
      <w:r>
        <w:rPr>
          <w:rFonts w:cs="Sylfaen"/>
          <w:lang w:val="hy-AM"/>
        </w:rPr>
        <w:t>2.6</w:t>
      </w:r>
      <w:r w:rsidRPr="00FA1DE2">
        <w:rPr>
          <w:rFonts w:cs="Sylfaen"/>
          <w:lang w:val="hy-AM"/>
        </w:rPr>
        <w:t xml:space="preserve"> տոկոսային կետով ցածր՝ 2024 թվականին:</w:t>
      </w:r>
    </w:p>
    <w:p w14:paraId="3AFD9F15" w14:textId="77777777" w:rsidR="00AF5737" w:rsidRPr="00FA1DE2" w:rsidRDefault="00AF5737" w:rsidP="00AF5737">
      <w:pPr>
        <w:spacing w:after="120" w:line="276" w:lineRule="auto"/>
        <w:ind w:firstLine="720"/>
        <w:rPr>
          <w:rFonts w:cs="Sylfaen"/>
          <w:lang w:val="hy-AM"/>
        </w:rPr>
      </w:pPr>
      <w:r w:rsidRPr="00FA1DE2">
        <w:rPr>
          <w:rFonts w:cs="Sylfaen"/>
          <w:lang w:val="hy-AM"/>
        </w:rPr>
        <w:t>Արդյունքում, ՀՆԱ նվազման ռիսկի ազդեցությունը հարկային եկամուտների վրա 2022, 2023 և 2024</w:t>
      </w:r>
      <w:r>
        <w:rPr>
          <w:rFonts w:cs="Sylfaen"/>
          <w:lang w:val="hy-AM"/>
        </w:rPr>
        <w:t xml:space="preserve"> </w:t>
      </w:r>
      <w:r w:rsidRPr="00FA1DE2">
        <w:rPr>
          <w:rFonts w:cs="Sylfaen"/>
          <w:lang w:val="hy-AM"/>
        </w:rPr>
        <w:t xml:space="preserve">թվականների համար գնահատվում է համապատասխանաբար </w:t>
      </w:r>
      <w:r>
        <w:rPr>
          <w:rFonts w:cs="Sylfaen"/>
          <w:lang w:val="hy-AM"/>
        </w:rPr>
        <w:t>11.3</w:t>
      </w:r>
      <w:r w:rsidRPr="00FA1DE2">
        <w:rPr>
          <w:rFonts w:cs="Sylfaen"/>
          <w:lang w:val="hy-AM"/>
        </w:rPr>
        <w:t xml:space="preserve">, </w:t>
      </w:r>
      <w:r>
        <w:rPr>
          <w:rFonts w:cs="Sylfaen"/>
          <w:lang w:val="hy-AM"/>
        </w:rPr>
        <w:t>14.6</w:t>
      </w:r>
      <w:r w:rsidRPr="00FA1DE2">
        <w:rPr>
          <w:rFonts w:cs="Sylfaen"/>
          <w:lang w:val="hy-AM"/>
        </w:rPr>
        <w:t xml:space="preserve"> և </w:t>
      </w:r>
      <w:r>
        <w:rPr>
          <w:rFonts w:cs="Sylfaen"/>
          <w:lang w:val="hy-AM"/>
        </w:rPr>
        <w:t>17.9</w:t>
      </w:r>
      <w:r w:rsidRPr="00FA1DE2">
        <w:rPr>
          <w:rFonts w:cs="Sylfaen"/>
          <w:lang w:val="hy-AM"/>
        </w:rPr>
        <w:t xml:space="preserve"> մլրդ ՀՀ դրամ ֆինանսական պահանջի ավելացման ուղղությամբ:</w:t>
      </w:r>
    </w:p>
    <w:p w14:paraId="2ECCAEB0" w14:textId="77777777" w:rsidR="00AF5737" w:rsidRPr="00FA1DE2" w:rsidRDefault="00AF5737" w:rsidP="00AF5737">
      <w:pPr>
        <w:spacing w:after="120" w:line="276" w:lineRule="auto"/>
        <w:ind w:firstLine="720"/>
        <w:rPr>
          <w:rFonts w:cs="Sylfaen"/>
          <w:b/>
          <w:lang w:val="hy-AM"/>
        </w:rPr>
      </w:pPr>
      <w:r w:rsidRPr="00FA1DE2">
        <w:rPr>
          <w:rFonts w:cs="Sylfaen"/>
          <w:b/>
          <w:lang w:val="hy-AM"/>
        </w:rPr>
        <w:t>2. Ենթադրություններից շեղումների ռիսկ</w:t>
      </w:r>
    </w:p>
    <w:p w14:paraId="7D566967" w14:textId="77777777" w:rsidR="00AF5737" w:rsidRPr="00FA1DE2" w:rsidRDefault="00AF5737" w:rsidP="00AF5737">
      <w:pPr>
        <w:spacing w:after="120" w:line="276" w:lineRule="auto"/>
        <w:ind w:firstLine="720"/>
        <w:rPr>
          <w:rFonts w:cs="Sylfaen"/>
          <w:lang w:val="hy-AM"/>
        </w:rPr>
      </w:pPr>
      <w:r w:rsidRPr="00FA1DE2">
        <w:rPr>
          <w:rFonts w:cs="Sylfaen"/>
          <w:lang w:val="hy-AM"/>
        </w:rPr>
        <w:t>ՄԺԾԾ հիմքում դրվող կանխատեսումները կառուցվում են որոշակի ենթադրու</w:t>
      </w:r>
      <w:r w:rsidRPr="00FA1DE2">
        <w:rPr>
          <w:rFonts w:cs="Sylfaen"/>
          <w:lang w:val="hy-AM"/>
        </w:rPr>
        <w:softHyphen/>
        <w:t>թյու</w:t>
      </w:r>
      <w:r w:rsidRPr="00FA1DE2">
        <w:rPr>
          <w:rFonts w:cs="Sylfaen"/>
          <w:lang w:val="hy-AM"/>
        </w:rPr>
        <w:softHyphen/>
        <w:t xml:space="preserve">նների հիման վրա, որոնք էլ իրենց հերթին կախված են արտաքին գործոններից (օրինակ, ներքին տնտեսության գնաճը` միջազգային շուկաների գների կանխատեսվող վարքագծից): Սակայն միշտ չէ, որ այդ ենթադրությունները կանխատեսվող հորիզոնում իրականություն են դառնում՝ կապված ՀՀ կառավարության և ՀՀ ԿԲ-ի կառավարման դաշտից դուրս ի հայտ եկող երևույթների հետ (օրինակ` նավթի համաշխարհային գների հնարավոր փոփոխությունները): </w:t>
      </w:r>
    </w:p>
    <w:p w14:paraId="7716A1F4" w14:textId="77777777" w:rsidR="00AF5737" w:rsidRPr="00FA1DE2" w:rsidRDefault="00AF5737" w:rsidP="00AF5737">
      <w:pPr>
        <w:spacing w:after="120" w:line="276" w:lineRule="auto"/>
        <w:ind w:firstLine="720"/>
        <w:rPr>
          <w:rFonts w:cs="Sylfaen"/>
          <w:lang w:val="hy-AM"/>
        </w:rPr>
      </w:pPr>
      <w:r w:rsidRPr="00FA1DE2">
        <w:rPr>
          <w:rFonts w:cs="Sylfaen"/>
          <w:lang w:val="hy-AM"/>
        </w:rPr>
        <w:t>Ենթադրություններից շեղումների ռիսկ է նաև ԵԱՏՄ անդամ պետությունների տնտեսական զարգացումները: Միաժամանակ, ՀՀ պետական բյուջեի հարկային եկամուտներում մաքսա</w:t>
      </w:r>
      <w:r w:rsidRPr="00FA1DE2">
        <w:rPr>
          <w:rFonts w:cs="Sylfaen"/>
          <w:lang w:val="hy-AM"/>
        </w:rPr>
        <w:softHyphen/>
        <w:t>տուր</w:t>
      </w:r>
      <w:r w:rsidRPr="00FA1DE2">
        <w:rPr>
          <w:rFonts w:cs="Sylfaen"/>
          <w:lang w:val="hy-AM"/>
        </w:rPr>
        <w:softHyphen/>
        <w:t>քերի մասնաբաժինը կարող է փոփոխվել նոր պետությունների ԵԱՏՄ-ին անդամակ</w:t>
      </w:r>
      <w:r w:rsidRPr="00FA1DE2">
        <w:rPr>
          <w:rFonts w:cs="Sylfaen"/>
          <w:lang w:val="hy-AM"/>
        </w:rPr>
        <w:softHyphen/>
        <w:t xml:space="preserve">ցությունից: </w:t>
      </w:r>
    </w:p>
    <w:p w14:paraId="3A50127D" w14:textId="77777777" w:rsidR="00AF5737" w:rsidRPr="00FA1DE2" w:rsidRDefault="00AF5737" w:rsidP="00AF5737">
      <w:pPr>
        <w:spacing w:after="120" w:line="276" w:lineRule="auto"/>
        <w:ind w:firstLine="720"/>
        <w:rPr>
          <w:rFonts w:cs="Sylfaen"/>
          <w:b/>
          <w:lang w:val="hy-AM"/>
        </w:rPr>
      </w:pPr>
      <w:r w:rsidRPr="00FA1DE2">
        <w:rPr>
          <w:rFonts w:cs="Sylfaen"/>
          <w:b/>
          <w:lang w:val="hy-AM"/>
        </w:rPr>
        <w:t>2.1. Գնաճի շեղման հնարավոր չափը</w:t>
      </w:r>
    </w:p>
    <w:p w14:paraId="2CE22133" w14:textId="77777777" w:rsidR="00AF5737" w:rsidRPr="00FA1DE2" w:rsidRDefault="00AF5737" w:rsidP="00AF5737">
      <w:pPr>
        <w:spacing w:after="120" w:line="276" w:lineRule="auto"/>
        <w:ind w:firstLine="720"/>
        <w:rPr>
          <w:rFonts w:cs="Sylfaen"/>
          <w:lang w:val="hy-AM"/>
        </w:rPr>
      </w:pPr>
      <w:r w:rsidRPr="00FA1DE2">
        <w:rPr>
          <w:rFonts w:cs="Sylfaen"/>
          <w:lang w:val="hy-AM"/>
        </w:rPr>
        <w:t xml:space="preserve">Գնաճի ցուցանիշի շեղման հնարավոր չափ է դիտարկվում ՀՀ ԿԲ-ի կողմից դրամավարկային քաղաքականության ծրագրում (գնաճի հաշվետվություններում) ներկայացվող գնաճի նպատակային ցուցանիշի կենտրոնական արժեքից շեղման առավելագույն չափը: </w:t>
      </w:r>
    </w:p>
    <w:p w14:paraId="7A20688E" w14:textId="77777777" w:rsidR="00AF5737" w:rsidRPr="00FA1DE2" w:rsidRDefault="00AF5737" w:rsidP="00AF5737">
      <w:pPr>
        <w:spacing w:after="120" w:line="276" w:lineRule="auto"/>
        <w:ind w:firstLine="0"/>
        <w:rPr>
          <w:rFonts w:cs="Sylfaen"/>
          <w:lang w:val="hy-AM"/>
        </w:rPr>
      </w:pPr>
      <w:r w:rsidRPr="00FA1DE2">
        <w:rPr>
          <w:rFonts w:cs="Sylfaen"/>
          <w:lang w:val="hy-AM"/>
        </w:rPr>
        <w:t xml:space="preserve">ՀՀ ԿԲ-ի կողմից միջնաժամկետ հորիզոնում </w:t>
      </w:r>
      <w:r>
        <w:rPr>
          <w:rFonts w:cs="Sylfaen"/>
          <w:lang w:val="hy-AM"/>
        </w:rPr>
        <w:t>կանխատեսվում</w:t>
      </w:r>
      <w:r w:rsidRPr="00FA1DE2">
        <w:rPr>
          <w:rFonts w:cs="Sylfaen"/>
          <w:lang w:val="hy-AM"/>
        </w:rPr>
        <w:t xml:space="preserve"> է գնաճի կայունացում նպատակային ցուցանիշի շուրջ: Կանխատեսված ցուցանիշից գնաճի շեղման ռիսկերը միջնաժամկետ հորիզոնում գնահատվում են հավասարակշռված` գնաճի կենտրոնական արժեքից </w:t>
      </w:r>
      <w:r w:rsidRPr="00FA1DE2">
        <w:rPr>
          <w:rFonts w:cs="Sylfaen"/>
          <w:b/>
          <w:lang w:val="hy-AM"/>
        </w:rPr>
        <w:t>դեպի</w:t>
      </w:r>
      <w:r w:rsidRPr="00FA1DE2">
        <w:rPr>
          <w:rFonts w:cs="Sylfaen"/>
          <w:lang w:val="hy-AM"/>
        </w:rPr>
        <w:t xml:space="preserve"> </w:t>
      </w:r>
      <w:r w:rsidRPr="00FA1DE2">
        <w:rPr>
          <w:rFonts w:cs="Sylfaen"/>
          <w:b/>
          <w:lang w:val="hy-AM"/>
        </w:rPr>
        <w:t>ներքև`</w:t>
      </w:r>
      <w:r w:rsidRPr="00FA1DE2">
        <w:rPr>
          <w:rFonts w:cs="Sylfaen"/>
          <w:lang w:val="hy-AM"/>
        </w:rPr>
        <w:t xml:space="preserve"> </w:t>
      </w:r>
      <w:r w:rsidRPr="00FA1DE2">
        <w:rPr>
          <w:rFonts w:cs="Sylfaen"/>
          <w:b/>
          <w:lang w:val="hy-AM"/>
        </w:rPr>
        <w:t xml:space="preserve">1.5 տոկոսային կետի չափով </w:t>
      </w:r>
      <w:r w:rsidRPr="00FA1DE2">
        <w:rPr>
          <w:rFonts w:cs="Sylfaen"/>
          <w:lang w:val="hy-AM"/>
        </w:rPr>
        <w:t xml:space="preserve">(այսինքն` գնաճի ներքին սահմանը 2.5% է) և </w:t>
      </w:r>
      <w:r w:rsidRPr="00FA1DE2">
        <w:rPr>
          <w:rFonts w:cs="Sylfaen"/>
          <w:b/>
          <w:lang w:val="hy-AM"/>
        </w:rPr>
        <w:t xml:space="preserve">դեպի վերև շեղումը` 1.5 տոկոսային կետի չափով </w:t>
      </w:r>
      <w:r w:rsidRPr="00FA1DE2">
        <w:rPr>
          <w:rFonts w:cs="Sylfaen"/>
          <w:lang w:val="hy-AM"/>
        </w:rPr>
        <w:t xml:space="preserve">(վերին սահմանը 5.5% է): </w:t>
      </w:r>
    </w:p>
    <w:p w14:paraId="48581748" w14:textId="77777777" w:rsidR="00AF5737" w:rsidRPr="00FA1DE2" w:rsidRDefault="00AF5737" w:rsidP="00AF5737">
      <w:pPr>
        <w:spacing w:after="120" w:line="276" w:lineRule="auto"/>
        <w:ind w:firstLine="720"/>
        <w:rPr>
          <w:rFonts w:cs="Sylfaen"/>
          <w:lang w:val="hy-AM"/>
        </w:rPr>
      </w:pPr>
      <w:r w:rsidRPr="00FA1DE2">
        <w:rPr>
          <w:rFonts w:cs="Sylfaen"/>
          <w:lang w:val="hy-AM"/>
        </w:rPr>
        <w:t xml:space="preserve">Գնաճի շեղման ռիսկը կարող է ազդեցություն ունենալ ՀՀ պետական բյուջեի և՛ եկամտային, և՛ ծախսային կատարողականների վրա` անուղղակի հարկերի, ինչպես նաև ապրանքների և ծառայությունների գծով ծախսերի ուղղությամբ: Գնանկումային պայմաններում հարկերից մուտքերը կկրճատվեն և ընդհակառակը: </w:t>
      </w:r>
    </w:p>
    <w:p w14:paraId="7681FD32" w14:textId="77777777" w:rsidR="00AF5737" w:rsidRPr="00FA1DE2" w:rsidRDefault="00AF5737" w:rsidP="00AF5737">
      <w:pPr>
        <w:spacing w:after="120" w:line="276" w:lineRule="auto"/>
        <w:ind w:firstLine="720"/>
        <w:rPr>
          <w:rFonts w:cs="Sylfaen"/>
          <w:lang w:val="hy-AM"/>
        </w:rPr>
      </w:pPr>
      <w:r w:rsidRPr="00FA1DE2">
        <w:rPr>
          <w:rFonts w:cs="Sylfaen"/>
          <w:lang w:val="hy-AM"/>
        </w:rPr>
        <w:t>Արդյունքում, գների նվազման ռիսկի ազդեցությունը հարկային եկամուտների վրա 2022, 2023 և 2024 թվականների համար գնահատվում է համապատասխանաբար 3.2, 3.6 և 3.9 մլրդ ՀՀ դրամ ֆինանսական պահանջի ավելացման ուղղությամբ:</w:t>
      </w:r>
    </w:p>
    <w:p w14:paraId="73DB5169" w14:textId="77777777" w:rsidR="00AF5737" w:rsidRPr="00FA1DE2" w:rsidRDefault="00AF5737" w:rsidP="00AF5737">
      <w:pPr>
        <w:spacing w:after="120" w:line="276" w:lineRule="auto"/>
        <w:ind w:firstLine="720"/>
        <w:rPr>
          <w:rFonts w:cs="Sylfaen"/>
          <w:b/>
          <w:lang w:val="hy-AM"/>
        </w:rPr>
      </w:pPr>
      <w:r w:rsidRPr="00FA1DE2">
        <w:rPr>
          <w:rFonts w:cs="Sylfaen"/>
          <w:b/>
          <w:lang w:val="hy-AM"/>
        </w:rPr>
        <w:t>2.2. Փոխարժեքի շեղման հնարավոր չափը</w:t>
      </w:r>
    </w:p>
    <w:p w14:paraId="3FCF18DD" w14:textId="77777777" w:rsidR="00AF5737" w:rsidRPr="00FA1DE2" w:rsidRDefault="00AF5737" w:rsidP="00AF5737">
      <w:pPr>
        <w:spacing w:after="120" w:line="276" w:lineRule="auto"/>
        <w:ind w:firstLine="720"/>
        <w:rPr>
          <w:rFonts w:cs="Sylfaen"/>
          <w:lang w:val="hy-AM"/>
        </w:rPr>
      </w:pPr>
      <w:r w:rsidRPr="00FA1DE2">
        <w:rPr>
          <w:rFonts w:cs="Sylfaen"/>
          <w:lang w:val="hy-AM"/>
        </w:rPr>
        <w:t>ՀՀ ԿԲ-ն և ՀՀ ՖՆ-ն փոխարժեքի կանխա</w:t>
      </w:r>
      <w:r w:rsidRPr="00FA1DE2">
        <w:rPr>
          <w:rFonts w:cs="Sylfaen"/>
          <w:lang w:val="hy-AM"/>
        </w:rPr>
        <w:softHyphen/>
        <w:t>տեսումներ չեն իրականացնում և մակրոտնտեսական քաղաքականությունն իրականացվում է լողացող փոխարժեքի սկզբունքի հիման վրա, ընդ որում, յուրաքանչյուր տարվա պետական բյուջեի ցուցանիշների կանխատեսումների հիմքում դրվում է փոխարժեքի անփոփոխ (որոշակի պահի դրությամբ) մակարդակ: Սակայն փոխարժեքի տատա</w:t>
      </w:r>
      <w:r w:rsidRPr="00FA1DE2">
        <w:rPr>
          <w:rFonts w:cs="Sylfaen"/>
          <w:lang w:val="hy-AM"/>
        </w:rPr>
        <w:softHyphen/>
        <w:t>նում</w:t>
      </w:r>
      <w:r w:rsidRPr="00FA1DE2">
        <w:rPr>
          <w:rFonts w:cs="Sylfaen"/>
          <w:lang w:val="hy-AM"/>
        </w:rPr>
        <w:softHyphen/>
        <w:t>ները կազդեն ներմուծումից ՀՀ պետական բյուջե մուտքագրվող հարկային եկամուտների վրա:</w:t>
      </w:r>
    </w:p>
    <w:p w14:paraId="06F9A989" w14:textId="77777777" w:rsidR="00AF5737" w:rsidRPr="00FA1DE2" w:rsidRDefault="00AF5737" w:rsidP="00AF5737">
      <w:pPr>
        <w:spacing w:after="120" w:line="276" w:lineRule="auto"/>
        <w:ind w:firstLine="720"/>
        <w:rPr>
          <w:rFonts w:cs="Sylfaen"/>
          <w:lang w:val="hy-AM"/>
        </w:rPr>
      </w:pPr>
      <w:r w:rsidRPr="00FA1DE2">
        <w:rPr>
          <w:rFonts w:cs="Sylfaen"/>
          <w:lang w:val="hy-AM"/>
        </w:rPr>
        <w:t>Հաշվի առնելով այն հանգամանքը, որ պատմականորեն և՛ արժևորման, և՛ արժեզրկման ուղղությամբ փոխար</w:t>
      </w:r>
      <w:r w:rsidRPr="00FA1DE2">
        <w:rPr>
          <w:rFonts w:cs="Sylfaen"/>
          <w:lang w:val="hy-AM"/>
        </w:rPr>
        <w:softHyphen/>
        <w:t xml:space="preserve">ժեքի տատանումների բացարձակ շեղման միջին չափը չի գերազանցել </w:t>
      </w:r>
      <w:r>
        <w:rPr>
          <w:rFonts w:cs="Sylfaen"/>
          <w:lang w:val="hy-AM"/>
        </w:rPr>
        <w:t>4</w:t>
      </w:r>
      <w:r w:rsidRPr="00FA1DE2">
        <w:rPr>
          <w:rFonts w:cs="Sylfaen"/>
          <w:lang w:val="hy-AM"/>
        </w:rPr>
        <w:t xml:space="preserve">.0 տոկոսը` որպես ռիսկ է դիտարկվել ԱՄՆ դոլարի նկատմամբ ՀՀ դրամի առավելագույնը </w:t>
      </w:r>
      <w:r>
        <w:rPr>
          <w:rFonts w:cs="Sylfaen"/>
          <w:lang w:val="hy-AM"/>
        </w:rPr>
        <w:t>4</w:t>
      </w:r>
      <w:r w:rsidRPr="00FA1DE2">
        <w:rPr>
          <w:rFonts w:cs="Sylfaen"/>
          <w:lang w:val="hy-AM"/>
        </w:rPr>
        <w:t xml:space="preserve">% արժեզրկումը: </w:t>
      </w:r>
    </w:p>
    <w:p w14:paraId="32E998AE" w14:textId="77777777" w:rsidR="00AF5737" w:rsidRPr="00FA1DE2" w:rsidRDefault="00AF5737" w:rsidP="00AF5737">
      <w:pPr>
        <w:spacing w:after="120" w:line="276" w:lineRule="auto"/>
        <w:ind w:firstLine="720"/>
        <w:rPr>
          <w:rFonts w:cs="Sylfaen"/>
          <w:lang w:val="hy-AM"/>
        </w:rPr>
      </w:pPr>
      <w:r w:rsidRPr="00FA1DE2">
        <w:rPr>
          <w:rFonts w:cs="Sylfaen"/>
          <w:lang w:val="hy-AM"/>
        </w:rPr>
        <w:t xml:space="preserve">Արդյունքում, փոխարժեքի </w:t>
      </w:r>
      <w:r>
        <w:rPr>
          <w:rFonts w:cs="Sylfaen"/>
          <w:lang w:val="hy-AM"/>
        </w:rPr>
        <w:t>4</w:t>
      </w:r>
      <w:r w:rsidRPr="00FA1DE2">
        <w:rPr>
          <w:rFonts w:cs="Sylfaen"/>
          <w:lang w:val="hy-AM"/>
        </w:rPr>
        <w:t xml:space="preserve"> տոկոսով արժեզրկման ռիսկի դրսևորման դեպքում, այլ հավասար պայմաններում, 2022, 2023 և 2024 թվականներին կարելի է ապահովել հարկային եկամուտների համապատասխանաբար 1</w:t>
      </w:r>
      <w:r>
        <w:rPr>
          <w:rFonts w:cs="Sylfaen"/>
          <w:lang w:val="hy-AM"/>
        </w:rPr>
        <w:t>1</w:t>
      </w:r>
      <w:r w:rsidRPr="00FA1DE2">
        <w:rPr>
          <w:rFonts w:cs="Sylfaen"/>
          <w:lang w:val="hy-AM"/>
        </w:rPr>
        <w:t>.</w:t>
      </w:r>
      <w:r>
        <w:rPr>
          <w:rFonts w:cs="Sylfaen"/>
          <w:lang w:val="hy-AM"/>
        </w:rPr>
        <w:t>3</w:t>
      </w:r>
      <w:r w:rsidRPr="00FA1DE2">
        <w:rPr>
          <w:rFonts w:cs="Sylfaen"/>
          <w:lang w:val="hy-AM"/>
        </w:rPr>
        <w:t xml:space="preserve">, </w:t>
      </w:r>
      <w:r>
        <w:rPr>
          <w:rFonts w:cs="Sylfaen"/>
          <w:lang w:val="hy-AM"/>
        </w:rPr>
        <w:t>12.4</w:t>
      </w:r>
      <w:r w:rsidRPr="00FA1DE2">
        <w:rPr>
          <w:rFonts w:cs="Sylfaen"/>
          <w:lang w:val="hy-AM"/>
        </w:rPr>
        <w:t xml:space="preserve"> և </w:t>
      </w:r>
      <w:r>
        <w:rPr>
          <w:rFonts w:cs="Sylfaen"/>
          <w:lang w:val="hy-AM"/>
        </w:rPr>
        <w:t>13.4</w:t>
      </w:r>
      <w:r w:rsidRPr="00FA1DE2">
        <w:rPr>
          <w:rFonts w:cs="Sylfaen"/>
          <w:lang w:val="hy-AM"/>
        </w:rPr>
        <w:t xml:space="preserve"> մլրդ ՀՀ դրամ լրացուցիչ մուտք:</w:t>
      </w:r>
    </w:p>
    <w:p w14:paraId="46930F9F" w14:textId="77777777" w:rsidR="00AF5737" w:rsidRPr="00FA1DE2" w:rsidRDefault="00AF5737" w:rsidP="00AF5737">
      <w:pPr>
        <w:spacing w:after="120" w:line="276" w:lineRule="auto"/>
        <w:ind w:firstLine="720"/>
        <w:rPr>
          <w:rFonts w:cs="Sylfaen"/>
          <w:b/>
          <w:lang w:val="hy-AM"/>
        </w:rPr>
      </w:pPr>
      <w:r w:rsidRPr="00FA1DE2">
        <w:rPr>
          <w:rFonts w:cs="Sylfaen"/>
          <w:b/>
          <w:lang w:val="hy-AM"/>
        </w:rPr>
        <w:t>2.3. Ներմուծման գծով ռիսկի հնարավոր չափը</w:t>
      </w:r>
    </w:p>
    <w:p w14:paraId="12CB1A63" w14:textId="77777777" w:rsidR="00AF5737" w:rsidRPr="00FA1DE2" w:rsidRDefault="00AF5737" w:rsidP="00AF5737">
      <w:pPr>
        <w:spacing w:after="120" w:line="276" w:lineRule="auto"/>
        <w:ind w:firstLine="720"/>
        <w:rPr>
          <w:rFonts w:cs="Sylfaen"/>
          <w:lang w:val="hy-AM"/>
        </w:rPr>
      </w:pPr>
      <w:r w:rsidRPr="00FA1DE2">
        <w:rPr>
          <w:rFonts w:cs="Sylfaen"/>
          <w:lang w:val="hy-AM"/>
        </w:rPr>
        <w:t>Քանի որ մաքսային սահմանին ներմուծումից գանձվող անուղղակի հարկերը էական կշիռ ունեն պետական բյուջեի ընդհանուր հարկային եկամուտներում, անհրաժեշտ է գնահատել նաև ներմուծման հնարավոր նվազման պարագայում հարկային եկամուտների նվազման ռիսկի չափը: Հետճգնաժամային տարիներին ՄԺԾԾ-ում ներմուծման գծով կանխատեսումների շեղման միջին բացարձակ չափը սահմանվում է 11.8-20.0%-ի միջակայքում, ինչն էլ հաշվի է առնվել այս գործոնի ազդեցությունը գնահատելու համար: 2022, 2023 և 2024 թվականների համար ծրագրվածից համապատասխանաբար 11.8, 15.9 և 20.0% պակաս ներմուծման ռիսկի դրսևորման պայմաններում հարկային եկամուտների վրա ազդեցությունը գնահատվում է համապատասխանաբար՝ 23.3, 33.9 և 45.4 մլրդ ՀՀ դրամ` ֆինանսական պահանջի ավելացման ուղղությամբ:</w:t>
      </w:r>
    </w:p>
    <w:p w14:paraId="14BFF05B" w14:textId="77777777" w:rsidR="00AF5737" w:rsidRPr="00FA1DE2" w:rsidRDefault="00AF5737" w:rsidP="00AF5737">
      <w:pPr>
        <w:spacing w:after="120" w:line="276" w:lineRule="auto"/>
        <w:ind w:firstLine="720"/>
        <w:rPr>
          <w:rFonts w:cs="Sylfaen"/>
          <w:lang w:val="hy-AM"/>
        </w:rPr>
      </w:pPr>
      <w:r w:rsidRPr="00FA1DE2">
        <w:rPr>
          <w:rFonts w:cs="Sylfaen"/>
          <w:lang w:val="hy-AM"/>
        </w:rPr>
        <w:t xml:space="preserve">Ամփոփելով վերը նկարագրված </w:t>
      </w:r>
      <w:r w:rsidRPr="00FA1DE2">
        <w:rPr>
          <w:rFonts w:cs="Sylfaen"/>
          <w:b/>
          <w:lang w:val="hy-AM"/>
        </w:rPr>
        <w:t>կանխատեսումների ռիսկի և</w:t>
      </w:r>
      <w:r w:rsidRPr="00FA1DE2">
        <w:rPr>
          <w:rFonts w:cs="Sylfaen"/>
          <w:lang w:val="hy-AM"/>
        </w:rPr>
        <w:t xml:space="preserve"> </w:t>
      </w:r>
      <w:r w:rsidRPr="00FA1DE2">
        <w:rPr>
          <w:rFonts w:cs="Sylfaen"/>
          <w:b/>
          <w:lang w:val="hy-AM"/>
        </w:rPr>
        <w:t>ենթադրություններից շեղումների ռիսկի</w:t>
      </w:r>
      <w:r w:rsidRPr="00FA1DE2">
        <w:rPr>
          <w:rFonts w:cs="Sylfaen"/>
          <w:lang w:val="hy-AM"/>
        </w:rPr>
        <w:t xml:space="preserve"> գնահատականները, միջնաժամկետ հորիզոնում ՀՀ պետական բյուջեի հարկային եկամուտների վրա մակրոտնտեսական ցուցանիշների` իրական ՀՆԱ-ի աճի, գնաճի, փոխարժեքի տատանողականության և ներմուծման ռիսկերի ազդեցության քանակական ամփոփ գնահատականները ներկայացվում են ստորև.</w:t>
      </w:r>
    </w:p>
    <w:p w14:paraId="227482DD" w14:textId="77777777" w:rsidR="00AF5737" w:rsidRPr="00FA1DE2" w:rsidRDefault="00AF5737" w:rsidP="00010E8E">
      <w:pPr>
        <w:pStyle w:val="afa"/>
      </w:pPr>
      <w:r w:rsidRPr="00FA1DE2">
        <w:t>Աղյուսակ 3.1.1 Հարկային եկամուտների վրա մակրոտնտեսական կանխատեսումների և ենթադրությունների ռիսկերի ազդեցություն</w:t>
      </w:r>
      <w:r w:rsidRPr="00FA1DE2">
        <w:rPr>
          <w:rStyle w:val="FootnoteReference"/>
          <w:i w:val="0"/>
          <w:sz w:val="20"/>
          <w:szCs w:val="20"/>
        </w:rPr>
        <w:footnoteReference w:id="36"/>
      </w:r>
    </w:p>
    <w:tbl>
      <w:tblPr>
        <w:tblW w:w="9127" w:type="dxa"/>
        <w:jc w:val="center"/>
        <w:tblLook w:val="04A0" w:firstRow="1" w:lastRow="0" w:firstColumn="1" w:lastColumn="0" w:noHBand="0" w:noVBand="1"/>
      </w:tblPr>
      <w:tblGrid>
        <w:gridCol w:w="5438"/>
        <w:gridCol w:w="1217"/>
        <w:gridCol w:w="1170"/>
        <w:gridCol w:w="1080"/>
        <w:gridCol w:w="222"/>
      </w:tblGrid>
      <w:tr w:rsidR="00AF5737" w:rsidRPr="003F4C0B" w14:paraId="38DE8A57" w14:textId="77777777" w:rsidTr="002073D8">
        <w:trPr>
          <w:gridAfter w:val="1"/>
          <w:wAfter w:w="222" w:type="dxa"/>
          <w:trHeight w:val="675"/>
          <w:jc w:val="center"/>
        </w:trPr>
        <w:tc>
          <w:tcPr>
            <w:tcW w:w="5438" w:type="dxa"/>
            <w:vMerge w:val="restart"/>
            <w:tcBorders>
              <w:top w:val="single" w:sz="4" w:space="0" w:color="4F81BD"/>
              <w:left w:val="single" w:sz="4" w:space="0" w:color="4F81BD"/>
              <w:bottom w:val="single" w:sz="4" w:space="0" w:color="4F81BD"/>
              <w:right w:val="single" w:sz="4" w:space="0" w:color="4F81BD"/>
            </w:tcBorders>
            <w:shd w:val="clear" w:color="000000" w:fill="95B3D7"/>
            <w:vAlign w:val="center"/>
            <w:hideMark/>
          </w:tcPr>
          <w:p w14:paraId="6ACD2DC7" w14:textId="77777777" w:rsidR="00AF5737" w:rsidRPr="001B5BE7" w:rsidRDefault="00AF5737" w:rsidP="002073D8">
            <w:pPr>
              <w:spacing w:before="0" w:after="0" w:line="240" w:lineRule="auto"/>
              <w:ind w:firstLine="0"/>
              <w:jc w:val="center"/>
              <w:rPr>
                <w:b/>
                <w:color w:val="FFFFFF"/>
              </w:rPr>
            </w:pPr>
            <w:r w:rsidRPr="001B5BE7">
              <w:rPr>
                <w:b/>
                <w:color w:val="FFFFFF"/>
              </w:rPr>
              <w:t>Ռիսկի տեսակը</w:t>
            </w:r>
          </w:p>
        </w:tc>
        <w:tc>
          <w:tcPr>
            <w:tcW w:w="3467" w:type="dxa"/>
            <w:gridSpan w:val="3"/>
            <w:vMerge w:val="restart"/>
            <w:tcBorders>
              <w:top w:val="single" w:sz="4" w:space="0" w:color="4F81BD"/>
              <w:left w:val="single" w:sz="4" w:space="0" w:color="4F81BD"/>
              <w:bottom w:val="single" w:sz="4" w:space="0" w:color="4F81BD"/>
              <w:right w:val="single" w:sz="4" w:space="0" w:color="4F81BD"/>
            </w:tcBorders>
            <w:shd w:val="clear" w:color="000000" w:fill="95B3D7"/>
            <w:vAlign w:val="center"/>
            <w:hideMark/>
          </w:tcPr>
          <w:p w14:paraId="5C620ECC" w14:textId="77777777" w:rsidR="00AF5737" w:rsidRPr="001B5BE7" w:rsidRDefault="00AF5737" w:rsidP="002073D8">
            <w:pPr>
              <w:spacing w:before="0" w:after="0" w:line="240" w:lineRule="auto"/>
              <w:ind w:firstLine="0"/>
              <w:jc w:val="center"/>
              <w:rPr>
                <w:b/>
                <w:color w:val="FFFFFF"/>
              </w:rPr>
            </w:pPr>
            <w:r w:rsidRPr="001B5BE7">
              <w:rPr>
                <w:b/>
                <w:color w:val="FFFFFF"/>
              </w:rPr>
              <w:t>Ազդեցության գնահատականը, մլրդ ՀՀ դրամ</w:t>
            </w:r>
          </w:p>
        </w:tc>
      </w:tr>
      <w:tr w:rsidR="00AF5737" w:rsidRPr="003F4C0B" w14:paraId="7A836469" w14:textId="77777777" w:rsidTr="002073D8">
        <w:trPr>
          <w:trHeight w:val="300"/>
          <w:jc w:val="center"/>
        </w:trPr>
        <w:tc>
          <w:tcPr>
            <w:tcW w:w="5438" w:type="dxa"/>
            <w:vMerge/>
            <w:tcBorders>
              <w:top w:val="single" w:sz="4" w:space="0" w:color="4F81BD"/>
              <w:left w:val="single" w:sz="4" w:space="0" w:color="4F81BD"/>
              <w:bottom w:val="single" w:sz="4" w:space="0" w:color="4F81BD"/>
              <w:right w:val="single" w:sz="4" w:space="0" w:color="4F81BD"/>
            </w:tcBorders>
            <w:vAlign w:val="center"/>
            <w:hideMark/>
          </w:tcPr>
          <w:p w14:paraId="4C6E0A77" w14:textId="77777777" w:rsidR="00AF5737" w:rsidRPr="001B5BE7" w:rsidRDefault="00AF5737" w:rsidP="002073D8">
            <w:pPr>
              <w:spacing w:before="0" w:after="0" w:line="240" w:lineRule="auto"/>
              <w:ind w:firstLine="0"/>
              <w:jc w:val="left"/>
              <w:rPr>
                <w:b/>
                <w:color w:val="FFFFFF"/>
              </w:rPr>
            </w:pPr>
          </w:p>
        </w:tc>
        <w:tc>
          <w:tcPr>
            <w:tcW w:w="3467" w:type="dxa"/>
            <w:gridSpan w:val="3"/>
            <w:vMerge/>
            <w:tcBorders>
              <w:top w:val="single" w:sz="4" w:space="0" w:color="4F81BD"/>
              <w:left w:val="single" w:sz="4" w:space="0" w:color="4F81BD"/>
              <w:bottom w:val="single" w:sz="4" w:space="0" w:color="4F81BD"/>
              <w:right w:val="single" w:sz="4" w:space="0" w:color="4F81BD"/>
            </w:tcBorders>
            <w:vAlign w:val="center"/>
            <w:hideMark/>
          </w:tcPr>
          <w:p w14:paraId="34944F6C" w14:textId="77777777" w:rsidR="00AF5737" w:rsidRPr="001B5BE7" w:rsidRDefault="00AF5737" w:rsidP="002073D8">
            <w:pPr>
              <w:spacing w:before="0" w:after="0" w:line="240" w:lineRule="auto"/>
              <w:ind w:firstLine="0"/>
              <w:jc w:val="left"/>
              <w:rPr>
                <w:b/>
                <w:color w:val="FFFFFF"/>
              </w:rPr>
            </w:pPr>
          </w:p>
        </w:tc>
        <w:tc>
          <w:tcPr>
            <w:tcW w:w="222" w:type="dxa"/>
            <w:tcBorders>
              <w:top w:val="nil"/>
              <w:left w:val="nil"/>
              <w:bottom w:val="nil"/>
              <w:right w:val="nil"/>
            </w:tcBorders>
            <w:shd w:val="clear" w:color="auto" w:fill="auto"/>
            <w:noWrap/>
            <w:vAlign w:val="bottom"/>
            <w:hideMark/>
          </w:tcPr>
          <w:p w14:paraId="38B7B40F" w14:textId="77777777" w:rsidR="00AF5737" w:rsidRPr="001B5BE7" w:rsidRDefault="00AF5737" w:rsidP="002073D8">
            <w:pPr>
              <w:spacing w:before="0" w:after="0" w:line="240" w:lineRule="auto"/>
              <w:ind w:firstLine="0"/>
              <w:jc w:val="center"/>
              <w:rPr>
                <w:b/>
                <w:color w:val="FFFFFF"/>
              </w:rPr>
            </w:pPr>
          </w:p>
        </w:tc>
      </w:tr>
      <w:tr w:rsidR="00AF5737" w:rsidRPr="003F4C0B" w14:paraId="7640DFED" w14:textId="77777777" w:rsidTr="002073D8">
        <w:trPr>
          <w:trHeight w:val="330"/>
          <w:jc w:val="center"/>
        </w:trPr>
        <w:tc>
          <w:tcPr>
            <w:tcW w:w="5438" w:type="dxa"/>
            <w:tcBorders>
              <w:top w:val="nil"/>
              <w:left w:val="single" w:sz="4" w:space="0" w:color="4F81BD"/>
              <w:bottom w:val="single" w:sz="4" w:space="0" w:color="4F81BD"/>
              <w:right w:val="single" w:sz="4" w:space="0" w:color="4F81BD"/>
            </w:tcBorders>
            <w:shd w:val="clear" w:color="000000" w:fill="95B3D7"/>
            <w:vAlign w:val="center"/>
            <w:hideMark/>
          </w:tcPr>
          <w:p w14:paraId="1DAFFC7E" w14:textId="77777777" w:rsidR="00AF5737" w:rsidRPr="001B5BE7" w:rsidRDefault="00AF5737" w:rsidP="002073D8">
            <w:pPr>
              <w:spacing w:before="0" w:after="0" w:line="240" w:lineRule="auto"/>
              <w:ind w:firstLine="0"/>
              <w:jc w:val="center"/>
              <w:rPr>
                <w:rFonts w:ascii="Calibri" w:hAnsi="Calibri"/>
                <w:b/>
                <w:color w:val="FFFFFF"/>
              </w:rPr>
            </w:pPr>
            <w:r w:rsidRPr="001B5BE7">
              <w:rPr>
                <w:rFonts w:ascii="Calibri" w:hAnsi="Calibri"/>
                <w:b/>
                <w:color w:val="FFFFFF"/>
              </w:rPr>
              <w:t> </w:t>
            </w:r>
          </w:p>
        </w:tc>
        <w:tc>
          <w:tcPr>
            <w:tcW w:w="1217" w:type="dxa"/>
            <w:tcBorders>
              <w:top w:val="nil"/>
              <w:left w:val="nil"/>
              <w:bottom w:val="single" w:sz="4" w:space="0" w:color="4F81BD"/>
              <w:right w:val="single" w:sz="4" w:space="0" w:color="4F81BD"/>
            </w:tcBorders>
            <w:shd w:val="clear" w:color="000000" w:fill="95B3D7"/>
            <w:vAlign w:val="center"/>
            <w:hideMark/>
          </w:tcPr>
          <w:p w14:paraId="03763A6E" w14:textId="77777777" w:rsidR="00AF5737" w:rsidRPr="001B5BE7" w:rsidRDefault="00AF5737" w:rsidP="002073D8">
            <w:pPr>
              <w:spacing w:before="0" w:after="0" w:line="240" w:lineRule="auto"/>
              <w:ind w:firstLine="0"/>
              <w:jc w:val="center"/>
              <w:rPr>
                <w:b/>
                <w:color w:val="FFFFFF"/>
              </w:rPr>
            </w:pPr>
            <w:r w:rsidRPr="001B5BE7">
              <w:rPr>
                <w:b/>
                <w:color w:val="FFFFFF"/>
              </w:rPr>
              <w:t>2022</w:t>
            </w:r>
          </w:p>
        </w:tc>
        <w:tc>
          <w:tcPr>
            <w:tcW w:w="1170" w:type="dxa"/>
            <w:tcBorders>
              <w:top w:val="nil"/>
              <w:left w:val="nil"/>
              <w:bottom w:val="single" w:sz="4" w:space="0" w:color="4F81BD"/>
              <w:right w:val="single" w:sz="4" w:space="0" w:color="4F81BD"/>
            </w:tcBorders>
            <w:shd w:val="clear" w:color="000000" w:fill="95B3D7"/>
            <w:vAlign w:val="center"/>
            <w:hideMark/>
          </w:tcPr>
          <w:p w14:paraId="69AC3A77" w14:textId="77777777" w:rsidR="00AF5737" w:rsidRPr="001B5BE7" w:rsidRDefault="00AF5737" w:rsidP="002073D8">
            <w:pPr>
              <w:spacing w:before="0" w:after="0" w:line="240" w:lineRule="auto"/>
              <w:ind w:firstLine="0"/>
              <w:jc w:val="center"/>
              <w:rPr>
                <w:b/>
                <w:color w:val="FFFFFF"/>
              </w:rPr>
            </w:pPr>
            <w:r w:rsidRPr="001B5BE7">
              <w:rPr>
                <w:b/>
                <w:color w:val="FFFFFF"/>
              </w:rPr>
              <w:t>2023</w:t>
            </w:r>
          </w:p>
        </w:tc>
        <w:tc>
          <w:tcPr>
            <w:tcW w:w="1080" w:type="dxa"/>
            <w:tcBorders>
              <w:top w:val="nil"/>
              <w:left w:val="nil"/>
              <w:bottom w:val="single" w:sz="4" w:space="0" w:color="4F81BD"/>
              <w:right w:val="single" w:sz="4" w:space="0" w:color="4F81BD"/>
            </w:tcBorders>
            <w:shd w:val="clear" w:color="000000" w:fill="95B3D7"/>
            <w:vAlign w:val="center"/>
            <w:hideMark/>
          </w:tcPr>
          <w:p w14:paraId="0F4BE364" w14:textId="77777777" w:rsidR="00AF5737" w:rsidRPr="001B5BE7" w:rsidRDefault="00AF5737" w:rsidP="002073D8">
            <w:pPr>
              <w:spacing w:before="0" w:after="0" w:line="240" w:lineRule="auto"/>
              <w:ind w:firstLine="0"/>
              <w:jc w:val="center"/>
              <w:rPr>
                <w:b/>
                <w:color w:val="FFFFFF"/>
              </w:rPr>
            </w:pPr>
            <w:r w:rsidRPr="001B5BE7">
              <w:rPr>
                <w:b/>
                <w:color w:val="FFFFFF"/>
              </w:rPr>
              <w:t>2024</w:t>
            </w:r>
          </w:p>
        </w:tc>
        <w:tc>
          <w:tcPr>
            <w:tcW w:w="222" w:type="dxa"/>
            <w:vAlign w:val="center"/>
            <w:hideMark/>
          </w:tcPr>
          <w:p w14:paraId="6D5F25FA" w14:textId="77777777" w:rsidR="00AF5737" w:rsidRPr="001B5BE7" w:rsidRDefault="00AF5737" w:rsidP="002073D8">
            <w:pPr>
              <w:spacing w:before="0" w:after="0" w:line="240" w:lineRule="auto"/>
              <w:ind w:firstLine="0"/>
              <w:jc w:val="left"/>
              <w:rPr>
                <w:rFonts w:ascii="Times New Roman" w:hAnsi="Times New Roman"/>
                <w:sz w:val="20"/>
              </w:rPr>
            </w:pPr>
          </w:p>
        </w:tc>
      </w:tr>
      <w:tr w:rsidR="00AF5737" w:rsidRPr="003F4C0B" w14:paraId="69BFE794" w14:textId="77777777" w:rsidTr="002073D8">
        <w:trPr>
          <w:trHeight w:val="330"/>
          <w:jc w:val="center"/>
        </w:trPr>
        <w:tc>
          <w:tcPr>
            <w:tcW w:w="8905" w:type="dxa"/>
            <w:gridSpan w:val="4"/>
            <w:tcBorders>
              <w:top w:val="single" w:sz="4" w:space="0" w:color="4F81BD"/>
              <w:left w:val="single" w:sz="4" w:space="0" w:color="4F81BD"/>
              <w:bottom w:val="single" w:sz="4" w:space="0" w:color="4F81BD"/>
              <w:right w:val="single" w:sz="4" w:space="0" w:color="4F81BD"/>
            </w:tcBorders>
            <w:shd w:val="clear" w:color="auto" w:fill="auto"/>
            <w:vAlign w:val="center"/>
            <w:hideMark/>
          </w:tcPr>
          <w:p w14:paraId="31DB8DE5" w14:textId="77777777" w:rsidR="00AF5737" w:rsidRPr="001B5BE7" w:rsidRDefault="00AF5737" w:rsidP="002073D8">
            <w:pPr>
              <w:spacing w:before="0" w:after="0" w:line="240" w:lineRule="auto"/>
              <w:ind w:firstLine="0"/>
              <w:jc w:val="left"/>
              <w:rPr>
                <w:b/>
                <w:color w:val="000000"/>
              </w:rPr>
            </w:pPr>
            <w:r w:rsidRPr="001B5BE7">
              <w:rPr>
                <w:b/>
                <w:color w:val="000000"/>
              </w:rPr>
              <w:t>Ռիսկերի առանձին հանդես գալու պայմաններում</w:t>
            </w:r>
          </w:p>
        </w:tc>
        <w:tc>
          <w:tcPr>
            <w:tcW w:w="222" w:type="dxa"/>
            <w:vAlign w:val="center"/>
            <w:hideMark/>
          </w:tcPr>
          <w:p w14:paraId="4EDF5B57" w14:textId="77777777" w:rsidR="00AF5737" w:rsidRPr="001B5BE7" w:rsidRDefault="00AF5737" w:rsidP="002073D8">
            <w:pPr>
              <w:spacing w:before="0" w:after="0" w:line="240" w:lineRule="auto"/>
              <w:ind w:firstLine="0"/>
              <w:jc w:val="left"/>
              <w:rPr>
                <w:rFonts w:ascii="Times New Roman" w:hAnsi="Times New Roman"/>
                <w:sz w:val="20"/>
              </w:rPr>
            </w:pPr>
          </w:p>
        </w:tc>
      </w:tr>
      <w:tr w:rsidR="00AF5737" w:rsidRPr="003F4C0B" w14:paraId="49787B6A" w14:textId="77777777" w:rsidTr="002073D8">
        <w:trPr>
          <w:trHeight w:val="660"/>
          <w:jc w:val="center"/>
        </w:trPr>
        <w:tc>
          <w:tcPr>
            <w:tcW w:w="5438" w:type="dxa"/>
            <w:tcBorders>
              <w:top w:val="nil"/>
              <w:left w:val="single" w:sz="4" w:space="0" w:color="4F81BD"/>
              <w:bottom w:val="single" w:sz="4" w:space="0" w:color="4F81BD"/>
              <w:right w:val="single" w:sz="4" w:space="0" w:color="4F81BD"/>
            </w:tcBorders>
            <w:shd w:val="clear" w:color="auto" w:fill="auto"/>
            <w:vAlign w:val="center"/>
            <w:hideMark/>
          </w:tcPr>
          <w:p w14:paraId="022403D8" w14:textId="77777777" w:rsidR="00AF5737" w:rsidRPr="001B5BE7" w:rsidRDefault="00AF5737" w:rsidP="002073D8">
            <w:pPr>
              <w:spacing w:before="0" w:after="0" w:line="240" w:lineRule="auto"/>
              <w:ind w:firstLine="0"/>
              <w:jc w:val="left"/>
              <w:rPr>
                <w:color w:val="000000"/>
              </w:rPr>
            </w:pPr>
            <w:r w:rsidRPr="001B5BE7">
              <w:rPr>
                <w:color w:val="000000"/>
              </w:rPr>
              <w:t xml:space="preserve">1. Կանխատեսվածից </w:t>
            </w:r>
            <w:r w:rsidRPr="003F4C0B">
              <w:rPr>
                <w:rFonts w:eastAsia="Times New Roman" w:cs="Calibri"/>
                <w:color w:val="000000"/>
              </w:rPr>
              <w:t>2</w:t>
            </w:r>
            <w:r w:rsidRPr="001B5BE7">
              <w:rPr>
                <w:color w:val="000000"/>
              </w:rPr>
              <w:t>.0-</w:t>
            </w:r>
            <w:r w:rsidRPr="003F4C0B">
              <w:rPr>
                <w:rFonts w:eastAsia="Times New Roman" w:cs="Calibri"/>
                <w:color w:val="000000"/>
              </w:rPr>
              <w:t>2.6</w:t>
            </w:r>
            <w:r w:rsidRPr="001B5BE7">
              <w:rPr>
                <w:color w:val="000000"/>
              </w:rPr>
              <w:t xml:space="preserve"> տոկոսային կետով ավելի ցածր իրական ՀՆԱ-ի աճ</w:t>
            </w:r>
          </w:p>
        </w:tc>
        <w:tc>
          <w:tcPr>
            <w:tcW w:w="1217" w:type="dxa"/>
            <w:tcBorders>
              <w:top w:val="nil"/>
              <w:left w:val="nil"/>
              <w:bottom w:val="single" w:sz="4" w:space="0" w:color="4F81BD"/>
              <w:right w:val="single" w:sz="4" w:space="0" w:color="4F81BD"/>
            </w:tcBorders>
            <w:shd w:val="clear" w:color="auto" w:fill="auto"/>
            <w:vAlign w:val="center"/>
            <w:hideMark/>
          </w:tcPr>
          <w:p w14:paraId="3AB4183C" w14:textId="77777777" w:rsidR="00AF5737" w:rsidRPr="001B5BE7" w:rsidRDefault="00AF5737" w:rsidP="002073D8">
            <w:pPr>
              <w:spacing w:before="0" w:after="0" w:line="240" w:lineRule="auto"/>
              <w:ind w:firstLine="0"/>
              <w:jc w:val="center"/>
              <w:rPr>
                <w:color w:val="000000"/>
              </w:rPr>
            </w:pPr>
            <w:r w:rsidRPr="001B5BE7">
              <w:rPr>
                <w:color w:val="000000"/>
              </w:rPr>
              <w:t>-</w:t>
            </w:r>
            <w:r w:rsidRPr="003F4C0B">
              <w:rPr>
                <w:rFonts w:eastAsia="Times New Roman" w:cs="Calibri"/>
                <w:color w:val="000000"/>
              </w:rPr>
              <w:t>11.3</w:t>
            </w:r>
          </w:p>
        </w:tc>
        <w:tc>
          <w:tcPr>
            <w:tcW w:w="1170" w:type="dxa"/>
            <w:tcBorders>
              <w:top w:val="nil"/>
              <w:left w:val="nil"/>
              <w:bottom w:val="single" w:sz="4" w:space="0" w:color="4F81BD"/>
              <w:right w:val="single" w:sz="4" w:space="0" w:color="4F81BD"/>
            </w:tcBorders>
            <w:shd w:val="clear" w:color="auto" w:fill="auto"/>
            <w:vAlign w:val="center"/>
            <w:hideMark/>
          </w:tcPr>
          <w:p w14:paraId="2A129A6E" w14:textId="77777777" w:rsidR="00AF5737" w:rsidRPr="001B5BE7" w:rsidRDefault="00AF5737" w:rsidP="002073D8">
            <w:pPr>
              <w:spacing w:before="0" w:after="0" w:line="240" w:lineRule="auto"/>
              <w:ind w:firstLine="0"/>
              <w:jc w:val="center"/>
              <w:rPr>
                <w:color w:val="000000"/>
              </w:rPr>
            </w:pPr>
            <w:r w:rsidRPr="001B5BE7">
              <w:rPr>
                <w:color w:val="000000"/>
              </w:rPr>
              <w:t>-</w:t>
            </w:r>
            <w:r w:rsidRPr="003F4C0B">
              <w:rPr>
                <w:rFonts w:eastAsia="Times New Roman" w:cs="Calibri"/>
                <w:color w:val="000000"/>
              </w:rPr>
              <w:t>14</w:t>
            </w:r>
            <w:r w:rsidRPr="001B5BE7">
              <w:rPr>
                <w:color w:val="000000"/>
              </w:rPr>
              <w:t>.6</w:t>
            </w:r>
          </w:p>
        </w:tc>
        <w:tc>
          <w:tcPr>
            <w:tcW w:w="1080" w:type="dxa"/>
            <w:tcBorders>
              <w:top w:val="nil"/>
              <w:left w:val="nil"/>
              <w:bottom w:val="single" w:sz="4" w:space="0" w:color="4F81BD"/>
              <w:right w:val="single" w:sz="4" w:space="0" w:color="4F81BD"/>
            </w:tcBorders>
            <w:shd w:val="clear" w:color="auto" w:fill="auto"/>
            <w:vAlign w:val="center"/>
            <w:hideMark/>
          </w:tcPr>
          <w:p w14:paraId="26BB3645" w14:textId="77777777" w:rsidR="00AF5737" w:rsidRPr="001B5BE7" w:rsidRDefault="00AF5737" w:rsidP="002073D8">
            <w:pPr>
              <w:spacing w:before="0" w:after="0" w:line="240" w:lineRule="auto"/>
              <w:ind w:firstLine="0"/>
              <w:jc w:val="center"/>
              <w:rPr>
                <w:color w:val="000000"/>
              </w:rPr>
            </w:pPr>
            <w:r w:rsidRPr="001B5BE7">
              <w:rPr>
                <w:color w:val="000000"/>
              </w:rPr>
              <w:t>-</w:t>
            </w:r>
            <w:r w:rsidRPr="003F4C0B">
              <w:rPr>
                <w:rFonts w:eastAsia="Times New Roman" w:cs="Calibri"/>
                <w:color w:val="000000"/>
              </w:rPr>
              <w:t>17.9</w:t>
            </w:r>
          </w:p>
        </w:tc>
        <w:tc>
          <w:tcPr>
            <w:tcW w:w="222" w:type="dxa"/>
            <w:vAlign w:val="center"/>
            <w:hideMark/>
          </w:tcPr>
          <w:p w14:paraId="771DB367" w14:textId="77777777" w:rsidR="00AF5737" w:rsidRPr="001B5BE7" w:rsidRDefault="00AF5737" w:rsidP="002073D8">
            <w:pPr>
              <w:spacing w:before="0" w:after="0" w:line="240" w:lineRule="auto"/>
              <w:ind w:firstLine="0"/>
              <w:jc w:val="left"/>
              <w:rPr>
                <w:rFonts w:ascii="Times New Roman" w:hAnsi="Times New Roman"/>
                <w:sz w:val="20"/>
              </w:rPr>
            </w:pPr>
          </w:p>
        </w:tc>
      </w:tr>
      <w:tr w:rsidR="00AF5737" w:rsidRPr="003F4C0B" w14:paraId="1B291A91" w14:textId="77777777" w:rsidTr="002073D8">
        <w:trPr>
          <w:trHeight w:val="330"/>
          <w:jc w:val="center"/>
        </w:trPr>
        <w:tc>
          <w:tcPr>
            <w:tcW w:w="5438" w:type="dxa"/>
            <w:tcBorders>
              <w:top w:val="nil"/>
              <w:left w:val="single" w:sz="4" w:space="0" w:color="4F81BD"/>
              <w:bottom w:val="single" w:sz="4" w:space="0" w:color="4F81BD"/>
              <w:right w:val="single" w:sz="4" w:space="0" w:color="4F81BD"/>
            </w:tcBorders>
            <w:shd w:val="clear" w:color="auto" w:fill="auto"/>
            <w:vAlign w:val="center"/>
            <w:hideMark/>
          </w:tcPr>
          <w:p w14:paraId="2E237B3C" w14:textId="77777777" w:rsidR="00AF5737" w:rsidRPr="001B5BE7" w:rsidRDefault="00AF5737" w:rsidP="002073D8">
            <w:pPr>
              <w:spacing w:before="0" w:after="0" w:line="240" w:lineRule="auto"/>
              <w:ind w:firstLine="0"/>
              <w:jc w:val="left"/>
              <w:rPr>
                <w:color w:val="000000"/>
              </w:rPr>
            </w:pPr>
            <w:r w:rsidRPr="001B5BE7">
              <w:rPr>
                <w:color w:val="000000"/>
              </w:rPr>
              <w:t>2. 1.5 տոկոսային կետով ավելի ցածր գնաճի ռիսկ</w:t>
            </w:r>
          </w:p>
        </w:tc>
        <w:tc>
          <w:tcPr>
            <w:tcW w:w="1217" w:type="dxa"/>
            <w:tcBorders>
              <w:top w:val="nil"/>
              <w:left w:val="nil"/>
              <w:bottom w:val="single" w:sz="4" w:space="0" w:color="4F81BD"/>
              <w:right w:val="single" w:sz="4" w:space="0" w:color="4F81BD"/>
            </w:tcBorders>
            <w:shd w:val="clear" w:color="auto" w:fill="auto"/>
            <w:vAlign w:val="center"/>
            <w:hideMark/>
          </w:tcPr>
          <w:p w14:paraId="223B6B97" w14:textId="77777777" w:rsidR="00AF5737" w:rsidRPr="001B5BE7" w:rsidRDefault="00AF5737" w:rsidP="002073D8">
            <w:pPr>
              <w:spacing w:before="0" w:after="0" w:line="240" w:lineRule="auto"/>
              <w:ind w:firstLine="0"/>
              <w:jc w:val="center"/>
              <w:rPr>
                <w:color w:val="000000"/>
              </w:rPr>
            </w:pPr>
            <w:r w:rsidRPr="001B5BE7">
              <w:rPr>
                <w:color w:val="000000"/>
              </w:rPr>
              <w:t>-3.2</w:t>
            </w:r>
          </w:p>
        </w:tc>
        <w:tc>
          <w:tcPr>
            <w:tcW w:w="1170" w:type="dxa"/>
            <w:tcBorders>
              <w:top w:val="nil"/>
              <w:left w:val="nil"/>
              <w:bottom w:val="single" w:sz="4" w:space="0" w:color="4F81BD"/>
              <w:right w:val="single" w:sz="4" w:space="0" w:color="4F81BD"/>
            </w:tcBorders>
            <w:shd w:val="clear" w:color="auto" w:fill="auto"/>
            <w:vAlign w:val="center"/>
            <w:hideMark/>
          </w:tcPr>
          <w:p w14:paraId="5C9B3B92" w14:textId="77777777" w:rsidR="00AF5737" w:rsidRPr="001B5BE7" w:rsidRDefault="00AF5737" w:rsidP="002073D8">
            <w:pPr>
              <w:spacing w:before="0" w:after="0" w:line="240" w:lineRule="auto"/>
              <w:ind w:firstLine="0"/>
              <w:jc w:val="center"/>
              <w:rPr>
                <w:color w:val="000000"/>
              </w:rPr>
            </w:pPr>
            <w:r w:rsidRPr="001B5BE7">
              <w:rPr>
                <w:color w:val="000000"/>
              </w:rPr>
              <w:t>-3.6</w:t>
            </w:r>
          </w:p>
        </w:tc>
        <w:tc>
          <w:tcPr>
            <w:tcW w:w="1080" w:type="dxa"/>
            <w:tcBorders>
              <w:top w:val="nil"/>
              <w:left w:val="nil"/>
              <w:bottom w:val="nil"/>
              <w:right w:val="single" w:sz="4" w:space="0" w:color="4F81BD"/>
            </w:tcBorders>
            <w:shd w:val="clear" w:color="auto" w:fill="auto"/>
            <w:vAlign w:val="center"/>
            <w:hideMark/>
          </w:tcPr>
          <w:p w14:paraId="4A494753" w14:textId="77777777" w:rsidR="00AF5737" w:rsidRPr="001B5BE7" w:rsidRDefault="00AF5737" w:rsidP="002073D8">
            <w:pPr>
              <w:spacing w:before="0" w:after="0" w:line="240" w:lineRule="auto"/>
              <w:ind w:firstLine="0"/>
              <w:jc w:val="center"/>
              <w:rPr>
                <w:color w:val="000000"/>
              </w:rPr>
            </w:pPr>
            <w:r w:rsidRPr="001B5BE7">
              <w:rPr>
                <w:color w:val="000000"/>
              </w:rPr>
              <w:t>-3.9</w:t>
            </w:r>
          </w:p>
        </w:tc>
        <w:tc>
          <w:tcPr>
            <w:tcW w:w="222" w:type="dxa"/>
            <w:vAlign w:val="center"/>
            <w:hideMark/>
          </w:tcPr>
          <w:p w14:paraId="78421B95" w14:textId="77777777" w:rsidR="00AF5737" w:rsidRPr="001B5BE7" w:rsidRDefault="00AF5737" w:rsidP="002073D8">
            <w:pPr>
              <w:spacing w:before="0" w:after="0" w:line="240" w:lineRule="auto"/>
              <w:ind w:firstLine="0"/>
              <w:jc w:val="left"/>
              <w:rPr>
                <w:rFonts w:ascii="Times New Roman" w:hAnsi="Times New Roman"/>
                <w:sz w:val="20"/>
              </w:rPr>
            </w:pPr>
          </w:p>
        </w:tc>
      </w:tr>
      <w:tr w:rsidR="00AF5737" w:rsidRPr="003F4C0B" w14:paraId="27063F4A" w14:textId="77777777" w:rsidTr="002073D8">
        <w:trPr>
          <w:trHeight w:val="660"/>
          <w:jc w:val="center"/>
        </w:trPr>
        <w:tc>
          <w:tcPr>
            <w:tcW w:w="5438" w:type="dxa"/>
            <w:tcBorders>
              <w:top w:val="nil"/>
              <w:left w:val="single" w:sz="4" w:space="0" w:color="4F81BD"/>
              <w:bottom w:val="nil"/>
              <w:right w:val="single" w:sz="4" w:space="0" w:color="4F81BD"/>
            </w:tcBorders>
            <w:shd w:val="clear" w:color="auto" w:fill="auto"/>
            <w:vAlign w:val="center"/>
            <w:hideMark/>
          </w:tcPr>
          <w:p w14:paraId="12ECF4D6" w14:textId="77777777" w:rsidR="00AF5737" w:rsidRPr="001B5BE7" w:rsidRDefault="00AF5737" w:rsidP="002073D8">
            <w:pPr>
              <w:spacing w:before="0" w:after="0" w:line="240" w:lineRule="auto"/>
              <w:ind w:firstLine="0"/>
              <w:jc w:val="left"/>
              <w:rPr>
                <w:color w:val="000000"/>
              </w:rPr>
            </w:pPr>
            <w:r w:rsidRPr="001B5BE7">
              <w:rPr>
                <w:color w:val="000000"/>
              </w:rPr>
              <w:t xml:space="preserve">3. Փոխարժեքի առավելագույնը </w:t>
            </w:r>
            <w:r w:rsidRPr="003F4C0B">
              <w:rPr>
                <w:rFonts w:eastAsia="Times New Roman" w:cs="Calibri"/>
                <w:color w:val="000000"/>
              </w:rPr>
              <w:t>4</w:t>
            </w:r>
            <w:r w:rsidRPr="001B5BE7">
              <w:rPr>
                <w:color w:val="000000"/>
              </w:rPr>
              <w:t>.0 տոկոսով արժեզրկման ռիսկ</w:t>
            </w:r>
          </w:p>
        </w:tc>
        <w:tc>
          <w:tcPr>
            <w:tcW w:w="1217" w:type="dxa"/>
            <w:tcBorders>
              <w:top w:val="nil"/>
              <w:left w:val="nil"/>
              <w:bottom w:val="nil"/>
              <w:right w:val="single" w:sz="4" w:space="0" w:color="4F81BD"/>
            </w:tcBorders>
            <w:shd w:val="clear" w:color="auto" w:fill="auto"/>
            <w:vAlign w:val="center"/>
            <w:hideMark/>
          </w:tcPr>
          <w:p w14:paraId="27796626" w14:textId="77777777" w:rsidR="00AF5737" w:rsidRPr="001B5BE7" w:rsidRDefault="00AF5737" w:rsidP="002073D8">
            <w:pPr>
              <w:spacing w:before="0" w:after="0" w:line="240" w:lineRule="auto"/>
              <w:ind w:firstLine="0"/>
              <w:jc w:val="center"/>
              <w:rPr>
                <w:color w:val="000000"/>
              </w:rPr>
            </w:pPr>
            <w:r w:rsidRPr="003F4C0B">
              <w:rPr>
                <w:rFonts w:eastAsia="Times New Roman" w:cs="Calibri"/>
                <w:color w:val="000000"/>
              </w:rPr>
              <w:t>11.3</w:t>
            </w:r>
          </w:p>
        </w:tc>
        <w:tc>
          <w:tcPr>
            <w:tcW w:w="1170" w:type="dxa"/>
            <w:tcBorders>
              <w:top w:val="nil"/>
              <w:left w:val="nil"/>
              <w:bottom w:val="nil"/>
              <w:right w:val="single" w:sz="4" w:space="0" w:color="4F81BD"/>
            </w:tcBorders>
            <w:shd w:val="clear" w:color="auto" w:fill="auto"/>
            <w:vAlign w:val="center"/>
            <w:hideMark/>
          </w:tcPr>
          <w:p w14:paraId="77508051" w14:textId="77777777" w:rsidR="00AF5737" w:rsidRPr="001B5BE7" w:rsidRDefault="00AF5737" w:rsidP="002073D8">
            <w:pPr>
              <w:spacing w:before="0" w:after="0" w:line="240" w:lineRule="auto"/>
              <w:ind w:firstLine="0"/>
              <w:jc w:val="center"/>
              <w:rPr>
                <w:color w:val="000000"/>
              </w:rPr>
            </w:pPr>
            <w:r w:rsidRPr="003F4C0B">
              <w:rPr>
                <w:rFonts w:eastAsia="Times New Roman" w:cs="Calibri"/>
                <w:color w:val="000000"/>
              </w:rPr>
              <w:t>12.4</w:t>
            </w:r>
          </w:p>
        </w:tc>
        <w:tc>
          <w:tcPr>
            <w:tcW w:w="1080" w:type="dxa"/>
            <w:tcBorders>
              <w:top w:val="single" w:sz="4" w:space="0" w:color="4F81BD"/>
              <w:left w:val="nil"/>
              <w:bottom w:val="single" w:sz="4" w:space="0" w:color="4F81BD"/>
              <w:right w:val="single" w:sz="4" w:space="0" w:color="4F81BD"/>
            </w:tcBorders>
            <w:shd w:val="clear" w:color="auto" w:fill="auto"/>
            <w:vAlign w:val="center"/>
            <w:hideMark/>
          </w:tcPr>
          <w:p w14:paraId="66578C53" w14:textId="77777777" w:rsidR="00AF5737" w:rsidRPr="001B5BE7" w:rsidRDefault="00AF5737" w:rsidP="002073D8">
            <w:pPr>
              <w:spacing w:before="0" w:after="0" w:line="240" w:lineRule="auto"/>
              <w:ind w:firstLine="0"/>
              <w:jc w:val="center"/>
              <w:rPr>
                <w:color w:val="000000"/>
              </w:rPr>
            </w:pPr>
            <w:r w:rsidRPr="003F4C0B">
              <w:rPr>
                <w:rFonts w:eastAsia="Times New Roman" w:cs="Calibri"/>
                <w:color w:val="000000"/>
              </w:rPr>
              <w:t>13.4</w:t>
            </w:r>
          </w:p>
        </w:tc>
        <w:tc>
          <w:tcPr>
            <w:tcW w:w="222" w:type="dxa"/>
            <w:vAlign w:val="center"/>
            <w:hideMark/>
          </w:tcPr>
          <w:p w14:paraId="47AF3161" w14:textId="77777777" w:rsidR="00AF5737" w:rsidRPr="001B5BE7" w:rsidRDefault="00AF5737" w:rsidP="002073D8">
            <w:pPr>
              <w:spacing w:before="0" w:after="0" w:line="240" w:lineRule="auto"/>
              <w:ind w:firstLine="0"/>
              <w:jc w:val="left"/>
              <w:rPr>
                <w:rFonts w:ascii="Times New Roman" w:hAnsi="Times New Roman"/>
                <w:sz w:val="20"/>
              </w:rPr>
            </w:pPr>
          </w:p>
        </w:tc>
      </w:tr>
      <w:tr w:rsidR="00AF5737" w:rsidRPr="003F4C0B" w14:paraId="0656598F" w14:textId="77777777" w:rsidTr="002073D8">
        <w:trPr>
          <w:trHeight w:val="330"/>
          <w:jc w:val="center"/>
        </w:trPr>
        <w:tc>
          <w:tcPr>
            <w:tcW w:w="5438" w:type="dxa"/>
            <w:tcBorders>
              <w:top w:val="single" w:sz="4" w:space="0" w:color="4F81BD"/>
              <w:left w:val="single" w:sz="4" w:space="0" w:color="4F81BD"/>
              <w:bottom w:val="single" w:sz="4" w:space="0" w:color="4F81BD"/>
              <w:right w:val="single" w:sz="4" w:space="0" w:color="4F81BD"/>
            </w:tcBorders>
            <w:shd w:val="clear" w:color="auto" w:fill="auto"/>
            <w:vAlign w:val="center"/>
            <w:hideMark/>
          </w:tcPr>
          <w:p w14:paraId="35B6C6AF" w14:textId="77777777" w:rsidR="00AF5737" w:rsidRPr="001B5BE7" w:rsidRDefault="00AF5737" w:rsidP="002073D8">
            <w:pPr>
              <w:spacing w:before="0" w:after="0" w:line="240" w:lineRule="auto"/>
              <w:ind w:firstLine="0"/>
              <w:jc w:val="left"/>
              <w:rPr>
                <w:color w:val="000000"/>
              </w:rPr>
            </w:pPr>
            <w:r w:rsidRPr="001B5BE7">
              <w:rPr>
                <w:color w:val="000000"/>
              </w:rPr>
              <w:t>4. Ներմուծման 11.8-20.0 տոկոսով նվազման ռիսկ</w:t>
            </w:r>
          </w:p>
        </w:tc>
        <w:tc>
          <w:tcPr>
            <w:tcW w:w="1217" w:type="dxa"/>
            <w:tcBorders>
              <w:top w:val="single" w:sz="4" w:space="0" w:color="4F81BD"/>
              <w:left w:val="nil"/>
              <w:bottom w:val="single" w:sz="4" w:space="0" w:color="4F81BD"/>
              <w:right w:val="single" w:sz="4" w:space="0" w:color="4F81BD"/>
            </w:tcBorders>
            <w:shd w:val="clear" w:color="auto" w:fill="auto"/>
            <w:vAlign w:val="center"/>
            <w:hideMark/>
          </w:tcPr>
          <w:p w14:paraId="3FF10862" w14:textId="77777777" w:rsidR="00AF5737" w:rsidRPr="001B5BE7" w:rsidRDefault="00AF5737" w:rsidP="002073D8">
            <w:pPr>
              <w:spacing w:before="0" w:after="0" w:line="240" w:lineRule="auto"/>
              <w:ind w:firstLine="0"/>
              <w:jc w:val="center"/>
              <w:rPr>
                <w:color w:val="000000"/>
              </w:rPr>
            </w:pPr>
            <w:r w:rsidRPr="001B5BE7">
              <w:rPr>
                <w:color w:val="000000"/>
              </w:rPr>
              <w:t>-23.3</w:t>
            </w:r>
          </w:p>
        </w:tc>
        <w:tc>
          <w:tcPr>
            <w:tcW w:w="1170" w:type="dxa"/>
            <w:tcBorders>
              <w:top w:val="single" w:sz="4" w:space="0" w:color="4F81BD"/>
              <w:left w:val="nil"/>
              <w:bottom w:val="single" w:sz="4" w:space="0" w:color="4F81BD"/>
              <w:right w:val="single" w:sz="4" w:space="0" w:color="4F81BD"/>
            </w:tcBorders>
            <w:shd w:val="clear" w:color="auto" w:fill="auto"/>
            <w:vAlign w:val="center"/>
            <w:hideMark/>
          </w:tcPr>
          <w:p w14:paraId="1CDB6528" w14:textId="77777777" w:rsidR="00AF5737" w:rsidRPr="001B5BE7" w:rsidRDefault="00AF5737" w:rsidP="002073D8">
            <w:pPr>
              <w:spacing w:before="0" w:after="0" w:line="240" w:lineRule="auto"/>
              <w:ind w:firstLine="0"/>
              <w:jc w:val="center"/>
              <w:rPr>
                <w:color w:val="000000"/>
              </w:rPr>
            </w:pPr>
            <w:r w:rsidRPr="001B5BE7">
              <w:rPr>
                <w:color w:val="000000"/>
              </w:rPr>
              <w:t>-33.9</w:t>
            </w:r>
          </w:p>
        </w:tc>
        <w:tc>
          <w:tcPr>
            <w:tcW w:w="1080" w:type="dxa"/>
            <w:tcBorders>
              <w:top w:val="nil"/>
              <w:left w:val="nil"/>
              <w:bottom w:val="single" w:sz="4" w:space="0" w:color="4F81BD"/>
              <w:right w:val="single" w:sz="4" w:space="0" w:color="4F81BD"/>
            </w:tcBorders>
            <w:shd w:val="clear" w:color="auto" w:fill="auto"/>
            <w:vAlign w:val="center"/>
            <w:hideMark/>
          </w:tcPr>
          <w:p w14:paraId="27C462EF" w14:textId="77777777" w:rsidR="00AF5737" w:rsidRPr="001B5BE7" w:rsidRDefault="00AF5737" w:rsidP="002073D8">
            <w:pPr>
              <w:spacing w:before="0" w:after="0" w:line="240" w:lineRule="auto"/>
              <w:ind w:firstLine="0"/>
              <w:jc w:val="center"/>
              <w:rPr>
                <w:color w:val="000000"/>
              </w:rPr>
            </w:pPr>
            <w:r w:rsidRPr="001B5BE7">
              <w:rPr>
                <w:color w:val="000000"/>
              </w:rPr>
              <w:t>-45.4</w:t>
            </w:r>
          </w:p>
        </w:tc>
        <w:tc>
          <w:tcPr>
            <w:tcW w:w="222" w:type="dxa"/>
            <w:vAlign w:val="center"/>
            <w:hideMark/>
          </w:tcPr>
          <w:p w14:paraId="34143587" w14:textId="77777777" w:rsidR="00AF5737" w:rsidRPr="001B5BE7" w:rsidRDefault="00AF5737" w:rsidP="002073D8">
            <w:pPr>
              <w:spacing w:before="0" w:after="0" w:line="240" w:lineRule="auto"/>
              <w:ind w:firstLine="0"/>
              <w:jc w:val="left"/>
              <w:rPr>
                <w:rFonts w:ascii="Times New Roman" w:hAnsi="Times New Roman"/>
                <w:sz w:val="20"/>
              </w:rPr>
            </w:pPr>
          </w:p>
        </w:tc>
      </w:tr>
      <w:tr w:rsidR="00AF5737" w:rsidRPr="003F4C0B" w14:paraId="356BD2E3" w14:textId="77777777" w:rsidTr="002073D8">
        <w:trPr>
          <w:trHeight w:val="660"/>
          <w:jc w:val="center"/>
        </w:trPr>
        <w:tc>
          <w:tcPr>
            <w:tcW w:w="5438" w:type="dxa"/>
            <w:tcBorders>
              <w:top w:val="nil"/>
              <w:left w:val="single" w:sz="4" w:space="0" w:color="4F81BD"/>
              <w:bottom w:val="single" w:sz="4" w:space="0" w:color="4F81BD"/>
              <w:right w:val="single" w:sz="4" w:space="0" w:color="4F81BD"/>
            </w:tcBorders>
            <w:shd w:val="clear" w:color="auto" w:fill="auto"/>
            <w:vAlign w:val="center"/>
            <w:hideMark/>
          </w:tcPr>
          <w:p w14:paraId="39B66A70" w14:textId="77777777" w:rsidR="00AF5737" w:rsidRPr="001B5BE7" w:rsidRDefault="00AF5737" w:rsidP="002073D8">
            <w:pPr>
              <w:spacing w:before="0" w:after="0" w:line="240" w:lineRule="auto"/>
              <w:ind w:firstLine="0"/>
              <w:jc w:val="left"/>
              <w:rPr>
                <w:b/>
                <w:color w:val="000000"/>
              </w:rPr>
            </w:pPr>
            <w:r w:rsidRPr="001B5BE7">
              <w:rPr>
                <w:b/>
                <w:color w:val="000000"/>
              </w:rPr>
              <w:t>Վերոնշյալ ռիսկերի միաժամանակյա հանդես գալու պայմաններում</w:t>
            </w:r>
          </w:p>
        </w:tc>
        <w:tc>
          <w:tcPr>
            <w:tcW w:w="1217" w:type="dxa"/>
            <w:tcBorders>
              <w:top w:val="nil"/>
              <w:left w:val="nil"/>
              <w:bottom w:val="single" w:sz="4" w:space="0" w:color="4F81BD"/>
              <w:right w:val="single" w:sz="4" w:space="0" w:color="4F81BD"/>
            </w:tcBorders>
            <w:shd w:val="clear" w:color="auto" w:fill="auto"/>
            <w:vAlign w:val="center"/>
            <w:hideMark/>
          </w:tcPr>
          <w:p w14:paraId="261E19F7" w14:textId="77777777" w:rsidR="00AF5737" w:rsidRPr="001B5BE7" w:rsidRDefault="00AF5737" w:rsidP="002073D8">
            <w:pPr>
              <w:spacing w:before="0" w:after="0" w:line="240" w:lineRule="auto"/>
              <w:ind w:firstLine="0"/>
              <w:jc w:val="center"/>
              <w:rPr>
                <w:b/>
                <w:color w:val="000000"/>
              </w:rPr>
            </w:pPr>
            <w:r w:rsidRPr="001B5BE7">
              <w:rPr>
                <w:b/>
                <w:color w:val="000000"/>
              </w:rPr>
              <w:t>-</w:t>
            </w:r>
            <w:r w:rsidRPr="003F4C0B">
              <w:rPr>
                <w:rFonts w:eastAsia="Times New Roman" w:cs="Calibri"/>
                <w:b/>
                <w:bCs/>
                <w:color w:val="000000"/>
              </w:rPr>
              <w:t>24.3</w:t>
            </w:r>
          </w:p>
        </w:tc>
        <w:tc>
          <w:tcPr>
            <w:tcW w:w="1170" w:type="dxa"/>
            <w:tcBorders>
              <w:top w:val="nil"/>
              <w:left w:val="nil"/>
              <w:bottom w:val="single" w:sz="4" w:space="0" w:color="4F81BD"/>
              <w:right w:val="single" w:sz="4" w:space="0" w:color="4F81BD"/>
            </w:tcBorders>
            <w:shd w:val="clear" w:color="auto" w:fill="auto"/>
            <w:vAlign w:val="center"/>
            <w:hideMark/>
          </w:tcPr>
          <w:p w14:paraId="6BD6D2F3" w14:textId="77777777" w:rsidR="00AF5737" w:rsidRPr="001B5BE7" w:rsidRDefault="00AF5737" w:rsidP="002073D8">
            <w:pPr>
              <w:spacing w:before="0" w:after="0" w:line="240" w:lineRule="auto"/>
              <w:ind w:firstLine="0"/>
              <w:jc w:val="center"/>
              <w:rPr>
                <w:b/>
                <w:color w:val="000000"/>
              </w:rPr>
            </w:pPr>
            <w:r w:rsidRPr="001B5BE7">
              <w:rPr>
                <w:b/>
                <w:color w:val="000000"/>
              </w:rPr>
              <w:t>-</w:t>
            </w:r>
            <w:r w:rsidRPr="003F4C0B">
              <w:rPr>
                <w:rFonts w:eastAsia="Times New Roman" w:cs="Calibri"/>
                <w:b/>
                <w:bCs/>
                <w:color w:val="000000"/>
              </w:rPr>
              <w:t>40.4</w:t>
            </w:r>
          </w:p>
        </w:tc>
        <w:tc>
          <w:tcPr>
            <w:tcW w:w="1080" w:type="dxa"/>
            <w:tcBorders>
              <w:top w:val="nil"/>
              <w:left w:val="nil"/>
              <w:bottom w:val="single" w:sz="4" w:space="0" w:color="4F81BD"/>
              <w:right w:val="single" w:sz="4" w:space="0" w:color="4F81BD"/>
            </w:tcBorders>
            <w:shd w:val="clear" w:color="auto" w:fill="auto"/>
            <w:vAlign w:val="center"/>
            <w:hideMark/>
          </w:tcPr>
          <w:p w14:paraId="2B67934A" w14:textId="77777777" w:rsidR="00AF5737" w:rsidRPr="001B5BE7" w:rsidRDefault="00AF5737" w:rsidP="002073D8">
            <w:pPr>
              <w:spacing w:before="0" w:after="0" w:line="240" w:lineRule="auto"/>
              <w:ind w:firstLine="0"/>
              <w:jc w:val="center"/>
              <w:rPr>
                <w:b/>
                <w:color w:val="000000"/>
              </w:rPr>
            </w:pPr>
            <w:r w:rsidRPr="001B5BE7">
              <w:rPr>
                <w:b/>
                <w:color w:val="000000"/>
              </w:rPr>
              <w:t>-</w:t>
            </w:r>
            <w:r w:rsidRPr="003F4C0B">
              <w:rPr>
                <w:rFonts w:eastAsia="Times New Roman" w:cs="Calibri"/>
                <w:b/>
                <w:bCs/>
                <w:color w:val="000000"/>
              </w:rPr>
              <w:t>55.9</w:t>
            </w:r>
          </w:p>
        </w:tc>
        <w:tc>
          <w:tcPr>
            <w:tcW w:w="222" w:type="dxa"/>
            <w:vAlign w:val="center"/>
            <w:hideMark/>
          </w:tcPr>
          <w:p w14:paraId="3F8A3DA6" w14:textId="77777777" w:rsidR="00AF5737" w:rsidRPr="001B5BE7" w:rsidRDefault="00AF5737" w:rsidP="002073D8">
            <w:pPr>
              <w:spacing w:before="0" w:after="0" w:line="240" w:lineRule="auto"/>
              <w:ind w:firstLine="0"/>
              <w:jc w:val="left"/>
              <w:rPr>
                <w:rFonts w:ascii="Times New Roman" w:hAnsi="Times New Roman"/>
                <w:sz w:val="20"/>
              </w:rPr>
            </w:pPr>
          </w:p>
        </w:tc>
      </w:tr>
    </w:tbl>
    <w:p w14:paraId="0486102E" w14:textId="77777777" w:rsidR="00AF5737" w:rsidRPr="00FA1DE2" w:rsidRDefault="00AF5737" w:rsidP="00AF5737">
      <w:pPr>
        <w:spacing w:before="120" w:after="120" w:line="276" w:lineRule="auto"/>
        <w:ind w:firstLine="720"/>
        <w:rPr>
          <w:rFonts w:cs="Sylfaen"/>
          <w:lang w:val="hy-AM"/>
        </w:rPr>
      </w:pPr>
    </w:p>
    <w:p w14:paraId="262773A7" w14:textId="77777777" w:rsidR="00AF5737" w:rsidRPr="00FA1DE2" w:rsidRDefault="00AF5737" w:rsidP="00AF5737">
      <w:pPr>
        <w:spacing w:before="120" w:after="120" w:line="276" w:lineRule="auto"/>
        <w:ind w:firstLine="720"/>
        <w:rPr>
          <w:rFonts w:cs="Sylfaen"/>
          <w:lang w:val="hy-AM"/>
        </w:rPr>
      </w:pPr>
      <w:r w:rsidRPr="00FA1DE2">
        <w:rPr>
          <w:rFonts w:cs="Sylfaen"/>
          <w:lang w:val="hy-AM"/>
        </w:rPr>
        <w:t xml:space="preserve">Այսպիսով, գնահատվում է, որ հարկային եկամուտների վրա ազդող վերոնշյալ ռիսկերի միաժամանակյա ի հայտ գալու պարագայում հարկային եկամուտների ծրագրված մակարդակից շեղումը կկազմի շուրջ </w:t>
      </w:r>
      <w:r>
        <w:rPr>
          <w:rFonts w:cs="Sylfaen"/>
          <w:lang w:val="hy-AM"/>
        </w:rPr>
        <w:t>24.3</w:t>
      </w:r>
      <w:r w:rsidRPr="00FA1DE2">
        <w:rPr>
          <w:rFonts w:cs="Sylfaen"/>
          <w:lang w:val="hy-AM"/>
        </w:rPr>
        <w:t xml:space="preserve"> մլրդ ՀՀ դրամ 2022 թվականին, </w:t>
      </w:r>
      <w:r>
        <w:rPr>
          <w:rFonts w:cs="Sylfaen"/>
          <w:lang w:val="hy-AM"/>
        </w:rPr>
        <w:t>40.4</w:t>
      </w:r>
      <w:r w:rsidRPr="00FA1DE2">
        <w:rPr>
          <w:rFonts w:cs="Sylfaen"/>
          <w:lang w:val="hy-AM"/>
        </w:rPr>
        <w:t xml:space="preserve"> մլրդ ՀՀ դրամ 2023 թվականին և </w:t>
      </w:r>
      <w:r>
        <w:rPr>
          <w:rFonts w:cs="Sylfaen"/>
          <w:lang w:val="hy-AM"/>
        </w:rPr>
        <w:t>55.9</w:t>
      </w:r>
      <w:r w:rsidRPr="00FA1DE2">
        <w:rPr>
          <w:rFonts w:cs="Sylfaen"/>
          <w:lang w:val="hy-AM"/>
        </w:rPr>
        <w:t xml:space="preserve"> մլրդ ՀՀ դրամ 2024 թվականին: </w:t>
      </w:r>
    </w:p>
    <w:p w14:paraId="528C9752" w14:textId="77777777" w:rsidR="00AF5737" w:rsidRPr="00FA1DE2" w:rsidRDefault="00AF5737" w:rsidP="00AF5737">
      <w:pPr>
        <w:spacing w:after="120" w:line="276" w:lineRule="auto"/>
        <w:ind w:firstLine="720"/>
        <w:rPr>
          <w:rFonts w:cs="Sylfaen"/>
          <w:lang w:val="hy-AM"/>
        </w:rPr>
      </w:pPr>
      <w:r w:rsidRPr="00FA1DE2">
        <w:rPr>
          <w:rFonts w:cs="Sylfaen"/>
          <w:lang w:val="hy-AM"/>
        </w:rPr>
        <w:t>Հարկային եկամուտների վրա առանձին ռիսկերի ազդեցության չափի վերաբերյալ պատկերացում են տալիս նաև ստորև ներկայացվող զգայունության գնահատականները, սակայն այս դեպքում դիտարկվում է հարկային եկամուտների աճի վրա ազդող գործոնների աճերի 1% փոփոխության ազդեցությունը, ինչը ներկայացված է հարկային եկամուտների զգայունության աղյուսակում:</w:t>
      </w:r>
    </w:p>
    <w:p w14:paraId="769613D4" w14:textId="77777777" w:rsidR="00AF5737" w:rsidRPr="00FA1DE2" w:rsidRDefault="00AF5737" w:rsidP="00AF5737">
      <w:pPr>
        <w:spacing w:after="120" w:line="276" w:lineRule="auto"/>
        <w:ind w:firstLine="720"/>
        <w:rPr>
          <w:b/>
          <w:i/>
          <w:u w:val="single"/>
          <w:lang w:val="hy-AM"/>
        </w:rPr>
      </w:pPr>
    </w:p>
    <w:p w14:paraId="7683B38F" w14:textId="77777777" w:rsidR="00AF5737" w:rsidRPr="00FA1DE2" w:rsidRDefault="00AF5737" w:rsidP="00010E8E">
      <w:pPr>
        <w:pStyle w:val="afa"/>
      </w:pPr>
      <w:r w:rsidRPr="00FA1DE2">
        <w:t>Աղյուսակ 3.1.2 Հարկային եկամուտների զգայունությունը հիմնական տնտեսական գործոնների նկատմամբ, տոկոս</w:t>
      </w:r>
    </w:p>
    <w:tbl>
      <w:tblPr>
        <w:tblW w:w="9198" w:type="dxa"/>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0A0" w:firstRow="1" w:lastRow="0" w:firstColumn="1" w:lastColumn="0" w:noHBand="0" w:noVBand="0"/>
      </w:tblPr>
      <w:tblGrid>
        <w:gridCol w:w="3659"/>
        <w:gridCol w:w="1398"/>
        <w:gridCol w:w="1138"/>
        <w:gridCol w:w="1435"/>
        <w:gridCol w:w="1568"/>
      </w:tblGrid>
      <w:tr w:rsidR="00AF5737" w:rsidRPr="00FA1DE2" w14:paraId="40AD0320" w14:textId="77777777" w:rsidTr="002073D8">
        <w:trPr>
          <w:trHeight w:val="476"/>
          <w:jc w:val="center"/>
        </w:trPr>
        <w:tc>
          <w:tcPr>
            <w:tcW w:w="3659" w:type="dxa"/>
            <w:shd w:val="clear" w:color="auto" w:fill="4F81BD" w:themeFill="accent1"/>
            <w:noWrap/>
            <w:vAlign w:val="bottom"/>
            <w:hideMark/>
          </w:tcPr>
          <w:p w14:paraId="358C656B" w14:textId="77777777" w:rsidR="00AF5737" w:rsidRPr="00FA1DE2" w:rsidRDefault="00AF5737" w:rsidP="002073D8">
            <w:pPr>
              <w:spacing w:after="120" w:line="240" w:lineRule="auto"/>
              <w:ind w:firstLine="0"/>
              <w:rPr>
                <w:b/>
                <w:color w:val="FFFFFF" w:themeColor="background1"/>
                <w:lang w:val="hy-AM"/>
              </w:rPr>
            </w:pPr>
            <w:r w:rsidRPr="00FA1DE2">
              <w:rPr>
                <w:rFonts w:ascii="Calibri" w:hAnsi="Calibri" w:cs="Calibri"/>
                <w:b/>
                <w:color w:val="FFFFFF" w:themeColor="background1"/>
                <w:lang w:val="hy-AM"/>
              </w:rPr>
              <w:t> </w:t>
            </w:r>
          </w:p>
        </w:tc>
        <w:tc>
          <w:tcPr>
            <w:tcW w:w="1398" w:type="dxa"/>
            <w:shd w:val="clear" w:color="auto" w:fill="4F81BD" w:themeFill="accent1"/>
            <w:noWrap/>
            <w:vAlign w:val="bottom"/>
            <w:hideMark/>
          </w:tcPr>
          <w:p w14:paraId="661B8612" w14:textId="77777777" w:rsidR="00AF5737" w:rsidRPr="00FA1DE2" w:rsidRDefault="00AF5737" w:rsidP="002073D8">
            <w:pPr>
              <w:spacing w:after="120" w:line="240" w:lineRule="auto"/>
              <w:ind w:firstLine="0"/>
              <w:rPr>
                <w:b/>
                <w:color w:val="FFFFFF" w:themeColor="background1"/>
                <w:lang w:val="hy-AM"/>
              </w:rPr>
            </w:pPr>
            <w:r w:rsidRPr="00FA1DE2">
              <w:rPr>
                <w:rFonts w:cs="Sylfaen"/>
                <w:b/>
                <w:color w:val="FFFFFF" w:themeColor="background1"/>
                <w:lang w:val="hy-AM"/>
              </w:rPr>
              <w:t>ՀՆԱ</w:t>
            </w:r>
          </w:p>
        </w:tc>
        <w:tc>
          <w:tcPr>
            <w:tcW w:w="1138" w:type="dxa"/>
            <w:shd w:val="clear" w:color="auto" w:fill="4F81BD" w:themeFill="accent1"/>
            <w:noWrap/>
            <w:vAlign w:val="bottom"/>
            <w:hideMark/>
          </w:tcPr>
          <w:p w14:paraId="48F35653" w14:textId="77777777" w:rsidR="00AF5737" w:rsidRPr="00FA1DE2" w:rsidRDefault="00AF5737" w:rsidP="002073D8">
            <w:pPr>
              <w:spacing w:after="120" w:line="240" w:lineRule="auto"/>
              <w:ind w:firstLine="0"/>
              <w:rPr>
                <w:b/>
                <w:color w:val="FFFFFF" w:themeColor="background1"/>
                <w:lang w:val="hy-AM"/>
              </w:rPr>
            </w:pPr>
            <w:r w:rsidRPr="00FA1DE2">
              <w:rPr>
                <w:rFonts w:cs="Sylfaen"/>
                <w:b/>
                <w:color w:val="FFFFFF" w:themeColor="background1"/>
                <w:lang w:val="hy-AM"/>
              </w:rPr>
              <w:t>Գնաճ</w:t>
            </w:r>
          </w:p>
        </w:tc>
        <w:tc>
          <w:tcPr>
            <w:tcW w:w="1435" w:type="dxa"/>
            <w:shd w:val="clear" w:color="auto" w:fill="4F81BD" w:themeFill="accent1"/>
            <w:noWrap/>
            <w:vAlign w:val="bottom"/>
            <w:hideMark/>
          </w:tcPr>
          <w:p w14:paraId="3A439CAC" w14:textId="77777777" w:rsidR="00AF5737" w:rsidRPr="00FA1DE2" w:rsidRDefault="00AF5737" w:rsidP="002073D8">
            <w:pPr>
              <w:spacing w:after="120" w:line="240" w:lineRule="auto"/>
              <w:ind w:firstLine="0"/>
              <w:rPr>
                <w:b/>
                <w:color w:val="FFFFFF" w:themeColor="background1"/>
                <w:lang w:val="hy-AM"/>
              </w:rPr>
            </w:pPr>
            <w:r w:rsidRPr="00FA1DE2">
              <w:rPr>
                <w:rFonts w:cs="Sylfaen"/>
                <w:b/>
                <w:color w:val="FFFFFF" w:themeColor="background1"/>
                <w:lang w:val="hy-AM"/>
              </w:rPr>
              <w:t>Փոխարժեք</w:t>
            </w:r>
          </w:p>
        </w:tc>
        <w:tc>
          <w:tcPr>
            <w:tcW w:w="1568" w:type="dxa"/>
            <w:shd w:val="clear" w:color="auto" w:fill="4F81BD" w:themeFill="accent1"/>
            <w:noWrap/>
            <w:vAlign w:val="bottom"/>
            <w:hideMark/>
          </w:tcPr>
          <w:p w14:paraId="4EDE4940" w14:textId="77777777" w:rsidR="00AF5737" w:rsidRPr="00FA1DE2" w:rsidRDefault="00AF5737" w:rsidP="002073D8">
            <w:pPr>
              <w:spacing w:after="120" w:line="240" w:lineRule="auto"/>
              <w:ind w:firstLine="0"/>
              <w:rPr>
                <w:b/>
                <w:color w:val="FFFFFF" w:themeColor="background1"/>
                <w:lang w:val="hy-AM"/>
              </w:rPr>
            </w:pPr>
            <w:r w:rsidRPr="00FA1DE2">
              <w:rPr>
                <w:rFonts w:cs="Sylfaen"/>
                <w:b/>
                <w:color w:val="FFFFFF" w:themeColor="background1"/>
                <w:lang w:val="hy-AM"/>
              </w:rPr>
              <w:t>Ներմուծ</w:t>
            </w:r>
            <w:r w:rsidRPr="00FA1DE2">
              <w:rPr>
                <w:b/>
                <w:color w:val="FFFFFF" w:themeColor="background1"/>
                <w:lang w:val="hy-AM"/>
              </w:rPr>
              <w:t>ում</w:t>
            </w:r>
          </w:p>
        </w:tc>
      </w:tr>
      <w:tr w:rsidR="00AF5737" w:rsidRPr="00FA1DE2" w14:paraId="5AB75B5E" w14:textId="77777777" w:rsidTr="002073D8">
        <w:trPr>
          <w:trHeight w:val="476"/>
          <w:jc w:val="center"/>
        </w:trPr>
        <w:tc>
          <w:tcPr>
            <w:tcW w:w="3659" w:type="dxa"/>
            <w:noWrap/>
            <w:vAlign w:val="bottom"/>
            <w:hideMark/>
          </w:tcPr>
          <w:p w14:paraId="485DCB86" w14:textId="77777777" w:rsidR="00AF5737" w:rsidRPr="00FA1DE2" w:rsidRDefault="00AF5737" w:rsidP="002073D8">
            <w:pPr>
              <w:spacing w:after="120" w:line="240" w:lineRule="auto"/>
              <w:ind w:firstLine="0"/>
              <w:rPr>
                <w:b/>
                <w:lang w:val="hy-AM"/>
              </w:rPr>
            </w:pPr>
            <w:r w:rsidRPr="00FA1DE2">
              <w:rPr>
                <w:rFonts w:cs="Sylfaen"/>
                <w:b/>
                <w:lang w:val="hy-AM"/>
              </w:rPr>
              <w:t>Միջին տարեկան ազդեցություն</w:t>
            </w:r>
          </w:p>
        </w:tc>
        <w:tc>
          <w:tcPr>
            <w:tcW w:w="1398" w:type="dxa"/>
            <w:noWrap/>
            <w:vAlign w:val="bottom"/>
            <w:hideMark/>
          </w:tcPr>
          <w:p w14:paraId="5155B8E8" w14:textId="77777777" w:rsidR="00AF5737" w:rsidRPr="00FA1DE2" w:rsidRDefault="00AF5737" w:rsidP="002073D8">
            <w:pPr>
              <w:spacing w:after="120" w:line="240" w:lineRule="auto"/>
              <w:ind w:firstLine="0"/>
              <w:rPr>
                <w:rFonts w:cs="Calibri"/>
                <w:lang w:val="hy-AM"/>
              </w:rPr>
            </w:pPr>
            <w:r w:rsidRPr="00FA1DE2">
              <w:rPr>
                <w:lang w:val="hy-AM"/>
              </w:rPr>
              <w:t>0.22</w:t>
            </w:r>
          </w:p>
        </w:tc>
        <w:tc>
          <w:tcPr>
            <w:tcW w:w="1138" w:type="dxa"/>
            <w:noWrap/>
            <w:vAlign w:val="bottom"/>
            <w:hideMark/>
          </w:tcPr>
          <w:p w14:paraId="60A38554" w14:textId="77777777" w:rsidR="00AF5737" w:rsidRPr="00FA1DE2" w:rsidRDefault="00AF5737" w:rsidP="002073D8">
            <w:pPr>
              <w:spacing w:after="120" w:line="240" w:lineRule="auto"/>
              <w:ind w:firstLine="0"/>
              <w:rPr>
                <w:rFonts w:cs="Calibri"/>
                <w:lang w:val="hy-AM"/>
              </w:rPr>
            </w:pPr>
            <w:r w:rsidRPr="00FA1DE2">
              <w:rPr>
                <w:lang w:val="hy-AM"/>
              </w:rPr>
              <w:t>0.10</w:t>
            </w:r>
          </w:p>
        </w:tc>
        <w:tc>
          <w:tcPr>
            <w:tcW w:w="1435" w:type="dxa"/>
            <w:noWrap/>
            <w:vAlign w:val="bottom"/>
            <w:hideMark/>
          </w:tcPr>
          <w:p w14:paraId="7C3EDAAD" w14:textId="77777777" w:rsidR="00AF5737" w:rsidRPr="00FA1DE2" w:rsidRDefault="00AF5737" w:rsidP="002073D8">
            <w:pPr>
              <w:spacing w:after="120" w:line="240" w:lineRule="auto"/>
              <w:ind w:firstLine="0"/>
              <w:rPr>
                <w:rFonts w:cs="Calibri"/>
                <w:lang w:val="hy-AM"/>
              </w:rPr>
            </w:pPr>
            <w:r w:rsidRPr="00FA1DE2">
              <w:rPr>
                <w:lang w:val="hy-AM"/>
              </w:rPr>
              <w:t>0.16</w:t>
            </w:r>
          </w:p>
        </w:tc>
        <w:tc>
          <w:tcPr>
            <w:tcW w:w="1568" w:type="dxa"/>
            <w:noWrap/>
            <w:vAlign w:val="bottom"/>
            <w:hideMark/>
          </w:tcPr>
          <w:p w14:paraId="12582605" w14:textId="77777777" w:rsidR="00AF5737" w:rsidRPr="00FA1DE2" w:rsidRDefault="00AF5737" w:rsidP="002073D8">
            <w:pPr>
              <w:spacing w:after="120" w:line="240" w:lineRule="auto"/>
              <w:ind w:firstLine="0"/>
              <w:rPr>
                <w:rFonts w:cs="Calibri"/>
                <w:lang w:val="hy-AM"/>
              </w:rPr>
            </w:pPr>
            <w:r w:rsidRPr="00FA1DE2">
              <w:rPr>
                <w:lang w:val="hy-AM"/>
              </w:rPr>
              <w:t>0.06</w:t>
            </w:r>
          </w:p>
        </w:tc>
      </w:tr>
    </w:tbl>
    <w:p w14:paraId="4738FEEA" w14:textId="77777777" w:rsidR="00AF5737" w:rsidRPr="00FA1DE2" w:rsidRDefault="00AF5737" w:rsidP="00AF5737">
      <w:pPr>
        <w:spacing w:after="120" w:line="276" w:lineRule="auto"/>
        <w:ind w:firstLine="720"/>
        <w:rPr>
          <w:rFonts w:cs="Sylfaen"/>
          <w:lang w:val="hy-AM"/>
        </w:rPr>
      </w:pPr>
      <w:r w:rsidRPr="00FA1DE2">
        <w:rPr>
          <w:rFonts w:cs="Sylfaen"/>
          <w:lang w:val="hy-AM"/>
        </w:rPr>
        <w:t>Ինչպես երևում է աղյուսակից, հարկերի հավաքագրման առումով առավել էական գործոններ են հանդիսանում ՀՆԱ-ի և փոխարժեքի փոփոխությունները:</w:t>
      </w:r>
    </w:p>
    <w:p w14:paraId="709821B5" w14:textId="77777777" w:rsidR="00AF5737" w:rsidRPr="00FA1DE2" w:rsidRDefault="00AF5737" w:rsidP="00AF5737">
      <w:pPr>
        <w:spacing w:after="120" w:line="276" w:lineRule="auto"/>
        <w:ind w:firstLine="720"/>
        <w:rPr>
          <w:rFonts w:cs="Sylfaen"/>
          <w:lang w:val="hy-AM"/>
        </w:rPr>
      </w:pPr>
      <w:r w:rsidRPr="00FA1DE2">
        <w:rPr>
          <w:rFonts w:cs="Sylfaen"/>
          <w:lang w:val="hy-AM"/>
        </w:rPr>
        <w:t>Հարկային եկամուտների կանխատեսումների հետ կապված անորոշությունների և ռիսկերի հաշվեկշռի վերաբերյալ գնահատականներն իրենց արտացոլումն են գտել ստորև ներկայացվող հարկային եկամուտների հավանականային բաշխման գծապատկերում և համապատասխան աղյուսակում (տես` Գծապատկեր 3.1 և Աղյուսակ 3.1.3)</w:t>
      </w:r>
      <w:r w:rsidRPr="00FA1DE2">
        <w:rPr>
          <w:rStyle w:val="FootnoteReference"/>
          <w:rFonts w:cs="Sylfaen"/>
          <w:lang w:val="hy-AM"/>
        </w:rPr>
        <w:footnoteReference w:id="37"/>
      </w:r>
      <w:r w:rsidRPr="00FA1DE2">
        <w:rPr>
          <w:rFonts w:cs="Sylfaen"/>
          <w:lang w:val="hy-AM"/>
        </w:rPr>
        <w:t>: Հավանականային բաշխման գրաֆիկի կառուցման ժամանակ օգտագործվել է աղյուսակ 3.1.1-ում գնահատված ամբողջական ռիսկերի միաժամանակյա հանդես գալու պայմաններում ի հայտ եկող բացասական ռիսկերը:</w:t>
      </w:r>
    </w:p>
    <w:p w14:paraId="175220A1" w14:textId="77777777" w:rsidR="002E2141" w:rsidRDefault="002E2141" w:rsidP="00AF5737">
      <w:pPr>
        <w:spacing w:after="120" w:line="276" w:lineRule="auto"/>
        <w:ind w:firstLine="720"/>
        <w:rPr>
          <w:b/>
          <w:i/>
          <w:sz w:val="20"/>
          <w:szCs w:val="20"/>
          <w:lang w:val="hy-AM"/>
        </w:rPr>
      </w:pPr>
    </w:p>
    <w:p w14:paraId="44BA8E57" w14:textId="77777777" w:rsidR="002E2141" w:rsidRDefault="002E2141" w:rsidP="00AF5737">
      <w:pPr>
        <w:spacing w:after="120" w:line="276" w:lineRule="auto"/>
        <w:ind w:firstLine="720"/>
        <w:rPr>
          <w:b/>
          <w:i/>
          <w:sz w:val="20"/>
          <w:szCs w:val="20"/>
          <w:lang w:val="hy-AM"/>
        </w:rPr>
      </w:pPr>
    </w:p>
    <w:p w14:paraId="43F36EE1" w14:textId="77777777" w:rsidR="002E2141" w:rsidRDefault="002E2141" w:rsidP="00AF5737">
      <w:pPr>
        <w:spacing w:after="120" w:line="276" w:lineRule="auto"/>
        <w:ind w:firstLine="720"/>
        <w:rPr>
          <w:b/>
          <w:i/>
          <w:sz w:val="20"/>
          <w:szCs w:val="20"/>
          <w:lang w:val="hy-AM"/>
        </w:rPr>
      </w:pPr>
    </w:p>
    <w:p w14:paraId="6CF18E52" w14:textId="77777777" w:rsidR="002E2141" w:rsidRDefault="002E2141" w:rsidP="00AF5737">
      <w:pPr>
        <w:spacing w:after="120" w:line="276" w:lineRule="auto"/>
        <w:ind w:firstLine="720"/>
        <w:rPr>
          <w:b/>
          <w:i/>
          <w:sz w:val="20"/>
          <w:szCs w:val="20"/>
          <w:lang w:val="hy-AM"/>
        </w:rPr>
      </w:pPr>
    </w:p>
    <w:p w14:paraId="09EDBECD" w14:textId="77777777" w:rsidR="002E2141" w:rsidRDefault="002E2141" w:rsidP="00AF5737">
      <w:pPr>
        <w:spacing w:after="120" w:line="276" w:lineRule="auto"/>
        <w:ind w:firstLine="720"/>
        <w:rPr>
          <w:b/>
          <w:i/>
          <w:sz w:val="20"/>
          <w:szCs w:val="20"/>
          <w:lang w:val="hy-AM"/>
        </w:rPr>
      </w:pPr>
    </w:p>
    <w:p w14:paraId="00BD7E3E" w14:textId="77777777" w:rsidR="002E2141" w:rsidRDefault="002E2141" w:rsidP="00AF5737">
      <w:pPr>
        <w:spacing w:after="120" w:line="276" w:lineRule="auto"/>
        <w:ind w:firstLine="720"/>
        <w:rPr>
          <w:b/>
          <w:i/>
          <w:sz w:val="20"/>
          <w:szCs w:val="20"/>
          <w:lang w:val="hy-AM"/>
        </w:rPr>
      </w:pPr>
    </w:p>
    <w:p w14:paraId="00A0B3BE" w14:textId="77777777" w:rsidR="002E2141" w:rsidRDefault="002E2141" w:rsidP="00AF5737">
      <w:pPr>
        <w:spacing w:after="120" w:line="276" w:lineRule="auto"/>
        <w:ind w:firstLine="720"/>
        <w:rPr>
          <w:b/>
          <w:i/>
          <w:sz w:val="20"/>
          <w:szCs w:val="20"/>
          <w:lang w:val="hy-AM"/>
        </w:rPr>
      </w:pPr>
    </w:p>
    <w:p w14:paraId="301C41BD" w14:textId="77777777" w:rsidR="002E2141" w:rsidRDefault="002E2141" w:rsidP="00AF5737">
      <w:pPr>
        <w:spacing w:after="120" w:line="276" w:lineRule="auto"/>
        <w:ind w:firstLine="720"/>
        <w:rPr>
          <w:b/>
          <w:i/>
          <w:sz w:val="20"/>
          <w:szCs w:val="20"/>
          <w:lang w:val="hy-AM"/>
        </w:rPr>
      </w:pPr>
    </w:p>
    <w:p w14:paraId="4712BA19" w14:textId="77777777" w:rsidR="00AF5737" w:rsidRPr="00FA1DE2" w:rsidRDefault="00AF5737" w:rsidP="00010E8E">
      <w:pPr>
        <w:pStyle w:val="aff2"/>
      </w:pPr>
      <w:r w:rsidRPr="00FA1DE2">
        <w:t>Գծապատկեր 3.1. Հարկային եկամուտների տարեկան աճի տեմպերի կանխատեսումների հավանականային բաշխումը</w:t>
      </w:r>
      <w:r w:rsidRPr="00FA1DE2">
        <w:rPr>
          <w:rStyle w:val="FootnoteReference"/>
          <w:i w:val="0"/>
          <w:sz w:val="20"/>
          <w:szCs w:val="20"/>
        </w:rPr>
        <w:footnoteReference w:id="38"/>
      </w:r>
      <w:r w:rsidRPr="00FA1DE2">
        <w:t>, տոկոս</w:t>
      </w:r>
    </w:p>
    <w:p w14:paraId="347A38BF" w14:textId="77777777" w:rsidR="00AF5737" w:rsidRPr="00FA1DE2" w:rsidRDefault="00AF5737" w:rsidP="00AF5737">
      <w:pPr>
        <w:spacing w:after="120" w:line="276" w:lineRule="auto"/>
        <w:ind w:firstLine="0"/>
        <w:rPr>
          <w:b/>
          <w:i/>
          <w:u w:val="single"/>
          <w:lang w:val="hy-AM"/>
        </w:rPr>
      </w:pPr>
      <w:r>
        <w:rPr>
          <w:noProof/>
        </w:rPr>
        <w:drawing>
          <wp:inline distT="0" distB="0" distL="0" distR="0" wp14:anchorId="3CE780EF" wp14:editId="184A128A">
            <wp:extent cx="6172200" cy="2595245"/>
            <wp:effectExtent l="0" t="0" r="0" b="14605"/>
            <wp:docPr id="84" name="Chart 84">
              <a:extLst xmlns:a="http://schemas.openxmlformats.org/drawingml/2006/main">
                <a:ext uri="{FF2B5EF4-FFF2-40B4-BE49-F238E27FC236}">
                  <a16:creationId xmlns:a16="http://schemas.microsoft.com/office/drawing/2014/main" id="{2FAE8513-B780-4321-A6C2-9DB9EA4ADB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4FDFC982" w14:textId="77777777" w:rsidR="00AF5737" w:rsidRPr="00FA1DE2" w:rsidRDefault="00AF5737" w:rsidP="00AF5737">
      <w:pPr>
        <w:spacing w:after="120" w:line="276" w:lineRule="auto"/>
        <w:ind w:firstLine="720"/>
        <w:rPr>
          <w:b/>
          <w:lang w:val="hy-AM"/>
        </w:rPr>
      </w:pPr>
      <w:r w:rsidRPr="00FA1DE2">
        <w:rPr>
          <w:rFonts w:cs="Sylfaen"/>
          <w:lang w:val="hy-AM"/>
        </w:rPr>
        <w:t xml:space="preserve">Կանխատեսումների բաշխման հավանականություններն առավել պարզորոշ երևում են ստորև բերվող աղյուսակում: </w:t>
      </w:r>
    </w:p>
    <w:p w14:paraId="57425D10" w14:textId="77777777" w:rsidR="00AF5737" w:rsidRPr="00FA1DE2" w:rsidRDefault="00AF5737" w:rsidP="00010E8E">
      <w:pPr>
        <w:pStyle w:val="afa"/>
      </w:pPr>
      <w:r w:rsidRPr="00FA1DE2">
        <w:t>Աղյուսակ 3.1.3 Հարկային եկամուտների կանխատեսումների հավանականային բաշխումը</w:t>
      </w:r>
    </w:p>
    <w:tbl>
      <w:tblPr>
        <w:tblW w:w="5940" w:type="dxa"/>
        <w:tblInd w:w="1458" w:type="dxa"/>
        <w:tblLook w:val="04A0" w:firstRow="1" w:lastRow="0" w:firstColumn="1" w:lastColumn="0" w:noHBand="0" w:noVBand="1"/>
      </w:tblPr>
      <w:tblGrid>
        <w:gridCol w:w="2250"/>
        <w:gridCol w:w="1080"/>
        <w:gridCol w:w="1260"/>
        <w:gridCol w:w="1350"/>
      </w:tblGrid>
      <w:tr w:rsidR="00AF5737" w:rsidRPr="003F4C0B" w14:paraId="6CC5CE0A" w14:textId="77777777" w:rsidTr="002073D8">
        <w:trPr>
          <w:trHeight w:val="1005"/>
        </w:trPr>
        <w:tc>
          <w:tcPr>
            <w:tcW w:w="2250" w:type="dxa"/>
            <w:tcBorders>
              <w:top w:val="single" w:sz="8" w:space="0" w:color="FFFFFF"/>
              <w:left w:val="single" w:sz="8" w:space="0" w:color="FFFFFF"/>
              <w:bottom w:val="single" w:sz="8" w:space="0" w:color="FFFFFF"/>
              <w:right w:val="single" w:sz="8" w:space="0" w:color="FFFFFF"/>
            </w:tcBorders>
            <w:shd w:val="clear" w:color="000000" w:fill="4472C4"/>
            <w:vAlign w:val="center"/>
            <w:hideMark/>
          </w:tcPr>
          <w:p w14:paraId="27F90AAD" w14:textId="77777777" w:rsidR="00AF5737" w:rsidRPr="001B5BE7" w:rsidRDefault="00AF5737" w:rsidP="002073D8">
            <w:pPr>
              <w:spacing w:before="0" w:after="0" w:line="240" w:lineRule="auto"/>
              <w:ind w:firstLine="0"/>
              <w:rPr>
                <w:color w:val="FFFFFF"/>
              </w:rPr>
            </w:pPr>
            <w:r w:rsidRPr="001B5BE7">
              <w:rPr>
                <w:color w:val="FFFFFF"/>
              </w:rPr>
              <w:t>Հարկային եկամուտների աճի միջակայքը</w:t>
            </w:r>
          </w:p>
        </w:tc>
        <w:tc>
          <w:tcPr>
            <w:tcW w:w="3690" w:type="dxa"/>
            <w:gridSpan w:val="3"/>
            <w:tcBorders>
              <w:top w:val="single" w:sz="8" w:space="0" w:color="FFFFFF"/>
              <w:left w:val="nil"/>
              <w:bottom w:val="single" w:sz="8" w:space="0" w:color="FFFFFF"/>
              <w:right w:val="single" w:sz="8" w:space="0" w:color="FFFFFF"/>
            </w:tcBorders>
            <w:shd w:val="clear" w:color="000000" w:fill="4472C4"/>
            <w:vAlign w:val="center"/>
            <w:hideMark/>
          </w:tcPr>
          <w:p w14:paraId="181B5CDA" w14:textId="77777777" w:rsidR="00AF5737" w:rsidRPr="001B5BE7" w:rsidRDefault="00AF5737" w:rsidP="002073D8">
            <w:pPr>
              <w:spacing w:before="0" w:after="0" w:line="240" w:lineRule="auto"/>
              <w:ind w:firstLine="0"/>
              <w:jc w:val="center"/>
              <w:rPr>
                <w:color w:val="FFFFFF"/>
              </w:rPr>
            </w:pPr>
            <w:r w:rsidRPr="001B5BE7">
              <w:rPr>
                <w:color w:val="FFFFFF"/>
              </w:rPr>
              <w:t>Հարկային եկամուտների աճի` տվյալ  միջակայքում ձևավորվելու հավանականությունը</w:t>
            </w:r>
          </w:p>
        </w:tc>
      </w:tr>
      <w:tr w:rsidR="00AF5737" w:rsidRPr="003F4C0B" w14:paraId="69C3631F" w14:textId="77777777" w:rsidTr="002073D8">
        <w:trPr>
          <w:trHeight w:val="345"/>
        </w:trPr>
        <w:tc>
          <w:tcPr>
            <w:tcW w:w="2250" w:type="dxa"/>
            <w:tcBorders>
              <w:top w:val="nil"/>
              <w:left w:val="single" w:sz="8" w:space="0" w:color="FFFFFF"/>
              <w:bottom w:val="single" w:sz="8" w:space="0" w:color="FFFFFF"/>
              <w:right w:val="single" w:sz="8" w:space="0" w:color="FFFFFF"/>
            </w:tcBorders>
            <w:shd w:val="clear" w:color="000000" w:fill="4472C4"/>
            <w:vAlign w:val="center"/>
            <w:hideMark/>
          </w:tcPr>
          <w:p w14:paraId="7B7E5455" w14:textId="77777777" w:rsidR="00AF5737" w:rsidRPr="001B5BE7" w:rsidRDefault="00AF5737" w:rsidP="002073D8">
            <w:pPr>
              <w:spacing w:before="0" w:after="0" w:line="240" w:lineRule="auto"/>
              <w:ind w:firstLine="0"/>
              <w:rPr>
                <w:rFonts w:ascii="Calibri" w:hAnsi="Calibri"/>
                <w:b/>
                <w:color w:val="FFFFFF"/>
              </w:rPr>
            </w:pPr>
            <w:r w:rsidRPr="001B5BE7">
              <w:rPr>
                <w:rFonts w:ascii="Calibri" w:hAnsi="Calibri"/>
                <w:b/>
                <w:color w:val="FFFFFF"/>
              </w:rPr>
              <w:t> </w:t>
            </w:r>
          </w:p>
        </w:tc>
        <w:tc>
          <w:tcPr>
            <w:tcW w:w="1080" w:type="dxa"/>
            <w:tcBorders>
              <w:top w:val="nil"/>
              <w:left w:val="nil"/>
              <w:bottom w:val="single" w:sz="8" w:space="0" w:color="FFFFFF"/>
              <w:right w:val="single" w:sz="8" w:space="0" w:color="FFFFFF"/>
            </w:tcBorders>
            <w:shd w:val="clear" w:color="000000" w:fill="4472C4"/>
            <w:noWrap/>
            <w:vAlign w:val="center"/>
            <w:hideMark/>
          </w:tcPr>
          <w:p w14:paraId="38764714" w14:textId="77777777" w:rsidR="00AF5737" w:rsidRPr="001B5BE7" w:rsidRDefault="00AF5737" w:rsidP="002073D8">
            <w:pPr>
              <w:spacing w:before="0" w:after="0" w:line="240" w:lineRule="auto"/>
              <w:ind w:firstLine="0"/>
              <w:jc w:val="center"/>
              <w:rPr>
                <w:b/>
                <w:color w:val="FFFFFF"/>
              </w:rPr>
            </w:pPr>
            <w:r w:rsidRPr="001B5BE7">
              <w:rPr>
                <w:b/>
                <w:color w:val="FFFFFF"/>
              </w:rPr>
              <w:t>2022</w:t>
            </w:r>
          </w:p>
        </w:tc>
        <w:tc>
          <w:tcPr>
            <w:tcW w:w="1260" w:type="dxa"/>
            <w:tcBorders>
              <w:top w:val="nil"/>
              <w:left w:val="nil"/>
              <w:bottom w:val="single" w:sz="8" w:space="0" w:color="FFFFFF"/>
              <w:right w:val="single" w:sz="8" w:space="0" w:color="FFFFFF"/>
            </w:tcBorders>
            <w:shd w:val="clear" w:color="000000" w:fill="4472C4"/>
            <w:noWrap/>
            <w:vAlign w:val="center"/>
            <w:hideMark/>
          </w:tcPr>
          <w:p w14:paraId="2C918A08" w14:textId="77777777" w:rsidR="00AF5737" w:rsidRPr="001B5BE7" w:rsidRDefault="00AF5737" w:rsidP="002073D8">
            <w:pPr>
              <w:spacing w:before="0" w:after="0" w:line="240" w:lineRule="auto"/>
              <w:ind w:firstLine="0"/>
              <w:jc w:val="center"/>
              <w:rPr>
                <w:b/>
                <w:color w:val="FFFFFF"/>
              </w:rPr>
            </w:pPr>
            <w:r w:rsidRPr="001B5BE7">
              <w:rPr>
                <w:b/>
                <w:color w:val="FFFFFF"/>
              </w:rPr>
              <w:t>2023</w:t>
            </w:r>
          </w:p>
        </w:tc>
        <w:tc>
          <w:tcPr>
            <w:tcW w:w="1350" w:type="dxa"/>
            <w:tcBorders>
              <w:top w:val="nil"/>
              <w:left w:val="nil"/>
              <w:bottom w:val="single" w:sz="8" w:space="0" w:color="FFFFFF"/>
              <w:right w:val="single" w:sz="8" w:space="0" w:color="FFFFFF"/>
            </w:tcBorders>
            <w:shd w:val="clear" w:color="000000" w:fill="4472C4"/>
            <w:noWrap/>
            <w:vAlign w:val="center"/>
            <w:hideMark/>
          </w:tcPr>
          <w:p w14:paraId="66691E7C" w14:textId="77777777" w:rsidR="00AF5737" w:rsidRPr="001B5BE7" w:rsidRDefault="00AF5737" w:rsidP="002073D8">
            <w:pPr>
              <w:spacing w:before="0" w:after="0" w:line="240" w:lineRule="auto"/>
              <w:ind w:firstLine="0"/>
              <w:jc w:val="center"/>
              <w:rPr>
                <w:b/>
                <w:color w:val="FFFFFF"/>
              </w:rPr>
            </w:pPr>
            <w:r w:rsidRPr="001B5BE7">
              <w:rPr>
                <w:b/>
                <w:color w:val="FFFFFF"/>
              </w:rPr>
              <w:t>2024</w:t>
            </w:r>
          </w:p>
        </w:tc>
      </w:tr>
      <w:tr w:rsidR="00AF5737" w:rsidRPr="003F4C0B" w14:paraId="4AB7E761" w14:textId="77777777" w:rsidTr="002073D8">
        <w:trPr>
          <w:trHeight w:val="345"/>
        </w:trPr>
        <w:tc>
          <w:tcPr>
            <w:tcW w:w="2250" w:type="dxa"/>
            <w:tcBorders>
              <w:top w:val="nil"/>
              <w:left w:val="single" w:sz="8" w:space="0" w:color="4472C4"/>
              <w:bottom w:val="single" w:sz="8" w:space="0" w:color="4472C4"/>
              <w:right w:val="single" w:sz="8" w:space="0" w:color="4472C4"/>
            </w:tcBorders>
            <w:shd w:val="clear" w:color="auto" w:fill="auto"/>
            <w:noWrap/>
            <w:vAlign w:val="center"/>
            <w:hideMark/>
          </w:tcPr>
          <w:p w14:paraId="07BE8192" w14:textId="77777777" w:rsidR="00AF5737" w:rsidRPr="001B5BE7" w:rsidRDefault="00AF5737" w:rsidP="002073D8">
            <w:pPr>
              <w:spacing w:before="0" w:after="0" w:line="240" w:lineRule="auto"/>
              <w:ind w:firstLine="0"/>
              <w:rPr>
                <w:b/>
                <w:color w:val="000000"/>
              </w:rPr>
            </w:pPr>
            <w:r w:rsidRPr="001B5BE7">
              <w:rPr>
                <w:b/>
                <w:color w:val="000000"/>
              </w:rPr>
              <w:t>3-7 տոկոս</w:t>
            </w:r>
          </w:p>
        </w:tc>
        <w:tc>
          <w:tcPr>
            <w:tcW w:w="1080" w:type="dxa"/>
            <w:tcBorders>
              <w:top w:val="nil"/>
              <w:left w:val="nil"/>
              <w:bottom w:val="single" w:sz="8" w:space="0" w:color="4472C4"/>
              <w:right w:val="single" w:sz="8" w:space="0" w:color="4472C4"/>
            </w:tcBorders>
            <w:shd w:val="clear" w:color="auto" w:fill="auto"/>
            <w:noWrap/>
            <w:vAlign w:val="center"/>
            <w:hideMark/>
          </w:tcPr>
          <w:p w14:paraId="327D6155" w14:textId="77777777" w:rsidR="00AF5737" w:rsidRPr="001B5BE7" w:rsidRDefault="00AF5737" w:rsidP="002073D8">
            <w:pPr>
              <w:spacing w:before="0" w:after="0" w:line="240" w:lineRule="auto"/>
              <w:ind w:firstLine="0"/>
              <w:jc w:val="center"/>
              <w:rPr>
                <w:color w:val="000000"/>
              </w:rPr>
            </w:pPr>
            <w:r w:rsidRPr="001B5BE7">
              <w:rPr>
                <w:color w:val="000000"/>
              </w:rPr>
              <w:t>0.</w:t>
            </w:r>
            <w:r w:rsidRPr="003F4C0B">
              <w:rPr>
                <w:rFonts w:eastAsia="Times New Roman" w:cs="Calibri"/>
                <w:color w:val="000000"/>
              </w:rPr>
              <w:t>08</w:t>
            </w:r>
          </w:p>
        </w:tc>
        <w:tc>
          <w:tcPr>
            <w:tcW w:w="1260" w:type="dxa"/>
            <w:tcBorders>
              <w:top w:val="nil"/>
              <w:left w:val="nil"/>
              <w:bottom w:val="single" w:sz="8" w:space="0" w:color="4472C4"/>
              <w:right w:val="single" w:sz="8" w:space="0" w:color="4472C4"/>
            </w:tcBorders>
            <w:shd w:val="clear" w:color="auto" w:fill="auto"/>
            <w:noWrap/>
            <w:vAlign w:val="center"/>
            <w:hideMark/>
          </w:tcPr>
          <w:p w14:paraId="0F0BC290" w14:textId="77777777" w:rsidR="00AF5737" w:rsidRPr="001B5BE7" w:rsidRDefault="00AF5737" w:rsidP="002073D8">
            <w:pPr>
              <w:spacing w:before="0" w:after="0" w:line="240" w:lineRule="auto"/>
              <w:ind w:firstLine="0"/>
              <w:jc w:val="center"/>
              <w:rPr>
                <w:color w:val="000000"/>
              </w:rPr>
            </w:pPr>
            <w:r w:rsidRPr="001B5BE7">
              <w:rPr>
                <w:color w:val="000000"/>
              </w:rPr>
              <w:t>0.34</w:t>
            </w:r>
          </w:p>
        </w:tc>
        <w:tc>
          <w:tcPr>
            <w:tcW w:w="1350" w:type="dxa"/>
            <w:tcBorders>
              <w:top w:val="nil"/>
              <w:left w:val="nil"/>
              <w:bottom w:val="single" w:sz="8" w:space="0" w:color="4472C4"/>
              <w:right w:val="single" w:sz="8" w:space="0" w:color="4472C4"/>
            </w:tcBorders>
            <w:shd w:val="clear" w:color="auto" w:fill="auto"/>
            <w:noWrap/>
            <w:vAlign w:val="center"/>
            <w:hideMark/>
          </w:tcPr>
          <w:p w14:paraId="5133C921" w14:textId="77777777" w:rsidR="00AF5737" w:rsidRPr="001B5BE7" w:rsidRDefault="00AF5737" w:rsidP="002073D8">
            <w:pPr>
              <w:spacing w:before="0" w:after="0" w:line="240" w:lineRule="auto"/>
              <w:ind w:firstLine="0"/>
              <w:jc w:val="center"/>
              <w:rPr>
                <w:color w:val="000000"/>
              </w:rPr>
            </w:pPr>
            <w:r w:rsidRPr="001B5BE7">
              <w:rPr>
                <w:color w:val="000000"/>
              </w:rPr>
              <w:t>0.</w:t>
            </w:r>
            <w:r w:rsidRPr="003F4C0B">
              <w:rPr>
                <w:rFonts w:eastAsia="Times New Roman" w:cs="Calibri"/>
                <w:color w:val="000000"/>
              </w:rPr>
              <w:t>27</w:t>
            </w:r>
          </w:p>
        </w:tc>
      </w:tr>
      <w:tr w:rsidR="00AF5737" w:rsidRPr="003F4C0B" w14:paraId="6B38A41B" w14:textId="77777777" w:rsidTr="002073D8">
        <w:trPr>
          <w:trHeight w:val="345"/>
        </w:trPr>
        <w:tc>
          <w:tcPr>
            <w:tcW w:w="2250" w:type="dxa"/>
            <w:tcBorders>
              <w:top w:val="nil"/>
              <w:left w:val="single" w:sz="8" w:space="0" w:color="4472C4"/>
              <w:bottom w:val="single" w:sz="8" w:space="0" w:color="4472C4"/>
              <w:right w:val="single" w:sz="8" w:space="0" w:color="4472C4"/>
            </w:tcBorders>
            <w:shd w:val="clear" w:color="auto" w:fill="auto"/>
            <w:noWrap/>
            <w:vAlign w:val="center"/>
            <w:hideMark/>
          </w:tcPr>
          <w:p w14:paraId="0C345FC4" w14:textId="77777777" w:rsidR="00AF5737" w:rsidRPr="001B5BE7" w:rsidRDefault="00AF5737" w:rsidP="002073D8">
            <w:pPr>
              <w:spacing w:before="0" w:after="0" w:line="240" w:lineRule="auto"/>
              <w:ind w:firstLine="0"/>
              <w:rPr>
                <w:b/>
                <w:color w:val="000000"/>
              </w:rPr>
            </w:pPr>
            <w:r w:rsidRPr="001B5BE7">
              <w:rPr>
                <w:b/>
                <w:color w:val="000000"/>
              </w:rPr>
              <w:t>7-11 տոկոս</w:t>
            </w:r>
          </w:p>
        </w:tc>
        <w:tc>
          <w:tcPr>
            <w:tcW w:w="1080" w:type="dxa"/>
            <w:tcBorders>
              <w:top w:val="nil"/>
              <w:left w:val="nil"/>
              <w:bottom w:val="single" w:sz="8" w:space="0" w:color="4472C4"/>
              <w:right w:val="single" w:sz="8" w:space="0" w:color="4472C4"/>
            </w:tcBorders>
            <w:shd w:val="clear" w:color="auto" w:fill="auto"/>
            <w:noWrap/>
            <w:vAlign w:val="center"/>
            <w:hideMark/>
          </w:tcPr>
          <w:p w14:paraId="504A886A" w14:textId="77777777" w:rsidR="00AF5737" w:rsidRPr="001B5BE7" w:rsidRDefault="00AF5737" w:rsidP="002073D8">
            <w:pPr>
              <w:spacing w:before="0" w:after="0" w:line="240" w:lineRule="auto"/>
              <w:ind w:firstLine="0"/>
              <w:jc w:val="center"/>
              <w:rPr>
                <w:color w:val="000000"/>
              </w:rPr>
            </w:pPr>
            <w:r w:rsidRPr="001B5BE7">
              <w:rPr>
                <w:color w:val="000000"/>
              </w:rPr>
              <w:t>0.36</w:t>
            </w:r>
          </w:p>
        </w:tc>
        <w:tc>
          <w:tcPr>
            <w:tcW w:w="1260" w:type="dxa"/>
            <w:tcBorders>
              <w:top w:val="nil"/>
              <w:left w:val="nil"/>
              <w:bottom w:val="single" w:sz="8" w:space="0" w:color="4472C4"/>
              <w:right w:val="single" w:sz="8" w:space="0" w:color="4472C4"/>
            </w:tcBorders>
            <w:shd w:val="clear" w:color="auto" w:fill="auto"/>
            <w:noWrap/>
            <w:vAlign w:val="center"/>
            <w:hideMark/>
          </w:tcPr>
          <w:p w14:paraId="56603CC6" w14:textId="77777777" w:rsidR="00AF5737" w:rsidRPr="001B5BE7" w:rsidRDefault="00AF5737" w:rsidP="002073D8">
            <w:pPr>
              <w:spacing w:before="0" w:after="0" w:line="240" w:lineRule="auto"/>
              <w:ind w:firstLine="0"/>
              <w:jc w:val="center"/>
              <w:rPr>
                <w:b/>
                <w:i/>
                <w:color w:val="000000"/>
                <w:u w:val="single"/>
              </w:rPr>
            </w:pPr>
            <w:r w:rsidRPr="001B5BE7">
              <w:rPr>
                <w:b/>
                <w:i/>
                <w:color w:val="000000"/>
                <w:u w:val="single"/>
              </w:rPr>
              <w:t>0.</w:t>
            </w:r>
            <w:r w:rsidRPr="003F4C0B">
              <w:rPr>
                <w:rFonts w:eastAsia="Times New Roman" w:cs="Calibri"/>
                <w:b/>
                <w:bCs/>
                <w:i/>
                <w:iCs/>
                <w:color w:val="000000"/>
                <w:u w:val="single"/>
              </w:rPr>
              <w:t>45</w:t>
            </w:r>
          </w:p>
        </w:tc>
        <w:tc>
          <w:tcPr>
            <w:tcW w:w="1350" w:type="dxa"/>
            <w:tcBorders>
              <w:top w:val="nil"/>
              <w:left w:val="nil"/>
              <w:bottom w:val="single" w:sz="8" w:space="0" w:color="4472C4"/>
              <w:right w:val="single" w:sz="8" w:space="0" w:color="4472C4"/>
            </w:tcBorders>
            <w:shd w:val="clear" w:color="auto" w:fill="auto"/>
            <w:noWrap/>
            <w:vAlign w:val="center"/>
            <w:hideMark/>
          </w:tcPr>
          <w:p w14:paraId="450851D8" w14:textId="77777777" w:rsidR="00AF5737" w:rsidRPr="001B5BE7" w:rsidRDefault="00AF5737" w:rsidP="002073D8">
            <w:pPr>
              <w:spacing w:before="0" w:after="0" w:line="240" w:lineRule="auto"/>
              <w:ind w:firstLine="0"/>
              <w:jc w:val="center"/>
              <w:rPr>
                <w:b/>
                <w:i/>
                <w:color w:val="000000"/>
                <w:u w:val="single"/>
              </w:rPr>
            </w:pPr>
            <w:r w:rsidRPr="001B5BE7">
              <w:rPr>
                <w:b/>
                <w:i/>
                <w:color w:val="000000"/>
                <w:u w:val="single"/>
              </w:rPr>
              <w:t>0.</w:t>
            </w:r>
            <w:r w:rsidRPr="003F4C0B">
              <w:rPr>
                <w:rFonts w:eastAsia="Times New Roman" w:cs="Calibri"/>
                <w:b/>
                <w:bCs/>
                <w:i/>
                <w:iCs/>
                <w:color w:val="000000"/>
                <w:u w:val="single"/>
              </w:rPr>
              <w:t>43</w:t>
            </w:r>
          </w:p>
        </w:tc>
      </w:tr>
      <w:tr w:rsidR="00AF5737" w:rsidRPr="003F4C0B" w14:paraId="135FDF16" w14:textId="77777777" w:rsidTr="002073D8">
        <w:trPr>
          <w:trHeight w:val="345"/>
        </w:trPr>
        <w:tc>
          <w:tcPr>
            <w:tcW w:w="2250" w:type="dxa"/>
            <w:tcBorders>
              <w:top w:val="nil"/>
              <w:left w:val="single" w:sz="8" w:space="0" w:color="4472C4"/>
              <w:bottom w:val="single" w:sz="8" w:space="0" w:color="4472C4"/>
              <w:right w:val="single" w:sz="8" w:space="0" w:color="4472C4"/>
            </w:tcBorders>
            <w:shd w:val="clear" w:color="auto" w:fill="auto"/>
            <w:noWrap/>
            <w:vAlign w:val="center"/>
            <w:hideMark/>
          </w:tcPr>
          <w:p w14:paraId="76FC9B70" w14:textId="77777777" w:rsidR="00AF5737" w:rsidRPr="001B5BE7" w:rsidRDefault="00AF5737" w:rsidP="002073D8">
            <w:pPr>
              <w:spacing w:before="0" w:after="0" w:line="240" w:lineRule="auto"/>
              <w:ind w:firstLine="0"/>
              <w:rPr>
                <w:b/>
                <w:color w:val="000000"/>
              </w:rPr>
            </w:pPr>
            <w:r w:rsidRPr="001B5BE7">
              <w:rPr>
                <w:b/>
                <w:color w:val="000000"/>
              </w:rPr>
              <w:t>11-15 տոկոս</w:t>
            </w:r>
          </w:p>
        </w:tc>
        <w:tc>
          <w:tcPr>
            <w:tcW w:w="1080" w:type="dxa"/>
            <w:tcBorders>
              <w:top w:val="nil"/>
              <w:left w:val="nil"/>
              <w:bottom w:val="single" w:sz="8" w:space="0" w:color="4472C4"/>
              <w:right w:val="single" w:sz="8" w:space="0" w:color="4472C4"/>
            </w:tcBorders>
            <w:shd w:val="clear" w:color="auto" w:fill="auto"/>
            <w:noWrap/>
            <w:vAlign w:val="center"/>
            <w:hideMark/>
          </w:tcPr>
          <w:p w14:paraId="53E40CCD" w14:textId="77777777" w:rsidR="00AF5737" w:rsidRPr="001B5BE7" w:rsidRDefault="00AF5737" w:rsidP="002073D8">
            <w:pPr>
              <w:spacing w:before="0" w:after="0" w:line="240" w:lineRule="auto"/>
              <w:ind w:firstLine="0"/>
              <w:jc w:val="center"/>
              <w:rPr>
                <w:b/>
                <w:i/>
                <w:color w:val="000000"/>
                <w:u w:val="single"/>
              </w:rPr>
            </w:pPr>
            <w:r w:rsidRPr="001B5BE7">
              <w:rPr>
                <w:b/>
                <w:i/>
                <w:color w:val="000000"/>
                <w:u w:val="single"/>
              </w:rPr>
              <w:t>0.</w:t>
            </w:r>
            <w:r w:rsidRPr="003F4C0B">
              <w:rPr>
                <w:rFonts w:eastAsia="Times New Roman" w:cs="Calibri"/>
                <w:b/>
                <w:bCs/>
                <w:i/>
                <w:iCs/>
                <w:color w:val="000000"/>
                <w:u w:val="single"/>
              </w:rPr>
              <w:t>49</w:t>
            </w:r>
          </w:p>
        </w:tc>
        <w:tc>
          <w:tcPr>
            <w:tcW w:w="1260" w:type="dxa"/>
            <w:tcBorders>
              <w:top w:val="nil"/>
              <w:left w:val="nil"/>
              <w:bottom w:val="single" w:sz="8" w:space="0" w:color="4472C4"/>
              <w:right w:val="single" w:sz="8" w:space="0" w:color="4472C4"/>
            </w:tcBorders>
            <w:shd w:val="clear" w:color="auto" w:fill="auto"/>
            <w:noWrap/>
            <w:vAlign w:val="center"/>
            <w:hideMark/>
          </w:tcPr>
          <w:p w14:paraId="6ECBEAB6" w14:textId="77777777" w:rsidR="00AF5737" w:rsidRPr="001B5BE7" w:rsidRDefault="00AF5737" w:rsidP="002073D8">
            <w:pPr>
              <w:spacing w:before="0" w:after="0" w:line="240" w:lineRule="auto"/>
              <w:ind w:firstLine="0"/>
              <w:jc w:val="center"/>
              <w:rPr>
                <w:color w:val="000000"/>
              </w:rPr>
            </w:pPr>
            <w:r w:rsidRPr="001B5BE7">
              <w:rPr>
                <w:color w:val="000000"/>
              </w:rPr>
              <w:t>0.08</w:t>
            </w:r>
          </w:p>
        </w:tc>
        <w:tc>
          <w:tcPr>
            <w:tcW w:w="1350" w:type="dxa"/>
            <w:tcBorders>
              <w:top w:val="nil"/>
              <w:left w:val="nil"/>
              <w:bottom w:val="single" w:sz="8" w:space="0" w:color="4472C4"/>
              <w:right w:val="single" w:sz="8" w:space="0" w:color="4472C4"/>
            </w:tcBorders>
            <w:shd w:val="clear" w:color="auto" w:fill="auto"/>
            <w:noWrap/>
            <w:vAlign w:val="center"/>
            <w:hideMark/>
          </w:tcPr>
          <w:p w14:paraId="1FF84AF2" w14:textId="77777777" w:rsidR="00AF5737" w:rsidRPr="001B5BE7" w:rsidRDefault="00AF5737" w:rsidP="002073D8">
            <w:pPr>
              <w:spacing w:before="0" w:after="0" w:line="240" w:lineRule="auto"/>
              <w:ind w:firstLine="0"/>
              <w:jc w:val="center"/>
              <w:rPr>
                <w:color w:val="000000"/>
              </w:rPr>
            </w:pPr>
            <w:r w:rsidRPr="001B5BE7">
              <w:rPr>
                <w:color w:val="000000"/>
              </w:rPr>
              <w:t>0.</w:t>
            </w:r>
            <w:r w:rsidRPr="003F4C0B">
              <w:rPr>
                <w:rFonts w:eastAsia="Times New Roman" w:cs="Calibri"/>
                <w:color w:val="000000"/>
              </w:rPr>
              <w:t>18</w:t>
            </w:r>
          </w:p>
        </w:tc>
      </w:tr>
    </w:tbl>
    <w:p w14:paraId="5FFE192B" w14:textId="77777777" w:rsidR="00AF5737" w:rsidRPr="00FA1DE2" w:rsidRDefault="00AF5737" w:rsidP="00AF5737">
      <w:pPr>
        <w:spacing w:before="120" w:after="120" w:line="276" w:lineRule="auto"/>
        <w:ind w:firstLine="720"/>
        <w:rPr>
          <w:rFonts w:cs="Sylfaen"/>
          <w:lang w:val="hy-AM"/>
        </w:rPr>
      </w:pPr>
    </w:p>
    <w:p w14:paraId="32188015" w14:textId="77777777" w:rsidR="00AF5737" w:rsidRDefault="00AF5737" w:rsidP="00AF5737">
      <w:pPr>
        <w:spacing w:before="120" w:after="120" w:line="276" w:lineRule="auto"/>
        <w:ind w:firstLine="720"/>
        <w:rPr>
          <w:rFonts w:cs="Sylfaen"/>
          <w:lang w:val="hy-AM"/>
        </w:rPr>
      </w:pPr>
      <w:r w:rsidRPr="00FA1DE2">
        <w:rPr>
          <w:rFonts w:cs="Sylfaen"/>
          <w:lang w:val="hy-AM"/>
        </w:rPr>
        <w:t xml:space="preserve">Աղյուսակ 3.1.3-ի առաջին սյունը ներկայացնում է հարկային եկամուտների աճի միջակայքերը, իսկ 2-ից 4-րդ սյուները` նշված միջակայքերից յուրաքանչյուրում այդ աճի ձևավորվելու հավանականությունները` ըստ միջնաժամկետ կանխատեսումների: </w:t>
      </w:r>
      <w:r w:rsidRPr="004C43C1">
        <w:rPr>
          <w:rFonts w:cs="Sylfaen"/>
          <w:lang w:val="hy-AM"/>
        </w:rPr>
        <w:t xml:space="preserve">Համաձայն գնահատականների, 2022 թվականին հարկային եկամուտների աճի </w:t>
      </w:r>
      <w:r>
        <w:rPr>
          <w:rFonts w:cs="Sylfaen"/>
          <w:lang w:val="hy-AM"/>
        </w:rPr>
        <w:t>տեմպի՝ 11-15% միջակայքում գտնվելու հավանականությունն ամենաբարձրն է, իսկ 2023 և 2024 թվականներին հարկային եկամուտների աճի տեմպը ամենաբարձր հավանականությամբ կգտնվի 7-11% միջակայքում</w:t>
      </w:r>
      <w:r w:rsidRPr="00FA1DE2">
        <w:rPr>
          <w:rFonts w:cs="Sylfaen"/>
          <w:lang w:val="hy-AM"/>
        </w:rPr>
        <w:t xml:space="preserve"> (Գծապատկեր 3.1-ում այն մուգ կարմիր է, իսկ Աղյուսակ 3.1.3-ում՝ հոծ նշումով): </w:t>
      </w:r>
    </w:p>
    <w:p w14:paraId="70F669F6" w14:textId="77777777" w:rsidR="002E2141" w:rsidRDefault="002E2141" w:rsidP="00AF5737">
      <w:pPr>
        <w:spacing w:before="120" w:after="120" w:line="276" w:lineRule="auto"/>
        <w:ind w:firstLine="720"/>
        <w:rPr>
          <w:rFonts w:cs="Sylfaen"/>
          <w:lang w:val="hy-AM"/>
        </w:rPr>
      </w:pPr>
    </w:p>
    <w:p w14:paraId="384BF562" w14:textId="77777777" w:rsidR="002E2141" w:rsidRPr="007F33E4" w:rsidRDefault="002E2141" w:rsidP="00AF5737">
      <w:pPr>
        <w:spacing w:before="120" w:after="120" w:line="276" w:lineRule="auto"/>
        <w:ind w:firstLine="720"/>
        <w:rPr>
          <w:rFonts w:cs="Sylfaen"/>
          <w:lang w:val="hy-AM"/>
        </w:rPr>
      </w:pPr>
    </w:p>
    <w:p w14:paraId="5511838C" w14:textId="77777777" w:rsidR="00AF5737" w:rsidRPr="00FA1DE2" w:rsidRDefault="00AF5737" w:rsidP="00AF5737">
      <w:pPr>
        <w:pBdr>
          <w:top w:val="single" w:sz="4" w:space="0" w:color="auto"/>
          <w:left w:val="single" w:sz="4" w:space="4" w:color="auto"/>
          <w:bottom w:val="single" w:sz="4" w:space="1" w:color="auto"/>
          <w:right w:val="single" w:sz="4" w:space="4" w:color="auto"/>
        </w:pBdr>
        <w:shd w:val="clear" w:color="auto" w:fill="D9D9D9"/>
        <w:spacing w:after="120" w:line="276" w:lineRule="auto"/>
        <w:ind w:firstLine="720"/>
        <w:rPr>
          <w:rFonts w:cs="Sylfaen"/>
          <w:b/>
          <w:lang w:val="hy-AM"/>
        </w:rPr>
      </w:pPr>
      <w:r w:rsidRPr="00FA1DE2">
        <w:rPr>
          <w:rFonts w:cs="Sylfaen"/>
          <w:b/>
          <w:lang w:val="hy-AM"/>
        </w:rPr>
        <w:t xml:space="preserve">Ներդիր </w:t>
      </w:r>
    </w:p>
    <w:p w14:paraId="1BF06EA0" w14:textId="77777777" w:rsidR="00AF5737" w:rsidRPr="00FA1DE2" w:rsidRDefault="00AF5737" w:rsidP="00AF5737">
      <w:pPr>
        <w:pBdr>
          <w:top w:val="single" w:sz="4" w:space="0" w:color="auto"/>
          <w:left w:val="single" w:sz="4" w:space="4" w:color="auto"/>
          <w:bottom w:val="single" w:sz="4" w:space="1" w:color="auto"/>
          <w:right w:val="single" w:sz="4" w:space="4" w:color="auto"/>
        </w:pBdr>
        <w:shd w:val="clear" w:color="auto" w:fill="D9D9D9"/>
        <w:spacing w:after="0" w:line="276" w:lineRule="auto"/>
        <w:ind w:firstLine="720"/>
        <w:rPr>
          <w:rFonts w:cs="Sylfaen"/>
          <w:lang w:val="hy-AM"/>
        </w:rPr>
      </w:pPr>
      <w:r w:rsidRPr="00FA1DE2">
        <w:rPr>
          <w:rFonts w:cs="Sylfaen"/>
          <w:b/>
          <w:lang w:val="hy-AM"/>
        </w:rPr>
        <w:t>Իրական ՀՆԱ-ի և հարկային եկամուտների կանխատեսումների հավանականային բաշխման գծապատկերի կառուցումը</w:t>
      </w:r>
    </w:p>
    <w:p w14:paraId="71D09EA7" w14:textId="77777777" w:rsidR="00AF5737" w:rsidRPr="00FA1DE2" w:rsidRDefault="00AF5737" w:rsidP="00AF5737">
      <w:pPr>
        <w:pBdr>
          <w:top w:val="single" w:sz="4" w:space="0" w:color="auto"/>
          <w:left w:val="single" w:sz="4" w:space="4" w:color="auto"/>
          <w:bottom w:val="single" w:sz="4" w:space="1" w:color="auto"/>
          <w:right w:val="single" w:sz="4" w:space="4" w:color="auto"/>
        </w:pBdr>
        <w:shd w:val="clear" w:color="auto" w:fill="D9D9D9"/>
        <w:spacing w:after="120" w:line="276" w:lineRule="auto"/>
        <w:ind w:firstLine="720"/>
        <w:rPr>
          <w:lang w:val="hy-AM"/>
        </w:rPr>
      </w:pPr>
      <w:r w:rsidRPr="00FA1DE2">
        <w:rPr>
          <w:rFonts w:cs="Sylfaen"/>
          <w:lang w:val="hy-AM"/>
        </w:rPr>
        <w:t xml:space="preserve">Իրական ՀՆԱ-ի </w:t>
      </w:r>
      <w:r w:rsidRPr="00FA1DE2">
        <w:rPr>
          <w:lang w:val="hy-AM"/>
        </w:rPr>
        <w:t xml:space="preserve">և հարկային եկամուտների կանխատեսումների </w:t>
      </w:r>
      <w:r w:rsidRPr="00FA1DE2">
        <w:rPr>
          <w:rFonts w:cs="Sylfaen"/>
          <w:lang w:val="hy-AM"/>
        </w:rPr>
        <w:t>հավանականային</w:t>
      </w:r>
      <w:r w:rsidRPr="00FA1DE2">
        <w:rPr>
          <w:lang w:val="hy-AM"/>
        </w:rPr>
        <w:t xml:space="preserve"> բ</w:t>
      </w:r>
      <w:r w:rsidRPr="00FA1DE2">
        <w:rPr>
          <w:rFonts w:cs="Sylfaen"/>
          <w:lang w:val="hy-AM"/>
        </w:rPr>
        <w:t xml:space="preserve">աշխումը ներկայացնող գծապատկերները ցույց </w:t>
      </w:r>
      <w:r w:rsidRPr="00FA1DE2">
        <w:rPr>
          <w:lang w:val="hy-AM"/>
        </w:rPr>
        <w:t xml:space="preserve">են </w:t>
      </w:r>
      <w:r w:rsidRPr="00FA1DE2">
        <w:rPr>
          <w:rFonts w:cs="Sylfaen"/>
          <w:lang w:val="hy-AM"/>
        </w:rPr>
        <w:t>տալիս տնտեսության զարգացման ապագա ընթացքի վերաբերյալ կառավարության գնահատականները` տնտեսական աճի ծրագրային ցուցանիշների վերաբերյալ, ինչպես նաև հարկային եկամուտների հավաքագրման կանխատեսվող ընթացքը</w:t>
      </w:r>
      <w:r w:rsidRPr="00FA1DE2">
        <w:rPr>
          <w:lang w:val="hy-AM"/>
        </w:rPr>
        <w:t>:</w:t>
      </w:r>
    </w:p>
    <w:p w14:paraId="6B636526" w14:textId="77777777" w:rsidR="00AF5737" w:rsidRPr="00FA1DE2" w:rsidRDefault="00AF5737" w:rsidP="00AF5737">
      <w:pPr>
        <w:pBdr>
          <w:top w:val="single" w:sz="4" w:space="0" w:color="auto"/>
          <w:left w:val="single" w:sz="4" w:space="4" w:color="auto"/>
          <w:bottom w:val="single" w:sz="4" w:space="1" w:color="auto"/>
          <w:right w:val="single" w:sz="4" w:space="4" w:color="auto"/>
        </w:pBdr>
        <w:shd w:val="clear" w:color="auto" w:fill="D9D9D9"/>
        <w:spacing w:after="120" w:line="276" w:lineRule="auto"/>
        <w:ind w:firstLine="720"/>
        <w:rPr>
          <w:rFonts w:cs="Sylfaen"/>
          <w:lang w:val="hy-AM"/>
        </w:rPr>
      </w:pPr>
      <w:r w:rsidRPr="00FA1DE2">
        <w:rPr>
          <w:rFonts w:cs="Sylfaen"/>
          <w:lang w:val="hy-AM"/>
        </w:rPr>
        <w:t>Կանխատեսումների հավանականային բաշխման գծապատկերի կառուցման անհրաժեշտությունը պայմանավորված է նրանով</w:t>
      </w:r>
      <w:r w:rsidRPr="00FA1DE2">
        <w:rPr>
          <w:lang w:val="hy-AM"/>
        </w:rPr>
        <w:t xml:space="preserve">, </w:t>
      </w:r>
      <w:r w:rsidRPr="00FA1DE2">
        <w:rPr>
          <w:rFonts w:cs="Sylfaen"/>
          <w:lang w:val="hy-AM"/>
        </w:rPr>
        <w:t>որ բոլոր կանխատեսումները ինչ</w:t>
      </w:r>
      <w:r w:rsidRPr="00FA1DE2">
        <w:rPr>
          <w:lang w:val="hy-AM"/>
        </w:rPr>
        <w:t>-</w:t>
      </w:r>
      <w:r w:rsidRPr="00FA1DE2">
        <w:rPr>
          <w:rFonts w:cs="Sylfaen"/>
          <w:lang w:val="hy-AM"/>
        </w:rPr>
        <w:t>որ չափով անորոշ են</w:t>
      </w:r>
      <w:r w:rsidRPr="00FA1DE2">
        <w:rPr>
          <w:lang w:val="hy-AM"/>
        </w:rPr>
        <w:t xml:space="preserve">: </w:t>
      </w:r>
      <w:r w:rsidRPr="00FA1DE2">
        <w:rPr>
          <w:rFonts w:cs="Sylfaen"/>
          <w:lang w:val="hy-AM"/>
        </w:rPr>
        <w:t>Կարևոր է հաշվի առնել ոչ միայն կոնկրետ կանխատեսված արժեքները</w:t>
      </w:r>
      <w:r w:rsidRPr="00FA1DE2">
        <w:rPr>
          <w:lang w:val="hy-AM"/>
        </w:rPr>
        <w:t xml:space="preserve">, </w:t>
      </w:r>
      <w:r w:rsidRPr="00FA1DE2">
        <w:rPr>
          <w:rFonts w:cs="Sylfaen"/>
          <w:lang w:val="hy-AM"/>
        </w:rPr>
        <w:t>այլ նաև բոլոր այն</w:t>
      </w:r>
      <w:r w:rsidRPr="00FA1DE2">
        <w:rPr>
          <w:lang w:val="hy-AM"/>
        </w:rPr>
        <w:t xml:space="preserve"> վերոնշյալ </w:t>
      </w:r>
      <w:r w:rsidRPr="00FA1DE2">
        <w:rPr>
          <w:rFonts w:cs="Sylfaen"/>
          <w:lang w:val="hy-AM"/>
        </w:rPr>
        <w:t>ռիսկերը</w:t>
      </w:r>
      <w:r w:rsidRPr="00FA1DE2">
        <w:rPr>
          <w:lang w:val="hy-AM"/>
        </w:rPr>
        <w:t xml:space="preserve">, </w:t>
      </w:r>
      <w:r w:rsidRPr="00FA1DE2">
        <w:rPr>
          <w:rFonts w:cs="Sylfaen"/>
          <w:lang w:val="hy-AM"/>
        </w:rPr>
        <w:t>որոնց արդյունքում կարող են շեղումներ առաջանալ իրական ՀՆԱ-ի կանխատեսումների և հարկերի կանխատեսումների կենտրոնական արժեքներից</w:t>
      </w:r>
      <w:r w:rsidRPr="00FA1DE2">
        <w:rPr>
          <w:lang w:val="hy-AM"/>
        </w:rPr>
        <w:t xml:space="preserve">: </w:t>
      </w:r>
      <w:r w:rsidRPr="00FA1DE2">
        <w:rPr>
          <w:rFonts w:cs="Sylfaen"/>
          <w:lang w:val="hy-AM"/>
        </w:rPr>
        <w:t>Հիմնվելով միայն կետային կանխատեսումների վրա հնարավոր չէ բավարար չափով տեղեկատվություն ներկայացնել դրանց հետ կապված անորոշությունների և</w:t>
      </w:r>
      <w:r w:rsidRPr="00FA1DE2">
        <w:rPr>
          <w:lang w:val="hy-AM"/>
        </w:rPr>
        <w:t xml:space="preserve"> դրանց </w:t>
      </w:r>
      <w:r w:rsidRPr="00FA1DE2">
        <w:rPr>
          <w:rFonts w:cs="Sylfaen"/>
          <w:lang w:val="hy-AM"/>
        </w:rPr>
        <w:t>աղբյուրների վերաբերյալ</w:t>
      </w:r>
      <w:r w:rsidRPr="00FA1DE2">
        <w:rPr>
          <w:lang w:val="hy-AM"/>
        </w:rPr>
        <w:t xml:space="preserve">: </w:t>
      </w:r>
      <w:r w:rsidRPr="00FA1DE2">
        <w:rPr>
          <w:rFonts w:cs="Sylfaen"/>
          <w:lang w:val="hy-AM"/>
        </w:rPr>
        <w:t>Այդ պատճառով կարևորվում է որոշակի վստահության միջակայքի կառուցման խնդիրը</w:t>
      </w:r>
      <w:r w:rsidRPr="00FA1DE2">
        <w:rPr>
          <w:lang w:val="hy-AM"/>
        </w:rPr>
        <w:t xml:space="preserve">, </w:t>
      </w:r>
      <w:r w:rsidRPr="00FA1DE2">
        <w:rPr>
          <w:rFonts w:cs="Sylfaen"/>
          <w:lang w:val="hy-AM"/>
        </w:rPr>
        <w:t>որը թույլ կտա գնահատել իրադարձությունների զարգացման հավանական ընթացքը</w:t>
      </w:r>
      <w:r w:rsidRPr="00FA1DE2">
        <w:rPr>
          <w:lang w:val="hy-AM"/>
        </w:rPr>
        <w:t xml:space="preserve">: Իրական ՀՆԱ-ի և հարկերի կանխատեսումների հավանականային բաշխման ներկայացված գծապատկերները հիմնվում են </w:t>
      </w:r>
      <w:r w:rsidRPr="00FA1DE2">
        <w:rPr>
          <w:rFonts w:cs="Sylfaen"/>
          <w:lang w:val="hy-AM"/>
        </w:rPr>
        <w:t>Անգլիայի բանկի կողմից մշակված մեթոդաբանության վրա և հաշվի է առնում</w:t>
      </w:r>
      <w:r w:rsidRPr="00FA1DE2">
        <w:rPr>
          <w:lang w:val="hy-AM"/>
        </w:rPr>
        <w:t xml:space="preserve"> կանխատեսումների հավանականային բաշխման </w:t>
      </w:r>
      <w:r w:rsidRPr="00FA1DE2">
        <w:rPr>
          <w:rFonts w:cs="Sylfaen"/>
          <w:lang w:val="hy-AM"/>
        </w:rPr>
        <w:t>ասիմետրիկության առկայությունը</w:t>
      </w:r>
      <w:r w:rsidRPr="00FA1DE2">
        <w:rPr>
          <w:lang w:val="hy-AM"/>
        </w:rPr>
        <w:t xml:space="preserve">: </w:t>
      </w:r>
    </w:p>
    <w:p w14:paraId="5F2C6601" w14:textId="77777777" w:rsidR="00AF5737" w:rsidRPr="00FA1DE2" w:rsidRDefault="00AF5737" w:rsidP="00AF5737">
      <w:pPr>
        <w:pBdr>
          <w:top w:val="single" w:sz="4" w:space="0" w:color="auto"/>
          <w:left w:val="single" w:sz="4" w:space="4" w:color="auto"/>
          <w:bottom w:val="single" w:sz="4" w:space="1" w:color="auto"/>
          <w:right w:val="single" w:sz="4" w:space="4" w:color="auto"/>
        </w:pBdr>
        <w:shd w:val="clear" w:color="auto" w:fill="D9D9D9"/>
        <w:spacing w:after="120" w:line="276" w:lineRule="auto"/>
        <w:ind w:firstLine="720"/>
        <w:rPr>
          <w:lang w:val="hy-AM"/>
        </w:rPr>
      </w:pPr>
      <w:r w:rsidRPr="00FA1DE2">
        <w:rPr>
          <w:rFonts w:cs="Sylfaen"/>
          <w:lang w:val="hy-AM"/>
        </w:rPr>
        <w:t>Հայաստանի համար իրական ՀՆԱ-ի և հարկերի աճի կանխատեսումների բաշխման գծապատկերները կառուցվել են երեք չափորոշիչների հիման վրա.</w:t>
      </w:r>
    </w:p>
    <w:p w14:paraId="4552104D" w14:textId="77777777" w:rsidR="00AF5737" w:rsidRPr="00FA1DE2" w:rsidRDefault="00AF5737" w:rsidP="00AF5737">
      <w:pPr>
        <w:pBdr>
          <w:top w:val="single" w:sz="4" w:space="0" w:color="auto"/>
          <w:left w:val="single" w:sz="4" w:space="4" w:color="auto"/>
          <w:bottom w:val="single" w:sz="4" w:space="1" w:color="auto"/>
          <w:right w:val="single" w:sz="4" w:space="4" w:color="auto"/>
        </w:pBdr>
        <w:shd w:val="clear" w:color="auto" w:fill="D9D9D9"/>
        <w:spacing w:after="120" w:line="276" w:lineRule="auto"/>
        <w:ind w:firstLine="720"/>
        <w:rPr>
          <w:rFonts w:cs="Sylfaen"/>
          <w:lang w:val="hy-AM"/>
        </w:rPr>
      </w:pPr>
      <w:r w:rsidRPr="00FA1DE2">
        <w:rPr>
          <w:lang w:val="hy-AM"/>
        </w:rPr>
        <w:t xml:space="preserve">1. </w:t>
      </w:r>
      <w:r w:rsidRPr="00FA1DE2">
        <w:rPr>
          <w:rFonts w:cs="Sylfaen"/>
          <w:lang w:val="hy-AM"/>
        </w:rPr>
        <w:t xml:space="preserve">կենտրոնական արժեքները, </w:t>
      </w:r>
      <w:r w:rsidRPr="00FA1DE2">
        <w:rPr>
          <w:lang w:val="hy-AM"/>
        </w:rPr>
        <w:t xml:space="preserve">2. </w:t>
      </w:r>
      <w:r w:rsidRPr="00FA1DE2">
        <w:rPr>
          <w:rFonts w:cs="Sylfaen"/>
          <w:lang w:val="hy-AM"/>
        </w:rPr>
        <w:t>անորոշության չափը</w:t>
      </w:r>
      <w:r w:rsidRPr="00FA1DE2">
        <w:rPr>
          <w:lang w:val="hy-AM"/>
        </w:rPr>
        <w:t xml:space="preserve"> (</w:t>
      </w:r>
      <w:r w:rsidRPr="00FA1DE2">
        <w:rPr>
          <w:rFonts w:cs="Sylfaen"/>
          <w:lang w:val="hy-AM"/>
        </w:rPr>
        <w:t>դիսպերսիան</w:t>
      </w:r>
      <w:r w:rsidRPr="00FA1DE2">
        <w:rPr>
          <w:lang w:val="hy-AM"/>
        </w:rPr>
        <w:t>),</w:t>
      </w:r>
      <w:r w:rsidRPr="00FA1DE2">
        <w:rPr>
          <w:rFonts w:cs="Sylfaen"/>
          <w:lang w:val="hy-AM"/>
        </w:rPr>
        <w:t xml:space="preserve"> որը ստանալու համար հիմք են հանդիսացել փաստացի պատմական շարքերի կանխատեսումային սխալները և </w:t>
      </w:r>
      <w:r w:rsidRPr="00FA1DE2">
        <w:rPr>
          <w:lang w:val="hy-AM"/>
        </w:rPr>
        <w:t xml:space="preserve">3. </w:t>
      </w:r>
      <w:r w:rsidRPr="00FA1DE2">
        <w:rPr>
          <w:rFonts w:cs="Sylfaen"/>
          <w:lang w:val="hy-AM"/>
        </w:rPr>
        <w:t>ռիսկերի հարաբերական հաշվեկշիռը՝ անհամաչափության գործակցի գնահատման նպատակով:</w:t>
      </w:r>
    </w:p>
    <w:p w14:paraId="78482EF0" w14:textId="77777777" w:rsidR="00AF5737" w:rsidRPr="00FA1DE2" w:rsidRDefault="00AF5737" w:rsidP="00AF5737">
      <w:pPr>
        <w:pBdr>
          <w:top w:val="single" w:sz="4" w:space="0" w:color="auto"/>
          <w:left w:val="single" w:sz="4" w:space="4" w:color="auto"/>
          <w:bottom w:val="single" w:sz="4" w:space="1" w:color="auto"/>
          <w:right w:val="single" w:sz="4" w:space="4" w:color="auto"/>
        </w:pBdr>
        <w:shd w:val="clear" w:color="auto" w:fill="D9D9D9"/>
        <w:spacing w:after="120" w:line="276" w:lineRule="auto"/>
        <w:ind w:firstLine="720"/>
        <w:rPr>
          <w:lang w:val="hy-AM"/>
        </w:rPr>
      </w:pPr>
      <w:r w:rsidRPr="00FA1DE2">
        <w:rPr>
          <w:rFonts w:cs="Sylfaen"/>
          <w:lang w:val="hy-AM"/>
        </w:rPr>
        <w:t>Ունենալով կանխատեսված</w:t>
      </w:r>
      <w:r w:rsidRPr="00FA1DE2">
        <w:rPr>
          <w:lang w:val="hy-AM"/>
        </w:rPr>
        <w:t xml:space="preserve"> կենտրոնական արժեքները, անորոշության չափը (ցրվածքը) և ռիսկերի հաշվեկշիռը` կառուցվել են իրական ՀՆԱ-ի և հարկերի կանխատեսումների հավանականային բաշխման գրաֆիկները 2022-2024 թվականների համար (տես` Գծապատկեր 3.1):</w:t>
      </w:r>
    </w:p>
    <w:p w14:paraId="043DACA5" w14:textId="77777777" w:rsidR="00AF5737" w:rsidRPr="00FA1DE2" w:rsidRDefault="00AF5737" w:rsidP="00AF5737">
      <w:pPr>
        <w:pBdr>
          <w:top w:val="single" w:sz="4" w:space="0" w:color="auto"/>
          <w:left w:val="single" w:sz="4" w:space="4" w:color="auto"/>
          <w:bottom w:val="single" w:sz="4" w:space="1" w:color="auto"/>
          <w:right w:val="single" w:sz="4" w:space="4" w:color="auto"/>
        </w:pBdr>
        <w:shd w:val="clear" w:color="auto" w:fill="D9D9D9"/>
        <w:spacing w:after="120" w:line="276" w:lineRule="auto"/>
        <w:ind w:firstLine="720"/>
        <w:rPr>
          <w:lang w:val="hy-AM"/>
        </w:rPr>
      </w:pPr>
      <w:r w:rsidRPr="00FA1DE2">
        <w:rPr>
          <w:rFonts w:cs="Sylfaen"/>
          <w:lang w:val="hy-AM"/>
        </w:rPr>
        <w:t>ՀՆԱ-ի և հարկերի կանխատեսման գծապատկերներում կենտրոնական մուգ</w:t>
      </w:r>
      <w:r w:rsidRPr="00FA1DE2">
        <w:rPr>
          <w:lang w:val="hy-AM"/>
        </w:rPr>
        <w:t xml:space="preserve"> (</w:t>
      </w:r>
      <w:r w:rsidRPr="00FA1DE2">
        <w:rPr>
          <w:rFonts w:cs="Sylfaen"/>
          <w:lang w:val="hy-AM"/>
        </w:rPr>
        <w:t>կարմիր)</w:t>
      </w:r>
      <w:r w:rsidRPr="00FA1DE2">
        <w:rPr>
          <w:lang w:val="hy-AM"/>
        </w:rPr>
        <w:t xml:space="preserve"> ավելի նեղ </w:t>
      </w:r>
      <w:r w:rsidRPr="00FA1DE2">
        <w:rPr>
          <w:rFonts w:cs="Sylfaen"/>
          <w:lang w:val="hy-AM"/>
        </w:rPr>
        <w:t>միջակայքը ներառում է նաև</w:t>
      </w:r>
      <w:r w:rsidRPr="00FA1DE2">
        <w:rPr>
          <w:lang w:val="hy-AM"/>
        </w:rPr>
        <w:t xml:space="preserve"> կանխատեսման </w:t>
      </w:r>
      <w:r w:rsidRPr="00FA1DE2">
        <w:rPr>
          <w:rFonts w:cs="Sylfaen"/>
          <w:lang w:val="hy-AM"/>
        </w:rPr>
        <w:t>կենտրոնական սցենարը</w:t>
      </w:r>
      <w:r w:rsidRPr="00FA1DE2">
        <w:rPr>
          <w:lang w:val="hy-AM"/>
        </w:rPr>
        <w:t xml:space="preserve"> (</w:t>
      </w:r>
      <w:r w:rsidRPr="00FA1DE2">
        <w:rPr>
          <w:rFonts w:cs="Sylfaen"/>
          <w:lang w:val="hy-AM"/>
        </w:rPr>
        <w:t>կանխատեսված արժեքները</w:t>
      </w:r>
      <w:r w:rsidRPr="00FA1DE2">
        <w:rPr>
          <w:lang w:val="hy-AM"/>
        </w:rPr>
        <w:t>): Որքան հավանականային կանխատեսումները հեռանում են կենտրոնական սցենարից, այնքան ավելի ցածր է դառնում դրանց իրագործման հավանականությունը, ինչը գծապատկերում արտահայտվում է ավելի թույլ գունավորմամբ: Ներկայացված բաշխումը սիմետրիկ չէ, քանի որ ապագայի համար առկա են տնտեսական աճի և հարկերի կենտրոնական կանխատեսումից ավելի ցածր մակարդակների ձևավորման ռիսկեր:</w:t>
      </w:r>
    </w:p>
    <w:p w14:paraId="4D14E85E" w14:textId="77777777" w:rsidR="00AF5737" w:rsidRPr="00FA1DE2" w:rsidRDefault="00AF5737" w:rsidP="00AF5737">
      <w:pPr>
        <w:pStyle w:val="BodyText2"/>
        <w:spacing w:line="276" w:lineRule="auto"/>
        <w:ind w:firstLine="0"/>
        <w:rPr>
          <w:b/>
          <w:color w:val="1F497D" w:themeColor="text2"/>
          <w:sz w:val="24"/>
          <w:szCs w:val="24"/>
          <w:lang w:val="hy-AM"/>
        </w:rPr>
      </w:pPr>
    </w:p>
    <w:p w14:paraId="3623415B" w14:textId="77777777" w:rsidR="00AF5737" w:rsidRPr="00FA1DE2" w:rsidRDefault="00AF5737" w:rsidP="00AF5737">
      <w:pPr>
        <w:pStyle w:val="BodyText2"/>
        <w:spacing w:line="276" w:lineRule="auto"/>
        <w:ind w:firstLine="0"/>
        <w:rPr>
          <w:b/>
          <w:color w:val="1F497D" w:themeColor="text2"/>
          <w:sz w:val="24"/>
          <w:szCs w:val="24"/>
          <w:lang w:val="hy-AM"/>
        </w:rPr>
      </w:pPr>
      <w:r w:rsidRPr="00FA1DE2">
        <w:rPr>
          <w:b/>
          <w:color w:val="1F497D" w:themeColor="text2"/>
          <w:sz w:val="24"/>
          <w:szCs w:val="24"/>
          <w:lang w:val="hy-AM"/>
        </w:rPr>
        <w:t>3.2. Պետական բյուջեի վրա մակրոտնտեսական ցուցանիշների կանխատեսվածից շեղման ռիսկերի ազդեցության ընդհանուր գնահատականը և դրանց մեղմման հնարավորությունները</w:t>
      </w:r>
    </w:p>
    <w:p w14:paraId="018F066C" w14:textId="77777777" w:rsidR="00AF5737" w:rsidRPr="00FA1DE2" w:rsidRDefault="00AF5737" w:rsidP="00AF5737">
      <w:pPr>
        <w:spacing w:after="120" w:line="276" w:lineRule="auto"/>
        <w:ind w:firstLine="720"/>
        <w:rPr>
          <w:rFonts w:cs="Sylfaen"/>
          <w:lang w:val="hy-AM"/>
        </w:rPr>
      </w:pPr>
      <w:r w:rsidRPr="00FA1DE2">
        <w:rPr>
          <w:rFonts w:cs="Sylfaen"/>
          <w:lang w:val="hy-AM"/>
        </w:rPr>
        <w:t>Կանխատեսումներում մեծ ուշադրություն է դարձվում նաև պետական բյուջեի ծախսերի պլանավորված մակարդակների ապահովումը խաթարող ռիսկերին, որոնք կարող են հանգեցնել լրացուցիչ ֆինանսավորման պահանջի առաջացման:</w:t>
      </w:r>
    </w:p>
    <w:p w14:paraId="66F5FFD9" w14:textId="77777777" w:rsidR="00AF5737" w:rsidRPr="001B5BE7" w:rsidRDefault="00AF5737" w:rsidP="00010E8E">
      <w:pPr>
        <w:pStyle w:val="afa"/>
      </w:pPr>
      <w:r w:rsidRPr="00FA1DE2">
        <w:t>Աղյուսակ 3.2.1 ՀՀ պետական բյուջեի հարկային եկամուտների և ծախսերի, ինչպես նաև այլ հոսքերի գծով ռիսկերի ընդհանուր ազդեցությունը</w:t>
      </w:r>
      <w:r w:rsidRPr="00FA1DE2">
        <w:rPr>
          <w:vertAlign w:val="superscript"/>
        </w:rPr>
        <w:footnoteReference w:id="39"/>
      </w:r>
      <w:r w:rsidRPr="00FA1DE2">
        <w:t>. (ֆինանսավորման պահանջ` - պահանջի մեծացում, + պահանջի նվազում), մլրդ ՀՀ դրամ</w:t>
      </w:r>
      <w:r>
        <w:t xml:space="preserve"> </w:t>
      </w:r>
    </w:p>
    <w:tbl>
      <w:tblPr>
        <w:tblW w:w="9835" w:type="dxa"/>
        <w:tblInd w:w="113" w:type="dxa"/>
        <w:tblLook w:val="04A0" w:firstRow="1" w:lastRow="0" w:firstColumn="1" w:lastColumn="0" w:noHBand="0" w:noVBand="1"/>
      </w:tblPr>
      <w:tblGrid>
        <w:gridCol w:w="4720"/>
        <w:gridCol w:w="1705"/>
        <w:gridCol w:w="1705"/>
        <w:gridCol w:w="1705"/>
      </w:tblGrid>
      <w:tr w:rsidR="00AF5737" w:rsidRPr="008A3399" w14:paraId="4BDE36A5" w14:textId="77777777" w:rsidTr="002073D8">
        <w:trPr>
          <w:trHeight w:val="658"/>
        </w:trPr>
        <w:tc>
          <w:tcPr>
            <w:tcW w:w="4720" w:type="dxa"/>
            <w:vMerge w:val="restart"/>
            <w:tcBorders>
              <w:top w:val="single" w:sz="4" w:space="0" w:color="333399"/>
              <w:left w:val="single" w:sz="4" w:space="0" w:color="333399"/>
              <w:bottom w:val="nil"/>
              <w:right w:val="single" w:sz="4" w:space="0" w:color="333399"/>
            </w:tcBorders>
            <w:shd w:val="clear" w:color="000000" w:fill="0066CC"/>
            <w:vAlign w:val="center"/>
            <w:hideMark/>
          </w:tcPr>
          <w:p w14:paraId="066524E4" w14:textId="77777777" w:rsidR="00AF5737" w:rsidRPr="001B5BE7" w:rsidRDefault="00AF5737" w:rsidP="002073D8">
            <w:pPr>
              <w:spacing w:before="0" w:after="0" w:line="240" w:lineRule="auto"/>
              <w:ind w:firstLine="0"/>
              <w:jc w:val="center"/>
              <w:rPr>
                <w:b/>
                <w:color w:val="FFFFFF"/>
              </w:rPr>
            </w:pPr>
            <w:r w:rsidRPr="001B5BE7">
              <w:rPr>
                <w:b/>
                <w:color w:val="FFFFFF"/>
              </w:rPr>
              <w:t>Մակրոտնտեսական ցուցանիշների կանխատեսվող ռիսկեր</w:t>
            </w:r>
          </w:p>
        </w:tc>
        <w:tc>
          <w:tcPr>
            <w:tcW w:w="1705" w:type="dxa"/>
            <w:tcBorders>
              <w:top w:val="single" w:sz="4" w:space="0" w:color="333399"/>
              <w:left w:val="nil"/>
              <w:bottom w:val="single" w:sz="4" w:space="0" w:color="333399"/>
              <w:right w:val="single" w:sz="4" w:space="0" w:color="333399"/>
            </w:tcBorders>
            <w:shd w:val="clear" w:color="000000" w:fill="0066CC"/>
            <w:vAlign w:val="center"/>
            <w:hideMark/>
          </w:tcPr>
          <w:p w14:paraId="714503D6" w14:textId="77777777" w:rsidR="00AF5737" w:rsidRPr="001B5BE7" w:rsidRDefault="00AF5737" w:rsidP="002073D8">
            <w:pPr>
              <w:spacing w:before="0" w:after="0" w:line="240" w:lineRule="auto"/>
              <w:ind w:firstLine="0"/>
              <w:jc w:val="center"/>
              <w:rPr>
                <w:b/>
                <w:color w:val="FFFFFF"/>
              </w:rPr>
            </w:pPr>
            <w:r w:rsidRPr="001B5BE7">
              <w:rPr>
                <w:b/>
                <w:color w:val="FFFFFF"/>
              </w:rPr>
              <w:t>2022</w:t>
            </w:r>
          </w:p>
        </w:tc>
        <w:tc>
          <w:tcPr>
            <w:tcW w:w="1705" w:type="dxa"/>
            <w:tcBorders>
              <w:top w:val="single" w:sz="4" w:space="0" w:color="333399"/>
              <w:left w:val="nil"/>
              <w:bottom w:val="single" w:sz="4" w:space="0" w:color="333399"/>
              <w:right w:val="single" w:sz="4" w:space="0" w:color="333399"/>
            </w:tcBorders>
            <w:shd w:val="clear" w:color="000000" w:fill="0066CC"/>
            <w:vAlign w:val="center"/>
            <w:hideMark/>
          </w:tcPr>
          <w:p w14:paraId="7FB10DBE" w14:textId="77777777" w:rsidR="00AF5737" w:rsidRPr="001B5BE7" w:rsidRDefault="00AF5737" w:rsidP="002073D8">
            <w:pPr>
              <w:spacing w:before="0" w:after="0" w:line="240" w:lineRule="auto"/>
              <w:ind w:firstLine="0"/>
              <w:jc w:val="center"/>
              <w:rPr>
                <w:b/>
                <w:color w:val="FFFFFF"/>
              </w:rPr>
            </w:pPr>
            <w:r w:rsidRPr="001B5BE7">
              <w:rPr>
                <w:b/>
                <w:color w:val="FFFFFF"/>
              </w:rPr>
              <w:t>2023</w:t>
            </w:r>
          </w:p>
        </w:tc>
        <w:tc>
          <w:tcPr>
            <w:tcW w:w="1705" w:type="dxa"/>
            <w:tcBorders>
              <w:top w:val="single" w:sz="4" w:space="0" w:color="333399"/>
              <w:left w:val="nil"/>
              <w:bottom w:val="single" w:sz="4" w:space="0" w:color="333399"/>
              <w:right w:val="single" w:sz="4" w:space="0" w:color="333399"/>
            </w:tcBorders>
            <w:shd w:val="clear" w:color="000000" w:fill="0066CC"/>
            <w:vAlign w:val="center"/>
            <w:hideMark/>
          </w:tcPr>
          <w:p w14:paraId="46692C88" w14:textId="77777777" w:rsidR="00AF5737" w:rsidRPr="001B5BE7" w:rsidRDefault="00AF5737" w:rsidP="002073D8">
            <w:pPr>
              <w:spacing w:before="0" w:after="0" w:line="240" w:lineRule="auto"/>
              <w:ind w:firstLine="0"/>
              <w:jc w:val="center"/>
              <w:rPr>
                <w:b/>
                <w:color w:val="FFFFFF"/>
              </w:rPr>
            </w:pPr>
            <w:r w:rsidRPr="001B5BE7">
              <w:rPr>
                <w:b/>
                <w:color w:val="FFFFFF"/>
              </w:rPr>
              <w:t>2024</w:t>
            </w:r>
          </w:p>
        </w:tc>
      </w:tr>
      <w:tr w:rsidR="00AF5737" w:rsidRPr="008A3399" w14:paraId="4F380635" w14:textId="77777777" w:rsidTr="002073D8">
        <w:trPr>
          <w:trHeight w:val="238"/>
        </w:trPr>
        <w:tc>
          <w:tcPr>
            <w:tcW w:w="4720" w:type="dxa"/>
            <w:vMerge/>
            <w:tcBorders>
              <w:top w:val="single" w:sz="4" w:space="0" w:color="333399"/>
              <w:left w:val="single" w:sz="4" w:space="0" w:color="333399"/>
              <w:bottom w:val="nil"/>
              <w:right w:val="single" w:sz="4" w:space="0" w:color="333399"/>
            </w:tcBorders>
            <w:vAlign w:val="center"/>
            <w:hideMark/>
          </w:tcPr>
          <w:p w14:paraId="26E33E98" w14:textId="77777777" w:rsidR="00AF5737" w:rsidRPr="001B5BE7" w:rsidRDefault="00AF5737" w:rsidP="002073D8">
            <w:pPr>
              <w:spacing w:before="0" w:after="0" w:line="240" w:lineRule="auto"/>
              <w:ind w:firstLine="0"/>
              <w:jc w:val="left"/>
              <w:rPr>
                <w:b/>
                <w:color w:val="FFFFFF"/>
              </w:rPr>
            </w:pPr>
          </w:p>
        </w:tc>
        <w:tc>
          <w:tcPr>
            <w:tcW w:w="5115" w:type="dxa"/>
            <w:gridSpan w:val="3"/>
            <w:tcBorders>
              <w:top w:val="single" w:sz="4" w:space="0" w:color="333399"/>
              <w:left w:val="nil"/>
              <w:bottom w:val="single" w:sz="4" w:space="0" w:color="333399"/>
              <w:right w:val="single" w:sz="4" w:space="0" w:color="333399"/>
            </w:tcBorders>
            <w:shd w:val="clear" w:color="000000" w:fill="0066CC"/>
            <w:vAlign w:val="center"/>
            <w:hideMark/>
          </w:tcPr>
          <w:p w14:paraId="76E52136" w14:textId="77777777" w:rsidR="00AF5737" w:rsidRPr="001B5BE7" w:rsidRDefault="00AF5737" w:rsidP="002073D8">
            <w:pPr>
              <w:spacing w:before="0" w:after="0" w:line="240" w:lineRule="auto"/>
              <w:ind w:firstLine="0"/>
              <w:jc w:val="center"/>
              <w:rPr>
                <w:b/>
                <w:color w:val="FFFFFF"/>
              </w:rPr>
            </w:pPr>
            <w:r w:rsidRPr="001B5BE7">
              <w:rPr>
                <w:rFonts w:ascii="Calibri" w:hAnsi="Calibri"/>
                <w:b/>
                <w:color w:val="FFFFFF"/>
              </w:rPr>
              <w:t> </w:t>
            </w:r>
          </w:p>
        </w:tc>
      </w:tr>
      <w:tr w:rsidR="00AF5737" w:rsidRPr="008A3399" w14:paraId="36687CAA" w14:textId="77777777" w:rsidTr="002073D8">
        <w:trPr>
          <w:trHeight w:val="616"/>
        </w:trPr>
        <w:tc>
          <w:tcPr>
            <w:tcW w:w="4720" w:type="dxa"/>
            <w:tcBorders>
              <w:top w:val="single" w:sz="4" w:space="0" w:color="333399"/>
              <w:left w:val="single" w:sz="4" w:space="0" w:color="333399"/>
              <w:bottom w:val="single" w:sz="4" w:space="0" w:color="333399"/>
              <w:right w:val="single" w:sz="4" w:space="0" w:color="333399"/>
            </w:tcBorders>
            <w:shd w:val="clear" w:color="auto" w:fill="auto"/>
            <w:vAlign w:val="center"/>
            <w:hideMark/>
          </w:tcPr>
          <w:p w14:paraId="3353072E" w14:textId="77777777" w:rsidR="00AF5737" w:rsidRPr="001B5BE7" w:rsidRDefault="00AF5737" w:rsidP="002073D8">
            <w:pPr>
              <w:spacing w:before="0" w:after="0" w:line="240" w:lineRule="auto"/>
              <w:ind w:firstLine="0"/>
              <w:jc w:val="left"/>
              <w:rPr>
                <w:color w:val="000000"/>
              </w:rPr>
            </w:pPr>
            <w:r w:rsidRPr="001B5BE7">
              <w:rPr>
                <w:color w:val="000000"/>
              </w:rPr>
              <w:t xml:space="preserve">1. Կանխատեսվածից </w:t>
            </w:r>
            <w:r w:rsidRPr="008A3399">
              <w:rPr>
                <w:rFonts w:eastAsia="Times New Roman" w:cs="Times New Roman"/>
                <w:color w:val="000000"/>
              </w:rPr>
              <w:t>2</w:t>
            </w:r>
            <w:r w:rsidRPr="001B5BE7">
              <w:rPr>
                <w:color w:val="000000"/>
              </w:rPr>
              <w:t>.0-</w:t>
            </w:r>
            <w:r w:rsidRPr="008A3399">
              <w:rPr>
                <w:rFonts w:eastAsia="Times New Roman" w:cs="Times New Roman"/>
                <w:color w:val="000000"/>
              </w:rPr>
              <w:t>2.6</w:t>
            </w:r>
            <w:r w:rsidRPr="001B5BE7">
              <w:rPr>
                <w:color w:val="000000"/>
              </w:rPr>
              <w:t xml:space="preserve"> տոկոսային կետով ավելի ցածր իրական ՀՆԱ-ի աճ</w:t>
            </w:r>
          </w:p>
        </w:tc>
        <w:tc>
          <w:tcPr>
            <w:tcW w:w="1705" w:type="dxa"/>
            <w:tcBorders>
              <w:top w:val="nil"/>
              <w:left w:val="nil"/>
              <w:bottom w:val="single" w:sz="4" w:space="0" w:color="333399"/>
              <w:right w:val="single" w:sz="4" w:space="0" w:color="333399"/>
            </w:tcBorders>
            <w:shd w:val="clear" w:color="auto" w:fill="auto"/>
            <w:vAlign w:val="center"/>
            <w:hideMark/>
          </w:tcPr>
          <w:p w14:paraId="13474715" w14:textId="77777777" w:rsidR="00AF5737" w:rsidRPr="001B5BE7" w:rsidRDefault="00AF5737" w:rsidP="002073D8">
            <w:pPr>
              <w:spacing w:before="0" w:after="0" w:line="240" w:lineRule="auto"/>
              <w:ind w:firstLine="0"/>
              <w:jc w:val="center"/>
              <w:rPr>
                <w:color w:val="000000"/>
              </w:rPr>
            </w:pPr>
            <w:r w:rsidRPr="001B5BE7">
              <w:rPr>
                <w:color w:val="000000"/>
              </w:rPr>
              <w:t>-</w:t>
            </w:r>
            <w:r w:rsidRPr="008A3399">
              <w:rPr>
                <w:rFonts w:eastAsia="Times New Roman" w:cs="Times New Roman"/>
                <w:color w:val="000000"/>
              </w:rPr>
              <w:t>11.3</w:t>
            </w:r>
          </w:p>
        </w:tc>
        <w:tc>
          <w:tcPr>
            <w:tcW w:w="1705" w:type="dxa"/>
            <w:tcBorders>
              <w:top w:val="nil"/>
              <w:left w:val="nil"/>
              <w:bottom w:val="single" w:sz="4" w:space="0" w:color="333399"/>
              <w:right w:val="single" w:sz="4" w:space="0" w:color="333399"/>
            </w:tcBorders>
            <w:shd w:val="clear" w:color="auto" w:fill="auto"/>
            <w:vAlign w:val="center"/>
            <w:hideMark/>
          </w:tcPr>
          <w:p w14:paraId="307E9C2A" w14:textId="77777777" w:rsidR="00AF5737" w:rsidRPr="001B5BE7" w:rsidRDefault="00AF5737" w:rsidP="002073D8">
            <w:pPr>
              <w:spacing w:before="0" w:after="0" w:line="240" w:lineRule="auto"/>
              <w:ind w:firstLine="0"/>
              <w:jc w:val="center"/>
              <w:rPr>
                <w:color w:val="000000"/>
              </w:rPr>
            </w:pPr>
            <w:r w:rsidRPr="001B5BE7">
              <w:rPr>
                <w:color w:val="000000"/>
              </w:rPr>
              <w:t>-</w:t>
            </w:r>
            <w:r w:rsidRPr="008A3399">
              <w:rPr>
                <w:rFonts w:eastAsia="Times New Roman" w:cs="Times New Roman"/>
                <w:color w:val="000000"/>
              </w:rPr>
              <w:t>14</w:t>
            </w:r>
            <w:r w:rsidRPr="001B5BE7">
              <w:rPr>
                <w:color w:val="000000"/>
              </w:rPr>
              <w:t>.6</w:t>
            </w:r>
          </w:p>
        </w:tc>
        <w:tc>
          <w:tcPr>
            <w:tcW w:w="1705" w:type="dxa"/>
            <w:tcBorders>
              <w:top w:val="nil"/>
              <w:left w:val="nil"/>
              <w:bottom w:val="single" w:sz="4" w:space="0" w:color="333399"/>
              <w:right w:val="single" w:sz="4" w:space="0" w:color="333399"/>
            </w:tcBorders>
            <w:shd w:val="clear" w:color="auto" w:fill="auto"/>
            <w:vAlign w:val="center"/>
            <w:hideMark/>
          </w:tcPr>
          <w:p w14:paraId="0439BF31" w14:textId="77777777" w:rsidR="00AF5737" w:rsidRPr="001B5BE7" w:rsidRDefault="00AF5737" w:rsidP="002073D8">
            <w:pPr>
              <w:spacing w:before="0" w:after="0" w:line="240" w:lineRule="auto"/>
              <w:ind w:firstLine="0"/>
              <w:jc w:val="center"/>
              <w:rPr>
                <w:color w:val="000000"/>
              </w:rPr>
            </w:pPr>
            <w:r w:rsidRPr="001B5BE7">
              <w:rPr>
                <w:color w:val="000000"/>
              </w:rPr>
              <w:t>-</w:t>
            </w:r>
            <w:r w:rsidRPr="008A3399">
              <w:rPr>
                <w:rFonts w:eastAsia="Times New Roman" w:cs="Times New Roman"/>
                <w:color w:val="000000"/>
              </w:rPr>
              <w:t>17.9</w:t>
            </w:r>
          </w:p>
        </w:tc>
      </w:tr>
      <w:tr w:rsidR="00AF5737" w:rsidRPr="008A3399" w14:paraId="34FA5EC6" w14:textId="77777777" w:rsidTr="002073D8">
        <w:trPr>
          <w:trHeight w:val="616"/>
        </w:trPr>
        <w:tc>
          <w:tcPr>
            <w:tcW w:w="4720" w:type="dxa"/>
            <w:tcBorders>
              <w:top w:val="nil"/>
              <w:left w:val="single" w:sz="4" w:space="0" w:color="333399"/>
              <w:bottom w:val="single" w:sz="4" w:space="0" w:color="333399"/>
              <w:right w:val="single" w:sz="4" w:space="0" w:color="333399"/>
            </w:tcBorders>
            <w:shd w:val="clear" w:color="auto" w:fill="auto"/>
            <w:vAlign w:val="center"/>
            <w:hideMark/>
          </w:tcPr>
          <w:p w14:paraId="618352A2" w14:textId="77777777" w:rsidR="00AF5737" w:rsidRPr="001B5BE7" w:rsidRDefault="00AF5737" w:rsidP="002073D8">
            <w:pPr>
              <w:spacing w:before="0" w:after="0" w:line="240" w:lineRule="auto"/>
              <w:ind w:firstLine="0"/>
              <w:jc w:val="left"/>
              <w:rPr>
                <w:color w:val="000000"/>
              </w:rPr>
            </w:pPr>
            <w:r w:rsidRPr="001B5BE7">
              <w:rPr>
                <w:color w:val="000000"/>
              </w:rPr>
              <w:t>2. 1.5 տոկոսային կետով ավելի ցածր գնաճի ռիսկ</w:t>
            </w:r>
          </w:p>
        </w:tc>
        <w:tc>
          <w:tcPr>
            <w:tcW w:w="1705" w:type="dxa"/>
            <w:tcBorders>
              <w:top w:val="nil"/>
              <w:left w:val="nil"/>
              <w:bottom w:val="single" w:sz="4" w:space="0" w:color="333399"/>
              <w:right w:val="single" w:sz="4" w:space="0" w:color="333399"/>
            </w:tcBorders>
            <w:shd w:val="clear" w:color="auto" w:fill="auto"/>
            <w:vAlign w:val="center"/>
            <w:hideMark/>
          </w:tcPr>
          <w:p w14:paraId="0605F8A2" w14:textId="77777777" w:rsidR="00AF5737" w:rsidRPr="001B5BE7" w:rsidRDefault="00AF5737" w:rsidP="002073D8">
            <w:pPr>
              <w:spacing w:before="0" w:after="0" w:line="240" w:lineRule="auto"/>
              <w:ind w:firstLine="0"/>
              <w:jc w:val="center"/>
              <w:rPr>
                <w:color w:val="000000"/>
              </w:rPr>
            </w:pPr>
            <w:r w:rsidRPr="001B5BE7">
              <w:rPr>
                <w:color w:val="000000"/>
              </w:rPr>
              <w:t>3.5</w:t>
            </w:r>
          </w:p>
        </w:tc>
        <w:tc>
          <w:tcPr>
            <w:tcW w:w="1705" w:type="dxa"/>
            <w:tcBorders>
              <w:top w:val="nil"/>
              <w:left w:val="nil"/>
              <w:bottom w:val="single" w:sz="4" w:space="0" w:color="333399"/>
              <w:right w:val="single" w:sz="4" w:space="0" w:color="333399"/>
            </w:tcBorders>
            <w:shd w:val="clear" w:color="auto" w:fill="auto"/>
            <w:vAlign w:val="center"/>
            <w:hideMark/>
          </w:tcPr>
          <w:p w14:paraId="2E2001EB" w14:textId="77777777" w:rsidR="00AF5737" w:rsidRPr="001B5BE7" w:rsidRDefault="00AF5737" w:rsidP="002073D8">
            <w:pPr>
              <w:spacing w:before="0" w:after="0" w:line="240" w:lineRule="auto"/>
              <w:ind w:firstLine="0"/>
              <w:jc w:val="center"/>
              <w:rPr>
                <w:color w:val="000000"/>
              </w:rPr>
            </w:pPr>
            <w:r w:rsidRPr="001B5BE7">
              <w:rPr>
                <w:color w:val="000000"/>
              </w:rPr>
              <w:t>3.5</w:t>
            </w:r>
          </w:p>
        </w:tc>
        <w:tc>
          <w:tcPr>
            <w:tcW w:w="1705" w:type="dxa"/>
            <w:tcBorders>
              <w:top w:val="nil"/>
              <w:left w:val="nil"/>
              <w:bottom w:val="nil"/>
              <w:right w:val="single" w:sz="4" w:space="0" w:color="333399"/>
            </w:tcBorders>
            <w:shd w:val="clear" w:color="auto" w:fill="auto"/>
            <w:vAlign w:val="center"/>
            <w:hideMark/>
          </w:tcPr>
          <w:p w14:paraId="1CF66E83" w14:textId="77777777" w:rsidR="00AF5737" w:rsidRPr="001B5BE7" w:rsidRDefault="00AF5737" w:rsidP="002073D8">
            <w:pPr>
              <w:spacing w:before="0" w:after="0" w:line="240" w:lineRule="auto"/>
              <w:ind w:firstLine="0"/>
              <w:jc w:val="center"/>
              <w:rPr>
                <w:color w:val="000000"/>
              </w:rPr>
            </w:pPr>
            <w:r w:rsidRPr="001B5BE7">
              <w:rPr>
                <w:color w:val="000000"/>
              </w:rPr>
              <w:t>4.0</w:t>
            </w:r>
          </w:p>
        </w:tc>
      </w:tr>
      <w:tr w:rsidR="00AF5737" w:rsidRPr="008A3399" w14:paraId="6FD0AC49" w14:textId="77777777" w:rsidTr="002073D8">
        <w:trPr>
          <w:trHeight w:val="616"/>
        </w:trPr>
        <w:tc>
          <w:tcPr>
            <w:tcW w:w="4720" w:type="dxa"/>
            <w:tcBorders>
              <w:top w:val="nil"/>
              <w:left w:val="single" w:sz="4" w:space="0" w:color="333399"/>
              <w:bottom w:val="nil"/>
              <w:right w:val="single" w:sz="4" w:space="0" w:color="333399"/>
            </w:tcBorders>
            <w:shd w:val="clear" w:color="auto" w:fill="auto"/>
            <w:vAlign w:val="center"/>
            <w:hideMark/>
          </w:tcPr>
          <w:p w14:paraId="04129AD7" w14:textId="77777777" w:rsidR="00AF5737" w:rsidRPr="001B5BE7" w:rsidRDefault="00AF5737" w:rsidP="002073D8">
            <w:pPr>
              <w:spacing w:before="0" w:after="0" w:line="240" w:lineRule="auto"/>
              <w:ind w:firstLine="0"/>
              <w:jc w:val="left"/>
              <w:rPr>
                <w:color w:val="000000"/>
              </w:rPr>
            </w:pPr>
            <w:r w:rsidRPr="001B5BE7">
              <w:rPr>
                <w:color w:val="000000"/>
              </w:rPr>
              <w:t>3. Փոխարժեքի առավելագույնը 5.0 տոկոսով արժեզրկման ռիսկ</w:t>
            </w:r>
          </w:p>
        </w:tc>
        <w:tc>
          <w:tcPr>
            <w:tcW w:w="1705" w:type="dxa"/>
            <w:tcBorders>
              <w:top w:val="nil"/>
              <w:left w:val="nil"/>
              <w:bottom w:val="nil"/>
              <w:right w:val="single" w:sz="4" w:space="0" w:color="333399"/>
            </w:tcBorders>
            <w:shd w:val="clear" w:color="auto" w:fill="auto"/>
            <w:vAlign w:val="center"/>
            <w:hideMark/>
          </w:tcPr>
          <w:p w14:paraId="58CAD377" w14:textId="77777777" w:rsidR="00AF5737" w:rsidRPr="001B5BE7" w:rsidRDefault="00AF5737" w:rsidP="002073D8">
            <w:pPr>
              <w:spacing w:before="0" w:after="0" w:line="240" w:lineRule="auto"/>
              <w:ind w:firstLine="0"/>
              <w:jc w:val="center"/>
              <w:rPr>
                <w:color w:val="000000"/>
              </w:rPr>
            </w:pPr>
            <w:r w:rsidRPr="008A3399">
              <w:rPr>
                <w:rFonts w:eastAsia="Times New Roman" w:cs="Times New Roman"/>
                <w:color w:val="000000"/>
              </w:rPr>
              <w:t>9.1</w:t>
            </w:r>
          </w:p>
        </w:tc>
        <w:tc>
          <w:tcPr>
            <w:tcW w:w="1705" w:type="dxa"/>
            <w:tcBorders>
              <w:top w:val="nil"/>
              <w:left w:val="nil"/>
              <w:bottom w:val="nil"/>
              <w:right w:val="single" w:sz="4" w:space="0" w:color="333399"/>
            </w:tcBorders>
            <w:shd w:val="clear" w:color="auto" w:fill="auto"/>
            <w:vAlign w:val="center"/>
            <w:hideMark/>
          </w:tcPr>
          <w:p w14:paraId="781F6042" w14:textId="77777777" w:rsidR="00AF5737" w:rsidRPr="001B5BE7" w:rsidRDefault="00AF5737" w:rsidP="002073D8">
            <w:pPr>
              <w:spacing w:before="0" w:after="0" w:line="240" w:lineRule="auto"/>
              <w:ind w:firstLine="0"/>
              <w:jc w:val="center"/>
              <w:rPr>
                <w:color w:val="000000"/>
              </w:rPr>
            </w:pPr>
            <w:r w:rsidRPr="008A3399">
              <w:rPr>
                <w:rFonts w:eastAsia="Times New Roman" w:cs="Times New Roman"/>
                <w:color w:val="000000"/>
              </w:rPr>
              <w:t>8.8</w:t>
            </w:r>
          </w:p>
        </w:tc>
        <w:tc>
          <w:tcPr>
            <w:tcW w:w="1705" w:type="dxa"/>
            <w:tcBorders>
              <w:top w:val="single" w:sz="4" w:space="0" w:color="333399"/>
              <w:left w:val="nil"/>
              <w:bottom w:val="single" w:sz="4" w:space="0" w:color="333399"/>
              <w:right w:val="single" w:sz="4" w:space="0" w:color="333399"/>
            </w:tcBorders>
            <w:shd w:val="clear" w:color="auto" w:fill="auto"/>
            <w:vAlign w:val="center"/>
            <w:hideMark/>
          </w:tcPr>
          <w:p w14:paraId="66BCB09F" w14:textId="77777777" w:rsidR="00AF5737" w:rsidRPr="001B5BE7" w:rsidRDefault="00AF5737" w:rsidP="002073D8">
            <w:pPr>
              <w:spacing w:before="0" w:after="0" w:line="240" w:lineRule="auto"/>
              <w:ind w:firstLine="0"/>
              <w:jc w:val="center"/>
              <w:rPr>
                <w:color w:val="000000"/>
              </w:rPr>
            </w:pPr>
            <w:r w:rsidRPr="008A3399">
              <w:rPr>
                <w:rFonts w:eastAsia="Times New Roman" w:cs="Times New Roman"/>
                <w:color w:val="000000"/>
              </w:rPr>
              <w:t>10.1</w:t>
            </w:r>
          </w:p>
        </w:tc>
      </w:tr>
      <w:tr w:rsidR="00AF5737" w:rsidRPr="008A3399" w14:paraId="42CACEA5" w14:textId="77777777" w:rsidTr="002073D8">
        <w:trPr>
          <w:trHeight w:val="714"/>
        </w:trPr>
        <w:tc>
          <w:tcPr>
            <w:tcW w:w="4720" w:type="dxa"/>
            <w:tcBorders>
              <w:top w:val="single" w:sz="4" w:space="0" w:color="333399"/>
              <w:left w:val="single" w:sz="4" w:space="0" w:color="333399"/>
              <w:bottom w:val="single" w:sz="4" w:space="0" w:color="333399"/>
              <w:right w:val="single" w:sz="4" w:space="0" w:color="333399"/>
            </w:tcBorders>
            <w:shd w:val="clear" w:color="auto" w:fill="auto"/>
            <w:vAlign w:val="center"/>
            <w:hideMark/>
          </w:tcPr>
          <w:p w14:paraId="336E5545" w14:textId="77777777" w:rsidR="00AF5737" w:rsidRPr="001B5BE7" w:rsidRDefault="00AF5737" w:rsidP="002073D8">
            <w:pPr>
              <w:spacing w:before="0" w:after="0" w:line="240" w:lineRule="auto"/>
              <w:ind w:firstLine="0"/>
              <w:jc w:val="left"/>
              <w:rPr>
                <w:color w:val="000000"/>
              </w:rPr>
            </w:pPr>
            <w:r w:rsidRPr="001B5BE7">
              <w:rPr>
                <w:color w:val="000000"/>
              </w:rPr>
              <w:t>4. Ներմուծման 11.8-20.0 տոկոսով նվազման ռիսկ</w:t>
            </w:r>
          </w:p>
        </w:tc>
        <w:tc>
          <w:tcPr>
            <w:tcW w:w="1705" w:type="dxa"/>
            <w:tcBorders>
              <w:top w:val="single" w:sz="4" w:space="0" w:color="333399"/>
              <w:left w:val="nil"/>
              <w:bottom w:val="single" w:sz="4" w:space="0" w:color="333399"/>
              <w:right w:val="single" w:sz="4" w:space="0" w:color="333399"/>
            </w:tcBorders>
            <w:shd w:val="clear" w:color="auto" w:fill="auto"/>
            <w:vAlign w:val="center"/>
            <w:hideMark/>
          </w:tcPr>
          <w:p w14:paraId="2ACA0F82" w14:textId="77777777" w:rsidR="00AF5737" w:rsidRPr="001B5BE7" w:rsidRDefault="00AF5737" w:rsidP="002073D8">
            <w:pPr>
              <w:spacing w:before="0" w:after="0" w:line="240" w:lineRule="auto"/>
              <w:ind w:firstLine="0"/>
              <w:jc w:val="center"/>
              <w:rPr>
                <w:color w:val="000000"/>
              </w:rPr>
            </w:pPr>
            <w:r w:rsidRPr="001B5BE7">
              <w:rPr>
                <w:color w:val="000000"/>
              </w:rPr>
              <w:t>-23.3</w:t>
            </w:r>
          </w:p>
        </w:tc>
        <w:tc>
          <w:tcPr>
            <w:tcW w:w="1705" w:type="dxa"/>
            <w:tcBorders>
              <w:top w:val="single" w:sz="4" w:space="0" w:color="333399"/>
              <w:left w:val="nil"/>
              <w:bottom w:val="single" w:sz="4" w:space="0" w:color="333399"/>
              <w:right w:val="single" w:sz="4" w:space="0" w:color="333399"/>
            </w:tcBorders>
            <w:shd w:val="clear" w:color="auto" w:fill="auto"/>
            <w:vAlign w:val="center"/>
            <w:hideMark/>
          </w:tcPr>
          <w:p w14:paraId="24C1C718" w14:textId="77777777" w:rsidR="00AF5737" w:rsidRPr="001B5BE7" w:rsidRDefault="00AF5737" w:rsidP="002073D8">
            <w:pPr>
              <w:spacing w:before="0" w:after="0" w:line="240" w:lineRule="auto"/>
              <w:ind w:firstLine="0"/>
              <w:jc w:val="center"/>
              <w:rPr>
                <w:color w:val="000000"/>
              </w:rPr>
            </w:pPr>
            <w:r w:rsidRPr="001B5BE7">
              <w:rPr>
                <w:color w:val="000000"/>
              </w:rPr>
              <w:t>-33.9</w:t>
            </w:r>
          </w:p>
        </w:tc>
        <w:tc>
          <w:tcPr>
            <w:tcW w:w="1705" w:type="dxa"/>
            <w:tcBorders>
              <w:top w:val="nil"/>
              <w:left w:val="nil"/>
              <w:bottom w:val="single" w:sz="4" w:space="0" w:color="333399"/>
              <w:right w:val="single" w:sz="4" w:space="0" w:color="333399"/>
            </w:tcBorders>
            <w:shd w:val="clear" w:color="auto" w:fill="auto"/>
            <w:vAlign w:val="center"/>
            <w:hideMark/>
          </w:tcPr>
          <w:p w14:paraId="38FFA788" w14:textId="77777777" w:rsidR="00AF5737" w:rsidRPr="001B5BE7" w:rsidRDefault="00AF5737" w:rsidP="002073D8">
            <w:pPr>
              <w:spacing w:before="0" w:after="0" w:line="240" w:lineRule="auto"/>
              <w:ind w:firstLine="0"/>
              <w:jc w:val="center"/>
              <w:rPr>
                <w:color w:val="000000"/>
              </w:rPr>
            </w:pPr>
            <w:r w:rsidRPr="001B5BE7">
              <w:rPr>
                <w:color w:val="000000"/>
              </w:rPr>
              <w:t>-45.4</w:t>
            </w:r>
          </w:p>
        </w:tc>
      </w:tr>
      <w:tr w:rsidR="00AF5737" w:rsidRPr="008A3399" w14:paraId="78D3E194" w14:textId="77777777" w:rsidTr="002073D8">
        <w:trPr>
          <w:trHeight w:val="557"/>
        </w:trPr>
        <w:tc>
          <w:tcPr>
            <w:tcW w:w="4720" w:type="dxa"/>
            <w:tcBorders>
              <w:top w:val="nil"/>
              <w:left w:val="single" w:sz="4" w:space="0" w:color="333399"/>
              <w:bottom w:val="single" w:sz="4" w:space="0" w:color="333399"/>
              <w:right w:val="single" w:sz="4" w:space="0" w:color="333399"/>
            </w:tcBorders>
            <w:shd w:val="clear" w:color="auto" w:fill="auto"/>
            <w:vAlign w:val="center"/>
            <w:hideMark/>
          </w:tcPr>
          <w:p w14:paraId="7966594B" w14:textId="77777777" w:rsidR="00AF5737" w:rsidRPr="001B5BE7" w:rsidRDefault="00AF5737" w:rsidP="002073D8">
            <w:pPr>
              <w:spacing w:before="0" w:after="0" w:line="240" w:lineRule="auto"/>
              <w:ind w:firstLine="0"/>
              <w:jc w:val="left"/>
              <w:rPr>
                <w:b/>
                <w:color w:val="000000"/>
              </w:rPr>
            </w:pPr>
            <w:r w:rsidRPr="001B5BE7">
              <w:rPr>
                <w:b/>
                <w:color w:val="000000"/>
              </w:rPr>
              <w:t>Ընդամենը</w:t>
            </w:r>
          </w:p>
        </w:tc>
        <w:tc>
          <w:tcPr>
            <w:tcW w:w="1705" w:type="dxa"/>
            <w:tcBorders>
              <w:top w:val="nil"/>
              <w:left w:val="nil"/>
              <w:bottom w:val="single" w:sz="4" w:space="0" w:color="333399"/>
              <w:right w:val="single" w:sz="4" w:space="0" w:color="333399"/>
            </w:tcBorders>
            <w:shd w:val="clear" w:color="auto" w:fill="auto"/>
            <w:vAlign w:val="center"/>
            <w:hideMark/>
          </w:tcPr>
          <w:p w14:paraId="667C8BC7" w14:textId="255E2F57" w:rsidR="00AF5737" w:rsidRPr="0069311D" w:rsidRDefault="00AF5737" w:rsidP="002073D8">
            <w:pPr>
              <w:spacing w:before="0" w:after="0" w:line="240" w:lineRule="auto"/>
              <w:ind w:firstLine="0"/>
              <w:jc w:val="center"/>
              <w:rPr>
                <w:b/>
                <w:color w:val="000000"/>
                <w:lang w:val="hy-AM"/>
              </w:rPr>
            </w:pPr>
            <w:r w:rsidRPr="001B5BE7">
              <w:rPr>
                <w:b/>
                <w:color w:val="000000"/>
              </w:rPr>
              <w:t>-</w:t>
            </w:r>
            <w:r w:rsidR="0069311D">
              <w:rPr>
                <w:b/>
                <w:color w:val="000000"/>
                <w:lang w:val="hy-AM"/>
              </w:rPr>
              <w:t>22.0</w:t>
            </w:r>
          </w:p>
        </w:tc>
        <w:tc>
          <w:tcPr>
            <w:tcW w:w="1705" w:type="dxa"/>
            <w:tcBorders>
              <w:top w:val="nil"/>
              <w:left w:val="nil"/>
              <w:bottom w:val="single" w:sz="4" w:space="0" w:color="333399"/>
              <w:right w:val="single" w:sz="4" w:space="0" w:color="333399"/>
            </w:tcBorders>
            <w:shd w:val="clear" w:color="auto" w:fill="auto"/>
            <w:vAlign w:val="center"/>
            <w:hideMark/>
          </w:tcPr>
          <w:p w14:paraId="530B431C" w14:textId="77777777" w:rsidR="00AF5737" w:rsidRPr="001B5BE7" w:rsidRDefault="00AF5737" w:rsidP="002073D8">
            <w:pPr>
              <w:spacing w:before="0" w:after="0" w:line="240" w:lineRule="auto"/>
              <w:ind w:firstLine="0"/>
              <w:jc w:val="center"/>
              <w:rPr>
                <w:b/>
                <w:color w:val="000000"/>
              </w:rPr>
            </w:pPr>
            <w:r w:rsidRPr="001B5BE7">
              <w:rPr>
                <w:b/>
                <w:color w:val="000000"/>
              </w:rPr>
              <w:t>-</w:t>
            </w:r>
            <w:r w:rsidRPr="008A3399">
              <w:rPr>
                <w:rFonts w:eastAsia="Times New Roman" w:cs="Times New Roman"/>
                <w:b/>
                <w:bCs/>
                <w:color w:val="000000"/>
              </w:rPr>
              <w:t>36.2</w:t>
            </w:r>
          </w:p>
        </w:tc>
        <w:tc>
          <w:tcPr>
            <w:tcW w:w="1705" w:type="dxa"/>
            <w:tcBorders>
              <w:top w:val="nil"/>
              <w:left w:val="nil"/>
              <w:bottom w:val="single" w:sz="4" w:space="0" w:color="333399"/>
              <w:right w:val="single" w:sz="4" w:space="0" w:color="333399"/>
            </w:tcBorders>
            <w:shd w:val="clear" w:color="auto" w:fill="auto"/>
            <w:vAlign w:val="center"/>
            <w:hideMark/>
          </w:tcPr>
          <w:p w14:paraId="721A5FA3" w14:textId="77777777" w:rsidR="00AF5737" w:rsidRPr="001B5BE7" w:rsidRDefault="00AF5737" w:rsidP="002073D8">
            <w:pPr>
              <w:spacing w:before="0" w:after="0" w:line="240" w:lineRule="auto"/>
              <w:ind w:firstLine="0"/>
              <w:jc w:val="center"/>
              <w:rPr>
                <w:b/>
                <w:color w:val="000000"/>
              </w:rPr>
            </w:pPr>
            <w:r w:rsidRPr="001B5BE7">
              <w:rPr>
                <w:b/>
                <w:color w:val="000000"/>
              </w:rPr>
              <w:t>-</w:t>
            </w:r>
            <w:r w:rsidRPr="008A3399">
              <w:rPr>
                <w:rFonts w:eastAsia="Times New Roman" w:cs="Times New Roman"/>
                <w:b/>
                <w:bCs/>
                <w:color w:val="000000"/>
              </w:rPr>
              <w:t>49</w:t>
            </w:r>
            <w:r w:rsidRPr="001B5BE7">
              <w:rPr>
                <w:b/>
                <w:color w:val="000000"/>
              </w:rPr>
              <w:t>.3</w:t>
            </w:r>
          </w:p>
        </w:tc>
      </w:tr>
    </w:tbl>
    <w:p w14:paraId="7381E439" w14:textId="77777777" w:rsidR="00AF5737" w:rsidRPr="00FA1DE2" w:rsidRDefault="00AF5737" w:rsidP="00AF5737">
      <w:pPr>
        <w:spacing w:after="120" w:line="276" w:lineRule="auto"/>
        <w:ind w:firstLine="720"/>
        <w:rPr>
          <w:rFonts w:cs="Sylfaen"/>
          <w:lang w:val="hy-AM"/>
        </w:rPr>
      </w:pPr>
    </w:p>
    <w:p w14:paraId="591D497B" w14:textId="77777777" w:rsidR="00AF5737" w:rsidRDefault="00AF5737" w:rsidP="00AF5737">
      <w:pPr>
        <w:spacing w:after="120" w:line="276" w:lineRule="auto"/>
        <w:ind w:firstLine="720"/>
        <w:rPr>
          <w:rFonts w:cs="Sylfaen"/>
          <w:lang w:val="hy-AM"/>
        </w:rPr>
      </w:pPr>
      <w:r w:rsidRPr="00FA1DE2">
        <w:rPr>
          <w:rFonts w:cs="Sylfaen"/>
          <w:lang w:val="hy-AM"/>
        </w:rPr>
        <w:t xml:space="preserve">Աղյուսակ 3.2.1-ում ցույց են տրված գնահատված լրացուցիչ ռիսկերը, որոնք կհանգեցնեն լրացուցիչ ֆինանսավորման պահանջի առաջացման: Ակնհայտորեն երևում է, որ գնաճի տատանումների հետևանքով կնվազի նախատեսված ֆինանսավորման պահանջը և համապատասխանաբար կփոփոխվեն նաև պետական բյուջեի ծախսերը` նվազման ուղղությամբ: </w:t>
      </w:r>
    </w:p>
    <w:p w14:paraId="5398C761" w14:textId="77777777" w:rsidR="00AF5737" w:rsidRPr="00FA1DE2" w:rsidRDefault="00AF5737" w:rsidP="00AF5737">
      <w:pPr>
        <w:spacing w:after="120" w:line="276" w:lineRule="auto"/>
        <w:ind w:firstLine="720"/>
        <w:rPr>
          <w:rFonts w:cs="Sylfaen"/>
          <w:lang w:val="hy-AM"/>
        </w:rPr>
      </w:pPr>
      <w:r w:rsidRPr="001B5BE7">
        <w:rPr>
          <w:lang w:val="hy-AM"/>
        </w:rPr>
        <w:t>Եվրոպական Միության կողմից ՀՀ-ին խոշորածավալ դրամական օգնության տրամադրումը միջնաժամկետում կարող է հանդիսանալ դրական ռիսկ հարկաբյուջետային շրջանակի տեսանկյունից:</w:t>
      </w:r>
      <w:r w:rsidRPr="008A7DF8">
        <w:rPr>
          <w:lang w:val="hy-AM"/>
        </w:rPr>
        <w:t xml:space="preserve"> Ս.թ. հուլիսի 2-ին Եվրոպական հանձնաժողովի կողմից հրապարակած աշխատանքային փաստաթղթում</w:t>
      </w:r>
      <w:r w:rsidRPr="006A0229">
        <w:rPr>
          <w:rStyle w:val="FootnoteReference"/>
          <w:lang w:val="hy-AM"/>
        </w:rPr>
        <w:footnoteReference w:id="40"/>
      </w:r>
      <w:r w:rsidRPr="008A7DF8">
        <w:rPr>
          <w:lang w:val="hy-AM"/>
        </w:rPr>
        <w:t xml:space="preserve">՝ «Վերականգնում, կայունություն և բարեփոխումներ» խորագրով ծրագրի համաձայն՝ ԵՄ-ն առաջիկա հինգ տարիների ընթացքում շուրջ </w:t>
      </w:r>
      <w:r>
        <w:rPr>
          <w:lang w:val="hy-AM"/>
        </w:rPr>
        <w:t>2</w:t>
      </w:r>
      <w:r w:rsidRPr="008A7DF8">
        <w:rPr>
          <w:lang w:val="hy-AM"/>
        </w:rPr>
        <w:t>.6 մլրդ եվրոյի չափով ֆինանսավորում կտրամադրի Հայաստանին՝ փաստաթղթով նախատեսված մի շարք ծրագրերի իրականացման նպատակով: Նշված ծրագրերի իրականացումը զգալի ազդեցություն կունենա հարկաբյուջետային ցուցանիշների վրա՝ առաջացնելով հարկաբյուջետային քաղաքականության վերանայման կարիք:</w:t>
      </w:r>
    </w:p>
    <w:p w14:paraId="2725A9F5" w14:textId="6EB27269" w:rsidR="00AF5737" w:rsidRPr="00FA1DE2" w:rsidRDefault="00AF5737" w:rsidP="00AF5737">
      <w:pPr>
        <w:spacing w:after="120" w:line="276" w:lineRule="auto"/>
        <w:ind w:firstLine="720"/>
        <w:rPr>
          <w:rFonts w:cs="Sylfaen"/>
          <w:lang w:val="hy-AM"/>
        </w:rPr>
      </w:pPr>
      <w:r w:rsidRPr="00FA1DE2">
        <w:rPr>
          <w:rFonts w:cs="Sylfaen"/>
          <w:lang w:val="hy-AM"/>
        </w:rPr>
        <w:t xml:space="preserve">Հաշվի առնելով մակրոտնտեսական ցուցանիշների կանխատեսվող մակարդակից վերոնշյալ հնարավոր շեղումների ռիսկերի գնահատականները` ՀՀ պետական բյուջեի եկամուտների հավաքագրման և ծախսերի կատարման տեսանկյունից 2022-2024 թվականներին ՀՀ պետական բյուջեի դեֆիցիտի լրացուցիչ ֆինանսավորման պահանջը կկազմի շուրջ </w:t>
      </w:r>
      <w:r w:rsidR="00AC3A6E">
        <w:rPr>
          <w:rFonts w:cs="Sylfaen"/>
          <w:lang w:val="hy-AM"/>
        </w:rPr>
        <w:t>22</w:t>
      </w:r>
      <w:r>
        <w:rPr>
          <w:rFonts w:cs="Sylfaen"/>
          <w:lang w:val="hy-AM"/>
        </w:rPr>
        <w:t>.0</w:t>
      </w:r>
      <w:r w:rsidRPr="00FA1DE2">
        <w:rPr>
          <w:rFonts w:cs="Sylfaen"/>
          <w:lang w:val="hy-AM"/>
        </w:rPr>
        <w:t>–5</w:t>
      </w:r>
      <w:r>
        <w:rPr>
          <w:rFonts w:cs="Sylfaen"/>
          <w:lang w:val="hy-AM"/>
        </w:rPr>
        <w:t>0</w:t>
      </w:r>
      <w:r w:rsidRPr="00FA1DE2">
        <w:rPr>
          <w:rFonts w:cs="Sylfaen"/>
          <w:lang w:val="hy-AM"/>
        </w:rPr>
        <w:t>.0 մլրդ ՀՀ դրամ կամ ՀՆԱ-ի 0.</w:t>
      </w:r>
      <w:r w:rsidR="00AC3A6E">
        <w:rPr>
          <w:rFonts w:cs="Sylfaen"/>
          <w:lang w:val="hy-AM"/>
        </w:rPr>
        <w:t>3</w:t>
      </w:r>
      <w:r w:rsidRPr="00FA1DE2">
        <w:rPr>
          <w:rFonts w:cs="Sylfaen"/>
          <w:lang w:val="hy-AM"/>
        </w:rPr>
        <w:t xml:space="preserve">-0.6%-ը: </w:t>
      </w:r>
    </w:p>
    <w:p w14:paraId="6AF5EE0C" w14:textId="77777777" w:rsidR="00AF5737" w:rsidRPr="003F4C0B" w:rsidRDefault="00AF5737" w:rsidP="00AF5737">
      <w:pPr>
        <w:ind w:firstLine="0"/>
        <w:rPr>
          <w:lang w:val="hy-AM"/>
        </w:rPr>
      </w:pPr>
    </w:p>
    <w:p w14:paraId="77BA3E96" w14:textId="77777777" w:rsidR="00AF5737" w:rsidRDefault="00AF5737">
      <w:pPr>
        <w:pStyle w:val="BodyText2"/>
        <w:spacing w:line="276" w:lineRule="auto"/>
        <w:ind w:firstLine="0"/>
        <w:rPr>
          <w:b/>
          <w:color w:val="1F497D" w:themeColor="text2"/>
          <w:sz w:val="24"/>
          <w:szCs w:val="24"/>
          <w:lang w:val="hy-AM"/>
        </w:rPr>
      </w:pPr>
    </w:p>
    <w:bookmarkEnd w:id="689"/>
    <w:bookmarkEnd w:id="690"/>
    <w:p w14:paraId="3F0006FD" w14:textId="77777777" w:rsidR="00DA0E15" w:rsidRPr="00D2536E" w:rsidRDefault="00362131" w:rsidP="004E62A3">
      <w:pPr>
        <w:pStyle w:val="Heading3"/>
        <w:spacing w:before="0" w:after="120"/>
        <w:rPr>
          <w:rFonts w:eastAsia="Times New Roman" w:cs="Times New Roman"/>
          <w:caps w:val="0"/>
          <w:color w:val="1F497D" w:themeColor="text2"/>
          <w:sz w:val="28"/>
          <w:szCs w:val="28"/>
        </w:rPr>
      </w:pPr>
      <w:r>
        <w:rPr>
          <w:rFonts w:cs="Sylfaen"/>
        </w:rPr>
        <w:br w:type="page"/>
      </w:r>
      <w:bookmarkStart w:id="691" w:name="_Hlk45793805"/>
      <w:bookmarkStart w:id="692" w:name="_Toc77837911"/>
      <w:bookmarkStart w:id="693" w:name="_Toc45838561"/>
      <w:bookmarkEnd w:id="691"/>
      <w:r w:rsidRPr="00D2536E">
        <w:rPr>
          <w:rFonts w:eastAsia="Times New Roman" w:cs="Times New Roman"/>
          <w:caps w:val="0"/>
          <w:color w:val="1F497D" w:themeColor="text2"/>
          <w:sz w:val="28"/>
          <w:szCs w:val="28"/>
        </w:rPr>
        <w:t>4. ՀՀ ԿԱՌԱՎԱՐՈՒԹՅԱՆ ՊԱՐՏՔԻ ԿԱՅՈՒՆՈՒԹՅԱՆ ՎԵՐԼՈՒԾՈՒԹՅՈՒՆԸ</w:t>
      </w:r>
      <w:bookmarkEnd w:id="692"/>
      <w:r w:rsidRPr="00D2536E">
        <w:rPr>
          <w:rFonts w:eastAsia="Times New Roman" w:cs="Times New Roman"/>
          <w:caps w:val="0"/>
          <w:color w:val="1F497D" w:themeColor="text2"/>
          <w:sz w:val="28"/>
          <w:szCs w:val="28"/>
        </w:rPr>
        <w:t xml:space="preserve"> </w:t>
      </w:r>
      <w:bookmarkEnd w:id="693"/>
    </w:p>
    <w:p w14:paraId="7F18F38B" w14:textId="77777777" w:rsidR="00591F59" w:rsidRPr="00DC175B" w:rsidRDefault="00591F59" w:rsidP="00591F59">
      <w:pPr>
        <w:spacing w:line="276" w:lineRule="auto"/>
        <w:ind w:firstLine="720"/>
        <w:rPr>
          <w:i/>
          <w:lang w:val="hy-AM"/>
        </w:rPr>
      </w:pPr>
      <w:r w:rsidRPr="00DC175B">
        <w:rPr>
          <w:i/>
          <w:lang w:val="hy-AM"/>
        </w:rPr>
        <w:t>Միջնաժամկետ հատվածում ՀՀ կառավարության պարտքը շարունակում է գնահատվել կայուն և կառավարելի, սակայն բավականին շոշափելի են պարտքի բեռի ներկա մակարդակից բխող ռիսկերը՝ հատկապես հաշվի առնելով ՀՀ տնտեսությանը բնորոշ շոկերի հավանականությունը։ Պարտքի կայունության ապահովման համար հրամայական է հարկաբյուջետային կոնսոլիդացիայի իրականացումը և պարտքի բեռի նվազեցումը պարտք/ՀՆԱ սահմանային 60%-ի շեմից, որի իրականացումը ևս որոշակի անորոշության է ենթակա` հաշվի առնելով պարտք ձևավորող գործոնների պատմական տատանողականությունը։  Միաժամանակ, ՀՀ կառավարության պարտքի պորտֆելը` ձևավորումից սկսած, շարունակում է մնալ խոցելի՝ պայմանավորված արտարժութային և ոչ ռեզիդետների նկատմամբ պարտքի բարձր մասնաբաժիններով։</w:t>
      </w:r>
    </w:p>
    <w:p w14:paraId="7B442151" w14:textId="77777777" w:rsidR="00591F59" w:rsidRPr="00DC175B" w:rsidRDefault="00591F59" w:rsidP="00591F59">
      <w:pPr>
        <w:spacing w:line="276" w:lineRule="auto"/>
        <w:ind w:firstLine="720"/>
        <w:rPr>
          <w:b/>
          <w:lang w:val="hy-AM"/>
        </w:rPr>
      </w:pPr>
      <w:r w:rsidRPr="00DC175B">
        <w:rPr>
          <w:b/>
          <w:lang w:val="hy-AM"/>
        </w:rPr>
        <w:t>ՀՀ կառավարության պարտք/ՀՆԱ ցուցանիշի ներկա մակարդակը՝ ՀՀ հարկաբյուջետային կանոնների համատեքստում, անհրաժեշտություն է դարձնում կոնկրետ գործողությունների իրականացումը, քանի որ այն գերազանցել է 60%</w:t>
      </w:r>
      <w:r w:rsidRPr="00DC175B">
        <w:rPr>
          <w:b/>
          <w:lang w:val="hy-AM"/>
        </w:rPr>
        <w:noBreakHyphen/>
        <w:t xml:space="preserve">ի՝ ՀՀ տնտեսության ներկա հնարավորությունների տեսակետից սահմանային գնահատվող շեմը։ </w:t>
      </w:r>
      <w:r w:rsidRPr="00DC175B">
        <w:rPr>
          <w:lang w:val="hy-AM"/>
        </w:rPr>
        <w:t>Պետական պարտքի համար լրացուցիչ ռիսկեր են առաջացնում պարտքի միջին կշռված տոկոսադրույքների և սպասարկման բեռի բարձրացման միտումը (այդ թվում՝ ՀՆԱ աճի և պարտքի անվանական տոկոսադրույքի ճեղքի փոքրացումը վերջին տասնամյակում), ինչը զուգորդվում է նաև մասնավոր հատվածի արտաքին պարտքի աճի հետ և բարձրացնում տնտեսության խոցելիությունը ցնցումների նկատմամբ։ Այս իրավիճակից բխում է ՀՀ հարկաբյուջետային կանոններին համահունչ հարկաբյուջետային կոնսոլիդացիայի քաղաքականության ընդունման և միջնաժամկետ հատվածում իրականացման անհրաժեշտությունը, ինչն ապահովվում է սույն Պետական միջնաժամկետ ծախսերի ծրագրով և ՀՀ կառավարության պարտքի բեռի նվազեցման 2022-2026թթ</w:t>
      </w:r>
      <w:r w:rsidRPr="00DC175B">
        <w:rPr>
          <w:rFonts w:ascii="Cambria Math" w:hAnsi="Cambria Math" w:cs="Cambria Math"/>
          <w:lang w:val="hy-AM"/>
        </w:rPr>
        <w:t>․</w:t>
      </w:r>
      <w:r w:rsidRPr="00DC175B">
        <w:rPr>
          <w:lang w:val="hy-AM"/>
        </w:rPr>
        <w:t xml:space="preserve"> ծրագրով, և որի իրականացումը թույլ կտա նվազեցնել պարտքից բխող ռիսկերը և ֆինանսական «բարձիկ» ստեղծել հետագա հնարավոր ցնցումներին դիմակայելու համար։ </w:t>
      </w:r>
    </w:p>
    <w:p w14:paraId="7FBF0A25" w14:textId="77777777" w:rsidR="00591F59" w:rsidRPr="00DC175B" w:rsidRDefault="00591F59" w:rsidP="00591F59">
      <w:pPr>
        <w:spacing w:line="276" w:lineRule="auto"/>
        <w:ind w:firstLine="720"/>
        <w:rPr>
          <w:lang w:val="hy-AM"/>
        </w:rPr>
      </w:pPr>
      <w:r w:rsidRPr="00DC175B">
        <w:rPr>
          <w:b/>
          <w:lang w:val="hy-AM"/>
        </w:rPr>
        <w:t xml:space="preserve">Չնայած կառավարության պարտք/ՀՆԱ ցուցանիշի ներկա մակարդակից բխող ռիսկերին, պարտքի կայունությունը գնահատելու առանցքային ուղենիշները ֆինանսական շուկաների վարքագիծը և պարտքի կանխատեսվող միտումներն են, որոնց համաձայն, հիմնվելով միջազգայնորեն ընդունված մեթոդաբանության վրա, կառավարության պարտքի և պարտքի սպասարկման ռիսկերը գնահատվում են ցածր, սակայն խիստ մոտ միջին ռիսկայնության գնահատվելու սահմանագծին։ </w:t>
      </w:r>
      <w:r w:rsidRPr="00DC175B">
        <w:rPr>
          <w:lang w:val="hy-AM"/>
        </w:rPr>
        <w:t>Սթրես թեստերի շրջանակներում ՀՀ կառավարության պարտքը ամենաշատը զգայուն է տնտեսական աճի և փոխարժեքի շոկերի նկատմամբ, որոնցից   առաջինի ի հայտ գալու պարագայում 2023թ</w:t>
      </w:r>
      <w:r w:rsidRPr="00DC175B">
        <w:rPr>
          <w:rFonts w:ascii="Cambria Math" w:hAnsi="Cambria Math" w:cs="Cambria Math"/>
          <w:lang w:val="hy-AM"/>
        </w:rPr>
        <w:t>․</w:t>
      </w:r>
      <w:r w:rsidRPr="00DC175B">
        <w:rPr>
          <w:lang w:val="hy-AM"/>
        </w:rPr>
        <w:t>-ին կառավարության պարտք/ՀՆԱ հարաբերակցությունը հասնում է 69</w:t>
      </w:r>
      <w:r w:rsidRPr="00DC175B">
        <w:rPr>
          <w:rFonts w:ascii="Cambria Math" w:hAnsi="Cambria Math" w:cs="Cambria Math"/>
          <w:lang w:val="hy-AM"/>
        </w:rPr>
        <w:t>․</w:t>
      </w:r>
      <w:r w:rsidRPr="00DC175B">
        <w:rPr>
          <w:lang w:val="hy-AM"/>
        </w:rPr>
        <w:t xml:space="preserve">7% մակարդակին՝ միջնաժամկետ հեռանկարում (մինչև 2026թ-ը) մնալով ՀՀ հարկաբյուջետային կանոններով սահմանված 60% սահմանային շեմից բարձր և պարտքի ռիսկայնության 70% շեմին ընդհուպ մոտ մակարդակում։ Փոխարժեքի շոկի դեպքում կառավարության պարտք/ՀՆԱ հարաբերակցությունը առավելագույն մակարդակին է հասնում 2022թ-ին՝ 62%, սակայն միջնաժամկետ հորիզոնում նվազում 60% շեմից։ ՀՀ պետական բյուջեի համախառն ֆինանսավորման կարիքը կանխատեսվող ժամակահատվածում իրականացված սթրես թեստերից ոչ մեկի դեպքում չի գերազանցում զարգացող երկրների համար ռիսկայնության համար ընդունված սահմանաչափը 15% սահմանաչափը։ </w:t>
      </w:r>
    </w:p>
    <w:p w14:paraId="5EF53908" w14:textId="77777777" w:rsidR="00591F59" w:rsidRPr="00DC175B" w:rsidRDefault="00591F59" w:rsidP="00591F59">
      <w:pPr>
        <w:spacing w:line="276" w:lineRule="auto"/>
        <w:ind w:firstLine="720"/>
        <w:rPr>
          <w:lang w:val="hy-AM"/>
        </w:rPr>
      </w:pPr>
      <w:r w:rsidRPr="00DC175B">
        <w:rPr>
          <w:b/>
          <w:lang w:val="hy-AM"/>
        </w:rPr>
        <w:t xml:space="preserve">ՀՀ կառավարության պարտքի կառուցվածքը բարձր ռիսկային է գնահատվում, սակայն միջազգային շուկայի վարքագիծը գնահատվում է միջին ռիսկայնության տիրույթում։ </w:t>
      </w:r>
      <w:r w:rsidRPr="00DC175B">
        <w:rPr>
          <w:lang w:val="hy-AM"/>
        </w:rPr>
        <w:t>Մասնավորապես, ՀՀ կառավարության պարտքի կառուցվածքում արտարժութային և ոչ ռեզիդենտների նկատմամբ պարտքի մասնաբաժինները բարձր ռիսկայնության տիրույթում են եղել 2021թ-ի մայիսի դրությամբ՝ կազմելով համապատասխանաբար 76.4% և 75.2%: Միևնույն ժամանակ, ՀՀ կառավարության պարտքի  համար միջազգային ֆինանսական շուկայի գնահատականը (ՀՀ երկրի ռիսկի հավելավճար՝ արտարժութային պարտատոմսերի եկամտաբերությունների սփրեդը) 2021թ</w:t>
      </w:r>
      <w:r w:rsidRPr="00DC175B">
        <w:rPr>
          <w:rFonts w:ascii="Cambria Math" w:hAnsi="Cambria Math" w:cs="Cambria Math"/>
          <w:lang w:val="hy-AM"/>
        </w:rPr>
        <w:t>․</w:t>
      </w:r>
      <w:r w:rsidRPr="00DC175B">
        <w:rPr>
          <w:lang w:val="hy-AM"/>
        </w:rPr>
        <w:t xml:space="preserve">-ի հունիսի վերջի դրությամբ միջին ռիսկայնության տիրույթում է գտնվել՝ առավել մոտենալով ցածր ռիսկայնության շեմին։ </w:t>
      </w:r>
    </w:p>
    <w:p w14:paraId="0099D109" w14:textId="77777777" w:rsidR="00591F59" w:rsidRPr="00DC175B" w:rsidRDefault="00591F59" w:rsidP="00591F59">
      <w:pPr>
        <w:spacing w:line="276" w:lineRule="auto"/>
        <w:ind w:firstLine="720"/>
        <w:rPr>
          <w:lang w:val="hy-AM"/>
        </w:rPr>
      </w:pPr>
      <w:r w:rsidRPr="00DC175B">
        <w:rPr>
          <w:b/>
          <w:lang w:val="hy-AM"/>
        </w:rPr>
        <w:t xml:space="preserve">ՀՀ կառավարության պարտքի կանխատեսումները անորոշության բարձր աստիճան են պարունակում, քանի որ պարտք ձևավորող գործոնները պատմականորեն ունեն բարձր տատանողականություն։  </w:t>
      </w:r>
      <w:r w:rsidRPr="00DC175B">
        <w:rPr>
          <w:lang w:val="hy-AM"/>
        </w:rPr>
        <w:t>Այս նկարագիրը բացահայտվում է ստորև ներկայացված հավանականությունների բաշխման գրաֆիկում, ըստ որի՝ 2024թ</w:t>
      </w:r>
      <w:r w:rsidRPr="00DC175B">
        <w:rPr>
          <w:rFonts w:ascii="Cambria Math" w:hAnsi="Cambria Math" w:cs="Cambria Math"/>
          <w:lang w:val="hy-AM"/>
        </w:rPr>
        <w:t>․</w:t>
      </w:r>
      <w:r w:rsidRPr="00DC175B">
        <w:rPr>
          <w:lang w:val="hy-AM"/>
        </w:rPr>
        <w:t>-ի համար 10-ից 90% հավանականային միջակայքում ուրվագծում է ՀՆԱ-ում 48%-ից 72%, իսկ 2026թ</w:t>
      </w:r>
      <w:r w:rsidRPr="00DC175B">
        <w:rPr>
          <w:rFonts w:ascii="Cambria Math" w:hAnsi="Cambria Math" w:cs="Cambria Math"/>
          <w:lang w:val="hy-AM"/>
        </w:rPr>
        <w:t>․</w:t>
      </w:r>
      <w:r w:rsidRPr="00DC175B">
        <w:rPr>
          <w:lang w:val="hy-AM"/>
        </w:rPr>
        <w:t xml:space="preserve">-ի համար՝ 40%-ից 70% միջակայք։   </w:t>
      </w:r>
    </w:p>
    <w:p w14:paraId="27F4F3AE" w14:textId="77777777" w:rsidR="00591F59" w:rsidRPr="00DC175B" w:rsidRDefault="00591F59" w:rsidP="00591F59">
      <w:pPr>
        <w:spacing w:line="276" w:lineRule="auto"/>
        <w:ind w:firstLine="720"/>
        <w:rPr>
          <w:lang w:val="hy-AM"/>
        </w:rPr>
      </w:pPr>
      <w:r w:rsidRPr="00DC175B">
        <w:rPr>
          <w:b/>
          <w:lang w:val="hy-AM"/>
        </w:rPr>
        <w:t>Թիրախային (2022-26 թթ</w:t>
      </w:r>
      <w:r w:rsidRPr="00DC175B">
        <w:rPr>
          <w:rFonts w:ascii="Cambria Math" w:hAnsi="Cambria Math" w:cs="Cambria Math"/>
          <w:b/>
          <w:lang w:val="hy-AM"/>
        </w:rPr>
        <w:t>․</w:t>
      </w:r>
      <w:r w:rsidRPr="00DC175B">
        <w:rPr>
          <w:b/>
          <w:lang w:val="hy-AM"/>
        </w:rPr>
        <w:t xml:space="preserve"> համար միջինում առնվազն 7%) տնտեսական աճի սցենարի պարագայում պարտքի հետագիծն առավել բարենպաստ է։</w:t>
      </w:r>
      <w:r w:rsidRPr="00DC175B">
        <w:rPr>
          <w:lang w:val="hy-AM"/>
        </w:rPr>
        <w:t xml:space="preserve"> Չնայած ՄԺԾԾ մակրոտնտեսական սցենարի համեմատությամբ բյուջեի առավել խորը պակասուրդին, Թիրախային աճի սցենարում պարտքի ավելի մեծ նվազում է ապահովվում</w:t>
      </w:r>
      <w:r w:rsidRPr="00DC175B" w:rsidDel="00E36780">
        <w:rPr>
          <w:lang w:val="hy-AM"/>
        </w:rPr>
        <w:t xml:space="preserve"> </w:t>
      </w:r>
      <w:r w:rsidRPr="00DC175B">
        <w:rPr>
          <w:lang w:val="hy-AM"/>
        </w:rPr>
        <w:t>։ Թիրախային աճի սցենարի (այդ թվում՝ դրա շրջանակներում ՀՀ կառավարության պարտքի ռիսկերի) վերաբերյալ առավել մանրամասն վերլուծությունների կիրականացվեն այդ սցենարի իրագործմանն ուղղված միջոցառումների նյութականացմանը զուգընթաց</w:t>
      </w:r>
      <w:r w:rsidRPr="00DC175B">
        <w:rPr>
          <w:rStyle w:val="FootnoteReference"/>
          <w:lang w:val="hy-AM"/>
        </w:rPr>
        <w:footnoteReference w:id="41"/>
      </w:r>
      <w:r w:rsidRPr="00DC175B">
        <w:rPr>
          <w:lang w:val="hy-AM"/>
        </w:rPr>
        <w:t>։</w:t>
      </w:r>
    </w:p>
    <w:p w14:paraId="7B351088" w14:textId="77777777" w:rsidR="00591F59" w:rsidRPr="00DC175B" w:rsidRDefault="00591F59" w:rsidP="00010E8E">
      <w:pPr>
        <w:pStyle w:val="aff2"/>
      </w:pPr>
      <w:r w:rsidRPr="00DC175B">
        <w:t>Գծապատկեր 4.</w:t>
      </w:r>
      <w:r w:rsidRPr="00DC175B">
        <w:fldChar w:fldCharType="begin"/>
      </w:r>
      <w:r w:rsidRPr="00DC175B">
        <w:instrText xml:space="preserve"> SEQ Գծապատկեր \* ARABIC </w:instrText>
      </w:r>
      <w:r w:rsidRPr="00DC175B">
        <w:fldChar w:fldCharType="separate"/>
      </w:r>
      <w:r w:rsidRPr="00DC175B">
        <w:rPr>
          <w:noProof/>
        </w:rPr>
        <w:t>1</w:t>
      </w:r>
      <w:r w:rsidRPr="00DC175B">
        <w:fldChar w:fldCharType="end"/>
      </w:r>
      <w:r w:rsidRPr="00DC175B">
        <w:t xml:space="preserve">. ՀՀ Կառավարության պարտքի տոկոսադրույքը և ՀՆԱ անվանական աճը </w:t>
      </w:r>
    </w:p>
    <w:p w14:paraId="3DC83132" w14:textId="77777777" w:rsidR="00591F59" w:rsidRPr="00DC175B" w:rsidRDefault="00591F59" w:rsidP="00591F59">
      <w:pPr>
        <w:spacing w:line="276" w:lineRule="auto"/>
        <w:rPr>
          <w:b/>
          <w:lang w:val="hy-AM"/>
        </w:rPr>
      </w:pPr>
      <w:r w:rsidRPr="00DC175B">
        <w:rPr>
          <w:noProof/>
          <w:lang w:val="hy-AM"/>
        </w:rPr>
        <w:t xml:space="preserve"> </w:t>
      </w:r>
      <w:r w:rsidRPr="00DC175B">
        <w:rPr>
          <w:b/>
          <w:noProof/>
        </w:rPr>
        <w:drawing>
          <wp:inline distT="0" distB="0" distL="0" distR="0" wp14:anchorId="6CB5F712" wp14:editId="1BD45D8F">
            <wp:extent cx="6320155" cy="2628900"/>
            <wp:effectExtent l="0" t="0" r="4445"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44143018" w14:textId="77777777" w:rsidR="00591F59" w:rsidRPr="00DC175B" w:rsidRDefault="00591F59" w:rsidP="00010E8E">
      <w:pPr>
        <w:pStyle w:val="aff2"/>
      </w:pPr>
      <w:r w:rsidRPr="00DC175B">
        <w:t>Գծապատկեր 4.2. ՀՀ Կառավարության պարտքի և համախառն ֆինանսավորման կարիքի սթրես թեստեր*</w:t>
      </w:r>
    </w:p>
    <w:p w14:paraId="5585D5E5" w14:textId="77777777" w:rsidR="00591F59" w:rsidRPr="00DC175B" w:rsidRDefault="00591F59" w:rsidP="00591F59">
      <w:pPr>
        <w:spacing w:after="0" w:line="276" w:lineRule="auto"/>
        <w:rPr>
          <w:b/>
          <w:lang w:val="hy-AM"/>
        </w:rPr>
      </w:pPr>
      <w:r w:rsidRPr="00DC175B">
        <w:rPr>
          <w:b/>
          <w:noProof/>
        </w:rPr>
        <mc:AlternateContent>
          <mc:Choice Requires="wps">
            <w:drawing>
              <wp:anchor distT="0" distB="0" distL="114300" distR="114300" simplePos="0" relativeHeight="251695616" behindDoc="0" locked="0" layoutInCell="1" allowOverlap="1" wp14:anchorId="3D15FFB5" wp14:editId="0FFF848B">
                <wp:simplePos x="0" y="0"/>
                <wp:positionH relativeFrom="column">
                  <wp:posOffset>384810</wp:posOffset>
                </wp:positionH>
                <wp:positionV relativeFrom="paragraph">
                  <wp:posOffset>776605</wp:posOffset>
                </wp:positionV>
                <wp:extent cx="2786380" cy="0"/>
                <wp:effectExtent l="0" t="0" r="33020" b="19050"/>
                <wp:wrapNone/>
                <wp:docPr id="4" name="Straight Connector 4"/>
                <wp:cNvGraphicFramePr/>
                <a:graphic xmlns:a="http://schemas.openxmlformats.org/drawingml/2006/main">
                  <a:graphicData uri="http://schemas.microsoft.com/office/word/2010/wordprocessingShape">
                    <wps:wsp>
                      <wps:cNvCnPr/>
                      <wps:spPr>
                        <a:xfrm>
                          <a:off x="0" y="0"/>
                          <a:ext cx="2786380" cy="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C93CDC2" id="Straight Connector 4" o:spid="_x0000_s1026" style="position:absolute;z-index:251695616;visibility:visible;mso-wrap-style:square;mso-wrap-distance-left:9pt;mso-wrap-distance-top:0;mso-wrap-distance-right:9pt;mso-wrap-distance-bottom:0;mso-position-horizontal:absolute;mso-position-horizontal-relative:text;mso-position-vertical:absolute;mso-position-vertical-relative:text" from="30.3pt,61.15pt" to="249.7pt,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" strokecolor="#c00000" strokeweight="2pt"/>
            </w:pict>
          </mc:Fallback>
        </mc:AlternateContent>
      </w:r>
      <w:r w:rsidRPr="00DC175B">
        <w:rPr>
          <w:b/>
          <w:noProof/>
        </w:rPr>
        <w:drawing>
          <wp:inline distT="0" distB="0" distL="0" distR="0" wp14:anchorId="588C8E67" wp14:editId="233FF151">
            <wp:extent cx="2857500" cy="26289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r w:rsidRPr="00DC175B">
        <w:rPr>
          <w:b/>
          <w:noProof/>
        </w:rPr>
        <w:drawing>
          <wp:inline distT="0" distB="0" distL="0" distR="0" wp14:anchorId="6719797B" wp14:editId="57564158">
            <wp:extent cx="3100705" cy="2619375"/>
            <wp:effectExtent l="0" t="0" r="4445" b="952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0A6B8F7B" w14:textId="77777777" w:rsidR="00591F59" w:rsidRPr="00DC175B" w:rsidRDefault="00591F59" w:rsidP="00591F59">
      <w:pPr>
        <w:spacing w:after="0" w:line="276" w:lineRule="auto"/>
        <w:rPr>
          <w:b/>
          <w:lang w:val="hy-AM"/>
        </w:rPr>
      </w:pPr>
      <w:r w:rsidRPr="00DC175B">
        <w:rPr>
          <w:b/>
          <w:noProof/>
        </w:rPr>
        <w:drawing>
          <wp:inline distT="0" distB="0" distL="0" distR="0" wp14:anchorId="2315A8C2" wp14:editId="10F7E183">
            <wp:extent cx="6305550" cy="89535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5B6C1AA1" w14:textId="77777777" w:rsidR="00591F59" w:rsidRPr="00DC175B" w:rsidRDefault="00591F59" w:rsidP="00010E8E">
      <w:pPr>
        <w:pStyle w:val="afd"/>
      </w:pPr>
      <w:r w:rsidRPr="00DC175B">
        <w:t>* 2025 և 2026թթ</w:t>
      </w:r>
      <w:r w:rsidRPr="00DC175B">
        <w:rPr>
          <w:rFonts w:ascii="Cambria Math" w:hAnsi="Cambria Math" w:cs="Cambria Math"/>
        </w:rPr>
        <w:t>․</w:t>
      </w:r>
      <w:r w:rsidRPr="00DC175B">
        <w:t xml:space="preserve"> կանխատեսումները հիմնվում են 2022-2026թթ</w:t>
      </w:r>
      <w:r w:rsidRPr="00DC175B">
        <w:rPr>
          <w:rFonts w:ascii="Cambria Math" w:hAnsi="Cambria Math" w:cs="Cambria Math"/>
        </w:rPr>
        <w:t>․</w:t>
      </w:r>
      <w:r w:rsidRPr="00DC175B">
        <w:t xml:space="preserve"> ՀՀ կառավարության պարտքի նվազեցման ծրագրի վրա</w:t>
      </w:r>
    </w:p>
    <w:p w14:paraId="5D466E20" w14:textId="77777777" w:rsidR="00591F59" w:rsidRPr="00DC175B" w:rsidRDefault="00591F59" w:rsidP="00591F59">
      <w:pPr>
        <w:spacing w:after="0" w:line="276" w:lineRule="auto"/>
        <w:rPr>
          <w:i/>
          <w:lang w:val="hy-AM"/>
        </w:rPr>
      </w:pPr>
    </w:p>
    <w:p w14:paraId="71FBA115" w14:textId="77777777" w:rsidR="00591F59" w:rsidRPr="00DC175B" w:rsidRDefault="00591F59" w:rsidP="00591F59">
      <w:pPr>
        <w:spacing w:after="0" w:line="276" w:lineRule="auto"/>
        <w:rPr>
          <w:i/>
          <w:lang w:val="hy-AM"/>
        </w:rPr>
      </w:pPr>
    </w:p>
    <w:p w14:paraId="5D5F8C34" w14:textId="77777777" w:rsidR="00591F59" w:rsidRPr="00DC175B" w:rsidRDefault="00591F59" w:rsidP="00010E8E">
      <w:pPr>
        <w:pStyle w:val="afa"/>
      </w:pPr>
      <w:r w:rsidRPr="00DC175B">
        <w:t>Աղյուսակ 4.3. ՀՀ կառավարության պարտքի պորտֆելի ռիսկայնության ցուցանիշներ</w:t>
      </w:r>
    </w:p>
    <w:tbl>
      <w:tblPr>
        <w:tblStyle w:val="GridTable1Light-Accent11"/>
        <w:tblW w:w="10060" w:type="dxa"/>
        <w:tblLook w:val="04A0" w:firstRow="1" w:lastRow="0" w:firstColumn="1" w:lastColumn="0" w:noHBand="0" w:noVBand="1"/>
      </w:tblPr>
      <w:tblGrid>
        <w:gridCol w:w="3681"/>
        <w:gridCol w:w="1559"/>
        <w:gridCol w:w="1559"/>
        <w:gridCol w:w="1701"/>
        <w:gridCol w:w="1560"/>
      </w:tblGrid>
      <w:tr w:rsidR="00591F59" w:rsidRPr="00DC175B" w14:paraId="449A305C" w14:textId="77777777" w:rsidTr="00B11AEF">
        <w:trPr>
          <w:cnfStyle w:val="100000000000" w:firstRow="1" w:lastRow="0" w:firstColumn="0" w:lastColumn="0" w:oddVBand="0" w:evenVBand="0" w:oddHBand="0"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3681" w:type="dxa"/>
            <w:vMerge w:val="restart"/>
            <w:shd w:val="clear" w:color="auto" w:fill="4F81BD" w:themeFill="accent1"/>
            <w:noWrap/>
            <w:hideMark/>
          </w:tcPr>
          <w:p w14:paraId="35927E2F" w14:textId="77777777" w:rsidR="00591F59" w:rsidRPr="00DC175B" w:rsidRDefault="00591F59" w:rsidP="00B11AEF">
            <w:pPr>
              <w:spacing w:line="276" w:lineRule="auto"/>
              <w:rPr>
                <w:rFonts w:eastAsia="Times New Roman" w:cs="Calibri"/>
                <w:color w:val="000000"/>
                <w:lang w:val="hy-AM"/>
              </w:rPr>
            </w:pPr>
            <w:r w:rsidRPr="00DC175B">
              <w:rPr>
                <w:rFonts w:ascii="Calibri" w:eastAsia="Times New Roman" w:hAnsi="Calibri" w:cs="Calibri"/>
                <w:color w:val="000000"/>
                <w:lang w:val="hy-AM"/>
              </w:rPr>
              <w:t> </w:t>
            </w:r>
          </w:p>
        </w:tc>
        <w:tc>
          <w:tcPr>
            <w:tcW w:w="4819" w:type="dxa"/>
            <w:gridSpan w:val="3"/>
            <w:shd w:val="clear" w:color="auto" w:fill="4F81BD" w:themeFill="accent1"/>
            <w:noWrap/>
            <w:vAlign w:val="center"/>
            <w:hideMark/>
          </w:tcPr>
          <w:p w14:paraId="4FFF9C00" w14:textId="77777777" w:rsidR="00591F59" w:rsidRPr="00DC175B" w:rsidRDefault="00591F59" w:rsidP="00591F59">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themeColor="background1"/>
              </w:rPr>
            </w:pPr>
            <w:r w:rsidRPr="00DC175B">
              <w:rPr>
                <w:rFonts w:eastAsia="Times New Roman" w:cs="Calibri"/>
                <w:color w:val="FFFFFF" w:themeColor="background1"/>
              </w:rPr>
              <w:t>Շեմեր</w:t>
            </w:r>
          </w:p>
        </w:tc>
        <w:tc>
          <w:tcPr>
            <w:tcW w:w="1560" w:type="dxa"/>
            <w:vMerge w:val="restart"/>
            <w:shd w:val="clear" w:color="auto" w:fill="4F81BD" w:themeFill="accent1"/>
            <w:vAlign w:val="center"/>
            <w:hideMark/>
          </w:tcPr>
          <w:p w14:paraId="1C109E6B" w14:textId="77777777" w:rsidR="00591F59" w:rsidRPr="00DC175B" w:rsidRDefault="00591F59" w:rsidP="00591F59">
            <w:pPr>
              <w:spacing w:line="276"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themeColor="background1"/>
              </w:rPr>
            </w:pPr>
            <w:r w:rsidRPr="00DC175B">
              <w:rPr>
                <w:rFonts w:eastAsia="Times New Roman" w:cs="Calibri"/>
                <w:color w:val="FFFFFF" w:themeColor="background1"/>
              </w:rPr>
              <w:t>ՀՀ ցուցանիշ</w:t>
            </w:r>
          </w:p>
        </w:tc>
      </w:tr>
      <w:tr w:rsidR="00591F59" w:rsidRPr="00DC175B" w14:paraId="4733CF90" w14:textId="77777777" w:rsidTr="00B11AEF">
        <w:trPr>
          <w:trHeight w:val="420"/>
        </w:trPr>
        <w:tc>
          <w:tcPr>
            <w:cnfStyle w:val="001000000000" w:firstRow="0" w:lastRow="0" w:firstColumn="1" w:lastColumn="0" w:oddVBand="0" w:evenVBand="0" w:oddHBand="0" w:evenHBand="0" w:firstRowFirstColumn="0" w:firstRowLastColumn="0" w:lastRowFirstColumn="0" w:lastRowLastColumn="0"/>
            <w:tcW w:w="3681" w:type="dxa"/>
            <w:vMerge/>
            <w:hideMark/>
          </w:tcPr>
          <w:p w14:paraId="6A3E09D1" w14:textId="77777777" w:rsidR="00591F59" w:rsidRPr="00DC175B" w:rsidRDefault="00591F59" w:rsidP="00B11AEF">
            <w:pPr>
              <w:spacing w:line="276" w:lineRule="auto"/>
              <w:rPr>
                <w:rFonts w:eastAsia="Times New Roman" w:cs="Calibri"/>
                <w:color w:val="000000"/>
              </w:rPr>
            </w:pPr>
          </w:p>
        </w:tc>
        <w:tc>
          <w:tcPr>
            <w:tcW w:w="1559" w:type="dxa"/>
            <w:shd w:val="clear" w:color="auto" w:fill="4F81BD" w:themeFill="accent1"/>
            <w:noWrap/>
            <w:vAlign w:val="center"/>
            <w:hideMark/>
          </w:tcPr>
          <w:p w14:paraId="690B934E" w14:textId="77777777" w:rsidR="00591F59" w:rsidRPr="00DC175B" w:rsidRDefault="00591F59" w:rsidP="00591F5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b/>
                <w:color w:val="FFFFFF" w:themeColor="background1"/>
              </w:rPr>
            </w:pPr>
            <w:r w:rsidRPr="00DC175B">
              <w:rPr>
                <w:rFonts w:eastAsia="Times New Roman" w:cs="Calibri"/>
                <w:b/>
                <w:color w:val="FFFFFF" w:themeColor="background1"/>
              </w:rPr>
              <w:t>Ցածր</w:t>
            </w:r>
          </w:p>
        </w:tc>
        <w:tc>
          <w:tcPr>
            <w:tcW w:w="1559" w:type="dxa"/>
            <w:shd w:val="clear" w:color="auto" w:fill="4F81BD" w:themeFill="accent1"/>
            <w:noWrap/>
            <w:vAlign w:val="center"/>
            <w:hideMark/>
          </w:tcPr>
          <w:p w14:paraId="7C1F0541"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b/>
                <w:color w:val="FFFFFF" w:themeColor="background1"/>
              </w:rPr>
            </w:pPr>
            <w:r w:rsidRPr="00DC175B">
              <w:rPr>
                <w:rFonts w:eastAsia="Times New Roman" w:cs="Calibri"/>
                <w:b/>
                <w:color w:val="FFFFFF" w:themeColor="background1"/>
              </w:rPr>
              <w:t>Միջին</w:t>
            </w:r>
          </w:p>
        </w:tc>
        <w:tc>
          <w:tcPr>
            <w:tcW w:w="1701" w:type="dxa"/>
            <w:shd w:val="clear" w:color="auto" w:fill="4F81BD" w:themeFill="accent1"/>
            <w:noWrap/>
            <w:vAlign w:val="center"/>
            <w:hideMark/>
          </w:tcPr>
          <w:p w14:paraId="4D197A5C"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b/>
                <w:color w:val="FFFFFF" w:themeColor="background1"/>
              </w:rPr>
            </w:pPr>
            <w:r w:rsidRPr="00DC175B">
              <w:rPr>
                <w:rFonts w:eastAsia="Times New Roman" w:cs="Calibri"/>
                <w:b/>
                <w:color w:val="FFFFFF" w:themeColor="background1"/>
              </w:rPr>
              <w:t>Բարձր</w:t>
            </w:r>
          </w:p>
        </w:tc>
        <w:tc>
          <w:tcPr>
            <w:tcW w:w="1560" w:type="dxa"/>
            <w:vMerge/>
            <w:hideMark/>
          </w:tcPr>
          <w:p w14:paraId="6577FD0D" w14:textId="77777777" w:rsidR="00591F59" w:rsidRPr="00DC175B" w:rsidRDefault="00591F59" w:rsidP="00591F59">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p>
        </w:tc>
      </w:tr>
      <w:tr w:rsidR="00591F59" w:rsidRPr="00DC175B" w14:paraId="0C5AF8A6" w14:textId="77777777" w:rsidTr="00B11AEF">
        <w:trPr>
          <w:trHeight w:val="624"/>
        </w:trPr>
        <w:tc>
          <w:tcPr>
            <w:cnfStyle w:val="001000000000" w:firstRow="0" w:lastRow="0" w:firstColumn="1" w:lastColumn="0" w:oddVBand="0" w:evenVBand="0" w:oddHBand="0" w:evenHBand="0" w:firstRowFirstColumn="0" w:firstRowLastColumn="0" w:lastRowFirstColumn="0" w:lastRowLastColumn="0"/>
            <w:tcW w:w="3681" w:type="dxa"/>
            <w:hideMark/>
          </w:tcPr>
          <w:p w14:paraId="29AE9A1C" w14:textId="77777777" w:rsidR="00591F59" w:rsidRPr="00DC175B" w:rsidRDefault="00591F59" w:rsidP="00591F59">
            <w:pPr>
              <w:spacing w:line="276" w:lineRule="auto"/>
              <w:ind w:firstLine="0"/>
              <w:rPr>
                <w:rFonts w:eastAsia="Times New Roman" w:cs="Calibri"/>
                <w:color w:val="000000"/>
              </w:rPr>
            </w:pPr>
            <w:r w:rsidRPr="00DC175B">
              <w:rPr>
                <w:rFonts w:eastAsia="Times New Roman" w:cs="Calibri"/>
                <w:color w:val="000000"/>
              </w:rPr>
              <w:t>ՀՀ երկրի ռիսկի հավելավճար, բազիսային կետ*</w:t>
            </w:r>
          </w:p>
        </w:tc>
        <w:tc>
          <w:tcPr>
            <w:tcW w:w="1559" w:type="dxa"/>
            <w:noWrap/>
            <w:vAlign w:val="center"/>
            <w:hideMark/>
          </w:tcPr>
          <w:p w14:paraId="2A5AF300"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&lt;200</w:t>
            </w:r>
          </w:p>
        </w:tc>
        <w:tc>
          <w:tcPr>
            <w:tcW w:w="1559" w:type="dxa"/>
            <w:noWrap/>
            <w:vAlign w:val="center"/>
            <w:hideMark/>
          </w:tcPr>
          <w:p w14:paraId="7E28FDC5"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200-600</w:t>
            </w:r>
          </w:p>
        </w:tc>
        <w:tc>
          <w:tcPr>
            <w:tcW w:w="1701" w:type="dxa"/>
            <w:noWrap/>
            <w:vAlign w:val="center"/>
            <w:hideMark/>
          </w:tcPr>
          <w:p w14:paraId="059C664E"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&gt;600</w:t>
            </w:r>
          </w:p>
        </w:tc>
        <w:tc>
          <w:tcPr>
            <w:tcW w:w="1560" w:type="dxa"/>
            <w:noWrap/>
            <w:vAlign w:val="center"/>
            <w:hideMark/>
          </w:tcPr>
          <w:p w14:paraId="5C0D7C00"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291.1</w:t>
            </w:r>
          </w:p>
        </w:tc>
      </w:tr>
      <w:tr w:rsidR="00591F59" w:rsidRPr="00DC175B" w14:paraId="13C3FAE7" w14:textId="77777777" w:rsidTr="00B11AEF">
        <w:trPr>
          <w:trHeight w:val="912"/>
        </w:trPr>
        <w:tc>
          <w:tcPr>
            <w:cnfStyle w:val="001000000000" w:firstRow="0" w:lastRow="0" w:firstColumn="1" w:lastColumn="0" w:oddVBand="0" w:evenVBand="0" w:oddHBand="0" w:evenHBand="0" w:firstRowFirstColumn="0" w:firstRowLastColumn="0" w:lastRowFirstColumn="0" w:lastRowLastColumn="0"/>
            <w:tcW w:w="3681" w:type="dxa"/>
            <w:hideMark/>
          </w:tcPr>
          <w:p w14:paraId="1901BA52" w14:textId="77777777" w:rsidR="00591F59" w:rsidRPr="00DC175B" w:rsidRDefault="00591F59" w:rsidP="00591F59">
            <w:pPr>
              <w:spacing w:line="276" w:lineRule="auto"/>
              <w:ind w:firstLine="0"/>
              <w:rPr>
                <w:rFonts w:eastAsia="Times New Roman" w:cs="Calibri"/>
                <w:color w:val="000000"/>
              </w:rPr>
            </w:pPr>
            <w:r w:rsidRPr="00DC175B">
              <w:rPr>
                <w:rFonts w:eastAsia="Times New Roman" w:cs="Calibri"/>
                <w:color w:val="000000"/>
              </w:rPr>
              <w:t>Ոչ ռեզիդենտների նկատմամբ պարտքի կշիռ, % ընդհանուր պարտքում**</w:t>
            </w:r>
          </w:p>
        </w:tc>
        <w:tc>
          <w:tcPr>
            <w:tcW w:w="1559" w:type="dxa"/>
            <w:noWrap/>
            <w:vAlign w:val="center"/>
            <w:hideMark/>
          </w:tcPr>
          <w:p w14:paraId="7255903C"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&lt;15</w:t>
            </w:r>
          </w:p>
        </w:tc>
        <w:tc>
          <w:tcPr>
            <w:tcW w:w="1559" w:type="dxa"/>
            <w:noWrap/>
            <w:vAlign w:val="center"/>
            <w:hideMark/>
          </w:tcPr>
          <w:p w14:paraId="578B53B1"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15-45</w:t>
            </w:r>
          </w:p>
        </w:tc>
        <w:tc>
          <w:tcPr>
            <w:tcW w:w="1701" w:type="dxa"/>
            <w:noWrap/>
            <w:vAlign w:val="center"/>
            <w:hideMark/>
          </w:tcPr>
          <w:p w14:paraId="17169DEC"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&gt;45</w:t>
            </w:r>
          </w:p>
        </w:tc>
        <w:tc>
          <w:tcPr>
            <w:tcW w:w="1560" w:type="dxa"/>
            <w:noWrap/>
            <w:vAlign w:val="center"/>
            <w:hideMark/>
          </w:tcPr>
          <w:p w14:paraId="59B51A6F"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75.2</w:t>
            </w:r>
          </w:p>
        </w:tc>
      </w:tr>
      <w:tr w:rsidR="00591F59" w:rsidRPr="00DC175B" w14:paraId="3B11049B" w14:textId="77777777" w:rsidTr="00B11AEF">
        <w:trPr>
          <w:trHeight w:val="744"/>
        </w:trPr>
        <w:tc>
          <w:tcPr>
            <w:cnfStyle w:val="001000000000" w:firstRow="0" w:lastRow="0" w:firstColumn="1" w:lastColumn="0" w:oddVBand="0" w:evenVBand="0" w:oddHBand="0" w:evenHBand="0" w:firstRowFirstColumn="0" w:firstRowLastColumn="0" w:lastRowFirstColumn="0" w:lastRowLastColumn="0"/>
            <w:tcW w:w="3681" w:type="dxa"/>
            <w:hideMark/>
          </w:tcPr>
          <w:p w14:paraId="607D3CF1" w14:textId="77777777" w:rsidR="00591F59" w:rsidRPr="00DC175B" w:rsidRDefault="00591F59" w:rsidP="00591F59">
            <w:pPr>
              <w:spacing w:line="276" w:lineRule="auto"/>
              <w:ind w:firstLine="0"/>
              <w:rPr>
                <w:rFonts w:eastAsia="Times New Roman" w:cs="Calibri"/>
                <w:color w:val="000000"/>
              </w:rPr>
            </w:pPr>
            <w:r w:rsidRPr="00DC175B">
              <w:rPr>
                <w:rFonts w:eastAsia="Times New Roman" w:cs="Calibri"/>
                <w:color w:val="000000"/>
              </w:rPr>
              <w:t>Արտարժութային պարտքի կշիռ, % ընդհանուր պարտքում**</w:t>
            </w:r>
          </w:p>
        </w:tc>
        <w:tc>
          <w:tcPr>
            <w:tcW w:w="1559" w:type="dxa"/>
            <w:noWrap/>
            <w:vAlign w:val="center"/>
            <w:hideMark/>
          </w:tcPr>
          <w:p w14:paraId="3F97DF43"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&lt;20</w:t>
            </w:r>
          </w:p>
        </w:tc>
        <w:tc>
          <w:tcPr>
            <w:tcW w:w="1559" w:type="dxa"/>
            <w:noWrap/>
            <w:vAlign w:val="center"/>
            <w:hideMark/>
          </w:tcPr>
          <w:p w14:paraId="405CF4E4"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20-60</w:t>
            </w:r>
          </w:p>
        </w:tc>
        <w:tc>
          <w:tcPr>
            <w:tcW w:w="1701" w:type="dxa"/>
            <w:noWrap/>
            <w:vAlign w:val="center"/>
            <w:hideMark/>
          </w:tcPr>
          <w:p w14:paraId="492BA9B7"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&gt;60</w:t>
            </w:r>
          </w:p>
        </w:tc>
        <w:tc>
          <w:tcPr>
            <w:tcW w:w="1560" w:type="dxa"/>
            <w:noWrap/>
            <w:vAlign w:val="center"/>
            <w:hideMark/>
          </w:tcPr>
          <w:p w14:paraId="2B1AB7FC" w14:textId="77777777" w:rsidR="00591F59" w:rsidRPr="00DC175B" w:rsidRDefault="00591F59" w:rsidP="00591F59">
            <w:pPr>
              <w:spacing w:line="276"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DC175B">
              <w:rPr>
                <w:rFonts w:eastAsia="Times New Roman" w:cs="Calibri"/>
                <w:color w:val="000000"/>
              </w:rPr>
              <w:t>76.4</w:t>
            </w:r>
          </w:p>
        </w:tc>
      </w:tr>
    </w:tbl>
    <w:p w14:paraId="16EA81C8" w14:textId="77777777" w:rsidR="00591F59" w:rsidRPr="00DC175B" w:rsidRDefault="00591F59" w:rsidP="00010E8E">
      <w:pPr>
        <w:pStyle w:val="afd"/>
      </w:pPr>
      <w:r w:rsidRPr="00DC175B">
        <w:t>*Հաշվարկված է որպես 2021թ</w:t>
      </w:r>
      <w:r w:rsidRPr="00DC175B">
        <w:rPr>
          <w:rFonts w:ascii="Cambria Math" w:hAnsi="Cambria Math" w:cs="Cambria Math"/>
        </w:rPr>
        <w:t>․</w:t>
      </w:r>
      <w:r w:rsidRPr="00DC175B">
        <w:t xml:space="preserve"> մարտ-մայիս ամիսներին երկրորդային շուկայում 2029 և 2031թթ</w:t>
      </w:r>
      <w:r w:rsidRPr="00DC175B">
        <w:rPr>
          <w:rFonts w:ascii="Cambria Math" w:hAnsi="Cambria Math" w:cs="Cambria Math"/>
        </w:rPr>
        <w:t>․</w:t>
      </w:r>
      <w:r w:rsidRPr="00DC175B">
        <w:t xml:space="preserve"> մարվող ՀՀ եվրոբոնդերի եկամտաբերություններ՝ ԱՄՆ գանձապետական պարտատոմսերի հետ միջին սփրեդ։</w:t>
      </w:r>
    </w:p>
    <w:p w14:paraId="3D819678" w14:textId="77777777" w:rsidR="00591F59" w:rsidRPr="00DC175B" w:rsidRDefault="00591F59" w:rsidP="00010E8E">
      <w:pPr>
        <w:pStyle w:val="afd"/>
      </w:pPr>
      <w:r w:rsidRPr="00DC175B">
        <w:t>**2021թ</w:t>
      </w:r>
      <w:r w:rsidRPr="00DC175B">
        <w:rPr>
          <w:rFonts w:ascii="Cambria Math" w:hAnsi="Cambria Math" w:cs="Cambria Math"/>
        </w:rPr>
        <w:t>․</w:t>
      </w:r>
      <w:r w:rsidRPr="00DC175B">
        <w:t xml:space="preserve"> մայիսի դրությամբ։</w:t>
      </w:r>
    </w:p>
    <w:p w14:paraId="2F765801" w14:textId="77777777" w:rsidR="00591F59" w:rsidRPr="00DC175B" w:rsidRDefault="00591F59" w:rsidP="00591F59">
      <w:pPr>
        <w:spacing w:after="0" w:line="276" w:lineRule="auto"/>
        <w:rPr>
          <w:lang w:val="hy-AM"/>
        </w:rPr>
      </w:pPr>
    </w:p>
    <w:p w14:paraId="6A1AF31B" w14:textId="77777777" w:rsidR="00591F59" w:rsidRPr="00DC175B" w:rsidRDefault="00591F59" w:rsidP="00010E8E">
      <w:pPr>
        <w:pStyle w:val="aff2"/>
      </w:pPr>
      <w:r w:rsidRPr="00DC175B">
        <w:t xml:space="preserve">Գծապատկեր 4.4. ՀՀ Կառավարության պարտքի կանխատեսումների հավանականությունների բաշխման գրաֆիկը </w:t>
      </w:r>
    </w:p>
    <w:p w14:paraId="26ED3D5C" w14:textId="77777777" w:rsidR="00591F59" w:rsidRPr="00DC175B" w:rsidRDefault="00591F59" w:rsidP="00591F59">
      <w:pPr>
        <w:spacing w:line="276" w:lineRule="auto"/>
        <w:rPr>
          <w:lang w:val="hy-AM"/>
        </w:rPr>
      </w:pPr>
      <w:r w:rsidRPr="00DC175B">
        <w:rPr>
          <w:noProof/>
        </w:rPr>
        <w:drawing>
          <wp:inline distT="0" distB="0" distL="0" distR="0" wp14:anchorId="10931990" wp14:editId="76485AE9">
            <wp:extent cx="6391275" cy="2609850"/>
            <wp:effectExtent l="0" t="0" r="9525" b="0"/>
            <wp:docPr id="13" name="Chart 13">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7657B122" w14:textId="77777777" w:rsidR="00591F59" w:rsidRPr="00DC175B" w:rsidRDefault="00591F59" w:rsidP="00591F59">
      <w:pPr>
        <w:spacing w:line="276" w:lineRule="auto"/>
        <w:rPr>
          <w:lang w:val="hy-AM"/>
        </w:rPr>
      </w:pPr>
    </w:p>
    <w:p w14:paraId="1D3366D5" w14:textId="77777777" w:rsidR="00591F59" w:rsidRPr="00DC175B" w:rsidRDefault="00591F59" w:rsidP="00591F59">
      <w:pPr>
        <w:spacing w:line="276" w:lineRule="auto"/>
        <w:rPr>
          <w:lang w:val="hy-AM"/>
        </w:rPr>
      </w:pPr>
    </w:p>
    <w:tbl>
      <w:tblPr>
        <w:tblStyle w:val="TableGrid"/>
        <w:tblW w:w="1092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5273"/>
        <w:gridCol w:w="5650"/>
      </w:tblGrid>
      <w:tr w:rsidR="00591F59" w:rsidRPr="00DC175B" w14:paraId="23A07AD3" w14:textId="77777777" w:rsidTr="00B11AEF">
        <w:tc>
          <w:tcPr>
            <w:tcW w:w="5273" w:type="dxa"/>
          </w:tcPr>
          <w:p w14:paraId="57FCA80F" w14:textId="77777777" w:rsidR="00591F59" w:rsidRPr="00DC175B" w:rsidRDefault="00591F59" w:rsidP="00B11AEF">
            <w:pPr>
              <w:spacing w:line="276" w:lineRule="auto"/>
              <w:rPr>
                <w:lang w:val="hy-AM"/>
              </w:rPr>
            </w:pPr>
          </w:p>
        </w:tc>
        <w:tc>
          <w:tcPr>
            <w:tcW w:w="5650" w:type="dxa"/>
          </w:tcPr>
          <w:p w14:paraId="12C82783" w14:textId="77777777" w:rsidR="00591F59" w:rsidRPr="00DC175B" w:rsidRDefault="00591F59" w:rsidP="00B11AEF">
            <w:pPr>
              <w:spacing w:line="276" w:lineRule="auto"/>
              <w:rPr>
                <w:lang w:val="hy-AM"/>
              </w:rPr>
            </w:pPr>
          </w:p>
        </w:tc>
      </w:tr>
      <w:tr w:rsidR="00591F59" w:rsidRPr="00DC175B" w14:paraId="07D3B2E1" w14:textId="77777777" w:rsidTr="00B11AEF">
        <w:trPr>
          <w:trHeight w:val="755"/>
        </w:trPr>
        <w:tc>
          <w:tcPr>
            <w:tcW w:w="10923" w:type="dxa"/>
            <w:gridSpan w:val="2"/>
          </w:tcPr>
          <w:p w14:paraId="5E94A6E6" w14:textId="77777777" w:rsidR="00591F59" w:rsidRPr="00DC175B" w:rsidRDefault="00591F59" w:rsidP="00B11AEF">
            <w:pPr>
              <w:spacing w:line="276" w:lineRule="auto"/>
              <w:rPr>
                <w:lang w:val="hy-AM"/>
              </w:rPr>
            </w:pPr>
          </w:p>
        </w:tc>
      </w:tr>
    </w:tbl>
    <w:p w14:paraId="5F8215BD" w14:textId="77777777" w:rsidR="00DA0E15" w:rsidRDefault="00362131" w:rsidP="00D2536E">
      <w:pPr>
        <w:pStyle w:val="Heading3"/>
        <w:spacing w:before="0" w:after="120"/>
        <w:rPr>
          <w:b w:val="0"/>
          <w:bCs/>
          <w:spacing w:val="24"/>
          <w:kern w:val="28"/>
          <w:lang w:val="it-IT"/>
        </w:rPr>
      </w:pPr>
      <w:r w:rsidRPr="00FA0954">
        <w:br w:type="page"/>
      </w:r>
    </w:p>
    <w:p w14:paraId="1C88CFC0" w14:textId="77777777" w:rsidR="00DA0E15" w:rsidRDefault="00362131">
      <w:pPr>
        <w:pStyle w:val="Heading3"/>
        <w:spacing w:before="0" w:after="120"/>
        <w:rPr>
          <w:rFonts w:eastAsia="Times New Roman" w:cs="Times New Roman"/>
          <w:caps w:val="0"/>
          <w:color w:val="1F497D" w:themeColor="text2"/>
          <w:sz w:val="28"/>
          <w:szCs w:val="28"/>
        </w:rPr>
      </w:pPr>
      <w:bookmarkStart w:id="694" w:name="_Toc77837912"/>
      <w:r>
        <w:rPr>
          <w:rFonts w:eastAsia="Times New Roman" w:cs="Times New Roman"/>
          <w:caps w:val="0"/>
          <w:color w:val="1F497D" w:themeColor="text2"/>
          <w:sz w:val="28"/>
          <w:szCs w:val="28"/>
        </w:rPr>
        <w:t xml:space="preserve">5. ԵՆԹԱԿԱՌՈՒՑՎԱԾՔԱՅԻՆ </w:t>
      </w:r>
      <w:r w:rsidRPr="00FA0954">
        <w:rPr>
          <w:rFonts w:eastAsia="Times New Roman" w:cs="Times New Roman"/>
          <w:caps w:val="0"/>
          <w:color w:val="1F497D" w:themeColor="text2"/>
          <w:sz w:val="28"/>
          <w:szCs w:val="28"/>
        </w:rPr>
        <w:t>ԵՎ</w:t>
      </w:r>
      <w:r>
        <w:rPr>
          <w:rFonts w:eastAsia="Times New Roman" w:cs="Times New Roman"/>
          <w:caps w:val="0"/>
          <w:color w:val="1F497D" w:themeColor="text2"/>
          <w:sz w:val="28"/>
          <w:szCs w:val="28"/>
          <w:lang w:val="it-IT"/>
        </w:rPr>
        <w:t xml:space="preserve"> </w:t>
      </w:r>
      <w:r w:rsidRPr="00FA0954">
        <w:rPr>
          <w:rFonts w:eastAsia="Times New Roman" w:cs="Times New Roman"/>
          <w:caps w:val="0"/>
          <w:color w:val="1F497D" w:themeColor="text2"/>
          <w:sz w:val="28"/>
          <w:szCs w:val="28"/>
        </w:rPr>
        <w:t>ԱՅԼ</w:t>
      </w:r>
      <w:r>
        <w:rPr>
          <w:rFonts w:eastAsia="Times New Roman" w:cs="Times New Roman"/>
          <w:caps w:val="0"/>
          <w:color w:val="1F497D" w:themeColor="text2"/>
          <w:sz w:val="28"/>
          <w:szCs w:val="28"/>
          <w:lang w:val="it-IT"/>
        </w:rPr>
        <w:t xml:space="preserve"> </w:t>
      </w:r>
      <w:r>
        <w:rPr>
          <w:rFonts w:eastAsia="Times New Roman" w:cs="Times New Roman"/>
          <w:caps w:val="0"/>
          <w:color w:val="1F497D" w:themeColor="text2"/>
          <w:sz w:val="28"/>
          <w:szCs w:val="28"/>
        </w:rPr>
        <w:t>ՈԼՈՐՏՆԵՐՈՒՄ ՀԱՐԿԱԲՅՈՒՋԵՏԱՅԻՆ ՌԻՍԿԵՐԻ ԳՆԱՀԱՏԱԿԱՆԸ</w:t>
      </w:r>
      <w:bookmarkEnd w:id="685"/>
      <w:bookmarkEnd w:id="686"/>
      <w:bookmarkEnd w:id="687"/>
      <w:bookmarkEnd w:id="688"/>
      <w:bookmarkEnd w:id="694"/>
    </w:p>
    <w:p w14:paraId="4796B54B" w14:textId="77777777" w:rsidR="00DA0E15" w:rsidRDefault="00362131" w:rsidP="006650A2">
      <w:pPr>
        <w:spacing w:line="276" w:lineRule="auto"/>
        <w:ind w:firstLine="360"/>
        <w:rPr>
          <w:b/>
          <w:lang w:val="hy-AM"/>
        </w:rPr>
      </w:pPr>
      <w:bookmarkStart w:id="695" w:name="_Toc45838554"/>
      <w:r>
        <w:rPr>
          <w:b/>
          <w:lang w:val="hy-AM"/>
        </w:rPr>
        <w:tab/>
        <w:t>Ներածություն</w:t>
      </w:r>
    </w:p>
    <w:p w14:paraId="7BB5CF17" w14:textId="77777777" w:rsidR="00DA0E15" w:rsidRDefault="00362131" w:rsidP="006650A2">
      <w:pPr>
        <w:spacing w:line="276" w:lineRule="auto"/>
        <w:ind w:firstLine="450"/>
        <w:rPr>
          <w:lang w:val="hy-AM"/>
        </w:rPr>
      </w:pPr>
      <w:r>
        <w:rPr>
          <w:lang w:val="hy-AM"/>
        </w:rPr>
        <w:t>Հարկաբյուջետային ռիսկերի գնահատման բարելավման նպատակով Ասիական զարգացման բանկի հետ համատեղ մշակվել է ֆիսկալ ռիսկերի կառավարման բարելավման 2019-2023 թվականների ճանապարհային քարտեզը, որով նախանշված նպատակների իրականացման համար կատարվել է նաև ենթակառուցված</w:t>
      </w:r>
      <w:r>
        <w:rPr>
          <w:lang w:val="hy-AM"/>
        </w:rPr>
        <w:softHyphen/>
        <w:t>քային և այլ ոլորտների կազմակերպությունների (Ընկերություններ) գործունեությանն առնչվող հար</w:t>
      </w:r>
      <w:r>
        <w:rPr>
          <w:lang w:val="hy-AM"/>
        </w:rPr>
        <w:softHyphen/>
        <w:t>կա</w:t>
      </w:r>
      <w:r>
        <w:rPr>
          <w:lang w:val="hy-AM"/>
        </w:rPr>
        <w:softHyphen/>
        <w:t>բյու</w:t>
      </w:r>
      <w:r>
        <w:rPr>
          <w:lang w:val="hy-AM"/>
        </w:rPr>
        <w:softHyphen/>
        <w:t xml:space="preserve">ջետային ռիսկերի գնահատում: Այս համատեքստում, զուգահեռաբար, իր գործուն աջակցությունն է ցուցաբերել նաև Արժույթի միջազգային հիմնադրամը: </w:t>
      </w:r>
    </w:p>
    <w:p w14:paraId="08D6A530" w14:textId="77777777" w:rsidR="00DA0E15" w:rsidRDefault="00362131" w:rsidP="006650A2">
      <w:pPr>
        <w:spacing w:line="276" w:lineRule="auto"/>
        <w:ind w:firstLine="450"/>
        <w:rPr>
          <w:rFonts w:eastAsia="Times New Roman" w:cs="Times New Roman"/>
          <w:b/>
          <w:lang w:val="hy-AM"/>
        </w:rPr>
      </w:pPr>
      <w:r>
        <w:rPr>
          <w:b/>
          <w:lang w:val="hy-AM"/>
        </w:rPr>
        <w:t>Հարկաբյուջետային ռիսկերի գնահատման նպատակը</w:t>
      </w:r>
    </w:p>
    <w:p w14:paraId="2D8BD16B" w14:textId="77777777" w:rsidR="00DA0E15" w:rsidRDefault="00362131" w:rsidP="006650A2">
      <w:pPr>
        <w:spacing w:line="276" w:lineRule="auto"/>
        <w:ind w:firstLine="450"/>
        <w:rPr>
          <w:rFonts w:eastAsia="Times New Roman" w:cs="Times New Roman"/>
          <w:lang w:val="hy-AM"/>
        </w:rPr>
      </w:pPr>
      <w:r>
        <w:rPr>
          <w:lang w:val="hy-AM"/>
        </w:rPr>
        <w:t>Հարկաբյուջետային ռիսկերի այս գնահատման նպատակն է ֆինանսական վիճակի վերլու</w:t>
      </w:r>
      <w:r>
        <w:rPr>
          <w:lang w:val="hy-AM"/>
        </w:rPr>
        <w:softHyphen/>
      </w:r>
      <w:r>
        <w:rPr>
          <w:lang w:val="hy-AM"/>
        </w:rPr>
        <w:softHyphen/>
        <w:t>ծության միջոցով գնահատել Ընկերությունների ֆինանսական վիճակի վատթարացման հա</w:t>
      </w:r>
      <w:r>
        <w:rPr>
          <w:lang w:val="hy-AM"/>
        </w:rPr>
        <w:softHyphen/>
        <w:t>վանականությունը, որը կարող է հանգեցնել պետական բյուջեից Ընկերություններին չնախա</w:t>
      </w:r>
      <w:r>
        <w:rPr>
          <w:lang w:val="hy-AM"/>
        </w:rPr>
        <w:softHyphen/>
        <w:t>տես</w:t>
      </w:r>
      <w:r>
        <w:rPr>
          <w:lang w:val="hy-AM"/>
        </w:rPr>
        <w:softHyphen/>
        <w:t>ված փոխառությունների, սուբսիդիաների տրամադրման, սեփական կապիտալի համալրման  կամ այլ վճարումներ կատարելու անհրաժեշտության, ինչպես նաև Ընկերություն</w:t>
      </w:r>
      <w:r>
        <w:rPr>
          <w:lang w:val="hy-AM"/>
        </w:rPr>
        <w:softHyphen/>
        <w:t>ների կողմից պե</w:t>
      </w:r>
      <w:r>
        <w:rPr>
          <w:lang w:val="hy-AM"/>
        </w:rPr>
        <w:softHyphen/>
        <w:t>տա</w:t>
      </w:r>
      <w:r>
        <w:rPr>
          <w:lang w:val="hy-AM"/>
        </w:rPr>
        <w:softHyphen/>
        <w:t>կան բյուջե կանխատեսված շահութաբաժինների, ստացված վարկային միջոցների օգտա</w:t>
      </w:r>
      <w:r>
        <w:rPr>
          <w:lang w:val="hy-AM"/>
        </w:rPr>
        <w:softHyphen/>
        <w:t>գործ</w:t>
      </w:r>
      <w:r>
        <w:rPr>
          <w:lang w:val="hy-AM"/>
        </w:rPr>
        <w:softHyphen/>
        <w:t xml:space="preserve">ման դիմաց հաշվարկված տոկոսների չվճարման և մայր գումարների չմարման։ </w:t>
      </w:r>
    </w:p>
    <w:p w14:paraId="67EDCB70" w14:textId="77777777" w:rsidR="00DA0E15" w:rsidRDefault="00362131" w:rsidP="006650A2">
      <w:pPr>
        <w:spacing w:line="276" w:lineRule="auto"/>
        <w:ind w:firstLine="450"/>
        <w:rPr>
          <w:rFonts w:eastAsia="Times New Roman" w:cs="Times New Roman"/>
          <w:b/>
          <w:lang w:val="hy-AM"/>
        </w:rPr>
      </w:pPr>
      <w:r>
        <w:rPr>
          <w:b/>
          <w:lang w:val="hy-AM"/>
        </w:rPr>
        <w:t>Հարկաբյուջետային ռիսկերի գնահատման մեթոդաբանություն</w:t>
      </w:r>
    </w:p>
    <w:p w14:paraId="28A2722A" w14:textId="77777777" w:rsidR="00DA0E15" w:rsidRDefault="00362131" w:rsidP="006650A2">
      <w:pPr>
        <w:spacing w:line="276" w:lineRule="auto"/>
        <w:ind w:firstLine="450"/>
        <w:rPr>
          <w:lang w:val="hy-AM"/>
        </w:rPr>
      </w:pPr>
      <w:r>
        <w:rPr>
          <w:lang w:val="hy-AM"/>
        </w:rPr>
        <w:t>Ընկերությունների կողմից ներկայացված ֆինանսական հաշվետվությունների հիման վրա հարկաբյուջետային ռիսկերի գնահատման համար կիրառվել է Արժույթի միջազգային հիմնադրամի (ԱՄՀ) կողմից հրապարակված՝ «Կորպորատիվ հատվածից առաջացող ֆիսկալ ռիսկերի կառավարման ուղեցույց»-ում (այսուհետ՝ ԱՄՀ ուղեցույց), ինչպես նաև Ասիական զարգացման բանկի խորհրդատուի հետ մշակված և ՀՀ ֆինանսների նախարարի 14.09.2018թ. N439-Ա հրամանով հաստատված Ֆիսկալ ռիսկերի գնահատման ձեռնարկ-ում  ներկայացված մեթոդաբա</w:t>
      </w:r>
      <w:r>
        <w:rPr>
          <w:lang w:val="hy-AM"/>
        </w:rPr>
        <w:softHyphen/>
        <w:t>նությունը</w:t>
      </w:r>
      <w:r>
        <w:rPr>
          <w:rStyle w:val="FootnoteReference"/>
          <w:lang w:val="hy-AM"/>
        </w:rPr>
        <w:footnoteReference w:id="42"/>
      </w:r>
      <w:r>
        <w:rPr>
          <w:lang w:val="hy-AM"/>
        </w:rPr>
        <w:t>,  ինչպես նաև ՀՀ կառավարության 06.11.2020թ. «Պետություն-մասնավոր գործընկերության ծրագրերի գծով Հայաստանի Հանրապետության պայմանական պարտավորությունների հաշվարկման և գնահատման մեթոդաբանությունը սահմանելու մասին» N1785-Լ որոշմամբ սահմանված մեթոդաբանությունը:</w:t>
      </w:r>
    </w:p>
    <w:p w14:paraId="7B026D00" w14:textId="77777777" w:rsidR="00DA0E15" w:rsidRDefault="00362131" w:rsidP="006650A2">
      <w:pPr>
        <w:spacing w:line="276" w:lineRule="auto"/>
        <w:ind w:firstLine="540"/>
        <w:rPr>
          <w:rFonts w:eastAsia="Times New Roman" w:cs="Times New Roman"/>
          <w:b/>
          <w:lang w:val="hy-AM"/>
        </w:rPr>
      </w:pPr>
      <w:r>
        <w:rPr>
          <w:rFonts w:eastAsia="Times New Roman" w:cs="Times New Roman"/>
          <w:b/>
          <w:lang w:val="hy-AM"/>
        </w:rPr>
        <w:t>Ընդհանուր պորտֆելի նկարագրություն</w:t>
      </w:r>
    </w:p>
    <w:p w14:paraId="271C9E99" w14:textId="77777777" w:rsidR="00DA0E15" w:rsidRDefault="00362131" w:rsidP="006650A2">
      <w:pPr>
        <w:shd w:val="clear" w:color="auto" w:fill="FFFFFF"/>
        <w:spacing w:before="0" w:after="0" w:line="276" w:lineRule="auto"/>
        <w:ind w:right="150" w:firstLine="360"/>
        <w:rPr>
          <w:rFonts w:eastAsia="Times New Roman" w:cs="Times New Roman"/>
          <w:lang w:val="hy-AM" w:eastAsia="ru-RU"/>
        </w:rPr>
      </w:pPr>
      <w:r>
        <w:rPr>
          <w:rFonts w:eastAsia="Times New Roman" w:cs="Times New Roman"/>
          <w:lang w:val="hy-AM" w:eastAsia="ru-RU"/>
        </w:rPr>
        <w:t xml:space="preserve">2019 թվականի դեկտեմբերի 31-ի դրությամբ առկա տվյալների հիման վրա դիտանցման են ենթարկվել պետական և համայնքային բաժնեմասնակցությամբ թվով 229 ընկերություններ, որոնց սեփական կապիտալի հանրագումարը կազմել է 323.4 մլրդ դրամ, իսկ ակտիվները՝ 843.5 մլրդ դրամ։ 2019թ. ընթացքում այդ ընկերություններից վնասով աշխատել են թվով՝ 48-ը։ </w:t>
      </w:r>
    </w:p>
    <w:p w14:paraId="0FFD2854" w14:textId="77777777" w:rsidR="00DA0E15" w:rsidRDefault="00362131" w:rsidP="006650A2">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 xml:space="preserve">2019 թվականի դեկտեմբերի 31-ի դրությամբ սնանկացման կամ վերակազմակերպման գործընթացում են գտնվել թվով 31 ընկերություն: Ընկերությունների 61%-ը (թվով՝ 141 ընկերություն)  գործում են տարածքային կառավարման մարմինների ենթակայությամբ, որոնց ակտիվների հանրագումարը կազմում է ընդհանուր դիտանցված ընկերությունների 10%-ը): </w:t>
      </w:r>
    </w:p>
    <w:p w14:paraId="7E00E2B2" w14:textId="77777777" w:rsidR="00DA0E15" w:rsidRDefault="00DA0E15">
      <w:pPr>
        <w:spacing w:after="0" w:line="240" w:lineRule="auto"/>
        <w:ind w:firstLine="709"/>
        <w:rPr>
          <w:b/>
          <w:sz w:val="20"/>
          <w:szCs w:val="20"/>
          <w:lang w:val="hy-AM"/>
        </w:rPr>
      </w:pPr>
    </w:p>
    <w:p w14:paraId="0305D21C" w14:textId="77777777" w:rsidR="00DA0E15" w:rsidRDefault="00362131" w:rsidP="00010E8E">
      <w:pPr>
        <w:pStyle w:val="afa"/>
        <w:rPr>
          <w:iCs/>
          <w:color w:val="365F91" w:themeColor="accent1" w:themeShade="BF"/>
          <w:sz w:val="18"/>
          <w:szCs w:val="18"/>
        </w:rPr>
      </w:pPr>
      <w:r>
        <w:t>Աղյուսակ 5.1 Պետական և համայնքային մասնակցությամբ ընկերությունները՝ ըստ կառավարող մարմինների</w:t>
      </w:r>
    </w:p>
    <w:tbl>
      <w:tblPr>
        <w:tblStyle w:val="TableGrid12"/>
        <w:tblW w:w="9738" w:type="dxa"/>
        <w:tblLook w:val="04A0" w:firstRow="1" w:lastRow="0" w:firstColumn="1" w:lastColumn="0" w:noHBand="0" w:noVBand="1"/>
      </w:tblPr>
      <w:tblGrid>
        <w:gridCol w:w="8545"/>
        <w:gridCol w:w="1193"/>
      </w:tblGrid>
      <w:tr w:rsidR="00DA0E15" w14:paraId="169F0D3F" w14:textId="77777777" w:rsidTr="006F3B88">
        <w:trPr>
          <w:trHeight w:val="300"/>
        </w:trPr>
        <w:tc>
          <w:tcPr>
            <w:tcW w:w="8545" w:type="dxa"/>
          </w:tcPr>
          <w:p w14:paraId="115A3100" w14:textId="77777777" w:rsidR="00DA0E15" w:rsidRDefault="00362131">
            <w:pPr>
              <w:spacing w:before="0" w:after="0" w:line="240" w:lineRule="auto"/>
              <w:ind w:firstLine="0"/>
              <w:jc w:val="left"/>
              <w:rPr>
                <w:rFonts w:cs="Times New Roman"/>
                <w:sz w:val="18"/>
                <w:szCs w:val="18"/>
                <w:lang w:val="hy-AM"/>
              </w:rPr>
            </w:pPr>
            <w:r>
              <w:rPr>
                <w:rFonts w:cs="Times New Roman"/>
                <w:color w:val="000000"/>
                <w:sz w:val="18"/>
                <w:szCs w:val="18"/>
                <w:shd w:val="clear" w:color="auto" w:fill="FFFFFF"/>
                <w:lang w:val="hy-AM"/>
              </w:rPr>
              <w:t>ՀՀ տարածքային կառավարման և ենթակառուցվածքների նախարարություն</w:t>
            </w:r>
          </w:p>
        </w:tc>
        <w:tc>
          <w:tcPr>
            <w:tcW w:w="1193" w:type="dxa"/>
          </w:tcPr>
          <w:p w14:paraId="4C1682A7"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15</w:t>
            </w:r>
          </w:p>
        </w:tc>
      </w:tr>
      <w:tr w:rsidR="00DA0E15" w14:paraId="3D60DC40" w14:textId="77777777" w:rsidTr="006F3B88">
        <w:trPr>
          <w:trHeight w:val="300"/>
        </w:trPr>
        <w:tc>
          <w:tcPr>
            <w:tcW w:w="8545" w:type="dxa"/>
            <w:shd w:val="clear" w:color="auto" w:fill="C6D9F1" w:themeFill="text2" w:themeFillTint="33"/>
          </w:tcPr>
          <w:p w14:paraId="6ECBF5C9"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ՀՀ պետական գույքի կառավարման կոմիտե</w:t>
            </w:r>
          </w:p>
        </w:tc>
        <w:tc>
          <w:tcPr>
            <w:tcW w:w="1193" w:type="dxa"/>
            <w:shd w:val="clear" w:color="auto" w:fill="C6D9F1" w:themeFill="text2" w:themeFillTint="33"/>
          </w:tcPr>
          <w:p w14:paraId="21A1204D"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15</w:t>
            </w:r>
          </w:p>
        </w:tc>
      </w:tr>
      <w:tr w:rsidR="00DA0E15" w14:paraId="6B17639A" w14:textId="77777777" w:rsidTr="006F3B88">
        <w:trPr>
          <w:trHeight w:val="300"/>
        </w:trPr>
        <w:tc>
          <w:tcPr>
            <w:tcW w:w="8545" w:type="dxa"/>
          </w:tcPr>
          <w:p w14:paraId="47EE5885" w14:textId="77777777" w:rsidR="00DA0E15" w:rsidRDefault="00362131">
            <w:pPr>
              <w:spacing w:before="0" w:after="0" w:line="240" w:lineRule="auto"/>
              <w:ind w:firstLine="0"/>
              <w:jc w:val="left"/>
              <w:rPr>
                <w:rFonts w:cs="Times New Roman"/>
                <w:sz w:val="18"/>
                <w:szCs w:val="18"/>
                <w:lang w:val="hy-AM"/>
              </w:rPr>
            </w:pPr>
            <w:r>
              <w:rPr>
                <w:rFonts w:cs="Times New Roman"/>
                <w:color w:val="000000"/>
                <w:sz w:val="18"/>
                <w:szCs w:val="18"/>
                <w:shd w:val="clear" w:color="auto" w:fill="FFFFFF"/>
                <w:lang w:val="hy-AM"/>
              </w:rPr>
              <w:t>ՀՀ առողջապահության նախարարություն</w:t>
            </w:r>
          </w:p>
        </w:tc>
        <w:tc>
          <w:tcPr>
            <w:tcW w:w="1193" w:type="dxa"/>
          </w:tcPr>
          <w:p w14:paraId="1DC6B4EB"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13</w:t>
            </w:r>
          </w:p>
        </w:tc>
      </w:tr>
      <w:tr w:rsidR="00DA0E15" w14:paraId="5DABF5F3" w14:textId="77777777" w:rsidTr="006F3B88">
        <w:trPr>
          <w:trHeight w:val="300"/>
        </w:trPr>
        <w:tc>
          <w:tcPr>
            <w:tcW w:w="8545" w:type="dxa"/>
            <w:shd w:val="clear" w:color="auto" w:fill="C6D9F1" w:themeFill="text2" w:themeFillTint="33"/>
          </w:tcPr>
          <w:p w14:paraId="7B54E8AD"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ՀՀ կառավարություն</w:t>
            </w:r>
          </w:p>
        </w:tc>
        <w:tc>
          <w:tcPr>
            <w:tcW w:w="1193" w:type="dxa"/>
            <w:shd w:val="clear" w:color="auto" w:fill="C6D9F1" w:themeFill="text2" w:themeFillTint="33"/>
          </w:tcPr>
          <w:p w14:paraId="036F3E0C"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8</w:t>
            </w:r>
          </w:p>
        </w:tc>
      </w:tr>
      <w:tr w:rsidR="00DA0E15" w14:paraId="2B481DCC" w14:textId="77777777" w:rsidTr="006F3B88">
        <w:trPr>
          <w:trHeight w:val="300"/>
        </w:trPr>
        <w:tc>
          <w:tcPr>
            <w:tcW w:w="8545" w:type="dxa"/>
          </w:tcPr>
          <w:p w14:paraId="29074FD5"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ՀՀ էկոնոմիկայի նախարարություն</w:t>
            </w:r>
          </w:p>
        </w:tc>
        <w:tc>
          <w:tcPr>
            <w:tcW w:w="1193" w:type="dxa"/>
          </w:tcPr>
          <w:p w14:paraId="188E6F14"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8</w:t>
            </w:r>
          </w:p>
        </w:tc>
      </w:tr>
      <w:tr w:rsidR="00DA0E15" w14:paraId="395C5966" w14:textId="77777777" w:rsidTr="006F3B88">
        <w:trPr>
          <w:trHeight w:val="300"/>
        </w:trPr>
        <w:tc>
          <w:tcPr>
            <w:tcW w:w="8545" w:type="dxa"/>
            <w:shd w:val="clear" w:color="auto" w:fill="C6D9F1" w:themeFill="text2" w:themeFillTint="33"/>
          </w:tcPr>
          <w:p w14:paraId="08ABD22F"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 xml:space="preserve">ՀՀ պաշտպանության նախարարություն </w:t>
            </w:r>
          </w:p>
        </w:tc>
        <w:tc>
          <w:tcPr>
            <w:tcW w:w="1193" w:type="dxa"/>
            <w:shd w:val="clear" w:color="auto" w:fill="C6D9F1" w:themeFill="text2" w:themeFillTint="33"/>
          </w:tcPr>
          <w:p w14:paraId="42AB1BF5"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7</w:t>
            </w:r>
          </w:p>
        </w:tc>
      </w:tr>
      <w:tr w:rsidR="00DA0E15" w14:paraId="2340E962" w14:textId="77777777" w:rsidTr="006F3B88">
        <w:trPr>
          <w:trHeight w:val="300"/>
        </w:trPr>
        <w:tc>
          <w:tcPr>
            <w:tcW w:w="8545" w:type="dxa"/>
          </w:tcPr>
          <w:p w14:paraId="26DE7E44" w14:textId="77777777" w:rsidR="00DA0E15" w:rsidRDefault="00362131">
            <w:pPr>
              <w:spacing w:before="0" w:after="0" w:line="240" w:lineRule="auto"/>
              <w:ind w:firstLine="0"/>
              <w:jc w:val="left"/>
              <w:rPr>
                <w:rFonts w:cs="Times New Roman"/>
                <w:sz w:val="18"/>
                <w:szCs w:val="18"/>
                <w:lang w:val="hy-AM"/>
              </w:rPr>
            </w:pPr>
            <w:r>
              <w:rPr>
                <w:rFonts w:cs="Times New Roman"/>
                <w:color w:val="000000"/>
                <w:sz w:val="18"/>
                <w:szCs w:val="18"/>
                <w:shd w:val="clear" w:color="auto" w:fill="FFFFFF"/>
                <w:lang w:val="hy-AM"/>
              </w:rPr>
              <w:t>ՀՀ կրթության, գիտության, մշակույթի և սպորտի նախարարություն</w:t>
            </w:r>
          </w:p>
        </w:tc>
        <w:tc>
          <w:tcPr>
            <w:tcW w:w="1193" w:type="dxa"/>
          </w:tcPr>
          <w:p w14:paraId="409EB2DF"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6</w:t>
            </w:r>
          </w:p>
        </w:tc>
      </w:tr>
      <w:tr w:rsidR="00DA0E15" w14:paraId="65F7570E" w14:textId="77777777" w:rsidTr="006F3B88">
        <w:trPr>
          <w:trHeight w:val="300"/>
        </w:trPr>
        <w:tc>
          <w:tcPr>
            <w:tcW w:w="8545" w:type="dxa"/>
            <w:shd w:val="clear" w:color="auto" w:fill="C6D9F1" w:themeFill="text2" w:themeFillTint="33"/>
          </w:tcPr>
          <w:p w14:paraId="0C461C50" w14:textId="77777777" w:rsidR="00DA0E15" w:rsidRDefault="00362131">
            <w:pPr>
              <w:spacing w:before="0" w:after="0" w:line="240" w:lineRule="auto"/>
              <w:ind w:firstLine="0"/>
              <w:jc w:val="left"/>
              <w:rPr>
                <w:rFonts w:cs="Times New Roman"/>
                <w:color w:val="000000"/>
                <w:sz w:val="18"/>
                <w:szCs w:val="18"/>
                <w:shd w:val="clear" w:color="auto" w:fill="FFFFFF"/>
              </w:rPr>
            </w:pPr>
            <w:r>
              <w:rPr>
                <w:rFonts w:cs="Times New Roman"/>
                <w:sz w:val="18"/>
                <w:szCs w:val="18"/>
                <w:lang w:val="hy-AM"/>
              </w:rPr>
              <w:t xml:space="preserve">ՀՀ </w:t>
            </w:r>
            <w:r>
              <w:rPr>
                <w:rFonts w:cs="Times New Roman"/>
                <w:sz w:val="18"/>
                <w:szCs w:val="18"/>
              </w:rPr>
              <w:t>բ</w:t>
            </w:r>
            <w:r>
              <w:rPr>
                <w:rFonts w:cs="Times New Roman"/>
                <w:sz w:val="18"/>
                <w:szCs w:val="18"/>
                <w:lang w:val="hy-AM"/>
              </w:rPr>
              <w:t>ա</w:t>
            </w:r>
            <w:r>
              <w:rPr>
                <w:rFonts w:cs="Times New Roman"/>
                <w:sz w:val="18"/>
                <w:szCs w:val="18"/>
              </w:rPr>
              <w:t>րձր տեխնոլոգիական արդյունաբերության նախարարություն</w:t>
            </w:r>
          </w:p>
        </w:tc>
        <w:tc>
          <w:tcPr>
            <w:tcW w:w="1193" w:type="dxa"/>
            <w:shd w:val="clear" w:color="auto" w:fill="C6D9F1" w:themeFill="text2" w:themeFillTint="33"/>
          </w:tcPr>
          <w:p w14:paraId="78B8D604" w14:textId="77777777" w:rsidR="00DA0E15" w:rsidRDefault="00362131">
            <w:pPr>
              <w:spacing w:before="0" w:after="0" w:line="240" w:lineRule="auto"/>
              <w:ind w:firstLine="0"/>
              <w:jc w:val="center"/>
              <w:rPr>
                <w:rFonts w:cs="Times New Roman"/>
                <w:sz w:val="18"/>
                <w:szCs w:val="18"/>
              </w:rPr>
            </w:pPr>
            <w:r>
              <w:rPr>
                <w:rFonts w:cs="Times New Roman"/>
                <w:sz w:val="18"/>
                <w:szCs w:val="18"/>
              </w:rPr>
              <w:t>6</w:t>
            </w:r>
          </w:p>
        </w:tc>
      </w:tr>
      <w:tr w:rsidR="00DA0E15" w14:paraId="03D91A27" w14:textId="77777777" w:rsidTr="006F3B88">
        <w:trPr>
          <w:trHeight w:val="300"/>
        </w:trPr>
        <w:tc>
          <w:tcPr>
            <w:tcW w:w="8545" w:type="dxa"/>
          </w:tcPr>
          <w:p w14:paraId="5CD39AD0"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ՀՀ քաղաքացիական ավիացիայի կոմիտե</w:t>
            </w:r>
          </w:p>
        </w:tc>
        <w:tc>
          <w:tcPr>
            <w:tcW w:w="1193" w:type="dxa"/>
          </w:tcPr>
          <w:p w14:paraId="3CE6F887"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3</w:t>
            </w:r>
          </w:p>
        </w:tc>
      </w:tr>
      <w:tr w:rsidR="00DA0E15" w14:paraId="723B5952" w14:textId="77777777" w:rsidTr="006F3B88">
        <w:trPr>
          <w:trHeight w:val="300"/>
        </w:trPr>
        <w:tc>
          <w:tcPr>
            <w:tcW w:w="8545" w:type="dxa"/>
            <w:shd w:val="clear" w:color="auto" w:fill="C6D9F1" w:themeFill="text2" w:themeFillTint="33"/>
          </w:tcPr>
          <w:p w14:paraId="3ACD0C1B"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ՀՀ հանրային հեռուստառադիոընկերության խորհուրդ</w:t>
            </w:r>
          </w:p>
        </w:tc>
        <w:tc>
          <w:tcPr>
            <w:tcW w:w="1193" w:type="dxa"/>
            <w:shd w:val="clear" w:color="auto" w:fill="C6D9F1" w:themeFill="text2" w:themeFillTint="33"/>
          </w:tcPr>
          <w:p w14:paraId="67563BA7"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3</w:t>
            </w:r>
          </w:p>
        </w:tc>
      </w:tr>
      <w:tr w:rsidR="00DA0E15" w14:paraId="37A94393" w14:textId="77777777" w:rsidTr="006F3B88">
        <w:trPr>
          <w:trHeight w:val="300"/>
        </w:trPr>
        <w:tc>
          <w:tcPr>
            <w:tcW w:w="8545" w:type="dxa"/>
          </w:tcPr>
          <w:p w14:paraId="69DE8EF4" w14:textId="77777777" w:rsidR="00DA0E15" w:rsidRDefault="00362131">
            <w:pPr>
              <w:spacing w:before="0" w:after="0" w:line="240" w:lineRule="auto"/>
              <w:ind w:firstLine="0"/>
              <w:jc w:val="left"/>
              <w:rPr>
                <w:rFonts w:cs="Times New Roman"/>
                <w:sz w:val="18"/>
                <w:szCs w:val="18"/>
                <w:lang w:val="hy-AM"/>
              </w:rPr>
            </w:pPr>
            <w:r>
              <w:rPr>
                <w:rFonts w:cs="Times New Roman"/>
                <w:color w:val="000000"/>
                <w:sz w:val="18"/>
                <w:szCs w:val="18"/>
                <w:shd w:val="clear" w:color="auto" w:fill="FFFFFF"/>
                <w:lang w:val="hy-AM"/>
              </w:rPr>
              <w:t>ՀՀ արտակարգ իրավիճակների նախարարություն</w:t>
            </w:r>
          </w:p>
        </w:tc>
        <w:tc>
          <w:tcPr>
            <w:tcW w:w="1193" w:type="dxa"/>
          </w:tcPr>
          <w:p w14:paraId="1A1F23B3"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1</w:t>
            </w:r>
          </w:p>
        </w:tc>
      </w:tr>
      <w:tr w:rsidR="00DA0E15" w14:paraId="6D0097B1" w14:textId="77777777" w:rsidTr="006F3B88">
        <w:trPr>
          <w:trHeight w:val="300"/>
        </w:trPr>
        <w:tc>
          <w:tcPr>
            <w:tcW w:w="8545" w:type="dxa"/>
            <w:shd w:val="clear" w:color="auto" w:fill="C6D9F1" w:themeFill="text2" w:themeFillTint="33"/>
          </w:tcPr>
          <w:p w14:paraId="7392250F" w14:textId="77777777" w:rsidR="00DA0E15" w:rsidRDefault="00362131">
            <w:pPr>
              <w:spacing w:before="0" w:after="0" w:line="240" w:lineRule="auto"/>
              <w:ind w:firstLine="0"/>
              <w:jc w:val="left"/>
              <w:rPr>
                <w:rFonts w:cs="Times New Roman"/>
                <w:b/>
                <w:bCs/>
                <w:sz w:val="18"/>
                <w:szCs w:val="18"/>
                <w:lang w:val="hy-AM"/>
              </w:rPr>
            </w:pPr>
            <w:r>
              <w:rPr>
                <w:rFonts w:cs="Times New Roman"/>
                <w:sz w:val="18"/>
                <w:szCs w:val="18"/>
                <w:lang w:val="hy-AM"/>
              </w:rPr>
              <w:t>ՀՀ արդարադատության նախարարություն</w:t>
            </w:r>
          </w:p>
        </w:tc>
        <w:tc>
          <w:tcPr>
            <w:tcW w:w="1193" w:type="dxa"/>
            <w:shd w:val="clear" w:color="auto" w:fill="C6D9F1" w:themeFill="text2" w:themeFillTint="33"/>
          </w:tcPr>
          <w:p w14:paraId="48A4954D" w14:textId="77777777" w:rsidR="00DA0E15" w:rsidRDefault="00362131">
            <w:pPr>
              <w:spacing w:before="0" w:after="0" w:line="240" w:lineRule="auto"/>
              <w:ind w:firstLine="0"/>
              <w:jc w:val="center"/>
              <w:rPr>
                <w:rFonts w:cs="Times New Roman"/>
                <w:b/>
                <w:bCs/>
                <w:sz w:val="18"/>
                <w:szCs w:val="18"/>
                <w:lang w:val="hy-AM"/>
              </w:rPr>
            </w:pPr>
            <w:r>
              <w:rPr>
                <w:rFonts w:cs="Times New Roman"/>
                <w:sz w:val="18"/>
                <w:szCs w:val="18"/>
                <w:lang w:val="hy-AM"/>
              </w:rPr>
              <w:t>1</w:t>
            </w:r>
          </w:p>
        </w:tc>
      </w:tr>
      <w:tr w:rsidR="00DA0E15" w14:paraId="55870680" w14:textId="77777777" w:rsidTr="006F3B88">
        <w:trPr>
          <w:trHeight w:val="300"/>
        </w:trPr>
        <w:tc>
          <w:tcPr>
            <w:tcW w:w="8545" w:type="dxa"/>
          </w:tcPr>
          <w:p w14:paraId="4AC850A5"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ՀՀ ոստիկանություն</w:t>
            </w:r>
          </w:p>
        </w:tc>
        <w:tc>
          <w:tcPr>
            <w:tcW w:w="1193" w:type="dxa"/>
          </w:tcPr>
          <w:p w14:paraId="01CAA0CA"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1</w:t>
            </w:r>
          </w:p>
        </w:tc>
      </w:tr>
      <w:tr w:rsidR="00DA0E15" w14:paraId="35FA4E84" w14:textId="77777777" w:rsidTr="006F3B88">
        <w:trPr>
          <w:trHeight w:val="300"/>
        </w:trPr>
        <w:tc>
          <w:tcPr>
            <w:tcW w:w="8545" w:type="dxa"/>
            <w:shd w:val="clear" w:color="auto" w:fill="C6D9F1" w:themeFill="text2" w:themeFillTint="33"/>
          </w:tcPr>
          <w:p w14:paraId="38114148"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ՀՀ շրջակա միջավայրի նախարարություն</w:t>
            </w:r>
          </w:p>
        </w:tc>
        <w:tc>
          <w:tcPr>
            <w:tcW w:w="1193" w:type="dxa"/>
            <w:shd w:val="clear" w:color="auto" w:fill="C6D9F1" w:themeFill="text2" w:themeFillTint="33"/>
          </w:tcPr>
          <w:p w14:paraId="09023D67"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1</w:t>
            </w:r>
          </w:p>
        </w:tc>
      </w:tr>
      <w:tr w:rsidR="00DA0E15" w14:paraId="2C89962C" w14:textId="77777777" w:rsidTr="006F3B88">
        <w:trPr>
          <w:trHeight w:val="300"/>
        </w:trPr>
        <w:tc>
          <w:tcPr>
            <w:tcW w:w="8545" w:type="dxa"/>
          </w:tcPr>
          <w:p w14:paraId="5EA2FD56"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Երևանի քաղաքապետարան</w:t>
            </w:r>
          </w:p>
        </w:tc>
        <w:tc>
          <w:tcPr>
            <w:tcW w:w="1193" w:type="dxa"/>
          </w:tcPr>
          <w:p w14:paraId="2DDDAED9"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63</w:t>
            </w:r>
          </w:p>
        </w:tc>
      </w:tr>
      <w:tr w:rsidR="00DA0E15" w14:paraId="0CBDC705" w14:textId="77777777" w:rsidTr="006F3B88">
        <w:trPr>
          <w:trHeight w:val="300"/>
        </w:trPr>
        <w:tc>
          <w:tcPr>
            <w:tcW w:w="8545" w:type="dxa"/>
            <w:shd w:val="clear" w:color="auto" w:fill="C6D9F1" w:themeFill="text2" w:themeFillTint="33"/>
          </w:tcPr>
          <w:p w14:paraId="3552D992"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Շիրակի մարզպետարան</w:t>
            </w:r>
          </w:p>
        </w:tc>
        <w:tc>
          <w:tcPr>
            <w:tcW w:w="1193" w:type="dxa"/>
            <w:shd w:val="clear" w:color="auto" w:fill="C6D9F1" w:themeFill="text2" w:themeFillTint="33"/>
          </w:tcPr>
          <w:p w14:paraId="467189BC"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20</w:t>
            </w:r>
          </w:p>
        </w:tc>
      </w:tr>
      <w:tr w:rsidR="00DA0E15" w14:paraId="39095022" w14:textId="77777777" w:rsidTr="006F3B88">
        <w:trPr>
          <w:trHeight w:val="300"/>
        </w:trPr>
        <w:tc>
          <w:tcPr>
            <w:tcW w:w="8545" w:type="dxa"/>
          </w:tcPr>
          <w:p w14:paraId="6788B67F"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Լոռու մարզպետարան</w:t>
            </w:r>
          </w:p>
        </w:tc>
        <w:tc>
          <w:tcPr>
            <w:tcW w:w="1193" w:type="dxa"/>
          </w:tcPr>
          <w:p w14:paraId="02CE225F"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14</w:t>
            </w:r>
          </w:p>
        </w:tc>
      </w:tr>
      <w:tr w:rsidR="00DA0E15" w14:paraId="1E947E78" w14:textId="77777777" w:rsidTr="006F3B88">
        <w:trPr>
          <w:trHeight w:val="300"/>
        </w:trPr>
        <w:tc>
          <w:tcPr>
            <w:tcW w:w="8545" w:type="dxa"/>
            <w:shd w:val="clear" w:color="auto" w:fill="C6D9F1" w:themeFill="text2" w:themeFillTint="33"/>
          </w:tcPr>
          <w:p w14:paraId="3553F5FB"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Գեղարքունիքի մարզպետարան</w:t>
            </w:r>
          </w:p>
        </w:tc>
        <w:tc>
          <w:tcPr>
            <w:tcW w:w="1193" w:type="dxa"/>
            <w:shd w:val="clear" w:color="auto" w:fill="C6D9F1" w:themeFill="text2" w:themeFillTint="33"/>
          </w:tcPr>
          <w:p w14:paraId="71106F8E"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8</w:t>
            </w:r>
          </w:p>
        </w:tc>
      </w:tr>
      <w:tr w:rsidR="00DA0E15" w14:paraId="24180ECB" w14:textId="77777777" w:rsidTr="006F3B88">
        <w:trPr>
          <w:trHeight w:val="300"/>
        </w:trPr>
        <w:tc>
          <w:tcPr>
            <w:tcW w:w="8545" w:type="dxa"/>
          </w:tcPr>
          <w:p w14:paraId="41C47A04"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Կոտայքի Մարզպետարան</w:t>
            </w:r>
          </w:p>
        </w:tc>
        <w:tc>
          <w:tcPr>
            <w:tcW w:w="1193" w:type="dxa"/>
          </w:tcPr>
          <w:p w14:paraId="2989BCAD"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8</w:t>
            </w:r>
          </w:p>
        </w:tc>
      </w:tr>
      <w:tr w:rsidR="00DA0E15" w14:paraId="54CECE7E" w14:textId="77777777" w:rsidTr="006F3B88">
        <w:trPr>
          <w:trHeight w:val="300"/>
        </w:trPr>
        <w:tc>
          <w:tcPr>
            <w:tcW w:w="8545" w:type="dxa"/>
            <w:shd w:val="clear" w:color="auto" w:fill="C6D9F1" w:themeFill="text2" w:themeFillTint="33"/>
          </w:tcPr>
          <w:p w14:paraId="49FC4256"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Արարատի մարզպետարան</w:t>
            </w:r>
          </w:p>
        </w:tc>
        <w:tc>
          <w:tcPr>
            <w:tcW w:w="1193" w:type="dxa"/>
            <w:shd w:val="clear" w:color="auto" w:fill="C6D9F1" w:themeFill="text2" w:themeFillTint="33"/>
          </w:tcPr>
          <w:p w14:paraId="6D89A6BF"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7</w:t>
            </w:r>
          </w:p>
        </w:tc>
      </w:tr>
      <w:tr w:rsidR="00DA0E15" w14:paraId="3694D367" w14:textId="77777777" w:rsidTr="006F3B88">
        <w:trPr>
          <w:trHeight w:val="300"/>
        </w:trPr>
        <w:tc>
          <w:tcPr>
            <w:tcW w:w="8545" w:type="dxa"/>
          </w:tcPr>
          <w:p w14:paraId="1CD4A133"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Սյունիքի մարզպետարան</w:t>
            </w:r>
          </w:p>
        </w:tc>
        <w:tc>
          <w:tcPr>
            <w:tcW w:w="1193" w:type="dxa"/>
          </w:tcPr>
          <w:p w14:paraId="2438EACF"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7</w:t>
            </w:r>
          </w:p>
        </w:tc>
      </w:tr>
      <w:tr w:rsidR="00DA0E15" w14:paraId="51E26BE4" w14:textId="77777777" w:rsidTr="006F3B88">
        <w:trPr>
          <w:trHeight w:val="300"/>
        </w:trPr>
        <w:tc>
          <w:tcPr>
            <w:tcW w:w="8545" w:type="dxa"/>
            <w:shd w:val="clear" w:color="auto" w:fill="C6D9F1" w:themeFill="text2" w:themeFillTint="33"/>
          </w:tcPr>
          <w:p w14:paraId="067EE5D9"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Արմավիրի մարզպետարան</w:t>
            </w:r>
          </w:p>
        </w:tc>
        <w:tc>
          <w:tcPr>
            <w:tcW w:w="1193" w:type="dxa"/>
            <w:shd w:val="clear" w:color="auto" w:fill="C6D9F1" w:themeFill="text2" w:themeFillTint="33"/>
          </w:tcPr>
          <w:p w14:paraId="4D4457A0"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6</w:t>
            </w:r>
          </w:p>
        </w:tc>
      </w:tr>
      <w:tr w:rsidR="00DA0E15" w14:paraId="58A6861C" w14:textId="77777777" w:rsidTr="006F3B88">
        <w:trPr>
          <w:trHeight w:val="300"/>
        </w:trPr>
        <w:tc>
          <w:tcPr>
            <w:tcW w:w="8545" w:type="dxa"/>
          </w:tcPr>
          <w:p w14:paraId="7651F0B4"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 xml:space="preserve">Տավուշի մարզպետարան </w:t>
            </w:r>
          </w:p>
        </w:tc>
        <w:tc>
          <w:tcPr>
            <w:tcW w:w="1193" w:type="dxa"/>
          </w:tcPr>
          <w:p w14:paraId="408C124A"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3</w:t>
            </w:r>
          </w:p>
        </w:tc>
      </w:tr>
      <w:tr w:rsidR="00DA0E15" w14:paraId="6918C808" w14:textId="77777777" w:rsidTr="006F3B88">
        <w:trPr>
          <w:trHeight w:val="300"/>
        </w:trPr>
        <w:tc>
          <w:tcPr>
            <w:tcW w:w="8545" w:type="dxa"/>
            <w:shd w:val="clear" w:color="auto" w:fill="C6D9F1" w:themeFill="text2" w:themeFillTint="33"/>
          </w:tcPr>
          <w:p w14:paraId="0773C93A"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Վայոց Ձորի Մարզպետարան</w:t>
            </w:r>
          </w:p>
        </w:tc>
        <w:tc>
          <w:tcPr>
            <w:tcW w:w="1193" w:type="dxa"/>
            <w:shd w:val="clear" w:color="auto" w:fill="C6D9F1" w:themeFill="text2" w:themeFillTint="33"/>
          </w:tcPr>
          <w:p w14:paraId="7FFB5C81"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3</w:t>
            </w:r>
          </w:p>
        </w:tc>
      </w:tr>
      <w:tr w:rsidR="00DA0E15" w14:paraId="5A3A6BF0" w14:textId="77777777" w:rsidTr="006F3B88">
        <w:trPr>
          <w:trHeight w:val="300"/>
        </w:trPr>
        <w:tc>
          <w:tcPr>
            <w:tcW w:w="8545" w:type="dxa"/>
          </w:tcPr>
          <w:p w14:paraId="76BECED1" w14:textId="77777777" w:rsidR="00DA0E15" w:rsidRDefault="00362131">
            <w:pPr>
              <w:spacing w:before="0" w:after="0" w:line="240" w:lineRule="auto"/>
              <w:ind w:firstLine="0"/>
              <w:jc w:val="left"/>
              <w:rPr>
                <w:rFonts w:cs="Times New Roman"/>
                <w:sz w:val="18"/>
                <w:szCs w:val="18"/>
                <w:lang w:val="hy-AM"/>
              </w:rPr>
            </w:pPr>
            <w:r>
              <w:rPr>
                <w:rFonts w:cs="Times New Roman"/>
                <w:sz w:val="18"/>
                <w:szCs w:val="18"/>
                <w:lang w:val="hy-AM"/>
              </w:rPr>
              <w:t>Արագածոտնի մարզպետարան</w:t>
            </w:r>
          </w:p>
        </w:tc>
        <w:tc>
          <w:tcPr>
            <w:tcW w:w="1193" w:type="dxa"/>
          </w:tcPr>
          <w:p w14:paraId="1111280E" w14:textId="77777777" w:rsidR="00DA0E15" w:rsidRDefault="00362131">
            <w:pPr>
              <w:spacing w:before="0" w:after="0" w:line="240" w:lineRule="auto"/>
              <w:ind w:firstLine="0"/>
              <w:jc w:val="center"/>
              <w:rPr>
                <w:rFonts w:cs="Times New Roman"/>
                <w:sz w:val="18"/>
                <w:szCs w:val="18"/>
                <w:lang w:val="hy-AM"/>
              </w:rPr>
            </w:pPr>
            <w:r>
              <w:rPr>
                <w:rFonts w:cs="Times New Roman"/>
                <w:sz w:val="18"/>
                <w:szCs w:val="18"/>
                <w:lang w:val="hy-AM"/>
              </w:rPr>
              <w:t>2</w:t>
            </w:r>
          </w:p>
        </w:tc>
      </w:tr>
      <w:tr w:rsidR="00DA0E15" w14:paraId="231321AE" w14:textId="77777777" w:rsidTr="006F3B88">
        <w:trPr>
          <w:trHeight w:val="300"/>
        </w:trPr>
        <w:tc>
          <w:tcPr>
            <w:tcW w:w="8545" w:type="dxa"/>
            <w:shd w:val="clear" w:color="auto" w:fill="C6D9F1" w:themeFill="text2" w:themeFillTint="33"/>
          </w:tcPr>
          <w:p w14:paraId="0E4BC1A3" w14:textId="77777777" w:rsidR="00DA0E15" w:rsidRDefault="00362131">
            <w:pPr>
              <w:spacing w:before="0" w:after="0" w:line="240" w:lineRule="auto"/>
              <w:ind w:firstLine="0"/>
              <w:jc w:val="left"/>
              <w:rPr>
                <w:rFonts w:cs="Times New Roman"/>
                <w:sz w:val="18"/>
                <w:szCs w:val="18"/>
              </w:rPr>
            </w:pPr>
            <w:r>
              <w:rPr>
                <w:rFonts w:cs="Times New Roman"/>
                <w:sz w:val="18"/>
                <w:szCs w:val="18"/>
              </w:rPr>
              <w:t>ԸՆԴԱՄԵՆԸ</w:t>
            </w:r>
          </w:p>
        </w:tc>
        <w:tc>
          <w:tcPr>
            <w:tcW w:w="1193" w:type="dxa"/>
            <w:shd w:val="clear" w:color="auto" w:fill="C6D9F1" w:themeFill="text2" w:themeFillTint="33"/>
          </w:tcPr>
          <w:p w14:paraId="0B504FD4" w14:textId="77777777" w:rsidR="00DA0E15" w:rsidRDefault="00362131">
            <w:pPr>
              <w:spacing w:before="0" w:after="0" w:line="240" w:lineRule="auto"/>
              <w:ind w:firstLine="0"/>
              <w:jc w:val="center"/>
              <w:rPr>
                <w:rFonts w:cs="Times New Roman"/>
                <w:sz w:val="18"/>
                <w:szCs w:val="18"/>
              </w:rPr>
            </w:pPr>
            <w:r>
              <w:rPr>
                <w:rFonts w:cs="Times New Roman"/>
                <w:sz w:val="18"/>
                <w:szCs w:val="18"/>
              </w:rPr>
              <w:t>229</w:t>
            </w:r>
          </w:p>
        </w:tc>
      </w:tr>
    </w:tbl>
    <w:p w14:paraId="2FFFC363" w14:textId="77777777" w:rsidR="00DA0E15" w:rsidRDefault="00362131" w:rsidP="00010E8E">
      <w:pPr>
        <w:pStyle w:val="aff2"/>
      </w:pPr>
      <w:r>
        <w:t>Գծապատկեր 5.1 Պետական և համայնքային մասնակցությամբ ընկերությունների ակտիվներն ըստ ոլորտների՝ 843</w:t>
      </w:r>
      <w:r>
        <w:rPr>
          <w:rFonts w:ascii="Cambria Math" w:hAnsi="Cambria Math" w:cs="Cambria Math"/>
        </w:rPr>
        <w:t>․</w:t>
      </w:r>
      <w:r>
        <w:t>5 մլրդ դրամ</w:t>
      </w:r>
    </w:p>
    <w:p w14:paraId="01F78921" w14:textId="77777777" w:rsidR="00DA0E15" w:rsidRDefault="00362131">
      <w:pPr>
        <w:spacing w:before="0" w:after="160" w:line="259" w:lineRule="auto"/>
        <w:ind w:firstLine="0"/>
        <w:jc w:val="left"/>
        <w:rPr>
          <w:rFonts w:ascii="Calibri" w:eastAsia="Calibri" w:hAnsi="Calibri" w:cs="Times New Roman"/>
          <w:lang w:val="hy-AM"/>
        </w:rPr>
      </w:pPr>
      <w:r>
        <w:rPr>
          <w:rFonts w:eastAsia="Times New Roman" w:cs="Times New Roman"/>
          <w:b/>
          <w:noProof/>
          <w:sz w:val="19"/>
          <w:szCs w:val="19"/>
        </w:rPr>
        <w:drawing>
          <wp:inline distT="0" distB="0" distL="0" distR="0" wp14:anchorId="50D4A649" wp14:editId="08FC324A">
            <wp:extent cx="6619875" cy="2089150"/>
            <wp:effectExtent l="0" t="0" r="9525" b="635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10547A80" w14:textId="77777777" w:rsidR="00DA0E15" w:rsidRDefault="00DA0E15">
      <w:pPr>
        <w:spacing w:before="0" w:after="160" w:line="276" w:lineRule="auto"/>
        <w:ind w:firstLine="230"/>
        <w:rPr>
          <w:rFonts w:eastAsia="Times New Roman" w:cs="Times New Roman"/>
          <w:color w:val="000000"/>
          <w:lang w:val="hy-AM" w:eastAsia="ru-RU"/>
        </w:rPr>
      </w:pPr>
    </w:p>
    <w:p w14:paraId="13EC4D3B" w14:textId="77777777" w:rsidR="00DA0E15" w:rsidRDefault="00362131" w:rsidP="006650A2">
      <w:pPr>
        <w:spacing w:before="0" w:after="160" w:line="276" w:lineRule="auto"/>
        <w:ind w:firstLine="450"/>
        <w:rPr>
          <w:rFonts w:eastAsia="Times New Roman" w:cs="Times New Roman"/>
          <w:color w:val="000000"/>
          <w:lang w:val="hy-AM" w:eastAsia="ru-RU"/>
        </w:rPr>
      </w:pPr>
      <w:r>
        <w:rPr>
          <w:rFonts w:eastAsia="Times New Roman" w:cs="Times New Roman"/>
          <w:color w:val="000000"/>
          <w:lang w:val="hy-AM" w:eastAsia="ru-RU"/>
        </w:rPr>
        <w:t>Պետական և համայնքային մասնակցությամբ ընկերությունների ակտիվների բաշխվածությունն ըստ ոլորտների հետևյալն է</w:t>
      </w:r>
      <w:r>
        <w:rPr>
          <w:rFonts w:eastAsia="Times New Roman" w:cs="Cambria Math"/>
          <w:color w:val="000000"/>
          <w:lang w:val="hy-AM" w:eastAsia="ru-RU"/>
        </w:rPr>
        <w:t>՝</w:t>
      </w:r>
      <w:r>
        <w:rPr>
          <w:rFonts w:eastAsia="Times New Roman" w:cs="Times New Roman"/>
          <w:color w:val="000000"/>
          <w:lang w:val="hy-AM" w:eastAsia="ru-RU"/>
        </w:rPr>
        <w:t xml:space="preserve"> էներգետիկ ոլորտի ընկերություններ՝ ակտիվները կազմում են 463.0 մլրդ դրամ, ջրային տնտեսության ոլորտի ընկերություններ՝ 105.0 մլրդ դրամ, իսկ առողջապահության ոլորտի ընկերություններինը՝ 93.8 մլրդ դրամ։</w:t>
      </w:r>
    </w:p>
    <w:p w14:paraId="6B5B9AE9" w14:textId="77777777" w:rsidR="00DA0E15" w:rsidRDefault="00DA0E15">
      <w:pPr>
        <w:keepNext/>
        <w:spacing w:before="0" w:after="200" w:line="240" w:lineRule="auto"/>
        <w:ind w:firstLine="0"/>
        <w:jc w:val="left"/>
        <w:rPr>
          <w:b/>
          <w:iCs/>
          <w:spacing w:val="10"/>
          <w:sz w:val="20"/>
          <w:szCs w:val="20"/>
          <w:lang w:val="hy-AM"/>
        </w:rPr>
      </w:pPr>
    </w:p>
    <w:p w14:paraId="3452CB9D" w14:textId="77777777" w:rsidR="00DA0E15" w:rsidRDefault="00362131" w:rsidP="00010E8E">
      <w:pPr>
        <w:pStyle w:val="aff2"/>
        <w:rPr>
          <w:rFonts w:eastAsia="Calibri" w:cs="Times New Roman"/>
          <w:color w:val="44546A"/>
          <w:sz w:val="19"/>
          <w:szCs w:val="19"/>
        </w:rPr>
      </w:pPr>
      <w:r>
        <w:t>Գծապատկեր 5.</w:t>
      </w:r>
      <w:r w:rsidR="0045493E">
        <w:fldChar w:fldCharType="begin"/>
      </w:r>
      <w:r>
        <w:instrText xml:space="preserve"> SEQ Գծապատկեր \* ARABIC </w:instrText>
      </w:r>
      <w:r w:rsidR="0045493E">
        <w:fldChar w:fldCharType="separate"/>
      </w:r>
      <w:r w:rsidR="00735B27">
        <w:rPr>
          <w:noProof/>
        </w:rPr>
        <w:t>2</w:t>
      </w:r>
      <w:r w:rsidR="0045493E">
        <w:fldChar w:fldCharType="end"/>
      </w:r>
      <w:r>
        <w:rPr>
          <w:rFonts w:eastAsia="Calibri" w:cs="Times New Roman"/>
          <w:sz w:val="19"/>
          <w:szCs w:val="19"/>
        </w:rPr>
        <w:t xml:space="preserve"> </w:t>
      </w:r>
      <w:r>
        <w:t>Պետական և համայնքային մասնակցությամբ ընկերությունների սեփական կապիտալը, ըստ ոլորտների, 323</w:t>
      </w:r>
      <w:r>
        <w:rPr>
          <w:rFonts w:ascii="Cambria Math" w:hAnsi="Cambria Math" w:cs="Cambria Math"/>
        </w:rPr>
        <w:t>․</w:t>
      </w:r>
      <w:r>
        <w:t>4 մլրդ դրամ</w:t>
      </w:r>
    </w:p>
    <w:p w14:paraId="675A2052" w14:textId="77777777" w:rsidR="00DA0E15" w:rsidRDefault="00362131">
      <w:pPr>
        <w:keepNext/>
        <w:spacing w:before="0" w:after="200" w:line="240" w:lineRule="auto"/>
        <w:ind w:firstLine="0"/>
        <w:jc w:val="left"/>
        <w:rPr>
          <w:rFonts w:eastAsia="Calibri" w:cs="Times New Roman"/>
          <w:b/>
          <w:i/>
          <w:iCs/>
          <w:color w:val="44546A"/>
          <w:sz w:val="19"/>
          <w:szCs w:val="19"/>
          <w:lang w:val="hy-AM"/>
        </w:rPr>
      </w:pPr>
      <w:r>
        <w:rPr>
          <w:rFonts w:eastAsia="Calibri" w:cs="Times New Roman"/>
          <w:b/>
          <w:noProof/>
          <w:sz w:val="19"/>
          <w:szCs w:val="19"/>
        </w:rPr>
        <w:drawing>
          <wp:inline distT="0" distB="0" distL="0" distR="0" wp14:anchorId="4E21E659" wp14:editId="058EB748">
            <wp:extent cx="6619875" cy="2320290"/>
            <wp:effectExtent l="0" t="0" r="9525" b="381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0796E546" w14:textId="77777777" w:rsidR="00DA0E15" w:rsidRDefault="00DA0E15">
      <w:pPr>
        <w:keepNext/>
        <w:spacing w:before="0" w:after="200" w:line="240" w:lineRule="auto"/>
        <w:ind w:firstLine="0"/>
        <w:jc w:val="left"/>
        <w:rPr>
          <w:rFonts w:ascii="Calibri" w:eastAsia="Calibri" w:hAnsi="Calibri" w:cs="Times New Roman"/>
          <w:i/>
          <w:iCs/>
          <w:color w:val="44546A"/>
          <w:sz w:val="18"/>
          <w:szCs w:val="18"/>
          <w:lang w:val="hy-AM"/>
        </w:rPr>
      </w:pPr>
    </w:p>
    <w:p w14:paraId="42E66F18" w14:textId="77777777" w:rsidR="00DA0E15" w:rsidRDefault="00362131" w:rsidP="006650A2">
      <w:pPr>
        <w:shd w:val="clear" w:color="auto" w:fill="FFFFFF"/>
        <w:spacing w:before="0" w:after="0" w:line="276" w:lineRule="auto"/>
        <w:ind w:right="20" w:firstLine="540"/>
        <w:rPr>
          <w:rFonts w:eastAsia="Times New Roman" w:cs="Times New Roman"/>
          <w:color w:val="000000"/>
          <w:lang w:val="hy-AM" w:eastAsia="ru-RU"/>
        </w:rPr>
      </w:pPr>
      <w:r>
        <w:rPr>
          <w:rFonts w:eastAsia="Times New Roman" w:cs="Times New Roman"/>
          <w:color w:val="000000"/>
          <w:lang w:val="hy-AM" w:eastAsia="ru-RU"/>
        </w:rPr>
        <w:t xml:space="preserve">Ինչպես երևում է վերը ներկայացված գծապատկերից առավել էական սեփական կապիտալ ունեցող ընկերությունները գործում են էներգետիկայի, առողջապահության և ջրային ոլորտներում։ </w:t>
      </w:r>
    </w:p>
    <w:p w14:paraId="1D40BC32" w14:textId="77777777" w:rsidR="00DA0E15" w:rsidRDefault="00DA0E15">
      <w:pPr>
        <w:shd w:val="clear" w:color="auto" w:fill="FFFFFF"/>
        <w:spacing w:before="0" w:after="0" w:line="240" w:lineRule="auto"/>
        <w:ind w:right="150" w:firstLine="0"/>
        <w:rPr>
          <w:rFonts w:eastAsia="Times New Roman" w:cs="Times New Roman"/>
          <w:color w:val="000000"/>
          <w:lang w:val="hy-AM" w:eastAsia="ru-RU"/>
        </w:rPr>
      </w:pPr>
    </w:p>
    <w:p w14:paraId="578080C9" w14:textId="77777777" w:rsidR="00DA0E15" w:rsidRDefault="00362131" w:rsidP="00010E8E">
      <w:pPr>
        <w:pStyle w:val="aff2"/>
        <w:rPr>
          <w:rFonts w:eastAsia="Calibri" w:cs="Times New Roman"/>
          <w:sz w:val="19"/>
          <w:szCs w:val="19"/>
        </w:rPr>
      </w:pPr>
      <w:r>
        <w:t>Գծապատկեր 5.3</w:t>
      </w:r>
      <w:r>
        <w:rPr>
          <w:rFonts w:eastAsia="Calibri" w:cs="Times New Roman"/>
          <w:sz w:val="19"/>
          <w:szCs w:val="19"/>
        </w:rPr>
        <w:t xml:space="preserve"> </w:t>
      </w:r>
      <w:r>
        <w:t>Պետական և համայնքային մասնակցությամբ ընկերությունների պարտավորությունները, ըստ ոլորտների, 535</w:t>
      </w:r>
      <w:r>
        <w:rPr>
          <w:rFonts w:ascii="Cambria Math" w:hAnsi="Cambria Math" w:cs="Cambria Math"/>
        </w:rPr>
        <w:t>․</w:t>
      </w:r>
      <w:r>
        <w:t>2 մլրդ դրամ</w:t>
      </w:r>
    </w:p>
    <w:p w14:paraId="77D988D1" w14:textId="77777777" w:rsidR="00DA0E15" w:rsidRDefault="00362131">
      <w:pPr>
        <w:spacing w:before="0" w:after="0" w:line="276" w:lineRule="auto"/>
        <w:ind w:firstLine="0"/>
        <w:rPr>
          <w:rFonts w:eastAsia="Times New Roman" w:cs="Times New Roman"/>
          <w:color w:val="000000"/>
          <w:lang w:val="hy-AM" w:eastAsia="ru-RU"/>
        </w:rPr>
      </w:pPr>
      <w:r>
        <w:rPr>
          <w:rFonts w:eastAsia="Calibri" w:cs="Times New Roman"/>
          <w:b/>
          <w:i/>
          <w:iCs/>
          <w:noProof/>
          <w:sz w:val="19"/>
          <w:szCs w:val="19"/>
        </w:rPr>
        <w:drawing>
          <wp:inline distT="0" distB="0" distL="0" distR="0" wp14:anchorId="4F19FB8E" wp14:editId="32D44B7B">
            <wp:extent cx="6553200" cy="2100580"/>
            <wp:effectExtent l="0" t="0" r="0" b="1397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6F62A60B" w14:textId="77777777" w:rsidR="00DA0E15" w:rsidRDefault="00DA0E15">
      <w:pPr>
        <w:spacing w:before="0" w:after="0" w:line="276" w:lineRule="auto"/>
        <w:ind w:firstLine="0"/>
        <w:rPr>
          <w:rFonts w:eastAsia="Times New Roman" w:cs="Times New Roman"/>
          <w:color w:val="000000"/>
          <w:lang w:val="hy-AM" w:eastAsia="ru-RU"/>
        </w:rPr>
      </w:pPr>
    </w:p>
    <w:p w14:paraId="3688F865" w14:textId="77777777" w:rsidR="00DA0E15" w:rsidRDefault="00362131" w:rsidP="006650A2">
      <w:pPr>
        <w:spacing w:before="0" w:after="0" w:line="276" w:lineRule="auto"/>
        <w:ind w:firstLine="450"/>
        <w:rPr>
          <w:rFonts w:eastAsia="Times New Roman" w:cs="Times New Roman"/>
          <w:lang w:val="hy-AM"/>
        </w:rPr>
      </w:pPr>
      <w:r>
        <w:rPr>
          <w:rFonts w:eastAsia="Times New Roman" w:cs="Times New Roman"/>
          <w:color w:val="000000"/>
          <w:lang w:val="hy-AM" w:eastAsia="ru-RU"/>
        </w:rPr>
        <w:t xml:space="preserve">Գծապատկերի տվյալներից ակնհայտ է, որ պարտավորությունների բաշխվածությունն ըստ ոլորտների արտացոլում է էներգետիկայի ոլորտի զգալի գերակշռումը: Այդ ոլորտի ընկերությունների պարտք/սեփական կապիտալ գործակիցը 2020 թվականի արդյունքներով կազմում է 3.4: </w:t>
      </w:r>
      <w:r>
        <w:rPr>
          <w:rFonts w:eastAsia="Times New Roman" w:cs="Times New Roman"/>
          <w:lang w:val="hy-AM"/>
        </w:rPr>
        <w:t>Վարկային պարտավորությունների հետ կապված անհրաժեշտ է նշել, որ էներգետիկայի ոլորտի ընկերություն</w:t>
      </w:r>
      <w:r>
        <w:rPr>
          <w:rFonts w:eastAsia="Times New Roman" w:cs="Times New Roman"/>
          <w:lang w:val="hy-AM"/>
        </w:rPr>
        <w:softHyphen/>
        <w:t>ները չունեն ժամկետանց վարկային պարտավորություններ, ինչպես նաև ՀՀ կառավարության կողմից բյուջետային երաշխիքներ չեն ստացել: Ընդ որում «Երևանի ՋԷԿ», «Բարձրավոլտ էլեկտրական ցանցեր» և «Հայկական ատոմային էլեկտրակայան»</w:t>
      </w:r>
      <w:r>
        <w:rPr>
          <w:rFonts w:ascii="Courier New" w:eastAsia="Times New Roman" w:hAnsi="Courier New" w:cs="Courier New"/>
          <w:lang w:val="hy-AM"/>
        </w:rPr>
        <w:t> </w:t>
      </w:r>
      <w:r>
        <w:rPr>
          <w:rFonts w:eastAsia="Times New Roman" w:cs="Times New Roman"/>
          <w:lang w:val="hy-AM"/>
        </w:rPr>
        <w:t>ՓԲԸ-ները հանդիսանում են միջազգային կազմակերպությունների և օտարերկրյա պետությունների աջակցությամբ իրակա</w:t>
      </w:r>
      <w:r>
        <w:rPr>
          <w:rFonts w:eastAsia="Times New Roman" w:cs="Times New Roman"/>
          <w:lang w:val="hy-AM"/>
        </w:rPr>
        <w:softHyphen/>
        <w:t xml:space="preserve">նացվող նպատակային վարկային ծրագրերի շրջանակներում ենթավարկային պայմանագրերով այդ ոլորտին  տրամադրված վարկային միջոցների խոշորագույն ստացողներից: Բացի այդ,  այդ ընկերությունները նաև գեներացնում են պետական և համայնքային մասնակցությամբ ընկերությունների եկամուտների զգալի մասը՝ 42% (աղյուսակ 2): </w:t>
      </w:r>
    </w:p>
    <w:p w14:paraId="3FAE1308" w14:textId="77777777" w:rsidR="00DA0E15" w:rsidRDefault="00DA0E15">
      <w:pPr>
        <w:spacing w:before="0" w:after="0" w:line="276" w:lineRule="auto"/>
        <w:ind w:firstLine="227"/>
        <w:rPr>
          <w:rFonts w:eastAsia="Times New Roman" w:cs="Times New Roman"/>
          <w:lang w:val="hy-AM"/>
        </w:rPr>
      </w:pPr>
    </w:p>
    <w:p w14:paraId="141CF9AB" w14:textId="77777777" w:rsidR="00DA0E15" w:rsidRDefault="00362131" w:rsidP="00010E8E">
      <w:pPr>
        <w:pStyle w:val="afa"/>
        <w:rPr>
          <w:iCs/>
          <w:color w:val="365F91" w:themeColor="accent1" w:themeShade="BF"/>
          <w:sz w:val="18"/>
          <w:szCs w:val="18"/>
        </w:rPr>
      </w:pPr>
      <w:r>
        <w:t>Աղյուսակ  5.2</w:t>
      </w:r>
      <w:r>
        <w:rPr>
          <w:iCs/>
          <w:color w:val="365F91" w:themeColor="accent1" w:themeShade="BF"/>
          <w:sz w:val="18"/>
          <w:szCs w:val="18"/>
        </w:rPr>
        <w:t xml:space="preserve"> </w:t>
      </w:r>
      <w:r>
        <w:t>Պետական մասնակցությամբ ընկերությունների եկամուտները՝ ըստ ոլորտների</w:t>
      </w:r>
      <w:r>
        <w:rPr>
          <w:rFonts w:cs="Times New Roman"/>
          <w:iCs/>
          <w:sz w:val="19"/>
          <w:szCs w:val="19"/>
        </w:rPr>
        <w:t xml:space="preserve">                          </w:t>
      </w:r>
    </w:p>
    <w:p w14:paraId="36A2CDD8" w14:textId="77777777" w:rsidR="00DA0E15" w:rsidRDefault="00362131">
      <w:pPr>
        <w:keepNext/>
        <w:spacing w:before="0" w:after="0" w:line="240" w:lineRule="auto"/>
        <w:ind w:firstLine="0"/>
        <w:jc w:val="right"/>
        <w:rPr>
          <w:rFonts w:eastAsia="Calibri" w:cs="Times New Roman"/>
          <w:i/>
          <w:iCs/>
          <w:sz w:val="19"/>
          <w:szCs w:val="19"/>
          <w:lang w:val="hy-AM"/>
        </w:rPr>
      </w:pPr>
      <w:r>
        <w:rPr>
          <w:rFonts w:eastAsia="Calibri" w:cs="Times New Roman"/>
          <w:b/>
          <w:i/>
          <w:iCs/>
          <w:sz w:val="19"/>
          <w:szCs w:val="19"/>
          <w:lang w:val="hy-AM"/>
        </w:rPr>
        <w:t xml:space="preserve">  </w:t>
      </w:r>
      <w:r>
        <w:rPr>
          <w:rFonts w:eastAsia="Calibri" w:cs="Times New Roman"/>
          <w:i/>
          <w:iCs/>
          <w:sz w:val="19"/>
          <w:szCs w:val="19"/>
          <w:lang w:val="hy-AM"/>
        </w:rPr>
        <w:t>մլն դրամ</w:t>
      </w:r>
    </w:p>
    <w:tbl>
      <w:tblPr>
        <w:tblStyle w:val="GridTable4-Accent12"/>
        <w:tblW w:w="10548" w:type="dxa"/>
        <w:tblLook w:val="04A0" w:firstRow="1" w:lastRow="0" w:firstColumn="1" w:lastColumn="0" w:noHBand="0" w:noVBand="1"/>
      </w:tblPr>
      <w:tblGrid>
        <w:gridCol w:w="4608"/>
        <w:gridCol w:w="1440"/>
        <w:gridCol w:w="1530"/>
        <w:gridCol w:w="1350"/>
        <w:gridCol w:w="1620"/>
      </w:tblGrid>
      <w:tr w:rsidR="00DA0E15" w14:paraId="53418B77" w14:textId="77777777" w:rsidTr="00146C6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08" w:type="dxa"/>
            <w:tcBorders>
              <w:top w:val="single" w:sz="4" w:space="0" w:color="auto"/>
              <w:left w:val="single" w:sz="4" w:space="0" w:color="auto"/>
              <w:bottom w:val="single" w:sz="4" w:space="0" w:color="auto"/>
            </w:tcBorders>
            <w:noWrap/>
          </w:tcPr>
          <w:p w14:paraId="1EBF9E34" w14:textId="77777777" w:rsidR="00DA0E15" w:rsidRDefault="00362131">
            <w:pPr>
              <w:spacing w:before="0" w:after="0" w:line="240" w:lineRule="auto"/>
              <w:ind w:firstLine="0"/>
              <w:jc w:val="center"/>
              <w:rPr>
                <w:rFonts w:cs="Times New Roman"/>
                <w:b w:val="0"/>
                <w:bCs w:val="0"/>
                <w:lang w:val="hy-AM"/>
              </w:rPr>
            </w:pPr>
            <w:r>
              <w:rPr>
                <w:rFonts w:cs="Times New Roman"/>
                <w:lang w:val="hy-AM"/>
              </w:rPr>
              <w:t>Ոլորտ</w:t>
            </w:r>
          </w:p>
        </w:tc>
        <w:tc>
          <w:tcPr>
            <w:tcW w:w="1440" w:type="dxa"/>
            <w:tcBorders>
              <w:top w:val="single" w:sz="4" w:space="0" w:color="auto"/>
              <w:left w:val="single" w:sz="4" w:space="0" w:color="auto"/>
              <w:bottom w:val="single" w:sz="4" w:space="0" w:color="auto"/>
            </w:tcBorders>
            <w:noWrap/>
          </w:tcPr>
          <w:p w14:paraId="3824F65A"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lang w:val="hy-AM"/>
              </w:rPr>
            </w:pPr>
            <w:r>
              <w:rPr>
                <w:rFonts w:cs="Times New Roman"/>
                <w:lang w:val="hy-AM"/>
              </w:rPr>
              <w:t>2017</w:t>
            </w:r>
          </w:p>
        </w:tc>
        <w:tc>
          <w:tcPr>
            <w:tcW w:w="1530" w:type="dxa"/>
            <w:tcBorders>
              <w:top w:val="single" w:sz="4" w:space="0" w:color="auto"/>
              <w:left w:val="single" w:sz="4" w:space="0" w:color="auto"/>
              <w:bottom w:val="single" w:sz="4" w:space="0" w:color="auto"/>
            </w:tcBorders>
            <w:noWrap/>
          </w:tcPr>
          <w:p w14:paraId="7D0B9CC7"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lang w:val="hy-AM"/>
              </w:rPr>
            </w:pPr>
            <w:r>
              <w:rPr>
                <w:rFonts w:cs="Times New Roman"/>
                <w:lang w:val="hy-AM"/>
              </w:rPr>
              <w:t>2018</w:t>
            </w:r>
          </w:p>
        </w:tc>
        <w:tc>
          <w:tcPr>
            <w:tcW w:w="1350" w:type="dxa"/>
            <w:tcBorders>
              <w:top w:val="single" w:sz="4" w:space="0" w:color="auto"/>
              <w:left w:val="single" w:sz="4" w:space="0" w:color="auto"/>
              <w:bottom w:val="single" w:sz="4" w:space="0" w:color="auto"/>
            </w:tcBorders>
            <w:noWrap/>
          </w:tcPr>
          <w:p w14:paraId="418A8670"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lang w:val="hy-AM"/>
              </w:rPr>
            </w:pPr>
            <w:r>
              <w:rPr>
                <w:rFonts w:cs="Times New Roman"/>
                <w:lang w:val="hy-AM"/>
              </w:rPr>
              <w:t>2019</w:t>
            </w:r>
          </w:p>
        </w:tc>
        <w:tc>
          <w:tcPr>
            <w:tcW w:w="1620" w:type="dxa"/>
            <w:tcBorders>
              <w:top w:val="single" w:sz="4" w:space="0" w:color="auto"/>
              <w:left w:val="single" w:sz="4" w:space="0" w:color="auto"/>
              <w:bottom w:val="single" w:sz="4" w:space="0" w:color="auto"/>
              <w:right w:val="single" w:sz="4" w:space="0" w:color="auto"/>
            </w:tcBorders>
            <w:noWrap/>
          </w:tcPr>
          <w:p w14:paraId="7A54522C"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Courier New" w:hAnsi="Courier New" w:cs="Courier New"/>
                <w:b w:val="0"/>
                <w:bCs w:val="0"/>
                <w:lang w:val="hy-AM"/>
              </w:rPr>
            </w:pPr>
            <w:r>
              <w:rPr>
                <w:rFonts w:cs="Times New Roman"/>
                <w:lang w:val="hy-AM"/>
              </w:rPr>
              <w:t xml:space="preserve">Տեսակարար կշիռ % </w:t>
            </w:r>
          </w:p>
          <w:p w14:paraId="0FE159DF"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8"/>
                <w:szCs w:val="18"/>
                <w:lang w:val="hy-AM"/>
              </w:rPr>
            </w:pPr>
            <w:r>
              <w:rPr>
                <w:rFonts w:cs="Times New Roman"/>
                <w:sz w:val="18"/>
                <w:szCs w:val="18"/>
                <w:lang w:val="hy-AM"/>
              </w:rPr>
              <w:t>(2019)</w:t>
            </w:r>
          </w:p>
        </w:tc>
      </w:tr>
      <w:tr w:rsidR="00DA0E15" w14:paraId="70EE10E0" w14:textId="77777777" w:rsidTr="00146C6E">
        <w:trPr>
          <w:trHeight w:val="462"/>
        </w:trPr>
        <w:tc>
          <w:tcPr>
            <w:cnfStyle w:val="001000000000" w:firstRow="0" w:lastRow="0" w:firstColumn="1" w:lastColumn="0" w:oddVBand="0" w:evenVBand="0" w:oddHBand="0" w:evenHBand="0" w:firstRowFirstColumn="0" w:firstRowLastColumn="0" w:lastRowFirstColumn="0" w:lastRowLastColumn="0"/>
            <w:tcW w:w="4608" w:type="dxa"/>
            <w:tcBorders>
              <w:top w:val="single" w:sz="4" w:space="0" w:color="auto"/>
            </w:tcBorders>
            <w:shd w:val="clear" w:color="auto" w:fill="D9E2F3"/>
            <w:noWrap/>
          </w:tcPr>
          <w:p w14:paraId="14902AB3" w14:textId="77777777" w:rsidR="00DA0E15" w:rsidRDefault="00362131">
            <w:pPr>
              <w:spacing w:before="0" w:after="0" w:line="240" w:lineRule="auto"/>
              <w:ind w:firstLine="0"/>
              <w:jc w:val="left"/>
              <w:rPr>
                <w:rFonts w:cs="Times New Roman"/>
                <w:bCs w:val="0"/>
                <w:sz w:val="20"/>
                <w:szCs w:val="20"/>
                <w:lang w:val="hy-AM"/>
              </w:rPr>
            </w:pPr>
            <w:r>
              <w:rPr>
                <w:rFonts w:cs="Times New Roman"/>
                <w:b w:val="0"/>
                <w:sz w:val="20"/>
                <w:szCs w:val="20"/>
                <w:lang w:val="hy-AM"/>
              </w:rPr>
              <w:t>էներգետիկա</w:t>
            </w:r>
          </w:p>
        </w:tc>
        <w:tc>
          <w:tcPr>
            <w:tcW w:w="1440" w:type="dxa"/>
            <w:tcBorders>
              <w:top w:val="single" w:sz="4" w:space="0" w:color="auto"/>
            </w:tcBorders>
            <w:shd w:val="clear" w:color="auto" w:fill="D9E2F3"/>
            <w:noWrap/>
          </w:tcPr>
          <w:p w14:paraId="79C2E00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119,013</w:t>
            </w:r>
            <w:r>
              <w:rPr>
                <w:rFonts w:cs="Times New Roman"/>
                <w:sz w:val="20"/>
                <w:szCs w:val="20"/>
              </w:rPr>
              <w:t>.0</w:t>
            </w:r>
          </w:p>
        </w:tc>
        <w:tc>
          <w:tcPr>
            <w:tcW w:w="1530" w:type="dxa"/>
            <w:tcBorders>
              <w:top w:val="single" w:sz="4" w:space="0" w:color="auto"/>
            </w:tcBorders>
            <w:shd w:val="clear" w:color="auto" w:fill="D9E2F3"/>
            <w:noWrap/>
          </w:tcPr>
          <w:p w14:paraId="441965E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122,451</w:t>
            </w:r>
            <w:r>
              <w:rPr>
                <w:rFonts w:cs="Times New Roman"/>
                <w:sz w:val="20"/>
                <w:szCs w:val="20"/>
              </w:rPr>
              <w:t>.0</w:t>
            </w:r>
          </w:p>
        </w:tc>
        <w:tc>
          <w:tcPr>
            <w:tcW w:w="1350" w:type="dxa"/>
            <w:tcBorders>
              <w:top w:val="single" w:sz="4" w:space="0" w:color="auto"/>
            </w:tcBorders>
            <w:shd w:val="clear" w:color="auto" w:fill="D9E2F3"/>
            <w:noWrap/>
          </w:tcPr>
          <w:p w14:paraId="1D6818D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108,707</w:t>
            </w:r>
            <w:r>
              <w:rPr>
                <w:rFonts w:cs="Times New Roman"/>
                <w:sz w:val="20"/>
                <w:szCs w:val="20"/>
              </w:rPr>
              <w:t>.0</w:t>
            </w:r>
          </w:p>
        </w:tc>
        <w:tc>
          <w:tcPr>
            <w:tcW w:w="1620" w:type="dxa"/>
            <w:tcBorders>
              <w:top w:val="single" w:sz="4" w:space="0" w:color="auto"/>
            </w:tcBorders>
            <w:shd w:val="clear" w:color="auto" w:fill="D9E2F3"/>
            <w:noWrap/>
          </w:tcPr>
          <w:p w14:paraId="3D8D4DC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Times New Roman"/>
                <w:sz w:val="20"/>
                <w:szCs w:val="20"/>
                <w:lang w:val="hy-AM"/>
              </w:rPr>
              <w:t>42%</w:t>
            </w:r>
          </w:p>
        </w:tc>
      </w:tr>
      <w:tr w:rsidR="00DA0E15" w14:paraId="0DBF369F" w14:textId="77777777" w:rsidTr="00146C6E">
        <w:trPr>
          <w:trHeight w:val="462"/>
        </w:trPr>
        <w:tc>
          <w:tcPr>
            <w:cnfStyle w:val="001000000000" w:firstRow="0" w:lastRow="0" w:firstColumn="1" w:lastColumn="0" w:oddVBand="0" w:evenVBand="0" w:oddHBand="0" w:evenHBand="0" w:firstRowFirstColumn="0" w:firstRowLastColumn="0" w:lastRowFirstColumn="0" w:lastRowLastColumn="0"/>
            <w:tcW w:w="4608" w:type="dxa"/>
            <w:noWrap/>
          </w:tcPr>
          <w:p w14:paraId="780A610D" w14:textId="77777777" w:rsidR="00DA0E15" w:rsidRDefault="00362131">
            <w:pPr>
              <w:spacing w:before="0" w:after="0" w:line="240" w:lineRule="auto"/>
              <w:ind w:firstLine="0"/>
              <w:jc w:val="left"/>
              <w:rPr>
                <w:rFonts w:cs="Times New Roman"/>
                <w:bCs w:val="0"/>
                <w:sz w:val="20"/>
                <w:szCs w:val="20"/>
                <w:lang w:val="hy-AM"/>
              </w:rPr>
            </w:pPr>
            <w:r>
              <w:rPr>
                <w:rFonts w:cs="Times New Roman"/>
                <w:b w:val="0"/>
                <w:sz w:val="20"/>
                <w:szCs w:val="20"/>
                <w:lang w:val="hy-AM"/>
              </w:rPr>
              <w:t>Առողջապահություն</w:t>
            </w:r>
          </w:p>
        </w:tc>
        <w:tc>
          <w:tcPr>
            <w:tcW w:w="1440" w:type="dxa"/>
            <w:noWrap/>
          </w:tcPr>
          <w:p w14:paraId="413A1D5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62,856</w:t>
            </w:r>
            <w:r>
              <w:rPr>
                <w:rFonts w:cs="Times New Roman"/>
                <w:sz w:val="20"/>
                <w:szCs w:val="20"/>
              </w:rPr>
              <w:t>.0</w:t>
            </w:r>
          </w:p>
        </w:tc>
        <w:tc>
          <w:tcPr>
            <w:tcW w:w="1530" w:type="dxa"/>
            <w:noWrap/>
          </w:tcPr>
          <w:p w14:paraId="6D8488E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65,723</w:t>
            </w:r>
            <w:r>
              <w:rPr>
                <w:rFonts w:cs="Times New Roman"/>
                <w:sz w:val="20"/>
                <w:szCs w:val="20"/>
              </w:rPr>
              <w:t>.0</w:t>
            </w:r>
          </w:p>
        </w:tc>
        <w:tc>
          <w:tcPr>
            <w:tcW w:w="1350" w:type="dxa"/>
            <w:noWrap/>
          </w:tcPr>
          <w:p w14:paraId="108571F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76,040</w:t>
            </w:r>
            <w:r>
              <w:rPr>
                <w:rFonts w:cs="Times New Roman"/>
                <w:sz w:val="20"/>
                <w:szCs w:val="20"/>
              </w:rPr>
              <w:t>.0</w:t>
            </w:r>
          </w:p>
        </w:tc>
        <w:tc>
          <w:tcPr>
            <w:tcW w:w="1620" w:type="dxa"/>
            <w:noWrap/>
          </w:tcPr>
          <w:p w14:paraId="6A710AF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Times New Roman"/>
                <w:sz w:val="20"/>
                <w:szCs w:val="20"/>
                <w:lang w:val="hy-AM"/>
              </w:rPr>
              <w:t>29%</w:t>
            </w:r>
          </w:p>
        </w:tc>
      </w:tr>
      <w:tr w:rsidR="00DA0E15" w14:paraId="78F3D6D7" w14:textId="77777777" w:rsidTr="00146C6E">
        <w:trPr>
          <w:trHeight w:val="462"/>
        </w:trPr>
        <w:tc>
          <w:tcPr>
            <w:cnfStyle w:val="001000000000" w:firstRow="0" w:lastRow="0" w:firstColumn="1" w:lastColumn="0" w:oddVBand="0" w:evenVBand="0" w:oddHBand="0" w:evenHBand="0" w:firstRowFirstColumn="0" w:firstRowLastColumn="0" w:lastRowFirstColumn="0" w:lastRowLastColumn="0"/>
            <w:tcW w:w="4608" w:type="dxa"/>
            <w:shd w:val="clear" w:color="auto" w:fill="D9E2F3"/>
            <w:noWrap/>
          </w:tcPr>
          <w:p w14:paraId="7B9F39C4" w14:textId="77777777" w:rsidR="00DA0E15" w:rsidRDefault="00362131">
            <w:pPr>
              <w:spacing w:before="0" w:after="0" w:line="240" w:lineRule="auto"/>
              <w:ind w:firstLine="0"/>
              <w:jc w:val="left"/>
              <w:rPr>
                <w:rFonts w:cs="Times New Roman"/>
                <w:bCs w:val="0"/>
                <w:sz w:val="20"/>
                <w:szCs w:val="20"/>
                <w:lang w:val="hy-AM"/>
              </w:rPr>
            </w:pPr>
            <w:r>
              <w:rPr>
                <w:rFonts w:cs="Times New Roman"/>
                <w:b w:val="0"/>
                <w:sz w:val="20"/>
                <w:szCs w:val="20"/>
                <w:lang w:val="hy-AM"/>
              </w:rPr>
              <w:t>Կրթություն</w:t>
            </w:r>
          </w:p>
        </w:tc>
        <w:tc>
          <w:tcPr>
            <w:tcW w:w="1440" w:type="dxa"/>
            <w:shd w:val="clear" w:color="auto" w:fill="D9E2F3"/>
            <w:noWrap/>
          </w:tcPr>
          <w:p w14:paraId="2678036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98,734</w:t>
            </w:r>
            <w:r>
              <w:rPr>
                <w:rFonts w:cs="Times New Roman"/>
                <w:sz w:val="20"/>
                <w:szCs w:val="20"/>
              </w:rPr>
              <w:t>.0</w:t>
            </w:r>
          </w:p>
        </w:tc>
        <w:tc>
          <w:tcPr>
            <w:tcW w:w="1530" w:type="dxa"/>
            <w:shd w:val="clear" w:color="auto" w:fill="D9E2F3"/>
            <w:noWrap/>
          </w:tcPr>
          <w:p w14:paraId="652728C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63,298</w:t>
            </w:r>
            <w:r>
              <w:rPr>
                <w:rFonts w:cs="Times New Roman"/>
                <w:sz w:val="20"/>
                <w:szCs w:val="20"/>
              </w:rPr>
              <w:t>.0</w:t>
            </w:r>
          </w:p>
        </w:tc>
        <w:tc>
          <w:tcPr>
            <w:tcW w:w="1350" w:type="dxa"/>
            <w:shd w:val="clear" w:color="auto" w:fill="D9E2F3"/>
            <w:noWrap/>
          </w:tcPr>
          <w:p w14:paraId="2A55755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38,161</w:t>
            </w:r>
            <w:r>
              <w:rPr>
                <w:rFonts w:cs="Times New Roman"/>
                <w:sz w:val="20"/>
                <w:szCs w:val="20"/>
              </w:rPr>
              <w:t>.0</w:t>
            </w:r>
          </w:p>
        </w:tc>
        <w:tc>
          <w:tcPr>
            <w:tcW w:w="1620" w:type="dxa"/>
            <w:shd w:val="clear" w:color="auto" w:fill="D9E2F3"/>
            <w:noWrap/>
          </w:tcPr>
          <w:p w14:paraId="2B83C39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Times New Roman"/>
                <w:sz w:val="20"/>
                <w:szCs w:val="20"/>
                <w:lang w:val="hy-AM"/>
              </w:rPr>
              <w:t>15%</w:t>
            </w:r>
          </w:p>
        </w:tc>
      </w:tr>
      <w:tr w:rsidR="00DA0E15" w14:paraId="591B4C77" w14:textId="77777777" w:rsidTr="00146C6E">
        <w:trPr>
          <w:trHeight w:val="462"/>
        </w:trPr>
        <w:tc>
          <w:tcPr>
            <w:cnfStyle w:val="001000000000" w:firstRow="0" w:lastRow="0" w:firstColumn="1" w:lastColumn="0" w:oddVBand="0" w:evenVBand="0" w:oddHBand="0" w:evenHBand="0" w:firstRowFirstColumn="0" w:firstRowLastColumn="0" w:lastRowFirstColumn="0" w:lastRowLastColumn="0"/>
            <w:tcW w:w="4608" w:type="dxa"/>
            <w:noWrap/>
          </w:tcPr>
          <w:p w14:paraId="3D85E586" w14:textId="77777777" w:rsidR="00DA0E15" w:rsidRDefault="00362131">
            <w:pPr>
              <w:spacing w:before="0" w:after="0" w:line="240" w:lineRule="auto"/>
              <w:ind w:firstLine="0"/>
              <w:jc w:val="left"/>
              <w:rPr>
                <w:rFonts w:cs="Times New Roman"/>
                <w:bCs w:val="0"/>
                <w:sz w:val="20"/>
                <w:szCs w:val="20"/>
                <w:lang w:val="hy-AM"/>
              </w:rPr>
            </w:pPr>
            <w:r>
              <w:rPr>
                <w:rFonts w:cs="Times New Roman"/>
                <w:b w:val="0"/>
                <w:sz w:val="20"/>
                <w:szCs w:val="20"/>
                <w:lang w:val="hy-AM"/>
              </w:rPr>
              <w:t>Հեռուստառադիոհեռարձակում, կապ</w:t>
            </w:r>
          </w:p>
        </w:tc>
        <w:tc>
          <w:tcPr>
            <w:tcW w:w="1440" w:type="dxa"/>
            <w:noWrap/>
          </w:tcPr>
          <w:p w14:paraId="54C3236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8,302</w:t>
            </w:r>
            <w:r>
              <w:rPr>
                <w:rFonts w:cs="Times New Roman"/>
                <w:sz w:val="20"/>
                <w:szCs w:val="20"/>
              </w:rPr>
              <w:t>.0</w:t>
            </w:r>
          </w:p>
        </w:tc>
        <w:tc>
          <w:tcPr>
            <w:tcW w:w="1530" w:type="dxa"/>
            <w:noWrap/>
          </w:tcPr>
          <w:p w14:paraId="5D327C4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8,534</w:t>
            </w:r>
            <w:r>
              <w:rPr>
                <w:rFonts w:cs="Times New Roman"/>
                <w:sz w:val="20"/>
                <w:szCs w:val="20"/>
              </w:rPr>
              <w:t>.0</w:t>
            </w:r>
          </w:p>
        </w:tc>
        <w:tc>
          <w:tcPr>
            <w:tcW w:w="1350" w:type="dxa"/>
            <w:noWrap/>
          </w:tcPr>
          <w:p w14:paraId="74D5FF9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8,675</w:t>
            </w:r>
            <w:r>
              <w:rPr>
                <w:rFonts w:cs="Times New Roman"/>
                <w:sz w:val="20"/>
                <w:szCs w:val="20"/>
              </w:rPr>
              <w:t>.0</w:t>
            </w:r>
          </w:p>
        </w:tc>
        <w:tc>
          <w:tcPr>
            <w:tcW w:w="1620" w:type="dxa"/>
            <w:noWrap/>
          </w:tcPr>
          <w:p w14:paraId="50BC0BB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Times New Roman"/>
                <w:sz w:val="20"/>
                <w:szCs w:val="20"/>
                <w:lang w:val="hy-AM"/>
              </w:rPr>
              <w:t>3%</w:t>
            </w:r>
          </w:p>
        </w:tc>
      </w:tr>
      <w:tr w:rsidR="00DA0E15" w14:paraId="17FC8BB6" w14:textId="77777777" w:rsidTr="00146C6E">
        <w:trPr>
          <w:trHeight w:val="462"/>
        </w:trPr>
        <w:tc>
          <w:tcPr>
            <w:cnfStyle w:val="001000000000" w:firstRow="0" w:lastRow="0" w:firstColumn="1" w:lastColumn="0" w:oddVBand="0" w:evenVBand="0" w:oddHBand="0" w:evenHBand="0" w:firstRowFirstColumn="0" w:firstRowLastColumn="0" w:lastRowFirstColumn="0" w:lastRowLastColumn="0"/>
            <w:tcW w:w="4608" w:type="dxa"/>
            <w:shd w:val="clear" w:color="auto" w:fill="D9E2F3"/>
            <w:noWrap/>
          </w:tcPr>
          <w:p w14:paraId="07516646" w14:textId="77777777" w:rsidR="00DA0E15" w:rsidRDefault="00362131">
            <w:pPr>
              <w:spacing w:before="0" w:after="0" w:line="240" w:lineRule="auto"/>
              <w:ind w:firstLine="0"/>
              <w:jc w:val="left"/>
              <w:rPr>
                <w:rFonts w:cs="Times New Roman"/>
                <w:bCs w:val="0"/>
                <w:sz w:val="20"/>
                <w:szCs w:val="20"/>
                <w:lang w:val="hy-AM"/>
              </w:rPr>
            </w:pPr>
            <w:r>
              <w:rPr>
                <w:rFonts w:cs="Times New Roman"/>
                <w:b w:val="0"/>
                <w:sz w:val="20"/>
                <w:szCs w:val="20"/>
                <w:lang w:val="hy-AM"/>
              </w:rPr>
              <w:t>Փոստային կապի ազգային օպերատոր</w:t>
            </w:r>
          </w:p>
        </w:tc>
        <w:tc>
          <w:tcPr>
            <w:tcW w:w="1440" w:type="dxa"/>
            <w:shd w:val="clear" w:color="auto" w:fill="D9E2F3"/>
            <w:noWrap/>
          </w:tcPr>
          <w:p w14:paraId="58CD344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7,251</w:t>
            </w:r>
            <w:r>
              <w:rPr>
                <w:rFonts w:cs="Times New Roman"/>
                <w:sz w:val="20"/>
                <w:szCs w:val="20"/>
              </w:rPr>
              <w:t>.0</w:t>
            </w:r>
          </w:p>
        </w:tc>
        <w:tc>
          <w:tcPr>
            <w:tcW w:w="1530" w:type="dxa"/>
            <w:shd w:val="clear" w:color="auto" w:fill="D9E2F3"/>
            <w:noWrap/>
          </w:tcPr>
          <w:p w14:paraId="535AEE5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6,759</w:t>
            </w:r>
            <w:r>
              <w:rPr>
                <w:rFonts w:cs="Times New Roman"/>
                <w:sz w:val="20"/>
                <w:szCs w:val="20"/>
              </w:rPr>
              <w:t>.0</w:t>
            </w:r>
          </w:p>
        </w:tc>
        <w:tc>
          <w:tcPr>
            <w:tcW w:w="1350" w:type="dxa"/>
            <w:shd w:val="clear" w:color="auto" w:fill="D9E2F3"/>
            <w:noWrap/>
          </w:tcPr>
          <w:p w14:paraId="62757C8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7,811</w:t>
            </w:r>
            <w:r>
              <w:rPr>
                <w:rFonts w:cs="Times New Roman"/>
                <w:sz w:val="20"/>
                <w:szCs w:val="20"/>
              </w:rPr>
              <w:t>.0</w:t>
            </w:r>
          </w:p>
        </w:tc>
        <w:tc>
          <w:tcPr>
            <w:tcW w:w="1620" w:type="dxa"/>
            <w:shd w:val="clear" w:color="auto" w:fill="D9E2F3"/>
            <w:noWrap/>
          </w:tcPr>
          <w:p w14:paraId="5038395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Times New Roman"/>
                <w:sz w:val="20"/>
                <w:szCs w:val="20"/>
                <w:lang w:val="hy-AM"/>
              </w:rPr>
              <w:t>3%</w:t>
            </w:r>
          </w:p>
        </w:tc>
      </w:tr>
      <w:tr w:rsidR="00DA0E15" w14:paraId="0ECFD0FF" w14:textId="77777777" w:rsidTr="00146C6E">
        <w:trPr>
          <w:trHeight w:val="462"/>
        </w:trPr>
        <w:tc>
          <w:tcPr>
            <w:cnfStyle w:val="001000000000" w:firstRow="0" w:lastRow="0" w:firstColumn="1" w:lastColumn="0" w:oddVBand="0" w:evenVBand="0" w:oddHBand="0" w:evenHBand="0" w:firstRowFirstColumn="0" w:firstRowLastColumn="0" w:lastRowFirstColumn="0" w:lastRowLastColumn="0"/>
            <w:tcW w:w="4608" w:type="dxa"/>
            <w:noWrap/>
          </w:tcPr>
          <w:p w14:paraId="4E887512" w14:textId="77777777" w:rsidR="00DA0E15" w:rsidRDefault="00362131">
            <w:pPr>
              <w:spacing w:before="0" w:after="0" w:line="240" w:lineRule="auto"/>
              <w:ind w:firstLine="0"/>
              <w:jc w:val="left"/>
              <w:rPr>
                <w:rFonts w:cs="Times New Roman"/>
                <w:bCs w:val="0"/>
                <w:sz w:val="20"/>
                <w:szCs w:val="20"/>
                <w:lang w:val="hy-AM"/>
              </w:rPr>
            </w:pPr>
            <w:r>
              <w:rPr>
                <w:rFonts w:cs="Times New Roman"/>
                <w:b w:val="0"/>
                <w:sz w:val="20"/>
                <w:szCs w:val="20"/>
                <w:lang w:val="hy-AM"/>
              </w:rPr>
              <w:t>Ուղևորափոխադրում</w:t>
            </w:r>
          </w:p>
        </w:tc>
        <w:tc>
          <w:tcPr>
            <w:tcW w:w="1440" w:type="dxa"/>
            <w:noWrap/>
          </w:tcPr>
          <w:p w14:paraId="640016F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3,793</w:t>
            </w:r>
            <w:r>
              <w:rPr>
                <w:rFonts w:cs="Times New Roman"/>
                <w:sz w:val="20"/>
                <w:szCs w:val="20"/>
              </w:rPr>
              <w:t>.0</w:t>
            </w:r>
          </w:p>
        </w:tc>
        <w:tc>
          <w:tcPr>
            <w:tcW w:w="1530" w:type="dxa"/>
            <w:noWrap/>
          </w:tcPr>
          <w:p w14:paraId="727E035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3,955</w:t>
            </w:r>
            <w:r>
              <w:rPr>
                <w:rFonts w:cs="Times New Roman"/>
                <w:sz w:val="20"/>
                <w:szCs w:val="20"/>
              </w:rPr>
              <w:t>.0</w:t>
            </w:r>
          </w:p>
        </w:tc>
        <w:tc>
          <w:tcPr>
            <w:tcW w:w="1350" w:type="dxa"/>
            <w:noWrap/>
          </w:tcPr>
          <w:p w14:paraId="67539D0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4,275</w:t>
            </w:r>
            <w:r>
              <w:rPr>
                <w:rFonts w:cs="Times New Roman"/>
                <w:sz w:val="20"/>
                <w:szCs w:val="20"/>
              </w:rPr>
              <w:t>.0</w:t>
            </w:r>
          </w:p>
        </w:tc>
        <w:tc>
          <w:tcPr>
            <w:tcW w:w="1620" w:type="dxa"/>
            <w:noWrap/>
          </w:tcPr>
          <w:p w14:paraId="0DBC608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Times New Roman"/>
                <w:sz w:val="20"/>
                <w:szCs w:val="20"/>
                <w:lang w:val="hy-AM"/>
              </w:rPr>
              <w:t>2%</w:t>
            </w:r>
          </w:p>
        </w:tc>
      </w:tr>
      <w:tr w:rsidR="00DA0E15" w14:paraId="1AB00855" w14:textId="77777777" w:rsidTr="00146C6E">
        <w:trPr>
          <w:trHeight w:val="462"/>
        </w:trPr>
        <w:tc>
          <w:tcPr>
            <w:cnfStyle w:val="001000000000" w:firstRow="0" w:lastRow="0" w:firstColumn="1" w:lastColumn="0" w:oddVBand="0" w:evenVBand="0" w:oddHBand="0" w:evenHBand="0" w:firstRowFirstColumn="0" w:firstRowLastColumn="0" w:lastRowFirstColumn="0" w:lastRowLastColumn="0"/>
            <w:tcW w:w="4608" w:type="dxa"/>
            <w:shd w:val="clear" w:color="auto" w:fill="D9E2F3"/>
            <w:noWrap/>
          </w:tcPr>
          <w:p w14:paraId="559171B8" w14:textId="77777777" w:rsidR="00DA0E15" w:rsidRDefault="00362131">
            <w:pPr>
              <w:spacing w:before="0" w:after="0" w:line="240" w:lineRule="auto"/>
              <w:ind w:firstLine="0"/>
              <w:jc w:val="left"/>
              <w:rPr>
                <w:rFonts w:cs="Times New Roman"/>
                <w:bCs w:val="0"/>
                <w:sz w:val="20"/>
                <w:szCs w:val="20"/>
                <w:lang w:val="hy-AM"/>
              </w:rPr>
            </w:pPr>
            <w:r>
              <w:rPr>
                <w:rFonts w:cs="Times New Roman"/>
                <w:b w:val="0"/>
                <w:sz w:val="20"/>
                <w:szCs w:val="20"/>
                <w:lang w:val="hy-AM"/>
              </w:rPr>
              <w:t>Ընդամենը</w:t>
            </w:r>
          </w:p>
        </w:tc>
        <w:tc>
          <w:tcPr>
            <w:tcW w:w="1440" w:type="dxa"/>
            <w:shd w:val="clear" w:color="auto" w:fill="D9E2F3"/>
            <w:noWrap/>
          </w:tcPr>
          <w:p w14:paraId="47C48AB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319,184</w:t>
            </w:r>
            <w:r>
              <w:rPr>
                <w:rFonts w:cs="Times New Roman"/>
                <w:sz w:val="20"/>
                <w:szCs w:val="20"/>
              </w:rPr>
              <w:t>.0</w:t>
            </w:r>
          </w:p>
        </w:tc>
        <w:tc>
          <w:tcPr>
            <w:tcW w:w="1530" w:type="dxa"/>
            <w:shd w:val="clear" w:color="auto" w:fill="D9E2F3"/>
            <w:noWrap/>
          </w:tcPr>
          <w:p w14:paraId="5A0982E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290,404</w:t>
            </w:r>
            <w:r>
              <w:rPr>
                <w:rFonts w:cs="Times New Roman"/>
                <w:sz w:val="20"/>
                <w:szCs w:val="20"/>
              </w:rPr>
              <w:t>.0</w:t>
            </w:r>
          </w:p>
        </w:tc>
        <w:tc>
          <w:tcPr>
            <w:tcW w:w="1350" w:type="dxa"/>
            <w:shd w:val="clear" w:color="auto" w:fill="D9E2F3"/>
            <w:noWrap/>
          </w:tcPr>
          <w:p w14:paraId="39EF2F7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lang w:val="hy-AM"/>
              </w:rPr>
              <w:t>261,791</w:t>
            </w:r>
            <w:r>
              <w:rPr>
                <w:rFonts w:cs="Times New Roman"/>
                <w:sz w:val="20"/>
                <w:szCs w:val="20"/>
              </w:rPr>
              <w:t>.0</w:t>
            </w:r>
          </w:p>
        </w:tc>
        <w:tc>
          <w:tcPr>
            <w:tcW w:w="1620" w:type="dxa"/>
            <w:shd w:val="clear" w:color="auto" w:fill="D9E2F3"/>
            <w:noWrap/>
          </w:tcPr>
          <w:p w14:paraId="27FC720C"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p>
        </w:tc>
      </w:tr>
    </w:tbl>
    <w:p w14:paraId="6E3C73C7" w14:textId="77777777" w:rsidR="00DA0E15" w:rsidRDefault="00DA0E15">
      <w:pPr>
        <w:spacing w:before="0" w:after="160" w:line="259" w:lineRule="auto"/>
        <w:ind w:firstLine="0"/>
        <w:jc w:val="left"/>
        <w:rPr>
          <w:rFonts w:ascii="Calibri" w:eastAsia="Calibri" w:hAnsi="Calibri" w:cs="Times New Roman"/>
          <w:lang w:val="hy-AM"/>
        </w:rPr>
      </w:pPr>
    </w:p>
    <w:p w14:paraId="20327D66" w14:textId="77777777" w:rsidR="00DA0E15" w:rsidRDefault="00362131">
      <w:pPr>
        <w:spacing w:line="276" w:lineRule="auto"/>
        <w:ind w:firstLine="0"/>
        <w:jc w:val="center"/>
        <w:rPr>
          <w:rFonts w:eastAsia="Times New Roman" w:cs="Times New Roman"/>
          <w:b/>
          <w:lang w:val="hy-AM"/>
        </w:rPr>
      </w:pPr>
      <w:bookmarkStart w:id="696" w:name="_Ref73540957"/>
      <w:r>
        <w:rPr>
          <w:rFonts w:eastAsia="Times New Roman" w:cs="Times New Roman"/>
          <w:b/>
          <w:lang w:val="hy-AM"/>
        </w:rPr>
        <w:t>Հարկաբյուջետային ռիսկեր պարունակող պետական մասնակցությամբ ընկերությունների վերլուծություն</w:t>
      </w:r>
    </w:p>
    <w:p w14:paraId="4C017F4E" w14:textId="77777777" w:rsidR="00DA0E15" w:rsidRDefault="00DA0E15">
      <w:pPr>
        <w:keepNext/>
        <w:spacing w:before="0" w:after="0" w:line="240" w:lineRule="auto"/>
        <w:ind w:firstLine="0"/>
        <w:jc w:val="left"/>
        <w:rPr>
          <w:i/>
          <w:iCs/>
          <w:color w:val="365F91" w:themeColor="accent1" w:themeShade="BF"/>
          <w:sz w:val="18"/>
          <w:szCs w:val="18"/>
          <w:lang w:val="hy-AM"/>
        </w:rPr>
      </w:pPr>
    </w:p>
    <w:p w14:paraId="707DB796" w14:textId="77777777" w:rsidR="00DA0E15" w:rsidRDefault="00362131" w:rsidP="00010E8E">
      <w:pPr>
        <w:pStyle w:val="afa"/>
        <w:rPr>
          <w:iCs/>
          <w:color w:val="365F91" w:themeColor="accent1" w:themeShade="BF"/>
          <w:sz w:val="18"/>
          <w:szCs w:val="18"/>
        </w:rPr>
      </w:pPr>
      <w:r>
        <w:t xml:space="preserve">Աղյուսակ </w:t>
      </w:r>
      <w:bookmarkEnd w:id="696"/>
      <w:r>
        <w:t xml:space="preserve"> 5.3</w:t>
      </w:r>
      <w:r>
        <w:rPr>
          <w:iCs/>
          <w:color w:val="365F91" w:themeColor="accent1" w:themeShade="BF"/>
          <w:sz w:val="18"/>
          <w:szCs w:val="18"/>
        </w:rPr>
        <w:t xml:space="preserve"> </w:t>
      </w:r>
      <w:r>
        <w:t>Բյուջետային վարկեր և երաշխիքներ ունեցող ՊՄԸ ցուցանիշները</w:t>
      </w:r>
      <w:r>
        <w:rPr>
          <w:iCs/>
          <w:color w:val="365F91" w:themeColor="accent1" w:themeShade="BF"/>
          <w:sz w:val="18"/>
          <w:szCs w:val="18"/>
        </w:rPr>
        <w:t xml:space="preserve">,                           </w:t>
      </w:r>
    </w:p>
    <w:p w14:paraId="21F8F70C" w14:textId="77777777" w:rsidR="00DA0E15" w:rsidRDefault="00362131">
      <w:pPr>
        <w:keepNext/>
        <w:spacing w:before="0" w:after="0" w:line="240" w:lineRule="auto"/>
        <w:ind w:firstLine="0"/>
        <w:jc w:val="right"/>
        <w:rPr>
          <w:rFonts w:eastAsia="Calibri" w:cs="Times New Roman"/>
          <w:i/>
          <w:iCs/>
          <w:sz w:val="19"/>
          <w:szCs w:val="19"/>
          <w:lang w:val="hy-AM"/>
        </w:rPr>
      </w:pPr>
      <w:r>
        <w:rPr>
          <w:rFonts w:eastAsia="Calibri" w:cs="Times New Roman"/>
          <w:i/>
          <w:iCs/>
          <w:sz w:val="19"/>
          <w:szCs w:val="19"/>
          <w:lang w:val="hy-AM"/>
        </w:rPr>
        <w:t xml:space="preserve"> մլն դրամ</w:t>
      </w:r>
    </w:p>
    <w:tbl>
      <w:tblPr>
        <w:tblStyle w:val="GridTable4-Accent130"/>
        <w:tblW w:w="11120" w:type="dxa"/>
        <w:tblInd w:w="-572" w:type="dxa"/>
        <w:tblLook w:val="04A0" w:firstRow="1" w:lastRow="0" w:firstColumn="1" w:lastColumn="0" w:noHBand="0" w:noVBand="1"/>
      </w:tblPr>
      <w:tblGrid>
        <w:gridCol w:w="2309"/>
        <w:gridCol w:w="1309"/>
        <w:gridCol w:w="902"/>
        <w:gridCol w:w="837"/>
        <w:gridCol w:w="784"/>
        <w:gridCol w:w="808"/>
        <w:gridCol w:w="851"/>
        <w:gridCol w:w="1160"/>
        <w:gridCol w:w="870"/>
        <w:gridCol w:w="1372"/>
      </w:tblGrid>
      <w:tr w:rsidR="00DA0E15" w14:paraId="145D2BC8" w14:textId="77777777" w:rsidTr="00146C6E">
        <w:trPr>
          <w:cnfStyle w:val="100000000000" w:firstRow="1" w:lastRow="0" w:firstColumn="0" w:lastColumn="0" w:oddVBand="0" w:evenVBand="0" w:oddHBand="0" w:evenHBand="0" w:firstRowFirstColumn="0" w:firstRowLastColumn="0" w:lastRowFirstColumn="0" w:lastRowLastColumn="0"/>
          <w:trHeight w:val="1259"/>
        </w:trPr>
        <w:tc>
          <w:tcPr>
            <w:cnfStyle w:val="001000000000" w:firstRow="0" w:lastRow="0" w:firstColumn="1" w:lastColumn="0" w:oddVBand="0" w:evenVBand="0" w:oddHBand="0" w:evenHBand="0" w:firstRowFirstColumn="0" w:firstRowLastColumn="0" w:lastRowFirstColumn="0" w:lastRowLastColumn="0"/>
            <w:tcW w:w="2309" w:type="dxa"/>
            <w:tcBorders>
              <w:top w:val="single" w:sz="4" w:space="0" w:color="auto"/>
              <w:left w:val="single" w:sz="4" w:space="0" w:color="auto"/>
              <w:bottom w:val="single" w:sz="4" w:space="0" w:color="auto"/>
            </w:tcBorders>
            <w:noWrap/>
            <w:vAlign w:val="center"/>
          </w:tcPr>
          <w:p w14:paraId="672A3D15" w14:textId="77777777" w:rsidR="00DA0E15" w:rsidRDefault="00362131">
            <w:pPr>
              <w:spacing w:before="0" w:after="0" w:line="259" w:lineRule="auto"/>
              <w:ind w:firstLine="0"/>
              <w:jc w:val="left"/>
              <w:rPr>
                <w:rFonts w:cs="Calibri Light"/>
                <w:b w:val="0"/>
                <w:bCs w:val="0"/>
                <w:sz w:val="16"/>
                <w:szCs w:val="16"/>
                <w:lang w:val="hy-AM"/>
              </w:rPr>
            </w:pPr>
            <w:r>
              <w:rPr>
                <w:rFonts w:cs="Calibri Light"/>
                <w:sz w:val="16"/>
                <w:szCs w:val="16"/>
                <w:lang w:val="hy-AM"/>
              </w:rPr>
              <w:t>Ընկերության անվանումը</w:t>
            </w:r>
          </w:p>
        </w:tc>
        <w:tc>
          <w:tcPr>
            <w:tcW w:w="1309" w:type="dxa"/>
            <w:tcBorders>
              <w:top w:val="single" w:sz="4" w:space="0" w:color="auto"/>
              <w:left w:val="single" w:sz="4" w:space="0" w:color="auto"/>
              <w:bottom w:val="single" w:sz="4" w:space="0" w:color="auto"/>
            </w:tcBorders>
            <w:noWrap/>
            <w:vAlign w:val="center"/>
          </w:tcPr>
          <w:p w14:paraId="5A763188" w14:textId="77777777" w:rsidR="00DA0E15" w:rsidRDefault="00362131">
            <w:pPr>
              <w:spacing w:before="0" w:after="0" w:line="259" w:lineRule="auto"/>
              <w:ind w:firstLine="0"/>
              <w:jc w:val="left"/>
              <w:cnfStyle w:val="100000000000" w:firstRow="1" w:lastRow="0" w:firstColumn="0" w:lastColumn="0" w:oddVBand="0" w:evenVBand="0" w:oddHBand="0" w:evenHBand="0" w:firstRowFirstColumn="0" w:firstRowLastColumn="0" w:lastRowFirstColumn="0" w:lastRowLastColumn="0"/>
              <w:rPr>
                <w:rFonts w:cs="Calibri Light"/>
                <w:b w:val="0"/>
                <w:bCs w:val="0"/>
                <w:sz w:val="16"/>
                <w:szCs w:val="16"/>
              </w:rPr>
            </w:pPr>
            <w:r>
              <w:rPr>
                <w:rFonts w:cs="Calibri Light"/>
                <w:sz w:val="16"/>
                <w:szCs w:val="16"/>
                <w:lang w:val="hy-AM"/>
              </w:rPr>
              <w:t>Բյուջետային վարկեր և երաշխիքնե</w:t>
            </w:r>
            <w:r>
              <w:rPr>
                <w:rFonts w:cs="Calibri Light"/>
                <w:sz w:val="16"/>
                <w:szCs w:val="16"/>
              </w:rPr>
              <w:t>ր</w:t>
            </w:r>
          </w:p>
        </w:tc>
        <w:tc>
          <w:tcPr>
            <w:tcW w:w="1739" w:type="dxa"/>
            <w:gridSpan w:val="2"/>
            <w:tcBorders>
              <w:top w:val="single" w:sz="4" w:space="0" w:color="auto"/>
              <w:left w:val="single" w:sz="4" w:space="0" w:color="auto"/>
              <w:bottom w:val="single" w:sz="4" w:space="0" w:color="auto"/>
            </w:tcBorders>
            <w:noWrap/>
            <w:vAlign w:val="center"/>
          </w:tcPr>
          <w:p w14:paraId="0357259F" w14:textId="77777777" w:rsidR="00DA0E15" w:rsidRDefault="00362131">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cs="Calibri Light"/>
                <w:b w:val="0"/>
                <w:bCs w:val="0"/>
                <w:sz w:val="16"/>
                <w:szCs w:val="16"/>
                <w:lang w:val="hy-AM"/>
              </w:rPr>
            </w:pPr>
            <w:r>
              <w:rPr>
                <w:rFonts w:cs="Calibri Light"/>
                <w:sz w:val="16"/>
                <w:szCs w:val="16"/>
                <w:lang w:val="hy-AM"/>
              </w:rPr>
              <w:t>Իրացումից Հասույթ</w:t>
            </w:r>
          </w:p>
        </w:tc>
        <w:tc>
          <w:tcPr>
            <w:tcW w:w="2443" w:type="dxa"/>
            <w:gridSpan w:val="3"/>
            <w:tcBorders>
              <w:top w:val="single" w:sz="4" w:space="0" w:color="auto"/>
              <w:left w:val="single" w:sz="4" w:space="0" w:color="auto"/>
              <w:bottom w:val="single" w:sz="4" w:space="0" w:color="auto"/>
            </w:tcBorders>
            <w:noWrap/>
            <w:vAlign w:val="center"/>
          </w:tcPr>
          <w:p w14:paraId="414AF7DD" w14:textId="77777777" w:rsidR="00DA0E15" w:rsidRDefault="00362131">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cs="Calibri Light"/>
                <w:b w:val="0"/>
                <w:bCs w:val="0"/>
                <w:sz w:val="16"/>
                <w:szCs w:val="16"/>
                <w:lang w:val="hy-AM"/>
              </w:rPr>
            </w:pPr>
            <w:r>
              <w:rPr>
                <w:rFonts w:cs="Calibri Light"/>
                <w:sz w:val="16"/>
                <w:szCs w:val="16"/>
                <w:lang w:val="hy-AM"/>
              </w:rPr>
              <w:t>Զուտ շահույթ</w:t>
            </w:r>
          </w:p>
        </w:tc>
        <w:tc>
          <w:tcPr>
            <w:tcW w:w="1160" w:type="dxa"/>
            <w:tcBorders>
              <w:top w:val="single" w:sz="4" w:space="0" w:color="auto"/>
              <w:left w:val="single" w:sz="4" w:space="0" w:color="auto"/>
              <w:bottom w:val="single" w:sz="4" w:space="0" w:color="auto"/>
            </w:tcBorders>
            <w:noWrap/>
            <w:vAlign w:val="center"/>
          </w:tcPr>
          <w:p w14:paraId="7413AE7A" w14:textId="77777777" w:rsidR="00DA0E15" w:rsidRDefault="00362131">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cs="Calibri Light"/>
                <w:b w:val="0"/>
                <w:bCs w:val="0"/>
                <w:sz w:val="16"/>
                <w:szCs w:val="16"/>
                <w:lang w:val="hy-AM"/>
              </w:rPr>
            </w:pPr>
            <w:r>
              <w:rPr>
                <w:rFonts w:cs="Calibri Light"/>
                <w:sz w:val="16"/>
                <w:szCs w:val="16"/>
                <w:lang w:val="hy-AM"/>
              </w:rPr>
              <w:t>Կուտակված շահույթ</w:t>
            </w:r>
          </w:p>
        </w:tc>
        <w:tc>
          <w:tcPr>
            <w:tcW w:w="2160" w:type="dxa"/>
            <w:gridSpan w:val="2"/>
            <w:tcBorders>
              <w:top w:val="single" w:sz="4" w:space="0" w:color="auto"/>
              <w:left w:val="single" w:sz="4" w:space="0" w:color="auto"/>
              <w:bottom w:val="single" w:sz="4" w:space="0" w:color="auto"/>
              <w:right w:val="single" w:sz="4" w:space="0" w:color="auto"/>
            </w:tcBorders>
            <w:noWrap/>
            <w:vAlign w:val="center"/>
          </w:tcPr>
          <w:p w14:paraId="32196C51" w14:textId="77777777" w:rsidR="00DA0E15" w:rsidRDefault="00362131">
            <w:pPr>
              <w:spacing w:before="0" w:after="0" w:line="259" w:lineRule="auto"/>
              <w:ind w:firstLine="0"/>
              <w:jc w:val="left"/>
              <w:cnfStyle w:val="100000000000" w:firstRow="1" w:lastRow="0" w:firstColumn="0" w:lastColumn="0" w:oddVBand="0" w:evenVBand="0" w:oddHBand="0" w:evenHBand="0" w:firstRowFirstColumn="0" w:firstRowLastColumn="0" w:lastRowFirstColumn="0" w:lastRowLastColumn="0"/>
              <w:rPr>
                <w:rFonts w:cs="Calibri Light"/>
                <w:b w:val="0"/>
                <w:bCs w:val="0"/>
                <w:sz w:val="16"/>
                <w:szCs w:val="16"/>
                <w:lang w:val="hy-AM"/>
              </w:rPr>
            </w:pPr>
            <w:r>
              <w:rPr>
                <w:rFonts w:cs="Calibri Light"/>
                <w:sz w:val="16"/>
                <w:szCs w:val="16"/>
                <w:lang w:val="hy-AM"/>
              </w:rPr>
              <w:t>Պարտավորություններ</w:t>
            </w:r>
          </w:p>
        </w:tc>
      </w:tr>
      <w:tr w:rsidR="00DA0E15" w14:paraId="2CBE9071"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tcBorders>
              <w:top w:val="single" w:sz="4" w:space="0" w:color="auto"/>
            </w:tcBorders>
            <w:shd w:val="clear" w:color="auto" w:fill="D9E2F3"/>
            <w:noWrap/>
            <w:vAlign w:val="center"/>
          </w:tcPr>
          <w:p w14:paraId="55654EA7" w14:textId="77777777" w:rsidR="00DA0E15" w:rsidRDefault="00DA0E15">
            <w:pPr>
              <w:spacing w:before="0" w:after="0" w:line="259" w:lineRule="auto"/>
              <w:ind w:firstLine="0"/>
              <w:jc w:val="left"/>
              <w:rPr>
                <w:rFonts w:cs="Calibri Light"/>
                <w:bCs w:val="0"/>
                <w:sz w:val="16"/>
                <w:szCs w:val="16"/>
                <w:lang w:val="hy-AM"/>
              </w:rPr>
            </w:pPr>
          </w:p>
        </w:tc>
        <w:tc>
          <w:tcPr>
            <w:tcW w:w="1309" w:type="dxa"/>
            <w:tcBorders>
              <w:top w:val="single" w:sz="4" w:space="0" w:color="auto"/>
            </w:tcBorders>
            <w:shd w:val="clear" w:color="auto" w:fill="D9E2F3"/>
            <w:noWrap/>
            <w:vAlign w:val="center"/>
          </w:tcPr>
          <w:p w14:paraId="2A8742F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2019 թվականի վերջ</w:t>
            </w:r>
          </w:p>
        </w:tc>
        <w:tc>
          <w:tcPr>
            <w:tcW w:w="902" w:type="dxa"/>
            <w:tcBorders>
              <w:top w:val="single" w:sz="4" w:space="0" w:color="auto"/>
            </w:tcBorders>
            <w:shd w:val="clear" w:color="auto" w:fill="D9E2F3"/>
            <w:noWrap/>
            <w:vAlign w:val="center"/>
          </w:tcPr>
          <w:p w14:paraId="2220156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2018</w:t>
            </w:r>
          </w:p>
        </w:tc>
        <w:tc>
          <w:tcPr>
            <w:tcW w:w="837" w:type="dxa"/>
            <w:tcBorders>
              <w:top w:val="single" w:sz="4" w:space="0" w:color="auto"/>
            </w:tcBorders>
            <w:shd w:val="clear" w:color="auto" w:fill="D9E2F3"/>
            <w:noWrap/>
            <w:vAlign w:val="center"/>
          </w:tcPr>
          <w:p w14:paraId="43E2FCC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2019</w:t>
            </w:r>
          </w:p>
        </w:tc>
        <w:tc>
          <w:tcPr>
            <w:tcW w:w="784" w:type="dxa"/>
            <w:tcBorders>
              <w:top w:val="single" w:sz="4" w:space="0" w:color="auto"/>
            </w:tcBorders>
            <w:shd w:val="clear" w:color="auto" w:fill="D9E2F3"/>
            <w:noWrap/>
            <w:vAlign w:val="center"/>
          </w:tcPr>
          <w:p w14:paraId="7608DDCC"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2018</w:t>
            </w:r>
          </w:p>
        </w:tc>
        <w:tc>
          <w:tcPr>
            <w:tcW w:w="808" w:type="dxa"/>
            <w:tcBorders>
              <w:top w:val="single" w:sz="4" w:space="0" w:color="auto"/>
            </w:tcBorders>
            <w:shd w:val="clear" w:color="auto" w:fill="D9E2F3"/>
            <w:noWrap/>
            <w:vAlign w:val="center"/>
          </w:tcPr>
          <w:p w14:paraId="4D31C41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2019</w:t>
            </w:r>
          </w:p>
        </w:tc>
        <w:tc>
          <w:tcPr>
            <w:tcW w:w="851" w:type="dxa"/>
            <w:tcBorders>
              <w:top w:val="single" w:sz="4" w:space="0" w:color="auto"/>
            </w:tcBorders>
            <w:shd w:val="clear" w:color="auto" w:fill="D9E2F3"/>
            <w:vAlign w:val="center"/>
          </w:tcPr>
          <w:p w14:paraId="093C45E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2020</w:t>
            </w:r>
          </w:p>
        </w:tc>
        <w:tc>
          <w:tcPr>
            <w:tcW w:w="1160" w:type="dxa"/>
            <w:tcBorders>
              <w:top w:val="single" w:sz="4" w:space="0" w:color="auto"/>
            </w:tcBorders>
            <w:shd w:val="clear" w:color="auto" w:fill="D9E2F3"/>
            <w:noWrap/>
            <w:vAlign w:val="center"/>
          </w:tcPr>
          <w:p w14:paraId="6852747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2019</w:t>
            </w:r>
          </w:p>
        </w:tc>
        <w:tc>
          <w:tcPr>
            <w:tcW w:w="870" w:type="dxa"/>
            <w:tcBorders>
              <w:top w:val="single" w:sz="4" w:space="0" w:color="auto"/>
            </w:tcBorders>
            <w:shd w:val="clear" w:color="auto" w:fill="D9E2F3"/>
            <w:noWrap/>
            <w:vAlign w:val="center"/>
          </w:tcPr>
          <w:p w14:paraId="3E4A4F3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2019</w:t>
            </w:r>
          </w:p>
        </w:tc>
        <w:tc>
          <w:tcPr>
            <w:tcW w:w="1290" w:type="dxa"/>
            <w:tcBorders>
              <w:top w:val="single" w:sz="4" w:space="0" w:color="auto"/>
            </w:tcBorders>
            <w:shd w:val="clear" w:color="auto" w:fill="D9E2F3"/>
            <w:noWrap/>
            <w:vAlign w:val="center"/>
          </w:tcPr>
          <w:p w14:paraId="43CD0ED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Ֆիսկալ ռիկսի կարգավիճակ</w:t>
            </w:r>
          </w:p>
        </w:tc>
      </w:tr>
      <w:tr w:rsidR="00DA0E15" w14:paraId="6F6E7F2D"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25B80616" w14:textId="77777777" w:rsidR="00DA0E15" w:rsidRDefault="00362131">
            <w:pPr>
              <w:spacing w:before="0" w:after="0" w:line="259" w:lineRule="auto"/>
              <w:ind w:firstLine="0"/>
              <w:jc w:val="left"/>
              <w:rPr>
                <w:rFonts w:cs="Calibri Light"/>
                <w:bCs w:val="0"/>
                <w:sz w:val="16"/>
                <w:szCs w:val="16"/>
                <w:lang w:val="hy-AM"/>
              </w:rPr>
            </w:pPr>
            <w:r>
              <w:rPr>
                <w:rFonts w:eastAsia="Times New Roman" w:cs="Times New Roman"/>
                <w:b w:val="0"/>
                <w:sz w:val="16"/>
                <w:szCs w:val="16"/>
                <w:lang w:val="hy-AM"/>
              </w:rPr>
              <w:t>«Երևանի ջերմաէլեկտրակենտրոն  ՓԲԸ</w:t>
            </w:r>
          </w:p>
        </w:tc>
        <w:tc>
          <w:tcPr>
            <w:tcW w:w="1309" w:type="dxa"/>
            <w:noWrap/>
            <w:vAlign w:val="center"/>
          </w:tcPr>
          <w:p w14:paraId="1FCE34F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116,817</w:t>
            </w:r>
          </w:p>
        </w:tc>
        <w:tc>
          <w:tcPr>
            <w:tcW w:w="902" w:type="dxa"/>
            <w:noWrap/>
            <w:vAlign w:val="center"/>
          </w:tcPr>
          <w:p w14:paraId="44D2995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94,238</w:t>
            </w:r>
          </w:p>
        </w:tc>
        <w:tc>
          <w:tcPr>
            <w:tcW w:w="837" w:type="dxa"/>
            <w:noWrap/>
            <w:vAlign w:val="center"/>
          </w:tcPr>
          <w:p w14:paraId="5E51352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74,975</w:t>
            </w:r>
          </w:p>
        </w:tc>
        <w:tc>
          <w:tcPr>
            <w:tcW w:w="784" w:type="dxa"/>
            <w:noWrap/>
            <w:vAlign w:val="center"/>
          </w:tcPr>
          <w:p w14:paraId="6C71333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41</w:t>
            </w:r>
          </w:p>
        </w:tc>
        <w:tc>
          <w:tcPr>
            <w:tcW w:w="808" w:type="dxa"/>
            <w:noWrap/>
            <w:vAlign w:val="center"/>
          </w:tcPr>
          <w:p w14:paraId="4DC6D69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1,262</w:t>
            </w:r>
          </w:p>
        </w:tc>
        <w:tc>
          <w:tcPr>
            <w:tcW w:w="851" w:type="dxa"/>
            <w:vAlign w:val="center"/>
          </w:tcPr>
          <w:p w14:paraId="60224FD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color w:val="000000"/>
                <w:sz w:val="18"/>
                <w:szCs w:val="18"/>
                <w:lang w:val="hy-AM"/>
              </w:rPr>
              <w:t>(11,972)</w:t>
            </w:r>
          </w:p>
        </w:tc>
        <w:tc>
          <w:tcPr>
            <w:tcW w:w="1160" w:type="dxa"/>
            <w:noWrap/>
            <w:vAlign w:val="center"/>
          </w:tcPr>
          <w:p w14:paraId="1F5CE84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(17,527)</w:t>
            </w:r>
          </w:p>
        </w:tc>
        <w:tc>
          <w:tcPr>
            <w:tcW w:w="870" w:type="dxa"/>
            <w:noWrap/>
            <w:vAlign w:val="center"/>
          </w:tcPr>
          <w:p w14:paraId="4A47E67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145,619</w:t>
            </w:r>
          </w:p>
        </w:tc>
        <w:tc>
          <w:tcPr>
            <w:tcW w:w="1290" w:type="dxa"/>
            <w:noWrap/>
            <w:vAlign w:val="center"/>
          </w:tcPr>
          <w:p w14:paraId="4360B0E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Միջին</w:t>
            </w:r>
          </w:p>
        </w:tc>
      </w:tr>
      <w:tr w:rsidR="00DA0E15" w14:paraId="03A8E140"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7D11E093" w14:textId="77777777" w:rsidR="00DA0E15" w:rsidRDefault="00362131">
            <w:pPr>
              <w:spacing w:before="0" w:after="0" w:line="259" w:lineRule="auto"/>
              <w:ind w:firstLine="0"/>
              <w:jc w:val="left"/>
              <w:rPr>
                <w:rFonts w:cs="Calibri Light"/>
                <w:bCs w:val="0"/>
                <w:sz w:val="16"/>
                <w:szCs w:val="16"/>
                <w:lang w:val="hy-AM"/>
              </w:rPr>
            </w:pPr>
            <w:r>
              <w:rPr>
                <w:rFonts w:eastAsia="Times New Roman" w:cs="Times New Roman"/>
                <w:b w:val="0"/>
                <w:sz w:val="16"/>
                <w:szCs w:val="16"/>
                <w:lang w:val="hy-AM"/>
              </w:rPr>
              <w:t>«Հայկական ատոմային էլեկտրակայան ՓԲԸ</w:t>
            </w:r>
          </w:p>
        </w:tc>
        <w:tc>
          <w:tcPr>
            <w:tcW w:w="1309" w:type="dxa"/>
            <w:shd w:val="clear" w:color="auto" w:fill="D9E2F3"/>
            <w:noWrap/>
            <w:vAlign w:val="center"/>
          </w:tcPr>
          <w:p w14:paraId="31E151B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97,370</w:t>
            </w:r>
          </w:p>
        </w:tc>
        <w:tc>
          <w:tcPr>
            <w:tcW w:w="902" w:type="dxa"/>
            <w:shd w:val="clear" w:color="auto" w:fill="D9E2F3"/>
            <w:noWrap/>
            <w:vAlign w:val="center"/>
          </w:tcPr>
          <w:p w14:paraId="2C091CD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17,437</w:t>
            </w:r>
          </w:p>
        </w:tc>
        <w:tc>
          <w:tcPr>
            <w:tcW w:w="837" w:type="dxa"/>
            <w:shd w:val="clear" w:color="auto" w:fill="D9E2F3"/>
            <w:noWrap/>
            <w:vAlign w:val="center"/>
          </w:tcPr>
          <w:p w14:paraId="74A36C5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22,655</w:t>
            </w:r>
          </w:p>
        </w:tc>
        <w:tc>
          <w:tcPr>
            <w:tcW w:w="784" w:type="dxa"/>
            <w:shd w:val="clear" w:color="auto" w:fill="D9E2F3"/>
            <w:noWrap/>
            <w:vAlign w:val="center"/>
          </w:tcPr>
          <w:p w14:paraId="3C814850"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3,166)</w:t>
            </w:r>
          </w:p>
        </w:tc>
        <w:tc>
          <w:tcPr>
            <w:tcW w:w="808" w:type="dxa"/>
            <w:shd w:val="clear" w:color="auto" w:fill="D9E2F3"/>
            <w:noWrap/>
            <w:vAlign w:val="center"/>
          </w:tcPr>
          <w:p w14:paraId="46BFE9C6"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(1,363)</w:t>
            </w:r>
          </w:p>
        </w:tc>
        <w:tc>
          <w:tcPr>
            <w:tcW w:w="851" w:type="dxa"/>
            <w:shd w:val="clear" w:color="auto" w:fill="D9E2F3"/>
            <w:vAlign w:val="center"/>
          </w:tcPr>
          <w:p w14:paraId="4B781A0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color w:val="000000"/>
                <w:sz w:val="18"/>
                <w:szCs w:val="18"/>
                <w:lang w:val="hy-AM"/>
              </w:rPr>
              <w:t>(12,797)</w:t>
            </w:r>
          </w:p>
        </w:tc>
        <w:tc>
          <w:tcPr>
            <w:tcW w:w="1160" w:type="dxa"/>
            <w:shd w:val="clear" w:color="auto" w:fill="D9E2F3"/>
            <w:noWrap/>
            <w:vAlign w:val="center"/>
          </w:tcPr>
          <w:p w14:paraId="598C9614"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30,671</w:t>
            </w:r>
          </w:p>
        </w:tc>
        <w:tc>
          <w:tcPr>
            <w:tcW w:w="870" w:type="dxa"/>
            <w:shd w:val="clear" w:color="auto" w:fill="D9E2F3"/>
            <w:noWrap/>
            <w:vAlign w:val="center"/>
          </w:tcPr>
          <w:p w14:paraId="016654F0"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129,767</w:t>
            </w:r>
          </w:p>
        </w:tc>
        <w:tc>
          <w:tcPr>
            <w:tcW w:w="1290" w:type="dxa"/>
            <w:shd w:val="clear" w:color="auto" w:fill="D9E2F3"/>
            <w:noWrap/>
            <w:vAlign w:val="center"/>
          </w:tcPr>
          <w:p w14:paraId="4DD51C3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Էական</w:t>
            </w:r>
          </w:p>
        </w:tc>
      </w:tr>
      <w:tr w:rsidR="00DA0E15" w14:paraId="61F5CA65"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00D5FCB7" w14:textId="77777777" w:rsidR="00DA0E15" w:rsidRDefault="00362131">
            <w:pPr>
              <w:spacing w:before="0" w:after="0" w:line="259" w:lineRule="auto"/>
              <w:ind w:firstLine="0"/>
              <w:jc w:val="left"/>
              <w:rPr>
                <w:rFonts w:cs="Calibri Light"/>
                <w:bCs w:val="0"/>
                <w:sz w:val="16"/>
                <w:szCs w:val="16"/>
                <w:lang w:val="hy-AM"/>
              </w:rPr>
            </w:pPr>
            <w:r>
              <w:rPr>
                <w:rFonts w:eastAsia="Times New Roman" w:cs="Times New Roman"/>
                <w:b w:val="0"/>
                <w:sz w:val="16"/>
                <w:szCs w:val="16"/>
                <w:lang w:val="hy-AM"/>
              </w:rPr>
              <w:t>«Բարձրավոլտ էլեկտրական ցանցեր ՓԲԸ</w:t>
            </w:r>
          </w:p>
        </w:tc>
        <w:tc>
          <w:tcPr>
            <w:tcW w:w="1309" w:type="dxa"/>
            <w:noWrap/>
            <w:vAlign w:val="center"/>
          </w:tcPr>
          <w:p w14:paraId="2C4CAF4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77,684</w:t>
            </w:r>
          </w:p>
        </w:tc>
        <w:tc>
          <w:tcPr>
            <w:tcW w:w="902" w:type="dxa"/>
            <w:noWrap/>
            <w:vAlign w:val="center"/>
          </w:tcPr>
          <w:p w14:paraId="14EC21F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7,857</w:t>
            </w:r>
          </w:p>
        </w:tc>
        <w:tc>
          <w:tcPr>
            <w:tcW w:w="837" w:type="dxa"/>
            <w:noWrap/>
            <w:vAlign w:val="center"/>
          </w:tcPr>
          <w:p w14:paraId="41E0AFE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7,699</w:t>
            </w:r>
          </w:p>
        </w:tc>
        <w:tc>
          <w:tcPr>
            <w:tcW w:w="784" w:type="dxa"/>
            <w:noWrap/>
            <w:vAlign w:val="center"/>
          </w:tcPr>
          <w:p w14:paraId="63CA0474"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2,440</w:t>
            </w:r>
          </w:p>
        </w:tc>
        <w:tc>
          <w:tcPr>
            <w:tcW w:w="808" w:type="dxa"/>
            <w:noWrap/>
            <w:vAlign w:val="center"/>
          </w:tcPr>
          <w:p w14:paraId="5819C72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2,439</w:t>
            </w:r>
          </w:p>
        </w:tc>
        <w:tc>
          <w:tcPr>
            <w:tcW w:w="851" w:type="dxa"/>
            <w:vAlign w:val="center"/>
          </w:tcPr>
          <w:p w14:paraId="6FF939E4"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color w:val="000000"/>
                <w:sz w:val="18"/>
                <w:szCs w:val="18"/>
                <w:lang w:val="hy-AM"/>
              </w:rPr>
              <w:t>-</w:t>
            </w:r>
          </w:p>
        </w:tc>
        <w:tc>
          <w:tcPr>
            <w:tcW w:w="1160" w:type="dxa"/>
            <w:noWrap/>
            <w:vAlign w:val="center"/>
          </w:tcPr>
          <w:p w14:paraId="472ED82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15,849</w:t>
            </w:r>
          </w:p>
        </w:tc>
        <w:tc>
          <w:tcPr>
            <w:tcW w:w="870" w:type="dxa"/>
            <w:noWrap/>
            <w:vAlign w:val="center"/>
          </w:tcPr>
          <w:p w14:paraId="6B27924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93,894</w:t>
            </w:r>
          </w:p>
        </w:tc>
        <w:tc>
          <w:tcPr>
            <w:tcW w:w="1290" w:type="dxa"/>
            <w:noWrap/>
            <w:vAlign w:val="center"/>
          </w:tcPr>
          <w:p w14:paraId="6824AC60"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7EA8A1AC"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2D6277A2" w14:textId="77777777" w:rsidR="00DA0E15" w:rsidRDefault="00362131">
            <w:pPr>
              <w:spacing w:before="0" w:after="0" w:line="259" w:lineRule="auto"/>
              <w:ind w:firstLine="0"/>
              <w:jc w:val="left"/>
              <w:rPr>
                <w:rFonts w:cs="Calibri Light"/>
                <w:bCs w:val="0"/>
                <w:sz w:val="16"/>
                <w:szCs w:val="16"/>
                <w:lang w:val="hy-AM"/>
              </w:rPr>
            </w:pPr>
            <w:r>
              <w:rPr>
                <w:rFonts w:eastAsia="Times New Roman" w:cs="Times New Roman"/>
                <w:b w:val="0"/>
                <w:sz w:val="16"/>
                <w:szCs w:val="16"/>
                <w:lang w:val="hy-AM"/>
              </w:rPr>
              <w:t xml:space="preserve">«Էլեկտրաէներգետիկական համակարգի օպերատոր» </w:t>
            </w:r>
            <w:r>
              <w:rPr>
                <w:rFonts w:ascii="Calibri" w:eastAsia="Times New Roman" w:hAnsi="Calibri" w:cs="Calibri"/>
                <w:b w:val="0"/>
                <w:sz w:val="16"/>
                <w:szCs w:val="16"/>
                <w:lang w:val="hy-AM"/>
              </w:rPr>
              <w:t> </w:t>
            </w:r>
            <w:r>
              <w:rPr>
                <w:rFonts w:eastAsia="Times New Roman" w:cs="Times New Roman"/>
                <w:b w:val="0"/>
                <w:sz w:val="16"/>
                <w:szCs w:val="16"/>
                <w:lang w:val="hy-AM"/>
              </w:rPr>
              <w:t>ՓԲԸ</w:t>
            </w:r>
          </w:p>
        </w:tc>
        <w:tc>
          <w:tcPr>
            <w:tcW w:w="1309" w:type="dxa"/>
            <w:shd w:val="clear" w:color="auto" w:fill="D9E2F3"/>
            <w:noWrap/>
            <w:vAlign w:val="center"/>
          </w:tcPr>
          <w:p w14:paraId="35944DC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7,906</w:t>
            </w:r>
          </w:p>
        </w:tc>
        <w:tc>
          <w:tcPr>
            <w:tcW w:w="902" w:type="dxa"/>
            <w:shd w:val="clear" w:color="auto" w:fill="D9E2F3"/>
            <w:noWrap/>
            <w:vAlign w:val="center"/>
          </w:tcPr>
          <w:p w14:paraId="1577BF0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1,924</w:t>
            </w:r>
          </w:p>
        </w:tc>
        <w:tc>
          <w:tcPr>
            <w:tcW w:w="837" w:type="dxa"/>
            <w:shd w:val="clear" w:color="auto" w:fill="D9E2F3"/>
            <w:noWrap/>
            <w:vAlign w:val="center"/>
          </w:tcPr>
          <w:p w14:paraId="2DE8482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1,909</w:t>
            </w:r>
          </w:p>
        </w:tc>
        <w:tc>
          <w:tcPr>
            <w:tcW w:w="784" w:type="dxa"/>
            <w:shd w:val="clear" w:color="auto" w:fill="D9E2F3"/>
            <w:noWrap/>
            <w:vAlign w:val="center"/>
          </w:tcPr>
          <w:p w14:paraId="4326085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6</w:t>
            </w:r>
          </w:p>
        </w:tc>
        <w:tc>
          <w:tcPr>
            <w:tcW w:w="808" w:type="dxa"/>
            <w:shd w:val="clear" w:color="auto" w:fill="D9E2F3"/>
            <w:noWrap/>
            <w:vAlign w:val="center"/>
          </w:tcPr>
          <w:p w14:paraId="251AE69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18</w:t>
            </w:r>
          </w:p>
        </w:tc>
        <w:tc>
          <w:tcPr>
            <w:tcW w:w="851" w:type="dxa"/>
            <w:shd w:val="clear" w:color="auto" w:fill="D9E2F3"/>
            <w:vAlign w:val="center"/>
          </w:tcPr>
          <w:p w14:paraId="140C3746"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color w:val="000000"/>
                <w:sz w:val="18"/>
                <w:szCs w:val="18"/>
                <w:lang w:val="hy-AM"/>
              </w:rPr>
              <w:t>(839)</w:t>
            </w:r>
          </w:p>
        </w:tc>
        <w:tc>
          <w:tcPr>
            <w:tcW w:w="1160" w:type="dxa"/>
            <w:shd w:val="clear" w:color="auto" w:fill="D9E2F3"/>
            <w:noWrap/>
            <w:vAlign w:val="center"/>
          </w:tcPr>
          <w:p w14:paraId="33B12FC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2,676</w:t>
            </w:r>
          </w:p>
        </w:tc>
        <w:tc>
          <w:tcPr>
            <w:tcW w:w="870" w:type="dxa"/>
            <w:shd w:val="clear" w:color="auto" w:fill="D9E2F3"/>
            <w:noWrap/>
            <w:vAlign w:val="center"/>
          </w:tcPr>
          <w:p w14:paraId="2F83AE3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512</w:t>
            </w:r>
          </w:p>
        </w:tc>
        <w:tc>
          <w:tcPr>
            <w:tcW w:w="1290" w:type="dxa"/>
            <w:shd w:val="clear" w:color="auto" w:fill="D9E2F3"/>
            <w:noWrap/>
            <w:vAlign w:val="center"/>
          </w:tcPr>
          <w:p w14:paraId="69BFD05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6E50E20E"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264F3E4B" w14:textId="77777777" w:rsidR="00DA0E15" w:rsidRDefault="00362131">
            <w:pPr>
              <w:spacing w:before="0" w:after="0" w:line="259" w:lineRule="auto"/>
              <w:ind w:firstLine="0"/>
              <w:jc w:val="left"/>
              <w:rPr>
                <w:rFonts w:cs="Calibri Light"/>
                <w:bCs w:val="0"/>
                <w:sz w:val="16"/>
                <w:szCs w:val="16"/>
                <w:lang w:val="hy-AM"/>
              </w:rPr>
            </w:pPr>
            <w:r>
              <w:rPr>
                <w:rFonts w:eastAsia="Times New Roman" w:cs="Times New Roman"/>
                <w:b w:val="0"/>
                <w:sz w:val="16"/>
                <w:szCs w:val="16"/>
                <w:lang w:val="hy-AM"/>
              </w:rPr>
              <w:t>Կարեն Դեմիրճյանի անվան Երևանի մետրոպոլիտեն ՓԲԸ</w:t>
            </w:r>
          </w:p>
        </w:tc>
        <w:tc>
          <w:tcPr>
            <w:tcW w:w="1309" w:type="dxa"/>
            <w:noWrap/>
            <w:vAlign w:val="center"/>
          </w:tcPr>
          <w:p w14:paraId="491591F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5,262</w:t>
            </w:r>
          </w:p>
        </w:tc>
        <w:tc>
          <w:tcPr>
            <w:tcW w:w="902" w:type="dxa"/>
            <w:noWrap/>
            <w:vAlign w:val="center"/>
          </w:tcPr>
          <w:p w14:paraId="5B8EB9C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1,725</w:t>
            </w:r>
          </w:p>
        </w:tc>
        <w:tc>
          <w:tcPr>
            <w:tcW w:w="837" w:type="dxa"/>
            <w:noWrap/>
            <w:vAlign w:val="center"/>
          </w:tcPr>
          <w:p w14:paraId="0D7AE95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1,886</w:t>
            </w:r>
          </w:p>
        </w:tc>
        <w:tc>
          <w:tcPr>
            <w:tcW w:w="784" w:type="dxa"/>
            <w:noWrap/>
            <w:vAlign w:val="center"/>
          </w:tcPr>
          <w:p w14:paraId="3F561F0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877</w:t>
            </w:r>
          </w:p>
        </w:tc>
        <w:tc>
          <w:tcPr>
            <w:tcW w:w="808" w:type="dxa"/>
            <w:noWrap/>
            <w:vAlign w:val="center"/>
          </w:tcPr>
          <w:p w14:paraId="65F0E50C"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790</w:t>
            </w:r>
          </w:p>
        </w:tc>
        <w:tc>
          <w:tcPr>
            <w:tcW w:w="851" w:type="dxa"/>
            <w:vAlign w:val="center"/>
          </w:tcPr>
          <w:p w14:paraId="658FDC3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color w:val="000000"/>
                <w:sz w:val="18"/>
                <w:szCs w:val="18"/>
                <w:lang w:val="hy-AM"/>
              </w:rPr>
              <w:t>(1,220)</w:t>
            </w:r>
          </w:p>
        </w:tc>
        <w:tc>
          <w:tcPr>
            <w:tcW w:w="1160" w:type="dxa"/>
            <w:noWrap/>
            <w:vAlign w:val="center"/>
          </w:tcPr>
          <w:p w14:paraId="5B00288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1,777</w:t>
            </w:r>
          </w:p>
        </w:tc>
        <w:tc>
          <w:tcPr>
            <w:tcW w:w="870" w:type="dxa"/>
            <w:noWrap/>
            <w:vAlign w:val="center"/>
          </w:tcPr>
          <w:p w14:paraId="301FE19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5,903</w:t>
            </w:r>
          </w:p>
        </w:tc>
        <w:tc>
          <w:tcPr>
            <w:tcW w:w="1290" w:type="dxa"/>
            <w:noWrap/>
            <w:vAlign w:val="center"/>
          </w:tcPr>
          <w:p w14:paraId="521E452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62BF7EB4"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2FFD25F4"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Նորք Մարաշ բժշկական կենտրոն ՓԲԸ</w:t>
            </w:r>
          </w:p>
        </w:tc>
        <w:tc>
          <w:tcPr>
            <w:tcW w:w="1309" w:type="dxa"/>
            <w:shd w:val="clear" w:color="auto" w:fill="D9E2F3"/>
            <w:noWrap/>
            <w:vAlign w:val="center"/>
          </w:tcPr>
          <w:p w14:paraId="1DA5C6A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3,247</w:t>
            </w:r>
          </w:p>
        </w:tc>
        <w:tc>
          <w:tcPr>
            <w:tcW w:w="902" w:type="dxa"/>
            <w:shd w:val="clear" w:color="auto" w:fill="D9E2F3"/>
            <w:noWrap/>
            <w:vAlign w:val="center"/>
          </w:tcPr>
          <w:p w14:paraId="7BC2B34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3,671</w:t>
            </w:r>
          </w:p>
        </w:tc>
        <w:tc>
          <w:tcPr>
            <w:tcW w:w="837" w:type="dxa"/>
            <w:shd w:val="clear" w:color="auto" w:fill="D9E2F3"/>
            <w:noWrap/>
            <w:vAlign w:val="center"/>
          </w:tcPr>
          <w:p w14:paraId="7765B1D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4,945</w:t>
            </w:r>
          </w:p>
        </w:tc>
        <w:tc>
          <w:tcPr>
            <w:tcW w:w="784" w:type="dxa"/>
            <w:shd w:val="clear" w:color="auto" w:fill="D9E2F3"/>
            <w:noWrap/>
            <w:vAlign w:val="center"/>
          </w:tcPr>
          <w:p w14:paraId="136484B6"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(1,761)</w:t>
            </w:r>
          </w:p>
        </w:tc>
        <w:tc>
          <w:tcPr>
            <w:tcW w:w="808" w:type="dxa"/>
            <w:shd w:val="clear" w:color="auto" w:fill="D9E2F3"/>
            <w:noWrap/>
            <w:vAlign w:val="center"/>
          </w:tcPr>
          <w:p w14:paraId="1243FA7C"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39</w:t>
            </w:r>
          </w:p>
        </w:tc>
        <w:tc>
          <w:tcPr>
            <w:tcW w:w="851" w:type="dxa"/>
            <w:shd w:val="clear" w:color="auto" w:fill="D9E2F3"/>
            <w:vAlign w:val="center"/>
          </w:tcPr>
          <w:p w14:paraId="54ED1BA5" w14:textId="77777777" w:rsidR="00DA0E15" w:rsidRDefault="00DA0E15">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shd w:val="clear" w:color="auto" w:fill="D9E2F3"/>
            <w:noWrap/>
            <w:vAlign w:val="center"/>
          </w:tcPr>
          <w:p w14:paraId="274A766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(402)</w:t>
            </w:r>
          </w:p>
        </w:tc>
        <w:tc>
          <w:tcPr>
            <w:tcW w:w="870" w:type="dxa"/>
            <w:shd w:val="clear" w:color="auto" w:fill="D9E2F3"/>
            <w:noWrap/>
            <w:vAlign w:val="center"/>
          </w:tcPr>
          <w:p w14:paraId="6EAD827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5,741</w:t>
            </w:r>
          </w:p>
        </w:tc>
        <w:tc>
          <w:tcPr>
            <w:tcW w:w="1290" w:type="dxa"/>
            <w:shd w:val="clear" w:color="auto" w:fill="D9E2F3"/>
            <w:noWrap/>
            <w:vAlign w:val="center"/>
          </w:tcPr>
          <w:p w14:paraId="1172234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Էական</w:t>
            </w:r>
          </w:p>
        </w:tc>
      </w:tr>
      <w:tr w:rsidR="00DA0E15" w14:paraId="6516166F"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676CB686"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Ռադիոիզոտոպների արտադրության կենտրոն ՓԲԸ</w:t>
            </w:r>
          </w:p>
        </w:tc>
        <w:tc>
          <w:tcPr>
            <w:tcW w:w="1309" w:type="dxa"/>
            <w:noWrap/>
            <w:vAlign w:val="center"/>
          </w:tcPr>
          <w:p w14:paraId="50A32B8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2,196</w:t>
            </w:r>
          </w:p>
        </w:tc>
        <w:tc>
          <w:tcPr>
            <w:tcW w:w="902" w:type="dxa"/>
            <w:noWrap/>
            <w:vAlign w:val="center"/>
          </w:tcPr>
          <w:p w14:paraId="1ECA267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w:t>
            </w:r>
          </w:p>
        </w:tc>
        <w:tc>
          <w:tcPr>
            <w:tcW w:w="837" w:type="dxa"/>
            <w:noWrap/>
            <w:vAlign w:val="center"/>
          </w:tcPr>
          <w:p w14:paraId="4C31D109"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w:t>
            </w:r>
          </w:p>
        </w:tc>
        <w:tc>
          <w:tcPr>
            <w:tcW w:w="784" w:type="dxa"/>
            <w:noWrap/>
            <w:vAlign w:val="center"/>
          </w:tcPr>
          <w:p w14:paraId="2E2D162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(315)</w:t>
            </w:r>
          </w:p>
        </w:tc>
        <w:tc>
          <w:tcPr>
            <w:tcW w:w="808" w:type="dxa"/>
            <w:noWrap/>
            <w:vAlign w:val="center"/>
          </w:tcPr>
          <w:p w14:paraId="12B7550C"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(386)</w:t>
            </w:r>
          </w:p>
        </w:tc>
        <w:tc>
          <w:tcPr>
            <w:tcW w:w="851" w:type="dxa"/>
            <w:vAlign w:val="center"/>
          </w:tcPr>
          <w:p w14:paraId="1E466B6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color w:val="000000"/>
                <w:sz w:val="18"/>
                <w:szCs w:val="18"/>
                <w:lang w:val="hy-AM"/>
              </w:rPr>
              <w:t>(272)</w:t>
            </w:r>
          </w:p>
        </w:tc>
        <w:tc>
          <w:tcPr>
            <w:tcW w:w="1160" w:type="dxa"/>
            <w:noWrap/>
            <w:vAlign w:val="center"/>
          </w:tcPr>
          <w:p w14:paraId="0E93112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(1,462)</w:t>
            </w:r>
          </w:p>
        </w:tc>
        <w:tc>
          <w:tcPr>
            <w:tcW w:w="870" w:type="dxa"/>
            <w:noWrap/>
            <w:vAlign w:val="center"/>
          </w:tcPr>
          <w:p w14:paraId="3B06E57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2,889</w:t>
            </w:r>
          </w:p>
        </w:tc>
        <w:tc>
          <w:tcPr>
            <w:tcW w:w="1290" w:type="dxa"/>
            <w:noWrap/>
            <w:vAlign w:val="center"/>
          </w:tcPr>
          <w:p w14:paraId="129E7C5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Էական</w:t>
            </w:r>
          </w:p>
        </w:tc>
      </w:tr>
      <w:tr w:rsidR="00DA0E15" w14:paraId="1D48EEFD"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1B679CEF"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Համո Բեկնազարյանի անվան «Հայֆիլմ» կինոստուդիա ՓԲԸ</w:t>
            </w:r>
          </w:p>
        </w:tc>
        <w:tc>
          <w:tcPr>
            <w:tcW w:w="1309" w:type="dxa"/>
            <w:shd w:val="clear" w:color="auto" w:fill="D9E2F3"/>
            <w:noWrap/>
            <w:vAlign w:val="center"/>
          </w:tcPr>
          <w:p w14:paraId="70FC32E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144</w:t>
            </w:r>
          </w:p>
        </w:tc>
        <w:tc>
          <w:tcPr>
            <w:tcW w:w="902" w:type="dxa"/>
            <w:shd w:val="clear" w:color="auto" w:fill="D9E2F3"/>
            <w:noWrap/>
            <w:vAlign w:val="center"/>
          </w:tcPr>
          <w:p w14:paraId="163A671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17</w:t>
            </w:r>
          </w:p>
        </w:tc>
        <w:tc>
          <w:tcPr>
            <w:tcW w:w="837" w:type="dxa"/>
            <w:shd w:val="clear" w:color="auto" w:fill="D9E2F3"/>
            <w:noWrap/>
            <w:vAlign w:val="center"/>
          </w:tcPr>
          <w:p w14:paraId="5992CC94"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9</w:t>
            </w:r>
          </w:p>
        </w:tc>
        <w:tc>
          <w:tcPr>
            <w:tcW w:w="784" w:type="dxa"/>
            <w:shd w:val="clear" w:color="auto" w:fill="D9E2F3"/>
            <w:noWrap/>
            <w:vAlign w:val="center"/>
          </w:tcPr>
          <w:p w14:paraId="6FBF2C1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(13)</w:t>
            </w:r>
          </w:p>
        </w:tc>
        <w:tc>
          <w:tcPr>
            <w:tcW w:w="808" w:type="dxa"/>
            <w:shd w:val="clear" w:color="auto" w:fill="D9E2F3"/>
            <w:noWrap/>
            <w:vAlign w:val="center"/>
          </w:tcPr>
          <w:p w14:paraId="140A945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(25)</w:t>
            </w:r>
          </w:p>
        </w:tc>
        <w:tc>
          <w:tcPr>
            <w:tcW w:w="851" w:type="dxa"/>
            <w:shd w:val="clear" w:color="auto" w:fill="D9E2F3"/>
            <w:vAlign w:val="center"/>
          </w:tcPr>
          <w:p w14:paraId="74EAAE4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color w:val="000000"/>
                <w:sz w:val="18"/>
                <w:szCs w:val="18"/>
                <w:lang w:val="hy-AM"/>
              </w:rPr>
              <w:t>(28)</w:t>
            </w:r>
          </w:p>
        </w:tc>
        <w:tc>
          <w:tcPr>
            <w:tcW w:w="1160" w:type="dxa"/>
            <w:shd w:val="clear" w:color="auto" w:fill="D9E2F3"/>
            <w:noWrap/>
            <w:vAlign w:val="center"/>
          </w:tcPr>
          <w:p w14:paraId="6A2D4C69"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(811)</w:t>
            </w:r>
          </w:p>
        </w:tc>
        <w:tc>
          <w:tcPr>
            <w:tcW w:w="870" w:type="dxa"/>
            <w:shd w:val="clear" w:color="auto" w:fill="D9E2F3"/>
            <w:noWrap/>
            <w:vAlign w:val="center"/>
          </w:tcPr>
          <w:p w14:paraId="66D937F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495</w:t>
            </w:r>
          </w:p>
        </w:tc>
        <w:tc>
          <w:tcPr>
            <w:tcW w:w="1290" w:type="dxa"/>
            <w:shd w:val="clear" w:color="auto" w:fill="D9E2F3"/>
            <w:noWrap/>
            <w:vAlign w:val="center"/>
          </w:tcPr>
          <w:p w14:paraId="364557E0"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Էական</w:t>
            </w:r>
          </w:p>
        </w:tc>
      </w:tr>
      <w:tr w:rsidR="00DA0E15" w14:paraId="5E0B65F2"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120525BF"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«Ավտոմատիկա» ՓԲԸ</w:t>
            </w:r>
          </w:p>
        </w:tc>
        <w:tc>
          <w:tcPr>
            <w:tcW w:w="1309" w:type="dxa"/>
            <w:noWrap/>
            <w:vAlign w:val="center"/>
          </w:tcPr>
          <w:p w14:paraId="6A85CEF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135</w:t>
            </w:r>
          </w:p>
        </w:tc>
        <w:tc>
          <w:tcPr>
            <w:tcW w:w="902" w:type="dxa"/>
            <w:noWrap/>
            <w:vAlign w:val="center"/>
          </w:tcPr>
          <w:p w14:paraId="2A6133D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w:t>
            </w:r>
          </w:p>
        </w:tc>
        <w:tc>
          <w:tcPr>
            <w:tcW w:w="837" w:type="dxa"/>
            <w:noWrap/>
            <w:vAlign w:val="center"/>
          </w:tcPr>
          <w:p w14:paraId="6E0DB636"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w:t>
            </w:r>
          </w:p>
        </w:tc>
        <w:tc>
          <w:tcPr>
            <w:tcW w:w="784" w:type="dxa"/>
            <w:noWrap/>
            <w:vAlign w:val="center"/>
          </w:tcPr>
          <w:p w14:paraId="1F1414E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(37)</w:t>
            </w:r>
          </w:p>
        </w:tc>
        <w:tc>
          <w:tcPr>
            <w:tcW w:w="808" w:type="dxa"/>
            <w:noWrap/>
            <w:vAlign w:val="center"/>
          </w:tcPr>
          <w:p w14:paraId="6073A3BC"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(57)</w:t>
            </w:r>
          </w:p>
        </w:tc>
        <w:tc>
          <w:tcPr>
            <w:tcW w:w="851" w:type="dxa"/>
            <w:vAlign w:val="center"/>
          </w:tcPr>
          <w:p w14:paraId="4F5D42C1" w14:textId="77777777" w:rsidR="00DA0E15" w:rsidRDefault="00DA0E15">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noWrap/>
            <w:vAlign w:val="center"/>
          </w:tcPr>
          <w:p w14:paraId="47D6CFB0"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(321)</w:t>
            </w:r>
          </w:p>
        </w:tc>
        <w:tc>
          <w:tcPr>
            <w:tcW w:w="870" w:type="dxa"/>
            <w:noWrap/>
            <w:vAlign w:val="center"/>
          </w:tcPr>
          <w:p w14:paraId="16EA6A2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338</w:t>
            </w:r>
          </w:p>
        </w:tc>
        <w:tc>
          <w:tcPr>
            <w:tcW w:w="1290" w:type="dxa"/>
            <w:noWrap/>
            <w:vAlign w:val="center"/>
          </w:tcPr>
          <w:p w14:paraId="39F7447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Էական</w:t>
            </w:r>
          </w:p>
        </w:tc>
      </w:tr>
      <w:tr w:rsidR="00DA0E15" w14:paraId="16F4921E"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7652DC63"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Գյումրու բժշկական կենտրոն ՓԲԸ</w:t>
            </w:r>
          </w:p>
        </w:tc>
        <w:tc>
          <w:tcPr>
            <w:tcW w:w="1309" w:type="dxa"/>
            <w:shd w:val="clear" w:color="auto" w:fill="D9E2F3"/>
            <w:noWrap/>
            <w:vAlign w:val="center"/>
          </w:tcPr>
          <w:p w14:paraId="63DDBC3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76</w:t>
            </w:r>
          </w:p>
        </w:tc>
        <w:tc>
          <w:tcPr>
            <w:tcW w:w="902" w:type="dxa"/>
            <w:shd w:val="clear" w:color="auto" w:fill="D9E2F3"/>
            <w:noWrap/>
            <w:vAlign w:val="center"/>
          </w:tcPr>
          <w:p w14:paraId="4C8BA78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1,332</w:t>
            </w:r>
          </w:p>
        </w:tc>
        <w:tc>
          <w:tcPr>
            <w:tcW w:w="837" w:type="dxa"/>
            <w:shd w:val="clear" w:color="auto" w:fill="D9E2F3"/>
            <w:noWrap/>
            <w:vAlign w:val="center"/>
          </w:tcPr>
          <w:p w14:paraId="24A61246"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1,687</w:t>
            </w:r>
          </w:p>
        </w:tc>
        <w:tc>
          <w:tcPr>
            <w:tcW w:w="784" w:type="dxa"/>
            <w:shd w:val="clear" w:color="auto" w:fill="D9E2F3"/>
            <w:noWrap/>
            <w:vAlign w:val="center"/>
          </w:tcPr>
          <w:p w14:paraId="1217DE6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(10)</w:t>
            </w:r>
          </w:p>
        </w:tc>
        <w:tc>
          <w:tcPr>
            <w:tcW w:w="808" w:type="dxa"/>
            <w:shd w:val="clear" w:color="auto" w:fill="D9E2F3"/>
            <w:noWrap/>
            <w:vAlign w:val="center"/>
          </w:tcPr>
          <w:p w14:paraId="38BCAAA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w:t>
            </w:r>
          </w:p>
        </w:tc>
        <w:tc>
          <w:tcPr>
            <w:tcW w:w="851" w:type="dxa"/>
            <w:shd w:val="clear" w:color="auto" w:fill="D9E2F3"/>
            <w:vAlign w:val="center"/>
          </w:tcPr>
          <w:p w14:paraId="38EBA53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(81.8)</w:t>
            </w:r>
          </w:p>
        </w:tc>
        <w:tc>
          <w:tcPr>
            <w:tcW w:w="1160" w:type="dxa"/>
            <w:shd w:val="clear" w:color="auto" w:fill="D9E2F3"/>
            <w:noWrap/>
            <w:vAlign w:val="center"/>
          </w:tcPr>
          <w:p w14:paraId="432DA23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(478)</w:t>
            </w:r>
          </w:p>
        </w:tc>
        <w:tc>
          <w:tcPr>
            <w:tcW w:w="870" w:type="dxa"/>
            <w:shd w:val="clear" w:color="auto" w:fill="D9E2F3"/>
            <w:noWrap/>
            <w:vAlign w:val="center"/>
          </w:tcPr>
          <w:p w14:paraId="48B6030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1,169</w:t>
            </w:r>
          </w:p>
        </w:tc>
        <w:tc>
          <w:tcPr>
            <w:tcW w:w="1290" w:type="dxa"/>
            <w:shd w:val="clear" w:color="auto" w:fill="D9E2F3"/>
            <w:noWrap/>
            <w:vAlign w:val="center"/>
          </w:tcPr>
          <w:p w14:paraId="099E3F7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Միջին</w:t>
            </w:r>
          </w:p>
        </w:tc>
      </w:tr>
      <w:tr w:rsidR="00DA0E15" w14:paraId="5B8A8195"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3F9647FD"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«Հոգեկան առողջության պահպանման ազգային կենտրոն» ՓԲԸ</w:t>
            </w:r>
          </w:p>
        </w:tc>
        <w:tc>
          <w:tcPr>
            <w:tcW w:w="1309" w:type="dxa"/>
            <w:noWrap/>
            <w:vAlign w:val="center"/>
          </w:tcPr>
          <w:p w14:paraId="03548C8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69</w:t>
            </w:r>
          </w:p>
        </w:tc>
        <w:tc>
          <w:tcPr>
            <w:tcW w:w="902" w:type="dxa"/>
            <w:noWrap/>
            <w:vAlign w:val="center"/>
          </w:tcPr>
          <w:p w14:paraId="5D9EF14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801</w:t>
            </w:r>
          </w:p>
        </w:tc>
        <w:tc>
          <w:tcPr>
            <w:tcW w:w="837" w:type="dxa"/>
            <w:noWrap/>
            <w:vAlign w:val="center"/>
          </w:tcPr>
          <w:p w14:paraId="359BF8E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901</w:t>
            </w:r>
          </w:p>
        </w:tc>
        <w:tc>
          <w:tcPr>
            <w:tcW w:w="784" w:type="dxa"/>
            <w:noWrap/>
            <w:vAlign w:val="center"/>
          </w:tcPr>
          <w:p w14:paraId="3BA8B64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(57)</w:t>
            </w:r>
          </w:p>
        </w:tc>
        <w:tc>
          <w:tcPr>
            <w:tcW w:w="808" w:type="dxa"/>
            <w:noWrap/>
            <w:vAlign w:val="center"/>
          </w:tcPr>
          <w:p w14:paraId="526554A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25</w:t>
            </w:r>
          </w:p>
        </w:tc>
        <w:tc>
          <w:tcPr>
            <w:tcW w:w="851" w:type="dxa"/>
            <w:vAlign w:val="center"/>
          </w:tcPr>
          <w:p w14:paraId="146E41FF" w14:textId="77777777" w:rsidR="00DA0E15" w:rsidRDefault="00DA0E15">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noWrap/>
            <w:vAlign w:val="center"/>
          </w:tcPr>
          <w:p w14:paraId="64E6A29C"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w:t>
            </w:r>
          </w:p>
        </w:tc>
        <w:tc>
          <w:tcPr>
            <w:tcW w:w="870" w:type="dxa"/>
            <w:noWrap/>
            <w:vAlign w:val="center"/>
          </w:tcPr>
          <w:p w14:paraId="7EF925B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168</w:t>
            </w:r>
          </w:p>
        </w:tc>
        <w:tc>
          <w:tcPr>
            <w:tcW w:w="1290" w:type="dxa"/>
            <w:noWrap/>
            <w:vAlign w:val="center"/>
          </w:tcPr>
          <w:p w14:paraId="3729D98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Միջին</w:t>
            </w:r>
          </w:p>
        </w:tc>
      </w:tr>
      <w:tr w:rsidR="00DA0E15" w14:paraId="2A07032D"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6B9A08CB"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 xml:space="preserve">Սպիտակի բժշկական կենտրոն ՓԲԸ </w:t>
            </w:r>
          </w:p>
        </w:tc>
        <w:tc>
          <w:tcPr>
            <w:tcW w:w="1309" w:type="dxa"/>
            <w:shd w:val="clear" w:color="auto" w:fill="D9E2F3"/>
            <w:noWrap/>
            <w:vAlign w:val="center"/>
          </w:tcPr>
          <w:p w14:paraId="0F50418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24</w:t>
            </w:r>
          </w:p>
        </w:tc>
        <w:tc>
          <w:tcPr>
            <w:tcW w:w="902" w:type="dxa"/>
            <w:shd w:val="clear" w:color="auto" w:fill="D9E2F3"/>
            <w:noWrap/>
            <w:vAlign w:val="center"/>
          </w:tcPr>
          <w:p w14:paraId="14EE42D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458</w:t>
            </w:r>
          </w:p>
        </w:tc>
        <w:tc>
          <w:tcPr>
            <w:tcW w:w="837" w:type="dxa"/>
            <w:shd w:val="clear" w:color="auto" w:fill="D9E2F3"/>
            <w:noWrap/>
            <w:vAlign w:val="center"/>
          </w:tcPr>
          <w:p w14:paraId="1386FC70"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591</w:t>
            </w:r>
          </w:p>
        </w:tc>
        <w:tc>
          <w:tcPr>
            <w:tcW w:w="784" w:type="dxa"/>
            <w:shd w:val="clear" w:color="auto" w:fill="D9E2F3"/>
            <w:noWrap/>
            <w:vAlign w:val="center"/>
          </w:tcPr>
          <w:p w14:paraId="3C8F0F5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10</w:t>
            </w:r>
          </w:p>
        </w:tc>
        <w:tc>
          <w:tcPr>
            <w:tcW w:w="808" w:type="dxa"/>
            <w:shd w:val="clear" w:color="auto" w:fill="D9E2F3"/>
            <w:noWrap/>
            <w:vAlign w:val="center"/>
          </w:tcPr>
          <w:p w14:paraId="574CF88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22</w:t>
            </w:r>
          </w:p>
        </w:tc>
        <w:tc>
          <w:tcPr>
            <w:tcW w:w="851" w:type="dxa"/>
            <w:shd w:val="clear" w:color="auto" w:fill="D9E2F3"/>
            <w:vAlign w:val="center"/>
          </w:tcPr>
          <w:p w14:paraId="3EE6AD5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6.8</w:t>
            </w:r>
          </w:p>
        </w:tc>
        <w:tc>
          <w:tcPr>
            <w:tcW w:w="1160" w:type="dxa"/>
            <w:shd w:val="clear" w:color="auto" w:fill="D9E2F3"/>
            <w:noWrap/>
            <w:vAlign w:val="center"/>
          </w:tcPr>
          <w:p w14:paraId="329547E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(64)</w:t>
            </w:r>
          </w:p>
        </w:tc>
        <w:tc>
          <w:tcPr>
            <w:tcW w:w="870" w:type="dxa"/>
            <w:shd w:val="clear" w:color="auto" w:fill="D9E2F3"/>
            <w:noWrap/>
            <w:vAlign w:val="center"/>
          </w:tcPr>
          <w:p w14:paraId="23F3A26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181</w:t>
            </w:r>
          </w:p>
        </w:tc>
        <w:tc>
          <w:tcPr>
            <w:tcW w:w="1290" w:type="dxa"/>
            <w:shd w:val="clear" w:color="auto" w:fill="D9E2F3"/>
            <w:noWrap/>
            <w:vAlign w:val="center"/>
          </w:tcPr>
          <w:p w14:paraId="54AA72E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Միջին</w:t>
            </w:r>
          </w:p>
        </w:tc>
      </w:tr>
      <w:tr w:rsidR="00DA0E15" w14:paraId="311AA60C"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6A11A778"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Նաիրի բժշկական կենտրոն ՓԲԸ</w:t>
            </w:r>
          </w:p>
        </w:tc>
        <w:tc>
          <w:tcPr>
            <w:tcW w:w="1309" w:type="dxa"/>
            <w:noWrap/>
            <w:vAlign w:val="center"/>
          </w:tcPr>
          <w:p w14:paraId="4252836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24</w:t>
            </w:r>
          </w:p>
        </w:tc>
        <w:tc>
          <w:tcPr>
            <w:tcW w:w="902" w:type="dxa"/>
            <w:noWrap/>
            <w:vAlign w:val="center"/>
          </w:tcPr>
          <w:p w14:paraId="7288EED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326</w:t>
            </w:r>
          </w:p>
        </w:tc>
        <w:tc>
          <w:tcPr>
            <w:tcW w:w="837" w:type="dxa"/>
            <w:noWrap/>
            <w:vAlign w:val="center"/>
          </w:tcPr>
          <w:p w14:paraId="0A3EE2A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406</w:t>
            </w:r>
          </w:p>
        </w:tc>
        <w:tc>
          <w:tcPr>
            <w:tcW w:w="784" w:type="dxa"/>
            <w:noWrap/>
            <w:vAlign w:val="center"/>
          </w:tcPr>
          <w:p w14:paraId="2989FDF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w:t>
            </w:r>
          </w:p>
        </w:tc>
        <w:tc>
          <w:tcPr>
            <w:tcW w:w="808" w:type="dxa"/>
            <w:noWrap/>
            <w:vAlign w:val="center"/>
          </w:tcPr>
          <w:p w14:paraId="2DE058F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14</w:t>
            </w:r>
          </w:p>
        </w:tc>
        <w:tc>
          <w:tcPr>
            <w:tcW w:w="851" w:type="dxa"/>
            <w:vAlign w:val="center"/>
          </w:tcPr>
          <w:p w14:paraId="12C13DEB" w14:textId="77777777" w:rsidR="00DA0E15" w:rsidRDefault="00DA0E15">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noWrap/>
            <w:vAlign w:val="center"/>
          </w:tcPr>
          <w:p w14:paraId="1A71197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w:t>
            </w:r>
          </w:p>
        </w:tc>
        <w:tc>
          <w:tcPr>
            <w:tcW w:w="870" w:type="dxa"/>
            <w:noWrap/>
            <w:vAlign w:val="center"/>
          </w:tcPr>
          <w:p w14:paraId="7FEAD3C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237</w:t>
            </w:r>
          </w:p>
        </w:tc>
        <w:tc>
          <w:tcPr>
            <w:tcW w:w="1290" w:type="dxa"/>
            <w:noWrap/>
            <w:vAlign w:val="center"/>
          </w:tcPr>
          <w:p w14:paraId="6ECC5D0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3BCF5BF8"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6660EA9B"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Ալավերդու բժշկական կենտրոն ՓԲԸ</w:t>
            </w:r>
          </w:p>
        </w:tc>
        <w:tc>
          <w:tcPr>
            <w:tcW w:w="1309" w:type="dxa"/>
            <w:shd w:val="clear" w:color="auto" w:fill="D9E2F3"/>
            <w:noWrap/>
            <w:vAlign w:val="center"/>
          </w:tcPr>
          <w:p w14:paraId="2F152AC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21</w:t>
            </w:r>
          </w:p>
        </w:tc>
        <w:tc>
          <w:tcPr>
            <w:tcW w:w="902" w:type="dxa"/>
            <w:shd w:val="clear" w:color="auto" w:fill="D9E2F3"/>
            <w:noWrap/>
            <w:vAlign w:val="center"/>
          </w:tcPr>
          <w:p w14:paraId="5A15FDE9"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441</w:t>
            </w:r>
          </w:p>
        </w:tc>
        <w:tc>
          <w:tcPr>
            <w:tcW w:w="837" w:type="dxa"/>
            <w:shd w:val="clear" w:color="auto" w:fill="D9E2F3"/>
            <w:noWrap/>
            <w:vAlign w:val="center"/>
          </w:tcPr>
          <w:p w14:paraId="18BABEA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643</w:t>
            </w:r>
          </w:p>
        </w:tc>
        <w:tc>
          <w:tcPr>
            <w:tcW w:w="784" w:type="dxa"/>
            <w:shd w:val="clear" w:color="auto" w:fill="D9E2F3"/>
            <w:noWrap/>
            <w:vAlign w:val="center"/>
          </w:tcPr>
          <w:p w14:paraId="4F30821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w:t>
            </w:r>
          </w:p>
        </w:tc>
        <w:tc>
          <w:tcPr>
            <w:tcW w:w="808" w:type="dxa"/>
            <w:shd w:val="clear" w:color="auto" w:fill="D9E2F3"/>
            <w:noWrap/>
            <w:vAlign w:val="center"/>
          </w:tcPr>
          <w:p w14:paraId="12FC083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26</w:t>
            </w:r>
          </w:p>
        </w:tc>
        <w:tc>
          <w:tcPr>
            <w:tcW w:w="851" w:type="dxa"/>
            <w:shd w:val="clear" w:color="auto" w:fill="D9E2F3"/>
            <w:vAlign w:val="center"/>
          </w:tcPr>
          <w:p w14:paraId="69D33D74"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5.1</w:t>
            </w:r>
          </w:p>
        </w:tc>
        <w:tc>
          <w:tcPr>
            <w:tcW w:w="1160" w:type="dxa"/>
            <w:shd w:val="clear" w:color="auto" w:fill="D9E2F3"/>
            <w:noWrap/>
            <w:vAlign w:val="center"/>
          </w:tcPr>
          <w:p w14:paraId="67E97C6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(203)</w:t>
            </w:r>
          </w:p>
        </w:tc>
        <w:tc>
          <w:tcPr>
            <w:tcW w:w="870" w:type="dxa"/>
            <w:shd w:val="clear" w:color="auto" w:fill="D9E2F3"/>
            <w:noWrap/>
            <w:vAlign w:val="center"/>
          </w:tcPr>
          <w:p w14:paraId="03577A6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750</w:t>
            </w:r>
          </w:p>
        </w:tc>
        <w:tc>
          <w:tcPr>
            <w:tcW w:w="1290" w:type="dxa"/>
            <w:shd w:val="clear" w:color="auto" w:fill="D9E2F3"/>
            <w:noWrap/>
            <w:vAlign w:val="center"/>
          </w:tcPr>
          <w:p w14:paraId="4DFE9CB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Էական</w:t>
            </w:r>
          </w:p>
        </w:tc>
      </w:tr>
      <w:tr w:rsidR="00DA0E15" w14:paraId="3D3A07EC"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1D080F1D"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Գյումրիի սելեկցիոն կայան ՓԲԸ</w:t>
            </w:r>
          </w:p>
        </w:tc>
        <w:tc>
          <w:tcPr>
            <w:tcW w:w="1309" w:type="dxa"/>
            <w:noWrap/>
            <w:vAlign w:val="center"/>
          </w:tcPr>
          <w:p w14:paraId="5938931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11</w:t>
            </w:r>
          </w:p>
        </w:tc>
        <w:tc>
          <w:tcPr>
            <w:tcW w:w="902" w:type="dxa"/>
            <w:noWrap/>
            <w:vAlign w:val="center"/>
          </w:tcPr>
          <w:p w14:paraId="6A6FC51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143</w:t>
            </w:r>
          </w:p>
        </w:tc>
        <w:tc>
          <w:tcPr>
            <w:tcW w:w="837" w:type="dxa"/>
            <w:noWrap/>
            <w:vAlign w:val="center"/>
          </w:tcPr>
          <w:p w14:paraId="5CE957E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105</w:t>
            </w:r>
          </w:p>
        </w:tc>
        <w:tc>
          <w:tcPr>
            <w:tcW w:w="784" w:type="dxa"/>
            <w:noWrap/>
            <w:vAlign w:val="center"/>
          </w:tcPr>
          <w:p w14:paraId="7EDF04F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7</w:t>
            </w:r>
          </w:p>
        </w:tc>
        <w:tc>
          <w:tcPr>
            <w:tcW w:w="808" w:type="dxa"/>
            <w:noWrap/>
            <w:vAlign w:val="center"/>
          </w:tcPr>
          <w:p w14:paraId="4CCFAC0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w:t>
            </w:r>
          </w:p>
        </w:tc>
        <w:tc>
          <w:tcPr>
            <w:tcW w:w="851" w:type="dxa"/>
            <w:vAlign w:val="center"/>
          </w:tcPr>
          <w:p w14:paraId="5607C9C8" w14:textId="77777777" w:rsidR="00DA0E15" w:rsidRDefault="00DA0E15">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noWrap/>
            <w:vAlign w:val="center"/>
          </w:tcPr>
          <w:p w14:paraId="03D4E8C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121</w:t>
            </w:r>
          </w:p>
        </w:tc>
        <w:tc>
          <w:tcPr>
            <w:tcW w:w="870" w:type="dxa"/>
            <w:noWrap/>
            <w:vAlign w:val="center"/>
          </w:tcPr>
          <w:p w14:paraId="19F3F6F0"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65</w:t>
            </w:r>
          </w:p>
        </w:tc>
        <w:tc>
          <w:tcPr>
            <w:tcW w:w="1290" w:type="dxa"/>
            <w:noWrap/>
            <w:vAlign w:val="center"/>
          </w:tcPr>
          <w:p w14:paraId="3F550F5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7FCEF954"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764EAC9E"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Արթիկի բժշկական կենտրոն ՓԲԸ</w:t>
            </w:r>
          </w:p>
        </w:tc>
        <w:tc>
          <w:tcPr>
            <w:tcW w:w="1309" w:type="dxa"/>
            <w:shd w:val="clear" w:color="auto" w:fill="D9E2F3"/>
            <w:noWrap/>
            <w:vAlign w:val="center"/>
          </w:tcPr>
          <w:p w14:paraId="434118F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11</w:t>
            </w:r>
          </w:p>
        </w:tc>
        <w:tc>
          <w:tcPr>
            <w:tcW w:w="902" w:type="dxa"/>
            <w:shd w:val="clear" w:color="auto" w:fill="D9E2F3"/>
            <w:noWrap/>
            <w:vAlign w:val="center"/>
          </w:tcPr>
          <w:p w14:paraId="3367A76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243</w:t>
            </w:r>
          </w:p>
        </w:tc>
        <w:tc>
          <w:tcPr>
            <w:tcW w:w="837" w:type="dxa"/>
            <w:shd w:val="clear" w:color="auto" w:fill="D9E2F3"/>
            <w:noWrap/>
            <w:vAlign w:val="center"/>
          </w:tcPr>
          <w:p w14:paraId="2A8DF4E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319</w:t>
            </w:r>
          </w:p>
        </w:tc>
        <w:tc>
          <w:tcPr>
            <w:tcW w:w="784" w:type="dxa"/>
            <w:shd w:val="clear" w:color="auto" w:fill="D9E2F3"/>
            <w:noWrap/>
            <w:vAlign w:val="center"/>
          </w:tcPr>
          <w:p w14:paraId="22FA387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w:t>
            </w:r>
          </w:p>
        </w:tc>
        <w:tc>
          <w:tcPr>
            <w:tcW w:w="808" w:type="dxa"/>
            <w:shd w:val="clear" w:color="auto" w:fill="D9E2F3"/>
            <w:noWrap/>
            <w:vAlign w:val="center"/>
          </w:tcPr>
          <w:p w14:paraId="7455C7B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8</w:t>
            </w:r>
          </w:p>
        </w:tc>
        <w:tc>
          <w:tcPr>
            <w:tcW w:w="851" w:type="dxa"/>
            <w:shd w:val="clear" w:color="auto" w:fill="D9E2F3"/>
            <w:vAlign w:val="center"/>
          </w:tcPr>
          <w:p w14:paraId="19DB62B7" w14:textId="77777777" w:rsidR="00DA0E15" w:rsidRDefault="00DA0E15">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shd w:val="clear" w:color="auto" w:fill="D9E2F3"/>
            <w:noWrap/>
            <w:vAlign w:val="center"/>
          </w:tcPr>
          <w:p w14:paraId="1066D8F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w:t>
            </w:r>
          </w:p>
        </w:tc>
        <w:tc>
          <w:tcPr>
            <w:tcW w:w="870" w:type="dxa"/>
            <w:shd w:val="clear" w:color="auto" w:fill="D9E2F3"/>
            <w:noWrap/>
            <w:vAlign w:val="center"/>
          </w:tcPr>
          <w:p w14:paraId="549EC82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173</w:t>
            </w:r>
          </w:p>
        </w:tc>
        <w:tc>
          <w:tcPr>
            <w:tcW w:w="1290" w:type="dxa"/>
            <w:shd w:val="clear" w:color="auto" w:fill="D9E2F3"/>
            <w:noWrap/>
            <w:vAlign w:val="center"/>
          </w:tcPr>
          <w:p w14:paraId="6A70ADF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6DD41B6D"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423FFD7B"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Արարատի հիվանդանոց բժշկական կենտրոն ՓԲԸ</w:t>
            </w:r>
          </w:p>
        </w:tc>
        <w:tc>
          <w:tcPr>
            <w:tcW w:w="1309" w:type="dxa"/>
            <w:noWrap/>
            <w:vAlign w:val="center"/>
          </w:tcPr>
          <w:p w14:paraId="2BEC3C2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9</w:t>
            </w:r>
          </w:p>
        </w:tc>
        <w:tc>
          <w:tcPr>
            <w:tcW w:w="902" w:type="dxa"/>
            <w:noWrap/>
            <w:vAlign w:val="center"/>
          </w:tcPr>
          <w:p w14:paraId="20CCE0F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459</w:t>
            </w:r>
          </w:p>
        </w:tc>
        <w:tc>
          <w:tcPr>
            <w:tcW w:w="837" w:type="dxa"/>
            <w:noWrap/>
            <w:vAlign w:val="center"/>
          </w:tcPr>
          <w:p w14:paraId="6EE0198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505</w:t>
            </w:r>
          </w:p>
        </w:tc>
        <w:tc>
          <w:tcPr>
            <w:tcW w:w="784" w:type="dxa"/>
            <w:noWrap/>
            <w:vAlign w:val="center"/>
          </w:tcPr>
          <w:p w14:paraId="2641600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0</w:t>
            </w:r>
          </w:p>
        </w:tc>
        <w:tc>
          <w:tcPr>
            <w:tcW w:w="808" w:type="dxa"/>
            <w:noWrap/>
            <w:vAlign w:val="center"/>
          </w:tcPr>
          <w:p w14:paraId="350D1DA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12</w:t>
            </w:r>
          </w:p>
        </w:tc>
        <w:tc>
          <w:tcPr>
            <w:tcW w:w="851" w:type="dxa"/>
            <w:vAlign w:val="center"/>
          </w:tcPr>
          <w:p w14:paraId="53371284" w14:textId="77777777" w:rsidR="00DA0E15" w:rsidRDefault="00DA0E15">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noWrap/>
            <w:vAlign w:val="center"/>
          </w:tcPr>
          <w:p w14:paraId="02CE280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(25)</w:t>
            </w:r>
          </w:p>
        </w:tc>
        <w:tc>
          <w:tcPr>
            <w:tcW w:w="870" w:type="dxa"/>
            <w:noWrap/>
            <w:vAlign w:val="center"/>
          </w:tcPr>
          <w:p w14:paraId="39E322E3"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359</w:t>
            </w:r>
          </w:p>
        </w:tc>
        <w:tc>
          <w:tcPr>
            <w:tcW w:w="1290" w:type="dxa"/>
            <w:noWrap/>
            <w:vAlign w:val="center"/>
          </w:tcPr>
          <w:p w14:paraId="59BE1FB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29A5F673"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7D2D2446"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Ավիաբուժ բժշկական կենտրոն ՓԲԸ</w:t>
            </w:r>
          </w:p>
        </w:tc>
        <w:tc>
          <w:tcPr>
            <w:tcW w:w="1309" w:type="dxa"/>
            <w:shd w:val="clear" w:color="auto" w:fill="D9E2F3"/>
            <w:noWrap/>
            <w:vAlign w:val="center"/>
          </w:tcPr>
          <w:p w14:paraId="47D57F0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w:t>
            </w:r>
          </w:p>
        </w:tc>
        <w:tc>
          <w:tcPr>
            <w:tcW w:w="902" w:type="dxa"/>
            <w:shd w:val="clear" w:color="auto" w:fill="D9E2F3"/>
            <w:noWrap/>
            <w:vAlign w:val="center"/>
          </w:tcPr>
          <w:p w14:paraId="6477E5A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114</w:t>
            </w:r>
          </w:p>
        </w:tc>
        <w:tc>
          <w:tcPr>
            <w:tcW w:w="837" w:type="dxa"/>
            <w:shd w:val="clear" w:color="auto" w:fill="D9E2F3"/>
            <w:noWrap/>
            <w:vAlign w:val="center"/>
          </w:tcPr>
          <w:p w14:paraId="66B2CA0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111</w:t>
            </w:r>
          </w:p>
        </w:tc>
        <w:tc>
          <w:tcPr>
            <w:tcW w:w="784" w:type="dxa"/>
            <w:shd w:val="clear" w:color="auto" w:fill="D9E2F3"/>
            <w:noWrap/>
            <w:vAlign w:val="center"/>
          </w:tcPr>
          <w:p w14:paraId="73FE5B5E"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w:t>
            </w:r>
          </w:p>
        </w:tc>
        <w:tc>
          <w:tcPr>
            <w:tcW w:w="808" w:type="dxa"/>
            <w:shd w:val="clear" w:color="auto" w:fill="D9E2F3"/>
            <w:noWrap/>
            <w:vAlign w:val="center"/>
          </w:tcPr>
          <w:p w14:paraId="00040EA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w:t>
            </w:r>
          </w:p>
        </w:tc>
        <w:tc>
          <w:tcPr>
            <w:tcW w:w="851" w:type="dxa"/>
            <w:shd w:val="clear" w:color="auto" w:fill="D9E2F3"/>
            <w:vAlign w:val="center"/>
          </w:tcPr>
          <w:p w14:paraId="36B2C68E" w14:textId="77777777" w:rsidR="00DA0E15" w:rsidRDefault="00DA0E15">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shd w:val="clear" w:color="auto" w:fill="D9E2F3"/>
            <w:noWrap/>
            <w:vAlign w:val="center"/>
          </w:tcPr>
          <w:p w14:paraId="0377FDAC"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w:t>
            </w:r>
          </w:p>
        </w:tc>
        <w:tc>
          <w:tcPr>
            <w:tcW w:w="870" w:type="dxa"/>
            <w:shd w:val="clear" w:color="auto" w:fill="D9E2F3"/>
            <w:noWrap/>
            <w:vAlign w:val="center"/>
          </w:tcPr>
          <w:p w14:paraId="2D4B66C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40</w:t>
            </w:r>
          </w:p>
        </w:tc>
        <w:tc>
          <w:tcPr>
            <w:tcW w:w="1290" w:type="dxa"/>
            <w:shd w:val="clear" w:color="auto" w:fill="D9E2F3"/>
            <w:noWrap/>
            <w:vAlign w:val="center"/>
          </w:tcPr>
          <w:p w14:paraId="40B2E27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3E8D51FB"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5EEC54BF"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Մեծամորի բժշկական կենտրոն ՓԲԸ</w:t>
            </w:r>
          </w:p>
        </w:tc>
        <w:tc>
          <w:tcPr>
            <w:tcW w:w="1309" w:type="dxa"/>
            <w:noWrap/>
            <w:vAlign w:val="center"/>
          </w:tcPr>
          <w:p w14:paraId="2B7BFB5B"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w:t>
            </w:r>
          </w:p>
        </w:tc>
        <w:tc>
          <w:tcPr>
            <w:tcW w:w="902" w:type="dxa"/>
            <w:noWrap/>
            <w:vAlign w:val="center"/>
          </w:tcPr>
          <w:p w14:paraId="4E668EF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281</w:t>
            </w:r>
          </w:p>
        </w:tc>
        <w:tc>
          <w:tcPr>
            <w:tcW w:w="837" w:type="dxa"/>
            <w:noWrap/>
            <w:vAlign w:val="center"/>
          </w:tcPr>
          <w:p w14:paraId="4F87DA25"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356</w:t>
            </w:r>
          </w:p>
        </w:tc>
        <w:tc>
          <w:tcPr>
            <w:tcW w:w="784" w:type="dxa"/>
            <w:noWrap/>
            <w:vAlign w:val="center"/>
          </w:tcPr>
          <w:p w14:paraId="29C8A8AA"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6</w:t>
            </w:r>
          </w:p>
        </w:tc>
        <w:tc>
          <w:tcPr>
            <w:tcW w:w="808" w:type="dxa"/>
            <w:noWrap/>
            <w:vAlign w:val="center"/>
          </w:tcPr>
          <w:p w14:paraId="11FB58D4"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17</w:t>
            </w:r>
          </w:p>
        </w:tc>
        <w:tc>
          <w:tcPr>
            <w:tcW w:w="851" w:type="dxa"/>
            <w:vAlign w:val="center"/>
          </w:tcPr>
          <w:p w14:paraId="728B7309"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(1.7)</w:t>
            </w:r>
          </w:p>
        </w:tc>
        <w:tc>
          <w:tcPr>
            <w:tcW w:w="1160" w:type="dxa"/>
            <w:noWrap/>
            <w:vAlign w:val="center"/>
          </w:tcPr>
          <w:p w14:paraId="6AC91F0C"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(41)</w:t>
            </w:r>
          </w:p>
        </w:tc>
        <w:tc>
          <w:tcPr>
            <w:tcW w:w="870" w:type="dxa"/>
            <w:noWrap/>
            <w:vAlign w:val="center"/>
          </w:tcPr>
          <w:p w14:paraId="40B8F616"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39</w:t>
            </w:r>
          </w:p>
        </w:tc>
        <w:tc>
          <w:tcPr>
            <w:tcW w:w="1290" w:type="dxa"/>
            <w:noWrap/>
            <w:vAlign w:val="center"/>
          </w:tcPr>
          <w:p w14:paraId="12C58508"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7D0F35AC"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shd w:val="clear" w:color="auto" w:fill="D9E2F3"/>
            <w:noWrap/>
            <w:vAlign w:val="center"/>
          </w:tcPr>
          <w:p w14:paraId="4E8EEE5D"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Ախուրյանի բժշկական կենտրոն ՓԲԸ</w:t>
            </w:r>
          </w:p>
        </w:tc>
        <w:tc>
          <w:tcPr>
            <w:tcW w:w="1309" w:type="dxa"/>
            <w:shd w:val="clear" w:color="auto" w:fill="D9E2F3"/>
            <w:noWrap/>
            <w:vAlign w:val="center"/>
          </w:tcPr>
          <w:p w14:paraId="5C5B3A0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w:t>
            </w:r>
          </w:p>
        </w:tc>
        <w:tc>
          <w:tcPr>
            <w:tcW w:w="902" w:type="dxa"/>
            <w:shd w:val="clear" w:color="auto" w:fill="D9E2F3"/>
            <w:noWrap/>
            <w:vAlign w:val="center"/>
          </w:tcPr>
          <w:p w14:paraId="32CD187F"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146</w:t>
            </w:r>
          </w:p>
        </w:tc>
        <w:tc>
          <w:tcPr>
            <w:tcW w:w="837" w:type="dxa"/>
            <w:shd w:val="clear" w:color="auto" w:fill="D9E2F3"/>
            <w:noWrap/>
            <w:vAlign w:val="center"/>
          </w:tcPr>
          <w:p w14:paraId="01319BB4"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194</w:t>
            </w:r>
          </w:p>
        </w:tc>
        <w:tc>
          <w:tcPr>
            <w:tcW w:w="784" w:type="dxa"/>
            <w:shd w:val="clear" w:color="auto" w:fill="D9E2F3"/>
            <w:noWrap/>
            <w:vAlign w:val="center"/>
          </w:tcPr>
          <w:p w14:paraId="672EFA84"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(2)</w:t>
            </w:r>
          </w:p>
        </w:tc>
        <w:tc>
          <w:tcPr>
            <w:tcW w:w="808" w:type="dxa"/>
            <w:shd w:val="clear" w:color="auto" w:fill="D9E2F3"/>
            <w:noWrap/>
            <w:vAlign w:val="center"/>
          </w:tcPr>
          <w:p w14:paraId="104D87A7"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w:t>
            </w:r>
          </w:p>
        </w:tc>
        <w:tc>
          <w:tcPr>
            <w:tcW w:w="851" w:type="dxa"/>
            <w:shd w:val="clear" w:color="auto" w:fill="D9E2F3"/>
            <w:vAlign w:val="center"/>
          </w:tcPr>
          <w:p w14:paraId="0959CD9D" w14:textId="77777777" w:rsidR="00DA0E15" w:rsidRDefault="00DA0E15">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shd w:val="clear" w:color="auto" w:fill="D9E2F3"/>
            <w:noWrap/>
            <w:vAlign w:val="center"/>
          </w:tcPr>
          <w:p w14:paraId="5531BF80"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w:t>
            </w:r>
          </w:p>
        </w:tc>
        <w:tc>
          <w:tcPr>
            <w:tcW w:w="870" w:type="dxa"/>
            <w:shd w:val="clear" w:color="auto" w:fill="D9E2F3"/>
            <w:noWrap/>
            <w:vAlign w:val="center"/>
          </w:tcPr>
          <w:p w14:paraId="708C6591"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5</w:t>
            </w:r>
          </w:p>
        </w:tc>
        <w:tc>
          <w:tcPr>
            <w:tcW w:w="1290" w:type="dxa"/>
            <w:shd w:val="clear" w:color="auto" w:fill="D9E2F3"/>
            <w:noWrap/>
            <w:vAlign w:val="center"/>
          </w:tcPr>
          <w:p w14:paraId="5521643C"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Ցածր</w:t>
            </w:r>
          </w:p>
        </w:tc>
      </w:tr>
      <w:tr w:rsidR="00DA0E15" w14:paraId="7D20AF81" w14:textId="77777777" w:rsidTr="00146C6E">
        <w:trPr>
          <w:trHeight w:val="300"/>
        </w:trPr>
        <w:tc>
          <w:tcPr>
            <w:cnfStyle w:val="001000000000" w:firstRow="0" w:lastRow="0" w:firstColumn="1" w:lastColumn="0" w:oddVBand="0" w:evenVBand="0" w:oddHBand="0" w:evenHBand="0" w:firstRowFirstColumn="0" w:firstRowLastColumn="0" w:lastRowFirstColumn="0" w:lastRowLastColumn="0"/>
            <w:tcW w:w="2309" w:type="dxa"/>
            <w:noWrap/>
            <w:vAlign w:val="center"/>
          </w:tcPr>
          <w:p w14:paraId="4B8B0C8E" w14:textId="77777777" w:rsidR="00DA0E15" w:rsidRDefault="00362131">
            <w:pPr>
              <w:spacing w:before="0" w:after="0" w:line="259" w:lineRule="auto"/>
              <w:ind w:firstLine="0"/>
              <w:jc w:val="left"/>
              <w:rPr>
                <w:rFonts w:cs="Calibri Light"/>
                <w:bCs w:val="0"/>
                <w:sz w:val="16"/>
                <w:szCs w:val="16"/>
                <w:lang w:val="hy-AM"/>
              </w:rPr>
            </w:pPr>
            <w:r>
              <w:rPr>
                <w:rFonts w:cs="Calibri Light"/>
                <w:b w:val="0"/>
                <w:sz w:val="16"/>
                <w:szCs w:val="16"/>
                <w:lang w:val="hy-AM"/>
              </w:rPr>
              <w:t>Ընդամենը</w:t>
            </w:r>
          </w:p>
        </w:tc>
        <w:tc>
          <w:tcPr>
            <w:tcW w:w="1309" w:type="dxa"/>
            <w:noWrap/>
            <w:vAlign w:val="center"/>
          </w:tcPr>
          <w:p w14:paraId="306D9434" w14:textId="77777777" w:rsidR="00DA0E15" w:rsidRDefault="00362131">
            <w:pPr>
              <w:spacing w:before="0" w:after="0" w:line="259" w:lineRule="auto"/>
              <w:ind w:firstLine="0"/>
              <w:jc w:val="right"/>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 xml:space="preserve"> 311,011 </w:t>
            </w:r>
          </w:p>
        </w:tc>
        <w:tc>
          <w:tcPr>
            <w:tcW w:w="902" w:type="dxa"/>
            <w:noWrap/>
            <w:vAlign w:val="center"/>
          </w:tcPr>
          <w:p w14:paraId="76DB68F4"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 xml:space="preserve">131,616 </w:t>
            </w:r>
          </w:p>
        </w:tc>
        <w:tc>
          <w:tcPr>
            <w:tcW w:w="837" w:type="dxa"/>
            <w:noWrap/>
            <w:vAlign w:val="center"/>
          </w:tcPr>
          <w:p w14:paraId="5A563F37" w14:textId="77777777" w:rsidR="00DA0E15" w:rsidRDefault="00362131">
            <w:pPr>
              <w:spacing w:before="0" w:after="0" w:line="259" w:lineRule="auto"/>
              <w:ind w:firstLine="0"/>
              <w:jc w:val="right"/>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 xml:space="preserve">119,897 </w:t>
            </w:r>
          </w:p>
        </w:tc>
        <w:tc>
          <w:tcPr>
            <w:tcW w:w="784" w:type="dxa"/>
            <w:noWrap/>
            <w:vAlign w:val="center"/>
          </w:tcPr>
          <w:p w14:paraId="39C41472"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(1,968)</w:t>
            </w:r>
          </w:p>
        </w:tc>
        <w:tc>
          <w:tcPr>
            <w:tcW w:w="808" w:type="dxa"/>
            <w:noWrap/>
            <w:vAlign w:val="center"/>
          </w:tcPr>
          <w:p w14:paraId="32512FBC" w14:textId="77777777" w:rsidR="00DA0E15" w:rsidRDefault="00362131">
            <w:pPr>
              <w:spacing w:before="0" w:after="0" w:line="259" w:lineRule="auto"/>
              <w:ind w:firstLine="0"/>
              <w:jc w:val="right"/>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 xml:space="preserve">1,584 </w:t>
            </w:r>
          </w:p>
        </w:tc>
        <w:tc>
          <w:tcPr>
            <w:tcW w:w="851" w:type="dxa"/>
            <w:vAlign w:val="center"/>
          </w:tcPr>
          <w:p w14:paraId="6FA0FC5C" w14:textId="77777777" w:rsidR="00DA0E15" w:rsidRDefault="00DA0E15">
            <w:pPr>
              <w:spacing w:before="0" w:after="0" w:line="259" w:lineRule="auto"/>
              <w:ind w:firstLine="0"/>
              <w:jc w:val="right"/>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c>
          <w:tcPr>
            <w:tcW w:w="1160" w:type="dxa"/>
            <w:noWrap/>
            <w:vAlign w:val="center"/>
          </w:tcPr>
          <w:p w14:paraId="0DFE570D" w14:textId="77777777" w:rsidR="00DA0E15" w:rsidRDefault="00362131">
            <w:pPr>
              <w:spacing w:before="0" w:after="0" w:line="259" w:lineRule="auto"/>
              <w:ind w:firstLine="0"/>
              <w:jc w:val="right"/>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 xml:space="preserve"> 29,769 </w:t>
            </w:r>
          </w:p>
        </w:tc>
        <w:tc>
          <w:tcPr>
            <w:tcW w:w="870" w:type="dxa"/>
            <w:noWrap/>
            <w:vAlign w:val="center"/>
          </w:tcPr>
          <w:p w14:paraId="715E4A7D" w14:textId="77777777" w:rsidR="00DA0E15" w:rsidRDefault="00362131">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r>
              <w:rPr>
                <w:rFonts w:cs="Calibri Light"/>
                <w:sz w:val="18"/>
                <w:szCs w:val="18"/>
                <w:lang w:val="hy-AM"/>
              </w:rPr>
              <w:t xml:space="preserve">388,341 </w:t>
            </w:r>
          </w:p>
        </w:tc>
        <w:tc>
          <w:tcPr>
            <w:tcW w:w="1290" w:type="dxa"/>
            <w:noWrap/>
            <w:vAlign w:val="center"/>
          </w:tcPr>
          <w:p w14:paraId="495C832A" w14:textId="77777777" w:rsidR="00DA0E15" w:rsidRDefault="00DA0E15">
            <w:pPr>
              <w:spacing w:before="0" w:after="0" w:line="259" w:lineRule="auto"/>
              <w:ind w:firstLine="0"/>
              <w:jc w:val="right"/>
              <w:cnfStyle w:val="000000000000" w:firstRow="0" w:lastRow="0" w:firstColumn="0" w:lastColumn="0" w:oddVBand="0" w:evenVBand="0" w:oddHBand="0" w:evenHBand="0" w:firstRowFirstColumn="0" w:firstRowLastColumn="0" w:lastRowFirstColumn="0" w:lastRowLastColumn="0"/>
              <w:rPr>
                <w:rFonts w:cs="Calibri Light"/>
                <w:sz w:val="18"/>
                <w:szCs w:val="18"/>
                <w:lang w:val="hy-AM"/>
              </w:rPr>
            </w:pPr>
          </w:p>
        </w:tc>
      </w:tr>
    </w:tbl>
    <w:p w14:paraId="69F9F27A" w14:textId="77777777" w:rsidR="00DA0E15" w:rsidRDefault="00DA0E15">
      <w:pPr>
        <w:keepNext/>
        <w:spacing w:before="0" w:after="200" w:line="240" w:lineRule="auto"/>
        <w:ind w:firstLine="0"/>
        <w:jc w:val="left"/>
        <w:rPr>
          <w:rFonts w:eastAsia="Calibri" w:cs="Times New Roman"/>
          <w:b/>
          <w:i/>
          <w:iCs/>
          <w:sz w:val="19"/>
          <w:szCs w:val="19"/>
          <w:lang w:val="hy-AM"/>
        </w:rPr>
      </w:pPr>
    </w:p>
    <w:p w14:paraId="34D83406" w14:textId="77777777" w:rsidR="00DA0E15" w:rsidRDefault="00DA0E15">
      <w:pPr>
        <w:shd w:val="clear" w:color="auto" w:fill="FFFFFF"/>
        <w:spacing w:before="0" w:after="0" w:line="276" w:lineRule="auto"/>
        <w:ind w:right="150" w:firstLine="227"/>
        <w:rPr>
          <w:rFonts w:eastAsia="Times New Roman" w:cs="Times New Roman"/>
          <w:color w:val="000000"/>
          <w:lang w:val="hy-AM" w:eastAsia="ru-RU"/>
        </w:rPr>
      </w:pPr>
    </w:p>
    <w:p w14:paraId="65508DC3" w14:textId="77777777" w:rsidR="00DA0E15" w:rsidRDefault="00362131">
      <w:pPr>
        <w:shd w:val="clear" w:color="auto" w:fill="FFFFFF"/>
        <w:spacing w:before="0" w:after="0" w:line="276" w:lineRule="auto"/>
        <w:ind w:right="20" w:firstLine="227"/>
        <w:rPr>
          <w:rFonts w:eastAsia="Times New Roman" w:cs="Times New Roman"/>
          <w:color w:val="000000"/>
          <w:lang w:val="hy-AM" w:eastAsia="ru-RU"/>
        </w:rPr>
      </w:pPr>
      <w:r>
        <w:rPr>
          <w:rFonts w:eastAsia="Times New Roman" w:cs="Times New Roman"/>
          <w:color w:val="000000"/>
          <w:lang w:val="hy-AM" w:eastAsia="ru-RU"/>
        </w:rPr>
        <w:t>Աղյուսակում ներկայացված են այն պետական մասնակցությամբ ընկերությունները, որոնց հաշվեկշռում առկա է բյուջետային վարկ, կամ երաշխիք։ Ընկերությունների ֆինանսական ցուցանիշներից ելնելով գնահատվել է յուրաքանչյուրի հարկաբյուջետային ռիսկի կարգավիճակը։</w:t>
      </w:r>
    </w:p>
    <w:p w14:paraId="5E5B6BE6" w14:textId="77777777" w:rsidR="00DA0E15" w:rsidRDefault="00DA0E15">
      <w:pPr>
        <w:shd w:val="clear" w:color="auto" w:fill="FFFFFF"/>
        <w:spacing w:before="0" w:after="0" w:line="276" w:lineRule="auto"/>
        <w:ind w:right="150" w:firstLine="0"/>
        <w:rPr>
          <w:rFonts w:eastAsia="Times New Roman" w:cs="Times New Roman"/>
          <w:color w:val="000000"/>
          <w:lang w:val="hy-AM" w:eastAsia="ru-RU"/>
        </w:rPr>
      </w:pPr>
    </w:p>
    <w:p w14:paraId="74472C45" w14:textId="77777777" w:rsidR="00DA0E15" w:rsidRDefault="00362131" w:rsidP="00010E8E">
      <w:pPr>
        <w:pStyle w:val="afa"/>
        <w:rPr>
          <w:iCs/>
          <w:color w:val="365F91" w:themeColor="accent1" w:themeShade="BF"/>
          <w:sz w:val="18"/>
          <w:szCs w:val="18"/>
        </w:rPr>
      </w:pPr>
      <w:r>
        <w:t>Աղյուսակ 5.4</w:t>
      </w:r>
      <w:r>
        <w:rPr>
          <w:iCs/>
          <w:color w:val="365F91" w:themeColor="accent1" w:themeShade="BF"/>
          <w:sz w:val="18"/>
          <w:szCs w:val="18"/>
        </w:rPr>
        <w:t xml:space="preserve"> </w:t>
      </w:r>
      <w:r>
        <w:t>Խոշոր պարտավորություններ ունեցող պետական և համայնքային մասնակցությամբ ընկերությունների ցուցանիշները</w:t>
      </w:r>
    </w:p>
    <w:p w14:paraId="697A4B79" w14:textId="77777777" w:rsidR="00DA0E15" w:rsidRDefault="00362131">
      <w:pPr>
        <w:keepNext/>
        <w:spacing w:before="0" w:after="0" w:line="240" w:lineRule="auto"/>
        <w:ind w:firstLine="0"/>
        <w:jc w:val="right"/>
        <w:rPr>
          <w:rFonts w:eastAsia="Calibri" w:cs="Times New Roman"/>
          <w:i/>
          <w:iCs/>
          <w:sz w:val="19"/>
          <w:szCs w:val="19"/>
          <w:lang w:val="hy-AM"/>
        </w:rPr>
      </w:pPr>
      <w:r>
        <w:rPr>
          <w:rFonts w:eastAsia="Calibri" w:cs="Times New Roman"/>
          <w:i/>
          <w:iCs/>
          <w:sz w:val="19"/>
          <w:szCs w:val="19"/>
          <w:lang w:val="hy-AM"/>
        </w:rPr>
        <w:t>մլն դրամ</w:t>
      </w:r>
    </w:p>
    <w:tbl>
      <w:tblPr>
        <w:tblStyle w:val="GridTable4-Accent12"/>
        <w:tblW w:w="0" w:type="auto"/>
        <w:tblLook w:val="04A0" w:firstRow="1" w:lastRow="0" w:firstColumn="1" w:lastColumn="0" w:noHBand="0" w:noVBand="1"/>
      </w:tblPr>
      <w:tblGrid>
        <w:gridCol w:w="3660"/>
        <w:gridCol w:w="845"/>
        <w:gridCol w:w="537"/>
        <w:gridCol w:w="1098"/>
        <w:gridCol w:w="850"/>
        <w:gridCol w:w="525"/>
        <w:gridCol w:w="833"/>
        <w:gridCol w:w="809"/>
        <w:gridCol w:w="868"/>
      </w:tblGrid>
      <w:tr w:rsidR="00DA0E15" w14:paraId="13BD60FC" w14:textId="77777777" w:rsidTr="00DA0E1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62" w:type="dxa"/>
            <w:tcBorders>
              <w:top w:val="single" w:sz="4" w:space="0" w:color="auto"/>
              <w:left w:val="single" w:sz="4" w:space="0" w:color="auto"/>
              <w:bottom w:val="single" w:sz="4" w:space="0" w:color="auto"/>
            </w:tcBorders>
            <w:noWrap/>
          </w:tcPr>
          <w:p w14:paraId="13AE5D44" w14:textId="77777777" w:rsidR="00DA0E15" w:rsidRDefault="00362131">
            <w:pPr>
              <w:spacing w:before="0" w:after="0" w:line="240" w:lineRule="auto"/>
              <w:ind w:firstLine="0"/>
              <w:jc w:val="left"/>
              <w:rPr>
                <w:rFonts w:cs="Times New Roman"/>
                <w:b w:val="0"/>
                <w:bCs w:val="0"/>
                <w:sz w:val="16"/>
                <w:szCs w:val="16"/>
                <w:lang w:val="hy-AM"/>
              </w:rPr>
            </w:pPr>
            <w:r>
              <w:rPr>
                <w:rFonts w:ascii="Calibri" w:hAnsi="Calibri" w:cs="Calibri"/>
                <w:sz w:val="16"/>
                <w:szCs w:val="16"/>
                <w:lang w:val="hy-AM"/>
              </w:rPr>
              <w:t> </w:t>
            </w:r>
          </w:p>
        </w:tc>
        <w:tc>
          <w:tcPr>
            <w:tcW w:w="2376" w:type="dxa"/>
            <w:gridSpan w:val="3"/>
            <w:tcBorders>
              <w:top w:val="single" w:sz="4" w:space="0" w:color="auto"/>
              <w:left w:val="single" w:sz="4" w:space="0" w:color="auto"/>
              <w:bottom w:val="single" w:sz="4" w:space="0" w:color="auto"/>
            </w:tcBorders>
            <w:noWrap/>
            <w:vAlign w:val="center"/>
          </w:tcPr>
          <w:p w14:paraId="233CBA4B"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6"/>
                <w:szCs w:val="16"/>
                <w:lang w:val="hy-AM"/>
              </w:rPr>
            </w:pPr>
            <w:r>
              <w:rPr>
                <w:rFonts w:cs="Times New Roman"/>
                <w:sz w:val="16"/>
                <w:szCs w:val="16"/>
                <w:lang w:val="hy-AM"/>
              </w:rPr>
              <w:t>Պարտավորություններ</w:t>
            </w:r>
          </w:p>
        </w:tc>
        <w:tc>
          <w:tcPr>
            <w:tcW w:w="2036" w:type="dxa"/>
            <w:gridSpan w:val="3"/>
            <w:tcBorders>
              <w:top w:val="single" w:sz="4" w:space="0" w:color="auto"/>
              <w:left w:val="single" w:sz="4" w:space="0" w:color="auto"/>
              <w:bottom w:val="single" w:sz="4" w:space="0" w:color="auto"/>
            </w:tcBorders>
            <w:noWrap/>
            <w:vAlign w:val="center"/>
          </w:tcPr>
          <w:p w14:paraId="6BC398C0"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6"/>
                <w:szCs w:val="16"/>
                <w:lang w:val="hy-AM"/>
              </w:rPr>
            </w:pPr>
            <w:r>
              <w:rPr>
                <w:rFonts w:cs="Times New Roman"/>
                <w:sz w:val="16"/>
                <w:szCs w:val="16"/>
                <w:lang w:val="hy-AM"/>
              </w:rPr>
              <w:t>Ակտիվներ</w:t>
            </w:r>
          </w:p>
        </w:tc>
        <w:tc>
          <w:tcPr>
            <w:tcW w:w="1538" w:type="dxa"/>
            <w:gridSpan w:val="2"/>
            <w:tcBorders>
              <w:top w:val="single" w:sz="4" w:space="0" w:color="auto"/>
              <w:left w:val="single" w:sz="4" w:space="0" w:color="auto"/>
              <w:bottom w:val="single" w:sz="4" w:space="0" w:color="auto"/>
              <w:right w:val="single" w:sz="4" w:space="0" w:color="auto"/>
            </w:tcBorders>
            <w:noWrap/>
            <w:vAlign w:val="center"/>
          </w:tcPr>
          <w:p w14:paraId="49C7DEDB"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6"/>
                <w:szCs w:val="16"/>
                <w:lang w:val="hy-AM"/>
              </w:rPr>
            </w:pPr>
            <w:r>
              <w:rPr>
                <w:rFonts w:cs="Times New Roman"/>
                <w:sz w:val="16"/>
                <w:szCs w:val="16"/>
                <w:lang w:val="hy-AM"/>
              </w:rPr>
              <w:t>Սեփական կապիտալ</w:t>
            </w:r>
          </w:p>
        </w:tc>
      </w:tr>
      <w:tr w:rsidR="00DA0E15" w14:paraId="06B9BB86" w14:textId="77777777" w:rsidTr="00DA0E15">
        <w:trPr>
          <w:trHeight w:val="530"/>
        </w:trPr>
        <w:tc>
          <w:tcPr>
            <w:cnfStyle w:val="001000000000" w:firstRow="0" w:lastRow="0" w:firstColumn="1" w:lastColumn="0" w:oddVBand="0" w:evenVBand="0" w:oddHBand="0" w:evenHBand="0" w:firstRowFirstColumn="0" w:firstRowLastColumn="0" w:lastRowFirstColumn="0" w:lastRowLastColumn="0"/>
            <w:tcW w:w="3662" w:type="dxa"/>
            <w:tcBorders>
              <w:top w:val="single" w:sz="4" w:space="0" w:color="auto"/>
            </w:tcBorders>
            <w:shd w:val="clear" w:color="auto" w:fill="D9E2F3"/>
            <w:noWrap/>
            <w:vAlign w:val="center"/>
          </w:tcPr>
          <w:p w14:paraId="633E6CD3" w14:textId="77777777" w:rsidR="00DA0E15" w:rsidRDefault="00362131">
            <w:pPr>
              <w:spacing w:before="0" w:after="0" w:line="240" w:lineRule="auto"/>
              <w:ind w:firstLine="0"/>
              <w:jc w:val="left"/>
              <w:rPr>
                <w:rFonts w:cs="Times New Roman"/>
                <w:bCs w:val="0"/>
                <w:sz w:val="20"/>
                <w:szCs w:val="20"/>
                <w:lang w:val="hy-AM"/>
              </w:rPr>
            </w:pPr>
            <w:r>
              <w:rPr>
                <w:rFonts w:cs="Times New Roman"/>
                <w:b w:val="0"/>
                <w:sz w:val="20"/>
                <w:szCs w:val="20"/>
                <w:lang w:val="hy-AM"/>
              </w:rPr>
              <w:t>Անվանում</w:t>
            </w:r>
          </w:p>
        </w:tc>
        <w:tc>
          <w:tcPr>
            <w:tcW w:w="1278" w:type="dxa"/>
            <w:gridSpan w:val="2"/>
            <w:tcBorders>
              <w:top w:val="single" w:sz="4" w:space="0" w:color="auto"/>
            </w:tcBorders>
            <w:shd w:val="clear" w:color="auto" w:fill="D9E2F3"/>
            <w:noWrap/>
            <w:vAlign w:val="center"/>
          </w:tcPr>
          <w:p w14:paraId="6CE1CD3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Cs/>
                <w:sz w:val="20"/>
                <w:szCs w:val="20"/>
                <w:lang w:val="hy-AM"/>
              </w:rPr>
            </w:pPr>
            <w:r>
              <w:rPr>
                <w:rFonts w:cs="Times New Roman"/>
                <w:bCs/>
                <w:sz w:val="20"/>
                <w:szCs w:val="20"/>
                <w:lang w:val="hy-AM"/>
              </w:rPr>
              <w:t>2019</w:t>
            </w:r>
          </w:p>
        </w:tc>
        <w:tc>
          <w:tcPr>
            <w:tcW w:w="1098" w:type="dxa"/>
            <w:tcBorders>
              <w:top w:val="single" w:sz="4" w:space="0" w:color="auto"/>
            </w:tcBorders>
            <w:shd w:val="clear" w:color="auto" w:fill="D9E2F3"/>
            <w:noWrap/>
            <w:vAlign w:val="center"/>
          </w:tcPr>
          <w:p w14:paraId="2D8AACC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Cs/>
                <w:sz w:val="20"/>
                <w:szCs w:val="20"/>
                <w:lang w:val="hy-AM"/>
              </w:rPr>
            </w:pPr>
            <w:r>
              <w:rPr>
                <w:rFonts w:cs="Times New Roman"/>
                <w:bCs/>
                <w:sz w:val="20"/>
                <w:szCs w:val="20"/>
                <w:lang w:val="hy-AM"/>
              </w:rPr>
              <w:t>2020</w:t>
            </w:r>
          </w:p>
        </w:tc>
        <w:tc>
          <w:tcPr>
            <w:tcW w:w="1271" w:type="dxa"/>
            <w:gridSpan w:val="2"/>
            <w:tcBorders>
              <w:top w:val="single" w:sz="4" w:space="0" w:color="auto"/>
            </w:tcBorders>
            <w:shd w:val="clear" w:color="auto" w:fill="D9E2F3"/>
            <w:noWrap/>
            <w:vAlign w:val="center"/>
          </w:tcPr>
          <w:p w14:paraId="3C12C9B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Cs/>
                <w:sz w:val="20"/>
                <w:szCs w:val="20"/>
                <w:lang w:val="hy-AM"/>
              </w:rPr>
            </w:pPr>
            <w:r>
              <w:rPr>
                <w:rFonts w:cs="Times New Roman"/>
                <w:bCs/>
                <w:sz w:val="20"/>
                <w:szCs w:val="20"/>
                <w:lang w:val="hy-AM"/>
              </w:rPr>
              <w:t>2019</w:t>
            </w:r>
          </w:p>
        </w:tc>
        <w:tc>
          <w:tcPr>
            <w:tcW w:w="765" w:type="dxa"/>
            <w:tcBorders>
              <w:top w:val="single" w:sz="4" w:space="0" w:color="auto"/>
            </w:tcBorders>
            <w:shd w:val="clear" w:color="auto" w:fill="D9E2F3"/>
            <w:noWrap/>
            <w:vAlign w:val="center"/>
          </w:tcPr>
          <w:p w14:paraId="37D194F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Cs/>
                <w:sz w:val="20"/>
                <w:szCs w:val="20"/>
                <w:lang w:val="hy-AM"/>
              </w:rPr>
            </w:pPr>
            <w:r>
              <w:rPr>
                <w:rFonts w:cs="Times New Roman"/>
                <w:bCs/>
                <w:sz w:val="20"/>
                <w:szCs w:val="20"/>
                <w:lang w:val="hy-AM"/>
              </w:rPr>
              <w:t>2020</w:t>
            </w:r>
          </w:p>
        </w:tc>
        <w:tc>
          <w:tcPr>
            <w:tcW w:w="743" w:type="dxa"/>
            <w:tcBorders>
              <w:top w:val="single" w:sz="4" w:space="0" w:color="auto"/>
            </w:tcBorders>
            <w:shd w:val="clear" w:color="auto" w:fill="D9E2F3"/>
            <w:noWrap/>
            <w:vAlign w:val="center"/>
          </w:tcPr>
          <w:p w14:paraId="7E4CFB5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Cs/>
                <w:sz w:val="20"/>
                <w:szCs w:val="20"/>
                <w:lang w:val="hy-AM"/>
              </w:rPr>
            </w:pPr>
            <w:r>
              <w:rPr>
                <w:rFonts w:cs="Times New Roman"/>
                <w:bCs/>
                <w:sz w:val="20"/>
                <w:szCs w:val="20"/>
                <w:lang w:val="hy-AM"/>
              </w:rPr>
              <w:t>2019</w:t>
            </w:r>
          </w:p>
        </w:tc>
        <w:tc>
          <w:tcPr>
            <w:tcW w:w="795" w:type="dxa"/>
            <w:tcBorders>
              <w:top w:val="single" w:sz="4" w:space="0" w:color="auto"/>
            </w:tcBorders>
            <w:shd w:val="clear" w:color="auto" w:fill="D9E2F3"/>
            <w:noWrap/>
            <w:vAlign w:val="center"/>
          </w:tcPr>
          <w:p w14:paraId="6A52D4C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Cs/>
                <w:sz w:val="20"/>
                <w:szCs w:val="20"/>
                <w:lang w:val="hy-AM"/>
              </w:rPr>
            </w:pPr>
            <w:r>
              <w:rPr>
                <w:rFonts w:cs="Times New Roman"/>
                <w:bCs/>
                <w:sz w:val="20"/>
                <w:szCs w:val="20"/>
                <w:lang w:val="hy-AM"/>
              </w:rPr>
              <w:t>2020</w:t>
            </w:r>
          </w:p>
        </w:tc>
      </w:tr>
      <w:tr w:rsidR="00DA0E15" w14:paraId="09A9A7B8"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vAlign w:val="center"/>
          </w:tcPr>
          <w:p w14:paraId="1E5BC65E"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«Երևանի ջերմաէլեկտրակենտրոն  ՓԲԸ</w:t>
            </w:r>
          </w:p>
        </w:tc>
        <w:tc>
          <w:tcPr>
            <w:tcW w:w="0" w:type="dxa"/>
            <w:noWrap/>
            <w:vAlign w:val="bottom"/>
          </w:tcPr>
          <w:p w14:paraId="41D5D0F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145,619</w:t>
            </w:r>
          </w:p>
        </w:tc>
        <w:tc>
          <w:tcPr>
            <w:tcW w:w="0" w:type="dxa"/>
            <w:noWrap/>
            <w:vAlign w:val="bottom"/>
          </w:tcPr>
          <w:p w14:paraId="42BDDB1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27%</w:t>
            </w:r>
          </w:p>
        </w:tc>
        <w:tc>
          <w:tcPr>
            <w:tcW w:w="0" w:type="dxa"/>
            <w:noWrap/>
            <w:vAlign w:val="bottom"/>
          </w:tcPr>
          <w:p w14:paraId="088AA88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154,294</w:t>
            </w:r>
          </w:p>
        </w:tc>
        <w:tc>
          <w:tcPr>
            <w:tcW w:w="0" w:type="dxa"/>
            <w:noWrap/>
            <w:vAlign w:val="bottom"/>
          </w:tcPr>
          <w:p w14:paraId="4A70B64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148,776</w:t>
            </w:r>
          </w:p>
        </w:tc>
        <w:tc>
          <w:tcPr>
            <w:tcW w:w="0" w:type="dxa"/>
            <w:noWrap/>
            <w:vAlign w:val="bottom"/>
          </w:tcPr>
          <w:p w14:paraId="610CF30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18%</w:t>
            </w:r>
          </w:p>
        </w:tc>
        <w:tc>
          <w:tcPr>
            <w:tcW w:w="0" w:type="dxa"/>
            <w:noWrap/>
            <w:vAlign w:val="bottom"/>
          </w:tcPr>
          <w:p w14:paraId="48D4CA8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144,018</w:t>
            </w:r>
          </w:p>
        </w:tc>
        <w:tc>
          <w:tcPr>
            <w:tcW w:w="0" w:type="dxa"/>
            <w:noWrap/>
            <w:vAlign w:val="bottom"/>
          </w:tcPr>
          <w:p w14:paraId="2669AB1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3,157</w:t>
            </w:r>
          </w:p>
        </w:tc>
        <w:tc>
          <w:tcPr>
            <w:tcW w:w="0" w:type="dxa"/>
            <w:noWrap/>
            <w:vAlign w:val="bottom"/>
          </w:tcPr>
          <w:p w14:paraId="3ED4ED8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(10,276)</w:t>
            </w:r>
          </w:p>
        </w:tc>
      </w:tr>
      <w:tr w:rsidR="00DA0E15" w14:paraId="353446B9"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vAlign w:val="center"/>
          </w:tcPr>
          <w:p w14:paraId="4C93F67D"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«Հայկական ատոմային էլեկտրակայան ՓԲԸ</w:t>
            </w:r>
          </w:p>
        </w:tc>
        <w:tc>
          <w:tcPr>
            <w:tcW w:w="776" w:type="dxa"/>
            <w:shd w:val="clear" w:color="auto" w:fill="D9E2F3"/>
            <w:noWrap/>
            <w:vAlign w:val="bottom"/>
          </w:tcPr>
          <w:p w14:paraId="6363FF8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129,767</w:t>
            </w:r>
          </w:p>
        </w:tc>
        <w:tc>
          <w:tcPr>
            <w:tcW w:w="0" w:type="dxa"/>
            <w:shd w:val="clear" w:color="auto" w:fill="D9E2F3"/>
            <w:noWrap/>
            <w:vAlign w:val="bottom"/>
          </w:tcPr>
          <w:p w14:paraId="0E4F1AB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24%</w:t>
            </w:r>
          </w:p>
        </w:tc>
        <w:tc>
          <w:tcPr>
            <w:tcW w:w="0" w:type="dxa"/>
            <w:shd w:val="clear" w:color="auto" w:fill="D9E2F3"/>
            <w:noWrap/>
            <w:vAlign w:val="bottom"/>
          </w:tcPr>
          <w:p w14:paraId="0BC0A03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138,842</w:t>
            </w:r>
          </w:p>
        </w:tc>
        <w:tc>
          <w:tcPr>
            <w:tcW w:w="0" w:type="dxa"/>
            <w:shd w:val="clear" w:color="auto" w:fill="D9E2F3"/>
            <w:noWrap/>
            <w:vAlign w:val="bottom"/>
          </w:tcPr>
          <w:p w14:paraId="77CE5D1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177,642</w:t>
            </w:r>
          </w:p>
        </w:tc>
        <w:tc>
          <w:tcPr>
            <w:tcW w:w="0" w:type="dxa"/>
            <w:shd w:val="clear" w:color="auto" w:fill="D9E2F3"/>
            <w:noWrap/>
            <w:vAlign w:val="bottom"/>
          </w:tcPr>
          <w:p w14:paraId="42D69E7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21%</w:t>
            </w:r>
          </w:p>
        </w:tc>
        <w:tc>
          <w:tcPr>
            <w:tcW w:w="0" w:type="dxa"/>
            <w:shd w:val="clear" w:color="auto" w:fill="D9E2F3"/>
            <w:noWrap/>
            <w:vAlign w:val="bottom"/>
          </w:tcPr>
          <w:p w14:paraId="3E8A03F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173,541</w:t>
            </w:r>
          </w:p>
        </w:tc>
        <w:tc>
          <w:tcPr>
            <w:tcW w:w="0" w:type="dxa"/>
            <w:shd w:val="clear" w:color="auto" w:fill="D9E2F3"/>
            <w:noWrap/>
            <w:vAlign w:val="bottom"/>
          </w:tcPr>
          <w:p w14:paraId="4FC7C2B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47,875</w:t>
            </w:r>
          </w:p>
        </w:tc>
        <w:tc>
          <w:tcPr>
            <w:tcW w:w="0" w:type="dxa"/>
            <w:shd w:val="clear" w:color="auto" w:fill="D9E2F3"/>
            <w:noWrap/>
            <w:vAlign w:val="bottom"/>
          </w:tcPr>
          <w:p w14:paraId="3D8512F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34,698</w:t>
            </w:r>
          </w:p>
        </w:tc>
      </w:tr>
      <w:tr w:rsidR="00DA0E15" w14:paraId="5D9776EF"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vAlign w:val="center"/>
          </w:tcPr>
          <w:p w14:paraId="3189F043"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sz w:val="18"/>
                <w:szCs w:val="18"/>
                <w:lang w:val="hy-AM"/>
              </w:rPr>
              <w:t>«Բարձրավոլտ էլեկտրական ցանցեր ՓԲԸ</w:t>
            </w:r>
          </w:p>
        </w:tc>
        <w:tc>
          <w:tcPr>
            <w:tcW w:w="776" w:type="dxa"/>
            <w:noWrap/>
            <w:vAlign w:val="bottom"/>
          </w:tcPr>
          <w:p w14:paraId="13D3180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93,894</w:t>
            </w:r>
          </w:p>
        </w:tc>
        <w:tc>
          <w:tcPr>
            <w:tcW w:w="0" w:type="dxa"/>
            <w:noWrap/>
            <w:vAlign w:val="bottom"/>
          </w:tcPr>
          <w:p w14:paraId="244C93C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18%</w:t>
            </w:r>
          </w:p>
        </w:tc>
        <w:tc>
          <w:tcPr>
            <w:tcW w:w="0" w:type="dxa"/>
            <w:noWrap/>
            <w:vAlign w:val="bottom"/>
          </w:tcPr>
          <w:p w14:paraId="28CE736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115,737</w:t>
            </w:r>
          </w:p>
        </w:tc>
        <w:tc>
          <w:tcPr>
            <w:tcW w:w="0" w:type="dxa"/>
            <w:noWrap/>
            <w:vAlign w:val="bottom"/>
          </w:tcPr>
          <w:p w14:paraId="132E8AD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119,756</w:t>
            </w:r>
          </w:p>
        </w:tc>
        <w:tc>
          <w:tcPr>
            <w:tcW w:w="0" w:type="dxa"/>
            <w:noWrap/>
            <w:vAlign w:val="bottom"/>
          </w:tcPr>
          <w:p w14:paraId="7B91321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w:t>
            </w:r>
          </w:p>
        </w:tc>
        <w:tc>
          <w:tcPr>
            <w:tcW w:w="0" w:type="dxa"/>
            <w:noWrap/>
            <w:vAlign w:val="bottom"/>
          </w:tcPr>
          <w:p w14:paraId="0C3ABFD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131,548</w:t>
            </w:r>
          </w:p>
        </w:tc>
        <w:tc>
          <w:tcPr>
            <w:tcW w:w="0" w:type="dxa"/>
            <w:noWrap/>
            <w:vAlign w:val="bottom"/>
          </w:tcPr>
          <w:p w14:paraId="44DDA8B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25,862</w:t>
            </w:r>
          </w:p>
        </w:tc>
        <w:tc>
          <w:tcPr>
            <w:tcW w:w="0" w:type="dxa"/>
            <w:noWrap/>
            <w:vAlign w:val="bottom"/>
          </w:tcPr>
          <w:p w14:paraId="069D5A2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15,811</w:t>
            </w:r>
          </w:p>
        </w:tc>
      </w:tr>
      <w:tr w:rsidR="00DA0E15" w14:paraId="6E4ED305"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16BA8B97"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Հայջրմուղկոյուղի ՓԲԸ</w:t>
            </w:r>
          </w:p>
        </w:tc>
        <w:tc>
          <w:tcPr>
            <w:tcW w:w="776" w:type="dxa"/>
            <w:shd w:val="clear" w:color="auto" w:fill="D9E2F3"/>
            <w:noWrap/>
            <w:vAlign w:val="bottom"/>
          </w:tcPr>
          <w:p w14:paraId="0D89CE6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19,631</w:t>
            </w:r>
          </w:p>
        </w:tc>
        <w:tc>
          <w:tcPr>
            <w:tcW w:w="0" w:type="dxa"/>
            <w:shd w:val="clear" w:color="auto" w:fill="D9E2F3"/>
            <w:noWrap/>
            <w:vAlign w:val="bottom"/>
          </w:tcPr>
          <w:p w14:paraId="7ABF7E1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w:t>
            </w:r>
          </w:p>
        </w:tc>
        <w:tc>
          <w:tcPr>
            <w:tcW w:w="0" w:type="dxa"/>
            <w:shd w:val="clear" w:color="auto" w:fill="D9E2F3"/>
            <w:noWrap/>
            <w:vAlign w:val="bottom"/>
          </w:tcPr>
          <w:p w14:paraId="1F54EED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w:t>
            </w:r>
          </w:p>
        </w:tc>
        <w:tc>
          <w:tcPr>
            <w:tcW w:w="0" w:type="dxa"/>
            <w:shd w:val="clear" w:color="auto" w:fill="D9E2F3"/>
            <w:noWrap/>
            <w:vAlign w:val="bottom"/>
          </w:tcPr>
          <w:p w14:paraId="185B16F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38,735</w:t>
            </w:r>
          </w:p>
        </w:tc>
        <w:tc>
          <w:tcPr>
            <w:tcW w:w="0" w:type="dxa"/>
            <w:shd w:val="clear" w:color="auto" w:fill="D9E2F3"/>
            <w:noWrap/>
            <w:vAlign w:val="bottom"/>
          </w:tcPr>
          <w:p w14:paraId="798C639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w:t>
            </w:r>
          </w:p>
        </w:tc>
        <w:tc>
          <w:tcPr>
            <w:tcW w:w="0" w:type="dxa"/>
            <w:shd w:val="clear" w:color="auto" w:fill="D9E2F3"/>
            <w:noWrap/>
            <w:vAlign w:val="bottom"/>
          </w:tcPr>
          <w:p w14:paraId="19D630C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shd w:val="clear" w:color="auto" w:fill="D9E2F3"/>
            <w:noWrap/>
            <w:vAlign w:val="bottom"/>
          </w:tcPr>
          <w:p w14:paraId="491981A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19,104</w:t>
            </w:r>
          </w:p>
        </w:tc>
        <w:tc>
          <w:tcPr>
            <w:tcW w:w="0" w:type="dxa"/>
            <w:shd w:val="clear" w:color="auto" w:fill="D9E2F3"/>
            <w:noWrap/>
            <w:vAlign w:val="bottom"/>
          </w:tcPr>
          <w:p w14:paraId="728EE0B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7F76956B"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tcPr>
          <w:p w14:paraId="6102563C"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Երևանի հենակետային բժշկական քոլեջ ՓԲԸ</w:t>
            </w:r>
          </w:p>
        </w:tc>
        <w:tc>
          <w:tcPr>
            <w:tcW w:w="0" w:type="dxa"/>
            <w:noWrap/>
            <w:vAlign w:val="bottom"/>
          </w:tcPr>
          <w:p w14:paraId="31B3198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31,177</w:t>
            </w:r>
          </w:p>
        </w:tc>
        <w:tc>
          <w:tcPr>
            <w:tcW w:w="0" w:type="dxa"/>
            <w:noWrap/>
            <w:vAlign w:val="bottom"/>
          </w:tcPr>
          <w:p w14:paraId="3EE7592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w:t>
            </w:r>
          </w:p>
        </w:tc>
        <w:tc>
          <w:tcPr>
            <w:tcW w:w="0" w:type="dxa"/>
            <w:noWrap/>
            <w:vAlign w:val="bottom"/>
          </w:tcPr>
          <w:p w14:paraId="4C54632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w:t>
            </w:r>
          </w:p>
        </w:tc>
        <w:tc>
          <w:tcPr>
            <w:tcW w:w="0" w:type="dxa"/>
            <w:noWrap/>
            <w:vAlign w:val="bottom"/>
          </w:tcPr>
          <w:p w14:paraId="5C6D4A5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24,879</w:t>
            </w:r>
          </w:p>
        </w:tc>
        <w:tc>
          <w:tcPr>
            <w:tcW w:w="0" w:type="dxa"/>
            <w:noWrap/>
            <w:vAlign w:val="bottom"/>
          </w:tcPr>
          <w:p w14:paraId="67C94CF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w:t>
            </w:r>
          </w:p>
        </w:tc>
        <w:tc>
          <w:tcPr>
            <w:tcW w:w="0" w:type="dxa"/>
            <w:noWrap/>
            <w:vAlign w:val="bottom"/>
          </w:tcPr>
          <w:p w14:paraId="309A480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noWrap/>
            <w:vAlign w:val="bottom"/>
          </w:tcPr>
          <w:p w14:paraId="29CA9D3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(6,298)</w:t>
            </w:r>
          </w:p>
        </w:tc>
        <w:tc>
          <w:tcPr>
            <w:tcW w:w="0" w:type="dxa"/>
            <w:noWrap/>
            <w:vAlign w:val="bottom"/>
          </w:tcPr>
          <w:p w14:paraId="5CFD60C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74F2628E"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034F35FE"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Կարեն Դեմիրճյանի անվան Երևանի մետրոպոլիտեն ՓԲԸ</w:t>
            </w:r>
          </w:p>
        </w:tc>
        <w:tc>
          <w:tcPr>
            <w:tcW w:w="0" w:type="dxa"/>
            <w:shd w:val="clear" w:color="auto" w:fill="D9E2F3"/>
            <w:noWrap/>
            <w:vAlign w:val="bottom"/>
          </w:tcPr>
          <w:p w14:paraId="10D6F82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10,125</w:t>
            </w:r>
          </w:p>
        </w:tc>
        <w:tc>
          <w:tcPr>
            <w:tcW w:w="0" w:type="dxa"/>
            <w:shd w:val="clear" w:color="auto" w:fill="D9E2F3"/>
            <w:noWrap/>
            <w:vAlign w:val="bottom"/>
          </w:tcPr>
          <w:p w14:paraId="21FB212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w:t>
            </w:r>
          </w:p>
        </w:tc>
        <w:tc>
          <w:tcPr>
            <w:tcW w:w="0" w:type="dxa"/>
            <w:shd w:val="clear" w:color="auto" w:fill="D9E2F3"/>
            <w:noWrap/>
            <w:vAlign w:val="bottom"/>
          </w:tcPr>
          <w:p w14:paraId="3A33A0F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10,178</w:t>
            </w:r>
          </w:p>
        </w:tc>
        <w:tc>
          <w:tcPr>
            <w:tcW w:w="0" w:type="dxa"/>
            <w:shd w:val="clear" w:color="auto" w:fill="D9E2F3"/>
            <w:noWrap/>
            <w:vAlign w:val="bottom"/>
          </w:tcPr>
          <w:p w14:paraId="69B4299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16,104</w:t>
            </w:r>
          </w:p>
        </w:tc>
        <w:tc>
          <w:tcPr>
            <w:tcW w:w="0" w:type="dxa"/>
            <w:shd w:val="clear" w:color="auto" w:fill="D9E2F3"/>
            <w:noWrap/>
            <w:vAlign w:val="bottom"/>
          </w:tcPr>
          <w:p w14:paraId="3FAC15E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w:t>
            </w:r>
          </w:p>
        </w:tc>
        <w:tc>
          <w:tcPr>
            <w:tcW w:w="0" w:type="dxa"/>
            <w:shd w:val="clear" w:color="auto" w:fill="D9E2F3"/>
            <w:noWrap/>
            <w:vAlign w:val="bottom"/>
          </w:tcPr>
          <w:p w14:paraId="47D0A0B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14,936</w:t>
            </w:r>
          </w:p>
        </w:tc>
        <w:tc>
          <w:tcPr>
            <w:tcW w:w="0" w:type="dxa"/>
            <w:shd w:val="clear" w:color="auto" w:fill="D9E2F3"/>
            <w:noWrap/>
            <w:vAlign w:val="bottom"/>
          </w:tcPr>
          <w:p w14:paraId="29B2AB5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5,979</w:t>
            </w:r>
          </w:p>
        </w:tc>
        <w:tc>
          <w:tcPr>
            <w:tcW w:w="0" w:type="dxa"/>
            <w:shd w:val="clear" w:color="auto" w:fill="D9E2F3"/>
            <w:noWrap/>
            <w:vAlign w:val="bottom"/>
          </w:tcPr>
          <w:p w14:paraId="4663925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4,759</w:t>
            </w:r>
          </w:p>
        </w:tc>
      </w:tr>
      <w:tr w:rsidR="00DA0E15" w14:paraId="6E0FE5BA"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tcPr>
          <w:p w14:paraId="11BBD5F4"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sz w:val="18"/>
                <w:szCs w:val="18"/>
                <w:lang w:val="hy-AM"/>
              </w:rPr>
              <w:t xml:space="preserve">«Էլեկտրաէներգետիկական համակարգի օպերատոր» </w:t>
            </w:r>
            <w:r>
              <w:rPr>
                <w:rFonts w:ascii="Calibri" w:eastAsia="Times New Roman" w:hAnsi="Calibri" w:cs="Calibri"/>
                <w:b w:val="0"/>
                <w:sz w:val="18"/>
                <w:szCs w:val="18"/>
                <w:lang w:val="hy-AM"/>
              </w:rPr>
              <w:t> </w:t>
            </w:r>
            <w:r>
              <w:rPr>
                <w:rFonts w:eastAsia="Times New Roman" w:cs="Times New Roman"/>
                <w:b w:val="0"/>
                <w:sz w:val="18"/>
                <w:szCs w:val="18"/>
                <w:lang w:val="hy-AM"/>
              </w:rPr>
              <w:t>ՓԲԸ</w:t>
            </w:r>
          </w:p>
        </w:tc>
        <w:tc>
          <w:tcPr>
            <w:tcW w:w="0" w:type="dxa"/>
            <w:noWrap/>
            <w:vAlign w:val="bottom"/>
          </w:tcPr>
          <w:p w14:paraId="6E0BA89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9,107</w:t>
            </w:r>
          </w:p>
        </w:tc>
        <w:tc>
          <w:tcPr>
            <w:tcW w:w="0" w:type="dxa"/>
            <w:noWrap/>
            <w:vAlign w:val="bottom"/>
          </w:tcPr>
          <w:p w14:paraId="504E7B9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w:t>
            </w:r>
          </w:p>
        </w:tc>
        <w:tc>
          <w:tcPr>
            <w:tcW w:w="0" w:type="dxa"/>
            <w:noWrap/>
            <w:vAlign w:val="bottom"/>
          </w:tcPr>
          <w:p w14:paraId="6DE95E6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10,346</w:t>
            </w:r>
          </w:p>
        </w:tc>
        <w:tc>
          <w:tcPr>
            <w:tcW w:w="0" w:type="dxa"/>
            <w:noWrap/>
            <w:vAlign w:val="bottom"/>
          </w:tcPr>
          <w:p w14:paraId="2CD74E8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13,809</w:t>
            </w:r>
          </w:p>
        </w:tc>
        <w:tc>
          <w:tcPr>
            <w:tcW w:w="0" w:type="dxa"/>
            <w:noWrap/>
            <w:vAlign w:val="bottom"/>
          </w:tcPr>
          <w:p w14:paraId="5AEBE15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w:t>
            </w:r>
          </w:p>
        </w:tc>
        <w:tc>
          <w:tcPr>
            <w:tcW w:w="0" w:type="dxa"/>
            <w:noWrap/>
            <w:vAlign w:val="bottom"/>
          </w:tcPr>
          <w:p w14:paraId="262F9F3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14,190</w:t>
            </w:r>
          </w:p>
        </w:tc>
        <w:tc>
          <w:tcPr>
            <w:tcW w:w="0" w:type="dxa"/>
            <w:noWrap/>
            <w:vAlign w:val="bottom"/>
          </w:tcPr>
          <w:p w14:paraId="0BFBE31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4,702</w:t>
            </w:r>
          </w:p>
        </w:tc>
        <w:tc>
          <w:tcPr>
            <w:tcW w:w="0" w:type="dxa"/>
            <w:noWrap/>
            <w:vAlign w:val="bottom"/>
          </w:tcPr>
          <w:p w14:paraId="5942ADB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3,844</w:t>
            </w:r>
          </w:p>
        </w:tc>
      </w:tr>
      <w:tr w:rsidR="00DA0E15" w14:paraId="0AE3E69E"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72ED0801"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Հայփոստ ՓԲԸ</w:t>
            </w:r>
          </w:p>
        </w:tc>
        <w:tc>
          <w:tcPr>
            <w:tcW w:w="0" w:type="dxa"/>
            <w:shd w:val="clear" w:color="auto" w:fill="D9E2F3"/>
            <w:noWrap/>
            <w:vAlign w:val="bottom"/>
          </w:tcPr>
          <w:p w14:paraId="0A58FCE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10,427</w:t>
            </w:r>
          </w:p>
        </w:tc>
        <w:tc>
          <w:tcPr>
            <w:tcW w:w="0" w:type="dxa"/>
            <w:shd w:val="clear" w:color="auto" w:fill="D9E2F3"/>
            <w:noWrap/>
            <w:vAlign w:val="bottom"/>
          </w:tcPr>
          <w:p w14:paraId="12EA40F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w:t>
            </w:r>
          </w:p>
        </w:tc>
        <w:tc>
          <w:tcPr>
            <w:tcW w:w="0" w:type="dxa"/>
            <w:shd w:val="clear" w:color="auto" w:fill="D9E2F3"/>
            <w:noWrap/>
            <w:vAlign w:val="bottom"/>
          </w:tcPr>
          <w:p w14:paraId="3FCA4B6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w:t>
            </w:r>
          </w:p>
        </w:tc>
        <w:tc>
          <w:tcPr>
            <w:tcW w:w="0" w:type="dxa"/>
            <w:shd w:val="clear" w:color="auto" w:fill="D9E2F3"/>
            <w:noWrap/>
            <w:vAlign w:val="bottom"/>
          </w:tcPr>
          <w:p w14:paraId="4EBB467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24,342</w:t>
            </w:r>
          </w:p>
        </w:tc>
        <w:tc>
          <w:tcPr>
            <w:tcW w:w="0" w:type="dxa"/>
            <w:shd w:val="clear" w:color="auto" w:fill="D9E2F3"/>
            <w:noWrap/>
            <w:vAlign w:val="bottom"/>
          </w:tcPr>
          <w:p w14:paraId="018B4F3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w:t>
            </w:r>
          </w:p>
        </w:tc>
        <w:tc>
          <w:tcPr>
            <w:tcW w:w="0" w:type="dxa"/>
            <w:shd w:val="clear" w:color="auto" w:fill="D9E2F3"/>
            <w:noWrap/>
            <w:vAlign w:val="bottom"/>
          </w:tcPr>
          <w:p w14:paraId="586A16B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shd w:val="clear" w:color="auto" w:fill="D9E2F3"/>
            <w:noWrap/>
            <w:vAlign w:val="bottom"/>
          </w:tcPr>
          <w:p w14:paraId="78F562D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13,915</w:t>
            </w:r>
          </w:p>
        </w:tc>
        <w:tc>
          <w:tcPr>
            <w:tcW w:w="0" w:type="dxa"/>
            <w:shd w:val="clear" w:color="auto" w:fill="D9E2F3"/>
            <w:noWrap/>
            <w:vAlign w:val="bottom"/>
          </w:tcPr>
          <w:p w14:paraId="78DE801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79E1A367"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tcPr>
          <w:p w14:paraId="6412F82A"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Ծաղկաձորի գլխավոր մարզահամալիր ՓԲԸ</w:t>
            </w:r>
          </w:p>
        </w:tc>
        <w:tc>
          <w:tcPr>
            <w:tcW w:w="0" w:type="dxa"/>
            <w:noWrap/>
            <w:vAlign w:val="bottom"/>
          </w:tcPr>
          <w:p w14:paraId="46C7490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8,607</w:t>
            </w:r>
          </w:p>
        </w:tc>
        <w:tc>
          <w:tcPr>
            <w:tcW w:w="0" w:type="dxa"/>
            <w:noWrap/>
            <w:vAlign w:val="bottom"/>
          </w:tcPr>
          <w:p w14:paraId="6648C53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w:t>
            </w:r>
          </w:p>
        </w:tc>
        <w:tc>
          <w:tcPr>
            <w:tcW w:w="0" w:type="dxa"/>
            <w:noWrap/>
            <w:vAlign w:val="bottom"/>
          </w:tcPr>
          <w:p w14:paraId="10C1BF1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w:t>
            </w:r>
          </w:p>
        </w:tc>
        <w:tc>
          <w:tcPr>
            <w:tcW w:w="0" w:type="dxa"/>
            <w:noWrap/>
            <w:vAlign w:val="bottom"/>
          </w:tcPr>
          <w:p w14:paraId="73CDC55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8,646</w:t>
            </w:r>
          </w:p>
        </w:tc>
        <w:tc>
          <w:tcPr>
            <w:tcW w:w="0" w:type="dxa"/>
            <w:noWrap/>
            <w:vAlign w:val="bottom"/>
          </w:tcPr>
          <w:p w14:paraId="381802C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noWrap/>
            <w:vAlign w:val="bottom"/>
          </w:tcPr>
          <w:p w14:paraId="0C2F6F6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noWrap/>
            <w:vAlign w:val="bottom"/>
          </w:tcPr>
          <w:p w14:paraId="12D267F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39</w:t>
            </w:r>
          </w:p>
        </w:tc>
        <w:tc>
          <w:tcPr>
            <w:tcW w:w="0" w:type="dxa"/>
            <w:noWrap/>
            <w:vAlign w:val="bottom"/>
          </w:tcPr>
          <w:p w14:paraId="2CEC220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30E43AF7"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6046B036"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Հայսատանի հանրային հեռուստաընկերություն ՓԲԸ</w:t>
            </w:r>
          </w:p>
        </w:tc>
        <w:tc>
          <w:tcPr>
            <w:tcW w:w="0" w:type="dxa"/>
            <w:shd w:val="clear" w:color="auto" w:fill="D9E2F3"/>
            <w:noWrap/>
            <w:vAlign w:val="bottom"/>
          </w:tcPr>
          <w:p w14:paraId="12E2E2F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5,680</w:t>
            </w:r>
          </w:p>
        </w:tc>
        <w:tc>
          <w:tcPr>
            <w:tcW w:w="0" w:type="dxa"/>
            <w:shd w:val="clear" w:color="auto" w:fill="D9E2F3"/>
            <w:noWrap/>
            <w:vAlign w:val="bottom"/>
          </w:tcPr>
          <w:p w14:paraId="2529949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shd w:val="clear" w:color="auto" w:fill="D9E2F3"/>
            <w:noWrap/>
            <w:vAlign w:val="bottom"/>
          </w:tcPr>
          <w:p w14:paraId="4736388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w:t>
            </w:r>
          </w:p>
        </w:tc>
        <w:tc>
          <w:tcPr>
            <w:tcW w:w="0" w:type="dxa"/>
            <w:shd w:val="clear" w:color="auto" w:fill="D9E2F3"/>
            <w:noWrap/>
            <w:vAlign w:val="bottom"/>
          </w:tcPr>
          <w:p w14:paraId="06244EF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8,840</w:t>
            </w:r>
          </w:p>
        </w:tc>
        <w:tc>
          <w:tcPr>
            <w:tcW w:w="0" w:type="dxa"/>
            <w:shd w:val="clear" w:color="auto" w:fill="D9E2F3"/>
            <w:noWrap/>
            <w:vAlign w:val="bottom"/>
          </w:tcPr>
          <w:p w14:paraId="39F5459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shd w:val="clear" w:color="auto" w:fill="D9E2F3"/>
            <w:noWrap/>
            <w:vAlign w:val="bottom"/>
          </w:tcPr>
          <w:p w14:paraId="117BD47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shd w:val="clear" w:color="auto" w:fill="D9E2F3"/>
            <w:noWrap/>
            <w:vAlign w:val="bottom"/>
          </w:tcPr>
          <w:p w14:paraId="56921FC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3,160</w:t>
            </w:r>
          </w:p>
        </w:tc>
        <w:tc>
          <w:tcPr>
            <w:tcW w:w="0" w:type="dxa"/>
            <w:shd w:val="clear" w:color="auto" w:fill="D9E2F3"/>
            <w:noWrap/>
            <w:vAlign w:val="bottom"/>
          </w:tcPr>
          <w:p w14:paraId="3ED9497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509C3B4E"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tcPr>
          <w:p w14:paraId="3EB6DC50"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Շիրակ-ջրմուղկոյուղի ՓԲԸ</w:t>
            </w:r>
          </w:p>
        </w:tc>
        <w:tc>
          <w:tcPr>
            <w:tcW w:w="0" w:type="dxa"/>
            <w:noWrap/>
            <w:vAlign w:val="bottom"/>
          </w:tcPr>
          <w:p w14:paraId="082EC6F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5,312</w:t>
            </w:r>
          </w:p>
        </w:tc>
        <w:tc>
          <w:tcPr>
            <w:tcW w:w="0" w:type="dxa"/>
            <w:noWrap/>
            <w:vAlign w:val="bottom"/>
          </w:tcPr>
          <w:p w14:paraId="0593229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noWrap/>
            <w:vAlign w:val="bottom"/>
          </w:tcPr>
          <w:p w14:paraId="78A3755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w:t>
            </w:r>
          </w:p>
        </w:tc>
        <w:tc>
          <w:tcPr>
            <w:tcW w:w="0" w:type="dxa"/>
            <w:noWrap/>
            <w:vAlign w:val="bottom"/>
          </w:tcPr>
          <w:p w14:paraId="31D96D1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421</w:t>
            </w:r>
          </w:p>
        </w:tc>
        <w:tc>
          <w:tcPr>
            <w:tcW w:w="0" w:type="dxa"/>
            <w:noWrap/>
            <w:vAlign w:val="bottom"/>
          </w:tcPr>
          <w:p w14:paraId="7D39CC5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noWrap/>
            <w:vAlign w:val="bottom"/>
          </w:tcPr>
          <w:p w14:paraId="2D61E58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noWrap/>
            <w:vAlign w:val="bottom"/>
          </w:tcPr>
          <w:p w14:paraId="1FB01D1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(6,970)</w:t>
            </w:r>
          </w:p>
        </w:tc>
        <w:tc>
          <w:tcPr>
            <w:tcW w:w="0" w:type="dxa"/>
            <w:noWrap/>
            <w:vAlign w:val="bottom"/>
          </w:tcPr>
          <w:p w14:paraId="42584D5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1C6F155F"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149BEF5D"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«Վ. Ա. Ֆանարջյանի անվան ուռուցքաբանության ազգային կենտրոն» ՓԲԸ</w:t>
            </w:r>
          </w:p>
        </w:tc>
        <w:tc>
          <w:tcPr>
            <w:tcW w:w="0" w:type="dxa"/>
            <w:shd w:val="clear" w:color="auto" w:fill="D9E2F3"/>
            <w:noWrap/>
            <w:vAlign w:val="bottom"/>
          </w:tcPr>
          <w:p w14:paraId="3D3A75F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6,150</w:t>
            </w:r>
          </w:p>
        </w:tc>
        <w:tc>
          <w:tcPr>
            <w:tcW w:w="0" w:type="dxa"/>
            <w:shd w:val="clear" w:color="auto" w:fill="D9E2F3"/>
            <w:noWrap/>
            <w:vAlign w:val="bottom"/>
          </w:tcPr>
          <w:p w14:paraId="06CC3A8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shd w:val="clear" w:color="auto" w:fill="D9E2F3"/>
            <w:noWrap/>
            <w:vAlign w:val="bottom"/>
          </w:tcPr>
          <w:p w14:paraId="63EE36E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w:t>
            </w:r>
          </w:p>
        </w:tc>
        <w:tc>
          <w:tcPr>
            <w:tcW w:w="0" w:type="dxa"/>
            <w:shd w:val="clear" w:color="auto" w:fill="D9E2F3"/>
            <w:noWrap/>
            <w:vAlign w:val="bottom"/>
          </w:tcPr>
          <w:p w14:paraId="44BDA21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6,150</w:t>
            </w:r>
          </w:p>
        </w:tc>
        <w:tc>
          <w:tcPr>
            <w:tcW w:w="0" w:type="dxa"/>
            <w:shd w:val="clear" w:color="auto" w:fill="D9E2F3"/>
            <w:noWrap/>
            <w:vAlign w:val="bottom"/>
          </w:tcPr>
          <w:p w14:paraId="3A0072E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shd w:val="clear" w:color="auto" w:fill="D9E2F3"/>
            <w:noWrap/>
            <w:vAlign w:val="bottom"/>
          </w:tcPr>
          <w:p w14:paraId="3E45996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shd w:val="clear" w:color="auto" w:fill="D9E2F3"/>
            <w:noWrap/>
            <w:vAlign w:val="bottom"/>
          </w:tcPr>
          <w:p w14:paraId="0F1B042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2,969</w:t>
            </w:r>
          </w:p>
        </w:tc>
        <w:tc>
          <w:tcPr>
            <w:tcW w:w="0" w:type="dxa"/>
            <w:shd w:val="clear" w:color="auto" w:fill="D9E2F3"/>
            <w:noWrap/>
            <w:vAlign w:val="bottom"/>
          </w:tcPr>
          <w:p w14:paraId="1A7BDA3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162F1619"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tcPr>
          <w:p w14:paraId="6C93A97D"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Նաիրիտ-2 ՓԲԸ</w:t>
            </w:r>
          </w:p>
        </w:tc>
        <w:tc>
          <w:tcPr>
            <w:tcW w:w="0" w:type="dxa"/>
            <w:noWrap/>
            <w:vAlign w:val="bottom"/>
          </w:tcPr>
          <w:p w14:paraId="77DA014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6,110</w:t>
            </w:r>
          </w:p>
        </w:tc>
        <w:tc>
          <w:tcPr>
            <w:tcW w:w="0" w:type="dxa"/>
            <w:noWrap/>
            <w:vAlign w:val="bottom"/>
          </w:tcPr>
          <w:p w14:paraId="01706ED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noWrap/>
            <w:vAlign w:val="bottom"/>
          </w:tcPr>
          <w:p w14:paraId="51590AC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w:t>
            </w:r>
          </w:p>
        </w:tc>
        <w:tc>
          <w:tcPr>
            <w:tcW w:w="0" w:type="dxa"/>
            <w:noWrap/>
            <w:vAlign w:val="bottom"/>
          </w:tcPr>
          <w:p w14:paraId="5FFFDBA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15,284</w:t>
            </w:r>
          </w:p>
        </w:tc>
        <w:tc>
          <w:tcPr>
            <w:tcW w:w="0" w:type="dxa"/>
            <w:noWrap/>
            <w:vAlign w:val="bottom"/>
          </w:tcPr>
          <w:p w14:paraId="759B373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w:t>
            </w:r>
          </w:p>
        </w:tc>
        <w:tc>
          <w:tcPr>
            <w:tcW w:w="0" w:type="dxa"/>
            <w:noWrap/>
            <w:vAlign w:val="bottom"/>
          </w:tcPr>
          <w:p w14:paraId="5EA1273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noWrap/>
            <w:vAlign w:val="bottom"/>
          </w:tcPr>
          <w:p w14:paraId="676B6AA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9,174</w:t>
            </w:r>
          </w:p>
        </w:tc>
        <w:tc>
          <w:tcPr>
            <w:tcW w:w="0" w:type="dxa"/>
            <w:noWrap/>
            <w:vAlign w:val="bottom"/>
          </w:tcPr>
          <w:p w14:paraId="1EE6C56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3AADBC23"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276F7A3A"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Նորք Մարաշ բժշկական կենտրոն ՓԲԸ</w:t>
            </w:r>
          </w:p>
        </w:tc>
        <w:tc>
          <w:tcPr>
            <w:tcW w:w="0" w:type="dxa"/>
            <w:shd w:val="clear" w:color="auto" w:fill="D9E2F3"/>
            <w:noWrap/>
            <w:vAlign w:val="bottom"/>
          </w:tcPr>
          <w:p w14:paraId="7AB0BEE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5,741</w:t>
            </w:r>
          </w:p>
        </w:tc>
        <w:tc>
          <w:tcPr>
            <w:tcW w:w="0" w:type="dxa"/>
            <w:shd w:val="clear" w:color="auto" w:fill="D9E2F3"/>
            <w:noWrap/>
            <w:vAlign w:val="bottom"/>
          </w:tcPr>
          <w:p w14:paraId="6999DC0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shd w:val="clear" w:color="auto" w:fill="D9E2F3"/>
            <w:noWrap/>
            <w:vAlign w:val="bottom"/>
          </w:tcPr>
          <w:p w14:paraId="4E9B90B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w:t>
            </w:r>
          </w:p>
        </w:tc>
        <w:tc>
          <w:tcPr>
            <w:tcW w:w="0" w:type="dxa"/>
            <w:shd w:val="clear" w:color="auto" w:fill="D9E2F3"/>
            <w:noWrap/>
            <w:vAlign w:val="bottom"/>
          </w:tcPr>
          <w:p w14:paraId="410B02C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5,822</w:t>
            </w:r>
          </w:p>
        </w:tc>
        <w:tc>
          <w:tcPr>
            <w:tcW w:w="0" w:type="dxa"/>
            <w:shd w:val="clear" w:color="auto" w:fill="D9E2F3"/>
            <w:noWrap/>
            <w:vAlign w:val="bottom"/>
          </w:tcPr>
          <w:p w14:paraId="5E76B81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shd w:val="clear" w:color="auto" w:fill="D9E2F3"/>
            <w:noWrap/>
            <w:vAlign w:val="bottom"/>
          </w:tcPr>
          <w:p w14:paraId="0B81AA8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shd w:val="clear" w:color="auto" w:fill="D9E2F3"/>
            <w:noWrap/>
            <w:vAlign w:val="bottom"/>
          </w:tcPr>
          <w:p w14:paraId="08785BF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80</w:t>
            </w:r>
          </w:p>
        </w:tc>
        <w:tc>
          <w:tcPr>
            <w:tcW w:w="0" w:type="dxa"/>
            <w:shd w:val="clear" w:color="auto" w:fill="D9E2F3"/>
            <w:noWrap/>
            <w:vAlign w:val="bottom"/>
          </w:tcPr>
          <w:p w14:paraId="0C6C881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15E79E46"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tcPr>
          <w:p w14:paraId="36176621"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Ռադիոիզոտոպների արտադրության կենտրոն ՓԲԸ</w:t>
            </w:r>
          </w:p>
        </w:tc>
        <w:tc>
          <w:tcPr>
            <w:tcW w:w="0" w:type="dxa"/>
            <w:noWrap/>
            <w:vAlign w:val="bottom"/>
          </w:tcPr>
          <w:p w14:paraId="3AB5CA8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2,889</w:t>
            </w:r>
          </w:p>
        </w:tc>
        <w:tc>
          <w:tcPr>
            <w:tcW w:w="0" w:type="dxa"/>
            <w:noWrap/>
            <w:vAlign w:val="bottom"/>
          </w:tcPr>
          <w:p w14:paraId="6B28061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noWrap/>
            <w:vAlign w:val="bottom"/>
          </w:tcPr>
          <w:p w14:paraId="797DB6A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Calibri"/>
                <w:color w:val="000000"/>
                <w:sz w:val="18"/>
                <w:szCs w:val="18"/>
                <w:lang w:val="hy-AM"/>
              </w:rPr>
              <w:t>4,545</w:t>
            </w:r>
          </w:p>
        </w:tc>
        <w:tc>
          <w:tcPr>
            <w:tcW w:w="0" w:type="dxa"/>
            <w:noWrap/>
            <w:vAlign w:val="bottom"/>
          </w:tcPr>
          <w:p w14:paraId="66D4337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2,470</w:t>
            </w:r>
          </w:p>
        </w:tc>
        <w:tc>
          <w:tcPr>
            <w:tcW w:w="0" w:type="dxa"/>
            <w:noWrap/>
            <w:vAlign w:val="bottom"/>
          </w:tcPr>
          <w:p w14:paraId="75C6B17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noWrap/>
            <w:vAlign w:val="bottom"/>
          </w:tcPr>
          <w:p w14:paraId="6292471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3,857</w:t>
            </w:r>
          </w:p>
        </w:tc>
        <w:tc>
          <w:tcPr>
            <w:tcW w:w="0" w:type="dxa"/>
            <w:noWrap/>
            <w:vAlign w:val="bottom"/>
          </w:tcPr>
          <w:p w14:paraId="20BF288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(419)</w:t>
            </w:r>
          </w:p>
        </w:tc>
        <w:tc>
          <w:tcPr>
            <w:tcW w:w="0" w:type="dxa"/>
            <w:noWrap/>
            <w:vAlign w:val="bottom"/>
          </w:tcPr>
          <w:p w14:paraId="6082D30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(688)</w:t>
            </w:r>
          </w:p>
        </w:tc>
      </w:tr>
      <w:tr w:rsidR="00DA0E15" w14:paraId="6FA23E62"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71AFA344"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Արտաշատի բժշկական կենտրոն ՓԲԸ</w:t>
            </w:r>
          </w:p>
        </w:tc>
        <w:tc>
          <w:tcPr>
            <w:tcW w:w="0" w:type="dxa"/>
            <w:shd w:val="clear" w:color="auto" w:fill="D9E2F3"/>
            <w:noWrap/>
            <w:vAlign w:val="bottom"/>
          </w:tcPr>
          <w:p w14:paraId="7A175E9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2,483</w:t>
            </w:r>
          </w:p>
        </w:tc>
        <w:tc>
          <w:tcPr>
            <w:tcW w:w="0" w:type="dxa"/>
            <w:shd w:val="clear" w:color="auto" w:fill="D9E2F3"/>
            <w:noWrap/>
            <w:vAlign w:val="bottom"/>
          </w:tcPr>
          <w:p w14:paraId="6D95911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shd w:val="clear" w:color="auto" w:fill="D9E2F3"/>
            <w:noWrap/>
            <w:vAlign w:val="bottom"/>
          </w:tcPr>
          <w:p w14:paraId="1DEAFF89"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0" w:type="dxa"/>
            <w:shd w:val="clear" w:color="auto" w:fill="D9E2F3"/>
            <w:noWrap/>
            <w:vAlign w:val="bottom"/>
          </w:tcPr>
          <w:p w14:paraId="5B59F3D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2,404</w:t>
            </w:r>
          </w:p>
        </w:tc>
        <w:tc>
          <w:tcPr>
            <w:tcW w:w="0" w:type="dxa"/>
            <w:shd w:val="clear" w:color="auto" w:fill="D9E2F3"/>
            <w:noWrap/>
            <w:vAlign w:val="bottom"/>
          </w:tcPr>
          <w:p w14:paraId="24EBC35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shd w:val="clear" w:color="auto" w:fill="D9E2F3"/>
            <w:noWrap/>
            <w:vAlign w:val="bottom"/>
          </w:tcPr>
          <w:p w14:paraId="03B0AFD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shd w:val="clear" w:color="auto" w:fill="D9E2F3"/>
            <w:noWrap/>
            <w:vAlign w:val="bottom"/>
          </w:tcPr>
          <w:p w14:paraId="2C57053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2,383</w:t>
            </w:r>
          </w:p>
        </w:tc>
        <w:tc>
          <w:tcPr>
            <w:tcW w:w="0" w:type="dxa"/>
            <w:shd w:val="clear" w:color="auto" w:fill="D9E2F3"/>
            <w:noWrap/>
            <w:vAlign w:val="bottom"/>
          </w:tcPr>
          <w:p w14:paraId="2170636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3599C6D5"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tcPr>
          <w:p w14:paraId="3E4018E2"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Սուրբ Գրիգոր Լուսավորիչ բժշկական կենտրոն ՓԲԸ</w:t>
            </w:r>
          </w:p>
        </w:tc>
        <w:tc>
          <w:tcPr>
            <w:tcW w:w="0" w:type="dxa"/>
            <w:noWrap/>
          </w:tcPr>
          <w:p w14:paraId="3C07638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2,454</w:t>
            </w:r>
          </w:p>
        </w:tc>
        <w:tc>
          <w:tcPr>
            <w:tcW w:w="0" w:type="dxa"/>
            <w:noWrap/>
          </w:tcPr>
          <w:p w14:paraId="028117B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noWrap/>
          </w:tcPr>
          <w:p w14:paraId="2D76B43F"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0" w:type="dxa"/>
            <w:noWrap/>
          </w:tcPr>
          <w:p w14:paraId="3DEDB1A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11,617</w:t>
            </w:r>
          </w:p>
        </w:tc>
        <w:tc>
          <w:tcPr>
            <w:tcW w:w="0" w:type="dxa"/>
            <w:noWrap/>
          </w:tcPr>
          <w:p w14:paraId="62C5193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noWrap/>
          </w:tcPr>
          <w:p w14:paraId="3E64A8F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noWrap/>
          </w:tcPr>
          <w:p w14:paraId="36B2299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9,163</w:t>
            </w:r>
          </w:p>
        </w:tc>
        <w:tc>
          <w:tcPr>
            <w:tcW w:w="0" w:type="dxa"/>
            <w:noWrap/>
          </w:tcPr>
          <w:p w14:paraId="6BF1C83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3FFD8A7F"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676DBAB5"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«Պրոֆեսոր Ռ. Օ. Յոլյանի անվան արյունաբանական կենտրոն» ՓԲԸ</w:t>
            </w:r>
          </w:p>
        </w:tc>
        <w:tc>
          <w:tcPr>
            <w:tcW w:w="0" w:type="dxa"/>
            <w:shd w:val="clear" w:color="auto" w:fill="D9E2F3"/>
            <w:noWrap/>
          </w:tcPr>
          <w:p w14:paraId="77A0B01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2,126</w:t>
            </w:r>
          </w:p>
        </w:tc>
        <w:tc>
          <w:tcPr>
            <w:tcW w:w="0" w:type="dxa"/>
            <w:shd w:val="clear" w:color="auto" w:fill="D9E2F3"/>
            <w:noWrap/>
          </w:tcPr>
          <w:p w14:paraId="6A8FF8E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shd w:val="clear" w:color="auto" w:fill="D9E2F3"/>
            <w:noWrap/>
          </w:tcPr>
          <w:p w14:paraId="304CD00C"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0" w:type="dxa"/>
            <w:shd w:val="clear" w:color="auto" w:fill="D9E2F3"/>
            <w:noWrap/>
          </w:tcPr>
          <w:p w14:paraId="0DD6283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6,446</w:t>
            </w:r>
          </w:p>
        </w:tc>
        <w:tc>
          <w:tcPr>
            <w:tcW w:w="0" w:type="dxa"/>
            <w:shd w:val="clear" w:color="auto" w:fill="D9E2F3"/>
            <w:noWrap/>
          </w:tcPr>
          <w:p w14:paraId="6BD08C6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0" w:type="dxa"/>
            <w:shd w:val="clear" w:color="auto" w:fill="D9E2F3"/>
            <w:noWrap/>
          </w:tcPr>
          <w:p w14:paraId="3AA6685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shd w:val="clear" w:color="auto" w:fill="D9E2F3"/>
            <w:noWrap/>
          </w:tcPr>
          <w:p w14:paraId="1CFE8CD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4,320</w:t>
            </w:r>
          </w:p>
        </w:tc>
        <w:tc>
          <w:tcPr>
            <w:tcW w:w="0" w:type="dxa"/>
            <w:shd w:val="clear" w:color="auto" w:fill="D9E2F3"/>
            <w:noWrap/>
          </w:tcPr>
          <w:p w14:paraId="6C6D811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61B60FCF"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tcPr>
          <w:p w14:paraId="7CB706D2"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Հայավտոկայան ՓԲԸ</w:t>
            </w:r>
          </w:p>
        </w:tc>
        <w:tc>
          <w:tcPr>
            <w:tcW w:w="0" w:type="dxa"/>
            <w:noWrap/>
          </w:tcPr>
          <w:p w14:paraId="148D9A9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1,246</w:t>
            </w:r>
          </w:p>
        </w:tc>
        <w:tc>
          <w:tcPr>
            <w:tcW w:w="0" w:type="dxa"/>
            <w:noWrap/>
          </w:tcPr>
          <w:p w14:paraId="176FF60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noWrap/>
          </w:tcPr>
          <w:p w14:paraId="3D3D8730"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0" w:type="dxa"/>
            <w:noWrap/>
          </w:tcPr>
          <w:p w14:paraId="7C781BD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1,339</w:t>
            </w:r>
          </w:p>
        </w:tc>
        <w:tc>
          <w:tcPr>
            <w:tcW w:w="0" w:type="dxa"/>
            <w:noWrap/>
          </w:tcPr>
          <w:p w14:paraId="26D029E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noWrap/>
          </w:tcPr>
          <w:p w14:paraId="1AE4118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noWrap/>
          </w:tcPr>
          <w:p w14:paraId="3A8151F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93</w:t>
            </w:r>
          </w:p>
        </w:tc>
        <w:tc>
          <w:tcPr>
            <w:tcW w:w="0" w:type="dxa"/>
            <w:noWrap/>
          </w:tcPr>
          <w:p w14:paraId="0E3350F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081D3588"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2089709C"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Շտապբուժօգնություն ՓԲԸ</w:t>
            </w:r>
          </w:p>
        </w:tc>
        <w:tc>
          <w:tcPr>
            <w:tcW w:w="0" w:type="dxa"/>
            <w:shd w:val="clear" w:color="auto" w:fill="D9E2F3"/>
            <w:noWrap/>
          </w:tcPr>
          <w:p w14:paraId="53B1E68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1,811</w:t>
            </w:r>
          </w:p>
        </w:tc>
        <w:tc>
          <w:tcPr>
            <w:tcW w:w="0" w:type="dxa"/>
            <w:shd w:val="clear" w:color="auto" w:fill="D9E2F3"/>
            <w:noWrap/>
          </w:tcPr>
          <w:p w14:paraId="6AE61C1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shd w:val="clear" w:color="auto" w:fill="D9E2F3"/>
            <w:noWrap/>
          </w:tcPr>
          <w:p w14:paraId="18D17887"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0" w:type="dxa"/>
            <w:shd w:val="clear" w:color="auto" w:fill="D9E2F3"/>
            <w:noWrap/>
          </w:tcPr>
          <w:p w14:paraId="37098D6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3,520</w:t>
            </w:r>
          </w:p>
        </w:tc>
        <w:tc>
          <w:tcPr>
            <w:tcW w:w="0" w:type="dxa"/>
            <w:shd w:val="clear" w:color="auto" w:fill="D9E2F3"/>
            <w:noWrap/>
          </w:tcPr>
          <w:p w14:paraId="0482E21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shd w:val="clear" w:color="auto" w:fill="D9E2F3"/>
            <w:noWrap/>
          </w:tcPr>
          <w:p w14:paraId="2C286A3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shd w:val="clear" w:color="auto" w:fill="D9E2F3"/>
            <w:noWrap/>
          </w:tcPr>
          <w:p w14:paraId="258096D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1,709</w:t>
            </w:r>
          </w:p>
        </w:tc>
        <w:tc>
          <w:tcPr>
            <w:tcW w:w="0" w:type="dxa"/>
            <w:shd w:val="clear" w:color="auto" w:fill="D9E2F3"/>
            <w:noWrap/>
          </w:tcPr>
          <w:p w14:paraId="51280A3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7615F09E"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noWrap/>
          </w:tcPr>
          <w:p w14:paraId="639B4971" w14:textId="77777777" w:rsidR="00DA0E15" w:rsidRDefault="00362131">
            <w:pPr>
              <w:spacing w:before="0" w:after="0" w:line="240" w:lineRule="auto"/>
              <w:ind w:firstLine="0"/>
              <w:jc w:val="left"/>
              <w:rPr>
                <w:rFonts w:cs="Times New Roman"/>
                <w:bCs w:val="0"/>
                <w:sz w:val="18"/>
                <w:szCs w:val="18"/>
                <w:lang w:val="hy-AM"/>
              </w:rPr>
            </w:pPr>
            <w:r>
              <w:rPr>
                <w:b w:val="0"/>
                <w:iCs/>
                <w:sz w:val="18"/>
                <w:szCs w:val="18"/>
                <w:lang w:val="hy-AM"/>
              </w:rPr>
              <w:t>«Շիրակացու ճեմարան» միջազգային գիտակրթական համալիր ՓԲԸ</w:t>
            </w:r>
          </w:p>
        </w:tc>
        <w:tc>
          <w:tcPr>
            <w:tcW w:w="0" w:type="dxa"/>
            <w:noWrap/>
          </w:tcPr>
          <w:p w14:paraId="575D663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1,698</w:t>
            </w:r>
          </w:p>
        </w:tc>
        <w:tc>
          <w:tcPr>
            <w:tcW w:w="0" w:type="dxa"/>
            <w:noWrap/>
          </w:tcPr>
          <w:p w14:paraId="35282B7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noWrap/>
          </w:tcPr>
          <w:p w14:paraId="6118775A"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0" w:type="dxa"/>
            <w:noWrap/>
          </w:tcPr>
          <w:p w14:paraId="02A7B2F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2,307</w:t>
            </w:r>
          </w:p>
        </w:tc>
        <w:tc>
          <w:tcPr>
            <w:tcW w:w="0" w:type="dxa"/>
            <w:noWrap/>
          </w:tcPr>
          <w:p w14:paraId="76890CC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noWrap/>
          </w:tcPr>
          <w:p w14:paraId="02BB71A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noWrap/>
          </w:tcPr>
          <w:p w14:paraId="6C04ECB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609</w:t>
            </w:r>
          </w:p>
        </w:tc>
        <w:tc>
          <w:tcPr>
            <w:tcW w:w="0" w:type="dxa"/>
            <w:noWrap/>
          </w:tcPr>
          <w:p w14:paraId="13F9ED6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3EB2810B" w14:textId="77777777" w:rsidTr="00DA0E15">
        <w:trPr>
          <w:trHeight w:val="300"/>
        </w:trPr>
        <w:tc>
          <w:tcPr>
            <w:cnfStyle w:val="001000000000" w:firstRow="0" w:lastRow="0" w:firstColumn="1" w:lastColumn="0" w:oddVBand="0" w:evenVBand="0" w:oddHBand="0" w:evenHBand="0" w:firstRowFirstColumn="0" w:firstRowLastColumn="0" w:lastRowFirstColumn="0" w:lastRowLastColumn="0"/>
            <w:tcW w:w="3662" w:type="dxa"/>
            <w:shd w:val="clear" w:color="auto" w:fill="D9E2F3"/>
            <w:noWrap/>
          </w:tcPr>
          <w:p w14:paraId="42BCD9EE"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Փարկինգ Սիթի Սերվիս ՓԲԸ</w:t>
            </w:r>
          </w:p>
        </w:tc>
        <w:tc>
          <w:tcPr>
            <w:tcW w:w="0" w:type="dxa"/>
            <w:shd w:val="clear" w:color="auto" w:fill="D9E2F3"/>
            <w:noWrap/>
          </w:tcPr>
          <w:p w14:paraId="6201551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1,744</w:t>
            </w:r>
          </w:p>
        </w:tc>
        <w:tc>
          <w:tcPr>
            <w:tcW w:w="0" w:type="dxa"/>
            <w:shd w:val="clear" w:color="auto" w:fill="D9E2F3"/>
            <w:noWrap/>
          </w:tcPr>
          <w:p w14:paraId="682AB7E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shd w:val="clear" w:color="auto" w:fill="D9E2F3"/>
            <w:noWrap/>
          </w:tcPr>
          <w:p w14:paraId="49DD5974"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0" w:type="dxa"/>
            <w:shd w:val="clear" w:color="auto" w:fill="D9E2F3"/>
            <w:noWrap/>
          </w:tcPr>
          <w:p w14:paraId="4BBD96C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1,020</w:t>
            </w:r>
          </w:p>
        </w:tc>
        <w:tc>
          <w:tcPr>
            <w:tcW w:w="0" w:type="dxa"/>
            <w:shd w:val="clear" w:color="auto" w:fill="D9E2F3"/>
            <w:noWrap/>
          </w:tcPr>
          <w:p w14:paraId="434D14E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0" w:type="dxa"/>
            <w:shd w:val="clear" w:color="auto" w:fill="D9E2F3"/>
            <w:noWrap/>
          </w:tcPr>
          <w:p w14:paraId="7F278A8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0" w:type="dxa"/>
            <w:shd w:val="clear" w:color="auto" w:fill="D9E2F3"/>
            <w:noWrap/>
          </w:tcPr>
          <w:p w14:paraId="2AFA481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(723)</w:t>
            </w:r>
          </w:p>
        </w:tc>
        <w:tc>
          <w:tcPr>
            <w:tcW w:w="0" w:type="dxa"/>
            <w:shd w:val="clear" w:color="auto" w:fill="D9E2F3"/>
            <w:noWrap/>
          </w:tcPr>
          <w:p w14:paraId="5EAD701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bl>
    <w:p w14:paraId="610D568A" w14:textId="77777777" w:rsidR="00DA0E15" w:rsidRDefault="00DA0E15">
      <w:pPr>
        <w:spacing w:before="0" w:after="160" w:line="259" w:lineRule="auto"/>
        <w:ind w:firstLine="0"/>
        <w:jc w:val="left"/>
        <w:rPr>
          <w:rFonts w:ascii="Sylfaen" w:eastAsia="Calibri" w:hAnsi="Sylfaen" w:cs="Times New Roman"/>
          <w:lang w:val="hy-AM"/>
        </w:rPr>
      </w:pPr>
    </w:p>
    <w:p w14:paraId="57BDDA47" w14:textId="77777777" w:rsidR="00DA0E15" w:rsidRDefault="00362131" w:rsidP="00010E8E">
      <w:pPr>
        <w:pStyle w:val="afa"/>
        <w:rPr>
          <w:rFonts w:cs="Times New Roman"/>
          <w:iCs/>
          <w:color w:val="44546A"/>
        </w:rPr>
      </w:pPr>
      <w:r>
        <w:t>Աղյուսակ 5.5</w:t>
      </w:r>
      <w:r>
        <w:rPr>
          <w:iCs/>
          <w:color w:val="365F91" w:themeColor="accent1" w:themeShade="BF"/>
          <w:sz w:val="18"/>
          <w:szCs w:val="18"/>
        </w:rPr>
        <w:t xml:space="preserve"> </w:t>
      </w:r>
      <w:r>
        <w:t>Խոշոր պարտավորություններ ունեցող պետական մասնակցությամբ ընկերությունների ցուցանիշները (շարունակություն)</w:t>
      </w:r>
      <w:r>
        <w:rPr>
          <w:iCs/>
          <w:color w:val="365F91" w:themeColor="accent1" w:themeShade="BF"/>
          <w:sz w:val="18"/>
          <w:szCs w:val="18"/>
        </w:rPr>
        <w:t xml:space="preserve">    </w:t>
      </w:r>
      <w:r>
        <w:rPr>
          <w:rFonts w:cs="Times New Roman"/>
          <w:iCs/>
          <w:color w:val="44546A"/>
        </w:rPr>
        <w:t xml:space="preserve">  </w:t>
      </w:r>
    </w:p>
    <w:p w14:paraId="296BB015" w14:textId="77777777" w:rsidR="00DA0E15" w:rsidRDefault="00362131">
      <w:pPr>
        <w:keepNext/>
        <w:spacing w:before="0" w:after="0" w:line="240" w:lineRule="auto"/>
        <w:ind w:firstLine="0"/>
        <w:jc w:val="right"/>
        <w:rPr>
          <w:rFonts w:eastAsia="Calibri" w:cs="Times New Roman"/>
          <w:i/>
          <w:iCs/>
          <w:color w:val="44546A"/>
          <w:sz w:val="20"/>
          <w:szCs w:val="20"/>
          <w:lang w:val="hy-AM"/>
        </w:rPr>
      </w:pPr>
      <w:r>
        <w:rPr>
          <w:rFonts w:eastAsia="Calibri" w:cs="Times New Roman"/>
          <w:b/>
          <w:i/>
          <w:iCs/>
          <w:color w:val="44546A"/>
          <w:sz w:val="20"/>
          <w:szCs w:val="20"/>
          <w:lang w:val="hy-AM"/>
        </w:rPr>
        <w:t xml:space="preserve">                                                         </w:t>
      </w:r>
      <w:r>
        <w:rPr>
          <w:rFonts w:eastAsia="Calibri" w:cs="Times New Roman"/>
          <w:i/>
          <w:iCs/>
          <w:color w:val="44546A"/>
          <w:sz w:val="20"/>
          <w:szCs w:val="20"/>
          <w:lang w:val="hy-AM"/>
        </w:rPr>
        <w:t>մլն դրամ</w:t>
      </w:r>
    </w:p>
    <w:tbl>
      <w:tblPr>
        <w:tblStyle w:val="GridTable4-Accent12"/>
        <w:tblW w:w="0" w:type="auto"/>
        <w:tblLayout w:type="fixed"/>
        <w:tblLook w:val="04A0" w:firstRow="1" w:lastRow="0" w:firstColumn="1" w:lastColumn="0" w:noHBand="0" w:noVBand="1"/>
      </w:tblPr>
      <w:tblGrid>
        <w:gridCol w:w="4968"/>
        <w:gridCol w:w="930"/>
        <w:gridCol w:w="930"/>
        <w:gridCol w:w="930"/>
        <w:gridCol w:w="930"/>
        <w:gridCol w:w="930"/>
        <w:gridCol w:w="930"/>
      </w:tblGrid>
      <w:tr w:rsidR="00DA0E15" w14:paraId="61EDEC2B" w14:textId="77777777" w:rsidTr="00DA0E15">
        <w:trPr>
          <w:cnfStyle w:val="100000000000" w:firstRow="1" w:lastRow="0" w:firstColumn="0" w:lastColumn="0" w:oddVBand="0" w:evenVBand="0" w:oddHBand="0"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4968" w:type="dxa"/>
            <w:tcBorders>
              <w:top w:val="single" w:sz="4" w:space="0" w:color="auto"/>
              <w:left w:val="single" w:sz="4" w:space="0" w:color="auto"/>
              <w:bottom w:val="single" w:sz="4" w:space="0" w:color="auto"/>
            </w:tcBorders>
            <w:noWrap/>
          </w:tcPr>
          <w:p w14:paraId="234EEAC0" w14:textId="77777777" w:rsidR="00DA0E15" w:rsidRDefault="00362131">
            <w:pPr>
              <w:spacing w:before="0" w:after="0" w:line="240" w:lineRule="auto"/>
              <w:ind w:firstLine="0"/>
              <w:jc w:val="left"/>
              <w:rPr>
                <w:rFonts w:cs="Times New Roman"/>
                <w:b w:val="0"/>
                <w:bCs w:val="0"/>
                <w:sz w:val="18"/>
                <w:szCs w:val="18"/>
                <w:lang w:val="hy-AM"/>
              </w:rPr>
            </w:pPr>
            <w:r>
              <w:rPr>
                <w:rFonts w:ascii="Calibri" w:hAnsi="Calibri" w:cs="Calibri"/>
                <w:sz w:val="18"/>
                <w:szCs w:val="18"/>
                <w:lang w:val="hy-AM"/>
              </w:rPr>
              <w:t> </w:t>
            </w:r>
          </w:p>
        </w:tc>
        <w:tc>
          <w:tcPr>
            <w:tcW w:w="2790" w:type="dxa"/>
            <w:gridSpan w:val="3"/>
            <w:tcBorders>
              <w:top w:val="single" w:sz="4" w:space="0" w:color="auto"/>
              <w:left w:val="single" w:sz="4" w:space="0" w:color="auto"/>
              <w:bottom w:val="single" w:sz="4" w:space="0" w:color="auto"/>
            </w:tcBorders>
            <w:noWrap/>
            <w:vAlign w:val="center"/>
          </w:tcPr>
          <w:p w14:paraId="2590886A"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8"/>
                <w:szCs w:val="18"/>
                <w:lang w:val="hy-AM"/>
              </w:rPr>
            </w:pPr>
            <w:r>
              <w:rPr>
                <w:rFonts w:cs="Times New Roman"/>
                <w:sz w:val="18"/>
                <w:szCs w:val="18"/>
                <w:lang w:val="hy-AM"/>
              </w:rPr>
              <w:t>Իրացումից Հասույթ</w:t>
            </w:r>
          </w:p>
        </w:tc>
        <w:tc>
          <w:tcPr>
            <w:tcW w:w="2790" w:type="dxa"/>
            <w:gridSpan w:val="3"/>
            <w:tcBorders>
              <w:top w:val="single" w:sz="4" w:space="0" w:color="auto"/>
              <w:left w:val="single" w:sz="4" w:space="0" w:color="auto"/>
              <w:bottom w:val="single" w:sz="4" w:space="0" w:color="auto"/>
              <w:right w:val="single" w:sz="4" w:space="0" w:color="auto"/>
            </w:tcBorders>
            <w:noWrap/>
            <w:vAlign w:val="center"/>
          </w:tcPr>
          <w:p w14:paraId="34CE1AFB"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8"/>
                <w:szCs w:val="18"/>
                <w:lang w:val="hy-AM"/>
              </w:rPr>
            </w:pPr>
            <w:r>
              <w:rPr>
                <w:rFonts w:cs="Times New Roman"/>
                <w:sz w:val="18"/>
                <w:szCs w:val="18"/>
                <w:lang w:val="hy-AM"/>
              </w:rPr>
              <w:t>Զուտ շահույթ/վնաս</w:t>
            </w:r>
          </w:p>
        </w:tc>
      </w:tr>
      <w:tr w:rsidR="00DA0E15" w14:paraId="65E0B77B"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tcBorders>
              <w:top w:val="single" w:sz="4" w:space="0" w:color="auto"/>
            </w:tcBorders>
            <w:shd w:val="clear" w:color="auto" w:fill="D9E2F3"/>
            <w:noWrap/>
          </w:tcPr>
          <w:p w14:paraId="7F8A176B" w14:textId="77777777" w:rsidR="00DA0E15" w:rsidRDefault="00362131">
            <w:pPr>
              <w:spacing w:before="0" w:after="0" w:line="240" w:lineRule="auto"/>
              <w:ind w:firstLine="0"/>
              <w:jc w:val="left"/>
              <w:rPr>
                <w:rFonts w:cs="Times New Roman"/>
                <w:b w:val="0"/>
                <w:bCs w:val="0"/>
                <w:sz w:val="18"/>
                <w:szCs w:val="18"/>
                <w:lang w:val="hy-AM"/>
              </w:rPr>
            </w:pPr>
            <w:r>
              <w:rPr>
                <w:rFonts w:cs="Times New Roman"/>
                <w:sz w:val="18"/>
                <w:szCs w:val="18"/>
                <w:lang w:val="hy-AM"/>
              </w:rPr>
              <w:t>Անվանում</w:t>
            </w:r>
          </w:p>
        </w:tc>
        <w:tc>
          <w:tcPr>
            <w:tcW w:w="930" w:type="dxa"/>
            <w:tcBorders>
              <w:top w:val="single" w:sz="4" w:space="0" w:color="auto"/>
            </w:tcBorders>
            <w:shd w:val="clear" w:color="auto" w:fill="D9E2F3"/>
            <w:noWrap/>
          </w:tcPr>
          <w:p w14:paraId="6FB14FF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sz w:val="18"/>
                <w:szCs w:val="18"/>
                <w:lang w:val="hy-AM"/>
              </w:rPr>
            </w:pPr>
            <w:r>
              <w:rPr>
                <w:rFonts w:cs="Times New Roman"/>
                <w:b/>
                <w:bCs/>
                <w:sz w:val="18"/>
                <w:szCs w:val="18"/>
                <w:lang w:val="hy-AM"/>
              </w:rPr>
              <w:t>2018</w:t>
            </w:r>
          </w:p>
        </w:tc>
        <w:tc>
          <w:tcPr>
            <w:tcW w:w="930" w:type="dxa"/>
            <w:tcBorders>
              <w:top w:val="single" w:sz="4" w:space="0" w:color="auto"/>
            </w:tcBorders>
            <w:shd w:val="clear" w:color="auto" w:fill="D9E2F3"/>
            <w:noWrap/>
          </w:tcPr>
          <w:p w14:paraId="0056A15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sz w:val="18"/>
                <w:szCs w:val="18"/>
                <w:lang w:val="hy-AM"/>
              </w:rPr>
            </w:pPr>
            <w:r>
              <w:rPr>
                <w:rFonts w:cs="Times New Roman"/>
                <w:b/>
                <w:bCs/>
                <w:sz w:val="18"/>
                <w:szCs w:val="18"/>
                <w:lang w:val="hy-AM"/>
              </w:rPr>
              <w:t>2019</w:t>
            </w:r>
          </w:p>
        </w:tc>
        <w:tc>
          <w:tcPr>
            <w:tcW w:w="930" w:type="dxa"/>
            <w:tcBorders>
              <w:top w:val="single" w:sz="4" w:space="0" w:color="auto"/>
            </w:tcBorders>
            <w:shd w:val="clear" w:color="auto" w:fill="D9E2F3"/>
            <w:noWrap/>
          </w:tcPr>
          <w:p w14:paraId="16772C0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sz w:val="18"/>
                <w:szCs w:val="18"/>
                <w:lang w:val="hy-AM"/>
              </w:rPr>
            </w:pPr>
            <w:r>
              <w:rPr>
                <w:rFonts w:cs="Times New Roman"/>
                <w:b/>
                <w:bCs/>
                <w:sz w:val="18"/>
                <w:szCs w:val="18"/>
                <w:lang w:val="hy-AM"/>
              </w:rPr>
              <w:t>2020</w:t>
            </w:r>
          </w:p>
        </w:tc>
        <w:tc>
          <w:tcPr>
            <w:tcW w:w="930" w:type="dxa"/>
            <w:tcBorders>
              <w:top w:val="single" w:sz="4" w:space="0" w:color="auto"/>
            </w:tcBorders>
            <w:shd w:val="clear" w:color="auto" w:fill="D9E2F3"/>
            <w:noWrap/>
          </w:tcPr>
          <w:p w14:paraId="74E15B6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sz w:val="18"/>
                <w:szCs w:val="18"/>
                <w:lang w:val="hy-AM"/>
              </w:rPr>
            </w:pPr>
            <w:r>
              <w:rPr>
                <w:rFonts w:cs="Times New Roman"/>
                <w:b/>
                <w:bCs/>
                <w:sz w:val="18"/>
                <w:szCs w:val="18"/>
                <w:lang w:val="hy-AM"/>
              </w:rPr>
              <w:t>2018</w:t>
            </w:r>
          </w:p>
        </w:tc>
        <w:tc>
          <w:tcPr>
            <w:tcW w:w="930" w:type="dxa"/>
            <w:tcBorders>
              <w:top w:val="single" w:sz="4" w:space="0" w:color="auto"/>
            </w:tcBorders>
            <w:shd w:val="clear" w:color="auto" w:fill="D9E2F3"/>
            <w:noWrap/>
          </w:tcPr>
          <w:p w14:paraId="047BF8C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sz w:val="18"/>
                <w:szCs w:val="18"/>
                <w:lang w:val="hy-AM"/>
              </w:rPr>
            </w:pPr>
            <w:r>
              <w:rPr>
                <w:rFonts w:cs="Times New Roman"/>
                <w:b/>
                <w:bCs/>
                <w:sz w:val="18"/>
                <w:szCs w:val="18"/>
                <w:lang w:val="hy-AM"/>
              </w:rPr>
              <w:t>2019</w:t>
            </w:r>
          </w:p>
        </w:tc>
        <w:tc>
          <w:tcPr>
            <w:tcW w:w="930" w:type="dxa"/>
            <w:tcBorders>
              <w:top w:val="single" w:sz="4" w:space="0" w:color="auto"/>
            </w:tcBorders>
            <w:shd w:val="clear" w:color="auto" w:fill="D9E2F3"/>
            <w:noWrap/>
          </w:tcPr>
          <w:p w14:paraId="2303DA7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sz w:val="18"/>
                <w:szCs w:val="18"/>
                <w:lang w:val="hy-AM"/>
              </w:rPr>
            </w:pPr>
            <w:r>
              <w:rPr>
                <w:rFonts w:cs="Times New Roman"/>
                <w:b/>
                <w:bCs/>
                <w:sz w:val="18"/>
                <w:szCs w:val="18"/>
                <w:lang w:val="hy-AM"/>
              </w:rPr>
              <w:t>2020</w:t>
            </w:r>
          </w:p>
        </w:tc>
      </w:tr>
      <w:tr w:rsidR="00DA0E15" w14:paraId="6B07D4C3"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noWrap/>
            <w:vAlign w:val="center"/>
          </w:tcPr>
          <w:p w14:paraId="78EBE8FC"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«Երևանի ջերմաէլեկտրակենտրոն  ՓԲԸ</w:t>
            </w:r>
          </w:p>
        </w:tc>
        <w:tc>
          <w:tcPr>
            <w:tcW w:w="930" w:type="dxa"/>
            <w:noWrap/>
          </w:tcPr>
          <w:p w14:paraId="0D55FCB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94,238</w:t>
            </w:r>
          </w:p>
        </w:tc>
        <w:tc>
          <w:tcPr>
            <w:tcW w:w="930" w:type="dxa"/>
            <w:noWrap/>
          </w:tcPr>
          <w:p w14:paraId="36CBD09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74,975</w:t>
            </w:r>
          </w:p>
        </w:tc>
        <w:tc>
          <w:tcPr>
            <w:tcW w:w="930" w:type="dxa"/>
            <w:noWrap/>
          </w:tcPr>
          <w:p w14:paraId="440D225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77,310</w:t>
            </w:r>
          </w:p>
        </w:tc>
        <w:tc>
          <w:tcPr>
            <w:tcW w:w="930" w:type="dxa"/>
            <w:noWrap/>
          </w:tcPr>
          <w:p w14:paraId="46EB516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41</w:t>
            </w:r>
          </w:p>
        </w:tc>
        <w:tc>
          <w:tcPr>
            <w:tcW w:w="930" w:type="dxa"/>
            <w:noWrap/>
          </w:tcPr>
          <w:p w14:paraId="4C9DADA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1,262</w:t>
            </w:r>
          </w:p>
        </w:tc>
        <w:tc>
          <w:tcPr>
            <w:tcW w:w="930" w:type="dxa"/>
            <w:noWrap/>
          </w:tcPr>
          <w:p w14:paraId="581CFC4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(11,972)</w:t>
            </w:r>
          </w:p>
        </w:tc>
      </w:tr>
      <w:tr w:rsidR="00DA0E15" w14:paraId="1FC4E061"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shd w:val="clear" w:color="auto" w:fill="D9E2F3"/>
            <w:noWrap/>
            <w:vAlign w:val="center"/>
          </w:tcPr>
          <w:p w14:paraId="267A1EEC"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«Հայկական ատոմային էլեկտրակայան ՓԲԸ</w:t>
            </w:r>
          </w:p>
        </w:tc>
        <w:tc>
          <w:tcPr>
            <w:tcW w:w="930" w:type="dxa"/>
            <w:shd w:val="clear" w:color="auto" w:fill="D9E2F3"/>
            <w:noWrap/>
          </w:tcPr>
          <w:p w14:paraId="360114B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17,437</w:t>
            </w:r>
          </w:p>
        </w:tc>
        <w:tc>
          <w:tcPr>
            <w:tcW w:w="930" w:type="dxa"/>
            <w:shd w:val="clear" w:color="auto" w:fill="D9E2F3"/>
            <w:noWrap/>
          </w:tcPr>
          <w:p w14:paraId="6285315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22,655</w:t>
            </w:r>
          </w:p>
        </w:tc>
        <w:tc>
          <w:tcPr>
            <w:tcW w:w="930" w:type="dxa"/>
            <w:shd w:val="clear" w:color="auto" w:fill="D9E2F3"/>
            <w:noWrap/>
          </w:tcPr>
          <w:p w14:paraId="2AC27D3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29,410</w:t>
            </w:r>
          </w:p>
        </w:tc>
        <w:tc>
          <w:tcPr>
            <w:tcW w:w="930" w:type="dxa"/>
            <w:shd w:val="clear" w:color="auto" w:fill="D9E2F3"/>
            <w:noWrap/>
          </w:tcPr>
          <w:p w14:paraId="0249AF8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(3,166)</w:t>
            </w:r>
          </w:p>
        </w:tc>
        <w:tc>
          <w:tcPr>
            <w:tcW w:w="930" w:type="dxa"/>
            <w:shd w:val="clear" w:color="auto" w:fill="D9E2F3"/>
            <w:noWrap/>
          </w:tcPr>
          <w:p w14:paraId="5FE0532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(1,363)</w:t>
            </w:r>
          </w:p>
        </w:tc>
        <w:tc>
          <w:tcPr>
            <w:tcW w:w="930" w:type="dxa"/>
            <w:shd w:val="clear" w:color="auto" w:fill="D9E2F3"/>
            <w:noWrap/>
          </w:tcPr>
          <w:p w14:paraId="3BE3732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(12,797)</w:t>
            </w:r>
          </w:p>
        </w:tc>
      </w:tr>
      <w:tr w:rsidR="00DA0E15" w14:paraId="027AC3C0"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noWrap/>
            <w:vAlign w:val="center"/>
          </w:tcPr>
          <w:p w14:paraId="5EE0BAD5"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sz w:val="18"/>
                <w:szCs w:val="18"/>
                <w:lang w:val="hy-AM"/>
              </w:rPr>
              <w:t>«Բարձրավոլտ էլեկտրական ցանցեր ՓԲԸ</w:t>
            </w:r>
          </w:p>
        </w:tc>
        <w:tc>
          <w:tcPr>
            <w:tcW w:w="930" w:type="dxa"/>
            <w:noWrap/>
          </w:tcPr>
          <w:p w14:paraId="6E6C762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7,857</w:t>
            </w:r>
          </w:p>
        </w:tc>
        <w:tc>
          <w:tcPr>
            <w:tcW w:w="930" w:type="dxa"/>
            <w:noWrap/>
          </w:tcPr>
          <w:p w14:paraId="51FDFB9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7,699</w:t>
            </w:r>
          </w:p>
        </w:tc>
        <w:tc>
          <w:tcPr>
            <w:tcW w:w="930" w:type="dxa"/>
            <w:noWrap/>
          </w:tcPr>
          <w:p w14:paraId="17AA34C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noWrap/>
          </w:tcPr>
          <w:p w14:paraId="77B6F34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2,440</w:t>
            </w:r>
          </w:p>
        </w:tc>
        <w:tc>
          <w:tcPr>
            <w:tcW w:w="930" w:type="dxa"/>
            <w:noWrap/>
          </w:tcPr>
          <w:p w14:paraId="40A0E8B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2,439</w:t>
            </w:r>
          </w:p>
        </w:tc>
        <w:tc>
          <w:tcPr>
            <w:tcW w:w="930" w:type="dxa"/>
            <w:noWrap/>
          </w:tcPr>
          <w:p w14:paraId="780C147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4AE4D5C1"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shd w:val="clear" w:color="auto" w:fill="D9E2F3"/>
            <w:noWrap/>
          </w:tcPr>
          <w:p w14:paraId="3AB4430A"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Հայջրմուղկոյուղի ՓԲԸ</w:t>
            </w:r>
          </w:p>
        </w:tc>
        <w:tc>
          <w:tcPr>
            <w:tcW w:w="930" w:type="dxa"/>
            <w:shd w:val="clear" w:color="auto" w:fill="D9E2F3"/>
            <w:noWrap/>
          </w:tcPr>
          <w:p w14:paraId="307CA98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shd w:val="clear" w:color="auto" w:fill="D9E2F3"/>
            <w:noWrap/>
          </w:tcPr>
          <w:p w14:paraId="397FA6A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shd w:val="clear" w:color="auto" w:fill="D9E2F3"/>
            <w:noWrap/>
          </w:tcPr>
          <w:p w14:paraId="7129715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shd w:val="clear" w:color="auto" w:fill="D9E2F3"/>
            <w:noWrap/>
          </w:tcPr>
          <w:p w14:paraId="5DEE0F8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(4,759)</w:t>
            </w:r>
          </w:p>
        </w:tc>
        <w:tc>
          <w:tcPr>
            <w:tcW w:w="930" w:type="dxa"/>
            <w:shd w:val="clear" w:color="auto" w:fill="D9E2F3"/>
            <w:noWrap/>
          </w:tcPr>
          <w:p w14:paraId="10D7019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1,671</w:t>
            </w:r>
          </w:p>
        </w:tc>
        <w:tc>
          <w:tcPr>
            <w:tcW w:w="930" w:type="dxa"/>
            <w:shd w:val="clear" w:color="auto" w:fill="D9E2F3"/>
            <w:noWrap/>
          </w:tcPr>
          <w:p w14:paraId="2363E8C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51892E81"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noWrap/>
          </w:tcPr>
          <w:p w14:paraId="47E93C4F"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Երևանի հենակետային բժշկական քոլեջ ՓԲԸ</w:t>
            </w:r>
          </w:p>
        </w:tc>
        <w:tc>
          <w:tcPr>
            <w:tcW w:w="930" w:type="dxa"/>
            <w:noWrap/>
          </w:tcPr>
          <w:p w14:paraId="59BB6B7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61,482</w:t>
            </w:r>
          </w:p>
        </w:tc>
        <w:tc>
          <w:tcPr>
            <w:tcW w:w="930" w:type="dxa"/>
            <w:noWrap/>
          </w:tcPr>
          <w:p w14:paraId="0616294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36,162</w:t>
            </w:r>
          </w:p>
        </w:tc>
        <w:tc>
          <w:tcPr>
            <w:tcW w:w="930" w:type="dxa"/>
            <w:noWrap/>
          </w:tcPr>
          <w:p w14:paraId="1B3AE82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noWrap/>
          </w:tcPr>
          <w:p w14:paraId="3DE90C1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(13,130)</w:t>
            </w:r>
          </w:p>
        </w:tc>
        <w:tc>
          <w:tcPr>
            <w:tcW w:w="930" w:type="dxa"/>
            <w:noWrap/>
          </w:tcPr>
          <w:p w14:paraId="3080B13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3,622</w:t>
            </w:r>
          </w:p>
        </w:tc>
        <w:tc>
          <w:tcPr>
            <w:tcW w:w="930" w:type="dxa"/>
            <w:noWrap/>
          </w:tcPr>
          <w:p w14:paraId="541C021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3B0EC91A"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shd w:val="clear" w:color="auto" w:fill="D9E2F3"/>
            <w:noWrap/>
          </w:tcPr>
          <w:p w14:paraId="16C9F843"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Կարեն Դեմիրճյանի անվան Երևանի մետրոպոլիտեն ՓԲԸ</w:t>
            </w:r>
          </w:p>
        </w:tc>
        <w:tc>
          <w:tcPr>
            <w:tcW w:w="930" w:type="dxa"/>
            <w:shd w:val="clear" w:color="auto" w:fill="D9E2F3"/>
            <w:noWrap/>
          </w:tcPr>
          <w:p w14:paraId="5D45DD4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1,725</w:t>
            </w:r>
          </w:p>
        </w:tc>
        <w:tc>
          <w:tcPr>
            <w:tcW w:w="930" w:type="dxa"/>
            <w:shd w:val="clear" w:color="auto" w:fill="D9E2F3"/>
            <w:noWrap/>
          </w:tcPr>
          <w:p w14:paraId="5C47F7A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4,805</w:t>
            </w:r>
          </w:p>
        </w:tc>
        <w:tc>
          <w:tcPr>
            <w:tcW w:w="930" w:type="dxa"/>
            <w:shd w:val="clear" w:color="auto" w:fill="D9E2F3"/>
            <w:noWrap/>
          </w:tcPr>
          <w:p w14:paraId="4FF5180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3,861</w:t>
            </w:r>
          </w:p>
        </w:tc>
        <w:tc>
          <w:tcPr>
            <w:tcW w:w="930" w:type="dxa"/>
            <w:shd w:val="clear" w:color="auto" w:fill="D9E2F3"/>
            <w:noWrap/>
          </w:tcPr>
          <w:p w14:paraId="08A804F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877</w:t>
            </w:r>
          </w:p>
        </w:tc>
        <w:tc>
          <w:tcPr>
            <w:tcW w:w="930" w:type="dxa"/>
            <w:shd w:val="clear" w:color="auto" w:fill="D9E2F3"/>
            <w:noWrap/>
          </w:tcPr>
          <w:p w14:paraId="30D3163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790</w:t>
            </w:r>
          </w:p>
        </w:tc>
        <w:tc>
          <w:tcPr>
            <w:tcW w:w="930" w:type="dxa"/>
            <w:shd w:val="clear" w:color="auto" w:fill="D9E2F3"/>
            <w:noWrap/>
          </w:tcPr>
          <w:p w14:paraId="2D08862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(1,220)</w:t>
            </w:r>
          </w:p>
        </w:tc>
      </w:tr>
      <w:tr w:rsidR="00DA0E15" w14:paraId="7F91F8DA"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noWrap/>
          </w:tcPr>
          <w:p w14:paraId="4145C2DC"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sz w:val="18"/>
                <w:szCs w:val="18"/>
                <w:lang w:val="hy-AM"/>
              </w:rPr>
              <w:t xml:space="preserve">«Էլեկտրաէներգետիկական համակարգի օպերատոր» </w:t>
            </w:r>
            <w:r>
              <w:rPr>
                <w:rFonts w:ascii="Calibri" w:eastAsia="Times New Roman" w:hAnsi="Calibri" w:cs="Calibri"/>
                <w:b w:val="0"/>
                <w:sz w:val="18"/>
                <w:szCs w:val="18"/>
                <w:lang w:val="hy-AM"/>
              </w:rPr>
              <w:t> </w:t>
            </w:r>
            <w:r>
              <w:rPr>
                <w:rFonts w:eastAsia="Times New Roman" w:cs="Times New Roman"/>
                <w:b w:val="0"/>
                <w:sz w:val="18"/>
                <w:szCs w:val="18"/>
                <w:lang w:val="hy-AM"/>
              </w:rPr>
              <w:t>ՓԲԸ</w:t>
            </w:r>
          </w:p>
        </w:tc>
        <w:tc>
          <w:tcPr>
            <w:tcW w:w="930" w:type="dxa"/>
            <w:noWrap/>
          </w:tcPr>
          <w:p w14:paraId="2C5158A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1,924</w:t>
            </w:r>
          </w:p>
        </w:tc>
        <w:tc>
          <w:tcPr>
            <w:tcW w:w="930" w:type="dxa"/>
            <w:noWrap/>
          </w:tcPr>
          <w:p w14:paraId="47C2B34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1,909</w:t>
            </w:r>
          </w:p>
        </w:tc>
        <w:tc>
          <w:tcPr>
            <w:tcW w:w="930" w:type="dxa"/>
            <w:noWrap/>
          </w:tcPr>
          <w:p w14:paraId="1364252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2,029</w:t>
            </w:r>
          </w:p>
        </w:tc>
        <w:tc>
          <w:tcPr>
            <w:tcW w:w="930" w:type="dxa"/>
            <w:noWrap/>
          </w:tcPr>
          <w:p w14:paraId="03F2F14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w:t>
            </w:r>
          </w:p>
        </w:tc>
        <w:tc>
          <w:tcPr>
            <w:tcW w:w="930" w:type="dxa"/>
            <w:noWrap/>
          </w:tcPr>
          <w:p w14:paraId="1A1F515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18</w:t>
            </w:r>
          </w:p>
        </w:tc>
        <w:tc>
          <w:tcPr>
            <w:tcW w:w="930" w:type="dxa"/>
            <w:noWrap/>
          </w:tcPr>
          <w:p w14:paraId="3E81407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(839)</w:t>
            </w:r>
          </w:p>
        </w:tc>
      </w:tr>
      <w:tr w:rsidR="00DA0E15" w14:paraId="35FEA315"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shd w:val="clear" w:color="auto" w:fill="D9E2F3"/>
            <w:noWrap/>
          </w:tcPr>
          <w:p w14:paraId="1E04C02E"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Հայփոստ ՓԲԸ</w:t>
            </w:r>
          </w:p>
        </w:tc>
        <w:tc>
          <w:tcPr>
            <w:tcW w:w="930" w:type="dxa"/>
            <w:shd w:val="clear" w:color="auto" w:fill="D9E2F3"/>
            <w:noWrap/>
          </w:tcPr>
          <w:p w14:paraId="374D574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6,759</w:t>
            </w:r>
          </w:p>
        </w:tc>
        <w:tc>
          <w:tcPr>
            <w:tcW w:w="930" w:type="dxa"/>
            <w:shd w:val="clear" w:color="auto" w:fill="D9E2F3"/>
            <w:noWrap/>
          </w:tcPr>
          <w:p w14:paraId="2D1A7CA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7,811</w:t>
            </w:r>
          </w:p>
        </w:tc>
        <w:tc>
          <w:tcPr>
            <w:tcW w:w="930" w:type="dxa"/>
            <w:shd w:val="clear" w:color="auto" w:fill="D9E2F3"/>
            <w:noWrap/>
          </w:tcPr>
          <w:p w14:paraId="6C2D43D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shd w:val="clear" w:color="auto" w:fill="D9E2F3"/>
            <w:noWrap/>
          </w:tcPr>
          <w:p w14:paraId="1F91B21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339</w:t>
            </w:r>
          </w:p>
        </w:tc>
        <w:tc>
          <w:tcPr>
            <w:tcW w:w="930" w:type="dxa"/>
            <w:shd w:val="clear" w:color="auto" w:fill="D9E2F3"/>
            <w:noWrap/>
          </w:tcPr>
          <w:p w14:paraId="336A857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(124)</w:t>
            </w:r>
          </w:p>
        </w:tc>
        <w:tc>
          <w:tcPr>
            <w:tcW w:w="930" w:type="dxa"/>
            <w:shd w:val="clear" w:color="auto" w:fill="D9E2F3"/>
            <w:noWrap/>
          </w:tcPr>
          <w:p w14:paraId="188EB69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3AFE5EF5"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noWrap/>
          </w:tcPr>
          <w:p w14:paraId="04C31E45"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Ծաղկաձորի գլխավոր մարզահամալիր ՓԲԸ</w:t>
            </w:r>
          </w:p>
        </w:tc>
        <w:tc>
          <w:tcPr>
            <w:tcW w:w="930" w:type="dxa"/>
            <w:noWrap/>
          </w:tcPr>
          <w:p w14:paraId="4C6CF50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noWrap/>
          </w:tcPr>
          <w:p w14:paraId="0B014E6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noWrap/>
          </w:tcPr>
          <w:p w14:paraId="4C29DA7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noWrap/>
          </w:tcPr>
          <w:p w14:paraId="7CAE527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noWrap/>
          </w:tcPr>
          <w:p w14:paraId="469F175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noWrap/>
          </w:tcPr>
          <w:p w14:paraId="604E682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r w:rsidR="00DA0E15" w14:paraId="0CB922AB" w14:textId="77777777" w:rsidTr="00DA0E15">
        <w:trPr>
          <w:trHeight w:val="473"/>
        </w:trPr>
        <w:tc>
          <w:tcPr>
            <w:cnfStyle w:val="001000000000" w:firstRow="0" w:lastRow="0" w:firstColumn="1" w:lastColumn="0" w:oddVBand="0" w:evenVBand="0" w:oddHBand="0" w:evenHBand="0" w:firstRowFirstColumn="0" w:firstRowLastColumn="0" w:lastRowFirstColumn="0" w:lastRowLastColumn="0"/>
            <w:tcW w:w="4968" w:type="dxa"/>
            <w:shd w:val="clear" w:color="auto" w:fill="D9E2F3"/>
            <w:noWrap/>
          </w:tcPr>
          <w:p w14:paraId="4B8DBF16"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Հայսատանի հանրային հեռուստաընկերություն ՓԲԸ</w:t>
            </w:r>
          </w:p>
        </w:tc>
        <w:tc>
          <w:tcPr>
            <w:tcW w:w="930" w:type="dxa"/>
            <w:shd w:val="clear" w:color="auto" w:fill="D9E2F3"/>
            <w:noWrap/>
          </w:tcPr>
          <w:p w14:paraId="17E87FE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6,336</w:t>
            </w:r>
          </w:p>
        </w:tc>
        <w:tc>
          <w:tcPr>
            <w:tcW w:w="930" w:type="dxa"/>
            <w:shd w:val="clear" w:color="auto" w:fill="D9E2F3"/>
            <w:noWrap/>
          </w:tcPr>
          <w:p w14:paraId="4D80147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6,362</w:t>
            </w:r>
          </w:p>
        </w:tc>
        <w:tc>
          <w:tcPr>
            <w:tcW w:w="930" w:type="dxa"/>
            <w:shd w:val="clear" w:color="auto" w:fill="D9E2F3"/>
            <w:noWrap/>
          </w:tcPr>
          <w:p w14:paraId="459D042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30" w:type="dxa"/>
            <w:shd w:val="clear" w:color="auto" w:fill="D9E2F3"/>
            <w:noWrap/>
          </w:tcPr>
          <w:p w14:paraId="33B407A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57</w:t>
            </w:r>
          </w:p>
        </w:tc>
        <w:tc>
          <w:tcPr>
            <w:tcW w:w="930" w:type="dxa"/>
            <w:shd w:val="clear" w:color="auto" w:fill="D9E2F3"/>
            <w:noWrap/>
          </w:tcPr>
          <w:p w14:paraId="1C959AA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(254)</w:t>
            </w:r>
          </w:p>
        </w:tc>
        <w:tc>
          <w:tcPr>
            <w:tcW w:w="930" w:type="dxa"/>
            <w:shd w:val="clear" w:color="auto" w:fill="D9E2F3"/>
            <w:noWrap/>
          </w:tcPr>
          <w:p w14:paraId="325BF45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r>
    </w:tbl>
    <w:p w14:paraId="3573C008" w14:textId="77777777" w:rsidR="00DA0E15" w:rsidRDefault="00DA0E15">
      <w:pPr>
        <w:spacing w:before="0" w:after="160" w:line="259" w:lineRule="auto"/>
        <w:ind w:firstLine="0"/>
        <w:jc w:val="left"/>
        <w:rPr>
          <w:rFonts w:ascii="Sylfaen" w:eastAsia="Calibri" w:hAnsi="Sylfaen" w:cs="Times New Roman"/>
          <w:lang w:val="hy-AM"/>
        </w:rPr>
      </w:pPr>
    </w:p>
    <w:p w14:paraId="349AB871" w14:textId="77777777" w:rsidR="00DA0E15" w:rsidRDefault="00362131">
      <w:pPr>
        <w:shd w:val="clear" w:color="auto" w:fill="FFFFFF"/>
        <w:spacing w:before="0" w:after="0" w:line="276" w:lineRule="auto"/>
        <w:ind w:right="150" w:firstLine="227"/>
        <w:rPr>
          <w:rFonts w:eastAsia="Times New Roman" w:cs="Times New Roman"/>
          <w:color w:val="000000"/>
          <w:lang w:val="hy-AM" w:eastAsia="ru-RU"/>
        </w:rPr>
      </w:pPr>
      <w:r>
        <w:rPr>
          <w:rFonts w:eastAsia="Times New Roman" w:cs="Times New Roman"/>
          <w:color w:val="000000"/>
          <w:lang w:val="hy-AM" w:eastAsia="ru-RU"/>
        </w:rPr>
        <w:t>2020թ. առկա ցուցանիշների հիման վրա կարելի է որոշակիորեն արձանագրել ճգնաժամային տարվա ազդեցությունը, մասնավորապես արտարժույթով արտահայտված պարտավորությունների առկայությունը, ինչպես նաև փոխարժեքի տատանումը հանգեցրել են պարտավորությունների վերագնահատման և համապատասխանաբար փոխարժեքային տարբերությունից վնասների, որոնք արտահայտվել են շահութաբերության կտրուկ անկմամբ։ Ինչ վերաբերում է հասույթներին, ապա էներգետիկ ոլորտում արձանագրվել է հասույթի ավելացում: Նույնը կարելի է դիտարկել նաև առողջապահության ոլորտի մասով, իսկ տրանսպորտի ոլորտը ներկայացնող «Կարեն Դեմիրճյանի անվան Երևանի մետրոպոլիտեն» ՓԲԸ-ի հասույթը նվազել է գրեթե 20%-ով:</w:t>
      </w:r>
    </w:p>
    <w:p w14:paraId="2EA2901B" w14:textId="77777777" w:rsidR="00DA0E15" w:rsidRDefault="00362131">
      <w:pPr>
        <w:shd w:val="clear" w:color="auto" w:fill="FFFFFF"/>
        <w:spacing w:before="0" w:after="0" w:line="276" w:lineRule="auto"/>
        <w:ind w:right="150" w:firstLine="227"/>
        <w:rPr>
          <w:rFonts w:eastAsia="Times New Roman" w:cs="Times New Roman"/>
          <w:color w:val="000000"/>
          <w:lang w:val="hy-AM" w:eastAsia="ru-RU"/>
        </w:rPr>
      </w:pPr>
      <w:r>
        <w:rPr>
          <w:rFonts w:eastAsia="Times New Roman" w:cs="Times New Roman"/>
          <w:color w:val="000000"/>
          <w:lang w:val="hy-AM" w:eastAsia="ru-RU"/>
        </w:rPr>
        <w:t>Հաջորդիվ ներկայացված են խոշոր կուտակված վնասներ ունեցող պետական բաժնեմասնակցությամբ ընկերությունները:</w:t>
      </w:r>
    </w:p>
    <w:p w14:paraId="2D7F3978" w14:textId="77777777" w:rsidR="00DA0E15" w:rsidRDefault="00DA0E15">
      <w:pPr>
        <w:shd w:val="clear" w:color="auto" w:fill="FFFFFF"/>
        <w:spacing w:before="0" w:after="0" w:line="240" w:lineRule="auto"/>
        <w:ind w:right="150" w:firstLine="0"/>
        <w:rPr>
          <w:rFonts w:ascii="Sylfaen" w:eastAsia="Times New Roman" w:hAnsi="Sylfaen" w:cs="Times New Roman"/>
          <w:color w:val="000000"/>
          <w:lang w:val="hy-AM" w:eastAsia="ru-RU"/>
        </w:rPr>
      </w:pPr>
    </w:p>
    <w:p w14:paraId="04CC8C63" w14:textId="77777777" w:rsidR="00DA0E15" w:rsidRDefault="00362131" w:rsidP="00010E8E">
      <w:pPr>
        <w:pStyle w:val="afa"/>
        <w:rPr>
          <w:iCs/>
          <w:color w:val="365F91" w:themeColor="accent1" w:themeShade="BF"/>
          <w:sz w:val="18"/>
          <w:szCs w:val="18"/>
        </w:rPr>
      </w:pPr>
      <w:r>
        <w:t>Աղյուսակ 5.6</w:t>
      </w:r>
      <w:r>
        <w:rPr>
          <w:iCs/>
          <w:color w:val="365F91" w:themeColor="accent1" w:themeShade="BF"/>
          <w:sz w:val="18"/>
          <w:szCs w:val="18"/>
        </w:rPr>
        <w:t xml:space="preserve"> </w:t>
      </w:r>
      <w:r>
        <w:t xml:space="preserve">Առավելագույն կուտակված վնաս արձանագրված պետական մասնակցությամբ ընկերությունների ցուցանիշները                                                                                                                          </w:t>
      </w:r>
      <w:r>
        <w:rPr>
          <w:iCs/>
          <w:color w:val="365F91" w:themeColor="accent1" w:themeShade="BF"/>
          <w:sz w:val="18"/>
          <w:szCs w:val="18"/>
        </w:rPr>
        <w:tab/>
      </w:r>
      <w:r>
        <w:rPr>
          <w:iCs/>
          <w:color w:val="365F91" w:themeColor="accent1" w:themeShade="BF"/>
          <w:sz w:val="18"/>
          <w:szCs w:val="18"/>
        </w:rPr>
        <w:tab/>
      </w:r>
      <w:r>
        <w:rPr>
          <w:iCs/>
          <w:color w:val="365F91" w:themeColor="accent1" w:themeShade="BF"/>
          <w:sz w:val="18"/>
          <w:szCs w:val="18"/>
        </w:rPr>
        <w:tab/>
      </w:r>
      <w:r>
        <w:rPr>
          <w:iCs/>
          <w:color w:val="365F91" w:themeColor="accent1" w:themeShade="BF"/>
          <w:sz w:val="18"/>
          <w:szCs w:val="18"/>
        </w:rPr>
        <w:tab/>
      </w:r>
      <w:r>
        <w:rPr>
          <w:iCs/>
          <w:color w:val="365F91" w:themeColor="accent1" w:themeShade="BF"/>
          <w:sz w:val="18"/>
          <w:szCs w:val="18"/>
        </w:rPr>
        <w:tab/>
      </w:r>
      <w:r>
        <w:rPr>
          <w:iCs/>
          <w:color w:val="365F91" w:themeColor="accent1" w:themeShade="BF"/>
          <w:sz w:val="18"/>
          <w:szCs w:val="18"/>
        </w:rPr>
        <w:tab/>
      </w:r>
    </w:p>
    <w:p w14:paraId="363252A2" w14:textId="77777777" w:rsidR="00DA0E15" w:rsidRDefault="00362131">
      <w:pPr>
        <w:keepNext/>
        <w:tabs>
          <w:tab w:val="left" w:pos="2826"/>
        </w:tabs>
        <w:spacing w:before="0" w:after="0" w:line="240" w:lineRule="auto"/>
        <w:ind w:firstLine="0"/>
        <w:jc w:val="right"/>
        <w:rPr>
          <w:rFonts w:eastAsia="Calibri" w:cs="Times New Roman"/>
          <w:i/>
          <w:iCs/>
          <w:color w:val="44546A"/>
          <w:sz w:val="19"/>
          <w:szCs w:val="19"/>
          <w:lang w:val="hy-AM"/>
        </w:rPr>
      </w:pPr>
      <w:r>
        <w:rPr>
          <w:i/>
          <w:iCs/>
          <w:color w:val="365F91" w:themeColor="accent1" w:themeShade="BF"/>
          <w:sz w:val="18"/>
          <w:szCs w:val="18"/>
          <w:lang w:val="hy-AM"/>
        </w:rPr>
        <w:t xml:space="preserve"> </w:t>
      </w:r>
      <w:r>
        <w:rPr>
          <w:i/>
          <w:sz w:val="20"/>
          <w:szCs w:val="20"/>
          <w:lang w:val="hy-AM"/>
        </w:rPr>
        <w:t>մլն դրամ</w:t>
      </w:r>
    </w:p>
    <w:tbl>
      <w:tblPr>
        <w:tblStyle w:val="GridTable4-Accent12"/>
        <w:tblW w:w="10548" w:type="dxa"/>
        <w:tblLayout w:type="fixed"/>
        <w:tblLook w:val="04A0" w:firstRow="1" w:lastRow="0" w:firstColumn="1" w:lastColumn="0" w:noHBand="0" w:noVBand="1"/>
      </w:tblPr>
      <w:tblGrid>
        <w:gridCol w:w="2777"/>
        <w:gridCol w:w="982"/>
        <w:gridCol w:w="983"/>
        <w:gridCol w:w="982"/>
        <w:gridCol w:w="983"/>
        <w:gridCol w:w="983"/>
        <w:gridCol w:w="982"/>
        <w:gridCol w:w="983"/>
        <w:gridCol w:w="893"/>
      </w:tblGrid>
      <w:tr w:rsidR="00DA0E15" w14:paraId="7B875982" w14:textId="77777777" w:rsidTr="00146C6E">
        <w:trPr>
          <w:cnfStyle w:val="100000000000" w:firstRow="1" w:lastRow="0" w:firstColumn="0" w:lastColumn="0" w:oddVBand="0" w:evenVBand="0" w:oddHBand="0" w:evenHBand="0" w:firstRowFirstColumn="0" w:firstRowLastColumn="0" w:lastRowFirstColumn="0" w:lastRowLastColumn="0"/>
          <w:trHeight w:val="1016"/>
        </w:trPr>
        <w:tc>
          <w:tcPr>
            <w:cnfStyle w:val="001000000000" w:firstRow="0" w:lastRow="0" w:firstColumn="1" w:lastColumn="0" w:oddVBand="0" w:evenVBand="0" w:oddHBand="0" w:evenHBand="0" w:firstRowFirstColumn="0" w:firstRowLastColumn="0" w:lastRowFirstColumn="0" w:lastRowLastColumn="0"/>
            <w:tcW w:w="2777" w:type="dxa"/>
            <w:tcBorders>
              <w:top w:val="single" w:sz="4" w:space="0" w:color="auto"/>
              <w:left w:val="single" w:sz="4" w:space="0" w:color="auto"/>
              <w:bottom w:val="single" w:sz="4" w:space="0" w:color="auto"/>
            </w:tcBorders>
            <w:noWrap/>
          </w:tcPr>
          <w:p w14:paraId="4398F22F" w14:textId="77777777" w:rsidR="00DA0E15" w:rsidRDefault="00362131">
            <w:pPr>
              <w:spacing w:before="0" w:after="0" w:line="240" w:lineRule="auto"/>
              <w:ind w:firstLine="0"/>
              <w:jc w:val="left"/>
              <w:rPr>
                <w:rFonts w:cs="Times New Roman"/>
                <w:b w:val="0"/>
                <w:bCs w:val="0"/>
                <w:sz w:val="18"/>
                <w:szCs w:val="18"/>
                <w:lang w:val="hy-AM"/>
              </w:rPr>
            </w:pPr>
            <w:r>
              <w:rPr>
                <w:rFonts w:ascii="Calibri" w:hAnsi="Calibri" w:cs="Calibri"/>
                <w:sz w:val="18"/>
                <w:szCs w:val="18"/>
                <w:lang w:val="hy-AM"/>
              </w:rPr>
              <w:t> </w:t>
            </w:r>
          </w:p>
        </w:tc>
        <w:tc>
          <w:tcPr>
            <w:tcW w:w="1965" w:type="dxa"/>
            <w:gridSpan w:val="2"/>
            <w:tcBorders>
              <w:top w:val="single" w:sz="4" w:space="0" w:color="auto"/>
              <w:left w:val="single" w:sz="4" w:space="0" w:color="auto"/>
              <w:bottom w:val="single" w:sz="4" w:space="0" w:color="auto"/>
            </w:tcBorders>
            <w:noWrap/>
            <w:vAlign w:val="center"/>
          </w:tcPr>
          <w:p w14:paraId="5D8FCD0A"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8"/>
                <w:szCs w:val="18"/>
                <w:lang w:val="hy-AM"/>
              </w:rPr>
            </w:pPr>
            <w:r>
              <w:rPr>
                <w:rFonts w:cs="Times New Roman"/>
                <w:sz w:val="18"/>
                <w:szCs w:val="18"/>
                <w:lang w:val="hy-AM"/>
              </w:rPr>
              <w:t>Կուտակված վնաս</w:t>
            </w:r>
          </w:p>
        </w:tc>
        <w:tc>
          <w:tcPr>
            <w:tcW w:w="1965" w:type="dxa"/>
            <w:gridSpan w:val="2"/>
            <w:tcBorders>
              <w:top w:val="single" w:sz="4" w:space="0" w:color="auto"/>
              <w:left w:val="single" w:sz="4" w:space="0" w:color="auto"/>
              <w:bottom w:val="single" w:sz="4" w:space="0" w:color="auto"/>
            </w:tcBorders>
            <w:noWrap/>
            <w:vAlign w:val="center"/>
          </w:tcPr>
          <w:p w14:paraId="70B9DBE9"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8"/>
                <w:szCs w:val="18"/>
                <w:lang w:val="hy-AM"/>
              </w:rPr>
            </w:pPr>
            <w:r>
              <w:rPr>
                <w:rFonts w:cs="Times New Roman"/>
                <w:sz w:val="18"/>
                <w:szCs w:val="18"/>
                <w:lang w:val="hy-AM"/>
              </w:rPr>
              <w:t>Իրացումից հասույթ</w:t>
            </w:r>
          </w:p>
        </w:tc>
        <w:tc>
          <w:tcPr>
            <w:tcW w:w="1965" w:type="dxa"/>
            <w:gridSpan w:val="2"/>
            <w:tcBorders>
              <w:top w:val="single" w:sz="4" w:space="0" w:color="auto"/>
              <w:left w:val="single" w:sz="4" w:space="0" w:color="auto"/>
              <w:bottom w:val="single" w:sz="4" w:space="0" w:color="auto"/>
            </w:tcBorders>
            <w:noWrap/>
            <w:vAlign w:val="center"/>
          </w:tcPr>
          <w:p w14:paraId="25366D56"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8"/>
                <w:szCs w:val="18"/>
                <w:lang w:val="hy-AM"/>
              </w:rPr>
            </w:pPr>
            <w:r>
              <w:rPr>
                <w:rFonts w:cs="Times New Roman"/>
                <w:sz w:val="18"/>
                <w:szCs w:val="18"/>
                <w:lang w:val="hy-AM"/>
              </w:rPr>
              <w:t>Զուտ շահույթ</w:t>
            </w:r>
          </w:p>
        </w:tc>
        <w:tc>
          <w:tcPr>
            <w:tcW w:w="1876" w:type="dxa"/>
            <w:gridSpan w:val="2"/>
            <w:tcBorders>
              <w:top w:val="single" w:sz="4" w:space="0" w:color="auto"/>
              <w:left w:val="single" w:sz="4" w:space="0" w:color="auto"/>
              <w:bottom w:val="single" w:sz="4" w:space="0" w:color="auto"/>
              <w:right w:val="single" w:sz="4" w:space="0" w:color="auto"/>
            </w:tcBorders>
            <w:noWrap/>
            <w:vAlign w:val="center"/>
          </w:tcPr>
          <w:p w14:paraId="340D411A"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18"/>
                <w:szCs w:val="18"/>
                <w:lang w:val="hy-AM"/>
              </w:rPr>
            </w:pPr>
            <w:r>
              <w:rPr>
                <w:rFonts w:cs="Times New Roman"/>
                <w:sz w:val="18"/>
                <w:szCs w:val="18"/>
                <w:lang w:val="hy-AM"/>
              </w:rPr>
              <w:t>Պարտավորութ</w:t>
            </w:r>
            <w:r w:rsidR="00146C6E">
              <w:rPr>
                <w:rFonts w:cs="Times New Roman"/>
                <w:sz w:val="18"/>
                <w:szCs w:val="18"/>
                <w:lang w:val="hy-AM"/>
              </w:rPr>
              <w:t>-</w:t>
            </w:r>
            <w:r>
              <w:rPr>
                <w:rFonts w:cs="Times New Roman"/>
                <w:sz w:val="18"/>
                <w:szCs w:val="18"/>
                <w:lang w:val="hy-AM"/>
              </w:rPr>
              <w:t>յուններ</w:t>
            </w:r>
          </w:p>
        </w:tc>
      </w:tr>
      <w:tr w:rsidR="00DA0E15" w14:paraId="68D9E633"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tcBorders>
              <w:top w:val="single" w:sz="4" w:space="0" w:color="auto"/>
            </w:tcBorders>
            <w:shd w:val="clear" w:color="auto" w:fill="D9E2F3"/>
          </w:tcPr>
          <w:p w14:paraId="1281D2FB" w14:textId="77777777" w:rsidR="00DA0E15" w:rsidRDefault="00362131">
            <w:pPr>
              <w:spacing w:before="0" w:after="0" w:line="240" w:lineRule="auto"/>
              <w:ind w:firstLine="0"/>
              <w:jc w:val="left"/>
              <w:rPr>
                <w:rFonts w:cs="Times New Roman"/>
                <w:bCs w:val="0"/>
                <w:sz w:val="18"/>
                <w:szCs w:val="18"/>
                <w:lang w:val="hy-AM"/>
              </w:rPr>
            </w:pPr>
            <w:r>
              <w:rPr>
                <w:rFonts w:cs="Times New Roman"/>
                <w:b w:val="0"/>
                <w:sz w:val="18"/>
                <w:szCs w:val="18"/>
                <w:lang w:val="hy-AM"/>
              </w:rPr>
              <w:t>Անվանում</w:t>
            </w:r>
          </w:p>
        </w:tc>
        <w:tc>
          <w:tcPr>
            <w:tcW w:w="982" w:type="dxa"/>
            <w:tcBorders>
              <w:top w:val="single" w:sz="4" w:space="0" w:color="auto"/>
            </w:tcBorders>
            <w:shd w:val="clear" w:color="auto" w:fill="D9E2F3"/>
            <w:noWrap/>
          </w:tcPr>
          <w:p w14:paraId="1987995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2019</w:t>
            </w:r>
          </w:p>
        </w:tc>
        <w:tc>
          <w:tcPr>
            <w:tcW w:w="983" w:type="dxa"/>
            <w:tcBorders>
              <w:top w:val="single" w:sz="4" w:space="0" w:color="auto"/>
            </w:tcBorders>
            <w:shd w:val="clear" w:color="auto" w:fill="D9E2F3"/>
            <w:noWrap/>
          </w:tcPr>
          <w:p w14:paraId="02115966"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982" w:type="dxa"/>
            <w:tcBorders>
              <w:top w:val="single" w:sz="4" w:space="0" w:color="auto"/>
            </w:tcBorders>
            <w:shd w:val="clear" w:color="auto" w:fill="D9E2F3"/>
            <w:noWrap/>
          </w:tcPr>
          <w:p w14:paraId="6E9F4E8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2018</w:t>
            </w:r>
          </w:p>
        </w:tc>
        <w:tc>
          <w:tcPr>
            <w:tcW w:w="983" w:type="dxa"/>
            <w:tcBorders>
              <w:top w:val="single" w:sz="4" w:space="0" w:color="auto"/>
            </w:tcBorders>
            <w:shd w:val="clear" w:color="auto" w:fill="D9E2F3"/>
            <w:noWrap/>
          </w:tcPr>
          <w:p w14:paraId="7094A54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2019</w:t>
            </w:r>
          </w:p>
        </w:tc>
        <w:tc>
          <w:tcPr>
            <w:tcW w:w="983" w:type="dxa"/>
            <w:tcBorders>
              <w:top w:val="single" w:sz="4" w:space="0" w:color="auto"/>
            </w:tcBorders>
            <w:shd w:val="clear" w:color="auto" w:fill="D9E2F3"/>
            <w:noWrap/>
          </w:tcPr>
          <w:p w14:paraId="1194841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2018</w:t>
            </w:r>
          </w:p>
        </w:tc>
        <w:tc>
          <w:tcPr>
            <w:tcW w:w="982" w:type="dxa"/>
            <w:tcBorders>
              <w:top w:val="single" w:sz="4" w:space="0" w:color="auto"/>
            </w:tcBorders>
            <w:shd w:val="clear" w:color="auto" w:fill="D9E2F3"/>
            <w:noWrap/>
          </w:tcPr>
          <w:p w14:paraId="099CE36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2019</w:t>
            </w:r>
          </w:p>
        </w:tc>
        <w:tc>
          <w:tcPr>
            <w:tcW w:w="983" w:type="dxa"/>
            <w:tcBorders>
              <w:top w:val="single" w:sz="4" w:space="0" w:color="auto"/>
            </w:tcBorders>
            <w:shd w:val="clear" w:color="auto" w:fill="D9E2F3"/>
            <w:noWrap/>
          </w:tcPr>
          <w:p w14:paraId="62CC362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2018</w:t>
            </w:r>
          </w:p>
        </w:tc>
        <w:tc>
          <w:tcPr>
            <w:tcW w:w="893" w:type="dxa"/>
            <w:tcBorders>
              <w:top w:val="single" w:sz="4" w:space="0" w:color="auto"/>
            </w:tcBorders>
            <w:shd w:val="clear" w:color="auto" w:fill="D9E2F3"/>
            <w:noWrap/>
          </w:tcPr>
          <w:p w14:paraId="4F46C3F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2019</w:t>
            </w:r>
          </w:p>
        </w:tc>
      </w:tr>
      <w:tr w:rsidR="00DA0E15" w14:paraId="40C8E083"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tcPr>
          <w:p w14:paraId="0A612732"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Հայջրմուղկոյուղի ՓԲԸ</w:t>
            </w:r>
          </w:p>
        </w:tc>
        <w:tc>
          <w:tcPr>
            <w:tcW w:w="982" w:type="dxa"/>
            <w:noWrap/>
          </w:tcPr>
          <w:p w14:paraId="4C29558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(72,152)</w:t>
            </w:r>
          </w:p>
        </w:tc>
        <w:tc>
          <w:tcPr>
            <w:tcW w:w="983" w:type="dxa"/>
            <w:noWrap/>
          </w:tcPr>
          <w:p w14:paraId="68C2BD8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38%</w:t>
            </w:r>
          </w:p>
        </w:tc>
        <w:tc>
          <w:tcPr>
            <w:tcW w:w="982" w:type="dxa"/>
            <w:noWrap/>
          </w:tcPr>
          <w:p w14:paraId="11EE120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noWrap/>
          </w:tcPr>
          <w:p w14:paraId="7536678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noWrap/>
          </w:tcPr>
          <w:p w14:paraId="432F008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(4,759)</w:t>
            </w:r>
          </w:p>
        </w:tc>
        <w:tc>
          <w:tcPr>
            <w:tcW w:w="982" w:type="dxa"/>
            <w:noWrap/>
          </w:tcPr>
          <w:p w14:paraId="7D3454B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1,671</w:t>
            </w:r>
          </w:p>
        </w:tc>
        <w:tc>
          <w:tcPr>
            <w:tcW w:w="983" w:type="dxa"/>
            <w:noWrap/>
          </w:tcPr>
          <w:p w14:paraId="5BA3059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89,617</w:t>
            </w:r>
          </w:p>
        </w:tc>
        <w:tc>
          <w:tcPr>
            <w:tcW w:w="893" w:type="dxa"/>
            <w:noWrap/>
          </w:tcPr>
          <w:p w14:paraId="181A375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19,631</w:t>
            </w:r>
          </w:p>
        </w:tc>
      </w:tr>
      <w:tr w:rsidR="00DA0E15" w14:paraId="2C8473C8"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shd w:val="clear" w:color="auto" w:fill="D9E2F3"/>
          </w:tcPr>
          <w:p w14:paraId="7559E35E"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Ջրառ ՓԲԸ</w:t>
            </w:r>
          </w:p>
        </w:tc>
        <w:tc>
          <w:tcPr>
            <w:tcW w:w="982" w:type="dxa"/>
            <w:shd w:val="clear" w:color="auto" w:fill="D9E2F3"/>
            <w:noWrap/>
          </w:tcPr>
          <w:p w14:paraId="14748EE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(33,782)</w:t>
            </w:r>
          </w:p>
        </w:tc>
        <w:tc>
          <w:tcPr>
            <w:tcW w:w="983" w:type="dxa"/>
            <w:shd w:val="clear" w:color="auto" w:fill="D9E2F3"/>
            <w:noWrap/>
          </w:tcPr>
          <w:p w14:paraId="569BE4A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18%</w:t>
            </w:r>
          </w:p>
        </w:tc>
        <w:tc>
          <w:tcPr>
            <w:tcW w:w="982" w:type="dxa"/>
            <w:shd w:val="clear" w:color="auto" w:fill="D9E2F3"/>
            <w:noWrap/>
          </w:tcPr>
          <w:p w14:paraId="359FAA3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1,651</w:t>
            </w:r>
          </w:p>
        </w:tc>
        <w:tc>
          <w:tcPr>
            <w:tcW w:w="983" w:type="dxa"/>
            <w:shd w:val="clear" w:color="auto" w:fill="D9E2F3"/>
            <w:noWrap/>
          </w:tcPr>
          <w:p w14:paraId="4952E29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1,277</w:t>
            </w:r>
          </w:p>
        </w:tc>
        <w:tc>
          <w:tcPr>
            <w:tcW w:w="983" w:type="dxa"/>
            <w:shd w:val="clear" w:color="auto" w:fill="D9E2F3"/>
            <w:noWrap/>
          </w:tcPr>
          <w:p w14:paraId="0BCC95E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(4,170)</w:t>
            </w:r>
          </w:p>
        </w:tc>
        <w:tc>
          <w:tcPr>
            <w:tcW w:w="982" w:type="dxa"/>
            <w:shd w:val="clear" w:color="auto" w:fill="D9E2F3"/>
            <w:noWrap/>
          </w:tcPr>
          <w:p w14:paraId="42A0665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(3,093)</w:t>
            </w:r>
          </w:p>
        </w:tc>
        <w:tc>
          <w:tcPr>
            <w:tcW w:w="983" w:type="dxa"/>
            <w:shd w:val="clear" w:color="auto" w:fill="D9E2F3"/>
            <w:noWrap/>
          </w:tcPr>
          <w:p w14:paraId="1E83B94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277</w:t>
            </w:r>
          </w:p>
        </w:tc>
        <w:tc>
          <w:tcPr>
            <w:tcW w:w="893" w:type="dxa"/>
            <w:shd w:val="clear" w:color="auto" w:fill="D9E2F3"/>
            <w:noWrap/>
          </w:tcPr>
          <w:p w14:paraId="3E67BB2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365</w:t>
            </w:r>
          </w:p>
        </w:tc>
      </w:tr>
      <w:tr w:rsidR="00DA0E15" w14:paraId="6CFD9ADA"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noWrap/>
          </w:tcPr>
          <w:p w14:paraId="705A8F9A"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Երևանի հենակետային բժշկական քոլեջ ՓԲԸ</w:t>
            </w:r>
          </w:p>
        </w:tc>
        <w:tc>
          <w:tcPr>
            <w:tcW w:w="982" w:type="dxa"/>
            <w:noWrap/>
          </w:tcPr>
          <w:p w14:paraId="5D43FFE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(21,140)</w:t>
            </w:r>
          </w:p>
        </w:tc>
        <w:tc>
          <w:tcPr>
            <w:tcW w:w="983" w:type="dxa"/>
            <w:noWrap/>
          </w:tcPr>
          <w:p w14:paraId="14BC3B2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11%</w:t>
            </w:r>
          </w:p>
        </w:tc>
        <w:tc>
          <w:tcPr>
            <w:tcW w:w="982" w:type="dxa"/>
            <w:noWrap/>
          </w:tcPr>
          <w:p w14:paraId="1436D80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61,482</w:t>
            </w:r>
          </w:p>
        </w:tc>
        <w:tc>
          <w:tcPr>
            <w:tcW w:w="983" w:type="dxa"/>
            <w:noWrap/>
          </w:tcPr>
          <w:p w14:paraId="170B7F7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36,162</w:t>
            </w:r>
          </w:p>
        </w:tc>
        <w:tc>
          <w:tcPr>
            <w:tcW w:w="983" w:type="dxa"/>
            <w:noWrap/>
          </w:tcPr>
          <w:p w14:paraId="2F25745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(13,130)</w:t>
            </w:r>
          </w:p>
        </w:tc>
        <w:tc>
          <w:tcPr>
            <w:tcW w:w="982" w:type="dxa"/>
            <w:noWrap/>
          </w:tcPr>
          <w:p w14:paraId="4AECCFF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3,622</w:t>
            </w:r>
          </w:p>
        </w:tc>
        <w:tc>
          <w:tcPr>
            <w:tcW w:w="983" w:type="dxa"/>
            <w:noWrap/>
          </w:tcPr>
          <w:p w14:paraId="79F451C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14,418</w:t>
            </w:r>
          </w:p>
        </w:tc>
        <w:tc>
          <w:tcPr>
            <w:tcW w:w="893" w:type="dxa"/>
            <w:noWrap/>
          </w:tcPr>
          <w:p w14:paraId="2CF2784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31,177</w:t>
            </w:r>
          </w:p>
        </w:tc>
      </w:tr>
      <w:tr w:rsidR="00DA0E15" w14:paraId="2AF3A8FA"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shd w:val="clear" w:color="auto" w:fill="D9E2F3"/>
          </w:tcPr>
          <w:p w14:paraId="582A9395"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«Երևանի ջերմաէլեկտրակենտրոն  ՓԲԸ</w:t>
            </w:r>
          </w:p>
        </w:tc>
        <w:tc>
          <w:tcPr>
            <w:tcW w:w="982" w:type="dxa"/>
            <w:shd w:val="clear" w:color="auto" w:fill="D9E2F3"/>
            <w:noWrap/>
          </w:tcPr>
          <w:p w14:paraId="746C94A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(17,527)</w:t>
            </w:r>
          </w:p>
        </w:tc>
        <w:tc>
          <w:tcPr>
            <w:tcW w:w="983" w:type="dxa"/>
            <w:shd w:val="clear" w:color="auto" w:fill="D9E2F3"/>
            <w:noWrap/>
          </w:tcPr>
          <w:p w14:paraId="0490404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9%</w:t>
            </w:r>
          </w:p>
        </w:tc>
        <w:tc>
          <w:tcPr>
            <w:tcW w:w="982" w:type="dxa"/>
            <w:shd w:val="clear" w:color="auto" w:fill="D9E2F3"/>
            <w:noWrap/>
          </w:tcPr>
          <w:p w14:paraId="2CFEF42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94,238</w:t>
            </w:r>
          </w:p>
        </w:tc>
        <w:tc>
          <w:tcPr>
            <w:tcW w:w="983" w:type="dxa"/>
            <w:shd w:val="clear" w:color="auto" w:fill="D9E2F3"/>
            <w:noWrap/>
          </w:tcPr>
          <w:p w14:paraId="4BEA636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74,975</w:t>
            </w:r>
          </w:p>
        </w:tc>
        <w:tc>
          <w:tcPr>
            <w:tcW w:w="983" w:type="dxa"/>
            <w:shd w:val="clear" w:color="auto" w:fill="D9E2F3"/>
            <w:noWrap/>
          </w:tcPr>
          <w:p w14:paraId="79F32B7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41</w:t>
            </w:r>
          </w:p>
        </w:tc>
        <w:tc>
          <w:tcPr>
            <w:tcW w:w="982" w:type="dxa"/>
            <w:shd w:val="clear" w:color="auto" w:fill="D9E2F3"/>
            <w:noWrap/>
          </w:tcPr>
          <w:p w14:paraId="00D7936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1,262</w:t>
            </w:r>
          </w:p>
        </w:tc>
        <w:tc>
          <w:tcPr>
            <w:tcW w:w="983" w:type="dxa"/>
            <w:shd w:val="clear" w:color="auto" w:fill="D9E2F3"/>
            <w:noWrap/>
          </w:tcPr>
          <w:p w14:paraId="693DC29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149,214</w:t>
            </w:r>
          </w:p>
        </w:tc>
        <w:tc>
          <w:tcPr>
            <w:tcW w:w="893" w:type="dxa"/>
            <w:shd w:val="clear" w:color="auto" w:fill="D9E2F3"/>
            <w:noWrap/>
          </w:tcPr>
          <w:p w14:paraId="015EBFE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145,619</w:t>
            </w:r>
          </w:p>
        </w:tc>
      </w:tr>
      <w:tr w:rsidR="00DA0E15" w14:paraId="44853BD9"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tcPr>
          <w:p w14:paraId="60A645ED"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Շիրակ-ջրմուղկոյուղի ՓԲԸ</w:t>
            </w:r>
          </w:p>
        </w:tc>
        <w:tc>
          <w:tcPr>
            <w:tcW w:w="982" w:type="dxa"/>
            <w:noWrap/>
          </w:tcPr>
          <w:p w14:paraId="65D588E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(12,460)</w:t>
            </w:r>
          </w:p>
        </w:tc>
        <w:tc>
          <w:tcPr>
            <w:tcW w:w="983" w:type="dxa"/>
            <w:noWrap/>
          </w:tcPr>
          <w:p w14:paraId="4BF1C20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w:t>
            </w:r>
          </w:p>
        </w:tc>
        <w:tc>
          <w:tcPr>
            <w:tcW w:w="982" w:type="dxa"/>
            <w:noWrap/>
          </w:tcPr>
          <w:p w14:paraId="14ACBA7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noWrap/>
          </w:tcPr>
          <w:p w14:paraId="417B3F9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noWrap/>
          </w:tcPr>
          <w:p w14:paraId="3043C9E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982" w:type="dxa"/>
            <w:noWrap/>
          </w:tcPr>
          <w:p w14:paraId="33A50C9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983" w:type="dxa"/>
            <w:noWrap/>
          </w:tcPr>
          <w:p w14:paraId="5DE0D1B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7,459</w:t>
            </w:r>
          </w:p>
        </w:tc>
        <w:tc>
          <w:tcPr>
            <w:tcW w:w="893" w:type="dxa"/>
            <w:noWrap/>
          </w:tcPr>
          <w:p w14:paraId="14DB84E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5,312</w:t>
            </w:r>
          </w:p>
        </w:tc>
      </w:tr>
      <w:tr w:rsidR="00DA0E15" w14:paraId="2700C2B3"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shd w:val="clear" w:color="auto" w:fill="D9E2F3"/>
          </w:tcPr>
          <w:p w14:paraId="4655CFB2"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«Արմենիկում» ՓԲԸ</w:t>
            </w:r>
          </w:p>
        </w:tc>
        <w:tc>
          <w:tcPr>
            <w:tcW w:w="982" w:type="dxa"/>
            <w:shd w:val="clear" w:color="auto" w:fill="D9E2F3"/>
            <w:noWrap/>
          </w:tcPr>
          <w:p w14:paraId="650DADA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(14,190)</w:t>
            </w:r>
          </w:p>
        </w:tc>
        <w:tc>
          <w:tcPr>
            <w:tcW w:w="983" w:type="dxa"/>
            <w:shd w:val="clear" w:color="auto" w:fill="D9E2F3"/>
            <w:noWrap/>
          </w:tcPr>
          <w:p w14:paraId="58CC2FF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w:t>
            </w:r>
          </w:p>
        </w:tc>
        <w:tc>
          <w:tcPr>
            <w:tcW w:w="982" w:type="dxa"/>
            <w:shd w:val="clear" w:color="auto" w:fill="D9E2F3"/>
            <w:noWrap/>
          </w:tcPr>
          <w:p w14:paraId="2C59157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127</w:t>
            </w:r>
          </w:p>
        </w:tc>
        <w:tc>
          <w:tcPr>
            <w:tcW w:w="983" w:type="dxa"/>
            <w:shd w:val="clear" w:color="auto" w:fill="D9E2F3"/>
            <w:noWrap/>
          </w:tcPr>
          <w:p w14:paraId="7098231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89</w:t>
            </w:r>
          </w:p>
        </w:tc>
        <w:tc>
          <w:tcPr>
            <w:tcW w:w="983" w:type="dxa"/>
            <w:shd w:val="clear" w:color="auto" w:fill="D9E2F3"/>
            <w:noWrap/>
          </w:tcPr>
          <w:p w14:paraId="1786BBB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982" w:type="dxa"/>
            <w:shd w:val="clear" w:color="auto" w:fill="D9E2F3"/>
            <w:noWrap/>
          </w:tcPr>
          <w:p w14:paraId="26DC224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w:t>
            </w:r>
          </w:p>
        </w:tc>
        <w:tc>
          <w:tcPr>
            <w:tcW w:w="983" w:type="dxa"/>
            <w:shd w:val="clear" w:color="auto" w:fill="D9E2F3"/>
            <w:noWrap/>
          </w:tcPr>
          <w:p w14:paraId="661C3D4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1,523</w:t>
            </w:r>
          </w:p>
        </w:tc>
        <w:tc>
          <w:tcPr>
            <w:tcW w:w="893" w:type="dxa"/>
            <w:shd w:val="clear" w:color="auto" w:fill="D9E2F3"/>
            <w:noWrap/>
          </w:tcPr>
          <w:p w14:paraId="6468E40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1,523</w:t>
            </w:r>
          </w:p>
        </w:tc>
      </w:tr>
      <w:tr w:rsidR="00DA0E15" w14:paraId="444E5AB7"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tcPr>
          <w:p w14:paraId="633A24EB"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Լոռի-ջրմուղկոյուղի ՓԲԸ</w:t>
            </w:r>
          </w:p>
        </w:tc>
        <w:tc>
          <w:tcPr>
            <w:tcW w:w="982" w:type="dxa"/>
            <w:noWrap/>
          </w:tcPr>
          <w:p w14:paraId="48A727A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(4,121)</w:t>
            </w:r>
          </w:p>
        </w:tc>
        <w:tc>
          <w:tcPr>
            <w:tcW w:w="983" w:type="dxa"/>
            <w:noWrap/>
          </w:tcPr>
          <w:p w14:paraId="4FAA360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w:t>
            </w:r>
          </w:p>
        </w:tc>
        <w:tc>
          <w:tcPr>
            <w:tcW w:w="982" w:type="dxa"/>
            <w:noWrap/>
          </w:tcPr>
          <w:p w14:paraId="4FE748A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noWrap/>
          </w:tcPr>
          <w:p w14:paraId="76DB7C5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noWrap/>
          </w:tcPr>
          <w:p w14:paraId="5D3E2CF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982" w:type="dxa"/>
            <w:noWrap/>
          </w:tcPr>
          <w:p w14:paraId="354FAFE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1,543</w:t>
            </w:r>
          </w:p>
        </w:tc>
        <w:tc>
          <w:tcPr>
            <w:tcW w:w="983" w:type="dxa"/>
            <w:noWrap/>
          </w:tcPr>
          <w:p w14:paraId="4D1C4F9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3,371</w:t>
            </w:r>
          </w:p>
        </w:tc>
        <w:tc>
          <w:tcPr>
            <w:tcW w:w="893" w:type="dxa"/>
            <w:noWrap/>
          </w:tcPr>
          <w:p w14:paraId="52272F4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r>
      <w:tr w:rsidR="00DA0E15" w14:paraId="1F6922F8"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shd w:val="clear" w:color="auto" w:fill="D9E2F3"/>
          </w:tcPr>
          <w:p w14:paraId="0CFAEBBC"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Նոր Ակունք ՓԲԸ</w:t>
            </w:r>
          </w:p>
        </w:tc>
        <w:tc>
          <w:tcPr>
            <w:tcW w:w="982" w:type="dxa"/>
            <w:shd w:val="clear" w:color="auto" w:fill="D9E2F3"/>
            <w:noWrap/>
          </w:tcPr>
          <w:p w14:paraId="1132493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(4,183)</w:t>
            </w:r>
          </w:p>
        </w:tc>
        <w:tc>
          <w:tcPr>
            <w:tcW w:w="983" w:type="dxa"/>
            <w:shd w:val="clear" w:color="auto" w:fill="D9E2F3"/>
            <w:noWrap/>
          </w:tcPr>
          <w:p w14:paraId="512E91A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w:t>
            </w:r>
          </w:p>
        </w:tc>
        <w:tc>
          <w:tcPr>
            <w:tcW w:w="982" w:type="dxa"/>
            <w:shd w:val="clear" w:color="auto" w:fill="D9E2F3"/>
            <w:noWrap/>
          </w:tcPr>
          <w:p w14:paraId="0295832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shd w:val="clear" w:color="auto" w:fill="D9E2F3"/>
            <w:noWrap/>
          </w:tcPr>
          <w:p w14:paraId="3CD4B1A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shd w:val="clear" w:color="auto" w:fill="D9E2F3"/>
            <w:noWrap/>
          </w:tcPr>
          <w:p w14:paraId="46B028A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982" w:type="dxa"/>
            <w:shd w:val="clear" w:color="auto" w:fill="D9E2F3"/>
            <w:noWrap/>
          </w:tcPr>
          <w:p w14:paraId="6F13E54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56</w:t>
            </w:r>
          </w:p>
        </w:tc>
        <w:tc>
          <w:tcPr>
            <w:tcW w:w="983" w:type="dxa"/>
            <w:shd w:val="clear" w:color="auto" w:fill="D9E2F3"/>
            <w:noWrap/>
          </w:tcPr>
          <w:p w14:paraId="6950D75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1,788</w:t>
            </w:r>
          </w:p>
        </w:tc>
        <w:tc>
          <w:tcPr>
            <w:tcW w:w="893" w:type="dxa"/>
            <w:shd w:val="clear" w:color="auto" w:fill="D9E2F3"/>
            <w:noWrap/>
          </w:tcPr>
          <w:p w14:paraId="5D624E7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38</w:t>
            </w:r>
          </w:p>
        </w:tc>
      </w:tr>
      <w:tr w:rsidR="00DA0E15" w14:paraId="683E2EAB"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tcPr>
          <w:p w14:paraId="1F6F419D"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Փարկինգ Սիթի Սերվիս ՓԲԸ</w:t>
            </w:r>
          </w:p>
        </w:tc>
        <w:tc>
          <w:tcPr>
            <w:tcW w:w="982" w:type="dxa"/>
            <w:noWrap/>
          </w:tcPr>
          <w:p w14:paraId="0A34DC6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(2,148)</w:t>
            </w:r>
          </w:p>
        </w:tc>
        <w:tc>
          <w:tcPr>
            <w:tcW w:w="983" w:type="dxa"/>
            <w:noWrap/>
          </w:tcPr>
          <w:p w14:paraId="28F765D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982" w:type="dxa"/>
            <w:noWrap/>
          </w:tcPr>
          <w:p w14:paraId="360B5CA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371</w:t>
            </w:r>
          </w:p>
        </w:tc>
        <w:tc>
          <w:tcPr>
            <w:tcW w:w="983" w:type="dxa"/>
            <w:noWrap/>
          </w:tcPr>
          <w:p w14:paraId="6CED265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376</w:t>
            </w:r>
          </w:p>
        </w:tc>
        <w:tc>
          <w:tcPr>
            <w:tcW w:w="983" w:type="dxa"/>
            <w:noWrap/>
          </w:tcPr>
          <w:p w14:paraId="60E4A4A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(271)</w:t>
            </w:r>
          </w:p>
        </w:tc>
        <w:tc>
          <w:tcPr>
            <w:tcW w:w="982" w:type="dxa"/>
            <w:noWrap/>
          </w:tcPr>
          <w:p w14:paraId="3E8CAA3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(175)</w:t>
            </w:r>
          </w:p>
        </w:tc>
        <w:tc>
          <w:tcPr>
            <w:tcW w:w="983" w:type="dxa"/>
            <w:noWrap/>
          </w:tcPr>
          <w:p w14:paraId="356A4E1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1,696</w:t>
            </w:r>
          </w:p>
        </w:tc>
        <w:tc>
          <w:tcPr>
            <w:tcW w:w="893" w:type="dxa"/>
            <w:noWrap/>
          </w:tcPr>
          <w:p w14:paraId="4A42302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1,744</w:t>
            </w:r>
          </w:p>
        </w:tc>
      </w:tr>
      <w:tr w:rsidR="00DA0E15" w14:paraId="187CE5B3"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shd w:val="clear" w:color="auto" w:fill="D9E2F3"/>
          </w:tcPr>
          <w:p w14:paraId="3491428B"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Ռադիոիզոտոպների արտադրության կենտրոն ՓԲԸ</w:t>
            </w:r>
          </w:p>
        </w:tc>
        <w:tc>
          <w:tcPr>
            <w:tcW w:w="982" w:type="dxa"/>
            <w:shd w:val="clear" w:color="auto" w:fill="D9E2F3"/>
            <w:noWrap/>
          </w:tcPr>
          <w:p w14:paraId="43B2A1F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(1,462)</w:t>
            </w:r>
          </w:p>
        </w:tc>
        <w:tc>
          <w:tcPr>
            <w:tcW w:w="983" w:type="dxa"/>
            <w:shd w:val="clear" w:color="auto" w:fill="D9E2F3"/>
            <w:noWrap/>
          </w:tcPr>
          <w:p w14:paraId="36FC67E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982" w:type="dxa"/>
            <w:shd w:val="clear" w:color="auto" w:fill="D9E2F3"/>
            <w:noWrap/>
          </w:tcPr>
          <w:p w14:paraId="0C2B0DB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shd w:val="clear" w:color="auto" w:fill="D9E2F3"/>
            <w:noWrap/>
          </w:tcPr>
          <w:p w14:paraId="6AB9140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shd w:val="clear" w:color="auto" w:fill="D9E2F3"/>
            <w:noWrap/>
          </w:tcPr>
          <w:p w14:paraId="5942D48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(315)</w:t>
            </w:r>
          </w:p>
        </w:tc>
        <w:tc>
          <w:tcPr>
            <w:tcW w:w="982" w:type="dxa"/>
            <w:shd w:val="clear" w:color="auto" w:fill="D9E2F3"/>
            <w:noWrap/>
          </w:tcPr>
          <w:p w14:paraId="73E0BD9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(386)</w:t>
            </w:r>
          </w:p>
        </w:tc>
        <w:tc>
          <w:tcPr>
            <w:tcW w:w="983" w:type="dxa"/>
            <w:shd w:val="clear" w:color="auto" w:fill="D9E2F3"/>
            <w:noWrap/>
          </w:tcPr>
          <w:p w14:paraId="0FD58B8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2,746</w:t>
            </w:r>
          </w:p>
        </w:tc>
        <w:tc>
          <w:tcPr>
            <w:tcW w:w="893" w:type="dxa"/>
            <w:shd w:val="clear" w:color="auto" w:fill="D9E2F3"/>
            <w:noWrap/>
          </w:tcPr>
          <w:p w14:paraId="0E561C0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2,889</w:t>
            </w:r>
          </w:p>
        </w:tc>
      </w:tr>
      <w:tr w:rsidR="00DA0E15" w14:paraId="0C11B464"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noWrap/>
          </w:tcPr>
          <w:p w14:paraId="0A84B243"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Երևանի ավտոբուս ՓԲԸ</w:t>
            </w:r>
          </w:p>
        </w:tc>
        <w:tc>
          <w:tcPr>
            <w:tcW w:w="982" w:type="dxa"/>
            <w:noWrap/>
          </w:tcPr>
          <w:p w14:paraId="1FB76A9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(1,316)</w:t>
            </w:r>
          </w:p>
        </w:tc>
        <w:tc>
          <w:tcPr>
            <w:tcW w:w="983" w:type="dxa"/>
            <w:noWrap/>
          </w:tcPr>
          <w:p w14:paraId="5A80E9D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982" w:type="dxa"/>
            <w:noWrap/>
          </w:tcPr>
          <w:p w14:paraId="1E96AAE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1,824</w:t>
            </w:r>
          </w:p>
        </w:tc>
        <w:tc>
          <w:tcPr>
            <w:tcW w:w="983" w:type="dxa"/>
            <w:noWrap/>
          </w:tcPr>
          <w:p w14:paraId="1528223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1,958</w:t>
            </w:r>
          </w:p>
        </w:tc>
        <w:tc>
          <w:tcPr>
            <w:tcW w:w="983" w:type="dxa"/>
            <w:noWrap/>
          </w:tcPr>
          <w:p w14:paraId="3FB447F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(253)</w:t>
            </w:r>
          </w:p>
        </w:tc>
        <w:tc>
          <w:tcPr>
            <w:tcW w:w="982" w:type="dxa"/>
            <w:noWrap/>
          </w:tcPr>
          <w:p w14:paraId="023A390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(260)</w:t>
            </w:r>
          </w:p>
        </w:tc>
        <w:tc>
          <w:tcPr>
            <w:tcW w:w="983" w:type="dxa"/>
            <w:noWrap/>
          </w:tcPr>
          <w:p w14:paraId="0EAAC16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1,762</w:t>
            </w:r>
          </w:p>
        </w:tc>
        <w:tc>
          <w:tcPr>
            <w:tcW w:w="893" w:type="dxa"/>
            <w:noWrap/>
          </w:tcPr>
          <w:p w14:paraId="47C92EB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1,004</w:t>
            </w:r>
          </w:p>
        </w:tc>
      </w:tr>
      <w:tr w:rsidR="00DA0E15" w14:paraId="50A7D8B9"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shd w:val="clear" w:color="auto" w:fill="D9E2F3"/>
          </w:tcPr>
          <w:p w14:paraId="1E42239E"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Երևանի ոսկերչական գործարան ՓԲԸ</w:t>
            </w:r>
          </w:p>
        </w:tc>
        <w:tc>
          <w:tcPr>
            <w:tcW w:w="982" w:type="dxa"/>
            <w:shd w:val="clear" w:color="auto" w:fill="D9E2F3"/>
            <w:noWrap/>
          </w:tcPr>
          <w:p w14:paraId="6A5D1C3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(1,633)</w:t>
            </w:r>
          </w:p>
        </w:tc>
        <w:tc>
          <w:tcPr>
            <w:tcW w:w="983" w:type="dxa"/>
            <w:shd w:val="clear" w:color="auto" w:fill="D9E2F3"/>
            <w:noWrap/>
          </w:tcPr>
          <w:p w14:paraId="1110768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w:t>
            </w:r>
          </w:p>
        </w:tc>
        <w:tc>
          <w:tcPr>
            <w:tcW w:w="982" w:type="dxa"/>
            <w:shd w:val="clear" w:color="auto" w:fill="D9E2F3"/>
            <w:noWrap/>
          </w:tcPr>
          <w:p w14:paraId="3FA0A96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w:t>
            </w:r>
          </w:p>
        </w:tc>
        <w:tc>
          <w:tcPr>
            <w:tcW w:w="983" w:type="dxa"/>
            <w:shd w:val="clear" w:color="auto" w:fill="D9E2F3"/>
            <w:noWrap/>
          </w:tcPr>
          <w:p w14:paraId="118FDEB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29</w:t>
            </w:r>
          </w:p>
        </w:tc>
        <w:tc>
          <w:tcPr>
            <w:tcW w:w="983" w:type="dxa"/>
            <w:shd w:val="clear" w:color="auto" w:fill="D9E2F3"/>
            <w:noWrap/>
          </w:tcPr>
          <w:p w14:paraId="5760B7F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2" w:type="dxa"/>
            <w:shd w:val="clear" w:color="auto" w:fill="D9E2F3"/>
            <w:noWrap/>
          </w:tcPr>
          <w:p w14:paraId="347EB7F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shd w:val="clear" w:color="auto" w:fill="D9E2F3"/>
            <w:noWrap/>
          </w:tcPr>
          <w:p w14:paraId="7C63E61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148</w:t>
            </w:r>
          </w:p>
        </w:tc>
        <w:tc>
          <w:tcPr>
            <w:tcW w:w="893" w:type="dxa"/>
            <w:shd w:val="clear" w:color="auto" w:fill="D9E2F3"/>
            <w:noWrap/>
          </w:tcPr>
          <w:p w14:paraId="1F7E705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166</w:t>
            </w:r>
          </w:p>
        </w:tc>
      </w:tr>
      <w:tr w:rsidR="00DA0E15" w14:paraId="67968F4A"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tcPr>
          <w:p w14:paraId="5232105D"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Համո Բեկնազարյանի անվան «Հայֆիլմ» կինոստուդիա ՓԲԸ</w:t>
            </w:r>
          </w:p>
        </w:tc>
        <w:tc>
          <w:tcPr>
            <w:tcW w:w="982" w:type="dxa"/>
            <w:noWrap/>
          </w:tcPr>
          <w:p w14:paraId="65AAB3D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(811)</w:t>
            </w:r>
          </w:p>
        </w:tc>
        <w:tc>
          <w:tcPr>
            <w:tcW w:w="983" w:type="dxa"/>
            <w:noWrap/>
          </w:tcPr>
          <w:p w14:paraId="60C2738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982" w:type="dxa"/>
            <w:noWrap/>
          </w:tcPr>
          <w:p w14:paraId="1ED7113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w:t>
            </w:r>
          </w:p>
        </w:tc>
        <w:tc>
          <w:tcPr>
            <w:tcW w:w="983" w:type="dxa"/>
            <w:noWrap/>
          </w:tcPr>
          <w:p w14:paraId="3BBCE2B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9</w:t>
            </w:r>
          </w:p>
        </w:tc>
        <w:tc>
          <w:tcPr>
            <w:tcW w:w="983" w:type="dxa"/>
            <w:noWrap/>
          </w:tcPr>
          <w:p w14:paraId="58518D7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w:t>
            </w:r>
          </w:p>
        </w:tc>
        <w:tc>
          <w:tcPr>
            <w:tcW w:w="982" w:type="dxa"/>
            <w:noWrap/>
          </w:tcPr>
          <w:p w14:paraId="4BAD276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(25)</w:t>
            </w:r>
          </w:p>
        </w:tc>
        <w:tc>
          <w:tcPr>
            <w:tcW w:w="983" w:type="dxa"/>
            <w:noWrap/>
          </w:tcPr>
          <w:p w14:paraId="4CCCBEE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490</w:t>
            </w:r>
          </w:p>
        </w:tc>
        <w:tc>
          <w:tcPr>
            <w:tcW w:w="893" w:type="dxa"/>
            <w:noWrap/>
          </w:tcPr>
          <w:p w14:paraId="65C5929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495</w:t>
            </w:r>
          </w:p>
        </w:tc>
      </w:tr>
      <w:tr w:rsidR="00DA0E15" w14:paraId="2142B9B3"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shd w:val="clear" w:color="auto" w:fill="D9E2F3"/>
          </w:tcPr>
          <w:p w14:paraId="1603E633"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Նաիրիտ-2 ՓԲԸ</w:t>
            </w:r>
          </w:p>
        </w:tc>
        <w:tc>
          <w:tcPr>
            <w:tcW w:w="982" w:type="dxa"/>
            <w:shd w:val="clear" w:color="auto" w:fill="D9E2F3"/>
            <w:noWrap/>
          </w:tcPr>
          <w:p w14:paraId="2EA2DD9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(736)</w:t>
            </w:r>
          </w:p>
        </w:tc>
        <w:tc>
          <w:tcPr>
            <w:tcW w:w="983" w:type="dxa"/>
            <w:shd w:val="clear" w:color="auto" w:fill="D9E2F3"/>
            <w:noWrap/>
          </w:tcPr>
          <w:p w14:paraId="391C948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982" w:type="dxa"/>
            <w:shd w:val="clear" w:color="auto" w:fill="D9E2F3"/>
            <w:noWrap/>
          </w:tcPr>
          <w:p w14:paraId="187A8CE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528</w:t>
            </w:r>
          </w:p>
        </w:tc>
        <w:tc>
          <w:tcPr>
            <w:tcW w:w="983" w:type="dxa"/>
            <w:shd w:val="clear" w:color="auto" w:fill="D9E2F3"/>
            <w:noWrap/>
          </w:tcPr>
          <w:p w14:paraId="307C6AE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w:t>
            </w:r>
          </w:p>
        </w:tc>
        <w:tc>
          <w:tcPr>
            <w:tcW w:w="983" w:type="dxa"/>
            <w:shd w:val="clear" w:color="auto" w:fill="D9E2F3"/>
            <w:noWrap/>
          </w:tcPr>
          <w:p w14:paraId="301E433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(27)</w:t>
            </w:r>
          </w:p>
        </w:tc>
        <w:tc>
          <w:tcPr>
            <w:tcW w:w="982" w:type="dxa"/>
            <w:shd w:val="clear" w:color="auto" w:fill="D9E2F3"/>
            <w:noWrap/>
          </w:tcPr>
          <w:p w14:paraId="14045A6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(348)</w:t>
            </w:r>
          </w:p>
        </w:tc>
        <w:tc>
          <w:tcPr>
            <w:tcW w:w="983" w:type="dxa"/>
            <w:shd w:val="clear" w:color="auto" w:fill="D9E2F3"/>
            <w:noWrap/>
          </w:tcPr>
          <w:p w14:paraId="060D3D0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6,112</w:t>
            </w:r>
          </w:p>
        </w:tc>
        <w:tc>
          <w:tcPr>
            <w:tcW w:w="893" w:type="dxa"/>
            <w:shd w:val="clear" w:color="auto" w:fill="D9E2F3"/>
            <w:noWrap/>
          </w:tcPr>
          <w:p w14:paraId="44EBB31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6,110</w:t>
            </w:r>
          </w:p>
        </w:tc>
      </w:tr>
      <w:tr w:rsidR="00DA0E15" w14:paraId="172FD107"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tcPr>
          <w:p w14:paraId="17DAC5EC"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Գյումրու բժշկական կենտրոն ՓԲԸ</w:t>
            </w:r>
          </w:p>
        </w:tc>
        <w:tc>
          <w:tcPr>
            <w:tcW w:w="982" w:type="dxa"/>
            <w:noWrap/>
          </w:tcPr>
          <w:p w14:paraId="3EE7A38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(478)</w:t>
            </w:r>
          </w:p>
        </w:tc>
        <w:tc>
          <w:tcPr>
            <w:tcW w:w="983" w:type="dxa"/>
            <w:noWrap/>
          </w:tcPr>
          <w:p w14:paraId="577A80F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982" w:type="dxa"/>
            <w:noWrap/>
          </w:tcPr>
          <w:p w14:paraId="11B2394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1,332</w:t>
            </w:r>
          </w:p>
        </w:tc>
        <w:tc>
          <w:tcPr>
            <w:tcW w:w="983" w:type="dxa"/>
            <w:noWrap/>
          </w:tcPr>
          <w:p w14:paraId="7D4D3A4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1,687</w:t>
            </w:r>
          </w:p>
        </w:tc>
        <w:tc>
          <w:tcPr>
            <w:tcW w:w="983" w:type="dxa"/>
            <w:noWrap/>
          </w:tcPr>
          <w:p w14:paraId="16C29B6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(10)</w:t>
            </w:r>
          </w:p>
        </w:tc>
        <w:tc>
          <w:tcPr>
            <w:tcW w:w="982" w:type="dxa"/>
            <w:noWrap/>
          </w:tcPr>
          <w:p w14:paraId="42D17D6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w:t>
            </w:r>
          </w:p>
        </w:tc>
        <w:tc>
          <w:tcPr>
            <w:tcW w:w="983" w:type="dxa"/>
            <w:noWrap/>
          </w:tcPr>
          <w:p w14:paraId="79C4222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1,256</w:t>
            </w:r>
          </w:p>
        </w:tc>
        <w:tc>
          <w:tcPr>
            <w:tcW w:w="893" w:type="dxa"/>
            <w:noWrap/>
          </w:tcPr>
          <w:p w14:paraId="745FB85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1,169</w:t>
            </w:r>
          </w:p>
        </w:tc>
      </w:tr>
      <w:tr w:rsidR="00DA0E15" w14:paraId="308910FF"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shd w:val="clear" w:color="auto" w:fill="D9E2F3"/>
            <w:noWrap/>
          </w:tcPr>
          <w:p w14:paraId="2072B0EB"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Նորք Մարաշ բժշկական կենտրոն ՓԲԸ</w:t>
            </w:r>
          </w:p>
        </w:tc>
        <w:tc>
          <w:tcPr>
            <w:tcW w:w="982" w:type="dxa"/>
            <w:shd w:val="clear" w:color="auto" w:fill="D9E2F3"/>
            <w:noWrap/>
          </w:tcPr>
          <w:p w14:paraId="6AF9E3C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(402)</w:t>
            </w:r>
          </w:p>
        </w:tc>
        <w:tc>
          <w:tcPr>
            <w:tcW w:w="983" w:type="dxa"/>
            <w:shd w:val="clear" w:color="auto" w:fill="D9E2F3"/>
            <w:noWrap/>
          </w:tcPr>
          <w:p w14:paraId="0FA3991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982" w:type="dxa"/>
            <w:shd w:val="clear" w:color="auto" w:fill="D9E2F3"/>
            <w:noWrap/>
          </w:tcPr>
          <w:p w14:paraId="1235CF5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3,671</w:t>
            </w:r>
          </w:p>
        </w:tc>
        <w:tc>
          <w:tcPr>
            <w:tcW w:w="983" w:type="dxa"/>
            <w:shd w:val="clear" w:color="auto" w:fill="D9E2F3"/>
            <w:noWrap/>
          </w:tcPr>
          <w:p w14:paraId="355F31D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4,945</w:t>
            </w:r>
          </w:p>
        </w:tc>
        <w:tc>
          <w:tcPr>
            <w:tcW w:w="983" w:type="dxa"/>
            <w:shd w:val="clear" w:color="auto" w:fill="D9E2F3"/>
            <w:noWrap/>
          </w:tcPr>
          <w:p w14:paraId="2007CFA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(1,761)</w:t>
            </w:r>
          </w:p>
        </w:tc>
        <w:tc>
          <w:tcPr>
            <w:tcW w:w="982" w:type="dxa"/>
            <w:shd w:val="clear" w:color="auto" w:fill="D9E2F3"/>
            <w:noWrap/>
          </w:tcPr>
          <w:p w14:paraId="66B655F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39</w:t>
            </w:r>
          </w:p>
        </w:tc>
        <w:tc>
          <w:tcPr>
            <w:tcW w:w="983" w:type="dxa"/>
            <w:shd w:val="clear" w:color="auto" w:fill="D9E2F3"/>
            <w:noWrap/>
          </w:tcPr>
          <w:p w14:paraId="7C0CE12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5,855</w:t>
            </w:r>
          </w:p>
        </w:tc>
        <w:tc>
          <w:tcPr>
            <w:tcW w:w="893" w:type="dxa"/>
            <w:shd w:val="clear" w:color="auto" w:fill="D9E2F3"/>
            <w:noWrap/>
          </w:tcPr>
          <w:p w14:paraId="1527BCF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5,741</w:t>
            </w:r>
          </w:p>
        </w:tc>
      </w:tr>
      <w:tr w:rsidR="00DA0E15" w14:paraId="4A40E3B4"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vAlign w:val="center"/>
          </w:tcPr>
          <w:p w14:paraId="155DC222"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«Ավտոմատիկա» ՓԲԸ</w:t>
            </w:r>
          </w:p>
        </w:tc>
        <w:tc>
          <w:tcPr>
            <w:tcW w:w="982" w:type="dxa"/>
            <w:noWrap/>
          </w:tcPr>
          <w:p w14:paraId="48ED4E5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(321)</w:t>
            </w:r>
          </w:p>
        </w:tc>
        <w:tc>
          <w:tcPr>
            <w:tcW w:w="983" w:type="dxa"/>
            <w:noWrap/>
          </w:tcPr>
          <w:p w14:paraId="52E458F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982" w:type="dxa"/>
            <w:noWrap/>
          </w:tcPr>
          <w:p w14:paraId="1D350BD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noWrap/>
          </w:tcPr>
          <w:p w14:paraId="1714EFD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3" w:type="dxa"/>
            <w:noWrap/>
          </w:tcPr>
          <w:p w14:paraId="194284D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(37)</w:t>
            </w:r>
          </w:p>
        </w:tc>
        <w:tc>
          <w:tcPr>
            <w:tcW w:w="982" w:type="dxa"/>
            <w:noWrap/>
          </w:tcPr>
          <w:p w14:paraId="27EF159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(57)</w:t>
            </w:r>
          </w:p>
        </w:tc>
        <w:tc>
          <w:tcPr>
            <w:tcW w:w="983" w:type="dxa"/>
            <w:noWrap/>
          </w:tcPr>
          <w:p w14:paraId="1A1CAB8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306</w:t>
            </w:r>
          </w:p>
        </w:tc>
        <w:tc>
          <w:tcPr>
            <w:tcW w:w="893" w:type="dxa"/>
            <w:noWrap/>
          </w:tcPr>
          <w:p w14:paraId="58EE550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338</w:t>
            </w:r>
          </w:p>
        </w:tc>
      </w:tr>
      <w:tr w:rsidR="00DA0E15" w14:paraId="19EE54F1"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shd w:val="clear" w:color="auto" w:fill="D9E2F3"/>
            <w:noWrap/>
            <w:vAlign w:val="center"/>
          </w:tcPr>
          <w:p w14:paraId="366C5B64"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Ալավերդու բժշկական կենտրոն ՓԲԸ</w:t>
            </w:r>
          </w:p>
        </w:tc>
        <w:tc>
          <w:tcPr>
            <w:tcW w:w="982" w:type="dxa"/>
            <w:shd w:val="clear" w:color="auto" w:fill="D9E2F3"/>
            <w:noWrap/>
          </w:tcPr>
          <w:p w14:paraId="75FACD7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(203)</w:t>
            </w:r>
          </w:p>
        </w:tc>
        <w:tc>
          <w:tcPr>
            <w:tcW w:w="983" w:type="dxa"/>
            <w:shd w:val="clear" w:color="auto" w:fill="D9E2F3"/>
            <w:noWrap/>
          </w:tcPr>
          <w:p w14:paraId="31AA1D2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0%</w:t>
            </w:r>
          </w:p>
        </w:tc>
        <w:tc>
          <w:tcPr>
            <w:tcW w:w="982" w:type="dxa"/>
            <w:shd w:val="clear" w:color="auto" w:fill="D9E2F3"/>
            <w:noWrap/>
          </w:tcPr>
          <w:p w14:paraId="662D855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441</w:t>
            </w:r>
          </w:p>
        </w:tc>
        <w:tc>
          <w:tcPr>
            <w:tcW w:w="983" w:type="dxa"/>
            <w:shd w:val="clear" w:color="auto" w:fill="D9E2F3"/>
            <w:noWrap/>
          </w:tcPr>
          <w:p w14:paraId="7B610D1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643</w:t>
            </w:r>
          </w:p>
        </w:tc>
        <w:tc>
          <w:tcPr>
            <w:tcW w:w="983" w:type="dxa"/>
            <w:shd w:val="clear" w:color="auto" w:fill="D9E2F3"/>
            <w:noWrap/>
          </w:tcPr>
          <w:p w14:paraId="5540AEF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w:t>
            </w:r>
          </w:p>
        </w:tc>
        <w:tc>
          <w:tcPr>
            <w:tcW w:w="982" w:type="dxa"/>
            <w:shd w:val="clear" w:color="auto" w:fill="D9E2F3"/>
            <w:noWrap/>
          </w:tcPr>
          <w:p w14:paraId="2D85BBD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26</w:t>
            </w:r>
          </w:p>
        </w:tc>
        <w:tc>
          <w:tcPr>
            <w:tcW w:w="983" w:type="dxa"/>
            <w:shd w:val="clear" w:color="auto" w:fill="D9E2F3"/>
            <w:noWrap/>
          </w:tcPr>
          <w:p w14:paraId="7E84B73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808</w:t>
            </w:r>
          </w:p>
        </w:tc>
        <w:tc>
          <w:tcPr>
            <w:tcW w:w="893" w:type="dxa"/>
            <w:shd w:val="clear" w:color="auto" w:fill="D9E2F3"/>
            <w:noWrap/>
          </w:tcPr>
          <w:p w14:paraId="4476BAF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750</w:t>
            </w:r>
          </w:p>
        </w:tc>
      </w:tr>
      <w:tr w:rsidR="00DA0E15" w14:paraId="4ADC308D" w14:textId="77777777" w:rsidTr="00146C6E">
        <w:trPr>
          <w:trHeight w:val="439"/>
        </w:trPr>
        <w:tc>
          <w:tcPr>
            <w:cnfStyle w:val="001000000000" w:firstRow="0" w:lastRow="0" w:firstColumn="1" w:lastColumn="0" w:oddVBand="0" w:evenVBand="0" w:oddHBand="0" w:evenHBand="0" w:firstRowFirstColumn="0" w:firstRowLastColumn="0" w:lastRowFirstColumn="0" w:lastRowLastColumn="0"/>
            <w:tcW w:w="2777" w:type="dxa"/>
            <w:vAlign w:val="center"/>
          </w:tcPr>
          <w:p w14:paraId="673D6D87" w14:textId="77777777" w:rsidR="00DA0E15" w:rsidRDefault="00362131">
            <w:pPr>
              <w:spacing w:before="0" w:after="0" w:line="240" w:lineRule="auto"/>
              <w:ind w:firstLine="0"/>
              <w:jc w:val="left"/>
              <w:rPr>
                <w:rFonts w:cs="Times New Roman"/>
                <w:b w:val="0"/>
                <w:bCs w:val="0"/>
                <w:sz w:val="18"/>
                <w:szCs w:val="18"/>
                <w:lang w:val="hy-AM"/>
              </w:rPr>
            </w:pPr>
            <w:r>
              <w:rPr>
                <w:rFonts w:cs="Times New Roman"/>
                <w:sz w:val="18"/>
                <w:szCs w:val="18"/>
                <w:lang w:val="hy-AM"/>
              </w:rPr>
              <w:t xml:space="preserve">Ընդամենը </w:t>
            </w:r>
          </w:p>
        </w:tc>
        <w:tc>
          <w:tcPr>
            <w:tcW w:w="982" w:type="dxa"/>
            <w:noWrap/>
          </w:tcPr>
          <w:p w14:paraId="3A9FB4E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(191,286)</w:t>
            </w:r>
          </w:p>
        </w:tc>
        <w:tc>
          <w:tcPr>
            <w:tcW w:w="983" w:type="dxa"/>
            <w:noWrap/>
          </w:tcPr>
          <w:p w14:paraId="1BECBC9F"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982" w:type="dxa"/>
            <w:noWrap/>
          </w:tcPr>
          <w:p w14:paraId="640CCF0A"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983" w:type="dxa"/>
            <w:noWrap/>
          </w:tcPr>
          <w:p w14:paraId="5A6FA413"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983" w:type="dxa"/>
            <w:noWrap/>
          </w:tcPr>
          <w:p w14:paraId="07F646E5"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982" w:type="dxa"/>
            <w:noWrap/>
          </w:tcPr>
          <w:p w14:paraId="0E0A7871"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983" w:type="dxa"/>
            <w:noWrap/>
          </w:tcPr>
          <w:p w14:paraId="42BB31D6"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c>
          <w:tcPr>
            <w:tcW w:w="893" w:type="dxa"/>
            <w:noWrap/>
          </w:tcPr>
          <w:p w14:paraId="2273ADB8"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p>
        </w:tc>
      </w:tr>
    </w:tbl>
    <w:p w14:paraId="7C3F80B6" w14:textId="77777777" w:rsidR="00DA0E15" w:rsidRDefault="00DA0E15">
      <w:pPr>
        <w:shd w:val="clear" w:color="auto" w:fill="FFFFFF"/>
        <w:spacing w:before="0" w:after="0" w:line="240" w:lineRule="auto"/>
        <w:ind w:right="150" w:firstLine="0"/>
        <w:rPr>
          <w:rFonts w:ascii="Sylfaen" w:eastAsia="Times New Roman" w:hAnsi="Sylfaen" w:cs="Times New Roman"/>
          <w:color w:val="000000"/>
          <w:lang w:val="hy-AM" w:eastAsia="ru-RU"/>
        </w:rPr>
      </w:pPr>
    </w:p>
    <w:p w14:paraId="2B39D11C" w14:textId="77777777" w:rsidR="00DA0E15" w:rsidRDefault="00362131">
      <w:pPr>
        <w:shd w:val="clear" w:color="auto" w:fill="FFFFFF"/>
        <w:spacing w:after="0" w:line="276" w:lineRule="auto"/>
        <w:ind w:right="20" w:firstLine="227"/>
        <w:rPr>
          <w:rFonts w:eastAsia="Times New Roman" w:cs="Times New Roman"/>
          <w:lang w:val="hy-AM"/>
        </w:rPr>
      </w:pPr>
      <w:r>
        <w:rPr>
          <w:rFonts w:eastAsia="Times New Roman" w:cs="Times New Roman"/>
          <w:lang w:val="hy-AM"/>
        </w:rPr>
        <w:t>Էական կուտակված վնաս են արձանագրել մասնավորապես ջրային ոլորտի ընկերությունները։ Այդ ոլորտի մասով արձանագրված վնասի առաջացման պատճառները հիմնականում պայմանավորված են ՀԾԿՀ-ի կողմից դեռևս 2007թ. հաստատված սակագներով, որոնց հաշվարկների մեջ ներառված չեն ամորտիզացիոն մասհանումները:</w:t>
      </w:r>
    </w:p>
    <w:p w14:paraId="6417F6E9" w14:textId="77777777" w:rsidR="00DA0E15" w:rsidRDefault="00362131">
      <w:pPr>
        <w:shd w:val="clear" w:color="auto" w:fill="FFFFFF"/>
        <w:spacing w:after="0" w:line="276" w:lineRule="auto"/>
        <w:ind w:right="20" w:firstLine="227"/>
        <w:rPr>
          <w:rFonts w:eastAsia="Times New Roman" w:cs="Times New Roman"/>
          <w:lang w:val="hy-AM"/>
        </w:rPr>
      </w:pPr>
      <w:r>
        <w:rPr>
          <w:rFonts w:eastAsia="Times New Roman" w:cs="Times New Roman"/>
          <w:lang w:val="hy-AM"/>
        </w:rPr>
        <w:t>Միաժամանակ անհրաժեշտ է նշել, որ ջրային ոլորտի ընկերությունները չունեն ժամկետանց վարկային պարտավորություններ, ինչպես նաև ՀՀ կառավարության կողմից բյուջետային երաշխիքներ չեն ստացել:</w:t>
      </w:r>
    </w:p>
    <w:p w14:paraId="06683D63" w14:textId="77777777" w:rsidR="00DA0E15" w:rsidRDefault="00362131">
      <w:pPr>
        <w:shd w:val="clear" w:color="auto" w:fill="FFFFFF"/>
        <w:spacing w:after="0" w:line="276" w:lineRule="auto"/>
        <w:ind w:right="20" w:firstLine="227"/>
        <w:rPr>
          <w:rFonts w:eastAsia="Times New Roman" w:cs="Times New Roman"/>
          <w:lang w:val="hy-AM"/>
        </w:rPr>
      </w:pPr>
      <w:r>
        <w:rPr>
          <w:rFonts w:eastAsia="Times New Roman" w:cs="Times New Roman"/>
          <w:lang w:val="hy-AM"/>
        </w:rPr>
        <w:t xml:space="preserve">2020 թվականի արդյունքներով որոշ խոշոր ընկերությունների հարկաբյուջետային ռիսկերի գնահատման համար կիրառված ֆինանսական գործակիցների ամփոփ արդյունքները և պրակտիկայում ընդունված թույլատրելի սահմանային նորմաները ներկայացված են ստորև աղյուսակում: </w:t>
      </w:r>
    </w:p>
    <w:p w14:paraId="6807B24A" w14:textId="77777777" w:rsidR="00DA0E15" w:rsidRDefault="00DA0E15">
      <w:pPr>
        <w:shd w:val="clear" w:color="auto" w:fill="FFFFFF"/>
        <w:spacing w:after="0" w:line="240" w:lineRule="auto"/>
        <w:ind w:right="150" w:firstLine="0"/>
        <w:rPr>
          <w:rFonts w:eastAsia="Times New Roman" w:cs="Times New Roman"/>
          <w:lang w:val="hy-AM"/>
        </w:rPr>
      </w:pPr>
    </w:p>
    <w:p w14:paraId="0A4FAAFC" w14:textId="77777777" w:rsidR="00DA0E15" w:rsidRDefault="00362131" w:rsidP="00010E8E">
      <w:pPr>
        <w:pStyle w:val="afa"/>
        <w:rPr>
          <w:iCs/>
          <w:color w:val="365F91" w:themeColor="accent1" w:themeShade="BF"/>
        </w:rPr>
      </w:pPr>
      <w:r>
        <w:t>Աղյուսակ 5.7</w:t>
      </w:r>
      <w:r>
        <w:rPr>
          <w:iCs/>
          <w:color w:val="365F91" w:themeColor="accent1" w:themeShade="BF"/>
        </w:rPr>
        <w:t xml:space="preserve"> </w:t>
      </w:r>
      <w:r>
        <w:t>Պետական մասնակցությամբ ընկերությունների ֆինանսական գործակիցները</w:t>
      </w:r>
    </w:p>
    <w:tbl>
      <w:tblPr>
        <w:tblStyle w:val="GridTable4-Accent12"/>
        <w:tblW w:w="10728" w:type="dxa"/>
        <w:tblLayout w:type="fixed"/>
        <w:tblLook w:val="04A0" w:firstRow="1" w:lastRow="0" w:firstColumn="1" w:lastColumn="0" w:noHBand="0" w:noVBand="1"/>
      </w:tblPr>
      <w:tblGrid>
        <w:gridCol w:w="3438"/>
        <w:gridCol w:w="810"/>
        <w:gridCol w:w="630"/>
        <w:gridCol w:w="787"/>
        <w:gridCol w:w="743"/>
        <w:gridCol w:w="675"/>
        <w:gridCol w:w="709"/>
        <w:gridCol w:w="708"/>
        <w:gridCol w:w="788"/>
        <w:gridCol w:w="720"/>
        <w:gridCol w:w="720"/>
      </w:tblGrid>
      <w:tr w:rsidR="00DA0E15" w14:paraId="610089E5" w14:textId="77777777" w:rsidTr="00DA0E15">
        <w:trPr>
          <w:cnfStyle w:val="100000000000" w:firstRow="1" w:lastRow="0" w:firstColumn="0" w:lastColumn="0" w:oddVBand="0" w:evenVBand="0" w:oddHBand="0" w:evenHBand="0" w:firstRowFirstColumn="0" w:firstRowLastColumn="0" w:lastRowFirstColumn="0" w:lastRowLastColumn="0"/>
          <w:trHeight w:val="1290"/>
        </w:trPr>
        <w:tc>
          <w:tcPr>
            <w:cnfStyle w:val="001000000000" w:firstRow="0" w:lastRow="0" w:firstColumn="1" w:lastColumn="0" w:oddVBand="0" w:evenVBand="0" w:oddHBand="0" w:evenHBand="0" w:firstRowFirstColumn="0" w:firstRowLastColumn="0" w:lastRowFirstColumn="0" w:lastRowLastColumn="0"/>
            <w:tcW w:w="3438" w:type="dxa"/>
            <w:tcBorders>
              <w:top w:val="single" w:sz="4" w:space="0" w:color="auto"/>
              <w:left w:val="single" w:sz="4" w:space="0" w:color="auto"/>
              <w:bottom w:val="single" w:sz="4" w:space="0" w:color="auto"/>
            </w:tcBorders>
            <w:noWrap/>
          </w:tcPr>
          <w:p w14:paraId="2D5F40D1" w14:textId="77777777" w:rsidR="00DA0E15" w:rsidRDefault="00362131">
            <w:pPr>
              <w:spacing w:before="0" w:after="0" w:line="240" w:lineRule="auto"/>
              <w:ind w:firstLine="0"/>
              <w:jc w:val="center"/>
              <w:rPr>
                <w:rFonts w:cs="Times New Roman"/>
                <w:b w:val="0"/>
                <w:bCs w:val="0"/>
                <w:sz w:val="20"/>
                <w:szCs w:val="20"/>
                <w:lang w:val="hy-AM"/>
              </w:rPr>
            </w:pPr>
            <w:r>
              <w:rPr>
                <w:rFonts w:cs="Times New Roman"/>
                <w:sz w:val="20"/>
                <w:szCs w:val="20"/>
                <w:lang w:val="hy-AM"/>
              </w:rPr>
              <w:t>Ընկերության անվանումը</w:t>
            </w:r>
          </w:p>
        </w:tc>
        <w:tc>
          <w:tcPr>
            <w:tcW w:w="1440" w:type="dxa"/>
            <w:gridSpan w:val="2"/>
            <w:tcBorders>
              <w:top w:val="single" w:sz="4" w:space="0" w:color="auto"/>
              <w:left w:val="single" w:sz="4" w:space="0" w:color="auto"/>
              <w:bottom w:val="single" w:sz="4" w:space="0" w:color="auto"/>
            </w:tcBorders>
          </w:tcPr>
          <w:p w14:paraId="3A465F67"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0"/>
                <w:szCs w:val="20"/>
                <w:lang w:val="hy-AM"/>
              </w:rPr>
            </w:pPr>
            <w:r>
              <w:rPr>
                <w:rFonts w:cs="Times New Roman"/>
                <w:sz w:val="20"/>
                <w:szCs w:val="20"/>
                <w:lang w:val="hy-AM"/>
              </w:rPr>
              <w:t>Ծախսերի վերականգնման գործակից</w:t>
            </w:r>
          </w:p>
        </w:tc>
        <w:tc>
          <w:tcPr>
            <w:tcW w:w="1530" w:type="dxa"/>
            <w:gridSpan w:val="2"/>
            <w:tcBorders>
              <w:top w:val="single" w:sz="4" w:space="0" w:color="auto"/>
              <w:left w:val="single" w:sz="4" w:space="0" w:color="auto"/>
              <w:bottom w:val="single" w:sz="4" w:space="0" w:color="auto"/>
            </w:tcBorders>
          </w:tcPr>
          <w:p w14:paraId="38C6C537"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0"/>
                <w:szCs w:val="20"/>
                <w:lang w:val="hy-AM"/>
              </w:rPr>
            </w:pPr>
            <w:r>
              <w:rPr>
                <w:rFonts w:cs="Times New Roman"/>
                <w:sz w:val="20"/>
                <w:szCs w:val="20"/>
                <w:lang w:val="hy-AM"/>
              </w:rPr>
              <w:t>Զուտ շահույթի մարժա(%)</w:t>
            </w:r>
          </w:p>
        </w:tc>
        <w:tc>
          <w:tcPr>
            <w:tcW w:w="1384" w:type="dxa"/>
            <w:gridSpan w:val="2"/>
            <w:tcBorders>
              <w:top w:val="single" w:sz="4" w:space="0" w:color="auto"/>
              <w:left w:val="single" w:sz="4" w:space="0" w:color="auto"/>
              <w:bottom w:val="single" w:sz="4" w:space="0" w:color="auto"/>
            </w:tcBorders>
          </w:tcPr>
          <w:p w14:paraId="3C889DCE"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0"/>
                <w:szCs w:val="20"/>
                <w:lang w:val="hy-AM"/>
              </w:rPr>
            </w:pPr>
            <w:r>
              <w:rPr>
                <w:rFonts w:cs="Times New Roman"/>
                <w:sz w:val="20"/>
                <w:szCs w:val="20"/>
                <w:lang w:val="hy-AM"/>
              </w:rPr>
              <w:t>Պարտքի սպասարկման գործակից</w:t>
            </w:r>
          </w:p>
        </w:tc>
        <w:tc>
          <w:tcPr>
            <w:tcW w:w="1496" w:type="dxa"/>
            <w:gridSpan w:val="2"/>
            <w:tcBorders>
              <w:top w:val="single" w:sz="4" w:space="0" w:color="auto"/>
              <w:left w:val="single" w:sz="4" w:space="0" w:color="auto"/>
              <w:bottom w:val="single" w:sz="4" w:space="0" w:color="auto"/>
            </w:tcBorders>
          </w:tcPr>
          <w:p w14:paraId="601AC4F8"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0"/>
                <w:szCs w:val="20"/>
                <w:lang w:val="hy-AM"/>
              </w:rPr>
            </w:pPr>
            <w:r>
              <w:rPr>
                <w:rFonts w:cs="Times New Roman"/>
                <w:sz w:val="20"/>
                <w:szCs w:val="20"/>
                <w:lang w:val="hy-AM"/>
              </w:rPr>
              <w:t>Վերաֆինանսավորման գործակից</w:t>
            </w:r>
          </w:p>
        </w:tc>
        <w:tc>
          <w:tcPr>
            <w:tcW w:w="1440" w:type="dxa"/>
            <w:gridSpan w:val="2"/>
            <w:tcBorders>
              <w:top w:val="single" w:sz="4" w:space="0" w:color="auto"/>
              <w:left w:val="single" w:sz="4" w:space="0" w:color="auto"/>
              <w:bottom w:val="single" w:sz="4" w:space="0" w:color="auto"/>
              <w:right w:val="single" w:sz="4" w:space="0" w:color="auto"/>
            </w:tcBorders>
          </w:tcPr>
          <w:p w14:paraId="7E0355D3"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0"/>
                <w:szCs w:val="20"/>
                <w:lang w:val="hy-AM"/>
              </w:rPr>
            </w:pPr>
            <w:r>
              <w:rPr>
                <w:rFonts w:cs="Times New Roman"/>
                <w:sz w:val="20"/>
                <w:szCs w:val="20"/>
                <w:lang w:val="hy-AM"/>
              </w:rPr>
              <w:t>Z- միավոր</w:t>
            </w:r>
          </w:p>
        </w:tc>
      </w:tr>
      <w:tr w:rsidR="00DA0E15" w14:paraId="3B05705B" w14:textId="77777777" w:rsidTr="00DA0E15">
        <w:trPr>
          <w:trHeight w:val="287"/>
        </w:trPr>
        <w:tc>
          <w:tcPr>
            <w:cnfStyle w:val="001000000000" w:firstRow="0" w:lastRow="0" w:firstColumn="1" w:lastColumn="0" w:oddVBand="0" w:evenVBand="0" w:oddHBand="0" w:evenHBand="0" w:firstRowFirstColumn="0" w:firstRowLastColumn="0" w:lastRowFirstColumn="0" w:lastRowLastColumn="0"/>
            <w:tcW w:w="3438" w:type="dxa"/>
            <w:tcBorders>
              <w:top w:val="single" w:sz="4" w:space="0" w:color="auto"/>
            </w:tcBorders>
            <w:shd w:val="clear" w:color="auto" w:fill="D9E2F3"/>
            <w:noWrap/>
          </w:tcPr>
          <w:p w14:paraId="6CB6F4F9" w14:textId="77777777" w:rsidR="00DA0E15" w:rsidRDefault="00DA0E15">
            <w:pPr>
              <w:spacing w:before="0" w:after="0" w:line="240" w:lineRule="auto"/>
              <w:ind w:firstLine="0"/>
              <w:jc w:val="center"/>
              <w:rPr>
                <w:rFonts w:cs="Times New Roman"/>
                <w:b w:val="0"/>
                <w:bCs w:val="0"/>
                <w:sz w:val="16"/>
                <w:szCs w:val="16"/>
                <w:lang w:val="hy-AM"/>
              </w:rPr>
            </w:pPr>
          </w:p>
        </w:tc>
        <w:tc>
          <w:tcPr>
            <w:tcW w:w="810" w:type="dxa"/>
            <w:tcBorders>
              <w:top w:val="single" w:sz="4" w:space="0" w:color="auto"/>
            </w:tcBorders>
            <w:shd w:val="clear" w:color="auto" w:fill="D9E2F3"/>
            <w:noWrap/>
          </w:tcPr>
          <w:p w14:paraId="41E0EC0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16"/>
                <w:szCs w:val="16"/>
                <w:lang w:val="hy-AM"/>
              </w:rPr>
            </w:pPr>
            <w:r>
              <w:rPr>
                <w:rFonts w:cs="Times New Roman"/>
                <w:b/>
                <w:sz w:val="16"/>
                <w:szCs w:val="16"/>
                <w:lang w:val="hy-AM"/>
              </w:rPr>
              <w:t>2019</w:t>
            </w:r>
          </w:p>
        </w:tc>
        <w:tc>
          <w:tcPr>
            <w:tcW w:w="630" w:type="dxa"/>
            <w:tcBorders>
              <w:top w:val="single" w:sz="4" w:space="0" w:color="auto"/>
            </w:tcBorders>
            <w:shd w:val="clear" w:color="auto" w:fill="D9E2F3"/>
            <w:noWrap/>
          </w:tcPr>
          <w:p w14:paraId="6CCC37F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16"/>
                <w:szCs w:val="16"/>
                <w:lang w:val="hy-AM"/>
              </w:rPr>
            </w:pPr>
            <w:r>
              <w:rPr>
                <w:rFonts w:cs="Times New Roman"/>
                <w:b/>
                <w:sz w:val="16"/>
                <w:szCs w:val="16"/>
                <w:lang w:val="hy-AM"/>
              </w:rPr>
              <w:t>2020</w:t>
            </w:r>
          </w:p>
        </w:tc>
        <w:tc>
          <w:tcPr>
            <w:tcW w:w="787" w:type="dxa"/>
            <w:tcBorders>
              <w:top w:val="single" w:sz="4" w:space="0" w:color="auto"/>
            </w:tcBorders>
            <w:shd w:val="clear" w:color="auto" w:fill="D9E2F3"/>
            <w:noWrap/>
          </w:tcPr>
          <w:p w14:paraId="718AD92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16"/>
                <w:szCs w:val="16"/>
                <w:lang w:val="hy-AM"/>
              </w:rPr>
            </w:pPr>
            <w:r>
              <w:rPr>
                <w:rFonts w:cs="Times New Roman"/>
                <w:b/>
                <w:sz w:val="16"/>
                <w:szCs w:val="16"/>
                <w:lang w:val="hy-AM"/>
              </w:rPr>
              <w:t>2019</w:t>
            </w:r>
          </w:p>
        </w:tc>
        <w:tc>
          <w:tcPr>
            <w:tcW w:w="743" w:type="dxa"/>
            <w:tcBorders>
              <w:top w:val="single" w:sz="4" w:space="0" w:color="auto"/>
            </w:tcBorders>
            <w:shd w:val="clear" w:color="auto" w:fill="D9E2F3"/>
            <w:noWrap/>
          </w:tcPr>
          <w:p w14:paraId="76B903B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16"/>
                <w:szCs w:val="16"/>
                <w:lang w:val="hy-AM"/>
              </w:rPr>
            </w:pPr>
            <w:r>
              <w:rPr>
                <w:rFonts w:cs="Times New Roman"/>
                <w:b/>
                <w:sz w:val="16"/>
                <w:szCs w:val="16"/>
                <w:lang w:val="hy-AM"/>
              </w:rPr>
              <w:t>2020</w:t>
            </w:r>
          </w:p>
        </w:tc>
        <w:tc>
          <w:tcPr>
            <w:tcW w:w="675" w:type="dxa"/>
            <w:tcBorders>
              <w:top w:val="single" w:sz="4" w:space="0" w:color="auto"/>
            </w:tcBorders>
            <w:shd w:val="clear" w:color="auto" w:fill="D9E2F3"/>
            <w:noWrap/>
          </w:tcPr>
          <w:p w14:paraId="32D10C0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16"/>
                <w:szCs w:val="16"/>
                <w:lang w:val="hy-AM"/>
              </w:rPr>
            </w:pPr>
            <w:r>
              <w:rPr>
                <w:rFonts w:cs="Times New Roman"/>
                <w:b/>
                <w:sz w:val="16"/>
                <w:szCs w:val="16"/>
                <w:lang w:val="hy-AM"/>
              </w:rPr>
              <w:t>2019</w:t>
            </w:r>
          </w:p>
        </w:tc>
        <w:tc>
          <w:tcPr>
            <w:tcW w:w="709" w:type="dxa"/>
            <w:tcBorders>
              <w:top w:val="single" w:sz="4" w:space="0" w:color="auto"/>
            </w:tcBorders>
            <w:shd w:val="clear" w:color="auto" w:fill="D9E2F3"/>
            <w:noWrap/>
          </w:tcPr>
          <w:p w14:paraId="18C836F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16"/>
                <w:szCs w:val="16"/>
                <w:lang w:val="hy-AM"/>
              </w:rPr>
            </w:pPr>
            <w:r>
              <w:rPr>
                <w:rFonts w:cs="Times New Roman"/>
                <w:b/>
                <w:sz w:val="16"/>
                <w:szCs w:val="16"/>
                <w:lang w:val="hy-AM"/>
              </w:rPr>
              <w:t>2020</w:t>
            </w:r>
          </w:p>
        </w:tc>
        <w:tc>
          <w:tcPr>
            <w:tcW w:w="708" w:type="dxa"/>
            <w:tcBorders>
              <w:top w:val="single" w:sz="4" w:space="0" w:color="auto"/>
            </w:tcBorders>
            <w:shd w:val="clear" w:color="auto" w:fill="D9E2F3"/>
            <w:noWrap/>
          </w:tcPr>
          <w:p w14:paraId="53F0D52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16"/>
                <w:szCs w:val="16"/>
                <w:lang w:val="hy-AM"/>
              </w:rPr>
            </w:pPr>
            <w:r>
              <w:rPr>
                <w:rFonts w:cs="Times New Roman"/>
                <w:b/>
                <w:sz w:val="16"/>
                <w:szCs w:val="16"/>
                <w:lang w:val="hy-AM"/>
              </w:rPr>
              <w:t>2019</w:t>
            </w:r>
          </w:p>
        </w:tc>
        <w:tc>
          <w:tcPr>
            <w:tcW w:w="788" w:type="dxa"/>
            <w:tcBorders>
              <w:top w:val="single" w:sz="4" w:space="0" w:color="auto"/>
            </w:tcBorders>
            <w:shd w:val="clear" w:color="auto" w:fill="D9E2F3"/>
            <w:noWrap/>
          </w:tcPr>
          <w:p w14:paraId="592E20F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16"/>
                <w:szCs w:val="16"/>
                <w:lang w:val="hy-AM"/>
              </w:rPr>
            </w:pPr>
            <w:r>
              <w:rPr>
                <w:rFonts w:cs="Times New Roman"/>
                <w:b/>
                <w:sz w:val="16"/>
                <w:szCs w:val="16"/>
                <w:lang w:val="hy-AM"/>
              </w:rPr>
              <w:t>2020</w:t>
            </w:r>
          </w:p>
        </w:tc>
        <w:tc>
          <w:tcPr>
            <w:tcW w:w="720" w:type="dxa"/>
            <w:tcBorders>
              <w:top w:val="single" w:sz="4" w:space="0" w:color="auto"/>
            </w:tcBorders>
            <w:shd w:val="clear" w:color="auto" w:fill="D9E2F3"/>
            <w:noWrap/>
          </w:tcPr>
          <w:p w14:paraId="59B2AD5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sz w:val="16"/>
                <w:szCs w:val="16"/>
                <w:lang w:val="hy-AM"/>
              </w:rPr>
            </w:pPr>
            <w:r>
              <w:rPr>
                <w:rFonts w:cs="Times New Roman"/>
                <w:b/>
                <w:sz w:val="16"/>
                <w:szCs w:val="16"/>
                <w:lang w:val="hy-AM"/>
              </w:rPr>
              <w:t>2019</w:t>
            </w:r>
          </w:p>
        </w:tc>
        <w:tc>
          <w:tcPr>
            <w:tcW w:w="720" w:type="dxa"/>
            <w:tcBorders>
              <w:top w:val="single" w:sz="4" w:space="0" w:color="auto"/>
            </w:tcBorders>
            <w:shd w:val="clear" w:color="auto" w:fill="D9E2F3"/>
            <w:noWrap/>
          </w:tcPr>
          <w:p w14:paraId="36B0E31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2020</w:t>
            </w:r>
          </w:p>
        </w:tc>
      </w:tr>
      <w:tr w:rsidR="00DA0E15" w14:paraId="185DB8E5"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noWrap/>
            <w:vAlign w:val="center"/>
          </w:tcPr>
          <w:p w14:paraId="5AB41BF6"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«Երևանի ջերմաէլեկտրակենտրոն  ՓԲԸ</w:t>
            </w:r>
          </w:p>
        </w:tc>
        <w:tc>
          <w:tcPr>
            <w:tcW w:w="810" w:type="dxa"/>
            <w:noWrap/>
          </w:tcPr>
          <w:p w14:paraId="4AA1A27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1.06</w:t>
            </w:r>
          </w:p>
        </w:tc>
        <w:tc>
          <w:tcPr>
            <w:tcW w:w="630" w:type="dxa"/>
            <w:noWrap/>
          </w:tcPr>
          <w:p w14:paraId="35E2202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1.08</w:t>
            </w:r>
          </w:p>
        </w:tc>
        <w:tc>
          <w:tcPr>
            <w:tcW w:w="787" w:type="dxa"/>
            <w:noWrap/>
          </w:tcPr>
          <w:p w14:paraId="3EF8FE4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1.68</w:t>
            </w:r>
          </w:p>
        </w:tc>
        <w:tc>
          <w:tcPr>
            <w:tcW w:w="743" w:type="dxa"/>
            <w:noWrap/>
          </w:tcPr>
          <w:p w14:paraId="713F5F1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(15.49)</w:t>
            </w:r>
          </w:p>
        </w:tc>
        <w:tc>
          <w:tcPr>
            <w:tcW w:w="675" w:type="dxa"/>
            <w:noWrap/>
          </w:tcPr>
          <w:p w14:paraId="272F5D1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0.12</w:t>
            </w:r>
          </w:p>
        </w:tc>
        <w:tc>
          <w:tcPr>
            <w:tcW w:w="709" w:type="dxa"/>
            <w:noWrap/>
          </w:tcPr>
          <w:p w14:paraId="5F12A7C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0.28</w:t>
            </w:r>
          </w:p>
        </w:tc>
        <w:tc>
          <w:tcPr>
            <w:tcW w:w="708" w:type="dxa"/>
            <w:noWrap/>
          </w:tcPr>
          <w:p w14:paraId="69BC2DA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2.78</w:t>
            </w:r>
          </w:p>
        </w:tc>
        <w:tc>
          <w:tcPr>
            <w:tcW w:w="788" w:type="dxa"/>
            <w:noWrap/>
          </w:tcPr>
          <w:p w14:paraId="733032C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6.74</w:t>
            </w:r>
          </w:p>
        </w:tc>
        <w:tc>
          <w:tcPr>
            <w:tcW w:w="720" w:type="dxa"/>
            <w:noWrap/>
          </w:tcPr>
          <w:p w14:paraId="1B184D8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(0.67)</w:t>
            </w:r>
          </w:p>
        </w:tc>
        <w:tc>
          <w:tcPr>
            <w:tcW w:w="720" w:type="dxa"/>
            <w:noWrap/>
          </w:tcPr>
          <w:p w14:paraId="0E6373C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(1.44)</w:t>
            </w:r>
          </w:p>
        </w:tc>
      </w:tr>
      <w:tr w:rsidR="00DA0E15" w14:paraId="4AECE94D"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shd w:val="clear" w:color="auto" w:fill="D9E2F3"/>
            <w:noWrap/>
            <w:vAlign w:val="center"/>
          </w:tcPr>
          <w:p w14:paraId="5E8AD89F"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«Հայկական ատոմային էլեկտրակայան ՓԲԸ</w:t>
            </w:r>
          </w:p>
        </w:tc>
        <w:tc>
          <w:tcPr>
            <w:tcW w:w="810" w:type="dxa"/>
            <w:shd w:val="clear" w:color="auto" w:fill="D9E2F3"/>
            <w:noWrap/>
          </w:tcPr>
          <w:p w14:paraId="0FA524C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0.84</w:t>
            </w:r>
          </w:p>
        </w:tc>
        <w:tc>
          <w:tcPr>
            <w:tcW w:w="630" w:type="dxa"/>
            <w:shd w:val="clear" w:color="auto" w:fill="D9E2F3"/>
            <w:noWrap/>
          </w:tcPr>
          <w:p w14:paraId="4D80B80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0.87</w:t>
            </w:r>
          </w:p>
        </w:tc>
        <w:tc>
          <w:tcPr>
            <w:tcW w:w="787" w:type="dxa"/>
            <w:shd w:val="clear" w:color="auto" w:fill="D9E2F3"/>
            <w:noWrap/>
          </w:tcPr>
          <w:p w14:paraId="5E2137F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(11.13)</w:t>
            </w:r>
          </w:p>
        </w:tc>
        <w:tc>
          <w:tcPr>
            <w:tcW w:w="743" w:type="dxa"/>
            <w:shd w:val="clear" w:color="auto" w:fill="D9E2F3"/>
            <w:noWrap/>
          </w:tcPr>
          <w:p w14:paraId="3B6DD56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(43.51)</w:t>
            </w:r>
          </w:p>
        </w:tc>
        <w:tc>
          <w:tcPr>
            <w:tcW w:w="675" w:type="dxa"/>
            <w:shd w:val="clear" w:color="auto" w:fill="D9E2F3"/>
            <w:noWrap/>
          </w:tcPr>
          <w:p w14:paraId="7F9FB65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4.58</w:t>
            </w:r>
          </w:p>
        </w:tc>
        <w:tc>
          <w:tcPr>
            <w:tcW w:w="709" w:type="dxa"/>
            <w:shd w:val="clear" w:color="auto" w:fill="D9E2F3"/>
            <w:noWrap/>
          </w:tcPr>
          <w:p w14:paraId="2D23FC9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0.29</w:t>
            </w:r>
          </w:p>
        </w:tc>
        <w:tc>
          <w:tcPr>
            <w:tcW w:w="708" w:type="dxa"/>
            <w:shd w:val="clear" w:color="auto" w:fill="D9E2F3"/>
            <w:noWrap/>
          </w:tcPr>
          <w:p w14:paraId="589E92A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(6.41)</w:t>
            </w:r>
          </w:p>
        </w:tc>
        <w:tc>
          <w:tcPr>
            <w:tcW w:w="788" w:type="dxa"/>
            <w:shd w:val="clear" w:color="auto" w:fill="D9E2F3"/>
            <w:noWrap/>
          </w:tcPr>
          <w:p w14:paraId="566D3AC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3.65</w:t>
            </w:r>
          </w:p>
        </w:tc>
        <w:tc>
          <w:tcPr>
            <w:tcW w:w="720" w:type="dxa"/>
            <w:shd w:val="clear" w:color="auto" w:fill="D9E2F3"/>
            <w:noWrap/>
          </w:tcPr>
          <w:p w14:paraId="3773E46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8.37</w:t>
            </w:r>
          </w:p>
        </w:tc>
        <w:tc>
          <w:tcPr>
            <w:tcW w:w="720" w:type="dxa"/>
            <w:shd w:val="clear" w:color="auto" w:fill="D9E2F3"/>
            <w:noWrap/>
          </w:tcPr>
          <w:p w14:paraId="740DA7D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7.73</w:t>
            </w:r>
          </w:p>
        </w:tc>
      </w:tr>
      <w:tr w:rsidR="00DA0E15" w14:paraId="1DC0A44A"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noWrap/>
            <w:vAlign w:val="center"/>
          </w:tcPr>
          <w:p w14:paraId="7DBF1519"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sz w:val="18"/>
                <w:szCs w:val="18"/>
                <w:lang w:val="hy-AM"/>
              </w:rPr>
              <w:t>«Բարձրավոլտ էլեկտրական ցանցեր ՓԲԸ</w:t>
            </w:r>
          </w:p>
        </w:tc>
        <w:tc>
          <w:tcPr>
            <w:tcW w:w="810" w:type="dxa"/>
            <w:noWrap/>
          </w:tcPr>
          <w:p w14:paraId="2699500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1.42</w:t>
            </w:r>
          </w:p>
        </w:tc>
        <w:tc>
          <w:tcPr>
            <w:tcW w:w="630" w:type="dxa"/>
            <w:noWrap/>
          </w:tcPr>
          <w:p w14:paraId="629FDE6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1.60</w:t>
            </w:r>
          </w:p>
        </w:tc>
        <w:tc>
          <w:tcPr>
            <w:tcW w:w="787" w:type="dxa"/>
            <w:noWrap/>
          </w:tcPr>
          <w:p w14:paraId="2A2408A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49.15</w:t>
            </w:r>
          </w:p>
        </w:tc>
        <w:tc>
          <w:tcPr>
            <w:tcW w:w="743" w:type="dxa"/>
            <w:noWrap/>
          </w:tcPr>
          <w:p w14:paraId="436CFCC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(133.6)</w:t>
            </w:r>
          </w:p>
        </w:tc>
        <w:tc>
          <w:tcPr>
            <w:tcW w:w="675" w:type="dxa"/>
            <w:noWrap/>
          </w:tcPr>
          <w:p w14:paraId="472B5AA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0.20</w:t>
            </w:r>
          </w:p>
        </w:tc>
        <w:tc>
          <w:tcPr>
            <w:tcW w:w="709" w:type="dxa"/>
            <w:noWrap/>
          </w:tcPr>
          <w:p w14:paraId="6540ACA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0.21</w:t>
            </w:r>
          </w:p>
        </w:tc>
        <w:tc>
          <w:tcPr>
            <w:tcW w:w="708" w:type="dxa"/>
            <w:noWrap/>
          </w:tcPr>
          <w:p w14:paraId="7D2B63A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2.06</w:t>
            </w:r>
          </w:p>
        </w:tc>
        <w:tc>
          <w:tcPr>
            <w:tcW w:w="788" w:type="dxa"/>
            <w:noWrap/>
          </w:tcPr>
          <w:p w14:paraId="049B866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2.11</w:t>
            </w:r>
          </w:p>
        </w:tc>
        <w:tc>
          <w:tcPr>
            <w:tcW w:w="720" w:type="dxa"/>
            <w:noWrap/>
          </w:tcPr>
          <w:p w14:paraId="5D7F7A2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1.11</w:t>
            </w:r>
          </w:p>
        </w:tc>
        <w:tc>
          <w:tcPr>
            <w:tcW w:w="720" w:type="dxa"/>
            <w:noWrap/>
          </w:tcPr>
          <w:p w14:paraId="7E7D089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0.32</w:t>
            </w:r>
          </w:p>
        </w:tc>
      </w:tr>
      <w:tr w:rsidR="00DA0E15" w14:paraId="19BD2659"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shd w:val="clear" w:color="auto" w:fill="D9E2F3"/>
            <w:noWrap/>
          </w:tcPr>
          <w:p w14:paraId="026B6D59"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sz w:val="18"/>
                <w:szCs w:val="18"/>
                <w:lang w:val="hy-AM"/>
              </w:rPr>
              <w:t xml:space="preserve">«Էլեկտրաէներգետիկական համակարգի օպերատոր» </w:t>
            </w:r>
            <w:r>
              <w:rPr>
                <w:rFonts w:ascii="Calibri" w:eastAsia="Times New Roman" w:hAnsi="Calibri" w:cs="Calibri"/>
                <w:b w:val="0"/>
                <w:sz w:val="18"/>
                <w:szCs w:val="18"/>
                <w:lang w:val="hy-AM"/>
              </w:rPr>
              <w:t> </w:t>
            </w:r>
            <w:r>
              <w:rPr>
                <w:rFonts w:eastAsia="Times New Roman" w:cs="Times New Roman"/>
                <w:b w:val="0"/>
                <w:sz w:val="18"/>
                <w:szCs w:val="18"/>
                <w:lang w:val="hy-AM"/>
              </w:rPr>
              <w:t>ՓԲԸ</w:t>
            </w:r>
          </w:p>
        </w:tc>
        <w:tc>
          <w:tcPr>
            <w:tcW w:w="810" w:type="dxa"/>
            <w:shd w:val="clear" w:color="auto" w:fill="D9E2F3"/>
            <w:noWrap/>
          </w:tcPr>
          <w:p w14:paraId="6E4EA73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1.05</w:t>
            </w:r>
          </w:p>
        </w:tc>
        <w:tc>
          <w:tcPr>
            <w:tcW w:w="630" w:type="dxa"/>
            <w:shd w:val="clear" w:color="auto" w:fill="D9E2F3"/>
            <w:noWrap/>
          </w:tcPr>
          <w:p w14:paraId="5A72493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1.25</w:t>
            </w:r>
          </w:p>
        </w:tc>
        <w:tc>
          <w:tcPr>
            <w:tcW w:w="787" w:type="dxa"/>
            <w:shd w:val="clear" w:color="auto" w:fill="D9E2F3"/>
            <w:noWrap/>
          </w:tcPr>
          <w:p w14:paraId="6D70B2F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0.94</w:t>
            </w:r>
          </w:p>
        </w:tc>
        <w:tc>
          <w:tcPr>
            <w:tcW w:w="743" w:type="dxa"/>
            <w:shd w:val="clear" w:color="auto" w:fill="D9E2F3"/>
            <w:noWrap/>
          </w:tcPr>
          <w:p w14:paraId="178E15E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(41.37)</w:t>
            </w:r>
          </w:p>
        </w:tc>
        <w:tc>
          <w:tcPr>
            <w:tcW w:w="675" w:type="dxa"/>
            <w:shd w:val="clear" w:color="auto" w:fill="D9E2F3"/>
            <w:noWrap/>
          </w:tcPr>
          <w:p w14:paraId="40EB220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0.03</w:t>
            </w:r>
          </w:p>
        </w:tc>
        <w:tc>
          <w:tcPr>
            <w:tcW w:w="709" w:type="dxa"/>
            <w:shd w:val="clear" w:color="auto" w:fill="D9E2F3"/>
            <w:noWrap/>
          </w:tcPr>
          <w:p w14:paraId="17860C1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0.02</w:t>
            </w:r>
          </w:p>
        </w:tc>
        <w:tc>
          <w:tcPr>
            <w:tcW w:w="708" w:type="dxa"/>
            <w:shd w:val="clear" w:color="auto" w:fill="D9E2F3"/>
            <w:noWrap/>
          </w:tcPr>
          <w:p w14:paraId="0C8B81A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0.28</w:t>
            </w:r>
          </w:p>
        </w:tc>
        <w:tc>
          <w:tcPr>
            <w:tcW w:w="788" w:type="dxa"/>
            <w:shd w:val="clear" w:color="auto" w:fill="D9E2F3"/>
            <w:noWrap/>
          </w:tcPr>
          <w:p w14:paraId="5EF9208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0.24</w:t>
            </w:r>
          </w:p>
        </w:tc>
        <w:tc>
          <w:tcPr>
            <w:tcW w:w="720" w:type="dxa"/>
            <w:shd w:val="clear" w:color="auto" w:fill="D9E2F3"/>
            <w:noWrap/>
          </w:tcPr>
          <w:p w14:paraId="1661E4D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1.20</w:t>
            </w:r>
          </w:p>
        </w:tc>
        <w:tc>
          <w:tcPr>
            <w:tcW w:w="720" w:type="dxa"/>
            <w:shd w:val="clear" w:color="auto" w:fill="D9E2F3"/>
            <w:noWrap/>
          </w:tcPr>
          <w:p w14:paraId="4494C10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0.60</w:t>
            </w:r>
          </w:p>
        </w:tc>
      </w:tr>
      <w:tr w:rsidR="00DA0E15" w14:paraId="53751DB4"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noWrap/>
          </w:tcPr>
          <w:p w14:paraId="0874D5CA" w14:textId="77777777" w:rsidR="00DA0E15" w:rsidRDefault="00362131">
            <w:pPr>
              <w:spacing w:before="0" w:after="0" w:line="240" w:lineRule="auto"/>
              <w:ind w:firstLine="0"/>
              <w:jc w:val="left"/>
              <w:rPr>
                <w:rFonts w:cs="Times New Roman"/>
                <w:bCs w:val="0"/>
                <w:sz w:val="18"/>
                <w:szCs w:val="18"/>
                <w:lang w:val="hy-AM"/>
              </w:rPr>
            </w:pPr>
            <w:r>
              <w:rPr>
                <w:rFonts w:eastAsia="Times New Roman" w:cs="Times New Roman"/>
                <w:b w:val="0"/>
                <w:bCs w:val="0"/>
                <w:sz w:val="18"/>
                <w:szCs w:val="18"/>
                <w:lang w:val="hy-AM"/>
              </w:rPr>
              <w:t>Կարեն Դեմիրճյանի անվան Երևանի մետրոպոլիտեն ՓԲԸ</w:t>
            </w:r>
          </w:p>
        </w:tc>
        <w:tc>
          <w:tcPr>
            <w:tcW w:w="810" w:type="dxa"/>
            <w:noWrap/>
          </w:tcPr>
          <w:p w14:paraId="053A555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1.21</w:t>
            </w:r>
          </w:p>
        </w:tc>
        <w:tc>
          <w:tcPr>
            <w:tcW w:w="630" w:type="dxa"/>
            <w:noWrap/>
          </w:tcPr>
          <w:p w14:paraId="29E9A65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0.95</w:t>
            </w:r>
          </w:p>
        </w:tc>
        <w:tc>
          <w:tcPr>
            <w:tcW w:w="787" w:type="dxa"/>
            <w:noWrap/>
          </w:tcPr>
          <w:p w14:paraId="039FB52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22.68</w:t>
            </w:r>
          </w:p>
        </w:tc>
        <w:tc>
          <w:tcPr>
            <w:tcW w:w="743" w:type="dxa"/>
            <w:noWrap/>
          </w:tcPr>
          <w:p w14:paraId="20F610B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(44.18)</w:t>
            </w:r>
          </w:p>
        </w:tc>
        <w:tc>
          <w:tcPr>
            <w:tcW w:w="675" w:type="dxa"/>
            <w:noWrap/>
          </w:tcPr>
          <w:p w14:paraId="1AECB52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0.03</w:t>
            </w:r>
          </w:p>
        </w:tc>
        <w:tc>
          <w:tcPr>
            <w:tcW w:w="709" w:type="dxa"/>
            <w:noWrap/>
          </w:tcPr>
          <w:p w14:paraId="05EF074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0.10</w:t>
            </w:r>
          </w:p>
        </w:tc>
        <w:tc>
          <w:tcPr>
            <w:tcW w:w="708" w:type="dxa"/>
            <w:noWrap/>
          </w:tcPr>
          <w:p w14:paraId="3DF7857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0.68</w:t>
            </w:r>
          </w:p>
        </w:tc>
        <w:tc>
          <w:tcPr>
            <w:tcW w:w="788" w:type="dxa"/>
            <w:noWrap/>
          </w:tcPr>
          <w:p w14:paraId="5BC7E91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3.22</w:t>
            </w:r>
          </w:p>
        </w:tc>
        <w:tc>
          <w:tcPr>
            <w:tcW w:w="720" w:type="dxa"/>
            <w:noWrap/>
          </w:tcPr>
          <w:p w14:paraId="1F450BE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1.58</w:t>
            </w:r>
          </w:p>
        </w:tc>
        <w:tc>
          <w:tcPr>
            <w:tcW w:w="720" w:type="dxa"/>
            <w:noWrap/>
          </w:tcPr>
          <w:p w14:paraId="36E6E89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0.27</w:t>
            </w:r>
          </w:p>
        </w:tc>
      </w:tr>
      <w:tr w:rsidR="00DA0E15" w14:paraId="19981571"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shd w:val="clear" w:color="auto" w:fill="D9E2F3"/>
            <w:noWrap/>
          </w:tcPr>
          <w:p w14:paraId="4F01551C"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Ռադիոիզոտոպների արտադրության կենտրոն ՓԲԸ</w:t>
            </w:r>
          </w:p>
        </w:tc>
        <w:tc>
          <w:tcPr>
            <w:tcW w:w="810" w:type="dxa"/>
            <w:shd w:val="clear" w:color="auto" w:fill="D9E2F3"/>
            <w:noWrap/>
          </w:tcPr>
          <w:p w14:paraId="012B016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0.54</w:t>
            </w:r>
          </w:p>
        </w:tc>
        <w:tc>
          <w:tcPr>
            <w:tcW w:w="630" w:type="dxa"/>
            <w:shd w:val="clear" w:color="auto" w:fill="D9E2F3"/>
            <w:noWrap/>
          </w:tcPr>
          <w:p w14:paraId="69E13A9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0.40</w:t>
            </w:r>
          </w:p>
        </w:tc>
        <w:tc>
          <w:tcPr>
            <w:tcW w:w="787" w:type="dxa"/>
            <w:shd w:val="clear" w:color="auto" w:fill="D9E2F3"/>
            <w:noWrap/>
          </w:tcPr>
          <w:p w14:paraId="00915D7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w:t>
            </w:r>
          </w:p>
        </w:tc>
        <w:tc>
          <w:tcPr>
            <w:tcW w:w="743" w:type="dxa"/>
            <w:shd w:val="clear" w:color="auto" w:fill="D9E2F3"/>
            <w:noWrap/>
          </w:tcPr>
          <w:p w14:paraId="63BC774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(305.85)</w:t>
            </w:r>
          </w:p>
        </w:tc>
        <w:tc>
          <w:tcPr>
            <w:tcW w:w="675" w:type="dxa"/>
            <w:shd w:val="clear" w:color="auto" w:fill="D9E2F3"/>
            <w:noWrap/>
          </w:tcPr>
          <w:p w14:paraId="5038A3B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w:t>
            </w:r>
          </w:p>
        </w:tc>
        <w:tc>
          <w:tcPr>
            <w:tcW w:w="709" w:type="dxa"/>
            <w:shd w:val="clear" w:color="auto" w:fill="D9E2F3"/>
            <w:noWrap/>
          </w:tcPr>
          <w:p w14:paraId="27EE001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w:t>
            </w:r>
          </w:p>
        </w:tc>
        <w:tc>
          <w:tcPr>
            <w:tcW w:w="708" w:type="dxa"/>
            <w:shd w:val="clear" w:color="auto" w:fill="D9E2F3"/>
            <w:noWrap/>
          </w:tcPr>
          <w:p w14:paraId="708582C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(0.00)</w:t>
            </w:r>
          </w:p>
        </w:tc>
        <w:tc>
          <w:tcPr>
            <w:tcW w:w="788" w:type="dxa"/>
            <w:shd w:val="clear" w:color="auto" w:fill="D9E2F3"/>
            <w:noWrap/>
          </w:tcPr>
          <w:p w14:paraId="4CF7477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(0.09)</w:t>
            </w:r>
          </w:p>
        </w:tc>
        <w:tc>
          <w:tcPr>
            <w:tcW w:w="720" w:type="dxa"/>
            <w:shd w:val="clear" w:color="auto" w:fill="D9E2F3"/>
            <w:noWrap/>
          </w:tcPr>
          <w:p w14:paraId="457D702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(2.40)</w:t>
            </w:r>
          </w:p>
        </w:tc>
        <w:tc>
          <w:tcPr>
            <w:tcW w:w="720" w:type="dxa"/>
            <w:shd w:val="clear" w:color="auto" w:fill="D9E2F3"/>
            <w:noWrap/>
          </w:tcPr>
          <w:p w14:paraId="7845674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(1.96)</w:t>
            </w:r>
          </w:p>
        </w:tc>
      </w:tr>
      <w:tr w:rsidR="00DA0E15" w14:paraId="151B233B"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noWrap/>
          </w:tcPr>
          <w:p w14:paraId="7A7B5342"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Համո Բեկնազարյանի անվան «Հայֆիլմ» կինոստուդիա ՓԲԸ</w:t>
            </w:r>
          </w:p>
        </w:tc>
        <w:tc>
          <w:tcPr>
            <w:tcW w:w="810" w:type="dxa"/>
            <w:noWrap/>
          </w:tcPr>
          <w:p w14:paraId="6836088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0.31</w:t>
            </w:r>
          </w:p>
        </w:tc>
        <w:tc>
          <w:tcPr>
            <w:tcW w:w="630" w:type="dxa"/>
            <w:noWrap/>
          </w:tcPr>
          <w:p w14:paraId="7BF319E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0.42</w:t>
            </w:r>
          </w:p>
        </w:tc>
        <w:tc>
          <w:tcPr>
            <w:tcW w:w="787" w:type="dxa"/>
            <w:noWrap/>
          </w:tcPr>
          <w:p w14:paraId="3835CFD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(268.4)</w:t>
            </w:r>
          </w:p>
        </w:tc>
        <w:tc>
          <w:tcPr>
            <w:tcW w:w="743" w:type="dxa"/>
            <w:noWrap/>
          </w:tcPr>
          <w:p w14:paraId="03726C8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(218.7)</w:t>
            </w:r>
          </w:p>
        </w:tc>
        <w:tc>
          <w:tcPr>
            <w:tcW w:w="675" w:type="dxa"/>
            <w:noWrap/>
          </w:tcPr>
          <w:p w14:paraId="57BB3F1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w:t>
            </w:r>
          </w:p>
        </w:tc>
        <w:tc>
          <w:tcPr>
            <w:tcW w:w="709" w:type="dxa"/>
            <w:noWrap/>
          </w:tcPr>
          <w:p w14:paraId="456FC4A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w:t>
            </w:r>
          </w:p>
        </w:tc>
        <w:tc>
          <w:tcPr>
            <w:tcW w:w="708" w:type="dxa"/>
            <w:noWrap/>
          </w:tcPr>
          <w:p w14:paraId="6BD7DAB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(2.89)</w:t>
            </w:r>
          </w:p>
        </w:tc>
        <w:tc>
          <w:tcPr>
            <w:tcW w:w="788" w:type="dxa"/>
            <w:noWrap/>
          </w:tcPr>
          <w:p w14:paraId="52EF549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95.32</w:t>
            </w:r>
          </w:p>
        </w:tc>
        <w:tc>
          <w:tcPr>
            <w:tcW w:w="720" w:type="dxa"/>
            <w:noWrap/>
          </w:tcPr>
          <w:p w14:paraId="428DB75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8.74</w:t>
            </w:r>
          </w:p>
        </w:tc>
        <w:tc>
          <w:tcPr>
            <w:tcW w:w="720" w:type="dxa"/>
            <w:noWrap/>
          </w:tcPr>
          <w:p w14:paraId="51BE85A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7.53</w:t>
            </w:r>
          </w:p>
        </w:tc>
      </w:tr>
      <w:tr w:rsidR="00DA0E15" w14:paraId="1AE64301"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shd w:val="clear" w:color="auto" w:fill="D9E2F3"/>
            <w:noWrap/>
          </w:tcPr>
          <w:p w14:paraId="4D2338B1"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Գյումրու բժշկական կենտրոն ՓԲԸ</w:t>
            </w:r>
          </w:p>
        </w:tc>
        <w:tc>
          <w:tcPr>
            <w:tcW w:w="810" w:type="dxa"/>
            <w:shd w:val="clear" w:color="auto" w:fill="D9E2F3"/>
            <w:noWrap/>
          </w:tcPr>
          <w:p w14:paraId="5B42C93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1.01</w:t>
            </w:r>
          </w:p>
        </w:tc>
        <w:tc>
          <w:tcPr>
            <w:tcW w:w="630" w:type="dxa"/>
            <w:shd w:val="clear" w:color="auto" w:fill="D9E2F3"/>
            <w:noWrap/>
          </w:tcPr>
          <w:p w14:paraId="2C2E714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0.97</w:t>
            </w:r>
          </w:p>
        </w:tc>
        <w:tc>
          <w:tcPr>
            <w:tcW w:w="787" w:type="dxa"/>
            <w:shd w:val="clear" w:color="auto" w:fill="D9E2F3"/>
            <w:noWrap/>
          </w:tcPr>
          <w:p w14:paraId="0CBC043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0.21</w:t>
            </w:r>
          </w:p>
        </w:tc>
        <w:tc>
          <w:tcPr>
            <w:tcW w:w="743" w:type="dxa"/>
            <w:shd w:val="clear" w:color="auto" w:fill="D9E2F3"/>
            <w:noWrap/>
          </w:tcPr>
          <w:p w14:paraId="23FA628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(5.18)</w:t>
            </w:r>
          </w:p>
        </w:tc>
        <w:tc>
          <w:tcPr>
            <w:tcW w:w="675" w:type="dxa"/>
            <w:shd w:val="clear" w:color="auto" w:fill="D9E2F3"/>
            <w:noWrap/>
          </w:tcPr>
          <w:p w14:paraId="57A2F03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(0.16)</w:t>
            </w:r>
          </w:p>
        </w:tc>
        <w:tc>
          <w:tcPr>
            <w:tcW w:w="709" w:type="dxa"/>
            <w:shd w:val="clear" w:color="auto" w:fill="D9E2F3"/>
            <w:noWrap/>
          </w:tcPr>
          <w:p w14:paraId="20E6750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0.30</w:t>
            </w:r>
          </w:p>
        </w:tc>
        <w:tc>
          <w:tcPr>
            <w:tcW w:w="708" w:type="dxa"/>
            <w:shd w:val="clear" w:color="auto" w:fill="D9E2F3"/>
            <w:noWrap/>
          </w:tcPr>
          <w:p w14:paraId="442366F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3.94</w:t>
            </w:r>
          </w:p>
        </w:tc>
        <w:tc>
          <w:tcPr>
            <w:tcW w:w="788" w:type="dxa"/>
            <w:shd w:val="clear" w:color="auto" w:fill="D9E2F3"/>
            <w:noWrap/>
          </w:tcPr>
          <w:p w14:paraId="1D3266D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(10.36)</w:t>
            </w:r>
          </w:p>
        </w:tc>
        <w:tc>
          <w:tcPr>
            <w:tcW w:w="720" w:type="dxa"/>
            <w:shd w:val="clear" w:color="auto" w:fill="D9E2F3"/>
            <w:noWrap/>
          </w:tcPr>
          <w:p w14:paraId="319F9CF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3.20</w:t>
            </w:r>
          </w:p>
        </w:tc>
        <w:tc>
          <w:tcPr>
            <w:tcW w:w="720" w:type="dxa"/>
            <w:shd w:val="clear" w:color="auto" w:fill="D9E2F3"/>
            <w:noWrap/>
          </w:tcPr>
          <w:p w14:paraId="5355BAA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2.68</w:t>
            </w:r>
          </w:p>
        </w:tc>
      </w:tr>
      <w:tr w:rsidR="00DA0E15" w14:paraId="4EF869DD"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noWrap/>
          </w:tcPr>
          <w:p w14:paraId="0EA548E5" w14:textId="77777777" w:rsidR="00DA0E15" w:rsidRDefault="00362131">
            <w:pPr>
              <w:spacing w:before="0" w:after="0" w:line="240" w:lineRule="auto"/>
              <w:ind w:firstLine="0"/>
              <w:jc w:val="left"/>
              <w:rPr>
                <w:rFonts w:cs="Times New Roman"/>
                <w:bCs w:val="0"/>
                <w:sz w:val="18"/>
                <w:szCs w:val="18"/>
                <w:lang w:val="hy-AM"/>
              </w:rPr>
            </w:pPr>
            <w:r>
              <w:rPr>
                <w:b w:val="0"/>
                <w:sz w:val="18"/>
                <w:szCs w:val="18"/>
                <w:lang w:val="hy-AM"/>
              </w:rPr>
              <w:t>Ջրառ ՓԲԸ</w:t>
            </w:r>
          </w:p>
        </w:tc>
        <w:tc>
          <w:tcPr>
            <w:tcW w:w="810" w:type="dxa"/>
            <w:noWrap/>
          </w:tcPr>
          <w:p w14:paraId="75EA304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0.43</w:t>
            </w:r>
          </w:p>
        </w:tc>
        <w:tc>
          <w:tcPr>
            <w:tcW w:w="630" w:type="dxa"/>
            <w:noWrap/>
          </w:tcPr>
          <w:p w14:paraId="344A679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0.71</w:t>
            </w:r>
          </w:p>
        </w:tc>
        <w:tc>
          <w:tcPr>
            <w:tcW w:w="787" w:type="dxa"/>
            <w:noWrap/>
          </w:tcPr>
          <w:p w14:paraId="2574B90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(242.3)</w:t>
            </w:r>
          </w:p>
        </w:tc>
        <w:tc>
          <w:tcPr>
            <w:tcW w:w="743" w:type="dxa"/>
            <w:noWrap/>
          </w:tcPr>
          <w:p w14:paraId="09EB7C6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(70.3)</w:t>
            </w:r>
          </w:p>
        </w:tc>
        <w:tc>
          <w:tcPr>
            <w:tcW w:w="675" w:type="dxa"/>
            <w:noWrap/>
          </w:tcPr>
          <w:p w14:paraId="2A10C8C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w:t>
            </w:r>
          </w:p>
        </w:tc>
        <w:tc>
          <w:tcPr>
            <w:tcW w:w="709" w:type="dxa"/>
            <w:noWrap/>
          </w:tcPr>
          <w:p w14:paraId="60F40F3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w:t>
            </w:r>
          </w:p>
        </w:tc>
        <w:tc>
          <w:tcPr>
            <w:tcW w:w="708" w:type="dxa"/>
            <w:noWrap/>
          </w:tcPr>
          <w:p w14:paraId="0DF90B1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(0.07)</w:t>
            </w:r>
          </w:p>
        </w:tc>
        <w:tc>
          <w:tcPr>
            <w:tcW w:w="788" w:type="dxa"/>
            <w:noWrap/>
          </w:tcPr>
          <w:p w14:paraId="262B8E8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(0.13)</w:t>
            </w:r>
          </w:p>
        </w:tc>
        <w:tc>
          <w:tcPr>
            <w:tcW w:w="720" w:type="dxa"/>
            <w:noWrap/>
          </w:tcPr>
          <w:p w14:paraId="7008BA9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169.37</w:t>
            </w:r>
          </w:p>
        </w:tc>
        <w:tc>
          <w:tcPr>
            <w:tcW w:w="720" w:type="dxa"/>
            <w:noWrap/>
          </w:tcPr>
          <w:p w14:paraId="19EA5CD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157.9</w:t>
            </w:r>
          </w:p>
        </w:tc>
      </w:tr>
      <w:tr w:rsidR="00DA0E15" w14:paraId="30FD814C"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shd w:val="clear" w:color="auto" w:fill="D9E2F3"/>
            <w:noWrap/>
          </w:tcPr>
          <w:p w14:paraId="2B02213F" w14:textId="77777777" w:rsidR="00DA0E15" w:rsidRDefault="00362131">
            <w:pPr>
              <w:spacing w:before="0" w:after="0" w:line="240" w:lineRule="auto"/>
              <w:ind w:firstLine="0"/>
              <w:jc w:val="left"/>
              <w:rPr>
                <w:rFonts w:cs="Times New Roman"/>
                <w:bCs w:val="0"/>
                <w:sz w:val="18"/>
                <w:szCs w:val="18"/>
                <w:lang w:val="hy-AM"/>
              </w:rPr>
            </w:pPr>
            <w:r>
              <w:rPr>
                <w:rFonts w:cstheme="majorHAnsi"/>
                <w:b w:val="0"/>
                <w:sz w:val="18"/>
                <w:szCs w:val="18"/>
                <w:lang w:val="hy-AM"/>
              </w:rPr>
              <w:t>Վանաձորի բժշկական կենտրոն ՓԲԸ</w:t>
            </w:r>
          </w:p>
        </w:tc>
        <w:tc>
          <w:tcPr>
            <w:tcW w:w="810" w:type="dxa"/>
            <w:shd w:val="clear" w:color="auto" w:fill="D9E2F3"/>
            <w:noWrap/>
          </w:tcPr>
          <w:p w14:paraId="0BC23F3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0.81</w:t>
            </w:r>
          </w:p>
        </w:tc>
        <w:tc>
          <w:tcPr>
            <w:tcW w:w="630" w:type="dxa"/>
            <w:shd w:val="clear" w:color="auto" w:fill="D9E2F3"/>
            <w:noWrap/>
          </w:tcPr>
          <w:p w14:paraId="35FECAF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0.87</w:t>
            </w:r>
          </w:p>
        </w:tc>
        <w:tc>
          <w:tcPr>
            <w:tcW w:w="787" w:type="dxa"/>
            <w:shd w:val="clear" w:color="auto" w:fill="D9E2F3"/>
            <w:noWrap/>
          </w:tcPr>
          <w:p w14:paraId="0ABE086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(4.31)</w:t>
            </w:r>
          </w:p>
        </w:tc>
        <w:tc>
          <w:tcPr>
            <w:tcW w:w="743" w:type="dxa"/>
            <w:shd w:val="clear" w:color="auto" w:fill="D9E2F3"/>
            <w:noWrap/>
          </w:tcPr>
          <w:p w14:paraId="37543B1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(6.77)</w:t>
            </w:r>
          </w:p>
        </w:tc>
        <w:tc>
          <w:tcPr>
            <w:tcW w:w="675" w:type="dxa"/>
            <w:shd w:val="clear" w:color="auto" w:fill="D9E2F3"/>
            <w:noWrap/>
          </w:tcPr>
          <w:p w14:paraId="356CCB7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w:t>
            </w:r>
          </w:p>
        </w:tc>
        <w:tc>
          <w:tcPr>
            <w:tcW w:w="709" w:type="dxa"/>
            <w:shd w:val="clear" w:color="auto" w:fill="D9E2F3"/>
            <w:noWrap/>
          </w:tcPr>
          <w:p w14:paraId="29C728D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w:t>
            </w:r>
          </w:p>
        </w:tc>
        <w:tc>
          <w:tcPr>
            <w:tcW w:w="708" w:type="dxa"/>
            <w:shd w:val="clear" w:color="auto" w:fill="D9E2F3"/>
            <w:noWrap/>
          </w:tcPr>
          <w:p w14:paraId="587797C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2.40</w:t>
            </w:r>
          </w:p>
        </w:tc>
        <w:tc>
          <w:tcPr>
            <w:tcW w:w="788" w:type="dxa"/>
            <w:shd w:val="clear" w:color="auto" w:fill="D9E2F3"/>
            <w:noWrap/>
          </w:tcPr>
          <w:p w14:paraId="7F07746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4.70</w:t>
            </w:r>
          </w:p>
        </w:tc>
        <w:tc>
          <w:tcPr>
            <w:tcW w:w="720" w:type="dxa"/>
            <w:shd w:val="clear" w:color="auto" w:fill="D9E2F3"/>
            <w:noWrap/>
          </w:tcPr>
          <w:p w14:paraId="5C0A7B7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2.33</w:t>
            </w:r>
          </w:p>
        </w:tc>
        <w:tc>
          <w:tcPr>
            <w:tcW w:w="720" w:type="dxa"/>
            <w:shd w:val="clear" w:color="auto" w:fill="D9E2F3"/>
            <w:noWrap/>
          </w:tcPr>
          <w:p w14:paraId="192EBC6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2.25</w:t>
            </w:r>
          </w:p>
        </w:tc>
      </w:tr>
      <w:tr w:rsidR="00DA0E15" w14:paraId="13EE8516" w14:textId="77777777" w:rsidTr="00DA0E15">
        <w:trPr>
          <w:trHeight w:val="439"/>
        </w:trPr>
        <w:tc>
          <w:tcPr>
            <w:cnfStyle w:val="001000000000" w:firstRow="0" w:lastRow="0" w:firstColumn="1" w:lastColumn="0" w:oddVBand="0" w:evenVBand="0" w:oddHBand="0" w:evenHBand="0" w:firstRowFirstColumn="0" w:firstRowLastColumn="0" w:lastRowFirstColumn="0" w:lastRowLastColumn="0"/>
            <w:tcW w:w="3438" w:type="dxa"/>
            <w:noWrap/>
          </w:tcPr>
          <w:p w14:paraId="085612F6" w14:textId="77777777" w:rsidR="00DA0E15" w:rsidRDefault="00362131">
            <w:pPr>
              <w:spacing w:before="0" w:after="0" w:line="240" w:lineRule="auto"/>
              <w:ind w:firstLine="0"/>
              <w:jc w:val="left"/>
              <w:rPr>
                <w:rFonts w:cs="Times New Roman"/>
                <w:bCs w:val="0"/>
                <w:sz w:val="18"/>
                <w:szCs w:val="18"/>
                <w:lang w:val="hy-AM"/>
              </w:rPr>
            </w:pPr>
            <w:r>
              <w:rPr>
                <w:b w:val="0"/>
                <w:bCs w:val="0"/>
                <w:sz w:val="18"/>
                <w:szCs w:val="18"/>
                <w:lang w:val="hy-AM"/>
              </w:rPr>
              <w:t>Հայավտոկայարան ՓԲԸ</w:t>
            </w:r>
          </w:p>
        </w:tc>
        <w:tc>
          <w:tcPr>
            <w:tcW w:w="810" w:type="dxa"/>
            <w:noWrap/>
          </w:tcPr>
          <w:p w14:paraId="69220C6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0.88</w:t>
            </w:r>
          </w:p>
        </w:tc>
        <w:tc>
          <w:tcPr>
            <w:tcW w:w="630" w:type="dxa"/>
            <w:noWrap/>
          </w:tcPr>
          <w:p w14:paraId="5A41DB1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1.20</w:t>
            </w:r>
          </w:p>
        </w:tc>
        <w:tc>
          <w:tcPr>
            <w:tcW w:w="787" w:type="dxa"/>
            <w:noWrap/>
          </w:tcPr>
          <w:p w14:paraId="2B7F439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(16.59)</w:t>
            </w:r>
          </w:p>
        </w:tc>
        <w:tc>
          <w:tcPr>
            <w:tcW w:w="743" w:type="dxa"/>
            <w:noWrap/>
          </w:tcPr>
          <w:p w14:paraId="4C500AA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13.50</w:t>
            </w:r>
          </w:p>
        </w:tc>
        <w:tc>
          <w:tcPr>
            <w:tcW w:w="675" w:type="dxa"/>
            <w:noWrap/>
          </w:tcPr>
          <w:p w14:paraId="35B6C2D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w:t>
            </w:r>
          </w:p>
        </w:tc>
        <w:tc>
          <w:tcPr>
            <w:tcW w:w="709" w:type="dxa"/>
            <w:noWrap/>
          </w:tcPr>
          <w:p w14:paraId="3F5CFE0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0.87</w:t>
            </w:r>
          </w:p>
        </w:tc>
        <w:tc>
          <w:tcPr>
            <w:tcW w:w="708" w:type="dxa"/>
            <w:noWrap/>
          </w:tcPr>
          <w:p w14:paraId="6D8A498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0.64</w:t>
            </w:r>
          </w:p>
        </w:tc>
        <w:tc>
          <w:tcPr>
            <w:tcW w:w="788" w:type="dxa"/>
            <w:noWrap/>
          </w:tcPr>
          <w:p w14:paraId="6D33AAF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1.04</w:t>
            </w:r>
          </w:p>
        </w:tc>
        <w:tc>
          <w:tcPr>
            <w:tcW w:w="720" w:type="dxa"/>
            <w:noWrap/>
          </w:tcPr>
          <w:p w14:paraId="7232A75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0.54</w:t>
            </w:r>
          </w:p>
        </w:tc>
        <w:tc>
          <w:tcPr>
            <w:tcW w:w="720" w:type="dxa"/>
            <w:noWrap/>
          </w:tcPr>
          <w:p w14:paraId="1C4B685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1.03</w:t>
            </w:r>
          </w:p>
        </w:tc>
      </w:tr>
      <w:tr w:rsidR="00DA0E15" w:rsidRPr="005849E3" w14:paraId="7F12AA21" w14:textId="77777777" w:rsidTr="00DA0E15">
        <w:trPr>
          <w:trHeight w:val="917"/>
        </w:trPr>
        <w:tc>
          <w:tcPr>
            <w:cnfStyle w:val="001000000000" w:firstRow="0" w:lastRow="0" w:firstColumn="1" w:lastColumn="0" w:oddVBand="0" w:evenVBand="0" w:oddHBand="0" w:evenHBand="0" w:firstRowFirstColumn="0" w:firstRowLastColumn="0" w:lastRowFirstColumn="0" w:lastRowLastColumn="0"/>
            <w:tcW w:w="3438" w:type="dxa"/>
            <w:shd w:val="clear" w:color="auto" w:fill="D9E2F3"/>
            <w:noWrap/>
          </w:tcPr>
          <w:p w14:paraId="4074484D" w14:textId="77777777" w:rsidR="00DA0E15" w:rsidRDefault="00362131">
            <w:pPr>
              <w:spacing w:before="0" w:after="0" w:line="240" w:lineRule="auto"/>
              <w:ind w:firstLine="0"/>
              <w:jc w:val="left"/>
              <w:rPr>
                <w:rFonts w:ascii="Calibri" w:hAnsi="Calibri" w:cs="Times New Roman"/>
                <w:b w:val="0"/>
                <w:bCs w:val="0"/>
                <w:sz w:val="18"/>
                <w:szCs w:val="18"/>
                <w:lang w:val="hy-AM"/>
              </w:rPr>
            </w:pPr>
            <w:r>
              <w:rPr>
                <w:rFonts w:ascii="Calibri" w:hAnsi="Calibri" w:cs="Times New Roman"/>
                <w:sz w:val="18"/>
                <w:szCs w:val="18"/>
                <w:lang w:val="hy-AM"/>
              </w:rPr>
              <w:t> </w:t>
            </w:r>
            <w:r>
              <w:rPr>
                <w:rFonts w:cstheme="majorHAnsi"/>
                <w:sz w:val="18"/>
                <w:szCs w:val="18"/>
                <w:lang w:val="hy-AM"/>
              </w:rPr>
              <w:t>Թույլատրելի սահմանային նորմա</w:t>
            </w:r>
          </w:p>
        </w:tc>
        <w:tc>
          <w:tcPr>
            <w:tcW w:w="1440" w:type="dxa"/>
            <w:gridSpan w:val="2"/>
            <w:shd w:val="clear" w:color="auto" w:fill="D9E2F3"/>
            <w:noWrap/>
          </w:tcPr>
          <w:p w14:paraId="48068B5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Առնվազն 1</w:t>
            </w:r>
          </w:p>
        </w:tc>
        <w:tc>
          <w:tcPr>
            <w:tcW w:w="1530" w:type="dxa"/>
            <w:gridSpan w:val="2"/>
            <w:shd w:val="clear" w:color="auto" w:fill="D9E2F3"/>
            <w:noWrap/>
          </w:tcPr>
          <w:p w14:paraId="3E1D3D0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Առնվազն 8%</w:t>
            </w:r>
          </w:p>
        </w:tc>
        <w:tc>
          <w:tcPr>
            <w:tcW w:w="1384" w:type="dxa"/>
            <w:gridSpan w:val="2"/>
            <w:shd w:val="clear" w:color="auto" w:fill="D9E2F3"/>
            <w:noWrap/>
          </w:tcPr>
          <w:p w14:paraId="02BA67D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Առավելագույնը 0.5</w:t>
            </w:r>
          </w:p>
        </w:tc>
        <w:tc>
          <w:tcPr>
            <w:tcW w:w="1496" w:type="dxa"/>
            <w:gridSpan w:val="2"/>
            <w:shd w:val="clear" w:color="auto" w:fill="D9E2F3"/>
            <w:noWrap/>
          </w:tcPr>
          <w:p w14:paraId="442E957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Առավելագույնը 1</w:t>
            </w:r>
          </w:p>
        </w:tc>
        <w:tc>
          <w:tcPr>
            <w:tcW w:w="1440" w:type="dxa"/>
            <w:gridSpan w:val="2"/>
            <w:shd w:val="clear" w:color="auto" w:fill="D9E2F3"/>
          </w:tcPr>
          <w:p w14:paraId="4A28174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6"/>
                <w:szCs w:val="16"/>
                <w:lang w:val="hy-AM"/>
              </w:rPr>
            </w:pPr>
            <w:r>
              <w:rPr>
                <w:rFonts w:cs="Times New Roman"/>
                <w:sz w:val="16"/>
                <w:szCs w:val="16"/>
                <w:lang w:val="hy-AM"/>
              </w:rPr>
              <w:t>Ապահով գոտի Z&gt;2.6, Գորշ գոտի 1.1&lt;Z&lt;2.6, Ծանր գոտի Z&lt;1.1</w:t>
            </w:r>
          </w:p>
        </w:tc>
      </w:tr>
    </w:tbl>
    <w:p w14:paraId="0A15A6EF" w14:textId="77777777" w:rsidR="00DA0E15" w:rsidRDefault="00DA0E15">
      <w:pPr>
        <w:shd w:val="clear" w:color="auto" w:fill="FFFFFF"/>
        <w:spacing w:before="0" w:after="0" w:line="240" w:lineRule="auto"/>
        <w:ind w:right="150" w:firstLine="0"/>
        <w:rPr>
          <w:rFonts w:ascii="Sylfaen" w:eastAsia="Times New Roman" w:hAnsi="Sylfaen" w:cs="Times New Roman"/>
          <w:color w:val="000000"/>
          <w:lang w:val="hy-AM" w:eastAsia="ru-RU"/>
        </w:rPr>
      </w:pPr>
    </w:p>
    <w:p w14:paraId="7BB1C483" w14:textId="77777777" w:rsidR="00DA0E15" w:rsidRDefault="00362131">
      <w:pPr>
        <w:shd w:val="clear" w:color="auto" w:fill="FFFFFF"/>
        <w:spacing w:after="0" w:line="276" w:lineRule="auto"/>
        <w:ind w:right="150" w:firstLine="227"/>
        <w:rPr>
          <w:rFonts w:eastAsia="Times New Roman" w:cs="Times New Roman"/>
          <w:lang w:val="hy-AM"/>
        </w:rPr>
      </w:pPr>
      <w:r>
        <w:rPr>
          <w:rFonts w:eastAsia="Times New Roman" w:cs="Times New Roman"/>
          <w:lang w:val="hy-AM"/>
        </w:rPr>
        <w:t>Ինչպես երևում է վերը ներկայացված աղյուսակից, սնանկացման կանխատեսման Ալթմանի Z-միավորը վկայում է «Երևանի ջերմաէլեկտրակենտրոն</w:t>
      </w:r>
      <w:r>
        <w:rPr>
          <w:rFonts w:eastAsia="Times New Roman" w:cs="Times New Roman"/>
          <w:color w:val="000000"/>
          <w:lang w:val="hy-AM" w:eastAsia="ru-RU"/>
        </w:rPr>
        <w:t>»</w:t>
      </w:r>
      <w:r>
        <w:rPr>
          <w:rFonts w:eastAsia="Times New Roman" w:cs="Times New Roman"/>
          <w:lang w:val="hy-AM"/>
        </w:rPr>
        <w:t>, «Բարձրավոլտ Էլեկտրական ցանցեր»,</w:t>
      </w:r>
      <w:r>
        <w:rPr>
          <w:rFonts w:eastAsia="Calibri" w:cs="Times New Roman"/>
          <w:lang w:val="hy-AM"/>
        </w:rPr>
        <w:t xml:space="preserve"> </w:t>
      </w:r>
      <w:r>
        <w:rPr>
          <w:rFonts w:eastAsia="Times New Roman" w:cs="Times New Roman"/>
          <w:lang w:val="hy-AM"/>
        </w:rPr>
        <w:t xml:space="preserve">«Էլեկտրաէներգետիկական համակարգի օպերատոր», Կարեն Դեմիրճյանի անվան Երևանի մետրոպոլիտեն, </w:t>
      </w:r>
      <w:r>
        <w:rPr>
          <w:rFonts w:cstheme="majorHAnsi"/>
          <w:lang w:val="hy-AM"/>
        </w:rPr>
        <w:t xml:space="preserve">Ռադիոիզոտոպների արտադրության կենտրոն </w:t>
      </w:r>
      <w:r>
        <w:rPr>
          <w:rFonts w:eastAsia="Times New Roman" w:cs="Times New Roman"/>
          <w:lang w:val="hy-AM"/>
        </w:rPr>
        <w:t xml:space="preserve"> և «Հայավտոկայարան» ՓԲԸ-ների ֆինանսական վիճակի վատթարացման նշանակալի հավանականության մասին (գործակիցը գտնվում է սահմանված գորշ գոտում` Z&lt;1.1):</w:t>
      </w:r>
    </w:p>
    <w:p w14:paraId="6DCCBD70" w14:textId="77777777" w:rsidR="00DA0E15" w:rsidRDefault="00362131">
      <w:pPr>
        <w:shd w:val="clear" w:color="auto" w:fill="FFFFFF"/>
        <w:spacing w:before="0" w:after="0" w:line="276" w:lineRule="auto"/>
        <w:ind w:right="150" w:firstLine="227"/>
        <w:rPr>
          <w:rFonts w:eastAsia="Times New Roman" w:cs="Times New Roman"/>
          <w:lang w:val="hy-AM"/>
        </w:rPr>
      </w:pPr>
      <w:r>
        <w:rPr>
          <w:rFonts w:eastAsia="Times New Roman" w:cs="Times New Roman"/>
          <w:lang w:val="hy-AM"/>
        </w:rPr>
        <w:t>Միաժամանակ, զուտ շահույթի մարժան դիտարկված ընկերություններում եղել է բացասական, պայմանավորված փոխարժեքային տատանումներից առաջացած վնասներով։ Իսկ ծախսերի վերականգման գործակիցը գրեթե մոտ է միջազգային պրակտիկայում ընդունված թույլատրելի սահմանային նորմային։</w:t>
      </w:r>
    </w:p>
    <w:p w14:paraId="628C6899" w14:textId="77777777" w:rsidR="00DA0E15" w:rsidRDefault="00DA0E15">
      <w:pPr>
        <w:shd w:val="clear" w:color="auto" w:fill="FFFFFF"/>
        <w:spacing w:before="0" w:after="0" w:line="240" w:lineRule="auto"/>
        <w:ind w:right="150" w:firstLine="0"/>
        <w:rPr>
          <w:rFonts w:ascii="Sylfaen" w:eastAsia="Times New Roman" w:hAnsi="Sylfaen" w:cs="Times New Roman"/>
          <w:color w:val="000000"/>
          <w:lang w:val="hy-AM" w:eastAsia="ru-RU"/>
        </w:rPr>
      </w:pPr>
    </w:p>
    <w:p w14:paraId="3F95999D" w14:textId="77777777" w:rsidR="00DA0E15" w:rsidRDefault="00362131">
      <w:pPr>
        <w:spacing w:before="0" w:after="0" w:line="360" w:lineRule="auto"/>
        <w:ind w:firstLine="0"/>
        <w:jc w:val="center"/>
        <w:rPr>
          <w:rFonts w:eastAsia="Calibri" w:cs="Times New Roman"/>
          <w:b/>
          <w:lang w:val="hy-AM"/>
        </w:rPr>
      </w:pPr>
      <w:r>
        <w:rPr>
          <w:rFonts w:eastAsia="Calibri" w:cs="Times New Roman"/>
          <w:b/>
          <w:lang w:val="hy-AM"/>
        </w:rPr>
        <w:t>ԷՆԵՐԳԵՏԻԿԱՅԻ ՈԼՈՐՏԻ ՄԱՍՆԱՎՈՐ ԸՆԿԵՐՈՒԹՅՈՒՆՆԵՐ</w:t>
      </w:r>
    </w:p>
    <w:p w14:paraId="6932E251" w14:textId="77777777" w:rsidR="00DA0E15" w:rsidRDefault="00362131">
      <w:pPr>
        <w:spacing w:before="0" w:after="0" w:line="276" w:lineRule="auto"/>
        <w:ind w:firstLine="227"/>
        <w:rPr>
          <w:rFonts w:eastAsia="Times New Roman" w:cs="Times New Roman"/>
          <w:lang w:val="hy-AM"/>
        </w:rPr>
      </w:pPr>
      <w:r>
        <w:rPr>
          <w:rFonts w:eastAsia="Times New Roman" w:cs="Times New Roman"/>
          <w:lang w:val="hy-AM"/>
        </w:rPr>
        <w:t xml:space="preserve">Հաշվետու ժամանակաշրջանում (2020թ.) էներգետիկայի ոլորտի դիտանցման ենթարկված մասնավոր ընկերությունների (թվով 4 Ընկերություններ) հիմնական գործունեությունից ստացված հանրագումարային եկամուտները նախորդ ժամանակաշրջանի  (2019թ.)  նկատմամբ ավելացել են 13.0 մլրդ դրամով և կազմել 476.1 մլրդ դրամ: </w:t>
      </w:r>
    </w:p>
    <w:p w14:paraId="602125CD" w14:textId="77777777" w:rsidR="00DA0E15" w:rsidRDefault="00362131">
      <w:pPr>
        <w:spacing w:after="0" w:line="276" w:lineRule="auto"/>
        <w:ind w:firstLine="227"/>
        <w:rPr>
          <w:rFonts w:eastAsia="Times New Roman" w:cs="Times New Roman"/>
          <w:lang w:val="hy-AM"/>
        </w:rPr>
      </w:pPr>
      <w:r>
        <w:rPr>
          <w:rFonts w:eastAsia="Times New Roman" w:cs="Times New Roman"/>
          <w:lang w:val="hy-AM"/>
        </w:rPr>
        <w:t>Հաշվետու ժամանակաշրջանում Ընկերությունների հան</w:t>
      </w:r>
      <w:r>
        <w:rPr>
          <w:rFonts w:eastAsia="Times New Roman" w:cs="Times New Roman"/>
          <w:lang w:val="hy-AM"/>
        </w:rPr>
        <w:softHyphen/>
        <w:t xml:space="preserve">րագումարային ծախսերը կազմել են 451.7 մլրդ դրամ` նախորդ ժամանակաշրջանի 436.3 մլրդ դրամի դիմաց կամ ավել 15.4 մլրդ դրամով (3.5%-ով): </w:t>
      </w:r>
    </w:p>
    <w:p w14:paraId="72B40448" w14:textId="77777777" w:rsidR="00DA0E15" w:rsidRDefault="00362131">
      <w:pPr>
        <w:spacing w:after="0" w:line="276" w:lineRule="auto"/>
        <w:ind w:firstLine="227"/>
        <w:rPr>
          <w:rFonts w:eastAsia="Times New Roman" w:cs="Times New Roman"/>
          <w:lang w:val="hy-AM"/>
        </w:rPr>
      </w:pPr>
      <w:r>
        <w:rPr>
          <w:rFonts w:eastAsia="Times New Roman" w:cs="Times New Roman"/>
          <w:lang w:val="hy-AM"/>
        </w:rPr>
        <w:t>Ընկերությունների 476.1 մլրդ դրամ ընդհանուր եկամուտների և 451.7 մլրդ դրամ ընդհա</w:t>
      </w:r>
      <w:r>
        <w:rPr>
          <w:rFonts w:eastAsia="Times New Roman" w:cs="Times New Roman"/>
          <w:lang w:val="hy-AM"/>
        </w:rPr>
        <w:softHyphen/>
        <w:t xml:space="preserve">նուր ծախսերի արդյունքում հաշվետու ժամանակաշրջանում գործառնական շահույթը կազմել է 24.4 մլրդ դրամ։ </w:t>
      </w:r>
    </w:p>
    <w:p w14:paraId="7F15440D" w14:textId="77777777" w:rsidR="00DA0E15" w:rsidRDefault="00DA0E15">
      <w:pPr>
        <w:spacing w:after="0" w:line="240" w:lineRule="auto"/>
        <w:ind w:firstLine="0"/>
        <w:rPr>
          <w:rFonts w:eastAsia="Times New Roman" w:cs="Times New Roman"/>
          <w:b/>
          <w:sz w:val="20"/>
          <w:szCs w:val="20"/>
          <w:lang w:val="hy-AM"/>
        </w:rPr>
      </w:pPr>
    </w:p>
    <w:p w14:paraId="6DE09756" w14:textId="77777777" w:rsidR="00DA0E15" w:rsidRDefault="00362131">
      <w:pPr>
        <w:keepNext/>
        <w:spacing w:before="0" w:after="0" w:line="240" w:lineRule="auto"/>
        <w:ind w:firstLine="0"/>
        <w:jc w:val="left"/>
        <w:rPr>
          <w:rFonts w:eastAsia="Calibri" w:cs="Times New Roman"/>
          <w:b/>
          <w:i/>
          <w:iCs/>
          <w:sz w:val="19"/>
          <w:szCs w:val="19"/>
          <w:lang w:val="hy-AM"/>
        </w:rPr>
      </w:pPr>
      <w:r>
        <w:rPr>
          <w:b/>
          <w:sz w:val="20"/>
          <w:szCs w:val="20"/>
          <w:lang w:val="hy-AM"/>
        </w:rPr>
        <w:t>Աղյուսակ 5.8</w:t>
      </w:r>
      <w:r>
        <w:rPr>
          <w:rFonts w:eastAsia="Calibri" w:cs="Times New Roman"/>
          <w:b/>
          <w:i/>
          <w:iCs/>
          <w:sz w:val="19"/>
          <w:szCs w:val="19"/>
          <w:lang w:val="hy-AM"/>
        </w:rPr>
        <w:t xml:space="preserve"> </w:t>
      </w:r>
      <w:r>
        <w:rPr>
          <w:i/>
          <w:sz w:val="20"/>
          <w:szCs w:val="20"/>
          <w:lang w:val="hy-AM"/>
        </w:rPr>
        <w:t>Էներգետիկայի ոլորտի մասնավոր ընկերությունների հանրագումարային զուտ շահույթը/վնասն ըստ տարիների</w:t>
      </w:r>
    </w:p>
    <w:p w14:paraId="5C1ABEBE" w14:textId="77777777" w:rsidR="00DA0E15" w:rsidRDefault="00362131">
      <w:pPr>
        <w:keepNext/>
        <w:spacing w:before="0" w:after="0" w:line="240" w:lineRule="auto"/>
        <w:ind w:firstLine="0"/>
        <w:jc w:val="right"/>
        <w:rPr>
          <w:rFonts w:eastAsia="Calibri" w:cs="Times New Roman"/>
          <w:i/>
          <w:iCs/>
          <w:sz w:val="19"/>
          <w:szCs w:val="19"/>
          <w:lang w:val="hy-AM"/>
        </w:rPr>
      </w:pPr>
      <w:r>
        <w:rPr>
          <w:rFonts w:eastAsia="Calibri" w:cs="Times New Roman"/>
          <w:b/>
          <w:i/>
          <w:iCs/>
          <w:sz w:val="19"/>
          <w:szCs w:val="19"/>
          <w:lang w:val="hy-AM"/>
        </w:rPr>
        <w:t xml:space="preserve">                                                                                                                                      </w:t>
      </w:r>
      <w:r>
        <w:rPr>
          <w:rFonts w:eastAsia="Calibri" w:cs="Times New Roman"/>
          <w:i/>
          <w:iCs/>
          <w:sz w:val="19"/>
          <w:szCs w:val="19"/>
          <w:lang w:val="hy-AM"/>
        </w:rPr>
        <w:t>հազ. դրամ</w:t>
      </w:r>
    </w:p>
    <w:tbl>
      <w:tblPr>
        <w:tblStyle w:val="GridTable4-Accent12"/>
        <w:tblW w:w="10080" w:type="dxa"/>
        <w:tblInd w:w="108" w:type="dxa"/>
        <w:tblLayout w:type="fixed"/>
        <w:tblLook w:val="04A0" w:firstRow="1" w:lastRow="0" w:firstColumn="1" w:lastColumn="0" w:noHBand="0" w:noVBand="1"/>
      </w:tblPr>
      <w:tblGrid>
        <w:gridCol w:w="5135"/>
        <w:gridCol w:w="1700"/>
        <w:gridCol w:w="1700"/>
        <w:gridCol w:w="1545"/>
      </w:tblGrid>
      <w:tr w:rsidR="00DA0E15" w14:paraId="51B2BF69" w14:textId="77777777" w:rsidTr="00146C6E">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5135" w:type="dxa"/>
            <w:tcBorders>
              <w:top w:val="single" w:sz="4" w:space="0" w:color="auto"/>
              <w:left w:val="single" w:sz="4" w:space="0" w:color="auto"/>
              <w:bottom w:val="single" w:sz="4" w:space="0" w:color="auto"/>
            </w:tcBorders>
          </w:tcPr>
          <w:p w14:paraId="09146CA6" w14:textId="77777777" w:rsidR="00DA0E15" w:rsidRDefault="00362131">
            <w:pPr>
              <w:spacing w:after="0" w:line="240" w:lineRule="auto"/>
              <w:ind w:firstLine="0"/>
              <w:jc w:val="center"/>
              <w:rPr>
                <w:rFonts w:eastAsia="Times New Roman" w:cs="Times New Roman"/>
                <w:b w:val="0"/>
                <w:bCs w:val="0"/>
                <w:sz w:val="20"/>
                <w:szCs w:val="20"/>
                <w:lang w:val="hy-AM"/>
              </w:rPr>
            </w:pPr>
            <w:r>
              <w:rPr>
                <w:rFonts w:eastAsia="Times New Roman" w:cs="Times New Roman"/>
                <w:sz w:val="20"/>
                <w:szCs w:val="20"/>
                <w:lang w:val="hy-AM"/>
              </w:rPr>
              <w:t>Մասնավոր ընկերություններ</w:t>
            </w:r>
          </w:p>
        </w:tc>
        <w:tc>
          <w:tcPr>
            <w:tcW w:w="1700" w:type="dxa"/>
            <w:tcBorders>
              <w:top w:val="single" w:sz="4" w:space="0" w:color="auto"/>
              <w:left w:val="single" w:sz="4" w:space="0" w:color="auto"/>
              <w:bottom w:val="single" w:sz="4" w:space="0" w:color="auto"/>
            </w:tcBorders>
          </w:tcPr>
          <w:p w14:paraId="6F98C5D0" w14:textId="77777777" w:rsidR="00DA0E15" w:rsidRDefault="00362131">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 w:val="20"/>
                <w:szCs w:val="20"/>
                <w:lang w:val="hy-AM"/>
              </w:rPr>
            </w:pPr>
            <w:r>
              <w:rPr>
                <w:rFonts w:eastAsia="Times New Roman" w:cs="Times New Roman"/>
                <w:sz w:val="20"/>
                <w:szCs w:val="20"/>
                <w:lang w:val="hy-AM"/>
              </w:rPr>
              <w:t>2018թ.</w:t>
            </w:r>
          </w:p>
        </w:tc>
        <w:tc>
          <w:tcPr>
            <w:tcW w:w="1700" w:type="dxa"/>
            <w:tcBorders>
              <w:top w:val="single" w:sz="4" w:space="0" w:color="auto"/>
              <w:left w:val="single" w:sz="4" w:space="0" w:color="auto"/>
              <w:bottom w:val="single" w:sz="4" w:space="0" w:color="auto"/>
            </w:tcBorders>
          </w:tcPr>
          <w:p w14:paraId="52E9AE87" w14:textId="77777777" w:rsidR="00DA0E15" w:rsidRDefault="00362131">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 w:val="20"/>
                <w:szCs w:val="20"/>
                <w:lang w:val="hy-AM"/>
              </w:rPr>
            </w:pPr>
            <w:r>
              <w:rPr>
                <w:rFonts w:eastAsia="Times New Roman" w:cs="Times New Roman"/>
                <w:sz w:val="20"/>
                <w:szCs w:val="20"/>
                <w:lang w:val="hy-AM"/>
              </w:rPr>
              <w:t>2019թ.</w:t>
            </w:r>
          </w:p>
        </w:tc>
        <w:tc>
          <w:tcPr>
            <w:tcW w:w="1545" w:type="dxa"/>
            <w:tcBorders>
              <w:top w:val="single" w:sz="4" w:space="0" w:color="auto"/>
              <w:left w:val="single" w:sz="4" w:space="0" w:color="auto"/>
              <w:bottom w:val="single" w:sz="4" w:space="0" w:color="auto"/>
              <w:right w:val="single" w:sz="4" w:space="0" w:color="auto"/>
            </w:tcBorders>
          </w:tcPr>
          <w:p w14:paraId="69D95585" w14:textId="77777777" w:rsidR="00DA0E15" w:rsidRDefault="00362131">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 w:val="20"/>
                <w:szCs w:val="20"/>
                <w:lang w:val="hy-AM"/>
              </w:rPr>
            </w:pPr>
            <w:r>
              <w:rPr>
                <w:rFonts w:eastAsia="Times New Roman" w:cs="Times New Roman"/>
                <w:sz w:val="20"/>
                <w:szCs w:val="20"/>
                <w:lang w:val="hy-AM"/>
              </w:rPr>
              <w:t>2020թ.</w:t>
            </w:r>
          </w:p>
        </w:tc>
      </w:tr>
      <w:tr w:rsidR="00DA0E15" w14:paraId="53CF8E3F" w14:textId="77777777" w:rsidTr="00146C6E">
        <w:trPr>
          <w:trHeight w:val="307"/>
        </w:trPr>
        <w:tc>
          <w:tcPr>
            <w:cnfStyle w:val="001000000000" w:firstRow="0" w:lastRow="0" w:firstColumn="1" w:lastColumn="0" w:oddVBand="0" w:evenVBand="0" w:oddHBand="0" w:evenHBand="0" w:firstRowFirstColumn="0" w:firstRowLastColumn="0" w:lastRowFirstColumn="0" w:lastRowLastColumn="0"/>
            <w:tcW w:w="5135" w:type="dxa"/>
            <w:tcBorders>
              <w:top w:val="single" w:sz="4" w:space="0" w:color="auto"/>
            </w:tcBorders>
            <w:shd w:val="clear" w:color="auto" w:fill="D9E2F3"/>
          </w:tcPr>
          <w:p w14:paraId="5165EECB" w14:textId="77777777" w:rsidR="00DA0E15" w:rsidRDefault="00362131">
            <w:pPr>
              <w:spacing w:line="360" w:lineRule="auto"/>
              <w:ind w:firstLine="0"/>
              <w:jc w:val="left"/>
              <w:rPr>
                <w:rFonts w:eastAsia="Times New Roman" w:cs="Times New Roman"/>
                <w:b w:val="0"/>
                <w:bCs w:val="0"/>
                <w:sz w:val="18"/>
                <w:szCs w:val="18"/>
                <w:lang w:val="hy-AM"/>
              </w:rPr>
            </w:pPr>
            <w:r>
              <w:rPr>
                <w:rFonts w:eastAsia="Times New Roman" w:cs="Times New Roman"/>
                <w:sz w:val="18"/>
                <w:szCs w:val="18"/>
                <w:lang w:val="hy-AM"/>
              </w:rPr>
              <w:t>ԸՆԴԱՄԵՆԸ</w:t>
            </w:r>
          </w:p>
        </w:tc>
        <w:tc>
          <w:tcPr>
            <w:tcW w:w="1700" w:type="dxa"/>
            <w:tcBorders>
              <w:top w:val="single" w:sz="4" w:space="0" w:color="auto"/>
            </w:tcBorders>
            <w:shd w:val="clear" w:color="auto" w:fill="D9E2F3"/>
          </w:tcPr>
          <w:p w14:paraId="4E86BECE"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16,154,475.0</w:t>
            </w:r>
          </w:p>
        </w:tc>
        <w:tc>
          <w:tcPr>
            <w:tcW w:w="1700" w:type="dxa"/>
            <w:tcBorders>
              <w:top w:val="single" w:sz="4" w:space="0" w:color="auto"/>
            </w:tcBorders>
            <w:shd w:val="clear" w:color="auto" w:fill="D9E2F3"/>
          </w:tcPr>
          <w:p w14:paraId="2252D59B"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14,830,506.0</w:t>
            </w:r>
          </w:p>
        </w:tc>
        <w:tc>
          <w:tcPr>
            <w:tcW w:w="1545" w:type="dxa"/>
            <w:tcBorders>
              <w:top w:val="single" w:sz="4" w:space="0" w:color="auto"/>
            </w:tcBorders>
            <w:shd w:val="clear" w:color="auto" w:fill="D9E2F3"/>
          </w:tcPr>
          <w:p w14:paraId="5ED95CF2" w14:textId="77777777" w:rsidR="00DA0E15" w:rsidRDefault="00362131">
            <w:pPr>
              <w:spacing w:before="0" w:after="0" w:line="256" w:lineRule="auto"/>
              <w:ind w:firstLine="0"/>
              <w:jc w:val="cente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hy-AM"/>
              </w:rPr>
            </w:pPr>
            <w:r>
              <w:rPr>
                <w:rFonts w:cs="Calibri"/>
                <w:color w:val="000000"/>
                <w:sz w:val="18"/>
                <w:szCs w:val="18"/>
                <w:lang w:val="hy-AM"/>
              </w:rPr>
              <w:t>(9,130,092</w:t>
            </w:r>
            <w:r>
              <w:rPr>
                <w:rFonts w:eastAsia="Times New Roman" w:cs="Times New Roman"/>
                <w:color w:val="000000"/>
                <w:sz w:val="18"/>
                <w:szCs w:val="18"/>
                <w:lang w:val="hy-AM"/>
              </w:rPr>
              <w:t>.0</w:t>
            </w:r>
            <w:r>
              <w:rPr>
                <w:rFonts w:cs="Calibri"/>
                <w:color w:val="000000"/>
                <w:sz w:val="18"/>
                <w:szCs w:val="18"/>
                <w:lang w:val="hy-AM"/>
              </w:rPr>
              <w:t>)</w:t>
            </w:r>
          </w:p>
        </w:tc>
      </w:tr>
      <w:tr w:rsidR="00DA0E15" w14:paraId="77CDE724" w14:textId="77777777" w:rsidTr="00146C6E">
        <w:trPr>
          <w:trHeight w:val="360"/>
        </w:trPr>
        <w:tc>
          <w:tcPr>
            <w:cnfStyle w:val="001000000000" w:firstRow="0" w:lastRow="0" w:firstColumn="1" w:lastColumn="0" w:oddVBand="0" w:evenVBand="0" w:oddHBand="0" w:evenHBand="0" w:firstRowFirstColumn="0" w:firstRowLastColumn="0" w:lastRowFirstColumn="0" w:lastRowLastColumn="0"/>
            <w:tcW w:w="5135" w:type="dxa"/>
          </w:tcPr>
          <w:p w14:paraId="5C90FB06" w14:textId="77777777" w:rsidR="00DA0E15" w:rsidRDefault="00362131">
            <w:pPr>
              <w:spacing w:line="360" w:lineRule="auto"/>
              <w:ind w:firstLine="0"/>
              <w:jc w:val="left"/>
              <w:rPr>
                <w:rFonts w:eastAsia="Times New Roman" w:cs="Times New Roman"/>
                <w:bCs w:val="0"/>
                <w:sz w:val="18"/>
                <w:szCs w:val="18"/>
                <w:lang w:val="hy-AM"/>
              </w:rPr>
            </w:pPr>
            <w:r>
              <w:rPr>
                <w:rFonts w:eastAsia="Times New Roman" w:cs="Times New Roman"/>
                <w:b w:val="0"/>
                <w:sz w:val="18"/>
                <w:szCs w:val="18"/>
                <w:lang w:val="hy-AM"/>
              </w:rPr>
              <w:t>1. «Հրազդան</w:t>
            </w:r>
            <w:r>
              <w:rPr>
                <w:rFonts w:ascii="Courier New" w:eastAsia="Times New Roman" w:hAnsi="Courier New" w:cs="Courier New"/>
                <w:b w:val="0"/>
                <w:sz w:val="18"/>
                <w:szCs w:val="18"/>
                <w:lang w:val="hy-AM"/>
              </w:rPr>
              <w:t> </w:t>
            </w:r>
            <w:r>
              <w:rPr>
                <w:rFonts w:eastAsia="Times New Roman" w:cs="Times New Roman"/>
                <w:b w:val="0"/>
                <w:sz w:val="18"/>
                <w:szCs w:val="18"/>
                <w:lang w:val="hy-AM"/>
              </w:rPr>
              <w:t>ՋԷԿ»</w:t>
            </w:r>
            <w:r>
              <w:rPr>
                <w:rFonts w:ascii="Courier New" w:eastAsia="Times New Roman" w:hAnsi="Courier New" w:cs="Courier New"/>
                <w:b w:val="0"/>
                <w:sz w:val="18"/>
                <w:szCs w:val="18"/>
                <w:lang w:val="hy-AM"/>
              </w:rPr>
              <w:t> </w:t>
            </w:r>
            <w:r>
              <w:rPr>
                <w:rFonts w:eastAsia="Times New Roman" w:cs="Times New Roman"/>
                <w:b w:val="0"/>
                <w:sz w:val="18"/>
                <w:szCs w:val="18"/>
                <w:lang w:val="hy-AM"/>
              </w:rPr>
              <w:t>ԲԲԸ</w:t>
            </w:r>
          </w:p>
        </w:tc>
        <w:tc>
          <w:tcPr>
            <w:tcW w:w="1700" w:type="dxa"/>
          </w:tcPr>
          <w:p w14:paraId="40FB03D9"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2,835,161.0</w:t>
            </w:r>
          </w:p>
        </w:tc>
        <w:tc>
          <w:tcPr>
            <w:tcW w:w="1700" w:type="dxa"/>
          </w:tcPr>
          <w:p w14:paraId="78CF8088"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2,382,469.0</w:t>
            </w:r>
          </w:p>
        </w:tc>
        <w:tc>
          <w:tcPr>
            <w:tcW w:w="1545" w:type="dxa"/>
          </w:tcPr>
          <w:p w14:paraId="4B82E667" w14:textId="77777777" w:rsidR="00DA0E15" w:rsidRDefault="00362131">
            <w:pPr>
              <w:spacing w:before="0" w:after="0" w:line="256" w:lineRule="auto"/>
              <w:ind w:firstLine="0"/>
              <w:jc w:val="cente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hy-AM"/>
              </w:rPr>
            </w:pPr>
            <w:r>
              <w:rPr>
                <w:rFonts w:cs="Calibri"/>
                <w:color w:val="000000"/>
                <w:sz w:val="18"/>
                <w:szCs w:val="18"/>
                <w:lang w:val="hy-AM"/>
              </w:rPr>
              <w:t>(745,127</w:t>
            </w:r>
            <w:r>
              <w:rPr>
                <w:rFonts w:eastAsia="Times New Roman" w:cs="Times New Roman"/>
                <w:color w:val="000000"/>
                <w:sz w:val="18"/>
                <w:szCs w:val="18"/>
                <w:lang w:val="hy-AM"/>
              </w:rPr>
              <w:t>.0</w:t>
            </w:r>
            <w:r>
              <w:rPr>
                <w:rFonts w:cs="Calibri"/>
                <w:color w:val="000000"/>
                <w:sz w:val="18"/>
                <w:szCs w:val="18"/>
                <w:lang w:val="hy-AM"/>
              </w:rPr>
              <w:t>)</w:t>
            </w:r>
          </w:p>
        </w:tc>
      </w:tr>
      <w:tr w:rsidR="00DA0E15" w14:paraId="7D24BDAC" w14:textId="77777777" w:rsidTr="00146C6E">
        <w:trPr>
          <w:trHeight w:val="375"/>
        </w:trPr>
        <w:tc>
          <w:tcPr>
            <w:cnfStyle w:val="001000000000" w:firstRow="0" w:lastRow="0" w:firstColumn="1" w:lastColumn="0" w:oddVBand="0" w:evenVBand="0" w:oddHBand="0" w:evenHBand="0" w:firstRowFirstColumn="0" w:firstRowLastColumn="0" w:lastRowFirstColumn="0" w:lastRowLastColumn="0"/>
            <w:tcW w:w="5135" w:type="dxa"/>
            <w:shd w:val="clear" w:color="auto" w:fill="D9E2F3"/>
          </w:tcPr>
          <w:p w14:paraId="3129353C" w14:textId="77777777" w:rsidR="00DA0E15" w:rsidRDefault="00362131">
            <w:pPr>
              <w:spacing w:line="360" w:lineRule="auto"/>
              <w:ind w:firstLine="0"/>
              <w:jc w:val="left"/>
              <w:rPr>
                <w:rFonts w:eastAsia="Times New Roman" w:cs="Times New Roman"/>
                <w:bCs w:val="0"/>
                <w:sz w:val="18"/>
                <w:szCs w:val="18"/>
                <w:lang w:val="hy-AM"/>
              </w:rPr>
            </w:pPr>
            <w:r>
              <w:rPr>
                <w:rFonts w:eastAsia="Times New Roman" w:cs="Times New Roman"/>
                <w:b w:val="0"/>
                <w:sz w:val="18"/>
                <w:szCs w:val="18"/>
                <w:lang w:val="hy-AM"/>
              </w:rPr>
              <w:t>2. «Գազպրոմ</w:t>
            </w:r>
            <w:r>
              <w:rPr>
                <w:rFonts w:ascii="Courier New" w:eastAsia="Times New Roman" w:hAnsi="Courier New" w:cs="Courier New"/>
                <w:b w:val="0"/>
                <w:sz w:val="18"/>
                <w:szCs w:val="18"/>
                <w:lang w:val="hy-AM"/>
              </w:rPr>
              <w:t> </w:t>
            </w:r>
            <w:r>
              <w:rPr>
                <w:rFonts w:eastAsia="Times New Roman" w:cs="Times New Roman"/>
                <w:b w:val="0"/>
                <w:sz w:val="18"/>
                <w:szCs w:val="18"/>
                <w:lang w:val="hy-AM"/>
              </w:rPr>
              <w:t>Արմենիա»</w:t>
            </w:r>
            <w:r>
              <w:rPr>
                <w:rFonts w:ascii="Courier New" w:eastAsia="Times New Roman" w:hAnsi="Courier New" w:cs="Courier New"/>
                <w:b w:val="0"/>
                <w:sz w:val="18"/>
                <w:szCs w:val="18"/>
                <w:lang w:val="hy-AM"/>
              </w:rPr>
              <w:t> </w:t>
            </w:r>
            <w:r>
              <w:rPr>
                <w:rFonts w:eastAsia="Times New Roman" w:cs="Times New Roman"/>
                <w:b w:val="0"/>
                <w:sz w:val="18"/>
                <w:szCs w:val="18"/>
                <w:lang w:val="hy-AM"/>
              </w:rPr>
              <w:t>ՓԲԸ</w:t>
            </w:r>
          </w:p>
        </w:tc>
        <w:tc>
          <w:tcPr>
            <w:tcW w:w="1700" w:type="dxa"/>
            <w:shd w:val="clear" w:color="auto" w:fill="D9E2F3"/>
          </w:tcPr>
          <w:p w14:paraId="14EBFAAB"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14,920,000.0</w:t>
            </w:r>
          </w:p>
        </w:tc>
        <w:tc>
          <w:tcPr>
            <w:tcW w:w="1700" w:type="dxa"/>
            <w:shd w:val="clear" w:color="auto" w:fill="D9E2F3"/>
          </w:tcPr>
          <w:p w14:paraId="3BFC2A9E"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524,000.0</w:t>
            </w:r>
          </w:p>
        </w:tc>
        <w:tc>
          <w:tcPr>
            <w:tcW w:w="1545" w:type="dxa"/>
            <w:shd w:val="clear" w:color="auto" w:fill="D9E2F3"/>
          </w:tcPr>
          <w:p w14:paraId="53FBC797" w14:textId="77777777" w:rsidR="00DA0E15" w:rsidRDefault="00362131">
            <w:pPr>
              <w:spacing w:before="0" w:after="0" w:line="256" w:lineRule="auto"/>
              <w:ind w:firstLine="0"/>
              <w:jc w:val="cente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hy-AM"/>
              </w:rPr>
            </w:pPr>
            <w:r>
              <w:rPr>
                <w:rFonts w:cs="Calibri"/>
                <w:color w:val="000000"/>
                <w:sz w:val="18"/>
                <w:szCs w:val="18"/>
                <w:lang w:val="hy-AM"/>
              </w:rPr>
              <w:t>(701,000</w:t>
            </w:r>
            <w:r>
              <w:rPr>
                <w:rFonts w:eastAsia="Times New Roman" w:cs="Times New Roman"/>
                <w:color w:val="000000"/>
                <w:sz w:val="18"/>
                <w:szCs w:val="18"/>
                <w:lang w:val="hy-AM"/>
              </w:rPr>
              <w:t>.0</w:t>
            </w:r>
            <w:r>
              <w:rPr>
                <w:rFonts w:cs="Calibri"/>
                <w:color w:val="000000"/>
                <w:sz w:val="18"/>
                <w:szCs w:val="18"/>
                <w:lang w:val="hy-AM"/>
              </w:rPr>
              <w:t>)</w:t>
            </w:r>
          </w:p>
        </w:tc>
      </w:tr>
      <w:tr w:rsidR="00DA0E15" w14:paraId="0B200C16" w14:textId="77777777" w:rsidTr="00146C6E">
        <w:trPr>
          <w:trHeight w:val="261"/>
        </w:trPr>
        <w:tc>
          <w:tcPr>
            <w:cnfStyle w:val="001000000000" w:firstRow="0" w:lastRow="0" w:firstColumn="1" w:lastColumn="0" w:oddVBand="0" w:evenVBand="0" w:oddHBand="0" w:evenHBand="0" w:firstRowFirstColumn="0" w:firstRowLastColumn="0" w:lastRowFirstColumn="0" w:lastRowLastColumn="0"/>
            <w:tcW w:w="5135" w:type="dxa"/>
          </w:tcPr>
          <w:p w14:paraId="058D7D2D" w14:textId="77777777" w:rsidR="00DA0E15" w:rsidRDefault="00362131">
            <w:pPr>
              <w:spacing w:line="360" w:lineRule="auto"/>
              <w:ind w:firstLine="0"/>
              <w:jc w:val="left"/>
              <w:rPr>
                <w:rFonts w:eastAsia="Times New Roman" w:cs="Times New Roman"/>
                <w:bCs w:val="0"/>
                <w:sz w:val="18"/>
                <w:szCs w:val="18"/>
                <w:lang w:val="hy-AM"/>
              </w:rPr>
            </w:pPr>
            <w:r>
              <w:rPr>
                <w:rFonts w:eastAsia="Times New Roman" w:cs="Times New Roman"/>
                <w:b w:val="0"/>
                <w:sz w:val="18"/>
                <w:szCs w:val="18"/>
                <w:lang w:val="hy-AM"/>
              </w:rPr>
              <w:t>3.«Միջազգային</w:t>
            </w:r>
            <w:r>
              <w:rPr>
                <w:rFonts w:ascii="Courier New" w:eastAsia="Times New Roman" w:hAnsi="Courier New" w:cs="Courier New"/>
                <w:b w:val="0"/>
                <w:sz w:val="18"/>
                <w:szCs w:val="18"/>
                <w:lang w:val="hy-AM"/>
              </w:rPr>
              <w:t> </w:t>
            </w:r>
            <w:r>
              <w:rPr>
                <w:rFonts w:eastAsia="Times New Roman" w:cs="Times New Roman"/>
                <w:b w:val="0"/>
                <w:sz w:val="18"/>
                <w:szCs w:val="18"/>
                <w:lang w:val="hy-AM"/>
              </w:rPr>
              <w:t>էներգետիկ</w:t>
            </w:r>
            <w:r>
              <w:rPr>
                <w:rFonts w:ascii="Courier New" w:eastAsia="Times New Roman" w:hAnsi="Courier New" w:cs="Courier New"/>
                <w:b w:val="0"/>
                <w:sz w:val="18"/>
                <w:szCs w:val="18"/>
                <w:lang w:val="hy-AM"/>
              </w:rPr>
              <w:t> </w:t>
            </w:r>
            <w:r>
              <w:rPr>
                <w:rFonts w:eastAsia="Times New Roman" w:cs="Times New Roman"/>
                <w:b w:val="0"/>
                <w:sz w:val="18"/>
                <w:szCs w:val="18"/>
                <w:lang w:val="hy-AM"/>
              </w:rPr>
              <w:t>կորպորացիա» ՓԲԸ</w:t>
            </w:r>
          </w:p>
        </w:tc>
        <w:tc>
          <w:tcPr>
            <w:tcW w:w="1700" w:type="dxa"/>
          </w:tcPr>
          <w:p w14:paraId="2007ED68"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(12,353,723.0)</w:t>
            </w:r>
          </w:p>
        </w:tc>
        <w:tc>
          <w:tcPr>
            <w:tcW w:w="1700" w:type="dxa"/>
          </w:tcPr>
          <w:p w14:paraId="6B2B8240"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159,937.0</w:t>
            </w:r>
          </w:p>
        </w:tc>
        <w:tc>
          <w:tcPr>
            <w:tcW w:w="1545" w:type="dxa"/>
          </w:tcPr>
          <w:p w14:paraId="7F30B86C" w14:textId="77777777" w:rsidR="00DA0E15" w:rsidRDefault="00362131">
            <w:pPr>
              <w:spacing w:before="0" w:after="0" w:line="256" w:lineRule="auto"/>
              <w:ind w:firstLine="0"/>
              <w:jc w:val="cente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hy-AM"/>
              </w:rPr>
            </w:pPr>
            <w:r>
              <w:rPr>
                <w:rFonts w:cs="Calibri"/>
                <w:color w:val="000000"/>
                <w:sz w:val="18"/>
                <w:szCs w:val="18"/>
                <w:lang w:val="hy-AM"/>
              </w:rPr>
              <w:t>(3,107,451</w:t>
            </w:r>
            <w:r>
              <w:rPr>
                <w:rFonts w:eastAsia="Times New Roman" w:cs="Times New Roman"/>
                <w:color w:val="000000"/>
                <w:sz w:val="18"/>
                <w:szCs w:val="18"/>
                <w:lang w:val="hy-AM"/>
              </w:rPr>
              <w:t>.0</w:t>
            </w:r>
            <w:r>
              <w:rPr>
                <w:rFonts w:cs="Calibri"/>
                <w:color w:val="000000"/>
                <w:sz w:val="18"/>
                <w:szCs w:val="18"/>
                <w:lang w:val="hy-AM"/>
              </w:rPr>
              <w:t>)</w:t>
            </w:r>
          </w:p>
        </w:tc>
      </w:tr>
      <w:tr w:rsidR="00DA0E15" w14:paraId="3CFE2343" w14:textId="77777777" w:rsidTr="00146C6E">
        <w:trPr>
          <w:trHeight w:val="285"/>
        </w:trPr>
        <w:tc>
          <w:tcPr>
            <w:cnfStyle w:val="001000000000" w:firstRow="0" w:lastRow="0" w:firstColumn="1" w:lastColumn="0" w:oddVBand="0" w:evenVBand="0" w:oddHBand="0" w:evenHBand="0" w:firstRowFirstColumn="0" w:firstRowLastColumn="0" w:lastRowFirstColumn="0" w:lastRowLastColumn="0"/>
            <w:tcW w:w="5135" w:type="dxa"/>
            <w:shd w:val="clear" w:color="auto" w:fill="D9E2F3"/>
          </w:tcPr>
          <w:p w14:paraId="677C5D6A" w14:textId="77777777" w:rsidR="00DA0E15" w:rsidRDefault="00362131">
            <w:pPr>
              <w:spacing w:line="360" w:lineRule="auto"/>
              <w:ind w:firstLine="0"/>
              <w:jc w:val="left"/>
              <w:rPr>
                <w:rFonts w:eastAsia="Times New Roman" w:cs="Times New Roman"/>
                <w:bCs w:val="0"/>
                <w:sz w:val="18"/>
                <w:szCs w:val="18"/>
                <w:lang w:val="hy-AM"/>
              </w:rPr>
            </w:pPr>
            <w:r>
              <w:rPr>
                <w:rFonts w:eastAsia="Times New Roman" w:cs="Times New Roman"/>
                <w:b w:val="0"/>
                <w:sz w:val="18"/>
                <w:szCs w:val="18"/>
                <w:lang w:val="hy-AM"/>
              </w:rPr>
              <w:t>4. «Հայաստանի</w:t>
            </w:r>
            <w:r>
              <w:rPr>
                <w:rFonts w:ascii="Courier New" w:eastAsia="Times New Roman" w:hAnsi="Courier New" w:cs="Courier New"/>
                <w:b w:val="0"/>
                <w:sz w:val="18"/>
                <w:szCs w:val="18"/>
                <w:lang w:val="hy-AM"/>
              </w:rPr>
              <w:t> </w:t>
            </w:r>
            <w:r>
              <w:rPr>
                <w:rFonts w:eastAsia="Times New Roman" w:cs="Times New Roman"/>
                <w:b w:val="0"/>
                <w:sz w:val="18"/>
                <w:szCs w:val="18"/>
                <w:lang w:val="hy-AM"/>
              </w:rPr>
              <w:t>էլեկտրական</w:t>
            </w:r>
            <w:r>
              <w:rPr>
                <w:rFonts w:ascii="Courier New" w:eastAsia="Times New Roman" w:hAnsi="Courier New" w:cs="Courier New"/>
                <w:b w:val="0"/>
                <w:sz w:val="18"/>
                <w:szCs w:val="18"/>
                <w:lang w:val="hy-AM"/>
              </w:rPr>
              <w:t> </w:t>
            </w:r>
            <w:r>
              <w:rPr>
                <w:rFonts w:eastAsia="Times New Roman" w:cs="Times New Roman"/>
                <w:b w:val="0"/>
                <w:sz w:val="18"/>
                <w:szCs w:val="18"/>
                <w:lang w:val="hy-AM"/>
              </w:rPr>
              <w:t>ցանցեր»</w:t>
            </w:r>
            <w:r>
              <w:rPr>
                <w:rFonts w:ascii="Courier New" w:eastAsia="Times New Roman" w:hAnsi="Courier New" w:cs="Courier New"/>
                <w:b w:val="0"/>
                <w:sz w:val="18"/>
                <w:szCs w:val="18"/>
                <w:lang w:val="hy-AM"/>
              </w:rPr>
              <w:t> </w:t>
            </w:r>
            <w:r>
              <w:rPr>
                <w:rFonts w:eastAsia="Times New Roman" w:cs="Times New Roman"/>
                <w:b w:val="0"/>
                <w:sz w:val="18"/>
                <w:szCs w:val="18"/>
                <w:lang w:val="hy-AM"/>
              </w:rPr>
              <w:t>ՓԲԸ</w:t>
            </w:r>
          </w:p>
        </w:tc>
        <w:tc>
          <w:tcPr>
            <w:tcW w:w="1700" w:type="dxa"/>
            <w:shd w:val="clear" w:color="auto" w:fill="D9E2F3"/>
          </w:tcPr>
          <w:p w14:paraId="291898E8"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10,753,037.0</w:t>
            </w:r>
          </w:p>
        </w:tc>
        <w:tc>
          <w:tcPr>
            <w:tcW w:w="1700" w:type="dxa"/>
            <w:shd w:val="clear" w:color="auto" w:fill="D9E2F3"/>
          </w:tcPr>
          <w:p w14:paraId="2FAEB740" w14:textId="77777777" w:rsidR="00DA0E15" w:rsidRDefault="00362131">
            <w:pPr>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val="hy-AM"/>
              </w:rPr>
            </w:pPr>
            <w:r>
              <w:rPr>
                <w:rFonts w:eastAsia="Times New Roman" w:cs="Times New Roman"/>
                <w:color w:val="000000"/>
                <w:sz w:val="18"/>
                <w:szCs w:val="18"/>
                <w:lang w:val="hy-AM"/>
              </w:rPr>
              <w:t>11,764,100.0</w:t>
            </w:r>
          </w:p>
        </w:tc>
        <w:tc>
          <w:tcPr>
            <w:tcW w:w="1545" w:type="dxa"/>
            <w:shd w:val="clear" w:color="auto" w:fill="D9E2F3"/>
          </w:tcPr>
          <w:p w14:paraId="5CB8EA37" w14:textId="77777777" w:rsidR="00DA0E15" w:rsidRDefault="00362131">
            <w:pPr>
              <w:spacing w:before="0" w:after="0" w:line="256" w:lineRule="auto"/>
              <w:ind w:firstLine="0"/>
              <w:jc w:val="cente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hy-AM"/>
              </w:rPr>
            </w:pPr>
            <w:r>
              <w:rPr>
                <w:rFonts w:cs="Calibri"/>
                <w:color w:val="000000"/>
                <w:sz w:val="18"/>
                <w:szCs w:val="18"/>
                <w:lang w:val="hy-AM"/>
              </w:rPr>
              <w:t>(4,576,514</w:t>
            </w:r>
            <w:r>
              <w:rPr>
                <w:rFonts w:eastAsia="Times New Roman" w:cs="Times New Roman"/>
                <w:color w:val="000000"/>
                <w:sz w:val="18"/>
                <w:szCs w:val="18"/>
                <w:lang w:val="hy-AM"/>
              </w:rPr>
              <w:t>.0</w:t>
            </w:r>
            <w:r>
              <w:rPr>
                <w:rFonts w:cs="Calibri"/>
                <w:color w:val="000000"/>
                <w:sz w:val="18"/>
                <w:szCs w:val="18"/>
                <w:lang w:val="hy-AM"/>
              </w:rPr>
              <w:t>)</w:t>
            </w:r>
          </w:p>
        </w:tc>
      </w:tr>
    </w:tbl>
    <w:p w14:paraId="7C9B8EAA" w14:textId="77777777" w:rsidR="00DA0E15" w:rsidRDefault="00DA0E15">
      <w:pPr>
        <w:spacing w:after="0" w:line="240" w:lineRule="auto"/>
        <w:ind w:firstLine="0"/>
        <w:rPr>
          <w:rFonts w:eastAsia="Times New Roman" w:cs="Times New Roman"/>
          <w:sz w:val="18"/>
          <w:szCs w:val="18"/>
          <w:lang w:val="hy-AM"/>
        </w:rPr>
      </w:pPr>
    </w:p>
    <w:p w14:paraId="76BCFAFA" w14:textId="77777777" w:rsidR="00DA0E15" w:rsidRDefault="00362131">
      <w:pPr>
        <w:spacing w:after="0" w:line="276" w:lineRule="auto"/>
        <w:ind w:firstLine="227"/>
        <w:rPr>
          <w:rFonts w:eastAsia="Times New Roman" w:cs="Times New Roman"/>
          <w:lang w:val="hy-AM"/>
        </w:rPr>
      </w:pPr>
      <w:r>
        <w:rPr>
          <w:rFonts w:eastAsia="Times New Roman" w:cs="Times New Roman"/>
          <w:lang w:val="hy-AM"/>
        </w:rPr>
        <w:t>Վարկային պարտավորությունների հետ կապված անհրաժեշտ է նշել, որ Ընկերություն</w:t>
      </w:r>
      <w:r>
        <w:rPr>
          <w:rFonts w:eastAsia="Times New Roman" w:cs="Times New Roman"/>
          <w:lang w:val="hy-AM"/>
        </w:rPr>
        <w:softHyphen/>
        <w:t>ները չունեն ժամկետանց վարկային պարտավորություններ, ինչպես նաև ՀՀ կառավարության կողմից բյուջետային երաշխիքներ չեն ստացել: Ընդ որում «Հայաստանի էլեկտրական ցանցեր» և «Միջազգային էներգետիկ կորպորացիա»</w:t>
      </w:r>
      <w:r>
        <w:rPr>
          <w:rFonts w:ascii="Courier New" w:eastAsia="Times New Roman" w:hAnsi="Courier New" w:cs="Courier New"/>
          <w:lang w:val="hy-AM"/>
        </w:rPr>
        <w:t> </w:t>
      </w:r>
      <w:r>
        <w:rPr>
          <w:rFonts w:eastAsia="Times New Roman" w:cs="Times New Roman"/>
          <w:lang w:val="hy-AM"/>
        </w:rPr>
        <w:t>ՓԲԸ-ները հանդիսանում են միջազգային կազմակերպությունների և օտարերկրյա պետությունների աջակցությամբ իրականացվող նպատակային վարկային ծրագրերի շրջանակներում ենթավարկային պայմանագրերով ոլորտին տրամադրված վարկային միջոցների խոշորագույն ստացողներից:</w:t>
      </w:r>
    </w:p>
    <w:p w14:paraId="4AF54653" w14:textId="77777777" w:rsidR="00DA0E15" w:rsidRDefault="00362131">
      <w:pPr>
        <w:spacing w:after="0" w:line="276" w:lineRule="auto"/>
        <w:ind w:firstLine="227"/>
        <w:rPr>
          <w:rFonts w:eastAsia="Times New Roman" w:cs="Times New Roman"/>
          <w:lang w:val="hy-AM"/>
        </w:rPr>
      </w:pPr>
      <w:r>
        <w:rPr>
          <w:rFonts w:eastAsia="Times New Roman" w:cs="Times New Roman"/>
          <w:lang w:val="hy-AM"/>
        </w:rPr>
        <w:t xml:space="preserve">Ընկերությունները ներգրավված չեն այնպիսի տեղական կամ միջազգային դատական վարույթներում, որոնք կարող են էական ազդեցություն ունենալ այդ Ընկերությունների ֆինանսական վիճակի վրա: </w:t>
      </w:r>
    </w:p>
    <w:p w14:paraId="3E97C195" w14:textId="77777777" w:rsidR="00DA0E15" w:rsidRDefault="00362131">
      <w:pPr>
        <w:spacing w:before="0" w:after="0" w:line="276" w:lineRule="auto"/>
        <w:ind w:firstLine="227"/>
        <w:rPr>
          <w:rFonts w:eastAsia="Times New Roman" w:cs="Times New Roman"/>
          <w:lang w:val="hy-AM"/>
        </w:rPr>
      </w:pPr>
      <w:r>
        <w:rPr>
          <w:rFonts w:eastAsia="Times New Roman" w:cs="Times New Roman"/>
          <w:lang w:val="hy-AM"/>
        </w:rPr>
        <w:t>Ընկերությունների հարկաբյուջետային ռիսկերի գնահատման համար կիրառված ֆինանսական գործակիցների ամփոփ արդյունքները և պրակտիկայում ընդունված թույլատրելի սահմա</w:t>
      </w:r>
      <w:r>
        <w:rPr>
          <w:rFonts w:eastAsia="Times New Roman" w:cs="Times New Roman"/>
          <w:lang w:val="hy-AM"/>
        </w:rPr>
        <w:softHyphen/>
        <w:t>նային նորմաները ներկայացված են աղյուսակում:</w:t>
      </w:r>
    </w:p>
    <w:p w14:paraId="5EEA4C64" w14:textId="77777777" w:rsidR="00DA0E15" w:rsidRDefault="00DA0E15">
      <w:pPr>
        <w:spacing w:before="0" w:after="0" w:line="276" w:lineRule="auto"/>
        <w:ind w:firstLine="227"/>
        <w:rPr>
          <w:rFonts w:eastAsia="Times New Roman" w:cs="Times New Roman"/>
          <w:lang w:val="hy-AM"/>
        </w:rPr>
      </w:pPr>
    </w:p>
    <w:p w14:paraId="5D817B4F" w14:textId="77777777" w:rsidR="00DA0E15" w:rsidRDefault="00362131">
      <w:pPr>
        <w:keepNext/>
        <w:spacing w:before="0" w:after="0" w:line="240" w:lineRule="auto"/>
        <w:ind w:firstLine="0"/>
        <w:rPr>
          <w:rFonts w:eastAsia="Calibri" w:cs="Times New Roman"/>
          <w:b/>
          <w:i/>
          <w:iCs/>
          <w:sz w:val="19"/>
          <w:szCs w:val="19"/>
          <w:lang w:val="hy-AM"/>
        </w:rPr>
      </w:pPr>
      <w:r>
        <w:rPr>
          <w:b/>
          <w:sz w:val="20"/>
          <w:szCs w:val="20"/>
          <w:lang w:val="hy-AM"/>
        </w:rPr>
        <w:t>Աղյուսակ 5.9</w:t>
      </w:r>
      <w:r>
        <w:rPr>
          <w:rFonts w:eastAsia="Calibri" w:cs="Times New Roman"/>
          <w:b/>
          <w:i/>
          <w:iCs/>
          <w:sz w:val="19"/>
          <w:szCs w:val="19"/>
          <w:lang w:val="hy-AM"/>
        </w:rPr>
        <w:t xml:space="preserve"> </w:t>
      </w:r>
      <w:r>
        <w:rPr>
          <w:i/>
          <w:sz w:val="20"/>
          <w:szCs w:val="20"/>
          <w:lang w:val="hy-AM"/>
        </w:rPr>
        <w:t>Էներգետիկայի ոլորտի մասնավոր ընկերությունների հանրագումարային ֆինանսական գործակիցները</w:t>
      </w:r>
    </w:p>
    <w:tbl>
      <w:tblPr>
        <w:tblStyle w:val="GridTable4-Accent12"/>
        <w:tblW w:w="10174" w:type="dxa"/>
        <w:jc w:val="center"/>
        <w:tblLayout w:type="fixed"/>
        <w:tblLook w:val="04A0" w:firstRow="1" w:lastRow="0" w:firstColumn="1" w:lastColumn="0" w:noHBand="0" w:noVBand="1"/>
      </w:tblPr>
      <w:tblGrid>
        <w:gridCol w:w="3846"/>
        <w:gridCol w:w="1174"/>
        <w:gridCol w:w="1174"/>
        <w:gridCol w:w="1133"/>
        <w:gridCol w:w="2847"/>
      </w:tblGrid>
      <w:tr w:rsidR="00DA0E15" w14:paraId="36779129" w14:textId="77777777" w:rsidTr="00DA0E15">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3846" w:type="dxa"/>
            <w:tcBorders>
              <w:top w:val="single" w:sz="4" w:space="0" w:color="auto"/>
              <w:left w:val="single" w:sz="4" w:space="0" w:color="auto"/>
              <w:bottom w:val="single" w:sz="4" w:space="0" w:color="auto"/>
            </w:tcBorders>
            <w:vAlign w:val="center"/>
          </w:tcPr>
          <w:p w14:paraId="4B645D84" w14:textId="77777777" w:rsidR="00DA0E15" w:rsidRDefault="00362131">
            <w:pPr>
              <w:spacing w:before="0" w:after="0" w:line="240" w:lineRule="auto"/>
              <w:ind w:firstLine="0"/>
              <w:rPr>
                <w:rFonts w:eastAsia="Times New Roman" w:cs="Times New Roman"/>
                <w:bCs w:val="0"/>
                <w:sz w:val="20"/>
                <w:szCs w:val="20"/>
                <w:lang w:val="hy-AM"/>
              </w:rPr>
            </w:pPr>
            <w:r>
              <w:rPr>
                <w:rFonts w:eastAsia="Times New Roman" w:cs="Times New Roman"/>
                <w:sz w:val="20"/>
                <w:szCs w:val="20"/>
                <w:lang w:val="hy-AM"/>
              </w:rPr>
              <w:t>Ցուցանիշ</w:t>
            </w:r>
          </w:p>
        </w:tc>
        <w:tc>
          <w:tcPr>
            <w:tcW w:w="1174" w:type="dxa"/>
            <w:tcBorders>
              <w:top w:val="single" w:sz="4" w:space="0" w:color="auto"/>
              <w:left w:val="single" w:sz="4" w:space="0" w:color="auto"/>
              <w:bottom w:val="single" w:sz="4" w:space="0" w:color="auto"/>
            </w:tcBorders>
            <w:vAlign w:val="center"/>
          </w:tcPr>
          <w:p w14:paraId="6464664B"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sz w:val="20"/>
                <w:szCs w:val="20"/>
                <w:lang w:val="hy-AM"/>
              </w:rPr>
            </w:pPr>
            <w:r>
              <w:rPr>
                <w:rFonts w:eastAsia="Times New Roman" w:cs="Times New Roman"/>
                <w:sz w:val="20"/>
                <w:szCs w:val="20"/>
                <w:lang w:val="hy-AM"/>
              </w:rPr>
              <w:t>2018թ.</w:t>
            </w:r>
          </w:p>
        </w:tc>
        <w:tc>
          <w:tcPr>
            <w:tcW w:w="1174" w:type="dxa"/>
            <w:tcBorders>
              <w:top w:val="single" w:sz="4" w:space="0" w:color="auto"/>
              <w:left w:val="single" w:sz="4" w:space="0" w:color="auto"/>
              <w:bottom w:val="single" w:sz="4" w:space="0" w:color="auto"/>
            </w:tcBorders>
            <w:vAlign w:val="center"/>
          </w:tcPr>
          <w:p w14:paraId="7AB5472D"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sz w:val="20"/>
                <w:szCs w:val="20"/>
                <w:lang w:val="hy-AM"/>
              </w:rPr>
            </w:pPr>
            <w:r>
              <w:rPr>
                <w:rFonts w:eastAsia="Times New Roman" w:cs="Times New Roman"/>
                <w:sz w:val="20"/>
                <w:szCs w:val="20"/>
                <w:lang w:val="hy-AM"/>
              </w:rPr>
              <w:t>2019թ.</w:t>
            </w:r>
          </w:p>
        </w:tc>
        <w:tc>
          <w:tcPr>
            <w:tcW w:w="1133" w:type="dxa"/>
            <w:tcBorders>
              <w:top w:val="single" w:sz="4" w:space="0" w:color="auto"/>
              <w:left w:val="single" w:sz="4" w:space="0" w:color="auto"/>
              <w:bottom w:val="single" w:sz="4" w:space="0" w:color="auto"/>
            </w:tcBorders>
            <w:vAlign w:val="center"/>
          </w:tcPr>
          <w:p w14:paraId="177873D3"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sz w:val="20"/>
                <w:szCs w:val="20"/>
                <w:lang w:val="hy-AM"/>
              </w:rPr>
            </w:pPr>
            <w:r>
              <w:rPr>
                <w:rFonts w:eastAsia="Times New Roman" w:cs="Times New Roman"/>
                <w:sz w:val="20"/>
                <w:szCs w:val="20"/>
                <w:lang w:val="hy-AM"/>
              </w:rPr>
              <w:t>2020թ.</w:t>
            </w:r>
          </w:p>
        </w:tc>
        <w:tc>
          <w:tcPr>
            <w:tcW w:w="2847" w:type="dxa"/>
            <w:tcBorders>
              <w:top w:val="single" w:sz="4" w:space="0" w:color="auto"/>
              <w:left w:val="single" w:sz="4" w:space="0" w:color="auto"/>
              <w:bottom w:val="single" w:sz="4" w:space="0" w:color="auto"/>
              <w:right w:val="single" w:sz="4" w:space="0" w:color="auto"/>
            </w:tcBorders>
          </w:tcPr>
          <w:p w14:paraId="03001D7A"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sz w:val="20"/>
                <w:szCs w:val="20"/>
                <w:lang w:val="hy-AM"/>
              </w:rPr>
            </w:pPr>
            <w:r>
              <w:rPr>
                <w:rFonts w:eastAsia="Times New Roman" w:cs="Times New Roman"/>
                <w:sz w:val="20"/>
                <w:szCs w:val="20"/>
                <w:lang w:val="hy-AM"/>
              </w:rPr>
              <w:t>Թույլատրելի սահմանային նորմա</w:t>
            </w:r>
          </w:p>
        </w:tc>
      </w:tr>
      <w:tr w:rsidR="00DA0E15" w14:paraId="6EA5BFCD" w14:textId="77777777" w:rsidTr="00DA0E15">
        <w:trPr>
          <w:trHeight w:val="549"/>
          <w:jc w:val="center"/>
        </w:trPr>
        <w:tc>
          <w:tcPr>
            <w:cnfStyle w:val="001000000000" w:firstRow="0" w:lastRow="0" w:firstColumn="1" w:lastColumn="0" w:oddVBand="0" w:evenVBand="0" w:oddHBand="0" w:evenHBand="0" w:firstRowFirstColumn="0" w:firstRowLastColumn="0" w:lastRowFirstColumn="0" w:lastRowLastColumn="0"/>
            <w:tcW w:w="3846" w:type="dxa"/>
            <w:tcBorders>
              <w:top w:val="single" w:sz="4" w:space="0" w:color="auto"/>
            </w:tcBorders>
            <w:shd w:val="clear" w:color="auto" w:fill="D9E2F3"/>
            <w:vAlign w:val="center"/>
          </w:tcPr>
          <w:p w14:paraId="2408A272" w14:textId="77777777" w:rsidR="00DA0E15" w:rsidRDefault="00362131">
            <w:pPr>
              <w:spacing w:before="0" w:after="0" w:line="240" w:lineRule="auto"/>
              <w:ind w:firstLine="0"/>
              <w:jc w:val="left"/>
              <w:rPr>
                <w:rFonts w:eastAsia="Times New Roman" w:cs="Times New Roman"/>
                <w:bCs w:val="0"/>
                <w:sz w:val="20"/>
                <w:szCs w:val="20"/>
                <w:lang w:val="hy-AM"/>
              </w:rPr>
            </w:pPr>
            <w:r>
              <w:rPr>
                <w:rFonts w:eastAsia="Times New Roman" w:cs="Times New Roman"/>
                <w:b w:val="0"/>
                <w:sz w:val="20"/>
                <w:szCs w:val="20"/>
                <w:lang w:val="hy-AM"/>
              </w:rPr>
              <w:t>Ծախսերի վերականգնման գործակից</w:t>
            </w:r>
          </w:p>
        </w:tc>
        <w:tc>
          <w:tcPr>
            <w:tcW w:w="1174" w:type="dxa"/>
            <w:tcBorders>
              <w:top w:val="single" w:sz="4" w:space="0" w:color="auto"/>
            </w:tcBorders>
            <w:shd w:val="clear" w:color="auto" w:fill="D9E2F3"/>
            <w:vAlign w:val="center"/>
          </w:tcPr>
          <w:p w14:paraId="7A4CC40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1.1</w:t>
            </w:r>
          </w:p>
        </w:tc>
        <w:tc>
          <w:tcPr>
            <w:tcW w:w="1174" w:type="dxa"/>
            <w:tcBorders>
              <w:top w:val="single" w:sz="4" w:space="0" w:color="auto"/>
            </w:tcBorders>
            <w:shd w:val="clear" w:color="auto" w:fill="D9E2F3"/>
            <w:vAlign w:val="center"/>
          </w:tcPr>
          <w:p w14:paraId="6E085D5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1.1</w:t>
            </w:r>
          </w:p>
        </w:tc>
        <w:tc>
          <w:tcPr>
            <w:tcW w:w="1133" w:type="dxa"/>
            <w:tcBorders>
              <w:top w:val="single" w:sz="4" w:space="0" w:color="auto"/>
            </w:tcBorders>
            <w:shd w:val="clear" w:color="auto" w:fill="D9E2F3"/>
            <w:vAlign w:val="center"/>
          </w:tcPr>
          <w:p w14:paraId="51F1999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1.1</w:t>
            </w:r>
          </w:p>
        </w:tc>
        <w:tc>
          <w:tcPr>
            <w:tcW w:w="2847" w:type="dxa"/>
            <w:tcBorders>
              <w:top w:val="single" w:sz="4" w:space="0" w:color="auto"/>
            </w:tcBorders>
            <w:shd w:val="clear" w:color="auto" w:fill="D9E2F3"/>
          </w:tcPr>
          <w:p w14:paraId="3C9D03C0" w14:textId="77777777" w:rsidR="00DA0E15" w:rsidRDefault="00362131">
            <w:pPr>
              <w:spacing w:before="0" w:after="0"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hy-AM"/>
              </w:rPr>
            </w:pPr>
            <w:r>
              <w:rPr>
                <w:rFonts w:eastAsia="Times New Roman" w:cs="Times New Roman"/>
                <w:sz w:val="20"/>
                <w:szCs w:val="20"/>
                <w:lang w:val="hy-AM"/>
              </w:rPr>
              <w:t>Առնվազն 1</w:t>
            </w:r>
          </w:p>
        </w:tc>
      </w:tr>
      <w:tr w:rsidR="00DA0E15" w14:paraId="7868B75B" w14:textId="77777777" w:rsidTr="00DA0E15">
        <w:trPr>
          <w:trHeight w:val="549"/>
          <w:jc w:val="center"/>
        </w:trPr>
        <w:tc>
          <w:tcPr>
            <w:cnfStyle w:val="001000000000" w:firstRow="0" w:lastRow="0" w:firstColumn="1" w:lastColumn="0" w:oddVBand="0" w:evenVBand="0" w:oddHBand="0" w:evenHBand="0" w:firstRowFirstColumn="0" w:firstRowLastColumn="0" w:lastRowFirstColumn="0" w:lastRowLastColumn="0"/>
            <w:tcW w:w="3846" w:type="dxa"/>
            <w:vAlign w:val="center"/>
          </w:tcPr>
          <w:p w14:paraId="67BC209E" w14:textId="77777777" w:rsidR="00DA0E15" w:rsidRDefault="00362131">
            <w:pPr>
              <w:spacing w:before="0" w:after="0" w:line="240" w:lineRule="auto"/>
              <w:ind w:firstLine="0"/>
              <w:jc w:val="left"/>
              <w:rPr>
                <w:rFonts w:eastAsia="Times New Roman" w:cs="Times New Roman"/>
                <w:bCs w:val="0"/>
                <w:sz w:val="20"/>
                <w:szCs w:val="20"/>
                <w:lang w:val="hy-AM"/>
              </w:rPr>
            </w:pPr>
            <w:r>
              <w:rPr>
                <w:rFonts w:eastAsia="Times New Roman" w:cs="Times New Roman"/>
                <w:b w:val="0"/>
                <w:sz w:val="20"/>
                <w:szCs w:val="20"/>
                <w:lang w:val="hy-AM"/>
              </w:rPr>
              <w:t>Զուտ շահույթի մարժա(%)</w:t>
            </w:r>
          </w:p>
        </w:tc>
        <w:tc>
          <w:tcPr>
            <w:tcW w:w="1174" w:type="dxa"/>
            <w:vAlign w:val="center"/>
          </w:tcPr>
          <w:p w14:paraId="373C450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3.7</w:t>
            </w:r>
          </w:p>
        </w:tc>
        <w:tc>
          <w:tcPr>
            <w:tcW w:w="1174" w:type="dxa"/>
            <w:vAlign w:val="center"/>
          </w:tcPr>
          <w:p w14:paraId="1E322D5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3.2</w:t>
            </w:r>
          </w:p>
        </w:tc>
        <w:tc>
          <w:tcPr>
            <w:tcW w:w="1133" w:type="dxa"/>
            <w:vAlign w:val="center"/>
          </w:tcPr>
          <w:p w14:paraId="0603054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(1.9)</w:t>
            </w:r>
          </w:p>
        </w:tc>
        <w:tc>
          <w:tcPr>
            <w:tcW w:w="2847" w:type="dxa"/>
          </w:tcPr>
          <w:p w14:paraId="3CED587E" w14:textId="77777777" w:rsidR="00DA0E15" w:rsidRDefault="00362131">
            <w:pPr>
              <w:spacing w:before="0" w:after="0"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hy-AM"/>
              </w:rPr>
            </w:pPr>
            <w:r>
              <w:rPr>
                <w:rFonts w:eastAsia="Times New Roman" w:cs="Times New Roman"/>
                <w:sz w:val="20"/>
                <w:szCs w:val="20"/>
                <w:lang w:val="hy-AM"/>
              </w:rPr>
              <w:t>Առնվազն 8%</w:t>
            </w:r>
          </w:p>
        </w:tc>
      </w:tr>
      <w:tr w:rsidR="00DA0E15" w14:paraId="769AAA4C" w14:textId="77777777" w:rsidTr="00DA0E15">
        <w:trPr>
          <w:trHeight w:val="549"/>
          <w:jc w:val="center"/>
        </w:trPr>
        <w:tc>
          <w:tcPr>
            <w:cnfStyle w:val="001000000000" w:firstRow="0" w:lastRow="0" w:firstColumn="1" w:lastColumn="0" w:oddVBand="0" w:evenVBand="0" w:oddHBand="0" w:evenHBand="0" w:firstRowFirstColumn="0" w:firstRowLastColumn="0" w:lastRowFirstColumn="0" w:lastRowLastColumn="0"/>
            <w:tcW w:w="3846" w:type="dxa"/>
            <w:shd w:val="clear" w:color="auto" w:fill="D9E2F3"/>
            <w:vAlign w:val="center"/>
          </w:tcPr>
          <w:p w14:paraId="644F193D" w14:textId="77777777" w:rsidR="00DA0E15" w:rsidRDefault="00362131">
            <w:pPr>
              <w:spacing w:before="0" w:after="0" w:line="240" w:lineRule="auto"/>
              <w:ind w:firstLine="0"/>
              <w:jc w:val="left"/>
              <w:rPr>
                <w:rFonts w:eastAsia="Times New Roman" w:cs="Times New Roman"/>
                <w:bCs w:val="0"/>
                <w:sz w:val="20"/>
                <w:szCs w:val="20"/>
                <w:lang w:val="hy-AM"/>
              </w:rPr>
            </w:pPr>
            <w:r>
              <w:rPr>
                <w:rFonts w:eastAsia="Times New Roman" w:cs="Times New Roman"/>
                <w:b w:val="0"/>
                <w:sz w:val="20"/>
                <w:szCs w:val="20"/>
                <w:lang w:val="hy-AM"/>
              </w:rPr>
              <w:t>Արագ իրացվելիության գործակից</w:t>
            </w:r>
          </w:p>
        </w:tc>
        <w:tc>
          <w:tcPr>
            <w:tcW w:w="1174" w:type="dxa"/>
            <w:shd w:val="clear" w:color="auto" w:fill="D9E2F3"/>
            <w:vAlign w:val="center"/>
          </w:tcPr>
          <w:p w14:paraId="49882AA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2.8</w:t>
            </w:r>
          </w:p>
        </w:tc>
        <w:tc>
          <w:tcPr>
            <w:tcW w:w="1174" w:type="dxa"/>
            <w:shd w:val="clear" w:color="auto" w:fill="D9E2F3"/>
            <w:vAlign w:val="center"/>
          </w:tcPr>
          <w:p w14:paraId="07DA0FC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2.8</w:t>
            </w:r>
          </w:p>
        </w:tc>
        <w:tc>
          <w:tcPr>
            <w:tcW w:w="1133" w:type="dxa"/>
            <w:shd w:val="clear" w:color="auto" w:fill="D9E2F3"/>
            <w:vAlign w:val="center"/>
          </w:tcPr>
          <w:p w14:paraId="539D2D5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2.0</w:t>
            </w:r>
          </w:p>
        </w:tc>
        <w:tc>
          <w:tcPr>
            <w:tcW w:w="2847" w:type="dxa"/>
            <w:shd w:val="clear" w:color="auto" w:fill="D9E2F3"/>
          </w:tcPr>
          <w:p w14:paraId="4FE09AAC" w14:textId="77777777" w:rsidR="00DA0E15" w:rsidRDefault="00362131">
            <w:pPr>
              <w:spacing w:before="0" w:after="0"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hy-AM"/>
              </w:rPr>
            </w:pPr>
            <w:r>
              <w:rPr>
                <w:rFonts w:eastAsia="Times New Roman" w:cs="Times New Roman"/>
                <w:sz w:val="20"/>
                <w:szCs w:val="20"/>
                <w:lang w:val="hy-AM"/>
              </w:rPr>
              <w:t>Առնվազն 1</w:t>
            </w:r>
          </w:p>
        </w:tc>
      </w:tr>
      <w:tr w:rsidR="00DA0E15" w14:paraId="681FA283" w14:textId="77777777" w:rsidTr="00DA0E15">
        <w:trPr>
          <w:trHeight w:val="549"/>
          <w:jc w:val="center"/>
        </w:trPr>
        <w:tc>
          <w:tcPr>
            <w:cnfStyle w:val="001000000000" w:firstRow="0" w:lastRow="0" w:firstColumn="1" w:lastColumn="0" w:oddVBand="0" w:evenVBand="0" w:oddHBand="0" w:evenHBand="0" w:firstRowFirstColumn="0" w:firstRowLastColumn="0" w:lastRowFirstColumn="0" w:lastRowLastColumn="0"/>
            <w:tcW w:w="3846" w:type="dxa"/>
            <w:vAlign w:val="center"/>
          </w:tcPr>
          <w:p w14:paraId="26842271" w14:textId="77777777" w:rsidR="00DA0E15" w:rsidRDefault="00362131">
            <w:pPr>
              <w:spacing w:before="0" w:after="0" w:line="240" w:lineRule="auto"/>
              <w:ind w:firstLine="0"/>
              <w:jc w:val="left"/>
              <w:rPr>
                <w:rFonts w:eastAsia="Times New Roman" w:cs="Times New Roman"/>
                <w:bCs w:val="0"/>
                <w:sz w:val="20"/>
                <w:szCs w:val="20"/>
                <w:lang w:val="hy-AM"/>
              </w:rPr>
            </w:pPr>
            <w:r>
              <w:rPr>
                <w:rFonts w:eastAsia="Times New Roman" w:cs="Times New Roman"/>
                <w:b w:val="0"/>
                <w:sz w:val="20"/>
                <w:szCs w:val="20"/>
                <w:lang w:val="hy-AM"/>
              </w:rPr>
              <w:t>Դեբիտորական պարտքերի շրջանառու</w:t>
            </w:r>
            <w:r>
              <w:rPr>
                <w:rFonts w:eastAsia="Times New Roman" w:cs="Times New Roman"/>
                <w:b w:val="0"/>
                <w:sz w:val="20"/>
                <w:szCs w:val="20"/>
                <w:lang w:val="hy-AM"/>
              </w:rPr>
              <w:softHyphen/>
              <w:t>թյուն (օր)</w:t>
            </w:r>
          </w:p>
        </w:tc>
        <w:tc>
          <w:tcPr>
            <w:tcW w:w="1174" w:type="dxa"/>
            <w:vAlign w:val="center"/>
          </w:tcPr>
          <w:p w14:paraId="362A143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54.6</w:t>
            </w:r>
          </w:p>
        </w:tc>
        <w:tc>
          <w:tcPr>
            <w:tcW w:w="1174" w:type="dxa"/>
            <w:vAlign w:val="center"/>
          </w:tcPr>
          <w:p w14:paraId="0755EFD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57.9</w:t>
            </w:r>
          </w:p>
        </w:tc>
        <w:tc>
          <w:tcPr>
            <w:tcW w:w="1133" w:type="dxa"/>
            <w:vAlign w:val="center"/>
          </w:tcPr>
          <w:p w14:paraId="06DF335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67.7</w:t>
            </w:r>
          </w:p>
        </w:tc>
        <w:tc>
          <w:tcPr>
            <w:tcW w:w="2847" w:type="dxa"/>
          </w:tcPr>
          <w:p w14:paraId="3BC0A250" w14:textId="77777777" w:rsidR="00DA0E15" w:rsidRDefault="00362131">
            <w:pPr>
              <w:spacing w:before="0" w:after="0"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hy-AM"/>
              </w:rPr>
            </w:pPr>
            <w:r>
              <w:rPr>
                <w:rFonts w:eastAsia="Times New Roman" w:cs="Times New Roman"/>
                <w:sz w:val="20"/>
                <w:szCs w:val="20"/>
                <w:lang w:val="hy-AM"/>
              </w:rPr>
              <w:t>Առավելագույնը 60 օր</w:t>
            </w:r>
          </w:p>
        </w:tc>
      </w:tr>
      <w:tr w:rsidR="00DA0E15" w14:paraId="4319E126" w14:textId="77777777" w:rsidTr="00DA0E15">
        <w:trPr>
          <w:trHeight w:val="549"/>
          <w:jc w:val="center"/>
        </w:trPr>
        <w:tc>
          <w:tcPr>
            <w:cnfStyle w:val="001000000000" w:firstRow="0" w:lastRow="0" w:firstColumn="1" w:lastColumn="0" w:oddVBand="0" w:evenVBand="0" w:oddHBand="0" w:evenHBand="0" w:firstRowFirstColumn="0" w:firstRowLastColumn="0" w:lastRowFirstColumn="0" w:lastRowLastColumn="0"/>
            <w:tcW w:w="3846" w:type="dxa"/>
            <w:shd w:val="clear" w:color="auto" w:fill="D9E2F3"/>
            <w:vAlign w:val="center"/>
          </w:tcPr>
          <w:p w14:paraId="20AA786C" w14:textId="77777777" w:rsidR="00DA0E15" w:rsidRDefault="00362131">
            <w:pPr>
              <w:spacing w:before="0" w:after="0" w:line="240" w:lineRule="auto"/>
              <w:ind w:firstLine="0"/>
              <w:jc w:val="left"/>
              <w:rPr>
                <w:rFonts w:eastAsia="Times New Roman" w:cs="Times New Roman"/>
                <w:bCs w:val="0"/>
                <w:sz w:val="20"/>
                <w:szCs w:val="20"/>
                <w:lang w:val="hy-AM"/>
              </w:rPr>
            </w:pPr>
            <w:r>
              <w:rPr>
                <w:rFonts w:eastAsia="Times New Roman" w:cs="Times New Roman"/>
                <w:b w:val="0"/>
                <w:sz w:val="20"/>
                <w:szCs w:val="20"/>
                <w:lang w:val="hy-AM"/>
              </w:rPr>
              <w:t>Պարտքի սպասարկման գործակից</w:t>
            </w:r>
          </w:p>
        </w:tc>
        <w:tc>
          <w:tcPr>
            <w:tcW w:w="1174" w:type="dxa"/>
            <w:shd w:val="clear" w:color="auto" w:fill="D9E2F3"/>
            <w:vAlign w:val="center"/>
          </w:tcPr>
          <w:p w14:paraId="46DA923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0.1</w:t>
            </w:r>
          </w:p>
        </w:tc>
        <w:tc>
          <w:tcPr>
            <w:tcW w:w="1174" w:type="dxa"/>
            <w:shd w:val="clear" w:color="auto" w:fill="D9E2F3"/>
            <w:vAlign w:val="center"/>
          </w:tcPr>
          <w:p w14:paraId="4A29012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0.1</w:t>
            </w:r>
          </w:p>
        </w:tc>
        <w:tc>
          <w:tcPr>
            <w:tcW w:w="1133" w:type="dxa"/>
            <w:shd w:val="clear" w:color="auto" w:fill="D9E2F3"/>
            <w:vAlign w:val="center"/>
          </w:tcPr>
          <w:p w14:paraId="221F257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0.1</w:t>
            </w:r>
          </w:p>
        </w:tc>
        <w:tc>
          <w:tcPr>
            <w:tcW w:w="2847" w:type="dxa"/>
            <w:shd w:val="clear" w:color="auto" w:fill="D9E2F3"/>
          </w:tcPr>
          <w:p w14:paraId="1FEC30D3" w14:textId="77777777" w:rsidR="00DA0E15" w:rsidRDefault="00362131">
            <w:pPr>
              <w:spacing w:before="0" w:after="0"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hy-AM"/>
              </w:rPr>
            </w:pPr>
            <w:r>
              <w:rPr>
                <w:rFonts w:eastAsia="Times New Roman" w:cs="Times New Roman"/>
                <w:sz w:val="20"/>
                <w:szCs w:val="20"/>
                <w:lang w:val="hy-AM"/>
              </w:rPr>
              <w:t>Առավելագույնը 0.5</w:t>
            </w:r>
          </w:p>
        </w:tc>
      </w:tr>
      <w:tr w:rsidR="00DA0E15" w14:paraId="59C58D6A" w14:textId="77777777" w:rsidTr="00DA0E15">
        <w:trPr>
          <w:trHeight w:val="549"/>
          <w:jc w:val="center"/>
        </w:trPr>
        <w:tc>
          <w:tcPr>
            <w:cnfStyle w:val="001000000000" w:firstRow="0" w:lastRow="0" w:firstColumn="1" w:lastColumn="0" w:oddVBand="0" w:evenVBand="0" w:oddHBand="0" w:evenHBand="0" w:firstRowFirstColumn="0" w:firstRowLastColumn="0" w:lastRowFirstColumn="0" w:lastRowLastColumn="0"/>
            <w:tcW w:w="3846" w:type="dxa"/>
            <w:vAlign w:val="center"/>
          </w:tcPr>
          <w:p w14:paraId="52DF481E" w14:textId="77777777" w:rsidR="00DA0E15" w:rsidRDefault="00362131">
            <w:pPr>
              <w:spacing w:before="0" w:after="0" w:line="240" w:lineRule="auto"/>
              <w:ind w:firstLine="0"/>
              <w:jc w:val="left"/>
              <w:rPr>
                <w:rFonts w:eastAsia="Times New Roman" w:cs="Times New Roman"/>
                <w:bCs w:val="0"/>
                <w:sz w:val="20"/>
                <w:szCs w:val="20"/>
                <w:lang w:val="hy-AM"/>
              </w:rPr>
            </w:pPr>
            <w:r>
              <w:rPr>
                <w:rFonts w:eastAsia="Times New Roman" w:cs="Times New Roman"/>
                <w:b w:val="0"/>
                <w:sz w:val="20"/>
                <w:szCs w:val="20"/>
                <w:lang w:val="hy-AM"/>
              </w:rPr>
              <w:t>Վերաֆինանսավորման գործակից</w:t>
            </w:r>
          </w:p>
        </w:tc>
        <w:tc>
          <w:tcPr>
            <w:tcW w:w="1174" w:type="dxa"/>
            <w:vAlign w:val="center"/>
          </w:tcPr>
          <w:p w14:paraId="5ADE948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1.0</w:t>
            </w:r>
          </w:p>
        </w:tc>
        <w:tc>
          <w:tcPr>
            <w:tcW w:w="1174" w:type="dxa"/>
            <w:vAlign w:val="center"/>
          </w:tcPr>
          <w:p w14:paraId="27F4823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0.7</w:t>
            </w:r>
          </w:p>
        </w:tc>
        <w:tc>
          <w:tcPr>
            <w:tcW w:w="1133" w:type="dxa"/>
            <w:vAlign w:val="center"/>
          </w:tcPr>
          <w:p w14:paraId="6A335D6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1.8</w:t>
            </w:r>
          </w:p>
        </w:tc>
        <w:tc>
          <w:tcPr>
            <w:tcW w:w="2847" w:type="dxa"/>
          </w:tcPr>
          <w:p w14:paraId="4F931CD2" w14:textId="77777777" w:rsidR="00DA0E15" w:rsidRDefault="00362131">
            <w:pPr>
              <w:spacing w:before="0" w:after="0"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hy-AM"/>
              </w:rPr>
            </w:pPr>
            <w:r>
              <w:rPr>
                <w:rFonts w:eastAsia="Times New Roman" w:cs="Times New Roman"/>
                <w:sz w:val="20"/>
                <w:szCs w:val="20"/>
                <w:lang w:val="hy-AM"/>
              </w:rPr>
              <w:t>Առավելագույնը 1</w:t>
            </w:r>
          </w:p>
        </w:tc>
      </w:tr>
      <w:tr w:rsidR="00DA0E15" w14:paraId="482B0DEF" w14:textId="77777777" w:rsidTr="00DA0E15">
        <w:trPr>
          <w:trHeight w:val="698"/>
          <w:jc w:val="center"/>
        </w:trPr>
        <w:tc>
          <w:tcPr>
            <w:cnfStyle w:val="001000000000" w:firstRow="0" w:lastRow="0" w:firstColumn="1" w:lastColumn="0" w:oddVBand="0" w:evenVBand="0" w:oddHBand="0" w:evenHBand="0" w:firstRowFirstColumn="0" w:firstRowLastColumn="0" w:lastRowFirstColumn="0" w:lastRowLastColumn="0"/>
            <w:tcW w:w="3846" w:type="dxa"/>
            <w:shd w:val="clear" w:color="auto" w:fill="D9E2F3"/>
            <w:vAlign w:val="center"/>
          </w:tcPr>
          <w:p w14:paraId="0ACEEF48" w14:textId="77777777" w:rsidR="00DA0E15" w:rsidRDefault="00362131">
            <w:pPr>
              <w:spacing w:before="0" w:after="0" w:line="240" w:lineRule="auto"/>
              <w:ind w:firstLine="0"/>
              <w:jc w:val="left"/>
              <w:rPr>
                <w:rFonts w:eastAsia="Times New Roman" w:cs="Times New Roman"/>
                <w:bCs w:val="0"/>
                <w:sz w:val="20"/>
                <w:szCs w:val="20"/>
                <w:lang w:val="hy-AM"/>
              </w:rPr>
            </w:pPr>
            <w:r>
              <w:rPr>
                <w:rFonts w:eastAsia="Times New Roman" w:cs="Times New Roman"/>
                <w:b w:val="0"/>
                <w:sz w:val="20"/>
                <w:szCs w:val="20"/>
                <w:lang w:val="hy-AM"/>
              </w:rPr>
              <w:t>Z միավոր</w:t>
            </w:r>
          </w:p>
        </w:tc>
        <w:tc>
          <w:tcPr>
            <w:tcW w:w="1174" w:type="dxa"/>
            <w:shd w:val="clear" w:color="auto" w:fill="D9E2F3"/>
            <w:vAlign w:val="center"/>
          </w:tcPr>
          <w:p w14:paraId="3FBE537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1.23</w:t>
            </w:r>
          </w:p>
        </w:tc>
        <w:tc>
          <w:tcPr>
            <w:tcW w:w="1174" w:type="dxa"/>
            <w:shd w:val="clear" w:color="auto" w:fill="D9E2F3"/>
            <w:vAlign w:val="center"/>
          </w:tcPr>
          <w:p w14:paraId="0395639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1.4</w:t>
            </w:r>
          </w:p>
        </w:tc>
        <w:tc>
          <w:tcPr>
            <w:tcW w:w="1133" w:type="dxa"/>
            <w:shd w:val="clear" w:color="auto" w:fill="D9E2F3"/>
            <w:vAlign w:val="center"/>
          </w:tcPr>
          <w:p w14:paraId="151B2DE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000000"/>
                <w:sz w:val="20"/>
                <w:szCs w:val="20"/>
                <w:lang w:val="hy-AM"/>
              </w:rPr>
            </w:pPr>
            <w:r>
              <w:rPr>
                <w:rFonts w:eastAsia="Times New Roman" w:cs="Times New Roman"/>
                <w:bCs/>
                <w:color w:val="000000"/>
                <w:sz w:val="20"/>
                <w:szCs w:val="20"/>
                <w:lang w:val="hy-AM"/>
              </w:rPr>
              <w:t>0.2</w:t>
            </w:r>
          </w:p>
        </w:tc>
        <w:tc>
          <w:tcPr>
            <w:tcW w:w="2847" w:type="dxa"/>
            <w:shd w:val="clear" w:color="auto" w:fill="D9E2F3"/>
          </w:tcPr>
          <w:p w14:paraId="4EBD4678" w14:textId="77777777" w:rsidR="00DA0E15" w:rsidRDefault="00362131">
            <w:pPr>
              <w:spacing w:before="0" w:after="0"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hy-AM"/>
              </w:rPr>
            </w:pPr>
            <w:r>
              <w:rPr>
                <w:rFonts w:eastAsia="Times New Roman" w:cs="Times New Roman"/>
                <w:sz w:val="20"/>
                <w:szCs w:val="20"/>
                <w:lang w:val="hy-AM"/>
              </w:rPr>
              <w:t>Ապահով գոտի՝ Z&gt;2.6,</w:t>
            </w:r>
          </w:p>
          <w:p w14:paraId="4E4548FA" w14:textId="77777777" w:rsidR="00DA0E15" w:rsidRDefault="00362131">
            <w:pPr>
              <w:spacing w:before="0" w:after="0"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hy-AM"/>
              </w:rPr>
            </w:pPr>
            <w:r>
              <w:rPr>
                <w:rFonts w:eastAsia="Times New Roman" w:cs="Times New Roman"/>
                <w:sz w:val="20"/>
                <w:szCs w:val="20"/>
                <w:lang w:val="hy-AM"/>
              </w:rPr>
              <w:t>Գորշ գոտի` 1.1&lt;Z&lt;2.6,</w:t>
            </w:r>
          </w:p>
          <w:p w14:paraId="530D816D" w14:textId="77777777" w:rsidR="00DA0E15" w:rsidRDefault="00362131">
            <w:pPr>
              <w:spacing w:before="0" w:after="0" w:line="240" w:lineRule="auto"/>
              <w:ind w:firstLine="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lang w:val="hy-AM"/>
              </w:rPr>
            </w:pPr>
            <w:r>
              <w:rPr>
                <w:rFonts w:eastAsia="Times New Roman" w:cs="Times New Roman"/>
                <w:sz w:val="20"/>
                <w:szCs w:val="20"/>
                <w:lang w:val="hy-AM"/>
              </w:rPr>
              <w:t>Ծանր գոտի`Z&lt;1.1:</w:t>
            </w:r>
          </w:p>
        </w:tc>
      </w:tr>
    </w:tbl>
    <w:p w14:paraId="36C273C6" w14:textId="77777777" w:rsidR="00DA0E15" w:rsidRDefault="00DA0E15">
      <w:pPr>
        <w:spacing w:after="0" w:line="276" w:lineRule="auto"/>
        <w:ind w:firstLine="0"/>
        <w:rPr>
          <w:rFonts w:eastAsia="Times New Roman" w:cs="Times New Roman"/>
          <w:lang w:val="hy-AM"/>
        </w:rPr>
      </w:pPr>
    </w:p>
    <w:p w14:paraId="5CE046A0" w14:textId="77777777" w:rsidR="00DA0E15" w:rsidRDefault="00362131">
      <w:pPr>
        <w:spacing w:before="0" w:after="0" w:line="276" w:lineRule="auto"/>
        <w:ind w:right="20" w:firstLine="227"/>
        <w:rPr>
          <w:rFonts w:eastAsia="Times New Roman" w:cs="Times New Roman"/>
          <w:lang w:val="hy-AM"/>
        </w:rPr>
      </w:pPr>
      <w:r>
        <w:rPr>
          <w:rFonts w:eastAsia="Times New Roman" w:cs="Times New Roman"/>
          <w:lang w:val="hy-AM"/>
        </w:rPr>
        <w:t>Ինչպես երևում է աղյուսակից հաշվետու ժամանակաշրջանում սնանկացման կանխատեսման Ալթմանի Z-միավորը վկայում է Ընկերությունների ֆինանսական վիճակի վատթարացման բարձր հավանականության մասին (Z=0.2 գտնվում է սահմանված ծանր գոտում Z&lt;1.1):</w:t>
      </w:r>
    </w:p>
    <w:p w14:paraId="23023DD8" w14:textId="77777777" w:rsidR="00DA0E15" w:rsidRDefault="00362131">
      <w:pPr>
        <w:spacing w:before="0" w:after="0" w:line="276" w:lineRule="auto"/>
        <w:ind w:right="20" w:firstLine="227"/>
        <w:rPr>
          <w:rFonts w:eastAsia="Times New Roman" w:cs="Times New Roman"/>
          <w:lang w:val="hy-AM"/>
        </w:rPr>
      </w:pPr>
      <w:r>
        <w:rPr>
          <w:rFonts w:eastAsia="Times New Roman" w:cs="Times New Roman"/>
          <w:lang w:val="hy-AM"/>
        </w:rPr>
        <w:t>Ստուգաճշտող լրացուցիչ ֆինանսական վեց գործակիցներից երեքը չեն համապատասխանում միջազգային պրակտիկայում ընդունված թույլատրելի սահմանային նորմային և վկայում են ֆինանսական վիճակի վատթարացման բարձր հավանականության մասին:</w:t>
      </w:r>
    </w:p>
    <w:p w14:paraId="280B5984" w14:textId="77777777" w:rsidR="00DA0E15" w:rsidRDefault="00362131">
      <w:pPr>
        <w:spacing w:before="0" w:after="0" w:line="276" w:lineRule="auto"/>
        <w:ind w:right="20" w:firstLine="227"/>
        <w:rPr>
          <w:rFonts w:eastAsia="Times New Roman" w:cs="Times New Roman"/>
          <w:lang w:val="hy-AM"/>
        </w:rPr>
      </w:pPr>
      <w:r>
        <w:rPr>
          <w:rFonts w:eastAsia="Times New Roman" w:cs="Times New Roman"/>
          <w:lang w:val="hy-AM"/>
        </w:rPr>
        <w:t>Զուտ շահույթի մարժան բնութագրում է բիզնեսի գործառնական արդյունավետությունը: Հաշվետու ժամանակաշրջանում նախորդ ժամանակաշրջանի նկատմամբ այս ցուցանիշը ցուցաբերել է նվազման դինամիկա և բավականին ցածր է պրակտիկայում կիրառ</w:t>
      </w:r>
      <w:r>
        <w:rPr>
          <w:rFonts w:eastAsia="Times New Roman" w:cs="Times New Roman"/>
          <w:lang w:val="hy-AM"/>
        </w:rPr>
        <w:softHyphen/>
        <w:t>վող նվազագույն նորմայից, ինչը պայմանավորված է արտարժութային տատանումներից կրած վնասներով:</w:t>
      </w:r>
    </w:p>
    <w:p w14:paraId="5675F2D2" w14:textId="77777777" w:rsidR="00DA0E15" w:rsidRDefault="00362131">
      <w:pPr>
        <w:spacing w:before="0" w:after="0" w:line="276" w:lineRule="auto"/>
        <w:ind w:right="20" w:firstLine="227"/>
        <w:rPr>
          <w:rFonts w:eastAsia="Times New Roman" w:cs="Times New Roman"/>
          <w:lang w:val="hy-AM"/>
        </w:rPr>
      </w:pPr>
      <w:r>
        <w:rPr>
          <w:rFonts w:eastAsia="Times New Roman" w:cs="Times New Roman"/>
          <w:lang w:val="hy-AM"/>
        </w:rPr>
        <w:t>Վերաֆինանսավորման գործակիցը հաշվետու ժամանակաշրջանում նախորդ ժամանա</w:t>
      </w:r>
      <w:r>
        <w:rPr>
          <w:rFonts w:eastAsia="Times New Roman" w:cs="Times New Roman"/>
          <w:lang w:val="hy-AM"/>
        </w:rPr>
        <w:softHyphen/>
        <w:t>կաշրջանի նկատմամբ ավելացել է 1.1 կետով և կազմել է 1.8, որը փաստում է, որ որոշ Ընկերու</w:t>
      </w:r>
      <w:r>
        <w:rPr>
          <w:rFonts w:eastAsia="Times New Roman" w:cs="Times New Roman"/>
          <w:lang w:val="hy-AM"/>
        </w:rPr>
        <w:softHyphen/>
        <w:t>թյուններ ի վիճակի են գործառնություններից ստացվող դրամական հոսքերի հաշվին կատարել իրենց ընթացիկ պարտավորությունները:</w:t>
      </w:r>
    </w:p>
    <w:p w14:paraId="05F14247" w14:textId="77777777" w:rsidR="00DA0E15" w:rsidRDefault="00362131">
      <w:pPr>
        <w:spacing w:before="0" w:after="0" w:line="276" w:lineRule="auto"/>
        <w:ind w:right="23" w:firstLine="227"/>
        <w:rPr>
          <w:rFonts w:eastAsia="Times New Roman" w:cs="Times New Roman"/>
          <w:lang w:val="hy-AM"/>
        </w:rPr>
      </w:pPr>
      <w:r>
        <w:rPr>
          <w:rFonts w:eastAsia="Times New Roman" w:cs="Times New Roman"/>
          <w:lang w:val="hy-AM"/>
        </w:rPr>
        <w:t>Հաշվի առնելով, որ հաշվետու ժամանակաշրջանում Ընկերությունների ֆինանսական ծանր վիճակի հավանականությունը գնահատող Z-միավորը վկայում է Ընկերու</w:t>
      </w:r>
      <w:r>
        <w:rPr>
          <w:rFonts w:eastAsia="Times New Roman" w:cs="Times New Roman"/>
          <w:lang w:val="hy-AM"/>
        </w:rPr>
        <w:softHyphen/>
        <w:t>թյունների ֆինանսական ծանր վիճակի հավանականության մասին (Z=0.2), իսկ լրացուցիչ վեց գործակիցներից երեքը չեն համապատասխանում միջազգային պրակտիկայում կիրառվող շեմային մակարդակին, հետևաբար Ընկերությունների ֆինանսական վիճակի վատթարացման հավանականությունը նշանակալի է:</w:t>
      </w:r>
    </w:p>
    <w:p w14:paraId="1388450F" w14:textId="77777777" w:rsidR="00DA0E15" w:rsidRDefault="00DA0E15">
      <w:pPr>
        <w:spacing w:before="0" w:after="0" w:line="276" w:lineRule="auto"/>
        <w:ind w:right="23"/>
        <w:jc w:val="center"/>
        <w:rPr>
          <w:rFonts w:eastAsia="Times New Roman" w:cs="Times New Roman"/>
          <w:b/>
          <w:lang w:val="hy-AM"/>
        </w:rPr>
      </w:pPr>
    </w:p>
    <w:p w14:paraId="6DCE0AD1" w14:textId="77777777" w:rsidR="00DA0E15" w:rsidRDefault="00362131">
      <w:pPr>
        <w:spacing w:before="0" w:after="0" w:line="276" w:lineRule="auto"/>
        <w:ind w:right="23"/>
        <w:jc w:val="center"/>
        <w:rPr>
          <w:rFonts w:eastAsia="Times New Roman" w:cs="Times New Roman"/>
          <w:b/>
          <w:lang w:val="hy-AM"/>
        </w:rPr>
      </w:pPr>
      <w:r>
        <w:rPr>
          <w:rFonts w:eastAsia="Times New Roman" w:cs="Times New Roman"/>
          <w:b/>
          <w:lang w:val="hy-AM"/>
        </w:rPr>
        <w:t>ՀԱՄԱՌՈՏ ԱԿՆԱՐԿ</w:t>
      </w:r>
    </w:p>
    <w:p w14:paraId="1481E0E0" w14:textId="77777777" w:rsidR="00DA0E15" w:rsidRDefault="00362131">
      <w:pPr>
        <w:spacing w:before="0" w:after="0" w:line="276" w:lineRule="auto"/>
        <w:ind w:right="23"/>
        <w:jc w:val="center"/>
        <w:rPr>
          <w:rFonts w:eastAsia="Times New Roman" w:cs="Times New Roman"/>
          <w:b/>
          <w:lang w:val="hy-AM"/>
        </w:rPr>
      </w:pPr>
      <w:r>
        <w:rPr>
          <w:rFonts w:eastAsia="Times New Roman" w:cs="Times New Roman"/>
          <w:b/>
          <w:lang w:val="hy-AM"/>
        </w:rPr>
        <w:t>ՍՊԵՑԻՖԻԿ ՖԻՍԿԱԼ ՌԻՍԿԵՐԻ ՀԱՄԱՊԱՐՓԱԿ ՇՐՋԱՆԱԿԻ ՎԵՐԱԲԵՐՅԱԼ</w:t>
      </w:r>
    </w:p>
    <w:p w14:paraId="559CA90C" w14:textId="77777777" w:rsidR="00DA0E15" w:rsidRDefault="00DA0E15">
      <w:pPr>
        <w:spacing w:before="0" w:after="0" w:line="276" w:lineRule="auto"/>
        <w:ind w:right="23"/>
        <w:jc w:val="center"/>
        <w:rPr>
          <w:rFonts w:eastAsia="Times New Roman" w:cs="Times New Roman"/>
          <w:b/>
          <w:lang w:val="hy-AM"/>
        </w:rPr>
      </w:pPr>
    </w:p>
    <w:p w14:paraId="760E099F" w14:textId="77777777" w:rsidR="00DA0E15" w:rsidRDefault="00362131">
      <w:pPr>
        <w:shd w:val="clear" w:color="auto" w:fill="FFFFFF"/>
        <w:spacing w:before="0" w:after="0" w:line="276" w:lineRule="auto"/>
        <w:ind w:right="20" w:firstLine="450"/>
        <w:rPr>
          <w:rFonts w:eastAsia="Times New Roman" w:cs="Times New Roman"/>
          <w:color w:val="000000"/>
          <w:lang w:val="hy-AM" w:eastAsia="ru-RU"/>
        </w:rPr>
      </w:pPr>
      <w:r>
        <w:rPr>
          <w:rFonts w:eastAsia="Times New Roman" w:cs="Times New Roman"/>
          <w:color w:val="000000"/>
          <w:lang w:val="hy-AM" w:eastAsia="ru-RU"/>
        </w:rPr>
        <w:t>Սպեցիֆիկ ֆիսկալ ռիսկերն առաջանում են պայմանական պարտավորությունների կամ այլ անորոշ իրադարձությունների նյութականացման արդյունքում: Այդ իրադարձություններից յուրաքանչյուրը կարող է ենթադրել անհապաղ և/կամ շարունակական ծախսեր՝ պայմանավորված կառավարության բացահայտ պարտավորություններով (պարտավորություններ, որոնք ունեն իրավական կամ պայմանագրային հիմք) կամ թաքնված պարտավորություններով, որոնք սահմանված չեն որևէ օրենքով կամ պայմանագրով:</w:t>
      </w:r>
    </w:p>
    <w:p w14:paraId="139417EB" w14:textId="77777777" w:rsidR="00DA0E15" w:rsidRDefault="00362131">
      <w:pPr>
        <w:shd w:val="clear" w:color="auto" w:fill="FFFFFF"/>
        <w:spacing w:before="0" w:after="0" w:line="276" w:lineRule="auto"/>
        <w:ind w:right="20" w:firstLine="450"/>
        <w:rPr>
          <w:rFonts w:eastAsia="Times New Roman" w:cs="Times New Roman"/>
          <w:color w:val="000000"/>
          <w:lang w:val="hy-AM" w:eastAsia="ru-RU"/>
        </w:rPr>
      </w:pPr>
      <w:r>
        <w:rPr>
          <w:rFonts w:eastAsia="Times New Roman" w:cs="Times New Roman"/>
          <w:color w:val="000000"/>
          <w:lang w:val="hy-AM" w:eastAsia="ru-RU"/>
        </w:rPr>
        <w:t>Ստորև կատարված ուսումնասիրությունն արտացոլում է սպեցիֆիկ ֆիսկալ ռիսկերի ընդգրկուն շրջանակը, որի համար հիմք է հանդիսացել ԱԶԲ-ի հետ համատեղ մշակված ֆիսկալ ռիսկերի կառավարման բարելավման 2019-2023 թվականների ճանապարհային քարտեզը:</w:t>
      </w:r>
    </w:p>
    <w:p w14:paraId="33664F4A" w14:textId="77777777" w:rsidR="00DA0E15" w:rsidRDefault="00362131">
      <w:pPr>
        <w:spacing w:before="240" w:after="240" w:line="259" w:lineRule="auto"/>
        <w:ind w:firstLine="0"/>
        <w:jc w:val="center"/>
        <w:rPr>
          <w:rFonts w:eastAsia="Calibri" w:cs="Times New Roman"/>
          <w:b/>
          <w:bCs/>
          <w:lang w:val="hy-AM"/>
        </w:rPr>
      </w:pPr>
      <w:r>
        <w:rPr>
          <w:rFonts w:eastAsia="Calibri" w:cs="Times New Roman"/>
          <w:b/>
          <w:bCs/>
          <w:lang w:val="hy-AM"/>
        </w:rPr>
        <w:t>Պետություն-մասնավոր գործընկերության (ՊՄԳ) ձևաչափով գործող ընկերությունների պայմանագրերից բխող պայմանական պարտավորությունների վերլուծություն</w:t>
      </w:r>
    </w:p>
    <w:p w14:paraId="76FC9735" w14:textId="77777777" w:rsidR="00DA0E15" w:rsidRDefault="00362131">
      <w:pPr>
        <w:spacing w:before="0" w:after="0" w:line="276" w:lineRule="auto"/>
        <w:ind w:firstLine="230"/>
        <w:rPr>
          <w:rFonts w:eastAsia="Times New Roman" w:cs="Times New Roman"/>
          <w:color w:val="000000"/>
          <w:lang w:val="hy-AM" w:eastAsia="ru-RU"/>
        </w:rPr>
      </w:pPr>
      <w:r>
        <w:rPr>
          <w:rFonts w:eastAsia="Times New Roman" w:cs="Times New Roman"/>
          <w:color w:val="000000"/>
          <w:lang w:val="hy-AM" w:eastAsia="ru-RU"/>
        </w:rPr>
        <w:t xml:space="preserve">Վերլուծության են ենթարկվել ստորև ներկայացված ՊՄԳ ձևաչափով գործող թվով երեք ընկերությունների պայմանագրերը, ինչպես նաև էլեկտրաէներգիայի գնման երեք խոշոր պայմանագրերը (որոնք նույնպես հանդիսանում են պայմանական պարտավորությունների աղբյուր, քանի որ պարունակում են երաշխավորած գնման պայմաններ): </w:t>
      </w:r>
    </w:p>
    <w:p w14:paraId="5341B77A" w14:textId="77777777" w:rsidR="00DA0E15" w:rsidRDefault="00362131">
      <w:pPr>
        <w:spacing w:before="0" w:after="0" w:line="276" w:lineRule="auto"/>
        <w:ind w:firstLine="230"/>
        <w:rPr>
          <w:rFonts w:eastAsia="Times New Roman" w:cs="Times New Roman"/>
          <w:color w:val="000000"/>
          <w:lang w:val="hy-AM" w:eastAsia="ru-RU"/>
        </w:rPr>
      </w:pPr>
      <w:r>
        <w:rPr>
          <w:rFonts w:eastAsia="Times New Roman" w:cs="Times New Roman"/>
          <w:color w:val="000000"/>
          <w:lang w:val="hy-AM" w:eastAsia="ru-RU"/>
        </w:rPr>
        <w:t>Ստորև ներկայացվում է նշված 6 ընկերությունների վերաբերյալ ամփոփ տեղեկատվություն:</w:t>
      </w:r>
    </w:p>
    <w:p w14:paraId="1B289A77" w14:textId="77777777" w:rsidR="00DA0E15" w:rsidRDefault="00DA0E15">
      <w:pPr>
        <w:spacing w:before="0" w:after="0" w:line="240" w:lineRule="auto"/>
        <w:ind w:firstLine="0"/>
        <w:jc w:val="left"/>
        <w:rPr>
          <w:rFonts w:eastAsia="Times New Roman" w:cs="Times New Roman"/>
          <w:color w:val="000000"/>
          <w:lang w:val="hy-AM" w:eastAsia="ru-RU"/>
        </w:rPr>
      </w:pPr>
    </w:p>
    <w:p w14:paraId="7FBA8438" w14:textId="77777777" w:rsidR="00DA0E15" w:rsidRDefault="00362131">
      <w:pPr>
        <w:keepNext/>
        <w:spacing w:before="0" w:after="200" w:line="240" w:lineRule="auto"/>
        <w:ind w:firstLine="0"/>
        <w:jc w:val="left"/>
        <w:rPr>
          <w:i/>
          <w:sz w:val="20"/>
          <w:szCs w:val="20"/>
          <w:lang w:val="hy-AM"/>
        </w:rPr>
      </w:pPr>
      <w:r>
        <w:rPr>
          <w:b/>
          <w:sz w:val="20"/>
          <w:szCs w:val="20"/>
          <w:lang w:val="hy-AM"/>
        </w:rPr>
        <w:t>Աղյուսակ  5.10</w:t>
      </w:r>
      <w:r>
        <w:rPr>
          <w:rFonts w:eastAsia="Calibri" w:cs="Times New Roman"/>
          <w:b/>
          <w:i/>
          <w:iCs/>
          <w:sz w:val="19"/>
          <w:szCs w:val="19"/>
          <w:lang w:val="hy-AM"/>
        </w:rPr>
        <w:t xml:space="preserve"> </w:t>
      </w:r>
      <w:r>
        <w:rPr>
          <w:i/>
          <w:sz w:val="20"/>
          <w:szCs w:val="20"/>
          <w:lang w:val="hy-AM"/>
        </w:rPr>
        <w:t>Գործող ՊՄԳ և ԷԳՊ պայմանագրերը</w:t>
      </w:r>
    </w:p>
    <w:tbl>
      <w:tblPr>
        <w:tblStyle w:val="GridTable4-Accent131"/>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2268"/>
        <w:gridCol w:w="1134"/>
        <w:gridCol w:w="992"/>
        <w:gridCol w:w="1134"/>
        <w:gridCol w:w="1703"/>
      </w:tblGrid>
      <w:tr w:rsidR="00DA0E15" w:rsidRPr="005849E3" w14:paraId="3AB13EE8" w14:textId="77777777" w:rsidTr="00146C6E">
        <w:trPr>
          <w:cnfStyle w:val="100000000000" w:firstRow="1" w:lastRow="0" w:firstColumn="0" w:lastColumn="0" w:oddVBand="0" w:evenVBand="0" w:oddHBand="0" w:evenHBand="0" w:firstRowFirstColumn="0" w:firstRowLastColumn="0" w:lastRowFirstColumn="0" w:lastRowLastColumn="0"/>
          <w:trHeight w:val="1175"/>
        </w:trPr>
        <w:tc>
          <w:tcPr>
            <w:cnfStyle w:val="001000000000" w:firstRow="0" w:lastRow="0" w:firstColumn="1" w:lastColumn="0" w:oddVBand="0" w:evenVBand="0" w:oddHBand="0" w:evenHBand="0" w:firstRowFirstColumn="0" w:firstRowLastColumn="0" w:lastRowFirstColumn="0" w:lastRowLastColumn="0"/>
            <w:tcW w:w="3227" w:type="dxa"/>
            <w:vMerge w:val="restart"/>
            <w:tcBorders>
              <w:top w:val="nil"/>
              <w:left w:val="nil"/>
              <w:bottom w:val="nil"/>
            </w:tcBorders>
          </w:tcPr>
          <w:p w14:paraId="316F5301" w14:textId="77777777" w:rsidR="00DA0E15" w:rsidRDefault="00362131">
            <w:pPr>
              <w:spacing w:before="0" w:after="0" w:line="240" w:lineRule="auto"/>
              <w:ind w:firstLine="0"/>
              <w:jc w:val="center"/>
              <w:rPr>
                <w:rFonts w:cs="Times New Roman"/>
                <w:color w:val="FFFFFF" w:themeColor="background1"/>
                <w:sz w:val="20"/>
                <w:szCs w:val="20"/>
                <w:lang w:val="hy-AM"/>
              </w:rPr>
            </w:pPr>
            <w:r>
              <w:rPr>
                <w:rFonts w:cs="Times New Roman"/>
                <w:b w:val="0"/>
                <w:bCs w:val="0"/>
                <w:color w:val="FFFFFF" w:themeColor="background1"/>
                <w:sz w:val="20"/>
                <w:szCs w:val="20"/>
                <w:lang w:val="hy-AM"/>
              </w:rPr>
              <w:t>Անվանում</w:t>
            </w:r>
          </w:p>
        </w:tc>
        <w:tc>
          <w:tcPr>
            <w:tcW w:w="2268" w:type="dxa"/>
            <w:vMerge w:val="restart"/>
            <w:tcBorders>
              <w:top w:val="nil"/>
              <w:bottom w:val="nil"/>
            </w:tcBorders>
          </w:tcPr>
          <w:p w14:paraId="16D00E2E"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color w:val="FFFFFF" w:themeColor="background1"/>
                <w:sz w:val="20"/>
                <w:szCs w:val="20"/>
                <w:lang w:val="hy-AM"/>
              </w:rPr>
            </w:pPr>
            <w:r>
              <w:rPr>
                <w:rFonts w:cs="Times New Roman"/>
                <w:b w:val="0"/>
                <w:bCs w:val="0"/>
                <w:color w:val="FFFFFF" w:themeColor="background1"/>
                <w:sz w:val="20"/>
                <w:szCs w:val="20"/>
                <w:lang w:val="hy-AM"/>
              </w:rPr>
              <w:t>Ոլորտ</w:t>
            </w:r>
          </w:p>
        </w:tc>
        <w:tc>
          <w:tcPr>
            <w:tcW w:w="1134" w:type="dxa"/>
            <w:vMerge w:val="restart"/>
            <w:tcBorders>
              <w:top w:val="nil"/>
              <w:bottom w:val="nil"/>
            </w:tcBorders>
          </w:tcPr>
          <w:p w14:paraId="46BCB2C2"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color w:val="FFFFFF" w:themeColor="background1"/>
                <w:sz w:val="20"/>
                <w:szCs w:val="20"/>
                <w:lang w:val="hy-AM"/>
              </w:rPr>
            </w:pPr>
            <w:r>
              <w:rPr>
                <w:rFonts w:cs="Times New Roman"/>
                <w:b w:val="0"/>
                <w:bCs w:val="0"/>
                <w:color w:val="FFFFFF" w:themeColor="background1"/>
                <w:sz w:val="20"/>
                <w:szCs w:val="20"/>
                <w:lang w:val="hy-AM"/>
              </w:rPr>
              <w:t>Սկիզբ</w:t>
            </w:r>
          </w:p>
        </w:tc>
        <w:tc>
          <w:tcPr>
            <w:tcW w:w="992" w:type="dxa"/>
            <w:vMerge w:val="restart"/>
            <w:tcBorders>
              <w:top w:val="nil"/>
              <w:bottom w:val="nil"/>
            </w:tcBorders>
          </w:tcPr>
          <w:p w14:paraId="50229138"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color w:val="FFFFFF" w:themeColor="background1"/>
                <w:sz w:val="20"/>
                <w:szCs w:val="20"/>
                <w:lang w:val="hy-AM"/>
              </w:rPr>
            </w:pPr>
            <w:r>
              <w:rPr>
                <w:rFonts w:cs="Times New Roman"/>
                <w:b w:val="0"/>
                <w:bCs w:val="0"/>
                <w:color w:val="FFFFFF" w:themeColor="background1"/>
                <w:sz w:val="20"/>
                <w:szCs w:val="20"/>
                <w:lang w:val="hy-AM"/>
              </w:rPr>
              <w:t>Ավարտ</w:t>
            </w:r>
          </w:p>
        </w:tc>
        <w:tc>
          <w:tcPr>
            <w:tcW w:w="2837" w:type="dxa"/>
            <w:gridSpan w:val="2"/>
            <w:tcBorders>
              <w:top w:val="nil"/>
              <w:bottom w:val="nil"/>
              <w:right w:val="nil"/>
            </w:tcBorders>
          </w:tcPr>
          <w:p w14:paraId="5929FBE4"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color w:val="FFFFFF" w:themeColor="background1"/>
                <w:sz w:val="20"/>
                <w:szCs w:val="20"/>
                <w:lang w:val="hy-AM"/>
              </w:rPr>
            </w:pPr>
            <w:r>
              <w:rPr>
                <w:rFonts w:cs="Times New Roman"/>
                <w:b w:val="0"/>
                <w:bCs w:val="0"/>
                <w:color w:val="FFFFFF" w:themeColor="background1"/>
                <w:sz w:val="20"/>
                <w:szCs w:val="20"/>
                <w:lang w:val="hy-AM"/>
              </w:rPr>
              <w:t>Պայմանական պարտավորությունների հարկաբյուջետային ռիսկի կարգավիճակը</w:t>
            </w:r>
          </w:p>
        </w:tc>
      </w:tr>
      <w:tr w:rsidR="00DA0E15" w14:paraId="7B60EBC9" w14:textId="77777777" w:rsidTr="00146C6E">
        <w:trPr>
          <w:trHeight w:val="420"/>
        </w:trPr>
        <w:tc>
          <w:tcPr>
            <w:cnfStyle w:val="001000000000" w:firstRow="0" w:lastRow="0" w:firstColumn="1" w:lastColumn="0" w:oddVBand="0" w:evenVBand="0" w:oddHBand="0" w:evenHBand="0" w:firstRowFirstColumn="0" w:firstRowLastColumn="0" w:lastRowFirstColumn="0" w:lastRowLastColumn="0"/>
            <w:tcW w:w="3227" w:type="dxa"/>
            <w:vMerge/>
            <w:shd w:val="clear" w:color="auto" w:fill="D9E2F3"/>
          </w:tcPr>
          <w:p w14:paraId="3CC72565" w14:textId="77777777" w:rsidR="00DA0E15" w:rsidRDefault="00DA0E15">
            <w:pPr>
              <w:spacing w:before="0" w:after="0" w:line="240" w:lineRule="auto"/>
              <w:ind w:firstLine="0"/>
              <w:jc w:val="center"/>
              <w:rPr>
                <w:rFonts w:cs="Times New Roman"/>
                <w:color w:val="FFFFFF" w:themeColor="background1"/>
                <w:sz w:val="20"/>
                <w:szCs w:val="20"/>
                <w:lang w:val="hy-AM"/>
              </w:rPr>
            </w:pPr>
          </w:p>
        </w:tc>
        <w:tc>
          <w:tcPr>
            <w:tcW w:w="2268" w:type="dxa"/>
            <w:vMerge/>
            <w:shd w:val="clear" w:color="auto" w:fill="D9E2F3"/>
          </w:tcPr>
          <w:p w14:paraId="3EF268BC"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color w:val="FFFFFF" w:themeColor="background1"/>
                <w:sz w:val="20"/>
                <w:szCs w:val="20"/>
                <w:lang w:val="hy-AM"/>
              </w:rPr>
            </w:pPr>
          </w:p>
        </w:tc>
        <w:tc>
          <w:tcPr>
            <w:tcW w:w="1134" w:type="dxa"/>
            <w:vMerge/>
            <w:shd w:val="clear" w:color="auto" w:fill="D9E2F3"/>
          </w:tcPr>
          <w:p w14:paraId="74A8D45A"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color w:val="FFFFFF" w:themeColor="background1"/>
                <w:sz w:val="20"/>
                <w:szCs w:val="20"/>
                <w:lang w:val="hy-AM"/>
              </w:rPr>
            </w:pPr>
          </w:p>
        </w:tc>
        <w:tc>
          <w:tcPr>
            <w:tcW w:w="992" w:type="dxa"/>
            <w:vMerge/>
            <w:shd w:val="clear" w:color="auto" w:fill="D9E2F3"/>
          </w:tcPr>
          <w:p w14:paraId="0BE77BA8" w14:textId="77777777" w:rsidR="00DA0E15" w:rsidRDefault="00DA0E15">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color w:val="FFFFFF" w:themeColor="background1"/>
                <w:sz w:val="20"/>
                <w:szCs w:val="20"/>
                <w:lang w:val="hy-AM"/>
              </w:rPr>
            </w:pPr>
          </w:p>
        </w:tc>
        <w:tc>
          <w:tcPr>
            <w:tcW w:w="1134" w:type="dxa"/>
            <w:shd w:val="clear" w:color="auto" w:fill="D9E2F3"/>
          </w:tcPr>
          <w:p w14:paraId="4A7F925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hy-AM"/>
              </w:rPr>
            </w:pPr>
            <w:r>
              <w:rPr>
                <w:rFonts w:cs="Times New Roman"/>
                <w:b/>
                <w:bCs/>
                <w:sz w:val="20"/>
                <w:szCs w:val="20"/>
                <w:lang w:val="hy-AM"/>
              </w:rPr>
              <w:t>Մինչև COVID 19</w:t>
            </w:r>
          </w:p>
        </w:tc>
        <w:tc>
          <w:tcPr>
            <w:tcW w:w="1703" w:type="dxa"/>
            <w:shd w:val="clear" w:color="auto" w:fill="D9E2F3"/>
          </w:tcPr>
          <w:p w14:paraId="1B1E7AF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b/>
                <w:bCs/>
                <w:sz w:val="20"/>
                <w:szCs w:val="20"/>
                <w:lang w:val="hy-AM"/>
              </w:rPr>
            </w:pPr>
            <w:r>
              <w:rPr>
                <w:rFonts w:cs="Times New Roman"/>
                <w:b/>
                <w:bCs/>
                <w:sz w:val="20"/>
                <w:szCs w:val="20"/>
                <w:lang w:val="hy-AM"/>
              </w:rPr>
              <w:t xml:space="preserve">COVID-19 ի պայմաններում </w:t>
            </w:r>
          </w:p>
        </w:tc>
      </w:tr>
      <w:tr w:rsidR="00DA0E15" w14:paraId="6D1F7707" w14:textId="77777777" w:rsidTr="00146C6E">
        <w:trPr>
          <w:trHeight w:val="457"/>
        </w:trPr>
        <w:tc>
          <w:tcPr>
            <w:cnfStyle w:val="001000000000" w:firstRow="0" w:lastRow="0" w:firstColumn="1" w:lastColumn="0" w:oddVBand="0" w:evenVBand="0" w:oddHBand="0" w:evenHBand="0" w:firstRowFirstColumn="0" w:firstRowLastColumn="0" w:lastRowFirstColumn="0" w:lastRowLastColumn="0"/>
            <w:tcW w:w="3227" w:type="dxa"/>
            <w:vAlign w:val="center"/>
          </w:tcPr>
          <w:p w14:paraId="504280D8" w14:textId="77777777" w:rsidR="00DA0E15" w:rsidRDefault="00362131">
            <w:pPr>
              <w:spacing w:before="0" w:after="0" w:line="240" w:lineRule="auto"/>
              <w:ind w:firstLine="0"/>
              <w:jc w:val="left"/>
              <w:rPr>
                <w:sz w:val="18"/>
                <w:szCs w:val="18"/>
              </w:rPr>
            </w:pPr>
            <w:r>
              <w:rPr>
                <w:b w:val="0"/>
                <w:bCs w:val="0"/>
                <w:sz w:val="18"/>
                <w:szCs w:val="18"/>
              </w:rPr>
              <w:t>«Հարավկովկասյան երկաթուղի» ՓԲԸ</w:t>
            </w:r>
          </w:p>
        </w:tc>
        <w:tc>
          <w:tcPr>
            <w:tcW w:w="2268" w:type="dxa"/>
            <w:vAlign w:val="center"/>
          </w:tcPr>
          <w:p w14:paraId="2255BE0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 xml:space="preserve">Տրանսպորտ </w:t>
            </w:r>
          </w:p>
        </w:tc>
        <w:tc>
          <w:tcPr>
            <w:tcW w:w="1134" w:type="dxa"/>
            <w:vAlign w:val="center"/>
          </w:tcPr>
          <w:p w14:paraId="4E66F68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2008թ.</w:t>
            </w:r>
          </w:p>
        </w:tc>
        <w:tc>
          <w:tcPr>
            <w:tcW w:w="992" w:type="dxa"/>
            <w:vAlign w:val="center"/>
          </w:tcPr>
          <w:p w14:paraId="5F0D059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2038թ.</w:t>
            </w:r>
          </w:p>
        </w:tc>
        <w:tc>
          <w:tcPr>
            <w:tcW w:w="1134" w:type="dxa"/>
            <w:vAlign w:val="center"/>
          </w:tcPr>
          <w:p w14:paraId="119C5C8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Միջին</w:t>
            </w:r>
          </w:p>
        </w:tc>
        <w:tc>
          <w:tcPr>
            <w:tcW w:w="1703" w:type="dxa"/>
            <w:vAlign w:val="center"/>
          </w:tcPr>
          <w:p w14:paraId="3697803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Նշանակալի</w:t>
            </w:r>
          </w:p>
        </w:tc>
      </w:tr>
      <w:tr w:rsidR="00DA0E15" w14:paraId="0FBCCBD6" w14:textId="77777777" w:rsidTr="00146C6E">
        <w:trPr>
          <w:trHeight w:val="531"/>
        </w:trPr>
        <w:tc>
          <w:tcPr>
            <w:cnfStyle w:val="001000000000" w:firstRow="0" w:lastRow="0" w:firstColumn="1" w:lastColumn="0" w:oddVBand="0" w:evenVBand="0" w:oddHBand="0" w:evenHBand="0" w:firstRowFirstColumn="0" w:firstRowLastColumn="0" w:lastRowFirstColumn="0" w:lastRowLastColumn="0"/>
            <w:tcW w:w="3227" w:type="dxa"/>
            <w:shd w:val="clear" w:color="auto" w:fill="D9E2F3"/>
            <w:vAlign w:val="center"/>
          </w:tcPr>
          <w:p w14:paraId="6B2643B2" w14:textId="77777777" w:rsidR="00DA0E15" w:rsidRDefault="00362131">
            <w:pPr>
              <w:spacing w:before="0" w:after="0" w:line="240" w:lineRule="auto"/>
              <w:ind w:firstLine="0"/>
              <w:jc w:val="left"/>
              <w:rPr>
                <w:sz w:val="18"/>
                <w:szCs w:val="18"/>
              </w:rPr>
            </w:pPr>
            <w:r>
              <w:rPr>
                <w:b w:val="0"/>
                <w:bCs w:val="0"/>
                <w:sz w:val="18"/>
                <w:szCs w:val="18"/>
              </w:rPr>
              <w:t>«Վեոլիա Ջուր» ՓԲԸ</w:t>
            </w:r>
          </w:p>
        </w:tc>
        <w:tc>
          <w:tcPr>
            <w:tcW w:w="2268" w:type="dxa"/>
            <w:shd w:val="clear" w:color="auto" w:fill="D9E2F3"/>
            <w:vAlign w:val="center"/>
          </w:tcPr>
          <w:p w14:paraId="3600031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Ջրամատակարարում և կեղտաջրերի հեռացում</w:t>
            </w:r>
          </w:p>
        </w:tc>
        <w:tc>
          <w:tcPr>
            <w:tcW w:w="1134" w:type="dxa"/>
            <w:shd w:val="clear" w:color="auto" w:fill="D9E2F3"/>
            <w:vAlign w:val="center"/>
          </w:tcPr>
          <w:p w14:paraId="39846EB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2016թ.</w:t>
            </w:r>
          </w:p>
        </w:tc>
        <w:tc>
          <w:tcPr>
            <w:tcW w:w="992" w:type="dxa"/>
            <w:shd w:val="clear" w:color="auto" w:fill="D9E2F3"/>
            <w:vAlign w:val="center"/>
          </w:tcPr>
          <w:p w14:paraId="2897392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2031թ.</w:t>
            </w:r>
          </w:p>
        </w:tc>
        <w:tc>
          <w:tcPr>
            <w:tcW w:w="1134" w:type="dxa"/>
            <w:shd w:val="clear" w:color="auto" w:fill="D9E2F3"/>
            <w:vAlign w:val="center"/>
          </w:tcPr>
          <w:p w14:paraId="4C7806C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Միջին</w:t>
            </w:r>
          </w:p>
        </w:tc>
        <w:tc>
          <w:tcPr>
            <w:tcW w:w="1703" w:type="dxa"/>
            <w:shd w:val="clear" w:color="auto" w:fill="D9E2F3"/>
            <w:vAlign w:val="center"/>
          </w:tcPr>
          <w:p w14:paraId="33A9AF7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Նշանակալի</w:t>
            </w:r>
          </w:p>
        </w:tc>
      </w:tr>
      <w:tr w:rsidR="00DA0E15" w14:paraId="3680A81E" w14:textId="77777777" w:rsidTr="00146C6E">
        <w:trPr>
          <w:trHeight w:val="244"/>
        </w:trPr>
        <w:tc>
          <w:tcPr>
            <w:cnfStyle w:val="001000000000" w:firstRow="0" w:lastRow="0" w:firstColumn="1" w:lastColumn="0" w:oddVBand="0" w:evenVBand="0" w:oddHBand="0" w:evenHBand="0" w:firstRowFirstColumn="0" w:firstRowLastColumn="0" w:lastRowFirstColumn="0" w:lastRowLastColumn="0"/>
            <w:tcW w:w="3227" w:type="dxa"/>
            <w:vAlign w:val="center"/>
          </w:tcPr>
          <w:p w14:paraId="58E48A49" w14:textId="77777777" w:rsidR="00DA0E15" w:rsidRDefault="00362131">
            <w:pPr>
              <w:spacing w:before="0" w:after="0" w:line="240" w:lineRule="auto"/>
              <w:ind w:firstLine="0"/>
              <w:jc w:val="left"/>
              <w:rPr>
                <w:sz w:val="18"/>
                <w:szCs w:val="18"/>
              </w:rPr>
            </w:pPr>
            <w:r>
              <w:rPr>
                <w:b w:val="0"/>
                <w:bCs w:val="0"/>
                <w:sz w:val="18"/>
                <w:szCs w:val="18"/>
              </w:rPr>
              <w:t>«Արմենիա միջազգային օդանավակայաններ» ՓԲԸ</w:t>
            </w:r>
          </w:p>
        </w:tc>
        <w:tc>
          <w:tcPr>
            <w:tcW w:w="2268" w:type="dxa"/>
            <w:vAlign w:val="center"/>
          </w:tcPr>
          <w:p w14:paraId="5299FF8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Տրանսպորտ</w:t>
            </w:r>
          </w:p>
        </w:tc>
        <w:tc>
          <w:tcPr>
            <w:tcW w:w="1134" w:type="dxa"/>
            <w:vAlign w:val="center"/>
          </w:tcPr>
          <w:p w14:paraId="78ED35F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2002թ.</w:t>
            </w:r>
          </w:p>
        </w:tc>
        <w:tc>
          <w:tcPr>
            <w:tcW w:w="992" w:type="dxa"/>
            <w:vAlign w:val="center"/>
          </w:tcPr>
          <w:p w14:paraId="3F3CF11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2032թ.</w:t>
            </w:r>
          </w:p>
        </w:tc>
        <w:tc>
          <w:tcPr>
            <w:tcW w:w="1134" w:type="dxa"/>
            <w:vAlign w:val="center"/>
          </w:tcPr>
          <w:p w14:paraId="1FFAED6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Ցածր</w:t>
            </w:r>
          </w:p>
        </w:tc>
        <w:tc>
          <w:tcPr>
            <w:tcW w:w="1703" w:type="dxa"/>
            <w:vAlign w:val="center"/>
          </w:tcPr>
          <w:p w14:paraId="7871882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Նշանակալի</w:t>
            </w:r>
          </w:p>
        </w:tc>
      </w:tr>
      <w:tr w:rsidR="00DA0E15" w14:paraId="04D209C6" w14:textId="77777777" w:rsidTr="00146C6E">
        <w:trPr>
          <w:trHeight w:val="791"/>
        </w:trPr>
        <w:tc>
          <w:tcPr>
            <w:cnfStyle w:val="001000000000" w:firstRow="0" w:lastRow="0" w:firstColumn="1" w:lastColumn="0" w:oddVBand="0" w:evenVBand="0" w:oddHBand="0" w:evenHBand="0" w:firstRowFirstColumn="0" w:firstRowLastColumn="0" w:lastRowFirstColumn="0" w:lastRowLastColumn="0"/>
            <w:tcW w:w="3227" w:type="dxa"/>
            <w:shd w:val="clear" w:color="auto" w:fill="D9E2F3"/>
            <w:vAlign w:val="center"/>
          </w:tcPr>
          <w:p w14:paraId="00BE550E" w14:textId="77777777" w:rsidR="00DA0E15" w:rsidRDefault="00362131">
            <w:pPr>
              <w:spacing w:before="0" w:after="0" w:line="240" w:lineRule="auto"/>
              <w:ind w:firstLine="0"/>
              <w:jc w:val="left"/>
              <w:rPr>
                <w:sz w:val="18"/>
                <w:szCs w:val="18"/>
              </w:rPr>
            </w:pPr>
            <w:r>
              <w:rPr>
                <w:b w:val="0"/>
                <w:bCs w:val="0"/>
                <w:sz w:val="18"/>
                <w:szCs w:val="18"/>
              </w:rPr>
              <w:t>«Քոնթուր Գլոբալ հիդրո կասկադ»  ՓԲԸ (Որոտան ՀԷԿ), ԷԳՊ</w:t>
            </w:r>
          </w:p>
        </w:tc>
        <w:tc>
          <w:tcPr>
            <w:tcW w:w="2268" w:type="dxa"/>
            <w:shd w:val="clear" w:color="auto" w:fill="D9E2F3"/>
            <w:vAlign w:val="center"/>
          </w:tcPr>
          <w:p w14:paraId="20D1988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Էներգետիկա</w:t>
            </w:r>
          </w:p>
        </w:tc>
        <w:tc>
          <w:tcPr>
            <w:tcW w:w="1134" w:type="dxa"/>
            <w:shd w:val="clear" w:color="auto" w:fill="D9E2F3"/>
            <w:vAlign w:val="center"/>
          </w:tcPr>
          <w:p w14:paraId="23D4835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2016թ.*</w:t>
            </w:r>
          </w:p>
        </w:tc>
        <w:tc>
          <w:tcPr>
            <w:tcW w:w="992" w:type="dxa"/>
            <w:shd w:val="clear" w:color="auto" w:fill="D9E2F3"/>
            <w:vAlign w:val="center"/>
          </w:tcPr>
          <w:p w14:paraId="2ABEF32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2038թ.</w:t>
            </w:r>
          </w:p>
        </w:tc>
        <w:tc>
          <w:tcPr>
            <w:tcW w:w="1134" w:type="dxa"/>
            <w:shd w:val="clear" w:color="auto" w:fill="D9E2F3"/>
            <w:vAlign w:val="center"/>
          </w:tcPr>
          <w:p w14:paraId="7A835295"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Միջին</w:t>
            </w:r>
          </w:p>
        </w:tc>
        <w:tc>
          <w:tcPr>
            <w:tcW w:w="1703" w:type="dxa"/>
            <w:shd w:val="clear" w:color="auto" w:fill="D9E2F3"/>
            <w:vAlign w:val="center"/>
          </w:tcPr>
          <w:p w14:paraId="1B0408C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Նշանակալի</w:t>
            </w:r>
          </w:p>
        </w:tc>
      </w:tr>
      <w:tr w:rsidR="00DA0E15" w14:paraId="44FA5378" w14:textId="77777777" w:rsidTr="00146C6E">
        <w:trPr>
          <w:trHeight w:val="415"/>
        </w:trPr>
        <w:tc>
          <w:tcPr>
            <w:cnfStyle w:val="001000000000" w:firstRow="0" w:lastRow="0" w:firstColumn="1" w:lastColumn="0" w:oddVBand="0" w:evenVBand="0" w:oddHBand="0" w:evenHBand="0" w:firstRowFirstColumn="0" w:firstRowLastColumn="0" w:lastRowFirstColumn="0" w:lastRowLastColumn="0"/>
            <w:tcW w:w="3227" w:type="dxa"/>
            <w:vAlign w:val="center"/>
          </w:tcPr>
          <w:p w14:paraId="08CDA2FC" w14:textId="77777777" w:rsidR="00DA0E15" w:rsidRDefault="00362131">
            <w:pPr>
              <w:spacing w:before="0" w:after="0" w:line="240" w:lineRule="auto"/>
              <w:ind w:firstLine="0"/>
              <w:jc w:val="left"/>
              <w:rPr>
                <w:sz w:val="18"/>
                <w:szCs w:val="18"/>
              </w:rPr>
            </w:pPr>
            <w:r>
              <w:rPr>
                <w:b w:val="0"/>
                <w:bCs w:val="0"/>
                <w:sz w:val="18"/>
                <w:szCs w:val="18"/>
              </w:rPr>
              <w:t>«Արմփաուեր» ՓԲԸ, ԷԳՊ</w:t>
            </w:r>
          </w:p>
        </w:tc>
        <w:tc>
          <w:tcPr>
            <w:tcW w:w="2268" w:type="dxa"/>
            <w:vAlign w:val="center"/>
          </w:tcPr>
          <w:p w14:paraId="53F25DE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Էներգետիկա</w:t>
            </w:r>
          </w:p>
        </w:tc>
        <w:tc>
          <w:tcPr>
            <w:tcW w:w="1134" w:type="dxa"/>
            <w:vAlign w:val="center"/>
          </w:tcPr>
          <w:p w14:paraId="14098E9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2019թ.*</w:t>
            </w:r>
          </w:p>
        </w:tc>
        <w:tc>
          <w:tcPr>
            <w:tcW w:w="992" w:type="dxa"/>
            <w:vAlign w:val="center"/>
          </w:tcPr>
          <w:p w14:paraId="4DB0BDC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2041թ.</w:t>
            </w:r>
          </w:p>
        </w:tc>
        <w:tc>
          <w:tcPr>
            <w:tcW w:w="1134" w:type="dxa"/>
            <w:vAlign w:val="center"/>
          </w:tcPr>
          <w:p w14:paraId="106D639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Ցածր</w:t>
            </w:r>
          </w:p>
        </w:tc>
        <w:tc>
          <w:tcPr>
            <w:tcW w:w="1703" w:type="dxa"/>
            <w:vAlign w:val="center"/>
          </w:tcPr>
          <w:p w14:paraId="4F929210"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Միջին</w:t>
            </w:r>
          </w:p>
        </w:tc>
      </w:tr>
      <w:tr w:rsidR="00DA0E15" w14:paraId="2C4AF820" w14:textId="77777777" w:rsidTr="00146C6E">
        <w:trPr>
          <w:trHeight w:val="647"/>
        </w:trPr>
        <w:tc>
          <w:tcPr>
            <w:cnfStyle w:val="001000000000" w:firstRow="0" w:lastRow="0" w:firstColumn="1" w:lastColumn="0" w:oddVBand="0" w:evenVBand="0" w:oddHBand="0" w:evenHBand="0" w:firstRowFirstColumn="0" w:firstRowLastColumn="0" w:lastRowFirstColumn="0" w:lastRowLastColumn="0"/>
            <w:tcW w:w="3227" w:type="dxa"/>
            <w:shd w:val="clear" w:color="auto" w:fill="D9E2F3"/>
            <w:vAlign w:val="center"/>
          </w:tcPr>
          <w:p w14:paraId="5260EC66" w14:textId="77777777" w:rsidR="00DA0E15" w:rsidRDefault="00362131">
            <w:pPr>
              <w:spacing w:before="0" w:after="0" w:line="240" w:lineRule="auto"/>
              <w:ind w:firstLine="0"/>
              <w:jc w:val="left"/>
              <w:rPr>
                <w:sz w:val="18"/>
                <w:szCs w:val="18"/>
                <w:lang w:val="hy-AM"/>
              </w:rPr>
            </w:pPr>
            <w:r>
              <w:rPr>
                <w:b w:val="0"/>
                <w:bCs w:val="0"/>
                <w:sz w:val="18"/>
                <w:szCs w:val="18"/>
                <w:lang w:val="hy-AM"/>
              </w:rPr>
              <w:t>«Էֆարվի Մասրիկ» ՓԲԸ, Մասրիկ-1 արևային ֆոտովոլտային էլեկտրակայան, ԷԳՊ</w:t>
            </w:r>
          </w:p>
        </w:tc>
        <w:tc>
          <w:tcPr>
            <w:tcW w:w="2268" w:type="dxa"/>
            <w:shd w:val="clear" w:color="auto" w:fill="D9E2F3"/>
            <w:vAlign w:val="center"/>
          </w:tcPr>
          <w:p w14:paraId="6B59DBA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Էներգետիկա</w:t>
            </w:r>
          </w:p>
        </w:tc>
        <w:tc>
          <w:tcPr>
            <w:tcW w:w="1134" w:type="dxa"/>
            <w:shd w:val="clear" w:color="auto" w:fill="D9E2F3"/>
            <w:vAlign w:val="center"/>
          </w:tcPr>
          <w:p w14:paraId="714D2E6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2021թ.*</w:t>
            </w:r>
          </w:p>
        </w:tc>
        <w:tc>
          <w:tcPr>
            <w:tcW w:w="992" w:type="dxa"/>
            <w:shd w:val="clear" w:color="auto" w:fill="D9E2F3"/>
            <w:vAlign w:val="center"/>
          </w:tcPr>
          <w:p w14:paraId="38FAD67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2041թ.</w:t>
            </w:r>
          </w:p>
        </w:tc>
        <w:tc>
          <w:tcPr>
            <w:tcW w:w="1134" w:type="dxa"/>
            <w:shd w:val="clear" w:color="auto" w:fill="D9E2F3"/>
            <w:vAlign w:val="center"/>
          </w:tcPr>
          <w:p w14:paraId="0A01E54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Ցածր</w:t>
            </w:r>
          </w:p>
        </w:tc>
        <w:tc>
          <w:tcPr>
            <w:tcW w:w="1703" w:type="dxa"/>
            <w:shd w:val="clear" w:color="auto" w:fill="D9E2F3"/>
            <w:vAlign w:val="center"/>
          </w:tcPr>
          <w:p w14:paraId="05C6878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18"/>
                <w:szCs w:val="18"/>
                <w:lang w:val="hy-AM"/>
              </w:rPr>
            </w:pPr>
            <w:r>
              <w:rPr>
                <w:rFonts w:cs="Times New Roman"/>
                <w:sz w:val="18"/>
                <w:szCs w:val="18"/>
                <w:lang w:val="hy-AM"/>
              </w:rPr>
              <w:t>Միջին</w:t>
            </w:r>
          </w:p>
        </w:tc>
      </w:tr>
    </w:tbl>
    <w:p w14:paraId="531DBD8A" w14:textId="77777777" w:rsidR="00DA0E15" w:rsidRDefault="00362131">
      <w:pPr>
        <w:spacing w:before="0" w:after="0" w:line="240" w:lineRule="auto"/>
        <w:ind w:firstLine="720"/>
        <w:rPr>
          <w:rFonts w:eastAsia="Calibri" w:cs="Times New Roman"/>
          <w:sz w:val="16"/>
          <w:szCs w:val="16"/>
          <w:lang w:val="hy-AM"/>
        </w:rPr>
      </w:pPr>
      <w:r>
        <w:rPr>
          <w:rFonts w:eastAsia="Calibri" w:cs="Times New Roman"/>
          <w:sz w:val="16"/>
          <w:szCs w:val="16"/>
          <w:lang w:val="hy-AM"/>
        </w:rPr>
        <w:t xml:space="preserve">*գործարքի ֆինանսական պայմանների բավարարման </w:t>
      </w:r>
      <w:r>
        <w:rPr>
          <w:rFonts w:eastAsia="Calibri" w:cs="Times New Roman"/>
          <w:sz w:val="16"/>
          <w:szCs w:val="16"/>
          <w:lang w:val="ru-RU"/>
        </w:rPr>
        <w:t>տարի</w:t>
      </w:r>
      <w:r>
        <w:rPr>
          <w:rFonts w:eastAsia="Calibri" w:cs="Times New Roman"/>
          <w:sz w:val="16"/>
          <w:szCs w:val="16"/>
          <w:lang w:val="hy-AM"/>
        </w:rPr>
        <w:t>. ԷԳՊ պայմանագրերի փաստացի տևողությունը կազմում է մինչև 25 տարի՝ սկսած ստորագրման տարվանից:</w:t>
      </w:r>
    </w:p>
    <w:p w14:paraId="36FD2FC6" w14:textId="77777777" w:rsidR="00DA0E15" w:rsidRDefault="00DA0E15">
      <w:pPr>
        <w:spacing w:before="0" w:after="0" w:line="240" w:lineRule="auto"/>
        <w:ind w:firstLine="720"/>
        <w:rPr>
          <w:rFonts w:eastAsia="Calibri" w:cs="Times New Roman"/>
          <w:sz w:val="16"/>
          <w:szCs w:val="16"/>
          <w:lang w:val="hy-AM"/>
        </w:rPr>
      </w:pPr>
    </w:p>
    <w:p w14:paraId="2A1E9433" w14:textId="77777777" w:rsidR="00DA0E15" w:rsidRDefault="00362131">
      <w:pPr>
        <w:spacing w:before="0" w:after="0" w:line="276" w:lineRule="auto"/>
        <w:ind w:firstLine="230"/>
        <w:rPr>
          <w:rFonts w:eastAsia="Times New Roman" w:cs="Times New Roman"/>
          <w:color w:val="000000"/>
          <w:lang w:val="hy-AM" w:eastAsia="ru-RU"/>
        </w:rPr>
      </w:pPr>
      <w:r>
        <w:rPr>
          <w:rFonts w:eastAsia="Times New Roman" w:cs="Times New Roman"/>
          <w:color w:val="000000"/>
          <w:lang w:val="hy-AM" w:eastAsia="ru-RU"/>
        </w:rPr>
        <w:t xml:space="preserve">ՊՄԳ պայմանագրերի վերլուծության արդյունքում նյութականացման ռիսկը մինչև COVID 19-ի ի հայտ գալը եղել է միջին կամ ցածր, սակայն COVID 19-ի ճգնաժամի հետևանքով ռիսկի աստիճանը բարձրացել է ՊՄԳ բոլոր պայմանագրերի համար, հաշվի առնելով, որ ճգնաժամը տարբեր ազդեցություններ է ունենում ընկերությունների դրամական հոսքերի վրա, ինչն իր հերթին մեծացնում է պայմանագրի վերաբանակցման (պայմանագրերում անհաղթահարելի ուժի ազդեցության և տնտեսական հավասարակշռության վերաբերյալ դրույթների հետևանքով) կամ պայմանագրի վաղաժամ դադարեցման (ԷԳՊ դեպքում՝ վաղաժամ հետ գնման) ռիսկերը։ Շինարարության փուլում գտնվող ծրագրերի («Արմփաուեր» ՓԲԸ և «Էֆարվի Մասրիկ» ՓԲԸ) պարագայում ճգնաժամը հանգեցրել է էական ուշացումների, ինչն իր հերթին կարող է բարձրացնել էական գերածախսեր ունենալու ռիսկը: </w:t>
      </w:r>
    </w:p>
    <w:p w14:paraId="72283720" w14:textId="77777777" w:rsidR="00DA0E15" w:rsidRDefault="00362131">
      <w:pPr>
        <w:spacing w:before="240" w:after="240" w:line="276" w:lineRule="auto"/>
        <w:ind w:firstLine="432"/>
        <w:jc w:val="center"/>
        <w:rPr>
          <w:rFonts w:eastAsia="Times New Roman" w:cs="Times New Roman"/>
          <w:b/>
          <w:bCs/>
          <w:lang w:val="hy-AM" w:eastAsia="ru-RU"/>
        </w:rPr>
      </w:pPr>
      <w:bookmarkStart w:id="697" w:name="_Toc59655558"/>
      <w:r>
        <w:rPr>
          <w:rFonts w:eastAsia="Times New Roman" w:cs="Times New Roman"/>
          <w:b/>
          <w:bCs/>
          <w:lang w:val="hy-AM" w:eastAsia="ru-RU"/>
        </w:rPr>
        <w:t>«Հարավկովկասյան երկաթուղի» ՓԲԸ</w:t>
      </w:r>
      <w:bookmarkEnd w:id="697"/>
    </w:p>
    <w:p w14:paraId="0BD7B539" w14:textId="77777777" w:rsidR="00DA0E15" w:rsidRDefault="00362131">
      <w:pPr>
        <w:spacing w:before="0" w:after="0" w:line="276" w:lineRule="auto"/>
        <w:ind w:firstLine="230"/>
        <w:rPr>
          <w:rFonts w:eastAsia="Times New Roman" w:cs="Times New Roman"/>
          <w:color w:val="000000"/>
          <w:lang w:val="hy-AM" w:eastAsia="ru-RU"/>
        </w:rPr>
      </w:pPr>
      <w:r>
        <w:rPr>
          <w:rFonts w:eastAsia="Times New Roman" w:cs="Times New Roman"/>
          <w:color w:val="000000"/>
          <w:lang w:val="hy-AM" w:eastAsia="ru-RU"/>
        </w:rPr>
        <w:t>ՀՀ կառավարության 07.02.2008թ. N83-Ա որոշման հիման վրա Հայաստանի Հանրապետության, «Հարավկովկասյան երկաթուղի» ՓԲԸ-ի և «Ռուսական երկաթուղիներ» ԲԲԸ-ի միջև 13.02.2008թ. կնքվել է «Հայկական երկաթուղու համակարգը «Ռուսական երկաթուղիներ» ԲԲԸ կողմից ստեղծված «Հարավկովկասյան երկաթուղի» ՓԲԸ փոխանցելու մասին» կոնցեսիոն պայմանագիրը:</w:t>
      </w:r>
    </w:p>
    <w:p w14:paraId="6D500314" w14:textId="77777777" w:rsidR="00DA0E15" w:rsidRDefault="00362131">
      <w:pPr>
        <w:spacing w:before="0" w:after="0" w:line="276" w:lineRule="auto"/>
        <w:ind w:firstLine="230"/>
        <w:rPr>
          <w:rFonts w:eastAsia="Times New Roman" w:cs="Times New Roman"/>
          <w:color w:val="000000"/>
          <w:lang w:val="hy-AM" w:eastAsia="ru-RU"/>
        </w:rPr>
      </w:pPr>
      <w:r>
        <w:rPr>
          <w:rFonts w:eastAsia="Times New Roman" w:cs="Times New Roman"/>
          <w:color w:val="000000"/>
          <w:lang w:val="hy-AM" w:eastAsia="ru-RU"/>
        </w:rPr>
        <w:t>Ծառայությունների ծավալները և երթուղիները համաձայնեցվում են յուրաքանչյուր տարի՝ հաջորդող տարվա համար, հետևաբար պայմանագրի ֆինանսական տարբեր բաղադրիչների ապագա մակարդակները բարդ է կանխատեսել:</w:t>
      </w:r>
    </w:p>
    <w:p w14:paraId="3192F906" w14:textId="77777777" w:rsidR="00DA0E15" w:rsidRDefault="00362131">
      <w:pPr>
        <w:spacing w:before="0" w:after="0" w:line="276" w:lineRule="auto"/>
        <w:ind w:firstLine="230"/>
        <w:rPr>
          <w:rFonts w:eastAsia="Times New Roman" w:cs="Times New Roman"/>
          <w:color w:val="000000"/>
          <w:lang w:val="hy-AM" w:eastAsia="ru-RU"/>
        </w:rPr>
      </w:pPr>
      <w:r>
        <w:rPr>
          <w:rFonts w:eastAsia="Times New Roman" w:cs="Times New Roman"/>
          <w:color w:val="000000"/>
          <w:lang w:val="hy-AM" w:eastAsia="ru-RU"/>
        </w:rPr>
        <w:t>Կոնցեսիոն պայմանագիրը ներառում է վնասի սուբսիդավորում ուղևորափոխադրման ոչ շահութաբեր ուղղությունների համար, ինչն էլ նյութականացել է յուրաքանչյուր տարի: Սակայն վճարման ենթակա գումարների առավելագույն չափը սահմանափակվում է կոնցեսիոների կողմից վճարման ենթակա տարեկան կոնցեսիոն վճարի չափով: Համաձայն առկա պատմական տեղեկատվության, կոնցեսիոն պայմանագրի սկզբից ի վեր որևէ այլ պայմանական պարտավորության նյութականացում տեղի չի ունեցել, նույնիսկ՝ COVID 19-ի ճգնաժամի մեկնարկից հետո:</w:t>
      </w:r>
    </w:p>
    <w:p w14:paraId="6E681E3D" w14:textId="77777777" w:rsidR="00DA0E15" w:rsidRDefault="00362131">
      <w:pPr>
        <w:spacing w:before="0" w:after="0" w:line="276" w:lineRule="auto"/>
        <w:ind w:firstLine="230"/>
        <w:rPr>
          <w:rFonts w:eastAsia="Times New Roman" w:cs="Times New Roman"/>
          <w:color w:val="000000"/>
          <w:lang w:val="hy-AM" w:eastAsia="ru-RU"/>
        </w:rPr>
      </w:pPr>
      <w:r>
        <w:rPr>
          <w:rFonts w:eastAsia="Times New Roman" w:cs="Times New Roman"/>
          <w:color w:val="000000"/>
          <w:lang w:val="hy-AM" w:eastAsia="ru-RU"/>
        </w:rPr>
        <w:t>Կոնցեսիոն պայմանագիրը նախատեսում է նաև փոխհատուցումներ մի շարք դեպքերում, որոնց նյութականացման ռիսկի հավանականությունն ավելանում է՝ պայմանավորված համավարակի հետ կապված ճգնաժամով։ Այդպիսի դեպքերից են՝</w:t>
      </w:r>
    </w:p>
    <w:p w14:paraId="2B5CF9CE" w14:textId="77777777" w:rsidR="00DA0E15" w:rsidRDefault="00362131" w:rsidP="00C0628C">
      <w:pPr>
        <w:numPr>
          <w:ilvl w:val="0"/>
          <w:numId w:val="29"/>
        </w:numPr>
        <w:spacing w:before="0" w:after="0" w:line="276" w:lineRule="auto"/>
        <w:ind w:left="187" w:firstLine="263"/>
        <w:contextualSpacing/>
        <w:jc w:val="left"/>
        <w:rPr>
          <w:rFonts w:eastAsia="Calibri" w:cs="Times New Roman"/>
          <w:b/>
          <w:color w:val="000000"/>
          <w:lang w:val="hy-AM"/>
        </w:rPr>
      </w:pPr>
      <w:r>
        <w:rPr>
          <w:rFonts w:eastAsia="Calibri" w:cs="Sylfaen"/>
          <w:color w:val="000000"/>
          <w:lang w:val="hy-AM"/>
        </w:rPr>
        <w:t>Օրենսդրության</w:t>
      </w:r>
      <w:r>
        <w:rPr>
          <w:rFonts w:eastAsia="Calibri" w:cs="Times New Roman"/>
          <w:color w:val="000000"/>
          <w:lang w:val="hy-AM"/>
        </w:rPr>
        <w:t xml:space="preserve"> անբարենպաստ փոփոխություն,</w:t>
      </w:r>
    </w:p>
    <w:p w14:paraId="28E82031" w14:textId="77777777" w:rsidR="00DA0E15" w:rsidRDefault="00362131" w:rsidP="00C0628C">
      <w:pPr>
        <w:numPr>
          <w:ilvl w:val="0"/>
          <w:numId w:val="29"/>
        </w:numPr>
        <w:spacing w:before="0" w:after="0" w:line="276" w:lineRule="auto"/>
        <w:ind w:left="187" w:firstLine="263"/>
        <w:contextualSpacing/>
        <w:jc w:val="left"/>
        <w:rPr>
          <w:rFonts w:eastAsia="Calibri" w:cs="Times New Roman"/>
          <w:color w:val="000000"/>
          <w:lang w:val="hy-AM"/>
        </w:rPr>
      </w:pPr>
      <w:r>
        <w:rPr>
          <w:rFonts w:eastAsia="Calibri" w:cs="Sylfaen"/>
          <w:color w:val="000000"/>
          <w:lang w:val="hy-AM"/>
        </w:rPr>
        <w:t>Անհաղթահարելի</w:t>
      </w:r>
      <w:r>
        <w:rPr>
          <w:rFonts w:eastAsia="Calibri" w:cs="Times New Roman"/>
          <w:color w:val="000000"/>
          <w:lang w:val="hy-AM"/>
        </w:rPr>
        <w:t xml:space="preserve"> ուժի ազդեցության մեղմման ծախսեր,</w:t>
      </w:r>
    </w:p>
    <w:p w14:paraId="6C27AECC" w14:textId="77777777" w:rsidR="00DA0E15" w:rsidRDefault="00362131" w:rsidP="00C0628C">
      <w:pPr>
        <w:numPr>
          <w:ilvl w:val="0"/>
          <w:numId w:val="29"/>
        </w:numPr>
        <w:spacing w:before="0" w:after="0" w:line="276" w:lineRule="auto"/>
        <w:ind w:left="0" w:firstLine="450"/>
        <w:contextualSpacing/>
        <w:jc w:val="left"/>
        <w:rPr>
          <w:rFonts w:eastAsia="Calibri" w:cs="Times New Roman"/>
          <w:color w:val="000000"/>
          <w:lang w:val="hy-AM"/>
        </w:rPr>
      </w:pPr>
      <w:r>
        <w:rPr>
          <w:rFonts w:eastAsia="Calibri" w:cs="Sylfaen"/>
          <w:color w:val="000000"/>
          <w:lang w:val="hy-AM"/>
        </w:rPr>
        <w:t>Անհաղթահարելի</w:t>
      </w:r>
      <w:r>
        <w:rPr>
          <w:rFonts w:eastAsia="Calibri" w:cs="Times New Roman"/>
          <w:color w:val="000000"/>
          <w:lang w:val="hy-AM"/>
        </w:rPr>
        <w:t xml:space="preserve"> ուժի ազդեցության հետևանքով պայմանագրի վաղաժամ դադարեցման հետ կապված վճարումներ,</w:t>
      </w:r>
    </w:p>
    <w:p w14:paraId="4969AE63" w14:textId="77777777" w:rsidR="00DA0E15" w:rsidRDefault="00362131" w:rsidP="00C0628C">
      <w:pPr>
        <w:numPr>
          <w:ilvl w:val="0"/>
          <w:numId w:val="29"/>
        </w:numPr>
        <w:spacing w:before="0" w:after="0" w:line="276" w:lineRule="auto"/>
        <w:ind w:left="0" w:firstLine="450"/>
        <w:contextualSpacing/>
        <w:jc w:val="left"/>
        <w:rPr>
          <w:rFonts w:eastAsia="Calibri" w:cs="Times New Roman"/>
          <w:color w:val="000000"/>
          <w:lang w:val="hy-AM"/>
        </w:rPr>
      </w:pPr>
      <w:r>
        <w:rPr>
          <w:rFonts w:eastAsia="Calibri" w:cs="Sylfaen"/>
          <w:color w:val="000000"/>
          <w:lang w:val="hy-AM"/>
        </w:rPr>
        <w:t>Կոնցեդենտի</w:t>
      </w:r>
      <w:r>
        <w:rPr>
          <w:rFonts w:eastAsia="Calibri" w:cs="Times New Roman"/>
          <w:color w:val="000000"/>
          <w:lang w:val="hy-AM"/>
        </w:rPr>
        <w:t xml:space="preserve"> կողմից պարտավորությունների չկատարման հիմքով պայմանագրի վաղաժամ դադարեցման վճարներ, </w:t>
      </w:r>
    </w:p>
    <w:p w14:paraId="7653E38E" w14:textId="77777777" w:rsidR="00DA0E15" w:rsidRDefault="00362131" w:rsidP="00C0628C">
      <w:pPr>
        <w:numPr>
          <w:ilvl w:val="0"/>
          <w:numId w:val="29"/>
        </w:numPr>
        <w:spacing w:before="0" w:after="0" w:line="276" w:lineRule="auto"/>
        <w:ind w:left="0" w:firstLine="450"/>
        <w:contextualSpacing/>
        <w:jc w:val="left"/>
        <w:rPr>
          <w:rFonts w:eastAsia="Calibri" w:cs="Times New Roman"/>
          <w:color w:val="000000"/>
          <w:lang w:val="hy-AM"/>
        </w:rPr>
      </w:pPr>
      <w:r>
        <w:rPr>
          <w:rFonts w:eastAsia="Calibri" w:cs="Sylfaen"/>
          <w:color w:val="000000"/>
          <w:lang w:val="hy-AM"/>
        </w:rPr>
        <w:t>Փոխադարձ</w:t>
      </w:r>
      <w:r>
        <w:rPr>
          <w:rFonts w:eastAsia="Calibri" w:cs="Times New Roman"/>
          <w:color w:val="000000"/>
          <w:lang w:val="hy-AM"/>
        </w:rPr>
        <w:t xml:space="preserve"> համաձայնությամբ պայմանագրի վաղաժամ դադարեցման վճարներ:</w:t>
      </w:r>
    </w:p>
    <w:p w14:paraId="0B4DA564" w14:textId="77777777" w:rsidR="00DA0E15" w:rsidRDefault="00362131">
      <w:pPr>
        <w:spacing w:before="0" w:after="0" w:line="276" w:lineRule="auto"/>
        <w:ind w:firstLine="230"/>
        <w:rPr>
          <w:rFonts w:eastAsia="Times New Roman" w:cs="Times New Roman"/>
          <w:color w:val="000000"/>
          <w:lang w:val="hy-AM" w:eastAsia="ru-RU"/>
        </w:rPr>
      </w:pPr>
      <w:r>
        <w:rPr>
          <w:rFonts w:eastAsia="Times New Roman" w:cs="Times New Roman"/>
          <w:color w:val="000000"/>
          <w:lang w:val="hy-AM" w:eastAsia="ru-RU"/>
        </w:rPr>
        <w:t>Կոնցեսիոն պայմանագրի վաղաժամ դադարեցման մասով պայմանական պարտավորությունները հիմնականում չափելի են և դրանց առավելագույն ազդեցությունը վատագույն սցենարի դեպքում ներկայում գնահատվում է մոտ 100 մլրդ դրամ</w:t>
      </w:r>
      <w:r>
        <w:rPr>
          <w:rFonts w:eastAsia="Times New Roman" w:cs="Times New Roman"/>
          <w:color w:val="000000"/>
          <w:vertAlign w:val="superscript"/>
          <w:lang w:val="hy-AM" w:eastAsia="ru-RU"/>
        </w:rPr>
        <w:footnoteReference w:id="43"/>
      </w:r>
      <w:r>
        <w:rPr>
          <w:rFonts w:eastAsia="Times New Roman" w:cs="Times New Roman"/>
          <w:color w:val="000000"/>
          <w:lang w:val="hy-AM" w:eastAsia="ru-RU"/>
        </w:rPr>
        <w:t xml:space="preserve">, ընդ որում այդ հնարավոր գումարը կոնցեսիոն գործունեության ընթացքում աճում է՝ հաշվի առնելով պայմանագրի պայմանները: </w:t>
      </w:r>
    </w:p>
    <w:p w14:paraId="3CCEA8E6" w14:textId="77777777" w:rsidR="00DA0E15" w:rsidRDefault="00362131">
      <w:pPr>
        <w:spacing w:before="0" w:after="0" w:line="276" w:lineRule="auto"/>
        <w:ind w:firstLine="230"/>
        <w:rPr>
          <w:rFonts w:eastAsia="Times New Roman" w:cs="Times New Roman"/>
          <w:color w:val="000000"/>
          <w:lang w:val="hy-AM" w:eastAsia="ru-RU"/>
        </w:rPr>
      </w:pPr>
      <w:r>
        <w:rPr>
          <w:rFonts w:eastAsia="Times New Roman" w:cs="Times New Roman"/>
          <w:color w:val="000000"/>
          <w:lang w:val="hy-AM" w:eastAsia="ru-RU"/>
        </w:rPr>
        <w:t xml:space="preserve">Կոնցեսիոն պայմանագրի ֆիսկալ ռիսկայնության կարգավիճակը մինչև համավարակը գնահատվում էր միջին, իսկ համավարակի հետ կապված ճգնաժամով պայմանավորված՝ նշանակալի, չնայած նրան, որ ընկերությունը 2018թ. համեմատ 2019թ. կրկնապատկել է շահույթը, իսկ 2020թ. արձանագրել է նույնիսկ ավելի բարձր շահույթ՝ ի հեճուկս բեռնափոխադրման ծավալների աճի և այլ գործոնների (վնասաբեր ուղևորափոխադրման գործառնություններն էականորեն նվազել են 2020թ., իրականացվել է նաև ակտիվների վաճառք): </w:t>
      </w:r>
    </w:p>
    <w:p w14:paraId="5F32428A" w14:textId="77777777" w:rsidR="00DA0E15" w:rsidRDefault="00362131">
      <w:pPr>
        <w:spacing w:before="240" w:after="240" w:line="276" w:lineRule="auto"/>
        <w:ind w:firstLine="432"/>
        <w:jc w:val="center"/>
        <w:rPr>
          <w:rFonts w:eastAsia="Times New Roman" w:cs="Times New Roman"/>
          <w:b/>
          <w:bCs/>
          <w:lang w:val="hy-AM" w:eastAsia="ru-RU"/>
        </w:rPr>
      </w:pPr>
      <w:bookmarkStart w:id="698" w:name="_Toc59655561"/>
      <w:r>
        <w:rPr>
          <w:rFonts w:eastAsia="Times New Roman" w:cs="Times New Roman"/>
          <w:b/>
          <w:bCs/>
          <w:lang w:val="hy-AM" w:eastAsia="ru-RU"/>
        </w:rPr>
        <w:t>«Վեոլիա ջուր» ՓԲԸ</w:t>
      </w:r>
      <w:bookmarkEnd w:id="698"/>
    </w:p>
    <w:p w14:paraId="262F90CF" w14:textId="77777777" w:rsidR="00DA0E15" w:rsidRDefault="00362131">
      <w:pPr>
        <w:shd w:val="clear" w:color="auto" w:fill="FFFFFF"/>
        <w:spacing w:before="0" w:after="0" w:line="276" w:lineRule="auto"/>
        <w:ind w:right="144" w:firstLine="432"/>
        <w:rPr>
          <w:rFonts w:eastAsia="Calibri" w:cs="Times New Roman"/>
          <w:color w:val="000000"/>
          <w:lang w:val="hy-AM"/>
        </w:rPr>
      </w:pPr>
      <w:r>
        <w:rPr>
          <w:rFonts w:eastAsia="Calibri" w:cs="Times New Roman"/>
          <w:color w:val="000000"/>
          <w:lang w:val="hy-AM"/>
        </w:rPr>
        <w:t>21.11.2016թ. ՀՀ կառավարության և «Վեոլիա Օ Կոմպանի Ժեներալ Դեզ Օ» կոմանդիտային բաժնետիրական ընկերության և «Վեոլիա Ջուր» ՓԲԸ-ի (այսուհետ` Ընկերություն) միջև կնքվել է «Երևան Ջուր», «Հայջրմուղկոյուղի», «Լոռի-ջրմուղկոյուղի», «Շիրակ-ջրմուղկոյուղի» և «Նոր Ակունք» փակ բաժնետիրական ընկերությունների կողմից օգտագործվող ու պահպանվող ջրային համակարգերի և այլ գույքի վարձակալության պայմանագիր` 15 տարի ժամկետով (Վարձակալական պայմանագիր):</w:t>
      </w:r>
    </w:p>
    <w:p w14:paraId="09D32587" w14:textId="77777777" w:rsidR="00DA0E15" w:rsidRDefault="00362131">
      <w:pPr>
        <w:spacing w:before="0" w:after="0" w:line="276" w:lineRule="auto"/>
        <w:ind w:firstLine="227"/>
        <w:rPr>
          <w:rFonts w:eastAsia="Calibri" w:cs="Times New Roman"/>
          <w:lang w:val="hy-AM"/>
        </w:rPr>
      </w:pPr>
      <w:r>
        <w:rPr>
          <w:rFonts w:eastAsia="Calibri" w:cs="Times New Roman"/>
          <w:color w:val="000000"/>
          <w:lang w:val="hy-AM"/>
        </w:rPr>
        <w:t>Վարձակալական պայմանագրի շրջանակներում առկա են մի շարք նշանակալի պայմանական պարտավորություններ, այդ թվում.</w:t>
      </w:r>
    </w:p>
    <w:p w14:paraId="045354BC" w14:textId="77777777" w:rsidR="00DA0E15" w:rsidRDefault="00362131">
      <w:pPr>
        <w:spacing w:before="0" w:after="0" w:line="276" w:lineRule="auto"/>
        <w:ind w:firstLine="0"/>
        <w:rPr>
          <w:rFonts w:eastAsia="Calibri" w:cs="Times New Roman"/>
          <w:lang w:val="hy-AM"/>
        </w:rPr>
      </w:pPr>
      <w:r>
        <w:rPr>
          <w:rFonts w:eastAsia="Calibri" w:cs="Times New Roman"/>
          <w:lang w:val="hy-AM"/>
        </w:rPr>
        <w:t xml:space="preserve">- Վարձակալի կողմից պարտադիր կապիտալ աշխատանքների ծրագրի շրջանակից դուրս այլ աշխատանքների իրականացման դեպքում Վարձատուի կողմից համապատասխան գումարի փոխհատուցում, </w:t>
      </w:r>
    </w:p>
    <w:p w14:paraId="0BE6559D" w14:textId="77777777" w:rsidR="00DA0E15" w:rsidRDefault="00362131">
      <w:pPr>
        <w:spacing w:before="0" w:after="0" w:line="276" w:lineRule="auto"/>
        <w:ind w:firstLine="0"/>
        <w:rPr>
          <w:rFonts w:eastAsia="Calibri" w:cs="Times New Roman"/>
          <w:lang w:val="hy-AM"/>
        </w:rPr>
      </w:pPr>
      <w:r>
        <w:rPr>
          <w:rFonts w:eastAsia="Calibri" w:cs="Times New Roman"/>
          <w:lang w:val="hy-AM"/>
        </w:rPr>
        <w:t xml:space="preserve">- Բազային սակագնի երաշխիք, որն արդեն երկու անգամ կիրառվել է՝ ներառյալ վարձակալական վճարի կրճատում (արդեն երկու անգամ կիրառվել է), </w:t>
      </w:r>
    </w:p>
    <w:p w14:paraId="1E6F2D0C" w14:textId="77777777" w:rsidR="00DA0E15" w:rsidRDefault="00362131">
      <w:pPr>
        <w:spacing w:before="0" w:after="0" w:line="276" w:lineRule="auto"/>
        <w:ind w:firstLine="0"/>
        <w:rPr>
          <w:rFonts w:eastAsia="Calibri" w:cs="Times New Roman"/>
          <w:lang w:val="hy-AM"/>
        </w:rPr>
      </w:pPr>
      <w:r>
        <w:rPr>
          <w:rFonts w:eastAsia="Calibri" w:cs="Times New Roman"/>
          <w:lang w:val="hy-AM"/>
        </w:rPr>
        <w:t>- Վարձակալական պայմանագիրը պարունակում է վերաբանակցությունների և վաղաժամկետ դադարեցման բազմաթիվ դեպքեր։ Առաջիկայում Վարձակալական պայմանագրի վաղաժամկետ դադարեցման ռիսկը համարվել էր ցածր՝ առնվազն մինչև 2025թ., ինչը պայմանավորված էր մինչև կորոնավիրուսի համավարակն իրականացված՝ պայմանագրի վերաբանակցմամբ։ Պայմանագրի վաղաժամ դադարեցման գծով պայմանական պարտավորությունը մասնակի չափելի է և գնահատվել է 74.6 մլրդ դրամ՝ միջանկյալ սցենարի դեպքում, որտեղ նման վճարումը չի կարող գերազանցել ապագա ակնկալվող վարձակալական վճարների գումարը:</w:t>
      </w:r>
    </w:p>
    <w:p w14:paraId="2A1FE400" w14:textId="77777777" w:rsidR="00DA0E15" w:rsidRDefault="00362131">
      <w:pPr>
        <w:spacing w:before="0" w:after="0" w:line="276" w:lineRule="auto"/>
        <w:ind w:firstLine="227"/>
        <w:rPr>
          <w:rFonts w:eastAsia="Calibri" w:cs="Times New Roman"/>
          <w:lang w:val="hy-AM"/>
        </w:rPr>
      </w:pPr>
      <w:r>
        <w:rPr>
          <w:rFonts w:eastAsia="Calibri" w:cs="Times New Roman"/>
          <w:color w:val="000000"/>
          <w:lang w:val="hy-AM"/>
        </w:rPr>
        <w:t>«Վեոլիա Ջուր» ՓԲԸ-ն աջակցություն է ստացել մայր ընկերությունից, ինչը փոխհատուցում է սպառողների որոշ խմբերից հասույթի հավաքագրման վատթարացման հետևանքով դրամական հոսքերի կրճատման ռիսկը:</w:t>
      </w:r>
    </w:p>
    <w:p w14:paraId="247AA825" w14:textId="77777777" w:rsidR="00DA0E15" w:rsidRDefault="00362131">
      <w:pPr>
        <w:spacing w:before="0" w:after="0" w:line="276" w:lineRule="auto"/>
        <w:ind w:firstLine="227"/>
        <w:rPr>
          <w:rFonts w:eastAsia="Calibri" w:cs="Times New Roman"/>
          <w:lang w:val="hy-AM"/>
        </w:rPr>
      </w:pPr>
      <w:r>
        <w:rPr>
          <w:rFonts w:eastAsia="Calibri" w:cs="Times New Roman"/>
          <w:lang w:val="hy-AM"/>
        </w:rPr>
        <w:t xml:space="preserve">Մինչև COVID-19 համավարակը, Վարձակալական պայմանագրի գծով պայմանական պարտավորությունների ֆիսկալ ռիսկի </w:t>
      </w:r>
      <w:r>
        <w:rPr>
          <w:rFonts w:eastAsia="Calibri" w:cs="Times New Roman"/>
          <w:color w:val="000000"/>
          <w:lang w:val="hy-AM"/>
        </w:rPr>
        <w:t>կարգավիճակը</w:t>
      </w:r>
      <w:r>
        <w:rPr>
          <w:rFonts w:eastAsia="Calibri" w:cs="Times New Roman"/>
          <w:lang w:val="hy-AM"/>
        </w:rPr>
        <w:t xml:space="preserve"> գնահատվել է միջին, սակայն հաշվի առնելով թարմացված տեղեկատվությունը՝ հարկաբյուջետային ռիսկի կարգավիճակը ներկայում նշանակալի է։ </w:t>
      </w:r>
    </w:p>
    <w:p w14:paraId="10916C9C" w14:textId="77777777" w:rsidR="00DA0E15" w:rsidRDefault="00DA0E15">
      <w:pPr>
        <w:spacing w:before="0" w:after="0" w:line="240" w:lineRule="auto"/>
        <w:ind w:firstLine="230"/>
        <w:jc w:val="left"/>
        <w:rPr>
          <w:rFonts w:eastAsia="Calibri" w:cs="Times New Roman"/>
          <w:b/>
          <w:bCs/>
          <w:lang w:val="hy-AM"/>
        </w:rPr>
      </w:pPr>
    </w:p>
    <w:p w14:paraId="360055FE" w14:textId="77777777" w:rsidR="00DA0E15" w:rsidRDefault="00362131">
      <w:pPr>
        <w:spacing w:before="240" w:after="240" w:line="276" w:lineRule="auto"/>
        <w:ind w:firstLine="432"/>
        <w:jc w:val="center"/>
        <w:rPr>
          <w:rFonts w:eastAsia="Times New Roman" w:cs="Times New Roman"/>
          <w:b/>
          <w:bCs/>
          <w:lang w:val="hy-AM" w:eastAsia="ru-RU"/>
        </w:rPr>
      </w:pPr>
      <w:bookmarkStart w:id="699" w:name="_Toc59655564"/>
      <w:r>
        <w:rPr>
          <w:rFonts w:eastAsia="Times New Roman" w:cs="Times New Roman"/>
          <w:b/>
          <w:bCs/>
          <w:lang w:val="hy-AM" w:eastAsia="ru-RU"/>
        </w:rPr>
        <w:t>«Արմենիա Միջազգային Օդանավակայաններ» ՓԲԸ</w:t>
      </w:r>
      <w:bookmarkEnd w:id="699"/>
    </w:p>
    <w:p w14:paraId="45EFC964" w14:textId="77777777" w:rsidR="00DA0E15" w:rsidRDefault="00362131">
      <w:pPr>
        <w:shd w:val="clear" w:color="auto" w:fill="FFFFFF"/>
        <w:spacing w:before="0" w:after="0" w:line="276" w:lineRule="auto"/>
        <w:ind w:right="20" w:firstLine="230"/>
        <w:rPr>
          <w:rFonts w:eastAsia="Calibri" w:cs="Times New Roman"/>
          <w:lang w:val="hy-AM"/>
        </w:rPr>
      </w:pPr>
      <w:r>
        <w:rPr>
          <w:rFonts w:eastAsia="Calibri" w:cs="Times New Roman"/>
          <w:lang w:val="hy-AM"/>
        </w:rPr>
        <w:t>Կոնցեսիոն պայմանագիրը գործում է 2002թ-ից՝ Երևանի «Զվարթնոց» օդանավակայանի համար, իսկ 2007թ-ից ներառում է նաև Գյումրու «Շիրակ» օդանավակայանը: Մայր ընկերությունը աշխարհի օդանավակայանների խոշորագույն օպերատորներից է՝ «Կորպորասիոն Ամերիկա Ս.Ա.»  ընկերությունն, որը ցուցակված է Նյու Յորքի ֆոնդային բորսայում:</w:t>
      </w:r>
    </w:p>
    <w:p w14:paraId="1B0DCC2F" w14:textId="77777777" w:rsidR="00DA0E15" w:rsidRDefault="00362131">
      <w:pPr>
        <w:shd w:val="clear" w:color="auto" w:fill="FFFFFF"/>
        <w:spacing w:before="0" w:after="0" w:line="276" w:lineRule="auto"/>
        <w:ind w:right="20" w:firstLine="230"/>
        <w:rPr>
          <w:rFonts w:eastAsia="Calibri" w:cs="Times New Roman"/>
          <w:lang w:val="hy-AM"/>
        </w:rPr>
      </w:pPr>
      <w:r>
        <w:rPr>
          <w:rFonts w:eastAsia="Calibri" w:cs="Times New Roman"/>
          <w:lang w:val="hy-AM"/>
        </w:rPr>
        <w:t>Խումբը մինչև 2019 թվականը շահութաբերության բարձր ցուցանիշներ ուներ, իսկ ՀՀ-ի դուստր ձեռնարկությունը եղել է ամենաարդյունավետներից մեկը:</w:t>
      </w:r>
    </w:p>
    <w:p w14:paraId="7B5EEC28" w14:textId="77777777" w:rsidR="00DA0E15" w:rsidRDefault="00362131">
      <w:pPr>
        <w:shd w:val="clear" w:color="auto" w:fill="FFFFFF"/>
        <w:spacing w:before="0" w:after="0" w:line="276" w:lineRule="auto"/>
        <w:ind w:right="20" w:firstLine="230"/>
        <w:rPr>
          <w:rFonts w:eastAsia="Calibri" w:cs="Times New Roman"/>
          <w:lang w:val="hy-AM"/>
        </w:rPr>
      </w:pPr>
      <w:r>
        <w:rPr>
          <w:rFonts w:eastAsia="Calibri" w:cs="Times New Roman"/>
          <w:lang w:val="hy-AM"/>
        </w:rPr>
        <w:t>Պայմանագիրը Կոնցեսիոներին հնարավորություն է տալիս միակողմանիորեն երկարացնել կոնցեսիայի տևողությունը:</w:t>
      </w:r>
    </w:p>
    <w:p w14:paraId="0396A682" w14:textId="77777777" w:rsidR="00DA0E15" w:rsidRDefault="00362131">
      <w:pPr>
        <w:shd w:val="clear" w:color="auto" w:fill="FFFFFF"/>
        <w:spacing w:before="0" w:after="0" w:line="276" w:lineRule="auto"/>
        <w:ind w:right="20" w:firstLine="230"/>
        <w:rPr>
          <w:rFonts w:eastAsia="Calibri" w:cs="Times New Roman"/>
          <w:lang w:val="hy-AM"/>
        </w:rPr>
      </w:pPr>
      <w:r>
        <w:rPr>
          <w:rFonts w:eastAsia="Calibri" w:cs="Times New Roman"/>
          <w:lang w:val="hy-AM"/>
        </w:rPr>
        <w:t>Հաշվի առնելով ընկերության բարձր շահութաբերությունը՝ պայմանագրի վաղաժամ դադարեցման պայմանական պարտավորությունը և ընկերության բիզնես ռիսկը գնահատվել են ցածր։ Սակայն իրավիճակը փոխվել է պայմանավորված համավարակով, քանի որ աշխարհում օդանավակայանների ոլորտը ճգնաժամից առավել տուժածներից մեկն է:</w:t>
      </w:r>
    </w:p>
    <w:p w14:paraId="457E72F6" w14:textId="77777777" w:rsidR="00DA0E15" w:rsidRDefault="00362131">
      <w:pPr>
        <w:shd w:val="clear" w:color="auto" w:fill="FFFFFF"/>
        <w:spacing w:before="0" w:after="0" w:line="276" w:lineRule="auto"/>
        <w:ind w:right="20" w:firstLine="230"/>
        <w:rPr>
          <w:rFonts w:eastAsia="Calibri" w:cs="Times New Roman"/>
          <w:lang w:val="hy-AM"/>
        </w:rPr>
      </w:pPr>
      <w:r>
        <w:rPr>
          <w:rFonts w:eastAsia="Calibri" w:cs="Times New Roman"/>
          <w:lang w:val="hy-AM"/>
        </w:rPr>
        <w:t xml:space="preserve">Այս փաստը սկսեց արտացոլվել ընկերությունների խմբի կողմից հատկապես 2020թ. երկրորդ եռամսյակի համար հրապարակված ֆինանսական հաշվետվություններում: Ակնհայտ էր, որ </w:t>
      </w:r>
      <w:r>
        <w:rPr>
          <w:rFonts w:eastAsia="Calibri" w:cs="Times New Roman"/>
          <w:sz w:val="20"/>
          <w:szCs w:val="20"/>
          <w:lang w:val="hy-AM"/>
        </w:rPr>
        <w:t>ԱՄՕ</w:t>
      </w:r>
      <w:r>
        <w:rPr>
          <w:rFonts w:eastAsia="Calibri" w:cs="Times New Roman"/>
          <w:lang w:val="hy-AM"/>
        </w:rPr>
        <w:t xml:space="preserve"> ընկերությունը արագորեն սպառում է իր դրամական միջոցները և վերջիվերջո չի կարողանալու սպասարկել իր պարտքը: Ընկերությունը ստիպված եղավ հայցել </w:t>
      </w:r>
      <w:r>
        <w:rPr>
          <w:rFonts w:eastAsia="Times New Roman" w:cs="Times New Roman"/>
          <w:color w:val="222222"/>
          <w:lang w:val="hy-AM" w:eastAsia="es-PE"/>
        </w:rPr>
        <w:t>պայմանագրի ֆինանսական քովենանթի չեղարկում, որը բավարարվեց ֆինանսավորողի կողմից:</w:t>
      </w:r>
    </w:p>
    <w:p w14:paraId="1F0D27E1" w14:textId="77777777" w:rsidR="00DA0E15" w:rsidRDefault="00362131">
      <w:pPr>
        <w:shd w:val="clear" w:color="auto" w:fill="FFFFFF"/>
        <w:spacing w:before="0" w:after="0" w:line="276" w:lineRule="auto"/>
        <w:ind w:right="20" w:firstLine="230"/>
        <w:rPr>
          <w:rFonts w:eastAsia="Calibri" w:cs="Times New Roman"/>
          <w:lang w:val="hy-AM" w:eastAsia="es-PE"/>
        </w:rPr>
      </w:pPr>
      <w:r>
        <w:rPr>
          <w:rFonts w:eastAsia="Calibri" w:cs="Times New Roman"/>
          <w:lang w:val="hy-AM"/>
        </w:rPr>
        <w:t xml:space="preserve">Սկսած 3-րդ եռամսյակից՝ ոլորտում արձանագրվել է բարելավման միտում, սակայն ցուցանիշները շատ ավելի ցածր մակարդակում էին, քան մինչև Covid-19 համավարակով պայմանավորված ճգնաժամը: Վերջին եռամսյակում EBITDA (շահույթ՝ նախքան տոկոսավճարները, հարկերը, մաշվածությունը և ամորտիզացիան) ցուցանիշը դրական է եղել և ընկերությունը, կարծես թե, դանդաղեցրել է դրամական միջոցների սպառման տեմպը: Սակայն, ընկերության պարտքի հետվճարման կորը շարունակել է լուրջ մարտահրավեր ներկայացնել (առկա դրամական միջոցների ծավալը շատ ավելի փոքր էր առաջիկա ակնկալվող մարումներից): Ընկերությանը հաջողվել է վերաբանակցել իր սինդիկացված վարկի մարման ժամանակացույցը՝ մայր գումարի մարման 18-ամսյա հետաձգմամբ, այդ թվում՝ 2020թ. դեկտեմբերին նախատեսված հերթական մարման մասով, և շարունակել է վճարել տոկոսագումարները: </w:t>
      </w:r>
    </w:p>
    <w:p w14:paraId="56BF946A" w14:textId="77777777" w:rsidR="00DA0E15" w:rsidRDefault="00362131">
      <w:pPr>
        <w:shd w:val="clear" w:color="auto" w:fill="FFFFFF"/>
        <w:spacing w:before="0" w:after="0" w:line="276" w:lineRule="auto"/>
        <w:ind w:right="20" w:firstLine="432"/>
        <w:rPr>
          <w:rFonts w:eastAsia="Calibri" w:cs="Times New Roman"/>
          <w:lang w:val="hy-AM" w:eastAsia="es-PE"/>
        </w:rPr>
      </w:pPr>
      <w:r>
        <w:rPr>
          <w:rFonts w:eastAsia="Calibri" w:cs="Times New Roman"/>
          <w:lang w:val="hy-AM" w:eastAsia="es-PE"/>
        </w:rPr>
        <w:t>2020թ. ավարտին արդեն իսկ նկատվում էր EBITDA-ի փոքր դրական մակարդակ, իսկ 2021թ. 1-ին եռամսյակում արձանագրվել է EBITDA-ի բավականին բարձր՝ մոտ 35 տոկոս, մարժա՝ ոչ միայն ուղևորափոխադրումների և բեռնափոխադրումների ծավալի վերականգնմամբ պայմանավորված հասույթի ավելացման, այլ նաև խնայողությունների շնորհիվ: Այնուամենայնիվ, դեռևս պահպանվում է 2022թ. նախատեսված հետվճարումների համար բավարար ծավալի դրամական միջոցներ գեներացնելու շուրջ անորոշությունը:</w:t>
      </w:r>
    </w:p>
    <w:p w14:paraId="0EAD90C2" w14:textId="77777777" w:rsidR="00DA0E15" w:rsidRDefault="00362131">
      <w:pPr>
        <w:shd w:val="clear" w:color="auto" w:fill="FFFFFF"/>
        <w:spacing w:before="0" w:after="0" w:line="276" w:lineRule="auto"/>
        <w:ind w:right="20" w:firstLine="432"/>
        <w:rPr>
          <w:rFonts w:eastAsia="Calibri" w:cs="Times New Roman"/>
          <w:lang w:val="hy-AM"/>
        </w:rPr>
      </w:pPr>
      <w:r>
        <w:rPr>
          <w:rFonts w:eastAsia="Calibri" w:cs="Times New Roman"/>
          <w:lang w:val="hy-AM" w:eastAsia="es-PE"/>
        </w:rPr>
        <w:t>Այսպիսով</w:t>
      </w:r>
      <w:r>
        <w:rPr>
          <w:rFonts w:eastAsia="Calibri" w:cs="Times New Roman"/>
          <w:lang w:val="hy-AM"/>
        </w:rPr>
        <w:t>, ժամանակավորապես նվազել է ռիսկն առ այն, որ միջազգային սինդիկացված վարկի շրջանակներում վարկատուները կարող են դեֆոլտ հայտարարել և արագացնել վարկի հետվճարումը և՝ հաշվի առնելով, որ ընկերության բաժնետոմսերը և ակտիվները գրավադրված են ի օգուտ վարկատուների, ՀՀ կառավարությունը կարող է պարտավորված լինել ստանձնելու վարկի մարումը: Պայմանագրի վաղաժամ դադարեցման դեպքում առկա են այլ, ավելի մեծ պարտավորություններ, որոնք սակայն չափելի չեն: Վերը նշված հանգամանքներից ելնելով, սույն ՊՄԳ պայմանագրի գծով պայմանական պարտավորությունների ֆիսկալ ռիսկի կարգավիճակը նշանակալի է:</w:t>
      </w:r>
    </w:p>
    <w:p w14:paraId="33972BAF" w14:textId="77777777" w:rsidR="00DA0E15" w:rsidRDefault="00362131">
      <w:pPr>
        <w:spacing w:before="240" w:after="240" w:line="276" w:lineRule="auto"/>
        <w:ind w:firstLine="432"/>
        <w:jc w:val="center"/>
        <w:rPr>
          <w:rFonts w:eastAsia="Times New Roman" w:cs="Times New Roman"/>
          <w:b/>
          <w:bCs/>
          <w:lang w:val="hy-AM" w:eastAsia="ru-RU"/>
        </w:rPr>
      </w:pPr>
      <w:r>
        <w:rPr>
          <w:rFonts w:eastAsia="Times New Roman" w:cs="Times New Roman"/>
          <w:b/>
          <w:bCs/>
          <w:lang w:val="hy-AM" w:eastAsia="ru-RU"/>
        </w:rPr>
        <w:t>«Քոնթուր Գլոբալ հիդրո կասկադ» ՓԲԸ</w:t>
      </w:r>
    </w:p>
    <w:p w14:paraId="49739DCF" w14:textId="77777777" w:rsidR="00DA0E15" w:rsidRDefault="00362131">
      <w:pPr>
        <w:shd w:val="clear" w:color="auto" w:fill="FFFFFF"/>
        <w:spacing w:before="0" w:after="0" w:line="276" w:lineRule="auto"/>
        <w:ind w:right="20" w:firstLine="230"/>
        <w:rPr>
          <w:rFonts w:eastAsia="Calibri" w:cs="Sylfaen"/>
          <w:lang w:val="hy-AM"/>
        </w:rPr>
      </w:pPr>
      <w:r>
        <w:rPr>
          <w:rFonts w:eastAsia="Calibri" w:cs="Sylfaen"/>
          <w:lang w:val="hy-AM"/>
        </w:rPr>
        <w:t>Ընկերությունը</w:t>
      </w:r>
      <w:r>
        <w:rPr>
          <w:rFonts w:eastAsia="Calibri" w:cs="Times New Roman"/>
          <w:lang w:val="hy-AM"/>
        </w:rPr>
        <w:t xml:space="preserve"> </w:t>
      </w:r>
      <w:r>
        <w:rPr>
          <w:rFonts w:eastAsia="Calibri" w:cs="Sylfaen"/>
          <w:lang w:val="hy-AM"/>
        </w:rPr>
        <w:t>հանդիսանում</w:t>
      </w:r>
      <w:r>
        <w:rPr>
          <w:rFonts w:eastAsia="Calibri" w:cs="Times New Roman"/>
          <w:lang w:val="hy-AM"/>
        </w:rPr>
        <w:t xml:space="preserve"> </w:t>
      </w:r>
      <w:r>
        <w:rPr>
          <w:rFonts w:eastAsia="Calibri" w:cs="Sylfaen"/>
          <w:lang w:val="hy-AM"/>
        </w:rPr>
        <w:t>է</w:t>
      </w:r>
      <w:r>
        <w:rPr>
          <w:rFonts w:eastAsia="Calibri" w:cs="Times New Roman"/>
          <w:lang w:val="hy-AM"/>
        </w:rPr>
        <w:t xml:space="preserve"> </w:t>
      </w:r>
      <w:r>
        <w:rPr>
          <w:rFonts w:eastAsia="Calibri" w:cs="Sylfaen"/>
          <w:lang w:val="hy-AM"/>
        </w:rPr>
        <w:t>հիդրոէլեկտրաէներգիայի</w:t>
      </w:r>
      <w:r>
        <w:rPr>
          <w:rFonts w:eastAsia="Calibri" w:cs="Times New Roman"/>
          <w:lang w:val="hy-AM"/>
        </w:rPr>
        <w:t xml:space="preserve"> </w:t>
      </w:r>
      <w:r>
        <w:rPr>
          <w:rFonts w:eastAsia="Calibri" w:cs="Sylfaen"/>
          <w:lang w:val="hy-AM"/>
        </w:rPr>
        <w:t>արտադրության</w:t>
      </w:r>
      <w:r>
        <w:rPr>
          <w:rFonts w:eastAsia="Calibri" w:cs="Times New Roman"/>
          <w:lang w:val="hy-AM"/>
        </w:rPr>
        <w:t xml:space="preserve"> </w:t>
      </w:r>
      <w:r>
        <w:rPr>
          <w:rFonts w:eastAsia="Calibri" w:cs="Sylfaen"/>
          <w:lang w:val="hy-AM"/>
        </w:rPr>
        <w:t>առանցքային</w:t>
      </w:r>
      <w:r>
        <w:rPr>
          <w:rFonts w:eastAsia="Calibri" w:cs="Times New Roman"/>
          <w:lang w:val="hy-AM"/>
        </w:rPr>
        <w:t xml:space="preserve"> </w:t>
      </w:r>
      <w:r>
        <w:rPr>
          <w:rFonts w:eastAsia="Calibri" w:cs="Sylfaen"/>
          <w:lang w:val="hy-AM"/>
        </w:rPr>
        <w:t>համալիր</w:t>
      </w:r>
      <w:r>
        <w:rPr>
          <w:rFonts w:eastAsia="Calibri" w:cs="Times New Roman"/>
          <w:lang w:val="hy-AM"/>
        </w:rPr>
        <w:t xml:space="preserve">, </w:t>
      </w:r>
      <w:r>
        <w:rPr>
          <w:rFonts w:eastAsia="Calibri" w:cs="Sylfaen"/>
          <w:lang w:val="hy-AM"/>
        </w:rPr>
        <w:t>նախկինում</w:t>
      </w:r>
      <w:r>
        <w:rPr>
          <w:rFonts w:eastAsia="Calibri" w:cs="Times New Roman"/>
          <w:lang w:val="hy-AM"/>
        </w:rPr>
        <w:t xml:space="preserve"> </w:t>
      </w:r>
      <w:r>
        <w:rPr>
          <w:rFonts w:eastAsia="Calibri" w:cs="Sylfaen"/>
          <w:lang w:val="hy-AM"/>
        </w:rPr>
        <w:t>պետական</w:t>
      </w:r>
      <w:r>
        <w:rPr>
          <w:rFonts w:eastAsia="Calibri" w:cs="Times New Roman"/>
          <w:lang w:val="hy-AM"/>
        </w:rPr>
        <w:t xml:space="preserve"> </w:t>
      </w:r>
      <w:r>
        <w:rPr>
          <w:rFonts w:eastAsia="Calibri" w:cs="Sylfaen"/>
          <w:lang w:val="hy-AM"/>
        </w:rPr>
        <w:t>մասնակցությամբ</w:t>
      </w:r>
      <w:r>
        <w:rPr>
          <w:rFonts w:eastAsia="Calibri" w:cs="Times New Roman"/>
          <w:lang w:val="hy-AM"/>
        </w:rPr>
        <w:t xml:space="preserve"> </w:t>
      </w:r>
      <w:r>
        <w:rPr>
          <w:rFonts w:eastAsia="Calibri" w:cs="Sylfaen"/>
          <w:lang w:val="hy-AM"/>
        </w:rPr>
        <w:t>ընկերություն</w:t>
      </w:r>
      <w:r>
        <w:rPr>
          <w:rFonts w:eastAsia="Calibri" w:cs="Times New Roman"/>
          <w:lang w:val="hy-AM"/>
        </w:rPr>
        <w:t xml:space="preserve"> </w:t>
      </w:r>
      <w:r>
        <w:rPr>
          <w:rFonts w:eastAsia="Calibri" w:cs="Sylfaen"/>
          <w:lang w:val="hy-AM"/>
        </w:rPr>
        <w:t>էր</w:t>
      </w:r>
      <w:r>
        <w:rPr>
          <w:rFonts w:eastAsia="Calibri" w:cs="Times New Roman"/>
          <w:lang w:val="hy-AM"/>
        </w:rPr>
        <w:t xml:space="preserve">, </w:t>
      </w:r>
      <w:r>
        <w:rPr>
          <w:rFonts w:eastAsia="Calibri" w:cs="Sylfaen"/>
          <w:lang w:val="hy-AM"/>
        </w:rPr>
        <w:t>որը</w:t>
      </w:r>
      <w:r>
        <w:rPr>
          <w:rFonts w:eastAsia="Calibri" w:cs="Times New Roman"/>
          <w:lang w:val="hy-AM"/>
        </w:rPr>
        <w:t xml:space="preserve"> </w:t>
      </w:r>
      <w:r>
        <w:rPr>
          <w:rFonts w:eastAsia="Calibri" w:cs="Sylfaen"/>
          <w:lang w:val="hy-AM"/>
        </w:rPr>
        <w:t>մասնավորեցվել</w:t>
      </w:r>
      <w:r>
        <w:rPr>
          <w:rFonts w:eastAsia="Calibri" w:cs="Times New Roman"/>
          <w:lang w:val="hy-AM"/>
        </w:rPr>
        <w:t xml:space="preserve"> </w:t>
      </w:r>
      <w:r>
        <w:rPr>
          <w:rFonts w:eastAsia="Calibri" w:cs="Sylfaen"/>
          <w:lang w:val="hy-AM"/>
        </w:rPr>
        <w:t>և</w:t>
      </w:r>
      <w:r>
        <w:rPr>
          <w:rFonts w:eastAsia="Calibri" w:cs="Times New Roman"/>
          <w:lang w:val="hy-AM"/>
        </w:rPr>
        <w:t xml:space="preserve"> </w:t>
      </w:r>
      <w:r>
        <w:rPr>
          <w:rFonts w:eastAsia="Calibri" w:cs="Sylfaen"/>
          <w:lang w:val="hy-AM"/>
        </w:rPr>
        <w:t>վաճառվել</w:t>
      </w:r>
      <w:r>
        <w:rPr>
          <w:rFonts w:eastAsia="Calibri" w:cs="Times New Roman"/>
          <w:lang w:val="hy-AM"/>
        </w:rPr>
        <w:t xml:space="preserve"> </w:t>
      </w:r>
      <w:r>
        <w:rPr>
          <w:rFonts w:eastAsia="Calibri" w:cs="Sylfaen"/>
          <w:lang w:val="hy-AM"/>
        </w:rPr>
        <w:t>է</w:t>
      </w:r>
      <w:r>
        <w:rPr>
          <w:rFonts w:eastAsia="Calibri" w:cs="Times New Roman"/>
          <w:lang w:val="hy-AM"/>
        </w:rPr>
        <w:t xml:space="preserve"> </w:t>
      </w:r>
      <w:r>
        <w:rPr>
          <w:rFonts w:eastAsia="Calibri" w:cs="Sylfaen"/>
          <w:lang w:val="hy-AM"/>
        </w:rPr>
        <w:t>էլեկտրաէներգիայի</w:t>
      </w:r>
      <w:r>
        <w:rPr>
          <w:rFonts w:eastAsia="Calibri" w:cs="Times New Roman"/>
          <w:lang w:val="hy-AM"/>
        </w:rPr>
        <w:t xml:space="preserve"> </w:t>
      </w:r>
      <w:r>
        <w:rPr>
          <w:rFonts w:eastAsia="Calibri" w:cs="Sylfaen"/>
          <w:lang w:val="hy-AM"/>
        </w:rPr>
        <w:t>արտադրությամբ</w:t>
      </w:r>
      <w:r>
        <w:rPr>
          <w:rFonts w:eastAsia="Calibri" w:cs="Times New Roman"/>
          <w:lang w:val="hy-AM"/>
        </w:rPr>
        <w:t xml:space="preserve"> </w:t>
      </w:r>
      <w:r>
        <w:rPr>
          <w:rFonts w:eastAsia="Calibri" w:cs="Sylfaen"/>
          <w:lang w:val="hy-AM"/>
        </w:rPr>
        <w:t>զբաղվող</w:t>
      </w:r>
      <w:r>
        <w:rPr>
          <w:rFonts w:eastAsia="Calibri" w:cs="Times New Roman"/>
          <w:lang w:val="hy-AM"/>
        </w:rPr>
        <w:t xml:space="preserve"> «</w:t>
      </w:r>
      <w:r>
        <w:rPr>
          <w:rFonts w:eastAsia="Calibri" w:cs="Sylfaen"/>
          <w:lang w:val="hy-AM"/>
        </w:rPr>
        <w:t>Քոնթուր</w:t>
      </w:r>
      <w:r>
        <w:rPr>
          <w:rFonts w:eastAsia="Calibri" w:cs="Times New Roman"/>
          <w:lang w:val="hy-AM"/>
        </w:rPr>
        <w:t xml:space="preserve"> </w:t>
      </w:r>
      <w:r>
        <w:rPr>
          <w:rFonts w:eastAsia="Calibri" w:cs="Sylfaen"/>
          <w:lang w:val="hy-AM"/>
        </w:rPr>
        <w:t>Գլոբալ</w:t>
      </w:r>
      <w:r>
        <w:rPr>
          <w:rFonts w:eastAsia="Calibri" w:cs="Times New Roman"/>
          <w:lang w:val="hy-AM"/>
        </w:rPr>
        <w:t xml:space="preserve">» </w:t>
      </w:r>
      <w:r>
        <w:rPr>
          <w:rFonts w:eastAsia="Calibri" w:cs="Sylfaen"/>
          <w:lang w:val="hy-AM"/>
        </w:rPr>
        <w:t>խոշոր</w:t>
      </w:r>
      <w:r>
        <w:rPr>
          <w:rFonts w:eastAsia="Calibri" w:cs="Times New Roman"/>
          <w:lang w:val="hy-AM"/>
        </w:rPr>
        <w:t xml:space="preserve"> </w:t>
      </w:r>
      <w:r>
        <w:rPr>
          <w:rFonts w:eastAsia="Calibri" w:cs="Sylfaen"/>
          <w:lang w:val="hy-AM"/>
        </w:rPr>
        <w:t>միջազգային</w:t>
      </w:r>
      <w:r>
        <w:rPr>
          <w:rFonts w:eastAsia="Calibri" w:cs="Times New Roman"/>
          <w:lang w:val="hy-AM"/>
        </w:rPr>
        <w:t xml:space="preserve"> </w:t>
      </w:r>
      <w:r>
        <w:rPr>
          <w:rFonts w:eastAsia="Calibri" w:cs="Sylfaen"/>
          <w:lang w:val="hy-AM"/>
        </w:rPr>
        <w:t>խմբին</w:t>
      </w:r>
      <w:r>
        <w:rPr>
          <w:rFonts w:eastAsia="Calibri" w:cs="Times New Roman"/>
          <w:lang w:val="hy-AM"/>
        </w:rPr>
        <w:t xml:space="preserve">: Ընկերությունն </w:t>
      </w:r>
      <w:r>
        <w:rPr>
          <w:rFonts w:eastAsia="Calibri" w:cs="Sylfaen"/>
          <w:lang w:val="hy-AM"/>
        </w:rPr>
        <w:t>իր</w:t>
      </w:r>
      <w:r>
        <w:rPr>
          <w:rFonts w:eastAsia="Calibri" w:cs="Times New Roman"/>
          <w:lang w:val="hy-AM"/>
        </w:rPr>
        <w:t xml:space="preserve"> </w:t>
      </w:r>
      <w:r>
        <w:rPr>
          <w:rFonts w:eastAsia="Calibri" w:cs="Sylfaen"/>
          <w:lang w:val="hy-AM"/>
        </w:rPr>
        <w:t>ամբողջ</w:t>
      </w:r>
      <w:r>
        <w:rPr>
          <w:rFonts w:eastAsia="Calibri" w:cs="Times New Roman"/>
          <w:lang w:val="hy-AM"/>
        </w:rPr>
        <w:t xml:space="preserve"> </w:t>
      </w:r>
      <w:r>
        <w:rPr>
          <w:rFonts w:eastAsia="Calibri" w:cs="Sylfaen"/>
          <w:lang w:val="hy-AM"/>
        </w:rPr>
        <w:t>հզորությունը</w:t>
      </w:r>
      <w:r>
        <w:rPr>
          <w:rFonts w:eastAsia="Calibri" w:cs="Times New Roman"/>
          <w:lang w:val="hy-AM"/>
        </w:rPr>
        <w:t xml:space="preserve"> </w:t>
      </w:r>
      <w:r>
        <w:rPr>
          <w:rFonts w:eastAsia="Calibri" w:cs="Sylfaen"/>
          <w:lang w:val="hy-AM"/>
        </w:rPr>
        <w:t>և</w:t>
      </w:r>
      <w:r>
        <w:rPr>
          <w:rFonts w:eastAsia="Calibri" w:cs="Times New Roman"/>
          <w:lang w:val="hy-AM"/>
        </w:rPr>
        <w:t xml:space="preserve"> </w:t>
      </w:r>
      <w:r>
        <w:rPr>
          <w:rFonts w:eastAsia="Calibri" w:cs="Sylfaen"/>
          <w:lang w:val="hy-AM"/>
        </w:rPr>
        <w:t xml:space="preserve">փաստացի արտադրված էլեկտրաէներգիան վաճառում է «Հայաստանի էլեկտրական ցանցեր» ՓԲԸ-ին (ՀԷՑ)՝ ՀԾԿՀ կողմից հաստատված սակագներով: ՀԷՑ ընկերությունը պարտավոր է գնել արտադրված ամբողջ էլեկտրաէներգիան, իսկ չգնելու դեպքում՝ վճարել փոխհատուցում, որը մինչ այժմ չի կիրառվել: Ամենախոշոր պայմանական պարտավորությունը դա պետության կողմից հիմնական միջոցների հետգնման պարտավորությունն է, որոնց արժեքը 2019թ. վերջին կազմել է 90.1 մլրդ դրամ, սակայն հիմնական միջոցների ավելացման հետևանքով այն կդառնա 99.6 մլրդ դրամ: </w:t>
      </w:r>
    </w:p>
    <w:p w14:paraId="7379E1BE" w14:textId="77777777" w:rsidR="00DA0E15" w:rsidRDefault="00362131">
      <w:pPr>
        <w:shd w:val="clear" w:color="auto" w:fill="FFFFFF"/>
        <w:spacing w:before="0" w:after="0" w:line="276" w:lineRule="auto"/>
        <w:ind w:right="20" w:firstLine="230"/>
        <w:rPr>
          <w:rFonts w:eastAsia="Calibri" w:cs="Times New Roman"/>
          <w:lang w:val="hy-AM"/>
        </w:rPr>
      </w:pPr>
      <w:r>
        <w:rPr>
          <w:rFonts w:eastAsia="Calibri" w:cs="Times New Roman"/>
          <w:lang w:val="hy-AM"/>
        </w:rPr>
        <w:t>Ն</w:t>
      </w:r>
      <w:r>
        <w:rPr>
          <w:rFonts w:eastAsia="Calibri" w:cs="Sylfaen"/>
          <w:lang w:val="hy-AM"/>
        </w:rPr>
        <w:t>շենք նաև</w:t>
      </w:r>
      <w:r>
        <w:rPr>
          <w:rFonts w:eastAsia="Calibri" w:cs="Times New Roman"/>
          <w:lang w:val="hy-AM"/>
        </w:rPr>
        <w:t>, որ ընկերությունը ներկայում մարում է Վերականգնման վարկերի</w:t>
      </w:r>
      <w:r>
        <w:rPr>
          <w:rFonts w:ascii="Calibri" w:eastAsia="Calibri" w:hAnsi="Calibri" w:cs="Calibri"/>
          <w:lang w:val="hy-AM"/>
        </w:rPr>
        <w:t> </w:t>
      </w:r>
      <w:r>
        <w:rPr>
          <w:rFonts w:eastAsia="Calibri" w:cs="Sylfaen"/>
          <w:lang w:val="hy-AM"/>
        </w:rPr>
        <w:t>բանկից</w:t>
      </w:r>
      <w:r>
        <w:rPr>
          <w:rFonts w:ascii="Calibri" w:eastAsia="Calibri" w:hAnsi="Calibri" w:cs="Calibri"/>
          <w:lang w:val="hy-AM"/>
        </w:rPr>
        <w:t> </w:t>
      </w:r>
      <w:r>
        <w:rPr>
          <w:rFonts w:eastAsia="Calibri" w:cs="Times New Roman"/>
          <w:lang w:val="hy-AM"/>
        </w:rPr>
        <w:t>(KfW) Եվրոյով ստացված վարկը, ինչպես նաև 3 այլ ՄՖՀ-ներից, այդ թվում՝ Միջազգային ֆինանսական կորպորացիայից, ԱՄՆ դոլարով ստացված վարկեր (մյուս երկու վարկերը կապված են Նիդերլանդների և Գերմանիայի կառավարությունների հետ), որոնք տրամադրվել են թե մինչ մասնավորեցումը և թե մասնավորեցումից հետո: Հարկ է նկատել նաև, որ 2020թ. ԱՄՆ դոլարի և Եվրոյի փոխարժեքները դրամի նկատմամբ աճել են:</w:t>
      </w:r>
    </w:p>
    <w:p w14:paraId="25D6242C" w14:textId="77777777" w:rsidR="00DA0E15" w:rsidRDefault="00362131">
      <w:pPr>
        <w:spacing w:before="0" w:after="0" w:line="276" w:lineRule="auto"/>
        <w:ind w:right="20" w:firstLine="230"/>
        <w:rPr>
          <w:rFonts w:eastAsia="Calibri" w:cs="Times New Roman"/>
          <w:lang w:val="hy-AM"/>
        </w:rPr>
      </w:pPr>
      <w:r>
        <w:rPr>
          <w:rFonts w:eastAsia="Calibri" w:cs="Times New Roman"/>
          <w:lang w:val="hy-AM"/>
        </w:rPr>
        <w:t xml:space="preserve">2019թ. ընկերության գործունեությունը եղել է շահութաբեր: Սակայն, 2020թ. COVID-19 համավարակի հետևանքով տնտեսական ակտիվության կտրուկ նվազման հետ մեկտեղ, ընկերությունն արձանագրել է շատ ավելի ցածր հասույթի մակարդակ (մոտ 25 տոկոս կրճատում), ինչը խիստ ազդեցություն է ունեցել ընկերության գործունեության վրա (ցածր գործառնական շահույթի մակարդակ, դրամական հոսքերի և փոխառու կապիտալից ստացվող եկամտի նվազում): Ի լրումն, ավելացան նաև արտարժույթի փոխարժեքի հետ կապված վնասները՝ ԱՄՆ դոլարի և Եվրոյի նկատմամբ արժեզրկման հետևանքով, ինչը հանգեցրեց պարտքի սպասարկման առավել մեծ ծախսերի: Արդյունքում, 2020թ. զուտ վնասները գերազանցել են հասույթը և ընկերությունն արձանագրել է սեփական կապիտալի բացասական մակարդակ՝ չնայած բաժնետերերի կողմից հավելյալ սեփական կապիտալի ներարկմանը: Ընկերությունը շարունակում է սպասարկել իր վարկերը՝ շնորհիվ բաժնետերերի հավելյալ աջակցության, որոնք տրամադրել են ավելի քան 10 մլրդ դրամ ծավալով արտակարգ աջակցության վարկ (համարժեք է ընկերության 2020թ. հասույթին): </w:t>
      </w:r>
    </w:p>
    <w:p w14:paraId="23366010" w14:textId="77777777" w:rsidR="00DA0E15" w:rsidRDefault="00362131">
      <w:pPr>
        <w:shd w:val="clear" w:color="auto" w:fill="FFFFFF"/>
        <w:spacing w:before="0" w:after="0" w:line="276" w:lineRule="auto"/>
        <w:ind w:right="20" w:firstLine="432"/>
        <w:rPr>
          <w:rFonts w:eastAsia="Calibri" w:cs="Times New Roman"/>
          <w:lang w:val="hy-AM"/>
        </w:rPr>
      </w:pPr>
      <w:r>
        <w:rPr>
          <w:rFonts w:eastAsia="Calibri" w:cs="Sylfaen"/>
          <w:lang w:val="hy-AM"/>
        </w:rPr>
        <w:t>Հասույթի</w:t>
      </w:r>
      <w:r>
        <w:rPr>
          <w:rFonts w:eastAsia="Calibri" w:cs="Times New Roman"/>
          <w:lang w:val="hy-AM"/>
        </w:rPr>
        <w:t xml:space="preserve"> գեներացումը պետք է բարելավվի 2021թ., սակայն վերականգնման տեմպի մասով դեռևս անորոշություն կա: Ֆիսկալ ռիսկի կարգավիճակը նշանակալի է՝ հաշվի առնելով ընկերության ֆինանսական վիճակը և այն փաստը, որ ընկերությանը չեն բավարարում հաստատված սակագները: Նախկինում ֆիսկալ ռիսկի կարգավիճակը եղել է միջին՝ հաշվի առնելով, որ շահույթը դեռևս փոքր էր, ինչպես նաև հաշվի է առնվել պարտքի մակարդակները: Ամեն դեպքում, մեղմացուցիչ գործոն է այն փաստը, որ բաժնետերերը, որոնք հանդիսացել և 2020թ. ընթացքում շարունակել են հանդիսանալ շահութաբեր ընկերությունների խումբ, 2020թ. ընթացքում աջակցել են ընկերությանը:</w:t>
      </w:r>
    </w:p>
    <w:p w14:paraId="78100280" w14:textId="77777777" w:rsidR="00DA0E15" w:rsidRDefault="00362131">
      <w:pPr>
        <w:spacing w:before="240" w:after="240" w:line="276" w:lineRule="auto"/>
        <w:ind w:right="20" w:firstLine="432"/>
        <w:jc w:val="center"/>
        <w:rPr>
          <w:rFonts w:eastAsia="Times New Roman" w:cs="Times New Roman"/>
          <w:b/>
          <w:bCs/>
          <w:lang w:val="hy-AM" w:eastAsia="ru-RU"/>
        </w:rPr>
      </w:pPr>
      <w:r>
        <w:rPr>
          <w:rFonts w:eastAsia="Times New Roman" w:cs="Times New Roman"/>
          <w:b/>
          <w:bCs/>
          <w:lang w:val="hy-AM" w:eastAsia="ru-RU"/>
        </w:rPr>
        <w:t>«Ռենկո Ս.Պ.Ա-ի և Արմփաուեր» ՓԲԸ (Երևանի նոր ՋԷԿ)</w:t>
      </w:r>
    </w:p>
    <w:p w14:paraId="193CEDA6" w14:textId="77777777" w:rsidR="00DA0E15" w:rsidRDefault="00362131">
      <w:pPr>
        <w:shd w:val="clear" w:color="auto" w:fill="FFFFFF"/>
        <w:spacing w:before="0" w:after="0" w:line="276" w:lineRule="auto"/>
        <w:ind w:right="20" w:firstLine="230"/>
        <w:rPr>
          <w:rFonts w:eastAsia="Calibri" w:cs="Times New Roman"/>
          <w:lang w:val="hy-AM"/>
        </w:rPr>
      </w:pPr>
      <w:r>
        <w:rPr>
          <w:rFonts w:eastAsia="Calibri" w:cs="Times New Roman"/>
          <w:lang w:val="hy-AM"/>
        </w:rPr>
        <w:t>Ընկերությունը Երևան քաղաքում կառուցում է ջերմային էլեկտրակայան, հանդիսանում է աշխարհում էլեկտրաէներգիայի արտադրության խոշոր գործունեություն իրականացնող իտալական Ռենկո էներգետիկական խմբի և գերմանական Սիմենս խմբի դուստր ընկերություն: Ծրագիրը գտնվում է շինարարության փուլում: Ծրագրի գնահատված արժեքը կազմում է մոտ 300 միլիոն ԱՄՆ դոլար, որի 70 տոկոսը ֆինանսավորվում է ՄՖԿ վարկի միջոցով: Կոնցեսիայի ժամկետը կազմում է 20 տարի՝ սկսած առևտրային շահագործման մեկնարկից, որը նախատեսվում է 2022թ.: 2020թ. վերջի դրությամբ, ավարտված էին ծրագրի աշխատանքների 75 տոկոսը, իսկ 2021թ. մարտի վերջի դրությամբ՝ 78 տոկոսը: Փաստացի, COVID-19 համավարակի հետևանքով, շինարարության մասով եղել է 168 օր ուշացում, սակայն ընկերության կողմից ձեռնարկված վերջին միջոցները թույլ են տալիս նշված ուշացումը կրճատել 45 օրով: Այս ուշացումից առաջացող գերածախսերը գնահատվում են 6 մլն ԱՄՆ դոլար, իսկ կայանի շահագործման հանձնումը կհետաձգվի առնվազն 4 ամսով: Ենթադրվում է, որ հավելյալ ծախսերը ծածկվելու են բաժնետերերի կամ լրացուցիչ պարտքի ներգրավման միջոցով:</w:t>
      </w:r>
    </w:p>
    <w:p w14:paraId="5175CA9A" w14:textId="77777777" w:rsidR="00DA0E15" w:rsidRDefault="00362131">
      <w:pPr>
        <w:shd w:val="clear" w:color="auto" w:fill="FFFFFF"/>
        <w:spacing w:before="0" w:after="0" w:line="276" w:lineRule="auto"/>
        <w:ind w:right="20" w:firstLine="230"/>
        <w:rPr>
          <w:rFonts w:eastAsia="Calibri" w:cs="Times New Roman"/>
          <w:lang w:val="hy-AM"/>
        </w:rPr>
      </w:pPr>
      <w:r>
        <w:rPr>
          <w:rFonts w:eastAsia="Calibri" w:cs="Times New Roman"/>
          <w:lang w:val="hy-AM"/>
        </w:rPr>
        <w:t>Հիմնական պայմանական պարտավորությունը ՀՀ կառավարության կողմից պարտավորությունների չկատարման հետևանքով պայմանագրի վաղաժամ դադարեցման դեպքում կայանի հետգնման պարտավորությունն է (նյութականացման դեպքերն են՝ օտարումը, բռնագրավումը, զավթումը, կառավարությանն առնչվող անվճարունակության դեպքի տեղի ունենալը, պայմանագրի շրջանակներում պետության կողմից տրված հավաստիացումների և երաշխիքների էական խախտումը, ծրագրի կառուցման կամ շահագործման՝ Կառուցապատողի կարողության վրա էականորեն և անբարենպաստ կերպով ազդող օրենսդրական փոփոխությունը): Առաջին տարվանից հետո, պայմանական պարտավորության գումարին կավելանա 15 տոկոս հավելավճար՝ ի հավելումն ներդրման գումարի, իսկ այնուհետև գումարը կնվազի տարեկան 4 տոկոսով:</w:t>
      </w:r>
    </w:p>
    <w:p w14:paraId="2EEA52DC" w14:textId="77777777" w:rsidR="00DA0E15" w:rsidRDefault="00362131">
      <w:pPr>
        <w:shd w:val="clear" w:color="auto" w:fill="FFFFFF"/>
        <w:tabs>
          <w:tab w:val="left" w:pos="10206"/>
        </w:tabs>
        <w:spacing w:before="0" w:after="0" w:line="276" w:lineRule="auto"/>
        <w:ind w:right="144" w:firstLine="230"/>
        <w:rPr>
          <w:rFonts w:eastAsia="Calibri" w:cs="Times New Roman"/>
          <w:lang w:val="hy-AM"/>
        </w:rPr>
      </w:pPr>
      <w:r>
        <w:rPr>
          <w:rFonts w:eastAsia="Calibri" w:cs="Times New Roman"/>
          <w:lang w:val="hy-AM"/>
        </w:rPr>
        <w:t>Առկա է նաև պետության կողմից երաշխավորված՝ ՀԷՑ ընկերության պարտավորություն՝ գնել արտադրված ամբողջ էլեկտրաէներգիան, իսկ չգնելու դեպքում՝ վճարել փոխհատուցում, սակայն այդ պայմանական պարտավորությունը դեռևս չի գործում, քանի որ կայանը դեռ շահագործման չի հանձնվել:</w:t>
      </w:r>
    </w:p>
    <w:p w14:paraId="6E797E63" w14:textId="77777777" w:rsidR="00DA0E15" w:rsidRDefault="00362131">
      <w:pPr>
        <w:shd w:val="clear" w:color="auto" w:fill="FFFFFF"/>
        <w:tabs>
          <w:tab w:val="left" w:pos="10206"/>
        </w:tabs>
        <w:spacing w:before="0" w:after="0" w:line="276" w:lineRule="auto"/>
        <w:ind w:right="144" w:firstLine="230"/>
        <w:rPr>
          <w:rFonts w:eastAsia="Calibri" w:cs="Times New Roman"/>
          <w:lang w:val="hy-AM"/>
        </w:rPr>
      </w:pPr>
      <w:r>
        <w:rPr>
          <w:rFonts w:eastAsia="Calibri" w:cs="Times New Roman"/>
          <w:lang w:val="hy-AM"/>
        </w:rPr>
        <w:t>Քանի որ ծրագիրն այլևս հնարավոր չէ դադարեցնել կամ էլ ծրագրի իրականացումը ստանձնելու դեպքում պետությունը ստիպված կլինի այն ավարտին հասցնել, ապա ներկայում պայմանական պարտավորությունը սահմանափակվում է ներդրման 300 մլն ԱՄՆ դոլար գումարով: Առևտրային շահագործման մեկնարկից հետո այդ գումարը ժամանակավորապես կբարձրանա:</w:t>
      </w:r>
    </w:p>
    <w:p w14:paraId="45F28C35" w14:textId="77777777" w:rsidR="00DA0E15" w:rsidRDefault="00362131">
      <w:pPr>
        <w:shd w:val="clear" w:color="auto" w:fill="FFFFFF"/>
        <w:tabs>
          <w:tab w:val="left" w:pos="10206"/>
        </w:tabs>
        <w:spacing w:before="0" w:after="0" w:line="276" w:lineRule="auto"/>
        <w:ind w:right="144" w:firstLine="230"/>
        <w:rPr>
          <w:rFonts w:eastAsia="Calibri" w:cs="Times New Roman"/>
          <w:lang w:val="hy-AM"/>
        </w:rPr>
      </w:pPr>
      <w:r>
        <w:rPr>
          <w:rFonts w:eastAsia="Calibri" w:cs="Times New Roman"/>
          <w:lang w:val="hy-AM"/>
        </w:rPr>
        <w:t>Հաշվի առնելով COVID-19 համավարակը, որը հանգեցրել է աշխատանքների էական ուշացման, ինչպես նաև ապագայում վաճառվելիք էլեկտրաէներգիայի հնարավոր ծավալների շուրջ անորոշության (ինչը բարձրացնում է վերը նշված ՀԷՑ-ի պարտավորության ռիսկայնությունը), ծրագրի ֆիսկալ ռիսկի կարգավիճակը գնահատվում է միջին:</w:t>
      </w:r>
    </w:p>
    <w:p w14:paraId="04F9AAFE" w14:textId="77777777" w:rsidR="00DA0E15" w:rsidRDefault="00362131">
      <w:pPr>
        <w:spacing w:before="240" w:after="240" w:line="276" w:lineRule="auto"/>
        <w:ind w:firstLine="432"/>
        <w:jc w:val="center"/>
        <w:rPr>
          <w:rFonts w:eastAsia="Times New Roman" w:cs="Times New Roman"/>
          <w:b/>
          <w:bCs/>
          <w:lang w:val="hy-AM" w:eastAsia="ru-RU"/>
        </w:rPr>
      </w:pPr>
      <w:r>
        <w:rPr>
          <w:rFonts w:eastAsia="Times New Roman" w:cs="Times New Roman"/>
          <w:b/>
          <w:bCs/>
          <w:lang w:val="hy-AM" w:eastAsia="ru-RU"/>
        </w:rPr>
        <w:t xml:space="preserve"> «Մասրիկ-1» արևային ֆոտովոլտային կայան </w:t>
      </w:r>
    </w:p>
    <w:p w14:paraId="79218EAA" w14:textId="77777777" w:rsidR="00DA0E15" w:rsidRDefault="00362131">
      <w:pPr>
        <w:shd w:val="clear" w:color="auto" w:fill="FFFFFF"/>
        <w:tabs>
          <w:tab w:val="left" w:pos="10206"/>
        </w:tabs>
        <w:spacing w:before="0" w:after="0" w:line="276" w:lineRule="auto"/>
        <w:ind w:right="150" w:firstLine="230"/>
        <w:rPr>
          <w:rFonts w:eastAsia="Times New Roman" w:cs="Times New Roman"/>
          <w:color w:val="000000"/>
          <w:lang w:val="hy-AM" w:eastAsia="ru-RU"/>
        </w:rPr>
      </w:pPr>
      <w:r>
        <w:rPr>
          <w:rFonts w:eastAsia="Times New Roman" w:cs="Times New Roman"/>
          <w:color w:val="000000"/>
          <w:lang w:val="hy-AM" w:eastAsia="ru-RU"/>
        </w:rPr>
        <w:t>Այս նախագծի շրջանակներում կառուցվում է առաջին ամենամեծ արևային էլեկտրակայանը՝ 55 Մվտ դրվածքային հզորությամբ: Այն պատկանում է La Providencia և FRV իսպանական մասնագիտացված խմբերին և ֆինանսավորվում է IFC-ի, EBRD-ի և Ֆինլանդիայի կառավարության վարկային միջոցներով: Ծրագրի ընդհանուր արժեքը 50.2 մլն ԱՄՆ դոլար է: Ֆինանսական փակումը տեղի է ունեցել 2020թ. հուլիսին, իսկ աշխատանքները նախատեսվում է ավարտել 2022թ-ին:</w:t>
      </w:r>
    </w:p>
    <w:p w14:paraId="176AF909" w14:textId="77777777" w:rsidR="00DA0E15" w:rsidRDefault="00362131">
      <w:pPr>
        <w:shd w:val="clear" w:color="auto" w:fill="FFFFFF"/>
        <w:tabs>
          <w:tab w:val="left" w:pos="10206"/>
        </w:tabs>
        <w:spacing w:before="0" w:after="0" w:line="276" w:lineRule="auto"/>
        <w:ind w:right="150" w:firstLine="230"/>
        <w:rPr>
          <w:rFonts w:eastAsia="Times New Roman" w:cs="Times New Roman"/>
          <w:color w:val="000000"/>
          <w:lang w:val="hy-AM" w:eastAsia="ru-RU"/>
        </w:rPr>
      </w:pPr>
      <w:r>
        <w:rPr>
          <w:rFonts w:eastAsia="Times New Roman" w:cs="Times New Roman"/>
          <w:color w:val="000000"/>
          <w:lang w:val="hy-AM" w:eastAsia="ru-RU"/>
        </w:rPr>
        <w:t>Նախագծի իրականացման արդյունքում առկա են մի շարք պայմանական պարտավորություններ, մասնավորապես արտադրվող էլեկտրաէներգիայի համար գնման երաշխիք ՀՀ կառավարության կողմից, և անբարենպաստ իրադարձությունների դիմաց լրացուցիչ հատուցման իրավունք, որը կարող է առաջանալ միայն շինարարության ավարտից մեկ տարվա ընթացքում:</w:t>
      </w:r>
    </w:p>
    <w:p w14:paraId="7DE089AF" w14:textId="77777777" w:rsidR="00DA0E15" w:rsidRDefault="00362131">
      <w:pPr>
        <w:shd w:val="clear" w:color="auto" w:fill="FFFFFF"/>
        <w:tabs>
          <w:tab w:val="left" w:pos="10206"/>
        </w:tabs>
        <w:spacing w:before="0" w:after="0" w:line="276" w:lineRule="auto"/>
        <w:ind w:right="150" w:firstLine="230"/>
        <w:rPr>
          <w:rFonts w:eastAsia="Times New Roman" w:cs="Times New Roman"/>
          <w:color w:val="000000"/>
          <w:lang w:val="hy-AM" w:eastAsia="ru-RU"/>
        </w:rPr>
      </w:pPr>
      <w:r>
        <w:rPr>
          <w:rFonts w:eastAsia="Times New Roman" w:cs="Times New Roman"/>
          <w:color w:val="000000"/>
          <w:lang w:val="hy-AM" w:eastAsia="ru-RU"/>
        </w:rPr>
        <w:t xml:space="preserve">Հիմնական պայմանական պարտավորությունը գործարքի ֆինանսական կայացումից հետո վաղաժամ դադարեցումն է՝ ՀՀ կառավարության գործողությունների հետևանքով, տարբեր հիմքերով (ա) Կառավարությունը չի կատարում իր կողմից պարտավորություն հանդիսացող որևէ վճար, (բ) որևէ պետական մարմնի կողմից էքսպրոպրիացիայի կամ հարկադիր ձեռքբերման է ենթարկվել ծրագրի տարածքը, կայանը, գ) Կառավարությանը վերաբերող անվճարունակության դեպք, դ) Օրենքի փոփոխություն կամ անբարենպաստ պայմանի դեպք, որը վերացված կամ փոփոխված չէ 180 (մեկ հարյուր ութսուն) օրվա ընթացքում և անհնար է դարձնում կայանի կառուցումը կամ շահագործումը: Կառուցապատողի կողմից. ե) Կառավարության կողմից Համաձայնագրի ցանկացած այլ էական խախտում, եթե այդ խախտումը չի վերացվել 180 օրվա ընթացքում: </w:t>
      </w:r>
    </w:p>
    <w:p w14:paraId="2A0F005A" w14:textId="77777777" w:rsidR="00DA0E15" w:rsidRDefault="00362131">
      <w:pPr>
        <w:shd w:val="clear" w:color="auto" w:fill="FFFFFF"/>
        <w:tabs>
          <w:tab w:val="left" w:pos="10206"/>
        </w:tabs>
        <w:spacing w:before="0" w:after="0" w:line="276" w:lineRule="auto"/>
        <w:ind w:right="150" w:firstLine="230"/>
        <w:rPr>
          <w:rFonts w:eastAsia="Times New Roman" w:cs="Times New Roman"/>
          <w:color w:val="000000"/>
          <w:lang w:val="hy-AM" w:eastAsia="ru-RU"/>
        </w:rPr>
      </w:pPr>
      <w:r>
        <w:rPr>
          <w:rFonts w:eastAsia="Times New Roman" w:cs="Times New Roman"/>
          <w:color w:val="000000"/>
          <w:lang w:val="hy-AM" w:eastAsia="ru-RU"/>
        </w:rPr>
        <w:t>Կիրառելի բանաձևը թույլ է տվել հաշվարկել առավելագույնը 26.2 մլրդ դրամի փոխհատուցում, որն այնուհետև կնվազի շինարարության ավարտից հետո: Ինչպես նշվեց, այլ պայմանական պարտավորությունները դեռ չեն կարող չափվել:</w:t>
      </w:r>
    </w:p>
    <w:p w14:paraId="1C8D4740" w14:textId="77777777" w:rsidR="00DA0E15" w:rsidRDefault="00362131">
      <w:pPr>
        <w:shd w:val="clear" w:color="auto" w:fill="FFFFFF"/>
        <w:tabs>
          <w:tab w:val="left" w:pos="10206"/>
        </w:tabs>
        <w:spacing w:before="0" w:after="0" w:line="276" w:lineRule="auto"/>
        <w:ind w:right="150" w:firstLine="232"/>
        <w:rPr>
          <w:rFonts w:eastAsia="Times New Roman" w:cs="Times New Roman"/>
          <w:color w:val="000000"/>
          <w:lang w:val="hy-AM" w:eastAsia="ru-RU"/>
        </w:rPr>
      </w:pPr>
      <w:r>
        <w:rPr>
          <w:rFonts w:eastAsia="Times New Roman" w:cs="Times New Roman"/>
          <w:color w:val="000000"/>
          <w:lang w:val="hy-AM" w:eastAsia="ru-RU"/>
        </w:rPr>
        <w:t>Հաշվի առնելով Covid-19 համավարակի հետևանքներից բխող անորոշությունների ներկա համատեքստը և հովանավորների ֆինանսական վիճակի ու շինարարության առաջընթացի կարգավիճակի վերաբերյալ տեղեկատվության բացակայությունը, նախագծի ֆիսկալ ռիսկի կարգավիճակը դասակարգվում է միջին:</w:t>
      </w:r>
    </w:p>
    <w:p w14:paraId="72F331D2" w14:textId="77777777" w:rsidR="00DA0E15" w:rsidRDefault="00DA0E15">
      <w:pPr>
        <w:shd w:val="clear" w:color="auto" w:fill="FFFFFF"/>
        <w:spacing w:before="0" w:after="0" w:line="276" w:lineRule="auto"/>
        <w:ind w:right="150" w:firstLine="232"/>
        <w:rPr>
          <w:rFonts w:eastAsia="Times New Roman" w:cs="Times New Roman"/>
          <w:color w:val="000000"/>
          <w:lang w:val="hy-AM" w:eastAsia="ru-RU"/>
        </w:rPr>
      </w:pPr>
    </w:p>
    <w:p w14:paraId="76CB41BE" w14:textId="77777777" w:rsidR="00DA0E15" w:rsidRDefault="00362131">
      <w:pPr>
        <w:spacing w:before="0" w:after="0" w:line="276" w:lineRule="auto"/>
        <w:ind w:firstLine="232"/>
        <w:rPr>
          <w:rFonts w:eastAsia="Calibri" w:cs="Times New Roman"/>
          <w:b/>
          <w:bCs/>
          <w:lang w:val="hy-AM"/>
        </w:rPr>
      </w:pPr>
      <w:r>
        <w:rPr>
          <w:rFonts w:eastAsia="Calibri" w:cs="Sylfaen"/>
          <w:b/>
          <w:lang w:val="hy-AM"/>
        </w:rPr>
        <w:t>2020թ</w:t>
      </w:r>
      <w:r>
        <w:rPr>
          <w:rFonts w:eastAsia="Calibri" w:cs="Times New Roman"/>
          <w:b/>
          <w:bCs/>
          <w:lang w:val="hy-AM"/>
        </w:rPr>
        <w:t>. դեկտեմբերի դրությամբ ՊՄԳ ծրագրերի գծով պայմանական պարտավորությունների ամփոփ աղյուսակ</w:t>
      </w:r>
    </w:p>
    <w:p w14:paraId="6EA60AFC" w14:textId="77777777" w:rsidR="00DA0E15" w:rsidRDefault="00DA0E15">
      <w:pPr>
        <w:spacing w:before="0" w:after="0" w:line="276" w:lineRule="auto"/>
        <w:ind w:firstLine="0"/>
        <w:rPr>
          <w:rFonts w:eastAsia="Calibri" w:cs="Times New Roman"/>
          <w:b/>
          <w:bCs/>
          <w:sz w:val="24"/>
          <w:szCs w:val="24"/>
          <w:lang w:val="hy-AM"/>
        </w:rPr>
      </w:pPr>
    </w:p>
    <w:p w14:paraId="73005437" w14:textId="77777777" w:rsidR="00146C6E" w:rsidRDefault="00146C6E">
      <w:pPr>
        <w:spacing w:before="0" w:after="0" w:line="276" w:lineRule="auto"/>
        <w:ind w:firstLine="0"/>
        <w:rPr>
          <w:rFonts w:eastAsia="Calibri" w:cs="Times New Roman"/>
          <w:b/>
          <w:bCs/>
          <w:sz w:val="24"/>
          <w:szCs w:val="24"/>
          <w:lang w:val="hy-AM"/>
        </w:rPr>
      </w:pPr>
    </w:p>
    <w:p w14:paraId="6EABA6C2" w14:textId="77777777" w:rsidR="00146C6E" w:rsidRDefault="00146C6E">
      <w:pPr>
        <w:spacing w:before="0" w:after="0" w:line="276" w:lineRule="auto"/>
        <w:ind w:firstLine="0"/>
        <w:rPr>
          <w:rFonts w:eastAsia="Calibri" w:cs="Times New Roman"/>
          <w:b/>
          <w:bCs/>
          <w:sz w:val="24"/>
          <w:szCs w:val="24"/>
          <w:lang w:val="hy-AM"/>
        </w:rPr>
      </w:pPr>
    </w:p>
    <w:p w14:paraId="4A294627" w14:textId="77777777" w:rsidR="00DA0E15" w:rsidRDefault="00362131">
      <w:pPr>
        <w:keepNext/>
        <w:spacing w:before="0" w:after="0" w:line="240" w:lineRule="auto"/>
        <w:ind w:firstLine="0"/>
        <w:jc w:val="left"/>
        <w:rPr>
          <w:i/>
          <w:sz w:val="20"/>
          <w:szCs w:val="20"/>
          <w:lang w:val="hy-AM"/>
        </w:rPr>
      </w:pPr>
      <w:r>
        <w:rPr>
          <w:b/>
          <w:sz w:val="20"/>
          <w:szCs w:val="20"/>
          <w:lang w:val="hy-AM"/>
        </w:rPr>
        <w:t>Աղյուսակ 5.11</w:t>
      </w:r>
      <w:r>
        <w:rPr>
          <w:rFonts w:ascii="Calibri" w:eastAsia="Calibri" w:hAnsi="Calibri" w:cs="Times New Roman"/>
          <w:i/>
          <w:iCs/>
          <w:color w:val="44546A"/>
          <w:sz w:val="18"/>
          <w:szCs w:val="18"/>
          <w:lang w:val="hy-AM"/>
        </w:rPr>
        <w:t xml:space="preserve"> </w:t>
      </w:r>
      <w:r>
        <w:rPr>
          <w:i/>
          <w:sz w:val="20"/>
          <w:szCs w:val="20"/>
          <w:lang w:val="hy-AM"/>
        </w:rPr>
        <w:t>Պայմանական պարտավորությունների ամփոփ հաշվարկ</w:t>
      </w:r>
    </w:p>
    <w:p w14:paraId="2C7532BE" w14:textId="77777777" w:rsidR="00DA0E15" w:rsidRDefault="00362131">
      <w:pPr>
        <w:keepNext/>
        <w:spacing w:before="0" w:after="0" w:line="240" w:lineRule="auto"/>
        <w:ind w:firstLine="0"/>
        <w:jc w:val="right"/>
        <w:rPr>
          <w:rFonts w:ascii="Calibri" w:eastAsia="Calibri" w:hAnsi="Calibri" w:cs="Times New Roman"/>
          <w:i/>
          <w:iCs/>
          <w:color w:val="44546A"/>
          <w:sz w:val="18"/>
          <w:szCs w:val="18"/>
          <w:lang w:val="hy-AM"/>
        </w:rPr>
      </w:pPr>
      <w:r>
        <w:rPr>
          <w:rFonts w:ascii="Calibri" w:eastAsia="Calibri" w:hAnsi="Calibri" w:cs="Times New Roman"/>
          <w:i/>
          <w:iCs/>
          <w:color w:val="44546A"/>
          <w:sz w:val="18"/>
          <w:szCs w:val="18"/>
          <w:lang w:val="hy-AM"/>
        </w:rPr>
        <w:t xml:space="preserve">                                                                                                                                                                                                                </w:t>
      </w:r>
      <w:r>
        <w:rPr>
          <w:rFonts w:eastAsia="Calibri" w:cs="Times New Roman"/>
          <w:i/>
          <w:iCs/>
          <w:sz w:val="19"/>
          <w:szCs w:val="19"/>
          <w:lang w:val="hy-AM"/>
        </w:rPr>
        <w:t>մլն դրամ</w:t>
      </w:r>
    </w:p>
    <w:tbl>
      <w:tblPr>
        <w:tblStyle w:val="GridTable4-Accent141"/>
        <w:tblW w:w="0" w:type="auto"/>
        <w:tblLook w:val="04A0" w:firstRow="1" w:lastRow="0" w:firstColumn="1" w:lastColumn="0" w:noHBand="0" w:noVBand="1"/>
      </w:tblPr>
      <w:tblGrid>
        <w:gridCol w:w="4158"/>
        <w:gridCol w:w="1080"/>
        <w:gridCol w:w="1953"/>
        <w:gridCol w:w="1381"/>
        <w:gridCol w:w="1453"/>
      </w:tblGrid>
      <w:tr w:rsidR="00DA0E15" w14:paraId="18926F0F" w14:textId="77777777" w:rsidTr="00DA0E15">
        <w:trPr>
          <w:cnfStyle w:val="100000000000" w:firstRow="1" w:lastRow="0" w:firstColumn="0" w:lastColumn="0" w:oddVBand="0" w:evenVBand="0" w:oddHBand="0"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4158" w:type="dxa"/>
            <w:tcBorders>
              <w:top w:val="single" w:sz="4" w:space="0" w:color="auto"/>
              <w:left w:val="single" w:sz="4" w:space="0" w:color="auto"/>
              <w:bottom w:val="single" w:sz="4" w:space="0" w:color="auto"/>
            </w:tcBorders>
          </w:tcPr>
          <w:p w14:paraId="27285E12" w14:textId="77777777" w:rsidR="00DA0E15" w:rsidRDefault="00362131">
            <w:pPr>
              <w:spacing w:before="0" w:after="0" w:line="240" w:lineRule="auto"/>
              <w:ind w:firstLine="0"/>
              <w:jc w:val="center"/>
              <w:rPr>
                <w:rFonts w:cs="Times New Roman"/>
                <w:b w:val="0"/>
                <w:color w:val="FFFFFF" w:themeColor="background1"/>
                <w:sz w:val="20"/>
                <w:szCs w:val="20"/>
                <w:lang w:val="hy-AM"/>
              </w:rPr>
            </w:pPr>
            <w:r>
              <w:rPr>
                <w:rFonts w:cs="Times New Roman"/>
                <w:bCs w:val="0"/>
                <w:color w:val="FFFFFF" w:themeColor="background1"/>
                <w:sz w:val="20"/>
                <w:szCs w:val="20"/>
                <w:lang w:val="hy-AM"/>
              </w:rPr>
              <w:t>Ծրագրի անվանում</w:t>
            </w:r>
          </w:p>
        </w:tc>
        <w:tc>
          <w:tcPr>
            <w:tcW w:w="1080" w:type="dxa"/>
            <w:tcBorders>
              <w:top w:val="single" w:sz="4" w:space="0" w:color="auto"/>
              <w:left w:val="single" w:sz="4" w:space="0" w:color="auto"/>
              <w:bottom w:val="single" w:sz="4" w:space="0" w:color="auto"/>
            </w:tcBorders>
          </w:tcPr>
          <w:p w14:paraId="52AD911C"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color w:val="FFFFFF" w:themeColor="background1"/>
                <w:sz w:val="20"/>
                <w:szCs w:val="20"/>
                <w:lang w:val="hy-AM"/>
              </w:rPr>
            </w:pPr>
            <w:r>
              <w:rPr>
                <w:rFonts w:cs="Times New Roman"/>
                <w:bCs w:val="0"/>
                <w:color w:val="FFFFFF" w:themeColor="background1"/>
                <w:sz w:val="20"/>
                <w:szCs w:val="20"/>
                <w:lang w:val="hy-AM"/>
              </w:rPr>
              <w:t xml:space="preserve">Այլ </w:t>
            </w:r>
            <w:r>
              <w:rPr>
                <w:rFonts w:cs="Times New Roman"/>
                <w:bCs w:val="0"/>
                <w:color w:val="FFFFFF" w:themeColor="background1"/>
                <w:sz w:val="20"/>
                <w:szCs w:val="20"/>
              </w:rPr>
              <w:t xml:space="preserve">            </w:t>
            </w:r>
            <w:r>
              <w:rPr>
                <w:rFonts w:cs="Times New Roman"/>
                <w:bCs w:val="0"/>
                <w:color w:val="FFFFFF" w:themeColor="background1"/>
                <w:sz w:val="20"/>
                <w:szCs w:val="20"/>
                <w:lang w:val="hy-AM"/>
              </w:rPr>
              <w:t>ՊՊ</w:t>
            </w:r>
          </w:p>
        </w:tc>
        <w:tc>
          <w:tcPr>
            <w:tcW w:w="1953" w:type="dxa"/>
            <w:tcBorders>
              <w:top w:val="single" w:sz="4" w:space="0" w:color="auto"/>
              <w:left w:val="single" w:sz="4" w:space="0" w:color="auto"/>
              <w:bottom w:val="single" w:sz="4" w:space="0" w:color="auto"/>
            </w:tcBorders>
          </w:tcPr>
          <w:p w14:paraId="67A4BE54"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color w:val="FFFFFF" w:themeColor="background1"/>
                <w:sz w:val="20"/>
                <w:szCs w:val="20"/>
                <w:lang w:val="hy-AM"/>
              </w:rPr>
            </w:pPr>
            <w:r>
              <w:rPr>
                <w:rFonts w:cs="Times New Roman"/>
                <w:bCs w:val="0"/>
                <w:color w:val="FFFFFF" w:themeColor="background1"/>
                <w:sz w:val="20"/>
                <w:szCs w:val="20"/>
                <w:lang w:val="hy-AM"/>
              </w:rPr>
              <w:t>Վաղաժամ դադարեցում</w:t>
            </w:r>
          </w:p>
        </w:tc>
        <w:tc>
          <w:tcPr>
            <w:tcW w:w="0" w:type="auto"/>
            <w:tcBorders>
              <w:top w:val="single" w:sz="4" w:space="0" w:color="auto"/>
              <w:left w:val="single" w:sz="4" w:space="0" w:color="auto"/>
              <w:bottom w:val="single" w:sz="4" w:space="0" w:color="auto"/>
            </w:tcBorders>
          </w:tcPr>
          <w:p w14:paraId="36269095"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color w:val="FFFFFF" w:themeColor="background1"/>
                <w:sz w:val="20"/>
                <w:szCs w:val="20"/>
                <w:lang w:val="hy-AM"/>
              </w:rPr>
            </w:pPr>
            <w:r>
              <w:rPr>
                <w:rFonts w:cs="Times New Roman"/>
                <w:bCs w:val="0"/>
                <w:color w:val="FFFFFF" w:themeColor="background1"/>
                <w:sz w:val="20"/>
                <w:szCs w:val="20"/>
                <w:lang w:val="hy-AM"/>
              </w:rPr>
              <w:t>Ընդհանուր ՊՊ</w:t>
            </w:r>
          </w:p>
        </w:tc>
        <w:tc>
          <w:tcPr>
            <w:tcW w:w="0" w:type="auto"/>
            <w:tcBorders>
              <w:top w:val="single" w:sz="4" w:space="0" w:color="auto"/>
              <w:left w:val="single" w:sz="4" w:space="0" w:color="auto"/>
              <w:bottom w:val="single" w:sz="4" w:space="0" w:color="auto"/>
              <w:right w:val="single" w:sz="4" w:space="0" w:color="auto"/>
            </w:tcBorders>
          </w:tcPr>
          <w:p w14:paraId="00856578" w14:textId="77777777" w:rsidR="00DA0E15" w:rsidRDefault="00362131">
            <w:pPr>
              <w:spacing w:before="0"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cs="Times New Roman"/>
                <w:b w:val="0"/>
                <w:color w:val="FFFFFF" w:themeColor="background1"/>
                <w:sz w:val="20"/>
                <w:szCs w:val="20"/>
              </w:rPr>
            </w:pPr>
            <w:r>
              <w:rPr>
                <w:rFonts w:cs="Times New Roman"/>
                <w:bCs w:val="0"/>
                <w:color w:val="FFFFFF" w:themeColor="background1"/>
                <w:sz w:val="20"/>
                <w:szCs w:val="20"/>
                <w:lang w:val="hy-AM"/>
              </w:rPr>
              <w:t>ՀՆԱ նկատմամբ</w:t>
            </w:r>
            <w:r>
              <w:rPr>
                <w:rFonts w:cs="Times New Roman"/>
                <w:bCs w:val="0"/>
                <w:color w:val="FFFFFF" w:themeColor="background1"/>
                <w:sz w:val="20"/>
                <w:szCs w:val="20"/>
              </w:rPr>
              <w:t xml:space="preserve"> %</w:t>
            </w:r>
          </w:p>
        </w:tc>
      </w:tr>
      <w:tr w:rsidR="00DA0E15" w14:paraId="24D47424" w14:textId="77777777" w:rsidTr="00DA0E15">
        <w:trPr>
          <w:trHeight w:val="549"/>
        </w:trPr>
        <w:tc>
          <w:tcPr>
            <w:cnfStyle w:val="001000000000" w:firstRow="0" w:lastRow="0" w:firstColumn="1" w:lastColumn="0" w:oddVBand="0" w:evenVBand="0" w:oddHBand="0" w:evenHBand="0" w:firstRowFirstColumn="0" w:firstRowLastColumn="0" w:lastRowFirstColumn="0" w:lastRowLastColumn="0"/>
            <w:tcW w:w="4158" w:type="dxa"/>
            <w:tcBorders>
              <w:top w:val="single" w:sz="4" w:space="0" w:color="auto"/>
            </w:tcBorders>
            <w:shd w:val="clear" w:color="auto" w:fill="D9E2F3"/>
          </w:tcPr>
          <w:p w14:paraId="44BB4A59" w14:textId="77777777" w:rsidR="00DA0E15" w:rsidRDefault="00362131">
            <w:pPr>
              <w:spacing w:before="0" w:after="0" w:line="240" w:lineRule="auto"/>
              <w:ind w:firstLine="0"/>
              <w:jc w:val="left"/>
              <w:rPr>
                <w:rFonts w:cs="Sylfaen"/>
                <w:sz w:val="20"/>
                <w:szCs w:val="20"/>
                <w:lang w:val="hy-AM"/>
              </w:rPr>
            </w:pPr>
            <w:r>
              <w:rPr>
                <w:rFonts w:cs="Sylfaen"/>
                <w:b w:val="0"/>
                <w:bCs w:val="0"/>
                <w:sz w:val="20"/>
                <w:szCs w:val="20"/>
                <w:lang w:val="hy-AM"/>
              </w:rPr>
              <w:t>«Հարավկովկասյան երկաթուղի» ՓԲԸ</w:t>
            </w:r>
          </w:p>
        </w:tc>
        <w:tc>
          <w:tcPr>
            <w:tcW w:w="1080" w:type="dxa"/>
            <w:tcBorders>
              <w:top w:val="single" w:sz="4" w:space="0" w:color="auto"/>
            </w:tcBorders>
            <w:shd w:val="clear" w:color="auto" w:fill="D9E2F3"/>
            <w:vAlign w:val="center"/>
          </w:tcPr>
          <w:p w14:paraId="60200AA4"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ascii="Calibri" w:hAnsi="Calibri" w:cs="Calibri"/>
                <w:color w:val="000000"/>
                <w:sz w:val="20"/>
                <w:szCs w:val="20"/>
              </w:rPr>
              <w:t> </w:t>
            </w:r>
          </w:p>
        </w:tc>
        <w:tc>
          <w:tcPr>
            <w:tcW w:w="1953" w:type="dxa"/>
            <w:tcBorders>
              <w:top w:val="single" w:sz="4" w:space="0" w:color="auto"/>
            </w:tcBorders>
            <w:shd w:val="clear" w:color="auto" w:fill="D9E2F3"/>
            <w:vAlign w:val="center"/>
          </w:tcPr>
          <w:p w14:paraId="484510B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100,024</w:t>
            </w:r>
            <w:r>
              <w:rPr>
                <w:rFonts w:cs="Calibri"/>
                <w:color w:val="000000"/>
                <w:sz w:val="20"/>
                <w:szCs w:val="20"/>
                <w:lang w:val="hy-AM"/>
              </w:rPr>
              <w:t>.0</w:t>
            </w:r>
          </w:p>
        </w:tc>
        <w:tc>
          <w:tcPr>
            <w:tcW w:w="0" w:type="auto"/>
            <w:tcBorders>
              <w:top w:val="single" w:sz="4" w:space="0" w:color="auto"/>
            </w:tcBorders>
            <w:shd w:val="clear" w:color="auto" w:fill="D9E2F3"/>
            <w:vAlign w:val="center"/>
          </w:tcPr>
          <w:p w14:paraId="1C9E2B5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100,024</w:t>
            </w:r>
            <w:r>
              <w:rPr>
                <w:rFonts w:cs="Calibri"/>
                <w:color w:val="000000"/>
                <w:sz w:val="20"/>
                <w:szCs w:val="20"/>
                <w:lang w:val="hy-AM"/>
              </w:rPr>
              <w:t>.0</w:t>
            </w:r>
          </w:p>
        </w:tc>
        <w:tc>
          <w:tcPr>
            <w:tcW w:w="0" w:type="auto"/>
            <w:tcBorders>
              <w:top w:val="single" w:sz="4" w:space="0" w:color="auto"/>
            </w:tcBorders>
            <w:shd w:val="clear" w:color="auto" w:fill="D9E2F3"/>
            <w:vAlign w:val="center"/>
          </w:tcPr>
          <w:p w14:paraId="7AF1AF0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1.6</w:t>
            </w:r>
          </w:p>
        </w:tc>
      </w:tr>
      <w:tr w:rsidR="00DA0E15" w14:paraId="1E1CA4F4" w14:textId="77777777" w:rsidTr="00DA0E15">
        <w:trPr>
          <w:trHeight w:val="549"/>
        </w:trPr>
        <w:tc>
          <w:tcPr>
            <w:cnfStyle w:val="001000000000" w:firstRow="0" w:lastRow="0" w:firstColumn="1" w:lastColumn="0" w:oddVBand="0" w:evenVBand="0" w:oddHBand="0" w:evenHBand="0" w:firstRowFirstColumn="0" w:firstRowLastColumn="0" w:lastRowFirstColumn="0" w:lastRowLastColumn="0"/>
            <w:tcW w:w="4158" w:type="dxa"/>
          </w:tcPr>
          <w:p w14:paraId="05783F68" w14:textId="77777777" w:rsidR="00DA0E15" w:rsidRDefault="00362131">
            <w:pPr>
              <w:spacing w:before="0" w:after="0" w:line="240" w:lineRule="auto"/>
              <w:ind w:firstLine="0"/>
              <w:jc w:val="left"/>
              <w:rPr>
                <w:rFonts w:cs="Sylfaen"/>
                <w:sz w:val="20"/>
                <w:szCs w:val="20"/>
                <w:lang w:val="hy-AM"/>
              </w:rPr>
            </w:pPr>
            <w:r>
              <w:rPr>
                <w:rFonts w:cs="Sylfaen"/>
                <w:b w:val="0"/>
                <w:bCs w:val="0"/>
                <w:sz w:val="20"/>
                <w:szCs w:val="20"/>
                <w:lang w:val="hy-AM"/>
              </w:rPr>
              <w:t>«Վեոլիա Ջուր» ՓԲԸ</w:t>
            </w:r>
          </w:p>
        </w:tc>
        <w:tc>
          <w:tcPr>
            <w:tcW w:w="1080" w:type="dxa"/>
            <w:vAlign w:val="center"/>
          </w:tcPr>
          <w:p w14:paraId="7125205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18,200</w:t>
            </w:r>
            <w:r>
              <w:rPr>
                <w:rFonts w:cs="Calibri"/>
                <w:color w:val="000000"/>
                <w:sz w:val="20"/>
                <w:szCs w:val="20"/>
                <w:lang w:val="hy-AM"/>
              </w:rPr>
              <w:t>.0</w:t>
            </w:r>
          </w:p>
        </w:tc>
        <w:tc>
          <w:tcPr>
            <w:tcW w:w="1953" w:type="dxa"/>
            <w:vAlign w:val="center"/>
          </w:tcPr>
          <w:p w14:paraId="3856A63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74,585</w:t>
            </w:r>
            <w:r>
              <w:rPr>
                <w:rFonts w:cs="Calibri"/>
                <w:color w:val="000000"/>
                <w:sz w:val="20"/>
                <w:szCs w:val="20"/>
                <w:lang w:val="hy-AM"/>
              </w:rPr>
              <w:t>.0</w:t>
            </w:r>
          </w:p>
        </w:tc>
        <w:tc>
          <w:tcPr>
            <w:tcW w:w="0" w:type="auto"/>
            <w:vAlign w:val="center"/>
          </w:tcPr>
          <w:p w14:paraId="6F33422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92,785</w:t>
            </w:r>
            <w:r>
              <w:rPr>
                <w:rFonts w:cs="Calibri"/>
                <w:color w:val="000000"/>
                <w:sz w:val="20"/>
                <w:szCs w:val="20"/>
                <w:lang w:val="hy-AM"/>
              </w:rPr>
              <w:t>.0</w:t>
            </w:r>
          </w:p>
        </w:tc>
        <w:tc>
          <w:tcPr>
            <w:tcW w:w="0" w:type="auto"/>
            <w:vAlign w:val="center"/>
          </w:tcPr>
          <w:p w14:paraId="1C7DB88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1.5</w:t>
            </w:r>
          </w:p>
        </w:tc>
      </w:tr>
      <w:tr w:rsidR="00DA0E15" w14:paraId="38BA15E9" w14:textId="77777777" w:rsidTr="00DA0E15">
        <w:trPr>
          <w:trHeight w:val="549"/>
        </w:trPr>
        <w:tc>
          <w:tcPr>
            <w:cnfStyle w:val="001000000000" w:firstRow="0" w:lastRow="0" w:firstColumn="1" w:lastColumn="0" w:oddVBand="0" w:evenVBand="0" w:oddHBand="0" w:evenHBand="0" w:firstRowFirstColumn="0" w:firstRowLastColumn="0" w:lastRowFirstColumn="0" w:lastRowLastColumn="0"/>
            <w:tcW w:w="4158" w:type="dxa"/>
            <w:shd w:val="clear" w:color="auto" w:fill="D9E2F3"/>
          </w:tcPr>
          <w:p w14:paraId="4BF0E7ED" w14:textId="77777777" w:rsidR="00DA0E15" w:rsidRDefault="00362131">
            <w:pPr>
              <w:spacing w:before="0" w:after="0" w:line="240" w:lineRule="auto"/>
              <w:ind w:firstLine="0"/>
              <w:jc w:val="left"/>
              <w:rPr>
                <w:rFonts w:cs="Sylfaen"/>
                <w:sz w:val="20"/>
                <w:szCs w:val="20"/>
                <w:lang w:val="hy-AM"/>
              </w:rPr>
            </w:pPr>
            <w:r>
              <w:rPr>
                <w:rFonts w:cs="Sylfaen"/>
                <w:b w:val="0"/>
                <w:bCs w:val="0"/>
                <w:sz w:val="20"/>
                <w:szCs w:val="20"/>
                <w:lang w:val="hy-AM"/>
              </w:rPr>
              <w:t>«Արմենիա միջազգային օդանավակայաններ» ՓԲԸ</w:t>
            </w:r>
          </w:p>
        </w:tc>
        <w:tc>
          <w:tcPr>
            <w:tcW w:w="1080" w:type="dxa"/>
            <w:shd w:val="clear" w:color="auto" w:fill="D9E2F3"/>
            <w:vAlign w:val="center"/>
          </w:tcPr>
          <w:p w14:paraId="73FE4D4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35,776</w:t>
            </w:r>
            <w:r>
              <w:rPr>
                <w:rFonts w:cs="Calibri"/>
                <w:color w:val="000000"/>
                <w:sz w:val="20"/>
                <w:szCs w:val="20"/>
                <w:lang w:val="hy-AM"/>
              </w:rPr>
              <w:t>.0</w:t>
            </w:r>
          </w:p>
        </w:tc>
        <w:tc>
          <w:tcPr>
            <w:tcW w:w="1953" w:type="dxa"/>
            <w:shd w:val="clear" w:color="auto" w:fill="D9E2F3"/>
            <w:vAlign w:val="center"/>
          </w:tcPr>
          <w:p w14:paraId="7DE7A95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Առկա չէ</w:t>
            </w:r>
          </w:p>
        </w:tc>
        <w:tc>
          <w:tcPr>
            <w:tcW w:w="0" w:type="auto"/>
            <w:shd w:val="clear" w:color="auto" w:fill="D9E2F3"/>
            <w:vAlign w:val="center"/>
          </w:tcPr>
          <w:p w14:paraId="3B58FEF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35,776</w:t>
            </w:r>
            <w:r>
              <w:rPr>
                <w:rFonts w:cs="Calibri"/>
                <w:color w:val="000000"/>
                <w:sz w:val="20"/>
                <w:szCs w:val="20"/>
                <w:lang w:val="hy-AM"/>
              </w:rPr>
              <w:t>.0</w:t>
            </w:r>
          </w:p>
        </w:tc>
        <w:tc>
          <w:tcPr>
            <w:tcW w:w="0" w:type="auto"/>
            <w:shd w:val="clear" w:color="auto" w:fill="D9E2F3"/>
            <w:vAlign w:val="center"/>
          </w:tcPr>
          <w:p w14:paraId="603A541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0.6</w:t>
            </w:r>
          </w:p>
        </w:tc>
      </w:tr>
      <w:tr w:rsidR="00DA0E15" w14:paraId="5A5CDC8D" w14:textId="77777777" w:rsidTr="00DA0E15">
        <w:trPr>
          <w:trHeight w:val="549"/>
        </w:trPr>
        <w:tc>
          <w:tcPr>
            <w:cnfStyle w:val="001000000000" w:firstRow="0" w:lastRow="0" w:firstColumn="1" w:lastColumn="0" w:oddVBand="0" w:evenVBand="0" w:oddHBand="0" w:evenHBand="0" w:firstRowFirstColumn="0" w:firstRowLastColumn="0" w:lastRowFirstColumn="0" w:lastRowLastColumn="0"/>
            <w:tcW w:w="4158" w:type="dxa"/>
          </w:tcPr>
          <w:p w14:paraId="55E74DA8" w14:textId="77777777" w:rsidR="00DA0E15" w:rsidRDefault="00362131">
            <w:pPr>
              <w:spacing w:before="0" w:after="0" w:line="240" w:lineRule="auto"/>
              <w:ind w:firstLine="0"/>
              <w:jc w:val="left"/>
              <w:rPr>
                <w:rFonts w:cs="Sylfaen"/>
                <w:sz w:val="20"/>
                <w:szCs w:val="20"/>
                <w:lang w:val="hy-AM"/>
              </w:rPr>
            </w:pPr>
            <w:r>
              <w:rPr>
                <w:rFonts w:cs="Sylfaen"/>
                <w:b w:val="0"/>
                <w:bCs w:val="0"/>
                <w:sz w:val="20"/>
                <w:szCs w:val="20"/>
                <w:lang w:val="hy-AM"/>
              </w:rPr>
              <w:t>«Քոնթուր Գլոբալ հիդրո կասկադ»  ՓԲԸ</w:t>
            </w:r>
          </w:p>
        </w:tc>
        <w:tc>
          <w:tcPr>
            <w:tcW w:w="1080" w:type="dxa"/>
            <w:vAlign w:val="center"/>
          </w:tcPr>
          <w:p w14:paraId="259B00D9"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ascii="Calibri" w:hAnsi="Calibri" w:cs="Calibri"/>
                <w:color w:val="000000"/>
                <w:sz w:val="20"/>
                <w:szCs w:val="20"/>
                <w:lang w:val="hy-AM"/>
              </w:rPr>
              <w:t> </w:t>
            </w:r>
          </w:p>
        </w:tc>
        <w:tc>
          <w:tcPr>
            <w:tcW w:w="1953" w:type="dxa"/>
            <w:vAlign w:val="center"/>
          </w:tcPr>
          <w:p w14:paraId="467C3E01"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99,600</w:t>
            </w:r>
            <w:r>
              <w:rPr>
                <w:rFonts w:cs="Calibri"/>
                <w:color w:val="000000"/>
                <w:sz w:val="20"/>
                <w:szCs w:val="20"/>
                <w:lang w:val="hy-AM"/>
              </w:rPr>
              <w:t>.0</w:t>
            </w:r>
          </w:p>
        </w:tc>
        <w:tc>
          <w:tcPr>
            <w:tcW w:w="0" w:type="auto"/>
            <w:vAlign w:val="center"/>
          </w:tcPr>
          <w:p w14:paraId="2763768B"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99,600</w:t>
            </w:r>
            <w:r>
              <w:rPr>
                <w:rFonts w:cs="Calibri"/>
                <w:color w:val="000000"/>
                <w:sz w:val="20"/>
                <w:szCs w:val="20"/>
                <w:lang w:val="hy-AM"/>
              </w:rPr>
              <w:t>.0</w:t>
            </w:r>
          </w:p>
        </w:tc>
        <w:tc>
          <w:tcPr>
            <w:tcW w:w="0" w:type="auto"/>
            <w:vAlign w:val="center"/>
          </w:tcPr>
          <w:p w14:paraId="2DC7859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1.6</w:t>
            </w:r>
          </w:p>
        </w:tc>
      </w:tr>
      <w:tr w:rsidR="00DA0E15" w14:paraId="3D1A6F62" w14:textId="77777777" w:rsidTr="00DA0E15">
        <w:trPr>
          <w:trHeight w:val="549"/>
        </w:trPr>
        <w:tc>
          <w:tcPr>
            <w:cnfStyle w:val="001000000000" w:firstRow="0" w:lastRow="0" w:firstColumn="1" w:lastColumn="0" w:oddVBand="0" w:evenVBand="0" w:oddHBand="0" w:evenHBand="0" w:firstRowFirstColumn="0" w:firstRowLastColumn="0" w:lastRowFirstColumn="0" w:lastRowLastColumn="0"/>
            <w:tcW w:w="4158" w:type="dxa"/>
            <w:shd w:val="clear" w:color="auto" w:fill="D9E2F3"/>
          </w:tcPr>
          <w:p w14:paraId="3786003D" w14:textId="77777777" w:rsidR="00DA0E15" w:rsidRDefault="00362131">
            <w:pPr>
              <w:spacing w:before="0" w:after="0" w:line="240" w:lineRule="auto"/>
              <w:ind w:firstLine="0"/>
              <w:jc w:val="left"/>
              <w:rPr>
                <w:rFonts w:cs="Sylfaen"/>
                <w:sz w:val="20"/>
                <w:szCs w:val="20"/>
                <w:lang w:val="hy-AM"/>
              </w:rPr>
            </w:pPr>
            <w:r>
              <w:rPr>
                <w:rFonts w:cs="Sylfaen"/>
                <w:b w:val="0"/>
                <w:bCs w:val="0"/>
                <w:sz w:val="20"/>
                <w:szCs w:val="20"/>
                <w:lang w:val="hy-AM"/>
              </w:rPr>
              <w:t>«Արմփաուեր» ՓԲԸ</w:t>
            </w:r>
          </w:p>
        </w:tc>
        <w:tc>
          <w:tcPr>
            <w:tcW w:w="1080" w:type="dxa"/>
            <w:shd w:val="clear" w:color="auto" w:fill="D9E2F3"/>
            <w:vAlign w:val="center"/>
          </w:tcPr>
          <w:p w14:paraId="2AC3F708"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ascii="Calibri" w:hAnsi="Calibri" w:cs="Calibri"/>
                <w:color w:val="000000"/>
                <w:sz w:val="20"/>
                <w:szCs w:val="20"/>
              </w:rPr>
              <w:t> </w:t>
            </w:r>
          </w:p>
        </w:tc>
        <w:tc>
          <w:tcPr>
            <w:tcW w:w="1953" w:type="dxa"/>
            <w:shd w:val="clear" w:color="auto" w:fill="D9E2F3"/>
            <w:vAlign w:val="center"/>
          </w:tcPr>
          <w:p w14:paraId="3AE8C3B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156,000</w:t>
            </w:r>
            <w:r>
              <w:rPr>
                <w:rFonts w:cs="Calibri"/>
                <w:color w:val="000000"/>
                <w:sz w:val="20"/>
                <w:szCs w:val="20"/>
                <w:lang w:val="hy-AM"/>
              </w:rPr>
              <w:t>.0</w:t>
            </w:r>
          </w:p>
        </w:tc>
        <w:tc>
          <w:tcPr>
            <w:tcW w:w="0" w:type="auto"/>
            <w:shd w:val="clear" w:color="auto" w:fill="D9E2F3"/>
            <w:vAlign w:val="center"/>
          </w:tcPr>
          <w:p w14:paraId="0EA8830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156,000</w:t>
            </w:r>
            <w:r>
              <w:rPr>
                <w:rFonts w:cs="Calibri"/>
                <w:color w:val="000000"/>
                <w:sz w:val="20"/>
                <w:szCs w:val="20"/>
                <w:lang w:val="hy-AM"/>
              </w:rPr>
              <w:t>.0</w:t>
            </w:r>
          </w:p>
        </w:tc>
        <w:tc>
          <w:tcPr>
            <w:tcW w:w="0" w:type="auto"/>
            <w:shd w:val="clear" w:color="auto" w:fill="D9E2F3"/>
            <w:vAlign w:val="center"/>
          </w:tcPr>
          <w:p w14:paraId="71B80EBD"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2.5</w:t>
            </w:r>
          </w:p>
        </w:tc>
      </w:tr>
      <w:tr w:rsidR="00DA0E15" w14:paraId="1445A915" w14:textId="77777777" w:rsidTr="00DA0E15">
        <w:trPr>
          <w:trHeight w:val="549"/>
        </w:trPr>
        <w:tc>
          <w:tcPr>
            <w:cnfStyle w:val="001000000000" w:firstRow="0" w:lastRow="0" w:firstColumn="1" w:lastColumn="0" w:oddVBand="0" w:evenVBand="0" w:oddHBand="0" w:evenHBand="0" w:firstRowFirstColumn="0" w:firstRowLastColumn="0" w:lastRowFirstColumn="0" w:lastRowLastColumn="0"/>
            <w:tcW w:w="4158" w:type="dxa"/>
          </w:tcPr>
          <w:p w14:paraId="3A2FCCDB" w14:textId="77777777" w:rsidR="00DA0E15" w:rsidRDefault="00362131">
            <w:pPr>
              <w:spacing w:before="0" w:after="0" w:line="240" w:lineRule="auto"/>
              <w:ind w:firstLine="0"/>
              <w:jc w:val="left"/>
              <w:rPr>
                <w:rFonts w:cs="Sylfaen"/>
                <w:sz w:val="20"/>
                <w:szCs w:val="20"/>
                <w:lang w:val="hy-AM"/>
              </w:rPr>
            </w:pPr>
            <w:r>
              <w:rPr>
                <w:rFonts w:cs="Sylfaen"/>
                <w:b w:val="0"/>
                <w:bCs w:val="0"/>
                <w:sz w:val="20"/>
                <w:szCs w:val="20"/>
                <w:lang w:val="hy-AM"/>
              </w:rPr>
              <w:t>«Էֆարվի Մասրիկ» ՓԲԸ</w:t>
            </w:r>
          </w:p>
        </w:tc>
        <w:tc>
          <w:tcPr>
            <w:tcW w:w="1080" w:type="dxa"/>
            <w:vAlign w:val="center"/>
          </w:tcPr>
          <w:p w14:paraId="56D2C79F"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ascii="Calibri" w:hAnsi="Calibri" w:cs="Calibri"/>
                <w:color w:val="000000"/>
                <w:sz w:val="20"/>
                <w:szCs w:val="20"/>
              </w:rPr>
              <w:t> </w:t>
            </w:r>
          </w:p>
        </w:tc>
        <w:tc>
          <w:tcPr>
            <w:tcW w:w="1953" w:type="dxa"/>
            <w:vAlign w:val="center"/>
          </w:tcPr>
          <w:p w14:paraId="6F410556"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26,169</w:t>
            </w:r>
            <w:r>
              <w:rPr>
                <w:rFonts w:cs="Calibri"/>
                <w:color w:val="000000"/>
                <w:sz w:val="20"/>
                <w:szCs w:val="20"/>
                <w:lang w:val="hy-AM"/>
              </w:rPr>
              <w:t>.0</w:t>
            </w:r>
          </w:p>
        </w:tc>
        <w:tc>
          <w:tcPr>
            <w:tcW w:w="0" w:type="auto"/>
            <w:vAlign w:val="center"/>
          </w:tcPr>
          <w:p w14:paraId="2C76A7A2"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26,169</w:t>
            </w:r>
            <w:r>
              <w:rPr>
                <w:rFonts w:cs="Calibri"/>
                <w:color w:val="000000"/>
                <w:sz w:val="20"/>
                <w:szCs w:val="20"/>
                <w:lang w:val="hy-AM"/>
              </w:rPr>
              <w:t>.0</w:t>
            </w:r>
          </w:p>
        </w:tc>
        <w:tc>
          <w:tcPr>
            <w:tcW w:w="0" w:type="auto"/>
            <w:vAlign w:val="center"/>
          </w:tcPr>
          <w:p w14:paraId="5F09C133"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0.4</w:t>
            </w:r>
          </w:p>
        </w:tc>
      </w:tr>
      <w:tr w:rsidR="00DA0E15" w14:paraId="508CB06E" w14:textId="77777777" w:rsidTr="00DA0E15">
        <w:trPr>
          <w:trHeight w:val="549"/>
        </w:trPr>
        <w:tc>
          <w:tcPr>
            <w:cnfStyle w:val="001000000000" w:firstRow="0" w:lastRow="0" w:firstColumn="1" w:lastColumn="0" w:oddVBand="0" w:evenVBand="0" w:oddHBand="0" w:evenHBand="0" w:firstRowFirstColumn="0" w:firstRowLastColumn="0" w:lastRowFirstColumn="0" w:lastRowLastColumn="0"/>
            <w:tcW w:w="4158" w:type="dxa"/>
            <w:shd w:val="clear" w:color="auto" w:fill="D9E2F3"/>
          </w:tcPr>
          <w:p w14:paraId="4F743F27" w14:textId="77777777" w:rsidR="00DA0E15" w:rsidRDefault="00362131">
            <w:pPr>
              <w:spacing w:before="0" w:after="0" w:line="240" w:lineRule="auto"/>
              <w:ind w:firstLine="0"/>
              <w:jc w:val="left"/>
              <w:rPr>
                <w:rFonts w:cs="Sylfaen"/>
                <w:sz w:val="20"/>
                <w:szCs w:val="20"/>
                <w:lang w:val="hy-AM"/>
              </w:rPr>
            </w:pPr>
            <w:r>
              <w:rPr>
                <w:rFonts w:cs="Sylfaen"/>
                <w:b w:val="0"/>
                <w:bCs w:val="0"/>
                <w:sz w:val="20"/>
                <w:szCs w:val="20"/>
                <w:lang w:val="hy-AM"/>
              </w:rPr>
              <w:t>Ընդամենը</w:t>
            </w:r>
          </w:p>
        </w:tc>
        <w:tc>
          <w:tcPr>
            <w:tcW w:w="1080" w:type="dxa"/>
            <w:shd w:val="clear" w:color="auto" w:fill="D9E2F3"/>
            <w:vAlign w:val="center"/>
          </w:tcPr>
          <w:p w14:paraId="39A7A1AC"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53,976</w:t>
            </w:r>
            <w:r>
              <w:rPr>
                <w:rFonts w:cs="Calibri"/>
                <w:color w:val="000000"/>
                <w:sz w:val="20"/>
                <w:szCs w:val="20"/>
                <w:lang w:val="hy-AM"/>
              </w:rPr>
              <w:t>.0</w:t>
            </w:r>
          </w:p>
        </w:tc>
        <w:tc>
          <w:tcPr>
            <w:tcW w:w="1953" w:type="dxa"/>
            <w:shd w:val="clear" w:color="auto" w:fill="D9E2F3"/>
            <w:vAlign w:val="center"/>
          </w:tcPr>
          <w:p w14:paraId="6EF2098A"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456,378</w:t>
            </w:r>
            <w:r>
              <w:rPr>
                <w:rFonts w:cs="Calibri"/>
                <w:color w:val="000000"/>
                <w:sz w:val="20"/>
                <w:szCs w:val="20"/>
                <w:lang w:val="hy-AM"/>
              </w:rPr>
              <w:t>.0</w:t>
            </w:r>
          </w:p>
        </w:tc>
        <w:tc>
          <w:tcPr>
            <w:tcW w:w="0" w:type="auto"/>
            <w:shd w:val="clear" w:color="auto" w:fill="D9E2F3"/>
            <w:vAlign w:val="center"/>
          </w:tcPr>
          <w:p w14:paraId="5664ECF7"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510,354</w:t>
            </w:r>
            <w:r>
              <w:rPr>
                <w:rFonts w:cs="Calibri"/>
                <w:color w:val="000000"/>
                <w:sz w:val="20"/>
                <w:szCs w:val="20"/>
                <w:lang w:val="hy-AM"/>
              </w:rPr>
              <w:t>.0</w:t>
            </w:r>
          </w:p>
        </w:tc>
        <w:tc>
          <w:tcPr>
            <w:tcW w:w="0" w:type="auto"/>
            <w:shd w:val="clear" w:color="auto" w:fill="D9E2F3"/>
            <w:vAlign w:val="center"/>
          </w:tcPr>
          <w:p w14:paraId="78E3A70E" w14:textId="77777777" w:rsidR="00DA0E15" w:rsidRDefault="00362131">
            <w:pPr>
              <w:spacing w:before="0"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hy-AM"/>
              </w:rPr>
            </w:pPr>
            <w:r>
              <w:rPr>
                <w:rFonts w:cs="Calibri"/>
                <w:color w:val="000000"/>
                <w:sz w:val="20"/>
                <w:szCs w:val="20"/>
              </w:rPr>
              <w:t>8.26</w:t>
            </w:r>
          </w:p>
        </w:tc>
      </w:tr>
    </w:tbl>
    <w:p w14:paraId="40595EFA" w14:textId="77777777" w:rsidR="00DA0E15" w:rsidRDefault="00DA0E15">
      <w:pPr>
        <w:shd w:val="clear" w:color="auto" w:fill="FFFFFF"/>
        <w:spacing w:before="0" w:after="0" w:line="276" w:lineRule="auto"/>
        <w:ind w:right="150" w:firstLine="0"/>
        <w:rPr>
          <w:rFonts w:eastAsia="Times New Roman" w:cs="Times New Roman"/>
          <w:color w:val="000000"/>
          <w:lang w:val="hy-AM" w:eastAsia="ru-RU"/>
        </w:rPr>
      </w:pPr>
    </w:p>
    <w:p w14:paraId="3F9D6FB1" w14:textId="77777777" w:rsidR="00DA0E15" w:rsidRDefault="00362131">
      <w:pPr>
        <w:shd w:val="clear" w:color="auto" w:fill="FFFFFF"/>
        <w:spacing w:before="0" w:after="0" w:line="276" w:lineRule="auto"/>
        <w:ind w:right="150" w:firstLine="227"/>
        <w:rPr>
          <w:rFonts w:eastAsia="Times New Roman" w:cs="Times New Roman"/>
          <w:color w:val="000000"/>
          <w:lang w:val="hy-AM" w:eastAsia="ru-RU"/>
        </w:rPr>
      </w:pPr>
      <w:r>
        <w:rPr>
          <w:rFonts w:eastAsia="Times New Roman" w:cs="Times New Roman"/>
          <w:color w:val="000000"/>
          <w:lang w:val="hy-AM" w:eastAsia="ru-RU"/>
        </w:rPr>
        <w:t>Հաշվարկը հիմնված է 2020թ. վերջին արդեն իսկ մշակված պարտավորությունների տվյալների բազայի թարմացված տարբերակի վրա: Հաշվարկների իրականցման համար իրենց գործուն աջակցությունն են ցուցաբերել նաև ԱԶԲ-ն և ԱՄՀ-ն:</w:t>
      </w:r>
    </w:p>
    <w:p w14:paraId="15D2AF19" w14:textId="77777777" w:rsidR="00DA0E15" w:rsidRDefault="00DA0E15">
      <w:pPr>
        <w:shd w:val="clear" w:color="auto" w:fill="FFFFFF"/>
        <w:spacing w:before="0" w:after="0" w:line="276" w:lineRule="auto"/>
        <w:ind w:right="150" w:firstLine="450"/>
        <w:rPr>
          <w:rFonts w:eastAsia="Times New Roman" w:cs="Times New Roman"/>
          <w:color w:val="000000"/>
          <w:lang w:val="hy-AM" w:eastAsia="ru-RU"/>
        </w:rPr>
      </w:pPr>
    </w:p>
    <w:p w14:paraId="4E9404BC" w14:textId="77777777" w:rsidR="00DA0E15" w:rsidRDefault="00362131">
      <w:pPr>
        <w:shd w:val="clear" w:color="auto" w:fill="FFFFFF"/>
        <w:spacing w:before="0" w:after="0" w:line="276" w:lineRule="auto"/>
        <w:ind w:right="150" w:firstLine="450"/>
        <w:jc w:val="center"/>
        <w:rPr>
          <w:rFonts w:eastAsia="Times New Roman" w:cs="Times New Roman"/>
          <w:b/>
          <w:color w:val="000000"/>
          <w:lang w:val="hy-AM" w:eastAsia="ru-RU"/>
        </w:rPr>
      </w:pPr>
      <w:r>
        <w:rPr>
          <w:rFonts w:eastAsia="Times New Roman" w:cs="Times New Roman"/>
          <w:b/>
          <w:color w:val="000000"/>
          <w:lang w:val="hy-AM" w:eastAsia="ru-RU"/>
        </w:rPr>
        <w:t>Բնական և մարդածին աղետներից առաջացող ֆիսկալ ռիսկեր</w:t>
      </w:r>
    </w:p>
    <w:p w14:paraId="1F86720C" w14:textId="77777777" w:rsidR="00DA0E15" w:rsidRDefault="00DA0E15">
      <w:pPr>
        <w:shd w:val="clear" w:color="auto" w:fill="FFFFFF"/>
        <w:spacing w:before="0" w:after="0" w:line="276" w:lineRule="auto"/>
        <w:ind w:right="150" w:firstLine="450"/>
        <w:jc w:val="center"/>
        <w:rPr>
          <w:rFonts w:eastAsia="Times New Roman" w:cs="Times New Roman"/>
          <w:b/>
          <w:color w:val="000000"/>
          <w:lang w:val="hy-AM" w:eastAsia="ru-RU"/>
        </w:rPr>
      </w:pPr>
    </w:p>
    <w:p w14:paraId="03D1F05C"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Աղետների ռիսկերը կարող են ունենալ հիմնականում բնական պատճառներ, հատկապես՝ հիդրոօդերևութաբանական (ջրհեղեղներ, կարկտահարություն, ցրտահարություն, երաշտ, փոթորիկ), երկրաֆիզիկական (երկրաշարժ, հրաբխի ժայթքում, սողանք), կենսաբանական (համաճարակներ և պանդեմիաներ, սանիտարական այլ ճգնաժամեր), տիեզերական (հեռահաղորդակցության և էլեկտրաէներգետիկ խափանումների հանգեցնող արեգակնային փոթորիկներ): Սակայն, կարող են լինել նաև այլ պատճառներ, հատկապես՝ տեխնոլոգիական, բնատեխնածին:</w:t>
      </w:r>
    </w:p>
    <w:p w14:paraId="27FE9D2A"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 xml:space="preserve">2019թ. բնական աղետների (կարկտահարություն և ցրտահարություն) հետևանքով վնասվել է 15698 հա ցանքատարածություններ, որոնց հասցված ընդհանուր վնասը կազմել է 9,578 մլն դրամ: 50-100% տուժած հողօգտագործողներին տրամադրվել է 437.0 մլն դրամ գումարի փոխհատուցում: 2020թ. տեղի ունեցած բնական աղետների հետևանքով կրած վնասի փոխհատուցում չի նախատեսվել, քանի որ պետական աջակցության միջոցով իրականացվում է գյուղատնտեսության ոլորտում ապահովագրական համակարգի ներդրման փորձնական ծրագիր: </w:t>
      </w:r>
    </w:p>
    <w:p w14:paraId="6DE02062"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 xml:space="preserve">2021թ. գյուղատնտեսական տարվա համար ապահովագրվող մշակաբույսերի ցանկը և ծրագիրն ընդգրկող մարզերի շրջանակն ընդլայնվել է՝ ներառելով կարտոֆիլ, սալոր և ձմերուկ/սեխ մշակաբույսերը։ 2021 թվականի մարտի 31-ի դրությամբ ապահովագրական ընկերությունները կնքել են 2581 ապահովագրական պայմանագիր, ապահովագրավճարը կազմել է շուրջ 439.3 մլն դրամ, որից սուբսիդավորված գումարը՝ շուրջ 256.6 մլն դրամ։ Կնքված պայմանագրերի արդյունքում ապահովագրված այգիների և ցանքատարածությունների մակերեսը կազմել է 3952 հա։ Գյուղատնտեսության ապահովագրության պայմանագրերի կնքման գործընթացը շարունակվում է։ 2021թ. ՀՀ պետական բյուջեով միջոցառման համար նախատեսվող գումարի չափը կկազմի է 500 մլն դրամ։ </w:t>
      </w:r>
    </w:p>
    <w:p w14:paraId="4A473E6C"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Հայաստանը նաև մեծապես ենթարկվում է երկրաշարժի ռիսկի՝ ինչպես ցույց է տվել 1988թ. Սպիտակի երկրաշարժը: Երևանի տարածաշրջանը սեյսմագետների կողմից  համարվում է բարձր ռիսկի գոտի, մասնավորապես՝ Գառնու խզվածքի պատճառով, և այստեղ առկա է խոշոր, ավերիչ երկրաշարժերի պատմություն: Այդ տարածքում խոշոր երկրաշարժը կարող է ծանր մակրոտնտեսական հետևանքներ ունենալ: Հայաստանը պատմականորեն խոցելի է եղել երկրաշարժերի տեսանկյունից: 1988թ. տեղի ունեցած վերջին ավերիչ երկրաշարժի հետևանքով երկրի հյուսիսային շրջաններում պատճառված տնտեսական վնասները կազմել են մոտավորապես 15-20 մլրդ ԱՄՆ դոլար: Նշված վնասները գերազանցում էին նախկին Հայկական ԽՍՀ ՀՆԱ-ն:</w:t>
      </w:r>
    </w:p>
    <w:p w14:paraId="2A328197"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Համաձայն աղետների ռիսկի կառավարման վերաբերյալ ԱԶԲ 2014թ. զեկույցի, Երևանում 7.0 բալ ուժգնությամբ երկրաշարժի հետևանքով կարող է զոհվել մինչև 300 հազար մարդ, ինչը պայմանավորված է ոչ համարժեք, խորհրդային ժամանակաշրջանի մեծաթիվ շենքերի, հատկապես՝ խոշոր բազմաբնակարան շենքերի առկայությամբ:</w:t>
      </w:r>
    </w:p>
    <w:p w14:paraId="6EA234DA"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Նախնական ուսումնասիրությունները ցույց են տալիս, որ տնտեսական վնասները կարող են կազմել մինչև ՀՆԱ 100 տոկոսը (Համաշխարհային Բանկ և ԱԶԲ):</w:t>
      </w:r>
    </w:p>
    <w:p w14:paraId="5FD27579"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 xml:space="preserve">Համաձայն Հայաստանում աղետների ռիսկի ֆինանսավորման վերաբերյալ Համաշխարհային բանկի 2017թ. զեկույցի, փաստ է, որ Սպիտակի երկրաշարժի հետևանքներից վերականգնումը շարունակելու ուղղությամբ ծախսեր իրականացվում էին առնվազն մինչև 2015թ.: Ակնհայտ է, որ խոշոր երկրաշարժի համար Հայաստանի ֆիսկալ ճկունությունը փոքր է, հետևաբար առավել քան անհրաժեշտ են նման իրադարձության ազդեցությունը (զոհեր, տնտեսական ու ֆիսկալ ազդեցություններ) նախօրոք նվազեցնելուն ուղղված՝ ռիսկերի կրճատման բոլոր ջանքերը, հատկապես՝ շենքերի արդիականացումը և ամրացումը, որի համար հնարավոր են ցածր ծախսատարությամբ լուծումներ և որի մասով Հայաստանն ունի փորձառություն: </w:t>
      </w:r>
    </w:p>
    <w:p w14:paraId="27F17A8D"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2016թ. մեկնարկել է «Սեյսմիկ անվտանգության բարելավման ծրագիրը», որը նախատեսված է ավարտել 2024 թվականի մայիս ամսին:</w:t>
      </w:r>
    </w:p>
    <w:p w14:paraId="75F733A8"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 xml:space="preserve">Ծրագիր շրջանակներում ընդգրկված են 46 դպրոցներ, որոնցից փաստացի կառուցվել և հանձնվել է շահագործման 6 դպրոց, 1 դպրոց գտնվում է շահագործման հանձման գործընթացում, 12 դպրոցներ գտնվում են շինարարության փուլում, 2 դպրոցների նախագծային աշխատանքները ավարտվել են, 13 դպրոցներ գտնվում է նախագծման տարբեր փուլերում, 2 դպրոցների համար իրականացվում է շենքերի տեխնիկական վիճակի ուսումնասիրության աշխատանքներ, ևս 10 դպրոցների ուղղությամբ դեռևս աշխատանքներ չեն կատարվում: </w:t>
      </w:r>
    </w:p>
    <w:p w14:paraId="2785BC54"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Ծրագրի շրջանակներում նախատեսվում է անվտանգ կրթական պայմաններ ստեղծել 19800 աշակերտների համար, ինչը կազմում է պետական դպրոցներում սովորող աշակերտների 5%։</w:t>
      </w:r>
    </w:p>
    <w:p w14:paraId="5096A593"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 xml:space="preserve"> ՀՀ 2021թ. պետական բյուջեով ծրագրի իրականացման համար նախատեսված է 4.1 մլրդ դրամ: </w:t>
      </w:r>
    </w:p>
    <w:p w14:paraId="3E5AE80C"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Կենսաբանական վտանգների առումով, ինչպես այլ երկրներում, այնպես էլ ՀՀ-ում, Covid-19 համավարակի տարածումը՝ չնայած վաղ ձեռնարկված միջոցառումներին այն տարբեր կասկադային ազդեցությունների միջոցով վերածվեց տնտեսական և սոցիալական ճգնաժամի՝ 2020թ. տեղի ունեցած տնտեսական անկմամբ: Կորոնավիրուսային համավարակի տնտեսական ու սոցիալական հետևանքների չեզոքացման համար 2020թ. և 2021թ. նախատեսվել է համապատասխանաբար՝ 71.8 մլրդ ՀՀ դրամ և 23.7 մլրդ ՀՀ դրամ:</w:t>
      </w:r>
    </w:p>
    <w:p w14:paraId="4084E090" w14:textId="77777777" w:rsidR="00DA0E15" w:rsidRDefault="00DA0E15">
      <w:pPr>
        <w:shd w:val="clear" w:color="auto" w:fill="FFFFFF"/>
        <w:spacing w:before="0" w:after="0" w:line="276" w:lineRule="auto"/>
        <w:ind w:right="150" w:firstLine="450"/>
        <w:rPr>
          <w:rFonts w:eastAsia="Times New Roman" w:cs="Times New Roman"/>
          <w:color w:val="000000"/>
          <w:lang w:val="hy-AM" w:eastAsia="ru-RU"/>
        </w:rPr>
      </w:pPr>
    </w:p>
    <w:p w14:paraId="44A7C3BD" w14:textId="77777777" w:rsidR="00DA0E15" w:rsidRDefault="00362131">
      <w:pPr>
        <w:spacing w:before="0" w:after="0" w:line="276" w:lineRule="auto"/>
        <w:ind w:firstLine="426"/>
        <w:jc w:val="center"/>
        <w:rPr>
          <w:rFonts w:eastAsia="Times New Roman" w:cs="Times New Roman"/>
          <w:b/>
          <w:bCs/>
          <w:lang w:val="hy-AM" w:eastAsia="ru-RU"/>
        </w:rPr>
      </w:pPr>
      <w:r>
        <w:rPr>
          <w:rFonts w:eastAsia="Times New Roman" w:cs="Times New Roman"/>
          <w:b/>
          <w:bCs/>
          <w:lang w:val="hy-AM" w:eastAsia="ru-RU"/>
        </w:rPr>
        <w:t>Պետության դեմ իրականացվող դատական վարույթներից առաջացող ֆիսկալ ռիսկեր</w:t>
      </w:r>
    </w:p>
    <w:p w14:paraId="730CF1D0" w14:textId="77777777" w:rsidR="00DA0E15" w:rsidRDefault="00DA0E15">
      <w:pPr>
        <w:shd w:val="clear" w:color="auto" w:fill="FFFFFF"/>
        <w:spacing w:before="0" w:after="0" w:line="276" w:lineRule="auto"/>
        <w:ind w:right="150" w:firstLine="0"/>
        <w:rPr>
          <w:rFonts w:eastAsia="Times New Roman" w:cs="Times New Roman"/>
          <w:color w:val="000000"/>
          <w:lang w:val="hy-AM" w:eastAsia="ru-RU"/>
        </w:rPr>
      </w:pPr>
    </w:p>
    <w:p w14:paraId="52A5B5B1"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 xml:space="preserve">ՀՀ ՖՆ մասնակցությամբ պետության դեմ քննվող հայցերի քանակը 2021թ. մայիսի դրությամբ կազմում է 917, մոտ 11.7 մլրդ ՀՀ դրամի, 1.6 մլն  ԱՄՆ դոլարի, 606.4 հազ. եվրոյի և 3.6 մլն չեխական կրոն հայցագնով: </w:t>
      </w:r>
    </w:p>
    <w:p w14:paraId="3A382E54"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Բացի վերը նշված հայցերից, առկա են առավել նշանակալի այլ հայցեր՝ ընդդեմ ՀՀ Պետական եկամուտների կոմիտեի: Ներկայացված հայցերով ՀՀ դատարաններում վիճարկվում է 2943 դատական գործ՝  մոտ 126.8 մլրդ դրամ գումարի չափով։</w:t>
      </w:r>
    </w:p>
    <w:p w14:paraId="18561CFE"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Անհրաժեշտ է նշել, որ ռիսկի իրական մակարդակը շատ ավելի ցածր է, քանի որ հայցվորները ոչ բոլոր գործերն են հաղթում, իսկ հաղթելու պարագայում վճռով հաճախ սահմանվում են ավելի փոքր գումարներ:</w:t>
      </w:r>
    </w:p>
    <w:p w14:paraId="3AA2F2E6" w14:textId="77777777" w:rsidR="00DA0E15" w:rsidRDefault="00DA0E15">
      <w:pPr>
        <w:shd w:val="clear" w:color="auto" w:fill="FFFFFF"/>
        <w:spacing w:before="0" w:after="0" w:line="276" w:lineRule="auto"/>
        <w:ind w:right="150" w:firstLine="450"/>
        <w:rPr>
          <w:rFonts w:eastAsia="Times New Roman" w:cs="Times New Roman"/>
          <w:color w:val="000000"/>
          <w:lang w:val="hy-AM" w:eastAsia="ru-RU"/>
        </w:rPr>
      </w:pPr>
    </w:p>
    <w:p w14:paraId="184D24FE" w14:textId="77777777" w:rsidR="00DA0E15" w:rsidRDefault="00362131">
      <w:pPr>
        <w:spacing w:before="0" w:after="0" w:line="276" w:lineRule="auto"/>
        <w:ind w:firstLine="426"/>
        <w:jc w:val="center"/>
        <w:rPr>
          <w:rFonts w:eastAsia="Times New Roman" w:cs="Times New Roman"/>
          <w:b/>
          <w:bCs/>
          <w:lang w:val="hy-AM" w:eastAsia="ru-RU"/>
        </w:rPr>
      </w:pPr>
      <w:r>
        <w:rPr>
          <w:rFonts w:eastAsia="Times New Roman" w:cs="Times New Roman"/>
          <w:b/>
          <w:bCs/>
          <w:lang w:val="hy-AM" w:eastAsia="ru-RU"/>
        </w:rPr>
        <w:t>Հնարավոր բնապահպանական պարտավորությունների հետևանքով առաջացող ֆիսկալ ռիսկեր</w:t>
      </w:r>
    </w:p>
    <w:p w14:paraId="6290EA08" w14:textId="77777777" w:rsidR="00DA0E15" w:rsidRDefault="00362131">
      <w:pPr>
        <w:shd w:val="clear" w:color="auto" w:fill="FFFFFF"/>
        <w:spacing w:before="0" w:after="0" w:line="276" w:lineRule="auto"/>
        <w:ind w:right="150" w:firstLine="450"/>
        <w:rPr>
          <w:rFonts w:eastAsia="Times New Roman" w:cs="Times New Roman"/>
          <w:color w:val="000000"/>
          <w:lang w:val="hy-AM" w:eastAsia="ru-RU"/>
        </w:rPr>
      </w:pPr>
      <w:r>
        <w:rPr>
          <w:rFonts w:eastAsia="Times New Roman" w:cs="Times New Roman"/>
          <w:color w:val="000000"/>
          <w:lang w:val="hy-AM" w:eastAsia="ru-RU"/>
        </w:rPr>
        <w:t xml:space="preserve">ՀՀ շրջակա միջավայրի նախարարության (ՇՄՆ) քարտեզագրման արդյունքում առկա է մոտ 2500 սողանքային տարածքներ և ներկայում խնդրի լուծման ֆինանսավորման աղբյուր դիտարկվում է ՀՀ կառավարության պահուստային ֆոնդը: Թունավոր թափոնների տեղամասերի հետ կապված ռիսկերից խուսափելու նպատակով նշված տարածքներում հանքարդյունաբերական գործունեության թույլտվություններ չեն տրամադրվում: </w:t>
      </w:r>
    </w:p>
    <w:p w14:paraId="6C6F12DD" w14:textId="77777777" w:rsidR="00DA0E15" w:rsidRDefault="00362131">
      <w:pPr>
        <w:shd w:val="clear" w:color="auto" w:fill="FFFFFF"/>
        <w:spacing w:before="0" w:after="0" w:line="276" w:lineRule="auto"/>
        <w:ind w:right="150" w:firstLine="450"/>
        <w:rPr>
          <w:rFonts w:eastAsia="Calibri" w:cs="Times New Roman"/>
          <w:lang w:val="hy-AM"/>
        </w:rPr>
      </w:pPr>
      <w:r>
        <w:rPr>
          <w:rFonts w:eastAsia="Calibri" w:cs="Times New Roman"/>
          <w:lang w:val="hy-AM"/>
        </w:rPr>
        <w:t>ՇՄՆ նույնականացրել է հնարավոր բնապահպանական պարտավորություններ ենթադրող 44 տեղամասեր, որոնք առաջացել են դեռևս խորհրդային ժամանակաշրջանում, հիմնականում հանքարդյունաբերական ծագումով: Վերականգնման նպատակով ՇՄՆ կողմից առաջնահերթ են համարվել 10 վայրեր, որից 2019թ. վերականգնել է միայն մեկ տեղամաս, իսկ 2020թ. նման աշխատանքներ չեն իրականացվել: ՇՄՆ նաև իրականացնում է ջրի խորքային հորերի որակի ուսումնասիրություններ՝ հնարավոր ռիսկերը բացահայտելու նպատակով։</w:t>
      </w:r>
    </w:p>
    <w:p w14:paraId="7C339FF1" w14:textId="77777777" w:rsidR="00DA0E15" w:rsidRDefault="00362131">
      <w:pPr>
        <w:shd w:val="clear" w:color="auto" w:fill="FFFFFF"/>
        <w:spacing w:before="0" w:after="0" w:line="276" w:lineRule="auto"/>
        <w:ind w:right="150" w:firstLine="450"/>
        <w:rPr>
          <w:rFonts w:eastAsia="Calibri" w:cs="Times New Roman"/>
          <w:lang w:val="hy-AM"/>
        </w:rPr>
      </w:pPr>
      <w:r>
        <w:rPr>
          <w:rFonts w:eastAsia="Calibri" w:cs="Times New Roman"/>
          <w:lang w:val="hy-AM"/>
        </w:rPr>
        <w:t>Այսպիսի հնարավոր պարտավորությունները չափազանց բարդ է նախապես հաշվարկել, սակայն կարևորագույն խնդիրը՝ վերականգնման կարիք ունեցող տեղամասերի նույնականացումն ու մանրակրկիտ ուսումնասիրությունն է՝ ծախսերի նախնական հաշվարկներ կատարելու նպատակով: Այս առնչությամբ ՇՄՆ բարձրացրել է 4 առաջնահերթ խնդիրները.</w:t>
      </w:r>
    </w:p>
    <w:p w14:paraId="638BE3E6" w14:textId="77777777" w:rsidR="00DA0E15" w:rsidRDefault="00362131">
      <w:pPr>
        <w:shd w:val="clear" w:color="auto" w:fill="FFFFFF"/>
        <w:spacing w:before="0" w:after="0" w:line="276" w:lineRule="auto"/>
        <w:ind w:right="150" w:firstLine="450"/>
        <w:rPr>
          <w:rFonts w:eastAsia="Calibri" w:cs="Times New Roman"/>
          <w:lang w:val="hy-AM"/>
        </w:rPr>
      </w:pPr>
      <w:r>
        <w:rPr>
          <w:rFonts w:eastAsia="Calibri" w:cs="Times New Roman"/>
          <w:lang w:val="hy-AM"/>
        </w:rPr>
        <w:t>- Սևանա լճի ջրածածկ և ճահճապատ անտառտնկարկների մաքրում: Մաքրման աշխատանքներն ընթանում են սկսած 2005թ.: ՇՄՆ հաշվարկների համաձայն 2021-2023թթ. ժամանակահատվածի համար պահանջվում է 706.0 մլն դրամ,</w:t>
      </w:r>
      <w:r>
        <w:rPr>
          <w:lang w:val="hy-AM"/>
        </w:rPr>
        <w:t xml:space="preserve"> </w:t>
      </w:r>
      <w:r>
        <w:rPr>
          <w:rFonts w:eastAsia="Calibri" w:cs="Times New Roman"/>
          <w:lang w:val="hy-AM"/>
        </w:rPr>
        <w:t xml:space="preserve">որից 264 մլն դրամը՝ 2021թ.: </w:t>
      </w:r>
    </w:p>
    <w:p w14:paraId="08B2D86F" w14:textId="77777777" w:rsidR="00DA0E15" w:rsidRDefault="00362131">
      <w:pPr>
        <w:spacing w:before="0" w:after="0" w:line="276" w:lineRule="auto"/>
        <w:ind w:right="150" w:firstLine="227"/>
        <w:rPr>
          <w:rFonts w:eastAsia="Calibri" w:cs="Times New Roman"/>
          <w:lang w:val="hy-AM"/>
        </w:rPr>
      </w:pPr>
      <w:r>
        <w:rPr>
          <w:rFonts w:eastAsia="Calibri" w:cs="Times New Roman"/>
          <w:lang w:val="hy-AM"/>
        </w:rPr>
        <w:t>- Սևանա լճից մինչև 1901.5 մետր բացարձակ նիշում գտնվող շենքեր-շինությունների քանդման (ապամոնտաժման) աշխատանքներ: Սևանա լճի մակարդակի բարձրացման հետևանքով քանդման ենթակա են դարձել 68520 մ</w:t>
      </w:r>
      <w:r>
        <w:rPr>
          <w:rFonts w:eastAsia="Calibri" w:cs="Times New Roman"/>
          <w:vertAlign w:val="superscript"/>
          <w:lang w:val="hy-AM"/>
        </w:rPr>
        <w:t>2</w:t>
      </w:r>
      <w:r>
        <w:rPr>
          <w:rFonts w:eastAsia="Calibri" w:cs="Times New Roman"/>
          <w:lang w:val="hy-AM"/>
        </w:rPr>
        <w:t xml:space="preserve"> ընդհանուր մակերեսով 1697 շենքեր և շինություններ: 2021 և 2022թթ. նախատեսվող աշխատանքների մոտավոր արժեքը կազմում է 1.464 մլն դրամ:</w:t>
      </w:r>
    </w:p>
    <w:p w14:paraId="5025C0B0" w14:textId="77777777" w:rsidR="00DA0E15" w:rsidRDefault="00362131">
      <w:pPr>
        <w:spacing w:before="0" w:after="0" w:line="276" w:lineRule="auto"/>
        <w:ind w:right="150" w:firstLine="227"/>
        <w:rPr>
          <w:rFonts w:eastAsia="Calibri" w:cs="Times New Roman"/>
          <w:lang w:val="hy-AM"/>
        </w:rPr>
      </w:pPr>
      <w:r>
        <w:rPr>
          <w:rFonts w:eastAsia="Calibri" w:cs="Times New Roman"/>
          <w:lang w:val="hy-AM"/>
        </w:rPr>
        <w:t>- Ընդերքօգտագործման թափոնների լքված/տիրազուրկ տեղամասերի և օբյեկտների ռեկուլտիվացիայի նախագծային փաթեթների մշակման աշխատանքներ: Սա առնչվում է վերը նշված հին, շրջակա միջավայրն աղտոտող հանքարդյունաբերական և հարակից ոլորտների 44 տեղամասերին, որոնք ներառում են պոչամբարները: Վտանգավոր և առաջնահերթ համարվող 10 տեղամասերի ամբողջական մաքրման և ռեկուլտիվացիայի ծրագրի մոտավոր արժեքը գնահատվել է 2.216 մլն դրամ:</w:t>
      </w:r>
    </w:p>
    <w:p w14:paraId="535DF9C7" w14:textId="77777777" w:rsidR="00DA0E15" w:rsidRDefault="00362131">
      <w:pPr>
        <w:spacing w:before="0" w:after="0" w:line="276" w:lineRule="auto"/>
        <w:ind w:firstLine="0"/>
        <w:rPr>
          <w:rFonts w:eastAsia="Calibri" w:cs="Times New Roman"/>
          <w:lang w:val="hy-AM"/>
        </w:rPr>
      </w:pPr>
      <w:r>
        <w:rPr>
          <w:rFonts w:eastAsia="Calibri" w:cs="Times New Roman"/>
          <w:lang w:val="hy-AM"/>
        </w:rPr>
        <w:t xml:space="preserve">- Անտառվերականգնման և անտառապատման աշխատանքներ՝ անկախության ձեռքբերմանը հաջորդած ճգնաժամային տարիների ընթացքում անտառների մասշտաբային հատումների փոխհատուցմանն ու սողանքների ռիսկի կրճատմանն օժանդակելու նպատակով: Այս ուղղությամբ աշխատանքները մեկնարկել են դեռևս 2013թ., սակայն մասշտաբային բնույթ են ստացել 2020թ.՝ հաջորդող տարիների համար սահմանված հավակնոտ և աճող թիրախներով: 2021-2024թթ. ծրագրի համար հաշվարկվել է 3.368 մլն դրամ: Սահմանվել է վերջնական թիրախ՝ ՀՀ անտառածածկ տարածքը մինչև 2050թ. հասցնել ավելի քան 20 տոկոսի, (ենթադրելի է, որ անհրաժեշտ կլինի ներգրավել լրացուցիչ միջազգային ֆինանսավորում)։ </w:t>
      </w:r>
    </w:p>
    <w:p w14:paraId="574418F7" w14:textId="77777777" w:rsidR="00DA0E15" w:rsidRDefault="00362131">
      <w:pPr>
        <w:shd w:val="clear" w:color="auto" w:fill="FFFFFF"/>
        <w:spacing w:before="0" w:after="0" w:line="276" w:lineRule="auto"/>
        <w:ind w:right="150" w:firstLine="450"/>
        <w:rPr>
          <w:rFonts w:eastAsia="Calibri" w:cs="Times New Roman"/>
          <w:lang w:val="hy-AM"/>
        </w:rPr>
      </w:pPr>
      <w:r>
        <w:rPr>
          <w:rFonts w:eastAsia="Calibri" w:cs="Times New Roman"/>
          <w:lang w:val="hy-AM"/>
        </w:rPr>
        <w:t>Այսպիսով, բնապահպանական վերականգման ծախսերի ընդհանուր գնահատված գումարը ներկայում կազմում է մոտ է 7.8 մլրդ դրամ, սակայն ծախսերը կարող են էականորեն ավելի բարձր լինել և կատարման համար երկար տարիներ պահանջել:</w:t>
      </w:r>
    </w:p>
    <w:p w14:paraId="6A7E951E" w14:textId="77777777" w:rsidR="00DA0E15" w:rsidRDefault="00362131">
      <w:pPr>
        <w:spacing w:before="240" w:after="240" w:line="276" w:lineRule="auto"/>
        <w:ind w:firstLine="432"/>
        <w:jc w:val="center"/>
        <w:rPr>
          <w:rFonts w:eastAsia="Times New Roman" w:cs="Times New Roman"/>
          <w:b/>
          <w:bCs/>
          <w:lang w:val="hy-AM" w:eastAsia="ru-RU"/>
        </w:rPr>
      </w:pPr>
      <w:r>
        <w:rPr>
          <w:rFonts w:eastAsia="Times New Roman" w:cs="Times New Roman"/>
          <w:b/>
          <w:bCs/>
          <w:lang w:val="hy-AM" w:eastAsia="ru-RU"/>
        </w:rPr>
        <w:t>Ֆինանսական համակարգից առաջացող ֆիսկալ ռիսկեր</w:t>
      </w:r>
    </w:p>
    <w:p w14:paraId="152B947D" w14:textId="77777777" w:rsidR="00DA0E15" w:rsidRDefault="00362131">
      <w:pPr>
        <w:shd w:val="clear" w:color="auto" w:fill="FFFFFF"/>
        <w:spacing w:before="0" w:after="0" w:line="276" w:lineRule="auto"/>
        <w:ind w:right="150" w:firstLine="450"/>
        <w:rPr>
          <w:rFonts w:eastAsia="Calibri" w:cs="Times New Roman"/>
          <w:lang w:val="hy-AM"/>
        </w:rPr>
      </w:pPr>
      <w:r>
        <w:rPr>
          <w:rFonts w:eastAsia="Calibri" w:cs="Times New Roman"/>
          <w:lang w:val="hy-AM"/>
        </w:rPr>
        <w:t xml:space="preserve">Վերջին տարիների ընթացքում, ՀՀ ԿԲ կողմից վերահսկվող առևտրային բանկերն զգալիորեն կապիտալացվել են և ներկայում ունեն հասանելի կապիտալի բուֆերներ: Ֆինանսական համակարգը բավականին ամուր է խիստ շոկերի դիմակայելու տեսանկյունից: ՀՀ տնտեսությունը 2020թ. կրել է միմյանց հաջորդած երկու շոկերի՝ համավարակի և ռազմական դրության ազդեցությունները։ Վերջիններս մարտահրավերներ են ստեղծել նաև ֆինանսական համակարգի համար, որոնք էականորեն տարբերվում են նախորդ բոլոր ճգնաժամերի մարտահրավերներից: </w:t>
      </w:r>
    </w:p>
    <w:p w14:paraId="43EC4B2A" w14:textId="77777777" w:rsidR="00DA0E15" w:rsidRDefault="00362131">
      <w:pPr>
        <w:shd w:val="clear" w:color="auto" w:fill="FFFFFF"/>
        <w:spacing w:before="0" w:after="0" w:line="276" w:lineRule="auto"/>
        <w:ind w:right="150" w:firstLine="450"/>
        <w:rPr>
          <w:rFonts w:eastAsia="Calibri" w:cs="Times New Roman"/>
          <w:lang w:val="hy-AM"/>
        </w:rPr>
      </w:pPr>
      <w:r>
        <w:rPr>
          <w:rFonts w:eastAsia="Calibri" w:cs="Times New Roman"/>
          <w:lang w:val="hy-AM"/>
        </w:rPr>
        <w:t xml:space="preserve">Բանկային համակարգի կապիտալի համարժեքության և իրացվելիության անհրաժեշտ մակարդակը տարվա ընթացքում պահպանվել է: Վարկավորման արձանագրված աճի և նյութականացված ռիսկերի կլանման պայմաններում կապիտալի համարժեքության ցուցանիշի նվազումը չափավոր է եղել։ </w:t>
      </w:r>
    </w:p>
    <w:p w14:paraId="5B0C563C" w14:textId="77777777" w:rsidR="00DA0E15" w:rsidRDefault="00362131">
      <w:pPr>
        <w:shd w:val="clear" w:color="auto" w:fill="FFFFFF"/>
        <w:spacing w:before="0" w:after="0" w:line="276" w:lineRule="auto"/>
        <w:ind w:right="150" w:firstLine="450"/>
        <w:rPr>
          <w:rFonts w:eastAsia="Calibri" w:cs="Times New Roman"/>
          <w:lang w:val="hy-AM"/>
        </w:rPr>
      </w:pPr>
      <w:r>
        <w:rPr>
          <w:rFonts w:eastAsia="Calibri" w:cs="Times New Roman"/>
          <w:lang w:val="hy-AM"/>
        </w:rPr>
        <w:t>Մակրոպրուդենցիալ քաղաքականության միջոցառումներն առավելապես ուղղված են եղել բանկային համակարգի՝ աճող ռիսկերին դիմակայելու ունակության ամրապնդմանը և ֆինանսական միջնորդության անընդհատության ապահովմանը: Տնտեսության վարկավորման անընդհատությունը և սահունությունն ապահովելու նպատակով ՀՀ ԿԲ ազդակներ է փոխանցել բանկերին ձևավորված կապիտալի բուֆերներն օգտագործելու հնարավորության վերաբերյալ: Միևնույն ժամանակ, կապիտալի հակացիկլիկ բուֆերի մակարդակը պահպանվել է անփոփոխ՝ 0% մակարդակում։ Իրացվելիության պահանջարկի շոկերին դիմակայելու նպատակով ՀՀ ԿԲ-ն բանկերին տրամադրել է անհրաժեշտ դրամային և արտարժութային իրացվելիություն` իր գործիքակազմի միջոցով: Տարվա ընթացքում բոլոր բանկերը պահպանել են համախմբված բուֆերի սահմանված մակարդակը՝ ռիսկերը կլանվել են պահանջվածից բարձր կապիտալի առկայության հաշվին։</w:t>
      </w:r>
    </w:p>
    <w:p w14:paraId="03551CAF" w14:textId="77777777" w:rsidR="00DA0E15" w:rsidRDefault="00362131">
      <w:pPr>
        <w:shd w:val="clear" w:color="auto" w:fill="FFFFFF"/>
        <w:spacing w:before="0" w:after="0" w:line="276" w:lineRule="auto"/>
        <w:ind w:right="150" w:firstLine="450"/>
        <w:rPr>
          <w:rFonts w:eastAsia="Calibri" w:cs="Times New Roman"/>
          <w:lang w:val="hy-AM"/>
        </w:rPr>
      </w:pPr>
      <w:r>
        <w:rPr>
          <w:rFonts w:eastAsia="Calibri" w:cs="Times New Roman"/>
          <w:lang w:val="hy-AM"/>
        </w:rPr>
        <w:t>2020թ</w:t>
      </w:r>
      <w:r>
        <w:rPr>
          <w:rFonts w:ascii="Cambria Math" w:eastAsia="Calibri" w:hAnsi="Cambria Math" w:cs="Cambria Math"/>
          <w:lang w:val="hy-AM"/>
        </w:rPr>
        <w:t>․</w:t>
      </w:r>
      <w:r>
        <w:rPr>
          <w:rFonts w:eastAsia="Calibri" w:cs="Times New Roman"/>
          <w:lang w:val="hy-AM"/>
        </w:rPr>
        <w:t xml:space="preserve"> բանկային համակարգն աշխատել է շահույթով, այնուամենայնիվ ՀՀ ԿԲ գնահատականներով, դրսևորված ռիսկի հնարավոր հետևանքները մասնակի են կլանված: Հավանական է, որ ռիսկերի հետագա նյութականացումը կարտացոլվի նաև 2021թ. արդյունքներում։ </w:t>
      </w:r>
    </w:p>
    <w:p w14:paraId="733A13BA" w14:textId="77777777" w:rsidR="00DA0E15" w:rsidRDefault="00362131">
      <w:pPr>
        <w:shd w:val="clear" w:color="auto" w:fill="FFFFFF"/>
        <w:spacing w:before="0" w:after="0" w:line="276" w:lineRule="auto"/>
        <w:ind w:right="150" w:firstLine="450"/>
        <w:rPr>
          <w:rFonts w:eastAsia="Calibri" w:cs="Times New Roman"/>
          <w:lang w:val="hy-AM"/>
        </w:rPr>
      </w:pPr>
      <w:r>
        <w:rPr>
          <w:rFonts w:eastAsia="Calibri" w:cs="Times New Roman"/>
          <w:lang w:val="hy-AM"/>
        </w:rPr>
        <w:t>Բանկերում խնդիրների ծագման հետևանքով Ավանդների հատուցումը երաշխավորող</w:t>
      </w:r>
      <w:r>
        <w:rPr>
          <w:rFonts w:ascii="Calibri" w:eastAsia="Calibri" w:hAnsi="Calibri" w:cs="Calibri"/>
          <w:lang w:val="hy-AM"/>
        </w:rPr>
        <w:t> </w:t>
      </w:r>
      <w:r>
        <w:rPr>
          <w:rFonts w:eastAsia="Calibri" w:cs="Times New Roman"/>
          <w:lang w:val="hy-AM"/>
        </w:rPr>
        <w:t xml:space="preserve">հիմնադրամին (երաշխավորում է մինչև 10 մլն ՀՀ դրամ՝ տեղական արժույթով ավանդների համար, և մինչև 5 մլն ՀՀ դրամ՝ արտարժութային ավանդների համար ֆինանսական միջոցների տրամադրման անհրաժեշտության ռիսկը ներկայում, թերևս, չափազանց սահմանափակ է, սակայն անորոշությունների մակարդակը մնում է բարձր՝ ինչպես նշվում է ՀՀ ԿԲ ֆինանսական կայունության հաշվետվությունում: </w:t>
      </w:r>
    </w:p>
    <w:p w14:paraId="1613C295" w14:textId="77777777" w:rsidR="00DA0E15" w:rsidRDefault="00DA0E15">
      <w:pPr>
        <w:spacing w:before="0" w:after="200" w:line="276" w:lineRule="auto"/>
        <w:ind w:firstLine="0"/>
        <w:jc w:val="left"/>
        <w:rPr>
          <w:lang w:val="hy-AM"/>
        </w:rPr>
      </w:pPr>
    </w:p>
    <w:p w14:paraId="0F1C89DA" w14:textId="77777777" w:rsidR="008B33F9" w:rsidRDefault="008B33F9">
      <w:pPr>
        <w:spacing w:before="0" w:after="0" w:line="240" w:lineRule="auto"/>
        <w:ind w:firstLine="0"/>
        <w:jc w:val="left"/>
        <w:rPr>
          <w:rFonts w:eastAsiaTheme="majorEastAsia" w:cstheme="majorBidi"/>
          <w:b/>
          <w:bCs/>
          <w:color w:val="1F497D" w:themeColor="text2"/>
          <w:sz w:val="24"/>
          <w:szCs w:val="24"/>
          <w:lang w:val="hy-AM"/>
        </w:rPr>
      </w:pPr>
      <w:r>
        <w:rPr>
          <w:sz w:val="24"/>
          <w:szCs w:val="24"/>
          <w:lang w:val="hy-AM"/>
        </w:rPr>
        <w:br w:type="page"/>
      </w:r>
    </w:p>
    <w:p w14:paraId="54E11AC1" w14:textId="77777777" w:rsidR="00DA0E15" w:rsidRPr="009B7D4F" w:rsidRDefault="00362131" w:rsidP="009B7D4F">
      <w:pPr>
        <w:pStyle w:val="Heading1"/>
        <w:rPr>
          <w:lang w:val="hy-AM"/>
        </w:rPr>
      </w:pPr>
      <w:bookmarkStart w:id="700" w:name="_Toc77837913"/>
      <w:r w:rsidRPr="009B7D4F">
        <w:rPr>
          <w:lang w:val="hy-AM"/>
        </w:rPr>
        <w:t>ՀԱՎԵԼՎԱԾՆԵՐ</w:t>
      </w:r>
      <w:bookmarkEnd w:id="695"/>
      <w:bookmarkEnd w:id="700"/>
    </w:p>
    <w:p w14:paraId="5ACC3E8B" w14:textId="77777777" w:rsidR="00DA0E15" w:rsidRDefault="00362131">
      <w:pPr>
        <w:spacing w:after="0" w:line="276" w:lineRule="auto"/>
        <w:rPr>
          <w:rFonts w:cs="Tahoma"/>
          <w:lang w:val="hy-AM"/>
        </w:rPr>
      </w:pPr>
      <w:r>
        <w:rPr>
          <w:rFonts w:cs="Tahoma"/>
          <w:b/>
          <w:lang w:val="hy-AM"/>
        </w:rPr>
        <w:t>Հավելված 1.</w:t>
      </w:r>
      <w:r>
        <w:rPr>
          <w:rFonts w:cs="Tahoma"/>
          <w:lang w:val="hy-AM"/>
        </w:rPr>
        <w:t xml:space="preserve"> Հայաստանի Հանրապետության 202</w:t>
      </w:r>
      <w:r w:rsidR="00585A06" w:rsidRPr="00FA0954">
        <w:rPr>
          <w:rFonts w:cs="Tahoma"/>
          <w:lang w:val="hy-AM"/>
        </w:rPr>
        <w:t>2</w:t>
      </w:r>
      <w:r>
        <w:rPr>
          <w:rFonts w:cs="Tahoma"/>
          <w:lang w:val="hy-AM"/>
        </w:rPr>
        <w:t>-202</w:t>
      </w:r>
      <w:r w:rsidR="00585A06" w:rsidRPr="00FA0954">
        <w:rPr>
          <w:rFonts w:cs="Tahoma"/>
          <w:lang w:val="hy-AM"/>
        </w:rPr>
        <w:t>4</w:t>
      </w:r>
      <w:r>
        <w:rPr>
          <w:rFonts w:cs="Tahoma"/>
          <w:lang w:val="hy-AM"/>
        </w:rPr>
        <w:t xml:space="preserve"> թվականների պետական միջնաժամկետ ծախսերի ծրագ</w:t>
      </w:r>
      <w:r w:rsidR="00FB2758">
        <w:rPr>
          <w:rFonts w:cs="Tahoma"/>
          <w:lang w:val="hy-AM"/>
        </w:rPr>
        <w:t>ր</w:t>
      </w:r>
      <w:r>
        <w:rPr>
          <w:rFonts w:cs="Tahoma"/>
          <w:lang w:val="hy-AM"/>
        </w:rPr>
        <w:t>երն՛ ըստ պետական մարմինների կողմից իրականացվող ծրագրերի և ըստ բյուջետային հատկացումների գլխավոր կարգադրիչների</w:t>
      </w:r>
    </w:p>
    <w:p w14:paraId="688851EE" w14:textId="77777777" w:rsidR="00DA0E15" w:rsidRDefault="00DA0E15">
      <w:pPr>
        <w:spacing w:after="0" w:line="276" w:lineRule="auto"/>
        <w:rPr>
          <w:rFonts w:cs="Tahoma"/>
          <w:lang w:val="hy-AM"/>
        </w:rPr>
      </w:pPr>
    </w:p>
    <w:p w14:paraId="50BC05D4" w14:textId="77777777" w:rsidR="00DA0E15" w:rsidRDefault="00362131">
      <w:pPr>
        <w:spacing w:after="0" w:line="276" w:lineRule="auto"/>
        <w:rPr>
          <w:rFonts w:cs="Tahoma"/>
          <w:lang w:val="hy-AM"/>
        </w:rPr>
      </w:pPr>
      <w:r>
        <w:rPr>
          <w:rFonts w:cs="Tahoma"/>
          <w:b/>
          <w:lang w:val="hy-AM"/>
        </w:rPr>
        <w:t>Հավելված 2.</w:t>
      </w:r>
      <w:r>
        <w:rPr>
          <w:rFonts w:cs="Tahoma"/>
          <w:lang w:val="hy-AM"/>
        </w:rPr>
        <w:t xml:space="preserve"> Հայաստանի Հանրապետության 202</w:t>
      </w:r>
      <w:r w:rsidR="00585A06" w:rsidRPr="00FA0954">
        <w:rPr>
          <w:rFonts w:cs="Tahoma"/>
          <w:lang w:val="hy-AM"/>
        </w:rPr>
        <w:t>2</w:t>
      </w:r>
      <w:r>
        <w:rPr>
          <w:rFonts w:cs="Tahoma"/>
          <w:lang w:val="hy-AM"/>
        </w:rPr>
        <w:t>-202</w:t>
      </w:r>
      <w:r w:rsidR="00585A06" w:rsidRPr="00FA0954">
        <w:rPr>
          <w:rFonts w:cs="Tahoma"/>
          <w:lang w:val="hy-AM"/>
        </w:rPr>
        <w:t>4</w:t>
      </w:r>
      <w:r>
        <w:rPr>
          <w:rFonts w:cs="Tahoma"/>
          <w:lang w:val="hy-AM"/>
        </w:rPr>
        <w:t xml:space="preserve"> թվականների պետական միջնաժամկետ ծախսերի ծրագ</w:t>
      </w:r>
      <w:r w:rsidR="00FB2758">
        <w:rPr>
          <w:rFonts w:cs="Tahoma"/>
          <w:lang w:val="hy-AM"/>
        </w:rPr>
        <w:t>ր</w:t>
      </w:r>
      <w:r>
        <w:rPr>
          <w:rFonts w:cs="Tahoma"/>
          <w:lang w:val="hy-AM"/>
        </w:rPr>
        <w:t>երով նախատեսված ծախսերն՝  ըստ բյուջետային ծախսերի տնտեսագիտական դասակարգման</w:t>
      </w:r>
    </w:p>
    <w:p w14:paraId="58388535" w14:textId="77777777" w:rsidR="00DA0E15" w:rsidRDefault="00DA0E15">
      <w:pPr>
        <w:spacing w:after="0" w:line="276" w:lineRule="auto"/>
        <w:rPr>
          <w:rFonts w:cs="Tahoma"/>
          <w:lang w:val="hy-AM"/>
        </w:rPr>
      </w:pPr>
    </w:p>
    <w:p w14:paraId="0B5B3160" w14:textId="77777777" w:rsidR="00DA0E15" w:rsidRDefault="00362131">
      <w:pPr>
        <w:spacing w:after="0" w:line="276" w:lineRule="auto"/>
        <w:rPr>
          <w:rFonts w:cs="Tahoma"/>
          <w:lang w:val="hy-AM"/>
        </w:rPr>
      </w:pPr>
      <w:r>
        <w:rPr>
          <w:rFonts w:cs="Tahoma"/>
          <w:b/>
          <w:lang w:val="hy-AM"/>
        </w:rPr>
        <w:t>Հավելված 3.</w:t>
      </w:r>
      <w:r>
        <w:rPr>
          <w:rFonts w:cs="Tahoma"/>
          <w:lang w:val="hy-AM"/>
        </w:rPr>
        <w:t xml:space="preserve"> Հայաստանի Հանրապետության 202</w:t>
      </w:r>
      <w:r w:rsidR="00585A06" w:rsidRPr="00FA0954">
        <w:rPr>
          <w:rFonts w:cs="Tahoma"/>
          <w:lang w:val="hy-AM"/>
        </w:rPr>
        <w:t>2</w:t>
      </w:r>
      <w:r>
        <w:rPr>
          <w:rFonts w:cs="Tahoma"/>
          <w:lang w:val="hy-AM"/>
        </w:rPr>
        <w:t>-202</w:t>
      </w:r>
      <w:r w:rsidR="00585A06" w:rsidRPr="00FA0954">
        <w:rPr>
          <w:rFonts w:cs="Tahoma"/>
          <w:lang w:val="hy-AM"/>
        </w:rPr>
        <w:t>4</w:t>
      </w:r>
      <w:r>
        <w:rPr>
          <w:rFonts w:cs="Tahoma"/>
          <w:lang w:val="hy-AM"/>
        </w:rPr>
        <w:t xml:space="preserve"> թվականների պետական միջնաժամկետ ծախսերի ծրագ</w:t>
      </w:r>
      <w:r w:rsidR="00FB2758">
        <w:rPr>
          <w:rFonts w:cs="Tahoma"/>
          <w:lang w:val="hy-AM"/>
        </w:rPr>
        <w:t>ր</w:t>
      </w:r>
      <w:r>
        <w:rPr>
          <w:rFonts w:cs="Tahoma"/>
          <w:lang w:val="hy-AM"/>
        </w:rPr>
        <w:t>երով նախատեսված ծախսերն՝  ըստ բյուջետային ծախսերի գործառական դասակարգման</w:t>
      </w:r>
    </w:p>
    <w:p w14:paraId="4481F1A9" w14:textId="77777777" w:rsidR="00DA0E15" w:rsidRDefault="00DA0E15">
      <w:pPr>
        <w:spacing w:after="0" w:line="276" w:lineRule="auto"/>
        <w:rPr>
          <w:rFonts w:cs="Tahoma"/>
          <w:lang w:val="hy-AM"/>
        </w:rPr>
      </w:pPr>
    </w:p>
    <w:p w14:paraId="4820CCAA" w14:textId="77777777" w:rsidR="00DA0E15" w:rsidRDefault="00362131">
      <w:pPr>
        <w:spacing w:after="0" w:line="276" w:lineRule="auto"/>
        <w:rPr>
          <w:rFonts w:cs="Tahoma"/>
          <w:lang w:val="hy-AM"/>
        </w:rPr>
      </w:pPr>
      <w:r>
        <w:rPr>
          <w:rFonts w:cs="Tahoma"/>
          <w:b/>
          <w:lang w:val="hy-AM"/>
        </w:rPr>
        <w:t xml:space="preserve">Հավելված 4. </w:t>
      </w:r>
      <w:r>
        <w:rPr>
          <w:rFonts w:cs="Tahoma"/>
          <w:lang w:val="hy-AM"/>
        </w:rPr>
        <w:t>Հայաստանի Հանրապետության 202</w:t>
      </w:r>
      <w:r w:rsidR="00585A06" w:rsidRPr="00FA0954">
        <w:rPr>
          <w:rFonts w:cs="Tahoma"/>
          <w:lang w:val="hy-AM"/>
        </w:rPr>
        <w:t>2</w:t>
      </w:r>
      <w:r>
        <w:rPr>
          <w:rFonts w:cs="Tahoma"/>
          <w:lang w:val="hy-AM"/>
        </w:rPr>
        <w:t>-202</w:t>
      </w:r>
      <w:r w:rsidR="00585A06" w:rsidRPr="00FA0954">
        <w:rPr>
          <w:rFonts w:cs="Tahoma"/>
          <w:lang w:val="hy-AM"/>
        </w:rPr>
        <w:t>4</w:t>
      </w:r>
      <w:r>
        <w:rPr>
          <w:rFonts w:cs="Tahoma"/>
          <w:lang w:val="hy-AM"/>
        </w:rPr>
        <w:t xml:space="preserve"> թվականների պետական բյուջեների դեֆիցիտի (պակասուրդի) ֆինանսավորման աղբյուրներն` ըստ առանձին տարրերի</w:t>
      </w:r>
    </w:p>
    <w:p w14:paraId="2D5881A8" w14:textId="77777777" w:rsidR="00DA0E15" w:rsidRDefault="00DA0E15">
      <w:pPr>
        <w:spacing w:after="0" w:line="276" w:lineRule="auto"/>
        <w:rPr>
          <w:rFonts w:cs="Tahoma"/>
          <w:lang w:val="hy-AM"/>
        </w:rPr>
      </w:pPr>
    </w:p>
    <w:p w14:paraId="3772D316" w14:textId="77777777" w:rsidR="00DA0E15" w:rsidRDefault="00362131">
      <w:pPr>
        <w:spacing w:after="0" w:line="276" w:lineRule="auto"/>
        <w:rPr>
          <w:rFonts w:cs="Tahoma"/>
          <w:lang w:val="hy-AM"/>
        </w:rPr>
      </w:pPr>
      <w:r>
        <w:rPr>
          <w:rFonts w:cs="Tahoma"/>
          <w:b/>
          <w:lang w:val="hy-AM"/>
        </w:rPr>
        <w:t>Հավելված 5.</w:t>
      </w:r>
      <w:r>
        <w:rPr>
          <w:rFonts w:cs="Tahoma"/>
          <w:lang w:val="hy-AM"/>
        </w:rPr>
        <w:t xml:space="preserve"> </w:t>
      </w:r>
      <w:r w:rsidR="00746F49">
        <w:rPr>
          <w:rFonts w:cs="Tahoma"/>
          <w:lang w:val="hy-AM"/>
        </w:rPr>
        <w:t>Հայաստանի Հանրապետության</w:t>
      </w:r>
      <w:r>
        <w:rPr>
          <w:rFonts w:cs="Tahoma"/>
          <w:lang w:val="hy-AM"/>
        </w:rPr>
        <w:t xml:space="preserve"> 202</w:t>
      </w:r>
      <w:r w:rsidR="00585A06" w:rsidRPr="00FA0954">
        <w:rPr>
          <w:rFonts w:cs="Tahoma"/>
          <w:lang w:val="hy-AM"/>
        </w:rPr>
        <w:t>2</w:t>
      </w:r>
      <w:r>
        <w:rPr>
          <w:rFonts w:cs="Tahoma"/>
          <w:lang w:val="hy-AM"/>
        </w:rPr>
        <w:t>-202</w:t>
      </w:r>
      <w:r w:rsidR="00585A06" w:rsidRPr="00FA0954">
        <w:rPr>
          <w:rFonts w:cs="Tahoma"/>
          <w:lang w:val="hy-AM"/>
        </w:rPr>
        <w:t>4</w:t>
      </w:r>
      <w:r>
        <w:rPr>
          <w:rFonts w:cs="Tahoma"/>
          <w:lang w:val="hy-AM"/>
        </w:rPr>
        <w:t xml:space="preserve"> թվականների պետական բյուջեի ծախսային ծրագրերի գծով վերջնական արդյունքի ցուցանիշները</w:t>
      </w:r>
    </w:p>
    <w:p w14:paraId="4B18D0A7" w14:textId="77777777" w:rsidR="00DA0E15" w:rsidRDefault="00DA0E15">
      <w:pPr>
        <w:spacing w:after="0" w:line="276" w:lineRule="auto"/>
        <w:rPr>
          <w:rFonts w:cs="Tahoma"/>
          <w:lang w:val="hy-AM"/>
        </w:rPr>
      </w:pPr>
    </w:p>
    <w:p w14:paraId="12097275" w14:textId="77777777" w:rsidR="00DA0E15" w:rsidRDefault="00362131">
      <w:pPr>
        <w:spacing w:after="0" w:line="276" w:lineRule="auto"/>
        <w:rPr>
          <w:rFonts w:cs="Tahoma"/>
          <w:lang w:val="hy-AM"/>
        </w:rPr>
      </w:pPr>
      <w:r>
        <w:rPr>
          <w:rFonts w:cs="Tahoma"/>
          <w:b/>
          <w:lang w:val="hy-AM"/>
        </w:rPr>
        <w:t>Հավելված 6.</w:t>
      </w:r>
      <w:r>
        <w:rPr>
          <w:rFonts w:cs="Tahoma"/>
          <w:lang w:val="hy-AM"/>
        </w:rPr>
        <w:t xml:space="preserve"> Հայաստանի Հանրապետության 202</w:t>
      </w:r>
      <w:r w:rsidR="00585A06" w:rsidRPr="00FA0954">
        <w:rPr>
          <w:rFonts w:cs="Tahoma"/>
          <w:lang w:val="hy-AM"/>
        </w:rPr>
        <w:t>2</w:t>
      </w:r>
      <w:r>
        <w:rPr>
          <w:rFonts w:cs="Tahoma"/>
          <w:lang w:val="hy-AM"/>
        </w:rPr>
        <w:t>-202</w:t>
      </w:r>
      <w:r w:rsidR="00585A06" w:rsidRPr="00FA0954">
        <w:rPr>
          <w:rFonts w:cs="Tahoma"/>
          <w:lang w:val="hy-AM"/>
        </w:rPr>
        <w:t>4</w:t>
      </w:r>
      <w:r w:rsidR="00746F49" w:rsidRPr="00591F59">
        <w:rPr>
          <w:rFonts w:cs="Tahoma"/>
          <w:lang w:val="hy-AM"/>
        </w:rPr>
        <w:t xml:space="preserve"> </w:t>
      </w:r>
      <w:r w:rsidR="00746F49">
        <w:rPr>
          <w:rFonts w:cs="Tahoma"/>
          <w:lang w:val="hy-AM"/>
        </w:rPr>
        <w:t>թվականների</w:t>
      </w:r>
      <w:r w:rsidR="00746F49" w:rsidRPr="009B7D4F">
        <w:rPr>
          <w:rFonts w:cs="Tahoma"/>
          <w:lang w:val="hy-AM"/>
        </w:rPr>
        <w:t xml:space="preserve"> </w:t>
      </w:r>
      <w:r w:rsidR="00773ADF" w:rsidRPr="009B7D4F">
        <w:rPr>
          <w:rFonts w:cs="Tahoma"/>
          <w:lang w:val="hy-AM"/>
        </w:rPr>
        <w:t>ՄԺԾԾ առաջնահերթություններ</w:t>
      </w:r>
      <w:r>
        <w:rPr>
          <w:rFonts w:cs="Tahoma"/>
          <w:lang w:val="hy-AM"/>
        </w:rPr>
        <w:t xml:space="preserve"> </w:t>
      </w:r>
    </w:p>
    <w:p w14:paraId="0F78B98A" w14:textId="77777777" w:rsidR="00DA0E15" w:rsidRDefault="00DA0E15">
      <w:pPr>
        <w:spacing w:after="0" w:line="276" w:lineRule="auto"/>
        <w:rPr>
          <w:rFonts w:cs="Tahoma"/>
          <w:lang w:val="hy-AM"/>
        </w:rPr>
      </w:pPr>
    </w:p>
    <w:p w14:paraId="25729E1A" w14:textId="77777777" w:rsidR="00DA0E15" w:rsidRDefault="00DA0E15">
      <w:pPr>
        <w:spacing w:after="0" w:line="276" w:lineRule="auto"/>
        <w:rPr>
          <w:rFonts w:cs="Tahoma"/>
          <w:lang w:val="hy-AM"/>
        </w:rPr>
      </w:pPr>
    </w:p>
    <w:p w14:paraId="39282369" w14:textId="77777777" w:rsidR="00FF5FB9" w:rsidRDefault="00FF5FB9">
      <w:pPr>
        <w:spacing w:after="0" w:line="276" w:lineRule="auto"/>
        <w:rPr>
          <w:rFonts w:cs="Tahoma"/>
          <w:lang w:val="hy-AM"/>
        </w:rPr>
      </w:pPr>
    </w:p>
    <w:p w14:paraId="53E3566C" w14:textId="77777777" w:rsidR="00FF5FB9" w:rsidRDefault="00FF5FB9">
      <w:pPr>
        <w:spacing w:after="0" w:line="276" w:lineRule="auto"/>
        <w:rPr>
          <w:rFonts w:cs="Tahoma"/>
          <w:lang w:val="hy-AM"/>
        </w:rPr>
      </w:pPr>
    </w:p>
    <w:p w14:paraId="537760EC" w14:textId="77777777" w:rsidR="00FF5FB9" w:rsidRDefault="00FF5FB9">
      <w:pPr>
        <w:spacing w:after="0" w:line="276" w:lineRule="auto"/>
        <w:rPr>
          <w:rFonts w:cs="Tahoma"/>
          <w:lang w:val="hy-AM"/>
        </w:rPr>
      </w:pPr>
    </w:p>
    <w:p w14:paraId="25CE28F5" w14:textId="77777777" w:rsidR="00DA0E15" w:rsidRDefault="00DA0E15">
      <w:pPr>
        <w:spacing w:after="0" w:line="276" w:lineRule="auto"/>
        <w:rPr>
          <w:rFonts w:cs="Tahoma"/>
          <w:lang w:val="hy-AM"/>
        </w:rPr>
      </w:pPr>
    </w:p>
    <w:p w14:paraId="71061611" w14:textId="77777777" w:rsidR="00DA0E15" w:rsidRDefault="00DA0E15">
      <w:pPr>
        <w:spacing w:after="0" w:line="276" w:lineRule="auto"/>
        <w:rPr>
          <w:rFonts w:cs="Tahoma"/>
          <w:lang w:val="hy-AM"/>
        </w:rPr>
      </w:pPr>
    </w:p>
    <w:p w14:paraId="11898CEE" w14:textId="77777777" w:rsidR="00DA0E15" w:rsidRDefault="00362131">
      <w:pPr>
        <w:pStyle w:val="mechtex"/>
        <w:spacing w:line="240" w:lineRule="auto"/>
        <w:ind w:firstLine="720"/>
        <w:jc w:val="left"/>
        <w:rPr>
          <w:rFonts w:ascii="GHEA Mariam" w:hAnsi="GHEA Mariam" w:cs="Arial Armenian"/>
          <w:lang w:val="hy-AM"/>
        </w:rPr>
      </w:pPr>
      <w:r>
        <w:rPr>
          <w:rFonts w:ascii="GHEA Mariam" w:hAnsi="GHEA Mariam" w:cs="Sylfaen"/>
          <w:lang w:val="hy-AM"/>
        </w:rPr>
        <w:t>ՀԱՅԱՍՏԱՆԻ</w:t>
      </w:r>
      <w:r>
        <w:rPr>
          <w:rFonts w:ascii="GHEA Mariam" w:hAnsi="GHEA Mariam" w:cs="Arial Armenian"/>
          <w:lang w:val="hy-AM"/>
        </w:rPr>
        <w:t xml:space="preserve">  </w:t>
      </w:r>
      <w:r>
        <w:rPr>
          <w:rFonts w:ascii="GHEA Mariam" w:hAnsi="GHEA Mariam" w:cs="Sylfaen"/>
          <w:lang w:val="hy-AM"/>
        </w:rPr>
        <w:t>ՀԱՆՐԱՊԵՏՈՒԹՅԱՆ</w:t>
      </w:r>
    </w:p>
    <w:p w14:paraId="64F03896" w14:textId="77777777" w:rsidR="00DA0E15" w:rsidRDefault="00362131">
      <w:pPr>
        <w:pStyle w:val="mechtex"/>
        <w:spacing w:line="240" w:lineRule="auto"/>
        <w:ind w:firstLine="720"/>
        <w:jc w:val="left"/>
        <w:rPr>
          <w:rFonts w:ascii="GHEA Mariam" w:hAnsi="GHEA Mariam" w:cs="Sylfaen"/>
          <w:lang w:val="hy-AM"/>
        </w:rPr>
      </w:pPr>
      <w:r>
        <w:rPr>
          <w:rFonts w:ascii="GHEA Mariam" w:hAnsi="GHEA Mariam"/>
          <w:lang w:val="hy-AM"/>
        </w:rPr>
        <w:t xml:space="preserve"> </w:t>
      </w:r>
      <w:r w:rsidR="00682E61" w:rsidRPr="00051357">
        <w:rPr>
          <w:rFonts w:ascii="GHEA Mariam" w:hAnsi="GHEA Mariam"/>
          <w:lang w:val="hy-AM"/>
        </w:rPr>
        <w:t xml:space="preserve"> </w:t>
      </w:r>
      <w:r>
        <w:rPr>
          <w:rFonts w:ascii="GHEA Mariam" w:hAnsi="GHEA Mariam"/>
          <w:lang w:val="hy-AM"/>
        </w:rPr>
        <w:t xml:space="preserve"> </w:t>
      </w:r>
      <w:r>
        <w:rPr>
          <w:rFonts w:ascii="GHEA Mariam" w:hAnsi="GHEA Mariam" w:cs="Sylfaen"/>
          <w:lang w:val="hy-AM"/>
        </w:rPr>
        <w:t>ՎԱՐՉԱՊԵՏԻ ԱՇԽԱՏԱԿԱԶՄԻ</w:t>
      </w:r>
    </w:p>
    <w:p w14:paraId="6EB7C02F" w14:textId="77777777" w:rsidR="00DA0E15" w:rsidRDefault="00362131">
      <w:pPr>
        <w:pStyle w:val="mechtex"/>
        <w:spacing w:line="240" w:lineRule="auto"/>
        <w:ind w:firstLine="720"/>
        <w:jc w:val="left"/>
        <w:rPr>
          <w:rFonts w:cs="Tahoma"/>
          <w:lang w:val="hy-AM"/>
        </w:rPr>
      </w:pPr>
      <w:r>
        <w:rPr>
          <w:rFonts w:ascii="GHEA Mariam" w:hAnsi="GHEA Mariam" w:cs="Sylfaen"/>
          <w:lang w:val="hy-AM"/>
        </w:rPr>
        <w:t xml:space="preserve">                 ՂԵԿԱՎԱՐ</w:t>
      </w:r>
      <w:r>
        <w:rPr>
          <w:rFonts w:ascii="GHEA Mariam" w:hAnsi="GHEA Mariam" w:cs="Arial Armenian"/>
          <w:lang w:val="hy-AM"/>
        </w:rPr>
        <w:tab/>
        <w:t xml:space="preserve">                                                                        Ա</w:t>
      </w:r>
      <w:r>
        <w:rPr>
          <w:rFonts w:ascii="GHEA Mariam" w:hAnsi="GHEA Mariam" w:cs="Sylfaen"/>
          <w:lang w:val="hy-AM"/>
        </w:rPr>
        <w:t>.</w:t>
      </w:r>
      <w:r>
        <w:rPr>
          <w:rFonts w:ascii="GHEA Mariam" w:hAnsi="GHEA Mariam" w:cs="Arial Armenian"/>
          <w:lang w:val="hy-AM"/>
        </w:rPr>
        <w:t xml:space="preserve"> </w:t>
      </w:r>
      <w:r w:rsidR="00585A06" w:rsidRPr="00FA0954">
        <w:rPr>
          <w:rFonts w:ascii="GHEA Mariam" w:hAnsi="GHEA Mariam" w:cs="Arial Armenian"/>
          <w:lang w:val="hy-AM"/>
        </w:rPr>
        <w:t>ՀԱՐՈՒԹՅՈՒՆ</w:t>
      </w:r>
      <w:r w:rsidR="00585A06">
        <w:rPr>
          <w:rFonts w:ascii="GHEA Mariam" w:hAnsi="GHEA Mariam" w:cs="Sylfaen"/>
          <w:lang w:val="hy-AM"/>
        </w:rPr>
        <w:t>Յ</w:t>
      </w:r>
      <w:r>
        <w:rPr>
          <w:rFonts w:ascii="GHEA Mariam" w:hAnsi="GHEA Mariam" w:cs="Sylfaen"/>
          <w:lang w:val="hy-AM"/>
        </w:rPr>
        <w:t>ԱՆ</w:t>
      </w:r>
    </w:p>
    <w:sectPr w:rsidR="00DA0E15" w:rsidSect="00F832B2">
      <w:footerReference w:type="even" r:id="rId116"/>
      <w:pgSz w:w="11907" w:h="16840" w:code="9"/>
      <w:pgMar w:top="1134" w:right="851" w:bottom="993" w:left="1021"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560FD8" w14:textId="77777777" w:rsidR="005849E3" w:rsidRDefault="005849E3">
      <w:pPr>
        <w:spacing w:line="240" w:lineRule="auto"/>
      </w:pPr>
      <w:r>
        <w:separator/>
      </w:r>
    </w:p>
  </w:endnote>
  <w:endnote w:type="continuationSeparator" w:id="0">
    <w:p w14:paraId="135AD1C7" w14:textId="77777777" w:rsidR="005849E3" w:rsidRDefault="005849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Armenian">
    <w:panose1 w:val="02020603050405020304"/>
    <w:charset w:val="00"/>
    <w:family w:val="roman"/>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GHEA Grapalat">
    <w:panose1 w:val="02000506050000020003"/>
    <w:charset w:val="00"/>
    <w:family w:val="modern"/>
    <w:notTrueType/>
    <w:pitch w:val="variable"/>
    <w:sig w:usb0="A00006AF" w:usb1="50002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Reference Sans Serif">
    <w:panose1 w:val="020B0604030504040204"/>
    <w:charset w:val="00"/>
    <w:family w:val="swiss"/>
    <w:pitch w:val="variable"/>
    <w:sig w:usb0="20000287" w:usb1="00000000" w:usb2="00000000" w:usb3="00000000" w:csb0="0000019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w:altName w:val="Arial"/>
    <w:panose1 w:val="020B0604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LatArm">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ill Sans">
    <w:charset w:val="00"/>
    <w:family w:val="auto"/>
    <w:pitch w:val="variable"/>
    <w:sig w:usb0="80000267" w:usb1="00000000" w:usb2="00000000" w:usb3="00000000" w:csb0="000001F7" w:csb1="00000000"/>
  </w:font>
  <w:font w:name="Arial AM">
    <w:panose1 w:val="020B0604020202020204"/>
    <w:charset w:val="00"/>
    <w:family w:val="swiss"/>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Baltica">
    <w:panose1 w:val="00000000000000000000"/>
    <w:charset w:val="00"/>
    <w:family w:val="auto"/>
    <w:pitch w:val="variable"/>
    <w:sig w:usb0="00000003" w:usb1="00000000" w:usb2="00000000" w:usb3="00000000" w:csb0="00000001" w:csb1="00000000"/>
  </w:font>
  <w:font w:name="Univers">
    <w:charset w:val="00"/>
    <w:family w:val="swiss"/>
    <w:pitch w:val="variable"/>
    <w:sig w:usb0="8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Armenian">
    <w:altName w:val="Arial Armenian"/>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Russian Baltica">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allak Helv">
    <w:charset w:val="00"/>
    <w:family w:val="swiss"/>
    <w:pitch w:val="variable"/>
    <w:sig w:usb0="00000003" w:usb1="00000000" w:usb2="00000000" w:usb3="00000000" w:csb0="00000001" w:csb1="00000000"/>
  </w:font>
  <w:font w:name="GHEA Mariam">
    <w:panose1 w:val="02000503080000020003"/>
    <w:charset w:val="00"/>
    <w:family w:val="modern"/>
    <w:notTrueType/>
    <w:pitch w:val="variable"/>
    <w:sig w:usb0="A00006AF" w:usb1="5000204B" w:usb2="00000000" w:usb3="00000000" w:csb0="0000009F" w:csb1="00000000"/>
  </w:font>
  <w:font w:name="Liberation Sans">
    <w:altName w:val="Arial"/>
    <w:charset w:val="01"/>
    <w:family w:val="roman"/>
    <w:pitch w:val="variable"/>
  </w:font>
  <w:font w:name="ヒラギノ角ゴ Pro W3">
    <w:altName w:val="Arial Unicode MS"/>
    <w:panose1 w:val="00000000000000000000"/>
    <w:charset w:val="80"/>
    <w:family w:val="auto"/>
    <w:notTrueType/>
    <w:pitch w:val="variable"/>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Unicode">
    <w:altName w:val="Times New Roman"/>
    <w:panose1 w:val="02020603050405020304"/>
    <w:charset w:val="00"/>
    <w:family w:val="roman"/>
    <w:pitch w:val="variable"/>
    <w:sig w:usb0="00000287" w:usb1="00000000" w:usb2="00000000" w:usb3="00000000" w:csb0="0000009F" w:csb1="00000000"/>
  </w:font>
  <w:font w:name="Merriweather">
    <w:altName w:val="Times New Roman"/>
    <w:charset w:val="00"/>
    <w:family w:val="auto"/>
    <w:pitch w:val="default"/>
  </w:font>
  <w:font w:name="+mn-ea">
    <w:panose1 w:val="00000000000000000000"/>
    <w:charset w:val="00"/>
    <w:family w:val="roman"/>
    <w:notTrueType/>
    <w:pitch w:val="default"/>
  </w:font>
  <w:font w:name="+mn-cs">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C4F553" w14:textId="77777777" w:rsidR="005849E3" w:rsidRDefault="005849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A362A8" w14:textId="1AF10CCC" w:rsidR="005849E3" w:rsidRDefault="005849E3">
    <w:pPr>
      <w:pStyle w:val="Footer"/>
      <w:jc w:val="center"/>
    </w:pPr>
    <w:r>
      <w:fldChar w:fldCharType="begin"/>
    </w:r>
    <w:r>
      <w:instrText xml:space="preserve"> PAGE   \* MERGEFORMAT </w:instrText>
    </w:r>
    <w:r>
      <w:fldChar w:fldCharType="separate"/>
    </w:r>
    <w:r w:rsidR="004F1221">
      <w:rPr>
        <w:noProof/>
      </w:rPr>
      <w:t>2</w:t>
    </w:r>
    <w:r>
      <w:fldChar w:fldCharType="end"/>
    </w:r>
  </w:p>
  <w:p w14:paraId="090C8BF8" w14:textId="77777777" w:rsidR="005849E3" w:rsidRDefault="005849E3"/>
  <w:p w14:paraId="416260C4" w14:textId="77777777" w:rsidR="005849E3" w:rsidRDefault="005849E3"/>
  <w:p w14:paraId="76271777" w14:textId="77777777" w:rsidR="005849E3" w:rsidRDefault="005849E3"/>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47ECD1" w14:textId="77777777" w:rsidR="005849E3" w:rsidRDefault="005849E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A17E72" w14:textId="6AEA8A9B" w:rsidR="005849E3" w:rsidRDefault="005849E3">
    <w:pPr>
      <w:pStyle w:val="Footer"/>
      <w:jc w:val="center"/>
    </w:pPr>
    <w:r>
      <w:fldChar w:fldCharType="begin"/>
    </w:r>
    <w:r>
      <w:instrText xml:space="preserve"> PAGE   \* MERGEFORMAT </w:instrText>
    </w:r>
    <w:r>
      <w:fldChar w:fldCharType="separate"/>
    </w:r>
    <w:r>
      <w:rPr>
        <w:noProof/>
      </w:rPr>
      <w:t>248</w:t>
    </w:r>
    <w:r>
      <w:fldChar w:fldCharType="end"/>
    </w:r>
  </w:p>
  <w:p w14:paraId="047CB3D5" w14:textId="77777777" w:rsidR="005849E3" w:rsidRDefault="005849E3">
    <w:pPr>
      <w:pStyle w:val="Footer"/>
    </w:pPr>
  </w:p>
  <w:p w14:paraId="3F0BB2BE" w14:textId="77777777" w:rsidR="005849E3" w:rsidRDefault="005849E3"/>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09A05" w14:textId="77777777" w:rsidR="005849E3" w:rsidRDefault="005849E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16</w:t>
    </w:r>
    <w:r>
      <w:rPr>
        <w:rStyle w:val="PageNumber"/>
      </w:rPr>
      <w:fldChar w:fldCharType="end"/>
    </w:r>
  </w:p>
  <w:p w14:paraId="59C173C1" w14:textId="77777777" w:rsidR="005849E3" w:rsidRDefault="005849E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93F4E6" w14:textId="77777777" w:rsidR="005849E3" w:rsidRDefault="005849E3">
      <w:pPr>
        <w:spacing w:before="0" w:after="0" w:line="240" w:lineRule="auto"/>
      </w:pPr>
      <w:r>
        <w:separator/>
      </w:r>
    </w:p>
  </w:footnote>
  <w:footnote w:type="continuationSeparator" w:id="0">
    <w:p w14:paraId="315B75F0" w14:textId="77777777" w:rsidR="005849E3" w:rsidRDefault="005849E3">
      <w:pPr>
        <w:spacing w:before="0" w:after="0" w:line="240" w:lineRule="auto"/>
      </w:pPr>
      <w:r>
        <w:continuationSeparator/>
      </w:r>
    </w:p>
  </w:footnote>
  <w:footnote w:id="1">
    <w:p w14:paraId="2B70455A" w14:textId="77777777" w:rsidR="005849E3" w:rsidRPr="00500ADC" w:rsidRDefault="005849E3" w:rsidP="00323005">
      <w:pPr>
        <w:pBdr>
          <w:top w:val="nil"/>
          <w:left w:val="nil"/>
          <w:bottom w:val="nil"/>
          <w:right w:val="nil"/>
          <w:between w:val="nil"/>
        </w:pBdr>
        <w:rPr>
          <w:rFonts w:eastAsia="Merriweather" w:cs="Merriweather"/>
          <w:color w:val="000000"/>
          <w:sz w:val="16"/>
          <w:szCs w:val="16"/>
        </w:rPr>
      </w:pPr>
      <w:r w:rsidRPr="00500ADC">
        <w:rPr>
          <w:rStyle w:val="FootnoteReference"/>
          <w:sz w:val="16"/>
          <w:szCs w:val="16"/>
        </w:rPr>
        <w:footnoteRef/>
      </w:r>
      <w:r w:rsidRPr="00500ADC">
        <w:rPr>
          <w:color w:val="000000"/>
          <w:sz w:val="16"/>
          <w:szCs w:val="16"/>
        </w:rPr>
        <w:t xml:space="preserve"> </w:t>
      </w:r>
      <w:r w:rsidRPr="00B419A1">
        <w:rPr>
          <w:i/>
          <w:sz w:val="16"/>
          <w:szCs w:val="16"/>
        </w:rPr>
        <w:t xml:space="preserve">ՀՀ ֆինանսների նախարարության հարկաբյուջետային քաղաքականության դինամիկ ստոխաստիկ ընդհանուր հավասարակշռության մոդելը մշակվել է 2018-2020թթ. ընթացքում՝ ԱՄՀ կողմից տրամադրված տեխնիկական աջակցության շրջանակներում, </w:t>
      </w:r>
      <w:r>
        <w:rPr>
          <w:i/>
          <w:sz w:val="16"/>
          <w:szCs w:val="16"/>
        </w:rPr>
        <w:t>Առավել մանրամասն տ</w:t>
      </w:r>
      <w:r w:rsidRPr="00C7655E">
        <w:rPr>
          <w:i/>
          <w:sz w:val="16"/>
          <w:szCs w:val="16"/>
        </w:rPr>
        <w:t>ե</w:t>
      </w:r>
      <w:r>
        <w:rPr>
          <w:i/>
          <w:sz w:val="16"/>
          <w:szCs w:val="16"/>
        </w:rPr>
        <w:t>՛</w:t>
      </w:r>
      <w:r w:rsidRPr="00C7655E">
        <w:rPr>
          <w:i/>
          <w:sz w:val="16"/>
          <w:szCs w:val="16"/>
        </w:rPr>
        <w:t>ս ՀՀ կառավարության 2021թ. բյուջե</w:t>
      </w:r>
      <w:r>
        <w:rPr>
          <w:i/>
          <w:sz w:val="16"/>
          <w:szCs w:val="16"/>
        </w:rPr>
        <w:t>տային ուղերձ, Երևան 2020, էջ՝ 84,  ներդիր 2</w:t>
      </w:r>
      <w:r w:rsidRPr="00D64165">
        <w:rPr>
          <w:i/>
          <w:sz w:val="16"/>
          <w:szCs w:val="16"/>
        </w:rPr>
        <w:t>:</w:t>
      </w:r>
    </w:p>
  </w:footnote>
  <w:footnote w:id="2">
    <w:p w14:paraId="0D214BE4" w14:textId="77777777" w:rsidR="005849E3" w:rsidRPr="00500ADC" w:rsidRDefault="005849E3" w:rsidP="00B7540A">
      <w:pPr>
        <w:pStyle w:val="FootnoteText"/>
        <w:spacing w:line="240" w:lineRule="auto"/>
        <w:rPr>
          <w:szCs w:val="16"/>
        </w:rPr>
      </w:pPr>
      <w:r w:rsidRPr="00500ADC">
        <w:rPr>
          <w:rStyle w:val="FootnoteReference"/>
          <w:szCs w:val="16"/>
        </w:rPr>
        <w:footnoteRef/>
      </w:r>
      <w:r w:rsidRPr="00500ADC">
        <w:rPr>
          <w:szCs w:val="16"/>
        </w:rPr>
        <w:t xml:space="preserve"> </w:t>
      </w:r>
      <w:r w:rsidRPr="00B419A1">
        <w:rPr>
          <w:i/>
          <w:szCs w:val="16"/>
        </w:rPr>
        <w:t>Կապիտալ ներդրումներում ներառված չէ պաշարների փոփոխությունը, ներկայացված են միայն հիմնական միջոցներում կատարված կապիտալ ներդրումները, քանի որ 2019թ.-ից ՀՀ ՎԿ կողմից պաշարների փոփոխությունը հաշվառվում է որպես հաշվեկշռող գործոն կամ այլ կերպ՝ վիճակագրական սխալները ներառվում են դրա մեջ:</w:t>
      </w:r>
    </w:p>
  </w:footnote>
  <w:footnote w:id="3">
    <w:p w14:paraId="51691429" w14:textId="77777777" w:rsidR="005849E3" w:rsidRPr="000B2DF3" w:rsidRDefault="005849E3" w:rsidP="00B7540A">
      <w:pPr>
        <w:pStyle w:val="FootnoteText"/>
        <w:rPr>
          <w:sz w:val="18"/>
          <w:szCs w:val="18"/>
        </w:rPr>
      </w:pPr>
      <w:r w:rsidRPr="000B2DF3">
        <w:rPr>
          <w:rStyle w:val="FootnoteReference"/>
          <w:sz w:val="18"/>
          <w:szCs w:val="18"/>
        </w:rPr>
        <w:footnoteRef/>
      </w:r>
      <w:r w:rsidRPr="000B2DF3">
        <w:rPr>
          <w:sz w:val="18"/>
          <w:szCs w:val="18"/>
        </w:rPr>
        <w:t xml:space="preserve"> Աղբյուրը՝ ԱՄՆ առևտրի դեպարտամենտի տնտեսական վերլուծությունների բյուրո, Չինաստանի վիճակագրության ազգային բյուրո, Եվրոստատ և ՌԴ պետական վիճակագրական ծառայություն:</w:t>
      </w:r>
    </w:p>
  </w:footnote>
  <w:footnote w:id="4">
    <w:p w14:paraId="47375AC9" w14:textId="77777777" w:rsidR="005849E3" w:rsidRPr="000927CC" w:rsidRDefault="005849E3" w:rsidP="00B7540A">
      <w:pPr>
        <w:pStyle w:val="FootnoteText"/>
      </w:pPr>
      <w:r w:rsidRPr="000927CC">
        <w:rPr>
          <w:rStyle w:val="FootnoteReference"/>
        </w:rPr>
        <w:footnoteRef/>
      </w:r>
      <w:r w:rsidRPr="000927CC">
        <w:t xml:space="preserve"> </w:t>
      </w:r>
      <w:r w:rsidRPr="00544EFF">
        <w:t xml:space="preserve">Այս ՄԺԾԾ կանխատեսումները հիմնված են ապրիլի կանխատեսումների վրա: Առավել մանրամասն </w:t>
      </w:r>
      <w:r w:rsidRPr="004624BF">
        <w:t>տես 1.4 բաժնում:</w:t>
      </w:r>
    </w:p>
  </w:footnote>
  <w:footnote w:id="5">
    <w:p w14:paraId="31A2AE75" w14:textId="77777777" w:rsidR="005849E3" w:rsidRPr="008D6017" w:rsidRDefault="005849E3" w:rsidP="00B7540A">
      <w:pPr>
        <w:pStyle w:val="FootnoteText"/>
      </w:pPr>
      <w:r>
        <w:rPr>
          <w:rStyle w:val="FootnoteReference"/>
        </w:rPr>
        <w:footnoteRef/>
      </w:r>
      <w:r w:rsidRPr="008D6017">
        <w:t xml:space="preserve"> </w:t>
      </w:r>
      <w:r w:rsidRPr="00544EFF">
        <w:rPr>
          <w:i/>
          <w:szCs w:val="16"/>
        </w:rPr>
        <w:t xml:space="preserve">Այս ՄԺԾԾ կանխատեսումները հիմնված են մայիսի կանխատեսումների վրա: Առավել </w:t>
      </w:r>
      <w:r w:rsidRPr="00B75533">
        <w:rPr>
          <w:i/>
          <w:szCs w:val="16"/>
        </w:rPr>
        <w:t>մանրամասն տես 1.4 բաժնում:</w:t>
      </w:r>
    </w:p>
  </w:footnote>
  <w:footnote w:id="6">
    <w:p w14:paraId="490B8563" w14:textId="77777777" w:rsidR="005849E3" w:rsidRPr="000927CC" w:rsidRDefault="005849E3" w:rsidP="00B7540A">
      <w:pPr>
        <w:pStyle w:val="FootnoteText"/>
        <w:spacing w:line="240" w:lineRule="auto"/>
        <w:contextualSpacing/>
        <w:rPr>
          <w:i/>
          <w:szCs w:val="16"/>
        </w:rPr>
      </w:pPr>
      <w:r>
        <w:rPr>
          <w:rStyle w:val="FootnoteReference"/>
        </w:rPr>
        <w:footnoteRef/>
      </w:r>
      <w:r w:rsidRPr="000927CC">
        <w:t xml:space="preserve"> </w:t>
      </w:r>
      <w:r w:rsidRPr="00544EFF">
        <w:rPr>
          <w:i/>
          <w:szCs w:val="16"/>
        </w:rPr>
        <w:t>ՀՀ երկրի ռիսկի հավելավճարը՝ կորոնավիրուսի առաջին ալիքի ազդեցության որոշակի կայունացումից հետո, 2020թ</w:t>
      </w:r>
      <w:r w:rsidRPr="00544EFF">
        <w:rPr>
          <w:rFonts w:ascii="Cambria Math" w:hAnsi="Cambria Math" w:cs="Cambria Math"/>
          <w:i/>
          <w:szCs w:val="16"/>
        </w:rPr>
        <w:t>․</w:t>
      </w:r>
      <w:r w:rsidRPr="00544EFF">
        <w:rPr>
          <w:i/>
          <w:szCs w:val="16"/>
        </w:rPr>
        <w:t xml:space="preserve"> սեպտեմբերի 28–ից սկսել է բարձրանալ՝ պայմանավորված Արցախյան պատերազմական գործողություններով, դեկտեմբեր ամսից սկսել է կայունանալ, սակայն ավելի բարձր մակարդակում:</w:t>
      </w:r>
    </w:p>
  </w:footnote>
  <w:footnote w:id="7">
    <w:p w14:paraId="5A08FA5C" w14:textId="77777777" w:rsidR="005849E3" w:rsidRPr="007A79BE" w:rsidRDefault="005849E3" w:rsidP="00B7540A">
      <w:pPr>
        <w:pStyle w:val="FootnoteText"/>
        <w:spacing w:line="240" w:lineRule="auto"/>
        <w:contextualSpacing/>
      </w:pPr>
      <w:r>
        <w:rPr>
          <w:rStyle w:val="FootnoteReference"/>
        </w:rPr>
        <w:footnoteRef/>
      </w:r>
      <w:r w:rsidRPr="006E48E4">
        <w:t xml:space="preserve"> </w:t>
      </w:r>
      <w:r w:rsidRPr="00544EFF">
        <w:rPr>
          <w:i/>
          <w:szCs w:val="16"/>
        </w:rPr>
        <w:t>Դոլարի ինդեքսը հաշվարկվում է որպես կշռված երկրաչափական միջին՝ հետևյալ արժույթների նկատմամաբ. Եվրո, Ճապոնական յեն, Բրիտանական ֆունտ, Կանադական դոլար, Շվեդական կրոն, Շվեյցարական ֆրանկ.</w:t>
      </w:r>
    </w:p>
  </w:footnote>
  <w:footnote w:id="8">
    <w:p w14:paraId="25797BA2" w14:textId="77777777" w:rsidR="005849E3" w:rsidRPr="0008242E" w:rsidRDefault="005849E3" w:rsidP="00B7540A">
      <w:pPr>
        <w:pStyle w:val="FootnoteText"/>
        <w:spacing w:line="240" w:lineRule="auto"/>
        <w:contextualSpacing/>
        <w:rPr>
          <w:i/>
          <w:szCs w:val="16"/>
        </w:rPr>
      </w:pPr>
      <w:r>
        <w:rPr>
          <w:rStyle w:val="FootnoteReference"/>
        </w:rPr>
        <w:footnoteRef/>
      </w:r>
      <w:r w:rsidRPr="001A41E1">
        <w:t xml:space="preserve"> </w:t>
      </w:r>
      <w:r w:rsidRPr="00544EFF">
        <w:rPr>
          <w:i/>
          <w:szCs w:val="16"/>
        </w:rPr>
        <w:t>Երկրի ռիսկի հավելավճարները հաշվարկված են որպես տվյալ երկրի եվրոպարտատոմսերի (դոլարային արժույթով) և ԱՄՆ համապատասխան ժամկետայնությամբ գանձապետական պարտատոմսերի եկամտաբերությունների տարբերություն (պարտատոմսերի մարման ժամկետները նշված են երկրների անվանումների կողքը՝ փակագծերում):</w:t>
      </w:r>
      <w:r w:rsidRPr="0008242E">
        <w:rPr>
          <w:i/>
          <w:szCs w:val="16"/>
        </w:rPr>
        <w:t xml:space="preserve"> </w:t>
      </w:r>
    </w:p>
  </w:footnote>
  <w:footnote w:id="9">
    <w:p w14:paraId="4088B205" w14:textId="77777777" w:rsidR="005849E3" w:rsidRPr="00737EC1" w:rsidRDefault="005849E3" w:rsidP="00B7540A">
      <w:pPr>
        <w:pStyle w:val="FootnoteText"/>
        <w:jc w:val="left"/>
        <w:rPr>
          <w:sz w:val="18"/>
          <w:szCs w:val="18"/>
        </w:rPr>
      </w:pPr>
      <w:r w:rsidRPr="00737EC1">
        <w:rPr>
          <w:rStyle w:val="FootnoteReference"/>
          <w:sz w:val="18"/>
          <w:szCs w:val="18"/>
        </w:rPr>
        <w:footnoteRef/>
      </w:r>
      <w:r w:rsidRPr="0008242E">
        <w:rPr>
          <w:sz w:val="18"/>
          <w:szCs w:val="18"/>
        </w:rPr>
        <w:t xml:space="preserve"> </w:t>
      </w:r>
      <w:r w:rsidRPr="00B419A1">
        <w:rPr>
          <w:i/>
          <w:szCs w:val="16"/>
        </w:rPr>
        <w:t>2021թ</w:t>
      </w:r>
      <w:r w:rsidRPr="00B419A1">
        <w:rPr>
          <w:rFonts w:ascii="Cambria Math" w:hAnsi="Cambria Math" w:cs="Cambria Math"/>
          <w:i/>
          <w:szCs w:val="16"/>
        </w:rPr>
        <w:t>․</w:t>
      </w:r>
      <w:r w:rsidRPr="00B419A1">
        <w:rPr>
          <w:i/>
          <w:szCs w:val="16"/>
        </w:rPr>
        <w:t xml:space="preserve"> մարտի 17-ի դրությամբ։ Աղբյուրը՝ IMF Fiscal Monitor April 2021.</w:t>
      </w:r>
      <w:r w:rsidRPr="00056076">
        <w:rPr>
          <w:szCs w:val="16"/>
        </w:rPr>
        <w:t xml:space="preserve"> </w:t>
      </w:r>
      <w:hyperlink r:id="rId1" w:history="1">
        <w:r w:rsidRPr="00056076">
          <w:rPr>
            <w:rStyle w:val="Hyperlink"/>
            <w:szCs w:val="16"/>
          </w:rPr>
          <w:t>https://www.imf.org/en/Publications/FM/Issues/2021/03/29/fiscal-monitor-april-2021</w:t>
        </w:r>
      </w:hyperlink>
      <w:r w:rsidRPr="00056076">
        <w:rPr>
          <w:szCs w:val="16"/>
        </w:rPr>
        <w:t>:</w:t>
      </w:r>
      <w:r w:rsidRPr="00737EC1">
        <w:rPr>
          <w:sz w:val="18"/>
          <w:szCs w:val="18"/>
        </w:rPr>
        <w:t xml:space="preserve"> </w:t>
      </w:r>
    </w:p>
  </w:footnote>
  <w:footnote w:id="10">
    <w:p w14:paraId="57223E2F" w14:textId="77777777" w:rsidR="005849E3" w:rsidRPr="001676C5" w:rsidRDefault="005849E3" w:rsidP="00B7540A">
      <w:pPr>
        <w:pStyle w:val="afb"/>
      </w:pPr>
      <w:r>
        <w:rPr>
          <w:rStyle w:val="FootnoteReference"/>
        </w:rPr>
        <w:footnoteRef/>
      </w:r>
      <w:r>
        <w:t xml:space="preserve"> </w:t>
      </w:r>
      <w:r w:rsidRPr="001676C5">
        <w:t>Կորոնավիրուսի կանխարգելման նպատակով տնտեսական գործունեության որոշ տեսակների նկատմամբ սահմանափակումները սկսել են կիրառվել 2020թ. մարտի 16-ից, որոնք սկսած ապրիլի 13-ից սկսեցին աստիճանաբար հանվել և արդեն մայիսի 18-ից տնտեսական գործունեության բոլոր տեսակների գործունեությունը հիմնականում թույլատրվեց։ Պահպանված որոշ սահմանափակումներ ամբողջությամբ հանվեցին հաջորդող մի քանի ամիսների ընթացքում։ Առավել մանրամասն տե՛ս ՀՀ կառավարության 2021թ. բյուջետային ուղերձ, Երևան 2020, էջ 67-68, ներդիր 1:</w:t>
      </w:r>
    </w:p>
    <w:p w14:paraId="57B87F25" w14:textId="77777777" w:rsidR="005849E3" w:rsidRPr="00B7540A" w:rsidRDefault="005849E3" w:rsidP="00B7540A">
      <w:pPr>
        <w:pStyle w:val="FootnoteText"/>
        <w:rPr>
          <w:lang w:val="hy-AM"/>
        </w:rPr>
      </w:pPr>
    </w:p>
  </w:footnote>
  <w:footnote w:id="11">
    <w:p w14:paraId="5BF281C3" w14:textId="77777777" w:rsidR="005849E3" w:rsidRDefault="005849E3" w:rsidP="00B7540A">
      <w:pPr>
        <w:pStyle w:val="afb"/>
      </w:pPr>
      <w:r>
        <w:rPr>
          <w:rStyle w:val="FootnoteReference"/>
        </w:rPr>
        <w:footnoteRef/>
      </w:r>
      <w:r>
        <w:t xml:space="preserve"> </w:t>
      </w:r>
      <w:r w:rsidRPr="009D428D">
        <w:t>ՏԱՑ-ի աճին ճյուղերի նպաստումները ՀՀ ֆինանսների նախարարության գնահատականներն են: Գյուղատնտեսության ցուցանիշը ոչ բոլոր տեղերում է ներառված հաշվարկներում, քանի որ հրապարակվում է եռամսյակային պարբերականությամբ՝ պայմանավորված գյուղատնտեսության սեզոնայնությամբ և բնակլիմայական ոչ կայուն պայմաններից կախված ամսական արտադրության տատանողականության հարթեցման անհրաժեշտությամբ:</w:t>
      </w:r>
    </w:p>
  </w:footnote>
  <w:footnote w:id="12">
    <w:p w14:paraId="0168EF15" w14:textId="77777777" w:rsidR="005849E3" w:rsidRDefault="005849E3" w:rsidP="00B7540A">
      <w:pPr>
        <w:pStyle w:val="afb"/>
      </w:pPr>
      <w:r>
        <w:rPr>
          <w:rStyle w:val="FootnoteReference"/>
        </w:rPr>
        <w:footnoteRef/>
      </w:r>
      <w:r>
        <w:t xml:space="preserve"> </w:t>
      </w:r>
      <w:r w:rsidRPr="00204E8D">
        <w:t>Առավել մանրամասն տե՛ս «</w:t>
      </w:r>
      <w:r>
        <w:t>1</w:t>
      </w:r>
      <w:r w:rsidRPr="002D4302">
        <w:t>.3.1.</w:t>
      </w:r>
      <w:r w:rsidRPr="003A61C0">
        <w:t xml:space="preserve"> </w:t>
      </w:r>
      <w:r>
        <w:t xml:space="preserve">ԹԻՐԱԽԱՅԻՆ </w:t>
      </w:r>
      <w:r w:rsidRPr="003A61C0">
        <w:t>(</w:t>
      </w:r>
      <w:r>
        <w:t>ԲԱՐՁՐ</w:t>
      </w:r>
      <w:r w:rsidRPr="003A61C0">
        <w:t>)</w:t>
      </w:r>
      <w:r w:rsidRPr="0051353B">
        <w:t xml:space="preserve"> ՏՆՏԵՍԱԿԱՆ ԱՃԻ ՍՑԵՆԱՐ</w:t>
      </w:r>
      <w:r w:rsidRPr="00204E8D">
        <w:t>» բաժնում։</w:t>
      </w:r>
    </w:p>
  </w:footnote>
  <w:footnote w:id="13">
    <w:p w14:paraId="31A8B8EB" w14:textId="77777777" w:rsidR="005849E3" w:rsidRDefault="005849E3" w:rsidP="00B7540A">
      <w:pPr>
        <w:pStyle w:val="afb"/>
      </w:pPr>
      <w:r>
        <w:rPr>
          <w:rStyle w:val="FootnoteReference"/>
        </w:rPr>
        <w:footnoteRef/>
      </w:r>
      <w:r>
        <w:t xml:space="preserve"> </w:t>
      </w:r>
      <w:r w:rsidRPr="009D428D">
        <w:t>Ի տարբերություն նախկին մեթոդաբանության, երբ աշխատանքի շուկայի ցուցանիշները հիմնված էին առկա բնակչության թվի վրա, դրանք 2020թ. սկսած հաշվարկվում են՝ հիմք ընդունելով մշտական բնակչության թիվը (ներառում է նաև մինչև 12 ամիս ժամկետով ՀՀ-ից դուրս գտնվող զբաղվածներին և գործազուրկներին): Հետևաբար աշխատանքի շուկայի ցուցանիշները ներկայացնում են ազգային զբաղվածությունը և գործազրկությունը:</w:t>
      </w:r>
    </w:p>
  </w:footnote>
  <w:footnote w:id="14">
    <w:p w14:paraId="30CAE35E" w14:textId="77777777" w:rsidR="005849E3" w:rsidRDefault="005849E3" w:rsidP="00B7540A">
      <w:pPr>
        <w:pStyle w:val="afb"/>
      </w:pPr>
      <w:r>
        <w:rPr>
          <w:rStyle w:val="FootnoteReference"/>
        </w:rPr>
        <w:footnoteRef/>
      </w:r>
      <w:r>
        <w:t xml:space="preserve"> </w:t>
      </w:r>
      <w:r w:rsidRPr="009D428D">
        <w:t>Աշխատուժից դուրս բնակչության մեջ ներառվում են անձինք, ովքեր հետազոտվող ժամանակաշրջանում չեն աշխատել և աշխատանք չեն փնտրել` չեն եղել զբաղված կամ գործազուրկ, մասնավորապես՝ առկա ուսուցմամբ և արտադրությունից կտրված սովորողները և ուսանողները, տնային տնտեսությամբ զբաղվածները, երեխաներին, հիվանդ հարազատներին խնամողները, անձինք, ովքեր զանազան պատճառներով չեն աշխատում և աշխատանք չեն փնտրում (սեփականության օգտագործումից եկամուտ ստացողներ, պարտադիր ժամկետային զինծառայողներ և այլն):</w:t>
      </w:r>
    </w:p>
  </w:footnote>
  <w:footnote w:id="15">
    <w:p w14:paraId="728163E0" w14:textId="77777777" w:rsidR="005849E3" w:rsidRPr="007D17A2" w:rsidRDefault="005849E3" w:rsidP="00B7540A">
      <w:pPr>
        <w:pStyle w:val="afb"/>
        <w:spacing w:before="0" w:after="0"/>
        <w:jc w:val="left"/>
        <w:rPr>
          <w:sz w:val="18"/>
          <w:szCs w:val="18"/>
        </w:rPr>
      </w:pPr>
      <w:r w:rsidRPr="007D17A2">
        <w:rPr>
          <w:rStyle w:val="FootnoteReference"/>
          <w:sz w:val="18"/>
          <w:szCs w:val="18"/>
        </w:rPr>
        <w:footnoteRef/>
      </w:r>
      <w:r w:rsidRPr="007D17A2">
        <w:rPr>
          <w:sz w:val="18"/>
          <w:szCs w:val="18"/>
        </w:rPr>
        <w:t xml:space="preserve"> Տե՛ս Գնաճի հաշվետվություն, 2021/1, ՀՀ ԿԲ, https://www.cba.am/Storage/AM/downloads/parberakan/DVQ/Monetary%20policy_I_2021.pdf</w:t>
      </w:r>
    </w:p>
  </w:footnote>
  <w:footnote w:id="16">
    <w:p w14:paraId="68E17EF2" w14:textId="77777777" w:rsidR="005849E3" w:rsidRPr="00500ADC" w:rsidRDefault="005849E3" w:rsidP="00B7540A">
      <w:pPr>
        <w:pStyle w:val="afb"/>
        <w:rPr>
          <w:rFonts w:eastAsia="Merriweather" w:cs="Merriweather"/>
          <w:color w:val="000000"/>
        </w:rPr>
      </w:pPr>
      <w:r w:rsidRPr="00500ADC">
        <w:rPr>
          <w:rStyle w:val="FootnoteReference"/>
          <w:sz w:val="16"/>
          <w:szCs w:val="16"/>
        </w:rPr>
        <w:footnoteRef/>
      </w:r>
      <w:r w:rsidRPr="00500ADC">
        <w:rPr>
          <w:color w:val="000000"/>
        </w:rPr>
        <w:t xml:space="preserve"> </w:t>
      </w:r>
      <w:r w:rsidRPr="00B419A1">
        <w:t xml:space="preserve">ՀՀ ֆինանսների նախարարության հարկաբյուջետային քաղաքականության դինամիկ ստոխաստիկ ընդհանուր հավասարակշռության մոդելը մշակվել է 2018-2020թթ. ընթացքում՝ ԱՄՀ կողմից տրամադրված տեխնիկական աջակցության շրջանակներում, </w:t>
      </w:r>
      <w:r>
        <w:t>Առավել մանրամասն տ</w:t>
      </w:r>
      <w:r w:rsidRPr="00C7655E">
        <w:t>ե</w:t>
      </w:r>
      <w:r>
        <w:t>՛</w:t>
      </w:r>
      <w:r w:rsidRPr="00C7655E">
        <w:t>ս ՀՀ կառավարության 2021թ. բյուջե</w:t>
      </w:r>
      <w:r>
        <w:t>տային ուղերձ, Երևան 2020, էջ՝ 84,  ներդիր 2</w:t>
      </w:r>
      <w:r w:rsidRPr="00D64165">
        <w:t>:</w:t>
      </w:r>
    </w:p>
  </w:footnote>
  <w:footnote w:id="17">
    <w:p w14:paraId="2DD0082B" w14:textId="77777777" w:rsidR="005849E3" w:rsidRPr="00EA45BA" w:rsidRDefault="005849E3" w:rsidP="00B7540A">
      <w:pPr>
        <w:pStyle w:val="afb"/>
      </w:pPr>
      <w:r w:rsidRPr="00500ADC">
        <w:rPr>
          <w:rStyle w:val="FootnoteReference"/>
          <w:sz w:val="16"/>
          <w:szCs w:val="16"/>
        </w:rPr>
        <w:footnoteRef/>
      </w:r>
      <w:r w:rsidRPr="00500ADC">
        <w:t xml:space="preserve"> </w:t>
      </w:r>
      <w:r w:rsidRPr="00B419A1">
        <w:t>ՀՀ գործընկեր երկրների արտաքին պահանաջարկի ցուցանիշը ՀՀ ՖՆ գնահատականն է, որը հաշվարկվել է որպես Ռուսաստանի, ԱՄՆ-ի, Չինաստանի և Եվրոգոտու տնտեսական աճերի կշռված միջին՝ ՀՀ արտահանման կառուցվածքին համապատասխան:  ՀՀ գործընկեր երկրների տնտեսական աճերի 2021 և 2022 թթ. ԱՄՀ կողմից հրապարակված կանխատեսումները ներկայացված են Աղյուսակ 1.2.-ում</w:t>
      </w:r>
    </w:p>
  </w:footnote>
  <w:footnote w:id="18">
    <w:p w14:paraId="20D635EF" w14:textId="77777777" w:rsidR="005849E3" w:rsidRPr="00E55F13" w:rsidRDefault="005849E3" w:rsidP="00B7540A">
      <w:pPr>
        <w:pStyle w:val="afb"/>
      </w:pPr>
      <w:r w:rsidRPr="00E55F13">
        <w:rPr>
          <w:rStyle w:val="FootnoteReference"/>
          <w:sz w:val="16"/>
          <w:szCs w:val="16"/>
        </w:rPr>
        <w:footnoteRef/>
      </w:r>
      <w:r w:rsidRPr="00E55F13">
        <w:t xml:space="preserve"> Տե՛ս «Տնտեսական արձագանքման ծրագիրը և գործողությունների պլանը հաստատելու մասին» ՀՀ կառավարության 2021թ. փետրվարի 4-ի թիվ </w:t>
      </w:r>
      <w:r w:rsidRPr="00B419A1">
        <w:t>142-Լ որոշում, հավելված 1:</w:t>
      </w:r>
    </w:p>
  </w:footnote>
  <w:footnote w:id="19">
    <w:p w14:paraId="54DFE345" w14:textId="77777777" w:rsidR="005849E3" w:rsidRPr="00500ADC" w:rsidRDefault="005849E3" w:rsidP="00B7540A">
      <w:pPr>
        <w:pStyle w:val="afb"/>
      </w:pPr>
      <w:r w:rsidRPr="00E55F13">
        <w:rPr>
          <w:vertAlign w:val="superscript"/>
        </w:rPr>
        <w:footnoteRef/>
      </w:r>
      <w:r w:rsidRPr="00E55F13">
        <w:rPr>
          <w:vertAlign w:val="superscript"/>
        </w:rPr>
        <w:t xml:space="preserve"> </w:t>
      </w:r>
      <w:r w:rsidRPr="00E55F13">
        <w:t>Աղյուսակի 1-ին սյունը իրենից ներկայացնում է տնտեսական աճի հնարավոր միջա</w:t>
      </w:r>
      <w:r w:rsidRPr="00E55F13">
        <w:softHyphen/>
        <w:t xml:space="preserve">կայքերը, իսկ 2-ից 5-րդ սյուները` համապատասխան միջակայքերում միջնաժամկետում տնտեսական աճի գտնվելու հավանականությունները։ Աղյուսակում ներկայացվել են տնտեսական աճի ամենահավանական միջակայքերը, որոնք միասին ծածկում են բաշխման ընդհանուր հավանականության շուրջ 80%-ը, այսինքն` հավանականությունը, որ տնտեսական աճը կգտնվի 1.5%-ից </w:t>
      </w:r>
      <w:r w:rsidRPr="000927CC">
        <w:t>9</w:t>
      </w:r>
      <w:r w:rsidRPr="00E55F13">
        <w:t>.5% միջակայքում, կազմում է մոտ 80%:</w:t>
      </w:r>
    </w:p>
  </w:footnote>
  <w:footnote w:id="20">
    <w:p w14:paraId="2C1EB8EA" w14:textId="77777777" w:rsidR="005849E3" w:rsidRPr="0091229D" w:rsidRDefault="005849E3" w:rsidP="00B7540A">
      <w:pPr>
        <w:pStyle w:val="afb"/>
      </w:pPr>
      <w:r w:rsidRPr="0091229D">
        <w:rPr>
          <w:rStyle w:val="FootnoteReference"/>
        </w:rPr>
        <w:footnoteRef/>
      </w:r>
      <w:r w:rsidRPr="0091229D">
        <w:t xml:space="preserve"> Տե՛ս «Բյուջետային համակարգի մասին» ՀՀ օրենքի 21-րդ հոդվածի 8.2, 8.3 և 8.4 մասերը, «Պետական պարտքի մասին» ՀՀ օրենքի 5-րդ հոդվածի 6-րդ և 7-րդ մասերը, ինչպես նաև ՀՀ կառավարության՝ 2018 թվականի օգոստոսի 23-ի N 942-Ն որոշումը:</w:t>
      </w:r>
    </w:p>
  </w:footnote>
  <w:footnote w:id="21">
    <w:p w14:paraId="31A8C399" w14:textId="77777777" w:rsidR="005849E3" w:rsidRPr="00B7540A" w:rsidRDefault="005849E3" w:rsidP="00B7540A">
      <w:pPr>
        <w:pStyle w:val="FootnoteText"/>
        <w:spacing w:before="0" w:after="0"/>
        <w:rPr>
          <w:lang w:val="hy-AM"/>
        </w:rPr>
      </w:pPr>
      <w:r w:rsidRPr="007D17A2">
        <w:rPr>
          <w:rStyle w:val="FootnoteReference"/>
        </w:rPr>
        <w:footnoteRef/>
      </w:r>
      <w:r w:rsidRPr="00B7540A">
        <w:rPr>
          <w:lang w:val="hy-AM"/>
        </w:rPr>
        <w:t xml:space="preserve"> Տնտեսական աջակցության միջոցառումների ընդհանուր ծավալը կազմել է 32.4 մլրդ դրամ, որից 13.0 մլրդ դրամն իրականացվել է բյուջեի ծախսերի աճի միջոցով, իսկ 19.4 մլրդ դրամը` դեֆիցիտի ֆինանսավորման գործառնությունների (ներքին վարկավորման) միջոցով</w:t>
      </w:r>
    </w:p>
  </w:footnote>
  <w:footnote w:id="22">
    <w:p w14:paraId="32648F36" w14:textId="77777777" w:rsidR="005849E3" w:rsidRPr="00B7540A" w:rsidRDefault="005849E3" w:rsidP="00B7540A">
      <w:pPr>
        <w:pStyle w:val="FootnoteText"/>
        <w:spacing w:before="0" w:after="0"/>
        <w:rPr>
          <w:lang w:val="hy-AM"/>
        </w:rPr>
      </w:pPr>
      <w:r w:rsidRPr="007D17A2">
        <w:rPr>
          <w:rStyle w:val="FootnoteReference"/>
        </w:rPr>
        <w:footnoteRef/>
      </w:r>
      <w:r w:rsidRPr="00B7540A">
        <w:rPr>
          <w:lang w:val="hy-AM"/>
        </w:rPr>
        <w:t xml:space="preserve"> Կառավարության հակաճգնաժամային արձագանքի վերաբերյալ առավել մանրամասն ներկայացված է Ներդիր 4-ում:</w:t>
      </w:r>
    </w:p>
  </w:footnote>
  <w:footnote w:id="23">
    <w:p w14:paraId="56D6E129" w14:textId="77777777" w:rsidR="005849E3" w:rsidRDefault="005849E3" w:rsidP="00B7540A">
      <w:pPr>
        <w:pStyle w:val="afb"/>
        <w:jc w:val="left"/>
      </w:pPr>
      <w:r>
        <w:rPr>
          <w:rStyle w:val="FootnoteReference"/>
        </w:rPr>
        <w:footnoteRef/>
      </w:r>
      <w:r>
        <w:t xml:space="preserve"> Առավել մանրամասն ներկայացված է «2.5. Հարկաբյուջետային քաղաքականության համապատասխանությունը հարկաբյուջետային կանոններին» հատվածում</w:t>
      </w:r>
    </w:p>
  </w:footnote>
  <w:footnote w:id="24">
    <w:p w14:paraId="0C88B3DF" w14:textId="77777777" w:rsidR="005849E3" w:rsidRPr="000878DD" w:rsidRDefault="005849E3" w:rsidP="00B7540A">
      <w:pPr>
        <w:pStyle w:val="afb"/>
      </w:pPr>
      <w:r w:rsidRPr="00426D58">
        <w:rPr>
          <w:rStyle w:val="FootnoteReference"/>
        </w:rPr>
        <w:footnoteRef/>
      </w:r>
      <w:r w:rsidRPr="000878DD">
        <w:t xml:space="preserve"> </w:t>
      </w:r>
      <w:r w:rsidRPr="00426D58">
        <w:t xml:space="preserve">Կառավարության պարտքի բեռի փոփոխության տրոհումը ըստ գործոնների հաշվարկվել է բաց տնտեսությունում </w:t>
      </w:r>
      <w:r>
        <w:t>«</w:t>
      </w:r>
      <w:r w:rsidRPr="00426D58">
        <w:t>պարտքի շարժման</w:t>
      </w:r>
      <w:r>
        <w:t>»</w:t>
      </w:r>
      <w:r w:rsidRPr="00426D58">
        <w:t xml:space="preserve"> բանաձևի օգնությամբ, որտեղ պարտքի փոփոխությունը ֆունկցիա է տնտեսական աճից</w:t>
      </w:r>
      <w:r>
        <w:rPr>
          <w:rFonts w:ascii="Cambria Math" w:hAnsi="Cambria Math" w:cs="Cambria Math"/>
        </w:rPr>
        <w:t>,</w:t>
      </w:r>
      <w:r w:rsidRPr="000878DD">
        <w:t xml:space="preserve"> </w:t>
      </w:r>
      <w:r w:rsidRPr="000878DD">
        <w:rPr>
          <w:rFonts w:cs="GHEA Grapalat"/>
        </w:rPr>
        <w:t>բյուջեի</w:t>
      </w:r>
      <w:r w:rsidRPr="000878DD">
        <w:t xml:space="preserve"> առաջնային հաշվեկշռից, փոխարժեքից, իրական </w:t>
      </w:r>
      <w:r w:rsidRPr="006D71E2">
        <w:t xml:space="preserve">տոկոսադրույքից և պարտք առաջացնող այլ հոսքերից (ՀՀ համար՝ զուտ վարկավորում պետական բյուջեից)։ Հաշվարկման ընթացքում այս գործոններով չբացատրված պարտքի փոփոխության չափը արտացոլվում է որպես «մնացորդ», և, կարող է բնութագրել քրոս </w:t>
      </w:r>
      <w:r w:rsidRPr="00F72E64">
        <w:t>(</w:t>
      </w:r>
      <w:r w:rsidRPr="008224DC">
        <w:t>արժույթների միմյանց նկատմամբ)</w:t>
      </w:r>
      <w:r w:rsidRPr="008224DC">
        <w:rPr>
          <w:i/>
        </w:rPr>
        <w:t xml:space="preserve"> </w:t>
      </w:r>
      <w:r w:rsidRPr="00F72E64">
        <w:t xml:space="preserve">փոխարժեքների փոփոխությամբ պայմանավորված վերագնահատման ազդեցությունները։  </w:t>
      </w:r>
    </w:p>
  </w:footnote>
  <w:footnote w:id="25">
    <w:p w14:paraId="73691A8C" w14:textId="77777777" w:rsidR="005849E3" w:rsidRPr="00807484" w:rsidRDefault="005849E3" w:rsidP="00B7540A">
      <w:pPr>
        <w:pStyle w:val="afb"/>
      </w:pPr>
      <w:r w:rsidRPr="00737EC1">
        <w:rPr>
          <w:rStyle w:val="FootnoteReference"/>
          <w:sz w:val="18"/>
          <w:szCs w:val="18"/>
        </w:rPr>
        <w:footnoteRef/>
      </w:r>
      <w:r w:rsidRPr="00AB3D8A">
        <w:t xml:space="preserve"> </w:t>
      </w:r>
      <w:r w:rsidRPr="00543CF6">
        <w:t>2021 թվականի մարտի 17-</w:t>
      </w:r>
      <w:r w:rsidRPr="00385F0A">
        <w:t xml:space="preserve">ի դրությամբ։ Աղբյուրը՝ IMF Fiscal Monitor April 2021. </w:t>
      </w:r>
      <w:hyperlink r:id="rId2" w:history="1">
        <w:r w:rsidRPr="00807484">
          <w:rPr>
            <w:rStyle w:val="Hyperlink"/>
            <w:sz w:val="18"/>
            <w:szCs w:val="18"/>
          </w:rPr>
          <w:t>https://www.imf.org/en/Publications/FM/Issues/2021/03/29/fiscal-monitor-april-2021</w:t>
        </w:r>
      </w:hyperlink>
      <w:r w:rsidRPr="00807484">
        <w:t xml:space="preserve">: </w:t>
      </w:r>
    </w:p>
  </w:footnote>
  <w:footnote w:id="26">
    <w:p w14:paraId="222C50F7" w14:textId="77777777" w:rsidR="005849E3" w:rsidRPr="00B7540A" w:rsidRDefault="005849E3" w:rsidP="00B7540A">
      <w:pPr>
        <w:pStyle w:val="FootnoteText"/>
        <w:rPr>
          <w:sz w:val="18"/>
          <w:szCs w:val="18"/>
          <w:lang w:val="hy-AM"/>
        </w:rPr>
      </w:pPr>
      <w:r w:rsidRPr="00807484">
        <w:rPr>
          <w:rStyle w:val="FootnoteReference"/>
          <w:sz w:val="18"/>
          <w:szCs w:val="18"/>
        </w:rPr>
        <w:footnoteRef/>
      </w:r>
      <w:r w:rsidRPr="00B7540A">
        <w:rPr>
          <w:sz w:val="18"/>
          <w:szCs w:val="18"/>
          <w:lang w:val="hy-AM"/>
        </w:rPr>
        <w:t xml:space="preserve"> Այս ցուցանիշը ի համեմատ փաստացի 2.3%-ի, իր մեջ ներառում է համավարակի սոցիալ-տնտեսական հետևանքների չեզոքացմանն ուղղված միջոցառումների ամբողջական 150 մլրդ դրամ փաթեթը, քանի որ միջազգային համադրումների համար ԱՄՀ տվյալների բազան վերաբերում է պլանավորված ցուցանիշներին: </w:t>
      </w:r>
    </w:p>
  </w:footnote>
  <w:footnote w:id="27">
    <w:p w14:paraId="192AE0FC" w14:textId="77777777" w:rsidR="005849E3" w:rsidRPr="00B7540A" w:rsidRDefault="005849E3" w:rsidP="00B7540A">
      <w:pPr>
        <w:pStyle w:val="FootnoteText"/>
        <w:rPr>
          <w:lang w:val="hy-AM"/>
        </w:rPr>
      </w:pPr>
      <w:r w:rsidRPr="008224DC">
        <w:rPr>
          <w:rStyle w:val="FootnoteReference"/>
          <w:sz w:val="18"/>
          <w:szCs w:val="18"/>
        </w:rPr>
        <w:footnoteRef/>
      </w:r>
      <w:r w:rsidRPr="00B7540A">
        <w:rPr>
          <w:sz w:val="18"/>
          <w:szCs w:val="18"/>
          <w:lang w:val="hy-AM"/>
        </w:rPr>
        <w:t xml:space="preserve"> Հարկաբյուջետային կանխատեսումների համար հիմք է հանդիսացել 2021թ.-ի ապրիլի վերջի դրությամբ առկա տեղեկատվությունը՝ համավարակի և Արցախյան պատերազմի տնտեսական ազդեցությունների, միջազգային կազմակերպությունների կանխատեսումների, ինչպես նաև հարկաբյուջետային քաղաքականության հակաճգնաժամային միջոցառումների վերաբերյալ:</w:t>
      </w:r>
    </w:p>
  </w:footnote>
  <w:footnote w:id="28">
    <w:p w14:paraId="1D05E171" w14:textId="77777777" w:rsidR="005849E3" w:rsidRPr="00B7540A" w:rsidRDefault="005849E3" w:rsidP="00B7540A">
      <w:pPr>
        <w:pStyle w:val="FootnoteText"/>
        <w:rPr>
          <w:lang w:val="hy-AM"/>
        </w:rPr>
      </w:pPr>
      <w:r>
        <w:rPr>
          <w:rStyle w:val="FootnoteReference"/>
        </w:rPr>
        <w:footnoteRef/>
      </w:r>
      <w:r w:rsidRPr="00B7540A">
        <w:rPr>
          <w:lang w:val="hy-AM"/>
        </w:rPr>
        <w:t xml:space="preserve"> Փաստաթուղթը հասանելի է հետևյալ էլ. հղումով՝ </w:t>
      </w:r>
    </w:p>
    <w:p w14:paraId="05A660E1" w14:textId="77777777" w:rsidR="005849E3" w:rsidRPr="00B7540A" w:rsidRDefault="004F1221" w:rsidP="00B7540A">
      <w:pPr>
        <w:pStyle w:val="FootnoteText"/>
        <w:rPr>
          <w:lang w:val="hy-AM"/>
        </w:rPr>
      </w:pPr>
      <w:hyperlink r:id="rId3" w:history="1">
        <w:r w:rsidR="005849E3" w:rsidRPr="00B7540A">
          <w:rPr>
            <w:rStyle w:val="Hyperlink"/>
            <w:lang w:val="hy-AM"/>
          </w:rPr>
          <w:t>https://eeas.europa.eu/sites/default/files/swd_2021_186_f1_joint_staff_working_paper_en_v2_p1_1356457_0.pdf</w:t>
        </w:r>
      </w:hyperlink>
      <w:r w:rsidR="005849E3" w:rsidRPr="00B7540A">
        <w:rPr>
          <w:lang w:val="hy-AM"/>
        </w:rPr>
        <w:t xml:space="preserve"> </w:t>
      </w:r>
    </w:p>
  </w:footnote>
  <w:footnote w:id="29">
    <w:p w14:paraId="5ADF4D63" w14:textId="77777777" w:rsidR="005849E3" w:rsidRPr="00B7540A" w:rsidRDefault="005849E3" w:rsidP="00B7540A">
      <w:pPr>
        <w:pStyle w:val="FootnoteText"/>
        <w:rPr>
          <w:lang w:val="hy-AM"/>
        </w:rPr>
      </w:pPr>
      <w:r w:rsidRPr="00E2325B">
        <w:rPr>
          <w:rStyle w:val="FootnoteReference"/>
        </w:rPr>
        <w:footnoteRef/>
      </w:r>
      <w:r w:rsidRPr="00B7540A">
        <w:rPr>
          <w:lang w:val="hy-AM"/>
        </w:rPr>
        <w:t xml:space="preserve"> Այս հատվածում նկարագրված ռիսկերի առավել մանրամասն վերլուծությունը ներկայացված է այս փաստաթղթի ՄԱՍ IV-ի «Պետական բյուջեի վրա մակրոտնտեսական կանխատեսված ցուցանիշներից շեղման ռիսկերի ազդեցության քանակական գնահատում» և «ՀՀ կառավարության պարտքի կայունության վերլուծություն» բաժիններում։ </w:t>
      </w:r>
    </w:p>
  </w:footnote>
  <w:footnote w:id="30">
    <w:p w14:paraId="43A8AAE7" w14:textId="77777777" w:rsidR="005849E3" w:rsidRPr="00B11AEF" w:rsidRDefault="005849E3" w:rsidP="00B11AEF">
      <w:pPr>
        <w:pStyle w:val="FootnoteText"/>
        <w:rPr>
          <w:lang w:val="hy-AM"/>
        </w:rPr>
      </w:pPr>
      <w:r>
        <w:rPr>
          <w:rStyle w:val="FootnoteReference"/>
        </w:rPr>
        <w:footnoteRef/>
      </w:r>
      <w:r w:rsidRPr="00B11AEF">
        <w:rPr>
          <w:lang w:val="hy-AM"/>
        </w:rPr>
        <w:t xml:space="preserve"> </w:t>
      </w:r>
      <w:r>
        <w:rPr>
          <w:rFonts w:cs="Sylfaen"/>
          <w:iCs/>
          <w:lang w:val="af-ZA" w:eastAsia="en-GB"/>
        </w:rPr>
        <w:t xml:space="preserve">Թիրախային (բարձր) տնտեսական աճի սցենարը նկարագրված է Գլուխ 1-ի 1.3-ի կետի, 1.3.1 ենթակետում: </w:t>
      </w:r>
    </w:p>
  </w:footnote>
  <w:footnote w:id="31">
    <w:p w14:paraId="38B134E3" w14:textId="6410CACA" w:rsidR="005849E3" w:rsidRPr="00B11AEF" w:rsidRDefault="005849E3" w:rsidP="00B11AEF">
      <w:pPr>
        <w:pStyle w:val="NormalWeb"/>
        <w:shd w:val="clear" w:color="auto" w:fill="FFFFFF"/>
        <w:rPr>
          <w:lang w:val="hy-AM"/>
        </w:rPr>
      </w:pPr>
      <w:r>
        <w:rPr>
          <w:rStyle w:val="FootnoteReference"/>
        </w:rPr>
        <w:footnoteRef/>
      </w:r>
      <w:r w:rsidRPr="00B11AEF">
        <w:rPr>
          <w:lang w:val="hy-AM"/>
        </w:rPr>
        <w:t xml:space="preserve"> </w:t>
      </w:r>
      <w:r w:rsidRPr="005234AF">
        <w:rPr>
          <w:bCs/>
          <w:color w:val="000000"/>
          <w:sz w:val="16"/>
          <w:szCs w:val="16"/>
          <w:lang w:val="hy-AM"/>
        </w:rPr>
        <w:t>Ոլորտի 2021 թվականի հաստատված պետական բյուջեի համեմատ 2022-2023 թվականների ՄԺԾԾ չափաքանակների նվազեցումը պայմանավորված է ընթացիկ ծախսերի գծով</w:t>
      </w:r>
      <w:r>
        <w:rPr>
          <w:bCs/>
          <w:color w:val="000000"/>
          <w:sz w:val="16"/>
          <w:szCs w:val="16"/>
          <w:lang w:val="hy-AM"/>
        </w:rPr>
        <w:t xml:space="preserve"> </w:t>
      </w:r>
      <w:r w:rsidRPr="005234AF">
        <w:rPr>
          <w:bCs/>
          <w:color w:val="000000"/>
          <w:sz w:val="16"/>
          <w:szCs w:val="16"/>
          <w:lang w:val="hy-AM"/>
        </w:rPr>
        <w:t xml:space="preserve">նվազեցումներով, ինչպես նաև կապիտալ ծախսերի </w:t>
      </w:r>
      <w:r>
        <w:rPr>
          <w:bCs/>
          <w:color w:val="000000"/>
          <w:sz w:val="16"/>
          <w:szCs w:val="16"/>
          <w:lang w:val="hy-AM"/>
        </w:rPr>
        <w:t>գծով</w:t>
      </w:r>
      <w:r w:rsidRPr="005234AF">
        <w:rPr>
          <w:bCs/>
          <w:color w:val="000000"/>
          <w:sz w:val="16"/>
          <w:szCs w:val="16"/>
          <w:lang w:val="hy-AM"/>
        </w:rPr>
        <w:t xml:space="preserve"> չբաշխված գումարներով</w:t>
      </w:r>
      <w:r w:rsidRPr="000812D6">
        <w:rPr>
          <w:bCs/>
          <w:color w:val="000000"/>
          <w:sz w:val="16"/>
          <w:szCs w:val="16"/>
          <w:lang w:val="hy-AM"/>
        </w:rPr>
        <w:t>: ՄԺԾԾ</w:t>
      </w:r>
      <w:r w:rsidRPr="00F16AD0">
        <w:rPr>
          <w:bCs/>
          <w:color w:val="000000"/>
          <w:sz w:val="16"/>
          <w:szCs w:val="16"/>
          <w:lang w:val="hy-AM"/>
        </w:rPr>
        <w:t xml:space="preserve"> ա</w:t>
      </w:r>
      <w:r w:rsidRPr="000812D6">
        <w:rPr>
          <w:bCs/>
          <w:color w:val="000000"/>
          <w:sz w:val="16"/>
          <w:szCs w:val="16"/>
          <w:lang w:val="hy-AM"/>
        </w:rPr>
        <w:t>ռաջնահերթությունների Հավելված 6-ում ՊՆ-ի գծով նախատեսվել են</w:t>
      </w:r>
      <w:r>
        <w:rPr>
          <w:bCs/>
          <w:color w:val="000000"/>
          <w:sz w:val="16"/>
          <w:szCs w:val="16"/>
          <w:lang w:val="hy-AM"/>
        </w:rPr>
        <w:t xml:space="preserve"> համապատասխանաբար՝ 2022թ</w:t>
      </w:r>
      <w:r>
        <w:rPr>
          <w:rFonts w:ascii="Cambria Math" w:hAnsi="Cambria Math"/>
          <w:bCs/>
          <w:color w:val="000000"/>
          <w:sz w:val="16"/>
          <w:szCs w:val="16"/>
          <w:lang w:val="hy-AM"/>
        </w:rPr>
        <w:t>․</w:t>
      </w:r>
      <w:r w:rsidRPr="005234AF">
        <w:rPr>
          <w:bCs/>
          <w:color w:val="000000"/>
          <w:sz w:val="16"/>
          <w:szCs w:val="16"/>
          <w:lang w:val="hy-AM"/>
        </w:rPr>
        <w:t>՝ 143,390</w:t>
      </w:r>
      <w:r>
        <w:rPr>
          <w:rFonts w:ascii="Cambria Math" w:hAnsi="Cambria Math"/>
          <w:bCs/>
          <w:color w:val="000000"/>
          <w:sz w:val="16"/>
          <w:szCs w:val="16"/>
          <w:lang w:val="hy-AM"/>
        </w:rPr>
        <w:t>․</w:t>
      </w:r>
      <w:r>
        <w:rPr>
          <w:bCs/>
          <w:color w:val="000000"/>
          <w:sz w:val="16"/>
          <w:szCs w:val="16"/>
          <w:lang w:val="hy-AM"/>
        </w:rPr>
        <w:t xml:space="preserve"> </w:t>
      </w:r>
      <w:r w:rsidRPr="005234AF">
        <w:rPr>
          <w:bCs/>
          <w:color w:val="000000"/>
          <w:sz w:val="16"/>
          <w:szCs w:val="16"/>
          <w:lang w:val="hy-AM"/>
        </w:rPr>
        <w:t>7, 2023թ</w:t>
      </w:r>
      <w:r>
        <w:rPr>
          <w:rFonts w:ascii="Cambria Math" w:hAnsi="Cambria Math"/>
          <w:bCs/>
          <w:color w:val="000000"/>
          <w:sz w:val="16"/>
          <w:szCs w:val="16"/>
          <w:lang w:val="hy-AM"/>
        </w:rPr>
        <w:t>․</w:t>
      </w:r>
      <w:r>
        <w:rPr>
          <w:bCs/>
          <w:color w:val="000000"/>
          <w:sz w:val="16"/>
          <w:szCs w:val="16"/>
          <w:lang w:val="hy-AM"/>
        </w:rPr>
        <w:t>՝</w:t>
      </w:r>
      <w:r w:rsidRPr="005234AF">
        <w:rPr>
          <w:bCs/>
          <w:color w:val="000000"/>
          <w:sz w:val="16"/>
          <w:szCs w:val="16"/>
          <w:lang w:val="hy-AM"/>
        </w:rPr>
        <w:t xml:space="preserve"> 148,182</w:t>
      </w:r>
      <w:r>
        <w:rPr>
          <w:rFonts w:ascii="Cambria Math" w:hAnsi="Cambria Math"/>
          <w:bCs/>
          <w:color w:val="000000"/>
          <w:sz w:val="16"/>
          <w:szCs w:val="16"/>
          <w:lang w:val="hy-AM"/>
        </w:rPr>
        <w:t>․</w:t>
      </w:r>
      <w:r w:rsidRPr="005234AF">
        <w:rPr>
          <w:bCs/>
          <w:color w:val="000000"/>
          <w:sz w:val="16"/>
          <w:szCs w:val="16"/>
          <w:lang w:val="hy-AM"/>
        </w:rPr>
        <w:t>7 և 2024թ</w:t>
      </w:r>
      <w:r>
        <w:rPr>
          <w:rFonts w:ascii="Cambria Math" w:hAnsi="Cambria Math"/>
          <w:bCs/>
          <w:color w:val="000000"/>
          <w:sz w:val="16"/>
          <w:szCs w:val="16"/>
          <w:lang w:val="hy-AM"/>
        </w:rPr>
        <w:t>․</w:t>
      </w:r>
      <w:r>
        <w:rPr>
          <w:bCs/>
          <w:color w:val="000000"/>
          <w:sz w:val="16"/>
          <w:szCs w:val="16"/>
          <w:lang w:val="hy-AM"/>
        </w:rPr>
        <w:t>՝</w:t>
      </w:r>
      <w:r w:rsidRPr="005234AF">
        <w:rPr>
          <w:bCs/>
          <w:color w:val="000000"/>
          <w:sz w:val="16"/>
          <w:szCs w:val="16"/>
          <w:lang w:val="hy-AM"/>
        </w:rPr>
        <w:t xml:space="preserve"> 150,944</w:t>
      </w:r>
      <w:r>
        <w:rPr>
          <w:rFonts w:ascii="Cambria Math" w:hAnsi="Cambria Math"/>
          <w:bCs/>
          <w:color w:val="000000"/>
          <w:sz w:val="16"/>
          <w:szCs w:val="16"/>
          <w:lang w:val="hy-AM"/>
        </w:rPr>
        <w:t>․</w:t>
      </w:r>
      <w:r w:rsidRPr="005234AF">
        <w:rPr>
          <w:bCs/>
          <w:color w:val="000000"/>
          <w:sz w:val="16"/>
          <w:szCs w:val="16"/>
          <w:lang w:val="hy-AM"/>
        </w:rPr>
        <w:t xml:space="preserve">2 </w:t>
      </w:r>
      <w:r>
        <w:rPr>
          <w:bCs/>
          <w:color w:val="000000"/>
          <w:sz w:val="16"/>
          <w:szCs w:val="16"/>
          <w:lang w:val="hy-AM"/>
        </w:rPr>
        <w:t>մլն</w:t>
      </w:r>
      <w:r w:rsidRPr="005234AF">
        <w:rPr>
          <w:bCs/>
          <w:color w:val="000000"/>
          <w:sz w:val="16"/>
          <w:szCs w:val="16"/>
          <w:lang w:val="hy-AM"/>
        </w:rPr>
        <w:t xml:space="preserve"> դրամ։</w:t>
      </w:r>
    </w:p>
  </w:footnote>
  <w:footnote w:id="32">
    <w:p w14:paraId="0146C18F" w14:textId="434EBC72" w:rsidR="005849E3" w:rsidRPr="005234AF" w:rsidRDefault="005849E3" w:rsidP="00B11AEF">
      <w:pPr>
        <w:pStyle w:val="FootnoteText"/>
        <w:rPr>
          <w:lang w:val="hy-AM"/>
        </w:rPr>
      </w:pPr>
      <w:r>
        <w:rPr>
          <w:rStyle w:val="FootnoteReference"/>
        </w:rPr>
        <w:footnoteRef/>
      </w:r>
      <w:r w:rsidRPr="00B11AEF">
        <w:rPr>
          <w:lang w:val="hy-AM"/>
        </w:rPr>
        <w:t xml:space="preserve"> </w:t>
      </w:r>
      <w:r w:rsidRPr="00C55E08">
        <w:rPr>
          <w:lang w:val="hy-AM"/>
        </w:rPr>
        <w:t xml:space="preserve">Կրթության, առողջապահության ոլորտներում </w:t>
      </w:r>
      <w:r w:rsidRPr="00C55E08">
        <w:rPr>
          <w:bCs/>
          <w:color w:val="000000"/>
          <w:szCs w:val="16"/>
          <w:lang w:val="hy-AM"/>
        </w:rPr>
        <w:t>2021 թվականի հաստատված պետական բյուջեի համեմատ</w:t>
      </w:r>
      <w:r>
        <w:rPr>
          <w:bCs/>
          <w:color w:val="000000"/>
          <w:szCs w:val="16"/>
          <w:lang w:val="hy-AM"/>
        </w:rPr>
        <w:t xml:space="preserve"> 2022-2024</w:t>
      </w:r>
      <w:r w:rsidRPr="00C55E08">
        <w:rPr>
          <w:bCs/>
          <w:color w:val="000000"/>
          <w:szCs w:val="16"/>
          <w:lang w:val="hy-AM"/>
        </w:rPr>
        <w:t xml:space="preserve"> թվականների ՄԺԾԾ չափաքանակների նվազեցումը պայմանավորված է ընթացիկ ծախսերի գծով նվազեցումներով, ինչպես նաև կապիտալ ծախսերի գծով՝ չբաշխված գումարներով</w:t>
      </w:r>
      <w:r w:rsidRPr="00F16AD0">
        <w:rPr>
          <w:bCs/>
          <w:color w:val="000000"/>
          <w:szCs w:val="16"/>
          <w:lang w:val="hy-AM"/>
        </w:rPr>
        <w:t xml:space="preserve">: </w:t>
      </w:r>
      <w:r w:rsidRPr="000812D6">
        <w:rPr>
          <w:bCs/>
          <w:color w:val="000000"/>
          <w:szCs w:val="16"/>
          <w:lang w:val="hy-AM"/>
        </w:rPr>
        <w:t>ՄԺԾԾ</w:t>
      </w:r>
      <w:r w:rsidRPr="00F16AD0">
        <w:rPr>
          <w:bCs/>
          <w:color w:val="000000"/>
          <w:szCs w:val="16"/>
          <w:lang w:val="hy-AM"/>
        </w:rPr>
        <w:t xml:space="preserve"> ա</w:t>
      </w:r>
      <w:r w:rsidRPr="000812D6">
        <w:rPr>
          <w:bCs/>
          <w:color w:val="000000"/>
          <w:szCs w:val="16"/>
          <w:lang w:val="hy-AM"/>
        </w:rPr>
        <w:t xml:space="preserve">ռաջնահերթությունների Հավելված 6-ում </w:t>
      </w:r>
      <w:r w:rsidRPr="00CB5332">
        <w:rPr>
          <w:bCs/>
          <w:color w:val="000000"/>
          <w:szCs w:val="16"/>
          <w:lang w:val="hy-AM"/>
        </w:rPr>
        <w:t>ԿԳՄՍ</w:t>
      </w:r>
      <w:r w:rsidRPr="00F16AD0">
        <w:rPr>
          <w:bCs/>
          <w:color w:val="000000"/>
          <w:szCs w:val="16"/>
          <w:lang w:val="hy-AM"/>
        </w:rPr>
        <w:t xml:space="preserve"> </w:t>
      </w:r>
      <w:r w:rsidRPr="00CB5332">
        <w:rPr>
          <w:bCs/>
          <w:color w:val="000000"/>
          <w:szCs w:val="16"/>
          <w:lang w:val="hy-AM"/>
        </w:rPr>
        <w:t>նախարարության գծով</w:t>
      </w:r>
      <w:r w:rsidRPr="00F16AD0">
        <w:rPr>
          <w:bCs/>
          <w:color w:val="000000"/>
          <w:szCs w:val="16"/>
          <w:lang w:val="hy-AM"/>
        </w:rPr>
        <w:t xml:space="preserve"> նախատեսվել են</w:t>
      </w:r>
      <w:r w:rsidRPr="00C55E08">
        <w:rPr>
          <w:bCs/>
          <w:color w:val="000000"/>
          <w:szCs w:val="16"/>
          <w:lang w:val="hy-AM"/>
        </w:rPr>
        <w:t>՝ համապատասխանաբար 2022թ</w:t>
      </w:r>
      <w:r w:rsidRPr="005234AF">
        <w:rPr>
          <w:rFonts w:ascii="Cambria Math" w:hAnsi="Cambria Math" w:cs="Cambria Math"/>
          <w:bCs/>
          <w:color w:val="000000"/>
          <w:szCs w:val="16"/>
          <w:lang w:val="hy-AM"/>
        </w:rPr>
        <w:t>․</w:t>
      </w:r>
      <w:r w:rsidRPr="00C55E08">
        <w:rPr>
          <w:bCs/>
          <w:color w:val="000000"/>
          <w:szCs w:val="16"/>
          <w:lang w:val="hy-AM"/>
        </w:rPr>
        <w:t>՝ 65,372,1, 2023թ</w:t>
      </w:r>
      <w:r w:rsidRPr="005234AF">
        <w:rPr>
          <w:rFonts w:ascii="Cambria Math" w:hAnsi="Cambria Math" w:cs="Cambria Math"/>
          <w:bCs/>
          <w:color w:val="000000"/>
          <w:szCs w:val="16"/>
          <w:lang w:val="hy-AM"/>
        </w:rPr>
        <w:t>․</w:t>
      </w:r>
      <w:r w:rsidRPr="005234AF">
        <w:rPr>
          <w:bCs/>
          <w:color w:val="000000"/>
          <w:szCs w:val="16"/>
          <w:lang w:val="hy-AM"/>
        </w:rPr>
        <w:t>՝ 64,977</w:t>
      </w:r>
      <w:r w:rsidRPr="00C55E08">
        <w:rPr>
          <w:rFonts w:ascii="Cambria Math" w:hAnsi="Cambria Math" w:cs="Cambria Math"/>
          <w:bCs/>
          <w:color w:val="000000"/>
          <w:szCs w:val="16"/>
          <w:lang w:val="hy-AM"/>
        </w:rPr>
        <w:t>․</w:t>
      </w:r>
      <w:r w:rsidRPr="005234AF">
        <w:rPr>
          <w:bCs/>
          <w:color w:val="000000"/>
          <w:szCs w:val="16"/>
          <w:lang w:val="hy-AM"/>
        </w:rPr>
        <w:t>1 և 2024թ</w:t>
      </w:r>
      <w:r w:rsidRPr="00C55E08">
        <w:rPr>
          <w:rFonts w:ascii="Cambria Math" w:hAnsi="Cambria Math" w:cs="Cambria Math"/>
          <w:bCs/>
          <w:color w:val="000000"/>
          <w:szCs w:val="16"/>
          <w:lang w:val="hy-AM"/>
        </w:rPr>
        <w:t>․</w:t>
      </w:r>
      <w:r w:rsidRPr="005234AF">
        <w:rPr>
          <w:bCs/>
          <w:color w:val="000000"/>
          <w:szCs w:val="16"/>
          <w:lang w:val="hy-AM"/>
        </w:rPr>
        <w:t>՝ 71,086,5</w:t>
      </w:r>
      <w:r w:rsidRPr="00CB5332">
        <w:rPr>
          <w:bCs/>
          <w:color w:val="000000"/>
          <w:szCs w:val="16"/>
          <w:lang w:val="hy-AM"/>
        </w:rPr>
        <w:t xml:space="preserve"> </w:t>
      </w:r>
      <w:r>
        <w:rPr>
          <w:bCs/>
          <w:color w:val="000000"/>
          <w:szCs w:val="16"/>
          <w:lang w:val="hy-AM"/>
        </w:rPr>
        <w:t>մլ</w:t>
      </w:r>
      <w:r w:rsidRPr="000D5D33">
        <w:rPr>
          <w:bCs/>
          <w:color w:val="000000"/>
          <w:szCs w:val="16"/>
          <w:lang w:val="hy-AM"/>
        </w:rPr>
        <w:t>ն</w:t>
      </w:r>
      <w:r w:rsidRPr="000D5D33">
        <w:rPr>
          <w:rFonts w:ascii="Cambria Math" w:hAnsi="Cambria Math" w:cs="Cambria Math"/>
          <w:bCs/>
          <w:color w:val="000000"/>
          <w:szCs w:val="16"/>
          <w:lang w:val="hy-AM"/>
        </w:rPr>
        <w:t xml:space="preserve"> </w:t>
      </w:r>
      <w:r w:rsidRPr="005234AF">
        <w:rPr>
          <w:bCs/>
          <w:color w:val="000000"/>
          <w:szCs w:val="16"/>
          <w:lang w:val="hy-AM"/>
        </w:rPr>
        <w:t xml:space="preserve">դրամ, </w:t>
      </w:r>
      <w:r w:rsidRPr="00ED4578">
        <w:rPr>
          <w:bCs/>
          <w:color w:val="000000"/>
          <w:szCs w:val="16"/>
          <w:lang w:val="hy-AM"/>
        </w:rPr>
        <w:t>Ա</w:t>
      </w:r>
      <w:r w:rsidRPr="005234AF">
        <w:rPr>
          <w:bCs/>
          <w:color w:val="000000"/>
          <w:szCs w:val="16"/>
          <w:lang w:val="hy-AM"/>
        </w:rPr>
        <w:t xml:space="preserve">ռողջապահության </w:t>
      </w:r>
      <w:r w:rsidRPr="00ED4578">
        <w:rPr>
          <w:bCs/>
          <w:color w:val="000000"/>
          <w:szCs w:val="16"/>
          <w:lang w:val="hy-AM"/>
        </w:rPr>
        <w:t xml:space="preserve">նախարարության </w:t>
      </w:r>
      <w:r w:rsidRPr="005234AF">
        <w:rPr>
          <w:bCs/>
          <w:color w:val="000000"/>
          <w:szCs w:val="16"/>
          <w:lang w:val="hy-AM"/>
        </w:rPr>
        <w:t xml:space="preserve">մասով՝ </w:t>
      </w:r>
      <w:r w:rsidRPr="00C55E08">
        <w:rPr>
          <w:bCs/>
          <w:color w:val="000000"/>
          <w:szCs w:val="16"/>
          <w:lang w:val="hy-AM"/>
        </w:rPr>
        <w:t>2022թ</w:t>
      </w:r>
      <w:r w:rsidRPr="00C55E08">
        <w:rPr>
          <w:rFonts w:ascii="Cambria Math" w:hAnsi="Cambria Math" w:cs="Cambria Math"/>
          <w:bCs/>
          <w:color w:val="000000"/>
          <w:szCs w:val="16"/>
          <w:lang w:val="hy-AM"/>
        </w:rPr>
        <w:t>․</w:t>
      </w:r>
      <w:r w:rsidRPr="00C55E08">
        <w:rPr>
          <w:bCs/>
          <w:color w:val="000000"/>
          <w:szCs w:val="16"/>
          <w:lang w:val="hy-AM"/>
        </w:rPr>
        <w:t>՝ 9,131</w:t>
      </w:r>
      <w:r w:rsidRPr="005234AF">
        <w:rPr>
          <w:rFonts w:ascii="Cambria Math" w:hAnsi="Cambria Math" w:cs="Cambria Math"/>
          <w:bCs/>
          <w:color w:val="000000"/>
          <w:szCs w:val="16"/>
          <w:lang w:val="hy-AM"/>
        </w:rPr>
        <w:t>․</w:t>
      </w:r>
      <w:r w:rsidRPr="00C55E08">
        <w:rPr>
          <w:bCs/>
          <w:color w:val="000000"/>
          <w:szCs w:val="16"/>
          <w:lang w:val="hy-AM"/>
        </w:rPr>
        <w:t>1, 2023թ</w:t>
      </w:r>
      <w:r w:rsidRPr="005234AF">
        <w:rPr>
          <w:rFonts w:ascii="Cambria Math" w:hAnsi="Cambria Math" w:cs="Cambria Math"/>
          <w:bCs/>
          <w:color w:val="000000"/>
          <w:szCs w:val="16"/>
          <w:lang w:val="hy-AM"/>
        </w:rPr>
        <w:t>․</w:t>
      </w:r>
      <w:r w:rsidRPr="005234AF">
        <w:rPr>
          <w:bCs/>
          <w:color w:val="000000"/>
          <w:szCs w:val="16"/>
          <w:lang w:val="hy-AM"/>
        </w:rPr>
        <w:t>՝ 10,949</w:t>
      </w:r>
      <w:r w:rsidRPr="00C55E08">
        <w:rPr>
          <w:rFonts w:ascii="Cambria Math" w:hAnsi="Cambria Math" w:cs="Cambria Math"/>
          <w:bCs/>
          <w:color w:val="000000"/>
          <w:szCs w:val="16"/>
          <w:lang w:val="hy-AM"/>
        </w:rPr>
        <w:t>․</w:t>
      </w:r>
      <w:r w:rsidRPr="005234AF">
        <w:rPr>
          <w:bCs/>
          <w:color w:val="000000"/>
          <w:szCs w:val="16"/>
          <w:lang w:val="hy-AM"/>
        </w:rPr>
        <w:t>8 և 2024թ</w:t>
      </w:r>
      <w:r w:rsidRPr="00C55E08">
        <w:rPr>
          <w:rFonts w:ascii="Cambria Math" w:hAnsi="Cambria Math" w:cs="Cambria Math"/>
          <w:bCs/>
          <w:color w:val="000000"/>
          <w:szCs w:val="16"/>
          <w:lang w:val="hy-AM"/>
        </w:rPr>
        <w:t>․</w:t>
      </w:r>
      <w:r w:rsidRPr="005234AF">
        <w:rPr>
          <w:bCs/>
          <w:color w:val="000000"/>
          <w:szCs w:val="16"/>
          <w:lang w:val="hy-AM"/>
        </w:rPr>
        <w:t>՝ 10,949,8</w:t>
      </w:r>
      <w:r w:rsidRPr="00CB5332">
        <w:rPr>
          <w:bCs/>
          <w:color w:val="000000"/>
          <w:szCs w:val="16"/>
          <w:lang w:val="hy-AM"/>
        </w:rPr>
        <w:t xml:space="preserve"> </w:t>
      </w:r>
      <w:r>
        <w:rPr>
          <w:bCs/>
          <w:color w:val="000000"/>
          <w:szCs w:val="16"/>
          <w:lang w:val="hy-AM"/>
        </w:rPr>
        <w:t>մլն</w:t>
      </w:r>
      <w:r w:rsidRPr="000D5D33">
        <w:rPr>
          <w:rFonts w:ascii="Cambria Math" w:hAnsi="Cambria Math" w:cs="Cambria Math"/>
          <w:bCs/>
          <w:color w:val="000000"/>
          <w:szCs w:val="16"/>
          <w:lang w:val="hy-AM"/>
        </w:rPr>
        <w:t xml:space="preserve"> </w:t>
      </w:r>
      <w:r w:rsidRPr="005234AF">
        <w:rPr>
          <w:bCs/>
          <w:color w:val="000000"/>
          <w:szCs w:val="16"/>
          <w:lang w:val="hy-AM"/>
        </w:rPr>
        <w:t>դրամ</w:t>
      </w:r>
      <w:r w:rsidRPr="00B11AEF">
        <w:rPr>
          <w:bCs/>
          <w:color w:val="000000"/>
          <w:szCs w:val="16"/>
          <w:lang w:val="hy-AM"/>
        </w:rPr>
        <w:t>)</w:t>
      </w:r>
      <w:r>
        <w:rPr>
          <w:bCs/>
          <w:color w:val="000000"/>
          <w:szCs w:val="16"/>
          <w:lang w:val="hy-AM"/>
        </w:rPr>
        <w:t>։</w:t>
      </w:r>
    </w:p>
  </w:footnote>
  <w:footnote w:id="33">
    <w:p w14:paraId="63196C93" w14:textId="77777777" w:rsidR="005849E3" w:rsidRPr="00AD6087" w:rsidRDefault="005849E3" w:rsidP="00AD6087">
      <w:pPr>
        <w:pStyle w:val="FootnoteText"/>
        <w:rPr>
          <w:lang w:val="hy-AM"/>
        </w:rPr>
      </w:pPr>
      <w:r>
        <w:rPr>
          <w:rStyle w:val="FootnoteReference"/>
        </w:rPr>
        <w:footnoteRef/>
      </w:r>
      <w:r w:rsidRPr="00AD6087">
        <w:rPr>
          <w:lang w:val="hy-AM"/>
        </w:rPr>
        <w:t xml:space="preserve"> Թիրախային տնտեսական աճի մակրոտնտեսական սցենարի նկարագրությանը, դրա ապահովման պայմաններին և հարկաբյուջետային սցենարին կարելի է ծանոթանալ 2022-2024 թվականների </w:t>
      </w:r>
      <w:r w:rsidRPr="00AD6087">
        <w:rPr>
          <w:rFonts w:cs="GHEA Grapalat"/>
          <w:lang w:val="hy-AM"/>
        </w:rPr>
        <w:t>ՄԺԾԾ</w:t>
      </w:r>
      <w:r w:rsidRPr="00AD6087">
        <w:rPr>
          <w:lang w:val="hy-AM"/>
        </w:rPr>
        <w:t xml:space="preserve"> </w:t>
      </w:r>
      <w:r w:rsidRPr="00AD6087">
        <w:rPr>
          <w:rFonts w:cs="GHEA Grapalat"/>
          <w:lang w:val="hy-AM"/>
        </w:rPr>
        <w:t>փաստաթղթի</w:t>
      </w:r>
      <w:r w:rsidRPr="00AD6087">
        <w:rPr>
          <w:lang w:val="hy-AM"/>
        </w:rPr>
        <w:t xml:space="preserve"> «1</w:t>
      </w:r>
      <w:r w:rsidRPr="00AD6087">
        <w:rPr>
          <w:rFonts w:ascii="Cambria Math" w:hAnsi="Cambria Math" w:cs="Cambria Math"/>
          <w:lang w:val="hy-AM"/>
        </w:rPr>
        <w:t>․</w:t>
      </w:r>
      <w:r w:rsidRPr="00AD6087">
        <w:rPr>
          <w:lang w:val="hy-AM"/>
        </w:rPr>
        <w:t>3</w:t>
      </w:r>
      <w:r w:rsidRPr="00AD6087">
        <w:rPr>
          <w:rFonts w:ascii="Cambria Math" w:hAnsi="Cambria Math" w:cs="Cambria Math"/>
          <w:lang w:val="hy-AM"/>
        </w:rPr>
        <w:t>․</w:t>
      </w:r>
      <w:r w:rsidRPr="00AD6087">
        <w:rPr>
          <w:lang w:val="hy-AM"/>
        </w:rPr>
        <w:t>1</w:t>
      </w:r>
      <w:r w:rsidRPr="00AD6087">
        <w:rPr>
          <w:rFonts w:ascii="Cambria Math" w:hAnsi="Cambria Math" w:cs="Cambria Math"/>
          <w:lang w:val="hy-AM"/>
        </w:rPr>
        <w:t>․</w:t>
      </w:r>
      <w:r w:rsidRPr="00AD6087">
        <w:rPr>
          <w:lang w:val="hy-AM"/>
        </w:rPr>
        <w:t xml:space="preserve"> </w:t>
      </w:r>
      <w:r w:rsidRPr="00AD6087">
        <w:rPr>
          <w:rFonts w:cs="GHEA Grapalat"/>
          <w:lang w:val="hy-AM"/>
        </w:rPr>
        <w:t>Թիրախային</w:t>
      </w:r>
      <w:r w:rsidRPr="00AD6087">
        <w:rPr>
          <w:lang w:val="hy-AM"/>
        </w:rPr>
        <w:t xml:space="preserve"> (բարձր) տնտեսական աճի սցենար» ենթաբաժնում: </w:t>
      </w:r>
    </w:p>
    <w:p w14:paraId="6167330B" w14:textId="77777777" w:rsidR="005849E3" w:rsidRPr="00AD6087" w:rsidRDefault="005849E3" w:rsidP="00AD6087">
      <w:pPr>
        <w:pStyle w:val="FootnoteText"/>
        <w:rPr>
          <w:lang w:val="hy-AM"/>
        </w:rPr>
      </w:pPr>
    </w:p>
  </w:footnote>
  <w:footnote w:id="34">
    <w:p w14:paraId="4F1E1F90" w14:textId="77777777" w:rsidR="005849E3" w:rsidRPr="00AD6087" w:rsidRDefault="005849E3" w:rsidP="00AD6087">
      <w:pPr>
        <w:pStyle w:val="FootnoteText"/>
        <w:rPr>
          <w:lang w:val="hy-AM"/>
        </w:rPr>
      </w:pPr>
      <w:r>
        <w:rPr>
          <w:rStyle w:val="FootnoteReference"/>
        </w:rPr>
        <w:footnoteRef/>
      </w:r>
      <w:r w:rsidRPr="00AD6087">
        <w:rPr>
          <w:lang w:val="hy-AM"/>
        </w:rPr>
        <w:t xml:space="preserve"> Կանխատեսվում է, որ պետական բյուջեի դեֆիցիտի ֆինանսավորումը 2022-2024 թվականներին ոչ միայն ամբողջությամբ կիրականացվի ներքին փոխառու զուտ միջոցների հաշվին, այլ նաև ներքին փոխառու զուտ միջոցների հաշվին կֆինանսավորվեն արտաքին փոխառու զուտ միջոցների հաշվին դեֆիցիտի ֆինանսավորման բացասական հոսքերը։ </w:t>
      </w:r>
    </w:p>
  </w:footnote>
  <w:footnote w:id="35">
    <w:p w14:paraId="43488F36" w14:textId="77777777" w:rsidR="005849E3" w:rsidRPr="00117D85" w:rsidRDefault="005849E3" w:rsidP="00AF5737">
      <w:pPr>
        <w:pStyle w:val="FootnoteText"/>
        <w:rPr>
          <w:sz w:val="14"/>
          <w:lang w:val="sk-SK"/>
        </w:rPr>
      </w:pPr>
      <w:r w:rsidRPr="00117D85">
        <w:rPr>
          <w:rStyle w:val="FootnoteReference"/>
          <w:rFonts w:eastAsiaTheme="majorEastAsia"/>
          <w:sz w:val="18"/>
        </w:rPr>
        <w:footnoteRef/>
      </w:r>
      <w:r w:rsidRPr="00117D85">
        <w:rPr>
          <w:sz w:val="18"/>
          <w:lang w:val="hy-AM"/>
        </w:rPr>
        <w:t>Սա</w:t>
      </w:r>
      <w:r w:rsidRPr="00117D85">
        <w:rPr>
          <w:sz w:val="18"/>
          <w:lang w:val="sk-SK"/>
        </w:rPr>
        <w:t xml:space="preserve"> </w:t>
      </w:r>
      <w:r w:rsidRPr="00117D85">
        <w:rPr>
          <w:sz w:val="18"/>
          <w:lang w:val="hy-AM"/>
        </w:rPr>
        <w:t>որոշակիորեն</w:t>
      </w:r>
      <w:r w:rsidRPr="00117D85">
        <w:rPr>
          <w:sz w:val="18"/>
          <w:lang w:val="sk-SK"/>
        </w:rPr>
        <w:t xml:space="preserve"> </w:t>
      </w:r>
      <w:r w:rsidRPr="00117D85">
        <w:rPr>
          <w:sz w:val="18"/>
          <w:lang w:val="hy-AM"/>
        </w:rPr>
        <w:t>կապված</w:t>
      </w:r>
      <w:r w:rsidRPr="00117D85">
        <w:rPr>
          <w:sz w:val="18"/>
          <w:lang w:val="sk-SK"/>
        </w:rPr>
        <w:t xml:space="preserve"> </w:t>
      </w:r>
      <w:r w:rsidRPr="00117D85">
        <w:rPr>
          <w:sz w:val="18"/>
          <w:lang w:val="hy-AM"/>
        </w:rPr>
        <w:t>է</w:t>
      </w:r>
      <w:r w:rsidRPr="00117D85">
        <w:rPr>
          <w:sz w:val="18"/>
          <w:lang w:val="sk-SK"/>
        </w:rPr>
        <w:t xml:space="preserve"> </w:t>
      </w:r>
      <w:r w:rsidRPr="00117D85">
        <w:rPr>
          <w:sz w:val="18"/>
          <w:lang w:val="hy-AM"/>
        </w:rPr>
        <w:t>նաև</w:t>
      </w:r>
      <w:r w:rsidRPr="00117D85">
        <w:rPr>
          <w:sz w:val="18"/>
          <w:lang w:val="sk-SK"/>
        </w:rPr>
        <w:t xml:space="preserve"> </w:t>
      </w:r>
      <w:r w:rsidRPr="00117D85">
        <w:rPr>
          <w:sz w:val="18"/>
          <w:lang w:val="hy-AM"/>
        </w:rPr>
        <w:t>մոդելների</w:t>
      </w:r>
      <w:r w:rsidRPr="00117D85">
        <w:rPr>
          <w:sz w:val="18"/>
          <w:lang w:val="sk-SK"/>
        </w:rPr>
        <w:t xml:space="preserve"> </w:t>
      </w:r>
      <w:r w:rsidRPr="00117D85">
        <w:rPr>
          <w:sz w:val="18"/>
          <w:lang w:val="hy-AM"/>
        </w:rPr>
        <w:t>սպեցիֆիկացիաների</w:t>
      </w:r>
      <w:r w:rsidRPr="00117D85">
        <w:rPr>
          <w:sz w:val="18"/>
          <w:lang w:val="sk-SK"/>
        </w:rPr>
        <w:t xml:space="preserve"> </w:t>
      </w:r>
      <w:r w:rsidRPr="00117D85">
        <w:rPr>
          <w:sz w:val="18"/>
          <w:lang w:val="hy-AM"/>
        </w:rPr>
        <w:t>հետ</w:t>
      </w:r>
      <w:r w:rsidRPr="00117D85">
        <w:rPr>
          <w:sz w:val="18"/>
          <w:lang w:val="sk-SK"/>
        </w:rPr>
        <w:t xml:space="preserve">, </w:t>
      </w:r>
      <w:r w:rsidRPr="00117D85">
        <w:rPr>
          <w:sz w:val="18"/>
          <w:lang w:val="hy-AM"/>
        </w:rPr>
        <w:t>քանի</w:t>
      </w:r>
      <w:r w:rsidRPr="00117D85">
        <w:rPr>
          <w:sz w:val="18"/>
          <w:lang w:val="sk-SK"/>
        </w:rPr>
        <w:t xml:space="preserve"> </w:t>
      </w:r>
      <w:r w:rsidRPr="00117D85">
        <w:rPr>
          <w:sz w:val="18"/>
          <w:lang w:val="hy-AM"/>
        </w:rPr>
        <w:t>որ</w:t>
      </w:r>
      <w:r w:rsidRPr="00117D85">
        <w:rPr>
          <w:sz w:val="18"/>
          <w:lang w:val="sk-SK"/>
        </w:rPr>
        <w:t xml:space="preserve"> </w:t>
      </w:r>
      <w:r w:rsidRPr="00117D85">
        <w:rPr>
          <w:sz w:val="18"/>
          <w:lang w:val="hy-AM"/>
        </w:rPr>
        <w:t>ժամանակային</w:t>
      </w:r>
      <w:r w:rsidRPr="00117D85">
        <w:rPr>
          <w:sz w:val="18"/>
          <w:lang w:val="sk-SK"/>
        </w:rPr>
        <w:t xml:space="preserve"> </w:t>
      </w:r>
      <w:r w:rsidRPr="00117D85">
        <w:rPr>
          <w:sz w:val="18"/>
          <w:lang w:val="hy-AM"/>
        </w:rPr>
        <w:t>շարքերի</w:t>
      </w:r>
      <w:r w:rsidRPr="00117D85">
        <w:rPr>
          <w:sz w:val="18"/>
          <w:lang w:val="sk-SK"/>
        </w:rPr>
        <w:t xml:space="preserve"> </w:t>
      </w:r>
      <w:r w:rsidRPr="00117D85">
        <w:rPr>
          <w:sz w:val="18"/>
          <w:lang w:val="hy-AM"/>
        </w:rPr>
        <w:t>վրա</w:t>
      </w:r>
      <w:r w:rsidRPr="00117D85">
        <w:rPr>
          <w:sz w:val="18"/>
          <w:lang w:val="sk-SK"/>
        </w:rPr>
        <w:t xml:space="preserve"> </w:t>
      </w:r>
      <w:r w:rsidRPr="00117D85">
        <w:rPr>
          <w:sz w:val="18"/>
          <w:lang w:val="hy-AM"/>
        </w:rPr>
        <w:t>հիմնված</w:t>
      </w:r>
      <w:r w:rsidRPr="00117D85">
        <w:rPr>
          <w:sz w:val="18"/>
          <w:lang w:val="sk-SK"/>
        </w:rPr>
        <w:t xml:space="preserve"> </w:t>
      </w:r>
      <w:r w:rsidRPr="00117D85">
        <w:rPr>
          <w:sz w:val="18"/>
          <w:lang w:val="hy-AM"/>
        </w:rPr>
        <w:t>մոդելներն</w:t>
      </w:r>
      <w:r w:rsidRPr="00117D85">
        <w:rPr>
          <w:sz w:val="18"/>
          <w:lang w:val="sk-SK"/>
        </w:rPr>
        <w:t xml:space="preserve"> </w:t>
      </w:r>
      <w:r w:rsidRPr="00117D85">
        <w:rPr>
          <w:sz w:val="18"/>
          <w:lang w:val="hy-AM"/>
        </w:rPr>
        <w:t>իրենց</w:t>
      </w:r>
      <w:r w:rsidRPr="00117D85">
        <w:rPr>
          <w:sz w:val="18"/>
          <w:lang w:val="sk-SK"/>
        </w:rPr>
        <w:t xml:space="preserve"> </w:t>
      </w:r>
      <w:r w:rsidRPr="00117D85">
        <w:rPr>
          <w:sz w:val="18"/>
          <w:lang w:val="hy-AM"/>
        </w:rPr>
        <w:t>մեջ</w:t>
      </w:r>
      <w:r w:rsidRPr="00117D85">
        <w:rPr>
          <w:sz w:val="18"/>
          <w:lang w:val="sk-SK"/>
        </w:rPr>
        <w:t xml:space="preserve"> </w:t>
      </w:r>
      <w:r w:rsidRPr="00117D85">
        <w:rPr>
          <w:sz w:val="18"/>
          <w:lang w:val="hy-AM"/>
        </w:rPr>
        <w:t>ներառում</w:t>
      </w:r>
      <w:r w:rsidRPr="00117D85">
        <w:rPr>
          <w:sz w:val="18"/>
          <w:lang w:val="sk-SK"/>
        </w:rPr>
        <w:t xml:space="preserve"> </w:t>
      </w:r>
      <w:r w:rsidRPr="00117D85">
        <w:rPr>
          <w:sz w:val="18"/>
          <w:lang w:val="hy-AM"/>
        </w:rPr>
        <w:t>են</w:t>
      </w:r>
      <w:r w:rsidRPr="00117D85">
        <w:rPr>
          <w:sz w:val="18"/>
          <w:lang w:val="sk-SK"/>
        </w:rPr>
        <w:t xml:space="preserve"> </w:t>
      </w:r>
      <w:r w:rsidRPr="00117D85">
        <w:rPr>
          <w:sz w:val="18"/>
          <w:lang w:val="hy-AM"/>
        </w:rPr>
        <w:t>տնտեսության</w:t>
      </w:r>
      <w:r w:rsidRPr="00117D85">
        <w:rPr>
          <w:sz w:val="18"/>
          <w:lang w:val="sk-SK"/>
        </w:rPr>
        <w:t xml:space="preserve"> </w:t>
      </w:r>
      <w:r w:rsidRPr="00117D85">
        <w:rPr>
          <w:sz w:val="18"/>
          <w:lang w:val="hy-AM"/>
        </w:rPr>
        <w:t>նախորդ</w:t>
      </w:r>
      <w:r w:rsidRPr="00117D85">
        <w:rPr>
          <w:sz w:val="18"/>
          <w:lang w:val="sk-SK"/>
        </w:rPr>
        <w:t xml:space="preserve"> </w:t>
      </w:r>
      <w:r w:rsidRPr="00117D85">
        <w:rPr>
          <w:sz w:val="18"/>
          <w:lang w:val="hy-AM"/>
        </w:rPr>
        <w:t>ժամանակահատվածի</w:t>
      </w:r>
      <w:r w:rsidRPr="00117D85">
        <w:rPr>
          <w:sz w:val="18"/>
          <w:lang w:val="sk-SK"/>
        </w:rPr>
        <w:t xml:space="preserve"> </w:t>
      </w:r>
      <w:r w:rsidRPr="00117D85">
        <w:rPr>
          <w:sz w:val="18"/>
          <w:lang w:val="hy-AM"/>
        </w:rPr>
        <w:t>զարգացումների</w:t>
      </w:r>
      <w:r w:rsidRPr="00117D85">
        <w:rPr>
          <w:sz w:val="18"/>
          <w:lang w:val="sk-SK"/>
        </w:rPr>
        <w:t xml:space="preserve"> </w:t>
      </w:r>
      <w:r w:rsidRPr="00117D85">
        <w:rPr>
          <w:sz w:val="18"/>
          <w:lang w:val="hy-AM"/>
        </w:rPr>
        <w:t>տեղեկատվությունը</w:t>
      </w:r>
      <w:r w:rsidRPr="00117D85">
        <w:rPr>
          <w:sz w:val="18"/>
          <w:lang w:val="sk-SK"/>
        </w:rPr>
        <w:t xml:space="preserve">, </w:t>
      </w:r>
      <w:r w:rsidRPr="00117D85">
        <w:rPr>
          <w:sz w:val="18"/>
          <w:lang w:val="hy-AM"/>
        </w:rPr>
        <w:t>իսկ</w:t>
      </w:r>
      <w:r w:rsidRPr="00117D85">
        <w:rPr>
          <w:sz w:val="18"/>
          <w:lang w:val="sk-SK"/>
        </w:rPr>
        <w:t xml:space="preserve"> </w:t>
      </w:r>
      <w:r w:rsidRPr="00117D85">
        <w:rPr>
          <w:sz w:val="18"/>
          <w:lang w:val="hy-AM"/>
        </w:rPr>
        <w:t>կանխատեսվող</w:t>
      </w:r>
      <w:r w:rsidRPr="00117D85">
        <w:rPr>
          <w:sz w:val="18"/>
          <w:lang w:val="sk-SK"/>
        </w:rPr>
        <w:t xml:space="preserve"> </w:t>
      </w:r>
      <w:r w:rsidRPr="00117D85">
        <w:rPr>
          <w:sz w:val="18"/>
          <w:lang w:val="hy-AM"/>
        </w:rPr>
        <w:t>տարում</w:t>
      </w:r>
      <w:r w:rsidRPr="00117D85">
        <w:rPr>
          <w:sz w:val="18"/>
          <w:lang w:val="sk-SK"/>
        </w:rPr>
        <w:t xml:space="preserve"> </w:t>
      </w:r>
      <w:r w:rsidRPr="00117D85">
        <w:rPr>
          <w:sz w:val="18"/>
          <w:lang w:val="hy-AM"/>
        </w:rPr>
        <w:t>ի</w:t>
      </w:r>
      <w:r w:rsidRPr="00117D85">
        <w:rPr>
          <w:sz w:val="18"/>
          <w:lang w:val="sk-SK"/>
        </w:rPr>
        <w:t xml:space="preserve"> </w:t>
      </w:r>
      <w:r w:rsidRPr="00117D85">
        <w:rPr>
          <w:sz w:val="18"/>
          <w:lang w:val="hy-AM"/>
        </w:rPr>
        <w:t>հայտ</w:t>
      </w:r>
      <w:r w:rsidRPr="00117D85">
        <w:rPr>
          <w:sz w:val="18"/>
          <w:lang w:val="sk-SK"/>
        </w:rPr>
        <w:t xml:space="preserve"> </w:t>
      </w:r>
      <w:r w:rsidRPr="00117D85">
        <w:rPr>
          <w:sz w:val="18"/>
          <w:lang w:val="hy-AM"/>
        </w:rPr>
        <w:t>եկող</w:t>
      </w:r>
      <w:r w:rsidRPr="00117D85">
        <w:rPr>
          <w:sz w:val="18"/>
          <w:lang w:val="sk-SK"/>
        </w:rPr>
        <w:t xml:space="preserve"> </w:t>
      </w:r>
      <w:r w:rsidRPr="00117D85">
        <w:rPr>
          <w:sz w:val="18"/>
          <w:lang w:val="hy-AM"/>
        </w:rPr>
        <w:t>տնտեսության</w:t>
      </w:r>
      <w:r w:rsidRPr="00117D85">
        <w:rPr>
          <w:sz w:val="18"/>
          <w:lang w:val="sk-SK"/>
        </w:rPr>
        <w:t xml:space="preserve"> </w:t>
      </w:r>
      <w:r w:rsidRPr="00117D85">
        <w:rPr>
          <w:sz w:val="18"/>
          <w:lang w:val="hy-AM"/>
        </w:rPr>
        <w:t>կառուցվածքային</w:t>
      </w:r>
      <w:r w:rsidRPr="00117D85">
        <w:rPr>
          <w:sz w:val="18"/>
          <w:lang w:val="sk-SK"/>
        </w:rPr>
        <w:t xml:space="preserve"> </w:t>
      </w:r>
      <w:r w:rsidRPr="00117D85">
        <w:rPr>
          <w:sz w:val="18"/>
          <w:lang w:val="hy-AM"/>
        </w:rPr>
        <w:t>տեղաշարժը</w:t>
      </w:r>
      <w:r w:rsidRPr="00117D85">
        <w:rPr>
          <w:sz w:val="18"/>
          <w:lang w:val="sk-SK"/>
        </w:rPr>
        <w:t xml:space="preserve"> </w:t>
      </w:r>
      <w:r w:rsidRPr="00117D85">
        <w:rPr>
          <w:sz w:val="18"/>
          <w:lang w:val="hy-AM"/>
        </w:rPr>
        <w:t>միայն</w:t>
      </w:r>
      <w:r w:rsidRPr="00117D85">
        <w:rPr>
          <w:sz w:val="18"/>
          <w:lang w:val="sk-SK"/>
        </w:rPr>
        <w:t xml:space="preserve"> </w:t>
      </w:r>
      <w:r w:rsidRPr="00117D85">
        <w:rPr>
          <w:sz w:val="18"/>
          <w:lang w:val="hy-AM"/>
        </w:rPr>
        <w:t>կարող</w:t>
      </w:r>
      <w:r w:rsidRPr="00117D85">
        <w:rPr>
          <w:sz w:val="18"/>
          <w:lang w:val="sk-SK"/>
        </w:rPr>
        <w:t xml:space="preserve"> </w:t>
      </w:r>
      <w:r w:rsidRPr="00117D85">
        <w:rPr>
          <w:sz w:val="18"/>
          <w:lang w:val="hy-AM"/>
        </w:rPr>
        <w:t>է</w:t>
      </w:r>
      <w:r w:rsidRPr="00117D85">
        <w:rPr>
          <w:sz w:val="18"/>
          <w:lang w:val="sk-SK"/>
        </w:rPr>
        <w:t xml:space="preserve"> </w:t>
      </w:r>
      <w:r w:rsidRPr="00117D85">
        <w:rPr>
          <w:sz w:val="18"/>
          <w:lang w:val="hy-AM"/>
        </w:rPr>
        <w:t>ներառվել</w:t>
      </w:r>
      <w:r w:rsidRPr="00117D85">
        <w:rPr>
          <w:sz w:val="18"/>
          <w:lang w:val="sk-SK"/>
        </w:rPr>
        <w:t xml:space="preserve"> </w:t>
      </w:r>
      <w:r w:rsidRPr="00117D85">
        <w:rPr>
          <w:sz w:val="18"/>
          <w:lang w:val="hy-AM"/>
        </w:rPr>
        <w:t>հաջորդ</w:t>
      </w:r>
      <w:r w:rsidRPr="00117D85">
        <w:rPr>
          <w:sz w:val="18"/>
          <w:lang w:val="sk-SK"/>
        </w:rPr>
        <w:t xml:space="preserve"> </w:t>
      </w:r>
      <w:r w:rsidRPr="00117D85">
        <w:rPr>
          <w:sz w:val="18"/>
          <w:lang w:val="hy-AM"/>
        </w:rPr>
        <w:t>տարվա</w:t>
      </w:r>
      <w:r w:rsidRPr="00117D85">
        <w:rPr>
          <w:sz w:val="18"/>
          <w:lang w:val="sk-SK"/>
        </w:rPr>
        <w:t xml:space="preserve"> </w:t>
      </w:r>
      <w:r w:rsidRPr="00117D85">
        <w:rPr>
          <w:sz w:val="18"/>
          <w:lang w:val="hy-AM"/>
        </w:rPr>
        <w:t>կանխատեսումների</w:t>
      </w:r>
      <w:r w:rsidRPr="00117D85">
        <w:rPr>
          <w:sz w:val="18"/>
          <w:lang w:val="sk-SK"/>
        </w:rPr>
        <w:t xml:space="preserve"> </w:t>
      </w:r>
      <w:r w:rsidRPr="00117D85">
        <w:rPr>
          <w:sz w:val="18"/>
          <w:lang w:val="hy-AM"/>
        </w:rPr>
        <w:t>մոդելներում</w:t>
      </w:r>
      <w:r w:rsidRPr="00117D85">
        <w:rPr>
          <w:sz w:val="18"/>
          <w:lang w:val="sk-SK"/>
        </w:rPr>
        <w:t xml:space="preserve">: </w:t>
      </w:r>
    </w:p>
  </w:footnote>
  <w:footnote w:id="36">
    <w:p w14:paraId="51AAE099" w14:textId="77777777" w:rsidR="005849E3" w:rsidRDefault="005849E3" w:rsidP="00AF5737">
      <w:pPr>
        <w:pStyle w:val="FootnoteText"/>
        <w:rPr>
          <w:lang w:val="ro-RO"/>
        </w:rPr>
      </w:pPr>
      <w:r>
        <w:rPr>
          <w:rStyle w:val="FootnoteReference"/>
          <w:rFonts w:eastAsiaTheme="majorEastAsia"/>
        </w:rPr>
        <w:footnoteRef/>
      </w:r>
      <w:r>
        <w:t>ՀՆԱ</w:t>
      </w:r>
      <w:r>
        <w:rPr>
          <w:lang w:val="ro-RO"/>
        </w:rPr>
        <w:t xml:space="preserve">, </w:t>
      </w:r>
      <w:r>
        <w:t>ներմուծման</w:t>
      </w:r>
      <w:r>
        <w:rPr>
          <w:lang w:val="ro-RO"/>
        </w:rPr>
        <w:t xml:space="preserve">, </w:t>
      </w:r>
      <w:r>
        <w:t>փոխարժեքի</w:t>
      </w:r>
      <w:r>
        <w:rPr>
          <w:lang w:val="sk-SK"/>
        </w:rPr>
        <w:t xml:space="preserve"> </w:t>
      </w:r>
      <w:r>
        <w:t>և</w:t>
      </w:r>
      <w:r>
        <w:rPr>
          <w:lang w:val="sk-SK"/>
        </w:rPr>
        <w:t xml:space="preserve"> </w:t>
      </w:r>
      <w:r>
        <w:t>գների</w:t>
      </w:r>
      <w:r>
        <w:rPr>
          <w:lang w:val="sk-SK"/>
        </w:rPr>
        <w:t xml:space="preserve"> </w:t>
      </w:r>
      <w:r>
        <w:t>գծով</w:t>
      </w:r>
      <w:r>
        <w:rPr>
          <w:lang w:val="sk-SK"/>
        </w:rPr>
        <w:t xml:space="preserve"> </w:t>
      </w:r>
      <w:r>
        <w:t>հավանական</w:t>
      </w:r>
      <w:r>
        <w:rPr>
          <w:lang w:val="sk-SK"/>
        </w:rPr>
        <w:t xml:space="preserve"> </w:t>
      </w:r>
      <w:r>
        <w:t>ռիսկերի</w:t>
      </w:r>
      <w:r>
        <w:rPr>
          <w:lang w:val="sk-SK"/>
        </w:rPr>
        <w:t xml:space="preserve"> </w:t>
      </w:r>
      <w:r>
        <w:t>քանակային</w:t>
      </w:r>
      <w:r>
        <w:rPr>
          <w:lang w:val="sk-SK"/>
        </w:rPr>
        <w:t xml:space="preserve"> </w:t>
      </w:r>
      <w:r>
        <w:t>գնահատականը</w:t>
      </w:r>
      <w:r>
        <w:rPr>
          <w:lang w:val="sk-SK"/>
        </w:rPr>
        <w:t xml:space="preserve"> </w:t>
      </w:r>
      <w:r>
        <w:t>ստացվել</w:t>
      </w:r>
      <w:r>
        <w:rPr>
          <w:lang w:val="sk-SK"/>
        </w:rPr>
        <w:t xml:space="preserve"> </w:t>
      </w:r>
      <w:r>
        <w:t>է</w:t>
      </w:r>
      <w:r>
        <w:rPr>
          <w:lang w:val="sk-SK"/>
        </w:rPr>
        <w:t xml:space="preserve">` </w:t>
      </w:r>
      <w:r>
        <w:t>հիմք</w:t>
      </w:r>
      <w:r>
        <w:rPr>
          <w:lang w:val="sk-SK"/>
        </w:rPr>
        <w:t xml:space="preserve"> ըն</w:t>
      </w:r>
      <w:r>
        <w:t>դունելով</w:t>
      </w:r>
      <w:r>
        <w:rPr>
          <w:lang w:val="sk-SK"/>
        </w:rPr>
        <w:t xml:space="preserve"> </w:t>
      </w:r>
      <w:r>
        <w:t>այս</w:t>
      </w:r>
      <w:r>
        <w:rPr>
          <w:lang w:val="sk-SK"/>
        </w:rPr>
        <w:t xml:space="preserve"> </w:t>
      </w:r>
      <w:r>
        <w:t>գործոնների</w:t>
      </w:r>
      <w:r>
        <w:rPr>
          <w:lang w:val="sk-SK"/>
        </w:rPr>
        <w:t xml:space="preserve"> </w:t>
      </w:r>
      <w:r>
        <w:t>պատմական</w:t>
      </w:r>
      <w:r>
        <w:rPr>
          <w:lang w:val="sk-SK"/>
        </w:rPr>
        <w:t xml:space="preserve"> </w:t>
      </w:r>
      <w:r>
        <w:t>շարժի</w:t>
      </w:r>
      <w:r>
        <w:rPr>
          <w:lang w:val="sk-SK"/>
        </w:rPr>
        <w:t xml:space="preserve"> </w:t>
      </w:r>
      <w:r>
        <w:t>բացարձակ</w:t>
      </w:r>
      <w:r>
        <w:rPr>
          <w:lang w:val="sk-SK"/>
        </w:rPr>
        <w:t xml:space="preserve"> </w:t>
      </w:r>
      <w:r>
        <w:t>միջին</w:t>
      </w:r>
      <w:r>
        <w:rPr>
          <w:lang w:val="sk-SK"/>
        </w:rPr>
        <w:t xml:space="preserve"> </w:t>
      </w:r>
      <w:r>
        <w:t>սխալը</w:t>
      </w:r>
      <w:r>
        <w:rPr>
          <w:lang w:val="ro-RO"/>
        </w:rPr>
        <w:t>:</w:t>
      </w:r>
    </w:p>
  </w:footnote>
  <w:footnote w:id="37">
    <w:p w14:paraId="237724CD" w14:textId="77777777" w:rsidR="005849E3" w:rsidRDefault="005849E3" w:rsidP="00AF5737">
      <w:pPr>
        <w:rPr>
          <w:rFonts w:cs="Sylfaen"/>
          <w:i/>
          <w:sz w:val="16"/>
          <w:szCs w:val="16"/>
          <w:lang w:val="ro-RO"/>
        </w:rPr>
      </w:pPr>
      <w:r>
        <w:rPr>
          <w:rStyle w:val="FootnoteReference"/>
          <w:sz w:val="16"/>
          <w:szCs w:val="16"/>
        </w:rPr>
        <w:footnoteRef/>
      </w:r>
      <w:r>
        <w:rPr>
          <w:rFonts w:cs="Sylfaen"/>
          <w:sz w:val="16"/>
          <w:szCs w:val="16"/>
        </w:rPr>
        <w:t>Հարկային</w:t>
      </w:r>
      <w:r>
        <w:rPr>
          <w:rFonts w:cs="Sylfaen"/>
          <w:sz w:val="16"/>
          <w:szCs w:val="16"/>
          <w:lang w:val="ro-RO"/>
        </w:rPr>
        <w:t xml:space="preserve"> </w:t>
      </w:r>
      <w:r>
        <w:rPr>
          <w:rFonts w:cs="Sylfaen"/>
          <w:sz w:val="16"/>
          <w:szCs w:val="16"/>
        </w:rPr>
        <w:t>եկամուտների</w:t>
      </w:r>
      <w:r>
        <w:rPr>
          <w:rFonts w:cs="Sylfaen"/>
          <w:sz w:val="16"/>
          <w:szCs w:val="16"/>
          <w:lang w:val="ro-RO"/>
        </w:rPr>
        <w:t xml:space="preserve"> </w:t>
      </w:r>
      <w:r>
        <w:rPr>
          <w:rFonts w:cs="Sylfaen"/>
          <w:sz w:val="16"/>
          <w:szCs w:val="16"/>
        </w:rPr>
        <w:t>գծով</w:t>
      </w:r>
      <w:r>
        <w:rPr>
          <w:rFonts w:cs="Sylfaen"/>
          <w:sz w:val="16"/>
          <w:szCs w:val="16"/>
          <w:lang w:val="ro-RO"/>
        </w:rPr>
        <w:t xml:space="preserve"> </w:t>
      </w:r>
      <w:r>
        <w:rPr>
          <w:rFonts w:cs="Sylfaen"/>
          <w:sz w:val="16"/>
          <w:szCs w:val="16"/>
        </w:rPr>
        <w:t>ռիսկերի</w:t>
      </w:r>
      <w:r>
        <w:rPr>
          <w:rFonts w:cs="Sylfaen"/>
          <w:sz w:val="16"/>
          <w:szCs w:val="16"/>
          <w:lang w:val="ro-RO"/>
        </w:rPr>
        <w:t xml:space="preserve"> ազդեցության </w:t>
      </w:r>
      <w:r>
        <w:rPr>
          <w:rFonts w:cs="Sylfaen"/>
          <w:sz w:val="16"/>
          <w:szCs w:val="16"/>
        </w:rPr>
        <w:t>գնահատականը</w:t>
      </w:r>
      <w:r>
        <w:rPr>
          <w:rFonts w:cs="Sylfaen"/>
          <w:sz w:val="16"/>
          <w:szCs w:val="16"/>
          <w:lang w:val="ro-RO"/>
        </w:rPr>
        <w:t xml:space="preserve"> </w:t>
      </w:r>
      <w:r>
        <w:rPr>
          <w:rFonts w:cs="Sylfaen"/>
          <w:sz w:val="16"/>
          <w:szCs w:val="16"/>
        </w:rPr>
        <w:t>կառուցվել</w:t>
      </w:r>
      <w:r>
        <w:rPr>
          <w:rFonts w:cs="Sylfaen"/>
          <w:sz w:val="16"/>
          <w:szCs w:val="16"/>
          <w:lang w:val="ro-RO"/>
        </w:rPr>
        <w:t xml:space="preserve"> </w:t>
      </w:r>
      <w:r>
        <w:rPr>
          <w:rFonts w:cs="Sylfaen"/>
          <w:sz w:val="16"/>
          <w:szCs w:val="16"/>
        </w:rPr>
        <w:t>է</w:t>
      </w:r>
      <w:r>
        <w:rPr>
          <w:rFonts w:cs="Sylfaen"/>
          <w:sz w:val="16"/>
          <w:szCs w:val="16"/>
          <w:lang w:val="ro-RO"/>
        </w:rPr>
        <w:t xml:space="preserve"> </w:t>
      </w:r>
      <w:r>
        <w:rPr>
          <w:rFonts w:cs="Sylfaen"/>
          <w:sz w:val="16"/>
          <w:szCs w:val="16"/>
        </w:rPr>
        <w:t>ՀՀ</w:t>
      </w:r>
      <w:r>
        <w:rPr>
          <w:rFonts w:cs="Sylfaen"/>
          <w:sz w:val="16"/>
          <w:szCs w:val="16"/>
          <w:lang w:val="ro-RO"/>
        </w:rPr>
        <w:t xml:space="preserve"> ֆ</w:t>
      </w:r>
      <w:r>
        <w:rPr>
          <w:rFonts w:cs="Sylfaen"/>
          <w:sz w:val="16"/>
          <w:szCs w:val="16"/>
        </w:rPr>
        <w:t>ինանսների</w:t>
      </w:r>
      <w:r>
        <w:rPr>
          <w:rFonts w:cs="Sylfaen"/>
          <w:sz w:val="16"/>
          <w:szCs w:val="16"/>
          <w:lang w:val="ro-RO"/>
        </w:rPr>
        <w:t xml:space="preserve"> </w:t>
      </w:r>
      <w:r>
        <w:rPr>
          <w:rFonts w:cs="Sylfaen"/>
          <w:sz w:val="16"/>
          <w:szCs w:val="16"/>
        </w:rPr>
        <w:t>նախարարության</w:t>
      </w:r>
      <w:r>
        <w:rPr>
          <w:rFonts w:cs="Sylfaen"/>
          <w:sz w:val="16"/>
          <w:szCs w:val="16"/>
          <w:lang w:val="ro-RO"/>
        </w:rPr>
        <w:t xml:space="preserve"> </w:t>
      </w:r>
      <w:r>
        <w:rPr>
          <w:rFonts w:cs="Sylfaen"/>
          <w:sz w:val="16"/>
          <w:szCs w:val="16"/>
        </w:rPr>
        <w:t>ռիսկերի</w:t>
      </w:r>
      <w:r>
        <w:rPr>
          <w:rFonts w:cs="Sylfaen"/>
          <w:sz w:val="16"/>
          <w:szCs w:val="16"/>
          <w:lang w:val="ro-RO"/>
        </w:rPr>
        <w:t xml:space="preserve"> </w:t>
      </w:r>
      <w:r>
        <w:rPr>
          <w:rFonts w:cs="Sylfaen"/>
          <w:sz w:val="16"/>
          <w:szCs w:val="16"/>
        </w:rPr>
        <w:t>գնահատման</w:t>
      </w:r>
      <w:r>
        <w:rPr>
          <w:rFonts w:cs="Sylfaen"/>
          <w:sz w:val="16"/>
          <w:szCs w:val="16"/>
          <w:lang w:val="ro-RO"/>
        </w:rPr>
        <w:t xml:space="preserve"> </w:t>
      </w:r>
      <w:r>
        <w:rPr>
          <w:rFonts w:cs="Sylfaen"/>
          <w:sz w:val="16"/>
          <w:szCs w:val="16"/>
        </w:rPr>
        <w:t>համակարգի</w:t>
      </w:r>
      <w:r>
        <w:rPr>
          <w:rFonts w:cs="Sylfaen"/>
          <w:sz w:val="16"/>
          <w:szCs w:val="16"/>
          <w:lang w:val="ro-RO"/>
        </w:rPr>
        <w:t xml:space="preserve"> </w:t>
      </w:r>
      <w:r>
        <w:rPr>
          <w:rFonts w:cs="Sylfaen"/>
          <w:sz w:val="16"/>
          <w:szCs w:val="16"/>
        </w:rPr>
        <w:t>ներքո</w:t>
      </w:r>
      <w:r>
        <w:rPr>
          <w:rFonts w:cs="Sylfaen"/>
          <w:sz w:val="16"/>
          <w:szCs w:val="16"/>
          <w:lang w:val="ro-RO"/>
        </w:rPr>
        <w:t xml:space="preserve"> </w:t>
      </w:r>
      <w:r>
        <w:rPr>
          <w:rFonts w:cs="Sylfaen"/>
          <w:sz w:val="16"/>
          <w:szCs w:val="16"/>
        </w:rPr>
        <w:t>կառուցված</w:t>
      </w:r>
      <w:r>
        <w:rPr>
          <w:rFonts w:cs="Sylfaen"/>
          <w:sz w:val="16"/>
          <w:szCs w:val="16"/>
          <w:lang w:val="ro-RO"/>
        </w:rPr>
        <w:t xml:space="preserve"> </w:t>
      </w:r>
      <w:r>
        <w:rPr>
          <w:rFonts w:cs="Sylfaen"/>
          <w:sz w:val="16"/>
          <w:szCs w:val="16"/>
        </w:rPr>
        <w:t>մոդելի</w:t>
      </w:r>
      <w:r>
        <w:rPr>
          <w:rFonts w:cs="Sylfaen"/>
          <w:sz w:val="16"/>
          <w:szCs w:val="16"/>
          <w:lang w:val="ro-RO"/>
        </w:rPr>
        <w:t xml:space="preserve"> </w:t>
      </w:r>
      <w:r>
        <w:rPr>
          <w:rFonts w:cs="Sylfaen"/>
          <w:sz w:val="16"/>
          <w:szCs w:val="16"/>
        </w:rPr>
        <w:t>հիման</w:t>
      </w:r>
      <w:r>
        <w:rPr>
          <w:rFonts w:cs="Sylfaen"/>
          <w:sz w:val="16"/>
          <w:szCs w:val="16"/>
          <w:lang w:val="ro-RO"/>
        </w:rPr>
        <w:t xml:space="preserve"> </w:t>
      </w:r>
      <w:r>
        <w:rPr>
          <w:rFonts w:cs="Sylfaen"/>
          <w:sz w:val="16"/>
          <w:szCs w:val="16"/>
        </w:rPr>
        <w:t>վրա</w:t>
      </w:r>
      <w:r>
        <w:rPr>
          <w:rFonts w:cs="Sylfaen"/>
          <w:sz w:val="16"/>
          <w:szCs w:val="16"/>
          <w:lang w:val="ro-RO"/>
        </w:rPr>
        <w:t>:</w:t>
      </w:r>
      <w:r>
        <w:rPr>
          <w:rFonts w:cs="Sylfaen"/>
          <w:i/>
          <w:sz w:val="16"/>
          <w:szCs w:val="16"/>
          <w:lang w:val="ro-RO"/>
        </w:rPr>
        <w:t xml:space="preserve"> </w:t>
      </w:r>
    </w:p>
  </w:footnote>
  <w:footnote w:id="38">
    <w:p w14:paraId="2CCB906F" w14:textId="77777777" w:rsidR="005849E3" w:rsidRPr="00CA4440" w:rsidRDefault="005849E3" w:rsidP="00AF5737">
      <w:pPr>
        <w:pStyle w:val="FootnoteText"/>
        <w:rPr>
          <w:rFonts w:cs="Times New Roman"/>
          <w:sz w:val="14"/>
          <w:lang w:val="ro-RO"/>
        </w:rPr>
      </w:pPr>
      <w:r w:rsidRPr="00CA4440">
        <w:rPr>
          <w:rStyle w:val="FootnoteReference"/>
          <w:rFonts w:eastAsiaTheme="majorEastAsia"/>
          <w:sz w:val="18"/>
        </w:rPr>
        <w:footnoteRef/>
      </w:r>
      <w:r w:rsidRPr="00CA4440">
        <w:rPr>
          <w:sz w:val="18"/>
        </w:rPr>
        <w:t>Հավանականային</w:t>
      </w:r>
      <w:r w:rsidRPr="00CA4440">
        <w:rPr>
          <w:sz w:val="18"/>
          <w:lang w:val="ro-RO"/>
        </w:rPr>
        <w:t xml:space="preserve"> </w:t>
      </w:r>
      <w:r w:rsidRPr="00CA4440">
        <w:rPr>
          <w:sz w:val="18"/>
        </w:rPr>
        <w:t>կանխատեսման</w:t>
      </w:r>
      <w:r w:rsidRPr="00CA4440">
        <w:rPr>
          <w:sz w:val="18"/>
          <w:lang w:val="ro-RO"/>
        </w:rPr>
        <w:t xml:space="preserve"> </w:t>
      </w:r>
      <w:r w:rsidRPr="00CA4440">
        <w:rPr>
          <w:sz w:val="18"/>
        </w:rPr>
        <w:t>գրաֆիկի</w:t>
      </w:r>
      <w:r w:rsidRPr="00CA4440">
        <w:rPr>
          <w:sz w:val="18"/>
          <w:lang w:val="ro-RO"/>
        </w:rPr>
        <w:t xml:space="preserve"> </w:t>
      </w:r>
      <w:r w:rsidRPr="00CA4440">
        <w:rPr>
          <w:sz w:val="18"/>
        </w:rPr>
        <w:t>կառուցման</w:t>
      </w:r>
      <w:r w:rsidRPr="00CA4440">
        <w:rPr>
          <w:sz w:val="18"/>
          <w:lang w:val="ro-RO"/>
        </w:rPr>
        <w:t xml:space="preserve"> </w:t>
      </w:r>
      <w:r w:rsidRPr="00CA4440">
        <w:rPr>
          <w:sz w:val="18"/>
        </w:rPr>
        <w:t>ընդհանուր</w:t>
      </w:r>
      <w:r w:rsidRPr="00CA4440">
        <w:rPr>
          <w:sz w:val="18"/>
          <w:lang w:val="ro-RO"/>
        </w:rPr>
        <w:t xml:space="preserve"> </w:t>
      </w:r>
      <w:r w:rsidRPr="00CA4440">
        <w:rPr>
          <w:sz w:val="18"/>
        </w:rPr>
        <w:t>մեթոդաբանությունը</w:t>
      </w:r>
      <w:r w:rsidRPr="00CA4440">
        <w:rPr>
          <w:sz w:val="18"/>
          <w:lang w:val="ro-RO"/>
        </w:rPr>
        <w:t xml:space="preserve"> </w:t>
      </w:r>
      <w:r w:rsidRPr="00CA4440">
        <w:rPr>
          <w:sz w:val="18"/>
        </w:rPr>
        <w:t>ներկայացված</w:t>
      </w:r>
      <w:r w:rsidRPr="00CA4440">
        <w:rPr>
          <w:sz w:val="18"/>
          <w:lang w:val="ro-RO"/>
        </w:rPr>
        <w:t xml:space="preserve"> </w:t>
      </w:r>
      <w:r w:rsidRPr="00CA4440">
        <w:rPr>
          <w:sz w:val="18"/>
        </w:rPr>
        <w:t>է</w:t>
      </w:r>
      <w:r w:rsidRPr="00CA4440">
        <w:rPr>
          <w:sz w:val="18"/>
          <w:lang w:val="ro-RO"/>
        </w:rPr>
        <w:t xml:space="preserve"> </w:t>
      </w:r>
      <w:r w:rsidRPr="00CA4440">
        <w:rPr>
          <w:sz w:val="18"/>
        </w:rPr>
        <w:t>Ներդիր</w:t>
      </w:r>
      <w:r>
        <w:rPr>
          <w:sz w:val="18"/>
          <w:lang w:val="hy-AM"/>
        </w:rPr>
        <w:t>ում</w:t>
      </w:r>
      <w:r w:rsidRPr="00CA4440">
        <w:rPr>
          <w:sz w:val="18"/>
          <w:lang w:val="ro-RO"/>
        </w:rPr>
        <w:t>:</w:t>
      </w:r>
    </w:p>
  </w:footnote>
  <w:footnote w:id="39">
    <w:p w14:paraId="1870C280" w14:textId="77777777" w:rsidR="005849E3" w:rsidRPr="00010E8E" w:rsidRDefault="005849E3" w:rsidP="00010E8E">
      <w:pPr>
        <w:pStyle w:val="FootnoteText"/>
        <w:spacing w:line="240" w:lineRule="auto"/>
        <w:rPr>
          <w:szCs w:val="16"/>
          <w:lang w:val="ro-RO"/>
        </w:rPr>
      </w:pPr>
      <w:r w:rsidRPr="00010E8E">
        <w:rPr>
          <w:rStyle w:val="FootnoteReference"/>
          <w:szCs w:val="16"/>
        </w:rPr>
        <w:footnoteRef/>
      </w:r>
      <w:r w:rsidRPr="00010E8E">
        <w:rPr>
          <w:szCs w:val="16"/>
          <w:lang w:val="ro-RO"/>
        </w:rPr>
        <w:t>Ընդհանուր ազդեցության գնահատականը հիմնված է մակրոտնտեսական ռիսկերի առանձին հանդես գալու ենթադրության վրա:</w:t>
      </w:r>
    </w:p>
  </w:footnote>
  <w:footnote w:id="40">
    <w:p w14:paraId="38E2699D" w14:textId="77777777" w:rsidR="005849E3" w:rsidRPr="00010E8E" w:rsidRDefault="005849E3" w:rsidP="00010E8E">
      <w:pPr>
        <w:pStyle w:val="FootnoteText"/>
        <w:spacing w:line="240" w:lineRule="auto"/>
        <w:rPr>
          <w:szCs w:val="16"/>
          <w:lang w:val="hy-AM"/>
        </w:rPr>
      </w:pPr>
      <w:r w:rsidRPr="00010E8E">
        <w:rPr>
          <w:rStyle w:val="FootnoteReference"/>
          <w:szCs w:val="16"/>
        </w:rPr>
        <w:footnoteRef/>
      </w:r>
      <w:r w:rsidRPr="00010E8E">
        <w:rPr>
          <w:szCs w:val="16"/>
          <w:lang w:val="hy-AM"/>
        </w:rPr>
        <w:t xml:space="preserve"> Փաստաթուղթը հասանելի է հետևյալ էլ. հղումով՝ </w:t>
      </w:r>
    </w:p>
    <w:p w14:paraId="60FA7FF4" w14:textId="77777777" w:rsidR="005849E3" w:rsidRPr="00010E8E" w:rsidRDefault="004F1221" w:rsidP="00010E8E">
      <w:pPr>
        <w:pStyle w:val="FootnoteText"/>
        <w:spacing w:line="240" w:lineRule="auto"/>
        <w:rPr>
          <w:szCs w:val="16"/>
          <w:lang w:val="hy-AM"/>
        </w:rPr>
      </w:pPr>
      <w:hyperlink r:id="rId4" w:history="1">
        <w:r w:rsidR="005849E3" w:rsidRPr="00010E8E">
          <w:rPr>
            <w:rStyle w:val="Hyperlink"/>
            <w:szCs w:val="16"/>
            <w:lang w:val="hy-AM"/>
          </w:rPr>
          <w:t>https://eeas.europa.eu/sites/default/files/swd_2021_186_f1_joint_staff_working_paper_en_v2_p1_1356457_0.pdf</w:t>
        </w:r>
      </w:hyperlink>
      <w:r w:rsidR="005849E3" w:rsidRPr="00010E8E">
        <w:rPr>
          <w:szCs w:val="16"/>
          <w:lang w:val="hy-AM"/>
        </w:rPr>
        <w:t xml:space="preserve"> </w:t>
      </w:r>
    </w:p>
  </w:footnote>
  <w:footnote w:id="41">
    <w:p w14:paraId="050B9E44" w14:textId="77777777" w:rsidR="005849E3" w:rsidRPr="000B2578" w:rsidRDefault="005849E3" w:rsidP="00591F59">
      <w:pPr>
        <w:pStyle w:val="FootnoteText"/>
        <w:rPr>
          <w:lang w:val="hy-AM"/>
        </w:rPr>
      </w:pPr>
      <w:r w:rsidRPr="000B2578">
        <w:rPr>
          <w:rStyle w:val="FootnoteReference"/>
        </w:rPr>
        <w:footnoteRef/>
      </w:r>
      <w:r w:rsidRPr="000B2578">
        <w:rPr>
          <w:lang w:val="hy-AM"/>
        </w:rPr>
        <w:t xml:space="preserve"> Թիրախային տնտեսական աճի </w:t>
      </w:r>
      <w:r>
        <w:rPr>
          <w:lang w:val="hy-AM"/>
        </w:rPr>
        <w:t xml:space="preserve">մակրոտնտեսական </w:t>
      </w:r>
      <w:r w:rsidRPr="000B2578">
        <w:rPr>
          <w:lang w:val="hy-AM"/>
        </w:rPr>
        <w:t xml:space="preserve">սցենարի նկարագրությանը, դրա ապահովման պայմաններին և հարկաբյուջետային </w:t>
      </w:r>
      <w:r>
        <w:rPr>
          <w:lang w:val="hy-AM"/>
        </w:rPr>
        <w:t xml:space="preserve">սցենարին կարելի է ծանոթանալ </w:t>
      </w:r>
      <w:r w:rsidRPr="000B2578">
        <w:rPr>
          <w:lang w:val="hy-AM"/>
        </w:rPr>
        <w:t xml:space="preserve">2022-2024 </w:t>
      </w:r>
      <w:r>
        <w:rPr>
          <w:lang w:val="hy-AM"/>
        </w:rPr>
        <w:t xml:space="preserve">թթ․ ՄԺԾԾ փաստաթղթի «1․3․1․ Թիրախային </w:t>
      </w:r>
      <w:r w:rsidRPr="000B2578">
        <w:rPr>
          <w:lang w:val="hy-AM"/>
        </w:rPr>
        <w:t>(</w:t>
      </w:r>
      <w:r>
        <w:rPr>
          <w:lang w:val="hy-AM"/>
        </w:rPr>
        <w:t>բարձր</w:t>
      </w:r>
      <w:r w:rsidRPr="000B2578">
        <w:rPr>
          <w:lang w:val="hy-AM"/>
        </w:rPr>
        <w:t xml:space="preserve">) </w:t>
      </w:r>
      <w:r>
        <w:rPr>
          <w:lang w:val="hy-AM"/>
        </w:rPr>
        <w:t>տնտեսական աճի սցենար» ենթաբաժնում</w:t>
      </w:r>
      <w:r w:rsidRPr="000B2578">
        <w:rPr>
          <w:lang w:val="hy-AM"/>
        </w:rPr>
        <w:t xml:space="preserve">: </w:t>
      </w:r>
    </w:p>
  </w:footnote>
  <w:footnote w:id="42">
    <w:p w14:paraId="29C35C63" w14:textId="77777777" w:rsidR="005849E3" w:rsidRDefault="005849E3">
      <w:pPr>
        <w:pStyle w:val="FootnoteText"/>
        <w:rPr>
          <w:lang w:val="hy-AM"/>
        </w:rPr>
      </w:pPr>
      <w:r>
        <w:rPr>
          <w:rStyle w:val="FootnoteReference"/>
        </w:rPr>
        <w:footnoteRef/>
      </w:r>
      <w:r>
        <w:rPr>
          <w:lang w:val="hy-AM"/>
        </w:rPr>
        <w:t xml:space="preserve"> Ընկերությունների ֆինանսական վիճակի վատթարացման հավանականությունը կանխատեսելու համար հաշվարկվել է միջազգայնորեն այդ նպատակով ընդունված Է. Ալթմանի «Z-միավոր» կոչվող հսկիչ ցուցանիշը: Զուգահեռաբար Ընկերությունների ֆինանսական հուսալիության մասին լրացուցիչ տեղեկատվության ստացման, ինչպես նաև «Z-միավոր»-ի ստուգաճշտման համար կիրառվել են լրացուցիչ ֆինանսական գործակիցներ (շահութաբերության, իրացվելիության, վճարունակության հաշվարկման համար), որոնք արտացոլում են կապը Ընկերությունների ֆինանսական հաշվետվությունների տարբեր հոդվածների միջև:</w:t>
      </w:r>
    </w:p>
  </w:footnote>
  <w:footnote w:id="43">
    <w:p w14:paraId="46BC18F5" w14:textId="77777777" w:rsidR="005849E3" w:rsidRDefault="005849E3">
      <w:pPr>
        <w:shd w:val="clear" w:color="auto" w:fill="FFFFFF"/>
        <w:ind w:right="150"/>
        <w:rPr>
          <w:color w:val="000000"/>
          <w:sz w:val="16"/>
          <w:szCs w:val="16"/>
          <w:lang w:val="hy-AM"/>
        </w:rPr>
      </w:pPr>
      <w:r>
        <w:rPr>
          <w:color w:val="000000"/>
          <w:sz w:val="16"/>
          <w:szCs w:val="16"/>
          <w:vertAlign w:val="superscript"/>
          <w:lang w:val="hy-AM"/>
        </w:rPr>
        <w:t>1 Կիրառվել է Ասիական Զարգացման Բանկի կողմից մշակված մեթոդաբանությունը՝ ինչպես և սույն փաստաթղթում ներկայացվող այլ հաշվարկների դեպքում:</w:t>
      </w:r>
    </w:p>
    <w:p w14:paraId="3916446C" w14:textId="77777777" w:rsidR="005849E3" w:rsidRDefault="005849E3">
      <w:pPr>
        <w:shd w:val="clear" w:color="auto" w:fill="FFFFFF"/>
        <w:spacing w:line="240" w:lineRule="auto"/>
        <w:ind w:right="150"/>
        <w:rPr>
          <w:color w:val="000000"/>
          <w:sz w:val="16"/>
          <w:szCs w:val="16"/>
          <w:lang w:val="hy-AM"/>
        </w:rPr>
      </w:pPr>
      <w:r>
        <w:rPr>
          <w:rFonts w:ascii="Sylfaen" w:hAnsi="Sylfaen"/>
          <w:color w:val="000000"/>
          <w:sz w:val="16"/>
          <w:szCs w:val="16"/>
          <w:lang w:val="hy-AM"/>
        </w:rPr>
        <w:t>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F547D4" w14:textId="77777777" w:rsidR="005849E3" w:rsidRDefault="005849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5DB6A4" w14:textId="77777777" w:rsidR="005849E3" w:rsidRPr="009B7D4F" w:rsidRDefault="005849E3" w:rsidP="009B7D4F">
    <w:pPr>
      <w:pStyle w:val="Header"/>
      <w:ind w:firstLine="0"/>
    </w:pPr>
  </w:p>
  <w:p w14:paraId="4A349A1A" w14:textId="77777777" w:rsidR="005849E3" w:rsidRDefault="005849E3"/>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2A5E1" w14:textId="77777777" w:rsidR="005849E3" w:rsidRDefault="005849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FFFFFF83"/>
    <w:lvl w:ilvl="0">
      <w:start w:val="1"/>
      <w:numFmt w:val="bullet"/>
      <w:pStyle w:val="2ndheading"/>
      <w:lvlText w:val=""/>
      <w:lvlJc w:val="left"/>
      <w:pPr>
        <w:tabs>
          <w:tab w:val="left" w:pos="643"/>
        </w:tabs>
        <w:ind w:left="643" w:hanging="360"/>
      </w:pPr>
      <w:rPr>
        <w:rFonts w:ascii="Symbol" w:hAnsi="Symbol" w:hint="default"/>
      </w:r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34817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3F033D1"/>
    <w:multiLevelType w:val="multilevel"/>
    <w:tmpl w:val="03F033D1"/>
    <w:lvl w:ilvl="0">
      <w:start w:val="1"/>
      <w:numFmt w:val="bullet"/>
      <w:pStyle w:val="num02"/>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4153C66"/>
    <w:multiLevelType w:val="multilevel"/>
    <w:tmpl w:val="04153C66"/>
    <w:lvl w:ilvl="0">
      <w:start w:val="1"/>
      <w:numFmt w:val="decimal"/>
      <w:lvlText w:val="%1."/>
      <w:lvlJc w:val="left"/>
      <w:pPr>
        <w:ind w:left="786" w:hanging="360"/>
      </w:pPr>
    </w:lvl>
    <w:lvl w:ilvl="1">
      <w:start w:val="1"/>
      <w:numFmt w:val="lowerLetter"/>
      <w:lvlText w:val="%2."/>
      <w:lvlJc w:val="left"/>
      <w:pPr>
        <w:ind w:left="1865"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5" w15:restartNumberingAfterBreak="0">
    <w:nsid w:val="04641FC6"/>
    <w:multiLevelType w:val="multilevel"/>
    <w:tmpl w:val="04641FC6"/>
    <w:lvl w:ilvl="0">
      <w:start w:val="1"/>
      <w:numFmt w:val="bullet"/>
      <w:lvlText w:val="-"/>
      <w:lvlJc w:val="left"/>
      <w:pPr>
        <w:ind w:left="720" w:hanging="360"/>
      </w:pPr>
      <w:rPr>
        <w:rFonts w:ascii="Times Armenian" w:eastAsia="Times New Roman" w:hAnsi="Times Armeni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B45AF4"/>
    <w:multiLevelType w:val="multilevel"/>
    <w:tmpl w:val="06B45AF4"/>
    <w:lvl w:ilvl="0">
      <w:start w:val="1"/>
      <w:numFmt w:val="decimal"/>
      <w:lvlText w:val="%1."/>
      <w:lvlJc w:val="left"/>
      <w:pPr>
        <w:ind w:left="1170" w:hanging="360"/>
      </w:pPr>
      <w:rPr>
        <w:rFonts w:cs="Sylfaen"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 w15:restartNumberingAfterBreak="0">
    <w:nsid w:val="084C7D3A"/>
    <w:multiLevelType w:val="multilevel"/>
    <w:tmpl w:val="084C7D3A"/>
    <w:lvl w:ilvl="0">
      <w:start w:val="1"/>
      <w:numFmt w:val="decimal"/>
      <w:lvlText w:val="%1."/>
      <w:lvlJc w:val="left"/>
      <w:pPr>
        <w:ind w:left="720" w:hanging="360"/>
      </w:pPr>
      <w:rPr>
        <w:rFonts w:cs="Sylfaen" w:hint="default"/>
      </w:rPr>
    </w:lvl>
    <w:lvl w:ilvl="1">
      <w:start w:val="2"/>
      <w:numFmt w:val="decimal"/>
      <w:isLgl/>
      <w:lvlText w:val="%1.%2."/>
      <w:lvlJc w:val="left"/>
      <w:pPr>
        <w:ind w:left="990" w:hanging="720"/>
      </w:pPr>
      <w:rPr>
        <w:rFonts w:hint="default"/>
      </w:rPr>
    </w:lvl>
    <w:lvl w:ilvl="2">
      <w:start w:val="1"/>
      <w:numFmt w:val="decimal"/>
      <w:isLgl/>
      <w:lvlText w:val="%1.%2.%3."/>
      <w:lvlJc w:val="left"/>
      <w:pPr>
        <w:ind w:left="1854" w:hanging="108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628" w:hanging="1440"/>
      </w:pPr>
      <w:rPr>
        <w:rFonts w:hint="default"/>
      </w:rPr>
    </w:lvl>
    <w:lvl w:ilvl="5">
      <w:start w:val="1"/>
      <w:numFmt w:val="decimal"/>
      <w:isLgl/>
      <w:lvlText w:val="%1.%2.%3.%4.%5.%6."/>
      <w:lvlJc w:val="left"/>
      <w:pPr>
        <w:ind w:left="3195" w:hanging="180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969" w:hanging="2160"/>
      </w:pPr>
      <w:rPr>
        <w:rFonts w:hint="default"/>
      </w:rPr>
    </w:lvl>
    <w:lvl w:ilvl="8">
      <w:start w:val="1"/>
      <w:numFmt w:val="decimal"/>
      <w:isLgl/>
      <w:lvlText w:val="%1.%2.%3.%4.%5.%6.%7.%8.%9."/>
      <w:lvlJc w:val="left"/>
      <w:pPr>
        <w:ind w:left="4536" w:hanging="2520"/>
      </w:pPr>
      <w:rPr>
        <w:rFonts w:hint="default"/>
      </w:rPr>
    </w:lvl>
  </w:abstractNum>
  <w:abstractNum w:abstractNumId="8" w15:restartNumberingAfterBreak="0">
    <w:nsid w:val="08832E5D"/>
    <w:multiLevelType w:val="hybridMultilevel"/>
    <w:tmpl w:val="1F8E07B2"/>
    <w:lvl w:ilvl="0" w:tplc="A05A480C">
      <w:start w:val="1"/>
      <w:numFmt w:val="decimal"/>
      <w:pStyle w:val="1"/>
      <w:lvlText w:val="%1."/>
      <w:lvlJc w:val="righ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 w15:restartNumberingAfterBreak="0">
    <w:nsid w:val="0B613926"/>
    <w:multiLevelType w:val="hybridMultilevel"/>
    <w:tmpl w:val="44D616E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0C75171F"/>
    <w:multiLevelType w:val="hybridMultilevel"/>
    <w:tmpl w:val="6FD0E6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CED22CD"/>
    <w:multiLevelType w:val="multilevel"/>
    <w:tmpl w:val="0CED22CD"/>
    <w:lvl w:ilvl="0">
      <w:start w:val="1"/>
      <w:numFmt w:val="decimal"/>
      <w:pStyle w:val="Style4"/>
      <w:lvlText w:val="´²ÄÆÜ %1."/>
      <w:lvlJc w:val="left"/>
      <w:pPr>
        <w:tabs>
          <w:tab w:val="left" w:pos="1531"/>
        </w:tabs>
        <w:ind w:left="1531" w:hanging="1531"/>
      </w:pPr>
      <w:rPr>
        <w:rFonts w:hint="default"/>
      </w:rPr>
    </w:lvl>
    <w:lvl w:ilvl="1">
      <w:start w:val="1"/>
      <w:numFmt w:val="decimal"/>
      <w:lvlRestart w:val="0"/>
      <w:pStyle w:val="annexedhead"/>
      <w:lvlText w:val="¶ÈàôÊ %2."/>
      <w:lvlJc w:val="left"/>
      <w:pPr>
        <w:tabs>
          <w:tab w:val="left" w:pos="1440"/>
        </w:tabs>
        <w:ind w:left="737" w:hanging="737"/>
      </w:pPr>
      <w:rPr>
        <w:rFonts w:hint="default"/>
      </w:rPr>
    </w:lvl>
    <w:lvl w:ilvl="2">
      <w:start w:val="1"/>
      <w:numFmt w:val="decimal"/>
      <w:pStyle w:val="StyleHeading3CenteredtextLinespacingsingle"/>
      <w:lvlText w:val="%2.%3."/>
      <w:lvlJc w:val="left"/>
      <w:pPr>
        <w:tabs>
          <w:tab w:val="left" w:pos="737"/>
        </w:tabs>
        <w:ind w:left="737" w:hanging="737"/>
      </w:pPr>
      <w:rPr>
        <w:rFonts w:hint="default"/>
      </w:rPr>
    </w:lvl>
    <w:lvl w:ilvl="3">
      <w:start w:val="1"/>
      <w:numFmt w:val="decimal"/>
      <w:lvlText w:val="%2.%3.%4."/>
      <w:lvlJc w:val="left"/>
      <w:pPr>
        <w:tabs>
          <w:tab w:val="left" w:pos="737"/>
        </w:tabs>
        <w:ind w:left="737" w:hanging="737"/>
      </w:pPr>
      <w:rPr>
        <w:rFonts w:hint="default"/>
      </w:rPr>
    </w:lvl>
    <w:lvl w:ilvl="4">
      <w:start w:val="1"/>
      <w:numFmt w:val="decimal"/>
      <w:lvlText w:val="%2.%3.%4.%5."/>
      <w:lvlJc w:val="left"/>
      <w:pPr>
        <w:tabs>
          <w:tab w:val="left" w:pos="907"/>
        </w:tabs>
        <w:ind w:left="907" w:hanging="907"/>
      </w:pPr>
      <w:rPr>
        <w:rFonts w:hint="default"/>
      </w:rPr>
    </w:lvl>
    <w:lvl w:ilvl="5">
      <w:start w:val="1"/>
      <w:numFmt w:val="decimal"/>
      <w:lvlText w:val="%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2" w15:restartNumberingAfterBreak="0">
    <w:nsid w:val="0FCB0450"/>
    <w:multiLevelType w:val="hybridMultilevel"/>
    <w:tmpl w:val="35F8B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100A40"/>
    <w:multiLevelType w:val="multilevel"/>
    <w:tmpl w:val="16100A40"/>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4" w15:restartNumberingAfterBreak="0">
    <w:nsid w:val="16160D04"/>
    <w:multiLevelType w:val="hybridMultilevel"/>
    <w:tmpl w:val="DC44A106"/>
    <w:lvl w:ilvl="0" w:tplc="7E840DCE">
      <w:start w:val="2024"/>
      <w:numFmt w:val="decimal"/>
      <w:lvlText w:val="%1"/>
      <w:lvlJc w:val="left"/>
      <w:pPr>
        <w:ind w:left="939" w:hanging="495"/>
      </w:pPr>
      <w:rPr>
        <w:rFonts w:cs="Arial Armenian" w:hint="default"/>
      </w:rPr>
    </w:lvl>
    <w:lvl w:ilvl="1" w:tplc="04090019" w:tentative="1">
      <w:start w:val="1"/>
      <w:numFmt w:val="lowerLetter"/>
      <w:lvlText w:val="%2."/>
      <w:lvlJc w:val="left"/>
      <w:pPr>
        <w:ind w:left="1524" w:hanging="360"/>
      </w:pPr>
    </w:lvl>
    <w:lvl w:ilvl="2" w:tplc="0409001B" w:tentative="1">
      <w:start w:val="1"/>
      <w:numFmt w:val="lowerRoman"/>
      <w:lvlText w:val="%3."/>
      <w:lvlJc w:val="right"/>
      <w:pPr>
        <w:ind w:left="2244" w:hanging="180"/>
      </w:pPr>
    </w:lvl>
    <w:lvl w:ilvl="3" w:tplc="0409000F" w:tentative="1">
      <w:start w:val="1"/>
      <w:numFmt w:val="decimal"/>
      <w:lvlText w:val="%4."/>
      <w:lvlJc w:val="left"/>
      <w:pPr>
        <w:ind w:left="2964" w:hanging="360"/>
      </w:pPr>
    </w:lvl>
    <w:lvl w:ilvl="4" w:tplc="04090019" w:tentative="1">
      <w:start w:val="1"/>
      <w:numFmt w:val="lowerLetter"/>
      <w:lvlText w:val="%5."/>
      <w:lvlJc w:val="left"/>
      <w:pPr>
        <w:ind w:left="3684" w:hanging="360"/>
      </w:pPr>
    </w:lvl>
    <w:lvl w:ilvl="5" w:tplc="0409001B" w:tentative="1">
      <w:start w:val="1"/>
      <w:numFmt w:val="lowerRoman"/>
      <w:lvlText w:val="%6."/>
      <w:lvlJc w:val="right"/>
      <w:pPr>
        <w:ind w:left="4404" w:hanging="180"/>
      </w:pPr>
    </w:lvl>
    <w:lvl w:ilvl="6" w:tplc="0409000F" w:tentative="1">
      <w:start w:val="1"/>
      <w:numFmt w:val="decimal"/>
      <w:lvlText w:val="%7."/>
      <w:lvlJc w:val="left"/>
      <w:pPr>
        <w:ind w:left="5124" w:hanging="360"/>
      </w:pPr>
    </w:lvl>
    <w:lvl w:ilvl="7" w:tplc="04090019" w:tentative="1">
      <w:start w:val="1"/>
      <w:numFmt w:val="lowerLetter"/>
      <w:lvlText w:val="%8."/>
      <w:lvlJc w:val="left"/>
      <w:pPr>
        <w:ind w:left="5844" w:hanging="360"/>
      </w:pPr>
    </w:lvl>
    <w:lvl w:ilvl="8" w:tplc="0409001B" w:tentative="1">
      <w:start w:val="1"/>
      <w:numFmt w:val="lowerRoman"/>
      <w:lvlText w:val="%9."/>
      <w:lvlJc w:val="right"/>
      <w:pPr>
        <w:ind w:left="6564" w:hanging="180"/>
      </w:pPr>
    </w:lvl>
  </w:abstractNum>
  <w:abstractNum w:abstractNumId="15" w15:restartNumberingAfterBreak="0">
    <w:nsid w:val="17B77B63"/>
    <w:multiLevelType w:val="multilevel"/>
    <w:tmpl w:val="17B77B63"/>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 w15:restartNumberingAfterBreak="0">
    <w:nsid w:val="1A961462"/>
    <w:multiLevelType w:val="multilevel"/>
    <w:tmpl w:val="1A961462"/>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7" w15:restartNumberingAfterBreak="0">
    <w:nsid w:val="1B4274B2"/>
    <w:multiLevelType w:val="hybridMultilevel"/>
    <w:tmpl w:val="8D88153E"/>
    <w:lvl w:ilvl="0" w:tplc="4A3EAB78">
      <w:numFmt w:val="bullet"/>
      <w:lvlText w:val="-"/>
      <w:lvlJc w:val="left"/>
      <w:pPr>
        <w:tabs>
          <w:tab w:val="num" w:pos="750"/>
        </w:tabs>
        <w:ind w:left="750" w:hanging="390"/>
      </w:pPr>
      <w:rPr>
        <w:rFonts w:ascii="Arial LatArm" w:eastAsia="Times New Roman" w:hAnsi="Arial LatArm" w:cs="Times New Roman" w:hint="default"/>
      </w:rPr>
    </w:lvl>
    <w:lvl w:ilvl="1" w:tplc="040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1DEB690F"/>
    <w:multiLevelType w:val="multilevel"/>
    <w:tmpl w:val="1DEB690F"/>
    <w:lvl w:ilvl="0">
      <w:start w:val="1"/>
      <w:numFmt w:val="bullet"/>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9" w15:restartNumberingAfterBreak="0">
    <w:nsid w:val="1F511889"/>
    <w:multiLevelType w:val="multilevel"/>
    <w:tmpl w:val="EC6C7DC8"/>
    <w:lvl w:ilvl="0">
      <w:start w:val="2"/>
      <w:numFmt w:val="decimal"/>
      <w:lvlText w:val="%1."/>
      <w:lvlJc w:val="left"/>
      <w:pPr>
        <w:ind w:left="375" w:hanging="37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0755021"/>
    <w:multiLevelType w:val="multilevel"/>
    <w:tmpl w:val="20755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A707DA"/>
    <w:multiLevelType w:val="hybridMultilevel"/>
    <w:tmpl w:val="E7566F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AD5C9D"/>
    <w:multiLevelType w:val="multilevel"/>
    <w:tmpl w:val="862A8F70"/>
    <w:lvl w:ilvl="0">
      <w:start w:val="1"/>
      <w:numFmt w:val="decimal"/>
      <w:pStyle w:val="a"/>
      <w:lvlText w:val="%1."/>
      <w:lvlJc w:val="right"/>
      <w:pPr>
        <w:ind w:left="360" w:hanging="360"/>
      </w:pPr>
      <w:rPr>
        <w:rFonts w:hint="default"/>
      </w:rPr>
    </w:lvl>
    <w:lvl w:ilvl="1">
      <w:start w:val="1"/>
      <w:numFmt w:val="decimal"/>
      <w:pStyle w:val="a0"/>
      <w:lvlText w:val="%1.%2."/>
      <w:lvlJc w:val="left"/>
      <w:pPr>
        <w:ind w:left="1062" w:hanging="432"/>
      </w:pPr>
      <w:rPr>
        <w:rFonts w:hint="default"/>
        <w:sz w:val="28"/>
        <w:szCs w:val="28"/>
      </w:rPr>
    </w:lvl>
    <w:lvl w:ilvl="2">
      <w:start w:val="1"/>
      <w:numFmt w:val="decimal"/>
      <w:pStyle w:val="a1"/>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4C13DF6"/>
    <w:multiLevelType w:val="multilevel"/>
    <w:tmpl w:val="4F5A80D2"/>
    <w:lvl w:ilvl="0">
      <w:start w:val="1"/>
      <w:numFmt w:val="decimal"/>
      <w:lvlText w:val="Գլուխ %1."/>
      <w:lvlJc w:val="left"/>
      <w:pPr>
        <w:ind w:left="8866" w:hanging="360"/>
      </w:pPr>
      <w:rPr>
        <w:rFonts w:ascii="GHEA Grapalat" w:hAnsi="GHEA Grapalat" w:hint="default"/>
        <w:b/>
        <w:i w:val="0"/>
        <w:sz w:val="26"/>
        <w:szCs w:val="26"/>
      </w:rPr>
    </w:lvl>
    <w:lvl w:ilvl="1">
      <w:start w:val="1"/>
      <w:numFmt w:val="decimal"/>
      <w:lvlText w:val="%1.%2."/>
      <w:lvlJc w:val="left"/>
      <w:pPr>
        <w:ind w:left="9080" w:hanging="432"/>
      </w:pPr>
      <w:rPr>
        <w:b/>
        <w:bCs w:val="0"/>
      </w:rPr>
    </w:lvl>
    <w:lvl w:ilvl="2">
      <w:start w:val="1"/>
      <w:numFmt w:val="decimal"/>
      <w:lvlText w:val="%1.%2.%3."/>
      <w:lvlJc w:val="left"/>
      <w:pPr>
        <w:ind w:left="9162" w:hanging="504"/>
      </w:pPr>
    </w:lvl>
    <w:lvl w:ilvl="3">
      <w:start w:val="1"/>
      <w:numFmt w:val="decimal"/>
      <w:lvlText w:val="%1.%2.%3.%4."/>
      <w:lvlJc w:val="left"/>
      <w:pPr>
        <w:ind w:left="9666" w:hanging="648"/>
      </w:pPr>
    </w:lvl>
    <w:lvl w:ilvl="4">
      <w:start w:val="1"/>
      <w:numFmt w:val="decimal"/>
      <w:lvlText w:val="%1.%2.%3.%4.%5."/>
      <w:lvlJc w:val="left"/>
      <w:pPr>
        <w:ind w:left="10170" w:hanging="792"/>
      </w:pPr>
    </w:lvl>
    <w:lvl w:ilvl="5">
      <w:start w:val="1"/>
      <w:numFmt w:val="decimal"/>
      <w:lvlText w:val="%1.%2.%3.%4.%5.%6."/>
      <w:lvlJc w:val="left"/>
      <w:pPr>
        <w:ind w:left="10674" w:hanging="936"/>
      </w:pPr>
    </w:lvl>
    <w:lvl w:ilvl="6">
      <w:start w:val="1"/>
      <w:numFmt w:val="decimal"/>
      <w:lvlText w:val="%1.%2.%3.%4.%5.%6.%7."/>
      <w:lvlJc w:val="left"/>
      <w:pPr>
        <w:ind w:left="11178" w:hanging="1080"/>
      </w:pPr>
    </w:lvl>
    <w:lvl w:ilvl="7">
      <w:start w:val="1"/>
      <w:numFmt w:val="decimal"/>
      <w:lvlText w:val="%1.%2.%3.%4.%5.%6.%7.%8."/>
      <w:lvlJc w:val="left"/>
      <w:pPr>
        <w:ind w:left="11682" w:hanging="1224"/>
      </w:pPr>
    </w:lvl>
    <w:lvl w:ilvl="8">
      <w:start w:val="1"/>
      <w:numFmt w:val="decimal"/>
      <w:lvlText w:val="%1.%2.%3.%4.%5.%6.%7.%8.%9."/>
      <w:lvlJc w:val="left"/>
      <w:pPr>
        <w:ind w:left="12258" w:hanging="1440"/>
      </w:pPr>
    </w:lvl>
  </w:abstractNum>
  <w:abstractNum w:abstractNumId="24" w15:restartNumberingAfterBreak="0">
    <w:nsid w:val="26AF3749"/>
    <w:multiLevelType w:val="multilevel"/>
    <w:tmpl w:val="26AF3749"/>
    <w:lvl w:ilvl="0">
      <w:start w:val="1"/>
      <w:numFmt w:val="bullet"/>
      <w:lvlText w:val="-"/>
      <w:lvlJc w:val="left"/>
      <w:pPr>
        <w:tabs>
          <w:tab w:val="left" w:pos="9008"/>
        </w:tabs>
        <w:ind w:left="9008" w:hanging="360"/>
      </w:pPr>
      <w:rPr>
        <w:rFonts w:ascii="Times Armenian" w:eastAsia="Times New Roman" w:hAnsi="Times Armenian" w:cs="Times New Roman" w:hint="default"/>
        <w:b w:val="0"/>
      </w:rPr>
    </w:lvl>
    <w:lvl w:ilvl="1">
      <w:start w:val="1"/>
      <w:numFmt w:val="bullet"/>
      <w:lvlText w:val="o"/>
      <w:lvlJc w:val="left"/>
      <w:pPr>
        <w:tabs>
          <w:tab w:val="left" w:pos="1440"/>
        </w:tabs>
        <w:ind w:left="1440" w:hanging="360"/>
      </w:pPr>
      <w:rPr>
        <w:rFonts w:ascii="Courier New" w:hAnsi="Courier New" w:cs="Arial Armeni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Armeni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Armeni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2C0D17E8"/>
    <w:multiLevelType w:val="multilevel"/>
    <w:tmpl w:val="2C0D17E8"/>
    <w:lvl w:ilvl="0">
      <w:start w:val="110"/>
      <w:numFmt w:val="bullet"/>
      <w:pStyle w:val="ListBullet2"/>
      <w:lvlText w:val="-"/>
      <w:lvlJc w:val="left"/>
      <w:pPr>
        <w:tabs>
          <w:tab w:val="left" w:pos="1575"/>
        </w:tabs>
        <w:ind w:left="1575" w:hanging="975"/>
      </w:pPr>
      <w:rPr>
        <w:rFonts w:ascii="Times Armenian" w:eastAsia="Times New Roman" w:hAnsi="Times Armenian" w:cs="Times New Roman" w:hint="default"/>
      </w:rPr>
    </w:lvl>
    <w:lvl w:ilvl="1">
      <w:start w:val="1"/>
      <w:numFmt w:val="bullet"/>
      <w:lvlText w:val="o"/>
      <w:lvlJc w:val="left"/>
      <w:pPr>
        <w:tabs>
          <w:tab w:val="left" w:pos="1680"/>
        </w:tabs>
        <w:ind w:left="1680" w:hanging="360"/>
      </w:pPr>
      <w:rPr>
        <w:rFonts w:ascii="Courier New" w:hAnsi="Courier New" w:cs="Courier New" w:hint="default"/>
      </w:rPr>
    </w:lvl>
    <w:lvl w:ilvl="2">
      <w:start w:val="1"/>
      <w:numFmt w:val="bullet"/>
      <w:lvlText w:val=""/>
      <w:lvlJc w:val="left"/>
      <w:pPr>
        <w:tabs>
          <w:tab w:val="left" w:pos="2400"/>
        </w:tabs>
        <w:ind w:left="2400" w:hanging="360"/>
      </w:pPr>
      <w:rPr>
        <w:rFonts w:ascii="Wingdings" w:hAnsi="Wingdings" w:hint="default"/>
      </w:rPr>
    </w:lvl>
    <w:lvl w:ilvl="3">
      <w:start w:val="1"/>
      <w:numFmt w:val="bullet"/>
      <w:lvlText w:val=""/>
      <w:lvlJc w:val="left"/>
      <w:pPr>
        <w:tabs>
          <w:tab w:val="left" w:pos="3120"/>
        </w:tabs>
        <w:ind w:left="3120" w:hanging="360"/>
      </w:pPr>
      <w:rPr>
        <w:rFonts w:ascii="Symbol" w:hAnsi="Symbol" w:hint="default"/>
      </w:rPr>
    </w:lvl>
    <w:lvl w:ilvl="4">
      <w:start w:val="1"/>
      <w:numFmt w:val="bullet"/>
      <w:lvlText w:val="o"/>
      <w:lvlJc w:val="left"/>
      <w:pPr>
        <w:tabs>
          <w:tab w:val="left" w:pos="3840"/>
        </w:tabs>
        <w:ind w:left="3840" w:hanging="360"/>
      </w:pPr>
      <w:rPr>
        <w:rFonts w:ascii="Courier New" w:hAnsi="Courier New" w:cs="Courier New" w:hint="default"/>
      </w:rPr>
    </w:lvl>
    <w:lvl w:ilvl="5">
      <w:start w:val="1"/>
      <w:numFmt w:val="bullet"/>
      <w:lvlText w:val=""/>
      <w:lvlJc w:val="left"/>
      <w:pPr>
        <w:tabs>
          <w:tab w:val="left" w:pos="4560"/>
        </w:tabs>
        <w:ind w:left="4560" w:hanging="360"/>
      </w:pPr>
      <w:rPr>
        <w:rFonts w:ascii="Wingdings" w:hAnsi="Wingdings" w:hint="default"/>
      </w:rPr>
    </w:lvl>
    <w:lvl w:ilvl="6">
      <w:start w:val="1"/>
      <w:numFmt w:val="bullet"/>
      <w:lvlText w:val=""/>
      <w:lvlJc w:val="left"/>
      <w:pPr>
        <w:tabs>
          <w:tab w:val="left" w:pos="5280"/>
        </w:tabs>
        <w:ind w:left="5280" w:hanging="360"/>
      </w:pPr>
      <w:rPr>
        <w:rFonts w:ascii="Symbol" w:hAnsi="Symbol" w:hint="default"/>
      </w:rPr>
    </w:lvl>
    <w:lvl w:ilvl="7">
      <w:start w:val="1"/>
      <w:numFmt w:val="bullet"/>
      <w:lvlText w:val="o"/>
      <w:lvlJc w:val="left"/>
      <w:pPr>
        <w:tabs>
          <w:tab w:val="left" w:pos="6000"/>
        </w:tabs>
        <w:ind w:left="6000" w:hanging="360"/>
      </w:pPr>
      <w:rPr>
        <w:rFonts w:ascii="Courier New" w:hAnsi="Courier New" w:cs="Courier New" w:hint="default"/>
      </w:rPr>
    </w:lvl>
    <w:lvl w:ilvl="8">
      <w:start w:val="1"/>
      <w:numFmt w:val="bullet"/>
      <w:lvlText w:val=""/>
      <w:lvlJc w:val="left"/>
      <w:pPr>
        <w:tabs>
          <w:tab w:val="left" w:pos="6720"/>
        </w:tabs>
        <w:ind w:left="6720" w:hanging="360"/>
      </w:pPr>
      <w:rPr>
        <w:rFonts w:ascii="Wingdings" w:hAnsi="Wingdings" w:hint="default"/>
      </w:rPr>
    </w:lvl>
  </w:abstractNum>
  <w:abstractNum w:abstractNumId="26" w15:restartNumberingAfterBreak="0">
    <w:nsid w:val="2C5E40CC"/>
    <w:multiLevelType w:val="multilevel"/>
    <w:tmpl w:val="2C5E40CC"/>
    <w:lvl w:ilvl="0">
      <w:numFmt w:val="bullet"/>
      <w:lvlText w:val="-"/>
      <w:lvlJc w:val="left"/>
      <w:pPr>
        <w:ind w:left="1080" w:hanging="360"/>
      </w:pPr>
      <w:rPr>
        <w:rFonts w:ascii="Cambria Math" w:eastAsia="Times New Roman" w:hAnsi="Cambria Math"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2EC57CAF"/>
    <w:multiLevelType w:val="multilevel"/>
    <w:tmpl w:val="86E8E9A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42235AC"/>
    <w:multiLevelType w:val="hybridMultilevel"/>
    <w:tmpl w:val="4F4A4EE6"/>
    <w:lvl w:ilvl="0" w:tplc="04090001">
      <w:start w:val="1"/>
      <w:numFmt w:val="bullet"/>
      <w:lvlText w:val=""/>
      <w:lvlJc w:val="left"/>
      <w:pPr>
        <w:ind w:left="1440" w:hanging="360"/>
      </w:pPr>
      <w:rPr>
        <w:rFonts w:ascii="Symbol" w:hAnsi="Symbol" w:hint="default"/>
      </w:rPr>
    </w:lvl>
    <w:lvl w:ilvl="1" w:tplc="4FEEEB46">
      <w:start w:val="1"/>
      <w:numFmt w:val="bullet"/>
      <w:lvlText w:val="-"/>
      <w:lvlJc w:val="left"/>
      <w:pPr>
        <w:ind w:left="2160" w:hanging="360"/>
      </w:pPr>
      <w:rPr>
        <w:rFonts w:ascii="MS Reference Sans Serif" w:hAnsi="MS Reference Sans Serif"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36895908"/>
    <w:multiLevelType w:val="multilevel"/>
    <w:tmpl w:val="368959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8B70647"/>
    <w:multiLevelType w:val="multilevel"/>
    <w:tmpl w:val="38B70647"/>
    <w:lvl w:ilvl="0">
      <w:start w:val="1"/>
      <w:numFmt w:val="decimal"/>
      <w:pStyle w:val="StyleGHEAGrapalatJustifiedBefore12p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8D45687"/>
    <w:multiLevelType w:val="multilevel"/>
    <w:tmpl w:val="4B34604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a2"/>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3BD75F1D"/>
    <w:multiLevelType w:val="hybridMultilevel"/>
    <w:tmpl w:val="A90CB496"/>
    <w:lvl w:ilvl="0" w:tplc="865009B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D936805"/>
    <w:multiLevelType w:val="multilevel"/>
    <w:tmpl w:val="3D9368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E0D40F5"/>
    <w:multiLevelType w:val="hybridMultilevel"/>
    <w:tmpl w:val="EBA60766"/>
    <w:lvl w:ilvl="0" w:tplc="04090001">
      <w:start w:val="1"/>
      <w:numFmt w:val="bullet"/>
      <w:lvlText w:val=""/>
      <w:lvlJc w:val="left"/>
      <w:pPr>
        <w:tabs>
          <w:tab w:val="num" w:pos="480"/>
        </w:tabs>
        <w:ind w:left="4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nsolas" w:hAnsi="Consola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nsolas" w:hAnsi="Consola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nsolas" w:hAnsi="Consola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793821"/>
    <w:multiLevelType w:val="hybridMultilevel"/>
    <w:tmpl w:val="355C92D4"/>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nsolas" w:hAnsi="Consolas"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nsolas" w:hAnsi="Consolas"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nsolas" w:hAnsi="Consolas"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3FD92906"/>
    <w:multiLevelType w:val="hybridMultilevel"/>
    <w:tmpl w:val="EC62FA08"/>
    <w:lvl w:ilvl="0" w:tplc="55B69B90">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13714AE"/>
    <w:multiLevelType w:val="hybridMultilevel"/>
    <w:tmpl w:val="F3466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2A329F3"/>
    <w:multiLevelType w:val="multilevel"/>
    <w:tmpl w:val="42A329F3"/>
    <w:lvl w:ilvl="0">
      <w:start w:val="1"/>
      <w:numFmt w:val="decimal"/>
      <w:pStyle w:val="StyleGHEAGrapalatJustifiedAfter6ptLinespacingMultip"/>
      <w:lvlText w:val="%1)"/>
      <w:lvlJc w:val="left"/>
      <w:pPr>
        <w:ind w:left="1008" w:hanging="360"/>
      </w:pPr>
    </w:lvl>
    <w:lvl w:ilvl="1">
      <w:start w:val="7"/>
      <w:numFmt w:val="decimal"/>
      <w:lvlText w:val="%2."/>
      <w:lvlJc w:val="left"/>
      <w:pPr>
        <w:tabs>
          <w:tab w:val="left" w:pos="1728"/>
        </w:tabs>
        <w:ind w:left="1728" w:hanging="360"/>
      </w:pPr>
      <w:rPr>
        <w:rFonts w:hint="default"/>
      </w:rPr>
    </w:lvl>
    <w:lvl w:ilvl="2">
      <w:start w:val="1"/>
      <w:numFmt w:val="lowerRoman"/>
      <w:lvlText w:val="%3."/>
      <w:lvlJc w:val="right"/>
      <w:pPr>
        <w:ind w:left="2448" w:hanging="180"/>
      </w:pPr>
    </w:lvl>
    <w:lvl w:ilvl="3">
      <w:start w:val="1"/>
      <w:numFmt w:val="decimal"/>
      <w:lvlText w:val="%4."/>
      <w:lvlJc w:val="left"/>
      <w:pPr>
        <w:ind w:left="3168" w:hanging="360"/>
      </w:pPr>
    </w:lvl>
    <w:lvl w:ilvl="4">
      <w:start w:val="1"/>
      <w:numFmt w:val="lowerLetter"/>
      <w:lvlText w:val="%5."/>
      <w:lvlJc w:val="left"/>
      <w:pPr>
        <w:ind w:left="3888" w:hanging="360"/>
      </w:pPr>
    </w:lvl>
    <w:lvl w:ilvl="5">
      <w:start w:val="1"/>
      <w:numFmt w:val="lowerRoman"/>
      <w:lvlText w:val="%6."/>
      <w:lvlJc w:val="right"/>
      <w:pPr>
        <w:ind w:left="4608" w:hanging="180"/>
      </w:pPr>
    </w:lvl>
    <w:lvl w:ilvl="6">
      <w:start w:val="1"/>
      <w:numFmt w:val="decimal"/>
      <w:lvlText w:val="%7."/>
      <w:lvlJc w:val="left"/>
      <w:pPr>
        <w:ind w:left="5328" w:hanging="360"/>
      </w:pPr>
    </w:lvl>
    <w:lvl w:ilvl="7">
      <w:start w:val="1"/>
      <w:numFmt w:val="lowerLetter"/>
      <w:lvlText w:val="%8."/>
      <w:lvlJc w:val="left"/>
      <w:pPr>
        <w:ind w:left="6048" w:hanging="360"/>
      </w:pPr>
    </w:lvl>
    <w:lvl w:ilvl="8">
      <w:start w:val="1"/>
      <w:numFmt w:val="lowerRoman"/>
      <w:lvlText w:val="%9."/>
      <w:lvlJc w:val="right"/>
      <w:pPr>
        <w:ind w:left="6768" w:hanging="180"/>
      </w:pPr>
    </w:lvl>
  </w:abstractNum>
  <w:abstractNum w:abstractNumId="39" w15:restartNumberingAfterBreak="0">
    <w:nsid w:val="44857514"/>
    <w:multiLevelType w:val="hybridMultilevel"/>
    <w:tmpl w:val="CDBC651C"/>
    <w:lvl w:ilvl="0" w:tplc="3998D056">
      <w:start w:val="1"/>
      <w:numFmt w:val="decimal"/>
      <w:lvlText w:val="Գծապատկեր %1."/>
      <w:lvlJc w:val="left"/>
      <w:pPr>
        <w:ind w:left="720" w:hanging="360"/>
      </w:pPr>
      <w:rPr>
        <w:rFonts w:hint="default"/>
        <w:color w:val="auto"/>
        <w:sz w:val="24"/>
        <w:szCs w:val="24"/>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65A38FD"/>
    <w:multiLevelType w:val="hybridMultilevel"/>
    <w:tmpl w:val="F5625D20"/>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6A60E9F"/>
    <w:multiLevelType w:val="multilevel"/>
    <w:tmpl w:val="46A60E9F"/>
    <w:lvl w:ilvl="0">
      <w:start w:val="5"/>
      <w:numFmt w:val="decimal"/>
      <w:lvlText w:val="%1."/>
      <w:lvlJc w:val="left"/>
      <w:pPr>
        <w:ind w:left="1066" w:hanging="360"/>
      </w:pPr>
      <w:rPr>
        <w:rFonts w:cs="Arial" w:hint="default"/>
        <w:b/>
      </w:rPr>
    </w:lvl>
    <w:lvl w:ilvl="1">
      <w:start w:val="1"/>
      <w:numFmt w:val="lowerLetter"/>
      <w:lvlText w:val="%2."/>
      <w:lvlJc w:val="left"/>
      <w:pPr>
        <w:ind w:left="1786" w:hanging="360"/>
      </w:pPr>
    </w:lvl>
    <w:lvl w:ilvl="2">
      <w:start w:val="1"/>
      <w:numFmt w:val="lowerRoman"/>
      <w:lvlText w:val="%3."/>
      <w:lvlJc w:val="right"/>
      <w:pPr>
        <w:ind w:left="2506" w:hanging="180"/>
      </w:pPr>
    </w:lvl>
    <w:lvl w:ilvl="3">
      <w:start w:val="1"/>
      <w:numFmt w:val="decimal"/>
      <w:lvlText w:val="%4."/>
      <w:lvlJc w:val="left"/>
      <w:pPr>
        <w:ind w:left="3226" w:hanging="360"/>
      </w:pPr>
    </w:lvl>
    <w:lvl w:ilvl="4">
      <w:start w:val="1"/>
      <w:numFmt w:val="lowerLetter"/>
      <w:lvlText w:val="%5."/>
      <w:lvlJc w:val="left"/>
      <w:pPr>
        <w:ind w:left="3946" w:hanging="360"/>
      </w:pPr>
    </w:lvl>
    <w:lvl w:ilvl="5">
      <w:start w:val="1"/>
      <w:numFmt w:val="lowerRoman"/>
      <w:lvlText w:val="%6."/>
      <w:lvlJc w:val="right"/>
      <w:pPr>
        <w:ind w:left="4666" w:hanging="180"/>
      </w:pPr>
    </w:lvl>
    <w:lvl w:ilvl="6">
      <w:start w:val="1"/>
      <w:numFmt w:val="decimal"/>
      <w:lvlText w:val="%7."/>
      <w:lvlJc w:val="left"/>
      <w:pPr>
        <w:ind w:left="5386" w:hanging="360"/>
      </w:pPr>
    </w:lvl>
    <w:lvl w:ilvl="7">
      <w:start w:val="1"/>
      <w:numFmt w:val="lowerLetter"/>
      <w:lvlText w:val="%8."/>
      <w:lvlJc w:val="left"/>
      <w:pPr>
        <w:ind w:left="6106" w:hanging="360"/>
      </w:pPr>
    </w:lvl>
    <w:lvl w:ilvl="8">
      <w:start w:val="1"/>
      <w:numFmt w:val="lowerRoman"/>
      <w:lvlText w:val="%9."/>
      <w:lvlJc w:val="right"/>
      <w:pPr>
        <w:ind w:left="6826" w:hanging="180"/>
      </w:pPr>
    </w:lvl>
  </w:abstractNum>
  <w:abstractNum w:abstractNumId="42" w15:restartNumberingAfterBreak="0">
    <w:nsid w:val="4728094A"/>
    <w:multiLevelType w:val="hybridMultilevel"/>
    <w:tmpl w:val="2ADCA4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79E327F"/>
    <w:multiLevelType w:val="hybridMultilevel"/>
    <w:tmpl w:val="F512520E"/>
    <w:lvl w:ilvl="0" w:tplc="87E86318">
      <w:numFmt w:val="bullet"/>
      <w:lvlText w:val="-"/>
      <w:lvlJc w:val="left"/>
      <w:pPr>
        <w:ind w:left="718" w:hanging="360"/>
      </w:pPr>
      <w:rPr>
        <w:rFonts w:ascii="GHEA Grapalat" w:eastAsia="Times New Roman" w:hAnsi="GHEA Grapalat" w:cs="Sylfaen"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44" w15:restartNumberingAfterBreak="0">
    <w:nsid w:val="4F8B4BBF"/>
    <w:multiLevelType w:val="hybridMultilevel"/>
    <w:tmpl w:val="4D4CDFE4"/>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5" w15:restartNumberingAfterBreak="0">
    <w:nsid w:val="524D0ED6"/>
    <w:multiLevelType w:val="hybridMultilevel"/>
    <w:tmpl w:val="A2DAF0E2"/>
    <w:lvl w:ilvl="0" w:tplc="4A3EAB78">
      <w:numFmt w:val="bullet"/>
      <w:lvlText w:val="-"/>
      <w:lvlJc w:val="left"/>
      <w:pPr>
        <w:ind w:left="720" w:hanging="360"/>
      </w:pPr>
      <w:rPr>
        <w:rFonts w:ascii="Arial LatArm" w:eastAsia="Times New Roman" w:hAnsi="Arial LatArm"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E65301"/>
    <w:multiLevelType w:val="hybridMultilevel"/>
    <w:tmpl w:val="4DF8768E"/>
    <w:lvl w:ilvl="0" w:tplc="8C6C9F64">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56247228"/>
    <w:multiLevelType w:val="multilevel"/>
    <w:tmpl w:val="56247228"/>
    <w:lvl w:ilvl="0">
      <w:numFmt w:val="bullet"/>
      <w:pStyle w:val="a3"/>
      <w:lvlText w:val="-"/>
      <w:lvlJc w:val="left"/>
      <w:pPr>
        <w:tabs>
          <w:tab w:val="left" w:pos="360"/>
        </w:tabs>
        <w:ind w:left="0" w:firstLine="0"/>
      </w:pPr>
      <w:rPr>
        <w:rFonts w:ascii="Times Armenian" w:eastAsia="Times New Roman" w:hAnsi="Times Armenian" w:cs="Times New Roman"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8981591"/>
    <w:multiLevelType w:val="multilevel"/>
    <w:tmpl w:val="58981591"/>
    <w:lvl w:ilvl="0">
      <w:start w:val="1"/>
      <w:numFmt w:val="bullet"/>
      <w:pStyle w:val="ListDash"/>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58C13503"/>
    <w:multiLevelType w:val="hybridMultilevel"/>
    <w:tmpl w:val="DA06CEA8"/>
    <w:lvl w:ilvl="0" w:tplc="87E86318">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B0F2997"/>
    <w:multiLevelType w:val="multilevel"/>
    <w:tmpl w:val="5B0F2997"/>
    <w:lvl w:ilvl="0">
      <w:start w:val="1"/>
      <w:numFmt w:val="bullet"/>
      <w:pStyle w:val="CM31"/>
      <w:lvlText w:val=""/>
      <w:lvlJc w:val="left"/>
      <w:pPr>
        <w:tabs>
          <w:tab w:val="left" w:pos="1429"/>
        </w:tabs>
        <w:ind w:left="1429" w:hanging="360"/>
      </w:pPr>
      <w:rPr>
        <w:rFonts w:ascii="Symbol" w:hAnsi="Symbol"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51" w15:restartNumberingAfterBreak="0">
    <w:nsid w:val="5B4826EC"/>
    <w:multiLevelType w:val="hybridMultilevel"/>
    <w:tmpl w:val="D77AE4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B4A6EA8"/>
    <w:multiLevelType w:val="multilevel"/>
    <w:tmpl w:val="5B4A6EA8"/>
    <w:lvl w:ilvl="0">
      <w:start w:val="1"/>
      <w:numFmt w:val="decimal"/>
      <w:pStyle w:val="Numberedtext"/>
      <w:lvlText w:val="%1."/>
      <w:lvlJc w:val="left"/>
      <w:pPr>
        <w:tabs>
          <w:tab w:val="left" w:pos="1004"/>
        </w:tabs>
        <w:ind w:left="1004" w:hanging="284"/>
      </w:pPr>
      <w:rPr>
        <w:rFonts w:cs="Times New Roman" w:hint="default"/>
      </w:rPr>
    </w:lvl>
    <w:lvl w:ilvl="1">
      <w:start w:val="1"/>
      <w:numFmt w:val="lowerLetter"/>
      <w:lvlText w:val="%2."/>
      <w:lvlJc w:val="left"/>
      <w:pPr>
        <w:tabs>
          <w:tab w:val="left" w:pos="1287"/>
        </w:tabs>
        <w:ind w:left="1287" w:hanging="283"/>
      </w:pPr>
      <w:rPr>
        <w:rFonts w:cs="Times New Roman" w:hint="default"/>
      </w:rPr>
    </w:lvl>
    <w:lvl w:ilvl="2">
      <w:start w:val="1"/>
      <w:numFmt w:val="lowerRoman"/>
      <w:lvlText w:val="%3."/>
      <w:lvlJc w:val="left"/>
      <w:pPr>
        <w:tabs>
          <w:tab w:val="left" w:pos="1571"/>
        </w:tabs>
        <w:ind w:left="1571" w:hanging="284"/>
      </w:pPr>
      <w:rPr>
        <w:rFonts w:cs="Times New Roman" w:hint="default"/>
      </w:rPr>
    </w:lvl>
    <w:lvl w:ilvl="3">
      <w:start w:val="1"/>
      <w:numFmt w:val="none"/>
      <w:lvlText w:val=""/>
      <w:lvlJc w:val="left"/>
      <w:pPr>
        <w:tabs>
          <w:tab w:val="left" w:pos="1571"/>
        </w:tabs>
        <w:ind w:left="1571"/>
      </w:pPr>
      <w:rPr>
        <w:rFonts w:cs="Times New Roman" w:hint="default"/>
      </w:rPr>
    </w:lvl>
    <w:lvl w:ilvl="4">
      <w:start w:val="1"/>
      <w:numFmt w:val="none"/>
      <w:lvlText w:val=""/>
      <w:lvlJc w:val="left"/>
      <w:pPr>
        <w:tabs>
          <w:tab w:val="left" w:pos="1571"/>
        </w:tabs>
        <w:ind w:left="1571"/>
      </w:pPr>
      <w:rPr>
        <w:rFonts w:cs="Times New Roman" w:hint="default"/>
      </w:rPr>
    </w:lvl>
    <w:lvl w:ilvl="5">
      <w:start w:val="1"/>
      <w:numFmt w:val="none"/>
      <w:lvlText w:val=""/>
      <w:lvlJc w:val="left"/>
      <w:pPr>
        <w:tabs>
          <w:tab w:val="left" w:pos="1571"/>
        </w:tabs>
        <w:ind w:left="1571"/>
      </w:pPr>
      <w:rPr>
        <w:rFonts w:cs="Times New Roman" w:hint="default"/>
      </w:rPr>
    </w:lvl>
    <w:lvl w:ilvl="6">
      <w:start w:val="1"/>
      <w:numFmt w:val="none"/>
      <w:lvlText w:val=""/>
      <w:lvlJc w:val="left"/>
      <w:pPr>
        <w:tabs>
          <w:tab w:val="left" w:pos="1571"/>
        </w:tabs>
        <w:ind w:left="1571"/>
      </w:pPr>
      <w:rPr>
        <w:rFonts w:cs="Times New Roman" w:hint="default"/>
      </w:rPr>
    </w:lvl>
    <w:lvl w:ilvl="7">
      <w:start w:val="1"/>
      <w:numFmt w:val="none"/>
      <w:lvlText w:val=""/>
      <w:lvlJc w:val="left"/>
      <w:pPr>
        <w:tabs>
          <w:tab w:val="left" w:pos="1571"/>
        </w:tabs>
        <w:ind w:left="1571"/>
      </w:pPr>
      <w:rPr>
        <w:rFonts w:cs="Times New Roman" w:hint="default"/>
      </w:rPr>
    </w:lvl>
    <w:lvl w:ilvl="8">
      <w:start w:val="1"/>
      <w:numFmt w:val="none"/>
      <w:lvlRestart w:val="0"/>
      <w:lvlText w:val=""/>
      <w:lvlJc w:val="left"/>
      <w:pPr>
        <w:tabs>
          <w:tab w:val="left" w:pos="1571"/>
        </w:tabs>
        <w:ind w:left="1571"/>
      </w:pPr>
      <w:rPr>
        <w:rFonts w:cs="Times New Roman" w:hint="default"/>
      </w:rPr>
    </w:lvl>
  </w:abstractNum>
  <w:abstractNum w:abstractNumId="53" w15:restartNumberingAfterBreak="0">
    <w:nsid w:val="5DAB251E"/>
    <w:multiLevelType w:val="multilevel"/>
    <w:tmpl w:val="5DAB251E"/>
    <w:lvl w:ilvl="0">
      <w:start w:val="1"/>
      <w:numFmt w:val="bullet"/>
      <w:lvlText w:val=""/>
      <w:lvlJc w:val="left"/>
      <w:pPr>
        <w:ind w:left="1215" w:hanging="360"/>
      </w:pPr>
      <w:rPr>
        <w:rFonts w:ascii="Symbol" w:hAnsi="Symbol" w:hint="default"/>
      </w:rPr>
    </w:lvl>
    <w:lvl w:ilvl="1">
      <w:start w:val="1"/>
      <w:numFmt w:val="bullet"/>
      <w:lvlText w:val="o"/>
      <w:lvlJc w:val="left"/>
      <w:pPr>
        <w:ind w:left="1935" w:hanging="360"/>
      </w:pPr>
      <w:rPr>
        <w:rFonts w:ascii="Courier New" w:hAnsi="Courier New" w:cs="Courier New" w:hint="default"/>
      </w:rPr>
    </w:lvl>
    <w:lvl w:ilvl="2">
      <w:start w:val="1"/>
      <w:numFmt w:val="bullet"/>
      <w:lvlText w:val=""/>
      <w:lvlJc w:val="left"/>
      <w:pPr>
        <w:ind w:left="2655" w:hanging="360"/>
      </w:pPr>
      <w:rPr>
        <w:rFonts w:ascii="Wingdings" w:hAnsi="Wingdings" w:hint="default"/>
      </w:rPr>
    </w:lvl>
    <w:lvl w:ilvl="3">
      <w:start w:val="1"/>
      <w:numFmt w:val="bullet"/>
      <w:lvlText w:val=""/>
      <w:lvlJc w:val="left"/>
      <w:pPr>
        <w:ind w:left="3375" w:hanging="360"/>
      </w:pPr>
      <w:rPr>
        <w:rFonts w:ascii="Symbol" w:hAnsi="Symbol" w:hint="default"/>
      </w:rPr>
    </w:lvl>
    <w:lvl w:ilvl="4">
      <w:start w:val="1"/>
      <w:numFmt w:val="bullet"/>
      <w:lvlText w:val="o"/>
      <w:lvlJc w:val="left"/>
      <w:pPr>
        <w:ind w:left="4095" w:hanging="360"/>
      </w:pPr>
      <w:rPr>
        <w:rFonts w:ascii="Courier New" w:hAnsi="Courier New" w:cs="Courier New" w:hint="default"/>
      </w:rPr>
    </w:lvl>
    <w:lvl w:ilvl="5">
      <w:start w:val="1"/>
      <w:numFmt w:val="bullet"/>
      <w:lvlText w:val=""/>
      <w:lvlJc w:val="left"/>
      <w:pPr>
        <w:ind w:left="4815" w:hanging="360"/>
      </w:pPr>
      <w:rPr>
        <w:rFonts w:ascii="Wingdings" w:hAnsi="Wingdings" w:hint="default"/>
      </w:rPr>
    </w:lvl>
    <w:lvl w:ilvl="6">
      <w:start w:val="1"/>
      <w:numFmt w:val="bullet"/>
      <w:lvlText w:val=""/>
      <w:lvlJc w:val="left"/>
      <w:pPr>
        <w:ind w:left="5535" w:hanging="360"/>
      </w:pPr>
      <w:rPr>
        <w:rFonts w:ascii="Symbol" w:hAnsi="Symbol" w:hint="default"/>
      </w:rPr>
    </w:lvl>
    <w:lvl w:ilvl="7">
      <w:start w:val="1"/>
      <w:numFmt w:val="bullet"/>
      <w:lvlText w:val="o"/>
      <w:lvlJc w:val="left"/>
      <w:pPr>
        <w:ind w:left="6255" w:hanging="360"/>
      </w:pPr>
      <w:rPr>
        <w:rFonts w:ascii="Courier New" w:hAnsi="Courier New" w:cs="Courier New" w:hint="default"/>
      </w:rPr>
    </w:lvl>
    <w:lvl w:ilvl="8">
      <w:start w:val="1"/>
      <w:numFmt w:val="bullet"/>
      <w:lvlText w:val=""/>
      <w:lvlJc w:val="left"/>
      <w:pPr>
        <w:ind w:left="6975" w:hanging="360"/>
      </w:pPr>
      <w:rPr>
        <w:rFonts w:ascii="Wingdings" w:hAnsi="Wingdings" w:hint="default"/>
      </w:rPr>
    </w:lvl>
  </w:abstractNum>
  <w:abstractNum w:abstractNumId="54" w15:restartNumberingAfterBreak="0">
    <w:nsid w:val="5F7C6FDB"/>
    <w:multiLevelType w:val="multilevel"/>
    <w:tmpl w:val="5F7C6FDB"/>
    <w:lvl w:ilvl="0">
      <w:start w:val="1"/>
      <w:numFmt w:val="decimal"/>
      <w:pStyle w:val="BodyText1"/>
      <w:lvlText w:val="%1."/>
      <w:lvlJc w:val="left"/>
      <w:pPr>
        <w:tabs>
          <w:tab w:val="left" w:pos="0"/>
        </w:tabs>
        <w:ind w:left="0" w:firstLine="0"/>
      </w:pPr>
      <w:rPr>
        <w:rFonts w:hint="default"/>
      </w:rPr>
    </w:lvl>
    <w:lvl w:ilvl="1">
      <w:start w:val="1"/>
      <w:numFmt w:val="lowerLetter"/>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63FE55BC"/>
    <w:multiLevelType w:val="hybridMultilevel"/>
    <w:tmpl w:val="E1F4075E"/>
    <w:lvl w:ilvl="0" w:tplc="FBD83468">
      <w:start w:val="1"/>
      <w:numFmt w:val="decimal"/>
      <w:lvlText w:val="%1)"/>
      <w:lvlJc w:val="left"/>
      <w:pPr>
        <w:ind w:left="855" w:hanging="360"/>
      </w:pPr>
      <w:rPr>
        <w:rFonts w:ascii="GHEA Grapalat" w:eastAsia="Times New Roman" w:hAnsi="GHEA Grapalat" w:cs="Times New Roman"/>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56" w15:restartNumberingAfterBreak="0">
    <w:nsid w:val="67D47274"/>
    <w:multiLevelType w:val="multilevel"/>
    <w:tmpl w:val="67D47274"/>
    <w:lvl w:ilvl="0">
      <w:start w:val="1"/>
      <w:numFmt w:val="decimal"/>
      <w:lvlText w:val="%1."/>
      <w:lvlJc w:val="left"/>
      <w:pPr>
        <w:ind w:left="72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84565AF"/>
    <w:multiLevelType w:val="hybridMultilevel"/>
    <w:tmpl w:val="027E15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15:restartNumberingAfterBreak="0">
    <w:nsid w:val="68AC5AA9"/>
    <w:multiLevelType w:val="hybridMultilevel"/>
    <w:tmpl w:val="8FA8CD6E"/>
    <w:lvl w:ilvl="0" w:tplc="71F082C8">
      <w:start w:val="1"/>
      <w:numFmt w:val="bullet"/>
      <w:lvlText w:val=""/>
      <w:lvlJc w:val="left"/>
      <w:pPr>
        <w:ind w:left="2007" w:hanging="360"/>
      </w:pPr>
      <w:rPr>
        <w:rFonts w:ascii="Wingdings" w:hAnsi="Wingdings" w:hint="default"/>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abstractNum w:abstractNumId="59" w15:restartNumberingAfterBreak="0">
    <w:nsid w:val="6ABB4524"/>
    <w:multiLevelType w:val="multilevel"/>
    <w:tmpl w:val="6ABB4524"/>
    <w:lvl w:ilvl="0">
      <w:start w:val="1"/>
      <w:numFmt w:val="bullet"/>
      <w:pStyle w:val="Bullet"/>
      <w:lvlText w:val=""/>
      <w:lvlJc w:val="left"/>
      <w:pPr>
        <w:tabs>
          <w:tab w:val="left" w:pos="720"/>
        </w:tabs>
        <w:ind w:left="720" w:hanging="360"/>
      </w:pPr>
      <w:rPr>
        <w:rFonts w:ascii="Symbol"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Times New Roman" w:hint="default"/>
      </w:rPr>
    </w:lvl>
    <w:lvl w:ilvl="3">
      <w:start w:val="1"/>
      <w:numFmt w:val="bullet"/>
      <w:lvlText w:val=""/>
      <w:lvlJc w:val="left"/>
      <w:pPr>
        <w:tabs>
          <w:tab w:val="left" w:pos="2880"/>
        </w:tabs>
        <w:ind w:left="2880" w:hanging="360"/>
      </w:pPr>
      <w:rPr>
        <w:rFonts w:ascii="Symbol" w:hAnsi="Symbol" w:cs="Times New Roman"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Times New Roman" w:hint="default"/>
      </w:rPr>
    </w:lvl>
    <w:lvl w:ilvl="6">
      <w:start w:val="1"/>
      <w:numFmt w:val="bullet"/>
      <w:lvlText w:val=""/>
      <w:lvlJc w:val="left"/>
      <w:pPr>
        <w:tabs>
          <w:tab w:val="left" w:pos="5040"/>
        </w:tabs>
        <w:ind w:left="5040" w:hanging="360"/>
      </w:pPr>
      <w:rPr>
        <w:rFonts w:ascii="Symbol" w:hAnsi="Symbol" w:cs="Times New Roman"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Times New Roman" w:hint="default"/>
      </w:rPr>
    </w:lvl>
  </w:abstractNum>
  <w:abstractNum w:abstractNumId="60" w15:restartNumberingAfterBreak="0">
    <w:nsid w:val="70780DDC"/>
    <w:multiLevelType w:val="hybridMultilevel"/>
    <w:tmpl w:val="A4CCC222"/>
    <w:lvl w:ilvl="0" w:tplc="4A3EAB78">
      <w:numFmt w:val="bullet"/>
      <w:lvlText w:val="-"/>
      <w:lvlJc w:val="left"/>
      <w:pPr>
        <w:ind w:left="1287" w:hanging="360"/>
      </w:pPr>
      <w:rPr>
        <w:rFonts w:ascii="Arial LatArm" w:eastAsia="Times New Roman" w:hAnsi="Arial LatArm"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A47583E"/>
    <w:multiLevelType w:val="hybridMultilevel"/>
    <w:tmpl w:val="02B41A44"/>
    <w:lvl w:ilvl="0" w:tplc="0409000B">
      <w:start w:val="1"/>
      <w:numFmt w:val="bullet"/>
      <w:lvlText w:val=""/>
      <w:lvlJc w:val="left"/>
      <w:pPr>
        <w:ind w:left="786" w:hanging="360"/>
      </w:pPr>
      <w:rPr>
        <w:rFonts w:ascii="Wingdings" w:hAnsi="Wingdings"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num w:numId="1">
    <w:abstractNumId w:val="25"/>
  </w:num>
  <w:num w:numId="2">
    <w:abstractNumId w:val="1"/>
  </w:num>
  <w:num w:numId="3">
    <w:abstractNumId w:val="59"/>
  </w:num>
  <w:num w:numId="4">
    <w:abstractNumId w:val="54"/>
  </w:num>
  <w:num w:numId="5">
    <w:abstractNumId w:val="47"/>
  </w:num>
  <w:num w:numId="6">
    <w:abstractNumId w:val="48"/>
  </w:num>
  <w:num w:numId="7">
    <w:abstractNumId w:val="0"/>
  </w:num>
  <w:num w:numId="8">
    <w:abstractNumId w:val="50"/>
  </w:num>
  <w:num w:numId="9">
    <w:abstractNumId w:val="11"/>
  </w:num>
  <w:num w:numId="10">
    <w:abstractNumId w:val="3"/>
  </w:num>
  <w:num w:numId="11">
    <w:abstractNumId w:val="52"/>
  </w:num>
  <w:num w:numId="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num>
  <w:num w:numId="14">
    <w:abstractNumId w:val="7"/>
  </w:num>
  <w:num w:numId="15">
    <w:abstractNumId w:val="18"/>
  </w:num>
  <w:num w:numId="16">
    <w:abstractNumId w:val="33"/>
  </w:num>
  <w:num w:numId="17">
    <w:abstractNumId w:val="56"/>
  </w:num>
  <w:num w:numId="18">
    <w:abstractNumId w:val="41"/>
  </w:num>
  <w:num w:numId="19">
    <w:abstractNumId w:val="24"/>
  </w:num>
  <w:num w:numId="20">
    <w:abstractNumId w:val="5"/>
  </w:num>
  <w:num w:numId="21">
    <w:abstractNumId w:val="29"/>
  </w:num>
  <w:num w:numId="22">
    <w:abstractNumId w:val="13"/>
  </w:num>
  <w:num w:numId="23">
    <w:abstractNumId w:val="15"/>
  </w:num>
  <w:num w:numId="24">
    <w:abstractNumId w:val="6"/>
  </w:num>
  <w:num w:numId="25">
    <w:abstractNumId w:val="4"/>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num>
  <w:num w:numId="28">
    <w:abstractNumId w:val="53"/>
  </w:num>
  <w:num w:numId="29">
    <w:abstractNumId w:val="20"/>
  </w:num>
  <w:num w:numId="30">
    <w:abstractNumId w:val="14"/>
  </w:num>
  <w:num w:numId="31">
    <w:abstractNumId w:val="51"/>
  </w:num>
  <w:num w:numId="32">
    <w:abstractNumId w:val="37"/>
  </w:num>
  <w:num w:numId="33">
    <w:abstractNumId w:val="40"/>
  </w:num>
  <w:num w:numId="34">
    <w:abstractNumId w:val="17"/>
  </w:num>
  <w:num w:numId="35">
    <w:abstractNumId w:val="49"/>
  </w:num>
  <w:num w:numId="36">
    <w:abstractNumId w:val="43"/>
  </w:num>
  <w:num w:numId="37">
    <w:abstractNumId w:val="45"/>
  </w:num>
  <w:num w:numId="38">
    <w:abstractNumId w:val="60"/>
  </w:num>
  <w:num w:numId="39">
    <w:abstractNumId w:val="55"/>
  </w:num>
  <w:num w:numId="40">
    <w:abstractNumId w:val="57"/>
  </w:num>
  <w:num w:numId="41">
    <w:abstractNumId w:val="44"/>
  </w:num>
  <w:num w:numId="42">
    <w:abstractNumId w:val="21"/>
  </w:num>
  <w:num w:numId="43">
    <w:abstractNumId w:val="35"/>
  </w:num>
  <w:num w:numId="44">
    <w:abstractNumId w:val="34"/>
  </w:num>
  <w:num w:numId="45">
    <w:abstractNumId w:val="46"/>
  </w:num>
  <w:num w:numId="46">
    <w:abstractNumId w:val="28"/>
  </w:num>
  <w:num w:numId="47">
    <w:abstractNumId w:val="12"/>
  </w:num>
  <w:num w:numId="48">
    <w:abstractNumId w:val="32"/>
  </w:num>
  <w:num w:numId="49">
    <w:abstractNumId w:val="36"/>
  </w:num>
  <w:num w:numId="50">
    <w:abstractNumId w:val="22"/>
  </w:num>
  <w:num w:numId="51">
    <w:abstractNumId w:val="31"/>
  </w:num>
  <w:num w:numId="52">
    <w:abstractNumId w:val="58"/>
  </w:num>
  <w:num w:numId="53">
    <w:abstractNumId w:val="8"/>
  </w:num>
  <w:num w:numId="54">
    <w:abstractNumId w:val="9"/>
  </w:num>
  <w:num w:numId="55">
    <w:abstractNumId w:val="10"/>
  </w:num>
  <w:num w:numId="56">
    <w:abstractNumId w:val="19"/>
  </w:num>
  <w:num w:numId="57">
    <w:abstractNumId w:val="42"/>
  </w:num>
  <w:num w:numId="58">
    <w:abstractNumId w:val="61"/>
  </w:num>
  <w:num w:numId="59">
    <w:abstractNumId w:val="30"/>
  </w:num>
  <w:num w:numId="60">
    <w:abstractNumId w:val="39"/>
  </w:num>
  <w:num w:numId="61">
    <w:abstractNumId w:val="23"/>
  </w:num>
  <w:num w:numId="62">
    <w:abstractNumId w:val="2"/>
  </w:num>
  <w:num w:numId="63">
    <w:abstractNumId w:val="27"/>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27"/>
  <w:hyphenationZone w:val="141"/>
  <w:drawingGridHorizontalSpacing w:val="120"/>
  <w:displayHorizontalDrawingGridEvery w:val="2"/>
  <w:noPunctuationKerning/>
  <w:characterSpacingControl w:val="doNotCompress"/>
  <w:hdrShapeDefaults>
    <o:shapedefaults v:ext="edit" spidmax="1228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5D88"/>
    <w:rsid w:val="000005FE"/>
    <w:rsid w:val="000008C3"/>
    <w:rsid w:val="00000BD5"/>
    <w:rsid w:val="00001434"/>
    <w:rsid w:val="000024FA"/>
    <w:rsid w:val="00002C52"/>
    <w:rsid w:val="00002DCC"/>
    <w:rsid w:val="0000313E"/>
    <w:rsid w:val="000035F3"/>
    <w:rsid w:val="00003621"/>
    <w:rsid w:val="00003865"/>
    <w:rsid w:val="00003F59"/>
    <w:rsid w:val="00004370"/>
    <w:rsid w:val="000044C4"/>
    <w:rsid w:val="00004A96"/>
    <w:rsid w:val="00004AEC"/>
    <w:rsid w:val="000052BD"/>
    <w:rsid w:val="000055DF"/>
    <w:rsid w:val="0000644E"/>
    <w:rsid w:val="00006489"/>
    <w:rsid w:val="000064D0"/>
    <w:rsid w:val="00006CBF"/>
    <w:rsid w:val="00006D48"/>
    <w:rsid w:val="00006FCA"/>
    <w:rsid w:val="000072EB"/>
    <w:rsid w:val="00007732"/>
    <w:rsid w:val="00007867"/>
    <w:rsid w:val="00007B16"/>
    <w:rsid w:val="00007B72"/>
    <w:rsid w:val="00007C68"/>
    <w:rsid w:val="00007DB5"/>
    <w:rsid w:val="00007E7E"/>
    <w:rsid w:val="00007F82"/>
    <w:rsid w:val="0001003F"/>
    <w:rsid w:val="00010E8E"/>
    <w:rsid w:val="00011594"/>
    <w:rsid w:val="0001159F"/>
    <w:rsid w:val="000117CE"/>
    <w:rsid w:val="00011929"/>
    <w:rsid w:val="00011E91"/>
    <w:rsid w:val="00011E94"/>
    <w:rsid w:val="00012040"/>
    <w:rsid w:val="000120C5"/>
    <w:rsid w:val="0001230D"/>
    <w:rsid w:val="00012DCA"/>
    <w:rsid w:val="000134EE"/>
    <w:rsid w:val="00013556"/>
    <w:rsid w:val="00013860"/>
    <w:rsid w:val="00013CB6"/>
    <w:rsid w:val="0001446B"/>
    <w:rsid w:val="0001465C"/>
    <w:rsid w:val="00014BC2"/>
    <w:rsid w:val="0001518B"/>
    <w:rsid w:val="00015E16"/>
    <w:rsid w:val="00016106"/>
    <w:rsid w:val="00016DF1"/>
    <w:rsid w:val="0001764B"/>
    <w:rsid w:val="00017776"/>
    <w:rsid w:val="0001789E"/>
    <w:rsid w:val="00017C97"/>
    <w:rsid w:val="000207D8"/>
    <w:rsid w:val="00021193"/>
    <w:rsid w:val="000211FE"/>
    <w:rsid w:val="00021385"/>
    <w:rsid w:val="0002175F"/>
    <w:rsid w:val="00021865"/>
    <w:rsid w:val="00021890"/>
    <w:rsid w:val="000218DB"/>
    <w:rsid w:val="00021A3F"/>
    <w:rsid w:val="00021CE8"/>
    <w:rsid w:val="00021EDA"/>
    <w:rsid w:val="00022087"/>
    <w:rsid w:val="000220F0"/>
    <w:rsid w:val="00022681"/>
    <w:rsid w:val="00023502"/>
    <w:rsid w:val="0002352D"/>
    <w:rsid w:val="00023CEE"/>
    <w:rsid w:val="000240E8"/>
    <w:rsid w:val="00024613"/>
    <w:rsid w:val="0002480D"/>
    <w:rsid w:val="0002485B"/>
    <w:rsid w:val="000259FD"/>
    <w:rsid w:val="00025E2D"/>
    <w:rsid w:val="000265BB"/>
    <w:rsid w:val="00026778"/>
    <w:rsid w:val="0002687E"/>
    <w:rsid w:val="00026CAE"/>
    <w:rsid w:val="00026E6D"/>
    <w:rsid w:val="00027014"/>
    <w:rsid w:val="00027348"/>
    <w:rsid w:val="0002739E"/>
    <w:rsid w:val="00027410"/>
    <w:rsid w:val="00027621"/>
    <w:rsid w:val="00027752"/>
    <w:rsid w:val="000278B1"/>
    <w:rsid w:val="00027E37"/>
    <w:rsid w:val="00031AED"/>
    <w:rsid w:val="00031E0D"/>
    <w:rsid w:val="00032117"/>
    <w:rsid w:val="00032478"/>
    <w:rsid w:val="000326B7"/>
    <w:rsid w:val="000327D5"/>
    <w:rsid w:val="00032D62"/>
    <w:rsid w:val="00032DE2"/>
    <w:rsid w:val="00032E20"/>
    <w:rsid w:val="0003365B"/>
    <w:rsid w:val="00033AB2"/>
    <w:rsid w:val="00033C41"/>
    <w:rsid w:val="000347FC"/>
    <w:rsid w:val="000348C0"/>
    <w:rsid w:val="0003498C"/>
    <w:rsid w:val="000349F1"/>
    <w:rsid w:val="000351CF"/>
    <w:rsid w:val="0003569C"/>
    <w:rsid w:val="000356B2"/>
    <w:rsid w:val="0003671D"/>
    <w:rsid w:val="00036D08"/>
    <w:rsid w:val="00036DEF"/>
    <w:rsid w:val="00037389"/>
    <w:rsid w:val="0003753C"/>
    <w:rsid w:val="00037649"/>
    <w:rsid w:val="00037699"/>
    <w:rsid w:val="00037B0E"/>
    <w:rsid w:val="000402B9"/>
    <w:rsid w:val="0004081B"/>
    <w:rsid w:val="000408C8"/>
    <w:rsid w:val="00040B73"/>
    <w:rsid w:val="00041070"/>
    <w:rsid w:val="000415EC"/>
    <w:rsid w:val="0004168F"/>
    <w:rsid w:val="000417B7"/>
    <w:rsid w:val="00041C62"/>
    <w:rsid w:val="00041E53"/>
    <w:rsid w:val="000420B9"/>
    <w:rsid w:val="00042F8A"/>
    <w:rsid w:val="00043BEA"/>
    <w:rsid w:val="000440EC"/>
    <w:rsid w:val="00044DDB"/>
    <w:rsid w:val="000453D7"/>
    <w:rsid w:val="00045882"/>
    <w:rsid w:val="00045A2F"/>
    <w:rsid w:val="00045AD9"/>
    <w:rsid w:val="00045D88"/>
    <w:rsid w:val="00045F29"/>
    <w:rsid w:val="000461CA"/>
    <w:rsid w:val="00046215"/>
    <w:rsid w:val="000462A1"/>
    <w:rsid w:val="000468EF"/>
    <w:rsid w:val="00046F0D"/>
    <w:rsid w:val="00047138"/>
    <w:rsid w:val="0004719F"/>
    <w:rsid w:val="00047B1D"/>
    <w:rsid w:val="00050379"/>
    <w:rsid w:val="00050447"/>
    <w:rsid w:val="0005057E"/>
    <w:rsid w:val="00050680"/>
    <w:rsid w:val="00050ACB"/>
    <w:rsid w:val="00051149"/>
    <w:rsid w:val="00051357"/>
    <w:rsid w:val="00051D7F"/>
    <w:rsid w:val="00051FBD"/>
    <w:rsid w:val="00052321"/>
    <w:rsid w:val="000524F8"/>
    <w:rsid w:val="000527DE"/>
    <w:rsid w:val="00052861"/>
    <w:rsid w:val="00052CA4"/>
    <w:rsid w:val="00052F01"/>
    <w:rsid w:val="00053B43"/>
    <w:rsid w:val="00053C5A"/>
    <w:rsid w:val="0005403B"/>
    <w:rsid w:val="000546CD"/>
    <w:rsid w:val="000546EA"/>
    <w:rsid w:val="00054B4E"/>
    <w:rsid w:val="00054E88"/>
    <w:rsid w:val="000553FB"/>
    <w:rsid w:val="00055E86"/>
    <w:rsid w:val="000564D6"/>
    <w:rsid w:val="00056745"/>
    <w:rsid w:val="00056F9E"/>
    <w:rsid w:val="0005710D"/>
    <w:rsid w:val="000577AC"/>
    <w:rsid w:val="00057C3D"/>
    <w:rsid w:val="00057E05"/>
    <w:rsid w:val="000600C9"/>
    <w:rsid w:val="00060564"/>
    <w:rsid w:val="00060808"/>
    <w:rsid w:val="00060A13"/>
    <w:rsid w:val="00060A6E"/>
    <w:rsid w:val="00060F9E"/>
    <w:rsid w:val="00061181"/>
    <w:rsid w:val="0006187C"/>
    <w:rsid w:val="00061B0E"/>
    <w:rsid w:val="00061DB0"/>
    <w:rsid w:val="00061F03"/>
    <w:rsid w:val="0006210F"/>
    <w:rsid w:val="00062173"/>
    <w:rsid w:val="00062286"/>
    <w:rsid w:val="00062642"/>
    <w:rsid w:val="0006297A"/>
    <w:rsid w:val="000629E1"/>
    <w:rsid w:val="000631E2"/>
    <w:rsid w:val="000631F3"/>
    <w:rsid w:val="00063238"/>
    <w:rsid w:val="00063B02"/>
    <w:rsid w:val="000643F9"/>
    <w:rsid w:val="0006487C"/>
    <w:rsid w:val="000649E3"/>
    <w:rsid w:val="00064C59"/>
    <w:rsid w:val="00064CBE"/>
    <w:rsid w:val="00064ED0"/>
    <w:rsid w:val="0006508A"/>
    <w:rsid w:val="00065D00"/>
    <w:rsid w:val="00065F27"/>
    <w:rsid w:val="00066B3C"/>
    <w:rsid w:val="000678BC"/>
    <w:rsid w:val="00067E28"/>
    <w:rsid w:val="000706A7"/>
    <w:rsid w:val="00070A9D"/>
    <w:rsid w:val="00070EF0"/>
    <w:rsid w:val="00070FC8"/>
    <w:rsid w:val="00071184"/>
    <w:rsid w:val="0007141A"/>
    <w:rsid w:val="000714BE"/>
    <w:rsid w:val="00071818"/>
    <w:rsid w:val="00072207"/>
    <w:rsid w:val="000723A0"/>
    <w:rsid w:val="00072496"/>
    <w:rsid w:val="0007268E"/>
    <w:rsid w:val="00072EAD"/>
    <w:rsid w:val="00072FA7"/>
    <w:rsid w:val="00073298"/>
    <w:rsid w:val="00073861"/>
    <w:rsid w:val="00073B6E"/>
    <w:rsid w:val="00074E12"/>
    <w:rsid w:val="00074FD2"/>
    <w:rsid w:val="00075109"/>
    <w:rsid w:val="000752DC"/>
    <w:rsid w:val="00075B95"/>
    <w:rsid w:val="00076105"/>
    <w:rsid w:val="00076112"/>
    <w:rsid w:val="0007613A"/>
    <w:rsid w:val="00076497"/>
    <w:rsid w:val="00076562"/>
    <w:rsid w:val="0007671B"/>
    <w:rsid w:val="00077B04"/>
    <w:rsid w:val="00080937"/>
    <w:rsid w:val="00080A63"/>
    <w:rsid w:val="00080D96"/>
    <w:rsid w:val="00080EF2"/>
    <w:rsid w:val="000812D1"/>
    <w:rsid w:val="000812D6"/>
    <w:rsid w:val="00081C12"/>
    <w:rsid w:val="00081DE7"/>
    <w:rsid w:val="00082001"/>
    <w:rsid w:val="00082325"/>
    <w:rsid w:val="0008236C"/>
    <w:rsid w:val="000824E0"/>
    <w:rsid w:val="00082A34"/>
    <w:rsid w:val="00082AC2"/>
    <w:rsid w:val="00082B19"/>
    <w:rsid w:val="0008305A"/>
    <w:rsid w:val="0008337F"/>
    <w:rsid w:val="00083803"/>
    <w:rsid w:val="00083B66"/>
    <w:rsid w:val="0008464C"/>
    <w:rsid w:val="000853EF"/>
    <w:rsid w:val="0008572F"/>
    <w:rsid w:val="00085771"/>
    <w:rsid w:val="00085DF5"/>
    <w:rsid w:val="00085E91"/>
    <w:rsid w:val="00086338"/>
    <w:rsid w:val="000873CF"/>
    <w:rsid w:val="00087427"/>
    <w:rsid w:val="000875F4"/>
    <w:rsid w:val="00087831"/>
    <w:rsid w:val="00087FA2"/>
    <w:rsid w:val="00090A40"/>
    <w:rsid w:val="00090A7A"/>
    <w:rsid w:val="00090B4A"/>
    <w:rsid w:val="00090F10"/>
    <w:rsid w:val="00090F5B"/>
    <w:rsid w:val="000914F1"/>
    <w:rsid w:val="0009159D"/>
    <w:rsid w:val="000915C8"/>
    <w:rsid w:val="00091E21"/>
    <w:rsid w:val="0009275C"/>
    <w:rsid w:val="00092B01"/>
    <w:rsid w:val="00092E94"/>
    <w:rsid w:val="00093084"/>
    <w:rsid w:val="000930F2"/>
    <w:rsid w:val="0009351A"/>
    <w:rsid w:val="00093CAD"/>
    <w:rsid w:val="00093CE8"/>
    <w:rsid w:val="00094365"/>
    <w:rsid w:val="0009439C"/>
    <w:rsid w:val="00094C48"/>
    <w:rsid w:val="000952AF"/>
    <w:rsid w:val="000954FC"/>
    <w:rsid w:val="00095ACA"/>
    <w:rsid w:val="000961E7"/>
    <w:rsid w:val="00096964"/>
    <w:rsid w:val="00096A0B"/>
    <w:rsid w:val="00096B18"/>
    <w:rsid w:val="00096BF2"/>
    <w:rsid w:val="00097247"/>
    <w:rsid w:val="000974A2"/>
    <w:rsid w:val="00097B73"/>
    <w:rsid w:val="000A001F"/>
    <w:rsid w:val="000A00E3"/>
    <w:rsid w:val="000A0253"/>
    <w:rsid w:val="000A036D"/>
    <w:rsid w:val="000A072B"/>
    <w:rsid w:val="000A0885"/>
    <w:rsid w:val="000A13D1"/>
    <w:rsid w:val="000A1498"/>
    <w:rsid w:val="000A28D7"/>
    <w:rsid w:val="000A2BEC"/>
    <w:rsid w:val="000A2E66"/>
    <w:rsid w:val="000A30E9"/>
    <w:rsid w:val="000A39B3"/>
    <w:rsid w:val="000A3B4D"/>
    <w:rsid w:val="000A482A"/>
    <w:rsid w:val="000A4D9F"/>
    <w:rsid w:val="000A50AD"/>
    <w:rsid w:val="000A5B81"/>
    <w:rsid w:val="000A5D60"/>
    <w:rsid w:val="000A5F91"/>
    <w:rsid w:val="000A645E"/>
    <w:rsid w:val="000A64B6"/>
    <w:rsid w:val="000A6767"/>
    <w:rsid w:val="000A7C38"/>
    <w:rsid w:val="000A7FCA"/>
    <w:rsid w:val="000B00C3"/>
    <w:rsid w:val="000B0A94"/>
    <w:rsid w:val="000B0ACF"/>
    <w:rsid w:val="000B0D87"/>
    <w:rsid w:val="000B1087"/>
    <w:rsid w:val="000B1E12"/>
    <w:rsid w:val="000B2212"/>
    <w:rsid w:val="000B2742"/>
    <w:rsid w:val="000B3017"/>
    <w:rsid w:val="000B33AF"/>
    <w:rsid w:val="000B3914"/>
    <w:rsid w:val="000B3B29"/>
    <w:rsid w:val="000B3FB8"/>
    <w:rsid w:val="000B4186"/>
    <w:rsid w:val="000B4406"/>
    <w:rsid w:val="000B4469"/>
    <w:rsid w:val="000B44D9"/>
    <w:rsid w:val="000B4BB4"/>
    <w:rsid w:val="000B515B"/>
    <w:rsid w:val="000B5329"/>
    <w:rsid w:val="000B5416"/>
    <w:rsid w:val="000B575A"/>
    <w:rsid w:val="000B5824"/>
    <w:rsid w:val="000B5D7E"/>
    <w:rsid w:val="000B6417"/>
    <w:rsid w:val="000B70DE"/>
    <w:rsid w:val="000B71B3"/>
    <w:rsid w:val="000B7388"/>
    <w:rsid w:val="000B776A"/>
    <w:rsid w:val="000C0254"/>
    <w:rsid w:val="000C0A42"/>
    <w:rsid w:val="000C0B83"/>
    <w:rsid w:val="000C140D"/>
    <w:rsid w:val="000C167F"/>
    <w:rsid w:val="000C17F0"/>
    <w:rsid w:val="000C18CA"/>
    <w:rsid w:val="000C1A6D"/>
    <w:rsid w:val="000C1A7C"/>
    <w:rsid w:val="000C1C7D"/>
    <w:rsid w:val="000C1CB3"/>
    <w:rsid w:val="000C1D38"/>
    <w:rsid w:val="000C1DAB"/>
    <w:rsid w:val="000C2344"/>
    <w:rsid w:val="000C26A1"/>
    <w:rsid w:val="000C26D6"/>
    <w:rsid w:val="000C2840"/>
    <w:rsid w:val="000C2953"/>
    <w:rsid w:val="000C2F9B"/>
    <w:rsid w:val="000C3354"/>
    <w:rsid w:val="000C4060"/>
    <w:rsid w:val="000C452C"/>
    <w:rsid w:val="000C458F"/>
    <w:rsid w:val="000C4710"/>
    <w:rsid w:val="000C4CD2"/>
    <w:rsid w:val="000C50BA"/>
    <w:rsid w:val="000C514C"/>
    <w:rsid w:val="000C531F"/>
    <w:rsid w:val="000C5407"/>
    <w:rsid w:val="000C6173"/>
    <w:rsid w:val="000C61DF"/>
    <w:rsid w:val="000C6B74"/>
    <w:rsid w:val="000C7250"/>
    <w:rsid w:val="000C77CB"/>
    <w:rsid w:val="000C78A2"/>
    <w:rsid w:val="000C7BC1"/>
    <w:rsid w:val="000D02E1"/>
    <w:rsid w:val="000D0369"/>
    <w:rsid w:val="000D0675"/>
    <w:rsid w:val="000D0C1A"/>
    <w:rsid w:val="000D0D77"/>
    <w:rsid w:val="000D1518"/>
    <w:rsid w:val="000D179A"/>
    <w:rsid w:val="000D1A88"/>
    <w:rsid w:val="000D1D14"/>
    <w:rsid w:val="000D1E6C"/>
    <w:rsid w:val="000D2265"/>
    <w:rsid w:val="000D2DBD"/>
    <w:rsid w:val="000D2FDE"/>
    <w:rsid w:val="000D30F6"/>
    <w:rsid w:val="000D34FC"/>
    <w:rsid w:val="000D368E"/>
    <w:rsid w:val="000D3D8C"/>
    <w:rsid w:val="000D3E50"/>
    <w:rsid w:val="000D3EB7"/>
    <w:rsid w:val="000D3EE7"/>
    <w:rsid w:val="000D42B5"/>
    <w:rsid w:val="000D5910"/>
    <w:rsid w:val="000D5D33"/>
    <w:rsid w:val="000D5EE1"/>
    <w:rsid w:val="000D6104"/>
    <w:rsid w:val="000D6179"/>
    <w:rsid w:val="000D68C6"/>
    <w:rsid w:val="000D6AF1"/>
    <w:rsid w:val="000D7621"/>
    <w:rsid w:val="000E1348"/>
    <w:rsid w:val="000E14AD"/>
    <w:rsid w:val="000E1E11"/>
    <w:rsid w:val="000E1FE9"/>
    <w:rsid w:val="000E2105"/>
    <w:rsid w:val="000E2224"/>
    <w:rsid w:val="000E27C9"/>
    <w:rsid w:val="000E2832"/>
    <w:rsid w:val="000E288D"/>
    <w:rsid w:val="000E2909"/>
    <w:rsid w:val="000E38DE"/>
    <w:rsid w:val="000E3DDC"/>
    <w:rsid w:val="000E492A"/>
    <w:rsid w:val="000E5432"/>
    <w:rsid w:val="000E5745"/>
    <w:rsid w:val="000E5D4D"/>
    <w:rsid w:val="000E60F9"/>
    <w:rsid w:val="000E6222"/>
    <w:rsid w:val="000E696B"/>
    <w:rsid w:val="000E715A"/>
    <w:rsid w:val="000E782E"/>
    <w:rsid w:val="000F0242"/>
    <w:rsid w:val="000F052B"/>
    <w:rsid w:val="000F0810"/>
    <w:rsid w:val="000F08E8"/>
    <w:rsid w:val="000F0B28"/>
    <w:rsid w:val="000F0B9C"/>
    <w:rsid w:val="000F0EE0"/>
    <w:rsid w:val="000F165C"/>
    <w:rsid w:val="000F18CC"/>
    <w:rsid w:val="000F1B4F"/>
    <w:rsid w:val="000F20F7"/>
    <w:rsid w:val="000F2396"/>
    <w:rsid w:val="000F2663"/>
    <w:rsid w:val="000F2A73"/>
    <w:rsid w:val="000F2D42"/>
    <w:rsid w:val="000F3318"/>
    <w:rsid w:val="000F37C6"/>
    <w:rsid w:val="000F39F6"/>
    <w:rsid w:val="000F4784"/>
    <w:rsid w:val="000F4C26"/>
    <w:rsid w:val="000F4CC2"/>
    <w:rsid w:val="000F5552"/>
    <w:rsid w:val="000F5619"/>
    <w:rsid w:val="000F6011"/>
    <w:rsid w:val="000F648D"/>
    <w:rsid w:val="000F71DF"/>
    <w:rsid w:val="000F724A"/>
    <w:rsid w:val="000F77B8"/>
    <w:rsid w:val="000F7F02"/>
    <w:rsid w:val="0010040F"/>
    <w:rsid w:val="00100A88"/>
    <w:rsid w:val="001014AD"/>
    <w:rsid w:val="001015B9"/>
    <w:rsid w:val="0010162A"/>
    <w:rsid w:val="0010162B"/>
    <w:rsid w:val="00101F94"/>
    <w:rsid w:val="00102779"/>
    <w:rsid w:val="00102CF9"/>
    <w:rsid w:val="001031A7"/>
    <w:rsid w:val="001038CC"/>
    <w:rsid w:val="001039A1"/>
    <w:rsid w:val="00103A1E"/>
    <w:rsid w:val="00103F16"/>
    <w:rsid w:val="001049EE"/>
    <w:rsid w:val="00104A56"/>
    <w:rsid w:val="00104FD4"/>
    <w:rsid w:val="0010543C"/>
    <w:rsid w:val="00105849"/>
    <w:rsid w:val="00105C05"/>
    <w:rsid w:val="00105D83"/>
    <w:rsid w:val="0010624B"/>
    <w:rsid w:val="00106BF7"/>
    <w:rsid w:val="00106DFC"/>
    <w:rsid w:val="00107064"/>
    <w:rsid w:val="00107322"/>
    <w:rsid w:val="00107425"/>
    <w:rsid w:val="0010765C"/>
    <w:rsid w:val="001076F3"/>
    <w:rsid w:val="00107C4E"/>
    <w:rsid w:val="00110ABA"/>
    <w:rsid w:val="00110C23"/>
    <w:rsid w:val="00110ED4"/>
    <w:rsid w:val="00111755"/>
    <w:rsid w:val="0011181A"/>
    <w:rsid w:val="00111853"/>
    <w:rsid w:val="00111B50"/>
    <w:rsid w:val="00111C4F"/>
    <w:rsid w:val="00111CDD"/>
    <w:rsid w:val="00112801"/>
    <w:rsid w:val="00113025"/>
    <w:rsid w:val="001134DC"/>
    <w:rsid w:val="001135F1"/>
    <w:rsid w:val="00113656"/>
    <w:rsid w:val="001137FF"/>
    <w:rsid w:val="001139A7"/>
    <w:rsid w:val="00113E83"/>
    <w:rsid w:val="00113E91"/>
    <w:rsid w:val="001143CC"/>
    <w:rsid w:val="00114446"/>
    <w:rsid w:val="00114744"/>
    <w:rsid w:val="001147F4"/>
    <w:rsid w:val="00114AB2"/>
    <w:rsid w:val="00114C47"/>
    <w:rsid w:val="0011564D"/>
    <w:rsid w:val="001159A3"/>
    <w:rsid w:val="00115A2F"/>
    <w:rsid w:val="00115B50"/>
    <w:rsid w:val="00115C08"/>
    <w:rsid w:val="00115E50"/>
    <w:rsid w:val="00115EAD"/>
    <w:rsid w:val="001162C2"/>
    <w:rsid w:val="0011738A"/>
    <w:rsid w:val="001174E9"/>
    <w:rsid w:val="0011764D"/>
    <w:rsid w:val="001179F9"/>
    <w:rsid w:val="00117A7F"/>
    <w:rsid w:val="0012003A"/>
    <w:rsid w:val="00120183"/>
    <w:rsid w:val="0012048A"/>
    <w:rsid w:val="00120588"/>
    <w:rsid w:val="00120918"/>
    <w:rsid w:val="001209A9"/>
    <w:rsid w:val="00120BBF"/>
    <w:rsid w:val="00121153"/>
    <w:rsid w:val="0012137E"/>
    <w:rsid w:val="0012190B"/>
    <w:rsid w:val="0012200C"/>
    <w:rsid w:val="00122AF7"/>
    <w:rsid w:val="00122C6D"/>
    <w:rsid w:val="00122C8F"/>
    <w:rsid w:val="00122D37"/>
    <w:rsid w:val="00122E57"/>
    <w:rsid w:val="00122F73"/>
    <w:rsid w:val="001234B6"/>
    <w:rsid w:val="0012361D"/>
    <w:rsid w:val="00123B92"/>
    <w:rsid w:val="001241FA"/>
    <w:rsid w:val="00124229"/>
    <w:rsid w:val="00124552"/>
    <w:rsid w:val="00124594"/>
    <w:rsid w:val="00124B37"/>
    <w:rsid w:val="00125570"/>
    <w:rsid w:val="001257D1"/>
    <w:rsid w:val="001266FC"/>
    <w:rsid w:val="00126860"/>
    <w:rsid w:val="0012744D"/>
    <w:rsid w:val="001276B1"/>
    <w:rsid w:val="001277A7"/>
    <w:rsid w:val="00127D54"/>
    <w:rsid w:val="00127D74"/>
    <w:rsid w:val="00127F86"/>
    <w:rsid w:val="00130EA4"/>
    <w:rsid w:val="001310CD"/>
    <w:rsid w:val="001310D3"/>
    <w:rsid w:val="00131827"/>
    <w:rsid w:val="0013192E"/>
    <w:rsid w:val="0013204A"/>
    <w:rsid w:val="001322C2"/>
    <w:rsid w:val="00132426"/>
    <w:rsid w:val="0013252A"/>
    <w:rsid w:val="001326E3"/>
    <w:rsid w:val="001328FB"/>
    <w:rsid w:val="00132C3B"/>
    <w:rsid w:val="001334AE"/>
    <w:rsid w:val="00133699"/>
    <w:rsid w:val="0013393C"/>
    <w:rsid w:val="0013405A"/>
    <w:rsid w:val="00134914"/>
    <w:rsid w:val="00134CAA"/>
    <w:rsid w:val="00134F7E"/>
    <w:rsid w:val="001353C8"/>
    <w:rsid w:val="00135A94"/>
    <w:rsid w:val="0013704B"/>
    <w:rsid w:val="001377A2"/>
    <w:rsid w:val="00137AD1"/>
    <w:rsid w:val="001402F9"/>
    <w:rsid w:val="001407E0"/>
    <w:rsid w:val="0014082C"/>
    <w:rsid w:val="00140878"/>
    <w:rsid w:val="00140CFC"/>
    <w:rsid w:val="00140EDF"/>
    <w:rsid w:val="00141223"/>
    <w:rsid w:val="00141283"/>
    <w:rsid w:val="00141835"/>
    <w:rsid w:val="001419DA"/>
    <w:rsid w:val="00141A4D"/>
    <w:rsid w:val="00142702"/>
    <w:rsid w:val="00142969"/>
    <w:rsid w:val="001429CD"/>
    <w:rsid w:val="00142BA0"/>
    <w:rsid w:val="00142C23"/>
    <w:rsid w:val="00142FCD"/>
    <w:rsid w:val="001430CB"/>
    <w:rsid w:val="0014330A"/>
    <w:rsid w:val="00143552"/>
    <w:rsid w:val="001435AC"/>
    <w:rsid w:val="00143A4B"/>
    <w:rsid w:val="00143A88"/>
    <w:rsid w:val="00143E2A"/>
    <w:rsid w:val="00143EAC"/>
    <w:rsid w:val="00144014"/>
    <w:rsid w:val="001440CA"/>
    <w:rsid w:val="001450AD"/>
    <w:rsid w:val="00145A62"/>
    <w:rsid w:val="00145B3E"/>
    <w:rsid w:val="00145E8F"/>
    <w:rsid w:val="0014617A"/>
    <w:rsid w:val="0014624E"/>
    <w:rsid w:val="00146700"/>
    <w:rsid w:val="00146A53"/>
    <w:rsid w:val="00146C6E"/>
    <w:rsid w:val="00146D97"/>
    <w:rsid w:val="0014795A"/>
    <w:rsid w:val="0014799E"/>
    <w:rsid w:val="00147A6F"/>
    <w:rsid w:val="00147D36"/>
    <w:rsid w:val="0015024D"/>
    <w:rsid w:val="001502AA"/>
    <w:rsid w:val="001505CB"/>
    <w:rsid w:val="00150CC6"/>
    <w:rsid w:val="00151153"/>
    <w:rsid w:val="001512AC"/>
    <w:rsid w:val="0015146A"/>
    <w:rsid w:val="001516A7"/>
    <w:rsid w:val="001516BE"/>
    <w:rsid w:val="00151838"/>
    <w:rsid w:val="00151DF4"/>
    <w:rsid w:val="00151E7F"/>
    <w:rsid w:val="001521E1"/>
    <w:rsid w:val="00152D14"/>
    <w:rsid w:val="00152FCA"/>
    <w:rsid w:val="00153163"/>
    <w:rsid w:val="0015329E"/>
    <w:rsid w:val="00153818"/>
    <w:rsid w:val="00153B37"/>
    <w:rsid w:val="001540E6"/>
    <w:rsid w:val="00155376"/>
    <w:rsid w:val="001554F4"/>
    <w:rsid w:val="00155508"/>
    <w:rsid w:val="0015558B"/>
    <w:rsid w:val="00155D71"/>
    <w:rsid w:val="00155D97"/>
    <w:rsid w:val="00156104"/>
    <w:rsid w:val="001567B6"/>
    <w:rsid w:val="00156B22"/>
    <w:rsid w:val="00156D75"/>
    <w:rsid w:val="00156E92"/>
    <w:rsid w:val="00157347"/>
    <w:rsid w:val="00157502"/>
    <w:rsid w:val="0015778E"/>
    <w:rsid w:val="00157B13"/>
    <w:rsid w:val="001602BE"/>
    <w:rsid w:val="001605EC"/>
    <w:rsid w:val="00160749"/>
    <w:rsid w:val="001609FC"/>
    <w:rsid w:val="00160B2B"/>
    <w:rsid w:val="00160EB7"/>
    <w:rsid w:val="00160F5F"/>
    <w:rsid w:val="001616E4"/>
    <w:rsid w:val="001617CE"/>
    <w:rsid w:val="00161801"/>
    <w:rsid w:val="00161AEE"/>
    <w:rsid w:val="001620B9"/>
    <w:rsid w:val="001620E4"/>
    <w:rsid w:val="001624AB"/>
    <w:rsid w:val="00162924"/>
    <w:rsid w:val="00162AD0"/>
    <w:rsid w:val="0016395D"/>
    <w:rsid w:val="00163A3C"/>
    <w:rsid w:val="0016487B"/>
    <w:rsid w:val="001649D0"/>
    <w:rsid w:val="00164B77"/>
    <w:rsid w:val="00165310"/>
    <w:rsid w:val="001654A8"/>
    <w:rsid w:val="00165632"/>
    <w:rsid w:val="00165FCB"/>
    <w:rsid w:val="001660D6"/>
    <w:rsid w:val="001665A5"/>
    <w:rsid w:val="0016680F"/>
    <w:rsid w:val="00166ACC"/>
    <w:rsid w:val="00167269"/>
    <w:rsid w:val="00167830"/>
    <w:rsid w:val="00167E7D"/>
    <w:rsid w:val="0017063A"/>
    <w:rsid w:val="001706D4"/>
    <w:rsid w:val="0017082A"/>
    <w:rsid w:val="00170E4C"/>
    <w:rsid w:val="001716C4"/>
    <w:rsid w:val="00171B20"/>
    <w:rsid w:val="00171BF5"/>
    <w:rsid w:val="00171FF9"/>
    <w:rsid w:val="00172016"/>
    <w:rsid w:val="00172560"/>
    <w:rsid w:val="00172C94"/>
    <w:rsid w:val="00172CC5"/>
    <w:rsid w:val="00173296"/>
    <w:rsid w:val="00173586"/>
    <w:rsid w:val="00173FEB"/>
    <w:rsid w:val="001743BD"/>
    <w:rsid w:val="00174A30"/>
    <w:rsid w:val="00174B20"/>
    <w:rsid w:val="00174DD9"/>
    <w:rsid w:val="0017547F"/>
    <w:rsid w:val="0017581E"/>
    <w:rsid w:val="00175C03"/>
    <w:rsid w:val="00175EA8"/>
    <w:rsid w:val="001760AB"/>
    <w:rsid w:val="001762DC"/>
    <w:rsid w:val="00176304"/>
    <w:rsid w:val="00176EE6"/>
    <w:rsid w:val="001776A8"/>
    <w:rsid w:val="00180A3A"/>
    <w:rsid w:val="00180DA0"/>
    <w:rsid w:val="00181042"/>
    <w:rsid w:val="00181208"/>
    <w:rsid w:val="00182452"/>
    <w:rsid w:val="00182A3E"/>
    <w:rsid w:val="00182B09"/>
    <w:rsid w:val="00182E0D"/>
    <w:rsid w:val="00183659"/>
    <w:rsid w:val="00183AEA"/>
    <w:rsid w:val="00184036"/>
    <w:rsid w:val="00184299"/>
    <w:rsid w:val="00184521"/>
    <w:rsid w:val="001846EF"/>
    <w:rsid w:val="001848C0"/>
    <w:rsid w:val="001849C6"/>
    <w:rsid w:val="00184BC0"/>
    <w:rsid w:val="00184CBA"/>
    <w:rsid w:val="00184E89"/>
    <w:rsid w:val="00184F02"/>
    <w:rsid w:val="00184F10"/>
    <w:rsid w:val="0018507D"/>
    <w:rsid w:val="00185188"/>
    <w:rsid w:val="001851FE"/>
    <w:rsid w:val="00185752"/>
    <w:rsid w:val="00185FE1"/>
    <w:rsid w:val="00186049"/>
    <w:rsid w:val="00186BB6"/>
    <w:rsid w:val="00186BCC"/>
    <w:rsid w:val="00187206"/>
    <w:rsid w:val="00187492"/>
    <w:rsid w:val="0018761B"/>
    <w:rsid w:val="001877FE"/>
    <w:rsid w:val="0018789D"/>
    <w:rsid w:val="00187AA6"/>
    <w:rsid w:val="00190000"/>
    <w:rsid w:val="001902BB"/>
    <w:rsid w:val="00190B36"/>
    <w:rsid w:val="001911DA"/>
    <w:rsid w:val="001918A2"/>
    <w:rsid w:val="00192498"/>
    <w:rsid w:val="001926FE"/>
    <w:rsid w:val="00192843"/>
    <w:rsid w:val="00192AF5"/>
    <w:rsid w:val="00192B0B"/>
    <w:rsid w:val="00192FFE"/>
    <w:rsid w:val="001937BF"/>
    <w:rsid w:val="00193B7F"/>
    <w:rsid w:val="0019437A"/>
    <w:rsid w:val="001953EF"/>
    <w:rsid w:val="00195ACC"/>
    <w:rsid w:val="00196700"/>
    <w:rsid w:val="00196739"/>
    <w:rsid w:val="00196826"/>
    <w:rsid w:val="001968E0"/>
    <w:rsid w:val="001969D3"/>
    <w:rsid w:val="0019725A"/>
    <w:rsid w:val="001972A8"/>
    <w:rsid w:val="001974D9"/>
    <w:rsid w:val="001977DD"/>
    <w:rsid w:val="0019782E"/>
    <w:rsid w:val="0019788F"/>
    <w:rsid w:val="00197980"/>
    <w:rsid w:val="00197E64"/>
    <w:rsid w:val="001A0085"/>
    <w:rsid w:val="001A0093"/>
    <w:rsid w:val="001A0CD8"/>
    <w:rsid w:val="001A1369"/>
    <w:rsid w:val="001A1914"/>
    <w:rsid w:val="001A1B96"/>
    <w:rsid w:val="001A1FEC"/>
    <w:rsid w:val="001A263D"/>
    <w:rsid w:val="001A2B7B"/>
    <w:rsid w:val="001A2C62"/>
    <w:rsid w:val="001A2D4A"/>
    <w:rsid w:val="001A3444"/>
    <w:rsid w:val="001A37F1"/>
    <w:rsid w:val="001A3977"/>
    <w:rsid w:val="001A3AFF"/>
    <w:rsid w:val="001A3B7D"/>
    <w:rsid w:val="001A3E52"/>
    <w:rsid w:val="001A3FF3"/>
    <w:rsid w:val="001A41AA"/>
    <w:rsid w:val="001A441C"/>
    <w:rsid w:val="001A459D"/>
    <w:rsid w:val="001A4AC4"/>
    <w:rsid w:val="001A4C14"/>
    <w:rsid w:val="001A51B6"/>
    <w:rsid w:val="001A560E"/>
    <w:rsid w:val="001A59B7"/>
    <w:rsid w:val="001A6CBD"/>
    <w:rsid w:val="001A6DC5"/>
    <w:rsid w:val="001A744C"/>
    <w:rsid w:val="001A7525"/>
    <w:rsid w:val="001A7914"/>
    <w:rsid w:val="001B00E2"/>
    <w:rsid w:val="001B04BA"/>
    <w:rsid w:val="001B0518"/>
    <w:rsid w:val="001B0709"/>
    <w:rsid w:val="001B097C"/>
    <w:rsid w:val="001B0A43"/>
    <w:rsid w:val="001B0E4D"/>
    <w:rsid w:val="001B10F0"/>
    <w:rsid w:val="001B1109"/>
    <w:rsid w:val="001B1143"/>
    <w:rsid w:val="001B1486"/>
    <w:rsid w:val="001B1A9B"/>
    <w:rsid w:val="001B1C29"/>
    <w:rsid w:val="001B1F61"/>
    <w:rsid w:val="001B21D0"/>
    <w:rsid w:val="001B2312"/>
    <w:rsid w:val="001B2343"/>
    <w:rsid w:val="001B2434"/>
    <w:rsid w:val="001B2491"/>
    <w:rsid w:val="001B24EB"/>
    <w:rsid w:val="001B265C"/>
    <w:rsid w:val="001B26BF"/>
    <w:rsid w:val="001B2B31"/>
    <w:rsid w:val="001B2E8D"/>
    <w:rsid w:val="001B2ED8"/>
    <w:rsid w:val="001B3270"/>
    <w:rsid w:val="001B34FC"/>
    <w:rsid w:val="001B4143"/>
    <w:rsid w:val="001B41C6"/>
    <w:rsid w:val="001B4704"/>
    <w:rsid w:val="001B4B71"/>
    <w:rsid w:val="001B4E79"/>
    <w:rsid w:val="001B541F"/>
    <w:rsid w:val="001B57F3"/>
    <w:rsid w:val="001B5CF2"/>
    <w:rsid w:val="001B5E85"/>
    <w:rsid w:val="001B628F"/>
    <w:rsid w:val="001B65FF"/>
    <w:rsid w:val="001B6A6C"/>
    <w:rsid w:val="001B6E97"/>
    <w:rsid w:val="001B6EF3"/>
    <w:rsid w:val="001B7DC7"/>
    <w:rsid w:val="001C0435"/>
    <w:rsid w:val="001C0630"/>
    <w:rsid w:val="001C07F9"/>
    <w:rsid w:val="001C0804"/>
    <w:rsid w:val="001C08A3"/>
    <w:rsid w:val="001C0AA6"/>
    <w:rsid w:val="001C0CFC"/>
    <w:rsid w:val="001C0EC8"/>
    <w:rsid w:val="001C0F12"/>
    <w:rsid w:val="001C12CF"/>
    <w:rsid w:val="001C1ADE"/>
    <w:rsid w:val="001C1BB8"/>
    <w:rsid w:val="001C20F2"/>
    <w:rsid w:val="001C25F6"/>
    <w:rsid w:val="001C2743"/>
    <w:rsid w:val="001C27FF"/>
    <w:rsid w:val="001C3097"/>
    <w:rsid w:val="001C3206"/>
    <w:rsid w:val="001C3917"/>
    <w:rsid w:val="001C391F"/>
    <w:rsid w:val="001C3C86"/>
    <w:rsid w:val="001C40E5"/>
    <w:rsid w:val="001C4147"/>
    <w:rsid w:val="001C4223"/>
    <w:rsid w:val="001C491F"/>
    <w:rsid w:val="001C4ABD"/>
    <w:rsid w:val="001C52AD"/>
    <w:rsid w:val="001C57FF"/>
    <w:rsid w:val="001C584E"/>
    <w:rsid w:val="001C5A29"/>
    <w:rsid w:val="001C5C0D"/>
    <w:rsid w:val="001C602A"/>
    <w:rsid w:val="001C61F1"/>
    <w:rsid w:val="001C62F8"/>
    <w:rsid w:val="001C6561"/>
    <w:rsid w:val="001C6FA0"/>
    <w:rsid w:val="001C7DB1"/>
    <w:rsid w:val="001D0413"/>
    <w:rsid w:val="001D07E3"/>
    <w:rsid w:val="001D09CC"/>
    <w:rsid w:val="001D0D05"/>
    <w:rsid w:val="001D14AB"/>
    <w:rsid w:val="001D15A7"/>
    <w:rsid w:val="001D1A1E"/>
    <w:rsid w:val="001D1ED7"/>
    <w:rsid w:val="001D1EF3"/>
    <w:rsid w:val="001D2150"/>
    <w:rsid w:val="001D2CE1"/>
    <w:rsid w:val="001D2E19"/>
    <w:rsid w:val="001D2ED4"/>
    <w:rsid w:val="001D317E"/>
    <w:rsid w:val="001D3687"/>
    <w:rsid w:val="001D388A"/>
    <w:rsid w:val="001D38BE"/>
    <w:rsid w:val="001D3A8F"/>
    <w:rsid w:val="001D3B5C"/>
    <w:rsid w:val="001D424D"/>
    <w:rsid w:val="001D437C"/>
    <w:rsid w:val="001D454C"/>
    <w:rsid w:val="001D4C83"/>
    <w:rsid w:val="001D4CA1"/>
    <w:rsid w:val="001D5292"/>
    <w:rsid w:val="001D5966"/>
    <w:rsid w:val="001D5988"/>
    <w:rsid w:val="001D6296"/>
    <w:rsid w:val="001D679E"/>
    <w:rsid w:val="001D6ACE"/>
    <w:rsid w:val="001D6AD0"/>
    <w:rsid w:val="001D6E18"/>
    <w:rsid w:val="001D763C"/>
    <w:rsid w:val="001D7B4D"/>
    <w:rsid w:val="001D7B9E"/>
    <w:rsid w:val="001E0F39"/>
    <w:rsid w:val="001E1BBB"/>
    <w:rsid w:val="001E1D83"/>
    <w:rsid w:val="001E20AB"/>
    <w:rsid w:val="001E21C7"/>
    <w:rsid w:val="001E2C3B"/>
    <w:rsid w:val="001E3096"/>
    <w:rsid w:val="001E322D"/>
    <w:rsid w:val="001E33BC"/>
    <w:rsid w:val="001E3D85"/>
    <w:rsid w:val="001E3DF5"/>
    <w:rsid w:val="001E3EC3"/>
    <w:rsid w:val="001E44F0"/>
    <w:rsid w:val="001E4698"/>
    <w:rsid w:val="001E4858"/>
    <w:rsid w:val="001E4A63"/>
    <w:rsid w:val="001E512F"/>
    <w:rsid w:val="001E51C9"/>
    <w:rsid w:val="001E52AC"/>
    <w:rsid w:val="001E53A7"/>
    <w:rsid w:val="001E607A"/>
    <w:rsid w:val="001E61DC"/>
    <w:rsid w:val="001E6772"/>
    <w:rsid w:val="001E6ECF"/>
    <w:rsid w:val="001E7093"/>
    <w:rsid w:val="001E70AA"/>
    <w:rsid w:val="001E744B"/>
    <w:rsid w:val="001E79B8"/>
    <w:rsid w:val="001E7A72"/>
    <w:rsid w:val="001E7BC8"/>
    <w:rsid w:val="001E7C14"/>
    <w:rsid w:val="001E7EBB"/>
    <w:rsid w:val="001F0627"/>
    <w:rsid w:val="001F0817"/>
    <w:rsid w:val="001F0B51"/>
    <w:rsid w:val="001F11DC"/>
    <w:rsid w:val="001F1992"/>
    <w:rsid w:val="001F19F6"/>
    <w:rsid w:val="001F24A7"/>
    <w:rsid w:val="001F28C1"/>
    <w:rsid w:val="001F2AA6"/>
    <w:rsid w:val="001F2AB8"/>
    <w:rsid w:val="001F2D46"/>
    <w:rsid w:val="001F2FF8"/>
    <w:rsid w:val="001F321B"/>
    <w:rsid w:val="001F3BA2"/>
    <w:rsid w:val="001F3D8F"/>
    <w:rsid w:val="001F3EEC"/>
    <w:rsid w:val="001F4033"/>
    <w:rsid w:val="001F4521"/>
    <w:rsid w:val="001F4AAA"/>
    <w:rsid w:val="001F4B29"/>
    <w:rsid w:val="001F4D35"/>
    <w:rsid w:val="001F4E17"/>
    <w:rsid w:val="001F5412"/>
    <w:rsid w:val="001F549A"/>
    <w:rsid w:val="001F5502"/>
    <w:rsid w:val="001F5CD8"/>
    <w:rsid w:val="001F640D"/>
    <w:rsid w:val="001F65C5"/>
    <w:rsid w:val="001F677D"/>
    <w:rsid w:val="001F6CF1"/>
    <w:rsid w:val="001F72EE"/>
    <w:rsid w:val="001F743C"/>
    <w:rsid w:val="001F7C07"/>
    <w:rsid w:val="00200056"/>
    <w:rsid w:val="002000D9"/>
    <w:rsid w:val="002001B3"/>
    <w:rsid w:val="002004F8"/>
    <w:rsid w:val="002005E3"/>
    <w:rsid w:val="00200648"/>
    <w:rsid w:val="002007A4"/>
    <w:rsid w:val="00200CB9"/>
    <w:rsid w:val="00200E09"/>
    <w:rsid w:val="00201348"/>
    <w:rsid w:val="00201868"/>
    <w:rsid w:val="00201DEA"/>
    <w:rsid w:val="00201F23"/>
    <w:rsid w:val="00201F72"/>
    <w:rsid w:val="00201FBC"/>
    <w:rsid w:val="00202405"/>
    <w:rsid w:val="0020267B"/>
    <w:rsid w:val="00202CE6"/>
    <w:rsid w:val="00202ED6"/>
    <w:rsid w:val="00203081"/>
    <w:rsid w:val="00203400"/>
    <w:rsid w:val="00203660"/>
    <w:rsid w:val="00203AC1"/>
    <w:rsid w:val="00203EBA"/>
    <w:rsid w:val="00204311"/>
    <w:rsid w:val="00204C41"/>
    <w:rsid w:val="00204E30"/>
    <w:rsid w:val="00204F44"/>
    <w:rsid w:val="00205F59"/>
    <w:rsid w:val="00206834"/>
    <w:rsid w:val="00206B26"/>
    <w:rsid w:val="00206C71"/>
    <w:rsid w:val="00206D91"/>
    <w:rsid w:val="00207043"/>
    <w:rsid w:val="00207157"/>
    <w:rsid w:val="002073D8"/>
    <w:rsid w:val="0020762E"/>
    <w:rsid w:val="002077A5"/>
    <w:rsid w:val="00207932"/>
    <w:rsid w:val="00207F4A"/>
    <w:rsid w:val="00210347"/>
    <w:rsid w:val="002103B9"/>
    <w:rsid w:val="0021078E"/>
    <w:rsid w:val="002107F6"/>
    <w:rsid w:val="00210CE3"/>
    <w:rsid w:val="002112B1"/>
    <w:rsid w:val="0021135B"/>
    <w:rsid w:val="00211872"/>
    <w:rsid w:val="002122CA"/>
    <w:rsid w:val="002128D4"/>
    <w:rsid w:val="00213300"/>
    <w:rsid w:val="00213402"/>
    <w:rsid w:val="0021342D"/>
    <w:rsid w:val="00213A83"/>
    <w:rsid w:val="00213C8E"/>
    <w:rsid w:val="00213F53"/>
    <w:rsid w:val="00213FE6"/>
    <w:rsid w:val="002145A1"/>
    <w:rsid w:val="002147E0"/>
    <w:rsid w:val="0021570E"/>
    <w:rsid w:val="00215754"/>
    <w:rsid w:val="002159DB"/>
    <w:rsid w:val="00215B39"/>
    <w:rsid w:val="002165F9"/>
    <w:rsid w:val="002166B7"/>
    <w:rsid w:val="00216A81"/>
    <w:rsid w:val="00216B36"/>
    <w:rsid w:val="00216EFC"/>
    <w:rsid w:val="00216FA8"/>
    <w:rsid w:val="00217137"/>
    <w:rsid w:val="0021756F"/>
    <w:rsid w:val="00217700"/>
    <w:rsid w:val="002179E8"/>
    <w:rsid w:val="00217F9D"/>
    <w:rsid w:val="0022015E"/>
    <w:rsid w:val="0022027D"/>
    <w:rsid w:val="00220358"/>
    <w:rsid w:val="002208A9"/>
    <w:rsid w:val="00220D0D"/>
    <w:rsid w:val="0022134B"/>
    <w:rsid w:val="002214C0"/>
    <w:rsid w:val="002219C5"/>
    <w:rsid w:val="00221D56"/>
    <w:rsid w:val="00221DB4"/>
    <w:rsid w:val="00221ECC"/>
    <w:rsid w:val="00222155"/>
    <w:rsid w:val="002221D8"/>
    <w:rsid w:val="0022260F"/>
    <w:rsid w:val="00222A16"/>
    <w:rsid w:val="002230A4"/>
    <w:rsid w:val="002235EF"/>
    <w:rsid w:val="00223DC9"/>
    <w:rsid w:val="00224117"/>
    <w:rsid w:val="002244AB"/>
    <w:rsid w:val="00225357"/>
    <w:rsid w:val="002255B3"/>
    <w:rsid w:val="0022581D"/>
    <w:rsid w:val="002259B0"/>
    <w:rsid w:val="00225D51"/>
    <w:rsid w:val="00226006"/>
    <w:rsid w:val="00226082"/>
    <w:rsid w:val="002261D2"/>
    <w:rsid w:val="00226330"/>
    <w:rsid w:val="00226593"/>
    <w:rsid w:val="00226605"/>
    <w:rsid w:val="0022687C"/>
    <w:rsid w:val="0022706B"/>
    <w:rsid w:val="00227258"/>
    <w:rsid w:val="00227588"/>
    <w:rsid w:val="002276CB"/>
    <w:rsid w:val="002278A3"/>
    <w:rsid w:val="00227A35"/>
    <w:rsid w:val="00230DFA"/>
    <w:rsid w:val="00230E20"/>
    <w:rsid w:val="00230FF8"/>
    <w:rsid w:val="00231073"/>
    <w:rsid w:val="00231539"/>
    <w:rsid w:val="00231696"/>
    <w:rsid w:val="002316B2"/>
    <w:rsid w:val="0023224F"/>
    <w:rsid w:val="0023226D"/>
    <w:rsid w:val="00232B0B"/>
    <w:rsid w:val="00233DC5"/>
    <w:rsid w:val="00233FFB"/>
    <w:rsid w:val="00234078"/>
    <w:rsid w:val="002344BE"/>
    <w:rsid w:val="00234514"/>
    <w:rsid w:val="00234D6A"/>
    <w:rsid w:val="00235158"/>
    <w:rsid w:val="0023677A"/>
    <w:rsid w:val="00237123"/>
    <w:rsid w:val="0023727D"/>
    <w:rsid w:val="00237364"/>
    <w:rsid w:val="00237DDF"/>
    <w:rsid w:val="00237EB0"/>
    <w:rsid w:val="00240E46"/>
    <w:rsid w:val="0024111E"/>
    <w:rsid w:val="00241974"/>
    <w:rsid w:val="002420C8"/>
    <w:rsid w:val="00242273"/>
    <w:rsid w:val="00242464"/>
    <w:rsid w:val="002425F3"/>
    <w:rsid w:val="00242607"/>
    <w:rsid w:val="0024292C"/>
    <w:rsid w:val="00242DA0"/>
    <w:rsid w:val="002431EA"/>
    <w:rsid w:val="00243768"/>
    <w:rsid w:val="00243B34"/>
    <w:rsid w:val="002448A5"/>
    <w:rsid w:val="00245125"/>
    <w:rsid w:val="002456DF"/>
    <w:rsid w:val="00245753"/>
    <w:rsid w:val="00245D43"/>
    <w:rsid w:val="00246188"/>
    <w:rsid w:val="00246196"/>
    <w:rsid w:val="002461C5"/>
    <w:rsid w:val="002464BB"/>
    <w:rsid w:val="0024667B"/>
    <w:rsid w:val="00246704"/>
    <w:rsid w:val="00246983"/>
    <w:rsid w:val="00246BB6"/>
    <w:rsid w:val="0024766C"/>
    <w:rsid w:val="002479B8"/>
    <w:rsid w:val="002479BF"/>
    <w:rsid w:val="00247B9E"/>
    <w:rsid w:val="00247D80"/>
    <w:rsid w:val="00247ED6"/>
    <w:rsid w:val="00251139"/>
    <w:rsid w:val="002514AD"/>
    <w:rsid w:val="00251668"/>
    <w:rsid w:val="00251C6E"/>
    <w:rsid w:val="002520B3"/>
    <w:rsid w:val="00252566"/>
    <w:rsid w:val="002528D7"/>
    <w:rsid w:val="00252DE3"/>
    <w:rsid w:val="00253133"/>
    <w:rsid w:val="0025408A"/>
    <w:rsid w:val="00254150"/>
    <w:rsid w:val="00254712"/>
    <w:rsid w:val="00254B09"/>
    <w:rsid w:val="00254CBA"/>
    <w:rsid w:val="00254F1C"/>
    <w:rsid w:val="0025531B"/>
    <w:rsid w:val="00255E9A"/>
    <w:rsid w:val="002562AB"/>
    <w:rsid w:val="002565D5"/>
    <w:rsid w:val="00256654"/>
    <w:rsid w:val="00256D0D"/>
    <w:rsid w:val="00256F6E"/>
    <w:rsid w:val="00257655"/>
    <w:rsid w:val="00257ABE"/>
    <w:rsid w:val="00257BCE"/>
    <w:rsid w:val="00257E12"/>
    <w:rsid w:val="00257ED7"/>
    <w:rsid w:val="002606C7"/>
    <w:rsid w:val="002606F5"/>
    <w:rsid w:val="00260BB3"/>
    <w:rsid w:val="002611A6"/>
    <w:rsid w:val="00261229"/>
    <w:rsid w:val="00261288"/>
    <w:rsid w:val="002619C3"/>
    <w:rsid w:val="002620E2"/>
    <w:rsid w:val="00262169"/>
    <w:rsid w:val="00262425"/>
    <w:rsid w:val="002624EC"/>
    <w:rsid w:val="0026292E"/>
    <w:rsid w:val="00262FF8"/>
    <w:rsid w:val="00263928"/>
    <w:rsid w:val="002645D9"/>
    <w:rsid w:val="002647A0"/>
    <w:rsid w:val="00264BF4"/>
    <w:rsid w:val="0026520C"/>
    <w:rsid w:val="0026557C"/>
    <w:rsid w:val="002655F0"/>
    <w:rsid w:val="002659D0"/>
    <w:rsid w:val="00265BAB"/>
    <w:rsid w:val="00265CED"/>
    <w:rsid w:val="00265E16"/>
    <w:rsid w:val="00265F9B"/>
    <w:rsid w:val="0026641C"/>
    <w:rsid w:val="0026693E"/>
    <w:rsid w:val="00266B75"/>
    <w:rsid w:val="002670FA"/>
    <w:rsid w:val="00267363"/>
    <w:rsid w:val="002678B8"/>
    <w:rsid w:val="00267BE4"/>
    <w:rsid w:val="00267FB9"/>
    <w:rsid w:val="0027114B"/>
    <w:rsid w:val="00271549"/>
    <w:rsid w:val="00271BEC"/>
    <w:rsid w:val="0027207A"/>
    <w:rsid w:val="00272290"/>
    <w:rsid w:val="00272EF5"/>
    <w:rsid w:val="00272FC3"/>
    <w:rsid w:val="00273C94"/>
    <w:rsid w:val="002742AA"/>
    <w:rsid w:val="00274C59"/>
    <w:rsid w:val="00274D75"/>
    <w:rsid w:val="00275036"/>
    <w:rsid w:val="002756F8"/>
    <w:rsid w:val="00275A27"/>
    <w:rsid w:val="00276002"/>
    <w:rsid w:val="00276122"/>
    <w:rsid w:val="00276BBA"/>
    <w:rsid w:val="00276EA4"/>
    <w:rsid w:val="002778DE"/>
    <w:rsid w:val="002779CC"/>
    <w:rsid w:val="00280A02"/>
    <w:rsid w:val="00281277"/>
    <w:rsid w:val="00281431"/>
    <w:rsid w:val="00281826"/>
    <w:rsid w:val="00281999"/>
    <w:rsid w:val="00281EB0"/>
    <w:rsid w:val="00282029"/>
    <w:rsid w:val="00282BD7"/>
    <w:rsid w:val="00282C56"/>
    <w:rsid w:val="00282C62"/>
    <w:rsid w:val="002830FF"/>
    <w:rsid w:val="00283E13"/>
    <w:rsid w:val="00283F84"/>
    <w:rsid w:val="002840DD"/>
    <w:rsid w:val="002843E3"/>
    <w:rsid w:val="0028460B"/>
    <w:rsid w:val="0028470F"/>
    <w:rsid w:val="002847CB"/>
    <w:rsid w:val="00284996"/>
    <w:rsid w:val="0028499F"/>
    <w:rsid w:val="00285429"/>
    <w:rsid w:val="00286390"/>
    <w:rsid w:val="002864F1"/>
    <w:rsid w:val="00286678"/>
    <w:rsid w:val="00286876"/>
    <w:rsid w:val="00286AF0"/>
    <w:rsid w:val="0028728D"/>
    <w:rsid w:val="00287402"/>
    <w:rsid w:val="002902A0"/>
    <w:rsid w:val="002905E1"/>
    <w:rsid w:val="00290B1B"/>
    <w:rsid w:val="00290EAB"/>
    <w:rsid w:val="00290ED7"/>
    <w:rsid w:val="00291042"/>
    <w:rsid w:val="002911BC"/>
    <w:rsid w:val="002911F1"/>
    <w:rsid w:val="002917FD"/>
    <w:rsid w:val="00291F2C"/>
    <w:rsid w:val="00292077"/>
    <w:rsid w:val="002920E8"/>
    <w:rsid w:val="00292227"/>
    <w:rsid w:val="0029274A"/>
    <w:rsid w:val="00292802"/>
    <w:rsid w:val="00292830"/>
    <w:rsid w:val="00292896"/>
    <w:rsid w:val="002929F9"/>
    <w:rsid w:val="00292AC7"/>
    <w:rsid w:val="00292CF1"/>
    <w:rsid w:val="002936E7"/>
    <w:rsid w:val="00293769"/>
    <w:rsid w:val="0029382F"/>
    <w:rsid w:val="00293C61"/>
    <w:rsid w:val="00294289"/>
    <w:rsid w:val="00294798"/>
    <w:rsid w:val="00296581"/>
    <w:rsid w:val="0029690D"/>
    <w:rsid w:val="00297487"/>
    <w:rsid w:val="00297C90"/>
    <w:rsid w:val="002A0244"/>
    <w:rsid w:val="002A04BF"/>
    <w:rsid w:val="002A0A8B"/>
    <w:rsid w:val="002A0D89"/>
    <w:rsid w:val="002A17CE"/>
    <w:rsid w:val="002A209C"/>
    <w:rsid w:val="002A2609"/>
    <w:rsid w:val="002A28EA"/>
    <w:rsid w:val="002A2E9C"/>
    <w:rsid w:val="002A3A3D"/>
    <w:rsid w:val="002A3A57"/>
    <w:rsid w:val="002A3C21"/>
    <w:rsid w:val="002A3EDA"/>
    <w:rsid w:val="002A3FFB"/>
    <w:rsid w:val="002A4075"/>
    <w:rsid w:val="002A445E"/>
    <w:rsid w:val="002A4886"/>
    <w:rsid w:val="002A4D1F"/>
    <w:rsid w:val="002A4F6A"/>
    <w:rsid w:val="002A504D"/>
    <w:rsid w:val="002A51B1"/>
    <w:rsid w:val="002A5329"/>
    <w:rsid w:val="002A5DFD"/>
    <w:rsid w:val="002A6746"/>
    <w:rsid w:val="002A693C"/>
    <w:rsid w:val="002A696C"/>
    <w:rsid w:val="002A6B99"/>
    <w:rsid w:val="002A7072"/>
    <w:rsid w:val="002A766B"/>
    <w:rsid w:val="002A7CF1"/>
    <w:rsid w:val="002A7FAE"/>
    <w:rsid w:val="002B005F"/>
    <w:rsid w:val="002B03FD"/>
    <w:rsid w:val="002B0B4A"/>
    <w:rsid w:val="002B0D77"/>
    <w:rsid w:val="002B0E16"/>
    <w:rsid w:val="002B0F12"/>
    <w:rsid w:val="002B1326"/>
    <w:rsid w:val="002B1566"/>
    <w:rsid w:val="002B17BA"/>
    <w:rsid w:val="002B1933"/>
    <w:rsid w:val="002B19C5"/>
    <w:rsid w:val="002B1A16"/>
    <w:rsid w:val="002B1E1B"/>
    <w:rsid w:val="002B1EBA"/>
    <w:rsid w:val="002B1FE2"/>
    <w:rsid w:val="002B2211"/>
    <w:rsid w:val="002B224A"/>
    <w:rsid w:val="002B2EA4"/>
    <w:rsid w:val="002B30CA"/>
    <w:rsid w:val="002B346E"/>
    <w:rsid w:val="002B3666"/>
    <w:rsid w:val="002B463E"/>
    <w:rsid w:val="002B555E"/>
    <w:rsid w:val="002B5A4F"/>
    <w:rsid w:val="002B63A3"/>
    <w:rsid w:val="002B6A33"/>
    <w:rsid w:val="002B7E24"/>
    <w:rsid w:val="002B7FAE"/>
    <w:rsid w:val="002C0098"/>
    <w:rsid w:val="002C10D5"/>
    <w:rsid w:val="002C12E1"/>
    <w:rsid w:val="002C2546"/>
    <w:rsid w:val="002C2BE4"/>
    <w:rsid w:val="002C2FF5"/>
    <w:rsid w:val="002C3076"/>
    <w:rsid w:val="002C30A4"/>
    <w:rsid w:val="002C32CD"/>
    <w:rsid w:val="002C3C62"/>
    <w:rsid w:val="002C3C73"/>
    <w:rsid w:val="002C410A"/>
    <w:rsid w:val="002C435E"/>
    <w:rsid w:val="002C46EC"/>
    <w:rsid w:val="002C4AEC"/>
    <w:rsid w:val="002C4CEB"/>
    <w:rsid w:val="002C4CEE"/>
    <w:rsid w:val="002C4E70"/>
    <w:rsid w:val="002C527F"/>
    <w:rsid w:val="002C5387"/>
    <w:rsid w:val="002C54A9"/>
    <w:rsid w:val="002C54E4"/>
    <w:rsid w:val="002C5D5D"/>
    <w:rsid w:val="002C5DCC"/>
    <w:rsid w:val="002C5E92"/>
    <w:rsid w:val="002C5EE6"/>
    <w:rsid w:val="002C61DD"/>
    <w:rsid w:val="002C62E4"/>
    <w:rsid w:val="002C6318"/>
    <w:rsid w:val="002C6710"/>
    <w:rsid w:val="002C734A"/>
    <w:rsid w:val="002C74DB"/>
    <w:rsid w:val="002C771B"/>
    <w:rsid w:val="002C7D1C"/>
    <w:rsid w:val="002C7EE3"/>
    <w:rsid w:val="002D0386"/>
    <w:rsid w:val="002D03AA"/>
    <w:rsid w:val="002D057C"/>
    <w:rsid w:val="002D058A"/>
    <w:rsid w:val="002D0678"/>
    <w:rsid w:val="002D083D"/>
    <w:rsid w:val="002D101A"/>
    <w:rsid w:val="002D13CA"/>
    <w:rsid w:val="002D1E67"/>
    <w:rsid w:val="002D2C99"/>
    <w:rsid w:val="002D2ED7"/>
    <w:rsid w:val="002D3568"/>
    <w:rsid w:val="002D38B6"/>
    <w:rsid w:val="002D4254"/>
    <w:rsid w:val="002D42A2"/>
    <w:rsid w:val="002D433D"/>
    <w:rsid w:val="002D44D4"/>
    <w:rsid w:val="002D478B"/>
    <w:rsid w:val="002D47CA"/>
    <w:rsid w:val="002D48E7"/>
    <w:rsid w:val="002D4979"/>
    <w:rsid w:val="002D5DC0"/>
    <w:rsid w:val="002D5EA9"/>
    <w:rsid w:val="002D6432"/>
    <w:rsid w:val="002D651B"/>
    <w:rsid w:val="002D6A0A"/>
    <w:rsid w:val="002D6B7E"/>
    <w:rsid w:val="002D6C5B"/>
    <w:rsid w:val="002D70E4"/>
    <w:rsid w:val="002E0135"/>
    <w:rsid w:val="002E07A2"/>
    <w:rsid w:val="002E096D"/>
    <w:rsid w:val="002E0ECD"/>
    <w:rsid w:val="002E1979"/>
    <w:rsid w:val="002E1E6A"/>
    <w:rsid w:val="002E1E83"/>
    <w:rsid w:val="002E2141"/>
    <w:rsid w:val="002E28CF"/>
    <w:rsid w:val="002E33FE"/>
    <w:rsid w:val="002E3493"/>
    <w:rsid w:val="002E3937"/>
    <w:rsid w:val="002E3C89"/>
    <w:rsid w:val="002E3EA0"/>
    <w:rsid w:val="002E3EE2"/>
    <w:rsid w:val="002E3F50"/>
    <w:rsid w:val="002E41A0"/>
    <w:rsid w:val="002E4283"/>
    <w:rsid w:val="002E42BA"/>
    <w:rsid w:val="002E4468"/>
    <w:rsid w:val="002E4517"/>
    <w:rsid w:val="002E4632"/>
    <w:rsid w:val="002E4681"/>
    <w:rsid w:val="002E51B2"/>
    <w:rsid w:val="002E544E"/>
    <w:rsid w:val="002E5B73"/>
    <w:rsid w:val="002E6078"/>
    <w:rsid w:val="002E697D"/>
    <w:rsid w:val="002E6C5C"/>
    <w:rsid w:val="002E6FB8"/>
    <w:rsid w:val="002E7051"/>
    <w:rsid w:val="002E7C06"/>
    <w:rsid w:val="002E7DDA"/>
    <w:rsid w:val="002E7F9E"/>
    <w:rsid w:val="002E7FB5"/>
    <w:rsid w:val="002F04FF"/>
    <w:rsid w:val="002F0901"/>
    <w:rsid w:val="002F14BC"/>
    <w:rsid w:val="002F1722"/>
    <w:rsid w:val="002F198C"/>
    <w:rsid w:val="002F199B"/>
    <w:rsid w:val="002F1DEF"/>
    <w:rsid w:val="002F2053"/>
    <w:rsid w:val="002F21F7"/>
    <w:rsid w:val="002F28FF"/>
    <w:rsid w:val="002F2980"/>
    <w:rsid w:val="002F2C37"/>
    <w:rsid w:val="002F314A"/>
    <w:rsid w:val="002F3158"/>
    <w:rsid w:val="002F333E"/>
    <w:rsid w:val="002F3594"/>
    <w:rsid w:val="002F3606"/>
    <w:rsid w:val="002F36B8"/>
    <w:rsid w:val="002F384F"/>
    <w:rsid w:val="002F3E89"/>
    <w:rsid w:val="002F446D"/>
    <w:rsid w:val="002F4B7A"/>
    <w:rsid w:val="002F4CC8"/>
    <w:rsid w:val="002F507B"/>
    <w:rsid w:val="002F5432"/>
    <w:rsid w:val="002F5D73"/>
    <w:rsid w:val="002F6336"/>
    <w:rsid w:val="002F7980"/>
    <w:rsid w:val="00300383"/>
    <w:rsid w:val="00300B3A"/>
    <w:rsid w:val="00300D4B"/>
    <w:rsid w:val="00300DFD"/>
    <w:rsid w:val="00300E5A"/>
    <w:rsid w:val="00301443"/>
    <w:rsid w:val="003015D7"/>
    <w:rsid w:val="00301716"/>
    <w:rsid w:val="00301878"/>
    <w:rsid w:val="00301D61"/>
    <w:rsid w:val="00301E90"/>
    <w:rsid w:val="00302CDF"/>
    <w:rsid w:val="00302D0C"/>
    <w:rsid w:val="00302D0E"/>
    <w:rsid w:val="00302EBC"/>
    <w:rsid w:val="00303169"/>
    <w:rsid w:val="00303922"/>
    <w:rsid w:val="003041BC"/>
    <w:rsid w:val="003045E0"/>
    <w:rsid w:val="00305148"/>
    <w:rsid w:val="0030545B"/>
    <w:rsid w:val="00305BB2"/>
    <w:rsid w:val="00305DEE"/>
    <w:rsid w:val="00306375"/>
    <w:rsid w:val="003063A6"/>
    <w:rsid w:val="00306617"/>
    <w:rsid w:val="003067AF"/>
    <w:rsid w:val="00306E99"/>
    <w:rsid w:val="00306EF2"/>
    <w:rsid w:val="00307D30"/>
    <w:rsid w:val="0031090F"/>
    <w:rsid w:val="003109A2"/>
    <w:rsid w:val="00310DA0"/>
    <w:rsid w:val="003111B3"/>
    <w:rsid w:val="00311A69"/>
    <w:rsid w:val="00311C40"/>
    <w:rsid w:val="00311D12"/>
    <w:rsid w:val="00312648"/>
    <w:rsid w:val="00312953"/>
    <w:rsid w:val="0031346C"/>
    <w:rsid w:val="00313C48"/>
    <w:rsid w:val="003149E0"/>
    <w:rsid w:val="00314D85"/>
    <w:rsid w:val="0031508A"/>
    <w:rsid w:val="00316498"/>
    <w:rsid w:val="00316801"/>
    <w:rsid w:val="00316B7D"/>
    <w:rsid w:val="003173B8"/>
    <w:rsid w:val="00317BE2"/>
    <w:rsid w:val="00317C5F"/>
    <w:rsid w:val="00317E60"/>
    <w:rsid w:val="00317FC3"/>
    <w:rsid w:val="003202E6"/>
    <w:rsid w:val="00320628"/>
    <w:rsid w:val="0032117D"/>
    <w:rsid w:val="003217BB"/>
    <w:rsid w:val="00321DD0"/>
    <w:rsid w:val="00321EE1"/>
    <w:rsid w:val="00322457"/>
    <w:rsid w:val="00322473"/>
    <w:rsid w:val="00322B5A"/>
    <w:rsid w:val="00322F58"/>
    <w:rsid w:val="00323005"/>
    <w:rsid w:val="00323193"/>
    <w:rsid w:val="003234F5"/>
    <w:rsid w:val="003236AB"/>
    <w:rsid w:val="00323912"/>
    <w:rsid w:val="00323979"/>
    <w:rsid w:val="00323A11"/>
    <w:rsid w:val="00323A3E"/>
    <w:rsid w:val="003241E1"/>
    <w:rsid w:val="00325362"/>
    <w:rsid w:val="00326B88"/>
    <w:rsid w:val="00326F57"/>
    <w:rsid w:val="0032710C"/>
    <w:rsid w:val="00327D12"/>
    <w:rsid w:val="00330645"/>
    <w:rsid w:val="00330901"/>
    <w:rsid w:val="003313E9"/>
    <w:rsid w:val="0033140E"/>
    <w:rsid w:val="003314EB"/>
    <w:rsid w:val="0033173F"/>
    <w:rsid w:val="00331BC5"/>
    <w:rsid w:val="00331F6E"/>
    <w:rsid w:val="00332120"/>
    <w:rsid w:val="003322CA"/>
    <w:rsid w:val="00332689"/>
    <w:rsid w:val="00332DB9"/>
    <w:rsid w:val="00332F86"/>
    <w:rsid w:val="00333C04"/>
    <w:rsid w:val="003345D2"/>
    <w:rsid w:val="00334CF8"/>
    <w:rsid w:val="00334D20"/>
    <w:rsid w:val="00334E5F"/>
    <w:rsid w:val="00334EFE"/>
    <w:rsid w:val="00335159"/>
    <w:rsid w:val="00335719"/>
    <w:rsid w:val="00335C4A"/>
    <w:rsid w:val="0033652C"/>
    <w:rsid w:val="0033666B"/>
    <w:rsid w:val="00336A4D"/>
    <w:rsid w:val="00337023"/>
    <w:rsid w:val="00337865"/>
    <w:rsid w:val="00340306"/>
    <w:rsid w:val="00340471"/>
    <w:rsid w:val="003408CF"/>
    <w:rsid w:val="00340CB9"/>
    <w:rsid w:val="00340F36"/>
    <w:rsid w:val="0034104C"/>
    <w:rsid w:val="00341185"/>
    <w:rsid w:val="00341B57"/>
    <w:rsid w:val="003420DA"/>
    <w:rsid w:val="0034243E"/>
    <w:rsid w:val="003425E3"/>
    <w:rsid w:val="003427CF"/>
    <w:rsid w:val="00343192"/>
    <w:rsid w:val="00343290"/>
    <w:rsid w:val="00343314"/>
    <w:rsid w:val="0034338E"/>
    <w:rsid w:val="003435E7"/>
    <w:rsid w:val="00343B2B"/>
    <w:rsid w:val="00343B6F"/>
    <w:rsid w:val="00343C12"/>
    <w:rsid w:val="00344540"/>
    <w:rsid w:val="00344F44"/>
    <w:rsid w:val="00344FB7"/>
    <w:rsid w:val="00345889"/>
    <w:rsid w:val="00345C9E"/>
    <w:rsid w:val="00345CA4"/>
    <w:rsid w:val="00346179"/>
    <w:rsid w:val="00346F95"/>
    <w:rsid w:val="00346FAF"/>
    <w:rsid w:val="0034727F"/>
    <w:rsid w:val="0035033F"/>
    <w:rsid w:val="003504D4"/>
    <w:rsid w:val="003505A5"/>
    <w:rsid w:val="00350908"/>
    <w:rsid w:val="0035094D"/>
    <w:rsid w:val="003509B7"/>
    <w:rsid w:val="00350C59"/>
    <w:rsid w:val="00350C69"/>
    <w:rsid w:val="00350D3A"/>
    <w:rsid w:val="00351B3F"/>
    <w:rsid w:val="00351C08"/>
    <w:rsid w:val="00351CA4"/>
    <w:rsid w:val="00351CBD"/>
    <w:rsid w:val="00352123"/>
    <w:rsid w:val="0035239C"/>
    <w:rsid w:val="003529C1"/>
    <w:rsid w:val="00352BDD"/>
    <w:rsid w:val="00352DC3"/>
    <w:rsid w:val="00352F08"/>
    <w:rsid w:val="0035397B"/>
    <w:rsid w:val="0035491A"/>
    <w:rsid w:val="00354AEC"/>
    <w:rsid w:val="00354BA6"/>
    <w:rsid w:val="00354D5B"/>
    <w:rsid w:val="003551AB"/>
    <w:rsid w:val="003555BF"/>
    <w:rsid w:val="003555F1"/>
    <w:rsid w:val="00355B18"/>
    <w:rsid w:val="003561C9"/>
    <w:rsid w:val="00356214"/>
    <w:rsid w:val="00356237"/>
    <w:rsid w:val="003562E3"/>
    <w:rsid w:val="003564FF"/>
    <w:rsid w:val="0035650B"/>
    <w:rsid w:val="00356611"/>
    <w:rsid w:val="00356EC5"/>
    <w:rsid w:val="00357088"/>
    <w:rsid w:val="00357627"/>
    <w:rsid w:val="0035792C"/>
    <w:rsid w:val="0035798D"/>
    <w:rsid w:val="003605CD"/>
    <w:rsid w:val="003606CE"/>
    <w:rsid w:val="003606E3"/>
    <w:rsid w:val="00361C14"/>
    <w:rsid w:val="00361DFA"/>
    <w:rsid w:val="00362131"/>
    <w:rsid w:val="00362316"/>
    <w:rsid w:val="003623D3"/>
    <w:rsid w:val="003626C1"/>
    <w:rsid w:val="003627B7"/>
    <w:rsid w:val="00362F2A"/>
    <w:rsid w:val="003634AA"/>
    <w:rsid w:val="0036357E"/>
    <w:rsid w:val="003638B2"/>
    <w:rsid w:val="00363E3A"/>
    <w:rsid w:val="00363E4C"/>
    <w:rsid w:val="003642AD"/>
    <w:rsid w:val="003646A9"/>
    <w:rsid w:val="003648AF"/>
    <w:rsid w:val="00364CCB"/>
    <w:rsid w:val="00365BAE"/>
    <w:rsid w:val="00365C1C"/>
    <w:rsid w:val="00365C51"/>
    <w:rsid w:val="00366049"/>
    <w:rsid w:val="003660A4"/>
    <w:rsid w:val="003660C1"/>
    <w:rsid w:val="003662FB"/>
    <w:rsid w:val="003663CC"/>
    <w:rsid w:val="00366703"/>
    <w:rsid w:val="003668B7"/>
    <w:rsid w:val="00366923"/>
    <w:rsid w:val="00366E98"/>
    <w:rsid w:val="00367AC5"/>
    <w:rsid w:val="00370941"/>
    <w:rsid w:val="00370B4B"/>
    <w:rsid w:val="00370D42"/>
    <w:rsid w:val="00370EBD"/>
    <w:rsid w:val="00370EFE"/>
    <w:rsid w:val="003714CE"/>
    <w:rsid w:val="0037186C"/>
    <w:rsid w:val="00371C18"/>
    <w:rsid w:val="00372C15"/>
    <w:rsid w:val="00372CB0"/>
    <w:rsid w:val="00373C04"/>
    <w:rsid w:val="00373EED"/>
    <w:rsid w:val="003746C6"/>
    <w:rsid w:val="0037481F"/>
    <w:rsid w:val="00374D1B"/>
    <w:rsid w:val="003752D1"/>
    <w:rsid w:val="00375842"/>
    <w:rsid w:val="003758BC"/>
    <w:rsid w:val="00375B50"/>
    <w:rsid w:val="00375FF5"/>
    <w:rsid w:val="00376D1C"/>
    <w:rsid w:val="00377356"/>
    <w:rsid w:val="00380750"/>
    <w:rsid w:val="00380917"/>
    <w:rsid w:val="00380974"/>
    <w:rsid w:val="00380B81"/>
    <w:rsid w:val="00380CE4"/>
    <w:rsid w:val="00380D41"/>
    <w:rsid w:val="00380EB6"/>
    <w:rsid w:val="00381518"/>
    <w:rsid w:val="00381918"/>
    <w:rsid w:val="00381A3E"/>
    <w:rsid w:val="00381C5E"/>
    <w:rsid w:val="00381D44"/>
    <w:rsid w:val="00381E13"/>
    <w:rsid w:val="00381F72"/>
    <w:rsid w:val="00382CF0"/>
    <w:rsid w:val="00383124"/>
    <w:rsid w:val="00383300"/>
    <w:rsid w:val="00383377"/>
    <w:rsid w:val="00383968"/>
    <w:rsid w:val="003842F0"/>
    <w:rsid w:val="00384867"/>
    <w:rsid w:val="003852C5"/>
    <w:rsid w:val="003853C0"/>
    <w:rsid w:val="003858CC"/>
    <w:rsid w:val="00385AAA"/>
    <w:rsid w:val="00385BFD"/>
    <w:rsid w:val="00385DAC"/>
    <w:rsid w:val="003866FA"/>
    <w:rsid w:val="00386C44"/>
    <w:rsid w:val="003870C4"/>
    <w:rsid w:val="003870FD"/>
    <w:rsid w:val="00387529"/>
    <w:rsid w:val="00387576"/>
    <w:rsid w:val="003879BD"/>
    <w:rsid w:val="00387BA2"/>
    <w:rsid w:val="00387D17"/>
    <w:rsid w:val="00387FDE"/>
    <w:rsid w:val="0039013E"/>
    <w:rsid w:val="00390E25"/>
    <w:rsid w:val="00391160"/>
    <w:rsid w:val="003913BD"/>
    <w:rsid w:val="003915B9"/>
    <w:rsid w:val="00391BD7"/>
    <w:rsid w:val="00391CF5"/>
    <w:rsid w:val="00391D73"/>
    <w:rsid w:val="00392705"/>
    <w:rsid w:val="00392C98"/>
    <w:rsid w:val="00392F81"/>
    <w:rsid w:val="003939BE"/>
    <w:rsid w:val="00393A40"/>
    <w:rsid w:val="00393D0F"/>
    <w:rsid w:val="00394133"/>
    <w:rsid w:val="00394F50"/>
    <w:rsid w:val="00395271"/>
    <w:rsid w:val="00395492"/>
    <w:rsid w:val="00395541"/>
    <w:rsid w:val="003956FC"/>
    <w:rsid w:val="00395D43"/>
    <w:rsid w:val="00395DC8"/>
    <w:rsid w:val="003961CE"/>
    <w:rsid w:val="00396B97"/>
    <w:rsid w:val="0039701E"/>
    <w:rsid w:val="00397469"/>
    <w:rsid w:val="00397A9C"/>
    <w:rsid w:val="00397C1F"/>
    <w:rsid w:val="003A0137"/>
    <w:rsid w:val="003A01FB"/>
    <w:rsid w:val="003A0272"/>
    <w:rsid w:val="003A0944"/>
    <w:rsid w:val="003A09F3"/>
    <w:rsid w:val="003A0BBB"/>
    <w:rsid w:val="003A10DA"/>
    <w:rsid w:val="003A10ED"/>
    <w:rsid w:val="003A10EF"/>
    <w:rsid w:val="003A1D9F"/>
    <w:rsid w:val="003A22EE"/>
    <w:rsid w:val="003A2392"/>
    <w:rsid w:val="003A2609"/>
    <w:rsid w:val="003A287B"/>
    <w:rsid w:val="003A2A1C"/>
    <w:rsid w:val="003A2C49"/>
    <w:rsid w:val="003A359C"/>
    <w:rsid w:val="003A3641"/>
    <w:rsid w:val="003A3699"/>
    <w:rsid w:val="003A3970"/>
    <w:rsid w:val="003A3BF5"/>
    <w:rsid w:val="003A3F1F"/>
    <w:rsid w:val="003A40FF"/>
    <w:rsid w:val="003A425C"/>
    <w:rsid w:val="003A42B3"/>
    <w:rsid w:val="003A47C1"/>
    <w:rsid w:val="003A4B29"/>
    <w:rsid w:val="003A4BB7"/>
    <w:rsid w:val="003A4C51"/>
    <w:rsid w:val="003A4D88"/>
    <w:rsid w:val="003A4E20"/>
    <w:rsid w:val="003A4FF6"/>
    <w:rsid w:val="003A56E3"/>
    <w:rsid w:val="003A6E77"/>
    <w:rsid w:val="003A6FEF"/>
    <w:rsid w:val="003A7086"/>
    <w:rsid w:val="003A7241"/>
    <w:rsid w:val="003A739C"/>
    <w:rsid w:val="003A75A8"/>
    <w:rsid w:val="003A7950"/>
    <w:rsid w:val="003B03DD"/>
    <w:rsid w:val="003B0474"/>
    <w:rsid w:val="003B0565"/>
    <w:rsid w:val="003B05BD"/>
    <w:rsid w:val="003B06C1"/>
    <w:rsid w:val="003B07E6"/>
    <w:rsid w:val="003B0900"/>
    <w:rsid w:val="003B09B0"/>
    <w:rsid w:val="003B0B2E"/>
    <w:rsid w:val="003B1501"/>
    <w:rsid w:val="003B16E0"/>
    <w:rsid w:val="003B1819"/>
    <w:rsid w:val="003B1DE8"/>
    <w:rsid w:val="003B1F5F"/>
    <w:rsid w:val="003B269A"/>
    <w:rsid w:val="003B331F"/>
    <w:rsid w:val="003B3657"/>
    <w:rsid w:val="003B3F1B"/>
    <w:rsid w:val="003B409D"/>
    <w:rsid w:val="003B4113"/>
    <w:rsid w:val="003B441E"/>
    <w:rsid w:val="003B4501"/>
    <w:rsid w:val="003B497A"/>
    <w:rsid w:val="003B4CD4"/>
    <w:rsid w:val="003B5032"/>
    <w:rsid w:val="003B5523"/>
    <w:rsid w:val="003B57EA"/>
    <w:rsid w:val="003B5B28"/>
    <w:rsid w:val="003B6474"/>
    <w:rsid w:val="003B65C0"/>
    <w:rsid w:val="003B6770"/>
    <w:rsid w:val="003B722F"/>
    <w:rsid w:val="003B743F"/>
    <w:rsid w:val="003B78FE"/>
    <w:rsid w:val="003B7D24"/>
    <w:rsid w:val="003B7F58"/>
    <w:rsid w:val="003B7FDE"/>
    <w:rsid w:val="003C064B"/>
    <w:rsid w:val="003C119F"/>
    <w:rsid w:val="003C1BB8"/>
    <w:rsid w:val="003C1E86"/>
    <w:rsid w:val="003C1EA9"/>
    <w:rsid w:val="003C1F6F"/>
    <w:rsid w:val="003C241B"/>
    <w:rsid w:val="003C2A0F"/>
    <w:rsid w:val="003C2B64"/>
    <w:rsid w:val="003C2CFF"/>
    <w:rsid w:val="003C2D90"/>
    <w:rsid w:val="003C2DE3"/>
    <w:rsid w:val="003C384C"/>
    <w:rsid w:val="003C38A8"/>
    <w:rsid w:val="003C3B8F"/>
    <w:rsid w:val="003C3CB5"/>
    <w:rsid w:val="003C4585"/>
    <w:rsid w:val="003C4692"/>
    <w:rsid w:val="003C4AE8"/>
    <w:rsid w:val="003C4D48"/>
    <w:rsid w:val="003C4F35"/>
    <w:rsid w:val="003C5B23"/>
    <w:rsid w:val="003C5E9C"/>
    <w:rsid w:val="003C664D"/>
    <w:rsid w:val="003C6AB2"/>
    <w:rsid w:val="003C6E3B"/>
    <w:rsid w:val="003C6F77"/>
    <w:rsid w:val="003C716D"/>
    <w:rsid w:val="003C7556"/>
    <w:rsid w:val="003D000D"/>
    <w:rsid w:val="003D0199"/>
    <w:rsid w:val="003D0352"/>
    <w:rsid w:val="003D03A1"/>
    <w:rsid w:val="003D1051"/>
    <w:rsid w:val="003D10D2"/>
    <w:rsid w:val="003D118C"/>
    <w:rsid w:val="003D16F5"/>
    <w:rsid w:val="003D178B"/>
    <w:rsid w:val="003D2015"/>
    <w:rsid w:val="003D20C0"/>
    <w:rsid w:val="003D20CD"/>
    <w:rsid w:val="003D2AC7"/>
    <w:rsid w:val="003D2D87"/>
    <w:rsid w:val="003D2E86"/>
    <w:rsid w:val="003D350E"/>
    <w:rsid w:val="003D35CC"/>
    <w:rsid w:val="003D37BF"/>
    <w:rsid w:val="003D3BC2"/>
    <w:rsid w:val="003D3E07"/>
    <w:rsid w:val="003D408A"/>
    <w:rsid w:val="003D497A"/>
    <w:rsid w:val="003D4BA6"/>
    <w:rsid w:val="003D5AEB"/>
    <w:rsid w:val="003D5B92"/>
    <w:rsid w:val="003D6A1A"/>
    <w:rsid w:val="003D6B45"/>
    <w:rsid w:val="003D6B5F"/>
    <w:rsid w:val="003D70C7"/>
    <w:rsid w:val="003D70ED"/>
    <w:rsid w:val="003D748B"/>
    <w:rsid w:val="003D790C"/>
    <w:rsid w:val="003D7C2B"/>
    <w:rsid w:val="003D7F61"/>
    <w:rsid w:val="003E067C"/>
    <w:rsid w:val="003E0BBB"/>
    <w:rsid w:val="003E11FF"/>
    <w:rsid w:val="003E158C"/>
    <w:rsid w:val="003E199E"/>
    <w:rsid w:val="003E1A71"/>
    <w:rsid w:val="003E1B35"/>
    <w:rsid w:val="003E1D8A"/>
    <w:rsid w:val="003E1F18"/>
    <w:rsid w:val="003E220E"/>
    <w:rsid w:val="003E266C"/>
    <w:rsid w:val="003E27C2"/>
    <w:rsid w:val="003E2B29"/>
    <w:rsid w:val="003E2B49"/>
    <w:rsid w:val="003E2EF0"/>
    <w:rsid w:val="003E3623"/>
    <w:rsid w:val="003E38E4"/>
    <w:rsid w:val="003E3CD3"/>
    <w:rsid w:val="003E3DD8"/>
    <w:rsid w:val="003E41B2"/>
    <w:rsid w:val="003E433E"/>
    <w:rsid w:val="003E4726"/>
    <w:rsid w:val="003E4B30"/>
    <w:rsid w:val="003E4EB4"/>
    <w:rsid w:val="003E5DC1"/>
    <w:rsid w:val="003E5F3D"/>
    <w:rsid w:val="003E6188"/>
    <w:rsid w:val="003E63D8"/>
    <w:rsid w:val="003E66EE"/>
    <w:rsid w:val="003E6C81"/>
    <w:rsid w:val="003E7391"/>
    <w:rsid w:val="003E7550"/>
    <w:rsid w:val="003E7647"/>
    <w:rsid w:val="003E7AA7"/>
    <w:rsid w:val="003F09B1"/>
    <w:rsid w:val="003F0A5A"/>
    <w:rsid w:val="003F0B5A"/>
    <w:rsid w:val="003F0E2F"/>
    <w:rsid w:val="003F0E67"/>
    <w:rsid w:val="003F17BC"/>
    <w:rsid w:val="003F2080"/>
    <w:rsid w:val="003F2134"/>
    <w:rsid w:val="003F2298"/>
    <w:rsid w:val="003F2B04"/>
    <w:rsid w:val="003F2E3B"/>
    <w:rsid w:val="003F2F20"/>
    <w:rsid w:val="003F2F51"/>
    <w:rsid w:val="003F325C"/>
    <w:rsid w:val="003F376C"/>
    <w:rsid w:val="003F39B5"/>
    <w:rsid w:val="003F3F19"/>
    <w:rsid w:val="003F46CD"/>
    <w:rsid w:val="003F48D5"/>
    <w:rsid w:val="003F4AB7"/>
    <w:rsid w:val="003F4E1D"/>
    <w:rsid w:val="003F4F55"/>
    <w:rsid w:val="003F50B2"/>
    <w:rsid w:val="003F57CB"/>
    <w:rsid w:val="003F5886"/>
    <w:rsid w:val="003F5A19"/>
    <w:rsid w:val="003F5BDE"/>
    <w:rsid w:val="003F5C7C"/>
    <w:rsid w:val="003F6225"/>
    <w:rsid w:val="003F6568"/>
    <w:rsid w:val="003F69E5"/>
    <w:rsid w:val="003F6A07"/>
    <w:rsid w:val="003F6C7E"/>
    <w:rsid w:val="003F7235"/>
    <w:rsid w:val="003F7546"/>
    <w:rsid w:val="003F7608"/>
    <w:rsid w:val="003F7CC7"/>
    <w:rsid w:val="003F7EAB"/>
    <w:rsid w:val="004002C9"/>
    <w:rsid w:val="0040090F"/>
    <w:rsid w:val="00400BC0"/>
    <w:rsid w:val="00402971"/>
    <w:rsid w:val="00402D4B"/>
    <w:rsid w:val="00402D9E"/>
    <w:rsid w:val="00402DA2"/>
    <w:rsid w:val="00403424"/>
    <w:rsid w:val="00403C0B"/>
    <w:rsid w:val="0040413B"/>
    <w:rsid w:val="00404331"/>
    <w:rsid w:val="00405232"/>
    <w:rsid w:val="004056C4"/>
    <w:rsid w:val="004058B6"/>
    <w:rsid w:val="004062B3"/>
    <w:rsid w:val="004063D3"/>
    <w:rsid w:val="00406640"/>
    <w:rsid w:val="00406CBF"/>
    <w:rsid w:val="00406FD9"/>
    <w:rsid w:val="00406FF3"/>
    <w:rsid w:val="00407298"/>
    <w:rsid w:val="00407763"/>
    <w:rsid w:val="00407932"/>
    <w:rsid w:val="00407E0B"/>
    <w:rsid w:val="00410120"/>
    <w:rsid w:val="00410347"/>
    <w:rsid w:val="00410BA8"/>
    <w:rsid w:val="00410CF1"/>
    <w:rsid w:val="00410E1C"/>
    <w:rsid w:val="00410FD0"/>
    <w:rsid w:val="00411220"/>
    <w:rsid w:val="00411509"/>
    <w:rsid w:val="004118D9"/>
    <w:rsid w:val="004118F7"/>
    <w:rsid w:val="0041190F"/>
    <w:rsid w:val="004121F2"/>
    <w:rsid w:val="004126B2"/>
    <w:rsid w:val="004127CB"/>
    <w:rsid w:val="004129F4"/>
    <w:rsid w:val="00412FEC"/>
    <w:rsid w:val="004139D0"/>
    <w:rsid w:val="004139FF"/>
    <w:rsid w:val="00413A65"/>
    <w:rsid w:val="00413E2B"/>
    <w:rsid w:val="00414434"/>
    <w:rsid w:val="00414E4B"/>
    <w:rsid w:val="00414FCE"/>
    <w:rsid w:val="00415499"/>
    <w:rsid w:val="004154D0"/>
    <w:rsid w:val="0041582B"/>
    <w:rsid w:val="00415B90"/>
    <w:rsid w:val="00415C9A"/>
    <w:rsid w:val="00416473"/>
    <w:rsid w:val="00416533"/>
    <w:rsid w:val="0041684D"/>
    <w:rsid w:val="00417329"/>
    <w:rsid w:val="00417525"/>
    <w:rsid w:val="00420801"/>
    <w:rsid w:val="0042084F"/>
    <w:rsid w:val="00420A05"/>
    <w:rsid w:val="004213FE"/>
    <w:rsid w:val="004217B1"/>
    <w:rsid w:val="00421AD4"/>
    <w:rsid w:val="00421E26"/>
    <w:rsid w:val="00422987"/>
    <w:rsid w:val="00422E77"/>
    <w:rsid w:val="00423504"/>
    <w:rsid w:val="00423F99"/>
    <w:rsid w:val="004240FE"/>
    <w:rsid w:val="004242AA"/>
    <w:rsid w:val="004246ED"/>
    <w:rsid w:val="0042491B"/>
    <w:rsid w:val="00424DA3"/>
    <w:rsid w:val="00424E13"/>
    <w:rsid w:val="00424F33"/>
    <w:rsid w:val="004253B8"/>
    <w:rsid w:val="004254F5"/>
    <w:rsid w:val="004254F6"/>
    <w:rsid w:val="0042567B"/>
    <w:rsid w:val="00425D1C"/>
    <w:rsid w:val="00425E56"/>
    <w:rsid w:val="00426028"/>
    <w:rsid w:val="004262EF"/>
    <w:rsid w:val="00427575"/>
    <w:rsid w:val="00427DBB"/>
    <w:rsid w:val="0043002B"/>
    <w:rsid w:val="00430040"/>
    <w:rsid w:val="004300D5"/>
    <w:rsid w:val="004307CC"/>
    <w:rsid w:val="00430B69"/>
    <w:rsid w:val="00431FE9"/>
    <w:rsid w:val="004321E6"/>
    <w:rsid w:val="00432F5E"/>
    <w:rsid w:val="004333C0"/>
    <w:rsid w:val="0043362B"/>
    <w:rsid w:val="004336B6"/>
    <w:rsid w:val="00433AA8"/>
    <w:rsid w:val="00433B9C"/>
    <w:rsid w:val="00433F56"/>
    <w:rsid w:val="00434461"/>
    <w:rsid w:val="004345F6"/>
    <w:rsid w:val="00434BD3"/>
    <w:rsid w:val="004357C7"/>
    <w:rsid w:val="004358C3"/>
    <w:rsid w:val="00435AE6"/>
    <w:rsid w:val="00435D28"/>
    <w:rsid w:val="00435E02"/>
    <w:rsid w:val="0043601A"/>
    <w:rsid w:val="00436664"/>
    <w:rsid w:val="00436996"/>
    <w:rsid w:val="00437AAC"/>
    <w:rsid w:val="00437C12"/>
    <w:rsid w:val="00437D7B"/>
    <w:rsid w:val="0044051E"/>
    <w:rsid w:val="00440E57"/>
    <w:rsid w:val="00440F81"/>
    <w:rsid w:val="00441224"/>
    <w:rsid w:val="004413AA"/>
    <w:rsid w:val="00441D7B"/>
    <w:rsid w:val="004421B9"/>
    <w:rsid w:val="00442502"/>
    <w:rsid w:val="0044250F"/>
    <w:rsid w:val="004427EB"/>
    <w:rsid w:val="00442C86"/>
    <w:rsid w:val="00442E59"/>
    <w:rsid w:val="0044360C"/>
    <w:rsid w:val="0044392F"/>
    <w:rsid w:val="00443E36"/>
    <w:rsid w:val="0044415D"/>
    <w:rsid w:val="004442B5"/>
    <w:rsid w:val="00444FFF"/>
    <w:rsid w:val="00445268"/>
    <w:rsid w:val="0044549C"/>
    <w:rsid w:val="00445603"/>
    <w:rsid w:val="00445C29"/>
    <w:rsid w:val="00445C8E"/>
    <w:rsid w:val="004462F3"/>
    <w:rsid w:val="00446880"/>
    <w:rsid w:val="00446F75"/>
    <w:rsid w:val="00447419"/>
    <w:rsid w:val="0044742E"/>
    <w:rsid w:val="004478AD"/>
    <w:rsid w:val="00447C87"/>
    <w:rsid w:val="004506E3"/>
    <w:rsid w:val="00450B2A"/>
    <w:rsid w:val="00450DD1"/>
    <w:rsid w:val="00450F26"/>
    <w:rsid w:val="00450FE2"/>
    <w:rsid w:val="00451043"/>
    <w:rsid w:val="00451365"/>
    <w:rsid w:val="004515DC"/>
    <w:rsid w:val="00451A2F"/>
    <w:rsid w:val="00452164"/>
    <w:rsid w:val="004529B3"/>
    <w:rsid w:val="004529F6"/>
    <w:rsid w:val="00452C00"/>
    <w:rsid w:val="00452F6B"/>
    <w:rsid w:val="00453131"/>
    <w:rsid w:val="0045375F"/>
    <w:rsid w:val="00453E63"/>
    <w:rsid w:val="0045410F"/>
    <w:rsid w:val="00454203"/>
    <w:rsid w:val="004545BF"/>
    <w:rsid w:val="00454767"/>
    <w:rsid w:val="0045493E"/>
    <w:rsid w:val="00454CF9"/>
    <w:rsid w:val="00454E64"/>
    <w:rsid w:val="004556BF"/>
    <w:rsid w:val="004556FD"/>
    <w:rsid w:val="004558A6"/>
    <w:rsid w:val="00455B6D"/>
    <w:rsid w:val="00455E62"/>
    <w:rsid w:val="0045615A"/>
    <w:rsid w:val="004561BC"/>
    <w:rsid w:val="004569A6"/>
    <w:rsid w:val="00456AE2"/>
    <w:rsid w:val="0045703F"/>
    <w:rsid w:val="004577B5"/>
    <w:rsid w:val="004579E5"/>
    <w:rsid w:val="00457C1A"/>
    <w:rsid w:val="00457CDE"/>
    <w:rsid w:val="00457D03"/>
    <w:rsid w:val="0046030D"/>
    <w:rsid w:val="0046055C"/>
    <w:rsid w:val="004605E8"/>
    <w:rsid w:val="00460A54"/>
    <w:rsid w:val="00461512"/>
    <w:rsid w:val="00461675"/>
    <w:rsid w:val="00461F51"/>
    <w:rsid w:val="004622A1"/>
    <w:rsid w:val="0046288F"/>
    <w:rsid w:val="00462F0F"/>
    <w:rsid w:val="004631D3"/>
    <w:rsid w:val="0046387D"/>
    <w:rsid w:val="004641B7"/>
    <w:rsid w:val="00464DC0"/>
    <w:rsid w:val="00465232"/>
    <w:rsid w:val="004655E4"/>
    <w:rsid w:val="00465934"/>
    <w:rsid w:val="004659BC"/>
    <w:rsid w:val="00465EF7"/>
    <w:rsid w:val="004664A3"/>
    <w:rsid w:val="004667BF"/>
    <w:rsid w:val="00466D35"/>
    <w:rsid w:val="0046719D"/>
    <w:rsid w:val="0046789F"/>
    <w:rsid w:val="00467954"/>
    <w:rsid w:val="00467EB5"/>
    <w:rsid w:val="004701B6"/>
    <w:rsid w:val="004702BC"/>
    <w:rsid w:val="00470612"/>
    <w:rsid w:val="00470A1F"/>
    <w:rsid w:val="0047109D"/>
    <w:rsid w:val="0047115F"/>
    <w:rsid w:val="00471777"/>
    <w:rsid w:val="00471F39"/>
    <w:rsid w:val="00472365"/>
    <w:rsid w:val="0047239E"/>
    <w:rsid w:val="004723FF"/>
    <w:rsid w:val="00472498"/>
    <w:rsid w:val="00472B31"/>
    <w:rsid w:val="00472D78"/>
    <w:rsid w:val="00473D9C"/>
    <w:rsid w:val="00474A81"/>
    <w:rsid w:val="00474AB6"/>
    <w:rsid w:val="00474C95"/>
    <w:rsid w:val="00474F17"/>
    <w:rsid w:val="00475293"/>
    <w:rsid w:val="004754F7"/>
    <w:rsid w:val="00475AC1"/>
    <w:rsid w:val="00475D3E"/>
    <w:rsid w:val="00475DCA"/>
    <w:rsid w:val="00476B56"/>
    <w:rsid w:val="00476E8F"/>
    <w:rsid w:val="00477072"/>
    <w:rsid w:val="00477428"/>
    <w:rsid w:val="00477EB0"/>
    <w:rsid w:val="00477FE7"/>
    <w:rsid w:val="00480CA4"/>
    <w:rsid w:val="00480E9E"/>
    <w:rsid w:val="00481852"/>
    <w:rsid w:val="00481A77"/>
    <w:rsid w:val="00481A85"/>
    <w:rsid w:val="00481CAA"/>
    <w:rsid w:val="00482208"/>
    <w:rsid w:val="0048248D"/>
    <w:rsid w:val="00482B94"/>
    <w:rsid w:val="00482EF0"/>
    <w:rsid w:val="00483005"/>
    <w:rsid w:val="004836A0"/>
    <w:rsid w:val="00483B7C"/>
    <w:rsid w:val="004846AE"/>
    <w:rsid w:val="0048487D"/>
    <w:rsid w:val="00485005"/>
    <w:rsid w:val="0048533F"/>
    <w:rsid w:val="00485351"/>
    <w:rsid w:val="004853EA"/>
    <w:rsid w:val="004859B8"/>
    <w:rsid w:val="00485BB5"/>
    <w:rsid w:val="00485ECE"/>
    <w:rsid w:val="00485FD0"/>
    <w:rsid w:val="00486146"/>
    <w:rsid w:val="00486148"/>
    <w:rsid w:val="00486595"/>
    <w:rsid w:val="00486FEF"/>
    <w:rsid w:val="00487276"/>
    <w:rsid w:val="0048729A"/>
    <w:rsid w:val="004872AA"/>
    <w:rsid w:val="004872CA"/>
    <w:rsid w:val="004872D9"/>
    <w:rsid w:val="00487360"/>
    <w:rsid w:val="004873B5"/>
    <w:rsid w:val="00487474"/>
    <w:rsid w:val="004879B6"/>
    <w:rsid w:val="00487B70"/>
    <w:rsid w:val="00487F1A"/>
    <w:rsid w:val="00490168"/>
    <w:rsid w:val="00490244"/>
    <w:rsid w:val="004902A8"/>
    <w:rsid w:val="004907C8"/>
    <w:rsid w:val="00490876"/>
    <w:rsid w:val="00490BFB"/>
    <w:rsid w:val="00490CFE"/>
    <w:rsid w:val="00490D5F"/>
    <w:rsid w:val="00490E23"/>
    <w:rsid w:val="00491368"/>
    <w:rsid w:val="00491649"/>
    <w:rsid w:val="00491736"/>
    <w:rsid w:val="00491A96"/>
    <w:rsid w:val="00492627"/>
    <w:rsid w:val="004929E8"/>
    <w:rsid w:val="0049334C"/>
    <w:rsid w:val="00493401"/>
    <w:rsid w:val="00493E5E"/>
    <w:rsid w:val="0049416D"/>
    <w:rsid w:val="00494311"/>
    <w:rsid w:val="004943F3"/>
    <w:rsid w:val="00494654"/>
    <w:rsid w:val="00494703"/>
    <w:rsid w:val="0049492E"/>
    <w:rsid w:val="004950DA"/>
    <w:rsid w:val="00495263"/>
    <w:rsid w:val="00495B50"/>
    <w:rsid w:val="00495D28"/>
    <w:rsid w:val="00495D77"/>
    <w:rsid w:val="00495F52"/>
    <w:rsid w:val="00496339"/>
    <w:rsid w:val="00496C04"/>
    <w:rsid w:val="00496E5C"/>
    <w:rsid w:val="00496ED0"/>
    <w:rsid w:val="00497625"/>
    <w:rsid w:val="0049769F"/>
    <w:rsid w:val="0049778D"/>
    <w:rsid w:val="00497ACC"/>
    <w:rsid w:val="00497BD7"/>
    <w:rsid w:val="004A07A0"/>
    <w:rsid w:val="004A0F5C"/>
    <w:rsid w:val="004A126B"/>
    <w:rsid w:val="004A17DC"/>
    <w:rsid w:val="004A19C3"/>
    <w:rsid w:val="004A1F22"/>
    <w:rsid w:val="004A2051"/>
    <w:rsid w:val="004A290C"/>
    <w:rsid w:val="004A2C69"/>
    <w:rsid w:val="004A31E3"/>
    <w:rsid w:val="004A340E"/>
    <w:rsid w:val="004A3518"/>
    <w:rsid w:val="004A3725"/>
    <w:rsid w:val="004A3D2B"/>
    <w:rsid w:val="004A4108"/>
    <w:rsid w:val="004A4168"/>
    <w:rsid w:val="004A4C00"/>
    <w:rsid w:val="004A4D9D"/>
    <w:rsid w:val="004A4DDC"/>
    <w:rsid w:val="004A51BD"/>
    <w:rsid w:val="004A5821"/>
    <w:rsid w:val="004A6134"/>
    <w:rsid w:val="004A63DA"/>
    <w:rsid w:val="004A65FD"/>
    <w:rsid w:val="004A664C"/>
    <w:rsid w:val="004A6874"/>
    <w:rsid w:val="004A687B"/>
    <w:rsid w:val="004A6E4A"/>
    <w:rsid w:val="004A6F39"/>
    <w:rsid w:val="004A76A4"/>
    <w:rsid w:val="004A76FF"/>
    <w:rsid w:val="004A7A98"/>
    <w:rsid w:val="004A7B38"/>
    <w:rsid w:val="004A7EEE"/>
    <w:rsid w:val="004B00B5"/>
    <w:rsid w:val="004B02DC"/>
    <w:rsid w:val="004B13C4"/>
    <w:rsid w:val="004B1AF4"/>
    <w:rsid w:val="004B2023"/>
    <w:rsid w:val="004B2080"/>
    <w:rsid w:val="004B2294"/>
    <w:rsid w:val="004B26E8"/>
    <w:rsid w:val="004B29A9"/>
    <w:rsid w:val="004B2B98"/>
    <w:rsid w:val="004B3018"/>
    <w:rsid w:val="004B3086"/>
    <w:rsid w:val="004B3193"/>
    <w:rsid w:val="004B332A"/>
    <w:rsid w:val="004B3764"/>
    <w:rsid w:val="004B3DC1"/>
    <w:rsid w:val="004B40B6"/>
    <w:rsid w:val="004B4191"/>
    <w:rsid w:val="004B42F0"/>
    <w:rsid w:val="004B4DE3"/>
    <w:rsid w:val="004B52CF"/>
    <w:rsid w:val="004B5A91"/>
    <w:rsid w:val="004B5FF5"/>
    <w:rsid w:val="004B61FB"/>
    <w:rsid w:val="004B6657"/>
    <w:rsid w:val="004B6B0F"/>
    <w:rsid w:val="004B71A1"/>
    <w:rsid w:val="004B7414"/>
    <w:rsid w:val="004B7EB5"/>
    <w:rsid w:val="004C02ED"/>
    <w:rsid w:val="004C11D1"/>
    <w:rsid w:val="004C12B4"/>
    <w:rsid w:val="004C1A10"/>
    <w:rsid w:val="004C3212"/>
    <w:rsid w:val="004C35FB"/>
    <w:rsid w:val="004C38CD"/>
    <w:rsid w:val="004C392F"/>
    <w:rsid w:val="004C3CDB"/>
    <w:rsid w:val="004C4266"/>
    <w:rsid w:val="004C4662"/>
    <w:rsid w:val="004C4890"/>
    <w:rsid w:val="004C4D8B"/>
    <w:rsid w:val="004C51F6"/>
    <w:rsid w:val="004C5397"/>
    <w:rsid w:val="004C5D42"/>
    <w:rsid w:val="004C5E39"/>
    <w:rsid w:val="004C6552"/>
    <w:rsid w:val="004C667A"/>
    <w:rsid w:val="004C6E53"/>
    <w:rsid w:val="004C719C"/>
    <w:rsid w:val="004C7893"/>
    <w:rsid w:val="004C7DA2"/>
    <w:rsid w:val="004D110F"/>
    <w:rsid w:val="004D11CA"/>
    <w:rsid w:val="004D1300"/>
    <w:rsid w:val="004D158C"/>
    <w:rsid w:val="004D1B07"/>
    <w:rsid w:val="004D29FF"/>
    <w:rsid w:val="004D2AB5"/>
    <w:rsid w:val="004D2AE9"/>
    <w:rsid w:val="004D2DA8"/>
    <w:rsid w:val="004D2E88"/>
    <w:rsid w:val="004D30A8"/>
    <w:rsid w:val="004D3777"/>
    <w:rsid w:val="004D3BE6"/>
    <w:rsid w:val="004D43A1"/>
    <w:rsid w:val="004D50AB"/>
    <w:rsid w:val="004D55A0"/>
    <w:rsid w:val="004D58E3"/>
    <w:rsid w:val="004D5DCE"/>
    <w:rsid w:val="004D5EDF"/>
    <w:rsid w:val="004D62FE"/>
    <w:rsid w:val="004D6551"/>
    <w:rsid w:val="004D7084"/>
    <w:rsid w:val="004D7256"/>
    <w:rsid w:val="004D73E4"/>
    <w:rsid w:val="004D78E6"/>
    <w:rsid w:val="004E0042"/>
    <w:rsid w:val="004E0A71"/>
    <w:rsid w:val="004E0C8F"/>
    <w:rsid w:val="004E0D45"/>
    <w:rsid w:val="004E16C6"/>
    <w:rsid w:val="004E174F"/>
    <w:rsid w:val="004E1D39"/>
    <w:rsid w:val="004E1E1B"/>
    <w:rsid w:val="004E277D"/>
    <w:rsid w:val="004E2F88"/>
    <w:rsid w:val="004E3004"/>
    <w:rsid w:val="004E325F"/>
    <w:rsid w:val="004E345E"/>
    <w:rsid w:val="004E3498"/>
    <w:rsid w:val="004E36B9"/>
    <w:rsid w:val="004E3AE6"/>
    <w:rsid w:val="004E3CFA"/>
    <w:rsid w:val="004E453B"/>
    <w:rsid w:val="004E4949"/>
    <w:rsid w:val="004E4BF7"/>
    <w:rsid w:val="004E4C94"/>
    <w:rsid w:val="004E53FF"/>
    <w:rsid w:val="004E5544"/>
    <w:rsid w:val="004E5864"/>
    <w:rsid w:val="004E5A78"/>
    <w:rsid w:val="004E5DCD"/>
    <w:rsid w:val="004E62A3"/>
    <w:rsid w:val="004E6DBB"/>
    <w:rsid w:val="004E70E4"/>
    <w:rsid w:val="004E79AE"/>
    <w:rsid w:val="004E7AB5"/>
    <w:rsid w:val="004E7FC3"/>
    <w:rsid w:val="004F02FD"/>
    <w:rsid w:val="004F046F"/>
    <w:rsid w:val="004F061F"/>
    <w:rsid w:val="004F07D6"/>
    <w:rsid w:val="004F0A98"/>
    <w:rsid w:val="004F0C6E"/>
    <w:rsid w:val="004F0CBD"/>
    <w:rsid w:val="004F0F66"/>
    <w:rsid w:val="004F1221"/>
    <w:rsid w:val="004F12BD"/>
    <w:rsid w:val="004F1465"/>
    <w:rsid w:val="004F166F"/>
    <w:rsid w:val="004F2081"/>
    <w:rsid w:val="004F2540"/>
    <w:rsid w:val="004F30CD"/>
    <w:rsid w:val="004F38B9"/>
    <w:rsid w:val="004F3ACA"/>
    <w:rsid w:val="004F3D5C"/>
    <w:rsid w:val="004F3E10"/>
    <w:rsid w:val="004F43EC"/>
    <w:rsid w:val="004F4491"/>
    <w:rsid w:val="004F46D9"/>
    <w:rsid w:val="004F5017"/>
    <w:rsid w:val="004F5144"/>
    <w:rsid w:val="004F6D7B"/>
    <w:rsid w:val="004F7042"/>
    <w:rsid w:val="004F765B"/>
    <w:rsid w:val="004F7680"/>
    <w:rsid w:val="004F78C4"/>
    <w:rsid w:val="004F7B58"/>
    <w:rsid w:val="00500446"/>
    <w:rsid w:val="0050072F"/>
    <w:rsid w:val="005008F1"/>
    <w:rsid w:val="00500DE2"/>
    <w:rsid w:val="00500F16"/>
    <w:rsid w:val="005010BC"/>
    <w:rsid w:val="0050146F"/>
    <w:rsid w:val="005016D2"/>
    <w:rsid w:val="00501EFE"/>
    <w:rsid w:val="0050283B"/>
    <w:rsid w:val="00502D94"/>
    <w:rsid w:val="005030A0"/>
    <w:rsid w:val="00503429"/>
    <w:rsid w:val="00503693"/>
    <w:rsid w:val="00503895"/>
    <w:rsid w:val="00503D89"/>
    <w:rsid w:val="00503E85"/>
    <w:rsid w:val="00503FD1"/>
    <w:rsid w:val="00504159"/>
    <w:rsid w:val="00504278"/>
    <w:rsid w:val="00504866"/>
    <w:rsid w:val="00505410"/>
    <w:rsid w:val="00505665"/>
    <w:rsid w:val="005067B3"/>
    <w:rsid w:val="005068B4"/>
    <w:rsid w:val="0050694D"/>
    <w:rsid w:val="005069B1"/>
    <w:rsid w:val="00507003"/>
    <w:rsid w:val="00507072"/>
    <w:rsid w:val="005073FE"/>
    <w:rsid w:val="005078D7"/>
    <w:rsid w:val="00510288"/>
    <w:rsid w:val="00510CDC"/>
    <w:rsid w:val="00510CFD"/>
    <w:rsid w:val="005111BE"/>
    <w:rsid w:val="00511249"/>
    <w:rsid w:val="005112C7"/>
    <w:rsid w:val="00511567"/>
    <w:rsid w:val="00511B0F"/>
    <w:rsid w:val="00511C56"/>
    <w:rsid w:val="00511FD1"/>
    <w:rsid w:val="0051218C"/>
    <w:rsid w:val="00512431"/>
    <w:rsid w:val="005126BD"/>
    <w:rsid w:val="00512A52"/>
    <w:rsid w:val="00512EB7"/>
    <w:rsid w:val="0051327A"/>
    <w:rsid w:val="0051340C"/>
    <w:rsid w:val="00513C0D"/>
    <w:rsid w:val="00513C20"/>
    <w:rsid w:val="00513EAE"/>
    <w:rsid w:val="0051435F"/>
    <w:rsid w:val="0051503D"/>
    <w:rsid w:val="0051549C"/>
    <w:rsid w:val="00515CBF"/>
    <w:rsid w:val="00516179"/>
    <w:rsid w:val="0051653E"/>
    <w:rsid w:val="005166E2"/>
    <w:rsid w:val="005167F1"/>
    <w:rsid w:val="00516AF8"/>
    <w:rsid w:val="00516B9F"/>
    <w:rsid w:val="005179F1"/>
    <w:rsid w:val="00517A2F"/>
    <w:rsid w:val="00517B2E"/>
    <w:rsid w:val="00517BAD"/>
    <w:rsid w:val="00520401"/>
    <w:rsid w:val="005208D2"/>
    <w:rsid w:val="00520A67"/>
    <w:rsid w:val="00520F12"/>
    <w:rsid w:val="00521343"/>
    <w:rsid w:val="00521357"/>
    <w:rsid w:val="00521B37"/>
    <w:rsid w:val="0052209E"/>
    <w:rsid w:val="00522305"/>
    <w:rsid w:val="00522B9A"/>
    <w:rsid w:val="00522F76"/>
    <w:rsid w:val="005234EC"/>
    <w:rsid w:val="005239D8"/>
    <w:rsid w:val="00523A55"/>
    <w:rsid w:val="00523DC6"/>
    <w:rsid w:val="00524127"/>
    <w:rsid w:val="0052412F"/>
    <w:rsid w:val="00524FAB"/>
    <w:rsid w:val="0052503A"/>
    <w:rsid w:val="005254B4"/>
    <w:rsid w:val="00525CC6"/>
    <w:rsid w:val="00525E42"/>
    <w:rsid w:val="005261CC"/>
    <w:rsid w:val="0052629F"/>
    <w:rsid w:val="00526538"/>
    <w:rsid w:val="00526551"/>
    <w:rsid w:val="005270AE"/>
    <w:rsid w:val="00527216"/>
    <w:rsid w:val="005276B9"/>
    <w:rsid w:val="00527B23"/>
    <w:rsid w:val="00530347"/>
    <w:rsid w:val="005305FA"/>
    <w:rsid w:val="00530768"/>
    <w:rsid w:val="00530F4E"/>
    <w:rsid w:val="00531054"/>
    <w:rsid w:val="0053117C"/>
    <w:rsid w:val="00531303"/>
    <w:rsid w:val="00531AA0"/>
    <w:rsid w:val="00531EF0"/>
    <w:rsid w:val="00532273"/>
    <w:rsid w:val="005324BB"/>
    <w:rsid w:val="00532602"/>
    <w:rsid w:val="00532A3B"/>
    <w:rsid w:val="00532E8C"/>
    <w:rsid w:val="00533DE5"/>
    <w:rsid w:val="00533E1B"/>
    <w:rsid w:val="00534284"/>
    <w:rsid w:val="005346D0"/>
    <w:rsid w:val="00534952"/>
    <w:rsid w:val="005349BA"/>
    <w:rsid w:val="0053502B"/>
    <w:rsid w:val="005356DC"/>
    <w:rsid w:val="00536112"/>
    <w:rsid w:val="00536120"/>
    <w:rsid w:val="00536C00"/>
    <w:rsid w:val="00536DD2"/>
    <w:rsid w:val="00536FBA"/>
    <w:rsid w:val="00537EF0"/>
    <w:rsid w:val="0054010F"/>
    <w:rsid w:val="00540258"/>
    <w:rsid w:val="0054090A"/>
    <w:rsid w:val="005410CA"/>
    <w:rsid w:val="00541575"/>
    <w:rsid w:val="005415AD"/>
    <w:rsid w:val="005415C7"/>
    <w:rsid w:val="005418EE"/>
    <w:rsid w:val="00541CB2"/>
    <w:rsid w:val="005420CF"/>
    <w:rsid w:val="0054213F"/>
    <w:rsid w:val="005425FA"/>
    <w:rsid w:val="00542B9C"/>
    <w:rsid w:val="00542D62"/>
    <w:rsid w:val="00542EAF"/>
    <w:rsid w:val="005430B1"/>
    <w:rsid w:val="0054354C"/>
    <w:rsid w:val="00544AF1"/>
    <w:rsid w:val="00544DB5"/>
    <w:rsid w:val="00545594"/>
    <w:rsid w:val="005461B7"/>
    <w:rsid w:val="00546379"/>
    <w:rsid w:val="00546EA2"/>
    <w:rsid w:val="00546F61"/>
    <w:rsid w:val="00547022"/>
    <w:rsid w:val="005471F2"/>
    <w:rsid w:val="00547551"/>
    <w:rsid w:val="00547678"/>
    <w:rsid w:val="005500EA"/>
    <w:rsid w:val="0055016E"/>
    <w:rsid w:val="00550816"/>
    <w:rsid w:val="005508BD"/>
    <w:rsid w:val="00550CE2"/>
    <w:rsid w:val="00550D32"/>
    <w:rsid w:val="00550E1E"/>
    <w:rsid w:val="005510F2"/>
    <w:rsid w:val="00551122"/>
    <w:rsid w:val="00551424"/>
    <w:rsid w:val="005514AA"/>
    <w:rsid w:val="00552369"/>
    <w:rsid w:val="0055295E"/>
    <w:rsid w:val="0055299B"/>
    <w:rsid w:val="00552A94"/>
    <w:rsid w:val="00552B4D"/>
    <w:rsid w:val="00552DFE"/>
    <w:rsid w:val="00552EE7"/>
    <w:rsid w:val="00552F9F"/>
    <w:rsid w:val="005531A9"/>
    <w:rsid w:val="00553206"/>
    <w:rsid w:val="005533AC"/>
    <w:rsid w:val="0055419D"/>
    <w:rsid w:val="005546E3"/>
    <w:rsid w:val="00554D44"/>
    <w:rsid w:val="00554D89"/>
    <w:rsid w:val="00554E65"/>
    <w:rsid w:val="00555147"/>
    <w:rsid w:val="00555580"/>
    <w:rsid w:val="005557C2"/>
    <w:rsid w:val="005559F6"/>
    <w:rsid w:val="00555A7D"/>
    <w:rsid w:val="00555AB6"/>
    <w:rsid w:val="00555DB7"/>
    <w:rsid w:val="005560CA"/>
    <w:rsid w:val="005561FF"/>
    <w:rsid w:val="0055686B"/>
    <w:rsid w:val="0055691D"/>
    <w:rsid w:val="0055692C"/>
    <w:rsid w:val="00556A0B"/>
    <w:rsid w:val="00556A45"/>
    <w:rsid w:val="00556B84"/>
    <w:rsid w:val="00556D6C"/>
    <w:rsid w:val="00556F82"/>
    <w:rsid w:val="005571E3"/>
    <w:rsid w:val="005572CD"/>
    <w:rsid w:val="00557906"/>
    <w:rsid w:val="005579D3"/>
    <w:rsid w:val="0056044D"/>
    <w:rsid w:val="00560AD9"/>
    <w:rsid w:val="00560E10"/>
    <w:rsid w:val="00561989"/>
    <w:rsid w:val="00561B2C"/>
    <w:rsid w:val="00561E33"/>
    <w:rsid w:val="00562068"/>
    <w:rsid w:val="00562172"/>
    <w:rsid w:val="005624C1"/>
    <w:rsid w:val="00562CFA"/>
    <w:rsid w:val="00562D56"/>
    <w:rsid w:val="005634BD"/>
    <w:rsid w:val="0056377B"/>
    <w:rsid w:val="00563805"/>
    <w:rsid w:val="00563B54"/>
    <w:rsid w:val="00563D11"/>
    <w:rsid w:val="00563E43"/>
    <w:rsid w:val="0056507C"/>
    <w:rsid w:val="0056512A"/>
    <w:rsid w:val="0056557D"/>
    <w:rsid w:val="00565BC3"/>
    <w:rsid w:val="0056606F"/>
    <w:rsid w:val="005660E5"/>
    <w:rsid w:val="00566463"/>
    <w:rsid w:val="00566942"/>
    <w:rsid w:val="00566B64"/>
    <w:rsid w:val="00566B79"/>
    <w:rsid w:val="00566D6F"/>
    <w:rsid w:val="00566E5C"/>
    <w:rsid w:val="00567076"/>
    <w:rsid w:val="005670E4"/>
    <w:rsid w:val="00567A51"/>
    <w:rsid w:val="005711FE"/>
    <w:rsid w:val="00571894"/>
    <w:rsid w:val="00571D0B"/>
    <w:rsid w:val="00571FF3"/>
    <w:rsid w:val="00572242"/>
    <w:rsid w:val="005726F4"/>
    <w:rsid w:val="00572B38"/>
    <w:rsid w:val="00572D08"/>
    <w:rsid w:val="005737F4"/>
    <w:rsid w:val="00573B68"/>
    <w:rsid w:val="00573C1C"/>
    <w:rsid w:val="00573D0E"/>
    <w:rsid w:val="00573DD2"/>
    <w:rsid w:val="00574023"/>
    <w:rsid w:val="00574160"/>
    <w:rsid w:val="005750B1"/>
    <w:rsid w:val="00575744"/>
    <w:rsid w:val="00575C5C"/>
    <w:rsid w:val="005763B8"/>
    <w:rsid w:val="005769B0"/>
    <w:rsid w:val="00576AA0"/>
    <w:rsid w:val="00576C31"/>
    <w:rsid w:val="00577017"/>
    <w:rsid w:val="0057795C"/>
    <w:rsid w:val="00577BB2"/>
    <w:rsid w:val="00580135"/>
    <w:rsid w:val="005809C5"/>
    <w:rsid w:val="00580A3A"/>
    <w:rsid w:val="005812FC"/>
    <w:rsid w:val="0058135C"/>
    <w:rsid w:val="00581B13"/>
    <w:rsid w:val="00582716"/>
    <w:rsid w:val="00583735"/>
    <w:rsid w:val="005842DE"/>
    <w:rsid w:val="00584605"/>
    <w:rsid w:val="005849E3"/>
    <w:rsid w:val="00584AA9"/>
    <w:rsid w:val="00584F79"/>
    <w:rsid w:val="005851DB"/>
    <w:rsid w:val="005854AB"/>
    <w:rsid w:val="00585755"/>
    <w:rsid w:val="00585839"/>
    <w:rsid w:val="00585A06"/>
    <w:rsid w:val="00585B96"/>
    <w:rsid w:val="00585D81"/>
    <w:rsid w:val="00586356"/>
    <w:rsid w:val="005863AE"/>
    <w:rsid w:val="0058688C"/>
    <w:rsid w:val="005868BF"/>
    <w:rsid w:val="005870B6"/>
    <w:rsid w:val="005870DA"/>
    <w:rsid w:val="005875DB"/>
    <w:rsid w:val="00587792"/>
    <w:rsid w:val="0058782B"/>
    <w:rsid w:val="005878A4"/>
    <w:rsid w:val="00587E63"/>
    <w:rsid w:val="00590298"/>
    <w:rsid w:val="00590596"/>
    <w:rsid w:val="00590927"/>
    <w:rsid w:val="00590ADA"/>
    <w:rsid w:val="00590E75"/>
    <w:rsid w:val="005917D1"/>
    <w:rsid w:val="00591A0D"/>
    <w:rsid w:val="00591E82"/>
    <w:rsid w:val="00591F52"/>
    <w:rsid w:val="00591F59"/>
    <w:rsid w:val="00591FD2"/>
    <w:rsid w:val="00592353"/>
    <w:rsid w:val="0059256A"/>
    <w:rsid w:val="005926ED"/>
    <w:rsid w:val="00592847"/>
    <w:rsid w:val="0059298B"/>
    <w:rsid w:val="00592C89"/>
    <w:rsid w:val="00592E94"/>
    <w:rsid w:val="00592F01"/>
    <w:rsid w:val="0059419E"/>
    <w:rsid w:val="005941D5"/>
    <w:rsid w:val="00594300"/>
    <w:rsid w:val="005946DE"/>
    <w:rsid w:val="00594846"/>
    <w:rsid w:val="005948B8"/>
    <w:rsid w:val="00594914"/>
    <w:rsid w:val="00594CA7"/>
    <w:rsid w:val="00594E59"/>
    <w:rsid w:val="00595A2D"/>
    <w:rsid w:val="00595C06"/>
    <w:rsid w:val="005964FB"/>
    <w:rsid w:val="00597665"/>
    <w:rsid w:val="0059766B"/>
    <w:rsid w:val="005976C3"/>
    <w:rsid w:val="00597824"/>
    <w:rsid w:val="00597E9F"/>
    <w:rsid w:val="005A052D"/>
    <w:rsid w:val="005A12CE"/>
    <w:rsid w:val="005A140D"/>
    <w:rsid w:val="005A1A93"/>
    <w:rsid w:val="005A25FC"/>
    <w:rsid w:val="005A2E2C"/>
    <w:rsid w:val="005A34FA"/>
    <w:rsid w:val="005A390D"/>
    <w:rsid w:val="005A3B74"/>
    <w:rsid w:val="005A3B8C"/>
    <w:rsid w:val="005A3C3E"/>
    <w:rsid w:val="005A3E62"/>
    <w:rsid w:val="005A434C"/>
    <w:rsid w:val="005A4A1F"/>
    <w:rsid w:val="005A57C2"/>
    <w:rsid w:val="005A5A08"/>
    <w:rsid w:val="005A5D7D"/>
    <w:rsid w:val="005A5F55"/>
    <w:rsid w:val="005A6335"/>
    <w:rsid w:val="005A67C0"/>
    <w:rsid w:val="005A6BEC"/>
    <w:rsid w:val="005A7720"/>
    <w:rsid w:val="005A7C33"/>
    <w:rsid w:val="005A7FD6"/>
    <w:rsid w:val="005B01E6"/>
    <w:rsid w:val="005B0488"/>
    <w:rsid w:val="005B0865"/>
    <w:rsid w:val="005B08FB"/>
    <w:rsid w:val="005B0B4D"/>
    <w:rsid w:val="005B0FB7"/>
    <w:rsid w:val="005B0FD8"/>
    <w:rsid w:val="005B10BB"/>
    <w:rsid w:val="005B1984"/>
    <w:rsid w:val="005B1E23"/>
    <w:rsid w:val="005B1F32"/>
    <w:rsid w:val="005B208F"/>
    <w:rsid w:val="005B231B"/>
    <w:rsid w:val="005B25CF"/>
    <w:rsid w:val="005B2A93"/>
    <w:rsid w:val="005B3695"/>
    <w:rsid w:val="005B375A"/>
    <w:rsid w:val="005B382F"/>
    <w:rsid w:val="005B3CA4"/>
    <w:rsid w:val="005B40B9"/>
    <w:rsid w:val="005B4E7F"/>
    <w:rsid w:val="005B557D"/>
    <w:rsid w:val="005B5EF6"/>
    <w:rsid w:val="005B68F4"/>
    <w:rsid w:val="005B6B6B"/>
    <w:rsid w:val="005B6BC2"/>
    <w:rsid w:val="005B74EE"/>
    <w:rsid w:val="005B78AF"/>
    <w:rsid w:val="005B78DA"/>
    <w:rsid w:val="005C0727"/>
    <w:rsid w:val="005C0BB4"/>
    <w:rsid w:val="005C0D44"/>
    <w:rsid w:val="005C1128"/>
    <w:rsid w:val="005C1301"/>
    <w:rsid w:val="005C140D"/>
    <w:rsid w:val="005C15EB"/>
    <w:rsid w:val="005C168A"/>
    <w:rsid w:val="005C17A2"/>
    <w:rsid w:val="005C1AD4"/>
    <w:rsid w:val="005C207E"/>
    <w:rsid w:val="005C2B6C"/>
    <w:rsid w:val="005C30E1"/>
    <w:rsid w:val="005C35EA"/>
    <w:rsid w:val="005C381E"/>
    <w:rsid w:val="005C3ADC"/>
    <w:rsid w:val="005C45B3"/>
    <w:rsid w:val="005C4D07"/>
    <w:rsid w:val="005C533E"/>
    <w:rsid w:val="005C549A"/>
    <w:rsid w:val="005C5882"/>
    <w:rsid w:val="005C5C87"/>
    <w:rsid w:val="005C5D63"/>
    <w:rsid w:val="005C5E1A"/>
    <w:rsid w:val="005C665E"/>
    <w:rsid w:val="005C6835"/>
    <w:rsid w:val="005C7320"/>
    <w:rsid w:val="005C7501"/>
    <w:rsid w:val="005C77AC"/>
    <w:rsid w:val="005C7CFF"/>
    <w:rsid w:val="005C7DDA"/>
    <w:rsid w:val="005C7EBC"/>
    <w:rsid w:val="005D00A9"/>
    <w:rsid w:val="005D0186"/>
    <w:rsid w:val="005D0630"/>
    <w:rsid w:val="005D0640"/>
    <w:rsid w:val="005D0686"/>
    <w:rsid w:val="005D093D"/>
    <w:rsid w:val="005D0C85"/>
    <w:rsid w:val="005D18BE"/>
    <w:rsid w:val="005D196D"/>
    <w:rsid w:val="005D19EF"/>
    <w:rsid w:val="005D1A31"/>
    <w:rsid w:val="005D1B7F"/>
    <w:rsid w:val="005D35F0"/>
    <w:rsid w:val="005D3748"/>
    <w:rsid w:val="005D3A34"/>
    <w:rsid w:val="005D3C41"/>
    <w:rsid w:val="005D3E2D"/>
    <w:rsid w:val="005D4CE9"/>
    <w:rsid w:val="005D5335"/>
    <w:rsid w:val="005D5629"/>
    <w:rsid w:val="005D5B0F"/>
    <w:rsid w:val="005D62AD"/>
    <w:rsid w:val="005D6521"/>
    <w:rsid w:val="005D66F0"/>
    <w:rsid w:val="005D6749"/>
    <w:rsid w:val="005D67C3"/>
    <w:rsid w:val="005D6C3A"/>
    <w:rsid w:val="005D6CDA"/>
    <w:rsid w:val="005D71F6"/>
    <w:rsid w:val="005D78B7"/>
    <w:rsid w:val="005D7DAD"/>
    <w:rsid w:val="005D7DAF"/>
    <w:rsid w:val="005E04D4"/>
    <w:rsid w:val="005E0750"/>
    <w:rsid w:val="005E09A5"/>
    <w:rsid w:val="005E0C21"/>
    <w:rsid w:val="005E0D5A"/>
    <w:rsid w:val="005E0D9A"/>
    <w:rsid w:val="005E14EA"/>
    <w:rsid w:val="005E1A6A"/>
    <w:rsid w:val="005E2146"/>
    <w:rsid w:val="005E230A"/>
    <w:rsid w:val="005E350E"/>
    <w:rsid w:val="005E39D2"/>
    <w:rsid w:val="005E3DD2"/>
    <w:rsid w:val="005E4169"/>
    <w:rsid w:val="005E43F0"/>
    <w:rsid w:val="005E495B"/>
    <w:rsid w:val="005E4A07"/>
    <w:rsid w:val="005E4EBD"/>
    <w:rsid w:val="005E5166"/>
    <w:rsid w:val="005E5A6E"/>
    <w:rsid w:val="005E618C"/>
    <w:rsid w:val="005E6711"/>
    <w:rsid w:val="005E780E"/>
    <w:rsid w:val="005E79D7"/>
    <w:rsid w:val="005E7B60"/>
    <w:rsid w:val="005E7E6E"/>
    <w:rsid w:val="005F071C"/>
    <w:rsid w:val="005F077F"/>
    <w:rsid w:val="005F0851"/>
    <w:rsid w:val="005F09BB"/>
    <w:rsid w:val="005F0CF6"/>
    <w:rsid w:val="005F17B5"/>
    <w:rsid w:val="005F1D17"/>
    <w:rsid w:val="005F1EA1"/>
    <w:rsid w:val="005F1F44"/>
    <w:rsid w:val="005F2095"/>
    <w:rsid w:val="005F249B"/>
    <w:rsid w:val="005F2C3C"/>
    <w:rsid w:val="005F2C53"/>
    <w:rsid w:val="005F2D0E"/>
    <w:rsid w:val="005F2F13"/>
    <w:rsid w:val="005F37AE"/>
    <w:rsid w:val="005F3901"/>
    <w:rsid w:val="005F4065"/>
    <w:rsid w:val="005F48ED"/>
    <w:rsid w:val="005F4B28"/>
    <w:rsid w:val="005F51CB"/>
    <w:rsid w:val="005F5951"/>
    <w:rsid w:val="005F5A78"/>
    <w:rsid w:val="005F5DED"/>
    <w:rsid w:val="005F6676"/>
    <w:rsid w:val="005F6CB4"/>
    <w:rsid w:val="005F6ECD"/>
    <w:rsid w:val="005F74E5"/>
    <w:rsid w:val="005F7B98"/>
    <w:rsid w:val="005F7E19"/>
    <w:rsid w:val="00600144"/>
    <w:rsid w:val="006003A2"/>
    <w:rsid w:val="00600B58"/>
    <w:rsid w:val="00600C10"/>
    <w:rsid w:val="00601241"/>
    <w:rsid w:val="00601987"/>
    <w:rsid w:val="00602471"/>
    <w:rsid w:val="00602A6B"/>
    <w:rsid w:val="00602AD7"/>
    <w:rsid w:val="00602C17"/>
    <w:rsid w:val="00602C73"/>
    <w:rsid w:val="00602CDB"/>
    <w:rsid w:val="00602ECA"/>
    <w:rsid w:val="0060381C"/>
    <w:rsid w:val="00604C17"/>
    <w:rsid w:val="006057CA"/>
    <w:rsid w:val="00606663"/>
    <w:rsid w:val="00606914"/>
    <w:rsid w:val="00606C1F"/>
    <w:rsid w:val="00606E43"/>
    <w:rsid w:val="0060739A"/>
    <w:rsid w:val="00607BEA"/>
    <w:rsid w:val="0061005A"/>
    <w:rsid w:val="006100DA"/>
    <w:rsid w:val="0061026C"/>
    <w:rsid w:val="006102BB"/>
    <w:rsid w:val="00610A8D"/>
    <w:rsid w:val="00611634"/>
    <w:rsid w:val="006119B5"/>
    <w:rsid w:val="0061338A"/>
    <w:rsid w:val="0061363A"/>
    <w:rsid w:val="00613F8B"/>
    <w:rsid w:val="0061409F"/>
    <w:rsid w:val="006140A2"/>
    <w:rsid w:val="00614461"/>
    <w:rsid w:val="00614658"/>
    <w:rsid w:val="00614CAC"/>
    <w:rsid w:val="00614F46"/>
    <w:rsid w:val="00614F5A"/>
    <w:rsid w:val="006163DA"/>
    <w:rsid w:val="006166EA"/>
    <w:rsid w:val="0061675B"/>
    <w:rsid w:val="0061683C"/>
    <w:rsid w:val="00616A5F"/>
    <w:rsid w:val="00616A8B"/>
    <w:rsid w:val="00616FF3"/>
    <w:rsid w:val="006175D7"/>
    <w:rsid w:val="006176F4"/>
    <w:rsid w:val="00617E87"/>
    <w:rsid w:val="006207BC"/>
    <w:rsid w:val="006207D8"/>
    <w:rsid w:val="00620CD4"/>
    <w:rsid w:val="00620CF4"/>
    <w:rsid w:val="006211F2"/>
    <w:rsid w:val="0062127E"/>
    <w:rsid w:val="00621695"/>
    <w:rsid w:val="006217E4"/>
    <w:rsid w:val="00621B8B"/>
    <w:rsid w:val="00622B3B"/>
    <w:rsid w:val="00622DD7"/>
    <w:rsid w:val="006230CA"/>
    <w:rsid w:val="00623291"/>
    <w:rsid w:val="0062332B"/>
    <w:rsid w:val="006233DC"/>
    <w:rsid w:val="006233E8"/>
    <w:rsid w:val="0062474E"/>
    <w:rsid w:val="00624D8B"/>
    <w:rsid w:val="00624E28"/>
    <w:rsid w:val="006251CA"/>
    <w:rsid w:val="00625281"/>
    <w:rsid w:val="0062595E"/>
    <w:rsid w:val="00625AFD"/>
    <w:rsid w:val="0062610C"/>
    <w:rsid w:val="00626146"/>
    <w:rsid w:val="00626366"/>
    <w:rsid w:val="00626646"/>
    <w:rsid w:val="00626927"/>
    <w:rsid w:val="00626937"/>
    <w:rsid w:val="00626989"/>
    <w:rsid w:val="00626D34"/>
    <w:rsid w:val="00626D56"/>
    <w:rsid w:val="006272E3"/>
    <w:rsid w:val="006275AB"/>
    <w:rsid w:val="006277DA"/>
    <w:rsid w:val="00627B32"/>
    <w:rsid w:val="00630058"/>
    <w:rsid w:val="00630542"/>
    <w:rsid w:val="0063062E"/>
    <w:rsid w:val="00630A92"/>
    <w:rsid w:val="006311CB"/>
    <w:rsid w:val="00631271"/>
    <w:rsid w:val="00631AC3"/>
    <w:rsid w:val="00631CC3"/>
    <w:rsid w:val="00632102"/>
    <w:rsid w:val="006325A2"/>
    <w:rsid w:val="00632D7D"/>
    <w:rsid w:val="00633AFB"/>
    <w:rsid w:val="00633E75"/>
    <w:rsid w:val="00635DCD"/>
    <w:rsid w:val="00635EEF"/>
    <w:rsid w:val="006364E6"/>
    <w:rsid w:val="006366C8"/>
    <w:rsid w:val="00636CD0"/>
    <w:rsid w:val="006375E3"/>
    <w:rsid w:val="006379A5"/>
    <w:rsid w:val="00637EBE"/>
    <w:rsid w:val="0064012E"/>
    <w:rsid w:val="0064030D"/>
    <w:rsid w:val="006405A7"/>
    <w:rsid w:val="006408BD"/>
    <w:rsid w:val="006409BB"/>
    <w:rsid w:val="00640B94"/>
    <w:rsid w:val="0064141D"/>
    <w:rsid w:val="00641447"/>
    <w:rsid w:val="006414A3"/>
    <w:rsid w:val="0064154E"/>
    <w:rsid w:val="006416CF"/>
    <w:rsid w:val="00641B28"/>
    <w:rsid w:val="0064244A"/>
    <w:rsid w:val="006431FC"/>
    <w:rsid w:val="006443EE"/>
    <w:rsid w:val="006447B1"/>
    <w:rsid w:val="0064496F"/>
    <w:rsid w:val="00644C0A"/>
    <w:rsid w:val="00644ED9"/>
    <w:rsid w:val="006451C0"/>
    <w:rsid w:val="00645310"/>
    <w:rsid w:val="00645B9E"/>
    <w:rsid w:val="00645BC0"/>
    <w:rsid w:val="0064615D"/>
    <w:rsid w:val="0064645B"/>
    <w:rsid w:val="00646971"/>
    <w:rsid w:val="006473EF"/>
    <w:rsid w:val="006478E6"/>
    <w:rsid w:val="006479A8"/>
    <w:rsid w:val="00647A65"/>
    <w:rsid w:val="006502EC"/>
    <w:rsid w:val="00650CC6"/>
    <w:rsid w:val="00650EEB"/>
    <w:rsid w:val="00650EFB"/>
    <w:rsid w:val="00651744"/>
    <w:rsid w:val="006519F8"/>
    <w:rsid w:val="00651F23"/>
    <w:rsid w:val="00652422"/>
    <w:rsid w:val="00652800"/>
    <w:rsid w:val="00652DA3"/>
    <w:rsid w:val="00652E26"/>
    <w:rsid w:val="00653B8A"/>
    <w:rsid w:val="00653C87"/>
    <w:rsid w:val="00653CB2"/>
    <w:rsid w:val="00653DEC"/>
    <w:rsid w:val="006543A3"/>
    <w:rsid w:val="00654894"/>
    <w:rsid w:val="00654F98"/>
    <w:rsid w:val="00654F9F"/>
    <w:rsid w:val="00655285"/>
    <w:rsid w:val="00655E1D"/>
    <w:rsid w:val="006561A5"/>
    <w:rsid w:val="0065676E"/>
    <w:rsid w:val="006568A1"/>
    <w:rsid w:val="00656A10"/>
    <w:rsid w:val="00656AC3"/>
    <w:rsid w:val="00656FB3"/>
    <w:rsid w:val="006579FF"/>
    <w:rsid w:val="00657A02"/>
    <w:rsid w:val="0066046F"/>
    <w:rsid w:val="006606B6"/>
    <w:rsid w:val="006608FC"/>
    <w:rsid w:val="00660C35"/>
    <w:rsid w:val="00660CB9"/>
    <w:rsid w:val="00661676"/>
    <w:rsid w:val="00661713"/>
    <w:rsid w:val="006618DC"/>
    <w:rsid w:val="006619D3"/>
    <w:rsid w:val="00661C60"/>
    <w:rsid w:val="00662128"/>
    <w:rsid w:val="00662523"/>
    <w:rsid w:val="0066271E"/>
    <w:rsid w:val="00662832"/>
    <w:rsid w:val="00662F36"/>
    <w:rsid w:val="00662F80"/>
    <w:rsid w:val="00663969"/>
    <w:rsid w:val="00663B4C"/>
    <w:rsid w:val="00663DB2"/>
    <w:rsid w:val="0066409E"/>
    <w:rsid w:val="00664AB0"/>
    <w:rsid w:val="00664B2E"/>
    <w:rsid w:val="006650A2"/>
    <w:rsid w:val="00665A74"/>
    <w:rsid w:val="00665F12"/>
    <w:rsid w:val="006668EE"/>
    <w:rsid w:val="006670C3"/>
    <w:rsid w:val="00667506"/>
    <w:rsid w:val="006679FC"/>
    <w:rsid w:val="00670547"/>
    <w:rsid w:val="006711B5"/>
    <w:rsid w:val="00671492"/>
    <w:rsid w:val="0067159C"/>
    <w:rsid w:val="006715C7"/>
    <w:rsid w:val="00671A59"/>
    <w:rsid w:val="00671DEF"/>
    <w:rsid w:val="00671FA8"/>
    <w:rsid w:val="0067228E"/>
    <w:rsid w:val="00672541"/>
    <w:rsid w:val="006729DC"/>
    <w:rsid w:val="006732F2"/>
    <w:rsid w:val="006733B8"/>
    <w:rsid w:val="006735EA"/>
    <w:rsid w:val="006736A7"/>
    <w:rsid w:val="006737D0"/>
    <w:rsid w:val="00673B20"/>
    <w:rsid w:val="00673F36"/>
    <w:rsid w:val="0067448E"/>
    <w:rsid w:val="00674BA4"/>
    <w:rsid w:val="00674BC0"/>
    <w:rsid w:val="00674C9E"/>
    <w:rsid w:val="00674EA4"/>
    <w:rsid w:val="006755C5"/>
    <w:rsid w:val="00675F43"/>
    <w:rsid w:val="006767AB"/>
    <w:rsid w:val="00676DF1"/>
    <w:rsid w:val="006770F0"/>
    <w:rsid w:val="00677537"/>
    <w:rsid w:val="00677965"/>
    <w:rsid w:val="00677DC0"/>
    <w:rsid w:val="006802DC"/>
    <w:rsid w:val="00680773"/>
    <w:rsid w:val="00680B4B"/>
    <w:rsid w:val="00680D03"/>
    <w:rsid w:val="0068111C"/>
    <w:rsid w:val="00681179"/>
    <w:rsid w:val="0068145E"/>
    <w:rsid w:val="006814FC"/>
    <w:rsid w:val="00682886"/>
    <w:rsid w:val="006828B2"/>
    <w:rsid w:val="00682E61"/>
    <w:rsid w:val="0068318C"/>
    <w:rsid w:val="00683392"/>
    <w:rsid w:val="00683A2F"/>
    <w:rsid w:val="00683C10"/>
    <w:rsid w:val="00684227"/>
    <w:rsid w:val="006842D6"/>
    <w:rsid w:val="006843B2"/>
    <w:rsid w:val="00684692"/>
    <w:rsid w:val="006848B0"/>
    <w:rsid w:val="00684ED5"/>
    <w:rsid w:val="006856DA"/>
    <w:rsid w:val="006859EC"/>
    <w:rsid w:val="00685C13"/>
    <w:rsid w:val="00685DCC"/>
    <w:rsid w:val="006865F2"/>
    <w:rsid w:val="00686F6C"/>
    <w:rsid w:val="006870A8"/>
    <w:rsid w:val="006878E6"/>
    <w:rsid w:val="00687EB2"/>
    <w:rsid w:val="00690112"/>
    <w:rsid w:val="006902EE"/>
    <w:rsid w:val="006927DF"/>
    <w:rsid w:val="006929C7"/>
    <w:rsid w:val="006929F9"/>
    <w:rsid w:val="00692C13"/>
    <w:rsid w:val="00692D16"/>
    <w:rsid w:val="0069311D"/>
    <w:rsid w:val="0069389B"/>
    <w:rsid w:val="006940D2"/>
    <w:rsid w:val="00694969"/>
    <w:rsid w:val="00694B70"/>
    <w:rsid w:val="00694D2B"/>
    <w:rsid w:val="006951D9"/>
    <w:rsid w:val="006952F6"/>
    <w:rsid w:val="0069532E"/>
    <w:rsid w:val="006953BC"/>
    <w:rsid w:val="00695409"/>
    <w:rsid w:val="006955DC"/>
    <w:rsid w:val="00695A5C"/>
    <w:rsid w:val="00695D4A"/>
    <w:rsid w:val="00695DA2"/>
    <w:rsid w:val="00695E25"/>
    <w:rsid w:val="00695FD3"/>
    <w:rsid w:val="00696088"/>
    <w:rsid w:val="00696483"/>
    <w:rsid w:val="00696706"/>
    <w:rsid w:val="006968A2"/>
    <w:rsid w:val="00696A2E"/>
    <w:rsid w:val="00697394"/>
    <w:rsid w:val="006975AB"/>
    <w:rsid w:val="00697F7E"/>
    <w:rsid w:val="00697FF2"/>
    <w:rsid w:val="006A059D"/>
    <w:rsid w:val="006A0635"/>
    <w:rsid w:val="006A0732"/>
    <w:rsid w:val="006A0D12"/>
    <w:rsid w:val="006A1134"/>
    <w:rsid w:val="006A12EC"/>
    <w:rsid w:val="006A1C1F"/>
    <w:rsid w:val="006A1DB6"/>
    <w:rsid w:val="006A1EAF"/>
    <w:rsid w:val="006A254C"/>
    <w:rsid w:val="006A2652"/>
    <w:rsid w:val="006A2854"/>
    <w:rsid w:val="006A2905"/>
    <w:rsid w:val="006A337C"/>
    <w:rsid w:val="006A3C76"/>
    <w:rsid w:val="006A3EC7"/>
    <w:rsid w:val="006A424F"/>
    <w:rsid w:val="006A4BFC"/>
    <w:rsid w:val="006A4D25"/>
    <w:rsid w:val="006A4DA4"/>
    <w:rsid w:val="006A4FEB"/>
    <w:rsid w:val="006A5079"/>
    <w:rsid w:val="006A5B75"/>
    <w:rsid w:val="006A5F43"/>
    <w:rsid w:val="006A6061"/>
    <w:rsid w:val="006A60F7"/>
    <w:rsid w:val="006A6B52"/>
    <w:rsid w:val="006A6BFB"/>
    <w:rsid w:val="006A6D3F"/>
    <w:rsid w:val="006A6DBA"/>
    <w:rsid w:val="006A71D0"/>
    <w:rsid w:val="006A7517"/>
    <w:rsid w:val="006A76FB"/>
    <w:rsid w:val="006A78B7"/>
    <w:rsid w:val="006A7A08"/>
    <w:rsid w:val="006A7ACC"/>
    <w:rsid w:val="006A7B78"/>
    <w:rsid w:val="006A7BB3"/>
    <w:rsid w:val="006B0144"/>
    <w:rsid w:val="006B01FF"/>
    <w:rsid w:val="006B068F"/>
    <w:rsid w:val="006B07B6"/>
    <w:rsid w:val="006B0E92"/>
    <w:rsid w:val="006B1B4A"/>
    <w:rsid w:val="006B1B7C"/>
    <w:rsid w:val="006B2C4E"/>
    <w:rsid w:val="006B2EED"/>
    <w:rsid w:val="006B3D99"/>
    <w:rsid w:val="006B4542"/>
    <w:rsid w:val="006B4755"/>
    <w:rsid w:val="006B4912"/>
    <w:rsid w:val="006B4A7A"/>
    <w:rsid w:val="006B4B2F"/>
    <w:rsid w:val="006B4BE2"/>
    <w:rsid w:val="006B5844"/>
    <w:rsid w:val="006B58AD"/>
    <w:rsid w:val="006B5B7A"/>
    <w:rsid w:val="006B5BB2"/>
    <w:rsid w:val="006B6ABB"/>
    <w:rsid w:val="006B759D"/>
    <w:rsid w:val="006B78A9"/>
    <w:rsid w:val="006B7B90"/>
    <w:rsid w:val="006B7F6E"/>
    <w:rsid w:val="006C046A"/>
    <w:rsid w:val="006C050F"/>
    <w:rsid w:val="006C088C"/>
    <w:rsid w:val="006C08D3"/>
    <w:rsid w:val="006C0D34"/>
    <w:rsid w:val="006C145C"/>
    <w:rsid w:val="006C286E"/>
    <w:rsid w:val="006C2D41"/>
    <w:rsid w:val="006C3016"/>
    <w:rsid w:val="006C3239"/>
    <w:rsid w:val="006C387F"/>
    <w:rsid w:val="006C3BCF"/>
    <w:rsid w:val="006C3BE6"/>
    <w:rsid w:val="006C3F48"/>
    <w:rsid w:val="006C3F95"/>
    <w:rsid w:val="006C49B8"/>
    <w:rsid w:val="006C4C32"/>
    <w:rsid w:val="006C542D"/>
    <w:rsid w:val="006C5628"/>
    <w:rsid w:val="006C5B12"/>
    <w:rsid w:val="006C5F7E"/>
    <w:rsid w:val="006C6912"/>
    <w:rsid w:val="006C6BFE"/>
    <w:rsid w:val="006C6E25"/>
    <w:rsid w:val="006C6EF7"/>
    <w:rsid w:val="006C6F75"/>
    <w:rsid w:val="006C6FB3"/>
    <w:rsid w:val="006C70D3"/>
    <w:rsid w:val="006C76E6"/>
    <w:rsid w:val="006C7AFC"/>
    <w:rsid w:val="006C7E2B"/>
    <w:rsid w:val="006C7E7A"/>
    <w:rsid w:val="006C7E81"/>
    <w:rsid w:val="006D01DB"/>
    <w:rsid w:val="006D04AB"/>
    <w:rsid w:val="006D0D61"/>
    <w:rsid w:val="006D0E21"/>
    <w:rsid w:val="006D2146"/>
    <w:rsid w:val="006D2165"/>
    <w:rsid w:val="006D2612"/>
    <w:rsid w:val="006D2C91"/>
    <w:rsid w:val="006D2F29"/>
    <w:rsid w:val="006D3491"/>
    <w:rsid w:val="006D4D4C"/>
    <w:rsid w:val="006D4F07"/>
    <w:rsid w:val="006D505C"/>
    <w:rsid w:val="006D52FB"/>
    <w:rsid w:val="006D5674"/>
    <w:rsid w:val="006D5AA4"/>
    <w:rsid w:val="006D5C4B"/>
    <w:rsid w:val="006D5CA5"/>
    <w:rsid w:val="006D7056"/>
    <w:rsid w:val="006D70E2"/>
    <w:rsid w:val="006D7E26"/>
    <w:rsid w:val="006E0482"/>
    <w:rsid w:val="006E07CF"/>
    <w:rsid w:val="006E0D0C"/>
    <w:rsid w:val="006E14A9"/>
    <w:rsid w:val="006E1B90"/>
    <w:rsid w:val="006E1C1A"/>
    <w:rsid w:val="006E1E4F"/>
    <w:rsid w:val="006E220E"/>
    <w:rsid w:val="006E2301"/>
    <w:rsid w:val="006E25CB"/>
    <w:rsid w:val="006E2DBB"/>
    <w:rsid w:val="006E30B3"/>
    <w:rsid w:val="006E33E9"/>
    <w:rsid w:val="006E39E4"/>
    <w:rsid w:val="006E3A84"/>
    <w:rsid w:val="006E3E81"/>
    <w:rsid w:val="006E3F37"/>
    <w:rsid w:val="006E43C5"/>
    <w:rsid w:val="006E44E7"/>
    <w:rsid w:val="006E47FB"/>
    <w:rsid w:val="006E4957"/>
    <w:rsid w:val="006E4F89"/>
    <w:rsid w:val="006E5152"/>
    <w:rsid w:val="006E51C7"/>
    <w:rsid w:val="006E53CE"/>
    <w:rsid w:val="006E5483"/>
    <w:rsid w:val="006E5798"/>
    <w:rsid w:val="006E5FA2"/>
    <w:rsid w:val="006E6055"/>
    <w:rsid w:val="006E6768"/>
    <w:rsid w:val="006E699F"/>
    <w:rsid w:val="006E6B40"/>
    <w:rsid w:val="006E6E89"/>
    <w:rsid w:val="006E770B"/>
    <w:rsid w:val="006E7CB6"/>
    <w:rsid w:val="006F00B7"/>
    <w:rsid w:val="006F01AE"/>
    <w:rsid w:val="006F084D"/>
    <w:rsid w:val="006F0A76"/>
    <w:rsid w:val="006F0B7A"/>
    <w:rsid w:val="006F0F6D"/>
    <w:rsid w:val="006F15AC"/>
    <w:rsid w:val="006F174D"/>
    <w:rsid w:val="006F19C6"/>
    <w:rsid w:val="006F1BED"/>
    <w:rsid w:val="006F1E83"/>
    <w:rsid w:val="006F242A"/>
    <w:rsid w:val="006F2581"/>
    <w:rsid w:val="006F27D0"/>
    <w:rsid w:val="006F298A"/>
    <w:rsid w:val="006F2E45"/>
    <w:rsid w:val="006F2F63"/>
    <w:rsid w:val="006F33BE"/>
    <w:rsid w:val="006F34F6"/>
    <w:rsid w:val="006F3B88"/>
    <w:rsid w:val="006F3B91"/>
    <w:rsid w:val="006F4485"/>
    <w:rsid w:val="006F47DF"/>
    <w:rsid w:val="006F537D"/>
    <w:rsid w:val="006F5437"/>
    <w:rsid w:val="006F59B4"/>
    <w:rsid w:val="006F5B04"/>
    <w:rsid w:val="006F63DA"/>
    <w:rsid w:val="006F6498"/>
    <w:rsid w:val="006F69E4"/>
    <w:rsid w:val="006F6AB8"/>
    <w:rsid w:val="006F6C9A"/>
    <w:rsid w:val="006F6E3B"/>
    <w:rsid w:val="006F6F3C"/>
    <w:rsid w:val="006F7018"/>
    <w:rsid w:val="006F7059"/>
    <w:rsid w:val="006F72A8"/>
    <w:rsid w:val="006F73C8"/>
    <w:rsid w:val="006F7981"/>
    <w:rsid w:val="006F7D31"/>
    <w:rsid w:val="006F7D6E"/>
    <w:rsid w:val="006F7DCA"/>
    <w:rsid w:val="007000CD"/>
    <w:rsid w:val="00700140"/>
    <w:rsid w:val="0070019F"/>
    <w:rsid w:val="007006DA"/>
    <w:rsid w:val="007007F3"/>
    <w:rsid w:val="0070098A"/>
    <w:rsid w:val="00700D2F"/>
    <w:rsid w:val="00700ED3"/>
    <w:rsid w:val="0070105F"/>
    <w:rsid w:val="0070126D"/>
    <w:rsid w:val="0070186F"/>
    <w:rsid w:val="007018B1"/>
    <w:rsid w:val="007018EA"/>
    <w:rsid w:val="00701F21"/>
    <w:rsid w:val="00702104"/>
    <w:rsid w:val="007022D4"/>
    <w:rsid w:val="00702338"/>
    <w:rsid w:val="007027B1"/>
    <w:rsid w:val="00702E40"/>
    <w:rsid w:val="00702E5B"/>
    <w:rsid w:val="007033CE"/>
    <w:rsid w:val="00703663"/>
    <w:rsid w:val="00703873"/>
    <w:rsid w:val="0070387A"/>
    <w:rsid w:val="007039AB"/>
    <w:rsid w:val="007043A5"/>
    <w:rsid w:val="00704B07"/>
    <w:rsid w:val="00704D36"/>
    <w:rsid w:val="00704F62"/>
    <w:rsid w:val="00705829"/>
    <w:rsid w:val="0070584A"/>
    <w:rsid w:val="0070594B"/>
    <w:rsid w:val="00705D41"/>
    <w:rsid w:val="00705DC7"/>
    <w:rsid w:val="00706218"/>
    <w:rsid w:val="00706638"/>
    <w:rsid w:val="007066C7"/>
    <w:rsid w:val="00706AF3"/>
    <w:rsid w:val="00707443"/>
    <w:rsid w:val="00710026"/>
    <w:rsid w:val="0071014D"/>
    <w:rsid w:val="00710A84"/>
    <w:rsid w:val="00710A8A"/>
    <w:rsid w:val="007112CF"/>
    <w:rsid w:val="007113C6"/>
    <w:rsid w:val="007114F2"/>
    <w:rsid w:val="00711775"/>
    <w:rsid w:val="00711EED"/>
    <w:rsid w:val="0071237D"/>
    <w:rsid w:val="0071249C"/>
    <w:rsid w:val="00712C00"/>
    <w:rsid w:val="007131CD"/>
    <w:rsid w:val="007138DA"/>
    <w:rsid w:val="007142A8"/>
    <w:rsid w:val="00715694"/>
    <w:rsid w:val="00715695"/>
    <w:rsid w:val="0071587D"/>
    <w:rsid w:val="00715F8E"/>
    <w:rsid w:val="0071657E"/>
    <w:rsid w:val="00716AEF"/>
    <w:rsid w:val="00716C4E"/>
    <w:rsid w:val="00716FDA"/>
    <w:rsid w:val="007172B0"/>
    <w:rsid w:val="0071760D"/>
    <w:rsid w:val="007176D5"/>
    <w:rsid w:val="007176F2"/>
    <w:rsid w:val="007177DA"/>
    <w:rsid w:val="00717EFD"/>
    <w:rsid w:val="00720116"/>
    <w:rsid w:val="0072014A"/>
    <w:rsid w:val="0072026D"/>
    <w:rsid w:val="007205A6"/>
    <w:rsid w:val="007205DA"/>
    <w:rsid w:val="00720FFD"/>
    <w:rsid w:val="007218C9"/>
    <w:rsid w:val="00722902"/>
    <w:rsid w:val="007229EA"/>
    <w:rsid w:val="00722A78"/>
    <w:rsid w:val="00722B44"/>
    <w:rsid w:val="00722E81"/>
    <w:rsid w:val="00722ED3"/>
    <w:rsid w:val="00723682"/>
    <w:rsid w:val="007236FB"/>
    <w:rsid w:val="00723BF7"/>
    <w:rsid w:val="00723FA0"/>
    <w:rsid w:val="007240EB"/>
    <w:rsid w:val="00724895"/>
    <w:rsid w:val="00724949"/>
    <w:rsid w:val="00724ACE"/>
    <w:rsid w:val="00724DBC"/>
    <w:rsid w:val="007258EF"/>
    <w:rsid w:val="00725E55"/>
    <w:rsid w:val="00726229"/>
    <w:rsid w:val="007269B2"/>
    <w:rsid w:val="00726A0C"/>
    <w:rsid w:val="00727564"/>
    <w:rsid w:val="00727A16"/>
    <w:rsid w:val="00727D55"/>
    <w:rsid w:val="00727DF0"/>
    <w:rsid w:val="007305FE"/>
    <w:rsid w:val="007309DA"/>
    <w:rsid w:val="00731FFE"/>
    <w:rsid w:val="00732055"/>
    <w:rsid w:val="007323D0"/>
    <w:rsid w:val="00732550"/>
    <w:rsid w:val="0073304E"/>
    <w:rsid w:val="00733B91"/>
    <w:rsid w:val="00733C29"/>
    <w:rsid w:val="00733F70"/>
    <w:rsid w:val="007340EC"/>
    <w:rsid w:val="00734874"/>
    <w:rsid w:val="00734B99"/>
    <w:rsid w:val="00734D64"/>
    <w:rsid w:val="007350AC"/>
    <w:rsid w:val="00735B27"/>
    <w:rsid w:val="00735CAC"/>
    <w:rsid w:val="00735E87"/>
    <w:rsid w:val="00736296"/>
    <w:rsid w:val="007369DD"/>
    <w:rsid w:val="00736FF1"/>
    <w:rsid w:val="00737172"/>
    <w:rsid w:val="00737314"/>
    <w:rsid w:val="00737467"/>
    <w:rsid w:val="007374F3"/>
    <w:rsid w:val="00737505"/>
    <w:rsid w:val="00737A89"/>
    <w:rsid w:val="00737B7B"/>
    <w:rsid w:val="007400D7"/>
    <w:rsid w:val="007402E0"/>
    <w:rsid w:val="00740FD4"/>
    <w:rsid w:val="007411D6"/>
    <w:rsid w:val="00741736"/>
    <w:rsid w:val="00741F94"/>
    <w:rsid w:val="0074261C"/>
    <w:rsid w:val="00742A53"/>
    <w:rsid w:val="00742D86"/>
    <w:rsid w:val="00743374"/>
    <w:rsid w:val="007438FB"/>
    <w:rsid w:val="00743916"/>
    <w:rsid w:val="00743CB2"/>
    <w:rsid w:val="0074458A"/>
    <w:rsid w:val="00744FCF"/>
    <w:rsid w:val="00745079"/>
    <w:rsid w:val="00745267"/>
    <w:rsid w:val="007459E9"/>
    <w:rsid w:val="00745C22"/>
    <w:rsid w:val="00745CB0"/>
    <w:rsid w:val="00746092"/>
    <w:rsid w:val="0074656E"/>
    <w:rsid w:val="0074680E"/>
    <w:rsid w:val="00746BD7"/>
    <w:rsid w:val="00746EC3"/>
    <w:rsid w:val="00746F49"/>
    <w:rsid w:val="00746FCE"/>
    <w:rsid w:val="00747799"/>
    <w:rsid w:val="007477E8"/>
    <w:rsid w:val="00747A95"/>
    <w:rsid w:val="007500B2"/>
    <w:rsid w:val="007502B1"/>
    <w:rsid w:val="00750357"/>
    <w:rsid w:val="0075046D"/>
    <w:rsid w:val="007509F8"/>
    <w:rsid w:val="00750AF7"/>
    <w:rsid w:val="0075171B"/>
    <w:rsid w:val="00751B6A"/>
    <w:rsid w:val="00752457"/>
    <w:rsid w:val="00752836"/>
    <w:rsid w:val="007528F0"/>
    <w:rsid w:val="00752922"/>
    <w:rsid w:val="0075298F"/>
    <w:rsid w:val="00752B47"/>
    <w:rsid w:val="0075392D"/>
    <w:rsid w:val="00753BF0"/>
    <w:rsid w:val="007540BD"/>
    <w:rsid w:val="007548DF"/>
    <w:rsid w:val="00754C96"/>
    <w:rsid w:val="00754E8F"/>
    <w:rsid w:val="0075500D"/>
    <w:rsid w:val="007556E1"/>
    <w:rsid w:val="0075598F"/>
    <w:rsid w:val="00755B7A"/>
    <w:rsid w:val="00755CA8"/>
    <w:rsid w:val="00756193"/>
    <w:rsid w:val="007561F6"/>
    <w:rsid w:val="0075624F"/>
    <w:rsid w:val="00756686"/>
    <w:rsid w:val="0075692D"/>
    <w:rsid w:val="00756C20"/>
    <w:rsid w:val="00756D08"/>
    <w:rsid w:val="00756EA4"/>
    <w:rsid w:val="00757031"/>
    <w:rsid w:val="00757151"/>
    <w:rsid w:val="007575B5"/>
    <w:rsid w:val="00757AF0"/>
    <w:rsid w:val="00757C78"/>
    <w:rsid w:val="00757DB5"/>
    <w:rsid w:val="007604DA"/>
    <w:rsid w:val="00760D81"/>
    <w:rsid w:val="007614CA"/>
    <w:rsid w:val="007618B0"/>
    <w:rsid w:val="007618E0"/>
    <w:rsid w:val="00761D70"/>
    <w:rsid w:val="00761DBE"/>
    <w:rsid w:val="00762370"/>
    <w:rsid w:val="0076270F"/>
    <w:rsid w:val="00762C52"/>
    <w:rsid w:val="00762C62"/>
    <w:rsid w:val="00762E14"/>
    <w:rsid w:val="00762FE5"/>
    <w:rsid w:val="007639C7"/>
    <w:rsid w:val="007639F5"/>
    <w:rsid w:val="00763A57"/>
    <w:rsid w:val="00763C8A"/>
    <w:rsid w:val="00763F90"/>
    <w:rsid w:val="00764436"/>
    <w:rsid w:val="00764AFF"/>
    <w:rsid w:val="00764FB0"/>
    <w:rsid w:val="00765510"/>
    <w:rsid w:val="007658B2"/>
    <w:rsid w:val="00765901"/>
    <w:rsid w:val="00765E7D"/>
    <w:rsid w:val="007669E3"/>
    <w:rsid w:val="00767383"/>
    <w:rsid w:val="0076762D"/>
    <w:rsid w:val="007677C8"/>
    <w:rsid w:val="00767900"/>
    <w:rsid w:val="00767D74"/>
    <w:rsid w:val="00770F8C"/>
    <w:rsid w:val="007712D0"/>
    <w:rsid w:val="007714EF"/>
    <w:rsid w:val="0077153C"/>
    <w:rsid w:val="0077169A"/>
    <w:rsid w:val="007716A6"/>
    <w:rsid w:val="00771DAB"/>
    <w:rsid w:val="00771E52"/>
    <w:rsid w:val="00771F80"/>
    <w:rsid w:val="007720E2"/>
    <w:rsid w:val="00772498"/>
    <w:rsid w:val="007728D2"/>
    <w:rsid w:val="007730D9"/>
    <w:rsid w:val="0077339C"/>
    <w:rsid w:val="007738E6"/>
    <w:rsid w:val="0077392A"/>
    <w:rsid w:val="007739C0"/>
    <w:rsid w:val="00773ADF"/>
    <w:rsid w:val="00773B46"/>
    <w:rsid w:val="007741E2"/>
    <w:rsid w:val="00774202"/>
    <w:rsid w:val="00774212"/>
    <w:rsid w:val="00774AB4"/>
    <w:rsid w:val="00774AC5"/>
    <w:rsid w:val="00775A32"/>
    <w:rsid w:val="00775C7A"/>
    <w:rsid w:val="00775E16"/>
    <w:rsid w:val="00776181"/>
    <w:rsid w:val="0077661A"/>
    <w:rsid w:val="0077696D"/>
    <w:rsid w:val="00776991"/>
    <w:rsid w:val="00776B72"/>
    <w:rsid w:val="00776C92"/>
    <w:rsid w:val="007778EA"/>
    <w:rsid w:val="00777B92"/>
    <w:rsid w:val="00780818"/>
    <w:rsid w:val="00781014"/>
    <w:rsid w:val="007819EB"/>
    <w:rsid w:val="00781BB6"/>
    <w:rsid w:val="00781D04"/>
    <w:rsid w:val="00782136"/>
    <w:rsid w:val="00782BFF"/>
    <w:rsid w:val="00782CAA"/>
    <w:rsid w:val="007832CF"/>
    <w:rsid w:val="007836C7"/>
    <w:rsid w:val="00783AC7"/>
    <w:rsid w:val="00783F57"/>
    <w:rsid w:val="0078401C"/>
    <w:rsid w:val="00784110"/>
    <w:rsid w:val="00784154"/>
    <w:rsid w:val="00784736"/>
    <w:rsid w:val="007847DA"/>
    <w:rsid w:val="00784A8C"/>
    <w:rsid w:val="00784C28"/>
    <w:rsid w:val="00784FC7"/>
    <w:rsid w:val="00785BD5"/>
    <w:rsid w:val="00786060"/>
    <w:rsid w:val="0078611B"/>
    <w:rsid w:val="0078629A"/>
    <w:rsid w:val="007865BF"/>
    <w:rsid w:val="00786986"/>
    <w:rsid w:val="007869CC"/>
    <w:rsid w:val="00786C0C"/>
    <w:rsid w:val="00786DC4"/>
    <w:rsid w:val="00787176"/>
    <w:rsid w:val="0078747D"/>
    <w:rsid w:val="0078781B"/>
    <w:rsid w:val="00787C04"/>
    <w:rsid w:val="00790A04"/>
    <w:rsid w:val="00790A4E"/>
    <w:rsid w:val="00790DAF"/>
    <w:rsid w:val="007912A2"/>
    <w:rsid w:val="007912A9"/>
    <w:rsid w:val="007912E2"/>
    <w:rsid w:val="00791A05"/>
    <w:rsid w:val="00791D6B"/>
    <w:rsid w:val="00791D74"/>
    <w:rsid w:val="00791F6D"/>
    <w:rsid w:val="007924CE"/>
    <w:rsid w:val="007934BD"/>
    <w:rsid w:val="00793C65"/>
    <w:rsid w:val="00793E7D"/>
    <w:rsid w:val="00794E2C"/>
    <w:rsid w:val="00794E72"/>
    <w:rsid w:val="007951A4"/>
    <w:rsid w:val="007951CC"/>
    <w:rsid w:val="0079526F"/>
    <w:rsid w:val="00795321"/>
    <w:rsid w:val="007957D8"/>
    <w:rsid w:val="00795B5B"/>
    <w:rsid w:val="007961B6"/>
    <w:rsid w:val="00796267"/>
    <w:rsid w:val="007966DA"/>
    <w:rsid w:val="00796755"/>
    <w:rsid w:val="0079695B"/>
    <w:rsid w:val="00796A63"/>
    <w:rsid w:val="00796B65"/>
    <w:rsid w:val="00796DAC"/>
    <w:rsid w:val="00797112"/>
    <w:rsid w:val="00797195"/>
    <w:rsid w:val="007972C9"/>
    <w:rsid w:val="00797D46"/>
    <w:rsid w:val="007A02E4"/>
    <w:rsid w:val="007A0965"/>
    <w:rsid w:val="007A0A67"/>
    <w:rsid w:val="007A10EA"/>
    <w:rsid w:val="007A1404"/>
    <w:rsid w:val="007A1DB3"/>
    <w:rsid w:val="007A24A1"/>
    <w:rsid w:val="007A257D"/>
    <w:rsid w:val="007A2AA8"/>
    <w:rsid w:val="007A2C82"/>
    <w:rsid w:val="007A2DC5"/>
    <w:rsid w:val="007A3308"/>
    <w:rsid w:val="007A33BF"/>
    <w:rsid w:val="007A34C3"/>
    <w:rsid w:val="007A3698"/>
    <w:rsid w:val="007A3AB0"/>
    <w:rsid w:val="007A3C0C"/>
    <w:rsid w:val="007A3C8C"/>
    <w:rsid w:val="007A3DFB"/>
    <w:rsid w:val="007A410C"/>
    <w:rsid w:val="007A45C6"/>
    <w:rsid w:val="007A4C29"/>
    <w:rsid w:val="007A4E3E"/>
    <w:rsid w:val="007A551B"/>
    <w:rsid w:val="007A59F7"/>
    <w:rsid w:val="007A5D1B"/>
    <w:rsid w:val="007A5D8A"/>
    <w:rsid w:val="007A607F"/>
    <w:rsid w:val="007A61D7"/>
    <w:rsid w:val="007A7A4B"/>
    <w:rsid w:val="007B05B7"/>
    <w:rsid w:val="007B096C"/>
    <w:rsid w:val="007B0E96"/>
    <w:rsid w:val="007B1136"/>
    <w:rsid w:val="007B1195"/>
    <w:rsid w:val="007B147E"/>
    <w:rsid w:val="007B1CFA"/>
    <w:rsid w:val="007B1F2E"/>
    <w:rsid w:val="007B2048"/>
    <w:rsid w:val="007B3018"/>
    <w:rsid w:val="007B328A"/>
    <w:rsid w:val="007B3521"/>
    <w:rsid w:val="007B3E87"/>
    <w:rsid w:val="007B3FC1"/>
    <w:rsid w:val="007B4305"/>
    <w:rsid w:val="007B4497"/>
    <w:rsid w:val="007B46B4"/>
    <w:rsid w:val="007B4703"/>
    <w:rsid w:val="007B4E6F"/>
    <w:rsid w:val="007B505E"/>
    <w:rsid w:val="007B50AD"/>
    <w:rsid w:val="007B5113"/>
    <w:rsid w:val="007B5195"/>
    <w:rsid w:val="007B545C"/>
    <w:rsid w:val="007B59B2"/>
    <w:rsid w:val="007B5FA2"/>
    <w:rsid w:val="007B69AD"/>
    <w:rsid w:val="007B6FCC"/>
    <w:rsid w:val="007B7FF2"/>
    <w:rsid w:val="007C008F"/>
    <w:rsid w:val="007C0169"/>
    <w:rsid w:val="007C02D2"/>
    <w:rsid w:val="007C06CE"/>
    <w:rsid w:val="007C09F2"/>
    <w:rsid w:val="007C182C"/>
    <w:rsid w:val="007C2303"/>
    <w:rsid w:val="007C257C"/>
    <w:rsid w:val="007C277F"/>
    <w:rsid w:val="007C2D2F"/>
    <w:rsid w:val="007C2E86"/>
    <w:rsid w:val="007C378F"/>
    <w:rsid w:val="007C3E15"/>
    <w:rsid w:val="007C449C"/>
    <w:rsid w:val="007C46BF"/>
    <w:rsid w:val="007C4C94"/>
    <w:rsid w:val="007C52F0"/>
    <w:rsid w:val="007C57B2"/>
    <w:rsid w:val="007C58FE"/>
    <w:rsid w:val="007C648F"/>
    <w:rsid w:val="007C64C0"/>
    <w:rsid w:val="007C655A"/>
    <w:rsid w:val="007C65AF"/>
    <w:rsid w:val="007C677F"/>
    <w:rsid w:val="007C69D4"/>
    <w:rsid w:val="007C7329"/>
    <w:rsid w:val="007C77F7"/>
    <w:rsid w:val="007D0299"/>
    <w:rsid w:val="007D084B"/>
    <w:rsid w:val="007D0965"/>
    <w:rsid w:val="007D0976"/>
    <w:rsid w:val="007D0A6E"/>
    <w:rsid w:val="007D1452"/>
    <w:rsid w:val="007D18FD"/>
    <w:rsid w:val="007D1947"/>
    <w:rsid w:val="007D2D1C"/>
    <w:rsid w:val="007D3113"/>
    <w:rsid w:val="007D3429"/>
    <w:rsid w:val="007D3987"/>
    <w:rsid w:val="007D3D80"/>
    <w:rsid w:val="007D4044"/>
    <w:rsid w:val="007D4245"/>
    <w:rsid w:val="007D450F"/>
    <w:rsid w:val="007D4795"/>
    <w:rsid w:val="007D4CE7"/>
    <w:rsid w:val="007D5417"/>
    <w:rsid w:val="007D5A68"/>
    <w:rsid w:val="007D69A5"/>
    <w:rsid w:val="007D745C"/>
    <w:rsid w:val="007D74A2"/>
    <w:rsid w:val="007D7814"/>
    <w:rsid w:val="007D7866"/>
    <w:rsid w:val="007D796E"/>
    <w:rsid w:val="007D7A02"/>
    <w:rsid w:val="007D7DDF"/>
    <w:rsid w:val="007E00A4"/>
    <w:rsid w:val="007E058D"/>
    <w:rsid w:val="007E07CC"/>
    <w:rsid w:val="007E0BB9"/>
    <w:rsid w:val="007E0C61"/>
    <w:rsid w:val="007E0E15"/>
    <w:rsid w:val="007E109D"/>
    <w:rsid w:val="007E1714"/>
    <w:rsid w:val="007E1979"/>
    <w:rsid w:val="007E1E93"/>
    <w:rsid w:val="007E23D7"/>
    <w:rsid w:val="007E2A19"/>
    <w:rsid w:val="007E328C"/>
    <w:rsid w:val="007E3465"/>
    <w:rsid w:val="007E3974"/>
    <w:rsid w:val="007E3ADA"/>
    <w:rsid w:val="007E4406"/>
    <w:rsid w:val="007E49F5"/>
    <w:rsid w:val="007E4CB7"/>
    <w:rsid w:val="007E4E65"/>
    <w:rsid w:val="007E4F72"/>
    <w:rsid w:val="007E556F"/>
    <w:rsid w:val="007E5C38"/>
    <w:rsid w:val="007E6158"/>
    <w:rsid w:val="007E625E"/>
    <w:rsid w:val="007E6332"/>
    <w:rsid w:val="007E64E8"/>
    <w:rsid w:val="007E67C4"/>
    <w:rsid w:val="007E6833"/>
    <w:rsid w:val="007E6B1F"/>
    <w:rsid w:val="007E70EE"/>
    <w:rsid w:val="007E7CB7"/>
    <w:rsid w:val="007F0376"/>
    <w:rsid w:val="007F0D12"/>
    <w:rsid w:val="007F1503"/>
    <w:rsid w:val="007F1579"/>
    <w:rsid w:val="007F1886"/>
    <w:rsid w:val="007F209A"/>
    <w:rsid w:val="007F217B"/>
    <w:rsid w:val="007F2308"/>
    <w:rsid w:val="007F2A80"/>
    <w:rsid w:val="007F2AA9"/>
    <w:rsid w:val="007F2C82"/>
    <w:rsid w:val="007F3CD2"/>
    <w:rsid w:val="007F43D6"/>
    <w:rsid w:val="007F4556"/>
    <w:rsid w:val="007F4A20"/>
    <w:rsid w:val="007F4D95"/>
    <w:rsid w:val="007F4E65"/>
    <w:rsid w:val="007F5932"/>
    <w:rsid w:val="007F5E8E"/>
    <w:rsid w:val="007F62F3"/>
    <w:rsid w:val="007F71EE"/>
    <w:rsid w:val="007F7CE4"/>
    <w:rsid w:val="00800072"/>
    <w:rsid w:val="008009B9"/>
    <w:rsid w:val="00800A5D"/>
    <w:rsid w:val="00800B2B"/>
    <w:rsid w:val="00800B4C"/>
    <w:rsid w:val="00800CBF"/>
    <w:rsid w:val="0080125C"/>
    <w:rsid w:val="0080192C"/>
    <w:rsid w:val="00801DC9"/>
    <w:rsid w:val="00801E33"/>
    <w:rsid w:val="00802E81"/>
    <w:rsid w:val="008030DA"/>
    <w:rsid w:val="0080359C"/>
    <w:rsid w:val="00803656"/>
    <w:rsid w:val="0080382A"/>
    <w:rsid w:val="00803CED"/>
    <w:rsid w:val="0080464D"/>
    <w:rsid w:val="00804A26"/>
    <w:rsid w:val="00804D46"/>
    <w:rsid w:val="00805A03"/>
    <w:rsid w:val="00805D0E"/>
    <w:rsid w:val="0080657F"/>
    <w:rsid w:val="00806831"/>
    <w:rsid w:val="00806DDB"/>
    <w:rsid w:val="00806FD7"/>
    <w:rsid w:val="0080735B"/>
    <w:rsid w:val="008073BC"/>
    <w:rsid w:val="0080775B"/>
    <w:rsid w:val="00807B1F"/>
    <w:rsid w:val="00810017"/>
    <w:rsid w:val="00811233"/>
    <w:rsid w:val="00811469"/>
    <w:rsid w:val="008115C4"/>
    <w:rsid w:val="00811DF4"/>
    <w:rsid w:val="00812505"/>
    <w:rsid w:val="008129B2"/>
    <w:rsid w:val="00812DEF"/>
    <w:rsid w:val="00813092"/>
    <w:rsid w:val="008130F9"/>
    <w:rsid w:val="0081313B"/>
    <w:rsid w:val="00813400"/>
    <w:rsid w:val="00813610"/>
    <w:rsid w:val="00813AB5"/>
    <w:rsid w:val="00813D4B"/>
    <w:rsid w:val="00813D99"/>
    <w:rsid w:val="00813E8F"/>
    <w:rsid w:val="00813F83"/>
    <w:rsid w:val="00814DA4"/>
    <w:rsid w:val="00814DBD"/>
    <w:rsid w:val="00815096"/>
    <w:rsid w:val="00815517"/>
    <w:rsid w:val="008159C7"/>
    <w:rsid w:val="008159EE"/>
    <w:rsid w:val="00815D6A"/>
    <w:rsid w:val="00815E18"/>
    <w:rsid w:val="008160B6"/>
    <w:rsid w:val="00816A59"/>
    <w:rsid w:val="00816F55"/>
    <w:rsid w:val="00816F9A"/>
    <w:rsid w:val="0081734C"/>
    <w:rsid w:val="008175DE"/>
    <w:rsid w:val="00817BAC"/>
    <w:rsid w:val="0082073F"/>
    <w:rsid w:val="00820915"/>
    <w:rsid w:val="008213BF"/>
    <w:rsid w:val="00821453"/>
    <w:rsid w:val="008216CB"/>
    <w:rsid w:val="00822CB7"/>
    <w:rsid w:val="00823D39"/>
    <w:rsid w:val="00823E7A"/>
    <w:rsid w:val="008243BC"/>
    <w:rsid w:val="008243CD"/>
    <w:rsid w:val="00824E2D"/>
    <w:rsid w:val="00824F14"/>
    <w:rsid w:val="00825483"/>
    <w:rsid w:val="00825769"/>
    <w:rsid w:val="008260FA"/>
    <w:rsid w:val="00826188"/>
    <w:rsid w:val="00826862"/>
    <w:rsid w:val="008269EE"/>
    <w:rsid w:val="00826C40"/>
    <w:rsid w:val="00827483"/>
    <w:rsid w:val="008276CE"/>
    <w:rsid w:val="00827716"/>
    <w:rsid w:val="00827EF9"/>
    <w:rsid w:val="008307A5"/>
    <w:rsid w:val="00831BF7"/>
    <w:rsid w:val="00831C21"/>
    <w:rsid w:val="00831C7C"/>
    <w:rsid w:val="00831CC3"/>
    <w:rsid w:val="0083222A"/>
    <w:rsid w:val="0083286C"/>
    <w:rsid w:val="00832D3F"/>
    <w:rsid w:val="00833015"/>
    <w:rsid w:val="00833366"/>
    <w:rsid w:val="008334DC"/>
    <w:rsid w:val="00833B50"/>
    <w:rsid w:val="008341E7"/>
    <w:rsid w:val="0083454C"/>
    <w:rsid w:val="008346EF"/>
    <w:rsid w:val="00834A87"/>
    <w:rsid w:val="00834C10"/>
    <w:rsid w:val="00834D8D"/>
    <w:rsid w:val="00834E5A"/>
    <w:rsid w:val="00835022"/>
    <w:rsid w:val="00835111"/>
    <w:rsid w:val="008353BF"/>
    <w:rsid w:val="00835A64"/>
    <w:rsid w:val="00835D17"/>
    <w:rsid w:val="00835D69"/>
    <w:rsid w:val="008361DC"/>
    <w:rsid w:val="0083641B"/>
    <w:rsid w:val="008365EA"/>
    <w:rsid w:val="008366EE"/>
    <w:rsid w:val="008367F2"/>
    <w:rsid w:val="008368B5"/>
    <w:rsid w:val="00836AEB"/>
    <w:rsid w:val="0083707A"/>
    <w:rsid w:val="00837A56"/>
    <w:rsid w:val="00837D50"/>
    <w:rsid w:val="00837EC0"/>
    <w:rsid w:val="00840199"/>
    <w:rsid w:val="0084044C"/>
    <w:rsid w:val="00840F1A"/>
    <w:rsid w:val="00841108"/>
    <w:rsid w:val="008418E0"/>
    <w:rsid w:val="00842418"/>
    <w:rsid w:val="0084252B"/>
    <w:rsid w:val="0084258D"/>
    <w:rsid w:val="0084274D"/>
    <w:rsid w:val="008427AD"/>
    <w:rsid w:val="00842F9F"/>
    <w:rsid w:val="00843358"/>
    <w:rsid w:val="0084373A"/>
    <w:rsid w:val="008437D7"/>
    <w:rsid w:val="00843C79"/>
    <w:rsid w:val="008445C8"/>
    <w:rsid w:val="00844EF7"/>
    <w:rsid w:val="00845484"/>
    <w:rsid w:val="008454FC"/>
    <w:rsid w:val="00845726"/>
    <w:rsid w:val="00845864"/>
    <w:rsid w:val="0084593D"/>
    <w:rsid w:val="00845A1D"/>
    <w:rsid w:val="00845B8D"/>
    <w:rsid w:val="00845EED"/>
    <w:rsid w:val="0084642F"/>
    <w:rsid w:val="008464BE"/>
    <w:rsid w:val="00846895"/>
    <w:rsid w:val="00846932"/>
    <w:rsid w:val="00846CAE"/>
    <w:rsid w:val="00846E69"/>
    <w:rsid w:val="0084740A"/>
    <w:rsid w:val="00847451"/>
    <w:rsid w:val="00850088"/>
    <w:rsid w:val="00850279"/>
    <w:rsid w:val="008504B5"/>
    <w:rsid w:val="008504F9"/>
    <w:rsid w:val="00850B5A"/>
    <w:rsid w:val="00850B5D"/>
    <w:rsid w:val="00850B7C"/>
    <w:rsid w:val="00850E51"/>
    <w:rsid w:val="008511AF"/>
    <w:rsid w:val="00851653"/>
    <w:rsid w:val="00851896"/>
    <w:rsid w:val="00851BB3"/>
    <w:rsid w:val="00851EA9"/>
    <w:rsid w:val="0085206E"/>
    <w:rsid w:val="008521BD"/>
    <w:rsid w:val="00852241"/>
    <w:rsid w:val="00852761"/>
    <w:rsid w:val="00852B5A"/>
    <w:rsid w:val="00852BD9"/>
    <w:rsid w:val="00852C88"/>
    <w:rsid w:val="00852FAB"/>
    <w:rsid w:val="00853058"/>
    <w:rsid w:val="008532FA"/>
    <w:rsid w:val="00853B2F"/>
    <w:rsid w:val="00853D67"/>
    <w:rsid w:val="0085496A"/>
    <w:rsid w:val="00854D1A"/>
    <w:rsid w:val="00855202"/>
    <w:rsid w:val="00855205"/>
    <w:rsid w:val="008553FD"/>
    <w:rsid w:val="0085549D"/>
    <w:rsid w:val="00855954"/>
    <w:rsid w:val="00856104"/>
    <w:rsid w:val="0085651D"/>
    <w:rsid w:val="008565E8"/>
    <w:rsid w:val="00856662"/>
    <w:rsid w:val="008568FE"/>
    <w:rsid w:val="00856C44"/>
    <w:rsid w:val="00856F4D"/>
    <w:rsid w:val="0085705B"/>
    <w:rsid w:val="008570C4"/>
    <w:rsid w:val="0085781B"/>
    <w:rsid w:val="008578F8"/>
    <w:rsid w:val="00857EA4"/>
    <w:rsid w:val="00860486"/>
    <w:rsid w:val="008605B2"/>
    <w:rsid w:val="008614D9"/>
    <w:rsid w:val="00861AA4"/>
    <w:rsid w:val="00861C85"/>
    <w:rsid w:val="00861EE4"/>
    <w:rsid w:val="00861FB6"/>
    <w:rsid w:val="00862178"/>
    <w:rsid w:val="008621AC"/>
    <w:rsid w:val="0086232F"/>
    <w:rsid w:val="00862410"/>
    <w:rsid w:val="00862970"/>
    <w:rsid w:val="00862B46"/>
    <w:rsid w:val="008632B5"/>
    <w:rsid w:val="0086341F"/>
    <w:rsid w:val="00863DEB"/>
    <w:rsid w:val="008640A6"/>
    <w:rsid w:val="00864458"/>
    <w:rsid w:val="008644F7"/>
    <w:rsid w:val="0086497D"/>
    <w:rsid w:val="00865442"/>
    <w:rsid w:val="0086566C"/>
    <w:rsid w:val="008656BD"/>
    <w:rsid w:val="00865EF3"/>
    <w:rsid w:val="00865F19"/>
    <w:rsid w:val="00866057"/>
    <w:rsid w:val="008660C1"/>
    <w:rsid w:val="00866335"/>
    <w:rsid w:val="00866858"/>
    <w:rsid w:val="008677D6"/>
    <w:rsid w:val="00867BAD"/>
    <w:rsid w:val="00867D0D"/>
    <w:rsid w:val="0087034C"/>
    <w:rsid w:val="00870568"/>
    <w:rsid w:val="0087098E"/>
    <w:rsid w:val="00871F49"/>
    <w:rsid w:val="00871FFF"/>
    <w:rsid w:val="008723C6"/>
    <w:rsid w:val="00872B4E"/>
    <w:rsid w:val="00872BE2"/>
    <w:rsid w:val="00872D80"/>
    <w:rsid w:val="00873311"/>
    <w:rsid w:val="008733D5"/>
    <w:rsid w:val="0087373E"/>
    <w:rsid w:val="00873B9C"/>
    <w:rsid w:val="00873BEF"/>
    <w:rsid w:val="00873F05"/>
    <w:rsid w:val="008755FC"/>
    <w:rsid w:val="00875710"/>
    <w:rsid w:val="00875A53"/>
    <w:rsid w:val="008765E3"/>
    <w:rsid w:val="00876D4A"/>
    <w:rsid w:val="00876DE7"/>
    <w:rsid w:val="008773DC"/>
    <w:rsid w:val="0088001C"/>
    <w:rsid w:val="008804F1"/>
    <w:rsid w:val="00881302"/>
    <w:rsid w:val="0088166A"/>
    <w:rsid w:val="008819D2"/>
    <w:rsid w:val="00881AA6"/>
    <w:rsid w:val="008823CD"/>
    <w:rsid w:val="00882403"/>
    <w:rsid w:val="0088251E"/>
    <w:rsid w:val="00882748"/>
    <w:rsid w:val="00882B66"/>
    <w:rsid w:val="00882C90"/>
    <w:rsid w:val="00882E8A"/>
    <w:rsid w:val="00882F80"/>
    <w:rsid w:val="0088346A"/>
    <w:rsid w:val="008835F8"/>
    <w:rsid w:val="00883B2D"/>
    <w:rsid w:val="00884794"/>
    <w:rsid w:val="00884CBE"/>
    <w:rsid w:val="00884F3A"/>
    <w:rsid w:val="00884F41"/>
    <w:rsid w:val="00884FC6"/>
    <w:rsid w:val="008855F4"/>
    <w:rsid w:val="00885F7C"/>
    <w:rsid w:val="00886121"/>
    <w:rsid w:val="008862FE"/>
    <w:rsid w:val="00886482"/>
    <w:rsid w:val="00886A38"/>
    <w:rsid w:val="0088718C"/>
    <w:rsid w:val="008871AB"/>
    <w:rsid w:val="00887D4B"/>
    <w:rsid w:val="0089030E"/>
    <w:rsid w:val="0089068D"/>
    <w:rsid w:val="00890851"/>
    <w:rsid w:val="00890B29"/>
    <w:rsid w:val="008912F5"/>
    <w:rsid w:val="00892307"/>
    <w:rsid w:val="00892316"/>
    <w:rsid w:val="00892635"/>
    <w:rsid w:val="008926E3"/>
    <w:rsid w:val="008928AC"/>
    <w:rsid w:val="00892AD5"/>
    <w:rsid w:val="00892DCA"/>
    <w:rsid w:val="00892E8B"/>
    <w:rsid w:val="00893024"/>
    <w:rsid w:val="0089350C"/>
    <w:rsid w:val="00893626"/>
    <w:rsid w:val="0089375B"/>
    <w:rsid w:val="00893A69"/>
    <w:rsid w:val="00893CA5"/>
    <w:rsid w:val="00894170"/>
    <w:rsid w:val="0089448D"/>
    <w:rsid w:val="008955B4"/>
    <w:rsid w:val="00895687"/>
    <w:rsid w:val="008963B5"/>
    <w:rsid w:val="008973E3"/>
    <w:rsid w:val="00897777"/>
    <w:rsid w:val="00897912"/>
    <w:rsid w:val="008979D8"/>
    <w:rsid w:val="00897CE4"/>
    <w:rsid w:val="00897DA8"/>
    <w:rsid w:val="00897FA2"/>
    <w:rsid w:val="008A037F"/>
    <w:rsid w:val="008A0419"/>
    <w:rsid w:val="008A0F55"/>
    <w:rsid w:val="008A0FDD"/>
    <w:rsid w:val="008A121A"/>
    <w:rsid w:val="008A1B5C"/>
    <w:rsid w:val="008A1F65"/>
    <w:rsid w:val="008A1FF5"/>
    <w:rsid w:val="008A2327"/>
    <w:rsid w:val="008A259F"/>
    <w:rsid w:val="008A25AF"/>
    <w:rsid w:val="008A2E91"/>
    <w:rsid w:val="008A33D0"/>
    <w:rsid w:val="008A356E"/>
    <w:rsid w:val="008A37BB"/>
    <w:rsid w:val="008A37D1"/>
    <w:rsid w:val="008A3869"/>
    <w:rsid w:val="008A4328"/>
    <w:rsid w:val="008A4855"/>
    <w:rsid w:val="008A4EC2"/>
    <w:rsid w:val="008A4F28"/>
    <w:rsid w:val="008A5A9A"/>
    <w:rsid w:val="008A5ABE"/>
    <w:rsid w:val="008A5EA6"/>
    <w:rsid w:val="008A6C50"/>
    <w:rsid w:val="008A6CA9"/>
    <w:rsid w:val="008A73EF"/>
    <w:rsid w:val="008A74C5"/>
    <w:rsid w:val="008A79CD"/>
    <w:rsid w:val="008A79D6"/>
    <w:rsid w:val="008B0250"/>
    <w:rsid w:val="008B03AA"/>
    <w:rsid w:val="008B05B3"/>
    <w:rsid w:val="008B067E"/>
    <w:rsid w:val="008B0EC0"/>
    <w:rsid w:val="008B0FC5"/>
    <w:rsid w:val="008B1331"/>
    <w:rsid w:val="008B141E"/>
    <w:rsid w:val="008B15FD"/>
    <w:rsid w:val="008B2280"/>
    <w:rsid w:val="008B298B"/>
    <w:rsid w:val="008B29B5"/>
    <w:rsid w:val="008B3063"/>
    <w:rsid w:val="008B30CF"/>
    <w:rsid w:val="008B33F9"/>
    <w:rsid w:val="008B48E6"/>
    <w:rsid w:val="008B4EFA"/>
    <w:rsid w:val="008B5285"/>
    <w:rsid w:val="008B57C4"/>
    <w:rsid w:val="008B58C0"/>
    <w:rsid w:val="008B59B4"/>
    <w:rsid w:val="008B638B"/>
    <w:rsid w:val="008B6594"/>
    <w:rsid w:val="008B65A4"/>
    <w:rsid w:val="008B67F3"/>
    <w:rsid w:val="008B69A0"/>
    <w:rsid w:val="008B6A70"/>
    <w:rsid w:val="008B6C56"/>
    <w:rsid w:val="008B6ED2"/>
    <w:rsid w:val="008B7068"/>
    <w:rsid w:val="008B7188"/>
    <w:rsid w:val="008B7BFF"/>
    <w:rsid w:val="008B7E39"/>
    <w:rsid w:val="008C05D6"/>
    <w:rsid w:val="008C088C"/>
    <w:rsid w:val="008C094E"/>
    <w:rsid w:val="008C10E2"/>
    <w:rsid w:val="008C135E"/>
    <w:rsid w:val="008C15AE"/>
    <w:rsid w:val="008C1714"/>
    <w:rsid w:val="008C19B5"/>
    <w:rsid w:val="008C1EDC"/>
    <w:rsid w:val="008C210A"/>
    <w:rsid w:val="008C224D"/>
    <w:rsid w:val="008C23A8"/>
    <w:rsid w:val="008C23C8"/>
    <w:rsid w:val="008C29B6"/>
    <w:rsid w:val="008C2ADE"/>
    <w:rsid w:val="008C31B3"/>
    <w:rsid w:val="008C3349"/>
    <w:rsid w:val="008C3428"/>
    <w:rsid w:val="008C3750"/>
    <w:rsid w:val="008C3998"/>
    <w:rsid w:val="008C3C2C"/>
    <w:rsid w:val="008C422C"/>
    <w:rsid w:val="008C4E6F"/>
    <w:rsid w:val="008C5477"/>
    <w:rsid w:val="008C59FD"/>
    <w:rsid w:val="008C5A6D"/>
    <w:rsid w:val="008C5B95"/>
    <w:rsid w:val="008C5C07"/>
    <w:rsid w:val="008C5E09"/>
    <w:rsid w:val="008C5F95"/>
    <w:rsid w:val="008C6325"/>
    <w:rsid w:val="008C672F"/>
    <w:rsid w:val="008C67A2"/>
    <w:rsid w:val="008C6ED1"/>
    <w:rsid w:val="008C6FA2"/>
    <w:rsid w:val="008C73A5"/>
    <w:rsid w:val="008C7972"/>
    <w:rsid w:val="008D00CF"/>
    <w:rsid w:val="008D01F7"/>
    <w:rsid w:val="008D0309"/>
    <w:rsid w:val="008D054D"/>
    <w:rsid w:val="008D07CF"/>
    <w:rsid w:val="008D09CB"/>
    <w:rsid w:val="008D1CD4"/>
    <w:rsid w:val="008D1CDC"/>
    <w:rsid w:val="008D1D05"/>
    <w:rsid w:val="008D20B6"/>
    <w:rsid w:val="008D21EF"/>
    <w:rsid w:val="008D2820"/>
    <w:rsid w:val="008D287E"/>
    <w:rsid w:val="008D290D"/>
    <w:rsid w:val="008D33F2"/>
    <w:rsid w:val="008D3AC5"/>
    <w:rsid w:val="008D40CB"/>
    <w:rsid w:val="008D482B"/>
    <w:rsid w:val="008D4D2D"/>
    <w:rsid w:val="008D4D71"/>
    <w:rsid w:val="008D5154"/>
    <w:rsid w:val="008D5194"/>
    <w:rsid w:val="008D5346"/>
    <w:rsid w:val="008D58D3"/>
    <w:rsid w:val="008D59A5"/>
    <w:rsid w:val="008D5EDB"/>
    <w:rsid w:val="008D62B0"/>
    <w:rsid w:val="008D64CA"/>
    <w:rsid w:val="008D6737"/>
    <w:rsid w:val="008D69C8"/>
    <w:rsid w:val="008D6AF9"/>
    <w:rsid w:val="008D72AA"/>
    <w:rsid w:val="008D756C"/>
    <w:rsid w:val="008D7E34"/>
    <w:rsid w:val="008E0C21"/>
    <w:rsid w:val="008E0F91"/>
    <w:rsid w:val="008E15FB"/>
    <w:rsid w:val="008E1953"/>
    <w:rsid w:val="008E1E63"/>
    <w:rsid w:val="008E2150"/>
    <w:rsid w:val="008E2676"/>
    <w:rsid w:val="008E2769"/>
    <w:rsid w:val="008E2793"/>
    <w:rsid w:val="008E3927"/>
    <w:rsid w:val="008E3DB0"/>
    <w:rsid w:val="008E4458"/>
    <w:rsid w:val="008E4B78"/>
    <w:rsid w:val="008E4C00"/>
    <w:rsid w:val="008E4C9D"/>
    <w:rsid w:val="008E4D64"/>
    <w:rsid w:val="008E4EA0"/>
    <w:rsid w:val="008E527E"/>
    <w:rsid w:val="008E52F5"/>
    <w:rsid w:val="008E5490"/>
    <w:rsid w:val="008E55EF"/>
    <w:rsid w:val="008E5EE0"/>
    <w:rsid w:val="008E6226"/>
    <w:rsid w:val="008E638F"/>
    <w:rsid w:val="008E660E"/>
    <w:rsid w:val="008E69FD"/>
    <w:rsid w:val="008E6FCA"/>
    <w:rsid w:val="008E729E"/>
    <w:rsid w:val="008E7724"/>
    <w:rsid w:val="008E7ABD"/>
    <w:rsid w:val="008F051A"/>
    <w:rsid w:val="008F0ACF"/>
    <w:rsid w:val="008F0CAB"/>
    <w:rsid w:val="008F0EE2"/>
    <w:rsid w:val="008F165D"/>
    <w:rsid w:val="008F197D"/>
    <w:rsid w:val="008F1A8C"/>
    <w:rsid w:val="008F27B2"/>
    <w:rsid w:val="008F2B2A"/>
    <w:rsid w:val="008F2C17"/>
    <w:rsid w:val="008F2E2C"/>
    <w:rsid w:val="008F311D"/>
    <w:rsid w:val="008F32B1"/>
    <w:rsid w:val="008F3741"/>
    <w:rsid w:val="008F37E5"/>
    <w:rsid w:val="008F3843"/>
    <w:rsid w:val="008F3CE3"/>
    <w:rsid w:val="008F408C"/>
    <w:rsid w:val="008F49EA"/>
    <w:rsid w:val="008F5087"/>
    <w:rsid w:val="008F5113"/>
    <w:rsid w:val="008F524E"/>
    <w:rsid w:val="008F525B"/>
    <w:rsid w:val="008F540D"/>
    <w:rsid w:val="008F5E1E"/>
    <w:rsid w:val="008F6382"/>
    <w:rsid w:val="008F63D7"/>
    <w:rsid w:val="008F6D4F"/>
    <w:rsid w:val="008F6EAD"/>
    <w:rsid w:val="008F6F6E"/>
    <w:rsid w:val="008F710B"/>
    <w:rsid w:val="008F7507"/>
    <w:rsid w:val="008F77EB"/>
    <w:rsid w:val="008F7F91"/>
    <w:rsid w:val="00900043"/>
    <w:rsid w:val="00900E3C"/>
    <w:rsid w:val="009012C5"/>
    <w:rsid w:val="0090157A"/>
    <w:rsid w:val="00901B2D"/>
    <w:rsid w:val="00901BF3"/>
    <w:rsid w:val="00901C3C"/>
    <w:rsid w:val="009020EE"/>
    <w:rsid w:val="00902185"/>
    <w:rsid w:val="009021E2"/>
    <w:rsid w:val="00902363"/>
    <w:rsid w:val="0090258B"/>
    <w:rsid w:val="00902672"/>
    <w:rsid w:val="009027BC"/>
    <w:rsid w:val="009027D1"/>
    <w:rsid w:val="00902892"/>
    <w:rsid w:val="00902A04"/>
    <w:rsid w:val="00902D01"/>
    <w:rsid w:val="00903328"/>
    <w:rsid w:val="00903B79"/>
    <w:rsid w:val="00903E87"/>
    <w:rsid w:val="0090441B"/>
    <w:rsid w:val="009045BD"/>
    <w:rsid w:val="009046CF"/>
    <w:rsid w:val="00904B0C"/>
    <w:rsid w:val="00904C46"/>
    <w:rsid w:val="00905116"/>
    <w:rsid w:val="00905405"/>
    <w:rsid w:val="0090554F"/>
    <w:rsid w:val="00905C61"/>
    <w:rsid w:val="00905F94"/>
    <w:rsid w:val="00906333"/>
    <w:rsid w:val="0090641C"/>
    <w:rsid w:val="009069FB"/>
    <w:rsid w:val="009073B6"/>
    <w:rsid w:val="0090745C"/>
    <w:rsid w:val="00907558"/>
    <w:rsid w:val="00907607"/>
    <w:rsid w:val="0090784F"/>
    <w:rsid w:val="00907E1C"/>
    <w:rsid w:val="00907E1F"/>
    <w:rsid w:val="00910906"/>
    <w:rsid w:val="00910DBD"/>
    <w:rsid w:val="00910E1B"/>
    <w:rsid w:val="0091145D"/>
    <w:rsid w:val="0091151A"/>
    <w:rsid w:val="00911C8A"/>
    <w:rsid w:val="00911E88"/>
    <w:rsid w:val="00912008"/>
    <w:rsid w:val="009121FA"/>
    <w:rsid w:val="00912847"/>
    <w:rsid w:val="00912E2B"/>
    <w:rsid w:val="00913246"/>
    <w:rsid w:val="0091387E"/>
    <w:rsid w:val="0091414C"/>
    <w:rsid w:val="00914639"/>
    <w:rsid w:val="00915118"/>
    <w:rsid w:val="0091527C"/>
    <w:rsid w:val="00915472"/>
    <w:rsid w:val="00916173"/>
    <w:rsid w:val="00916BD8"/>
    <w:rsid w:val="00920840"/>
    <w:rsid w:val="00920983"/>
    <w:rsid w:val="00920A01"/>
    <w:rsid w:val="00920DDD"/>
    <w:rsid w:val="00920EED"/>
    <w:rsid w:val="00921C63"/>
    <w:rsid w:val="00922335"/>
    <w:rsid w:val="00922BD3"/>
    <w:rsid w:val="00922CD3"/>
    <w:rsid w:val="00922E5C"/>
    <w:rsid w:val="0092334C"/>
    <w:rsid w:val="009236B0"/>
    <w:rsid w:val="00923D0B"/>
    <w:rsid w:val="00924052"/>
    <w:rsid w:val="0092420F"/>
    <w:rsid w:val="0092470B"/>
    <w:rsid w:val="00924D57"/>
    <w:rsid w:val="00924DD9"/>
    <w:rsid w:val="00924DE2"/>
    <w:rsid w:val="00924EC1"/>
    <w:rsid w:val="00925003"/>
    <w:rsid w:val="00925193"/>
    <w:rsid w:val="00925487"/>
    <w:rsid w:val="0092635E"/>
    <w:rsid w:val="009266D4"/>
    <w:rsid w:val="00926A08"/>
    <w:rsid w:val="00926BD7"/>
    <w:rsid w:val="00926D64"/>
    <w:rsid w:val="00927088"/>
    <w:rsid w:val="009276F9"/>
    <w:rsid w:val="009277C7"/>
    <w:rsid w:val="00930671"/>
    <w:rsid w:val="00930C97"/>
    <w:rsid w:val="00930D04"/>
    <w:rsid w:val="00931579"/>
    <w:rsid w:val="00931A6E"/>
    <w:rsid w:val="00931A76"/>
    <w:rsid w:val="00933675"/>
    <w:rsid w:val="00933C39"/>
    <w:rsid w:val="00933DE1"/>
    <w:rsid w:val="00933E5F"/>
    <w:rsid w:val="0093413C"/>
    <w:rsid w:val="0093434A"/>
    <w:rsid w:val="00934CA4"/>
    <w:rsid w:val="00935317"/>
    <w:rsid w:val="00936211"/>
    <w:rsid w:val="0093683B"/>
    <w:rsid w:val="00936C9D"/>
    <w:rsid w:val="0093703F"/>
    <w:rsid w:val="009372A7"/>
    <w:rsid w:val="0093780A"/>
    <w:rsid w:val="00937BC8"/>
    <w:rsid w:val="0094086B"/>
    <w:rsid w:val="00940A33"/>
    <w:rsid w:val="00941534"/>
    <w:rsid w:val="00941582"/>
    <w:rsid w:val="00941E44"/>
    <w:rsid w:val="00941F38"/>
    <w:rsid w:val="0094264B"/>
    <w:rsid w:val="00942AB6"/>
    <w:rsid w:val="00942F20"/>
    <w:rsid w:val="00943381"/>
    <w:rsid w:val="00943F62"/>
    <w:rsid w:val="009441CA"/>
    <w:rsid w:val="009441E9"/>
    <w:rsid w:val="00944D3D"/>
    <w:rsid w:val="00945101"/>
    <w:rsid w:val="00945A5A"/>
    <w:rsid w:val="00945DFE"/>
    <w:rsid w:val="00945FBD"/>
    <w:rsid w:val="00946886"/>
    <w:rsid w:val="009468C4"/>
    <w:rsid w:val="009470EA"/>
    <w:rsid w:val="0094712B"/>
    <w:rsid w:val="00947B2E"/>
    <w:rsid w:val="00947B5A"/>
    <w:rsid w:val="00947CB6"/>
    <w:rsid w:val="00947CD7"/>
    <w:rsid w:val="00950657"/>
    <w:rsid w:val="0095117F"/>
    <w:rsid w:val="009514FC"/>
    <w:rsid w:val="00951558"/>
    <w:rsid w:val="009515E4"/>
    <w:rsid w:val="009519DB"/>
    <w:rsid w:val="00951DA2"/>
    <w:rsid w:val="009523F2"/>
    <w:rsid w:val="00952BC6"/>
    <w:rsid w:val="00953A6C"/>
    <w:rsid w:val="00954400"/>
    <w:rsid w:val="009549B2"/>
    <w:rsid w:val="00954C91"/>
    <w:rsid w:val="00954D53"/>
    <w:rsid w:val="00955255"/>
    <w:rsid w:val="00955271"/>
    <w:rsid w:val="009559D8"/>
    <w:rsid w:val="00955CCF"/>
    <w:rsid w:val="009562F5"/>
    <w:rsid w:val="0095680B"/>
    <w:rsid w:val="009570D4"/>
    <w:rsid w:val="009570EC"/>
    <w:rsid w:val="009570F9"/>
    <w:rsid w:val="0095731C"/>
    <w:rsid w:val="00957992"/>
    <w:rsid w:val="00957CFF"/>
    <w:rsid w:val="00957E4C"/>
    <w:rsid w:val="00960A4C"/>
    <w:rsid w:val="00960AE8"/>
    <w:rsid w:val="00960BF3"/>
    <w:rsid w:val="00960D4D"/>
    <w:rsid w:val="0096127A"/>
    <w:rsid w:val="009613A9"/>
    <w:rsid w:val="009614B8"/>
    <w:rsid w:val="00961586"/>
    <w:rsid w:val="009620CA"/>
    <w:rsid w:val="0096276D"/>
    <w:rsid w:val="00962C1C"/>
    <w:rsid w:val="00962FA9"/>
    <w:rsid w:val="00963111"/>
    <w:rsid w:val="00963EDF"/>
    <w:rsid w:val="00963F6D"/>
    <w:rsid w:val="00964288"/>
    <w:rsid w:val="0096479A"/>
    <w:rsid w:val="00964DC3"/>
    <w:rsid w:val="00964F02"/>
    <w:rsid w:val="00965947"/>
    <w:rsid w:val="009659CA"/>
    <w:rsid w:val="00965B84"/>
    <w:rsid w:val="00965C99"/>
    <w:rsid w:val="00966232"/>
    <w:rsid w:val="009665EE"/>
    <w:rsid w:val="0096662F"/>
    <w:rsid w:val="009667E2"/>
    <w:rsid w:val="00966BEF"/>
    <w:rsid w:val="00966D24"/>
    <w:rsid w:val="009673D8"/>
    <w:rsid w:val="00967966"/>
    <w:rsid w:val="00967A88"/>
    <w:rsid w:val="00967B88"/>
    <w:rsid w:val="00967BD9"/>
    <w:rsid w:val="00967CDA"/>
    <w:rsid w:val="00967D26"/>
    <w:rsid w:val="00967FD2"/>
    <w:rsid w:val="0097039C"/>
    <w:rsid w:val="009704D2"/>
    <w:rsid w:val="0097055B"/>
    <w:rsid w:val="009705E7"/>
    <w:rsid w:val="00970669"/>
    <w:rsid w:val="00970AE6"/>
    <w:rsid w:val="00970F7D"/>
    <w:rsid w:val="00971202"/>
    <w:rsid w:val="00971522"/>
    <w:rsid w:val="009716AA"/>
    <w:rsid w:val="009716AD"/>
    <w:rsid w:val="00971BFF"/>
    <w:rsid w:val="00971E14"/>
    <w:rsid w:val="00971F98"/>
    <w:rsid w:val="00972945"/>
    <w:rsid w:val="00972F41"/>
    <w:rsid w:val="00973AC1"/>
    <w:rsid w:val="0097471E"/>
    <w:rsid w:val="00974AF3"/>
    <w:rsid w:val="00974E42"/>
    <w:rsid w:val="00975247"/>
    <w:rsid w:val="00975BEC"/>
    <w:rsid w:val="009765EB"/>
    <w:rsid w:val="009768DF"/>
    <w:rsid w:val="00976B1B"/>
    <w:rsid w:val="00976CF7"/>
    <w:rsid w:val="0097722E"/>
    <w:rsid w:val="009772CD"/>
    <w:rsid w:val="00977A4F"/>
    <w:rsid w:val="00977FB0"/>
    <w:rsid w:val="009800C1"/>
    <w:rsid w:val="00980497"/>
    <w:rsid w:val="0098060F"/>
    <w:rsid w:val="009807D1"/>
    <w:rsid w:val="00981BC8"/>
    <w:rsid w:val="00981DED"/>
    <w:rsid w:val="00982412"/>
    <w:rsid w:val="00982841"/>
    <w:rsid w:val="00983D17"/>
    <w:rsid w:val="00983F5F"/>
    <w:rsid w:val="00984123"/>
    <w:rsid w:val="009843CC"/>
    <w:rsid w:val="00984D94"/>
    <w:rsid w:val="00984E35"/>
    <w:rsid w:val="00985242"/>
    <w:rsid w:val="0098542E"/>
    <w:rsid w:val="009858E4"/>
    <w:rsid w:val="0098591E"/>
    <w:rsid w:val="00985A63"/>
    <w:rsid w:val="009865DD"/>
    <w:rsid w:val="0098695C"/>
    <w:rsid w:val="00986E8C"/>
    <w:rsid w:val="009870CA"/>
    <w:rsid w:val="00987543"/>
    <w:rsid w:val="00987587"/>
    <w:rsid w:val="00987871"/>
    <w:rsid w:val="00987F15"/>
    <w:rsid w:val="0099039E"/>
    <w:rsid w:val="00990CB6"/>
    <w:rsid w:val="00991047"/>
    <w:rsid w:val="009910E3"/>
    <w:rsid w:val="00991546"/>
    <w:rsid w:val="00991CEB"/>
    <w:rsid w:val="00991D24"/>
    <w:rsid w:val="009922C7"/>
    <w:rsid w:val="00992363"/>
    <w:rsid w:val="009927C5"/>
    <w:rsid w:val="00992B73"/>
    <w:rsid w:val="00992DFF"/>
    <w:rsid w:val="00993357"/>
    <w:rsid w:val="009938FB"/>
    <w:rsid w:val="00993CAB"/>
    <w:rsid w:val="00993F10"/>
    <w:rsid w:val="009940B4"/>
    <w:rsid w:val="009954AD"/>
    <w:rsid w:val="00995986"/>
    <w:rsid w:val="00995B93"/>
    <w:rsid w:val="00995BD0"/>
    <w:rsid w:val="00995C3B"/>
    <w:rsid w:val="009968CB"/>
    <w:rsid w:val="00996B1B"/>
    <w:rsid w:val="00996D85"/>
    <w:rsid w:val="009972AE"/>
    <w:rsid w:val="00997586"/>
    <w:rsid w:val="00997646"/>
    <w:rsid w:val="009A02E1"/>
    <w:rsid w:val="009A03AC"/>
    <w:rsid w:val="009A064E"/>
    <w:rsid w:val="009A092F"/>
    <w:rsid w:val="009A0AFF"/>
    <w:rsid w:val="009A0B34"/>
    <w:rsid w:val="009A0B66"/>
    <w:rsid w:val="009A0FE8"/>
    <w:rsid w:val="009A0FED"/>
    <w:rsid w:val="009A0FF6"/>
    <w:rsid w:val="009A1121"/>
    <w:rsid w:val="009A164C"/>
    <w:rsid w:val="009A1E74"/>
    <w:rsid w:val="009A1EF4"/>
    <w:rsid w:val="009A2254"/>
    <w:rsid w:val="009A26EF"/>
    <w:rsid w:val="009A2940"/>
    <w:rsid w:val="009A2A46"/>
    <w:rsid w:val="009A3130"/>
    <w:rsid w:val="009A3472"/>
    <w:rsid w:val="009A377B"/>
    <w:rsid w:val="009A3A72"/>
    <w:rsid w:val="009A3C48"/>
    <w:rsid w:val="009A41BD"/>
    <w:rsid w:val="009A47EF"/>
    <w:rsid w:val="009A4AC0"/>
    <w:rsid w:val="009A4CDF"/>
    <w:rsid w:val="009A5329"/>
    <w:rsid w:val="009A5523"/>
    <w:rsid w:val="009A56C0"/>
    <w:rsid w:val="009A6393"/>
    <w:rsid w:val="009A665E"/>
    <w:rsid w:val="009A6B5C"/>
    <w:rsid w:val="009A6D14"/>
    <w:rsid w:val="009A72DB"/>
    <w:rsid w:val="009A7415"/>
    <w:rsid w:val="009A7541"/>
    <w:rsid w:val="009A7677"/>
    <w:rsid w:val="009A78DB"/>
    <w:rsid w:val="009A7904"/>
    <w:rsid w:val="009A7B5D"/>
    <w:rsid w:val="009A7C12"/>
    <w:rsid w:val="009A7C8C"/>
    <w:rsid w:val="009B0703"/>
    <w:rsid w:val="009B07BA"/>
    <w:rsid w:val="009B090B"/>
    <w:rsid w:val="009B0A21"/>
    <w:rsid w:val="009B0B42"/>
    <w:rsid w:val="009B0F4A"/>
    <w:rsid w:val="009B12D9"/>
    <w:rsid w:val="009B152B"/>
    <w:rsid w:val="009B2442"/>
    <w:rsid w:val="009B269A"/>
    <w:rsid w:val="009B2809"/>
    <w:rsid w:val="009B3B13"/>
    <w:rsid w:val="009B3BDF"/>
    <w:rsid w:val="009B410F"/>
    <w:rsid w:val="009B41CA"/>
    <w:rsid w:val="009B4284"/>
    <w:rsid w:val="009B4985"/>
    <w:rsid w:val="009B4E6E"/>
    <w:rsid w:val="009B510C"/>
    <w:rsid w:val="009B5369"/>
    <w:rsid w:val="009B56CE"/>
    <w:rsid w:val="009B59BC"/>
    <w:rsid w:val="009B5B75"/>
    <w:rsid w:val="009B6073"/>
    <w:rsid w:val="009B6904"/>
    <w:rsid w:val="009B696D"/>
    <w:rsid w:val="009B6F49"/>
    <w:rsid w:val="009B700C"/>
    <w:rsid w:val="009B7104"/>
    <w:rsid w:val="009B7BC6"/>
    <w:rsid w:val="009B7D4F"/>
    <w:rsid w:val="009C0123"/>
    <w:rsid w:val="009C063E"/>
    <w:rsid w:val="009C0A74"/>
    <w:rsid w:val="009C0A95"/>
    <w:rsid w:val="009C0C9A"/>
    <w:rsid w:val="009C0D05"/>
    <w:rsid w:val="009C101B"/>
    <w:rsid w:val="009C1B8D"/>
    <w:rsid w:val="009C1C21"/>
    <w:rsid w:val="009C1FD4"/>
    <w:rsid w:val="009C2D21"/>
    <w:rsid w:val="009C348E"/>
    <w:rsid w:val="009C363B"/>
    <w:rsid w:val="009C3C62"/>
    <w:rsid w:val="009C46CD"/>
    <w:rsid w:val="009C4E65"/>
    <w:rsid w:val="009C52E2"/>
    <w:rsid w:val="009C560D"/>
    <w:rsid w:val="009C572E"/>
    <w:rsid w:val="009C5DA7"/>
    <w:rsid w:val="009C62A9"/>
    <w:rsid w:val="009C6607"/>
    <w:rsid w:val="009C69CF"/>
    <w:rsid w:val="009C69EA"/>
    <w:rsid w:val="009C6D9C"/>
    <w:rsid w:val="009C6F9F"/>
    <w:rsid w:val="009C7036"/>
    <w:rsid w:val="009C7166"/>
    <w:rsid w:val="009C73DC"/>
    <w:rsid w:val="009C761A"/>
    <w:rsid w:val="009C773F"/>
    <w:rsid w:val="009C77E2"/>
    <w:rsid w:val="009D0A05"/>
    <w:rsid w:val="009D12AE"/>
    <w:rsid w:val="009D13FA"/>
    <w:rsid w:val="009D1761"/>
    <w:rsid w:val="009D17C0"/>
    <w:rsid w:val="009D1BEB"/>
    <w:rsid w:val="009D1C81"/>
    <w:rsid w:val="009D2677"/>
    <w:rsid w:val="009D2825"/>
    <w:rsid w:val="009D344F"/>
    <w:rsid w:val="009D3F6F"/>
    <w:rsid w:val="009D402B"/>
    <w:rsid w:val="009D461C"/>
    <w:rsid w:val="009D4678"/>
    <w:rsid w:val="009D4959"/>
    <w:rsid w:val="009D520F"/>
    <w:rsid w:val="009D5235"/>
    <w:rsid w:val="009D5385"/>
    <w:rsid w:val="009D59B8"/>
    <w:rsid w:val="009D5AA8"/>
    <w:rsid w:val="009D5DE8"/>
    <w:rsid w:val="009D5EF1"/>
    <w:rsid w:val="009D6289"/>
    <w:rsid w:val="009D66F0"/>
    <w:rsid w:val="009D7525"/>
    <w:rsid w:val="009D77C7"/>
    <w:rsid w:val="009D7800"/>
    <w:rsid w:val="009D784F"/>
    <w:rsid w:val="009D78AA"/>
    <w:rsid w:val="009D7A50"/>
    <w:rsid w:val="009D7B6E"/>
    <w:rsid w:val="009D7E59"/>
    <w:rsid w:val="009E0A87"/>
    <w:rsid w:val="009E0B10"/>
    <w:rsid w:val="009E0C65"/>
    <w:rsid w:val="009E0C7A"/>
    <w:rsid w:val="009E0E25"/>
    <w:rsid w:val="009E11FF"/>
    <w:rsid w:val="009E1455"/>
    <w:rsid w:val="009E1493"/>
    <w:rsid w:val="009E17C5"/>
    <w:rsid w:val="009E1AFD"/>
    <w:rsid w:val="009E2548"/>
    <w:rsid w:val="009E276C"/>
    <w:rsid w:val="009E2799"/>
    <w:rsid w:val="009E2BF1"/>
    <w:rsid w:val="009E2D7E"/>
    <w:rsid w:val="009E3193"/>
    <w:rsid w:val="009E34DB"/>
    <w:rsid w:val="009E3945"/>
    <w:rsid w:val="009E39D9"/>
    <w:rsid w:val="009E4340"/>
    <w:rsid w:val="009E464D"/>
    <w:rsid w:val="009E4EB2"/>
    <w:rsid w:val="009E4FE1"/>
    <w:rsid w:val="009E5024"/>
    <w:rsid w:val="009E53F4"/>
    <w:rsid w:val="009E559A"/>
    <w:rsid w:val="009E565A"/>
    <w:rsid w:val="009E571E"/>
    <w:rsid w:val="009E578E"/>
    <w:rsid w:val="009E5A0E"/>
    <w:rsid w:val="009E5A59"/>
    <w:rsid w:val="009E5FD1"/>
    <w:rsid w:val="009E6184"/>
    <w:rsid w:val="009E6628"/>
    <w:rsid w:val="009E6B23"/>
    <w:rsid w:val="009E6C48"/>
    <w:rsid w:val="009E6C7F"/>
    <w:rsid w:val="009E6E6A"/>
    <w:rsid w:val="009E79DB"/>
    <w:rsid w:val="009E7DAA"/>
    <w:rsid w:val="009F00AF"/>
    <w:rsid w:val="009F045D"/>
    <w:rsid w:val="009F0602"/>
    <w:rsid w:val="009F0A6F"/>
    <w:rsid w:val="009F0C8B"/>
    <w:rsid w:val="009F0F2D"/>
    <w:rsid w:val="009F10E8"/>
    <w:rsid w:val="009F1188"/>
    <w:rsid w:val="009F11AF"/>
    <w:rsid w:val="009F163F"/>
    <w:rsid w:val="009F1770"/>
    <w:rsid w:val="009F208B"/>
    <w:rsid w:val="009F21D3"/>
    <w:rsid w:val="009F2643"/>
    <w:rsid w:val="009F27F3"/>
    <w:rsid w:val="009F2C3D"/>
    <w:rsid w:val="009F2C95"/>
    <w:rsid w:val="009F3549"/>
    <w:rsid w:val="009F3B2A"/>
    <w:rsid w:val="009F4174"/>
    <w:rsid w:val="009F4179"/>
    <w:rsid w:val="009F4268"/>
    <w:rsid w:val="009F4B21"/>
    <w:rsid w:val="009F4C88"/>
    <w:rsid w:val="009F4ED0"/>
    <w:rsid w:val="009F540B"/>
    <w:rsid w:val="009F57EA"/>
    <w:rsid w:val="009F67D7"/>
    <w:rsid w:val="009F69CD"/>
    <w:rsid w:val="009F6C14"/>
    <w:rsid w:val="009F6F3A"/>
    <w:rsid w:val="009F6F60"/>
    <w:rsid w:val="009F7022"/>
    <w:rsid w:val="009F7297"/>
    <w:rsid w:val="009F7352"/>
    <w:rsid w:val="00A00317"/>
    <w:rsid w:val="00A0051B"/>
    <w:rsid w:val="00A00701"/>
    <w:rsid w:val="00A00EE1"/>
    <w:rsid w:val="00A00F0D"/>
    <w:rsid w:val="00A01283"/>
    <w:rsid w:val="00A01416"/>
    <w:rsid w:val="00A017E9"/>
    <w:rsid w:val="00A01C22"/>
    <w:rsid w:val="00A01D4D"/>
    <w:rsid w:val="00A02502"/>
    <w:rsid w:val="00A0257E"/>
    <w:rsid w:val="00A0298D"/>
    <w:rsid w:val="00A031DB"/>
    <w:rsid w:val="00A0342B"/>
    <w:rsid w:val="00A03798"/>
    <w:rsid w:val="00A038FA"/>
    <w:rsid w:val="00A03968"/>
    <w:rsid w:val="00A03C42"/>
    <w:rsid w:val="00A03C5A"/>
    <w:rsid w:val="00A03D15"/>
    <w:rsid w:val="00A03EC3"/>
    <w:rsid w:val="00A040DE"/>
    <w:rsid w:val="00A047D1"/>
    <w:rsid w:val="00A04851"/>
    <w:rsid w:val="00A04F1F"/>
    <w:rsid w:val="00A0501C"/>
    <w:rsid w:val="00A05204"/>
    <w:rsid w:val="00A052B0"/>
    <w:rsid w:val="00A05928"/>
    <w:rsid w:val="00A0594F"/>
    <w:rsid w:val="00A05A70"/>
    <w:rsid w:val="00A0625B"/>
    <w:rsid w:val="00A062E3"/>
    <w:rsid w:val="00A0656F"/>
    <w:rsid w:val="00A06832"/>
    <w:rsid w:val="00A06CD0"/>
    <w:rsid w:val="00A06D6E"/>
    <w:rsid w:val="00A06DB2"/>
    <w:rsid w:val="00A0700D"/>
    <w:rsid w:val="00A0704D"/>
    <w:rsid w:val="00A075A2"/>
    <w:rsid w:val="00A07AD1"/>
    <w:rsid w:val="00A07E60"/>
    <w:rsid w:val="00A105A8"/>
    <w:rsid w:val="00A10E44"/>
    <w:rsid w:val="00A10F6F"/>
    <w:rsid w:val="00A10FD1"/>
    <w:rsid w:val="00A1102C"/>
    <w:rsid w:val="00A1105F"/>
    <w:rsid w:val="00A1129D"/>
    <w:rsid w:val="00A119E2"/>
    <w:rsid w:val="00A11AE8"/>
    <w:rsid w:val="00A1217B"/>
    <w:rsid w:val="00A12AA2"/>
    <w:rsid w:val="00A12D6A"/>
    <w:rsid w:val="00A12F67"/>
    <w:rsid w:val="00A13760"/>
    <w:rsid w:val="00A145DD"/>
    <w:rsid w:val="00A14B13"/>
    <w:rsid w:val="00A14FE3"/>
    <w:rsid w:val="00A1501C"/>
    <w:rsid w:val="00A161C7"/>
    <w:rsid w:val="00A16398"/>
    <w:rsid w:val="00A1640F"/>
    <w:rsid w:val="00A16680"/>
    <w:rsid w:val="00A1768D"/>
    <w:rsid w:val="00A176F8"/>
    <w:rsid w:val="00A17968"/>
    <w:rsid w:val="00A17F63"/>
    <w:rsid w:val="00A20EA2"/>
    <w:rsid w:val="00A21206"/>
    <w:rsid w:val="00A21310"/>
    <w:rsid w:val="00A21680"/>
    <w:rsid w:val="00A21B7F"/>
    <w:rsid w:val="00A22017"/>
    <w:rsid w:val="00A2215E"/>
    <w:rsid w:val="00A22406"/>
    <w:rsid w:val="00A226D4"/>
    <w:rsid w:val="00A22FFC"/>
    <w:rsid w:val="00A23434"/>
    <w:rsid w:val="00A236B7"/>
    <w:rsid w:val="00A2499F"/>
    <w:rsid w:val="00A24A3C"/>
    <w:rsid w:val="00A24DB8"/>
    <w:rsid w:val="00A25112"/>
    <w:rsid w:val="00A2597F"/>
    <w:rsid w:val="00A25A17"/>
    <w:rsid w:val="00A25D40"/>
    <w:rsid w:val="00A25E1A"/>
    <w:rsid w:val="00A25E55"/>
    <w:rsid w:val="00A25FD3"/>
    <w:rsid w:val="00A26303"/>
    <w:rsid w:val="00A26CAF"/>
    <w:rsid w:val="00A27550"/>
    <w:rsid w:val="00A27933"/>
    <w:rsid w:val="00A279AA"/>
    <w:rsid w:val="00A300CB"/>
    <w:rsid w:val="00A30B48"/>
    <w:rsid w:val="00A30C34"/>
    <w:rsid w:val="00A3109A"/>
    <w:rsid w:val="00A31292"/>
    <w:rsid w:val="00A312A8"/>
    <w:rsid w:val="00A313B0"/>
    <w:rsid w:val="00A316DA"/>
    <w:rsid w:val="00A31827"/>
    <w:rsid w:val="00A319A9"/>
    <w:rsid w:val="00A32361"/>
    <w:rsid w:val="00A32866"/>
    <w:rsid w:val="00A328D2"/>
    <w:rsid w:val="00A32B36"/>
    <w:rsid w:val="00A32D60"/>
    <w:rsid w:val="00A32E7B"/>
    <w:rsid w:val="00A330AB"/>
    <w:rsid w:val="00A345D4"/>
    <w:rsid w:val="00A3476A"/>
    <w:rsid w:val="00A3492B"/>
    <w:rsid w:val="00A35093"/>
    <w:rsid w:val="00A3551A"/>
    <w:rsid w:val="00A35B58"/>
    <w:rsid w:val="00A35D73"/>
    <w:rsid w:val="00A360D6"/>
    <w:rsid w:val="00A36609"/>
    <w:rsid w:val="00A36BFB"/>
    <w:rsid w:val="00A36CD1"/>
    <w:rsid w:val="00A37784"/>
    <w:rsid w:val="00A3791E"/>
    <w:rsid w:val="00A37C20"/>
    <w:rsid w:val="00A37E88"/>
    <w:rsid w:val="00A40683"/>
    <w:rsid w:val="00A407D8"/>
    <w:rsid w:val="00A41175"/>
    <w:rsid w:val="00A413E9"/>
    <w:rsid w:val="00A417E8"/>
    <w:rsid w:val="00A4190F"/>
    <w:rsid w:val="00A41A18"/>
    <w:rsid w:val="00A41AA5"/>
    <w:rsid w:val="00A41FC4"/>
    <w:rsid w:val="00A42438"/>
    <w:rsid w:val="00A424BD"/>
    <w:rsid w:val="00A42529"/>
    <w:rsid w:val="00A425D5"/>
    <w:rsid w:val="00A42DE4"/>
    <w:rsid w:val="00A42F0D"/>
    <w:rsid w:val="00A43EDB"/>
    <w:rsid w:val="00A43F3E"/>
    <w:rsid w:val="00A442EF"/>
    <w:rsid w:val="00A4448B"/>
    <w:rsid w:val="00A44F45"/>
    <w:rsid w:val="00A452A2"/>
    <w:rsid w:val="00A4539E"/>
    <w:rsid w:val="00A45A93"/>
    <w:rsid w:val="00A45C4C"/>
    <w:rsid w:val="00A460A6"/>
    <w:rsid w:val="00A4630E"/>
    <w:rsid w:val="00A46491"/>
    <w:rsid w:val="00A469F8"/>
    <w:rsid w:val="00A46A60"/>
    <w:rsid w:val="00A46D7C"/>
    <w:rsid w:val="00A46EF3"/>
    <w:rsid w:val="00A47163"/>
    <w:rsid w:val="00A4716A"/>
    <w:rsid w:val="00A47326"/>
    <w:rsid w:val="00A47D23"/>
    <w:rsid w:val="00A47DA0"/>
    <w:rsid w:val="00A501D9"/>
    <w:rsid w:val="00A502C7"/>
    <w:rsid w:val="00A50773"/>
    <w:rsid w:val="00A50C5B"/>
    <w:rsid w:val="00A50D93"/>
    <w:rsid w:val="00A50E7F"/>
    <w:rsid w:val="00A5112B"/>
    <w:rsid w:val="00A518D5"/>
    <w:rsid w:val="00A51ED3"/>
    <w:rsid w:val="00A521BE"/>
    <w:rsid w:val="00A5221A"/>
    <w:rsid w:val="00A52AD1"/>
    <w:rsid w:val="00A52C6A"/>
    <w:rsid w:val="00A53259"/>
    <w:rsid w:val="00A534CB"/>
    <w:rsid w:val="00A53965"/>
    <w:rsid w:val="00A53D85"/>
    <w:rsid w:val="00A541C9"/>
    <w:rsid w:val="00A5436E"/>
    <w:rsid w:val="00A54685"/>
    <w:rsid w:val="00A548A7"/>
    <w:rsid w:val="00A549A3"/>
    <w:rsid w:val="00A54B5F"/>
    <w:rsid w:val="00A54F29"/>
    <w:rsid w:val="00A55275"/>
    <w:rsid w:val="00A5536F"/>
    <w:rsid w:val="00A55D6A"/>
    <w:rsid w:val="00A55EB1"/>
    <w:rsid w:val="00A563AE"/>
    <w:rsid w:val="00A56A32"/>
    <w:rsid w:val="00A57431"/>
    <w:rsid w:val="00A574D8"/>
    <w:rsid w:val="00A57A4A"/>
    <w:rsid w:val="00A57B01"/>
    <w:rsid w:val="00A57DA1"/>
    <w:rsid w:val="00A603AF"/>
    <w:rsid w:val="00A60785"/>
    <w:rsid w:val="00A60B0B"/>
    <w:rsid w:val="00A61317"/>
    <w:rsid w:val="00A61EE9"/>
    <w:rsid w:val="00A6212B"/>
    <w:rsid w:val="00A624D3"/>
    <w:rsid w:val="00A626F2"/>
    <w:rsid w:val="00A62AC5"/>
    <w:rsid w:val="00A62BBE"/>
    <w:rsid w:val="00A63045"/>
    <w:rsid w:val="00A6384B"/>
    <w:rsid w:val="00A63A9E"/>
    <w:rsid w:val="00A63C95"/>
    <w:rsid w:val="00A63E72"/>
    <w:rsid w:val="00A64A88"/>
    <w:rsid w:val="00A653A0"/>
    <w:rsid w:val="00A655EE"/>
    <w:rsid w:val="00A6580D"/>
    <w:rsid w:val="00A659B8"/>
    <w:rsid w:val="00A65F23"/>
    <w:rsid w:val="00A65FC0"/>
    <w:rsid w:val="00A661A4"/>
    <w:rsid w:val="00A6653E"/>
    <w:rsid w:val="00A66663"/>
    <w:rsid w:val="00A66A57"/>
    <w:rsid w:val="00A671A1"/>
    <w:rsid w:val="00A6758D"/>
    <w:rsid w:val="00A706F4"/>
    <w:rsid w:val="00A71B8A"/>
    <w:rsid w:val="00A71BB5"/>
    <w:rsid w:val="00A72109"/>
    <w:rsid w:val="00A72202"/>
    <w:rsid w:val="00A732B0"/>
    <w:rsid w:val="00A737A1"/>
    <w:rsid w:val="00A73DB8"/>
    <w:rsid w:val="00A73FA8"/>
    <w:rsid w:val="00A7415C"/>
    <w:rsid w:val="00A74196"/>
    <w:rsid w:val="00A74340"/>
    <w:rsid w:val="00A7435B"/>
    <w:rsid w:val="00A74A7E"/>
    <w:rsid w:val="00A75BDD"/>
    <w:rsid w:val="00A7645E"/>
    <w:rsid w:val="00A77020"/>
    <w:rsid w:val="00A7720F"/>
    <w:rsid w:val="00A776C6"/>
    <w:rsid w:val="00A77722"/>
    <w:rsid w:val="00A778EA"/>
    <w:rsid w:val="00A77B93"/>
    <w:rsid w:val="00A80B3E"/>
    <w:rsid w:val="00A80D53"/>
    <w:rsid w:val="00A80DBE"/>
    <w:rsid w:val="00A80EBE"/>
    <w:rsid w:val="00A8109F"/>
    <w:rsid w:val="00A8141A"/>
    <w:rsid w:val="00A81A0D"/>
    <w:rsid w:val="00A81BC6"/>
    <w:rsid w:val="00A81D4F"/>
    <w:rsid w:val="00A823E8"/>
    <w:rsid w:val="00A827B4"/>
    <w:rsid w:val="00A828DE"/>
    <w:rsid w:val="00A82CB8"/>
    <w:rsid w:val="00A82EC6"/>
    <w:rsid w:val="00A83697"/>
    <w:rsid w:val="00A83E8B"/>
    <w:rsid w:val="00A844DE"/>
    <w:rsid w:val="00A847EE"/>
    <w:rsid w:val="00A84819"/>
    <w:rsid w:val="00A852AD"/>
    <w:rsid w:val="00A8538D"/>
    <w:rsid w:val="00A8645C"/>
    <w:rsid w:val="00A86489"/>
    <w:rsid w:val="00A86596"/>
    <w:rsid w:val="00A87021"/>
    <w:rsid w:val="00A87323"/>
    <w:rsid w:val="00A87D0E"/>
    <w:rsid w:val="00A87DE2"/>
    <w:rsid w:val="00A90292"/>
    <w:rsid w:val="00A90353"/>
    <w:rsid w:val="00A904D7"/>
    <w:rsid w:val="00A9107F"/>
    <w:rsid w:val="00A91492"/>
    <w:rsid w:val="00A91997"/>
    <w:rsid w:val="00A92449"/>
    <w:rsid w:val="00A9270A"/>
    <w:rsid w:val="00A9344D"/>
    <w:rsid w:val="00A935C1"/>
    <w:rsid w:val="00A93608"/>
    <w:rsid w:val="00A93955"/>
    <w:rsid w:val="00A93DFF"/>
    <w:rsid w:val="00A943E3"/>
    <w:rsid w:val="00A948D9"/>
    <w:rsid w:val="00A949D4"/>
    <w:rsid w:val="00A94C99"/>
    <w:rsid w:val="00A94F1A"/>
    <w:rsid w:val="00A95069"/>
    <w:rsid w:val="00A950F3"/>
    <w:rsid w:val="00A95A39"/>
    <w:rsid w:val="00A95CA3"/>
    <w:rsid w:val="00A9623E"/>
    <w:rsid w:val="00A967E1"/>
    <w:rsid w:val="00A96ACC"/>
    <w:rsid w:val="00A96D10"/>
    <w:rsid w:val="00A96DAE"/>
    <w:rsid w:val="00A96FB3"/>
    <w:rsid w:val="00A9777F"/>
    <w:rsid w:val="00A97D9B"/>
    <w:rsid w:val="00A97F72"/>
    <w:rsid w:val="00A97FEE"/>
    <w:rsid w:val="00AA01D3"/>
    <w:rsid w:val="00AA0B7C"/>
    <w:rsid w:val="00AA13F2"/>
    <w:rsid w:val="00AA145B"/>
    <w:rsid w:val="00AA17F2"/>
    <w:rsid w:val="00AA1DD6"/>
    <w:rsid w:val="00AA1E14"/>
    <w:rsid w:val="00AA1FE4"/>
    <w:rsid w:val="00AA214C"/>
    <w:rsid w:val="00AA21AB"/>
    <w:rsid w:val="00AA2307"/>
    <w:rsid w:val="00AA27CC"/>
    <w:rsid w:val="00AA32ED"/>
    <w:rsid w:val="00AA38D9"/>
    <w:rsid w:val="00AA3B49"/>
    <w:rsid w:val="00AA3F63"/>
    <w:rsid w:val="00AA4118"/>
    <w:rsid w:val="00AA4DDD"/>
    <w:rsid w:val="00AA5014"/>
    <w:rsid w:val="00AA51B2"/>
    <w:rsid w:val="00AA5602"/>
    <w:rsid w:val="00AA5987"/>
    <w:rsid w:val="00AA5EAC"/>
    <w:rsid w:val="00AA6026"/>
    <w:rsid w:val="00AA73A9"/>
    <w:rsid w:val="00AA75F5"/>
    <w:rsid w:val="00AA7AF0"/>
    <w:rsid w:val="00AA7B92"/>
    <w:rsid w:val="00AA7F10"/>
    <w:rsid w:val="00AB035C"/>
    <w:rsid w:val="00AB0AE7"/>
    <w:rsid w:val="00AB0DDD"/>
    <w:rsid w:val="00AB119C"/>
    <w:rsid w:val="00AB17FA"/>
    <w:rsid w:val="00AB1E78"/>
    <w:rsid w:val="00AB1E7E"/>
    <w:rsid w:val="00AB1FA8"/>
    <w:rsid w:val="00AB2561"/>
    <w:rsid w:val="00AB2586"/>
    <w:rsid w:val="00AB2A5A"/>
    <w:rsid w:val="00AB30B8"/>
    <w:rsid w:val="00AB31F4"/>
    <w:rsid w:val="00AB33A5"/>
    <w:rsid w:val="00AB36FD"/>
    <w:rsid w:val="00AB3DAE"/>
    <w:rsid w:val="00AB48AC"/>
    <w:rsid w:val="00AB48D2"/>
    <w:rsid w:val="00AB493F"/>
    <w:rsid w:val="00AB4C95"/>
    <w:rsid w:val="00AB4E79"/>
    <w:rsid w:val="00AB4EAE"/>
    <w:rsid w:val="00AB4FF7"/>
    <w:rsid w:val="00AB5186"/>
    <w:rsid w:val="00AB5302"/>
    <w:rsid w:val="00AB59B7"/>
    <w:rsid w:val="00AB5C4C"/>
    <w:rsid w:val="00AB603A"/>
    <w:rsid w:val="00AB641E"/>
    <w:rsid w:val="00AB662F"/>
    <w:rsid w:val="00AB699A"/>
    <w:rsid w:val="00AB6AF9"/>
    <w:rsid w:val="00AB70A9"/>
    <w:rsid w:val="00AB7242"/>
    <w:rsid w:val="00AB74AD"/>
    <w:rsid w:val="00AB79FB"/>
    <w:rsid w:val="00AB7B9B"/>
    <w:rsid w:val="00AB7CBF"/>
    <w:rsid w:val="00AC2328"/>
    <w:rsid w:val="00AC23B2"/>
    <w:rsid w:val="00AC2F53"/>
    <w:rsid w:val="00AC3A6E"/>
    <w:rsid w:val="00AC3B27"/>
    <w:rsid w:val="00AC3CB7"/>
    <w:rsid w:val="00AC3FF0"/>
    <w:rsid w:val="00AC4730"/>
    <w:rsid w:val="00AC47AB"/>
    <w:rsid w:val="00AC4C75"/>
    <w:rsid w:val="00AC5729"/>
    <w:rsid w:val="00AC5AE0"/>
    <w:rsid w:val="00AC5DE3"/>
    <w:rsid w:val="00AC62BD"/>
    <w:rsid w:val="00AC7060"/>
    <w:rsid w:val="00AC7ECC"/>
    <w:rsid w:val="00AD0131"/>
    <w:rsid w:val="00AD01CF"/>
    <w:rsid w:val="00AD02C3"/>
    <w:rsid w:val="00AD0DA5"/>
    <w:rsid w:val="00AD1E72"/>
    <w:rsid w:val="00AD1FB1"/>
    <w:rsid w:val="00AD26B7"/>
    <w:rsid w:val="00AD2830"/>
    <w:rsid w:val="00AD326C"/>
    <w:rsid w:val="00AD348E"/>
    <w:rsid w:val="00AD3823"/>
    <w:rsid w:val="00AD3AC2"/>
    <w:rsid w:val="00AD3C7A"/>
    <w:rsid w:val="00AD401D"/>
    <w:rsid w:val="00AD4173"/>
    <w:rsid w:val="00AD427B"/>
    <w:rsid w:val="00AD4300"/>
    <w:rsid w:val="00AD43DB"/>
    <w:rsid w:val="00AD4486"/>
    <w:rsid w:val="00AD45B3"/>
    <w:rsid w:val="00AD47AB"/>
    <w:rsid w:val="00AD4874"/>
    <w:rsid w:val="00AD4F18"/>
    <w:rsid w:val="00AD51CF"/>
    <w:rsid w:val="00AD5A84"/>
    <w:rsid w:val="00AD5B81"/>
    <w:rsid w:val="00AD5F2C"/>
    <w:rsid w:val="00AD6087"/>
    <w:rsid w:val="00AD61BB"/>
    <w:rsid w:val="00AD6417"/>
    <w:rsid w:val="00AD6621"/>
    <w:rsid w:val="00AD6C48"/>
    <w:rsid w:val="00AD709D"/>
    <w:rsid w:val="00AD73D9"/>
    <w:rsid w:val="00AD77D6"/>
    <w:rsid w:val="00AD7B3D"/>
    <w:rsid w:val="00AE03B9"/>
    <w:rsid w:val="00AE08C7"/>
    <w:rsid w:val="00AE08C8"/>
    <w:rsid w:val="00AE0AE0"/>
    <w:rsid w:val="00AE0B30"/>
    <w:rsid w:val="00AE1229"/>
    <w:rsid w:val="00AE14C1"/>
    <w:rsid w:val="00AE1E67"/>
    <w:rsid w:val="00AE1FFE"/>
    <w:rsid w:val="00AE2021"/>
    <w:rsid w:val="00AE219F"/>
    <w:rsid w:val="00AE266E"/>
    <w:rsid w:val="00AE268A"/>
    <w:rsid w:val="00AE278D"/>
    <w:rsid w:val="00AE294B"/>
    <w:rsid w:val="00AE2B71"/>
    <w:rsid w:val="00AE2DDB"/>
    <w:rsid w:val="00AE2ED5"/>
    <w:rsid w:val="00AE332E"/>
    <w:rsid w:val="00AE33BA"/>
    <w:rsid w:val="00AE346F"/>
    <w:rsid w:val="00AE3887"/>
    <w:rsid w:val="00AE38CD"/>
    <w:rsid w:val="00AE4472"/>
    <w:rsid w:val="00AE450C"/>
    <w:rsid w:val="00AE4633"/>
    <w:rsid w:val="00AE4CEC"/>
    <w:rsid w:val="00AE4D6A"/>
    <w:rsid w:val="00AE5630"/>
    <w:rsid w:val="00AE58A1"/>
    <w:rsid w:val="00AE5FD1"/>
    <w:rsid w:val="00AE64DF"/>
    <w:rsid w:val="00AE7BF9"/>
    <w:rsid w:val="00AE7D71"/>
    <w:rsid w:val="00AE7DC2"/>
    <w:rsid w:val="00AF0450"/>
    <w:rsid w:val="00AF112C"/>
    <w:rsid w:val="00AF1188"/>
    <w:rsid w:val="00AF11FA"/>
    <w:rsid w:val="00AF22D3"/>
    <w:rsid w:val="00AF29AA"/>
    <w:rsid w:val="00AF2C8E"/>
    <w:rsid w:val="00AF2F5D"/>
    <w:rsid w:val="00AF350A"/>
    <w:rsid w:val="00AF38A1"/>
    <w:rsid w:val="00AF444D"/>
    <w:rsid w:val="00AF4568"/>
    <w:rsid w:val="00AF45EB"/>
    <w:rsid w:val="00AF46C9"/>
    <w:rsid w:val="00AF4917"/>
    <w:rsid w:val="00AF4A85"/>
    <w:rsid w:val="00AF4AEE"/>
    <w:rsid w:val="00AF4B8D"/>
    <w:rsid w:val="00AF5441"/>
    <w:rsid w:val="00AF5737"/>
    <w:rsid w:val="00AF5786"/>
    <w:rsid w:val="00AF60C3"/>
    <w:rsid w:val="00AF63AE"/>
    <w:rsid w:val="00AF6AD6"/>
    <w:rsid w:val="00AF7182"/>
    <w:rsid w:val="00B00638"/>
    <w:rsid w:val="00B007B1"/>
    <w:rsid w:val="00B01686"/>
    <w:rsid w:val="00B01CE6"/>
    <w:rsid w:val="00B01D28"/>
    <w:rsid w:val="00B01F68"/>
    <w:rsid w:val="00B0239E"/>
    <w:rsid w:val="00B02502"/>
    <w:rsid w:val="00B02F92"/>
    <w:rsid w:val="00B03194"/>
    <w:rsid w:val="00B031FE"/>
    <w:rsid w:val="00B038A4"/>
    <w:rsid w:val="00B03ADB"/>
    <w:rsid w:val="00B03E6B"/>
    <w:rsid w:val="00B04424"/>
    <w:rsid w:val="00B04433"/>
    <w:rsid w:val="00B0510B"/>
    <w:rsid w:val="00B054C2"/>
    <w:rsid w:val="00B05646"/>
    <w:rsid w:val="00B056B6"/>
    <w:rsid w:val="00B059F3"/>
    <w:rsid w:val="00B05A2F"/>
    <w:rsid w:val="00B0603D"/>
    <w:rsid w:val="00B06218"/>
    <w:rsid w:val="00B06CF8"/>
    <w:rsid w:val="00B0707B"/>
    <w:rsid w:val="00B07128"/>
    <w:rsid w:val="00B07619"/>
    <w:rsid w:val="00B1034C"/>
    <w:rsid w:val="00B10E34"/>
    <w:rsid w:val="00B10F06"/>
    <w:rsid w:val="00B10F0E"/>
    <w:rsid w:val="00B10F51"/>
    <w:rsid w:val="00B10FCB"/>
    <w:rsid w:val="00B110A9"/>
    <w:rsid w:val="00B11534"/>
    <w:rsid w:val="00B11A5D"/>
    <w:rsid w:val="00B11AEF"/>
    <w:rsid w:val="00B11F72"/>
    <w:rsid w:val="00B121C0"/>
    <w:rsid w:val="00B12632"/>
    <w:rsid w:val="00B12A5B"/>
    <w:rsid w:val="00B12F93"/>
    <w:rsid w:val="00B1308C"/>
    <w:rsid w:val="00B13511"/>
    <w:rsid w:val="00B13AD8"/>
    <w:rsid w:val="00B13C00"/>
    <w:rsid w:val="00B1420E"/>
    <w:rsid w:val="00B142B8"/>
    <w:rsid w:val="00B16015"/>
    <w:rsid w:val="00B16152"/>
    <w:rsid w:val="00B1689C"/>
    <w:rsid w:val="00B1706C"/>
    <w:rsid w:val="00B1712B"/>
    <w:rsid w:val="00B17689"/>
    <w:rsid w:val="00B17715"/>
    <w:rsid w:val="00B17875"/>
    <w:rsid w:val="00B179F1"/>
    <w:rsid w:val="00B17BA6"/>
    <w:rsid w:val="00B17BCC"/>
    <w:rsid w:val="00B17F26"/>
    <w:rsid w:val="00B201EF"/>
    <w:rsid w:val="00B202E1"/>
    <w:rsid w:val="00B203BB"/>
    <w:rsid w:val="00B20AB8"/>
    <w:rsid w:val="00B20B95"/>
    <w:rsid w:val="00B20C8F"/>
    <w:rsid w:val="00B20D26"/>
    <w:rsid w:val="00B20DFC"/>
    <w:rsid w:val="00B21006"/>
    <w:rsid w:val="00B211FD"/>
    <w:rsid w:val="00B212B4"/>
    <w:rsid w:val="00B21306"/>
    <w:rsid w:val="00B21484"/>
    <w:rsid w:val="00B21603"/>
    <w:rsid w:val="00B21617"/>
    <w:rsid w:val="00B21A24"/>
    <w:rsid w:val="00B21B87"/>
    <w:rsid w:val="00B21E9E"/>
    <w:rsid w:val="00B22264"/>
    <w:rsid w:val="00B22786"/>
    <w:rsid w:val="00B227A9"/>
    <w:rsid w:val="00B22E9F"/>
    <w:rsid w:val="00B237AB"/>
    <w:rsid w:val="00B2381E"/>
    <w:rsid w:val="00B23F5A"/>
    <w:rsid w:val="00B24057"/>
    <w:rsid w:val="00B243C7"/>
    <w:rsid w:val="00B2453B"/>
    <w:rsid w:val="00B24926"/>
    <w:rsid w:val="00B24AEE"/>
    <w:rsid w:val="00B24AFC"/>
    <w:rsid w:val="00B251F0"/>
    <w:rsid w:val="00B25939"/>
    <w:rsid w:val="00B25BB0"/>
    <w:rsid w:val="00B26227"/>
    <w:rsid w:val="00B26330"/>
    <w:rsid w:val="00B264B7"/>
    <w:rsid w:val="00B26A9C"/>
    <w:rsid w:val="00B26D31"/>
    <w:rsid w:val="00B26E21"/>
    <w:rsid w:val="00B2740E"/>
    <w:rsid w:val="00B27463"/>
    <w:rsid w:val="00B27FD5"/>
    <w:rsid w:val="00B3031A"/>
    <w:rsid w:val="00B30608"/>
    <w:rsid w:val="00B3060F"/>
    <w:rsid w:val="00B30978"/>
    <w:rsid w:val="00B309D8"/>
    <w:rsid w:val="00B30A5D"/>
    <w:rsid w:val="00B30D44"/>
    <w:rsid w:val="00B30EC4"/>
    <w:rsid w:val="00B312DF"/>
    <w:rsid w:val="00B31916"/>
    <w:rsid w:val="00B31C82"/>
    <w:rsid w:val="00B31DB8"/>
    <w:rsid w:val="00B31F87"/>
    <w:rsid w:val="00B321A6"/>
    <w:rsid w:val="00B32585"/>
    <w:rsid w:val="00B3297C"/>
    <w:rsid w:val="00B32AA8"/>
    <w:rsid w:val="00B3318C"/>
    <w:rsid w:val="00B33403"/>
    <w:rsid w:val="00B336CA"/>
    <w:rsid w:val="00B3460D"/>
    <w:rsid w:val="00B34A4E"/>
    <w:rsid w:val="00B34B66"/>
    <w:rsid w:val="00B34B73"/>
    <w:rsid w:val="00B34ECA"/>
    <w:rsid w:val="00B34EEB"/>
    <w:rsid w:val="00B34F1F"/>
    <w:rsid w:val="00B35509"/>
    <w:rsid w:val="00B35BC7"/>
    <w:rsid w:val="00B35BF9"/>
    <w:rsid w:val="00B35CA4"/>
    <w:rsid w:val="00B36535"/>
    <w:rsid w:val="00B36686"/>
    <w:rsid w:val="00B37407"/>
    <w:rsid w:val="00B37711"/>
    <w:rsid w:val="00B4038F"/>
    <w:rsid w:val="00B40949"/>
    <w:rsid w:val="00B40F4E"/>
    <w:rsid w:val="00B41714"/>
    <w:rsid w:val="00B417B4"/>
    <w:rsid w:val="00B418E8"/>
    <w:rsid w:val="00B41A8E"/>
    <w:rsid w:val="00B41AF4"/>
    <w:rsid w:val="00B4280E"/>
    <w:rsid w:val="00B4319F"/>
    <w:rsid w:val="00B437AA"/>
    <w:rsid w:val="00B43DA2"/>
    <w:rsid w:val="00B43EFE"/>
    <w:rsid w:val="00B4423A"/>
    <w:rsid w:val="00B447F8"/>
    <w:rsid w:val="00B44822"/>
    <w:rsid w:val="00B44ED8"/>
    <w:rsid w:val="00B44F0F"/>
    <w:rsid w:val="00B4542B"/>
    <w:rsid w:val="00B454CD"/>
    <w:rsid w:val="00B45A4C"/>
    <w:rsid w:val="00B45ADF"/>
    <w:rsid w:val="00B45BB3"/>
    <w:rsid w:val="00B45D8B"/>
    <w:rsid w:val="00B4650B"/>
    <w:rsid w:val="00B47004"/>
    <w:rsid w:val="00B47425"/>
    <w:rsid w:val="00B47500"/>
    <w:rsid w:val="00B50194"/>
    <w:rsid w:val="00B502E5"/>
    <w:rsid w:val="00B50495"/>
    <w:rsid w:val="00B5060E"/>
    <w:rsid w:val="00B50711"/>
    <w:rsid w:val="00B5075A"/>
    <w:rsid w:val="00B507DA"/>
    <w:rsid w:val="00B508A0"/>
    <w:rsid w:val="00B50989"/>
    <w:rsid w:val="00B50B8C"/>
    <w:rsid w:val="00B515AA"/>
    <w:rsid w:val="00B51A6B"/>
    <w:rsid w:val="00B51F85"/>
    <w:rsid w:val="00B528FC"/>
    <w:rsid w:val="00B52933"/>
    <w:rsid w:val="00B52D1B"/>
    <w:rsid w:val="00B53363"/>
    <w:rsid w:val="00B53698"/>
    <w:rsid w:val="00B53902"/>
    <w:rsid w:val="00B539C8"/>
    <w:rsid w:val="00B53A2C"/>
    <w:rsid w:val="00B53AA9"/>
    <w:rsid w:val="00B53B0D"/>
    <w:rsid w:val="00B53CEC"/>
    <w:rsid w:val="00B53F30"/>
    <w:rsid w:val="00B5450E"/>
    <w:rsid w:val="00B54B03"/>
    <w:rsid w:val="00B54B1D"/>
    <w:rsid w:val="00B54C88"/>
    <w:rsid w:val="00B54DCF"/>
    <w:rsid w:val="00B55E1A"/>
    <w:rsid w:val="00B55F5C"/>
    <w:rsid w:val="00B562E1"/>
    <w:rsid w:val="00B56935"/>
    <w:rsid w:val="00B56CC2"/>
    <w:rsid w:val="00B57206"/>
    <w:rsid w:val="00B57350"/>
    <w:rsid w:val="00B57B4C"/>
    <w:rsid w:val="00B57D72"/>
    <w:rsid w:val="00B60030"/>
    <w:rsid w:val="00B606F1"/>
    <w:rsid w:val="00B60731"/>
    <w:rsid w:val="00B60943"/>
    <w:rsid w:val="00B60952"/>
    <w:rsid w:val="00B60AC9"/>
    <w:rsid w:val="00B614AA"/>
    <w:rsid w:val="00B6192F"/>
    <w:rsid w:val="00B62218"/>
    <w:rsid w:val="00B622D0"/>
    <w:rsid w:val="00B62713"/>
    <w:rsid w:val="00B6273A"/>
    <w:rsid w:val="00B62E0B"/>
    <w:rsid w:val="00B632EE"/>
    <w:rsid w:val="00B63613"/>
    <w:rsid w:val="00B63C6D"/>
    <w:rsid w:val="00B6442C"/>
    <w:rsid w:val="00B64444"/>
    <w:rsid w:val="00B645BC"/>
    <w:rsid w:val="00B64CDF"/>
    <w:rsid w:val="00B65574"/>
    <w:rsid w:val="00B65A1C"/>
    <w:rsid w:val="00B65B4B"/>
    <w:rsid w:val="00B66485"/>
    <w:rsid w:val="00B66A3F"/>
    <w:rsid w:val="00B66B7B"/>
    <w:rsid w:val="00B66FF3"/>
    <w:rsid w:val="00B67005"/>
    <w:rsid w:val="00B671C5"/>
    <w:rsid w:val="00B67529"/>
    <w:rsid w:val="00B678A7"/>
    <w:rsid w:val="00B67E28"/>
    <w:rsid w:val="00B67F20"/>
    <w:rsid w:val="00B70068"/>
    <w:rsid w:val="00B704A9"/>
    <w:rsid w:val="00B70D64"/>
    <w:rsid w:val="00B710D7"/>
    <w:rsid w:val="00B711D6"/>
    <w:rsid w:val="00B71D77"/>
    <w:rsid w:val="00B71D97"/>
    <w:rsid w:val="00B72048"/>
    <w:rsid w:val="00B7257D"/>
    <w:rsid w:val="00B7257F"/>
    <w:rsid w:val="00B729C1"/>
    <w:rsid w:val="00B7367E"/>
    <w:rsid w:val="00B73D54"/>
    <w:rsid w:val="00B73FF0"/>
    <w:rsid w:val="00B74040"/>
    <w:rsid w:val="00B740E1"/>
    <w:rsid w:val="00B742B9"/>
    <w:rsid w:val="00B74A6F"/>
    <w:rsid w:val="00B74B46"/>
    <w:rsid w:val="00B74EA7"/>
    <w:rsid w:val="00B7540A"/>
    <w:rsid w:val="00B75DBC"/>
    <w:rsid w:val="00B75E96"/>
    <w:rsid w:val="00B7608A"/>
    <w:rsid w:val="00B767FD"/>
    <w:rsid w:val="00B76861"/>
    <w:rsid w:val="00B76C03"/>
    <w:rsid w:val="00B77118"/>
    <w:rsid w:val="00B772A9"/>
    <w:rsid w:val="00B772B4"/>
    <w:rsid w:val="00B7730F"/>
    <w:rsid w:val="00B7736F"/>
    <w:rsid w:val="00B774B5"/>
    <w:rsid w:val="00B7778F"/>
    <w:rsid w:val="00B777C1"/>
    <w:rsid w:val="00B77ED5"/>
    <w:rsid w:val="00B80120"/>
    <w:rsid w:val="00B80401"/>
    <w:rsid w:val="00B804C0"/>
    <w:rsid w:val="00B80600"/>
    <w:rsid w:val="00B80700"/>
    <w:rsid w:val="00B80A74"/>
    <w:rsid w:val="00B80CDE"/>
    <w:rsid w:val="00B80D28"/>
    <w:rsid w:val="00B81523"/>
    <w:rsid w:val="00B81727"/>
    <w:rsid w:val="00B81C74"/>
    <w:rsid w:val="00B81F74"/>
    <w:rsid w:val="00B824C8"/>
    <w:rsid w:val="00B824FC"/>
    <w:rsid w:val="00B82690"/>
    <w:rsid w:val="00B827CA"/>
    <w:rsid w:val="00B828C0"/>
    <w:rsid w:val="00B82AB0"/>
    <w:rsid w:val="00B82AFE"/>
    <w:rsid w:val="00B82B41"/>
    <w:rsid w:val="00B830C7"/>
    <w:rsid w:val="00B83779"/>
    <w:rsid w:val="00B83B04"/>
    <w:rsid w:val="00B84D0E"/>
    <w:rsid w:val="00B84DBA"/>
    <w:rsid w:val="00B86097"/>
    <w:rsid w:val="00B862AA"/>
    <w:rsid w:val="00B868B6"/>
    <w:rsid w:val="00B86A09"/>
    <w:rsid w:val="00B87BAA"/>
    <w:rsid w:val="00B87C4E"/>
    <w:rsid w:val="00B87DBE"/>
    <w:rsid w:val="00B901F9"/>
    <w:rsid w:val="00B90597"/>
    <w:rsid w:val="00B9076F"/>
    <w:rsid w:val="00B909E0"/>
    <w:rsid w:val="00B909FC"/>
    <w:rsid w:val="00B90A0C"/>
    <w:rsid w:val="00B90C27"/>
    <w:rsid w:val="00B911A3"/>
    <w:rsid w:val="00B9180D"/>
    <w:rsid w:val="00B91F70"/>
    <w:rsid w:val="00B92E68"/>
    <w:rsid w:val="00B93162"/>
    <w:rsid w:val="00B934D6"/>
    <w:rsid w:val="00B940ED"/>
    <w:rsid w:val="00B946D1"/>
    <w:rsid w:val="00B94F0B"/>
    <w:rsid w:val="00B95243"/>
    <w:rsid w:val="00B954AC"/>
    <w:rsid w:val="00B956F1"/>
    <w:rsid w:val="00B958D8"/>
    <w:rsid w:val="00B958FD"/>
    <w:rsid w:val="00B95955"/>
    <w:rsid w:val="00B95C5E"/>
    <w:rsid w:val="00B95E2C"/>
    <w:rsid w:val="00B9623F"/>
    <w:rsid w:val="00B963A9"/>
    <w:rsid w:val="00B9657F"/>
    <w:rsid w:val="00B96D50"/>
    <w:rsid w:val="00B97701"/>
    <w:rsid w:val="00B979E1"/>
    <w:rsid w:val="00BA03EA"/>
    <w:rsid w:val="00BA0459"/>
    <w:rsid w:val="00BA0571"/>
    <w:rsid w:val="00BA07C5"/>
    <w:rsid w:val="00BA088E"/>
    <w:rsid w:val="00BA094A"/>
    <w:rsid w:val="00BA0D1F"/>
    <w:rsid w:val="00BA1187"/>
    <w:rsid w:val="00BA12C4"/>
    <w:rsid w:val="00BA14B1"/>
    <w:rsid w:val="00BA15FE"/>
    <w:rsid w:val="00BA1838"/>
    <w:rsid w:val="00BA1C13"/>
    <w:rsid w:val="00BA233D"/>
    <w:rsid w:val="00BA253B"/>
    <w:rsid w:val="00BA2540"/>
    <w:rsid w:val="00BA2588"/>
    <w:rsid w:val="00BA282F"/>
    <w:rsid w:val="00BA2F46"/>
    <w:rsid w:val="00BA3276"/>
    <w:rsid w:val="00BA32F2"/>
    <w:rsid w:val="00BA39A0"/>
    <w:rsid w:val="00BA3B48"/>
    <w:rsid w:val="00BA4441"/>
    <w:rsid w:val="00BA4695"/>
    <w:rsid w:val="00BA4C8E"/>
    <w:rsid w:val="00BA530D"/>
    <w:rsid w:val="00BA56DE"/>
    <w:rsid w:val="00BA57AC"/>
    <w:rsid w:val="00BA598D"/>
    <w:rsid w:val="00BA5F55"/>
    <w:rsid w:val="00BA60CF"/>
    <w:rsid w:val="00BA64A8"/>
    <w:rsid w:val="00BA69FE"/>
    <w:rsid w:val="00BA6DC6"/>
    <w:rsid w:val="00BA7572"/>
    <w:rsid w:val="00BB05FD"/>
    <w:rsid w:val="00BB0698"/>
    <w:rsid w:val="00BB06AA"/>
    <w:rsid w:val="00BB0A64"/>
    <w:rsid w:val="00BB1087"/>
    <w:rsid w:val="00BB1606"/>
    <w:rsid w:val="00BB1E7F"/>
    <w:rsid w:val="00BB1E96"/>
    <w:rsid w:val="00BB20D4"/>
    <w:rsid w:val="00BB22C9"/>
    <w:rsid w:val="00BB25F4"/>
    <w:rsid w:val="00BB28A3"/>
    <w:rsid w:val="00BB28B8"/>
    <w:rsid w:val="00BB290A"/>
    <w:rsid w:val="00BB2C3D"/>
    <w:rsid w:val="00BB2DB7"/>
    <w:rsid w:val="00BB4684"/>
    <w:rsid w:val="00BB550E"/>
    <w:rsid w:val="00BB56AF"/>
    <w:rsid w:val="00BB5BB1"/>
    <w:rsid w:val="00BB63FF"/>
    <w:rsid w:val="00BB6711"/>
    <w:rsid w:val="00BB6A1A"/>
    <w:rsid w:val="00BB6B89"/>
    <w:rsid w:val="00BB725F"/>
    <w:rsid w:val="00BB733E"/>
    <w:rsid w:val="00BB737E"/>
    <w:rsid w:val="00BB74ED"/>
    <w:rsid w:val="00BB7E1B"/>
    <w:rsid w:val="00BC0029"/>
    <w:rsid w:val="00BC01AE"/>
    <w:rsid w:val="00BC09DA"/>
    <w:rsid w:val="00BC0B26"/>
    <w:rsid w:val="00BC0BA2"/>
    <w:rsid w:val="00BC0D0D"/>
    <w:rsid w:val="00BC14BE"/>
    <w:rsid w:val="00BC16EB"/>
    <w:rsid w:val="00BC1BA4"/>
    <w:rsid w:val="00BC22F4"/>
    <w:rsid w:val="00BC2621"/>
    <w:rsid w:val="00BC30BE"/>
    <w:rsid w:val="00BC3D7A"/>
    <w:rsid w:val="00BC3F47"/>
    <w:rsid w:val="00BC4108"/>
    <w:rsid w:val="00BC4BA7"/>
    <w:rsid w:val="00BC4C30"/>
    <w:rsid w:val="00BC4F0C"/>
    <w:rsid w:val="00BC5727"/>
    <w:rsid w:val="00BC6207"/>
    <w:rsid w:val="00BC633A"/>
    <w:rsid w:val="00BC6681"/>
    <w:rsid w:val="00BC68AD"/>
    <w:rsid w:val="00BC6C0B"/>
    <w:rsid w:val="00BC6DC0"/>
    <w:rsid w:val="00BC6F90"/>
    <w:rsid w:val="00BC7035"/>
    <w:rsid w:val="00BC7113"/>
    <w:rsid w:val="00BD0C00"/>
    <w:rsid w:val="00BD0C8D"/>
    <w:rsid w:val="00BD1643"/>
    <w:rsid w:val="00BD1CE3"/>
    <w:rsid w:val="00BD210E"/>
    <w:rsid w:val="00BD22E1"/>
    <w:rsid w:val="00BD2A8B"/>
    <w:rsid w:val="00BD2F99"/>
    <w:rsid w:val="00BD2FE6"/>
    <w:rsid w:val="00BD32DA"/>
    <w:rsid w:val="00BD3420"/>
    <w:rsid w:val="00BD3F9B"/>
    <w:rsid w:val="00BD4752"/>
    <w:rsid w:val="00BD481A"/>
    <w:rsid w:val="00BD4A1A"/>
    <w:rsid w:val="00BD4A9B"/>
    <w:rsid w:val="00BD4AA3"/>
    <w:rsid w:val="00BD4D6C"/>
    <w:rsid w:val="00BD5AFF"/>
    <w:rsid w:val="00BD5D13"/>
    <w:rsid w:val="00BD6063"/>
    <w:rsid w:val="00BD60B8"/>
    <w:rsid w:val="00BD661B"/>
    <w:rsid w:val="00BD6750"/>
    <w:rsid w:val="00BD69EA"/>
    <w:rsid w:val="00BD6C16"/>
    <w:rsid w:val="00BD6E9F"/>
    <w:rsid w:val="00BD70B1"/>
    <w:rsid w:val="00BD70BA"/>
    <w:rsid w:val="00BD7242"/>
    <w:rsid w:val="00BD7467"/>
    <w:rsid w:val="00BD7B6E"/>
    <w:rsid w:val="00BE060C"/>
    <w:rsid w:val="00BE0610"/>
    <w:rsid w:val="00BE0C62"/>
    <w:rsid w:val="00BE0E79"/>
    <w:rsid w:val="00BE17F4"/>
    <w:rsid w:val="00BE2137"/>
    <w:rsid w:val="00BE2652"/>
    <w:rsid w:val="00BE2B0D"/>
    <w:rsid w:val="00BE2C56"/>
    <w:rsid w:val="00BE2E4C"/>
    <w:rsid w:val="00BE3212"/>
    <w:rsid w:val="00BE35A6"/>
    <w:rsid w:val="00BE3A68"/>
    <w:rsid w:val="00BE43DC"/>
    <w:rsid w:val="00BE43E5"/>
    <w:rsid w:val="00BE4A41"/>
    <w:rsid w:val="00BE4A52"/>
    <w:rsid w:val="00BE5386"/>
    <w:rsid w:val="00BE53A7"/>
    <w:rsid w:val="00BE54A9"/>
    <w:rsid w:val="00BE563E"/>
    <w:rsid w:val="00BE5AE2"/>
    <w:rsid w:val="00BE5CE1"/>
    <w:rsid w:val="00BE6952"/>
    <w:rsid w:val="00BE6CC0"/>
    <w:rsid w:val="00BE6FD6"/>
    <w:rsid w:val="00BE71BA"/>
    <w:rsid w:val="00BE78DC"/>
    <w:rsid w:val="00BE7969"/>
    <w:rsid w:val="00BE7F97"/>
    <w:rsid w:val="00BE7F99"/>
    <w:rsid w:val="00BF08EF"/>
    <w:rsid w:val="00BF0B4A"/>
    <w:rsid w:val="00BF0C3E"/>
    <w:rsid w:val="00BF1153"/>
    <w:rsid w:val="00BF13A2"/>
    <w:rsid w:val="00BF13D8"/>
    <w:rsid w:val="00BF214F"/>
    <w:rsid w:val="00BF2164"/>
    <w:rsid w:val="00BF2531"/>
    <w:rsid w:val="00BF2583"/>
    <w:rsid w:val="00BF2763"/>
    <w:rsid w:val="00BF296D"/>
    <w:rsid w:val="00BF2D18"/>
    <w:rsid w:val="00BF2DB7"/>
    <w:rsid w:val="00BF2DE9"/>
    <w:rsid w:val="00BF2FAB"/>
    <w:rsid w:val="00BF32C5"/>
    <w:rsid w:val="00BF3BBA"/>
    <w:rsid w:val="00BF3FEB"/>
    <w:rsid w:val="00BF4487"/>
    <w:rsid w:val="00BF45C7"/>
    <w:rsid w:val="00BF4C30"/>
    <w:rsid w:val="00BF5158"/>
    <w:rsid w:val="00BF51CB"/>
    <w:rsid w:val="00BF5246"/>
    <w:rsid w:val="00BF5338"/>
    <w:rsid w:val="00BF583F"/>
    <w:rsid w:val="00BF5C53"/>
    <w:rsid w:val="00BF61DE"/>
    <w:rsid w:val="00BF6812"/>
    <w:rsid w:val="00BF6930"/>
    <w:rsid w:val="00BF6DA6"/>
    <w:rsid w:val="00BF74FD"/>
    <w:rsid w:val="00BF7783"/>
    <w:rsid w:val="00BF7F3E"/>
    <w:rsid w:val="00C003E7"/>
    <w:rsid w:val="00C004FB"/>
    <w:rsid w:val="00C00672"/>
    <w:rsid w:val="00C0088D"/>
    <w:rsid w:val="00C00B6C"/>
    <w:rsid w:val="00C00C7A"/>
    <w:rsid w:val="00C0174E"/>
    <w:rsid w:val="00C01B54"/>
    <w:rsid w:val="00C01CD4"/>
    <w:rsid w:val="00C01E79"/>
    <w:rsid w:val="00C01F46"/>
    <w:rsid w:val="00C02871"/>
    <w:rsid w:val="00C0360B"/>
    <w:rsid w:val="00C036E9"/>
    <w:rsid w:val="00C037E1"/>
    <w:rsid w:val="00C03A11"/>
    <w:rsid w:val="00C03F09"/>
    <w:rsid w:val="00C046A5"/>
    <w:rsid w:val="00C04882"/>
    <w:rsid w:val="00C04A16"/>
    <w:rsid w:val="00C04A56"/>
    <w:rsid w:val="00C04DB3"/>
    <w:rsid w:val="00C04F00"/>
    <w:rsid w:val="00C0525B"/>
    <w:rsid w:val="00C057E0"/>
    <w:rsid w:val="00C05DD5"/>
    <w:rsid w:val="00C05F2A"/>
    <w:rsid w:val="00C0628C"/>
    <w:rsid w:val="00C062C8"/>
    <w:rsid w:val="00C06775"/>
    <w:rsid w:val="00C067C1"/>
    <w:rsid w:val="00C06939"/>
    <w:rsid w:val="00C06A5C"/>
    <w:rsid w:val="00C0704B"/>
    <w:rsid w:val="00C07CDC"/>
    <w:rsid w:val="00C07D13"/>
    <w:rsid w:val="00C10AD4"/>
    <w:rsid w:val="00C10DEF"/>
    <w:rsid w:val="00C11414"/>
    <w:rsid w:val="00C1175D"/>
    <w:rsid w:val="00C1178E"/>
    <w:rsid w:val="00C117E5"/>
    <w:rsid w:val="00C11D57"/>
    <w:rsid w:val="00C11DCC"/>
    <w:rsid w:val="00C122A2"/>
    <w:rsid w:val="00C130F9"/>
    <w:rsid w:val="00C131C8"/>
    <w:rsid w:val="00C144BB"/>
    <w:rsid w:val="00C15151"/>
    <w:rsid w:val="00C1557A"/>
    <w:rsid w:val="00C15665"/>
    <w:rsid w:val="00C15CE1"/>
    <w:rsid w:val="00C1643A"/>
    <w:rsid w:val="00C168E7"/>
    <w:rsid w:val="00C16913"/>
    <w:rsid w:val="00C169F9"/>
    <w:rsid w:val="00C17484"/>
    <w:rsid w:val="00C1756E"/>
    <w:rsid w:val="00C1766D"/>
    <w:rsid w:val="00C1781E"/>
    <w:rsid w:val="00C17978"/>
    <w:rsid w:val="00C17AB2"/>
    <w:rsid w:val="00C17AEA"/>
    <w:rsid w:val="00C17BC6"/>
    <w:rsid w:val="00C17BD1"/>
    <w:rsid w:val="00C17E74"/>
    <w:rsid w:val="00C20320"/>
    <w:rsid w:val="00C205D8"/>
    <w:rsid w:val="00C206FF"/>
    <w:rsid w:val="00C2090F"/>
    <w:rsid w:val="00C20DF6"/>
    <w:rsid w:val="00C21280"/>
    <w:rsid w:val="00C21322"/>
    <w:rsid w:val="00C21466"/>
    <w:rsid w:val="00C218DB"/>
    <w:rsid w:val="00C21B7F"/>
    <w:rsid w:val="00C22166"/>
    <w:rsid w:val="00C22397"/>
    <w:rsid w:val="00C227FA"/>
    <w:rsid w:val="00C22CD5"/>
    <w:rsid w:val="00C23133"/>
    <w:rsid w:val="00C2345A"/>
    <w:rsid w:val="00C2348A"/>
    <w:rsid w:val="00C235FB"/>
    <w:rsid w:val="00C2389E"/>
    <w:rsid w:val="00C2391B"/>
    <w:rsid w:val="00C245E9"/>
    <w:rsid w:val="00C246CD"/>
    <w:rsid w:val="00C24EB6"/>
    <w:rsid w:val="00C25064"/>
    <w:rsid w:val="00C258B5"/>
    <w:rsid w:val="00C26319"/>
    <w:rsid w:val="00C26564"/>
    <w:rsid w:val="00C26B32"/>
    <w:rsid w:val="00C26CF6"/>
    <w:rsid w:val="00C26E82"/>
    <w:rsid w:val="00C26EE8"/>
    <w:rsid w:val="00C27988"/>
    <w:rsid w:val="00C27992"/>
    <w:rsid w:val="00C27ADA"/>
    <w:rsid w:val="00C27D20"/>
    <w:rsid w:val="00C302FE"/>
    <w:rsid w:val="00C30E18"/>
    <w:rsid w:val="00C318E7"/>
    <w:rsid w:val="00C3263D"/>
    <w:rsid w:val="00C3283C"/>
    <w:rsid w:val="00C32A33"/>
    <w:rsid w:val="00C32F85"/>
    <w:rsid w:val="00C33152"/>
    <w:rsid w:val="00C33211"/>
    <w:rsid w:val="00C3321E"/>
    <w:rsid w:val="00C33656"/>
    <w:rsid w:val="00C3367C"/>
    <w:rsid w:val="00C3384B"/>
    <w:rsid w:val="00C3387F"/>
    <w:rsid w:val="00C342B8"/>
    <w:rsid w:val="00C34477"/>
    <w:rsid w:val="00C348D5"/>
    <w:rsid w:val="00C34FC7"/>
    <w:rsid w:val="00C35731"/>
    <w:rsid w:val="00C3576E"/>
    <w:rsid w:val="00C35CA6"/>
    <w:rsid w:val="00C35D22"/>
    <w:rsid w:val="00C35FD6"/>
    <w:rsid w:val="00C36285"/>
    <w:rsid w:val="00C36624"/>
    <w:rsid w:val="00C36CC3"/>
    <w:rsid w:val="00C37088"/>
    <w:rsid w:val="00C371E1"/>
    <w:rsid w:val="00C373F9"/>
    <w:rsid w:val="00C375E5"/>
    <w:rsid w:val="00C37645"/>
    <w:rsid w:val="00C3779A"/>
    <w:rsid w:val="00C40618"/>
    <w:rsid w:val="00C406AC"/>
    <w:rsid w:val="00C40751"/>
    <w:rsid w:val="00C4087C"/>
    <w:rsid w:val="00C410E8"/>
    <w:rsid w:val="00C414C4"/>
    <w:rsid w:val="00C41CD4"/>
    <w:rsid w:val="00C426E8"/>
    <w:rsid w:val="00C42955"/>
    <w:rsid w:val="00C42AFA"/>
    <w:rsid w:val="00C42BA0"/>
    <w:rsid w:val="00C42D35"/>
    <w:rsid w:val="00C4336A"/>
    <w:rsid w:val="00C4337C"/>
    <w:rsid w:val="00C435FD"/>
    <w:rsid w:val="00C43AA1"/>
    <w:rsid w:val="00C43BDD"/>
    <w:rsid w:val="00C43D5E"/>
    <w:rsid w:val="00C44930"/>
    <w:rsid w:val="00C44D05"/>
    <w:rsid w:val="00C44E71"/>
    <w:rsid w:val="00C453D9"/>
    <w:rsid w:val="00C454F3"/>
    <w:rsid w:val="00C45B69"/>
    <w:rsid w:val="00C45B99"/>
    <w:rsid w:val="00C461D1"/>
    <w:rsid w:val="00C461DE"/>
    <w:rsid w:val="00C46746"/>
    <w:rsid w:val="00C469D1"/>
    <w:rsid w:val="00C46B42"/>
    <w:rsid w:val="00C47649"/>
    <w:rsid w:val="00C47D84"/>
    <w:rsid w:val="00C47ECA"/>
    <w:rsid w:val="00C5010A"/>
    <w:rsid w:val="00C50283"/>
    <w:rsid w:val="00C5029F"/>
    <w:rsid w:val="00C512E5"/>
    <w:rsid w:val="00C5149D"/>
    <w:rsid w:val="00C51C8D"/>
    <w:rsid w:val="00C521E5"/>
    <w:rsid w:val="00C524BD"/>
    <w:rsid w:val="00C526EF"/>
    <w:rsid w:val="00C52A88"/>
    <w:rsid w:val="00C531EE"/>
    <w:rsid w:val="00C540A3"/>
    <w:rsid w:val="00C540AE"/>
    <w:rsid w:val="00C54113"/>
    <w:rsid w:val="00C5426D"/>
    <w:rsid w:val="00C5431A"/>
    <w:rsid w:val="00C5452A"/>
    <w:rsid w:val="00C54793"/>
    <w:rsid w:val="00C54DDE"/>
    <w:rsid w:val="00C55EBB"/>
    <w:rsid w:val="00C56017"/>
    <w:rsid w:val="00C56718"/>
    <w:rsid w:val="00C56820"/>
    <w:rsid w:val="00C56988"/>
    <w:rsid w:val="00C575D7"/>
    <w:rsid w:val="00C5765F"/>
    <w:rsid w:val="00C57A39"/>
    <w:rsid w:val="00C57C86"/>
    <w:rsid w:val="00C605FE"/>
    <w:rsid w:val="00C60908"/>
    <w:rsid w:val="00C60BD2"/>
    <w:rsid w:val="00C61273"/>
    <w:rsid w:val="00C61834"/>
    <w:rsid w:val="00C61997"/>
    <w:rsid w:val="00C61D29"/>
    <w:rsid w:val="00C62B7A"/>
    <w:rsid w:val="00C62F2F"/>
    <w:rsid w:val="00C654F5"/>
    <w:rsid w:val="00C657A2"/>
    <w:rsid w:val="00C6581C"/>
    <w:rsid w:val="00C6584E"/>
    <w:rsid w:val="00C65C6E"/>
    <w:rsid w:val="00C666C7"/>
    <w:rsid w:val="00C669D1"/>
    <w:rsid w:val="00C66A27"/>
    <w:rsid w:val="00C66DC1"/>
    <w:rsid w:val="00C6712C"/>
    <w:rsid w:val="00C672B2"/>
    <w:rsid w:val="00C67310"/>
    <w:rsid w:val="00C67366"/>
    <w:rsid w:val="00C6749D"/>
    <w:rsid w:val="00C678A0"/>
    <w:rsid w:val="00C678AB"/>
    <w:rsid w:val="00C67D7D"/>
    <w:rsid w:val="00C70463"/>
    <w:rsid w:val="00C70E72"/>
    <w:rsid w:val="00C72392"/>
    <w:rsid w:val="00C72E00"/>
    <w:rsid w:val="00C73131"/>
    <w:rsid w:val="00C734D6"/>
    <w:rsid w:val="00C73B97"/>
    <w:rsid w:val="00C74056"/>
    <w:rsid w:val="00C7421D"/>
    <w:rsid w:val="00C743BF"/>
    <w:rsid w:val="00C74652"/>
    <w:rsid w:val="00C74C69"/>
    <w:rsid w:val="00C75071"/>
    <w:rsid w:val="00C75542"/>
    <w:rsid w:val="00C75BDF"/>
    <w:rsid w:val="00C76568"/>
    <w:rsid w:val="00C7695C"/>
    <w:rsid w:val="00C76AAE"/>
    <w:rsid w:val="00C77061"/>
    <w:rsid w:val="00C77763"/>
    <w:rsid w:val="00C77AF5"/>
    <w:rsid w:val="00C77D54"/>
    <w:rsid w:val="00C77E47"/>
    <w:rsid w:val="00C805C3"/>
    <w:rsid w:val="00C806B7"/>
    <w:rsid w:val="00C80917"/>
    <w:rsid w:val="00C80919"/>
    <w:rsid w:val="00C809C5"/>
    <w:rsid w:val="00C80CD0"/>
    <w:rsid w:val="00C810E6"/>
    <w:rsid w:val="00C81AE0"/>
    <w:rsid w:val="00C82188"/>
    <w:rsid w:val="00C82316"/>
    <w:rsid w:val="00C824C6"/>
    <w:rsid w:val="00C825AA"/>
    <w:rsid w:val="00C827F7"/>
    <w:rsid w:val="00C828E4"/>
    <w:rsid w:val="00C83311"/>
    <w:rsid w:val="00C8349F"/>
    <w:rsid w:val="00C8403B"/>
    <w:rsid w:val="00C84527"/>
    <w:rsid w:val="00C84E2B"/>
    <w:rsid w:val="00C85113"/>
    <w:rsid w:val="00C85162"/>
    <w:rsid w:val="00C857FF"/>
    <w:rsid w:val="00C85B96"/>
    <w:rsid w:val="00C85D8F"/>
    <w:rsid w:val="00C87473"/>
    <w:rsid w:val="00C8750B"/>
    <w:rsid w:val="00C90977"/>
    <w:rsid w:val="00C90A50"/>
    <w:rsid w:val="00C911D1"/>
    <w:rsid w:val="00C9123F"/>
    <w:rsid w:val="00C9180F"/>
    <w:rsid w:val="00C91864"/>
    <w:rsid w:val="00C91BD3"/>
    <w:rsid w:val="00C921DA"/>
    <w:rsid w:val="00C922CE"/>
    <w:rsid w:val="00C92758"/>
    <w:rsid w:val="00C92A98"/>
    <w:rsid w:val="00C93B39"/>
    <w:rsid w:val="00C93F52"/>
    <w:rsid w:val="00C94275"/>
    <w:rsid w:val="00C944CD"/>
    <w:rsid w:val="00C948B2"/>
    <w:rsid w:val="00C94A38"/>
    <w:rsid w:val="00C94DCC"/>
    <w:rsid w:val="00C95113"/>
    <w:rsid w:val="00C95342"/>
    <w:rsid w:val="00C958A0"/>
    <w:rsid w:val="00C959F7"/>
    <w:rsid w:val="00C95C03"/>
    <w:rsid w:val="00C96DEC"/>
    <w:rsid w:val="00C96DF3"/>
    <w:rsid w:val="00C96FA1"/>
    <w:rsid w:val="00C970E6"/>
    <w:rsid w:val="00C9741A"/>
    <w:rsid w:val="00CA054C"/>
    <w:rsid w:val="00CA08AB"/>
    <w:rsid w:val="00CA0908"/>
    <w:rsid w:val="00CA0CFB"/>
    <w:rsid w:val="00CA1164"/>
    <w:rsid w:val="00CA1FDF"/>
    <w:rsid w:val="00CA25DB"/>
    <w:rsid w:val="00CA2968"/>
    <w:rsid w:val="00CA3669"/>
    <w:rsid w:val="00CA38D3"/>
    <w:rsid w:val="00CA3CF9"/>
    <w:rsid w:val="00CA3DBF"/>
    <w:rsid w:val="00CA485E"/>
    <w:rsid w:val="00CA48D1"/>
    <w:rsid w:val="00CA5CF7"/>
    <w:rsid w:val="00CA5F69"/>
    <w:rsid w:val="00CA61C8"/>
    <w:rsid w:val="00CA62DB"/>
    <w:rsid w:val="00CA632E"/>
    <w:rsid w:val="00CA660C"/>
    <w:rsid w:val="00CA6A7C"/>
    <w:rsid w:val="00CA6E60"/>
    <w:rsid w:val="00CA71B4"/>
    <w:rsid w:val="00CA7527"/>
    <w:rsid w:val="00CA75F0"/>
    <w:rsid w:val="00CB0811"/>
    <w:rsid w:val="00CB0F47"/>
    <w:rsid w:val="00CB0F84"/>
    <w:rsid w:val="00CB1392"/>
    <w:rsid w:val="00CB1BA4"/>
    <w:rsid w:val="00CB1FE5"/>
    <w:rsid w:val="00CB203F"/>
    <w:rsid w:val="00CB25B8"/>
    <w:rsid w:val="00CB3102"/>
    <w:rsid w:val="00CB3719"/>
    <w:rsid w:val="00CB3F49"/>
    <w:rsid w:val="00CB40AA"/>
    <w:rsid w:val="00CB4143"/>
    <w:rsid w:val="00CB46AE"/>
    <w:rsid w:val="00CB48FC"/>
    <w:rsid w:val="00CB4995"/>
    <w:rsid w:val="00CB5332"/>
    <w:rsid w:val="00CB57CF"/>
    <w:rsid w:val="00CB5D63"/>
    <w:rsid w:val="00CB5DD2"/>
    <w:rsid w:val="00CB60B0"/>
    <w:rsid w:val="00CB67A2"/>
    <w:rsid w:val="00CB6CFF"/>
    <w:rsid w:val="00CB71C2"/>
    <w:rsid w:val="00CB77C0"/>
    <w:rsid w:val="00CB7831"/>
    <w:rsid w:val="00CB79D7"/>
    <w:rsid w:val="00CB7F49"/>
    <w:rsid w:val="00CC00A1"/>
    <w:rsid w:val="00CC0AE0"/>
    <w:rsid w:val="00CC0DF5"/>
    <w:rsid w:val="00CC0E56"/>
    <w:rsid w:val="00CC1604"/>
    <w:rsid w:val="00CC19AC"/>
    <w:rsid w:val="00CC1E4C"/>
    <w:rsid w:val="00CC1E63"/>
    <w:rsid w:val="00CC1F07"/>
    <w:rsid w:val="00CC22B6"/>
    <w:rsid w:val="00CC237B"/>
    <w:rsid w:val="00CC24F0"/>
    <w:rsid w:val="00CC2587"/>
    <w:rsid w:val="00CC2B0F"/>
    <w:rsid w:val="00CC2B44"/>
    <w:rsid w:val="00CC2E8F"/>
    <w:rsid w:val="00CC2F3A"/>
    <w:rsid w:val="00CC2F93"/>
    <w:rsid w:val="00CC30E1"/>
    <w:rsid w:val="00CC3317"/>
    <w:rsid w:val="00CC3DB1"/>
    <w:rsid w:val="00CC3EBA"/>
    <w:rsid w:val="00CC4522"/>
    <w:rsid w:val="00CC4611"/>
    <w:rsid w:val="00CC470F"/>
    <w:rsid w:val="00CC4EAF"/>
    <w:rsid w:val="00CC511E"/>
    <w:rsid w:val="00CC5846"/>
    <w:rsid w:val="00CC5BA6"/>
    <w:rsid w:val="00CC697F"/>
    <w:rsid w:val="00CC6D6D"/>
    <w:rsid w:val="00CC71F0"/>
    <w:rsid w:val="00CC7467"/>
    <w:rsid w:val="00CC78CD"/>
    <w:rsid w:val="00CC7B45"/>
    <w:rsid w:val="00CC7D67"/>
    <w:rsid w:val="00CD06C7"/>
    <w:rsid w:val="00CD076C"/>
    <w:rsid w:val="00CD0B71"/>
    <w:rsid w:val="00CD2175"/>
    <w:rsid w:val="00CD2DED"/>
    <w:rsid w:val="00CD3064"/>
    <w:rsid w:val="00CD32FC"/>
    <w:rsid w:val="00CD3B3F"/>
    <w:rsid w:val="00CD50C2"/>
    <w:rsid w:val="00CD5826"/>
    <w:rsid w:val="00CD5A5B"/>
    <w:rsid w:val="00CD5BC4"/>
    <w:rsid w:val="00CD6227"/>
    <w:rsid w:val="00CD6714"/>
    <w:rsid w:val="00CD67E0"/>
    <w:rsid w:val="00CD6E0E"/>
    <w:rsid w:val="00CD72BC"/>
    <w:rsid w:val="00CD7613"/>
    <w:rsid w:val="00CD7B2F"/>
    <w:rsid w:val="00CD7E61"/>
    <w:rsid w:val="00CE0229"/>
    <w:rsid w:val="00CE0813"/>
    <w:rsid w:val="00CE0DC4"/>
    <w:rsid w:val="00CE0FF4"/>
    <w:rsid w:val="00CE125F"/>
    <w:rsid w:val="00CE17AB"/>
    <w:rsid w:val="00CE1D25"/>
    <w:rsid w:val="00CE1F75"/>
    <w:rsid w:val="00CE2658"/>
    <w:rsid w:val="00CE2823"/>
    <w:rsid w:val="00CE2834"/>
    <w:rsid w:val="00CE28A8"/>
    <w:rsid w:val="00CE2CCC"/>
    <w:rsid w:val="00CE386C"/>
    <w:rsid w:val="00CE3B45"/>
    <w:rsid w:val="00CE3E93"/>
    <w:rsid w:val="00CE3F92"/>
    <w:rsid w:val="00CE4027"/>
    <w:rsid w:val="00CE4054"/>
    <w:rsid w:val="00CE4086"/>
    <w:rsid w:val="00CE49B5"/>
    <w:rsid w:val="00CE4BAA"/>
    <w:rsid w:val="00CE4E8B"/>
    <w:rsid w:val="00CE5016"/>
    <w:rsid w:val="00CE52A1"/>
    <w:rsid w:val="00CE5D67"/>
    <w:rsid w:val="00CE6307"/>
    <w:rsid w:val="00CE68B0"/>
    <w:rsid w:val="00CE6C15"/>
    <w:rsid w:val="00CE6CE3"/>
    <w:rsid w:val="00CE6DA7"/>
    <w:rsid w:val="00CE758F"/>
    <w:rsid w:val="00CE77B6"/>
    <w:rsid w:val="00CE788E"/>
    <w:rsid w:val="00CE7AF8"/>
    <w:rsid w:val="00CF0409"/>
    <w:rsid w:val="00CF05BB"/>
    <w:rsid w:val="00CF063F"/>
    <w:rsid w:val="00CF068F"/>
    <w:rsid w:val="00CF0C17"/>
    <w:rsid w:val="00CF0F77"/>
    <w:rsid w:val="00CF1B5A"/>
    <w:rsid w:val="00CF1F6A"/>
    <w:rsid w:val="00CF277B"/>
    <w:rsid w:val="00CF2813"/>
    <w:rsid w:val="00CF2F9E"/>
    <w:rsid w:val="00CF352D"/>
    <w:rsid w:val="00CF3540"/>
    <w:rsid w:val="00CF3D63"/>
    <w:rsid w:val="00CF427F"/>
    <w:rsid w:val="00CF4912"/>
    <w:rsid w:val="00CF4B41"/>
    <w:rsid w:val="00CF4BDC"/>
    <w:rsid w:val="00CF4C89"/>
    <w:rsid w:val="00CF4DB0"/>
    <w:rsid w:val="00CF585F"/>
    <w:rsid w:val="00CF5C7E"/>
    <w:rsid w:val="00CF5C9F"/>
    <w:rsid w:val="00CF6BF4"/>
    <w:rsid w:val="00CF6D75"/>
    <w:rsid w:val="00CF6DC7"/>
    <w:rsid w:val="00CF6F46"/>
    <w:rsid w:val="00CF7012"/>
    <w:rsid w:val="00CF7215"/>
    <w:rsid w:val="00CF72FF"/>
    <w:rsid w:val="00CF76E1"/>
    <w:rsid w:val="00CF7815"/>
    <w:rsid w:val="00CF797E"/>
    <w:rsid w:val="00CF7F5F"/>
    <w:rsid w:val="00D00186"/>
    <w:rsid w:val="00D0085B"/>
    <w:rsid w:val="00D00A33"/>
    <w:rsid w:val="00D00C67"/>
    <w:rsid w:val="00D012BD"/>
    <w:rsid w:val="00D01529"/>
    <w:rsid w:val="00D015E6"/>
    <w:rsid w:val="00D0231E"/>
    <w:rsid w:val="00D024EA"/>
    <w:rsid w:val="00D02863"/>
    <w:rsid w:val="00D02D07"/>
    <w:rsid w:val="00D03607"/>
    <w:rsid w:val="00D0372F"/>
    <w:rsid w:val="00D03D01"/>
    <w:rsid w:val="00D0434C"/>
    <w:rsid w:val="00D04490"/>
    <w:rsid w:val="00D04539"/>
    <w:rsid w:val="00D04A91"/>
    <w:rsid w:val="00D05100"/>
    <w:rsid w:val="00D051A3"/>
    <w:rsid w:val="00D054F1"/>
    <w:rsid w:val="00D05543"/>
    <w:rsid w:val="00D05D89"/>
    <w:rsid w:val="00D062A5"/>
    <w:rsid w:val="00D063E4"/>
    <w:rsid w:val="00D0670E"/>
    <w:rsid w:val="00D06885"/>
    <w:rsid w:val="00D06C34"/>
    <w:rsid w:val="00D06C81"/>
    <w:rsid w:val="00D06F5C"/>
    <w:rsid w:val="00D07EC9"/>
    <w:rsid w:val="00D104BF"/>
    <w:rsid w:val="00D1069F"/>
    <w:rsid w:val="00D106A6"/>
    <w:rsid w:val="00D1075F"/>
    <w:rsid w:val="00D107CD"/>
    <w:rsid w:val="00D10A71"/>
    <w:rsid w:val="00D10C58"/>
    <w:rsid w:val="00D10C72"/>
    <w:rsid w:val="00D11608"/>
    <w:rsid w:val="00D11A32"/>
    <w:rsid w:val="00D11D12"/>
    <w:rsid w:val="00D11DC3"/>
    <w:rsid w:val="00D11FAA"/>
    <w:rsid w:val="00D11FF7"/>
    <w:rsid w:val="00D1202C"/>
    <w:rsid w:val="00D12163"/>
    <w:rsid w:val="00D12683"/>
    <w:rsid w:val="00D129DE"/>
    <w:rsid w:val="00D12A84"/>
    <w:rsid w:val="00D12DFE"/>
    <w:rsid w:val="00D13439"/>
    <w:rsid w:val="00D13AEB"/>
    <w:rsid w:val="00D1425B"/>
    <w:rsid w:val="00D14BF3"/>
    <w:rsid w:val="00D15715"/>
    <w:rsid w:val="00D15A3F"/>
    <w:rsid w:val="00D15B3B"/>
    <w:rsid w:val="00D15BCF"/>
    <w:rsid w:val="00D15CBA"/>
    <w:rsid w:val="00D16021"/>
    <w:rsid w:val="00D1603D"/>
    <w:rsid w:val="00D160FF"/>
    <w:rsid w:val="00D1618A"/>
    <w:rsid w:val="00D16634"/>
    <w:rsid w:val="00D16D53"/>
    <w:rsid w:val="00D16E16"/>
    <w:rsid w:val="00D16E62"/>
    <w:rsid w:val="00D171E0"/>
    <w:rsid w:val="00D17444"/>
    <w:rsid w:val="00D20296"/>
    <w:rsid w:val="00D203D5"/>
    <w:rsid w:val="00D2112F"/>
    <w:rsid w:val="00D2148A"/>
    <w:rsid w:val="00D21E68"/>
    <w:rsid w:val="00D21EE8"/>
    <w:rsid w:val="00D221CE"/>
    <w:rsid w:val="00D222B8"/>
    <w:rsid w:val="00D2316F"/>
    <w:rsid w:val="00D232D3"/>
    <w:rsid w:val="00D232F3"/>
    <w:rsid w:val="00D23472"/>
    <w:rsid w:val="00D2347B"/>
    <w:rsid w:val="00D2378E"/>
    <w:rsid w:val="00D23EB9"/>
    <w:rsid w:val="00D24521"/>
    <w:rsid w:val="00D24570"/>
    <w:rsid w:val="00D2494D"/>
    <w:rsid w:val="00D24ABB"/>
    <w:rsid w:val="00D2536E"/>
    <w:rsid w:val="00D2564F"/>
    <w:rsid w:val="00D25663"/>
    <w:rsid w:val="00D25B2A"/>
    <w:rsid w:val="00D25B88"/>
    <w:rsid w:val="00D26116"/>
    <w:rsid w:val="00D2629A"/>
    <w:rsid w:val="00D264ED"/>
    <w:rsid w:val="00D26592"/>
    <w:rsid w:val="00D26A99"/>
    <w:rsid w:val="00D26E1C"/>
    <w:rsid w:val="00D26EDC"/>
    <w:rsid w:val="00D27751"/>
    <w:rsid w:val="00D3048B"/>
    <w:rsid w:val="00D30CF9"/>
    <w:rsid w:val="00D30D2C"/>
    <w:rsid w:val="00D3118A"/>
    <w:rsid w:val="00D313DB"/>
    <w:rsid w:val="00D31680"/>
    <w:rsid w:val="00D31782"/>
    <w:rsid w:val="00D31EFC"/>
    <w:rsid w:val="00D3218D"/>
    <w:rsid w:val="00D32882"/>
    <w:rsid w:val="00D32FFD"/>
    <w:rsid w:val="00D330D8"/>
    <w:rsid w:val="00D33373"/>
    <w:rsid w:val="00D3368F"/>
    <w:rsid w:val="00D33E9B"/>
    <w:rsid w:val="00D347FA"/>
    <w:rsid w:val="00D348C4"/>
    <w:rsid w:val="00D34AFA"/>
    <w:rsid w:val="00D34FF4"/>
    <w:rsid w:val="00D3519D"/>
    <w:rsid w:val="00D3594C"/>
    <w:rsid w:val="00D35B39"/>
    <w:rsid w:val="00D35E2A"/>
    <w:rsid w:val="00D363E0"/>
    <w:rsid w:val="00D3669A"/>
    <w:rsid w:val="00D369E6"/>
    <w:rsid w:val="00D36FB3"/>
    <w:rsid w:val="00D3719F"/>
    <w:rsid w:val="00D373F6"/>
    <w:rsid w:val="00D37C45"/>
    <w:rsid w:val="00D4023C"/>
    <w:rsid w:val="00D40301"/>
    <w:rsid w:val="00D40415"/>
    <w:rsid w:val="00D405AC"/>
    <w:rsid w:val="00D4080A"/>
    <w:rsid w:val="00D4086A"/>
    <w:rsid w:val="00D409DA"/>
    <w:rsid w:val="00D40F1A"/>
    <w:rsid w:val="00D41342"/>
    <w:rsid w:val="00D41770"/>
    <w:rsid w:val="00D41C85"/>
    <w:rsid w:val="00D420EE"/>
    <w:rsid w:val="00D425F5"/>
    <w:rsid w:val="00D4280A"/>
    <w:rsid w:val="00D428B4"/>
    <w:rsid w:val="00D42999"/>
    <w:rsid w:val="00D42AB0"/>
    <w:rsid w:val="00D4305D"/>
    <w:rsid w:val="00D433BC"/>
    <w:rsid w:val="00D433D5"/>
    <w:rsid w:val="00D43667"/>
    <w:rsid w:val="00D4379A"/>
    <w:rsid w:val="00D43A5C"/>
    <w:rsid w:val="00D43F65"/>
    <w:rsid w:val="00D440DE"/>
    <w:rsid w:val="00D44B66"/>
    <w:rsid w:val="00D44C11"/>
    <w:rsid w:val="00D44F53"/>
    <w:rsid w:val="00D44F90"/>
    <w:rsid w:val="00D4501D"/>
    <w:rsid w:val="00D4594B"/>
    <w:rsid w:val="00D45A8E"/>
    <w:rsid w:val="00D46083"/>
    <w:rsid w:val="00D466AC"/>
    <w:rsid w:val="00D46D06"/>
    <w:rsid w:val="00D4760E"/>
    <w:rsid w:val="00D47B15"/>
    <w:rsid w:val="00D47C20"/>
    <w:rsid w:val="00D5049B"/>
    <w:rsid w:val="00D50D54"/>
    <w:rsid w:val="00D50FE3"/>
    <w:rsid w:val="00D50FED"/>
    <w:rsid w:val="00D51865"/>
    <w:rsid w:val="00D51A39"/>
    <w:rsid w:val="00D51AD1"/>
    <w:rsid w:val="00D52B9D"/>
    <w:rsid w:val="00D52CC4"/>
    <w:rsid w:val="00D52FE2"/>
    <w:rsid w:val="00D5313D"/>
    <w:rsid w:val="00D53723"/>
    <w:rsid w:val="00D53BD4"/>
    <w:rsid w:val="00D53E34"/>
    <w:rsid w:val="00D53F64"/>
    <w:rsid w:val="00D54181"/>
    <w:rsid w:val="00D54ACC"/>
    <w:rsid w:val="00D54D30"/>
    <w:rsid w:val="00D5611E"/>
    <w:rsid w:val="00D5645F"/>
    <w:rsid w:val="00D5649C"/>
    <w:rsid w:val="00D5656B"/>
    <w:rsid w:val="00D56883"/>
    <w:rsid w:val="00D56BF2"/>
    <w:rsid w:val="00D56F82"/>
    <w:rsid w:val="00D56F98"/>
    <w:rsid w:val="00D5710D"/>
    <w:rsid w:val="00D57239"/>
    <w:rsid w:val="00D57312"/>
    <w:rsid w:val="00D57E31"/>
    <w:rsid w:val="00D6031B"/>
    <w:rsid w:val="00D60364"/>
    <w:rsid w:val="00D613FD"/>
    <w:rsid w:val="00D6159B"/>
    <w:rsid w:val="00D6205A"/>
    <w:rsid w:val="00D625D0"/>
    <w:rsid w:val="00D62628"/>
    <w:rsid w:val="00D62A58"/>
    <w:rsid w:val="00D62BCE"/>
    <w:rsid w:val="00D62C03"/>
    <w:rsid w:val="00D63060"/>
    <w:rsid w:val="00D632D5"/>
    <w:rsid w:val="00D6354F"/>
    <w:rsid w:val="00D64084"/>
    <w:rsid w:val="00D64171"/>
    <w:rsid w:val="00D641C7"/>
    <w:rsid w:val="00D642A1"/>
    <w:rsid w:val="00D64444"/>
    <w:rsid w:val="00D649DB"/>
    <w:rsid w:val="00D64AD1"/>
    <w:rsid w:val="00D64B1C"/>
    <w:rsid w:val="00D658CE"/>
    <w:rsid w:val="00D66359"/>
    <w:rsid w:val="00D665F1"/>
    <w:rsid w:val="00D6740A"/>
    <w:rsid w:val="00D67A79"/>
    <w:rsid w:val="00D70519"/>
    <w:rsid w:val="00D70B1B"/>
    <w:rsid w:val="00D70F2D"/>
    <w:rsid w:val="00D71091"/>
    <w:rsid w:val="00D710FF"/>
    <w:rsid w:val="00D71688"/>
    <w:rsid w:val="00D71701"/>
    <w:rsid w:val="00D71790"/>
    <w:rsid w:val="00D72BD8"/>
    <w:rsid w:val="00D72E77"/>
    <w:rsid w:val="00D732E5"/>
    <w:rsid w:val="00D734D3"/>
    <w:rsid w:val="00D73723"/>
    <w:rsid w:val="00D7386B"/>
    <w:rsid w:val="00D74150"/>
    <w:rsid w:val="00D74363"/>
    <w:rsid w:val="00D744F5"/>
    <w:rsid w:val="00D74B1C"/>
    <w:rsid w:val="00D750AB"/>
    <w:rsid w:val="00D75BEC"/>
    <w:rsid w:val="00D76F3D"/>
    <w:rsid w:val="00D77021"/>
    <w:rsid w:val="00D770DD"/>
    <w:rsid w:val="00D7718B"/>
    <w:rsid w:val="00D77660"/>
    <w:rsid w:val="00D7779E"/>
    <w:rsid w:val="00D77908"/>
    <w:rsid w:val="00D77B04"/>
    <w:rsid w:val="00D77F02"/>
    <w:rsid w:val="00D77F93"/>
    <w:rsid w:val="00D800C1"/>
    <w:rsid w:val="00D80164"/>
    <w:rsid w:val="00D80299"/>
    <w:rsid w:val="00D805C4"/>
    <w:rsid w:val="00D80EFF"/>
    <w:rsid w:val="00D81218"/>
    <w:rsid w:val="00D81488"/>
    <w:rsid w:val="00D816B1"/>
    <w:rsid w:val="00D816EA"/>
    <w:rsid w:val="00D817CF"/>
    <w:rsid w:val="00D81A90"/>
    <w:rsid w:val="00D81E34"/>
    <w:rsid w:val="00D823DB"/>
    <w:rsid w:val="00D82F47"/>
    <w:rsid w:val="00D831A9"/>
    <w:rsid w:val="00D832CE"/>
    <w:rsid w:val="00D83548"/>
    <w:rsid w:val="00D83888"/>
    <w:rsid w:val="00D83DD4"/>
    <w:rsid w:val="00D83F8E"/>
    <w:rsid w:val="00D84592"/>
    <w:rsid w:val="00D84A77"/>
    <w:rsid w:val="00D84DAE"/>
    <w:rsid w:val="00D8516D"/>
    <w:rsid w:val="00D8534D"/>
    <w:rsid w:val="00D8544F"/>
    <w:rsid w:val="00D85521"/>
    <w:rsid w:val="00D861B1"/>
    <w:rsid w:val="00D86473"/>
    <w:rsid w:val="00D86576"/>
    <w:rsid w:val="00D868AF"/>
    <w:rsid w:val="00D86B26"/>
    <w:rsid w:val="00D86B85"/>
    <w:rsid w:val="00D86FFA"/>
    <w:rsid w:val="00D870DF"/>
    <w:rsid w:val="00D8729A"/>
    <w:rsid w:val="00D873DB"/>
    <w:rsid w:val="00D87881"/>
    <w:rsid w:val="00D902D9"/>
    <w:rsid w:val="00D906C2"/>
    <w:rsid w:val="00D9084D"/>
    <w:rsid w:val="00D90861"/>
    <w:rsid w:val="00D919F9"/>
    <w:rsid w:val="00D91B57"/>
    <w:rsid w:val="00D91F41"/>
    <w:rsid w:val="00D9281C"/>
    <w:rsid w:val="00D92A91"/>
    <w:rsid w:val="00D92D82"/>
    <w:rsid w:val="00D92EED"/>
    <w:rsid w:val="00D92F67"/>
    <w:rsid w:val="00D93126"/>
    <w:rsid w:val="00D9362B"/>
    <w:rsid w:val="00D9364E"/>
    <w:rsid w:val="00D93C2C"/>
    <w:rsid w:val="00D93FB0"/>
    <w:rsid w:val="00D95053"/>
    <w:rsid w:val="00D950EC"/>
    <w:rsid w:val="00D9515D"/>
    <w:rsid w:val="00D95388"/>
    <w:rsid w:val="00D955AA"/>
    <w:rsid w:val="00D95732"/>
    <w:rsid w:val="00D96351"/>
    <w:rsid w:val="00D9657B"/>
    <w:rsid w:val="00D96737"/>
    <w:rsid w:val="00D96B78"/>
    <w:rsid w:val="00D97B33"/>
    <w:rsid w:val="00D97DB8"/>
    <w:rsid w:val="00D97DEB"/>
    <w:rsid w:val="00D97EEC"/>
    <w:rsid w:val="00DA0199"/>
    <w:rsid w:val="00DA027B"/>
    <w:rsid w:val="00DA0384"/>
    <w:rsid w:val="00DA0388"/>
    <w:rsid w:val="00DA0423"/>
    <w:rsid w:val="00DA0745"/>
    <w:rsid w:val="00DA0E15"/>
    <w:rsid w:val="00DA1574"/>
    <w:rsid w:val="00DA1764"/>
    <w:rsid w:val="00DA1D0F"/>
    <w:rsid w:val="00DA2192"/>
    <w:rsid w:val="00DA21E9"/>
    <w:rsid w:val="00DA22A9"/>
    <w:rsid w:val="00DA3CE6"/>
    <w:rsid w:val="00DA4401"/>
    <w:rsid w:val="00DA4E92"/>
    <w:rsid w:val="00DA5478"/>
    <w:rsid w:val="00DA5511"/>
    <w:rsid w:val="00DA58CB"/>
    <w:rsid w:val="00DA592E"/>
    <w:rsid w:val="00DA62BA"/>
    <w:rsid w:val="00DA67C1"/>
    <w:rsid w:val="00DA6AB0"/>
    <w:rsid w:val="00DA6B83"/>
    <w:rsid w:val="00DA6D0A"/>
    <w:rsid w:val="00DA7865"/>
    <w:rsid w:val="00DA79DC"/>
    <w:rsid w:val="00DA7F11"/>
    <w:rsid w:val="00DA7F58"/>
    <w:rsid w:val="00DB011C"/>
    <w:rsid w:val="00DB04EE"/>
    <w:rsid w:val="00DB0BA8"/>
    <w:rsid w:val="00DB110B"/>
    <w:rsid w:val="00DB18BF"/>
    <w:rsid w:val="00DB18F2"/>
    <w:rsid w:val="00DB1E58"/>
    <w:rsid w:val="00DB20F4"/>
    <w:rsid w:val="00DB2426"/>
    <w:rsid w:val="00DB2FB2"/>
    <w:rsid w:val="00DB33EE"/>
    <w:rsid w:val="00DB33FA"/>
    <w:rsid w:val="00DB34F6"/>
    <w:rsid w:val="00DB3A58"/>
    <w:rsid w:val="00DB4095"/>
    <w:rsid w:val="00DB4323"/>
    <w:rsid w:val="00DB4421"/>
    <w:rsid w:val="00DB46EB"/>
    <w:rsid w:val="00DB49FD"/>
    <w:rsid w:val="00DB4DAD"/>
    <w:rsid w:val="00DB5088"/>
    <w:rsid w:val="00DB5217"/>
    <w:rsid w:val="00DB5EAF"/>
    <w:rsid w:val="00DB6215"/>
    <w:rsid w:val="00DB680E"/>
    <w:rsid w:val="00DB6ABD"/>
    <w:rsid w:val="00DB6C6E"/>
    <w:rsid w:val="00DB6E26"/>
    <w:rsid w:val="00DB712C"/>
    <w:rsid w:val="00DB7867"/>
    <w:rsid w:val="00DB790E"/>
    <w:rsid w:val="00DC00DC"/>
    <w:rsid w:val="00DC1080"/>
    <w:rsid w:val="00DC115F"/>
    <w:rsid w:val="00DC1B6F"/>
    <w:rsid w:val="00DC1D3A"/>
    <w:rsid w:val="00DC1D65"/>
    <w:rsid w:val="00DC1D6B"/>
    <w:rsid w:val="00DC2911"/>
    <w:rsid w:val="00DC2C4A"/>
    <w:rsid w:val="00DC2D8C"/>
    <w:rsid w:val="00DC331B"/>
    <w:rsid w:val="00DC333E"/>
    <w:rsid w:val="00DC34F3"/>
    <w:rsid w:val="00DC3668"/>
    <w:rsid w:val="00DC3BC0"/>
    <w:rsid w:val="00DC3EAB"/>
    <w:rsid w:val="00DC3F80"/>
    <w:rsid w:val="00DC4F6D"/>
    <w:rsid w:val="00DC51BB"/>
    <w:rsid w:val="00DC59C2"/>
    <w:rsid w:val="00DC621B"/>
    <w:rsid w:val="00DC6328"/>
    <w:rsid w:val="00DC6BC4"/>
    <w:rsid w:val="00DC6C71"/>
    <w:rsid w:val="00DC6D90"/>
    <w:rsid w:val="00DC6F7F"/>
    <w:rsid w:val="00DC7021"/>
    <w:rsid w:val="00DC705B"/>
    <w:rsid w:val="00DC717A"/>
    <w:rsid w:val="00DC76EC"/>
    <w:rsid w:val="00DC7720"/>
    <w:rsid w:val="00DC7A53"/>
    <w:rsid w:val="00DC7F95"/>
    <w:rsid w:val="00DD0304"/>
    <w:rsid w:val="00DD0AC6"/>
    <w:rsid w:val="00DD0B82"/>
    <w:rsid w:val="00DD0CF4"/>
    <w:rsid w:val="00DD0D0C"/>
    <w:rsid w:val="00DD0E95"/>
    <w:rsid w:val="00DD0F5C"/>
    <w:rsid w:val="00DD0FF9"/>
    <w:rsid w:val="00DD120B"/>
    <w:rsid w:val="00DD1264"/>
    <w:rsid w:val="00DD1472"/>
    <w:rsid w:val="00DD1679"/>
    <w:rsid w:val="00DD18E8"/>
    <w:rsid w:val="00DD1D19"/>
    <w:rsid w:val="00DD1DED"/>
    <w:rsid w:val="00DD230B"/>
    <w:rsid w:val="00DD24A2"/>
    <w:rsid w:val="00DD2816"/>
    <w:rsid w:val="00DD2961"/>
    <w:rsid w:val="00DD3BFA"/>
    <w:rsid w:val="00DD4172"/>
    <w:rsid w:val="00DD452A"/>
    <w:rsid w:val="00DD455F"/>
    <w:rsid w:val="00DD4614"/>
    <w:rsid w:val="00DD4EF9"/>
    <w:rsid w:val="00DD4F92"/>
    <w:rsid w:val="00DD501A"/>
    <w:rsid w:val="00DD5310"/>
    <w:rsid w:val="00DD546B"/>
    <w:rsid w:val="00DD7147"/>
    <w:rsid w:val="00DD774F"/>
    <w:rsid w:val="00DD7C0C"/>
    <w:rsid w:val="00DE0435"/>
    <w:rsid w:val="00DE0730"/>
    <w:rsid w:val="00DE0832"/>
    <w:rsid w:val="00DE0A2A"/>
    <w:rsid w:val="00DE1097"/>
    <w:rsid w:val="00DE2043"/>
    <w:rsid w:val="00DE245E"/>
    <w:rsid w:val="00DE2894"/>
    <w:rsid w:val="00DE2896"/>
    <w:rsid w:val="00DE2BBC"/>
    <w:rsid w:val="00DE2D2E"/>
    <w:rsid w:val="00DE3002"/>
    <w:rsid w:val="00DE3196"/>
    <w:rsid w:val="00DE3436"/>
    <w:rsid w:val="00DE43AC"/>
    <w:rsid w:val="00DE4931"/>
    <w:rsid w:val="00DE49A7"/>
    <w:rsid w:val="00DE500D"/>
    <w:rsid w:val="00DE52C6"/>
    <w:rsid w:val="00DE5A85"/>
    <w:rsid w:val="00DE5B3F"/>
    <w:rsid w:val="00DE5BC6"/>
    <w:rsid w:val="00DE61B5"/>
    <w:rsid w:val="00DE6989"/>
    <w:rsid w:val="00DE69A5"/>
    <w:rsid w:val="00DE7093"/>
    <w:rsid w:val="00DE7454"/>
    <w:rsid w:val="00DE74C4"/>
    <w:rsid w:val="00DE7935"/>
    <w:rsid w:val="00DE7C4A"/>
    <w:rsid w:val="00DE7E0B"/>
    <w:rsid w:val="00DE7E68"/>
    <w:rsid w:val="00DE7F3A"/>
    <w:rsid w:val="00DF008B"/>
    <w:rsid w:val="00DF0295"/>
    <w:rsid w:val="00DF0654"/>
    <w:rsid w:val="00DF0EF1"/>
    <w:rsid w:val="00DF11B0"/>
    <w:rsid w:val="00DF11EA"/>
    <w:rsid w:val="00DF188D"/>
    <w:rsid w:val="00DF1D66"/>
    <w:rsid w:val="00DF1F65"/>
    <w:rsid w:val="00DF244C"/>
    <w:rsid w:val="00DF282F"/>
    <w:rsid w:val="00DF2877"/>
    <w:rsid w:val="00DF2AD0"/>
    <w:rsid w:val="00DF2F72"/>
    <w:rsid w:val="00DF3167"/>
    <w:rsid w:val="00DF3587"/>
    <w:rsid w:val="00DF4816"/>
    <w:rsid w:val="00DF4B52"/>
    <w:rsid w:val="00DF5042"/>
    <w:rsid w:val="00DF5065"/>
    <w:rsid w:val="00DF51C8"/>
    <w:rsid w:val="00DF54B1"/>
    <w:rsid w:val="00DF56B5"/>
    <w:rsid w:val="00DF5CD1"/>
    <w:rsid w:val="00DF5E75"/>
    <w:rsid w:val="00DF5F07"/>
    <w:rsid w:val="00DF61DC"/>
    <w:rsid w:val="00DF628B"/>
    <w:rsid w:val="00DF6679"/>
    <w:rsid w:val="00DF6AD2"/>
    <w:rsid w:val="00DF6C46"/>
    <w:rsid w:val="00DF6DD7"/>
    <w:rsid w:val="00DF6E9F"/>
    <w:rsid w:val="00DF712C"/>
    <w:rsid w:val="00DF757D"/>
    <w:rsid w:val="00DF7702"/>
    <w:rsid w:val="00DF79D1"/>
    <w:rsid w:val="00DF7FD2"/>
    <w:rsid w:val="00E005FC"/>
    <w:rsid w:val="00E00676"/>
    <w:rsid w:val="00E00847"/>
    <w:rsid w:val="00E00ABB"/>
    <w:rsid w:val="00E00B08"/>
    <w:rsid w:val="00E010EA"/>
    <w:rsid w:val="00E01854"/>
    <w:rsid w:val="00E01903"/>
    <w:rsid w:val="00E01DEA"/>
    <w:rsid w:val="00E02011"/>
    <w:rsid w:val="00E0228F"/>
    <w:rsid w:val="00E0235C"/>
    <w:rsid w:val="00E0256F"/>
    <w:rsid w:val="00E030F4"/>
    <w:rsid w:val="00E04484"/>
    <w:rsid w:val="00E049E5"/>
    <w:rsid w:val="00E04FC8"/>
    <w:rsid w:val="00E0539C"/>
    <w:rsid w:val="00E0551B"/>
    <w:rsid w:val="00E05576"/>
    <w:rsid w:val="00E05DCB"/>
    <w:rsid w:val="00E061BC"/>
    <w:rsid w:val="00E063DD"/>
    <w:rsid w:val="00E067FB"/>
    <w:rsid w:val="00E07550"/>
    <w:rsid w:val="00E07A12"/>
    <w:rsid w:val="00E07E70"/>
    <w:rsid w:val="00E10B3C"/>
    <w:rsid w:val="00E110F2"/>
    <w:rsid w:val="00E11171"/>
    <w:rsid w:val="00E11689"/>
    <w:rsid w:val="00E11F71"/>
    <w:rsid w:val="00E126E8"/>
    <w:rsid w:val="00E129C9"/>
    <w:rsid w:val="00E12C04"/>
    <w:rsid w:val="00E13BA7"/>
    <w:rsid w:val="00E146A1"/>
    <w:rsid w:val="00E147DD"/>
    <w:rsid w:val="00E14DAE"/>
    <w:rsid w:val="00E15349"/>
    <w:rsid w:val="00E154B5"/>
    <w:rsid w:val="00E15BBE"/>
    <w:rsid w:val="00E167A3"/>
    <w:rsid w:val="00E16925"/>
    <w:rsid w:val="00E172AA"/>
    <w:rsid w:val="00E174FC"/>
    <w:rsid w:val="00E17824"/>
    <w:rsid w:val="00E17F58"/>
    <w:rsid w:val="00E2015F"/>
    <w:rsid w:val="00E20172"/>
    <w:rsid w:val="00E201ED"/>
    <w:rsid w:val="00E20789"/>
    <w:rsid w:val="00E20AAB"/>
    <w:rsid w:val="00E20D0D"/>
    <w:rsid w:val="00E20DFB"/>
    <w:rsid w:val="00E21173"/>
    <w:rsid w:val="00E212F4"/>
    <w:rsid w:val="00E2147C"/>
    <w:rsid w:val="00E21490"/>
    <w:rsid w:val="00E21816"/>
    <w:rsid w:val="00E21B40"/>
    <w:rsid w:val="00E21E33"/>
    <w:rsid w:val="00E220E5"/>
    <w:rsid w:val="00E2214E"/>
    <w:rsid w:val="00E22627"/>
    <w:rsid w:val="00E22DF0"/>
    <w:rsid w:val="00E232FE"/>
    <w:rsid w:val="00E237C9"/>
    <w:rsid w:val="00E23CFB"/>
    <w:rsid w:val="00E23E57"/>
    <w:rsid w:val="00E2417A"/>
    <w:rsid w:val="00E2458F"/>
    <w:rsid w:val="00E24DAB"/>
    <w:rsid w:val="00E253F0"/>
    <w:rsid w:val="00E25508"/>
    <w:rsid w:val="00E25CC9"/>
    <w:rsid w:val="00E264DA"/>
    <w:rsid w:val="00E26662"/>
    <w:rsid w:val="00E268DE"/>
    <w:rsid w:val="00E2692E"/>
    <w:rsid w:val="00E27191"/>
    <w:rsid w:val="00E27223"/>
    <w:rsid w:val="00E27474"/>
    <w:rsid w:val="00E276F1"/>
    <w:rsid w:val="00E27BAB"/>
    <w:rsid w:val="00E27BAD"/>
    <w:rsid w:val="00E27E07"/>
    <w:rsid w:val="00E300CD"/>
    <w:rsid w:val="00E3023B"/>
    <w:rsid w:val="00E31354"/>
    <w:rsid w:val="00E314D8"/>
    <w:rsid w:val="00E31D40"/>
    <w:rsid w:val="00E31D52"/>
    <w:rsid w:val="00E32143"/>
    <w:rsid w:val="00E32684"/>
    <w:rsid w:val="00E328D1"/>
    <w:rsid w:val="00E32D61"/>
    <w:rsid w:val="00E32E0A"/>
    <w:rsid w:val="00E331D3"/>
    <w:rsid w:val="00E332CB"/>
    <w:rsid w:val="00E33355"/>
    <w:rsid w:val="00E333B0"/>
    <w:rsid w:val="00E33714"/>
    <w:rsid w:val="00E33738"/>
    <w:rsid w:val="00E33AF9"/>
    <w:rsid w:val="00E34A3F"/>
    <w:rsid w:val="00E34B50"/>
    <w:rsid w:val="00E3534B"/>
    <w:rsid w:val="00E354A4"/>
    <w:rsid w:val="00E35529"/>
    <w:rsid w:val="00E3559B"/>
    <w:rsid w:val="00E3622D"/>
    <w:rsid w:val="00E36545"/>
    <w:rsid w:val="00E37271"/>
    <w:rsid w:val="00E3727D"/>
    <w:rsid w:val="00E3746D"/>
    <w:rsid w:val="00E37A12"/>
    <w:rsid w:val="00E37E00"/>
    <w:rsid w:val="00E406E9"/>
    <w:rsid w:val="00E40A5D"/>
    <w:rsid w:val="00E426B8"/>
    <w:rsid w:val="00E42D1E"/>
    <w:rsid w:val="00E43A8D"/>
    <w:rsid w:val="00E43EAE"/>
    <w:rsid w:val="00E442D2"/>
    <w:rsid w:val="00E45046"/>
    <w:rsid w:val="00E450F5"/>
    <w:rsid w:val="00E46197"/>
    <w:rsid w:val="00E462B0"/>
    <w:rsid w:val="00E4676E"/>
    <w:rsid w:val="00E46E3D"/>
    <w:rsid w:val="00E4706B"/>
    <w:rsid w:val="00E47829"/>
    <w:rsid w:val="00E47946"/>
    <w:rsid w:val="00E502B9"/>
    <w:rsid w:val="00E502F4"/>
    <w:rsid w:val="00E50477"/>
    <w:rsid w:val="00E507C2"/>
    <w:rsid w:val="00E508B4"/>
    <w:rsid w:val="00E50A99"/>
    <w:rsid w:val="00E50DC4"/>
    <w:rsid w:val="00E50E7A"/>
    <w:rsid w:val="00E510B7"/>
    <w:rsid w:val="00E51371"/>
    <w:rsid w:val="00E51779"/>
    <w:rsid w:val="00E51B20"/>
    <w:rsid w:val="00E521C1"/>
    <w:rsid w:val="00E522B1"/>
    <w:rsid w:val="00E52357"/>
    <w:rsid w:val="00E52D84"/>
    <w:rsid w:val="00E52E25"/>
    <w:rsid w:val="00E52F03"/>
    <w:rsid w:val="00E5369D"/>
    <w:rsid w:val="00E538C0"/>
    <w:rsid w:val="00E53D76"/>
    <w:rsid w:val="00E53FA9"/>
    <w:rsid w:val="00E54B17"/>
    <w:rsid w:val="00E55658"/>
    <w:rsid w:val="00E557BE"/>
    <w:rsid w:val="00E558E4"/>
    <w:rsid w:val="00E5604F"/>
    <w:rsid w:val="00E5615D"/>
    <w:rsid w:val="00E563B1"/>
    <w:rsid w:val="00E56464"/>
    <w:rsid w:val="00E56C39"/>
    <w:rsid w:val="00E56DF8"/>
    <w:rsid w:val="00E56E45"/>
    <w:rsid w:val="00E571AD"/>
    <w:rsid w:val="00E5744A"/>
    <w:rsid w:val="00E5761C"/>
    <w:rsid w:val="00E5784A"/>
    <w:rsid w:val="00E57EA7"/>
    <w:rsid w:val="00E6013A"/>
    <w:rsid w:val="00E6033A"/>
    <w:rsid w:val="00E6044D"/>
    <w:rsid w:val="00E6095F"/>
    <w:rsid w:val="00E60AB7"/>
    <w:rsid w:val="00E6194A"/>
    <w:rsid w:val="00E61A66"/>
    <w:rsid w:val="00E61EB7"/>
    <w:rsid w:val="00E62106"/>
    <w:rsid w:val="00E6218B"/>
    <w:rsid w:val="00E626B5"/>
    <w:rsid w:val="00E6325E"/>
    <w:rsid w:val="00E63682"/>
    <w:rsid w:val="00E639CE"/>
    <w:rsid w:val="00E63A41"/>
    <w:rsid w:val="00E63DAB"/>
    <w:rsid w:val="00E63F9F"/>
    <w:rsid w:val="00E645D4"/>
    <w:rsid w:val="00E64F18"/>
    <w:rsid w:val="00E65472"/>
    <w:rsid w:val="00E65762"/>
    <w:rsid w:val="00E6598E"/>
    <w:rsid w:val="00E65D7E"/>
    <w:rsid w:val="00E67138"/>
    <w:rsid w:val="00E67335"/>
    <w:rsid w:val="00E673E3"/>
    <w:rsid w:val="00E676F8"/>
    <w:rsid w:val="00E67E7E"/>
    <w:rsid w:val="00E7008F"/>
    <w:rsid w:val="00E706E6"/>
    <w:rsid w:val="00E7072A"/>
    <w:rsid w:val="00E7082B"/>
    <w:rsid w:val="00E70A2F"/>
    <w:rsid w:val="00E70C6E"/>
    <w:rsid w:val="00E710BA"/>
    <w:rsid w:val="00E71C51"/>
    <w:rsid w:val="00E71F3F"/>
    <w:rsid w:val="00E722E1"/>
    <w:rsid w:val="00E725EA"/>
    <w:rsid w:val="00E72810"/>
    <w:rsid w:val="00E72D0B"/>
    <w:rsid w:val="00E73006"/>
    <w:rsid w:val="00E73477"/>
    <w:rsid w:val="00E73ED9"/>
    <w:rsid w:val="00E73F55"/>
    <w:rsid w:val="00E74CAC"/>
    <w:rsid w:val="00E74D7E"/>
    <w:rsid w:val="00E74DC9"/>
    <w:rsid w:val="00E750B3"/>
    <w:rsid w:val="00E750E5"/>
    <w:rsid w:val="00E7543E"/>
    <w:rsid w:val="00E767F2"/>
    <w:rsid w:val="00E76D2E"/>
    <w:rsid w:val="00E77334"/>
    <w:rsid w:val="00E7736D"/>
    <w:rsid w:val="00E776C5"/>
    <w:rsid w:val="00E77C22"/>
    <w:rsid w:val="00E8014C"/>
    <w:rsid w:val="00E8078F"/>
    <w:rsid w:val="00E80A83"/>
    <w:rsid w:val="00E81D9F"/>
    <w:rsid w:val="00E81FAC"/>
    <w:rsid w:val="00E81FD8"/>
    <w:rsid w:val="00E82611"/>
    <w:rsid w:val="00E82616"/>
    <w:rsid w:val="00E8270A"/>
    <w:rsid w:val="00E82871"/>
    <w:rsid w:val="00E82895"/>
    <w:rsid w:val="00E82A59"/>
    <w:rsid w:val="00E82A86"/>
    <w:rsid w:val="00E82F07"/>
    <w:rsid w:val="00E833E3"/>
    <w:rsid w:val="00E83629"/>
    <w:rsid w:val="00E83AC3"/>
    <w:rsid w:val="00E83F4C"/>
    <w:rsid w:val="00E84139"/>
    <w:rsid w:val="00E84504"/>
    <w:rsid w:val="00E84558"/>
    <w:rsid w:val="00E8462C"/>
    <w:rsid w:val="00E85359"/>
    <w:rsid w:val="00E85CF7"/>
    <w:rsid w:val="00E862CA"/>
    <w:rsid w:val="00E866A5"/>
    <w:rsid w:val="00E8698D"/>
    <w:rsid w:val="00E8706A"/>
    <w:rsid w:val="00E87406"/>
    <w:rsid w:val="00E8757C"/>
    <w:rsid w:val="00E8764A"/>
    <w:rsid w:val="00E876C0"/>
    <w:rsid w:val="00E909CF"/>
    <w:rsid w:val="00E9129C"/>
    <w:rsid w:val="00E9136A"/>
    <w:rsid w:val="00E91557"/>
    <w:rsid w:val="00E91585"/>
    <w:rsid w:val="00E915D6"/>
    <w:rsid w:val="00E917D0"/>
    <w:rsid w:val="00E920D4"/>
    <w:rsid w:val="00E925F8"/>
    <w:rsid w:val="00E927DD"/>
    <w:rsid w:val="00E92A8B"/>
    <w:rsid w:val="00E93016"/>
    <w:rsid w:val="00E9306B"/>
    <w:rsid w:val="00E931A5"/>
    <w:rsid w:val="00E9520E"/>
    <w:rsid w:val="00E95464"/>
    <w:rsid w:val="00E95CDE"/>
    <w:rsid w:val="00E95E92"/>
    <w:rsid w:val="00E95EC4"/>
    <w:rsid w:val="00E96481"/>
    <w:rsid w:val="00E9660D"/>
    <w:rsid w:val="00E96723"/>
    <w:rsid w:val="00E96F82"/>
    <w:rsid w:val="00E9700A"/>
    <w:rsid w:val="00E970C5"/>
    <w:rsid w:val="00E97541"/>
    <w:rsid w:val="00E97683"/>
    <w:rsid w:val="00E97CA0"/>
    <w:rsid w:val="00EA01B7"/>
    <w:rsid w:val="00EA0AFB"/>
    <w:rsid w:val="00EA103F"/>
    <w:rsid w:val="00EA154B"/>
    <w:rsid w:val="00EA259A"/>
    <w:rsid w:val="00EA2A0D"/>
    <w:rsid w:val="00EA2B79"/>
    <w:rsid w:val="00EA33CF"/>
    <w:rsid w:val="00EA340F"/>
    <w:rsid w:val="00EA4247"/>
    <w:rsid w:val="00EA4583"/>
    <w:rsid w:val="00EA45BA"/>
    <w:rsid w:val="00EA4A06"/>
    <w:rsid w:val="00EA4A63"/>
    <w:rsid w:val="00EA4D28"/>
    <w:rsid w:val="00EA5407"/>
    <w:rsid w:val="00EA5436"/>
    <w:rsid w:val="00EA55BD"/>
    <w:rsid w:val="00EA57F6"/>
    <w:rsid w:val="00EA580E"/>
    <w:rsid w:val="00EA5E46"/>
    <w:rsid w:val="00EA6352"/>
    <w:rsid w:val="00EA6B32"/>
    <w:rsid w:val="00EA6D21"/>
    <w:rsid w:val="00EA706A"/>
    <w:rsid w:val="00EA7276"/>
    <w:rsid w:val="00EA7396"/>
    <w:rsid w:val="00EA761C"/>
    <w:rsid w:val="00EA7819"/>
    <w:rsid w:val="00EA796B"/>
    <w:rsid w:val="00EA79E5"/>
    <w:rsid w:val="00EB0732"/>
    <w:rsid w:val="00EB0EC8"/>
    <w:rsid w:val="00EB1197"/>
    <w:rsid w:val="00EB1335"/>
    <w:rsid w:val="00EB148F"/>
    <w:rsid w:val="00EB18C8"/>
    <w:rsid w:val="00EB2041"/>
    <w:rsid w:val="00EB2CF2"/>
    <w:rsid w:val="00EB2F0E"/>
    <w:rsid w:val="00EB3572"/>
    <w:rsid w:val="00EB3B91"/>
    <w:rsid w:val="00EB49DF"/>
    <w:rsid w:val="00EB56A2"/>
    <w:rsid w:val="00EB5986"/>
    <w:rsid w:val="00EB5B30"/>
    <w:rsid w:val="00EB5D46"/>
    <w:rsid w:val="00EB5FE5"/>
    <w:rsid w:val="00EB608A"/>
    <w:rsid w:val="00EB66BB"/>
    <w:rsid w:val="00EB6A76"/>
    <w:rsid w:val="00EB6F1E"/>
    <w:rsid w:val="00EB6FFC"/>
    <w:rsid w:val="00EB72E1"/>
    <w:rsid w:val="00EB741D"/>
    <w:rsid w:val="00EB784B"/>
    <w:rsid w:val="00EB7D82"/>
    <w:rsid w:val="00EC005A"/>
    <w:rsid w:val="00EC01F8"/>
    <w:rsid w:val="00EC0847"/>
    <w:rsid w:val="00EC0B10"/>
    <w:rsid w:val="00EC0C5F"/>
    <w:rsid w:val="00EC121A"/>
    <w:rsid w:val="00EC19F3"/>
    <w:rsid w:val="00EC232E"/>
    <w:rsid w:val="00EC271E"/>
    <w:rsid w:val="00EC32BD"/>
    <w:rsid w:val="00EC3B51"/>
    <w:rsid w:val="00EC3E7C"/>
    <w:rsid w:val="00EC432A"/>
    <w:rsid w:val="00EC43BB"/>
    <w:rsid w:val="00EC44C8"/>
    <w:rsid w:val="00EC4BA1"/>
    <w:rsid w:val="00EC4BA8"/>
    <w:rsid w:val="00EC4FC2"/>
    <w:rsid w:val="00EC6893"/>
    <w:rsid w:val="00EC6A2E"/>
    <w:rsid w:val="00EC6B8A"/>
    <w:rsid w:val="00EC6F68"/>
    <w:rsid w:val="00EC7EA2"/>
    <w:rsid w:val="00EC7FD6"/>
    <w:rsid w:val="00ED0091"/>
    <w:rsid w:val="00ED0778"/>
    <w:rsid w:val="00ED07D4"/>
    <w:rsid w:val="00ED0ABB"/>
    <w:rsid w:val="00ED16FC"/>
    <w:rsid w:val="00ED192E"/>
    <w:rsid w:val="00ED1C36"/>
    <w:rsid w:val="00ED27EC"/>
    <w:rsid w:val="00ED28AE"/>
    <w:rsid w:val="00ED2A2B"/>
    <w:rsid w:val="00ED2ADD"/>
    <w:rsid w:val="00ED3467"/>
    <w:rsid w:val="00ED3764"/>
    <w:rsid w:val="00ED3769"/>
    <w:rsid w:val="00ED3ECB"/>
    <w:rsid w:val="00ED4185"/>
    <w:rsid w:val="00ED4578"/>
    <w:rsid w:val="00ED46D7"/>
    <w:rsid w:val="00ED4C1C"/>
    <w:rsid w:val="00ED4E99"/>
    <w:rsid w:val="00ED58CD"/>
    <w:rsid w:val="00ED5BE4"/>
    <w:rsid w:val="00ED5C99"/>
    <w:rsid w:val="00ED5D60"/>
    <w:rsid w:val="00ED5FDA"/>
    <w:rsid w:val="00ED6010"/>
    <w:rsid w:val="00ED62A9"/>
    <w:rsid w:val="00ED6862"/>
    <w:rsid w:val="00ED7674"/>
    <w:rsid w:val="00ED7812"/>
    <w:rsid w:val="00ED795C"/>
    <w:rsid w:val="00ED7C64"/>
    <w:rsid w:val="00EE074C"/>
    <w:rsid w:val="00EE11D9"/>
    <w:rsid w:val="00EE15ED"/>
    <w:rsid w:val="00EE1A6F"/>
    <w:rsid w:val="00EE2180"/>
    <w:rsid w:val="00EE2317"/>
    <w:rsid w:val="00EE2555"/>
    <w:rsid w:val="00EE29B8"/>
    <w:rsid w:val="00EE34A8"/>
    <w:rsid w:val="00EE34ED"/>
    <w:rsid w:val="00EE3570"/>
    <w:rsid w:val="00EE3B8F"/>
    <w:rsid w:val="00EE3EF0"/>
    <w:rsid w:val="00EE4989"/>
    <w:rsid w:val="00EE50A8"/>
    <w:rsid w:val="00EE5308"/>
    <w:rsid w:val="00EE5539"/>
    <w:rsid w:val="00EE5673"/>
    <w:rsid w:val="00EE5B29"/>
    <w:rsid w:val="00EE5E7B"/>
    <w:rsid w:val="00EE68FF"/>
    <w:rsid w:val="00EE69FE"/>
    <w:rsid w:val="00EE6D85"/>
    <w:rsid w:val="00EE722E"/>
    <w:rsid w:val="00EE72EA"/>
    <w:rsid w:val="00EE7824"/>
    <w:rsid w:val="00EE78A1"/>
    <w:rsid w:val="00EE7D19"/>
    <w:rsid w:val="00EF06D9"/>
    <w:rsid w:val="00EF0971"/>
    <w:rsid w:val="00EF0D97"/>
    <w:rsid w:val="00EF0FA2"/>
    <w:rsid w:val="00EF2366"/>
    <w:rsid w:val="00EF23BA"/>
    <w:rsid w:val="00EF2D79"/>
    <w:rsid w:val="00EF2F74"/>
    <w:rsid w:val="00EF3297"/>
    <w:rsid w:val="00EF34E3"/>
    <w:rsid w:val="00EF3543"/>
    <w:rsid w:val="00EF35AD"/>
    <w:rsid w:val="00EF3BE3"/>
    <w:rsid w:val="00EF435A"/>
    <w:rsid w:val="00EF44E5"/>
    <w:rsid w:val="00EF453D"/>
    <w:rsid w:val="00EF462D"/>
    <w:rsid w:val="00EF4681"/>
    <w:rsid w:val="00EF4857"/>
    <w:rsid w:val="00EF4D48"/>
    <w:rsid w:val="00EF5057"/>
    <w:rsid w:val="00EF54A8"/>
    <w:rsid w:val="00EF5628"/>
    <w:rsid w:val="00EF5779"/>
    <w:rsid w:val="00EF5BAB"/>
    <w:rsid w:val="00EF5E2D"/>
    <w:rsid w:val="00EF675E"/>
    <w:rsid w:val="00EF6BFD"/>
    <w:rsid w:val="00EF72D2"/>
    <w:rsid w:val="00EF7463"/>
    <w:rsid w:val="00EF7A11"/>
    <w:rsid w:val="00EF7C46"/>
    <w:rsid w:val="00F00269"/>
    <w:rsid w:val="00F0043D"/>
    <w:rsid w:val="00F005DF"/>
    <w:rsid w:val="00F00B20"/>
    <w:rsid w:val="00F00DE3"/>
    <w:rsid w:val="00F013A6"/>
    <w:rsid w:val="00F01673"/>
    <w:rsid w:val="00F01710"/>
    <w:rsid w:val="00F01B3B"/>
    <w:rsid w:val="00F02076"/>
    <w:rsid w:val="00F0241A"/>
    <w:rsid w:val="00F02BBF"/>
    <w:rsid w:val="00F02CE0"/>
    <w:rsid w:val="00F02ED6"/>
    <w:rsid w:val="00F03086"/>
    <w:rsid w:val="00F03858"/>
    <w:rsid w:val="00F03B7B"/>
    <w:rsid w:val="00F03C46"/>
    <w:rsid w:val="00F03E95"/>
    <w:rsid w:val="00F04750"/>
    <w:rsid w:val="00F04EFC"/>
    <w:rsid w:val="00F05B01"/>
    <w:rsid w:val="00F061D6"/>
    <w:rsid w:val="00F06636"/>
    <w:rsid w:val="00F0739E"/>
    <w:rsid w:val="00F075B7"/>
    <w:rsid w:val="00F07AB2"/>
    <w:rsid w:val="00F07D39"/>
    <w:rsid w:val="00F10080"/>
    <w:rsid w:val="00F10F7A"/>
    <w:rsid w:val="00F11D64"/>
    <w:rsid w:val="00F11D66"/>
    <w:rsid w:val="00F12FFF"/>
    <w:rsid w:val="00F1301B"/>
    <w:rsid w:val="00F1312D"/>
    <w:rsid w:val="00F13810"/>
    <w:rsid w:val="00F138F7"/>
    <w:rsid w:val="00F13D18"/>
    <w:rsid w:val="00F13F8D"/>
    <w:rsid w:val="00F13FAC"/>
    <w:rsid w:val="00F1437D"/>
    <w:rsid w:val="00F145CF"/>
    <w:rsid w:val="00F1465E"/>
    <w:rsid w:val="00F14B5F"/>
    <w:rsid w:val="00F14F6E"/>
    <w:rsid w:val="00F1569F"/>
    <w:rsid w:val="00F1588A"/>
    <w:rsid w:val="00F15E73"/>
    <w:rsid w:val="00F1632C"/>
    <w:rsid w:val="00F1648D"/>
    <w:rsid w:val="00F16AC4"/>
    <w:rsid w:val="00F16AD0"/>
    <w:rsid w:val="00F16E98"/>
    <w:rsid w:val="00F17B13"/>
    <w:rsid w:val="00F17EA3"/>
    <w:rsid w:val="00F20181"/>
    <w:rsid w:val="00F203A2"/>
    <w:rsid w:val="00F20467"/>
    <w:rsid w:val="00F2068F"/>
    <w:rsid w:val="00F20B78"/>
    <w:rsid w:val="00F21070"/>
    <w:rsid w:val="00F211F7"/>
    <w:rsid w:val="00F21285"/>
    <w:rsid w:val="00F21338"/>
    <w:rsid w:val="00F213AD"/>
    <w:rsid w:val="00F214BB"/>
    <w:rsid w:val="00F214DB"/>
    <w:rsid w:val="00F2152D"/>
    <w:rsid w:val="00F21E5C"/>
    <w:rsid w:val="00F228F0"/>
    <w:rsid w:val="00F23042"/>
    <w:rsid w:val="00F231F7"/>
    <w:rsid w:val="00F234C8"/>
    <w:rsid w:val="00F23D44"/>
    <w:rsid w:val="00F23E74"/>
    <w:rsid w:val="00F248C8"/>
    <w:rsid w:val="00F249D0"/>
    <w:rsid w:val="00F24E65"/>
    <w:rsid w:val="00F257AB"/>
    <w:rsid w:val="00F26872"/>
    <w:rsid w:val="00F26AF2"/>
    <w:rsid w:val="00F26FC6"/>
    <w:rsid w:val="00F273DE"/>
    <w:rsid w:val="00F2753C"/>
    <w:rsid w:val="00F2763D"/>
    <w:rsid w:val="00F27C69"/>
    <w:rsid w:val="00F30397"/>
    <w:rsid w:val="00F3079C"/>
    <w:rsid w:val="00F30E8E"/>
    <w:rsid w:val="00F310F2"/>
    <w:rsid w:val="00F31120"/>
    <w:rsid w:val="00F31369"/>
    <w:rsid w:val="00F3166F"/>
    <w:rsid w:val="00F31BBF"/>
    <w:rsid w:val="00F320B9"/>
    <w:rsid w:val="00F320BF"/>
    <w:rsid w:val="00F3218F"/>
    <w:rsid w:val="00F32F60"/>
    <w:rsid w:val="00F3312F"/>
    <w:rsid w:val="00F332B9"/>
    <w:rsid w:val="00F33835"/>
    <w:rsid w:val="00F33AEE"/>
    <w:rsid w:val="00F33E6D"/>
    <w:rsid w:val="00F33F4C"/>
    <w:rsid w:val="00F34086"/>
    <w:rsid w:val="00F34E59"/>
    <w:rsid w:val="00F35479"/>
    <w:rsid w:val="00F358AC"/>
    <w:rsid w:val="00F35951"/>
    <w:rsid w:val="00F35AEA"/>
    <w:rsid w:val="00F35BA2"/>
    <w:rsid w:val="00F35D12"/>
    <w:rsid w:val="00F35DEE"/>
    <w:rsid w:val="00F366F8"/>
    <w:rsid w:val="00F36740"/>
    <w:rsid w:val="00F36B2F"/>
    <w:rsid w:val="00F37371"/>
    <w:rsid w:val="00F375C9"/>
    <w:rsid w:val="00F37669"/>
    <w:rsid w:val="00F37939"/>
    <w:rsid w:val="00F379EA"/>
    <w:rsid w:val="00F37E9C"/>
    <w:rsid w:val="00F401A7"/>
    <w:rsid w:val="00F418B2"/>
    <w:rsid w:val="00F41B35"/>
    <w:rsid w:val="00F420B5"/>
    <w:rsid w:val="00F4212E"/>
    <w:rsid w:val="00F4220E"/>
    <w:rsid w:val="00F4264F"/>
    <w:rsid w:val="00F42889"/>
    <w:rsid w:val="00F42898"/>
    <w:rsid w:val="00F42C49"/>
    <w:rsid w:val="00F43AC3"/>
    <w:rsid w:val="00F43BD0"/>
    <w:rsid w:val="00F4430B"/>
    <w:rsid w:val="00F44470"/>
    <w:rsid w:val="00F44D9D"/>
    <w:rsid w:val="00F44FAF"/>
    <w:rsid w:val="00F453B0"/>
    <w:rsid w:val="00F45662"/>
    <w:rsid w:val="00F45CB5"/>
    <w:rsid w:val="00F45F94"/>
    <w:rsid w:val="00F46B90"/>
    <w:rsid w:val="00F46CF3"/>
    <w:rsid w:val="00F46EC7"/>
    <w:rsid w:val="00F47608"/>
    <w:rsid w:val="00F5022B"/>
    <w:rsid w:val="00F50682"/>
    <w:rsid w:val="00F506C3"/>
    <w:rsid w:val="00F51255"/>
    <w:rsid w:val="00F51823"/>
    <w:rsid w:val="00F51A13"/>
    <w:rsid w:val="00F51F3A"/>
    <w:rsid w:val="00F52245"/>
    <w:rsid w:val="00F5264B"/>
    <w:rsid w:val="00F529E7"/>
    <w:rsid w:val="00F52D87"/>
    <w:rsid w:val="00F534E3"/>
    <w:rsid w:val="00F53AA5"/>
    <w:rsid w:val="00F540D5"/>
    <w:rsid w:val="00F54276"/>
    <w:rsid w:val="00F54342"/>
    <w:rsid w:val="00F5436E"/>
    <w:rsid w:val="00F545EF"/>
    <w:rsid w:val="00F547EF"/>
    <w:rsid w:val="00F54A16"/>
    <w:rsid w:val="00F55CCD"/>
    <w:rsid w:val="00F55F13"/>
    <w:rsid w:val="00F56039"/>
    <w:rsid w:val="00F562EF"/>
    <w:rsid w:val="00F56D75"/>
    <w:rsid w:val="00F56EAE"/>
    <w:rsid w:val="00F56F6D"/>
    <w:rsid w:val="00F57642"/>
    <w:rsid w:val="00F5767A"/>
    <w:rsid w:val="00F57A3E"/>
    <w:rsid w:val="00F57F88"/>
    <w:rsid w:val="00F602E8"/>
    <w:rsid w:val="00F603F0"/>
    <w:rsid w:val="00F6059F"/>
    <w:rsid w:val="00F60BA8"/>
    <w:rsid w:val="00F60F0E"/>
    <w:rsid w:val="00F61088"/>
    <w:rsid w:val="00F61103"/>
    <w:rsid w:val="00F61541"/>
    <w:rsid w:val="00F6197D"/>
    <w:rsid w:val="00F6250E"/>
    <w:rsid w:val="00F62614"/>
    <w:rsid w:val="00F62700"/>
    <w:rsid w:val="00F629B2"/>
    <w:rsid w:val="00F62CA4"/>
    <w:rsid w:val="00F637C1"/>
    <w:rsid w:val="00F639C3"/>
    <w:rsid w:val="00F63CB1"/>
    <w:rsid w:val="00F63F9B"/>
    <w:rsid w:val="00F6409E"/>
    <w:rsid w:val="00F641FA"/>
    <w:rsid w:val="00F649C0"/>
    <w:rsid w:val="00F64DF6"/>
    <w:rsid w:val="00F64F91"/>
    <w:rsid w:val="00F64FA4"/>
    <w:rsid w:val="00F65403"/>
    <w:rsid w:val="00F657A7"/>
    <w:rsid w:val="00F65947"/>
    <w:rsid w:val="00F65C48"/>
    <w:rsid w:val="00F65C6F"/>
    <w:rsid w:val="00F65DCC"/>
    <w:rsid w:val="00F65E77"/>
    <w:rsid w:val="00F66136"/>
    <w:rsid w:val="00F663B4"/>
    <w:rsid w:val="00F66718"/>
    <w:rsid w:val="00F66A49"/>
    <w:rsid w:val="00F66C15"/>
    <w:rsid w:val="00F6712B"/>
    <w:rsid w:val="00F6747D"/>
    <w:rsid w:val="00F67F24"/>
    <w:rsid w:val="00F7090A"/>
    <w:rsid w:val="00F70A31"/>
    <w:rsid w:val="00F70BA5"/>
    <w:rsid w:val="00F71022"/>
    <w:rsid w:val="00F711F6"/>
    <w:rsid w:val="00F712F5"/>
    <w:rsid w:val="00F7178F"/>
    <w:rsid w:val="00F71B7C"/>
    <w:rsid w:val="00F71C32"/>
    <w:rsid w:val="00F71D13"/>
    <w:rsid w:val="00F724F0"/>
    <w:rsid w:val="00F72C7D"/>
    <w:rsid w:val="00F72EBA"/>
    <w:rsid w:val="00F732B3"/>
    <w:rsid w:val="00F73353"/>
    <w:rsid w:val="00F733C0"/>
    <w:rsid w:val="00F7352F"/>
    <w:rsid w:val="00F738AB"/>
    <w:rsid w:val="00F73946"/>
    <w:rsid w:val="00F74291"/>
    <w:rsid w:val="00F745F9"/>
    <w:rsid w:val="00F748BE"/>
    <w:rsid w:val="00F74925"/>
    <w:rsid w:val="00F753D7"/>
    <w:rsid w:val="00F75BC0"/>
    <w:rsid w:val="00F75C2A"/>
    <w:rsid w:val="00F75FC8"/>
    <w:rsid w:val="00F761C2"/>
    <w:rsid w:val="00F76331"/>
    <w:rsid w:val="00F767C1"/>
    <w:rsid w:val="00F768C7"/>
    <w:rsid w:val="00F76A89"/>
    <w:rsid w:val="00F76DC6"/>
    <w:rsid w:val="00F770B9"/>
    <w:rsid w:val="00F772CE"/>
    <w:rsid w:val="00F7755D"/>
    <w:rsid w:val="00F77C6A"/>
    <w:rsid w:val="00F77E81"/>
    <w:rsid w:val="00F8000F"/>
    <w:rsid w:val="00F80093"/>
    <w:rsid w:val="00F802D3"/>
    <w:rsid w:val="00F80584"/>
    <w:rsid w:val="00F80D54"/>
    <w:rsid w:val="00F8112C"/>
    <w:rsid w:val="00F816F9"/>
    <w:rsid w:val="00F817A6"/>
    <w:rsid w:val="00F8189B"/>
    <w:rsid w:val="00F81AD0"/>
    <w:rsid w:val="00F81E9F"/>
    <w:rsid w:val="00F82CBF"/>
    <w:rsid w:val="00F82D92"/>
    <w:rsid w:val="00F8319B"/>
    <w:rsid w:val="00F832B2"/>
    <w:rsid w:val="00F835DA"/>
    <w:rsid w:val="00F83794"/>
    <w:rsid w:val="00F838A8"/>
    <w:rsid w:val="00F83939"/>
    <w:rsid w:val="00F83C52"/>
    <w:rsid w:val="00F83DDC"/>
    <w:rsid w:val="00F8416E"/>
    <w:rsid w:val="00F844BA"/>
    <w:rsid w:val="00F84937"/>
    <w:rsid w:val="00F84A0F"/>
    <w:rsid w:val="00F84FC2"/>
    <w:rsid w:val="00F84FF5"/>
    <w:rsid w:val="00F852F0"/>
    <w:rsid w:val="00F856D9"/>
    <w:rsid w:val="00F85771"/>
    <w:rsid w:val="00F85FBF"/>
    <w:rsid w:val="00F8654C"/>
    <w:rsid w:val="00F86750"/>
    <w:rsid w:val="00F868B6"/>
    <w:rsid w:val="00F869B3"/>
    <w:rsid w:val="00F86F84"/>
    <w:rsid w:val="00F87085"/>
    <w:rsid w:val="00F8743E"/>
    <w:rsid w:val="00F8786E"/>
    <w:rsid w:val="00F87FC5"/>
    <w:rsid w:val="00F90484"/>
    <w:rsid w:val="00F90E0E"/>
    <w:rsid w:val="00F90F27"/>
    <w:rsid w:val="00F9106D"/>
    <w:rsid w:val="00F91642"/>
    <w:rsid w:val="00F916DD"/>
    <w:rsid w:val="00F9187A"/>
    <w:rsid w:val="00F918A9"/>
    <w:rsid w:val="00F91A59"/>
    <w:rsid w:val="00F91F33"/>
    <w:rsid w:val="00F932C9"/>
    <w:rsid w:val="00F93340"/>
    <w:rsid w:val="00F9382C"/>
    <w:rsid w:val="00F93D09"/>
    <w:rsid w:val="00F93DD7"/>
    <w:rsid w:val="00F946A8"/>
    <w:rsid w:val="00F94B87"/>
    <w:rsid w:val="00F94CAE"/>
    <w:rsid w:val="00F9524A"/>
    <w:rsid w:val="00F956C2"/>
    <w:rsid w:val="00F96125"/>
    <w:rsid w:val="00F961AD"/>
    <w:rsid w:val="00F963BA"/>
    <w:rsid w:val="00F965C8"/>
    <w:rsid w:val="00F9669B"/>
    <w:rsid w:val="00F97714"/>
    <w:rsid w:val="00F97813"/>
    <w:rsid w:val="00F97B59"/>
    <w:rsid w:val="00F97DCC"/>
    <w:rsid w:val="00F97F22"/>
    <w:rsid w:val="00FA0916"/>
    <w:rsid w:val="00FA0954"/>
    <w:rsid w:val="00FA0B02"/>
    <w:rsid w:val="00FA0B4A"/>
    <w:rsid w:val="00FA0C01"/>
    <w:rsid w:val="00FA0D88"/>
    <w:rsid w:val="00FA1421"/>
    <w:rsid w:val="00FA14A2"/>
    <w:rsid w:val="00FA1711"/>
    <w:rsid w:val="00FA1715"/>
    <w:rsid w:val="00FA20A6"/>
    <w:rsid w:val="00FA2575"/>
    <w:rsid w:val="00FA260A"/>
    <w:rsid w:val="00FA27F6"/>
    <w:rsid w:val="00FA2BC5"/>
    <w:rsid w:val="00FA2D14"/>
    <w:rsid w:val="00FA3DC0"/>
    <w:rsid w:val="00FA3F7D"/>
    <w:rsid w:val="00FA40AD"/>
    <w:rsid w:val="00FA43FD"/>
    <w:rsid w:val="00FA4625"/>
    <w:rsid w:val="00FA4B8C"/>
    <w:rsid w:val="00FA5110"/>
    <w:rsid w:val="00FA515E"/>
    <w:rsid w:val="00FA516A"/>
    <w:rsid w:val="00FA5504"/>
    <w:rsid w:val="00FA57A7"/>
    <w:rsid w:val="00FA5F94"/>
    <w:rsid w:val="00FA61A0"/>
    <w:rsid w:val="00FA630D"/>
    <w:rsid w:val="00FA630F"/>
    <w:rsid w:val="00FA65E0"/>
    <w:rsid w:val="00FA6A48"/>
    <w:rsid w:val="00FA6E56"/>
    <w:rsid w:val="00FA6F8A"/>
    <w:rsid w:val="00FA7127"/>
    <w:rsid w:val="00FA72BA"/>
    <w:rsid w:val="00FA7A5E"/>
    <w:rsid w:val="00FB00BD"/>
    <w:rsid w:val="00FB00E7"/>
    <w:rsid w:val="00FB03CB"/>
    <w:rsid w:val="00FB0639"/>
    <w:rsid w:val="00FB0A36"/>
    <w:rsid w:val="00FB0C7C"/>
    <w:rsid w:val="00FB1337"/>
    <w:rsid w:val="00FB134C"/>
    <w:rsid w:val="00FB138C"/>
    <w:rsid w:val="00FB13DF"/>
    <w:rsid w:val="00FB17DD"/>
    <w:rsid w:val="00FB1E15"/>
    <w:rsid w:val="00FB1E17"/>
    <w:rsid w:val="00FB219D"/>
    <w:rsid w:val="00FB2303"/>
    <w:rsid w:val="00FB2758"/>
    <w:rsid w:val="00FB2891"/>
    <w:rsid w:val="00FB28B2"/>
    <w:rsid w:val="00FB38EB"/>
    <w:rsid w:val="00FB3E12"/>
    <w:rsid w:val="00FB406C"/>
    <w:rsid w:val="00FB452C"/>
    <w:rsid w:val="00FB4702"/>
    <w:rsid w:val="00FB4D07"/>
    <w:rsid w:val="00FB4EAC"/>
    <w:rsid w:val="00FB4F44"/>
    <w:rsid w:val="00FB5695"/>
    <w:rsid w:val="00FB5844"/>
    <w:rsid w:val="00FB5D66"/>
    <w:rsid w:val="00FB63C4"/>
    <w:rsid w:val="00FB64A6"/>
    <w:rsid w:val="00FB6526"/>
    <w:rsid w:val="00FB67C3"/>
    <w:rsid w:val="00FB6E05"/>
    <w:rsid w:val="00FB70D9"/>
    <w:rsid w:val="00FB7363"/>
    <w:rsid w:val="00FB73C5"/>
    <w:rsid w:val="00FB740B"/>
    <w:rsid w:val="00FB74E6"/>
    <w:rsid w:val="00FB7F60"/>
    <w:rsid w:val="00FC03B8"/>
    <w:rsid w:val="00FC044F"/>
    <w:rsid w:val="00FC0AED"/>
    <w:rsid w:val="00FC0C30"/>
    <w:rsid w:val="00FC0E59"/>
    <w:rsid w:val="00FC0EA5"/>
    <w:rsid w:val="00FC0F39"/>
    <w:rsid w:val="00FC186D"/>
    <w:rsid w:val="00FC2597"/>
    <w:rsid w:val="00FC28A4"/>
    <w:rsid w:val="00FC2D51"/>
    <w:rsid w:val="00FC366D"/>
    <w:rsid w:val="00FC38FB"/>
    <w:rsid w:val="00FC3B61"/>
    <w:rsid w:val="00FC3E9A"/>
    <w:rsid w:val="00FC411F"/>
    <w:rsid w:val="00FC45BA"/>
    <w:rsid w:val="00FC4716"/>
    <w:rsid w:val="00FC52BA"/>
    <w:rsid w:val="00FC54A1"/>
    <w:rsid w:val="00FC561E"/>
    <w:rsid w:val="00FC5C1F"/>
    <w:rsid w:val="00FC6331"/>
    <w:rsid w:val="00FC647F"/>
    <w:rsid w:val="00FC64C8"/>
    <w:rsid w:val="00FC67B3"/>
    <w:rsid w:val="00FC6883"/>
    <w:rsid w:val="00FC6A5E"/>
    <w:rsid w:val="00FC6CFB"/>
    <w:rsid w:val="00FC6E13"/>
    <w:rsid w:val="00FC6F77"/>
    <w:rsid w:val="00FC7324"/>
    <w:rsid w:val="00FC76BD"/>
    <w:rsid w:val="00FC7C4D"/>
    <w:rsid w:val="00FC7D72"/>
    <w:rsid w:val="00FC7E57"/>
    <w:rsid w:val="00FC7F9B"/>
    <w:rsid w:val="00FD038D"/>
    <w:rsid w:val="00FD0665"/>
    <w:rsid w:val="00FD0823"/>
    <w:rsid w:val="00FD0B02"/>
    <w:rsid w:val="00FD0B81"/>
    <w:rsid w:val="00FD0CE9"/>
    <w:rsid w:val="00FD129C"/>
    <w:rsid w:val="00FD133E"/>
    <w:rsid w:val="00FD1639"/>
    <w:rsid w:val="00FD181A"/>
    <w:rsid w:val="00FD1C49"/>
    <w:rsid w:val="00FD1D1C"/>
    <w:rsid w:val="00FD21E0"/>
    <w:rsid w:val="00FD2463"/>
    <w:rsid w:val="00FD27F1"/>
    <w:rsid w:val="00FD2A6D"/>
    <w:rsid w:val="00FD2A8A"/>
    <w:rsid w:val="00FD2AA9"/>
    <w:rsid w:val="00FD2E1E"/>
    <w:rsid w:val="00FD3007"/>
    <w:rsid w:val="00FD3A66"/>
    <w:rsid w:val="00FD42A9"/>
    <w:rsid w:val="00FD4406"/>
    <w:rsid w:val="00FD4412"/>
    <w:rsid w:val="00FD4498"/>
    <w:rsid w:val="00FD4D5C"/>
    <w:rsid w:val="00FD556D"/>
    <w:rsid w:val="00FD56B3"/>
    <w:rsid w:val="00FD56DF"/>
    <w:rsid w:val="00FD5A47"/>
    <w:rsid w:val="00FD5AF1"/>
    <w:rsid w:val="00FD5C97"/>
    <w:rsid w:val="00FD5CF5"/>
    <w:rsid w:val="00FD60BF"/>
    <w:rsid w:val="00FD642B"/>
    <w:rsid w:val="00FD64B3"/>
    <w:rsid w:val="00FD65EF"/>
    <w:rsid w:val="00FD67BC"/>
    <w:rsid w:val="00FD6E09"/>
    <w:rsid w:val="00FD6E8D"/>
    <w:rsid w:val="00FD7B73"/>
    <w:rsid w:val="00FD7BF7"/>
    <w:rsid w:val="00FE0137"/>
    <w:rsid w:val="00FE0DA5"/>
    <w:rsid w:val="00FE0E52"/>
    <w:rsid w:val="00FE0F48"/>
    <w:rsid w:val="00FE1A76"/>
    <w:rsid w:val="00FE1E27"/>
    <w:rsid w:val="00FE21E2"/>
    <w:rsid w:val="00FE242C"/>
    <w:rsid w:val="00FE24CA"/>
    <w:rsid w:val="00FE2969"/>
    <w:rsid w:val="00FE2BBE"/>
    <w:rsid w:val="00FE2F0C"/>
    <w:rsid w:val="00FE3A0C"/>
    <w:rsid w:val="00FE3B73"/>
    <w:rsid w:val="00FE3F3C"/>
    <w:rsid w:val="00FE4C54"/>
    <w:rsid w:val="00FE4EF5"/>
    <w:rsid w:val="00FE5512"/>
    <w:rsid w:val="00FE5802"/>
    <w:rsid w:val="00FE582D"/>
    <w:rsid w:val="00FE5E1C"/>
    <w:rsid w:val="00FE5EAF"/>
    <w:rsid w:val="00FE6C64"/>
    <w:rsid w:val="00FE6CAC"/>
    <w:rsid w:val="00FE6D42"/>
    <w:rsid w:val="00FE6E13"/>
    <w:rsid w:val="00FE7174"/>
    <w:rsid w:val="00FE743C"/>
    <w:rsid w:val="00FE76C6"/>
    <w:rsid w:val="00FF00C7"/>
    <w:rsid w:val="00FF022E"/>
    <w:rsid w:val="00FF047E"/>
    <w:rsid w:val="00FF05E5"/>
    <w:rsid w:val="00FF119E"/>
    <w:rsid w:val="00FF1C13"/>
    <w:rsid w:val="00FF1CA7"/>
    <w:rsid w:val="00FF22A0"/>
    <w:rsid w:val="00FF27E3"/>
    <w:rsid w:val="00FF2C86"/>
    <w:rsid w:val="00FF2D29"/>
    <w:rsid w:val="00FF2F6C"/>
    <w:rsid w:val="00FF307D"/>
    <w:rsid w:val="00FF3133"/>
    <w:rsid w:val="00FF348E"/>
    <w:rsid w:val="00FF3572"/>
    <w:rsid w:val="00FF35D4"/>
    <w:rsid w:val="00FF36FF"/>
    <w:rsid w:val="00FF390E"/>
    <w:rsid w:val="00FF3AB0"/>
    <w:rsid w:val="00FF3B07"/>
    <w:rsid w:val="00FF3FA0"/>
    <w:rsid w:val="00FF44D8"/>
    <w:rsid w:val="00FF456C"/>
    <w:rsid w:val="00FF4648"/>
    <w:rsid w:val="00FF4674"/>
    <w:rsid w:val="00FF4752"/>
    <w:rsid w:val="00FF4B07"/>
    <w:rsid w:val="00FF5296"/>
    <w:rsid w:val="00FF5FB9"/>
    <w:rsid w:val="00FF5FF7"/>
    <w:rsid w:val="00FF6083"/>
    <w:rsid w:val="00FF692C"/>
    <w:rsid w:val="00FF6934"/>
    <w:rsid w:val="00FF6C2B"/>
    <w:rsid w:val="00FF7155"/>
    <w:rsid w:val="00FF7946"/>
    <w:rsid w:val="00FF7CDE"/>
    <w:rsid w:val="00FF7D64"/>
    <w:rsid w:val="0BEA5570"/>
    <w:rsid w:val="46CD0985"/>
    <w:rsid w:val="48183C6D"/>
    <w:rsid w:val="4BC603BB"/>
    <w:rsid w:val="515B3ED7"/>
    <w:rsid w:val="61F32C10"/>
    <w:rsid w:val="666572E3"/>
    <w:rsid w:val="7981394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color="white">
      <v:fill color="white"/>
    </o:shapedefaults>
    <o:shapelayout v:ext="edit">
      <o:idmap v:ext="edit" data="1"/>
    </o:shapelayout>
  </w:shapeDefaults>
  <w:decimalSymbol w:val="."/>
  <w:listSeparator w:val=","/>
  <w14:docId w14:val="1498DC23"/>
  <w15:docId w15:val="{071E6AE7-4BA9-4772-89F5-4A78D410A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nhideWhenUsed="1" w:qFormat="1"/>
    <w:lsdException w:name="heading 3" w:uiPriority="9" w:unhideWhenUsed="1" w:qFormat="1"/>
    <w:lsdException w:name="heading 4" w:unhideWhenUsed="1" w:qFormat="1"/>
    <w:lsdException w:name="heading 5" w:unhideWhenUsed="1"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493E"/>
    <w:pPr>
      <w:spacing w:before="40" w:after="60" w:line="312" w:lineRule="auto"/>
      <w:ind w:firstLine="567"/>
      <w:jc w:val="both"/>
    </w:pPr>
    <w:rPr>
      <w:rFonts w:ascii="GHEA Grapalat" w:hAnsi="GHEA Grapalat"/>
      <w:sz w:val="22"/>
      <w:szCs w:val="22"/>
    </w:rPr>
  </w:style>
  <w:style w:type="paragraph" w:styleId="Heading1">
    <w:name w:val="heading 1"/>
    <w:aliases w:val="(Section),Section Heading,(Text),1, 1,Chapter,head3"/>
    <w:basedOn w:val="Normal"/>
    <w:next w:val="Normal"/>
    <w:link w:val="Heading1Char"/>
    <w:uiPriority w:val="99"/>
    <w:qFormat/>
    <w:rsid w:val="0045493E"/>
    <w:pPr>
      <w:spacing w:before="240" w:after="240"/>
      <w:ind w:firstLine="0"/>
      <w:contextualSpacing/>
      <w:jc w:val="left"/>
      <w:outlineLvl w:val="0"/>
    </w:pPr>
    <w:rPr>
      <w:rFonts w:eastAsiaTheme="majorEastAsia" w:cstheme="majorBidi"/>
      <w:b/>
      <w:bCs/>
      <w:color w:val="1F497D" w:themeColor="text2"/>
      <w:sz w:val="32"/>
      <w:szCs w:val="28"/>
    </w:rPr>
  </w:style>
  <w:style w:type="paragraph" w:styleId="Heading2">
    <w:name w:val="heading 2"/>
    <w:aliases w:val="(Chapter),Paranum,Text,Body"/>
    <w:basedOn w:val="ListParagraph"/>
    <w:next w:val="Normal"/>
    <w:link w:val="Heading2Char"/>
    <w:unhideWhenUsed/>
    <w:qFormat/>
    <w:rsid w:val="0045493E"/>
    <w:pPr>
      <w:keepNext/>
      <w:keepLines/>
      <w:spacing w:after="240" w:line="288" w:lineRule="auto"/>
      <w:ind w:left="0"/>
      <w:jc w:val="left"/>
      <w:outlineLvl w:val="1"/>
    </w:pPr>
    <w:rPr>
      <w:rFonts w:eastAsiaTheme="majorEastAsia" w:cstheme="majorBidi"/>
      <w:b/>
      <w:bCs/>
      <w:caps/>
      <w:color w:val="1F497D" w:themeColor="text2"/>
      <w:sz w:val="26"/>
      <w:szCs w:val="26"/>
      <w:lang w:val="es-ES"/>
    </w:rPr>
  </w:style>
  <w:style w:type="paragraph" w:styleId="Heading3">
    <w:name w:val="heading 3"/>
    <w:aliases w:val="(Sub-Chapter),Centered,(text),Heading 3 Char Char Char Char Char Char"/>
    <w:basedOn w:val="ListParagraph"/>
    <w:next w:val="Normal"/>
    <w:link w:val="Heading3Char"/>
    <w:uiPriority w:val="9"/>
    <w:unhideWhenUsed/>
    <w:qFormat/>
    <w:rsid w:val="0045493E"/>
    <w:pPr>
      <w:keepNext/>
      <w:keepLines/>
      <w:spacing w:before="240"/>
      <w:ind w:left="0"/>
      <w:jc w:val="left"/>
      <w:outlineLvl w:val="2"/>
    </w:pPr>
    <w:rPr>
      <w:b/>
      <w:caps/>
      <w:lang w:val="hy-AM"/>
    </w:rPr>
  </w:style>
  <w:style w:type="paragraph" w:styleId="Heading4">
    <w:name w:val="heading 4"/>
    <w:aliases w:val="Centred"/>
    <w:basedOn w:val="ListParagraph"/>
    <w:next w:val="Normal"/>
    <w:link w:val="Heading4Char"/>
    <w:unhideWhenUsed/>
    <w:qFormat/>
    <w:rsid w:val="0045493E"/>
    <w:pPr>
      <w:keepNext/>
      <w:keepLines/>
      <w:ind w:left="0"/>
      <w:jc w:val="left"/>
      <w:outlineLvl w:val="3"/>
    </w:pPr>
    <w:rPr>
      <w:b/>
      <w:color w:val="0070C0"/>
      <w:lang w:val="hy-AM"/>
    </w:rPr>
  </w:style>
  <w:style w:type="paragraph" w:styleId="Heading5">
    <w:name w:val="heading 5"/>
    <w:aliases w:val="Side"/>
    <w:basedOn w:val="Normal"/>
    <w:next w:val="Normal"/>
    <w:link w:val="Heading5Char"/>
    <w:unhideWhenUsed/>
    <w:qFormat/>
    <w:rsid w:val="0045493E"/>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nhideWhenUsed/>
    <w:qFormat/>
    <w:rsid w:val="0045493E"/>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nhideWhenUsed/>
    <w:qFormat/>
    <w:rsid w:val="0045493E"/>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nhideWhenUsed/>
    <w:qFormat/>
    <w:rsid w:val="0045493E"/>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nhideWhenUsed/>
    <w:qFormat/>
    <w:rsid w:val="0045493E"/>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p1,List Paragraph4,List Paragraph41,List Paragraph5,Paragraphe de liste PBLH,PDP DOCUMENT SUBTITLE,Bullet Points,Table of contents numbered,List Paragraph in table,Liste 1,Варианты ответов,Table no. List Paragraph,List Paragraph111"/>
    <w:basedOn w:val="Normal"/>
    <w:uiPriority w:val="34"/>
    <w:qFormat/>
    <w:rsid w:val="0045493E"/>
    <w:pPr>
      <w:ind w:left="567" w:firstLine="0"/>
      <w:contextualSpacing/>
    </w:pPr>
  </w:style>
  <w:style w:type="paragraph" w:styleId="BalloonText">
    <w:name w:val="Balloon Text"/>
    <w:basedOn w:val="Normal"/>
    <w:link w:val="BalloonTextChar"/>
    <w:uiPriority w:val="99"/>
    <w:rsid w:val="0045493E"/>
    <w:rPr>
      <w:rFonts w:ascii="Tahoma" w:hAnsi="Tahoma"/>
      <w:sz w:val="16"/>
      <w:szCs w:val="16"/>
    </w:rPr>
  </w:style>
  <w:style w:type="paragraph" w:styleId="BlockText">
    <w:name w:val="Block Text"/>
    <w:basedOn w:val="Normal"/>
    <w:qFormat/>
    <w:rsid w:val="0045493E"/>
    <w:pPr>
      <w:spacing w:line="360" w:lineRule="auto"/>
      <w:ind w:left="-709" w:right="-483"/>
    </w:pPr>
    <w:rPr>
      <w:rFonts w:ascii="Times Armenian" w:hAnsi="Times Armenian"/>
      <w:szCs w:val="20"/>
    </w:rPr>
  </w:style>
  <w:style w:type="paragraph" w:styleId="BodyText">
    <w:name w:val="Body Text"/>
    <w:aliases w:val="(Main Text),date,Body Text (Main text)"/>
    <w:basedOn w:val="Normal"/>
    <w:link w:val="BodyTextChar1"/>
    <w:qFormat/>
    <w:rsid w:val="0045493E"/>
    <w:pPr>
      <w:spacing w:after="120"/>
    </w:pPr>
  </w:style>
  <w:style w:type="paragraph" w:styleId="BodyText2">
    <w:name w:val="Body Text 2"/>
    <w:aliases w:val="1Text"/>
    <w:basedOn w:val="Normal"/>
    <w:link w:val="BodyText2Char1"/>
    <w:qFormat/>
    <w:rsid w:val="0045493E"/>
    <w:pPr>
      <w:spacing w:after="120" w:line="480" w:lineRule="auto"/>
    </w:pPr>
    <w:rPr>
      <w:sz w:val="20"/>
      <w:szCs w:val="20"/>
      <w:lang w:val="ru-RU" w:eastAsia="ru-RU"/>
    </w:rPr>
  </w:style>
  <w:style w:type="paragraph" w:styleId="BodyText3">
    <w:name w:val="Body Text 3"/>
    <w:basedOn w:val="Normal"/>
    <w:link w:val="BodyText3Char1"/>
    <w:rsid w:val="0045493E"/>
    <w:pPr>
      <w:spacing w:after="120"/>
    </w:pPr>
    <w:rPr>
      <w:sz w:val="16"/>
      <w:szCs w:val="16"/>
      <w:lang w:val="ru-RU" w:eastAsia="ru-RU"/>
    </w:rPr>
  </w:style>
  <w:style w:type="paragraph" w:styleId="BodyTextFirstIndent">
    <w:name w:val="Body Text First Indent"/>
    <w:basedOn w:val="BodyText"/>
    <w:link w:val="BodyTextFirstIndentChar2"/>
    <w:rsid w:val="0045493E"/>
    <w:pPr>
      <w:ind w:firstLine="210"/>
    </w:pPr>
    <w:rPr>
      <w:lang w:val="ru-RU" w:eastAsia="ru-RU"/>
    </w:rPr>
  </w:style>
  <w:style w:type="paragraph" w:styleId="BodyTextIndent">
    <w:name w:val="Body Text Indent"/>
    <w:aliases w:val="(Table Source), (Table Source),(Table Source) Char,(Table Source)1"/>
    <w:basedOn w:val="BodyText"/>
    <w:next w:val="Normal"/>
    <w:link w:val="BodyTextIndentChar"/>
    <w:rsid w:val="0045493E"/>
    <w:pPr>
      <w:widowControl w:val="0"/>
      <w:spacing w:before="60" w:after="60"/>
      <w:ind w:firstLine="652"/>
    </w:pPr>
    <w:rPr>
      <w:rFonts w:ascii="Arial Armenian" w:hAnsi="Arial Armenian"/>
      <w:i/>
      <w:sz w:val="16"/>
      <w:szCs w:val="20"/>
      <w:lang w:val="en-GB"/>
    </w:rPr>
  </w:style>
  <w:style w:type="paragraph" w:styleId="BodyTextIndent2">
    <w:name w:val="Body Text Indent 2"/>
    <w:basedOn w:val="Normal"/>
    <w:link w:val="BodyTextIndent2Char1"/>
    <w:rsid w:val="0045493E"/>
    <w:pPr>
      <w:widowControl w:val="0"/>
      <w:spacing w:after="120"/>
      <w:ind w:left="720" w:firstLine="720"/>
    </w:pPr>
    <w:rPr>
      <w:rFonts w:ascii="Arial Armenian" w:hAnsi="Arial Armenian"/>
      <w:sz w:val="20"/>
      <w:szCs w:val="20"/>
      <w:lang w:val="en-GB"/>
    </w:rPr>
  </w:style>
  <w:style w:type="paragraph" w:styleId="BodyTextIndent3">
    <w:name w:val="Body Text Indent 3"/>
    <w:basedOn w:val="Normal"/>
    <w:link w:val="BodyTextIndent3Char"/>
    <w:rsid w:val="0045493E"/>
    <w:rPr>
      <w:rFonts w:ascii="Arial Armenian" w:hAnsi="Arial Armenian"/>
      <w:sz w:val="20"/>
      <w:szCs w:val="20"/>
    </w:rPr>
  </w:style>
  <w:style w:type="paragraph" w:styleId="Caption">
    <w:name w:val="caption"/>
    <w:aliases w:val="(Table Title),(Table Title) Char Char Char Char Char Char Char Char Char Char, (Table Title), (Table Title) Char Char Char Char Char Char Char Char Char Char"/>
    <w:basedOn w:val="Normal"/>
    <w:next w:val="Normal"/>
    <w:uiPriority w:val="35"/>
    <w:unhideWhenUsed/>
    <w:qFormat/>
    <w:rsid w:val="0045493E"/>
    <w:rPr>
      <w:caps/>
      <w:spacing w:val="10"/>
      <w:sz w:val="18"/>
      <w:szCs w:val="18"/>
    </w:rPr>
  </w:style>
  <w:style w:type="character" w:styleId="CommentReference">
    <w:name w:val="annotation reference"/>
    <w:uiPriority w:val="99"/>
    <w:rsid w:val="0045493E"/>
    <w:rPr>
      <w:sz w:val="16"/>
    </w:rPr>
  </w:style>
  <w:style w:type="paragraph" w:styleId="CommentText">
    <w:name w:val="annotation text"/>
    <w:basedOn w:val="Normal"/>
    <w:link w:val="CommentTextChar"/>
    <w:uiPriority w:val="99"/>
    <w:rsid w:val="0045493E"/>
    <w:rPr>
      <w:rFonts w:ascii="Arial Armenian" w:hAnsi="Arial Armenian"/>
      <w:sz w:val="20"/>
      <w:szCs w:val="20"/>
      <w:lang w:val="ru-RU" w:eastAsia="ru-RU"/>
    </w:rPr>
  </w:style>
  <w:style w:type="paragraph" w:styleId="CommentSubject">
    <w:name w:val="annotation subject"/>
    <w:basedOn w:val="CommentText"/>
    <w:next w:val="CommentText"/>
    <w:link w:val="CommentSubjectChar2"/>
    <w:rsid w:val="0045493E"/>
    <w:rPr>
      <w:rFonts w:ascii="Courier New" w:hAnsi="Courier New"/>
      <w:b/>
      <w:bCs/>
      <w:lang w:val="en-US" w:eastAsia="en-US"/>
    </w:rPr>
  </w:style>
  <w:style w:type="paragraph" w:styleId="DocumentMap">
    <w:name w:val="Document Map"/>
    <w:basedOn w:val="Normal"/>
    <w:link w:val="DocumentMapChar1"/>
    <w:uiPriority w:val="99"/>
    <w:rsid w:val="0045493E"/>
    <w:pPr>
      <w:shd w:val="clear" w:color="auto" w:fill="000080"/>
      <w:overflowPunct w:val="0"/>
      <w:autoSpaceDE w:val="0"/>
      <w:autoSpaceDN w:val="0"/>
      <w:adjustRightInd w:val="0"/>
      <w:textAlignment w:val="baseline"/>
    </w:pPr>
    <w:rPr>
      <w:rFonts w:ascii="Tahoma" w:hAnsi="Tahoma"/>
      <w:szCs w:val="20"/>
      <w:lang w:val="en-GB" w:eastAsia="ru-RU"/>
    </w:rPr>
  </w:style>
  <w:style w:type="character" w:styleId="Emphasis">
    <w:name w:val="Emphasis"/>
    <w:qFormat/>
    <w:rsid w:val="0045493E"/>
    <w:rPr>
      <w:b/>
      <w:bCs/>
      <w:i/>
      <w:iCs/>
      <w:spacing w:val="10"/>
      <w:shd w:val="clear" w:color="auto" w:fill="auto"/>
    </w:rPr>
  </w:style>
  <w:style w:type="character" w:styleId="EndnoteReference">
    <w:name w:val="endnote reference"/>
    <w:rsid w:val="0045493E"/>
    <w:rPr>
      <w:vertAlign w:val="superscript"/>
    </w:rPr>
  </w:style>
  <w:style w:type="paragraph" w:styleId="EndnoteText">
    <w:name w:val="endnote text"/>
    <w:basedOn w:val="Normal"/>
    <w:link w:val="EndnoteTextChar"/>
    <w:rsid w:val="0045493E"/>
    <w:rPr>
      <w:sz w:val="20"/>
      <w:szCs w:val="20"/>
      <w:lang w:val="en-GB"/>
    </w:rPr>
  </w:style>
  <w:style w:type="character" w:styleId="FollowedHyperlink">
    <w:name w:val="FollowedHyperlink"/>
    <w:rsid w:val="0045493E"/>
    <w:rPr>
      <w:color w:val="800080"/>
      <w:u w:val="single"/>
    </w:rPr>
  </w:style>
  <w:style w:type="paragraph" w:styleId="Footer">
    <w:name w:val="footer"/>
    <w:basedOn w:val="Normal"/>
    <w:next w:val="Normal"/>
    <w:link w:val="FooterChar2"/>
    <w:uiPriority w:val="99"/>
    <w:rsid w:val="0045493E"/>
    <w:pPr>
      <w:tabs>
        <w:tab w:val="center" w:pos="4819"/>
        <w:tab w:val="right" w:pos="9071"/>
      </w:tabs>
      <w:overflowPunct w:val="0"/>
      <w:autoSpaceDE w:val="0"/>
      <w:autoSpaceDN w:val="0"/>
      <w:adjustRightInd w:val="0"/>
      <w:textAlignment w:val="baseline"/>
    </w:pPr>
    <w:rPr>
      <w:lang w:val="en-GB"/>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
    <w:uiPriority w:val="99"/>
    <w:rsid w:val="0045493E"/>
    <w:rPr>
      <w:vertAlign w:val="superscript"/>
    </w:rPr>
  </w:style>
  <w:style w:type="paragraph" w:styleId="FootnoteText">
    <w:name w:val="footnote text"/>
    <w:aliases w:val="fn,ADB,single space,footnote text Char,fn Char,ADB Char,single space Char Char,footnote text,FOOTNOTES Char,FOOTNOTES Char Char Char,FOOTNOTES,Footnote Text Char2 Char,Footnote Text Char1 Char Char,f,Footnote,Fußnote,WB-Fußnotentext,ft"/>
    <w:basedOn w:val="Normal"/>
    <w:link w:val="FootnoteTextChar"/>
    <w:qFormat/>
    <w:rsid w:val="0045493E"/>
    <w:pPr>
      <w:ind w:firstLine="0"/>
    </w:pPr>
    <w:rPr>
      <w:sz w:val="16"/>
      <w:szCs w:val="20"/>
    </w:rPr>
  </w:style>
  <w:style w:type="paragraph" w:styleId="Header">
    <w:name w:val="header"/>
    <w:aliases w:val="Header Char Char Char Char Char Char Char Char Char Char,Header Char Char Char Char Char Char Char Char Char Char Char Char,h"/>
    <w:basedOn w:val="Normal"/>
    <w:link w:val="HeaderChar1"/>
    <w:uiPriority w:val="99"/>
    <w:rsid w:val="0045493E"/>
    <w:pPr>
      <w:tabs>
        <w:tab w:val="center" w:pos="4844"/>
        <w:tab w:val="right" w:pos="9689"/>
      </w:tabs>
    </w:pPr>
  </w:style>
  <w:style w:type="paragraph" w:styleId="HTMLPreformatted">
    <w:name w:val="HTML Preformatted"/>
    <w:basedOn w:val="Normal"/>
    <w:link w:val="HTMLPreformattedChar"/>
    <w:uiPriority w:val="99"/>
    <w:unhideWhenUsed/>
    <w:rsid w:val="004549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w:hAnsi="Arial Unicode"/>
      <w:sz w:val="20"/>
      <w:szCs w:val="20"/>
    </w:rPr>
  </w:style>
  <w:style w:type="character" w:styleId="Hyperlink">
    <w:name w:val="Hyperlink"/>
    <w:uiPriority w:val="99"/>
    <w:rsid w:val="0045493E"/>
    <w:rPr>
      <w:color w:val="0000FF"/>
      <w:u w:val="single"/>
    </w:rPr>
  </w:style>
  <w:style w:type="paragraph" w:styleId="Index1">
    <w:name w:val="index 1"/>
    <w:basedOn w:val="Normal"/>
    <w:next w:val="Normal"/>
    <w:rsid w:val="0045493E"/>
    <w:pPr>
      <w:ind w:left="240" w:hanging="240"/>
    </w:pPr>
  </w:style>
  <w:style w:type="paragraph" w:styleId="Index2">
    <w:name w:val="index 2"/>
    <w:basedOn w:val="Normal"/>
    <w:next w:val="Normal"/>
    <w:rsid w:val="0045493E"/>
    <w:pPr>
      <w:ind w:left="480" w:hanging="240"/>
    </w:pPr>
  </w:style>
  <w:style w:type="paragraph" w:styleId="Index3">
    <w:name w:val="index 3"/>
    <w:basedOn w:val="Normal"/>
    <w:next w:val="Normal"/>
    <w:rsid w:val="0045493E"/>
    <w:pPr>
      <w:ind w:left="720" w:hanging="240"/>
    </w:pPr>
  </w:style>
  <w:style w:type="paragraph" w:styleId="Index4">
    <w:name w:val="index 4"/>
    <w:basedOn w:val="Normal"/>
    <w:next w:val="Normal"/>
    <w:rsid w:val="0045493E"/>
    <w:pPr>
      <w:ind w:left="960" w:hanging="240"/>
    </w:pPr>
  </w:style>
  <w:style w:type="paragraph" w:styleId="Index5">
    <w:name w:val="index 5"/>
    <w:basedOn w:val="Normal"/>
    <w:next w:val="Normal"/>
    <w:rsid w:val="0045493E"/>
    <w:pPr>
      <w:ind w:left="1200" w:hanging="240"/>
    </w:pPr>
  </w:style>
  <w:style w:type="paragraph" w:styleId="Index6">
    <w:name w:val="index 6"/>
    <w:basedOn w:val="Normal"/>
    <w:next w:val="Normal"/>
    <w:rsid w:val="0045493E"/>
    <w:pPr>
      <w:ind w:left="1440" w:hanging="240"/>
    </w:pPr>
  </w:style>
  <w:style w:type="paragraph" w:styleId="Index7">
    <w:name w:val="index 7"/>
    <w:basedOn w:val="Normal"/>
    <w:next w:val="Normal"/>
    <w:rsid w:val="0045493E"/>
    <w:pPr>
      <w:ind w:left="1680" w:hanging="240"/>
    </w:pPr>
  </w:style>
  <w:style w:type="paragraph" w:styleId="Index8">
    <w:name w:val="index 8"/>
    <w:basedOn w:val="Normal"/>
    <w:next w:val="Normal"/>
    <w:rsid w:val="0045493E"/>
    <w:pPr>
      <w:ind w:left="1920" w:hanging="240"/>
    </w:pPr>
  </w:style>
  <w:style w:type="paragraph" w:styleId="Index9">
    <w:name w:val="index 9"/>
    <w:basedOn w:val="Normal"/>
    <w:next w:val="Normal"/>
    <w:rsid w:val="0045493E"/>
    <w:pPr>
      <w:ind w:left="2160" w:hanging="240"/>
    </w:pPr>
  </w:style>
  <w:style w:type="paragraph" w:styleId="IndexHeading">
    <w:name w:val="index heading"/>
    <w:basedOn w:val="Normal"/>
    <w:next w:val="Index1"/>
    <w:rsid w:val="0045493E"/>
  </w:style>
  <w:style w:type="character" w:styleId="LineNumber">
    <w:name w:val="line number"/>
    <w:basedOn w:val="DefaultParagraphFont"/>
    <w:rsid w:val="0045493E"/>
  </w:style>
  <w:style w:type="paragraph" w:styleId="List">
    <w:name w:val="List"/>
    <w:basedOn w:val="BodyText"/>
    <w:rsid w:val="0045493E"/>
    <w:pPr>
      <w:suppressAutoHyphens/>
      <w:spacing w:line="288" w:lineRule="auto"/>
    </w:pPr>
    <w:rPr>
      <w:rFonts w:cs="GHEA Grapalat"/>
      <w:kern w:val="1"/>
    </w:rPr>
  </w:style>
  <w:style w:type="paragraph" w:styleId="ListBullet">
    <w:name w:val="List Bullet"/>
    <w:basedOn w:val="Normal"/>
    <w:qFormat/>
    <w:rsid w:val="0045493E"/>
    <w:pPr>
      <w:tabs>
        <w:tab w:val="left" w:pos="360"/>
      </w:tabs>
      <w:overflowPunct w:val="0"/>
      <w:autoSpaceDE w:val="0"/>
      <w:autoSpaceDN w:val="0"/>
      <w:adjustRightInd w:val="0"/>
      <w:spacing w:before="130"/>
      <w:ind w:left="360" w:hanging="360"/>
      <w:textAlignment w:val="baseline"/>
    </w:pPr>
    <w:rPr>
      <w:lang w:val="en-GB"/>
    </w:rPr>
  </w:style>
  <w:style w:type="paragraph" w:styleId="ListBullet2">
    <w:name w:val="List Bullet 2"/>
    <w:basedOn w:val="Normal"/>
    <w:rsid w:val="0045493E"/>
    <w:pPr>
      <w:numPr>
        <w:numId w:val="1"/>
      </w:numPr>
    </w:pPr>
  </w:style>
  <w:style w:type="paragraph" w:styleId="ListContinue2">
    <w:name w:val="List Continue 2"/>
    <w:basedOn w:val="Normal"/>
    <w:rsid w:val="0045493E"/>
    <w:pPr>
      <w:spacing w:after="120"/>
      <w:ind w:left="720"/>
    </w:pPr>
  </w:style>
  <w:style w:type="paragraph" w:styleId="ListNumber">
    <w:name w:val="List Number"/>
    <w:basedOn w:val="Normal"/>
    <w:rsid w:val="0045493E"/>
    <w:pPr>
      <w:numPr>
        <w:numId w:val="2"/>
      </w:numPr>
    </w:p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 webb"/>
    <w:basedOn w:val="Normal"/>
    <w:link w:val="NormalWebChar"/>
    <w:qFormat/>
    <w:rsid w:val="0045493E"/>
    <w:pPr>
      <w:spacing w:before="100" w:after="100"/>
    </w:pPr>
    <w:rPr>
      <w:szCs w:val="20"/>
    </w:rPr>
  </w:style>
  <w:style w:type="paragraph" w:styleId="NormalIndent">
    <w:name w:val="Normal Indent"/>
    <w:basedOn w:val="Normal"/>
    <w:rsid w:val="0045493E"/>
    <w:pPr>
      <w:tabs>
        <w:tab w:val="left" w:pos="1134"/>
        <w:tab w:val="left" w:pos="1701"/>
        <w:tab w:val="left" w:pos="2835"/>
        <w:tab w:val="left" w:pos="5103"/>
        <w:tab w:val="left" w:pos="7371"/>
        <w:tab w:val="right" w:pos="9639"/>
      </w:tabs>
      <w:ind w:left="1134"/>
    </w:pPr>
    <w:rPr>
      <w:lang w:val="en-GB"/>
    </w:rPr>
  </w:style>
  <w:style w:type="character" w:styleId="PageNumber">
    <w:name w:val="page number"/>
    <w:basedOn w:val="DefaultParagraphFont"/>
    <w:rsid w:val="0045493E"/>
  </w:style>
  <w:style w:type="paragraph" w:styleId="PlainText">
    <w:name w:val="Plain Text"/>
    <w:basedOn w:val="Normal"/>
    <w:link w:val="PlainTextChar"/>
    <w:rsid w:val="0045493E"/>
    <w:pPr>
      <w:spacing w:before="120"/>
    </w:pPr>
    <w:rPr>
      <w:rFonts w:ascii="Courier New" w:hAnsi="Courier New"/>
      <w:sz w:val="20"/>
      <w:szCs w:val="20"/>
    </w:rPr>
  </w:style>
  <w:style w:type="character" w:styleId="Strong">
    <w:name w:val="Strong"/>
    <w:qFormat/>
    <w:rsid w:val="0045493E"/>
    <w:rPr>
      <w:b/>
      <w:bCs/>
    </w:rPr>
  </w:style>
  <w:style w:type="paragraph" w:styleId="Subtitle">
    <w:name w:val="Subtitle"/>
    <w:basedOn w:val="Normal"/>
    <w:next w:val="Normal"/>
    <w:link w:val="SubtitleChar"/>
    <w:qFormat/>
    <w:rsid w:val="0045493E"/>
    <w:pPr>
      <w:spacing w:after="600"/>
    </w:pPr>
    <w:rPr>
      <w:rFonts w:asciiTheme="majorHAnsi" w:eastAsiaTheme="majorEastAsia" w:hAnsiTheme="majorHAnsi" w:cstheme="majorBidi"/>
      <w:i/>
      <w:iCs/>
      <w:spacing w:val="13"/>
      <w:sz w:val="24"/>
      <w:szCs w:val="24"/>
    </w:rPr>
  </w:style>
  <w:style w:type="table" w:styleId="Table3Deffects3">
    <w:name w:val="Table 3D effects 3"/>
    <w:basedOn w:val="TableNormal"/>
    <w:rsid w:val="0045493E"/>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TableColumns5">
    <w:name w:val="Table Columns 5"/>
    <w:basedOn w:val="TableNormal"/>
    <w:rsid w:val="0045493E"/>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45493E"/>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TableElegant">
    <w:name w:val="Table Elegant"/>
    <w:basedOn w:val="TableNormal"/>
    <w:rsid w:val="0045493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Grid">
    <w:name w:val="Table Grid"/>
    <w:basedOn w:val="TableNormal"/>
    <w:uiPriority w:val="39"/>
    <w:qFormat/>
    <w:rsid w:val="004549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45493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TableGrid3">
    <w:name w:val="Table Grid 3"/>
    <w:basedOn w:val="TableNormal"/>
    <w:rsid w:val="0045493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5">
    <w:name w:val="Table Grid 5"/>
    <w:basedOn w:val="TableNormal"/>
    <w:rsid w:val="0045493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7">
    <w:name w:val="Table Grid 7"/>
    <w:basedOn w:val="TableNormal"/>
    <w:rsid w:val="0045493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TableGrid8">
    <w:name w:val="Table Grid 8"/>
    <w:basedOn w:val="TableNormal"/>
    <w:rsid w:val="0045493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TableList7">
    <w:name w:val="Table List 7"/>
    <w:basedOn w:val="TableNormal"/>
    <w:rsid w:val="0045493E"/>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paragraph" w:styleId="TableofFigures">
    <w:name w:val="table of figures"/>
    <w:basedOn w:val="Normal"/>
    <w:next w:val="Normal"/>
    <w:qFormat/>
    <w:rsid w:val="0045493E"/>
    <w:pPr>
      <w:ind w:left="480" w:hanging="480"/>
    </w:pPr>
    <w:rPr>
      <w:sz w:val="20"/>
    </w:rPr>
  </w:style>
  <w:style w:type="table" w:styleId="TableSimple3">
    <w:name w:val="Table Simple 3"/>
    <w:basedOn w:val="TableNormal"/>
    <w:rsid w:val="0045493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TableWeb1">
    <w:name w:val="Table Web 1"/>
    <w:basedOn w:val="TableNormal"/>
    <w:rsid w:val="0045493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TableWeb2">
    <w:name w:val="Table Web 2"/>
    <w:basedOn w:val="TableNormal"/>
    <w:rsid w:val="0045493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TableWeb3">
    <w:name w:val="Table Web 3"/>
    <w:basedOn w:val="TableNormal"/>
    <w:rsid w:val="0045493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paragraph" w:styleId="Title">
    <w:name w:val="Title"/>
    <w:basedOn w:val="Normal"/>
    <w:next w:val="Normal"/>
    <w:link w:val="TitleChar"/>
    <w:qFormat/>
    <w:rsid w:val="0045493E"/>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paragraph" w:styleId="TOC1">
    <w:name w:val="toc 1"/>
    <w:basedOn w:val="Normal"/>
    <w:next w:val="Normal"/>
    <w:uiPriority w:val="39"/>
    <w:qFormat/>
    <w:rsid w:val="0045493E"/>
    <w:pPr>
      <w:spacing w:before="120" w:after="0"/>
      <w:jc w:val="left"/>
    </w:pPr>
    <w:rPr>
      <w:rFonts w:asciiTheme="minorHAnsi" w:hAnsiTheme="minorHAnsi" w:cstheme="minorHAnsi"/>
      <w:b/>
      <w:bCs/>
      <w:i/>
      <w:iCs/>
      <w:sz w:val="24"/>
      <w:szCs w:val="24"/>
    </w:rPr>
  </w:style>
  <w:style w:type="paragraph" w:styleId="TOC2">
    <w:name w:val="toc 2"/>
    <w:basedOn w:val="Normal"/>
    <w:next w:val="Normal"/>
    <w:uiPriority w:val="39"/>
    <w:qFormat/>
    <w:rsid w:val="0045493E"/>
    <w:pPr>
      <w:spacing w:before="120" w:after="0"/>
      <w:ind w:left="220"/>
      <w:jc w:val="left"/>
    </w:pPr>
    <w:rPr>
      <w:rFonts w:asciiTheme="minorHAnsi" w:hAnsiTheme="minorHAnsi" w:cstheme="minorHAnsi"/>
      <w:b/>
      <w:bCs/>
    </w:rPr>
  </w:style>
  <w:style w:type="paragraph" w:styleId="TOC3">
    <w:name w:val="toc 3"/>
    <w:basedOn w:val="Normal"/>
    <w:next w:val="Normal"/>
    <w:uiPriority w:val="39"/>
    <w:qFormat/>
    <w:rsid w:val="0045493E"/>
    <w:pPr>
      <w:spacing w:before="0" w:after="0"/>
      <w:ind w:left="440"/>
      <w:jc w:val="left"/>
    </w:pPr>
    <w:rPr>
      <w:rFonts w:asciiTheme="minorHAnsi" w:hAnsiTheme="minorHAnsi" w:cstheme="minorHAnsi"/>
      <w:sz w:val="20"/>
      <w:szCs w:val="20"/>
    </w:rPr>
  </w:style>
  <w:style w:type="paragraph" w:styleId="TOC4">
    <w:name w:val="toc 4"/>
    <w:basedOn w:val="Normal"/>
    <w:next w:val="Normal"/>
    <w:uiPriority w:val="39"/>
    <w:rsid w:val="0045493E"/>
    <w:pPr>
      <w:spacing w:before="0" w:after="0"/>
      <w:ind w:left="660"/>
      <w:jc w:val="left"/>
    </w:pPr>
    <w:rPr>
      <w:rFonts w:asciiTheme="minorHAnsi" w:hAnsiTheme="minorHAnsi" w:cstheme="minorHAnsi"/>
      <w:sz w:val="20"/>
      <w:szCs w:val="20"/>
    </w:rPr>
  </w:style>
  <w:style w:type="paragraph" w:styleId="TOC5">
    <w:name w:val="toc 5"/>
    <w:basedOn w:val="Normal"/>
    <w:next w:val="Normal"/>
    <w:uiPriority w:val="39"/>
    <w:rsid w:val="0045493E"/>
    <w:pPr>
      <w:spacing w:before="0" w:after="0"/>
      <w:ind w:left="880"/>
      <w:jc w:val="left"/>
    </w:pPr>
    <w:rPr>
      <w:rFonts w:asciiTheme="minorHAnsi" w:hAnsiTheme="minorHAnsi" w:cstheme="minorHAnsi"/>
      <w:sz w:val="20"/>
      <w:szCs w:val="20"/>
    </w:rPr>
  </w:style>
  <w:style w:type="paragraph" w:styleId="TOC6">
    <w:name w:val="toc 6"/>
    <w:basedOn w:val="Normal"/>
    <w:next w:val="Normal"/>
    <w:uiPriority w:val="39"/>
    <w:rsid w:val="0045493E"/>
    <w:pPr>
      <w:spacing w:before="0" w:after="0"/>
      <w:ind w:left="1100"/>
      <w:jc w:val="left"/>
    </w:pPr>
    <w:rPr>
      <w:rFonts w:asciiTheme="minorHAnsi" w:hAnsiTheme="minorHAnsi" w:cstheme="minorHAnsi"/>
      <w:sz w:val="20"/>
      <w:szCs w:val="20"/>
    </w:rPr>
  </w:style>
  <w:style w:type="paragraph" w:styleId="TOC7">
    <w:name w:val="toc 7"/>
    <w:basedOn w:val="Normal"/>
    <w:next w:val="Normal"/>
    <w:uiPriority w:val="39"/>
    <w:rsid w:val="0045493E"/>
    <w:pPr>
      <w:spacing w:before="0" w:after="0"/>
      <w:ind w:left="1320"/>
      <w:jc w:val="left"/>
    </w:pPr>
    <w:rPr>
      <w:rFonts w:asciiTheme="minorHAnsi" w:hAnsiTheme="minorHAnsi" w:cstheme="minorHAnsi"/>
      <w:sz w:val="20"/>
      <w:szCs w:val="20"/>
    </w:rPr>
  </w:style>
  <w:style w:type="paragraph" w:styleId="TOC8">
    <w:name w:val="toc 8"/>
    <w:basedOn w:val="Normal"/>
    <w:next w:val="Normal"/>
    <w:uiPriority w:val="39"/>
    <w:rsid w:val="0045493E"/>
    <w:pPr>
      <w:spacing w:before="0" w:after="0"/>
      <w:ind w:left="1540"/>
      <w:jc w:val="left"/>
    </w:pPr>
    <w:rPr>
      <w:rFonts w:asciiTheme="minorHAnsi" w:hAnsiTheme="minorHAnsi" w:cstheme="minorHAnsi"/>
      <w:sz w:val="20"/>
      <w:szCs w:val="20"/>
    </w:rPr>
  </w:style>
  <w:style w:type="paragraph" w:styleId="TOC9">
    <w:name w:val="toc 9"/>
    <w:basedOn w:val="Normal"/>
    <w:next w:val="Normal"/>
    <w:uiPriority w:val="39"/>
    <w:rsid w:val="0045493E"/>
    <w:pPr>
      <w:spacing w:before="0" w:after="0"/>
      <w:ind w:left="1760"/>
      <w:jc w:val="left"/>
    </w:pPr>
    <w:rPr>
      <w:rFonts w:asciiTheme="minorHAnsi" w:hAnsiTheme="minorHAnsi" w:cstheme="minorHAnsi"/>
      <w:sz w:val="20"/>
      <w:szCs w:val="20"/>
    </w:rPr>
  </w:style>
  <w:style w:type="table" w:styleId="LightList-Accent1">
    <w:name w:val="Light List Accent 1"/>
    <w:basedOn w:val="TableNormal"/>
    <w:uiPriority w:val="61"/>
    <w:rsid w:val="0045493E"/>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5">
    <w:name w:val="Light List Accent 5"/>
    <w:basedOn w:val="TableNormal"/>
    <w:uiPriority w:val="61"/>
    <w:rsid w:val="0045493E"/>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ColorfulGrid-Accent1">
    <w:name w:val="Colorful Grid Accent 1"/>
    <w:basedOn w:val="TableNormal"/>
    <w:uiPriority w:val="73"/>
    <w:rsid w:val="0045493E"/>
    <w:rPr>
      <w:color w:val="000000"/>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Heading1Char">
    <w:name w:val="Heading 1 Char"/>
    <w:aliases w:val="(Section) Char,Section Heading Char,(Text) Char,1 Char, 1 Char,Chapter Char,head3 Char"/>
    <w:basedOn w:val="DefaultParagraphFont"/>
    <w:link w:val="Heading1"/>
    <w:uiPriority w:val="99"/>
    <w:rsid w:val="0045493E"/>
    <w:rPr>
      <w:rFonts w:ascii="GHEA Grapalat" w:eastAsiaTheme="majorEastAsia" w:hAnsi="GHEA Grapalat" w:cstheme="majorBidi"/>
      <w:b/>
      <w:bCs/>
      <w:color w:val="1F497D" w:themeColor="text2"/>
      <w:sz w:val="32"/>
      <w:szCs w:val="28"/>
    </w:rPr>
  </w:style>
  <w:style w:type="character" w:customStyle="1" w:styleId="BodyTextChar1">
    <w:name w:val="Body Text Char1"/>
    <w:aliases w:val="(Main Text) Char,date Char,Body Text (Main text) Char1"/>
    <w:link w:val="BodyText"/>
    <w:rsid w:val="0045493E"/>
    <w:rPr>
      <w:sz w:val="24"/>
      <w:szCs w:val="24"/>
    </w:rPr>
  </w:style>
  <w:style w:type="character" w:customStyle="1" w:styleId="Heading2Char">
    <w:name w:val="Heading 2 Char"/>
    <w:aliases w:val="(Chapter) Char,Paranum Char,Text Char,Body Char"/>
    <w:basedOn w:val="DefaultParagraphFont"/>
    <w:link w:val="Heading2"/>
    <w:rsid w:val="0045493E"/>
    <w:rPr>
      <w:rFonts w:ascii="GHEA Grapalat" w:eastAsiaTheme="majorEastAsia" w:hAnsi="GHEA Grapalat" w:cstheme="majorBidi"/>
      <w:b/>
      <w:bCs/>
      <w:caps/>
      <w:color w:val="1F497D" w:themeColor="text2"/>
      <w:sz w:val="26"/>
      <w:szCs w:val="26"/>
      <w:lang w:val="es-ES"/>
    </w:rPr>
  </w:style>
  <w:style w:type="character" w:customStyle="1" w:styleId="Heading3Char1">
    <w:name w:val="Heading 3 Char1"/>
    <w:aliases w:val="(Sub-Chapter) Char,Centered Char,(text) Char,Heading 3 Char Char Char Char Char Char Char1,Centered Char1,(text) Char1,(Sub-Chapter) Char1,Heading 3 Char Char Char Char Char Char Char2,Heading 3 Char2"/>
    <w:uiPriority w:val="9"/>
    <w:rsid w:val="0045493E"/>
    <w:rPr>
      <w:rFonts w:ascii="GHEA Grapalat" w:hAnsi="GHEA Grapalat" w:cs="Sylfaen"/>
      <w:b/>
      <w:bCs/>
      <w:color w:val="000000"/>
      <w:sz w:val="22"/>
      <w:szCs w:val="22"/>
      <w:lang w:val="es-ES"/>
    </w:rPr>
  </w:style>
  <w:style w:type="character" w:customStyle="1" w:styleId="Heading4Char2">
    <w:name w:val="Heading 4 Char2"/>
    <w:aliases w:val="Centred Char1"/>
    <w:rsid w:val="0045493E"/>
    <w:rPr>
      <w:rFonts w:ascii="GHEA Grapalat" w:hAnsi="GHEA Grapalat"/>
      <w:b/>
      <w:bCs/>
      <w:sz w:val="22"/>
      <w:szCs w:val="22"/>
      <w:lang w:val="af-ZA" w:eastAsia="en-US" w:bidi="ar-SA"/>
    </w:rPr>
  </w:style>
  <w:style w:type="character" w:customStyle="1" w:styleId="Heading5Char1">
    <w:name w:val="Heading 5 Char1"/>
    <w:aliases w:val="Side Char1"/>
    <w:rsid w:val="0045493E"/>
    <w:rPr>
      <w:b/>
      <w:bCs/>
      <w:i/>
      <w:iCs/>
      <w:sz w:val="26"/>
      <w:szCs w:val="26"/>
      <w:lang w:val="en-US" w:eastAsia="en-US" w:bidi="ar-SA"/>
    </w:rPr>
  </w:style>
  <w:style w:type="character" w:customStyle="1" w:styleId="Heading6Char1">
    <w:name w:val="Heading 6 Char1"/>
    <w:rsid w:val="0045493E"/>
    <w:rPr>
      <w:rFonts w:ascii="Arial Armenian" w:hAnsi="Arial Armenian"/>
      <w:i/>
      <w:sz w:val="22"/>
      <w:u w:val="single"/>
      <w:lang w:val="en-GB"/>
    </w:rPr>
  </w:style>
  <w:style w:type="character" w:customStyle="1" w:styleId="Heading7Char1">
    <w:name w:val="Heading 7 Char1"/>
    <w:rsid w:val="0045493E"/>
    <w:rPr>
      <w:rFonts w:ascii="Garamond" w:hAnsi="Garamond"/>
      <w:i/>
      <w:spacing w:val="-5"/>
      <w:sz w:val="28"/>
      <w:shd w:val="pct5" w:color="auto" w:fill="auto"/>
      <w:lang w:val="en-GB"/>
    </w:rPr>
  </w:style>
  <w:style w:type="character" w:customStyle="1" w:styleId="Heading8Char1">
    <w:name w:val="Heading 8 Char1"/>
    <w:rsid w:val="0045493E"/>
    <w:rPr>
      <w:rFonts w:ascii="Arial Black" w:hAnsi="Arial Black"/>
      <w:caps/>
      <w:spacing w:val="60"/>
      <w:position w:val="4"/>
      <w:sz w:val="14"/>
      <w:lang w:val="en-GB"/>
    </w:rPr>
  </w:style>
  <w:style w:type="character" w:customStyle="1" w:styleId="Heading9Char1">
    <w:name w:val="Heading 9 Char1"/>
    <w:qFormat/>
    <w:rsid w:val="0045493E"/>
    <w:rPr>
      <w:rFonts w:ascii="Garamond" w:hAnsi="Garamond"/>
      <w:b/>
      <w:i/>
      <w:kern w:val="28"/>
      <w:lang w:val="en-GB"/>
    </w:rPr>
  </w:style>
  <w:style w:type="paragraph" w:customStyle="1" w:styleId="Head4">
    <w:name w:val="Head 4"/>
    <w:basedOn w:val="Heading4"/>
    <w:rsid w:val="0045493E"/>
    <w:pPr>
      <w:widowControl w:val="0"/>
      <w:tabs>
        <w:tab w:val="left" w:pos="567"/>
      </w:tabs>
      <w:spacing w:before="0" w:line="240" w:lineRule="auto"/>
      <w:ind w:left="397"/>
    </w:pPr>
    <w:rPr>
      <w:szCs w:val="20"/>
    </w:rPr>
  </w:style>
  <w:style w:type="character" w:customStyle="1" w:styleId="BodyTextIndent3Char">
    <w:name w:val="Body Text Indent 3 Char"/>
    <w:link w:val="BodyTextIndent3"/>
    <w:rsid w:val="0045493E"/>
    <w:rPr>
      <w:rFonts w:ascii="Arial Armenian" w:hAnsi="Arial Armenian"/>
      <w:lang w:val="en-US" w:eastAsia="en-US" w:bidi="ar-SA"/>
    </w:rPr>
  </w:style>
  <w:style w:type="paragraph" w:customStyle="1" w:styleId="xl24">
    <w:name w:val="xl24"/>
    <w:basedOn w:val="Normal"/>
    <w:rsid w:val="0045493E"/>
    <w:pPr>
      <w:spacing w:before="100" w:beforeAutospacing="1" w:after="100" w:afterAutospacing="1"/>
    </w:pPr>
    <w:rPr>
      <w:rFonts w:ascii="Arial Armenian" w:eastAsia="Arial Unicode MS" w:hAnsi="Arial Armenian" w:cs="Arial Unicode MS"/>
      <w:sz w:val="18"/>
      <w:szCs w:val="18"/>
    </w:rPr>
  </w:style>
  <w:style w:type="paragraph" w:customStyle="1" w:styleId="Tablefigure">
    <w:name w:val="Table_figure"/>
    <w:basedOn w:val="Normal"/>
    <w:rsid w:val="0045493E"/>
    <w:pPr>
      <w:spacing w:before="60"/>
      <w:jc w:val="right"/>
    </w:pPr>
    <w:rPr>
      <w:rFonts w:ascii="Arial Armenian" w:hAnsi="Arial Armenian"/>
      <w:sz w:val="16"/>
      <w:szCs w:val="20"/>
      <w:lang w:val="en-GB"/>
    </w:rPr>
  </w:style>
  <w:style w:type="character" w:customStyle="1" w:styleId="BodyTextIndent2Char1">
    <w:name w:val="Body Text Indent 2 Char1"/>
    <w:link w:val="BodyTextIndent2"/>
    <w:rsid w:val="0045493E"/>
    <w:rPr>
      <w:rFonts w:ascii="Arial Armenian" w:hAnsi="Arial Armenian"/>
      <w:lang w:val="en-GB" w:eastAsia="en-US" w:bidi="ar-SA"/>
    </w:rPr>
  </w:style>
  <w:style w:type="character" w:customStyle="1" w:styleId="BodyTextIndentChar">
    <w:name w:val="Body Text Indent Char"/>
    <w:aliases w:val="(Table Source) Char2, (Table Source) Char1,(Table Source) Char Char1,(Table Source)1 Char2"/>
    <w:link w:val="BodyTextIndent"/>
    <w:rsid w:val="0045493E"/>
    <w:rPr>
      <w:rFonts w:ascii="Arial Armenian" w:hAnsi="Arial Armenian"/>
      <w:i/>
      <w:sz w:val="16"/>
      <w:lang w:val="en-GB" w:eastAsia="en-US" w:bidi="ar-SA"/>
    </w:rPr>
  </w:style>
  <w:style w:type="paragraph" w:customStyle="1" w:styleId="Specialnormal">
    <w:name w:val="Special normal"/>
    <w:basedOn w:val="Normal"/>
    <w:qFormat/>
    <w:rsid w:val="0045493E"/>
    <w:pPr>
      <w:overflowPunct w:val="0"/>
      <w:autoSpaceDE w:val="0"/>
      <w:autoSpaceDN w:val="0"/>
      <w:adjustRightInd w:val="0"/>
      <w:jc w:val="center"/>
      <w:textAlignment w:val="baseline"/>
    </w:pPr>
    <w:rPr>
      <w:sz w:val="20"/>
      <w:szCs w:val="20"/>
      <w:lang w:val="en-GB"/>
    </w:rPr>
  </w:style>
  <w:style w:type="character" w:customStyle="1" w:styleId="CommentTextChar">
    <w:name w:val="Comment Text Char"/>
    <w:link w:val="CommentText"/>
    <w:uiPriority w:val="99"/>
    <w:rsid w:val="0045493E"/>
    <w:rPr>
      <w:rFonts w:ascii="Arial Armenian" w:hAnsi="Arial Armenian"/>
      <w:lang w:val="ru-RU" w:eastAsia="ru-RU" w:bidi="ar-SA"/>
    </w:rPr>
  </w:style>
  <w:style w:type="paragraph" w:customStyle="1" w:styleId="a4">
    <w:name w:val="???????? ????? ? ????????"/>
    <w:basedOn w:val="Normal"/>
    <w:rsid w:val="0045493E"/>
    <w:pPr>
      <w:ind w:left="360" w:hanging="360"/>
    </w:pPr>
    <w:rPr>
      <w:rFonts w:ascii="Times Armenian" w:hAnsi="Times Armenian"/>
      <w:szCs w:val="20"/>
      <w:lang w:eastAsia="ru-RU"/>
    </w:rPr>
  </w:style>
  <w:style w:type="paragraph" w:customStyle="1" w:styleId="a5">
    <w:name w:val="???????"/>
    <w:link w:val="Char"/>
    <w:rsid w:val="0045493E"/>
    <w:pPr>
      <w:spacing w:after="160" w:line="259" w:lineRule="auto"/>
    </w:pPr>
    <w:rPr>
      <w:sz w:val="22"/>
      <w:szCs w:val="22"/>
      <w:lang w:val="ru-RU" w:eastAsia="ru-RU"/>
    </w:rPr>
  </w:style>
  <w:style w:type="character" w:customStyle="1" w:styleId="Char">
    <w:name w:val="??????? Char"/>
    <w:link w:val="a5"/>
    <w:rsid w:val="0045493E"/>
    <w:rPr>
      <w:lang w:val="ru-RU" w:eastAsia="ru-RU" w:bidi="ar-SA"/>
    </w:rPr>
  </w:style>
  <w:style w:type="paragraph" w:customStyle="1" w:styleId="2">
    <w:name w:val="???????2"/>
    <w:rsid w:val="0045493E"/>
    <w:pPr>
      <w:spacing w:after="160" w:line="259" w:lineRule="auto"/>
    </w:pPr>
    <w:rPr>
      <w:rFonts w:ascii="Times Armenian" w:hAnsi="Times Armenian"/>
      <w:sz w:val="24"/>
      <w:szCs w:val="22"/>
      <w:lang w:eastAsia="ru-RU"/>
    </w:rPr>
  </w:style>
  <w:style w:type="paragraph" w:customStyle="1" w:styleId="a6">
    <w:name w:val="???????? ?????"/>
    <w:basedOn w:val="a5"/>
    <w:rsid w:val="0045493E"/>
    <w:pPr>
      <w:jc w:val="center"/>
    </w:pPr>
    <w:rPr>
      <w:rFonts w:ascii="Times Armenian" w:hAnsi="Times Armenian"/>
      <w:i/>
      <w:sz w:val="32"/>
      <w:lang w:val="en-US"/>
    </w:rPr>
  </w:style>
  <w:style w:type="paragraph" w:customStyle="1" w:styleId="31">
    <w:name w:val="???????? ????? ? ???????? 31"/>
    <w:basedOn w:val="2"/>
    <w:rsid w:val="0045493E"/>
    <w:pPr>
      <w:spacing w:line="360" w:lineRule="auto"/>
      <w:ind w:firstLine="360"/>
      <w:jc w:val="both"/>
    </w:pPr>
  </w:style>
  <w:style w:type="paragraph" w:customStyle="1" w:styleId="a7">
    <w:name w:val="??????"/>
    <w:basedOn w:val="2"/>
    <w:qFormat/>
    <w:rsid w:val="0045493E"/>
    <w:pPr>
      <w:spacing w:line="360" w:lineRule="auto"/>
      <w:ind w:left="-426" w:right="-619" w:firstLine="710"/>
      <w:jc w:val="both"/>
    </w:pPr>
    <w:rPr>
      <w:rFonts w:ascii="Arial LatArm" w:hAnsi="Arial LatArm"/>
      <w:i/>
      <w:lang w:val="en-AU"/>
    </w:rPr>
  </w:style>
  <w:style w:type="paragraph" w:customStyle="1" w:styleId="3">
    <w:name w:val="???????? ????? 3"/>
    <w:basedOn w:val="Normal"/>
    <w:rsid w:val="0045493E"/>
    <w:rPr>
      <w:rFonts w:ascii="Times Armenian" w:hAnsi="Times Armenian"/>
      <w:szCs w:val="20"/>
      <w:lang w:val="ru-RU" w:eastAsia="ru-RU"/>
    </w:rPr>
  </w:style>
  <w:style w:type="paragraph" w:customStyle="1" w:styleId="20">
    <w:name w:val="???????? ????? ? ????????2"/>
    <w:basedOn w:val="2"/>
    <w:rsid w:val="0045493E"/>
    <w:pPr>
      <w:spacing w:line="360" w:lineRule="auto"/>
      <w:ind w:firstLine="720"/>
      <w:jc w:val="both"/>
    </w:pPr>
    <w:rPr>
      <w:sz w:val="28"/>
    </w:rPr>
  </w:style>
  <w:style w:type="paragraph" w:customStyle="1" w:styleId="11">
    <w:name w:val="????????? 11"/>
    <w:basedOn w:val="2"/>
    <w:next w:val="2"/>
    <w:rsid w:val="0045493E"/>
    <w:pPr>
      <w:keepNext/>
      <w:spacing w:line="360" w:lineRule="auto"/>
      <w:outlineLvl w:val="0"/>
    </w:pPr>
    <w:rPr>
      <w:rFonts w:ascii="Times LatArm" w:hAnsi="Times LatArm"/>
    </w:rPr>
  </w:style>
  <w:style w:type="paragraph" w:customStyle="1" w:styleId="10">
    <w:name w:val="????????1"/>
    <w:basedOn w:val="a5"/>
    <w:rsid w:val="0045493E"/>
    <w:pPr>
      <w:jc w:val="center"/>
    </w:pPr>
    <w:rPr>
      <w:rFonts w:ascii="Times Armenian" w:hAnsi="Times Armenian"/>
      <w:i/>
      <w:sz w:val="28"/>
      <w:lang w:val="en-US"/>
    </w:rPr>
  </w:style>
  <w:style w:type="paragraph" w:customStyle="1" w:styleId="21">
    <w:name w:val="???????? ????? ? ???????? 2"/>
    <w:basedOn w:val="a5"/>
    <w:rsid w:val="0045493E"/>
    <w:pPr>
      <w:ind w:right="-141" w:firstLine="567"/>
      <w:jc w:val="both"/>
    </w:pPr>
    <w:rPr>
      <w:rFonts w:ascii="Times Armenian" w:hAnsi="Times Armenian"/>
      <w:sz w:val="24"/>
    </w:rPr>
  </w:style>
  <w:style w:type="paragraph" w:customStyle="1" w:styleId="22">
    <w:name w:val="???????? ????? 2"/>
    <w:basedOn w:val="a5"/>
    <w:rsid w:val="0045493E"/>
    <w:pPr>
      <w:spacing w:line="360" w:lineRule="auto"/>
      <w:jc w:val="both"/>
    </w:pPr>
    <w:rPr>
      <w:rFonts w:ascii="Times LatArm" w:hAnsi="Times LatArm"/>
      <w:b/>
      <w:i/>
      <w:sz w:val="28"/>
      <w:lang w:val="en-US"/>
    </w:rPr>
  </w:style>
  <w:style w:type="paragraph" w:customStyle="1" w:styleId="12">
    <w:name w:val="???????1"/>
    <w:rsid w:val="0045493E"/>
    <w:pPr>
      <w:spacing w:after="160" w:line="259" w:lineRule="auto"/>
    </w:pPr>
    <w:rPr>
      <w:sz w:val="22"/>
      <w:szCs w:val="22"/>
      <w:lang w:val="ru-RU" w:eastAsia="ru-RU"/>
    </w:rPr>
  </w:style>
  <w:style w:type="paragraph" w:customStyle="1" w:styleId="30">
    <w:name w:val="???????? ????? ? ????????3"/>
    <w:basedOn w:val="a5"/>
    <w:rsid w:val="0045493E"/>
    <w:pPr>
      <w:ind w:left="360" w:hanging="360"/>
      <w:jc w:val="both"/>
    </w:pPr>
    <w:rPr>
      <w:rFonts w:ascii="Times Armenian" w:hAnsi="Times Armenian"/>
      <w:sz w:val="24"/>
      <w:lang w:val="en-US"/>
    </w:rPr>
  </w:style>
  <w:style w:type="paragraph" w:customStyle="1" w:styleId="StyleHeading2ChapterParanumTextSylfaen1">
    <w:name w:val="Style Heading 2.(Chapter).Paranum.Text + Sylfaen1"/>
    <w:basedOn w:val="Heading2ChapterParanumText"/>
    <w:link w:val="StyleHeading2ChapterParanumTextSylfaen1Char"/>
    <w:rsid w:val="0045493E"/>
    <w:pPr>
      <w:spacing w:before="240" w:after="120" w:line="276" w:lineRule="auto"/>
    </w:pPr>
    <w:rPr>
      <w:rFonts w:ascii="GHEA Grapalat" w:hAnsi="GHEA Grapalat"/>
      <w:iCs/>
      <w:spacing w:val="0"/>
      <w:kern w:val="0"/>
      <w:lang w:val="af-ZA" w:eastAsia="ru-RU"/>
    </w:rPr>
  </w:style>
  <w:style w:type="paragraph" w:customStyle="1" w:styleId="Heading2ChapterParanumText">
    <w:name w:val="Heading 2.(Chapter).Paranum.Text"/>
    <w:basedOn w:val="Normal"/>
    <w:next w:val="BodyTextMainTextdateBodyTextMaintext"/>
    <w:link w:val="Heading2ChapterParanumTextChar"/>
    <w:rsid w:val="0045493E"/>
    <w:pPr>
      <w:keepNext/>
      <w:widowControl w:val="0"/>
      <w:spacing w:after="240" w:line="360" w:lineRule="auto"/>
      <w:outlineLvl w:val="1"/>
    </w:pPr>
    <w:rPr>
      <w:rFonts w:ascii="Times Armenian" w:hAnsi="Times Armenian"/>
      <w:b/>
      <w:spacing w:val="24"/>
      <w:kern w:val="28"/>
      <w:lang w:val="it-IT"/>
    </w:rPr>
  </w:style>
  <w:style w:type="paragraph" w:customStyle="1" w:styleId="BodyTextMainTextdateBodyTextMaintext">
    <w:name w:val="Body Text.(Main Text).date.Body Text (Main text)"/>
    <w:basedOn w:val="Normal"/>
    <w:rsid w:val="0045493E"/>
    <w:pPr>
      <w:widowControl w:val="0"/>
      <w:spacing w:after="120" w:line="360" w:lineRule="auto"/>
      <w:ind w:firstLine="652"/>
    </w:pPr>
    <w:rPr>
      <w:rFonts w:ascii="Arial Armenian" w:hAnsi="Arial Armenian"/>
      <w:sz w:val="20"/>
      <w:lang w:val="en-GB"/>
    </w:rPr>
  </w:style>
  <w:style w:type="character" w:customStyle="1" w:styleId="Heading2ChapterParanumTextChar">
    <w:name w:val="Heading 2.(Chapter).Paranum.Text Char"/>
    <w:link w:val="Heading2ChapterParanumText"/>
    <w:rsid w:val="0045493E"/>
    <w:rPr>
      <w:rFonts w:ascii="Times Armenian" w:hAnsi="Times Armenian"/>
      <w:b/>
      <w:spacing w:val="24"/>
      <w:kern w:val="28"/>
      <w:sz w:val="24"/>
      <w:szCs w:val="24"/>
      <w:lang w:val="it-IT" w:eastAsia="en-US" w:bidi="ar-SA"/>
    </w:rPr>
  </w:style>
  <w:style w:type="character" w:customStyle="1" w:styleId="StyleHeading2ChapterParanumTextSylfaen1Char">
    <w:name w:val="Style Heading 2.(Chapter).Paranum.Text + Sylfaen1 Char"/>
    <w:link w:val="StyleHeading2ChapterParanumTextSylfaen1"/>
    <w:rsid w:val="0045493E"/>
    <w:rPr>
      <w:rFonts w:ascii="GHEA Grapalat" w:hAnsi="GHEA Grapalat" w:cs="Arial"/>
      <w:b/>
      <w:iCs/>
      <w:sz w:val="22"/>
      <w:szCs w:val="22"/>
      <w:lang w:val="af-ZA" w:eastAsia="ru-RU"/>
    </w:rPr>
  </w:style>
  <w:style w:type="paragraph" w:customStyle="1" w:styleId="8">
    <w:name w:val="????????? 8"/>
    <w:basedOn w:val="a5"/>
    <w:next w:val="a5"/>
    <w:rsid w:val="0045493E"/>
    <w:pPr>
      <w:keepNext/>
      <w:ind w:firstLine="426"/>
      <w:outlineLvl w:val="7"/>
    </w:pPr>
    <w:rPr>
      <w:rFonts w:ascii="Times Armenian" w:hAnsi="Times Armenian"/>
      <w:b/>
      <w:sz w:val="24"/>
      <w:lang w:val="en-US"/>
    </w:rPr>
  </w:style>
  <w:style w:type="paragraph" w:customStyle="1" w:styleId="210">
    <w:name w:val="???????? ????? ? ???????? 21"/>
    <w:basedOn w:val="2"/>
    <w:rsid w:val="0045493E"/>
    <w:pPr>
      <w:spacing w:line="360" w:lineRule="auto"/>
      <w:ind w:firstLine="840"/>
      <w:jc w:val="both"/>
    </w:pPr>
    <w:rPr>
      <w:rFonts w:ascii="Arial LatArm" w:hAnsi="Arial LatArm"/>
    </w:rPr>
  </w:style>
  <w:style w:type="character" w:customStyle="1" w:styleId="BodyText2Char1">
    <w:name w:val="Body Text 2 Char1"/>
    <w:aliases w:val="1Text Char1"/>
    <w:link w:val="BodyText2"/>
    <w:rsid w:val="0045493E"/>
    <w:rPr>
      <w:lang w:val="ru-RU" w:eastAsia="ru-RU" w:bidi="ar-SA"/>
    </w:rPr>
  </w:style>
  <w:style w:type="character" w:customStyle="1" w:styleId="BodyText3Char1">
    <w:name w:val="Body Text 3 Char1"/>
    <w:link w:val="BodyText3"/>
    <w:rsid w:val="0045493E"/>
    <w:rPr>
      <w:sz w:val="16"/>
      <w:szCs w:val="16"/>
      <w:lang w:val="ru-RU" w:eastAsia="ru-RU" w:bidi="ar-SA"/>
    </w:rPr>
  </w:style>
  <w:style w:type="paragraph" w:customStyle="1" w:styleId="Bullet">
    <w:name w:val="Bullet"/>
    <w:aliases w:val="bl,Bullet L1,bl1"/>
    <w:basedOn w:val="Normal"/>
    <w:rsid w:val="0045493E"/>
    <w:pPr>
      <w:numPr>
        <w:numId w:val="3"/>
      </w:numPr>
      <w:tabs>
        <w:tab w:val="clear" w:pos="720"/>
        <w:tab w:val="left" w:pos="360"/>
      </w:tabs>
      <w:overflowPunct w:val="0"/>
      <w:autoSpaceDE w:val="0"/>
      <w:autoSpaceDN w:val="0"/>
      <w:adjustRightInd w:val="0"/>
      <w:spacing w:after="130"/>
      <w:ind w:left="360"/>
      <w:textAlignment w:val="baseline"/>
    </w:pPr>
    <w:rPr>
      <w:lang w:val="en-GB"/>
    </w:rPr>
  </w:style>
  <w:style w:type="paragraph" w:customStyle="1" w:styleId="BSAPtext">
    <w:name w:val="BSAP text"/>
    <w:basedOn w:val="Normal"/>
    <w:rsid w:val="0045493E"/>
    <w:rPr>
      <w:rFonts w:ascii="Bookman Old Style" w:hAnsi="Bookman Old Style"/>
    </w:rPr>
  </w:style>
  <w:style w:type="character" w:customStyle="1" w:styleId="EndnoteTextChar">
    <w:name w:val="Endnote Text Char"/>
    <w:link w:val="EndnoteText"/>
    <w:rsid w:val="0045493E"/>
    <w:rPr>
      <w:lang w:val="en-GB" w:eastAsia="en-US" w:bidi="ar-SA"/>
    </w:rPr>
  </w:style>
  <w:style w:type="character" w:customStyle="1" w:styleId="FooterChar2">
    <w:name w:val="Footer Char2"/>
    <w:link w:val="Footer"/>
    <w:rsid w:val="0045493E"/>
    <w:rPr>
      <w:sz w:val="22"/>
      <w:szCs w:val="22"/>
      <w:lang w:val="en-GB"/>
    </w:rPr>
  </w:style>
  <w:style w:type="paragraph" w:customStyle="1" w:styleId="xl32">
    <w:name w:val="xl32"/>
    <w:basedOn w:val="Normal"/>
    <w:rsid w:val="0045493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Armenian" w:hAnsi="Times Armenian"/>
      <w:sz w:val="16"/>
      <w:szCs w:val="16"/>
      <w:lang w:val="ru-RU" w:eastAsia="ru-RU"/>
    </w:rPr>
  </w:style>
  <w:style w:type="paragraph" w:customStyle="1" w:styleId="CaptionSubtitle">
    <w:name w:val="Caption: Subtitle"/>
    <w:rsid w:val="0045493E"/>
    <w:pPr>
      <w:spacing w:after="160" w:line="259" w:lineRule="auto"/>
    </w:pPr>
    <w:rPr>
      <w:rFonts w:ascii="Arial" w:hAnsi="Arial"/>
      <w:sz w:val="18"/>
      <w:szCs w:val="22"/>
    </w:rPr>
  </w:style>
  <w:style w:type="character" w:customStyle="1" w:styleId="FootnoteTextChar">
    <w:name w:val="Footnote Text Char"/>
    <w:aliases w:val="fn Char3,ADB Char2,single space Char1,footnote text Char Char1,fn Char Char1,ADB Char Char1,single space Char Char Char1,footnote text Char2,FOOTNOTES Char Char1,FOOTNOTES Char Char Char Char1,FOOTNOTES Char2,f Char1,Footnote Char"/>
    <w:link w:val="FootnoteText"/>
    <w:uiPriority w:val="99"/>
    <w:rsid w:val="0045493E"/>
    <w:rPr>
      <w:rFonts w:ascii="GHEA Grapalat" w:hAnsi="GHEA Grapalat"/>
      <w:sz w:val="16"/>
      <w:szCs w:val="20"/>
    </w:rPr>
  </w:style>
  <w:style w:type="paragraph" w:customStyle="1" w:styleId="Tabletext">
    <w:name w:val="Tabletext"/>
    <w:basedOn w:val="Normal"/>
    <w:rsid w:val="0045493E"/>
    <w:pPr>
      <w:overflowPunct w:val="0"/>
      <w:autoSpaceDE w:val="0"/>
      <w:autoSpaceDN w:val="0"/>
      <w:adjustRightInd w:val="0"/>
      <w:ind w:left="153" w:hanging="153"/>
      <w:textAlignment w:val="baseline"/>
    </w:pPr>
    <w:rPr>
      <w:sz w:val="18"/>
      <w:szCs w:val="20"/>
      <w:lang w:val="en-GB"/>
    </w:rPr>
  </w:style>
  <w:style w:type="paragraph" w:customStyle="1" w:styleId="CaptionTable">
    <w:name w:val="Caption_Table"/>
    <w:basedOn w:val="Caption"/>
    <w:qFormat/>
    <w:rsid w:val="0045493E"/>
    <w:pPr>
      <w:ind w:left="1325" w:hanging="1325"/>
    </w:pPr>
    <w:rPr>
      <w:rFonts w:ascii="Arial Armenian" w:hAnsi="Arial Armenian"/>
      <w:lang w:val="en-GB"/>
    </w:rPr>
  </w:style>
  <w:style w:type="paragraph" w:customStyle="1" w:styleId="xl34">
    <w:name w:val="xl34"/>
    <w:basedOn w:val="Normal"/>
    <w:qFormat/>
    <w:rsid w:val="0045493E"/>
    <w:pPr>
      <w:spacing w:before="100" w:beforeAutospacing="1" w:after="100" w:afterAutospacing="1"/>
      <w:jc w:val="center"/>
    </w:pPr>
    <w:rPr>
      <w:rFonts w:ascii="Arial Armenian" w:eastAsia="Arial Unicode MS" w:hAnsi="Arial Armenian" w:cs="Arial Unicode MS"/>
      <w:sz w:val="16"/>
      <w:szCs w:val="16"/>
    </w:rPr>
  </w:style>
  <w:style w:type="paragraph" w:customStyle="1" w:styleId="Tablefirstcolumn">
    <w:name w:val="Table_first column"/>
    <w:basedOn w:val="Normal"/>
    <w:rsid w:val="0045493E"/>
    <w:pPr>
      <w:spacing w:before="60"/>
    </w:pPr>
    <w:rPr>
      <w:rFonts w:ascii="Arial Armenian" w:hAnsi="Arial Armenian"/>
      <w:sz w:val="16"/>
      <w:szCs w:val="20"/>
      <w:lang w:val="en-GB"/>
    </w:rPr>
  </w:style>
  <w:style w:type="paragraph" w:customStyle="1" w:styleId="xl25">
    <w:name w:val="xl25"/>
    <w:basedOn w:val="Normal"/>
    <w:rsid w:val="0045493E"/>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i/>
      <w:iCs/>
      <w:sz w:val="16"/>
      <w:szCs w:val="16"/>
    </w:rPr>
  </w:style>
  <w:style w:type="paragraph" w:customStyle="1" w:styleId="BodyTextIndentTableSourceTableSourceCharBodyTextIndentChar">
    <w:name w:val="Body Text Indent.(Table Source).(Table Source) Char.Body Text Indent Char"/>
    <w:basedOn w:val="BodyTextMainTextdateBodyTextMaintext"/>
    <w:next w:val="Normal"/>
    <w:rsid w:val="0045493E"/>
    <w:pPr>
      <w:spacing w:before="60" w:after="60" w:line="240" w:lineRule="auto"/>
    </w:pPr>
    <w:rPr>
      <w:i/>
      <w:sz w:val="16"/>
    </w:rPr>
  </w:style>
  <w:style w:type="paragraph" w:customStyle="1" w:styleId="Tablefirstrow">
    <w:name w:val="Table_first row"/>
    <w:basedOn w:val="Normal"/>
    <w:rsid w:val="0045493E"/>
    <w:pPr>
      <w:widowControl w:val="0"/>
      <w:spacing w:before="60"/>
      <w:jc w:val="right"/>
    </w:pPr>
    <w:rPr>
      <w:rFonts w:ascii="Arial Armenian" w:hAnsi="Arial Armenian"/>
      <w:b/>
      <w:sz w:val="16"/>
      <w:szCs w:val="20"/>
      <w:lang w:val="en-GB"/>
    </w:rPr>
  </w:style>
  <w:style w:type="paragraph" w:customStyle="1" w:styleId="FootnoteTextfnADBsinglespacefootnotetextCharFootnoteTextCharfnCharADBCharsinglespaceCharChar">
    <w:name w:val="Footnote Text.fn.ADB.single space.footnote text Char.Footnote Text Char.fn Char.ADB Char.single space Char Char"/>
    <w:basedOn w:val="Normal"/>
    <w:rsid w:val="0045493E"/>
    <w:rPr>
      <w:rFonts w:ascii="Arial Armenian" w:hAnsi="Arial Armenian"/>
      <w:i/>
      <w:sz w:val="18"/>
      <w:lang w:val="en-GB"/>
    </w:rPr>
  </w:style>
  <w:style w:type="character" w:customStyle="1" w:styleId="BalloonTextChar">
    <w:name w:val="Balloon Text Char"/>
    <w:link w:val="BalloonText"/>
    <w:uiPriority w:val="99"/>
    <w:qFormat/>
    <w:rsid w:val="0045493E"/>
    <w:rPr>
      <w:rFonts w:ascii="Tahoma" w:hAnsi="Tahoma" w:cs="Tahoma"/>
      <w:sz w:val="16"/>
      <w:szCs w:val="16"/>
    </w:rPr>
  </w:style>
  <w:style w:type="paragraph" w:customStyle="1" w:styleId="ListParagraph3">
    <w:name w:val="List Paragraph3"/>
    <w:aliases w:val="Akapit z listą BS,List Paragraph 1,List_Paragraph,Multilevel para_II,Bullet1,Bullets,References,List Paragraph (numbered (a)),IBL List Paragraph,List Paragraph nowy,Numbered List Paragraph,List Paragraph-ExecSummary,List Paragraph31,Ha"/>
    <w:basedOn w:val="Normal"/>
    <w:link w:val="ListParagraphChar"/>
    <w:qFormat/>
    <w:rsid w:val="0045493E"/>
    <w:pPr>
      <w:ind w:left="720"/>
      <w:contextualSpacing/>
    </w:pPr>
  </w:style>
  <w:style w:type="character" w:customStyle="1" w:styleId="HeaderChar1">
    <w:name w:val="Header Char1"/>
    <w:aliases w:val="Header Char Char Char Char Char Char Char Char Char Char Char,Header Char Char Char Char Char Char Char Char Char Char Char Char Char,h Char"/>
    <w:link w:val="Header"/>
    <w:uiPriority w:val="99"/>
    <w:rsid w:val="0045493E"/>
    <w:rPr>
      <w:sz w:val="24"/>
      <w:szCs w:val="24"/>
    </w:rPr>
  </w:style>
  <w:style w:type="paragraph" w:customStyle="1" w:styleId="H1-intro">
    <w:name w:val="H1-intro"/>
    <w:basedOn w:val="Heading1"/>
    <w:rsid w:val="0045493E"/>
    <w:pPr>
      <w:widowControl w:val="0"/>
      <w:tabs>
        <w:tab w:val="left" w:pos="-284"/>
      </w:tabs>
      <w:spacing w:before="0" w:after="0"/>
      <w:ind w:right="-51"/>
      <w:jc w:val="center"/>
    </w:pPr>
    <w:rPr>
      <w:rFonts w:ascii="Times Armenian" w:hAnsi="Times Armenian"/>
      <w:bCs w:val="0"/>
      <w:iCs/>
      <w:spacing w:val="60"/>
      <w:kern w:val="28"/>
      <w:sz w:val="28"/>
      <w:lang w:val="es-ES"/>
    </w:rPr>
  </w:style>
  <w:style w:type="character" w:customStyle="1" w:styleId="TitleChar1">
    <w:name w:val="Title Char1"/>
    <w:rsid w:val="0045493E"/>
    <w:rPr>
      <w:rFonts w:ascii="Arial Armenian" w:hAnsi="Arial Armenian"/>
      <w:b/>
      <w:bCs/>
      <w:sz w:val="24"/>
      <w:szCs w:val="24"/>
      <w:lang w:val="fr-FR"/>
    </w:rPr>
  </w:style>
  <w:style w:type="paragraph" w:customStyle="1" w:styleId="CaptionGraph">
    <w:name w:val="Caption_Graph"/>
    <w:basedOn w:val="Caption"/>
    <w:qFormat/>
    <w:rsid w:val="0045493E"/>
    <w:pPr>
      <w:spacing w:before="120"/>
      <w:ind w:left="1325" w:hanging="1325"/>
    </w:pPr>
    <w:rPr>
      <w:lang w:val="it-IT"/>
    </w:rPr>
  </w:style>
  <w:style w:type="paragraph" w:customStyle="1" w:styleId="graphtable">
    <w:name w:val="graph&amp;table"/>
    <w:basedOn w:val="BodyText"/>
    <w:next w:val="BodyTextIndent"/>
    <w:rsid w:val="0045493E"/>
    <w:pPr>
      <w:widowControl w:val="0"/>
      <w:spacing w:before="60" w:after="60"/>
    </w:pPr>
    <w:rPr>
      <w:rFonts w:ascii="Arial Armenian" w:hAnsi="Arial Armenian"/>
      <w:sz w:val="20"/>
      <w:szCs w:val="20"/>
      <w:lang w:val="en-GB"/>
    </w:rPr>
  </w:style>
  <w:style w:type="paragraph" w:customStyle="1" w:styleId="BodyTextdate">
    <w:name w:val="Body Text.date"/>
    <w:basedOn w:val="Normal"/>
    <w:rsid w:val="0045493E"/>
    <w:pPr>
      <w:widowControl w:val="0"/>
      <w:spacing w:after="120" w:line="360" w:lineRule="auto"/>
    </w:pPr>
    <w:rPr>
      <w:rFonts w:ascii="Arial Armenian" w:hAnsi="Arial Armenian"/>
      <w:spacing w:val="-5"/>
      <w:sz w:val="20"/>
      <w:szCs w:val="20"/>
      <w:lang w:val="en-GB"/>
    </w:rPr>
  </w:style>
  <w:style w:type="character" w:customStyle="1" w:styleId="CaptionGraphChar">
    <w:name w:val="Caption_Graph Char"/>
    <w:rsid w:val="0045493E"/>
    <w:rPr>
      <w:rFonts w:ascii="Arial Armenian" w:hAnsi="Arial Armenian"/>
      <w:b/>
      <w:sz w:val="20"/>
    </w:rPr>
  </w:style>
  <w:style w:type="paragraph" w:customStyle="1" w:styleId="CoverSubTitle">
    <w:name w:val="Cover SubTitle"/>
    <w:basedOn w:val="Normal"/>
    <w:rsid w:val="0045493E"/>
    <w:pPr>
      <w:widowControl w:val="0"/>
      <w:overflowPunct w:val="0"/>
      <w:autoSpaceDE w:val="0"/>
      <w:autoSpaceDN w:val="0"/>
      <w:adjustRightInd w:val="0"/>
      <w:spacing w:line="440" w:lineRule="exact"/>
      <w:jc w:val="center"/>
      <w:textAlignment w:val="baseline"/>
    </w:pPr>
    <w:rPr>
      <w:sz w:val="32"/>
      <w:szCs w:val="20"/>
    </w:rPr>
  </w:style>
  <w:style w:type="paragraph" w:customStyle="1" w:styleId="Heading5Side">
    <w:name w:val="Heading 5.Side"/>
    <w:basedOn w:val="Normal"/>
    <w:next w:val="Normal"/>
    <w:rsid w:val="0045493E"/>
    <w:pPr>
      <w:keepNext/>
      <w:spacing w:line="360" w:lineRule="auto"/>
      <w:outlineLvl w:val="4"/>
    </w:pPr>
    <w:rPr>
      <w:rFonts w:ascii="Times LatArm" w:hAnsi="Times LatArm"/>
      <w:szCs w:val="20"/>
      <w:lang w:val="en-NZ"/>
    </w:rPr>
  </w:style>
  <w:style w:type="paragraph" w:customStyle="1" w:styleId="23">
    <w:name w:val="çàãîëîâîê 2"/>
    <w:basedOn w:val="Normal"/>
    <w:next w:val="Normal"/>
    <w:rsid w:val="0045493E"/>
    <w:pPr>
      <w:keepNext/>
      <w:overflowPunct w:val="0"/>
      <w:autoSpaceDE w:val="0"/>
      <w:autoSpaceDN w:val="0"/>
      <w:adjustRightInd w:val="0"/>
    </w:pPr>
    <w:rPr>
      <w:rFonts w:ascii="Arial Armenian" w:hAnsi="Arial Armenian"/>
      <w:szCs w:val="20"/>
    </w:rPr>
  </w:style>
  <w:style w:type="paragraph" w:customStyle="1" w:styleId="BodyTextMainTextdate">
    <w:name w:val="Body Text.(Main Text).date"/>
    <w:basedOn w:val="Normal"/>
    <w:rsid w:val="0045493E"/>
    <w:pPr>
      <w:jc w:val="center"/>
    </w:pPr>
    <w:rPr>
      <w:rFonts w:ascii="Times LatArm" w:hAnsi="Times LatArm"/>
      <w:b/>
      <w:i/>
      <w:sz w:val="28"/>
      <w:szCs w:val="20"/>
    </w:rPr>
  </w:style>
  <w:style w:type="paragraph" w:customStyle="1" w:styleId="CaptionAnnexedTable">
    <w:name w:val="Caption_Annexed Table"/>
    <w:basedOn w:val="Caption"/>
    <w:rsid w:val="0045493E"/>
    <w:pPr>
      <w:spacing w:before="120"/>
      <w:ind w:left="1325" w:hanging="1325"/>
    </w:pPr>
  </w:style>
  <w:style w:type="paragraph" w:customStyle="1" w:styleId="xl28">
    <w:name w:val="xl28"/>
    <w:basedOn w:val="Normal"/>
    <w:rsid w:val="0045493E"/>
    <w:pPr>
      <w:pBdr>
        <w:top w:val="single" w:sz="4" w:space="0" w:color="auto"/>
        <w:left w:val="single" w:sz="4" w:space="0" w:color="auto"/>
        <w:right w:val="single" w:sz="4" w:space="0" w:color="auto"/>
      </w:pBdr>
      <w:shd w:val="clear" w:color="auto" w:fill="FFFFFF"/>
      <w:spacing w:before="100" w:beforeAutospacing="1" w:after="100" w:afterAutospacing="1"/>
      <w:textAlignment w:val="top"/>
    </w:pPr>
    <w:rPr>
      <w:rFonts w:ascii="Times Armenian" w:eastAsia="Arial Unicode MS" w:hAnsi="Times Armenian" w:cs="Arial Unicode MS"/>
      <w:b/>
      <w:bCs/>
      <w:sz w:val="16"/>
      <w:szCs w:val="16"/>
    </w:rPr>
  </w:style>
  <w:style w:type="paragraph" w:customStyle="1" w:styleId="xl57">
    <w:name w:val="xl57"/>
    <w:basedOn w:val="Normal"/>
    <w:rsid w:val="0045493E"/>
    <w:pPr>
      <w:pBdr>
        <w:bottom w:val="single" w:sz="4" w:space="0" w:color="auto"/>
        <w:right w:val="single" w:sz="4" w:space="0" w:color="auto"/>
      </w:pBdr>
      <w:spacing w:before="100" w:after="100"/>
    </w:pPr>
    <w:rPr>
      <w:rFonts w:ascii="Times Armenian" w:eastAsia="Arial Unicode MS" w:hAnsi="Times Armenian"/>
      <w:sz w:val="16"/>
      <w:szCs w:val="20"/>
    </w:rPr>
  </w:style>
  <w:style w:type="character" w:customStyle="1" w:styleId="PlainTextChar">
    <w:name w:val="Plain Text Char"/>
    <w:link w:val="PlainText"/>
    <w:rsid w:val="0045493E"/>
    <w:rPr>
      <w:rFonts w:ascii="Courier New" w:hAnsi="Courier New"/>
    </w:rPr>
  </w:style>
  <w:style w:type="paragraph" w:customStyle="1" w:styleId="Armenian">
    <w:name w:val="Armenian"/>
    <w:basedOn w:val="Normal"/>
    <w:rsid w:val="0045493E"/>
    <w:pPr>
      <w:autoSpaceDE w:val="0"/>
      <w:autoSpaceDN w:val="0"/>
    </w:pPr>
    <w:rPr>
      <w:rFonts w:ascii="Times LatArm" w:hAnsi="Times LatArm"/>
      <w:sz w:val="20"/>
    </w:rPr>
  </w:style>
  <w:style w:type="paragraph" w:customStyle="1" w:styleId="Vernagir">
    <w:name w:val="Vernagir"/>
    <w:basedOn w:val="Normal"/>
    <w:next w:val="Normal"/>
    <w:rsid w:val="0045493E"/>
    <w:pPr>
      <w:autoSpaceDE w:val="0"/>
      <w:autoSpaceDN w:val="0"/>
      <w:spacing w:before="240" w:after="120"/>
      <w:jc w:val="center"/>
    </w:pPr>
    <w:rPr>
      <w:rFonts w:ascii="Times Armenian" w:hAnsi="Times Armenian"/>
      <w:b/>
      <w:bCs/>
      <w:sz w:val="20"/>
    </w:rPr>
  </w:style>
  <w:style w:type="paragraph" w:customStyle="1" w:styleId="xl44">
    <w:name w:val="xl44"/>
    <w:basedOn w:val="Normal"/>
    <w:rsid w:val="0045493E"/>
    <w:pPr>
      <w:pBdr>
        <w:bottom w:val="single" w:sz="4" w:space="0" w:color="auto"/>
        <w:right w:val="single" w:sz="4" w:space="0" w:color="auto"/>
      </w:pBdr>
      <w:shd w:val="clear" w:color="auto" w:fill="00FF00"/>
      <w:spacing w:before="100" w:after="100"/>
      <w:jc w:val="center"/>
      <w:textAlignment w:val="top"/>
    </w:pPr>
    <w:rPr>
      <w:rFonts w:ascii="Arial Armenian" w:eastAsia="Arial Unicode MS" w:hAnsi="Arial Armenian"/>
      <w:sz w:val="16"/>
      <w:szCs w:val="20"/>
    </w:rPr>
  </w:style>
  <w:style w:type="paragraph" w:customStyle="1" w:styleId="Heading3Sub-ChapterCenteredtext">
    <w:name w:val="Heading 3.(Sub-Chapter).Centered.(text)"/>
    <w:basedOn w:val="Normal"/>
    <w:next w:val="BodyTextMainTextdateBodyTextMaintext"/>
    <w:rsid w:val="0045493E"/>
    <w:pPr>
      <w:keepNext/>
      <w:widowControl w:val="0"/>
      <w:tabs>
        <w:tab w:val="left" w:pos="624"/>
      </w:tabs>
      <w:spacing w:before="240" w:after="240"/>
      <w:outlineLvl w:val="2"/>
    </w:pPr>
    <w:rPr>
      <w:rFonts w:ascii="Times Armenian" w:hAnsi="Times Armenian"/>
      <w:b/>
      <w:lang w:val="af-ZA"/>
    </w:rPr>
  </w:style>
  <w:style w:type="paragraph" w:customStyle="1" w:styleId="BoxTitle">
    <w:name w:val="Box_Title"/>
    <w:basedOn w:val="Caption"/>
    <w:rsid w:val="0045493E"/>
    <w:pPr>
      <w:spacing w:before="60" w:after="120"/>
      <w:ind w:left="1325" w:hanging="1325"/>
    </w:pPr>
    <w:rPr>
      <w:lang w:val="fr-FR"/>
    </w:rPr>
  </w:style>
  <w:style w:type="paragraph" w:customStyle="1" w:styleId="TOCBase">
    <w:name w:val="TOC Base"/>
    <w:basedOn w:val="Normal"/>
    <w:rsid w:val="0045493E"/>
    <w:pPr>
      <w:tabs>
        <w:tab w:val="right" w:leader="dot" w:pos="8505"/>
      </w:tabs>
      <w:overflowPunct w:val="0"/>
      <w:autoSpaceDE w:val="0"/>
      <w:autoSpaceDN w:val="0"/>
      <w:adjustRightInd w:val="0"/>
      <w:textAlignment w:val="baseline"/>
    </w:pPr>
    <w:rPr>
      <w:rFonts w:ascii="Gill Sans" w:hAnsi="Gill Sans"/>
      <w:szCs w:val="20"/>
    </w:rPr>
  </w:style>
  <w:style w:type="paragraph" w:customStyle="1" w:styleId="Bulets">
    <w:name w:val="Bulets"/>
    <w:basedOn w:val="Normal"/>
    <w:next w:val="Normal"/>
    <w:rsid w:val="0045493E"/>
    <w:pPr>
      <w:tabs>
        <w:tab w:val="left" w:pos="360"/>
      </w:tabs>
      <w:ind w:left="357" w:hanging="357"/>
    </w:pPr>
    <w:rPr>
      <w:rFonts w:ascii="Times Armenian" w:hAnsi="Times Armenian"/>
      <w:sz w:val="20"/>
      <w:szCs w:val="20"/>
    </w:rPr>
  </w:style>
  <w:style w:type="paragraph" w:customStyle="1" w:styleId="Numbering">
    <w:name w:val="Numbering"/>
    <w:basedOn w:val="Normal"/>
    <w:next w:val="Normal"/>
    <w:rsid w:val="0045493E"/>
    <w:pPr>
      <w:tabs>
        <w:tab w:val="left" w:pos="360"/>
      </w:tabs>
      <w:ind w:left="360" w:hanging="360"/>
    </w:pPr>
    <w:rPr>
      <w:rFonts w:ascii="Times Armenian" w:hAnsi="Times Armenian"/>
      <w:sz w:val="20"/>
      <w:szCs w:val="20"/>
    </w:rPr>
  </w:style>
  <w:style w:type="paragraph" w:customStyle="1" w:styleId="Bulet-2">
    <w:name w:val="Bulet-2"/>
    <w:basedOn w:val="Normal"/>
    <w:rsid w:val="0045493E"/>
    <w:pPr>
      <w:tabs>
        <w:tab w:val="left" w:pos="454"/>
      </w:tabs>
      <w:ind w:left="454" w:hanging="454"/>
    </w:pPr>
    <w:rPr>
      <w:rFonts w:ascii="Times Armenian" w:hAnsi="Times Armenian"/>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rsid w:val="0045493E"/>
    <w:pPr>
      <w:spacing w:after="120"/>
      <w:ind w:left="360"/>
    </w:pPr>
    <w:rPr>
      <w:sz w:val="20"/>
    </w:rPr>
  </w:style>
  <w:style w:type="paragraph" w:customStyle="1" w:styleId="StyleHeading120pt">
    <w:name w:val="Style Heading 1 + 20 pt"/>
    <w:basedOn w:val="Heading1"/>
    <w:rsid w:val="0045493E"/>
    <w:pPr>
      <w:spacing w:before="0" w:after="0"/>
    </w:pPr>
    <w:rPr>
      <w:rFonts w:ascii="Times Armenian" w:hAnsi="Times Armenian"/>
      <w:sz w:val="40"/>
      <w:szCs w:val="24"/>
    </w:rPr>
  </w:style>
  <w:style w:type="paragraph" w:customStyle="1" w:styleId="StyleHeading216ptBoldLightBlueLeft025">
    <w:name w:val="Style Heading 2 + 16 pt Bold Light Blue Left:  0.25&quot;"/>
    <w:basedOn w:val="Heading2"/>
    <w:rsid w:val="0045493E"/>
    <w:pPr>
      <w:ind w:left="360"/>
    </w:pPr>
    <w:rPr>
      <w:color w:val="3366FF"/>
      <w:spacing w:val="24"/>
    </w:rPr>
  </w:style>
  <w:style w:type="character" w:customStyle="1" w:styleId="SubtitleChar">
    <w:name w:val="Subtitle Char"/>
    <w:basedOn w:val="DefaultParagraphFont"/>
    <w:link w:val="Subtitle"/>
    <w:rsid w:val="0045493E"/>
    <w:rPr>
      <w:rFonts w:asciiTheme="majorHAnsi" w:eastAsiaTheme="majorEastAsia" w:hAnsiTheme="majorHAnsi" w:cstheme="majorBidi"/>
      <w:i/>
      <w:iCs/>
      <w:spacing w:val="13"/>
      <w:sz w:val="24"/>
      <w:szCs w:val="24"/>
    </w:rPr>
  </w:style>
  <w:style w:type="paragraph" w:customStyle="1" w:styleId="BodyTextIndentTableSource">
    <w:name w:val="Body Text Indent.(Table Source)"/>
    <w:basedOn w:val="Normal"/>
    <w:rsid w:val="0045493E"/>
    <w:pPr>
      <w:spacing w:line="360" w:lineRule="auto"/>
      <w:ind w:firstLine="540"/>
    </w:pPr>
    <w:rPr>
      <w:rFonts w:ascii="Times LatArm" w:hAnsi="Times LatArm"/>
      <w:szCs w:val="20"/>
    </w:rPr>
  </w:style>
  <w:style w:type="character" w:customStyle="1" w:styleId="TableTitleCharCharCharCharCharCharCharCharCharCharChar">
    <w:name w:val="(Table Title) Char Char Char Char Char Char Char Char Char Char Char"/>
    <w:aliases w:val="Caption1,(Table Title)1"/>
    <w:rsid w:val="0045493E"/>
    <w:rPr>
      <w:rFonts w:ascii="Arial Armenian" w:hAnsi="Arial Armenian"/>
      <w:b/>
      <w:lang w:val="en-GB" w:eastAsia="en-US" w:bidi="ar-SA"/>
    </w:rPr>
  </w:style>
  <w:style w:type="paragraph" w:customStyle="1" w:styleId="xl26">
    <w:name w:val="xl26"/>
    <w:basedOn w:val="Normal"/>
    <w:rsid w:val="0045493E"/>
    <w:pPr>
      <w:pBdr>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sz w:val="16"/>
      <w:szCs w:val="16"/>
    </w:rPr>
  </w:style>
  <w:style w:type="paragraph" w:customStyle="1" w:styleId="xl27">
    <w:name w:val="xl27"/>
    <w:basedOn w:val="Normal"/>
    <w:rsid w:val="0045493E"/>
    <w:pPr>
      <w:pBdr>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sz w:val="16"/>
      <w:szCs w:val="16"/>
    </w:rPr>
  </w:style>
  <w:style w:type="paragraph" w:customStyle="1" w:styleId="xl29">
    <w:name w:val="xl29"/>
    <w:basedOn w:val="Normal"/>
    <w:rsid w:val="0045493E"/>
    <w:pPr>
      <w:pBdr>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Times Armenian" w:eastAsia="Arial Unicode MS" w:hAnsi="Times Armenian" w:cs="Arial Unicode MS"/>
      <w:b/>
      <w:bCs/>
      <w:sz w:val="16"/>
      <w:szCs w:val="16"/>
    </w:rPr>
  </w:style>
  <w:style w:type="paragraph" w:customStyle="1" w:styleId="xl30">
    <w:name w:val="xl30"/>
    <w:basedOn w:val="Normal"/>
    <w:rsid w:val="0045493E"/>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31">
    <w:name w:val="xl31"/>
    <w:basedOn w:val="Normal"/>
    <w:rsid w:val="004549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Armenian" w:eastAsia="Arial Unicode MS" w:hAnsi="Times Armenian" w:cs="Arial Unicode MS"/>
      <w:sz w:val="16"/>
      <w:szCs w:val="16"/>
    </w:rPr>
  </w:style>
  <w:style w:type="paragraph" w:customStyle="1" w:styleId="xl43">
    <w:name w:val="xl43"/>
    <w:basedOn w:val="Normal"/>
    <w:rsid w:val="0045493E"/>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sz w:val="16"/>
      <w:szCs w:val="16"/>
    </w:rPr>
  </w:style>
  <w:style w:type="paragraph" w:customStyle="1" w:styleId="BoxText">
    <w:name w:val="Box Text"/>
    <w:basedOn w:val="BodyText"/>
    <w:rsid w:val="0045493E"/>
    <w:pPr>
      <w:framePr w:w="9639" w:h="6855" w:hRule="exact" w:hSpace="181" w:wrap="notBeside" w:vAnchor="text" w:hAnchor="page" w:x="1124" w:y="7"/>
      <w:widowControl w:val="0"/>
      <w:pBdr>
        <w:top w:val="single" w:sz="12" w:space="7" w:color="auto"/>
        <w:left w:val="single" w:sz="12" w:space="7" w:color="auto"/>
        <w:bottom w:val="single" w:sz="12" w:space="7" w:color="auto"/>
        <w:right w:val="single" w:sz="12" w:space="7" w:color="auto"/>
      </w:pBdr>
      <w:spacing w:line="360" w:lineRule="auto"/>
      <w:ind w:firstLine="652"/>
      <w:suppressOverlap/>
    </w:pPr>
    <w:rPr>
      <w:rFonts w:ascii="Arial Armenian" w:hAnsi="Arial Armenian"/>
      <w:sz w:val="20"/>
      <w:szCs w:val="20"/>
      <w:lang w:val="it-IT"/>
    </w:rPr>
  </w:style>
  <w:style w:type="paragraph" w:customStyle="1" w:styleId="BulletAB1">
    <w:name w:val="Bullet AB1"/>
    <w:basedOn w:val="Normal"/>
    <w:rsid w:val="0045493E"/>
    <w:pPr>
      <w:tabs>
        <w:tab w:val="left" w:pos="360"/>
        <w:tab w:val="left" w:pos="1008"/>
      </w:tabs>
      <w:ind w:left="360" w:hanging="360"/>
    </w:pPr>
    <w:rPr>
      <w:sz w:val="21"/>
      <w:szCs w:val="20"/>
      <w:lang w:val="en-GB"/>
    </w:rPr>
  </w:style>
  <w:style w:type="paragraph" w:customStyle="1" w:styleId="Style1">
    <w:name w:val="Style1"/>
    <w:basedOn w:val="BodyText"/>
    <w:rsid w:val="0045493E"/>
    <w:pPr>
      <w:tabs>
        <w:tab w:val="left" w:pos="360"/>
        <w:tab w:val="left" w:pos="720"/>
        <w:tab w:val="left" w:pos="900"/>
        <w:tab w:val="left" w:pos="9029"/>
      </w:tabs>
      <w:spacing w:after="0" w:line="360" w:lineRule="auto"/>
      <w:ind w:left="720" w:hanging="360"/>
    </w:pPr>
    <w:rPr>
      <w:rFonts w:ascii="Arial Armenian" w:hAnsi="Arial Armenian"/>
      <w:i/>
      <w:szCs w:val="20"/>
      <w:lang w:val="af-ZA"/>
    </w:rPr>
  </w:style>
  <w:style w:type="paragraph" w:customStyle="1" w:styleId="Tables">
    <w:name w:val="Tables"/>
    <w:basedOn w:val="BodyText2"/>
    <w:qFormat/>
    <w:rsid w:val="0045493E"/>
    <w:pPr>
      <w:spacing w:after="0" w:line="240" w:lineRule="auto"/>
    </w:pPr>
    <w:rPr>
      <w:b/>
      <w:bCs/>
      <w:iCs/>
      <w:sz w:val="22"/>
      <w:szCs w:val="24"/>
      <w:lang w:val="en-US" w:eastAsia="en-US"/>
    </w:rPr>
  </w:style>
  <w:style w:type="paragraph" w:customStyle="1" w:styleId="wolort">
    <w:name w:val="wolort"/>
    <w:basedOn w:val="Normal"/>
    <w:rsid w:val="0045493E"/>
    <w:pPr>
      <w:jc w:val="center"/>
    </w:pPr>
    <w:rPr>
      <w:rFonts w:ascii="Arial Armenian" w:hAnsi="Arial Armenian"/>
      <w:b/>
    </w:rPr>
  </w:style>
  <w:style w:type="character" w:customStyle="1" w:styleId="Heading4Char">
    <w:name w:val="Heading 4 Char"/>
    <w:aliases w:val="Centred Char"/>
    <w:basedOn w:val="DefaultParagraphFont"/>
    <w:link w:val="Heading4"/>
    <w:rsid w:val="0045493E"/>
    <w:rPr>
      <w:rFonts w:ascii="GHEA Grapalat" w:hAnsi="GHEA Grapalat"/>
      <w:b/>
      <w:color w:val="0070C0"/>
      <w:sz w:val="22"/>
      <w:szCs w:val="22"/>
      <w:lang w:val="hy-AM"/>
    </w:rPr>
  </w:style>
  <w:style w:type="paragraph" w:customStyle="1" w:styleId="Tabletext0">
    <w:name w:val="Table text"/>
    <w:basedOn w:val="Normal"/>
    <w:rsid w:val="0045493E"/>
    <w:pPr>
      <w:overflowPunct w:val="0"/>
      <w:autoSpaceDE w:val="0"/>
      <w:autoSpaceDN w:val="0"/>
      <w:adjustRightInd w:val="0"/>
      <w:spacing w:before="60" w:line="240" w:lineRule="atLeast"/>
      <w:textAlignment w:val="baseline"/>
    </w:pPr>
    <w:rPr>
      <w:sz w:val="18"/>
      <w:szCs w:val="20"/>
      <w:lang w:val="en-GB"/>
    </w:rPr>
  </w:style>
  <w:style w:type="paragraph" w:customStyle="1" w:styleId="MessageText">
    <w:name w:val="Message Text"/>
    <w:basedOn w:val="BodyText"/>
    <w:rsid w:val="0045493E"/>
    <w:pPr>
      <w:widowControl w:val="0"/>
      <w:spacing w:line="360" w:lineRule="auto"/>
      <w:ind w:firstLine="652"/>
    </w:pPr>
    <w:rPr>
      <w:rFonts w:ascii="Arial Armenian" w:hAnsi="Arial Armenian"/>
      <w:szCs w:val="20"/>
      <w:lang w:val="en-GB"/>
    </w:rPr>
  </w:style>
  <w:style w:type="paragraph" w:customStyle="1" w:styleId="Heading41">
    <w:name w:val="Heading 41"/>
    <w:aliases w:val="Centred1"/>
    <w:basedOn w:val="Normal"/>
    <w:rsid w:val="0045493E"/>
    <w:pPr>
      <w:widowControl w:val="0"/>
      <w:tabs>
        <w:tab w:val="left" w:pos="1080"/>
      </w:tabs>
      <w:ind w:left="737" w:hanging="737"/>
    </w:pPr>
    <w:rPr>
      <w:rFonts w:ascii="Arial Armenian" w:hAnsi="Arial Armenian"/>
      <w:sz w:val="20"/>
      <w:szCs w:val="20"/>
      <w:lang w:val="en-GB"/>
    </w:rPr>
  </w:style>
  <w:style w:type="paragraph" w:customStyle="1" w:styleId="PRAMO">
    <w:name w:val="PRAMO"/>
    <w:basedOn w:val="Normal"/>
    <w:rsid w:val="0045493E"/>
    <w:pPr>
      <w:tabs>
        <w:tab w:val="left" w:pos="216"/>
        <w:tab w:val="left" w:pos="360"/>
        <w:tab w:val="left" w:pos="1418"/>
        <w:tab w:val="left" w:pos="1800"/>
        <w:tab w:val="left" w:pos="2835"/>
        <w:tab w:val="left" w:pos="3240"/>
        <w:tab w:val="left" w:pos="3960"/>
        <w:tab w:val="left" w:pos="4680"/>
        <w:tab w:val="left" w:pos="5400"/>
        <w:tab w:val="left" w:pos="6120"/>
        <w:tab w:val="left" w:pos="6840"/>
        <w:tab w:val="left" w:pos="7560"/>
        <w:tab w:val="left" w:pos="8280"/>
      </w:tabs>
    </w:pPr>
    <w:rPr>
      <w:rFonts w:ascii="Arial" w:hAnsi="Arial"/>
      <w:lang w:val="en-GB"/>
    </w:rPr>
  </w:style>
  <w:style w:type="paragraph" w:customStyle="1" w:styleId="bullet1">
    <w:name w:val="bullet1"/>
    <w:basedOn w:val="NormalIndent"/>
    <w:rsid w:val="0045493E"/>
    <w:pPr>
      <w:tabs>
        <w:tab w:val="clear" w:pos="1134"/>
        <w:tab w:val="clear" w:pos="1701"/>
        <w:tab w:val="left" w:pos="1418"/>
      </w:tabs>
      <w:ind w:left="0"/>
      <w:jc w:val="left"/>
    </w:pPr>
  </w:style>
  <w:style w:type="paragraph" w:customStyle="1" w:styleId="a8">
    <w:name w:val="????????"/>
    <w:basedOn w:val="Normal"/>
    <w:rsid w:val="0045493E"/>
    <w:pPr>
      <w:jc w:val="center"/>
    </w:pPr>
    <w:rPr>
      <w:rFonts w:ascii="Times Armenian" w:hAnsi="Times Armenian"/>
      <w:i/>
      <w:sz w:val="28"/>
      <w:szCs w:val="20"/>
      <w:lang w:eastAsia="ru-RU"/>
    </w:rPr>
  </w:style>
  <w:style w:type="paragraph" w:customStyle="1" w:styleId="13">
    <w:name w:val="???????? ????? ? ????????1"/>
    <w:basedOn w:val="2"/>
    <w:rsid w:val="0045493E"/>
    <w:pPr>
      <w:spacing w:line="360" w:lineRule="auto"/>
      <w:ind w:firstLine="720"/>
      <w:jc w:val="both"/>
    </w:pPr>
    <w:rPr>
      <w:sz w:val="28"/>
    </w:rPr>
  </w:style>
  <w:style w:type="paragraph" w:customStyle="1" w:styleId="BodyTextIndentTableSource1">
    <w:name w:val="Body Text Indent.(Table Source)1"/>
    <w:basedOn w:val="Normal"/>
    <w:rsid w:val="0045493E"/>
    <w:pPr>
      <w:ind w:firstLine="3"/>
    </w:pPr>
    <w:rPr>
      <w:rFonts w:ascii="Times Armenian" w:hAnsi="Times Armenian"/>
      <w:szCs w:val="20"/>
      <w:lang w:val="fr-FR"/>
    </w:rPr>
  </w:style>
  <w:style w:type="paragraph" w:customStyle="1" w:styleId="xl33">
    <w:name w:val="xl33"/>
    <w:basedOn w:val="Normal"/>
    <w:rsid w:val="0045493E"/>
    <w:pPr>
      <w:pBdr>
        <w:top w:val="single" w:sz="4" w:space="0" w:color="auto"/>
        <w:left w:val="single" w:sz="4" w:space="0" w:color="auto"/>
        <w:bottom w:val="single" w:sz="4" w:space="0" w:color="auto"/>
        <w:right w:val="single" w:sz="4" w:space="0" w:color="auto"/>
      </w:pBdr>
      <w:spacing w:before="100" w:after="100"/>
    </w:pPr>
    <w:rPr>
      <w:rFonts w:ascii="Arial Armenian" w:eastAsia="Arial Unicode MS" w:hAnsi="Arial Armenian"/>
      <w:b/>
      <w:i/>
      <w:sz w:val="16"/>
      <w:szCs w:val="20"/>
    </w:rPr>
  </w:style>
  <w:style w:type="paragraph" w:customStyle="1" w:styleId="xl35">
    <w:name w:val="xl35"/>
    <w:basedOn w:val="Normal"/>
    <w:rsid w:val="0045493E"/>
    <w:pPr>
      <w:pBdr>
        <w:top w:val="single" w:sz="4" w:space="0" w:color="auto"/>
        <w:left w:val="single" w:sz="4" w:space="0" w:color="auto"/>
        <w:bottom w:val="single" w:sz="4" w:space="0" w:color="auto"/>
        <w:right w:val="single" w:sz="4" w:space="0" w:color="auto"/>
      </w:pBdr>
      <w:spacing w:before="100" w:after="100"/>
      <w:jc w:val="center"/>
    </w:pPr>
    <w:rPr>
      <w:rFonts w:ascii="Arial Armenian" w:eastAsia="Arial Unicode MS" w:hAnsi="Arial Armenian"/>
      <w:i/>
      <w:sz w:val="16"/>
      <w:szCs w:val="20"/>
    </w:rPr>
  </w:style>
  <w:style w:type="paragraph" w:customStyle="1" w:styleId="xl36">
    <w:name w:val="xl36"/>
    <w:basedOn w:val="Normal"/>
    <w:rsid w:val="0045493E"/>
    <w:pPr>
      <w:pBdr>
        <w:top w:val="single" w:sz="4" w:space="0" w:color="auto"/>
        <w:left w:val="single" w:sz="4" w:space="0" w:color="auto"/>
        <w:bottom w:val="single" w:sz="4" w:space="0" w:color="auto"/>
        <w:right w:val="single" w:sz="4" w:space="0" w:color="auto"/>
      </w:pBdr>
      <w:spacing w:before="100" w:after="100"/>
      <w:jc w:val="center"/>
    </w:pPr>
    <w:rPr>
      <w:rFonts w:ascii="Arial Armenian" w:eastAsia="Arial Unicode MS" w:hAnsi="Arial Armenian"/>
      <w:sz w:val="16"/>
      <w:szCs w:val="20"/>
    </w:rPr>
  </w:style>
  <w:style w:type="paragraph" w:customStyle="1" w:styleId="xl37">
    <w:name w:val="xl37"/>
    <w:basedOn w:val="Normal"/>
    <w:rsid w:val="0045493E"/>
    <w:pPr>
      <w:pBdr>
        <w:top w:val="single" w:sz="4" w:space="0" w:color="auto"/>
        <w:left w:val="single" w:sz="4" w:space="0" w:color="auto"/>
        <w:bottom w:val="single" w:sz="4" w:space="0" w:color="auto"/>
        <w:right w:val="single" w:sz="4" w:space="0" w:color="auto"/>
      </w:pBdr>
      <w:spacing w:before="100" w:after="100"/>
      <w:textAlignment w:val="center"/>
    </w:pPr>
    <w:rPr>
      <w:rFonts w:ascii="Arial Armenian" w:eastAsia="Arial Unicode MS" w:hAnsi="Arial Armenian"/>
      <w:b/>
      <w:sz w:val="16"/>
      <w:szCs w:val="20"/>
    </w:rPr>
  </w:style>
  <w:style w:type="paragraph" w:customStyle="1" w:styleId="xl38">
    <w:name w:val="xl38"/>
    <w:basedOn w:val="Normal"/>
    <w:rsid w:val="0045493E"/>
    <w:pPr>
      <w:pBdr>
        <w:top w:val="single" w:sz="4" w:space="0" w:color="auto"/>
        <w:left w:val="single" w:sz="4" w:space="0" w:color="auto"/>
        <w:bottom w:val="single" w:sz="4" w:space="0" w:color="auto"/>
        <w:right w:val="single" w:sz="4" w:space="0" w:color="auto"/>
      </w:pBdr>
      <w:spacing w:before="100" w:after="100"/>
      <w:jc w:val="center"/>
    </w:pPr>
    <w:rPr>
      <w:rFonts w:ascii="Arial Armenian" w:eastAsia="Arial Unicode MS" w:hAnsi="Arial Armenian"/>
      <w:b/>
      <w:sz w:val="16"/>
      <w:szCs w:val="20"/>
    </w:rPr>
  </w:style>
  <w:style w:type="paragraph" w:customStyle="1" w:styleId="xl39">
    <w:name w:val="xl39"/>
    <w:basedOn w:val="Normal"/>
    <w:rsid w:val="0045493E"/>
    <w:pPr>
      <w:pBdr>
        <w:top w:val="single" w:sz="4" w:space="0" w:color="auto"/>
        <w:left w:val="single" w:sz="4" w:space="0" w:color="auto"/>
        <w:bottom w:val="single" w:sz="4" w:space="0" w:color="auto"/>
        <w:right w:val="single" w:sz="4" w:space="0" w:color="auto"/>
      </w:pBdr>
      <w:spacing w:before="100" w:after="100"/>
      <w:jc w:val="center"/>
      <w:textAlignment w:val="center"/>
    </w:pPr>
    <w:rPr>
      <w:rFonts w:ascii="Arial Armenian" w:eastAsia="Arial Unicode MS" w:hAnsi="Arial Armenian"/>
      <w:b/>
      <w:sz w:val="16"/>
      <w:szCs w:val="20"/>
    </w:rPr>
  </w:style>
  <w:style w:type="paragraph" w:customStyle="1" w:styleId="xl40">
    <w:name w:val="xl40"/>
    <w:basedOn w:val="Normal"/>
    <w:rsid w:val="0045493E"/>
    <w:pPr>
      <w:pBdr>
        <w:top w:val="single" w:sz="4" w:space="0" w:color="auto"/>
        <w:left w:val="single" w:sz="4" w:space="0" w:color="auto"/>
        <w:bottom w:val="single" w:sz="4" w:space="0" w:color="auto"/>
        <w:right w:val="single" w:sz="4" w:space="0" w:color="auto"/>
      </w:pBdr>
      <w:spacing w:before="100" w:after="100"/>
      <w:jc w:val="center"/>
      <w:textAlignment w:val="center"/>
    </w:pPr>
    <w:rPr>
      <w:rFonts w:ascii="Arial Armenian" w:eastAsia="Arial Unicode MS" w:hAnsi="Arial Armenian"/>
      <w:b/>
      <w:sz w:val="16"/>
      <w:szCs w:val="20"/>
    </w:rPr>
  </w:style>
  <w:style w:type="paragraph" w:customStyle="1" w:styleId="xl41">
    <w:name w:val="xl41"/>
    <w:basedOn w:val="Normal"/>
    <w:rsid w:val="0045493E"/>
    <w:pPr>
      <w:pBdr>
        <w:top w:val="single" w:sz="4" w:space="0" w:color="auto"/>
        <w:left w:val="single" w:sz="4" w:space="0" w:color="auto"/>
        <w:bottom w:val="single" w:sz="4" w:space="0" w:color="auto"/>
        <w:right w:val="single" w:sz="4" w:space="0" w:color="auto"/>
      </w:pBdr>
      <w:spacing w:before="100" w:after="100"/>
      <w:jc w:val="center"/>
    </w:pPr>
    <w:rPr>
      <w:rFonts w:ascii="Arial Armenian" w:eastAsia="Arial Unicode MS" w:hAnsi="Arial Armenian"/>
      <w:sz w:val="16"/>
      <w:szCs w:val="20"/>
    </w:rPr>
  </w:style>
  <w:style w:type="paragraph" w:customStyle="1" w:styleId="xl42">
    <w:name w:val="xl42"/>
    <w:basedOn w:val="Normal"/>
    <w:rsid w:val="0045493E"/>
    <w:pPr>
      <w:pBdr>
        <w:bottom w:val="single" w:sz="4" w:space="0" w:color="auto"/>
        <w:right w:val="single" w:sz="4" w:space="0" w:color="auto"/>
      </w:pBdr>
      <w:shd w:val="clear" w:color="auto" w:fill="00FF00"/>
      <w:spacing w:before="100" w:after="100"/>
      <w:jc w:val="center"/>
      <w:textAlignment w:val="top"/>
    </w:pPr>
    <w:rPr>
      <w:rFonts w:ascii="Arial Armenian" w:eastAsia="Arial Unicode MS" w:hAnsi="Arial Armenian"/>
      <w:i/>
      <w:sz w:val="16"/>
      <w:szCs w:val="20"/>
    </w:rPr>
  </w:style>
  <w:style w:type="paragraph" w:customStyle="1" w:styleId="xl45">
    <w:name w:val="xl45"/>
    <w:basedOn w:val="Normal"/>
    <w:rsid w:val="0045493E"/>
    <w:pPr>
      <w:pBdr>
        <w:top w:val="single" w:sz="4" w:space="0" w:color="auto"/>
        <w:left w:val="single" w:sz="4" w:space="0" w:color="auto"/>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i/>
      <w:sz w:val="16"/>
      <w:szCs w:val="20"/>
    </w:rPr>
  </w:style>
  <w:style w:type="paragraph" w:customStyle="1" w:styleId="xl46">
    <w:name w:val="xl46"/>
    <w:basedOn w:val="Normal"/>
    <w:rsid w:val="0045493E"/>
    <w:pPr>
      <w:pBdr>
        <w:top w:val="single" w:sz="4" w:space="0" w:color="auto"/>
        <w:left w:val="single" w:sz="4" w:space="0" w:color="auto"/>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i/>
      <w:sz w:val="16"/>
      <w:szCs w:val="20"/>
    </w:rPr>
  </w:style>
  <w:style w:type="paragraph" w:customStyle="1" w:styleId="xl47">
    <w:name w:val="xl47"/>
    <w:basedOn w:val="Normal"/>
    <w:rsid w:val="0045493E"/>
    <w:pPr>
      <w:pBdr>
        <w:bottom w:val="single" w:sz="4" w:space="0" w:color="auto"/>
        <w:right w:val="single" w:sz="4" w:space="0" w:color="auto"/>
      </w:pBdr>
      <w:shd w:val="clear" w:color="auto" w:fill="FFFFFF"/>
      <w:spacing w:before="100" w:after="100"/>
      <w:textAlignment w:val="top"/>
    </w:pPr>
    <w:rPr>
      <w:rFonts w:ascii="Arial Armenian" w:eastAsia="Arial Unicode MS" w:hAnsi="Arial Armenian"/>
      <w:i/>
      <w:sz w:val="16"/>
      <w:szCs w:val="20"/>
    </w:rPr>
  </w:style>
  <w:style w:type="paragraph" w:customStyle="1" w:styleId="xl48">
    <w:name w:val="xl48"/>
    <w:basedOn w:val="Normal"/>
    <w:rsid w:val="0045493E"/>
    <w:pPr>
      <w:pBdr>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sz w:val="16"/>
      <w:szCs w:val="20"/>
    </w:rPr>
  </w:style>
  <w:style w:type="paragraph" w:customStyle="1" w:styleId="xl49">
    <w:name w:val="xl49"/>
    <w:basedOn w:val="Normal"/>
    <w:rsid w:val="0045493E"/>
    <w:pPr>
      <w:pBdr>
        <w:top w:val="single" w:sz="4" w:space="0" w:color="auto"/>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b/>
      <w:sz w:val="18"/>
      <w:szCs w:val="20"/>
    </w:rPr>
  </w:style>
  <w:style w:type="paragraph" w:customStyle="1" w:styleId="xl50">
    <w:name w:val="xl50"/>
    <w:basedOn w:val="Normal"/>
    <w:rsid w:val="0045493E"/>
    <w:pPr>
      <w:pBdr>
        <w:top w:val="single" w:sz="4" w:space="0" w:color="auto"/>
        <w:left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51">
    <w:name w:val="xl51"/>
    <w:basedOn w:val="Normal"/>
    <w:rsid w:val="0045493E"/>
    <w:pPr>
      <w:pBdr>
        <w:left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52">
    <w:name w:val="xl52"/>
    <w:basedOn w:val="Normal"/>
    <w:qFormat/>
    <w:rsid w:val="0045493E"/>
    <w:pPr>
      <w:pBdr>
        <w:top w:val="single" w:sz="4" w:space="0" w:color="auto"/>
        <w:left w:val="single" w:sz="4" w:space="0" w:color="auto"/>
      </w:pBdr>
      <w:shd w:val="clear" w:color="auto" w:fill="FFFFFF"/>
      <w:spacing w:before="100" w:after="100"/>
      <w:jc w:val="center"/>
      <w:textAlignment w:val="top"/>
    </w:pPr>
    <w:rPr>
      <w:rFonts w:ascii="Arial Armenian" w:eastAsia="Arial Unicode MS" w:hAnsi="Arial Armenian"/>
      <w:b/>
      <w:sz w:val="14"/>
      <w:szCs w:val="20"/>
    </w:rPr>
  </w:style>
  <w:style w:type="paragraph" w:customStyle="1" w:styleId="xl53">
    <w:name w:val="xl53"/>
    <w:basedOn w:val="Normal"/>
    <w:rsid w:val="0045493E"/>
    <w:pPr>
      <w:pBdr>
        <w:top w:val="single" w:sz="4" w:space="0" w:color="auto"/>
        <w:right w:val="single" w:sz="4" w:space="0" w:color="auto"/>
      </w:pBdr>
      <w:shd w:val="clear" w:color="auto" w:fill="FFFFFF"/>
      <w:spacing w:before="100" w:after="100"/>
      <w:jc w:val="center"/>
      <w:textAlignment w:val="top"/>
    </w:pPr>
    <w:rPr>
      <w:rFonts w:ascii="Arial Armenian" w:eastAsia="Arial Unicode MS" w:hAnsi="Arial Armenian"/>
      <w:b/>
      <w:sz w:val="14"/>
      <w:szCs w:val="20"/>
    </w:rPr>
  </w:style>
  <w:style w:type="paragraph" w:customStyle="1" w:styleId="xl54">
    <w:name w:val="xl54"/>
    <w:basedOn w:val="Normal"/>
    <w:rsid w:val="0045493E"/>
    <w:pPr>
      <w:pBdr>
        <w:left w:val="single" w:sz="4" w:space="0" w:color="auto"/>
        <w:bottom w:val="single" w:sz="4" w:space="0" w:color="auto"/>
        <w:right w:val="single" w:sz="4" w:space="0" w:color="auto"/>
      </w:pBdr>
      <w:spacing w:before="100" w:after="100"/>
      <w:jc w:val="center"/>
      <w:textAlignment w:val="center"/>
    </w:pPr>
    <w:rPr>
      <w:rFonts w:ascii="Arial Unicode MS" w:eastAsia="Arial Unicode MS" w:hAnsi="Arial Unicode MS"/>
      <w:szCs w:val="20"/>
    </w:rPr>
  </w:style>
  <w:style w:type="paragraph" w:customStyle="1" w:styleId="xl55">
    <w:name w:val="xl55"/>
    <w:basedOn w:val="Normal"/>
    <w:rsid w:val="0045493E"/>
    <w:pPr>
      <w:pBdr>
        <w:left w:val="single" w:sz="4" w:space="0" w:color="auto"/>
        <w:bottom w:val="single" w:sz="4" w:space="0" w:color="auto"/>
      </w:pBdr>
      <w:shd w:val="clear" w:color="auto" w:fill="FFFFFF"/>
      <w:spacing w:before="100" w:after="100"/>
      <w:jc w:val="center"/>
      <w:textAlignment w:val="top"/>
    </w:pPr>
    <w:rPr>
      <w:rFonts w:ascii="Arial Armenian" w:eastAsia="Arial Unicode MS" w:hAnsi="Arial Armenian"/>
      <w:b/>
      <w:sz w:val="14"/>
      <w:szCs w:val="20"/>
    </w:rPr>
  </w:style>
  <w:style w:type="paragraph" w:customStyle="1" w:styleId="xl56">
    <w:name w:val="xl56"/>
    <w:basedOn w:val="Normal"/>
    <w:rsid w:val="0045493E"/>
    <w:pPr>
      <w:pBdr>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b/>
      <w:sz w:val="14"/>
      <w:szCs w:val="20"/>
    </w:rPr>
  </w:style>
  <w:style w:type="paragraph" w:customStyle="1" w:styleId="xl58">
    <w:name w:val="xl58"/>
    <w:basedOn w:val="Normal"/>
    <w:rsid w:val="0045493E"/>
    <w:pPr>
      <w:pBdr>
        <w:left w:val="single" w:sz="4" w:space="0" w:color="auto"/>
        <w:right w:val="single" w:sz="4" w:space="0" w:color="auto"/>
      </w:pBdr>
      <w:shd w:val="clear" w:color="auto" w:fill="FFFFFF"/>
      <w:spacing w:before="100" w:after="100"/>
      <w:jc w:val="center"/>
      <w:textAlignment w:val="top"/>
    </w:pPr>
    <w:rPr>
      <w:rFonts w:ascii="Arial Armenian" w:eastAsia="Arial Unicode MS" w:hAnsi="Arial Armenian"/>
      <w:sz w:val="14"/>
      <w:szCs w:val="20"/>
    </w:rPr>
  </w:style>
  <w:style w:type="paragraph" w:customStyle="1" w:styleId="xl59">
    <w:name w:val="xl59"/>
    <w:basedOn w:val="Normal"/>
    <w:rsid w:val="0045493E"/>
    <w:pPr>
      <w:pBdr>
        <w:left w:val="single" w:sz="4" w:space="0" w:color="auto"/>
        <w:bottom w:val="single" w:sz="4" w:space="0" w:color="auto"/>
        <w:right w:val="single" w:sz="4" w:space="0" w:color="auto"/>
      </w:pBdr>
      <w:shd w:val="clear" w:color="auto" w:fill="FFFFFF"/>
      <w:spacing w:before="100" w:after="100"/>
      <w:jc w:val="center"/>
      <w:textAlignment w:val="top"/>
    </w:pPr>
    <w:rPr>
      <w:rFonts w:ascii="Arial Armenian" w:eastAsia="Arial Unicode MS" w:hAnsi="Arial Armenian"/>
      <w:sz w:val="14"/>
      <w:szCs w:val="20"/>
    </w:rPr>
  </w:style>
  <w:style w:type="paragraph" w:customStyle="1" w:styleId="xl60">
    <w:name w:val="xl60"/>
    <w:basedOn w:val="Normal"/>
    <w:rsid w:val="0045493E"/>
    <w:pPr>
      <w:pBdr>
        <w:top w:val="single" w:sz="4" w:space="0" w:color="auto"/>
        <w:lef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61">
    <w:name w:val="xl61"/>
    <w:basedOn w:val="Normal"/>
    <w:rsid w:val="0045493E"/>
    <w:pPr>
      <w:pBdr>
        <w:top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62">
    <w:name w:val="xl62"/>
    <w:basedOn w:val="Normal"/>
    <w:rsid w:val="0045493E"/>
    <w:pPr>
      <w:pBdr>
        <w:left w:val="single" w:sz="4" w:space="0" w:color="auto"/>
        <w:bottom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63">
    <w:name w:val="xl63"/>
    <w:basedOn w:val="Normal"/>
    <w:rsid w:val="0045493E"/>
    <w:pPr>
      <w:pBdr>
        <w:bottom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b/>
      <w:sz w:val="14"/>
      <w:szCs w:val="20"/>
    </w:rPr>
  </w:style>
  <w:style w:type="paragraph" w:customStyle="1" w:styleId="xl64">
    <w:name w:val="xl64"/>
    <w:basedOn w:val="Normal"/>
    <w:rsid w:val="0045493E"/>
    <w:pPr>
      <w:pBdr>
        <w:top w:val="single" w:sz="4" w:space="0" w:color="auto"/>
        <w:left w:val="single" w:sz="4" w:space="0" w:color="auto"/>
        <w:right w:val="single" w:sz="4" w:space="0" w:color="auto"/>
      </w:pBdr>
      <w:shd w:val="clear" w:color="auto" w:fill="FFFFFF"/>
      <w:spacing w:before="100" w:after="100"/>
      <w:jc w:val="center"/>
      <w:textAlignment w:val="center"/>
    </w:pPr>
    <w:rPr>
      <w:rFonts w:ascii="Arial Armenian" w:eastAsia="Arial Unicode MS" w:hAnsi="Arial Armenian"/>
      <w:sz w:val="14"/>
      <w:szCs w:val="20"/>
    </w:rPr>
  </w:style>
  <w:style w:type="paragraph" w:customStyle="1" w:styleId="xl65">
    <w:name w:val="xl65"/>
    <w:basedOn w:val="Normal"/>
    <w:rsid w:val="0045493E"/>
    <w:pPr>
      <w:pBdr>
        <w:left w:val="single" w:sz="4" w:space="0" w:color="auto"/>
        <w:right w:val="single" w:sz="4" w:space="0" w:color="auto"/>
      </w:pBdr>
      <w:spacing w:before="100" w:after="100"/>
      <w:jc w:val="center"/>
      <w:textAlignment w:val="center"/>
    </w:pPr>
    <w:rPr>
      <w:rFonts w:ascii="Arial Unicode MS" w:eastAsia="Arial Unicode MS" w:hAnsi="Arial Unicode MS"/>
      <w:szCs w:val="20"/>
    </w:rPr>
  </w:style>
  <w:style w:type="paragraph" w:customStyle="1" w:styleId="xl66">
    <w:name w:val="xl66"/>
    <w:basedOn w:val="Normal"/>
    <w:rsid w:val="0045493E"/>
    <w:pPr>
      <w:pBdr>
        <w:left w:val="single" w:sz="4" w:space="0" w:color="auto"/>
        <w:bottom w:val="single" w:sz="4" w:space="0" w:color="auto"/>
        <w:right w:val="single" w:sz="4" w:space="0" w:color="auto"/>
      </w:pBdr>
      <w:spacing w:before="100" w:after="100"/>
      <w:jc w:val="center"/>
      <w:textAlignment w:val="center"/>
    </w:pPr>
    <w:rPr>
      <w:rFonts w:ascii="Arial Unicode MS" w:eastAsia="Arial Unicode MS" w:hAnsi="Arial Unicode MS"/>
      <w:szCs w:val="20"/>
    </w:rPr>
  </w:style>
  <w:style w:type="paragraph" w:customStyle="1" w:styleId="xl67">
    <w:name w:val="xl67"/>
    <w:basedOn w:val="Normal"/>
    <w:rsid w:val="0045493E"/>
    <w:pPr>
      <w:pBdr>
        <w:top w:val="single" w:sz="4" w:space="0" w:color="auto"/>
        <w:left w:val="single" w:sz="4" w:space="0" w:color="auto"/>
        <w:bottom w:val="single" w:sz="4" w:space="0" w:color="auto"/>
      </w:pBdr>
      <w:shd w:val="clear" w:color="auto" w:fill="FFFFFF"/>
      <w:spacing w:before="100" w:after="100"/>
      <w:jc w:val="center"/>
      <w:textAlignment w:val="top"/>
    </w:pPr>
    <w:rPr>
      <w:rFonts w:ascii="Arial Armenian" w:eastAsia="Arial Unicode MS" w:hAnsi="Arial Armenian"/>
      <w:b/>
      <w:sz w:val="18"/>
      <w:szCs w:val="20"/>
    </w:rPr>
  </w:style>
  <w:style w:type="paragraph" w:customStyle="1" w:styleId="xl68">
    <w:name w:val="xl68"/>
    <w:basedOn w:val="Normal"/>
    <w:rsid w:val="0045493E"/>
    <w:pPr>
      <w:pBdr>
        <w:top w:val="single" w:sz="4" w:space="0" w:color="auto"/>
        <w:left w:val="single" w:sz="4" w:space="0" w:color="auto"/>
        <w:bottom w:val="single" w:sz="4" w:space="0" w:color="auto"/>
        <w:right w:val="single" w:sz="4" w:space="0" w:color="auto"/>
      </w:pBdr>
      <w:spacing w:before="100" w:after="100"/>
      <w:textAlignment w:val="center"/>
    </w:pPr>
    <w:rPr>
      <w:rFonts w:ascii="Arial Armenian" w:eastAsia="Arial Unicode MS" w:hAnsi="Arial Armenian"/>
      <w:i/>
      <w:sz w:val="14"/>
      <w:szCs w:val="20"/>
    </w:rPr>
  </w:style>
  <w:style w:type="paragraph" w:customStyle="1" w:styleId="xl69">
    <w:name w:val="xl69"/>
    <w:basedOn w:val="Normal"/>
    <w:rsid w:val="0045493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ascii="Arial Armenian" w:eastAsia="Arial Unicode MS" w:hAnsi="Arial Armenian" w:cs="Arial Unicode MS"/>
    </w:rPr>
  </w:style>
  <w:style w:type="paragraph" w:customStyle="1" w:styleId="xl70">
    <w:name w:val="xl70"/>
    <w:basedOn w:val="Normal"/>
    <w:rsid w:val="0045493E"/>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ascii="Arial Armenian" w:eastAsia="Arial Unicode MS" w:hAnsi="Arial Armenian" w:cs="Arial Unicode MS"/>
    </w:rPr>
  </w:style>
  <w:style w:type="paragraph" w:customStyle="1" w:styleId="xl71">
    <w:name w:val="xl71"/>
    <w:basedOn w:val="Normal"/>
    <w:rsid w:val="0045493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Armenian" w:eastAsia="Arial Unicode MS" w:hAnsi="Arial Armenian" w:cs="Arial Unicode MS"/>
    </w:rPr>
  </w:style>
  <w:style w:type="paragraph" w:customStyle="1" w:styleId="xl72">
    <w:name w:val="xl72"/>
    <w:basedOn w:val="Normal"/>
    <w:rsid w:val="0045493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Armenian" w:eastAsia="Arial Unicode MS" w:hAnsi="Arial Armenian" w:cs="Arial Unicode MS"/>
      <w:i/>
      <w:iCs/>
    </w:rPr>
  </w:style>
  <w:style w:type="paragraph" w:customStyle="1" w:styleId="xl73">
    <w:name w:val="xl73"/>
    <w:basedOn w:val="Normal"/>
    <w:rsid w:val="004549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rPr>
  </w:style>
  <w:style w:type="paragraph" w:customStyle="1" w:styleId="xl74">
    <w:name w:val="xl74"/>
    <w:basedOn w:val="Normal"/>
    <w:rsid w:val="0045493E"/>
    <w:pPr>
      <w:pBdr>
        <w:left w:val="single" w:sz="4" w:space="0" w:color="auto"/>
        <w:bottom w:val="single" w:sz="4" w:space="0" w:color="auto"/>
        <w:right w:val="single" w:sz="4" w:space="0" w:color="auto"/>
      </w:pBdr>
      <w:spacing w:before="100" w:beforeAutospacing="1" w:after="100" w:afterAutospacing="1"/>
      <w:jc w:val="center"/>
    </w:pPr>
    <w:rPr>
      <w:rFonts w:ascii="Arial Armenian" w:eastAsia="Arial Unicode MS" w:hAnsi="Arial Armenian" w:cs="Arial Unicode MS"/>
    </w:rPr>
  </w:style>
  <w:style w:type="paragraph" w:customStyle="1" w:styleId="xl75">
    <w:name w:val="xl75"/>
    <w:basedOn w:val="Normal"/>
    <w:rsid w:val="0045493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Armenian" w:eastAsia="Arial Unicode MS" w:hAnsi="Arial Armenian" w:cs="Arial Unicode MS"/>
      <w:b/>
      <w:bCs/>
      <w:i/>
      <w:iCs/>
    </w:rPr>
  </w:style>
  <w:style w:type="paragraph" w:customStyle="1" w:styleId="xl76">
    <w:name w:val="xl76"/>
    <w:basedOn w:val="Normal"/>
    <w:rsid w:val="0045493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Armenian" w:eastAsia="Arial Unicode MS" w:hAnsi="Arial Armenian" w:cs="Arial Unicode MS"/>
    </w:rPr>
  </w:style>
  <w:style w:type="paragraph" w:customStyle="1" w:styleId="xl77">
    <w:name w:val="xl77"/>
    <w:basedOn w:val="Normal"/>
    <w:rsid w:val="0045493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Armenian" w:eastAsia="Arial Unicode MS" w:hAnsi="Arial Armenian" w:cs="Arial Unicode MS"/>
      <w:b/>
      <w:bCs/>
    </w:rPr>
  </w:style>
  <w:style w:type="paragraph" w:customStyle="1" w:styleId="xl78">
    <w:name w:val="xl78"/>
    <w:basedOn w:val="Normal"/>
    <w:rsid w:val="0045493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Armenian" w:eastAsia="Arial Unicode MS" w:hAnsi="Arial Armenian" w:cs="Arial Unicode MS"/>
      <w:b/>
      <w:bCs/>
      <w:i/>
      <w:iCs/>
    </w:rPr>
  </w:style>
  <w:style w:type="paragraph" w:customStyle="1" w:styleId="xl79">
    <w:name w:val="xl79"/>
    <w:basedOn w:val="Normal"/>
    <w:rsid w:val="0045493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Armenian" w:eastAsia="Arial Unicode MS" w:hAnsi="Arial Armenian" w:cs="Arial Unicode MS"/>
      <w:b/>
      <w:bCs/>
      <w:i/>
      <w:iCs/>
    </w:rPr>
  </w:style>
  <w:style w:type="paragraph" w:customStyle="1" w:styleId="xl80">
    <w:name w:val="xl80"/>
    <w:basedOn w:val="Normal"/>
    <w:rsid w:val="0045493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Arial Armenian" w:eastAsia="Arial Unicode MS" w:hAnsi="Arial Armenian" w:cs="Arial Unicode MS"/>
    </w:rPr>
  </w:style>
  <w:style w:type="paragraph" w:customStyle="1" w:styleId="xl81">
    <w:name w:val="xl81"/>
    <w:basedOn w:val="Normal"/>
    <w:rsid w:val="0045493E"/>
    <w:pPr>
      <w:pBdr>
        <w:left w:val="single" w:sz="8" w:space="0" w:color="auto"/>
        <w:bottom w:val="single" w:sz="4" w:space="0" w:color="auto"/>
        <w:right w:val="single" w:sz="4" w:space="0" w:color="auto"/>
      </w:pBdr>
      <w:shd w:val="clear" w:color="auto" w:fill="FFFFFF"/>
      <w:spacing w:before="100" w:beforeAutospacing="1" w:after="100" w:afterAutospacing="1"/>
      <w:jc w:val="center"/>
    </w:pPr>
    <w:rPr>
      <w:rFonts w:ascii="Arial Armenian" w:eastAsia="Arial Unicode MS" w:hAnsi="Arial Armenian" w:cs="Arial Unicode MS"/>
    </w:rPr>
  </w:style>
  <w:style w:type="paragraph" w:customStyle="1" w:styleId="xl82">
    <w:name w:val="xl82"/>
    <w:basedOn w:val="Normal"/>
    <w:rsid w:val="0045493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83">
    <w:name w:val="xl83"/>
    <w:basedOn w:val="Normal"/>
    <w:rsid w:val="0045493E"/>
    <w:pPr>
      <w:pBdr>
        <w:top w:val="single" w:sz="4" w:space="0" w:color="auto"/>
        <w:left w:val="single" w:sz="8" w:space="0" w:color="auto"/>
        <w:bottom w:val="single" w:sz="4" w:space="0" w:color="auto"/>
      </w:pBdr>
      <w:spacing w:before="100" w:beforeAutospacing="1" w:after="100" w:afterAutospacing="1"/>
      <w:jc w:val="center"/>
    </w:pPr>
    <w:rPr>
      <w:rFonts w:ascii="Arial Armenian" w:eastAsia="Arial Unicode MS" w:hAnsi="Arial Armenian" w:cs="Arial Unicode MS"/>
    </w:rPr>
  </w:style>
  <w:style w:type="paragraph" w:customStyle="1" w:styleId="xl84">
    <w:name w:val="xl84"/>
    <w:basedOn w:val="Normal"/>
    <w:rsid w:val="0045493E"/>
    <w:pPr>
      <w:pBdr>
        <w:top w:val="single" w:sz="4" w:space="0" w:color="auto"/>
        <w:bottom w:val="single" w:sz="4" w:space="0" w:color="auto"/>
        <w:right w:val="single" w:sz="4" w:space="0" w:color="auto"/>
      </w:pBdr>
      <w:spacing w:before="100" w:beforeAutospacing="1" w:after="100" w:afterAutospacing="1"/>
      <w:jc w:val="center"/>
    </w:pPr>
    <w:rPr>
      <w:rFonts w:ascii="Arial Armenian" w:eastAsia="Arial Unicode MS" w:hAnsi="Arial Armenian" w:cs="Arial Unicode MS"/>
    </w:rPr>
  </w:style>
  <w:style w:type="paragraph" w:customStyle="1" w:styleId="xl85">
    <w:name w:val="xl85"/>
    <w:basedOn w:val="Normal"/>
    <w:rsid w:val="0045493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Armenian" w:eastAsia="Arial Unicode MS" w:hAnsi="Arial Armenian" w:cs="Arial Unicode MS"/>
    </w:rPr>
  </w:style>
  <w:style w:type="paragraph" w:customStyle="1" w:styleId="xl86">
    <w:name w:val="xl86"/>
    <w:basedOn w:val="Normal"/>
    <w:rsid w:val="0045493E"/>
    <w:pPr>
      <w:pBdr>
        <w:left w:val="single" w:sz="4" w:space="0" w:color="auto"/>
        <w:bottom w:val="single" w:sz="4" w:space="0" w:color="auto"/>
        <w:right w:val="single" w:sz="4" w:space="0" w:color="auto"/>
      </w:pBdr>
      <w:spacing w:before="100" w:beforeAutospacing="1" w:after="100" w:afterAutospacing="1"/>
    </w:pPr>
    <w:rPr>
      <w:rFonts w:ascii="Arial Armenian" w:eastAsia="Arial Unicode MS" w:hAnsi="Arial Armenian" w:cs="Arial Unicode MS"/>
    </w:rPr>
  </w:style>
  <w:style w:type="paragraph" w:customStyle="1" w:styleId="xl87">
    <w:name w:val="xl87"/>
    <w:basedOn w:val="Normal"/>
    <w:rsid w:val="0045493E"/>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ascii="Arial Armenian" w:eastAsia="Arial Unicode MS" w:hAnsi="Arial Armenian" w:cs="Arial Unicode MS"/>
      <w:b/>
      <w:bCs/>
    </w:rPr>
  </w:style>
  <w:style w:type="paragraph" w:customStyle="1" w:styleId="xl88">
    <w:name w:val="xl88"/>
    <w:basedOn w:val="Normal"/>
    <w:rsid w:val="0045493E"/>
    <w:pPr>
      <w:pBdr>
        <w:bottom w:val="single" w:sz="4" w:space="0" w:color="auto"/>
      </w:pBdr>
      <w:shd w:val="clear" w:color="auto" w:fill="FFFFFF"/>
      <w:spacing w:before="100" w:beforeAutospacing="1" w:after="100" w:afterAutospacing="1"/>
    </w:pPr>
    <w:rPr>
      <w:rFonts w:ascii="Arial Armenian" w:eastAsia="Arial Unicode MS" w:hAnsi="Arial Armenian" w:cs="Arial Unicode MS"/>
    </w:rPr>
  </w:style>
  <w:style w:type="paragraph" w:customStyle="1" w:styleId="xl89">
    <w:name w:val="xl89"/>
    <w:basedOn w:val="Normal"/>
    <w:rsid w:val="0045493E"/>
    <w:pPr>
      <w:pBdr>
        <w:top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Arial Armenian" w:eastAsia="Arial Unicode MS" w:hAnsi="Arial Armenian" w:cs="Arial Unicode MS"/>
      <w:b/>
      <w:bCs/>
    </w:rPr>
  </w:style>
  <w:style w:type="paragraph" w:customStyle="1" w:styleId="xl90">
    <w:name w:val="xl90"/>
    <w:basedOn w:val="Normal"/>
    <w:rsid w:val="0045493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91">
    <w:name w:val="xl91"/>
    <w:basedOn w:val="Normal"/>
    <w:rsid w:val="0045493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92">
    <w:name w:val="xl92"/>
    <w:basedOn w:val="Normal"/>
    <w:rsid w:val="004549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93">
    <w:name w:val="xl93"/>
    <w:basedOn w:val="Normal"/>
    <w:rsid w:val="004549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u w:val="single"/>
    </w:rPr>
  </w:style>
  <w:style w:type="paragraph" w:customStyle="1" w:styleId="xl94">
    <w:name w:val="xl94"/>
    <w:basedOn w:val="Normal"/>
    <w:rsid w:val="0045493E"/>
    <w:pPr>
      <w:pBdr>
        <w:left w:val="single" w:sz="4" w:space="0" w:color="auto"/>
        <w:bottom w:val="single" w:sz="4" w:space="0" w:color="auto"/>
        <w:right w:val="single" w:sz="8" w:space="0" w:color="auto"/>
      </w:pBdr>
      <w:spacing w:before="100" w:beforeAutospacing="1" w:after="100" w:afterAutospacing="1"/>
    </w:pPr>
    <w:rPr>
      <w:rFonts w:ascii="Arial Armenian" w:eastAsia="Arial Unicode MS" w:hAnsi="Arial Armenian" w:cs="Arial Unicode MS"/>
    </w:rPr>
  </w:style>
  <w:style w:type="paragraph" w:customStyle="1" w:styleId="xl95">
    <w:name w:val="xl95"/>
    <w:basedOn w:val="Normal"/>
    <w:rsid w:val="0045493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96">
    <w:name w:val="xl96"/>
    <w:basedOn w:val="Normal"/>
    <w:rsid w:val="0045493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rPr>
  </w:style>
  <w:style w:type="paragraph" w:customStyle="1" w:styleId="xl97">
    <w:name w:val="xl97"/>
    <w:basedOn w:val="Normal"/>
    <w:rsid w:val="0045493E"/>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Armenian" w:eastAsia="Arial Unicode MS" w:hAnsi="Arial Armenian" w:cs="Arial Unicode MS"/>
    </w:rPr>
  </w:style>
  <w:style w:type="paragraph" w:customStyle="1" w:styleId="xl98">
    <w:name w:val="xl98"/>
    <w:basedOn w:val="Normal"/>
    <w:rsid w:val="0045493E"/>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right"/>
      <w:textAlignment w:val="center"/>
    </w:pPr>
    <w:rPr>
      <w:rFonts w:ascii="Arial Armenian" w:eastAsia="Arial Unicode MS" w:hAnsi="Arial Armenian" w:cs="Arial Unicode MS"/>
    </w:rPr>
  </w:style>
  <w:style w:type="paragraph" w:customStyle="1" w:styleId="xl99">
    <w:name w:val="xl99"/>
    <w:basedOn w:val="Normal"/>
    <w:rsid w:val="0045493E"/>
    <w:pPr>
      <w:pBdr>
        <w:right w:val="single" w:sz="8" w:space="0" w:color="auto"/>
      </w:pBdr>
      <w:shd w:val="clear" w:color="auto" w:fill="FFFFFF"/>
      <w:spacing w:before="100" w:beforeAutospacing="1" w:after="100" w:afterAutospacing="1"/>
      <w:jc w:val="right"/>
    </w:pPr>
    <w:rPr>
      <w:rFonts w:ascii="Arial Armenian" w:eastAsia="Arial Unicode MS" w:hAnsi="Arial Armenian" w:cs="Arial Unicode MS"/>
      <w:b/>
      <w:bCs/>
    </w:rPr>
  </w:style>
  <w:style w:type="paragraph" w:customStyle="1" w:styleId="xl100">
    <w:name w:val="xl100"/>
    <w:basedOn w:val="Normal"/>
    <w:rsid w:val="0045493E"/>
    <w:pPr>
      <w:pBdr>
        <w:right w:val="single" w:sz="8" w:space="0" w:color="auto"/>
      </w:pBdr>
      <w:shd w:val="clear" w:color="auto" w:fill="CCFFFF"/>
      <w:spacing w:before="100" w:beforeAutospacing="1" w:after="100" w:afterAutospacing="1"/>
      <w:jc w:val="right"/>
    </w:pPr>
    <w:rPr>
      <w:rFonts w:ascii="Arial Armenian" w:eastAsia="Arial Unicode MS" w:hAnsi="Arial Armenian" w:cs="Arial Unicode MS"/>
    </w:rPr>
  </w:style>
  <w:style w:type="paragraph" w:customStyle="1" w:styleId="xl101">
    <w:name w:val="xl101"/>
    <w:basedOn w:val="Normal"/>
    <w:rsid w:val="0045493E"/>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Armenian" w:eastAsia="Arial Unicode MS" w:hAnsi="Arial Armenian" w:cs="Arial Unicode MS"/>
      <w:b/>
      <w:bCs/>
      <w:i/>
      <w:iCs/>
    </w:rPr>
  </w:style>
  <w:style w:type="paragraph" w:customStyle="1" w:styleId="xl102">
    <w:name w:val="xl102"/>
    <w:basedOn w:val="Normal"/>
    <w:rsid w:val="0045493E"/>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jc w:val="center"/>
    </w:pPr>
    <w:rPr>
      <w:rFonts w:ascii="Arial Armenian" w:eastAsia="Arial Unicode MS" w:hAnsi="Arial Armenian" w:cs="Arial Unicode MS"/>
    </w:rPr>
  </w:style>
  <w:style w:type="paragraph" w:customStyle="1" w:styleId="xl103">
    <w:name w:val="xl103"/>
    <w:basedOn w:val="Normal"/>
    <w:rsid w:val="0045493E"/>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jc w:val="center"/>
    </w:pPr>
    <w:rPr>
      <w:rFonts w:ascii="Arial Armenian" w:eastAsia="Arial Unicode MS" w:hAnsi="Arial Armenian" w:cs="Arial Unicode MS"/>
      <w:i/>
      <w:iCs/>
    </w:rPr>
  </w:style>
  <w:style w:type="paragraph" w:customStyle="1" w:styleId="xl104">
    <w:name w:val="xl104"/>
    <w:basedOn w:val="Normal"/>
    <w:rsid w:val="0045493E"/>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Armenian" w:eastAsia="Arial Unicode MS" w:hAnsi="Arial Armenian" w:cs="Arial Unicode MS"/>
    </w:rPr>
  </w:style>
  <w:style w:type="paragraph" w:customStyle="1" w:styleId="xl105">
    <w:name w:val="xl105"/>
    <w:basedOn w:val="Normal"/>
    <w:rsid w:val="0045493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106">
    <w:name w:val="xl106"/>
    <w:basedOn w:val="Normal"/>
    <w:rsid w:val="0045493E"/>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Arial Armenian" w:eastAsia="Arial Unicode MS" w:hAnsi="Arial Armenian" w:cs="Arial Unicode MS"/>
    </w:rPr>
  </w:style>
  <w:style w:type="paragraph" w:customStyle="1" w:styleId="xl107">
    <w:name w:val="xl107"/>
    <w:basedOn w:val="Normal"/>
    <w:rsid w:val="0045493E"/>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Armenian" w:eastAsia="Arial Unicode MS" w:hAnsi="Arial Armenian" w:cs="Arial Unicode MS"/>
      <w:b/>
      <w:bCs/>
    </w:rPr>
  </w:style>
  <w:style w:type="paragraph" w:customStyle="1" w:styleId="xl108">
    <w:name w:val="xl108"/>
    <w:basedOn w:val="Normal"/>
    <w:rsid w:val="0045493E"/>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Armenian" w:eastAsia="Arial Unicode MS" w:hAnsi="Arial Armenian" w:cs="Arial Unicode MS"/>
    </w:rPr>
  </w:style>
  <w:style w:type="paragraph" w:customStyle="1" w:styleId="xl109">
    <w:name w:val="xl109"/>
    <w:basedOn w:val="Normal"/>
    <w:rsid w:val="0045493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Armenian" w:eastAsia="Arial Unicode MS" w:hAnsi="Arial Armenian" w:cs="Arial Unicode MS"/>
      <w:b/>
      <w:bCs/>
    </w:rPr>
  </w:style>
  <w:style w:type="paragraph" w:customStyle="1" w:styleId="xl110">
    <w:name w:val="xl110"/>
    <w:basedOn w:val="Normal"/>
    <w:rsid w:val="0045493E"/>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Armenian" w:eastAsia="Arial Unicode MS" w:hAnsi="Arial Armenian" w:cs="Arial Unicode MS"/>
    </w:rPr>
  </w:style>
  <w:style w:type="paragraph" w:customStyle="1" w:styleId="xl111">
    <w:name w:val="xl111"/>
    <w:basedOn w:val="Normal"/>
    <w:rsid w:val="0045493E"/>
    <w:pPr>
      <w:pBdr>
        <w:top w:val="single" w:sz="4" w:space="0" w:color="auto"/>
        <w:left w:val="single" w:sz="8" w:space="0" w:color="auto"/>
        <w:bottom w:val="single" w:sz="4" w:space="0" w:color="auto"/>
      </w:pBdr>
      <w:spacing w:before="100" w:beforeAutospacing="1" w:after="100" w:afterAutospacing="1"/>
      <w:jc w:val="center"/>
    </w:pPr>
    <w:rPr>
      <w:rFonts w:ascii="Arial Armenian" w:eastAsia="Arial Unicode MS" w:hAnsi="Arial Armenian" w:cs="Arial Unicode MS"/>
      <w:b/>
      <w:bCs/>
    </w:rPr>
  </w:style>
  <w:style w:type="paragraph" w:customStyle="1" w:styleId="xl112">
    <w:name w:val="xl112"/>
    <w:basedOn w:val="Normal"/>
    <w:rsid w:val="0045493E"/>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113">
    <w:name w:val="xl113"/>
    <w:basedOn w:val="Normal"/>
    <w:rsid w:val="0045493E"/>
    <w:pPr>
      <w:pBdr>
        <w:top w:val="single" w:sz="4" w:space="0" w:color="auto"/>
        <w:left w:val="single" w:sz="8" w:space="0" w:color="auto"/>
        <w:bottom w:val="single" w:sz="4" w:space="0" w:color="auto"/>
      </w:pBdr>
      <w:shd w:val="clear" w:color="auto" w:fill="FFFFFF"/>
      <w:spacing w:before="100" w:beforeAutospacing="1" w:after="100" w:afterAutospacing="1"/>
      <w:jc w:val="center"/>
    </w:pPr>
    <w:rPr>
      <w:rFonts w:ascii="Arial Armenian" w:eastAsia="Arial Unicode MS" w:hAnsi="Arial Armenian" w:cs="Arial Unicode MS"/>
      <w:b/>
      <w:bCs/>
    </w:rPr>
  </w:style>
  <w:style w:type="paragraph" w:customStyle="1" w:styleId="xl114">
    <w:name w:val="xl114"/>
    <w:basedOn w:val="Normal"/>
    <w:rsid w:val="0045493E"/>
    <w:pPr>
      <w:pBdr>
        <w:top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rPr>
  </w:style>
  <w:style w:type="paragraph" w:customStyle="1" w:styleId="xl115">
    <w:name w:val="xl115"/>
    <w:basedOn w:val="Normal"/>
    <w:rsid w:val="0045493E"/>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Armenian" w:eastAsia="Arial Unicode MS" w:hAnsi="Arial Armenian" w:cs="Arial Unicode MS"/>
      <w:b/>
      <w:bCs/>
    </w:rPr>
  </w:style>
  <w:style w:type="character" w:customStyle="1" w:styleId="Heading3Char">
    <w:name w:val="Heading 3 Char"/>
    <w:aliases w:val="(Sub-Chapter) Char2,Centered Char2,(text) Char2,Heading 3 Char Char Char Char Char Char Char3"/>
    <w:basedOn w:val="DefaultParagraphFont"/>
    <w:link w:val="Heading3"/>
    <w:uiPriority w:val="9"/>
    <w:qFormat/>
    <w:rsid w:val="0045493E"/>
    <w:rPr>
      <w:rFonts w:ascii="GHEA Grapalat" w:hAnsi="GHEA Grapalat"/>
      <w:b/>
      <w:caps/>
      <w:sz w:val="22"/>
      <w:szCs w:val="22"/>
      <w:lang w:val="hy-AM"/>
    </w:rPr>
  </w:style>
  <w:style w:type="paragraph" w:customStyle="1" w:styleId="KLegalHeading3">
    <w:name w:val="KLegal Heading 3"/>
    <w:basedOn w:val="Normal"/>
    <w:next w:val="Heading2"/>
    <w:rsid w:val="0045493E"/>
    <w:pPr>
      <w:keepNext/>
      <w:overflowPunct w:val="0"/>
      <w:autoSpaceDE w:val="0"/>
      <w:autoSpaceDN w:val="0"/>
      <w:adjustRightInd w:val="0"/>
      <w:spacing w:after="220"/>
      <w:ind w:left="1440" w:hanging="720"/>
      <w:textAlignment w:val="baseline"/>
    </w:pPr>
    <w:rPr>
      <w:b/>
      <w:szCs w:val="20"/>
      <w:lang w:val="en-GB"/>
    </w:rPr>
  </w:style>
  <w:style w:type="paragraph" w:customStyle="1" w:styleId="KLegalHeading4">
    <w:name w:val="KLegal Heading 4"/>
    <w:basedOn w:val="Normal"/>
    <w:next w:val="Heading2"/>
    <w:rsid w:val="0045493E"/>
    <w:pPr>
      <w:keepNext/>
      <w:overflowPunct w:val="0"/>
      <w:autoSpaceDE w:val="0"/>
      <w:autoSpaceDN w:val="0"/>
      <w:adjustRightInd w:val="0"/>
      <w:spacing w:after="220"/>
      <w:ind w:left="2160" w:hanging="720"/>
      <w:textAlignment w:val="baseline"/>
    </w:pPr>
    <w:rPr>
      <w:b/>
      <w:i/>
      <w:szCs w:val="20"/>
      <w:lang w:val="en-GB"/>
    </w:rPr>
  </w:style>
  <w:style w:type="paragraph" w:customStyle="1" w:styleId="KLegalHeading1">
    <w:name w:val="KLegal Heading 1"/>
    <w:basedOn w:val="Normal"/>
    <w:next w:val="KLegalHeading2"/>
    <w:rsid w:val="0045493E"/>
    <w:pPr>
      <w:keepNext/>
      <w:pageBreakBefore/>
      <w:overflowPunct w:val="0"/>
      <w:autoSpaceDE w:val="0"/>
      <w:autoSpaceDN w:val="0"/>
      <w:adjustRightInd w:val="0"/>
      <w:spacing w:after="440"/>
      <w:ind w:left="851" w:hanging="851"/>
      <w:textAlignment w:val="baseline"/>
      <w:outlineLvl w:val="0"/>
    </w:pPr>
    <w:rPr>
      <w:b/>
      <w:sz w:val="32"/>
      <w:szCs w:val="20"/>
      <w:lang w:val="en-GB"/>
    </w:rPr>
  </w:style>
  <w:style w:type="paragraph" w:customStyle="1" w:styleId="KLegalHeading2">
    <w:name w:val="KLegal Heading 2"/>
    <w:basedOn w:val="Normal"/>
    <w:next w:val="KLegalHeading3"/>
    <w:rsid w:val="0045493E"/>
    <w:pPr>
      <w:keepNext/>
      <w:overflowPunct w:val="0"/>
      <w:autoSpaceDE w:val="0"/>
      <w:autoSpaceDN w:val="0"/>
      <w:adjustRightInd w:val="0"/>
      <w:spacing w:after="220"/>
      <w:ind w:left="851" w:hanging="851"/>
      <w:textAlignment w:val="baseline"/>
      <w:outlineLvl w:val="1"/>
    </w:pPr>
    <w:rPr>
      <w:b/>
      <w:sz w:val="28"/>
      <w:szCs w:val="20"/>
      <w:lang w:val="en-GB"/>
    </w:rPr>
  </w:style>
  <w:style w:type="character" w:customStyle="1" w:styleId="Normal1">
    <w:name w:val="Normal1"/>
    <w:rsid w:val="0045493E"/>
    <w:rPr>
      <w:rFonts w:ascii="Arial" w:hAnsi="Arial"/>
      <w:sz w:val="24"/>
      <w:szCs w:val="24"/>
    </w:rPr>
  </w:style>
  <w:style w:type="paragraph" w:customStyle="1" w:styleId="BulletblBulletL1bl1">
    <w:name w:val="Bullet.bl.Bullet L1.bl1"/>
    <w:basedOn w:val="Normal"/>
    <w:rsid w:val="0045493E"/>
    <w:pPr>
      <w:tabs>
        <w:tab w:val="left" w:pos="360"/>
      </w:tabs>
      <w:autoSpaceDE w:val="0"/>
      <w:autoSpaceDN w:val="0"/>
      <w:spacing w:after="130"/>
      <w:ind w:left="360" w:hanging="360"/>
    </w:pPr>
    <w:rPr>
      <w:rFonts w:ascii="Times Armenian" w:hAnsi="Times Armenian"/>
      <w:lang w:val="en-GB" w:eastAsia="ru-RU"/>
    </w:rPr>
  </w:style>
  <w:style w:type="paragraph" w:customStyle="1" w:styleId="Heading3Centeredtext">
    <w:name w:val="Heading 3.Centered.(text)"/>
    <w:basedOn w:val="Normal"/>
    <w:next w:val="Heading2"/>
    <w:rsid w:val="0045493E"/>
    <w:pPr>
      <w:keepNext/>
      <w:autoSpaceDE w:val="0"/>
      <w:autoSpaceDN w:val="0"/>
      <w:spacing w:after="220"/>
      <w:outlineLvl w:val="2"/>
    </w:pPr>
    <w:rPr>
      <w:rFonts w:ascii="Times Armenian" w:hAnsi="Times Armenian"/>
      <w:b/>
      <w:bCs/>
      <w:lang w:val="en-GB" w:eastAsia="ru-RU"/>
    </w:rPr>
  </w:style>
  <w:style w:type="paragraph" w:customStyle="1" w:styleId="14">
    <w:name w:val="çàãîëîâîê 1"/>
    <w:basedOn w:val="Normal"/>
    <w:next w:val="Normal"/>
    <w:rsid w:val="0045493E"/>
    <w:pPr>
      <w:keepNext/>
      <w:overflowPunct w:val="0"/>
      <w:autoSpaceDE w:val="0"/>
      <w:autoSpaceDN w:val="0"/>
      <w:adjustRightInd w:val="0"/>
      <w:jc w:val="center"/>
    </w:pPr>
    <w:rPr>
      <w:rFonts w:ascii="Arial Armenian" w:hAnsi="Arial Armenian"/>
      <w:szCs w:val="20"/>
    </w:rPr>
  </w:style>
  <w:style w:type="paragraph" w:customStyle="1" w:styleId="BalloonText2">
    <w:name w:val="Balloon Text2"/>
    <w:basedOn w:val="Normal"/>
    <w:semiHidden/>
    <w:rsid w:val="0045493E"/>
    <w:pPr>
      <w:ind w:left="2157" w:hanging="180"/>
    </w:pPr>
    <w:rPr>
      <w:rFonts w:ascii="Tahoma" w:hAnsi="Tahoma" w:cs="Tahoma"/>
      <w:sz w:val="16"/>
      <w:szCs w:val="16"/>
    </w:rPr>
  </w:style>
  <w:style w:type="character" w:customStyle="1" w:styleId="Heading3CharCharCharCharCharCharChar">
    <w:name w:val="Heading 3 Char Char Char Char Char Char Char"/>
    <w:rsid w:val="0045493E"/>
    <w:rPr>
      <w:rFonts w:ascii="Times Armenian" w:hAnsi="Times Armenian"/>
      <w:b/>
      <w:bCs/>
      <w:sz w:val="24"/>
      <w:szCs w:val="24"/>
      <w:lang w:val="en-GB" w:eastAsia="en-US" w:bidi="ar-SA"/>
    </w:rPr>
  </w:style>
  <w:style w:type="paragraph" w:customStyle="1" w:styleId="WW-BodyText3">
    <w:name w:val="WW-Body Text 3"/>
    <w:basedOn w:val="Normal"/>
    <w:rsid w:val="0045493E"/>
    <w:pPr>
      <w:suppressAutoHyphens/>
    </w:pPr>
    <w:rPr>
      <w:rFonts w:ascii="Times Armenian" w:hAnsi="Times Armenian"/>
      <w:lang w:eastAsia="ar-SA"/>
    </w:rPr>
  </w:style>
  <w:style w:type="paragraph" w:customStyle="1" w:styleId="WW-BodyTextIndent2">
    <w:name w:val="WW-Body Text Indent 2"/>
    <w:basedOn w:val="Normal"/>
    <w:rsid w:val="0045493E"/>
    <w:pPr>
      <w:suppressAutoHyphens/>
      <w:ind w:firstLine="720"/>
    </w:pPr>
    <w:rPr>
      <w:rFonts w:ascii="Times LatArm" w:hAnsi="Times LatArm"/>
      <w:i/>
      <w:iCs/>
      <w:lang w:eastAsia="ar-SA"/>
    </w:rPr>
  </w:style>
  <w:style w:type="paragraph" w:customStyle="1" w:styleId="BalloonText1">
    <w:name w:val="Balloon Text1"/>
    <w:basedOn w:val="Normal"/>
    <w:semiHidden/>
    <w:rsid w:val="0045493E"/>
    <w:rPr>
      <w:rFonts w:ascii="Tahoma" w:hAnsi="Tahoma" w:cs="Tahoma"/>
      <w:sz w:val="16"/>
      <w:szCs w:val="16"/>
    </w:rPr>
  </w:style>
  <w:style w:type="paragraph" w:customStyle="1" w:styleId="BalloonText3">
    <w:name w:val="Balloon Text3"/>
    <w:basedOn w:val="Normal"/>
    <w:semiHidden/>
    <w:rsid w:val="0045493E"/>
    <w:rPr>
      <w:rFonts w:ascii="Tahoma" w:hAnsi="Tahoma" w:cs="Tahoma"/>
      <w:sz w:val="16"/>
      <w:szCs w:val="16"/>
    </w:rPr>
  </w:style>
  <w:style w:type="paragraph" w:customStyle="1" w:styleId="xl116">
    <w:name w:val="xl116"/>
    <w:basedOn w:val="Normal"/>
    <w:rsid w:val="0045493E"/>
    <w:pPr>
      <w:pBdr>
        <w:top w:val="single" w:sz="4" w:space="0" w:color="auto"/>
        <w:right w:val="single" w:sz="4" w:space="0" w:color="auto"/>
      </w:pBdr>
      <w:spacing w:before="100" w:beforeAutospacing="1" w:after="100" w:afterAutospacing="1"/>
      <w:jc w:val="right"/>
      <w:textAlignment w:val="center"/>
    </w:pPr>
    <w:rPr>
      <w:rFonts w:ascii="Times Armenian" w:eastAsia="Arial Unicode MS" w:hAnsi="Times Armenian" w:cs="Arial Unicode MS"/>
    </w:rPr>
  </w:style>
  <w:style w:type="paragraph" w:customStyle="1" w:styleId="xl117">
    <w:name w:val="xl117"/>
    <w:basedOn w:val="Normal"/>
    <w:rsid w:val="0045493E"/>
    <w:pPr>
      <w:pBdr>
        <w:top w:val="single" w:sz="4" w:space="0" w:color="auto"/>
        <w:left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rPr>
  </w:style>
  <w:style w:type="paragraph" w:customStyle="1" w:styleId="xl118">
    <w:name w:val="xl118"/>
    <w:basedOn w:val="Normal"/>
    <w:rsid w:val="0045493E"/>
    <w:pPr>
      <w:pBdr>
        <w:top w:val="single" w:sz="8" w:space="0" w:color="auto"/>
        <w:left w:val="single" w:sz="8"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119">
    <w:name w:val="xl119"/>
    <w:basedOn w:val="Normal"/>
    <w:rsid w:val="0045493E"/>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rPr>
  </w:style>
  <w:style w:type="paragraph" w:customStyle="1" w:styleId="xl120">
    <w:name w:val="xl120"/>
    <w:basedOn w:val="Normal"/>
    <w:rsid w:val="0045493E"/>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rFonts w:ascii="Times Armenian" w:eastAsia="Arial Unicode MS" w:hAnsi="Times Armenian" w:cs="Arial Unicode MS"/>
      <w:b/>
      <w:bCs/>
    </w:rPr>
  </w:style>
  <w:style w:type="paragraph" w:customStyle="1" w:styleId="xl121">
    <w:name w:val="xl121"/>
    <w:basedOn w:val="Normal"/>
    <w:rsid w:val="0045493E"/>
    <w:pPr>
      <w:pBdr>
        <w:top w:val="single" w:sz="8" w:space="0" w:color="auto"/>
        <w:left w:val="single" w:sz="4" w:space="0" w:color="auto"/>
        <w:bottom w:val="single" w:sz="4" w:space="0" w:color="auto"/>
        <w:right w:val="single" w:sz="8" w:space="0" w:color="auto"/>
      </w:pBdr>
      <w:shd w:val="clear" w:color="auto" w:fill="CCFFCC"/>
      <w:spacing w:before="100" w:beforeAutospacing="1" w:after="100" w:afterAutospacing="1"/>
      <w:jc w:val="right"/>
    </w:pPr>
    <w:rPr>
      <w:rFonts w:ascii="Times Armenian" w:eastAsia="Arial Unicode MS" w:hAnsi="Times Armenian" w:cs="Arial Unicode MS"/>
      <w:b/>
      <w:bCs/>
    </w:rPr>
  </w:style>
  <w:style w:type="paragraph" w:customStyle="1" w:styleId="xl122">
    <w:name w:val="xl122"/>
    <w:basedOn w:val="Normal"/>
    <w:rsid w:val="0045493E"/>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Armenian" w:eastAsia="Arial Unicode MS" w:hAnsi="Times Armenian" w:cs="Arial Unicode MS"/>
      <w:b/>
      <w:bCs/>
      <w:i/>
      <w:iCs/>
    </w:rPr>
  </w:style>
  <w:style w:type="paragraph" w:customStyle="1" w:styleId="xl123">
    <w:name w:val="xl123"/>
    <w:basedOn w:val="Normal"/>
    <w:rsid w:val="0045493E"/>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Times Armenian" w:eastAsia="Arial Unicode MS" w:hAnsi="Times Armenian" w:cs="Arial Unicode MS"/>
      <w:b/>
      <w:bCs/>
      <w:i/>
      <w:iCs/>
    </w:rPr>
  </w:style>
  <w:style w:type="paragraph" w:customStyle="1" w:styleId="xl124">
    <w:name w:val="xl124"/>
    <w:basedOn w:val="Normal"/>
    <w:rsid w:val="0045493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Times Armenian" w:eastAsia="Arial Unicode MS" w:hAnsi="Times Armenian" w:cs="Arial Unicode MS"/>
      <w:b/>
      <w:bCs/>
      <w:i/>
      <w:iCs/>
    </w:rPr>
  </w:style>
  <w:style w:type="paragraph" w:customStyle="1" w:styleId="xl125">
    <w:name w:val="xl125"/>
    <w:basedOn w:val="Normal"/>
    <w:rsid w:val="0045493E"/>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b/>
      <w:bCs/>
    </w:rPr>
  </w:style>
  <w:style w:type="paragraph" w:customStyle="1" w:styleId="xl126">
    <w:name w:val="xl126"/>
    <w:basedOn w:val="Normal"/>
    <w:rsid w:val="0045493E"/>
    <w:pPr>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Times Armenian" w:eastAsia="Arial Unicode MS" w:hAnsi="Times Armenian" w:cs="Arial Unicode MS"/>
      <w:b/>
      <w:bCs/>
      <w:i/>
      <w:iCs/>
    </w:rPr>
  </w:style>
  <w:style w:type="paragraph" w:customStyle="1" w:styleId="xl127">
    <w:name w:val="xl127"/>
    <w:basedOn w:val="Normal"/>
    <w:rsid w:val="0045493E"/>
    <w:pPr>
      <w:pBdr>
        <w:top w:val="single" w:sz="4" w:space="0" w:color="auto"/>
        <w:left w:val="single" w:sz="4" w:space="0" w:color="auto"/>
        <w:bottom w:val="single" w:sz="8" w:space="0" w:color="auto"/>
        <w:right w:val="single" w:sz="8" w:space="0" w:color="auto"/>
      </w:pBdr>
      <w:spacing w:before="100" w:beforeAutospacing="1" w:after="100" w:afterAutospacing="1"/>
      <w:jc w:val="right"/>
    </w:pPr>
    <w:rPr>
      <w:rFonts w:ascii="Times Armenian" w:eastAsia="Arial Unicode MS" w:hAnsi="Times Armenian" w:cs="Arial Unicode MS"/>
      <w:b/>
      <w:bCs/>
      <w:i/>
      <w:iCs/>
    </w:rPr>
  </w:style>
  <w:style w:type="paragraph" w:customStyle="1" w:styleId="xl128">
    <w:name w:val="xl128"/>
    <w:basedOn w:val="Normal"/>
    <w:rsid w:val="0045493E"/>
    <w:pPr>
      <w:pBdr>
        <w:bottom w:val="single" w:sz="4" w:space="0" w:color="auto"/>
        <w:right w:val="single" w:sz="4" w:space="0" w:color="auto"/>
      </w:pBdr>
      <w:spacing w:before="100" w:beforeAutospacing="1" w:after="100" w:afterAutospacing="1"/>
    </w:pPr>
    <w:rPr>
      <w:rFonts w:ascii="Times Armenian" w:eastAsia="Arial Unicode MS" w:hAnsi="Times Armenian" w:cs="Arial Unicode MS"/>
    </w:rPr>
  </w:style>
  <w:style w:type="paragraph" w:customStyle="1" w:styleId="xl129">
    <w:name w:val="xl129"/>
    <w:basedOn w:val="Normal"/>
    <w:rsid w:val="0045493E"/>
    <w:pPr>
      <w:pBdr>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rPr>
  </w:style>
  <w:style w:type="paragraph" w:customStyle="1" w:styleId="xl130">
    <w:name w:val="xl130"/>
    <w:basedOn w:val="Normal"/>
    <w:rsid w:val="0045493E"/>
    <w:pPr>
      <w:pBdr>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i/>
      <w:iCs/>
    </w:rPr>
  </w:style>
  <w:style w:type="paragraph" w:customStyle="1" w:styleId="xl131">
    <w:name w:val="xl131"/>
    <w:basedOn w:val="Normal"/>
    <w:rsid w:val="0045493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b/>
      <w:bCs/>
      <w:i/>
      <w:iCs/>
    </w:rPr>
  </w:style>
  <w:style w:type="paragraph" w:customStyle="1" w:styleId="xl132">
    <w:name w:val="xl132"/>
    <w:basedOn w:val="Normal"/>
    <w:rsid w:val="0045493E"/>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right"/>
    </w:pPr>
    <w:rPr>
      <w:rFonts w:ascii="Times Armenian" w:eastAsia="Arial Unicode MS" w:hAnsi="Times Armenian" w:cs="Arial Unicode MS"/>
      <w:b/>
      <w:bCs/>
      <w:i/>
      <w:iCs/>
    </w:rPr>
  </w:style>
  <w:style w:type="paragraph" w:customStyle="1" w:styleId="xl133">
    <w:name w:val="xl133"/>
    <w:basedOn w:val="Normal"/>
    <w:rsid w:val="0045493E"/>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b/>
      <w:bCs/>
      <w:i/>
      <w:iCs/>
    </w:rPr>
  </w:style>
  <w:style w:type="paragraph" w:customStyle="1" w:styleId="xl134">
    <w:name w:val="xl134"/>
    <w:basedOn w:val="Normal"/>
    <w:rsid w:val="0045493E"/>
    <w:pPr>
      <w:pBdr>
        <w:top w:val="single" w:sz="4" w:space="0" w:color="auto"/>
        <w:left w:val="single" w:sz="4" w:space="0" w:color="auto"/>
        <w:bottom w:val="single" w:sz="8" w:space="0" w:color="auto"/>
        <w:right w:val="single" w:sz="8" w:space="0" w:color="auto"/>
      </w:pBdr>
      <w:shd w:val="clear" w:color="auto" w:fill="FFFFFF"/>
      <w:spacing w:before="100" w:beforeAutospacing="1" w:after="100" w:afterAutospacing="1"/>
      <w:jc w:val="right"/>
    </w:pPr>
    <w:rPr>
      <w:rFonts w:ascii="Times Armenian" w:eastAsia="Arial Unicode MS" w:hAnsi="Times Armenian" w:cs="Arial Unicode MS"/>
      <w:b/>
      <w:bCs/>
      <w:i/>
      <w:iCs/>
    </w:rPr>
  </w:style>
  <w:style w:type="paragraph" w:customStyle="1" w:styleId="xl135">
    <w:name w:val="xl135"/>
    <w:basedOn w:val="Normal"/>
    <w:rsid w:val="0045493E"/>
    <w:pPr>
      <w:pBdr>
        <w:left w:val="single" w:sz="4" w:space="0" w:color="auto"/>
        <w:bottom w:val="single" w:sz="4" w:space="0" w:color="auto"/>
        <w:right w:val="single" w:sz="4" w:space="0" w:color="auto"/>
      </w:pBdr>
      <w:shd w:val="clear" w:color="auto" w:fill="FFFF99"/>
      <w:spacing w:before="100" w:beforeAutospacing="1" w:after="100" w:afterAutospacing="1"/>
      <w:jc w:val="right"/>
    </w:pPr>
    <w:rPr>
      <w:rFonts w:ascii="Times Armenian" w:eastAsia="Arial Unicode MS" w:hAnsi="Times Armenian" w:cs="Arial Unicode MS"/>
    </w:rPr>
  </w:style>
  <w:style w:type="paragraph" w:customStyle="1" w:styleId="xl136">
    <w:name w:val="xl136"/>
    <w:basedOn w:val="Normal"/>
    <w:rsid w:val="0045493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Times Armenian" w:eastAsia="Arial Unicode MS" w:hAnsi="Times Armenian" w:cs="Arial Unicode MS"/>
      <w:i/>
      <w:iCs/>
    </w:rPr>
  </w:style>
  <w:style w:type="paragraph" w:customStyle="1" w:styleId="xl137">
    <w:name w:val="xl137"/>
    <w:basedOn w:val="Normal"/>
    <w:rsid w:val="0045493E"/>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Times Armenian" w:eastAsia="Arial Unicode MS" w:hAnsi="Times Armenian" w:cs="Arial Unicode MS"/>
      <w:b/>
      <w:bCs/>
    </w:rPr>
  </w:style>
  <w:style w:type="paragraph" w:customStyle="1" w:styleId="xl138">
    <w:name w:val="xl138"/>
    <w:basedOn w:val="Normal"/>
    <w:rsid w:val="0045493E"/>
    <w:pPr>
      <w:pBdr>
        <w:top w:val="single" w:sz="8" w:space="0" w:color="auto"/>
        <w:left w:val="single" w:sz="4" w:space="0" w:color="auto"/>
        <w:bottom w:val="single" w:sz="4" w:space="0" w:color="auto"/>
        <w:right w:val="single" w:sz="8" w:space="0" w:color="auto"/>
      </w:pBdr>
      <w:shd w:val="clear" w:color="auto" w:fill="FFFF99"/>
      <w:spacing w:before="100" w:beforeAutospacing="1" w:after="100" w:afterAutospacing="1"/>
      <w:jc w:val="right"/>
    </w:pPr>
    <w:rPr>
      <w:rFonts w:ascii="Times Armenian" w:eastAsia="Arial Unicode MS" w:hAnsi="Times Armenian" w:cs="Arial Unicode MS"/>
      <w:b/>
      <w:bCs/>
    </w:rPr>
  </w:style>
  <w:style w:type="paragraph" w:customStyle="1" w:styleId="StyleHeading5SideItalic">
    <w:name w:val="Style Heading 5Side + Italic"/>
    <w:basedOn w:val="Heading5"/>
    <w:rsid w:val="0045493E"/>
    <w:pPr>
      <w:widowControl w:val="0"/>
      <w:tabs>
        <w:tab w:val="left" w:pos="1021"/>
      </w:tabs>
      <w:spacing w:before="0" w:after="120"/>
    </w:pPr>
    <w:rPr>
      <w:rFonts w:ascii="Times Armenian" w:hAnsi="Times Armenian"/>
      <w:sz w:val="20"/>
      <w:szCs w:val="20"/>
      <w:u w:val="single"/>
      <w:lang w:val="en-GB"/>
    </w:rPr>
  </w:style>
  <w:style w:type="paragraph" w:customStyle="1" w:styleId="CaptionTableTitle">
    <w:name w:val="Caption.(Table Title)"/>
    <w:basedOn w:val="Normal"/>
    <w:next w:val="Normal"/>
    <w:rsid w:val="0045493E"/>
    <w:pPr>
      <w:keepNext/>
      <w:keepLines/>
      <w:spacing w:before="130" w:after="130"/>
    </w:pPr>
    <w:rPr>
      <w:b/>
      <w:szCs w:val="20"/>
      <w:lang w:val="en-GB"/>
    </w:rPr>
  </w:style>
  <w:style w:type="paragraph" w:styleId="NoSpacing">
    <w:name w:val="No Spacing"/>
    <w:basedOn w:val="Normal"/>
    <w:link w:val="NoSpacingChar"/>
    <w:qFormat/>
    <w:rsid w:val="0045493E"/>
    <w:pPr>
      <w:spacing w:after="0" w:line="240" w:lineRule="auto"/>
    </w:pPr>
  </w:style>
  <w:style w:type="character" w:customStyle="1" w:styleId="NoSpacingChar">
    <w:name w:val="No Spacing Char"/>
    <w:basedOn w:val="DefaultParagraphFont"/>
    <w:link w:val="NoSpacing"/>
    <w:rsid w:val="0045493E"/>
  </w:style>
  <w:style w:type="paragraph" w:customStyle="1" w:styleId="StyleHeading2ChapterParanumText10pt">
    <w:name w:val="Style Heading 2(Chapter)ParanumText + 10 pt"/>
    <w:basedOn w:val="Heading2"/>
    <w:rsid w:val="0045493E"/>
  </w:style>
  <w:style w:type="paragraph" w:customStyle="1" w:styleId="CharChar">
    <w:name w:val="Char Char"/>
    <w:basedOn w:val="Normal"/>
    <w:rsid w:val="0045493E"/>
    <w:pPr>
      <w:spacing w:line="240" w:lineRule="exact"/>
    </w:pPr>
    <w:rPr>
      <w:rFonts w:ascii="Arial" w:hAnsi="Arial" w:cs="Arial"/>
      <w:sz w:val="20"/>
      <w:szCs w:val="20"/>
    </w:rPr>
  </w:style>
  <w:style w:type="paragraph" w:customStyle="1" w:styleId="CharCharChar">
    <w:name w:val="Char Char Char"/>
    <w:basedOn w:val="Normal"/>
    <w:rsid w:val="0045493E"/>
    <w:pPr>
      <w:spacing w:line="240" w:lineRule="exact"/>
    </w:pPr>
    <w:rPr>
      <w:rFonts w:ascii="Arial" w:hAnsi="Arial" w:cs="Arial"/>
      <w:sz w:val="20"/>
      <w:szCs w:val="20"/>
    </w:rPr>
  </w:style>
  <w:style w:type="paragraph" w:customStyle="1" w:styleId="BodyText1">
    <w:name w:val="Body Text1"/>
    <w:basedOn w:val="Normal"/>
    <w:rsid w:val="0045493E"/>
    <w:pPr>
      <w:numPr>
        <w:numId w:val="4"/>
      </w:numPr>
      <w:spacing w:after="240"/>
    </w:pPr>
    <w:rPr>
      <w:rFonts w:ascii="Times Armenian" w:hAnsi="Times Armenian"/>
      <w:lang w:eastAsia="ru-RU"/>
    </w:rPr>
  </w:style>
  <w:style w:type="paragraph" w:customStyle="1" w:styleId="Char0">
    <w:name w:val="Char"/>
    <w:basedOn w:val="Normal"/>
    <w:next w:val="Normal"/>
    <w:rsid w:val="0045493E"/>
    <w:pPr>
      <w:spacing w:line="240" w:lineRule="exact"/>
    </w:pPr>
    <w:rPr>
      <w:rFonts w:ascii="Tahoma" w:hAnsi="Tahoma"/>
      <w:szCs w:val="20"/>
    </w:rPr>
  </w:style>
  <w:style w:type="paragraph" w:customStyle="1" w:styleId="Titletable">
    <w:name w:val="Title_table"/>
    <w:basedOn w:val="Caption"/>
    <w:rsid w:val="0045493E"/>
    <w:rPr>
      <w:bCs/>
      <w:lang w:eastAsia="ru-RU"/>
    </w:rPr>
  </w:style>
  <w:style w:type="paragraph" w:customStyle="1" w:styleId="ConsNonformat">
    <w:name w:val="ConsNonformat"/>
    <w:rsid w:val="0045493E"/>
    <w:pPr>
      <w:widowControl w:val="0"/>
      <w:autoSpaceDE w:val="0"/>
      <w:autoSpaceDN w:val="0"/>
      <w:adjustRightInd w:val="0"/>
      <w:spacing w:after="160" w:line="259" w:lineRule="auto"/>
    </w:pPr>
    <w:rPr>
      <w:rFonts w:ascii="Courier New" w:hAnsi="Courier New"/>
      <w:sz w:val="22"/>
      <w:szCs w:val="22"/>
      <w:lang w:val="ru-RU"/>
    </w:rPr>
  </w:style>
  <w:style w:type="paragraph" w:customStyle="1" w:styleId="Znak">
    <w:name w:val="Znak"/>
    <w:basedOn w:val="Normal"/>
    <w:rsid w:val="0045493E"/>
    <w:pPr>
      <w:tabs>
        <w:tab w:val="left" w:pos="709"/>
      </w:tabs>
    </w:pPr>
    <w:rPr>
      <w:rFonts w:ascii="Tahoma" w:hAnsi="Tahoma"/>
      <w:lang w:val="pl-PL" w:eastAsia="pl-PL"/>
    </w:rPr>
  </w:style>
  <w:style w:type="character" w:customStyle="1" w:styleId="BodyTextChar">
    <w:name w:val="Body Text Char"/>
    <w:aliases w:val="Body Text (Main text) Char"/>
    <w:rsid w:val="0045493E"/>
    <w:rPr>
      <w:rFonts w:ascii="Times Armenian" w:hAnsi="Times Armenian"/>
      <w:sz w:val="24"/>
      <w:lang w:val="en-AU" w:eastAsia="en-US" w:bidi="ar-SA"/>
    </w:rPr>
  </w:style>
  <w:style w:type="paragraph" w:customStyle="1" w:styleId="Char7">
    <w:name w:val="Char7"/>
    <w:basedOn w:val="Normal"/>
    <w:rsid w:val="0045493E"/>
    <w:pPr>
      <w:spacing w:line="240" w:lineRule="exact"/>
    </w:pPr>
    <w:rPr>
      <w:rFonts w:ascii="Arial" w:hAnsi="Arial" w:cs="Arial"/>
      <w:sz w:val="20"/>
      <w:szCs w:val="20"/>
    </w:rPr>
  </w:style>
  <w:style w:type="paragraph" w:customStyle="1" w:styleId="a9">
    <w:name w:val="Знак Знак"/>
    <w:basedOn w:val="Normal"/>
    <w:link w:val="Char1"/>
    <w:rsid w:val="0045493E"/>
    <w:pPr>
      <w:spacing w:line="240" w:lineRule="exact"/>
    </w:pPr>
    <w:rPr>
      <w:rFonts w:ascii="Arial" w:hAnsi="Arial" w:cs="Arial"/>
      <w:sz w:val="20"/>
      <w:szCs w:val="20"/>
      <w:lang w:val="en-GB"/>
    </w:rPr>
  </w:style>
  <w:style w:type="character" w:customStyle="1" w:styleId="Char1">
    <w:name w:val="Знак Знак Char"/>
    <w:link w:val="a9"/>
    <w:locked/>
    <w:rsid w:val="0045493E"/>
    <w:rPr>
      <w:rFonts w:ascii="Arial" w:hAnsi="Arial" w:cs="Arial"/>
      <w:lang w:val="en-GB" w:eastAsia="en-US" w:bidi="ar-SA"/>
    </w:rPr>
  </w:style>
  <w:style w:type="paragraph" w:customStyle="1" w:styleId="CharCharCharCharCharCharCharCharCharCharCharChar">
    <w:name w:val="Char Char Char Char Char Char Char Char Char Char Char Char"/>
    <w:basedOn w:val="Normal"/>
    <w:rsid w:val="0045493E"/>
    <w:pPr>
      <w:spacing w:line="240" w:lineRule="exact"/>
    </w:pPr>
    <w:rPr>
      <w:rFonts w:ascii="Arial" w:hAnsi="Arial" w:cs="Arial"/>
      <w:sz w:val="20"/>
      <w:szCs w:val="20"/>
    </w:rPr>
  </w:style>
  <w:style w:type="character" w:customStyle="1" w:styleId="ParanumCharChar">
    <w:name w:val="Paranum Char Char"/>
    <w:rsid w:val="0045493E"/>
    <w:rPr>
      <w:rFonts w:ascii="Arial" w:hAnsi="Arial" w:cs="Arial"/>
      <w:b/>
      <w:bCs/>
      <w:i/>
      <w:iCs/>
      <w:sz w:val="28"/>
      <w:szCs w:val="28"/>
      <w:lang w:val="en-US" w:eastAsia="en-US" w:bidi="ar-SA"/>
    </w:rPr>
  </w:style>
  <w:style w:type="character" w:customStyle="1" w:styleId="textinfo1">
    <w:name w:val="textinfo1"/>
    <w:rsid w:val="0045493E"/>
    <w:rPr>
      <w:rFonts w:ascii="Arial AM" w:hAnsi="Arial AM" w:hint="default"/>
      <w:color w:val="000000"/>
      <w:sz w:val="18"/>
      <w:szCs w:val="18"/>
    </w:rPr>
  </w:style>
  <w:style w:type="paragraph" w:customStyle="1" w:styleId="CharCharCharCharCharCharCharChar">
    <w:name w:val="Char Char Char Char Char Char Char Char"/>
    <w:basedOn w:val="Normal"/>
    <w:rsid w:val="0045493E"/>
    <w:pPr>
      <w:spacing w:line="240" w:lineRule="exact"/>
    </w:pPr>
    <w:rPr>
      <w:rFonts w:ascii="Arial" w:hAnsi="Arial" w:cs="Arial"/>
      <w:sz w:val="20"/>
      <w:szCs w:val="20"/>
    </w:rPr>
  </w:style>
  <w:style w:type="paragraph" w:customStyle="1" w:styleId="CharCharCharCharCharCharCharCharCharCharCharCharCharCharChar">
    <w:name w:val="Char Char Char Char Знак Char Знак Char Char Char Char Char Char Char Char Char Char"/>
    <w:basedOn w:val="Normal"/>
    <w:qFormat/>
    <w:rsid w:val="0045493E"/>
    <w:pPr>
      <w:tabs>
        <w:tab w:val="left" w:pos="709"/>
      </w:tabs>
    </w:pPr>
    <w:rPr>
      <w:rFonts w:ascii="Tahoma" w:hAnsi="Tahoma"/>
      <w:lang w:val="pl-PL" w:eastAsia="pl-PL"/>
    </w:rPr>
  </w:style>
  <w:style w:type="paragraph" w:customStyle="1" w:styleId="Report-Title">
    <w:name w:val="Report-Title"/>
    <w:rsid w:val="0045493E"/>
    <w:pPr>
      <w:spacing w:after="240" w:line="259" w:lineRule="auto"/>
    </w:pPr>
    <w:rPr>
      <w:rFonts w:ascii="Arial" w:eastAsia="MS Mincho" w:hAnsi="Arial" w:cs="Arial"/>
      <w:b/>
      <w:bCs/>
      <w:sz w:val="36"/>
      <w:szCs w:val="36"/>
    </w:rPr>
  </w:style>
  <w:style w:type="paragraph" w:customStyle="1" w:styleId="msonormalcxspmiddle">
    <w:name w:val="msonormalcxspmiddle"/>
    <w:basedOn w:val="Normal"/>
    <w:rsid w:val="0045493E"/>
    <w:pPr>
      <w:spacing w:before="100" w:beforeAutospacing="1" w:after="100" w:afterAutospacing="1"/>
    </w:pPr>
  </w:style>
  <w:style w:type="paragraph" w:customStyle="1" w:styleId="BodyText21">
    <w:name w:val="Body Text 21"/>
    <w:basedOn w:val="Normal"/>
    <w:rsid w:val="0045493E"/>
    <w:pPr>
      <w:overflowPunct w:val="0"/>
      <w:autoSpaceDE w:val="0"/>
      <w:autoSpaceDN w:val="0"/>
      <w:adjustRightInd w:val="0"/>
      <w:spacing w:line="360" w:lineRule="auto"/>
      <w:ind w:firstLine="720"/>
      <w:textAlignment w:val="baseline"/>
    </w:pPr>
    <w:rPr>
      <w:rFonts w:ascii="Times Armenian" w:hAnsi="Times Armenian"/>
    </w:rPr>
  </w:style>
  <w:style w:type="paragraph" w:customStyle="1" w:styleId="a3">
    <w:name w:val="Стиль"/>
    <w:rsid w:val="0045493E"/>
    <w:pPr>
      <w:numPr>
        <w:numId w:val="5"/>
      </w:numPr>
      <w:tabs>
        <w:tab w:val="clear" w:pos="360"/>
      </w:tabs>
      <w:spacing w:after="160" w:line="259" w:lineRule="auto"/>
    </w:pPr>
    <w:rPr>
      <w:rFonts w:ascii="Baltica" w:hAnsi="Baltica"/>
      <w:sz w:val="22"/>
      <w:szCs w:val="22"/>
      <w:lang w:eastAsia="ru-RU"/>
    </w:rPr>
  </w:style>
  <w:style w:type="paragraph" w:customStyle="1" w:styleId="ConsNormal">
    <w:name w:val="ConsNormal"/>
    <w:rsid w:val="0045493E"/>
    <w:pPr>
      <w:widowControl w:val="0"/>
      <w:autoSpaceDE w:val="0"/>
      <w:autoSpaceDN w:val="0"/>
      <w:adjustRightInd w:val="0"/>
      <w:spacing w:after="160" w:line="259" w:lineRule="auto"/>
      <w:ind w:firstLine="720"/>
    </w:pPr>
    <w:rPr>
      <w:rFonts w:ascii="Arial" w:hAnsi="Arial"/>
      <w:sz w:val="22"/>
      <w:szCs w:val="22"/>
      <w:lang w:val="ru-RU"/>
    </w:rPr>
  </w:style>
  <w:style w:type="paragraph" w:customStyle="1" w:styleId="ListDash">
    <w:name w:val="List Dash"/>
    <w:basedOn w:val="Normal"/>
    <w:rsid w:val="0045493E"/>
    <w:pPr>
      <w:numPr>
        <w:numId w:val="6"/>
      </w:numPr>
      <w:spacing w:before="120" w:after="120"/>
    </w:pPr>
    <w:rPr>
      <w:szCs w:val="20"/>
      <w:lang w:val="en-GB"/>
    </w:rPr>
  </w:style>
  <w:style w:type="paragraph" w:customStyle="1" w:styleId="CharCharCharCharCharCharChar">
    <w:name w:val="Char Char Char Char Char Char Char"/>
    <w:basedOn w:val="Normal"/>
    <w:rsid w:val="0045493E"/>
    <w:pPr>
      <w:spacing w:line="240" w:lineRule="exact"/>
    </w:pPr>
    <w:rPr>
      <w:rFonts w:ascii="Arial" w:hAnsi="Arial" w:cs="Arial"/>
      <w:sz w:val="20"/>
      <w:szCs w:val="20"/>
    </w:rPr>
  </w:style>
  <w:style w:type="paragraph" w:customStyle="1" w:styleId="Default">
    <w:name w:val="Default"/>
    <w:link w:val="DefaultChar"/>
    <w:rsid w:val="0045493E"/>
    <w:pPr>
      <w:widowControl w:val="0"/>
      <w:autoSpaceDE w:val="0"/>
      <w:autoSpaceDN w:val="0"/>
      <w:adjustRightInd w:val="0"/>
      <w:spacing w:after="160" w:line="259" w:lineRule="auto"/>
    </w:pPr>
    <w:rPr>
      <w:rFonts w:ascii="Times Armenian" w:hAnsi="Times Armenian" w:cs="Times Armenian"/>
      <w:color w:val="000000"/>
      <w:sz w:val="24"/>
      <w:szCs w:val="24"/>
      <w:lang w:val="ru-RU" w:eastAsia="ru-RU"/>
    </w:rPr>
  </w:style>
  <w:style w:type="paragraph" w:customStyle="1" w:styleId="2ndheading">
    <w:name w:val="2nd heading"/>
    <w:basedOn w:val="Normal"/>
    <w:next w:val="Normal"/>
    <w:rsid w:val="0045493E"/>
    <w:pPr>
      <w:numPr>
        <w:numId w:val="7"/>
      </w:numPr>
      <w:tabs>
        <w:tab w:val="clear" w:pos="643"/>
      </w:tabs>
      <w:ind w:left="0" w:firstLine="0"/>
    </w:pPr>
    <w:rPr>
      <w:rFonts w:ascii="Univers" w:hAnsi="Univers"/>
      <w:bCs/>
      <w:sz w:val="28"/>
      <w:szCs w:val="20"/>
      <w:lang w:val="en-GB"/>
    </w:rPr>
  </w:style>
  <w:style w:type="character" w:customStyle="1" w:styleId="BodyTextFirstIndentChar2">
    <w:name w:val="Body Text First Indent Char2"/>
    <w:link w:val="BodyTextFirstIndent"/>
    <w:rsid w:val="0045493E"/>
    <w:rPr>
      <w:sz w:val="24"/>
      <w:szCs w:val="24"/>
      <w:lang w:val="ru-RU" w:eastAsia="ru-RU" w:bidi="ar-SA"/>
    </w:rPr>
  </w:style>
  <w:style w:type="character" w:customStyle="1" w:styleId="CommentSubjectChar2">
    <w:name w:val="Comment Subject Char2"/>
    <w:link w:val="CommentSubject"/>
    <w:rsid w:val="0045493E"/>
    <w:rPr>
      <w:rFonts w:ascii="Courier New" w:hAnsi="Courier New"/>
      <w:b/>
      <w:bCs/>
      <w:lang w:val="en-US" w:eastAsia="en-US" w:bidi="ar-SA"/>
    </w:rPr>
  </w:style>
  <w:style w:type="paragraph" w:customStyle="1" w:styleId="CharCharCharChar">
    <w:name w:val="Char Char Char Char"/>
    <w:basedOn w:val="Normal"/>
    <w:rsid w:val="0045493E"/>
    <w:pPr>
      <w:tabs>
        <w:tab w:val="left" w:pos="840"/>
      </w:tabs>
      <w:spacing w:line="240" w:lineRule="exact"/>
      <w:ind w:left="840" w:hanging="360"/>
    </w:pPr>
    <w:rPr>
      <w:rFonts w:ascii="Verdana" w:hAnsi="Verdana"/>
      <w:sz w:val="20"/>
      <w:szCs w:val="20"/>
      <w:lang w:val="ru-RU"/>
    </w:rPr>
  </w:style>
  <w:style w:type="paragraph" w:customStyle="1" w:styleId="6">
    <w:name w:val="Знак Знак6"/>
    <w:basedOn w:val="Normal"/>
    <w:link w:val="Char3"/>
    <w:rsid w:val="0045493E"/>
    <w:pPr>
      <w:spacing w:line="240" w:lineRule="exact"/>
    </w:pPr>
    <w:rPr>
      <w:rFonts w:ascii="Arial" w:hAnsi="Arial" w:cs="Arial"/>
      <w:sz w:val="20"/>
      <w:szCs w:val="20"/>
      <w:lang w:val="en-GB"/>
    </w:rPr>
  </w:style>
  <w:style w:type="character" w:customStyle="1" w:styleId="Char3">
    <w:name w:val="Знак Знак Char3"/>
    <w:link w:val="6"/>
    <w:rsid w:val="0045493E"/>
    <w:rPr>
      <w:rFonts w:ascii="Arial" w:hAnsi="Arial" w:cs="Arial"/>
      <w:lang w:val="en-GB" w:eastAsia="en-US" w:bidi="ar-SA"/>
    </w:rPr>
  </w:style>
  <w:style w:type="paragraph" w:customStyle="1" w:styleId="aa">
    <w:name w:val="Заголовок таблицы"/>
    <w:basedOn w:val="ab"/>
    <w:rsid w:val="0045493E"/>
    <w:pPr>
      <w:jc w:val="center"/>
    </w:pPr>
    <w:rPr>
      <w:b/>
    </w:rPr>
  </w:style>
  <w:style w:type="paragraph" w:customStyle="1" w:styleId="ab">
    <w:name w:val="Содержимое таблицы"/>
    <w:basedOn w:val="Normal"/>
    <w:rsid w:val="0045493E"/>
    <w:pPr>
      <w:suppressLineNumbers/>
      <w:suppressAutoHyphens/>
    </w:pPr>
    <w:rPr>
      <w:szCs w:val="20"/>
    </w:rPr>
  </w:style>
  <w:style w:type="paragraph" w:customStyle="1" w:styleId="norm">
    <w:name w:val="norm"/>
    <w:basedOn w:val="Normal"/>
    <w:link w:val="normChar"/>
    <w:rsid w:val="0045493E"/>
    <w:pPr>
      <w:spacing w:line="480" w:lineRule="auto"/>
      <w:ind w:firstLine="709"/>
    </w:pPr>
    <w:rPr>
      <w:rFonts w:ascii="Arial Armenian" w:hAnsi="Arial Armenian"/>
      <w:szCs w:val="20"/>
      <w:lang w:eastAsia="ru-RU"/>
    </w:rPr>
  </w:style>
  <w:style w:type="character" w:customStyle="1" w:styleId="normChar">
    <w:name w:val="norm Char"/>
    <w:link w:val="norm"/>
    <w:rsid w:val="0045493E"/>
    <w:rPr>
      <w:rFonts w:ascii="Arial Armenian" w:hAnsi="Arial Armenian"/>
      <w:sz w:val="22"/>
      <w:lang w:val="en-US" w:eastAsia="ru-RU" w:bidi="ar-SA"/>
    </w:rPr>
  </w:style>
  <w:style w:type="paragraph" w:customStyle="1" w:styleId="ac">
    <w:name w:val="??????? ??????????"/>
    <w:basedOn w:val="a5"/>
    <w:rsid w:val="0045493E"/>
    <w:pPr>
      <w:tabs>
        <w:tab w:val="center" w:pos="4320"/>
        <w:tab w:val="right" w:pos="8640"/>
      </w:tabs>
    </w:pPr>
    <w:rPr>
      <w:rFonts w:ascii="Times Armenian" w:hAnsi="Times Armenian"/>
      <w:sz w:val="24"/>
      <w:lang w:val="en-US"/>
    </w:rPr>
  </w:style>
  <w:style w:type="paragraph" w:customStyle="1" w:styleId="BodyText22">
    <w:name w:val="Body Text 22"/>
    <w:basedOn w:val="Normal"/>
    <w:rsid w:val="0045493E"/>
    <w:pPr>
      <w:overflowPunct w:val="0"/>
      <w:autoSpaceDE w:val="0"/>
      <w:autoSpaceDN w:val="0"/>
      <w:adjustRightInd w:val="0"/>
      <w:textAlignment w:val="baseline"/>
    </w:pPr>
    <w:rPr>
      <w:rFonts w:ascii="Times LatArm" w:hAnsi="Times LatArm"/>
      <w:szCs w:val="20"/>
      <w:lang w:val="en-GB" w:eastAsia="ru-RU"/>
    </w:rPr>
  </w:style>
  <w:style w:type="paragraph" w:customStyle="1" w:styleId="CharCharChar0">
    <w:name w:val="Char Char Char Знак Знак"/>
    <w:basedOn w:val="Normal"/>
    <w:rsid w:val="0045493E"/>
    <w:pPr>
      <w:spacing w:line="240" w:lineRule="exact"/>
    </w:pPr>
    <w:rPr>
      <w:rFonts w:ascii="Arial" w:hAnsi="Arial" w:cs="Arial"/>
      <w:sz w:val="20"/>
      <w:szCs w:val="20"/>
    </w:rPr>
  </w:style>
  <w:style w:type="paragraph" w:customStyle="1" w:styleId="CharChar39">
    <w:name w:val="Char Char39"/>
    <w:basedOn w:val="Normal"/>
    <w:rsid w:val="0045493E"/>
    <w:pPr>
      <w:spacing w:line="240" w:lineRule="exact"/>
    </w:pPr>
    <w:rPr>
      <w:rFonts w:ascii="Arial" w:hAnsi="Arial" w:cs="Arial"/>
      <w:sz w:val="20"/>
      <w:szCs w:val="20"/>
    </w:rPr>
  </w:style>
  <w:style w:type="paragraph" w:customStyle="1" w:styleId="CharCharChar3">
    <w:name w:val="Char Char Char3"/>
    <w:basedOn w:val="Normal"/>
    <w:rsid w:val="0045493E"/>
    <w:pPr>
      <w:spacing w:line="240" w:lineRule="exact"/>
    </w:pPr>
    <w:rPr>
      <w:rFonts w:ascii="Arial" w:hAnsi="Arial" w:cs="Arial"/>
      <w:sz w:val="20"/>
      <w:szCs w:val="20"/>
    </w:rPr>
  </w:style>
  <w:style w:type="paragraph" w:customStyle="1" w:styleId="Znak3">
    <w:name w:val="Znak3"/>
    <w:basedOn w:val="Normal"/>
    <w:rsid w:val="0045493E"/>
    <w:pPr>
      <w:tabs>
        <w:tab w:val="left" w:pos="709"/>
      </w:tabs>
    </w:pPr>
    <w:rPr>
      <w:rFonts w:ascii="Tahoma" w:hAnsi="Tahoma"/>
      <w:lang w:val="pl-PL" w:eastAsia="pl-PL"/>
    </w:rPr>
  </w:style>
  <w:style w:type="paragraph" w:customStyle="1" w:styleId="CM31">
    <w:name w:val="CM31"/>
    <w:basedOn w:val="Default"/>
    <w:next w:val="Default"/>
    <w:rsid w:val="0045493E"/>
    <w:pPr>
      <w:numPr>
        <w:numId w:val="8"/>
      </w:numPr>
      <w:spacing w:after="228"/>
      <w:ind w:left="0" w:firstLine="0"/>
    </w:pPr>
    <w:rPr>
      <w:rFonts w:ascii="Arial-Armenian" w:hAnsi="Arial-Armenian" w:cs="Arial-Armenian"/>
      <w:color w:val="auto"/>
    </w:rPr>
  </w:style>
  <w:style w:type="paragraph" w:customStyle="1" w:styleId="StyleCaptionTimesArmenian11pt">
    <w:name w:val="Style Caption + Times Armenian 11 pt"/>
    <w:basedOn w:val="Caption"/>
    <w:link w:val="StyleCaptionTimesArmenian11ptChar"/>
    <w:rsid w:val="0045493E"/>
    <w:pPr>
      <w:overflowPunct w:val="0"/>
      <w:autoSpaceDE w:val="0"/>
      <w:autoSpaceDN w:val="0"/>
      <w:adjustRightInd w:val="0"/>
      <w:spacing w:after="120"/>
      <w:textAlignment w:val="baseline"/>
    </w:pPr>
    <w:rPr>
      <w:rFonts w:ascii="Arial Armenian" w:hAnsi="Arial Armenian"/>
      <w:bCs/>
      <w:sz w:val="26"/>
      <w:szCs w:val="26"/>
    </w:rPr>
  </w:style>
  <w:style w:type="character" w:customStyle="1" w:styleId="StyleCaptionTimesArmenian11ptChar">
    <w:name w:val="Style Caption + Times Armenian 11 pt Char"/>
    <w:link w:val="StyleCaptionTimesArmenian11pt"/>
    <w:rsid w:val="0045493E"/>
    <w:rPr>
      <w:rFonts w:ascii="Arial Armenian" w:hAnsi="Arial Armenian"/>
      <w:b/>
      <w:bCs/>
      <w:sz w:val="26"/>
      <w:szCs w:val="26"/>
      <w:lang w:val="en-US" w:eastAsia="en-US" w:bidi="ar-SA"/>
    </w:rPr>
  </w:style>
  <w:style w:type="paragraph" w:customStyle="1" w:styleId="StyleHeading120ptBlue">
    <w:name w:val="Style Heading 1 + 20 pt Blue"/>
    <w:basedOn w:val="Heading1"/>
    <w:rsid w:val="0045493E"/>
    <w:pPr>
      <w:spacing w:line="360" w:lineRule="auto"/>
      <w:ind w:firstLine="720"/>
      <w:jc w:val="both"/>
    </w:pPr>
    <w:rPr>
      <w:sz w:val="40"/>
      <w:szCs w:val="40"/>
      <w:lang w:val="en-GB"/>
    </w:rPr>
  </w:style>
  <w:style w:type="paragraph" w:customStyle="1" w:styleId="StyleHeading1TimesArmenian10ptNotBoldUnderline1">
    <w:name w:val="Style Heading 1 + Times Armenian 10 pt Not Bold Underline1"/>
    <w:basedOn w:val="Heading1"/>
    <w:rsid w:val="0045493E"/>
    <w:pPr>
      <w:tabs>
        <w:tab w:val="center" w:pos="-180"/>
        <w:tab w:val="left" w:pos="450"/>
      </w:tabs>
      <w:spacing w:line="360" w:lineRule="auto"/>
      <w:jc w:val="both"/>
    </w:pPr>
    <w:rPr>
      <w:rFonts w:cs="Sylfaen"/>
      <w:b w:val="0"/>
      <w:bCs w:val="0"/>
      <w:szCs w:val="24"/>
    </w:rPr>
  </w:style>
  <w:style w:type="paragraph" w:customStyle="1" w:styleId="CharCharCharCharCharCharCharCharCharChar">
    <w:name w:val="Char Char Char Char Char Char Char Char Char Char"/>
    <w:basedOn w:val="Normal"/>
    <w:rsid w:val="0045493E"/>
    <w:pPr>
      <w:spacing w:line="240" w:lineRule="exact"/>
    </w:pPr>
    <w:rPr>
      <w:rFonts w:ascii="Arial" w:hAnsi="Arial" w:cs="Arial"/>
      <w:sz w:val="20"/>
      <w:szCs w:val="20"/>
    </w:rPr>
  </w:style>
  <w:style w:type="paragraph" w:customStyle="1" w:styleId="Titlechart">
    <w:name w:val="Title_chart"/>
    <w:basedOn w:val="Caption"/>
    <w:rsid w:val="0045493E"/>
    <w:rPr>
      <w:bCs/>
      <w:lang w:eastAsia="ru-RU"/>
    </w:rPr>
  </w:style>
  <w:style w:type="paragraph" w:customStyle="1" w:styleId="CharCharCharCharCharCharCharCharCharCharCharCharChar">
    <w:name w:val="Char Char Char Char Char Char Char Char Char Char Char Char Char"/>
    <w:basedOn w:val="Normal"/>
    <w:rsid w:val="0045493E"/>
    <w:pPr>
      <w:spacing w:line="240" w:lineRule="exact"/>
    </w:pPr>
    <w:rPr>
      <w:rFonts w:ascii="Arial" w:hAnsi="Arial" w:cs="Arial"/>
      <w:sz w:val="20"/>
      <w:szCs w:val="20"/>
    </w:rPr>
  </w:style>
  <w:style w:type="paragraph" w:customStyle="1" w:styleId="StyleHeading1SectionSectionHeadingText11Chapterhead3">
    <w:name w:val="Style Heading 1(Section)Section Heading(Text)1 1Chapterhead3..."/>
    <w:basedOn w:val="Heading1"/>
    <w:link w:val="StyleHeading1SectionSectionHeadingText11Chapterhead3Char"/>
    <w:rsid w:val="0045493E"/>
    <w:pPr>
      <w:spacing w:before="0" w:after="0" w:line="360" w:lineRule="auto"/>
    </w:pPr>
    <w:rPr>
      <w:b w:val="0"/>
      <w:color w:val="auto"/>
      <w:sz w:val="22"/>
      <w:szCs w:val="22"/>
      <w:lang w:val="es-ES"/>
    </w:rPr>
  </w:style>
  <w:style w:type="character" w:customStyle="1" w:styleId="StyleHeading1SectionSectionHeadingText11Chapterhead3Char">
    <w:name w:val="Style Heading 1(Section)Section Heading(Text)1 1Chapterhead3... Char"/>
    <w:link w:val="StyleHeading1SectionSectionHeadingText11Chapterhead3"/>
    <w:rsid w:val="0045493E"/>
    <w:rPr>
      <w:rFonts w:ascii="GHEA Grapalat" w:eastAsia="SimSun" w:hAnsi="GHEA Grapalat"/>
      <w:b/>
      <w:sz w:val="22"/>
      <w:szCs w:val="22"/>
      <w:lang w:val="es-ES"/>
    </w:rPr>
  </w:style>
  <w:style w:type="paragraph" w:customStyle="1" w:styleId="StyleHeading2ChapterParanumTextSylfaen">
    <w:name w:val="Style Heading 2.(Chapter).Paranum.Text + Sylfaen"/>
    <w:basedOn w:val="Heading2ChapterParanumText"/>
    <w:link w:val="StyleHeading2ChapterParanumTextSylfaenChar"/>
    <w:rsid w:val="0045493E"/>
    <w:pPr>
      <w:spacing w:before="120" w:after="120"/>
      <w:ind w:left="576" w:hanging="576"/>
    </w:pPr>
    <w:rPr>
      <w:rFonts w:ascii="Sylfaen" w:hAnsi="Sylfaen"/>
      <w:bCs/>
    </w:rPr>
  </w:style>
  <w:style w:type="character" w:customStyle="1" w:styleId="StyleHeading2ChapterParanumTextSylfaenChar">
    <w:name w:val="Style Heading 2.(Chapter).Paranum.Text + Sylfaen Char"/>
    <w:link w:val="StyleHeading2ChapterParanumTextSylfaen"/>
    <w:rsid w:val="0045493E"/>
    <w:rPr>
      <w:rFonts w:ascii="Sylfaen" w:hAnsi="Sylfaen"/>
      <w:b/>
      <w:bCs/>
      <w:spacing w:val="24"/>
      <w:kern w:val="28"/>
      <w:sz w:val="24"/>
      <w:szCs w:val="24"/>
      <w:lang w:val="it-IT" w:eastAsia="en-US" w:bidi="ar-SA"/>
    </w:rPr>
  </w:style>
  <w:style w:type="paragraph" w:customStyle="1" w:styleId="StyleHeading3Sub-ChapterCenteredtextHeading3CharCharC">
    <w:name w:val="Style Heading 3(Sub-Chapter)Centered(text)Heading 3 Char Char C..."/>
    <w:basedOn w:val="Heading3"/>
    <w:rsid w:val="0045493E"/>
    <w:pPr>
      <w:ind w:right="302"/>
    </w:pPr>
    <w:rPr>
      <w:bCs/>
      <w:lang w:val="af-ZA"/>
    </w:rPr>
  </w:style>
  <w:style w:type="paragraph" w:customStyle="1" w:styleId="StyleStyleHeading1SectionSectionHeadingText11Chapterhead3">
    <w:name w:val="Style Style Heading 1(Section)Section Heading(Text)1 1Chapterhead3...."/>
    <w:basedOn w:val="StyleHeading1SectionSectionHeadingText11Chapterhead3"/>
    <w:link w:val="StyleStyleHeading1SectionSectionHeadingText11Chapterhead3Char"/>
    <w:rsid w:val="0045493E"/>
  </w:style>
  <w:style w:type="character" w:customStyle="1" w:styleId="StyleStyleHeading1SectionSectionHeadingText11Chapterhead3Char">
    <w:name w:val="Style Style Heading 1(Section)Section Heading(Text)1 1Chapterhead3.... Char"/>
    <w:basedOn w:val="StyleHeading1SectionSectionHeadingText11Chapterhead3Char"/>
    <w:link w:val="StyleStyleHeading1SectionSectionHeadingText11Chapterhead3"/>
    <w:rsid w:val="0045493E"/>
    <w:rPr>
      <w:rFonts w:ascii="GHEA Grapalat" w:eastAsia="SimSun" w:hAnsi="GHEA Grapalat"/>
      <w:b/>
      <w:sz w:val="22"/>
      <w:szCs w:val="22"/>
      <w:lang w:val="es-ES"/>
    </w:rPr>
  </w:style>
  <w:style w:type="paragraph" w:customStyle="1" w:styleId="211">
    <w:name w:val="???????? ????? 21"/>
    <w:basedOn w:val="2"/>
    <w:rsid w:val="0045493E"/>
    <w:pPr>
      <w:jc w:val="center"/>
    </w:pPr>
    <w:rPr>
      <w:b/>
      <w:sz w:val="28"/>
    </w:rPr>
  </w:style>
  <w:style w:type="paragraph" w:customStyle="1" w:styleId="15">
    <w:name w:val="Абзац списка1"/>
    <w:basedOn w:val="Normal"/>
    <w:qFormat/>
    <w:rsid w:val="0045493E"/>
    <w:pPr>
      <w:spacing w:after="200" w:line="276" w:lineRule="auto"/>
      <w:ind w:left="720"/>
      <w:contextualSpacing/>
    </w:pPr>
    <w:rPr>
      <w:lang w:val="ru-RU" w:eastAsia="ru-RU"/>
    </w:rPr>
  </w:style>
  <w:style w:type="character" w:customStyle="1" w:styleId="apple-style-span">
    <w:name w:val="apple-style-span"/>
    <w:basedOn w:val="DefaultParagraphFont"/>
    <w:rsid w:val="0045493E"/>
  </w:style>
  <w:style w:type="paragraph" w:customStyle="1" w:styleId="mechtex">
    <w:name w:val="mechtex"/>
    <w:basedOn w:val="Normal"/>
    <w:link w:val="mechtexChar"/>
    <w:rsid w:val="0045493E"/>
    <w:pPr>
      <w:jc w:val="center"/>
    </w:pPr>
  </w:style>
  <w:style w:type="character" w:customStyle="1" w:styleId="mechtexChar">
    <w:name w:val="mechtex Char"/>
    <w:link w:val="mechtex"/>
    <w:locked/>
    <w:rsid w:val="0045493E"/>
    <w:rPr>
      <w:sz w:val="22"/>
      <w:szCs w:val="24"/>
      <w:lang w:val="en-US" w:eastAsia="en-US" w:bidi="ar-SA"/>
    </w:rPr>
  </w:style>
  <w:style w:type="paragraph" w:customStyle="1" w:styleId="Style15">
    <w:name w:val="Style1.5"/>
    <w:basedOn w:val="Normal"/>
    <w:rsid w:val="0045493E"/>
    <w:pPr>
      <w:spacing w:line="360" w:lineRule="auto"/>
      <w:ind w:firstLine="709"/>
    </w:pPr>
    <w:rPr>
      <w:rFonts w:ascii="Arial Armenian" w:hAnsi="Arial Armenian"/>
    </w:rPr>
  </w:style>
  <w:style w:type="paragraph" w:customStyle="1" w:styleId="russtyle">
    <w:name w:val="russtyle"/>
    <w:basedOn w:val="Normal"/>
    <w:rsid w:val="0045493E"/>
    <w:rPr>
      <w:rFonts w:ascii="Russian Baltica" w:hAnsi="Russian Baltica"/>
    </w:rPr>
  </w:style>
  <w:style w:type="paragraph" w:customStyle="1" w:styleId="Style2">
    <w:name w:val="Style2"/>
    <w:basedOn w:val="mechtex"/>
    <w:rsid w:val="0045493E"/>
    <w:rPr>
      <w:w w:val="90"/>
    </w:rPr>
  </w:style>
  <w:style w:type="paragraph" w:customStyle="1" w:styleId="Style3">
    <w:name w:val="Style3"/>
    <w:basedOn w:val="mechtex"/>
    <w:rsid w:val="0045493E"/>
    <w:rPr>
      <w:w w:val="90"/>
    </w:rPr>
  </w:style>
  <w:style w:type="paragraph" w:customStyle="1" w:styleId="Style6">
    <w:name w:val="Style6"/>
    <w:basedOn w:val="mechtex"/>
    <w:rsid w:val="0045493E"/>
  </w:style>
  <w:style w:type="paragraph" w:customStyle="1" w:styleId="1CharChar">
    <w:name w:val="Знак Знак1 Char Char Знак Знак"/>
    <w:basedOn w:val="Normal"/>
    <w:rsid w:val="0045493E"/>
    <w:pPr>
      <w:tabs>
        <w:tab w:val="left" w:pos="840"/>
      </w:tabs>
      <w:spacing w:line="240" w:lineRule="exact"/>
      <w:ind w:left="840" w:hanging="360"/>
    </w:pPr>
    <w:rPr>
      <w:rFonts w:ascii="Verdana" w:hAnsi="Verdana"/>
      <w:sz w:val="20"/>
      <w:szCs w:val="20"/>
      <w:lang w:val="ru-RU"/>
    </w:rPr>
  </w:style>
  <w:style w:type="paragraph" w:customStyle="1" w:styleId="CharCharCharChar0">
    <w:name w:val="Знак Знак Char Char Знак Знак Char Char Знак Знак"/>
    <w:basedOn w:val="Normal"/>
    <w:rsid w:val="0045493E"/>
    <w:pPr>
      <w:spacing w:line="240" w:lineRule="exact"/>
    </w:pPr>
    <w:rPr>
      <w:sz w:val="28"/>
      <w:szCs w:val="20"/>
    </w:rPr>
  </w:style>
  <w:style w:type="paragraph" w:customStyle="1" w:styleId="CharCharCharCharCharCharCharCharCharCharCharCharChar3">
    <w:name w:val="Char Char Char Char Char Char Char Char Char Char Char Char Char3"/>
    <w:basedOn w:val="Normal"/>
    <w:rsid w:val="0045493E"/>
    <w:pPr>
      <w:spacing w:line="240" w:lineRule="exact"/>
    </w:pPr>
    <w:rPr>
      <w:rFonts w:ascii="Arial" w:hAnsi="Arial" w:cs="Arial"/>
      <w:sz w:val="20"/>
      <w:szCs w:val="20"/>
    </w:rPr>
  </w:style>
  <w:style w:type="paragraph" w:customStyle="1" w:styleId="16">
    <w:name w:val="Обычный1"/>
    <w:rsid w:val="0045493E"/>
    <w:pPr>
      <w:autoSpaceDE w:val="0"/>
      <w:autoSpaceDN w:val="0"/>
      <w:spacing w:after="160" w:line="259" w:lineRule="auto"/>
    </w:pPr>
    <w:rPr>
      <w:sz w:val="22"/>
      <w:szCs w:val="22"/>
      <w:lang w:val="ru-RU" w:eastAsia="ru-RU"/>
    </w:rPr>
  </w:style>
  <w:style w:type="paragraph" w:customStyle="1" w:styleId="Char2">
    <w:name w:val="Знак Знак Знак Знак Знак Знак Знак Знак Знак Знак Знак Знак Знак Знак Знак Знак Знак Знак Char Знак Знак"/>
    <w:basedOn w:val="Normal"/>
    <w:rsid w:val="0045493E"/>
    <w:pPr>
      <w:spacing w:line="240" w:lineRule="exact"/>
    </w:pPr>
    <w:rPr>
      <w:sz w:val="28"/>
      <w:szCs w:val="20"/>
    </w:rPr>
  </w:style>
  <w:style w:type="paragraph" w:customStyle="1" w:styleId="TitlePageHeader">
    <w:name w:val="TitlePage_Header"/>
    <w:basedOn w:val="Normal"/>
    <w:rsid w:val="0045493E"/>
    <w:pPr>
      <w:spacing w:before="240" w:after="240" w:line="288" w:lineRule="auto"/>
      <w:ind w:left="3240"/>
    </w:pPr>
    <w:rPr>
      <w:rFonts w:ascii="Verdana" w:hAnsi="Verdana"/>
      <w:b/>
      <w:sz w:val="32"/>
      <w:szCs w:val="20"/>
      <w:lang w:eastAsia="fr-FR"/>
    </w:rPr>
  </w:style>
  <w:style w:type="character" w:customStyle="1" w:styleId="t101">
    <w:name w:val="t101"/>
    <w:rsid w:val="0045493E"/>
    <w:rPr>
      <w:b/>
      <w:bCs/>
      <w:color w:val="0000FF"/>
    </w:rPr>
  </w:style>
  <w:style w:type="paragraph" w:customStyle="1" w:styleId="Char30">
    <w:name w:val="Знак Знак Знак Знак Знак Знак Знак Знак Знак Знак Знак Знак Знак Знак Знак Знак Знак Знак Char Знак Знак3"/>
    <w:basedOn w:val="Normal"/>
    <w:rsid w:val="0045493E"/>
    <w:pPr>
      <w:spacing w:line="240" w:lineRule="exact"/>
    </w:pPr>
    <w:rPr>
      <w:sz w:val="28"/>
      <w:szCs w:val="20"/>
    </w:rPr>
  </w:style>
  <w:style w:type="paragraph" w:customStyle="1" w:styleId="Char1CharCharCharCharCharCharCharCharCharCharCharChar">
    <w:name w:val="Char1 Char Char Char Char Char Char Char Char Char Char Char Char"/>
    <w:basedOn w:val="Normal"/>
    <w:rsid w:val="0045493E"/>
    <w:pPr>
      <w:widowControl w:val="0"/>
      <w:autoSpaceDE w:val="0"/>
      <w:autoSpaceDN w:val="0"/>
      <w:adjustRightInd w:val="0"/>
      <w:spacing w:line="240" w:lineRule="exact"/>
    </w:pPr>
    <w:rPr>
      <w:rFonts w:ascii="Arial" w:eastAsia="MS Mincho" w:hAnsi="Arial" w:cs="Arial"/>
      <w:sz w:val="20"/>
      <w:szCs w:val="20"/>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Normal"/>
    <w:rsid w:val="0045493E"/>
    <w:pPr>
      <w:spacing w:line="240" w:lineRule="exact"/>
    </w:pPr>
    <w:rPr>
      <w:rFonts w:ascii="Arial" w:hAnsi="Arial" w:cs="Arial"/>
      <w:sz w:val="20"/>
      <w:szCs w:val="20"/>
    </w:rPr>
  </w:style>
  <w:style w:type="paragraph" w:customStyle="1" w:styleId="Style4">
    <w:name w:val="Style 4"/>
    <w:basedOn w:val="Normal"/>
    <w:rsid w:val="0045493E"/>
    <w:pPr>
      <w:numPr>
        <w:numId w:val="9"/>
      </w:numPr>
      <w:spacing w:after="240" w:line="240" w:lineRule="atLeast"/>
    </w:pPr>
    <w:rPr>
      <w:rFonts w:ascii="Garamond" w:hAnsi="Garamond"/>
      <w:szCs w:val="20"/>
    </w:rPr>
  </w:style>
  <w:style w:type="paragraph" w:customStyle="1" w:styleId="NormalWeb1">
    <w:name w:val="Normal (Web)1"/>
    <w:basedOn w:val="Normal"/>
    <w:rsid w:val="0045493E"/>
    <w:pPr>
      <w:spacing w:before="100" w:beforeAutospacing="1" w:after="100" w:afterAutospacing="1"/>
    </w:pPr>
    <w:rPr>
      <w:lang w:val="ru-RU" w:eastAsia="ru-RU"/>
    </w:rPr>
  </w:style>
  <w:style w:type="paragraph" w:customStyle="1" w:styleId="CharCharChar1">
    <w:name w:val="Char Char Char Знак"/>
    <w:basedOn w:val="Normal"/>
    <w:next w:val="Normal"/>
    <w:rsid w:val="0045493E"/>
    <w:pPr>
      <w:spacing w:line="240" w:lineRule="exact"/>
    </w:pPr>
    <w:rPr>
      <w:rFonts w:ascii="Tahoma" w:hAnsi="Tahoma"/>
      <w:szCs w:val="20"/>
    </w:rPr>
  </w:style>
  <w:style w:type="paragraph" w:customStyle="1" w:styleId="CharCharChar1Char">
    <w:name w:val="Char Char Char1 Char"/>
    <w:basedOn w:val="Normal"/>
    <w:rsid w:val="0045493E"/>
    <w:pPr>
      <w:spacing w:line="240" w:lineRule="exact"/>
    </w:pPr>
    <w:rPr>
      <w:rFonts w:ascii="Arial" w:hAnsi="Arial" w:cs="Arial"/>
      <w:sz w:val="20"/>
      <w:szCs w:val="20"/>
    </w:rPr>
  </w:style>
  <w:style w:type="paragraph" w:customStyle="1" w:styleId="CharCharChar30">
    <w:name w:val="Char Char Char Знак3"/>
    <w:basedOn w:val="Normal"/>
    <w:next w:val="Normal"/>
    <w:rsid w:val="0045493E"/>
    <w:pPr>
      <w:spacing w:line="240" w:lineRule="exact"/>
    </w:pPr>
    <w:rPr>
      <w:rFonts w:ascii="Tahoma" w:hAnsi="Tahoma"/>
      <w:szCs w:val="20"/>
    </w:rPr>
  </w:style>
  <w:style w:type="paragraph" w:customStyle="1" w:styleId="17">
    <w:name w:val="Знак Знак1"/>
    <w:basedOn w:val="Normal"/>
    <w:rsid w:val="0045493E"/>
    <w:pPr>
      <w:spacing w:line="240" w:lineRule="exact"/>
    </w:pPr>
    <w:rPr>
      <w:rFonts w:ascii="Arial" w:eastAsia="MS Mincho" w:hAnsi="Arial" w:cs="Arial"/>
      <w:sz w:val="20"/>
      <w:szCs w:val="20"/>
    </w:rPr>
  </w:style>
  <w:style w:type="paragraph" w:customStyle="1" w:styleId="Graphic">
    <w:name w:val="Graphic"/>
    <w:basedOn w:val="Heading2"/>
    <w:rsid w:val="0045493E"/>
    <w:pPr>
      <w:spacing w:after="130"/>
      <w:outlineLvl w:val="9"/>
    </w:pPr>
    <w:rPr>
      <w:rFonts w:ascii="Times New Roman" w:hAnsi="Times New Roman"/>
      <w:bCs w:val="0"/>
      <w:iCs/>
      <w:sz w:val="22"/>
      <w:szCs w:val="22"/>
      <w:lang w:val="en-GB"/>
    </w:rPr>
  </w:style>
  <w:style w:type="paragraph" w:customStyle="1" w:styleId="GlossaryHeader">
    <w:name w:val="Glossary Header"/>
    <w:next w:val="Normal"/>
    <w:rsid w:val="0045493E"/>
    <w:pPr>
      <w:pageBreakBefore/>
      <w:overflowPunct w:val="0"/>
      <w:autoSpaceDE w:val="0"/>
      <w:autoSpaceDN w:val="0"/>
      <w:adjustRightInd w:val="0"/>
      <w:spacing w:after="160" w:line="259" w:lineRule="auto"/>
      <w:textAlignment w:val="baseline"/>
    </w:pPr>
    <w:rPr>
      <w:sz w:val="36"/>
      <w:szCs w:val="22"/>
      <w:lang w:val="en-GB"/>
    </w:rPr>
  </w:style>
  <w:style w:type="paragraph" w:customStyle="1" w:styleId="font5">
    <w:name w:val="font5"/>
    <w:basedOn w:val="Normal"/>
    <w:rsid w:val="0045493E"/>
    <w:pPr>
      <w:spacing w:before="100" w:beforeAutospacing="1" w:after="100" w:afterAutospacing="1"/>
    </w:pPr>
    <w:rPr>
      <w:rFonts w:ascii="Times Armenian" w:hAnsi="Times Armenian"/>
      <w:color w:val="000000"/>
      <w:sz w:val="16"/>
      <w:szCs w:val="16"/>
    </w:rPr>
  </w:style>
  <w:style w:type="paragraph" w:customStyle="1" w:styleId="font6">
    <w:name w:val="font6"/>
    <w:basedOn w:val="Normal"/>
    <w:rsid w:val="0045493E"/>
    <w:pPr>
      <w:spacing w:before="100" w:beforeAutospacing="1" w:after="100" w:afterAutospacing="1"/>
    </w:pPr>
    <w:rPr>
      <w:rFonts w:ascii="Times Armenian" w:hAnsi="Times Armenian"/>
      <w:b/>
      <w:bCs/>
      <w:color w:val="000000"/>
      <w:sz w:val="16"/>
      <w:szCs w:val="16"/>
    </w:rPr>
  </w:style>
  <w:style w:type="paragraph" w:customStyle="1" w:styleId="font7">
    <w:name w:val="font7"/>
    <w:basedOn w:val="Normal"/>
    <w:rsid w:val="0045493E"/>
    <w:pPr>
      <w:spacing w:before="100" w:beforeAutospacing="1" w:after="100" w:afterAutospacing="1"/>
    </w:pPr>
    <w:rPr>
      <w:rFonts w:ascii="Times Armenian" w:hAnsi="Times Armenian"/>
      <w:color w:val="000000"/>
      <w:sz w:val="20"/>
      <w:szCs w:val="20"/>
    </w:rPr>
  </w:style>
  <w:style w:type="paragraph" w:customStyle="1" w:styleId="font8">
    <w:name w:val="font8"/>
    <w:basedOn w:val="Normal"/>
    <w:rsid w:val="0045493E"/>
    <w:pPr>
      <w:spacing w:before="100" w:beforeAutospacing="1" w:after="100" w:afterAutospacing="1"/>
    </w:pPr>
    <w:rPr>
      <w:rFonts w:ascii="Times Armenian" w:hAnsi="Times Armenian"/>
      <w:color w:val="000000"/>
      <w:sz w:val="16"/>
      <w:szCs w:val="16"/>
    </w:rPr>
  </w:style>
  <w:style w:type="paragraph" w:customStyle="1" w:styleId="font9">
    <w:name w:val="font9"/>
    <w:basedOn w:val="Normal"/>
    <w:rsid w:val="0045493E"/>
    <w:pPr>
      <w:spacing w:before="100" w:beforeAutospacing="1" w:after="100" w:afterAutospacing="1"/>
    </w:pPr>
    <w:rPr>
      <w:rFonts w:ascii="Times Armenian" w:hAnsi="Times Armenian"/>
      <w:color w:val="000000"/>
    </w:rPr>
  </w:style>
  <w:style w:type="paragraph" w:customStyle="1" w:styleId="font10">
    <w:name w:val="font10"/>
    <w:basedOn w:val="Normal"/>
    <w:rsid w:val="0045493E"/>
    <w:pPr>
      <w:spacing w:before="100" w:beforeAutospacing="1" w:after="100" w:afterAutospacing="1"/>
    </w:pPr>
    <w:rPr>
      <w:rFonts w:ascii="Times Armenian" w:hAnsi="Times Armenian"/>
      <w:b/>
      <w:bCs/>
      <w:color w:val="000000"/>
      <w:sz w:val="16"/>
      <w:szCs w:val="16"/>
    </w:rPr>
  </w:style>
  <w:style w:type="paragraph" w:customStyle="1" w:styleId="xl139">
    <w:name w:val="xl139"/>
    <w:basedOn w:val="Normal"/>
    <w:rsid w:val="0045493E"/>
    <w:pPr>
      <w:pBdr>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0">
    <w:name w:val="xl140"/>
    <w:basedOn w:val="Normal"/>
    <w:rsid w:val="0045493E"/>
    <w:pPr>
      <w:pBdr>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1">
    <w:name w:val="xl141"/>
    <w:basedOn w:val="Normal"/>
    <w:rsid w:val="0045493E"/>
    <w:pPr>
      <w:pBdr>
        <w:left w:val="single" w:sz="8" w:space="0" w:color="auto"/>
        <w:bottom w:val="single" w:sz="8" w:space="0" w:color="auto"/>
        <w:right w:val="single" w:sz="8" w:space="0" w:color="auto"/>
      </w:pBdr>
      <w:spacing w:before="100" w:beforeAutospacing="1" w:after="100" w:afterAutospacing="1"/>
      <w:textAlignment w:val="center"/>
    </w:pPr>
    <w:rPr>
      <w:rFonts w:ascii="Times Armenian" w:hAnsi="Times Armenian"/>
      <w:sz w:val="16"/>
      <w:szCs w:val="16"/>
    </w:rPr>
  </w:style>
  <w:style w:type="paragraph" w:customStyle="1" w:styleId="xl142">
    <w:name w:val="xl142"/>
    <w:basedOn w:val="Normal"/>
    <w:rsid w:val="0045493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3">
    <w:name w:val="xl143"/>
    <w:basedOn w:val="Normal"/>
    <w:rsid w:val="0045493E"/>
    <w:pPr>
      <w:pBdr>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4">
    <w:name w:val="xl144"/>
    <w:basedOn w:val="Normal"/>
    <w:rsid w:val="0045493E"/>
    <w:pPr>
      <w:pBdr>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5">
    <w:name w:val="xl145"/>
    <w:basedOn w:val="Normal"/>
    <w:rsid w:val="0045493E"/>
    <w:pPr>
      <w:pBdr>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6">
    <w:name w:val="xl146"/>
    <w:basedOn w:val="Normal"/>
    <w:rsid w:val="0045493E"/>
    <w:pPr>
      <w:pBdr>
        <w:left w:val="single" w:sz="8" w:space="0" w:color="auto"/>
        <w:bottom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147">
    <w:name w:val="xl147"/>
    <w:basedOn w:val="Normal"/>
    <w:rsid w:val="0045493E"/>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8">
    <w:name w:val="xl148"/>
    <w:basedOn w:val="Normal"/>
    <w:rsid w:val="0045493E"/>
    <w:pPr>
      <w:pBdr>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9">
    <w:name w:val="xl149"/>
    <w:basedOn w:val="Normal"/>
    <w:rsid w:val="0045493E"/>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0">
    <w:name w:val="xl150"/>
    <w:basedOn w:val="Normal"/>
    <w:rsid w:val="0045493E"/>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1">
    <w:name w:val="xl151"/>
    <w:basedOn w:val="Normal"/>
    <w:rsid w:val="0045493E"/>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2">
    <w:name w:val="xl152"/>
    <w:basedOn w:val="Normal"/>
    <w:rsid w:val="0045493E"/>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3">
    <w:name w:val="xl153"/>
    <w:basedOn w:val="Normal"/>
    <w:rsid w:val="0045493E"/>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4">
    <w:name w:val="xl154"/>
    <w:basedOn w:val="Normal"/>
    <w:rsid w:val="0045493E"/>
    <w:pPr>
      <w:spacing w:before="100" w:beforeAutospacing="1" w:after="100" w:afterAutospacing="1"/>
      <w:jc w:val="center"/>
      <w:textAlignment w:val="center"/>
    </w:pPr>
  </w:style>
  <w:style w:type="paragraph" w:customStyle="1" w:styleId="xl155">
    <w:name w:val="xl155"/>
    <w:basedOn w:val="Normal"/>
    <w:rsid w:val="0045493E"/>
    <w:pPr>
      <w:spacing w:before="100" w:beforeAutospacing="1" w:after="100" w:afterAutospacing="1"/>
      <w:textAlignment w:val="center"/>
    </w:pPr>
    <w:rPr>
      <w:rFonts w:ascii="Times Armenian" w:hAnsi="Times Armenian"/>
      <w:b/>
      <w:bCs/>
      <w:sz w:val="18"/>
      <w:szCs w:val="18"/>
    </w:rPr>
  </w:style>
  <w:style w:type="paragraph" w:customStyle="1" w:styleId="xl156">
    <w:name w:val="xl156"/>
    <w:basedOn w:val="Normal"/>
    <w:rsid w:val="0045493E"/>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7">
    <w:name w:val="xl157"/>
    <w:basedOn w:val="Normal"/>
    <w:rsid w:val="0045493E"/>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8">
    <w:name w:val="xl158"/>
    <w:basedOn w:val="Normal"/>
    <w:rsid w:val="0045493E"/>
    <w:pPr>
      <w:pBdr>
        <w:top w:val="double" w:sz="6" w:space="0" w:color="auto"/>
        <w:left w:val="single" w:sz="8" w:space="0" w:color="auto"/>
        <w:right w:val="double" w:sz="6" w:space="0" w:color="auto"/>
      </w:pBdr>
      <w:spacing w:before="100" w:beforeAutospacing="1" w:after="100" w:afterAutospacing="1"/>
      <w:textAlignment w:val="center"/>
    </w:pPr>
    <w:rPr>
      <w:rFonts w:ascii="Times Armenian" w:hAnsi="Times Armenian"/>
      <w:b/>
      <w:bCs/>
      <w:sz w:val="16"/>
      <w:szCs w:val="16"/>
    </w:rPr>
  </w:style>
  <w:style w:type="paragraph" w:customStyle="1" w:styleId="xl159">
    <w:name w:val="xl159"/>
    <w:basedOn w:val="Normal"/>
    <w:rsid w:val="0045493E"/>
    <w:pPr>
      <w:pBdr>
        <w:left w:val="single" w:sz="8" w:space="0" w:color="auto"/>
        <w:bottom w:val="single" w:sz="8" w:space="0" w:color="auto"/>
        <w:right w:val="double" w:sz="6" w:space="0" w:color="auto"/>
      </w:pBdr>
      <w:spacing w:before="100" w:beforeAutospacing="1" w:after="100" w:afterAutospacing="1"/>
      <w:textAlignment w:val="center"/>
    </w:pPr>
    <w:rPr>
      <w:rFonts w:ascii="Times Armenian" w:hAnsi="Times Armenian"/>
      <w:b/>
      <w:bCs/>
      <w:sz w:val="16"/>
      <w:szCs w:val="16"/>
    </w:rPr>
  </w:style>
  <w:style w:type="paragraph" w:customStyle="1" w:styleId="xl160">
    <w:name w:val="xl160"/>
    <w:basedOn w:val="Normal"/>
    <w:rsid w:val="0045493E"/>
    <w:pPr>
      <w:pBdr>
        <w:top w:val="single" w:sz="8" w:space="0" w:color="auto"/>
        <w:left w:val="single" w:sz="8" w:space="0" w:color="auto"/>
        <w:right w:val="double" w:sz="6" w:space="0" w:color="auto"/>
      </w:pBdr>
      <w:spacing w:before="100" w:beforeAutospacing="1" w:after="100" w:afterAutospacing="1"/>
      <w:textAlignment w:val="center"/>
    </w:pPr>
    <w:rPr>
      <w:rFonts w:ascii="Times Armenian" w:hAnsi="Times Armenian"/>
      <w:b/>
      <w:bCs/>
      <w:sz w:val="16"/>
      <w:szCs w:val="16"/>
    </w:rPr>
  </w:style>
  <w:style w:type="paragraph" w:customStyle="1" w:styleId="xl161">
    <w:name w:val="xl161"/>
    <w:basedOn w:val="Normal"/>
    <w:rsid w:val="0045493E"/>
    <w:pPr>
      <w:spacing w:before="100" w:beforeAutospacing="1" w:after="100" w:afterAutospacing="1"/>
      <w:textAlignment w:val="center"/>
    </w:pPr>
    <w:rPr>
      <w:rFonts w:ascii="Times Armenian" w:hAnsi="Times Armenian"/>
      <w:b/>
      <w:bCs/>
      <w:sz w:val="18"/>
      <w:szCs w:val="18"/>
      <w:u w:val="single"/>
    </w:rPr>
  </w:style>
  <w:style w:type="paragraph" w:customStyle="1" w:styleId="xl23">
    <w:name w:val="xl23"/>
    <w:basedOn w:val="Normal"/>
    <w:rsid w:val="0045493E"/>
    <w:pPr>
      <w:spacing w:before="100" w:beforeAutospacing="1" w:after="100" w:afterAutospacing="1"/>
      <w:jc w:val="center"/>
      <w:textAlignment w:val="center"/>
    </w:pPr>
    <w:rPr>
      <w:rFonts w:ascii="Times Armenian" w:hAnsi="Times Armenian"/>
    </w:rPr>
  </w:style>
  <w:style w:type="paragraph" w:customStyle="1" w:styleId="StyleBodyTextArialAMChar">
    <w:name w:val="Style Body Text + Arial AM Char"/>
    <w:basedOn w:val="BodyText"/>
    <w:rsid w:val="0045493E"/>
    <w:pPr>
      <w:spacing w:after="240"/>
    </w:pPr>
    <w:rPr>
      <w:rFonts w:ascii="Arial AM" w:hAnsi="Arial AM"/>
      <w:spacing w:val="-5"/>
      <w:szCs w:val="20"/>
      <w:lang w:val="en-GB"/>
    </w:rPr>
  </w:style>
  <w:style w:type="character" w:customStyle="1" w:styleId="FooterChar">
    <w:name w:val="Footer Char"/>
    <w:uiPriority w:val="99"/>
    <w:rsid w:val="0045493E"/>
    <w:rPr>
      <w:sz w:val="24"/>
      <w:szCs w:val="24"/>
    </w:rPr>
  </w:style>
  <w:style w:type="paragraph" w:customStyle="1" w:styleId="CharCharCharCharChar">
    <w:name w:val="Char Char Char Char Char Знак Знак"/>
    <w:basedOn w:val="Normal"/>
    <w:rsid w:val="0045493E"/>
    <w:pPr>
      <w:spacing w:line="240" w:lineRule="exact"/>
    </w:pPr>
    <w:rPr>
      <w:rFonts w:ascii="Arial" w:hAnsi="Arial" w:cs="Arial"/>
      <w:sz w:val="20"/>
      <w:szCs w:val="20"/>
    </w:rPr>
  </w:style>
  <w:style w:type="paragraph" w:customStyle="1" w:styleId="CharChar1CharCharChar1Char">
    <w:name w:val="Char Char1 Char Char Char1 Char"/>
    <w:basedOn w:val="Normal"/>
    <w:rsid w:val="0045493E"/>
    <w:rPr>
      <w:rFonts w:eastAsia="SimSun"/>
      <w:sz w:val="20"/>
      <w:szCs w:val="20"/>
      <w:lang w:eastAsia="ru-RU"/>
    </w:rPr>
  </w:style>
  <w:style w:type="paragraph" w:customStyle="1" w:styleId="4">
    <w:name w:val="Знак Знак4"/>
    <w:basedOn w:val="Normal"/>
    <w:rsid w:val="0045493E"/>
    <w:pPr>
      <w:tabs>
        <w:tab w:val="left" w:pos="709"/>
      </w:tabs>
    </w:pPr>
    <w:rPr>
      <w:rFonts w:ascii="Tahoma" w:hAnsi="Tahoma"/>
      <w:lang w:val="pl-PL" w:eastAsia="pl-PL"/>
    </w:rPr>
  </w:style>
  <w:style w:type="paragraph" w:customStyle="1" w:styleId="CharCharCharCharCharChar1CharCharCharCharCharCharCharCharChar">
    <w:name w:val="Char Char Char Char Char Char1 Char Char Char Char Char Char Char Char Char Знак Знак"/>
    <w:basedOn w:val="Normal"/>
    <w:rsid w:val="0045493E"/>
    <w:pPr>
      <w:spacing w:line="240" w:lineRule="exact"/>
    </w:pPr>
    <w:rPr>
      <w:rFonts w:ascii="Arial" w:hAnsi="Arial" w:cs="Arial"/>
      <w:sz w:val="20"/>
      <w:szCs w:val="20"/>
    </w:rPr>
  </w:style>
  <w:style w:type="character" w:customStyle="1" w:styleId="BodyTextFirstIndentChar">
    <w:name w:val="Body Text First Indent Char"/>
    <w:rsid w:val="0045493E"/>
    <w:rPr>
      <w:rFonts w:ascii="Times Armenian" w:hAnsi="Times Armenian"/>
      <w:sz w:val="24"/>
      <w:szCs w:val="24"/>
      <w:lang w:val="ru-RU" w:eastAsia="ru-RU" w:bidi="ar-SA"/>
    </w:rPr>
  </w:style>
  <w:style w:type="character" w:customStyle="1" w:styleId="CommentSubjectChar">
    <w:name w:val="Comment Subject Char"/>
    <w:uiPriority w:val="99"/>
    <w:rsid w:val="0045493E"/>
    <w:rPr>
      <w:rFonts w:ascii="Courier New" w:hAnsi="Courier New"/>
      <w:b/>
      <w:bCs/>
      <w:sz w:val="24"/>
      <w:szCs w:val="24"/>
      <w:lang w:val="en-US" w:eastAsia="en-US" w:bidi="ar-SA"/>
    </w:rPr>
  </w:style>
  <w:style w:type="paragraph" w:customStyle="1" w:styleId="Char4">
    <w:name w:val="Знак Char Знак"/>
    <w:basedOn w:val="Normal"/>
    <w:rsid w:val="0045493E"/>
    <w:pPr>
      <w:spacing w:line="240" w:lineRule="exact"/>
    </w:pPr>
    <w:rPr>
      <w:rFonts w:ascii="Arial" w:eastAsia="Batang" w:hAnsi="Arial" w:cs="Arial"/>
      <w:sz w:val="20"/>
      <w:szCs w:val="20"/>
    </w:rPr>
  </w:style>
  <w:style w:type="paragraph" w:customStyle="1" w:styleId="CharCharCharCharCharChar">
    <w:name w:val="Знак Знак Char Char Знак Знак Char Char Знак Знак Char Char"/>
    <w:basedOn w:val="Normal"/>
    <w:rsid w:val="0045493E"/>
    <w:pPr>
      <w:spacing w:line="240" w:lineRule="exact"/>
    </w:pPr>
    <w:rPr>
      <w:sz w:val="28"/>
      <w:szCs w:val="20"/>
    </w:rPr>
  </w:style>
  <w:style w:type="character" w:customStyle="1" w:styleId="longtext">
    <w:name w:val="long_text"/>
    <w:basedOn w:val="DefaultParagraphFont"/>
    <w:rsid w:val="0045493E"/>
  </w:style>
  <w:style w:type="paragraph" w:customStyle="1" w:styleId="hodvats">
    <w:name w:val="hodvats"/>
    <w:basedOn w:val="Normal"/>
    <w:rsid w:val="0045493E"/>
    <w:pPr>
      <w:tabs>
        <w:tab w:val="left" w:pos="993"/>
        <w:tab w:val="left" w:pos="1985"/>
      </w:tabs>
      <w:spacing w:before="113" w:after="57" w:line="220" w:lineRule="exact"/>
      <w:ind w:firstLine="397"/>
    </w:pPr>
    <w:rPr>
      <w:rFonts w:ascii="Dallak Helv" w:hAnsi="Dallak Helv"/>
      <w:b/>
      <w:sz w:val="18"/>
      <w:szCs w:val="20"/>
    </w:rPr>
  </w:style>
  <w:style w:type="character" w:customStyle="1" w:styleId="FooterChar1">
    <w:name w:val="Footer Char1"/>
    <w:locked/>
    <w:rsid w:val="0045493E"/>
    <w:rPr>
      <w:sz w:val="22"/>
      <w:lang w:val="en-GB" w:eastAsia="en-US" w:bidi="ar-SA"/>
    </w:rPr>
  </w:style>
  <w:style w:type="character" w:customStyle="1" w:styleId="CharChar15">
    <w:name w:val="Char Char15"/>
    <w:locked/>
    <w:rsid w:val="0045493E"/>
    <w:rPr>
      <w:rFonts w:ascii="Cambria" w:hAnsi="Cambria"/>
      <w:b/>
      <w:bCs/>
      <w:kern w:val="32"/>
      <w:sz w:val="32"/>
      <w:szCs w:val="32"/>
      <w:lang w:val="fr-FR" w:eastAsia="en-US" w:bidi="ar-SA"/>
    </w:rPr>
  </w:style>
  <w:style w:type="paragraph" w:customStyle="1" w:styleId="24">
    <w:name w:val="Знак Знак2"/>
    <w:basedOn w:val="Normal"/>
    <w:rsid w:val="0045493E"/>
    <w:pPr>
      <w:spacing w:line="240" w:lineRule="exact"/>
    </w:pPr>
    <w:rPr>
      <w:rFonts w:ascii="Arial" w:hAnsi="Arial" w:cs="Arial"/>
      <w:sz w:val="20"/>
      <w:szCs w:val="20"/>
    </w:rPr>
  </w:style>
  <w:style w:type="paragraph" w:customStyle="1" w:styleId="CharCharCharCharChar0">
    <w:name w:val="Char Char Char Char Char"/>
    <w:basedOn w:val="Normal"/>
    <w:rsid w:val="0045493E"/>
    <w:pPr>
      <w:spacing w:line="240" w:lineRule="exact"/>
    </w:pPr>
    <w:rPr>
      <w:rFonts w:ascii="Arial" w:hAnsi="Arial" w:cs="Arial"/>
      <w:sz w:val="20"/>
      <w:szCs w:val="20"/>
    </w:rPr>
  </w:style>
  <w:style w:type="paragraph" w:customStyle="1" w:styleId="CharCharCharCharCharCharCharCharCharCharChar">
    <w:name w:val="Char Char Char Знак Char Char Char Char Char Знак Char Char Char"/>
    <w:basedOn w:val="Normal"/>
    <w:rsid w:val="0045493E"/>
    <w:pPr>
      <w:spacing w:line="240" w:lineRule="exact"/>
    </w:pPr>
    <w:rPr>
      <w:rFonts w:ascii="Arial" w:hAnsi="Arial" w:cs="Arial"/>
      <w:sz w:val="20"/>
      <w:szCs w:val="20"/>
    </w:rPr>
  </w:style>
  <w:style w:type="character" w:customStyle="1" w:styleId="CharChar10">
    <w:name w:val="Char Char10"/>
    <w:locked/>
    <w:rsid w:val="0045493E"/>
    <w:rPr>
      <w:rFonts w:ascii="Arial Armenian" w:hAnsi="Arial Armenian" w:cs="Sylfaen"/>
      <w:sz w:val="24"/>
      <w:szCs w:val="24"/>
      <w:lang w:val="ru-RU" w:eastAsia="ru-RU" w:bidi="ar-SA"/>
    </w:rPr>
  </w:style>
  <w:style w:type="paragraph" w:customStyle="1" w:styleId="StyleHeading4CentredArialUnicode105pt">
    <w:name w:val="Style Heading 4Centred + Arial Unicode 10.5 pt"/>
    <w:basedOn w:val="Heading4"/>
    <w:link w:val="StyleHeading4CentredArialUnicode105ptChar"/>
    <w:rsid w:val="0045493E"/>
    <w:pPr>
      <w:spacing w:before="120"/>
    </w:pPr>
    <w:rPr>
      <w:rFonts w:ascii="Arial Unicode" w:hAnsi="Arial Unicode"/>
    </w:rPr>
  </w:style>
  <w:style w:type="character" w:customStyle="1" w:styleId="StyleHeading4CentredArialUnicode105ptChar">
    <w:name w:val="Style Heading 4Centred + Arial Unicode 10.5 pt Char"/>
    <w:link w:val="StyleHeading4CentredArialUnicode105pt"/>
    <w:rsid w:val="0045493E"/>
    <w:rPr>
      <w:rFonts w:ascii="Arial Unicode" w:hAnsi="Arial Unicode"/>
      <w:b/>
      <w:color w:val="0070C0"/>
      <w:sz w:val="22"/>
      <w:szCs w:val="22"/>
      <w:lang w:val="hy-AM"/>
    </w:rPr>
  </w:style>
  <w:style w:type="paragraph" w:customStyle="1" w:styleId="StyleStyleHeading3Sub-ChapterCenteredtextHeading3CharChar">
    <w:name w:val="Style Style Heading 3(Sub-Chapter)Centered(text)Heading 3 Char Char..."/>
    <w:basedOn w:val="StyleHeading3Sub-ChapterCenteredtextHeading3CharCharC"/>
    <w:rsid w:val="0045493E"/>
    <w:pPr>
      <w:tabs>
        <w:tab w:val="left" w:pos="360"/>
      </w:tabs>
      <w:spacing w:after="240"/>
      <w:ind w:right="0"/>
    </w:pPr>
    <w:rPr>
      <w:caps w:val="0"/>
    </w:rPr>
  </w:style>
  <w:style w:type="paragraph" w:customStyle="1" w:styleId="StyleStyleHeading2ChapterParanumTextSylfaen1ArialUni">
    <w:name w:val="Style Style Heading 2.(Chapter).Paranum.Text + Sylfaen1 + Arial Uni..."/>
    <w:basedOn w:val="StyleHeading2ChapterParanumTextSylfaen1"/>
    <w:link w:val="StyleStyleHeading2ChapterParanumTextSylfaen1ArialUniChar"/>
    <w:rsid w:val="0045493E"/>
    <w:pPr>
      <w:spacing w:before="120"/>
    </w:pPr>
    <w:rPr>
      <w:bCs/>
      <w:iCs w:val="0"/>
      <w:spacing w:val="24"/>
      <w:kern w:val="28"/>
      <w:sz w:val="24"/>
      <w:szCs w:val="24"/>
    </w:rPr>
  </w:style>
  <w:style w:type="character" w:customStyle="1" w:styleId="StyleStyleHeading2ChapterParanumTextSylfaen1ArialUniChar">
    <w:name w:val="Style Style Heading 2.(Chapter).Paranum.Text + Sylfaen1 + Arial Uni... Char"/>
    <w:link w:val="StyleStyleHeading2ChapterParanumTextSylfaen1ArialUni"/>
    <w:rsid w:val="0045493E"/>
    <w:rPr>
      <w:rFonts w:ascii="GHEA Grapalat" w:hAnsi="GHEA Grapalat"/>
      <w:b/>
      <w:bCs/>
      <w:spacing w:val="24"/>
      <w:kern w:val="28"/>
      <w:sz w:val="24"/>
      <w:szCs w:val="24"/>
      <w:lang w:val="af-ZA"/>
    </w:rPr>
  </w:style>
  <w:style w:type="paragraph" w:customStyle="1" w:styleId="StyleBodyTextMainTextdateBodyTextMaintextGHEAGrapa">
    <w:name w:val="Style Body Text(Main Text)dateBody Text (Main text) + GHEA Grapa..."/>
    <w:basedOn w:val="BodyText"/>
    <w:rsid w:val="0045493E"/>
    <w:pPr>
      <w:spacing w:line="360" w:lineRule="auto"/>
    </w:pPr>
  </w:style>
  <w:style w:type="paragraph" w:customStyle="1" w:styleId="StyleStyleHeading2ChapterParanumTextSylfaen1ArialUni1">
    <w:name w:val="Style Style Heading 2.(Chapter).Paranum.Text + Sylfaen1 + Arial Uni...1"/>
    <w:basedOn w:val="StyleHeading2ChapterParanumTextSylfaen1"/>
    <w:rsid w:val="0045493E"/>
    <w:rPr>
      <w:bCs/>
      <w:sz w:val="24"/>
    </w:rPr>
  </w:style>
  <w:style w:type="paragraph" w:customStyle="1" w:styleId="StyleStyleHeading1SectionSectionHeadingText11Chapterhead31">
    <w:name w:val="Style Style Heading 1(Section)Section Heading(Text)1 1Chapterhead3....1"/>
    <w:basedOn w:val="StyleHeading1SectionSectionHeadingText11Chapterhead3"/>
    <w:rsid w:val="0045493E"/>
    <w:rPr>
      <w:b/>
      <w:bCs w:val="0"/>
      <w:spacing w:val="40"/>
      <w:sz w:val="28"/>
    </w:rPr>
  </w:style>
  <w:style w:type="paragraph" w:customStyle="1" w:styleId="StyleStyleHeading2ChapterParanumTextSylfaen1GHEAGrap">
    <w:name w:val="Style Style Heading 2.(Chapter).Paranum.Text + Sylfaen1 + GHEA Grap..."/>
    <w:basedOn w:val="StyleHeading2ChapterParanumTextSylfaen1"/>
    <w:link w:val="StyleStyleHeading2ChapterParanumTextSylfaen1GHEAGrapChar"/>
    <w:rsid w:val="0045493E"/>
    <w:rPr>
      <w:bCs/>
      <w:iCs w:val="0"/>
      <w:spacing w:val="24"/>
      <w:kern w:val="28"/>
      <w:lang w:val="pt-BR" w:eastAsia="en-US"/>
    </w:rPr>
  </w:style>
  <w:style w:type="character" w:customStyle="1" w:styleId="StyleStyleHeading2ChapterParanumTextSylfaen1GHEAGrapChar">
    <w:name w:val="Style Style Heading 2.(Chapter).Paranum.Text + Sylfaen1 + GHEA Grap... Char"/>
    <w:link w:val="StyleStyleHeading2ChapterParanumTextSylfaen1GHEAGrap"/>
    <w:rsid w:val="0045493E"/>
    <w:rPr>
      <w:rFonts w:ascii="GHEA Grapalat" w:hAnsi="GHEA Grapalat"/>
      <w:b/>
      <w:bCs/>
      <w:spacing w:val="24"/>
      <w:kern w:val="28"/>
      <w:sz w:val="22"/>
      <w:szCs w:val="22"/>
      <w:lang w:val="pt-BR" w:eastAsia="en-US" w:bidi="ar-SA"/>
    </w:rPr>
  </w:style>
  <w:style w:type="character" w:customStyle="1" w:styleId="CharChar18">
    <w:name w:val="Char Char18"/>
    <w:rsid w:val="0045493E"/>
    <w:rPr>
      <w:rFonts w:ascii="Arial Armenian" w:eastAsia="Times New Roman" w:hAnsi="Arial Armenian"/>
      <w:i/>
      <w:sz w:val="22"/>
      <w:u w:val="single"/>
      <w:lang w:val="en-GB"/>
    </w:rPr>
  </w:style>
  <w:style w:type="character" w:customStyle="1" w:styleId="FontStyle29">
    <w:name w:val="Font Style29"/>
    <w:rsid w:val="0045493E"/>
    <w:rPr>
      <w:rFonts w:ascii="Tahoma" w:hAnsi="Tahoma" w:cs="Tahoma"/>
      <w:color w:val="000000"/>
      <w:sz w:val="16"/>
      <w:szCs w:val="16"/>
    </w:rPr>
  </w:style>
  <w:style w:type="character" w:customStyle="1" w:styleId="CharChar19">
    <w:name w:val="Char Char19"/>
    <w:rsid w:val="0045493E"/>
    <w:rPr>
      <w:b/>
      <w:sz w:val="32"/>
      <w:lang w:val="en-GB" w:eastAsia="en-US" w:bidi="ar-SA"/>
    </w:rPr>
  </w:style>
  <w:style w:type="paragraph" w:customStyle="1" w:styleId="rmcptlkhmsonormal">
    <w:name w:val="rmcptlkh msonormal"/>
    <w:basedOn w:val="Normal"/>
    <w:rsid w:val="0045493E"/>
    <w:pPr>
      <w:spacing w:before="100" w:beforeAutospacing="1" w:after="100" w:afterAutospacing="1"/>
    </w:pPr>
    <w:rPr>
      <w:rFonts w:eastAsia="Batang"/>
      <w:lang w:val="ru-RU" w:eastAsia="ko-KR"/>
    </w:rPr>
  </w:style>
  <w:style w:type="character" w:customStyle="1" w:styleId="CharChar21">
    <w:name w:val="Char Char21"/>
    <w:rsid w:val="0045493E"/>
    <w:rPr>
      <w:rFonts w:ascii="Arial Armenian" w:hAnsi="Arial Armenian"/>
      <w:i/>
      <w:sz w:val="22"/>
      <w:u w:val="single"/>
      <w:lang w:val="en-GB" w:eastAsia="en-US" w:bidi="ar-SA"/>
    </w:rPr>
  </w:style>
  <w:style w:type="character" w:customStyle="1" w:styleId="CharChar20">
    <w:name w:val="Char Char20"/>
    <w:rsid w:val="0045493E"/>
    <w:rPr>
      <w:rFonts w:ascii="Garamond" w:hAnsi="Garamond"/>
      <w:i/>
      <w:spacing w:val="-5"/>
      <w:sz w:val="28"/>
      <w:lang w:val="en-GB" w:eastAsia="en-US" w:bidi="ar-SA"/>
    </w:rPr>
  </w:style>
  <w:style w:type="paragraph" w:customStyle="1" w:styleId="Revision1">
    <w:name w:val="Revision1"/>
    <w:hidden/>
    <w:uiPriority w:val="99"/>
    <w:semiHidden/>
    <w:rsid w:val="0045493E"/>
    <w:pPr>
      <w:spacing w:after="160" w:line="259" w:lineRule="auto"/>
    </w:pPr>
    <w:rPr>
      <w:rFonts w:ascii="Arial Armenian" w:hAnsi="Arial Armenian" w:cs="Sylfaen"/>
      <w:sz w:val="24"/>
      <w:szCs w:val="24"/>
      <w:lang w:val="ru-RU" w:eastAsia="ru-RU"/>
    </w:rPr>
  </w:style>
  <w:style w:type="paragraph" w:customStyle="1" w:styleId="CM33">
    <w:name w:val="CM33"/>
    <w:basedOn w:val="Normal"/>
    <w:next w:val="Normal"/>
    <w:rsid w:val="0045493E"/>
    <w:pPr>
      <w:widowControl w:val="0"/>
      <w:autoSpaceDE w:val="0"/>
      <w:autoSpaceDN w:val="0"/>
      <w:adjustRightInd w:val="0"/>
      <w:spacing w:after="343"/>
    </w:pPr>
    <w:rPr>
      <w:rFonts w:ascii="Arial Armenian" w:hAnsi="Arial Armenian" w:cs="Arial Armenian"/>
    </w:rPr>
  </w:style>
  <w:style w:type="paragraph" w:customStyle="1" w:styleId="CharCharCharCharCharCharCharChar3">
    <w:name w:val="Char Char Char Char Char Char Char Char3"/>
    <w:basedOn w:val="Normal"/>
    <w:rsid w:val="0045493E"/>
    <w:pPr>
      <w:spacing w:line="240" w:lineRule="exact"/>
    </w:pPr>
    <w:rPr>
      <w:rFonts w:ascii="Arial" w:hAnsi="Arial" w:cs="Arial"/>
      <w:sz w:val="20"/>
      <w:szCs w:val="20"/>
    </w:rPr>
  </w:style>
  <w:style w:type="paragraph" w:customStyle="1" w:styleId="CharCharCharCharCharCharCharCharCharCharCharCharCharCharChar6">
    <w:name w:val="Char Char Char Char Знак Char Знак Char Char Char Char Char Char Char Char Char Char6"/>
    <w:basedOn w:val="Normal"/>
    <w:rsid w:val="0045493E"/>
    <w:pPr>
      <w:tabs>
        <w:tab w:val="left" w:pos="709"/>
      </w:tabs>
    </w:pPr>
    <w:rPr>
      <w:rFonts w:ascii="Tahoma" w:hAnsi="Tahoma"/>
      <w:lang w:val="pl-PL" w:eastAsia="pl-PL"/>
    </w:rPr>
  </w:style>
  <w:style w:type="paragraph" w:customStyle="1" w:styleId="CharCharCharCharCharCharChar3">
    <w:name w:val="Char Char Char Char Char Char Char3"/>
    <w:basedOn w:val="Normal"/>
    <w:rsid w:val="0045493E"/>
    <w:pPr>
      <w:spacing w:line="240" w:lineRule="exact"/>
    </w:pPr>
    <w:rPr>
      <w:rFonts w:ascii="Arial" w:hAnsi="Arial" w:cs="Arial"/>
      <w:sz w:val="20"/>
      <w:szCs w:val="20"/>
    </w:rPr>
  </w:style>
  <w:style w:type="paragraph" w:customStyle="1" w:styleId="CharCharChar31">
    <w:name w:val="Char Char Char Знак Знак3"/>
    <w:basedOn w:val="Normal"/>
    <w:rsid w:val="0045493E"/>
    <w:pPr>
      <w:spacing w:line="240" w:lineRule="exact"/>
    </w:pPr>
    <w:rPr>
      <w:rFonts w:ascii="Arial" w:hAnsi="Arial" w:cs="Arial"/>
      <w:sz w:val="20"/>
      <w:szCs w:val="20"/>
    </w:rPr>
  </w:style>
  <w:style w:type="paragraph" w:customStyle="1" w:styleId="CharCharCharCharCharCharCharCharCharChar3">
    <w:name w:val="Char Char Char Char Char Char Char Char Char Char3"/>
    <w:basedOn w:val="Normal"/>
    <w:rsid w:val="0045493E"/>
    <w:pPr>
      <w:spacing w:line="240" w:lineRule="exact"/>
    </w:pPr>
    <w:rPr>
      <w:rFonts w:ascii="Arial" w:hAnsi="Arial" w:cs="Arial"/>
      <w:sz w:val="20"/>
      <w:szCs w:val="20"/>
    </w:rPr>
  </w:style>
  <w:style w:type="paragraph" w:customStyle="1" w:styleId="1CharChar3">
    <w:name w:val="Знак Знак1 Char Char Знак Знак3"/>
    <w:basedOn w:val="Normal"/>
    <w:rsid w:val="0045493E"/>
    <w:pPr>
      <w:tabs>
        <w:tab w:val="left" w:pos="840"/>
      </w:tabs>
      <w:spacing w:line="240" w:lineRule="exact"/>
      <w:ind w:left="840" w:hanging="360"/>
    </w:pPr>
    <w:rPr>
      <w:rFonts w:ascii="Verdana" w:hAnsi="Verdana"/>
      <w:sz w:val="20"/>
      <w:szCs w:val="20"/>
      <w:lang w:val="ru-RU"/>
    </w:rPr>
  </w:style>
  <w:style w:type="paragraph" w:customStyle="1" w:styleId="CharCharCharChar3">
    <w:name w:val="Знак Знак Char Char Знак Знак Char Char Знак Знак3"/>
    <w:basedOn w:val="Normal"/>
    <w:rsid w:val="0045493E"/>
    <w:pPr>
      <w:spacing w:line="240" w:lineRule="exact"/>
    </w:pPr>
    <w:rPr>
      <w:sz w:val="28"/>
      <w:szCs w:val="20"/>
    </w:rPr>
  </w:style>
  <w:style w:type="paragraph" w:customStyle="1" w:styleId="CharCharChar1Char3">
    <w:name w:val="Char Char Char1 Char3"/>
    <w:basedOn w:val="Normal"/>
    <w:rsid w:val="0045493E"/>
    <w:pPr>
      <w:spacing w:line="240" w:lineRule="exact"/>
    </w:pPr>
    <w:rPr>
      <w:rFonts w:ascii="Arial" w:hAnsi="Arial" w:cs="Arial"/>
      <w:sz w:val="20"/>
      <w:szCs w:val="20"/>
    </w:rPr>
  </w:style>
  <w:style w:type="paragraph" w:customStyle="1" w:styleId="130">
    <w:name w:val="Знак Знак13"/>
    <w:basedOn w:val="Normal"/>
    <w:rsid w:val="0045493E"/>
    <w:pPr>
      <w:spacing w:line="240" w:lineRule="exact"/>
    </w:pPr>
    <w:rPr>
      <w:rFonts w:ascii="Arial" w:eastAsia="MS Mincho" w:hAnsi="Arial" w:cs="Arial"/>
      <w:sz w:val="20"/>
      <w:szCs w:val="20"/>
    </w:rPr>
  </w:style>
  <w:style w:type="paragraph" w:customStyle="1" w:styleId="CharCharCharCharChar3">
    <w:name w:val="Char Char Char Char Char Знак Знак3"/>
    <w:basedOn w:val="Normal"/>
    <w:rsid w:val="0045493E"/>
    <w:pPr>
      <w:spacing w:line="240" w:lineRule="exact"/>
    </w:pPr>
    <w:rPr>
      <w:rFonts w:ascii="Arial" w:hAnsi="Arial" w:cs="Arial"/>
      <w:sz w:val="20"/>
      <w:szCs w:val="20"/>
    </w:rPr>
  </w:style>
  <w:style w:type="paragraph" w:customStyle="1" w:styleId="CharChar1CharCharChar1Char3">
    <w:name w:val="Char Char1 Char Char Char1 Char3"/>
    <w:basedOn w:val="Normal"/>
    <w:rsid w:val="0045493E"/>
    <w:rPr>
      <w:rFonts w:eastAsia="SimSun"/>
      <w:sz w:val="20"/>
      <w:szCs w:val="20"/>
      <w:lang w:eastAsia="ru-RU"/>
    </w:rPr>
  </w:style>
  <w:style w:type="paragraph" w:customStyle="1" w:styleId="43">
    <w:name w:val="Знак Знак43"/>
    <w:basedOn w:val="Normal"/>
    <w:rsid w:val="0045493E"/>
    <w:pPr>
      <w:tabs>
        <w:tab w:val="left" w:pos="709"/>
      </w:tabs>
    </w:pPr>
    <w:rPr>
      <w:rFonts w:ascii="Tahoma" w:hAnsi="Tahoma"/>
      <w:lang w:val="pl-PL" w:eastAsia="pl-PL"/>
    </w:rPr>
  </w:style>
  <w:style w:type="paragraph" w:customStyle="1" w:styleId="Char31">
    <w:name w:val="Знак Char Знак3"/>
    <w:basedOn w:val="Normal"/>
    <w:rsid w:val="0045493E"/>
    <w:pPr>
      <w:spacing w:line="240" w:lineRule="exact"/>
    </w:pPr>
    <w:rPr>
      <w:rFonts w:ascii="Arial" w:eastAsia="Batang" w:hAnsi="Arial" w:cs="Arial"/>
      <w:sz w:val="20"/>
      <w:szCs w:val="20"/>
    </w:rPr>
  </w:style>
  <w:style w:type="paragraph" w:customStyle="1" w:styleId="CharCharCharCharCharChar3">
    <w:name w:val="Знак Знак Char Char Знак Знак Char Char Знак Знак Char Char3"/>
    <w:basedOn w:val="Normal"/>
    <w:rsid w:val="0045493E"/>
    <w:pPr>
      <w:spacing w:line="240" w:lineRule="exact"/>
    </w:pPr>
    <w:rPr>
      <w:sz w:val="28"/>
      <w:szCs w:val="20"/>
    </w:rPr>
  </w:style>
  <w:style w:type="paragraph" w:customStyle="1" w:styleId="230">
    <w:name w:val="Знак Знак23"/>
    <w:basedOn w:val="Normal"/>
    <w:rsid w:val="0045493E"/>
    <w:pPr>
      <w:spacing w:line="240" w:lineRule="exact"/>
    </w:pPr>
    <w:rPr>
      <w:rFonts w:ascii="Arial" w:hAnsi="Arial" w:cs="Arial"/>
      <w:sz w:val="20"/>
      <w:szCs w:val="20"/>
    </w:rPr>
  </w:style>
  <w:style w:type="paragraph" w:customStyle="1" w:styleId="CharCharCharCharChar30">
    <w:name w:val="Char Char Char Char Char3"/>
    <w:basedOn w:val="Normal"/>
    <w:rsid w:val="0045493E"/>
    <w:pPr>
      <w:spacing w:line="240" w:lineRule="exact"/>
    </w:pPr>
    <w:rPr>
      <w:rFonts w:ascii="Arial" w:hAnsi="Arial" w:cs="Arial"/>
      <w:sz w:val="20"/>
      <w:szCs w:val="20"/>
    </w:rPr>
  </w:style>
  <w:style w:type="paragraph" w:customStyle="1" w:styleId="listparagraphcxspmiddle">
    <w:name w:val="listparagraphcxspmiddle"/>
    <w:basedOn w:val="Normal"/>
    <w:rsid w:val="0045493E"/>
    <w:pPr>
      <w:spacing w:before="100" w:beforeAutospacing="1" w:after="100" w:afterAutospacing="1"/>
    </w:pPr>
  </w:style>
  <w:style w:type="paragraph" w:customStyle="1" w:styleId="listparagraphcxsplast">
    <w:name w:val="listparagraphcxsplast"/>
    <w:basedOn w:val="Normal"/>
    <w:rsid w:val="0045493E"/>
    <w:pPr>
      <w:spacing w:before="100" w:beforeAutospacing="1" w:after="100" w:afterAutospacing="1"/>
    </w:pPr>
  </w:style>
  <w:style w:type="paragraph" w:customStyle="1" w:styleId="CharCharCharCharChar1">
    <w:name w:val="Знак Char Char Знак Char Char Char"/>
    <w:aliases w:val=" Знак Char Char Знак Char Char1 Знак, Знак Char Char Знак Char Char Char"/>
    <w:basedOn w:val="Normal"/>
    <w:next w:val="Normal"/>
    <w:semiHidden/>
    <w:rsid w:val="0045493E"/>
    <w:pPr>
      <w:spacing w:line="240" w:lineRule="exact"/>
    </w:pPr>
    <w:rPr>
      <w:rFonts w:ascii="Arial" w:hAnsi="Arial" w:cs="Arial"/>
      <w:b/>
      <w:sz w:val="20"/>
      <w:szCs w:val="20"/>
      <w:lang w:val="en-GB"/>
    </w:rPr>
  </w:style>
  <w:style w:type="character" w:customStyle="1" w:styleId="BodyTextFirstIndentChar1">
    <w:name w:val="Body Text First Indent Char1"/>
    <w:rsid w:val="0045493E"/>
    <w:rPr>
      <w:rFonts w:ascii="Times Armenian" w:hAnsi="Times Armenian"/>
      <w:sz w:val="24"/>
      <w:szCs w:val="24"/>
      <w:lang w:val="ru-RU" w:eastAsia="ru-RU" w:bidi="ar-SA"/>
    </w:rPr>
  </w:style>
  <w:style w:type="character" w:customStyle="1" w:styleId="CommentSubjectChar1">
    <w:name w:val="Comment Subject Char1"/>
    <w:rsid w:val="0045493E"/>
    <w:rPr>
      <w:rFonts w:ascii="Courier New" w:hAnsi="Courier New"/>
      <w:b/>
      <w:bCs/>
      <w:lang w:val="en-US" w:eastAsia="en-US" w:bidi="ar-SA"/>
    </w:rPr>
  </w:style>
  <w:style w:type="paragraph" w:customStyle="1" w:styleId="CharCharChar1CharCharCharCharCharCharCharCharCharCharCharCharCharCharChar">
    <w:name w:val="Char Char Char1 Char Char Char Char Char Char Char Char Char Char Char Char Char Char Char"/>
    <w:basedOn w:val="Normal"/>
    <w:rsid w:val="0045493E"/>
    <w:pPr>
      <w:spacing w:line="240" w:lineRule="exact"/>
    </w:pPr>
    <w:rPr>
      <w:rFonts w:ascii="Verdana" w:eastAsia="MS Mincho" w:hAnsi="Verdana"/>
      <w:sz w:val="20"/>
      <w:szCs w:val="20"/>
      <w:lang w:val="en-GB"/>
    </w:rPr>
  </w:style>
  <w:style w:type="character" w:customStyle="1" w:styleId="apple-converted-space">
    <w:name w:val="apple-converted-space"/>
    <w:rsid w:val="0045493E"/>
  </w:style>
  <w:style w:type="paragraph" w:customStyle="1" w:styleId="ListParagraph1">
    <w:name w:val="List Paragraph1"/>
    <w:aliases w:val="OBC Bullet,Normal numbered,List Paragraph12"/>
    <w:basedOn w:val="Normal"/>
    <w:uiPriority w:val="34"/>
    <w:qFormat/>
    <w:rsid w:val="0045493E"/>
    <w:pPr>
      <w:ind w:left="720" w:right="201" w:firstLine="900"/>
      <w:contextualSpacing/>
    </w:pPr>
    <w:rPr>
      <w:rFonts w:ascii="Times Armenian" w:hAnsi="Times Armenian"/>
      <w:sz w:val="28"/>
      <w:szCs w:val="28"/>
      <w:lang w:val="hy-AM" w:eastAsia="ru-RU"/>
    </w:rPr>
  </w:style>
  <w:style w:type="character" w:customStyle="1" w:styleId="ListParagraphChar">
    <w:name w:val="List Paragraph Char"/>
    <w:aliases w:val="Akapit z listą BS Char,List Paragraph 1 Char,List_Paragraph Char,Multilevel para_II Char,List Paragraph1 Char,Bullet1 Char,Bullets Char,References Char,List Paragraph (numbered (a)) Char,IBL List Paragraph Char,OBC Bullet Char,Ha Cha"/>
    <w:link w:val="ListParagraph3"/>
    <w:uiPriority w:val="34"/>
    <w:rsid w:val="0045493E"/>
    <w:rPr>
      <w:sz w:val="24"/>
      <w:szCs w:val="24"/>
      <w:lang w:val="en-US" w:eastAsia="en-US" w:bidi="ar-SA"/>
    </w:rPr>
  </w:style>
  <w:style w:type="character" w:customStyle="1" w:styleId="textexposedshow">
    <w:name w:val="text_exposed_show"/>
    <w:rsid w:val="0045493E"/>
    <w:rPr>
      <w:rFonts w:cs="Times New Roman"/>
    </w:rPr>
  </w:style>
  <w:style w:type="paragraph" w:customStyle="1" w:styleId="formtext">
    <w:name w:val="formtext"/>
    <w:basedOn w:val="Normal"/>
    <w:rsid w:val="0045493E"/>
    <w:pPr>
      <w:spacing w:before="120" w:after="120" w:line="240" w:lineRule="exact"/>
    </w:pPr>
    <w:rPr>
      <w:rFonts w:ascii="Arial" w:eastAsia="SimSun" w:hAnsi="Arial"/>
      <w:lang w:eastAsia="fr-FR"/>
    </w:rPr>
  </w:style>
  <w:style w:type="paragraph" w:customStyle="1" w:styleId="italic">
    <w:name w:val="italic"/>
    <w:basedOn w:val="Normal"/>
    <w:rsid w:val="0045493E"/>
    <w:pPr>
      <w:spacing w:before="100" w:beforeAutospacing="1" w:after="100" w:afterAutospacing="1"/>
    </w:pPr>
    <w:rPr>
      <w:rFonts w:cs="Calibri"/>
    </w:rPr>
  </w:style>
  <w:style w:type="paragraph" w:customStyle="1" w:styleId="ecxmsonormal">
    <w:name w:val="ecxmsonormal"/>
    <w:basedOn w:val="Normal"/>
    <w:rsid w:val="0045493E"/>
    <w:pPr>
      <w:spacing w:before="100" w:beforeAutospacing="1" w:after="100" w:afterAutospacing="1"/>
    </w:pPr>
    <w:rPr>
      <w:rFonts w:cs="Calibri"/>
    </w:rPr>
  </w:style>
  <w:style w:type="paragraph" w:customStyle="1" w:styleId="CharCharChar2">
    <w:name w:val="Char Char Char Знак Знак Знак Знак Знак"/>
    <w:basedOn w:val="Normal"/>
    <w:rsid w:val="0045493E"/>
    <w:pPr>
      <w:spacing w:line="240" w:lineRule="exact"/>
    </w:pPr>
    <w:rPr>
      <w:rFonts w:ascii="Arial" w:hAnsi="Arial" w:cs="Arial"/>
      <w:color w:val="000000"/>
      <w:sz w:val="20"/>
      <w:szCs w:val="20"/>
      <w:lang w:val="en-GB"/>
    </w:rPr>
  </w:style>
  <w:style w:type="character" w:customStyle="1" w:styleId="title1">
    <w:name w:val="title1"/>
    <w:rsid w:val="0045493E"/>
    <w:rPr>
      <w:rFonts w:ascii="Verdana" w:hAnsi="Verdana"/>
      <w:b/>
      <w:color w:val="000000"/>
      <w:sz w:val="12"/>
      <w:u w:val="none"/>
    </w:rPr>
  </w:style>
  <w:style w:type="character" w:customStyle="1" w:styleId="hps">
    <w:name w:val="hps"/>
    <w:rsid w:val="0045493E"/>
    <w:rPr>
      <w:rFonts w:cs="Times New Roman"/>
    </w:rPr>
  </w:style>
  <w:style w:type="character" w:customStyle="1" w:styleId="st">
    <w:name w:val="st"/>
    <w:rsid w:val="0045493E"/>
    <w:rPr>
      <w:rFonts w:cs="Times New Roman"/>
    </w:rPr>
  </w:style>
  <w:style w:type="paragraph" w:customStyle="1" w:styleId="bodytext0">
    <w:name w:val="bodytext"/>
    <w:basedOn w:val="Normal"/>
    <w:rsid w:val="0045493E"/>
    <w:pPr>
      <w:spacing w:before="100" w:beforeAutospacing="1" w:after="100" w:afterAutospacing="1"/>
    </w:pPr>
    <w:rPr>
      <w:rFonts w:cs="Calibri"/>
    </w:rPr>
  </w:style>
  <w:style w:type="character" w:customStyle="1" w:styleId="CharChar4">
    <w:name w:val="Char Char4"/>
    <w:rsid w:val="0045493E"/>
    <w:rPr>
      <w:rFonts w:ascii="Cambria" w:hAnsi="Cambria" w:cs="Cambria"/>
      <w:b/>
      <w:bCs/>
      <w:sz w:val="26"/>
      <w:szCs w:val="26"/>
    </w:rPr>
  </w:style>
  <w:style w:type="character" w:customStyle="1" w:styleId="CharChar2">
    <w:name w:val="Char Char2"/>
    <w:rsid w:val="0045493E"/>
    <w:rPr>
      <w:rFonts w:ascii="Calibri" w:hAnsi="Calibri" w:cs="Calibri"/>
      <w:sz w:val="22"/>
      <w:szCs w:val="22"/>
      <w:lang w:val="en-US" w:eastAsia="en-US"/>
    </w:rPr>
  </w:style>
  <w:style w:type="character" w:customStyle="1" w:styleId="CharChar1">
    <w:name w:val="Char Char1"/>
    <w:rsid w:val="0045493E"/>
    <w:rPr>
      <w:rFonts w:ascii="Calibri" w:hAnsi="Calibri" w:cs="Calibri"/>
      <w:sz w:val="22"/>
      <w:szCs w:val="22"/>
      <w:lang w:val="en-US" w:eastAsia="en-US"/>
    </w:rPr>
  </w:style>
  <w:style w:type="paragraph" w:customStyle="1" w:styleId="num02">
    <w:name w:val="Énum02"/>
    <w:basedOn w:val="Normal"/>
    <w:rsid w:val="0045493E"/>
    <w:pPr>
      <w:numPr>
        <w:numId w:val="10"/>
      </w:numPr>
      <w:spacing w:after="120" w:line="260" w:lineRule="exact"/>
    </w:pPr>
    <w:rPr>
      <w:rFonts w:ascii="Arial" w:hAnsi="Arial" w:cs="Arial"/>
      <w:lang w:eastAsia="fr-FR"/>
    </w:rPr>
  </w:style>
  <w:style w:type="character" w:customStyle="1" w:styleId="arg">
    <w:name w:val="arg"/>
    <w:rsid w:val="0045493E"/>
    <w:rPr>
      <w:rFonts w:cs="Times New Roman"/>
    </w:rPr>
  </w:style>
  <w:style w:type="character" w:customStyle="1" w:styleId="fulltext">
    <w:name w:val="fulltext"/>
    <w:rsid w:val="0045493E"/>
    <w:rPr>
      <w:rFonts w:cs="Times New Roman"/>
    </w:rPr>
  </w:style>
  <w:style w:type="paragraph" w:customStyle="1" w:styleId="innewsdate">
    <w:name w:val="in_news_date"/>
    <w:basedOn w:val="Normal"/>
    <w:rsid w:val="0045493E"/>
    <w:pPr>
      <w:spacing w:before="100" w:beforeAutospacing="1" w:after="100" w:afterAutospacing="1"/>
    </w:pPr>
  </w:style>
  <w:style w:type="character" w:customStyle="1" w:styleId="gr">
    <w:name w:val="gr"/>
    <w:rsid w:val="0045493E"/>
    <w:rPr>
      <w:rFonts w:cs="Times New Roman"/>
    </w:rPr>
  </w:style>
  <w:style w:type="character" w:customStyle="1" w:styleId="opennewstext">
    <w:name w:val="opennewstext"/>
    <w:rsid w:val="0045493E"/>
    <w:rPr>
      <w:rFonts w:cs="Times New Roman"/>
    </w:rPr>
  </w:style>
  <w:style w:type="paragraph" w:customStyle="1" w:styleId="CharCharCharCharCharCharCharCharCharCharCharCharCharCharChar1">
    <w:name w:val="Char Char Char Char Знак Char Знак Char Char Char Char Char Char Char Char Char Char1"/>
    <w:basedOn w:val="Normal"/>
    <w:rsid w:val="0045493E"/>
    <w:pPr>
      <w:tabs>
        <w:tab w:val="left" w:pos="709"/>
      </w:tabs>
    </w:pPr>
    <w:rPr>
      <w:rFonts w:ascii="Tahoma" w:hAnsi="Tahoma" w:cs="Tahoma"/>
      <w:lang w:val="pl-PL" w:eastAsia="pl-PL"/>
    </w:rPr>
  </w:style>
  <w:style w:type="character" w:customStyle="1" w:styleId="fulltext0">
    <w:name w:val="full_text"/>
    <w:rsid w:val="0045493E"/>
    <w:rPr>
      <w:rFonts w:cs="Times New Roman"/>
    </w:rPr>
  </w:style>
  <w:style w:type="character" w:customStyle="1" w:styleId="wrc116">
    <w:name w:val="wrc116"/>
    <w:rsid w:val="0045493E"/>
    <w:rPr>
      <w:rFonts w:cs="Times New Roman"/>
      <w:vanish/>
    </w:rPr>
  </w:style>
  <w:style w:type="character" w:customStyle="1" w:styleId="editsection">
    <w:name w:val="editsection"/>
    <w:rsid w:val="0045493E"/>
    <w:rPr>
      <w:rFonts w:cs="Times New Roman"/>
    </w:rPr>
  </w:style>
  <w:style w:type="character" w:customStyle="1" w:styleId="mw-headline">
    <w:name w:val="mw-headline"/>
    <w:rsid w:val="0045493E"/>
    <w:rPr>
      <w:rFonts w:cs="Times New Roman"/>
    </w:rPr>
  </w:style>
  <w:style w:type="character" w:customStyle="1" w:styleId="il">
    <w:name w:val="il"/>
    <w:basedOn w:val="DefaultParagraphFont"/>
    <w:rsid w:val="0045493E"/>
  </w:style>
  <w:style w:type="character" w:customStyle="1" w:styleId="Heading5Char">
    <w:name w:val="Heading 5 Char"/>
    <w:aliases w:val="Side Char"/>
    <w:basedOn w:val="DefaultParagraphFont"/>
    <w:link w:val="Heading5"/>
    <w:locked/>
    <w:rsid w:val="0045493E"/>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locked/>
    <w:rsid w:val="0045493E"/>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locked/>
    <w:rsid w:val="0045493E"/>
    <w:rPr>
      <w:rFonts w:asciiTheme="majorHAnsi" w:eastAsiaTheme="majorEastAsia" w:hAnsiTheme="majorHAnsi" w:cstheme="majorBidi"/>
      <w:i/>
      <w:iCs/>
    </w:rPr>
  </w:style>
  <w:style w:type="character" w:customStyle="1" w:styleId="Heading8Char">
    <w:name w:val="Heading 8 Char"/>
    <w:basedOn w:val="DefaultParagraphFont"/>
    <w:link w:val="Heading8"/>
    <w:locked/>
    <w:rsid w:val="0045493E"/>
    <w:rPr>
      <w:rFonts w:asciiTheme="majorHAnsi" w:eastAsiaTheme="majorEastAsia" w:hAnsiTheme="majorHAnsi" w:cstheme="majorBidi"/>
      <w:sz w:val="20"/>
      <w:szCs w:val="20"/>
    </w:rPr>
  </w:style>
  <w:style w:type="character" w:customStyle="1" w:styleId="Heading9Char">
    <w:name w:val="Heading 9 Char"/>
    <w:basedOn w:val="DefaultParagraphFont"/>
    <w:link w:val="Heading9"/>
    <w:locked/>
    <w:rsid w:val="0045493E"/>
    <w:rPr>
      <w:rFonts w:asciiTheme="majorHAnsi" w:eastAsiaTheme="majorEastAsia" w:hAnsiTheme="majorHAnsi" w:cstheme="majorBidi"/>
      <w:i/>
      <w:iCs/>
      <w:spacing w:val="5"/>
      <w:sz w:val="20"/>
      <w:szCs w:val="20"/>
    </w:rPr>
  </w:style>
  <w:style w:type="character" w:customStyle="1" w:styleId="BodyText2Char">
    <w:name w:val="Body Text 2 Char"/>
    <w:aliases w:val="1Text Char"/>
    <w:uiPriority w:val="99"/>
    <w:locked/>
    <w:rsid w:val="0045493E"/>
    <w:rPr>
      <w:rFonts w:ascii="Times Armenian" w:hAnsi="Times Armenian" w:cs="Times New Roman"/>
      <w:b/>
      <w:sz w:val="24"/>
      <w:lang w:val="fr-FR"/>
    </w:rPr>
  </w:style>
  <w:style w:type="character" w:customStyle="1" w:styleId="BodyTextIndent2Char">
    <w:name w:val="Body Text Indent 2 Char"/>
    <w:locked/>
    <w:rsid w:val="0045493E"/>
    <w:rPr>
      <w:rFonts w:ascii="Times LatArm" w:hAnsi="Times LatArm" w:cs="Times New Roman"/>
      <w:sz w:val="22"/>
      <w:lang w:val="fr-FR"/>
    </w:rPr>
  </w:style>
  <w:style w:type="character" w:customStyle="1" w:styleId="HeaderChar">
    <w:name w:val="Header Char"/>
    <w:aliases w:val="Header Char Char Char Char Char Char Char Char Char Char Char1,Header Char Char Char Char Char Char Char Char Char Char Char Char Char1,h Char1"/>
    <w:uiPriority w:val="99"/>
    <w:locked/>
    <w:rsid w:val="0045493E"/>
    <w:rPr>
      <w:rFonts w:cs="Times New Roman"/>
      <w:sz w:val="22"/>
      <w:lang w:val="en-GB"/>
    </w:rPr>
  </w:style>
  <w:style w:type="character" w:customStyle="1" w:styleId="TitleChar">
    <w:name w:val="Title Char"/>
    <w:basedOn w:val="DefaultParagraphFont"/>
    <w:link w:val="Title"/>
    <w:locked/>
    <w:rsid w:val="0045493E"/>
    <w:rPr>
      <w:rFonts w:asciiTheme="majorHAnsi" w:eastAsiaTheme="majorEastAsia" w:hAnsiTheme="majorHAnsi" w:cstheme="majorBidi"/>
      <w:spacing w:val="5"/>
      <w:sz w:val="52"/>
      <w:szCs w:val="52"/>
    </w:rPr>
  </w:style>
  <w:style w:type="character" w:customStyle="1" w:styleId="BodyText3Char">
    <w:name w:val="Body Text 3 Char"/>
    <w:uiPriority w:val="99"/>
    <w:locked/>
    <w:rsid w:val="0045493E"/>
    <w:rPr>
      <w:rFonts w:ascii="Times Armenian" w:hAnsi="Times Armenian" w:cs="Times New Roman"/>
      <w:sz w:val="24"/>
      <w:lang w:val="it-IT"/>
    </w:rPr>
  </w:style>
  <w:style w:type="paragraph" w:customStyle="1" w:styleId="Listenabsatz">
    <w:name w:val="Listenabsatz"/>
    <w:basedOn w:val="Normal"/>
    <w:rsid w:val="0045493E"/>
    <w:pPr>
      <w:ind w:left="720"/>
      <w:contextualSpacing/>
    </w:pPr>
    <w:rPr>
      <w:rFonts w:ascii="Cambria" w:hAnsi="Cambria"/>
      <w:lang w:val="de-DE"/>
    </w:rPr>
  </w:style>
  <w:style w:type="paragraph" w:customStyle="1" w:styleId="Style40">
    <w:name w:val="Style4"/>
    <w:basedOn w:val="TOC3"/>
    <w:rsid w:val="0045493E"/>
    <w:rPr>
      <w:bCs/>
      <w:color w:val="000000"/>
      <w:lang w:val="es-ES"/>
    </w:rPr>
  </w:style>
  <w:style w:type="paragraph" w:customStyle="1" w:styleId="Style5">
    <w:name w:val="Style5"/>
    <w:basedOn w:val="TOC3"/>
    <w:rsid w:val="0045493E"/>
    <w:rPr>
      <w:rFonts w:cs="Sylfaen"/>
    </w:rPr>
  </w:style>
  <w:style w:type="paragraph" w:customStyle="1" w:styleId="Style7">
    <w:name w:val="Style7"/>
    <w:basedOn w:val="TOC3"/>
    <w:rsid w:val="0045493E"/>
    <w:rPr>
      <w:rFonts w:cs="Sylfaen"/>
    </w:rPr>
  </w:style>
  <w:style w:type="paragraph" w:customStyle="1" w:styleId="Style8">
    <w:name w:val="Style8"/>
    <w:basedOn w:val="TOC1"/>
    <w:rsid w:val="0045493E"/>
    <w:rPr>
      <w:i w:val="0"/>
    </w:rPr>
  </w:style>
  <w:style w:type="paragraph" w:customStyle="1" w:styleId="Style9">
    <w:name w:val="Style9"/>
    <w:basedOn w:val="TOC1"/>
    <w:rsid w:val="0045493E"/>
  </w:style>
  <w:style w:type="character" w:customStyle="1" w:styleId="CharChar14">
    <w:name w:val="Char Char14"/>
    <w:rsid w:val="0045493E"/>
    <w:rPr>
      <w:sz w:val="36"/>
      <w:lang w:val="en-GB"/>
    </w:rPr>
  </w:style>
  <w:style w:type="character" w:customStyle="1" w:styleId="CharChar5">
    <w:name w:val="Char Char5"/>
    <w:rsid w:val="0045493E"/>
    <w:rPr>
      <w:rFonts w:ascii="Arial Armenian" w:hAnsi="Arial Armenian" w:cs="Sylfaen"/>
      <w:sz w:val="24"/>
      <w:szCs w:val="24"/>
      <w:lang w:val="ru-RU" w:eastAsia="ru-RU"/>
    </w:rPr>
  </w:style>
  <w:style w:type="character" w:customStyle="1" w:styleId="CharChar16">
    <w:name w:val="Char Char16"/>
    <w:rsid w:val="0045493E"/>
    <w:rPr>
      <w:rFonts w:ascii="Times New Roman" w:hAnsi="Times New Roman"/>
      <w:b/>
      <w:sz w:val="32"/>
      <w:lang w:val="en-GB"/>
    </w:rPr>
  </w:style>
  <w:style w:type="character" w:customStyle="1" w:styleId="CharChar17">
    <w:name w:val="Char Char17"/>
    <w:rsid w:val="0045493E"/>
    <w:rPr>
      <w:rFonts w:ascii="Arial Armenian" w:hAnsi="Arial Armenian"/>
      <w:i/>
      <w:sz w:val="22"/>
      <w:u w:val="single"/>
      <w:lang w:val="en-GB" w:eastAsia="en-US" w:bidi="ar-SA"/>
    </w:rPr>
  </w:style>
  <w:style w:type="paragraph" w:customStyle="1" w:styleId="text">
    <w:name w:val="text"/>
    <w:basedOn w:val="Normal"/>
    <w:link w:val="textChar"/>
    <w:rsid w:val="0045493E"/>
    <w:pPr>
      <w:ind w:firstLine="454"/>
    </w:pPr>
    <w:rPr>
      <w:rFonts w:ascii="GHEA Mariam" w:hAnsi="GHEA Mariam"/>
      <w:sz w:val="20"/>
      <w:szCs w:val="20"/>
      <w:lang w:val="en-GB" w:eastAsia="ru-RU"/>
    </w:rPr>
  </w:style>
  <w:style w:type="character" w:customStyle="1" w:styleId="textChar">
    <w:name w:val="text Char"/>
    <w:link w:val="text"/>
    <w:rsid w:val="0045493E"/>
    <w:rPr>
      <w:rFonts w:ascii="GHEA Mariam" w:hAnsi="GHEA Mariam" w:cs="GHEA Mariam"/>
      <w:lang w:val="en-GB" w:eastAsia="ru-RU"/>
    </w:rPr>
  </w:style>
  <w:style w:type="paragraph" w:customStyle="1" w:styleId="Char40">
    <w:name w:val="Char4"/>
    <w:basedOn w:val="Normal"/>
    <w:rsid w:val="0045493E"/>
    <w:pPr>
      <w:spacing w:line="240" w:lineRule="exact"/>
    </w:pPr>
    <w:rPr>
      <w:rFonts w:ascii="Arial" w:eastAsia="Calibri" w:hAnsi="Arial" w:cs="Arial"/>
      <w:sz w:val="20"/>
      <w:szCs w:val="20"/>
    </w:rPr>
  </w:style>
  <w:style w:type="paragraph" w:customStyle="1" w:styleId="p2">
    <w:name w:val="p2"/>
    <w:basedOn w:val="Normal"/>
    <w:rsid w:val="0045493E"/>
    <w:pPr>
      <w:spacing w:before="100" w:beforeAutospacing="1" w:after="100" w:afterAutospacing="1"/>
    </w:pPr>
    <w:rPr>
      <w:rFonts w:eastAsia="Calibri"/>
    </w:rPr>
  </w:style>
  <w:style w:type="paragraph" w:customStyle="1" w:styleId="Char32">
    <w:name w:val="Char3"/>
    <w:basedOn w:val="Normal"/>
    <w:rsid w:val="0045493E"/>
    <w:pPr>
      <w:spacing w:line="240" w:lineRule="exact"/>
    </w:pPr>
    <w:rPr>
      <w:rFonts w:ascii="Arial" w:eastAsia="Calibri" w:hAnsi="Arial" w:cs="Arial"/>
      <w:sz w:val="20"/>
      <w:szCs w:val="20"/>
    </w:rPr>
  </w:style>
  <w:style w:type="paragraph" w:customStyle="1" w:styleId="Char20">
    <w:name w:val="Char2"/>
    <w:basedOn w:val="Normal"/>
    <w:rsid w:val="0045493E"/>
    <w:pPr>
      <w:spacing w:line="240" w:lineRule="exact"/>
    </w:pPr>
    <w:rPr>
      <w:rFonts w:ascii="Arial" w:eastAsia="Calibri" w:hAnsi="Arial" w:cs="Arial"/>
      <w:sz w:val="20"/>
      <w:szCs w:val="20"/>
    </w:rPr>
  </w:style>
  <w:style w:type="paragraph" w:customStyle="1" w:styleId="Char10">
    <w:name w:val="Char1"/>
    <w:basedOn w:val="Normal"/>
    <w:uiPriority w:val="99"/>
    <w:rsid w:val="0045493E"/>
    <w:pPr>
      <w:spacing w:line="240" w:lineRule="exact"/>
    </w:pPr>
    <w:rPr>
      <w:rFonts w:ascii="Arial" w:eastAsia="Calibri" w:hAnsi="Arial" w:cs="Arial"/>
      <w:sz w:val="20"/>
      <w:szCs w:val="20"/>
    </w:rPr>
  </w:style>
  <w:style w:type="character" w:customStyle="1" w:styleId="32ptExact">
    <w:name w:val="Основной текст (3) + Интервал 2 pt Exact"/>
    <w:rsid w:val="0045493E"/>
    <w:rPr>
      <w:rFonts w:ascii="Sylfaen" w:hAnsi="Sylfaen" w:cs="Sylfaen"/>
      <w:spacing w:val="40"/>
      <w:sz w:val="20"/>
      <w:szCs w:val="20"/>
      <w:u w:val="none"/>
      <w:lang w:val="ru-RU" w:eastAsia="ru-RU"/>
    </w:rPr>
  </w:style>
  <w:style w:type="paragraph" w:customStyle="1" w:styleId="CharCharCharCharChar2">
    <w:name w:val="Char Char Char Знак Знак Char Char Знак Знак"/>
    <w:basedOn w:val="Normal"/>
    <w:rsid w:val="0045493E"/>
    <w:pPr>
      <w:spacing w:line="240" w:lineRule="exact"/>
    </w:pPr>
    <w:rPr>
      <w:rFonts w:ascii="Arial" w:hAnsi="Arial" w:cs="Arial"/>
      <w:sz w:val="20"/>
      <w:szCs w:val="20"/>
    </w:rPr>
  </w:style>
  <w:style w:type="paragraph" w:customStyle="1" w:styleId="CharCharCharCharCharChar0">
    <w:name w:val="Char Char Char Char Char Char"/>
    <w:basedOn w:val="Normal"/>
    <w:rsid w:val="0045493E"/>
    <w:pPr>
      <w:spacing w:line="240" w:lineRule="exact"/>
    </w:pPr>
    <w:rPr>
      <w:rFonts w:ascii="Arial" w:hAnsi="Arial" w:cs="Arial"/>
      <w:sz w:val="20"/>
      <w:szCs w:val="20"/>
    </w:rPr>
  </w:style>
  <w:style w:type="paragraph" w:customStyle="1" w:styleId="CharChar113">
    <w:name w:val="Char Char113"/>
    <w:basedOn w:val="Normal"/>
    <w:rsid w:val="0045493E"/>
    <w:pPr>
      <w:spacing w:line="240" w:lineRule="exact"/>
    </w:pPr>
    <w:rPr>
      <w:rFonts w:ascii="Arial" w:hAnsi="Arial" w:cs="Arial"/>
      <w:sz w:val="20"/>
      <w:szCs w:val="20"/>
    </w:rPr>
  </w:style>
  <w:style w:type="character" w:customStyle="1" w:styleId="Heading1Char1">
    <w:name w:val="Heading 1 Char1"/>
    <w:aliases w:val="(Section) Char1,Section Heading Char1,(Text) Char1,1 Char1,Chapter Char1,head3 Char1"/>
    <w:uiPriority w:val="99"/>
    <w:locked/>
    <w:rsid w:val="0045493E"/>
    <w:rPr>
      <w:rFonts w:ascii="Arial" w:hAnsi="Arial"/>
      <w:b/>
      <w:kern w:val="32"/>
      <w:sz w:val="32"/>
    </w:rPr>
  </w:style>
  <w:style w:type="character" w:customStyle="1" w:styleId="BodyTextIndent3Char1">
    <w:name w:val="Body Text Indent 3 Char1"/>
    <w:uiPriority w:val="99"/>
    <w:locked/>
    <w:rsid w:val="0045493E"/>
    <w:rPr>
      <w:rFonts w:ascii="Times New Roman" w:hAnsi="Times New Roman"/>
      <w:sz w:val="16"/>
    </w:rPr>
  </w:style>
  <w:style w:type="character" w:customStyle="1" w:styleId="PlainTextChar1">
    <w:name w:val="Plain Text Char1"/>
    <w:uiPriority w:val="99"/>
    <w:locked/>
    <w:rsid w:val="0045493E"/>
    <w:rPr>
      <w:rFonts w:ascii="Courier New" w:hAnsi="Courier New"/>
      <w:sz w:val="20"/>
    </w:rPr>
  </w:style>
  <w:style w:type="character" w:customStyle="1" w:styleId="CommentTextChar1">
    <w:name w:val="Comment Text Char1"/>
    <w:uiPriority w:val="99"/>
    <w:locked/>
    <w:rsid w:val="0045493E"/>
    <w:rPr>
      <w:rFonts w:ascii="Times New Roman" w:hAnsi="Times New Roman"/>
      <w:sz w:val="20"/>
      <w:lang w:val="en-GB"/>
    </w:rPr>
  </w:style>
  <w:style w:type="character" w:customStyle="1" w:styleId="SubtitleChar1">
    <w:name w:val="Subtitle Char1"/>
    <w:uiPriority w:val="99"/>
    <w:locked/>
    <w:rsid w:val="0045493E"/>
    <w:rPr>
      <w:rFonts w:ascii="Times LatArm" w:hAnsi="Times LatArm"/>
      <w:b/>
      <w:sz w:val="24"/>
    </w:rPr>
  </w:style>
  <w:style w:type="character" w:customStyle="1" w:styleId="BalloonTextChar1">
    <w:name w:val="Balloon Text Char1"/>
    <w:uiPriority w:val="99"/>
    <w:locked/>
    <w:rsid w:val="0045493E"/>
    <w:rPr>
      <w:rFonts w:ascii="Tahoma" w:hAnsi="Tahoma"/>
      <w:sz w:val="16"/>
    </w:rPr>
  </w:style>
  <w:style w:type="character" w:customStyle="1" w:styleId="CharChar163">
    <w:name w:val="Char Char163"/>
    <w:uiPriority w:val="99"/>
    <w:rsid w:val="0045493E"/>
    <w:rPr>
      <w:rFonts w:ascii="Times New Roman" w:hAnsi="Times New Roman"/>
      <w:b/>
      <w:sz w:val="20"/>
      <w:lang w:val="en-GB"/>
    </w:rPr>
  </w:style>
  <w:style w:type="character" w:customStyle="1" w:styleId="CharChar142">
    <w:name w:val="Char Char142"/>
    <w:uiPriority w:val="99"/>
    <w:rsid w:val="0045493E"/>
    <w:rPr>
      <w:rFonts w:ascii="Times New Roman" w:hAnsi="Times New Roman"/>
      <w:sz w:val="20"/>
      <w:lang w:val="en-GB"/>
    </w:rPr>
  </w:style>
  <w:style w:type="character" w:customStyle="1" w:styleId="CharChar53">
    <w:name w:val="Char Char53"/>
    <w:uiPriority w:val="99"/>
    <w:rsid w:val="0045493E"/>
    <w:rPr>
      <w:rFonts w:ascii="Times New Roman" w:hAnsi="Times New Roman"/>
      <w:sz w:val="20"/>
      <w:lang w:val="en-GB"/>
    </w:rPr>
  </w:style>
  <w:style w:type="character" w:customStyle="1" w:styleId="EndnoteTextChar1">
    <w:name w:val="Endnote Text Char1"/>
    <w:uiPriority w:val="99"/>
    <w:semiHidden/>
    <w:locked/>
    <w:rsid w:val="0045493E"/>
    <w:rPr>
      <w:rFonts w:ascii="Times New Roman" w:hAnsi="Times New Roman"/>
      <w:sz w:val="20"/>
      <w:lang w:val="en-GB"/>
    </w:rPr>
  </w:style>
  <w:style w:type="character" w:customStyle="1" w:styleId="estilo2">
    <w:name w:val="estilo2"/>
    <w:uiPriority w:val="99"/>
    <w:rsid w:val="0045493E"/>
  </w:style>
  <w:style w:type="character" w:customStyle="1" w:styleId="CharChar3">
    <w:name w:val="Char Char3"/>
    <w:uiPriority w:val="99"/>
    <w:locked/>
    <w:rsid w:val="0045493E"/>
    <w:rPr>
      <w:rFonts w:cs="Times New Roman"/>
      <w:sz w:val="22"/>
      <w:lang w:val="en-GB" w:eastAsia="en-US" w:bidi="ar-SA"/>
    </w:rPr>
  </w:style>
  <w:style w:type="character" w:customStyle="1" w:styleId="CharChar11">
    <w:name w:val="Char Char11"/>
    <w:uiPriority w:val="99"/>
    <w:locked/>
    <w:rsid w:val="0045493E"/>
    <w:rPr>
      <w:rFonts w:ascii="Times Armenian" w:hAnsi="Times Armenian" w:cs="Times New Roman"/>
      <w:b/>
      <w:bCs/>
      <w:sz w:val="24"/>
      <w:szCs w:val="24"/>
      <w:lang w:val="en-US" w:eastAsia="en-US" w:bidi="ar-SA"/>
    </w:rPr>
  </w:style>
  <w:style w:type="character" w:customStyle="1" w:styleId="CharChar51">
    <w:name w:val="Char Char51"/>
    <w:uiPriority w:val="99"/>
    <w:locked/>
    <w:rsid w:val="0045493E"/>
    <w:rPr>
      <w:sz w:val="22"/>
      <w:lang w:val="en-GB" w:eastAsia="en-US"/>
    </w:rPr>
  </w:style>
  <w:style w:type="paragraph" w:customStyle="1" w:styleId="Numberedtext">
    <w:name w:val="Numbered text"/>
    <w:basedOn w:val="BodyText"/>
    <w:uiPriority w:val="99"/>
    <w:rsid w:val="0045493E"/>
    <w:pPr>
      <w:numPr>
        <w:numId w:val="11"/>
      </w:numPr>
      <w:tabs>
        <w:tab w:val="clear" w:pos="1004"/>
        <w:tab w:val="left" w:pos="360"/>
      </w:tabs>
      <w:ind w:left="0" w:firstLine="0"/>
    </w:pPr>
    <w:rPr>
      <w:rFonts w:cs="Calibri"/>
      <w:lang w:eastAsia="en-NZ"/>
    </w:rPr>
  </w:style>
  <w:style w:type="character" w:customStyle="1" w:styleId="DocumentMapChar">
    <w:name w:val="Document Map Char"/>
    <w:rsid w:val="0045493E"/>
    <w:rPr>
      <w:rFonts w:ascii="Times New Roman" w:eastAsia="Times New Roman" w:hAnsi="Times New Roman"/>
      <w:sz w:val="0"/>
      <w:szCs w:val="0"/>
    </w:rPr>
  </w:style>
  <w:style w:type="character" w:customStyle="1" w:styleId="DocumentMapChar1">
    <w:name w:val="Document Map Char1"/>
    <w:link w:val="DocumentMap"/>
    <w:uiPriority w:val="99"/>
    <w:locked/>
    <w:rsid w:val="0045493E"/>
    <w:rPr>
      <w:rFonts w:ascii="Tahoma" w:hAnsi="Tahoma"/>
      <w:sz w:val="24"/>
      <w:shd w:val="clear" w:color="auto" w:fill="000080"/>
      <w:lang w:val="en-GB" w:eastAsia="ru-RU"/>
    </w:rPr>
  </w:style>
  <w:style w:type="paragraph" w:customStyle="1" w:styleId="TOCHeading1">
    <w:name w:val="TOC Heading1"/>
    <w:basedOn w:val="Heading1"/>
    <w:next w:val="Normal"/>
    <w:uiPriority w:val="39"/>
    <w:unhideWhenUsed/>
    <w:qFormat/>
    <w:rsid w:val="0045493E"/>
    <w:pPr>
      <w:outlineLvl w:val="9"/>
    </w:pPr>
    <w:rPr>
      <w:lang w:bidi="en-US"/>
    </w:rPr>
  </w:style>
  <w:style w:type="character" w:customStyle="1" w:styleId="StyleGHEAGrapalatJustifiedBefore12ptChar">
    <w:name w:val="Style GHEA Grapalat Justified Before:  12 pt Char"/>
    <w:link w:val="StyleGHEAGrapalatJustifiedBefore12pt"/>
    <w:locked/>
    <w:rsid w:val="0045493E"/>
    <w:rPr>
      <w:rFonts w:ascii="GHEA Grapalat" w:hAnsi="GHEA Grapalat"/>
      <w:sz w:val="22"/>
      <w:lang w:val="ru-RU" w:eastAsia="ru-RU"/>
    </w:rPr>
  </w:style>
  <w:style w:type="paragraph" w:customStyle="1" w:styleId="StyleGHEAGrapalatJustifiedBefore12pt">
    <w:name w:val="Style GHEA Grapalat Justified Before:  12 pt"/>
    <w:basedOn w:val="Normal"/>
    <w:link w:val="StyleGHEAGrapalatJustifiedBefore12ptChar"/>
    <w:rsid w:val="0045493E"/>
    <w:pPr>
      <w:numPr>
        <w:numId w:val="12"/>
      </w:numPr>
      <w:spacing w:before="240" w:after="240"/>
    </w:pPr>
    <w:rPr>
      <w:szCs w:val="20"/>
      <w:lang w:val="ru-RU" w:eastAsia="ru-RU"/>
    </w:rPr>
  </w:style>
  <w:style w:type="character" w:customStyle="1" w:styleId="FontStyle32">
    <w:name w:val="Font Style32"/>
    <w:uiPriority w:val="99"/>
    <w:rsid w:val="0045493E"/>
    <w:rPr>
      <w:rFonts w:ascii="Tahoma" w:hAnsi="Tahoma" w:cs="Tahoma"/>
      <w:sz w:val="20"/>
      <w:szCs w:val="20"/>
    </w:rPr>
  </w:style>
  <w:style w:type="paragraph" w:customStyle="1" w:styleId="Text2">
    <w:name w:val="Text 2"/>
    <w:basedOn w:val="Normal"/>
    <w:rsid w:val="0045493E"/>
    <w:pPr>
      <w:spacing w:before="120" w:after="120"/>
      <w:ind w:left="850"/>
    </w:pPr>
    <w:rPr>
      <w:lang w:val="en-GB" w:eastAsia="zh-CN"/>
    </w:rPr>
  </w:style>
  <w:style w:type="character" w:customStyle="1" w:styleId="fnChar2">
    <w:name w:val="fn Char2"/>
    <w:aliases w:val="Footnote Text Char2,ADB Char3,f Cha"/>
    <w:locked/>
    <w:rsid w:val="0045493E"/>
    <w:rPr>
      <w:lang w:val="ru-RU" w:eastAsia="ru-RU"/>
    </w:rPr>
  </w:style>
  <w:style w:type="paragraph" w:customStyle="1" w:styleId="article-type">
    <w:name w:val="article-type"/>
    <w:basedOn w:val="Normal"/>
    <w:rsid w:val="0045493E"/>
    <w:pPr>
      <w:spacing w:before="100" w:beforeAutospacing="1" w:after="100" w:afterAutospacing="1"/>
    </w:pPr>
    <w:rPr>
      <w:lang w:val="ru-RU" w:eastAsia="ru-RU"/>
    </w:rPr>
  </w:style>
  <w:style w:type="paragraph" w:customStyle="1" w:styleId="wpn-byline">
    <w:name w:val="wpn-byline"/>
    <w:basedOn w:val="Normal"/>
    <w:rsid w:val="0045493E"/>
    <w:pPr>
      <w:spacing w:before="100" w:beforeAutospacing="1" w:after="100" w:afterAutospacing="1"/>
    </w:pPr>
    <w:rPr>
      <w:lang w:val="ru-RU" w:eastAsia="ru-RU"/>
    </w:rPr>
  </w:style>
  <w:style w:type="paragraph" w:customStyle="1" w:styleId="headline10margin-bottom-20">
    <w:name w:val="headline10 margin-bottom-20"/>
    <w:basedOn w:val="Normal"/>
    <w:rsid w:val="0045493E"/>
    <w:pPr>
      <w:spacing w:before="100" w:beforeAutospacing="1" w:after="100" w:afterAutospacing="1"/>
    </w:pPr>
    <w:rPr>
      <w:lang w:val="ru-RU" w:eastAsia="ru-RU"/>
    </w:rPr>
  </w:style>
  <w:style w:type="character" w:customStyle="1" w:styleId="published">
    <w:name w:val="published"/>
    <w:rsid w:val="0045493E"/>
  </w:style>
  <w:style w:type="character" w:customStyle="1" w:styleId="divider">
    <w:name w:val="divider"/>
    <w:rsid w:val="0045493E"/>
  </w:style>
  <w:style w:type="character" w:customStyle="1" w:styleId="authorvcard">
    <w:name w:val="author vcard"/>
    <w:rsid w:val="0045493E"/>
  </w:style>
  <w:style w:type="character" w:customStyle="1" w:styleId="category">
    <w:name w:val="category"/>
    <w:rsid w:val="0045493E"/>
  </w:style>
  <w:style w:type="character" w:customStyle="1" w:styleId="before">
    <w:name w:val="before"/>
    <w:rsid w:val="0045493E"/>
  </w:style>
  <w:style w:type="character" w:customStyle="1" w:styleId="aqj">
    <w:name w:val="aqj"/>
    <w:rsid w:val="0045493E"/>
  </w:style>
  <w:style w:type="character" w:customStyle="1" w:styleId="gd">
    <w:name w:val="gd"/>
    <w:rsid w:val="0045493E"/>
  </w:style>
  <w:style w:type="character" w:customStyle="1" w:styleId="g3">
    <w:name w:val="g3"/>
    <w:rsid w:val="0045493E"/>
  </w:style>
  <w:style w:type="character" w:customStyle="1" w:styleId="goa1h">
    <w:name w:val="go a1h"/>
    <w:rsid w:val="0045493E"/>
  </w:style>
  <w:style w:type="character" w:customStyle="1" w:styleId="hb">
    <w:name w:val="hb"/>
    <w:rsid w:val="0045493E"/>
  </w:style>
  <w:style w:type="character" w:customStyle="1" w:styleId="g2">
    <w:name w:val="g2"/>
    <w:rsid w:val="0045493E"/>
  </w:style>
  <w:style w:type="character" w:customStyle="1" w:styleId="sizzle">
    <w:name w:val="sizzle"/>
    <w:basedOn w:val="DefaultParagraphFont"/>
    <w:rsid w:val="0045493E"/>
  </w:style>
  <w:style w:type="paragraph" w:customStyle="1" w:styleId="110">
    <w:name w:val="Абзац списка11"/>
    <w:basedOn w:val="Normal"/>
    <w:qFormat/>
    <w:rsid w:val="0045493E"/>
    <w:pPr>
      <w:ind w:left="720"/>
    </w:pPr>
  </w:style>
  <w:style w:type="character" w:customStyle="1" w:styleId="CharChar112">
    <w:name w:val="Char Char112"/>
    <w:uiPriority w:val="99"/>
    <w:rsid w:val="0045493E"/>
    <w:rPr>
      <w:rFonts w:ascii="Arial Armenian" w:hAnsi="Arial Armenian"/>
      <w:lang w:val="ru-RU" w:eastAsia="ru-RU" w:bidi="ar-SA"/>
    </w:rPr>
  </w:style>
  <w:style w:type="paragraph" w:customStyle="1" w:styleId="ad">
    <w:name w:val="Знак"/>
    <w:basedOn w:val="Normal"/>
    <w:rsid w:val="0045493E"/>
    <w:pPr>
      <w:spacing w:line="240" w:lineRule="exact"/>
    </w:pPr>
    <w:rPr>
      <w:rFonts w:ascii="Arial" w:hAnsi="Arial" w:cs="Arial"/>
      <w:sz w:val="20"/>
      <w:szCs w:val="20"/>
      <w:lang w:val="en-GB"/>
    </w:rPr>
  </w:style>
  <w:style w:type="paragraph" w:customStyle="1" w:styleId="StyleGHEAGrapalatJustifiedAfter6ptLinespacingMultip">
    <w:name w:val="Style GHEA Grapalat Justified After:  6 pt Line spacing:  Multip..."/>
    <w:basedOn w:val="Normal"/>
    <w:rsid w:val="0045493E"/>
    <w:pPr>
      <w:numPr>
        <w:numId w:val="13"/>
      </w:numPr>
      <w:spacing w:before="240" w:after="240"/>
    </w:pPr>
    <w:rPr>
      <w:szCs w:val="20"/>
      <w:lang w:val="hy-AM" w:eastAsia="ru-RU"/>
    </w:rPr>
  </w:style>
  <w:style w:type="paragraph" w:customStyle="1" w:styleId="StyleStyleHeading2ChapterParanumTextSylfaenGHEAGrapa">
    <w:name w:val="Style Style Heading 2.(Chapter).Paranum.Text + Sylfaen + GHEA Grapa..."/>
    <w:basedOn w:val="StyleHeading2ChapterParanumTextSylfaen"/>
    <w:qFormat/>
    <w:rsid w:val="0045493E"/>
    <w:rPr>
      <w:rFonts w:ascii="GHEA Grapalat" w:hAnsi="GHEA Grapalat"/>
    </w:rPr>
  </w:style>
  <w:style w:type="paragraph" w:customStyle="1" w:styleId="18">
    <w:name w:val="Без интервала1"/>
    <w:link w:val="ae"/>
    <w:qFormat/>
    <w:rsid w:val="0045493E"/>
    <w:pPr>
      <w:spacing w:after="160" w:line="259" w:lineRule="auto"/>
    </w:pPr>
    <w:rPr>
      <w:sz w:val="22"/>
      <w:szCs w:val="22"/>
      <w:lang w:val="ru-RU" w:eastAsia="ru-RU"/>
    </w:rPr>
  </w:style>
  <w:style w:type="character" w:customStyle="1" w:styleId="ae">
    <w:name w:val="Без интервала Знак"/>
    <w:link w:val="18"/>
    <w:uiPriority w:val="1"/>
    <w:rsid w:val="0045493E"/>
    <w:rPr>
      <w:rFonts w:ascii="Calibri" w:hAnsi="Calibri"/>
      <w:sz w:val="22"/>
      <w:szCs w:val="22"/>
      <w:lang w:bidi="ar-SA"/>
    </w:rPr>
  </w:style>
  <w:style w:type="paragraph" w:customStyle="1" w:styleId="111">
    <w:name w:val="Обычный11"/>
    <w:rsid w:val="0045493E"/>
    <w:pPr>
      <w:autoSpaceDE w:val="0"/>
      <w:autoSpaceDN w:val="0"/>
      <w:spacing w:after="160" w:line="259" w:lineRule="auto"/>
    </w:pPr>
    <w:rPr>
      <w:sz w:val="22"/>
      <w:szCs w:val="22"/>
      <w:lang w:val="ru-RU" w:eastAsia="ru-RU"/>
    </w:rPr>
  </w:style>
  <w:style w:type="paragraph" w:customStyle="1" w:styleId="19">
    <w:name w:val="Рецензия1"/>
    <w:hidden/>
    <w:uiPriority w:val="99"/>
    <w:semiHidden/>
    <w:rsid w:val="0045493E"/>
    <w:pPr>
      <w:spacing w:after="160" w:line="259" w:lineRule="auto"/>
    </w:pPr>
    <w:rPr>
      <w:rFonts w:ascii="Arial Armenian" w:hAnsi="Arial Armenian" w:cs="Sylfaen"/>
      <w:sz w:val="24"/>
      <w:szCs w:val="24"/>
      <w:lang w:val="ru-RU" w:eastAsia="ru-RU"/>
    </w:rPr>
  </w:style>
  <w:style w:type="paragraph" w:customStyle="1" w:styleId="32">
    <w:name w:val="???????? ????? ? ???????? 3"/>
    <w:basedOn w:val="a5"/>
    <w:uiPriority w:val="99"/>
    <w:rsid w:val="0045493E"/>
    <w:pPr>
      <w:ind w:firstLine="360"/>
      <w:jc w:val="both"/>
    </w:pPr>
    <w:rPr>
      <w:rFonts w:ascii="Times Armenian" w:hAnsi="Times Armenian"/>
      <w:sz w:val="24"/>
      <w:lang w:val="af-ZA"/>
    </w:rPr>
  </w:style>
  <w:style w:type="paragraph" w:customStyle="1" w:styleId="60">
    <w:name w:val="????????? 6"/>
    <w:basedOn w:val="a5"/>
    <w:next w:val="a5"/>
    <w:uiPriority w:val="99"/>
    <w:rsid w:val="0045493E"/>
    <w:pPr>
      <w:keepNext/>
      <w:jc w:val="center"/>
      <w:outlineLvl w:val="5"/>
    </w:pPr>
    <w:rPr>
      <w:rFonts w:ascii="Times Armenian" w:hAnsi="Times Armenian"/>
      <w:i/>
      <w:lang w:val="en-US"/>
    </w:rPr>
  </w:style>
  <w:style w:type="paragraph" w:customStyle="1" w:styleId="310">
    <w:name w:val="???????? ????? 31"/>
    <w:basedOn w:val="a5"/>
    <w:uiPriority w:val="99"/>
    <w:rsid w:val="0045493E"/>
    <w:pPr>
      <w:jc w:val="center"/>
    </w:pPr>
    <w:rPr>
      <w:rFonts w:ascii="Arial Armenian" w:hAnsi="Arial Armenian"/>
      <w:sz w:val="24"/>
      <w:lang w:val="en-AU"/>
    </w:rPr>
  </w:style>
  <w:style w:type="paragraph" w:customStyle="1" w:styleId="25">
    <w:name w:val="????????? 2"/>
    <w:basedOn w:val="a5"/>
    <w:next w:val="a5"/>
    <w:uiPriority w:val="99"/>
    <w:rsid w:val="0045493E"/>
    <w:pPr>
      <w:keepNext/>
      <w:ind w:firstLine="720"/>
      <w:outlineLvl w:val="1"/>
    </w:pPr>
    <w:rPr>
      <w:rFonts w:ascii="Times LatArm" w:hAnsi="Times LatArm"/>
      <w:b/>
      <w:i/>
      <w:sz w:val="28"/>
      <w:lang w:val="en-US"/>
    </w:rPr>
  </w:style>
  <w:style w:type="paragraph" w:customStyle="1" w:styleId="40">
    <w:name w:val="????????? 4"/>
    <w:basedOn w:val="a5"/>
    <w:next w:val="a5"/>
    <w:uiPriority w:val="99"/>
    <w:rsid w:val="0045493E"/>
    <w:pPr>
      <w:keepNext/>
      <w:spacing w:line="360" w:lineRule="auto"/>
      <w:ind w:firstLine="360"/>
      <w:jc w:val="both"/>
      <w:outlineLvl w:val="3"/>
    </w:pPr>
    <w:rPr>
      <w:rFonts w:ascii="Times LatArm" w:hAnsi="Times LatArm"/>
      <w:i/>
      <w:sz w:val="24"/>
    </w:rPr>
  </w:style>
  <w:style w:type="paragraph" w:customStyle="1" w:styleId="1a">
    <w:name w:val="????????? 1"/>
    <w:basedOn w:val="Normal"/>
    <w:next w:val="Normal"/>
    <w:rsid w:val="0045493E"/>
    <w:pPr>
      <w:keepNext/>
      <w:outlineLvl w:val="0"/>
    </w:pPr>
    <w:rPr>
      <w:rFonts w:ascii="Times Armenian" w:hAnsi="Times Armenian"/>
      <w:i/>
      <w:szCs w:val="20"/>
      <w:lang w:eastAsia="ru-RU"/>
    </w:rPr>
  </w:style>
  <w:style w:type="paragraph" w:customStyle="1" w:styleId="CharChar0">
    <w:name w:val="Знак Знак Char Char"/>
    <w:basedOn w:val="Normal"/>
    <w:rsid w:val="0045493E"/>
    <w:pPr>
      <w:spacing w:line="240" w:lineRule="exact"/>
    </w:pPr>
    <w:rPr>
      <w:rFonts w:ascii="Arial" w:hAnsi="Arial" w:cs="Arial"/>
      <w:sz w:val="20"/>
      <w:szCs w:val="20"/>
    </w:rPr>
  </w:style>
  <w:style w:type="paragraph" w:customStyle="1" w:styleId="CharChar6">
    <w:name w:val="Знак Знак Char Char Знак Знак"/>
    <w:basedOn w:val="Normal"/>
    <w:rsid w:val="0045493E"/>
    <w:pPr>
      <w:spacing w:line="240" w:lineRule="exact"/>
    </w:pPr>
    <w:rPr>
      <w:rFonts w:ascii="Arial" w:hAnsi="Arial" w:cs="Arial"/>
      <w:sz w:val="20"/>
      <w:szCs w:val="20"/>
    </w:rPr>
  </w:style>
  <w:style w:type="paragraph" w:customStyle="1" w:styleId="Para">
    <w:name w:val="Para"/>
    <w:basedOn w:val="Normal"/>
    <w:rsid w:val="0045493E"/>
    <w:pPr>
      <w:suppressAutoHyphens/>
    </w:pPr>
    <w:rPr>
      <w:rFonts w:eastAsia="Calibri" w:cs="Sylfaen"/>
      <w:bCs/>
      <w:kern w:val="1"/>
      <w:lang w:val="hy-AM"/>
    </w:rPr>
  </w:style>
  <w:style w:type="paragraph" w:customStyle="1" w:styleId="ModelNrmlSingle">
    <w:name w:val="ModelNrmlSingle"/>
    <w:basedOn w:val="Normal"/>
    <w:rsid w:val="0045493E"/>
    <w:pPr>
      <w:spacing w:after="240"/>
      <w:ind w:firstLine="720"/>
    </w:pPr>
    <w:rPr>
      <w:szCs w:val="20"/>
    </w:rPr>
  </w:style>
  <w:style w:type="paragraph" w:customStyle="1" w:styleId="Char5">
    <w:name w:val="Char5"/>
    <w:basedOn w:val="Normal"/>
    <w:rsid w:val="0045493E"/>
    <w:pPr>
      <w:spacing w:line="240" w:lineRule="exact"/>
    </w:pPr>
    <w:rPr>
      <w:rFonts w:ascii="Arial" w:eastAsia="Calibri" w:hAnsi="Arial" w:cs="Arial"/>
      <w:sz w:val="20"/>
      <w:szCs w:val="20"/>
    </w:rPr>
  </w:style>
  <w:style w:type="paragraph" w:customStyle="1" w:styleId="33">
    <w:name w:val="Знак Знак3"/>
    <w:basedOn w:val="Normal"/>
    <w:link w:val="Char11"/>
    <w:rsid w:val="0045493E"/>
    <w:pPr>
      <w:spacing w:line="240" w:lineRule="exact"/>
    </w:pPr>
    <w:rPr>
      <w:rFonts w:ascii="Arial" w:eastAsia="Calibri" w:hAnsi="Arial"/>
      <w:sz w:val="20"/>
      <w:szCs w:val="20"/>
      <w:lang w:val="en-GB"/>
    </w:rPr>
  </w:style>
  <w:style w:type="character" w:customStyle="1" w:styleId="Char11">
    <w:name w:val="Знак Знак Char1"/>
    <w:link w:val="33"/>
    <w:locked/>
    <w:rsid w:val="0045493E"/>
    <w:rPr>
      <w:rFonts w:ascii="Arial" w:eastAsia="Calibri" w:hAnsi="Arial"/>
      <w:lang w:val="en-GB"/>
    </w:rPr>
  </w:style>
  <w:style w:type="paragraph" w:customStyle="1" w:styleId="CharChar60">
    <w:name w:val="Char Char6"/>
    <w:basedOn w:val="Normal"/>
    <w:rsid w:val="0045493E"/>
    <w:pPr>
      <w:spacing w:line="240" w:lineRule="exact"/>
    </w:pPr>
    <w:rPr>
      <w:rFonts w:ascii="Arial" w:eastAsia="Calibri" w:hAnsi="Arial" w:cs="Arial"/>
      <w:sz w:val="20"/>
      <w:szCs w:val="20"/>
    </w:rPr>
  </w:style>
  <w:style w:type="paragraph" w:customStyle="1" w:styleId="CharCharChar10">
    <w:name w:val="Char Char Char1"/>
    <w:basedOn w:val="Normal"/>
    <w:rsid w:val="0045493E"/>
    <w:pPr>
      <w:spacing w:line="240" w:lineRule="exact"/>
    </w:pPr>
    <w:rPr>
      <w:rFonts w:ascii="Arial" w:eastAsia="Calibri" w:hAnsi="Arial" w:cs="Arial"/>
      <w:sz w:val="20"/>
      <w:szCs w:val="20"/>
    </w:rPr>
  </w:style>
  <w:style w:type="paragraph" w:customStyle="1" w:styleId="Znak1">
    <w:name w:val="Znak1"/>
    <w:basedOn w:val="Normal"/>
    <w:rsid w:val="0045493E"/>
    <w:pPr>
      <w:tabs>
        <w:tab w:val="left" w:pos="709"/>
      </w:tabs>
    </w:pPr>
    <w:rPr>
      <w:rFonts w:ascii="Tahoma" w:eastAsia="Calibri" w:hAnsi="Tahoma"/>
      <w:lang w:val="pl-PL" w:eastAsia="pl-PL"/>
    </w:rPr>
  </w:style>
  <w:style w:type="paragraph" w:customStyle="1" w:styleId="CharCharCharCharCharCharCharCharCharCharCharCharChar1">
    <w:name w:val="Char Char Char Char Char Char Char Char Char Char Char Char Char1"/>
    <w:basedOn w:val="Normal"/>
    <w:rsid w:val="0045493E"/>
    <w:pPr>
      <w:spacing w:line="240" w:lineRule="exact"/>
    </w:pPr>
    <w:rPr>
      <w:rFonts w:ascii="Arial" w:eastAsia="Calibri" w:hAnsi="Arial" w:cs="Arial"/>
      <w:sz w:val="20"/>
      <w:szCs w:val="20"/>
    </w:rPr>
  </w:style>
  <w:style w:type="paragraph" w:customStyle="1" w:styleId="Char12">
    <w:name w:val="Знак Знак Знак Знак Знак Знак Знак Знак Знак Знак Знак Знак Знак Знак Знак Знак Знак Знак Char Знак Знак1"/>
    <w:basedOn w:val="Normal"/>
    <w:rsid w:val="0045493E"/>
    <w:pPr>
      <w:spacing w:line="240" w:lineRule="exact"/>
    </w:pPr>
    <w:rPr>
      <w:rFonts w:eastAsia="Calibri"/>
      <w:sz w:val="28"/>
      <w:szCs w:val="20"/>
    </w:rPr>
  </w:style>
  <w:style w:type="paragraph" w:customStyle="1" w:styleId="CharCharChar11">
    <w:name w:val="Char Char Char Знак1"/>
    <w:basedOn w:val="Normal"/>
    <w:next w:val="Normal"/>
    <w:rsid w:val="0045493E"/>
    <w:pPr>
      <w:spacing w:line="240" w:lineRule="exact"/>
    </w:pPr>
    <w:rPr>
      <w:rFonts w:ascii="Tahoma" w:eastAsia="Calibri" w:hAnsi="Tahoma"/>
      <w:szCs w:val="20"/>
    </w:rPr>
  </w:style>
  <w:style w:type="paragraph" w:customStyle="1" w:styleId="CharCharCharCharCharCharCharChar1">
    <w:name w:val="Char Char Char Char Char Char Char Char1"/>
    <w:basedOn w:val="Normal"/>
    <w:rsid w:val="0045493E"/>
    <w:pPr>
      <w:spacing w:line="240" w:lineRule="exact"/>
    </w:pPr>
    <w:rPr>
      <w:rFonts w:ascii="Arial" w:eastAsia="Calibri" w:hAnsi="Arial" w:cs="Arial"/>
      <w:sz w:val="20"/>
      <w:szCs w:val="20"/>
    </w:rPr>
  </w:style>
  <w:style w:type="paragraph" w:customStyle="1" w:styleId="CharCharCharCharCharCharCharCharCharCharCharCharCharCharChar2">
    <w:name w:val="Char Char Char Char Знак Char Знак Char Char Char Char Char Char Char Char Char Char2"/>
    <w:basedOn w:val="Normal"/>
    <w:rsid w:val="0045493E"/>
    <w:pPr>
      <w:tabs>
        <w:tab w:val="left" w:pos="709"/>
      </w:tabs>
    </w:pPr>
    <w:rPr>
      <w:rFonts w:ascii="Tahoma" w:eastAsia="Calibri" w:hAnsi="Tahoma"/>
      <w:lang w:val="pl-PL" w:eastAsia="pl-PL"/>
    </w:rPr>
  </w:style>
  <w:style w:type="paragraph" w:customStyle="1" w:styleId="CharCharCharCharCharCharChar1">
    <w:name w:val="Char Char Char Char Char Char Char1"/>
    <w:basedOn w:val="Normal"/>
    <w:rsid w:val="0045493E"/>
    <w:pPr>
      <w:spacing w:line="240" w:lineRule="exact"/>
    </w:pPr>
    <w:rPr>
      <w:rFonts w:ascii="Arial" w:eastAsia="Calibri" w:hAnsi="Arial" w:cs="Arial"/>
      <w:sz w:val="20"/>
      <w:szCs w:val="20"/>
    </w:rPr>
  </w:style>
  <w:style w:type="paragraph" w:customStyle="1" w:styleId="CharCharChar12">
    <w:name w:val="Char Char Char Знак Знак1"/>
    <w:basedOn w:val="Normal"/>
    <w:rsid w:val="0045493E"/>
    <w:pPr>
      <w:spacing w:line="240" w:lineRule="exact"/>
    </w:pPr>
    <w:rPr>
      <w:rFonts w:ascii="Arial" w:eastAsia="Calibri" w:hAnsi="Arial" w:cs="Arial"/>
      <w:sz w:val="20"/>
      <w:szCs w:val="20"/>
    </w:rPr>
  </w:style>
  <w:style w:type="paragraph" w:customStyle="1" w:styleId="CharCharCharCharCharCharCharCharCharChar1">
    <w:name w:val="Char Char Char Char Char Char Char Char Char Char1"/>
    <w:basedOn w:val="Normal"/>
    <w:rsid w:val="0045493E"/>
    <w:pPr>
      <w:spacing w:line="240" w:lineRule="exact"/>
    </w:pPr>
    <w:rPr>
      <w:rFonts w:ascii="Arial" w:eastAsia="Calibri" w:hAnsi="Arial" w:cs="Arial"/>
      <w:sz w:val="20"/>
      <w:szCs w:val="20"/>
    </w:rPr>
  </w:style>
  <w:style w:type="paragraph" w:customStyle="1" w:styleId="1CharChar1">
    <w:name w:val="Знак Знак1 Char Char Знак Знак1"/>
    <w:basedOn w:val="Normal"/>
    <w:rsid w:val="0045493E"/>
    <w:pPr>
      <w:tabs>
        <w:tab w:val="left" w:pos="840"/>
      </w:tabs>
      <w:spacing w:line="240" w:lineRule="exact"/>
      <w:ind w:left="840" w:hanging="360"/>
    </w:pPr>
    <w:rPr>
      <w:rFonts w:ascii="Verdana" w:eastAsia="Calibri" w:hAnsi="Verdana"/>
      <w:sz w:val="20"/>
      <w:szCs w:val="20"/>
      <w:lang w:val="ru-RU"/>
    </w:rPr>
  </w:style>
  <w:style w:type="paragraph" w:customStyle="1" w:styleId="CharCharCharChar1">
    <w:name w:val="Знак Знак Char Char Знак Знак Char Char Знак Знак1"/>
    <w:basedOn w:val="Normal"/>
    <w:rsid w:val="0045493E"/>
    <w:pPr>
      <w:spacing w:line="240" w:lineRule="exact"/>
    </w:pPr>
    <w:rPr>
      <w:rFonts w:eastAsia="Calibri"/>
      <w:sz w:val="28"/>
      <w:szCs w:val="20"/>
    </w:rPr>
  </w:style>
  <w:style w:type="paragraph" w:customStyle="1" w:styleId="CharCharChar1Char1">
    <w:name w:val="Char Char Char1 Char1"/>
    <w:basedOn w:val="Normal"/>
    <w:rsid w:val="0045493E"/>
    <w:pPr>
      <w:spacing w:line="240" w:lineRule="exact"/>
    </w:pPr>
    <w:rPr>
      <w:rFonts w:ascii="Arial" w:eastAsia="Calibri" w:hAnsi="Arial" w:cs="Arial"/>
      <w:sz w:val="20"/>
      <w:szCs w:val="20"/>
    </w:rPr>
  </w:style>
  <w:style w:type="paragraph" w:customStyle="1" w:styleId="112">
    <w:name w:val="Знак Знак11"/>
    <w:basedOn w:val="Normal"/>
    <w:rsid w:val="0045493E"/>
    <w:pPr>
      <w:spacing w:line="240" w:lineRule="exact"/>
    </w:pPr>
    <w:rPr>
      <w:rFonts w:ascii="Arial" w:eastAsia="MS Mincho" w:hAnsi="Arial" w:cs="Arial"/>
      <w:sz w:val="20"/>
      <w:szCs w:val="20"/>
    </w:rPr>
  </w:style>
  <w:style w:type="paragraph" w:customStyle="1" w:styleId="CharCharCharCharChar10">
    <w:name w:val="Char Char Char Char Char Знак Знак1"/>
    <w:basedOn w:val="Normal"/>
    <w:rsid w:val="0045493E"/>
    <w:pPr>
      <w:spacing w:line="240" w:lineRule="exact"/>
    </w:pPr>
    <w:rPr>
      <w:rFonts w:ascii="Arial" w:eastAsia="Calibri" w:hAnsi="Arial" w:cs="Arial"/>
      <w:sz w:val="20"/>
      <w:szCs w:val="20"/>
    </w:rPr>
  </w:style>
  <w:style w:type="paragraph" w:customStyle="1" w:styleId="CharChar1CharCharChar1Char1">
    <w:name w:val="Char Char1 Char Char Char1 Char1"/>
    <w:basedOn w:val="Normal"/>
    <w:rsid w:val="0045493E"/>
    <w:rPr>
      <w:rFonts w:eastAsia="SimSun"/>
      <w:sz w:val="20"/>
      <w:szCs w:val="20"/>
      <w:lang w:eastAsia="ru-RU"/>
    </w:rPr>
  </w:style>
  <w:style w:type="paragraph" w:customStyle="1" w:styleId="41">
    <w:name w:val="Знак Знак41"/>
    <w:basedOn w:val="Normal"/>
    <w:rsid w:val="0045493E"/>
    <w:pPr>
      <w:tabs>
        <w:tab w:val="left" w:pos="709"/>
      </w:tabs>
    </w:pPr>
    <w:rPr>
      <w:rFonts w:ascii="Tahoma" w:eastAsia="Calibri" w:hAnsi="Tahoma"/>
      <w:lang w:val="pl-PL" w:eastAsia="pl-PL"/>
    </w:rPr>
  </w:style>
  <w:style w:type="paragraph" w:customStyle="1" w:styleId="Char13">
    <w:name w:val="Знак Char Знак1"/>
    <w:basedOn w:val="Normal"/>
    <w:rsid w:val="0045493E"/>
    <w:pPr>
      <w:spacing w:line="240" w:lineRule="exact"/>
    </w:pPr>
    <w:rPr>
      <w:rFonts w:ascii="Arial" w:eastAsia="Batang" w:hAnsi="Arial" w:cs="Arial"/>
      <w:sz w:val="20"/>
      <w:szCs w:val="20"/>
    </w:rPr>
  </w:style>
  <w:style w:type="paragraph" w:customStyle="1" w:styleId="CharCharCharCharCharChar1">
    <w:name w:val="Знак Знак Char Char Знак Знак Char Char Знак Знак Char Char1"/>
    <w:basedOn w:val="Normal"/>
    <w:rsid w:val="0045493E"/>
    <w:pPr>
      <w:spacing w:line="240" w:lineRule="exact"/>
    </w:pPr>
    <w:rPr>
      <w:rFonts w:eastAsia="Calibri"/>
      <w:sz w:val="28"/>
      <w:szCs w:val="20"/>
    </w:rPr>
  </w:style>
  <w:style w:type="paragraph" w:customStyle="1" w:styleId="212">
    <w:name w:val="Знак Знак21"/>
    <w:basedOn w:val="Normal"/>
    <w:rsid w:val="0045493E"/>
    <w:pPr>
      <w:spacing w:line="240" w:lineRule="exact"/>
    </w:pPr>
    <w:rPr>
      <w:rFonts w:ascii="Arial" w:eastAsia="Calibri" w:hAnsi="Arial" w:cs="Arial"/>
      <w:sz w:val="20"/>
      <w:szCs w:val="20"/>
    </w:rPr>
  </w:style>
  <w:style w:type="paragraph" w:customStyle="1" w:styleId="CharCharCharCharChar11">
    <w:name w:val="Char Char Char Char Char1"/>
    <w:basedOn w:val="Normal"/>
    <w:rsid w:val="0045493E"/>
    <w:pPr>
      <w:spacing w:line="240" w:lineRule="exact"/>
    </w:pPr>
    <w:rPr>
      <w:rFonts w:ascii="Arial" w:eastAsia="Calibri" w:hAnsi="Arial" w:cs="Arial"/>
      <w:sz w:val="20"/>
      <w:szCs w:val="20"/>
    </w:rPr>
  </w:style>
  <w:style w:type="paragraph" w:customStyle="1" w:styleId="CharCharCharCharChar12">
    <w:name w:val="Знак Char Char Знак Char Char Char1"/>
    <w:aliases w:val="Знак Char Char Знак Char Char1 Знак"/>
    <w:basedOn w:val="Normal"/>
    <w:next w:val="Normal"/>
    <w:semiHidden/>
    <w:rsid w:val="0045493E"/>
    <w:pPr>
      <w:spacing w:line="240" w:lineRule="exact"/>
    </w:pPr>
    <w:rPr>
      <w:rFonts w:ascii="Arial" w:eastAsia="Calibri" w:hAnsi="Arial" w:cs="Arial"/>
      <w:b/>
      <w:sz w:val="20"/>
      <w:szCs w:val="20"/>
      <w:lang w:val="en-GB"/>
    </w:rPr>
  </w:style>
  <w:style w:type="paragraph" w:customStyle="1" w:styleId="ListParagraph11">
    <w:name w:val="List Paragraph11"/>
    <w:basedOn w:val="Normal"/>
    <w:rsid w:val="0045493E"/>
    <w:pPr>
      <w:ind w:left="720" w:right="201" w:firstLine="900"/>
      <w:contextualSpacing/>
    </w:pPr>
    <w:rPr>
      <w:rFonts w:ascii="Times Armenian" w:eastAsia="Calibri" w:hAnsi="Times Armenian"/>
      <w:sz w:val="28"/>
      <w:szCs w:val="28"/>
      <w:lang w:val="hy-AM" w:eastAsia="ru-RU"/>
    </w:rPr>
  </w:style>
  <w:style w:type="paragraph" w:customStyle="1" w:styleId="CharCharCharCharCharChar2">
    <w:name w:val="Char Char Char Char Char Char2"/>
    <w:basedOn w:val="Normal"/>
    <w:rsid w:val="0045493E"/>
    <w:pPr>
      <w:spacing w:line="240" w:lineRule="exact"/>
    </w:pPr>
    <w:rPr>
      <w:rFonts w:ascii="Arial" w:eastAsia="Calibri" w:hAnsi="Arial" w:cs="Arial"/>
      <w:sz w:val="20"/>
      <w:szCs w:val="20"/>
    </w:rPr>
  </w:style>
  <w:style w:type="paragraph" w:customStyle="1" w:styleId="CharChar12">
    <w:name w:val="Char Char12"/>
    <w:basedOn w:val="Normal"/>
    <w:rsid w:val="0045493E"/>
    <w:pPr>
      <w:spacing w:line="240" w:lineRule="exact"/>
    </w:pPr>
    <w:rPr>
      <w:rFonts w:ascii="Arial" w:eastAsia="Calibri" w:hAnsi="Arial" w:cs="Arial"/>
      <w:sz w:val="20"/>
      <w:szCs w:val="20"/>
    </w:rPr>
  </w:style>
  <w:style w:type="paragraph" w:customStyle="1" w:styleId="34">
    <w:name w:val="Знак3"/>
    <w:basedOn w:val="Normal"/>
    <w:rsid w:val="0045493E"/>
    <w:pPr>
      <w:spacing w:line="240" w:lineRule="exact"/>
    </w:pPr>
    <w:rPr>
      <w:rFonts w:ascii="Arial" w:eastAsia="Calibri" w:hAnsi="Arial" w:cs="Arial"/>
      <w:sz w:val="20"/>
      <w:szCs w:val="20"/>
      <w:lang w:val="en-GB"/>
    </w:rPr>
  </w:style>
  <w:style w:type="paragraph" w:customStyle="1" w:styleId="BodyText11">
    <w:name w:val="Body Text11"/>
    <w:basedOn w:val="Normal"/>
    <w:rsid w:val="0045493E"/>
    <w:pPr>
      <w:tabs>
        <w:tab w:val="left" w:pos="0"/>
      </w:tabs>
      <w:spacing w:after="240"/>
    </w:pPr>
    <w:rPr>
      <w:rFonts w:ascii="Times Armenian" w:hAnsi="Times Armenian"/>
      <w:lang w:eastAsia="ru-RU"/>
    </w:rPr>
  </w:style>
  <w:style w:type="paragraph" w:styleId="Quote">
    <w:name w:val="Quote"/>
    <w:basedOn w:val="Normal"/>
    <w:next w:val="Normal"/>
    <w:link w:val="QuoteChar"/>
    <w:uiPriority w:val="29"/>
    <w:qFormat/>
    <w:rsid w:val="0045493E"/>
    <w:pPr>
      <w:spacing w:before="200" w:after="0"/>
      <w:ind w:left="360" w:right="360"/>
    </w:pPr>
    <w:rPr>
      <w:i/>
      <w:iCs/>
    </w:rPr>
  </w:style>
  <w:style w:type="character" w:customStyle="1" w:styleId="QuoteChar">
    <w:name w:val="Quote Char"/>
    <w:basedOn w:val="DefaultParagraphFont"/>
    <w:link w:val="Quote"/>
    <w:uiPriority w:val="29"/>
    <w:rsid w:val="0045493E"/>
    <w:rPr>
      <w:i/>
      <w:iCs/>
    </w:rPr>
  </w:style>
  <w:style w:type="character" w:customStyle="1" w:styleId="IntenseEmphasis1">
    <w:name w:val="Intense Emphasis1"/>
    <w:uiPriority w:val="21"/>
    <w:qFormat/>
    <w:rsid w:val="0045493E"/>
    <w:rPr>
      <w:b/>
      <w:bCs/>
    </w:rPr>
  </w:style>
  <w:style w:type="paragraph" w:customStyle="1" w:styleId="ListParagraph2">
    <w:name w:val="List Paragraph2"/>
    <w:basedOn w:val="Normal"/>
    <w:qFormat/>
    <w:rsid w:val="0045493E"/>
    <w:pPr>
      <w:ind w:left="720"/>
      <w:contextualSpacing/>
    </w:pPr>
    <w:rPr>
      <w:lang w:val="ru-RU" w:eastAsia="ru-RU"/>
    </w:rPr>
  </w:style>
  <w:style w:type="character" w:customStyle="1" w:styleId="A00">
    <w:name w:val="A0"/>
    <w:rsid w:val="0045493E"/>
    <w:rPr>
      <w:color w:val="000000"/>
      <w:sz w:val="56"/>
      <w:szCs w:val="56"/>
    </w:rPr>
  </w:style>
  <w:style w:type="paragraph" w:customStyle="1" w:styleId="1b">
    <w:name w:val="Знак1"/>
    <w:basedOn w:val="Normal"/>
    <w:rsid w:val="0045493E"/>
    <w:pPr>
      <w:spacing w:line="240" w:lineRule="exact"/>
    </w:pPr>
    <w:rPr>
      <w:rFonts w:ascii="Arial" w:hAnsi="Arial" w:cs="Arial"/>
      <w:sz w:val="20"/>
      <w:szCs w:val="20"/>
      <w:lang w:val="en-GB"/>
    </w:rPr>
  </w:style>
  <w:style w:type="character" w:customStyle="1" w:styleId="1c">
    <w:name w:val="Текст сноски Знак1"/>
    <w:semiHidden/>
    <w:rsid w:val="0045493E"/>
    <w:rPr>
      <w:sz w:val="20"/>
      <w:szCs w:val="20"/>
    </w:rPr>
  </w:style>
  <w:style w:type="character" w:customStyle="1" w:styleId="CharChar28">
    <w:name w:val="Char Char28"/>
    <w:rsid w:val="0045493E"/>
    <w:rPr>
      <w:rFonts w:ascii="Arial Armenian" w:hAnsi="Arial Armenian"/>
      <w:i/>
      <w:sz w:val="22"/>
      <w:u w:val="single"/>
      <w:lang w:val="en-GB"/>
    </w:rPr>
  </w:style>
  <w:style w:type="character" w:customStyle="1" w:styleId="CharChar27">
    <w:name w:val="Char Char27"/>
    <w:rsid w:val="0045493E"/>
    <w:rPr>
      <w:rFonts w:ascii="Garamond" w:hAnsi="Garamond"/>
      <w:i/>
      <w:spacing w:val="-5"/>
      <w:sz w:val="28"/>
      <w:shd w:val="pct5" w:color="auto" w:fill="auto"/>
      <w:lang w:val="en-GB"/>
    </w:rPr>
  </w:style>
  <w:style w:type="character" w:customStyle="1" w:styleId="CharChar26">
    <w:name w:val="Char Char26"/>
    <w:rsid w:val="0045493E"/>
    <w:rPr>
      <w:rFonts w:ascii="Arial Black" w:hAnsi="Arial Black"/>
      <w:caps/>
      <w:spacing w:val="60"/>
      <w:position w:val="4"/>
      <w:sz w:val="14"/>
      <w:lang w:val="en-GB"/>
    </w:rPr>
  </w:style>
  <w:style w:type="character" w:customStyle="1" w:styleId="CharChar25">
    <w:name w:val="Char Char25"/>
    <w:rsid w:val="0045493E"/>
    <w:rPr>
      <w:rFonts w:ascii="Garamond" w:hAnsi="Garamond"/>
      <w:b/>
      <w:i/>
      <w:kern w:val="28"/>
      <w:lang w:val="en-GB"/>
    </w:rPr>
  </w:style>
  <w:style w:type="character" w:customStyle="1" w:styleId="CharChar24">
    <w:name w:val="Char Char24"/>
    <w:rsid w:val="0045493E"/>
    <w:rPr>
      <w:rFonts w:ascii="Arial Armenian" w:hAnsi="Arial Armenian"/>
      <w:lang w:val="en-US" w:eastAsia="en-US" w:bidi="ar-SA"/>
    </w:rPr>
  </w:style>
  <w:style w:type="character" w:customStyle="1" w:styleId="CharChar23">
    <w:name w:val="Char Char23"/>
    <w:rsid w:val="0045493E"/>
    <w:rPr>
      <w:rFonts w:ascii="Arial Armenian" w:hAnsi="Arial Armenian"/>
      <w:lang w:val="en-GB" w:eastAsia="en-US" w:bidi="ar-SA"/>
    </w:rPr>
  </w:style>
  <w:style w:type="character" w:customStyle="1" w:styleId="CharChar22">
    <w:name w:val="Char Char22"/>
    <w:qFormat/>
    <w:rsid w:val="0045493E"/>
    <w:rPr>
      <w:rFonts w:ascii="Arial Armenian" w:hAnsi="Arial Armenian"/>
      <w:lang w:val="ru-RU" w:eastAsia="ru-RU" w:bidi="ar-SA"/>
    </w:rPr>
  </w:style>
  <w:style w:type="paragraph" w:customStyle="1" w:styleId="Outline">
    <w:name w:val="Outline"/>
    <w:basedOn w:val="Normal"/>
    <w:rsid w:val="0045493E"/>
    <w:pPr>
      <w:spacing w:before="240"/>
    </w:pPr>
    <w:rPr>
      <w:kern w:val="28"/>
      <w:szCs w:val="20"/>
    </w:rPr>
  </w:style>
  <w:style w:type="paragraph" w:customStyle="1" w:styleId="af">
    <w:name w:val="Îáû÷íûé"/>
    <w:rsid w:val="0045493E"/>
    <w:pPr>
      <w:spacing w:after="160" w:line="259" w:lineRule="auto"/>
    </w:pPr>
    <w:rPr>
      <w:rFonts w:ascii="Times Armenian" w:hAnsi="Times Armenian"/>
      <w:sz w:val="24"/>
      <w:szCs w:val="22"/>
    </w:rPr>
  </w:style>
  <w:style w:type="paragraph" w:customStyle="1" w:styleId="Style13">
    <w:name w:val="Style13"/>
    <w:basedOn w:val="Normal"/>
    <w:rsid w:val="0045493E"/>
    <w:pPr>
      <w:widowControl w:val="0"/>
      <w:autoSpaceDE w:val="0"/>
      <w:autoSpaceDN w:val="0"/>
      <w:adjustRightInd w:val="0"/>
    </w:pPr>
    <w:rPr>
      <w:rFonts w:ascii="Tahoma" w:eastAsia="SimSun" w:hAnsi="Tahoma" w:cs="Tahoma"/>
    </w:rPr>
  </w:style>
  <w:style w:type="character" w:customStyle="1" w:styleId="FontStyle27">
    <w:name w:val="Font Style27"/>
    <w:rsid w:val="0045493E"/>
    <w:rPr>
      <w:rFonts w:ascii="Tahoma" w:hAnsi="Tahoma" w:cs="Tahoma" w:hint="default"/>
      <w:sz w:val="14"/>
      <w:szCs w:val="14"/>
    </w:rPr>
  </w:style>
  <w:style w:type="paragraph" w:customStyle="1" w:styleId="Style14">
    <w:name w:val="Style14"/>
    <w:basedOn w:val="Normal"/>
    <w:rsid w:val="0045493E"/>
    <w:pPr>
      <w:widowControl w:val="0"/>
      <w:autoSpaceDE w:val="0"/>
      <w:autoSpaceDN w:val="0"/>
      <w:adjustRightInd w:val="0"/>
      <w:spacing w:line="211" w:lineRule="exact"/>
    </w:pPr>
    <w:rPr>
      <w:rFonts w:ascii="Tahoma" w:eastAsia="SimSun" w:hAnsi="Tahoma" w:cs="Tahoma"/>
    </w:rPr>
  </w:style>
  <w:style w:type="character" w:customStyle="1" w:styleId="FontStyle26">
    <w:name w:val="Font Style26"/>
    <w:rsid w:val="0045493E"/>
    <w:rPr>
      <w:rFonts w:ascii="Tahoma" w:hAnsi="Tahoma" w:cs="Tahoma" w:hint="default"/>
      <w:i/>
      <w:iCs/>
      <w:spacing w:val="10"/>
      <w:sz w:val="16"/>
      <w:szCs w:val="16"/>
    </w:rPr>
  </w:style>
  <w:style w:type="character" w:customStyle="1" w:styleId="FontStyle53">
    <w:name w:val="Font Style53"/>
    <w:rsid w:val="0045493E"/>
    <w:rPr>
      <w:rFonts w:ascii="Sylfaen" w:hAnsi="Sylfaen"/>
      <w:sz w:val="18"/>
    </w:rPr>
  </w:style>
  <w:style w:type="character" w:customStyle="1" w:styleId="shorttext">
    <w:name w:val="short_text"/>
    <w:rsid w:val="0045493E"/>
    <w:rPr>
      <w:rFonts w:cs="Times New Roman"/>
    </w:rPr>
  </w:style>
  <w:style w:type="table" w:customStyle="1" w:styleId="LightList-Accent11">
    <w:name w:val="Light List - Accent 11"/>
    <w:basedOn w:val="TableNormal"/>
    <w:uiPriority w:val="61"/>
    <w:rsid w:val="0045493E"/>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NoSpacing1">
    <w:name w:val="No Spacing1"/>
    <w:qFormat/>
    <w:rsid w:val="0045493E"/>
    <w:pPr>
      <w:spacing w:after="160" w:line="259" w:lineRule="auto"/>
    </w:pPr>
    <w:rPr>
      <w:sz w:val="22"/>
      <w:szCs w:val="22"/>
    </w:rPr>
  </w:style>
  <w:style w:type="paragraph" w:customStyle="1" w:styleId="26">
    <w:name w:val="Обычный2"/>
    <w:rsid w:val="0045493E"/>
    <w:pPr>
      <w:autoSpaceDE w:val="0"/>
      <w:autoSpaceDN w:val="0"/>
      <w:spacing w:after="160" w:line="259" w:lineRule="auto"/>
    </w:pPr>
    <w:rPr>
      <w:sz w:val="22"/>
      <w:szCs w:val="22"/>
      <w:lang w:val="ru-RU" w:eastAsia="ru-RU"/>
    </w:rPr>
  </w:style>
  <w:style w:type="paragraph" w:customStyle="1" w:styleId="Revision10">
    <w:name w:val="Revision1"/>
    <w:hidden/>
    <w:semiHidden/>
    <w:rsid w:val="0045493E"/>
    <w:pPr>
      <w:spacing w:after="160" w:line="259" w:lineRule="auto"/>
    </w:pPr>
    <w:rPr>
      <w:rFonts w:ascii="Arial Armenian" w:hAnsi="Arial Armenian" w:cs="Sylfaen"/>
      <w:sz w:val="24"/>
      <w:szCs w:val="24"/>
      <w:lang w:val="ru-RU" w:eastAsia="ru-RU"/>
    </w:rPr>
  </w:style>
  <w:style w:type="paragraph" w:customStyle="1" w:styleId="TOCHeading10">
    <w:name w:val="TOC Heading1"/>
    <w:basedOn w:val="Heading1"/>
    <w:next w:val="Normal"/>
    <w:qFormat/>
    <w:rsid w:val="0045493E"/>
    <w:pPr>
      <w:spacing w:before="480" w:after="0" w:line="276" w:lineRule="auto"/>
      <w:outlineLvl w:val="9"/>
    </w:pPr>
    <w:rPr>
      <w:rFonts w:ascii="Cambria" w:hAnsi="Cambria"/>
      <w:color w:val="365F91"/>
      <w:sz w:val="28"/>
    </w:rPr>
  </w:style>
  <w:style w:type="character" w:customStyle="1" w:styleId="NoSpacingChar1">
    <w:name w:val="No Spacing Char1"/>
    <w:rsid w:val="0045493E"/>
    <w:rPr>
      <w:rFonts w:ascii="Calibri" w:eastAsia="Times New Roman" w:hAnsi="Calibri" w:cs="Times New Roman"/>
      <w:lang w:val="en-US"/>
    </w:rPr>
  </w:style>
  <w:style w:type="paragraph" w:customStyle="1" w:styleId="Quote1">
    <w:name w:val="Quote1"/>
    <w:basedOn w:val="Normal"/>
    <w:next w:val="Normal"/>
    <w:qFormat/>
    <w:rsid w:val="0045493E"/>
    <w:rPr>
      <w:i/>
      <w:iCs/>
      <w:color w:val="000000"/>
    </w:rPr>
  </w:style>
  <w:style w:type="character" w:customStyle="1" w:styleId="IntenseEmphasis10">
    <w:name w:val="Intense Emphasis1"/>
    <w:qFormat/>
    <w:rsid w:val="0045493E"/>
    <w:rPr>
      <w:b/>
      <w:bCs/>
      <w:i/>
      <w:iCs/>
      <w:color w:val="4F81BD"/>
    </w:rPr>
  </w:style>
  <w:style w:type="table" w:customStyle="1" w:styleId="ColorfulGrid-Accent11">
    <w:name w:val="Colorful Grid - Accent 11"/>
    <w:basedOn w:val="TableNormal"/>
    <w:rsid w:val="0045493E"/>
    <w:rPr>
      <w:color w:val="000000"/>
      <w:lang w:eastAsia="ru-RU"/>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
    <w:name w:val="Light List - Accent 51"/>
    <w:basedOn w:val="TableNormal"/>
    <w:rsid w:val="0045493E"/>
    <w:rPr>
      <w:lang w:eastAsia="ru-RU"/>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Standard">
    <w:name w:val="Standard"/>
    <w:rsid w:val="0045493E"/>
    <w:pPr>
      <w:widowControl w:val="0"/>
      <w:suppressAutoHyphens/>
      <w:autoSpaceDN w:val="0"/>
      <w:spacing w:after="160" w:line="259" w:lineRule="auto"/>
      <w:textAlignment w:val="baseline"/>
    </w:pPr>
    <w:rPr>
      <w:kern w:val="3"/>
      <w:sz w:val="24"/>
      <w:szCs w:val="24"/>
    </w:rPr>
  </w:style>
  <w:style w:type="character" w:customStyle="1" w:styleId="PageNumber1">
    <w:name w:val="Page Number1"/>
    <w:rsid w:val="0045493E"/>
    <w:rPr>
      <w:rFonts w:cs="Times New Roman"/>
    </w:rPr>
  </w:style>
  <w:style w:type="character" w:customStyle="1" w:styleId="af0">
    <w:name w:val="Основной текст_"/>
    <w:rsid w:val="0045493E"/>
    <w:rPr>
      <w:rFonts w:ascii="Sylfaen" w:hAnsi="Sylfaen" w:cs="Sylfaen"/>
      <w:spacing w:val="20"/>
      <w:w w:val="80"/>
      <w:shd w:val="clear" w:color="auto" w:fill="FFFFFF"/>
    </w:rPr>
  </w:style>
  <w:style w:type="character" w:customStyle="1" w:styleId="27">
    <w:name w:val="Основной текст (2)_"/>
    <w:rsid w:val="0045493E"/>
    <w:rPr>
      <w:rFonts w:ascii="Sylfaen" w:hAnsi="Sylfaen" w:cs="Sylfaen"/>
      <w:i/>
      <w:iCs/>
      <w:shd w:val="clear" w:color="auto" w:fill="FFFFFF"/>
    </w:rPr>
  </w:style>
  <w:style w:type="character" w:customStyle="1" w:styleId="35">
    <w:name w:val="Основной текст (3)_"/>
    <w:rsid w:val="0045493E"/>
    <w:rPr>
      <w:rFonts w:ascii="Sylfaen" w:hAnsi="Sylfaen" w:cs="Sylfaen"/>
      <w:spacing w:val="20"/>
      <w:w w:val="80"/>
      <w:sz w:val="21"/>
      <w:szCs w:val="21"/>
      <w:shd w:val="clear" w:color="auto" w:fill="FFFFFF"/>
    </w:rPr>
  </w:style>
  <w:style w:type="character" w:customStyle="1" w:styleId="311pt">
    <w:name w:val="Основной текст (3) + 11 pt"/>
    <w:rsid w:val="0045493E"/>
    <w:rPr>
      <w:rFonts w:ascii="Sylfaen" w:hAnsi="Sylfaen" w:cs="Sylfaen"/>
      <w:i/>
      <w:iCs/>
      <w:spacing w:val="0"/>
      <w:w w:val="100"/>
      <w:sz w:val="22"/>
      <w:szCs w:val="22"/>
      <w:shd w:val="clear" w:color="auto" w:fill="FFFFFF"/>
    </w:rPr>
  </w:style>
  <w:style w:type="character" w:customStyle="1" w:styleId="311pt1">
    <w:name w:val="Основной текст (3) + 11 pt1"/>
    <w:rsid w:val="0045493E"/>
    <w:rPr>
      <w:rFonts w:ascii="Sylfaen" w:hAnsi="Sylfaen" w:cs="Sylfaen"/>
      <w:spacing w:val="0"/>
      <w:w w:val="100"/>
      <w:sz w:val="22"/>
      <w:szCs w:val="22"/>
      <w:shd w:val="clear" w:color="auto" w:fill="FFFFFF"/>
    </w:rPr>
  </w:style>
  <w:style w:type="character" w:customStyle="1" w:styleId="28">
    <w:name w:val="Основной текст2"/>
    <w:rsid w:val="0045493E"/>
  </w:style>
  <w:style w:type="character" w:customStyle="1" w:styleId="42">
    <w:name w:val="Основной текст (4)_"/>
    <w:rsid w:val="0045493E"/>
    <w:rPr>
      <w:rFonts w:ascii="Sylfaen" w:hAnsi="Sylfaen" w:cs="Sylfaen"/>
      <w:spacing w:val="20"/>
      <w:w w:val="80"/>
      <w:shd w:val="clear" w:color="auto" w:fill="FFFFFF"/>
    </w:rPr>
  </w:style>
  <w:style w:type="character" w:customStyle="1" w:styleId="4pt">
    <w:name w:val="Основной текст + 4 pt"/>
    <w:rsid w:val="0045493E"/>
    <w:rPr>
      <w:rFonts w:ascii="Sylfaen" w:hAnsi="Sylfaen" w:cs="Sylfaen"/>
      <w:i/>
      <w:iCs/>
      <w:spacing w:val="0"/>
      <w:w w:val="100"/>
      <w:sz w:val="8"/>
      <w:szCs w:val="8"/>
      <w:shd w:val="clear" w:color="auto" w:fill="FFFFFF"/>
    </w:rPr>
  </w:style>
  <w:style w:type="character" w:customStyle="1" w:styleId="1d">
    <w:name w:val="Заголовок №1_"/>
    <w:rsid w:val="0045493E"/>
    <w:rPr>
      <w:rFonts w:ascii="Sylfaen" w:hAnsi="Sylfaen" w:cs="Sylfaen"/>
      <w:i/>
      <w:iCs/>
      <w:spacing w:val="-30"/>
      <w:sz w:val="31"/>
      <w:szCs w:val="31"/>
      <w:shd w:val="clear" w:color="auto" w:fill="FFFFFF"/>
    </w:rPr>
  </w:style>
  <w:style w:type="character" w:customStyle="1" w:styleId="1110">
    <w:name w:val="Заголовок №1 + 11"/>
    <w:rsid w:val="0045493E"/>
    <w:rPr>
      <w:rFonts w:ascii="Sylfaen" w:hAnsi="Sylfaen" w:cs="Sylfaen"/>
      <w:i/>
      <w:iCs/>
      <w:spacing w:val="-20"/>
      <w:sz w:val="23"/>
      <w:szCs w:val="23"/>
      <w:shd w:val="clear" w:color="auto" w:fill="FFFFFF"/>
    </w:rPr>
  </w:style>
  <w:style w:type="character" w:customStyle="1" w:styleId="Sylfaen2">
    <w:name w:val="Основной текст + Sylfaen2"/>
    <w:rsid w:val="0045493E"/>
    <w:rPr>
      <w:rFonts w:ascii="Sylfaen" w:hAnsi="Sylfaen" w:cs="Sylfaen"/>
      <w:spacing w:val="20"/>
      <w:w w:val="80"/>
      <w:sz w:val="22"/>
      <w:szCs w:val="22"/>
      <w:u w:val="none"/>
      <w:shd w:val="clear" w:color="auto" w:fill="FFFFFF"/>
    </w:rPr>
  </w:style>
  <w:style w:type="character" w:customStyle="1" w:styleId="Sylfaen1">
    <w:name w:val="Основной текст + Sylfaen1"/>
    <w:rsid w:val="0045493E"/>
    <w:rPr>
      <w:rFonts w:ascii="Sylfaen" w:hAnsi="Sylfaen" w:cs="Sylfaen"/>
      <w:spacing w:val="20"/>
      <w:w w:val="80"/>
      <w:sz w:val="20"/>
      <w:szCs w:val="20"/>
      <w:u w:val="none"/>
      <w:shd w:val="clear" w:color="auto" w:fill="FFFFFF"/>
    </w:rPr>
  </w:style>
  <w:style w:type="character" w:customStyle="1" w:styleId="af1">
    <w:name w:val="Основной текст + Полужирный"/>
    <w:rsid w:val="0045493E"/>
    <w:rPr>
      <w:rFonts w:ascii="Sylfaen" w:hAnsi="Sylfaen" w:cs="Sylfaen"/>
      <w:b/>
      <w:bCs/>
      <w:spacing w:val="20"/>
      <w:w w:val="80"/>
      <w:sz w:val="21"/>
      <w:szCs w:val="21"/>
      <w:u w:val="none"/>
      <w:shd w:val="clear" w:color="auto" w:fill="FFFFFF"/>
    </w:rPr>
  </w:style>
  <w:style w:type="character" w:customStyle="1" w:styleId="ListLabel1">
    <w:name w:val="ListLabel 1"/>
    <w:rsid w:val="0045493E"/>
    <w:rPr>
      <w:rFonts w:eastAsia="Times New Roman"/>
      <w:color w:val="000000"/>
    </w:rPr>
  </w:style>
  <w:style w:type="character" w:customStyle="1" w:styleId="ListLabel2">
    <w:name w:val="ListLabel 2"/>
    <w:rsid w:val="0045493E"/>
  </w:style>
  <w:style w:type="character" w:customStyle="1" w:styleId="ListLabel3">
    <w:name w:val="ListLabel 3"/>
    <w:rsid w:val="0045493E"/>
  </w:style>
  <w:style w:type="character" w:customStyle="1" w:styleId="ListLabel4">
    <w:name w:val="ListLabel 4"/>
    <w:rsid w:val="0045493E"/>
  </w:style>
  <w:style w:type="character" w:customStyle="1" w:styleId="ListLabel5">
    <w:name w:val="ListLabel 5"/>
    <w:rsid w:val="0045493E"/>
    <w:rPr>
      <w:color w:val="auto"/>
    </w:rPr>
  </w:style>
  <w:style w:type="character" w:customStyle="1" w:styleId="ListLabel6">
    <w:name w:val="ListLabel 6"/>
    <w:rsid w:val="0045493E"/>
    <w:rPr>
      <w:b/>
      <w:i/>
    </w:rPr>
  </w:style>
  <w:style w:type="character" w:customStyle="1" w:styleId="ListLabel7">
    <w:name w:val="ListLabel 7"/>
    <w:rsid w:val="0045493E"/>
    <w:rPr>
      <w:sz w:val="24"/>
    </w:rPr>
  </w:style>
  <w:style w:type="character" w:customStyle="1" w:styleId="ListLabel8">
    <w:name w:val="ListLabel 8"/>
    <w:rsid w:val="0045493E"/>
    <w:rPr>
      <w:rFonts w:eastAsia="Times New Roman"/>
    </w:rPr>
  </w:style>
  <w:style w:type="paragraph" w:customStyle="1" w:styleId="Heading">
    <w:name w:val="Heading"/>
    <w:basedOn w:val="Normal"/>
    <w:next w:val="BodyText"/>
    <w:rsid w:val="0045493E"/>
    <w:pPr>
      <w:keepNext/>
      <w:suppressAutoHyphens/>
      <w:spacing w:before="240" w:after="120" w:line="276" w:lineRule="auto"/>
    </w:pPr>
    <w:rPr>
      <w:rFonts w:ascii="Liberation Sans" w:hAnsi="Liberation Sans" w:cs="Liberation Sans"/>
      <w:kern w:val="1"/>
      <w:sz w:val="28"/>
      <w:szCs w:val="28"/>
    </w:rPr>
  </w:style>
  <w:style w:type="paragraph" w:customStyle="1" w:styleId="Index">
    <w:name w:val="Index"/>
    <w:basedOn w:val="Normal"/>
    <w:rsid w:val="0045493E"/>
    <w:pPr>
      <w:suppressLineNumbers/>
      <w:suppressAutoHyphens/>
      <w:spacing w:after="200" w:line="276" w:lineRule="auto"/>
    </w:pPr>
    <w:rPr>
      <w:rFonts w:cs="Calibri"/>
      <w:kern w:val="1"/>
    </w:rPr>
  </w:style>
  <w:style w:type="paragraph" w:customStyle="1" w:styleId="af2">
    <w:name w:val="Стиль Знак"/>
    <w:basedOn w:val="Normal"/>
    <w:rsid w:val="0045493E"/>
    <w:pPr>
      <w:suppressAutoHyphens/>
      <w:spacing w:line="240" w:lineRule="exact"/>
    </w:pPr>
    <w:rPr>
      <w:rFonts w:ascii="Arial" w:hAnsi="Arial" w:cs="Arial"/>
      <w:kern w:val="1"/>
      <w:sz w:val="20"/>
      <w:szCs w:val="20"/>
    </w:rPr>
  </w:style>
  <w:style w:type="paragraph" w:customStyle="1" w:styleId="113">
    <w:name w:val="Без интервала11"/>
    <w:qFormat/>
    <w:rsid w:val="0045493E"/>
    <w:pPr>
      <w:suppressAutoHyphens/>
      <w:spacing w:after="160" w:line="259" w:lineRule="auto"/>
    </w:pPr>
    <w:rPr>
      <w:rFonts w:ascii="GHEA Grapalat" w:hAnsi="GHEA Grapalat" w:cs="GHEA Grapalat"/>
      <w:kern w:val="1"/>
      <w:sz w:val="22"/>
      <w:szCs w:val="22"/>
    </w:rPr>
  </w:style>
  <w:style w:type="paragraph" w:customStyle="1" w:styleId="Iacaaiea">
    <w:name w:val="Iacaaiea"/>
    <w:basedOn w:val="Normal"/>
    <w:rsid w:val="0045493E"/>
    <w:pPr>
      <w:widowControl w:val="0"/>
      <w:suppressAutoHyphens/>
      <w:jc w:val="center"/>
    </w:pPr>
    <w:rPr>
      <w:rFonts w:ascii="Times LatArm" w:hAnsi="Times LatArm" w:cs="Times LatArm"/>
      <w:kern w:val="1"/>
    </w:rPr>
  </w:style>
  <w:style w:type="paragraph" w:customStyle="1" w:styleId="1e">
    <w:name w:val="Основной текст1"/>
    <w:basedOn w:val="Normal"/>
    <w:rsid w:val="0045493E"/>
    <w:pPr>
      <w:suppressAutoHyphens/>
      <w:spacing w:after="200" w:line="276" w:lineRule="auto"/>
    </w:pPr>
    <w:rPr>
      <w:rFonts w:ascii="Sylfaen" w:hAnsi="Sylfaen" w:cs="Sylfaen"/>
      <w:spacing w:val="20"/>
      <w:w w:val="80"/>
      <w:kern w:val="1"/>
      <w:sz w:val="20"/>
      <w:szCs w:val="20"/>
      <w:shd w:val="clear" w:color="auto" w:fill="FFFFFF"/>
      <w:lang w:val="ru-RU" w:eastAsia="ru-RU"/>
    </w:rPr>
  </w:style>
  <w:style w:type="paragraph" w:customStyle="1" w:styleId="29">
    <w:name w:val="Основной текст (2)"/>
    <w:basedOn w:val="Normal"/>
    <w:rsid w:val="0045493E"/>
    <w:pPr>
      <w:suppressAutoHyphens/>
      <w:spacing w:after="200" w:line="276" w:lineRule="auto"/>
    </w:pPr>
    <w:rPr>
      <w:rFonts w:ascii="Sylfaen" w:hAnsi="Sylfaen" w:cs="Sylfaen"/>
      <w:i/>
      <w:iCs/>
      <w:kern w:val="1"/>
      <w:sz w:val="20"/>
      <w:szCs w:val="20"/>
      <w:shd w:val="clear" w:color="auto" w:fill="FFFFFF"/>
      <w:lang w:val="ru-RU" w:eastAsia="ru-RU"/>
    </w:rPr>
  </w:style>
  <w:style w:type="paragraph" w:customStyle="1" w:styleId="36">
    <w:name w:val="Основной текст (3)"/>
    <w:basedOn w:val="Normal"/>
    <w:rsid w:val="0045493E"/>
    <w:pPr>
      <w:suppressAutoHyphens/>
      <w:spacing w:after="200" w:line="276" w:lineRule="auto"/>
    </w:pPr>
    <w:rPr>
      <w:rFonts w:ascii="Sylfaen" w:hAnsi="Sylfaen" w:cs="Sylfaen"/>
      <w:spacing w:val="20"/>
      <w:w w:val="80"/>
      <w:kern w:val="1"/>
      <w:sz w:val="21"/>
      <w:szCs w:val="21"/>
      <w:shd w:val="clear" w:color="auto" w:fill="FFFFFF"/>
      <w:lang w:val="ru-RU" w:eastAsia="ru-RU"/>
    </w:rPr>
  </w:style>
  <w:style w:type="paragraph" w:customStyle="1" w:styleId="44">
    <w:name w:val="Основной текст (4)"/>
    <w:basedOn w:val="Normal"/>
    <w:rsid w:val="0045493E"/>
    <w:pPr>
      <w:suppressAutoHyphens/>
      <w:spacing w:after="200" w:line="276" w:lineRule="auto"/>
    </w:pPr>
    <w:rPr>
      <w:rFonts w:ascii="Sylfaen" w:hAnsi="Sylfaen" w:cs="Sylfaen"/>
      <w:spacing w:val="20"/>
      <w:w w:val="80"/>
      <w:kern w:val="1"/>
      <w:sz w:val="20"/>
      <w:szCs w:val="20"/>
      <w:shd w:val="clear" w:color="auto" w:fill="FFFFFF"/>
      <w:lang w:val="ru-RU" w:eastAsia="ru-RU"/>
    </w:rPr>
  </w:style>
  <w:style w:type="paragraph" w:customStyle="1" w:styleId="1f">
    <w:name w:val="Заголовок №1"/>
    <w:basedOn w:val="Normal"/>
    <w:rsid w:val="0045493E"/>
    <w:pPr>
      <w:suppressAutoHyphens/>
      <w:spacing w:after="200" w:line="276" w:lineRule="auto"/>
    </w:pPr>
    <w:rPr>
      <w:rFonts w:ascii="Sylfaen" w:hAnsi="Sylfaen" w:cs="Sylfaen"/>
      <w:i/>
      <w:iCs/>
      <w:spacing w:val="-30"/>
      <w:kern w:val="1"/>
      <w:sz w:val="31"/>
      <w:szCs w:val="31"/>
      <w:shd w:val="clear" w:color="auto" w:fill="FFFFFF"/>
      <w:lang w:val="ru-RU" w:eastAsia="ru-RU"/>
    </w:rPr>
  </w:style>
  <w:style w:type="paragraph" w:customStyle="1" w:styleId="CharCharCharCharChar13">
    <w:name w:val="Char Char Char Знак Знак Char Char Знак Знак1"/>
    <w:basedOn w:val="Normal"/>
    <w:rsid w:val="0045493E"/>
    <w:pPr>
      <w:suppressAutoHyphens/>
      <w:spacing w:line="240" w:lineRule="exact"/>
    </w:pPr>
    <w:rPr>
      <w:rFonts w:ascii="Arial" w:hAnsi="Arial" w:cs="Arial"/>
      <w:kern w:val="1"/>
      <w:sz w:val="20"/>
      <w:szCs w:val="20"/>
    </w:rPr>
  </w:style>
  <w:style w:type="paragraph" w:customStyle="1" w:styleId="FrameContents">
    <w:name w:val="Frame Contents"/>
    <w:basedOn w:val="Normal"/>
    <w:rsid w:val="0045493E"/>
    <w:pPr>
      <w:suppressAutoHyphens/>
      <w:spacing w:after="200" w:line="276" w:lineRule="auto"/>
    </w:pPr>
    <w:rPr>
      <w:rFonts w:cs="Calibri"/>
      <w:kern w:val="1"/>
    </w:rPr>
  </w:style>
  <w:style w:type="paragraph" w:customStyle="1" w:styleId="NoSpacing2">
    <w:name w:val="No Spacing2"/>
    <w:rsid w:val="0045493E"/>
    <w:pPr>
      <w:spacing w:after="160" w:line="259" w:lineRule="auto"/>
    </w:pPr>
    <w:rPr>
      <w:rFonts w:ascii="Arial Armenian" w:hAnsi="Arial Armenian" w:cs="Arial Armenian"/>
      <w:sz w:val="24"/>
      <w:szCs w:val="24"/>
      <w:lang w:val="ru-RU"/>
    </w:rPr>
  </w:style>
  <w:style w:type="character" w:customStyle="1" w:styleId="user-name">
    <w:name w:val="user-name"/>
    <w:rsid w:val="0045493E"/>
    <w:rPr>
      <w:rFonts w:cs="Times New Roman"/>
    </w:rPr>
  </w:style>
  <w:style w:type="paragraph" w:customStyle="1" w:styleId="ModelSingleNoIndent">
    <w:name w:val="ModelSingleNoIndent"/>
    <w:basedOn w:val="Normal"/>
    <w:rsid w:val="0045493E"/>
    <w:pPr>
      <w:spacing w:after="240"/>
    </w:pPr>
    <w:rPr>
      <w:szCs w:val="20"/>
    </w:rPr>
  </w:style>
  <w:style w:type="paragraph" w:customStyle="1" w:styleId="Char1CharCharCharCharCharCharCharCharCharCharCharChar2">
    <w:name w:val="Char1 Char Char Char Char Char Char Char Char Char Char Char Char2"/>
    <w:basedOn w:val="Normal"/>
    <w:rsid w:val="0045493E"/>
    <w:pPr>
      <w:spacing w:line="240" w:lineRule="exact"/>
    </w:pPr>
    <w:rPr>
      <w:rFonts w:ascii="Arial" w:hAnsi="Arial" w:cs="Arial"/>
      <w:sz w:val="20"/>
      <w:szCs w:val="20"/>
    </w:rPr>
  </w:style>
  <w:style w:type="paragraph" w:customStyle="1" w:styleId="ModelNrmlDouble">
    <w:name w:val="ModelNrmlDouble"/>
    <w:basedOn w:val="Normal"/>
    <w:rsid w:val="0045493E"/>
    <w:pPr>
      <w:overflowPunct w:val="0"/>
      <w:autoSpaceDE w:val="0"/>
      <w:autoSpaceDN w:val="0"/>
      <w:adjustRightInd w:val="0"/>
      <w:spacing w:after="360" w:line="480" w:lineRule="auto"/>
      <w:ind w:firstLine="720"/>
      <w:textAlignment w:val="baseline"/>
    </w:pPr>
    <w:rPr>
      <w:szCs w:val="20"/>
    </w:rPr>
  </w:style>
  <w:style w:type="paragraph" w:customStyle="1" w:styleId="subhead3">
    <w:name w:val="sub_head3"/>
    <w:basedOn w:val="Normal"/>
    <w:rsid w:val="0045493E"/>
    <w:pPr>
      <w:spacing w:after="120" w:line="360" w:lineRule="auto"/>
    </w:pPr>
    <w:rPr>
      <w:rFonts w:ascii="Times Armenian" w:hAnsi="Times Armenian"/>
      <w:i/>
      <w:u w:val="single"/>
      <w:lang w:eastAsia="ru-RU"/>
    </w:rPr>
  </w:style>
  <w:style w:type="paragraph" w:customStyle="1" w:styleId="StyleHeading2ParanumTextLeft">
    <w:name w:val="Style Heading 2ParanumText + Left"/>
    <w:basedOn w:val="Heading2"/>
    <w:rsid w:val="0045493E"/>
    <w:pPr>
      <w:tabs>
        <w:tab w:val="left" w:pos="360"/>
        <w:tab w:val="left" w:pos="1440"/>
      </w:tabs>
      <w:spacing w:before="120" w:after="120"/>
      <w:ind w:left="1440"/>
    </w:pPr>
    <w:rPr>
      <w:rFonts w:ascii="Times Armenian" w:hAnsi="Times Armenian"/>
      <w:b w:val="0"/>
      <w:bCs w:val="0"/>
      <w:kern w:val="28"/>
      <w:sz w:val="28"/>
      <w:szCs w:val="20"/>
      <w:lang w:val="en-GB"/>
    </w:rPr>
  </w:style>
  <w:style w:type="paragraph" w:customStyle="1" w:styleId="annexedhead">
    <w:name w:val="annexed head"/>
    <w:basedOn w:val="Heading2"/>
    <w:rsid w:val="0045493E"/>
    <w:pPr>
      <w:numPr>
        <w:ilvl w:val="1"/>
        <w:numId w:val="9"/>
      </w:numPr>
      <w:spacing w:before="120" w:after="120"/>
    </w:pPr>
    <w:rPr>
      <w:rFonts w:ascii="Times Armenian" w:hAnsi="Times Armenian"/>
      <w:b w:val="0"/>
      <w:kern w:val="28"/>
      <w:sz w:val="28"/>
      <w:szCs w:val="20"/>
      <w:lang w:val="en-GB"/>
    </w:rPr>
  </w:style>
  <w:style w:type="paragraph" w:customStyle="1" w:styleId="Tabletitle">
    <w:name w:val="Table_title"/>
    <w:basedOn w:val="Normal"/>
    <w:rsid w:val="0045493E"/>
    <w:pPr>
      <w:tabs>
        <w:tab w:val="left" w:pos="9626"/>
        <w:tab w:val="left" w:pos="10916"/>
        <w:tab w:val="left" w:pos="12206"/>
        <w:tab w:val="left" w:pos="13496"/>
      </w:tabs>
      <w:ind w:left="108"/>
    </w:pPr>
    <w:rPr>
      <w:rFonts w:ascii="Times Armenian" w:hAnsi="Times Armenian" w:cs="Arial"/>
      <w:b/>
      <w:bCs/>
      <w:lang w:eastAsia="ru-RU"/>
    </w:rPr>
  </w:style>
  <w:style w:type="paragraph" w:customStyle="1" w:styleId="StyleHeading3CenteredtextLinespacingsingle">
    <w:name w:val="Style Heading 3Centered(text) + Line spacing:  single"/>
    <w:basedOn w:val="Heading3"/>
    <w:rsid w:val="0045493E"/>
    <w:pPr>
      <w:numPr>
        <w:ilvl w:val="2"/>
        <w:numId w:val="9"/>
      </w:numPr>
      <w:spacing w:before="0"/>
    </w:pPr>
    <w:rPr>
      <w:rFonts w:ascii="Times Armenian" w:hAnsi="Times Armenian"/>
      <w:bCs/>
      <w:i/>
      <w:iCs/>
      <w:spacing w:val="-5"/>
      <w:lang w:val="en-GB"/>
    </w:rPr>
  </w:style>
  <w:style w:type="paragraph" w:customStyle="1" w:styleId="Titlefigure">
    <w:name w:val="Title_figure"/>
    <w:basedOn w:val="Caption"/>
    <w:next w:val="Normal"/>
    <w:rsid w:val="0045493E"/>
    <w:rPr>
      <w:rFonts w:ascii="Times Armenian" w:hAnsi="Times Armenian"/>
      <w:b/>
      <w:bCs/>
      <w:lang w:eastAsia="ru-RU"/>
    </w:rPr>
  </w:style>
  <w:style w:type="character" w:customStyle="1" w:styleId="CharChar152">
    <w:name w:val="Char Char152"/>
    <w:rsid w:val="0045493E"/>
    <w:rPr>
      <w:sz w:val="36"/>
      <w:lang w:val="en-GB" w:eastAsia="en-US" w:bidi="ar-SA"/>
    </w:rPr>
  </w:style>
  <w:style w:type="character" w:customStyle="1" w:styleId="CharChar13">
    <w:name w:val="Char Char13"/>
    <w:rsid w:val="0045493E"/>
    <w:rPr>
      <w:sz w:val="22"/>
      <w:lang w:val="en-GB" w:eastAsia="en-US" w:bidi="ar-SA"/>
    </w:rPr>
  </w:style>
  <w:style w:type="character" w:customStyle="1" w:styleId="CharChar123">
    <w:name w:val="Char Char123"/>
    <w:rsid w:val="0045493E"/>
    <w:rPr>
      <w:sz w:val="22"/>
      <w:lang w:val="en-GB" w:eastAsia="en-US" w:bidi="ar-SA"/>
    </w:rPr>
  </w:style>
  <w:style w:type="character" w:customStyle="1" w:styleId="CharChar102">
    <w:name w:val="Char Char102"/>
    <w:rsid w:val="0045493E"/>
    <w:rPr>
      <w:rFonts w:ascii="Times Armenian" w:hAnsi="Times Armenian"/>
      <w:color w:val="993300"/>
      <w:sz w:val="22"/>
      <w:szCs w:val="24"/>
      <w:lang w:val="hy-AM" w:eastAsia="en-US" w:bidi="ar-SA"/>
    </w:rPr>
  </w:style>
  <w:style w:type="character" w:customStyle="1" w:styleId="CharChar9">
    <w:name w:val="Char Char9"/>
    <w:rsid w:val="0045493E"/>
    <w:rPr>
      <w:rFonts w:ascii="Times Armenian" w:hAnsi="Times Armenian"/>
      <w:b/>
      <w:i/>
      <w:sz w:val="24"/>
      <w:u w:val="single"/>
      <w:lang w:val="hy-AM" w:eastAsia="en-US" w:bidi="ar-SA"/>
    </w:rPr>
  </w:style>
  <w:style w:type="character" w:customStyle="1" w:styleId="BodyTextIndentChar2">
    <w:name w:val="Body Text Indent Char2"/>
    <w:aliases w:val="(Table Source)1 Char1"/>
    <w:locked/>
    <w:rsid w:val="0045493E"/>
    <w:rPr>
      <w:rFonts w:ascii="Times New Roman" w:hAnsi="Times New Roman" w:cs="Times New Roman"/>
      <w:sz w:val="20"/>
      <w:szCs w:val="20"/>
      <w:lang w:val="en-GB"/>
    </w:rPr>
  </w:style>
  <w:style w:type="character" w:customStyle="1" w:styleId="CharChar132">
    <w:name w:val="Char Char132"/>
    <w:rsid w:val="0045493E"/>
    <w:rPr>
      <w:sz w:val="22"/>
      <w:lang w:val="en-GB" w:eastAsia="en-US"/>
    </w:rPr>
  </w:style>
  <w:style w:type="character" w:customStyle="1" w:styleId="CharChar92">
    <w:name w:val="Char Char92"/>
    <w:rsid w:val="0045493E"/>
    <w:rPr>
      <w:rFonts w:ascii="Times Armenian" w:hAnsi="Times Armenian"/>
      <w:b/>
      <w:i/>
      <w:sz w:val="24"/>
      <w:u w:val="single"/>
      <w:lang w:val="hy-AM" w:eastAsia="en-US"/>
    </w:rPr>
  </w:style>
  <w:style w:type="paragraph" w:customStyle="1" w:styleId="font11">
    <w:name w:val="font11"/>
    <w:basedOn w:val="Normal"/>
    <w:rsid w:val="0045493E"/>
    <w:pPr>
      <w:spacing w:before="100" w:after="100"/>
    </w:pPr>
    <w:rPr>
      <w:rFonts w:eastAsia="SimSun"/>
      <w:color w:val="000000"/>
      <w:sz w:val="16"/>
      <w:szCs w:val="16"/>
    </w:rPr>
  </w:style>
  <w:style w:type="paragraph" w:customStyle="1" w:styleId="font12">
    <w:name w:val="font12"/>
    <w:basedOn w:val="Normal"/>
    <w:rsid w:val="0045493E"/>
    <w:pPr>
      <w:spacing w:before="100" w:after="100"/>
    </w:pPr>
    <w:rPr>
      <w:rFonts w:eastAsia="SimSun"/>
      <w:color w:val="000000"/>
      <w:sz w:val="16"/>
      <w:szCs w:val="16"/>
    </w:rPr>
  </w:style>
  <w:style w:type="paragraph" w:customStyle="1" w:styleId="font13">
    <w:name w:val="font13"/>
    <w:basedOn w:val="Normal"/>
    <w:rsid w:val="0045493E"/>
    <w:pPr>
      <w:spacing w:before="100" w:after="100"/>
    </w:pPr>
    <w:rPr>
      <w:rFonts w:eastAsia="SimSun"/>
      <w:b/>
      <w:bCs/>
      <w:color w:val="000000"/>
      <w:sz w:val="16"/>
      <w:szCs w:val="16"/>
    </w:rPr>
  </w:style>
  <w:style w:type="paragraph" w:customStyle="1" w:styleId="font14">
    <w:name w:val="font14"/>
    <w:basedOn w:val="Normal"/>
    <w:rsid w:val="0045493E"/>
    <w:pPr>
      <w:spacing w:before="100" w:after="100"/>
    </w:pPr>
    <w:rPr>
      <w:rFonts w:eastAsia="SimSun"/>
      <w:i/>
      <w:iCs/>
      <w:sz w:val="20"/>
      <w:szCs w:val="20"/>
    </w:rPr>
  </w:style>
  <w:style w:type="paragraph" w:customStyle="1" w:styleId="font15">
    <w:name w:val="font15"/>
    <w:basedOn w:val="Normal"/>
    <w:rsid w:val="0045493E"/>
    <w:pPr>
      <w:spacing w:before="100" w:after="100"/>
    </w:pPr>
    <w:rPr>
      <w:rFonts w:eastAsia="SimSun"/>
      <w:i/>
      <w:iCs/>
      <w:sz w:val="28"/>
      <w:szCs w:val="28"/>
    </w:rPr>
  </w:style>
  <w:style w:type="character" w:customStyle="1" w:styleId="Heading2Char2">
    <w:name w:val="Heading 2 Char2"/>
    <w:aliases w:val="Paranum Char2,(Chapter) Char2,(Chapter) Char Char"/>
    <w:locked/>
    <w:rsid w:val="0045493E"/>
    <w:rPr>
      <w:rFonts w:ascii="Cambria" w:hAnsi="Cambria" w:cs="Times New Roman"/>
      <w:b/>
      <w:color w:val="4F81BD"/>
      <w:sz w:val="26"/>
    </w:rPr>
  </w:style>
  <w:style w:type="character" w:customStyle="1" w:styleId="BodyTextChar3">
    <w:name w:val="Body Text Char3"/>
    <w:aliases w:val="(Main Text) Char3,date Char3,Body Text (Main text) Char3,Body Text (Main text) Char Char"/>
    <w:semiHidden/>
    <w:locked/>
    <w:rsid w:val="0045493E"/>
    <w:rPr>
      <w:rFonts w:ascii="Times New Roman" w:hAnsi="Times New Roman" w:cs="Times New Roman"/>
      <w:sz w:val="24"/>
      <w:szCs w:val="24"/>
    </w:rPr>
  </w:style>
  <w:style w:type="character" w:customStyle="1" w:styleId="BodyTextChar2">
    <w:name w:val="Body Text Char2"/>
    <w:aliases w:val="(Main Text) Char2,date Char2,Body Text (Main text) Char2"/>
    <w:locked/>
    <w:rsid w:val="0045493E"/>
    <w:rPr>
      <w:rFonts w:ascii="Times New Roman" w:hAnsi="Times New Roman" w:cs="Times New Roman"/>
      <w:sz w:val="24"/>
    </w:rPr>
  </w:style>
  <w:style w:type="character" w:customStyle="1" w:styleId="fsl">
    <w:name w:val="fsl"/>
    <w:rsid w:val="0045493E"/>
  </w:style>
  <w:style w:type="paragraph" w:styleId="IntenseQuote">
    <w:name w:val="Intense Quote"/>
    <w:basedOn w:val="Normal"/>
    <w:next w:val="Normal"/>
    <w:link w:val="IntenseQuoteChar"/>
    <w:qFormat/>
    <w:rsid w:val="0045493E"/>
    <w:pPr>
      <w:pBdr>
        <w:bottom w:val="single" w:sz="4" w:space="1" w:color="auto"/>
      </w:pBdr>
      <w:spacing w:before="200" w:after="280"/>
      <w:ind w:left="1008" w:right="1152"/>
    </w:pPr>
    <w:rPr>
      <w:b/>
      <w:bCs/>
      <w:i/>
      <w:iCs/>
    </w:rPr>
  </w:style>
  <w:style w:type="character" w:customStyle="1" w:styleId="IntenseQuoteChar">
    <w:name w:val="Intense Quote Char"/>
    <w:basedOn w:val="DefaultParagraphFont"/>
    <w:link w:val="IntenseQuote"/>
    <w:rsid w:val="0045493E"/>
    <w:rPr>
      <w:b/>
      <w:bCs/>
      <w:i/>
      <w:iCs/>
    </w:rPr>
  </w:style>
  <w:style w:type="character" w:customStyle="1" w:styleId="SubtleEmphasis1">
    <w:name w:val="Subtle Emphasis1"/>
    <w:qFormat/>
    <w:rsid w:val="0045493E"/>
    <w:rPr>
      <w:i/>
      <w:iCs/>
    </w:rPr>
  </w:style>
  <w:style w:type="character" w:customStyle="1" w:styleId="SubtleReference1">
    <w:name w:val="Subtle Reference1"/>
    <w:qFormat/>
    <w:rsid w:val="0045493E"/>
    <w:rPr>
      <w:smallCaps/>
    </w:rPr>
  </w:style>
  <w:style w:type="character" w:customStyle="1" w:styleId="IntenseReference1">
    <w:name w:val="Intense Reference1"/>
    <w:qFormat/>
    <w:rsid w:val="0045493E"/>
    <w:rPr>
      <w:smallCaps/>
      <w:spacing w:val="5"/>
      <w:u w:val="single"/>
    </w:rPr>
  </w:style>
  <w:style w:type="character" w:customStyle="1" w:styleId="BookTitle1">
    <w:name w:val="Book Title1"/>
    <w:qFormat/>
    <w:rsid w:val="0045493E"/>
    <w:rPr>
      <w:i/>
      <w:iCs/>
      <w:smallCaps/>
      <w:spacing w:val="5"/>
    </w:rPr>
  </w:style>
  <w:style w:type="paragraph" w:customStyle="1" w:styleId="ColorfulList-Accent11">
    <w:name w:val="Colorful List - Accent 11"/>
    <w:basedOn w:val="Normal"/>
    <w:qFormat/>
    <w:rsid w:val="0045493E"/>
    <w:pPr>
      <w:spacing w:after="200" w:line="276" w:lineRule="auto"/>
      <w:ind w:left="720"/>
      <w:contextualSpacing/>
    </w:pPr>
    <w:rPr>
      <w:rFonts w:eastAsia="Calibri"/>
      <w:lang w:val="ru-RU"/>
    </w:rPr>
  </w:style>
  <w:style w:type="character" w:customStyle="1" w:styleId="spellingerror">
    <w:name w:val="spellingerror"/>
    <w:rsid w:val="0045493E"/>
  </w:style>
  <w:style w:type="character" w:customStyle="1" w:styleId="CharChar31">
    <w:name w:val="Char Char31"/>
    <w:locked/>
    <w:rsid w:val="0045493E"/>
    <w:rPr>
      <w:sz w:val="22"/>
      <w:lang w:val="en-GB" w:eastAsia="en-US"/>
    </w:rPr>
  </w:style>
  <w:style w:type="character" w:customStyle="1" w:styleId="CharChar213">
    <w:name w:val="Char Char213"/>
    <w:locked/>
    <w:rsid w:val="0045493E"/>
    <w:rPr>
      <w:sz w:val="22"/>
      <w:lang w:val="en-GB" w:eastAsia="en-US"/>
    </w:rPr>
  </w:style>
  <w:style w:type="character" w:customStyle="1" w:styleId="red-block">
    <w:name w:val="red-block"/>
    <w:rsid w:val="0045493E"/>
    <w:rPr>
      <w:rFonts w:cs="Times New Roman"/>
    </w:rPr>
  </w:style>
  <w:style w:type="character" w:customStyle="1" w:styleId="accent">
    <w:name w:val="accent"/>
    <w:rsid w:val="0045493E"/>
    <w:rPr>
      <w:rFonts w:cs="Times New Roman"/>
    </w:rPr>
  </w:style>
  <w:style w:type="character" w:customStyle="1" w:styleId="CharChar222">
    <w:name w:val="Char Char222"/>
    <w:rsid w:val="0045493E"/>
    <w:rPr>
      <w:rFonts w:cs="Times New Roman"/>
      <w:lang w:val="ru-RU" w:eastAsia="ru-RU" w:bidi="ar-SA"/>
    </w:rPr>
  </w:style>
  <w:style w:type="character" w:customStyle="1" w:styleId="FontStyle37">
    <w:name w:val="Font Style37"/>
    <w:rsid w:val="0045493E"/>
    <w:rPr>
      <w:rFonts w:ascii="Sylfaen" w:hAnsi="Sylfaen"/>
      <w:sz w:val="22"/>
    </w:rPr>
  </w:style>
  <w:style w:type="character" w:customStyle="1" w:styleId="CharChar161">
    <w:name w:val="Char Char161"/>
    <w:locked/>
    <w:rsid w:val="0045493E"/>
    <w:rPr>
      <w:rFonts w:ascii="Cambria" w:hAnsi="Cambria"/>
      <w:b/>
      <w:kern w:val="32"/>
      <w:sz w:val="32"/>
      <w:lang w:val="fr-FR" w:eastAsia="en-US"/>
    </w:rPr>
  </w:style>
  <w:style w:type="paragraph" w:customStyle="1" w:styleId="StyleHeading3Sub-ChapterCenteredtextHeading3CharCharC1">
    <w:name w:val="Style Heading 3(Sub-Chapter)Centered(text)Heading 3 Char Char C...1"/>
    <w:basedOn w:val="Heading3"/>
    <w:rsid w:val="0045493E"/>
    <w:rPr>
      <w:u w:val="single"/>
    </w:rPr>
  </w:style>
  <w:style w:type="paragraph" w:customStyle="1" w:styleId="1MTEF">
    <w:name w:val="1. MTEF"/>
    <w:basedOn w:val="StyleStyleHeading1SectionSectionHeadingText11Chapterhead31"/>
    <w:rsid w:val="0045493E"/>
    <w:rPr>
      <w:b w:val="0"/>
      <w:bCs/>
    </w:rPr>
  </w:style>
  <w:style w:type="character" w:customStyle="1" w:styleId="CharChar182">
    <w:name w:val="Char Char182"/>
    <w:rsid w:val="0045493E"/>
    <w:rPr>
      <w:rFonts w:ascii="Arial Armenian" w:eastAsia="Times New Roman" w:hAnsi="Arial Armenian"/>
      <w:i/>
      <w:sz w:val="22"/>
      <w:u w:val="single"/>
      <w:lang w:val="en-GB"/>
    </w:rPr>
  </w:style>
  <w:style w:type="character" w:customStyle="1" w:styleId="CharChar192">
    <w:name w:val="Char Char192"/>
    <w:rsid w:val="0045493E"/>
    <w:rPr>
      <w:b/>
      <w:sz w:val="32"/>
      <w:lang w:val="en-GB" w:eastAsia="en-US" w:bidi="ar-SA"/>
    </w:rPr>
  </w:style>
  <w:style w:type="character" w:customStyle="1" w:styleId="CharChar202">
    <w:name w:val="Char Char202"/>
    <w:rsid w:val="0045493E"/>
    <w:rPr>
      <w:rFonts w:ascii="Garamond" w:hAnsi="Garamond"/>
      <w:i/>
      <w:spacing w:val="-5"/>
      <w:sz w:val="28"/>
      <w:lang w:val="en-GB" w:eastAsia="en-US" w:bidi="ar-SA"/>
    </w:rPr>
  </w:style>
  <w:style w:type="character" w:customStyle="1" w:styleId="CharChar172">
    <w:name w:val="Char Char172"/>
    <w:rsid w:val="0045493E"/>
    <w:rPr>
      <w:rFonts w:ascii="Arial Armenian" w:hAnsi="Arial Armenian"/>
      <w:i/>
      <w:sz w:val="22"/>
      <w:u w:val="single"/>
      <w:lang w:val="en-GB" w:eastAsia="en-US" w:bidi="ar-SA"/>
    </w:rPr>
  </w:style>
  <w:style w:type="character" w:customStyle="1" w:styleId="CharChar282">
    <w:name w:val="Char Char282"/>
    <w:rsid w:val="0045493E"/>
    <w:rPr>
      <w:rFonts w:ascii="Arial Armenian" w:hAnsi="Arial Armenian"/>
      <w:i/>
      <w:sz w:val="22"/>
      <w:u w:val="single"/>
      <w:lang w:val="en-GB"/>
    </w:rPr>
  </w:style>
  <w:style w:type="character" w:customStyle="1" w:styleId="CharChar272">
    <w:name w:val="Char Char272"/>
    <w:rsid w:val="0045493E"/>
    <w:rPr>
      <w:rFonts w:ascii="Garamond" w:hAnsi="Garamond"/>
      <w:i/>
      <w:spacing w:val="-5"/>
      <w:sz w:val="28"/>
      <w:shd w:val="pct5" w:color="auto" w:fill="auto"/>
      <w:lang w:val="en-GB"/>
    </w:rPr>
  </w:style>
  <w:style w:type="character" w:customStyle="1" w:styleId="CharChar262">
    <w:name w:val="Char Char262"/>
    <w:rsid w:val="0045493E"/>
    <w:rPr>
      <w:rFonts w:ascii="Arial Black" w:hAnsi="Arial Black"/>
      <w:caps/>
      <w:spacing w:val="60"/>
      <w:position w:val="4"/>
      <w:sz w:val="14"/>
      <w:lang w:val="en-GB"/>
    </w:rPr>
  </w:style>
  <w:style w:type="character" w:customStyle="1" w:styleId="CharChar252">
    <w:name w:val="Char Char252"/>
    <w:rsid w:val="0045493E"/>
    <w:rPr>
      <w:rFonts w:ascii="Garamond" w:hAnsi="Garamond"/>
      <w:b/>
      <w:i/>
      <w:kern w:val="28"/>
      <w:lang w:val="en-GB"/>
    </w:rPr>
  </w:style>
  <w:style w:type="character" w:customStyle="1" w:styleId="CharChar242">
    <w:name w:val="Char Char242"/>
    <w:rsid w:val="0045493E"/>
    <w:rPr>
      <w:rFonts w:ascii="Arial Armenian" w:hAnsi="Arial Armenian"/>
      <w:lang w:val="en-US" w:eastAsia="en-US" w:bidi="ar-SA"/>
    </w:rPr>
  </w:style>
  <w:style w:type="character" w:customStyle="1" w:styleId="CharChar232">
    <w:name w:val="Char Char232"/>
    <w:rsid w:val="0045493E"/>
    <w:rPr>
      <w:rFonts w:ascii="Arial Armenian" w:hAnsi="Arial Armenian"/>
      <w:lang w:val="en-GB" w:eastAsia="en-US" w:bidi="ar-SA"/>
    </w:rPr>
  </w:style>
  <w:style w:type="character" w:customStyle="1" w:styleId="CharChar35">
    <w:name w:val="Char Char35"/>
    <w:rsid w:val="0045493E"/>
    <w:rPr>
      <w:rFonts w:ascii="Arial Armenian" w:hAnsi="Arial Armenian"/>
      <w:i/>
      <w:sz w:val="22"/>
      <w:u w:val="single"/>
      <w:lang w:val="en-GB"/>
    </w:rPr>
  </w:style>
  <w:style w:type="character" w:customStyle="1" w:styleId="CharChar34">
    <w:name w:val="Char Char34"/>
    <w:rsid w:val="0045493E"/>
    <w:rPr>
      <w:rFonts w:ascii="Garamond" w:hAnsi="Garamond"/>
      <w:i/>
      <w:spacing w:val="-5"/>
      <w:sz w:val="28"/>
      <w:shd w:val="pct5" w:color="auto" w:fill="auto"/>
      <w:lang w:val="en-GB"/>
    </w:rPr>
  </w:style>
  <w:style w:type="character" w:customStyle="1" w:styleId="CharChar33">
    <w:name w:val="Char Char33"/>
    <w:rsid w:val="0045493E"/>
    <w:rPr>
      <w:rFonts w:ascii="Arial Black" w:hAnsi="Arial Black"/>
      <w:caps/>
      <w:spacing w:val="60"/>
      <w:position w:val="4"/>
      <w:sz w:val="14"/>
      <w:lang w:val="en-GB"/>
    </w:rPr>
  </w:style>
  <w:style w:type="character" w:customStyle="1" w:styleId="CharChar32">
    <w:name w:val="Char Char32"/>
    <w:rsid w:val="0045493E"/>
    <w:rPr>
      <w:rFonts w:ascii="Garamond" w:hAnsi="Garamond"/>
      <w:b/>
      <w:i/>
      <w:kern w:val="28"/>
      <w:lang w:val="en-GB"/>
    </w:rPr>
  </w:style>
  <w:style w:type="character" w:customStyle="1" w:styleId="CharChar312">
    <w:name w:val="Char Char312"/>
    <w:rsid w:val="0045493E"/>
    <w:rPr>
      <w:rFonts w:ascii="Arial Armenian" w:hAnsi="Arial Armenian"/>
      <w:lang w:val="en-US" w:eastAsia="en-US" w:bidi="ar-SA"/>
    </w:rPr>
  </w:style>
  <w:style w:type="character" w:customStyle="1" w:styleId="CharChar30">
    <w:name w:val="Char Char30"/>
    <w:rsid w:val="0045493E"/>
    <w:rPr>
      <w:rFonts w:ascii="Arial Armenian" w:hAnsi="Arial Armenian"/>
      <w:lang w:val="en-GB" w:eastAsia="en-US" w:bidi="ar-SA"/>
    </w:rPr>
  </w:style>
  <w:style w:type="character" w:customStyle="1" w:styleId="CharChar29">
    <w:name w:val="Char Char29"/>
    <w:rsid w:val="0045493E"/>
    <w:rPr>
      <w:rFonts w:ascii="Arial Armenian" w:hAnsi="Arial Armenian"/>
      <w:lang w:val="ru-RU" w:eastAsia="ru-RU" w:bidi="ar-SA"/>
    </w:rPr>
  </w:style>
  <w:style w:type="paragraph" w:customStyle="1" w:styleId="CharChar5CharCharCharCharCharChar">
    <w:name w:val="Char Char5 Char Char Char Char Char Char"/>
    <w:basedOn w:val="Normal"/>
    <w:rsid w:val="0045493E"/>
    <w:pPr>
      <w:tabs>
        <w:tab w:val="left" w:pos="709"/>
      </w:tabs>
    </w:pPr>
    <w:rPr>
      <w:rFonts w:ascii="Tahoma" w:hAnsi="Tahoma"/>
      <w:lang w:val="pl-PL" w:eastAsia="pl-PL"/>
    </w:rPr>
  </w:style>
  <w:style w:type="paragraph" w:customStyle="1" w:styleId="CharChar5CharCharCharChar">
    <w:name w:val="Char Char5 Char Char Char Char"/>
    <w:basedOn w:val="Normal"/>
    <w:rsid w:val="0045493E"/>
    <w:pPr>
      <w:tabs>
        <w:tab w:val="left" w:pos="709"/>
      </w:tabs>
    </w:pPr>
    <w:rPr>
      <w:rFonts w:ascii="Tahoma" w:hAnsi="Tahoma"/>
      <w:lang w:val="pl-PL" w:eastAsia="pl-PL"/>
    </w:rPr>
  </w:style>
  <w:style w:type="paragraph" w:customStyle="1" w:styleId="CharChar5CharChar">
    <w:name w:val="Char Char5 Char Char"/>
    <w:basedOn w:val="Normal"/>
    <w:rsid w:val="0045493E"/>
    <w:pPr>
      <w:tabs>
        <w:tab w:val="left" w:pos="709"/>
      </w:tabs>
    </w:pPr>
    <w:rPr>
      <w:rFonts w:ascii="Tahoma" w:hAnsi="Tahoma"/>
      <w:lang w:val="pl-PL" w:eastAsia="pl-PL"/>
    </w:rPr>
  </w:style>
  <w:style w:type="character" w:customStyle="1" w:styleId="tocnumber">
    <w:name w:val="tocnumber"/>
    <w:rsid w:val="0045493E"/>
  </w:style>
  <w:style w:type="character" w:customStyle="1" w:styleId="toctext">
    <w:name w:val="toctext"/>
    <w:rsid w:val="0045493E"/>
  </w:style>
  <w:style w:type="character" w:customStyle="1" w:styleId="mw-editsection">
    <w:name w:val="mw-editsection"/>
    <w:rsid w:val="0045493E"/>
  </w:style>
  <w:style w:type="character" w:customStyle="1" w:styleId="mw-editsection-bracket">
    <w:name w:val="mw-editsection-bracket"/>
    <w:rsid w:val="0045493E"/>
  </w:style>
  <w:style w:type="character" w:customStyle="1" w:styleId="mw-editsection-divider">
    <w:name w:val="mw-editsection-divider"/>
    <w:rsid w:val="0045493E"/>
  </w:style>
  <w:style w:type="character" w:customStyle="1" w:styleId="reference-text">
    <w:name w:val="reference-text"/>
    <w:rsid w:val="0045493E"/>
  </w:style>
  <w:style w:type="paragraph" w:customStyle="1" w:styleId="z-TopofForm1">
    <w:name w:val="z-Top of Form1"/>
    <w:basedOn w:val="Normal"/>
    <w:next w:val="Normal"/>
    <w:link w:val="z-"/>
    <w:uiPriority w:val="99"/>
    <w:unhideWhenUsed/>
    <w:rsid w:val="0045493E"/>
    <w:pPr>
      <w:pBdr>
        <w:bottom w:val="single" w:sz="6" w:space="1" w:color="auto"/>
      </w:pBdr>
      <w:jc w:val="center"/>
    </w:pPr>
    <w:rPr>
      <w:rFonts w:ascii="Arial" w:hAnsi="Arial"/>
      <w:vanish/>
      <w:sz w:val="16"/>
      <w:szCs w:val="16"/>
    </w:rPr>
  </w:style>
  <w:style w:type="character" w:customStyle="1" w:styleId="z-">
    <w:name w:val="z-Начало формы Знак"/>
    <w:link w:val="z-TopofForm1"/>
    <w:uiPriority w:val="99"/>
    <w:rsid w:val="0045493E"/>
    <w:rPr>
      <w:rFonts w:ascii="Arial" w:hAnsi="Arial" w:cs="Arial"/>
      <w:vanish/>
      <w:sz w:val="16"/>
      <w:szCs w:val="16"/>
    </w:rPr>
  </w:style>
  <w:style w:type="paragraph" w:customStyle="1" w:styleId="z-BottomofForm1">
    <w:name w:val="z-Bottom of Form1"/>
    <w:basedOn w:val="Normal"/>
    <w:next w:val="Normal"/>
    <w:link w:val="z-0"/>
    <w:uiPriority w:val="99"/>
    <w:unhideWhenUsed/>
    <w:rsid w:val="0045493E"/>
    <w:pPr>
      <w:pBdr>
        <w:top w:val="single" w:sz="6" w:space="1" w:color="auto"/>
      </w:pBdr>
      <w:jc w:val="center"/>
    </w:pPr>
    <w:rPr>
      <w:rFonts w:ascii="Arial" w:hAnsi="Arial"/>
      <w:vanish/>
      <w:sz w:val="16"/>
      <w:szCs w:val="16"/>
    </w:rPr>
  </w:style>
  <w:style w:type="character" w:customStyle="1" w:styleId="z-0">
    <w:name w:val="z-Конец формы Знак"/>
    <w:link w:val="z-BottomofForm1"/>
    <w:uiPriority w:val="99"/>
    <w:rsid w:val="0045493E"/>
    <w:rPr>
      <w:rFonts w:ascii="Arial" w:hAnsi="Arial" w:cs="Arial"/>
      <w:vanish/>
      <w:sz w:val="16"/>
      <w:szCs w:val="16"/>
    </w:rPr>
  </w:style>
  <w:style w:type="character" w:customStyle="1" w:styleId="wb-langlinks-edit">
    <w:name w:val="wb-langlinks-edit"/>
    <w:rsid w:val="0045493E"/>
  </w:style>
  <w:style w:type="character" w:customStyle="1" w:styleId="noprint">
    <w:name w:val="noprint"/>
    <w:rsid w:val="0045493E"/>
  </w:style>
  <w:style w:type="character" w:customStyle="1" w:styleId="pg">
    <w:name w:val="pg"/>
    <w:rsid w:val="0045493E"/>
  </w:style>
  <w:style w:type="paragraph" w:customStyle="1" w:styleId="DecimalAligned">
    <w:name w:val="Decimal Aligned"/>
    <w:basedOn w:val="Normal"/>
    <w:uiPriority w:val="40"/>
    <w:qFormat/>
    <w:rsid w:val="0045493E"/>
    <w:pPr>
      <w:tabs>
        <w:tab w:val="decimal" w:pos="360"/>
      </w:tabs>
      <w:spacing w:after="200" w:line="276" w:lineRule="auto"/>
    </w:pPr>
    <w:rPr>
      <w:rFonts w:eastAsia="Calibri"/>
      <w:lang w:eastAsia="ja-JP"/>
    </w:rPr>
  </w:style>
  <w:style w:type="character" w:customStyle="1" w:styleId="HTMLPreformattedChar">
    <w:name w:val="HTML Preformatted Char"/>
    <w:link w:val="HTMLPreformatted"/>
    <w:uiPriority w:val="99"/>
    <w:rsid w:val="0045493E"/>
    <w:rPr>
      <w:rFonts w:ascii="Arial Unicode" w:hAnsi="Arial Unicode" w:cs="Courier New"/>
    </w:rPr>
  </w:style>
  <w:style w:type="paragraph" w:customStyle="1" w:styleId="paragraph">
    <w:name w:val="paragraph"/>
    <w:basedOn w:val="Normal"/>
    <w:rsid w:val="0045493E"/>
    <w:pPr>
      <w:spacing w:before="100" w:beforeAutospacing="1" w:after="100" w:afterAutospacing="1"/>
    </w:pPr>
  </w:style>
  <w:style w:type="character" w:customStyle="1" w:styleId="normaltextrun">
    <w:name w:val="normaltextrun"/>
    <w:rsid w:val="0045493E"/>
  </w:style>
  <w:style w:type="paragraph" w:customStyle="1" w:styleId="StyleCaption11pt">
    <w:name w:val="Style Caption + 11 pt"/>
    <w:basedOn w:val="Caption"/>
    <w:link w:val="StyleCaption11ptChar"/>
    <w:rsid w:val="0045493E"/>
    <w:pPr>
      <w:spacing w:before="360" w:after="120"/>
      <w:ind w:left="1350" w:hanging="1350"/>
    </w:pPr>
    <w:rPr>
      <w:bCs/>
      <w:lang w:eastAsia="ru-RU"/>
    </w:rPr>
  </w:style>
  <w:style w:type="character" w:customStyle="1" w:styleId="StyleCaption11ptChar">
    <w:name w:val="Style Caption + 11 pt Char"/>
    <w:link w:val="StyleCaption11pt"/>
    <w:rsid w:val="0045493E"/>
    <w:rPr>
      <w:rFonts w:ascii="GHEA Grapalat" w:hAnsi="GHEA Grapalat"/>
      <w:b/>
      <w:bCs/>
      <w:lang w:eastAsia="ru-RU"/>
    </w:rPr>
  </w:style>
  <w:style w:type="paragraph" w:customStyle="1" w:styleId="StyleHeading3GHEAGrapalatJustified">
    <w:name w:val="Style Heading 3 + GHEA Grapalat Justified"/>
    <w:basedOn w:val="Heading3"/>
    <w:rsid w:val="0045493E"/>
    <w:pPr>
      <w:tabs>
        <w:tab w:val="left" w:pos="384"/>
        <w:tab w:val="left" w:pos="737"/>
      </w:tabs>
      <w:spacing w:before="360" w:after="240"/>
      <w:ind w:left="1248" w:hanging="708"/>
    </w:pPr>
    <w:rPr>
      <w:lang w:val="en-GB" w:eastAsia="ru-RU"/>
    </w:rPr>
  </w:style>
  <w:style w:type="paragraph" w:customStyle="1" w:styleId="TitleNew">
    <w:name w:val="Title New"/>
    <w:basedOn w:val="Normal"/>
    <w:rsid w:val="0045493E"/>
    <w:pPr>
      <w:widowControl w:val="0"/>
      <w:spacing w:line="360" w:lineRule="atLeast"/>
    </w:pPr>
    <w:rPr>
      <w:rFonts w:eastAsia="ヒラギノ角ゴ Pro W3"/>
      <w:b/>
      <w:color w:val="000000"/>
      <w:sz w:val="44"/>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 webb Char"/>
    <w:link w:val="NormalWeb"/>
    <w:locked/>
    <w:rsid w:val="0045493E"/>
    <w:rPr>
      <w:sz w:val="24"/>
    </w:rPr>
  </w:style>
  <w:style w:type="paragraph" w:customStyle="1" w:styleId="37">
    <w:name w:val="Абзац списка3"/>
    <w:basedOn w:val="Normal"/>
    <w:uiPriority w:val="99"/>
    <w:qFormat/>
    <w:rsid w:val="0045493E"/>
    <w:pPr>
      <w:ind w:left="720"/>
      <w:contextualSpacing/>
    </w:pPr>
    <w:rPr>
      <w:lang w:val="ru-RU" w:eastAsia="ru-RU"/>
    </w:rPr>
  </w:style>
  <w:style w:type="character" w:customStyle="1" w:styleId="38">
    <w:name w:val="Основной текст3"/>
    <w:rsid w:val="0045493E"/>
    <w:rPr>
      <w:rFonts w:ascii="Arial Unicode MS" w:eastAsia="Arial Unicode MS" w:hAnsi="Arial Unicode MS" w:cs="Arial Unicode MS"/>
      <w:color w:val="000000"/>
      <w:spacing w:val="0"/>
      <w:w w:val="100"/>
      <w:position w:val="0"/>
      <w:sz w:val="30"/>
      <w:szCs w:val="30"/>
      <w:u w:val="none"/>
      <w:lang w:val="hy-AM"/>
    </w:rPr>
  </w:style>
  <w:style w:type="paragraph" w:customStyle="1" w:styleId="NormalGHEAGrapalat">
    <w:name w:val="Normal + GHEA Grapalat"/>
    <w:aliases w:val="11 pt,Bold,Italic"/>
    <w:basedOn w:val="Normal"/>
    <w:rsid w:val="0045493E"/>
    <w:pPr>
      <w:autoSpaceDE w:val="0"/>
      <w:autoSpaceDN w:val="0"/>
      <w:adjustRightInd w:val="0"/>
      <w:ind w:firstLine="180"/>
    </w:pPr>
    <w:rPr>
      <w:b/>
      <w:i/>
      <w:lang w:val="hy-AM" w:eastAsia="ru-RU"/>
    </w:rPr>
  </w:style>
  <w:style w:type="character" w:customStyle="1" w:styleId="CommentTextChar2">
    <w:name w:val="Comment Text Char2"/>
    <w:rsid w:val="0045493E"/>
    <w:rPr>
      <w:rFonts w:ascii="Arial Armenian" w:hAnsi="Arial Armenian"/>
      <w:lang w:val="ru-RU" w:eastAsia="ru-RU" w:bidi="ar-SA"/>
    </w:rPr>
  </w:style>
  <w:style w:type="character" w:customStyle="1" w:styleId="BalloonTextChar2">
    <w:name w:val="Balloon Text Char2"/>
    <w:rsid w:val="0045493E"/>
    <w:rPr>
      <w:rFonts w:ascii="Tahoma" w:hAnsi="Tahoma"/>
      <w:sz w:val="16"/>
      <w:szCs w:val="16"/>
      <w:lang w:bidi="ar-SA"/>
    </w:rPr>
  </w:style>
  <w:style w:type="character" w:customStyle="1" w:styleId="Bodytext20">
    <w:name w:val="Body text (2)_"/>
    <w:link w:val="Bodytext23"/>
    <w:uiPriority w:val="99"/>
    <w:locked/>
    <w:rsid w:val="0045493E"/>
    <w:rPr>
      <w:rFonts w:ascii="Tahoma" w:hAnsi="Tahoma" w:cs="Tahoma"/>
      <w:sz w:val="21"/>
      <w:szCs w:val="21"/>
      <w:shd w:val="clear" w:color="auto" w:fill="FFFFFF"/>
    </w:rPr>
  </w:style>
  <w:style w:type="paragraph" w:customStyle="1" w:styleId="Bodytext23">
    <w:name w:val="Body text (2)"/>
    <w:basedOn w:val="Normal"/>
    <w:link w:val="Bodytext20"/>
    <w:uiPriority w:val="99"/>
    <w:rsid w:val="0045493E"/>
    <w:pPr>
      <w:widowControl w:val="0"/>
      <w:shd w:val="clear" w:color="auto" w:fill="FFFFFF"/>
      <w:spacing w:before="720" w:line="485" w:lineRule="exact"/>
    </w:pPr>
    <w:rPr>
      <w:rFonts w:ascii="Tahoma" w:hAnsi="Tahoma"/>
      <w:sz w:val="21"/>
      <w:szCs w:val="21"/>
    </w:rPr>
  </w:style>
  <w:style w:type="paragraph" w:customStyle="1" w:styleId="Appendix">
    <w:name w:val="Appendix"/>
    <w:basedOn w:val="Normal"/>
    <w:next w:val="Normal"/>
    <w:uiPriority w:val="6"/>
    <w:qFormat/>
    <w:rsid w:val="0045493E"/>
    <w:pPr>
      <w:spacing w:after="240" w:line="264" w:lineRule="auto"/>
      <w:jc w:val="center"/>
    </w:pPr>
    <w:rPr>
      <w:rFonts w:ascii="Segoe UI" w:eastAsia="SimSun" w:hAnsi="Segoe UI"/>
      <w:b/>
      <w:color w:val="C45911"/>
      <w:sz w:val="32"/>
      <w:szCs w:val="20"/>
    </w:rPr>
  </w:style>
  <w:style w:type="paragraph" w:customStyle="1" w:styleId="dec-date">
    <w:name w:val="dec-date"/>
    <w:basedOn w:val="Normal"/>
    <w:uiPriority w:val="99"/>
    <w:rsid w:val="0045493E"/>
    <w:pPr>
      <w:spacing w:before="100" w:beforeAutospacing="1" w:after="100" w:afterAutospacing="1"/>
    </w:pPr>
  </w:style>
  <w:style w:type="paragraph" w:customStyle="1" w:styleId="39">
    <w:name w:val="Обычный3"/>
    <w:rsid w:val="0045493E"/>
    <w:pPr>
      <w:autoSpaceDE w:val="0"/>
      <w:autoSpaceDN w:val="0"/>
      <w:spacing w:after="160" w:line="259" w:lineRule="auto"/>
    </w:pPr>
    <w:rPr>
      <w:sz w:val="22"/>
      <w:szCs w:val="22"/>
      <w:lang w:val="ru-RU" w:eastAsia="ru-RU"/>
    </w:rPr>
  </w:style>
  <w:style w:type="paragraph" w:customStyle="1" w:styleId="114">
    <w:name w:val="Рецензия11"/>
    <w:hidden/>
    <w:uiPriority w:val="99"/>
    <w:semiHidden/>
    <w:rsid w:val="0045493E"/>
    <w:pPr>
      <w:spacing w:after="160" w:line="259" w:lineRule="auto"/>
    </w:pPr>
    <w:rPr>
      <w:rFonts w:ascii="Arial Armenian" w:hAnsi="Arial Armenian" w:cs="Sylfaen"/>
      <w:sz w:val="24"/>
      <w:szCs w:val="24"/>
      <w:lang w:val="ru-RU" w:eastAsia="ru-RU"/>
    </w:rPr>
  </w:style>
  <w:style w:type="paragraph" w:customStyle="1" w:styleId="1f0">
    <w:name w:val="Заголовок оглавления1"/>
    <w:basedOn w:val="Heading1"/>
    <w:next w:val="Normal"/>
    <w:uiPriority w:val="39"/>
    <w:unhideWhenUsed/>
    <w:qFormat/>
    <w:rsid w:val="0045493E"/>
    <w:pPr>
      <w:spacing w:before="480" w:after="0" w:line="276" w:lineRule="auto"/>
      <w:outlineLvl w:val="9"/>
    </w:pPr>
    <w:rPr>
      <w:rFonts w:ascii="Cambria" w:hAnsi="Cambria"/>
      <w:color w:val="365F91"/>
      <w:sz w:val="28"/>
    </w:rPr>
  </w:style>
  <w:style w:type="paragraph" w:customStyle="1" w:styleId="213">
    <w:name w:val="Цитата 21"/>
    <w:basedOn w:val="Normal"/>
    <w:next w:val="Normal"/>
    <w:uiPriority w:val="29"/>
    <w:qFormat/>
    <w:rsid w:val="0045493E"/>
    <w:rPr>
      <w:i/>
      <w:iCs/>
      <w:color w:val="000000"/>
    </w:rPr>
  </w:style>
  <w:style w:type="character" w:customStyle="1" w:styleId="1f1">
    <w:name w:val="Сильное выделение1"/>
    <w:uiPriority w:val="21"/>
    <w:qFormat/>
    <w:rsid w:val="0045493E"/>
    <w:rPr>
      <w:b/>
      <w:bCs/>
      <w:i/>
      <w:iCs/>
      <w:color w:val="4F81BD"/>
    </w:rPr>
  </w:style>
  <w:style w:type="paragraph" w:customStyle="1" w:styleId="1f2">
    <w:name w:val="Выделенная цитата1"/>
    <w:basedOn w:val="Normal"/>
    <w:next w:val="Normal"/>
    <w:qFormat/>
    <w:rsid w:val="0045493E"/>
    <w:pPr>
      <w:pBdr>
        <w:bottom w:val="single" w:sz="4" w:space="4" w:color="4F81BD"/>
      </w:pBdr>
      <w:spacing w:before="200" w:after="280"/>
      <w:ind w:left="936" w:right="936"/>
    </w:pPr>
    <w:rPr>
      <w:b/>
      <w:bCs/>
      <w:i/>
      <w:iCs/>
      <w:color w:val="4F81BD"/>
    </w:rPr>
  </w:style>
  <w:style w:type="character" w:customStyle="1" w:styleId="1f3">
    <w:name w:val="Слабое выделение1"/>
    <w:qFormat/>
    <w:rsid w:val="0045493E"/>
    <w:rPr>
      <w:rFonts w:cs="Times New Roman"/>
      <w:i/>
      <w:iCs/>
      <w:color w:val="808080"/>
    </w:rPr>
  </w:style>
  <w:style w:type="character" w:customStyle="1" w:styleId="1f4">
    <w:name w:val="Слабая ссылка1"/>
    <w:qFormat/>
    <w:rsid w:val="0045493E"/>
    <w:rPr>
      <w:rFonts w:cs="Times New Roman"/>
      <w:smallCaps/>
      <w:color w:val="C0504D"/>
      <w:u w:val="single"/>
    </w:rPr>
  </w:style>
  <w:style w:type="character" w:customStyle="1" w:styleId="1f5">
    <w:name w:val="Сильная ссылка1"/>
    <w:qFormat/>
    <w:rsid w:val="0045493E"/>
    <w:rPr>
      <w:rFonts w:cs="Times New Roman"/>
      <w:b/>
      <w:bCs/>
      <w:smallCaps/>
      <w:color w:val="C0504D"/>
      <w:spacing w:val="5"/>
      <w:u w:val="single"/>
    </w:rPr>
  </w:style>
  <w:style w:type="character" w:customStyle="1" w:styleId="1f6">
    <w:name w:val="Название книги1"/>
    <w:qFormat/>
    <w:rsid w:val="0045493E"/>
    <w:rPr>
      <w:rFonts w:cs="Times New Roman"/>
      <w:b/>
      <w:bCs/>
      <w:smallCaps/>
      <w:spacing w:val="5"/>
    </w:rPr>
  </w:style>
  <w:style w:type="character" w:customStyle="1" w:styleId="CharChar352">
    <w:name w:val="Char Char352"/>
    <w:rsid w:val="0045493E"/>
    <w:rPr>
      <w:rFonts w:ascii="Arial Armenian" w:hAnsi="Arial Armenian"/>
      <w:i/>
      <w:sz w:val="22"/>
      <w:u w:val="single"/>
      <w:lang w:val="en-GB"/>
    </w:rPr>
  </w:style>
  <w:style w:type="character" w:customStyle="1" w:styleId="CharChar342">
    <w:name w:val="Char Char342"/>
    <w:rsid w:val="0045493E"/>
    <w:rPr>
      <w:rFonts w:ascii="Garamond" w:hAnsi="Garamond"/>
      <w:i/>
      <w:spacing w:val="-5"/>
      <w:sz w:val="28"/>
      <w:shd w:val="pct5" w:color="auto" w:fill="auto"/>
      <w:lang w:val="en-GB"/>
    </w:rPr>
  </w:style>
  <w:style w:type="character" w:customStyle="1" w:styleId="CharChar332">
    <w:name w:val="Char Char332"/>
    <w:rsid w:val="0045493E"/>
    <w:rPr>
      <w:rFonts w:ascii="Arial Black" w:hAnsi="Arial Black"/>
      <w:caps/>
      <w:spacing w:val="60"/>
      <w:position w:val="4"/>
      <w:sz w:val="14"/>
      <w:lang w:val="en-GB"/>
    </w:rPr>
  </w:style>
  <w:style w:type="character" w:customStyle="1" w:styleId="CharChar322">
    <w:name w:val="Char Char322"/>
    <w:rsid w:val="0045493E"/>
    <w:rPr>
      <w:rFonts w:ascii="Garamond" w:hAnsi="Garamond"/>
      <w:b/>
      <w:i/>
      <w:kern w:val="28"/>
      <w:lang w:val="en-GB"/>
    </w:rPr>
  </w:style>
  <w:style w:type="character" w:customStyle="1" w:styleId="CharChar302">
    <w:name w:val="Char Char302"/>
    <w:rsid w:val="0045493E"/>
    <w:rPr>
      <w:rFonts w:ascii="Arial Armenian" w:hAnsi="Arial Armenian"/>
      <w:lang w:val="en-GB" w:eastAsia="en-US" w:bidi="ar-SA"/>
    </w:rPr>
  </w:style>
  <w:style w:type="character" w:customStyle="1" w:styleId="CharChar292">
    <w:name w:val="Char Char292"/>
    <w:rsid w:val="0045493E"/>
    <w:rPr>
      <w:rFonts w:ascii="Arial Armenian" w:hAnsi="Arial Armenian"/>
      <w:lang w:val="ru-RU" w:eastAsia="ru-RU" w:bidi="ar-SA"/>
    </w:rPr>
  </w:style>
  <w:style w:type="character" w:customStyle="1" w:styleId="SubtitleChar2">
    <w:name w:val="Subtitle Char2"/>
    <w:rsid w:val="0045493E"/>
    <w:rPr>
      <w:rFonts w:ascii="Times Armenian" w:hAnsi="Times Armenian"/>
      <w:b/>
      <w:sz w:val="28"/>
      <w:szCs w:val="24"/>
      <w:lang w:eastAsia="ru-RU"/>
    </w:rPr>
  </w:style>
  <w:style w:type="paragraph" w:customStyle="1" w:styleId="msonormal0">
    <w:name w:val="msonormal"/>
    <w:basedOn w:val="Normal"/>
    <w:rsid w:val="0045493E"/>
    <w:pPr>
      <w:spacing w:before="100" w:beforeAutospacing="1" w:after="100" w:afterAutospacing="1"/>
    </w:pPr>
  </w:style>
  <w:style w:type="paragraph" w:customStyle="1" w:styleId="textbox">
    <w:name w:val="textbox"/>
    <w:basedOn w:val="Normal"/>
    <w:rsid w:val="0045493E"/>
    <w:pPr>
      <w:spacing w:line="160" w:lineRule="exact"/>
    </w:pPr>
    <w:rPr>
      <w:smallCaps/>
      <w:sz w:val="16"/>
      <w:szCs w:val="20"/>
      <w:lang w:val="hy-AM"/>
    </w:rPr>
  </w:style>
  <w:style w:type="character" w:customStyle="1" w:styleId="t121">
    <w:name w:val="t121"/>
    <w:rsid w:val="0045493E"/>
    <w:rPr>
      <w:b/>
      <w:bCs/>
      <w:color w:val="191970"/>
    </w:rPr>
  </w:style>
  <w:style w:type="character" w:customStyle="1" w:styleId="t61">
    <w:name w:val="t61"/>
    <w:rsid w:val="0045493E"/>
    <w:rPr>
      <w:b/>
      <w:bCs/>
      <w:color w:val="191970"/>
    </w:rPr>
  </w:style>
  <w:style w:type="table" w:customStyle="1" w:styleId="TableGrid10">
    <w:name w:val="Table Grid1"/>
    <w:basedOn w:val="TableNormal"/>
    <w:rsid w:val="0045493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CharCharCharCharCharCharCharCharCharCharCharCharChar3">
    <w:name w:val="Char Char Char Char Знак Char Знак Char Char Char Char Char Char Char Char Char Char3"/>
    <w:basedOn w:val="Normal"/>
    <w:rsid w:val="0045493E"/>
    <w:pPr>
      <w:tabs>
        <w:tab w:val="left" w:pos="709"/>
      </w:tabs>
    </w:pPr>
    <w:rPr>
      <w:rFonts w:ascii="Tahoma" w:hAnsi="Tahoma" w:cs="Tahoma"/>
      <w:lang w:val="pl-PL" w:eastAsia="pl-PL"/>
    </w:rPr>
  </w:style>
  <w:style w:type="paragraph" w:customStyle="1" w:styleId="CharCharCharCharCharCharCharCharCharCharCharCharCharCharChar4">
    <w:name w:val="Char Char Char Char Знак Char Знак Char Char Char Char Char Char Char Char Char Char4"/>
    <w:basedOn w:val="Normal"/>
    <w:rsid w:val="0045493E"/>
    <w:pPr>
      <w:tabs>
        <w:tab w:val="left" w:pos="709"/>
      </w:tabs>
    </w:pPr>
    <w:rPr>
      <w:rFonts w:ascii="Tahoma" w:hAnsi="Tahoma" w:cs="Tahoma"/>
      <w:lang w:val="pl-PL" w:eastAsia="pl-PL"/>
    </w:rPr>
  </w:style>
  <w:style w:type="character" w:customStyle="1" w:styleId="CharChar62">
    <w:name w:val="Char Char62"/>
    <w:locked/>
    <w:rsid w:val="0045493E"/>
    <w:rPr>
      <w:rFonts w:ascii="Times LatArm" w:eastAsia="Calibri" w:hAnsi="Times LatArm" w:cs="Times LatArm"/>
      <w:sz w:val="22"/>
      <w:szCs w:val="22"/>
      <w:lang w:val="en-GB" w:eastAsia="en-US" w:bidi="ar-SA"/>
    </w:rPr>
  </w:style>
  <w:style w:type="character" w:customStyle="1" w:styleId="CentredCharChar">
    <w:name w:val="Centred Char Char"/>
    <w:locked/>
    <w:rsid w:val="0045493E"/>
    <w:rPr>
      <w:rFonts w:eastAsia="Calibri"/>
      <w:b/>
      <w:bCs/>
      <w:i/>
      <w:iCs/>
      <w:sz w:val="24"/>
      <w:szCs w:val="24"/>
      <w:lang w:val="en-GB" w:eastAsia="en-US" w:bidi="ar-SA"/>
    </w:rPr>
  </w:style>
  <w:style w:type="character" w:customStyle="1" w:styleId="SideCharChar">
    <w:name w:val="Side Char Char"/>
    <w:locked/>
    <w:rsid w:val="0045493E"/>
    <w:rPr>
      <w:rFonts w:eastAsia="Calibri"/>
      <w:sz w:val="22"/>
      <w:szCs w:val="22"/>
      <w:lang w:val="en-GB" w:eastAsia="en-US" w:bidi="ar-SA"/>
    </w:rPr>
  </w:style>
  <w:style w:type="character" w:customStyle="1" w:styleId="CharChar8">
    <w:name w:val="Char Char8"/>
    <w:locked/>
    <w:rsid w:val="0045493E"/>
    <w:rPr>
      <w:rFonts w:ascii="Times Armenian" w:eastAsia="Calibri" w:hAnsi="Times Armenian" w:cs="Times Armenian"/>
      <w:color w:val="993300"/>
      <w:sz w:val="22"/>
      <w:szCs w:val="22"/>
      <w:lang w:val="hy-AM" w:eastAsia="en-US" w:bidi="ar-SA"/>
    </w:rPr>
  </w:style>
  <w:style w:type="character" w:customStyle="1" w:styleId="CharChar7">
    <w:name w:val="Char Char7"/>
    <w:locked/>
    <w:rsid w:val="0045493E"/>
    <w:rPr>
      <w:rFonts w:ascii="Courier New" w:eastAsia="Calibri" w:hAnsi="Courier New" w:cs="Courier New"/>
      <w:lang w:val="en-US" w:eastAsia="en-US" w:bidi="ar-SA"/>
    </w:rPr>
  </w:style>
  <w:style w:type="character" w:customStyle="1" w:styleId="CharChar42">
    <w:name w:val="Char Char42"/>
    <w:locked/>
    <w:rsid w:val="0045493E"/>
    <w:rPr>
      <w:rFonts w:eastAsia="Calibri"/>
      <w:sz w:val="22"/>
      <w:szCs w:val="22"/>
      <w:lang w:val="en-GB" w:eastAsia="en-US" w:bidi="ar-SA"/>
    </w:rPr>
  </w:style>
  <w:style w:type="character" w:customStyle="1" w:styleId="CharChar38">
    <w:name w:val="Char Char38"/>
    <w:uiPriority w:val="99"/>
    <w:locked/>
    <w:rsid w:val="0045493E"/>
    <w:rPr>
      <w:rFonts w:eastAsia="Calibri"/>
      <w:sz w:val="22"/>
      <w:szCs w:val="22"/>
      <w:lang w:val="en-GB" w:eastAsia="en-US" w:bidi="ar-SA"/>
    </w:rPr>
  </w:style>
  <w:style w:type="character" w:customStyle="1" w:styleId="CharChar212">
    <w:name w:val="Char Char212"/>
    <w:locked/>
    <w:rsid w:val="0045493E"/>
    <w:rPr>
      <w:rFonts w:ascii="Times Armenian" w:eastAsia="Calibri" w:hAnsi="Times Armenian" w:cs="Times Armenian"/>
      <w:b/>
      <w:bCs/>
      <w:sz w:val="22"/>
      <w:szCs w:val="22"/>
      <w:lang w:val="en-US" w:eastAsia="en-US" w:bidi="ar-SA"/>
    </w:rPr>
  </w:style>
  <w:style w:type="table" w:customStyle="1" w:styleId="TableGrid2">
    <w:name w:val="Table Grid2"/>
    <w:basedOn w:val="TableNormal"/>
    <w:rsid w:val="0045493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mak">
    <w:name w:val="namak Знак"/>
    <w:link w:val="namak0"/>
    <w:locked/>
    <w:rsid w:val="0045493E"/>
    <w:rPr>
      <w:rFonts w:ascii="GHEA Grapalat" w:hAnsi="GHEA Grapalat"/>
      <w:spacing w:val="-4"/>
      <w:sz w:val="24"/>
      <w:szCs w:val="24"/>
    </w:rPr>
  </w:style>
  <w:style w:type="paragraph" w:customStyle="1" w:styleId="namak0">
    <w:name w:val="namak"/>
    <w:basedOn w:val="Normal"/>
    <w:link w:val="namak"/>
    <w:rsid w:val="0045493E"/>
    <w:pPr>
      <w:spacing w:line="400" w:lineRule="exact"/>
      <w:ind w:firstLine="397"/>
    </w:pPr>
    <w:rPr>
      <w:spacing w:val="-4"/>
    </w:rPr>
  </w:style>
  <w:style w:type="table" w:customStyle="1" w:styleId="TableGrid30">
    <w:name w:val="Table Grid3"/>
    <w:basedOn w:val="TableNormal"/>
    <w:rsid w:val="004549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
    <w:name w:val="Table Web 21"/>
    <w:basedOn w:val="TableNormal"/>
    <w:rsid w:val="0045493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Web11">
    <w:name w:val="Table Web 11"/>
    <w:basedOn w:val="TableNormal"/>
    <w:rsid w:val="0045493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Grid81">
    <w:name w:val="Table Grid 81"/>
    <w:basedOn w:val="TableNormal"/>
    <w:rsid w:val="0045493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Contemporary1">
    <w:name w:val="Table Contemporary1"/>
    <w:basedOn w:val="TableNormal"/>
    <w:rsid w:val="0045493E"/>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ColorfulGrid-Accent12">
    <w:name w:val="Colorful Grid - Accent 12"/>
    <w:basedOn w:val="TableNormal"/>
    <w:rsid w:val="0045493E"/>
    <w:rPr>
      <w:color w:val="000000"/>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
    <w:name w:val="Light List - Accent 52"/>
    <w:basedOn w:val="TableNormal"/>
    <w:rsid w:val="0045493E"/>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Bullet2">
    <w:name w:val="Bullet 2"/>
    <w:basedOn w:val="Normal"/>
    <w:qFormat/>
    <w:rsid w:val="0045493E"/>
    <w:pPr>
      <w:widowControl w:val="0"/>
      <w:tabs>
        <w:tab w:val="left" w:pos="851"/>
        <w:tab w:val="left" w:pos="993"/>
      </w:tabs>
      <w:spacing w:line="360" w:lineRule="auto"/>
      <w:ind w:left="567"/>
      <w:contextualSpacing/>
    </w:pPr>
    <w:rPr>
      <w:rFonts w:cs="Sylfaen"/>
      <w:b/>
      <w:lang w:val="ro-RO" w:eastAsia="ru-RU"/>
    </w:rPr>
  </w:style>
  <w:style w:type="paragraph" w:customStyle="1" w:styleId="CharChar5CharCharCharCharCharChar2">
    <w:name w:val="Char Char5 Char Char Char Char Char Char2"/>
    <w:basedOn w:val="Normal"/>
    <w:rsid w:val="0045493E"/>
    <w:pPr>
      <w:tabs>
        <w:tab w:val="left" w:pos="709"/>
      </w:tabs>
    </w:pPr>
    <w:rPr>
      <w:rFonts w:ascii="Tahoma" w:hAnsi="Tahoma"/>
      <w:lang w:val="pl-PL" w:eastAsia="pl-PL"/>
    </w:rPr>
  </w:style>
  <w:style w:type="paragraph" w:customStyle="1" w:styleId="CharChar5CharCharCharChar2">
    <w:name w:val="Char Char5 Char Char Char Char2"/>
    <w:basedOn w:val="Normal"/>
    <w:rsid w:val="0045493E"/>
    <w:pPr>
      <w:tabs>
        <w:tab w:val="left" w:pos="709"/>
      </w:tabs>
    </w:pPr>
    <w:rPr>
      <w:rFonts w:ascii="Tahoma" w:hAnsi="Tahoma"/>
      <w:lang w:val="pl-PL" w:eastAsia="pl-PL"/>
    </w:rPr>
  </w:style>
  <w:style w:type="paragraph" w:customStyle="1" w:styleId="CharChar5CharChar2">
    <w:name w:val="Char Char5 Char Char2"/>
    <w:basedOn w:val="Normal"/>
    <w:rsid w:val="0045493E"/>
    <w:pPr>
      <w:tabs>
        <w:tab w:val="left" w:pos="709"/>
      </w:tabs>
    </w:pPr>
    <w:rPr>
      <w:rFonts w:ascii="Tahoma" w:hAnsi="Tahoma"/>
      <w:lang w:val="pl-PL" w:eastAsia="pl-PL"/>
    </w:rPr>
  </w:style>
  <w:style w:type="paragraph" w:customStyle="1" w:styleId="2a">
    <w:name w:val="Абзац списка2"/>
    <w:basedOn w:val="Normal"/>
    <w:uiPriority w:val="99"/>
    <w:qFormat/>
    <w:rsid w:val="0045493E"/>
    <w:pPr>
      <w:spacing w:after="200" w:line="276" w:lineRule="auto"/>
      <w:ind w:left="720"/>
      <w:contextualSpacing/>
    </w:pPr>
    <w:rPr>
      <w:lang w:val="ru-RU" w:eastAsia="ru-RU"/>
    </w:rPr>
  </w:style>
  <w:style w:type="paragraph" w:customStyle="1" w:styleId="45">
    <w:name w:val="Обычный4"/>
    <w:rsid w:val="0045493E"/>
    <w:pPr>
      <w:autoSpaceDE w:val="0"/>
      <w:autoSpaceDN w:val="0"/>
      <w:spacing w:after="160" w:line="259" w:lineRule="auto"/>
    </w:pPr>
    <w:rPr>
      <w:sz w:val="22"/>
      <w:szCs w:val="22"/>
      <w:lang w:val="ru-RU" w:eastAsia="ru-RU"/>
    </w:rPr>
  </w:style>
  <w:style w:type="paragraph" w:customStyle="1" w:styleId="2b">
    <w:name w:val="Без интервала2"/>
    <w:uiPriority w:val="1"/>
    <w:qFormat/>
    <w:rsid w:val="0045493E"/>
    <w:pPr>
      <w:spacing w:after="160" w:line="259" w:lineRule="auto"/>
    </w:pPr>
    <w:rPr>
      <w:sz w:val="22"/>
      <w:szCs w:val="22"/>
    </w:rPr>
  </w:style>
  <w:style w:type="paragraph" w:customStyle="1" w:styleId="2c">
    <w:name w:val="Рецензия2"/>
    <w:hidden/>
    <w:semiHidden/>
    <w:rsid w:val="0045493E"/>
    <w:pPr>
      <w:spacing w:after="160" w:line="259" w:lineRule="auto"/>
    </w:pPr>
    <w:rPr>
      <w:rFonts w:ascii="Arial Armenian" w:hAnsi="Arial Armenian" w:cs="Sylfaen"/>
      <w:sz w:val="24"/>
      <w:szCs w:val="24"/>
      <w:lang w:val="ru-RU" w:eastAsia="ru-RU"/>
    </w:rPr>
  </w:style>
  <w:style w:type="character" w:customStyle="1" w:styleId="311">
    <w:name w:val="Основной текст31"/>
    <w:rsid w:val="0045493E"/>
    <w:rPr>
      <w:rFonts w:ascii="Arial Unicode MS" w:eastAsia="Arial Unicode MS" w:hAnsi="Arial Unicode MS" w:cs="Arial Unicode MS"/>
      <w:color w:val="000000"/>
      <w:spacing w:val="0"/>
      <w:w w:val="100"/>
      <w:position w:val="0"/>
      <w:sz w:val="30"/>
      <w:szCs w:val="30"/>
      <w:u w:val="none"/>
      <w:lang w:val="hy-AM"/>
    </w:rPr>
  </w:style>
  <w:style w:type="character" w:customStyle="1" w:styleId="CharChar121">
    <w:name w:val="Char Char121"/>
    <w:rsid w:val="0045493E"/>
    <w:rPr>
      <w:sz w:val="22"/>
      <w:lang w:val="en-GB" w:eastAsia="en-US" w:bidi="ar-SA"/>
    </w:rPr>
  </w:style>
  <w:style w:type="character" w:styleId="PlaceholderText">
    <w:name w:val="Placeholder Text"/>
    <w:uiPriority w:val="99"/>
    <w:semiHidden/>
    <w:rsid w:val="0045493E"/>
    <w:rPr>
      <w:color w:val="808080"/>
    </w:rPr>
  </w:style>
  <w:style w:type="character" w:customStyle="1" w:styleId="newstext">
    <w:name w:val="news_text"/>
    <w:rsid w:val="0045493E"/>
  </w:style>
  <w:style w:type="table" w:customStyle="1" w:styleId="TableGrid4">
    <w:name w:val="Table Grid4"/>
    <w:basedOn w:val="TableNormal"/>
    <w:uiPriority w:val="39"/>
    <w:rsid w:val="0045493E"/>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Char">
    <w:name w:val="Default Char"/>
    <w:link w:val="Default"/>
    <w:locked/>
    <w:rsid w:val="0045493E"/>
    <w:rPr>
      <w:rFonts w:ascii="Times Armenian" w:hAnsi="Times Armenian" w:cs="Times Armenian"/>
      <w:color w:val="000000"/>
      <w:sz w:val="24"/>
      <w:szCs w:val="24"/>
      <w:lang w:val="ru-RU" w:eastAsia="ru-RU"/>
    </w:rPr>
  </w:style>
  <w:style w:type="table" w:customStyle="1" w:styleId="GridTable1Light-Accent51">
    <w:name w:val="Grid Table 1 Light - Accent 51"/>
    <w:basedOn w:val="TableNormal"/>
    <w:uiPriority w:val="46"/>
    <w:rsid w:val="0045493E"/>
    <w:rPr>
      <w:rFonts w:eastAsia="Calibri" w:cs="Calibri"/>
      <w:lang w:val="hy-AM"/>
    </w:rPr>
    <w:tblPr>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PlainTable31">
    <w:name w:val="Plain Table 31"/>
    <w:basedOn w:val="TableNormal"/>
    <w:uiPriority w:val="43"/>
    <w:rsid w:val="0045493E"/>
    <w:rPr>
      <w:rFonts w:eastAsia="Calibri"/>
      <w:sz w:val="24"/>
      <w:szCs w:val="24"/>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Accent11">
    <w:name w:val="Grid Table 4 - Accent 11"/>
    <w:basedOn w:val="TableNormal"/>
    <w:uiPriority w:val="49"/>
    <w:rsid w:val="0045493E"/>
    <w:rPr>
      <w:rFonts w:eastAsia="Calibri"/>
      <w:sz w:val="24"/>
      <w:szCs w:val="24"/>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lid-translation">
    <w:name w:val="tlid-translation"/>
    <w:rsid w:val="0045493E"/>
  </w:style>
  <w:style w:type="table" w:customStyle="1" w:styleId="TableGrid50">
    <w:name w:val="Table Grid5"/>
    <w:basedOn w:val="TableNormal"/>
    <w:uiPriority w:val="39"/>
    <w:rsid w:val="0045493E"/>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71">
    <w:name w:val="Table List 71"/>
    <w:basedOn w:val="TableNormal"/>
    <w:rsid w:val="0045493E"/>
    <w:rPr>
      <w:rFonts w:ascii="Times New Roman" w:hAnsi="Times New Roman"/>
    </w:r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customStyle="1" w:styleId="TableWeb31">
    <w:name w:val="Table Web 31"/>
    <w:basedOn w:val="TableNormal"/>
    <w:rsid w:val="0045493E"/>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Elegant1">
    <w:name w:val="Table Elegant1"/>
    <w:basedOn w:val="TableNormal"/>
    <w:rsid w:val="0045493E"/>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Web22">
    <w:name w:val="Table Web 22"/>
    <w:basedOn w:val="TableNormal"/>
    <w:rsid w:val="0045493E"/>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Web12">
    <w:name w:val="Table Web 12"/>
    <w:basedOn w:val="TableNormal"/>
    <w:rsid w:val="0045493E"/>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Grid82">
    <w:name w:val="Table Grid 82"/>
    <w:basedOn w:val="TableNormal"/>
    <w:rsid w:val="0045493E"/>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Contemporary2">
    <w:name w:val="Table Contemporary2"/>
    <w:basedOn w:val="TableNormal"/>
    <w:rsid w:val="0045493E"/>
    <w:rPr>
      <w:rFonts w:ascii="Times New Roman" w:hAnsi="Times New Roman"/>
    </w:r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LightList-Accent12">
    <w:name w:val="Light List - Accent 12"/>
    <w:basedOn w:val="TableNormal"/>
    <w:uiPriority w:val="61"/>
    <w:rsid w:val="0045493E"/>
    <w:rPr>
      <w:rFonts w:ascii="Times New Roman" w:hAnsi="Times New Roman"/>
    </w:rPr>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1">
    <w:name w:val="Table Grid 71"/>
    <w:basedOn w:val="TableNormal"/>
    <w:rsid w:val="0045493E"/>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customStyle="1" w:styleId="ColorfulGrid-Accent13">
    <w:name w:val="Colorful Grid - Accent 13"/>
    <w:basedOn w:val="TableNormal"/>
    <w:uiPriority w:val="73"/>
    <w:rsid w:val="0045493E"/>
    <w:rPr>
      <w:rFonts w:ascii="Times New Roman" w:hAnsi="Times New Roman"/>
      <w:color w:val="000000"/>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3">
    <w:name w:val="Light List - Accent 53"/>
    <w:basedOn w:val="TableNormal"/>
    <w:uiPriority w:val="61"/>
    <w:rsid w:val="0045493E"/>
    <w:rPr>
      <w:rFonts w:ascii="Times New Roman" w:hAnsi="Times New Roman"/>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1">
    <w:name w:val="Table Simple 31"/>
    <w:basedOn w:val="TableNormal"/>
    <w:rsid w:val="0045493E"/>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customStyle="1" w:styleId="TableGrid51">
    <w:name w:val="Table Grid 51"/>
    <w:basedOn w:val="TableNormal"/>
    <w:rsid w:val="0045493E"/>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31">
    <w:name w:val="Table Grid 31"/>
    <w:basedOn w:val="TableNormal"/>
    <w:rsid w:val="0045493E"/>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11">
    <w:name w:val="Table Grid 11"/>
    <w:basedOn w:val="TableNormal"/>
    <w:rsid w:val="0045493E"/>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TableColumns51">
    <w:name w:val="Table Columns 51"/>
    <w:basedOn w:val="TableNormal"/>
    <w:rsid w:val="0045493E"/>
    <w:rPr>
      <w:rFonts w:ascii="Times New Roman" w:hAnsi="Times New Roman"/>
    </w:r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LightList-Accent111">
    <w:name w:val="Light List - Accent 111"/>
    <w:basedOn w:val="TableNormal"/>
    <w:uiPriority w:val="61"/>
    <w:rsid w:val="0045493E"/>
    <w:rPr>
      <w:rFonts w:ascii="Times New Roman" w:hAnsi="Times New Roman"/>
    </w:rPr>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olorfulGrid-Accent111">
    <w:name w:val="Colorful Grid - Accent 111"/>
    <w:basedOn w:val="TableNormal"/>
    <w:rsid w:val="0045493E"/>
    <w:rPr>
      <w:rFonts w:ascii="Times New Roman" w:hAnsi="Times New Roman"/>
      <w:color w:val="000000"/>
      <w:lang w:eastAsia="ru-RU"/>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1">
    <w:name w:val="Light List - Accent 511"/>
    <w:basedOn w:val="TableNormal"/>
    <w:rsid w:val="0045493E"/>
    <w:rPr>
      <w:rFonts w:ascii="Times New Roman" w:hAnsi="Times New Roman"/>
      <w:lang w:eastAsia="ru-RU"/>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3Deffects31">
    <w:name w:val="Table 3D effects 31"/>
    <w:basedOn w:val="TableNormal"/>
    <w:rsid w:val="0045493E"/>
    <w:rPr>
      <w:rFonts w:ascii="Times New Roman" w:hAnsi="Times New Roman"/>
    </w:rPr>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customStyle="1" w:styleId="TableGrid110">
    <w:name w:val="Table Grid11"/>
    <w:basedOn w:val="TableNormal"/>
    <w:rsid w:val="0045493E"/>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rsid w:val="0045493E"/>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
    <w:basedOn w:val="TableNormal"/>
    <w:rsid w:val="0045493E"/>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1">
    <w:name w:val="Table Web 211"/>
    <w:basedOn w:val="TableNormal"/>
    <w:rsid w:val="0045493E"/>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Web111">
    <w:name w:val="Table Web 111"/>
    <w:basedOn w:val="TableNormal"/>
    <w:rsid w:val="0045493E"/>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customStyle="1" w:styleId="TableGrid811">
    <w:name w:val="Table Grid 811"/>
    <w:basedOn w:val="TableNormal"/>
    <w:rsid w:val="0045493E"/>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Contemporary11">
    <w:name w:val="Table Contemporary11"/>
    <w:basedOn w:val="TableNormal"/>
    <w:rsid w:val="0045493E"/>
    <w:rPr>
      <w:rFonts w:ascii="Times New Roman" w:hAnsi="Times New Roman"/>
    </w:r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ColorfulGrid-Accent121">
    <w:name w:val="Colorful Grid - Accent 121"/>
    <w:basedOn w:val="TableNormal"/>
    <w:rsid w:val="0045493E"/>
    <w:rPr>
      <w:rFonts w:ascii="Times New Roman" w:hAnsi="Times New Roman"/>
      <w:color w:val="000000"/>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1">
    <w:name w:val="Light List - Accent 521"/>
    <w:basedOn w:val="TableNormal"/>
    <w:rsid w:val="0045493E"/>
    <w:rPr>
      <w:rFonts w:ascii="Times New Roman" w:hAnsi="Times New Roman"/>
    </w:rPr>
    <w:tblPr>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CharChar37">
    <w:name w:val="Char Char37"/>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CharCharChar20">
    <w:name w:val="Char Char Char2"/>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BodyText24">
    <w:name w:val="Body Text2"/>
    <w:basedOn w:val="Normal"/>
    <w:rsid w:val="0045493E"/>
    <w:pPr>
      <w:tabs>
        <w:tab w:val="left" w:pos="0"/>
      </w:tabs>
      <w:spacing w:before="0" w:after="240" w:line="240" w:lineRule="auto"/>
      <w:ind w:firstLine="0"/>
    </w:pPr>
    <w:rPr>
      <w:rFonts w:ascii="Times Armenian" w:eastAsia="Times New Roman" w:hAnsi="Times Armenian" w:cs="Times New Roman"/>
      <w:sz w:val="24"/>
      <w:szCs w:val="24"/>
      <w:lang w:eastAsia="ru-RU"/>
    </w:rPr>
  </w:style>
  <w:style w:type="paragraph" w:customStyle="1" w:styleId="Char6">
    <w:name w:val="Char6"/>
    <w:basedOn w:val="Normal"/>
    <w:next w:val="Normal"/>
    <w:rsid w:val="0045493E"/>
    <w:pPr>
      <w:spacing w:before="0" w:after="160" w:line="240" w:lineRule="exact"/>
      <w:ind w:firstLine="0"/>
      <w:jc w:val="left"/>
    </w:pPr>
    <w:rPr>
      <w:rFonts w:ascii="Tahoma" w:eastAsia="Times New Roman" w:hAnsi="Tahoma" w:cs="Times New Roman"/>
      <w:sz w:val="24"/>
      <w:szCs w:val="20"/>
    </w:rPr>
  </w:style>
  <w:style w:type="paragraph" w:customStyle="1" w:styleId="Znak2">
    <w:name w:val="Znak2"/>
    <w:basedOn w:val="Normal"/>
    <w:rsid w:val="0045493E"/>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CharCharCharCharCharChar2">
    <w:name w:val="Char Char Char Char Char Char Char Char2"/>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CharCharCharCharCharCharCharCharCharCharCharCharCharCharChar5">
    <w:name w:val="Char Char Char Char Знак Char Знак Char Char Char Char Char Char Char Char Char Char5"/>
    <w:basedOn w:val="Normal"/>
    <w:rsid w:val="0045493E"/>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CharCharCharCharChar2">
    <w:name w:val="Char Char Char Char Char Char Char2"/>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5">
    <w:name w:val="Знак Знак5"/>
    <w:basedOn w:val="Normal"/>
    <w:link w:val="Char21"/>
    <w:rsid w:val="0045493E"/>
    <w:pPr>
      <w:spacing w:before="0" w:after="160" w:line="240" w:lineRule="exact"/>
      <w:ind w:firstLine="0"/>
      <w:jc w:val="left"/>
    </w:pPr>
    <w:rPr>
      <w:rFonts w:ascii="Arial" w:eastAsia="Times New Roman" w:hAnsi="Arial" w:cs="Arial"/>
      <w:sz w:val="20"/>
      <w:szCs w:val="20"/>
      <w:lang w:val="en-GB"/>
    </w:rPr>
  </w:style>
  <w:style w:type="character" w:customStyle="1" w:styleId="Char21">
    <w:name w:val="Знак Знак Char2"/>
    <w:link w:val="5"/>
    <w:rsid w:val="0045493E"/>
    <w:rPr>
      <w:rFonts w:ascii="Arial" w:eastAsia="Times New Roman" w:hAnsi="Arial" w:cs="Arial"/>
      <w:sz w:val="20"/>
      <w:szCs w:val="20"/>
      <w:lang w:val="en-GB"/>
    </w:rPr>
  </w:style>
  <w:style w:type="paragraph" w:customStyle="1" w:styleId="CharCharChar21">
    <w:name w:val="Char Char Char Знак Знак2"/>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CharCharCharCharCharCharCharCharCharChar2">
    <w:name w:val="Char Char Char Char Char Char Char Char Char Char2"/>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CharCharCharCharCharCharCharCharCharCharCharCharChar2">
    <w:name w:val="Char Char Char Char Char Char Char Char Char Char Char Char Char2"/>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1CharChar2">
    <w:name w:val="Знак Знак1 Char Char Знак Знак2"/>
    <w:basedOn w:val="Normal"/>
    <w:rsid w:val="0045493E"/>
    <w:pPr>
      <w:tabs>
        <w:tab w:val="left" w:pos="840"/>
      </w:tabs>
      <w:spacing w:before="0" w:after="160" w:line="240" w:lineRule="exact"/>
      <w:ind w:left="840" w:hanging="360"/>
    </w:pPr>
    <w:rPr>
      <w:rFonts w:ascii="Verdana" w:eastAsia="Times New Roman" w:hAnsi="Verdana" w:cs="Times New Roman"/>
      <w:sz w:val="20"/>
      <w:szCs w:val="20"/>
      <w:lang w:val="ru-RU"/>
    </w:rPr>
  </w:style>
  <w:style w:type="paragraph" w:customStyle="1" w:styleId="CharCharCharChar2">
    <w:name w:val="Знак Знак Char Char Знак Знак Char Char Знак Знак2"/>
    <w:basedOn w:val="Normal"/>
    <w:rsid w:val="0045493E"/>
    <w:pPr>
      <w:spacing w:before="0" w:after="160" w:line="240" w:lineRule="exact"/>
      <w:ind w:firstLine="0"/>
      <w:jc w:val="left"/>
    </w:pPr>
    <w:rPr>
      <w:rFonts w:ascii="Times New Roman" w:eastAsia="Times New Roman" w:hAnsi="Times New Roman" w:cs="Times New Roman"/>
      <w:sz w:val="28"/>
      <w:szCs w:val="20"/>
    </w:rPr>
  </w:style>
  <w:style w:type="paragraph" w:customStyle="1" w:styleId="Char22">
    <w:name w:val="Знак Знак Знак Знак Знак Знак Знак Знак Знак Знак Знак Знак Знак Знак Знак Знак Знак Знак Char Знак Знак2"/>
    <w:basedOn w:val="Normal"/>
    <w:rsid w:val="0045493E"/>
    <w:pPr>
      <w:spacing w:before="0" w:after="160" w:line="240" w:lineRule="exact"/>
      <w:ind w:firstLine="0"/>
      <w:jc w:val="left"/>
    </w:pPr>
    <w:rPr>
      <w:rFonts w:ascii="Times New Roman" w:eastAsia="Times New Roman" w:hAnsi="Times New Roman" w:cs="Times New Roman"/>
      <w:sz w:val="28"/>
      <w:szCs w:val="20"/>
    </w:rPr>
  </w:style>
  <w:style w:type="paragraph" w:customStyle="1" w:styleId="CharCharChar22">
    <w:name w:val="Char Char Char Знак2"/>
    <w:basedOn w:val="Normal"/>
    <w:next w:val="Normal"/>
    <w:rsid w:val="0045493E"/>
    <w:pPr>
      <w:spacing w:before="0" w:after="160" w:line="240" w:lineRule="exact"/>
      <w:ind w:firstLine="0"/>
      <w:jc w:val="left"/>
    </w:pPr>
    <w:rPr>
      <w:rFonts w:ascii="Tahoma" w:eastAsia="Times New Roman" w:hAnsi="Tahoma" w:cs="Times New Roman"/>
      <w:sz w:val="24"/>
      <w:szCs w:val="20"/>
    </w:rPr>
  </w:style>
  <w:style w:type="paragraph" w:customStyle="1" w:styleId="CharCharChar1Char2">
    <w:name w:val="Char Char Char1 Char2"/>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120">
    <w:name w:val="Знак Знак12"/>
    <w:basedOn w:val="Normal"/>
    <w:rsid w:val="0045493E"/>
    <w:pPr>
      <w:spacing w:before="0" w:after="160" w:line="240" w:lineRule="exact"/>
      <w:ind w:firstLine="0"/>
      <w:jc w:val="left"/>
    </w:pPr>
    <w:rPr>
      <w:rFonts w:ascii="Arial" w:eastAsia="MS Mincho" w:hAnsi="Arial" w:cs="Arial"/>
      <w:sz w:val="20"/>
      <w:szCs w:val="20"/>
    </w:rPr>
  </w:style>
  <w:style w:type="paragraph" w:customStyle="1" w:styleId="CharCharCharCharChar20">
    <w:name w:val="Char Char Char Char Char Знак Знак2"/>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CharChar1CharCharChar1Char2">
    <w:name w:val="Char Char1 Char Char Char1 Char2"/>
    <w:basedOn w:val="Normal"/>
    <w:rsid w:val="0045493E"/>
    <w:pPr>
      <w:spacing w:before="0" w:after="0" w:line="240" w:lineRule="auto"/>
      <w:ind w:firstLine="0"/>
      <w:jc w:val="left"/>
    </w:pPr>
    <w:rPr>
      <w:rFonts w:ascii="Times New Roman" w:eastAsia="SimSun" w:hAnsi="Times New Roman" w:cs="Times New Roman"/>
      <w:sz w:val="20"/>
      <w:szCs w:val="20"/>
      <w:lang w:eastAsia="ru-RU"/>
    </w:rPr>
  </w:style>
  <w:style w:type="paragraph" w:customStyle="1" w:styleId="420">
    <w:name w:val="Знак Знак42"/>
    <w:basedOn w:val="Normal"/>
    <w:rsid w:val="0045493E"/>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23">
    <w:name w:val="Знак Char Знак2"/>
    <w:basedOn w:val="Normal"/>
    <w:rsid w:val="0045493E"/>
    <w:pPr>
      <w:spacing w:before="0" w:after="160" w:line="240" w:lineRule="exact"/>
      <w:ind w:firstLine="0"/>
      <w:jc w:val="left"/>
    </w:pPr>
    <w:rPr>
      <w:rFonts w:ascii="Arial" w:eastAsia="Batang" w:hAnsi="Arial" w:cs="Arial"/>
      <w:sz w:val="20"/>
      <w:szCs w:val="20"/>
    </w:rPr>
  </w:style>
  <w:style w:type="paragraph" w:customStyle="1" w:styleId="CharCharCharCharCharChar20">
    <w:name w:val="Знак Знак Char Char Знак Знак Char Char Знак Знак Char Char2"/>
    <w:basedOn w:val="Normal"/>
    <w:rsid w:val="0045493E"/>
    <w:pPr>
      <w:spacing w:before="0" w:after="160" w:line="240" w:lineRule="exact"/>
      <w:ind w:firstLine="0"/>
      <w:jc w:val="left"/>
    </w:pPr>
    <w:rPr>
      <w:rFonts w:ascii="Times New Roman" w:eastAsia="Times New Roman" w:hAnsi="Times New Roman" w:cs="Times New Roman"/>
      <w:sz w:val="28"/>
      <w:szCs w:val="20"/>
    </w:rPr>
  </w:style>
  <w:style w:type="paragraph" w:customStyle="1" w:styleId="220">
    <w:name w:val="Знак Знак22"/>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CharCharCharCharChar21">
    <w:name w:val="Char Char Char Char Char2"/>
    <w:basedOn w:val="Normal"/>
    <w:rsid w:val="0045493E"/>
    <w:pPr>
      <w:spacing w:before="0" w:after="160" w:line="240" w:lineRule="exact"/>
      <w:ind w:firstLine="0"/>
      <w:jc w:val="left"/>
    </w:pPr>
    <w:rPr>
      <w:rFonts w:ascii="Arial" w:eastAsia="Times New Roman" w:hAnsi="Arial" w:cs="Arial"/>
      <w:sz w:val="20"/>
      <w:szCs w:val="20"/>
    </w:rPr>
  </w:style>
  <w:style w:type="character" w:customStyle="1" w:styleId="CharChar181">
    <w:name w:val="Char Char181"/>
    <w:rsid w:val="0045493E"/>
    <w:rPr>
      <w:rFonts w:ascii="Arial Armenian" w:eastAsia="Times New Roman" w:hAnsi="Arial Armenian"/>
      <w:i/>
      <w:sz w:val="22"/>
      <w:u w:val="single"/>
      <w:lang w:val="en-GB"/>
    </w:rPr>
  </w:style>
  <w:style w:type="character" w:customStyle="1" w:styleId="CharChar191">
    <w:name w:val="Char Char191"/>
    <w:rsid w:val="0045493E"/>
    <w:rPr>
      <w:b/>
      <w:sz w:val="32"/>
      <w:lang w:val="en-GB" w:eastAsia="en-US" w:bidi="ar-SA"/>
    </w:rPr>
  </w:style>
  <w:style w:type="character" w:customStyle="1" w:styleId="CharChar211">
    <w:name w:val="Char Char211"/>
    <w:rsid w:val="0045493E"/>
    <w:rPr>
      <w:rFonts w:ascii="Arial Armenian" w:hAnsi="Arial Armenian"/>
      <w:i/>
      <w:sz w:val="22"/>
      <w:u w:val="single"/>
      <w:lang w:val="en-GB" w:eastAsia="en-US" w:bidi="ar-SA"/>
    </w:rPr>
  </w:style>
  <w:style w:type="character" w:customStyle="1" w:styleId="CharChar201">
    <w:name w:val="Char Char201"/>
    <w:rsid w:val="0045493E"/>
    <w:rPr>
      <w:rFonts w:ascii="Garamond" w:hAnsi="Garamond"/>
      <w:i/>
      <w:spacing w:val="-5"/>
      <w:sz w:val="28"/>
      <w:lang w:val="en-GB" w:eastAsia="en-US" w:bidi="ar-SA"/>
    </w:rPr>
  </w:style>
  <w:style w:type="character" w:customStyle="1" w:styleId="CharChar141">
    <w:name w:val="Char Char141"/>
    <w:rsid w:val="0045493E"/>
    <w:rPr>
      <w:sz w:val="36"/>
      <w:lang w:val="en-GB"/>
    </w:rPr>
  </w:style>
  <w:style w:type="character" w:customStyle="1" w:styleId="CharChar52">
    <w:name w:val="Char Char52"/>
    <w:rsid w:val="0045493E"/>
    <w:rPr>
      <w:rFonts w:ascii="Arial Armenian" w:hAnsi="Arial Armenian" w:cs="Sylfaen"/>
      <w:sz w:val="24"/>
      <w:szCs w:val="24"/>
      <w:lang w:val="ru-RU" w:eastAsia="ru-RU"/>
    </w:rPr>
  </w:style>
  <w:style w:type="character" w:customStyle="1" w:styleId="CharChar162">
    <w:name w:val="Char Char162"/>
    <w:rsid w:val="0045493E"/>
    <w:rPr>
      <w:rFonts w:ascii="Times New Roman" w:hAnsi="Times New Roman"/>
      <w:b/>
      <w:sz w:val="32"/>
      <w:lang w:val="en-GB"/>
    </w:rPr>
  </w:style>
  <w:style w:type="character" w:customStyle="1" w:styleId="CharChar171">
    <w:name w:val="Char Char171"/>
    <w:rsid w:val="0045493E"/>
    <w:rPr>
      <w:rFonts w:ascii="Arial Armenian" w:hAnsi="Arial Armenian"/>
      <w:i/>
      <w:sz w:val="22"/>
      <w:u w:val="single"/>
      <w:lang w:val="en-GB" w:eastAsia="en-US" w:bidi="ar-SA"/>
    </w:rPr>
  </w:style>
  <w:style w:type="paragraph" w:customStyle="1" w:styleId="CharCharCharCharCharChar10">
    <w:name w:val="Char Char Char Char Char Char1"/>
    <w:basedOn w:val="Normal"/>
    <w:rsid w:val="0045493E"/>
    <w:pPr>
      <w:spacing w:before="0" w:after="160" w:line="240" w:lineRule="exact"/>
      <w:ind w:firstLine="0"/>
      <w:jc w:val="left"/>
    </w:pPr>
    <w:rPr>
      <w:rFonts w:ascii="Arial" w:eastAsia="Times New Roman" w:hAnsi="Arial" w:cs="Arial"/>
      <w:sz w:val="20"/>
      <w:szCs w:val="20"/>
    </w:rPr>
  </w:style>
  <w:style w:type="paragraph" w:customStyle="1" w:styleId="CharChar110">
    <w:name w:val="Char Char110"/>
    <w:basedOn w:val="Normal"/>
    <w:rsid w:val="0045493E"/>
    <w:pPr>
      <w:spacing w:before="0" w:after="160" w:line="240" w:lineRule="exact"/>
      <w:ind w:firstLine="0"/>
      <w:jc w:val="left"/>
    </w:pPr>
    <w:rPr>
      <w:rFonts w:ascii="Arial" w:eastAsia="Times New Roman" w:hAnsi="Arial" w:cs="Arial"/>
      <w:sz w:val="20"/>
      <w:szCs w:val="20"/>
    </w:rPr>
  </w:style>
  <w:style w:type="character" w:customStyle="1" w:styleId="CharChar111">
    <w:name w:val="Char Char111"/>
    <w:rsid w:val="0045493E"/>
    <w:rPr>
      <w:rFonts w:ascii="Arial Armenian" w:hAnsi="Arial Armenian"/>
      <w:lang w:val="ru-RU" w:eastAsia="ru-RU" w:bidi="ar-SA"/>
    </w:rPr>
  </w:style>
  <w:style w:type="paragraph" w:customStyle="1" w:styleId="2d">
    <w:name w:val="Знак2"/>
    <w:basedOn w:val="Normal"/>
    <w:rsid w:val="0045493E"/>
    <w:pPr>
      <w:spacing w:before="0" w:after="160" w:line="240" w:lineRule="exact"/>
      <w:ind w:firstLine="0"/>
      <w:jc w:val="left"/>
    </w:pPr>
    <w:rPr>
      <w:rFonts w:ascii="Arial" w:eastAsia="Times New Roman" w:hAnsi="Arial" w:cs="Arial"/>
      <w:sz w:val="20"/>
      <w:szCs w:val="20"/>
      <w:lang w:val="en-GB"/>
    </w:rPr>
  </w:style>
  <w:style w:type="character" w:customStyle="1" w:styleId="CharChar281">
    <w:name w:val="Char Char281"/>
    <w:rsid w:val="0045493E"/>
    <w:rPr>
      <w:rFonts w:ascii="Arial Armenian" w:hAnsi="Arial Armenian"/>
      <w:i/>
      <w:sz w:val="22"/>
      <w:u w:val="single"/>
      <w:lang w:val="en-GB"/>
    </w:rPr>
  </w:style>
  <w:style w:type="character" w:customStyle="1" w:styleId="CharChar271">
    <w:name w:val="Char Char271"/>
    <w:rsid w:val="0045493E"/>
    <w:rPr>
      <w:rFonts w:ascii="Garamond" w:hAnsi="Garamond"/>
      <w:i/>
      <w:spacing w:val="-5"/>
      <w:sz w:val="28"/>
      <w:shd w:val="pct5" w:color="auto" w:fill="auto"/>
      <w:lang w:val="en-GB"/>
    </w:rPr>
  </w:style>
  <w:style w:type="character" w:customStyle="1" w:styleId="CharChar261">
    <w:name w:val="Char Char261"/>
    <w:rsid w:val="0045493E"/>
    <w:rPr>
      <w:rFonts w:ascii="Arial Black" w:hAnsi="Arial Black"/>
      <w:caps/>
      <w:spacing w:val="60"/>
      <w:position w:val="4"/>
      <w:sz w:val="14"/>
      <w:lang w:val="en-GB"/>
    </w:rPr>
  </w:style>
  <w:style w:type="character" w:customStyle="1" w:styleId="CharChar251">
    <w:name w:val="Char Char251"/>
    <w:rsid w:val="0045493E"/>
    <w:rPr>
      <w:rFonts w:ascii="Garamond" w:hAnsi="Garamond"/>
      <w:b/>
      <w:i/>
      <w:kern w:val="28"/>
      <w:lang w:val="en-GB"/>
    </w:rPr>
  </w:style>
  <w:style w:type="character" w:customStyle="1" w:styleId="CharChar241">
    <w:name w:val="Char Char241"/>
    <w:rsid w:val="0045493E"/>
    <w:rPr>
      <w:rFonts w:ascii="Arial Armenian" w:hAnsi="Arial Armenian"/>
      <w:lang w:val="en-US" w:eastAsia="en-US" w:bidi="ar-SA"/>
    </w:rPr>
  </w:style>
  <w:style w:type="character" w:customStyle="1" w:styleId="CharChar231">
    <w:name w:val="Char Char231"/>
    <w:rsid w:val="0045493E"/>
    <w:rPr>
      <w:rFonts w:ascii="Arial Armenian" w:hAnsi="Arial Armenian"/>
      <w:lang w:val="en-GB" w:eastAsia="en-US" w:bidi="ar-SA"/>
    </w:rPr>
  </w:style>
  <w:style w:type="character" w:customStyle="1" w:styleId="CharChar221">
    <w:name w:val="Char Char221"/>
    <w:rsid w:val="0045493E"/>
    <w:rPr>
      <w:rFonts w:ascii="Arial Armenian" w:hAnsi="Arial Armenian"/>
      <w:lang w:val="ru-RU" w:eastAsia="ru-RU" w:bidi="ar-SA"/>
    </w:rPr>
  </w:style>
  <w:style w:type="paragraph" w:customStyle="1" w:styleId="Char1CharCharCharCharCharCharCharCharCharCharCharChar1">
    <w:name w:val="Char1 Char Char Char Char Char Char Char Char Char Char Char Char1"/>
    <w:basedOn w:val="Normal"/>
    <w:rsid w:val="0045493E"/>
    <w:pPr>
      <w:spacing w:before="0" w:after="160" w:line="240" w:lineRule="exact"/>
      <w:ind w:firstLine="0"/>
      <w:jc w:val="left"/>
    </w:pPr>
    <w:rPr>
      <w:rFonts w:ascii="Arial" w:eastAsia="Times New Roman" w:hAnsi="Arial" w:cs="Arial"/>
      <w:sz w:val="20"/>
      <w:szCs w:val="20"/>
    </w:rPr>
  </w:style>
  <w:style w:type="character" w:customStyle="1" w:styleId="CharChar151">
    <w:name w:val="Char Char151"/>
    <w:rsid w:val="0045493E"/>
    <w:rPr>
      <w:sz w:val="36"/>
      <w:lang w:val="en-GB" w:eastAsia="en-US" w:bidi="ar-SA"/>
    </w:rPr>
  </w:style>
  <w:style w:type="character" w:customStyle="1" w:styleId="CharChar131">
    <w:name w:val="Char Char131"/>
    <w:rsid w:val="0045493E"/>
    <w:rPr>
      <w:sz w:val="22"/>
      <w:lang w:val="en-GB" w:eastAsia="en-US" w:bidi="ar-SA"/>
    </w:rPr>
  </w:style>
  <w:style w:type="character" w:customStyle="1" w:styleId="CharChar122">
    <w:name w:val="Char Char122"/>
    <w:rsid w:val="0045493E"/>
    <w:rPr>
      <w:sz w:val="22"/>
      <w:lang w:val="en-GB" w:eastAsia="en-US" w:bidi="ar-SA"/>
    </w:rPr>
  </w:style>
  <w:style w:type="character" w:customStyle="1" w:styleId="CharChar101">
    <w:name w:val="Char Char101"/>
    <w:rsid w:val="0045493E"/>
    <w:rPr>
      <w:rFonts w:ascii="Times Armenian" w:hAnsi="Times Armenian"/>
      <w:color w:val="993300"/>
      <w:sz w:val="22"/>
      <w:szCs w:val="24"/>
      <w:lang w:val="hy-AM" w:eastAsia="en-US" w:bidi="ar-SA"/>
    </w:rPr>
  </w:style>
  <w:style w:type="character" w:customStyle="1" w:styleId="CharChar91">
    <w:name w:val="Char Char91"/>
    <w:rsid w:val="0045493E"/>
    <w:rPr>
      <w:rFonts w:ascii="Times Armenian" w:hAnsi="Times Armenian"/>
      <w:b/>
      <w:i/>
      <w:sz w:val="24"/>
      <w:u w:val="single"/>
      <w:lang w:val="hy-AM" w:eastAsia="en-US" w:bidi="ar-SA"/>
    </w:rPr>
  </w:style>
  <w:style w:type="character" w:customStyle="1" w:styleId="CharChar351">
    <w:name w:val="Char Char351"/>
    <w:rsid w:val="0045493E"/>
    <w:rPr>
      <w:rFonts w:ascii="Arial Armenian" w:hAnsi="Arial Armenian"/>
      <w:i/>
      <w:sz w:val="22"/>
      <w:u w:val="single"/>
      <w:lang w:val="en-GB"/>
    </w:rPr>
  </w:style>
  <w:style w:type="character" w:customStyle="1" w:styleId="CharChar341">
    <w:name w:val="Char Char341"/>
    <w:rsid w:val="0045493E"/>
    <w:rPr>
      <w:rFonts w:ascii="Garamond" w:hAnsi="Garamond"/>
      <w:i/>
      <w:spacing w:val="-5"/>
      <w:sz w:val="28"/>
      <w:shd w:val="pct5" w:color="auto" w:fill="auto"/>
      <w:lang w:val="en-GB"/>
    </w:rPr>
  </w:style>
  <w:style w:type="character" w:customStyle="1" w:styleId="CharChar331">
    <w:name w:val="Char Char331"/>
    <w:rsid w:val="0045493E"/>
    <w:rPr>
      <w:rFonts w:ascii="Arial Black" w:hAnsi="Arial Black"/>
      <w:caps/>
      <w:spacing w:val="60"/>
      <w:position w:val="4"/>
      <w:sz w:val="14"/>
      <w:lang w:val="en-GB"/>
    </w:rPr>
  </w:style>
  <w:style w:type="character" w:customStyle="1" w:styleId="CharChar321">
    <w:name w:val="Char Char321"/>
    <w:rsid w:val="0045493E"/>
    <w:rPr>
      <w:rFonts w:ascii="Garamond" w:hAnsi="Garamond"/>
      <w:b/>
      <w:i/>
      <w:kern w:val="28"/>
      <w:lang w:val="en-GB"/>
    </w:rPr>
  </w:style>
  <w:style w:type="character" w:customStyle="1" w:styleId="CharChar311">
    <w:name w:val="Char Char311"/>
    <w:rsid w:val="0045493E"/>
    <w:rPr>
      <w:rFonts w:ascii="Arial Armenian" w:hAnsi="Arial Armenian"/>
      <w:lang w:val="en-US" w:eastAsia="en-US" w:bidi="ar-SA"/>
    </w:rPr>
  </w:style>
  <w:style w:type="character" w:customStyle="1" w:styleId="CharChar301">
    <w:name w:val="Char Char301"/>
    <w:rsid w:val="0045493E"/>
    <w:rPr>
      <w:rFonts w:ascii="Arial Armenian" w:hAnsi="Arial Armenian"/>
      <w:lang w:val="en-GB" w:eastAsia="en-US" w:bidi="ar-SA"/>
    </w:rPr>
  </w:style>
  <w:style w:type="character" w:customStyle="1" w:styleId="CharChar291">
    <w:name w:val="Char Char291"/>
    <w:rsid w:val="0045493E"/>
    <w:rPr>
      <w:rFonts w:ascii="Arial Armenian" w:hAnsi="Arial Armenian"/>
      <w:lang w:val="ru-RU" w:eastAsia="ru-RU" w:bidi="ar-SA"/>
    </w:rPr>
  </w:style>
  <w:style w:type="paragraph" w:customStyle="1" w:styleId="CharChar5CharCharCharCharCharChar1">
    <w:name w:val="Char Char5 Char Char Char Char Char Char1"/>
    <w:basedOn w:val="Normal"/>
    <w:rsid w:val="0045493E"/>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5CharCharCharChar1">
    <w:name w:val="Char Char5 Char Char Char Char1"/>
    <w:basedOn w:val="Normal"/>
    <w:rsid w:val="0045493E"/>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5CharChar1">
    <w:name w:val="Char Char5 Char Char1"/>
    <w:basedOn w:val="Normal"/>
    <w:rsid w:val="0045493E"/>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character" w:customStyle="1" w:styleId="CharChar61">
    <w:name w:val="Char Char61"/>
    <w:locked/>
    <w:rsid w:val="0045493E"/>
    <w:rPr>
      <w:rFonts w:ascii="Times LatArm" w:eastAsia="Calibri" w:hAnsi="Times LatArm" w:cs="Times LatArm"/>
      <w:sz w:val="22"/>
      <w:szCs w:val="22"/>
      <w:lang w:val="en-GB" w:eastAsia="en-US" w:bidi="ar-SA"/>
    </w:rPr>
  </w:style>
  <w:style w:type="character" w:customStyle="1" w:styleId="CharChar81">
    <w:name w:val="Char Char81"/>
    <w:locked/>
    <w:rsid w:val="0045493E"/>
    <w:rPr>
      <w:rFonts w:ascii="Times Armenian" w:eastAsia="Calibri" w:hAnsi="Times Armenian" w:cs="Times Armenian"/>
      <w:color w:val="993300"/>
      <w:sz w:val="22"/>
      <w:szCs w:val="22"/>
      <w:lang w:val="hy-AM" w:eastAsia="en-US" w:bidi="ar-SA"/>
    </w:rPr>
  </w:style>
  <w:style w:type="character" w:customStyle="1" w:styleId="CharChar71">
    <w:name w:val="Char Char71"/>
    <w:locked/>
    <w:rsid w:val="0045493E"/>
    <w:rPr>
      <w:rFonts w:ascii="Courier New" w:eastAsia="Calibri" w:hAnsi="Courier New" w:cs="Courier New"/>
      <w:lang w:val="en-US" w:eastAsia="en-US" w:bidi="ar-SA"/>
    </w:rPr>
  </w:style>
  <w:style w:type="character" w:customStyle="1" w:styleId="CharChar41">
    <w:name w:val="Char Char41"/>
    <w:locked/>
    <w:rsid w:val="0045493E"/>
    <w:rPr>
      <w:rFonts w:eastAsia="Calibri"/>
      <w:sz w:val="22"/>
      <w:szCs w:val="22"/>
      <w:lang w:val="en-GB" w:eastAsia="en-US" w:bidi="ar-SA"/>
    </w:rPr>
  </w:style>
  <w:style w:type="character" w:customStyle="1" w:styleId="CharChar36">
    <w:name w:val="Char Char36"/>
    <w:locked/>
    <w:rsid w:val="0045493E"/>
    <w:rPr>
      <w:rFonts w:eastAsia="Calibri"/>
      <w:sz w:val="22"/>
      <w:szCs w:val="22"/>
      <w:lang w:val="en-GB" w:eastAsia="en-US" w:bidi="ar-SA"/>
    </w:rPr>
  </w:style>
  <w:style w:type="character" w:customStyle="1" w:styleId="CharChar210">
    <w:name w:val="Char Char210"/>
    <w:locked/>
    <w:rsid w:val="0045493E"/>
    <w:rPr>
      <w:rFonts w:ascii="Times Armenian" w:eastAsia="Calibri" w:hAnsi="Times Armenian" w:cs="Times Armenian"/>
      <w:b/>
      <w:bCs/>
      <w:sz w:val="22"/>
      <w:szCs w:val="22"/>
      <w:lang w:val="en-US" w:eastAsia="en-US" w:bidi="ar-SA"/>
    </w:rPr>
  </w:style>
  <w:style w:type="table" w:customStyle="1" w:styleId="TableGrid6">
    <w:name w:val="Table Grid6"/>
    <w:basedOn w:val="TableNormal"/>
    <w:uiPriority w:val="39"/>
    <w:rsid w:val="0045493E"/>
    <w:pPr>
      <w:jc w:val="center"/>
    </w:pPr>
    <w:rPr>
      <w:rFonts w:ascii="Sylfaen" w:eastAsia="Calibri" w:hAnsi="Sylfaen"/>
      <w:sz w:val="24"/>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
    <w:name w:val="Grid Table 1 Light - Accent 511"/>
    <w:basedOn w:val="TableNormal"/>
    <w:uiPriority w:val="46"/>
    <w:rsid w:val="0045493E"/>
    <w:rPr>
      <w:rFonts w:ascii="Calibri" w:eastAsia="Calibri" w:hAnsi="Calibri" w:cs="Calibri"/>
      <w:lang w:val="hy-AM"/>
    </w:rPr>
    <w:tblPr>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2">
    <w:name w:val="Table Grid22"/>
    <w:basedOn w:val="TableNormal"/>
    <w:uiPriority w:val="39"/>
    <w:rsid w:val="0045493E"/>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45493E"/>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45493E"/>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TableNormal"/>
    <w:uiPriority w:val="39"/>
    <w:rsid w:val="0045493E"/>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uiPriority w:val="39"/>
    <w:rsid w:val="0045493E"/>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45493E"/>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sid w:val="0045493E"/>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45493E"/>
    <w:rPr>
      <w:color w:val="605E5C"/>
      <w:shd w:val="clear" w:color="auto" w:fill="E1DFDD"/>
    </w:rPr>
  </w:style>
  <w:style w:type="table" w:customStyle="1" w:styleId="GridTable1Light-Accent11">
    <w:name w:val="Grid Table 1 Light - Accent 11"/>
    <w:basedOn w:val="TableNormal"/>
    <w:uiPriority w:val="46"/>
    <w:rsid w:val="0045493E"/>
    <w:rPr>
      <w:rFonts w:eastAsiaTheme="minorHAnsi"/>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eGrid12">
    <w:name w:val="Table Grid12"/>
    <w:basedOn w:val="TableNormal"/>
    <w:uiPriority w:val="39"/>
    <w:rsid w:val="0045493E"/>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2">
    <w:name w:val="Grid Table 4 - Accent 12"/>
    <w:basedOn w:val="TableNormal"/>
    <w:uiPriority w:val="49"/>
    <w:rsid w:val="0045493E"/>
    <w:rPr>
      <w:rFonts w:eastAsia="Calibri"/>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3">
    <w:name w:val="Grid Table 4 - Accent 13"/>
    <w:basedOn w:val="TableNormal"/>
    <w:uiPriority w:val="49"/>
    <w:rsid w:val="0045493E"/>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30">
    <w:name w:val="Grid Table 4 - Accent 13"/>
    <w:basedOn w:val="TableNormal"/>
    <w:uiPriority w:val="49"/>
    <w:rsid w:val="0045493E"/>
    <w:rPr>
      <w:rFonts w:eastAsia="Calibri"/>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4">
    <w:name w:val="Grid Table 4 - Accent 14"/>
    <w:basedOn w:val="TableNormal"/>
    <w:uiPriority w:val="49"/>
    <w:rsid w:val="0045493E"/>
    <w:rPr>
      <w:rFonts w:eastAsia="Calibri"/>
      <w:lang w:val="es-PE"/>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1">
    <w:name w:val="List Table 3 - Accent 11"/>
    <w:basedOn w:val="TableNormal"/>
    <w:uiPriority w:val="48"/>
    <w:rsid w:val="0045493E"/>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GridTable4-Accent131">
    <w:name w:val="Grid Table 4 - Accent 131"/>
    <w:basedOn w:val="TableNormal"/>
    <w:uiPriority w:val="49"/>
    <w:rsid w:val="0045493E"/>
    <w:rPr>
      <w:rFonts w:eastAsia="Calibri"/>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41">
    <w:name w:val="Grid Table 4 - Accent 141"/>
    <w:basedOn w:val="TableNormal"/>
    <w:uiPriority w:val="49"/>
    <w:rsid w:val="0045493E"/>
    <w:rPr>
      <w:rFonts w:eastAsia="Calibri"/>
      <w:lang w:val="es-PE"/>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
    <w:name w:val="No List1"/>
    <w:next w:val="NoList"/>
    <w:semiHidden/>
    <w:unhideWhenUsed/>
    <w:rsid w:val="006A4BFC"/>
  </w:style>
  <w:style w:type="table" w:customStyle="1" w:styleId="TableGrid13">
    <w:name w:val="Table Grid13"/>
    <w:basedOn w:val="TableNormal"/>
    <w:next w:val="TableGrid"/>
    <w:rsid w:val="006A4BFC"/>
    <w:pPr>
      <w:spacing w:after="200" w:line="276"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6A4BFC"/>
    <w:rPr>
      <w:rFonts w:eastAsiaTheme="minorHAns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otnoteTextChar1">
    <w:name w:val="Footnote Text Char1"/>
    <w:aliases w:val="fn Char1,ADB Char1,single space Char,footnote text Char Char,Footnote Text Char Char,fn Char Char,ADB Char Char,single space Char Char Char,footnote text Char1,FOOTNOTES Char Char,FOOTNOTES Char Char Char Char,FOOTNOTES Char1,f Char"/>
    <w:rsid w:val="00F86750"/>
    <w:rPr>
      <w:rFonts w:ascii="GHEA Grapalat" w:hAnsi="GHEA Grapalat"/>
      <w:i/>
      <w:sz w:val="16"/>
    </w:rPr>
  </w:style>
  <w:style w:type="numbering" w:customStyle="1" w:styleId="NoList2">
    <w:name w:val="No List2"/>
    <w:next w:val="NoList"/>
    <w:semiHidden/>
    <w:unhideWhenUsed/>
    <w:rsid w:val="00F3166F"/>
  </w:style>
  <w:style w:type="table" w:customStyle="1" w:styleId="TableGrid14">
    <w:name w:val="Table Grid14"/>
    <w:basedOn w:val="TableNormal"/>
    <w:next w:val="TableGrid"/>
    <w:uiPriority w:val="39"/>
    <w:rsid w:val="00F3166F"/>
    <w:pPr>
      <w:spacing w:after="200" w:line="276"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uiPriority w:val="40"/>
    <w:rsid w:val="00F3166F"/>
    <w:rPr>
      <w:rFonts w:eastAsiaTheme="minorHAns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NoList3">
    <w:name w:val="No List3"/>
    <w:next w:val="NoList"/>
    <w:semiHidden/>
    <w:unhideWhenUsed/>
    <w:rsid w:val="00F3166F"/>
  </w:style>
  <w:style w:type="table" w:customStyle="1" w:styleId="TableGrid15">
    <w:name w:val="Table Grid15"/>
    <w:basedOn w:val="TableNormal"/>
    <w:next w:val="TableGrid"/>
    <w:uiPriority w:val="39"/>
    <w:rsid w:val="00F3166F"/>
    <w:pPr>
      <w:spacing w:after="200" w:line="276"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8B33F9"/>
    <w:pPr>
      <w:keepNext/>
      <w:keepLines/>
      <w:spacing w:after="0" w:line="259" w:lineRule="auto"/>
      <w:contextualSpacing w:val="0"/>
      <w:outlineLvl w:val="9"/>
    </w:pPr>
    <w:rPr>
      <w:rFonts w:asciiTheme="majorHAnsi" w:hAnsiTheme="majorHAnsi"/>
      <w:b w:val="0"/>
      <w:bCs w:val="0"/>
      <w:color w:val="365F91" w:themeColor="accent1" w:themeShade="BF"/>
      <w:szCs w:val="32"/>
    </w:rPr>
  </w:style>
  <w:style w:type="table" w:styleId="MediumGrid3-Accent1">
    <w:name w:val="Medium Grid 3 Accent 1"/>
    <w:basedOn w:val="TableNormal"/>
    <w:uiPriority w:val="69"/>
    <w:rsid w:val="00374D1B"/>
    <w:rPr>
      <w:rFonts w:eastAsiaTheme="minorHAns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Side1">
    <w:name w:val="Side1"/>
    <w:basedOn w:val="Normal"/>
    <w:next w:val="Normal"/>
    <w:unhideWhenUsed/>
    <w:qFormat/>
    <w:rsid w:val="00374D1B"/>
    <w:pPr>
      <w:spacing w:before="200" w:after="0"/>
      <w:outlineLvl w:val="4"/>
    </w:pPr>
    <w:rPr>
      <w:rFonts w:ascii="Cambria" w:eastAsia="Times New Roman" w:hAnsi="Cambria" w:cs="Times New Roman"/>
      <w:b/>
      <w:bCs/>
      <w:color w:val="7F7F7F"/>
    </w:rPr>
  </w:style>
  <w:style w:type="paragraph" w:customStyle="1" w:styleId="Heading61">
    <w:name w:val="Heading 61"/>
    <w:basedOn w:val="Normal"/>
    <w:next w:val="Normal"/>
    <w:unhideWhenUsed/>
    <w:qFormat/>
    <w:rsid w:val="00374D1B"/>
    <w:pPr>
      <w:spacing w:after="0" w:line="271" w:lineRule="auto"/>
      <w:outlineLvl w:val="5"/>
    </w:pPr>
    <w:rPr>
      <w:rFonts w:ascii="Cambria" w:eastAsia="Times New Roman" w:hAnsi="Cambria" w:cs="Times New Roman"/>
      <w:b/>
      <w:bCs/>
      <w:i/>
      <w:iCs/>
      <w:color w:val="7F7F7F"/>
    </w:rPr>
  </w:style>
  <w:style w:type="paragraph" w:customStyle="1" w:styleId="Heading71">
    <w:name w:val="Heading 71"/>
    <w:basedOn w:val="Normal"/>
    <w:next w:val="Normal"/>
    <w:unhideWhenUsed/>
    <w:qFormat/>
    <w:rsid w:val="00374D1B"/>
    <w:pPr>
      <w:spacing w:after="0"/>
      <w:outlineLvl w:val="6"/>
    </w:pPr>
    <w:rPr>
      <w:rFonts w:ascii="Cambria" w:eastAsia="Times New Roman" w:hAnsi="Cambria" w:cs="Times New Roman"/>
      <w:i/>
      <w:iCs/>
    </w:rPr>
  </w:style>
  <w:style w:type="paragraph" w:customStyle="1" w:styleId="Heading81">
    <w:name w:val="Heading 81"/>
    <w:basedOn w:val="Normal"/>
    <w:next w:val="Normal"/>
    <w:unhideWhenUsed/>
    <w:qFormat/>
    <w:rsid w:val="00374D1B"/>
    <w:pPr>
      <w:spacing w:after="0"/>
      <w:outlineLvl w:val="7"/>
    </w:pPr>
    <w:rPr>
      <w:rFonts w:ascii="Cambria" w:eastAsia="Times New Roman" w:hAnsi="Cambria" w:cs="Times New Roman"/>
      <w:sz w:val="20"/>
      <w:szCs w:val="20"/>
    </w:rPr>
  </w:style>
  <w:style w:type="paragraph" w:customStyle="1" w:styleId="Heading91">
    <w:name w:val="Heading 91"/>
    <w:basedOn w:val="Normal"/>
    <w:next w:val="Normal"/>
    <w:unhideWhenUsed/>
    <w:qFormat/>
    <w:rsid w:val="00374D1B"/>
    <w:pPr>
      <w:spacing w:after="0"/>
      <w:outlineLvl w:val="8"/>
    </w:pPr>
    <w:rPr>
      <w:rFonts w:ascii="Cambria" w:eastAsia="Times New Roman" w:hAnsi="Cambria" w:cs="Times New Roman"/>
      <w:i/>
      <w:iCs/>
      <w:spacing w:val="5"/>
      <w:sz w:val="20"/>
      <w:szCs w:val="20"/>
    </w:rPr>
  </w:style>
  <w:style w:type="paragraph" w:customStyle="1" w:styleId="BodyTextMaintext1">
    <w:name w:val="Body Text (Main text)1"/>
    <w:basedOn w:val="Normal"/>
    <w:next w:val="BodyText"/>
    <w:rsid w:val="00374D1B"/>
    <w:pPr>
      <w:spacing w:after="120"/>
    </w:pPr>
    <w:rPr>
      <w:rFonts w:eastAsiaTheme="minorHAnsi"/>
    </w:rPr>
  </w:style>
  <w:style w:type="paragraph" w:customStyle="1" w:styleId="BodyTextIndent31">
    <w:name w:val="Body Text Indent 31"/>
    <w:basedOn w:val="Normal"/>
    <w:next w:val="BodyTextIndent3"/>
    <w:rsid w:val="00374D1B"/>
    <w:rPr>
      <w:rFonts w:ascii="Arial Armenian" w:eastAsiaTheme="minorHAnsi" w:hAnsi="Arial Armenian"/>
      <w:noProof/>
      <w:sz w:val="20"/>
      <w:szCs w:val="20"/>
    </w:rPr>
  </w:style>
  <w:style w:type="paragraph" w:customStyle="1" w:styleId="BodyTextIndent21">
    <w:name w:val="Body Text Indent 21"/>
    <w:basedOn w:val="Normal"/>
    <w:next w:val="BodyTextIndent2"/>
    <w:rsid w:val="00374D1B"/>
    <w:pPr>
      <w:widowControl w:val="0"/>
      <w:spacing w:after="120"/>
      <w:ind w:left="720" w:firstLine="720"/>
    </w:pPr>
    <w:rPr>
      <w:rFonts w:ascii="Arial Armenian" w:eastAsiaTheme="minorHAnsi" w:hAnsi="Arial Armenian"/>
      <w:sz w:val="20"/>
      <w:szCs w:val="20"/>
      <w:lang w:val="en-GB"/>
    </w:rPr>
  </w:style>
  <w:style w:type="paragraph" w:customStyle="1" w:styleId="TableSource11">
    <w:name w:val="(Table Source)11"/>
    <w:basedOn w:val="BodyText"/>
    <w:next w:val="Normal"/>
    <w:rsid w:val="00374D1B"/>
    <w:pPr>
      <w:widowControl w:val="0"/>
      <w:spacing w:before="60" w:after="60"/>
      <w:ind w:firstLine="652"/>
    </w:pPr>
    <w:rPr>
      <w:rFonts w:ascii="Arial Armenian" w:eastAsia="Times New Roman" w:hAnsi="Arial Armenian" w:cs="Times New Roman"/>
      <w:i/>
      <w:sz w:val="16"/>
      <w:szCs w:val="20"/>
      <w:lang w:val="en-GB"/>
    </w:rPr>
  </w:style>
  <w:style w:type="character" w:customStyle="1" w:styleId="BodyTextIndentChar1">
    <w:name w:val="Body Text Indent Char1"/>
    <w:aliases w:val="(Table Source) Char1, (Table Source) Char,(Table Source) Char Char,(Table Source)1 Char,Body Text Indent Char Char,Body Text Indent Char Char Char"/>
    <w:rsid w:val="00374D1B"/>
    <w:rPr>
      <w:rFonts w:ascii="Arial Armenian" w:hAnsi="Arial Armenian"/>
      <w:i/>
      <w:sz w:val="16"/>
      <w:szCs w:val="20"/>
      <w:lang w:val="en-GB"/>
    </w:rPr>
  </w:style>
  <w:style w:type="paragraph" w:customStyle="1" w:styleId="1Text1">
    <w:name w:val="1Text1"/>
    <w:basedOn w:val="Normal"/>
    <w:next w:val="BodyText2"/>
    <w:qFormat/>
    <w:rsid w:val="00374D1B"/>
    <w:pPr>
      <w:spacing w:after="120" w:line="480" w:lineRule="auto"/>
    </w:pPr>
    <w:rPr>
      <w:rFonts w:eastAsiaTheme="minorHAnsi"/>
      <w:sz w:val="20"/>
      <w:szCs w:val="20"/>
      <w:lang w:val="ru-RU" w:eastAsia="ru-RU"/>
    </w:rPr>
  </w:style>
  <w:style w:type="paragraph" w:customStyle="1" w:styleId="BodyText31">
    <w:name w:val="Body Text 31"/>
    <w:basedOn w:val="Normal"/>
    <w:next w:val="BodyText3"/>
    <w:rsid w:val="00374D1B"/>
    <w:pPr>
      <w:spacing w:after="120"/>
    </w:pPr>
    <w:rPr>
      <w:rFonts w:eastAsiaTheme="minorHAnsi"/>
      <w:sz w:val="16"/>
      <w:szCs w:val="16"/>
      <w:lang w:val="ru-RU" w:eastAsia="ru-RU"/>
    </w:rPr>
  </w:style>
  <w:style w:type="paragraph" w:customStyle="1" w:styleId="ListBullet1">
    <w:name w:val="List Bullet1"/>
    <w:basedOn w:val="Normal"/>
    <w:next w:val="ListBullet"/>
    <w:autoRedefine/>
    <w:qFormat/>
    <w:rsid w:val="00374D1B"/>
    <w:pPr>
      <w:tabs>
        <w:tab w:val="num" w:pos="360"/>
      </w:tabs>
      <w:overflowPunct w:val="0"/>
      <w:autoSpaceDE w:val="0"/>
      <w:autoSpaceDN w:val="0"/>
      <w:adjustRightInd w:val="0"/>
      <w:spacing w:before="130"/>
      <w:ind w:left="360" w:hanging="360"/>
      <w:textAlignment w:val="baseline"/>
    </w:pPr>
    <w:rPr>
      <w:rFonts w:eastAsia="Times New Roman" w:cs="Times New Roman"/>
      <w:lang w:val="en-GB"/>
    </w:rPr>
  </w:style>
  <w:style w:type="paragraph" w:customStyle="1" w:styleId="EndnoteText1">
    <w:name w:val="Endnote Text1"/>
    <w:basedOn w:val="Normal"/>
    <w:next w:val="EndnoteText"/>
    <w:rsid w:val="00374D1B"/>
    <w:rPr>
      <w:rFonts w:eastAsiaTheme="minorHAnsi"/>
      <w:sz w:val="20"/>
      <w:szCs w:val="20"/>
      <w:lang w:val="en-GB"/>
    </w:rPr>
  </w:style>
  <w:style w:type="paragraph" w:customStyle="1" w:styleId="BlockText1">
    <w:name w:val="Block Text1"/>
    <w:basedOn w:val="Normal"/>
    <w:next w:val="BlockText"/>
    <w:rsid w:val="00374D1B"/>
    <w:pPr>
      <w:spacing w:line="360" w:lineRule="auto"/>
      <w:ind w:left="-709" w:right="-483"/>
    </w:pPr>
    <w:rPr>
      <w:rFonts w:ascii="Times Armenian" w:eastAsia="Times New Roman" w:hAnsi="Times Armenian" w:cs="Times New Roman"/>
      <w:szCs w:val="20"/>
    </w:rPr>
  </w:style>
  <w:style w:type="paragraph" w:customStyle="1" w:styleId="TOC41">
    <w:name w:val="TOC 41"/>
    <w:basedOn w:val="Normal"/>
    <w:next w:val="Normal"/>
    <w:autoRedefine/>
    <w:uiPriority w:val="39"/>
    <w:rsid w:val="00374D1B"/>
    <w:pPr>
      <w:spacing w:before="0" w:after="0"/>
      <w:ind w:left="660"/>
      <w:jc w:val="left"/>
    </w:pPr>
    <w:rPr>
      <w:rFonts w:ascii="Calibri" w:eastAsia="Times New Roman" w:hAnsi="Calibri" w:cs="Calibri"/>
      <w:sz w:val="20"/>
      <w:szCs w:val="20"/>
    </w:rPr>
  </w:style>
  <w:style w:type="paragraph" w:customStyle="1" w:styleId="TOC51">
    <w:name w:val="TOC 51"/>
    <w:basedOn w:val="Normal"/>
    <w:next w:val="Normal"/>
    <w:autoRedefine/>
    <w:uiPriority w:val="39"/>
    <w:rsid w:val="00374D1B"/>
    <w:pPr>
      <w:spacing w:before="0" w:after="0"/>
      <w:ind w:left="880"/>
      <w:jc w:val="left"/>
    </w:pPr>
    <w:rPr>
      <w:rFonts w:ascii="Calibri" w:eastAsia="Times New Roman" w:hAnsi="Calibri" w:cs="Calibri"/>
      <w:sz w:val="20"/>
      <w:szCs w:val="20"/>
    </w:rPr>
  </w:style>
  <w:style w:type="paragraph" w:customStyle="1" w:styleId="Title10">
    <w:name w:val="Title1"/>
    <w:basedOn w:val="Normal"/>
    <w:next w:val="Normal"/>
    <w:qFormat/>
    <w:rsid w:val="00374D1B"/>
    <w:pPr>
      <w:pBdr>
        <w:bottom w:val="single" w:sz="4" w:space="1" w:color="auto"/>
      </w:pBdr>
      <w:spacing w:line="240" w:lineRule="auto"/>
      <w:contextualSpacing/>
    </w:pPr>
    <w:rPr>
      <w:rFonts w:ascii="Cambria" w:eastAsia="Times New Roman" w:hAnsi="Cambria" w:cs="Times New Roman"/>
      <w:spacing w:val="5"/>
      <w:sz w:val="52"/>
      <w:szCs w:val="52"/>
    </w:rPr>
  </w:style>
  <w:style w:type="paragraph" w:customStyle="1" w:styleId="PlainText1">
    <w:name w:val="Plain Text1"/>
    <w:basedOn w:val="Normal"/>
    <w:next w:val="PlainText"/>
    <w:rsid w:val="00374D1B"/>
    <w:pPr>
      <w:spacing w:before="120"/>
    </w:pPr>
    <w:rPr>
      <w:rFonts w:ascii="Courier New" w:eastAsiaTheme="minorHAnsi" w:hAnsi="Courier New"/>
      <w:sz w:val="20"/>
      <w:szCs w:val="20"/>
    </w:rPr>
  </w:style>
  <w:style w:type="paragraph" w:customStyle="1" w:styleId="TOC61">
    <w:name w:val="TOC 61"/>
    <w:basedOn w:val="Normal"/>
    <w:next w:val="Normal"/>
    <w:autoRedefine/>
    <w:uiPriority w:val="39"/>
    <w:rsid w:val="00374D1B"/>
    <w:pPr>
      <w:spacing w:before="0" w:after="0"/>
      <w:ind w:left="1100"/>
      <w:jc w:val="left"/>
    </w:pPr>
    <w:rPr>
      <w:rFonts w:ascii="Calibri" w:eastAsia="Times New Roman" w:hAnsi="Calibri" w:cs="Calibri"/>
      <w:sz w:val="20"/>
      <w:szCs w:val="20"/>
    </w:rPr>
  </w:style>
  <w:style w:type="paragraph" w:customStyle="1" w:styleId="TOC71">
    <w:name w:val="TOC 71"/>
    <w:basedOn w:val="Normal"/>
    <w:next w:val="Normal"/>
    <w:autoRedefine/>
    <w:uiPriority w:val="39"/>
    <w:rsid w:val="00374D1B"/>
    <w:pPr>
      <w:spacing w:before="0" w:after="0"/>
      <w:ind w:left="1320"/>
      <w:jc w:val="left"/>
    </w:pPr>
    <w:rPr>
      <w:rFonts w:ascii="Calibri" w:eastAsia="Times New Roman" w:hAnsi="Calibri" w:cs="Calibri"/>
      <w:sz w:val="20"/>
      <w:szCs w:val="20"/>
    </w:rPr>
  </w:style>
  <w:style w:type="paragraph" w:customStyle="1" w:styleId="TOC81">
    <w:name w:val="TOC 81"/>
    <w:basedOn w:val="Normal"/>
    <w:next w:val="Normal"/>
    <w:autoRedefine/>
    <w:uiPriority w:val="39"/>
    <w:rsid w:val="00374D1B"/>
    <w:pPr>
      <w:spacing w:before="0" w:after="0"/>
      <w:ind w:left="1540"/>
      <w:jc w:val="left"/>
    </w:pPr>
    <w:rPr>
      <w:rFonts w:ascii="Calibri" w:eastAsia="Times New Roman" w:hAnsi="Calibri" w:cs="Calibri"/>
      <w:sz w:val="20"/>
      <w:szCs w:val="20"/>
    </w:rPr>
  </w:style>
  <w:style w:type="paragraph" w:customStyle="1" w:styleId="TOC91">
    <w:name w:val="TOC 91"/>
    <w:basedOn w:val="Normal"/>
    <w:next w:val="Normal"/>
    <w:autoRedefine/>
    <w:uiPriority w:val="39"/>
    <w:rsid w:val="00374D1B"/>
    <w:pPr>
      <w:spacing w:before="0" w:after="0"/>
      <w:ind w:left="1760"/>
      <w:jc w:val="left"/>
    </w:pPr>
    <w:rPr>
      <w:rFonts w:ascii="Calibri" w:eastAsia="Times New Roman" w:hAnsi="Calibri" w:cs="Calibri"/>
      <w:sz w:val="20"/>
      <w:szCs w:val="20"/>
    </w:rPr>
  </w:style>
  <w:style w:type="paragraph" w:customStyle="1" w:styleId="TableofFigures1">
    <w:name w:val="Table of Figures1"/>
    <w:basedOn w:val="Normal"/>
    <w:next w:val="Normal"/>
    <w:rsid w:val="00374D1B"/>
    <w:pPr>
      <w:ind w:left="480" w:hanging="480"/>
    </w:pPr>
    <w:rPr>
      <w:rFonts w:eastAsia="Times New Roman" w:cs="Times New Roman"/>
      <w:sz w:val="20"/>
    </w:rPr>
  </w:style>
  <w:style w:type="paragraph" w:customStyle="1" w:styleId="Subtitle1">
    <w:name w:val="Subtitle1"/>
    <w:basedOn w:val="Normal"/>
    <w:next w:val="Normal"/>
    <w:qFormat/>
    <w:rsid w:val="00374D1B"/>
    <w:pPr>
      <w:spacing w:after="600"/>
    </w:pPr>
    <w:rPr>
      <w:rFonts w:ascii="Cambria" w:eastAsia="Times New Roman" w:hAnsi="Cambria" w:cs="Times New Roman"/>
      <w:i/>
      <w:iCs/>
      <w:spacing w:val="13"/>
      <w:sz w:val="24"/>
      <w:szCs w:val="24"/>
    </w:rPr>
  </w:style>
  <w:style w:type="paragraph" w:customStyle="1" w:styleId="Index11">
    <w:name w:val="Index 11"/>
    <w:basedOn w:val="Normal"/>
    <w:next w:val="Normal"/>
    <w:autoRedefine/>
    <w:rsid w:val="00374D1B"/>
    <w:pPr>
      <w:ind w:left="240" w:hanging="240"/>
    </w:pPr>
    <w:rPr>
      <w:rFonts w:eastAsia="Times New Roman" w:cs="Times New Roman"/>
    </w:rPr>
  </w:style>
  <w:style w:type="paragraph" w:customStyle="1" w:styleId="Index21">
    <w:name w:val="Index 21"/>
    <w:basedOn w:val="Normal"/>
    <w:next w:val="Normal"/>
    <w:autoRedefine/>
    <w:rsid w:val="00374D1B"/>
    <w:pPr>
      <w:ind w:left="480" w:hanging="240"/>
    </w:pPr>
    <w:rPr>
      <w:rFonts w:eastAsia="Times New Roman" w:cs="Times New Roman"/>
    </w:rPr>
  </w:style>
  <w:style w:type="paragraph" w:customStyle="1" w:styleId="Index31">
    <w:name w:val="Index 31"/>
    <w:basedOn w:val="Normal"/>
    <w:next w:val="Normal"/>
    <w:autoRedefine/>
    <w:rsid w:val="00374D1B"/>
    <w:pPr>
      <w:ind w:left="720" w:hanging="240"/>
    </w:pPr>
    <w:rPr>
      <w:rFonts w:eastAsia="Times New Roman" w:cs="Times New Roman"/>
    </w:rPr>
  </w:style>
  <w:style w:type="paragraph" w:customStyle="1" w:styleId="Index41">
    <w:name w:val="Index 41"/>
    <w:basedOn w:val="Normal"/>
    <w:next w:val="Normal"/>
    <w:autoRedefine/>
    <w:rsid w:val="00374D1B"/>
    <w:pPr>
      <w:ind w:left="960" w:hanging="240"/>
    </w:pPr>
    <w:rPr>
      <w:rFonts w:eastAsia="Times New Roman" w:cs="Times New Roman"/>
    </w:rPr>
  </w:style>
  <w:style w:type="paragraph" w:customStyle="1" w:styleId="Index51">
    <w:name w:val="Index 51"/>
    <w:basedOn w:val="Normal"/>
    <w:next w:val="Normal"/>
    <w:autoRedefine/>
    <w:rsid w:val="00374D1B"/>
    <w:pPr>
      <w:ind w:left="1200" w:hanging="240"/>
    </w:pPr>
    <w:rPr>
      <w:rFonts w:eastAsia="Times New Roman" w:cs="Times New Roman"/>
    </w:rPr>
  </w:style>
  <w:style w:type="paragraph" w:customStyle="1" w:styleId="Index61">
    <w:name w:val="Index 61"/>
    <w:basedOn w:val="Normal"/>
    <w:next w:val="Normal"/>
    <w:autoRedefine/>
    <w:rsid w:val="00374D1B"/>
    <w:pPr>
      <w:ind w:left="1440" w:hanging="240"/>
    </w:pPr>
    <w:rPr>
      <w:rFonts w:eastAsia="Times New Roman" w:cs="Times New Roman"/>
    </w:rPr>
  </w:style>
  <w:style w:type="paragraph" w:customStyle="1" w:styleId="Index71">
    <w:name w:val="Index 71"/>
    <w:basedOn w:val="Normal"/>
    <w:next w:val="Normal"/>
    <w:autoRedefine/>
    <w:rsid w:val="00374D1B"/>
    <w:pPr>
      <w:ind w:left="1680" w:hanging="240"/>
    </w:pPr>
    <w:rPr>
      <w:rFonts w:eastAsia="Times New Roman" w:cs="Times New Roman"/>
    </w:rPr>
  </w:style>
  <w:style w:type="paragraph" w:customStyle="1" w:styleId="Index81">
    <w:name w:val="Index 81"/>
    <w:basedOn w:val="Normal"/>
    <w:next w:val="Normal"/>
    <w:autoRedefine/>
    <w:rsid w:val="00374D1B"/>
    <w:pPr>
      <w:ind w:left="1920" w:hanging="240"/>
    </w:pPr>
    <w:rPr>
      <w:rFonts w:eastAsia="Times New Roman" w:cs="Times New Roman"/>
    </w:rPr>
  </w:style>
  <w:style w:type="paragraph" w:customStyle="1" w:styleId="Index91">
    <w:name w:val="Index 91"/>
    <w:basedOn w:val="Normal"/>
    <w:next w:val="Normal"/>
    <w:autoRedefine/>
    <w:rsid w:val="00374D1B"/>
    <w:pPr>
      <w:ind w:left="2160" w:hanging="240"/>
    </w:pPr>
    <w:rPr>
      <w:rFonts w:eastAsia="Times New Roman" w:cs="Times New Roman"/>
    </w:rPr>
  </w:style>
  <w:style w:type="paragraph" w:customStyle="1" w:styleId="IndexHeading1">
    <w:name w:val="Index Heading1"/>
    <w:basedOn w:val="Normal"/>
    <w:next w:val="Index1"/>
    <w:rsid w:val="00374D1B"/>
    <w:rPr>
      <w:rFonts w:eastAsia="Times New Roman" w:cs="Times New Roman"/>
    </w:rPr>
  </w:style>
  <w:style w:type="paragraph" w:customStyle="1" w:styleId="NormalIndent1">
    <w:name w:val="Normal Indent1"/>
    <w:basedOn w:val="Normal"/>
    <w:next w:val="NormalIndent"/>
    <w:rsid w:val="00374D1B"/>
    <w:pPr>
      <w:tabs>
        <w:tab w:val="left" w:pos="1134"/>
        <w:tab w:val="left" w:pos="1701"/>
        <w:tab w:val="left" w:pos="2835"/>
        <w:tab w:val="left" w:pos="5103"/>
        <w:tab w:val="left" w:pos="7371"/>
        <w:tab w:val="right" w:pos="9639"/>
      </w:tabs>
      <w:ind w:left="1134"/>
    </w:pPr>
    <w:rPr>
      <w:rFonts w:eastAsia="Times New Roman" w:cs="Times New Roman"/>
      <w:lang w:val="en-GB"/>
    </w:rPr>
  </w:style>
  <w:style w:type="paragraph" w:customStyle="1" w:styleId="webb1">
    <w:name w:val="webb1"/>
    <w:basedOn w:val="Normal"/>
    <w:next w:val="NormalWeb"/>
    <w:uiPriority w:val="99"/>
    <w:qFormat/>
    <w:rsid w:val="00374D1B"/>
    <w:pPr>
      <w:spacing w:before="100" w:after="100"/>
    </w:pPr>
    <w:rPr>
      <w:rFonts w:eastAsia="Times New Roman" w:cs="Times New Roman"/>
      <w:szCs w:val="20"/>
    </w:rPr>
  </w:style>
  <w:style w:type="paragraph" w:customStyle="1" w:styleId="ListBullet21">
    <w:name w:val="List Bullet 21"/>
    <w:basedOn w:val="Normal"/>
    <w:next w:val="ListBullet2"/>
    <w:autoRedefine/>
    <w:rsid w:val="00374D1B"/>
    <w:pPr>
      <w:ind w:left="720" w:hanging="360"/>
    </w:pPr>
    <w:rPr>
      <w:rFonts w:eastAsia="Times New Roman" w:cs="Times New Roman"/>
    </w:rPr>
  </w:style>
  <w:style w:type="paragraph" w:customStyle="1" w:styleId="BodyTextFirstIndent1">
    <w:name w:val="Body Text First Indent1"/>
    <w:basedOn w:val="BodyText"/>
    <w:next w:val="BodyTextFirstIndent"/>
    <w:rsid w:val="00374D1B"/>
    <w:pPr>
      <w:ind w:firstLine="210"/>
    </w:pPr>
    <w:rPr>
      <w:rFonts w:eastAsiaTheme="minorHAnsi"/>
      <w:lang w:val="ru-RU" w:eastAsia="ru-RU"/>
    </w:rPr>
  </w:style>
  <w:style w:type="paragraph" w:customStyle="1" w:styleId="DocumentMap1">
    <w:name w:val="Document Map1"/>
    <w:basedOn w:val="Normal"/>
    <w:next w:val="DocumentMap"/>
    <w:uiPriority w:val="99"/>
    <w:rsid w:val="00374D1B"/>
    <w:pPr>
      <w:shd w:val="clear" w:color="auto" w:fill="000080"/>
      <w:overflowPunct w:val="0"/>
      <w:autoSpaceDE w:val="0"/>
      <w:autoSpaceDN w:val="0"/>
      <w:adjustRightInd w:val="0"/>
      <w:textAlignment w:val="baseline"/>
    </w:pPr>
    <w:rPr>
      <w:rFonts w:ascii="Tahoma" w:eastAsiaTheme="minorHAnsi" w:hAnsi="Tahoma"/>
      <w:szCs w:val="20"/>
      <w:lang w:val="en-GB" w:eastAsia="ru-RU"/>
    </w:rPr>
  </w:style>
  <w:style w:type="paragraph" w:customStyle="1" w:styleId="ListContinue21">
    <w:name w:val="List Continue 21"/>
    <w:basedOn w:val="Normal"/>
    <w:next w:val="ListContinue2"/>
    <w:rsid w:val="00374D1B"/>
    <w:pPr>
      <w:spacing w:after="120"/>
      <w:ind w:left="720"/>
    </w:pPr>
    <w:rPr>
      <w:rFonts w:eastAsia="Times New Roman" w:cs="Times New Roman"/>
    </w:rPr>
  </w:style>
  <w:style w:type="numbering" w:customStyle="1" w:styleId="NoList11">
    <w:name w:val="No List11"/>
    <w:next w:val="NoList"/>
    <w:semiHidden/>
    <w:unhideWhenUsed/>
    <w:rsid w:val="00374D1B"/>
  </w:style>
  <w:style w:type="paragraph" w:customStyle="1" w:styleId="ListNumber1">
    <w:name w:val="List Number1"/>
    <w:basedOn w:val="Normal"/>
    <w:next w:val="ListNumber"/>
    <w:rsid w:val="00374D1B"/>
    <w:pPr>
      <w:ind w:left="720" w:hanging="360"/>
    </w:pPr>
    <w:rPr>
      <w:rFonts w:eastAsia="Times New Roman" w:cs="Times New Roman"/>
    </w:rPr>
  </w:style>
  <w:style w:type="character" w:styleId="IntenseEmphasis">
    <w:name w:val="Intense Emphasis"/>
    <w:uiPriority w:val="21"/>
    <w:qFormat/>
    <w:rsid w:val="00374D1B"/>
    <w:rPr>
      <w:b/>
      <w:bCs/>
    </w:rPr>
  </w:style>
  <w:style w:type="numbering" w:customStyle="1" w:styleId="1f7">
    <w:name w:val="Нет списка1"/>
    <w:next w:val="NoList"/>
    <w:semiHidden/>
    <w:unhideWhenUsed/>
    <w:rsid w:val="00374D1B"/>
  </w:style>
  <w:style w:type="paragraph" w:customStyle="1" w:styleId="List1">
    <w:name w:val="List1"/>
    <w:basedOn w:val="BodyText"/>
    <w:next w:val="List"/>
    <w:rsid w:val="00374D1B"/>
    <w:pPr>
      <w:suppressAutoHyphens/>
      <w:spacing w:line="288" w:lineRule="auto"/>
    </w:pPr>
    <w:rPr>
      <w:rFonts w:eastAsia="Times New Roman" w:cs="GHEA Grapalat"/>
      <w:kern w:val="1"/>
    </w:rPr>
  </w:style>
  <w:style w:type="paragraph" w:customStyle="1" w:styleId="IntenseQuote1">
    <w:name w:val="Intense Quote1"/>
    <w:basedOn w:val="Normal"/>
    <w:next w:val="Normal"/>
    <w:qFormat/>
    <w:rsid w:val="00374D1B"/>
    <w:pPr>
      <w:pBdr>
        <w:bottom w:val="single" w:sz="4" w:space="1" w:color="auto"/>
      </w:pBdr>
      <w:spacing w:before="200" w:after="280"/>
      <w:ind w:left="1008" w:right="1152"/>
    </w:pPr>
    <w:rPr>
      <w:rFonts w:eastAsia="Times New Roman" w:cs="Times New Roman"/>
      <w:b/>
      <w:bCs/>
      <w:i/>
      <w:iCs/>
    </w:rPr>
  </w:style>
  <w:style w:type="character" w:styleId="SubtleEmphasis">
    <w:name w:val="Subtle Emphasis"/>
    <w:qFormat/>
    <w:rsid w:val="00374D1B"/>
    <w:rPr>
      <w:i/>
      <w:iCs/>
    </w:rPr>
  </w:style>
  <w:style w:type="character" w:styleId="SubtleReference">
    <w:name w:val="Subtle Reference"/>
    <w:qFormat/>
    <w:rsid w:val="00374D1B"/>
    <w:rPr>
      <w:smallCaps/>
    </w:rPr>
  </w:style>
  <w:style w:type="character" w:styleId="IntenseReference">
    <w:name w:val="Intense Reference"/>
    <w:qFormat/>
    <w:rsid w:val="00374D1B"/>
    <w:rPr>
      <w:smallCaps/>
      <w:spacing w:val="5"/>
      <w:u w:val="single"/>
    </w:rPr>
  </w:style>
  <w:style w:type="character" w:styleId="BookTitle">
    <w:name w:val="Book Title"/>
    <w:qFormat/>
    <w:rsid w:val="00374D1B"/>
    <w:rPr>
      <w:i/>
      <w:iCs/>
      <w:smallCaps/>
      <w:spacing w:val="5"/>
    </w:rPr>
  </w:style>
  <w:style w:type="numbering" w:customStyle="1" w:styleId="NoList4">
    <w:name w:val="No List4"/>
    <w:next w:val="NoList"/>
    <w:semiHidden/>
    <w:rsid w:val="00374D1B"/>
  </w:style>
  <w:style w:type="numbering" w:customStyle="1" w:styleId="NoList111">
    <w:name w:val="No List111"/>
    <w:next w:val="NoList"/>
    <w:semiHidden/>
    <w:unhideWhenUsed/>
    <w:rsid w:val="00374D1B"/>
  </w:style>
  <w:style w:type="character" w:customStyle="1" w:styleId="z-TopofFormChar">
    <w:name w:val="z-Top of Form Char"/>
    <w:basedOn w:val="DefaultParagraphFont"/>
    <w:link w:val="z-TopofForm"/>
    <w:uiPriority w:val="99"/>
    <w:rsid w:val="00374D1B"/>
    <w:rPr>
      <w:rFonts w:ascii="Arial" w:hAnsi="Arial"/>
      <w:vanish/>
      <w:sz w:val="16"/>
      <w:szCs w:val="16"/>
    </w:rPr>
  </w:style>
  <w:style w:type="character" w:customStyle="1" w:styleId="z-BottomofFormChar">
    <w:name w:val="z-Bottom of Form Char"/>
    <w:basedOn w:val="DefaultParagraphFont"/>
    <w:link w:val="z-BottomofForm"/>
    <w:uiPriority w:val="99"/>
    <w:rsid w:val="00374D1B"/>
    <w:rPr>
      <w:rFonts w:ascii="Arial" w:hAnsi="Arial"/>
      <w:vanish/>
      <w:sz w:val="16"/>
      <w:szCs w:val="16"/>
    </w:rPr>
  </w:style>
  <w:style w:type="paragraph" w:customStyle="1" w:styleId="HTMLPreformatted1">
    <w:name w:val="HTML Preformatted1"/>
    <w:basedOn w:val="Normal"/>
    <w:next w:val="HTMLPreformatted"/>
    <w:uiPriority w:val="99"/>
    <w:unhideWhenUsed/>
    <w:rsid w:val="00374D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w:eastAsiaTheme="minorHAnsi" w:hAnsi="Arial Unicode"/>
      <w:sz w:val="20"/>
      <w:szCs w:val="20"/>
    </w:rPr>
  </w:style>
  <w:style w:type="numbering" w:customStyle="1" w:styleId="115">
    <w:name w:val="Нет списка11"/>
    <w:next w:val="NoList"/>
    <w:semiHidden/>
    <w:unhideWhenUsed/>
    <w:rsid w:val="00374D1B"/>
  </w:style>
  <w:style w:type="numbering" w:customStyle="1" w:styleId="NoList5">
    <w:name w:val="No List5"/>
    <w:next w:val="NoList"/>
    <w:uiPriority w:val="99"/>
    <w:semiHidden/>
    <w:rsid w:val="00374D1B"/>
  </w:style>
  <w:style w:type="numbering" w:customStyle="1" w:styleId="NoList6">
    <w:name w:val="No List6"/>
    <w:next w:val="NoList"/>
    <w:uiPriority w:val="99"/>
    <w:semiHidden/>
    <w:unhideWhenUsed/>
    <w:rsid w:val="00374D1B"/>
  </w:style>
  <w:style w:type="numbering" w:customStyle="1" w:styleId="NoList7">
    <w:name w:val="No List7"/>
    <w:next w:val="NoList"/>
    <w:uiPriority w:val="99"/>
    <w:semiHidden/>
    <w:unhideWhenUsed/>
    <w:rsid w:val="00374D1B"/>
  </w:style>
  <w:style w:type="numbering" w:customStyle="1" w:styleId="NoList12">
    <w:name w:val="No List12"/>
    <w:next w:val="NoList"/>
    <w:uiPriority w:val="99"/>
    <w:semiHidden/>
    <w:unhideWhenUsed/>
    <w:rsid w:val="00374D1B"/>
  </w:style>
  <w:style w:type="numbering" w:customStyle="1" w:styleId="NoList8">
    <w:name w:val="No List8"/>
    <w:next w:val="NoList"/>
    <w:uiPriority w:val="99"/>
    <w:semiHidden/>
    <w:unhideWhenUsed/>
    <w:rsid w:val="00374D1B"/>
  </w:style>
  <w:style w:type="numbering" w:customStyle="1" w:styleId="121">
    <w:name w:val="Нет списка12"/>
    <w:next w:val="NoList"/>
    <w:uiPriority w:val="99"/>
    <w:semiHidden/>
    <w:unhideWhenUsed/>
    <w:rsid w:val="00374D1B"/>
  </w:style>
  <w:style w:type="numbering" w:customStyle="1" w:styleId="NoList13">
    <w:name w:val="No List13"/>
    <w:next w:val="NoList"/>
    <w:semiHidden/>
    <w:unhideWhenUsed/>
    <w:rsid w:val="00374D1B"/>
  </w:style>
  <w:style w:type="numbering" w:customStyle="1" w:styleId="NoList21">
    <w:name w:val="No List21"/>
    <w:next w:val="NoList"/>
    <w:semiHidden/>
    <w:unhideWhenUsed/>
    <w:rsid w:val="00374D1B"/>
  </w:style>
  <w:style w:type="numbering" w:customStyle="1" w:styleId="NoList31">
    <w:name w:val="No List31"/>
    <w:next w:val="NoList"/>
    <w:semiHidden/>
    <w:unhideWhenUsed/>
    <w:rsid w:val="00374D1B"/>
  </w:style>
  <w:style w:type="numbering" w:customStyle="1" w:styleId="1111">
    <w:name w:val="Нет списка111"/>
    <w:next w:val="NoList"/>
    <w:semiHidden/>
    <w:unhideWhenUsed/>
    <w:rsid w:val="00374D1B"/>
  </w:style>
  <w:style w:type="numbering" w:customStyle="1" w:styleId="NoList41">
    <w:name w:val="No List41"/>
    <w:next w:val="NoList"/>
    <w:semiHidden/>
    <w:rsid w:val="00374D1B"/>
  </w:style>
  <w:style w:type="numbering" w:customStyle="1" w:styleId="NoList1111">
    <w:name w:val="No List1111"/>
    <w:next w:val="NoList"/>
    <w:semiHidden/>
    <w:unhideWhenUsed/>
    <w:rsid w:val="00374D1B"/>
  </w:style>
  <w:style w:type="numbering" w:customStyle="1" w:styleId="11110">
    <w:name w:val="Нет списка1111"/>
    <w:next w:val="NoList"/>
    <w:semiHidden/>
    <w:unhideWhenUsed/>
    <w:rsid w:val="00374D1B"/>
  </w:style>
  <w:style w:type="numbering" w:customStyle="1" w:styleId="NoList9">
    <w:name w:val="No List9"/>
    <w:next w:val="NoList"/>
    <w:uiPriority w:val="99"/>
    <w:semiHidden/>
    <w:unhideWhenUsed/>
    <w:rsid w:val="00374D1B"/>
  </w:style>
  <w:style w:type="numbering" w:customStyle="1" w:styleId="NoList10">
    <w:name w:val="No List10"/>
    <w:next w:val="NoList"/>
    <w:uiPriority w:val="99"/>
    <w:semiHidden/>
    <w:unhideWhenUsed/>
    <w:rsid w:val="00374D1B"/>
  </w:style>
  <w:style w:type="table" w:customStyle="1" w:styleId="TableList711">
    <w:name w:val="Table List 711"/>
    <w:basedOn w:val="TableNormal"/>
    <w:next w:val="TableList7"/>
    <w:rsid w:val="00374D1B"/>
    <w:pPr>
      <w:spacing w:after="200" w:line="276" w:lineRule="auto"/>
    </w:pPr>
    <w:rPr>
      <w:rFonts w:ascii="Times New Roman" w:eastAsia="Times New Roman" w:hAnsi="Times New Roman"/>
      <w:sz w:val="22"/>
      <w:szCs w:val="22"/>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11">
    <w:name w:val="Table Web 311"/>
    <w:basedOn w:val="TableNormal"/>
    <w:next w:val="TableWeb3"/>
    <w:rsid w:val="00374D1B"/>
    <w:pPr>
      <w:spacing w:after="200" w:line="276" w:lineRule="auto"/>
    </w:pPr>
    <w:rPr>
      <w:rFonts w:ascii="Times New Roman" w:eastAsia="Times New Roman" w:hAnsi="Times New Roman"/>
      <w:sz w:val="22"/>
      <w:szCs w:val="22"/>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1">
    <w:name w:val="Table Elegant11"/>
    <w:basedOn w:val="TableNormal"/>
    <w:next w:val="TableElegant"/>
    <w:rsid w:val="00374D1B"/>
    <w:pPr>
      <w:spacing w:after="200" w:line="276" w:lineRule="auto"/>
    </w:pPr>
    <w:rPr>
      <w:rFonts w:ascii="Times New Roman" w:eastAsia="Times New Roman" w:hAnsi="Times New Roman"/>
      <w:sz w:val="22"/>
      <w:szCs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NoList14">
    <w:name w:val="No List14"/>
    <w:next w:val="NoList"/>
    <w:semiHidden/>
    <w:unhideWhenUsed/>
    <w:rsid w:val="00374D1B"/>
  </w:style>
  <w:style w:type="numbering" w:customStyle="1" w:styleId="NoList22">
    <w:name w:val="No List22"/>
    <w:next w:val="NoList"/>
    <w:semiHidden/>
    <w:unhideWhenUsed/>
    <w:rsid w:val="00374D1B"/>
  </w:style>
  <w:style w:type="numbering" w:customStyle="1" w:styleId="NoList32">
    <w:name w:val="No List32"/>
    <w:next w:val="NoList"/>
    <w:semiHidden/>
    <w:unhideWhenUsed/>
    <w:rsid w:val="00374D1B"/>
  </w:style>
  <w:style w:type="table" w:customStyle="1" w:styleId="TableGrid711">
    <w:name w:val="Table Grid 711"/>
    <w:basedOn w:val="TableNormal"/>
    <w:next w:val="TableGrid7"/>
    <w:rsid w:val="00374D1B"/>
    <w:pPr>
      <w:spacing w:after="200" w:line="276" w:lineRule="auto"/>
    </w:pPr>
    <w:rPr>
      <w:rFonts w:ascii="Times New Roman" w:eastAsia="Times New Roman" w:hAnsi="Times New Roman"/>
      <w:b/>
      <w:bCs/>
      <w:sz w:val="22"/>
      <w:szCs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Simple311">
    <w:name w:val="Table Simple 311"/>
    <w:basedOn w:val="TableNormal"/>
    <w:next w:val="TableSimple3"/>
    <w:rsid w:val="00374D1B"/>
    <w:pPr>
      <w:spacing w:after="200" w:line="276" w:lineRule="auto"/>
    </w:pPr>
    <w:rPr>
      <w:rFonts w:ascii="Times New Roman" w:eastAsia="Times New Roman" w:hAnsi="Times New Roman"/>
      <w:sz w:val="22"/>
      <w:szCs w:val="22"/>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11">
    <w:name w:val="Table Grid 511"/>
    <w:basedOn w:val="TableNormal"/>
    <w:next w:val="TableGrid5"/>
    <w:rsid w:val="00374D1B"/>
    <w:pPr>
      <w:spacing w:after="200" w:line="276" w:lineRule="auto"/>
    </w:pPr>
    <w:rPr>
      <w:rFonts w:ascii="Times New Roman" w:eastAsia="Times New Roman" w:hAnsi="Times New Roman"/>
      <w:sz w:val="22"/>
      <w:szCs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11">
    <w:name w:val="Table Grid 311"/>
    <w:basedOn w:val="TableNormal"/>
    <w:next w:val="TableGrid3"/>
    <w:rsid w:val="00374D1B"/>
    <w:pPr>
      <w:spacing w:after="200" w:line="276" w:lineRule="auto"/>
    </w:pPr>
    <w:rPr>
      <w:rFonts w:ascii="Times New Roman" w:eastAsia="Times New Roman" w:hAnsi="Times New Roman"/>
      <w:sz w:val="22"/>
      <w:szCs w:val="22"/>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110">
    <w:name w:val="Table Grid 111"/>
    <w:basedOn w:val="TableNormal"/>
    <w:next w:val="TableGrid1"/>
    <w:rsid w:val="00374D1B"/>
    <w:pPr>
      <w:spacing w:after="200" w:line="276" w:lineRule="auto"/>
    </w:pPr>
    <w:rPr>
      <w:rFonts w:ascii="Times New Roman" w:eastAsia="Times New Roman" w:hAnsi="Times New Roman"/>
      <w:sz w:val="22"/>
      <w:szCs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11">
    <w:name w:val="Table Columns 511"/>
    <w:basedOn w:val="TableNormal"/>
    <w:next w:val="TableColumns5"/>
    <w:rsid w:val="00374D1B"/>
    <w:pPr>
      <w:spacing w:after="200" w:line="276" w:lineRule="auto"/>
    </w:pPr>
    <w:rPr>
      <w:rFonts w:ascii="Times New Roman" w:eastAsia="Times New Roman" w:hAnsi="Times New Roman"/>
      <w:sz w:val="22"/>
      <w:szCs w:val="22"/>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numbering" w:customStyle="1" w:styleId="131">
    <w:name w:val="Нет списка13"/>
    <w:next w:val="NoList"/>
    <w:semiHidden/>
    <w:unhideWhenUsed/>
    <w:rsid w:val="00374D1B"/>
  </w:style>
  <w:style w:type="numbering" w:customStyle="1" w:styleId="NoList42">
    <w:name w:val="No List42"/>
    <w:next w:val="NoList"/>
    <w:semiHidden/>
    <w:rsid w:val="00374D1B"/>
  </w:style>
  <w:style w:type="numbering" w:customStyle="1" w:styleId="NoList112">
    <w:name w:val="No List112"/>
    <w:next w:val="NoList"/>
    <w:semiHidden/>
    <w:unhideWhenUsed/>
    <w:rsid w:val="00374D1B"/>
  </w:style>
  <w:style w:type="table" w:customStyle="1" w:styleId="Table3Deffects311">
    <w:name w:val="Table 3D effects 311"/>
    <w:basedOn w:val="TableNormal"/>
    <w:next w:val="Table3Deffects3"/>
    <w:rsid w:val="00374D1B"/>
    <w:pPr>
      <w:spacing w:after="200" w:line="276" w:lineRule="auto"/>
    </w:pPr>
    <w:rPr>
      <w:rFonts w:ascii="Times New Roman" w:eastAsia="Times New Roman" w:hAnsi="Times New Roman"/>
      <w:sz w:val="22"/>
      <w:szCs w:val="22"/>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20">
    <w:name w:val="Нет списка112"/>
    <w:next w:val="NoList"/>
    <w:semiHidden/>
    <w:unhideWhenUsed/>
    <w:rsid w:val="00374D1B"/>
  </w:style>
  <w:style w:type="numbering" w:customStyle="1" w:styleId="NoList51">
    <w:name w:val="No List51"/>
    <w:next w:val="NoList"/>
    <w:uiPriority w:val="99"/>
    <w:semiHidden/>
    <w:rsid w:val="00374D1B"/>
  </w:style>
  <w:style w:type="numbering" w:customStyle="1" w:styleId="NoList61">
    <w:name w:val="No List61"/>
    <w:next w:val="NoList"/>
    <w:uiPriority w:val="99"/>
    <w:semiHidden/>
    <w:unhideWhenUsed/>
    <w:rsid w:val="00374D1B"/>
  </w:style>
  <w:style w:type="numbering" w:customStyle="1" w:styleId="NoList71">
    <w:name w:val="No List71"/>
    <w:next w:val="NoList"/>
    <w:uiPriority w:val="99"/>
    <w:semiHidden/>
    <w:unhideWhenUsed/>
    <w:rsid w:val="00374D1B"/>
  </w:style>
  <w:style w:type="numbering" w:customStyle="1" w:styleId="NoList121">
    <w:name w:val="No List121"/>
    <w:next w:val="NoList"/>
    <w:uiPriority w:val="99"/>
    <w:semiHidden/>
    <w:unhideWhenUsed/>
    <w:rsid w:val="00374D1B"/>
  </w:style>
  <w:style w:type="numbering" w:customStyle="1" w:styleId="NoList81">
    <w:name w:val="No List81"/>
    <w:next w:val="NoList"/>
    <w:uiPriority w:val="99"/>
    <w:semiHidden/>
    <w:unhideWhenUsed/>
    <w:rsid w:val="00374D1B"/>
  </w:style>
  <w:style w:type="numbering" w:customStyle="1" w:styleId="1210">
    <w:name w:val="Нет списка121"/>
    <w:next w:val="NoList"/>
    <w:uiPriority w:val="99"/>
    <w:semiHidden/>
    <w:unhideWhenUsed/>
    <w:rsid w:val="00374D1B"/>
  </w:style>
  <w:style w:type="numbering" w:customStyle="1" w:styleId="NoList131">
    <w:name w:val="No List131"/>
    <w:next w:val="NoList"/>
    <w:semiHidden/>
    <w:unhideWhenUsed/>
    <w:rsid w:val="00374D1B"/>
  </w:style>
  <w:style w:type="numbering" w:customStyle="1" w:styleId="NoList211">
    <w:name w:val="No List211"/>
    <w:next w:val="NoList"/>
    <w:semiHidden/>
    <w:unhideWhenUsed/>
    <w:rsid w:val="00374D1B"/>
  </w:style>
  <w:style w:type="numbering" w:customStyle="1" w:styleId="NoList311">
    <w:name w:val="No List311"/>
    <w:next w:val="NoList"/>
    <w:semiHidden/>
    <w:unhideWhenUsed/>
    <w:rsid w:val="00374D1B"/>
  </w:style>
  <w:style w:type="numbering" w:customStyle="1" w:styleId="1112">
    <w:name w:val="Нет списка1112"/>
    <w:next w:val="NoList"/>
    <w:semiHidden/>
    <w:unhideWhenUsed/>
    <w:rsid w:val="00374D1B"/>
  </w:style>
  <w:style w:type="numbering" w:customStyle="1" w:styleId="NoList411">
    <w:name w:val="No List411"/>
    <w:next w:val="NoList"/>
    <w:semiHidden/>
    <w:rsid w:val="00374D1B"/>
  </w:style>
  <w:style w:type="numbering" w:customStyle="1" w:styleId="NoList11111">
    <w:name w:val="No List11111"/>
    <w:next w:val="NoList"/>
    <w:semiHidden/>
    <w:unhideWhenUsed/>
    <w:rsid w:val="00374D1B"/>
  </w:style>
  <w:style w:type="numbering" w:customStyle="1" w:styleId="11111">
    <w:name w:val="Нет списка11111"/>
    <w:next w:val="NoList"/>
    <w:semiHidden/>
    <w:unhideWhenUsed/>
    <w:rsid w:val="00374D1B"/>
  </w:style>
  <w:style w:type="table" w:customStyle="1" w:styleId="TableGrid1111">
    <w:name w:val="Table Grid1111"/>
    <w:basedOn w:val="TableNormal"/>
    <w:next w:val="TableGrid"/>
    <w:uiPriority w:val="39"/>
    <w:rsid w:val="00374D1B"/>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2">
    <w:name w:val="Heading 5 Char2"/>
    <w:basedOn w:val="DefaultParagraphFont"/>
    <w:uiPriority w:val="9"/>
    <w:semiHidden/>
    <w:rsid w:val="00374D1B"/>
    <w:rPr>
      <w:rFonts w:asciiTheme="majorHAnsi" w:eastAsiaTheme="majorEastAsia" w:hAnsiTheme="majorHAnsi" w:cstheme="majorBidi"/>
      <w:color w:val="365F91" w:themeColor="accent1" w:themeShade="BF"/>
      <w:sz w:val="24"/>
      <w:szCs w:val="24"/>
    </w:rPr>
  </w:style>
  <w:style w:type="character" w:customStyle="1" w:styleId="Heading6Char2">
    <w:name w:val="Heading 6 Char2"/>
    <w:basedOn w:val="DefaultParagraphFont"/>
    <w:uiPriority w:val="9"/>
    <w:semiHidden/>
    <w:rsid w:val="00374D1B"/>
    <w:rPr>
      <w:rFonts w:asciiTheme="majorHAnsi" w:eastAsiaTheme="majorEastAsia" w:hAnsiTheme="majorHAnsi" w:cstheme="majorBidi"/>
      <w:color w:val="243F60" w:themeColor="accent1" w:themeShade="7F"/>
      <w:sz w:val="24"/>
      <w:szCs w:val="24"/>
    </w:rPr>
  </w:style>
  <w:style w:type="character" w:customStyle="1" w:styleId="Heading7Char2">
    <w:name w:val="Heading 7 Char2"/>
    <w:basedOn w:val="DefaultParagraphFont"/>
    <w:uiPriority w:val="9"/>
    <w:semiHidden/>
    <w:rsid w:val="00374D1B"/>
    <w:rPr>
      <w:rFonts w:asciiTheme="majorHAnsi" w:eastAsiaTheme="majorEastAsia" w:hAnsiTheme="majorHAnsi" w:cstheme="majorBidi"/>
      <w:i/>
      <w:iCs/>
      <w:color w:val="243F60" w:themeColor="accent1" w:themeShade="7F"/>
      <w:sz w:val="24"/>
      <w:szCs w:val="24"/>
    </w:rPr>
  </w:style>
  <w:style w:type="character" w:customStyle="1" w:styleId="Heading8Char2">
    <w:name w:val="Heading 8 Char2"/>
    <w:basedOn w:val="DefaultParagraphFont"/>
    <w:uiPriority w:val="9"/>
    <w:semiHidden/>
    <w:rsid w:val="00374D1B"/>
    <w:rPr>
      <w:rFonts w:asciiTheme="majorHAnsi" w:eastAsiaTheme="majorEastAsia" w:hAnsiTheme="majorHAnsi" w:cstheme="majorBidi"/>
      <w:color w:val="272727" w:themeColor="text1" w:themeTint="D8"/>
      <w:sz w:val="21"/>
      <w:szCs w:val="21"/>
    </w:rPr>
  </w:style>
  <w:style w:type="character" w:customStyle="1" w:styleId="Heading9Char2">
    <w:name w:val="Heading 9 Char2"/>
    <w:basedOn w:val="DefaultParagraphFont"/>
    <w:uiPriority w:val="9"/>
    <w:semiHidden/>
    <w:rsid w:val="00374D1B"/>
    <w:rPr>
      <w:rFonts w:asciiTheme="majorHAnsi" w:eastAsiaTheme="majorEastAsia" w:hAnsiTheme="majorHAnsi" w:cstheme="majorBidi"/>
      <w:i/>
      <w:iCs/>
      <w:color w:val="272727" w:themeColor="text1" w:themeTint="D8"/>
      <w:sz w:val="21"/>
      <w:szCs w:val="21"/>
    </w:rPr>
  </w:style>
  <w:style w:type="character" w:customStyle="1" w:styleId="BodyTextChar4">
    <w:name w:val="Body Text Char4"/>
    <w:aliases w:val="(Main Text) Char1,date Char1,Body Text (Main text) Char4"/>
    <w:basedOn w:val="DefaultParagraphFont"/>
    <w:uiPriority w:val="99"/>
    <w:semiHidden/>
    <w:rsid w:val="00374D1B"/>
    <w:rPr>
      <w:rFonts w:ascii="Times New Roman" w:eastAsia="Times New Roman" w:hAnsi="Times New Roman" w:cs="Times New Roman"/>
      <w:sz w:val="24"/>
      <w:szCs w:val="24"/>
    </w:rPr>
  </w:style>
  <w:style w:type="character" w:customStyle="1" w:styleId="BodyTextIndent3Char2">
    <w:name w:val="Body Text Indent 3 Char2"/>
    <w:basedOn w:val="DefaultParagraphFont"/>
    <w:uiPriority w:val="99"/>
    <w:semiHidden/>
    <w:rsid w:val="00374D1B"/>
    <w:rPr>
      <w:rFonts w:ascii="Times New Roman" w:eastAsia="Times New Roman" w:hAnsi="Times New Roman" w:cs="Times New Roman"/>
      <w:sz w:val="16"/>
      <w:szCs w:val="16"/>
    </w:rPr>
  </w:style>
  <w:style w:type="character" w:customStyle="1" w:styleId="BodyTextIndent2Char2">
    <w:name w:val="Body Text Indent 2 Char2"/>
    <w:basedOn w:val="DefaultParagraphFont"/>
    <w:uiPriority w:val="99"/>
    <w:semiHidden/>
    <w:rsid w:val="00374D1B"/>
    <w:rPr>
      <w:rFonts w:ascii="Times New Roman" w:eastAsia="Times New Roman" w:hAnsi="Times New Roman" w:cs="Times New Roman"/>
      <w:sz w:val="24"/>
      <w:szCs w:val="24"/>
    </w:rPr>
  </w:style>
  <w:style w:type="character" w:customStyle="1" w:styleId="BodyTextIndentChar3">
    <w:name w:val="Body Text Indent Char3"/>
    <w:basedOn w:val="DefaultParagraphFont"/>
    <w:uiPriority w:val="99"/>
    <w:semiHidden/>
    <w:rsid w:val="00374D1B"/>
    <w:rPr>
      <w:rFonts w:ascii="Times New Roman" w:eastAsia="Times New Roman" w:hAnsi="Times New Roman" w:cs="Times New Roman"/>
      <w:sz w:val="24"/>
      <w:szCs w:val="24"/>
    </w:rPr>
  </w:style>
  <w:style w:type="character" w:customStyle="1" w:styleId="BodyText2Char2">
    <w:name w:val="Body Text 2 Char2"/>
    <w:aliases w:val="1Text Char2"/>
    <w:basedOn w:val="DefaultParagraphFont"/>
    <w:uiPriority w:val="99"/>
    <w:semiHidden/>
    <w:rsid w:val="00374D1B"/>
    <w:rPr>
      <w:rFonts w:ascii="Times New Roman" w:eastAsia="Times New Roman" w:hAnsi="Times New Roman" w:cs="Times New Roman"/>
      <w:sz w:val="24"/>
      <w:szCs w:val="24"/>
    </w:rPr>
  </w:style>
  <w:style w:type="character" w:customStyle="1" w:styleId="BodyText3Char2">
    <w:name w:val="Body Text 3 Char2"/>
    <w:basedOn w:val="DefaultParagraphFont"/>
    <w:uiPriority w:val="99"/>
    <w:semiHidden/>
    <w:rsid w:val="00374D1B"/>
    <w:rPr>
      <w:rFonts w:ascii="Times New Roman" w:eastAsia="Times New Roman" w:hAnsi="Times New Roman" w:cs="Times New Roman"/>
      <w:sz w:val="16"/>
      <w:szCs w:val="16"/>
    </w:rPr>
  </w:style>
  <w:style w:type="character" w:customStyle="1" w:styleId="EndnoteTextChar2">
    <w:name w:val="Endnote Text Char2"/>
    <w:basedOn w:val="DefaultParagraphFont"/>
    <w:uiPriority w:val="99"/>
    <w:semiHidden/>
    <w:rsid w:val="00374D1B"/>
    <w:rPr>
      <w:rFonts w:ascii="Times New Roman" w:eastAsia="Times New Roman" w:hAnsi="Times New Roman" w:cs="Times New Roman"/>
      <w:sz w:val="20"/>
      <w:szCs w:val="20"/>
    </w:rPr>
  </w:style>
  <w:style w:type="character" w:customStyle="1" w:styleId="TitleChar2">
    <w:name w:val="Title Char2"/>
    <w:basedOn w:val="DefaultParagraphFont"/>
    <w:uiPriority w:val="10"/>
    <w:rsid w:val="00374D1B"/>
    <w:rPr>
      <w:rFonts w:asciiTheme="majorHAnsi" w:eastAsiaTheme="majorEastAsia" w:hAnsiTheme="majorHAnsi" w:cstheme="majorBidi"/>
      <w:spacing w:val="-10"/>
      <w:kern w:val="28"/>
      <w:sz w:val="56"/>
      <w:szCs w:val="56"/>
    </w:rPr>
  </w:style>
  <w:style w:type="character" w:customStyle="1" w:styleId="PlainTextChar2">
    <w:name w:val="Plain Text Char2"/>
    <w:basedOn w:val="DefaultParagraphFont"/>
    <w:uiPriority w:val="99"/>
    <w:semiHidden/>
    <w:rsid w:val="00374D1B"/>
    <w:rPr>
      <w:rFonts w:ascii="Consolas" w:eastAsia="Times New Roman" w:hAnsi="Consolas" w:cs="Times New Roman"/>
      <w:sz w:val="21"/>
      <w:szCs w:val="21"/>
    </w:rPr>
  </w:style>
  <w:style w:type="character" w:customStyle="1" w:styleId="SubtitleChar3">
    <w:name w:val="Subtitle Char3"/>
    <w:basedOn w:val="DefaultParagraphFont"/>
    <w:uiPriority w:val="11"/>
    <w:rsid w:val="00374D1B"/>
    <w:rPr>
      <w:rFonts w:eastAsiaTheme="minorEastAsia"/>
      <w:color w:val="5A5A5A" w:themeColor="text1" w:themeTint="A5"/>
      <w:spacing w:val="15"/>
    </w:rPr>
  </w:style>
  <w:style w:type="character" w:customStyle="1" w:styleId="BodyTextFirstIndentChar3">
    <w:name w:val="Body Text First Indent Char3"/>
    <w:basedOn w:val="BodyTextChar4"/>
    <w:uiPriority w:val="99"/>
    <w:semiHidden/>
    <w:rsid w:val="00374D1B"/>
    <w:rPr>
      <w:rFonts w:ascii="Times New Roman" w:eastAsia="Times New Roman" w:hAnsi="Times New Roman" w:cs="Times New Roman"/>
      <w:sz w:val="24"/>
      <w:szCs w:val="24"/>
    </w:rPr>
  </w:style>
  <w:style w:type="character" w:customStyle="1" w:styleId="DocumentMapChar2">
    <w:name w:val="Document Map Char2"/>
    <w:basedOn w:val="DefaultParagraphFont"/>
    <w:uiPriority w:val="99"/>
    <w:semiHidden/>
    <w:rsid w:val="00374D1B"/>
    <w:rPr>
      <w:rFonts w:ascii="Segoe UI" w:eastAsia="Times New Roman" w:hAnsi="Segoe UI" w:cs="Segoe UI"/>
      <w:sz w:val="16"/>
      <w:szCs w:val="16"/>
    </w:rPr>
  </w:style>
  <w:style w:type="paragraph" w:styleId="Revision">
    <w:name w:val="Revision"/>
    <w:hidden/>
    <w:uiPriority w:val="99"/>
    <w:semiHidden/>
    <w:rsid w:val="00374D1B"/>
    <w:rPr>
      <w:rFonts w:ascii="Times New Roman" w:eastAsia="Times New Roman" w:hAnsi="Times New Roman" w:cs="Times New Roman"/>
      <w:sz w:val="24"/>
      <w:szCs w:val="24"/>
    </w:rPr>
  </w:style>
  <w:style w:type="character" w:customStyle="1" w:styleId="QuoteChar1">
    <w:name w:val="Quote Char1"/>
    <w:basedOn w:val="DefaultParagraphFont"/>
    <w:uiPriority w:val="29"/>
    <w:rsid w:val="00374D1B"/>
    <w:rPr>
      <w:rFonts w:ascii="Times New Roman" w:eastAsia="Times New Roman" w:hAnsi="Times New Roman" w:cs="Times New Roman"/>
      <w:i/>
      <w:iCs/>
      <w:color w:val="404040" w:themeColor="text1" w:themeTint="BF"/>
      <w:sz w:val="24"/>
      <w:szCs w:val="24"/>
    </w:rPr>
  </w:style>
  <w:style w:type="character" w:customStyle="1" w:styleId="IntenseQuoteChar1">
    <w:name w:val="Intense Quote Char1"/>
    <w:basedOn w:val="DefaultParagraphFont"/>
    <w:uiPriority w:val="30"/>
    <w:rsid w:val="00374D1B"/>
    <w:rPr>
      <w:rFonts w:ascii="Times New Roman" w:eastAsia="Times New Roman" w:hAnsi="Times New Roman" w:cs="Times New Roman"/>
      <w:i/>
      <w:iCs/>
      <w:color w:val="4F81BD" w:themeColor="accent1"/>
      <w:sz w:val="24"/>
      <w:szCs w:val="24"/>
    </w:rPr>
  </w:style>
  <w:style w:type="paragraph" w:styleId="z-TopofForm">
    <w:name w:val="HTML Top of Form"/>
    <w:basedOn w:val="Normal"/>
    <w:next w:val="Normal"/>
    <w:link w:val="z-TopofFormChar"/>
    <w:hidden/>
    <w:uiPriority w:val="99"/>
    <w:unhideWhenUsed/>
    <w:rsid w:val="00374D1B"/>
    <w:pPr>
      <w:pBdr>
        <w:bottom w:val="single" w:sz="6" w:space="1" w:color="auto"/>
      </w:pBdr>
      <w:spacing w:before="0" w:after="0" w:line="240" w:lineRule="auto"/>
      <w:ind w:firstLine="0"/>
      <w:jc w:val="center"/>
    </w:pPr>
    <w:rPr>
      <w:rFonts w:ascii="Arial" w:hAnsi="Arial"/>
      <w:vanish/>
      <w:sz w:val="16"/>
      <w:szCs w:val="16"/>
    </w:rPr>
  </w:style>
  <w:style w:type="character" w:customStyle="1" w:styleId="z-TopofFormChar1">
    <w:name w:val="z-Top of Form Char1"/>
    <w:basedOn w:val="DefaultParagraphFont"/>
    <w:uiPriority w:val="99"/>
    <w:semiHidden/>
    <w:rsid w:val="00374D1B"/>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374D1B"/>
    <w:pPr>
      <w:pBdr>
        <w:top w:val="single" w:sz="6" w:space="1" w:color="auto"/>
      </w:pBdr>
      <w:spacing w:before="0" w:after="0" w:line="240" w:lineRule="auto"/>
      <w:ind w:firstLine="0"/>
      <w:jc w:val="center"/>
    </w:pPr>
    <w:rPr>
      <w:rFonts w:ascii="Arial" w:hAnsi="Arial"/>
      <w:vanish/>
      <w:sz w:val="16"/>
      <w:szCs w:val="16"/>
    </w:rPr>
  </w:style>
  <w:style w:type="character" w:customStyle="1" w:styleId="z-BottomofFormChar1">
    <w:name w:val="z-Bottom of Form Char1"/>
    <w:basedOn w:val="DefaultParagraphFont"/>
    <w:uiPriority w:val="99"/>
    <w:semiHidden/>
    <w:rsid w:val="00374D1B"/>
    <w:rPr>
      <w:rFonts w:ascii="Arial" w:hAnsi="Arial" w:cs="Arial"/>
      <w:vanish/>
      <w:sz w:val="16"/>
      <w:szCs w:val="16"/>
    </w:rPr>
  </w:style>
  <w:style w:type="character" w:customStyle="1" w:styleId="HTMLPreformattedChar1">
    <w:name w:val="HTML Preformatted Char1"/>
    <w:basedOn w:val="DefaultParagraphFont"/>
    <w:uiPriority w:val="99"/>
    <w:semiHidden/>
    <w:rsid w:val="00374D1B"/>
    <w:rPr>
      <w:rFonts w:ascii="Consolas" w:eastAsia="Times New Roman" w:hAnsi="Consolas" w:cs="Times New Roman"/>
      <w:sz w:val="20"/>
      <w:szCs w:val="20"/>
    </w:rPr>
  </w:style>
  <w:style w:type="numbering" w:customStyle="1" w:styleId="NoList15">
    <w:name w:val="No List15"/>
    <w:next w:val="NoList"/>
    <w:uiPriority w:val="99"/>
    <w:semiHidden/>
    <w:unhideWhenUsed/>
    <w:rsid w:val="00374D1B"/>
  </w:style>
  <w:style w:type="paragraph" w:customStyle="1" w:styleId="TOC42">
    <w:name w:val="TOC 42"/>
    <w:basedOn w:val="Normal"/>
    <w:next w:val="Normal"/>
    <w:autoRedefine/>
    <w:uiPriority w:val="39"/>
    <w:rsid w:val="00374D1B"/>
    <w:pPr>
      <w:spacing w:before="0" w:after="0"/>
      <w:ind w:left="660"/>
      <w:jc w:val="left"/>
    </w:pPr>
    <w:rPr>
      <w:rFonts w:ascii="Calibri" w:eastAsia="Times New Roman" w:hAnsi="Calibri" w:cs="Calibri"/>
      <w:sz w:val="20"/>
      <w:szCs w:val="20"/>
    </w:rPr>
  </w:style>
  <w:style w:type="paragraph" w:customStyle="1" w:styleId="TOC52">
    <w:name w:val="TOC 52"/>
    <w:basedOn w:val="Normal"/>
    <w:next w:val="Normal"/>
    <w:autoRedefine/>
    <w:uiPriority w:val="39"/>
    <w:rsid w:val="00374D1B"/>
    <w:pPr>
      <w:spacing w:before="0" w:after="0"/>
      <w:ind w:left="880"/>
      <w:jc w:val="left"/>
    </w:pPr>
    <w:rPr>
      <w:rFonts w:ascii="Calibri" w:eastAsia="Times New Roman" w:hAnsi="Calibri" w:cs="Calibri"/>
      <w:sz w:val="20"/>
      <w:szCs w:val="20"/>
    </w:rPr>
  </w:style>
  <w:style w:type="paragraph" w:customStyle="1" w:styleId="TOC62">
    <w:name w:val="TOC 62"/>
    <w:basedOn w:val="Normal"/>
    <w:next w:val="Normal"/>
    <w:autoRedefine/>
    <w:uiPriority w:val="39"/>
    <w:rsid w:val="00374D1B"/>
    <w:pPr>
      <w:spacing w:before="0" w:after="0"/>
      <w:ind w:left="1100"/>
      <w:jc w:val="left"/>
    </w:pPr>
    <w:rPr>
      <w:rFonts w:ascii="Calibri" w:eastAsia="Times New Roman" w:hAnsi="Calibri" w:cs="Calibri"/>
      <w:sz w:val="20"/>
      <w:szCs w:val="20"/>
    </w:rPr>
  </w:style>
  <w:style w:type="paragraph" w:customStyle="1" w:styleId="TOC72">
    <w:name w:val="TOC 72"/>
    <w:basedOn w:val="Normal"/>
    <w:next w:val="Normal"/>
    <w:autoRedefine/>
    <w:uiPriority w:val="39"/>
    <w:rsid w:val="00374D1B"/>
    <w:pPr>
      <w:spacing w:before="0" w:after="0"/>
      <w:ind w:left="1320"/>
      <w:jc w:val="left"/>
    </w:pPr>
    <w:rPr>
      <w:rFonts w:ascii="Calibri" w:eastAsia="Times New Roman" w:hAnsi="Calibri" w:cs="Calibri"/>
      <w:sz w:val="20"/>
      <w:szCs w:val="20"/>
    </w:rPr>
  </w:style>
  <w:style w:type="paragraph" w:customStyle="1" w:styleId="TOC82">
    <w:name w:val="TOC 82"/>
    <w:basedOn w:val="Normal"/>
    <w:next w:val="Normal"/>
    <w:autoRedefine/>
    <w:uiPriority w:val="39"/>
    <w:rsid w:val="00374D1B"/>
    <w:pPr>
      <w:spacing w:before="0" w:after="0"/>
      <w:ind w:left="1540"/>
      <w:jc w:val="left"/>
    </w:pPr>
    <w:rPr>
      <w:rFonts w:ascii="Calibri" w:eastAsia="Times New Roman" w:hAnsi="Calibri" w:cs="Calibri"/>
      <w:sz w:val="20"/>
      <w:szCs w:val="20"/>
    </w:rPr>
  </w:style>
  <w:style w:type="paragraph" w:customStyle="1" w:styleId="TOC92">
    <w:name w:val="TOC 92"/>
    <w:basedOn w:val="Normal"/>
    <w:next w:val="Normal"/>
    <w:autoRedefine/>
    <w:uiPriority w:val="39"/>
    <w:rsid w:val="00374D1B"/>
    <w:pPr>
      <w:spacing w:before="0" w:after="0"/>
      <w:ind w:left="1760"/>
      <w:jc w:val="left"/>
    </w:pPr>
    <w:rPr>
      <w:rFonts w:ascii="Calibri" w:eastAsia="Times New Roman" w:hAnsi="Calibri" w:cs="Calibri"/>
      <w:sz w:val="20"/>
      <w:szCs w:val="20"/>
    </w:rPr>
  </w:style>
  <w:style w:type="table" w:customStyle="1" w:styleId="TableList72">
    <w:name w:val="Table List 72"/>
    <w:basedOn w:val="TableNormal"/>
    <w:next w:val="TableList7"/>
    <w:rsid w:val="00374D1B"/>
    <w:pPr>
      <w:spacing w:after="200" w:line="276" w:lineRule="auto"/>
    </w:pPr>
    <w:rPr>
      <w:rFonts w:eastAsia="Times New Roman"/>
      <w:sz w:val="22"/>
      <w:szCs w:val="22"/>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2">
    <w:name w:val="Table Web 32"/>
    <w:basedOn w:val="TableNormal"/>
    <w:next w:val="TableWeb3"/>
    <w:rsid w:val="00374D1B"/>
    <w:pPr>
      <w:spacing w:after="200" w:line="276" w:lineRule="auto"/>
    </w:pPr>
    <w:rPr>
      <w:rFonts w:eastAsia="Times New Roman"/>
      <w:sz w:val="22"/>
      <w:szCs w:val="22"/>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374D1B"/>
    <w:pPr>
      <w:spacing w:after="200" w:line="276" w:lineRule="auto"/>
    </w:pPr>
    <w:rPr>
      <w:rFonts w:eastAsia="Times New Roman"/>
      <w:sz w:val="22"/>
      <w:szCs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Web23">
    <w:name w:val="Table Web 23"/>
    <w:basedOn w:val="TableNormal"/>
    <w:next w:val="TableWeb2"/>
    <w:rsid w:val="00374D1B"/>
    <w:pPr>
      <w:spacing w:after="200" w:line="276" w:lineRule="auto"/>
    </w:pPr>
    <w:rPr>
      <w:rFonts w:eastAsia="Times New Roman"/>
      <w:sz w:val="22"/>
      <w:szCs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3">
    <w:name w:val="Table Web 13"/>
    <w:basedOn w:val="TableNormal"/>
    <w:next w:val="TableWeb1"/>
    <w:rsid w:val="00374D1B"/>
    <w:pPr>
      <w:spacing w:after="200" w:line="276" w:lineRule="auto"/>
    </w:pPr>
    <w:rPr>
      <w:rFonts w:eastAsia="Times New Roman"/>
      <w:sz w:val="22"/>
      <w:szCs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3">
    <w:name w:val="Table Grid 83"/>
    <w:basedOn w:val="TableNormal"/>
    <w:next w:val="TableGrid8"/>
    <w:rsid w:val="00374D1B"/>
    <w:pPr>
      <w:spacing w:after="200" w:line="276" w:lineRule="auto"/>
    </w:pPr>
    <w:rPr>
      <w:rFonts w:eastAsia="Times New Roman"/>
      <w:sz w:val="22"/>
      <w:szCs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3">
    <w:name w:val="Table Contemporary3"/>
    <w:basedOn w:val="TableNormal"/>
    <w:next w:val="TableContemporary"/>
    <w:rsid w:val="00374D1B"/>
    <w:pPr>
      <w:spacing w:after="200" w:line="276" w:lineRule="auto"/>
    </w:pPr>
    <w:rPr>
      <w:rFonts w:eastAsia="Times New Roman"/>
      <w:sz w:val="22"/>
      <w:szCs w:val="22"/>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6">
    <w:name w:val="No List16"/>
    <w:next w:val="NoList"/>
    <w:semiHidden/>
    <w:unhideWhenUsed/>
    <w:rsid w:val="00374D1B"/>
  </w:style>
  <w:style w:type="numbering" w:customStyle="1" w:styleId="NoList23">
    <w:name w:val="No List23"/>
    <w:next w:val="NoList"/>
    <w:semiHidden/>
    <w:unhideWhenUsed/>
    <w:rsid w:val="00374D1B"/>
  </w:style>
  <w:style w:type="numbering" w:customStyle="1" w:styleId="NoList33">
    <w:name w:val="No List33"/>
    <w:next w:val="NoList"/>
    <w:semiHidden/>
    <w:unhideWhenUsed/>
    <w:rsid w:val="00374D1B"/>
  </w:style>
  <w:style w:type="table" w:customStyle="1" w:styleId="LightList-Accent13">
    <w:name w:val="Light List - Accent 13"/>
    <w:basedOn w:val="TableNormal"/>
    <w:next w:val="LightList-Accent1"/>
    <w:uiPriority w:val="61"/>
    <w:rsid w:val="00374D1B"/>
    <w:pPr>
      <w:spacing w:after="200" w:line="276" w:lineRule="auto"/>
    </w:pPr>
    <w:rPr>
      <w:rFonts w:eastAsia="Times New Roman"/>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2">
    <w:name w:val="Table Grid 72"/>
    <w:basedOn w:val="TableNormal"/>
    <w:next w:val="TableGrid7"/>
    <w:rsid w:val="00374D1B"/>
    <w:pPr>
      <w:spacing w:after="200" w:line="276" w:lineRule="auto"/>
    </w:pPr>
    <w:rPr>
      <w:rFonts w:eastAsia="Times New Roman"/>
      <w:b/>
      <w:bCs/>
      <w:sz w:val="22"/>
      <w:szCs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ColorfulGrid-Accent14">
    <w:name w:val="Colorful Grid - Accent 14"/>
    <w:basedOn w:val="TableNormal"/>
    <w:next w:val="ColorfulGrid-Accent1"/>
    <w:uiPriority w:val="73"/>
    <w:rsid w:val="00374D1B"/>
    <w:pPr>
      <w:spacing w:after="200" w:line="276" w:lineRule="auto"/>
    </w:pPr>
    <w:rPr>
      <w:rFonts w:eastAsia="Times New Roman"/>
      <w:color w:val="000000"/>
      <w:sz w:val="22"/>
      <w:szCs w:val="22"/>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4">
    <w:name w:val="Light List - Accent 54"/>
    <w:basedOn w:val="TableNormal"/>
    <w:next w:val="LightList-Accent5"/>
    <w:uiPriority w:val="61"/>
    <w:rsid w:val="00374D1B"/>
    <w:pPr>
      <w:spacing w:after="200" w:line="276" w:lineRule="auto"/>
    </w:pPr>
    <w:rPr>
      <w:rFonts w:eastAsia="Times New Roman"/>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2">
    <w:name w:val="Table Simple 32"/>
    <w:basedOn w:val="TableNormal"/>
    <w:next w:val="TableSimple3"/>
    <w:rsid w:val="00374D1B"/>
    <w:pPr>
      <w:spacing w:after="200" w:line="276" w:lineRule="auto"/>
    </w:pPr>
    <w:rPr>
      <w:rFonts w:eastAsia="Times New Roman"/>
      <w:sz w:val="22"/>
      <w:szCs w:val="22"/>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2">
    <w:name w:val="Table Grid 52"/>
    <w:basedOn w:val="TableNormal"/>
    <w:next w:val="TableGrid5"/>
    <w:rsid w:val="00374D1B"/>
    <w:pPr>
      <w:spacing w:after="200" w:line="276" w:lineRule="auto"/>
    </w:pPr>
    <w:rPr>
      <w:rFonts w:eastAsia="Times New Roman"/>
      <w:sz w:val="22"/>
      <w:szCs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2">
    <w:name w:val="Table Grid 32"/>
    <w:basedOn w:val="TableNormal"/>
    <w:next w:val="TableGrid3"/>
    <w:rsid w:val="00374D1B"/>
    <w:pPr>
      <w:spacing w:after="200" w:line="276" w:lineRule="auto"/>
    </w:pPr>
    <w:rPr>
      <w:rFonts w:eastAsia="Times New Roman"/>
      <w:sz w:val="22"/>
      <w:szCs w:val="22"/>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20">
    <w:name w:val="Table Grid 12"/>
    <w:basedOn w:val="TableNormal"/>
    <w:next w:val="TableGrid1"/>
    <w:rsid w:val="00374D1B"/>
    <w:pPr>
      <w:spacing w:after="200" w:line="276" w:lineRule="auto"/>
    </w:pPr>
    <w:rPr>
      <w:rFonts w:eastAsia="Times New Roman"/>
      <w:sz w:val="22"/>
      <w:szCs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2">
    <w:name w:val="Table Columns 52"/>
    <w:basedOn w:val="TableNormal"/>
    <w:next w:val="TableColumns5"/>
    <w:rsid w:val="00374D1B"/>
    <w:pPr>
      <w:spacing w:after="200" w:line="276" w:lineRule="auto"/>
    </w:pPr>
    <w:rPr>
      <w:rFonts w:eastAsia="Times New Roman"/>
      <w:sz w:val="22"/>
      <w:szCs w:val="22"/>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LightList-Accent112">
    <w:name w:val="Light List - Accent 112"/>
    <w:basedOn w:val="TableNormal"/>
    <w:uiPriority w:val="61"/>
    <w:rsid w:val="00374D1B"/>
    <w:pPr>
      <w:spacing w:after="200" w:line="276" w:lineRule="auto"/>
    </w:pPr>
    <w:rPr>
      <w:rFonts w:eastAsia="Times New Roman"/>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140">
    <w:name w:val="Нет списка14"/>
    <w:next w:val="NoList"/>
    <w:semiHidden/>
    <w:unhideWhenUsed/>
    <w:rsid w:val="00374D1B"/>
  </w:style>
  <w:style w:type="table" w:customStyle="1" w:styleId="ColorfulGrid-Accent112">
    <w:name w:val="Colorful Grid - Accent 112"/>
    <w:basedOn w:val="TableNormal"/>
    <w:rsid w:val="00374D1B"/>
    <w:pPr>
      <w:spacing w:after="200" w:line="276" w:lineRule="auto"/>
    </w:pPr>
    <w:rPr>
      <w:rFonts w:eastAsia="Times New Roman"/>
      <w:color w:val="000000"/>
      <w:sz w:val="22"/>
      <w:szCs w:val="22"/>
      <w:lang w:eastAsia="ru-RU"/>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2">
    <w:name w:val="Light List - Accent 512"/>
    <w:basedOn w:val="TableNormal"/>
    <w:rsid w:val="00374D1B"/>
    <w:pPr>
      <w:spacing w:after="200" w:line="276" w:lineRule="auto"/>
    </w:pPr>
    <w:rPr>
      <w:rFonts w:eastAsia="Times New Roman"/>
      <w:sz w:val="22"/>
      <w:szCs w:val="22"/>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43">
    <w:name w:val="No List43"/>
    <w:next w:val="NoList"/>
    <w:semiHidden/>
    <w:rsid w:val="00374D1B"/>
  </w:style>
  <w:style w:type="numbering" w:customStyle="1" w:styleId="NoList113">
    <w:name w:val="No List113"/>
    <w:next w:val="NoList"/>
    <w:semiHidden/>
    <w:unhideWhenUsed/>
    <w:rsid w:val="00374D1B"/>
  </w:style>
  <w:style w:type="table" w:customStyle="1" w:styleId="Table3Deffects32">
    <w:name w:val="Table 3D effects 32"/>
    <w:basedOn w:val="TableNormal"/>
    <w:next w:val="Table3Deffects3"/>
    <w:rsid w:val="00374D1B"/>
    <w:pPr>
      <w:spacing w:after="200" w:line="276" w:lineRule="auto"/>
    </w:pPr>
    <w:rPr>
      <w:rFonts w:eastAsia="Times New Roman"/>
      <w:sz w:val="22"/>
      <w:szCs w:val="22"/>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30">
    <w:name w:val="Нет списка113"/>
    <w:next w:val="NoList"/>
    <w:semiHidden/>
    <w:unhideWhenUsed/>
    <w:rsid w:val="00374D1B"/>
  </w:style>
  <w:style w:type="numbering" w:customStyle="1" w:styleId="NoList52">
    <w:name w:val="No List52"/>
    <w:next w:val="NoList"/>
    <w:uiPriority w:val="99"/>
    <w:semiHidden/>
    <w:rsid w:val="00374D1B"/>
  </w:style>
  <w:style w:type="numbering" w:customStyle="1" w:styleId="NoList62">
    <w:name w:val="No List62"/>
    <w:next w:val="NoList"/>
    <w:uiPriority w:val="99"/>
    <w:semiHidden/>
    <w:unhideWhenUsed/>
    <w:rsid w:val="00374D1B"/>
  </w:style>
  <w:style w:type="table" w:customStyle="1" w:styleId="TableGrid23">
    <w:name w:val="Table Grid23"/>
    <w:basedOn w:val="TableNormal"/>
    <w:next w:val="TableGrid"/>
    <w:rsid w:val="00374D1B"/>
    <w:pPr>
      <w:spacing w:after="200" w:line="276" w:lineRule="auto"/>
    </w:pPr>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2">
    <w:name w:val="No List72"/>
    <w:next w:val="NoList"/>
    <w:uiPriority w:val="99"/>
    <w:semiHidden/>
    <w:unhideWhenUsed/>
    <w:rsid w:val="00374D1B"/>
  </w:style>
  <w:style w:type="numbering" w:customStyle="1" w:styleId="NoList122">
    <w:name w:val="No List122"/>
    <w:next w:val="NoList"/>
    <w:uiPriority w:val="99"/>
    <w:semiHidden/>
    <w:unhideWhenUsed/>
    <w:rsid w:val="00374D1B"/>
  </w:style>
  <w:style w:type="table" w:customStyle="1" w:styleId="TableGrid320">
    <w:name w:val="Table Grid32"/>
    <w:basedOn w:val="TableNormal"/>
    <w:next w:val="TableGrid"/>
    <w:rsid w:val="00374D1B"/>
    <w:pPr>
      <w:spacing w:after="200" w:line="276" w:lineRule="auto"/>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2">
    <w:name w:val="Table Web 212"/>
    <w:basedOn w:val="TableNormal"/>
    <w:next w:val="TableWeb2"/>
    <w:rsid w:val="00374D1B"/>
    <w:pPr>
      <w:spacing w:after="200" w:line="276" w:lineRule="auto"/>
    </w:pPr>
    <w:rPr>
      <w:rFonts w:eastAsia="Times New Roman"/>
      <w:sz w:val="22"/>
      <w:szCs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12">
    <w:name w:val="Table Web 112"/>
    <w:basedOn w:val="TableNormal"/>
    <w:next w:val="TableWeb1"/>
    <w:rsid w:val="00374D1B"/>
    <w:pPr>
      <w:spacing w:after="200" w:line="276" w:lineRule="auto"/>
    </w:pPr>
    <w:rPr>
      <w:rFonts w:eastAsia="Times New Roman"/>
      <w:sz w:val="22"/>
      <w:szCs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12">
    <w:name w:val="Table Grid 812"/>
    <w:basedOn w:val="TableNormal"/>
    <w:next w:val="TableGrid8"/>
    <w:rsid w:val="00374D1B"/>
    <w:pPr>
      <w:spacing w:after="200" w:line="276" w:lineRule="auto"/>
    </w:pPr>
    <w:rPr>
      <w:rFonts w:eastAsia="Times New Roman"/>
      <w:sz w:val="22"/>
      <w:szCs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12">
    <w:name w:val="Table Contemporary12"/>
    <w:basedOn w:val="TableNormal"/>
    <w:next w:val="TableContemporary"/>
    <w:rsid w:val="00374D1B"/>
    <w:pPr>
      <w:spacing w:after="200" w:line="276" w:lineRule="auto"/>
    </w:pPr>
    <w:rPr>
      <w:rFonts w:eastAsia="Times New Roman"/>
      <w:sz w:val="22"/>
      <w:szCs w:val="22"/>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Grid-Accent122">
    <w:name w:val="Colorful Grid - Accent 122"/>
    <w:basedOn w:val="TableNormal"/>
    <w:next w:val="ColorfulGrid-Accent1"/>
    <w:rsid w:val="00374D1B"/>
    <w:pPr>
      <w:spacing w:after="200" w:line="276" w:lineRule="auto"/>
    </w:pPr>
    <w:rPr>
      <w:rFonts w:eastAsia="Times New Roman"/>
      <w:color w:val="000000"/>
      <w:sz w:val="22"/>
      <w:szCs w:val="22"/>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2">
    <w:name w:val="Light List - Accent 522"/>
    <w:basedOn w:val="TableNormal"/>
    <w:next w:val="LightList-Accent5"/>
    <w:rsid w:val="00374D1B"/>
    <w:pPr>
      <w:spacing w:after="200" w:line="276" w:lineRule="auto"/>
    </w:pPr>
    <w:rPr>
      <w:rFonts w:eastAsia="Times New Roman"/>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82">
    <w:name w:val="No List82"/>
    <w:next w:val="NoList"/>
    <w:uiPriority w:val="99"/>
    <w:semiHidden/>
    <w:unhideWhenUsed/>
    <w:rsid w:val="00374D1B"/>
  </w:style>
  <w:style w:type="numbering" w:customStyle="1" w:styleId="122">
    <w:name w:val="Нет списка122"/>
    <w:next w:val="NoList"/>
    <w:uiPriority w:val="99"/>
    <w:semiHidden/>
    <w:unhideWhenUsed/>
    <w:rsid w:val="00374D1B"/>
  </w:style>
  <w:style w:type="numbering" w:customStyle="1" w:styleId="NoList132">
    <w:name w:val="No List132"/>
    <w:next w:val="NoList"/>
    <w:semiHidden/>
    <w:unhideWhenUsed/>
    <w:rsid w:val="00374D1B"/>
  </w:style>
  <w:style w:type="numbering" w:customStyle="1" w:styleId="NoList212">
    <w:name w:val="No List212"/>
    <w:next w:val="NoList"/>
    <w:semiHidden/>
    <w:unhideWhenUsed/>
    <w:rsid w:val="00374D1B"/>
  </w:style>
  <w:style w:type="numbering" w:customStyle="1" w:styleId="NoList312">
    <w:name w:val="No List312"/>
    <w:next w:val="NoList"/>
    <w:semiHidden/>
    <w:unhideWhenUsed/>
    <w:rsid w:val="00374D1B"/>
  </w:style>
  <w:style w:type="numbering" w:customStyle="1" w:styleId="1113">
    <w:name w:val="Нет списка1113"/>
    <w:next w:val="NoList"/>
    <w:semiHidden/>
    <w:unhideWhenUsed/>
    <w:rsid w:val="00374D1B"/>
  </w:style>
  <w:style w:type="numbering" w:customStyle="1" w:styleId="NoList412">
    <w:name w:val="No List412"/>
    <w:next w:val="NoList"/>
    <w:semiHidden/>
    <w:rsid w:val="00374D1B"/>
  </w:style>
  <w:style w:type="numbering" w:customStyle="1" w:styleId="NoList1112">
    <w:name w:val="No List1112"/>
    <w:next w:val="NoList"/>
    <w:semiHidden/>
    <w:unhideWhenUsed/>
    <w:rsid w:val="00374D1B"/>
  </w:style>
  <w:style w:type="numbering" w:customStyle="1" w:styleId="11112">
    <w:name w:val="Нет списка11112"/>
    <w:next w:val="NoList"/>
    <w:semiHidden/>
    <w:unhideWhenUsed/>
    <w:rsid w:val="00374D1B"/>
  </w:style>
  <w:style w:type="numbering" w:customStyle="1" w:styleId="NoList91">
    <w:name w:val="No List91"/>
    <w:next w:val="NoList"/>
    <w:uiPriority w:val="99"/>
    <w:semiHidden/>
    <w:unhideWhenUsed/>
    <w:rsid w:val="00374D1B"/>
  </w:style>
  <w:style w:type="table" w:customStyle="1" w:styleId="TableGrid42">
    <w:name w:val="Table Grid42"/>
    <w:basedOn w:val="TableNormal"/>
    <w:next w:val="TableGrid"/>
    <w:uiPriority w:val="39"/>
    <w:rsid w:val="00374D1B"/>
    <w:pPr>
      <w:spacing w:after="200" w:line="276" w:lineRule="auto"/>
    </w:pPr>
    <w:rPr>
      <w:rFonts w:eastAsia="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2">
    <w:name w:val="Grid Table 1 Light - Accent 512"/>
    <w:basedOn w:val="TableNormal"/>
    <w:uiPriority w:val="46"/>
    <w:rsid w:val="00374D1B"/>
    <w:pPr>
      <w:spacing w:after="200" w:line="276" w:lineRule="auto"/>
    </w:pPr>
    <w:rPr>
      <w:rFonts w:eastAsia="Calibri" w:cs="Calibri"/>
      <w:sz w:val="22"/>
      <w:szCs w:val="22"/>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PlainTable311">
    <w:name w:val="Plain Table 311"/>
    <w:basedOn w:val="TableNormal"/>
    <w:uiPriority w:val="43"/>
    <w:rsid w:val="00374D1B"/>
    <w:pPr>
      <w:spacing w:after="200" w:line="276" w:lineRule="auto"/>
    </w:pPr>
    <w:rPr>
      <w:rFonts w:eastAsia="Calibri"/>
      <w:sz w:val="24"/>
      <w:szCs w:val="24"/>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Accent111">
    <w:name w:val="Grid Table 4 - Accent 111"/>
    <w:basedOn w:val="TableNormal"/>
    <w:uiPriority w:val="49"/>
    <w:rsid w:val="00374D1B"/>
    <w:pPr>
      <w:spacing w:after="200" w:line="276" w:lineRule="auto"/>
    </w:pPr>
    <w:rPr>
      <w:rFonts w:eastAsia="Calibri"/>
      <w:sz w:val="24"/>
      <w:szCs w:val="24"/>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01">
    <w:name w:val="No List101"/>
    <w:next w:val="NoList"/>
    <w:uiPriority w:val="99"/>
    <w:semiHidden/>
    <w:unhideWhenUsed/>
    <w:rsid w:val="00374D1B"/>
  </w:style>
  <w:style w:type="table" w:customStyle="1" w:styleId="TableGrid510">
    <w:name w:val="Table Grid51"/>
    <w:basedOn w:val="TableNormal"/>
    <w:next w:val="TableGrid"/>
    <w:uiPriority w:val="39"/>
    <w:rsid w:val="00374D1B"/>
    <w:pPr>
      <w:spacing w:after="200" w:line="276" w:lineRule="auto"/>
    </w:pPr>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712">
    <w:name w:val="Table List 712"/>
    <w:basedOn w:val="TableNormal"/>
    <w:next w:val="TableList7"/>
    <w:rsid w:val="00374D1B"/>
    <w:pPr>
      <w:spacing w:after="200" w:line="276" w:lineRule="auto"/>
    </w:pPr>
    <w:rPr>
      <w:rFonts w:ascii="Times New Roman" w:eastAsia="Times New Roman" w:hAnsi="Times New Roman"/>
      <w:sz w:val="22"/>
      <w:szCs w:val="22"/>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Web312">
    <w:name w:val="Table Web 312"/>
    <w:basedOn w:val="TableNormal"/>
    <w:next w:val="TableWeb3"/>
    <w:rsid w:val="00374D1B"/>
    <w:pPr>
      <w:spacing w:after="200" w:line="276" w:lineRule="auto"/>
    </w:pPr>
    <w:rPr>
      <w:rFonts w:ascii="Times New Roman" w:eastAsia="Times New Roman" w:hAnsi="Times New Roman"/>
      <w:sz w:val="22"/>
      <w:szCs w:val="22"/>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2">
    <w:name w:val="Table Elegant12"/>
    <w:basedOn w:val="TableNormal"/>
    <w:next w:val="TableElegant"/>
    <w:rsid w:val="00374D1B"/>
    <w:pPr>
      <w:spacing w:after="200" w:line="276" w:lineRule="auto"/>
    </w:pPr>
    <w:rPr>
      <w:rFonts w:ascii="Times New Roman" w:eastAsia="Times New Roman" w:hAnsi="Times New Roman"/>
      <w:sz w:val="22"/>
      <w:szCs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Web221">
    <w:name w:val="Table Web 221"/>
    <w:basedOn w:val="TableNormal"/>
    <w:next w:val="TableWeb2"/>
    <w:rsid w:val="00374D1B"/>
    <w:pPr>
      <w:spacing w:after="200" w:line="276" w:lineRule="auto"/>
    </w:pPr>
    <w:rPr>
      <w:rFonts w:ascii="Times New Roman" w:eastAsia="Times New Roman" w:hAnsi="Times New Roman"/>
      <w:sz w:val="22"/>
      <w:szCs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21">
    <w:name w:val="Table Web 121"/>
    <w:basedOn w:val="TableNormal"/>
    <w:next w:val="TableWeb1"/>
    <w:rsid w:val="00374D1B"/>
    <w:pPr>
      <w:spacing w:after="200" w:line="276" w:lineRule="auto"/>
    </w:pPr>
    <w:rPr>
      <w:rFonts w:ascii="Times New Roman" w:eastAsia="Times New Roman" w:hAnsi="Times New Roman"/>
      <w:sz w:val="22"/>
      <w:szCs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21">
    <w:name w:val="Table Grid 821"/>
    <w:basedOn w:val="TableNormal"/>
    <w:next w:val="TableGrid8"/>
    <w:rsid w:val="00374D1B"/>
    <w:pPr>
      <w:spacing w:after="200" w:line="276" w:lineRule="auto"/>
    </w:pPr>
    <w:rPr>
      <w:rFonts w:ascii="Times New Roman" w:eastAsia="Times New Roman" w:hAnsi="Times New Roman"/>
      <w:sz w:val="22"/>
      <w:szCs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21">
    <w:name w:val="Table Contemporary21"/>
    <w:basedOn w:val="TableNormal"/>
    <w:next w:val="TableContemporary"/>
    <w:rsid w:val="00374D1B"/>
    <w:pPr>
      <w:spacing w:after="200" w:line="276" w:lineRule="auto"/>
    </w:pPr>
    <w:rPr>
      <w:rFonts w:ascii="Times New Roman" w:eastAsia="Times New Roman" w:hAnsi="Times New Roman"/>
      <w:sz w:val="22"/>
      <w:szCs w:val="22"/>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41">
    <w:name w:val="No List141"/>
    <w:next w:val="NoList"/>
    <w:semiHidden/>
    <w:unhideWhenUsed/>
    <w:rsid w:val="00374D1B"/>
  </w:style>
  <w:style w:type="numbering" w:customStyle="1" w:styleId="NoList221">
    <w:name w:val="No List221"/>
    <w:next w:val="NoList"/>
    <w:semiHidden/>
    <w:unhideWhenUsed/>
    <w:rsid w:val="00374D1B"/>
  </w:style>
  <w:style w:type="numbering" w:customStyle="1" w:styleId="NoList321">
    <w:name w:val="No List321"/>
    <w:next w:val="NoList"/>
    <w:semiHidden/>
    <w:unhideWhenUsed/>
    <w:rsid w:val="00374D1B"/>
  </w:style>
  <w:style w:type="table" w:customStyle="1" w:styleId="LightList-Accent121">
    <w:name w:val="Light List - Accent 121"/>
    <w:basedOn w:val="TableNormal"/>
    <w:uiPriority w:val="61"/>
    <w:rsid w:val="00374D1B"/>
    <w:pPr>
      <w:spacing w:after="200" w:line="276" w:lineRule="auto"/>
    </w:pPr>
    <w:rPr>
      <w:rFonts w:ascii="Times New Roman" w:eastAsia="Times New Roman" w:hAnsi="Times New Roman"/>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12">
    <w:name w:val="Table Grid 712"/>
    <w:basedOn w:val="TableNormal"/>
    <w:next w:val="TableGrid7"/>
    <w:rsid w:val="00374D1B"/>
    <w:pPr>
      <w:spacing w:after="200" w:line="276" w:lineRule="auto"/>
    </w:pPr>
    <w:rPr>
      <w:rFonts w:ascii="Times New Roman" w:eastAsia="Times New Roman" w:hAnsi="Times New Roman"/>
      <w:b/>
      <w:bCs/>
      <w:sz w:val="22"/>
      <w:szCs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ColorfulGrid-Accent131">
    <w:name w:val="Colorful Grid - Accent 131"/>
    <w:basedOn w:val="TableNormal"/>
    <w:next w:val="ColorfulGrid-Accent1"/>
    <w:uiPriority w:val="73"/>
    <w:rsid w:val="00374D1B"/>
    <w:pPr>
      <w:spacing w:after="200" w:line="276" w:lineRule="auto"/>
    </w:pPr>
    <w:rPr>
      <w:rFonts w:ascii="Times New Roman" w:eastAsia="Times New Roman" w:hAnsi="Times New Roman"/>
      <w:color w:val="000000"/>
      <w:sz w:val="22"/>
      <w:szCs w:val="22"/>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31">
    <w:name w:val="Light List - Accent 531"/>
    <w:basedOn w:val="TableNormal"/>
    <w:next w:val="LightList-Accent5"/>
    <w:uiPriority w:val="61"/>
    <w:rsid w:val="00374D1B"/>
    <w:pPr>
      <w:spacing w:after="200" w:line="276" w:lineRule="auto"/>
    </w:pPr>
    <w:rPr>
      <w:rFonts w:ascii="Times New Roman" w:eastAsia="Times New Roman" w:hAnsi="Times New Roman"/>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Simple312">
    <w:name w:val="Table Simple 312"/>
    <w:basedOn w:val="TableNormal"/>
    <w:next w:val="TableSimple3"/>
    <w:rsid w:val="00374D1B"/>
    <w:pPr>
      <w:spacing w:after="200" w:line="276" w:lineRule="auto"/>
    </w:pPr>
    <w:rPr>
      <w:rFonts w:ascii="Times New Roman" w:eastAsia="Times New Roman" w:hAnsi="Times New Roman"/>
      <w:sz w:val="22"/>
      <w:szCs w:val="22"/>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Grid512">
    <w:name w:val="Table Grid 512"/>
    <w:basedOn w:val="TableNormal"/>
    <w:next w:val="TableGrid5"/>
    <w:rsid w:val="00374D1B"/>
    <w:pPr>
      <w:spacing w:after="200" w:line="276" w:lineRule="auto"/>
    </w:pPr>
    <w:rPr>
      <w:rFonts w:ascii="Times New Roman" w:eastAsia="Times New Roman" w:hAnsi="Times New Roman"/>
      <w:sz w:val="22"/>
      <w:szCs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312">
    <w:name w:val="Table Grid 312"/>
    <w:basedOn w:val="TableNormal"/>
    <w:next w:val="TableGrid3"/>
    <w:rsid w:val="00374D1B"/>
    <w:pPr>
      <w:spacing w:after="200" w:line="276" w:lineRule="auto"/>
    </w:pPr>
    <w:rPr>
      <w:rFonts w:ascii="Times New Roman" w:eastAsia="Times New Roman" w:hAnsi="Times New Roman"/>
      <w:sz w:val="22"/>
      <w:szCs w:val="22"/>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112">
    <w:name w:val="Table Grid 112"/>
    <w:basedOn w:val="TableNormal"/>
    <w:next w:val="TableGrid1"/>
    <w:rsid w:val="00374D1B"/>
    <w:pPr>
      <w:spacing w:after="200" w:line="276" w:lineRule="auto"/>
    </w:pPr>
    <w:rPr>
      <w:rFonts w:ascii="Times New Roman" w:eastAsia="Times New Roman" w:hAnsi="Times New Roman"/>
      <w:sz w:val="22"/>
      <w:szCs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olumns512">
    <w:name w:val="Table Columns 512"/>
    <w:basedOn w:val="TableNormal"/>
    <w:next w:val="TableColumns5"/>
    <w:rsid w:val="00374D1B"/>
    <w:pPr>
      <w:spacing w:after="200" w:line="276" w:lineRule="auto"/>
    </w:pPr>
    <w:rPr>
      <w:rFonts w:ascii="Times New Roman" w:eastAsia="Times New Roman" w:hAnsi="Times New Roman"/>
      <w:sz w:val="22"/>
      <w:szCs w:val="22"/>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LightList-Accent1111">
    <w:name w:val="Light List - Accent 1111"/>
    <w:basedOn w:val="TableNormal"/>
    <w:uiPriority w:val="61"/>
    <w:rsid w:val="00374D1B"/>
    <w:pPr>
      <w:spacing w:after="200" w:line="276" w:lineRule="auto"/>
    </w:pPr>
    <w:rPr>
      <w:rFonts w:ascii="Times New Roman" w:eastAsia="Times New Roman" w:hAnsi="Times New Roman"/>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1310">
    <w:name w:val="Нет списка131"/>
    <w:next w:val="NoList"/>
    <w:semiHidden/>
    <w:unhideWhenUsed/>
    <w:rsid w:val="00374D1B"/>
  </w:style>
  <w:style w:type="table" w:customStyle="1" w:styleId="ColorfulGrid-Accent1111">
    <w:name w:val="Colorful Grid - Accent 1111"/>
    <w:basedOn w:val="TableNormal"/>
    <w:rsid w:val="00374D1B"/>
    <w:pPr>
      <w:spacing w:after="200" w:line="276" w:lineRule="auto"/>
    </w:pPr>
    <w:rPr>
      <w:rFonts w:ascii="Times New Roman" w:eastAsia="Times New Roman" w:hAnsi="Times New Roman"/>
      <w:color w:val="000000"/>
      <w:sz w:val="22"/>
      <w:szCs w:val="22"/>
      <w:lang w:eastAsia="ru-RU"/>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111">
    <w:name w:val="Light List - Accent 5111"/>
    <w:basedOn w:val="TableNormal"/>
    <w:rsid w:val="00374D1B"/>
    <w:pPr>
      <w:spacing w:after="200" w:line="276" w:lineRule="auto"/>
    </w:pPr>
    <w:rPr>
      <w:rFonts w:ascii="Times New Roman" w:eastAsia="Times New Roman" w:hAnsi="Times New Roman"/>
      <w:sz w:val="22"/>
      <w:szCs w:val="22"/>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421">
    <w:name w:val="No List421"/>
    <w:next w:val="NoList"/>
    <w:semiHidden/>
    <w:rsid w:val="00374D1B"/>
  </w:style>
  <w:style w:type="numbering" w:customStyle="1" w:styleId="NoList1121">
    <w:name w:val="No List1121"/>
    <w:next w:val="NoList"/>
    <w:semiHidden/>
    <w:unhideWhenUsed/>
    <w:rsid w:val="00374D1B"/>
  </w:style>
  <w:style w:type="table" w:customStyle="1" w:styleId="Table3Deffects312">
    <w:name w:val="Table 3D effects 312"/>
    <w:basedOn w:val="TableNormal"/>
    <w:next w:val="Table3Deffects3"/>
    <w:rsid w:val="00374D1B"/>
    <w:pPr>
      <w:spacing w:after="200" w:line="276" w:lineRule="auto"/>
    </w:pPr>
    <w:rPr>
      <w:rFonts w:ascii="Times New Roman" w:eastAsia="Times New Roman" w:hAnsi="Times New Roman"/>
      <w:sz w:val="22"/>
      <w:szCs w:val="22"/>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21">
    <w:name w:val="Нет списка1121"/>
    <w:next w:val="NoList"/>
    <w:semiHidden/>
    <w:unhideWhenUsed/>
    <w:rsid w:val="00374D1B"/>
  </w:style>
  <w:style w:type="table" w:customStyle="1" w:styleId="TableGrid1120">
    <w:name w:val="Table Grid112"/>
    <w:basedOn w:val="TableNormal"/>
    <w:next w:val="TableGrid"/>
    <w:rsid w:val="00374D1B"/>
    <w:pPr>
      <w:spacing w:after="200" w:line="276" w:lineRule="auto"/>
    </w:pPr>
    <w:rPr>
      <w:rFonts w:ascii="Times New Roman" w:eastAsia="Times New Roman" w:hAnsi="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1">
    <w:name w:val="No List511"/>
    <w:next w:val="NoList"/>
    <w:uiPriority w:val="99"/>
    <w:semiHidden/>
    <w:rsid w:val="00374D1B"/>
  </w:style>
  <w:style w:type="numbering" w:customStyle="1" w:styleId="NoList611">
    <w:name w:val="No List611"/>
    <w:next w:val="NoList"/>
    <w:uiPriority w:val="99"/>
    <w:semiHidden/>
    <w:unhideWhenUsed/>
    <w:rsid w:val="00374D1B"/>
  </w:style>
  <w:style w:type="table" w:customStyle="1" w:styleId="TableGrid211">
    <w:name w:val="Table Grid211"/>
    <w:basedOn w:val="TableNormal"/>
    <w:next w:val="TableGrid"/>
    <w:rsid w:val="00374D1B"/>
    <w:pPr>
      <w:spacing w:after="200" w:line="276" w:lineRule="auto"/>
    </w:pPr>
    <w:rPr>
      <w:rFonts w:ascii="Times New Roman" w:eastAsia="Times New Roman" w:hAnsi="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11">
    <w:name w:val="No List711"/>
    <w:next w:val="NoList"/>
    <w:uiPriority w:val="99"/>
    <w:semiHidden/>
    <w:unhideWhenUsed/>
    <w:rsid w:val="00374D1B"/>
  </w:style>
  <w:style w:type="numbering" w:customStyle="1" w:styleId="NoList1211">
    <w:name w:val="No List1211"/>
    <w:next w:val="NoList"/>
    <w:uiPriority w:val="99"/>
    <w:semiHidden/>
    <w:unhideWhenUsed/>
    <w:rsid w:val="00374D1B"/>
  </w:style>
  <w:style w:type="table" w:customStyle="1" w:styleId="TableGrid3110">
    <w:name w:val="Table Grid311"/>
    <w:basedOn w:val="TableNormal"/>
    <w:next w:val="TableGrid"/>
    <w:rsid w:val="00374D1B"/>
    <w:pPr>
      <w:spacing w:after="200" w:line="276" w:lineRule="auto"/>
    </w:pPr>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2111">
    <w:name w:val="Table Web 2111"/>
    <w:basedOn w:val="TableNormal"/>
    <w:next w:val="TableWeb2"/>
    <w:rsid w:val="00374D1B"/>
    <w:pPr>
      <w:spacing w:after="200" w:line="276" w:lineRule="auto"/>
    </w:pPr>
    <w:rPr>
      <w:rFonts w:ascii="Times New Roman" w:eastAsia="Times New Roman" w:hAnsi="Times New Roman"/>
      <w:sz w:val="22"/>
      <w:szCs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1111">
    <w:name w:val="Table Web 1111"/>
    <w:basedOn w:val="TableNormal"/>
    <w:next w:val="TableWeb1"/>
    <w:rsid w:val="00374D1B"/>
    <w:pPr>
      <w:spacing w:after="200" w:line="276" w:lineRule="auto"/>
    </w:pPr>
    <w:rPr>
      <w:rFonts w:ascii="Times New Roman" w:eastAsia="Times New Roman" w:hAnsi="Times New Roman"/>
      <w:sz w:val="22"/>
      <w:szCs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8111">
    <w:name w:val="Table Grid 8111"/>
    <w:basedOn w:val="TableNormal"/>
    <w:next w:val="TableGrid8"/>
    <w:rsid w:val="00374D1B"/>
    <w:pPr>
      <w:spacing w:after="200" w:line="276" w:lineRule="auto"/>
    </w:pPr>
    <w:rPr>
      <w:rFonts w:ascii="Times New Roman" w:eastAsia="Times New Roman" w:hAnsi="Times New Roman"/>
      <w:sz w:val="22"/>
      <w:szCs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Contemporary111">
    <w:name w:val="Table Contemporary111"/>
    <w:basedOn w:val="TableNormal"/>
    <w:next w:val="TableContemporary"/>
    <w:rsid w:val="00374D1B"/>
    <w:pPr>
      <w:spacing w:after="200" w:line="276" w:lineRule="auto"/>
    </w:pPr>
    <w:rPr>
      <w:rFonts w:ascii="Times New Roman" w:eastAsia="Times New Roman" w:hAnsi="Times New Roman"/>
      <w:sz w:val="22"/>
      <w:szCs w:val="22"/>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Grid-Accent1211">
    <w:name w:val="Colorful Grid - Accent 1211"/>
    <w:basedOn w:val="TableNormal"/>
    <w:next w:val="ColorfulGrid-Accent1"/>
    <w:rsid w:val="00374D1B"/>
    <w:pPr>
      <w:spacing w:after="200" w:line="276" w:lineRule="auto"/>
    </w:pPr>
    <w:rPr>
      <w:rFonts w:ascii="Times New Roman" w:eastAsia="Times New Roman" w:hAnsi="Times New Roman"/>
      <w:color w:val="000000"/>
      <w:sz w:val="22"/>
      <w:szCs w:val="22"/>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List-Accent5211">
    <w:name w:val="Light List - Accent 5211"/>
    <w:basedOn w:val="TableNormal"/>
    <w:next w:val="LightList-Accent5"/>
    <w:rsid w:val="00374D1B"/>
    <w:pPr>
      <w:spacing w:after="200" w:line="276" w:lineRule="auto"/>
    </w:pPr>
    <w:rPr>
      <w:rFonts w:ascii="Times New Roman" w:eastAsia="Times New Roman" w:hAnsi="Times New Roman"/>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numbering" w:customStyle="1" w:styleId="NoList811">
    <w:name w:val="No List811"/>
    <w:next w:val="NoList"/>
    <w:uiPriority w:val="99"/>
    <w:semiHidden/>
    <w:unhideWhenUsed/>
    <w:rsid w:val="00374D1B"/>
  </w:style>
  <w:style w:type="numbering" w:customStyle="1" w:styleId="1211">
    <w:name w:val="Нет списка1211"/>
    <w:next w:val="NoList"/>
    <w:uiPriority w:val="99"/>
    <w:semiHidden/>
    <w:unhideWhenUsed/>
    <w:rsid w:val="00374D1B"/>
  </w:style>
  <w:style w:type="numbering" w:customStyle="1" w:styleId="NoList1311">
    <w:name w:val="No List1311"/>
    <w:next w:val="NoList"/>
    <w:semiHidden/>
    <w:unhideWhenUsed/>
    <w:rsid w:val="00374D1B"/>
  </w:style>
  <w:style w:type="numbering" w:customStyle="1" w:styleId="NoList2111">
    <w:name w:val="No List2111"/>
    <w:next w:val="NoList"/>
    <w:semiHidden/>
    <w:unhideWhenUsed/>
    <w:rsid w:val="00374D1B"/>
  </w:style>
  <w:style w:type="numbering" w:customStyle="1" w:styleId="NoList3111">
    <w:name w:val="No List3111"/>
    <w:next w:val="NoList"/>
    <w:semiHidden/>
    <w:unhideWhenUsed/>
    <w:rsid w:val="00374D1B"/>
  </w:style>
  <w:style w:type="numbering" w:customStyle="1" w:styleId="11121">
    <w:name w:val="Нет списка11121"/>
    <w:next w:val="NoList"/>
    <w:semiHidden/>
    <w:unhideWhenUsed/>
    <w:rsid w:val="00374D1B"/>
  </w:style>
  <w:style w:type="numbering" w:customStyle="1" w:styleId="NoList4111">
    <w:name w:val="No List4111"/>
    <w:next w:val="NoList"/>
    <w:semiHidden/>
    <w:rsid w:val="00374D1B"/>
  </w:style>
  <w:style w:type="numbering" w:customStyle="1" w:styleId="NoList11112">
    <w:name w:val="No List11112"/>
    <w:next w:val="NoList"/>
    <w:semiHidden/>
    <w:unhideWhenUsed/>
    <w:rsid w:val="00374D1B"/>
  </w:style>
  <w:style w:type="numbering" w:customStyle="1" w:styleId="111111">
    <w:name w:val="Нет списка111111"/>
    <w:next w:val="NoList"/>
    <w:semiHidden/>
    <w:unhideWhenUsed/>
    <w:rsid w:val="00374D1B"/>
  </w:style>
  <w:style w:type="table" w:customStyle="1" w:styleId="TableGrid61">
    <w:name w:val="Table Grid61"/>
    <w:basedOn w:val="TableNormal"/>
    <w:next w:val="TableGrid"/>
    <w:uiPriority w:val="39"/>
    <w:rsid w:val="00374D1B"/>
    <w:pPr>
      <w:jc w:val="center"/>
    </w:pPr>
    <w:rPr>
      <w:rFonts w:ascii="Sylfaen" w:eastAsia="Calibri" w:hAnsi="Sylfaen"/>
      <w:sz w:val="24"/>
      <w:szCs w:val="22"/>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1">
    <w:name w:val="Grid Table 1 Light - Accent 5111"/>
    <w:basedOn w:val="TableNormal"/>
    <w:uiPriority w:val="46"/>
    <w:rsid w:val="00374D1B"/>
    <w:rPr>
      <w:rFonts w:ascii="Calibri" w:eastAsia="Calibri" w:hAnsi="Calibri" w:cs="Calibri"/>
      <w:sz w:val="22"/>
      <w:szCs w:val="22"/>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21">
    <w:name w:val="Table Grid221"/>
    <w:basedOn w:val="TableNormal"/>
    <w:next w:val="TableGrid"/>
    <w:uiPriority w:val="39"/>
    <w:rsid w:val="00374D1B"/>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374D1B"/>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374D1B"/>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
    <w:basedOn w:val="TableNormal"/>
    <w:next w:val="TableGrid"/>
    <w:uiPriority w:val="39"/>
    <w:rsid w:val="00374D1B"/>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TableNormal"/>
    <w:next w:val="TableGrid"/>
    <w:uiPriority w:val="39"/>
    <w:rsid w:val="00374D1B"/>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374D1B"/>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374D1B"/>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rsid w:val="00374D1B"/>
    <w:rPr>
      <w:rFonts w:eastAsiaTheme="minorHAnsi"/>
      <w:sz w:val="22"/>
      <w:szCs w:val="22"/>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TableGrid2214">
    <w:name w:val="Table Grid2214"/>
    <w:basedOn w:val="TableNormal"/>
    <w:next w:val="TableGrid"/>
    <w:uiPriority w:val="39"/>
    <w:rsid w:val="00374D1B"/>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uiPriority w:val="39"/>
    <w:rsid w:val="00374D1B"/>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11">
    <w:name w:val="Grid Table 1 Light - Accent 51111"/>
    <w:basedOn w:val="TableNormal"/>
    <w:uiPriority w:val="46"/>
    <w:rsid w:val="00374D1B"/>
    <w:rPr>
      <w:rFonts w:ascii="Calibri" w:eastAsia="Calibri" w:hAnsi="Calibri" w:cs="Calibri"/>
      <w:sz w:val="22"/>
      <w:szCs w:val="22"/>
      <w:lang w:val="hy-AM"/>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1113112">
    <w:name w:val="Table Grid1113112"/>
    <w:basedOn w:val="TableNormal"/>
    <w:next w:val="TableGrid"/>
    <w:uiPriority w:val="39"/>
    <w:rsid w:val="00374D1B"/>
    <w:pPr>
      <w:spacing w:after="200" w:line="276" w:lineRule="auto"/>
    </w:pPr>
    <w:rPr>
      <w:rFonts w:ascii="Times New Roman" w:eastAsia="Times New Roman" w:hAnsi="Times New Roman" w:cs="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MediumShading1-Accent11">
    <w:name w:val="Medium Shading 1 - Accent 11"/>
    <w:basedOn w:val="TableNormal"/>
    <w:next w:val="MediumShading1-Accent1"/>
    <w:uiPriority w:val="63"/>
    <w:rsid w:val="00374D1B"/>
    <w:rPr>
      <w:rFonts w:eastAsiaTheme="minorHAnsi"/>
      <w:sz w:val="22"/>
      <w:szCs w:val="22"/>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1">
    <w:name w:val="Medium Shading 1 Accent 1"/>
    <w:basedOn w:val="TableNormal"/>
    <w:uiPriority w:val="63"/>
    <w:unhideWhenUsed/>
    <w:rsid w:val="00374D1B"/>
    <w:rPr>
      <w:rFonts w:eastAsiaTheme="minorHAnsi"/>
      <w:sz w:val="22"/>
      <w:szCs w:val="22"/>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LightShading-Accent2">
    <w:name w:val="Light Shading Accent 2"/>
    <w:basedOn w:val="TableNormal"/>
    <w:uiPriority w:val="60"/>
    <w:rsid w:val="00374D1B"/>
    <w:rPr>
      <w:rFonts w:eastAsiaTheme="minorHAnsi"/>
      <w:color w:val="943634" w:themeColor="accent2" w:themeShade="BF"/>
      <w:sz w:val="22"/>
      <w:szCs w:val="22"/>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142121">
    <w:name w:val="Table Grid142121"/>
    <w:basedOn w:val="TableNormal"/>
    <w:next w:val="TableGrid"/>
    <w:uiPriority w:val="39"/>
    <w:rsid w:val="00374D1B"/>
    <w:pPr>
      <w:spacing w:after="200" w:line="276" w:lineRule="auto"/>
    </w:pPr>
    <w:rPr>
      <w:rFonts w:ascii="Calibri" w:eastAsia="Times New Roman"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2">
    <w:name w:val="Grid Table 1 Light - Accent 52"/>
    <w:basedOn w:val="TableNormal"/>
    <w:uiPriority w:val="46"/>
    <w:rsid w:val="00BA12C4"/>
    <w:rPr>
      <w:rFonts w:eastAsiaTheme="minorHAnsi"/>
      <w:sz w:val="22"/>
      <w:szCs w:val="22"/>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customStyle="1" w:styleId="CharChara">
    <w:name w:val="Char Char"/>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CharCharChar4">
    <w:name w:val="Char Char Char"/>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BodyText30">
    <w:name w:val="Body Text3"/>
    <w:basedOn w:val="Normal"/>
    <w:rsid w:val="00D641C7"/>
    <w:pPr>
      <w:tabs>
        <w:tab w:val="num" w:pos="0"/>
      </w:tabs>
      <w:spacing w:before="0" w:after="240" w:line="240" w:lineRule="auto"/>
      <w:ind w:firstLine="0"/>
    </w:pPr>
    <w:rPr>
      <w:rFonts w:ascii="Times Armenian" w:eastAsia="Times New Roman" w:hAnsi="Times Armenian" w:cs="Times New Roman"/>
      <w:sz w:val="24"/>
      <w:szCs w:val="24"/>
      <w:lang w:eastAsia="ru-RU"/>
    </w:rPr>
  </w:style>
  <w:style w:type="paragraph" w:customStyle="1" w:styleId="Char8">
    <w:name w:val="Char"/>
    <w:basedOn w:val="Normal"/>
    <w:next w:val="Normal"/>
    <w:rsid w:val="00D641C7"/>
    <w:pPr>
      <w:spacing w:before="0" w:after="160" w:line="240" w:lineRule="exact"/>
      <w:ind w:firstLine="0"/>
      <w:jc w:val="left"/>
    </w:pPr>
    <w:rPr>
      <w:rFonts w:ascii="Tahoma" w:eastAsia="Times New Roman" w:hAnsi="Tahoma" w:cs="Times New Roman"/>
      <w:sz w:val="24"/>
      <w:szCs w:val="20"/>
    </w:rPr>
  </w:style>
  <w:style w:type="paragraph" w:customStyle="1" w:styleId="Znak0">
    <w:name w:val="Znak"/>
    <w:basedOn w:val="Normal"/>
    <w:rsid w:val="00D641C7"/>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CharCharCharCharCharChar0">
    <w:name w:val="Char Char Char Char Char Char Char Char"/>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CharCharCharCharCharCharCharCharCharCharCharCharCharCharChar0">
    <w:name w:val="Char Char Char Char Знак Char Знак Char Char Char Char Char Char Char Char Char Char"/>
    <w:basedOn w:val="Normal"/>
    <w:qFormat/>
    <w:rsid w:val="00D641C7"/>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af3">
    <w:name w:val="Знак Знак"/>
    <w:basedOn w:val="Normal"/>
    <w:link w:val="Char9"/>
    <w:rsid w:val="00D641C7"/>
    <w:pPr>
      <w:spacing w:before="0" w:after="160" w:line="240" w:lineRule="exact"/>
      <w:ind w:firstLine="0"/>
      <w:jc w:val="left"/>
    </w:pPr>
    <w:rPr>
      <w:rFonts w:ascii="Arial" w:eastAsia="Times New Roman" w:hAnsi="Arial" w:cs="Arial"/>
      <w:sz w:val="20"/>
      <w:szCs w:val="20"/>
      <w:lang w:val="en-GB"/>
    </w:rPr>
  </w:style>
  <w:style w:type="character" w:customStyle="1" w:styleId="Char9">
    <w:name w:val="Знак Знак Char"/>
    <w:link w:val="af3"/>
    <w:rsid w:val="00D641C7"/>
    <w:rPr>
      <w:rFonts w:ascii="Arial" w:eastAsia="Times New Roman" w:hAnsi="Arial" w:cs="Arial"/>
      <w:lang w:val="en-GB"/>
    </w:rPr>
  </w:style>
  <w:style w:type="paragraph" w:customStyle="1" w:styleId="CharCharChar5">
    <w:name w:val="Char Char Char Знак Знак"/>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CharCharCharCharCharCharCharCharCharChar0">
    <w:name w:val="Char Char Char Char Char Char Char Char Char Char"/>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CharCharCharCharCharCharCharCharCharCharCharCharChar0">
    <w:name w:val="Char Char Char Char Char Char Char Char Char Char Char Char Char"/>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af4">
    <w:name w:val="Абзац списка"/>
    <w:basedOn w:val="Normal"/>
    <w:qFormat/>
    <w:rsid w:val="00D641C7"/>
    <w:pPr>
      <w:spacing w:before="0" w:after="200" w:line="276" w:lineRule="auto"/>
      <w:ind w:left="720" w:firstLine="0"/>
      <w:contextualSpacing/>
      <w:jc w:val="left"/>
    </w:pPr>
    <w:rPr>
      <w:rFonts w:ascii="Calibri" w:eastAsia="Times New Roman" w:hAnsi="Calibri" w:cs="Times New Roman"/>
      <w:lang w:val="ru-RU" w:eastAsia="ru-RU"/>
    </w:rPr>
  </w:style>
  <w:style w:type="paragraph" w:customStyle="1" w:styleId="1CharChar0">
    <w:name w:val="Знак Знак1 Char Char Знак Знак"/>
    <w:basedOn w:val="Normal"/>
    <w:rsid w:val="00D641C7"/>
    <w:pPr>
      <w:tabs>
        <w:tab w:val="num" w:pos="840"/>
      </w:tabs>
      <w:spacing w:before="0" w:after="160" w:line="240" w:lineRule="exact"/>
      <w:ind w:left="840" w:hanging="360"/>
    </w:pPr>
    <w:rPr>
      <w:rFonts w:ascii="Verdana" w:eastAsia="Times New Roman" w:hAnsi="Verdana" w:cs="Times New Roman"/>
      <w:sz w:val="20"/>
      <w:szCs w:val="20"/>
      <w:lang w:val="ru-RU"/>
    </w:rPr>
  </w:style>
  <w:style w:type="paragraph" w:customStyle="1" w:styleId="CharCharCharChar4">
    <w:name w:val="Знак Знак Char Char Знак Знак Char Char Знак Знак"/>
    <w:basedOn w:val="Normal"/>
    <w:autoRedefine/>
    <w:rsid w:val="00D641C7"/>
    <w:pPr>
      <w:spacing w:before="0" w:after="160" w:line="240" w:lineRule="exact"/>
      <w:ind w:firstLine="0"/>
      <w:jc w:val="left"/>
    </w:pPr>
    <w:rPr>
      <w:rFonts w:ascii="Times New Roman" w:eastAsia="Times New Roman" w:hAnsi="Times New Roman" w:cs="Times New Roman"/>
      <w:sz w:val="28"/>
      <w:szCs w:val="20"/>
    </w:rPr>
  </w:style>
  <w:style w:type="paragraph" w:customStyle="1" w:styleId="af5">
    <w:name w:val="Обычный"/>
    <w:rsid w:val="00D641C7"/>
    <w:pPr>
      <w:autoSpaceDE w:val="0"/>
      <w:autoSpaceDN w:val="0"/>
    </w:pPr>
    <w:rPr>
      <w:rFonts w:ascii="Times New Roman" w:eastAsia="Times New Roman" w:hAnsi="Times New Roman" w:cs="Times New Roman"/>
      <w:lang w:val="ru-RU" w:eastAsia="ru-RU"/>
    </w:rPr>
  </w:style>
  <w:style w:type="paragraph" w:customStyle="1" w:styleId="Chara">
    <w:name w:val="Знак Знак Знак Знак Знак Знак Знак Знак Знак Знак Знак Знак Знак Знак Знак Знак Знак Знак Char Знак Знак"/>
    <w:basedOn w:val="Normal"/>
    <w:autoRedefine/>
    <w:rsid w:val="00D641C7"/>
    <w:pPr>
      <w:spacing w:before="0" w:after="160" w:line="240" w:lineRule="exact"/>
      <w:ind w:firstLine="0"/>
      <w:jc w:val="left"/>
    </w:pPr>
    <w:rPr>
      <w:rFonts w:ascii="Times New Roman" w:eastAsia="Times New Roman" w:hAnsi="Times New Roman" w:cs="Times New Roman"/>
      <w:sz w:val="28"/>
      <w:szCs w:val="20"/>
    </w:rPr>
  </w:style>
  <w:style w:type="paragraph" w:customStyle="1" w:styleId="CharCharChar6">
    <w:name w:val="Char Char Char Знак"/>
    <w:basedOn w:val="Normal"/>
    <w:next w:val="Normal"/>
    <w:rsid w:val="00D641C7"/>
    <w:pPr>
      <w:spacing w:before="0" w:after="160" w:line="240" w:lineRule="exact"/>
      <w:ind w:firstLine="0"/>
      <w:jc w:val="left"/>
    </w:pPr>
    <w:rPr>
      <w:rFonts w:ascii="Tahoma" w:eastAsia="Times New Roman" w:hAnsi="Tahoma" w:cs="Times New Roman"/>
      <w:sz w:val="24"/>
      <w:szCs w:val="20"/>
    </w:rPr>
  </w:style>
  <w:style w:type="paragraph" w:customStyle="1" w:styleId="CharCharChar1Char0">
    <w:name w:val="Char Char Char1 Char"/>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1f8">
    <w:name w:val="Знак Знак1"/>
    <w:basedOn w:val="Normal"/>
    <w:rsid w:val="00D641C7"/>
    <w:pPr>
      <w:spacing w:before="0" w:after="160" w:line="240" w:lineRule="exact"/>
      <w:ind w:firstLine="0"/>
      <w:jc w:val="left"/>
    </w:pPr>
    <w:rPr>
      <w:rFonts w:ascii="Arial" w:eastAsia="MS Mincho" w:hAnsi="Arial" w:cs="Arial"/>
      <w:sz w:val="20"/>
      <w:szCs w:val="20"/>
    </w:rPr>
  </w:style>
  <w:style w:type="paragraph" w:customStyle="1" w:styleId="CharCharCharCharChar4">
    <w:name w:val="Char Char Char Char Char Знак Знак"/>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CharChar1CharCharChar1Char0">
    <w:name w:val="Char Char1 Char Char Char1 Char"/>
    <w:basedOn w:val="Normal"/>
    <w:autoRedefine/>
    <w:rsid w:val="00D641C7"/>
    <w:pPr>
      <w:spacing w:before="0" w:after="0" w:line="240" w:lineRule="auto"/>
      <w:ind w:firstLine="0"/>
      <w:jc w:val="left"/>
    </w:pPr>
    <w:rPr>
      <w:rFonts w:ascii="Times New Roman" w:eastAsia="SimSun" w:hAnsi="Times New Roman" w:cs="Times New Roman"/>
      <w:sz w:val="20"/>
      <w:szCs w:val="20"/>
      <w:lang w:eastAsia="ru-RU"/>
    </w:rPr>
  </w:style>
  <w:style w:type="paragraph" w:customStyle="1" w:styleId="46">
    <w:name w:val="Знак Знак4"/>
    <w:basedOn w:val="Normal"/>
    <w:rsid w:val="00D641C7"/>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b">
    <w:name w:val="Знак Char Знак"/>
    <w:basedOn w:val="Normal"/>
    <w:rsid w:val="00D641C7"/>
    <w:pPr>
      <w:spacing w:before="0" w:after="160" w:line="240" w:lineRule="exact"/>
      <w:ind w:firstLine="0"/>
      <w:jc w:val="left"/>
    </w:pPr>
    <w:rPr>
      <w:rFonts w:ascii="Arial" w:eastAsia="Batang" w:hAnsi="Arial" w:cs="Arial"/>
      <w:sz w:val="20"/>
      <w:szCs w:val="20"/>
    </w:rPr>
  </w:style>
  <w:style w:type="paragraph" w:customStyle="1" w:styleId="CharCharCharCharCharChar4">
    <w:name w:val="Знак Знак Char Char Знак Знак Char Char Знак Знак Char Char"/>
    <w:basedOn w:val="Normal"/>
    <w:autoRedefine/>
    <w:rsid w:val="00D641C7"/>
    <w:pPr>
      <w:spacing w:before="0" w:after="160" w:line="240" w:lineRule="exact"/>
      <w:ind w:firstLine="0"/>
      <w:jc w:val="left"/>
    </w:pPr>
    <w:rPr>
      <w:rFonts w:ascii="Times New Roman" w:eastAsia="Times New Roman" w:hAnsi="Times New Roman" w:cs="Times New Roman"/>
      <w:sz w:val="28"/>
      <w:szCs w:val="20"/>
    </w:rPr>
  </w:style>
  <w:style w:type="paragraph" w:customStyle="1" w:styleId="2e">
    <w:name w:val="Знак Знак2"/>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CharCharCharCharChar5">
    <w:name w:val="Char Char Char Char Char"/>
    <w:basedOn w:val="Normal"/>
    <w:rsid w:val="00D641C7"/>
    <w:pPr>
      <w:spacing w:before="0" w:after="160" w:line="240" w:lineRule="exact"/>
      <w:ind w:firstLine="0"/>
      <w:jc w:val="left"/>
    </w:pPr>
    <w:rPr>
      <w:rFonts w:ascii="Arial" w:eastAsia="Times New Roman" w:hAnsi="Arial" w:cs="Arial"/>
      <w:sz w:val="20"/>
      <w:szCs w:val="20"/>
    </w:rPr>
  </w:style>
  <w:style w:type="character" w:customStyle="1" w:styleId="CharChar180">
    <w:name w:val="Char Char18"/>
    <w:rsid w:val="00D641C7"/>
    <w:rPr>
      <w:rFonts w:ascii="Arial Armenian" w:eastAsia="Times New Roman" w:hAnsi="Arial Armenian"/>
      <w:i/>
      <w:sz w:val="22"/>
      <w:u w:val="single"/>
      <w:lang w:val="en-GB"/>
    </w:rPr>
  </w:style>
  <w:style w:type="character" w:customStyle="1" w:styleId="CharChar190">
    <w:name w:val="Char Char19"/>
    <w:rsid w:val="00D641C7"/>
    <w:rPr>
      <w:b/>
      <w:sz w:val="32"/>
      <w:lang w:val="en-GB" w:eastAsia="en-US" w:bidi="ar-SA"/>
    </w:rPr>
  </w:style>
  <w:style w:type="character" w:customStyle="1" w:styleId="CharChar214">
    <w:name w:val="Char Char21"/>
    <w:rsid w:val="00D641C7"/>
    <w:rPr>
      <w:rFonts w:ascii="Arial Armenian" w:hAnsi="Arial Armenian"/>
      <w:i/>
      <w:sz w:val="22"/>
      <w:u w:val="single"/>
      <w:lang w:val="en-GB" w:eastAsia="en-US" w:bidi="ar-SA"/>
    </w:rPr>
  </w:style>
  <w:style w:type="character" w:customStyle="1" w:styleId="CharChar200">
    <w:name w:val="Char Char20"/>
    <w:rsid w:val="00D641C7"/>
    <w:rPr>
      <w:rFonts w:ascii="Garamond" w:hAnsi="Garamond"/>
      <w:i/>
      <w:spacing w:val="-5"/>
      <w:sz w:val="28"/>
      <w:lang w:val="en-GB" w:eastAsia="en-US" w:bidi="ar-SA"/>
    </w:rPr>
  </w:style>
  <w:style w:type="character" w:customStyle="1" w:styleId="CharChar140">
    <w:name w:val="Char Char14"/>
    <w:uiPriority w:val="99"/>
    <w:rsid w:val="00D641C7"/>
    <w:rPr>
      <w:sz w:val="36"/>
      <w:lang w:val="en-GB"/>
    </w:rPr>
  </w:style>
  <w:style w:type="character" w:customStyle="1" w:styleId="CharChar50">
    <w:name w:val="Char Char5"/>
    <w:uiPriority w:val="99"/>
    <w:rsid w:val="00D641C7"/>
    <w:rPr>
      <w:rFonts w:ascii="Arial Armenian" w:hAnsi="Arial Armenian" w:cs="Sylfaen"/>
      <w:sz w:val="24"/>
      <w:szCs w:val="24"/>
      <w:lang w:val="ru-RU" w:eastAsia="ru-RU"/>
    </w:rPr>
  </w:style>
  <w:style w:type="character" w:customStyle="1" w:styleId="CharChar160">
    <w:name w:val="Char Char16"/>
    <w:uiPriority w:val="99"/>
    <w:rsid w:val="00D641C7"/>
    <w:rPr>
      <w:rFonts w:ascii="Times New Roman" w:hAnsi="Times New Roman"/>
      <w:b/>
      <w:sz w:val="32"/>
      <w:lang w:val="en-GB"/>
    </w:rPr>
  </w:style>
  <w:style w:type="character" w:customStyle="1" w:styleId="CharChar170">
    <w:name w:val="Char Char17"/>
    <w:rsid w:val="00D641C7"/>
    <w:rPr>
      <w:rFonts w:ascii="Arial Armenian" w:hAnsi="Arial Armenian"/>
      <w:i/>
      <w:sz w:val="22"/>
      <w:u w:val="single"/>
      <w:lang w:val="en-GB" w:eastAsia="en-US" w:bidi="ar-SA"/>
    </w:rPr>
  </w:style>
  <w:style w:type="paragraph" w:customStyle="1" w:styleId="CharCharCharCharCharChar5">
    <w:name w:val="Char Char Char Char Char Char"/>
    <w:basedOn w:val="Normal"/>
    <w:rsid w:val="00D641C7"/>
    <w:pPr>
      <w:spacing w:before="0" w:after="160" w:line="240" w:lineRule="exact"/>
      <w:ind w:firstLine="0"/>
      <w:jc w:val="left"/>
    </w:pPr>
    <w:rPr>
      <w:rFonts w:ascii="Arial" w:eastAsia="Times New Roman" w:hAnsi="Arial" w:cs="Arial"/>
      <w:sz w:val="20"/>
      <w:szCs w:val="20"/>
    </w:rPr>
  </w:style>
  <w:style w:type="paragraph" w:customStyle="1" w:styleId="CharChar1a">
    <w:name w:val="Char Char1"/>
    <w:basedOn w:val="Normal"/>
    <w:rsid w:val="00D641C7"/>
    <w:pPr>
      <w:spacing w:before="0" w:after="160" w:line="240" w:lineRule="exact"/>
      <w:ind w:firstLine="0"/>
      <w:jc w:val="left"/>
    </w:pPr>
    <w:rPr>
      <w:rFonts w:ascii="Arial" w:eastAsia="Times New Roman" w:hAnsi="Arial" w:cs="Arial"/>
      <w:sz w:val="20"/>
      <w:szCs w:val="20"/>
    </w:rPr>
  </w:style>
  <w:style w:type="character" w:customStyle="1" w:styleId="CharChar114">
    <w:name w:val="Char Char11"/>
    <w:uiPriority w:val="99"/>
    <w:rsid w:val="00D641C7"/>
    <w:rPr>
      <w:rFonts w:ascii="Arial Armenian" w:hAnsi="Arial Armenian"/>
      <w:lang w:val="ru-RU" w:eastAsia="ru-RU" w:bidi="ar-SA"/>
    </w:rPr>
  </w:style>
  <w:style w:type="paragraph" w:customStyle="1" w:styleId="af6">
    <w:name w:val="Знак"/>
    <w:basedOn w:val="Normal"/>
    <w:rsid w:val="00D641C7"/>
    <w:pPr>
      <w:spacing w:before="0" w:after="160" w:line="240" w:lineRule="exact"/>
      <w:ind w:firstLine="0"/>
      <w:jc w:val="left"/>
    </w:pPr>
    <w:rPr>
      <w:rFonts w:ascii="Arial" w:eastAsia="Times New Roman" w:hAnsi="Arial" w:cs="Arial"/>
      <w:sz w:val="20"/>
      <w:szCs w:val="20"/>
      <w:lang w:val="en-GB"/>
    </w:rPr>
  </w:style>
  <w:style w:type="paragraph" w:customStyle="1" w:styleId="af7">
    <w:name w:val="Без интервала"/>
    <w:uiPriority w:val="1"/>
    <w:qFormat/>
    <w:rsid w:val="00D641C7"/>
    <w:rPr>
      <w:rFonts w:ascii="Calibri" w:eastAsia="Times New Roman" w:hAnsi="Calibri" w:cs="Times New Roman"/>
      <w:sz w:val="22"/>
      <w:szCs w:val="22"/>
    </w:rPr>
  </w:style>
  <w:style w:type="paragraph" w:customStyle="1" w:styleId="af8">
    <w:name w:val="Рецензия"/>
    <w:hidden/>
    <w:semiHidden/>
    <w:rsid w:val="00D641C7"/>
    <w:rPr>
      <w:rFonts w:ascii="Arial Armenian" w:eastAsia="Times New Roman" w:hAnsi="Arial Armenian" w:cs="Sylfaen"/>
      <w:sz w:val="24"/>
      <w:szCs w:val="24"/>
      <w:lang w:val="ru-RU" w:eastAsia="ru-RU"/>
    </w:rPr>
  </w:style>
  <w:style w:type="character" w:customStyle="1" w:styleId="CharChar280">
    <w:name w:val="Char Char28"/>
    <w:rsid w:val="00D641C7"/>
    <w:rPr>
      <w:rFonts w:ascii="Arial Armenian" w:hAnsi="Arial Armenian"/>
      <w:i/>
      <w:sz w:val="22"/>
      <w:u w:val="single"/>
      <w:lang w:val="en-GB"/>
    </w:rPr>
  </w:style>
  <w:style w:type="character" w:customStyle="1" w:styleId="CharChar270">
    <w:name w:val="Char Char27"/>
    <w:rsid w:val="00D641C7"/>
    <w:rPr>
      <w:rFonts w:ascii="Garamond" w:hAnsi="Garamond"/>
      <w:i/>
      <w:spacing w:val="-5"/>
      <w:sz w:val="28"/>
      <w:shd w:val="pct5" w:color="auto" w:fill="auto"/>
      <w:lang w:val="en-GB"/>
    </w:rPr>
  </w:style>
  <w:style w:type="character" w:customStyle="1" w:styleId="CharChar260">
    <w:name w:val="Char Char26"/>
    <w:rsid w:val="00D641C7"/>
    <w:rPr>
      <w:rFonts w:ascii="Arial Black" w:hAnsi="Arial Black"/>
      <w:caps/>
      <w:spacing w:val="60"/>
      <w:position w:val="4"/>
      <w:sz w:val="14"/>
      <w:lang w:val="en-GB"/>
    </w:rPr>
  </w:style>
  <w:style w:type="character" w:customStyle="1" w:styleId="CharChar250">
    <w:name w:val="Char Char25"/>
    <w:rsid w:val="00D641C7"/>
    <w:rPr>
      <w:rFonts w:ascii="Garamond" w:hAnsi="Garamond"/>
      <w:b/>
      <w:i/>
      <w:kern w:val="28"/>
      <w:lang w:val="en-GB"/>
    </w:rPr>
  </w:style>
  <w:style w:type="character" w:customStyle="1" w:styleId="CharChar240">
    <w:name w:val="Char Char24"/>
    <w:rsid w:val="00D641C7"/>
    <w:rPr>
      <w:rFonts w:ascii="Arial Armenian" w:hAnsi="Arial Armenian"/>
      <w:noProof/>
      <w:lang w:val="en-US" w:eastAsia="en-US" w:bidi="ar-SA"/>
    </w:rPr>
  </w:style>
  <w:style w:type="character" w:customStyle="1" w:styleId="CharChar230">
    <w:name w:val="Char Char23"/>
    <w:rsid w:val="00D641C7"/>
    <w:rPr>
      <w:rFonts w:ascii="Arial Armenian" w:hAnsi="Arial Armenian"/>
      <w:lang w:val="en-GB" w:eastAsia="en-US" w:bidi="ar-SA"/>
    </w:rPr>
  </w:style>
  <w:style w:type="character" w:customStyle="1" w:styleId="CharChar220">
    <w:name w:val="Char Char22"/>
    <w:qFormat/>
    <w:rsid w:val="00D641C7"/>
    <w:rPr>
      <w:rFonts w:ascii="Arial Armenian" w:hAnsi="Arial Armenian"/>
      <w:lang w:val="ru-RU" w:eastAsia="ru-RU" w:bidi="ar-SA"/>
    </w:rPr>
  </w:style>
  <w:style w:type="paragraph" w:customStyle="1" w:styleId="Char1CharCharCharCharCharCharCharCharCharCharCharChar0">
    <w:name w:val="Char1 Char Char Char Char Char Char Char Char Char Char Char Char"/>
    <w:basedOn w:val="Normal"/>
    <w:rsid w:val="00D641C7"/>
    <w:pPr>
      <w:spacing w:before="0" w:after="160" w:line="240" w:lineRule="exact"/>
      <w:ind w:firstLine="0"/>
      <w:jc w:val="left"/>
    </w:pPr>
    <w:rPr>
      <w:rFonts w:ascii="Arial" w:eastAsia="Times New Roman" w:hAnsi="Arial" w:cs="Arial"/>
      <w:sz w:val="20"/>
      <w:szCs w:val="20"/>
    </w:rPr>
  </w:style>
  <w:style w:type="character" w:customStyle="1" w:styleId="CharChar150">
    <w:name w:val="Char Char15"/>
    <w:rsid w:val="00D641C7"/>
    <w:rPr>
      <w:sz w:val="36"/>
      <w:lang w:val="en-GB" w:eastAsia="en-US" w:bidi="ar-SA"/>
    </w:rPr>
  </w:style>
  <w:style w:type="character" w:customStyle="1" w:styleId="CharChar130">
    <w:name w:val="Char Char13"/>
    <w:rsid w:val="00D641C7"/>
    <w:rPr>
      <w:sz w:val="22"/>
      <w:lang w:val="en-GB" w:eastAsia="en-US" w:bidi="ar-SA"/>
    </w:rPr>
  </w:style>
  <w:style w:type="character" w:customStyle="1" w:styleId="CharChar120">
    <w:name w:val="Char Char12"/>
    <w:rsid w:val="00D641C7"/>
    <w:rPr>
      <w:sz w:val="22"/>
      <w:lang w:val="en-GB" w:eastAsia="en-US" w:bidi="ar-SA"/>
    </w:rPr>
  </w:style>
  <w:style w:type="character" w:customStyle="1" w:styleId="CharChar100">
    <w:name w:val="Char Char10"/>
    <w:rsid w:val="00D641C7"/>
    <w:rPr>
      <w:rFonts w:ascii="Times Armenian" w:hAnsi="Times Armenian"/>
      <w:color w:val="993300"/>
      <w:sz w:val="22"/>
      <w:szCs w:val="24"/>
      <w:lang w:val="hy-AM" w:eastAsia="en-US" w:bidi="ar-SA"/>
    </w:rPr>
  </w:style>
  <w:style w:type="character" w:customStyle="1" w:styleId="CharChar90">
    <w:name w:val="Char Char9"/>
    <w:rsid w:val="00D641C7"/>
    <w:rPr>
      <w:rFonts w:ascii="Times Armenian" w:hAnsi="Times Armenian"/>
      <w:b/>
      <w:i/>
      <w:sz w:val="24"/>
      <w:u w:val="single"/>
      <w:lang w:val="hy-AM" w:eastAsia="en-US" w:bidi="ar-SA"/>
    </w:rPr>
  </w:style>
  <w:style w:type="character" w:customStyle="1" w:styleId="CharChar350">
    <w:name w:val="Char Char35"/>
    <w:rsid w:val="00D641C7"/>
    <w:rPr>
      <w:rFonts w:ascii="Arial Armenian" w:hAnsi="Arial Armenian"/>
      <w:i/>
      <w:sz w:val="22"/>
      <w:u w:val="single"/>
      <w:lang w:val="en-GB" w:eastAsia="x-none"/>
    </w:rPr>
  </w:style>
  <w:style w:type="character" w:customStyle="1" w:styleId="CharChar340">
    <w:name w:val="Char Char34"/>
    <w:rsid w:val="00D641C7"/>
    <w:rPr>
      <w:rFonts w:ascii="Garamond" w:hAnsi="Garamond"/>
      <w:i/>
      <w:spacing w:val="-5"/>
      <w:sz w:val="28"/>
      <w:shd w:val="pct5" w:color="auto" w:fill="auto"/>
      <w:lang w:val="en-GB" w:eastAsia="x-none"/>
    </w:rPr>
  </w:style>
  <w:style w:type="character" w:customStyle="1" w:styleId="CharChar330">
    <w:name w:val="Char Char33"/>
    <w:rsid w:val="00D641C7"/>
    <w:rPr>
      <w:rFonts w:ascii="Arial Black" w:hAnsi="Arial Black"/>
      <w:caps/>
      <w:spacing w:val="60"/>
      <w:position w:val="4"/>
      <w:sz w:val="14"/>
      <w:lang w:val="en-GB" w:eastAsia="x-none"/>
    </w:rPr>
  </w:style>
  <w:style w:type="character" w:customStyle="1" w:styleId="CharChar320">
    <w:name w:val="Char Char32"/>
    <w:rsid w:val="00D641C7"/>
    <w:rPr>
      <w:rFonts w:ascii="Garamond" w:hAnsi="Garamond"/>
      <w:b/>
      <w:i/>
      <w:kern w:val="28"/>
      <w:lang w:val="en-GB" w:eastAsia="x-none"/>
    </w:rPr>
  </w:style>
  <w:style w:type="character" w:customStyle="1" w:styleId="CharChar310">
    <w:name w:val="Char Char31"/>
    <w:rsid w:val="00D641C7"/>
    <w:rPr>
      <w:rFonts w:ascii="Arial Armenian" w:hAnsi="Arial Armenian"/>
      <w:noProof/>
      <w:lang w:val="en-US" w:eastAsia="en-US" w:bidi="ar-SA"/>
    </w:rPr>
  </w:style>
  <w:style w:type="character" w:customStyle="1" w:styleId="CharChar300">
    <w:name w:val="Char Char30"/>
    <w:rsid w:val="00D641C7"/>
    <w:rPr>
      <w:rFonts w:ascii="Arial Armenian" w:hAnsi="Arial Armenian"/>
      <w:lang w:val="en-GB" w:eastAsia="en-US" w:bidi="ar-SA"/>
    </w:rPr>
  </w:style>
  <w:style w:type="character" w:customStyle="1" w:styleId="CharChar290">
    <w:name w:val="Char Char29"/>
    <w:rsid w:val="00D641C7"/>
    <w:rPr>
      <w:rFonts w:ascii="Arial Armenian" w:hAnsi="Arial Armenian"/>
      <w:lang w:val="ru-RU" w:eastAsia="ru-RU" w:bidi="ar-SA"/>
    </w:rPr>
  </w:style>
  <w:style w:type="paragraph" w:customStyle="1" w:styleId="CharChar5CharCharCharCharCharChar0">
    <w:name w:val="Char Char5 Char Char Char Char Char Char"/>
    <w:basedOn w:val="Normal"/>
    <w:rsid w:val="00D641C7"/>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5CharCharCharChar0">
    <w:name w:val="Char Char5 Char Char Char Char"/>
    <w:basedOn w:val="Normal"/>
    <w:rsid w:val="00D641C7"/>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paragraph" w:customStyle="1" w:styleId="CharChar5CharChar0">
    <w:name w:val="Char Char5 Char Char"/>
    <w:basedOn w:val="Normal"/>
    <w:rsid w:val="00D641C7"/>
    <w:pPr>
      <w:tabs>
        <w:tab w:val="left" w:pos="709"/>
      </w:tabs>
      <w:spacing w:before="0" w:after="0" w:line="240" w:lineRule="auto"/>
      <w:ind w:firstLine="0"/>
      <w:jc w:val="left"/>
    </w:pPr>
    <w:rPr>
      <w:rFonts w:ascii="Tahoma" w:eastAsia="Times New Roman" w:hAnsi="Tahoma" w:cs="Times New Roman"/>
      <w:sz w:val="24"/>
      <w:szCs w:val="24"/>
      <w:lang w:val="pl-PL" w:eastAsia="pl-PL"/>
    </w:rPr>
  </w:style>
  <w:style w:type="character" w:customStyle="1" w:styleId="af9">
    <w:name w:val="Основной текст"/>
    <w:rsid w:val="00D641C7"/>
    <w:rPr>
      <w:rFonts w:ascii="Arial Unicode MS" w:eastAsia="Arial Unicode MS" w:hAnsi="Arial Unicode MS" w:cs="Arial Unicode MS"/>
      <w:b w:val="0"/>
      <w:bCs w:val="0"/>
      <w:i w:val="0"/>
      <w:iCs w:val="0"/>
      <w:smallCaps w:val="0"/>
      <w:strike w:val="0"/>
      <w:color w:val="000000"/>
      <w:spacing w:val="0"/>
      <w:w w:val="100"/>
      <w:position w:val="0"/>
      <w:sz w:val="30"/>
      <w:szCs w:val="30"/>
      <w:u w:val="none"/>
      <w:lang w:val="hy-AM"/>
    </w:rPr>
  </w:style>
  <w:style w:type="character" w:customStyle="1" w:styleId="CharChar63">
    <w:name w:val="Char Char6"/>
    <w:locked/>
    <w:rsid w:val="00D641C7"/>
    <w:rPr>
      <w:rFonts w:ascii="Times LatArm" w:eastAsia="Calibri" w:hAnsi="Times LatArm" w:cs="Times LatArm"/>
      <w:sz w:val="22"/>
      <w:szCs w:val="22"/>
      <w:lang w:val="en-GB" w:eastAsia="en-US" w:bidi="ar-SA"/>
    </w:rPr>
  </w:style>
  <w:style w:type="character" w:customStyle="1" w:styleId="CharChar80">
    <w:name w:val="Char Char8"/>
    <w:locked/>
    <w:rsid w:val="00D641C7"/>
    <w:rPr>
      <w:rFonts w:ascii="Times Armenian" w:eastAsia="Calibri" w:hAnsi="Times Armenian" w:cs="Times Armenian"/>
      <w:color w:val="993300"/>
      <w:sz w:val="22"/>
      <w:szCs w:val="22"/>
      <w:lang w:val="hy-AM" w:eastAsia="en-US" w:bidi="ar-SA"/>
    </w:rPr>
  </w:style>
  <w:style w:type="character" w:customStyle="1" w:styleId="CharChar70">
    <w:name w:val="Char Char7"/>
    <w:locked/>
    <w:rsid w:val="00D641C7"/>
    <w:rPr>
      <w:rFonts w:ascii="Courier New" w:eastAsia="Calibri" w:hAnsi="Courier New" w:cs="Courier New"/>
      <w:lang w:val="en-US" w:eastAsia="en-US" w:bidi="ar-SA"/>
    </w:rPr>
  </w:style>
  <w:style w:type="character" w:customStyle="1" w:styleId="CharChar40">
    <w:name w:val="Char Char4"/>
    <w:locked/>
    <w:rsid w:val="00D641C7"/>
    <w:rPr>
      <w:rFonts w:eastAsia="Calibri"/>
      <w:sz w:val="22"/>
      <w:szCs w:val="22"/>
      <w:lang w:val="en-GB" w:eastAsia="en-US" w:bidi="ar-SA"/>
    </w:rPr>
  </w:style>
  <w:style w:type="character" w:customStyle="1" w:styleId="CharChar3a">
    <w:name w:val="Char Char3"/>
    <w:uiPriority w:val="99"/>
    <w:locked/>
    <w:rsid w:val="00D641C7"/>
    <w:rPr>
      <w:rFonts w:eastAsia="Calibri"/>
      <w:sz w:val="22"/>
      <w:szCs w:val="22"/>
      <w:lang w:val="en-GB" w:eastAsia="en-US" w:bidi="ar-SA"/>
    </w:rPr>
  </w:style>
  <w:style w:type="character" w:customStyle="1" w:styleId="CharChar2a">
    <w:name w:val="Char Char2"/>
    <w:locked/>
    <w:rsid w:val="00D641C7"/>
    <w:rPr>
      <w:rFonts w:ascii="Times Armenian" w:eastAsia="Calibri" w:hAnsi="Times Armenian" w:cs="Times Armenian"/>
      <w:b/>
      <w:bCs/>
      <w:sz w:val="22"/>
      <w:szCs w:val="22"/>
      <w:lang w:val="en-US" w:eastAsia="en-US" w:bidi="ar-SA"/>
    </w:rPr>
  </w:style>
  <w:style w:type="character" w:customStyle="1" w:styleId="UnresolvedMention2">
    <w:name w:val="Unresolved Mention2"/>
    <w:basedOn w:val="DefaultParagraphFont"/>
    <w:uiPriority w:val="99"/>
    <w:semiHidden/>
    <w:unhideWhenUsed/>
    <w:rsid w:val="00222A16"/>
    <w:rPr>
      <w:color w:val="605E5C"/>
      <w:shd w:val="clear" w:color="auto" w:fill="E1DFDD"/>
    </w:rPr>
  </w:style>
  <w:style w:type="numbering" w:customStyle="1" w:styleId="NoList17">
    <w:name w:val="No List17"/>
    <w:next w:val="NoList"/>
    <w:uiPriority w:val="99"/>
    <w:semiHidden/>
    <w:unhideWhenUsed/>
    <w:rsid w:val="004F78C4"/>
  </w:style>
  <w:style w:type="table" w:customStyle="1" w:styleId="TableGrid16">
    <w:name w:val="Table Grid16"/>
    <w:basedOn w:val="TableNormal"/>
    <w:next w:val="TableGrid"/>
    <w:uiPriority w:val="39"/>
    <w:rsid w:val="004F78C4"/>
    <w:pPr>
      <w:spacing w:after="200" w:line="276"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
    <w:name w:val="Table Grid Light3"/>
    <w:basedOn w:val="TableNormal"/>
    <w:uiPriority w:val="40"/>
    <w:rsid w:val="004F78C4"/>
    <w:rPr>
      <w:rFonts w:eastAsiaTheme="minorHAns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
    <w:name w:val="ՄԱՍԵՐ"/>
    <w:basedOn w:val="ListParagraph"/>
    <w:qFormat/>
    <w:rsid w:val="00B7540A"/>
    <w:pPr>
      <w:keepNext/>
      <w:keepLines/>
      <w:numPr>
        <w:numId w:val="50"/>
      </w:numPr>
      <w:spacing w:before="0" w:after="480" w:line="240" w:lineRule="auto"/>
      <w:ind w:left="284" w:hanging="284"/>
      <w:jc w:val="left"/>
    </w:pPr>
    <w:rPr>
      <w:rFonts w:eastAsia="Times New Roman" w:cs="Times New Roman"/>
      <w:b/>
      <w:caps/>
      <w:color w:val="0070C0"/>
      <w:sz w:val="32"/>
      <w:lang w:val="hy-AM"/>
    </w:rPr>
  </w:style>
  <w:style w:type="paragraph" w:customStyle="1" w:styleId="a0">
    <w:name w:val="ԳԼՈՒԽՆԵՐ"/>
    <w:basedOn w:val="ListParagraph"/>
    <w:qFormat/>
    <w:rsid w:val="00B7540A"/>
    <w:pPr>
      <w:keepNext/>
      <w:keepLines/>
      <w:numPr>
        <w:ilvl w:val="1"/>
        <w:numId w:val="50"/>
      </w:numPr>
      <w:spacing w:before="240" w:after="480" w:line="240" w:lineRule="auto"/>
      <w:ind w:left="924" w:hanging="567"/>
      <w:jc w:val="left"/>
    </w:pPr>
    <w:rPr>
      <w:rFonts w:eastAsia="Times New Roman" w:cs="Times New Roman"/>
      <w:b/>
      <w:caps/>
      <w:color w:val="0070C0"/>
      <w:sz w:val="28"/>
      <w:lang w:val="hy-AM"/>
    </w:rPr>
  </w:style>
  <w:style w:type="paragraph" w:customStyle="1" w:styleId="a1">
    <w:name w:val="ԵՆԹԱԳԼՈՒԽՆԵՐ"/>
    <w:basedOn w:val="ListParagraph"/>
    <w:qFormat/>
    <w:rsid w:val="00B7540A"/>
    <w:pPr>
      <w:keepNext/>
      <w:keepLines/>
      <w:numPr>
        <w:ilvl w:val="2"/>
        <w:numId w:val="50"/>
      </w:numPr>
      <w:spacing w:before="480" w:after="240" w:line="240" w:lineRule="auto"/>
      <w:ind w:left="1457" w:hanging="737"/>
    </w:pPr>
    <w:rPr>
      <w:rFonts w:eastAsia="Times New Roman" w:cs="Times New Roman"/>
      <w:b/>
      <w:caps/>
      <w:color w:val="0070C0"/>
      <w:sz w:val="26"/>
      <w:lang w:val="hy-AM"/>
    </w:rPr>
  </w:style>
  <w:style w:type="paragraph" w:customStyle="1" w:styleId="a2">
    <w:name w:val="Պարագրաֆներ"/>
    <w:basedOn w:val="ListParagraph"/>
    <w:qFormat/>
    <w:rsid w:val="00B7540A"/>
    <w:pPr>
      <w:numPr>
        <w:ilvl w:val="3"/>
        <w:numId w:val="51"/>
      </w:numPr>
      <w:spacing w:before="60" w:after="40" w:line="360" w:lineRule="auto"/>
    </w:pPr>
    <w:rPr>
      <w:rFonts w:eastAsia="Times New Roman" w:cs="Times New Roman"/>
      <w:color w:val="0070C0"/>
      <w:lang w:val="hy-AM"/>
    </w:rPr>
  </w:style>
  <w:style w:type="paragraph" w:customStyle="1" w:styleId="afa">
    <w:name w:val="Աղյուսակներ"/>
    <w:basedOn w:val="Normal"/>
    <w:qFormat/>
    <w:rsid w:val="00B7540A"/>
    <w:pPr>
      <w:spacing w:before="60" w:after="40" w:line="360" w:lineRule="auto"/>
    </w:pPr>
    <w:rPr>
      <w:rFonts w:eastAsia="Calibri" w:cs="Sylfaen"/>
      <w:b/>
      <w:bCs/>
      <w:i/>
      <w:lang w:val="hy-AM"/>
    </w:rPr>
  </w:style>
  <w:style w:type="table" w:customStyle="1" w:styleId="MediumShading1-Accent111">
    <w:name w:val="Medium Shading 1 - Accent 111"/>
    <w:basedOn w:val="TableNormal"/>
    <w:next w:val="MediumShading1-Accent1"/>
    <w:uiPriority w:val="63"/>
    <w:rsid w:val="00B7540A"/>
    <w:rPr>
      <w:rFonts w:eastAsiaTheme="minorHAnsi"/>
      <w:sz w:val="22"/>
      <w:szCs w:val="22"/>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22141">
    <w:name w:val="Table Grid22141"/>
    <w:basedOn w:val="TableNormal"/>
    <w:next w:val="TableGrid"/>
    <w:uiPriority w:val="39"/>
    <w:rsid w:val="00B7540A"/>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uiPriority w:val="39"/>
    <w:rsid w:val="00B7540A"/>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Հղումներ"/>
    <w:basedOn w:val="Normal"/>
    <w:qFormat/>
    <w:rsid w:val="00B7540A"/>
    <w:pPr>
      <w:spacing w:before="60" w:after="40" w:line="240" w:lineRule="auto"/>
    </w:pPr>
    <w:rPr>
      <w:rFonts w:eastAsia="Times New Roman" w:cs="Times New Roman"/>
      <w:sz w:val="20"/>
      <w:szCs w:val="20"/>
      <w:lang w:val="hy-AM"/>
    </w:rPr>
  </w:style>
  <w:style w:type="paragraph" w:customStyle="1" w:styleId="afc">
    <w:name w:val="Գծապատկերներ"/>
    <w:basedOn w:val="Normal"/>
    <w:qFormat/>
    <w:rsid w:val="00B7540A"/>
    <w:pPr>
      <w:keepNext/>
      <w:keepLines/>
      <w:spacing w:before="60" w:after="40" w:line="240" w:lineRule="auto"/>
      <w:ind w:firstLine="0"/>
      <w:jc w:val="left"/>
    </w:pPr>
    <w:rPr>
      <w:rFonts w:eastAsiaTheme="majorEastAsia" w:cs="Times New Roman"/>
      <w:b/>
      <w:i/>
      <w:lang w:val="hy-AM"/>
    </w:rPr>
  </w:style>
  <w:style w:type="table" w:customStyle="1" w:styleId="GridTable4-Accent112">
    <w:name w:val="Grid Table 4 - Accent 112"/>
    <w:basedOn w:val="TableNormal"/>
    <w:uiPriority w:val="49"/>
    <w:rsid w:val="00B7540A"/>
    <w:pPr>
      <w:spacing w:after="200" w:line="276" w:lineRule="auto"/>
    </w:pPr>
    <w:rPr>
      <w:rFonts w:eastAsia="Calibri"/>
      <w:sz w:val="24"/>
      <w:szCs w:val="24"/>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1">
    <w:name w:val="Համարակալում 1"/>
    <w:basedOn w:val="Normal"/>
    <w:qFormat/>
    <w:rsid w:val="00B7540A"/>
    <w:pPr>
      <w:numPr>
        <w:numId w:val="53"/>
      </w:numPr>
      <w:spacing w:before="240" w:after="120" w:line="240" w:lineRule="auto"/>
      <w:ind w:left="737" w:hanging="170"/>
      <w:jc w:val="left"/>
    </w:pPr>
    <w:rPr>
      <w:rFonts w:eastAsia="Times New Roman" w:cs="Times New Roman"/>
      <w:b/>
      <w:u w:val="single"/>
      <w:lang w:val="hy-AM"/>
    </w:rPr>
  </w:style>
  <w:style w:type="paragraph" w:customStyle="1" w:styleId="afd">
    <w:name w:val="Գծ. հղումներ"/>
    <w:basedOn w:val="Normal"/>
    <w:qFormat/>
    <w:rsid w:val="00B7540A"/>
    <w:pPr>
      <w:spacing w:after="160" w:line="276" w:lineRule="auto"/>
      <w:ind w:firstLine="0"/>
      <w:contextualSpacing/>
      <w:jc w:val="left"/>
    </w:pPr>
    <w:rPr>
      <w:rFonts w:eastAsia="Calibri" w:cs="Times New Roman"/>
      <w:i/>
      <w:sz w:val="18"/>
      <w:szCs w:val="16"/>
      <w:lang w:val="hy-AM"/>
    </w:rPr>
  </w:style>
  <w:style w:type="paragraph" w:customStyle="1" w:styleId="afe">
    <w:name w:val="Փոքր գծապ."/>
    <w:basedOn w:val="Normal"/>
    <w:qFormat/>
    <w:rsid w:val="00B7540A"/>
    <w:pPr>
      <w:spacing w:before="0" w:after="0" w:line="276" w:lineRule="auto"/>
      <w:ind w:firstLine="0"/>
      <w:contextualSpacing/>
    </w:pPr>
    <w:rPr>
      <w:rFonts w:eastAsia="Calibri" w:cs="Times New Roman"/>
      <w:b/>
      <w:i/>
      <w:noProof/>
      <w:sz w:val="18"/>
      <w:szCs w:val="18"/>
    </w:rPr>
  </w:style>
  <w:style w:type="paragraph" w:customStyle="1" w:styleId="CharCharb">
    <w:name w:val="Char Char"/>
    <w:basedOn w:val="Normal"/>
    <w:rsid w:val="00AD6087"/>
    <w:pPr>
      <w:spacing w:before="0" w:after="160" w:line="240" w:lineRule="exact"/>
    </w:pPr>
    <w:rPr>
      <w:rFonts w:ascii="Arial" w:eastAsia="Times New Roman" w:hAnsi="Arial" w:cs="Arial"/>
      <w:sz w:val="20"/>
      <w:szCs w:val="20"/>
      <w:lang w:val="hy-AM"/>
    </w:rPr>
  </w:style>
  <w:style w:type="paragraph" w:customStyle="1" w:styleId="CharCharChar7">
    <w:name w:val="Char Char Char"/>
    <w:basedOn w:val="Normal"/>
    <w:rsid w:val="00AD6087"/>
    <w:pPr>
      <w:spacing w:before="0" w:after="160" w:line="240" w:lineRule="exact"/>
    </w:pPr>
    <w:rPr>
      <w:rFonts w:ascii="Arial" w:eastAsia="Times New Roman" w:hAnsi="Arial" w:cs="Arial"/>
      <w:sz w:val="20"/>
      <w:szCs w:val="20"/>
      <w:lang w:val="hy-AM"/>
    </w:rPr>
  </w:style>
  <w:style w:type="paragraph" w:customStyle="1" w:styleId="BodyText4">
    <w:name w:val="Body Text4"/>
    <w:basedOn w:val="Normal"/>
    <w:rsid w:val="00AD6087"/>
    <w:pPr>
      <w:tabs>
        <w:tab w:val="num" w:pos="0"/>
      </w:tabs>
      <w:spacing w:before="0" w:after="240" w:line="360" w:lineRule="auto"/>
      <w:ind w:firstLine="0"/>
    </w:pPr>
    <w:rPr>
      <w:rFonts w:ascii="Times Armenian" w:eastAsia="Times New Roman" w:hAnsi="Times Armenian" w:cs="Times Unicode"/>
      <w:lang w:val="hy-AM" w:eastAsia="ru-RU"/>
    </w:rPr>
  </w:style>
  <w:style w:type="paragraph" w:customStyle="1" w:styleId="Charc">
    <w:name w:val="Char"/>
    <w:basedOn w:val="Normal"/>
    <w:next w:val="Normal"/>
    <w:rsid w:val="00AD6087"/>
    <w:pPr>
      <w:spacing w:before="0" w:after="160" w:line="240" w:lineRule="exact"/>
    </w:pPr>
    <w:rPr>
      <w:rFonts w:ascii="Tahoma" w:eastAsia="Times New Roman" w:hAnsi="Tahoma" w:cs="Times Unicode"/>
      <w:szCs w:val="20"/>
      <w:lang w:val="hy-AM"/>
    </w:rPr>
  </w:style>
  <w:style w:type="paragraph" w:customStyle="1" w:styleId="Znak4">
    <w:name w:val="Znak"/>
    <w:basedOn w:val="Normal"/>
    <w:rsid w:val="00AD6087"/>
    <w:pPr>
      <w:tabs>
        <w:tab w:val="left" w:pos="709"/>
      </w:tabs>
      <w:spacing w:before="0" w:after="0" w:line="360" w:lineRule="auto"/>
    </w:pPr>
    <w:rPr>
      <w:rFonts w:ascii="Tahoma" w:eastAsia="Times New Roman" w:hAnsi="Tahoma" w:cs="Times Unicode"/>
      <w:lang w:val="pl-PL" w:eastAsia="pl-PL"/>
    </w:rPr>
  </w:style>
  <w:style w:type="paragraph" w:customStyle="1" w:styleId="CharCharCharCharCharCharCharChar4">
    <w:name w:val="Char Char Char Char Char Char Char Char"/>
    <w:basedOn w:val="Normal"/>
    <w:rsid w:val="00AD6087"/>
    <w:pPr>
      <w:spacing w:before="0" w:after="160" w:line="240" w:lineRule="exact"/>
    </w:pPr>
    <w:rPr>
      <w:rFonts w:ascii="Arial" w:eastAsia="Times New Roman" w:hAnsi="Arial" w:cs="Arial"/>
      <w:sz w:val="20"/>
      <w:szCs w:val="20"/>
      <w:lang w:val="hy-AM"/>
    </w:rPr>
  </w:style>
  <w:style w:type="paragraph" w:customStyle="1" w:styleId="CharCharCharCharCharCharCharCharCharCharCharCharCharCharChar7">
    <w:name w:val="Char Char Char Char Знак Char Знак Char Char Char Char Char Char Char Char Char Char"/>
    <w:basedOn w:val="Normal"/>
    <w:rsid w:val="00AD6087"/>
    <w:pPr>
      <w:tabs>
        <w:tab w:val="left" w:pos="709"/>
      </w:tabs>
      <w:spacing w:before="0" w:after="0" w:line="360" w:lineRule="auto"/>
    </w:pPr>
    <w:rPr>
      <w:rFonts w:ascii="Tahoma" w:eastAsia="Times New Roman" w:hAnsi="Tahoma" w:cs="Times Unicode"/>
      <w:lang w:val="pl-PL" w:eastAsia="pl-PL"/>
    </w:rPr>
  </w:style>
  <w:style w:type="paragraph" w:customStyle="1" w:styleId="CharCharCharCharCharCharChar4">
    <w:name w:val="Char Char Char Char Char Char Char"/>
    <w:basedOn w:val="Normal"/>
    <w:rsid w:val="00AD6087"/>
    <w:pPr>
      <w:spacing w:before="0" w:after="160" w:line="240" w:lineRule="exact"/>
    </w:pPr>
    <w:rPr>
      <w:rFonts w:ascii="Arial" w:eastAsia="Times New Roman" w:hAnsi="Arial" w:cs="Arial"/>
      <w:sz w:val="20"/>
      <w:szCs w:val="20"/>
      <w:lang w:val="hy-AM"/>
    </w:rPr>
  </w:style>
  <w:style w:type="paragraph" w:customStyle="1" w:styleId="aff">
    <w:name w:val="Знак Знак"/>
    <w:basedOn w:val="Normal"/>
    <w:link w:val="Chard"/>
    <w:rsid w:val="00AD6087"/>
    <w:pPr>
      <w:spacing w:before="0" w:after="160" w:line="240" w:lineRule="exact"/>
    </w:pPr>
    <w:rPr>
      <w:rFonts w:ascii="Arial" w:eastAsia="Times New Roman" w:hAnsi="Arial" w:cs="Arial"/>
      <w:sz w:val="20"/>
      <w:szCs w:val="20"/>
      <w:lang w:val="en-GB"/>
    </w:rPr>
  </w:style>
  <w:style w:type="character" w:customStyle="1" w:styleId="Chard">
    <w:name w:val="Знак Знак Char"/>
    <w:link w:val="aff"/>
    <w:rsid w:val="00AD6087"/>
    <w:rPr>
      <w:rFonts w:ascii="Arial" w:eastAsia="Times New Roman" w:hAnsi="Arial" w:cs="Arial"/>
      <w:lang w:val="en-GB"/>
    </w:rPr>
  </w:style>
  <w:style w:type="paragraph" w:customStyle="1" w:styleId="CharCharChar8">
    <w:name w:val="Char Char Char Знак Знак"/>
    <w:basedOn w:val="Normal"/>
    <w:rsid w:val="00AD6087"/>
    <w:pPr>
      <w:spacing w:before="0" w:after="160" w:line="240" w:lineRule="exact"/>
    </w:pPr>
    <w:rPr>
      <w:rFonts w:ascii="Arial" w:eastAsia="Times New Roman" w:hAnsi="Arial" w:cs="Arial"/>
      <w:sz w:val="20"/>
      <w:szCs w:val="20"/>
      <w:lang w:val="hy-AM"/>
    </w:rPr>
  </w:style>
  <w:style w:type="paragraph" w:customStyle="1" w:styleId="CharCharCharCharCharCharCharCharCharChar4">
    <w:name w:val="Char Char Char Char Char Char Char Char Char Char"/>
    <w:basedOn w:val="Normal"/>
    <w:rsid w:val="00AD6087"/>
    <w:pPr>
      <w:spacing w:before="0" w:after="160" w:line="240" w:lineRule="exact"/>
    </w:pPr>
    <w:rPr>
      <w:rFonts w:ascii="Arial" w:eastAsia="Times New Roman" w:hAnsi="Arial" w:cs="Arial"/>
      <w:sz w:val="20"/>
      <w:szCs w:val="20"/>
      <w:lang w:val="hy-AM"/>
    </w:rPr>
  </w:style>
  <w:style w:type="paragraph" w:customStyle="1" w:styleId="CharCharCharCharCharCharCharCharCharCharCharCharChar4">
    <w:name w:val="Char Char Char Char Char Char Char Char Char Char Char Char Char"/>
    <w:basedOn w:val="Normal"/>
    <w:rsid w:val="00AD6087"/>
    <w:pPr>
      <w:spacing w:before="0" w:after="160" w:line="240" w:lineRule="exact"/>
    </w:pPr>
    <w:rPr>
      <w:rFonts w:ascii="Arial" w:eastAsia="Times New Roman" w:hAnsi="Arial" w:cs="Arial"/>
      <w:sz w:val="20"/>
      <w:szCs w:val="20"/>
      <w:lang w:val="hy-AM"/>
    </w:rPr>
  </w:style>
  <w:style w:type="paragraph" w:customStyle="1" w:styleId="1CharChar4">
    <w:name w:val="Знак Знак1 Char Char Знак Знак"/>
    <w:basedOn w:val="Normal"/>
    <w:rsid w:val="00AD6087"/>
    <w:pPr>
      <w:tabs>
        <w:tab w:val="num" w:pos="840"/>
      </w:tabs>
      <w:spacing w:before="0" w:after="160" w:line="240" w:lineRule="exact"/>
      <w:ind w:left="840" w:hanging="360"/>
    </w:pPr>
    <w:rPr>
      <w:rFonts w:ascii="Verdana" w:eastAsia="Times New Roman" w:hAnsi="Verdana" w:cs="Times Unicode"/>
      <w:sz w:val="20"/>
      <w:szCs w:val="20"/>
      <w:lang w:val="ru-RU"/>
    </w:rPr>
  </w:style>
  <w:style w:type="paragraph" w:customStyle="1" w:styleId="CharCharCharChar5">
    <w:name w:val="Знак Знак Char Char Знак Знак Char Char Знак Знак"/>
    <w:basedOn w:val="Normal"/>
    <w:autoRedefine/>
    <w:rsid w:val="00AD6087"/>
    <w:pPr>
      <w:spacing w:before="0" w:after="160" w:line="240" w:lineRule="exact"/>
    </w:pPr>
    <w:rPr>
      <w:rFonts w:eastAsia="Times New Roman" w:cs="Times Unicode"/>
      <w:sz w:val="28"/>
      <w:szCs w:val="20"/>
      <w:lang w:val="hy-AM"/>
    </w:rPr>
  </w:style>
  <w:style w:type="paragraph" w:customStyle="1" w:styleId="Chare">
    <w:name w:val="Знак Знак Знак Знак Знак Знак Знак Знак Знак Знак Знак Знак Знак Знак Знак Знак Знак Знак Char Знак Знак"/>
    <w:basedOn w:val="Normal"/>
    <w:autoRedefine/>
    <w:rsid w:val="00AD6087"/>
    <w:pPr>
      <w:spacing w:before="0" w:after="160" w:line="240" w:lineRule="exact"/>
    </w:pPr>
    <w:rPr>
      <w:rFonts w:eastAsia="Times New Roman" w:cs="Times Unicode"/>
      <w:sz w:val="28"/>
      <w:szCs w:val="20"/>
      <w:lang w:val="hy-AM"/>
    </w:rPr>
  </w:style>
  <w:style w:type="paragraph" w:customStyle="1" w:styleId="CharCharChar9">
    <w:name w:val="Char Char Char Знак"/>
    <w:basedOn w:val="Normal"/>
    <w:next w:val="Normal"/>
    <w:rsid w:val="00AD6087"/>
    <w:pPr>
      <w:spacing w:before="0" w:after="160" w:line="240" w:lineRule="exact"/>
    </w:pPr>
    <w:rPr>
      <w:rFonts w:ascii="Tahoma" w:eastAsia="Times New Roman" w:hAnsi="Tahoma" w:cs="Times Unicode"/>
      <w:szCs w:val="20"/>
      <w:lang w:val="hy-AM"/>
    </w:rPr>
  </w:style>
  <w:style w:type="paragraph" w:customStyle="1" w:styleId="CharCharChar1Char4">
    <w:name w:val="Char Char Char1 Char"/>
    <w:basedOn w:val="Normal"/>
    <w:rsid w:val="00AD6087"/>
    <w:pPr>
      <w:spacing w:before="0" w:after="160" w:line="240" w:lineRule="exact"/>
    </w:pPr>
    <w:rPr>
      <w:rFonts w:ascii="Arial" w:eastAsia="Times New Roman" w:hAnsi="Arial" w:cs="Arial"/>
      <w:sz w:val="20"/>
      <w:szCs w:val="20"/>
      <w:lang w:val="hy-AM"/>
    </w:rPr>
  </w:style>
  <w:style w:type="paragraph" w:customStyle="1" w:styleId="1f9">
    <w:name w:val="Знак Знак1"/>
    <w:basedOn w:val="Normal"/>
    <w:rsid w:val="00AD6087"/>
    <w:pPr>
      <w:spacing w:before="0" w:after="160" w:line="240" w:lineRule="exact"/>
    </w:pPr>
    <w:rPr>
      <w:rFonts w:ascii="Arial" w:eastAsia="MS Mincho" w:hAnsi="Arial" w:cs="Arial"/>
      <w:sz w:val="20"/>
      <w:szCs w:val="20"/>
      <w:lang w:val="hy-AM"/>
    </w:rPr>
  </w:style>
  <w:style w:type="paragraph" w:customStyle="1" w:styleId="CharCharCharCharChar6">
    <w:name w:val="Char Char Char Char Char Знак Знак"/>
    <w:basedOn w:val="Normal"/>
    <w:rsid w:val="00AD6087"/>
    <w:pPr>
      <w:spacing w:before="0" w:after="160" w:line="240" w:lineRule="exact"/>
    </w:pPr>
    <w:rPr>
      <w:rFonts w:ascii="Arial" w:eastAsia="Times New Roman" w:hAnsi="Arial" w:cs="Arial"/>
      <w:sz w:val="20"/>
      <w:szCs w:val="20"/>
      <w:lang w:val="hy-AM"/>
    </w:rPr>
  </w:style>
  <w:style w:type="paragraph" w:customStyle="1" w:styleId="CharChar1CharCharChar1Char4">
    <w:name w:val="Char Char1 Char Char Char1 Char"/>
    <w:basedOn w:val="Normal"/>
    <w:autoRedefine/>
    <w:rsid w:val="00AD6087"/>
    <w:pPr>
      <w:spacing w:before="0" w:after="0" w:line="360" w:lineRule="auto"/>
    </w:pPr>
    <w:rPr>
      <w:rFonts w:eastAsia="SimSun" w:cs="Times Unicode"/>
      <w:sz w:val="20"/>
      <w:szCs w:val="20"/>
      <w:lang w:val="hy-AM" w:eastAsia="ru-RU"/>
    </w:rPr>
  </w:style>
  <w:style w:type="paragraph" w:customStyle="1" w:styleId="47">
    <w:name w:val="Знак Знак4"/>
    <w:basedOn w:val="Normal"/>
    <w:rsid w:val="00AD6087"/>
    <w:pPr>
      <w:tabs>
        <w:tab w:val="left" w:pos="709"/>
      </w:tabs>
      <w:spacing w:before="0" w:after="0" w:line="360" w:lineRule="auto"/>
    </w:pPr>
    <w:rPr>
      <w:rFonts w:ascii="Tahoma" w:eastAsia="Times New Roman" w:hAnsi="Tahoma" w:cs="Times Unicode"/>
      <w:lang w:val="pl-PL" w:eastAsia="pl-PL"/>
    </w:rPr>
  </w:style>
  <w:style w:type="paragraph" w:customStyle="1" w:styleId="Charf">
    <w:name w:val="Знак Char Знак"/>
    <w:basedOn w:val="Normal"/>
    <w:rsid w:val="00AD6087"/>
    <w:pPr>
      <w:spacing w:before="0" w:after="160" w:line="240" w:lineRule="exact"/>
    </w:pPr>
    <w:rPr>
      <w:rFonts w:ascii="Arial" w:eastAsia="Batang" w:hAnsi="Arial" w:cs="Arial"/>
      <w:sz w:val="20"/>
      <w:szCs w:val="20"/>
      <w:lang w:val="hy-AM"/>
    </w:rPr>
  </w:style>
  <w:style w:type="paragraph" w:customStyle="1" w:styleId="CharCharCharCharCharChar6">
    <w:name w:val="Знак Знак Char Char Знак Знак Char Char Знак Знак Char Char"/>
    <w:basedOn w:val="Normal"/>
    <w:autoRedefine/>
    <w:rsid w:val="00AD6087"/>
    <w:pPr>
      <w:spacing w:before="0" w:after="160" w:line="240" w:lineRule="exact"/>
    </w:pPr>
    <w:rPr>
      <w:rFonts w:eastAsia="Times New Roman" w:cs="Times Unicode"/>
      <w:sz w:val="28"/>
      <w:szCs w:val="20"/>
      <w:lang w:val="hy-AM"/>
    </w:rPr>
  </w:style>
  <w:style w:type="paragraph" w:customStyle="1" w:styleId="2f">
    <w:name w:val="Знак Знак2"/>
    <w:basedOn w:val="Normal"/>
    <w:rsid w:val="00AD6087"/>
    <w:pPr>
      <w:spacing w:before="0" w:after="160" w:line="240" w:lineRule="exact"/>
    </w:pPr>
    <w:rPr>
      <w:rFonts w:ascii="Arial" w:eastAsia="Times New Roman" w:hAnsi="Arial" w:cs="Arial"/>
      <w:sz w:val="20"/>
      <w:szCs w:val="20"/>
      <w:lang w:val="hy-AM"/>
    </w:rPr>
  </w:style>
  <w:style w:type="paragraph" w:customStyle="1" w:styleId="CharCharCharCharChar7">
    <w:name w:val="Char Char Char Char Char"/>
    <w:basedOn w:val="Normal"/>
    <w:rsid w:val="00AD6087"/>
    <w:pPr>
      <w:spacing w:before="0" w:after="160" w:line="240" w:lineRule="exact"/>
    </w:pPr>
    <w:rPr>
      <w:rFonts w:ascii="Arial" w:eastAsia="Times New Roman" w:hAnsi="Arial" w:cs="Arial"/>
      <w:sz w:val="20"/>
      <w:szCs w:val="20"/>
      <w:lang w:val="hy-AM"/>
    </w:rPr>
  </w:style>
  <w:style w:type="character" w:customStyle="1" w:styleId="CharChar183">
    <w:name w:val="Char Char18"/>
    <w:rsid w:val="00AD6087"/>
    <w:rPr>
      <w:rFonts w:ascii="Arial Armenian" w:eastAsia="Times New Roman" w:hAnsi="Arial Armenian"/>
      <w:i/>
      <w:sz w:val="22"/>
      <w:u w:val="single"/>
      <w:lang w:val="en-GB"/>
    </w:rPr>
  </w:style>
  <w:style w:type="character" w:customStyle="1" w:styleId="CharChar193">
    <w:name w:val="Char Char19"/>
    <w:rsid w:val="00AD6087"/>
    <w:rPr>
      <w:b/>
      <w:sz w:val="32"/>
      <w:lang w:val="en-GB" w:eastAsia="en-US" w:bidi="ar-SA"/>
    </w:rPr>
  </w:style>
  <w:style w:type="character" w:customStyle="1" w:styleId="CharChar215">
    <w:name w:val="Char Char21"/>
    <w:rsid w:val="00AD6087"/>
    <w:rPr>
      <w:rFonts w:ascii="Arial Armenian" w:hAnsi="Arial Armenian"/>
      <w:i/>
      <w:sz w:val="22"/>
      <w:u w:val="single"/>
      <w:lang w:val="en-GB" w:eastAsia="en-US" w:bidi="ar-SA"/>
    </w:rPr>
  </w:style>
  <w:style w:type="character" w:customStyle="1" w:styleId="CharChar203">
    <w:name w:val="Char Char20"/>
    <w:rsid w:val="00AD6087"/>
    <w:rPr>
      <w:rFonts w:ascii="Garamond" w:hAnsi="Garamond"/>
      <w:i/>
      <w:spacing w:val="-5"/>
      <w:sz w:val="28"/>
      <w:lang w:val="en-GB" w:eastAsia="en-US" w:bidi="ar-SA"/>
    </w:rPr>
  </w:style>
  <w:style w:type="character" w:customStyle="1" w:styleId="CharChar143">
    <w:name w:val="Char Char14"/>
    <w:rsid w:val="00AD6087"/>
    <w:rPr>
      <w:sz w:val="36"/>
      <w:lang w:val="en-GB"/>
    </w:rPr>
  </w:style>
  <w:style w:type="character" w:customStyle="1" w:styleId="CharChar54">
    <w:name w:val="Char Char5"/>
    <w:rsid w:val="00AD6087"/>
    <w:rPr>
      <w:rFonts w:ascii="Arial Armenian" w:hAnsi="Arial Armenian" w:cs="Sylfaen"/>
      <w:sz w:val="24"/>
      <w:szCs w:val="24"/>
      <w:lang w:val="ru-RU" w:eastAsia="ru-RU"/>
    </w:rPr>
  </w:style>
  <w:style w:type="character" w:customStyle="1" w:styleId="CharChar164">
    <w:name w:val="Char Char16"/>
    <w:rsid w:val="00AD6087"/>
    <w:rPr>
      <w:rFonts w:ascii="Times New Roman" w:hAnsi="Times New Roman"/>
      <w:b/>
      <w:sz w:val="32"/>
      <w:lang w:val="en-GB"/>
    </w:rPr>
  </w:style>
  <w:style w:type="character" w:customStyle="1" w:styleId="CharChar173">
    <w:name w:val="Char Char17"/>
    <w:rsid w:val="00AD6087"/>
    <w:rPr>
      <w:rFonts w:ascii="Arial Armenian" w:hAnsi="Arial Armenian"/>
      <w:i/>
      <w:sz w:val="22"/>
      <w:u w:val="single"/>
      <w:lang w:val="en-GB" w:eastAsia="en-US" w:bidi="ar-SA"/>
    </w:rPr>
  </w:style>
  <w:style w:type="paragraph" w:customStyle="1" w:styleId="CharCharCharCharCharChar7">
    <w:name w:val="Char Char Char Char Char Char"/>
    <w:basedOn w:val="Normal"/>
    <w:rsid w:val="00AD6087"/>
    <w:pPr>
      <w:spacing w:before="0" w:after="160" w:line="240" w:lineRule="exact"/>
    </w:pPr>
    <w:rPr>
      <w:rFonts w:ascii="Arial" w:eastAsia="Times New Roman" w:hAnsi="Arial" w:cs="Arial"/>
      <w:sz w:val="20"/>
      <w:szCs w:val="20"/>
      <w:lang w:val="hy-AM"/>
    </w:rPr>
  </w:style>
  <w:style w:type="paragraph" w:customStyle="1" w:styleId="CharChar1b">
    <w:name w:val="Char Char1"/>
    <w:basedOn w:val="Normal"/>
    <w:rsid w:val="00AD6087"/>
    <w:pPr>
      <w:spacing w:before="0" w:after="160" w:line="240" w:lineRule="exact"/>
    </w:pPr>
    <w:rPr>
      <w:rFonts w:ascii="Arial" w:eastAsia="Times New Roman" w:hAnsi="Arial" w:cs="Arial"/>
      <w:sz w:val="20"/>
      <w:szCs w:val="20"/>
      <w:lang w:val="hy-AM"/>
    </w:rPr>
  </w:style>
  <w:style w:type="character" w:customStyle="1" w:styleId="CharChar115">
    <w:name w:val="Char Char11"/>
    <w:rsid w:val="00AD6087"/>
    <w:rPr>
      <w:rFonts w:ascii="Arial Armenian" w:hAnsi="Arial Armenian"/>
      <w:lang w:val="ru-RU" w:eastAsia="ru-RU" w:bidi="ar-SA"/>
    </w:rPr>
  </w:style>
  <w:style w:type="paragraph" w:customStyle="1" w:styleId="aff0">
    <w:name w:val="Знак"/>
    <w:basedOn w:val="Normal"/>
    <w:rsid w:val="00AD6087"/>
    <w:pPr>
      <w:spacing w:before="0" w:after="160" w:line="240" w:lineRule="exact"/>
    </w:pPr>
    <w:rPr>
      <w:rFonts w:ascii="Arial" w:eastAsia="Times New Roman" w:hAnsi="Arial" w:cs="Arial"/>
      <w:sz w:val="20"/>
      <w:szCs w:val="20"/>
      <w:lang w:val="en-GB"/>
    </w:rPr>
  </w:style>
  <w:style w:type="character" w:customStyle="1" w:styleId="CharChar283">
    <w:name w:val="Char Char28"/>
    <w:rsid w:val="00AD6087"/>
    <w:rPr>
      <w:rFonts w:ascii="Arial Armenian" w:hAnsi="Arial Armenian"/>
      <w:i/>
      <w:sz w:val="22"/>
      <w:u w:val="single"/>
      <w:lang w:val="en-GB"/>
    </w:rPr>
  </w:style>
  <w:style w:type="character" w:customStyle="1" w:styleId="CharChar273">
    <w:name w:val="Char Char27"/>
    <w:rsid w:val="00AD6087"/>
    <w:rPr>
      <w:rFonts w:ascii="Garamond" w:hAnsi="Garamond"/>
      <w:i/>
      <w:spacing w:val="-5"/>
      <w:sz w:val="28"/>
      <w:shd w:val="pct5" w:color="auto" w:fill="auto"/>
      <w:lang w:val="en-GB"/>
    </w:rPr>
  </w:style>
  <w:style w:type="character" w:customStyle="1" w:styleId="CharChar263">
    <w:name w:val="Char Char26"/>
    <w:rsid w:val="00AD6087"/>
    <w:rPr>
      <w:rFonts w:ascii="Arial Black" w:hAnsi="Arial Black"/>
      <w:caps/>
      <w:spacing w:val="60"/>
      <w:position w:val="4"/>
      <w:sz w:val="14"/>
      <w:lang w:val="en-GB"/>
    </w:rPr>
  </w:style>
  <w:style w:type="character" w:customStyle="1" w:styleId="CharChar253">
    <w:name w:val="Char Char25"/>
    <w:rsid w:val="00AD6087"/>
    <w:rPr>
      <w:rFonts w:ascii="Garamond" w:hAnsi="Garamond"/>
      <w:b/>
      <w:i/>
      <w:kern w:val="28"/>
      <w:lang w:val="en-GB"/>
    </w:rPr>
  </w:style>
  <w:style w:type="character" w:customStyle="1" w:styleId="CharChar243">
    <w:name w:val="Char Char24"/>
    <w:rsid w:val="00AD6087"/>
    <w:rPr>
      <w:rFonts w:ascii="Arial Armenian" w:hAnsi="Arial Armenian"/>
      <w:noProof/>
      <w:lang w:val="en-US" w:eastAsia="en-US" w:bidi="ar-SA"/>
    </w:rPr>
  </w:style>
  <w:style w:type="character" w:customStyle="1" w:styleId="CharChar233">
    <w:name w:val="Char Char23"/>
    <w:rsid w:val="00AD6087"/>
    <w:rPr>
      <w:rFonts w:ascii="Arial Armenian" w:hAnsi="Arial Armenian"/>
      <w:lang w:val="en-GB" w:eastAsia="en-US" w:bidi="ar-SA"/>
    </w:rPr>
  </w:style>
  <w:style w:type="character" w:customStyle="1" w:styleId="CharChar223">
    <w:name w:val="Char Char22"/>
    <w:rsid w:val="00AD6087"/>
    <w:rPr>
      <w:rFonts w:ascii="Arial Armenian" w:hAnsi="Arial Armenian"/>
      <w:lang w:val="ru-RU" w:eastAsia="ru-RU" w:bidi="ar-SA"/>
    </w:rPr>
  </w:style>
  <w:style w:type="paragraph" w:customStyle="1" w:styleId="Char1CharCharCharCharCharCharCharCharCharCharCharChar3">
    <w:name w:val="Char1 Char Char Char Char Char Char Char Char Char Char Char Char"/>
    <w:basedOn w:val="Normal"/>
    <w:rsid w:val="00AD6087"/>
    <w:pPr>
      <w:spacing w:before="0" w:after="160" w:line="240" w:lineRule="exact"/>
    </w:pPr>
    <w:rPr>
      <w:rFonts w:ascii="Arial" w:eastAsia="Times New Roman" w:hAnsi="Arial" w:cs="Arial"/>
      <w:sz w:val="20"/>
      <w:szCs w:val="20"/>
      <w:lang w:val="hy-AM"/>
    </w:rPr>
  </w:style>
  <w:style w:type="character" w:customStyle="1" w:styleId="CharChar153">
    <w:name w:val="Char Char15"/>
    <w:rsid w:val="00AD6087"/>
    <w:rPr>
      <w:sz w:val="36"/>
      <w:lang w:val="en-GB" w:eastAsia="en-US" w:bidi="ar-SA"/>
    </w:rPr>
  </w:style>
  <w:style w:type="character" w:customStyle="1" w:styleId="CharChar133">
    <w:name w:val="Char Char13"/>
    <w:rsid w:val="00AD6087"/>
    <w:rPr>
      <w:sz w:val="22"/>
      <w:lang w:val="en-GB" w:eastAsia="en-US" w:bidi="ar-SA"/>
    </w:rPr>
  </w:style>
  <w:style w:type="character" w:customStyle="1" w:styleId="CharChar124">
    <w:name w:val="Char Char12"/>
    <w:rsid w:val="00AD6087"/>
    <w:rPr>
      <w:sz w:val="22"/>
      <w:lang w:val="en-GB" w:eastAsia="en-US" w:bidi="ar-SA"/>
    </w:rPr>
  </w:style>
  <w:style w:type="character" w:customStyle="1" w:styleId="CharChar103">
    <w:name w:val="Char Char10"/>
    <w:rsid w:val="00AD6087"/>
    <w:rPr>
      <w:rFonts w:ascii="Times Armenian" w:hAnsi="Times Armenian"/>
      <w:color w:val="993300"/>
      <w:sz w:val="22"/>
      <w:szCs w:val="24"/>
      <w:lang w:val="hy-AM" w:eastAsia="en-US" w:bidi="ar-SA"/>
    </w:rPr>
  </w:style>
  <w:style w:type="character" w:customStyle="1" w:styleId="CharChar93">
    <w:name w:val="Char Char9"/>
    <w:rsid w:val="00AD6087"/>
    <w:rPr>
      <w:rFonts w:ascii="Times Armenian" w:hAnsi="Times Armenian"/>
      <w:b/>
      <w:i/>
      <w:sz w:val="24"/>
      <w:u w:val="single"/>
      <w:lang w:val="hy-AM" w:eastAsia="en-US" w:bidi="ar-SA"/>
    </w:rPr>
  </w:style>
  <w:style w:type="character" w:customStyle="1" w:styleId="CharChar353">
    <w:name w:val="Char Char35"/>
    <w:rsid w:val="00AD6087"/>
    <w:rPr>
      <w:rFonts w:ascii="Arial Armenian" w:hAnsi="Arial Armenian"/>
      <w:i/>
      <w:sz w:val="22"/>
      <w:u w:val="single"/>
      <w:lang w:val="en-GB" w:eastAsia="x-none"/>
    </w:rPr>
  </w:style>
  <w:style w:type="character" w:customStyle="1" w:styleId="CharChar343">
    <w:name w:val="Char Char34"/>
    <w:rsid w:val="00AD6087"/>
    <w:rPr>
      <w:rFonts w:ascii="Garamond" w:hAnsi="Garamond"/>
      <w:i/>
      <w:spacing w:val="-5"/>
      <w:sz w:val="28"/>
      <w:shd w:val="pct5" w:color="auto" w:fill="auto"/>
      <w:lang w:val="en-GB" w:eastAsia="x-none"/>
    </w:rPr>
  </w:style>
  <w:style w:type="character" w:customStyle="1" w:styleId="CharChar333">
    <w:name w:val="Char Char33"/>
    <w:rsid w:val="00AD6087"/>
    <w:rPr>
      <w:rFonts w:ascii="Arial Black" w:hAnsi="Arial Black"/>
      <w:caps/>
      <w:spacing w:val="60"/>
      <w:position w:val="4"/>
      <w:sz w:val="14"/>
      <w:lang w:val="en-GB" w:eastAsia="x-none"/>
    </w:rPr>
  </w:style>
  <w:style w:type="character" w:customStyle="1" w:styleId="CharChar323">
    <w:name w:val="Char Char32"/>
    <w:rsid w:val="00AD6087"/>
    <w:rPr>
      <w:rFonts w:ascii="Garamond" w:hAnsi="Garamond"/>
      <w:b/>
      <w:i/>
      <w:kern w:val="28"/>
      <w:lang w:val="en-GB" w:eastAsia="x-none"/>
    </w:rPr>
  </w:style>
  <w:style w:type="character" w:customStyle="1" w:styleId="CharChar313">
    <w:name w:val="Char Char31"/>
    <w:rsid w:val="00AD6087"/>
    <w:rPr>
      <w:rFonts w:ascii="Arial Armenian" w:hAnsi="Arial Armenian"/>
      <w:noProof/>
      <w:lang w:val="en-US" w:eastAsia="en-US" w:bidi="ar-SA"/>
    </w:rPr>
  </w:style>
  <w:style w:type="character" w:customStyle="1" w:styleId="CharChar303">
    <w:name w:val="Char Char30"/>
    <w:rsid w:val="00AD6087"/>
    <w:rPr>
      <w:rFonts w:ascii="Arial Armenian" w:hAnsi="Arial Armenian"/>
      <w:lang w:val="en-GB" w:eastAsia="en-US" w:bidi="ar-SA"/>
    </w:rPr>
  </w:style>
  <w:style w:type="character" w:customStyle="1" w:styleId="CharChar293">
    <w:name w:val="Char Char29"/>
    <w:rsid w:val="00AD6087"/>
    <w:rPr>
      <w:rFonts w:ascii="Arial Armenian" w:hAnsi="Arial Armenian"/>
      <w:lang w:val="ru-RU" w:eastAsia="ru-RU" w:bidi="ar-SA"/>
    </w:rPr>
  </w:style>
  <w:style w:type="paragraph" w:customStyle="1" w:styleId="CharChar5CharCharCharCharCharChar3">
    <w:name w:val="Char Char5 Char Char Char Char Char Char"/>
    <w:basedOn w:val="Normal"/>
    <w:rsid w:val="00AD6087"/>
    <w:pPr>
      <w:tabs>
        <w:tab w:val="left" w:pos="709"/>
      </w:tabs>
      <w:spacing w:before="0" w:after="0" w:line="360" w:lineRule="auto"/>
    </w:pPr>
    <w:rPr>
      <w:rFonts w:ascii="Tahoma" w:eastAsia="Times New Roman" w:hAnsi="Tahoma" w:cs="Times Unicode"/>
      <w:lang w:val="pl-PL" w:eastAsia="pl-PL"/>
    </w:rPr>
  </w:style>
  <w:style w:type="paragraph" w:customStyle="1" w:styleId="CharChar5CharCharCharChar3">
    <w:name w:val="Char Char5 Char Char Char Char"/>
    <w:basedOn w:val="Normal"/>
    <w:rsid w:val="00AD6087"/>
    <w:pPr>
      <w:tabs>
        <w:tab w:val="left" w:pos="709"/>
      </w:tabs>
      <w:spacing w:before="0" w:after="0" w:line="360" w:lineRule="auto"/>
    </w:pPr>
    <w:rPr>
      <w:rFonts w:ascii="Tahoma" w:eastAsia="Times New Roman" w:hAnsi="Tahoma" w:cs="Times Unicode"/>
      <w:lang w:val="pl-PL" w:eastAsia="pl-PL"/>
    </w:rPr>
  </w:style>
  <w:style w:type="paragraph" w:customStyle="1" w:styleId="CharChar5CharChar3">
    <w:name w:val="Char Char5 Char Char"/>
    <w:basedOn w:val="Normal"/>
    <w:rsid w:val="00AD6087"/>
    <w:pPr>
      <w:tabs>
        <w:tab w:val="left" w:pos="709"/>
      </w:tabs>
      <w:spacing w:before="0" w:after="0" w:line="360" w:lineRule="auto"/>
    </w:pPr>
    <w:rPr>
      <w:rFonts w:ascii="Tahoma" w:eastAsia="Times New Roman" w:hAnsi="Tahoma" w:cs="Times Unicode"/>
      <w:lang w:val="pl-PL" w:eastAsia="pl-PL"/>
    </w:rPr>
  </w:style>
  <w:style w:type="character" w:customStyle="1" w:styleId="CharChar64">
    <w:name w:val="Char Char6"/>
    <w:locked/>
    <w:rsid w:val="00AD6087"/>
    <w:rPr>
      <w:rFonts w:ascii="Times LatArm" w:eastAsia="Calibri" w:hAnsi="Times LatArm" w:cs="Times LatArm"/>
      <w:sz w:val="22"/>
      <w:szCs w:val="22"/>
      <w:lang w:val="en-GB" w:eastAsia="en-US" w:bidi="ar-SA"/>
    </w:rPr>
  </w:style>
  <w:style w:type="character" w:customStyle="1" w:styleId="CharChar82">
    <w:name w:val="Char Char8"/>
    <w:locked/>
    <w:rsid w:val="00AD6087"/>
    <w:rPr>
      <w:rFonts w:ascii="Times Armenian" w:eastAsia="Calibri" w:hAnsi="Times Armenian" w:cs="Times Armenian"/>
      <w:color w:val="993300"/>
      <w:sz w:val="22"/>
      <w:szCs w:val="22"/>
      <w:lang w:val="hy-AM" w:eastAsia="en-US" w:bidi="ar-SA"/>
    </w:rPr>
  </w:style>
  <w:style w:type="character" w:customStyle="1" w:styleId="CharChar72">
    <w:name w:val="Char Char7"/>
    <w:locked/>
    <w:rsid w:val="00AD6087"/>
    <w:rPr>
      <w:rFonts w:ascii="Courier New" w:eastAsia="Calibri" w:hAnsi="Courier New" w:cs="Courier New"/>
      <w:lang w:val="en-US" w:eastAsia="en-US" w:bidi="ar-SA"/>
    </w:rPr>
  </w:style>
  <w:style w:type="character" w:customStyle="1" w:styleId="CharChar43">
    <w:name w:val="Char Char4"/>
    <w:locked/>
    <w:rsid w:val="00AD6087"/>
    <w:rPr>
      <w:rFonts w:eastAsia="Calibri"/>
      <w:sz w:val="22"/>
      <w:szCs w:val="22"/>
      <w:lang w:val="en-GB" w:eastAsia="en-US" w:bidi="ar-SA"/>
    </w:rPr>
  </w:style>
  <w:style w:type="character" w:customStyle="1" w:styleId="CharChar3b">
    <w:name w:val="Char Char3"/>
    <w:locked/>
    <w:rsid w:val="00AD6087"/>
    <w:rPr>
      <w:rFonts w:eastAsia="Calibri"/>
      <w:sz w:val="22"/>
      <w:szCs w:val="22"/>
      <w:lang w:val="en-GB" w:eastAsia="en-US" w:bidi="ar-SA"/>
    </w:rPr>
  </w:style>
  <w:style w:type="character" w:customStyle="1" w:styleId="CharChar2b">
    <w:name w:val="Char Char2"/>
    <w:locked/>
    <w:rsid w:val="00AD6087"/>
    <w:rPr>
      <w:rFonts w:ascii="Times Armenian" w:eastAsia="Calibri" w:hAnsi="Times Armenian" w:cs="Times Armenian"/>
      <w:b/>
      <w:bCs/>
      <w:sz w:val="22"/>
      <w:szCs w:val="22"/>
      <w:lang w:val="en-US" w:eastAsia="en-US" w:bidi="ar-SA"/>
    </w:rPr>
  </w:style>
  <w:style w:type="paragraph" w:customStyle="1" w:styleId="aff1">
    <w:name w:val="Աղյուսակ"/>
    <w:basedOn w:val="Normal"/>
    <w:qFormat/>
    <w:rsid w:val="00AD6087"/>
    <w:pPr>
      <w:keepNext/>
      <w:spacing w:before="240" w:after="120" w:line="240" w:lineRule="auto"/>
      <w:ind w:firstLine="0"/>
      <w:jc w:val="left"/>
    </w:pPr>
    <w:rPr>
      <w:rFonts w:eastAsia="Times New Roman" w:cs="Times Unicode"/>
      <w:i/>
      <w:lang w:val="hy-AM"/>
    </w:rPr>
  </w:style>
  <w:style w:type="paragraph" w:customStyle="1" w:styleId="aff2">
    <w:name w:val="Գծապատկեր"/>
    <w:basedOn w:val="Heading5"/>
    <w:qFormat/>
    <w:rsid w:val="00AD6087"/>
    <w:pPr>
      <w:keepNext/>
      <w:spacing w:before="240" w:after="120" w:line="240" w:lineRule="auto"/>
      <w:ind w:firstLine="0"/>
      <w:jc w:val="left"/>
    </w:pPr>
    <w:rPr>
      <w:rFonts w:ascii="GHEA Grapalat" w:eastAsia="Times New Roman" w:hAnsi="GHEA Grapalat" w:cs="Times Unicode"/>
      <w:i/>
      <w:iCs/>
      <w:color w:val="auto"/>
      <w:sz w:val="24"/>
      <w:szCs w:val="26"/>
      <w:lang w:val="hy-AM"/>
    </w:rPr>
  </w:style>
  <w:style w:type="paragraph" w:customStyle="1" w:styleId="aff3">
    <w:name w:val="Ենթավերնագիր"/>
    <w:basedOn w:val="Normal"/>
    <w:qFormat/>
    <w:rsid w:val="00AD6087"/>
    <w:pPr>
      <w:keepNext/>
      <w:spacing w:before="480" w:after="120" w:line="240" w:lineRule="auto"/>
      <w:jc w:val="left"/>
    </w:pPr>
    <w:rPr>
      <w:rFonts w:eastAsia="Times New Roman" w:cs="Times Unicode"/>
      <w:b/>
      <w:i/>
      <w:lang w:val="hy-A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543447">
      <w:bodyDiv w:val="1"/>
      <w:marLeft w:val="0"/>
      <w:marRight w:val="0"/>
      <w:marTop w:val="0"/>
      <w:marBottom w:val="0"/>
      <w:divBdr>
        <w:top w:val="none" w:sz="0" w:space="0" w:color="auto"/>
        <w:left w:val="none" w:sz="0" w:space="0" w:color="auto"/>
        <w:bottom w:val="none" w:sz="0" w:space="0" w:color="auto"/>
        <w:right w:val="none" w:sz="0" w:space="0" w:color="auto"/>
      </w:divBdr>
    </w:div>
    <w:div w:id="696085036">
      <w:bodyDiv w:val="1"/>
      <w:marLeft w:val="0"/>
      <w:marRight w:val="0"/>
      <w:marTop w:val="0"/>
      <w:marBottom w:val="0"/>
      <w:divBdr>
        <w:top w:val="none" w:sz="0" w:space="0" w:color="auto"/>
        <w:left w:val="none" w:sz="0" w:space="0" w:color="auto"/>
        <w:bottom w:val="none" w:sz="0" w:space="0" w:color="auto"/>
        <w:right w:val="none" w:sz="0" w:space="0" w:color="auto"/>
      </w:divBdr>
    </w:div>
    <w:div w:id="1345016454">
      <w:bodyDiv w:val="1"/>
      <w:marLeft w:val="0"/>
      <w:marRight w:val="0"/>
      <w:marTop w:val="0"/>
      <w:marBottom w:val="0"/>
      <w:divBdr>
        <w:top w:val="none" w:sz="0" w:space="0" w:color="auto"/>
        <w:left w:val="none" w:sz="0" w:space="0" w:color="auto"/>
        <w:bottom w:val="none" w:sz="0" w:space="0" w:color="auto"/>
        <w:right w:val="none" w:sz="0" w:space="0" w:color="auto"/>
      </w:divBdr>
    </w:div>
    <w:div w:id="1370568036">
      <w:bodyDiv w:val="1"/>
      <w:marLeft w:val="0"/>
      <w:marRight w:val="0"/>
      <w:marTop w:val="0"/>
      <w:marBottom w:val="0"/>
      <w:divBdr>
        <w:top w:val="none" w:sz="0" w:space="0" w:color="auto"/>
        <w:left w:val="none" w:sz="0" w:space="0" w:color="auto"/>
        <w:bottom w:val="none" w:sz="0" w:space="0" w:color="auto"/>
        <w:right w:val="none" w:sz="0" w:space="0" w:color="auto"/>
      </w:divBdr>
    </w:div>
    <w:div w:id="2001031519">
      <w:bodyDiv w:val="1"/>
      <w:marLeft w:val="0"/>
      <w:marRight w:val="0"/>
      <w:marTop w:val="0"/>
      <w:marBottom w:val="0"/>
      <w:divBdr>
        <w:top w:val="none" w:sz="0" w:space="0" w:color="auto"/>
        <w:left w:val="none" w:sz="0" w:space="0" w:color="auto"/>
        <w:bottom w:val="none" w:sz="0" w:space="0" w:color="auto"/>
        <w:right w:val="none" w:sz="0" w:space="0" w:color="auto"/>
      </w:divBdr>
    </w:div>
    <w:div w:id="20775076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2.xml"/><Relationship Id="rId117" Type="http://schemas.openxmlformats.org/officeDocument/2006/relationships/fontTable" Target="fontTable.xml"/><Relationship Id="rId21" Type="http://schemas.openxmlformats.org/officeDocument/2006/relationships/chart" Target="charts/chart7.xml"/><Relationship Id="rId42" Type="http://schemas.openxmlformats.org/officeDocument/2006/relationships/chart" Target="charts/chart27.xml"/><Relationship Id="rId47" Type="http://schemas.openxmlformats.org/officeDocument/2006/relationships/chart" Target="charts/chart32.xml"/><Relationship Id="rId63" Type="http://schemas.openxmlformats.org/officeDocument/2006/relationships/chart" Target="charts/chart48.xml"/><Relationship Id="rId68" Type="http://schemas.openxmlformats.org/officeDocument/2006/relationships/chart" Target="charts/chart53.xml"/><Relationship Id="rId84" Type="http://schemas.openxmlformats.org/officeDocument/2006/relationships/chart" Target="charts/chart67.xml"/><Relationship Id="rId89" Type="http://schemas.openxmlformats.org/officeDocument/2006/relationships/image" Target="media/image3.png"/><Relationship Id="rId112" Type="http://schemas.openxmlformats.org/officeDocument/2006/relationships/chart" Target="charts/chart85.xml"/><Relationship Id="rId16" Type="http://schemas.openxmlformats.org/officeDocument/2006/relationships/chart" Target="charts/chart2.xml"/><Relationship Id="rId107" Type="http://schemas.openxmlformats.org/officeDocument/2006/relationships/chart" Target="charts/chart80.xml"/><Relationship Id="rId11" Type="http://schemas.openxmlformats.org/officeDocument/2006/relationships/footer" Target="footer1.xml"/><Relationship Id="rId32" Type="http://schemas.openxmlformats.org/officeDocument/2006/relationships/image" Target="media/image1.png"/><Relationship Id="rId37" Type="http://schemas.openxmlformats.org/officeDocument/2006/relationships/chart" Target="charts/chart22.xml"/><Relationship Id="rId53" Type="http://schemas.openxmlformats.org/officeDocument/2006/relationships/chart" Target="charts/chart38.xml"/><Relationship Id="rId58" Type="http://schemas.openxmlformats.org/officeDocument/2006/relationships/chart" Target="charts/chart43.xml"/><Relationship Id="rId74" Type="http://schemas.openxmlformats.org/officeDocument/2006/relationships/chart" Target="charts/chart58.xml"/><Relationship Id="rId79" Type="http://schemas.openxmlformats.org/officeDocument/2006/relationships/chart" Target="charts/chart63.xml"/><Relationship Id="rId102" Type="http://schemas.openxmlformats.org/officeDocument/2006/relationships/chart" Target="charts/chart77.xml"/><Relationship Id="rId5" Type="http://schemas.openxmlformats.org/officeDocument/2006/relationships/settings" Target="settings.xml"/><Relationship Id="rId90" Type="http://schemas.openxmlformats.org/officeDocument/2006/relationships/image" Target="media/image4.png"/><Relationship Id="rId95" Type="http://schemas.openxmlformats.org/officeDocument/2006/relationships/image" Target="media/image5.png"/><Relationship Id="rId22" Type="http://schemas.openxmlformats.org/officeDocument/2006/relationships/chart" Target="charts/chart8.xml"/><Relationship Id="rId27" Type="http://schemas.openxmlformats.org/officeDocument/2006/relationships/chart" Target="charts/chart13.xml"/><Relationship Id="rId43" Type="http://schemas.openxmlformats.org/officeDocument/2006/relationships/chart" Target="charts/chart28.xml"/><Relationship Id="rId48" Type="http://schemas.openxmlformats.org/officeDocument/2006/relationships/chart" Target="charts/chart33.xml"/><Relationship Id="rId64" Type="http://schemas.openxmlformats.org/officeDocument/2006/relationships/chart" Target="charts/chart49.xml"/><Relationship Id="rId69" Type="http://schemas.openxmlformats.org/officeDocument/2006/relationships/chart" Target="charts/chart54.xml"/><Relationship Id="rId113" Type="http://schemas.openxmlformats.org/officeDocument/2006/relationships/chart" Target="charts/chart86.xml"/><Relationship Id="rId118" Type="http://schemas.openxmlformats.org/officeDocument/2006/relationships/theme" Target="theme/theme1.xml"/><Relationship Id="rId80" Type="http://schemas.openxmlformats.org/officeDocument/2006/relationships/chart" Target="charts/chart64.xml"/><Relationship Id="rId85" Type="http://schemas.openxmlformats.org/officeDocument/2006/relationships/chart" Target="charts/chart68.xml"/><Relationship Id="rId12" Type="http://schemas.openxmlformats.org/officeDocument/2006/relationships/footer" Target="footer2.xml"/><Relationship Id="rId17" Type="http://schemas.openxmlformats.org/officeDocument/2006/relationships/chart" Target="charts/chart3.xml"/><Relationship Id="rId33" Type="http://schemas.openxmlformats.org/officeDocument/2006/relationships/chart" Target="charts/chart18.xml"/><Relationship Id="rId38" Type="http://schemas.openxmlformats.org/officeDocument/2006/relationships/chart" Target="charts/chart23.xml"/><Relationship Id="rId59" Type="http://schemas.openxmlformats.org/officeDocument/2006/relationships/chart" Target="charts/chart44.xml"/><Relationship Id="rId103" Type="http://schemas.openxmlformats.org/officeDocument/2006/relationships/chart" Target="charts/chart78.xml"/><Relationship Id="rId108" Type="http://schemas.openxmlformats.org/officeDocument/2006/relationships/chart" Target="charts/chart81.xml"/><Relationship Id="rId54" Type="http://schemas.openxmlformats.org/officeDocument/2006/relationships/chart" Target="charts/chart39.xml"/><Relationship Id="rId70" Type="http://schemas.openxmlformats.org/officeDocument/2006/relationships/hyperlink" Target="http://www.centralbanknews.info/" TargetMode="External"/><Relationship Id="rId75" Type="http://schemas.openxmlformats.org/officeDocument/2006/relationships/chart" Target="charts/chart59.xml"/><Relationship Id="rId91" Type="http://schemas.openxmlformats.org/officeDocument/2006/relationships/chart" Target="charts/chart72.xml"/><Relationship Id="rId9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chart" Target="charts/chart9.xml"/><Relationship Id="rId28" Type="http://schemas.openxmlformats.org/officeDocument/2006/relationships/chart" Target="charts/chart14.xml"/><Relationship Id="rId49" Type="http://schemas.openxmlformats.org/officeDocument/2006/relationships/chart" Target="charts/chart34.xml"/><Relationship Id="rId114" Type="http://schemas.openxmlformats.org/officeDocument/2006/relationships/chart" Target="charts/chart87.xml"/><Relationship Id="rId10" Type="http://schemas.openxmlformats.org/officeDocument/2006/relationships/header" Target="header2.xml"/><Relationship Id="rId31" Type="http://schemas.openxmlformats.org/officeDocument/2006/relationships/chart" Target="charts/chart17.xml"/><Relationship Id="rId44" Type="http://schemas.openxmlformats.org/officeDocument/2006/relationships/chart" Target="charts/chart29.xml"/><Relationship Id="rId52" Type="http://schemas.openxmlformats.org/officeDocument/2006/relationships/chart" Target="charts/chart37.xml"/><Relationship Id="rId60" Type="http://schemas.openxmlformats.org/officeDocument/2006/relationships/chart" Target="charts/chart45.xml"/><Relationship Id="rId65" Type="http://schemas.openxmlformats.org/officeDocument/2006/relationships/chart" Target="charts/chart50.xml"/><Relationship Id="rId73" Type="http://schemas.openxmlformats.org/officeDocument/2006/relationships/chart" Target="charts/chart57.xml"/><Relationship Id="rId78" Type="http://schemas.openxmlformats.org/officeDocument/2006/relationships/chart" Target="charts/chart62.xml"/><Relationship Id="rId81" Type="http://schemas.openxmlformats.org/officeDocument/2006/relationships/chart" Target="charts/chart65.xml"/><Relationship Id="rId86" Type="http://schemas.openxmlformats.org/officeDocument/2006/relationships/chart" Target="charts/chart69.xml"/><Relationship Id="rId94" Type="http://schemas.openxmlformats.org/officeDocument/2006/relationships/footer" Target="footer4.xml"/><Relationship Id="rId99" Type="http://schemas.openxmlformats.org/officeDocument/2006/relationships/chart" Target="charts/chart75.xml"/><Relationship Id="rId101" Type="http://schemas.openxmlformats.org/officeDocument/2006/relationships/image" Target="media/image9.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chart" Target="charts/chart4.xml"/><Relationship Id="rId39" Type="http://schemas.openxmlformats.org/officeDocument/2006/relationships/chart" Target="charts/chart24.xml"/><Relationship Id="rId109" Type="http://schemas.openxmlformats.org/officeDocument/2006/relationships/chart" Target="charts/chart82.xml"/><Relationship Id="rId34" Type="http://schemas.openxmlformats.org/officeDocument/2006/relationships/chart" Target="charts/chart19.xml"/><Relationship Id="rId50" Type="http://schemas.openxmlformats.org/officeDocument/2006/relationships/chart" Target="charts/chart35.xml"/><Relationship Id="rId55" Type="http://schemas.openxmlformats.org/officeDocument/2006/relationships/chart" Target="charts/chart40.xml"/><Relationship Id="rId76" Type="http://schemas.openxmlformats.org/officeDocument/2006/relationships/chart" Target="charts/chart60.xml"/><Relationship Id="rId97" Type="http://schemas.openxmlformats.org/officeDocument/2006/relationships/image" Target="media/image7.png"/><Relationship Id="rId104" Type="http://schemas.openxmlformats.org/officeDocument/2006/relationships/image" Target="media/image10.png"/><Relationship Id="rId7" Type="http://schemas.openxmlformats.org/officeDocument/2006/relationships/footnotes" Target="footnotes.xml"/><Relationship Id="rId71" Type="http://schemas.openxmlformats.org/officeDocument/2006/relationships/chart" Target="charts/chart55.xml"/><Relationship Id="rId92" Type="http://schemas.openxmlformats.org/officeDocument/2006/relationships/chart" Target="charts/chart73.xml"/><Relationship Id="rId2" Type="http://schemas.openxmlformats.org/officeDocument/2006/relationships/customXml" Target="../customXml/item2.xml"/><Relationship Id="rId29" Type="http://schemas.openxmlformats.org/officeDocument/2006/relationships/chart" Target="charts/chart15.xml"/><Relationship Id="rId24" Type="http://schemas.openxmlformats.org/officeDocument/2006/relationships/chart" Target="charts/chart10.xml"/><Relationship Id="rId40" Type="http://schemas.openxmlformats.org/officeDocument/2006/relationships/chart" Target="charts/chart25.xml"/><Relationship Id="rId45" Type="http://schemas.openxmlformats.org/officeDocument/2006/relationships/chart" Target="charts/chart30.xml"/><Relationship Id="rId66" Type="http://schemas.openxmlformats.org/officeDocument/2006/relationships/chart" Target="charts/chart51.xml"/><Relationship Id="rId87" Type="http://schemas.openxmlformats.org/officeDocument/2006/relationships/chart" Target="charts/chart70.xml"/><Relationship Id="rId110" Type="http://schemas.openxmlformats.org/officeDocument/2006/relationships/chart" Target="charts/chart83.xml"/><Relationship Id="rId115" Type="http://schemas.openxmlformats.org/officeDocument/2006/relationships/chart" Target="charts/chart88.xml"/><Relationship Id="rId61" Type="http://schemas.openxmlformats.org/officeDocument/2006/relationships/chart" Target="charts/chart46.xml"/><Relationship Id="rId82" Type="http://schemas.openxmlformats.org/officeDocument/2006/relationships/chart" Target="charts/chart66.xml"/><Relationship Id="rId19" Type="http://schemas.openxmlformats.org/officeDocument/2006/relationships/chart" Target="charts/chart5.xml"/><Relationship Id="rId14" Type="http://schemas.openxmlformats.org/officeDocument/2006/relationships/footer" Target="footer3.xml"/><Relationship Id="rId30" Type="http://schemas.openxmlformats.org/officeDocument/2006/relationships/chart" Target="charts/chart16.xml"/><Relationship Id="rId35" Type="http://schemas.openxmlformats.org/officeDocument/2006/relationships/chart" Target="charts/chart20.xml"/><Relationship Id="rId56" Type="http://schemas.openxmlformats.org/officeDocument/2006/relationships/chart" Target="charts/chart41.xml"/><Relationship Id="rId77" Type="http://schemas.openxmlformats.org/officeDocument/2006/relationships/chart" Target="charts/chart61.xml"/><Relationship Id="rId100" Type="http://schemas.openxmlformats.org/officeDocument/2006/relationships/chart" Target="charts/chart76.xml"/><Relationship Id="rId105" Type="http://schemas.openxmlformats.org/officeDocument/2006/relationships/oleObject" Target="embeddings/Microsoft_Excel_97-2003_Worksheet.xls"/><Relationship Id="rId8" Type="http://schemas.openxmlformats.org/officeDocument/2006/relationships/endnotes" Target="endnotes.xml"/><Relationship Id="rId51" Type="http://schemas.openxmlformats.org/officeDocument/2006/relationships/chart" Target="charts/chart36.xml"/><Relationship Id="rId72" Type="http://schemas.openxmlformats.org/officeDocument/2006/relationships/chart" Target="charts/chart56.xml"/><Relationship Id="rId93" Type="http://schemas.openxmlformats.org/officeDocument/2006/relationships/chart" Target="charts/chart74.xml"/><Relationship Id="rId98" Type="http://schemas.openxmlformats.org/officeDocument/2006/relationships/image" Target="media/image8.png"/><Relationship Id="rId3" Type="http://schemas.openxmlformats.org/officeDocument/2006/relationships/numbering" Target="numbering.xml"/><Relationship Id="rId25" Type="http://schemas.openxmlformats.org/officeDocument/2006/relationships/chart" Target="charts/chart11.xml"/><Relationship Id="rId46" Type="http://schemas.openxmlformats.org/officeDocument/2006/relationships/chart" Target="charts/chart31.xml"/><Relationship Id="rId67" Type="http://schemas.openxmlformats.org/officeDocument/2006/relationships/chart" Target="charts/chart52.xml"/><Relationship Id="rId116" Type="http://schemas.openxmlformats.org/officeDocument/2006/relationships/footer" Target="footer5.xml"/><Relationship Id="rId20" Type="http://schemas.openxmlformats.org/officeDocument/2006/relationships/chart" Target="charts/chart6.xml"/><Relationship Id="rId41" Type="http://schemas.openxmlformats.org/officeDocument/2006/relationships/chart" Target="charts/chart26.xml"/><Relationship Id="rId62" Type="http://schemas.openxmlformats.org/officeDocument/2006/relationships/chart" Target="charts/chart47.xml"/><Relationship Id="rId83" Type="http://schemas.openxmlformats.org/officeDocument/2006/relationships/image" Target="media/image2.png"/><Relationship Id="rId88" Type="http://schemas.openxmlformats.org/officeDocument/2006/relationships/chart" Target="charts/chart71.xml"/><Relationship Id="rId111" Type="http://schemas.openxmlformats.org/officeDocument/2006/relationships/chart" Target="charts/chart84.xml"/><Relationship Id="rId15" Type="http://schemas.openxmlformats.org/officeDocument/2006/relationships/chart" Target="charts/chart1.xml"/><Relationship Id="rId36" Type="http://schemas.openxmlformats.org/officeDocument/2006/relationships/chart" Target="charts/chart21.xml"/><Relationship Id="rId57" Type="http://schemas.openxmlformats.org/officeDocument/2006/relationships/chart" Target="charts/chart42.xml"/><Relationship Id="rId106" Type="http://schemas.openxmlformats.org/officeDocument/2006/relationships/chart" Target="charts/chart79.xml"/></Relationships>
</file>

<file path=word/_rels/footnotes.xml.rels><?xml version="1.0" encoding="UTF-8" standalone="yes"?>
<Relationships xmlns="http://schemas.openxmlformats.org/package/2006/relationships"><Relationship Id="rId3" Type="http://schemas.openxmlformats.org/officeDocument/2006/relationships/hyperlink" Target="https://eeas.europa.eu/sites/default/files/swd_2021_186_f1_joint_staff_working_paper_en_v2_p1_1356457_0.pdf" TargetMode="External"/><Relationship Id="rId2" Type="http://schemas.openxmlformats.org/officeDocument/2006/relationships/hyperlink" Target="https://www.imf.org/en/Publications/FM/Issues/2021/03/29/fiscal-monitor-april-2021" TargetMode="External"/><Relationship Id="rId1" Type="http://schemas.openxmlformats.org/officeDocument/2006/relationships/hyperlink" Target="https://www.imf.org/en/Publications/FM/Issues/2021/03/29/fiscal-monitor-april-2021" TargetMode="External"/><Relationship Id="rId4" Type="http://schemas.openxmlformats.org/officeDocument/2006/relationships/hyperlink" Target="https://eeas.europa.eu/sites/default/files/swd_2021_186_f1_joint_staff_working_paper_en_v2_p1_1356457_0.pdf"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7.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8.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9.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0.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1.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12.xm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0.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1.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12.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13.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14.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15.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16.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17.xml"/></Relationships>
</file>

<file path=word/charts/_rels/chart29.xml.rels><?xml version="1.0" encoding="UTF-8" standalone="yes"?>
<Relationships xmlns="http://schemas.openxmlformats.org/package/2006/relationships"><Relationship Id="rId3" Type="http://schemas.openxmlformats.org/officeDocument/2006/relationships/chartUserShapes" Target="../drawings/drawing18.xml"/><Relationship Id="rId2" Type="http://schemas.openxmlformats.org/officeDocument/2006/relationships/package" Target="../embeddings/Microsoft_Excel_Worksheet28.xlsx"/><Relationship Id="rId1" Type="http://schemas.openxmlformats.org/officeDocument/2006/relationships/themeOverride" Target="../theme/themeOverride18.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3" Type="http://schemas.openxmlformats.org/officeDocument/2006/relationships/chartUserShapes" Target="../drawings/drawing19.xml"/><Relationship Id="rId2" Type="http://schemas.openxmlformats.org/officeDocument/2006/relationships/package" Target="../embeddings/Microsoft_Excel_Worksheet30.xlsx"/><Relationship Id="rId1" Type="http://schemas.openxmlformats.org/officeDocument/2006/relationships/themeOverride" Target="../theme/themeOverride20.xml"/></Relationships>
</file>

<file path=word/charts/_rels/chart32.xml.rels><?xml version="1.0" encoding="UTF-8" standalone="yes"?>
<Relationships xmlns="http://schemas.openxmlformats.org/package/2006/relationships"><Relationship Id="rId3" Type="http://schemas.openxmlformats.org/officeDocument/2006/relationships/chartUserShapes" Target="../drawings/drawing20.xml"/><Relationship Id="rId2" Type="http://schemas.openxmlformats.org/officeDocument/2006/relationships/package" Target="../embeddings/Microsoft_Excel_Worksheet31.xlsx"/><Relationship Id="rId1" Type="http://schemas.openxmlformats.org/officeDocument/2006/relationships/themeOverride" Target="../theme/themeOverride21.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21.xml"/></Relationships>
</file>

<file path=word/charts/_rels/chart34.xml.rels><?xml version="1.0" encoding="UTF-8" standalone="yes"?>
<Relationships xmlns="http://schemas.openxmlformats.org/package/2006/relationships"><Relationship Id="rId3" Type="http://schemas.openxmlformats.org/officeDocument/2006/relationships/chartUserShapes" Target="../drawings/drawing22.xml"/><Relationship Id="rId2" Type="http://schemas.openxmlformats.org/officeDocument/2006/relationships/package" Target="../embeddings/Microsoft_Excel_Worksheet33.xlsx"/><Relationship Id="rId1" Type="http://schemas.openxmlformats.org/officeDocument/2006/relationships/themeOverride" Target="../theme/themeOverride22.xml"/></Relationships>
</file>

<file path=word/charts/_rels/chart35.xml.rels><?xml version="1.0" encoding="UTF-8" standalone="yes"?>
<Relationships xmlns="http://schemas.openxmlformats.org/package/2006/relationships"><Relationship Id="rId3" Type="http://schemas.openxmlformats.org/officeDocument/2006/relationships/chartUserShapes" Target="../drawings/drawing23.xml"/><Relationship Id="rId2" Type="http://schemas.openxmlformats.org/officeDocument/2006/relationships/package" Target="../embeddings/Microsoft_Excel_Worksheet34.xlsx"/><Relationship Id="rId1" Type="http://schemas.openxmlformats.org/officeDocument/2006/relationships/themeOverride" Target="../theme/themeOverride23.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24.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25.xml"/></Relationships>
</file>

<file path=word/charts/_rels/chart38.xml.rels><?xml version="1.0" encoding="UTF-8" standalone="yes"?>
<Relationships xmlns="http://schemas.openxmlformats.org/package/2006/relationships"><Relationship Id="rId3" Type="http://schemas.openxmlformats.org/officeDocument/2006/relationships/chartUserShapes" Target="../drawings/drawing24.xml"/><Relationship Id="rId2" Type="http://schemas.openxmlformats.org/officeDocument/2006/relationships/package" Target="../embeddings/Microsoft_Excel_Worksheet37.xlsx"/><Relationship Id="rId1" Type="http://schemas.openxmlformats.org/officeDocument/2006/relationships/themeOverride" Target="../theme/themeOverride26.xml"/></Relationships>
</file>

<file path=word/charts/_rels/chart39.xml.rels><?xml version="1.0" encoding="UTF-8" standalone="yes"?>
<Relationships xmlns="http://schemas.openxmlformats.org/package/2006/relationships"><Relationship Id="rId3" Type="http://schemas.openxmlformats.org/officeDocument/2006/relationships/chartUserShapes" Target="../drawings/drawing25.xml"/><Relationship Id="rId2" Type="http://schemas.openxmlformats.org/officeDocument/2006/relationships/package" Target="../embeddings/Microsoft_Excel_Worksheet38.xlsx"/><Relationship Id="rId1" Type="http://schemas.openxmlformats.org/officeDocument/2006/relationships/themeOverride" Target="../theme/themeOverride27.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28.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29.xml"/></Relationships>
</file>

<file path=word/charts/_rels/chart42.xml.rels><?xml version="1.0" encoding="UTF-8" standalone="yes"?>
<Relationships xmlns="http://schemas.openxmlformats.org/package/2006/relationships"><Relationship Id="rId3" Type="http://schemas.openxmlformats.org/officeDocument/2006/relationships/chartUserShapes" Target="../drawings/drawing26.xml"/><Relationship Id="rId2" Type="http://schemas.openxmlformats.org/officeDocument/2006/relationships/package" Target="../embeddings/Microsoft_Excel_Worksheet41.xlsx"/><Relationship Id="rId1" Type="http://schemas.openxmlformats.org/officeDocument/2006/relationships/themeOverride" Target="../theme/themeOverride30.xml"/></Relationships>
</file>

<file path=word/charts/_rels/chart43.xml.rels><?xml version="1.0" encoding="UTF-8" standalone="yes"?>
<Relationships xmlns="http://schemas.openxmlformats.org/package/2006/relationships"><Relationship Id="rId3" Type="http://schemas.openxmlformats.org/officeDocument/2006/relationships/chartUserShapes" Target="../drawings/drawing27.xml"/><Relationship Id="rId2" Type="http://schemas.openxmlformats.org/officeDocument/2006/relationships/package" Target="../embeddings/Microsoft_Excel_Worksheet42.xlsx"/><Relationship Id="rId1" Type="http://schemas.openxmlformats.org/officeDocument/2006/relationships/themeOverride" Target="../theme/themeOverride31.xml"/></Relationships>
</file>

<file path=word/charts/_rels/chart44.xml.rels><?xml version="1.0" encoding="UTF-8" standalone="yes"?>
<Relationships xmlns="http://schemas.openxmlformats.org/package/2006/relationships"><Relationship Id="rId3" Type="http://schemas.openxmlformats.org/officeDocument/2006/relationships/chartUserShapes" Target="../drawings/drawing28.xml"/><Relationship Id="rId2" Type="http://schemas.openxmlformats.org/officeDocument/2006/relationships/package" Target="../embeddings/Microsoft_Excel_Worksheet43.xlsx"/><Relationship Id="rId1" Type="http://schemas.openxmlformats.org/officeDocument/2006/relationships/themeOverride" Target="../theme/themeOverride32.xml"/></Relationships>
</file>

<file path=word/charts/_rels/chart45.xml.rels><?xml version="1.0" encoding="UTF-8" standalone="yes"?>
<Relationships xmlns="http://schemas.openxmlformats.org/package/2006/relationships"><Relationship Id="rId3" Type="http://schemas.openxmlformats.org/officeDocument/2006/relationships/chartUserShapes" Target="../drawings/drawing29.xml"/><Relationship Id="rId2" Type="http://schemas.openxmlformats.org/officeDocument/2006/relationships/package" Target="../embeddings/Microsoft_Excel_Worksheet44.xlsx"/><Relationship Id="rId1" Type="http://schemas.openxmlformats.org/officeDocument/2006/relationships/themeOverride" Target="../theme/themeOverride33.xm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34.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35.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36.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8.xlsx"/><Relationship Id="rId1" Type="http://schemas.openxmlformats.org/officeDocument/2006/relationships/themeOverride" Target="../theme/themeOverride37.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38.xml"/></Relationships>
</file>

<file path=word/charts/_rels/chart51.xml.rels><?xml version="1.0" encoding="UTF-8" standalone="yes"?>
<Relationships xmlns="http://schemas.openxmlformats.org/package/2006/relationships"><Relationship Id="rId3" Type="http://schemas.openxmlformats.org/officeDocument/2006/relationships/chartUserShapes" Target="../drawings/drawing30.xml"/><Relationship Id="rId2" Type="http://schemas.openxmlformats.org/officeDocument/2006/relationships/package" Target="../embeddings/Microsoft_Excel_Worksheet50.xlsx"/><Relationship Id="rId1" Type="http://schemas.openxmlformats.org/officeDocument/2006/relationships/themeOverride" Target="../theme/themeOverride39.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40.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52.xlsx"/><Relationship Id="rId1" Type="http://schemas.openxmlformats.org/officeDocument/2006/relationships/themeOverride" Target="../theme/themeOverride41.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53.xlsx"/><Relationship Id="rId1" Type="http://schemas.openxmlformats.org/officeDocument/2006/relationships/themeOverride" Target="../theme/themeOverride42.xml"/></Relationships>
</file>

<file path=word/charts/_rels/chart55.xml.rels><?xml version="1.0" encoding="UTF-8" standalone="yes"?>
<Relationships xmlns="http://schemas.openxmlformats.org/package/2006/relationships"><Relationship Id="rId1" Type="http://schemas.openxmlformats.org/officeDocument/2006/relationships/oleObject" Target="file:///\\172.20.215.254\Share\macroeconomic\Narine\2021\07\FanChart\FanChart_MTEF_2022-2024_5.xlsx" TargetMode="Externa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43.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55.xlsx"/><Relationship Id="rId1" Type="http://schemas.openxmlformats.org/officeDocument/2006/relationships/themeOverride" Target="../theme/themeOverride44.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56.xlsx"/><Relationship Id="rId1" Type="http://schemas.openxmlformats.org/officeDocument/2006/relationships/themeOverride" Target="../theme/themeOverride45.xml"/></Relationships>
</file>

<file path=word/charts/_rels/chart59.xml.rels><?xml version="1.0" encoding="UTF-8" standalone="yes"?>
<Relationships xmlns="http://schemas.openxmlformats.org/package/2006/relationships"><Relationship Id="rId3" Type="http://schemas.openxmlformats.org/officeDocument/2006/relationships/chartUserShapes" Target="../drawings/drawing31.xml"/><Relationship Id="rId2" Type="http://schemas.openxmlformats.org/officeDocument/2006/relationships/package" Target="../embeddings/Microsoft_Excel_Worksheet57.xlsx"/><Relationship Id="rId1" Type="http://schemas.openxmlformats.org/officeDocument/2006/relationships/themeOverride" Target="../theme/themeOverride46.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5.xlsx"/></Relationships>
</file>

<file path=word/charts/_rels/chart60.xml.rels><?xml version="1.0" encoding="UTF-8" standalone="yes"?>
<Relationships xmlns="http://schemas.openxmlformats.org/package/2006/relationships"><Relationship Id="rId3" Type="http://schemas.openxmlformats.org/officeDocument/2006/relationships/chartUserShapes" Target="../drawings/drawing32.xml"/><Relationship Id="rId2" Type="http://schemas.openxmlformats.org/officeDocument/2006/relationships/package" Target="../embeddings/Microsoft_Excel_Worksheet58.xlsx"/><Relationship Id="rId1" Type="http://schemas.openxmlformats.org/officeDocument/2006/relationships/themeOverride" Target="../theme/themeOverride47.xml"/></Relationships>
</file>

<file path=word/charts/_rels/chart61.xml.rels><?xml version="1.0" encoding="UTF-8" standalone="yes"?>
<Relationships xmlns="http://schemas.openxmlformats.org/package/2006/relationships"><Relationship Id="rId3" Type="http://schemas.openxmlformats.org/officeDocument/2006/relationships/chartUserShapes" Target="../drawings/drawing33.xml"/><Relationship Id="rId2" Type="http://schemas.openxmlformats.org/officeDocument/2006/relationships/package" Target="../embeddings/Microsoft_Excel_Worksheet59.xlsx"/><Relationship Id="rId1" Type="http://schemas.openxmlformats.org/officeDocument/2006/relationships/themeOverride" Target="../theme/themeOverride48.xml"/></Relationships>
</file>

<file path=word/charts/_rels/chart62.xml.rels><?xml version="1.0" encoding="UTF-8" standalone="yes"?>
<Relationships xmlns="http://schemas.openxmlformats.org/package/2006/relationships"><Relationship Id="rId3" Type="http://schemas.openxmlformats.org/officeDocument/2006/relationships/chartUserShapes" Target="../drawings/drawing34.xml"/><Relationship Id="rId2" Type="http://schemas.openxmlformats.org/officeDocument/2006/relationships/package" Target="../embeddings/Microsoft_Excel_Worksheet60.xlsx"/><Relationship Id="rId1" Type="http://schemas.openxmlformats.org/officeDocument/2006/relationships/themeOverride" Target="../theme/themeOverride49.xml"/></Relationships>
</file>

<file path=word/charts/_rels/chart63.xml.rels><?xml version="1.0" encoding="UTF-8" standalone="yes"?>
<Relationships xmlns="http://schemas.openxmlformats.org/package/2006/relationships"><Relationship Id="rId3" Type="http://schemas.openxmlformats.org/officeDocument/2006/relationships/chartUserShapes" Target="../drawings/drawing35.xml"/><Relationship Id="rId2" Type="http://schemas.openxmlformats.org/officeDocument/2006/relationships/package" Target="../embeddings/Microsoft_Excel_Worksheet61.xlsx"/><Relationship Id="rId1" Type="http://schemas.openxmlformats.org/officeDocument/2006/relationships/themeOverride" Target="../theme/themeOverride50.xml"/></Relationships>
</file>

<file path=word/charts/_rels/chart64.xml.rels><?xml version="1.0" encoding="UTF-8" standalone="yes"?>
<Relationships xmlns="http://schemas.openxmlformats.org/package/2006/relationships"><Relationship Id="rId3" Type="http://schemas.openxmlformats.org/officeDocument/2006/relationships/chartUserShapes" Target="../drawings/drawing36.xml"/><Relationship Id="rId2" Type="http://schemas.openxmlformats.org/officeDocument/2006/relationships/package" Target="../embeddings/Microsoft_Excel_Worksheet62.xlsx"/><Relationship Id="rId1" Type="http://schemas.openxmlformats.org/officeDocument/2006/relationships/themeOverride" Target="../theme/themeOverride51.xml"/></Relationships>
</file>

<file path=word/charts/_rels/chart65.xml.rels><?xml version="1.0" encoding="UTF-8" standalone="yes"?>
<Relationships xmlns="http://schemas.openxmlformats.org/package/2006/relationships"><Relationship Id="rId3" Type="http://schemas.openxmlformats.org/officeDocument/2006/relationships/chartUserShapes" Target="../drawings/drawing37.xml"/><Relationship Id="rId2" Type="http://schemas.openxmlformats.org/officeDocument/2006/relationships/package" Target="../embeddings/Microsoft_Excel_Worksheet63.xlsx"/><Relationship Id="rId1" Type="http://schemas.openxmlformats.org/officeDocument/2006/relationships/themeOverride" Target="../theme/themeOverride52.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Excel_Worksheet64.xlsx"/><Relationship Id="rId1" Type="http://schemas.openxmlformats.org/officeDocument/2006/relationships/themeOverride" Target="../theme/themeOverride53.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65.xlsx"/><Relationship Id="rId1" Type="http://schemas.openxmlformats.org/officeDocument/2006/relationships/themeOverride" Target="../theme/themeOverride54.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66.xlsx"/><Relationship Id="rId1" Type="http://schemas.openxmlformats.org/officeDocument/2006/relationships/themeOverride" Target="../theme/themeOverride55.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67.xlsx"/><Relationship Id="rId1" Type="http://schemas.openxmlformats.org/officeDocument/2006/relationships/themeOverride" Target="../theme/themeOverride5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68.xlsx"/><Relationship Id="rId1" Type="http://schemas.openxmlformats.org/officeDocument/2006/relationships/themeOverride" Target="../theme/themeOverride57.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Excel_Worksheet69.xlsx"/><Relationship Id="rId1" Type="http://schemas.openxmlformats.org/officeDocument/2006/relationships/themeOverride" Target="../theme/themeOverride58.xml"/></Relationships>
</file>

<file path=word/charts/_rels/chart72.xml.rels><?xml version="1.0" encoding="UTF-8" standalone="yes"?>
<Relationships xmlns="http://schemas.openxmlformats.org/package/2006/relationships"><Relationship Id="rId3" Type="http://schemas.openxmlformats.org/officeDocument/2006/relationships/chartUserShapes" Target="../drawings/drawing38.xml"/><Relationship Id="rId2" Type="http://schemas.openxmlformats.org/officeDocument/2006/relationships/package" Target="../embeddings/Microsoft_Excel_Worksheet70.xlsx"/><Relationship Id="rId1" Type="http://schemas.openxmlformats.org/officeDocument/2006/relationships/themeOverride" Target="../theme/themeOverride59.xml"/></Relationships>
</file>

<file path=word/charts/_rels/chart73.xml.rels><?xml version="1.0" encoding="UTF-8" standalone="yes"?>
<Relationships xmlns="http://schemas.openxmlformats.org/package/2006/relationships"><Relationship Id="rId3" Type="http://schemas.openxmlformats.org/officeDocument/2006/relationships/chartUserShapes" Target="../drawings/drawing39.xml"/><Relationship Id="rId2" Type="http://schemas.openxmlformats.org/officeDocument/2006/relationships/package" Target="../embeddings/Microsoft_Excel_Worksheet71.xlsx"/><Relationship Id="rId1" Type="http://schemas.openxmlformats.org/officeDocument/2006/relationships/themeOverride" Target="../theme/themeOverride60.xml"/></Relationships>
</file>

<file path=word/charts/_rels/chart74.xml.rels><?xml version="1.0" encoding="UTF-8" standalone="yes"?>
<Relationships xmlns="http://schemas.openxmlformats.org/package/2006/relationships"><Relationship Id="rId3" Type="http://schemas.openxmlformats.org/officeDocument/2006/relationships/chartUserShapes" Target="../drawings/drawing40.xml"/><Relationship Id="rId2" Type="http://schemas.openxmlformats.org/officeDocument/2006/relationships/package" Target="../embeddings/Microsoft_Excel_Worksheet72.xlsx"/><Relationship Id="rId1" Type="http://schemas.openxmlformats.org/officeDocument/2006/relationships/themeOverride" Target="../theme/themeOverride61.xml"/></Relationships>
</file>

<file path=word/charts/_rels/chart75.xml.rels><?xml version="1.0" encoding="UTF-8" standalone="yes"?>
<Relationships xmlns="http://schemas.openxmlformats.org/package/2006/relationships"><Relationship Id="rId2" Type="http://schemas.openxmlformats.org/officeDocument/2006/relationships/oleObject" Target="file:///\\172.20.215.254\Share\public_debt\STRATEGY%20AND%20RISKS\STRATEGY\Strategy%202022-2024\2022-2024%20Strategy%20data.xlsx" TargetMode="External"/><Relationship Id="rId1" Type="http://schemas.openxmlformats.org/officeDocument/2006/relationships/themeOverride" Target="../theme/themeOverride62.xml"/></Relationships>
</file>

<file path=word/charts/_rels/chart76.xml.rels><?xml version="1.0" encoding="UTF-8" standalone="yes"?>
<Relationships xmlns="http://schemas.openxmlformats.org/package/2006/relationships"><Relationship Id="rId3" Type="http://schemas.openxmlformats.org/officeDocument/2006/relationships/chartUserShapes" Target="../drawings/drawing41.xml"/><Relationship Id="rId2" Type="http://schemas.openxmlformats.org/officeDocument/2006/relationships/oleObject" Target="file:///\\172.20.215.254\Share\public_debt\STRATEGY%20AND%20RISKS\STRATEGY\Strategy%202022-2024\2022-2024%20Strategy%20data.xlsx" TargetMode="External"/><Relationship Id="rId1" Type="http://schemas.openxmlformats.org/officeDocument/2006/relationships/themeOverride" Target="../theme/themeOverride63.xml"/></Relationships>
</file>

<file path=word/charts/_rels/chart77.xml.rels><?xml version="1.0" encoding="UTF-8" standalone="yes"?>
<Relationships xmlns="http://schemas.openxmlformats.org/package/2006/relationships"><Relationship Id="rId2" Type="http://schemas.openxmlformats.org/officeDocument/2006/relationships/oleObject" Target="file:///\\172.20.215.254\Share\public_debt\STRATEGY%20AND%20RISKS\STRATEGY\Strategy%202022-2024\2022-2024%20Strategy%20data.xlsx" TargetMode="External"/><Relationship Id="rId1" Type="http://schemas.openxmlformats.org/officeDocument/2006/relationships/themeOverride" Target="../theme/themeOverride64.xml"/></Relationships>
</file>

<file path=word/charts/_rels/chart78.xml.rels><?xml version="1.0" encoding="UTF-8" standalone="yes"?>
<Relationships xmlns="http://schemas.openxmlformats.org/package/2006/relationships"><Relationship Id="rId3" Type="http://schemas.openxmlformats.org/officeDocument/2006/relationships/chartUserShapes" Target="../drawings/drawing42.xml"/><Relationship Id="rId2" Type="http://schemas.openxmlformats.org/officeDocument/2006/relationships/oleObject" Target="file:///\\172.20.215.254\Share\public_debt\STRATEGY%20AND%20RISKS\STRATEGY\Strategy%202022-2024\2022-2024%20Strategy%20data.xlsx" TargetMode="External"/><Relationship Id="rId1" Type="http://schemas.openxmlformats.org/officeDocument/2006/relationships/themeOverride" Target="../theme/themeOverride65.xml"/></Relationships>
</file>

<file path=word/charts/_rels/chart79.xml.rels><?xml version="1.0" encoding="UTF-8" standalone="yes"?>
<Relationships xmlns="http://schemas.openxmlformats.org/package/2006/relationships"><Relationship Id="rId3" Type="http://schemas.openxmlformats.org/officeDocument/2006/relationships/chartUserShapes" Target="../drawings/drawing43.xml"/><Relationship Id="rId2" Type="http://schemas.openxmlformats.org/officeDocument/2006/relationships/oleObject" Target="file:///\\172.20.215.254\Share\public_debt\STRATEGY%20AND%20RISKS\STRATEGY\Strategy%202022-2024\2022-2024%20Strategy%20data.xlsx" TargetMode="External"/><Relationship Id="rId1" Type="http://schemas.openxmlformats.org/officeDocument/2006/relationships/themeOverride" Target="../theme/themeOverride66.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1" Type="http://schemas.openxmlformats.org/officeDocument/2006/relationships/oleObject" Target="file:///\\172.20.215.254\Share\macroeconomic\Armine\2021\MTEF21-24\&#1356;&#1387;&#1405;&#1391;&#1381;&#1408;\Risks_for_MTEF_2021-2024.xlsx" TargetMode="External"/></Relationships>
</file>

<file path=word/charts/_rels/chart81.xml.rels><?xml version="1.0" encoding="UTF-8" standalone="yes"?>
<Relationships xmlns="http://schemas.openxmlformats.org/package/2006/relationships"><Relationship Id="rId3" Type="http://schemas.openxmlformats.org/officeDocument/2006/relationships/package" Target="../embeddings/Microsoft_Excel_Worksheet73.xlsx"/><Relationship Id="rId2" Type="http://schemas.microsoft.com/office/2011/relationships/chartColorStyle" Target="colors10.xml"/><Relationship Id="rId1" Type="http://schemas.microsoft.com/office/2011/relationships/chartStyle" Target="style10.xml"/></Relationships>
</file>

<file path=word/charts/_rels/chart82.xml.rels><?xml version="1.0" encoding="UTF-8" standalone="yes"?>
<Relationships xmlns="http://schemas.openxmlformats.org/package/2006/relationships"><Relationship Id="rId3" Type="http://schemas.openxmlformats.org/officeDocument/2006/relationships/package" Target="../embeddings/Microsoft_Excel_Worksheet74.xlsx"/><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44.xml"/></Relationships>
</file>

<file path=word/charts/_rels/chart83.xml.rels><?xml version="1.0" encoding="UTF-8" standalone="yes"?>
<Relationships xmlns="http://schemas.openxmlformats.org/package/2006/relationships"><Relationship Id="rId3" Type="http://schemas.openxmlformats.org/officeDocument/2006/relationships/package" Target="../embeddings/Microsoft_Excel_Worksheet75.xlsx"/><Relationship Id="rId2" Type="http://schemas.microsoft.com/office/2011/relationships/chartColorStyle" Target="colors12.xml"/><Relationship Id="rId1" Type="http://schemas.microsoft.com/office/2011/relationships/chartStyle" Target="style12.xml"/></Relationships>
</file>

<file path=word/charts/_rels/chart84.xml.rels><?xml version="1.0" encoding="UTF-8" standalone="yes"?>
<Relationships xmlns="http://schemas.openxmlformats.org/package/2006/relationships"><Relationship Id="rId3" Type="http://schemas.openxmlformats.org/officeDocument/2006/relationships/package" Target="../embeddings/Microsoft_Excel_Worksheet76.xlsx"/><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45.xml"/></Relationships>
</file>

<file path=word/charts/_rels/chart85.xml.rels><?xml version="1.0" encoding="UTF-8" standalone="yes"?>
<Relationships xmlns="http://schemas.openxmlformats.org/package/2006/relationships"><Relationship Id="rId1" Type="http://schemas.openxmlformats.org/officeDocument/2006/relationships/oleObject" Target="file:///C:\Users\Narek_Karapetyan\Desktop\DSA_13,07,2021.xlsm"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https://d.docs.live.net/e6f9e6114dd3e381/Documents/ADB/Fiscal%20risk%20management/Integrated%20Fiscal%20Risk%20Management/SOE/SOE%20Database%20Loris.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https://d.docs.live.net/e6f9e6114dd3e381/Documents/ADB/Fiscal%20risk%20management/Integrated%20Fiscal%20Risk%20Management/SOE/SOE%20Database%20Loris.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https://d.docs.live.net/e6f9e6114dd3e381/Documents/ADB/Fiscal%20risk%20management/Integrated%20Fiscal%20Risk%20Management/SOE/SOE%20Database%20Loris.xlsx" TargetMode="Externa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4258002232482"/>
          <c:y val="7.1301466104615782E-2"/>
          <c:w val="0.83276495610462564"/>
          <c:h val="0.67818924149632864"/>
        </c:manualLayout>
      </c:layout>
      <c:barChart>
        <c:barDir val="col"/>
        <c:grouping val="clustered"/>
        <c:varyColors val="0"/>
        <c:ser>
          <c:idx val="1"/>
          <c:order val="1"/>
          <c:tx>
            <c:strRef>
              <c:f>Sheet1!$C$1</c:f>
              <c:strCache>
                <c:ptCount val="1"/>
                <c:pt idx="0">
                  <c:v>ՌԴ</c:v>
                </c:pt>
              </c:strCache>
            </c:strRef>
          </c:tx>
          <c:spPr>
            <a:solidFill>
              <a:schemeClr val="accent2"/>
            </a:solidFill>
            <a:ln>
              <a:noFill/>
            </a:ln>
            <a:effectLst/>
          </c:spPr>
          <c:invertIfNegative val="0"/>
          <c:cat>
            <c:numRef>
              <c:f>Sheet1!$A$2:$A$7</c:f>
              <c:numCache>
                <c:formatCode>General</c:formatCode>
                <c:ptCount val="5"/>
                <c:pt idx="0">
                  <c:v>2018</c:v>
                </c:pt>
                <c:pt idx="1">
                  <c:v>2019</c:v>
                </c:pt>
                <c:pt idx="2">
                  <c:v>2020</c:v>
                </c:pt>
                <c:pt idx="3">
                  <c:v>2021</c:v>
                </c:pt>
                <c:pt idx="4">
                  <c:v>2022</c:v>
                </c:pt>
              </c:numCache>
            </c:numRef>
          </c:cat>
          <c:val>
            <c:numRef>
              <c:f>Sheet1!$C$2:$C$7</c:f>
              <c:numCache>
                <c:formatCode>#\,##0.0;"–"#\,##0.0</c:formatCode>
                <c:ptCount val="5"/>
                <c:pt idx="0">
                  <c:v>2.5</c:v>
                </c:pt>
                <c:pt idx="1">
                  <c:v>2</c:v>
                </c:pt>
                <c:pt idx="2">
                  <c:v>-3.1</c:v>
                </c:pt>
                <c:pt idx="3">
                  <c:v>3.8</c:v>
                </c:pt>
                <c:pt idx="4">
                  <c:v>3.8</c:v>
                </c:pt>
              </c:numCache>
            </c:numRef>
          </c:val>
          <c:extLst>
            <c:ext xmlns:c16="http://schemas.microsoft.com/office/drawing/2014/chart" uri="{C3380CC4-5D6E-409C-BE32-E72D297353CC}">
              <c16:uniqueId val="{00000000-56DE-44E3-872A-54DC325EE740}"/>
            </c:ext>
          </c:extLst>
        </c:ser>
        <c:ser>
          <c:idx val="2"/>
          <c:order val="2"/>
          <c:tx>
            <c:strRef>
              <c:f>Sheet1!$D$1</c:f>
              <c:strCache>
                <c:ptCount val="1"/>
                <c:pt idx="0">
                  <c:v>Եվրոգոտի</c:v>
                </c:pt>
              </c:strCache>
            </c:strRef>
          </c:tx>
          <c:spPr>
            <a:solidFill>
              <a:schemeClr val="accent3"/>
            </a:solidFill>
            <a:ln>
              <a:noFill/>
            </a:ln>
            <a:effectLst/>
          </c:spPr>
          <c:invertIfNegative val="0"/>
          <c:cat>
            <c:numRef>
              <c:f>Sheet1!$A$2:$A$7</c:f>
              <c:numCache>
                <c:formatCode>General</c:formatCode>
                <c:ptCount val="5"/>
                <c:pt idx="0">
                  <c:v>2018</c:v>
                </c:pt>
                <c:pt idx="1">
                  <c:v>2019</c:v>
                </c:pt>
                <c:pt idx="2">
                  <c:v>2020</c:v>
                </c:pt>
                <c:pt idx="3">
                  <c:v>2021</c:v>
                </c:pt>
                <c:pt idx="4">
                  <c:v>2022</c:v>
                </c:pt>
              </c:numCache>
            </c:numRef>
          </c:cat>
          <c:val>
            <c:numRef>
              <c:f>Sheet1!$D$2:$D$7</c:f>
              <c:numCache>
                <c:formatCode>#\,##0.0;"–"#\,##0.0</c:formatCode>
                <c:ptCount val="5"/>
                <c:pt idx="0">
                  <c:v>1.9245307253744466</c:v>
                </c:pt>
                <c:pt idx="1">
                  <c:v>1.3</c:v>
                </c:pt>
                <c:pt idx="2">
                  <c:v>-6.6</c:v>
                </c:pt>
                <c:pt idx="3">
                  <c:v>4.4000000000000004</c:v>
                </c:pt>
                <c:pt idx="4">
                  <c:v>3.8</c:v>
                </c:pt>
              </c:numCache>
            </c:numRef>
          </c:val>
          <c:extLst>
            <c:ext xmlns:c16="http://schemas.microsoft.com/office/drawing/2014/chart" uri="{C3380CC4-5D6E-409C-BE32-E72D297353CC}">
              <c16:uniqueId val="{00000001-56DE-44E3-872A-54DC325EE740}"/>
            </c:ext>
          </c:extLst>
        </c:ser>
        <c:ser>
          <c:idx val="3"/>
          <c:order val="3"/>
          <c:tx>
            <c:strRef>
              <c:f>Sheet1!$E$1</c:f>
              <c:strCache>
                <c:ptCount val="1"/>
                <c:pt idx="0">
                  <c:v>Չինաստան</c:v>
                </c:pt>
              </c:strCache>
            </c:strRef>
          </c:tx>
          <c:spPr>
            <a:solidFill>
              <a:schemeClr val="accent4"/>
            </a:solidFill>
            <a:ln>
              <a:noFill/>
            </a:ln>
            <a:effectLst/>
          </c:spPr>
          <c:invertIfNegative val="0"/>
          <c:cat>
            <c:numRef>
              <c:f>Sheet1!$A$2:$A$7</c:f>
              <c:numCache>
                <c:formatCode>General</c:formatCode>
                <c:ptCount val="5"/>
                <c:pt idx="0">
                  <c:v>2018</c:v>
                </c:pt>
                <c:pt idx="1">
                  <c:v>2019</c:v>
                </c:pt>
                <c:pt idx="2">
                  <c:v>2020</c:v>
                </c:pt>
                <c:pt idx="3">
                  <c:v>2021</c:v>
                </c:pt>
                <c:pt idx="4">
                  <c:v>2022</c:v>
                </c:pt>
              </c:numCache>
            </c:numRef>
          </c:cat>
          <c:val>
            <c:numRef>
              <c:f>Sheet1!$E$2:$E$7</c:f>
              <c:numCache>
                <c:formatCode>#\,##0.0;"–"#\,##0.0</c:formatCode>
                <c:ptCount val="5"/>
                <c:pt idx="0">
                  <c:v>6.7</c:v>
                </c:pt>
                <c:pt idx="1">
                  <c:v>5.8</c:v>
                </c:pt>
                <c:pt idx="2">
                  <c:v>2.2999999999999998</c:v>
                </c:pt>
                <c:pt idx="3">
                  <c:v>8.4</c:v>
                </c:pt>
                <c:pt idx="4">
                  <c:v>5.6</c:v>
                </c:pt>
              </c:numCache>
            </c:numRef>
          </c:val>
          <c:extLst>
            <c:ext xmlns:c16="http://schemas.microsoft.com/office/drawing/2014/chart" uri="{C3380CC4-5D6E-409C-BE32-E72D297353CC}">
              <c16:uniqueId val="{00000002-56DE-44E3-872A-54DC325EE740}"/>
            </c:ext>
          </c:extLst>
        </c:ser>
        <c:ser>
          <c:idx val="4"/>
          <c:order val="4"/>
          <c:tx>
            <c:strRef>
              <c:f>Sheet1!$F$1</c:f>
              <c:strCache>
                <c:ptCount val="1"/>
                <c:pt idx="0">
                  <c:v>ԱՄՆ</c:v>
                </c:pt>
              </c:strCache>
            </c:strRef>
          </c:tx>
          <c:spPr>
            <a:solidFill>
              <a:schemeClr val="accent5"/>
            </a:solidFill>
            <a:ln>
              <a:noFill/>
            </a:ln>
            <a:effectLst/>
          </c:spPr>
          <c:invertIfNegative val="0"/>
          <c:cat>
            <c:numRef>
              <c:f>Sheet1!$A$2:$A$7</c:f>
              <c:numCache>
                <c:formatCode>General</c:formatCode>
                <c:ptCount val="5"/>
                <c:pt idx="0">
                  <c:v>2018</c:v>
                </c:pt>
                <c:pt idx="1">
                  <c:v>2019</c:v>
                </c:pt>
                <c:pt idx="2">
                  <c:v>2020</c:v>
                </c:pt>
                <c:pt idx="3">
                  <c:v>2021</c:v>
                </c:pt>
                <c:pt idx="4">
                  <c:v>2022</c:v>
                </c:pt>
              </c:numCache>
            </c:numRef>
          </c:cat>
          <c:val>
            <c:numRef>
              <c:f>Sheet1!$F$2:$F$7</c:f>
              <c:numCache>
                <c:formatCode>#\,##0.0;"–"#\,##0.0</c:formatCode>
                <c:ptCount val="5"/>
                <c:pt idx="0">
                  <c:v>2.9</c:v>
                </c:pt>
                <c:pt idx="1">
                  <c:v>2.2000000000000002</c:v>
                </c:pt>
                <c:pt idx="2">
                  <c:v>-3.5</c:v>
                </c:pt>
                <c:pt idx="3">
                  <c:v>6.4</c:v>
                </c:pt>
                <c:pt idx="4">
                  <c:v>3.5</c:v>
                </c:pt>
              </c:numCache>
            </c:numRef>
          </c:val>
          <c:extLst>
            <c:ext xmlns:c16="http://schemas.microsoft.com/office/drawing/2014/chart" uri="{C3380CC4-5D6E-409C-BE32-E72D297353CC}">
              <c16:uniqueId val="{00000003-56DE-44E3-872A-54DC325EE740}"/>
            </c:ext>
          </c:extLst>
        </c:ser>
        <c:dLbls>
          <c:showLegendKey val="0"/>
          <c:showVal val="0"/>
          <c:showCatName val="0"/>
          <c:showSerName val="0"/>
          <c:showPercent val="0"/>
          <c:showBubbleSize val="0"/>
        </c:dLbls>
        <c:gapWidth val="150"/>
        <c:axId val="98162944"/>
        <c:axId val="98164736"/>
      </c:barChart>
      <c:lineChart>
        <c:grouping val="standard"/>
        <c:varyColors val="0"/>
        <c:ser>
          <c:idx val="0"/>
          <c:order val="0"/>
          <c:tx>
            <c:strRef>
              <c:f>Sheet1!$B$1</c:f>
              <c:strCache>
                <c:ptCount val="1"/>
                <c:pt idx="0">
                  <c:v>Աշխարը</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5"/>
                <c:pt idx="0">
                  <c:v>2018</c:v>
                </c:pt>
                <c:pt idx="1">
                  <c:v>2019</c:v>
                </c:pt>
                <c:pt idx="2">
                  <c:v>2020</c:v>
                </c:pt>
                <c:pt idx="3">
                  <c:v>2021</c:v>
                </c:pt>
                <c:pt idx="4">
                  <c:v>2022</c:v>
                </c:pt>
              </c:numCache>
            </c:numRef>
          </c:cat>
          <c:val>
            <c:numRef>
              <c:f>Sheet1!$B$2:$B$7</c:f>
              <c:numCache>
                <c:formatCode>#\,##0.0;"–"#\,##0.0</c:formatCode>
                <c:ptCount val="5"/>
                <c:pt idx="0">
                  <c:v>3.5852566282283198</c:v>
                </c:pt>
                <c:pt idx="1">
                  <c:v>2.8161521911176002</c:v>
                </c:pt>
                <c:pt idx="2">
                  <c:v>-3.3</c:v>
                </c:pt>
                <c:pt idx="3">
                  <c:v>6</c:v>
                </c:pt>
                <c:pt idx="4">
                  <c:v>4.4000000000000004</c:v>
                </c:pt>
              </c:numCache>
            </c:numRef>
          </c:val>
          <c:smooth val="0"/>
          <c:extLst>
            <c:ext xmlns:c16="http://schemas.microsoft.com/office/drawing/2014/chart" uri="{C3380CC4-5D6E-409C-BE32-E72D297353CC}">
              <c16:uniqueId val="{00000004-56DE-44E3-872A-54DC325EE740}"/>
            </c:ext>
          </c:extLst>
        </c:ser>
        <c:dLbls>
          <c:showLegendKey val="0"/>
          <c:showVal val="0"/>
          <c:showCatName val="0"/>
          <c:showSerName val="0"/>
          <c:showPercent val="0"/>
          <c:showBubbleSize val="0"/>
        </c:dLbls>
        <c:marker val="1"/>
        <c:smooth val="0"/>
        <c:axId val="98162944"/>
        <c:axId val="98164736"/>
      </c:lineChart>
      <c:catAx>
        <c:axId val="9816294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164736"/>
        <c:crosses val="autoZero"/>
        <c:auto val="1"/>
        <c:lblAlgn val="ctr"/>
        <c:lblOffset val="100"/>
        <c:noMultiLvlLbl val="0"/>
      </c:catAx>
      <c:valAx>
        <c:axId val="9816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hy-AM" sz="800" b="0" i="0" u="none" strike="noStrike" kern="1200" baseline="0">
                    <a:solidFill>
                      <a:sysClr val="windowText" lastClr="000000">
                        <a:lumMod val="65000"/>
                        <a:lumOff val="35000"/>
                      </a:sysClr>
                    </a:solidFill>
                    <a:latin typeface="+mn-lt"/>
                    <a:ea typeface="+mn-ea"/>
                    <a:cs typeface="+mn-cs"/>
                  </a:rPr>
                  <a:t>%</a:t>
                </a:r>
                <a:endParaRPr lang="en-US" sz="800"/>
              </a:p>
            </c:rich>
          </c:tx>
          <c:overlay val="0"/>
          <c:spPr>
            <a:noFill/>
            <a:ln>
              <a:noFill/>
            </a:ln>
            <a:effectLst/>
          </c:spPr>
        </c:title>
        <c:numFmt formatCode="#\,##0.0;&quot;–&quot;#\,##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162944"/>
        <c:crosses val="autoZero"/>
        <c:crossBetween val="between"/>
      </c:valAx>
      <c:spPr>
        <a:noFill/>
        <a:ln>
          <a:noFill/>
        </a:ln>
        <a:effectLst/>
      </c:spPr>
    </c:plotArea>
    <c:legend>
      <c:legendPos val="b"/>
      <c:layout>
        <c:manualLayout>
          <c:xMode val="edge"/>
          <c:yMode val="edge"/>
          <c:x val="9.0876097384378726E-2"/>
          <c:y val="0.83979280367731934"/>
          <c:w val="0.8424169184290029"/>
          <c:h val="0.14176727909011391"/>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50763561962162"/>
          <c:y val="6.9204152249134954E-2"/>
          <c:w val="0.82538046941663157"/>
          <c:h val="0.67598635732030832"/>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Sheet1!$B$3:$J$3</c:f>
              <c:numCache>
                <c:formatCode>0.0</c:formatCode>
                <c:ptCount val="9"/>
                <c:pt idx="0">
                  <c:v>0.90972491062214333</c:v>
                </c:pt>
                <c:pt idx="1">
                  <c:v>2.1681570501698246</c:v>
                </c:pt>
                <c:pt idx="2">
                  <c:v>-0.31627508523269748</c:v>
                </c:pt>
                <c:pt idx="3">
                  <c:v>0.98374335318543205</c:v>
                </c:pt>
                <c:pt idx="4">
                  <c:v>1.7285207863257994</c:v>
                </c:pt>
                <c:pt idx="5">
                  <c:v>1.673684212446203</c:v>
                </c:pt>
                <c:pt idx="6">
                  <c:v>1.6720461697827451</c:v>
                </c:pt>
                <c:pt idx="7">
                  <c:v>1.6907980894438603</c:v>
                </c:pt>
                <c:pt idx="8">
                  <c:v>1.7181006052077528</c:v>
                </c:pt>
              </c:numCache>
            </c:numRef>
          </c:val>
          <c:extLst>
            <c:ext xmlns:c16="http://schemas.microsoft.com/office/drawing/2014/chart" uri="{C3380CC4-5D6E-409C-BE32-E72D297353CC}">
              <c16:uniqueId val="{00000000-8633-4869-BFCD-A54272786984}"/>
            </c:ext>
          </c:extLst>
        </c:ser>
        <c:ser>
          <c:idx val="2"/>
          <c:order val="2"/>
          <c:tx>
            <c:strRef>
              <c:f>Sheet1!$A$4</c:f>
              <c:strCache>
                <c:ptCount val="1"/>
                <c:pt idx="0">
                  <c:v>Գյուղատնտեսություն </c:v>
                </c:pt>
              </c:strCache>
            </c:strRef>
          </c:tx>
          <c:spPr>
            <a:solidFill>
              <a:schemeClr val="accent3"/>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Sheet1!$B$4:$J$4</c:f>
              <c:numCache>
                <c:formatCode>0.0</c:formatCode>
                <c:ptCount val="9"/>
                <c:pt idx="0">
                  <c:v>-1.0346039485751573</c:v>
                </c:pt>
                <c:pt idx="1">
                  <c:v>-0.80865407601404704</c:v>
                </c:pt>
                <c:pt idx="2">
                  <c:v>-0.47255004025631075</c:v>
                </c:pt>
                <c:pt idx="3">
                  <c:v>0.34761614109702205</c:v>
                </c:pt>
                <c:pt idx="4">
                  <c:v>0.33893874859628675</c:v>
                </c:pt>
                <c:pt idx="5">
                  <c:v>0.38850277423294455</c:v>
                </c:pt>
                <c:pt idx="6">
                  <c:v>0.38633609209436481</c:v>
                </c:pt>
                <c:pt idx="7">
                  <c:v>0.39450749000880575</c:v>
                </c:pt>
                <c:pt idx="8">
                  <c:v>0.38344653234500747</c:v>
                </c:pt>
              </c:numCache>
            </c:numRef>
          </c:val>
          <c:extLst>
            <c:ext xmlns:c16="http://schemas.microsoft.com/office/drawing/2014/chart" uri="{C3380CC4-5D6E-409C-BE32-E72D297353CC}">
              <c16:uniqueId val="{00000001-8633-4869-BFCD-A54272786984}"/>
            </c:ext>
          </c:extLst>
        </c:ser>
        <c:ser>
          <c:idx val="3"/>
          <c:order val="3"/>
          <c:tx>
            <c:strRef>
              <c:f>Sheet1!$A$5</c:f>
              <c:strCache>
                <c:ptCount val="1"/>
                <c:pt idx="0">
                  <c:v>Շինարարություն</c:v>
                </c:pt>
              </c:strCache>
            </c:strRef>
          </c:tx>
          <c:spPr>
            <a:solidFill>
              <a:schemeClr val="accent4"/>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Sheet1!$B$5:$J$5</c:f>
              <c:numCache>
                <c:formatCode>0.0</c:formatCode>
                <c:ptCount val="9"/>
                <c:pt idx="0">
                  <c:v>4.3605339591297143E-2</c:v>
                </c:pt>
                <c:pt idx="1">
                  <c:v>0.42924919235971898</c:v>
                </c:pt>
                <c:pt idx="2">
                  <c:v>-0.42539272636721015</c:v>
                </c:pt>
                <c:pt idx="3">
                  <c:v>0.38204895482503132</c:v>
                </c:pt>
                <c:pt idx="4">
                  <c:v>0.63192461305162506</c:v>
                </c:pt>
                <c:pt idx="5">
                  <c:v>0.898385801608788</c:v>
                </c:pt>
                <c:pt idx="6">
                  <c:v>0.95280400388831743</c:v>
                </c:pt>
                <c:pt idx="7">
                  <c:v>1.0122985996918588</c:v>
                </c:pt>
                <c:pt idx="8">
                  <c:v>1.0846768861539235</c:v>
                </c:pt>
              </c:numCache>
            </c:numRef>
          </c:val>
          <c:extLst>
            <c:ext xmlns:c16="http://schemas.microsoft.com/office/drawing/2014/chart" uri="{C3380CC4-5D6E-409C-BE32-E72D297353CC}">
              <c16:uniqueId val="{00000002-8633-4869-BFCD-A54272786984}"/>
            </c:ext>
          </c:extLst>
        </c:ser>
        <c:ser>
          <c:idx val="4"/>
          <c:order val="4"/>
          <c:tx>
            <c:strRef>
              <c:f>Sheet1!$A$6</c:f>
              <c:strCache>
                <c:ptCount val="1"/>
                <c:pt idx="0">
                  <c:v>Ծառայություններ</c:v>
                </c:pt>
              </c:strCache>
            </c:strRef>
          </c:tx>
          <c:spPr>
            <a:solidFill>
              <a:schemeClr val="accent5"/>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Sheet1!$B$6:$J$6</c:f>
              <c:numCache>
                <c:formatCode>0.0</c:formatCode>
                <c:ptCount val="9"/>
                <c:pt idx="0">
                  <c:v>4.453544523092539</c:v>
                </c:pt>
                <c:pt idx="1">
                  <c:v>5.0778366362224361</c:v>
                </c:pt>
                <c:pt idx="2">
                  <c:v>-5.0521420801893067</c:v>
                </c:pt>
                <c:pt idx="3">
                  <c:v>3.5790173800474792</c:v>
                </c:pt>
                <c:pt idx="4">
                  <c:v>3.640487097446846</c:v>
                </c:pt>
                <c:pt idx="5">
                  <c:v>3.330122846209751</c:v>
                </c:pt>
                <c:pt idx="6">
                  <c:v>3.2001689830026248</c:v>
                </c:pt>
                <c:pt idx="7">
                  <c:v>3.1013030943184985</c:v>
                </c:pt>
                <c:pt idx="8">
                  <c:v>3.0154372246090935</c:v>
                </c:pt>
              </c:numCache>
            </c:numRef>
          </c:val>
          <c:extLst>
            <c:ext xmlns:c16="http://schemas.microsoft.com/office/drawing/2014/chart" uri="{C3380CC4-5D6E-409C-BE32-E72D297353CC}">
              <c16:uniqueId val="{00000003-8633-4869-BFCD-A54272786984}"/>
            </c:ext>
          </c:extLst>
        </c:ser>
        <c:ser>
          <c:idx val="5"/>
          <c:order val="5"/>
          <c:tx>
            <c:strRef>
              <c:f>Sheet1!$A$7</c:f>
              <c:strCache>
                <c:ptCount val="1"/>
                <c:pt idx="0">
                  <c:v>Զուտ հարկեր</c:v>
                </c:pt>
              </c:strCache>
            </c:strRef>
          </c:tx>
          <c:spPr>
            <a:solidFill>
              <a:schemeClr val="accent6"/>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Sheet1!$B$7:$J$7</c:f>
              <c:numCache>
                <c:formatCode>0.0</c:formatCode>
                <c:ptCount val="9"/>
                <c:pt idx="0">
                  <c:v>0.82246482352669925</c:v>
                </c:pt>
                <c:pt idx="1">
                  <c:v>0.75427447723755969</c:v>
                </c:pt>
                <c:pt idx="2">
                  <c:v>-1.1390376673817264</c:v>
                </c:pt>
                <c:pt idx="3">
                  <c:v>0.70757417084503182</c:v>
                </c:pt>
                <c:pt idx="4">
                  <c:v>0.76012875457942186</c:v>
                </c:pt>
                <c:pt idx="5">
                  <c:v>0.80930436550230633</c:v>
                </c:pt>
                <c:pt idx="6">
                  <c:v>0.78864475123195121</c:v>
                </c:pt>
                <c:pt idx="7">
                  <c:v>0.80109272653696173</c:v>
                </c:pt>
                <c:pt idx="8">
                  <c:v>0.79833875168421609</c:v>
                </c:pt>
              </c:numCache>
            </c:numRef>
          </c:val>
          <c:extLst>
            <c:ext xmlns:c16="http://schemas.microsoft.com/office/drawing/2014/chart" uri="{C3380CC4-5D6E-409C-BE32-E72D297353CC}">
              <c16:uniqueId val="{00000004-8633-4869-BFCD-A54272786984}"/>
            </c:ext>
          </c:extLst>
        </c:ser>
        <c:dLbls>
          <c:showLegendKey val="0"/>
          <c:showVal val="0"/>
          <c:showCatName val="0"/>
          <c:showSerName val="0"/>
          <c:showPercent val="0"/>
          <c:showBubbleSize val="0"/>
        </c:dLbls>
        <c:gapWidth val="150"/>
        <c:overlap val="100"/>
        <c:axId val="134169344"/>
        <c:axId val="134170880"/>
      </c:barChart>
      <c:lineChart>
        <c:grouping val="standard"/>
        <c:varyColors val="0"/>
        <c:ser>
          <c:idx val="0"/>
          <c:order val="0"/>
          <c:tx>
            <c:strRef>
              <c:f>Sheet1!$A$2</c:f>
              <c:strCache>
                <c:ptCount val="1"/>
                <c:pt idx="0">
                  <c:v>ՀՆԱ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6.6627474034881437E-2"/>
                  <c:y val="-3.77477194086190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633-4869-BFCD-A54272786984}"/>
                </c:ext>
              </c:extLst>
            </c:dLbl>
            <c:dLbl>
              <c:idx val="1"/>
              <c:layout>
                <c:manualLayout>
                  <c:x val="-4.7031158142269255E-2"/>
                  <c:y val="-4.40390059767222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633-4869-BFCD-A54272786984}"/>
                </c:ext>
              </c:extLst>
            </c:dLbl>
            <c:dLbl>
              <c:idx val="2"/>
              <c:layout>
                <c:manualLayout>
                  <c:x val="-1.9596315892612189E-2"/>
                  <c:y val="1.25825731362063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633-4869-BFCD-A54272786984}"/>
                </c:ext>
              </c:extLst>
            </c:dLbl>
            <c:dLbl>
              <c:idx val="3"/>
              <c:layout>
                <c:manualLayout>
                  <c:x val="-4.7031158142269325E-2"/>
                  <c:y val="-4.40390059767222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633-4869-BFCD-A54272786984}"/>
                </c:ext>
              </c:extLst>
            </c:dLbl>
            <c:dLbl>
              <c:idx val="4"/>
              <c:layout>
                <c:manualLayout>
                  <c:x val="-4.3111894963746886E-2"/>
                  <c:y val="-3.77477194086190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633-4869-BFCD-A54272786984}"/>
                </c:ext>
              </c:extLst>
            </c:dLbl>
            <c:dLbl>
              <c:idx val="5"/>
              <c:layout>
                <c:manualLayout>
                  <c:x val="-5.0950421320791764E-2"/>
                  <c:y val="-3.77477194086190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633-4869-BFCD-A54272786984}"/>
                </c:ext>
              </c:extLst>
            </c:dLbl>
            <c:dLbl>
              <c:idx val="6"/>
              <c:layout>
                <c:manualLayout>
                  <c:x val="-5.8788947677836566E-2"/>
                  <c:y val="-5.033029254482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633-4869-BFCD-A54272786984}"/>
                </c:ext>
              </c:extLst>
            </c:dLbl>
            <c:dLbl>
              <c:idx val="7"/>
              <c:layout>
                <c:manualLayout>
                  <c:x val="-4.7031158142269394E-2"/>
                  <c:y val="-3.77477194086190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633-4869-BFCD-A54272786984}"/>
                </c:ext>
              </c:extLst>
            </c:dLbl>
            <c:dLbl>
              <c:idx val="8"/>
              <c:layout>
                <c:manualLayout>
                  <c:x val="-5.0950421320791695E-2"/>
                  <c:y val="-4.4039005976722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633-4869-BFCD-A54272786984}"/>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Sheet1!$B$2:$J$2</c:f>
              <c:numCache>
                <c:formatCode>0.0</c:formatCode>
                <c:ptCount val="9"/>
                <c:pt idx="0">
                  <c:v>5.194735648257522</c:v>
                </c:pt>
                <c:pt idx="1">
                  <c:v>7.6208632799754925</c:v>
                </c:pt>
                <c:pt idx="2">
                  <c:v>-7.4053975994272516</c:v>
                </c:pt>
                <c:pt idx="3">
                  <c:v>5.9999999999999964</c:v>
                </c:pt>
                <c:pt idx="4">
                  <c:v>7.0999999999999792</c:v>
                </c:pt>
                <c:pt idx="5">
                  <c:v>7.0999999999999934</c:v>
                </c:pt>
                <c:pt idx="6">
                  <c:v>7.0000000000000036</c:v>
                </c:pt>
                <c:pt idx="7">
                  <c:v>6.9999999999999849</c:v>
                </c:pt>
                <c:pt idx="8">
                  <c:v>7</c:v>
                </c:pt>
              </c:numCache>
            </c:numRef>
          </c:val>
          <c:smooth val="0"/>
          <c:extLst>
            <c:ext xmlns:c16="http://schemas.microsoft.com/office/drawing/2014/chart" uri="{C3380CC4-5D6E-409C-BE32-E72D297353CC}">
              <c16:uniqueId val="{0000000E-8633-4869-BFCD-A54272786984}"/>
            </c:ext>
          </c:extLst>
        </c:ser>
        <c:dLbls>
          <c:showLegendKey val="0"/>
          <c:showVal val="0"/>
          <c:showCatName val="0"/>
          <c:showSerName val="0"/>
          <c:showPercent val="0"/>
          <c:showBubbleSize val="0"/>
        </c:dLbls>
        <c:marker val="1"/>
        <c:smooth val="0"/>
        <c:axId val="134169344"/>
        <c:axId val="134170880"/>
      </c:lineChart>
      <c:catAx>
        <c:axId val="134169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170880"/>
        <c:crosses val="autoZero"/>
        <c:auto val="1"/>
        <c:lblAlgn val="ctr"/>
        <c:lblOffset val="100"/>
        <c:noMultiLvlLbl val="0"/>
      </c:catAx>
      <c:valAx>
        <c:axId val="13417088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169344"/>
        <c:crosses val="autoZero"/>
        <c:crossBetween val="between"/>
      </c:valAx>
      <c:spPr>
        <a:noFill/>
        <a:ln>
          <a:noFill/>
        </a:ln>
        <a:effectLst/>
      </c:spPr>
    </c:plotArea>
    <c:legend>
      <c:legendPos val="b"/>
      <c:layout>
        <c:manualLayout>
          <c:xMode val="edge"/>
          <c:yMode val="edge"/>
          <c:x val="4.8775075955011786E-2"/>
          <c:y val="0.7829382289780622"/>
          <c:w val="0.91812659220066617"/>
          <c:h val="0.179314051613318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1"/>
          <c:tx>
            <c:strRef>
              <c:f>Sheet1!$A$3</c:f>
              <c:strCache>
                <c:ptCount val="1"/>
                <c:pt idx="0">
                  <c:v>Վերջնական սպառում</c:v>
                </c:pt>
              </c:strCache>
            </c:strRef>
          </c:tx>
          <c:spPr>
            <a:solidFill>
              <a:schemeClr val="accent2"/>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Sheet1!$B$3:$J$3</c:f>
              <c:numCache>
                <c:formatCode>0.0</c:formatCode>
                <c:ptCount val="9"/>
                <c:pt idx="0">
                  <c:v>3.5092447105651088</c:v>
                </c:pt>
                <c:pt idx="1">
                  <c:v>10.680646817555598</c:v>
                </c:pt>
                <c:pt idx="2">
                  <c:v>-9.6964062213782558</c:v>
                </c:pt>
                <c:pt idx="3">
                  <c:v>6.3226555146162742</c:v>
                </c:pt>
                <c:pt idx="4">
                  <c:v>6.6914008137121463</c:v>
                </c:pt>
                <c:pt idx="5">
                  <c:v>6.6860393270515379</c:v>
                </c:pt>
                <c:pt idx="6">
                  <c:v>4.9081058820781145</c:v>
                </c:pt>
                <c:pt idx="7">
                  <c:v>4.0544095534136932</c:v>
                </c:pt>
                <c:pt idx="8">
                  <c:v>3.110569568968176</c:v>
                </c:pt>
              </c:numCache>
            </c:numRef>
          </c:val>
          <c:extLst>
            <c:ext xmlns:c16="http://schemas.microsoft.com/office/drawing/2014/chart" uri="{C3380CC4-5D6E-409C-BE32-E72D297353CC}">
              <c16:uniqueId val="{00000000-E535-4065-82C3-FDEEBCB16830}"/>
            </c:ext>
          </c:extLst>
        </c:ser>
        <c:ser>
          <c:idx val="2"/>
          <c:order val="2"/>
          <c:tx>
            <c:strRef>
              <c:f>Sheet1!$A$4</c:f>
              <c:strCache>
                <c:ptCount val="1"/>
                <c:pt idx="0">
                  <c:v>Ներդրումներ</c:v>
                </c:pt>
              </c:strCache>
            </c:strRef>
          </c:tx>
          <c:spPr>
            <a:solidFill>
              <a:schemeClr val="accent3"/>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Sheet1!$B$4:$J$4</c:f>
              <c:numCache>
                <c:formatCode>0.0</c:formatCode>
                <c:ptCount val="9"/>
                <c:pt idx="0">
                  <c:v>0.84712204793201873</c:v>
                </c:pt>
                <c:pt idx="1">
                  <c:v>0.73660007839076713</c:v>
                </c:pt>
                <c:pt idx="2">
                  <c:v>-1.360141465150009</c:v>
                </c:pt>
                <c:pt idx="3">
                  <c:v>0.86013400627094394</c:v>
                </c:pt>
                <c:pt idx="4">
                  <c:v>2.2267601172757336</c:v>
                </c:pt>
                <c:pt idx="5">
                  <c:v>2.552279427764272</c:v>
                </c:pt>
                <c:pt idx="6">
                  <c:v>2.6166817035129171</c:v>
                </c:pt>
                <c:pt idx="7">
                  <c:v>2.7450324962287422</c:v>
                </c:pt>
                <c:pt idx="8">
                  <c:v>2.8060092628531561</c:v>
                </c:pt>
              </c:numCache>
            </c:numRef>
          </c:val>
          <c:extLst>
            <c:ext xmlns:c16="http://schemas.microsoft.com/office/drawing/2014/chart" uri="{C3380CC4-5D6E-409C-BE32-E72D297353CC}">
              <c16:uniqueId val="{00000001-E535-4065-82C3-FDEEBCB16830}"/>
            </c:ext>
          </c:extLst>
        </c:ser>
        <c:ser>
          <c:idx val="3"/>
          <c:order val="3"/>
          <c:tx>
            <c:strRef>
              <c:f>Sheet1!$A$5</c:f>
              <c:strCache>
                <c:ptCount val="1"/>
                <c:pt idx="0">
                  <c:v>Զուտ արտահանում</c:v>
                </c:pt>
              </c:strCache>
            </c:strRef>
          </c:tx>
          <c:spPr>
            <a:solidFill>
              <a:schemeClr val="accent4"/>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Sheet1!$B$5:$J$5</c:f>
              <c:numCache>
                <c:formatCode>0.0</c:formatCode>
                <c:ptCount val="9"/>
                <c:pt idx="0">
                  <c:v>-4.6043797249248186</c:v>
                </c:pt>
                <c:pt idx="1">
                  <c:v>0.14555833743502422</c:v>
                </c:pt>
                <c:pt idx="2">
                  <c:v>3.9623231857555883</c:v>
                </c:pt>
                <c:pt idx="3">
                  <c:v>-1.1827895208872179</c:v>
                </c:pt>
                <c:pt idx="4">
                  <c:v>-1.8181609309878861</c:v>
                </c:pt>
                <c:pt idx="5">
                  <c:v>-2.1383187548158165</c:v>
                </c:pt>
                <c:pt idx="6">
                  <c:v>-0.52478758559103122</c:v>
                </c:pt>
                <c:pt idx="7">
                  <c:v>0.20055795035756463</c:v>
                </c:pt>
                <c:pt idx="8">
                  <c:v>1.0834211681786683</c:v>
                </c:pt>
              </c:numCache>
            </c:numRef>
          </c:val>
          <c:extLst>
            <c:ext xmlns:c16="http://schemas.microsoft.com/office/drawing/2014/chart" uri="{C3380CC4-5D6E-409C-BE32-E72D297353CC}">
              <c16:uniqueId val="{00000002-E535-4065-82C3-FDEEBCB16830}"/>
            </c:ext>
          </c:extLst>
        </c:ser>
        <c:dLbls>
          <c:showLegendKey val="0"/>
          <c:showVal val="0"/>
          <c:showCatName val="0"/>
          <c:showSerName val="0"/>
          <c:showPercent val="0"/>
          <c:showBubbleSize val="0"/>
        </c:dLbls>
        <c:gapWidth val="150"/>
        <c:overlap val="100"/>
        <c:axId val="134236800"/>
        <c:axId val="134238592"/>
      </c:barChart>
      <c:lineChart>
        <c:grouping val="standard"/>
        <c:varyColors val="0"/>
        <c:ser>
          <c:idx val="0"/>
          <c:order val="0"/>
          <c:tx>
            <c:strRef>
              <c:f>Sheet1!$A$2</c:f>
              <c:strCache>
                <c:ptCount val="1"/>
                <c:pt idx="0">
                  <c:v>ՀՆԱ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7.5360163312919212E-2"/>
                  <c:y val="-1.275843734967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535-4065-82C3-FDEEBCB16830}"/>
                </c:ext>
              </c:extLst>
            </c:dLbl>
            <c:dLbl>
              <c:idx val="1"/>
              <c:layout>
                <c:manualLayout>
                  <c:x val="-4.6296296296296294E-3"/>
                  <c:y val="-2.67094017094017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535-4065-82C3-FDEEBCB16830}"/>
                </c:ext>
              </c:extLst>
            </c:dLbl>
            <c:dLbl>
              <c:idx val="2"/>
              <c:layout>
                <c:manualLayout>
                  <c:x val="-2.0833333333333419E-2"/>
                  <c:y val="4.27350427350427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535-4065-82C3-FDEEBCB16830}"/>
                </c:ext>
              </c:extLst>
            </c:dLbl>
            <c:dLbl>
              <c:idx val="3"/>
              <c:layout>
                <c:manualLayout>
                  <c:x val="-3.2407407407407406E-2"/>
                  <c:y val="-4.807692307692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535-4065-82C3-FDEEBCB16830}"/>
                </c:ext>
              </c:extLst>
            </c:dLbl>
            <c:dLbl>
              <c:idx val="4"/>
              <c:layout>
                <c:manualLayout>
                  <c:x val="-3.0092592592592591E-2"/>
                  <c:y val="-5.34188034188034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535-4065-82C3-FDEEBCB16830}"/>
                </c:ext>
              </c:extLst>
            </c:dLbl>
            <c:dLbl>
              <c:idx val="5"/>
              <c:layout>
                <c:manualLayout>
                  <c:x val="-3.7037037037037125E-2"/>
                  <c:y val="-4.807692307692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535-4065-82C3-FDEEBCB16830}"/>
                </c:ext>
              </c:extLst>
            </c:dLbl>
            <c:dLbl>
              <c:idx val="6"/>
              <c:layout>
                <c:manualLayout>
                  <c:x val="-3.0092592592592761E-2"/>
                  <c:y val="-4.27350427350427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535-4065-82C3-FDEEBCB16830}"/>
                </c:ext>
              </c:extLst>
            </c:dLbl>
            <c:dLbl>
              <c:idx val="7"/>
              <c:layout>
                <c:manualLayout>
                  <c:x val="-3.2407407407407406E-2"/>
                  <c:y val="-4.27350427350427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535-4065-82C3-FDEEBCB16830}"/>
                </c:ext>
              </c:extLst>
            </c:dLbl>
            <c:dLbl>
              <c:idx val="8"/>
              <c:layout>
                <c:manualLayout>
                  <c:x val="-3.2407407407407406E-2"/>
                  <c:y val="-4.27350427350427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535-4065-82C3-FDEEBCB16830}"/>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Sheet1!$B$2:$J$2</c:f>
              <c:numCache>
                <c:formatCode>0.0</c:formatCode>
                <c:ptCount val="9"/>
                <c:pt idx="0">
                  <c:v>5.1947356482575344</c:v>
                </c:pt>
                <c:pt idx="1">
                  <c:v>7.620863279975481</c:v>
                </c:pt>
                <c:pt idx="2">
                  <c:v>-7.4053975994272463</c:v>
                </c:pt>
                <c:pt idx="3">
                  <c:v>6</c:v>
                </c:pt>
                <c:pt idx="4">
                  <c:v>7.0999999999999943</c:v>
                </c:pt>
                <c:pt idx="5">
                  <c:v>7.0999999999999943</c:v>
                </c:pt>
                <c:pt idx="6">
                  <c:v>7</c:v>
                </c:pt>
                <c:pt idx="7">
                  <c:v>7</c:v>
                </c:pt>
                <c:pt idx="8">
                  <c:v>7</c:v>
                </c:pt>
              </c:numCache>
            </c:numRef>
          </c:val>
          <c:smooth val="0"/>
          <c:extLst>
            <c:ext xmlns:c16="http://schemas.microsoft.com/office/drawing/2014/chart" uri="{C3380CC4-5D6E-409C-BE32-E72D297353CC}">
              <c16:uniqueId val="{0000000C-E535-4065-82C3-FDEEBCB16830}"/>
            </c:ext>
          </c:extLst>
        </c:ser>
        <c:dLbls>
          <c:showLegendKey val="0"/>
          <c:showVal val="0"/>
          <c:showCatName val="0"/>
          <c:showSerName val="0"/>
          <c:showPercent val="0"/>
          <c:showBubbleSize val="0"/>
        </c:dLbls>
        <c:marker val="1"/>
        <c:smooth val="0"/>
        <c:axId val="134236800"/>
        <c:axId val="134238592"/>
      </c:lineChart>
      <c:catAx>
        <c:axId val="134236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238592"/>
        <c:crosses val="autoZero"/>
        <c:auto val="1"/>
        <c:lblAlgn val="ctr"/>
        <c:lblOffset val="100"/>
        <c:noMultiLvlLbl val="0"/>
      </c:catAx>
      <c:valAx>
        <c:axId val="134238592"/>
        <c:scaling>
          <c:orientation val="minMax"/>
          <c:max val="12"/>
          <c:min val="-12"/>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236800"/>
        <c:crosses val="autoZero"/>
        <c:crossBetween val="between"/>
      </c:valAx>
      <c:spPr>
        <a:noFill/>
        <a:ln>
          <a:noFill/>
        </a:ln>
        <a:effectLst/>
      </c:spPr>
    </c:plotArea>
    <c:legend>
      <c:legendPos val="b"/>
      <c:layout>
        <c:manualLayout>
          <c:xMode val="edge"/>
          <c:yMode val="edge"/>
          <c:x val="2.6131687242798358E-2"/>
          <c:y val="0.76955211788237077"/>
          <c:w val="0.92304526748971205"/>
          <c:h val="0.1918626731144137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15474917487166"/>
          <c:y val="7.2631231429514692E-2"/>
          <c:w val="0.84673335586138154"/>
          <c:h val="0.55203895155231708"/>
        </c:manualLayout>
      </c:layout>
      <c:barChart>
        <c:barDir val="col"/>
        <c:grouping val="clustered"/>
        <c:varyColors val="0"/>
        <c:ser>
          <c:idx val="0"/>
          <c:order val="0"/>
          <c:tx>
            <c:strRef>
              <c:f>Sheet1!$A$2</c:f>
              <c:strCache>
                <c:ptCount val="1"/>
                <c:pt idx="0">
                  <c:v>Արդյունաբերություն</c:v>
                </c:pt>
              </c:strCache>
            </c:strRef>
          </c:tx>
          <c:spPr>
            <a:solidFill>
              <a:schemeClr val="accent1"/>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Sheet1!$B$2:$J$2</c:f>
              <c:numCache>
                <c:formatCode>0.0</c:formatCode>
                <c:ptCount val="9"/>
                <c:pt idx="0">
                  <c:v>18.152724119014625</c:v>
                </c:pt>
                <c:pt idx="1">
                  <c:v>18.62246328768363</c:v>
                </c:pt>
                <c:pt idx="2">
                  <c:v>20.076394962967974</c:v>
                </c:pt>
                <c:pt idx="3">
                  <c:v>19.868055015239065</c:v>
                </c:pt>
                <c:pt idx="4">
                  <c:v>20.164870029472333</c:v>
                </c:pt>
                <c:pt idx="5">
                  <c:v>20.390806948570059</c:v>
                </c:pt>
                <c:pt idx="6">
                  <c:v>20.619488895656826</c:v>
                </c:pt>
                <c:pt idx="7">
                  <c:v>20.8507355000941</c:v>
                </c:pt>
                <c:pt idx="8">
                  <c:v>21.092370191870895</c:v>
                </c:pt>
              </c:numCache>
            </c:numRef>
          </c:val>
          <c:extLst>
            <c:ext xmlns:c16="http://schemas.microsoft.com/office/drawing/2014/chart" uri="{C3380CC4-5D6E-409C-BE32-E72D297353CC}">
              <c16:uniqueId val="{00000000-85A2-4622-8B63-4411028FD8BD}"/>
            </c:ext>
          </c:extLst>
        </c:ser>
        <c:ser>
          <c:idx val="1"/>
          <c:order val="1"/>
          <c:tx>
            <c:strRef>
              <c:f>Sheet1!$A$3</c:f>
              <c:strCache>
                <c:ptCount val="1"/>
                <c:pt idx="0">
                  <c:v>Գյուղատնտեսություն </c:v>
                </c:pt>
              </c:strCache>
            </c:strRef>
          </c:tx>
          <c:spPr>
            <a:solidFill>
              <a:schemeClr val="accent2"/>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Sheet1!$B$3:$J$3</c:f>
              <c:numCache>
                <c:formatCode>0.0</c:formatCode>
                <c:ptCount val="9"/>
                <c:pt idx="0">
                  <c:v>13.94231165541461</c:v>
                </c:pt>
                <c:pt idx="1">
                  <c:v>11.525610737958814</c:v>
                </c:pt>
                <c:pt idx="2">
                  <c:v>11.213423906355571</c:v>
                </c:pt>
                <c:pt idx="3">
                  <c:v>10.906641554200558</c:v>
                </c:pt>
                <c:pt idx="4">
                  <c:v>10.500074979268765</c:v>
                </c:pt>
                <c:pt idx="5">
                  <c:v>10.166739265641187</c:v>
                </c:pt>
                <c:pt idx="6">
                  <c:v>9.8626872502201426</c:v>
                </c:pt>
                <c:pt idx="7">
                  <c:v>9.5861633086251867</c:v>
                </c:pt>
                <c:pt idx="8">
                  <c:v>9.3173923747385015</c:v>
                </c:pt>
              </c:numCache>
            </c:numRef>
          </c:val>
          <c:extLst>
            <c:ext xmlns:c16="http://schemas.microsoft.com/office/drawing/2014/chart" uri="{C3380CC4-5D6E-409C-BE32-E72D297353CC}">
              <c16:uniqueId val="{00000001-85A2-4622-8B63-4411028FD8BD}"/>
            </c:ext>
          </c:extLst>
        </c:ser>
        <c:ser>
          <c:idx val="2"/>
          <c:order val="2"/>
          <c:tx>
            <c:strRef>
              <c:f>Sheet1!$A$4</c:f>
              <c:strCache>
                <c:ptCount val="1"/>
                <c:pt idx="0">
                  <c:v>Շինարարություն</c:v>
                </c:pt>
              </c:strCache>
            </c:strRef>
          </c:tx>
          <c:spPr>
            <a:solidFill>
              <a:schemeClr val="accent3"/>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Sheet1!$B$4:$J$4</c:f>
              <c:numCache>
                <c:formatCode>0.0</c:formatCode>
                <c:ptCount val="9"/>
                <c:pt idx="0">
                  <c:v>6.6038337286110611</c:v>
                </c:pt>
                <c:pt idx="1">
                  <c:v>6.3491451696598507</c:v>
                </c:pt>
                <c:pt idx="2">
                  <c:v>6.9788311532488461</c:v>
                </c:pt>
                <c:pt idx="3">
                  <c:v>6.9442265170508293</c:v>
                </c:pt>
                <c:pt idx="4">
                  <c:v>7.0739039496754943</c:v>
                </c:pt>
                <c:pt idx="5">
                  <c:v>7.4437812803774799</c:v>
                </c:pt>
                <c:pt idx="6">
                  <c:v>7.8472759666035508</c:v>
                </c:pt>
                <c:pt idx="7">
                  <c:v>8.2799762301826263</c:v>
                </c:pt>
                <c:pt idx="8">
                  <c:v>8.7520122582584587</c:v>
                </c:pt>
              </c:numCache>
            </c:numRef>
          </c:val>
          <c:extLst>
            <c:ext xmlns:c16="http://schemas.microsoft.com/office/drawing/2014/chart" uri="{C3380CC4-5D6E-409C-BE32-E72D297353CC}">
              <c16:uniqueId val="{00000002-85A2-4622-8B63-4411028FD8BD}"/>
            </c:ext>
          </c:extLst>
        </c:ser>
        <c:ser>
          <c:idx val="3"/>
          <c:order val="3"/>
          <c:tx>
            <c:strRef>
              <c:f>Sheet1!$A$5</c:f>
              <c:strCache>
                <c:ptCount val="1"/>
                <c:pt idx="0">
                  <c:v>Ծառայություններ</c:v>
                </c:pt>
              </c:strCache>
            </c:strRef>
          </c:tx>
          <c:spPr>
            <a:solidFill>
              <a:schemeClr val="accent4"/>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Sheet1!$B$5:$J$5</c:f>
              <c:numCache>
                <c:formatCode>0.0</c:formatCode>
                <c:ptCount val="9"/>
                <c:pt idx="0">
                  <c:v>50.67754631051519</c:v>
                </c:pt>
                <c:pt idx="1">
                  <c:v>52.112404130880442</c:v>
                </c:pt>
                <c:pt idx="2">
                  <c:v>50.845593502888654</c:v>
                </c:pt>
                <c:pt idx="3">
                  <c:v>51.343972531071827</c:v>
                </c:pt>
                <c:pt idx="4">
                  <c:v>51.33936473251044</c:v>
                </c:pt>
                <c:pt idx="5">
                  <c:v>51.045273182745277</c:v>
                </c:pt>
                <c:pt idx="6">
                  <c:v>50.696674921259735</c:v>
                </c:pt>
                <c:pt idx="7">
                  <c:v>50.278484126708634</c:v>
                </c:pt>
                <c:pt idx="8">
                  <c:v>49.807403132072643</c:v>
                </c:pt>
              </c:numCache>
            </c:numRef>
          </c:val>
          <c:extLst>
            <c:ext xmlns:c16="http://schemas.microsoft.com/office/drawing/2014/chart" uri="{C3380CC4-5D6E-409C-BE32-E72D297353CC}">
              <c16:uniqueId val="{00000003-85A2-4622-8B63-4411028FD8BD}"/>
            </c:ext>
          </c:extLst>
        </c:ser>
        <c:ser>
          <c:idx val="4"/>
          <c:order val="4"/>
          <c:tx>
            <c:strRef>
              <c:f>Sheet1!$A$6</c:f>
              <c:strCache>
                <c:ptCount val="1"/>
                <c:pt idx="0">
                  <c:v>Զուտ հարկեր</c:v>
                </c:pt>
              </c:strCache>
            </c:strRef>
          </c:tx>
          <c:spPr>
            <a:solidFill>
              <a:schemeClr val="accent5"/>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Sheet1!$B$6:$J$6</c:f>
              <c:numCache>
                <c:formatCode>0.0</c:formatCode>
                <c:ptCount val="9"/>
                <c:pt idx="0">
                  <c:v>10.623584186444511</c:v>
                </c:pt>
                <c:pt idx="1">
                  <c:v>11.390376673817263</c:v>
                </c:pt>
                <c:pt idx="2">
                  <c:v>10.885756474538951</c:v>
                </c:pt>
                <c:pt idx="3">
                  <c:v>10.937104382437719</c:v>
                </c:pt>
                <c:pt idx="4">
                  <c:v>10.921786309072964</c:v>
                </c:pt>
                <c:pt idx="5">
                  <c:v>10.953399322665987</c:v>
                </c:pt>
                <c:pt idx="6">
                  <c:v>10.973872966259753</c:v>
                </c:pt>
                <c:pt idx="7">
                  <c:v>11.004640834389454</c:v>
                </c:pt>
                <c:pt idx="8">
                  <c:v>11.030822043059505</c:v>
                </c:pt>
              </c:numCache>
            </c:numRef>
          </c:val>
          <c:extLst>
            <c:ext xmlns:c16="http://schemas.microsoft.com/office/drawing/2014/chart" uri="{C3380CC4-5D6E-409C-BE32-E72D297353CC}">
              <c16:uniqueId val="{00000004-85A2-4622-8B63-4411028FD8BD}"/>
            </c:ext>
          </c:extLst>
        </c:ser>
        <c:dLbls>
          <c:showLegendKey val="0"/>
          <c:showVal val="0"/>
          <c:showCatName val="0"/>
          <c:showSerName val="0"/>
          <c:showPercent val="0"/>
          <c:showBubbleSize val="0"/>
        </c:dLbls>
        <c:gapWidth val="219"/>
        <c:overlap val="-27"/>
        <c:axId val="134265088"/>
        <c:axId val="134279168"/>
      </c:barChart>
      <c:catAx>
        <c:axId val="13426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279168"/>
        <c:crosses val="autoZero"/>
        <c:auto val="1"/>
        <c:lblAlgn val="ctr"/>
        <c:lblOffset val="100"/>
        <c:noMultiLvlLbl val="0"/>
      </c:catAx>
      <c:valAx>
        <c:axId val="1342791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265088"/>
        <c:crosses val="autoZero"/>
        <c:crossBetween val="between"/>
      </c:valAx>
      <c:spPr>
        <a:noFill/>
        <a:ln>
          <a:noFill/>
        </a:ln>
        <a:effectLst/>
      </c:spPr>
    </c:plotArea>
    <c:legend>
      <c:legendPos val="b"/>
      <c:layout>
        <c:manualLayout>
          <c:xMode val="edge"/>
          <c:yMode val="edge"/>
          <c:x val="2.2169142437442241E-2"/>
          <c:y val="0.75898337072342681"/>
          <c:w val="0.93214582745058105"/>
          <c:h val="0.20139959395138335"/>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87075330536953"/>
          <c:y val="7.5187969924812026E-2"/>
          <c:w val="0.80743869633118293"/>
          <c:h val="0.5053481951119746"/>
        </c:manualLayout>
      </c:layout>
      <c:barChart>
        <c:barDir val="col"/>
        <c:grouping val="clustered"/>
        <c:varyColors val="0"/>
        <c:ser>
          <c:idx val="0"/>
          <c:order val="0"/>
          <c:tx>
            <c:strRef>
              <c:f>Sheet1!$A$2</c:f>
              <c:strCache>
                <c:ptCount val="1"/>
                <c:pt idx="0">
                  <c:v>Վերջնական սպառում</c:v>
                </c:pt>
              </c:strCache>
            </c:strRef>
          </c:tx>
          <c:spPr>
            <a:solidFill>
              <a:schemeClr val="accent1"/>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Sheet1!$B$2:$J$2</c:f>
              <c:numCache>
                <c:formatCode>0.0</c:formatCode>
                <c:ptCount val="9"/>
                <c:pt idx="0">
                  <c:v>91.28757963722731</c:v>
                </c:pt>
                <c:pt idx="1">
                  <c:v>96.004021993844162</c:v>
                </c:pt>
                <c:pt idx="2">
                  <c:v>91.422990776868645</c:v>
                </c:pt>
                <c:pt idx="3">
                  <c:v>93.111748905926433</c:v>
                </c:pt>
                <c:pt idx="4">
                  <c:v>93.379505397443779</c:v>
                </c:pt>
                <c:pt idx="5">
                  <c:v>92.675817506301641</c:v>
                </c:pt>
                <c:pt idx="6">
                  <c:v>91.010602987712957</c:v>
                </c:pt>
                <c:pt idx="7">
                  <c:v>88.619982057486297</c:v>
                </c:pt>
                <c:pt idx="8">
                  <c:v>85.759813067914621</c:v>
                </c:pt>
              </c:numCache>
            </c:numRef>
          </c:val>
          <c:extLst>
            <c:ext xmlns:c16="http://schemas.microsoft.com/office/drawing/2014/chart" uri="{C3380CC4-5D6E-409C-BE32-E72D297353CC}">
              <c16:uniqueId val="{00000000-B4E8-46CA-A59F-C218A7B5191D}"/>
            </c:ext>
          </c:extLst>
        </c:ser>
        <c:ser>
          <c:idx val="1"/>
          <c:order val="1"/>
          <c:tx>
            <c:strRef>
              <c:f>Sheet1!$A$3</c:f>
              <c:strCache>
                <c:ptCount val="1"/>
                <c:pt idx="0">
                  <c:v>Հիմնական միջոցների համախառն  կուտակում</c:v>
                </c:pt>
              </c:strCache>
            </c:strRef>
          </c:tx>
          <c:spPr>
            <a:solidFill>
              <a:schemeClr val="accent2"/>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Sheet1!$B$3:$J$3</c:f>
              <c:numCache>
                <c:formatCode>0.0</c:formatCode>
                <c:ptCount val="9"/>
                <c:pt idx="0">
                  <c:v>16.740910872517414</c:v>
                </c:pt>
                <c:pt idx="1">
                  <c:v>15.815598431976859</c:v>
                </c:pt>
                <c:pt idx="2">
                  <c:v>16.571815993690116</c:v>
                </c:pt>
                <c:pt idx="3">
                  <c:v>16.540871389335603</c:v>
                </c:pt>
                <c:pt idx="4">
                  <c:v>17.74113160680605</c:v>
                </c:pt>
                <c:pt idx="5">
                  <c:v>18.563487963583359</c:v>
                </c:pt>
                <c:pt idx="6">
                  <c:v>19.439279861632738</c:v>
                </c:pt>
                <c:pt idx="7">
                  <c:v>20.391401512116566</c:v>
                </c:pt>
                <c:pt idx="8">
                  <c:v>21.456062334841754</c:v>
                </c:pt>
              </c:numCache>
            </c:numRef>
          </c:val>
          <c:extLst>
            <c:ext xmlns:c16="http://schemas.microsoft.com/office/drawing/2014/chart" uri="{C3380CC4-5D6E-409C-BE32-E72D297353CC}">
              <c16:uniqueId val="{00000001-B4E8-46CA-A59F-C218A7B5191D}"/>
            </c:ext>
          </c:extLst>
        </c:ser>
        <c:ser>
          <c:idx val="2"/>
          <c:order val="2"/>
          <c:tx>
            <c:strRef>
              <c:f>Sheet1!$A$4</c:f>
              <c:strCache>
                <c:ptCount val="1"/>
                <c:pt idx="0">
                  <c:v>Ապրանքների և ծառայությունների արտահանում </c:v>
                </c:pt>
              </c:strCache>
            </c:strRef>
          </c:tx>
          <c:spPr>
            <a:solidFill>
              <a:schemeClr val="accent3"/>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Sheet1!$B$4:$J$4</c:f>
              <c:numCache>
                <c:formatCode>0.0</c:formatCode>
                <c:ptCount val="9"/>
                <c:pt idx="0">
                  <c:v>39.392894028607309</c:v>
                </c:pt>
                <c:pt idx="1">
                  <c:v>41.35080136208493</c:v>
                </c:pt>
                <c:pt idx="2">
                  <c:v>30.237914415310925</c:v>
                </c:pt>
                <c:pt idx="3">
                  <c:v>33.426249904322148</c:v>
                </c:pt>
                <c:pt idx="4">
                  <c:v>37.435158958050096</c:v>
                </c:pt>
                <c:pt idx="5">
                  <c:v>40.943897705682687</c:v>
                </c:pt>
                <c:pt idx="6">
                  <c:v>43.813450388563503</c:v>
                </c:pt>
                <c:pt idx="7">
                  <c:v>46.864754185485921</c:v>
                </c:pt>
                <c:pt idx="8">
                  <c:v>50.128776399654427</c:v>
                </c:pt>
              </c:numCache>
            </c:numRef>
          </c:val>
          <c:extLst>
            <c:ext xmlns:c16="http://schemas.microsoft.com/office/drawing/2014/chart" uri="{C3380CC4-5D6E-409C-BE32-E72D297353CC}">
              <c16:uniqueId val="{00000002-B4E8-46CA-A59F-C218A7B5191D}"/>
            </c:ext>
          </c:extLst>
        </c:ser>
        <c:ser>
          <c:idx val="3"/>
          <c:order val="3"/>
          <c:tx>
            <c:strRef>
              <c:f>Sheet1!$A$5</c:f>
              <c:strCache>
                <c:ptCount val="1"/>
                <c:pt idx="0">
                  <c:v>Ապրանքների և ծառայությունների ներմուծում </c:v>
                </c:pt>
              </c:strCache>
            </c:strRef>
          </c:tx>
          <c:spPr>
            <a:solidFill>
              <a:schemeClr val="accent4"/>
            </a:solidFill>
            <a:ln>
              <a:noFill/>
            </a:ln>
            <a:effectLst/>
          </c:spPr>
          <c:invertIfNegative val="0"/>
          <c:cat>
            <c:strRef>
              <c:f>Sheet1!$B$1:$J$1</c:f>
              <c:strCache>
                <c:ptCount val="9"/>
                <c:pt idx="0">
                  <c:v>2018</c:v>
                </c:pt>
                <c:pt idx="1">
                  <c:v>2019</c:v>
                </c:pt>
                <c:pt idx="2">
                  <c:v>2020</c:v>
                </c:pt>
                <c:pt idx="3">
                  <c:v>2021</c:v>
                </c:pt>
                <c:pt idx="4">
                  <c:v>2022</c:v>
                </c:pt>
                <c:pt idx="5">
                  <c:v>2023</c:v>
                </c:pt>
                <c:pt idx="6">
                  <c:v>2024</c:v>
                </c:pt>
                <c:pt idx="7">
                  <c:v>2025</c:v>
                </c:pt>
                <c:pt idx="8">
                  <c:v>2026</c:v>
                </c:pt>
              </c:strCache>
            </c:strRef>
          </c:cat>
          <c:val>
            <c:numRef>
              <c:f>Sheet1!$B$5:$J$5</c:f>
              <c:numCache>
                <c:formatCode>0.0</c:formatCode>
                <c:ptCount val="9"/>
                <c:pt idx="0">
                  <c:v>53.080212992604729</c:v>
                </c:pt>
                <c:pt idx="1">
                  <c:v>54.763352766785822</c:v>
                </c:pt>
                <c:pt idx="2">
                  <c:v>39.608460770296468</c:v>
                </c:pt>
                <c:pt idx="3">
                  <c:v>43.078870199584159</c:v>
                </c:pt>
                <c:pt idx="4">
                  <c:v>48.555795962299939</c:v>
                </c:pt>
                <c:pt idx="5">
                  <c:v>52.183203175567684</c:v>
                </c:pt>
                <c:pt idx="6">
                  <c:v>54.263333237909208</c:v>
                </c:pt>
                <c:pt idx="7">
                  <c:v>55.87613775508877</c:v>
                </c:pt>
                <c:pt idx="8">
                  <c:v>57.344651802410851</c:v>
                </c:pt>
              </c:numCache>
            </c:numRef>
          </c:val>
          <c:extLst>
            <c:ext xmlns:c16="http://schemas.microsoft.com/office/drawing/2014/chart" uri="{C3380CC4-5D6E-409C-BE32-E72D297353CC}">
              <c16:uniqueId val="{00000003-B4E8-46CA-A59F-C218A7B5191D}"/>
            </c:ext>
          </c:extLst>
        </c:ser>
        <c:dLbls>
          <c:showLegendKey val="0"/>
          <c:showVal val="0"/>
          <c:showCatName val="0"/>
          <c:showSerName val="0"/>
          <c:showPercent val="0"/>
          <c:showBubbleSize val="0"/>
        </c:dLbls>
        <c:gapWidth val="150"/>
        <c:axId val="134434816"/>
        <c:axId val="134436352"/>
      </c:barChart>
      <c:catAx>
        <c:axId val="134434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436352"/>
        <c:crosses val="autoZero"/>
        <c:auto val="1"/>
        <c:lblAlgn val="ctr"/>
        <c:lblOffset val="100"/>
        <c:noMultiLvlLbl val="0"/>
      </c:catAx>
      <c:valAx>
        <c:axId val="13443635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4434816"/>
        <c:crosses val="autoZero"/>
        <c:crossBetween val="between"/>
      </c:valAx>
      <c:spPr>
        <a:noFill/>
        <a:ln>
          <a:noFill/>
        </a:ln>
        <a:effectLst/>
      </c:spPr>
    </c:plotArea>
    <c:legend>
      <c:legendPos val="b"/>
      <c:layout>
        <c:manualLayout>
          <c:xMode val="edge"/>
          <c:yMode val="edge"/>
          <c:x val="0.10142549938267062"/>
          <c:y val="0.69809096829403505"/>
          <c:w val="0.79714867417273771"/>
          <c:h val="0.2608974117469765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84003234163631"/>
          <c:y val="6.9708491761723695E-2"/>
          <c:w val="0.8450480726946169"/>
          <c:h val="0.68629931239583641"/>
        </c:manualLayout>
      </c:layout>
      <c:barChart>
        <c:barDir val="col"/>
        <c:grouping val="stacked"/>
        <c:varyColors val="0"/>
        <c:ser>
          <c:idx val="1"/>
          <c:order val="1"/>
          <c:tx>
            <c:strRef>
              <c:f>Sheet1!$C$1</c:f>
              <c:strCache>
                <c:ptCount val="1"/>
                <c:pt idx="0">
                  <c:v>Պետական ներդրումներ</c:v>
                </c:pt>
              </c:strCache>
            </c:strRef>
          </c:tx>
          <c:spPr>
            <a:solidFill>
              <a:schemeClr val="accent2"/>
            </a:solidFill>
            <a:ln>
              <a:noFill/>
            </a:ln>
            <a:effectLst/>
          </c:spPr>
          <c:invertIfNegative val="0"/>
          <c:cat>
            <c:numRef>
              <c:f>Sheet1!$A$2:$A$10</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Sheet1!$C$2:$C$10</c:f>
              <c:numCache>
                <c:formatCode>0</c:formatCode>
                <c:ptCount val="9"/>
                <c:pt idx="0">
                  <c:v>1.9643999999999551</c:v>
                </c:pt>
                <c:pt idx="1">
                  <c:v>19.130600000000015</c:v>
                </c:pt>
                <c:pt idx="2">
                  <c:v>29.68301151440005</c:v>
                </c:pt>
                <c:pt idx="3">
                  <c:v>21.229115754099979</c:v>
                </c:pt>
                <c:pt idx="4">
                  <c:v>138.37570466932016</c:v>
                </c:pt>
                <c:pt idx="5">
                  <c:v>53.623462818088683</c:v>
                </c:pt>
                <c:pt idx="6">
                  <c:v>82.756576347245186</c:v>
                </c:pt>
                <c:pt idx="7">
                  <c:v>110.25176323838008</c:v>
                </c:pt>
                <c:pt idx="8">
                  <c:v>164.16758560580058</c:v>
                </c:pt>
              </c:numCache>
            </c:numRef>
          </c:val>
          <c:extLst>
            <c:ext xmlns:c16="http://schemas.microsoft.com/office/drawing/2014/chart" uri="{C3380CC4-5D6E-409C-BE32-E72D297353CC}">
              <c16:uniqueId val="{00000000-46E2-46E9-95AB-C746767F03D8}"/>
            </c:ext>
          </c:extLst>
        </c:ser>
        <c:ser>
          <c:idx val="2"/>
          <c:order val="2"/>
          <c:tx>
            <c:strRef>
              <c:f>Sheet1!$D$1</c:f>
              <c:strCache>
                <c:ptCount val="1"/>
                <c:pt idx="0">
                  <c:v>Մասնավոր ներդրումներ</c:v>
                </c:pt>
              </c:strCache>
            </c:strRef>
          </c:tx>
          <c:spPr>
            <a:solidFill>
              <a:schemeClr val="accent3"/>
            </a:solidFill>
            <a:ln>
              <a:noFill/>
            </a:ln>
            <a:effectLst/>
          </c:spPr>
          <c:invertIfNegative val="0"/>
          <c:cat>
            <c:numRef>
              <c:f>Sheet1!$A$2:$A$10</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Sheet1!$D$2:$D$10</c:f>
              <c:numCache>
                <c:formatCode>0</c:formatCode>
                <c:ptCount val="9"/>
                <c:pt idx="0">
                  <c:v>23.299399999999991</c:v>
                </c:pt>
                <c:pt idx="1">
                  <c:v>8.4284000000000106</c:v>
                </c:pt>
                <c:pt idx="2">
                  <c:v>-40.13451151440006</c:v>
                </c:pt>
                <c:pt idx="3">
                  <c:v>92.400618008326092</c:v>
                </c:pt>
                <c:pt idx="4">
                  <c:v>91.004063634338081</c:v>
                </c:pt>
                <c:pt idx="5">
                  <c:v>172.60901778777964</c:v>
                </c:pt>
                <c:pt idx="6">
                  <c:v>180.63384387760607</c:v>
                </c:pt>
                <c:pt idx="7">
                  <c:v>200.39231355250968</c:v>
                </c:pt>
                <c:pt idx="8">
                  <c:v>206.23682930831819</c:v>
                </c:pt>
              </c:numCache>
            </c:numRef>
          </c:val>
          <c:extLst>
            <c:ext xmlns:c16="http://schemas.microsoft.com/office/drawing/2014/chart" uri="{C3380CC4-5D6E-409C-BE32-E72D297353CC}">
              <c16:uniqueId val="{00000001-46E2-46E9-95AB-C746767F03D8}"/>
            </c:ext>
          </c:extLst>
        </c:ser>
        <c:dLbls>
          <c:showLegendKey val="0"/>
          <c:showVal val="0"/>
          <c:showCatName val="0"/>
          <c:showSerName val="0"/>
          <c:showPercent val="0"/>
          <c:showBubbleSize val="0"/>
        </c:dLbls>
        <c:gapWidth val="219"/>
        <c:overlap val="100"/>
        <c:axId val="134509312"/>
        <c:axId val="134510848"/>
      </c:barChart>
      <c:lineChart>
        <c:grouping val="standard"/>
        <c:varyColors val="0"/>
        <c:ser>
          <c:idx val="0"/>
          <c:order val="0"/>
          <c:tx>
            <c:strRef>
              <c:f>Sheet1!$B$1</c:f>
              <c:strCache>
                <c:ptCount val="1"/>
                <c:pt idx="0">
                  <c:v>Ընդհանուր ներդրումներ</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7031158142269255E-2"/>
                  <c:y val="-4.4359949302915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6E2-46E9-95AB-C746767F03D8}"/>
                </c:ext>
              </c:extLst>
            </c:dLbl>
            <c:dLbl>
              <c:idx val="1"/>
              <c:layout>
                <c:manualLayout>
                  <c:x val="-5.0950421320791695E-2"/>
                  <c:y val="-5.70342205323195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6E2-46E9-95AB-C746767F03D8}"/>
                </c:ext>
              </c:extLst>
            </c:dLbl>
            <c:dLbl>
              <c:idx val="2"/>
              <c:layout>
                <c:manualLayout>
                  <c:x val="-5.4869684499314168E-2"/>
                  <c:y val="-6.33713561470215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6E2-46E9-95AB-C746767F03D8}"/>
                </c:ext>
              </c:extLst>
            </c:dLbl>
            <c:dLbl>
              <c:idx val="3"/>
              <c:layout>
                <c:manualLayout>
                  <c:x val="-6.662747403488152E-2"/>
                  <c:y val="-5.70342205323194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6E2-46E9-95AB-C746767F03D8}"/>
                </c:ext>
              </c:extLst>
            </c:dLbl>
            <c:dLbl>
              <c:idx val="4"/>
              <c:layout>
                <c:manualLayout>
                  <c:x val="-5.8788947677836635E-2"/>
                  <c:y val="-5.06970849176172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6E2-46E9-95AB-C746767F03D8}"/>
                </c:ext>
              </c:extLst>
            </c:dLbl>
            <c:dLbl>
              <c:idx val="5"/>
              <c:layout>
                <c:manualLayout>
                  <c:x val="-6.662747403488159E-2"/>
                  <c:y val="-5.70342205323193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6E2-46E9-95AB-C746767F03D8}"/>
                </c:ext>
              </c:extLst>
            </c:dLbl>
            <c:dLbl>
              <c:idx val="6"/>
              <c:layout>
                <c:manualLayout>
                  <c:x val="-6.2708210856358998E-2"/>
                  <c:y val="-5.70342205323193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6E2-46E9-95AB-C746767F03D8}"/>
                </c:ext>
              </c:extLst>
            </c:dLbl>
            <c:dLbl>
              <c:idx val="7"/>
              <c:layout>
                <c:manualLayout>
                  <c:x val="-6.6627474034881437E-2"/>
                  <c:y val="-5.06970849176172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6E2-46E9-95AB-C746767F03D8}"/>
                </c:ext>
              </c:extLst>
            </c:dLbl>
            <c:dLbl>
              <c:idx val="8"/>
              <c:layout>
                <c:manualLayout>
                  <c:x val="-4.7031158142269255E-2"/>
                  <c:y val="-3.8022813688212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6E2-46E9-95AB-C746767F03D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Sheet1!$B$2:$B$10</c:f>
              <c:numCache>
                <c:formatCode>0</c:formatCode>
                <c:ptCount val="9"/>
                <c:pt idx="0">
                  <c:v>25.26380000000006</c:v>
                </c:pt>
                <c:pt idx="1">
                  <c:v>27.559000000000083</c:v>
                </c:pt>
                <c:pt idx="2">
                  <c:v>-10.451500000000124</c:v>
                </c:pt>
                <c:pt idx="3">
                  <c:v>113.62973376242599</c:v>
                </c:pt>
                <c:pt idx="4">
                  <c:v>229.37976830365824</c:v>
                </c:pt>
                <c:pt idx="5">
                  <c:v>226.23248060586843</c:v>
                </c:pt>
                <c:pt idx="6">
                  <c:v>263.39042022485114</c:v>
                </c:pt>
                <c:pt idx="7">
                  <c:v>310.64407679088959</c:v>
                </c:pt>
                <c:pt idx="8">
                  <c:v>370.40441491411912</c:v>
                </c:pt>
              </c:numCache>
            </c:numRef>
          </c:val>
          <c:smooth val="0"/>
          <c:extLst>
            <c:ext xmlns:c16="http://schemas.microsoft.com/office/drawing/2014/chart" uri="{C3380CC4-5D6E-409C-BE32-E72D297353CC}">
              <c16:uniqueId val="{0000000B-46E2-46E9-95AB-C746767F03D8}"/>
            </c:ext>
          </c:extLst>
        </c:ser>
        <c:dLbls>
          <c:showLegendKey val="0"/>
          <c:showVal val="0"/>
          <c:showCatName val="0"/>
          <c:showSerName val="0"/>
          <c:showPercent val="0"/>
          <c:showBubbleSize val="0"/>
        </c:dLbls>
        <c:marker val="1"/>
        <c:smooth val="0"/>
        <c:axId val="134509312"/>
        <c:axId val="134510848"/>
      </c:lineChart>
      <c:catAx>
        <c:axId val="13450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510848"/>
        <c:crosses val="autoZero"/>
        <c:auto val="1"/>
        <c:lblAlgn val="ctr"/>
        <c:lblOffset val="100"/>
        <c:noMultiLvlLbl val="0"/>
      </c:catAx>
      <c:valAx>
        <c:axId val="1345108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509312"/>
        <c:crosses val="autoZero"/>
        <c:crossBetween val="between"/>
      </c:valAx>
      <c:spPr>
        <a:noFill/>
        <a:ln>
          <a:noFill/>
        </a:ln>
        <a:effectLst/>
      </c:spPr>
    </c:plotArea>
    <c:legend>
      <c:legendPos val="b"/>
      <c:layout>
        <c:manualLayout>
          <c:xMode val="edge"/>
          <c:yMode val="edge"/>
          <c:x val="3.4254360180286089E-2"/>
          <c:y val="0.80036775346047528"/>
          <c:w val="0.93541054281795022"/>
          <c:h val="0.1996322465395247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743444452621"/>
          <c:y val="6.8450528935905419E-2"/>
          <c:w val="0.83756600518393143"/>
          <c:h val="0.5778238905575509"/>
        </c:manualLayout>
      </c:layout>
      <c:barChart>
        <c:barDir val="col"/>
        <c:grouping val="stacked"/>
        <c:varyColors val="0"/>
        <c:ser>
          <c:idx val="1"/>
          <c:order val="1"/>
          <c:tx>
            <c:strRef>
              <c:f>Sheet1!$C$1</c:f>
              <c:strCache>
                <c:ptCount val="1"/>
                <c:pt idx="0">
                  <c:v>Պետական ներդրումներ</c:v>
                </c:pt>
              </c:strCache>
            </c:strRef>
          </c:tx>
          <c:spPr>
            <a:solidFill>
              <a:schemeClr val="accent2"/>
            </a:solidFill>
            <a:ln>
              <a:noFill/>
            </a:ln>
            <a:effectLst/>
          </c:spPr>
          <c:invertIfNegative val="0"/>
          <c:cat>
            <c:numRef>
              <c:f>Sheet1!$A$2:$A$10</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Sheet1!$C$2:$C$10</c:f>
              <c:numCache>
                <c:formatCode>0.0</c:formatCode>
                <c:ptCount val="9"/>
                <c:pt idx="0">
                  <c:v>2.6842754717472803</c:v>
                </c:pt>
                <c:pt idx="1">
                  <c:v>2.7607445502680292</c:v>
                </c:pt>
                <c:pt idx="2">
                  <c:v>3.4024399920791546</c:v>
                </c:pt>
                <c:pt idx="3">
                  <c:v>3.365553206155615</c:v>
                </c:pt>
                <c:pt idx="4">
                  <c:v>4.7995492270624984</c:v>
                </c:pt>
                <c:pt idx="5">
                  <c:v>4.9337317005680257</c:v>
                </c:pt>
                <c:pt idx="6">
                  <c:v>5.3000000000000096</c:v>
                </c:pt>
                <c:pt idx="7">
                  <c:v>5.8000000000000114</c:v>
                </c:pt>
                <c:pt idx="8">
                  <c:v>6.6000000000000139</c:v>
                </c:pt>
              </c:numCache>
            </c:numRef>
          </c:val>
          <c:extLst>
            <c:ext xmlns:c16="http://schemas.microsoft.com/office/drawing/2014/chart" uri="{C3380CC4-5D6E-409C-BE32-E72D297353CC}">
              <c16:uniqueId val="{00000000-B79C-4F0E-9752-1746CF5FDBC9}"/>
            </c:ext>
          </c:extLst>
        </c:ser>
        <c:ser>
          <c:idx val="2"/>
          <c:order val="2"/>
          <c:tx>
            <c:strRef>
              <c:f>Sheet1!$D$1</c:f>
              <c:strCache>
                <c:ptCount val="1"/>
                <c:pt idx="0">
                  <c:v>Մասնավոր ներդրումներ</c:v>
                </c:pt>
              </c:strCache>
            </c:strRef>
          </c:tx>
          <c:spPr>
            <a:solidFill>
              <a:schemeClr val="accent3"/>
            </a:solidFill>
            <a:ln>
              <a:noFill/>
            </a:ln>
            <a:effectLst/>
          </c:spPr>
          <c:invertIfNegative val="0"/>
          <c:cat>
            <c:numRef>
              <c:f>Sheet1!$A$2:$A$10</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Sheet1!$D$2:$D$10</c:f>
              <c:numCache>
                <c:formatCode>0.0</c:formatCode>
                <c:ptCount val="9"/>
                <c:pt idx="0">
                  <c:v>14.056635400770128</c:v>
                </c:pt>
                <c:pt idx="1">
                  <c:v>13.054853881708823</c:v>
                </c:pt>
                <c:pt idx="2">
                  <c:v>13.169376001610949</c:v>
                </c:pt>
                <c:pt idx="3">
                  <c:v>13.175318183179986</c:v>
                </c:pt>
                <c:pt idx="4">
                  <c:v>12.941582379743554</c:v>
                </c:pt>
                <c:pt idx="5">
                  <c:v>13.629756263015333</c:v>
                </c:pt>
                <c:pt idx="6">
                  <c:v>14.139279861632728</c:v>
                </c:pt>
                <c:pt idx="7">
                  <c:v>14.591401512116553</c:v>
                </c:pt>
                <c:pt idx="8">
                  <c:v>14.856062334841742</c:v>
                </c:pt>
              </c:numCache>
            </c:numRef>
          </c:val>
          <c:extLst>
            <c:ext xmlns:c16="http://schemas.microsoft.com/office/drawing/2014/chart" uri="{C3380CC4-5D6E-409C-BE32-E72D297353CC}">
              <c16:uniqueId val="{00000001-B79C-4F0E-9752-1746CF5FDBC9}"/>
            </c:ext>
          </c:extLst>
        </c:ser>
        <c:dLbls>
          <c:showLegendKey val="0"/>
          <c:showVal val="0"/>
          <c:showCatName val="0"/>
          <c:showSerName val="0"/>
          <c:showPercent val="0"/>
          <c:showBubbleSize val="0"/>
        </c:dLbls>
        <c:gapWidth val="219"/>
        <c:overlap val="100"/>
        <c:axId val="134571904"/>
        <c:axId val="134573440"/>
      </c:barChart>
      <c:lineChart>
        <c:grouping val="standard"/>
        <c:varyColors val="0"/>
        <c:ser>
          <c:idx val="0"/>
          <c:order val="0"/>
          <c:tx>
            <c:strRef>
              <c:f>Sheet1!$B$1</c:f>
              <c:strCache>
                <c:ptCount val="1"/>
                <c:pt idx="0">
                  <c:v>Ընդհանուր ներդրումներ</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6.6458982346832812E-2"/>
                  <c:y val="-4.978220286247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9C-4F0E-9752-1746CF5FDBC9}"/>
                </c:ext>
              </c:extLst>
            </c:dLbl>
            <c:dLbl>
              <c:idx val="1"/>
              <c:layout>
                <c:manualLayout>
                  <c:x val="-5.39979231568017E-2"/>
                  <c:y val="-4.978220286247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9C-4F0E-9752-1746CF5FDBC9}"/>
                </c:ext>
              </c:extLst>
            </c:dLbl>
            <c:dLbl>
              <c:idx val="2"/>
              <c:layout>
                <c:manualLayout>
                  <c:x val="-5.39979231568017E-2"/>
                  <c:y val="-4.978220286247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79C-4F0E-9752-1746CF5FDBC9}"/>
                </c:ext>
              </c:extLst>
            </c:dLbl>
            <c:dLbl>
              <c:idx val="3"/>
              <c:layout>
                <c:manualLayout>
                  <c:x val="-6.6458982346832812E-2"/>
                  <c:y val="-4.978220286247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79C-4F0E-9752-1746CF5FDBC9}"/>
                </c:ext>
              </c:extLst>
            </c:dLbl>
            <c:dLbl>
              <c:idx val="4"/>
              <c:layout>
                <c:manualLayout>
                  <c:x val="-6.6458982346832812E-2"/>
                  <c:y val="-4.97822028624766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79C-4F0E-9752-1746CF5FDBC9}"/>
                </c:ext>
              </c:extLst>
            </c:dLbl>
            <c:dLbl>
              <c:idx val="5"/>
              <c:layout>
                <c:manualLayout>
                  <c:x val="-5.3997923156801658E-2"/>
                  <c:y val="-3.73366521468574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79C-4F0E-9752-1746CF5FDBC9}"/>
                </c:ext>
              </c:extLst>
            </c:dLbl>
            <c:dLbl>
              <c:idx val="6"/>
              <c:layout>
                <c:manualLayout>
                  <c:x val="-6.6458982346832896E-2"/>
                  <c:y val="-3.73366521468574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79C-4F0E-9752-1746CF5FDBC9}"/>
                </c:ext>
              </c:extLst>
            </c:dLbl>
            <c:dLbl>
              <c:idx val="7"/>
              <c:layout>
                <c:manualLayout>
                  <c:x val="-5.8151609553478867E-2"/>
                  <c:y val="-4.978220286247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79C-4F0E-9752-1746CF5FDBC9}"/>
                </c:ext>
              </c:extLst>
            </c:dLbl>
            <c:dLbl>
              <c:idx val="8"/>
              <c:layout>
                <c:manualLayout>
                  <c:x val="-2.4922118380062457E-2"/>
                  <c:y val="-4.3559427504667091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79C-4F0E-9752-1746CF5FDBC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Sheet1!$B$2:$B$10</c:f>
              <c:numCache>
                <c:formatCode>0.0</c:formatCode>
                <c:ptCount val="9"/>
                <c:pt idx="0">
                  <c:v>16.740910872517407</c:v>
                </c:pt>
                <c:pt idx="1">
                  <c:v>15.815598431976854</c:v>
                </c:pt>
                <c:pt idx="2">
                  <c:v>16.571815993690105</c:v>
                </c:pt>
                <c:pt idx="3">
                  <c:v>16.540871389335599</c:v>
                </c:pt>
                <c:pt idx="4">
                  <c:v>17.74113160680605</c:v>
                </c:pt>
                <c:pt idx="5">
                  <c:v>18.563487963583363</c:v>
                </c:pt>
                <c:pt idx="6">
                  <c:v>19.439279861632738</c:v>
                </c:pt>
                <c:pt idx="7">
                  <c:v>20.391401512116563</c:v>
                </c:pt>
                <c:pt idx="8">
                  <c:v>21.456062334841754</c:v>
                </c:pt>
              </c:numCache>
            </c:numRef>
          </c:val>
          <c:smooth val="0"/>
          <c:extLst>
            <c:ext xmlns:c16="http://schemas.microsoft.com/office/drawing/2014/chart" uri="{C3380CC4-5D6E-409C-BE32-E72D297353CC}">
              <c16:uniqueId val="{0000000B-B79C-4F0E-9752-1746CF5FDBC9}"/>
            </c:ext>
          </c:extLst>
        </c:ser>
        <c:dLbls>
          <c:showLegendKey val="0"/>
          <c:showVal val="0"/>
          <c:showCatName val="0"/>
          <c:showSerName val="0"/>
          <c:showPercent val="0"/>
          <c:showBubbleSize val="0"/>
        </c:dLbls>
        <c:marker val="1"/>
        <c:smooth val="0"/>
        <c:axId val="134571904"/>
        <c:axId val="134573440"/>
      </c:lineChart>
      <c:catAx>
        <c:axId val="134571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573440"/>
        <c:crosses val="autoZero"/>
        <c:auto val="1"/>
        <c:lblAlgn val="ctr"/>
        <c:lblOffset val="100"/>
        <c:noMultiLvlLbl val="0"/>
      </c:catAx>
      <c:valAx>
        <c:axId val="13457344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4571904"/>
        <c:crosses val="autoZero"/>
        <c:crossBetween val="between"/>
      </c:valAx>
      <c:spPr>
        <a:noFill/>
        <a:ln>
          <a:noFill/>
        </a:ln>
        <a:effectLst/>
      </c:spPr>
    </c:plotArea>
    <c:legend>
      <c:legendPos val="b"/>
      <c:layout>
        <c:manualLayout>
          <c:xMode val="edge"/>
          <c:yMode val="edge"/>
          <c:x val="3.9626168224299062E-2"/>
          <c:y val="0.76709130465155739"/>
          <c:w val="0.93736240913810998"/>
          <c:h val="0.19557198886260893"/>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hy-AM" sz="1200" dirty="0"/>
              <a:t>Իրական</a:t>
            </a:r>
            <a:r>
              <a:rPr lang="hy-AM" sz="1200" baseline="0" dirty="0"/>
              <a:t> աճեր</a:t>
            </a:r>
            <a:endParaRPr lang="en-US" sz="1200" dirty="0"/>
          </a:p>
        </c:rich>
      </c:tx>
      <c:layout>
        <c:manualLayout>
          <c:xMode val="edge"/>
          <c:yMode val="edge"/>
          <c:x val="0.28587681600429754"/>
          <c:y val="0"/>
        </c:manualLayout>
      </c:layout>
      <c:overlay val="0"/>
    </c:title>
    <c:autoTitleDeleted val="0"/>
    <c:plotArea>
      <c:layout>
        <c:manualLayout>
          <c:layoutTarget val="inner"/>
          <c:xMode val="edge"/>
          <c:yMode val="edge"/>
          <c:x val="0.19814498975890502"/>
          <c:y val="2.3346912562447846E-2"/>
          <c:w val="0.75046825626633318"/>
          <c:h val="0.78231284772159171"/>
        </c:manualLayout>
      </c:layout>
      <c:lineChart>
        <c:grouping val="standard"/>
        <c:varyColors val="0"/>
        <c:ser>
          <c:idx val="0"/>
          <c:order val="0"/>
          <c:tx>
            <c:strRef>
              <c:f>Sheet1!$B$1</c:f>
              <c:strCache>
                <c:ptCount val="1"/>
                <c:pt idx="0">
                  <c:v>Ապրանքների արտահանում</c:v>
                </c:pt>
              </c:strCache>
            </c:strRef>
          </c:tx>
          <c:spPr>
            <a:ln>
              <a:solidFill>
                <a:srgbClr val="FF0000"/>
              </a:solidFill>
            </a:ln>
            <a:effectLst/>
          </c:spPr>
          <c:marker>
            <c:spPr>
              <a:solidFill>
                <a:srgbClr val="FF0000"/>
              </a:solidFill>
              <a:ln>
                <a:solidFill>
                  <a:srgbClr val="FF0000"/>
                </a:solidFill>
              </a:ln>
            </c:spPr>
          </c:marker>
          <c:dPt>
            <c:idx val="3"/>
            <c:bubble3D val="0"/>
            <c:spPr>
              <a:ln>
                <a:solidFill>
                  <a:srgbClr val="FF0000"/>
                </a:solidFill>
              </a:ln>
              <a:effectLst/>
            </c:spPr>
            <c:extLst>
              <c:ext xmlns:c16="http://schemas.microsoft.com/office/drawing/2014/chart" uri="{C3380CC4-5D6E-409C-BE32-E72D297353CC}">
                <c16:uniqueId val="{00000001-BD57-4D13-B26F-106F5109F9D3}"/>
              </c:ext>
            </c:extLst>
          </c:dPt>
          <c:dPt>
            <c:idx val="4"/>
            <c:bubble3D val="0"/>
            <c:spPr>
              <a:ln>
                <a:solidFill>
                  <a:srgbClr val="FF0000"/>
                </a:solidFill>
              </a:ln>
              <a:effectLst/>
            </c:spPr>
            <c:extLst>
              <c:ext xmlns:c16="http://schemas.microsoft.com/office/drawing/2014/chart" uri="{C3380CC4-5D6E-409C-BE32-E72D297353CC}">
                <c16:uniqueId val="{00000003-BD57-4D13-B26F-106F5109F9D3}"/>
              </c:ext>
            </c:extLst>
          </c:dPt>
          <c:dPt>
            <c:idx val="5"/>
            <c:bubble3D val="0"/>
            <c:spPr>
              <a:ln>
                <a:solidFill>
                  <a:srgbClr val="FF0000"/>
                </a:solidFill>
              </a:ln>
              <a:effectLst/>
            </c:spPr>
            <c:extLst>
              <c:ext xmlns:c16="http://schemas.microsoft.com/office/drawing/2014/chart" uri="{C3380CC4-5D6E-409C-BE32-E72D297353CC}">
                <c16:uniqueId val="{00000005-BD57-4D13-B26F-106F5109F9D3}"/>
              </c:ext>
            </c:extLst>
          </c:dPt>
          <c:dPt>
            <c:idx val="6"/>
            <c:bubble3D val="0"/>
            <c:spPr>
              <a:ln>
                <a:solidFill>
                  <a:srgbClr val="FF0000"/>
                </a:solidFill>
              </a:ln>
              <a:effectLst/>
            </c:spPr>
            <c:extLst>
              <c:ext xmlns:c16="http://schemas.microsoft.com/office/drawing/2014/chart" uri="{C3380CC4-5D6E-409C-BE32-E72D297353CC}">
                <c16:uniqueId val="{00000007-BD57-4D13-B26F-106F5109F9D3}"/>
              </c:ext>
            </c:extLst>
          </c:dPt>
          <c:dPt>
            <c:idx val="7"/>
            <c:bubble3D val="0"/>
            <c:spPr>
              <a:ln>
                <a:solidFill>
                  <a:srgbClr val="FF0000"/>
                </a:solidFill>
              </a:ln>
              <a:effectLst/>
            </c:spPr>
            <c:extLst>
              <c:ext xmlns:c16="http://schemas.microsoft.com/office/drawing/2014/chart" uri="{C3380CC4-5D6E-409C-BE32-E72D297353CC}">
                <c16:uniqueId val="{00000009-BD57-4D13-B26F-106F5109F9D3}"/>
              </c:ext>
            </c:extLst>
          </c:dPt>
          <c:dPt>
            <c:idx val="8"/>
            <c:bubble3D val="0"/>
            <c:spPr>
              <a:ln>
                <a:solidFill>
                  <a:srgbClr val="FF0000"/>
                </a:solidFill>
              </a:ln>
              <a:effectLst/>
            </c:spPr>
            <c:extLst>
              <c:ext xmlns:c16="http://schemas.microsoft.com/office/drawing/2014/chart" uri="{C3380CC4-5D6E-409C-BE32-E72D297353CC}">
                <c16:uniqueId val="{0000000B-BD57-4D13-B26F-106F5109F9D3}"/>
              </c:ext>
            </c:extLst>
          </c:dPt>
          <c:cat>
            <c:numRef>
              <c:f>Sheet1!$A$2:$A$15</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Sheet1!$B$2:$B$15</c:f>
              <c:numCache>
                <c:formatCode>#\,##0.0</c:formatCode>
                <c:ptCount val="9"/>
                <c:pt idx="0">
                  <c:v>7.5519347455409047</c:v>
                </c:pt>
                <c:pt idx="1">
                  <c:v>22.014993279206038</c:v>
                </c:pt>
                <c:pt idx="2">
                  <c:v>-19.48641102202366</c:v>
                </c:pt>
                <c:pt idx="3">
                  <c:v>6.304487977171064</c:v>
                </c:pt>
                <c:pt idx="4">
                  <c:v>22.565478522227238</c:v>
                </c:pt>
                <c:pt idx="5">
                  <c:v>14.285472250262359</c:v>
                </c:pt>
                <c:pt idx="6">
                  <c:v>15.189509371074905</c:v>
                </c:pt>
                <c:pt idx="7">
                  <c:v>15.1674910067306</c:v>
                </c:pt>
                <c:pt idx="8">
                  <c:v>15.167255394780028</c:v>
                </c:pt>
              </c:numCache>
            </c:numRef>
          </c:val>
          <c:smooth val="0"/>
          <c:extLst>
            <c:ext xmlns:c16="http://schemas.microsoft.com/office/drawing/2014/chart" uri="{C3380CC4-5D6E-409C-BE32-E72D297353CC}">
              <c16:uniqueId val="{0000000C-BD57-4D13-B26F-106F5109F9D3}"/>
            </c:ext>
          </c:extLst>
        </c:ser>
        <c:ser>
          <c:idx val="1"/>
          <c:order val="1"/>
          <c:tx>
            <c:strRef>
              <c:f>Sheet1!$C$1</c:f>
              <c:strCache>
                <c:ptCount val="1"/>
                <c:pt idx="0">
                  <c:v>Արդյունաբերություն</c:v>
                </c:pt>
              </c:strCache>
            </c:strRef>
          </c:tx>
          <c:spPr>
            <a:ln>
              <a:solidFill>
                <a:schemeClr val="accent1"/>
              </a:solidFill>
            </a:ln>
          </c:spPr>
          <c:marker>
            <c:symbol val="none"/>
          </c:marker>
          <c:cat>
            <c:numRef>
              <c:f>Sheet1!$A$2:$A$15</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Sheet1!$C$2:$C$15</c:f>
              <c:numCache>
                <c:formatCode>#\,##0.0</c:formatCode>
                <c:ptCount val="9"/>
                <c:pt idx="0">
                  <c:v>4.9062997459697897</c:v>
                </c:pt>
                <c:pt idx="1">
                  <c:v>11.943976209602184</c:v>
                </c:pt>
                <c:pt idx="2">
                  <c:v>-1.6983525774588202</c:v>
                </c:pt>
                <c:pt idx="3">
                  <c:v>4.9000000000000057</c:v>
                </c:pt>
                <c:pt idx="4">
                  <c:v>8.7000000000000028</c:v>
                </c:pt>
                <c:pt idx="5">
                  <c:v>8.2999999999999972</c:v>
                </c:pt>
                <c:pt idx="6">
                  <c:v>8.2000000000000028</c:v>
                </c:pt>
                <c:pt idx="7">
                  <c:v>8.2000000000000028</c:v>
                </c:pt>
                <c:pt idx="8">
                  <c:v>8.2399999999999949</c:v>
                </c:pt>
              </c:numCache>
            </c:numRef>
          </c:val>
          <c:smooth val="0"/>
          <c:extLst>
            <c:ext xmlns:c16="http://schemas.microsoft.com/office/drawing/2014/chart" uri="{C3380CC4-5D6E-409C-BE32-E72D297353CC}">
              <c16:uniqueId val="{0000000D-BD57-4D13-B26F-106F5109F9D3}"/>
            </c:ext>
          </c:extLst>
        </c:ser>
        <c:ser>
          <c:idx val="2"/>
          <c:order val="2"/>
          <c:tx>
            <c:strRef>
              <c:f>Sheet1!$D$1</c:f>
              <c:strCache>
                <c:ptCount val="1"/>
                <c:pt idx="0">
                  <c:v>Ապրանքների և ծառայությունների արտահանում</c:v>
                </c:pt>
              </c:strCache>
            </c:strRef>
          </c:tx>
          <c:spPr>
            <a:ln>
              <a:solidFill>
                <a:srgbClr val="00B050"/>
              </a:solidFill>
            </a:ln>
          </c:spPr>
          <c:marker>
            <c:symbol val="none"/>
          </c:marker>
          <c:cat>
            <c:numRef>
              <c:f>Sheet1!$A$2:$A$15</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Sheet1!$D$2:$D$15</c:f>
              <c:numCache>
                <c:formatCode>#\,##0.0</c:formatCode>
                <c:ptCount val="9"/>
                <c:pt idx="0">
                  <c:v>5</c:v>
                </c:pt>
                <c:pt idx="1">
                  <c:v>16</c:v>
                </c:pt>
                <c:pt idx="2">
                  <c:v>-32.400000000000006</c:v>
                </c:pt>
                <c:pt idx="3">
                  <c:v>6.9875263293627654</c:v>
                </c:pt>
                <c:pt idx="4">
                  <c:v>21.691712654094815</c:v>
                </c:pt>
                <c:pt idx="5">
                  <c:v>15.784790641515343</c:v>
                </c:pt>
                <c:pt idx="6">
                  <c:v>14.985987682387105</c:v>
                </c:pt>
                <c:pt idx="7">
                  <c:v>14.985535337360318</c:v>
                </c:pt>
                <c:pt idx="8">
                  <c:v>14.986038858380368</c:v>
                </c:pt>
              </c:numCache>
            </c:numRef>
          </c:val>
          <c:smooth val="0"/>
          <c:extLst>
            <c:ext xmlns:c16="http://schemas.microsoft.com/office/drawing/2014/chart" uri="{C3380CC4-5D6E-409C-BE32-E72D297353CC}">
              <c16:uniqueId val="{0000000E-BD57-4D13-B26F-106F5109F9D3}"/>
            </c:ext>
          </c:extLst>
        </c:ser>
        <c:dLbls>
          <c:showLegendKey val="0"/>
          <c:showVal val="0"/>
          <c:showCatName val="0"/>
          <c:showSerName val="0"/>
          <c:showPercent val="0"/>
          <c:showBubbleSize val="0"/>
        </c:dLbls>
        <c:marker val="1"/>
        <c:smooth val="0"/>
        <c:axId val="134089728"/>
        <c:axId val="134095616"/>
      </c:lineChart>
      <c:catAx>
        <c:axId val="134089728"/>
        <c:scaling>
          <c:orientation val="minMax"/>
        </c:scaling>
        <c:delete val="0"/>
        <c:axPos val="b"/>
        <c:numFmt formatCode="General" sourceLinked="1"/>
        <c:majorTickMark val="out"/>
        <c:minorTickMark val="none"/>
        <c:tickLblPos val="nextTo"/>
        <c:spPr>
          <a:noFill/>
          <a:ln w="9525" cap="flat" cmpd="sng" algn="ctr">
            <a:solidFill>
              <a:schemeClr val="dk1">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34095616"/>
        <c:crosses val="autoZero"/>
        <c:auto val="1"/>
        <c:lblAlgn val="ctr"/>
        <c:lblOffset val="100"/>
        <c:noMultiLvlLbl val="0"/>
      </c:catAx>
      <c:valAx>
        <c:axId val="134095616"/>
        <c:scaling>
          <c:orientation val="minMax"/>
        </c:scaling>
        <c:delete val="0"/>
        <c:axPos val="l"/>
        <c:title>
          <c:tx>
            <c:rich>
              <a:bodyPr rot="-5400000" spcFirstLastPara="1" vertOverflow="ellipsis" vert="horz" wrap="square" anchor="ctr" anchorCtr="1"/>
              <a:lstStyle/>
              <a:p>
                <a:pPr>
                  <a:defRPr sz="1330" b="0" i="0" u="none" strike="noStrike" kern="1200" baseline="0">
                    <a:solidFill>
                      <a:schemeClr val="tx1">
                        <a:lumMod val="65000"/>
                        <a:lumOff val="35000"/>
                      </a:schemeClr>
                    </a:solidFill>
                    <a:latin typeface="+mn-lt"/>
                    <a:ea typeface="+mn-ea"/>
                    <a:cs typeface="+mn-cs"/>
                  </a:defRPr>
                </a:pPr>
                <a:r>
                  <a:rPr lang="en-US" dirty="0"/>
                  <a:t>%</a:t>
                </a:r>
              </a:p>
            </c:rich>
          </c:tx>
          <c:overlay val="0"/>
          <c:spPr>
            <a:noFill/>
            <a:ln>
              <a:noFill/>
            </a:ln>
            <a:effectLst/>
          </c:spPr>
        </c:title>
        <c:numFmt formatCode="#\,##0.0" sourceLinked="1"/>
        <c:majorTickMark val="out"/>
        <c:minorTickMark val="none"/>
        <c:tickLblPos val="nextTo"/>
        <c:spPr>
          <a:noFill/>
          <a:ln w="9525" cap="flat" cmpd="sng" algn="ctr">
            <a:solidFill>
              <a:schemeClr val="dk1">
                <a:shade val="95000"/>
                <a:satMod val="105000"/>
              </a:schemeClr>
            </a:solidFill>
            <a:prstDash val="soli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34089728"/>
        <c:crosses val="autoZero"/>
        <c:crossBetween val="between"/>
      </c:valAx>
      <c:spPr>
        <a:noFill/>
        <a:ln>
          <a:noFill/>
        </a:ln>
        <a:effectLst/>
      </c:spPr>
    </c:plotArea>
    <c:legend>
      <c:legendPos val="r"/>
      <c:layout>
        <c:manualLayout>
          <c:xMode val="edge"/>
          <c:yMode val="edge"/>
          <c:x val="9.3228029275796723E-2"/>
          <c:y val="0.80605711549505177"/>
          <c:w val="0.89329178263593179"/>
          <c:h val="0.16503220427236093"/>
        </c:manualLayout>
      </c:layout>
      <c:overlay val="0"/>
      <c:txPr>
        <a:bodyPr/>
        <a:lstStyle/>
        <a:p>
          <a:pPr>
            <a:defRPr sz="700"/>
          </a:pPr>
          <a:endParaRPr lang="en-US"/>
        </a:p>
      </c:txPr>
    </c:legend>
    <c:plotVisOnly val="1"/>
    <c:dispBlanksAs val="gap"/>
    <c:showDLblsOverMax val="0"/>
  </c:chart>
  <c:spPr>
    <a:noFill/>
    <a:ln>
      <a:solidFill>
        <a:schemeClr val="accent1"/>
      </a:solidFill>
    </a:ln>
    <a:effectLst/>
  </c:spPr>
  <c:txPr>
    <a:bodyPr/>
    <a:lstStyle/>
    <a:p>
      <a:pPr>
        <a:defRPr/>
      </a:pPr>
      <a:endParaRPr lang="en-US"/>
    </a:p>
  </c:txPr>
  <c:externalData r:id="rId1">
    <c:autoUpdate val="0"/>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hy-AM" sz="1200" dirty="0"/>
              <a:t>Կշիռը ՀՆԱ-ում</a:t>
            </a:r>
            <a:endParaRPr lang="en-US" sz="1200" dirty="0"/>
          </a:p>
        </c:rich>
      </c:tx>
      <c:layout>
        <c:manualLayout>
          <c:xMode val="edge"/>
          <c:yMode val="edge"/>
          <c:x val="0.37480442161685457"/>
          <c:y val="8.5491392632347299E-3"/>
        </c:manualLayout>
      </c:layout>
      <c:overlay val="0"/>
    </c:title>
    <c:autoTitleDeleted val="0"/>
    <c:plotArea>
      <c:layout>
        <c:manualLayout>
          <c:layoutTarget val="inner"/>
          <c:xMode val="edge"/>
          <c:yMode val="edge"/>
          <c:x val="0.16724849967553565"/>
          <c:y val="3.5998046614054244E-2"/>
          <c:w val="0.79580594717176545"/>
          <c:h val="0.73768511758877819"/>
        </c:manualLayout>
      </c:layout>
      <c:barChart>
        <c:barDir val="col"/>
        <c:grouping val="stacked"/>
        <c:varyColors val="0"/>
        <c:ser>
          <c:idx val="1"/>
          <c:order val="1"/>
          <c:tx>
            <c:strRef>
              <c:f>Sheet1!$C$1</c:f>
              <c:strCache>
                <c:ptCount val="1"/>
                <c:pt idx="0">
                  <c:v>  Ապրանքների արտահանում</c:v>
                </c:pt>
              </c:strCache>
            </c:strRef>
          </c:tx>
          <c:spPr>
            <a:solidFill>
              <a:schemeClr val="accent1">
                <a:lumMod val="75000"/>
              </a:schemeClr>
            </a:solidFill>
          </c:spPr>
          <c:invertIfNegative val="0"/>
          <c:cat>
            <c:numRef>
              <c:f>Sheet1!$A$2:$A$13</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Sheet1!$C$2:$C$13</c:f>
              <c:numCache>
                <c:formatCode>0.0</c:formatCode>
                <c:ptCount val="9"/>
                <c:pt idx="0">
                  <c:v>21.862148814491526</c:v>
                </c:pt>
                <c:pt idx="1">
                  <c:v>24.138756468583765</c:v>
                </c:pt>
                <c:pt idx="2">
                  <c:v>21.023385617495599</c:v>
                </c:pt>
                <c:pt idx="3">
                  <c:v>23.091735584930895</c:v>
                </c:pt>
                <c:pt idx="4">
                  <c:v>26.046992314322281</c:v>
                </c:pt>
                <c:pt idx="5">
                  <c:v>28.119216337543168</c:v>
                </c:pt>
                <c:pt idx="6">
                  <c:v>30.143494246093873</c:v>
                </c:pt>
                <c:pt idx="7">
                  <c:v>32.293847144167081</c:v>
                </c:pt>
                <c:pt idx="8">
                  <c:v>34.597274088828897</c:v>
                </c:pt>
              </c:numCache>
            </c:numRef>
          </c:val>
          <c:extLst>
            <c:ext xmlns:c16="http://schemas.microsoft.com/office/drawing/2014/chart" uri="{C3380CC4-5D6E-409C-BE32-E72D297353CC}">
              <c16:uniqueId val="{00000000-4B25-4EE4-BFCA-CD6EB4FE901A}"/>
            </c:ext>
          </c:extLst>
        </c:ser>
        <c:ser>
          <c:idx val="2"/>
          <c:order val="2"/>
          <c:tx>
            <c:strRef>
              <c:f>Sheet1!$D$1</c:f>
              <c:strCache>
                <c:ptCount val="1"/>
                <c:pt idx="0">
                  <c:v>Ծառայությունների արտահանում</c:v>
                </c:pt>
              </c:strCache>
            </c:strRef>
          </c:tx>
          <c:spPr>
            <a:solidFill>
              <a:srgbClr val="00B050"/>
            </a:solidFill>
          </c:spPr>
          <c:invertIfNegative val="0"/>
          <c:cat>
            <c:numRef>
              <c:f>Sheet1!$A$2:$A$13</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Sheet1!$D$2:$D$13</c:f>
              <c:numCache>
                <c:formatCode>0.0</c:formatCode>
                <c:ptCount val="9"/>
                <c:pt idx="0">
                  <c:v>17.805459701081439</c:v>
                </c:pt>
                <c:pt idx="1">
                  <c:v>17.846711074758701</c:v>
                </c:pt>
                <c:pt idx="2">
                  <c:v>8.7409127544549925</c:v>
                </c:pt>
                <c:pt idx="3">
                  <c:v>9.8109324139060163</c:v>
                </c:pt>
                <c:pt idx="4">
                  <c:v>10.801944290726681</c:v>
                </c:pt>
                <c:pt idx="5">
                  <c:v>12.183199343880776</c:v>
                </c:pt>
                <c:pt idx="6">
                  <c:v>12.983923047810265</c:v>
                </c:pt>
                <c:pt idx="7">
                  <c:v>13.837161210148587</c:v>
                </c:pt>
                <c:pt idx="8">
                  <c:v>14.74636105508047</c:v>
                </c:pt>
              </c:numCache>
            </c:numRef>
          </c:val>
          <c:extLst>
            <c:ext xmlns:c16="http://schemas.microsoft.com/office/drawing/2014/chart" uri="{C3380CC4-5D6E-409C-BE32-E72D297353CC}">
              <c16:uniqueId val="{00000001-4B25-4EE4-BFCA-CD6EB4FE901A}"/>
            </c:ext>
          </c:extLst>
        </c:ser>
        <c:dLbls>
          <c:showLegendKey val="0"/>
          <c:showVal val="0"/>
          <c:showCatName val="0"/>
          <c:showSerName val="0"/>
          <c:showPercent val="0"/>
          <c:showBubbleSize val="0"/>
        </c:dLbls>
        <c:gapWidth val="219"/>
        <c:overlap val="100"/>
        <c:axId val="134135168"/>
        <c:axId val="134136960"/>
      </c:barChart>
      <c:lineChart>
        <c:grouping val="standard"/>
        <c:varyColors val="0"/>
        <c:ser>
          <c:idx val="0"/>
          <c:order val="0"/>
          <c:tx>
            <c:strRef>
              <c:f>Sheet1!$B$1</c:f>
              <c:strCache>
                <c:ptCount val="1"/>
                <c:pt idx="0">
                  <c:v>  Ապրանքների և ծառայությունների արտահանում</c:v>
                </c:pt>
              </c:strCache>
            </c:strRef>
          </c:tx>
          <c:spPr>
            <a:ln>
              <a:solidFill>
                <a:srgbClr val="FF0000"/>
              </a:solidFill>
            </a:ln>
            <a:effectLst/>
          </c:spPr>
          <c:marker>
            <c:spPr>
              <a:solidFill>
                <a:srgbClr val="FF0000"/>
              </a:solidFill>
              <a:ln>
                <a:solidFill>
                  <a:srgbClr val="FF0000"/>
                </a:solidFill>
              </a:ln>
            </c:spPr>
          </c:marker>
          <c:dPt>
            <c:idx val="0"/>
            <c:bubble3D val="0"/>
            <c:spPr>
              <a:ln>
                <a:solidFill>
                  <a:srgbClr val="FF0000"/>
                </a:solidFill>
              </a:ln>
              <a:effectLst/>
            </c:spPr>
            <c:extLst>
              <c:ext xmlns:c16="http://schemas.microsoft.com/office/drawing/2014/chart" uri="{C3380CC4-5D6E-409C-BE32-E72D297353CC}">
                <c16:uniqueId val="{00000003-4B25-4EE4-BFCA-CD6EB4FE901A}"/>
              </c:ext>
            </c:extLst>
          </c:dPt>
          <c:dPt>
            <c:idx val="1"/>
            <c:bubble3D val="0"/>
            <c:extLst>
              <c:ext xmlns:c16="http://schemas.microsoft.com/office/drawing/2014/chart" uri="{C3380CC4-5D6E-409C-BE32-E72D297353CC}">
                <c16:uniqueId val="{00000004-4B25-4EE4-BFCA-CD6EB4FE901A}"/>
              </c:ext>
            </c:extLst>
          </c:dPt>
          <c:dPt>
            <c:idx val="2"/>
            <c:bubble3D val="0"/>
            <c:extLst>
              <c:ext xmlns:c16="http://schemas.microsoft.com/office/drawing/2014/chart" uri="{C3380CC4-5D6E-409C-BE32-E72D297353CC}">
                <c16:uniqueId val="{00000005-4B25-4EE4-BFCA-CD6EB4FE901A}"/>
              </c:ext>
            </c:extLst>
          </c:dPt>
          <c:dLbls>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Sheet1!$B$2:$B$13</c:f>
              <c:numCache>
                <c:formatCode>0.0</c:formatCode>
                <c:ptCount val="9"/>
                <c:pt idx="0">
                  <c:v>39.667608515572965</c:v>
                </c:pt>
                <c:pt idx="1">
                  <c:v>41.985467543342466</c:v>
                </c:pt>
                <c:pt idx="2">
                  <c:v>29.764298371950591</c:v>
                </c:pt>
                <c:pt idx="3">
                  <c:v>32.902667998836911</c:v>
                </c:pt>
                <c:pt idx="4">
                  <c:v>36.848936605048962</c:v>
                </c:pt>
                <c:pt idx="5">
                  <c:v>40.302415681423945</c:v>
                </c:pt>
                <c:pt idx="6">
                  <c:v>43.127417293904138</c:v>
                </c:pt>
                <c:pt idx="7">
                  <c:v>46.131008354315668</c:v>
                </c:pt>
                <c:pt idx="8">
                  <c:v>49.343635143909367</c:v>
                </c:pt>
              </c:numCache>
            </c:numRef>
          </c:val>
          <c:smooth val="0"/>
          <c:extLst>
            <c:ext xmlns:c16="http://schemas.microsoft.com/office/drawing/2014/chart" uri="{C3380CC4-5D6E-409C-BE32-E72D297353CC}">
              <c16:uniqueId val="{00000006-4B25-4EE4-BFCA-CD6EB4FE901A}"/>
            </c:ext>
          </c:extLst>
        </c:ser>
        <c:ser>
          <c:idx val="3"/>
          <c:order val="3"/>
          <c:tx>
            <c:strRef>
              <c:f>Sheet1!$E$1</c:f>
              <c:strCache>
                <c:ptCount val="1"/>
                <c:pt idx="0">
                  <c:v>Թիրախ</c:v>
                </c:pt>
              </c:strCache>
            </c:strRef>
          </c:tx>
          <c:spPr>
            <a:ln>
              <a:solidFill>
                <a:schemeClr val="tx1"/>
              </a:solidFill>
              <a:prstDash val="dash"/>
            </a:ln>
          </c:spPr>
          <c:marker>
            <c:symbol val="none"/>
          </c:marker>
          <c:cat>
            <c:numRef>
              <c:f>Sheet1!$A$2:$A$13</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Sheet1!$E$2:$E$13</c:f>
              <c:numCache>
                <c:formatCode>General</c:formatCode>
                <c:ptCount val="9"/>
                <c:pt idx="4" formatCode="0.0">
                  <c:v>49.343635143909367</c:v>
                </c:pt>
                <c:pt idx="5" formatCode="0.0">
                  <c:v>49.343635143909367</c:v>
                </c:pt>
                <c:pt idx="6" formatCode="0.0">
                  <c:v>49.343635143909367</c:v>
                </c:pt>
                <c:pt idx="7" formatCode="0.0">
                  <c:v>49.343635143909367</c:v>
                </c:pt>
                <c:pt idx="8" formatCode="0.0">
                  <c:v>49.343635143909367</c:v>
                </c:pt>
              </c:numCache>
            </c:numRef>
          </c:val>
          <c:smooth val="0"/>
          <c:extLst>
            <c:ext xmlns:c16="http://schemas.microsoft.com/office/drawing/2014/chart" uri="{C3380CC4-5D6E-409C-BE32-E72D297353CC}">
              <c16:uniqueId val="{00000007-4B25-4EE4-BFCA-CD6EB4FE901A}"/>
            </c:ext>
          </c:extLst>
        </c:ser>
        <c:dLbls>
          <c:showLegendKey val="0"/>
          <c:showVal val="0"/>
          <c:showCatName val="0"/>
          <c:showSerName val="0"/>
          <c:showPercent val="0"/>
          <c:showBubbleSize val="0"/>
        </c:dLbls>
        <c:marker val="1"/>
        <c:smooth val="0"/>
        <c:axId val="134135168"/>
        <c:axId val="134136960"/>
      </c:lineChart>
      <c:catAx>
        <c:axId val="134135168"/>
        <c:scaling>
          <c:orientation val="minMax"/>
        </c:scaling>
        <c:delete val="0"/>
        <c:axPos val="b"/>
        <c:numFmt formatCode="General" sourceLinked="1"/>
        <c:majorTickMark val="none"/>
        <c:minorTickMark val="none"/>
        <c:tickLblPos val="nextTo"/>
        <c:spPr>
          <a:noFill/>
          <a:ln w="9525" cap="flat" cmpd="sng" algn="ctr">
            <a:solidFill>
              <a:schemeClr val="dk1">
                <a:shade val="95000"/>
                <a:satMod val="105000"/>
              </a:schemeClr>
            </a:solidFill>
            <a:prstDash val="solid"/>
            <a:round/>
          </a:ln>
          <a:effectLst/>
        </c:spPr>
        <c:txPr>
          <a:bodyPr rot="-60000000" spcFirstLastPara="1" vertOverflow="ellipsis" vert="horz" wrap="square" anchor="ctr" anchorCtr="1"/>
          <a:lstStyle/>
          <a:p>
            <a:pPr>
              <a:defRPr sz="1050" b="0" i="0" u="none" strike="noStrike" kern="1200" baseline="0">
                <a:solidFill>
                  <a:schemeClr val="tx1"/>
                </a:solidFill>
                <a:latin typeface="+mn-lt"/>
                <a:ea typeface="+mn-ea"/>
                <a:cs typeface="+mn-cs"/>
              </a:defRPr>
            </a:pPr>
            <a:endParaRPr lang="en-US"/>
          </a:p>
        </c:txPr>
        <c:crossAx val="134136960"/>
        <c:crosses val="autoZero"/>
        <c:auto val="1"/>
        <c:lblAlgn val="ctr"/>
        <c:lblOffset val="100"/>
        <c:noMultiLvlLbl val="0"/>
      </c:catAx>
      <c:valAx>
        <c:axId val="134136960"/>
        <c:scaling>
          <c:orientation val="minMax"/>
          <c:max val="56"/>
        </c:scaling>
        <c:delete val="0"/>
        <c:axPos val="l"/>
        <c:title>
          <c:tx>
            <c:rich>
              <a:bodyPr rot="-5400000" spcFirstLastPara="1" vertOverflow="ellipsis" vert="horz" wrap="square" anchor="ctr" anchorCtr="1"/>
              <a:lstStyle/>
              <a:p>
                <a:pPr>
                  <a:defRPr sz="1330" b="0" i="0" u="none" strike="noStrike" kern="1200" baseline="0">
                    <a:solidFill>
                      <a:schemeClr val="tx1">
                        <a:lumMod val="65000"/>
                        <a:lumOff val="35000"/>
                      </a:schemeClr>
                    </a:solidFill>
                    <a:latin typeface="+mn-lt"/>
                    <a:ea typeface="+mn-ea"/>
                    <a:cs typeface="+mn-cs"/>
                  </a:defRPr>
                </a:pPr>
                <a:r>
                  <a:rPr lang="en-US" dirty="0"/>
                  <a:t>%</a:t>
                </a:r>
              </a:p>
            </c:rich>
          </c:tx>
          <c:overlay val="0"/>
          <c:spPr>
            <a:noFill/>
            <a:ln>
              <a:noFill/>
            </a:ln>
            <a:effectLst/>
          </c:spPr>
        </c:title>
        <c:numFmt formatCode="0.0" sourceLinked="1"/>
        <c:majorTickMark val="none"/>
        <c:minorTickMark val="none"/>
        <c:tickLblPos val="nextTo"/>
        <c:spPr>
          <a:noFill/>
          <a:ln w="9525" cap="flat" cmpd="sng" algn="ctr">
            <a:solidFill>
              <a:schemeClr val="dk1">
                <a:shade val="95000"/>
                <a:satMod val="105000"/>
              </a:schemeClr>
            </a:solidFill>
            <a:prstDash val="solid"/>
          </a:ln>
          <a:effectLst/>
        </c:spPr>
        <c:txPr>
          <a:bodyPr rot="-60000000" spcFirstLastPara="1" vertOverflow="ellipsis" vert="horz" wrap="square" anchor="ctr" anchorCtr="1"/>
          <a:lstStyle/>
          <a:p>
            <a:pPr>
              <a:defRPr sz="1050" b="0" i="0" u="none" strike="noStrike" kern="1200" baseline="0">
                <a:solidFill>
                  <a:schemeClr val="tx1"/>
                </a:solidFill>
                <a:latin typeface="+mn-lt"/>
                <a:ea typeface="+mn-ea"/>
                <a:cs typeface="+mn-cs"/>
              </a:defRPr>
            </a:pPr>
            <a:endParaRPr lang="en-US"/>
          </a:p>
        </c:txPr>
        <c:crossAx val="134135168"/>
        <c:crosses val="autoZero"/>
        <c:crossBetween val="between"/>
      </c:valAx>
      <c:spPr>
        <a:noFill/>
        <a:ln>
          <a:noFill/>
        </a:ln>
        <a:effectLst/>
      </c:spPr>
    </c:plotArea>
    <c:legend>
      <c:legendPos val="r"/>
      <c:legendEntry>
        <c:idx val="3"/>
        <c:delete val="1"/>
      </c:legendEntry>
      <c:layout>
        <c:manualLayout>
          <c:xMode val="edge"/>
          <c:yMode val="edge"/>
          <c:x val="7.1254507820668764E-2"/>
          <c:y val="0.84220094383897393"/>
          <c:w val="0.88288349509782194"/>
          <c:h val="0.13397266256453044"/>
        </c:manualLayout>
      </c:layout>
      <c:overlay val="0"/>
      <c:txPr>
        <a:bodyPr/>
        <a:lstStyle/>
        <a:p>
          <a:pPr>
            <a:defRPr sz="700"/>
          </a:pPr>
          <a:endParaRPr lang="en-US"/>
        </a:p>
      </c:txPr>
    </c:legend>
    <c:plotVisOnly val="1"/>
    <c:dispBlanksAs val="gap"/>
    <c:showDLblsOverMax val="0"/>
  </c:chart>
  <c:spPr>
    <a:noFill/>
    <a:ln>
      <a:solidFill>
        <a:schemeClr val="accent1"/>
      </a:solidFill>
    </a:ln>
    <a:effectLst/>
  </c:spPr>
  <c:txPr>
    <a:bodyPr/>
    <a:lstStyle/>
    <a:p>
      <a:pPr>
        <a:defRPr/>
      </a:pPr>
      <a:endParaRPr lang="en-US"/>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Կառավարության պարտք, % ՀՆԱ-ում</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1"/>
              <c:layout>
                <c:manualLayout>
                  <c:x val="-5.0012906851027952E-2"/>
                  <c:y val="-6.05118224502745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3E8-4E03-83CB-77CCDDD5ED75}"/>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Sheet1!$B$2:$B$10</c:f>
              <c:numCache>
                <c:formatCode>0.0</c:formatCode>
                <c:ptCount val="9"/>
                <c:pt idx="0">
                  <c:v>51.235639506393618</c:v>
                </c:pt>
                <c:pt idx="1">
                  <c:v>50.085896386249637</c:v>
                </c:pt>
                <c:pt idx="2">
                  <c:v>63.476258231461003</c:v>
                </c:pt>
                <c:pt idx="3">
                  <c:v>62.299070370467071</c:v>
                </c:pt>
                <c:pt idx="4">
                  <c:v>61.530749625836457</c:v>
                </c:pt>
                <c:pt idx="5">
                  <c:v>59.199870142868427</c:v>
                </c:pt>
                <c:pt idx="6">
                  <c:v>56.791337612384439</c:v>
                </c:pt>
                <c:pt idx="7">
                  <c:v>54.351875840149368</c:v>
                </c:pt>
                <c:pt idx="8">
                  <c:v>52.144390676734496</c:v>
                </c:pt>
              </c:numCache>
            </c:numRef>
          </c:val>
          <c:smooth val="0"/>
          <c:extLst>
            <c:ext xmlns:c16="http://schemas.microsoft.com/office/drawing/2014/chart" uri="{C3380CC4-5D6E-409C-BE32-E72D297353CC}">
              <c16:uniqueId val="{00000001-53E8-4E03-83CB-77CCDDD5ED75}"/>
            </c:ext>
          </c:extLst>
        </c:ser>
        <c:dLbls>
          <c:showLegendKey val="0"/>
          <c:showVal val="0"/>
          <c:showCatName val="0"/>
          <c:showSerName val="0"/>
          <c:showPercent val="0"/>
          <c:showBubbleSize val="0"/>
        </c:dLbls>
        <c:marker val="1"/>
        <c:smooth val="0"/>
        <c:axId val="144374784"/>
        <c:axId val="144392960"/>
      </c:lineChart>
      <c:lineChart>
        <c:grouping val="standard"/>
        <c:varyColors val="0"/>
        <c:ser>
          <c:idx val="1"/>
          <c:order val="1"/>
          <c:tx>
            <c:strRef>
              <c:f>Sheet1!$C$1</c:f>
              <c:strCache>
                <c:ptCount val="1"/>
                <c:pt idx="0">
                  <c:v>Պակասուրդ, % ՀՆԱ-ում  (աջ առանցք)</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2"/>
              <c:layout>
                <c:manualLayout>
                  <c:x val="-3.7886220899812875E-2"/>
                  <c:y val="-4.19503096929839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3E8-4E03-83CB-77CCDDD5ED75}"/>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Sheet1!$A$2:$A$10</c:f>
              <c:numCache>
                <c:formatCode>General</c:formatCode>
                <c:ptCount val="9"/>
                <c:pt idx="0">
                  <c:v>2018</c:v>
                </c:pt>
                <c:pt idx="1">
                  <c:v>2019</c:v>
                </c:pt>
                <c:pt idx="2">
                  <c:v>2020</c:v>
                </c:pt>
                <c:pt idx="3">
                  <c:v>2021</c:v>
                </c:pt>
                <c:pt idx="4">
                  <c:v>2022</c:v>
                </c:pt>
                <c:pt idx="5">
                  <c:v>2023</c:v>
                </c:pt>
                <c:pt idx="6">
                  <c:v>2024</c:v>
                </c:pt>
                <c:pt idx="7">
                  <c:v>2025</c:v>
                </c:pt>
                <c:pt idx="8">
                  <c:v>2026</c:v>
                </c:pt>
              </c:numCache>
            </c:numRef>
          </c:cat>
          <c:val>
            <c:numRef>
              <c:f>Sheet1!$C$2:$C$10</c:f>
              <c:numCache>
                <c:formatCode>0.0</c:formatCode>
                <c:ptCount val="9"/>
                <c:pt idx="0">
                  <c:v>1.7515672931246962</c:v>
                </c:pt>
                <c:pt idx="1">
                  <c:v>0.97754175944701427</c:v>
                </c:pt>
                <c:pt idx="2">
                  <c:v>5.4029424566760298</c:v>
                </c:pt>
                <c:pt idx="3">
                  <c:v>4.6331295036140752</c:v>
                </c:pt>
                <c:pt idx="4">
                  <c:v>3.1</c:v>
                </c:pt>
                <c:pt idx="5">
                  <c:v>3</c:v>
                </c:pt>
                <c:pt idx="6">
                  <c:v>2.8</c:v>
                </c:pt>
                <c:pt idx="7">
                  <c:v>2.5</c:v>
                </c:pt>
                <c:pt idx="8">
                  <c:v>2.5</c:v>
                </c:pt>
              </c:numCache>
            </c:numRef>
          </c:val>
          <c:smooth val="0"/>
          <c:extLst>
            <c:ext xmlns:c16="http://schemas.microsoft.com/office/drawing/2014/chart" uri="{C3380CC4-5D6E-409C-BE32-E72D297353CC}">
              <c16:uniqueId val="{00000003-53E8-4E03-83CB-77CCDDD5ED75}"/>
            </c:ext>
          </c:extLst>
        </c:ser>
        <c:dLbls>
          <c:showLegendKey val="0"/>
          <c:showVal val="0"/>
          <c:showCatName val="0"/>
          <c:showSerName val="0"/>
          <c:showPercent val="0"/>
          <c:showBubbleSize val="0"/>
        </c:dLbls>
        <c:marker val="1"/>
        <c:smooth val="0"/>
        <c:axId val="144404480"/>
        <c:axId val="144394496"/>
      </c:lineChart>
      <c:catAx>
        <c:axId val="14437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392960"/>
        <c:crosses val="autoZero"/>
        <c:auto val="1"/>
        <c:lblAlgn val="ctr"/>
        <c:lblOffset val="100"/>
        <c:noMultiLvlLbl val="0"/>
      </c:catAx>
      <c:valAx>
        <c:axId val="144392960"/>
        <c:scaling>
          <c:orientation val="minMax"/>
          <c:min val="40"/>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374784"/>
        <c:crosses val="autoZero"/>
        <c:crossBetween val="between"/>
      </c:valAx>
      <c:valAx>
        <c:axId val="144394496"/>
        <c:scaling>
          <c:orientation val="minMax"/>
          <c:max val="10"/>
        </c:scaling>
        <c:delete val="0"/>
        <c:axPos val="r"/>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404480"/>
        <c:crosses val="max"/>
        <c:crossBetween val="between"/>
      </c:valAx>
      <c:catAx>
        <c:axId val="144404480"/>
        <c:scaling>
          <c:orientation val="minMax"/>
        </c:scaling>
        <c:delete val="1"/>
        <c:axPos val="b"/>
        <c:numFmt formatCode="General" sourceLinked="1"/>
        <c:majorTickMark val="none"/>
        <c:minorTickMark val="none"/>
        <c:tickLblPos val="nextTo"/>
        <c:crossAx val="144394496"/>
        <c:crosses val="autoZero"/>
        <c:auto val="1"/>
        <c:lblAlgn val="ctr"/>
        <c:lblOffset val="100"/>
        <c:noMultiLvlLbl val="0"/>
      </c:catAx>
      <c:spPr>
        <a:noFill/>
        <a:ln>
          <a:noFill/>
        </a:ln>
        <a:effectLst/>
      </c:spPr>
    </c:plotArea>
    <c:legend>
      <c:legendPos val="b"/>
      <c:layout>
        <c:manualLayout>
          <c:xMode val="edge"/>
          <c:yMode val="edge"/>
          <c:x val="5.0000040853044249E-2"/>
          <c:y val="0.90758909270850519"/>
          <c:w val="0.89999991829391146"/>
          <c:h val="7.918047730252021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accent1"/>
      </a:solidFill>
      <a:round/>
    </a:ln>
    <a:effectLst/>
  </c:spPr>
  <c:txPr>
    <a:bodyPr/>
    <a:lstStyle/>
    <a:p>
      <a:pPr>
        <a:defRPr>
          <a:latin typeface="GHEA Grapalat" panose="02000506050000020003" pitchFamily="50" charset="0"/>
        </a:defRPr>
      </a:pPr>
      <a:endParaRPr lang="en-US"/>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136057777074967"/>
          <c:y val="4.7786268129590456E-2"/>
          <c:w val="0.68701162029146357"/>
          <c:h val="0.68218254896355779"/>
        </c:manualLayout>
      </c:layout>
      <c:barChart>
        <c:barDir val="col"/>
        <c:grouping val="clustered"/>
        <c:varyColors val="0"/>
        <c:ser>
          <c:idx val="1"/>
          <c:order val="0"/>
          <c:tx>
            <c:strRef>
              <c:f>Sheet1!$B$1</c:f>
              <c:strCache>
                <c:ptCount val="1"/>
                <c:pt idx="0">
                  <c:v>Հարկային եկամուտներ, մլրդ դրամ</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2020</c:v>
                </c:pt>
                <c:pt idx="1">
                  <c:v>2021</c:v>
                </c:pt>
                <c:pt idx="2">
                  <c:v>2022</c:v>
                </c:pt>
                <c:pt idx="3">
                  <c:v>2023</c:v>
                </c:pt>
                <c:pt idx="4">
                  <c:v>2024</c:v>
                </c:pt>
                <c:pt idx="5">
                  <c:v>2025</c:v>
                </c:pt>
                <c:pt idx="6">
                  <c:v>2026</c:v>
                </c:pt>
              </c:numCache>
            </c:numRef>
          </c:cat>
          <c:val>
            <c:numRef>
              <c:f>Sheet1!$B$2:$B$8</c:f>
              <c:numCache>
                <c:formatCode>0.0</c:formatCode>
                <c:ptCount val="7"/>
                <c:pt idx="0">
                  <c:v>1385.2054762</c:v>
                </c:pt>
                <c:pt idx="1">
                  <c:v>1540.4571544838022</c:v>
                </c:pt>
                <c:pt idx="2">
                  <c:v>1803.342002316341</c:v>
                </c:pt>
                <c:pt idx="3">
                  <c:v>2054.2731555501196</c:v>
                </c:pt>
                <c:pt idx="4">
                  <c:v>2358.3744079464323</c:v>
                </c:pt>
                <c:pt idx="5">
                  <c:v>2688.1240816603099</c:v>
                </c:pt>
                <c:pt idx="6">
                  <c:v>3062.2547989593299</c:v>
                </c:pt>
              </c:numCache>
            </c:numRef>
          </c:val>
          <c:extLst>
            <c:ext xmlns:c16="http://schemas.microsoft.com/office/drawing/2014/chart" uri="{C3380CC4-5D6E-409C-BE32-E72D297353CC}">
              <c16:uniqueId val="{00000000-722E-44AE-9A8A-2EC91F92923C}"/>
            </c:ext>
          </c:extLst>
        </c:ser>
        <c:dLbls>
          <c:showLegendKey val="0"/>
          <c:showVal val="0"/>
          <c:showCatName val="0"/>
          <c:showSerName val="0"/>
          <c:showPercent val="0"/>
          <c:showBubbleSize val="0"/>
        </c:dLbls>
        <c:gapWidth val="219"/>
        <c:axId val="144445440"/>
        <c:axId val="144446976"/>
      </c:barChart>
      <c:lineChart>
        <c:grouping val="standard"/>
        <c:varyColors val="0"/>
        <c:ser>
          <c:idx val="2"/>
          <c:order val="1"/>
          <c:tx>
            <c:strRef>
              <c:f>Sheet1!$C$1</c:f>
              <c:strCache>
                <c:ptCount val="1"/>
                <c:pt idx="0">
                  <c:v>Հարկային եկամուտներ, % ՀՆԱ-ում (աջ առանցք)</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2020</c:v>
                </c:pt>
                <c:pt idx="1">
                  <c:v>2021</c:v>
                </c:pt>
                <c:pt idx="2">
                  <c:v>2022</c:v>
                </c:pt>
                <c:pt idx="3">
                  <c:v>2023</c:v>
                </c:pt>
                <c:pt idx="4">
                  <c:v>2024</c:v>
                </c:pt>
                <c:pt idx="5">
                  <c:v>2025</c:v>
                </c:pt>
                <c:pt idx="6">
                  <c:v>2026</c:v>
                </c:pt>
              </c:numCache>
            </c:numRef>
          </c:cat>
          <c:val>
            <c:numRef>
              <c:f>Sheet1!$C$2:$C$8</c:f>
              <c:numCache>
                <c:formatCode>0.0</c:formatCode>
                <c:ptCount val="7"/>
                <c:pt idx="0">
                  <c:v>22.408294171143979</c:v>
                </c:pt>
                <c:pt idx="1">
                  <c:v>22.389740321190217</c:v>
                </c:pt>
                <c:pt idx="2">
                  <c:v>23.396795321153689</c:v>
                </c:pt>
                <c:pt idx="3">
                  <c:v>23.928925321153752</c:v>
                </c:pt>
                <c:pt idx="4">
                  <c:v>24.687105321153751</c:v>
                </c:pt>
                <c:pt idx="5">
                  <c:v>25.287105321153756</c:v>
                </c:pt>
                <c:pt idx="6">
                  <c:v>25.887105321153758</c:v>
                </c:pt>
              </c:numCache>
            </c:numRef>
          </c:val>
          <c:smooth val="0"/>
          <c:extLst>
            <c:ext xmlns:c16="http://schemas.microsoft.com/office/drawing/2014/chart" uri="{C3380CC4-5D6E-409C-BE32-E72D297353CC}">
              <c16:uniqueId val="{00000001-722E-44AE-9A8A-2EC91F92923C}"/>
            </c:ext>
          </c:extLst>
        </c:ser>
        <c:dLbls>
          <c:showLegendKey val="0"/>
          <c:showVal val="0"/>
          <c:showCatName val="0"/>
          <c:showSerName val="0"/>
          <c:showPercent val="0"/>
          <c:showBubbleSize val="0"/>
        </c:dLbls>
        <c:marker val="1"/>
        <c:smooth val="0"/>
        <c:axId val="144462592"/>
        <c:axId val="144448512"/>
      </c:lineChart>
      <c:catAx>
        <c:axId val="144445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446976"/>
        <c:crosses val="autoZero"/>
        <c:auto val="1"/>
        <c:lblAlgn val="ctr"/>
        <c:lblOffset val="100"/>
        <c:noMultiLvlLbl val="0"/>
      </c:catAx>
      <c:valAx>
        <c:axId val="144446976"/>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445440"/>
        <c:crosses val="autoZero"/>
        <c:crossBetween val="between"/>
      </c:valAx>
      <c:valAx>
        <c:axId val="144448512"/>
        <c:scaling>
          <c:orientation val="minMax"/>
        </c:scaling>
        <c:delete val="0"/>
        <c:axPos val="r"/>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462592"/>
        <c:crosses val="max"/>
        <c:crossBetween val="between"/>
      </c:valAx>
      <c:catAx>
        <c:axId val="144462592"/>
        <c:scaling>
          <c:orientation val="minMax"/>
        </c:scaling>
        <c:delete val="1"/>
        <c:axPos val="b"/>
        <c:numFmt formatCode="General" sourceLinked="1"/>
        <c:majorTickMark val="none"/>
        <c:minorTickMark val="none"/>
        <c:tickLblPos val="nextTo"/>
        <c:crossAx val="144448512"/>
        <c:crosses val="autoZero"/>
        <c:auto val="1"/>
        <c:lblAlgn val="ctr"/>
        <c:lblOffset val="100"/>
        <c:noMultiLvlLbl val="0"/>
      </c:catAx>
      <c:spPr>
        <a:noFill/>
        <a:ln>
          <a:noFill/>
        </a:ln>
        <a:effectLst/>
      </c:spPr>
    </c:plotArea>
    <c:legend>
      <c:legendPos val="b"/>
      <c:layout>
        <c:manualLayout>
          <c:xMode val="edge"/>
          <c:yMode val="edge"/>
          <c:x val="9.9632772663012681E-2"/>
          <c:y val="0.80694299351194965"/>
          <c:w val="0.79288115391780012"/>
          <c:h val="0.1930570064880503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accent1"/>
      </a:solidFill>
      <a:round/>
    </a:ln>
    <a:effectLst/>
  </c:spPr>
  <c:txPr>
    <a:bodyPr/>
    <a:lstStyle/>
    <a:p>
      <a:pPr>
        <a:defRPr>
          <a:latin typeface="GHEA Grapalat" panose="02000506050000020003" pitchFamily="50" charset="0"/>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05234719560396"/>
          <c:y val="7.0512820512820512E-2"/>
          <c:w val="0.71293878587757176"/>
          <c:h val="0.63414496264890174"/>
        </c:manualLayout>
      </c:layout>
      <c:lineChart>
        <c:grouping val="standard"/>
        <c:varyColors val="0"/>
        <c:ser>
          <c:idx val="1"/>
          <c:order val="1"/>
          <c:tx>
            <c:strRef>
              <c:f>Sheet1!$C$1</c:f>
              <c:strCache>
                <c:ptCount val="1"/>
                <c:pt idx="0">
                  <c:v>Պղինձ</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cat>
            <c:numRef>
              <c:f>Sheet1!$A$2:$A$8</c:f>
              <c:numCache>
                <c:formatCode>General</c:formatCode>
                <c:ptCount val="6"/>
                <c:pt idx="0">
                  <c:v>2018</c:v>
                </c:pt>
                <c:pt idx="1">
                  <c:v>2019</c:v>
                </c:pt>
                <c:pt idx="2">
                  <c:v>2020</c:v>
                </c:pt>
                <c:pt idx="3">
                  <c:v>2021</c:v>
                </c:pt>
                <c:pt idx="4">
                  <c:v>2022</c:v>
                </c:pt>
              </c:numCache>
            </c:numRef>
          </c:cat>
          <c:val>
            <c:numRef>
              <c:f>Sheet1!$C$2:$C$7</c:f>
              <c:numCache>
                <c:formatCode>0</c:formatCode>
                <c:ptCount val="5"/>
                <c:pt idx="0">
                  <c:v>6529.7983333333304</c:v>
                </c:pt>
                <c:pt idx="1">
                  <c:v>6010.1450000000004</c:v>
                </c:pt>
                <c:pt idx="2">
                  <c:v>6173.7708333333303</c:v>
                </c:pt>
                <c:pt idx="3">
                  <c:v>9686.0709999999999</c:v>
                </c:pt>
                <c:pt idx="4">
                  <c:v>9937.3160000000007</c:v>
                </c:pt>
              </c:numCache>
            </c:numRef>
          </c:val>
          <c:smooth val="0"/>
          <c:extLst>
            <c:ext xmlns:c16="http://schemas.microsoft.com/office/drawing/2014/chart" uri="{C3380CC4-5D6E-409C-BE32-E72D297353CC}">
              <c16:uniqueId val="{00000000-2260-4012-8DC5-208EDF6537E6}"/>
            </c:ext>
          </c:extLst>
        </c:ser>
        <c:dLbls>
          <c:showLegendKey val="0"/>
          <c:showVal val="0"/>
          <c:showCatName val="0"/>
          <c:showSerName val="0"/>
          <c:showPercent val="0"/>
          <c:showBubbleSize val="0"/>
        </c:dLbls>
        <c:marker val="1"/>
        <c:smooth val="0"/>
        <c:axId val="129568768"/>
        <c:axId val="129570688"/>
      </c:lineChart>
      <c:lineChart>
        <c:grouping val="standard"/>
        <c:varyColors val="0"/>
        <c:ser>
          <c:idx val="0"/>
          <c:order val="0"/>
          <c:tx>
            <c:strRef>
              <c:f>Sheet1!$B$1</c:f>
              <c:strCache>
                <c:ptCount val="1"/>
                <c:pt idx="0">
                  <c:v>Նավթ (աջ առանցք)</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Sheet1!$A$2:$A$8</c:f>
              <c:numCache>
                <c:formatCode>General</c:formatCode>
                <c:ptCount val="6"/>
                <c:pt idx="0">
                  <c:v>2018</c:v>
                </c:pt>
                <c:pt idx="1">
                  <c:v>2019</c:v>
                </c:pt>
                <c:pt idx="2">
                  <c:v>2020</c:v>
                </c:pt>
                <c:pt idx="3">
                  <c:v>2021</c:v>
                </c:pt>
                <c:pt idx="4">
                  <c:v>2022</c:v>
                </c:pt>
              </c:numCache>
            </c:numRef>
          </c:cat>
          <c:val>
            <c:numRef>
              <c:f>Sheet1!$B$2:$B$7</c:f>
              <c:numCache>
                <c:formatCode>0</c:formatCode>
                <c:ptCount val="5"/>
                <c:pt idx="0">
                  <c:v>71.071666666666701</c:v>
                </c:pt>
                <c:pt idx="1">
                  <c:v>64.031666666666695</c:v>
                </c:pt>
                <c:pt idx="2">
                  <c:v>42.3</c:v>
                </c:pt>
                <c:pt idx="3" formatCode="0.0">
                  <c:v>66.205600000000004</c:v>
                </c:pt>
                <c:pt idx="4" formatCode="0.0">
                  <c:v>64.278700000000001</c:v>
                </c:pt>
              </c:numCache>
            </c:numRef>
          </c:val>
          <c:smooth val="0"/>
          <c:extLst>
            <c:ext xmlns:c16="http://schemas.microsoft.com/office/drawing/2014/chart" uri="{C3380CC4-5D6E-409C-BE32-E72D297353CC}">
              <c16:uniqueId val="{00000001-2260-4012-8DC5-208EDF6537E6}"/>
            </c:ext>
          </c:extLst>
        </c:ser>
        <c:dLbls>
          <c:showLegendKey val="0"/>
          <c:showVal val="0"/>
          <c:showCatName val="0"/>
          <c:showSerName val="0"/>
          <c:showPercent val="0"/>
          <c:showBubbleSize val="0"/>
        </c:dLbls>
        <c:marker val="1"/>
        <c:smooth val="0"/>
        <c:axId val="129578880"/>
        <c:axId val="129576960"/>
      </c:lineChart>
      <c:catAx>
        <c:axId val="129568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570688"/>
        <c:crosses val="autoZero"/>
        <c:auto val="1"/>
        <c:lblAlgn val="ctr"/>
        <c:lblOffset val="100"/>
        <c:noMultiLvlLbl val="0"/>
      </c:catAx>
      <c:valAx>
        <c:axId val="129570688"/>
        <c:scaling>
          <c:orientation val="minMax"/>
          <c:min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900" b="0" i="0" baseline="0">
                    <a:effectLst/>
                  </a:rPr>
                  <a:t>($/mt) </a:t>
                </a:r>
                <a:endParaRPr lang="en-US" sz="900">
                  <a:effectLst/>
                </a:endParaRPr>
              </a:p>
            </c:rich>
          </c:tx>
          <c:layout>
            <c:manualLayout>
              <c:xMode val="edge"/>
              <c:yMode val="edge"/>
              <c:x val="1.9550342130987301E-3"/>
              <c:y val="0.28080027732382629"/>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568768"/>
        <c:crosses val="autoZero"/>
        <c:crossBetween val="between"/>
      </c:valAx>
      <c:valAx>
        <c:axId val="129576960"/>
        <c:scaling>
          <c:orientation val="minMax"/>
          <c:min val="30"/>
        </c:scaling>
        <c:delete val="0"/>
        <c:axPos val="r"/>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b="0" i="0" baseline="0">
                    <a:effectLst/>
                  </a:rPr>
                  <a:t>($/bbl) </a:t>
                </a:r>
                <a:endParaRPr lang="en-US" sz="900">
                  <a:effectLst/>
                </a:endParaRPr>
              </a:p>
            </c:rich>
          </c:tx>
          <c:layout>
            <c:manualLayout>
              <c:xMode val="edge"/>
              <c:yMode val="edge"/>
              <c:x val="0.935609106263532"/>
              <c:y val="0.28816222491419341"/>
            </c:manualLayout>
          </c:layout>
          <c:overlay val="0"/>
          <c:spPr>
            <a:noFill/>
            <a:ln>
              <a:noFill/>
            </a:ln>
            <a:effectLst/>
          </c:sp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578880"/>
        <c:crosses val="max"/>
        <c:crossBetween val="between"/>
      </c:valAx>
      <c:catAx>
        <c:axId val="129578880"/>
        <c:scaling>
          <c:orientation val="minMax"/>
        </c:scaling>
        <c:delete val="1"/>
        <c:axPos val="b"/>
        <c:numFmt formatCode="General" sourceLinked="1"/>
        <c:majorTickMark val="out"/>
        <c:minorTickMark val="none"/>
        <c:tickLblPos val="none"/>
        <c:crossAx val="12957696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451670936211975E-2"/>
          <c:y val="3.727085060510086E-2"/>
          <c:w val="0.88882984960790357"/>
          <c:h val="0.68744401999255056"/>
        </c:manualLayout>
      </c:layout>
      <c:lineChart>
        <c:grouping val="standard"/>
        <c:varyColors val="0"/>
        <c:ser>
          <c:idx val="0"/>
          <c:order val="0"/>
          <c:tx>
            <c:strRef>
              <c:f>Sheet1!$A$2</c:f>
              <c:strCache>
                <c:ptCount val="1"/>
                <c:pt idx="0">
                  <c:v>Ընթացիկ առաջնային ծախսեր</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7"/>
                <c:pt idx="0">
                  <c:v>2020</c:v>
                </c:pt>
                <c:pt idx="1">
                  <c:v>2021</c:v>
                </c:pt>
                <c:pt idx="2">
                  <c:v>2022</c:v>
                </c:pt>
                <c:pt idx="3">
                  <c:v>2023</c:v>
                </c:pt>
                <c:pt idx="4">
                  <c:v>2024</c:v>
                </c:pt>
                <c:pt idx="5">
                  <c:v>2025</c:v>
                </c:pt>
                <c:pt idx="6">
                  <c:v>2026</c:v>
                </c:pt>
              </c:strCache>
            </c:strRef>
          </c:cat>
          <c:val>
            <c:numRef>
              <c:f>Sheet1!$B$2:$H$2</c:f>
              <c:numCache>
                <c:formatCode>General</c:formatCode>
                <c:ptCount val="7"/>
                <c:pt idx="0">
                  <c:v>24.3</c:v>
                </c:pt>
                <c:pt idx="1">
                  <c:v>22.4</c:v>
                </c:pt>
                <c:pt idx="2">
                  <c:v>20.5</c:v>
                </c:pt>
                <c:pt idx="3">
                  <c:v>20.3</c:v>
                </c:pt>
                <c:pt idx="4">
                  <c:v>20.399999999999999</c:v>
                </c:pt>
                <c:pt idx="5">
                  <c:v>20.3</c:v>
                </c:pt>
                <c:pt idx="6">
                  <c:v>20.2</c:v>
                </c:pt>
              </c:numCache>
            </c:numRef>
          </c:val>
          <c:smooth val="0"/>
          <c:extLst>
            <c:ext xmlns:c16="http://schemas.microsoft.com/office/drawing/2014/chart" uri="{C3380CC4-5D6E-409C-BE32-E72D297353CC}">
              <c16:uniqueId val="{00000000-6BCB-4381-BAC2-2DC5C48DCC28}"/>
            </c:ext>
          </c:extLst>
        </c:ser>
        <c:ser>
          <c:idx val="1"/>
          <c:order val="1"/>
          <c:tx>
            <c:strRef>
              <c:f>Sheet1!$A$3</c:f>
              <c:strCache>
                <c:ptCount val="1"/>
                <c:pt idx="0">
                  <c:v>Կապիտալ ծախսեր</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7"/>
                <c:pt idx="0">
                  <c:v>2020</c:v>
                </c:pt>
                <c:pt idx="1">
                  <c:v>2021</c:v>
                </c:pt>
                <c:pt idx="2">
                  <c:v>2022</c:v>
                </c:pt>
                <c:pt idx="3">
                  <c:v>2023</c:v>
                </c:pt>
                <c:pt idx="4">
                  <c:v>2024</c:v>
                </c:pt>
                <c:pt idx="5">
                  <c:v>2025</c:v>
                </c:pt>
                <c:pt idx="6">
                  <c:v>2026</c:v>
                </c:pt>
              </c:strCache>
            </c:strRef>
          </c:cat>
          <c:val>
            <c:numRef>
              <c:f>Sheet1!$B$3:$H$3</c:f>
              <c:numCache>
                <c:formatCode>General</c:formatCode>
                <c:ptCount val="7"/>
                <c:pt idx="0">
                  <c:v>3.7</c:v>
                </c:pt>
                <c:pt idx="1">
                  <c:v>2.9</c:v>
                </c:pt>
                <c:pt idx="2">
                  <c:v>4.3</c:v>
                </c:pt>
                <c:pt idx="3">
                  <c:v>4.4000000000000004</c:v>
                </c:pt>
                <c:pt idx="4">
                  <c:v>4.8</c:v>
                </c:pt>
                <c:pt idx="5">
                  <c:v>5.3</c:v>
                </c:pt>
                <c:pt idx="6">
                  <c:v>6.1</c:v>
                </c:pt>
              </c:numCache>
            </c:numRef>
          </c:val>
          <c:smooth val="0"/>
          <c:extLst>
            <c:ext xmlns:c16="http://schemas.microsoft.com/office/drawing/2014/chart" uri="{C3380CC4-5D6E-409C-BE32-E72D297353CC}">
              <c16:uniqueId val="{00000001-6BCB-4381-BAC2-2DC5C48DCC28}"/>
            </c:ext>
          </c:extLst>
        </c:ser>
        <c:dLbls>
          <c:showLegendKey val="0"/>
          <c:showVal val="0"/>
          <c:showCatName val="0"/>
          <c:showSerName val="0"/>
          <c:showPercent val="0"/>
          <c:showBubbleSize val="0"/>
        </c:dLbls>
        <c:smooth val="0"/>
        <c:axId val="144538624"/>
        <c:axId val="144540416"/>
      </c:lineChart>
      <c:catAx>
        <c:axId val="144538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540416"/>
        <c:crosses val="autoZero"/>
        <c:auto val="1"/>
        <c:lblAlgn val="ctr"/>
        <c:lblOffset val="100"/>
        <c:noMultiLvlLbl val="0"/>
      </c:catAx>
      <c:valAx>
        <c:axId val="14454041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538624"/>
        <c:crosses val="autoZero"/>
        <c:crossBetween val="between"/>
      </c:valAx>
      <c:spPr>
        <a:noFill/>
        <a:ln>
          <a:noFill/>
        </a:ln>
        <a:effectLst/>
      </c:spPr>
    </c:plotArea>
    <c:legend>
      <c:legendPos val="b"/>
      <c:layout>
        <c:manualLayout>
          <c:xMode val="edge"/>
          <c:yMode val="edge"/>
          <c:x val="7.0550919642879031E-2"/>
          <c:y val="0.86359432793673063"/>
          <c:w val="0.81946663899553807"/>
          <c:h val="0.136405672063269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latin typeface="GHEA Grapalat" panose="02000506050000020003" pitchFamily="50" charset="0"/>
        </a:defRPr>
      </a:pPr>
      <a:endParaRPr lang="en-US"/>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90033979737642"/>
          <c:y val="6.6493995043935883E-2"/>
          <c:w val="0.86270095598017105"/>
          <c:h val="0.72872079514650834"/>
        </c:manualLayout>
      </c:layout>
      <c:barChart>
        <c:barDir val="col"/>
        <c:grouping val="stacked"/>
        <c:varyColors val="0"/>
        <c:ser>
          <c:idx val="1"/>
          <c:order val="1"/>
          <c:tx>
            <c:strRef>
              <c:f>Sheet1!$C$1</c:f>
              <c:strCache>
                <c:ptCount val="1"/>
                <c:pt idx="0">
                  <c:v>Զուտ հարկեր</c:v>
                </c:pt>
              </c:strCache>
            </c:strRef>
          </c:tx>
          <c:spPr>
            <a:solidFill>
              <a:schemeClr val="accent2"/>
            </a:solidFill>
            <a:ln>
              <a:noFill/>
            </a:ln>
            <a:effectLst/>
          </c:spPr>
          <c:invertIfNegative val="0"/>
          <c:cat>
            <c:strRef>
              <c:f>Sheet1!$A$2:$A$6</c:f>
              <c:strCache>
                <c:ptCount val="5"/>
                <c:pt idx="0">
                  <c:v>I եռ. -2020</c:v>
                </c:pt>
                <c:pt idx="1">
                  <c:v>I-II եռ. -2020</c:v>
                </c:pt>
                <c:pt idx="2">
                  <c:v>I-III եռ. -2020</c:v>
                </c:pt>
                <c:pt idx="3">
                  <c:v>I-IV եռ. -2020</c:v>
                </c:pt>
                <c:pt idx="4">
                  <c:v>I եռ. -2021</c:v>
                </c:pt>
              </c:strCache>
            </c:strRef>
          </c:cat>
          <c:val>
            <c:numRef>
              <c:f>Sheet1!$C$2:$C$6</c:f>
              <c:numCache>
                <c:formatCode>0.0</c:formatCode>
                <c:ptCount val="5"/>
                <c:pt idx="0">
                  <c:v>0.10513439319595831</c:v>
                </c:pt>
                <c:pt idx="1">
                  <c:v>-1.3395221221487805</c:v>
                </c:pt>
                <c:pt idx="2">
                  <c:v>-1.2439671159377241</c:v>
                </c:pt>
                <c:pt idx="3">
                  <c:v>-1.1492890620555209</c:v>
                </c:pt>
                <c:pt idx="4">
                  <c:v>-0.60592835516953336</c:v>
                </c:pt>
              </c:numCache>
            </c:numRef>
          </c:val>
          <c:extLst>
            <c:ext xmlns:c16="http://schemas.microsoft.com/office/drawing/2014/chart" uri="{C3380CC4-5D6E-409C-BE32-E72D297353CC}">
              <c16:uniqueId val="{00000000-5A54-4FA5-8CA7-325F64447F68}"/>
            </c:ext>
          </c:extLst>
        </c:ser>
        <c:ser>
          <c:idx val="2"/>
          <c:order val="2"/>
          <c:tx>
            <c:strRef>
              <c:f>Sheet1!$D$1</c:f>
              <c:strCache>
                <c:ptCount val="1"/>
                <c:pt idx="0">
                  <c:v>Արդյունաբերություն</c:v>
                </c:pt>
              </c:strCache>
            </c:strRef>
          </c:tx>
          <c:spPr>
            <a:solidFill>
              <a:schemeClr val="accent3"/>
            </a:solidFill>
            <a:ln>
              <a:noFill/>
            </a:ln>
            <a:effectLst/>
          </c:spPr>
          <c:invertIfNegative val="0"/>
          <c:cat>
            <c:strRef>
              <c:f>Sheet1!$A$2:$A$6</c:f>
              <c:strCache>
                <c:ptCount val="5"/>
                <c:pt idx="0">
                  <c:v>I եռ. -2020</c:v>
                </c:pt>
                <c:pt idx="1">
                  <c:v>I-II եռ. -2020</c:v>
                </c:pt>
                <c:pt idx="2">
                  <c:v>I-III եռ. -2020</c:v>
                </c:pt>
                <c:pt idx="3">
                  <c:v>I-IV եռ. -2020</c:v>
                </c:pt>
                <c:pt idx="4">
                  <c:v>I եռ. -2021</c:v>
                </c:pt>
              </c:strCache>
            </c:strRef>
          </c:cat>
          <c:val>
            <c:numRef>
              <c:f>Sheet1!$D$2:$D$6</c:f>
              <c:numCache>
                <c:formatCode>0.0</c:formatCode>
                <c:ptCount val="5"/>
                <c:pt idx="0">
                  <c:v>0.61375152498404462</c:v>
                </c:pt>
                <c:pt idx="1">
                  <c:v>-0.31986461436202185</c:v>
                </c:pt>
                <c:pt idx="2">
                  <c:v>-0.3814651100430656</c:v>
                </c:pt>
                <c:pt idx="3">
                  <c:v>-0.31349257135824771</c:v>
                </c:pt>
                <c:pt idx="4">
                  <c:v>-0.7230658472213114</c:v>
                </c:pt>
              </c:numCache>
            </c:numRef>
          </c:val>
          <c:extLst>
            <c:ext xmlns:c16="http://schemas.microsoft.com/office/drawing/2014/chart" uri="{C3380CC4-5D6E-409C-BE32-E72D297353CC}">
              <c16:uniqueId val="{00000001-5A54-4FA5-8CA7-325F64447F68}"/>
            </c:ext>
          </c:extLst>
        </c:ser>
        <c:ser>
          <c:idx val="3"/>
          <c:order val="3"/>
          <c:tx>
            <c:strRef>
              <c:f>Sheet1!$E$1</c:f>
              <c:strCache>
                <c:ptCount val="1"/>
                <c:pt idx="0">
                  <c:v>Գյուղատնտեսություն</c:v>
                </c:pt>
              </c:strCache>
            </c:strRef>
          </c:tx>
          <c:spPr>
            <a:solidFill>
              <a:schemeClr val="accent4"/>
            </a:solidFill>
            <a:ln>
              <a:noFill/>
            </a:ln>
            <a:effectLst/>
          </c:spPr>
          <c:invertIfNegative val="0"/>
          <c:cat>
            <c:strRef>
              <c:f>Sheet1!$A$2:$A$6</c:f>
              <c:strCache>
                <c:ptCount val="5"/>
                <c:pt idx="0">
                  <c:v>I եռ. -2020</c:v>
                </c:pt>
                <c:pt idx="1">
                  <c:v>I-II եռ. -2020</c:v>
                </c:pt>
                <c:pt idx="2">
                  <c:v>I-III եռ. -2020</c:v>
                </c:pt>
                <c:pt idx="3">
                  <c:v>I-IV եռ. -2020</c:v>
                </c:pt>
                <c:pt idx="4">
                  <c:v>I եռ. -2021</c:v>
                </c:pt>
              </c:strCache>
            </c:strRef>
          </c:cat>
          <c:val>
            <c:numRef>
              <c:f>Sheet1!$E$2:$E$6</c:f>
              <c:numCache>
                <c:formatCode>0.0</c:formatCode>
                <c:ptCount val="5"/>
                <c:pt idx="0">
                  <c:v>0.28597042474452383</c:v>
                </c:pt>
                <c:pt idx="1">
                  <c:v>0.13849542858424765</c:v>
                </c:pt>
                <c:pt idx="2">
                  <c:v>-0.19233652712748164</c:v>
                </c:pt>
                <c:pt idx="3">
                  <c:v>-0.47428700859768752</c:v>
                </c:pt>
                <c:pt idx="4">
                  <c:v>6.5639350520146272E-2</c:v>
                </c:pt>
              </c:numCache>
            </c:numRef>
          </c:val>
          <c:extLst>
            <c:ext xmlns:c16="http://schemas.microsoft.com/office/drawing/2014/chart" uri="{C3380CC4-5D6E-409C-BE32-E72D297353CC}">
              <c16:uniqueId val="{00000002-5A54-4FA5-8CA7-325F64447F68}"/>
            </c:ext>
          </c:extLst>
        </c:ser>
        <c:ser>
          <c:idx val="4"/>
          <c:order val="4"/>
          <c:tx>
            <c:strRef>
              <c:f>Sheet1!$F$1</c:f>
              <c:strCache>
                <c:ptCount val="1"/>
                <c:pt idx="0">
                  <c:v>Շինարարություն</c:v>
                </c:pt>
              </c:strCache>
            </c:strRef>
          </c:tx>
          <c:spPr>
            <a:solidFill>
              <a:schemeClr val="accent5"/>
            </a:solidFill>
            <a:ln>
              <a:noFill/>
            </a:ln>
            <a:effectLst/>
          </c:spPr>
          <c:invertIfNegative val="0"/>
          <c:cat>
            <c:strRef>
              <c:f>Sheet1!$A$2:$A$6</c:f>
              <c:strCache>
                <c:ptCount val="5"/>
                <c:pt idx="0">
                  <c:v>I եռ. -2020</c:v>
                </c:pt>
                <c:pt idx="1">
                  <c:v>I-II եռ. -2020</c:v>
                </c:pt>
                <c:pt idx="2">
                  <c:v>I-III եռ. -2020</c:v>
                </c:pt>
                <c:pt idx="3">
                  <c:v>I-IV եռ. -2020</c:v>
                </c:pt>
                <c:pt idx="4">
                  <c:v>I եռ. -2021</c:v>
                </c:pt>
              </c:strCache>
            </c:strRef>
          </c:cat>
          <c:val>
            <c:numRef>
              <c:f>Sheet1!$F$2:$F$6</c:f>
              <c:numCache>
                <c:formatCode>0.0</c:formatCode>
                <c:ptCount val="5"/>
                <c:pt idx="0">
                  <c:v>-0.52656625296272364</c:v>
                </c:pt>
                <c:pt idx="1">
                  <c:v>-1.4600274442612291</c:v>
                </c:pt>
                <c:pt idx="2">
                  <c:v>-1.104763552087904</c:v>
                </c:pt>
                <c:pt idx="3">
                  <c:v>-0.42846070196442121</c:v>
                </c:pt>
                <c:pt idx="4">
                  <c:v>0.11699841571084424</c:v>
                </c:pt>
              </c:numCache>
            </c:numRef>
          </c:val>
          <c:extLst>
            <c:ext xmlns:c16="http://schemas.microsoft.com/office/drawing/2014/chart" uri="{C3380CC4-5D6E-409C-BE32-E72D297353CC}">
              <c16:uniqueId val="{00000003-5A54-4FA5-8CA7-325F64447F68}"/>
            </c:ext>
          </c:extLst>
        </c:ser>
        <c:ser>
          <c:idx val="5"/>
          <c:order val="5"/>
          <c:tx>
            <c:strRef>
              <c:f>Sheet1!$G$1</c:f>
              <c:strCache>
                <c:ptCount val="1"/>
                <c:pt idx="0">
                  <c:v>Ծառայություններ</c:v>
                </c:pt>
              </c:strCache>
            </c:strRef>
          </c:tx>
          <c:spPr>
            <a:solidFill>
              <a:schemeClr val="accent6"/>
            </a:solidFill>
            <a:ln>
              <a:noFill/>
            </a:ln>
            <a:effectLst/>
          </c:spPr>
          <c:invertIfNegative val="0"/>
          <c:cat>
            <c:strRef>
              <c:f>Sheet1!$A$2:$A$6</c:f>
              <c:strCache>
                <c:ptCount val="5"/>
                <c:pt idx="0">
                  <c:v>I եռ. -2020</c:v>
                </c:pt>
                <c:pt idx="1">
                  <c:v>I-II եռ. -2020</c:v>
                </c:pt>
                <c:pt idx="2">
                  <c:v>I-III եռ. -2020</c:v>
                </c:pt>
                <c:pt idx="3">
                  <c:v>I-IV եռ. -2020</c:v>
                </c:pt>
                <c:pt idx="4">
                  <c:v>I եռ. -2021</c:v>
                </c:pt>
              </c:strCache>
            </c:strRef>
          </c:cat>
          <c:val>
            <c:numRef>
              <c:f>Sheet1!$G$2:$G$6</c:f>
              <c:numCache>
                <c:formatCode>0.0</c:formatCode>
                <c:ptCount val="5"/>
                <c:pt idx="0">
                  <c:v>3.7162969068174192</c:v>
                </c:pt>
                <c:pt idx="1">
                  <c:v>-2.5346965506532286</c:v>
                </c:pt>
                <c:pt idx="2">
                  <c:v>-3.9423436582872395</c:v>
                </c:pt>
                <c:pt idx="3">
                  <c:v>-5.0598792681469451</c:v>
                </c:pt>
                <c:pt idx="4">
                  <c:v>-2.1825354138815189</c:v>
                </c:pt>
              </c:numCache>
            </c:numRef>
          </c:val>
          <c:extLst>
            <c:ext xmlns:c16="http://schemas.microsoft.com/office/drawing/2014/chart" uri="{C3380CC4-5D6E-409C-BE32-E72D297353CC}">
              <c16:uniqueId val="{00000004-5A54-4FA5-8CA7-325F64447F68}"/>
            </c:ext>
          </c:extLst>
        </c:ser>
        <c:dLbls>
          <c:showLegendKey val="0"/>
          <c:showVal val="0"/>
          <c:showCatName val="0"/>
          <c:showSerName val="0"/>
          <c:showPercent val="0"/>
          <c:showBubbleSize val="0"/>
        </c:dLbls>
        <c:gapWidth val="219"/>
        <c:overlap val="100"/>
        <c:axId val="144628736"/>
        <c:axId val="144769792"/>
      </c:barChart>
      <c:lineChart>
        <c:grouping val="standard"/>
        <c:varyColors val="0"/>
        <c:ser>
          <c:idx val="0"/>
          <c:order val="0"/>
          <c:tx>
            <c:strRef>
              <c:f>Sheet1!$B$1</c:f>
              <c:strCache>
                <c:ptCount val="1"/>
                <c:pt idx="0">
                  <c:v>ՀՆԱ</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5911489466957993E-2"/>
                  <c:y val="-4.54645714583347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54-4FA5-8CA7-325F64447F68}"/>
                </c:ext>
              </c:extLst>
            </c:dLbl>
            <c:dLbl>
              <c:idx val="1"/>
              <c:layout>
                <c:manualLayout>
                  <c:x val="-5.5868409119017227E-2"/>
                  <c:y val="4.08167055045643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A54-4FA5-8CA7-325F64447F68}"/>
                </c:ext>
              </c:extLst>
            </c:dLbl>
            <c:dLbl>
              <c:idx val="2"/>
              <c:layout>
                <c:manualLayout>
                  <c:x val="-6.97180195407512E-2"/>
                  <c:y val="3.74207106769117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A54-4FA5-8CA7-325F64447F68}"/>
                </c:ext>
              </c:extLst>
            </c:dLbl>
            <c:dLbl>
              <c:idx val="3"/>
              <c:layout>
                <c:manualLayout>
                  <c:x val="-5.6629014305149106E-2"/>
                  <c:y val="3.1668625546051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A54-4FA5-8CA7-325F64447F68}"/>
                </c:ext>
              </c:extLst>
            </c:dLbl>
            <c:dLbl>
              <c:idx val="4"/>
              <c:layout>
                <c:manualLayout>
                  <c:x val="-4.2895178024212943E-2"/>
                  <c:y val="3.25722011236947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A54-4FA5-8CA7-325F64447F68}"/>
                </c:ext>
              </c:extLst>
            </c:dLbl>
            <c:spPr>
              <a:noFill/>
              <a:ln>
                <a:noFill/>
              </a:ln>
              <a:effectLst/>
            </c:spPr>
            <c:txPr>
              <a:bodyPr rot="0" vert="horz"/>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I եռ. -2020</c:v>
                </c:pt>
                <c:pt idx="1">
                  <c:v>I-II եռ. -2020</c:v>
                </c:pt>
                <c:pt idx="2">
                  <c:v>I-III եռ. -2020</c:v>
                </c:pt>
                <c:pt idx="3">
                  <c:v>I-IV եռ. -2020</c:v>
                </c:pt>
                <c:pt idx="4">
                  <c:v>I եռ. -2021</c:v>
                </c:pt>
              </c:strCache>
            </c:strRef>
          </c:cat>
          <c:val>
            <c:numRef>
              <c:f>Sheet1!$B$2:$B$6</c:f>
              <c:numCache>
                <c:formatCode>0.0</c:formatCode>
                <c:ptCount val="5"/>
                <c:pt idx="0">
                  <c:v>4.194586996779222</c:v>
                </c:pt>
                <c:pt idx="1">
                  <c:v>-5.5156153028410131</c:v>
                </c:pt>
                <c:pt idx="2">
                  <c:v>-6.8648759634834144</c:v>
                </c:pt>
                <c:pt idx="3">
                  <c:v>-7.4254086121228227</c:v>
                </c:pt>
                <c:pt idx="4">
                  <c:v>-3.3288918500413729</c:v>
                </c:pt>
              </c:numCache>
            </c:numRef>
          </c:val>
          <c:smooth val="0"/>
          <c:extLst>
            <c:ext xmlns:c16="http://schemas.microsoft.com/office/drawing/2014/chart" uri="{C3380CC4-5D6E-409C-BE32-E72D297353CC}">
              <c16:uniqueId val="{0000000A-5A54-4FA5-8CA7-325F64447F68}"/>
            </c:ext>
          </c:extLst>
        </c:ser>
        <c:dLbls>
          <c:showLegendKey val="0"/>
          <c:showVal val="0"/>
          <c:showCatName val="0"/>
          <c:showSerName val="0"/>
          <c:showPercent val="0"/>
          <c:showBubbleSize val="0"/>
        </c:dLbls>
        <c:marker val="1"/>
        <c:smooth val="0"/>
        <c:axId val="144628736"/>
        <c:axId val="144769792"/>
      </c:lineChart>
      <c:catAx>
        <c:axId val="144628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600"/>
            </a:pPr>
            <a:endParaRPr lang="en-US"/>
          </a:p>
        </c:txPr>
        <c:crossAx val="144769792"/>
        <c:crosses val="autoZero"/>
        <c:auto val="1"/>
        <c:lblAlgn val="ctr"/>
        <c:lblOffset val="100"/>
        <c:noMultiLvlLbl val="0"/>
      </c:catAx>
      <c:valAx>
        <c:axId val="144769792"/>
        <c:scaling>
          <c:orientation val="minMax"/>
          <c:max val="5"/>
          <c:min val="-9"/>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en-US"/>
          </a:p>
        </c:txPr>
        <c:crossAx val="144628736"/>
        <c:crosses val="autoZero"/>
        <c:crossBetween val="between"/>
        <c:majorUnit val="2"/>
        <c:minorUnit val="2"/>
      </c:valAx>
      <c:spPr>
        <a:noFill/>
        <a:ln>
          <a:noFill/>
        </a:ln>
        <a:effectLst/>
      </c:spPr>
    </c:plotArea>
    <c:legend>
      <c:legendPos val="b"/>
      <c:layout>
        <c:manualLayout>
          <c:xMode val="edge"/>
          <c:yMode val="edge"/>
          <c:x val="4.8648018769902046E-2"/>
          <c:y val="0.83925459317585294"/>
          <c:w val="0.95135189902732742"/>
          <c:h val="0.15626745406824169"/>
        </c:manualLayout>
      </c:layout>
      <c:overlay val="0"/>
      <c:spPr>
        <a:noFill/>
        <a:ln>
          <a:noFill/>
        </a:ln>
        <a:effectLst/>
      </c:spPr>
      <c:txPr>
        <a:bodyPr rot="0" vert="horz"/>
        <a:lstStyle/>
        <a:p>
          <a:pPr>
            <a:defRPr sz="600"/>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a:solidFill>
        <a:srgbClr val="E7E6E6"/>
      </a:solidFill>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17611554748301"/>
          <c:y val="7.0365212113800715E-2"/>
          <c:w val="0.87260540551091115"/>
          <c:h val="0.65950464129861253"/>
        </c:manualLayout>
      </c:layout>
      <c:barChart>
        <c:barDir val="col"/>
        <c:grouping val="stacked"/>
        <c:varyColors val="0"/>
        <c:ser>
          <c:idx val="1"/>
          <c:order val="1"/>
          <c:tx>
            <c:strRef>
              <c:f>Sheet1!$C$1</c:f>
              <c:strCache>
                <c:ptCount val="1"/>
                <c:pt idx="0">
                  <c:v>Սպառում</c:v>
                </c:pt>
              </c:strCache>
            </c:strRef>
          </c:tx>
          <c:spPr>
            <a:solidFill>
              <a:schemeClr val="accent2"/>
            </a:solidFill>
            <a:ln>
              <a:noFill/>
            </a:ln>
            <a:effectLst/>
          </c:spPr>
          <c:invertIfNegative val="0"/>
          <c:cat>
            <c:strRef>
              <c:f>Sheet1!$A$2:$A$6</c:f>
              <c:strCache>
                <c:ptCount val="5"/>
                <c:pt idx="0">
                  <c:v>I եռ. -2020</c:v>
                </c:pt>
                <c:pt idx="1">
                  <c:v>I-II եռ. -2020</c:v>
                </c:pt>
                <c:pt idx="2">
                  <c:v>I-III եռ. -2020</c:v>
                </c:pt>
                <c:pt idx="3">
                  <c:v>I-IV եռ. -2020</c:v>
                </c:pt>
                <c:pt idx="4">
                  <c:v>I եռ. -2021</c:v>
                </c:pt>
              </c:strCache>
            </c:strRef>
          </c:cat>
          <c:val>
            <c:numRef>
              <c:f>Sheet1!$C$2:$C$6</c:f>
              <c:numCache>
                <c:formatCode>0.0</c:formatCode>
                <c:ptCount val="5"/>
                <c:pt idx="0">
                  <c:v>1.9182532030876893</c:v>
                </c:pt>
                <c:pt idx="1">
                  <c:v>-6.7118940924474257</c:v>
                </c:pt>
                <c:pt idx="2">
                  <c:v>-6.7161879233366655</c:v>
                </c:pt>
                <c:pt idx="3">
                  <c:v>-9.6621603376249023</c:v>
                </c:pt>
                <c:pt idx="4">
                  <c:v>-1.051751056489413</c:v>
                </c:pt>
              </c:numCache>
            </c:numRef>
          </c:val>
          <c:extLst>
            <c:ext xmlns:c16="http://schemas.microsoft.com/office/drawing/2014/chart" uri="{C3380CC4-5D6E-409C-BE32-E72D297353CC}">
              <c16:uniqueId val="{00000000-83B7-4344-8797-F2CBECF6E056}"/>
            </c:ext>
          </c:extLst>
        </c:ser>
        <c:ser>
          <c:idx val="2"/>
          <c:order val="2"/>
          <c:tx>
            <c:strRef>
              <c:f>Sheet1!$D$1</c:f>
              <c:strCache>
                <c:ptCount val="1"/>
                <c:pt idx="0">
                  <c:v>Հիմնական միջոցների համախառն կուտակում</c:v>
                </c:pt>
              </c:strCache>
            </c:strRef>
          </c:tx>
          <c:spPr>
            <a:solidFill>
              <a:schemeClr val="accent3"/>
            </a:solidFill>
            <a:ln>
              <a:noFill/>
            </a:ln>
            <a:effectLst/>
          </c:spPr>
          <c:invertIfNegative val="0"/>
          <c:cat>
            <c:strRef>
              <c:f>Sheet1!$A$2:$A$6</c:f>
              <c:strCache>
                <c:ptCount val="5"/>
                <c:pt idx="0">
                  <c:v>I եռ. -2020</c:v>
                </c:pt>
                <c:pt idx="1">
                  <c:v>I-II եռ. -2020</c:v>
                </c:pt>
                <c:pt idx="2">
                  <c:v>I-III եռ. -2020</c:v>
                </c:pt>
                <c:pt idx="3">
                  <c:v>I-IV եռ. -2020</c:v>
                </c:pt>
                <c:pt idx="4">
                  <c:v>I եռ. -2021</c:v>
                </c:pt>
              </c:strCache>
            </c:strRef>
          </c:cat>
          <c:val>
            <c:numRef>
              <c:f>Sheet1!$D$2:$D$6</c:f>
              <c:numCache>
                <c:formatCode>0.0</c:formatCode>
                <c:ptCount val="5"/>
                <c:pt idx="0">
                  <c:v>-0.81570423869976305</c:v>
                </c:pt>
                <c:pt idx="1">
                  <c:v>-2.4230908925865666</c:v>
                </c:pt>
                <c:pt idx="2">
                  <c:v>-1.9066487214759491</c:v>
                </c:pt>
                <c:pt idx="3">
                  <c:v>-1.3615586733604275</c:v>
                </c:pt>
                <c:pt idx="4">
                  <c:v>0.44598242734524018</c:v>
                </c:pt>
              </c:numCache>
            </c:numRef>
          </c:val>
          <c:extLst>
            <c:ext xmlns:c16="http://schemas.microsoft.com/office/drawing/2014/chart" uri="{C3380CC4-5D6E-409C-BE32-E72D297353CC}">
              <c16:uniqueId val="{00000001-83B7-4344-8797-F2CBECF6E056}"/>
            </c:ext>
          </c:extLst>
        </c:ser>
        <c:ser>
          <c:idx val="3"/>
          <c:order val="3"/>
          <c:tx>
            <c:strRef>
              <c:f>Sheet1!$E$1</c:f>
              <c:strCache>
                <c:ptCount val="1"/>
                <c:pt idx="0">
                  <c:v>Զուտ արտահանում</c:v>
                </c:pt>
              </c:strCache>
            </c:strRef>
          </c:tx>
          <c:spPr>
            <a:solidFill>
              <a:schemeClr val="accent4"/>
            </a:solidFill>
            <a:ln>
              <a:noFill/>
            </a:ln>
            <a:effectLst/>
          </c:spPr>
          <c:invertIfNegative val="0"/>
          <c:cat>
            <c:strRef>
              <c:f>Sheet1!$A$2:$A$6</c:f>
              <c:strCache>
                <c:ptCount val="5"/>
                <c:pt idx="0">
                  <c:v>I եռ. -2020</c:v>
                </c:pt>
                <c:pt idx="1">
                  <c:v>I-II եռ. -2020</c:v>
                </c:pt>
                <c:pt idx="2">
                  <c:v>I-III եռ. -2020</c:v>
                </c:pt>
                <c:pt idx="3">
                  <c:v>I-IV եռ. -2020</c:v>
                </c:pt>
                <c:pt idx="4">
                  <c:v>I եռ. -2021</c:v>
                </c:pt>
              </c:strCache>
            </c:strRef>
          </c:cat>
          <c:val>
            <c:numRef>
              <c:f>Sheet1!$E$2:$E$6</c:f>
              <c:numCache>
                <c:formatCode>0.0</c:formatCode>
                <c:ptCount val="5"/>
                <c:pt idx="0">
                  <c:v>4.2554870673089269</c:v>
                </c:pt>
                <c:pt idx="1">
                  <c:v>4.026472846402525</c:v>
                </c:pt>
                <c:pt idx="2">
                  <c:v>1.5778759157337081</c:v>
                </c:pt>
                <c:pt idx="3">
                  <c:v>3.9349455892546317</c:v>
                </c:pt>
                <c:pt idx="4">
                  <c:v>2.0699447743344273</c:v>
                </c:pt>
              </c:numCache>
            </c:numRef>
          </c:val>
          <c:extLst>
            <c:ext xmlns:c16="http://schemas.microsoft.com/office/drawing/2014/chart" uri="{C3380CC4-5D6E-409C-BE32-E72D297353CC}">
              <c16:uniqueId val="{00000002-83B7-4344-8797-F2CBECF6E056}"/>
            </c:ext>
          </c:extLst>
        </c:ser>
        <c:ser>
          <c:idx val="4"/>
          <c:order val="4"/>
          <c:tx>
            <c:strRef>
              <c:f>Sheet1!$F$1</c:f>
              <c:strCache>
                <c:ptCount val="1"/>
                <c:pt idx="0">
                  <c:v>Վիճակագրական շեղում</c:v>
                </c:pt>
              </c:strCache>
            </c:strRef>
          </c:tx>
          <c:invertIfNegative val="0"/>
          <c:cat>
            <c:strRef>
              <c:f>Sheet1!$A$2:$A$6</c:f>
              <c:strCache>
                <c:ptCount val="5"/>
                <c:pt idx="0">
                  <c:v>I եռ. -2020</c:v>
                </c:pt>
                <c:pt idx="1">
                  <c:v>I-II եռ. -2020</c:v>
                </c:pt>
                <c:pt idx="2">
                  <c:v>I-III եռ. -2020</c:v>
                </c:pt>
                <c:pt idx="3">
                  <c:v>I-IV եռ. -2020</c:v>
                </c:pt>
                <c:pt idx="4">
                  <c:v>I եռ. -2021</c:v>
                </c:pt>
              </c:strCache>
            </c:strRef>
          </c:cat>
          <c:val>
            <c:numRef>
              <c:f>Sheet1!$F$2:$F$6</c:f>
              <c:numCache>
                <c:formatCode>0.0</c:formatCode>
                <c:ptCount val="5"/>
                <c:pt idx="0">
                  <c:v>-1.1563553594279323</c:v>
                </c:pt>
                <c:pt idx="1">
                  <c:v>-0.40741748571471792</c:v>
                </c:pt>
                <c:pt idx="2">
                  <c:v>0.17515463489607197</c:v>
                </c:pt>
                <c:pt idx="3">
                  <c:v>-0.34275310575446305</c:v>
                </c:pt>
                <c:pt idx="4">
                  <c:v>-4.7907890484160482</c:v>
                </c:pt>
              </c:numCache>
            </c:numRef>
          </c:val>
          <c:extLst>
            <c:ext xmlns:c16="http://schemas.microsoft.com/office/drawing/2014/chart" uri="{C3380CC4-5D6E-409C-BE32-E72D297353CC}">
              <c16:uniqueId val="{00000003-83B7-4344-8797-F2CBECF6E056}"/>
            </c:ext>
          </c:extLst>
        </c:ser>
        <c:dLbls>
          <c:showLegendKey val="0"/>
          <c:showVal val="0"/>
          <c:showCatName val="0"/>
          <c:showSerName val="0"/>
          <c:showPercent val="0"/>
          <c:showBubbleSize val="0"/>
        </c:dLbls>
        <c:gapWidth val="150"/>
        <c:overlap val="100"/>
        <c:axId val="144835328"/>
        <c:axId val="144836864"/>
      </c:barChart>
      <c:lineChart>
        <c:grouping val="standard"/>
        <c:varyColors val="0"/>
        <c:ser>
          <c:idx val="0"/>
          <c:order val="0"/>
          <c:tx>
            <c:strRef>
              <c:f>Sheet1!$B$1</c:f>
              <c:strCache>
                <c:ptCount val="1"/>
                <c:pt idx="0">
                  <c:v>ՀՆԱ</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1.6713559905268911E-2"/>
                  <c:y val="-1.12278890074030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3B7-4344-8797-F2CBECF6E056}"/>
                </c:ext>
              </c:extLst>
            </c:dLbl>
            <c:dLbl>
              <c:idx val="1"/>
              <c:layout>
                <c:manualLayout>
                  <c:x val="-2.8601977027207442E-2"/>
                  <c:y val="-2.37722082295694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3B7-4344-8797-F2CBECF6E056}"/>
                </c:ext>
              </c:extLst>
            </c:dLbl>
            <c:dLbl>
              <c:idx val="2"/>
              <c:layout>
                <c:manualLayout>
                  <c:x val="-1.0981451868644954E-2"/>
                  <c:y val="-2.68921302869928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3B7-4344-8797-F2CBECF6E056}"/>
                </c:ext>
              </c:extLst>
            </c:dLbl>
            <c:dLbl>
              <c:idx val="3"/>
              <c:layout>
                <c:manualLayout>
                  <c:x val="-4.8242684317432332E-4"/>
                  <c:y val="1.33724656290267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3B7-4344-8797-F2CBECF6E056}"/>
                </c:ext>
              </c:extLst>
            </c:dLbl>
            <c:dLbl>
              <c:idx val="4"/>
              <c:layout>
                <c:manualLayout>
                  <c:x val="-3.4247582805362851E-2"/>
                  <c:y val="1.5315945731114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3B7-4344-8797-F2CBECF6E056}"/>
                </c:ext>
              </c:extLst>
            </c:dLbl>
            <c:spPr>
              <a:noFill/>
              <a:ln>
                <a:noFill/>
              </a:ln>
              <a:effectLst/>
            </c:spPr>
            <c:txPr>
              <a:bodyPr rot="0" vert="horz"/>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I եռ. -2020</c:v>
                </c:pt>
                <c:pt idx="1">
                  <c:v>I-II եռ. -2020</c:v>
                </c:pt>
                <c:pt idx="2">
                  <c:v>I-III եռ. -2020</c:v>
                </c:pt>
                <c:pt idx="3">
                  <c:v>I-IV եռ. -2020</c:v>
                </c:pt>
                <c:pt idx="4">
                  <c:v>I եռ. -2021</c:v>
                </c:pt>
              </c:strCache>
            </c:strRef>
          </c:cat>
          <c:val>
            <c:numRef>
              <c:f>Sheet1!$B$2:$B$6</c:f>
              <c:numCache>
                <c:formatCode>0.0</c:formatCode>
                <c:ptCount val="5"/>
                <c:pt idx="0">
                  <c:v>4.2016806722689211</c:v>
                </c:pt>
                <c:pt idx="1">
                  <c:v>-5.5159296243461853</c:v>
                </c:pt>
                <c:pt idx="2">
                  <c:v>-6.8698060941828345</c:v>
                </c:pt>
                <c:pt idx="3">
                  <c:v>-7.4315265274851612</c:v>
                </c:pt>
                <c:pt idx="4">
                  <c:v>-3.3266129032257936</c:v>
                </c:pt>
              </c:numCache>
            </c:numRef>
          </c:val>
          <c:smooth val="0"/>
          <c:extLst>
            <c:ext xmlns:c16="http://schemas.microsoft.com/office/drawing/2014/chart" uri="{C3380CC4-5D6E-409C-BE32-E72D297353CC}">
              <c16:uniqueId val="{00000009-83B7-4344-8797-F2CBECF6E056}"/>
            </c:ext>
          </c:extLst>
        </c:ser>
        <c:dLbls>
          <c:showLegendKey val="0"/>
          <c:showVal val="0"/>
          <c:showCatName val="0"/>
          <c:showSerName val="0"/>
          <c:showPercent val="0"/>
          <c:showBubbleSize val="0"/>
        </c:dLbls>
        <c:marker val="1"/>
        <c:smooth val="0"/>
        <c:axId val="144835328"/>
        <c:axId val="144836864"/>
      </c:lineChart>
      <c:catAx>
        <c:axId val="144835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sz="600"/>
            </a:pPr>
            <a:endParaRPr lang="en-US"/>
          </a:p>
        </c:txPr>
        <c:crossAx val="144836864"/>
        <c:crosses val="autoZero"/>
        <c:auto val="1"/>
        <c:lblAlgn val="ctr"/>
        <c:lblOffset val="100"/>
        <c:noMultiLvlLbl val="0"/>
      </c:catAx>
      <c:valAx>
        <c:axId val="144836864"/>
        <c:scaling>
          <c:orientation val="minMax"/>
          <c:max val="7"/>
          <c:min val="-12"/>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vert="horz"/>
          <a:lstStyle/>
          <a:p>
            <a:pPr>
              <a:defRPr sz="700"/>
            </a:pPr>
            <a:endParaRPr lang="en-US"/>
          </a:p>
        </c:txPr>
        <c:crossAx val="144835328"/>
        <c:crosses val="autoZero"/>
        <c:crossBetween val="between"/>
        <c:majorUnit val="3"/>
      </c:valAx>
      <c:spPr>
        <a:noFill/>
        <a:ln w="25400">
          <a:noFill/>
        </a:ln>
        <a:effectLst/>
      </c:spPr>
    </c:plotArea>
    <c:legend>
      <c:legendPos val="b"/>
      <c:layout>
        <c:manualLayout>
          <c:xMode val="edge"/>
          <c:yMode val="edge"/>
          <c:x val="0"/>
          <c:y val="0.76134644084071024"/>
          <c:w val="0.97208671538165703"/>
          <c:h val="0.23865355915928974"/>
        </c:manualLayout>
      </c:layout>
      <c:overlay val="0"/>
      <c:spPr>
        <a:noFill/>
        <a:ln>
          <a:noFill/>
        </a:ln>
        <a:effectLst/>
      </c:spPr>
      <c:txPr>
        <a:bodyPr rot="0" vert="horz"/>
        <a:lstStyle/>
        <a:p>
          <a:pPr>
            <a:defRPr sz="600"/>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a:solidFill>
        <a:srgbClr val="E7E6E6"/>
      </a:solidFill>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0.13604805675441231"/>
          <c:w val="0.87658476118247253"/>
          <c:h val="0.52148264912506548"/>
        </c:manualLayout>
      </c:layout>
      <c:barChart>
        <c:barDir val="col"/>
        <c:grouping val="clustered"/>
        <c:varyColors val="0"/>
        <c:ser>
          <c:idx val="1"/>
          <c:order val="1"/>
          <c:tx>
            <c:strRef>
              <c:f>Sheet1!$A$3</c:f>
              <c:strCache>
                <c:ptCount val="1"/>
                <c:pt idx="0">
                  <c:v>արդյունաբերություն</c:v>
                </c:pt>
              </c:strCache>
            </c:strRef>
          </c:tx>
          <c:spPr>
            <a:solidFill>
              <a:srgbClr val="C00000"/>
            </a:solidFill>
            <a:ln>
              <a:solidFill>
                <a:srgbClr val="C00000"/>
              </a:solidFill>
            </a:ln>
            <a:effectLst/>
          </c:spPr>
          <c:invertIfNegative val="0"/>
          <c:cat>
            <c:strRef>
              <c:f>Sheet1!$B$1:$F$1</c:f>
              <c:strCache>
                <c:ptCount val="5"/>
                <c:pt idx="0">
                  <c:v>հունվար</c:v>
                </c:pt>
                <c:pt idx="1">
                  <c:v>հունվար - փետրվար</c:v>
                </c:pt>
                <c:pt idx="2">
                  <c:v>հունվար - մարտ</c:v>
                </c:pt>
                <c:pt idx="3">
                  <c:v>հունվար - ապրիլ</c:v>
                </c:pt>
                <c:pt idx="4">
                  <c:v>հունվար - մայիս</c:v>
                </c:pt>
              </c:strCache>
            </c:strRef>
          </c:cat>
          <c:val>
            <c:numRef>
              <c:f>Sheet1!$B$3:$F$3</c:f>
              <c:numCache>
                <c:formatCode>0.0</c:formatCode>
                <c:ptCount val="5"/>
                <c:pt idx="0">
                  <c:v>-10.799999999999997</c:v>
                </c:pt>
                <c:pt idx="1">
                  <c:v>-7.9000000000000057</c:v>
                </c:pt>
                <c:pt idx="2">
                  <c:v>-3.9000000000000057</c:v>
                </c:pt>
                <c:pt idx="3">
                  <c:v>0.90000000000000568</c:v>
                </c:pt>
                <c:pt idx="4">
                  <c:v>2.2999999999999972</c:v>
                </c:pt>
              </c:numCache>
            </c:numRef>
          </c:val>
          <c:extLst>
            <c:ext xmlns:c16="http://schemas.microsoft.com/office/drawing/2014/chart" uri="{C3380CC4-5D6E-409C-BE32-E72D297353CC}">
              <c16:uniqueId val="{00000000-BEAD-4CE9-BECA-1CE0D9DDF650}"/>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Sheet1!$B$1:$F$1</c:f>
              <c:strCache>
                <c:ptCount val="5"/>
                <c:pt idx="0">
                  <c:v>հունվար</c:v>
                </c:pt>
                <c:pt idx="1">
                  <c:v>հունվար - փետրվար</c:v>
                </c:pt>
                <c:pt idx="2">
                  <c:v>հունվար - մարտ</c:v>
                </c:pt>
                <c:pt idx="3">
                  <c:v>հունվար - ապրիլ</c:v>
                </c:pt>
                <c:pt idx="4">
                  <c:v>հունվար - մայիս</c:v>
                </c:pt>
              </c:strCache>
            </c:strRef>
          </c:cat>
          <c:val>
            <c:numRef>
              <c:f>Sheet1!$B$4:$F$4</c:f>
              <c:numCache>
                <c:formatCode>0.0</c:formatCode>
                <c:ptCount val="5"/>
                <c:pt idx="0">
                  <c:v>0</c:v>
                </c:pt>
                <c:pt idx="1">
                  <c:v>0</c:v>
                </c:pt>
                <c:pt idx="2">
                  <c:v>-1</c:v>
                </c:pt>
                <c:pt idx="3">
                  <c:v>0</c:v>
                </c:pt>
                <c:pt idx="4">
                  <c:v>0</c:v>
                </c:pt>
              </c:numCache>
            </c:numRef>
          </c:val>
          <c:extLst>
            <c:ext xmlns:c16="http://schemas.microsoft.com/office/drawing/2014/chart" uri="{C3380CC4-5D6E-409C-BE32-E72D297353CC}">
              <c16:uniqueId val="{00000001-BEAD-4CE9-BECA-1CE0D9DDF650}"/>
            </c:ext>
          </c:extLst>
        </c:ser>
        <c:ser>
          <c:idx val="3"/>
          <c:order val="3"/>
          <c:tx>
            <c:strRef>
              <c:f>Sheet1!$A$5</c:f>
              <c:strCache>
                <c:ptCount val="1"/>
                <c:pt idx="0">
                  <c:v>շինարարություն</c:v>
                </c:pt>
              </c:strCache>
            </c:strRef>
          </c:tx>
          <c:spPr>
            <a:solidFill>
              <a:srgbClr val="9C5BCD"/>
            </a:solidFill>
            <a:ln>
              <a:solidFill>
                <a:srgbClr val="9C5BCD"/>
              </a:solidFill>
            </a:ln>
            <a:effectLst/>
          </c:spPr>
          <c:invertIfNegative val="0"/>
          <c:cat>
            <c:strRef>
              <c:f>Sheet1!$B$1:$F$1</c:f>
              <c:strCache>
                <c:ptCount val="5"/>
                <c:pt idx="0">
                  <c:v>հունվար</c:v>
                </c:pt>
                <c:pt idx="1">
                  <c:v>հունվար - փետրվար</c:v>
                </c:pt>
                <c:pt idx="2">
                  <c:v>հունվար - մարտ</c:v>
                </c:pt>
                <c:pt idx="3">
                  <c:v>հունվար - ապրիլ</c:v>
                </c:pt>
                <c:pt idx="4">
                  <c:v>հունվար - մայիս</c:v>
                </c:pt>
              </c:strCache>
            </c:strRef>
          </c:cat>
          <c:val>
            <c:numRef>
              <c:f>Sheet1!$B$5:$F$5</c:f>
              <c:numCache>
                <c:formatCode>0.0</c:formatCode>
                <c:ptCount val="5"/>
                <c:pt idx="0">
                  <c:v>0.79999999999999716</c:v>
                </c:pt>
                <c:pt idx="1">
                  <c:v>1</c:v>
                </c:pt>
                <c:pt idx="2">
                  <c:v>4.7000000000000028</c:v>
                </c:pt>
                <c:pt idx="3">
                  <c:v>20.299999999999997</c:v>
                </c:pt>
                <c:pt idx="4">
                  <c:v>14.299999999999997</c:v>
                </c:pt>
              </c:numCache>
            </c:numRef>
          </c:val>
          <c:extLst>
            <c:ext xmlns:c16="http://schemas.microsoft.com/office/drawing/2014/chart" uri="{C3380CC4-5D6E-409C-BE32-E72D297353CC}">
              <c16:uniqueId val="{00000002-BEAD-4CE9-BECA-1CE0D9DDF650}"/>
            </c:ext>
          </c:extLst>
        </c:ser>
        <c:ser>
          <c:idx val="4"/>
          <c:order val="4"/>
          <c:tx>
            <c:strRef>
              <c:f>Sheet1!$A$6</c:f>
              <c:strCache>
                <c:ptCount val="1"/>
                <c:pt idx="0">
                  <c:v>ծառայություններ</c:v>
                </c:pt>
              </c:strCache>
            </c:strRef>
          </c:tx>
          <c:spPr>
            <a:solidFill>
              <a:srgbClr val="00B0F0"/>
            </a:solidFill>
            <a:ln>
              <a:solidFill>
                <a:srgbClr val="00B0F0"/>
              </a:solidFill>
            </a:ln>
          </c:spPr>
          <c:invertIfNegative val="0"/>
          <c:cat>
            <c:strRef>
              <c:f>Sheet1!$B$1:$F$1</c:f>
              <c:strCache>
                <c:ptCount val="5"/>
                <c:pt idx="0">
                  <c:v>հունվար</c:v>
                </c:pt>
                <c:pt idx="1">
                  <c:v>հունվար - փետրվար</c:v>
                </c:pt>
                <c:pt idx="2">
                  <c:v>հունվար - մարտ</c:v>
                </c:pt>
                <c:pt idx="3">
                  <c:v>հունվար - ապրիլ</c:v>
                </c:pt>
                <c:pt idx="4">
                  <c:v>հունվար - մայիս</c:v>
                </c:pt>
              </c:strCache>
            </c:strRef>
          </c:cat>
          <c:val>
            <c:numRef>
              <c:f>Sheet1!$B$6:$F$6</c:f>
              <c:numCache>
                <c:formatCode>0.0</c:formatCode>
                <c:ptCount val="5"/>
                <c:pt idx="0">
                  <c:v>-12.599999999999994</c:v>
                </c:pt>
                <c:pt idx="1">
                  <c:v>-12.5</c:v>
                </c:pt>
                <c:pt idx="2">
                  <c:v>-8.0999999999999943</c:v>
                </c:pt>
                <c:pt idx="3">
                  <c:v>-2.9000000000000057</c:v>
                </c:pt>
                <c:pt idx="4">
                  <c:v>0.90000000000000568</c:v>
                </c:pt>
              </c:numCache>
            </c:numRef>
          </c:val>
          <c:extLst>
            <c:ext xmlns:c16="http://schemas.microsoft.com/office/drawing/2014/chart" uri="{C3380CC4-5D6E-409C-BE32-E72D297353CC}">
              <c16:uniqueId val="{00000003-BEAD-4CE9-BECA-1CE0D9DDF650}"/>
            </c:ext>
          </c:extLst>
        </c:ser>
        <c:ser>
          <c:idx val="5"/>
          <c:order val="5"/>
          <c:tx>
            <c:strRef>
              <c:f>Sheet1!$A$7</c:f>
              <c:strCache>
                <c:ptCount val="1"/>
                <c:pt idx="0">
                  <c:v>առևտուր</c:v>
                </c:pt>
              </c:strCache>
            </c:strRef>
          </c:tx>
          <c:spPr>
            <a:solidFill>
              <a:srgbClr val="ED7D31"/>
            </a:solidFill>
            <a:ln>
              <a:solidFill>
                <a:srgbClr val="ED7D31"/>
              </a:solidFill>
            </a:ln>
          </c:spPr>
          <c:invertIfNegative val="0"/>
          <c:cat>
            <c:strRef>
              <c:f>Sheet1!$B$1:$F$1</c:f>
              <c:strCache>
                <c:ptCount val="5"/>
                <c:pt idx="0">
                  <c:v>հունվար</c:v>
                </c:pt>
                <c:pt idx="1">
                  <c:v>հունվար - փետրվար</c:v>
                </c:pt>
                <c:pt idx="2">
                  <c:v>հունվար - մարտ</c:v>
                </c:pt>
                <c:pt idx="3">
                  <c:v>հունվար - ապրիլ</c:v>
                </c:pt>
                <c:pt idx="4">
                  <c:v>հունվար - մայիս</c:v>
                </c:pt>
              </c:strCache>
            </c:strRef>
          </c:cat>
          <c:val>
            <c:numRef>
              <c:f>Sheet1!$B$7:$F$7</c:f>
              <c:numCache>
                <c:formatCode>0.0</c:formatCode>
                <c:ptCount val="5"/>
                <c:pt idx="0">
                  <c:v>-14.200000000000003</c:v>
                </c:pt>
                <c:pt idx="1">
                  <c:v>-10.846408716233185</c:v>
                </c:pt>
                <c:pt idx="2">
                  <c:v>-5.5999999999999943</c:v>
                </c:pt>
                <c:pt idx="3">
                  <c:v>4.7999999999999972</c:v>
                </c:pt>
                <c:pt idx="4">
                  <c:v>7.4000000000000057</c:v>
                </c:pt>
              </c:numCache>
            </c:numRef>
          </c:val>
          <c:extLst>
            <c:ext xmlns:c16="http://schemas.microsoft.com/office/drawing/2014/chart" uri="{C3380CC4-5D6E-409C-BE32-E72D297353CC}">
              <c16:uniqueId val="{00000004-BEAD-4CE9-BECA-1CE0D9DDF650}"/>
            </c:ext>
          </c:extLst>
        </c:ser>
        <c:dLbls>
          <c:showLegendKey val="0"/>
          <c:showVal val="0"/>
          <c:showCatName val="0"/>
          <c:showSerName val="0"/>
          <c:showPercent val="0"/>
          <c:showBubbleSize val="0"/>
        </c:dLbls>
        <c:gapWidth val="150"/>
        <c:axId val="144941440"/>
        <c:axId val="144942976"/>
      </c:barChart>
      <c:lineChart>
        <c:grouping val="standard"/>
        <c:varyColors val="0"/>
        <c:ser>
          <c:idx val="0"/>
          <c:order val="0"/>
          <c:tx>
            <c:strRef>
              <c:f>Sheet1!$A$2</c:f>
              <c:strCache>
                <c:ptCount val="1"/>
                <c:pt idx="0">
                  <c:v>ՏԱՑ</c:v>
                </c:pt>
              </c:strCache>
            </c:strRef>
          </c:tx>
          <c:spPr>
            <a:ln>
              <a:solidFill>
                <a:srgbClr val="4472C4">
                  <a:lumMod val="75000"/>
                </a:srgbClr>
              </a:solidFill>
            </a:ln>
            <a:effectLst/>
          </c:spPr>
          <c:marker>
            <c:spPr>
              <a:solidFill>
                <a:srgbClr val="4472C4">
                  <a:lumMod val="75000"/>
                </a:srgbClr>
              </a:solidFill>
              <a:ln>
                <a:solidFill>
                  <a:srgbClr val="4472C4">
                    <a:lumMod val="75000"/>
                  </a:srgbClr>
                </a:solidFill>
              </a:ln>
            </c:spPr>
          </c:marker>
          <c:dLbls>
            <c:dLbl>
              <c:idx val="0"/>
              <c:layout>
                <c:manualLayout>
                  <c:x val="-7.4340432891392097E-2"/>
                  <c:y val="-3.956766824672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EAD-4CE9-BECA-1CE0D9DDF650}"/>
                </c:ext>
              </c:extLst>
            </c:dLbl>
            <c:dLbl>
              <c:idx val="1"/>
              <c:layout>
                <c:manualLayout>
                  <c:x val="-7.8465072719619125E-2"/>
                  <c:y val="-3.956766824672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EAD-4CE9-BECA-1CE0D9DDF650}"/>
                </c:ext>
              </c:extLst>
            </c:dLbl>
            <c:dLbl>
              <c:idx val="2"/>
              <c:layout>
                <c:manualLayout>
                  <c:x val="-7.428136961537081E-2"/>
                  <c:y val="5.83411350802677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EAD-4CE9-BECA-1CE0D9DDF650}"/>
                </c:ext>
              </c:extLst>
            </c:dLbl>
            <c:dLbl>
              <c:idx val="3"/>
              <c:layout>
                <c:manualLayout>
                  <c:x val="-6.1868292157636798E-2"/>
                  <c:y val="-4.06014407773496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EAD-4CE9-BECA-1CE0D9DDF650}"/>
                </c:ext>
              </c:extLst>
            </c:dLbl>
            <c:dLbl>
              <c:idx val="4"/>
              <c:layout>
                <c:manualLayout>
                  <c:x val="-6.5992931985864117E-2"/>
                  <c:y val="-4.0601440777349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EAD-4CE9-BECA-1CE0D9DDF650}"/>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հունվար</c:v>
                </c:pt>
                <c:pt idx="1">
                  <c:v>հունվար - փետրվար</c:v>
                </c:pt>
                <c:pt idx="2">
                  <c:v>հունվար - մարտ</c:v>
                </c:pt>
                <c:pt idx="3">
                  <c:v>հունվար - ապրիլ</c:v>
                </c:pt>
                <c:pt idx="4">
                  <c:v>հունվար - մայիս</c:v>
                </c:pt>
              </c:strCache>
            </c:strRef>
          </c:cat>
          <c:val>
            <c:numRef>
              <c:f>Sheet1!$B$2:$F$2</c:f>
              <c:numCache>
                <c:formatCode>0.0</c:formatCode>
                <c:ptCount val="5"/>
                <c:pt idx="0">
                  <c:v>-8.421859138140988</c:v>
                </c:pt>
                <c:pt idx="1">
                  <c:v>-7.3041081778423944</c:v>
                </c:pt>
                <c:pt idx="2">
                  <c:v>-3.4808321102379125</c:v>
                </c:pt>
                <c:pt idx="3">
                  <c:v>2.6251520430518553</c:v>
                </c:pt>
                <c:pt idx="4">
                  <c:v>4.2999999999999972</c:v>
                </c:pt>
              </c:numCache>
            </c:numRef>
          </c:val>
          <c:smooth val="0"/>
          <c:extLst>
            <c:ext xmlns:c16="http://schemas.microsoft.com/office/drawing/2014/chart" uri="{C3380CC4-5D6E-409C-BE32-E72D297353CC}">
              <c16:uniqueId val="{0000000A-BEAD-4CE9-BECA-1CE0D9DDF650}"/>
            </c:ext>
          </c:extLst>
        </c:ser>
        <c:dLbls>
          <c:showLegendKey val="0"/>
          <c:showVal val="0"/>
          <c:showCatName val="0"/>
          <c:showSerName val="0"/>
          <c:showPercent val="0"/>
          <c:showBubbleSize val="0"/>
        </c:dLbls>
        <c:marker val="1"/>
        <c:smooth val="0"/>
        <c:axId val="144966784"/>
        <c:axId val="144944512"/>
      </c:lineChart>
      <c:catAx>
        <c:axId val="1449414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942976"/>
        <c:crosses val="autoZero"/>
        <c:auto val="1"/>
        <c:lblAlgn val="ctr"/>
        <c:lblOffset val="100"/>
        <c:noMultiLvlLbl val="0"/>
      </c:catAx>
      <c:valAx>
        <c:axId val="144942976"/>
        <c:scaling>
          <c:orientation val="minMax"/>
          <c:max val="30"/>
          <c:min val="-3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941440"/>
        <c:crosses val="autoZero"/>
        <c:crossBetween val="between"/>
      </c:valAx>
      <c:valAx>
        <c:axId val="144944512"/>
        <c:scaling>
          <c:orientation val="minMax"/>
        </c:scaling>
        <c:delete val="0"/>
        <c:axPos val="r"/>
        <c:numFmt formatCode="0.0" sourceLinked="1"/>
        <c:majorTickMark val="out"/>
        <c:minorTickMark val="none"/>
        <c:tickLblPos val="nextTo"/>
        <c:crossAx val="144966784"/>
        <c:crosses val="max"/>
        <c:crossBetween val="between"/>
      </c:valAx>
      <c:catAx>
        <c:axId val="144966784"/>
        <c:scaling>
          <c:orientation val="minMax"/>
        </c:scaling>
        <c:delete val="1"/>
        <c:axPos val="b"/>
        <c:numFmt formatCode="General" sourceLinked="1"/>
        <c:majorTickMark val="out"/>
        <c:minorTickMark val="none"/>
        <c:tickLblPos val="none"/>
        <c:crossAx val="144944512"/>
        <c:crosses val="autoZero"/>
        <c:auto val="1"/>
        <c:lblAlgn val="ctr"/>
        <c:lblOffset val="100"/>
        <c:noMultiLvlLbl val="0"/>
      </c:catAx>
      <c:spPr>
        <a:noFill/>
        <a:ln>
          <a:noFill/>
        </a:ln>
        <a:effectLst/>
      </c:spPr>
    </c:plotArea>
    <c:legend>
      <c:legendPos val="b"/>
      <c:layout>
        <c:manualLayout>
          <c:xMode val="edge"/>
          <c:yMode val="edge"/>
          <c:x val="3.9212662156607202E-2"/>
          <c:y val="0.82064339658692165"/>
          <c:w val="0.89647382445930079"/>
          <c:h val="0.165724803001654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46374940837313E-2"/>
          <c:w val="0.87658476118247253"/>
          <c:h val="0.62133489719661383"/>
        </c:manualLayout>
      </c:layout>
      <c:barChart>
        <c:barDir val="col"/>
        <c:grouping val="clustered"/>
        <c:varyColors val="0"/>
        <c:ser>
          <c:idx val="1"/>
          <c:order val="1"/>
          <c:tx>
            <c:strRef>
              <c:f>Sheet1!$A$3</c:f>
              <c:strCache>
                <c:ptCount val="1"/>
                <c:pt idx="0">
                  <c:v>արդյունաբերություն</c:v>
                </c:pt>
              </c:strCache>
            </c:strRef>
          </c:tx>
          <c:spPr>
            <a:solidFill>
              <a:srgbClr val="C00000"/>
            </a:solidFill>
            <a:ln>
              <a:solidFill>
                <a:srgbClr val="C00000"/>
              </a:solidFill>
            </a:ln>
            <a:effectLst/>
          </c:spPr>
          <c:invertIfNegative val="0"/>
          <c:cat>
            <c:strRef>
              <c:f>Sheet1!$B$1:$F$1</c:f>
              <c:strCache>
                <c:ptCount val="5"/>
                <c:pt idx="0">
                  <c:v>հունվար</c:v>
                </c:pt>
                <c:pt idx="1">
                  <c:v>փետրվար</c:v>
                </c:pt>
                <c:pt idx="2">
                  <c:v>մարտ</c:v>
                </c:pt>
                <c:pt idx="3">
                  <c:v>ապրիլ</c:v>
                </c:pt>
                <c:pt idx="4">
                  <c:v>մայիս</c:v>
                </c:pt>
              </c:strCache>
            </c:strRef>
          </c:cat>
          <c:val>
            <c:numRef>
              <c:f>Sheet1!$B$3:$F$3</c:f>
              <c:numCache>
                <c:formatCode>0.0</c:formatCode>
                <c:ptCount val="5"/>
                <c:pt idx="0">
                  <c:v>-10.799999999999997</c:v>
                </c:pt>
                <c:pt idx="1">
                  <c:v>-5.0999999999999943</c:v>
                </c:pt>
                <c:pt idx="2">
                  <c:v>3.7999999999999972</c:v>
                </c:pt>
                <c:pt idx="3">
                  <c:v>16.900000000000006</c:v>
                </c:pt>
                <c:pt idx="4">
                  <c:v>7.9000000000000057</c:v>
                </c:pt>
              </c:numCache>
            </c:numRef>
          </c:val>
          <c:extLst>
            <c:ext xmlns:c16="http://schemas.microsoft.com/office/drawing/2014/chart" uri="{C3380CC4-5D6E-409C-BE32-E72D297353CC}">
              <c16:uniqueId val="{00000000-5320-4493-B4D2-ADA21916B3D7}"/>
            </c:ext>
          </c:extLst>
        </c:ser>
        <c:ser>
          <c:idx val="2"/>
          <c:order val="2"/>
          <c:tx>
            <c:strRef>
              <c:f>Sheet1!$A$4</c:f>
              <c:strCache>
                <c:ptCount val="1"/>
                <c:pt idx="0">
                  <c:v>շինարարություն</c:v>
                </c:pt>
              </c:strCache>
            </c:strRef>
          </c:tx>
          <c:spPr>
            <a:solidFill>
              <a:srgbClr val="9C5BCD"/>
            </a:solidFill>
            <a:ln>
              <a:solidFill>
                <a:srgbClr val="9C5BCD"/>
              </a:solidFill>
            </a:ln>
            <a:effectLst/>
          </c:spPr>
          <c:invertIfNegative val="0"/>
          <c:cat>
            <c:strRef>
              <c:f>Sheet1!$B$1:$F$1</c:f>
              <c:strCache>
                <c:ptCount val="5"/>
                <c:pt idx="0">
                  <c:v>հունվար</c:v>
                </c:pt>
                <c:pt idx="1">
                  <c:v>փետրվար</c:v>
                </c:pt>
                <c:pt idx="2">
                  <c:v>մարտ</c:v>
                </c:pt>
                <c:pt idx="3">
                  <c:v>ապրիլ</c:v>
                </c:pt>
                <c:pt idx="4">
                  <c:v>մայիս</c:v>
                </c:pt>
              </c:strCache>
            </c:strRef>
          </c:cat>
          <c:val>
            <c:numRef>
              <c:f>Sheet1!$B$4:$F$4</c:f>
              <c:numCache>
                <c:formatCode>0.0</c:formatCode>
                <c:ptCount val="5"/>
                <c:pt idx="0">
                  <c:v>0.79999999999999716</c:v>
                </c:pt>
                <c:pt idx="1">
                  <c:v>1.0999999999999943</c:v>
                </c:pt>
                <c:pt idx="2">
                  <c:v>10.799999999999997</c:v>
                </c:pt>
                <c:pt idx="3">
                  <c:v>87.699999999999989</c:v>
                </c:pt>
                <c:pt idx="4">
                  <c:v>0.5</c:v>
                </c:pt>
              </c:numCache>
            </c:numRef>
          </c:val>
          <c:extLst>
            <c:ext xmlns:c16="http://schemas.microsoft.com/office/drawing/2014/chart" uri="{C3380CC4-5D6E-409C-BE32-E72D297353CC}">
              <c16:uniqueId val="{00000001-5320-4493-B4D2-ADA21916B3D7}"/>
            </c:ext>
          </c:extLst>
        </c:ser>
        <c:ser>
          <c:idx val="3"/>
          <c:order val="3"/>
          <c:tx>
            <c:strRef>
              <c:f>Sheet1!$A$5</c:f>
              <c:strCache>
                <c:ptCount val="1"/>
                <c:pt idx="0">
                  <c:v>ծառայություններ</c:v>
                </c:pt>
              </c:strCache>
            </c:strRef>
          </c:tx>
          <c:spPr>
            <a:solidFill>
              <a:srgbClr val="00B0F0"/>
            </a:solidFill>
            <a:ln>
              <a:solidFill>
                <a:srgbClr val="00B0F0"/>
              </a:solidFill>
            </a:ln>
            <a:effectLst/>
          </c:spPr>
          <c:invertIfNegative val="0"/>
          <c:cat>
            <c:strRef>
              <c:f>Sheet1!$B$1:$F$1</c:f>
              <c:strCache>
                <c:ptCount val="5"/>
                <c:pt idx="0">
                  <c:v>հունվար</c:v>
                </c:pt>
                <c:pt idx="1">
                  <c:v>փետրվար</c:v>
                </c:pt>
                <c:pt idx="2">
                  <c:v>մարտ</c:v>
                </c:pt>
                <c:pt idx="3">
                  <c:v>ապրիլ</c:v>
                </c:pt>
                <c:pt idx="4">
                  <c:v>մայիս</c:v>
                </c:pt>
              </c:strCache>
            </c:strRef>
          </c:cat>
          <c:val>
            <c:numRef>
              <c:f>Sheet1!$B$5:$F$5</c:f>
              <c:numCache>
                <c:formatCode>0.0</c:formatCode>
                <c:ptCount val="5"/>
                <c:pt idx="0">
                  <c:v>-12.599999999999994</c:v>
                </c:pt>
                <c:pt idx="1">
                  <c:v>-12.400000000000006</c:v>
                </c:pt>
                <c:pt idx="2">
                  <c:v>0.90000000000000568</c:v>
                </c:pt>
                <c:pt idx="3">
                  <c:v>15.400000000000006</c:v>
                </c:pt>
                <c:pt idx="4">
                  <c:v>17.299999999999997</c:v>
                </c:pt>
              </c:numCache>
            </c:numRef>
          </c:val>
          <c:extLst>
            <c:ext xmlns:c16="http://schemas.microsoft.com/office/drawing/2014/chart" uri="{C3380CC4-5D6E-409C-BE32-E72D297353CC}">
              <c16:uniqueId val="{00000002-5320-4493-B4D2-ADA21916B3D7}"/>
            </c:ext>
          </c:extLst>
        </c:ser>
        <c:ser>
          <c:idx val="4"/>
          <c:order val="4"/>
          <c:tx>
            <c:strRef>
              <c:f>Sheet1!$A$6</c:f>
              <c:strCache>
                <c:ptCount val="1"/>
                <c:pt idx="0">
                  <c:v>առևտուր</c:v>
                </c:pt>
              </c:strCache>
            </c:strRef>
          </c:tx>
          <c:spPr>
            <a:solidFill>
              <a:srgbClr val="ED7D31"/>
            </a:solidFill>
            <a:ln>
              <a:solidFill>
                <a:srgbClr val="ED7D31"/>
              </a:solidFill>
            </a:ln>
          </c:spPr>
          <c:invertIfNegative val="0"/>
          <c:cat>
            <c:strRef>
              <c:f>Sheet1!$B$1:$F$1</c:f>
              <c:strCache>
                <c:ptCount val="5"/>
                <c:pt idx="0">
                  <c:v>հունվար</c:v>
                </c:pt>
                <c:pt idx="1">
                  <c:v>փետրվար</c:v>
                </c:pt>
                <c:pt idx="2">
                  <c:v>մարտ</c:v>
                </c:pt>
                <c:pt idx="3">
                  <c:v>ապրիլ</c:v>
                </c:pt>
                <c:pt idx="4">
                  <c:v>մայիս</c:v>
                </c:pt>
              </c:strCache>
            </c:strRef>
          </c:cat>
          <c:val>
            <c:numRef>
              <c:f>Sheet1!$B$6:$F$6</c:f>
              <c:numCache>
                <c:formatCode>0.0</c:formatCode>
                <c:ptCount val="5"/>
                <c:pt idx="0">
                  <c:v>-14.200000000000003</c:v>
                </c:pt>
                <c:pt idx="1">
                  <c:v>-7.7999999999999972</c:v>
                </c:pt>
                <c:pt idx="2">
                  <c:v>4.5999999999999943</c:v>
                </c:pt>
                <c:pt idx="3">
                  <c:v>47.800000000000011</c:v>
                </c:pt>
                <c:pt idx="4">
                  <c:v>17.599999999999994</c:v>
                </c:pt>
              </c:numCache>
            </c:numRef>
          </c:val>
          <c:extLst>
            <c:ext xmlns:c16="http://schemas.microsoft.com/office/drawing/2014/chart" uri="{C3380CC4-5D6E-409C-BE32-E72D297353CC}">
              <c16:uniqueId val="{00000003-5320-4493-B4D2-ADA21916B3D7}"/>
            </c:ext>
          </c:extLst>
        </c:ser>
        <c:dLbls>
          <c:showLegendKey val="0"/>
          <c:showVal val="0"/>
          <c:showCatName val="0"/>
          <c:showSerName val="0"/>
          <c:showPercent val="0"/>
          <c:showBubbleSize val="0"/>
        </c:dLbls>
        <c:gapWidth val="219"/>
        <c:overlap val="-27"/>
        <c:axId val="145045376"/>
        <c:axId val="145046912"/>
      </c:barChart>
      <c:lineChart>
        <c:grouping val="standard"/>
        <c:varyColors val="0"/>
        <c:ser>
          <c:idx val="0"/>
          <c:order val="0"/>
          <c:tx>
            <c:strRef>
              <c:f>Sheet1!$A$2</c:f>
              <c:strCache>
                <c:ptCount val="1"/>
                <c:pt idx="0">
                  <c:v>ՏԱՑ</c:v>
                </c:pt>
              </c:strCache>
            </c:strRef>
          </c:tx>
          <c:spPr>
            <a:ln>
              <a:solidFill>
                <a:srgbClr val="4472C4">
                  <a:lumMod val="75000"/>
                </a:srgbClr>
              </a:solidFill>
            </a:ln>
            <a:effectLst/>
          </c:spPr>
          <c:marker>
            <c:spPr>
              <a:solidFill>
                <a:srgbClr val="4472C4">
                  <a:lumMod val="75000"/>
                </a:srgbClr>
              </a:solidFill>
              <a:ln>
                <a:solidFill>
                  <a:srgbClr val="4472C4">
                    <a:lumMod val="75000"/>
                  </a:srgbClr>
                </a:solidFill>
              </a:ln>
            </c:spPr>
          </c:marker>
          <c:dLbls>
            <c:dLbl>
              <c:idx val="0"/>
              <c:layout>
                <c:manualLayout>
                  <c:x val="-7.0390729460704182E-2"/>
                  <c:y val="-5.20832688475174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320-4493-B4D2-ADA21916B3D7}"/>
                </c:ext>
              </c:extLst>
            </c:dLbl>
            <c:dLbl>
              <c:idx val="1"/>
              <c:layout>
                <c:manualLayout>
                  <c:x val="-6.6129516829264337E-2"/>
                  <c:y val="-4.60354914057273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320-4493-B4D2-ADA21916B3D7}"/>
                </c:ext>
              </c:extLst>
            </c:dLbl>
            <c:dLbl>
              <c:idx val="2"/>
              <c:layout>
                <c:manualLayout>
                  <c:x val="-7.0185707918585652E-2"/>
                  <c:y val="-4.468117022112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320-4493-B4D2-ADA21916B3D7}"/>
                </c:ext>
              </c:extLst>
            </c:dLbl>
            <c:dLbl>
              <c:idx val="3"/>
              <c:layout>
                <c:manualLayout>
                  <c:x val="-9.9604153254428104E-2"/>
                  <c:y val="-3.11927217141401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320-4493-B4D2-ADA21916B3D7}"/>
                </c:ext>
              </c:extLst>
            </c:dLbl>
            <c:dLbl>
              <c:idx val="4"/>
              <c:layout>
                <c:manualLayout>
                  <c:x val="-6.5992988244999023E-2"/>
                  <c:y val="5.95238095238095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320-4493-B4D2-ADA21916B3D7}"/>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հունվար</c:v>
                </c:pt>
                <c:pt idx="1">
                  <c:v>փետրվար</c:v>
                </c:pt>
                <c:pt idx="2">
                  <c:v>մարտ</c:v>
                </c:pt>
                <c:pt idx="3">
                  <c:v>ապրիլ</c:v>
                </c:pt>
                <c:pt idx="4">
                  <c:v>մայիս</c:v>
                </c:pt>
              </c:strCache>
            </c:strRef>
          </c:cat>
          <c:val>
            <c:numRef>
              <c:f>Sheet1!$B$2:$F$2</c:f>
              <c:numCache>
                <c:formatCode>0.0</c:formatCode>
                <c:ptCount val="5"/>
                <c:pt idx="0">
                  <c:v>-8.421859138140988</c:v>
                </c:pt>
                <c:pt idx="1">
                  <c:v>-6.2843529067803416</c:v>
                </c:pt>
                <c:pt idx="2">
                  <c:v>3.9110986294381718</c:v>
                </c:pt>
                <c:pt idx="3">
                  <c:v>23.20037363697358</c:v>
                </c:pt>
                <c:pt idx="4">
                  <c:v>10.900000000000006</c:v>
                </c:pt>
              </c:numCache>
            </c:numRef>
          </c:val>
          <c:smooth val="0"/>
          <c:extLst>
            <c:ext xmlns:c16="http://schemas.microsoft.com/office/drawing/2014/chart" uri="{C3380CC4-5D6E-409C-BE32-E72D297353CC}">
              <c16:uniqueId val="{00000009-5320-4493-B4D2-ADA21916B3D7}"/>
            </c:ext>
          </c:extLst>
        </c:ser>
        <c:dLbls>
          <c:showLegendKey val="0"/>
          <c:showVal val="0"/>
          <c:showCatName val="0"/>
          <c:showSerName val="0"/>
          <c:showPercent val="0"/>
          <c:showBubbleSize val="0"/>
        </c:dLbls>
        <c:marker val="1"/>
        <c:smooth val="0"/>
        <c:axId val="145078912"/>
        <c:axId val="145077376"/>
      </c:lineChart>
      <c:catAx>
        <c:axId val="1450453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5046912"/>
        <c:crosses val="autoZero"/>
        <c:auto val="1"/>
        <c:lblAlgn val="ctr"/>
        <c:lblOffset val="100"/>
        <c:noMultiLvlLbl val="0"/>
      </c:catAx>
      <c:valAx>
        <c:axId val="145046912"/>
        <c:scaling>
          <c:orientation val="minMax"/>
          <c:max val="95"/>
          <c:min val="-15"/>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5045376"/>
        <c:crosses val="autoZero"/>
        <c:crossBetween val="between"/>
      </c:valAx>
      <c:valAx>
        <c:axId val="145077376"/>
        <c:scaling>
          <c:orientation val="minMax"/>
        </c:scaling>
        <c:delete val="0"/>
        <c:axPos val="r"/>
        <c:numFmt formatCode="0.0" sourceLinked="1"/>
        <c:majorTickMark val="out"/>
        <c:minorTickMark val="none"/>
        <c:tickLblPos val="nextTo"/>
        <c:crossAx val="145078912"/>
        <c:crosses val="max"/>
        <c:crossBetween val="between"/>
      </c:valAx>
      <c:catAx>
        <c:axId val="145078912"/>
        <c:scaling>
          <c:orientation val="minMax"/>
        </c:scaling>
        <c:delete val="1"/>
        <c:axPos val="b"/>
        <c:numFmt formatCode="General" sourceLinked="1"/>
        <c:majorTickMark val="out"/>
        <c:minorTickMark val="none"/>
        <c:tickLblPos val="none"/>
        <c:crossAx val="145077376"/>
        <c:crosses val="autoZero"/>
        <c:auto val="1"/>
        <c:lblAlgn val="ctr"/>
        <c:lblOffset val="100"/>
        <c:noMultiLvlLbl val="0"/>
      </c:catAx>
      <c:spPr>
        <a:noFill/>
        <a:ln>
          <a:noFill/>
        </a:ln>
        <a:effectLst/>
      </c:spPr>
    </c:plotArea>
    <c:legend>
      <c:legendPos val="b"/>
      <c:layout>
        <c:manualLayout>
          <c:xMode val="edge"/>
          <c:yMode val="edge"/>
          <c:x val="3.9212598425196851E-2"/>
          <c:y val="0.79446551510904051"/>
          <c:w val="0.92687606666201161"/>
          <c:h val="0.20553448489095977"/>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5264186996053377"/>
        </c:manualLayout>
      </c:layout>
      <c:barChart>
        <c:barDir val="col"/>
        <c:grouping val="stacked"/>
        <c:varyColors val="0"/>
        <c:ser>
          <c:idx val="1"/>
          <c:order val="1"/>
          <c:tx>
            <c:strRef>
              <c:f>Sheet1!$A$3</c:f>
              <c:strCache>
                <c:ptCount val="1"/>
                <c:pt idx="0">
                  <c:v>արդյունաբերություն</c:v>
                </c:pt>
              </c:strCache>
            </c:strRef>
          </c:tx>
          <c:spPr>
            <a:solidFill>
              <a:srgbClr val="C00000"/>
            </a:solidFill>
            <a:ln>
              <a:solidFill>
                <a:srgbClr val="C00000"/>
              </a:solidFill>
            </a:ln>
            <a:effectLst/>
          </c:spPr>
          <c:invertIfNegative val="0"/>
          <c:cat>
            <c:strRef>
              <c:f>Sheet1!$B$1:$F$1</c:f>
              <c:strCache>
                <c:ptCount val="5"/>
                <c:pt idx="0">
                  <c:v>հունվար</c:v>
                </c:pt>
                <c:pt idx="1">
                  <c:v>հունվար - փետրվար</c:v>
                </c:pt>
                <c:pt idx="2">
                  <c:v>հունվար - մարտ</c:v>
                </c:pt>
                <c:pt idx="3">
                  <c:v>հունվար - ապրիլ</c:v>
                </c:pt>
                <c:pt idx="4">
                  <c:v>հունվար -մայիս</c:v>
                </c:pt>
              </c:strCache>
            </c:strRef>
          </c:cat>
          <c:val>
            <c:numRef>
              <c:f>Sheet1!$B$3:$F$3</c:f>
              <c:numCache>
                <c:formatCode>0.0</c:formatCode>
                <c:ptCount val="5"/>
                <c:pt idx="0">
                  <c:v>-2.3716259878127546</c:v>
                </c:pt>
                <c:pt idx="1">
                  <c:v>-1.7348004910852575</c:v>
                </c:pt>
                <c:pt idx="2">
                  <c:v>-0.85642049559905187</c:v>
                </c:pt>
                <c:pt idx="3">
                  <c:v>0.19763549898439753</c:v>
                </c:pt>
                <c:pt idx="4">
                  <c:v>0.50506849740456761</c:v>
                </c:pt>
              </c:numCache>
            </c:numRef>
          </c:val>
          <c:extLst>
            <c:ext xmlns:c16="http://schemas.microsoft.com/office/drawing/2014/chart" uri="{C3380CC4-5D6E-409C-BE32-E72D297353CC}">
              <c16:uniqueId val="{00000000-6B7E-4998-8F7A-5CBDA782FE75}"/>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Sheet1!$B$1:$F$1</c:f>
              <c:strCache>
                <c:ptCount val="5"/>
                <c:pt idx="0">
                  <c:v>հունվար</c:v>
                </c:pt>
                <c:pt idx="1">
                  <c:v>հունվար - փետրվար</c:v>
                </c:pt>
                <c:pt idx="2">
                  <c:v>հունվար - մարտ</c:v>
                </c:pt>
                <c:pt idx="3">
                  <c:v>հունվար - ապրիլ</c:v>
                </c:pt>
                <c:pt idx="4">
                  <c:v>հունվար -մայիս</c:v>
                </c:pt>
              </c:strCache>
            </c:strRef>
          </c:cat>
          <c:val>
            <c:numRef>
              <c:f>Sheet1!$B$4:$F$4</c:f>
              <c:numCache>
                <c:formatCode>0.0</c:formatCode>
                <c:ptCount val="5"/>
                <c:pt idx="0">
                  <c:v>0</c:v>
                </c:pt>
                <c:pt idx="1">
                  <c:v>0</c:v>
                </c:pt>
                <c:pt idx="2">
                  <c:v>-0.12265209040788619</c:v>
                </c:pt>
                <c:pt idx="3">
                  <c:v>0</c:v>
                </c:pt>
                <c:pt idx="4">
                  <c:v>0</c:v>
                </c:pt>
              </c:numCache>
            </c:numRef>
          </c:val>
          <c:extLst>
            <c:ext xmlns:c16="http://schemas.microsoft.com/office/drawing/2014/chart" uri="{C3380CC4-5D6E-409C-BE32-E72D297353CC}">
              <c16:uniqueId val="{00000001-6B7E-4998-8F7A-5CBDA782FE75}"/>
            </c:ext>
          </c:extLst>
        </c:ser>
        <c:ser>
          <c:idx val="3"/>
          <c:order val="3"/>
          <c:tx>
            <c:strRef>
              <c:f>Sheet1!$A$5</c:f>
              <c:strCache>
                <c:ptCount val="1"/>
                <c:pt idx="0">
                  <c:v>շինարարություն</c:v>
                </c:pt>
              </c:strCache>
            </c:strRef>
          </c:tx>
          <c:spPr>
            <a:solidFill>
              <a:srgbClr val="9C5BCD"/>
            </a:solidFill>
            <a:ln>
              <a:solidFill>
                <a:srgbClr val="9C5BCD"/>
              </a:solidFill>
            </a:ln>
            <a:effectLst/>
          </c:spPr>
          <c:invertIfNegative val="0"/>
          <c:cat>
            <c:strRef>
              <c:f>Sheet1!$B$1:$F$1</c:f>
              <c:strCache>
                <c:ptCount val="5"/>
                <c:pt idx="0">
                  <c:v>հունվար</c:v>
                </c:pt>
                <c:pt idx="1">
                  <c:v>հունվար - փետրվար</c:v>
                </c:pt>
                <c:pt idx="2">
                  <c:v>հունվար - մարտ</c:v>
                </c:pt>
                <c:pt idx="3">
                  <c:v>հունվար - ապրիլ</c:v>
                </c:pt>
                <c:pt idx="4">
                  <c:v>հունվար -մայիս</c:v>
                </c:pt>
              </c:strCache>
            </c:strRef>
          </c:cat>
          <c:val>
            <c:numRef>
              <c:f>Sheet1!$B$5:$F$5</c:f>
              <c:numCache>
                <c:formatCode>0.0</c:formatCode>
                <c:ptCount val="5"/>
                <c:pt idx="0">
                  <c:v>6.1067394701060013E-2</c:v>
                </c:pt>
                <c:pt idx="1">
                  <c:v>7.6334243376325286E-2</c:v>
                </c:pt>
                <c:pt idx="2">
                  <c:v>0.35877094386872904</c:v>
                </c:pt>
                <c:pt idx="3">
                  <c:v>1.549585140539403</c:v>
                </c:pt>
                <c:pt idx="4">
                  <c:v>1.0915796802814515</c:v>
                </c:pt>
              </c:numCache>
            </c:numRef>
          </c:val>
          <c:extLst>
            <c:ext xmlns:c16="http://schemas.microsoft.com/office/drawing/2014/chart" uri="{C3380CC4-5D6E-409C-BE32-E72D297353CC}">
              <c16:uniqueId val="{00000002-6B7E-4998-8F7A-5CBDA782FE75}"/>
            </c:ext>
          </c:extLst>
        </c:ser>
        <c:ser>
          <c:idx val="4"/>
          <c:order val="4"/>
          <c:tx>
            <c:strRef>
              <c:f>Sheet1!$A$6</c:f>
              <c:strCache>
                <c:ptCount val="1"/>
                <c:pt idx="0">
                  <c:v>ծառայություններ</c:v>
                </c:pt>
              </c:strCache>
            </c:strRef>
          </c:tx>
          <c:spPr>
            <a:solidFill>
              <a:srgbClr val="00B0F0"/>
            </a:solidFill>
            <a:ln>
              <a:solidFill>
                <a:srgbClr val="00B0F0"/>
              </a:solidFill>
            </a:ln>
          </c:spPr>
          <c:invertIfNegative val="0"/>
          <c:cat>
            <c:strRef>
              <c:f>Sheet1!$B$1:$F$1</c:f>
              <c:strCache>
                <c:ptCount val="5"/>
                <c:pt idx="0">
                  <c:v>հունվար</c:v>
                </c:pt>
                <c:pt idx="1">
                  <c:v>հունվար - փետրվար</c:v>
                </c:pt>
                <c:pt idx="2">
                  <c:v>հունվար - մարտ</c:v>
                </c:pt>
                <c:pt idx="3">
                  <c:v>հունվար - ապրիլ</c:v>
                </c:pt>
                <c:pt idx="4">
                  <c:v>հունվար -մայիս</c:v>
                </c:pt>
              </c:strCache>
            </c:strRef>
          </c:cat>
          <c:val>
            <c:numRef>
              <c:f>Sheet1!$B$6:$F$6</c:f>
              <c:numCache>
                <c:formatCode>0.0</c:formatCode>
                <c:ptCount val="5"/>
                <c:pt idx="0">
                  <c:v>-5.8410677114275158</c:v>
                </c:pt>
                <c:pt idx="1">
                  <c:v>-5.7947100311780932</c:v>
                </c:pt>
                <c:pt idx="2">
                  <c:v>-3.754972100203402</c:v>
                </c:pt>
                <c:pt idx="3">
                  <c:v>-1.3443727272333204</c:v>
                </c:pt>
                <c:pt idx="4">
                  <c:v>0.41721912224482538</c:v>
                </c:pt>
              </c:numCache>
            </c:numRef>
          </c:val>
          <c:extLst>
            <c:ext xmlns:c16="http://schemas.microsoft.com/office/drawing/2014/chart" uri="{C3380CC4-5D6E-409C-BE32-E72D297353CC}">
              <c16:uniqueId val="{00000003-6B7E-4998-8F7A-5CBDA782FE75}"/>
            </c:ext>
          </c:extLst>
        </c:ser>
        <c:ser>
          <c:idx val="5"/>
          <c:order val="5"/>
          <c:tx>
            <c:strRef>
              <c:f>Sheet1!$A$7</c:f>
              <c:strCache>
                <c:ptCount val="1"/>
                <c:pt idx="0">
                  <c:v>առևտուր</c:v>
                </c:pt>
              </c:strCache>
            </c:strRef>
          </c:tx>
          <c:spPr>
            <a:solidFill>
              <a:srgbClr val="ED7D31"/>
            </a:solidFill>
            <a:ln>
              <a:solidFill>
                <a:srgbClr val="ED7D31"/>
              </a:solidFill>
            </a:ln>
          </c:spPr>
          <c:invertIfNegative val="0"/>
          <c:cat>
            <c:strRef>
              <c:f>Sheet1!$B$1:$F$1</c:f>
              <c:strCache>
                <c:ptCount val="5"/>
                <c:pt idx="0">
                  <c:v>հունվար</c:v>
                </c:pt>
                <c:pt idx="1">
                  <c:v>հունվար - փետրվար</c:v>
                </c:pt>
                <c:pt idx="2">
                  <c:v>հունվար - մարտ</c:v>
                </c:pt>
                <c:pt idx="3">
                  <c:v>հունվար - ապրիլ</c:v>
                </c:pt>
                <c:pt idx="4">
                  <c:v>հունվար -մայիս</c:v>
                </c:pt>
              </c:strCache>
            </c:strRef>
          </c:cat>
          <c:val>
            <c:numRef>
              <c:f>Sheet1!$B$7:$F$7</c:f>
              <c:numCache>
                <c:formatCode>0.0</c:formatCode>
                <c:ptCount val="5"/>
                <c:pt idx="0">
                  <c:v>-1.6733544808698553</c:v>
                </c:pt>
                <c:pt idx="1">
                  <c:v>-1.2781610300461024</c:v>
                </c:pt>
                <c:pt idx="2">
                  <c:v>-0.65991444315994219</c:v>
                </c:pt>
                <c:pt idx="3">
                  <c:v>0.56564095127995062</c:v>
                </c:pt>
                <c:pt idx="4">
                  <c:v>0.87202979988992513</c:v>
                </c:pt>
              </c:numCache>
            </c:numRef>
          </c:val>
          <c:extLst>
            <c:ext xmlns:c16="http://schemas.microsoft.com/office/drawing/2014/chart" uri="{C3380CC4-5D6E-409C-BE32-E72D297353CC}">
              <c16:uniqueId val="{00000004-6B7E-4998-8F7A-5CBDA782FE75}"/>
            </c:ext>
          </c:extLst>
        </c:ser>
        <c:ser>
          <c:idx val="6"/>
          <c:order val="6"/>
          <c:tx>
            <c:strRef>
              <c:f>Sheet1!$A$8</c:f>
              <c:strCache>
                <c:ptCount val="1"/>
                <c:pt idx="0">
                  <c:v>այլ </c:v>
                </c:pt>
              </c:strCache>
            </c:strRef>
          </c:tx>
          <c:spPr>
            <a:solidFill>
              <a:srgbClr val="5B9BD5">
                <a:lumMod val="40000"/>
                <a:lumOff val="60000"/>
              </a:srgbClr>
            </a:solidFill>
          </c:spPr>
          <c:invertIfNegative val="0"/>
          <c:cat>
            <c:strRef>
              <c:f>Sheet1!$B$1:$F$1</c:f>
              <c:strCache>
                <c:ptCount val="5"/>
                <c:pt idx="0">
                  <c:v>հունվար</c:v>
                </c:pt>
                <c:pt idx="1">
                  <c:v>հունվար - փետրվար</c:v>
                </c:pt>
                <c:pt idx="2">
                  <c:v>հունվար - մարտ</c:v>
                </c:pt>
                <c:pt idx="3">
                  <c:v>հունվար - ապրիլ</c:v>
                </c:pt>
                <c:pt idx="4">
                  <c:v>հունվար -մայիս</c:v>
                </c:pt>
              </c:strCache>
            </c:strRef>
          </c:cat>
          <c:val>
            <c:numRef>
              <c:f>Sheet1!$B$8:$F$8</c:f>
              <c:numCache>
                <c:formatCode>0.0</c:formatCode>
                <c:ptCount val="5"/>
                <c:pt idx="0">
                  <c:v>1.4031216472680779</c:v>
                </c:pt>
                <c:pt idx="1">
                  <c:v>1.4272291310907335</c:v>
                </c:pt>
                <c:pt idx="2">
                  <c:v>1.5543560752636409</c:v>
                </c:pt>
                <c:pt idx="3">
                  <c:v>1.6566631794814244</c:v>
                </c:pt>
                <c:pt idx="4">
                  <c:v>1.4141029001792278</c:v>
                </c:pt>
              </c:numCache>
            </c:numRef>
          </c:val>
          <c:extLst>
            <c:ext xmlns:c16="http://schemas.microsoft.com/office/drawing/2014/chart" uri="{C3380CC4-5D6E-409C-BE32-E72D297353CC}">
              <c16:uniqueId val="{00000005-6B7E-4998-8F7A-5CBDA782FE75}"/>
            </c:ext>
          </c:extLst>
        </c:ser>
        <c:dLbls>
          <c:showLegendKey val="0"/>
          <c:showVal val="0"/>
          <c:showCatName val="0"/>
          <c:showSerName val="0"/>
          <c:showPercent val="0"/>
          <c:showBubbleSize val="0"/>
        </c:dLbls>
        <c:gapWidth val="150"/>
        <c:overlap val="100"/>
        <c:axId val="145165312"/>
        <c:axId val="145203968"/>
      </c:barChart>
      <c:lineChart>
        <c:grouping val="standard"/>
        <c:varyColors val="0"/>
        <c:ser>
          <c:idx val="0"/>
          <c:order val="0"/>
          <c:tx>
            <c:strRef>
              <c:f>Sheet1!$A$2</c:f>
              <c:strCache>
                <c:ptCount val="1"/>
                <c:pt idx="0">
                  <c:v>ՏԱՑ</c:v>
                </c:pt>
              </c:strCache>
            </c:strRef>
          </c:tx>
          <c:spPr>
            <a:ln>
              <a:solidFill>
                <a:srgbClr val="4472C4">
                  <a:lumMod val="75000"/>
                </a:srgbClr>
              </a:solidFill>
            </a:ln>
            <a:effectLst/>
          </c:spPr>
          <c:marker>
            <c:spPr>
              <a:ln>
                <a:solidFill>
                  <a:srgbClr val="4472C4">
                    <a:lumMod val="75000"/>
                  </a:srgbClr>
                </a:solidFill>
              </a:ln>
            </c:spPr>
          </c:marker>
          <c:dLbls>
            <c:dLbl>
              <c:idx val="0"/>
              <c:layout>
                <c:manualLayout>
                  <c:x val="-4.5370159499293398E-2"/>
                  <c:y val="-4.550030324550444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B7E-4998-8F7A-5CBDA782FE75}"/>
                </c:ext>
              </c:extLst>
            </c:dLbl>
            <c:dLbl>
              <c:idx val="1"/>
              <c:layout>
                <c:manualLayout>
                  <c:x val="-6.5948879466989699E-2"/>
                  <c:y val="-5.2083581718183843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B7E-4998-8F7A-5CBDA782FE75}"/>
                </c:ext>
              </c:extLst>
            </c:dLbl>
            <c:dLbl>
              <c:idx val="2"/>
              <c:layout>
                <c:manualLayout>
                  <c:x val="-5.7435897435897512E-2"/>
                  <c:y val="-5.036881910498514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B7E-4998-8F7A-5CBDA782FE75}"/>
                </c:ext>
              </c:extLst>
            </c:dLbl>
            <c:dLbl>
              <c:idx val="3"/>
              <c:layout>
                <c:manualLayout>
                  <c:x val="-7.0007510599636585E-2"/>
                  <c:y val="-6.03811044356782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B7E-4998-8F7A-5CBDA782FE75}"/>
                </c:ext>
              </c:extLst>
            </c:dLbl>
            <c:dLbl>
              <c:idx val="4"/>
              <c:layout>
                <c:manualLayout>
                  <c:x val="-5.7457863920856195E-2"/>
                  <c:y val="-5.5125885761975607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B7E-4998-8F7A-5CBDA782FE7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հունվար</c:v>
                </c:pt>
                <c:pt idx="1">
                  <c:v>հունվար - փետրվար</c:v>
                </c:pt>
                <c:pt idx="2">
                  <c:v>հունվար - մարտ</c:v>
                </c:pt>
                <c:pt idx="3">
                  <c:v>հունվար - ապրիլ</c:v>
                </c:pt>
                <c:pt idx="4">
                  <c:v>հունվար -մայիս</c:v>
                </c:pt>
              </c:strCache>
            </c:strRef>
          </c:cat>
          <c:val>
            <c:numRef>
              <c:f>Sheet1!$B$2:$F$2</c:f>
              <c:numCache>
                <c:formatCode>0.0</c:formatCode>
                <c:ptCount val="5"/>
                <c:pt idx="0">
                  <c:v>-8.421859138140988</c:v>
                </c:pt>
                <c:pt idx="1">
                  <c:v>-7.3041081778423944</c:v>
                </c:pt>
                <c:pt idx="2">
                  <c:v>-3.4808321102379125</c:v>
                </c:pt>
                <c:pt idx="3">
                  <c:v>2.6251520430518553</c:v>
                </c:pt>
                <c:pt idx="4">
                  <c:v>4.2999999999999972</c:v>
                </c:pt>
              </c:numCache>
            </c:numRef>
          </c:val>
          <c:smooth val="0"/>
          <c:extLst>
            <c:ext xmlns:c16="http://schemas.microsoft.com/office/drawing/2014/chart" uri="{C3380CC4-5D6E-409C-BE32-E72D297353CC}">
              <c16:uniqueId val="{0000000B-6B7E-4998-8F7A-5CBDA782FE75}"/>
            </c:ext>
          </c:extLst>
        </c:ser>
        <c:dLbls>
          <c:showLegendKey val="0"/>
          <c:showVal val="0"/>
          <c:showCatName val="0"/>
          <c:showSerName val="0"/>
          <c:showPercent val="0"/>
          <c:showBubbleSize val="0"/>
        </c:dLbls>
        <c:marker val="1"/>
        <c:smooth val="0"/>
        <c:axId val="145165312"/>
        <c:axId val="145203968"/>
      </c:lineChart>
      <c:catAx>
        <c:axId val="14516531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5203968"/>
        <c:crosses val="autoZero"/>
        <c:auto val="1"/>
        <c:lblAlgn val="ctr"/>
        <c:lblOffset val="100"/>
        <c:noMultiLvlLbl val="0"/>
      </c:catAx>
      <c:valAx>
        <c:axId val="145203968"/>
        <c:scaling>
          <c:orientation val="minMax"/>
          <c:max val="5"/>
          <c:min val="-1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5165312"/>
        <c:crosses val="autoZero"/>
        <c:crossBetween val="between"/>
      </c:valAx>
      <c:spPr>
        <a:noFill/>
        <a:ln>
          <a:noFill/>
        </a:ln>
        <a:effectLst/>
      </c:spPr>
    </c:plotArea>
    <c:legend>
      <c:legendPos val="b"/>
      <c:layout>
        <c:manualLayout>
          <c:xMode val="edge"/>
          <c:yMode val="edge"/>
          <c:x val="3.9212662156607202E-2"/>
          <c:y val="0.77063982271677356"/>
          <c:w val="0.93458477517078753"/>
          <c:h val="0.2293601772832288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1124951594165523E-2"/>
          <c:w val="0.87658476118247253"/>
          <c:h val="0.56153951611461161"/>
        </c:manualLayout>
      </c:layout>
      <c:barChart>
        <c:barDir val="col"/>
        <c:grouping val="stacked"/>
        <c:varyColors val="0"/>
        <c:ser>
          <c:idx val="1"/>
          <c:order val="1"/>
          <c:tx>
            <c:strRef>
              <c:f>Sheet1!$A$3</c:f>
              <c:strCache>
                <c:ptCount val="1"/>
                <c:pt idx="0">
                  <c:v>արդյունաբերություն</c:v>
                </c:pt>
              </c:strCache>
            </c:strRef>
          </c:tx>
          <c:spPr>
            <a:solidFill>
              <a:srgbClr val="C00000"/>
            </a:solidFill>
            <a:ln>
              <a:solidFill>
                <a:srgbClr val="C00000"/>
              </a:solidFill>
            </a:ln>
            <a:effectLst/>
          </c:spPr>
          <c:invertIfNegative val="0"/>
          <c:cat>
            <c:strRef>
              <c:f>Sheet1!$B$1:$F$1</c:f>
              <c:strCache>
                <c:ptCount val="5"/>
                <c:pt idx="0">
                  <c:v>հունվար</c:v>
                </c:pt>
                <c:pt idx="1">
                  <c:v>փետրվար</c:v>
                </c:pt>
                <c:pt idx="2">
                  <c:v>մարտ</c:v>
                </c:pt>
                <c:pt idx="3">
                  <c:v>ապրիլ</c:v>
                </c:pt>
                <c:pt idx="4">
                  <c:v>մայիս</c:v>
                </c:pt>
              </c:strCache>
            </c:strRef>
          </c:cat>
          <c:val>
            <c:numRef>
              <c:f>Sheet1!$B$3:$F$3</c:f>
              <c:numCache>
                <c:formatCode>0.0</c:formatCode>
                <c:ptCount val="5"/>
                <c:pt idx="0">
                  <c:v>-2.3716259878127546</c:v>
                </c:pt>
                <c:pt idx="1">
                  <c:v>-1.119934494244911</c:v>
                </c:pt>
                <c:pt idx="2">
                  <c:v>0.8344609957118948</c:v>
                </c:pt>
                <c:pt idx="3">
                  <c:v>3.7111554809292202</c:v>
                </c:pt>
                <c:pt idx="4">
                  <c:v>1.7348004910852575</c:v>
                </c:pt>
              </c:numCache>
            </c:numRef>
          </c:val>
          <c:extLst>
            <c:ext xmlns:c16="http://schemas.microsoft.com/office/drawing/2014/chart" uri="{C3380CC4-5D6E-409C-BE32-E72D297353CC}">
              <c16:uniqueId val="{00000000-EFB7-4E52-9817-2BEC73E6BEA5}"/>
            </c:ext>
          </c:extLst>
        </c:ser>
        <c:ser>
          <c:idx val="2"/>
          <c:order val="2"/>
          <c:tx>
            <c:strRef>
              <c:f>Sheet1!$A$4</c:f>
              <c:strCache>
                <c:ptCount val="1"/>
                <c:pt idx="0">
                  <c:v>շինարարություն</c:v>
                </c:pt>
              </c:strCache>
            </c:strRef>
          </c:tx>
          <c:spPr>
            <a:solidFill>
              <a:srgbClr val="9C5BCD"/>
            </a:solidFill>
            <a:ln>
              <a:solidFill>
                <a:srgbClr val="9C5BCD"/>
              </a:solidFill>
            </a:ln>
            <a:effectLst/>
          </c:spPr>
          <c:invertIfNegative val="0"/>
          <c:cat>
            <c:strRef>
              <c:f>Sheet1!$B$1:$F$1</c:f>
              <c:strCache>
                <c:ptCount val="5"/>
                <c:pt idx="0">
                  <c:v>հունվար</c:v>
                </c:pt>
                <c:pt idx="1">
                  <c:v>փետրվար</c:v>
                </c:pt>
                <c:pt idx="2">
                  <c:v>մարտ</c:v>
                </c:pt>
                <c:pt idx="3">
                  <c:v>ապրիլ</c:v>
                </c:pt>
                <c:pt idx="4">
                  <c:v>մայիս</c:v>
                </c:pt>
              </c:strCache>
            </c:strRef>
          </c:cat>
          <c:val>
            <c:numRef>
              <c:f>Sheet1!$B$4:$F$4</c:f>
              <c:numCache>
                <c:formatCode>0.0</c:formatCode>
                <c:ptCount val="5"/>
                <c:pt idx="0">
                  <c:v>6.1067394701060013E-2</c:v>
                </c:pt>
                <c:pt idx="1">
                  <c:v>8.3967667713957375E-2</c:v>
                </c:pt>
                <c:pt idx="2">
                  <c:v>0.82440982846431288</c:v>
                </c:pt>
                <c:pt idx="3">
                  <c:v>6.6945131441037269</c:v>
                </c:pt>
                <c:pt idx="4">
                  <c:v>3.8167121688162643E-2</c:v>
                </c:pt>
              </c:numCache>
            </c:numRef>
          </c:val>
          <c:extLst>
            <c:ext xmlns:c16="http://schemas.microsoft.com/office/drawing/2014/chart" uri="{C3380CC4-5D6E-409C-BE32-E72D297353CC}">
              <c16:uniqueId val="{00000001-EFB7-4E52-9817-2BEC73E6BEA5}"/>
            </c:ext>
          </c:extLst>
        </c:ser>
        <c:ser>
          <c:idx val="3"/>
          <c:order val="3"/>
          <c:tx>
            <c:strRef>
              <c:f>Sheet1!$A$5</c:f>
              <c:strCache>
                <c:ptCount val="1"/>
                <c:pt idx="0">
                  <c:v>ծառայություններ</c:v>
                </c:pt>
              </c:strCache>
            </c:strRef>
          </c:tx>
          <c:spPr>
            <a:solidFill>
              <a:srgbClr val="00B0F0"/>
            </a:solidFill>
            <a:ln>
              <a:solidFill>
                <a:srgbClr val="00B0F0"/>
              </a:solidFill>
            </a:ln>
            <a:effectLst/>
          </c:spPr>
          <c:invertIfNegative val="0"/>
          <c:cat>
            <c:strRef>
              <c:f>Sheet1!$B$1:$F$1</c:f>
              <c:strCache>
                <c:ptCount val="5"/>
                <c:pt idx="0">
                  <c:v>հունվար</c:v>
                </c:pt>
                <c:pt idx="1">
                  <c:v>փետրվար</c:v>
                </c:pt>
                <c:pt idx="2">
                  <c:v>մարտ</c:v>
                </c:pt>
                <c:pt idx="3">
                  <c:v>ապրիլ</c:v>
                </c:pt>
                <c:pt idx="4">
                  <c:v>մայիս</c:v>
                </c:pt>
              </c:strCache>
            </c:strRef>
          </c:cat>
          <c:val>
            <c:numRef>
              <c:f>Sheet1!$B$5:$F$5</c:f>
              <c:numCache>
                <c:formatCode>0.0</c:formatCode>
                <c:ptCount val="5"/>
                <c:pt idx="0">
                  <c:v>-5.8410677114275158</c:v>
                </c:pt>
                <c:pt idx="1">
                  <c:v>-5.7483523509286716</c:v>
                </c:pt>
                <c:pt idx="2">
                  <c:v>0.41721912224482538</c:v>
                </c:pt>
                <c:pt idx="3">
                  <c:v>7.1390827584114138</c:v>
                </c:pt>
                <c:pt idx="4">
                  <c:v>8.0198786831504805</c:v>
                </c:pt>
              </c:numCache>
            </c:numRef>
          </c:val>
          <c:extLst>
            <c:ext xmlns:c16="http://schemas.microsoft.com/office/drawing/2014/chart" uri="{C3380CC4-5D6E-409C-BE32-E72D297353CC}">
              <c16:uniqueId val="{00000002-EFB7-4E52-9817-2BEC73E6BEA5}"/>
            </c:ext>
          </c:extLst>
        </c:ser>
        <c:ser>
          <c:idx val="4"/>
          <c:order val="4"/>
          <c:tx>
            <c:strRef>
              <c:f>Sheet1!$A$6</c:f>
              <c:strCache>
                <c:ptCount val="1"/>
                <c:pt idx="0">
                  <c:v>առևտուր</c:v>
                </c:pt>
              </c:strCache>
            </c:strRef>
          </c:tx>
          <c:spPr>
            <a:solidFill>
              <a:srgbClr val="ED7D31"/>
            </a:solidFill>
            <a:ln>
              <a:solidFill>
                <a:srgbClr val="ED7D31"/>
              </a:solidFill>
            </a:ln>
          </c:spPr>
          <c:invertIfNegative val="0"/>
          <c:cat>
            <c:strRef>
              <c:f>Sheet1!$B$1:$F$1</c:f>
              <c:strCache>
                <c:ptCount val="5"/>
                <c:pt idx="0">
                  <c:v>հունվար</c:v>
                </c:pt>
                <c:pt idx="1">
                  <c:v>փետրվար</c:v>
                </c:pt>
                <c:pt idx="2">
                  <c:v>մարտ</c:v>
                </c:pt>
                <c:pt idx="3">
                  <c:v>ապրիլ</c:v>
                </c:pt>
                <c:pt idx="4">
                  <c:v>մայիս</c:v>
                </c:pt>
              </c:strCache>
            </c:strRef>
          </c:cat>
          <c:val>
            <c:numRef>
              <c:f>Sheet1!$B$6:$F$6</c:f>
              <c:numCache>
                <c:formatCode>0.0</c:formatCode>
                <c:ptCount val="5"/>
                <c:pt idx="0">
                  <c:v>-1.6733544808698553</c:v>
                </c:pt>
                <c:pt idx="1">
                  <c:v>-0.91916654582992008</c:v>
                </c:pt>
                <c:pt idx="2">
                  <c:v>0.54207257830995237</c:v>
                </c:pt>
                <c:pt idx="3">
                  <c:v>5.6328411398295133</c:v>
                </c:pt>
                <c:pt idx="4">
                  <c:v>2.0740168213598196</c:v>
                </c:pt>
              </c:numCache>
            </c:numRef>
          </c:val>
          <c:extLst>
            <c:ext xmlns:c16="http://schemas.microsoft.com/office/drawing/2014/chart" uri="{C3380CC4-5D6E-409C-BE32-E72D297353CC}">
              <c16:uniqueId val="{00000003-EFB7-4E52-9817-2BEC73E6BEA5}"/>
            </c:ext>
          </c:extLst>
        </c:ser>
        <c:ser>
          <c:idx val="5"/>
          <c:order val="5"/>
          <c:tx>
            <c:strRef>
              <c:f>Sheet1!$A$7</c:f>
              <c:strCache>
                <c:ptCount val="1"/>
                <c:pt idx="0">
                  <c:v>այլ </c:v>
                </c:pt>
              </c:strCache>
            </c:strRef>
          </c:tx>
          <c:spPr>
            <a:solidFill>
              <a:srgbClr val="5B9BD5">
                <a:lumMod val="40000"/>
                <a:lumOff val="60000"/>
              </a:srgbClr>
            </a:solidFill>
            <a:ln>
              <a:solidFill>
                <a:srgbClr val="5B9BD5">
                  <a:lumMod val="40000"/>
                  <a:lumOff val="60000"/>
                </a:srgbClr>
              </a:solidFill>
            </a:ln>
          </c:spPr>
          <c:invertIfNegative val="0"/>
          <c:cat>
            <c:strRef>
              <c:f>Sheet1!$B$1:$F$1</c:f>
              <c:strCache>
                <c:ptCount val="5"/>
                <c:pt idx="0">
                  <c:v>հունվար</c:v>
                </c:pt>
                <c:pt idx="1">
                  <c:v>փետրվար</c:v>
                </c:pt>
                <c:pt idx="2">
                  <c:v>մարտ</c:v>
                </c:pt>
                <c:pt idx="3">
                  <c:v>ապրիլ</c:v>
                </c:pt>
                <c:pt idx="4">
                  <c:v>մայիս</c:v>
                </c:pt>
              </c:strCache>
            </c:strRef>
          </c:cat>
          <c:val>
            <c:numRef>
              <c:f>Sheet1!$B$7:$F$7</c:f>
              <c:numCache>
                <c:formatCode>0.0</c:formatCode>
                <c:ptCount val="5"/>
                <c:pt idx="0">
                  <c:v>1.4031216472680779</c:v>
                </c:pt>
                <c:pt idx="1">
                  <c:v>1.4191328165092045</c:v>
                </c:pt>
                <c:pt idx="2">
                  <c:v>1.2929361047071866</c:v>
                </c:pt>
                <c:pt idx="3">
                  <c:v>2.2781113699707589E-2</c:v>
                </c:pt>
                <c:pt idx="4">
                  <c:v>-0.96686311728371521</c:v>
                </c:pt>
              </c:numCache>
            </c:numRef>
          </c:val>
          <c:extLst>
            <c:ext xmlns:c16="http://schemas.microsoft.com/office/drawing/2014/chart" uri="{C3380CC4-5D6E-409C-BE32-E72D297353CC}">
              <c16:uniqueId val="{00000004-EFB7-4E52-9817-2BEC73E6BEA5}"/>
            </c:ext>
          </c:extLst>
        </c:ser>
        <c:dLbls>
          <c:showLegendKey val="0"/>
          <c:showVal val="0"/>
          <c:showCatName val="0"/>
          <c:showSerName val="0"/>
          <c:showPercent val="0"/>
          <c:showBubbleSize val="0"/>
        </c:dLbls>
        <c:gapWidth val="219"/>
        <c:overlap val="100"/>
        <c:axId val="147715968"/>
        <c:axId val="147717504"/>
      </c:barChart>
      <c:lineChart>
        <c:grouping val="standard"/>
        <c:varyColors val="0"/>
        <c:ser>
          <c:idx val="0"/>
          <c:order val="0"/>
          <c:tx>
            <c:strRef>
              <c:f>Sheet1!$A$2</c:f>
              <c:strCache>
                <c:ptCount val="1"/>
                <c:pt idx="0">
                  <c:v>ՏԱՑ</c:v>
                </c:pt>
              </c:strCache>
            </c:strRef>
          </c:tx>
          <c:spPr>
            <a:ln>
              <a:solidFill>
                <a:srgbClr val="4472C4">
                  <a:lumMod val="75000"/>
                </a:srgbClr>
              </a:solidFill>
            </a:ln>
            <a:effectLst/>
          </c:spPr>
          <c:marker>
            <c:spPr>
              <a:ln>
                <a:solidFill>
                  <a:srgbClr val="4472C4">
                    <a:lumMod val="75000"/>
                  </a:srgbClr>
                </a:solidFill>
              </a:ln>
            </c:spPr>
          </c:marker>
          <c:dLbls>
            <c:dLbl>
              <c:idx val="0"/>
              <c:layout>
                <c:manualLayout>
                  <c:x val="-6.6237445871316594E-2"/>
                  <c:y val="-4.5600377748567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FB7-4E52-9817-2BEC73E6BEA5}"/>
                </c:ext>
              </c:extLst>
            </c:dLbl>
            <c:dLbl>
              <c:idx val="1"/>
              <c:layout>
                <c:manualLayout>
                  <c:x val="-6.6155973405532517E-2"/>
                  <c:y val="-4.5600377748567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FB7-4E52-9817-2BEC73E6BEA5}"/>
                </c:ext>
              </c:extLst>
            </c:dLbl>
            <c:dLbl>
              <c:idx val="2"/>
              <c:layout>
                <c:manualLayout>
                  <c:x val="-6.5993028473964419E-2"/>
                  <c:y val="-4.51613726566188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FB7-4E52-9817-2BEC73E6BEA5}"/>
                </c:ext>
              </c:extLst>
            </c:dLbl>
            <c:dLbl>
              <c:idx val="3"/>
              <c:layout>
                <c:manualLayout>
                  <c:x val="-7.8692797469716913E-2"/>
                  <c:y val="-4.420372899092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FB7-4E52-9817-2BEC73E6BEA5}"/>
                </c:ext>
              </c:extLst>
            </c:dLbl>
            <c:dLbl>
              <c:idx val="4"/>
              <c:layout>
                <c:manualLayout>
                  <c:x val="-6.1786929630641599E-2"/>
                  <c:y val="-4.420372899092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FB7-4E52-9817-2BEC73E6BEA5}"/>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հունվար</c:v>
                </c:pt>
                <c:pt idx="1">
                  <c:v>փետրվար</c:v>
                </c:pt>
                <c:pt idx="2">
                  <c:v>մարտ</c:v>
                </c:pt>
                <c:pt idx="3">
                  <c:v>ապրիլ</c:v>
                </c:pt>
                <c:pt idx="4">
                  <c:v>մայիս</c:v>
                </c:pt>
              </c:strCache>
            </c:strRef>
          </c:cat>
          <c:val>
            <c:numRef>
              <c:f>Sheet1!$B$2:$F$2</c:f>
              <c:numCache>
                <c:formatCode>0.0</c:formatCode>
                <c:ptCount val="5"/>
                <c:pt idx="0">
                  <c:v>-8.421859138140988</c:v>
                </c:pt>
                <c:pt idx="1">
                  <c:v>-6.2843529067803416</c:v>
                </c:pt>
                <c:pt idx="2">
                  <c:v>3.9110986294381718</c:v>
                </c:pt>
                <c:pt idx="3">
                  <c:v>23.20037363697358</c:v>
                </c:pt>
                <c:pt idx="4">
                  <c:v>10.900000000000006</c:v>
                </c:pt>
              </c:numCache>
            </c:numRef>
          </c:val>
          <c:smooth val="0"/>
          <c:extLst>
            <c:ext xmlns:c16="http://schemas.microsoft.com/office/drawing/2014/chart" uri="{C3380CC4-5D6E-409C-BE32-E72D297353CC}">
              <c16:uniqueId val="{0000000A-EFB7-4E52-9817-2BEC73E6BEA5}"/>
            </c:ext>
          </c:extLst>
        </c:ser>
        <c:dLbls>
          <c:showLegendKey val="0"/>
          <c:showVal val="0"/>
          <c:showCatName val="0"/>
          <c:showSerName val="0"/>
          <c:showPercent val="0"/>
          <c:showBubbleSize val="0"/>
        </c:dLbls>
        <c:marker val="1"/>
        <c:smooth val="0"/>
        <c:axId val="147715968"/>
        <c:axId val="147717504"/>
      </c:lineChart>
      <c:catAx>
        <c:axId val="1477159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7717504"/>
        <c:crosses val="autoZero"/>
        <c:auto val="1"/>
        <c:lblAlgn val="ctr"/>
        <c:lblOffset val="100"/>
        <c:noMultiLvlLbl val="0"/>
      </c:catAx>
      <c:valAx>
        <c:axId val="147717504"/>
        <c:scaling>
          <c:orientation val="minMax"/>
          <c:max val="25"/>
          <c:min val="-1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7715968"/>
        <c:crosses val="autoZero"/>
        <c:crossBetween val="between"/>
      </c:valAx>
      <c:spPr>
        <a:noFill/>
        <a:ln>
          <a:noFill/>
        </a:ln>
        <a:effectLst/>
      </c:spPr>
    </c:plotArea>
    <c:legend>
      <c:legendPos val="b"/>
      <c:layout>
        <c:manualLayout>
          <c:xMode val="edge"/>
          <c:yMode val="edge"/>
          <c:x val="3.9212432830754193E-2"/>
          <c:y val="0.77158400988919762"/>
          <c:w val="0.96078743405166744"/>
          <c:h val="0.22233012665423688"/>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00" i="1"/>
            </a:pPr>
            <a:r>
              <a:rPr lang="en-US" sz="800" b="1" i="1">
                <a:effectLst/>
                <a:latin typeface="GHEA Grapalat" pitchFamily="50" charset="0"/>
              </a:rPr>
              <a:t>Կ</a:t>
            </a:r>
            <a:r>
              <a:rPr lang="hy-AM" sz="800" b="1" i="1">
                <a:effectLst/>
                <a:latin typeface="GHEA Grapalat" pitchFamily="50" charset="0"/>
              </a:rPr>
              <a:t>որոնավիրուսի դեպքերը ՀՀ-ում 2020-2021թթ.</a:t>
            </a:r>
            <a:endParaRPr lang="en-US" sz="800">
              <a:effectLst/>
              <a:latin typeface="GHEA Grapalat" pitchFamily="50" charset="0"/>
            </a:endParaRPr>
          </a:p>
        </c:rich>
      </c:tx>
      <c:layout>
        <c:manualLayout>
          <c:xMode val="edge"/>
          <c:yMode val="edge"/>
          <c:x val="0.17027329105985642"/>
          <c:y val="2.2671313045328795E-2"/>
        </c:manualLayout>
      </c:layout>
      <c:overlay val="0"/>
      <c:spPr>
        <a:noFill/>
        <a:ln>
          <a:noFill/>
        </a:ln>
        <a:effectLst/>
      </c:spPr>
    </c:title>
    <c:autoTitleDeleted val="0"/>
    <c:plotArea>
      <c:layout>
        <c:manualLayout>
          <c:layoutTarget val="inner"/>
          <c:xMode val="edge"/>
          <c:yMode val="edge"/>
          <c:x val="8.4442155082198489E-2"/>
          <c:y val="0.15778887395173166"/>
          <c:w val="0.83342569824358115"/>
          <c:h val="0.45509734457550283"/>
        </c:manualLayout>
      </c:layout>
      <c:barChart>
        <c:barDir val="col"/>
        <c:grouping val="clustered"/>
        <c:varyColors val="0"/>
        <c:ser>
          <c:idx val="1"/>
          <c:order val="1"/>
          <c:tx>
            <c:strRef>
              <c:f>Sheet1!$C$1</c:f>
              <c:strCache>
                <c:ptCount val="1"/>
                <c:pt idx="0">
                  <c:v>Հաստատված դեպքերը (օրական)</c:v>
                </c:pt>
              </c:strCache>
            </c:strRef>
          </c:tx>
          <c:invertIfNegative val="0"/>
          <c:cat>
            <c:strRef>
              <c:f>Sheet1!$A$2:$A$500</c:f>
              <c:strCache>
                <c:ptCount val="499"/>
                <c:pt idx="30">
                  <c:v>31.03.2020</c:v>
                </c:pt>
                <c:pt idx="60">
                  <c:v>30.04.2020</c:v>
                </c:pt>
                <c:pt idx="91">
                  <c:v>31.05.2020</c:v>
                </c:pt>
                <c:pt idx="121">
                  <c:v>30.06.2020</c:v>
                </c:pt>
                <c:pt idx="152">
                  <c:v>31.07.2020</c:v>
                </c:pt>
                <c:pt idx="183">
                  <c:v>31.08.2020</c:v>
                </c:pt>
                <c:pt idx="213">
                  <c:v>30.09.2020</c:v>
                </c:pt>
                <c:pt idx="244">
                  <c:v>31.10.2020</c:v>
                </c:pt>
                <c:pt idx="274">
                  <c:v>30.11.2020</c:v>
                </c:pt>
                <c:pt idx="305">
                  <c:v>31.12.2020</c:v>
                </c:pt>
                <c:pt idx="336">
                  <c:v>31.01.2021</c:v>
                </c:pt>
                <c:pt idx="364">
                  <c:v>28.02.2021</c:v>
                </c:pt>
                <c:pt idx="395">
                  <c:v>31.03.2021</c:v>
                </c:pt>
                <c:pt idx="425">
                  <c:v>30.04.2021</c:v>
                </c:pt>
                <c:pt idx="456">
                  <c:v>31.05.2021</c:v>
                </c:pt>
                <c:pt idx="486">
                  <c:v>30.06.2021</c:v>
                </c:pt>
                <c:pt idx="498">
                  <c:v>12.07.2021</c:v>
                </c:pt>
              </c:strCache>
            </c:strRef>
          </c:cat>
          <c:val>
            <c:numRef>
              <c:f>Sheet1!$C$2:$C$500</c:f>
              <c:numCache>
                <c:formatCode>General</c:formatCode>
                <c:ptCount val="499"/>
                <c:pt idx="0">
                  <c:v>1</c:v>
                </c:pt>
                <c:pt idx="1">
                  <c:v>0</c:v>
                </c:pt>
                <c:pt idx="2">
                  <c:v>0</c:v>
                </c:pt>
                <c:pt idx="3">
                  <c:v>0</c:v>
                </c:pt>
                <c:pt idx="4">
                  <c:v>0</c:v>
                </c:pt>
                <c:pt idx="5">
                  <c:v>0</c:v>
                </c:pt>
                <c:pt idx="6">
                  <c:v>0</c:v>
                </c:pt>
                <c:pt idx="7">
                  <c:v>0</c:v>
                </c:pt>
                <c:pt idx="8">
                  <c:v>0</c:v>
                </c:pt>
                <c:pt idx="9">
                  <c:v>0</c:v>
                </c:pt>
                <c:pt idx="10">
                  <c:v>3</c:v>
                </c:pt>
                <c:pt idx="11">
                  <c:v>2</c:v>
                </c:pt>
                <c:pt idx="12">
                  <c:v>7</c:v>
                </c:pt>
                <c:pt idx="13">
                  <c:v>7</c:v>
                </c:pt>
                <c:pt idx="14">
                  <c:v>8</c:v>
                </c:pt>
                <c:pt idx="15">
                  <c:v>17</c:v>
                </c:pt>
                <c:pt idx="16">
                  <c:v>33</c:v>
                </c:pt>
                <c:pt idx="17">
                  <c:v>32</c:v>
                </c:pt>
                <c:pt idx="18">
                  <c:v>26</c:v>
                </c:pt>
                <c:pt idx="19">
                  <c:v>24</c:v>
                </c:pt>
                <c:pt idx="20">
                  <c:v>30</c:v>
                </c:pt>
                <c:pt idx="21">
                  <c:v>4</c:v>
                </c:pt>
                <c:pt idx="22">
                  <c:v>41</c:v>
                </c:pt>
                <c:pt idx="23">
                  <c:v>30</c:v>
                </c:pt>
                <c:pt idx="24">
                  <c:v>25</c:v>
                </c:pt>
                <c:pt idx="25">
                  <c:v>39</c:v>
                </c:pt>
                <c:pt idx="26">
                  <c:v>43</c:v>
                </c:pt>
                <c:pt idx="27">
                  <c:v>52</c:v>
                </c:pt>
                <c:pt idx="28">
                  <c:v>58</c:v>
                </c:pt>
                <c:pt idx="29">
                  <c:v>50</c:v>
                </c:pt>
                <c:pt idx="30">
                  <c:v>39</c:v>
                </c:pt>
                <c:pt idx="31">
                  <c:v>92</c:v>
                </c:pt>
                <c:pt idx="32">
                  <c:v>73</c:v>
                </c:pt>
                <c:pt idx="33">
                  <c:v>34</c:v>
                </c:pt>
                <c:pt idx="34">
                  <c:v>52</c:v>
                </c:pt>
                <c:pt idx="35">
                  <c:v>11</c:v>
                </c:pt>
                <c:pt idx="36">
                  <c:v>20</c:v>
                </c:pt>
                <c:pt idx="37">
                  <c:v>28</c:v>
                </c:pt>
                <c:pt idx="38">
                  <c:v>40</c:v>
                </c:pt>
                <c:pt idx="39">
                  <c:v>16</c:v>
                </c:pt>
                <c:pt idx="40">
                  <c:v>30</c:v>
                </c:pt>
                <c:pt idx="41">
                  <c:v>46</c:v>
                </c:pt>
                <c:pt idx="42">
                  <c:v>26</c:v>
                </c:pt>
                <c:pt idx="43">
                  <c:v>28</c:v>
                </c:pt>
                <c:pt idx="44">
                  <c:v>44</c:v>
                </c:pt>
                <c:pt idx="45">
                  <c:v>48</c:v>
                </c:pt>
                <c:pt idx="46">
                  <c:v>42</c:v>
                </c:pt>
                <c:pt idx="47">
                  <c:v>47</c:v>
                </c:pt>
                <c:pt idx="48">
                  <c:v>43</c:v>
                </c:pt>
                <c:pt idx="49">
                  <c:v>48</c:v>
                </c:pt>
                <c:pt idx="50">
                  <c:v>62</c:v>
                </c:pt>
                <c:pt idx="51">
                  <c:v>72</c:v>
                </c:pt>
                <c:pt idx="52">
                  <c:v>50</c:v>
                </c:pt>
                <c:pt idx="53">
                  <c:v>73</c:v>
                </c:pt>
                <c:pt idx="54">
                  <c:v>81</c:v>
                </c:pt>
                <c:pt idx="55">
                  <c:v>69</c:v>
                </c:pt>
                <c:pt idx="56">
                  <c:v>62</c:v>
                </c:pt>
                <c:pt idx="57">
                  <c:v>59</c:v>
                </c:pt>
                <c:pt idx="58">
                  <c:v>65</c:v>
                </c:pt>
                <c:pt idx="59">
                  <c:v>134</c:v>
                </c:pt>
                <c:pt idx="60">
                  <c:v>82</c:v>
                </c:pt>
                <c:pt idx="61">
                  <c:v>125</c:v>
                </c:pt>
                <c:pt idx="62">
                  <c:v>113</c:v>
                </c:pt>
                <c:pt idx="63">
                  <c:v>121</c:v>
                </c:pt>
                <c:pt idx="64">
                  <c:v>112</c:v>
                </c:pt>
                <c:pt idx="65">
                  <c:v>163</c:v>
                </c:pt>
                <c:pt idx="66">
                  <c:v>102</c:v>
                </c:pt>
                <c:pt idx="67">
                  <c:v>145</c:v>
                </c:pt>
                <c:pt idx="68">
                  <c:v>146</c:v>
                </c:pt>
                <c:pt idx="69">
                  <c:v>138</c:v>
                </c:pt>
                <c:pt idx="70">
                  <c:v>79</c:v>
                </c:pt>
                <c:pt idx="71">
                  <c:v>146</c:v>
                </c:pt>
                <c:pt idx="72">
                  <c:v>180</c:v>
                </c:pt>
                <c:pt idx="73">
                  <c:v>142</c:v>
                </c:pt>
                <c:pt idx="74">
                  <c:v>184</c:v>
                </c:pt>
                <c:pt idx="75">
                  <c:v>239</c:v>
                </c:pt>
                <c:pt idx="76">
                  <c:v>189</c:v>
                </c:pt>
                <c:pt idx="77">
                  <c:v>351</c:v>
                </c:pt>
                <c:pt idx="78">
                  <c:v>218</c:v>
                </c:pt>
                <c:pt idx="79">
                  <c:v>230</c:v>
                </c:pt>
                <c:pt idx="80">
                  <c:v>335</c:v>
                </c:pt>
                <c:pt idx="81">
                  <c:v>322</c:v>
                </c:pt>
                <c:pt idx="82">
                  <c:v>374</c:v>
                </c:pt>
                <c:pt idx="83">
                  <c:v>359</c:v>
                </c:pt>
                <c:pt idx="84">
                  <c:v>452</c:v>
                </c:pt>
                <c:pt idx="85">
                  <c:v>289</c:v>
                </c:pt>
                <c:pt idx="86">
                  <c:v>372</c:v>
                </c:pt>
                <c:pt idx="87">
                  <c:v>442</c:v>
                </c:pt>
                <c:pt idx="88">
                  <c:v>460</c:v>
                </c:pt>
                <c:pt idx="89">
                  <c:v>251</c:v>
                </c:pt>
                <c:pt idx="90">
                  <c:v>355</c:v>
                </c:pt>
                <c:pt idx="91">
                  <c:v>210</c:v>
                </c:pt>
                <c:pt idx="92">
                  <c:v>517</c:v>
                </c:pt>
                <c:pt idx="93">
                  <c:v>515</c:v>
                </c:pt>
                <c:pt idx="94">
                  <c:v>697</c:v>
                </c:pt>
                <c:pt idx="95">
                  <c:v>596</c:v>
                </c:pt>
                <c:pt idx="96">
                  <c:v>547</c:v>
                </c:pt>
                <c:pt idx="97">
                  <c:v>766</c:v>
                </c:pt>
                <c:pt idx="98">
                  <c:v>195</c:v>
                </c:pt>
                <c:pt idx="99">
                  <c:v>350</c:v>
                </c:pt>
                <c:pt idx="100">
                  <c:v>428</c:v>
                </c:pt>
                <c:pt idx="101">
                  <c:v>566</c:v>
                </c:pt>
                <c:pt idx="102">
                  <c:v>612</c:v>
                </c:pt>
                <c:pt idx="103">
                  <c:v>723</c:v>
                </c:pt>
                <c:pt idx="104">
                  <c:v>663</c:v>
                </c:pt>
                <c:pt idx="105">
                  <c:v>397</c:v>
                </c:pt>
                <c:pt idx="106">
                  <c:v>425</c:v>
                </c:pt>
                <c:pt idx="107">
                  <c:v>544</c:v>
                </c:pt>
                <c:pt idx="108">
                  <c:v>665</c:v>
                </c:pt>
                <c:pt idx="109">
                  <c:v>459</c:v>
                </c:pt>
                <c:pt idx="110">
                  <c:v>551</c:v>
                </c:pt>
                <c:pt idx="111">
                  <c:v>560</c:v>
                </c:pt>
                <c:pt idx="112">
                  <c:v>320</c:v>
                </c:pt>
                <c:pt idx="113">
                  <c:v>418</c:v>
                </c:pt>
                <c:pt idx="114">
                  <c:v>711</c:v>
                </c:pt>
                <c:pt idx="115">
                  <c:v>771</c:v>
                </c:pt>
                <c:pt idx="116">
                  <c:v>759</c:v>
                </c:pt>
                <c:pt idx="117">
                  <c:v>662</c:v>
                </c:pt>
                <c:pt idx="118">
                  <c:v>736</c:v>
                </c:pt>
                <c:pt idx="119">
                  <c:v>482</c:v>
                </c:pt>
                <c:pt idx="120">
                  <c:v>415</c:v>
                </c:pt>
                <c:pt idx="121">
                  <c:v>523</c:v>
                </c:pt>
                <c:pt idx="122">
                  <c:v>593</c:v>
                </c:pt>
                <c:pt idx="123">
                  <c:v>662</c:v>
                </c:pt>
                <c:pt idx="124">
                  <c:v>580</c:v>
                </c:pt>
                <c:pt idx="125">
                  <c:v>706</c:v>
                </c:pt>
                <c:pt idx="126">
                  <c:v>330</c:v>
                </c:pt>
                <c:pt idx="127">
                  <c:v>349</c:v>
                </c:pt>
                <c:pt idx="128">
                  <c:v>535</c:v>
                </c:pt>
                <c:pt idx="129">
                  <c:v>526</c:v>
                </c:pt>
                <c:pt idx="130">
                  <c:v>557</c:v>
                </c:pt>
                <c:pt idx="131">
                  <c:v>489</c:v>
                </c:pt>
                <c:pt idx="132">
                  <c:v>577</c:v>
                </c:pt>
                <c:pt idx="133">
                  <c:v>182</c:v>
                </c:pt>
                <c:pt idx="134">
                  <c:v>339</c:v>
                </c:pt>
                <c:pt idx="135">
                  <c:v>515</c:v>
                </c:pt>
                <c:pt idx="136">
                  <c:v>554</c:v>
                </c:pt>
                <c:pt idx="137">
                  <c:v>442</c:v>
                </c:pt>
                <c:pt idx="138">
                  <c:v>461</c:v>
                </c:pt>
                <c:pt idx="139">
                  <c:v>415</c:v>
                </c:pt>
                <c:pt idx="140">
                  <c:v>104</c:v>
                </c:pt>
                <c:pt idx="141">
                  <c:v>273</c:v>
                </c:pt>
                <c:pt idx="142">
                  <c:v>439</c:v>
                </c:pt>
                <c:pt idx="143">
                  <c:v>469</c:v>
                </c:pt>
                <c:pt idx="144">
                  <c:v>451</c:v>
                </c:pt>
                <c:pt idx="145">
                  <c:v>383</c:v>
                </c:pt>
                <c:pt idx="146">
                  <c:v>321</c:v>
                </c:pt>
                <c:pt idx="147">
                  <c:v>73</c:v>
                </c:pt>
                <c:pt idx="148">
                  <c:v>239</c:v>
                </c:pt>
                <c:pt idx="149">
                  <c:v>308</c:v>
                </c:pt>
                <c:pt idx="150">
                  <c:v>259</c:v>
                </c:pt>
                <c:pt idx="151">
                  <c:v>354</c:v>
                </c:pt>
                <c:pt idx="152">
                  <c:v>291</c:v>
                </c:pt>
                <c:pt idx="153">
                  <c:v>209</c:v>
                </c:pt>
                <c:pt idx="154">
                  <c:v>52</c:v>
                </c:pt>
                <c:pt idx="155">
                  <c:v>196</c:v>
                </c:pt>
                <c:pt idx="156">
                  <c:v>288</c:v>
                </c:pt>
                <c:pt idx="157">
                  <c:v>233</c:v>
                </c:pt>
                <c:pt idx="158">
                  <c:v>166</c:v>
                </c:pt>
                <c:pt idx="159">
                  <c:v>200</c:v>
                </c:pt>
                <c:pt idx="160">
                  <c:v>225</c:v>
                </c:pt>
                <c:pt idx="161">
                  <c:v>23</c:v>
                </c:pt>
                <c:pt idx="162">
                  <c:v>160</c:v>
                </c:pt>
                <c:pt idx="163">
                  <c:v>201</c:v>
                </c:pt>
                <c:pt idx="164">
                  <c:v>229</c:v>
                </c:pt>
                <c:pt idx="165">
                  <c:v>276</c:v>
                </c:pt>
                <c:pt idx="166">
                  <c:v>196</c:v>
                </c:pt>
                <c:pt idx="167">
                  <c:v>168</c:v>
                </c:pt>
                <c:pt idx="168">
                  <c:v>38</c:v>
                </c:pt>
                <c:pt idx="169">
                  <c:v>145</c:v>
                </c:pt>
                <c:pt idx="170">
                  <c:v>210</c:v>
                </c:pt>
                <c:pt idx="171">
                  <c:v>263</c:v>
                </c:pt>
                <c:pt idx="172">
                  <c:v>158</c:v>
                </c:pt>
                <c:pt idx="173">
                  <c:v>139</c:v>
                </c:pt>
                <c:pt idx="174">
                  <c:v>176</c:v>
                </c:pt>
                <c:pt idx="175">
                  <c:v>33</c:v>
                </c:pt>
                <c:pt idx="176">
                  <c:v>111</c:v>
                </c:pt>
                <c:pt idx="177">
                  <c:v>131</c:v>
                </c:pt>
                <c:pt idx="178">
                  <c:v>203</c:v>
                </c:pt>
                <c:pt idx="179">
                  <c:v>181</c:v>
                </c:pt>
                <c:pt idx="180">
                  <c:v>175</c:v>
                </c:pt>
                <c:pt idx="181">
                  <c:v>124</c:v>
                </c:pt>
                <c:pt idx="182">
                  <c:v>31</c:v>
                </c:pt>
                <c:pt idx="183">
                  <c:v>97</c:v>
                </c:pt>
                <c:pt idx="184">
                  <c:v>197</c:v>
                </c:pt>
                <c:pt idx="185">
                  <c:v>196</c:v>
                </c:pt>
                <c:pt idx="186">
                  <c:v>190</c:v>
                </c:pt>
                <c:pt idx="187">
                  <c:v>188</c:v>
                </c:pt>
                <c:pt idx="188">
                  <c:v>134</c:v>
                </c:pt>
                <c:pt idx="189">
                  <c:v>62</c:v>
                </c:pt>
                <c:pt idx="190">
                  <c:v>108</c:v>
                </c:pt>
                <c:pt idx="191">
                  <c:v>199</c:v>
                </c:pt>
                <c:pt idx="192">
                  <c:v>174</c:v>
                </c:pt>
                <c:pt idx="193">
                  <c:v>177</c:v>
                </c:pt>
                <c:pt idx="194">
                  <c:v>172</c:v>
                </c:pt>
                <c:pt idx="195">
                  <c:v>187</c:v>
                </c:pt>
                <c:pt idx="196">
                  <c:v>107</c:v>
                </c:pt>
                <c:pt idx="197">
                  <c:v>150</c:v>
                </c:pt>
                <c:pt idx="198">
                  <c:v>257</c:v>
                </c:pt>
                <c:pt idx="199">
                  <c:v>295</c:v>
                </c:pt>
                <c:pt idx="200">
                  <c:v>239</c:v>
                </c:pt>
                <c:pt idx="201">
                  <c:v>244</c:v>
                </c:pt>
                <c:pt idx="202">
                  <c:v>277</c:v>
                </c:pt>
                <c:pt idx="203">
                  <c:v>121</c:v>
                </c:pt>
                <c:pt idx="204">
                  <c:v>115</c:v>
                </c:pt>
                <c:pt idx="205">
                  <c:v>210</c:v>
                </c:pt>
                <c:pt idx="206">
                  <c:v>374</c:v>
                </c:pt>
                <c:pt idx="207">
                  <c:v>392</c:v>
                </c:pt>
                <c:pt idx="208">
                  <c:v>429</c:v>
                </c:pt>
                <c:pt idx="209">
                  <c:v>328</c:v>
                </c:pt>
                <c:pt idx="210">
                  <c:v>174</c:v>
                </c:pt>
                <c:pt idx="211">
                  <c:v>327</c:v>
                </c:pt>
                <c:pt idx="212">
                  <c:v>458</c:v>
                </c:pt>
                <c:pt idx="213">
                  <c:v>491</c:v>
                </c:pt>
                <c:pt idx="214">
                  <c:v>532</c:v>
                </c:pt>
                <c:pt idx="215">
                  <c:v>543</c:v>
                </c:pt>
                <c:pt idx="216">
                  <c:v>571</c:v>
                </c:pt>
                <c:pt idx="217">
                  <c:v>181</c:v>
                </c:pt>
                <c:pt idx="218">
                  <c:v>406</c:v>
                </c:pt>
                <c:pt idx="219">
                  <c:v>672</c:v>
                </c:pt>
                <c:pt idx="220">
                  <c:v>718</c:v>
                </c:pt>
                <c:pt idx="221">
                  <c:v>614</c:v>
                </c:pt>
                <c:pt idx="222">
                  <c:v>649</c:v>
                </c:pt>
                <c:pt idx="223">
                  <c:v>715</c:v>
                </c:pt>
                <c:pt idx="224">
                  <c:v>370</c:v>
                </c:pt>
                <c:pt idx="225">
                  <c:v>745</c:v>
                </c:pt>
                <c:pt idx="226">
                  <c:v>1058</c:v>
                </c:pt>
                <c:pt idx="227">
                  <c:v>1371</c:v>
                </c:pt>
                <c:pt idx="228">
                  <c:v>1465</c:v>
                </c:pt>
                <c:pt idx="229">
                  <c:v>1540</c:v>
                </c:pt>
                <c:pt idx="230">
                  <c:v>1694</c:v>
                </c:pt>
                <c:pt idx="231">
                  <c:v>766</c:v>
                </c:pt>
                <c:pt idx="232">
                  <c:v>1234</c:v>
                </c:pt>
                <c:pt idx="233">
                  <c:v>1836</c:v>
                </c:pt>
                <c:pt idx="234">
                  <c:v>2306</c:v>
                </c:pt>
                <c:pt idx="235">
                  <c:v>2474</c:v>
                </c:pt>
                <c:pt idx="236">
                  <c:v>2213</c:v>
                </c:pt>
                <c:pt idx="237">
                  <c:v>2314</c:v>
                </c:pt>
                <c:pt idx="238">
                  <c:v>973</c:v>
                </c:pt>
                <c:pt idx="239">
                  <c:v>1600</c:v>
                </c:pt>
                <c:pt idx="240">
                  <c:v>2241</c:v>
                </c:pt>
                <c:pt idx="241">
                  <c:v>2383</c:v>
                </c:pt>
                <c:pt idx="242">
                  <c:v>2398</c:v>
                </c:pt>
                <c:pt idx="243">
                  <c:v>2381</c:v>
                </c:pt>
                <c:pt idx="244">
                  <c:v>2441</c:v>
                </c:pt>
                <c:pt idx="245">
                  <c:v>1194</c:v>
                </c:pt>
                <c:pt idx="246">
                  <c:v>1328</c:v>
                </c:pt>
                <c:pt idx="247">
                  <c:v>2374</c:v>
                </c:pt>
                <c:pt idx="248">
                  <c:v>2413</c:v>
                </c:pt>
                <c:pt idx="249">
                  <c:v>2210</c:v>
                </c:pt>
                <c:pt idx="250">
                  <c:v>2476</c:v>
                </c:pt>
                <c:pt idx="251">
                  <c:v>2175</c:v>
                </c:pt>
                <c:pt idx="252">
                  <c:v>1042</c:v>
                </c:pt>
                <c:pt idx="253">
                  <c:v>1221</c:v>
                </c:pt>
                <c:pt idx="254">
                  <c:v>1861</c:v>
                </c:pt>
                <c:pt idx="255">
                  <c:v>2132</c:v>
                </c:pt>
                <c:pt idx="256">
                  <c:v>1703</c:v>
                </c:pt>
                <c:pt idx="257">
                  <c:v>1472</c:v>
                </c:pt>
                <c:pt idx="258">
                  <c:v>1482</c:v>
                </c:pt>
                <c:pt idx="259">
                  <c:v>549</c:v>
                </c:pt>
                <c:pt idx="260">
                  <c:v>984</c:v>
                </c:pt>
                <c:pt idx="261">
                  <c:v>1589</c:v>
                </c:pt>
                <c:pt idx="262">
                  <c:v>1520</c:v>
                </c:pt>
                <c:pt idx="263">
                  <c:v>1667</c:v>
                </c:pt>
                <c:pt idx="264">
                  <c:v>1193</c:v>
                </c:pt>
                <c:pt idx="265">
                  <c:v>1385</c:v>
                </c:pt>
                <c:pt idx="266">
                  <c:v>485</c:v>
                </c:pt>
                <c:pt idx="267">
                  <c:v>813</c:v>
                </c:pt>
                <c:pt idx="268">
                  <c:v>1563</c:v>
                </c:pt>
                <c:pt idx="269">
                  <c:v>1785</c:v>
                </c:pt>
                <c:pt idx="270">
                  <c:v>1476</c:v>
                </c:pt>
                <c:pt idx="271">
                  <c:v>1248</c:v>
                </c:pt>
                <c:pt idx="272">
                  <c:v>1174</c:v>
                </c:pt>
                <c:pt idx="273">
                  <c:v>356</c:v>
                </c:pt>
                <c:pt idx="274">
                  <c:v>843</c:v>
                </c:pt>
                <c:pt idx="275">
                  <c:v>1264</c:v>
                </c:pt>
                <c:pt idx="276">
                  <c:v>1277</c:v>
                </c:pt>
                <c:pt idx="277">
                  <c:v>1184</c:v>
                </c:pt>
                <c:pt idx="278">
                  <c:v>1267</c:v>
                </c:pt>
                <c:pt idx="279">
                  <c:v>978</c:v>
                </c:pt>
                <c:pt idx="280">
                  <c:v>407</c:v>
                </c:pt>
                <c:pt idx="281">
                  <c:v>584</c:v>
                </c:pt>
                <c:pt idx="282">
                  <c:v>1138</c:v>
                </c:pt>
                <c:pt idx="283">
                  <c:v>1174</c:v>
                </c:pt>
                <c:pt idx="284">
                  <c:v>1077</c:v>
                </c:pt>
                <c:pt idx="285">
                  <c:v>995</c:v>
                </c:pt>
                <c:pt idx="286">
                  <c:v>1013</c:v>
                </c:pt>
                <c:pt idx="287">
                  <c:v>357</c:v>
                </c:pt>
                <c:pt idx="288">
                  <c:v>438</c:v>
                </c:pt>
                <c:pt idx="289">
                  <c:v>1098</c:v>
                </c:pt>
                <c:pt idx="290">
                  <c:v>1174</c:v>
                </c:pt>
                <c:pt idx="291">
                  <c:v>861</c:v>
                </c:pt>
                <c:pt idx="292">
                  <c:v>920</c:v>
                </c:pt>
                <c:pt idx="293">
                  <c:v>652</c:v>
                </c:pt>
                <c:pt idx="294">
                  <c:v>240</c:v>
                </c:pt>
                <c:pt idx="295">
                  <c:v>537</c:v>
                </c:pt>
                <c:pt idx="296">
                  <c:v>838</c:v>
                </c:pt>
                <c:pt idx="297">
                  <c:v>702</c:v>
                </c:pt>
                <c:pt idx="298">
                  <c:v>621</c:v>
                </c:pt>
                <c:pt idx="299">
                  <c:v>586</c:v>
                </c:pt>
                <c:pt idx="300">
                  <c:v>485</c:v>
                </c:pt>
                <c:pt idx="301">
                  <c:v>114</c:v>
                </c:pt>
                <c:pt idx="302">
                  <c:v>348</c:v>
                </c:pt>
                <c:pt idx="303">
                  <c:v>582</c:v>
                </c:pt>
                <c:pt idx="304">
                  <c:v>531</c:v>
                </c:pt>
                <c:pt idx="305">
                  <c:v>329</c:v>
                </c:pt>
                <c:pt idx="306">
                  <c:v>60</c:v>
                </c:pt>
                <c:pt idx="307">
                  <c:v>229</c:v>
                </c:pt>
                <c:pt idx="308">
                  <c:v>193</c:v>
                </c:pt>
                <c:pt idx="309">
                  <c:v>324</c:v>
                </c:pt>
                <c:pt idx="310">
                  <c:v>309</c:v>
                </c:pt>
                <c:pt idx="311">
                  <c:v>201</c:v>
                </c:pt>
                <c:pt idx="312">
                  <c:v>361</c:v>
                </c:pt>
                <c:pt idx="313">
                  <c:v>379</c:v>
                </c:pt>
                <c:pt idx="314">
                  <c:v>337</c:v>
                </c:pt>
                <c:pt idx="315">
                  <c:v>157</c:v>
                </c:pt>
                <c:pt idx="316">
                  <c:v>355</c:v>
                </c:pt>
                <c:pt idx="317">
                  <c:v>485</c:v>
                </c:pt>
                <c:pt idx="318">
                  <c:v>448</c:v>
                </c:pt>
                <c:pt idx="319">
                  <c:v>396</c:v>
                </c:pt>
                <c:pt idx="320">
                  <c:v>263</c:v>
                </c:pt>
                <c:pt idx="321">
                  <c:v>351</c:v>
                </c:pt>
                <c:pt idx="322">
                  <c:v>90</c:v>
                </c:pt>
                <c:pt idx="323">
                  <c:v>236</c:v>
                </c:pt>
                <c:pt idx="324">
                  <c:v>309</c:v>
                </c:pt>
                <c:pt idx="325">
                  <c:v>307</c:v>
                </c:pt>
                <c:pt idx="326">
                  <c:v>183</c:v>
                </c:pt>
                <c:pt idx="327">
                  <c:v>198</c:v>
                </c:pt>
                <c:pt idx="328">
                  <c:v>127</c:v>
                </c:pt>
                <c:pt idx="329">
                  <c:v>58</c:v>
                </c:pt>
                <c:pt idx="330">
                  <c:v>138</c:v>
                </c:pt>
                <c:pt idx="331">
                  <c:v>195</c:v>
                </c:pt>
                <c:pt idx="332">
                  <c:v>242</c:v>
                </c:pt>
                <c:pt idx="333">
                  <c:v>59</c:v>
                </c:pt>
                <c:pt idx="334">
                  <c:v>173</c:v>
                </c:pt>
                <c:pt idx="335">
                  <c:v>125</c:v>
                </c:pt>
                <c:pt idx="336">
                  <c:v>62</c:v>
                </c:pt>
                <c:pt idx="337">
                  <c:v>143</c:v>
                </c:pt>
                <c:pt idx="338">
                  <c:v>190</c:v>
                </c:pt>
                <c:pt idx="339">
                  <c:v>147</c:v>
                </c:pt>
                <c:pt idx="340">
                  <c:v>158</c:v>
                </c:pt>
                <c:pt idx="341">
                  <c:v>211</c:v>
                </c:pt>
                <c:pt idx="342">
                  <c:v>151</c:v>
                </c:pt>
                <c:pt idx="343">
                  <c:v>89</c:v>
                </c:pt>
                <c:pt idx="344">
                  <c:v>123</c:v>
                </c:pt>
                <c:pt idx="345">
                  <c:v>196</c:v>
                </c:pt>
                <c:pt idx="346">
                  <c:v>180</c:v>
                </c:pt>
                <c:pt idx="347">
                  <c:v>154</c:v>
                </c:pt>
                <c:pt idx="348">
                  <c:v>192</c:v>
                </c:pt>
                <c:pt idx="349">
                  <c:v>145</c:v>
                </c:pt>
                <c:pt idx="350">
                  <c:v>88</c:v>
                </c:pt>
                <c:pt idx="351">
                  <c:v>136</c:v>
                </c:pt>
                <c:pt idx="352">
                  <c:v>206</c:v>
                </c:pt>
                <c:pt idx="353">
                  <c:v>223</c:v>
                </c:pt>
                <c:pt idx="354">
                  <c:v>191</c:v>
                </c:pt>
                <c:pt idx="355">
                  <c:v>223</c:v>
                </c:pt>
                <c:pt idx="356">
                  <c:v>168</c:v>
                </c:pt>
                <c:pt idx="357">
                  <c:v>104</c:v>
                </c:pt>
                <c:pt idx="358">
                  <c:v>166</c:v>
                </c:pt>
                <c:pt idx="359">
                  <c:v>273</c:v>
                </c:pt>
                <c:pt idx="360">
                  <c:v>282</c:v>
                </c:pt>
                <c:pt idx="361">
                  <c:v>283</c:v>
                </c:pt>
                <c:pt idx="362">
                  <c:v>283</c:v>
                </c:pt>
                <c:pt idx="363">
                  <c:v>265</c:v>
                </c:pt>
                <c:pt idx="364">
                  <c:v>158</c:v>
                </c:pt>
                <c:pt idx="365">
                  <c:v>240</c:v>
                </c:pt>
                <c:pt idx="366">
                  <c:v>360</c:v>
                </c:pt>
                <c:pt idx="367">
                  <c:v>491</c:v>
                </c:pt>
                <c:pt idx="368">
                  <c:v>442</c:v>
                </c:pt>
                <c:pt idx="369">
                  <c:v>508</c:v>
                </c:pt>
                <c:pt idx="370">
                  <c:v>422</c:v>
                </c:pt>
                <c:pt idx="371">
                  <c:v>337</c:v>
                </c:pt>
                <c:pt idx="372">
                  <c:v>182</c:v>
                </c:pt>
                <c:pt idx="373">
                  <c:v>340</c:v>
                </c:pt>
                <c:pt idx="374">
                  <c:v>748</c:v>
                </c:pt>
                <c:pt idx="375">
                  <c:v>818</c:v>
                </c:pt>
                <c:pt idx="376">
                  <c:v>795</c:v>
                </c:pt>
                <c:pt idx="377">
                  <c:v>486</c:v>
                </c:pt>
                <c:pt idx="378">
                  <c:v>317</c:v>
                </c:pt>
                <c:pt idx="379">
                  <c:v>585</c:v>
                </c:pt>
                <c:pt idx="380">
                  <c:v>854</c:v>
                </c:pt>
                <c:pt idx="381">
                  <c:v>1024</c:v>
                </c:pt>
                <c:pt idx="382">
                  <c:v>891</c:v>
                </c:pt>
                <c:pt idx="383">
                  <c:v>1071</c:v>
                </c:pt>
                <c:pt idx="384">
                  <c:v>586</c:v>
                </c:pt>
                <c:pt idx="385">
                  <c:v>506</c:v>
                </c:pt>
                <c:pt idx="386">
                  <c:v>801</c:v>
                </c:pt>
                <c:pt idx="387">
                  <c:v>1164</c:v>
                </c:pt>
                <c:pt idx="388">
                  <c:v>1257</c:v>
                </c:pt>
                <c:pt idx="389">
                  <c:v>1005</c:v>
                </c:pt>
                <c:pt idx="390">
                  <c:v>1094</c:v>
                </c:pt>
                <c:pt idx="391">
                  <c:v>777</c:v>
                </c:pt>
                <c:pt idx="392">
                  <c:v>424</c:v>
                </c:pt>
                <c:pt idx="393">
                  <c:v>750</c:v>
                </c:pt>
                <c:pt idx="394">
                  <c:v>1148</c:v>
                </c:pt>
                <c:pt idx="395">
                  <c:v>1097</c:v>
                </c:pt>
                <c:pt idx="396">
                  <c:v>1116</c:v>
                </c:pt>
                <c:pt idx="397">
                  <c:v>1192</c:v>
                </c:pt>
                <c:pt idx="398">
                  <c:v>590</c:v>
                </c:pt>
                <c:pt idx="399">
                  <c:v>479</c:v>
                </c:pt>
                <c:pt idx="400">
                  <c:v>760</c:v>
                </c:pt>
                <c:pt idx="401">
                  <c:v>1025</c:v>
                </c:pt>
                <c:pt idx="402">
                  <c:v>1231</c:v>
                </c:pt>
                <c:pt idx="403">
                  <c:v>1029</c:v>
                </c:pt>
                <c:pt idx="404">
                  <c:v>1009</c:v>
                </c:pt>
                <c:pt idx="405">
                  <c:v>650</c:v>
                </c:pt>
                <c:pt idx="406">
                  <c:v>510</c:v>
                </c:pt>
                <c:pt idx="407">
                  <c:v>726</c:v>
                </c:pt>
                <c:pt idx="408">
                  <c:v>1075</c:v>
                </c:pt>
                <c:pt idx="409">
                  <c:v>1014</c:v>
                </c:pt>
                <c:pt idx="410">
                  <c:v>961</c:v>
                </c:pt>
                <c:pt idx="411">
                  <c:v>870</c:v>
                </c:pt>
                <c:pt idx="412">
                  <c:v>547</c:v>
                </c:pt>
                <c:pt idx="413">
                  <c:v>298</c:v>
                </c:pt>
                <c:pt idx="414">
                  <c:v>667</c:v>
                </c:pt>
                <c:pt idx="415">
                  <c:v>1033</c:v>
                </c:pt>
                <c:pt idx="416">
                  <c:v>881</c:v>
                </c:pt>
                <c:pt idx="417">
                  <c:v>715</c:v>
                </c:pt>
                <c:pt idx="418">
                  <c:v>764</c:v>
                </c:pt>
                <c:pt idx="419">
                  <c:v>410</c:v>
                </c:pt>
                <c:pt idx="420">
                  <c:v>181</c:v>
                </c:pt>
                <c:pt idx="421">
                  <c:v>595</c:v>
                </c:pt>
                <c:pt idx="422">
                  <c:v>808</c:v>
                </c:pt>
                <c:pt idx="423">
                  <c:v>656</c:v>
                </c:pt>
                <c:pt idx="424">
                  <c:v>536</c:v>
                </c:pt>
                <c:pt idx="425">
                  <c:v>532</c:v>
                </c:pt>
                <c:pt idx="426">
                  <c:v>267</c:v>
                </c:pt>
                <c:pt idx="427">
                  <c:v>145</c:v>
                </c:pt>
                <c:pt idx="428">
                  <c:v>399</c:v>
                </c:pt>
                <c:pt idx="429">
                  <c:v>493</c:v>
                </c:pt>
                <c:pt idx="430">
                  <c:v>425</c:v>
                </c:pt>
                <c:pt idx="431">
                  <c:v>356</c:v>
                </c:pt>
                <c:pt idx="432">
                  <c:v>411</c:v>
                </c:pt>
                <c:pt idx="433">
                  <c:v>178</c:v>
                </c:pt>
                <c:pt idx="434">
                  <c:v>83</c:v>
                </c:pt>
                <c:pt idx="435">
                  <c:v>243</c:v>
                </c:pt>
                <c:pt idx="436">
                  <c:v>354</c:v>
                </c:pt>
                <c:pt idx="437">
                  <c:v>267</c:v>
                </c:pt>
                <c:pt idx="438">
                  <c:v>230</c:v>
                </c:pt>
                <c:pt idx="439">
                  <c:v>282</c:v>
                </c:pt>
                <c:pt idx="440">
                  <c:v>131</c:v>
                </c:pt>
                <c:pt idx="441">
                  <c:v>67</c:v>
                </c:pt>
                <c:pt idx="442">
                  <c:v>212</c:v>
                </c:pt>
                <c:pt idx="443">
                  <c:v>229</c:v>
                </c:pt>
                <c:pt idx="444">
                  <c:v>191</c:v>
                </c:pt>
                <c:pt idx="445">
                  <c:v>140</c:v>
                </c:pt>
                <c:pt idx="446">
                  <c:v>181</c:v>
                </c:pt>
                <c:pt idx="447">
                  <c:v>68</c:v>
                </c:pt>
                <c:pt idx="448">
                  <c:v>34</c:v>
                </c:pt>
                <c:pt idx="449">
                  <c:v>157</c:v>
                </c:pt>
                <c:pt idx="450">
                  <c:v>130</c:v>
                </c:pt>
                <c:pt idx="451">
                  <c:v>140</c:v>
                </c:pt>
                <c:pt idx="452">
                  <c:v>104</c:v>
                </c:pt>
                <c:pt idx="453">
                  <c:v>42</c:v>
                </c:pt>
                <c:pt idx="454">
                  <c:v>81</c:v>
                </c:pt>
                <c:pt idx="455">
                  <c:v>34</c:v>
                </c:pt>
                <c:pt idx="456">
                  <c:v>108</c:v>
                </c:pt>
                <c:pt idx="457">
                  <c:v>92</c:v>
                </c:pt>
                <c:pt idx="458">
                  <c:v>108</c:v>
                </c:pt>
                <c:pt idx="459">
                  <c:v>72</c:v>
                </c:pt>
                <c:pt idx="460">
                  <c:v>93</c:v>
                </c:pt>
                <c:pt idx="461">
                  <c:v>37</c:v>
                </c:pt>
                <c:pt idx="462">
                  <c:v>32</c:v>
                </c:pt>
                <c:pt idx="463">
                  <c:v>73</c:v>
                </c:pt>
                <c:pt idx="464">
                  <c:v>99</c:v>
                </c:pt>
                <c:pt idx="465">
                  <c:v>76</c:v>
                </c:pt>
                <c:pt idx="466">
                  <c:v>95</c:v>
                </c:pt>
                <c:pt idx="467">
                  <c:v>88</c:v>
                </c:pt>
                <c:pt idx="468">
                  <c:v>39</c:v>
                </c:pt>
                <c:pt idx="469">
                  <c:v>41</c:v>
                </c:pt>
                <c:pt idx="470">
                  <c:v>82</c:v>
                </c:pt>
                <c:pt idx="471">
                  <c:v>99</c:v>
                </c:pt>
                <c:pt idx="472">
                  <c:v>96</c:v>
                </c:pt>
                <c:pt idx="473">
                  <c:v>86</c:v>
                </c:pt>
                <c:pt idx="474">
                  <c:v>81</c:v>
                </c:pt>
                <c:pt idx="475">
                  <c:v>60</c:v>
                </c:pt>
                <c:pt idx="476">
                  <c:v>26</c:v>
                </c:pt>
                <c:pt idx="477">
                  <c:v>77</c:v>
                </c:pt>
                <c:pt idx="478">
                  <c:v>100</c:v>
                </c:pt>
                <c:pt idx="479">
                  <c:v>103</c:v>
                </c:pt>
                <c:pt idx="480">
                  <c:v>102</c:v>
                </c:pt>
                <c:pt idx="481">
                  <c:v>93</c:v>
                </c:pt>
                <c:pt idx="482">
                  <c:v>69</c:v>
                </c:pt>
                <c:pt idx="483">
                  <c:v>54</c:v>
                </c:pt>
                <c:pt idx="484">
                  <c:v>116</c:v>
                </c:pt>
                <c:pt idx="485">
                  <c:v>128</c:v>
                </c:pt>
                <c:pt idx="486">
                  <c:v>126</c:v>
                </c:pt>
                <c:pt idx="487">
                  <c:v>118</c:v>
                </c:pt>
                <c:pt idx="488">
                  <c:v>125</c:v>
                </c:pt>
                <c:pt idx="489">
                  <c:v>89</c:v>
                </c:pt>
                <c:pt idx="490">
                  <c:v>53</c:v>
                </c:pt>
                <c:pt idx="491">
                  <c:v>55</c:v>
                </c:pt>
                <c:pt idx="492">
                  <c:v>140</c:v>
                </c:pt>
                <c:pt idx="493">
                  <c:v>186</c:v>
                </c:pt>
                <c:pt idx="494">
                  <c:v>148</c:v>
                </c:pt>
                <c:pt idx="495">
                  <c:v>150</c:v>
                </c:pt>
                <c:pt idx="496">
                  <c:v>103</c:v>
                </c:pt>
                <c:pt idx="497">
                  <c:v>71</c:v>
                </c:pt>
                <c:pt idx="498">
                  <c:v>138</c:v>
                </c:pt>
              </c:numCache>
            </c:numRef>
          </c:val>
          <c:extLst>
            <c:ext xmlns:c16="http://schemas.microsoft.com/office/drawing/2014/chart" uri="{C3380CC4-5D6E-409C-BE32-E72D297353CC}">
              <c16:uniqueId val="{00000000-4FDB-4CD2-8ED4-3F313D6D563F}"/>
            </c:ext>
          </c:extLst>
        </c:ser>
        <c:dLbls>
          <c:showLegendKey val="0"/>
          <c:showVal val="0"/>
          <c:showCatName val="0"/>
          <c:showSerName val="0"/>
          <c:showPercent val="0"/>
          <c:showBubbleSize val="0"/>
        </c:dLbls>
        <c:gapWidth val="150"/>
        <c:axId val="147440000"/>
        <c:axId val="147438208"/>
      </c:barChart>
      <c:lineChart>
        <c:grouping val="standard"/>
        <c:varyColors val="0"/>
        <c:ser>
          <c:idx val="0"/>
          <c:order val="0"/>
          <c:tx>
            <c:strRef>
              <c:f>Sheet1!$B$1</c:f>
              <c:strCache>
                <c:ptCount val="1"/>
                <c:pt idx="0">
                  <c:v>Հաստատված դեպքերը (ընդհանուր)</c:v>
                </c:pt>
              </c:strCache>
            </c:strRef>
          </c:tx>
          <c:spPr>
            <a:ln w="22225" cap="rnd" cmpd="sng" algn="ctr">
              <a:solidFill>
                <a:schemeClr val="accent1"/>
              </a:solidFill>
              <a:round/>
            </a:ln>
            <a:effectLst/>
          </c:spPr>
          <c:marker>
            <c:symbol val="none"/>
          </c:marker>
          <c:cat>
            <c:strRef>
              <c:f>Sheet1!$A$2:$A$500</c:f>
              <c:strCache>
                <c:ptCount val="499"/>
                <c:pt idx="30">
                  <c:v>31.03.2020</c:v>
                </c:pt>
                <c:pt idx="60">
                  <c:v>30.04.2020</c:v>
                </c:pt>
                <c:pt idx="91">
                  <c:v>31.05.2020</c:v>
                </c:pt>
                <c:pt idx="121">
                  <c:v>30.06.2020</c:v>
                </c:pt>
                <c:pt idx="152">
                  <c:v>31.07.2020</c:v>
                </c:pt>
                <c:pt idx="183">
                  <c:v>31.08.2020</c:v>
                </c:pt>
                <c:pt idx="213">
                  <c:v>30.09.2020</c:v>
                </c:pt>
                <c:pt idx="244">
                  <c:v>31.10.2020</c:v>
                </c:pt>
                <c:pt idx="274">
                  <c:v>30.11.2020</c:v>
                </c:pt>
                <c:pt idx="305">
                  <c:v>31.12.2020</c:v>
                </c:pt>
                <c:pt idx="336">
                  <c:v>31.01.2021</c:v>
                </c:pt>
                <c:pt idx="364">
                  <c:v>28.02.2021</c:v>
                </c:pt>
                <c:pt idx="395">
                  <c:v>31.03.2021</c:v>
                </c:pt>
                <c:pt idx="425">
                  <c:v>30.04.2021</c:v>
                </c:pt>
                <c:pt idx="456">
                  <c:v>31.05.2021</c:v>
                </c:pt>
                <c:pt idx="486">
                  <c:v>30.06.2021</c:v>
                </c:pt>
                <c:pt idx="498">
                  <c:v>12.07.2021</c:v>
                </c:pt>
              </c:strCache>
            </c:strRef>
          </c:cat>
          <c:val>
            <c:numRef>
              <c:f>Sheet1!$B$2:$B$500</c:f>
              <c:numCache>
                <c:formatCode>General</c:formatCode>
                <c:ptCount val="499"/>
                <c:pt idx="0">
                  <c:v>1</c:v>
                </c:pt>
                <c:pt idx="1">
                  <c:v>1</c:v>
                </c:pt>
                <c:pt idx="2">
                  <c:v>1</c:v>
                </c:pt>
                <c:pt idx="3">
                  <c:v>1</c:v>
                </c:pt>
                <c:pt idx="4">
                  <c:v>1</c:v>
                </c:pt>
                <c:pt idx="5">
                  <c:v>1</c:v>
                </c:pt>
                <c:pt idx="6">
                  <c:v>1</c:v>
                </c:pt>
                <c:pt idx="7">
                  <c:v>1</c:v>
                </c:pt>
                <c:pt idx="8">
                  <c:v>1</c:v>
                </c:pt>
                <c:pt idx="9">
                  <c:v>1</c:v>
                </c:pt>
                <c:pt idx="10">
                  <c:v>4</c:v>
                </c:pt>
                <c:pt idx="11">
                  <c:v>6</c:v>
                </c:pt>
                <c:pt idx="12">
                  <c:v>13</c:v>
                </c:pt>
                <c:pt idx="13">
                  <c:v>20</c:v>
                </c:pt>
                <c:pt idx="14">
                  <c:v>28</c:v>
                </c:pt>
                <c:pt idx="15">
                  <c:v>45</c:v>
                </c:pt>
                <c:pt idx="16">
                  <c:v>78</c:v>
                </c:pt>
                <c:pt idx="17">
                  <c:v>110</c:v>
                </c:pt>
                <c:pt idx="18">
                  <c:v>136</c:v>
                </c:pt>
                <c:pt idx="19">
                  <c:v>160</c:v>
                </c:pt>
                <c:pt idx="20">
                  <c:v>190</c:v>
                </c:pt>
                <c:pt idx="21">
                  <c:v>194</c:v>
                </c:pt>
                <c:pt idx="22">
                  <c:v>235</c:v>
                </c:pt>
                <c:pt idx="23">
                  <c:v>265</c:v>
                </c:pt>
                <c:pt idx="24">
                  <c:v>290</c:v>
                </c:pt>
                <c:pt idx="25">
                  <c:v>329</c:v>
                </c:pt>
                <c:pt idx="26">
                  <c:v>372</c:v>
                </c:pt>
                <c:pt idx="27">
                  <c:v>424</c:v>
                </c:pt>
                <c:pt idx="28">
                  <c:v>482</c:v>
                </c:pt>
                <c:pt idx="29">
                  <c:v>532</c:v>
                </c:pt>
                <c:pt idx="30">
                  <c:v>571</c:v>
                </c:pt>
                <c:pt idx="31">
                  <c:v>663</c:v>
                </c:pt>
                <c:pt idx="32">
                  <c:v>736</c:v>
                </c:pt>
                <c:pt idx="33">
                  <c:v>770</c:v>
                </c:pt>
                <c:pt idx="34">
                  <c:v>822</c:v>
                </c:pt>
                <c:pt idx="35">
                  <c:v>833</c:v>
                </c:pt>
                <c:pt idx="36">
                  <c:v>853</c:v>
                </c:pt>
                <c:pt idx="37">
                  <c:v>881</c:v>
                </c:pt>
                <c:pt idx="38">
                  <c:v>921</c:v>
                </c:pt>
                <c:pt idx="39">
                  <c:v>937</c:v>
                </c:pt>
                <c:pt idx="40">
                  <c:v>967</c:v>
                </c:pt>
                <c:pt idx="41">
                  <c:v>1013</c:v>
                </c:pt>
                <c:pt idx="42">
                  <c:v>1039</c:v>
                </c:pt>
                <c:pt idx="43">
                  <c:v>1067</c:v>
                </c:pt>
                <c:pt idx="44">
                  <c:v>1111</c:v>
                </c:pt>
                <c:pt idx="45">
                  <c:v>1159</c:v>
                </c:pt>
                <c:pt idx="46">
                  <c:v>1201</c:v>
                </c:pt>
                <c:pt idx="47">
                  <c:v>1248</c:v>
                </c:pt>
                <c:pt idx="48">
                  <c:v>1291</c:v>
                </c:pt>
                <c:pt idx="49">
                  <c:v>1339</c:v>
                </c:pt>
                <c:pt idx="50">
                  <c:v>1401</c:v>
                </c:pt>
                <c:pt idx="51">
                  <c:v>1473</c:v>
                </c:pt>
                <c:pt idx="52">
                  <c:v>1523</c:v>
                </c:pt>
                <c:pt idx="53">
                  <c:v>1596</c:v>
                </c:pt>
                <c:pt idx="54">
                  <c:v>1677</c:v>
                </c:pt>
                <c:pt idx="55">
                  <c:v>1746</c:v>
                </c:pt>
                <c:pt idx="56">
                  <c:v>1808</c:v>
                </c:pt>
                <c:pt idx="57">
                  <c:v>1867</c:v>
                </c:pt>
                <c:pt idx="58">
                  <c:v>1932</c:v>
                </c:pt>
                <c:pt idx="59">
                  <c:v>2066</c:v>
                </c:pt>
                <c:pt idx="60">
                  <c:v>2148</c:v>
                </c:pt>
                <c:pt idx="61">
                  <c:v>2273</c:v>
                </c:pt>
                <c:pt idx="62">
                  <c:v>2386</c:v>
                </c:pt>
                <c:pt idx="63">
                  <c:v>2507</c:v>
                </c:pt>
                <c:pt idx="64">
                  <c:v>2619</c:v>
                </c:pt>
                <c:pt idx="65">
                  <c:v>2782</c:v>
                </c:pt>
                <c:pt idx="66">
                  <c:v>2884</c:v>
                </c:pt>
                <c:pt idx="67">
                  <c:v>3029</c:v>
                </c:pt>
                <c:pt idx="68">
                  <c:v>3175</c:v>
                </c:pt>
                <c:pt idx="69">
                  <c:v>3313</c:v>
                </c:pt>
                <c:pt idx="70">
                  <c:v>3392</c:v>
                </c:pt>
                <c:pt idx="71">
                  <c:v>3538</c:v>
                </c:pt>
                <c:pt idx="72">
                  <c:v>3718</c:v>
                </c:pt>
                <c:pt idx="73">
                  <c:v>3860</c:v>
                </c:pt>
                <c:pt idx="74">
                  <c:v>4044</c:v>
                </c:pt>
                <c:pt idx="75">
                  <c:v>4283</c:v>
                </c:pt>
                <c:pt idx="76">
                  <c:v>4472</c:v>
                </c:pt>
                <c:pt idx="77">
                  <c:v>4823</c:v>
                </c:pt>
                <c:pt idx="78">
                  <c:v>5041</c:v>
                </c:pt>
                <c:pt idx="79">
                  <c:v>5271</c:v>
                </c:pt>
                <c:pt idx="80">
                  <c:v>5606</c:v>
                </c:pt>
                <c:pt idx="81">
                  <c:v>5928</c:v>
                </c:pt>
                <c:pt idx="82">
                  <c:v>6302</c:v>
                </c:pt>
                <c:pt idx="83">
                  <c:v>6661</c:v>
                </c:pt>
                <c:pt idx="84">
                  <c:v>7113</c:v>
                </c:pt>
                <c:pt idx="85">
                  <c:v>7402</c:v>
                </c:pt>
                <c:pt idx="86">
                  <c:v>7774</c:v>
                </c:pt>
                <c:pt idx="87">
                  <c:v>8216</c:v>
                </c:pt>
                <c:pt idx="88">
                  <c:v>8676</c:v>
                </c:pt>
                <c:pt idx="89">
                  <c:v>8927</c:v>
                </c:pt>
                <c:pt idx="90">
                  <c:v>9282</c:v>
                </c:pt>
                <c:pt idx="91">
                  <c:v>9492</c:v>
                </c:pt>
                <c:pt idx="92">
                  <c:v>10009</c:v>
                </c:pt>
                <c:pt idx="93">
                  <c:v>10524</c:v>
                </c:pt>
                <c:pt idx="94">
                  <c:v>11221</c:v>
                </c:pt>
                <c:pt idx="95">
                  <c:v>11817</c:v>
                </c:pt>
                <c:pt idx="96">
                  <c:v>12364</c:v>
                </c:pt>
                <c:pt idx="97">
                  <c:v>13130</c:v>
                </c:pt>
                <c:pt idx="98">
                  <c:v>13325</c:v>
                </c:pt>
                <c:pt idx="99">
                  <c:v>13675</c:v>
                </c:pt>
                <c:pt idx="100">
                  <c:v>14103</c:v>
                </c:pt>
                <c:pt idx="101">
                  <c:v>14669</c:v>
                </c:pt>
                <c:pt idx="102">
                  <c:v>15281</c:v>
                </c:pt>
                <c:pt idx="103">
                  <c:v>16004</c:v>
                </c:pt>
                <c:pt idx="104">
                  <c:v>16667</c:v>
                </c:pt>
                <c:pt idx="105">
                  <c:v>17064</c:v>
                </c:pt>
                <c:pt idx="106">
                  <c:v>17489</c:v>
                </c:pt>
                <c:pt idx="107">
                  <c:v>18033</c:v>
                </c:pt>
                <c:pt idx="108">
                  <c:v>18698</c:v>
                </c:pt>
                <c:pt idx="109">
                  <c:v>19157</c:v>
                </c:pt>
                <c:pt idx="110">
                  <c:v>19708</c:v>
                </c:pt>
                <c:pt idx="111">
                  <c:v>20268</c:v>
                </c:pt>
                <c:pt idx="112">
                  <c:v>20588</c:v>
                </c:pt>
                <c:pt idx="113">
                  <c:v>21006</c:v>
                </c:pt>
                <c:pt idx="114">
                  <c:v>21717</c:v>
                </c:pt>
                <c:pt idx="115">
                  <c:v>22488</c:v>
                </c:pt>
                <c:pt idx="116">
                  <c:v>23247</c:v>
                </c:pt>
                <c:pt idx="117">
                  <c:v>23909</c:v>
                </c:pt>
                <c:pt idx="118">
                  <c:v>24645</c:v>
                </c:pt>
                <c:pt idx="119">
                  <c:v>25127</c:v>
                </c:pt>
                <c:pt idx="120">
                  <c:v>25542</c:v>
                </c:pt>
                <c:pt idx="121">
                  <c:v>26065</c:v>
                </c:pt>
                <c:pt idx="122">
                  <c:v>26658</c:v>
                </c:pt>
                <c:pt idx="123">
                  <c:v>27320</c:v>
                </c:pt>
                <c:pt idx="124">
                  <c:v>27900</c:v>
                </c:pt>
                <c:pt idx="125">
                  <c:v>28606</c:v>
                </c:pt>
                <c:pt idx="126">
                  <c:v>28936</c:v>
                </c:pt>
                <c:pt idx="127">
                  <c:v>29285</c:v>
                </c:pt>
                <c:pt idx="128">
                  <c:v>29820</c:v>
                </c:pt>
                <c:pt idx="129">
                  <c:v>30346</c:v>
                </c:pt>
                <c:pt idx="130">
                  <c:v>30903</c:v>
                </c:pt>
                <c:pt idx="131">
                  <c:v>31392</c:v>
                </c:pt>
                <c:pt idx="132">
                  <c:v>31969</c:v>
                </c:pt>
                <c:pt idx="133">
                  <c:v>32151</c:v>
                </c:pt>
                <c:pt idx="134">
                  <c:v>32490</c:v>
                </c:pt>
                <c:pt idx="135">
                  <c:v>33005</c:v>
                </c:pt>
                <c:pt idx="136">
                  <c:v>33559</c:v>
                </c:pt>
                <c:pt idx="137">
                  <c:v>34001</c:v>
                </c:pt>
                <c:pt idx="138">
                  <c:v>34462</c:v>
                </c:pt>
                <c:pt idx="139">
                  <c:v>34877</c:v>
                </c:pt>
                <c:pt idx="140">
                  <c:v>34981</c:v>
                </c:pt>
                <c:pt idx="141">
                  <c:v>35254</c:v>
                </c:pt>
                <c:pt idx="142">
                  <c:v>35693</c:v>
                </c:pt>
                <c:pt idx="143">
                  <c:v>36162</c:v>
                </c:pt>
                <c:pt idx="144">
                  <c:v>36613</c:v>
                </c:pt>
                <c:pt idx="145">
                  <c:v>36996</c:v>
                </c:pt>
                <c:pt idx="146">
                  <c:v>37317</c:v>
                </c:pt>
                <c:pt idx="147">
                  <c:v>37390</c:v>
                </c:pt>
                <c:pt idx="148">
                  <c:v>37629</c:v>
                </c:pt>
                <c:pt idx="149">
                  <c:v>37937</c:v>
                </c:pt>
                <c:pt idx="150">
                  <c:v>38196</c:v>
                </c:pt>
                <c:pt idx="151">
                  <c:v>38550</c:v>
                </c:pt>
                <c:pt idx="152">
                  <c:v>38841</c:v>
                </c:pt>
                <c:pt idx="153">
                  <c:v>39050</c:v>
                </c:pt>
                <c:pt idx="154">
                  <c:v>39102</c:v>
                </c:pt>
                <c:pt idx="155">
                  <c:v>39298</c:v>
                </c:pt>
                <c:pt idx="156">
                  <c:v>39586</c:v>
                </c:pt>
                <c:pt idx="157">
                  <c:v>39819</c:v>
                </c:pt>
                <c:pt idx="158">
                  <c:v>39985</c:v>
                </c:pt>
                <c:pt idx="159">
                  <c:v>40185</c:v>
                </c:pt>
                <c:pt idx="160">
                  <c:v>40410</c:v>
                </c:pt>
                <c:pt idx="161">
                  <c:v>40433</c:v>
                </c:pt>
                <c:pt idx="162">
                  <c:v>40593</c:v>
                </c:pt>
                <c:pt idx="163">
                  <c:v>40794</c:v>
                </c:pt>
                <c:pt idx="164">
                  <c:v>41023</c:v>
                </c:pt>
                <c:pt idx="165">
                  <c:v>41299</c:v>
                </c:pt>
                <c:pt idx="166">
                  <c:v>41495</c:v>
                </c:pt>
                <c:pt idx="167">
                  <c:v>41663</c:v>
                </c:pt>
                <c:pt idx="168">
                  <c:v>41701</c:v>
                </c:pt>
                <c:pt idx="169">
                  <c:v>41846</c:v>
                </c:pt>
                <c:pt idx="170">
                  <c:v>42056</c:v>
                </c:pt>
                <c:pt idx="171">
                  <c:v>42319</c:v>
                </c:pt>
                <c:pt idx="172">
                  <c:v>42477</c:v>
                </c:pt>
                <c:pt idx="173">
                  <c:v>42616</c:v>
                </c:pt>
                <c:pt idx="174">
                  <c:v>42792</c:v>
                </c:pt>
                <c:pt idx="175">
                  <c:v>42825</c:v>
                </c:pt>
                <c:pt idx="176">
                  <c:v>42936</c:v>
                </c:pt>
                <c:pt idx="177">
                  <c:v>43067</c:v>
                </c:pt>
                <c:pt idx="178">
                  <c:v>43270</c:v>
                </c:pt>
                <c:pt idx="179">
                  <c:v>43451</c:v>
                </c:pt>
                <c:pt idx="180">
                  <c:v>43626</c:v>
                </c:pt>
                <c:pt idx="181">
                  <c:v>43750</c:v>
                </c:pt>
                <c:pt idx="182">
                  <c:v>43781</c:v>
                </c:pt>
                <c:pt idx="183">
                  <c:v>43878</c:v>
                </c:pt>
                <c:pt idx="184">
                  <c:v>44075</c:v>
                </c:pt>
                <c:pt idx="185">
                  <c:v>44271</c:v>
                </c:pt>
                <c:pt idx="186">
                  <c:v>44461</c:v>
                </c:pt>
                <c:pt idx="187">
                  <c:v>44649</c:v>
                </c:pt>
                <c:pt idx="188">
                  <c:v>44783</c:v>
                </c:pt>
                <c:pt idx="189">
                  <c:v>44845</c:v>
                </c:pt>
                <c:pt idx="190">
                  <c:v>44953</c:v>
                </c:pt>
                <c:pt idx="191">
                  <c:v>45152</c:v>
                </c:pt>
                <c:pt idx="192">
                  <c:v>45326</c:v>
                </c:pt>
                <c:pt idx="193">
                  <c:v>45503</c:v>
                </c:pt>
                <c:pt idx="194">
                  <c:v>45675</c:v>
                </c:pt>
                <c:pt idx="195">
                  <c:v>45862</c:v>
                </c:pt>
                <c:pt idx="196">
                  <c:v>45969</c:v>
                </c:pt>
                <c:pt idx="197">
                  <c:v>46119</c:v>
                </c:pt>
                <c:pt idx="198">
                  <c:v>46376</c:v>
                </c:pt>
                <c:pt idx="199">
                  <c:v>46671</c:v>
                </c:pt>
                <c:pt idx="200">
                  <c:v>46910</c:v>
                </c:pt>
                <c:pt idx="201">
                  <c:v>47154</c:v>
                </c:pt>
                <c:pt idx="202">
                  <c:v>47431</c:v>
                </c:pt>
                <c:pt idx="203">
                  <c:v>47552</c:v>
                </c:pt>
                <c:pt idx="204">
                  <c:v>47667</c:v>
                </c:pt>
                <c:pt idx="205">
                  <c:v>47877</c:v>
                </c:pt>
                <c:pt idx="206">
                  <c:v>48251</c:v>
                </c:pt>
                <c:pt idx="207">
                  <c:v>48643</c:v>
                </c:pt>
                <c:pt idx="208">
                  <c:v>49072</c:v>
                </c:pt>
                <c:pt idx="209">
                  <c:v>49400</c:v>
                </c:pt>
                <c:pt idx="210">
                  <c:v>49574</c:v>
                </c:pt>
                <c:pt idx="211">
                  <c:v>49901</c:v>
                </c:pt>
                <c:pt idx="212">
                  <c:v>50359</c:v>
                </c:pt>
                <c:pt idx="213">
                  <c:v>50850</c:v>
                </c:pt>
                <c:pt idx="214">
                  <c:v>51382</c:v>
                </c:pt>
                <c:pt idx="215">
                  <c:v>51925</c:v>
                </c:pt>
                <c:pt idx="216">
                  <c:v>52496</c:v>
                </c:pt>
                <c:pt idx="217">
                  <c:v>52677</c:v>
                </c:pt>
                <c:pt idx="218">
                  <c:v>53083</c:v>
                </c:pt>
                <c:pt idx="219">
                  <c:v>53755</c:v>
                </c:pt>
                <c:pt idx="220">
                  <c:v>54473</c:v>
                </c:pt>
                <c:pt idx="221">
                  <c:v>55087</c:v>
                </c:pt>
                <c:pt idx="222">
                  <c:v>55736</c:v>
                </c:pt>
                <c:pt idx="223">
                  <c:v>56451</c:v>
                </c:pt>
                <c:pt idx="224">
                  <c:v>56821</c:v>
                </c:pt>
                <c:pt idx="225">
                  <c:v>57566</c:v>
                </c:pt>
                <c:pt idx="226">
                  <c:v>58624</c:v>
                </c:pt>
                <c:pt idx="227">
                  <c:v>59995</c:v>
                </c:pt>
                <c:pt idx="228">
                  <c:v>61460</c:v>
                </c:pt>
                <c:pt idx="229">
                  <c:v>63000</c:v>
                </c:pt>
                <c:pt idx="230">
                  <c:v>64694</c:v>
                </c:pt>
                <c:pt idx="231">
                  <c:v>65460</c:v>
                </c:pt>
                <c:pt idx="232">
                  <c:v>66694</c:v>
                </c:pt>
                <c:pt idx="233">
                  <c:v>68530</c:v>
                </c:pt>
                <c:pt idx="234">
                  <c:v>70836</c:v>
                </c:pt>
                <c:pt idx="235">
                  <c:v>73310</c:v>
                </c:pt>
                <c:pt idx="236">
                  <c:v>75523</c:v>
                </c:pt>
                <c:pt idx="237">
                  <c:v>77837</c:v>
                </c:pt>
                <c:pt idx="238">
                  <c:v>78810</c:v>
                </c:pt>
                <c:pt idx="239">
                  <c:v>80410</c:v>
                </c:pt>
                <c:pt idx="240">
                  <c:v>82651</c:v>
                </c:pt>
                <c:pt idx="241">
                  <c:v>85034</c:v>
                </c:pt>
                <c:pt idx="242">
                  <c:v>87432</c:v>
                </c:pt>
                <c:pt idx="243">
                  <c:v>89813</c:v>
                </c:pt>
                <c:pt idx="244">
                  <c:v>92254</c:v>
                </c:pt>
                <c:pt idx="245">
                  <c:v>93448</c:v>
                </c:pt>
                <c:pt idx="246">
                  <c:v>94776</c:v>
                </c:pt>
                <c:pt idx="247">
                  <c:v>97150</c:v>
                </c:pt>
                <c:pt idx="248">
                  <c:v>99563</c:v>
                </c:pt>
                <c:pt idx="249">
                  <c:v>101773</c:v>
                </c:pt>
                <c:pt idx="250">
                  <c:v>104249</c:v>
                </c:pt>
                <c:pt idx="251">
                  <c:v>106424</c:v>
                </c:pt>
                <c:pt idx="252">
                  <c:v>107466</c:v>
                </c:pt>
                <c:pt idx="253">
                  <c:v>108687</c:v>
                </c:pt>
                <c:pt idx="254">
                  <c:v>110548</c:v>
                </c:pt>
                <c:pt idx="255">
                  <c:v>112680</c:v>
                </c:pt>
                <c:pt idx="256">
                  <c:v>114383</c:v>
                </c:pt>
                <c:pt idx="257">
                  <c:v>115855</c:v>
                </c:pt>
                <c:pt idx="258">
                  <c:v>117337</c:v>
                </c:pt>
                <c:pt idx="259">
                  <c:v>117886</c:v>
                </c:pt>
                <c:pt idx="260">
                  <c:v>118870</c:v>
                </c:pt>
                <c:pt idx="261">
                  <c:v>120459</c:v>
                </c:pt>
                <c:pt idx="262">
                  <c:v>121979</c:v>
                </c:pt>
                <c:pt idx="263">
                  <c:v>123646</c:v>
                </c:pt>
                <c:pt idx="264">
                  <c:v>124839</c:v>
                </c:pt>
                <c:pt idx="265">
                  <c:v>126224</c:v>
                </c:pt>
                <c:pt idx="266">
                  <c:v>126709</c:v>
                </c:pt>
                <c:pt idx="267">
                  <c:v>127522</c:v>
                </c:pt>
                <c:pt idx="268">
                  <c:v>129085</c:v>
                </c:pt>
                <c:pt idx="269">
                  <c:v>130870</c:v>
                </c:pt>
                <c:pt idx="270">
                  <c:v>132346</c:v>
                </c:pt>
                <c:pt idx="271">
                  <c:v>133594</c:v>
                </c:pt>
                <c:pt idx="272">
                  <c:v>134768</c:v>
                </c:pt>
                <c:pt idx="273">
                  <c:v>135124</c:v>
                </c:pt>
                <c:pt idx="274">
                  <c:v>135967</c:v>
                </c:pt>
                <c:pt idx="275">
                  <c:v>137231</c:v>
                </c:pt>
                <c:pt idx="276">
                  <c:v>138508</c:v>
                </c:pt>
                <c:pt idx="277">
                  <c:v>139692</c:v>
                </c:pt>
                <c:pt idx="278">
                  <c:v>140959</c:v>
                </c:pt>
                <c:pt idx="279">
                  <c:v>141937</c:v>
                </c:pt>
                <c:pt idx="280">
                  <c:v>142344</c:v>
                </c:pt>
                <c:pt idx="281">
                  <c:v>142928</c:v>
                </c:pt>
                <c:pt idx="282">
                  <c:v>144066</c:v>
                </c:pt>
                <c:pt idx="283">
                  <c:v>145240</c:v>
                </c:pt>
                <c:pt idx="284">
                  <c:v>146317</c:v>
                </c:pt>
                <c:pt idx="285">
                  <c:v>147312</c:v>
                </c:pt>
                <c:pt idx="286">
                  <c:v>148325</c:v>
                </c:pt>
                <c:pt idx="287">
                  <c:v>148682</c:v>
                </c:pt>
                <c:pt idx="288">
                  <c:v>149120</c:v>
                </c:pt>
                <c:pt idx="289">
                  <c:v>150218</c:v>
                </c:pt>
                <c:pt idx="290">
                  <c:v>151392</c:v>
                </c:pt>
                <c:pt idx="291">
                  <c:v>152253</c:v>
                </c:pt>
                <c:pt idx="292">
                  <c:v>153173</c:v>
                </c:pt>
                <c:pt idx="293">
                  <c:v>153825</c:v>
                </c:pt>
                <c:pt idx="294">
                  <c:v>154065</c:v>
                </c:pt>
                <c:pt idx="295">
                  <c:v>154602</c:v>
                </c:pt>
                <c:pt idx="296">
                  <c:v>155440</c:v>
                </c:pt>
                <c:pt idx="297">
                  <c:v>156142</c:v>
                </c:pt>
                <c:pt idx="298">
                  <c:v>156763</c:v>
                </c:pt>
                <c:pt idx="299">
                  <c:v>157349</c:v>
                </c:pt>
                <c:pt idx="300">
                  <c:v>157834</c:v>
                </c:pt>
                <c:pt idx="301">
                  <c:v>157948</c:v>
                </c:pt>
                <c:pt idx="302">
                  <c:v>158296</c:v>
                </c:pt>
                <c:pt idx="303">
                  <c:v>158878</c:v>
                </c:pt>
                <c:pt idx="304">
                  <c:v>159409</c:v>
                </c:pt>
                <c:pt idx="305">
                  <c:v>159738</c:v>
                </c:pt>
                <c:pt idx="306">
                  <c:v>159798</c:v>
                </c:pt>
                <c:pt idx="307">
                  <c:v>160027</c:v>
                </c:pt>
                <c:pt idx="308">
                  <c:v>160220</c:v>
                </c:pt>
                <c:pt idx="309">
                  <c:v>160544</c:v>
                </c:pt>
                <c:pt idx="310">
                  <c:v>160853</c:v>
                </c:pt>
                <c:pt idx="311">
                  <c:v>161054</c:v>
                </c:pt>
                <c:pt idx="312">
                  <c:v>161415</c:v>
                </c:pt>
                <c:pt idx="313">
                  <c:v>161794</c:v>
                </c:pt>
                <c:pt idx="314">
                  <c:v>162131</c:v>
                </c:pt>
                <c:pt idx="315">
                  <c:v>162288</c:v>
                </c:pt>
                <c:pt idx="316">
                  <c:v>162643</c:v>
                </c:pt>
                <c:pt idx="317">
                  <c:v>163128</c:v>
                </c:pt>
                <c:pt idx="318">
                  <c:v>163576</c:v>
                </c:pt>
                <c:pt idx="319">
                  <c:v>163972</c:v>
                </c:pt>
                <c:pt idx="320">
                  <c:v>164235</c:v>
                </c:pt>
                <c:pt idx="321">
                  <c:v>164586</c:v>
                </c:pt>
                <c:pt idx="322">
                  <c:v>164676</c:v>
                </c:pt>
                <c:pt idx="323">
                  <c:v>164912</c:v>
                </c:pt>
                <c:pt idx="324">
                  <c:v>165221</c:v>
                </c:pt>
                <c:pt idx="325">
                  <c:v>165528</c:v>
                </c:pt>
                <c:pt idx="326">
                  <c:v>165711</c:v>
                </c:pt>
                <c:pt idx="327">
                  <c:v>165909</c:v>
                </c:pt>
                <c:pt idx="328">
                  <c:v>166036</c:v>
                </c:pt>
                <c:pt idx="329">
                  <c:v>166094</c:v>
                </c:pt>
                <c:pt idx="330">
                  <c:v>166232</c:v>
                </c:pt>
                <c:pt idx="331">
                  <c:v>166427</c:v>
                </c:pt>
                <c:pt idx="332">
                  <c:v>166669</c:v>
                </c:pt>
                <c:pt idx="333">
                  <c:v>166728</c:v>
                </c:pt>
                <c:pt idx="334">
                  <c:v>166901</c:v>
                </c:pt>
                <c:pt idx="335">
                  <c:v>167026</c:v>
                </c:pt>
                <c:pt idx="336">
                  <c:v>167088</c:v>
                </c:pt>
                <c:pt idx="337">
                  <c:v>167231</c:v>
                </c:pt>
                <c:pt idx="338">
                  <c:v>167421</c:v>
                </c:pt>
                <c:pt idx="339">
                  <c:v>167568</c:v>
                </c:pt>
                <c:pt idx="340">
                  <c:v>167726</c:v>
                </c:pt>
                <c:pt idx="341">
                  <c:v>167937</c:v>
                </c:pt>
                <c:pt idx="342">
                  <c:v>168088</c:v>
                </c:pt>
                <c:pt idx="343">
                  <c:v>168177</c:v>
                </c:pt>
                <c:pt idx="344">
                  <c:v>168300</c:v>
                </c:pt>
                <c:pt idx="345">
                  <c:v>168496</c:v>
                </c:pt>
                <c:pt idx="346">
                  <c:v>168676</c:v>
                </c:pt>
                <c:pt idx="347">
                  <c:v>168830</c:v>
                </c:pt>
                <c:pt idx="348">
                  <c:v>169022</c:v>
                </c:pt>
                <c:pt idx="349">
                  <c:v>169167</c:v>
                </c:pt>
                <c:pt idx="350">
                  <c:v>169255</c:v>
                </c:pt>
                <c:pt idx="351">
                  <c:v>169391</c:v>
                </c:pt>
                <c:pt idx="352">
                  <c:v>169597</c:v>
                </c:pt>
                <c:pt idx="353">
                  <c:v>169820</c:v>
                </c:pt>
                <c:pt idx="354">
                  <c:v>170011</c:v>
                </c:pt>
                <c:pt idx="355">
                  <c:v>170234</c:v>
                </c:pt>
                <c:pt idx="356">
                  <c:v>170402</c:v>
                </c:pt>
                <c:pt idx="357">
                  <c:v>170506</c:v>
                </c:pt>
                <c:pt idx="358">
                  <c:v>170672</c:v>
                </c:pt>
                <c:pt idx="359">
                  <c:v>170945</c:v>
                </c:pt>
                <c:pt idx="360">
                  <c:v>171227</c:v>
                </c:pt>
                <c:pt idx="361">
                  <c:v>171510</c:v>
                </c:pt>
                <c:pt idx="362">
                  <c:v>171793</c:v>
                </c:pt>
                <c:pt idx="363">
                  <c:v>172058</c:v>
                </c:pt>
                <c:pt idx="364">
                  <c:v>172216</c:v>
                </c:pt>
                <c:pt idx="365">
                  <c:v>172456</c:v>
                </c:pt>
                <c:pt idx="366">
                  <c:v>172816</c:v>
                </c:pt>
                <c:pt idx="367">
                  <c:v>173307</c:v>
                </c:pt>
                <c:pt idx="368">
                  <c:v>173749</c:v>
                </c:pt>
                <c:pt idx="369">
                  <c:v>174257</c:v>
                </c:pt>
                <c:pt idx="370">
                  <c:v>174679</c:v>
                </c:pt>
                <c:pt idx="371">
                  <c:v>175016</c:v>
                </c:pt>
                <c:pt idx="372">
                  <c:v>175198</c:v>
                </c:pt>
                <c:pt idx="373">
                  <c:v>175538</c:v>
                </c:pt>
                <c:pt idx="374">
                  <c:v>176286</c:v>
                </c:pt>
                <c:pt idx="375">
                  <c:v>177104</c:v>
                </c:pt>
                <c:pt idx="376">
                  <c:v>177899</c:v>
                </c:pt>
                <c:pt idx="377">
                  <c:v>178385</c:v>
                </c:pt>
                <c:pt idx="378">
                  <c:v>178702</c:v>
                </c:pt>
                <c:pt idx="379">
                  <c:v>179287</c:v>
                </c:pt>
                <c:pt idx="380">
                  <c:v>180141</c:v>
                </c:pt>
                <c:pt idx="381">
                  <c:v>181165</c:v>
                </c:pt>
                <c:pt idx="382">
                  <c:v>182056</c:v>
                </c:pt>
                <c:pt idx="383">
                  <c:v>183127</c:v>
                </c:pt>
                <c:pt idx="384">
                  <c:v>183713</c:v>
                </c:pt>
                <c:pt idx="385">
                  <c:v>184219</c:v>
                </c:pt>
                <c:pt idx="386">
                  <c:v>185020</c:v>
                </c:pt>
                <c:pt idx="387">
                  <c:v>186184</c:v>
                </c:pt>
                <c:pt idx="388">
                  <c:v>187441</c:v>
                </c:pt>
                <c:pt idx="389">
                  <c:v>188446</c:v>
                </c:pt>
                <c:pt idx="390">
                  <c:v>189540</c:v>
                </c:pt>
                <c:pt idx="391">
                  <c:v>190317</c:v>
                </c:pt>
                <c:pt idx="392">
                  <c:v>190741</c:v>
                </c:pt>
                <c:pt idx="393">
                  <c:v>191491</c:v>
                </c:pt>
                <c:pt idx="394">
                  <c:v>192639</c:v>
                </c:pt>
                <c:pt idx="395">
                  <c:v>193736</c:v>
                </c:pt>
                <c:pt idx="396">
                  <c:v>194852</c:v>
                </c:pt>
                <c:pt idx="397">
                  <c:v>196044</c:v>
                </c:pt>
                <c:pt idx="398">
                  <c:v>196634</c:v>
                </c:pt>
                <c:pt idx="399">
                  <c:v>197113</c:v>
                </c:pt>
                <c:pt idx="400">
                  <c:v>197873</c:v>
                </c:pt>
                <c:pt idx="401">
                  <c:v>198898</c:v>
                </c:pt>
                <c:pt idx="402">
                  <c:v>200129</c:v>
                </c:pt>
                <c:pt idx="403">
                  <c:v>201158</c:v>
                </c:pt>
                <c:pt idx="404">
                  <c:v>202167</c:v>
                </c:pt>
                <c:pt idx="405">
                  <c:v>202817</c:v>
                </c:pt>
                <c:pt idx="406">
                  <c:v>203327</c:v>
                </c:pt>
                <c:pt idx="407">
                  <c:v>204053</c:v>
                </c:pt>
                <c:pt idx="408">
                  <c:v>205128</c:v>
                </c:pt>
                <c:pt idx="409">
                  <c:v>206142</c:v>
                </c:pt>
                <c:pt idx="410">
                  <c:v>207103</c:v>
                </c:pt>
                <c:pt idx="411">
                  <c:v>207973</c:v>
                </c:pt>
                <c:pt idx="412">
                  <c:v>208520</c:v>
                </c:pt>
                <c:pt idx="413">
                  <c:v>208818</c:v>
                </c:pt>
                <c:pt idx="414">
                  <c:v>209485</c:v>
                </c:pt>
                <c:pt idx="415">
                  <c:v>210518</c:v>
                </c:pt>
                <c:pt idx="416">
                  <c:v>211399</c:v>
                </c:pt>
                <c:pt idx="417">
                  <c:v>212114</c:v>
                </c:pt>
                <c:pt idx="418">
                  <c:v>212878</c:v>
                </c:pt>
                <c:pt idx="419">
                  <c:v>213288</c:v>
                </c:pt>
                <c:pt idx="420">
                  <c:v>213469</c:v>
                </c:pt>
                <c:pt idx="421">
                  <c:v>214064</c:v>
                </c:pt>
                <c:pt idx="422">
                  <c:v>214872</c:v>
                </c:pt>
                <c:pt idx="423">
                  <c:v>215528</c:v>
                </c:pt>
                <c:pt idx="424">
                  <c:v>216064</c:v>
                </c:pt>
                <c:pt idx="425">
                  <c:v>216596</c:v>
                </c:pt>
                <c:pt idx="426">
                  <c:v>216863</c:v>
                </c:pt>
                <c:pt idx="427">
                  <c:v>217008</c:v>
                </c:pt>
                <c:pt idx="428">
                  <c:v>217407</c:v>
                </c:pt>
                <c:pt idx="429">
                  <c:v>217900</c:v>
                </c:pt>
                <c:pt idx="430">
                  <c:v>218325</c:v>
                </c:pt>
                <c:pt idx="431">
                  <c:v>218681</c:v>
                </c:pt>
                <c:pt idx="432">
                  <c:v>219092</c:v>
                </c:pt>
                <c:pt idx="433">
                  <c:v>219270</c:v>
                </c:pt>
                <c:pt idx="434">
                  <c:v>219353</c:v>
                </c:pt>
                <c:pt idx="435">
                  <c:v>219596</c:v>
                </c:pt>
                <c:pt idx="436">
                  <c:v>219950</c:v>
                </c:pt>
                <c:pt idx="437">
                  <c:v>220217</c:v>
                </c:pt>
                <c:pt idx="438">
                  <c:v>220447</c:v>
                </c:pt>
                <c:pt idx="439">
                  <c:v>220729</c:v>
                </c:pt>
                <c:pt idx="440">
                  <c:v>220860</c:v>
                </c:pt>
                <c:pt idx="441">
                  <c:v>220927</c:v>
                </c:pt>
                <c:pt idx="442">
                  <c:v>221139</c:v>
                </c:pt>
                <c:pt idx="443">
                  <c:v>221368</c:v>
                </c:pt>
                <c:pt idx="444">
                  <c:v>221559</c:v>
                </c:pt>
                <c:pt idx="445">
                  <c:v>221699</c:v>
                </c:pt>
                <c:pt idx="446">
                  <c:v>221880</c:v>
                </c:pt>
                <c:pt idx="447">
                  <c:v>221948</c:v>
                </c:pt>
                <c:pt idx="448">
                  <c:v>221982</c:v>
                </c:pt>
                <c:pt idx="449">
                  <c:v>222139</c:v>
                </c:pt>
                <c:pt idx="450">
                  <c:v>222269</c:v>
                </c:pt>
                <c:pt idx="451">
                  <c:v>222409</c:v>
                </c:pt>
                <c:pt idx="452">
                  <c:v>222513</c:v>
                </c:pt>
                <c:pt idx="453">
                  <c:v>222555</c:v>
                </c:pt>
                <c:pt idx="454">
                  <c:v>222636</c:v>
                </c:pt>
                <c:pt idx="455">
                  <c:v>222670</c:v>
                </c:pt>
                <c:pt idx="456">
                  <c:v>222778</c:v>
                </c:pt>
                <c:pt idx="457">
                  <c:v>222870</c:v>
                </c:pt>
                <c:pt idx="458">
                  <c:v>222978</c:v>
                </c:pt>
                <c:pt idx="459">
                  <c:v>223050</c:v>
                </c:pt>
                <c:pt idx="460">
                  <c:v>223143</c:v>
                </c:pt>
                <c:pt idx="461">
                  <c:v>223180</c:v>
                </c:pt>
                <c:pt idx="462">
                  <c:v>223212</c:v>
                </c:pt>
                <c:pt idx="463">
                  <c:v>223285</c:v>
                </c:pt>
                <c:pt idx="464">
                  <c:v>223384</c:v>
                </c:pt>
                <c:pt idx="465">
                  <c:v>223460</c:v>
                </c:pt>
                <c:pt idx="466">
                  <c:v>223555</c:v>
                </c:pt>
                <c:pt idx="467">
                  <c:v>223643</c:v>
                </c:pt>
                <c:pt idx="468">
                  <c:v>223682</c:v>
                </c:pt>
                <c:pt idx="469">
                  <c:v>223723</c:v>
                </c:pt>
                <c:pt idx="470">
                  <c:v>223805</c:v>
                </c:pt>
                <c:pt idx="471">
                  <c:v>223904</c:v>
                </c:pt>
                <c:pt idx="472">
                  <c:v>224000</c:v>
                </c:pt>
                <c:pt idx="473">
                  <c:v>224086</c:v>
                </c:pt>
                <c:pt idx="474">
                  <c:v>224167</c:v>
                </c:pt>
                <c:pt idx="475">
                  <c:v>224227</c:v>
                </c:pt>
                <c:pt idx="476">
                  <c:v>224253</c:v>
                </c:pt>
                <c:pt idx="477">
                  <c:v>224330</c:v>
                </c:pt>
                <c:pt idx="478">
                  <c:v>224430</c:v>
                </c:pt>
                <c:pt idx="479">
                  <c:v>224533</c:v>
                </c:pt>
                <c:pt idx="480">
                  <c:v>224635</c:v>
                </c:pt>
                <c:pt idx="481">
                  <c:v>224728</c:v>
                </c:pt>
                <c:pt idx="482">
                  <c:v>224797</c:v>
                </c:pt>
                <c:pt idx="483">
                  <c:v>224851</c:v>
                </c:pt>
                <c:pt idx="484">
                  <c:v>224967</c:v>
                </c:pt>
                <c:pt idx="485">
                  <c:v>225095</c:v>
                </c:pt>
                <c:pt idx="486">
                  <c:v>225221</c:v>
                </c:pt>
                <c:pt idx="487">
                  <c:v>225339</c:v>
                </c:pt>
                <c:pt idx="488">
                  <c:v>225464</c:v>
                </c:pt>
                <c:pt idx="489">
                  <c:v>225553</c:v>
                </c:pt>
                <c:pt idx="490">
                  <c:v>225606</c:v>
                </c:pt>
                <c:pt idx="491">
                  <c:v>225661</c:v>
                </c:pt>
                <c:pt idx="492">
                  <c:v>225801</c:v>
                </c:pt>
                <c:pt idx="493">
                  <c:v>225987</c:v>
                </c:pt>
                <c:pt idx="494">
                  <c:v>226135</c:v>
                </c:pt>
                <c:pt idx="495">
                  <c:v>226285</c:v>
                </c:pt>
                <c:pt idx="496">
                  <c:v>226388</c:v>
                </c:pt>
                <c:pt idx="497">
                  <c:v>226459</c:v>
                </c:pt>
                <c:pt idx="498">
                  <c:v>226597</c:v>
                </c:pt>
              </c:numCache>
            </c:numRef>
          </c:val>
          <c:smooth val="0"/>
          <c:extLst>
            <c:ext xmlns:c16="http://schemas.microsoft.com/office/drawing/2014/chart" uri="{C3380CC4-5D6E-409C-BE32-E72D297353CC}">
              <c16:uniqueId val="{00000001-4FDB-4CD2-8ED4-3F313D6D563F}"/>
            </c:ext>
          </c:extLst>
        </c:ser>
        <c:dLbls>
          <c:showLegendKey val="0"/>
          <c:showVal val="0"/>
          <c:showCatName val="0"/>
          <c:showSerName val="0"/>
          <c:showPercent val="0"/>
          <c:showBubbleSize val="0"/>
        </c:dLbls>
        <c:marker val="1"/>
        <c:smooth val="0"/>
        <c:axId val="147443072"/>
        <c:axId val="147441536"/>
      </c:lineChart>
      <c:valAx>
        <c:axId val="147438208"/>
        <c:scaling>
          <c:orientation val="minMax"/>
        </c:scaling>
        <c:delete val="0"/>
        <c:axPos val="r"/>
        <c:numFmt formatCode="General" sourceLinked="1"/>
        <c:majorTickMark val="out"/>
        <c:minorTickMark val="none"/>
        <c:tickLblPos val="nextTo"/>
        <c:txPr>
          <a:bodyPr/>
          <a:lstStyle/>
          <a:p>
            <a:pPr>
              <a:defRPr sz="800"/>
            </a:pPr>
            <a:endParaRPr lang="en-US"/>
          </a:p>
        </c:txPr>
        <c:crossAx val="147440000"/>
        <c:crosses val="max"/>
        <c:crossBetween val="between"/>
      </c:valAx>
      <c:catAx>
        <c:axId val="147440000"/>
        <c:scaling>
          <c:orientation val="minMax"/>
        </c:scaling>
        <c:delete val="0"/>
        <c:axPos val="b"/>
        <c:numFmt formatCode="General" sourceLinked="1"/>
        <c:majorTickMark val="out"/>
        <c:minorTickMark val="none"/>
        <c:tickLblPos val="nextTo"/>
        <c:txPr>
          <a:bodyPr/>
          <a:lstStyle/>
          <a:p>
            <a:pPr>
              <a:defRPr sz="600"/>
            </a:pPr>
            <a:endParaRPr lang="en-US"/>
          </a:p>
        </c:txPr>
        <c:crossAx val="147438208"/>
        <c:crosses val="autoZero"/>
        <c:auto val="1"/>
        <c:lblAlgn val="ctr"/>
        <c:lblOffset val="100"/>
        <c:noMultiLvlLbl val="0"/>
      </c:catAx>
      <c:valAx>
        <c:axId val="147441536"/>
        <c:scaling>
          <c:orientation val="minMax"/>
        </c:scaling>
        <c:delete val="0"/>
        <c:axPos val="l"/>
        <c:numFmt formatCode="General" sourceLinked="1"/>
        <c:majorTickMark val="out"/>
        <c:minorTickMark val="none"/>
        <c:tickLblPos val="nextTo"/>
        <c:txPr>
          <a:bodyPr/>
          <a:lstStyle/>
          <a:p>
            <a:pPr>
              <a:defRPr sz="800"/>
            </a:pPr>
            <a:endParaRPr lang="en-US"/>
          </a:p>
        </c:txPr>
        <c:crossAx val="147443072"/>
        <c:crosses val="autoZero"/>
        <c:crossBetween val="between"/>
      </c:valAx>
      <c:catAx>
        <c:axId val="147443072"/>
        <c:scaling>
          <c:orientation val="minMax"/>
        </c:scaling>
        <c:delete val="1"/>
        <c:axPos val="t"/>
        <c:numFmt formatCode="General" sourceLinked="1"/>
        <c:majorTickMark val="out"/>
        <c:minorTickMark val="none"/>
        <c:tickLblPos val="nextTo"/>
        <c:crossAx val="147441536"/>
        <c:crosses val="max"/>
        <c:auto val="1"/>
        <c:lblAlgn val="ctr"/>
        <c:lblOffset val="100"/>
        <c:noMultiLvlLbl val="0"/>
      </c:catAx>
      <c:spPr>
        <a:solidFill>
          <a:srgbClr val="4F81BD">
            <a:lumMod val="20000"/>
            <a:lumOff val="80000"/>
          </a:srgbClr>
        </a:solidFill>
        <a:ln>
          <a:solidFill>
            <a:schemeClr val="bg1">
              <a:lumMod val="75000"/>
            </a:schemeClr>
          </a:solidFill>
        </a:ln>
        <a:effectLst/>
      </c:spPr>
    </c:plotArea>
    <c:legend>
      <c:legendPos val="b"/>
      <c:layout>
        <c:manualLayout>
          <c:xMode val="edge"/>
          <c:yMode val="edge"/>
          <c:x val="3.9033896164049016E-2"/>
          <c:y val="0.84624707384549902"/>
          <c:w val="0.89999987670045511"/>
          <c:h val="0.14766865290487338"/>
        </c:manualLayout>
      </c:layout>
      <c:overlay val="0"/>
      <c:txPr>
        <a:bodyPr/>
        <a:lstStyle/>
        <a:p>
          <a:pPr>
            <a:defRPr sz="800"/>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4F81BD">
        <a:lumMod val="20000"/>
        <a:lumOff val="80000"/>
      </a:srgbClr>
    </a:solidFill>
    <a:ln w="9525" cap="flat" cmpd="sng" algn="ctr">
      <a:solidFill>
        <a:schemeClr val="bg1">
          <a:lumMod val="75000"/>
        </a:schemeClr>
      </a:solidFill>
      <a:round/>
    </a:ln>
    <a:effectLst/>
  </c:spPr>
  <c:txPr>
    <a:bodyPr/>
    <a:lstStyle/>
    <a:p>
      <a:pPr>
        <a:defRPr sz="1000"/>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solidFill>
                <a:latin typeface="GHEA Grapalat" pitchFamily="50" charset="0"/>
                <a:ea typeface="+mn-ea"/>
                <a:cs typeface="+mn-cs"/>
              </a:defRPr>
            </a:pPr>
            <a:r>
              <a:rPr lang="hy-AM" sz="900" b="1" dirty="0">
                <a:solidFill>
                  <a:schemeClr val="tx1"/>
                </a:solidFill>
                <a:latin typeface="GHEA Grapalat" pitchFamily="50" charset="0"/>
              </a:rPr>
              <a:t>Պատվաստման ծրագիրը</a:t>
            </a:r>
            <a:endParaRPr lang="en-US" sz="900" b="1" dirty="0">
              <a:solidFill>
                <a:schemeClr val="tx1"/>
              </a:solidFill>
              <a:latin typeface="GHEA Grapalat" pitchFamily="50" charset="0"/>
            </a:endParaRPr>
          </a:p>
        </c:rich>
      </c:tx>
      <c:overlay val="0"/>
      <c:spPr>
        <a:noFill/>
        <a:ln>
          <a:noFill/>
        </a:ln>
        <a:effectLst/>
      </c:spPr>
    </c:title>
    <c:autoTitleDeleted val="0"/>
    <c:plotArea>
      <c:layout/>
      <c:barChart>
        <c:barDir val="col"/>
        <c:grouping val="clustered"/>
        <c:varyColors val="0"/>
        <c:ser>
          <c:idx val="0"/>
          <c:order val="0"/>
          <c:tx>
            <c:strRef>
              <c:f>Sheet1!$B$1</c:f>
              <c:strCache>
                <c:ptCount val="1"/>
                <c:pt idx="0">
                  <c:v>Պատվաստման ծրագիրը</c:v>
                </c:pt>
              </c:strCache>
            </c:strRef>
          </c:tx>
          <c:spPr>
            <a:solidFill>
              <a:srgbClr val="FF0000"/>
            </a:solidFill>
            <a:ln>
              <a:noFill/>
            </a:ln>
            <a:effectLst/>
          </c:spPr>
          <c:invertIfNegative val="0"/>
          <c:dPt>
            <c:idx val="0"/>
            <c:invertIfNegative val="0"/>
            <c:bubble3D val="0"/>
            <c:spPr>
              <a:solidFill>
                <a:srgbClr val="00B050"/>
              </a:solidFill>
              <a:ln>
                <a:noFill/>
              </a:ln>
              <a:effectLst/>
            </c:spPr>
            <c:extLst>
              <c:ext xmlns:c16="http://schemas.microsoft.com/office/drawing/2014/chart" uri="{C3380CC4-5D6E-409C-BE32-E72D297353CC}">
                <c16:uniqueId val="{00000001-9C2F-436D-B8DD-5056C73E8DB3}"/>
              </c:ext>
            </c:extLst>
          </c:dPt>
          <c:dPt>
            <c:idx val="1"/>
            <c:invertIfNegative val="0"/>
            <c:bubble3D val="0"/>
            <c:spPr>
              <a:solidFill>
                <a:srgbClr val="00B050"/>
              </a:solidFill>
              <a:ln>
                <a:noFill/>
              </a:ln>
              <a:effectLst/>
            </c:spPr>
            <c:extLst>
              <c:ext xmlns:c16="http://schemas.microsoft.com/office/drawing/2014/chart" uri="{C3380CC4-5D6E-409C-BE32-E72D297353CC}">
                <c16:uniqueId val="{00000003-9C2F-436D-B8DD-5056C73E8DB3}"/>
              </c:ext>
            </c:extLst>
          </c:dPt>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2021</c:v>
                </c:pt>
                <c:pt idx="1">
                  <c:v>2025</c:v>
                </c:pt>
              </c:numCache>
            </c:numRef>
          </c:cat>
          <c:val>
            <c:numRef>
              <c:f>Sheet1!$B$2:$B$3</c:f>
              <c:numCache>
                <c:formatCode>0%</c:formatCode>
                <c:ptCount val="2"/>
                <c:pt idx="0">
                  <c:v>0.1</c:v>
                </c:pt>
                <c:pt idx="1">
                  <c:v>1</c:v>
                </c:pt>
              </c:numCache>
            </c:numRef>
          </c:val>
          <c:extLst>
            <c:ext xmlns:c16="http://schemas.microsoft.com/office/drawing/2014/chart" uri="{C3380CC4-5D6E-409C-BE32-E72D297353CC}">
              <c16:uniqueId val="{00000004-9C2F-436D-B8DD-5056C73E8DB3}"/>
            </c:ext>
          </c:extLst>
        </c:ser>
        <c:dLbls>
          <c:showLegendKey val="0"/>
          <c:showVal val="0"/>
          <c:showCatName val="0"/>
          <c:showSerName val="0"/>
          <c:showPercent val="0"/>
          <c:showBubbleSize val="0"/>
        </c:dLbls>
        <c:gapWidth val="219"/>
        <c:overlap val="-27"/>
        <c:axId val="147585280"/>
        <c:axId val="147587072"/>
      </c:barChart>
      <c:catAx>
        <c:axId val="14758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itchFamily="50" charset="0"/>
                <a:ea typeface="+mn-ea"/>
                <a:cs typeface="+mn-cs"/>
              </a:defRPr>
            </a:pPr>
            <a:endParaRPr lang="en-US"/>
          </a:p>
        </c:txPr>
        <c:crossAx val="147587072"/>
        <c:crosses val="autoZero"/>
        <c:auto val="1"/>
        <c:lblAlgn val="ctr"/>
        <c:lblOffset val="100"/>
        <c:noMultiLvlLbl val="0"/>
      </c:catAx>
      <c:valAx>
        <c:axId val="1475870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itchFamily="50" charset="0"/>
                <a:ea typeface="+mn-ea"/>
                <a:cs typeface="+mn-cs"/>
              </a:defRPr>
            </a:pPr>
            <a:endParaRPr lang="en-US"/>
          </a:p>
        </c:txPr>
        <c:crossAx val="1475852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a:solidFill>
        <a:schemeClr val="accent1"/>
      </a:solidFill>
    </a:ln>
    <a:effectLst/>
  </c:spPr>
  <c:txPr>
    <a:bodyPr/>
    <a:lstStyle/>
    <a:p>
      <a:pPr>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Sheet1!$A$3</c:f>
              <c:strCache>
                <c:ptCount val="1"/>
                <c:pt idx="0">
                  <c:v>Անվանական ՀՆԱ, մլրդ դրամ</c:v>
                </c:pt>
              </c:strCache>
            </c:strRef>
          </c:tx>
          <c:spPr>
            <a:solidFill>
              <a:schemeClr val="accent2"/>
            </a:solidFill>
            <a:ln>
              <a:noFill/>
            </a:ln>
            <a:effectLst/>
          </c:spPr>
          <c:invertIfNegative val="0"/>
          <c:cat>
            <c:numRef>
              <c:f>Sheet1!$B$1:$Z$1</c:f>
              <c:numCache>
                <c:formatCode>General</c:formatCode>
                <c:ptCount val="2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pt idx="23">
                  <c:v>2023</c:v>
                </c:pt>
                <c:pt idx="24">
                  <c:v>2024</c:v>
                </c:pt>
              </c:numCache>
            </c:numRef>
          </c:cat>
          <c:val>
            <c:numRef>
              <c:f>Sheet1!$B$3:$Z$3</c:f>
              <c:numCache>
                <c:formatCode>_(* #,##0_);_(* \(#,##0\);_(* "-"??_);_(@_)</c:formatCode>
                <c:ptCount val="25"/>
                <c:pt idx="0">
                  <c:v>1031.3383000000001</c:v>
                </c:pt>
                <c:pt idx="1">
                  <c:v>1175.8768043886819</c:v>
                </c:pt>
                <c:pt idx="2">
                  <c:v>1362.4717000000001</c:v>
                </c:pt>
                <c:pt idx="3">
                  <c:v>1624.6426999999999</c:v>
                </c:pt>
                <c:pt idx="4">
                  <c:v>1907.9453999999998</c:v>
                </c:pt>
                <c:pt idx="5">
                  <c:v>2242.8809000000001</c:v>
                </c:pt>
                <c:pt idx="6">
                  <c:v>2656.1898000000001</c:v>
                </c:pt>
                <c:pt idx="7">
                  <c:v>3149.2834000000007</c:v>
                </c:pt>
                <c:pt idx="8">
                  <c:v>3568.2276000000006</c:v>
                </c:pt>
                <c:pt idx="9">
                  <c:v>3141.6510000000003</c:v>
                </c:pt>
                <c:pt idx="10">
                  <c:v>3460.2027000000007</c:v>
                </c:pt>
                <c:pt idx="11">
                  <c:v>3777.9456</c:v>
                </c:pt>
                <c:pt idx="12">
                  <c:v>4266.4605000000001</c:v>
                </c:pt>
                <c:pt idx="13">
                  <c:v>4555.6382000000003</c:v>
                </c:pt>
                <c:pt idx="14">
                  <c:v>4828.6262999999999</c:v>
                </c:pt>
                <c:pt idx="15">
                  <c:v>5043.6332000000002</c:v>
                </c:pt>
                <c:pt idx="16">
                  <c:v>5067.2934999999998</c:v>
                </c:pt>
                <c:pt idx="17">
                  <c:v>5564.4933000000001</c:v>
                </c:pt>
                <c:pt idx="18">
                  <c:v>6017.0352000000003</c:v>
                </c:pt>
                <c:pt idx="19">
                  <c:v>6543.3217999999997</c:v>
                </c:pt>
                <c:pt idx="20">
                  <c:v>6181.6641</c:v>
                </c:pt>
                <c:pt idx="21">
                  <c:v>6880.1921433000034</c:v>
                </c:pt>
                <c:pt idx="22">
                  <c:v>7570.7940685762405</c:v>
                </c:pt>
                <c:pt idx="23">
                  <c:v>8171.1135049901477</c:v>
                </c:pt>
                <c:pt idx="24">
                  <c:v>8835.43991504531</c:v>
                </c:pt>
              </c:numCache>
            </c:numRef>
          </c:val>
          <c:extLst>
            <c:ext xmlns:c16="http://schemas.microsoft.com/office/drawing/2014/chart" uri="{C3380CC4-5D6E-409C-BE32-E72D297353CC}">
              <c16:uniqueId val="{00000000-21F6-47BF-9C40-16617B72B166}"/>
            </c:ext>
          </c:extLst>
        </c:ser>
        <c:dLbls>
          <c:showLegendKey val="0"/>
          <c:showVal val="0"/>
          <c:showCatName val="0"/>
          <c:showSerName val="0"/>
          <c:showPercent val="0"/>
          <c:showBubbleSize val="0"/>
        </c:dLbls>
        <c:gapWidth val="219"/>
        <c:axId val="147651968"/>
        <c:axId val="144716928"/>
      </c:barChart>
      <c:lineChart>
        <c:grouping val="standard"/>
        <c:varyColors val="0"/>
        <c:ser>
          <c:idx val="0"/>
          <c:order val="0"/>
          <c:tx>
            <c:strRef>
              <c:f>Sheet1!$A$2</c:f>
              <c:strCache>
                <c:ptCount val="1"/>
                <c:pt idx="0">
                  <c:v>Տնտեսական աճ, %</c:v>
                </c:pt>
              </c:strCache>
            </c:strRef>
          </c:tx>
          <c:spPr>
            <a:ln w="28575" cap="rnd">
              <a:solidFill>
                <a:schemeClr val="accent1"/>
              </a:solidFill>
              <a:round/>
            </a:ln>
            <a:effectLst/>
          </c:spPr>
          <c:marker>
            <c:symbol val="none"/>
          </c:marker>
          <c:cat>
            <c:numRef>
              <c:f>Sheet1!$B$1:$Y$1</c:f>
              <c:numCache>
                <c:formatCode>General</c:formatCode>
                <c:ptCount val="2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pt idx="23">
                  <c:v>2023</c:v>
                </c:pt>
              </c:numCache>
            </c:numRef>
          </c:cat>
          <c:val>
            <c:numRef>
              <c:f>Sheet1!$B$2:$Z$2</c:f>
              <c:numCache>
                <c:formatCode>0.0</c:formatCode>
                <c:ptCount val="25"/>
                <c:pt idx="0">
                  <c:v>5.8956981547403728</c:v>
                </c:pt>
                <c:pt idx="1">
                  <c:v>9.5566411137839395</c:v>
                </c:pt>
                <c:pt idx="2">
                  <c:v>13.196463821262512</c:v>
                </c:pt>
                <c:pt idx="3">
                  <c:v>14.040798058411056</c:v>
                </c:pt>
                <c:pt idx="4">
                  <c:v>10.46784009801047</c:v>
                </c:pt>
                <c:pt idx="5">
                  <c:v>13.865711251485493</c:v>
                </c:pt>
                <c:pt idx="6">
                  <c:v>13.198003514141135</c:v>
                </c:pt>
                <c:pt idx="7">
                  <c:v>13.749201958384148</c:v>
                </c:pt>
                <c:pt idx="8">
                  <c:v>6.9476535519159768</c:v>
                </c:pt>
                <c:pt idx="9">
                  <c:v>-14.149988638617103</c:v>
                </c:pt>
                <c:pt idx="10">
                  <c:v>2.2151091894039183</c:v>
                </c:pt>
                <c:pt idx="11">
                  <c:v>4.6507622226871206</c:v>
                </c:pt>
                <c:pt idx="12">
                  <c:v>7.1590508979271874</c:v>
                </c:pt>
                <c:pt idx="13">
                  <c:v>3.2999999999999972</c:v>
                </c:pt>
                <c:pt idx="14">
                  <c:v>3.5999999999999943</c:v>
                </c:pt>
                <c:pt idx="15">
                  <c:v>3.2000000000000028</c:v>
                </c:pt>
                <c:pt idx="16">
                  <c:v>0.20000000000000284</c:v>
                </c:pt>
                <c:pt idx="17">
                  <c:v>7.5</c:v>
                </c:pt>
                <c:pt idx="18">
                  <c:v>5.2000000000000028</c:v>
                </c:pt>
                <c:pt idx="19">
                  <c:v>7.5999999999999943</c:v>
                </c:pt>
                <c:pt idx="20">
                  <c:v>-7.4000000000000057</c:v>
                </c:pt>
                <c:pt idx="21">
                  <c:v>6</c:v>
                </c:pt>
                <c:pt idx="22">
                  <c:v>5.1786453838780062</c:v>
                </c:pt>
                <c:pt idx="23">
                  <c:v>3.748841234354984</c:v>
                </c:pt>
                <c:pt idx="24">
                  <c:v>3.9969367072520043</c:v>
                </c:pt>
              </c:numCache>
            </c:numRef>
          </c:val>
          <c:smooth val="0"/>
          <c:extLst>
            <c:ext xmlns:c16="http://schemas.microsoft.com/office/drawing/2014/chart" uri="{C3380CC4-5D6E-409C-BE32-E72D297353CC}">
              <c16:uniqueId val="{00000001-21F6-47BF-9C40-16617B72B166}"/>
            </c:ext>
          </c:extLst>
        </c:ser>
        <c:dLbls>
          <c:showLegendKey val="0"/>
          <c:showVal val="0"/>
          <c:showCatName val="0"/>
          <c:showSerName val="0"/>
          <c:showPercent val="0"/>
          <c:showBubbleSize val="0"/>
        </c:dLbls>
        <c:marker val="1"/>
        <c:smooth val="0"/>
        <c:axId val="144720256"/>
        <c:axId val="144718464"/>
      </c:lineChart>
      <c:catAx>
        <c:axId val="147651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716928"/>
        <c:crosses val="autoZero"/>
        <c:auto val="1"/>
        <c:lblAlgn val="ctr"/>
        <c:lblOffset val="100"/>
        <c:noMultiLvlLbl val="0"/>
      </c:catAx>
      <c:valAx>
        <c:axId val="144716928"/>
        <c:scaling>
          <c:orientation val="minMax"/>
          <c:max val="9500"/>
          <c:min val="5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7651968"/>
        <c:crosses val="autoZero"/>
        <c:crossBetween val="between"/>
      </c:valAx>
      <c:valAx>
        <c:axId val="144718464"/>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4720256"/>
        <c:crosses val="max"/>
        <c:crossBetween val="between"/>
      </c:valAx>
      <c:catAx>
        <c:axId val="144720256"/>
        <c:scaling>
          <c:orientation val="minMax"/>
        </c:scaling>
        <c:delete val="1"/>
        <c:axPos val="b"/>
        <c:numFmt formatCode="General" sourceLinked="1"/>
        <c:majorTickMark val="out"/>
        <c:minorTickMark val="none"/>
        <c:tickLblPos val="none"/>
        <c:crossAx val="1447184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latin typeface="GHEA Grapalat" panose="02000506050000020003" pitchFamily="50" charset="0"/>
        </a:defRPr>
      </a:pPr>
      <a:endParaRPr lang="en-US"/>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7614709925968"/>
          <c:y val="0.12727272727272718"/>
          <c:w val="0.82715542910077533"/>
          <c:h val="0.45733767572247186"/>
        </c:manualLayout>
      </c:layout>
      <c:barChart>
        <c:barDir val="col"/>
        <c:grouping val="clustered"/>
        <c:varyColors val="0"/>
        <c:ser>
          <c:idx val="1"/>
          <c:order val="1"/>
          <c:tx>
            <c:strRef>
              <c:f>Sheet1!$C$1</c:f>
              <c:strCache>
                <c:ptCount val="1"/>
                <c:pt idx="0">
                  <c:v>Արտահանում</c:v>
                </c:pt>
              </c:strCache>
            </c:strRef>
          </c:tx>
          <c:spPr>
            <a:solidFill>
              <a:schemeClr val="accent2"/>
            </a:solidFill>
            <a:ln>
              <a:noFill/>
            </a:ln>
            <a:effectLst/>
          </c:spPr>
          <c:invertIfNegative val="0"/>
          <c:cat>
            <c:numRef>
              <c:f>Sheet1!$A$2:$A$7</c:f>
              <c:numCache>
                <c:formatCode>General</c:formatCode>
                <c:ptCount val="5"/>
                <c:pt idx="0">
                  <c:v>2018</c:v>
                </c:pt>
                <c:pt idx="1">
                  <c:v>2019</c:v>
                </c:pt>
                <c:pt idx="2">
                  <c:v>2020</c:v>
                </c:pt>
                <c:pt idx="3">
                  <c:v>2021</c:v>
                </c:pt>
                <c:pt idx="4">
                  <c:v>2022</c:v>
                </c:pt>
              </c:numCache>
            </c:numRef>
          </c:cat>
          <c:val>
            <c:numRef>
              <c:f>Sheet1!$C$2:$C$7</c:f>
              <c:numCache>
                <c:formatCode>#\,##0.0;"–"#\,##0.0</c:formatCode>
                <c:ptCount val="5"/>
                <c:pt idx="0">
                  <c:v>3.7</c:v>
                </c:pt>
                <c:pt idx="1">
                  <c:v>1</c:v>
                </c:pt>
                <c:pt idx="2">
                  <c:v>-8.1</c:v>
                </c:pt>
                <c:pt idx="3">
                  <c:v>7.79</c:v>
                </c:pt>
                <c:pt idx="4">
                  <c:v>6.23</c:v>
                </c:pt>
              </c:numCache>
            </c:numRef>
          </c:val>
          <c:extLst>
            <c:ext xmlns:c16="http://schemas.microsoft.com/office/drawing/2014/chart" uri="{C3380CC4-5D6E-409C-BE32-E72D297353CC}">
              <c16:uniqueId val="{00000000-ADE9-4530-A54F-7CAA05216028}"/>
            </c:ext>
          </c:extLst>
        </c:ser>
        <c:ser>
          <c:idx val="2"/>
          <c:order val="2"/>
          <c:tx>
            <c:strRef>
              <c:f>Sheet1!$D$1</c:f>
              <c:strCache>
                <c:ptCount val="1"/>
                <c:pt idx="0">
                  <c:v>Ներմուծում</c:v>
                </c:pt>
              </c:strCache>
            </c:strRef>
          </c:tx>
          <c:spPr>
            <a:solidFill>
              <a:srgbClr val="0070C0"/>
            </a:solidFill>
            <a:ln>
              <a:solidFill>
                <a:schemeClr val="accent1"/>
              </a:solidFill>
            </a:ln>
            <a:effectLst/>
          </c:spPr>
          <c:invertIfNegative val="0"/>
          <c:cat>
            <c:numRef>
              <c:f>Sheet1!$A$2:$A$7</c:f>
              <c:numCache>
                <c:formatCode>General</c:formatCode>
                <c:ptCount val="5"/>
                <c:pt idx="0">
                  <c:v>2018</c:v>
                </c:pt>
                <c:pt idx="1">
                  <c:v>2019</c:v>
                </c:pt>
                <c:pt idx="2">
                  <c:v>2020</c:v>
                </c:pt>
                <c:pt idx="3">
                  <c:v>2021</c:v>
                </c:pt>
                <c:pt idx="4">
                  <c:v>2022</c:v>
                </c:pt>
              </c:numCache>
            </c:numRef>
          </c:cat>
          <c:val>
            <c:numRef>
              <c:f>Sheet1!$D$2:$D$7</c:f>
              <c:numCache>
                <c:formatCode>#\,##0.0;"–"#\,##0.0</c:formatCode>
                <c:ptCount val="5"/>
                <c:pt idx="0">
                  <c:v>4.0730000000000004</c:v>
                </c:pt>
                <c:pt idx="1">
                  <c:v>0.73499999999999999</c:v>
                </c:pt>
                <c:pt idx="2">
                  <c:v>-8.9</c:v>
                </c:pt>
                <c:pt idx="3">
                  <c:v>9.1</c:v>
                </c:pt>
                <c:pt idx="4">
                  <c:v>6.75</c:v>
                </c:pt>
              </c:numCache>
            </c:numRef>
          </c:val>
          <c:extLst>
            <c:ext xmlns:c16="http://schemas.microsoft.com/office/drawing/2014/chart" uri="{C3380CC4-5D6E-409C-BE32-E72D297353CC}">
              <c16:uniqueId val="{00000001-ADE9-4530-A54F-7CAA05216028}"/>
            </c:ext>
          </c:extLst>
        </c:ser>
        <c:dLbls>
          <c:showLegendKey val="0"/>
          <c:showVal val="0"/>
          <c:showCatName val="0"/>
          <c:showSerName val="0"/>
          <c:showPercent val="0"/>
          <c:showBubbleSize val="0"/>
        </c:dLbls>
        <c:gapWidth val="150"/>
        <c:axId val="129648896"/>
        <c:axId val="129650688"/>
      </c:barChart>
      <c:lineChart>
        <c:grouping val="standard"/>
        <c:varyColors val="0"/>
        <c:ser>
          <c:idx val="0"/>
          <c:order val="0"/>
          <c:tx>
            <c:strRef>
              <c:f>Sheet1!$B$1</c:f>
              <c:strCache>
                <c:ptCount val="1"/>
                <c:pt idx="0">
                  <c:v>Առևտրաշրջանառություն</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5"/>
                <c:pt idx="0">
                  <c:v>2018</c:v>
                </c:pt>
                <c:pt idx="1">
                  <c:v>2019</c:v>
                </c:pt>
                <c:pt idx="2">
                  <c:v>2020</c:v>
                </c:pt>
                <c:pt idx="3">
                  <c:v>2021</c:v>
                </c:pt>
                <c:pt idx="4">
                  <c:v>2022</c:v>
                </c:pt>
              </c:numCache>
            </c:numRef>
          </c:cat>
          <c:val>
            <c:numRef>
              <c:f>Sheet1!$B$2:$B$7</c:f>
              <c:numCache>
                <c:formatCode>#\,##0.0;"–"#\,##0.0</c:formatCode>
                <c:ptCount val="5"/>
                <c:pt idx="0">
                  <c:v>3.8860000000000001</c:v>
                </c:pt>
                <c:pt idx="1">
                  <c:v>0.85199999999999998</c:v>
                </c:pt>
                <c:pt idx="2">
                  <c:v>-8.5</c:v>
                </c:pt>
                <c:pt idx="3">
                  <c:v>8.4</c:v>
                </c:pt>
                <c:pt idx="4">
                  <c:v>6.5</c:v>
                </c:pt>
              </c:numCache>
            </c:numRef>
          </c:val>
          <c:smooth val="0"/>
          <c:extLst>
            <c:ext xmlns:c16="http://schemas.microsoft.com/office/drawing/2014/chart" uri="{C3380CC4-5D6E-409C-BE32-E72D297353CC}">
              <c16:uniqueId val="{00000002-ADE9-4530-A54F-7CAA05216028}"/>
            </c:ext>
          </c:extLst>
        </c:ser>
        <c:dLbls>
          <c:showLegendKey val="0"/>
          <c:showVal val="0"/>
          <c:showCatName val="0"/>
          <c:showSerName val="0"/>
          <c:showPercent val="0"/>
          <c:showBubbleSize val="0"/>
        </c:dLbls>
        <c:marker val="1"/>
        <c:smooth val="0"/>
        <c:axId val="129648896"/>
        <c:axId val="129650688"/>
      </c:lineChart>
      <c:catAx>
        <c:axId val="1296488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650688"/>
        <c:crosses val="autoZero"/>
        <c:auto val="1"/>
        <c:lblAlgn val="ctr"/>
        <c:lblOffset val="100"/>
        <c:noMultiLvlLbl val="0"/>
      </c:catAx>
      <c:valAx>
        <c:axId val="1296506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hy-AM" sz="800" b="0" i="0" u="none" strike="noStrike" kern="1200" baseline="0">
                    <a:solidFill>
                      <a:sysClr val="windowText" lastClr="000000">
                        <a:lumMod val="65000"/>
                        <a:lumOff val="35000"/>
                      </a:sysClr>
                    </a:solidFill>
                    <a:latin typeface="+mn-lt"/>
                    <a:ea typeface="+mn-ea"/>
                    <a:cs typeface="+mn-cs"/>
                  </a:rPr>
                  <a:t>%</a:t>
                </a:r>
                <a:endParaRPr lang="en-US" sz="800"/>
              </a:p>
            </c:rich>
          </c:tx>
          <c:overlay val="0"/>
          <c:spPr>
            <a:noFill/>
            <a:ln>
              <a:noFill/>
            </a:ln>
            <a:effectLst/>
          </c:spPr>
        </c:title>
        <c:numFmt formatCode="#\,##0.0;&quot;–&quot;#\,##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648896"/>
        <c:crosses val="autoZero"/>
        <c:crossBetween val="between"/>
      </c:valAx>
      <c:spPr>
        <a:noFill/>
        <a:ln>
          <a:noFill/>
        </a:ln>
        <a:effectLst/>
      </c:spPr>
    </c:plotArea>
    <c:legend>
      <c:legendPos val="b"/>
      <c:legendEntry>
        <c:idx val="1"/>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ayout>
        <c:manualLayout>
          <c:xMode val="edge"/>
          <c:yMode val="edge"/>
          <c:x val="4.6399353926912981E-2"/>
          <c:y val="0.80366684530925792"/>
          <c:w val="0.9400150504156628"/>
          <c:h val="0.1938294100671970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Տնտեսական աճ/անկում</c:v>
                </c:pt>
              </c:strCache>
            </c:strRef>
          </c:tx>
          <c:spPr>
            <a:solidFill>
              <a:srgbClr val="C00000"/>
            </a:solidFill>
            <a:ln>
              <a:solidFill>
                <a:srgbClr val="C00000"/>
              </a:solidFill>
            </a:ln>
            <a:effectLst/>
          </c:spPr>
          <c:invertIfNegative val="0"/>
          <c:dPt>
            <c:idx val="1"/>
            <c:invertIfNegative val="0"/>
            <c:bubble3D val="0"/>
            <c:spPr>
              <a:solidFill>
                <a:srgbClr val="5B9BD5">
                  <a:lumMod val="75000"/>
                </a:srgbClr>
              </a:solidFill>
              <a:ln>
                <a:solidFill>
                  <a:srgbClr val="5B9BD5">
                    <a:lumMod val="75000"/>
                  </a:srgbClr>
                </a:solidFill>
              </a:ln>
              <a:effectLst/>
            </c:spPr>
            <c:extLst>
              <c:ext xmlns:c16="http://schemas.microsoft.com/office/drawing/2014/chart" uri="{C3380CC4-5D6E-409C-BE32-E72D297353CC}">
                <c16:uniqueId val="{00000001-5D97-4636-8DF3-9F19C32AFA89}"/>
              </c:ext>
            </c:extLst>
          </c:dPt>
          <c:dPt>
            <c:idx val="4"/>
            <c:invertIfNegative val="0"/>
            <c:bubble3D val="0"/>
            <c:spPr>
              <a:solidFill>
                <a:srgbClr val="5B9BD5">
                  <a:lumMod val="75000"/>
                </a:srgbClr>
              </a:solidFill>
              <a:ln>
                <a:solidFill>
                  <a:srgbClr val="5B9BD5">
                    <a:lumMod val="75000"/>
                  </a:srgbClr>
                </a:solidFill>
              </a:ln>
              <a:effectLst/>
            </c:spPr>
            <c:extLst>
              <c:ext xmlns:c16="http://schemas.microsoft.com/office/drawing/2014/chart" uri="{C3380CC4-5D6E-409C-BE32-E72D297353CC}">
                <c16:uniqueId val="{00000003-5D97-4636-8DF3-9F19C32AFA89}"/>
              </c:ext>
            </c:extLst>
          </c:dPt>
          <c:dPt>
            <c:idx val="7"/>
            <c:invertIfNegative val="0"/>
            <c:bubble3D val="0"/>
            <c:spPr>
              <a:solidFill>
                <a:srgbClr val="5B9BD5"/>
              </a:solidFill>
              <a:ln>
                <a:solidFill>
                  <a:srgbClr val="5B9BD5"/>
                </a:solidFill>
              </a:ln>
              <a:effectLst/>
            </c:spPr>
            <c:extLst>
              <c:ext xmlns:c16="http://schemas.microsoft.com/office/drawing/2014/chart" uri="{C3380CC4-5D6E-409C-BE32-E72D297353CC}">
                <c16:uniqueId val="{00000005-5D97-4636-8DF3-9F19C32AFA89}"/>
              </c:ext>
            </c:extLst>
          </c:dPt>
          <c:dLbls>
            <c:dLbl>
              <c:idx val="0"/>
              <c:layout>
                <c:manualLayout>
                  <c:x val="7.6366559485530547E-2"/>
                  <c:y val="9.6852300242130748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6-5D97-4636-8DF3-9F19C32AFA89}"/>
                </c:ext>
              </c:extLst>
            </c:dLbl>
            <c:dLbl>
              <c:idx val="3"/>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7-5D97-4636-8DF3-9F19C32AFA89}"/>
                </c:ext>
              </c:extLst>
            </c:dLbl>
            <c:dLbl>
              <c:idx val="6"/>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8-5D97-4636-8DF3-9F19C32AFA89}"/>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chemeClr val="dk1">
                        <a:lumMod val="65000"/>
                        <a:lumOff val="3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numRef>
              <c:f>Sheet1!$A$2:$A$9</c:f>
              <c:numCache>
                <c:formatCode>General</c:formatCode>
                <c:ptCount val="8"/>
                <c:pt idx="0">
                  <c:v>2009</c:v>
                </c:pt>
                <c:pt idx="1">
                  <c:v>2010</c:v>
                </c:pt>
                <c:pt idx="3">
                  <c:v>2016</c:v>
                </c:pt>
                <c:pt idx="4">
                  <c:v>2017</c:v>
                </c:pt>
                <c:pt idx="6">
                  <c:v>2020</c:v>
                </c:pt>
                <c:pt idx="7">
                  <c:v>2021</c:v>
                </c:pt>
              </c:numCache>
            </c:numRef>
          </c:cat>
          <c:val>
            <c:numRef>
              <c:f>Sheet1!$B$2:$B$9</c:f>
              <c:numCache>
                <c:formatCode>0.0</c:formatCode>
                <c:ptCount val="8"/>
                <c:pt idx="0" formatCode="General">
                  <c:v>-14.1</c:v>
                </c:pt>
                <c:pt idx="1">
                  <c:v>2.2151091894039183</c:v>
                </c:pt>
                <c:pt idx="3" formatCode="General">
                  <c:v>0.2</c:v>
                </c:pt>
                <c:pt idx="4" formatCode="General">
                  <c:v>7.5</c:v>
                </c:pt>
                <c:pt idx="6" formatCode="General">
                  <c:v>-7.4</c:v>
                </c:pt>
                <c:pt idx="7">
                  <c:v>6</c:v>
                </c:pt>
              </c:numCache>
            </c:numRef>
          </c:val>
          <c:extLst>
            <c:ext xmlns:c16="http://schemas.microsoft.com/office/drawing/2014/chart" uri="{C3380CC4-5D6E-409C-BE32-E72D297353CC}">
              <c16:uniqueId val="{00000009-5D97-4636-8DF3-9F19C32AFA89}"/>
            </c:ext>
          </c:extLst>
        </c:ser>
        <c:dLbls>
          <c:showLegendKey val="0"/>
          <c:showVal val="0"/>
          <c:showCatName val="0"/>
          <c:showSerName val="0"/>
          <c:showPercent val="0"/>
          <c:showBubbleSize val="0"/>
        </c:dLbls>
        <c:gapWidth val="219"/>
        <c:overlap val="-27"/>
        <c:axId val="148010496"/>
        <c:axId val="148012032"/>
      </c:barChart>
      <c:catAx>
        <c:axId val="148010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012032"/>
        <c:crosses val="autoZero"/>
        <c:auto val="1"/>
        <c:lblAlgn val="ctr"/>
        <c:lblOffset val="100"/>
        <c:noMultiLvlLbl val="0"/>
      </c:catAx>
      <c:valAx>
        <c:axId val="148012032"/>
        <c:scaling>
          <c:orientation val="minMax"/>
          <c:max val="8"/>
          <c:min val="-15"/>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0104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157794177073183E-2"/>
          <c:y val="4.1115590668506716E-2"/>
          <c:w val="0.91791893726288765"/>
          <c:h val="0.57079207993394554"/>
        </c:manualLayout>
      </c:layout>
      <c:barChart>
        <c:barDir val="col"/>
        <c:grouping val="stacked"/>
        <c:varyColors val="0"/>
        <c:ser>
          <c:idx val="1"/>
          <c:order val="1"/>
          <c:tx>
            <c:strRef>
              <c:f>Sheet1!$D$4</c:f>
              <c:strCache>
                <c:ptCount val="1"/>
                <c:pt idx="0">
                  <c:v>արդյունաբերություն</c:v>
                </c:pt>
              </c:strCache>
            </c:strRef>
          </c:tx>
          <c:spPr>
            <a:solidFill>
              <a:schemeClr val="accent2"/>
            </a:solidFill>
            <a:ln>
              <a:noFill/>
            </a:ln>
            <a:effectLst/>
          </c:spPr>
          <c:invertIfNegative val="0"/>
          <c:val>
            <c:numRef>
              <c:f>Sheet1!$E$4:$K$4</c:f>
              <c:numCache>
                <c:formatCode>0.0</c:formatCode>
                <c:ptCount val="7"/>
                <c:pt idx="0">
                  <c:v>0.90972491062214333</c:v>
                </c:pt>
                <c:pt idx="1">
                  <c:v>2.1681570501698246</c:v>
                </c:pt>
                <c:pt idx="2">
                  <c:v>-0.31627508523269748</c:v>
                </c:pt>
                <c:pt idx="3">
                  <c:v>0.98374335318543205</c:v>
                </c:pt>
                <c:pt idx="4">
                  <c:v>1.1920833009143439</c:v>
                </c:pt>
                <c:pt idx="5">
                  <c:v>0.8609979186263661</c:v>
                </c:pt>
                <c:pt idx="6">
                  <c:v>0.8857014917209125</c:v>
                </c:pt>
              </c:numCache>
            </c:numRef>
          </c:val>
          <c:extLst>
            <c:ext xmlns:c16="http://schemas.microsoft.com/office/drawing/2014/chart" uri="{C3380CC4-5D6E-409C-BE32-E72D297353CC}">
              <c16:uniqueId val="{00000000-3906-40A8-A011-A899F1FACDCC}"/>
            </c:ext>
          </c:extLst>
        </c:ser>
        <c:ser>
          <c:idx val="2"/>
          <c:order val="2"/>
          <c:tx>
            <c:strRef>
              <c:f>Sheet1!$D$5</c:f>
              <c:strCache>
                <c:ptCount val="1"/>
                <c:pt idx="0">
                  <c:v>գյուղատնտեսություն </c:v>
                </c:pt>
              </c:strCache>
            </c:strRef>
          </c:tx>
          <c:spPr>
            <a:solidFill>
              <a:schemeClr val="accent3"/>
            </a:solidFill>
            <a:ln>
              <a:noFill/>
            </a:ln>
            <a:effectLst/>
          </c:spPr>
          <c:invertIfNegative val="0"/>
          <c:val>
            <c:numRef>
              <c:f>Sheet1!$E$5:$K$5</c:f>
              <c:numCache>
                <c:formatCode>0.0</c:formatCode>
                <c:ptCount val="7"/>
                <c:pt idx="0">
                  <c:v>-1.0346039485751573</c:v>
                </c:pt>
                <c:pt idx="1">
                  <c:v>-0.80865407601404704</c:v>
                </c:pt>
                <c:pt idx="2">
                  <c:v>-0.47255004025631075</c:v>
                </c:pt>
                <c:pt idx="3">
                  <c:v>0.34761614109702205</c:v>
                </c:pt>
                <c:pt idx="4">
                  <c:v>0.272666038855014</c:v>
                </c:pt>
                <c:pt idx="5">
                  <c:v>0.24446414355483836</c:v>
                </c:pt>
                <c:pt idx="6">
                  <c:v>0.26201111792963327</c:v>
                </c:pt>
              </c:numCache>
            </c:numRef>
          </c:val>
          <c:extLst>
            <c:ext xmlns:c16="http://schemas.microsoft.com/office/drawing/2014/chart" uri="{C3380CC4-5D6E-409C-BE32-E72D297353CC}">
              <c16:uniqueId val="{00000001-3906-40A8-A011-A899F1FACDCC}"/>
            </c:ext>
          </c:extLst>
        </c:ser>
        <c:ser>
          <c:idx val="3"/>
          <c:order val="3"/>
          <c:tx>
            <c:strRef>
              <c:f>Sheet1!$D$6</c:f>
              <c:strCache>
                <c:ptCount val="1"/>
                <c:pt idx="0">
                  <c:v>շինարարություն</c:v>
                </c:pt>
              </c:strCache>
            </c:strRef>
          </c:tx>
          <c:spPr>
            <a:solidFill>
              <a:schemeClr val="accent4"/>
            </a:solidFill>
            <a:ln>
              <a:noFill/>
            </a:ln>
            <a:effectLst/>
          </c:spPr>
          <c:invertIfNegative val="0"/>
          <c:val>
            <c:numRef>
              <c:f>Sheet1!$E$6:$K$6</c:f>
              <c:numCache>
                <c:formatCode>0.0</c:formatCode>
                <c:ptCount val="7"/>
                <c:pt idx="0">
                  <c:v>4.3605339591297143E-2</c:v>
                </c:pt>
                <c:pt idx="1">
                  <c:v>0.42924919235971898</c:v>
                </c:pt>
                <c:pt idx="2">
                  <c:v>-0.42539272636721015</c:v>
                </c:pt>
                <c:pt idx="3">
                  <c:v>0.38204895482503132</c:v>
                </c:pt>
                <c:pt idx="4">
                  <c:v>0.43748627057420203</c:v>
                </c:pt>
                <c:pt idx="5">
                  <c:v>0.22458438054784902</c:v>
                </c:pt>
                <c:pt idx="6">
                  <c:v>0.36301900021031519</c:v>
                </c:pt>
              </c:numCache>
            </c:numRef>
          </c:val>
          <c:extLst>
            <c:ext xmlns:c16="http://schemas.microsoft.com/office/drawing/2014/chart" uri="{C3380CC4-5D6E-409C-BE32-E72D297353CC}">
              <c16:uniqueId val="{00000002-3906-40A8-A011-A899F1FACDCC}"/>
            </c:ext>
          </c:extLst>
        </c:ser>
        <c:ser>
          <c:idx val="4"/>
          <c:order val="4"/>
          <c:tx>
            <c:strRef>
              <c:f>Sheet1!$D$7</c:f>
              <c:strCache>
                <c:ptCount val="1"/>
                <c:pt idx="0">
                  <c:v>ծառայություններ</c:v>
                </c:pt>
              </c:strCache>
            </c:strRef>
          </c:tx>
          <c:spPr>
            <a:solidFill>
              <a:schemeClr val="accent5"/>
            </a:solidFill>
            <a:ln>
              <a:noFill/>
            </a:ln>
            <a:effectLst/>
          </c:spPr>
          <c:invertIfNegative val="0"/>
          <c:val>
            <c:numRef>
              <c:f>Sheet1!$E$7:$K$7</c:f>
              <c:numCache>
                <c:formatCode>0.0</c:formatCode>
                <c:ptCount val="7"/>
                <c:pt idx="0">
                  <c:v>4.453544523092539</c:v>
                </c:pt>
                <c:pt idx="1">
                  <c:v>5.0778366362224361</c:v>
                </c:pt>
                <c:pt idx="2">
                  <c:v>-5.0521420801893067</c:v>
                </c:pt>
                <c:pt idx="3">
                  <c:v>3.5790173800474792</c:v>
                </c:pt>
                <c:pt idx="4">
                  <c:v>2.7022117934564545</c:v>
                </c:pt>
                <c:pt idx="5">
                  <c:v>2.0029028696687035</c:v>
                </c:pt>
                <c:pt idx="6">
                  <c:v>2.0591581772479151</c:v>
                </c:pt>
              </c:numCache>
            </c:numRef>
          </c:val>
          <c:extLst>
            <c:ext xmlns:c16="http://schemas.microsoft.com/office/drawing/2014/chart" uri="{C3380CC4-5D6E-409C-BE32-E72D297353CC}">
              <c16:uniqueId val="{00000003-3906-40A8-A011-A899F1FACDCC}"/>
            </c:ext>
          </c:extLst>
        </c:ser>
        <c:ser>
          <c:idx val="5"/>
          <c:order val="5"/>
          <c:tx>
            <c:strRef>
              <c:f>Sheet1!$D$8</c:f>
              <c:strCache>
                <c:ptCount val="1"/>
                <c:pt idx="0">
                  <c:v>զուտ հարկեր</c:v>
                </c:pt>
              </c:strCache>
            </c:strRef>
          </c:tx>
          <c:spPr>
            <a:solidFill>
              <a:schemeClr val="accent6"/>
            </a:solidFill>
            <a:ln>
              <a:noFill/>
            </a:ln>
            <a:effectLst/>
          </c:spPr>
          <c:invertIfNegative val="0"/>
          <c:val>
            <c:numRef>
              <c:f>Sheet1!$E$8:$K$8</c:f>
              <c:numCache>
                <c:formatCode>0.0</c:formatCode>
                <c:ptCount val="7"/>
                <c:pt idx="0">
                  <c:v>0.82246482352669925</c:v>
                </c:pt>
                <c:pt idx="1">
                  <c:v>0.75427447723755969</c:v>
                </c:pt>
                <c:pt idx="2">
                  <c:v>-1.1390376673817264</c:v>
                </c:pt>
                <c:pt idx="3">
                  <c:v>0.70757417084503182</c:v>
                </c:pt>
                <c:pt idx="4">
                  <c:v>0.57419798007798029</c:v>
                </c:pt>
                <c:pt idx="5">
                  <c:v>0.4158919219572364</c:v>
                </c:pt>
                <c:pt idx="6">
                  <c:v>0.42704692014322976</c:v>
                </c:pt>
              </c:numCache>
            </c:numRef>
          </c:val>
          <c:extLst>
            <c:ext xmlns:c16="http://schemas.microsoft.com/office/drawing/2014/chart" uri="{C3380CC4-5D6E-409C-BE32-E72D297353CC}">
              <c16:uniqueId val="{00000004-3906-40A8-A011-A899F1FACDCC}"/>
            </c:ext>
          </c:extLst>
        </c:ser>
        <c:dLbls>
          <c:showLegendKey val="0"/>
          <c:showVal val="0"/>
          <c:showCatName val="0"/>
          <c:showSerName val="0"/>
          <c:showPercent val="0"/>
          <c:showBubbleSize val="0"/>
        </c:dLbls>
        <c:gapWidth val="150"/>
        <c:overlap val="100"/>
        <c:axId val="147765888"/>
        <c:axId val="147771776"/>
      </c:barChart>
      <c:lineChart>
        <c:grouping val="standard"/>
        <c:varyColors val="0"/>
        <c:ser>
          <c:idx val="0"/>
          <c:order val="0"/>
          <c:tx>
            <c:strRef>
              <c:f>Sheet1!$D$3</c:f>
              <c:strCache>
                <c:ptCount val="1"/>
                <c:pt idx="0">
                  <c:v>ՀՆԱ</c:v>
                </c:pt>
              </c:strCache>
            </c:strRef>
          </c:tx>
          <c:spPr>
            <a:ln w="28575" cap="rnd">
              <a:solidFill>
                <a:schemeClr val="accent1"/>
              </a:solidFill>
              <a:round/>
            </a:ln>
            <a:effectLst/>
          </c:spPr>
          <c:marker>
            <c:symbol val="none"/>
          </c:marker>
          <c:dLbls>
            <c:dLbl>
              <c:idx val="2"/>
              <c:layout>
                <c:manualLayout>
                  <c:x val="-5.6988997065022043E-2"/>
                  <c:y val="4.48047625331750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906-40A8-A011-A899F1FACDCC}"/>
                </c:ext>
              </c:extLst>
            </c:dLbl>
            <c:dLbl>
              <c:idx val="3"/>
              <c:layout>
                <c:manualLayout>
                  <c:x val="-4.8726129061453523E-2"/>
                  <c:y val="-4.85502719981231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906-40A8-A011-A899F1FACDCC}"/>
                </c:ext>
              </c:extLst>
            </c:dLbl>
            <c:spPr>
              <a:noFill/>
              <a:ln>
                <a:noFill/>
              </a:ln>
              <a:effectLst/>
            </c:spPr>
            <c:txPr>
              <a:bodyPr rot="0" spcFirstLastPara="1" vertOverflow="ellipsis" vert="horz" wrap="square" anchor="ctr" anchorCtr="1"/>
              <a:lstStyle/>
              <a:p>
                <a:pPr>
                  <a:defRPr sz="6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Sheet1!$E$2:$K$2</c:f>
              <c:numCache>
                <c:formatCode>General</c:formatCode>
                <c:ptCount val="7"/>
                <c:pt idx="0">
                  <c:v>2018</c:v>
                </c:pt>
                <c:pt idx="1">
                  <c:v>2019</c:v>
                </c:pt>
                <c:pt idx="2">
                  <c:v>2020</c:v>
                </c:pt>
                <c:pt idx="3">
                  <c:v>2021</c:v>
                </c:pt>
                <c:pt idx="4">
                  <c:v>2022</c:v>
                </c:pt>
                <c:pt idx="5">
                  <c:v>2023</c:v>
                </c:pt>
                <c:pt idx="6">
                  <c:v>2024</c:v>
                </c:pt>
              </c:numCache>
            </c:numRef>
          </c:cat>
          <c:val>
            <c:numRef>
              <c:f>Sheet1!$E$3:$K$3</c:f>
              <c:numCache>
                <c:formatCode>0.0</c:formatCode>
                <c:ptCount val="7"/>
                <c:pt idx="0">
                  <c:v>5.194735648257522</c:v>
                </c:pt>
                <c:pt idx="1">
                  <c:v>7.6208632799754925</c:v>
                </c:pt>
                <c:pt idx="2">
                  <c:v>-7.4053975994272516</c:v>
                </c:pt>
                <c:pt idx="3">
                  <c:v>5.9999999999999964</c:v>
                </c:pt>
                <c:pt idx="4">
                  <c:v>5.1786453838779947</c:v>
                </c:pt>
                <c:pt idx="5">
                  <c:v>3.7488412343549933</c:v>
                </c:pt>
                <c:pt idx="6">
                  <c:v>3.9969367072520061</c:v>
                </c:pt>
              </c:numCache>
            </c:numRef>
          </c:val>
          <c:smooth val="0"/>
          <c:extLst>
            <c:ext xmlns:c16="http://schemas.microsoft.com/office/drawing/2014/chart" uri="{C3380CC4-5D6E-409C-BE32-E72D297353CC}">
              <c16:uniqueId val="{00000007-3906-40A8-A011-A899F1FACDCC}"/>
            </c:ext>
          </c:extLst>
        </c:ser>
        <c:dLbls>
          <c:showLegendKey val="0"/>
          <c:showVal val="0"/>
          <c:showCatName val="0"/>
          <c:showSerName val="0"/>
          <c:showPercent val="0"/>
          <c:showBubbleSize val="0"/>
        </c:dLbls>
        <c:marker val="1"/>
        <c:smooth val="0"/>
        <c:axId val="147765888"/>
        <c:axId val="147771776"/>
      </c:lineChart>
      <c:catAx>
        <c:axId val="147765888"/>
        <c:scaling>
          <c:orientation val="minMax"/>
        </c:scaling>
        <c:delete val="0"/>
        <c:axPos val="b"/>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7771776"/>
        <c:crosses val="autoZero"/>
        <c:auto val="1"/>
        <c:lblAlgn val="ctr"/>
        <c:lblOffset val="100"/>
        <c:noMultiLvlLbl val="0"/>
      </c:catAx>
      <c:valAx>
        <c:axId val="1477717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7765888"/>
        <c:crosses val="autoZero"/>
        <c:crossBetween val="between"/>
      </c:valAx>
      <c:spPr>
        <a:noFill/>
        <a:ln>
          <a:noFill/>
        </a:ln>
        <a:effectLst/>
      </c:spPr>
    </c:plotArea>
    <c:legend>
      <c:legendPos val="b"/>
      <c:layout>
        <c:manualLayout>
          <c:xMode val="edge"/>
          <c:yMode val="edge"/>
          <c:x val="0"/>
          <c:y val="0.77835400008346001"/>
          <c:w val="1"/>
          <c:h val="0.15812938088621337"/>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latin typeface="GHEA Grapalat" panose="02000506050000020003" pitchFamily="50" charset="0"/>
        </a:defRPr>
      </a:pPr>
      <a:endParaRPr lang="en-US"/>
    </a:p>
  </c:txPr>
  <c:externalData r:id="rId2">
    <c:autoUpdate val="0"/>
  </c:externalData>
  <c:userShapes r:id="rId3"/>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30597210264042"/>
          <c:y val="7.201309328968912E-2"/>
          <c:w val="0.81369779122581465"/>
          <c:h val="0.58559531940667808"/>
        </c:manualLayout>
      </c:layout>
      <c:barChart>
        <c:barDir val="col"/>
        <c:grouping val="stacked"/>
        <c:varyColors val="0"/>
        <c:ser>
          <c:idx val="1"/>
          <c:order val="1"/>
          <c:tx>
            <c:strRef>
              <c:f>Sheet1!$A$3</c:f>
              <c:strCache>
                <c:ptCount val="1"/>
                <c:pt idx="0">
                  <c:v>Սպառում</c:v>
                </c:pt>
              </c:strCache>
            </c:strRef>
          </c:tx>
          <c:spPr>
            <a:solidFill>
              <a:schemeClr val="accent2"/>
            </a:solidFill>
            <a:ln>
              <a:noFill/>
            </a:ln>
            <a:effectLst/>
          </c:spPr>
          <c:invertIfNegative val="0"/>
          <c:cat>
            <c:strRef>
              <c:f>Sheet1!$B$1:$H$1</c:f>
              <c:strCache>
                <c:ptCount val="7"/>
                <c:pt idx="0">
                  <c:v>2018</c:v>
                </c:pt>
                <c:pt idx="1">
                  <c:v>2019</c:v>
                </c:pt>
                <c:pt idx="2">
                  <c:v>2020</c:v>
                </c:pt>
                <c:pt idx="3">
                  <c:v>2021</c:v>
                </c:pt>
                <c:pt idx="4">
                  <c:v>2022</c:v>
                </c:pt>
                <c:pt idx="5">
                  <c:v>2023</c:v>
                </c:pt>
                <c:pt idx="6">
                  <c:v>2024</c:v>
                </c:pt>
              </c:strCache>
            </c:strRef>
          </c:cat>
          <c:val>
            <c:numRef>
              <c:f>Sheet1!$B$3:$H$3</c:f>
              <c:numCache>
                <c:formatCode>0.0</c:formatCode>
                <c:ptCount val="7"/>
                <c:pt idx="0">
                  <c:v>3.5092447105651088</c:v>
                </c:pt>
                <c:pt idx="1">
                  <c:v>10.680646817555598</c:v>
                </c:pt>
                <c:pt idx="2">
                  <c:v>-9.6964062213782558</c:v>
                </c:pt>
                <c:pt idx="3">
                  <c:v>6.3226555141555023</c:v>
                </c:pt>
                <c:pt idx="4">
                  <c:v>4.807892174076204</c:v>
                </c:pt>
                <c:pt idx="5">
                  <c:v>3.5044747122101549</c:v>
                </c:pt>
                <c:pt idx="6">
                  <c:v>3.6242816341433883</c:v>
                </c:pt>
              </c:numCache>
            </c:numRef>
          </c:val>
          <c:extLst>
            <c:ext xmlns:c16="http://schemas.microsoft.com/office/drawing/2014/chart" uri="{C3380CC4-5D6E-409C-BE32-E72D297353CC}">
              <c16:uniqueId val="{00000000-EAD4-4D64-A498-700E6410E10F}"/>
            </c:ext>
          </c:extLst>
        </c:ser>
        <c:ser>
          <c:idx val="2"/>
          <c:order val="2"/>
          <c:tx>
            <c:strRef>
              <c:f>Sheet1!$A$4</c:f>
              <c:strCache>
                <c:ptCount val="1"/>
                <c:pt idx="0">
                  <c:v>Հիմնական միջոցներում կապիտալ ներդրումներ</c:v>
                </c:pt>
              </c:strCache>
            </c:strRef>
          </c:tx>
          <c:spPr>
            <a:solidFill>
              <a:schemeClr val="accent3"/>
            </a:solidFill>
            <a:ln>
              <a:noFill/>
            </a:ln>
            <a:effectLst/>
          </c:spPr>
          <c:invertIfNegative val="0"/>
          <c:cat>
            <c:strRef>
              <c:f>Sheet1!$B$1:$H$1</c:f>
              <c:strCache>
                <c:ptCount val="7"/>
                <c:pt idx="0">
                  <c:v>2018</c:v>
                </c:pt>
                <c:pt idx="1">
                  <c:v>2019</c:v>
                </c:pt>
                <c:pt idx="2">
                  <c:v>2020</c:v>
                </c:pt>
                <c:pt idx="3">
                  <c:v>2021</c:v>
                </c:pt>
                <c:pt idx="4">
                  <c:v>2022</c:v>
                </c:pt>
                <c:pt idx="5">
                  <c:v>2023</c:v>
                </c:pt>
                <c:pt idx="6">
                  <c:v>2024</c:v>
                </c:pt>
              </c:strCache>
            </c:strRef>
          </c:cat>
          <c:val>
            <c:numRef>
              <c:f>Sheet1!$B$4:$H$4</c:f>
              <c:numCache>
                <c:formatCode>0.0</c:formatCode>
                <c:ptCount val="7"/>
                <c:pt idx="0">
                  <c:v>0.84712204793201873</c:v>
                </c:pt>
                <c:pt idx="1">
                  <c:v>0.73660007839076713</c:v>
                </c:pt>
                <c:pt idx="2">
                  <c:v>-1.360141465150009</c:v>
                </c:pt>
                <c:pt idx="3">
                  <c:v>0.86013400504262205</c:v>
                </c:pt>
                <c:pt idx="4">
                  <c:v>1.1689737492189967</c:v>
                </c:pt>
                <c:pt idx="5">
                  <c:v>0.74641847073474399</c:v>
                </c:pt>
                <c:pt idx="6">
                  <c:v>1.0128497469010687</c:v>
                </c:pt>
              </c:numCache>
            </c:numRef>
          </c:val>
          <c:extLst>
            <c:ext xmlns:c16="http://schemas.microsoft.com/office/drawing/2014/chart" uri="{C3380CC4-5D6E-409C-BE32-E72D297353CC}">
              <c16:uniqueId val="{00000001-EAD4-4D64-A498-700E6410E10F}"/>
            </c:ext>
          </c:extLst>
        </c:ser>
        <c:ser>
          <c:idx val="3"/>
          <c:order val="3"/>
          <c:tx>
            <c:strRef>
              <c:f>Sheet1!$A$5</c:f>
              <c:strCache>
                <c:ptCount val="1"/>
                <c:pt idx="0">
                  <c:v>Զուտ արտահանում</c:v>
                </c:pt>
              </c:strCache>
            </c:strRef>
          </c:tx>
          <c:spPr>
            <a:solidFill>
              <a:schemeClr val="accent4"/>
            </a:solidFill>
            <a:ln>
              <a:noFill/>
            </a:ln>
            <a:effectLst/>
          </c:spPr>
          <c:invertIfNegative val="0"/>
          <c:cat>
            <c:strRef>
              <c:f>Sheet1!$B$1:$H$1</c:f>
              <c:strCache>
                <c:ptCount val="7"/>
                <c:pt idx="0">
                  <c:v>2018</c:v>
                </c:pt>
                <c:pt idx="1">
                  <c:v>2019</c:v>
                </c:pt>
                <c:pt idx="2">
                  <c:v>2020</c:v>
                </c:pt>
                <c:pt idx="3">
                  <c:v>2021</c:v>
                </c:pt>
                <c:pt idx="4">
                  <c:v>2022</c:v>
                </c:pt>
                <c:pt idx="5">
                  <c:v>2023</c:v>
                </c:pt>
                <c:pt idx="6">
                  <c:v>2024</c:v>
                </c:pt>
              </c:strCache>
            </c:strRef>
          </c:cat>
          <c:val>
            <c:numRef>
              <c:f>Sheet1!$B$5:$H$5</c:f>
              <c:numCache>
                <c:formatCode>0.0</c:formatCode>
                <c:ptCount val="7"/>
                <c:pt idx="0">
                  <c:v>-4.6043797249248186</c:v>
                </c:pt>
                <c:pt idx="1">
                  <c:v>0.14555833743502422</c:v>
                </c:pt>
                <c:pt idx="2">
                  <c:v>3.9623231857555883</c:v>
                </c:pt>
                <c:pt idx="3">
                  <c:v>-1.182789519198125</c:v>
                </c:pt>
                <c:pt idx="4">
                  <c:v>-0.79822053941719473</c:v>
                </c:pt>
                <c:pt idx="5">
                  <c:v>-0.50205194858991542</c:v>
                </c:pt>
                <c:pt idx="6">
                  <c:v>-0.64019467379245321</c:v>
                </c:pt>
              </c:numCache>
            </c:numRef>
          </c:val>
          <c:extLst>
            <c:ext xmlns:c16="http://schemas.microsoft.com/office/drawing/2014/chart" uri="{C3380CC4-5D6E-409C-BE32-E72D297353CC}">
              <c16:uniqueId val="{00000002-EAD4-4D64-A498-700E6410E10F}"/>
            </c:ext>
          </c:extLst>
        </c:ser>
        <c:dLbls>
          <c:showLegendKey val="0"/>
          <c:showVal val="0"/>
          <c:showCatName val="0"/>
          <c:showSerName val="0"/>
          <c:showPercent val="0"/>
          <c:showBubbleSize val="0"/>
        </c:dLbls>
        <c:gapWidth val="150"/>
        <c:overlap val="100"/>
        <c:axId val="147890176"/>
        <c:axId val="147891712"/>
      </c:barChart>
      <c:lineChart>
        <c:grouping val="standard"/>
        <c:varyColors val="0"/>
        <c:ser>
          <c:idx val="0"/>
          <c:order val="0"/>
          <c:tx>
            <c:strRef>
              <c:f>Sheet1!$A$2</c:f>
              <c:strCache>
                <c:ptCount val="1"/>
                <c:pt idx="0">
                  <c:v>ՀՆԱ</c:v>
                </c:pt>
              </c:strCache>
            </c:strRef>
          </c:tx>
          <c:spPr>
            <a:ln w="28575" cap="rnd">
              <a:solidFill>
                <a:schemeClr val="accent1"/>
              </a:solidFill>
              <a:round/>
            </a:ln>
            <a:effectLst/>
          </c:spPr>
          <c:marker>
            <c:symbol val="none"/>
          </c:marker>
          <c:dLbls>
            <c:dLbl>
              <c:idx val="0"/>
              <c:layout>
                <c:manualLayout>
                  <c:x val="-4.47245375076235E-2"/>
                  <c:y val="-5.3171287504747471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AD4-4D64-A498-700E6410E10F}"/>
                </c:ext>
              </c:extLst>
            </c:dLbl>
            <c:dLbl>
              <c:idx val="1"/>
              <c:layout>
                <c:manualLayout>
                  <c:x val="-5.2856271599918722E-2"/>
                  <c:y val="-3.7979491074819599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AD4-4D64-A498-700E6410E10F}"/>
                </c:ext>
              </c:extLst>
            </c:dLbl>
            <c:dLbl>
              <c:idx val="2"/>
              <c:layout>
                <c:manualLayout>
                  <c:x val="-6.0988005692213867E-2"/>
                  <c:y val="3.7979491074819599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AD4-4D64-A498-700E6410E10F}"/>
                </c:ext>
              </c:extLst>
            </c:dLbl>
            <c:dLbl>
              <c:idx val="3"/>
              <c:layout>
                <c:manualLayout>
                  <c:x val="-4.4724537507623577E-2"/>
                  <c:y val="-6.0767185719711354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AD4-4D64-A498-700E6410E10F}"/>
                </c:ext>
              </c:extLst>
            </c:dLbl>
            <c:dLbl>
              <c:idx val="4"/>
              <c:layout>
                <c:manualLayout>
                  <c:x val="-5.0985652611679283E-2"/>
                  <c:y val="-4.5800275725124184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AD4-4D64-A498-700E6410E10F}"/>
                </c:ext>
              </c:extLst>
            </c:dLbl>
            <c:dLbl>
              <c:idx val="5"/>
              <c:layout>
                <c:manualLayout>
                  <c:x val="-5.8613475307861367E-2"/>
                  <c:y val="-5.4261627854816703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AD4-4D64-A498-700E6410E10F}"/>
                </c:ext>
              </c:extLst>
            </c:dLbl>
            <c:dLbl>
              <c:idx val="6"/>
              <c:layout>
                <c:manualLayout>
                  <c:x val="-5.6802723810773906E-2"/>
                  <c:y val="-4.015957367273644E-2"/>
                </c:manualLayout>
              </c:layout>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AD4-4D64-A498-700E6410E10F}"/>
                </c:ext>
              </c:extLst>
            </c:dLbl>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7"/>
                <c:pt idx="0">
                  <c:v>2018</c:v>
                </c:pt>
                <c:pt idx="1">
                  <c:v>2019</c:v>
                </c:pt>
                <c:pt idx="2">
                  <c:v>2020</c:v>
                </c:pt>
                <c:pt idx="3">
                  <c:v>2021</c:v>
                </c:pt>
                <c:pt idx="4">
                  <c:v>2022</c:v>
                </c:pt>
                <c:pt idx="5">
                  <c:v>2023</c:v>
                </c:pt>
                <c:pt idx="6">
                  <c:v>2024</c:v>
                </c:pt>
              </c:strCache>
            </c:strRef>
          </c:cat>
          <c:val>
            <c:numRef>
              <c:f>Sheet1!$B$2:$H$2</c:f>
              <c:numCache>
                <c:formatCode>0.0</c:formatCode>
                <c:ptCount val="7"/>
                <c:pt idx="0">
                  <c:v>5.1947356482575344</c:v>
                </c:pt>
                <c:pt idx="1">
                  <c:v>7.620863279975481</c:v>
                </c:pt>
                <c:pt idx="2">
                  <c:v>-7.4053975994272463</c:v>
                </c:pt>
                <c:pt idx="3">
                  <c:v>6</c:v>
                </c:pt>
                <c:pt idx="4">
                  <c:v>5.1786453838780062</c:v>
                </c:pt>
                <c:pt idx="5">
                  <c:v>3.748841234354984</c:v>
                </c:pt>
                <c:pt idx="6">
                  <c:v>3.9969367072520043</c:v>
                </c:pt>
              </c:numCache>
            </c:numRef>
          </c:val>
          <c:smooth val="0"/>
          <c:extLst>
            <c:ext xmlns:c16="http://schemas.microsoft.com/office/drawing/2014/chart" uri="{C3380CC4-5D6E-409C-BE32-E72D297353CC}">
              <c16:uniqueId val="{0000000A-EAD4-4D64-A498-700E6410E10F}"/>
            </c:ext>
          </c:extLst>
        </c:ser>
        <c:dLbls>
          <c:showLegendKey val="0"/>
          <c:showVal val="0"/>
          <c:showCatName val="0"/>
          <c:showSerName val="0"/>
          <c:showPercent val="0"/>
          <c:showBubbleSize val="0"/>
        </c:dLbls>
        <c:marker val="1"/>
        <c:smooth val="0"/>
        <c:axId val="147890176"/>
        <c:axId val="147891712"/>
      </c:lineChart>
      <c:catAx>
        <c:axId val="1478901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7891712"/>
        <c:crosses val="autoZero"/>
        <c:auto val="1"/>
        <c:lblAlgn val="ctr"/>
        <c:lblOffset val="100"/>
        <c:noMultiLvlLbl val="0"/>
      </c:catAx>
      <c:valAx>
        <c:axId val="147891712"/>
        <c:scaling>
          <c:orientation val="minMax"/>
          <c:max val="10"/>
          <c:min val="-12"/>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7890176"/>
        <c:crosses val="autoZero"/>
        <c:crossBetween val="between"/>
      </c:valAx>
      <c:spPr>
        <a:noFill/>
        <a:ln>
          <a:noFill/>
        </a:ln>
        <a:effectLst/>
      </c:spPr>
    </c:plotArea>
    <c:legend>
      <c:legendPos val="b"/>
      <c:layout>
        <c:manualLayout>
          <c:xMode val="edge"/>
          <c:yMode val="edge"/>
          <c:x val="2.091774131948677E-2"/>
          <c:y val="0.76103826800655461"/>
          <c:w val="0.97908241294216225"/>
          <c:h val="0.2389618731869046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GHEA Grapalat" panose="02000506050000020003" pitchFamily="50" charset="0"/>
        </a:defRPr>
      </a:pPr>
      <a:endParaRPr lang="en-US"/>
    </a:p>
  </c:txPr>
  <c:externalData r:id="rId2">
    <c:autoUpdate val="0"/>
  </c:externalData>
  <c:userShapes r:id="rId3"/>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Sheet1!$A$2</c:f>
              <c:strCache>
                <c:ptCount val="1"/>
                <c:pt idx="0">
                  <c:v>2022-2024թթ. ՄԺԾԾ տնտեսական աճի սցենար</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6296296296296294E-3"/>
                  <c:y val="-4.891171435558816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EE-4427-B819-26D48837CA00}"/>
                </c:ext>
              </c:extLst>
            </c:dLbl>
            <c:dLbl>
              <c:idx val="1"/>
              <c:layout>
                <c:manualLayout>
                  <c:x val="-2.0833333333333332E-2"/>
                  <c:y val="-2.44558571777940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EE-4427-B819-26D48837CA00}"/>
                </c:ext>
              </c:extLst>
            </c:dLbl>
            <c:dLbl>
              <c:idx val="2"/>
              <c:layout>
                <c:manualLayout>
                  <c:x val="-1.8518518518518517E-2"/>
                  <c:y val="2.9347028613352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EE-4427-B819-26D48837CA00}"/>
                </c:ext>
              </c:extLst>
            </c:dLbl>
            <c:dLbl>
              <c:idx val="3"/>
              <c:layout>
                <c:manualLayout>
                  <c:x val="-9.2592592592592587E-3"/>
                  <c:y val="-9.782342871117632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EE-4427-B819-26D48837CA00}"/>
                </c:ext>
              </c:extLst>
            </c:dLbl>
            <c:dLbl>
              <c:idx val="4"/>
              <c:layout>
                <c:manualLayout>
                  <c:x val="-6.9444444444444441E-3"/>
                  <c:y val="4.891171435558816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5EE-4427-B819-26D48837CA00}"/>
                </c:ext>
              </c:extLst>
            </c:dLbl>
            <c:dLbl>
              <c:idx val="5"/>
              <c:layout>
                <c:manualLayout>
                  <c:x val="-1.8518518518518604E-2"/>
                  <c:y val="2.93470286133528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EE-4427-B819-26D48837CA00}"/>
                </c:ext>
              </c:extLst>
            </c:dLbl>
            <c:dLbl>
              <c:idx val="6"/>
              <c:layout>
                <c:manualLayout>
                  <c:x val="-3.4722222222222224E-2"/>
                  <c:y val="3.912937148447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5EE-4427-B819-26D48837CA00}"/>
                </c:ext>
              </c:extLst>
            </c:dLbl>
            <c:dLbl>
              <c:idx val="7"/>
              <c:layout>
                <c:manualLayout>
                  <c:x val="-2.5462962962962962E-2"/>
                  <c:y val="2.93470286133529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5EE-4427-B819-26D48837CA00}"/>
                </c:ext>
              </c:extLst>
            </c:dLbl>
            <c:dLbl>
              <c:idx val="8"/>
              <c:layout>
                <c:manualLayout>
                  <c:x val="-2.5462962962962962E-2"/>
                  <c:y val="3.91293714844705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5EE-4427-B819-26D48837CA00}"/>
                </c:ext>
              </c:extLst>
            </c:dLbl>
            <c:dLbl>
              <c:idx val="9"/>
              <c:layout>
                <c:manualLayout>
                  <c:x val="-3.2407407407407579E-2"/>
                  <c:y val="3.42382000489117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5EE-4427-B819-26D48837CA00}"/>
                </c:ext>
              </c:extLst>
            </c:dLbl>
            <c:dLbl>
              <c:idx val="10"/>
              <c:layout>
                <c:manualLayout>
                  <c:x val="-3.935185185185202E-2"/>
                  <c:y val="3.912937148447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5EE-4427-B819-26D48837CA0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2016</c:v>
                </c:pt>
                <c:pt idx="1">
                  <c:v>2017</c:v>
                </c:pt>
                <c:pt idx="2">
                  <c:v>2018</c:v>
                </c:pt>
                <c:pt idx="3">
                  <c:v>2019</c:v>
                </c:pt>
                <c:pt idx="4">
                  <c:v>2020</c:v>
                </c:pt>
                <c:pt idx="5">
                  <c:v>2021</c:v>
                </c:pt>
                <c:pt idx="6">
                  <c:v>2022</c:v>
                </c:pt>
                <c:pt idx="7">
                  <c:v>2023</c:v>
                </c:pt>
                <c:pt idx="8">
                  <c:v>2024</c:v>
                </c:pt>
              </c:strCache>
            </c:strRef>
          </c:cat>
          <c:val>
            <c:numRef>
              <c:f>Sheet1!$B$2:$J$2</c:f>
              <c:numCache>
                <c:formatCode>0.0</c:formatCode>
                <c:ptCount val="9"/>
                <c:pt idx="0">
                  <c:v>0.20000000000000284</c:v>
                </c:pt>
                <c:pt idx="1">
                  <c:v>7.5</c:v>
                </c:pt>
                <c:pt idx="2">
                  <c:v>5.2000000000000028</c:v>
                </c:pt>
                <c:pt idx="3">
                  <c:v>7.5999999999999943</c:v>
                </c:pt>
                <c:pt idx="4">
                  <c:v>-7.4000000000000057</c:v>
                </c:pt>
                <c:pt idx="5">
                  <c:v>6.0239561077160317</c:v>
                </c:pt>
                <c:pt idx="6">
                  <c:v>5.2014113275430844</c:v>
                </c:pt>
                <c:pt idx="7">
                  <c:v>3.6718965917120414</c:v>
                </c:pt>
                <c:pt idx="8">
                  <c:v>4.0244826061059342</c:v>
                </c:pt>
              </c:numCache>
            </c:numRef>
          </c:val>
          <c:smooth val="0"/>
          <c:extLst>
            <c:ext xmlns:c16="http://schemas.microsoft.com/office/drawing/2014/chart" uri="{C3380CC4-5D6E-409C-BE32-E72D297353CC}">
              <c16:uniqueId val="{0000000B-D5EE-4427-B819-26D48837CA00}"/>
            </c:ext>
          </c:extLst>
        </c:ser>
        <c:ser>
          <c:idx val="1"/>
          <c:order val="1"/>
          <c:tx>
            <c:strRef>
              <c:f>Sheet1!$A$3</c:f>
              <c:strCache>
                <c:ptCount val="1"/>
                <c:pt idx="0">
                  <c:v>Տնտեսական աճի թիրախներ</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5"/>
              <c:layout>
                <c:manualLayout>
                  <c:x val="-2.7777777777777776E-2"/>
                  <c:y val="-4.40205429200293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5EE-4427-B819-26D48837CA00}"/>
                </c:ext>
              </c:extLst>
            </c:dLbl>
            <c:dLbl>
              <c:idx val="6"/>
              <c:layout>
                <c:manualLayout>
                  <c:x val="-3.2407407407407406E-2"/>
                  <c:y val="-2.9347028613352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5EE-4427-B819-26D48837CA00}"/>
                </c:ext>
              </c:extLst>
            </c:dLbl>
            <c:dLbl>
              <c:idx val="7"/>
              <c:layout>
                <c:manualLayout>
                  <c:x val="-3.4722222222222224E-2"/>
                  <c:y val="-2.44558571777941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5EE-4427-B819-26D48837CA00}"/>
                </c:ext>
              </c:extLst>
            </c:dLbl>
            <c:dLbl>
              <c:idx val="8"/>
              <c:layout>
                <c:manualLayout>
                  <c:x val="-3.0092592592592591E-2"/>
                  <c:y val="-3.42382000489117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5EE-4427-B819-26D48837CA00}"/>
                </c:ext>
              </c:extLst>
            </c:dLbl>
            <c:dLbl>
              <c:idx val="9"/>
              <c:layout>
                <c:manualLayout>
                  <c:x val="-3.0092592592592591E-2"/>
                  <c:y val="-2.9347028613352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5EE-4427-B819-26D48837CA00}"/>
                </c:ext>
              </c:extLst>
            </c:dLbl>
            <c:dLbl>
              <c:idx val="10"/>
              <c:layout>
                <c:manualLayout>
                  <c:x val="-3.7037037037037035E-2"/>
                  <c:y val="-3.423820004891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5EE-4427-B819-26D48837CA0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Sheet1!$B$1:$J$1</c:f>
              <c:strCache>
                <c:ptCount val="9"/>
                <c:pt idx="0">
                  <c:v>2016</c:v>
                </c:pt>
                <c:pt idx="1">
                  <c:v>2017</c:v>
                </c:pt>
                <c:pt idx="2">
                  <c:v>2018</c:v>
                </c:pt>
                <c:pt idx="3">
                  <c:v>2019</c:v>
                </c:pt>
                <c:pt idx="4">
                  <c:v>2020</c:v>
                </c:pt>
                <c:pt idx="5">
                  <c:v>2021</c:v>
                </c:pt>
                <c:pt idx="6">
                  <c:v>2022</c:v>
                </c:pt>
                <c:pt idx="7">
                  <c:v>2023</c:v>
                </c:pt>
                <c:pt idx="8">
                  <c:v>2024</c:v>
                </c:pt>
              </c:strCache>
            </c:strRef>
          </c:cat>
          <c:val>
            <c:numRef>
              <c:f>Sheet1!$B$3:$J$3</c:f>
              <c:numCache>
                <c:formatCode>General</c:formatCode>
                <c:ptCount val="9"/>
                <c:pt idx="5" formatCode="0.0">
                  <c:v>6.0239561077160317</c:v>
                </c:pt>
                <c:pt idx="6" formatCode="0.0">
                  <c:v>7.100630942999075</c:v>
                </c:pt>
                <c:pt idx="7" formatCode="0.0">
                  <c:v>7.1032971533586817</c:v>
                </c:pt>
                <c:pt idx="8" formatCode="0.0">
                  <c:v>7.044990393660413</c:v>
                </c:pt>
              </c:numCache>
            </c:numRef>
          </c:val>
          <c:smooth val="0"/>
          <c:extLst>
            <c:ext xmlns:c16="http://schemas.microsoft.com/office/drawing/2014/chart" uri="{C3380CC4-5D6E-409C-BE32-E72D297353CC}">
              <c16:uniqueId val="{00000012-D5EE-4427-B819-26D48837CA00}"/>
            </c:ext>
          </c:extLst>
        </c:ser>
        <c:dLbls>
          <c:showLegendKey val="0"/>
          <c:showVal val="0"/>
          <c:showCatName val="0"/>
          <c:showSerName val="0"/>
          <c:showPercent val="0"/>
          <c:showBubbleSize val="0"/>
        </c:dLbls>
        <c:marker val="1"/>
        <c:smooth val="0"/>
        <c:axId val="147946112"/>
        <c:axId val="147964288"/>
      </c:lineChart>
      <c:catAx>
        <c:axId val="147946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7964288"/>
        <c:crosses val="autoZero"/>
        <c:auto val="1"/>
        <c:lblAlgn val="ctr"/>
        <c:lblOffset val="100"/>
        <c:noMultiLvlLbl val="0"/>
      </c:catAx>
      <c:valAx>
        <c:axId val="147964288"/>
        <c:scaling>
          <c:orientation val="minMax"/>
          <c:min val="-8"/>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7946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36046999039115"/>
          <c:y val="8.6819258089976328E-2"/>
          <c:w val="0.84559448496456369"/>
          <c:h val="0.6190958864948537"/>
        </c:manualLayout>
      </c:layout>
      <c:barChart>
        <c:barDir val="col"/>
        <c:grouping val="percentStacked"/>
        <c:varyColors val="0"/>
        <c:ser>
          <c:idx val="0"/>
          <c:order val="0"/>
          <c:tx>
            <c:strRef>
              <c:f>Sheet1!$A$2</c:f>
              <c:strCache>
                <c:ptCount val="1"/>
                <c:pt idx="0">
                  <c:v>Սպառում</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7"/>
                <c:pt idx="0">
                  <c:v>2018 </c:v>
                </c:pt>
                <c:pt idx="1">
                  <c:v>2019 </c:v>
                </c:pt>
                <c:pt idx="2">
                  <c:v>2020</c:v>
                </c:pt>
                <c:pt idx="3">
                  <c:v>2021</c:v>
                </c:pt>
                <c:pt idx="4">
                  <c:v>2022</c:v>
                </c:pt>
                <c:pt idx="5">
                  <c:v>2023</c:v>
                </c:pt>
                <c:pt idx="6">
                  <c:v>2024</c:v>
                </c:pt>
              </c:strCache>
            </c:strRef>
          </c:cat>
          <c:val>
            <c:numRef>
              <c:f>Sheet1!$B$2:$H$2</c:f>
              <c:numCache>
                <c:formatCode>0.0</c:formatCode>
                <c:ptCount val="7"/>
                <c:pt idx="0">
                  <c:v>91.28757963722731</c:v>
                </c:pt>
                <c:pt idx="1">
                  <c:v>96.004021993844162</c:v>
                </c:pt>
                <c:pt idx="2">
                  <c:v>91.422990776868645</c:v>
                </c:pt>
                <c:pt idx="3">
                  <c:v>93.111748914949615</c:v>
                </c:pt>
                <c:pt idx="4">
                  <c:v>93.258227714132857</c:v>
                </c:pt>
                <c:pt idx="5">
                  <c:v>93.190149818598911</c:v>
                </c:pt>
                <c:pt idx="6">
                  <c:v>92.70399568050162</c:v>
                </c:pt>
              </c:numCache>
            </c:numRef>
          </c:val>
          <c:extLst>
            <c:ext xmlns:c16="http://schemas.microsoft.com/office/drawing/2014/chart" uri="{C3380CC4-5D6E-409C-BE32-E72D297353CC}">
              <c16:uniqueId val="{00000000-DA93-4B7E-A525-E03F53067437}"/>
            </c:ext>
          </c:extLst>
        </c:ser>
        <c:ser>
          <c:idx val="1"/>
          <c:order val="1"/>
          <c:tx>
            <c:strRef>
              <c:f>Sheet1!$A$3</c:f>
              <c:strCache>
                <c:ptCount val="1"/>
                <c:pt idx="0">
                  <c:v>Հիմնական միջոցներում կապիտալ ներդրումներ</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7"/>
                <c:pt idx="0">
                  <c:v>2018 </c:v>
                </c:pt>
                <c:pt idx="1">
                  <c:v>2019 </c:v>
                </c:pt>
                <c:pt idx="2">
                  <c:v>2020</c:v>
                </c:pt>
                <c:pt idx="3">
                  <c:v>2021</c:v>
                </c:pt>
                <c:pt idx="4">
                  <c:v>2022</c:v>
                </c:pt>
                <c:pt idx="5">
                  <c:v>2023</c:v>
                </c:pt>
                <c:pt idx="6">
                  <c:v>2024</c:v>
                </c:pt>
              </c:strCache>
            </c:strRef>
          </c:cat>
          <c:val>
            <c:numRef>
              <c:f>Sheet1!$B$3:$H$3</c:f>
              <c:numCache>
                <c:formatCode>0.0</c:formatCode>
                <c:ptCount val="7"/>
                <c:pt idx="0">
                  <c:v>16.740910872517414</c:v>
                </c:pt>
                <c:pt idx="1">
                  <c:v>15.815598431976859</c:v>
                </c:pt>
                <c:pt idx="2">
                  <c:v>16.571815993690116</c:v>
                </c:pt>
                <c:pt idx="3">
                  <c:v>16.540871389335603</c:v>
                </c:pt>
                <c:pt idx="4">
                  <c:v>17.023825230900652</c:v>
                </c:pt>
                <c:pt idx="5">
                  <c:v>17.142156811265348</c:v>
                </c:pt>
                <c:pt idx="6">
                  <c:v>17.377429088112699</c:v>
                </c:pt>
              </c:numCache>
            </c:numRef>
          </c:val>
          <c:extLst>
            <c:ext xmlns:c16="http://schemas.microsoft.com/office/drawing/2014/chart" uri="{C3380CC4-5D6E-409C-BE32-E72D297353CC}">
              <c16:uniqueId val="{00000001-DA93-4B7E-A525-E03F53067437}"/>
            </c:ext>
          </c:extLst>
        </c:ser>
        <c:ser>
          <c:idx val="2"/>
          <c:order val="2"/>
          <c:tx>
            <c:strRef>
              <c:f>Sheet1!$A$4</c:f>
              <c:strCache>
                <c:ptCount val="1"/>
                <c:pt idx="0">
                  <c:v>Ապրանք. և ծառ. արտահանում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7"/>
                <c:pt idx="0">
                  <c:v>2018 </c:v>
                </c:pt>
                <c:pt idx="1">
                  <c:v>2019 </c:v>
                </c:pt>
                <c:pt idx="2">
                  <c:v>2020</c:v>
                </c:pt>
                <c:pt idx="3">
                  <c:v>2021</c:v>
                </c:pt>
                <c:pt idx="4">
                  <c:v>2022</c:v>
                </c:pt>
                <c:pt idx="5">
                  <c:v>2023</c:v>
                </c:pt>
                <c:pt idx="6">
                  <c:v>2024</c:v>
                </c:pt>
              </c:strCache>
            </c:strRef>
          </c:cat>
          <c:val>
            <c:numRef>
              <c:f>Sheet1!$B$4:$H$4</c:f>
              <c:numCache>
                <c:formatCode>0.0</c:formatCode>
                <c:ptCount val="7"/>
                <c:pt idx="0">
                  <c:v>39.392894028607309</c:v>
                </c:pt>
                <c:pt idx="1">
                  <c:v>41.35080136208493</c:v>
                </c:pt>
                <c:pt idx="2">
                  <c:v>30.237914415310925</c:v>
                </c:pt>
                <c:pt idx="3">
                  <c:v>33.426249904322148</c:v>
                </c:pt>
                <c:pt idx="4">
                  <c:v>35.309262694219754</c:v>
                </c:pt>
                <c:pt idx="5">
                  <c:v>36.830543935219374</c:v>
                </c:pt>
                <c:pt idx="6">
                  <c:v>37.791864728713712</c:v>
                </c:pt>
              </c:numCache>
            </c:numRef>
          </c:val>
          <c:extLst>
            <c:ext xmlns:c16="http://schemas.microsoft.com/office/drawing/2014/chart" uri="{C3380CC4-5D6E-409C-BE32-E72D297353CC}">
              <c16:uniqueId val="{00000002-DA93-4B7E-A525-E03F53067437}"/>
            </c:ext>
          </c:extLst>
        </c:ser>
        <c:ser>
          <c:idx val="3"/>
          <c:order val="3"/>
          <c:tx>
            <c:strRef>
              <c:f>Sheet1!$A$5</c:f>
              <c:strCache>
                <c:ptCount val="1"/>
                <c:pt idx="0">
                  <c:v>Ապրանք. և ծառ. ներմուծում </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7"/>
                <c:pt idx="0">
                  <c:v>2018 </c:v>
                </c:pt>
                <c:pt idx="1">
                  <c:v>2019 </c:v>
                </c:pt>
                <c:pt idx="2">
                  <c:v>2020</c:v>
                </c:pt>
                <c:pt idx="3">
                  <c:v>2021</c:v>
                </c:pt>
                <c:pt idx="4">
                  <c:v>2022</c:v>
                </c:pt>
                <c:pt idx="5">
                  <c:v>2023</c:v>
                </c:pt>
                <c:pt idx="6">
                  <c:v>2024</c:v>
                </c:pt>
              </c:strCache>
            </c:strRef>
          </c:cat>
          <c:val>
            <c:numRef>
              <c:f>Sheet1!$B$5:$H$5</c:f>
              <c:numCache>
                <c:formatCode>0.0</c:formatCode>
                <c:ptCount val="7"/>
                <c:pt idx="0">
                  <c:v>53.080212992604729</c:v>
                </c:pt>
                <c:pt idx="1">
                  <c:v>54.763352766785822</c:v>
                </c:pt>
                <c:pt idx="2">
                  <c:v>39.608460770296468</c:v>
                </c:pt>
                <c:pt idx="3">
                  <c:v>43.078870199584159</c:v>
                </c:pt>
                <c:pt idx="4">
                  <c:v>45.59131563925326</c:v>
                </c:pt>
                <c:pt idx="5">
                  <c:v>47.162850565083609</c:v>
                </c:pt>
                <c:pt idx="6">
                  <c:v>47.873289497328031</c:v>
                </c:pt>
              </c:numCache>
            </c:numRef>
          </c:val>
          <c:extLst>
            <c:ext xmlns:c16="http://schemas.microsoft.com/office/drawing/2014/chart" uri="{C3380CC4-5D6E-409C-BE32-E72D297353CC}">
              <c16:uniqueId val="{00000003-DA93-4B7E-A525-E03F53067437}"/>
            </c:ext>
          </c:extLst>
        </c:ser>
        <c:dLbls>
          <c:showLegendKey val="0"/>
          <c:showVal val="0"/>
          <c:showCatName val="0"/>
          <c:showSerName val="0"/>
          <c:showPercent val="0"/>
          <c:showBubbleSize val="0"/>
        </c:dLbls>
        <c:gapWidth val="150"/>
        <c:overlap val="100"/>
        <c:axId val="148216832"/>
        <c:axId val="148222720"/>
      </c:barChart>
      <c:catAx>
        <c:axId val="148216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222720"/>
        <c:crosses val="autoZero"/>
        <c:auto val="1"/>
        <c:lblAlgn val="ctr"/>
        <c:lblOffset val="100"/>
        <c:noMultiLvlLbl val="0"/>
      </c:catAx>
      <c:valAx>
        <c:axId val="1482227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216832"/>
        <c:crosses val="autoZero"/>
        <c:crossBetween val="between"/>
      </c:valAx>
      <c:spPr>
        <a:noFill/>
        <a:ln>
          <a:noFill/>
        </a:ln>
        <a:effectLst/>
      </c:spPr>
    </c:plotArea>
    <c:legend>
      <c:legendPos val="b"/>
      <c:layout>
        <c:manualLayout>
          <c:xMode val="edge"/>
          <c:yMode val="edge"/>
          <c:x val="5.2434256574987008E-3"/>
          <c:y val="0.82079933378493464"/>
          <c:w val="0.99475646011079077"/>
          <c:h val="0.14561025175720482"/>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latin typeface="GHEA Grapalat" panose="02000506050000020003" pitchFamily="50" charset="0"/>
        </a:defRPr>
      </a:pPr>
      <a:endParaRPr lang="en-US"/>
    </a:p>
  </c:txPr>
  <c:externalData r:id="rId2">
    <c:autoUpdate val="0"/>
  </c:externalData>
  <c:userShapes r:id="rId3"/>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122703412073505E-2"/>
          <c:y val="5.0925925925925923E-2"/>
          <c:w val="0.87232174103237092"/>
          <c:h val="0.58299139690871971"/>
        </c:manualLayout>
      </c:layout>
      <c:barChart>
        <c:barDir val="col"/>
        <c:grouping val="percentStacked"/>
        <c:varyColors val="0"/>
        <c:ser>
          <c:idx val="0"/>
          <c:order val="0"/>
          <c:tx>
            <c:strRef>
              <c:f>Sheet1!$A$8</c:f>
              <c:strCache>
                <c:ptCount val="1"/>
                <c:pt idx="0">
                  <c:v>Արդյունաբերություն</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Sheet1!$B$7:$H$7</c:f>
              <c:numCache>
                <c:formatCode>0_)</c:formatCode>
                <c:ptCount val="7"/>
                <c:pt idx="0">
                  <c:v>2018</c:v>
                </c:pt>
                <c:pt idx="1">
                  <c:v>2019</c:v>
                </c:pt>
                <c:pt idx="2" formatCode="General">
                  <c:v>2020</c:v>
                </c:pt>
                <c:pt idx="3" formatCode="General">
                  <c:v>2021</c:v>
                </c:pt>
                <c:pt idx="4" formatCode="General">
                  <c:v>2022</c:v>
                </c:pt>
                <c:pt idx="5" formatCode="General">
                  <c:v>2023</c:v>
                </c:pt>
                <c:pt idx="6" formatCode="General">
                  <c:v>2024</c:v>
                </c:pt>
              </c:numCache>
            </c:numRef>
          </c:cat>
          <c:val>
            <c:numRef>
              <c:f>Sheet1!$B$8:$H$8</c:f>
              <c:numCache>
                <c:formatCode>0.0</c:formatCode>
                <c:ptCount val="7"/>
                <c:pt idx="0">
                  <c:v>18.152724119014625</c:v>
                </c:pt>
                <c:pt idx="1">
                  <c:v>18.62246328768363</c:v>
                </c:pt>
                <c:pt idx="2">
                  <c:v>20.076394962967974</c:v>
                </c:pt>
                <c:pt idx="3">
                  <c:v>19.868055015239065</c:v>
                </c:pt>
                <c:pt idx="4">
                  <c:v>20.023207409915504</c:v>
                </c:pt>
                <c:pt idx="5">
                  <c:v>20.129579357293441</c:v>
                </c:pt>
                <c:pt idx="6">
                  <c:v>20.207596025805721</c:v>
                </c:pt>
              </c:numCache>
            </c:numRef>
          </c:val>
          <c:extLst>
            <c:ext xmlns:c16="http://schemas.microsoft.com/office/drawing/2014/chart" uri="{C3380CC4-5D6E-409C-BE32-E72D297353CC}">
              <c16:uniqueId val="{00000000-4CF7-444D-884A-0D2EF8FE0BBA}"/>
            </c:ext>
          </c:extLst>
        </c:ser>
        <c:ser>
          <c:idx val="1"/>
          <c:order val="1"/>
          <c:tx>
            <c:strRef>
              <c:f>Sheet1!$A$9</c:f>
              <c:strCache>
                <c:ptCount val="1"/>
                <c:pt idx="0">
                  <c:v>Գյուղատնտեսություն և անտառային տնտեսություն</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Sheet1!$B$7:$H$7</c:f>
              <c:numCache>
                <c:formatCode>0_)</c:formatCode>
                <c:ptCount val="7"/>
                <c:pt idx="0">
                  <c:v>2018</c:v>
                </c:pt>
                <c:pt idx="1">
                  <c:v>2019</c:v>
                </c:pt>
                <c:pt idx="2" formatCode="General">
                  <c:v>2020</c:v>
                </c:pt>
                <c:pt idx="3" formatCode="General">
                  <c:v>2021</c:v>
                </c:pt>
                <c:pt idx="4" formatCode="General">
                  <c:v>2022</c:v>
                </c:pt>
                <c:pt idx="5" formatCode="General">
                  <c:v>2023</c:v>
                </c:pt>
                <c:pt idx="6" formatCode="General">
                  <c:v>2024</c:v>
                </c:pt>
              </c:numCache>
            </c:numRef>
          </c:cat>
          <c:val>
            <c:numRef>
              <c:f>Sheet1!$B$9:$H$9</c:f>
              <c:numCache>
                <c:formatCode>0.0</c:formatCode>
                <c:ptCount val="7"/>
                <c:pt idx="0">
                  <c:v>13.94231165541461</c:v>
                </c:pt>
                <c:pt idx="1">
                  <c:v>11.525610737958814</c:v>
                </c:pt>
                <c:pt idx="2">
                  <c:v>11.213423906355571</c:v>
                </c:pt>
                <c:pt idx="3">
                  <c:v>10.906641554200558</c:v>
                </c:pt>
                <c:pt idx="4">
                  <c:v>10.628875806732117</c:v>
                </c:pt>
                <c:pt idx="5">
                  <c:v>10.480444717185332</c:v>
                </c:pt>
                <c:pt idx="6">
                  <c:v>10.329588712170079</c:v>
                </c:pt>
              </c:numCache>
            </c:numRef>
          </c:val>
          <c:extLst>
            <c:ext xmlns:c16="http://schemas.microsoft.com/office/drawing/2014/chart" uri="{C3380CC4-5D6E-409C-BE32-E72D297353CC}">
              <c16:uniqueId val="{00000001-4CF7-444D-884A-0D2EF8FE0BBA}"/>
            </c:ext>
          </c:extLst>
        </c:ser>
        <c:ser>
          <c:idx val="2"/>
          <c:order val="2"/>
          <c:tx>
            <c:strRef>
              <c:f>Sheet1!$A$10</c:f>
              <c:strCache>
                <c:ptCount val="1"/>
                <c:pt idx="0">
                  <c:v>Շինարարություն</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Sheet1!$B$7:$H$7</c:f>
              <c:numCache>
                <c:formatCode>0_)</c:formatCode>
                <c:ptCount val="7"/>
                <c:pt idx="0">
                  <c:v>2018</c:v>
                </c:pt>
                <c:pt idx="1">
                  <c:v>2019</c:v>
                </c:pt>
                <c:pt idx="2" formatCode="General">
                  <c:v>2020</c:v>
                </c:pt>
                <c:pt idx="3" formatCode="General">
                  <c:v>2021</c:v>
                </c:pt>
                <c:pt idx="4" formatCode="General">
                  <c:v>2022</c:v>
                </c:pt>
                <c:pt idx="5" formatCode="General">
                  <c:v>2023</c:v>
                </c:pt>
                <c:pt idx="6" formatCode="General">
                  <c:v>2024</c:v>
                </c:pt>
              </c:numCache>
            </c:numRef>
          </c:cat>
          <c:val>
            <c:numRef>
              <c:f>Sheet1!$B$10:$H$10</c:f>
              <c:numCache>
                <c:formatCode>0.0</c:formatCode>
                <c:ptCount val="7"/>
                <c:pt idx="0">
                  <c:v>6.6038337286110611</c:v>
                </c:pt>
                <c:pt idx="1">
                  <c:v>6.3491451696598507</c:v>
                </c:pt>
                <c:pt idx="2">
                  <c:v>6.9788311532488461</c:v>
                </c:pt>
                <c:pt idx="3">
                  <c:v>6.9442265170508293</c:v>
                </c:pt>
                <c:pt idx="4">
                  <c:v>7.0182618921202771</c:v>
                </c:pt>
                <c:pt idx="5">
                  <c:v>6.9811346194291346</c:v>
                </c:pt>
                <c:pt idx="6">
                  <c:v>7.0618941789727927</c:v>
                </c:pt>
              </c:numCache>
            </c:numRef>
          </c:val>
          <c:extLst>
            <c:ext xmlns:c16="http://schemas.microsoft.com/office/drawing/2014/chart" uri="{C3380CC4-5D6E-409C-BE32-E72D297353CC}">
              <c16:uniqueId val="{00000002-4CF7-444D-884A-0D2EF8FE0BBA}"/>
            </c:ext>
          </c:extLst>
        </c:ser>
        <c:ser>
          <c:idx val="3"/>
          <c:order val="3"/>
          <c:tx>
            <c:strRef>
              <c:f>Sheet1!$A$11</c:f>
              <c:strCache>
                <c:ptCount val="1"/>
                <c:pt idx="0">
                  <c:v>Ծառայություններ</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Sheet1!$B$7:$H$7</c:f>
              <c:numCache>
                <c:formatCode>0_)</c:formatCode>
                <c:ptCount val="7"/>
                <c:pt idx="0">
                  <c:v>2018</c:v>
                </c:pt>
                <c:pt idx="1">
                  <c:v>2019</c:v>
                </c:pt>
                <c:pt idx="2" formatCode="General">
                  <c:v>2020</c:v>
                </c:pt>
                <c:pt idx="3" formatCode="General">
                  <c:v>2021</c:v>
                </c:pt>
                <c:pt idx="4" formatCode="General">
                  <c:v>2022</c:v>
                </c:pt>
                <c:pt idx="5" formatCode="General">
                  <c:v>2023</c:v>
                </c:pt>
                <c:pt idx="6" formatCode="General">
                  <c:v>2024</c:v>
                </c:pt>
              </c:numCache>
            </c:numRef>
          </c:cat>
          <c:val>
            <c:numRef>
              <c:f>Sheet1!$B$11:$H$11</c:f>
              <c:numCache>
                <c:formatCode>0.0</c:formatCode>
                <c:ptCount val="7"/>
                <c:pt idx="0">
                  <c:v>50.67754631051519</c:v>
                </c:pt>
                <c:pt idx="1">
                  <c:v>52.112404130880442</c:v>
                </c:pt>
                <c:pt idx="2">
                  <c:v>50.845593502888654</c:v>
                </c:pt>
                <c:pt idx="3">
                  <c:v>51.343972531071827</c:v>
                </c:pt>
                <c:pt idx="4">
                  <c:v>51.385130629199558</c:v>
                </c:pt>
                <c:pt idx="5">
                  <c:v>51.458920276778528</c:v>
                </c:pt>
                <c:pt idx="6">
                  <c:v>51.461206597534769</c:v>
                </c:pt>
              </c:numCache>
            </c:numRef>
          </c:val>
          <c:extLst>
            <c:ext xmlns:c16="http://schemas.microsoft.com/office/drawing/2014/chart" uri="{C3380CC4-5D6E-409C-BE32-E72D297353CC}">
              <c16:uniqueId val="{00000003-4CF7-444D-884A-0D2EF8FE0BBA}"/>
            </c:ext>
          </c:extLst>
        </c:ser>
        <c:ser>
          <c:idx val="4"/>
          <c:order val="4"/>
          <c:tx>
            <c:strRef>
              <c:f>Sheet1!$A$12</c:f>
              <c:strCache>
                <c:ptCount val="1"/>
                <c:pt idx="0">
                  <c:v>Զուտ հարկեր</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Sheet1!$B$7:$H$7</c:f>
              <c:numCache>
                <c:formatCode>0_)</c:formatCode>
                <c:ptCount val="7"/>
                <c:pt idx="0">
                  <c:v>2018</c:v>
                </c:pt>
                <c:pt idx="1">
                  <c:v>2019</c:v>
                </c:pt>
                <c:pt idx="2" formatCode="General">
                  <c:v>2020</c:v>
                </c:pt>
                <c:pt idx="3" formatCode="General">
                  <c:v>2021</c:v>
                </c:pt>
                <c:pt idx="4" formatCode="General">
                  <c:v>2022</c:v>
                </c:pt>
                <c:pt idx="5" formatCode="General">
                  <c:v>2023</c:v>
                </c:pt>
                <c:pt idx="6" formatCode="General">
                  <c:v>2024</c:v>
                </c:pt>
              </c:numCache>
            </c:numRef>
          </c:cat>
          <c:val>
            <c:numRef>
              <c:f>Sheet1!$B$12:$H$12</c:f>
              <c:numCache>
                <c:formatCode>0.0</c:formatCode>
                <c:ptCount val="7"/>
                <c:pt idx="0">
                  <c:v>10.623584186444511</c:v>
                </c:pt>
                <c:pt idx="1">
                  <c:v>11.390376673817263</c:v>
                </c:pt>
                <c:pt idx="2">
                  <c:v>10.885756474538951</c:v>
                </c:pt>
                <c:pt idx="3">
                  <c:v>10.937104382437719</c:v>
                </c:pt>
                <c:pt idx="4">
                  <c:v>10.944524262032546</c:v>
                </c:pt>
                <c:pt idx="5">
                  <c:v>10.949921029313568</c:v>
                </c:pt>
                <c:pt idx="6">
                  <c:v>10.939714485516621</c:v>
                </c:pt>
              </c:numCache>
            </c:numRef>
          </c:val>
          <c:extLst>
            <c:ext xmlns:c16="http://schemas.microsoft.com/office/drawing/2014/chart" uri="{C3380CC4-5D6E-409C-BE32-E72D297353CC}">
              <c16:uniqueId val="{00000004-4CF7-444D-884A-0D2EF8FE0BBA}"/>
            </c:ext>
          </c:extLst>
        </c:ser>
        <c:dLbls>
          <c:showLegendKey val="0"/>
          <c:showVal val="0"/>
          <c:showCatName val="0"/>
          <c:showSerName val="0"/>
          <c:showPercent val="0"/>
          <c:showBubbleSize val="0"/>
        </c:dLbls>
        <c:gapWidth val="150"/>
        <c:overlap val="100"/>
        <c:axId val="148288256"/>
        <c:axId val="148289792"/>
      </c:barChart>
      <c:catAx>
        <c:axId val="148288256"/>
        <c:scaling>
          <c:orientation val="minMax"/>
        </c:scaling>
        <c:delete val="0"/>
        <c:axPos val="b"/>
        <c:numFmt formatCode="0_)"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289792"/>
        <c:crosses val="autoZero"/>
        <c:auto val="1"/>
        <c:lblAlgn val="ctr"/>
        <c:lblOffset val="100"/>
        <c:noMultiLvlLbl val="0"/>
      </c:catAx>
      <c:valAx>
        <c:axId val="1482897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288256"/>
        <c:crosses val="autoZero"/>
        <c:crossBetween val="between"/>
      </c:valAx>
      <c:spPr>
        <a:noFill/>
        <a:ln>
          <a:noFill/>
        </a:ln>
        <a:effectLst/>
      </c:spPr>
    </c:plotArea>
    <c:legend>
      <c:legendPos val="b"/>
      <c:layout>
        <c:manualLayout>
          <c:xMode val="edge"/>
          <c:yMode val="edge"/>
          <c:x val="0"/>
          <c:y val="0.73565859823077828"/>
          <c:w val="0.97725437445319496"/>
          <c:h val="0.236563948025015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latin typeface="GHEA Grapalat" panose="02000506050000020003" pitchFamily="50" charset="0"/>
        </a:defRPr>
      </a:pPr>
      <a:endParaRPr lang="en-US"/>
    </a:p>
  </c:txPr>
  <c:externalData r:id="rId2">
    <c:autoUpdate val="0"/>
  </c:externalData>
  <c:userShapes r:id="rId3"/>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53434608552719"/>
          <c:y val="0.15695898950131296"/>
          <c:w val="0.79438558816511551"/>
          <c:h val="0.50461383816384664"/>
        </c:manualLayout>
      </c:layout>
      <c:barChart>
        <c:barDir val="col"/>
        <c:grouping val="clustered"/>
        <c:varyColors val="0"/>
        <c:ser>
          <c:idx val="0"/>
          <c:order val="0"/>
          <c:tx>
            <c:strRef>
              <c:f>Лист1!$B$1</c:f>
              <c:strCache>
                <c:ptCount val="1"/>
                <c:pt idx="0">
                  <c:v>Գործազուրկներ, հազ. մարդ</c:v>
                </c:pt>
              </c:strCache>
            </c:strRef>
          </c:tx>
          <c:spPr>
            <a:solidFill>
              <a:schemeClr val="accent1"/>
            </a:solidFill>
            <a:ln>
              <a:noFill/>
            </a:ln>
            <a:effectLst/>
          </c:spPr>
          <c:invertIfNegative val="0"/>
          <c:cat>
            <c:numRef>
              <c:f>Лист1!$A$2:$A$3</c:f>
              <c:numCache>
                <c:formatCode>General</c:formatCode>
                <c:ptCount val="2"/>
                <c:pt idx="0">
                  <c:v>2019</c:v>
                </c:pt>
                <c:pt idx="1">
                  <c:v>2020</c:v>
                </c:pt>
              </c:numCache>
            </c:numRef>
          </c:cat>
          <c:val>
            <c:numRef>
              <c:f>Лист1!$B$2:$B$3</c:f>
              <c:numCache>
                <c:formatCode>General</c:formatCode>
                <c:ptCount val="2"/>
                <c:pt idx="0">
                  <c:v>220.8</c:v>
                </c:pt>
                <c:pt idx="1">
                  <c:v>218.6</c:v>
                </c:pt>
              </c:numCache>
            </c:numRef>
          </c:val>
          <c:extLst>
            <c:ext xmlns:c16="http://schemas.microsoft.com/office/drawing/2014/chart" uri="{C3380CC4-5D6E-409C-BE32-E72D297353CC}">
              <c16:uniqueId val="{00000000-E8DF-49F7-B869-C260A5E5AF8B}"/>
            </c:ext>
          </c:extLst>
        </c:ser>
        <c:ser>
          <c:idx val="1"/>
          <c:order val="1"/>
          <c:tx>
            <c:strRef>
              <c:f>Лист1!$C$1</c:f>
              <c:strCache>
                <c:ptCount val="1"/>
                <c:pt idx="0">
                  <c:v>Զբաղվածներ, հազ. մարդ</c:v>
                </c:pt>
              </c:strCache>
            </c:strRef>
          </c:tx>
          <c:spPr>
            <a:solidFill>
              <a:schemeClr val="accent2"/>
            </a:solidFill>
            <a:ln>
              <a:noFill/>
            </a:ln>
            <a:effectLst/>
          </c:spPr>
          <c:invertIfNegative val="0"/>
          <c:cat>
            <c:numRef>
              <c:f>Лист1!$A$2:$A$3</c:f>
              <c:numCache>
                <c:formatCode>General</c:formatCode>
                <c:ptCount val="2"/>
                <c:pt idx="0">
                  <c:v>2019</c:v>
                </c:pt>
                <c:pt idx="1">
                  <c:v>2020</c:v>
                </c:pt>
              </c:numCache>
            </c:numRef>
          </c:cat>
          <c:val>
            <c:numRef>
              <c:f>Лист1!$C$2:$C$3</c:f>
              <c:numCache>
                <c:formatCode>General</c:formatCode>
                <c:ptCount val="2"/>
                <c:pt idx="0">
                  <c:v>1009.8</c:v>
                </c:pt>
                <c:pt idx="1">
                  <c:v>991</c:v>
                </c:pt>
              </c:numCache>
            </c:numRef>
          </c:val>
          <c:extLst>
            <c:ext xmlns:c16="http://schemas.microsoft.com/office/drawing/2014/chart" uri="{C3380CC4-5D6E-409C-BE32-E72D297353CC}">
              <c16:uniqueId val="{00000001-E8DF-49F7-B869-C260A5E5AF8B}"/>
            </c:ext>
          </c:extLst>
        </c:ser>
        <c:dLbls>
          <c:showLegendKey val="0"/>
          <c:showVal val="0"/>
          <c:showCatName val="0"/>
          <c:showSerName val="0"/>
          <c:showPercent val="0"/>
          <c:showBubbleSize val="0"/>
        </c:dLbls>
        <c:gapWidth val="219"/>
        <c:overlap val="-27"/>
        <c:axId val="148779392"/>
        <c:axId val="148780928"/>
      </c:barChart>
      <c:lineChart>
        <c:grouping val="standard"/>
        <c:varyColors val="0"/>
        <c:ser>
          <c:idx val="2"/>
          <c:order val="2"/>
          <c:tx>
            <c:strRef>
              <c:f>Лист1!$D$1</c:f>
              <c:strCache>
                <c:ptCount val="1"/>
                <c:pt idx="0">
                  <c:v>Գործազրկության մակարդակ, %, աջ առանցք</c:v>
                </c:pt>
              </c:strCache>
            </c:strRef>
          </c:tx>
          <c:spPr>
            <a:ln w="28575" cap="rnd">
              <a:solidFill>
                <a:srgbClr val="C00000"/>
              </a:solidFill>
              <a:round/>
            </a:ln>
            <a:effectLst/>
          </c:spPr>
          <c:marker>
            <c:symbol val="none"/>
          </c:marker>
          <c:dLbls>
            <c:dLbl>
              <c:idx val="0"/>
              <c:layout>
                <c:manualLayout>
                  <c:x val="-0.11163589523400605"/>
                  <c:y val="-4.123711340206185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8DF-49F7-B869-C260A5E5AF8B}"/>
                </c:ext>
              </c:extLst>
            </c:dLbl>
            <c:dLbl>
              <c:idx val="1"/>
              <c:layout>
                <c:manualLayout>
                  <c:x val="-5.1524259338772006E-2"/>
                  <c:y val="-5.49828178694158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8DF-49F7-B869-C260A5E5AF8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Лист1!$A$2:$A$3</c:f>
              <c:numCache>
                <c:formatCode>General</c:formatCode>
                <c:ptCount val="2"/>
                <c:pt idx="0">
                  <c:v>2019</c:v>
                </c:pt>
                <c:pt idx="1">
                  <c:v>2020</c:v>
                </c:pt>
              </c:numCache>
            </c:numRef>
          </c:cat>
          <c:val>
            <c:numRef>
              <c:f>Лист1!$D$2:$D$3</c:f>
              <c:numCache>
                <c:formatCode>General</c:formatCode>
                <c:ptCount val="2"/>
                <c:pt idx="0">
                  <c:v>17.899999999999999</c:v>
                </c:pt>
                <c:pt idx="1">
                  <c:v>18.100000000000001</c:v>
                </c:pt>
              </c:numCache>
            </c:numRef>
          </c:val>
          <c:smooth val="0"/>
          <c:extLst>
            <c:ext xmlns:c16="http://schemas.microsoft.com/office/drawing/2014/chart" uri="{C3380CC4-5D6E-409C-BE32-E72D297353CC}">
              <c16:uniqueId val="{00000004-E8DF-49F7-B869-C260A5E5AF8B}"/>
            </c:ext>
          </c:extLst>
        </c:ser>
        <c:dLbls>
          <c:showLegendKey val="0"/>
          <c:showVal val="0"/>
          <c:showCatName val="0"/>
          <c:showSerName val="0"/>
          <c:showPercent val="0"/>
          <c:showBubbleSize val="0"/>
        </c:dLbls>
        <c:marker val="1"/>
        <c:smooth val="0"/>
        <c:axId val="148792448"/>
        <c:axId val="148782464"/>
      </c:lineChart>
      <c:catAx>
        <c:axId val="148779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780928"/>
        <c:crosses val="autoZero"/>
        <c:auto val="1"/>
        <c:lblAlgn val="ctr"/>
        <c:lblOffset val="100"/>
        <c:noMultiLvlLbl val="0"/>
      </c:catAx>
      <c:valAx>
        <c:axId val="148780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779392"/>
        <c:crosses val="autoZero"/>
        <c:crossBetween val="between"/>
        <c:majorUnit val="200"/>
      </c:valAx>
      <c:valAx>
        <c:axId val="14878246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792448"/>
        <c:crosses val="max"/>
        <c:crossBetween val="between"/>
      </c:valAx>
      <c:catAx>
        <c:axId val="148792448"/>
        <c:scaling>
          <c:orientation val="minMax"/>
        </c:scaling>
        <c:delete val="1"/>
        <c:axPos val="b"/>
        <c:numFmt formatCode="General" sourceLinked="1"/>
        <c:majorTickMark val="none"/>
        <c:minorTickMark val="none"/>
        <c:tickLblPos val="none"/>
        <c:crossAx val="148782464"/>
        <c:crosses val="autoZero"/>
        <c:auto val="1"/>
        <c:lblAlgn val="ctr"/>
        <c:lblOffset val="100"/>
        <c:noMultiLvlLbl val="0"/>
      </c:catAx>
      <c:spPr>
        <a:noFill/>
        <a:ln>
          <a:noFill/>
        </a:ln>
        <a:effectLst/>
      </c:spPr>
    </c:plotArea>
    <c:legend>
      <c:legendPos val="b"/>
      <c:layout>
        <c:manualLayout>
          <c:xMode val="edge"/>
          <c:yMode val="edge"/>
          <c:x val="1.1575282854656208E-2"/>
          <c:y val="0.79644947529258736"/>
          <c:w val="0.81583986074847825"/>
          <c:h val="0.16204239603221549"/>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a:p>
            <a:pPr>
              <a:defRPr sz="1400" b="0" i="0" u="none" strike="noStrike" kern="1200" spc="0" baseline="0">
                <a:solidFill>
                  <a:schemeClr val="tx1">
                    <a:lumMod val="65000"/>
                    <a:lumOff val="35000"/>
                  </a:schemeClr>
                </a:solidFill>
                <a:latin typeface="+mn-lt"/>
                <a:ea typeface="+mn-ea"/>
                <a:cs typeface="+mn-cs"/>
              </a:defRPr>
            </a:pPr>
            <a:endParaRPr lang="ru-RU"/>
          </a:p>
        </c:rich>
      </c:tx>
      <c:layout>
        <c:manualLayout>
          <c:xMode val="edge"/>
          <c:yMode val="edge"/>
          <c:x val="9.3106574844288706E-2"/>
          <c:y val="0"/>
        </c:manualLayout>
      </c:layout>
      <c:overlay val="0"/>
      <c:spPr>
        <a:noFill/>
        <a:ln>
          <a:noFill/>
        </a:ln>
        <a:effectLst/>
      </c:spPr>
    </c:title>
    <c:autoTitleDeleted val="0"/>
    <c:plotArea>
      <c:layout>
        <c:manualLayout>
          <c:layoutTarget val="inner"/>
          <c:xMode val="edge"/>
          <c:yMode val="edge"/>
          <c:x val="0.11873917014291722"/>
          <c:y val="7.0087221630047492E-2"/>
          <c:w val="0.80804307316570445"/>
          <c:h val="0.61867847769029127"/>
        </c:manualLayout>
      </c:layout>
      <c:barChart>
        <c:barDir val="col"/>
        <c:grouping val="clustered"/>
        <c:varyColors val="0"/>
        <c:ser>
          <c:idx val="0"/>
          <c:order val="0"/>
          <c:tx>
            <c:strRef>
              <c:f>Лист1!$B$1</c:f>
              <c:strCache>
                <c:ptCount val="1"/>
                <c:pt idx="0">
                  <c:v>Աշխատուժի մասնակցության մակարդակ, %</c:v>
                </c:pt>
              </c:strCache>
            </c:strRef>
          </c:tx>
          <c:spPr>
            <a:solidFill>
              <a:schemeClr val="accent1"/>
            </a:solidFill>
            <a:ln>
              <a:noFill/>
            </a:ln>
            <a:effectLst/>
          </c:spPr>
          <c:invertIfNegative val="0"/>
          <c:cat>
            <c:numRef>
              <c:f>Лист1!$A$2:$A$3</c:f>
              <c:numCache>
                <c:formatCode>General</c:formatCode>
                <c:ptCount val="2"/>
                <c:pt idx="0">
                  <c:v>2019</c:v>
                </c:pt>
                <c:pt idx="1">
                  <c:v>2020</c:v>
                </c:pt>
              </c:numCache>
            </c:numRef>
          </c:cat>
          <c:val>
            <c:numRef>
              <c:f>Лист1!$B$2:$B$3</c:f>
              <c:numCache>
                <c:formatCode>General</c:formatCode>
                <c:ptCount val="2"/>
                <c:pt idx="0">
                  <c:v>58.9</c:v>
                </c:pt>
                <c:pt idx="1">
                  <c:v>57.7</c:v>
                </c:pt>
              </c:numCache>
            </c:numRef>
          </c:val>
          <c:extLst>
            <c:ext xmlns:c16="http://schemas.microsoft.com/office/drawing/2014/chart" uri="{C3380CC4-5D6E-409C-BE32-E72D297353CC}">
              <c16:uniqueId val="{00000000-1B4E-4546-BF1B-47569680A3ED}"/>
            </c:ext>
          </c:extLst>
        </c:ser>
        <c:dLbls>
          <c:showLegendKey val="0"/>
          <c:showVal val="0"/>
          <c:showCatName val="0"/>
          <c:showSerName val="0"/>
          <c:showPercent val="0"/>
          <c:showBubbleSize val="0"/>
        </c:dLbls>
        <c:gapWidth val="219"/>
        <c:overlap val="-27"/>
        <c:axId val="148509824"/>
        <c:axId val="148511360"/>
      </c:barChart>
      <c:lineChart>
        <c:grouping val="standard"/>
        <c:varyColors val="0"/>
        <c:ser>
          <c:idx val="1"/>
          <c:order val="1"/>
          <c:tx>
            <c:strRef>
              <c:f>Лист1!$C$1</c:f>
              <c:strCache>
                <c:ptCount val="1"/>
                <c:pt idx="0">
                  <c:v>Իրական աշխատավարձի փոփոխություն, % (աջ առանցք)</c:v>
                </c:pt>
              </c:strCache>
            </c:strRef>
          </c:tx>
          <c:spPr>
            <a:ln w="28575" cap="rnd">
              <a:solidFill>
                <a:srgbClr val="C00000"/>
              </a:solidFill>
              <a:round/>
            </a:ln>
            <a:effectLst/>
          </c:spPr>
          <c:marker>
            <c:symbol val="none"/>
          </c:marker>
          <c:dLbls>
            <c:dLbl>
              <c:idx val="0"/>
              <c:layout>
                <c:manualLayout>
                  <c:x val="-5.5272108843537414E-2"/>
                  <c:y val="-4.65735196274118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B4E-4546-BF1B-47569680A3ED}"/>
                </c:ext>
              </c:extLst>
            </c:dLbl>
            <c:dLbl>
              <c:idx val="1"/>
              <c:layout>
                <c:manualLayout>
                  <c:x val="-5.527210884353749E-2"/>
                  <c:y val="-0.10645375914836996"/>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B4E-4546-BF1B-47569680A3ED}"/>
                </c:ext>
              </c:extLst>
            </c:dLbl>
            <c:spPr>
              <a:noFill/>
              <a:ln>
                <a:noFill/>
              </a:ln>
              <a:effectLst/>
            </c:spPr>
            <c:txPr>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Лист1!$A$2:$A$3</c:f>
              <c:numCache>
                <c:formatCode>General</c:formatCode>
                <c:ptCount val="2"/>
                <c:pt idx="0">
                  <c:v>2019</c:v>
                </c:pt>
                <c:pt idx="1">
                  <c:v>2020</c:v>
                </c:pt>
              </c:numCache>
            </c:numRef>
          </c:cat>
          <c:val>
            <c:numRef>
              <c:f>Лист1!$C$2:$C$3</c:f>
              <c:numCache>
                <c:formatCode>0.0</c:formatCode>
                <c:ptCount val="2"/>
                <c:pt idx="0">
                  <c:v>4.2945636588436003</c:v>
                </c:pt>
                <c:pt idx="1">
                  <c:v>2.6563838373978825</c:v>
                </c:pt>
              </c:numCache>
            </c:numRef>
          </c:val>
          <c:smooth val="0"/>
          <c:extLst>
            <c:ext xmlns:c16="http://schemas.microsoft.com/office/drawing/2014/chart" uri="{C3380CC4-5D6E-409C-BE32-E72D297353CC}">
              <c16:uniqueId val="{00000003-1B4E-4546-BF1B-47569680A3ED}"/>
            </c:ext>
          </c:extLst>
        </c:ser>
        <c:dLbls>
          <c:showLegendKey val="0"/>
          <c:showVal val="0"/>
          <c:showCatName val="0"/>
          <c:showSerName val="0"/>
          <c:showPercent val="0"/>
          <c:showBubbleSize val="0"/>
        </c:dLbls>
        <c:marker val="1"/>
        <c:smooth val="0"/>
        <c:axId val="148526976"/>
        <c:axId val="148525440"/>
      </c:lineChart>
      <c:catAx>
        <c:axId val="148509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511360"/>
        <c:crosses val="autoZero"/>
        <c:auto val="1"/>
        <c:lblAlgn val="ctr"/>
        <c:lblOffset val="100"/>
        <c:noMultiLvlLbl val="0"/>
      </c:catAx>
      <c:valAx>
        <c:axId val="148511360"/>
        <c:scaling>
          <c:orientation val="minMax"/>
          <c:min val="5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509824"/>
        <c:crosses val="autoZero"/>
        <c:crossBetween val="between"/>
        <c:majorUnit val="1"/>
      </c:valAx>
      <c:valAx>
        <c:axId val="148525440"/>
        <c:scaling>
          <c:orientation val="minMax"/>
          <c:max val="5"/>
          <c:min val="0"/>
        </c:scaling>
        <c:delete val="0"/>
        <c:axPos val="r"/>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526976"/>
        <c:crosses val="max"/>
        <c:crossBetween val="between"/>
        <c:majorUnit val="1"/>
      </c:valAx>
      <c:catAx>
        <c:axId val="148526976"/>
        <c:scaling>
          <c:orientation val="minMax"/>
        </c:scaling>
        <c:delete val="1"/>
        <c:axPos val="b"/>
        <c:numFmt formatCode="General" sourceLinked="1"/>
        <c:majorTickMark val="none"/>
        <c:minorTickMark val="none"/>
        <c:tickLblPos val="none"/>
        <c:crossAx val="148525440"/>
        <c:crosses val="autoZero"/>
        <c:auto val="1"/>
        <c:lblAlgn val="ctr"/>
        <c:lblOffset val="100"/>
        <c:noMultiLvlLbl val="0"/>
      </c:catAx>
      <c:spPr>
        <a:noFill/>
        <a:ln>
          <a:noFill/>
        </a:ln>
        <a:effectLst/>
      </c:spPr>
    </c:plotArea>
    <c:legend>
      <c:legendPos val="b"/>
      <c:layout>
        <c:manualLayout>
          <c:xMode val="edge"/>
          <c:yMode val="edge"/>
          <c:x val="5.8843537414965986E-2"/>
          <c:y val="0.80372399534053762"/>
          <c:w val="0.82704081632653315"/>
          <c:h val="0.1584402119996070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03534962753947"/>
          <c:y val="2.7462631000912119E-2"/>
          <c:w val="0.83619698175608326"/>
          <c:h val="0.66128895652749486"/>
        </c:manualLayout>
      </c:layout>
      <c:barChart>
        <c:barDir val="col"/>
        <c:grouping val="clustered"/>
        <c:varyColors val="0"/>
        <c:ser>
          <c:idx val="1"/>
          <c:order val="1"/>
          <c:tx>
            <c:strRef>
              <c:f>Sheet1!$A$3</c:f>
              <c:strCache>
                <c:ptCount val="1"/>
                <c:pt idx="0">
                  <c:v>Ապրանքների  հաշվեկշիռ</c:v>
                </c:pt>
              </c:strCache>
            </c:strRef>
          </c:tx>
          <c:spPr>
            <a:solidFill>
              <a:srgbClr val="C00000"/>
            </a:solidFill>
            <a:ln>
              <a:solidFill>
                <a:srgbClr val="C00000"/>
              </a:solidFill>
              <a:headEnd type="none"/>
              <a:tailEnd type="none"/>
            </a:ln>
            <a:effectLst/>
          </c:spPr>
          <c:invertIfNegative val="0"/>
          <c:cat>
            <c:strRef>
              <c:f>Sheet1!$B$1:$H$1</c:f>
              <c:strCache>
                <c:ptCount val="7"/>
                <c:pt idx="0">
                  <c:v>2018</c:v>
                </c:pt>
                <c:pt idx="1">
                  <c:v>2019</c:v>
                </c:pt>
                <c:pt idx="2">
                  <c:v>2020</c:v>
                </c:pt>
                <c:pt idx="3">
                  <c:v>2021*</c:v>
                </c:pt>
                <c:pt idx="4">
                  <c:v>2022*</c:v>
                </c:pt>
                <c:pt idx="5">
                  <c:v>2023*</c:v>
                </c:pt>
                <c:pt idx="6">
                  <c:v>2024*</c:v>
                </c:pt>
              </c:strCache>
            </c:strRef>
          </c:cat>
          <c:val>
            <c:numRef>
              <c:f>Sheet1!$B$3:$H$3</c:f>
              <c:numCache>
                <c:formatCode>0.0</c:formatCode>
                <c:ptCount val="7"/>
                <c:pt idx="0">
                  <c:v>-13.842083065988167</c:v>
                </c:pt>
                <c:pt idx="1">
                  <c:v>-12.687293555985313</c:v>
                </c:pt>
                <c:pt idx="2">
                  <c:v>-10.72870561682311</c:v>
                </c:pt>
                <c:pt idx="3">
                  <c:v>-11.537528086958471</c:v>
                </c:pt>
                <c:pt idx="4">
                  <c:v>-12.151313788263879</c:v>
                </c:pt>
                <c:pt idx="5">
                  <c:v>-12.107760829193989</c:v>
                </c:pt>
                <c:pt idx="6">
                  <c:v>-11.948541841080045</c:v>
                </c:pt>
              </c:numCache>
            </c:numRef>
          </c:val>
          <c:extLst>
            <c:ext xmlns:c16="http://schemas.microsoft.com/office/drawing/2014/chart" uri="{C3380CC4-5D6E-409C-BE32-E72D297353CC}">
              <c16:uniqueId val="{00000000-0910-4465-A23C-8D01B749CB31}"/>
            </c:ext>
          </c:extLst>
        </c:ser>
        <c:ser>
          <c:idx val="2"/>
          <c:order val="2"/>
          <c:tx>
            <c:strRef>
              <c:f>Sheet1!$A$4</c:f>
              <c:strCache>
                <c:ptCount val="1"/>
                <c:pt idx="0">
                  <c:v>Դրամական փոխանցումներ</c:v>
                </c:pt>
              </c:strCache>
            </c:strRef>
          </c:tx>
          <c:spPr>
            <a:solidFill>
              <a:srgbClr val="0070C0"/>
            </a:solidFill>
            <a:ln>
              <a:solidFill>
                <a:srgbClr val="0070C0"/>
              </a:solidFill>
            </a:ln>
            <a:effectLst/>
          </c:spPr>
          <c:invertIfNegative val="0"/>
          <c:cat>
            <c:strRef>
              <c:f>Sheet1!$B$1:$H$1</c:f>
              <c:strCache>
                <c:ptCount val="7"/>
                <c:pt idx="0">
                  <c:v>2018</c:v>
                </c:pt>
                <c:pt idx="1">
                  <c:v>2019</c:v>
                </c:pt>
                <c:pt idx="2">
                  <c:v>2020</c:v>
                </c:pt>
                <c:pt idx="3">
                  <c:v>2021*</c:v>
                </c:pt>
                <c:pt idx="4">
                  <c:v>2022*</c:v>
                </c:pt>
                <c:pt idx="5">
                  <c:v>2023*</c:v>
                </c:pt>
                <c:pt idx="6">
                  <c:v>2024*</c:v>
                </c:pt>
              </c:strCache>
            </c:strRef>
          </c:cat>
          <c:val>
            <c:numRef>
              <c:f>Sheet1!$B$4:$H$4</c:f>
              <c:numCache>
                <c:formatCode>0.0</c:formatCode>
                <c:ptCount val="7"/>
                <c:pt idx="0">
                  <c:v>9.12006102267061</c:v>
                </c:pt>
                <c:pt idx="1">
                  <c:v>8.3981963185381812</c:v>
                </c:pt>
                <c:pt idx="2">
                  <c:v>8.2287451267512584</c:v>
                </c:pt>
                <c:pt idx="3">
                  <c:v>10.390576204956629</c:v>
                </c:pt>
                <c:pt idx="4">
                  <c:v>10.024002480029386</c:v>
                </c:pt>
                <c:pt idx="5">
                  <c:v>9.8006338303314937</c:v>
                </c:pt>
                <c:pt idx="6">
                  <c:v>9.5645398394809718</c:v>
                </c:pt>
              </c:numCache>
            </c:numRef>
          </c:val>
          <c:extLst>
            <c:ext xmlns:c16="http://schemas.microsoft.com/office/drawing/2014/chart" uri="{C3380CC4-5D6E-409C-BE32-E72D297353CC}">
              <c16:uniqueId val="{00000001-0910-4465-A23C-8D01B749CB31}"/>
            </c:ext>
          </c:extLst>
        </c:ser>
        <c:ser>
          <c:idx val="3"/>
          <c:order val="3"/>
          <c:tx>
            <c:strRef>
              <c:f>Sheet1!$A$5</c:f>
              <c:strCache>
                <c:ptCount val="1"/>
                <c:pt idx="0">
                  <c:v>Ծառայությունների հաշվեկշիռ</c:v>
                </c:pt>
              </c:strCache>
            </c:strRef>
          </c:tx>
          <c:spPr>
            <a:solidFill>
              <a:srgbClr val="ED7D31"/>
            </a:solidFill>
            <a:ln w="28575" cap="rnd">
              <a:solidFill>
                <a:srgbClr val="ED7D31"/>
              </a:solidFill>
              <a:round/>
            </a:ln>
            <a:effectLst/>
          </c:spPr>
          <c:invertIfNegative val="0"/>
          <c:cat>
            <c:strRef>
              <c:f>Sheet1!$B$1:$H$1</c:f>
              <c:strCache>
                <c:ptCount val="7"/>
                <c:pt idx="0">
                  <c:v>2018</c:v>
                </c:pt>
                <c:pt idx="1">
                  <c:v>2019</c:v>
                </c:pt>
                <c:pt idx="2">
                  <c:v>2020</c:v>
                </c:pt>
                <c:pt idx="3">
                  <c:v>2021*</c:v>
                </c:pt>
                <c:pt idx="4">
                  <c:v>2022*</c:v>
                </c:pt>
                <c:pt idx="5">
                  <c:v>2023*</c:v>
                </c:pt>
                <c:pt idx="6">
                  <c:v>2024*</c:v>
                </c:pt>
              </c:strCache>
            </c:strRef>
          </c:cat>
          <c:val>
            <c:numRef>
              <c:f>Sheet1!$B$5:$H$5</c:f>
              <c:numCache>
                <c:formatCode>0.0</c:formatCode>
                <c:ptCount val="7"/>
                <c:pt idx="0">
                  <c:v>0.19789519811247197</c:v>
                </c:pt>
                <c:pt idx="1">
                  <c:v>-0.49137771962102195</c:v>
                </c:pt>
                <c:pt idx="2">
                  <c:v>0.79215216104683872</c:v>
                </c:pt>
                <c:pt idx="3">
                  <c:v>1.2608655788782781</c:v>
                </c:pt>
                <c:pt idx="4">
                  <c:v>1.2098698768002827</c:v>
                </c:pt>
                <c:pt idx="5">
                  <c:v>1.0885624030972918</c:v>
                </c:pt>
                <c:pt idx="6">
                  <c:v>1.1635144702344489</c:v>
                </c:pt>
              </c:numCache>
            </c:numRef>
          </c:val>
          <c:extLst>
            <c:ext xmlns:c16="http://schemas.microsoft.com/office/drawing/2014/chart" uri="{C3380CC4-5D6E-409C-BE32-E72D297353CC}">
              <c16:uniqueId val="{00000002-0910-4465-A23C-8D01B749CB31}"/>
            </c:ext>
          </c:extLst>
        </c:ser>
        <c:dLbls>
          <c:showLegendKey val="0"/>
          <c:showVal val="0"/>
          <c:showCatName val="0"/>
          <c:showSerName val="0"/>
          <c:showPercent val="0"/>
          <c:showBubbleSize val="0"/>
        </c:dLbls>
        <c:gapWidth val="150"/>
        <c:axId val="148449152"/>
        <c:axId val="148447616"/>
      </c:barChart>
      <c:lineChart>
        <c:grouping val="stacked"/>
        <c:varyColors val="0"/>
        <c:ser>
          <c:idx val="0"/>
          <c:order val="0"/>
          <c:tx>
            <c:strRef>
              <c:f>Sheet1!$A$2</c:f>
              <c:strCache>
                <c:ptCount val="1"/>
                <c:pt idx="0">
                  <c:v>Ընթացիկ հաշիվ</c:v>
                </c:pt>
              </c:strCache>
            </c:strRef>
          </c:tx>
          <c:spPr>
            <a:ln w="28575" cap="rnd">
              <a:solidFill>
                <a:srgbClr val="FFC000">
                  <a:lumMod val="60000"/>
                  <a:lumOff val="40000"/>
                </a:srgbClr>
              </a:solidFill>
              <a:round/>
            </a:ln>
            <a:effectLst/>
          </c:spPr>
          <c:marker>
            <c:symbol val="circle"/>
            <c:size val="5"/>
            <c:spPr>
              <a:solidFill>
                <a:srgbClr val="FFC000">
                  <a:lumMod val="60000"/>
                  <a:lumOff val="40000"/>
                </a:srgbClr>
              </a:solidFill>
              <a:ln w="9525">
                <a:solidFill>
                  <a:srgbClr val="FFC000">
                    <a:lumMod val="60000"/>
                    <a:lumOff val="40000"/>
                  </a:srgb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cap="none" spc="0" baseline="0">
                    <a:ln w="0"/>
                    <a:solidFill>
                      <a:schemeClr val="tx1"/>
                    </a:solidFill>
                    <a:effectLst>
                      <a:outerShdw blurRad="38100" dist="19050" dir="2700000" algn="tl" rotWithShape="0">
                        <a:schemeClr val="dk1">
                          <a:alpha val="40000"/>
                        </a:schemeClr>
                      </a:outerShdw>
                    </a:effectLst>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7"/>
                <c:pt idx="0">
                  <c:v>2018</c:v>
                </c:pt>
                <c:pt idx="1">
                  <c:v>2019</c:v>
                </c:pt>
                <c:pt idx="2">
                  <c:v>2020</c:v>
                </c:pt>
                <c:pt idx="3">
                  <c:v>2021*</c:v>
                </c:pt>
                <c:pt idx="4">
                  <c:v>2022*</c:v>
                </c:pt>
                <c:pt idx="5">
                  <c:v>2023*</c:v>
                </c:pt>
                <c:pt idx="6">
                  <c:v>2024*</c:v>
                </c:pt>
              </c:strCache>
            </c:strRef>
          </c:cat>
          <c:val>
            <c:numRef>
              <c:f>Sheet1!$B$2:$H$2</c:f>
              <c:numCache>
                <c:formatCode>0.0</c:formatCode>
                <c:ptCount val="7"/>
                <c:pt idx="0">
                  <c:v>-7.0305485843998303</c:v>
                </c:pt>
                <c:pt idx="1">
                  <c:v>-7.3591240712202897</c:v>
                </c:pt>
                <c:pt idx="2">
                  <c:v>-3.786869106981785</c:v>
                </c:pt>
                <c:pt idx="3">
                  <c:v>-2.0813333178343938</c:v>
                </c:pt>
                <c:pt idx="4">
                  <c:v>-2.8658865313126927</c:v>
                </c:pt>
                <c:pt idx="5">
                  <c:v>-3.5253821595054551</c:v>
                </c:pt>
                <c:pt idx="6">
                  <c:v>-3.7728781994290341</c:v>
                </c:pt>
              </c:numCache>
            </c:numRef>
          </c:val>
          <c:smooth val="0"/>
          <c:extLst>
            <c:ext xmlns:c16="http://schemas.microsoft.com/office/drawing/2014/chart" uri="{C3380CC4-5D6E-409C-BE32-E72D297353CC}">
              <c16:uniqueId val="{00000003-0910-4465-A23C-8D01B749CB31}"/>
            </c:ext>
          </c:extLst>
        </c:ser>
        <c:dLbls>
          <c:showLegendKey val="0"/>
          <c:showVal val="0"/>
          <c:showCatName val="0"/>
          <c:showSerName val="0"/>
          <c:showPercent val="0"/>
          <c:showBubbleSize val="0"/>
        </c:dLbls>
        <c:marker val="1"/>
        <c:smooth val="0"/>
        <c:axId val="148460672"/>
        <c:axId val="148450688"/>
      </c:lineChart>
      <c:valAx>
        <c:axId val="148447616"/>
        <c:scaling>
          <c:orientation val="minMax"/>
          <c:max val="11"/>
          <c:min val="-15"/>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449152"/>
        <c:crosses val="autoZero"/>
        <c:crossBetween val="between"/>
      </c:valAx>
      <c:catAx>
        <c:axId val="1484491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48447616"/>
        <c:crosses val="autoZero"/>
        <c:auto val="1"/>
        <c:lblAlgn val="ctr"/>
        <c:lblOffset val="100"/>
        <c:noMultiLvlLbl val="0"/>
      </c:catAx>
      <c:valAx>
        <c:axId val="148450688"/>
        <c:scaling>
          <c:orientation val="minMax"/>
        </c:scaling>
        <c:delete val="1"/>
        <c:axPos val="r"/>
        <c:numFmt formatCode="0.0" sourceLinked="1"/>
        <c:majorTickMark val="out"/>
        <c:minorTickMark val="none"/>
        <c:tickLblPos val="none"/>
        <c:crossAx val="148460672"/>
        <c:crosses val="max"/>
        <c:crossBetween val="between"/>
      </c:valAx>
      <c:catAx>
        <c:axId val="148460672"/>
        <c:scaling>
          <c:orientation val="minMax"/>
        </c:scaling>
        <c:delete val="1"/>
        <c:axPos val="b"/>
        <c:numFmt formatCode="General" sourceLinked="1"/>
        <c:majorTickMark val="out"/>
        <c:minorTickMark val="none"/>
        <c:tickLblPos val="none"/>
        <c:crossAx val="148450688"/>
        <c:crosses val="autoZero"/>
        <c:auto val="1"/>
        <c:lblAlgn val="ctr"/>
        <c:lblOffset val="100"/>
        <c:noMultiLvlLbl val="0"/>
      </c:catAx>
      <c:spPr>
        <a:solidFill>
          <a:schemeClr val="bg1"/>
        </a:solidFill>
        <a:ln>
          <a:noFill/>
        </a:ln>
        <a:effectLst/>
      </c:spPr>
    </c:plotArea>
    <c:legend>
      <c:legendPos val="b"/>
      <c:layout>
        <c:manualLayout>
          <c:xMode val="edge"/>
          <c:yMode val="edge"/>
          <c:x val="5.3783209225543843E-3"/>
          <c:y val="0.8238687853548996"/>
          <c:w val="0.97570090670484477"/>
          <c:h val="0.17613136593219991"/>
        </c:manualLayout>
      </c:layout>
      <c:overlay val="0"/>
      <c:spPr>
        <a:noFill/>
        <a:ln>
          <a:noFill/>
        </a:ln>
        <a:effectLst/>
      </c:spPr>
      <c:txPr>
        <a:bodyPr rot="0" spcFirstLastPara="1" vertOverflow="ellipsis" vert="horz" wrap="square" anchor="ctr" anchorCtr="1"/>
        <a:lstStyle/>
        <a:p>
          <a:pPr algn="just">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zero"/>
    <c:showDLblsOverMax val="0"/>
  </c:chart>
  <c:spPr>
    <a:ln w="9525" cap="flat" cmpd="sng" algn="ctr">
      <a:solidFill>
        <a:srgbClr val="4472C4"/>
      </a:solidFill>
      <a:round/>
    </a:ln>
    <a:effectLst/>
  </c:spPr>
  <c:txPr>
    <a:bodyPr/>
    <a:lstStyle/>
    <a:p>
      <a:pPr>
        <a:defRPr/>
      </a:pPr>
      <a:endParaRPr lang="en-US"/>
    </a:p>
  </c:txPr>
  <c:externalData r:id="rId2">
    <c:autoUpdate val="0"/>
  </c:externalData>
  <c:userShapes r:id="rId3"/>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03534962753947"/>
          <c:y val="2.7462631000912119E-2"/>
          <c:w val="0.86378599935282063"/>
          <c:h val="0.73564911528916255"/>
        </c:manualLayout>
      </c:layout>
      <c:barChart>
        <c:barDir val="col"/>
        <c:grouping val="clustered"/>
        <c:varyColors val="0"/>
        <c:ser>
          <c:idx val="0"/>
          <c:order val="0"/>
          <c:tx>
            <c:strRef>
              <c:f>Sheet1!$A$2</c:f>
              <c:strCache>
                <c:ptCount val="1"/>
                <c:pt idx="0">
                  <c:v>Ապրանքների և ծառայությունների արտահանում</c:v>
                </c:pt>
              </c:strCache>
            </c:strRef>
          </c:tx>
          <c:spPr>
            <a:ln w="28575" cap="rnd">
              <a:solidFill>
                <a:srgbClr val="4472C4"/>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7"/>
                <c:pt idx="0">
                  <c:v>2018</c:v>
                </c:pt>
                <c:pt idx="1">
                  <c:v>2019</c:v>
                </c:pt>
                <c:pt idx="2">
                  <c:v>2020</c:v>
                </c:pt>
                <c:pt idx="3">
                  <c:v>2021*</c:v>
                </c:pt>
                <c:pt idx="4">
                  <c:v>2022*</c:v>
                </c:pt>
                <c:pt idx="5">
                  <c:v>2023*</c:v>
                </c:pt>
                <c:pt idx="6">
                  <c:v>2024*</c:v>
                </c:pt>
              </c:strCache>
            </c:strRef>
          </c:cat>
          <c:val>
            <c:numRef>
              <c:f>Sheet1!$B$2:$H$2</c:f>
              <c:numCache>
                <c:formatCode>#\,##0.0</c:formatCode>
                <c:ptCount val="7"/>
                <c:pt idx="0">
                  <c:v>39.667608515572965</c:v>
                </c:pt>
                <c:pt idx="1">
                  <c:v>41.985467543342466</c:v>
                </c:pt>
                <c:pt idx="2">
                  <c:v>29.764298371950591</c:v>
                </c:pt>
                <c:pt idx="3">
                  <c:v>32.902667998836911</c:v>
                </c:pt>
                <c:pt idx="4">
                  <c:v>34.756341334635053</c:v>
                </c:pt>
                <c:pt idx="5">
                  <c:v>36.253587155934071</c:v>
                </c:pt>
                <c:pt idx="6">
                  <c:v>37.199976381601282</c:v>
                </c:pt>
              </c:numCache>
            </c:numRef>
          </c:val>
          <c:extLst>
            <c:ext xmlns:c16="http://schemas.microsoft.com/office/drawing/2014/chart" uri="{C3380CC4-5D6E-409C-BE32-E72D297353CC}">
              <c16:uniqueId val="{00000000-1AFB-4930-B31F-C44F6B23D55A}"/>
            </c:ext>
          </c:extLst>
        </c:ser>
        <c:ser>
          <c:idx val="1"/>
          <c:order val="1"/>
          <c:tx>
            <c:strRef>
              <c:f>Sheet1!$A$3</c:f>
              <c:strCache>
                <c:ptCount val="1"/>
                <c:pt idx="0">
                  <c:v>Ապրանքների և ծառայությունների ներմուծում</c:v>
                </c:pt>
              </c:strCache>
            </c:strRef>
          </c:tx>
          <c:spPr>
            <a:solidFill>
              <a:srgbClr val="C00000"/>
            </a:solidFill>
            <a:ln>
              <a:solidFill>
                <a:srgbClr val="C00000"/>
              </a:solidFill>
              <a:headEnd type="none"/>
              <a:tailEnd type="none"/>
            </a:ln>
            <a:effectLst/>
          </c:spPr>
          <c:invertIfNegative val="0"/>
          <c:dLbls>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7"/>
                <c:pt idx="0">
                  <c:v>2018</c:v>
                </c:pt>
                <c:pt idx="1">
                  <c:v>2019</c:v>
                </c:pt>
                <c:pt idx="2">
                  <c:v>2020</c:v>
                </c:pt>
                <c:pt idx="3">
                  <c:v>2021*</c:v>
                </c:pt>
                <c:pt idx="4">
                  <c:v>2022*</c:v>
                </c:pt>
                <c:pt idx="5">
                  <c:v>2023*</c:v>
                </c:pt>
                <c:pt idx="6">
                  <c:v>2024*</c:v>
                </c:pt>
              </c:strCache>
            </c:strRef>
          </c:cat>
          <c:val>
            <c:numRef>
              <c:f>Sheet1!$B$3:$H$3</c:f>
              <c:numCache>
                <c:formatCode>#\,##0.0</c:formatCode>
                <c:ptCount val="7"/>
                <c:pt idx="0">
                  <c:v>53.31186683755206</c:v>
                </c:pt>
                <c:pt idx="1">
                  <c:v>55.164226569505161</c:v>
                </c:pt>
                <c:pt idx="2">
                  <c:v>39.70086105537515</c:v>
                </c:pt>
                <c:pt idx="3">
                  <c:v>43.17933096018843</c:v>
                </c:pt>
                <c:pt idx="4">
                  <c:v>45.697840148557972</c:v>
                </c:pt>
                <c:pt idx="5">
                  <c:v>47.27276912120341</c:v>
                </c:pt>
                <c:pt idx="6">
                  <c:v>47.985028520940901</c:v>
                </c:pt>
              </c:numCache>
            </c:numRef>
          </c:val>
          <c:extLst>
            <c:ext xmlns:c16="http://schemas.microsoft.com/office/drawing/2014/chart" uri="{C3380CC4-5D6E-409C-BE32-E72D297353CC}">
              <c16:uniqueId val="{00000001-1AFB-4930-B31F-C44F6B23D55A}"/>
            </c:ext>
          </c:extLst>
        </c:ser>
        <c:dLbls>
          <c:showLegendKey val="0"/>
          <c:showVal val="0"/>
          <c:showCatName val="0"/>
          <c:showSerName val="0"/>
          <c:showPercent val="0"/>
          <c:showBubbleSize val="0"/>
        </c:dLbls>
        <c:gapWidth val="150"/>
        <c:axId val="148879232"/>
        <c:axId val="148877696"/>
      </c:barChart>
      <c:valAx>
        <c:axId val="148877696"/>
        <c:scaling>
          <c:orientation val="minMax"/>
          <c:min val="0"/>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600" b="1" i="0" u="none" strike="noStrike" kern="1200" baseline="0">
                <a:solidFill>
                  <a:schemeClr val="tx1">
                    <a:lumMod val="95000"/>
                    <a:lumOff val="5000"/>
                  </a:schemeClr>
                </a:solidFill>
                <a:latin typeface="+mn-lt"/>
                <a:ea typeface="+mn-ea"/>
                <a:cs typeface="+mn-cs"/>
              </a:defRPr>
            </a:pPr>
            <a:endParaRPr lang="en-US"/>
          </a:p>
        </c:txPr>
        <c:crossAx val="148879232"/>
        <c:crosses val="autoZero"/>
        <c:crossBetween val="between"/>
        <c:majorUnit val="10"/>
      </c:valAx>
      <c:catAx>
        <c:axId val="14887923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48877696"/>
        <c:crosses val="autoZero"/>
        <c:auto val="1"/>
        <c:lblAlgn val="ctr"/>
        <c:lblOffset val="100"/>
        <c:noMultiLvlLbl val="0"/>
      </c:catAx>
      <c:spPr>
        <a:solidFill>
          <a:schemeClr val="bg1"/>
        </a:solidFill>
        <a:ln>
          <a:noFill/>
        </a:ln>
        <a:effectLst/>
      </c:spPr>
    </c:plotArea>
    <c:legend>
      <c:legendPos val="b"/>
      <c:layout>
        <c:manualLayout>
          <c:xMode val="edge"/>
          <c:yMode val="edge"/>
          <c:x val="2.3948413133595022E-2"/>
          <c:y val="0.85107968646776411"/>
          <c:w val="0.9211160248804503"/>
          <c:h val="0.14008205652993741"/>
        </c:manualLayout>
      </c:layout>
      <c:overlay val="0"/>
      <c:spPr>
        <a:noFill/>
        <a:ln>
          <a:noFill/>
        </a:ln>
        <a:effectLst/>
      </c:spPr>
      <c:txPr>
        <a:bodyPr rot="0" spcFirstLastPara="1" vertOverflow="ellipsis" vert="horz" wrap="square" anchor="ctr" anchorCtr="1"/>
        <a:lstStyle/>
        <a:p>
          <a:pPr algn="just">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ln w="9525" cap="flat" cmpd="sng" algn="ctr">
      <a:solidFill>
        <a:srgbClr val="4472C4"/>
      </a:solidFill>
      <a:round/>
    </a:ln>
    <a:effectLst/>
  </c:spPr>
  <c:txPr>
    <a:bodyPr/>
    <a:lstStyle/>
    <a:p>
      <a:pPr>
        <a:defRPr/>
      </a:pPr>
      <a:endParaRPr lang="en-US"/>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422200096683625"/>
          <c:y val="9.7387132828492137E-2"/>
          <c:w val="0.77075361005773846"/>
          <c:h val="0.53498227413516442"/>
        </c:manualLayout>
      </c:layout>
      <c:lineChart>
        <c:grouping val="standard"/>
        <c:varyColors val="0"/>
        <c:ser>
          <c:idx val="0"/>
          <c:order val="0"/>
          <c:tx>
            <c:strRef>
              <c:f>Sheet1!$B$1</c:f>
              <c:strCache>
                <c:ptCount val="1"/>
                <c:pt idx="0">
                  <c:v>Զարգացող երկրների արժույթ</c:v>
                </c:pt>
              </c:strCache>
            </c:strRef>
          </c:tx>
          <c:spPr>
            <a:ln w="28575" cap="rnd">
              <a:solidFill>
                <a:schemeClr val="accent1"/>
              </a:solidFill>
              <a:round/>
            </a:ln>
            <a:effectLst/>
          </c:spPr>
          <c:marker>
            <c:symbol val="none"/>
          </c:marker>
          <c:cat>
            <c:numRef>
              <c:f>Sheet1!$A$2:$A$622</c:f>
              <c:numCache>
                <c:formatCode>dd\-mmm\-yy</c:formatCode>
                <c:ptCount val="621"/>
                <c:pt idx="0">
                  <c:v>43473</c:v>
                </c:pt>
                <c:pt idx="1">
                  <c:v>43474</c:v>
                </c:pt>
                <c:pt idx="2">
                  <c:v>43475</c:v>
                </c:pt>
                <c:pt idx="3">
                  <c:v>43476</c:v>
                </c:pt>
                <c:pt idx="4">
                  <c:v>43479</c:v>
                </c:pt>
                <c:pt idx="5">
                  <c:v>43480</c:v>
                </c:pt>
                <c:pt idx="6">
                  <c:v>43481</c:v>
                </c:pt>
                <c:pt idx="7">
                  <c:v>43482</c:v>
                </c:pt>
                <c:pt idx="8">
                  <c:v>43483</c:v>
                </c:pt>
                <c:pt idx="9">
                  <c:v>43486</c:v>
                </c:pt>
                <c:pt idx="10">
                  <c:v>43487</c:v>
                </c:pt>
                <c:pt idx="11">
                  <c:v>43488</c:v>
                </c:pt>
                <c:pt idx="12">
                  <c:v>43489</c:v>
                </c:pt>
                <c:pt idx="13">
                  <c:v>43490</c:v>
                </c:pt>
                <c:pt idx="14">
                  <c:v>43494</c:v>
                </c:pt>
                <c:pt idx="15">
                  <c:v>43495</c:v>
                </c:pt>
                <c:pt idx="16">
                  <c:v>43496</c:v>
                </c:pt>
                <c:pt idx="17">
                  <c:v>43497</c:v>
                </c:pt>
                <c:pt idx="18">
                  <c:v>43500</c:v>
                </c:pt>
                <c:pt idx="19">
                  <c:v>43501</c:v>
                </c:pt>
                <c:pt idx="20">
                  <c:v>43502</c:v>
                </c:pt>
                <c:pt idx="21">
                  <c:v>43503</c:v>
                </c:pt>
                <c:pt idx="22">
                  <c:v>43504</c:v>
                </c:pt>
                <c:pt idx="23">
                  <c:v>43507</c:v>
                </c:pt>
                <c:pt idx="24">
                  <c:v>43508</c:v>
                </c:pt>
                <c:pt idx="25">
                  <c:v>43509</c:v>
                </c:pt>
                <c:pt idx="26">
                  <c:v>43510</c:v>
                </c:pt>
                <c:pt idx="27">
                  <c:v>43511</c:v>
                </c:pt>
                <c:pt idx="28">
                  <c:v>43514</c:v>
                </c:pt>
                <c:pt idx="29">
                  <c:v>43515</c:v>
                </c:pt>
                <c:pt idx="30">
                  <c:v>43516</c:v>
                </c:pt>
                <c:pt idx="31">
                  <c:v>43517</c:v>
                </c:pt>
                <c:pt idx="32">
                  <c:v>43518</c:v>
                </c:pt>
                <c:pt idx="33">
                  <c:v>43521</c:v>
                </c:pt>
                <c:pt idx="34">
                  <c:v>43522</c:v>
                </c:pt>
                <c:pt idx="35">
                  <c:v>43523</c:v>
                </c:pt>
                <c:pt idx="36">
                  <c:v>43524</c:v>
                </c:pt>
                <c:pt idx="37">
                  <c:v>43525</c:v>
                </c:pt>
                <c:pt idx="38">
                  <c:v>43528</c:v>
                </c:pt>
                <c:pt idx="39">
                  <c:v>43529</c:v>
                </c:pt>
                <c:pt idx="40">
                  <c:v>43530</c:v>
                </c:pt>
                <c:pt idx="41">
                  <c:v>43531</c:v>
                </c:pt>
                <c:pt idx="42">
                  <c:v>43535</c:v>
                </c:pt>
                <c:pt idx="43">
                  <c:v>43536</c:v>
                </c:pt>
                <c:pt idx="44">
                  <c:v>43537</c:v>
                </c:pt>
                <c:pt idx="45">
                  <c:v>43538</c:v>
                </c:pt>
                <c:pt idx="46">
                  <c:v>43539</c:v>
                </c:pt>
                <c:pt idx="47">
                  <c:v>43542</c:v>
                </c:pt>
                <c:pt idx="48">
                  <c:v>43543</c:v>
                </c:pt>
                <c:pt idx="49">
                  <c:v>43544</c:v>
                </c:pt>
                <c:pt idx="50">
                  <c:v>43545</c:v>
                </c:pt>
                <c:pt idx="51">
                  <c:v>43546</c:v>
                </c:pt>
                <c:pt idx="52">
                  <c:v>43549</c:v>
                </c:pt>
                <c:pt idx="53">
                  <c:v>43550</c:v>
                </c:pt>
                <c:pt idx="54">
                  <c:v>43551</c:v>
                </c:pt>
                <c:pt idx="55">
                  <c:v>43552</c:v>
                </c:pt>
                <c:pt idx="56">
                  <c:v>43553</c:v>
                </c:pt>
                <c:pt idx="57">
                  <c:v>43556</c:v>
                </c:pt>
                <c:pt idx="58">
                  <c:v>43557</c:v>
                </c:pt>
                <c:pt idx="59">
                  <c:v>43558</c:v>
                </c:pt>
                <c:pt idx="60">
                  <c:v>43559</c:v>
                </c:pt>
                <c:pt idx="61">
                  <c:v>43560</c:v>
                </c:pt>
                <c:pt idx="62">
                  <c:v>43563</c:v>
                </c:pt>
                <c:pt idx="63">
                  <c:v>43564</c:v>
                </c:pt>
                <c:pt idx="64">
                  <c:v>43565</c:v>
                </c:pt>
                <c:pt idx="65">
                  <c:v>43566</c:v>
                </c:pt>
                <c:pt idx="66">
                  <c:v>43567</c:v>
                </c:pt>
                <c:pt idx="67">
                  <c:v>43570</c:v>
                </c:pt>
                <c:pt idx="68">
                  <c:v>43571</c:v>
                </c:pt>
                <c:pt idx="69">
                  <c:v>43572</c:v>
                </c:pt>
                <c:pt idx="70">
                  <c:v>43573</c:v>
                </c:pt>
                <c:pt idx="71">
                  <c:v>43577</c:v>
                </c:pt>
                <c:pt idx="72">
                  <c:v>43578</c:v>
                </c:pt>
                <c:pt idx="73">
                  <c:v>43579</c:v>
                </c:pt>
                <c:pt idx="74">
                  <c:v>43580</c:v>
                </c:pt>
                <c:pt idx="75">
                  <c:v>43581</c:v>
                </c:pt>
                <c:pt idx="76">
                  <c:v>43584</c:v>
                </c:pt>
                <c:pt idx="77">
                  <c:v>43585</c:v>
                </c:pt>
                <c:pt idx="78">
                  <c:v>43587</c:v>
                </c:pt>
                <c:pt idx="79">
                  <c:v>43588</c:v>
                </c:pt>
                <c:pt idx="80">
                  <c:v>43591</c:v>
                </c:pt>
                <c:pt idx="81">
                  <c:v>43592</c:v>
                </c:pt>
                <c:pt idx="82">
                  <c:v>43593</c:v>
                </c:pt>
                <c:pt idx="83">
                  <c:v>43595</c:v>
                </c:pt>
                <c:pt idx="84">
                  <c:v>43598</c:v>
                </c:pt>
                <c:pt idx="85">
                  <c:v>43599</c:v>
                </c:pt>
                <c:pt idx="86">
                  <c:v>43600</c:v>
                </c:pt>
                <c:pt idx="87">
                  <c:v>43601</c:v>
                </c:pt>
                <c:pt idx="88">
                  <c:v>43602</c:v>
                </c:pt>
                <c:pt idx="89">
                  <c:v>43605</c:v>
                </c:pt>
                <c:pt idx="90">
                  <c:v>43606</c:v>
                </c:pt>
                <c:pt idx="91">
                  <c:v>43607</c:v>
                </c:pt>
                <c:pt idx="92">
                  <c:v>43608</c:v>
                </c:pt>
                <c:pt idx="93">
                  <c:v>43609</c:v>
                </c:pt>
                <c:pt idx="94">
                  <c:v>43612</c:v>
                </c:pt>
                <c:pt idx="95">
                  <c:v>43614</c:v>
                </c:pt>
                <c:pt idx="96">
                  <c:v>43615</c:v>
                </c:pt>
                <c:pt idx="97">
                  <c:v>43616</c:v>
                </c:pt>
                <c:pt idx="98">
                  <c:v>43619</c:v>
                </c:pt>
                <c:pt idx="99">
                  <c:v>43620</c:v>
                </c:pt>
                <c:pt idx="100">
                  <c:v>43621</c:v>
                </c:pt>
                <c:pt idx="101">
                  <c:v>43622</c:v>
                </c:pt>
                <c:pt idx="102">
                  <c:v>43623</c:v>
                </c:pt>
                <c:pt idx="103">
                  <c:v>43626</c:v>
                </c:pt>
                <c:pt idx="104">
                  <c:v>43627</c:v>
                </c:pt>
                <c:pt idx="105">
                  <c:v>43628</c:v>
                </c:pt>
                <c:pt idx="106">
                  <c:v>43629</c:v>
                </c:pt>
                <c:pt idx="107">
                  <c:v>43630</c:v>
                </c:pt>
                <c:pt idx="108">
                  <c:v>43633</c:v>
                </c:pt>
                <c:pt idx="109">
                  <c:v>43634</c:v>
                </c:pt>
                <c:pt idx="110">
                  <c:v>43635</c:v>
                </c:pt>
                <c:pt idx="111">
                  <c:v>43636</c:v>
                </c:pt>
                <c:pt idx="112">
                  <c:v>43637</c:v>
                </c:pt>
                <c:pt idx="113">
                  <c:v>43640</c:v>
                </c:pt>
                <c:pt idx="114">
                  <c:v>43641</c:v>
                </c:pt>
                <c:pt idx="115">
                  <c:v>43642</c:v>
                </c:pt>
                <c:pt idx="116">
                  <c:v>43643</c:v>
                </c:pt>
                <c:pt idx="117">
                  <c:v>43644</c:v>
                </c:pt>
                <c:pt idx="118">
                  <c:v>43647</c:v>
                </c:pt>
                <c:pt idx="119">
                  <c:v>43648</c:v>
                </c:pt>
                <c:pt idx="120">
                  <c:v>43649</c:v>
                </c:pt>
                <c:pt idx="121">
                  <c:v>43650</c:v>
                </c:pt>
                <c:pt idx="122">
                  <c:v>43654</c:v>
                </c:pt>
                <c:pt idx="123">
                  <c:v>43655</c:v>
                </c:pt>
                <c:pt idx="124">
                  <c:v>43656</c:v>
                </c:pt>
                <c:pt idx="125">
                  <c:v>43657</c:v>
                </c:pt>
                <c:pt idx="126">
                  <c:v>43658</c:v>
                </c:pt>
                <c:pt idx="127">
                  <c:v>43661</c:v>
                </c:pt>
                <c:pt idx="128">
                  <c:v>43662</c:v>
                </c:pt>
                <c:pt idx="129">
                  <c:v>43663</c:v>
                </c:pt>
                <c:pt idx="130">
                  <c:v>43664</c:v>
                </c:pt>
                <c:pt idx="131">
                  <c:v>43665</c:v>
                </c:pt>
                <c:pt idx="132">
                  <c:v>43668</c:v>
                </c:pt>
                <c:pt idx="133">
                  <c:v>43669</c:v>
                </c:pt>
                <c:pt idx="134">
                  <c:v>43670</c:v>
                </c:pt>
                <c:pt idx="135">
                  <c:v>43671</c:v>
                </c:pt>
                <c:pt idx="136">
                  <c:v>43672</c:v>
                </c:pt>
                <c:pt idx="137">
                  <c:v>43675</c:v>
                </c:pt>
                <c:pt idx="138">
                  <c:v>43676</c:v>
                </c:pt>
                <c:pt idx="139">
                  <c:v>43677</c:v>
                </c:pt>
                <c:pt idx="140">
                  <c:v>43678</c:v>
                </c:pt>
                <c:pt idx="141">
                  <c:v>43679</c:v>
                </c:pt>
                <c:pt idx="142">
                  <c:v>43682</c:v>
                </c:pt>
                <c:pt idx="143">
                  <c:v>43683</c:v>
                </c:pt>
                <c:pt idx="144">
                  <c:v>43684</c:v>
                </c:pt>
                <c:pt idx="145">
                  <c:v>43685</c:v>
                </c:pt>
                <c:pt idx="146">
                  <c:v>43686</c:v>
                </c:pt>
                <c:pt idx="147">
                  <c:v>43689</c:v>
                </c:pt>
                <c:pt idx="148">
                  <c:v>43690</c:v>
                </c:pt>
                <c:pt idx="149">
                  <c:v>43691</c:v>
                </c:pt>
                <c:pt idx="150">
                  <c:v>43692</c:v>
                </c:pt>
                <c:pt idx="151">
                  <c:v>43693</c:v>
                </c:pt>
                <c:pt idx="152">
                  <c:v>43696</c:v>
                </c:pt>
                <c:pt idx="153">
                  <c:v>43697</c:v>
                </c:pt>
                <c:pt idx="154">
                  <c:v>43698</c:v>
                </c:pt>
                <c:pt idx="155">
                  <c:v>43699</c:v>
                </c:pt>
                <c:pt idx="156">
                  <c:v>43700</c:v>
                </c:pt>
                <c:pt idx="157">
                  <c:v>43703</c:v>
                </c:pt>
                <c:pt idx="158">
                  <c:v>43704</c:v>
                </c:pt>
                <c:pt idx="159">
                  <c:v>43705</c:v>
                </c:pt>
                <c:pt idx="160">
                  <c:v>43706</c:v>
                </c:pt>
                <c:pt idx="161">
                  <c:v>43707</c:v>
                </c:pt>
                <c:pt idx="162">
                  <c:v>43710</c:v>
                </c:pt>
                <c:pt idx="163">
                  <c:v>43711</c:v>
                </c:pt>
                <c:pt idx="164">
                  <c:v>43712</c:v>
                </c:pt>
                <c:pt idx="165">
                  <c:v>43713</c:v>
                </c:pt>
                <c:pt idx="166">
                  <c:v>43714</c:v>
                </c:pt>
                <c:pt idx="167">
                  <c:v>43717</c:v>
                </c:pt>
                <c:pt idx="168">
                  <c:v>43718</c:v>
                </c:pt>
                <c:pt idx="169">
                  <c:v>43719</c:v>
                </c:pt>
                <c:pt idx="170">
                  <c:v>43720</c:v>
                </c:pt>
                <c:pt idx="171">
                  <c:v>43721</c:v>
                </c:pt>
                <c:pt idx="172">
                  <c:v>43724</c:v>
                </c:pt>
                <c:pt idx="173">
                  <c:v>43725</c:v>
                </c:pt>
                <c:pt idx="174">
                  <c:v>43726</c:v>
                </c:pt>
                <c:pt idx="175">
                  <c:v>43727</c:v>
                </c:pt>
                <c:pt idx="176">
                  <c:v>43728</c:v>
                </c:pt>
                <c:pt idx="177">
                  <c:v>43731</c:v>
                </c:pt>
                <c:pt idx="178">
                  <c:v>43732</c:v>
                </c:pt>
                <c:pt idx="179">
                  <c:v>43733</c:v>
                </c:pt>
                <c:pt idx="180">
                  <c:v>43734</c:v>
                </c:pt>
                <c:pt idx="181">
                  <c:v>43735</c:v>
                </c:pt>
                <c:pt idx="182">
                  <c:v>43738</c:v>
                </c:pt>
                <c:pt idx="183">
                  <c:v>43739</c:v>
                </c:pt>
                <c:pt idx="184">
                  <c:v>43740</c:v>
                </c:pt>
                <c:pt idx="185">
                  <c:v>43741</c:v>
                </c:pt>
                <c:pt idx="186">
                  <c:v>43742</c:v>
                </c:pt>
                <c:pt idx="187">
                  <c:v>43745</c:v>
                </c:pt>
                <c:pt idx="188">
                  <c:v>43746</c:v>
                </c:pt>
                <c:pt idx="189">
                  <c:v>43747</c:v>
                </c:pt>
                <c:pt idx="190">
                  <c:v>43748</c:v>
                </c:pt>
                <c:pt idx="191">
                  <c:v>43749</c:v>
                </c:pt>
                <c:pt idx="192">
                  <c:v>43752</c:v>
                </c:pt>
                <c:pt idx="193">
                  <c:v>43753</c:v>
                </c:pt>
                <c:pt idx="194">
                  <c:v>43754</c:v>
                </c:pt>
                <c:pt idx="195">
                  <c:v>43755</c:v>
                </c:pt>
                <c:pt idx="196">
                  <c:v>43756</c:v>
                </c:pt>
                <c:pt idx="197">
                  <c:v>43759</c:v>
                </c:pt>
                <c:pt idx="198">
                  <c:v>43760</c:v>
                </c:pt>
                <c:pt idx="199">
                  <c:v>43761</c:v>
                </c:pt>
                <c:pt idx="200">
                  <c:v>43762</c:v>
                </c:pt>
                <c:pt idx="201">
                  <c:v>43763</c:v>
                </c:pt>
                <c:pt idx="202">
                  <c:v>43766</c:v>
                </c:pt>
                <c:pt idx="203">
                  <c:v>43767</c:v>
                </c:pt>
                <c:pt idx="204">
                  <c:v>43768</c:v>
                </c:pt>
                <c:pt idx="205">
                  <c:v>43769</c:v>
                </c:pt>
                <c:pt idx="206">
                  <c:v>43770</c:v>
                </c:pt>
                <c:pt idx="207">
                  <c:v>43773</c:v>
                </c:pt>
                <c:pt idx="208">
                  <c:v>43774</c:v>
                </c:pt>
                <c:pt idx="209">
                  <c:v>43775</c:v>
                </c:pt>
                <c:pt idx="210">
                  <c:v>43776</c:v>
                </c:pt>
                <c:pt idx="211">
                  <c:v>43777</c:v>
                </c:pt>
                <c:pt idx="212">
                  <c:v>43780</c:v>
                </c:pt>
                <c:pt idx="213">
                  <c:v>43781</c:v>
                </c:pt>
                <c:pt idx="214">
                  <c:v>43782</c:v>
                </c:pt>
                <c:pt idx="215">
                  <c:v>43783</c:v>
                </c:pt>
                <c:pt idx="216">
                  <c:v>43784</c:v>
                </c:pt>
                <c:pt idx="217">
                  <c:v>43787</c:v>
                </c:pt>
                <c:pt idx="218">
                  <c:v>43788</c:v>
                </c:pt>
                <c:pt idx="219">
                  <c:v>43789</c:v>
                </c:pt>
                <c:pt idx="220">
                  <c:v>43790</c:v>
                </c:pt>
                <c:pt idx="221">
                  <c:v>43791</c:v>
                </c:pt>
                <c:pt idx="222">
                  <c:v>43794</c:v>
                </c:pt>
                <c:pt idx="223">
                  <c:v>43795</c:v>
                </c:pt>
                <c:pt idx="224">
                  <c:v>43796</c:v>
                </c:pt>
                <c:pt idx="225">
                  <c:v>43797</c:v>
                </c:pt>
                <c:pt idx="226">
                  <c:v>43798</c:v>
                </c:pt>
                <c:pt idx="227">
                  <c:v>43801</c:v>
                </c:pt>
                <c:pt idx="228">
                  <c:v>43802</c:v>
                </c:pt>
                <c:pt idx="229">
                  <c:v>43803</c:v>
                </c:pt>
                <c:pt idx="230">
                  <c:v>43804</c:v>
                </c:pt>
                <c:pt idx="231">
                  <c:v>43805</c:v>
                </c:pt>
                <c:pt idx="232">
                  <c:v>43808</c:v>
                </c:pt>
                <c:pt idx="233">
                  <c:v>43809</c:v>
                </c:pt>
                <c:pt idx="234">
                  <c:v>43810</c:v>
                </c:pt>
                <c:pt idx="235">
                  <c:v>43811</c:v>
                </c:pt>
                <c:pt idx="236">
                  <c:v>43812</c:v>
                </c:pt>
                <c:pt idx="237">
                  <c:v>43815</c:v>
                </c:pt>
                <c:pt idx="238">
                  <c:v>43816</c:v>
                </c:pt>
                <c:pt idx="239">
                  <c:v>43817</c:v>
                </c:pt>
                <c:pt idx="240">
                  <c:v>43818</c:v>
                </c:pt>
                <c:pt idx="241">
                  <c:v>43819</c:v>
                </c:pt>
                <c:pt idx="242">
                  <c:v>43822</c:v>
                </c:pt>
                <c:pt idx="243">
                  <c:v>43823</c:v>
                </c:pt>
                <c:pt idx="244">
                  <c:v>43825</c:v>
                </c:pt>
                <c:pt idx="245">
                  <c:v>43826</c:v>
                </c:pt>
                <c:pt idx="246">
                  <c:v>43829</c:v>
                </c:pt>
                <c:pt idx="247">
                  <c:v>43838</c:v>
                </c:pt>
                <c:pt idx="248">
                  <c:v>43839</c:v>
                </c:pt>
                <c:pt idx="249">
                  <c:v>43840</c:v>
                </c:pt>
                <c:pt idx="250">
                  <c:v>43843</c:v>
                </c:pt>
                <c:pt idx="251">
                  <c:v>43844</c:v>
                </c:pt>
                <c:pt idx="252">
                  <c:v>43845</c:v>
                </c:pt>
                <c:pt idx="253">
                  <c:v>43846</c:v>
                </c:pt>
                <c:pt idx="254">
                  <c:v>43847</c:v>
                </c:pt>
                <c:pt idx="255">
                  <c:v>43850</c:v>
                </c:pt>
                <c:pt idx="256">
                  <c:v>43851</c:v>
                </c:pt>
                <c:pt idx="257">
                  <c:v>43852</c:v>
                </c:pt>
                <c:pt idx="258">
                  <c:v>43853</c:v>
                </c:pt>
                <c:pt idx="259">
                  <c:v>43854</c:v>
                </c:pt>
                <c:pt idx="260">
                  <c:v>43859</c:v>
                </c:pt>
                <c:pt idx="261">
                  <c:v>43860</c:v>
                </c:pt>
                <c:pt idx="262">
                  <c:v>43861</c:v>
                </c:pt>
                <c:pt idx="263">
                  <c:v>43864</c:v>
                </c:pt>
                <c:pt idx="264">
                  <c:v>43865</c:v>
                </c:pt>
                <c:pt idx="265">
                  <c:v>43866</c:v>
                </c:pt>
                <c:pt idx="266">
                  <c:v>43867</c:v>
                </c:pt>
                <c:pt idx="267">
                  <c:v>43868</c:v>
                </c:pt>
                <c:pt idx="268">
                  <c:v>43871</c:v>
                </c:pt>
                <c:pt idx="269">
                  <c:v>43872</c:v>
                </c:pt>
                <c:pt idx="270">
                  <c:v>43873</c:v>
                </c:pt>
                <c:pt idx="271">
                  <c:v>43874</c:v>
                </c:pt>
                <c:pt idx="272">
                  <c:v>43875</c:v>
                </c:pt>
                <c:pt idx="273">
                  <c:v>43878</c:v>
                </c:pt>
                <c:pt idx="274">
                  <c:v>43879</c:v>
                </c:pt>
                <c:pt idx="275">
                  <c:v>43880</c:v>
                </c:pt>
                <c:pt idx="276">
                  <c:v>43881</c:v>
                </c:pt>
                <c:pt idx="277">
                  <c:v>43882</c:v>
                </c:pt>
                <c:pt idx="278">
                  <c:v>43885</c:v>
                </c:pt>
                <c:pt idx="279">
                  <c:v>43886</c:v>
                </c:pt>
                <c:pt idx="280">
                  <c:v>43887</c:v>
                </c:pt>
                <c:pt idx="281">
                  <c:v>43888</c:v>
                </c:pt>
                <c:pt idx="282">
                  <c:v>43889</c:v>
                </c:pt>
                <c:pt idx="283">
                  <c:v>43892</c:v>
                </c:pt>
                <c:pt idx="284">
                  <c:v>43893</c:v>
                </c:pt>
                <c:pt idx="285">
                  <c:v>43894</c:v>
                </c:pt>
                <c:pt idx="286">
                  <c:v>43895</c:v>
                </c:pt>
                <c:pt idx="287">
                  <c:v>43896</c:v>
                </c:pt>
                <c:pt idx="288">
                  <c:v>43899</c:v>
                </c:pt>
                <c:pt idx="289">
                  <c:v>43900</c:v>
                </c:pt>
                <c:pt idx="290">
                  <c:v>43901</c:v>
                </c:pt>
                <c:pt idx="291">
                  <c:v>43902</c:v>
                </c:pt>
                <c:pt idx="292">
                  <c:v>43903</c:v>
                </c:pt>
                <c:pt idx="293">
                  <c:v>43906</c:v>
                </c:pt>
                <c:pt idx="294">
                  <c:v>43907</c:v>
                </c:pt>
                <c:pt idx="295">
                  <c:v>43908</c:v>
                </c:pt>
                <c:pt idx="296">
                  <c:v>43909</c:v>
                </c:pt>
                <c:pt idx="297">
                  <c:v>43910</c:v>
                </c:pt>
                <c:pt idx="298">
                  <c:v>43913</c:v>
                </c:pt>
                <c:pt idx="299">
                  <c:v>43914</c:v>
                </c:pt>
                <c:pt idx="300">
                  <c:v>43915</c:v>
                </c:pt>
                <c:pt idx="301">
                  <c:v>43916</c:v>
                </c:pt>
                <c:pt idx="302">
                  <c:v>43917</c:v>
                </c:pt>
                <c:pt idx="303">
                  <c:v>43920</c:v>
                </c:pt>
                <c:pt idx="304">
                  <c:v>43921</c:v>
                </c:pt>
                <c:pt idx="305">
                  <c:v>43922</c:v>
                </c:pt>
                <c:pt idx="306">
                  <c:v>43923</c:v>
                </c:pt>
                <c:pt idx="307">
                  <c:v>43924</c:v>
                </c:pt>
                <c:pt idx="308">
                  <c:v>43927</c:v>
                </c:pt>
                <c:pt idx="309">
                  <c:v>43928</c:v>
                </c:pt>
                <c:pt idx="310">
                  <c:v>43929</c:v>
                </c:pt>
                <c:pt idx="311">
                  <c:v>43930</c:v>
                </c:pt>
                <c:pt idx="312">
                  <c:v>43934</c:v>
                </c:pt>
                <c:pt idx="313">
                  <c:v>43935</c:v>
                </c:pt>
                <c:pt idx="314">
                  <c:v>43936</c:v>
                </c:pt>
                <c:pt idx="315">
                  <c:v>43937</c:v>
                </c:pt>
                <c:pt idx="316">
                  <c:v>43938</c:v>
                </c:pt>
                <c:pt idx="317">
                  <c:v>43941</c:v>
                </c:pt>
                <c:pt idx="318">
                  <c:v>43942</c:v>
                </c:pt>
                <c:pt idx="319">
                  <c:v>43943</c:v>
                </c:pt>
                <c:pt idx="320">
                  <c:v>43944</c:v>
                </c:pt>
                <c:pt idx="321">
                  <c:v>43948</c:v>
                </c:pt>
                <c:pt idx="322">
                  <c:v>43949</c:v>
                </c:pt>
                <c:pt idx="323">
                  <c:v>43950</c:v>
                </c:pt>
                <c:pt idx="324">
                  <c:v>43951</c:v>
                </c:pt>
                <c:pt idx="325">
                  <c:v>43955</c:v>
                </c:pt>
                <c:pt idx="326">
                  <c:v>43956</c:v>
                </c:pt>
                <c:pt idx="327">
                  <c:v>43957</c:v>
                </c:pt>
                <c:pt idx="328">
                  <c:v>43958</c:v>
                </c:pt>
                <c:pt idx="329">
                  <c:v>43959</c:v>
                </c:pt>
                <c:pt idx="330">
                  <c:v>43962</c:v>
                </c:pt>
                <c:pt idx="331">
                  <c:v>43963</c:v>
                </c:pt>
                <c:pt idx="332">
                  <c:v>43964</c:v>
                </c:pt>
                <c:pt idx="333">
                  <c:v>43965</c:v>
                </c:pt>
                <c:pt idx="334">
                  <c:v>43966</c:v>
                </c:pt>
                <c:pt idx="335">
                  <c:v>43969</c:v>
                </c:pt>
                <c:pt idx="336">
                  <c:v>43970</c:v>
                </c:pt>
                <c:pt idx="337">
                  <c:v>43971</c:v>
                </c:pt>
                <c:pt idx="338">
                  <c:v>43972</c:v>
                </c:pt>
                <c:pt idx="339">
                  <c:v>43973</c:v>
                </c:pt>
                <c:pt idx="340">
                  <c:v>43976</c:v>
                </c:pt>
                <c:pt idx="341">
                  <c:v>43977</c:v>
                </c:pt>
                <c:pt idx="342">
                  <c:v>43978</c:v>
                </c:pt>
                <c:pt idx="343">
                  <c:v>43983</c:v>
                </c:pt>
                <c:pt idx="344">
                  <c:v>43984</c:v>
                </c:pt>
                <c:pt idx="345">
                  <c:v>43985</c:v>
                </c:pt>
                <c:pt idx="346">
                  <c:v>43986</c:v>
                </c:pt>
                <c:pt idx="347">
                  <c:v>43987</c:v>
                </c:pt>
                <c:pt idx="348">
                  <c:v>43990</c:v>
                </c:pt>
                <c:pt idx="349">
                  <c:v>43991</c:v>
                </c:pt>
                <c:pt idx="350">
                  <c:v>43992</c:v>
                </c:pt>
                <c:pt idx="351">
                  <c:v>43993</c:v>
                </c:pt>
                <c:pt idx="352">
                  <c:v>43994</c:v>
                </c:pt>
                <c:pt idx="353">
                  <c:v>43997</c:v>
                </c:pt>
                <c:pt idx="354">
                  <c:v>43998</c:v>
                </c:pt>
                <c:pt idx="355">
                  <c:v>43999</c:v>
                </c:pt>
                <c:pt idx="356">
                  <c:v>44000</c:v>
                </c:pt>
                <c:pt idx="357">
                  <c:v>44001</c:v>
                </c:pt>
                <c:pt idx="358">
                  <c:v>44004</c:v>
                </c:pt>
                <c:pt idx="359">
                  <c:v>44005</c:v>
                </c:pt>
                <c:pt idx="360">
                  <c:v>44006</c:v>
                </c:pt>
                <c:pt idx="361">
                  <c:v>44007</c:v>
                </c:pt>
                <c:pt idx="362">
                  <c:v>44008</c:v>
                </c:pt>
                <c:pt idx="363">
                  <c:v>44011</c:v>
                </c:pt>
                <c:pt idx="364">
                  <c:v>44012</c:v>
                </c:pt>
                <c:pt idx="365">
                  <c:v>44013</c:v>
                </c:pt>
                <c:pt idx="366">
                  <c:v>44014</c:v>
                </c:pt>
                <c:pt idx="367">
                  <c:v>44015</c:v>
                </c:pt>
                <c:pt idx="368">
                  <c:v>44018</c:v>
                </c:pt>
                <c:pt idx="369">
                  <c:v>44019</c:v>
                </c:pt>
                <c:pt idx="370">
                  <c:v>44020</c:v>
                </c:pt>
                <c:pt idx="371">
                  <c:v>44021</c:v>
                </c:pt>
                <c:pt idx="372">
                  <c:v>44022</c:v>
                </c:pt>
                <c:pt idx="373">
                  <c:v>44025</c:v>
                </c:pt>
                <c:pt idx="374">
                  <c:v>44026</c:v>
                </c:pt>
                <c:pt idx="375">
                  <c:v>44027</c:v>
                </c:pt>
                <c:pt idx="376">
                  <c:v>44028</c:v>
                </c:pt>
                <c:pt idx="377">
                  <c:v>44029</c:v>
                </c:pt>
                <c:pt idx="378">
                  <c:v>44032</c:v>
                </c:pt>
                <c:pt idx="379">
                  <c:v>44033</c:v>
                </c:pt>
                <c:pt idx="380">
                  <c:v>44034</c:v>
                </c:pt>
                <c:pt idx="381">
                  <c:v>44035</c:v>
                </c:pt>
                <c:pt idx="382">
                  <c:v>44036</c:v>
                </c:pt>
                <c:pt idx="383">
                  <c:v>44039</c:v>
                </c:pt>
                <c:pt idx="384">
                  <c:v>44040</c:v>
                </c:pt>
                <c:pt idx="385">
                  <c:v>44041</c:v>
                </c:pt>
                <c:pt idx="386">
                  <c:v>44042</c:v>
                </c:pt>
                <c:pt idx="387">
                  <c:v>44043</c:v>
                </c:pt>
                <c:pt idx="388">
                  <c:v>44046</c:v>
                </c:pt>
                <c:pt idx="389">
                  <c:v>44047</c:v>
                </c:pt>
                <c:pt idx="390">
                  <c:v>44048</c:v>
                </c:pt>
                <c:pt idx="391">
                  <c:v>44049</c:v>
                </c:pt>
                <c:pt idx="392">
                  <c:v>44050</c:v>
                </c:pt>
                <c:pt idx="393">
                  <c:v>44053</c:v>
                </c:pt>
                <c:pt idx="394">
                  <c:v>44054</c:v>
                </c:pt>
                <c:pt idx="395">
                  <c:v>44055</c:v>
                </c:pt>
                <c:pt idx="396">
                  <c:v>44056</c:v>
                </c:pt>
                <c:pt idx="397">
                  <c:v>44057</c:v>
                </c:pt>
                <c:pt idx="398">
                  <c:v>44060</c:v>
                </c:pt>
                <c:pt idx="399">
                  <c:v>44061</c:v>
                </c:pt>
                <c:pt idx="400">
                  <c:v>44062</c:v>
                </c:pt>
                <c:pt idx="401">
                  <c:v>44063</c:v>
                </c:pt>
                <c:pt idx="402">
                  <c:v>44064</c:v>
                </c:pt>
                <c:pt idx="403">
                  <c:v>44067</c:v>
                </c:pt>
                <c:pt idx="404">
                  <c:v>44068</c:v>
                </c:pt>
                <c:pt idx="405">
                  <c:v>44069</c:v>
                </c:pt>
                <c:pt idx="406">
                  <c:v>44070</c:v>
                </c:pt>
                <c:pt idx="407">
                  <c:v>44071</c:v>
                </c:pt>
                <c:pt idx="408">
                  <c:v>44074</c:v>
                </c:pt>
                <c:pt idx="409">
                  <c:v>44075</c:v>
                </c:pt>
                <c:pt idx="410">
                  <c:v>44076</c:v>
                </c:pt>
                <c:pt idx="411">
                  <c:v>44077</c:v>
                </c:pt>
                <c:pt idx="412">
                  <c:v>44078</c:v>
                </c:pt>
                <c:pt idx="413">
                  <c:v>44081</c:v>
                </c:pt>
                <c:pt idx="414">
                  <c:v>44082</c:v>
                </c:pt>
                <c:pt idx="415">
                  <c:v>44083</c:v>
                </c:pt>
                <c:pt idx="416">
                  <c:v>44084</c:v>
                </c:pt>
                <c:pt idx="417">
                  <c:v>44085</c:v>
                </c:pt>
                <c:pt idx="418">
                  <c:v>44088</c:v>
                </c:pt>
                <c:pt idx="419">
                  <c:v>44089</c:v>
                </c:pt>
                <c:pt idx="420">
                  <c:v>44090</c:v>
                </c:pt>
                <c:pt idx="421">
                  <c:v>44091</c:v>
                </c:pt>
                <c:pt idx="422">
                  <c:v>44092</c:v>
                </c:pt>
                <c:pt idx="423">
                  <c:v>44096</c:v>
                </c:pt>
                <c:pt idx="424">
                  <c:v>44097</c:v>
                </c:pt>
                <c:pt idx="425">
                  <c:v>44098</c:v>
                </c:pt>
                <c:pt idx="426">
                  <c:v>44099</c:v>
                </c:pt>
                <c:pt idx="427">
                  <c:v>44102</c:v>
                </c:pt>
                <c:pt idx="428">
                  <c:v>44103</c:v>
                </c:pt>
                <c:pt idx="429">
                  <c:v>44104</c:v>
                </c:pt>
                <c:pt idx="430">
                  <c:v>44105</c:v>
                </c:pt>
                <c:pt idx="431">
                  <c:v>44106</c:v>
                </c:pt>
                <c:pt idx="432">
                  <c:v>44109</c:v>
                </c:pt>
                <c:pt idx="433">
                  <c:v>44110</c:v>
                </c:pt>
                <c:pt idx="434">
                  <c:v>44111</c:v>
                </c:pt>
                <c:pt idx="435">
                  <c:v>44112</c:v>
                </c:pt>
                <c:pt idx="436">
                  <c:v>44113</c:v>
                </c:pt>
                <c:pt idx="437">
                  <c:v>44116</c:v>
                </c:pt>
                <c:pt idx="438">
                  <c:v>44117</c:v>
                </c:pt>
                <c:pt idx="439">
                  <c:v>44118</c:v>
                </c:pt>
                <c:pt idx="440">
                  <c:v>44119</c:v>
                </c:pt>
                <c:pt idx="441">
                  <c:v>44120</c:v>
                </c:pt>
                <c:pt idx="442">
                  <c:v>44123</c:v>
                </c:pt>
                <c:pt idx="443">
                  <c:v>44124</c:v>
                </c:pt>
                <c:pt idx="444">
                  <c:v>44125</c:v>
                </c:pt>
                <c:pt idx="445">
                  <c:v>44126</c:v>
                </c:pt>
                <c:pt idx="446">
                  <c:v>44127</c:v>
                </c:pt>
                <c:pt idx="447">
                  <c:v>44130</c:v>
                </c:pt>
                <c:pt idx="448">
                  <c:v>44131</c:v>
                </c:pt>
                <c:pt idx="449">
                  <c:v>44132</c:v>
                </c:pt>
                <c:pt idx="450">
                  <c:v>44133</c:v>
                </c:pt>
                <c:pt idx="451">
                  <c:v>44134</c:v>
                </c:pt>
                <c:pt idx="452">
                  <c:v>44137</c:v>
                </c:pt>
                <c:pt idx="453">
                  <c:v>44138</c:v>
                </c:pt>
                <c:pt idx="454">
                  <c:v>44139</c:v>
                </c:pt>
                <c:pt idx="455">
                  <c:v>44140</c:v>
                </c:pt>
                <c:pt idx="456">
                  <c:v>44141</c:v>
                </c:pt>
                <c:pt idx="457">
                  <c:v>44144</c:v>
                </c:pt>
                <c:pt idx="458">
                  <c:v>44145</c:v>
                </c:pt>
                <c:pt idx="459">
                  <c:v>44146</c:v>
                </c:pt>
                <c:pt idx="460">
                  <c:v>44147</c:v>
                </c:pt>
                <c:pt idx="461">
                  <c:v>44148</c:v>
                </c:pt>
                <c:pt idx="462">
                  <c:v>44151</c:v>
                </c:pt>
                <c:pt idx="463">
                  <c:v>44152</c:v>
                </c:pt>
                <c:pt idx="464">
                  <c:v>44153</c:v>
                </c:pt>
                <c:pt idx="465">
                  <c:v>44154</c:v>
                </c:pt>
                <c:pt idx="466">
                  <c:v>44155</c:v>
                </c:pt>
                <c:pt idx="467">
                  <c:v>44158</c:v>
                </c:pt>
                <c:pt idx="468">
                  <c:v>44159</c:v>
                </c:pt>
                <c:pt idx="469">
                  <c:v>44160</c:v>
                </c:pt>
                <c:pt idx="470">
                  <c:v>44161</c:v>
                </c:pt>
                <c:pt idx="471">
                  <c:v>44162</c:v>
                </c:pt>
                <c:pt idx="472">
                  <c:v>44165</c:v>
                </c:pt>
                <c:pt idx="473">
                  <c:v>44166</c:v>
                </c:pt>
                <c:pt idx="474">
                  <c:v>44167</c:v>
                </c:pt>
                <c:pt idx="475">
                  <c:v>44168</c:v>
                </c:pt>
                <c:pt idx="476">
                  <c:v>44169</c:v>
                </c:pt>
                <c:pt idx="477">
                  <c:v>44172</c:v>
                </c:pt>
                <c:pt idx="478">
                  <c:v>44173</c:v>
                </c:pt>
                <c:pt idx="479">
                  <c:v>44174</c:v>
                </c:pt>
                <c:pt idx="480">
                  <c:v>44175</c:v>
                </c:pt>
                <c:pt idx="481">
                  <c:v>44176</c:v>
                </c:pt>
                <c:pt idx="482">
                  <c:v>44179</c:v>
                </c:pt>
                <c:pt idx="483">
                  <c:v>44180</c:v>
                </c:pt>
                <c:pt idx="484">
                  <c:v>44181</c:v>
                </c:pt>
                <c:pt idx="485">
                  <c:v>44182</c:v>
                </c:pt>
                <c:pt idx="486">
                  <c:v>44183</c:v>
                </c:pt>
                <c:pt idx="487">
                  <c:v>44186</c:v>
                </c:pt>
                <c:pt idx="488">
                  <c:v>44187</c:v>
                </c:pt>
                <c:pt idx="489">
                  <c:v>44188</c:v>
                </c:pt>
                <c:pt idx="490">
                  <c:v>44189</c:v>
                </c:pt>
                <c:pt idx="491">
                  <c:v>44193</c:v>
                </c:pt>
                <c:pt idx="492">
                  <c:v>44194</c:v>
                </c:pt>
                <c:pt idx="493">
                  <c:v>44195</c:v>
                </c:pt>
                <c:pt idx="494">
                  <c:v>44196</c:v>
                </c:pt>
                <c:pt idx="495">
                  <c:v>44204</c:v>
                </c:pt>
                <c:pt idx="496">
                  <c:v>44207</c:v>
                </c:pt>
                <c:pt idx="497">
                  <c:v>44208</c:v>
                </c:pt>
                <c:pt idx="498">
                  <c:v>44209</c:v>
                </c:pt>
                <c:pt idx="499">
                  <c:v>44210</c:v>
                </c:pt>
                <c:pt idx="500">
                  <c:v>44211</c:v>
                </c:pt>
                <c:pt idx="501">
                  <c:v>44214</c:v>
                </c:pt>
                <c:pt idx="502">
                  <c:v>44215</c:v>
                </c:pt>
                <c:pt idx="503">
                  <c:v>44216</c:v>
                </c:pt>
                <c:pt idx="504">
                  <c:v>44217</c:v>
                </c:pt>
                <c:pt idx="505">
                  <c:v>44218</c:v>
                </c:pt>
                <c:pt idx="506">
                  <c:v>44221</c:v>
                </c:pt>
                <c:pt idx="507">
                  <c:v>44222</c:v>
                </c:pt>
                <c:pt idx="508">
                  <c:v>44223</c:v>
                </c:pt>
                <c:pt idx="509">
                  <c:v>44225</c:v>
                </c:pt>
                <c:pt idx="510">
                  <c:v>44228</c:v>
                </c:pt>
                <c:pt idx="511">
                  <c:v>44229</c:v>
                </c:pt>
                <c:pt idx="512">
                  <c:v>44230</c:v>
                </c:pt>
                <c:pt idx="513">
                  <c:v>44231</c:v>
                </c:pt>
                <c:pt idx="514">
                  <c:v>44232</c:v>
                </c:pt>
                <c:pt idx="515">
                  <c:v>44235</c:v>
                </c:pt>
                <c:pt idx="516">
                  <c:v>44236</c:v>
                </c:pt>
                <c:pt idx="517">
                  <c:v>44237</c:v>
                </c:pt>
                <c:pt idx="518">
                  <c:v>44238</c:v>
                </c:pt>
                <c:pt idx="519">
                  <c:v>44239</c:v>
                </c:pt>
                <c:pt idx="520">
                  <c:v>44242</c:v>
                </c:pt>
                <c:pt idx="521">
                  <c:v>44243</c:v>
                </c:pt>
                <c:pt idx="522">
                  <c:v>44244</c:v>
                </c:pt>
                <c:pt idx="523">
                  <c:v>44245</c:v>
                </c:pt>
                <c:pt idx="524">
                  <c:v>44246</c:v>
                </c:pt>
                <c:pt idx="525">
                  <c:v>44249</c:v>
                </c:pt>
                <c:pt idx="526">
                  <c:v>44250</c:v>
                </c:pt>
                <c:pt idx="527">
                  <c:v>44251</c:v>
                </c:pt>
                <c:pt idx="528">
                  <c:v>44252</c:v>
                </c:pt>
                <c:pt idx="529">
                  <c:v>44253</c:v>
                </c:pt>
                <c:pt idx="530">
                  <c:v>44256</c:v>
                </c:pt>
                <c:pt idx="531">
                  <c:v>44257</c:v>
                </c:pt>
                <c:pt idx="532">
                  <c:v>44258</c:v>
                </c:pt>
                <c:pt idx="533">
                  <c:v>44259</c:v>
                </c:pt>
                <c:pt idx="534">
                  <c:v>44260</c:v>
                </c:pt>
                <c:pt idx="535">
                  <c:v>44264</c:v>
                </c:pt>
                <c:pt idx="536">
                  <c:v>44265</c:v>
                </c:pt>
                <c:pt idx="537">
                  <c:v>44266</c:v>
                </c:pt>
                <c:pt idx="538">
                  <c:v>44267</c:v>
                </c:pt>
                <c:pt idx="539">
                  <c:v>44270</c:v>
                </c:pt>
                <c:pt idx="540">
                  <c:v>44271</c:v>
                </c:pt>
                <c:pt idx="541">
                  <c:v>44272</c:v>
                </c:pt>
                <c:pt idx="542">
                  <c:v>44273</c:v>
                </c:pt>
                <c:pt idx="543">
                  <c:v>44274</c:v>
                </c:pt>
                <c:pt idx="544">
                  <c:v>44277</c:v>
                </c:pt>
                <c:pt idx="545">
                  <c:v>44278</c:v>
                </c:pt>
                <c:pt idx="546">
                  <c:v>44279</c:v>
                </c:pt>
                <c:pt idx="547">
                  <c:v>44280</c:v>
                </c:pt>
                <c:pt idx="548">
                  <c:v>44281</c:v>
                </c:pt>
                <c:pt idx="549">
                  <c:v>44284</c:v>
                </c:pt>
                <c:pt idx="550">
                  <c:v>44285</c:v>
                </c:pt>
                <c:pt idx="551">
                  <c:v>44286</c:v>
                </c:pt>
                <c:pt idx="552">
                  <c:v>44287</c:v>
                </c:pt>
                <c:pt idx="553">
                  <c:v>44288</c:v>
                </c:pt>
                <c:pt idx="554">
                  <c:v>44291</c:v>
                </c:pt>
                <c:pt idx="555">
                  <c:v>44292</c:v>
                </c:pt>
                <c:pt idx="556">
                  <c:v>44293</c:v>
                </c:pt>
                <c:pt idx="557">
                  <c:v>44294</c:v>
                </c:pt>
                <c:pt idx="558">
                  <c:v>44295</c:v>
                </c:pt>
                <c:pt idx="559">
                  <c:v>44298</c:v>
                </c:pt>
                <c:pt idx="560">
                  <c:v>44299</c:v>
                </c:pt>
                <c:pt idx="561">
                  <c:v>44300</c:v>
                </c:pt>
                <c:pt idx="562">
                  <c:v>44301</c:v>
                </c:pt>
                <c:pt idx="563">
                  <c:v>44302</c:v>
                </c:pt>
                <c:pt idx="564">
                  <c:v>44305</c:v>
                </c:pt>
                <c:pt idx="565">
                  <c:v>44306</c:v>
                </c:pt>
                <c:pt idx="566">
                  <c:v>44307</c:v>
                </c:pt>
                <c:pt idx="567">
                  <c:v>44308</c:v>
                </c:pt>
                <c:pt idx="568">
                  <c:v>44309</c:v>
                </c:pt>
                <c:pt idx="569">
                  <c:v>44312</c:v>
                </c:pt>
                <c:pt idx="570">
                  <c:v>44313</c:v>
                </c:pt>
                <c:pt idx="571">
                  <c:v>44314</c:v>
                </c:pt>
                <c:pt idx="572">
                  <c:v>44315</c:v>
                </c:pt>
                <c:pt idx="573">
                  <c:v>44316</c:v>
                </c:pt>
                <c:pt idx="574">
                  <c:v>44319</c:v>
                </c:pt>
                <c:pt idx="575">
                  <c:v>44320</c:v>
                </c:pt>
                <c:pt idx="576">
                  <c:v>44321</c:v>
                </c:pt>
                <c:pt idx="577">
                  <c:v>44322</c:v>
                </c:pt>
                <c:pt idx="578">
                  <c:v>44323</c:v>
                </c:pt>
                <c:pt idx="579">
                  <c:v>44326</c:v>
                </c:pt>
                <c:pt idx="580">
                  <c:v>44327</c:v>
                </c:pt>
                <c:pt idx="581">
                  <c:v>44328</c:v>
                </c:pt>
                <c:pt idx="582">
                  <c:v>44329</c:v>
                </c:pt>
                <c:pt idx="583">
                  <c:v>44330</c:v>
                </c:pt>
                <c:pt idx="584">
                  <c:v>44333</c:v>
                </c:pt>
                <c:pt idx="585">
                  <c:v>44334</c:v>
                </c:pt>
                <c:pt idx="586">
                  <c:v>44335</c:v>
                </c:pt>
                <c:pt idx="587">
                  <c:v>44336</c:v>
                </c:pt>
                <c:pt idx="588">
                  <c:v>44341</c:v>
                </c:pt>
                <c:pt idx="589" formatCode="d\-mmm\-yy">
                  <c:v>44342</c:v>
                </c:pt>
                <c:pt idx="590" formatCode="d\-mmm\-yy">
                  <c:v>44343</c:v>
                </c:pt>
                <c:pt idx="591" formatCode="d\-mmm\-yy">
                  <c:v>44347</c:v>
                </c:pt>
                <c:pt idx="592" formatCode="d\-mmm\-yy">
                  <c:v>44348</c:v>
                </c:pt>
                <c:pt idx="593" formatCode="d\-mmm\-yy">
                  <c:v>44349</c:v>
                </c:pt>
                <c:pt idx="594" formatCode="d\-mmm\-yy">
                  <c:v>44350</c:v>
                </c:pt>
                <c:pt idx="595" formatCode="d\-mmm\-yy">
                  <c:v>44351</c:v>
                </c:pt>
                <c:pt idx="596" formatCode="d\-mmm\-yy">
                  <c:v>44354</c:v>
                </c:pt>
                <c:pt idx="597" formatCode="d\-mmm\-yy">
                  <c:v>44355</c:v>
                </c:pt>
                <c:pt idx="598" formatCode="d\-mmm\-yy">
                  <c:v>44356</c:v>
                </c:pt>
                <c:pt idx="599" formatCode="d\-mmm\-yy">
                  <c:v>44357</c:v>
                </c:pt>
                <c:pt idx="600" formatCode="d\-mmm\-yy">
                  <c:v>44358</c:v>
                </c:pt>
                <c:pt idx="601" formatCode="d\-mmm\-yy">
                  <c:v>44361</c:v>
                </c:pt>
                <c:pt idx="602" formatCode="d\-mmm\-yy">
                  <c:v>44362</c:v>
                </c:pt>
                <c:pt idx="603" formatCode="d\-mmm\-yy">
                  <c:v>44363</c:v>
                </c:pt>
                <c:pt idx="604" formatCode="d\-mmm\-yy">
                  <c:v>44364</c:v>
                </c:pt>
                <c:pt idx="605" formatCode="d\-mmm\-yy">
                  <c:v>44365</c:v>
                </c:pt>
                <c:pt idx="606" formatCode="d\-mmm\-yy">
                  <c:v>44368</c:v>
                </c:pt>
                <c:pt idx="607" formatCode="d\-mmm\-yy">
                  <c:v>44369</c:v>
                </c:pt>
                <c:pt idx="608" formatCode="d\-mmm\-yy">
                  <c:v>44370</c:v>
                </c:pt>
                <c:pt idx="609" formatCode="d\-mmm\-yy">
                  <c:v>44371</c:v>
                </c:pt>
                <c:pt idx="610" formatCode="d\-mmm\-yy">
                  <c:v>44372</c:v>
                </c:pt>
                <c:pt idx="611" formatCode="d\-mmm\-yy">
                  <c:v>44375</c:v>
                </c:pt>
                <c:pt idx="612" formatCode="d\-mmm\-yy">
                  <c:v>44376</c:v>
                </c:pt>
                <c:pt idx="613" formatCode="d\-mmm\-yy">
                  <c:v>44377</c:v>
                </c:pt>
                <c:pt idx="614" formatCode="d\-mmm\-yy">
                  <c:v>44378</c:v>
                </c:pt>
                <c:pt idx="615" formatCode="d\-mmm\-yy">
                  <c:v>44379</c:v>
                </c:pt>
                <c:pt idx="616" formatCode="d\-mmm\-yy">
                  <c:v>44383</c:v>
                </c:pt>
                <c:pt idx="617" formatCode="d\-mmm\-yy">
                  <c:v>44384</c:v>
                </c:pt>
                <c:pt idx="618" formatCode="d\-mmm\-yy">
                  <c:v>44385</c:v>
                </c:pt>
                <c:pt idx="619" formatCode="d\-mmm\-yy">
                  <c:v>44386</c:v>
                </c:pt>
                <c:pt idx="620" formatCode="d\-mmm\-yy">
                  <c:v>44389</c:v>
                </c:pt>
              </c:numCache>
            </c:numRef>
          </c:cat>
          <c:val>
            <c:numRef>
              <c:f>Sheet1!$B$2:$B$622</c:f>
              <c:numCache>
                <c:formatCode>0</c:formatCode>
                <c:ptCount val="621"/>
                <c:pt idx="0">
                  <c:v>100</c:v>
                </c:pt>
                <c:pt idx="1">
                  <c:v>100</c:v>
                </c:pt>
                <c:pt idx="2">
                  <c:v>99</c:v>
                </c:pt>
                <c:pt idx="3">
                  <c:v>99</c:v>
                </c:pt>
                <c:pt idx="4">
                  <c:v>99</c:v>
                </c:pt>
                <c:pt idx="5">
                  <c:v>100</c:v>
                </c:pt>
                <c:pt idx="6">
                  <c:v>99</c:v>
                </c:pt>
                <c:pt idx="7">
                  <c:v>99</c:v>
                </c:pt>
                <c:pt idx="8">
                  <c:v>99</c:v>
                </c:pt>
                <c:pt idx="9">
                  <c:v>100</c:v>
                </c:pt>
                <c:pt idx="10">
                  <c:v>100</c:v>
                </c:pt>
                <c:pt idx="11">
                  <c:v>99</c:v>
                </c:pt>
                <c:pt idx="12">
                  <c:v>99</c:v>
                </c:pt>
                <c:pt idx="13">
                  <c:v>99</c:v>
                </c:pt>
                <c:pt idx="14">
                  <c:v>99</c:v>
                </c:pt>
                <c:pt idx="15">
                  <c:v>98</c:v>
                </c:pt>
                <c:pt idx="16">
                  <c:v>98</c:v>
                </c:pt>
                <c:pt idx="17">
                  <c:v>98</c:v>
                </c:pt>
                <c:pt idx="18">
                  <c:v>98</c:v>
                </c:pt>
                <c:pt idx="19">
                  <c:v>98</c:v>
                </c:pt>
                <c:pt idx="20">
                  <c:v>99</c:v>
                </c:pt>
                <c:pt idx="21">
                  <c:v>99</c:v>
                </c:pt>
                <c:pt idx="22">
                  <c:v>99</c:v>
                </c:pt>
                <c:pt idx="23">
                  <c:v>99</c:v>
                </c:pt>
                <c:pt idx="24">
                  <c:v>99</c:v>
                </c:pt>
                <c:pt idx="25">
                  <c:v>100</c:v>
                </c:pt>
                <c:pt idx="26">
                  <c:v>100</c:v>
                </c:pt>
                <c:pt idx="27">
                  <c:v>99</c:v>
                </c:pt>
                <c:pt idx="28">
                  <c:v>100</c:v>
                </c:pt>
                <c:pt idx="29">
                  <c:v>99</c:v>
                </c:pt>
                <c:pt idx="30">
                  <c:v>99</c:v>
                </c:pt>
                <c:pt idx="31">
                  <c:v>99</c:v>
                </c:pt>
                <c:pt idx="32">
                  <c:v>99</c:v>
                </c:pt>
                <c:pt idx="33">
                  <c:v>99</c:v>
                </c:pt>
                <c:pt idx="34">
                  <c:v>99</c:v>
                </c:pt>
                <c:pt idx="35">
                  <c:v>99</c:v>
                </c:pt>
                <c:pt idx="36">
                  <c:v>99</c:v>
                </c:pt>
                <c:pt idx="37">
                  <c:v>99</c:v>
                </c:pt>
                <c:pt idx="38">
                  <c:v>99</c:v>
                </c:pt>
                <c:pt idx="39">
                  <c:v>99</c:v>
                </c:pt>
                <c:pt idx="40">
                  <c:v>100</c:v>
                </c:pt>
                <c:pt idx="41">
                  <c:v>101</c:v>
                </c:pt>
                <c:pt idx="42">
                  <c:v>100</c:v>
                </c:pt>
                <c:pt idx="43">
                  <c:v>100</c:v>
                </c:pt>
                <c:pt idx="44">
                  <c:v>100</c:v>
                </c:pt>
                <c:pt idx="45">
                  <c:v>100</c:v>
                </c:pt>
                <c:pt idx="46">
                  <c:v>99</c:v>
                </c:pt>
                <c:pt idx="47">
                  <c:v>99</c:v>
                </c:pt>
                <c:pt idx="48">
                  <c:v>99</c:v>
                </c:pt>
                <c:pt idx="49">
                  <c:v>98</c:v>
                </c:pt>
                <c:pt idx="50">
                  <c:v>99</c:v>
                </c:pt>
                <c:pt idx="51">
                  <c:v>100</c:v>
                </c:pt>
                <c:pt idx="52">
                  <c:v>100</c:v>
                </c:pt>
                <c:pt idx="53">
                  <c:v>100</c:v>
                </c:pt>
                <c:pt idx="54">
                  <c:v>100</c:v>
                </c:pt>
                <c:pt idx="55">
                  <c:v>101</c:v>
                </c:pt>
                <c:pt idx="56">
                  <c:v>101</c:v>
                </c:pt>
                <c:pt idx="57">
                  <c:v>100</c:v>
                </c:pt>
                <c:pt idx="58">
                  <c:v>100</c:v>
                </c:pt>
                <c:pt idx="59">
                  <c:v>100</c:v>
                </c:pt>
                <c:pt idx="60">
                  <c:v>100</c:v>
                </c:pt>
                <c:pt idx="61">
                  <c:v>100</c:v>
                </c:pt>
                <c:pt idx="62">
                  <c:v>100</c:v>
                </c:pt>
                <c:pt idx="63">
                  <c:v>100</c:v>
                </c:pt>
                <c:pt idx="64">
                  <c:v>99</c:v>
                </c:pt>
                <c:pt idx="65">
                  <c:v>100</c:v>
                </c:pt>
                <c:pt idx="66">
                  <c:v>100</c:v>
                </c:pt>
                <c:pt idx="67">
                  <c:v>100</c:v>
                </c:pt>
                <c:pt idx="68">
                  <c:v>100</c:v>
                </c:pt>
                <c:pt idx="69">
                  <c:v>100</c:v>
                </c:pt>
                <c:pt idx="70">
                  <c:v>100</c:v>
                </c:pt>
                <c:pt idx="71">
                  <c:v>100</c:v>
                </c:pt>
                <c:pt idx="72">
                  <c:v>100</c:v>
                </c:pt>
                <c:pt idx="73">
                  <c:v>100</c:v>
                </c:pt>
                <c:pt idx="74">
                  <c:v>101</c:v>
                </c:pt>
                <c:pt idx="75">
                  <c:v>101</c:v>
                </c:pt>
                <c:pt idx="76">
                  <c:v>101</c:v>
                </c:pt>
                <c:pt idx="77">
                  <c:v>101</c:v>
                </c:pt>
                <c:pt idx="78">
                  <c:v>101</c:v>
                </c:pt>
                <c:pt idx="79">
                  <c:v>101</c:v>
                </c:pt>
                <c:pt idx="80">
                  <c:v>101</c:v>
                </c:pt>
                <c:pt idx="81">
                  <c:v>102</c:v>
                </c:pt>
                <c:pt idx="82">
                  <c:v>102</c:v>
                </c:pt>
                <c:pt idx="83">
                  <c:v>102</c:v>
                </c:pt>
                <c:pt idx="84">
                  <c:v>102</c:v>
                </c:pt>
                <c:pt idx="85">
                  <c:v>102</c:v>
                </c:pt>
                <c:pt idx="86">
                  <c:v>102</c:v>
                </c:pt>
                <c:pt idx="87">
                  <c:v>102</c:v>
                </c:pt>
                <c:pt idx="88">
                  <c:v>103</c:v>
                </c:pt>
                <c:pt idx="89">
                  <c:v>103</c:v>
                </c:pt>
                <c:pt idx="90">
                  <c:v>102</c:v>
                </c:pt>
                <c:pt idx="91">
                  <c:v>102</c:v>
                </c:pt>
                <c:pt idx="92">
                  <c:v>103</c:v>
                </c:pt>
                <c:pt idx="93">
                  <c:v>102</c:v>
                </c:pt>
                <c:pt idx="94">
                  <c:v>102</c:v>
                </c:pt>
                <c:pt idx="95">
                  <c:v>103</c:v>
                </c:pt>
                <c:pt idx="96">
                  <c:v>103</c:v>
                </c:pt>
                <c:pt idx="97">
                  <c:v>102</c:v>
                </c:pt>
                <c:pt idx="98">
                  <c:v>102</c:v>
                </c:pt>
                <c:pt idx="99">
                  <c:v>102</c:v>
                </c:pt>
                <c:pt idx="100">
                  <c:v>102</c:v>
                </c:pt>
                <c:pt idx="101">
                  <c:v>102</c:v>
                </c:pt>
                <c:pt idx="102">
                  <c:v>102</c:v>
                </c:pt>
                <c:pt idx="103">
                  <c:v>102</c:v>
                </c:pt>
                <c:pt idx="104">
                  <c:v>101</c:v>
                </c:pt>
                <c:pt idx="105">
                  <c:v>102</c:v>
                </c:pt>
                <c:pt idx="106">
                  <c:v>102</c:v>
                </c:pt>
                <c:pt idx="107">
                  <c:v>102</c:v>
                </c:pt>
                <c:pt idx="108">
                  <c:v>102</c:v>
                </c:pt>
                <c:pt idx="109">
                  <c:v>101</c:v>
                </c:pt>
                <c:pt idx="110">
                  <c:v>101</c:v>
                </c:pt>
                <c:pt idx="111">
                  <c:v>100</c:v>
                </c:pt>
                <c:pt idx="112">
                  <c:v>101</c:v>
                </c:pt>
                <c:pt idx="113">
                  <c:v>100</c:v>
                </c:pt>
                <c:pt idx="114">
                  <c:v>101</c:v>
                </c:pt>
                <c:pt idx="115">
                  <c:v>100</c:v>
                </c:pt>
                <c:pt idx="116">
                  <c:v>100</c:v>
                </c:pt>
                <c:pt idx="117">
                  <c:v>100</c:v>
                </c:pt>
                <c:pt idx="118">
                  <c:v>100</c:v>
                </c:pt>
                <c:pt idx="119">
                  <c:v>100</c:v>
                </c:pt>
                <c:pt idx="120">
                  <c:v>100</c:v>
                </c:pt>
                <c:pt idx="121">
                  <c:v>100</c:v>
                </c:pt>
                <c:pt idx="122">
                  <c:v>100</c:v>
                </c:pt>
                <c:pt idx="123">
                  <c:v>101</c:v>
                </c:pt>
                <c:pt idx="124">
                  <c:v>100</c:v>
                </c:pt>
                <c:pt idx="125">
                  <c:v>100</c:v>
                </c:pt>
                <c:pt idx="126">
                  <c:v>100</c:v>
                </c:pt>
                <c:pt idx="127">
                  <c:v>100</c:v>
                </c:pt>
                <c:pt idx="128">
                  <c:v>100</c:v>
                </c:pt>
                <c:pt idx="129">
                  <c:v>100</c:v>
                </c:pt>
                <c:pt idx="130">
                  <c:v>100</c:v>
                </c:pt>
                <c:pt idx="131">
                  <c:v>100</c:v>
                </c:pt>
                <c:pt idx="132">
                  <c:v>100</c:v>
                </c:pt>
                <c:pt idx="133">
                  <c:v>100</c:v>
                </c:pt>
                <c:pt idx="134">
                  <c:v>100</c:v>
                </c:pt>
                <c:pt idx="135">
                  <c:v>101</c:v>
                </c:pt>
                <c:pt idx="136">
                  <c:v>101</c:v>
                </c:pt>
                <c:pt idx="137">
                  <c:v>101</c:v>
                </c:pt>
                <c:pt idx="138">
                  <c:v>101</c:v>
                </c:pt>
                <c:pt idx="139">
                  <c:v>101</c:v>
                </c:pt>
                <c:pt idx="140">
                  <c:v>102</c:v>
                </c:pt>
                <c:pt idx="141">
                  <c:v>102</c:v>
                </c:pt>
                <c:pt idx="142">
                  <c:v>103</c:v>
                </c:pt>
                <c:pt idx="143">
                  <c:v>103</c:v>
                </c:pt>
                <c:pt idx="144">
                  <c:v>103</c:v>
                </c:pt>
                <c:pt idx="145">
                  <c:v>102</c:v>
                </c:pt>
                <c:pt idx="146">
                  <c:v>103</c:v>
                </c:pt>
                <c:pt idx="147">
                  <c:v>103</c:v>
                </c:pt>
                <c:pt idx="148">
                  <c:v>103</c:v>
                </c:pt>
                <c:pt idx="149">
                  <c:v>104</c:v>
                </c:pt>
                <c:pt idx="150">
                  <c:v>103</c:v>
                </c:pt>
                <c:pt idx="151">
                  <c:v>103</c:v>
                </c:pt>
                <c:pt idx="152">
                  <c:v>104</c:v>
                </c:pt>
                <c:pt idx="153">
                  <c:v>104</c:v>
                </c:pt>
                <c:pt idx="154">
                  <c:v>104</c:v>
                </c:pt>
                <c:pt idx="155">
                  <c:v>104</c:v>
                </c:pt>
                <c:pt idx="156">
                  <c:v>105</c:v>
                </c:pt>
                <c:pt idx="157">
                  <c:v>105</c:v>
                </c:pt>
                <c:pt idx="158">
                  <c:v>105</c:v>
                </c:pt>
                <c:pt idx="159">
                  <c:v>105</c:v>
                </c:pt>
                <c:pt idx="160">
                  <c:v>105</c:v>
                </c:pt>
                <c:pt idx="161">
                  <c:v>105</c:v>
                </c:pt>
                <c:pt idx="162">
                  <c:v>106</c:v>
                </c:pt>
                <c:pt idx="163">
                  <c:v>105</c:v>
                </c:pt>
                <c:pt idx="164">
                  <c:v>104</c:v>
                </c:pt>
                <c:pt idx="165">
                  <c:v>104</c:v>
                </c:pt>
                <c:pt idx="166">
                  <c:v>104</c:v>
                </c:pt>
                <c:pt idx="167">
                  <c:v>104</c:v>
                </c:pt>
                <c:pt idx="168">
                  <c:v>104</c:v>
                </c:pt>
                <c:pt idx="169">
                  <c:v>104</c:v>
                </c:pt>
                <c:pt idx="170">
                  <c:v>103</c:v>
                </c:pt>
                <c:pt idx="171">
                  <c:v>103</c:v>
                </c:pt>
                <c:pt idx="172">
                  <c:v>103</c:v>
                </c:pt>
                <c:pt idx="173">
                  <c:v>103</c:v>
                </c:pt>
                <c:pt idx="174">
                  <c:v>104</c:v>
                </c:pt>
                <c:pt idx="175">
                  <c:v>104</c:v>
                </c:pt>
                <c:pt idx="176">
                  <c:v>104</c:v>
                </c:pt>
                <c:pt idx="177">
                  <c:v>104</c:v>
                </c:pt>
                <c:pt idx="178">
                  <c:v>104</c:v>
                </c:pt>
                <c:pt idx="179">
                  <c:v>104</c:v>
                </c:pt>
                <c:pt idx="180">
                  <c:v>104</c:v>
                </c:pt>
                <c:pt idx="181">
                  <c:v>104</c:v>
                </c:pt>
                <c:pt idx="182">
                  <c:v>105</c:v>
                </c:pt>
                <c:pt idx="183">
                  <c:v>105</c:v>
                </c:pt>
                <c:pt idx="184">
                  <c:v>105</c:v>
                </c:pt>
                <c:pt idx="185">
                  <c:v>104</c:v>
                </c:pt>
                <c:pt idx="186">
                  <c:v>104</c:v>
                </c:pt>
                <c:pt idx="187">
                  <c:v>104</c:v>
                </c:pt>
                <c:pt idx="188">
                  <c:v>105</c:v>
                </c:pt>
                <c:pt idx="189">
                  <c:v>104</c:v>
                </c:pt>
                <c:pt idx="190">
                  <c:v>104</c:v>
                </c:pt>
                <c:pt idx="191">
                  <c:v>104</c:v>
                </c:pt>
                <c:pt idx="192">
                  <c:v>104</c:v>
                </c:pt>
                <c:pt idx="193">
                  <c:v>104</c:v>
                </c:pt>
                <c:pt idx="194">
                  <c:v>104</c:v>
                </c:pt>
                <c:pt idx="195">
                  <c:v>103</c:v>
                </c:pt>
                <c:pt idx="196">
                  <c:v>103</c:v>
                </c:pt>
                <c:pt idx="197">
                  <c:v>103</c:v>
                </c:pt>
                <c:pt idx="198">
                  <c:v>103</c:v>
                </c:pt>
                <c:pt idx="199">
                  <c:v>103</c:v>
                </c:pt>
                <c:pt idx="200">
                  <c:v>103</c:v>
                </c:pt>
                <c:pt idx="201">
                  <c:v>103</c:v>
                </c:pt>
                <c:pt idx="202">
                  <c:v>103</c:v>
                </c:pt>
                <c:pt idx="203">
                  <c:v>103</c:v>
                </c:pt>
                <c:pt idx="204">
                  <c:v>103</c:v>
                </c:pt>
                <c:pt idx="205">
                  <c:v>103</c:v>
                </c:pt>
                <c:pt idx="206">
                  <c:v>103</c:v>
                </c:pt>
                <c:pt idx="207">
                  <c:v>103</c:v>
                </c:pt>
                <c:pt idx="208">
                  <c:v>103</c:v>
                </c:pt>
                <c:pt idx="209">
                  <c:v>103</c:v>
                </c:pt>
                <c:pt idx="210">
                  <c:v>103</c:v>
                </c:pt>
                <c:pt idx="211">
                  <c:v>104</c:v>
                </c:pt>
                <c:pt idx="212">
                  <c:v>104</c:v>
                </c:pt>
                <c:pt idx="213">
                  <c:v>105</c:v>
                </c:pt>
                <c:pt idx="214">
                  <c:v>105</c:v>
                </c:pt>
                <c:pt idx="215">
                  <c:v>105</c:v>
                </c:pt>
                <c:pt idx="216">
                  <c:v>104</c:v>
                </c:pt>
                <c:pt idx="217">
                  <c:v>105</c:v>
                </c:pt>
                <c:pt idx="218">
                  <c:v>105</c:v>
                </c:pt>
                <c:pt idx="219">
                  <c:v>105</c:v>
                </c:pt>
                <c:pt idx="220">
                  <c:v>105</c:v>
                </c:pt>
                <c:pt idx="221">
                  <c:v>105</c:v>
                </c:pt>
                <c:pt idx="222">
                  <c:v>105</c:v>
                </c:pt>
                <c:pt idx="223">
                  <c:v>105</c:v>
                </c:pt>
                <c:pt idx="224">
                  <c:v>106</c:v>
                </c:pt>
                <c:pt idx="225">
                  <c:v>106</c:v>
                </c:pt>
                <c:pt idx="226">
                  <c:v>105</c:v>
                </c:pt>
                <c:pt idx="227">
                  <c:v>105</c:v>
                </c:pt>
                <c:pt idx="228">
                  <c:v>105</c:v>
                </c:pt>
                <c:pt idx="229">
                  <c:v>105</c:v>
                </c:pt>
                <c:pt idx="230">
                  <c:v>104</c:v>
                </c:pt>
                <c:pt idx="231">
                  <c:v>104</c:v>
                </c:pt>
                <c:pt idx="232">
                  <c:v>104</c:v>
                </c:pt>
                <c:pt idx="233">
                  <c:v>104</c:v>
                </c:pt>
                <c:pt idx="234">
                  <c:v>104</c:v>
                </c:pt>
                <c:pt idx="235">
                  <c:v>103</c:v>
                </c:pt>
                <c:pt idx="236">
                  <c:v>103</c:v>
                </c:pt>
                <c:pt idx="237">
                  <c:v>103</c:v>
                </c:pt>
                <c:pt idx="238">
                  <c:v>103</c:v>
                </c:pt>
                <c:pt idx="239">
                  <c:v>103</c:v>
                </c:pt>
                <c:pt idx="240">
                  <c:v>103</c:v>
                </c:pt>
                <c:pt idx="241">
                  <c:v>103</c:v>
                </c:pt>
                <c:pt idx="242">
                  <c:v>103</c:v>
                </c:pt>
                <c:pt idx="243">
                  <c:v>103</c:v>
                </c:pt>
                <c:pt idx="244">
                  <c:v>103</c:v>
                </c:pt>
                <c:pt idx="245">
                  <c:v>103</c:v>
                </c:pt>
                <c:pt idx="246">
                  <c:v>103</c:v>
                </c:pt>
                <c:pt idx="247">
                  <c:v>103</c:v>
                </c:pt>
                <c:pt idx="248">
                  <c:v>103</c:v>
                </c:pt>
                <c:pt idx="249">
                  <c:v>103</c:v>
                </c:pt>
                <c:pt idx="250">
                  <c:v>103</c:v>
                </c:pt>
                <c:pt idx="251">
                  <c:v>103</c:v>
                </c:pt>
                <c:pt idx="252">
                  <c:v>103</c:v>
                </c:pt>
                <c:pt idx="253">
                  <c:v>103</c:v>
                </c:pt>
                <c:pt idx="254">
                  <c:v>103</c:v>
                </c:pt>
                <c:pt idx="255">
                  <c:v>103</c:v>
                </c:pt>
                <c:pt idx="256">
                  <c:v>104</c:v>
                </c:pt>
                <c:pt idx="257">
                  <c:v>103</c:v>
                </c:pt>
                <c:pt idx="258">
                  <c:v>104</c:v>
                </c:pt>
                <c:pt idx="259">
                  <c:v>104</c:v>
                </c:pt>
                <c:pt idx="260">
                  <c:v>105</c:v>
                </c:pt>
                <c:pt idx="261">
                  <c:v>105</c:v>
                </c:pt>
                <c:pt idx="262">
                  <c:v>105</c:v>
                </c:pt>
                <c:pt idx="263">
                  <c:v>105</c:v>
                </c:pt>
                <c:pt idx="264">
                  <c:v>105</c:v>
                </c:pt>
                <c:pt idx="265">
                  <c:v>105</c:v>
                </c:pt>
                <c:pt idx="266">
                  <c:v>106</c:v>
                </c:pt>
                <c:pt idx="267">
                  <c:v>106</c:v>
                </c:pt>
                <c:pt idx="268">
                  <c:v>105</c:v>
                </c:pt>
                <c:pt idx="269">
                  <c:v>106</c:v>
                </c:pt>
                <c:pt idx="270">
                  <c:v>106</c:v>
                </c:pt>
                <c:pt idx="271">
                  <c:v>105</c:v>
                </c:pt>
                <c:pt idx="272">
                  <c:v>106</c:v>
                </c:pt>
                <c:pt idx="273">
                  <c:v>106</c:v>
                </c:pt>
                <c:pt idx="274">
                  <c:v>106</c:v>
                </c:pt>
                <c:pt idx="275">
                  <c:v>107</c:v>
                </c:pt>
                <c:pt idx="276">
                  <c:v>107</c:v>
                </c:pt>
                <c:pt idx="277">
                  <c:v>107</c:v>
                </c:pt>
                <c:pt idx="278">
                  <c:v>107</c:v>
                </c:pt>
                <c:pt idx="279">
                  <c:v>108</c:v>
                </c:pt>
                <c:pt idx="280">
                  <c:v>108</c:v>
                </c:pt>
                <c:pt idx="281">
                  <c:v>108</c:v>
                </c:pt>
                <c:pt idx="282">
                  <c:v>108</c:v>
                </c:pt>
                <c:pt idx="283">
                  <c:v>107</c:v>
                </c:pt>
                <c:pt idx="284">
                  <c:v>108</c:v>
                </c:pt>
                <c:pt idx="285">
                  <c:v>109</c:v>
                </c:pt>
                <c:pt idx="286">
                  <c:v>109</c:v>
                </c:pt>
                <c:pt idx="287">
                  <c:v>111</c:v>
                </c:pt>
                <c:pt idx="288">
                  <c:v>110</c:v>
                </c:pt>
                <c:pt idx="289">
                  <c:v>112</c:v>
                </c:pt>
                <c:pt idx="290">
                  <c:v>113</c:v>
                </c:pt>
                <c:pt idx="291">
                  <c:v>113</c:v>
                </c:pt>
                <c:pt idx="292">
                  <c:v>114</c:v>
                </c:pt>
                <c:pt idx="293">
                  <c:v>115</c:v>
                </c:pt>
                <c:pt idx="294">
                  <c:v>119</c:v>
                </c:pt>
                <c:pt idx="295">
                  <c:v>118</c:v>
                </c:pt>
                <c:pt idx="296">
                  <c:v>118</c:v>
                </c:pt>
                <c:pt idx="297">
                  <c:v>119</c:v>
                </c:pt>
                <c:pt idx="298">
                  <c:v>118</c:v>
                </c:pt>
                <c:pt idx="299">
                  <c:v>117</c:v>
                </c:pt>
                <c:pt idx="300">
                  <c:v>116</c:v>
                </c:pt>
                <c:pt idx="301">
                  <c:v>117</c:v>
                </c:pt>
                <c:pt idx="302">
                  <c:v>118</c:v>
                </c:pt>
                <c:pt idx="303">
                  <c:v>118</c:v>
                </c:pt>
                <c:pt idx="304">
                  <c:v>119</c:v>
                </c:pt>
                <c:pt idx="305">
                  <c:v>119</c:v>
                </c:pt>
                <c:pt idx="306">
                  <c:v>120</c:v>
                </c:pt>
                <c:pt idx="307">
                  <c:v>119</c:v>
                </c:pt>
                <c:pt idx="308">
                  <c:v>119</c:v>
                </c:pt>
                <c:pt idx="309">
                  <c:v>118</c:v>
                </c:pt>
                <c:pt idx="310">
                  <c:v>117</c:v>
                </c:pt>
                <c:pt idx="311">
                  <c:v>117</c:v>
                </c:pt>
                <c:pt idx="312">
                  <c:v>117</c:v>
                </c:pt>
                <c:pt idx="313">
                  <c:v>119</c:v>
                </c:pt>
                <c:pt idx="314">
                  <c:v>118</c:v>
                </c:pt>
                <c:pt idx="315">
                  <c:v>118</c:v>
                </c:pt>
                <c:pt idx="316">
                  <c:v>119</c:v>
                </c:pt>
                <c:pt idx="317">
                  <c:v>120</c:v>
                </c:pt>
                <c:pt idx="318">
                  <c:v>120</c:v>
                </c:pt>
                <c:pt idx="319">
                  <c:v>120</c:v>
                </c:pt>
                <c:pt idx="320">
                  <c:v>120</c:v>
                </c:pt>
                <c:pt idx="321">
                  <c:v>119</c:v>
                </c:pt>
                <c:pt idx="322">
                  <c:v>118</c:v>
                </c:pt>
                <c:pt idx="323">
                  <c:v>119</c:v>
                </c:pt>
                <c:pt idx="324">
                  <c:v>119</c:v>
                </c:pt>
                <c:pt idx="325">
                  <c:v>119</c:v>
                </c:pt>
                <c:pt idx="326">
                  <c:v>119</c:v>
                </c:pt>
                <c:pt idx="327">
                  <c:v>120</c:v>
                </c:pt>
                <c:pt idx="328">
                  <c:v>120</c:v>
                </c:pt>
                <c:pt idx="329">
                  <c:v>119</c:v>
                </c:pt>
                <c:pt idx="330">
                  <c:v>119</c:v>
                </c:pt>
                <c:pt idx="331">
                  <c:v>119</c:v>
                </c:pt>
                <c:pt idx="332">
                  <c:v>120</c:v>
                </c:pt>
                <c:pt idx="333">
                  <c:v>119</c:v>
                </c:pt>
                <c:pt idx="334">
                  <c:v>120</c:v>
                </c:pt>
                <c:pt idx="335">
                  <c:v>118</c:v>
                </c:pt>
                <c:pt idx="336">
                  <c:v>118</c:v>
                </c:pt>
                <c:pt idx="337">
                  <c:v>117</c:v>
                </c:pt>
                <c:pt idx="338">
                  <c:v>117</c:v>
                </c:pt>
                <c:pt idx="339">
                  <c:v>117</c:v>
                </c:pt>
                <c:pt idx="340">
                  <c:v>115</c:v>
                </c:pt>
                <c:pt idx="341">
                  <c:v>116</c:v>
                </c:pt>
                <c:pt idx="342">
                  <c:v>115</c:v>
                </c:pt>
                <c:pt idx="343">
                  <c:v>113</c:v>
                </c:pt>
                <c:pt idx="344">
                  <c:v>113</c:v>
                </c:pt>
                <c:pt idx="345">
                  <c:v>113</c:v>
                </c:pt>
                <c:pt idx="346">
                  <c:v>112</c:v>
                </c:pt>
                <c:pt idx="347">
                  <c:v>112</c:v>
                </c:pt>
                <c:pt idx="348">
                  <c:v>112</c:v>
                </c:pt>
                <c:pt idx="349">
                  <c:v>112</c:v>
                </c:pt>
                <c:pt idx="350">
                  <c:v>114</c:v>
                </c:pt>
                <c:pt idx="351">
                  <c:v>114</c:v>
                </c:pt>
                <c:pt idx="352">
                  <c:v>113</c:v>
                </c:pt>
                <c:pt idx="353">
                  <c:v>114</c:v>
                </c:pt>
                <c:pt idx="354">
                  <c:v>114</c:v>
                </c:pt>
                <c:pt idx="355">
                  <c:v>115</c:v>
                </c:pt>
                <c:pt idx="356">
                  <c:v>115</c:v>
                </c:pt>
                <c:pt idx="357">
                  <c:v>115</c:v>
                </c:pt>
                <c:pt idx="358">
                  <c:v>114</c:v>
                </c:pt>
                <c:pt idx="359">
                  <c:v>115</c:v>
                </c:pt>
                <c:pt idx="360">
                  <c:v>115</c:v>
                </c:pt>
                <c:pt idx="361">
                  <c:v>116</c:v>
                </c:pt>
                <c:pt idx="362">
                  <c:v>116</c:v>
                </c:pt>
                <c:pt idx="363">
                  <c:v>116</c:v>
                </c:pt>
                <c:pt idx="364">
                  <c:v>115</c:v>
                </c:pt>
                <c:pt idx="365">
                  <c:v>115</c:v>
                </c:pt>
                <c:pt idx="366">
                  <c:v>115</c:v>
                </c:pt>
                <c:pt idx="367">
                  <c:v>115</c:v>
                </c:pt>
                <c:pt idx="368">
                  <c:v>115</c:v>
                </c:pt>
                <c:pt idx="369">
                  <c:v>115</c:v>
                </c:pt>
                <c:pt idx="370">
                  <c:v>115</c:v>
                </c:pt>
                <c:pt idx="371">
                  <c:v>114</c:v>
                </c:pt>
                <c:pt idx="372">
                  <c:v>115</c:v>
                </c:pt>
                <c:pt idx="373">
                  <c:v>114</c:v>
                </c:pt>
                <c:pt idx="374">
                  <c:v>114</c:v>
                </c:pt>
                <c:pt idx="375">
                  <c:v>114</c:v>
                </c:pt>
                <c:pt idx="376">
                  <c:v>114</c:v>
                </c:pt>
                <c:pt idx="377">
                  <c:v>114</c:v>
                </c:pt>
                <c:pt idx="378">
                  <c:v>113</c:v>
                </c:pt>
                <c:pt idx="379">
                  <c:v>113</c:v>
                </c:pt>
                <c:pt idx="380">
                  <c:v>113</c:v>
                </c:pt>
                <c:pt idx="381">
                  <c:v>113</c:v>
                </c:pt>
                <c:pt idx="382">
                  <c:v>113</c:v>
                </c:pt>
                <c:pt idx="383">
                  <c:v>113</c:v>
                </c:pt>
                <c:pt idx="384">
                  <c:v>113</c:v>
                </c:pt>
                <c:pt idx="385">
                  <c:v>113</c:v>
                </c:pt>
                <c:pt idx="386">
                  <c:v>113</c:v>
                </c:pt>
                <c:pt idx="387">
                  <c:v>114</c:v>
                </c:pt>
                <c:pt idx="388">
                  <c:v>114</c:v>
                </c:pt>
                <c:pt idx="389">
                  <c:v>114</c:v>
                </c:pt>
                <c:pt idx="390">
                  <c:v>115</c:v>
                </c:pt>
                <c:pt idx="391">
                  <c:v>115</c:v>
                </c:pt>
                <c:pt idx="392">
                  <c:v>115</c:v>
                </c:pt>
                <c:pt idx="393">
                  <c:v>116</c:v>
                </c:pt>
                <c:pt idx="394">
                  <c:v>116</c:v>
                </c:pt>
                <c:pt idx="395">
                  <c:v>116</c:v>
                </c:pt>
                <c:pt idx="396">
                  <c:v>116</c:v>
                </c:pt>
                <c:pt idx="397">
                  <c:v>116</c:v>
                </c:pt>
                <c:pt idx="398">
                  <c:v>116</c:v>
                </c:pt>
                <c:pt idx="399">
                  <c:v>116</c:v>
                </c:pt>
                <c:pt idx="400">
                  <c:v>116</c:v>
                </c:pt>
                <c:pt idx="401">
                  <c:v>116</c:v>
                </c:pt>
                <c:pt idx="402">
                  <c:v>116</c:v>
                </c:pt>
                <c:pt idx="403">
                  <c:v>116</c:v>
                </c:pt>
                <c:pt idx="404">
                  <c:v>116</c:v>
                </c:pt>
                <c:pt idx="405">
                  <c:v>116</c:v>
                </c:pt>
                <c:pt idx="406">
                  <c:v>118</c:v>
                </c:pt>
                <c:pt idx="407">
                  <c:v>117</c:v>
                </c:pt>
                <c:pt idx="408">
                  <c:v>118</c:v>
                </c:pt>
                <c:pt idx="409">
                  <c:v>117</c:v>
                </c:pt>
                <c:pt idx="410">
                  <c:v>117</c:v>
                </c:pt>
                <c:pt idx="411">
                  <c:v>117</c:v>
                </c:pt>
                <c:pt idx="412">
                  <c:v>117</c:v>
                </c:pt>
                <c:pt idx="413">
                  <c:v>116</c:v>
                </c:pt>
                <c:pt idx="414">
                  <c:v>118</c:v>
                </c:pt>
                <c:pt idx="415">
                  <c:v>117</c:v>
                </c:pt>
                <c:pt idx="416">
                  <c:v>117</c:v>
                </c:pt>
                <c:pt idx="417">
                  <c:v>118</c:v>
                </c:pt>
                <c:pt idx="418">
                  <c:v>118</c:v>
                </c:pt>
                <c:pt idx="419">
                  <c:v>118</c:v>
                </c:pt>
                <c:pt idx="420">
                  <c:v>118</c:v>
                </c:pt>
                <c:pt idx="421">
                  <c:v>118</c:v>
                </c:pt>
                <c:pt idx="422">
                  <c:v>116</c:v>
                </c:pt>
                <c:pt idx="423">
                  <c:v>115</c:v>
                </c:pt>
                <c:pt idx="424">
                  <c:v>115</c:v>
                </c:pt>
                <c:pt idx="425">
                  <c:v>115</c:v>
                </c:pt>
                <c:pt idx="426">
                  <c:v>114</c:v>
                </c:pt>
                <c:pt idx="427">
                  <c:v>114</c:v>
                </c:pt>
                <c:pt idx="428">
                  <c:v>115</c:v>
                </c:pt>
                <c:pt idx="429">
                  <c:v>115</c:v>
                </c:pt>
                <c:pt idx="430">
                  <c:v>116</c:v>
                </c:pt>
                <c:pt idx="431">
                  <c:v>116</c:v>
                </c:pt>
                <c:pt idx="432">
                  <c:v>115</c:v>
                </c:pt>
                <c:pt idx="433">
                  <c:v>116</c:v>
                </c:pt>
                <c:pt idx="434">
                  <c:v>116</c:v>
                </c:pt>
                <c:pt idx="435">
                  <c:v>117</c:v>
                </c:pt>
                <c:pt idx="436">
                  <c:v>116</c:v>
                </c:pt>
                <c:pt idx="437">
                  <c:v>116</c:v>
                </c:pt>
                <c:pt idx="438">
                  <c:v>116</c:v>
                </c:pt>
                <c:pt idx="439">
                  <c:v>115</c:v>
                </c:pt>
                <c:pt idx="440">
                  <c:v>116</c:v>
                </c:pt>
                <c:pt idx="441">
                  <c:v>116</c:v>
                </c:pt>
                <c:pt idx="442">
                  <c:v>116</c:v>
                </c:pt>
                <c:pt idx="443">
                  <c:v>116</c:v>
                </c:pt>
                <c:pt idx="444">
                  <c:v>116</c:v>
                </c:pt>
                <c:pt idx="445">
                  <c:v>117</c:v>
                </c:pt>
                <c:pt idx="446">
                  <c:v>116</c:v>
                </c:pt>
                <c:pt idx="447">
                  <c:v>116</c:v>
                </c:pt>
                <c:pt idx="448">
                  <c:v>115</c:v>
                </c:pt>
                <c:pt idx="449">
                  <c:v>115</c:v>
                </c:pt>
                <c:pt idx="450">
                  <c:v>115</c:v>
                </c:pt>
                <c:pt idx="451">
                  <c:v>115</c:v>
                </c:pt>
                <c:pt idx="452">
                  <c:v>115</c:v>
                </c:pt>
                <c:pt idx="453" formatCode="0.000">
                  <c:v>114.667</c:v>
                </c:pt>
                <c:pt idx="454" formatCode="0.000">
                  <c:v>113.428</c:v>
                </c:pt>
                <c:pt idx="455" formatCode="0.000">
                  <c:v>112.524</c:v>
                </c:pt>
                <c:pt idx="456" formatCode="0.000">
                  <c:v>111.875</c:v>
                </c:pt>
                <c:pt idx="457" formatCode="0.000">
                  <c:v>111.367</c:v>
                </c:pt>
                <c:pt idx="458" formatCode="0.000">
                  <c:v>111.248</c:v>
                </c:pt>
                <c:pt idx="459" formatCode="0.000">
                  <c:v>111.30500000000001</c:v>
                </c:pt>
                <c:pt idx="460" formatCode="0.000">
                  <c:v>111.497</c:v>
                </c:pt>
                <c:pt idx="461" formatCode="0.000">
                  <c:v>111.248</c:v>
                </c:pt>
                <c:pt idx="462" formatCode="0.000">
                  <c:v>110.834</c:v>
                </c:pt>
                <c:pt idx="463" formatCode="0.000">
                  <c:v>110.66</c:v>
                </c:pt>
                <c:pt idx="464" formatCode="0.000">
                  <c:v>110.607</c:v>
                </c:pt>
                <c:pt idx="465" formatCode="0.000">
                  <c:v>110.19199999999999</c:v>
                </c:pt>
                <c:pt idx="466" formatCode="0.000">
                  <c:v>110.509</c:v>
                </c:pt>
                <c:pt idx="467" formatCode="0.000">
                  <c:v>111.071</c:v>
                </c:pt>
                <c:pt idx="468" formatCode="0.000">
                  <c:v>110.786</c:v>
                </c:pt>
                <c:pt idx="469" formatCode="0.000">
                  <c:v>110.294</c:v>
                </c:pt>
                <c:pt idx="470" formatCode="0.000">
                  <c:v>110.325</c:v>
                </c:pt>
                <c:pt idx="471" formatCode="0.000">
                  <c:v>110.49</c:v>
                </c:pt>
                <c:pt idx="472" formatCode="0.000">
                  <c:v>110.48399999999999</c:v>
                </c:pt>
                <c:pt idx="473" formatCode="0.000">
                  <c:v>109.703</c:v>
                </c:pt>
                <c:pt idx="474" formatCode="0.000">
                  <c:v>109.752</c:v>
                </c:pt>
                <c:pt idx="475" formatCode="0.000">
                  <c:v>108.913</c:v>
                </c:pt>
                <c:pt idx="476" formatCode="0.000">
                  <c:v>108.839</c:v>
                </c:pt>
                <c:pt idx="477" formatCode="0.000">
                  <c:v>108.73399999999999</c:v>
                </c:pt>
                <c:pt idx="478" formatCode="0.000">
                  <c:v>108.42</c:v>
                </c:pt>
                <c:pt idx="479" formatCode="0.000">
                  <c:v>108.715</c:v>
                </c:pt>
                <c:pt idx="480" formatCode="0.000">
                  <c:v>108.273</c:v>
                </c:pt>
                <c:pt idx="481" formatCode="0.000">
                  <c:v>108.52</c:v>
                </c:pt>
                <c:pt idx="482" formatCode="0.000">
                  <c:v>108.715</c:v>
                </c:pt>
                <c:pt idx="483" formatCode="0.000">
                  <c:v>108.224</c:v>
                </c:pt>
                <c:pt idx="484" formatCode="0.000">
                  <c:v>107.931</c:v>
                </c:pt>
                <c:pt idx="485" formatCode="0.000">
                  <c:v>107.571</c:v>
                </c:pt>
                <c:pt idx="486" formatCode="0.000">
                  <c:v>107.601</c:v>
                </c:pt>
                <c:pt idx="487" formatCode="0.000">
                  <c:v>108.282</c:v>
                </c:pt>
                <c:pt idx="488" formatCode="0.000">
                  <c:v>108.492</c:v>
                </c:pt>
                <c:pt idx="489" formatCode="0.000">
                  <c:v>108.124</c:v>
                </c:pt>
                <c:pt idx="490" formatCode="0.000">
                  <c:v>107.941</c:v>
                </c:pt>
                <c:pt idx="491" formatCode="0.000">
                  <c:v>107.83</c:v>
                </c:pt>
                <c:pt idx="492" formatCode="0.000">
                  <c:v>107.767</c:v>
                </c:pt>
                <c:pt idx="493" formatCode="0.000">
                  <c:v>107.453</c:v>
                </c:pt>
                <c:pt idx="494" formatCode="0.000">
                  <c:v>107.38200000000001</c:v>
                </c:pt>
                <c:pt idx="495" formatCode="0.000">
                  <c:v>108.265</c:v>
                </c:pt>
                <c:pt idx="496" formatCode="0.000">
                  <c:v>109.163</c:v>
                </c:pt>
                <c:pt idx="497" formatCode="0.000">
                  <c:v>108.05500000000001</c:v>
                </c:pt>
                <c:pt idx="498" formatCode="0.000">
                  <c:v>108.36499999999999</c:v>
                </c:pt>
                <c:pt idx="499" formatCode="0.000">
                  <c:v>107.657</c:v>
                </c:pt>
                <c:pt idx="500" formatCode="0.000">
                  <c:v>108.425</c:v>
                </c:pt>
                <c:pt idx="501" formatCode="0.000">
                  <c:v>108.282</c:v>
                </c:pt>
                <c:pt idx="502" formatCode="0.000">
                  <c:v>108.175</c:v>
                </c:pt>
                <c:pt idx="503" formatCode="0.000">
                  <c:v>107.51900000000001</c:v>
                </c:pt>
                <c:pt idx="504" formatCode="0.000">
                  <c:v>107.8</c:v>
                </c:pt>
                <c:pt idx="505" formatCode="0.000">
                  <c:v>108.732</c:v>
                </c:pt>
                <c:pt idx="506" formatCode="0.000">
                  <c:v>109.136</c:v>
                </c:pt>
                <c:pt idx="507" formatCode="0.000">
                  <c:v>108.476</c:v>
                </c:pt>
                <c:pt idx="508" formatCode="0.000">
                  <c:v>109.389</c:v>
                </c:pt>
                <c:pt idx="509" formatCode="0.000">
                  <c:v>109.119</c:v>
                </c:pt>
                <c:pt idx="510" formatCode="0.000">
                  <c:v>108.675</c:v>
                </c:pt>
                <c:pt idx="511" formatCode="0.000">
                  <c:v>108.373</c:v>
                </c:pt>
                <c:pt idx="512" formatCode="0.000">
                  <c:v>108.435</c:v>
                </c:pt>
                <c:pt idx="513" formatCode="0.000">
                  <c:v>108.816</c:v>
                </c:pt>
                <c:pt idx="514" formatCode="0.000">
                  <c:v>108.1</c:v>
                </c:pt>
                <c:pt idx="515" formatCode="0.000">
                  <c:v>107.898</c:v>
                </c:pt>
                <c:pt idx="516" formatCode="0.000">
                  <c:v>107.715</c:v>
                </c:pt>
                <c:pt idx="517" formatCode="0.000">
                  <c:v>107.514</c:v>
                </c:pt>
                <c:pt idx="518" formatCode="0.000">
                  <c:v>107.40600000000001</c:v>
                </c:pt>
                <c:pt idx="519" formatCode="0.000">
                  <c:v>107.206</c:v>
                </c:pt>
                <c:pt idx="520" formatCode="0.000">
                  <c:v>106.864</c:v>
                </c:pt>
                <c:pt idx="521" formatCode="0.000">
                  <c:v>107.49299999999999</c:v>
                </c:pt>
                <c:pt idx="522" formatCode="0.000">
                  <c:v>107.46</c:v>
                </c:pt>
                <c:pt idx="523" formatCode="0.000">
                  <c:v>107.53400000000001</c:v>
                </c:pt>
                <c:pt idx="524" formatCode="0.000">
                  <c:v>107.41</c:v>
                </c:pt>
                <c:pt idx="525" formatCode="0.000">
                  <c:v>107.666</c:v>
                </c:pt>
                <c:pt idx="526" formatCode="0.000">
                  <c:v>107.491</c:v>
                </c:pt>
                <c:pt idx="527" formatCode="0.000">
                  <c:v>107.29</c:v>
                </c:pt>
                <c:pt idx="528" formatCode="0.000">
                  <c:v>109.29900000000001</c:v>
                </c:pt>
                <c:pt idx="529" formatCode="0.000">
                  <c:v>109.71899999999999</c:v>
                </c:pt>
                <c:pt idx="530" formatCode="0.000">
                  <c:v>109.568</c:v>
                </c:pt>
                <c:pt idx="531" formatCode="0.000">
                  <c:v>109.42</c:v>
                </c:pt>
                <c:pt idx="532" formatCode="0.000">
                  <c:v>109.73399999999999</c:v>
                </c:pt>
                <c:pt idx="533" formatCode="0.000">
                  <c:v>110.447</c:v>
                </c:pt>
                <c:pt idx="534" formatCode="0.000">
                  <c:v>110.934</c:v>
                </c:pt>
                <c:pt idx="535" formatCode="0.000">
                  <c:v>111.22199999999999</c:v>
                </c:pt>
                <c:pt idx="536" formatCode="0.000">
                  <c:v>110.062</c:v>
                </c:pt>
                <c:pt idx="537" formatCode="0.000">
                  <c:v>109.18</c:v>
                </c:pt>
                <c:pt idx="538" formatCode="0.000">
                  <c:v>109.624</c:v>
                </c:pt>
                <c:pt idx="539" formatCode="0.000">
                  <c:v>109.551</c:v>
                </c:pt>
                <c:pt idx="540" formatCode="0.000">
                  <c:v>109.705</c:v>
                </c:pt>
                <c:pt idx="541" formatCode="0.000">
                  <c:v>109.14400000000001</c:v>
                </c:pt>
                <c:pt idx="542" formatCode="0.000">
                  <c:v>109.249</c:v>
                </c:pt>
                <c:pt idx="543" formatCode="0.000">
                  <c:v>108.72499999999999</c:v>
                </c:pt>
                <c:pt idx="544" formatCode="0.000">
                  <c:v>109.742</c:v>
                </c:pt>
                <c:pt idx="545" formatCode="0.000">
                  <c:v>110.46599999999999</c:v>
                </c:pt>
                <c:pt idx="546" formatCode="0.000">
                  <c:v>110.893</c:v>
                </c:pt>
                <c:pt idx="547" formatCode="0.000">
                  <c:v>110.81399999999999</c:v>
                </c:pt>
                <c:pt idx="548" formatCode="0.000">
                  <c:v>111.194</c:v>
                </c:pt>
                <c:pt idx="549" formatCode="0.000">
                  <c:v>111.51900000000001</c:v>
                </c:pt>
                <c:pt idx="550" formatCode="0.000">
                  <c:v>111.733</c:v>
                </c:pt>
                <c:pt idx="551" formatCode="0.000">
                  <c:v>110.92100000000001</c:v>
                </c:pt>
                <c:pt idx="552" formatCode="0.000">
                  <c:v>110.645</c:v>
                </c:pt>
                <c:pt idx="553" formatCode="0.000">
                  <c:v>110.788</c:v>
                </c:pt>
                <c:pt idx="554" formatCode="0.000">
                  <c:v>110.56</c:v>
                </c:pt>
                <c:pt idx="555" formatCode="0.000">
                  <c:v>110.253</c:v>
                </c:pt>
                <c:pt idx="556" formatCode="0.000">
                  <c:v>110.37</c:v>
                </c:pt>
                <c:pt idx="557" formatCode="0.000">
                  <c:v>110.12</c:v>
                </c:pt>
                <c:pt idx="558" formatCode="0.000">
                  <c:v>110.556</c:v>
                </c:pt>
                <c:pt idx="559" formatCode="0.000">
                  <c:v>110.753</c:v>
                </c:pt>
                <c:pt idx="560" formatCode="0.000">
                  <c:v>110.265</c:v>
                </c:pt>
                <c:pt idx="561" formatCode="0.000">
                  <c:v>110.035</c:v>
                </c:pt>
                <c:pt idx="562" formatCode="0.000">
                  <c:v>109.48</c:v>
                </c:pt>
                <c:pt idx="563" formatCode="0.000">
                  <c:v>109.447</c:v>
                </c:pt>
                <c:pt idx="564" formatCode="0.000">
                  <c:v>109.098</c:v>
                </c:pt>
                <c:pt idx="565" formatCode="0.000">
                  <c:v>109.539</c:v>
                </c:pt>
                <c:pt idx="566" formatCode="0.000">
                  <c:v>109.518</c:v>
                </c:pt>
                <c:pt idx="567" formatCode="0.000">
                  <c:v>109.43899999999999</c:v>
                </c:pt>
                <c:pt idx="568" formatCode="0.000">
                  <c:v>109.449</c:v>
                </c:pt>
                <c:pt idx="569" formatCode="0.000">
                  <c:v>109.149</c:v>
                </c:pt>
                <c:pt idx="570" formatCode="0.000">
                  <c:v>109.172</c:v>
                </c:pt>
                <c:pt idx="571" formatCode="0.000">
                  <c:v>108.405</c:v>
                </c:pt>
                <c:pt idx="572" formatCode="0.000">
                  <c:v>108.749</c:v>
                </c:pt>
                <c:pt idx="573" formatCode="0.000">
                  <c:v>109.533</c:v>
                </c:pt>
                <c:pt idx="574" formatCode="0.000">
                  <c:v>109.18</c:v>
                </c:pt>
                <c:pt idx="575" formatCode="0.000">
                  <c:v>109.27</c:v>
                </c:pt>
                <c:pt idx="576" formatCode="0.000">
                  <c:v>109.19199999999999</c:v>
                </c:pt>
                <c:pt idx="577" formatCode="0.000">
                  <c:v>108.395</c:v>
                </c:pt>
                <c:pt idx="578" formatCode="0.000">
                  <c:v>107.627</c:v>
                </c:pt>
                <c:pt idx="579" formatCode="0.000">
                  <c:v>107.86799999999999</c:v>
                </c:pt>
                <c:pt idx="580" formatCode="0.000">
                  <c:v>108.11499999999999</c:v>
                </c:pt>
                <c:pt idx="581" formatCode="0.000">
                  <c:v>108.673</c:v>
                </c:pt>
                <c:pt idx="582" formatCode="0.000">
                  <c:v>108.556</c:v>
                </c:pt>
                <c:pt idx="583" formatCode="0.000">
                  <c:v>108.119</c:v>
                </c:pt>
                <c:pt idx="584" formatCode="0.000">
                  <c:v>107.92</c:v>
                </c:pt>
                <c:pt idx="585" formatCode="0.000">
                  <c:v>107.81</c:v>
                </c:pt>
                <c:pt idx="586" formatCode="0.000">
                  <c:v>108.256</c:v>
                </c:pt>
                <c:pt idx="587" formatCode="0.000">
                  <c:v>108.036</c:v>
                </c:pt>
                <c:pt idx="588" formatCode="0.000">
                  <c:v>108.038</c:v>
                </c:pt>
                <c:pt idx="589">
                  <c:v>107.98</c:v>
                </c:pt>
                <c:pt idx="590">
                  <c:v>107.73</c:v>
                </c:pt>
                <c:pt idx="591">
                  <c:v>107.464</c:v>
                </c:pt>
                <c:pt idx="592">
                  <c:v>107.75</c:v>
                </c:pt>
                <c:pt idx="593">
                  <c:v>107.136</c:v>
                </c:pt>
                <c:pt idx="594">
                  <c:v>107.675</c:v>
                </c:pt>
                <c:pt idx="595">
                  <c:v>107.11199999999999</c:v>
                </c:pt>
                <c:pt idx="596">
                  <c:v>106.971</c:v>
                </c:pt>
                <c:pt idx="597">
                  <c:v>106.93600000000001</c:v>
                </c:pt>
                <c:pt idx="598">
                  <c:v>107.063</c:v>
                </c:pt>
                <c:pt idx="599">
                  <c:v>106.672</c:v>
                </c:pt>
                <c:pt idx="600">
                  <c:v>107.24</c:v>
                </c:pt>
                <c:pt idx="601">
                  <c:v>107.325</c:v>
                </c:pt>
                <c:pt idx="602">
                  <c:v>107.60899999999999</c:v>
                </c:pt>
                <c:pt idx="603">
                  <c:v>108.422</c:v>
                </c:pt>
                <c:pt idx="604">
                  <c:v>108.974</c:v>
                </c:pt>
                <c:pt idx="605">
                  <c:v>109.8</c:v>
                </c:pt>
                <c:pt idx="606">
                  <c:v>109.48099999999999</c:v>
                </c:pt>
                <c:pt idx="607">
                  <c:v>109.033</c:v>
                </c:pt>
                <c:pt idx="608">
                  <c:v>108.71899999999999</c:v>
                </c:pt>
                <c:pt idx="609">
                  <c:v>108.27500000000001</c:v>
                </c:pt>
                <c:pt idx="610">
                  <c:v>108.282</c:v>
                </c:pt>
                <c:pt idx="611">
                  <c:v>108.371</c:v>
                </c:pt>
                <c:pt idx="612">
                  <c:v>108.42400000000001</c:v>
                </c:pt>
                <c:pt idx="613">
                  <c:v>108.768</c:v>
                </c:pt>
                <c:pt idx="614">
                  <c:v>109.249</c:v>
                </c:pt>
                <c:pt idx="615">
                  <c:v>108.85599999999999</c:v>
                </c:pt>
                <c:pt idx="616">
                  <c:v>109.91200000000001</c:v>
                </c:pt>
                <c:pt idx="617">
                  <c:v>110.233</c:v>
                </c:pt>
                <c:pt idx="618">
                  <c:v>110.313</c:v>
                </c:pt>
                <c:pt idx="619">
                  <c:v>109.858</c:v>
                </c:pt>
                <c:pt idx="620">
                  <c:v>110.18899999999999</c:v>
                </c:pt>
              </c:numCache>
            </c:numRef>
          </c:val>
          <c:smooth val="0"/>
          <c:extLst>
            <c:ext xmlns:c16="http://schemas.microsoft.com/office/drawing/2014/chart" uri="{C3380CC4-5D6E-409C-BE32-E72D297353CC}">
              <c16:uniqueId val="{00000000-5C27-41EC-B8F3-CB2673AED5CF}"/>
            </c:ext>
          </c:extLst>
        </c:ser>
        <c:ser>
          <c:idx val="1"/>
          <c:order val="1"/>
          <c:tx>
            <c:strRef>
              <c:f>Sheet1!$C$1</c:f>
              <c:strCache>
                <c:ptCount val="1"/>
                <c:pt idx="0">
                  <c:v>ՀՀ դրամ</c:v>
                </c:pt>
              </c:strCache>
            </c:strRef>
          </c:tx>
          <c:spPr>
            <a:ln w="28575" cap="rnd">
              <a:solidFill>
                <a:srgbClr val="E7E6E6">
                  <a:lumMod val="10000"/>
                </a:srgbClr>
              </a:solidFill>
              <a:round/>
            </a:ln>
            <a:effectLst/>
          </c:spPr>
          <c:marker>
            <c:symbol val="none"/>
          </c:marker>
          <c:cat>
            <c:numRef>
              <c:f>Sheet1!$A$2:$A$622</c:f>
              <c:numCache>
                <c:formatCode>dd\-mmm\-yy</c:formatCode>
                <c:ptCount val="621"/>
                <c:pt idx="0">
                  <c:v>43473</c:v>
                </c:pt>
                <c:pt idx="1">
                  <c:v>43474</c:v>
                </c:pt>
                <c:pt idx="2">
                  <c:v>43475</c:v>
                </c:pt>
                <c:pt idx="3">
                  <c:v>43476</c:v>
                </c:pt>
                <c:pt idx="4">
                  <c:v>43479</c:v>
                </c:pt>
                <c:pt idx="5">
                  <c:v>43480</c:v>
                </c:pt>
                <c:pt idx="6">
                  <c:v>43481</c:v>
                </c:pt>
                <c:pt idx="7">
                  <c:v>43482</c:v>
                </c:pt>
                <c:pt idx="8">
                  <c:v>43483</c:v>
                </c:pt>
                <c:pt idx="9">
                  <c:v>43486</c:v>
                </c:pt>
                <c:pt idx="10">
                  <c:v>43487</c:v>
                </c:pt>
                <c:pt idx="11">
                  <c:v>43488</c:v>
                </c:pt>
                <c:pt idx="12">
                  <c:v>43489</c:v>
                </c:pt>
                <c:pt idx="13">
                  <c:v>43490</c:v>
                </c:pt>
                <c:pt idx="14">
                  <c:v>43494</c:v>
                </c:pt>
                <c:pt idx="15">
                  <c:v>43495</c:v>
                </c:pt>
                <c:pt idx="16">
                  <c:v>43496</c:v>
                </c:pt>
                <c:pt idx="17">
                  <c:v>43497</c:v>
                </c:pt>
                <c:pt idx="18">
                  <c:v>43500</c:v>
                </c:pt>
                <c:pt idx="19">
                  <c:v>43501</c:v>
                </c:pt>
                <c:pt idx="20">
                  <c:v>43502</c:v>
                </c:pt>
                <c:pt idx="21">
                  <c:v>43503</c:v>
                </c:pt>
                <c:pt idx="22">
                  <c:v>43504</c:v>
                </c:pt>
                <c:pt idx="23">
                  <c:v>43507</c:v>
                </c:pt>
                <c:pt idx="24">
                  <c:v>43508</c:v>
                </c:pt>
                <c:pt idx="25">
                  <c:v>43509</c:v>
                </c:pt>
                <c:pt idx="26">
                  <c:v>43510</c:v>
                </c:pt>
                <c:pt idx="27">
                  <c:v>43511</c:v>
                </c:pt>
                <c:pt idx="28">
                  <c:v>43514</c:v>
                </c:pt>
                <c:pt idx="29">
                  <c:v>43515</c:v>
                </c:pt>
                <c:pt idx="30">
                  <c:v>43516</c:v>
                </c:pt>
                <c:pt idx="31">
                  <c:v>43517</c:v>
                </c:pt>
                <c:pt idx="32">
                  <c:v>43518</c:v>
                </c:pt>
                <c:pt idx="33">
                  <c:v>43521</c:v>
                </c:pt>
                <c:pt idx="34">
                  <c:v>43522</c:v>
                </c:pt>
                <c:pt idx="35">
                  <c:v>43523</c:v>
                </c:pt>
                <c:pt idx="36">
                  <c:v>43524</c:v>
                </c:pt>
                <c:pt idx="37">
                  <c:v>43525</c:v>
                </c:pt>
                <c:pt idx="38">
                  <c:v>43528</c:v>
                </c:pt>
                <c:pt idx="39">
                  <c:v>43529</c:v>
                </c:pt>
                <c:pt idx="40">
                  <c:v>43530</c:v>
                </c:pt>
                <c:pt idx="41">
                  <c:v>43531</c:v>
                </c:pt>
                <c:pt idx="42">
                  <c:v>43535</c:v>
                </c:pt>
                <c:pt idx="43">
                  <c:v>43536</c:v>
                </c:pt>
                <c:pt idx="44">
                  <c:v>43537</c:v>
                </c:pt>
                <c:pt idx="45">
                  <c:v>43538</c:v>
                </c:pt>
                <c:pt idx="46">
                  <c:v>43539</c:v>
                </c:pt>
                <c:pt idx="47">
                  <c:v>43542</c:v>
                </c:pt>
                <c:pt idx="48">
                  <c:v>43543</c:v>
                </c:pt>
                <c:pt idx="49">
                  <c:v>43544</c:v>
                </c:pt>
                <c:pt idx="50">
                  <c:v>43545</c:v>
                </c:pt>
                <c:pt idx="51">
                  <c:v>43546</c:v>
                </c:pt>
                <c:pt idx="52">
                  <c:v>43549</c:v>
                </c:pt>
                <c:pt idx="53">
                  <c:v>43550</c:v>
                </c:pt>
                <c:pt idx="54">
                  <c:v>43551</c:v>
                </c:pt>
                <c:pt idx="55">
                  <c:v>43552</c:v>
                </c:pt>
                <c:pt idx="56">
                  <c:v>43553</c:v>
                </c:pt>
                <c:pt idx="57">
                  <c:v>43556</c:v>
                </c:pt>
                <c:pt idx="58">
                  <c:v>43557</c:v>
                </c:pt>
                <c:pt idx="59">
                  <c:v>43558</c:v>
                </c:pt>
                <c:pt idx="60">
                  <c:v>43559</c:v>
                </c:pt>
                <c:pt idx="61">
                  <c:v>43560</c:v>
                </c:pt>
                <c:pt idx="62">
                  <c:v>43563</c:v>
                </c:pt>
                <c:pt idx="63">
                  <c:v>43564</c:v>
                </c:pt>
                <c:pt idx="64">
                  <c:v>43565</c:v>
                </c:pt>
                <c:pt idx="65">
                  <c:v>43566</c:v>
                </c:pt>
                <c:pt idx="66">
                  <c:v>43567</c:v>
                </c:pt>
                <c:pt idx="67">
                  <c:v>43570</c:v>
                </c:pt>
                <c:pt idx="68">
                  <c:v>43571</c:v>
                </c:pt>
                <c:pt idx="69">
                  <c:v>43572</c:v>
                </c:pt>
                <c:pt idx="70">
                  <c:v>43573</c:v>
                </c:pt>
                <c:pt idx="71">
                  <c:v>43577</c:v>
                </c:pt>
                <c:pt idx="72">
                  <c:v>43578</c:v>
                </c:pt>
                <c:pt idx="73">
                  <c:v>43579</c:v>
                </c:pt>
                <c:pt idx="74">
                  <c:v>43580</c:v>
                </c:pt>
                <c:pt idx="75">
                  <c:v>43581</c:v>
                </c:pt>
                <c:pt idx="76">
                  <c:v>43584</c:v>
                </c:pt>
                <c:pt idx="77">
                  <c:v>43585</c:v>
                </c:pt>
                <c:pt idx="78">
                  <c:v>43587</c:v>
                </c:pt>
                <c:pt idx="79">
                  <c:v>43588</c:v>
                </c:pt>
                <c:pt idx="80">
                  <c:v>43591</c:v>
                </c:pt>
                <c:pt idx="81">
                  <c:v>43592</c:v>
                </c:pt>
                <c:pt idx="82">
                  <c:v>43593</c:v>
                </c:pt>
                <c:pt idx="83">
                  <c:v>43595</c:v>
                </c:pt>
                <c:pt idx="84">
                  <c:v>43598</c:v>
                </c:pt>
                <c:pt idx="85">
                  <c:v>43599</c:v>
                </c:pt>
                <c:pt idx="86">
                  <c:v>43600</c:v>
                </c:pt>
                <c:pt idx="87">
                  <c:v>43601</c:v>
                </c:pt>
                <c:pt idx="88">
                  <c:v>43602</c:v>
                </c:pt>
                <c:pt idx="89">
                  <c:v>43605</c:v>
                </c:pt>
                <c:pt idx="90">
                  <c:v>43606</c:v>
                </c:pt>
                <c:pt idx="91">
                  <c:v>43607</c:v>
                </c:pt>
                <c:pt idx="92">
                  <c:v>43608</c:v>
                </c:pt>
                <c:pt idx="93">
                  <c:v>43609</c:v>
                </c:pt>
                <c:pt idx="94">
                  <c:v>43612</c:v>
                </c:pt>
                <c:pt idx="95">
                  <c:v>43614</c:v>
                </c:pt>
                <c:pt idx="96">
                  <c:v>43615</c:v>
                </c:pt>
                <c:pt idx="97">
                  <c:v>43616</c:v>
                </c:pt>
                <c:pt idx="98">
                  <c:v>43619</c:v>
                </c:pt>
                <c:pt idx="99">
                  <c:v>43620</c:v>
                </c:pt>
                <c:pt idx="100">
                  <c:v>43621</c:v>
                </c:pt>
                <c:pt idx="101">
                  <c:v>43622</c:v>
                </c:pt>
                <c:pt idx="102">
                  <c:v>43623</c:v>
                </c:pt>
                <c:pt idx="103">
                  <c:v>43626</c:v>
                </c:pt>
                <c:pt idx="104">
                  <c:v>43627</c:v>
                </c:pt>
                <c:pt idx="105">
                  <c:v>43628</c:v>
                </c:pt>
                <c:pt idx="106">
                  <c:v>43629</c:v>
                </c:pt>
                <c:pt idx="107">
                  <c:v>43630</c:v>
                </c:pt>
                <c:pt idx="108">
                  <c:v>43633</c:v>
                </c:pt>
                <c:pt idx="109">
                  <c:v>43634</c:v>
                </c:pt>
                <c:pt idx="110">
                  <c:v>43635</c:v>
                </c:pt>
                <c:pt idx="111">
                  <c:v>43636</c:v>
                </c:pt>
                <c:pt idx="112">
                  <c:v>43637</c:v>
                </c:pt>
                <c:pt idx="113">
                  <c:v>43640</c:v>
                </c:pt>
                <c:pt idx="114">
                  <c:v>43641</c:v>
                </c:pt>
                <c:pt idx="115">
                  <c:v>43642</c:v>
                </c:pt>
                <c:pt idx="116">
                  <c:v>43643</c:v>
                </c:pt>
                <c:pt idx="117">
                  <c:v>43644</c:v>
                </c:pt>
                <c:pt idx="118">
                  <c:v>43647</c:v>
                </c:pt>
                <c:pt idx="119">
                  <c:v>43648</c:v>
                </c:pt>
                <c:pt idx="120">
                  <c:v>43649</c:v>
                </c:pt>
                <c:pt idx="121">
                  <c:v>43650</c:v>
                </c:pt>
                <c:pt idx="122">
                  <c:v>43654</c:v>
                </c:pt>
                <c:pt idx="123">
                  <c:v>43655</c:v>
                </c:pt>
                <c:pt idx="124">
                  <c:v>43656</c:v>
                </c:pt>
                <c:pt idx="125">
                  <c:v>43657</c:v>
                </c:pt>
                <c:pt idx="126">
                  <c:v>43658</c:v>
                </c:pt>
                <c:pt idx="127">
                  <c:v>43661</c:v>
                </c:pt>
                <c:pt idx="128">
                  <c:v>43662</c:v>
                </c:pt>
                <c:pt idx="129">
                  <c:v>43663</c:v>
                </c:pt>
                <c:pt idx="130">
                  <c:v>43664</c:v>
                </c:pt>
                <c:pt idx="131">
                  <c:v>43665</c:v>
                </c:pt>
                <c:pt idx="132">
                  <c:v>43668</c:v>
                </c:pt>
                <c:pt idx="133">
                  <c:v>43669</c:v>
                </c:pt>
                <c:pt idx="134">
                  <c:v>43670</c:v>
                </c:pt>
                <c:pt idx="135">
                  <c:v>43671</c:v>
                </c:pt>
                <c:pt idx="136">
                  <c:v>43672</c:v>
                </c:pt>
                <c:pt idx="137">
                  <c:v>43675</c:v>
                </c:pt>
                <c:pt idx="138">
                  <c:v>43676</c:v>
                </c:pt>
                <c:pt idx="139">
                  <c:v>43677</c:v>
                </c:pt>
                <c:pt idx="140">
                  <c:v>43678</c:v>
                </c:pt>
                <c:pt idx="141">
                  <c:v>43679</c:v>
                </c:pt>
                <c:pt idx="142">
                  <c:v>43682</c:v>
                </c:pt>
                <c:pt idx="143">
                  <c:v>43683</c:v>
                </c:pt>
                <c:pt idx="144">
                  <c:v>43684</c:v>
                </c:pt>
                <c:pt idx="145">
                  <c:v>43685</c:v>
                </c:pt>
                <c:pt idx="146">
                  <c:v>43686</c:v>
                </c:pt>
                <c:pt idx="147">
                  <c:v>43689</c:v>
                </c:pt>
                <c:pt idx="148">
                  <c:v>43690</c:v>
                </c:pt>
                <c:pt idx="149">
                  <c:v>43691</c:v>
                </c:pt>
                <c:pt idx="150">
                  <c:v>43692</c:v>
                </c:pt>
                <c:pt idx="151">
                  <c:v>43693</c:v>
                </c:pt>
                <c:pt idx="152">
                  <c:v>43696</c:v>
                </c:pt>
                <c:pt idx="153">
                  <c:v>43697</c:v>
                </c:pt>
                <c:pt idx="154">
                  <c:v>43698</c:v>
                </c:pt>
                <c:pt idx="155">
                  <c:v>43699</c:v>
                </c:pt>
                <c:pt idx="156">
                  <c:v>43700</c:v>
                </c:pt>
                <c:pt idx="157">
                  <c:v>43703</c:v>
                </c:pt>
                <c:pt idx="158">
                  <c:v>43704</c:v>
                </c:pt>
                <c:pt idx="159">
                  <c:v>43705</c:v>
                </c:pt>
                <c:pt idx="160">
                  <c:v>43706</c:v>
                </c:pt>
                <c:pt idx="161">
                  <c:v>43707</c:v>
                </c:pt>
                <c:pt idx="162">
                  <c:v>43710</c:v>
                </c:pt>
                <c:pt idx="163">
                  <c:v>43711</c:v>
                </c:pt>
                <c:pt idx="164">
                  <c:v>43712</c:v>
                </c:pt>
                <c:pt idx="165">
                  <c:v>43713</c:v>
                </c:pt>
                <c:pt idx="166">
                  <c:v>43714</c:v>
                </c:pt>
                <c:pt idx="167">
                  <c:v>43717</c:v>
                </c:pt>
                <c:pt idx="168">
                  <c:v>43718</c:v>
                </c:pt>
                <c:pt idx="169">
                  <c:v>43719</c:v>
                </c:pt>
                <c:pt idx="170">
                  <c:v>43720</c:v>
                </c:pt>
                <c:pt idx="171">
                  <c:v>43721</c:v>
                </c:pt>
                <c:pt idx="172">
                  <c:v>43724</c:v>
                </c:pt>
                <c:pt idx="173">
                  <c:v>43725</c:v>
                </c:pt>
                <c:pt idx="174">
                  <c:v>43726</c:v>
                </c:pt>
                <c:pt idx="175">
                  <c:v>43727</c:v>
                </c:pt>
                <c:pt idx="176">
                  <c:v>43728</c:v>
                </c:pt>
                <c:pt idx="177">
                  <c:v>43731</c:v>
                </c:pt>
                <c:pt idx="178">
                  <c:v>43732</c:v>
                </c:pt>
                <c:pt idx="179">
                  <c:v>43733</c:v>
                </c:pt>
                <c:pt idx="180">
                  <c:v>43734</c:v>
                </c:pt>
                <c:pt idx="181">
                  <c:v>43735</c:v>
                </c:pt>
                <c:pt idx="182">
                  <c:v>43738</c:v>
                </c:pt>
                <c:pt idx="183">
                  <c:v>43739</c:v>
                </c:pt>
                <c:pt idx="184">
                  <c:v>43740</c:v>
                </c:pt>
                <c:pt idx="185">
                  <c:v>43741</c:v>
                </c:pt>
                <c:pt idx="186">
                  <c:v>43742</c:v>
                </c:pt>
                <c:pt idx="187">
                  <c:v>43745</c:v>
                </c:pt>
                <c:pt idx="188">
                  <c:v>43746</c:v>
                </c:pt>
                <c:pt idx="189">
                  <c:v>43747</c:v>
                </c:pt>
                <c:pt idx="190">
                  <c:v>43748</c:v>
                </c:pt>
                <c:pt idx="191">
                  <c:v>43749</c:v>
                </c:pt>
                <c:pt idx="192">
                  <c:v>43752</c:v>
                </c:pt>
                <c:pt idx="193">
                  <c:v>43753</c:v>
                </c:pt>
                <c:pt idx="194">
                  <c:v>43754</c:v>
                </c:pt>
                <c:pt idx="195">
                  <c:v>43755</c:v>
                </c:pt>
                <c:pt idx="196">
                  <c:v>43756</c:v>
                </c:pt>
                <c:pt idx="197">
                  <c:v>43759</c:v>
                </c:pt>
                <c:pt idx="198">
                  <c:v>43760</c:v>
                </c:pt>
                <c:pt idx="199">
                  <c:v>43761</c:v>
                </c:pt>
                <c:pt idx="200">
                  <c:v>43762</c:v>
                </c:pt>
                <c:pt idx="201">
                  <c:v>43763</c:v>
                </c:pt>
                <c:pt idx="202">
                  <c:v>43766</c:v>
                </c:pt>
                <c:pt idx="203">
                  <c:v>43767</c:v>
                </c:pt>
                <c:pt idx="204">
                  <c:v>43768</c:v>
                </c:pt>
                <c:pt idx="205">
                  <c:v>43769</c:v>
                </c:pt>
                <c:pt idx="206">
                  <c:v>43770</c:v>
                </c:pt>
                <c:pt idx="207">
                  <c:v>43773</c:v>
                </c:pt>
                <c:pt idx="208">
                  <c:v>43774</c:v>
                </c:pt>
                <c:pt idx="209">
                  <c:v>43775</c:v>
                </c:pt>
                <c:pt idx="210">
                  <c:v>43776</c:v>
                </c:pt>
                <c:pt idx="211">
                  <c:v>43777</c:v>
                </c:pt>
                <c:pt idx="212">
                  <c:v>43780</c:v>
                </c:pt>
                <c:pt idx="213">
                  <c:v>43781</c:v>
                </c:pt>
                <c:pt idx="214">
                  <c:v>43782</c:v>
                </c:pt>
                <c:pt idx="215">
                  <c:v>43783</c:v>
                </c:pt>
                <c:pt idx="216">
                  <c:v>43784</c:v>
                </c:pt>
                <c:pt idx="217">
                  <c:v>43787</c:v>
                </c:pt>
                <c:pt idx="218">
                  <c:v>43788</c:v>
                </c:pt>
                <c:pt idx="219">
                  <c:v>43789</c:v>
                </c:pt>
                <c:pt idx="220">
                  <c:v>43790</c:v>
                </c:pt>
                <c:pt idx="221">
                  <c:v>43791</c:v>
                </c:pt>
                <c:pt idx="222">
                  <c:v>43794</c:v>
                </c:pt>
                <c:pt idx="223">
                  <c:v>43795</c:v>
                </c:pt>
                <c:pt idx="224">
                  <c:v>43796</c:v>
                </c:pt>
                <c:pt idx="225">
                  <c:v>43797</c:v>
                </c:pt>
                <c:pt idx="226">
                  <c:v>43798</c:v>
                </c:pt>
                <c:pt idx="227">
                  <c:v>43801</c:v>
                </c:pt>
                <c:pt idx="228">
                  <c:v>43802</c:v>
                </c:pt>
                <c:pt idx="229">
                  <c:v>43803</c:v>
                </c:pt>
                <c:pt idx="230">
                  <c:v>43804</c:v>
                </c:pt>
                <c:pt idx="231">
                  <c:v>43805</c:v>
                </c:pt>
                <c:pt idx="232">
                  <c:v>43808</c:v>
                </c:pt>
                <c:pt idx="233">
                  <c:v>43809</c:v>
                </c:pt>
                <c:pt idx="234">
                  <c:v>43810</c:v>
                </c:pt>
                <c:pt idx="235">
                  <c:v>43811</c:v>
                </c:pt>
                <c:pt idx="236">
                  <c:v>43812</c:v>
                </c:pt>
                <c:pt idx="237">
                  <c:v>43815</c:v>
                </c:pt>
                <c:pt idx="238">
                  <c:v>43816</c:v>
                </c:pt>
                <c:pt idx="239">
                  <c:v>43817</c:v>
                </c:pt>
                <c:pt idx="240">
                  <c:v>43818</c:v>
                </c:pt>
                <c:pt idx="241">
                  <c:v>43819</c:v>
                </c:pt>
                <c:pt idx="242">
                  <c:v>43822</c:v>
                </c:pt>
                <c:pt idx="243">
                  <c:v>43823</c:v>
                </c:pt>
                <c:pt idx="244">
                  <c:v>43825</c:v>
                </c:pt>
                <c:pt idx="245">
                  <c:v>43826</c:v>
                </c:pt>
                <c:pt idx="246">
                  <c:v>43829</c:v>
                </c:pt>
                <c:pt idx="247">
                  <c:v>43838</c:v>
                </c:pt>
                <c:pt idx="248">
                  <c:v>43839</c:v>
                </c:pt>
                <c:pt idx="249">
                  <c:v>43840</c:v>
                </c:pt>
                <c:pt idx="250">
                  <c:v>43843</c:v>
                </c:pt>
                <c:pt idx="251">
                  <c:v>43844</c:v>
                </c:pt>
                <c:pt idx="252">
                  <c:v>43845</c:v>
                </c:pt>
                <c:pt idx="253">
                  <c:v>43846</c:v>
                </c:pt>
                <c:pt idx="254">
                  <c:v>43847</c:v>
                </c:pt>
                <c:pt idx="255">
                  <c:v>43850</c:v>
                </c:pt>
                <c:pt idx="256">
                  <c:v>43851</c:v>
                </c:pt>
                <c:pt idx="257">
                  <c:v>43852</c:v>
                </c:pt>
                <c:pt idx="258">
                  <c:v>43853</c:v>
                </c:pt>
                <c:pt idx="259">
                  <c:v>43854</c:v>
                </c:pt>
                <c:pt idx="260">
                  <c:v>43859</c:v>
                </c:pt>
                <c:pt idx="261">
                  <c:v>43860</c:v>
                </c:pt>
                <c:pt idx="262">
                  <c:v>43861</c:v>
                </c:pt>
                <c:pt idx="263">
                  <c:v>43864</c:v>
                </c:pt>
                <c:pt idx="264">
                  <c:v>43865</c:v>
                </c:pt>
                <c:pt idx="265">
                  <c:v>43866</c:v>
                </c:pt>
                <c:pt idx="266">
                  <c:v>43867</c:v>
                </c:pt>
                <c:pt idx="267">
                  <c:v>43868</c:v>
                </c:pt>
                <c:pt idx="268">
                  <c:v>43871</c:v>
                </c:pt>
                <c:pt idx="269">
                  <c:v>43872</c:v>
                </c:pt>
                <c:pt idx="270">
                  <c:v>43873</c:v>
                </c:pt>
                <c:pt idx="271">
                  <c:v>43874</c:v>
                </c:pt>
                <c:pt idx="272">
                  <c:v>43875</c:v>
                </c:pt>
                <c:pt idx="273">
                  <c:v>43878</c:v>
                </c:pt>
                <c:pt idx="274">
                  <c:v>43879</c:v>
                </c:pt>
                <c:pt idx="275">
                  <c:v>43880</c:v>
                </c:pt>
                <c:pt idx="276">
                  <c:v>43881</c:v>
                </c:pt>
                <c:pt idx="277">
                  <c:v>43882</c:v>
                </c:pt>
                <c:pt idx="278">
                  <c:v>43885</c:v>
                </c:pt>
                <c:pt idx="279">
                  <c:v>43886</c:v>
                </c:pt>
                <c:pt idx="280">
                  <c:v>43887</c:v>
                </c:pt>
                <c:pt idx="281">
                  <c:v>43888</c:v>
                </c:pt>
                <c:pt idx="282">
                  <c:v>43889</c:v>
                </c:pt>
                <c:pt idx="283">
                  <c:v>43892</c:v>
                </c:pt>
                <c:pt idx="284">
                  <c:v>43893</c:v>
                </c:pt>
                <c:pt idx="285">
                  <c:v>43894</c:v>
                </c:pt>
                <c:pt idx="286">
                  <c:v>43895</c:v>
                </c:pt>
                <c:pt idx="287">
                  <c:v>43896</c:v>
                </c:pt>
                <c:pt idx="288">
                  <c:v>43899</c:v>
                </c:pt>
                <c:pt idx="289">
                  <c:v>43900</c:v>
                </c:pt>
                <c:pt idx="290">
                  <c:v>43901</c:v>
                </c:pt>
                <c:pt idx="291">
                  <c:v>43902</c:v>
                </c:pt>
                <c:pt idx="292">
                  <c:v>43903</c:v>
                </c:pt>
                <c:pt idx="293">
                  <c:v>43906</c:v>
                </c:pt>
                <c:pt idx="294">
                  <c:v>43907</c:v>
                </c:pt>
                <c:pt idx="295">
                  <c:v>43908</c:v>
                </c:pt>
                <c:pt idx="296">
                  <c:v>43909</c:v>
                </c:pt>
                <c:pt idx="297">
                  <c:v>43910</c:v>
                </c:pt>
                <c:pt idx="298">
                  <c:v>43913</c:v>
                </c:pt>
                <c:pt idx="299">
                  <c:v>43914</c:v>
                </c:pt>
                <c:pt idx="300">
                  <c:v>43915</c:v>
                </c:pt>
                <c:pt idx="301">
                  <c:v>43916</c:v>
                </c:pt>
                <c:pt idx="302">
                  <c:v>43917</c:v>
                </c:pt>
                <c:pt idx="303">
                  <c:v>43920</c:v>
                </c:pt>
                <c:pt idx="304">
                  <c:v>43921</c:v>
                </c:pt>
                <c:pt idx="305">
                  <c:v>43922</c:v>
                </c:pt>
                <c:pt idx="306">
                  <c:v>43923</c:v>
                </c:pt>
                <c:pt idx="307">
                  <c:v>43924</c:v>
                </c:pt>
                <c:pt idx="308">
                  <c:v>43927</c:v>
                </c:pt>
                <c:pt idx="309">
                  <c:v>43928</c:v>
                </c:pt>
                <c:pt idx="310">
                  <c:v>43929</c:v>
                </c:pt>
                <c:pt idx="311">
                  <c:v>43930</c:v>
                </c:pt>
                <c:pt idx="312">
                  <c:v>43934</c:v>
                </c:pt>
                <c:pt idx="313">
                  <c:v>43935</c:v>
                </c:pt>
                <c:pt idx="314">
                  <c:v>43936</c:v>
                </c:pt>
                <c:pt idx="315">
                  <c:v>43937</c:v>
                </c:pt>
                <c:pt idx="316">
                  <c:v>43938</c:v>
                </c:pt>
                <c:pt idx="317">
                  <c:v>43941</c:v>
                </c:pt>
                <c:pt idx="318">
                  <c:v>43942</c:v>
                </c:pt>
                <c:pt idx="319">
                  <c:v>43943</c:v>
                </c:pt>
                <c:pt idx="320">
                  <c:v>43944</c:v>
                </c:pt>
                <c:pt idx="321">
                  <c:v>43948</c:v>
                </c:pt>
                <c:pt idx="322">
                  <c:v>43949</c:v>
                </c:pt>
                <c:pt idx="323">
                  <c:v>43950</c:v>
                </c:pt>
                <c:pt idx="324">
                  <c:v>43951</c:v>
                </c:pt>
                <c:pt idx="325">
                  <c:v>43955</c:v>
                </c:pt>
                <c:pt idx="326">
                  <c:v>43956</c:v>
                </c:pt>
                <c:pt idx="327">
                  <c:v>43957</c:v>
                </c:pt>
                <c:pt idx="328">
                  <c:v>43958</c:v>
                </c:pt>
                <c:pt idx="329">
                  <c:v>43959</c:v>
                </c:pt>
                <c:pt idx="330">
                  <c:v>43962</c:v>
                </c:pt>
                <c:pt idx="331">
                  <c:v>43963</c:v>
                </c:pt>
                <c:pt idx="332">
                  <c:v>43964</c:v>
                </c:pt>
                <c:pt idx="333">
                  <c:v>43965</c:v>
                </c:pt>
                <c:pt idx="334">
                  <c:v>43966</c:v>
                </c:pt>
                <c:pt idx="335">
                  <c:v>43969</c:v>
                </c:pt>
                <c:pt idx="336">
                  <c:v>43970</c:v>
                </c:pt>
                <c:pt idx="337">
                  <c:v>43971</c:v>
                </c:pt>
                <c:pt idx="338">
                  <c:v>43972</c:v>
                </c:pt>
                <c:pt idx="339">
                  <c:v>43973</c:v>
                </c:pt>
                <c:pt idx="340">
                  <c:v>43976</c:v>
                </c:pt>
                <c:pt idx="341">
                  <c:v>43977</c:v>
                </c:pt>
                <c:pt idx="342">
                  <c:v>43978</c:v>
                </c:pt>
                <c:pt idx="343">
                  <c:v>43983</c:v>
                </c:pt>
                <c:pt idx="344">
                  <c:v>43984</c:v>
                </c:pt>
                <c:pt idx="345">
                  <c:v>43985</c:v>
                </c:pt>
                <c:pt idx="346">
                  <c:v>43986</c:v>
                </c:pt>
                <c:pt idx="347">
                  <c:v>43987</c:v>
                </c:pt>
                <c:pt idx="348">
                  <c:v>43990</c:v>
                </c:pt>
                <c:pt idx="349">
                  <c:v>43991</c:v>
                </c:pt>
                <c:pt idx="350">
                  <c:v>43992</c:v>
                </c:pt>
                <c:pt idx="351">
                  <c:v>43993</c:v>
                </c:pt>
                <c:pt idx="352">
                  <c:v>43994</c:v>
                </c:pt>
                <c:pt idx="353">
                  <c:v>43997</c:v>
                </c:pt>
                <c:pt idx="354">
                  <c:v>43998</c:v>
                </c:pt>
                <c:pt idx="355">
                  <c:v>43999</c:v>
                </c:pt>
                <c:pt idx="356">
                  <c:v>44000</c:v>
                </c:pt>
                <c:pt idx="357">
                  <c:v>44001</c:v>
                </c:pt>
                <c:pt idx="358">
                  <c:v>44004</c:v>
                </c:pt>
                <c:pt idx="359">
                  <c:v>44005</c:v>
                </c:pt>
                <c:pt idx="360">
                  <c:v>44006</c:v>
                </c:pt>
                <c:pt idx="361">
                  <c:v>44007</c:v>
                </c:pt>
                <c:pt idx="362">
                  <c:v>44008</c:v>
                </c:pt>
                <c:pt idx="363">
                  <c:v>44011</c:v>
                </c:pt>
                <c:pt idx="364">
                  <c:v>44012</c:v>
                </c:pt>
                <c:pt idx="365">
                  <c:v>44013</c:v>
                </c:pt>
                <c:pt idx="366">
                  <c:v>44014</c:v>
                </c:pt>
                <c:pt idx="367">
                  <c:v>44015</c:v>
                </c:pt>
                <c:pt idx="368">
                  <c:v>44018</c:v>
                </c:pt>
                <c:pt idx="369">
                  <c:v>44019</c:v>
                </c:pt>
                <c:pt idx="370">
                  <c:v>44020</c:v>
                </c:pt>
                <c:pt idx="371">
                  <c:v>44021</c:v>
                </c:pt>
                <c:pt idx="372">
                  <c:v>44022</c:v>
                </c:pt>
                <c:pt idx="373">
                  <c:v>44025</c:v>
                </c:pt>
                <c:pt idx="374">
                  <c:v>44026</c:v>
                </c:pt>
                <c:pt idx="375">
                  <c:v>44027</c:v>
                </c:pt>
                <c:pt idx="376">
                  <c:v>44028</c:v>
                </c:pt>
                <c:pt idx="377">
                  <c:v>44029</c:v>
                </c:pt>
                <c:pt idx="378">
                  <c:v>44032</c:v>
                </c:pt>
                <c:pt idx="379">
                  <c:v>44033</c:v>
                </c:pt>
                <c:pt idx="380">
                  <c:v>44034</c:v>
                </c:pt>
                <c:pt idx="381">
                  <c:v>44035</c:v>
                </c:pt>
                <c:pt idx="382">
                  <c:v>44036</c:v>
                </c:pt>
                <c:pt idx="383">
                  <c:v>44039</c:v>
                </c:pt>
                <c:pt idx="384">
                  <c:v>44040</c:v>
                </c:pt>
                <c:pt idx="385">
                  <c:v>44041</c:v>
                </c:pt>
                <c:pt idx="386">
                  <c:v>44042</c:v>
                </c:pt>
                <c:pt idx="387">
                  <c:v>44043</c:v>
                </c:pt>
                <c:pt idx="388">
                  <c:v>44046</c:v>
                </c:pt>
                <c:pt idx="389">
                  <c:v>44047</c:v>
                </c:pt>
                <c:pt idx="390">
                  <c:v>44048</c:v>
                </c:pt>
                <c:pt idx="391">
                  <c:v>44049</c:v>
                </c:pt>
                <c:pt idx="392">
                  <c:v>44050</c:v>
                </c:pt>
                <c:pt idx="393">
                  <c:v>44053</c:v>
                </c:pt>
                <c:pt idx="394">
                  <c:v>44054</c:v>
                </c:pt>
                <c:pt idx="395">
                  <c:v>44055</c:v>
                </c:pt>
                <c:pt idx="396">
                  <c:v>44056</c:v>
                </c:pt>
                <c:pt idx="397">
                  <c:v>44057</c:v>
                </c:pt>
                <c:pt idx="398">
                  <c:v>44060</c:v>
                </c:pt>
                <c:pt idx="399">
                  <c:v>44061</c:v>
                </c:pt>
                <c:pt idx="400">
                  <c:v>44062</c:v>
                </c:pt>
                <c:pt idx="401">
                  <c:v>44063</c:v>
                </c:pt>
                <c:pt idx="402">
                  <c:v>44064</c:v>
                </c:pt>
                <c:pt idx="403">
                  <c:v>44067</c:v>
                </c:pt>
                <c:pt idx="404">
                  <c:v>44068</c:v>
                </c:pt>
                <c:pt idx="405">
                  <c:v>44069</c:v>
                </c:pt>
                <c:pt idx="406">
                  <c:v>44070</c:v>
                </c:pt>
                <c:pt idx="407">
                  <c:v>44071</c:v>
                </c:pt>
                <c:pt idx="408">
                  <c:v>44074</c:v>
                </c:pt>
                <c:pt idx="409">
                  <c:v>44075</c:v>
                </c:pt>
                <c:pt idx="410">
                  <c:v>44076</c:v>
                </c:pt>
                <c:pt idx="411">
                  <c:v>44077</c:v>
                </c:pt>
                <c:pt idx="412">
                  <c:v>44078</c:v>
                </c:pt>
                <c:pt idx="413">
                  <c:v>44081</c:v>
                </c:pt>
                <c:pt idx="414">
                  <c:v>44082</c:v>
                </c:pt>
                <c:pt idx="415">
                  <c:v>44083</c:v>
                </c:pt>
                <c:pt idx="416">
                  <c:v>44084</c:v>
                </c:pt>
                <c:pt idx="417">
                  <c:v>44085</c:v>
                </c:pt>
                <c:pt idx="418">
                  <c:v>44088</c:v>
                </c:pt>
                <c:pt idx="419">
                  <c:v>44089</c:v>
                </c:pt>
                <c:pt idx="420">
                  <c:v>44090</c:v>
                </c:pt>
                <c:pt idx="421">
                  <c:v>44091</c:v>
                </c:pt>
                <c:pt idx="422">
                  <c:v>44092</c:v>
                </c:pt>
                <c:pt idx="423">
                  <c:v>44096</c:v>
                </c:pt>
                <c:pt idx="424">
                  <c:v>44097</c:v>
                </c:pt>
                <c:pt idx="425">
                  <c:v>44098</c:v>
                </c:pt>
                <c:pt idx="426">
                  <c:v>44099</c:v>
                </c:pt>
                <c:pt idx="427">
                  <c:v>44102</c:v>
                </c:pt>
                <c:pt idx="428">
                  <c:v>44103</c:v>
                </c:pt>
                <c:pt idx="429">
                  <c:v>44104</c:v>
                </c:pt>
                <c:pt idx="430">
                  <c:v>44105</c:v>
                </c:pt>
                <c:pt idx="431">
                  <c:v>44106</c:v>
                </c:pt>
                <c:pt idx="432">
                  <c:v>44109</c:v>
                </c:pt>
                <c:pt idx="433">
                  <c:v>44110</c:v>
                </c:pt>
                <c:pt idx="434">
                  <c:v>44111</c:v>
                </c:pt>
                <c:pt idx="435">
                  <c:v>44112</c:v>
                </c:pt>
                <c:pt idx="436">
                  <c:v>44113</c:v>
                </c:pt>
                <c:pt idx="437">
                  <c:v>44116</c:v>
                </c:pt>
                <c:pt idx="438">
                  <c:v>44117</c:v>
                </c:pt>
                <c:pt idx="439">
                  <c:v>44118</c:v>
                </c:pt>
                <c:pt idx="440">
                  <c:v>44119</c:v>
                </c:pt>
                <c:pt idx="441">
                  <c:v>44120</c:v>
                </c:pt>
                <c:pt idx="442">
                  <c:v>44123</c:v>
                </c:pt>
                <c:pt idx="443">
                  <c:v>44124</c:v>
                </c:pt>
                <c:pt idx="444">
                  <c:v>44125</c:v>
                </c:pt>
                <c:pt idx="445">
                  <c:v>44126</c:v>
                </c:pt>
                <c:pt idx="446">
                  <c:v>44127</c:v>
                </c:pt>
                <c:pt idx="447">
                  <c:v>44130</c:v>
                </c:pt>
                <c:pt idx="448">
                  <c:v>44131</c:v>
                </c:pt>
                <c:pt idx="449">
                  <c:v>44132</c:v>
                </c:pt>
                <c:pt idx="450">
                  <c:v>44133</c:v>
                </c:pt>
                <c:pt idx="451">
                  <c:v>44134</c:v>
                </c:pt>
                <c:pt idx="452">
                  <c:v>44137</c:v>
                </c:pt>
                <c:pt idx="453">
                  <c:v>44138</c:v>
                </c:pt>
                <c:pt idx="454">
                  <c:v>44139</c:v>
                </c:pt>
                <c:pt idx="455">
                  <c:v>44140</c:v>
                </c:pt>
                <c:pt idx="456">
                  <c:v>44141</c:v>
                </c:pt>
                <c:pt idx="457">
                  <c:v>44144</c:v>
                </c:pt>
                <c:pt idx="458">
                  <c:v>44145</c:v>
                </c:pt>
                <c:pt idx="459">
                  <c:v>44146</c:v>
                </c:pt>
                <c:pt idx="460">
                  <c:v>44147</c:v>
                </c:pt>
                <c:pt idx="461">
                  <c:v>44148</c:v>
                </c:pt>
                <c:pt idx="462">
                  <c:v>44151</c:v>
                </c:pt>
                <c:pt idx="463">
                  <c:v>44152</c:v>
                </c:pt>
                <c:pt idx="464">
                  <c:v>44153</c:v>
                </c:pt>
                <c:pt idx="465">
                  <c:v>44154</c:v>
                </c:pt>
                <c:pt idx="466">
                  <c:v>44155</c:v>
                </c:pt>
                <c:pt idx="467">
                  <c:v>44158</c:v>
                </c:pt>
                <c:pt idx="468">
                  <c:v>44159</c:v>
                </c:pt>
                <c:pt idx="469">
                  <c:v>44160</c:v>
                </c:pt>
                <c:pt idx="470">
                  <c:v>44161</c:v>
                </c:pt>
                <c:pt idx="471">
                  <c:v>44162</c:v>
                </c:pt>
                <c:pt idx="472">
                  <c:v>44165</c:v>
                </c:pt>
                <c:pt idx="473">
                  <c:v>44166</c:v>
                </c:pt>
                <c:pt idx="474">
                  <c:v>44167</c:v>
                </c:pt>
                <c:pt idx="475">
                  <c:v>44168</c:v>
                </c:pt>
                <c:pt idx="476">
                  <c:v>44169</c:v>
                </c:pt>
                <c:pt idx="477">
                  <c:v>44172</c:v>
                </c:pt>
                <c:pt idx="478">
                  <c:v>44173</c:v>
                </c:pt>
                <c:pt idx="479">
                  <c:v>44174</c:v>
                </c:pt>
                <c:pt idx="480">
                  <c:v>44175</c:v>
                </c:pt>
                <c:pt idx="481">
                  <c:v>44176</c:v>
                </c:pt>
                <c:pt idx="482">
                  <c:v>44179</c:v>
                </c:pt>
                <c:pt idx="483">
                  <c:v>44180</c:v>
                </c:pt>
                <c:pt idx="484">
                  <c:v>44181</c:v>
                </c:pt>
                <c:pt idx="485">
                  <c:v>44182</c:v>
                </c:pt>
                <c:pt idx="486">
                  <c:v>44183</c:v>
                </c:pt>
                <c:pt idx="487">
                  <c:v>44186</c:v>
                </c:pt>
                <c:pt idx="488">
                  <c:v>44187</c:v>
                </c:pt>
                <c:pt idx="489">
                  <c:v>44188</c:v>
                </c:pt>
                <c:pt idx="490">
                  <c:v>44189</c:v>
                </c:pt>
                <c:pt idx="491">
                  <c:v>44193</c:v>
                </c:pt>
                <c:pt idx="492">
                  <c:v>44194</c:v>
                </c:pt>
                <c:pt idx="493">
                  <c:v>44195</c:v>
                </c:pt>
                <c:pt idx="494">
                  <c:v>44196</c:v>
                </c:pt>
                <c:pt idx="495">
                  <c:v>44204</c:v>
                </c:pt>
                <c:pt idx="496">
                  <c:v>44207</c:v>
                </c:pt>
                <c:pt idx="497">
                  <c:v>44208</c:v>
                </c:pt>
                <c:pt idx="498">
                  <c:v>44209</c:v>
                </c:pt>
                <c:pt idx="499">
                  <c:v>44210</c:v>
                </c:pt>
                <c:pt idx="500">
                  <c:v>44211</c:v>
                </c:pt>
                <c:pt idx="501">
                  <c:v>44214</c:v>
                </c:pt>
                <c:pt idx="502">
                  <c:v>44215</c:v>
                </c:pt>
                <c:pt idx="503">
                  <c:v>44216</c:v>
                </c:pt>
                <c:pt idx="504">
                  <c:v>44217</c:v>
                </c:pt>
                <c:pt idx="505">
                  <c:v>44218</c:v>
                </c:pt>
                <c:pt idx="506">
                  <c:v>44221</c:v>
                </c:pt>
                <c:pt idx="507">
                  <c:v>44222</c:v>
                </c:pt>
                <c:pt idx="508">
                  <c:v>44223</c:v>
                </c:pt>
                <c:pt idx="509">
                  <c:v>44225</c:v>
                </c:pt>
                <c:pt idx="510">
                  <c:v>44228</c:v>
                </c:pt>
                <c:pt idx="511">
                  <c:v>44229</c:v>
                </c:pt>
                <c:pt idx="512">
                  <c:v>44230</c:v>
                </c:pt>
                <c:pt idx="513">
                  <c:v>44231</c:v>
                </c:pt>
                <c:pt idx="514">
                  <c:v>44232</c:v>
                </c:pt>
                <c:pt idx="515">
                  <c:v>44235</c:v>
                </c:pt>
                <c:pt idx="516">
                  <c:v>44236</c:v>
                </c:pt>
                <c:pt idx="517">
                  <c:v>44237</c:v>
                </c:pt>
                <c:pt idx="518">
                  <c:v>44238</c:v>
                </c:pt>
                <c:pt idx="519">
                  <c:v>44239</c:v>
                </c:pt>
                <c:pt idx="520">
                  <c:v>44242</c:v>
                </c:pt>
                <c:pt idx="521">
                  <c:v>44243</c:v>
                </c:pt>
                <c:pt idx="522">
                  <c:v>44244</c:v>
                </c:pt>
                <c:pt idx="523">
                  <c:v>44245</c:v>
                </c:pt>
                <c:pt idx="524">
                  <c:v>44246</c:v>
                </c:pt>
                <c:pt idx="525">
                  <c:v>44249</c:v>
                </c:pt>
                <c:pt idx="526">
                  <c:v>44250</c:v>
                </c:pt>
                <c:pt idx="527">
                  <c:v>44251</c:v>
                </c:pt>
                <c:pt idx="528">
                  <c:v>44252</c:v>
                </c:pt>
                <c:pt idx="529">
                  <c:v>44253</c:v>
                </c:pt>
                <c:pt idx="530">
                  <c:v>44256</c:v>
                </c:pt>
                <c:pt idx="531">
                  <c:v>44257</c:v>
                </c:pt>
                <c:pt idx="532">
                  <c:v>44258</c:v>
                </c:pt>
                <c:pt idx="533">
                  <c:v>44259</c:v>
                </c:pt>
                <c:pt idx="534">
                  <c:v>44260</c:v>
                </c:pt>
                <c:pt idx="535">
                  <c:v>44264</c:v>
                </c:pt>
                <c:pt idx="536">
                  <c:v>44265</c:v>
                </c:pt>
                <c:pt idx="537">
                  <c:v>44266</c:v>
                </c:pt>
                <c:pt idx="538">
                  <c:v>44267</c:v>
                </c:pt>
                <c:pt idx="539">
                  <c:v>44270</c:v>
                </c:pt>
                <c:pt idx="540">
                  <c:v>44271</c:v>
                </c:pt>
                <c:pt idx="541">
                  <c:v>44272</c:v>
                </c:pt>
                <c:pt idx="542">
                  <c:v>44273</c:v>
                </c:pt>
                <c:pt idx="543">
                  <c:v>44274</c:v>
                </c:pt>
                <c:pt idx="544">
                  <c:v>44277</c:v>
                </c:pt>
                <c:pt idx="545">
                  <c:v>44278</c:v>
                </c:pt>
                <c:pt idx="546">
                  <c:v>44279</c:v>
                </c:pt>
                <c:pt idx="547">
                  <c:v>44280</c:v>
                </c:pt>
                <c:pt idx="548">
                  <c:v>44281</c:v>
                </c:pt>
                <c:pt idx="549">
                  <c:v>44284</c:v>
                </c:pt>
                <c:pt idx="550">
                  <c:v>44285</c:v>
                </c:pt>
                <c:pt idx="551">
                  <c:v>44286</c:v>
                </c:pt>
                <c:pt idx="552">
                  <c:v>44287</c:v>
                </c:pt>
                <c:pt idx="553">
                  <c:v>44288</c:v>
                </c:pt>
                <c:pt idx="554">
                  <c:v>44291</c:v>
                </c:pt>
                <c:pt idx="555">
                  <c:v>44292</c:v>
                </c:pt>
                <c:pt idx="556">
                  <c:v>44293</c:v>
                </c:pt>
                <c:pt idx="557">
                  <c:v>44294</c:v>
                </c:pt>
                <c:pt idx="558">
                  <c:v>44295</c:v>
                </c:pt>
                <c:pt idx="559">
                  <c:v>44298</c:v>
                </c:pt>
                <c:pt idx="560">
                  <c:v>44299</c:v>
                </c:pt>
                <c:pt idx="561">
                  <c:v>44300</c:v>
                </c:pt>
                <c:pt idx="562">
                  <c:v>44301</c:v>
                </c:pt>
                <c:pt idx="563">
                  <c:v>44302</c:v>
                </c:pt>
                <c:pt idx="564">
                  <c:v>44305</c:v>
                </c:pt>
                <c:pt idx="565">
                  <c:v>44306</c:v>
                </c:pt>
                <c:pt idx="566">
                  <c:v>44307</c:v>
                </c:pt>
                <c:pt idx="567">
                  <c:v>44308</c:v>
                </c:pt>
                <c:pt idx="568">
                  <c:v>44309</c:v>
                </c:pt>
                <c:pt idx="569">
                  <c:v>44312</c:v>
                </c:pt>
                <c:pt idx="570">
                  <c:v>44313</c:v>
                </c:pt>
                <c:pt idx="571">
                  <c:v>44314</c:v>
                </c:pt>
                <c:pt idx="572">
                  <c:v>44315</c:v>
                </c:pt>
                <c:pt idx="573">
                  <c:v>44316</c:v>
                </c:pt>
                <c:pt idx="574">
                  <c:v>44319</c:v>
                </c:pt>
                <c:pt idx="575">
                  <c:v>44320</c:v>
                </c:pt>
                <c:pt idx="576">
                  <c:v>44321</c:v>
                </c:pt>
                <c:pt idx="577">
                  <c:v>44322</c:v>
                </c:pt>
                <c:pt idx="578">
                  <c:v>44323</c:v>
                </c:pt>
                <c:pt idx="579">
                  <c:v>44326</c:v>
                </c:pt>
                <c:pt idx="580">
                  <c:v>44327</c:v>
                </c:pt>
                <c:pt idx="581">
                  <c:v>44328</c:v>
                </c:pt>
                <c:pt idx="582">
                  <c:v>44329</c:v>
                </c:pt>
                <c:pt idx="583">
                  <c:v>44330</c:v>
                </c:pt>
                <c:pt idx="584">
                  <c:v>44333</c:v>
                </c:pt>
                <c:pt idx="585">
                  <c:v>44334</c:v>
                </c:pt>
                <c:pt idx="586">
                  <c:v>44335</c:v>
                </c:pt>
                <c:pt idx="587">
                  <c:v>44336</c:v>
                </c:pt>
                <c:pt idx="588">
                  <c:v>44341</c:v>
                </c:pt>
                <c:pt idx="589" formatCode="d\-mmm\-yy">
                  <c:v>44342</c:v>
                </c:pt>
                <c:pt idx="590" formatCode="d\-mmm\-yy">
                  <c:v>44343</c:v>
                </c:pt>
                <c:pt idx="591" formatCode="d\-mmm\-yy">
                  <c:v>44347</c:v>
                </c:pt>
                <c:pt idx="592" formatCode="d\-mmm\-yy">
                  <c:v>44348</c:v>
                </c:pt>
                <c:pt idx="593" formatCode="d\-mmm\-yy">
                  <c:v>44349</c:v>
                </c:pt>
                <c:pt idx="594" formatCode="d\-mmm\-yy">
                  <c:v>44350</c:v>
                </c:pt>
                <c:pt idx="595" formatCode="d\-mmm\-yy">
                  <c:v>44351</c:v>
                </c:pt>
                <c:pt idx="596" formatCode="d\-mmm\-yy">
                  <c:v>44354</c:v>
                </c:pt>
                <c:pt idx="597" formatCode="d\-mmm\-yy">
                  <c:v>44355</c:v>
                </c:pt>
                <c:pt idx="598" formatCode="d\-mmm\-yy">
                  <c:v>44356</c:v>
                </c:pt>
                <c:pt idx="599" formatCode="d\-mmm\-yy">
                  <c:v>44357</c:v>
                </c:pt>
                <c:pt idx="600" formatCode="d\-mmm\-yy">
                  <c:v>44358</c:v>
                </c:pt>
                <c:pt idx="601" formatCode="d\-mmm\-yy">
                  <c:v>44361</c:v>
                </c:pt>
                <c:pt idx="602" formatCode="d\-mmm\-yy">
                  <c:v>44362</c:v>
                </c:pt>
                <c:pt idx="603" formatCode="d\-mmm\-yy">
                  <c:v>44363</c:v>
                </c:pt>
                <c:pt idx="604" formatCode="d\-mmm\-yy">
                  <c:v>44364</c:v>
                </c:pt>
                <c:pt idx="605" formatCode="d\-mmm\-yy">
                  <c:v>44365</c:v>
                </c:pt>
                <c:pt idx="606" formatCode="d\-mmm\-yy">
                  <c:v>44368</c:v>
                </c:pt>
                <c:pt idx="607" formatCode="d\-mmm\-yy">
                  <c:v>44369</c:v>
                </c:pt>
                <c:pt idx="608" formatCode="d\-mmm\-yy">
                  <c:v>44370</c:v>
                </c:pt>
                <c:pt idx="609" formatCode="d\-mmm\-yy">
                  <c:v>44371</c:v>
                </c:pt>
                <c:pt idx="610" formatCode="d\-mmm\-yy">
                  <c:v>44372</c:v>
                </c:pt>
                <c:pt idx="611" formatCode="d\-mmm\-yy">
                  <c:v>44375</c:v>
                </c:pt>
                <c:pt idx="612" formatCode="d\-mmm\-yy">
                  <c:v>44376</c:v>
                </c:pt>
                <c:pt idx="613" formatCode="d\-mmm\-yy">
                  <c:v>44377</c:v>
                </c:pt>
                <c:pt idx="614" formatCode="d\-mmm\-yy">
                  <c:v>44378</c:v>
                </c:pt>
                <c:pt idx="615" formatCode="d\-mmm\-yy">
                  <c:v>44379</c:v>
                </c:pt>
                <c:pt idx="616" formatCode="d\-mmm\-yy">
                  <c:v>44383</c:v>
                </c:pt>
                <c:pt idx="617" formatCode="d\-mmm\-yy">
                  <c:v>44384</c:v>
                </c:pt>
                <c:pt idx="618" formatCode="d\-mmm\-yy">
                  <c:v>44385</c:v>
                </c:pt>
                <c:pt idx="619" formatCode="d\-mmm\-yy">
                  <c:v>44386</c:v>
                </c:pt>
                <c:pt idx="620" formatCode="d\-mmm\-yy">
                  <c:v>44389</c:v>
                </c:pt>
              </c:numCache>
            </c:numRef>
          </c:cat>
          <c:val>
            <c:numRef>
              <c:f>Sheet1!$C$2:$C$622</c:f>
              <c:numCache>
                <c:formatCode>0</c:formatCode>
                <c:ptCount val="621"/>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101</c:v>
                </c:pt>
                <c:pt idx="17">
                  <c:v>101</c:v>
                </c:pt>
                <c:pt idx="18">
                  <c:v>101</c:v>
                </c:pt>
                <c:pt idx="19">
                  <c:v>101</c:v>
                </c:pt>
                <c:pt idx="20">
                  <c:v>101</c:v>
                </c:pt>
                <c:pt idx="21">
                  <c:v>101</c:v>
                </c:pt>
                <c:pt idx="22">
                  <c:v>101</c:v>
                </c:pt>
                <c:pt idx="23">
                  <c:v>101</c:v>
                </c:pt>
                <c:pt idx="24">
                  <c:v>101</c:v>
                </c:pt>
                <c:pt idx="25">
                  <c:v>101</c:v>
                </c:pt>
                <c:pt idx="26">
                  <c:v>101</c:v>
                </c:pt>
                <c:pt idx="27">
                  <c:v>101</c:v>
                </c:pt>
                <c:pt idx="28">
                  <c:v>101</c:v>
                </c:pt>
                <c:pt idx="29">
                  <c:v>101</c:v>
                </c:pt>
                <c:pt idx="30">
                  <c:v>101</c:v>
                </c:pt>
                <c:pt idx="31">
                  <c:v>101</c:v>
                </c:pt>
                <c:pt idx="32">
                  <c:v>101</c:v>
                </c:pt>
                <c:pt idx="33">
                  <c:v>101</c:v>
                </c:pt>
                <c:pt idx="34">
                  <c:v>101</c:v>
                </c:pt>
                <c:pt idx="35">
                  <c:v>101</c:v>
                </c:pt>
                <c:pt idx="36">
                  <c:v>101</c:v>
                </c:pt>
                <c:pt idx="37">
                  <c:v>101</c:v>
                </c:pt>
                <c:pt idx="38">
                  <c:v>101</c:v>
                </c:pt>
                <c:pt idx="39">
                  <c:v>101</c:v>
                </c:pt>
                <c:pt idx="40">
                  <c:v>101</c:v>
                </c:pt>
                <c:pt idx="41">
                  <c:v>101</c:v>
                </c:pt>
                <c:pt idx="42">
                  <c:v>101</c:v>
                </c:pt>
                <c:pt idx="43">
                  <c:v>101</c:v>
                </c:pt>
                <c:pt idx="44">
                  <c:v>101</c:v>
                </c:pt>
                <c:pt idx="45">
                  <c:v>100</c:v>
                </c:pt>
                <c:pt idx="46">
                  <c:v>100</c:v>
                </c:pt>
                <c:pt idx="47">
                  <c:v>100</c:v>
                </c:pt>
                <c:pt idx="48">
                  <c:v>100</c:v>
                </c:pt>
                <c:pt idx="49">
                  <c:v>100</c:v>
                </c:pt>
                <c:pt idx="50">
                  <c:v>100</c:v>
                </c:pt>
                <c:pt idx="51">
                  <c:v>100</c:v>
                </c:pt>
                <c:pt idx="52">
                  <c:v>100</c:v>
                </c:pt>
                <c:pt idx="53">
                  <c:v>100</c:v>
                </c:pt>
                <c:pt idx="54">
                  <c:v>100</c:v>
                </c:pt>
                <c:pt idx="55">
                  <c:v>100</c:v>
                </c:pt>
                <c:pt idx="56">
                  <c:v>100</c:v>
                </c:pt>
                <c:pt idx="57">
                  <c:v>100</c:v>
                </c:pt>
                <c:pt idx="58">
                  <c:v>100</c:v>
                </c:pt>
                <c:pt idx="59">
                  <c:v>101</c:v>
                </c:pt>
                <c:pt idx="60">
                  <c:v>101</c:v>
                </c:pt>
                <c:pt idx="61">
                  <c:v>101</c:v>
                </c:pt>
                <c:pt idx="62">
                  <c:v>101</c:v>
                </c:pt>
                <c:pt idx="63">
                  <c:v>100</c:v>
                </c:pt>
                <c:pt idx="64">
                  <c:v>100</c:v>
                </c:pt>
                <c:pt idx="65">
                  <c:v>100</c:v>
                </c:pt>
                <c:pt idx="66">
                  <c:v>100</c:v>
                </c:pt>
                <c:pt idx="67">
                  <c:v>100</c:v>
                </c:pt>
                <c:pt idx="68">
                  <c:v>100</c:v>
                </c:pt>
                <c:pt idx="69">
                  <c:v>100</c:v>
                </c:pt>
                <c:pt idx="70">
                  <c:v>100</c:v>
                </c:pt>
                <c:pt idx="71">
                  <c:v>100</c:v>
                </c:pt>
                <c:pt idx="72">
                  <c:v>100</c:v>
                </c:pt>
                <c:pt idx="73">
                  <c:v>99</c:v>
                </c:pt>
                <c:pt idx="74">
                  <c:v>99</c:v>
                </c:pt>
                <c:pt idx="75">
                  <c:v>99</c:v>
                </c:pt>
                <c:pt idx="76">
                  <c:v>99</c:v>
                </c:pt>
                <c:pt idx="77">
                  <c:v>99</c:v>
                </c:pt>
                <c:pt idx="78">
                  <c:v>99</c:v>
                </c:pt>
                <c:pt idx="79">
                  <c:v>99</c:v>
                </c:pt>
                <c:pt idx="80">
                  <c:v>99</c:v>
                </c:pt>
                <c:pt idx="81">
                  <c:v>99</c:v>
                </c:pt>
                <c:pt idx="82">
                  <c:v>100</c:v>
                </c:pt>
                <c:pt idx="83">
                  <c:v>100</c:v>
                </c:pt>
                <c:pt idx="84">
                  <c:v>99</c:v>
                </c:pt>
                <c:pt idx="85">
                  <c:v>99</c:v>
                </c:pt>
                <c:pt idx="86">
                  <c:v>99</c:v>
                </c:pt>
                <c:pt idx="87">
                  <c:v>99</c:v>
                </c:pt>
                <c:pt idx="88">
                  <c:v>99</c:v>
                </c:pt>
                <c:pt idx="89">
                  <c:v>99</c:v>
                </c:pt>
                <c:pt idx="90">
                  <c:v>99</c:v>
                </c:pt>
                <c:pt idx="91">
                  <c:v>99</c:v>
                </c:pt>
                <c:pt idx="92">
                  <c:v>99</c:v>
                </c:pt>
                <c:pt idx="93">
                  <c:v>99</c:v>
                </c:pt>
                <c:pt idx="94">
                  <c:v>99</c:v>
                </c:pt>
                <c:pt idx="95">
                  <c:v>99</c:v>
                </c:pt>
                <c:pt idx="96">
                  <c:v>99</c:v>
                </c:pt>
                <c:pt idx="97">
                  <c:v>99</c:v>
                </c:pt>
                <c:pt idx="98">
                  <c:v>99</c:v>
                </c:pt>
                <c:pt idx="99">
                  <c:v>99</c:v>
                </c:pt>
                <c:pt idx="100">
                  <c:v>99</c:v>
                </c:pt>
                <c:pt idx="101">
                  <c:v>99</c:v>
                </c:pt>
                <c:pt idx="102">
                  <c:v>99</c:v>
                </c:pt>
                <c:pt idx="103">
                  <c:v>99</c:v>
                </c:pt>
                <c:pt idx="104">
                  <c:v>99</c:v>
                </c:pt>
                <c:pt idx="105">
                  <c:v>99</c:v>
                </c:pt>
                <c:pt idx="106">
                  <c:v>99</c:v>
                </c:pt>
                <c:pt idx="107">
                  <c:v>99</c:v>
                </c:pt>
                <c:pt idx="108">
                  <c:v>99</c:v>
                </c:pt>
                <c:pt idx="109">
                  <c:v>99</c:v>
                </c:pt>
                <c:pt idx="110">
                  <c:v>99</c:v>
                </c:pt>
                <c:pt idx="111">
                  <c:v>99</c:v>
                </c:pt>
                <c:pt idx="112">
                  <c:v>99</c:v>
                </c:pt>
                <c:pt idx="113">
                  <c:v>99</c:v>
                </c:pt>
                <c:pt idx="114">
                  <c:v>98</c:v>
                </c:pt>
                <c:pt idx="115">
                  <c:v>99</c:v>
                </c:pt>
                <c:pt idx="116">
                  <c:v>99</c:v>
                </c:pt>
                <c:pt idx="117">
                  <c:v>99</c:v>
                </c:pt>
                <c:pt idx="118">
                  <c:v>98</c:v>
                </c:pt>
                <c:pt idx="119">
                  <c:v>98</c:v>
                </c:pt>
                <c:pt idx="120">
                  <c:v>98</c:v>
                </c:pt>
                <c:pt idx="121">
                  <c:v>98</c:v>
                </c:pt>
                <c:pt idx="122">
                  <c:v>98</c:v>
                </c:pt>
                <c:pt idx="123">
                  <c:v>98</c:v>
                </c:pt>
                <c:pt idx="124">
                  <c:v>98</c:v>
                </c:pt>
                <c:pt idx="125">
                  <c:v>98</c:v>
                </c:pt>
                <c:pt idx="126">
                  <c:v>98</c:v>
                </c:pt>
                <c:pt idx="127">
                  <c:v>98</c:v>
                </c:pt>
                <c:pt idx="128">
                  <c:v>98</c:v>
                </c:pt>
                <c:pt idx="129">
                  <c:v>98</c:v>
                </c:pt>
                <c:pt idx="130">
                  <c:v>98</c:v>
                </c:pt>
                <c:pt idx="131">
                  <c:v>98</c:v>
                </c:pt>
                <c:pt idx="132">
                  <c:v>98</c:v>
                </c:pt>
                <c:pt idx="133">
                  <c:v>98</c:v>
                </c:pt>
                <c:pt idx="134">
                  <c:v>98</c:v>
                </c:pt>
                <c:pt idx="135">
                  <c:v>98</c:v>
                </c:pt>
                <c:pt idx="136">
                  <c:v>98</c:v>
                </c:pt>
                <c:pt idx="137">
                  <c:v>98</c:v>
                </c:pt>
                <c:pt idx="138">
                  <c:v>98</c:v>
                </c:pt>
                <c:pt idx="139">
                  <c:v>98</c:v>
                </c:pt>
                <c:pt idx="140">
                  <c:v>98</c:v>
                </c:pt>
                <c:pt idx="141">
                  <c:v>98</c:v>
                </c:pt>
                <c:pt idx="142">
                  <c:v>98</c:v>
                </c:pt>
                <c:pt idx="143">
                  <c:v>98</c:v>
                </c:pt>
                <c:pt idx="144">
                  <c:v>98</c:v>
                </c:pt>
                <c:pt idx="145">
                  <c:v>98</c:v>
                </c:pt>
                <c:pt idx="146">
                  <c:v>98</c:v>
                </c:pt>
                <c:pt idx="147">
                  <c:v>98</c:v>
                </c:pt>
                <c:pt idx="148">
                  <c:v>98</c:v>
                </c:pt>
                <c:pt idx="149">
                  <c:v>98</c:v>
                </c:pt>
                <c:pt idx="150">
                  <c:v>98</c:v>
                </c:pt>
                <c:pt idx="151">
                  <c:v>98</c:v>
                </c:pt>
                <c:pt idx="152">
                  <c:v>98</c:v>
                </c:pt>
                <c:pt idx="153">
                  <c:v>98</c:v>
                </c:pt>
                <c:pt idx="154">
                  <c:v>98</c:v>
                </c:pt>
                <c:pt idx="155">
                  <c:v>98</c:v>
                </c:pt>
                <c:pt idx="156">
                  <c:v>98</c:v>
                </c:pt>
                <c:pt idx="157">
                  <c:v>98</c:v>
                </c:pt>
                <c:pt idx="158">
                  <c:v>98</c:v>
                </c:pt>
                <c:pt idx="159">
                  <c:v>98</c:v>
                </c:pt>
                <c:pt idx="160">
                  <c:v>98</c:v>
                </c:pt>
                <c:pt idx="161">
                  <c:v>98</c:v>
                </c:pt>
                <c:pt idx="162">
                  <c:v>98</c:v>
                </c:pt>
                <c:pt idx="163">
                  <c:v>98</c:v>
                </c:pt>
                <c:pt idx="164">
                  <c:v>98</c:v>
                </c:pt>
                <c:pt idx="165">
                  <c:v>98</c:v>
                </c:pt>
                <c:pt idx="166">
                  <c:v>98</c:v>
                </c:pt>
                <c:pt idx="167">
                  <c:v>98</c:v>
                </c:pt>
                <c:pt idx="168">
                  <c:v>98</c:v>
                </c:pt>
                <c:pt idx="169">
                  <c:v>98</c:v>
                </c:pt>
                <c:pt idx="170">
                  <c:v>98</c:v>
                </c:pt>
                <c:pt idx="171">
                  <c:v>98</c:v>
                </c:pt>
                <c:pt idx="172">
                  <c:v>98</c:v>
                </c:pt>
                <c:pt idx="173">
                  <c:v>98</c:v>
                </c:pt>
                <c:pt idx="174">
                  <c:v>98</c:v>
                </c:pt>
                <c:pt idx="175">
                  <c:v>98</c:v>
                </c:pt>
                <c:pt idx="176">
                  <c:v>98</c:v>
                </c:pt>
                <c:pt idx="177">
                  <c:v>98</c:v>
                </c:pt>
                <c:pt idx="178">
                  <c:v>98</c:v>
                </c:pt>
                <c:pt idx="179">
                  <c:v>98</c:v>
                </c:pt>
                <c:pt idx="180">
                  <c:v>98</c:v>
                </c:pt>
                <c:pt idx="181">
                  <c:v>98</c:v>
                </c:pt>
                <c:pt idx="182">
                  <c:v>98</c:v>
                </c:pt>
                <c:pt idx="183">
                  <c:v>98</c:v>
                </c:pt>
                <c:pt idx="184">
                  <c:v>98</c:v>
                </c:pt>
                <c:pt idx="185">
                  <c:v>98</c:v>
                </c:pt>
                <c:pt idx="186">
                  <c:v>98</c:v>
                </c:pt>
                <c:pt idx="187">
                  <c:v>98</c:v>
                </c:pt>
                <c:pt idx="188">
                  <c:v>98</c:v>
                </c:pt>
                <c:pt idx="189">
                  <c:v>98</c:v>
                </c:pt>
                <c:pt idx="190">
                  <c:v>98</c:v>
                </c:pt>
                <c:pt idx="191">
                  <c:v>98</c:v>
                </c:pt>
                <c:pt idx="192">
                  <c:v>98</c:v>
                </c:pt>
                <c:pt idx="193">
                  <c:v>98</c:v>
                </c:pt>
                <c:pt idx="194">
                  <c:v>98</c:v>
                </c:pt>
                <c:pt idx="195">
                  <c:v>98</c:v>
                </c:pt>
                <c:pt idx="196">
                  <c:v>98</c:v>
                </c:pt>
                <c:pt idx="197">
                  <c:v>98</c:v>
                </c:pt>
                <c:pt idx="198">
                  <c:v>98</c:v>
                </c:pt>
                <c:pt idx="199">
                  <c:v>98</c:v>
                </c:pt>
                <c:pt idx="200">
                  <c:v>98</c:v>
                </c:pt>
                <c:pt idx="201">
                  <c:v>98</c:v>
                </c:pt>
                <c:pt idx="202">
                  <c:v>98</c:v>
                </c:pt>
                <c:pt idx="203">
                  <c:v>98</c:v>
                </c:pt>
                <c:pt idx="204">
                  <c:v>98</c:v>
                </c:pt>
                <c:pt idx="205">
                  <c:v>98</c:v>
                </c:pt>
                <c:pt idx="206">
                  <c:v>98</c:v>
                </c:pt>
                <c:pt idx="207">
                  <c:v>98</c:v>
                </c:pt>
                <c:pt idx="208">
                  <c:v>98</c:v>
                </c:pt>
                <c:pt idx="209">
                  <c:v>98</c:v>
                </c:pt>
                <c:pt idx="210">
                  <c:v>99</c:v>
                </c:pt>
                <c:pt idx="211">
                  <c:v>99</c:v>
                </c:pt>
                <c:pt idx="212">
                  <c:v>99</c:v>
                </c:pt>
                <c:pt idx="213">
                  <c:v>99</c:v>
                </c:pt>
                <c:pt idx="214">
                  <c:v>99</c:v>
                </c:pt>
                <c:pt idx="215">
                  <c:v>99</c:v>
                </c:pt>
                <c:pt idx="216">
                  <c:v>99</c:v>
                </c:pt>
                <c:pt idx="217">
                  <c:v>99</c:v>
                </c:pt>
                <c:pt idx="218">
                  <c:v>98</c:v>
                </c:pt>
                <c:pt idx="219">
                  <c:v>98</c:v>
                </c:pt>
                <c:pt idx="220">
                  <c:v>98</c:v>
                </c:pt>
                <c:pt idx="221">
                  <c:v>98</c:v>
                </c:pt>
                <c:pt idx="222">
                  <c:v>98</c:v>
                </c:pt>
                <c:pt idx="223">
                  <c:v>98</c:v>
                </c:pt>
                <c:pt idx="224">
                  <c:v>98</c:v>
                </c:pt>
                <c:pt idx="225">
                  <c:v>99</c:v>
                </c:pt>
                <c:pt idx="226">
                  <c:v>99</c:v>
                </c:pt>
                <c:pt idx="227">
                  <c:v>99</c:v>
                </c:pt>
                <c:pt idx="228">
                  <c:v>99</c:v>
                </c:pt>
                <c:pt idx="229">
                  <c:v>99</c:v>
                </c:pt>
                <c:pt idx="230">
                  <c:v>99</c:v>
                </c:pt>
                <c:pt idx="231">
                  <c:v>99</c:v>
                </c:pt>
                <c:pt idx="232">
                  <c:v>99</c:v>
                </c:pt>
                <c:pt idx="233">
                  <c:v>99</c:v>
                </c:pt>
                <c:pt idx="234">
                  <c:v>99</c:v>
                </c:pt>
                <c:pt idx="235">
                  <c:v>99</c:v>
                </c:pt>
                <c:pt idx="236">
                  <c:v>99</c:v>
                </c:pt>
                <c:pt idx="237">
                  <c:v>99</c:v>
                </c:pt>
                <c:pt idx="238">
                  <c:v>99</c:v>
                </c:pt>
                <c:pt idx="239">
                  <c:v>99</c:v>
                </c:pt>
                <c:pt idx="240">
                  <c:v>99</c:v>
                </c:pt>
                <c:pt idx="241">
                  <c:v>99</c:v>
                </c:pt>
                <c:pt idx="242">
                  <c:v>99</c:v>
                </c:pt>
                <c:pt idx="243">
                  <c:v>99</c:v>
                </c:pt>
                <c:pt idx="244">
                  <c:v>99</c:v>
                </c:pt>
                <c:pt idx="245">
                  <c:v>99</c:v>
                </c:pt>
                <c:pt idx="246">
                  <c:v>99</c:v>
                </c:pt>
                <c:pt idx="247">
                  <c:v>99</c:v>
                </c:pt>
                <c:pt idx="248">
                  <c:v>99</c:v>
                </c:pt>
                <c:pt idx="249">
                  <c:v>99</c:v>
                </c:pt>
                <c:pt idx="250">
                  <c:v>99</c:v>
                </c:pt>
                <c:pt idx="251">
                  <c:v>99</c:v>
                </c:pt>
                <c:pt idx="252">
                  <c:v>99</c:v>
                </c:pt>
                <c:pt idx="253">
                  <c:v>99</c:v>
                </c:pt>
                <c:pt idx="254">
                  <c:v>99</c:v>
                </c:pt>
                <c:pt idx="255">
                  <c:v>99</c:v>
                </c:pt>
                <c:pt idx="256">
                  <c:v>99</c:v>
                </c:pt>
                <c:pt idx="257">
                  <c:v>99</c:v>
                </c:pt>
                <c:pt idx="258">
                  <c:v>99</c:v>
                </c:pt>
                <c:pt idx="259">
                  <c:v>99</c:v>
                </c:pt>
                <c:pt idx="260">
                  <c:v>99</c:v>
                </c:pt>
                <c:pt idx="261">
                  <c:v>99</c:v>
                </c:pt>
                <c:pt idx="262">
                  <c:v>99</c:v>
                </c:pt>
                <c:pt idx="263">
                  <c:v>99</c:v>
                </c:pt>
                <c:pt idx="264">
                  <c:v>99</c:v>
                </c:pt>
                <c:pt idx="265">
                  <c:v>99</c:v>
                </c:pt>
                <c:pt idx="266">
                  <c:v>99</c:v>
                </c:pt>
                <c:pt idx="267">
                  <c:v>99</c:v>
                </c:pt>
                <c:pt idx="268">
                  <c:v>99</c:v>
                </c:pt>
                <c:pt idx="269">
                  <c:v>99</c:v>
                </c:pt>
                <c:pt idx="270">
                  <c:v>99</c:v>
                </c:pt>
                <c:pt idx="271">
                  <c:v>99</c:v>
                </c:pt>
                <c:pt idx="272">
                  <c:v>99</c:v>
                </c:pt>
                <c:pt idx="273">
                  <c:v>99</c:v>
                </c:pt>
                <c:pt idx="274">
                  <c:v>99</c:v>
                </c:pt>
                <c:pt idx="275">
                  <c:v>99</c:v>
                </c:pt>
                <c:pt idx="276">
                  <c:v>99</c:v>
                </c:pt>
                <c:pt idx="277">
                  <c:v>99</c:v>
                </c:pt>
                <c:pt idx="278">
                  <c:v>99</c:v>
                </c:pt>
                <c:pt idx="279">
                  <c:v>99</c:v>
                </c:pt>
                <c:pt idx="280">
                  <c:v>99</c:v>
                </c:pt>
                <c:pt idx="281">
                  <c:v>99</c:v>
                </c:pt>
                <c:pt idx="282">
                  <c:v>99</c:v>
                </c:pt>
                <c:pt idx="283">
                  <c:v>99</c:v>
                </c:pt>
                <c:pt idx="284">
                  <c:v>99</c:v>
                </c:pt>
                <c:pt idx="285">
                  <c:v>99</c:v>
                </c:pt>
                <c:pt idx="286">
                  <c:v>99</c:v>
                </c:pt>
                <c:pt idx="287">
                  <c:v>99</c:v>
                </c:pt>
                <c:pt idx="288">
                  <c:v>99</c:v>
                </c:pt>
                <c:pt idx="289">
                  <c:v>100</c:v>
                </c:pt>
                <c:pt idx="290">
                  <c:v>100</c:v>
                </c:pt>
                <c:pt idx="291">
                  <c:v>100</c:v>
                </c:pt>
                <c:pt idx="292">
                  <c:v>101</c:v>
                </c:pt>
                <c:pt idx="293">
                  <c:v>101</c:v>
                </c:pt>
                <c:pt idx="294">
                  <c:v>101</c:v>
                </c:pt>
                <c:pt idx="295">
                  <c:v>101</c:v>
                </c:pt>
                <c:pt idx="296">
                  <c:v>102</c:v>
                </c:pt>
                <c:pt idx="297">
                  <c:v>102</c:v>
                </c:pt>
                <c:pt idx="298">
                  <c:v>102</c:v>
                </c:pt>
                <c:pt idx="299">
                  <c:v>102</c:v>
                </c:pt>
                <c:pt idx="300">
                  <c:v>102</c:v>
                </c:pt>
                <c:pt idx="301">
                  <c:v>103</c:v>
                </c:pt>
                <c:pt idx="302">
                  <c:v>103</c:v>
                </c:pt>
                <c:pt idx="303">
                  <c:v>103</c:v>
                </c:pt>
                <c:pt idx="304">
                  <c:v>104</c:v>
                </c:pt>
                <c:pt idx="305">
                  <c:v>104</c:v>
                </c:pt>
                <c:pt idx="306">
                  <c:v>104</c:v>
                </c:pt>
                <c:pt idx="307">
                  <c:v>104</c:v>
                </c:pt>
                <c:pt idx="308">
                  <c:v>104</c:v>
                </c:pt>
                <c:pt idx="309">
                  <c:v>103</c:v>
                </c:pt>
                <c:pt idx="310">
                  <c:v>103</c:v>
                </c:pt>
                <c:pt idx="311">
                  <c:v>102</c:v>
                </c:pt>
                <c:pt idx="312">
                  <c:v>100</c:v>
                </c:pt>
                <c:pt idx="313">
                  <c:v>100</c:v>
                </c:pt>
                <c:pt idx="314">
                  <c:v>100</c:v>
                </c:pt>
                <c:pt idx="315">
                  <c:v>100</c:v>
                </c:pt>
                <c:pt idx="316">
                  <c:v>100</c:v>
                </c:pt>
                <c:pt idx="317">
                  <c:v>100</c:v>
                </c:pt>
                <c:pt idx="318">
                  <c:v>99</c:v>
                </c:pt>
                <c:pt idx="319">
                  <c:v>99</c:v>
                </c:pt>
                <c:pt idx="320">
                  <c:v>99</c:v>
                </c:pt>
                <c:pt idx="321">
                  <c:v>99</c:v>
                </c:pt>
                <c:pt idx="322">
                  <c:v>99</c:v>
                </c:pt>
                <c:pt idx="323">
                  <c:v>99</c:v>
                </c:pt>
                <c:pt idx="324">
                  <c:v>99</c:v>
                </c:pt>
                <c:pt idx="325">
                  <c:v>99</c:v>
                </c:pt>
                <c:pt idx="326">
                  <c:v>99</c:v>
                </c:pt>
                <c:pt idx="327">
                  <c:v>100</c:v>
                </c:pt>
                <c:pt idx="328">
                  <c:v>100</c:v>
                </c:pt>
                <c:pt idx="329">
                  <c:v>100</c:v>
                </c:pt>
                <c:pt idx="330">
                  <c:v>100</c:v>
                </c:pt>
                <c:pt idx="331">
                  <c:v>101</c:v>
                </c:pt>
                <c:pt idx="332">
                  <c:v>101</c:v>
                </c:pt>
                <c:pt idx="333">
                  <c:v>101</c:v>
                </c:pt>
                <c:pt idx="334">
                  <c:v>101</c:v>
                </c:pt>
                <c:pt idx="335">
                  <c:v>100</c:v>
                </c:pt>
                <c:pt idx="336">
                  <c:v>100</c:v>
                </c:pt>
                <c:pt idx="337">
                  <c:v>100</c:v>
                </c:pt>
                <c:pt idx="338">
                  <c:v>99</c:v>
                </c:pt>
                <c:pt idx="339">
                  <c:v>100</c:v>
                </c:pt>
                <c:pt idx="340">
                  <c:v>100</c:v>
                </c:pt>
                <c:pt idx="341">
                  <c:v>100</c:v>
                </c:pt>
                <c:pt idx="342">
                  <c:v>100</c:v>
                </c:pt>
                <c:pt idx="343">
                  <c:v>100</c:v>
                </c:pt>
                <c:pt idx="344">
                  <c:v>100</c:v>
                </c:pt>
                <c:pt idx="345">
                  <c:v>100</c:v>
                </c:pt>
                <c:pt idx="346">
                  <c:v>100</c:v>
                </c:pt>
                <c:pt idx="347">
                  <c:v>99</c:v>
                </c:pt>
                <c:pt idx="348">
                  <c:v>99</c:v>
                </c:pt>
                <c:pt idx="349">
                  <c:v>99</c:v>
                </c:pt>
                <c:pt idx="350">
                  <c:v>99</c:v>
                </c:pt>
                <c:pt idx="351">
                  <c:v>99</c:v>
                </c:pt>
                <c:pt idx="352">
                  <c:v>99</c:v>
                </c:pt>
                <c:pt idx="353">
                  <c:v>99</c:v>
                </c:pt>
                <c:pt idx="354">
                  <c:v>99</c:v>
                </c:pt>
                <c:pt idx="355">
                  <c:v>99</c:v>
                </c:pt>
                <c:pt idx="356">
                  <c:v>99</c:v>
                </c:pt>
                <c:pt idx="357">
                  <c:v>99</c:v>
                </c:pt>
                <c:pt idx="358">
                  <c:v>99</c:v>
                </c:pt>
                <c:pt idx="359">
                  <c:v>99</c:v>
                </c:pt>
                <c:pt idx="360">
                  <c:v>99</c:v>
                </c:pt>
                <c:pt idx="361">
                  <c:v>99</c:v>
                </c:pt>
                <c:pt idx="362">
                  <c:v>99</c:v>
                </c:pt>
                <c:pt idx="363">
                  <c:v>100</c:v>
                </c:pt>
                <c:pt idx="364">
                  <c:v>100</c:v>
                </c:pt>
                <c:pt idx="365">
                  <c:v>100</c:v>
                </c:pt>
                <c:pt idx="366">
                  <c:v>100</c:v>
                </c:pt>
                <c:pt idx="367">
                  <c:v>100</c:v>
                </c:pt>
                <c:pt idx="368">
                  <c:v>100</c:v>
                </c:pt>
                <c:pt idx="369">
                  <c:v>100</c:v>
                </c:pt>
                <c:pt idx="370">
                  <c:v>100</c:v>
                </c:pt>
                <c:pt idx="371">
                  <c:v>100</c:v>
                </c:pt>
                <c:pt idx="372">
                  <c:v>100</c:v>
                </c:pt>
                <c:pt idx="373">
                  <c:v>100</c:v>
                </c:pt>
                <c:pt idx="374">
                  <c:v>100</c:v>
                </c:pt>
                <c:pt idx="375">
                  <c:v>100</c:v>
                </c:pt>
                <c:pt idx="376">
                  <c:v>100</c:v>
                </c:pt>
                <c:pt idx="377">
                  <c:v>100</c:v>
                </c:pt>
                <c:pt idx="378">
                  <c:v>100</c:v>
                </c:pt>
                <c:pt idx="379">
                  <c:v>100</c:v>
                </c:pt>
                <c:pt idx="380">
                  <c:v>100</c:v>
                </c:pt>
                <c:pt idx="381">
                  <c:v>100</c:v>
                </c:pt>
                <c:pt idx="382">
                  <c:v>100</c:v>
                </c:pt>
                <c:pt idx="383">
                  <c:v>100</c:v>
                </c:pt>
                <c:pt idx="384">
                  <c:v>100</c:v>
                </c:pt>
                <c:pt idx="385">
                  <c:v>100</c:v>
                </c:pt>
                <c:pt idx="386">
                  <c:v>100</c:v>
                </c:pt>
                <c:pt idx="387">
                  <c:v>100</c:v>
                </c:pt>
                <c:pt idx="388">
                  <c:v>100</c:v>
                </c:pt>
                <c:pt idx="389">
                  <c:v>100</c:v>
                </c:pt>
                <c:pt idx="390">
                  <c:v>100</c:v>
                </c:pt>
                <c:pt idx="391">
                  <c:v>100</c:v>
                </c:pt>
                <c:pt idx="392">
                  <c:v>100</c:v>
                </c:pt>
                <c:pt idx="393">
                  <c:v>100</c:v>
                </c:pt>
                <c:pt idx="394">
                  <c:v>100</c:v>
                </c:pt>
                <c:pt idx="395">
                  <c:v>100</c:v>
                </c:pt>
                <c:pt idx="396">
                  <c:v>100</c:v>
                </c:pt>
                <c:pt idx="397">
                  <c:v>100</c:v>
                </c:pt>
                <c:pt idx="398">
                  <c:v>100</c:v>
                </c:pt>
                <c:pt idx="399">
                  <c:v>100</c:v>
                </c:pt>
                <c:pt idx="400">
                  <c:v>100</c:v>
                </c:pt>
                <c:pt idx="401">
                  <c:v>100</c:v>
                </c:pt>
                <c:pt idx="402">
                  <c:v>100</c:v>
                </c:pt>
                <c:pt idx="403">
                  <c:v>100</c:v>
                </c:pt>
                <c:pt idx="404">
                  <c:v>100</c:v>
                </c:pt>
                <c:pt idx="405">
                  <c:v>101</c:v>
                </c:pt>
                <c:pt idx="406">
                  <c:v>101</c:v>
                </c:pt>
                <c:pt idx="407">
                  <c:v>101</c:v>
                </c:pt>
                <c:pt idx="408">
                  <c:v>101</c:v>
                </c:pt>
                <c:pt idx="409">
                  <c:v>101</c:v>
                </c:pt>
                <c:pt idx="410">
                  <c:v>101</c:v>
                </c:pt>
                <c:pt idx="411">
                  <c:v>101</c:v>
                </c:pt>
                <c:pt idx="412">
                  <c:v>101</c:v>
                </c:pt>
                <c:pt idx="413">
                  <c:v>101</c:v>
                </c:pt>
                <c:pt idx="414">
                  <c:v>101</c:v>
                </c:pt>
                <c:pt idx="415">
                  <c:v>101</c:v>
                </c:pt>
                <c:pt idx="416">
                  <c:v>101</c:v>
                </c:pt>
                <c:pt idx="417">
                  <c:v>101</c:v>
                </c:pt>
                <c:pt idx="418">
                  <c:v>100</c:v>
                </c:pt>
                <c:pt idx="419">
                  <c:v>100</c:v>
                </c:pt>
                <c:pt idx="420">
                  <c:v>100</c:v>
                </c:pt>
                <c:pt idx="421">
                  <c:v>100</c:v>
                </c:pt>
                <c:pt idx="422">
                  <c:v>100</c:v>
                </c:pt>
                <c:pt idx="423">
                  <c:v>100</c:v>
                </c:pt>
                <c:pt idx="424">
                  <c:v>100</c:v>
                </c:pt>
                <c:pt idx="425">
                  <c:v>100</c:v>
                </c:pt>
                <c:pt idx="426">
                  <c:v>100</c:v>
                </c:pt>
                <c:pt idx="427">
                  <c:v>100</c:v>
                </c:pt>
                <c:pt idx="428">
                  <c:v>101</c:v>
                </c:pt>
                <c:pt idx="429">
                  <c:v>101</c:v>
                </c:pt>
                <c:pt idx="430">
                  <c:v>101</c:v>
                </c:pt>
                <c:pt idx="431">
                  <c:v>101</c:v>
                </c:pt>
                <c:pt idx="432">
                  <c:v>101</c:v>
                </c:pt>
                <c:pt idx="433">
                  <c:v>101</c:v>
                </c:pt>
                <c:pt idx="434">
                  <c:v>101</c:v>
                </c:pt>
                <c:pt idx="435">
                  <c:v>101</c:v>
                </c:pt>
                <c:pt idx="436">
                  <c:v>101</c:v>
                </c:pt>
                <c:pt idx="437">
                  <c:v>101</c:v>
                </c:pt>
                <c:pt idx="438">
                  <c:v>101</c:v>
                </c:pt>
                <c:pt idx="439">
                  <c:v>101</c:v>
                </c:pt>
                <c:pt idx="440">
                  <c:v>102</c:v>
                </c:pt>
                <c:pt idx="441">
                  <c:v>102</c:v>
                </c:pt>
                <c:pt idx="442">
                  <c:v>102</c:v>
                </c:pt>
                <c:pt idx="443">
                  <c:v>102</c:v>
                </c:pt>
                <c:pt idx="444">
                  <c:v>102</c:v>
                </c:pt>
                <c:pt idx="445">
                  <c:v>102</c:v>
                </c:pt>
                <c:pt idx="446">
                  <c:v>102</c:v>
                </c:pt>
                <c:pt idx="447">
                  <c:v>102</c:v>
                </c:pt>
                <c:pt idx="448">
                  <c:v>102</c:v>
                </c:pt>
                <c:pt idx="449">
                  <c:v>102</c:v>
                </c:pt>
                <c:pt idx="450">
                  <c:v>102</c:v>
                </c:pt>
                <c:pt idx="451">
                  <c:v>102</c:v>
                </c:pt>
                <c:pt idx="452">
                  <c:v>102</c:v>
                </c:pt>
                <c:pt idx="453">
                  <c:v>102</c:v>
                </c:pt>
                <c:pt idx="454">
                  <c:v>102</c:v>
                </c:pt>
                <c:pt idx="455">
                  <c:v>102</c:v>
                </c:pt>
                <c:pt idx="456">
                  <c:v>102</c:v>
                </c:pt>
                <c:pt idx="457">
                  <c:v>102</c:v>
                </c:pt>
                <c:pt idx="458">
                  <c:v>102</c:v>
                </c:pt>
                <c:pt idx="459">
                  <c:v>102</c:v>
                </c:pt>
                <c:pt idx="460">
                  <c:v>102</c:v>
                </c:pt>
                <c:pt idx="461">
                  <c:v>102</c:v>
                </c:pt>
                <c:pt idx="462">
                  <c:v>103</c:v>
                </c:pt>
                <c:pt idx="463">
                  <c:v>103</c:v>
                </c:pt>
                <c:pt idx="464">
                  <c:v>103</c:v>
                </c:pt>
                <c:pt idx="465">
                  <c:v>103</c:v>
                </c:pt>
                <c:pt idx="466">
                  <c:v>104</c:v>
                </c:pt>
                <c:pt idx="467">
                  <c:v>104</c:v>
                </c:pt>
                <c:pt idx="468">
                  <c:v>106</c:v>
                </c:pt>
                <c:pt idx="469">
                  <c:v>106</c:v>
                </c:pt>
                <c:pt idx="470">
                  <c:v>105</c:v>
                </c:pt>
                <c:pt idx="471">
                  <c:v>105</c:v>
                </c:pt>
                <c:pt idx="472">
                  <c:v>105</c:v>
                </c:pt>
                <c:pt idx="473">
                  <c:v>105</c:v>
                </c:pt>
                <c:pt idx="474">
                  <c:v>105</c:v>
                </c:pt>
                <c:pt idx="475">
                  <c:v>105</c:v>
                </c:pt>
                <c:pt idx="476">
                  <c:v>106</c:v>
                </c:pt>
                <c:pt idx="477">
                  <c:v>106</c:v>
                </c:pt>
                <c:pt idx="478">
                  <c:v>106</c:v>
                </c:pt>
                <c:pt idx="479">
                  <c:v>106</c:v>
                </c:pt>
                <c:pt idx="480">
                  <c:v>107</c:v>
                </c:pt>
                <c:pt idx="481">
                  <c:v>107</c:v>
                </c:pt>
                <c:pt idx="482">
                  <c:v>108</c:v>
                </c:pt>
                <c:pt idx="483">
                  <c:v>108</c:v>
                </c:pt>
                <c:pt idx="484">
                  <c:v>108</c:v>
                </c:pt>
                <c:pt idx="485">
                  <c:v>108</c:v>
                </c:pt>
                <c:pt idx="486">
                  <c:v>108</c:v>
                </c:pt>
                <c:pt idx="487">
                  <c:v>108</c:v>
                </c:pt>
                <c:pt idx="488">
                  <c:v>108</c:v>
                </c:pt>
                <c:pt idx="489">
                  <c:v>108</c:v>
                </c:pt>
                <c:pt idx="490">
                  <c:v>108</c:v>
                </c:pt>
                <c:pt idx="491">
                  <c:v>108</c:v>
                </c:pt>
                <c:pt idx="492">
                  <c:v>108</c:v>
                </c:pt>
                <c:pt idx="493">
                  <c:v>108</c:v>
                </c:pt>
                <c:pt idx="494">
                  <c:v>108</c:v>
                </c:pt>
                <c:pt idx="495">
                  <c:v>108</c:v>
                </c:pt>
                <c:pt idx="496">
                  <c:v>108</c:v>
                </c:pt>
                <c:pt idx="497">
                  <c:v>108</c:v>
                </c:pt>
                <c:pt idx="498">
                  <c:v>109</c:v>
                </c:pt>
                <c:pt idx="499">
                  <c:v>108</c:v>
                </c:pt>
                <c:pt idx="500">
                  <c:v>108</c:v>
                </c:pt>
                <c:pt idx="501">
                  <c:v>108</c:v>
                </c:pt>
                <c:pt idx="502">
                  <c:v>107</c:v>
                </c:pt>
                <c:pt idx="503">
                  <c:v>107</c:v>
                </c:pt>
                <c:pt idx="504">
                  <c:v>107</c:v>
                </c:pt>
                <c:pt idx="505">
                  <c:v>107</c:v>
                </c:pt>
                <c:pt idx="506">
                  <c:v>107</c:v>
                </c:pt>
                <c:pt idx="507">
                  <c:v>107</c:v>
                </c:pt>
                <c:pt idx="508">
                  <c:v>107</c:v>
                </c:pt>
                <c:pt idx="509">
                  <c:v>107</c:v>
                </c:pt>
                <c:pt idx="510">
                  <c:v>107</c:v>
                </c:pt>
                <c:pt idx="511">
                  <c:v>107</c:v>
                </c:pt>
                <c:pt idx="512">
                  <c:v>107</c:v>
                </c:pt>
                <c:pt idx="513">
                  <c:v>107</c:v>
                </c:pt>
                <c:pt idx="514">
                  <c:v>108</c:v>
                </c:pt>
                <c:pt idx="515">
                  <c:v>108</c:v>
                </c:pt>
                <c:pt idx="516">
                  <c:v>108</c:v>
                </c:pt>
                <c:pt idx="517">
                  <c:v>108</c:v>
                </c:pt>
                <c:pt idx="518">
                  <c:v>108</c:v>
                </c:pt>
                <c:pt idx="519">
                  <c:v>108</c:v>
                </c:pt>
                <c:pt idx="520">
                  <c:v>108</c:v>
                </c:pt>
                <c:pt idx="521">
                  <c:v>108</c:v>
                </c:pt>
                <c:pt idx="522">
                  <c:v>108</c:v>
                </c:pt>
                <c:pt idx="523">
                  <c:v>108</c:v>
                </c:pt>
                <c:pt idx="524">
                  <c:v>108</c:v>
                </c:pt>
                <c:pt idx="525">
                  <c:v>108</c:v>
                </c:pt>
                <c:pt idx="526">
                  <c:v>109</c:v>
                </c:pt>
                <c:pt idx="527">
                  <c:v>109</c:v>
                </c:pt>
                <c:pt idx="528">
                  <c:v>109</c:v>
                </c:pt>
                <c:pt idx="529">
                  <c:v>109</c:v>
                </c:pt>
                <c:pt idx="530">
                  <c:v>109</c:v>
                </c:pt>
                <c:pt idx="531">
                  <c:v>109</c:v>
                </c:pt>
                <c:pt idx="532">
                  <c:v>109</c:v>
                </c:pt>
                <c:pt idx="533">
                  <c:v>108</c:v>
                </c:pt>
                <c:pt idx="534">
                  <c:v>108</c:v>
                </c:pt>
                <c:pt idx="535">
                  <c:v>108</c:v>
                </c:pt>
                <c:pt idx="536">
                  <c:v>109</c:v>
                </c:pt>
                <c:pt idx="537">
                  <c:v>109</c:v>
                </c:pt>
                <c:pt idx="538">
                  <c:v>109</c:v>
                </c:pt>
                <c:pt idx="539">
                  <c:v>109</c:v>
                </c:pt>
                <c:pt idx="540">
                  <c:v>109</c:v>
                </c:pt>
                <c:pt idx="541">
                  <c:v>109</c:v>
                </c:pt>
                <c:pt idx="542">
                  <c:v>109</c:v>
                </c:pt>
                <c:pt idx="543">
                  <c:v>109</c:v>
                </c:pt>
                <c:pt idx="544">
                  <c:v>109</c:v>
                </c:pt>
                <c:pt idx="545">
                  <c:v>109</c:v>
                </c:pt>
                <c:pt idx="546">
                  <c:v>109</c:v>
                </c:pt>
                <c:pt idx="547">
                  <c:v>109</c:v>
                </c:pt>
                <c:pt idx="548">
                  <c:v>109</c:v>
                </c:pt>
                <c:pt idx="549">
                  <c:v>109</c:v>
                </c:pt>
                <c:pt idx="550">
                  <c:v>110</c:v>
                </c:pt>
                <c:pt idx="551">
                  <c:v>110</c:v>
                </c:pt>
                <c:pt idx="552">
                  <c:v>110</c:v>
                </c:pt>
                <c:pt idx="553">
                  <c:v>110</c:v>
                </c:pt>
                <c:pt idx="554">
                  <c:v>110</c:v>
                </c:pt>
                <c:pt idx="555">
                  <c:v>110</c:v>
                </c:pt>
                <c:pt idx="556">
                  <c:v>111</c:v>
                </c:pt>
                <c:pt idx="557">
                  <c:v>111</c:v>
                </c:pt>
                <c:pt idx="558">
                  <c:v>110</c:v>
                </c:pt>
                <c:pt idx="559">
                  <c:v>109</c:v>
                </c:pt>
                <c:pt idx="560">
                  <c:v>107</c:v>
                </c:pt>
                <c:pt idx="561">
                  <c:v>107</c:v>
                </c:pt>
                <c:pt idx="562">
                  <c:v>108</c:v>
                </c:pt>
                <c:pt idx="563">
                  <c:v>108</c:v>
                </c:pt>
                <c:pt idx="564">
                  <c:v>108</c:v>
                </c:pt>
                <c:pt idx="565">
                  <c:v>108</c:v>
                </c:pt>
                <c:pt idx="566">
                  <c:v>108</c:v>
                </c:pt>
                <c:pt idx="567">
                  <c:v>108</c:v>
                </c:pt>
                <c:pt idx="568">
                  <c:v>108</c:v>
                </c:pt>
                <c:pt idx="569">
                  <c:v>107</c:v>
                </c:pt>
                <c:pt idx="570">
                  <c:v>107</c:v>
                </c:pt>
                <c:pt idx="571">
                  <c:v>107</c:v>
                </c:pt>
                <c:pt idx="572">
                  <c:v>107</c:v>
                </c:pt>
                <c:pt idx="573">
                  <c:v>107</c:v>
                </c:pt>
                <c:pt idx="574">
                  <c:v>107</c:v>
                </c:pt>
                <c:pt idx="575">
                  <c:v>108</c:v>
                </c:pt>
                <c:pt idx="576">
                  <c:v>108</c:v>
                </c:pt>
                <c:pt idx="577">
                  <c:v>108</c:v>
                </c:pt>
                <c:pt idx="578">
                  <c:v>108</c:v>
                </c:pt>
                <c:pt idx="579">
                  <c:v>108</c:v>
                </c:pt>
                <c:pt idx="580">
                  <c:v>108</c:v>
                </c:pt>
                <c:pt idx="581">
                  <c:v>108</c:v>
                </c:pt>
                <c:pt idx="582">
                  <c:v>108</c:v>
                </c:pt>
                <c:pt idx="583">
                  <c:v>108</c:v>
                </c:pt>
                <c:pt idx="584">
                  <c:v>108</c:v>
                </c:pt>
                <c:pt idx="585">
                  <c:v>108</c:v>
                </c:pt>
                <c:pt idx="586">
                  <c:v>107.5</c:v>
                </c:pt>
                <c:pt idx="587">
                  <c:v>108</c:v>
                </c:pt>
                <c:pt idx="588">
                  <c:v>107</c:v>
                </c:pt>
                <c:pt idx="589">
                  <c:v>107</c:v>
                </c:pt>
                <c:pt idx="590">
                  <c:v>108</c:v>
                </c:pt>
                <c:pt idx="591">
                  <c:v>107</c:v>
                </c:pt>
                <c:pt idx="592">
                  <c:v>107</c:v>
                </c:pt>
                <c:pt idx="593">
                  <c:v>107</c:v>
                </c:pt>
                <c:pt idx="594">
                  <c:v>107</c:v>
                </c:pt>
                <c:pt idx="595">
                  <c:v>107</c:v>
                </c:pt>
                <c:pt idx="596">
                  <c:v>107</c:v>
                </c:pt>
                <c:pt idx="597">
                  <c:v>107</c:v>
                </c:pt>
                <c:pt idx="598">
                  <c:v>107</c:v>
                </c:pt>
                <c:pt idx="599">
                  <c:v>107</c:v>
                </c:pt>
                <c:pt idx="600">
                  <c:v>107</c:v>
                </c:pt>
                <c:pt idx="601">
                  <c:v>107</c:v>
                </c:pt>
                <c:pt idx="602">
                  <c:v>106</c:v>
                </c:pt>
                <c:pt idx="603">
                  <c:v>106</c:v>
                </c:pt>
                <c:pt idx="604">
                  <c:v>106</c:v>
                </c:pt>
                <c:pt idx="605">
                  <c:v>106</c:v>
                </c:pt>
                <c:pt idx="606">
                  <c:v>106</c:v>
                </c:pt>
                <c:pt idx="607">
                  <c:v>106</c:v>
                </c:pt>
                <c:pt idx="608">
                  <c:v>106</c:v>
                </c:pt>
                <c:pt idx="609">
                  <c:v>105</c:v>
                </c:pt>
                <c:pt idx="610">
                  <c:v>103</c:v>
                </c:pt>
                <c:pt idx="611">
                  <c:v>103</c:v>
                </c:pt>
                <c:pt idx="612">
                  <c:v>102</c:v>
                </c:pt>
                <c:pt idx="613">
                  <c:v>102</c:v>
                </c:pt>
                <c:pt idx="614">
                  <c:v>102</c:v>
                </c:pt>
                <c:pt idx="615">
                  <c:v>102</c:v>
                </c:pt>
                <c:pt idx="616">
                  <c:v>102</c:v>
                </c:pt>
                <c:pt idx="617">
                  <c:v>102</c:v>
                </c:pt>
                <c:pt idx="618">
                  <c:v>102</c:v>
                </c:pt>
                <c:pt idx="619">
                  <c:v>102</c:v>
                </c:pt>
                <c:pt idx="620">
                  <c:v>102</c:v>
                </c:pt>
              </c:numCache>
            </c:numRef>
          </c:val>
          <c:smooth val="0"/>
          <c:extLst>
            <c:ext xmlns:c16="http://schemas.microsoft.com/office/drawing/2014/chart" uri="{C3380CC4-5D6E-409C-BE32-E72D297353CC}">
              <c16:uniqueId val="{00000001-5C27-41EC-B8F3-CB2673AED5CF}"/>
            </c:ext>
          </c:extLst>
        </c:ser>
        <c:ser>
          <c:idx val="3"/>
          <c:order val="2"/>
          <c:tx>
            <c:strRef>
              <c:f>Sheet1!$D$1</c:f>
              <c:strCache>
                <c:ptCount val="1"/>
                <c:pt idx="0">
                  <c:v>Ռուսական ռուբլի</c:v>
                </c:pt>
              </c:strCache>
            </c:strRef>
          </c:tx>
          <c:spPr>
            <a:ln w="28575" cap="rnd">
              <a:solidFill>
                <a:srgbClr val="C00000"/>
              </a:solidFill>
              <a:round/>
            </a:ln>
            <a:effectLst/>
          </c:spPr>
          <c:marker>
            <c:symbol val="none"/>
          </c:marker>
          <c:cat>
            <c:numRef>
              <c:f>Sheet1!$A$2:$A$622</c:f>
              <c:numCache>
                <c:formatCode>dd\-mmm\-yy</c:formatCode>
                <c:ptCount val="621"/>
                <c:pt idx="0">
                  <c:v>43473</c:v>
                </c:pt>
                <c:pt idx="1">
                  <c:v>43474</c:v>
                </c:pt>
                <c:pt idx="2">
                  <c:v>43475</c:v>
                </c:pt>
                <c:pt idx="3">
                  <c:v>43476</c:v>
                </c:pt>
                <c:pt idx="4">
                  <c:v>43479</c:v>
                </c:pt>
                <c:pt idx="5">
                  <c:v>43480</c:v>
                </c:pt>
                <c:pt idx="6">
                  <c:v>43481</c:v>
                </c:pt>
                <c:pt idx="7">
                  <c:v>43482</c:v>
                </c:pt>
                <c:pt idx="8">
                  <c:v>43483</c:v>
                </c:pt>
                <c:pt idx="9">
                  <c:v>43486</c:v>
                </c:pt>
                <c:pt idx="10">
                  <c:v>43487</c:v>
                </c:pt>
                <c:pt idx="11">
                  <c:v>43488</c:v>
                </c:pt>
                <c:pt idx="12">
                  <c:v>43489</c:v>
                </c:pt>
                <c:pt idx="13">
                  <c:v>43490</c:v>
                </c:pt>
                <c:pt idx="14">
                  <c:v>43494</c:v>
                </c:pt>
                <c:pt idx="15">
                  <c:v>43495</c:v>
                </c:pt>
                <c:pt idx="16">
                  <c:v>43496</c:v>
                </c:pt>
                <c:pt idx="17">
                  <c:v>43497</c:v>
                </c:pt>
                <c:pt idx="18">
                  <c:v>43500</c:v>
                </c:pt>
                <c:pt idx="19">
                  <c:v>43501</c:v>
                </c:pt>
                <c:pt idx="20">
                  <c:v>43502</c:v>
                </c:pt>
                <c:pt idx="21">
                  <c:v>43503</c:v>
                </c:pt>
                <c:pt idx="22">
                  <c:v>43504</c:v>
                </c:pt>
                <c:pt idx="23">
                  <c:v>43507</c:v>
                </c:pt>
                <c:pt idx="24">
                  <c:v>43508</c:v>
                </c:pt>
                <c:pt idx="25">
                  <c:v>43509</c:v>
                </c:pt>
                <c:pt idx="26">
                  <c:v>43510</c:v>
                </c:pt>
                <c:pt idx="27">
                  <c:v>43511</c:v>
                </c:pt>
                <c:pt idx="28">
                  <c:v>43514</c:v>
                </c:pt>
                <c:pt idx="29">
                  <c:v>43515</c:v>
                </c:pt>
                <c:pt idx="30">
                  <c:v>43516</c:v>
                </c:pt>
                <c:pt idx="31">
                  <c:v>43517</c:v>
                </c:pt>
                <c:pt idx="32">
                  <c:v>43518</c:v>
                </c:pt>
                <c:pt idx="33">
                  <c:v>43521</c:v>
                </c:pt>
                <c:pt idx="34">
                  <c:v>43522</c:v>
                </c:pt>
                <c:pt idx="35">
                  <c:v>43523</c:v>
                </c:pt>
                <c:pt idx="36">
                  <c:v>43524</c:v>
                </c:pt>
                <c:pt idx="37">
                  <c:v>43525</c:v>
                </c:pt>
                <c:pt idx="38">
                  <c:v>43528</c:v>
                </c:pt>
                <c:pt idx="39">
                  <c:v>43529</c:v>
                </c:pt>
                <c:pt idx="40">
                  <c:v>43530</c:v>
                </c:pt>
                <c:pt idx="41">
                  <c:v>43531</c:v>
                </c:pt>
                <c:pt idx="42">
                  <c:v>43535</c:v>
                </c:pt>
                <c:pt idx="43">
                  <c:v>43536</c:v>
                </c:pt>
                <c:pt idx="44">
                  <c:v>43537</c:v>
                </c:pt>
                <c:pt idx="45">
                  <c:v>43538</c:v>
                </c:pt>
                <c:pt idx="46">
                  <c:v>43539</c:v>
                </c:pt>
                <c:pt idx="47">
                  <c:v>43542</c:v>
                </c:pt>
                <c:pt idx="48">
                  <c:v>43543</c:v>
                </c:pt>
                <c:pt idx="49">
                  <c:v>43544</c:v>
                </c:pt>
                <c:pt idx="50">
                  <c:v>43545</c:v>
                </c:pt>
                <c:pt idx="51">
                  <c:v>43546</c:v>
                </c:pt>
                <c:pt idx="52">
                  <c:v>43549</c:v>
                </c:pt>
                <c:pt idx="53">
                  <c:v>43550</c:v>
                </c:pt>
                <c:pt idx="54">
                  <c:v>43551</c:v>
                </c:pt>
                <c:pt idx="55">
                  <c:v>43552</c:v>
                </c:pt>
                <c:pt idx="56">
                  <c:v>43553</c:v>
                </c:pt>
                <c:pt idx="57">
                  <c:v>43556</c:v>
                </c:pt>
                <c:pt idx="58">
                  <c:v>43557</c:v>
                </c:pt>
                <c:pt idx="59">
                  <c:v>43558</c:v>
                </c:pt>
                <c:pt idx="60">
                  <c:v>43559</c:v>
                </c:pt>
                <c:pt idx="61">
                  <c:v>43560</c:v>
                </c:pt>
                <c:pt idx="62">
                  <c:v>43563</c:v>
                </c:pt>
                <c:pt idx="63">
                  <c:v>43564</c:v>
                </c:pt>
                <c:pt idx="64">
                  <c:v>43565</c:v>
                </c:pt>
                <c:pt idx="65">
                  <c:v>43566</c:v>
                </c:pt>
                <c:pt idx="66">
                  <c:v>43567</c:v>
                </c:pt>
                <c:pt idx="67">
                  <c:v>43570</c:v>
                </c:pt>
                <c:pt idx="68">
                  <c:v>43571</c:v>
                </c:pt>
                <c:pt idx="69">
                  <c:v>43572</c:v>
                </c:pt>
                <c:pt idx="70">
                  <c:v>43573</c:v>
                </c:pt>
                <c:pt idx="71">
                  <c:v>43577</c:v>
                </c:pt>
                <c:pt idx="72">
                  <c:v>43578</c:v>
                </c:pt>
                <c:pt idx="73">
                  <c:v>43579</c:v>
                </c:pt>
                <c:pt idx="74">
                  <c:v>43580</c:v>
                </c:pt>
                <c:pt idx="75">
                  <c:v>43581</c:v>
                </c:pt>
                <c:pt idx="76">
                  <c:v>43584</c:v>
                </c:pt>
                <c:pt idx="77">
                  <c:v>43585</c:v>
                </c:pt>
                <c:pt idx="78">
                  <c:v>43587</c:v>
                </c:pt>
                <c:pt idx="79">
                  <c:v>43588</c:v>
                </c:pt>
                <c:pt idx="80">
                  <c:v>43591</c:v>
                </c:pt>
                <c:pt idx="81">
                  <c:v>43592</c:v>
                </c:pt>
                <c:pt idx="82">
                  <c:v>43593</c:v>
                </c:pt>
                <c:pt idx="83">
                  <c:v>43595</c:v>
                </c:pt>
                <c:pt idx="84">
                  <c:v>43598</c:v>
                </c:pt>
                <c:pt idx="85">
                  <c:v>43599</c:v>
                </c:pt>
                <c:pt idx="86">
                  <c:v>43600</c:v>
                </c:pt>
                <c:pt idx="87">
                  <c:v>43601</c:v>
                </c:pt>
                <c:pt idx="88">
                  <c:v>43602</c:v>
                </c:pt>
                <c:pt idx="89">
                  <c:v>43605</c:v>
                </c:pt>
                <c:pt idx="90">
                  <c:v>43606</c:v>
                </c:pt>
                <c:pt idx="91">
                  <c:v>43607</c:v>
                </c:pt>
                <c:pt idx="92">
                  <c:v>43608</c:v>
                </c:pt>
                <c:pt idx="93">
                  <c:v>43609</c:v>
                </c:pt>
                <c:pt idx="94">
                  <c:v>43612</c:v>
                </c:pt>
                <c:pt idx="95">
                  <c:v>43614</c:v>
                </c:pt>
                <c:pt idx="96">
                  <c:v>43615</c:v>
                </c:pt>
                <c:pt idx="97">
                  <c:v>43616</c:v>
                </c:pt>
                <c:pt idx="98">
                  <c:v>43619</c:v>
                </c:pt>
                <c:pt idx="99">
                  <c:v>43620</c:v>
                </c:pt>
                <c:pt idx="100">
                  <c:v>43621</c:v>
                </c:pt>
                <c:pt idx="101">
                  <c:v>43622</c:v>
                </c:pt>
                <c:pt idx="102">
                  <c:v>43623</c:v>
                </c:pt>
                <c:pt idx="103">
                  <c:v>43626</c:v>
                </c:pt>
                <c:pt idx="104">
                  <c:v>43627</c:v>
                </c:pt>
                <c:pt idx="105">
                  <c:v>43628</c:v>
                </c:pt>
                <c:pt idx="106">
                  <c:v>43629</c:v>
                </c:pt>
                <c:pt idx="107">
                  <c:v>43630</c:v>
                </c:pt>
                <c:pt idx="108">
                  <c:v>43633</c:v>
                </c:pt>
                <c:pt idx="109">
                  <c:v>43634</c:v>
                </c:pt>
                <c:pt idx="110">
                  <c:v>43635</c:v>
                </c:pt>
                <c:pt idx="111">
                  <c:v>43636</c:v>
                </c:pt>
                <c:pt idx="112">
                  <c:v>43637</c:v>
                </c:pt>
                <c:pt idx="113">
                  <c:v>43640</c:v>
                </c:pt>
                <c:pt idx="114">
                  <c:v>43641</c:v>
                </c:pt>
                <c:pt idx="115">
                  <c:v>43642</c:v>
                </c:pt>
                <c:pt idx="116">
                  <c:v>43643</c:v>
                </c:pt>
                <c:pt idx="117">
                  <c:v>43644</c:v>
                </c:pt>
                <c:pt idx="118">
                  <c:v>43647</c:v>
                </c:pt>
                <c:pt idx="119">
                  <c:v>43648</c:v>
                </c:pt>
                <c:pt idx="120">
                  <c:v>43649</c:v>
                </c:pt>
                <c:pt idx="121">
                  <c:v>43650</c:v>
                </c:pt>
                <c:pt idx="122">
                  <c:v>43654</c:v>
                </c:pt>
                <c:pt idx="123">
                  <c:v>43655</c:v>
                </c:pt>
                <c:pt idx="124">
                  <c:v>43656</c:v>
                </c:pt>
                <c:pt idx="125">
                  <c:v>43657</c:v>
                </c:pt>
                <c:pt idx="126">
                  <c:v>43658</c:v>
                </c:pt>
                <c:pt idx="127">
                  <c:v>43661</c:v>
                </c:pt>
                <c:pt idx="128">
                  <c:v>43662</c:v>
                </c:pt>
                <c:pt idx="129">
                  <c:v>43663</c:v>
                </c:pt>
                <c:pt idx="130">
                  <c:v>43664</c:v>
                </c:pt>
                <c:pt idx="131">
                  <c:v>43665</c:v>
                </c:pt>
                <c:pt idx="132">
                  <c:v>43668</c:v>
                </c:pt>
                <c:pt idx="133">
                  <c:v>43669</c:v>
                </c:pt>
                <c:pt idx="134">
                  <c:v>43670</c:v>
                </c:pt>
                <c:pt idx="135">
                  <c:v>43671</c:v>
                </c:pt>
                <c:pt idx="136">
                  <c:v>43672</c:v>
                </c:pt>
                <c:pt idx="137">
                  <c:v>43675</c:v>
                </c:pt>
                <c:pt idx="138">
                  <c:v>43676</c:v>
                </c:pt>
                <c:pt idx="139">
                  <c:v>43677</c:v>
                </c:pt>
                <c:pt idx="140">
                  <c:v>43678</c:v>
                </c:pt>
                <c:pt idx="141">
                  <c:v>43679</c:v>
                </c:pt>
                <c:pt idx="142">
                  <c:v>43682</c:v>
                </c:pt>
                <c:pt idx="143">
                  <c:v>43683</c:v>
                </c:pt>
                <c:pt idx="144">
                  <c:v>43684</c:v>
                </c:pt>
                <c:pt idx="145">
                  <c:v>43685</c:v>
                </c:pt>
                <c:pt idx="146">
                  <c:v>43686</c:v>
                </c:pt>
                <c:pt idx="147">
                  <c:v>43689</c:v>
                </c:pt>
                <c:pt idx="148">
                  <c:v>43690</c:v>
                </c:pt>
                <c:pt idx="149">
                  <c:v>43691</c:v>
                </c:pt>
                <c:pt idx="150">
                  <c:v>43692</c:v>
                </c:pt>
                <c:pt idx="151">
                  <c:v>43693</c:v>
                </c:pt>
                <c:pt idx="152">
                  <c:v>43696</c:v>
                </c:pt>
                <c:pt idx="153">
                  <c:v>43697</c:v>
                </c:pt>
                <c:pt idx="154">
                  <c:v>43698</c:v>
                </c:pt>
                <c:pt idx="155">
                  <c:v>43699</c:v>
                </c:pt>
                <c:pt idx="156">
                  <c:v>43700</c:v>
                </c:pt>
                <c:pt idx="157">
                  <c:v>43703</c:v>
                </c:pt>
                <c:pt idx="158">
                  <c:v>43704</c:v>
                </c:pt>
                <c:pt idx="159">
                  <c:v>43705</c:v>
                </c:pt>
                <c:pt idx="160">
                  <c:v>43706</c:v>
                </c:pt>
                <c:pt idx="161">
                  <c:v>43707</c:v>
                </c:pt>
                <c:pt idx="162">
                  <c:v>43710</c:v>
                </c:pt>
                <c:pt idx="163">
                  <c:v>43711</c:v>
                </c:pt>
                <c:pt idx="164">
                  <c:v>43712</c:v>
                </c:pt>
                <c:pt idx="165">
                  <c:v>43713</c:v>
                </c:pt>
                <c:pt idx="166">
                  <c:v>43714</c:v>
                </c:pt>
                <c:pt idx="167">
                  <c:v>43717</c:v>
                </c:pt>
                <c:pt idx="168">
                  <c:v>43718</c:v>
                </c:pt>
                <c:pt idx="169">
                  <c:v>43719</c:v>
                </c:pt>
                <c:pt idx="170">
                  <c:v>43720</c:v>
                </c:pt>
                <c:pt idx="171">
                  <c:v>43721</c:v>
                </c:pt>
                <c:pt idx="172">
                  <c:v>43724</c:v>
                </c:pt>
                <c:pt idx="173">
                  <c:v>43725</c:v>
                </c:pt>
                <c:pt idx="174">
                  <c:v>43726</c:v>
                </c:pt>
                <c:pt idx="175">
                  <c:v>43727</c:v>
                </c:pt>
                <c:pt idx="176">
                  <c:v>43728</c:v>
                </c:pt>
                <c:pt idx="177">
                  <c:v>43731</c:v>
                </c:pt>
                <c:pt idx="178">
                  <c:v>43732</c:v>
                </c:pt>
                <c:pt idx="179">
                  <c:v>43733</c:v>
                </c:pt>
                <c:pt idx="180">
                  <c:v>43734</c:v>
                </c:pt>
                <c:pt idx="181">
                  <c:v>43735</c:v>
                </c:pt>
                <c:pt idx="182">
                  <c:v>43738</c:v>
                </c:pt>
                <c:pt idx="183">
                  <c:v>43739</c:v>
                </c:pt>
                <c:pt idx="184">
                  <c:v>43740</c:v>
                </c:pt>
                <c:pt idx="185">
                  <c:v>43741</c:v>
                </c:pt>
                <c:pt idx="186">
                  <c:v>43742</c:v>
                </c:pt>
                <c:pt idx="187">
                  <c:v>43745</c:v>
                </c:pt>
                <c:pt idx="188">
                  <c:v>43746</c:v>
                </c:pt>
                <c:pt idx="189">
                  <c:v>43747</c:v>
                </c:pt>
                <c:pt idx="190">
                  <c:v>43748</c:v>
                </c:pt>
                <c:pt idx="191">
                  <c:v>43749</c:v>
                </c:pt>
                <c:pt idx="192">
                  <c:v>43752</c:v>
                </c:pt>
                <c:pt idx="193">
                  <c:v>43753</c:v>
                </c:pt>
                <c:pt idx="194">
                  <c:v>43754</c:v>
                </c:pt>
                <c:pt idx="195">
                  <c:v>43755</c:v>
                </c:pt>
                <c:pt idx="196">
                  <c:v>43756</c:v>
                </c:pt>
                <c:pt idx="197">
                  <c:v>43759</c:v>
                </c:pt>
                <c:pt idx="198">
                  <c:v>43760</c:v>
                </c:pt>
                <c:pt idx="199">
                  <c:v>43761</c:v>
                </c:pt>
                <c:pt idx="200">
                  <c:v>43762</c:v>
                </c:pt>
                <c:pt idx="201">
                  <c:v>43763</c:v>
                </c:pt>
                <c:pt idx="202">
                  <c:v>43766</c:v>
                </c:pt>
                <c:pt idx="203">
                  <c:v>43767</c:v>
                </c:pt>
                <c:pt idx="204">
                  <c:v>43768</c:v>
                </c:pt>
                <c:pt idx="205">
                  <c:v>43769</c:v>
                </c:pt>
                <c:pt idx="206">
                  <c:v>43770</c:v>
                </c:pt>
                <c:pt idx="207">
                  <c:v>43773</c:v>
                </c:pt>
                <c:pt idx="208">
                  <c:v>43774</c:v>
                </c:pt>
                <c:pt idx="209">
                  <c:v>43775</c:v>
                </c:pt>
                <c:pt idx="210">
                  <c:v>43776</c:v>
                </c:pt>
                <c:pt idx="211">
                  <c:v>43777</c:v>
                </c:pt>
                <c:pt idx="212">
                  <c:v>43780</c:v>
                </c:pt>
                <c:pt idx="213">
                  <c:v>43781</c:v>
                </c:pt>
                <c:pt idx="214">
                  <c:v>43782</c:v>
                </c:pt>
                <c:pt idx="215">
                  <c:v>43783</c:v>
                </c:pt>
                <c:pt idx="216">
                  <c:v>43784</c:v>
                </c:pt>
                <c:pt idx="217">
                  <c:v>43787</c:v>
                </c:pt>
                <c:pt idx="218">
                  <c:v>43788</c:v>
                </c:pt>
                <c:pt idx="219">
                  <c:v>43789</c:v>
                </c:pt>
                <c:pt idx="220">
                  <c:v>43790</c:v>
                </c:pt>
                <c:pt idx="221">
                  <c:v>43791</c:v>
                </c:pt>
                <c:pt idx="222">
                  <c:v>43794</c:v>
                </c:pt>
                <c:pt idx="223">
                  <c:v>43795</c:v>
                </c:pt>
                <c:pt idx="224">
                  <c:v>43796</c:v>
                </c:pt>
                <c:pt idx="225">
                  <c:v>43797</c:v>
                </c:pt>
                <c:pt idx="226">
                  <c:v>43798</c:v>
                </c:pt>
                <c:pt idx="227">
                  <c:v>43801</c:v>
                </c:pt>
                <c:pt idx="228">
                  <c:v>43802</c:v>
                </c:pt>
                <c:pt idx="229">
                  <c:v>43803</c:v>
                </c:pt>
                <c:pt idx="230">
                  <c:v>43804</c:v>
                </c:pt>
                <c:pt idx="231">
                  <c:v>43805</c:v>
                </c:pt>
                <c:pt idx="232">
                  <c:v>43808</c:v>
                </c:pt>
                <c:pt idx="233">
                  <c:v>43809</c:v>
                </c:pt>
                <c:pt idx="234">
                  <c:v>43810</c:v>
                </c:pt>
                <c:pt idx="235">
                  <c:v>43811</c:v>
                </c:pt>
                <c:pt idx="236">
                  <c:v>43812</c:v>
                </c:pt>
                <c:pt idx="237">
                  <c:v>43815</c:v>
                </c:pt>
                <c:pt idx="238">
                  <c:v>43816</c:v>
                </c:pt>
                <c:pt idx="239">
                  <c:v>43817</c:v>
                </c:pt>
                <c:pt idx="240">
                  <c:v>43818</c:v>
                </c:pt>
                <c:pt idx="241">
                  <c:v>43819</c:v>
                </c:pt>
                <c:pt idx="242">
                  <c:v>43822</c:v>
                </c:pt>
                <c:pt idx="243">
                  <c:v>43823</c:v>
                </c:pt>
                <c:pt idx="244">
                  <c:v>43825</c:v>
                </c:pt>
                <c:pt idx="245">
                  <c:v>43826</c:v>
                </c:pt>
                <c:pt idx="246">
                  <c:v>43829</c:v>
                </c:pt>
                <c:pt idx="247">
                  <c:v>43838</c:v>
                </c:pt>
                <c:pt idx="248">
                  <c:v>43839</c:v>
                </c:pt>
                <c:pt idx="249">
                  <c:v>43840</c:v>
                </c:pt>
                <c:pt idx="250">
                  <c:v>43843</c:v>
                </c:pt>
                <c:pt idx="251">
                  <c:v>43844</c:v>
                </c:pt>
                <c:pt idx="252">
                  <c:v>43845</c:v>
                </c:pt>
                <c:pt idx="253">
                  <c:v>43846</c:v>
                </c:pt>
                <c:pt idx="254">
                  <c:v>43847</c:v>
                </c:pt>
                <c:pt idx="255">
                  <c:v>43850</c:v>
                </c:pt>
                <c:pt idx="256">
                  <c:v>43851</c:v>
                </c:pt>
                <c:pt idx="257">
                  <c:v>43852</c:v>
                </c:pt>
                <c:pt idx="258">
                  <c:v>43853</c:v>
                </c:pt>
                <c:pt idx="259">
                  <c:v>43854</c:v>
                </c:pt>
                <c:pt idx="260">
                  <c:v>43859</c:v>
                </c:pt>
                <c:pt idx="261">
                  <c:v>43860</c:v>
                </c:pt>
                <c:pt idx="262">
                  <c:v>43861</c:v>
                </c:pt>
                <c:pt idx="263">
                  <c:v>43864</c:v>
                </c:pt>
                <c:pt idx="264">
                  <c:v>43865</c:v>
                </c:pt>
                <c:pt idx="265">
                  <c:v>43866</c:v>
                </c:pt>
                <c:pt idx="266">
                  <c:v>43867</c:v>
                </c:pt>
                <c:pt idx="267">
                  <c:v>43868</c:v>
                </c:pt>
                <c:pt idx="268">
                  <c:v>43871</c:v>
                </c:pt>
                <c:pt idx="269">
                  <c:v>43872</c:v>
                </c:pt>
                <c:pt idx="270">
                  <c:v>43873</c:v>
                </c:pt>
                <c:pt idx="271">
                  <c:v>43874</c:v>
                </c:pt>
                <c:pt idx="272">
                  <c:v>43875</c:v>
                </c:pt>
                <c:pt idx="273">
                  <c:v>43878</c:v>
                </c:pt>
                <c:pt idx="274">
                  <c:v>43879</c:v>
                </c:pt>
                <c:pt idx="275">
                  <c:v>43880</c:v>
                </c:pt>
                <c:pt idx="276">
                  <c:v>43881</c:v>
                </c:pt>
                <c:pt idx="277">
                  <c:v>43882</c:v>
                </c:pt>
                <c:pt idx="278">
                  <c:v>43885</c:v>
                </c:pt>
                <c:pt idx="279">
                  <c:v>43886</c:v>
                </c:pt>
                <c:pt idx="280">
                  <c:v>43887</c:v>
                </c:pt>
                <c:pt idx="281">
                  <c:v>43888</c:v>
                </c:pt>
                <c:pt idx="282">
                  <c:v>43889</c:v>
                </c:pt>
                <c:pt idx="283">
                  <c:v>43892</c:v>
                </c:pt>
                <c:pt idx="284">
                  <c:v>43893</c:v>
                </c:pt>
                <c:pt idx="285">
                  <c:v>43894</c:v>
                </c:pt>
                <c:pt idx="286">
                  <c:v>43895</c:v>
                </c:pt>
                <c:pt idx="287">
                  <c:v>43896</c:v>
                </c:pt>
                <c:pt idx="288">
                  <c:v>43899</c:v>
                </c:pt>
                <c:pt idx="289">
                  <c:v>43900</c:v>
                </c:pt>
                <c:pt idx="290">
                  <c:v>43901</c:v>
                </c:pt>
                <c:pt idx="291">
                  <c:v>43902</c:v>
                </c:pt>
                <c:pt idx="292">
                  <c:v>43903</c:v>
                </c:pt>
                <c:pt idx="293">
                  <c:v>43906</c:v>
                </c:pt>
                <c:pt idx="294">
                  <c:v>43907</c:v>
                </c:pt>
                <c:pt idx="295">
                  <c:v>43908</c:v>
                </c:pt>
                <c:pt idx="296">
                  <c:v>43909</c:v>
                </c:pt>
                <c:pt idx="297">
                  <c:v>43910</c:v>
                </c:pt>
                <c:pt idx="298">
                  <c:v>43913</c:v>
                </c:pt>
                <c:pt idx="299">
                  <c:v>43914</c:v>
                </c:pt>
                <c:pt idx="300">
                  <c:v>43915</c:v>
                </c:pt>
                <c:pt idx="301">
                  <c:v>43916</c:v>
                </c:pt>
                <c:pt idx="302">
                  <c:v>43917</c:v>
                </c:pt>
                <c:pt idx="303">
                  <c:v>43920</c:v>
                </c:pt>
                <c:pt idx="304">
                  <c:v>43921</c:v>
                </c:pt>
                <c:pt idx="305">
                  <c:v>43922</c:v>
                </c:pt>
                <c:pt idx="306">
                  <c:v>43923</c:v>
                </c:pt>
                <c:pt idx="307">
                  <c:v>43924</c:v>
                </c:pt>
                <c:pt idx="308">
                  <c:v>43927</c:v>
                </c:pt>
                <c:pt idx="309">
                  <c:v>43928</c:v>
                </c:pt>
                <c:pt idx="310">
                  <c:v>43929</c:v>
                </c:pt>
                <c:pt idx="311">
                  <c:v>43930</c:v>
                </c:pt>
                <c:pt idx="312">
                  <c:v>43934</c:v>
                </c:pt>
                <c:pt idx="313">
                  <c:v>43935</c:v>
                </c:pt>
                <c:pt idx="314">
                  <c:v>43936</c:v>
                </c:pt>
                <c:pt idx="315">
                  <c:v>43937</c:v>
                </c:pt>
                <c:pt idx="316">
                  <c:v>43938</c:v>
                </c:pt>
                <c:pt idx="317">
                  <c:v>43941</c:v>
                </c:pt>
                <c:pt idx="318">
                  <c:v>43942</c:v>
                </c:pt>
                <c:pt idx="319">
                  <c:v>43943</c:v>
                </c:pt>
                <c:pt idx="320">
                  <c:v>43944</c:v>
                </c:pt>
                <c:pt idx="321">
                  <c:v>43948</c:v>
                </c:pt>
                <c:pt idx="322">
                  <c:v>43949</c:v>
                </c:pt>
                <c:pt idx="323">
                  <c:v>43950</c:v>
                </c:pt>
                <c:pt idx="324">
                  <c:v>43951</c:v>
                </c:pt>
                <c:pt idx="325">
                  <c:v>43955</c:v>
                </c:pt>
                <c:pt idx="326">
                  <c:v>43956</c:v>
                </c:pt>
                <c:pt idx="327">
                  <c:v>43957</c:v>
                </c:pt>
                <c:pt idx="328">
                  <c:v>43958</c:v>
                </c:pt>
                <c:pt idx="329">
                  <c:v>43959</c:v>
                </c:pt>
                <c:pt idx="330">
                  <c:v>43962</c:v>
                </c:pt>
                <c:pt idx="331">
                  <c:v>43963</c:v>
                </c:pt>
                <c:pt idx="332">
                  <c:v>43964</c:v>
                </c:pt>
                <c:pt idx="333">
                  <c:v>43965</c:v>
                </c:pt>
                <c:pt idx="334">
                  <c:v>43966</c:v>
                </c:pt>
                <c:pt idx="335">
                  <c:v>43969</c:v>
                </c:pt>
                <c:pt idx="336">
                  <c:v>43970</c:v>
                </c:pt>
                <c:pt idx="337">
                  <c:v>43971</c:v>
                </c:pt>
                <c:pt idx="338">
                  <c:v>43972</c:v>
                </c:pt>
                <c:pt idx="339">
                  <c:v>43973</c:v>
                </c:pt>
                <c:pt idx="340">
                  <c:v>43976</c:v>
                </c:pt>
                <c:pt idx="341">
                  <c:v>43977</c:v>
                </c:pt>
                <c:pt idx="342">
                  <c:v>43978</c:v>
                </c:pt>
                <c:pt idx="343">
                  <c:v>43983</c:v>
                </c:pt>
                <c:pt idx="344">
                  <c:v>43984</c:v>
                </c:pt>
                <c:pt idx="345">
                  <c:v>43985</c:v>
                </c:pt>
                <c:pt idx="346">
                  <c:v>43986</c:v>
                </c:pt>
                <c:pt idx="347">
                  <c:v>43987</c:v>
                </c:pt>
                <c:pt idx="348">
                  <c:v>43990</c:v>
                </c:pt>
                <c:pt idx="349">
                  <c:v>43991</c:v>
                </c:pt>
                <c:pt idx="350">
                  <c:v>43992</c:v>
                </c:pt>
                <c:pt idx="351">
                  <c:v>43993</c:v>
                </c:pt>
                <c:pt idx="352">
                  <c:v>43994</c:v>
                </c:pt>
                <c:pt idx="353">
                  <c:v>43997</c:v>
                </c:pt>
                <c:pt idx="354">
                  <c:v>43998</c:v>
                </c:pt>
                <c:pt idx="355">
                  <c:v>43999</c:v>
                </c:pt>
                <c:pt idx="356">
                  <c:v>44000</c:v>
                </c:pt>
                <c:pt idx="357">
                  <c:v>44001</c:v>
                </c:pt>
                <c:pt idx="358">
                  <c:v>44004</c:v>
                </c:pt>
                <c:pt idx="359">
                  <c:v>44005</c:v>
                </c:pt>
                <c:pt idx="360">
                  <c:v>44006</c:v>
                </c:pt>
                <c:pt idx="361">
                  <c:v>44007</c:v>
                </c:pt>
                <c:pt idx="362">
                  <c:v>44008</c:v>
                </c:pt>
                <c:pt idx="363">
                  <c:v>44011</c:v>
                </c:pt>
                <c:pt idx="364">
                  <c:v>44012</c:v>
                </c:pt>
                <c:pt idx="365">
                  <c:v>44013</c:v>
                </c:pt>
                <c:pt idx="366">
                  <c:v>44014</c:v>
                </c:pt>
                <c:pt idx="367">
                  <c:v>44015</c:v>
                </c:pt>
                <c:pt idx="368">
                  <c:v>44018</c:v>
                </c:pt>
                <c:pt idx="369">
                  <c:v>44019</c:v>
                </c:pt>
                <c:pt idx="370">
                  <c:v>44020</c:v>
                </c:pt>
                <c:pt idx="371">
                  <c:v>44021</c:v>
                </c:pt>
                <c:pt idx="372">
                  <c:v>44022</c:v>
                </c:pt>
                <c:pt idx="373">
                  <c:v>44025</c:v>
                </c:pt>
                <c:pt idx="374">
                  <c:v>44026</c:v>
                </c:pt>
                <c:pt idx="375">
                  <c:v>44027</c:v>
                </c:pt>
                <c:pt idx="376">
                  <c:v>44028</c:v>
                </c:pt>
                <c:pt idx="377">
                  <c:v>44029</c:v>
                </c:pt>
                <c:pt idx="378">
                  <c:v>44032</c:v>
                </c:pt>
                <c:pt idx="379">
                  <c:v>44033</c:v>
                </c:pt>
                <c:pt idx="380">
                  <c:v>44034</c:v>
                </c:pt>
                <c:pt idx="381">
                  <c:v>44035</c:v>
                </c:pt>
                <c:pt idx="382">
                  <c:v>44036</c:v>
                </c:pt>
                <c:pt idx="383">
                  <c:v>44039</c:v>
                </c:pt>
                <c:pt idx="384">
                  <c:v>44040</c:v>
                </c:pt>
                <c:pt idx="385">
                  <c:v>44041</c:v>
                </c:pt>
                <c:pt idx="386">
                  <c:v>44042</c:v>
                </c:pt>
                <c:pt idx="387">
                  <c:v>44043</c:v>
                </c:pt>
                <c:pt idx="388">
                  <c:v>44046</c:v>
                </c:pt>
                <c:pt idx="389">
                  <c:v>44047</c:v>
                </c:pt>
                <c:pt idx="390">
                  <c:v>44048</c:v>
                </c:pt>
                <c:pt idx="391">
                  <c:v>44049</c:v>
                </c:pt>
                <c:pt idx="392">
                  <c:v>44050</c:v>
                </c:pt>
                <c:pt idx="393">
                  <c:v>44053</c:v>
                </c:pt>
                <c:pt idx="394">
                  <c:v>44054</c:v>
                </c:pt>
                <c:pt idx="395">
                  <c:v>44055</c:v>
                </c:pt>
                <c:pt idx="396">
                  <c:v>44056</c:v>
                </c:pt>
                <c:pt idx="397">
                  <c:v>44057</c:v>
                </c:pt>
                <c:pt idx="398">
                  <c:v>44060</c:v>
                </c:pt>
                <c:pt idx="399">
                  <c:v>44061</c:v>
                </c:pt>
                <c:pt idx="400">
                  <c:v>44062</c:v>
                </c:pt>
                <c:pt idx="401">
                  <c:v>44063</c:v>
                </c:pt>
                <c:pt idx="402">
                  <c:v>44064</c:v>
                </c:pt>
                <c:pt idx="403">
                  <c:v>44067</c:v>
                </c:pt>
                <c:pt idx="404">
                  <c:v>44068</c:v>
                </c:pt>
                <c:pt idx="405">
                  <c:v>44069</c:v>
                </c:pt>
                <c:pt idx="406">
                  <c:v>44070</c:v>
                </c:pt>
                <c:pt idx="407">
                  <c:v>44071</c:v>
                </c:pt>
                <c:pt idx="408">
                  <c:v>44074</c:v>
                </c:pt>
                <c:pt idx="409">
                  <c:v>44075</c:v>
                </c:pt>
                <c:pt idx="410">
                  <c:v>44076</c:v>
                </c:pt>
                <c:pt idx="411">
                  <c:v>44077</c:v>
                </c:pt>
                <c:pt idx="412">
                  <c:v>44078</c:v>
                </c:pt>
                <c:pt idx="413">
                  <c:v>44081</c:v>
                </c:pt>
                <c:pt idx="414">
                  <c:v>44082</c:v>
                </c:pt>
                <c:pt idx="415">
                  <c:v>44083</c:v>
                </c:pt>
                <c:pt idx="416">
                  <c:v>44084</c:v>
                </c:pt>
                <c:pt idx="417">
                  <c:v>44085</c:v>
                </c:pt>
                <c:pt idx="418">
                  <c:v>44088</c:v>
                </c:pt>
                <c:pt idx="419">
                  <c:v>44089</c:v>
                </c:pt>
                <c:pt idx="420">
                  <c:v>44090</c:v>
                </c:pt>
                <c:pt idx="421">
                  <c:v>44091</c:v>
                </c:pt>
                <c:pt idx="422">
                  <c:v>44092</c:v>
                </c:pt>
                <c:pt idx="423">
                  <c:v>44096</c:v>
                </c:pt>
                <c:pt idx="424">
                  <c:v>44097</c:v>
                </c:pt>
                <c:pt idx="425">
                  <c:v>44098</c:v>
                </c:pt>
                <c:pt idx="426">
                  <c:v>44099</c:v>
                </c:pt>
                <c:pt idx="427">
                  <c:v>44102</c:v>
                </c:pt>
                <c:pt idx="428">
                  <c:v>44103</c:v>
                </c:pt>
                <c:pt idx="429">
                  <c:v>44104</c:v>
                </c:pt>
                <c:pt idx="430">
                  <c:v>44105</c:v>
                </c:pt>
                <c:pt idx="431">
                  <c:v>44106</c:v>
                </c:pt>
                <c:pt idx="432">
                  <c:v>44109</c:v>
                </c:pt>
                <c:pt idx="433">
                  <c:v>44110</c:v>
                </c:pt>
                <c:pt idx="434">
                  <c:v>44111</c:v>
                </c:pt>
                <c:pt idx="435">
                  <c:v>44112</c:v>
                </c:pt>
                <c:pt idx="436">
                  <c:v>44113</c:v>
                </c:pt>
                <c:pt idx="437">
                  <c:v>44116</c:v>
                </c:pt>
                <c:pt idx="438">
                  <c:v>44117</c:v>
                </c:pt>
                <c:pt idx="439">
                  <c:v>44118</c:v>
                </c:pt>
                <c:pt idx="440">
                  <c:v>44119</c:v>
                </c:pt>
                <c:pt idx="441">
                  <c:v>44120</c:v>
                </c:pt>
                <c:pt idx="442">
                  <c:v>44123</c:v>
                </c:pt>
                <c:pt idx="443">
                  <c:v>44124</c:v>
                </c:pt>
                <c:pt idx="444">
                  <c:v>44125</c:v>
                </c:pt>
                <c:pt idx="445">
                  <c:v>44126</c:v>
                </c:pt>
                <c:pt idx="446">
                  <c:v>44127</c:v>
                </c:pt>
                <c:pt idx="447">
                  <c:v>44130</c:v>
                </c:pt>
                <c:pt idx="448">
                  <c:v>44131</c:v>
                </c:pt>
                <c:pt idx="449">
                  <c:v>44132</c:v>
                </c:pt>
                <c:pt idx="450">
                  <c:v>44133</c:v>
                </c:pt>
                <c:pt idx="451">
                  <c:v>44134</c:v>
                </c:pt>
                <c:pt idx="452">
                  <c:v>44137</c:v>
                </c:pt>
                <c:pt idx="453">
                  <c:v>44138</c:v>
                </c:pt>
                <c:pt idx="454">
                  <c:v>44139</c:v>
                </c:pt>
                <c:pt idx="455">
                  <c:v>44140</c:v>
                </c:pt>
                <c:pt idx="456">
                  <c:v>44141</c:v>
                </c:pt>
                <c:pt idx="457">
                  <c:v>44144</c:v>
                </c:pt>
                <c:pt idx="458">
                  <c:v>44145</c:v>
                </c:pt>
                <c:pt idx="459">
                  <c:v>44146</c:v>
                </c:pt>
                <c:pt idx="460">
                  <c:v>44147</c:v>
                </c:pt>
                <c:pt idx="461">
                  <c:v>44148</c:v>
                </c:pt>
                <c:pt idx="462">
                  <c:v>44151</c:v>
                </c:pt>
                <c:pt idx="463">
                  <c:v>44152</c:v>
                </c:pt>
                <c:pt idx="464">
                  <c:v>44153</c:v>
                </c:pt>
                <c:pt idx="465">
                  <c:v>44154</c:v>
                </c:pt>
                <c:pt idx="466">
                  <c:v>44155</c:v>
                </c:pt>
                <c:pt idx="467">
                  <c:v>44158</c:v>
                </c:pt>
                <c:pt idx="468">
                  <c:v>44159</c:v>
                </c:pt>
                <c:pt idx="469">
                  <c:v>44160</c:v>
                </c:pt>
                <c:pt idx="470">
                  <c:v>44161</c:v>
                </c:pt>
                <c:pt idx="471">
                  <c:v>44162</c:v>
                </c:pt>
                <c:pt idx="472">
                  <c:v>44165</c:v>
                </c:pt>
                <c:pt idx="473">
                  <c:v>44166</c:v>
                </c:pt>
                <c:pt idx="474">
                  <c:v>44167</c:v>
                </c:pt>
                <c:pt idx="475">
                  <c:v>44168</c:v>
                </c:pt>
                <c:pt idx="476">
                  <c:v>44169</c:v>
                </c:pt>
                <c:pt idx="477">
                  <c:v>44172</c:v>
                </c:pt>
                <c:pt idx="478">
                  <c:v>44173</c:v>
                </c:pt>
                <c:pt idx="479">
                  <c:v>44174</c:v>
                </c:pt>
                <c:pt idx="480">
                  <c:v>44175</c:v>
                </c:pt>
                <c:pt idx="481">
                  <c:v>44176</c:v>
                </c:pt>
                <c:pt idx="482">
                  <c:v>44179</c:v>
                </c:pt>
                <c:pt idx="483">
                  <c:v>44180</c:v>
                </c:pt>
                <c:pt idx="484">
                  <c:v>44181</c:v>
                </c:pt>
                <c:pt idx="485">
                  <c:v>44182</c:v>
                </c:pt>
                <c:pt idx="486">
                  <c:v>44183</c:v>
                </c:pt>
                <c:pt idx="487">
                  <c:v>44186</c:v>
                </c:pt>
                <c:pt idx="488">
                  <c:v>44187</c:v>
                </c:pt>
                <c:pt idx="489">
                  <c:v>44188</c:v>
                </c:pt>
                <c:pt idx="490">
                  <c:v>44189</c:v>
                </c:pt>
                <c:pt idx="491">
                  <c:v>44193</c:v>
                </c:pt>
                <c:pt idx="492">
                  <c:v>44194</c:v>
                </c:pt>
                <c:pt idx="493">
                  <c:v>44195</c:v>
                </c:pt>
                <c:pt idx="494">
                  <c:v>44196</c:v>
                </c:pt>
                <c:pt idx="495">
                  <c:v>44204</c:v>
                </c:pt>
                <c:pt idx="496">
                  <c:v>44207</c:v>
                </c:pt>
                <c:pt idx="497">
                  <c:v>44208</c:v>
                </c:pt>
                <c:pt idx="498">
                  <c:v>44209</c:v>
                </c:pt>
                <c:pt idx="499">
                  <c:v>44210</c:v>
                </c:pt>
                <c:pt idx="500">
                  <c:v>44211</c:v>
                </c:pt>
                <c:pt idx="501">
                  <c:v>44214</c:v>
                </c:pt>
                <c:pt idx="502">
                  <c:v>44215</c:v>
                </c:pt>
                <c:pt idx="503">
                  <c:v>44216</c:v>
                </c:pt>
                <c:pt idx="504">
                  <c:v>44217</c:v>
                </c:pt>
                <c:pt idx="505">
                  <c:v>44218</c:v>
                </c:pt>
                <c:pt idx="506">
                  <c:v>44221</c:v>
                </c:pt>
                <c:pt idx="507">
                  <c:v>44222</c:v>
                </c:pt>
                <c:pt idx="508">
                  <c:v>44223</c:v>
                </c:pt>
                <c:pt idx="509">
                  <c:v>44225</c:v>
                </c:pt>
                <c:pt idx="510">
                  <c:v>44228</c:v>
                </c:pt>
                <c:pt idx="511">
                  <c:v>44229</c:v>
                </c:pt>
                <c:pt idx="512">
                  <c:v>44230</c:v>
                </c:pt>
                <c:pt idx="513">
                  <c:v>44231</c:v>
                </c:pt>
                <c:pt idx="514">
                  <c:v>44232</c:v>
                </c:pt>
                <c:pt idx="515">
                  <c:v>44235</c:v>
                </c:pt>
                <c:pt idx="516">
                  <c:v>44236</c:v>
                </c:pt>
                <c:pt idx="517">
                  <c:v>44237</c:v>
                </c:pt>
                <c:pt idx="518">
                  <c:v>44238</c:v>
                </c:pt>
                <c:pt idx="519">
                  <c:v>44239</c:v>
                </c:pt>
                <c:pt idx="520">
                  <c:v>44242</c:v>
                </c:pt>
                <c:pt idx="521">
                  <c:v>44243</c:v>
                </c:pt>
                <c:pt idx="522">
                  <c:v>44244</c:v>
                </c:pt>
                <c:pt idx="523">
                  <c:v>44245</c:v>
                </c:pt>
                <c:pt idx="524">
                  <c:v>44246</c:v>
                </c:pt>
                <c:pt idx="525">
                  <c:v>44249</c:v>
                </c:pt>
                <c:pt idx="526">
                  <c:v>44250</c:v>
                </c:pt>
                <c:pt idx="527">
                  <c:v>44251</c:v>
                </c:pt>
                <c:pt idx="528">
                  <c:v>44252</c:v>
                </c:pt>
                <c:pt idx="529">
                  <c:v>44253</c:v>
                </c:pt>
                <c:pt idx="530">
                  <c:v>44256</c:v>
                </c:pt>
                <c:pt idx="531">
                  <c:v>44257</c:v>
                </c:pt>
                <c:pt idx="532">
                  <c:v>44258</c:v>
                </c:pt>
                <c:pt idx="533">
                  <c:v>44259</c:v>
                </c:pt>
                <c:pt idx="534">
                  <c:v>44260</c:v>
                </c:pt>
                <c:pt idx="535">
                  <c:v>44264</c:v>
                </c:pt>
                <c:pt idx="536">
                  <c:v>44265</c:v>
                </c:pt>
                <c:pt idx="537">
                  <c:v>44266</c:v>
                </c:pt>
                <c:pt idx="538">
                  <c:v>44267</c:v>
                </c:pt>
                <c:pt idx="539">
                  <c:v>44270</c:v>
                </c:pt>
                <c:pt idx="540">
                  <c:v>44271</c:v>
                </c:pt>
                <c:pt idx="541">
                  <c:v>44272</c:v>
                </c:pt>
                <c:pt idx="542">
                  <c:v>44273</c:v>
                </c:pt>
                <c:pt idx="543">
                  <c:v>44274</c:v>
                </c:pt>
                <c:pt idx="544">
                  <c:v>44277</c:v>
                </c:pt>
                <c:pt idx="545">
                  <c:v>44278</c:v>
                </c:pt>
                <c:pt idx="546">
                  <c:v>44279</c:v>
                </c:pt>
                <c:pt idx="547">
                  <c:v>44280</c:v>
                </c:pt>
                <c:pt idx="548">
                  <c:v>44281</c:v>
                </c:pt>
                <c:pt idx="549">
                  <c:v>44284</c:v>
                </c:pt>
                <c:pt idx="550">
                  <c:v>44285</c:v>
                </c:pt>
                <c:pt idx="551">
                  <c:v>44286</c:v>
                </c:pt>
                <c:pt idx="552">
                  <c:v>44287</c:v>
                </c:pt>
                <c:pt idx="553">
                  <c:v>44288</c:v>
                </c:pt>
                <c:pt idx="554">
                  <c:v>44291</c:v>
                </c:pt>
                <c:pt idx="555">
                  <c:v>44292</c:v>
                </c:pt>
                <c:pt idx="556">
                  <c:v>44293</c:v>
                </c:pt>
                <c:pt idx="557">
                  <c:v>44294</c:v>
                </c:pt>
                <c:pt idx="558">
                  <c:v>44295</c:v>
                </c:pt>
                <c:pt idx="559">
                  <c:v>44298</c:v>
                </c:pt>
                <c:pt idx="560">
                  <c:v>44299</c:v>
                </c:pt>
                <c:pt idx="561">
                  <c:v>44300</c:v>
                </c:pt>
                <c:pt idx="562">
                  <c:v>44301</c:v>
                </c:pt>
                <c:pt idx="563">
                  <c:v>44302</c:v>
                </c:pt>
                <c:pt idx="564">
                  <c:v>44305</c:v>
                </c:pt>
                <c:pt idx="565">
                  <c:v>44306</c:v>
                </c:pt>
                <c:pt idx="566">
                  <c:v>44307</c:v>
                </c:pt>
                <c:pt idx="567">
                  <c:v>44308</c:v>
                </c:pt>
                <c:pt idx="568">
                  <c:v>44309</c:v>
                </c:pt>
                <c:pt idx="569">
                  <c:v>44312</c:v>
                </c:pt>
                <c:pt idx="570">
                  <c:v>44313</c:v>
                </c:pt>
                <c:pt idx="571">
                  <c:v>44314</c:v>
                </c:pt>
                <c:pt idx="572">
                  <c:v>44315</c:v>
                </c:pt>
                <c:pt idx="573">
                  <c:v>44316</c:v>
                </c:pt>
                <c:pt idx="574">
                  <c:v>44319</c:v>
                </c:pt>
                <c:pt idx="575">
                  <c:v>44320</c:v>
                </c:pt>
                <c:pt idx="576">
                  <c:v>44321</c:v>
                </c:pt>
                <c:pt idx="577">
                  <c:v>44322</c:v>
                </c:pt>
                <c:pt idx="578">
                  <c:v>44323</c:v>
                </c:pt>
                <c:pt idx="579">
                  <c:v>44326</c:v>
                </c:pt>
                <c:pt idx="580">
                  <c:v>44327</c:v>
                </c:pt>
                <c:pt idx="581">
                  <c:v>44328</c:v>
                </c:pt>
                <c:pt idx="582">
                  <c:v>44329</c:v>
                </c:pt>
                <c:pt idx="583">
                  <c:v>44330</c:v>
                </c:pt>
                <c:pt idx="584">
                  <c:v>44333</c:v>
                </c:pt>
                <c:pt idx="585">
                  <c:v>44334</c:v>
                </c:pt>
                <c:pt idx="586">
                  <c:v>44335</c:v>
                </c:pt>
                <c:pt idx="587">
                  <c:v>44336</c:v>
                </c:pt>
                <c:pt idx="588">
                  <c:v>44341</c:v>
                </c:pt>
                <c:pt idx="589" formatCode="d\-mmm\-yy">
                  <c:v>44342</c:v>
                </c:pt>
                <c:pt idx="590" formatCode="d\-mmm\-yy">
                  <c:v>44343</c:v>
                </c:pt>
                <c:pt idx="591" formatCode="d\-mmm\-yy">
                  <c:v>44347</c:v>
                </c:pt>
                <c:pt idx="592" formatCode="d\-mmm\-yy">
                  <c:v>44348</c:v>
                </c:pt>
                <c:pt idx="593" formatCode="d\-mmm\-yy">
                  <c:v>44349</c:v>
                </c:pt>
                <c:pt idx="594" formatCode="d\-mmm\-yy">
                  <c:v>44350</c:v>
                </c:pt>
                <c:pt idx="595" formatCode="d\-mmm\-yy">
                  <c:v>44351</c:v>
                </c:pt>
                <c:pt idx="596" formatCode="d\-mmm\-yy">
                  <c:v>44354</c:v>
                </c:pt>
                <c:pt idx="597" formatCode="d\-mmm\-yy">
                  <c:v>44355</c:v>
                </c:pt>
                <c:pt idx="598" formatCode="d\-mmm\-yy">
                  <c:v>44356</c:v>
                </c:pt>
                <c:pt idx="599" formatCode="d\-mmm\-yy">
                  <c:v>44357</c:v>
                </c:pt>
                <c:pt idx="600" formatCode="d\-mmm\-yy">
                  <c:v>44358</c:v>
                </c:pt>
                <c:pt idx="601" formatCode="d\-mmm\-yy">
                  <c:v>44361</c:v>
                </c:pt>
                <c:pt idx="602" formatCode="d\-mmm\-yy">
                  <c:v>44362</c:v>
                </c:pt>
                <c:pt idx="603" formatCode="d\-mmm\-yy">
                  <c:v>44363</c:v>
                </c:pt>
                <c:pt idx="604" formatCode="d\-mmm\-yy">
                  <c:v>44364</c:v>
                </c:pt>
                <c:pt idx="605" formatCode="d\-mmm\-yy">
                  <c:v>44365</c:v>
                </c:pt>
                <c:pt idx="606" formatCode="d\-mmm\-yy">
                  <c:v>44368</c:v>
                </c:pt>
                <c:pt idx="607" formatCode="d\-mmm\-yy">
                  <c:v>44369</c:v>
                </c:pt>
                <c:pt idx="608" formatCode="d\-mmm\-yy">
                  <c:v>44370</c:v>
                </c:pt>
                <c:pt idx="609" formatCode="d\-mmm\-yy">
                  <c:v>44371</c:v>
                </c:pt>
                <c:pt idx="610" formatCode="d\-mmm\-yy">
                  <c:v>44372</c:v>
                </c:pt>
                <c:pt idx="611" formatCode="d\-mmm\-yy">
                  <c:v>44375</c:v>
                </c:pt>
                <c:pt idx="612" formatCode="d\-mmm\-yy">
                  <c:v>44376</c:v>
                </c:pt>
                <c:pt idx="613" formatCode="d\-mmm\-yy">
                  <c:v>44377</c:v>
                </c:pt>
                <c:pt idx="614" formatCode="d\-mmm\-yy">
                  <c:v>44378</c:v>
                </c:pt>
                <c:pt idx="615" formatCode="d\-mmm\-yy">
                  <c:v>44379</c:v>
                </c:pt>
                <c:pt idx="616" formatCode="d\-mmm\-yy">
                  <c:v>44383</c:v>
                </c:pt>
                <c:pt idx="617" formatCode="d\-mmm\-yy">
                  <c:v>44384</c:v>
                </c:pt>
                <c:pt idx="618" formatCode="d\-mmm\-yy">
                  <c:v>44385</c:v>
                </c:pt>
                <c:pt idx="619" formatCode="d\-mmm\-yy">
                  <c:v>44386</c:v>
                </c:pt>
                <c:pt idx="620" formatCode="d\-mmm\-yy">
                  <c:v>44389</c:v>
                </c:pt>
              </c:numCache>
            </c:numRef>
          </c:cat>
          <c:val>
            <c:numRef>
              <c:f>Sheet1!$D$2:$D$622</c:f>
              <c:numCache>
                <c:formatCode>0</c:formatCode>
                <c:ptCount val="621"/>
                <c:pt idx="0">
                  <c:v>100</c:v>
                </c:pt>
                <c:pt idx="1">
                  <c:v>100</c:v>
                </c:pt>
                <c:pt idx="2">
                  <c:v>100</c:v>
                </c:pt>
                <c:pt idx="3">
                  <c:v>100</c:v>
                </c:pt>
                <c:pt idx="4">
                  <c:v>100</c:v>
                </c:pt>
                <c:pt idx="5">
                  <c:v>100</c:v>
                </c:pt>
                <c:pt idx="6">
                  <c:v>99</c:v>
                </c:pt>
                <c:pt idx="7">
                  <c:v>99</c:v>
                </c:pt>
                <c:pt idx="8">
                  <c:v>99</c:v>
                </c:pt>
                <c:pt idx="9">
                  <c:v>99</c:v>
                </c:pt>
                <c:pt idx="10">
                  <c:v>99</c:v>
                </c:pt>
                <c:pt idx="11">
                  <c:v>99</c:v>
                </c:pt>
                <c:pt idx="12">
                  <c:v>98</c:v>
                </c:pt>
                <c:pt idx="13">
                  <c:v>99</c:v>
                </c:pt>
                <c:pt idx="14">
                  <c:v>99</c:v>
                </c:pt>
                <c:pt idx="15">
                  <c:v>98</c:v>
                </c:pt>
                <c:pt idx="16">
                  <c:v>97</c:v>
                </c:pt>
                <c:pt idx="17">
                  <c:v>98</c:v>
                </c:pt>
                <c:pt idx="18">
                  <c:v>98</c:v>
                </c:pt>
                <c:pt idx="19">
                  <c:v>98</c:v>
                </c:pt>
                <c:pt idx="20">
                  <c:v>98</c:v>
                </c:pt>
                <c:pt idx="21">
                  <c:v>98</c:v>
                </c:pt>
                <c:pt idx="22">
                  <c:v>98</c:v>
                </c:pt>
                <c:pt idx="23">
                  <c:v>98</c:v>
                </c:pt>
                <c:pt idx="24">
                  <c:v>98</c:v>
                </c:pt>
                <c:pt idx="25">
                  <c:v>98</c:v>
                </c:pt>
                <c:pt idx="26">
                  <c:v>100</c:v>
                </c:pt>
                <c:pt idx="27">
                  <c:v>99</c:v>
                </c:pt>
                <c:pt idx="28">
                  <c:v>99</c:v>
                </c:pt>
                <c:pt idx="29">
                  <c:v>99</c:v>
                </c:pt>
                <c:pt idx="30">
                  <c:v>98</c:v>
                </c:pt>
                <c:pt idx="31">
                  <c:v>98</c:v>
                </c:pt>
                <c:pt idx="32">
                  <c:v>98</c:v>
                </c:pt>
                <c:pt idx="33">
                  <c:v>97</c:v>
                </c:pt>
                <c:pt idx="34">
                  <c:v>98</c:v>
                </c:pt>
                <c:pt idx="35">
                  <c:v>98</c:v>
                </c:pt>
                <c:pt idx="36">
                  <c:v>98</c:v>
                </c:pt>
                <c:pt idx="37">
                  <c:v>98</c:v>
                </c:pt>
                <c:pt idx="38">
                  <c:v>98</c:v>
                </c:pt>
                <c:pt idx="39">
                  <c:v>98</c:v>
                </c:pt>
                <c:pt idx="40">
                  <c:v>98</c:v>
                </c:pt>
                <c:pt idx="41">
                  <c:v>98</c:v>
                </c:pt>
                <c:pt idx="42">
                  <c:v>98</c:v>
                </c:pt>
                <c:pt idx="43">
                  <c:v>98</c:v>
                </c:pt>
                <c:pt idx="44">
                  <c:v>98</c:v>
                </c:pt>
                <c:pt idx="45">
                  <c:v>98</c:v>
                </c:pt>
                <c:pt idx="46">
                  <c:v>97</c:v>
                </c:pt>
                <c:pt idx="47">
                  <c:v>96</c:v>
                </c:pt>
                <c:pt idx="48">
                  <c:v>96</c:v>
                </c:pt>
                <c:pt idx="49">
                  <c:v>96</c:v>
                </c:pt>
                <c:pt idx="50">
                  <c:v>95</c:v>
                </c:pt>
                <c:pt idx="51">
                  <c:v>96</c:v>
                </c:pt>
                <c:pt idx="52">
                  <c:v>96</c:v>
                </c:pt>
                <c:pt idx="53">
                  <c:v>96</c:v>
                </c:pt>
                <c:pt idx="54">
                  <c:v>97</c:v>
                </c:pt>
                <c:pt idx="55">
                  <c:v>97</c:v>
                </c:pt>
                <c:pt idx="56">
                  <c:v>96</c:v>
                </c:pt>
                <c:pt idx="57">
                  <c:v>97</c:v>
                </c:pt>
                <c:pt idx="58">
                  <c:v>98</c:v>
                </c:pt>
                <c:pt idx="59">
                  <c:v>97</c:v>
                </c:pt>
                <c:pt idx="60">
                  <c:v>97</c:v>
                </c:pt>
                <c:pt idx="61">
                  <c:v>98</c:v>
                </c:pt>
                <c:pt idx="62">
                  <c:v>98</c:v>
                </c:pt>
                <c:pt idx="63">
                  <c:v>96</c:v>
                </c:pt>
                <c:pt idx="64">
                  <c:v>96</c:v>
                </c:pt>
                <c:pt idx="65">
                  <c:v>96</c:v>
                </c:pt>
                <c:pt idx="66">
                  <c:v>96</c:v>
                </c:pt>
                <c:pt idx="67">
                  <c:v>96</c:v>
                </c:pt>
                <c:pt idx="68">
                  <c:v>96</c:v>
                </c:pt>
                <c:pt idx="69">
                  <c:v>95</c:v>
                </c:pt>
                <c:pt idx="70">
                  <c:v>95</c:v>
                </c:pt>
                <c:pt idx="71">
                  <c:v>95</c:v>
                </c:pt>
                <c:pt idx="72">
                  <c:v>95</c:v>
                </c:pt>
                <c:pt idx="73">
                  <c:v>95</c:v>
                </c:pt>
                <c:pt idx="74">
                  <c:v>97</c:v>
                </c:pt>
                <c:pt idx="75">
                  <c:v>97</c:v>
                </c:pt>
                <c:pt idx="76">
                  <c:v>96</c:v>
                </c:pt>
                <c:pt idx="77">
                  <c:v>96</c:v>
                </c:pt>
                <c:pt idx="78">
                  <c:v>97</c:v>
                </c:pt>
                <c:pt idx="79">
                  <c:v>97</c:v>
                </c:pt>
                <c:pt idx="80">
                  <c:v>97</c:v>
                </c:pt>
                <c:pt idx="81">
                  <c:v>97</c:v>
                </c:pt>
                <c:pt idx="82">
                  <c:v>97</c:v>
                </c:pt>
                <c:pt idx="83">
                  <c:v>97</c:v>
                </c:pt>
                <c:pt idx="84">
                  <c:v>97</c:v>
                </c:pt>
                <c:pt idx="85">
                  <c:v>97</c:v>
                </c:pt>
                <c:pt idx="86">
                  <c:v>97</c:v>
                </c:pt>
                <c:pt idx="87">
                  <c:v>96</c:v>
                </c:pt>
                <c:pt idx="88">
                  <c:v>96</c:v>
                </c:pt>
                <c:pt idx="89">
                  <c:v>96</c:v>
                </c:pt>
                <c:pt idx="90">
                  <c:v>96</c:v>
                </c:pt>
                <c:pt idx="91">
                  <c:v>96</c:v>
                </c:pt>
                <c:pt idx="92">
                  <c:v>96</c:v>
                </c:pt>
                <c:pt idx="93">
                  <c:v>96</c:v>
                </c:pt>
                <c:pt idx="94">
                  <c:v>96</c:v>
                </c:pt>
                <c:pt idx="95">
                  <c:v>97</c:v>
                </c:pt>
                <c:pt idx="96">
                  <c:v>97</c:v>
                </c:pt>
                <c:pt idx="97">
                  <c:v>98</c:v>
                </c:pt>
                <c:pt idx="98">
                  <c:v>97</c:v>
                </c:pt>
                <c:pt idx="99">
                  <c:v>97</c:v>
                </c:pt>
                <c:pt idx="100">
                  <c:v>97</c:v>
                </c:pt>
                <c:pt idx="101">
                  <c:v>97</c:v>
                </c:pt>
                <c:pt idx="102">
                  <c:v>97</c:v>
                </c:pt>
                <c:pt idx="103">
                  <c:v>96</c:v>
                </c:pt>
                <c:pt idx="104">
                  <c:v>96</c:v>
                </c:pt>
                <c:pt idx="105">
                  <c:v>96</c:v>
                </c:pt>
                <c:pt idx="106">
                  <c:v>96</c:v>
                </c:pt>
                <c:pt idx="107">
                  <c:v>96</c:v>
                </c:pt>
                <c:pt idx="108">
                  <c:v>96</c:v>
                </c:pt>
                <c:pt idx="109">
                  <c:v>96</c:v>
                </c:pt>
                <c:pt idx="110">
                  <c:v>95</c:v>
                </c:pt>
                <c:pt idx="111">
                  <c:v>94</c:v>
                </c:pt>
                <c:pt idx="112">
                  <c:v>94</c:v>
                </c:pt>
                <c:pt idx="113">
                  <c:v>94</c:v>
                </c:pt>
                <c:pt idx="114">
                  <c:v>93</c:v>
                </c:pt>
                <c:pt idx="115">
                  <c:v>94</c:v>
                </c:pt>
                <c:pt idx="116">
                  <c:v>94</c:v>
                </c:pt>
                <c:pt idx="117">
                  <c:v>94</c:v>
                </c:pt>
                <c:pt idx="118">
                  <c:v>94</c:v>
                </c:pt>
                <c:pt idx="119">
                  <c:v>94</c:v>
                </c:pt>
                <c:pt idx="120">
                  <c:v>95</c:v>
                </c:pt>
                <c:pt idx="121">
                  <c:v>95</c:v>
                </c:pt>
                <c:pt idx="122">
                  <c:v>95</c:v>
                </c:pt>
                <c:pt idx="123">
                  <c:v>95</c:v>
                </c:pt>
                <c:pt idx="124">
                  <c:v>95</c:v>
                </c:pt>
                <c:pt idx="125">
                  <c:v>94</c:v>
                </c:pt>
                <c:pt idx="126">
                  <c:v>94</c:v>
                </c:pt>
                <c:pt idx="127">
                  <c:v>93</c:v>
                </c:pt>
                <c:pt idx="128">
                  <c:v>94</c:v>
                </c:pt>
                <c:pt idx="129">
                  <c:v>94</c:v>
                </c:pt>
                <c:pt idx="130">
                  <c:v>94</c:v>
                </c:pt>
                <c:pt idx="131">
                  <c:v>94</c:v>
                </c:pt>
                <c:pt idx="132">
                  <c:v>94</c:v>
                </c:pt>
                <c:pt idx="133">
                  <c:v>94</c:v>
                </c:pt>
                <c:pt idx="134">
                  <c:v>94</c:v>
                </c:pt>
                <c:pt idx="135">
                  <c:v>94</c:v>
                </c:pt>
                <c:pt idx="136">
                  <c:v>94</c:v>
                </c:pt>
                <c:pt idx="137">
                  <c:v>95</c:v>
                </c:pt>
                <c:pt idx="138">
                  <c:v>94</c:v>
                </c:pt>
                <c:pt idx="139">
                  <c:v>95</c:v>
                </c:pt>
                <c:pt idx="140">
                  <c:v>95</c:v>
                </c:pt>
                <c:pt idx="141">
                  <c:v>97</c:v>
                </c:pt>
                <c:pt idx="142">
                  <c:v>97</c:v>
                </c:pt>
                <c:pt idx="143">
                  <c:v>97</c:v>
                </c:pt>
                <c:pt idx="144">
                  <c:v>97</c:v>
                </c:pt>
                <c:pt idx="145">
                  <c:v>97</c:v>
                </c:pt>
                <c:pt idx="146">
                  <c:v>98</c:v>
                </c:pt>
                <c:pt idx="147">
                  <c:v>98</c:v>
                </c:pt>
                <c:pt idx="148">
                  <c:v>98</c:v>
                </c:pt>
                <c:pt idx="149">
                  <c:v>97</c:v>
                </c:pt>
                <c:pt idx="150">
                  <c:v>99</c:v>
                </c:pt>
                <c:pt idx="151">
                  <c:v>98</c:v>
                </c:pt>
                <c:pt idx="152">
                  <c:v>100</c:v>
                </c:pt>
                <c:pt idx="153">
                  <c:v>99</c:v>
                </c:pt>
                <c:pt idx="154">
                  <c:v>99</c:v>
                </c:pt>
                <c:pt idx="155">
                  <c:v>98</c:v>
                </c:pt>
                <c:pt idx="156">
                  <c:v>98</c:v>
                </c:pt>
                <c:pt idx="157">
                  <c:v>98</c:v>
                </c:pt>
                <c:pt idx="158">
                  <c:v>99</c:v>
                </c:pt>
                <c:pt idx="159">
                  <c:v>99</c:v>
                </c:pt>
                <c:pt idx="160">
                  <c:v>99</c:v>
                </c:pt>
                <c:pt idx="161">
                  <c:v>99</c:v>
                </c:pt>
                <c:pt idx="162">
                  <c:v>99</c:v>
                </c:pt>
                <c:pt idx="163">
                  <c:v>100</c:v>
                </c:pt>
                <c:pt idx="164">
                  <c:v>99</c:v>
                </c:pt>
                <c:pt idx="165">
                  <c:v>98</c:v>
                </c:pt>
                <c:pt idx="166">
                  <c:v>98</c:v>
                </c:pt>
                <c:pt idx="167">
                  <c:v>98</c:v>
                </c:pt>
                <c:pt idx="168">
                  <c:v>98</c:v>
                </c:pt>
                <c:pt idx="169">
                  <c:v>98</c:v>
                </c:pt>
                <c:pt idx="170">
                  <c:v>97</c:v>
                </c:pt>
                <c:pt idx="171">
                  <c:v>96</c:v>
                </c:pt>
                <c:pt idx="172">
                  <c:v>96</c:v>
                </c:pt>
                <c:pt idx="173">
                  <c:v>96</c:v>
                </c:pt>
                <c:pt idx="174">
                  <c:v>96</c:v>
                </c:pt>
                <c:pt idx="175">
                  <c:v>96</c:v>
                </c:pt>
                <c:pt idx="176">
                  <c:v>95</c:v>
                </c:pt>
                <c:pt idx="177">
                  <c:v>95</c:v>
                </c:pt>
                <c:pt idx="178">
                  <c:v>95</c:v>
                </c:pt>
                <c:pt idx="179">
                  <c:v>96</c:v>
                </c:pt>
                <c:pt idx="180">
                  <c:v>96</c:v>
                </c:pt>
                <c:pt idx="181">
                  <c:v>96</c:v>
                </c:pt>
                <c:pt idx="182">
                  <c:v>97</c:v>
                </c:pt>
                <c:pt idx="183">
                  <c:v>97</c:v>
                </c:pt>
                <c:pt idx="184">
                  <c:v>97</c:v>
                </c:pt>
                <c:pt idx="185">
                  <c:v>97</c:v>
                </c:pt>
                <c:pt idx="186">
                  <c:v>97</c:v>
                </c:pt>
                <c:pt idx="187">
                  <c:v>97</c:v>
                </c:pt>
                <c:pt idx="188">
                  <c:v>97</c:v>
                </c:pt>
                <c:pt idx="189">
                  <c:v>97</c:v>
                </c:pt>
                <c:pt idx="190">
                  <c:v>97</c:v>
                </c:pt>
                <c:pt idx="191">
                  <c:v>96</c:v>
                </c:pt>
                <c:pt idx="192">
                  <c:v>96</c:v>
                </c:pt>
                <c:pt idx="193">
                  <c:v>96</c:v>
                </c:pt>
                <c:pt idx="194">
                  <c:v>96</c:v>
                </c:pt>
                <c:pt idx="195">
                  <c:v>95</c:v>
                </c:pt>
                <c:pt idx="196">
                  <c:v>95</c:v>
                </c:pt>
                <c:pt idx="197">
                  <c:v>95</c:v>
                </c:pt>
                <c:pt idx="198">
                  <c:v>95</c:v>
                </c:pt>
                <c:pt idx="199">
                  <c:v>95</c:v>
                </c:pt>
                <c:pt idx="200">
                  <c:v>95</c:v>
                </c:pt>
                <c:pt idx="201">
                  <c:v>95</c:v>
                </c:pt>
                <c:pt idx="202">
                  <c:v>95</c:v>
                </c:pt>
                <c:pt idx="203">
                  <c:v>95</c:v>
                </c:pt>
                <c:pt idx="204">
                  <c:v>95</c:v>
                </c:pt>
                <c:pt idx="205">
                  <c:v>95</c:v>
                </c:pt>
                <c:pt idx="206">
                  <c:v>95</c:v>
                </c:pt>
                <c:pt idx="207">
                  <c:v>95</c:v>
                </c:pt>
                <c:pt idx="208">
                  <c:v>94</c:v>
                </c:pt>
                <c:pt idx="209">
                  <c:v>95</c:v>
                </c:pt>
                <c:pt idx="210">
                  <c:v>95</c:v>
                </c:pt>
                <c:pt idx="211">
                  <c:v>95</c:v>
                </c:pt>
                <c:pt idx="212">
                  <c:v>95</c:v>
                </c:pt>
                <c:pt idx="213">
                  <c:v>95</c:v>
                </c:pt>
                <c:pt idx="214">
                  <c:v>96</c:v>
                </c:pt>
                <c:pt idx="215">
                  <c:v>96</c:v>
                </c:pt>
                <c:pt idx="216">
                  <c:v>95</c:v>
                </c:pt>
                <c:pt idx="217">
                  <c:v>95</c:v>
                </c:pt>
                <c:pt idx="218">
                  <c:v>95</c:v>
                </c:pt>
                <c:pt idx="219">
                  <c:v>95</c:v>
                </c:pt>
                <c:pt idx="220">
                  <c:v>95</c:v>
                </c:pt>
                <c:pt idx="221">
                  <c:v>95</c:v>
                </c:pt>
                <c:pt idx="222">
                  <c:v>95</c:v>
                </c:pt>
                <c:pt idx="223">
                  <c:v>95</c:v>
                </c:pt>
                <c:pt idx="224">
                  <c:v>95</c:v>
                </c:pt>
                <c:pt idx="225">
                  <c:v>95</c:v>
                </c:pt>
                <c:pt idx="226">
                  <c:v>95</c:v>
                </c:pt>
                <c:pt idx="227">
                  <c:v>96</c:v>
                </c:pt>
                <c:pt idx="228">
                  <c:v>96</c:v>
                </c:pt>
                <c:pt idx="229">
                  <c:v>95</c:v>
                </c:pt>
                <c:pt idx="230">
                  <c:v>95</c:v>
                </c:pt>
                <c:pt idx="231">
                  <c:v>95</c:v>
                </c:pt>
                <c:pt idx="232">
                  <c:v>95</c:v>
                </c:pt>
                <c:pt idx="233">
                  <c:v>95</c:v>
                </c:pt>
                <c:pt idx="234">
                  <c:v>95</c:v>
                </c:pt>
                <c:pt idx="235">
                  <c:v>94</c:v>
                </c:pt>
                <c:pt idx="236">
                  <c:v>93</c:v>
                </c:pt>
                <c:pt idx="237">
                  <c:v>94</c:v>
                </c:pt>
                <c:pt idx="238">
                  <c:v>93</c:v>
                </c:pt>
                <c:pt idx="239">
                  <c:v>93</c:v>
                </c:pt>
                <c:pt idx="240">
                  <c:v>93</c:v>
                </c:pt>
                <c:pt idx="241">
                  <c:v>93</c:v>
                </c:pt>
                <c:pt idx="242">
                  <c:v>93</c:v>
                </c:pt>
                <c:pt idx="243">
                  <c:v>93</c:v>
                </c:pt>
                <c:pt idx="244">
                  <c:v>92</c:v>
                </c:pt>
                <c:pt idx="245">
                  <c:v>92</c:v>
                </c:pt>
                <c:pt idx="246">
                  <c:v>92</c:v>
                </c:pt>
                <c:pt idx="247">
                  <c:v>92</c:v>
                </c:pt>
                <c:pt idx="248">
                  <c:v>91</c:v>
                </c:pt>
                <c:pt idx="249">
                  <c:v>91</c:v>
                </c:pt>
                <c:pt idx="250">
                  <c:v>91</c:v>
                </c:pt>
                <c:pt idx="251">
                  <c:v>91</c:v>
                </c:pt>
                <c:pt idx="252">
                  <c:v>92</c:v>
                </c:pt>
                <c:pt idx="253">
                  <c:v>92</c:v>
                </c:pt>
                <c:pt idx="254">
                  <c:v>92</c:v>
                </c:pt>
                <c:pt idx="255">
                  <c:v>92</c:v>
                </c:pt>
                <c:pt idx="256">
                  <c:v>92</c:v>
                </c:pt>
                <c:pt idx="257">
                  <c:v>92</c:v>
                </c:pt>
                <c:pt idx="258">
                  <c:v>92</c:v>
                </c:pt>
                <c:pt idx="259">
                  <c:v>92</c:v>
                </c:pt>
                <c:pt idx="260">
                  <c:v>93</c:v>
                </c:pt>
                <c:pt idx="261">
                  <c:v>94</c:v>
                </c:pt>
                <c:pt idx="262">
                  <c:v>94</c:v>
                </c:pt>
                <c:pt idx="263">
                  <c:v>95</c:v>
                </c:pt>
                <c:pt idx="264">
                  <c:v>94</c:v>
                </c:pt>
                <c:pt idx="265">
                  <c:v>93</c:v>
                </c:pt>
                <c:pt idx="266">
                  <c:v>94</c:v>
                </c:pt>
                <c:pt idx="267">
                  <c:v>95</c:v>
                </c:pt>
                <c:pt idx="268">
                  <c:v>95</c:v>
                </c:pt>
                <c:pt idx="269">
                  <c:v>95</c:v>
                </c:pt>
                <c:pt idx="270">
                  <c:v>94</c:v>
                </c:pt>
                <c:pt idx="271">
                  <c:v>95</c:v>
                </c:pt>
                <c:pt idx="272">
                  <c:v>95</c:v>
                </c:pt>
                <c:pt idx="273">
                  <c:v>94</c:v>
                </c:pt>
                <c:pt idx="274">
                  <c:v>95</c:v>
                </c:pt>
                <c:pt idx="275">
                  <c:v>95</c:v>
                </c:pt>
                <c:pt idx="276">
                  <c:v>95</c:v>
                </c:pt>
                <c:pt idx="277">
                  <c:v>96</c:v>
                </c:pt>
                <c:pt idx="278">
                  <c:v>96</c:v>
                </c:pt>
                <c:pt idx="279">
                  <c:v>98</c:v>
                </c:pt>
                <c:pt idx="280">
                  <c:v>98</c:v>
                </c:pt>
                <c:pt idx="281">
                  <c:v>98</c:v>
                </c:pt>
                <c:pt idx="282">
                  <c:v>101</c:v>
                </c:pt>
                <c:pt idx="283">
                  <c:v>99</c:v>
                </c:pt>
                <c:pt idx="284">
                  <c:v>99</c:v>
                </c:pt>
                <c:pt idx="285">
                  <c:v>98</c:v>
                </c:pt>
                <c:pt idx="286">
                  <c:v>99</c:v>
                </c:pt>
                <c:pt idx="287">
                  <c:v>102</c:v>
                </c:pt>
                <c:pt idx="288">
                  <c:v>110</c:v>
                </c:pt>
                <c:pt idx="289">
                  <c:v>107</c:v>
                </c:pt>
                <c:pt idx="290">
                  <c:v>107</c:v>
                </c:pt>
                <c:pt idx="291">
                  <c:v>111</c:v>
                </c:pt>
                <c:pt idx="292">
                  <c:v>108</c:v>
                </c:pt>
                <c:pt idx="293">
                  <c:v>111</c:v>
                </c:pt>
                <c:pt idx="294">
                  <c:v>112</c:v>
                </c:pt>
                <c:pt idx="295">
                  <c:v>116</c:v>
                </c:pt>
                <c:pt idx="296">
                  <c:v>119</c:v>
                </c:pt>
                <c:pt idx="297">
                  <c:v>116</c:v>
                </c:pt>
                <c:pt idx="298">
                  <c:v>120</c:v>
                </c:pt>
                <c:pt idx="299">
                  <c:v>117</c:v>
                </c:pt>
                <c:pt idx="300">
                  <c:v>116</c:v>
                </c:pt>
                <c:pt idx="301">
                  <c:v>117</c:v>
                </c:pt>
                <c:pt idx="302">
                  <c:v>116</c:v>
                </c:pt>
                <c:pt idx="303">
                  <c:v>118</c:v>
                </c:pt>
                <c:pt idx="304">
                  <c:v>116</c:v>
                </c:pt>
                <c:pt idx="305">
                  <c:v>118</c:v>
                </c:pt>
                <c:pt idx="306">
                  <c:v>117</c:v>
                </c:pt>
                <c:pt idx="307">
                  <c:v>114</c:v>
                </c:pt>
                <c:pt idx="308">
                  <c:v>114</c:v>
                </c:pt>
                <c:pt idx="309">
                  <c:v>112</c:v>
                </c:pt>
                <c:pt idx="310">
                  <c:v>113</c:v>
                </c:pt>
                <c:pt idx="311">
                  <c:v>110</c:v>
                </c:pt>
                <c:pt idx="312">
                  <c:v>110</c:v>
                </c:pt>
                <c:pt idx="313">
                  <c:v>109</c:v>
                </c:pt>
                <c:pt idx="314">
                  <c:v>110</c:v>
                </c:pt>
                <c:pt idx="315">
                  <c:v>110</c:v>
                </c:pt>
                <c:pt idx="316">
                  <c:v>111</c:v>
                </c:pt>
                <c:pt idx="317">
                  <c:v>111</c:v>
                </c:pt>
                <c:pt idx="318">
                  <c:v>114</c:v>
                </c:pt>
                <c:pt idx="319">
                  <c:v>114</c:v>
                </c:pt>
                <c:pt idx="320">
                  <c:v>112</c:v>
                </c:pt>
                <c:pt idx="321">
                  <c:v>111</c:v>
                </c:pt>
                <c:pt idx="322">
                  <c:v>110</c:v>
                </c:pt>
                <c:pt idx="323">
                  <c:v>110</c:v>
                </c:pt>
                <c:pt idx="324">
                  <c:v>109</c:v>
                </c:pt>
                <c:pt idx="325">
                  <c:v>112</c:v>
                </c:pt>
                <c:pt idx="326">
                  <c:v>110</c:v>
                </c:pt>
                <c:pt idx="327">
                  <c:v>111</c:v>
                </c:pt>
                <c:pt idx="328">
                  <c:v>110</c:v>
                </c:pt>
                <c:pt idx="329">
                  <c:v>110</c:v>
                </c:pt>
                <c:pt idx="330">
                  <c:v>110</c:v>
                </c:pt>
                <c:pt idx="331">
                  <c:v>110</c:v>
                </c:pt>
                <c:pt idx="332">
                  <c:v>109</c:v>
                </c:pt>
                <c:pt idx="333">
                  <c:v>110</c:v>
                </c:pt>
                <c:pt idx="334">
                  <c:v>109</c:v>
                </c:pt>
                <c:pt idx="335">
                  <c:v>109</c:v>
                </c:pt>
                <c:pt idx="336">
                  <c:v>108</c:v>
                </c:pt>
                <c:pt idx="337">
                  <c:v>107</c:v>
                </c:pt>
                <c:pt idx="338">
                  <c:v>106</c:v>
                </c:pt>
                <c:pt idx="339">
                  <c:v>107</c:v>
                </c:pt>
                <c:pt idx="340">
                  <c:v>107</c:v>
                </c:pt>
                <c:pt idx="341">
                  <c:v>106</c:v>
                </c:pt>
                <c:pt idx="342">
                  <c:v>106</c:v>
                </c:pt>
                <c:pt idx="343">
                  <c:v>104</c:v>
                </c:pt>
                <c:pt idx="344">
                  <c:v>102</c:v>
                </c:pt>
                <c:pt idx="345">
                  <c:v>102</c:v>
                </c:pt>
                <c:pt idx="346">
                  <c:v>103</c:v>
                </c:pt>
                <c:pt idx="347">
                  <c:v>102</c:v>
                </c:pt>
                <c:pt idx="348">
                  <c:v>102</c:v>
                </c:pt>
                <c:pt idx="349">
                  <c:v>103</c:v>
                </c:pt>
                <c:pt idx="350">
                  <c:v>103</c:v>
                </c:pt>
                <c:pt idx="351">
                  <c:v>103</c:v>
                </c:pt>
                <c:pt idx="352">
                  <c:v>104</c:v>
                </c:pt>
                <c:pt idx="353">
                  <c:v>105</c:v>
                </c:pt>
                <c:pt idx="354">
                  <c:v>104</c:v>
                </c:pt>
                <c:pt idx="355">
                  <c:v>104</c:v>
                </c:pt>
                <c:pt idx="356">
                  <c:v>103</c:v>
                </c:pt>
                <c:pt idx="357">
                  <c:v>103</c:v>
                </c:pt>
                <c:pt idx="358">
                  <c:v>103</c:v>
                </c:pt>
                <c:pt idx="359">
                  <c:v>103</c:v>
                </c:pt>
                <c:pt idx="360">
                  <c:v>103</c:v>
                </c:pt>
                <c:pt idx="361">
                  <c:v>103</c:v>
                </c:pt>
                <c:pt idx="362">
                  <c:v>103</c:v>
                </c:pt>
                <c:pt idx="363">
                  <c:v>104</c:v>
                </c:pt>
                <c:pt idx="364">
                  <c:v>106</c:v>
                </c:pt>
                <c:pt idx="365">
                  <c:v>106</c:v>
                </c:pt>
                <c:pt idx="366">
                  <c:v>105</c:v>
                </c:pt>
                <c:pt idx="367">
                  <c:v>106</c:v>
                </c:pt>
                <c:pt idx="368">
                  <c:v>107</c:v>
                </c:pt>
                <c:pt idx="369">
                  <c:v>108</c:v>
                </c:pt>
                <c:pt idx="370">
                  <c:v>106</c:v>
                </c:pt>
                <c:pt idx="371">
                  <c:v>106</c:v>
                </c:pt>
                <c:pt idx="372">
                  <c:v>106</c:v>
                </c:pt>
                <c:pt idx="373">
                  <c:v>106</c:v>
                </c:pt>
                <c:pt idx="374">
                  <c:v>106</c:v>
                </c:pt>
                <c:pt idx="375">
                  <c:v>106</c:v>
                </c:pt>
                <c:pt idx="376">
                  <c:v>106</c:v>
                </c:pt>
                <c:pt idx="377">
                  <c:v>107</c:v>
                </c:pt>
                <c:pt idx="378">
                  <c:v>107</c:v>
                </c:pt>
                <c:pt idx="379">
                  <c:v>106</c:v>
                </c:pt>
                <c:pt idx="380">
                  <c:v>106</c:v>
                </c:pt>
                <c:pt idx="381">
                  <c:v>106</c:v>
                </c:pt>
                <c:pt idx="382">
                  <c:v>106</c:v>
                </c:pt>
                <c:pt idx="383">
                  <c:v>107</c:v>
                </c:pt>
                <c:pt idx="384">
                  <c:v>108</c:v>
                </c:pt>
                <c:pt idx="385">
                  <c:v>108</c:v>
                </c:pt>
                <c:pt idx="386">
                  <c:v>110</c:v>
                </c:pt>
                <c:pt idx="387">
                  <c:v>110</c:v>
                </c:pt>
                <c:pt idx="388">
                  <c:v>110</c:v>
                </c:pt>
                <c:pt idx="389">
                  <c:v>110</c:v>
                </c:pt>
                <c:pt idx="390">
                  <c:v>109</c:v>
                </c:pt>
                <c:pt idx="391">
                  <c:v>109</c:v>
                </c:pt>
                <c:pt idx="392">
                  <c:v>110</c:v>
                </c:pt>
                <c:pt idx="393">
                  <c:v>110</c:v>
                </c:pt>
                <c:pt idx="394">
                  <c:v>109</c:v>
                </c:pt>
                <c:pt idx="395">
                  <c:v>109</c:v>
                </c:pt>
                <c:pt idx="396">
                  <c:v>110</c:v>
                </c:pt>
                <c:pt idx="397">
                  <c:v>109</c:v>
                </c:pt>
                <c:pt idx="398">
                  <c:v>109</c:v>
                </c:pt>
                <c:pt idx="399">
                  <c:v>109</c:v>
                </c:pt>
                <c:pt idx="400">
                  <c:v>109</c:v>
                </c:pt>
                <c:pt idx="401">
                  <c:v>110</c:v>
                </c:pt>
                <c:pt idx="402">
                  <c:v>111</c:v>
                </c:pt>
                <c:pt idx="403">
                  <c:v>111</c:v>
                </c:pt>
                <c:pt idx="404">
                  <c:v>111</c:v>
                </c:pt>
                <c:pt idx="405">
                  <c:v>113</c:v>
                </c:pt>
                <c:pt idx="406">
                  <c:v>112</c:v>
                </c:pt>
                <c:pt idx="407">
                  <c:v>111</c:v>
                </c:pt>
                <c:pt idx="408">
                  <c:v>110</c:v>
                </c:pt>
                <c:pt idx="409">
                  <c:v>110</c:v>
                </c:pt>
                <c:pt idx="410">
                  <c:v>110</c:v>
                </c:pt>
                <c:pt idx="411">
                  <c:v>112</c:v>
                </c:pt>
                <c:pt idx="412">
                  <c:v>112</c:v>
                </c:pt>
                <c:pt idx="413">
                  <c:v>113</c:v>
                </c:pt>
                <c:pt idx="414">
                  <c:v>114</c:v>
                </c:pt>
                <c:pt idx="415">
                  <c:v>113</c:v>
                </c:pt>
                <c:pt idx="416">
                  <c:v>112</c:v>
                </c:pt>
                <c:pt idx="417">
                  <c:v>112</c:v>
                </c:pt>
                <c:pt idx="418">
                  <c:v>112</c:v>
                </c:pt>
                <c:pt idx="419">
                  <c:v>112</c:v>
                </c:pt>
                <c:pt idx="420">
                  <c:v>111</c:v>
                </c:pt>
                <c:pt idx="421">
                  <c:v>112</c:v>
                </c:pt>
                <c:pt idx="422">
                  <c:v>112</c:v>
                </c:pt>
                <c:pt idx="423">
                  <c:v>113</c:v>
                </c:pt>
                <c:pt idx="424">
                  <c:v>114</c:v>
                </c:pt>
                <c:pt idx="425">
                  <c:v>115</c:v>
                </c:pt>
                <c:pt idx="426">
                  <c:v>115</c:v>
                </c:pt>
                <c:pt idx="427">
                  <c:v>118</c:v>
                </c:pt>
                <c:pt idx="428">
                  <c:v>118</c:v>
                </c:pt>
                <c:pt idx="429">
                  <c:v>117</c:v>
                </c:pt>
                <c:pt idx="430">
                  <c:v>115</c:v>
                </c:pt>
                <c:pt idx="431">
                  <c:v>117</c:v>
                </c:pt>
                <c:pt idx="432">
                  <c:v>117</c:v>
                </c:pt>
                <c:pt idx="433">
                  <c:v>117</c:v>
                </c:pt>
                <c:pt idx="434">
                  <c:v>117</c:v>
                </c:pt>
                <c:pt idx="435">
                  <c:v>116</c:v>
                </c:pt>
                <c:pt idx="436">
                  <c:v>115</c:v>
                </c:pt>
                <c:pt idx="437">
                  <c:v>115</c:v>
                </c:pt>
                <c:pt idx="438">
                  <c:v>115</c:v>
                </c:pt>
                <c:pt idx="439">
                  <c:v>115</c:v>
                </c:pt>
                <c:pt idx="440">
                  <c:v>116</c:v>
                </c:pt>
                <c:pt idx="441">
                  <c:v>117</c:v>
                </c:pt>
                <c:pt idx="442">
                  <c:v>116</c:v>
                </c:pt>
                <c:pt idx="443">
                  <c:v>116</c:v>
                </c:pt>
                <c:pt idx="444">
                  <c:v>115</c:v>
                </c:pt>
                <c:pt idx="445">
                  <c:v>115</c:v>
                </c:pt>
                <c:pt idx="446">
                  <c:v>114</c:v>
                </c:pt>
                <c:pt idx="447">
                  <c:v>114</c:v>
                </c:pt>
                <c:pt idx="448">
                  <c:v>114</c:v>
                </c:pt>
                <c:pt idx="449">
                  <c:v>116</c:v>
                </c:pt>
                <c:pt idx="450">
                  <c:v>118</c:v>
                </c:pt>
                <c:pt idx="451">
                  <c:v>118</c:v>
                </c:pt>
                <c:pt idx="452">
                  <c:v>120</c:v>
                </c:pt>
                <c:pt idx="453">
                  <c:v>119</c:v>
                </c:pt>
                <c:pt idx="454">
                  <c:v>118</c:v>
                </c:pt>
                <c:pt idx="455">
                  <c:v>116</c:v>
                </c:pt>
                <c:pt idx="456">
                  <c:v>116</c:v>
                </c:pt>
                <c:pt idx="457">
                  <c:v>115</c:v>
                </c:pt>
                <c:pt idx="458">
                  <c:v>114</c:v>
                </c:pt>
                <c:pt idx="459">
                  <c:v>113</c:v>
                </c:pt>
                <c:pt idx="460">
                  <c:v>115</c:v>
                </c:pt>
                <c:pt idx="461">
                  <c:v>115</c:v>
                </c:pt>
                <c:pt idx="462">
                  <c:v>115</c:v>
                </c:pt>
                <c:pt idx="463">
                  <c:v>114</c:v>
                </c:pt>
                <c:pt idx="464">
                  <c:v>113</c:v>
                </c:pt>
                <c:pt idx="465">
                  <c:v>114</c:v>
                </c:pt>
                <c:pt idx="466">
                  <c:v>114</c:v>
                </c:pt>
                <c:pt idx="467">
                  <c:v>113</c:v>
                </c:pt>
                <c:pt idx="468">
                  <c:v>113</c:v>
                </c:pt>
                <c:pt idx="469">
                  <c:v>112</c:v>
                </c:pt>
                <c:pt idx="470">
                  <c:v>113</c:v>
                </c:pt>
                <c:pt idx="471">
                  <c:v>113</c:v>
                </c:pt>
                <c:pt idx="472">
                  <c:v>114</c:v>
                </c:pt>
                <c:pt idx="473">
                  <c:v>113</c:v>
                </c:pt>
                <c:pt idx="474">
                  <c:v>113</c:v>
                </c:pt>
                <c:pt idx="475">
                  <c:v>112</c:v>
                </c:pt>
                <c:pt idx="476">
                  <c:v>111</c:v>
                </c:pt>
                <c:pt idx="477">
                  <c:v>111</c:v>
                </c:pt>
                <c:pt idx="478">
                  <c:v>109</c:v>
                </c:pt>
                <c:pt idx="479">
                  <c:v>109</c:v>
                </c:pt>
                <c:pt idx="480">
                  <c:v>110</c:v>
                </c:pt>
                <c:pt idx="481">
                  <c:v>109</c:v>
                </c:pt>
                <c:pt idx="482">
                  <c:v>109</c:v>
                </c:pt>
                <c:pt idx="483">
                  <c:v>109</c:v>
                </c:pt>
                <c:pt idx="484">
                  <c:v>109</c:v>
                </c:pt>
                <c:pt idx="485">
                  <c:v>109</c:v>
                </c:pt>
                <c:pt idx="486">
                  <c:v>110</c:v>
                </c:pt>
                <c:pt idx="487">
                  <c:v>112</c:v>
                </c:pt>
                <c:pt idx="488">
                  <c:v>113</c:v>
                </c:pt>
                <c:pt idx="489">
                  <c:v>112</c:v>
                </c:pt>
                <c:pt idx="490">
                  <c:v>111</c:v>
                </c:pt>
                <c:pt idx="491">
                  <c:v>110</c:v>
                </c:pt>
                <c:pt idx="492">
                  <c:v>110</c:v>
                </c:pt>
                <c:pt idx="493">
                  <c:v>110</c:v>
                </c:pt>
                <c:pt idx="494">
                  <c:v>111</c:v>
                </c:pt>
                <c:pt idx="495">
                  <c:v>111</c:v>
                </c:pt>
                <c:pt idx="496">
                  <c:v>111</c:v>
                </c:pt>
                <c:pt idx="497">
                  <c:v>110</c:v>
                </c:pt>
                <c:pt idx="498">
                  <c:v>110</c:v>
                </c:pt>
                <c:pt idx="499">
                  <c:v>109</c:v>
                </c:pt>
                <c:pt idx="500">
                  <c:v>109</c:v>
                </c:pt>
                <c:pt idx="501">
                  <c:v>111</c:v>
                </c:pt>
                <c:pt idx="502">
                  <c:v>110</c:v>
                </c:pt>
                <c:pt idx="503">
                  <c:v>109</c:v>
                </c:pt>
                <c:pt idx="504">
                  <c:v>110</c:v>
                </c:pt>
                <c:pt idx="505">
                  <c:v>111</c:v>
                </c:pt>
                <c:pt idx="506">
                  <c:v>112</c:v>
                </c:pt>
                <c:pt idx="507">
                  <c:v>113</c:v>
                </c:pt>
                <c:pt idx="508">
                  <c:v>112</c:v>
                </c:pt>
                <c:pt idx="509">
                  <c:v>114</c:v>
                </c:pt>
                <c:pt idx="510">
                  <c:v>113</c:v>
                </c:pt>
                <c:pt idx="511">
                  <c:v>113</c:v>
                </c:pt>
                <c:pt idx="512">
                  <c:v>113</c:v>
                </c:pt>
                <c:pt idx="513">
                  <c:v>112</c:v>
                </c:pt>
                <c:pt idx="514">
                  <c:v>112</c:v>
                </c:pt>
                <c:pt idx="515">
                  <c:v>111</c:v>
                </c:pt>
                <c:pt idx="516">
                  <c:v>110</c:v>
                </c:pt>
                <c:pt idx="517">
                  <c:v>110</c:v>
                </c:pt>
                <c:pt idx="518">
                  <c:v>110</c:v>
                </c:pt>
                <c:pt idx="519">
                  <c:v>111</c:v>
                </c:pt>
                <c:pt idx="520">
                  <c:v>109</c:v>
                </c:pt>
                <c:pt idx="521">
                  <c:v>109</c:v>
                </c:pt>
                <c:pt idx="522">
                  <c:v>110</c:v>
                </c:pt>
                <c:pt idx="523">
                  <c:v>110</c:v>
                </c:pt>
                <c:pt idx="524">
                  <c:v>110</c:v>
                </c:pt>
                <c:pt idx="525">
                  <c:v>111</c:v>
                </c:pt>
                <c:pt idx="526">
                  <c:v>111</c:v>
                </c:pt>
                <c:pt idx="527">
                  <c:v>110</c:v>
                </c:pt>
                <c:pt idx="528">
                  <c:v>110</c:v>
                </c:pt>
                <c:pt idx="529">
                  <c:v>111</c:v>
                </c:pt>
                <c:pt idx="530">
                  <c:v>110</c:v>
                </c:pt>
                <c:pt idx="531">
                  <c:v>111</c:v>
                </c:pt>
                <c:pt idx="532">
                  <c:v>110</c:v>
                </c:pt>
                <c:pt idx="533">
                  <c:v>110</c:v>
                </c:pt>
                <c:pt idx="534">
                  <c:v>111</c:v>
                </c:pt>
                <c:pt idx="535">
                  <c:v>110</c:v>
                </c:pt>
                <c:pt idx="536">
                  <c:v>110</c:v>
                </c:pt>
                <c:pt idx="537">
                  <c:v>110</c:v>
                </c:pt>
                <c:pt idx="538">
                  <c:v>110</c:v>
                </c:pt>
                <c:pt idx="539">
                  <c:v>109</c:v>
                </c:pt>
                <c:pt idx="540">
                  <c:v>109</c:v>
                </c:pt>
                <c:pt idx="541">
                  <c:v>109</c:v>
                </c:pt>
                <c:pt idx="542">
                  <c:v>110</c:v>
                </c:pt>
                <c:pt idx="543">
                  <c:v>111</c:v>
                </c:pt>
                <c:pt idx="544">
                  <c:v>111</c:v>
                </c:pt>
                <c:pt idx="545">
                  <c:v>114</c:v>
                </c:pt>
                <c:pt idx="546">
                  <c:v>113</c:v>
                </c:pt>
                <c:pt idx="547">
                  <c:v>113</c:v>
                </c:pt>
                <c:pt idx="548">
                  <c:v>113</c:v>
                </c:pt>
                <c:pt idx="549">
                  <c:v>113</c:v>
                </c:pt>
                <c:pt idx="550">
                  <c:v>113</c:v>
                </c:pt>
                <c:pt idx="551">
                  <c:v>113</c:v>
                </c:pt>
                <c:pt idx="552">
                  <c:v>113</c:v>
                </c:pt>
                <c:pt idx="553">
                  <c:v>114</c:v>
                </c:pt>
                <c:pt idx="554">
                  <c:v>114</c:v>
                </c:pt>
                <c:pt idx="555">
                  <c:v>114</c:v>
                </c:pt>
                <c:pt idx="556">
                  <c:v>116</c:v>
                </c:pt>
                <c:pt idx="557">
                  <c:v>115</c:v>
                </c:pt>
                <c:pt idx="558">
                  <c:v>115</c:v>
                </c:pt>
                <c:pt idx="559">
                  <c:v>115</c:v>
                </c:pt>
                <c:pt idx="560">
                  <c:v>115</c:v>
                </c:pt>
                <c:pt idx="561">
                  <c:v>113</c:v>
                </c:pt>
                <c:pt idx="562">
                  <c:v>114</c:v>
                </c:pt>
                <c:pt idx="563">
                  <c:v>113</c:v>
                </c:pt>
                <c:pt idx="564">
                  <c:v>113</c:v>
                </c:pt>
                <c:pt idx="565">
                  <c:v>114</c:v>
                </c:pt>
                <c:pt idx="566">
                  <c:v>115</c:v>
                </c:pt>
                <c:pt idx="567">
                  <c:v>113</c:v>
                </c:pt>
                <c:pt idx="568">
                  <c:v>112</c:v>
                </c:pt>
                <c:pt idx="569">
                  <c:v>112</c:v>
                </c:pt>
                <c:pt idx="570">
                  <c:v>112</c:v>
                </c:pt>
                <c:pt idx="571">
                  <c:v>111</c:v>
                </c:pt>
                <c:pt idx="572">
                  <c:v>111</c:v>
                </c:pt>
                <c:pt idx="573">
                  <c:v>112</c:v>
                </c:pt>
                <c:pt idx="574">
                  <c:v>113</c:v>
                </c:pt>
                <c:pt idx="575">
                  <c:v>112</c:v>
                </c:pt>
                <c:pt idx="576">
                  <c:v>111</c:v>
                </c:pt>
                <c:pt idx="577">
                  <c:v>111</c:v>
                </c:pt>
                <c:pt idx="578">
                  <c:v>110</c:v>
                </c:pt>
                <c:pt idx="579">
                  <c:v>110</c:v>
                </c:pt>
                <c:pt idx="580">
                  <c:v>110</c:v>
                </c:pt>
                <c:pt idx="581">
                  <c:v>111</c:v>
                </c:pt>
                <c:pt idx="582">
                  <c:v>111</c:v>
                </c:pt>
                <c:pt idx="583">
                  <c:v>110</c:v>
                </c:pt>
                <c:pt idx="584">
                  <c:v>110</c:v>
                </c:pt>
                <c:pt idx="585">
                  <c:v>110</c:v>
                </c:pt>
                <c:pt idx="586">
                  <c:v>110</c:v>
                </c:pt>
                <c:pt idx="587">
                  <c:v>109.79</c:v>
                </c:pt>
                <c:pt idx="588">
                  <c:v>109.29</c:v>
                </c:pt>
                <c:pt idx="589">
                  <c:v>109.62</c:v>
                </c:pt>
                <c:pt idx="590">
                  <c:v>109.49</c:v>
                </c:pt>
                <c:pt idx="591">
                  <c:v>109.45</c:v>
                </c:pt>
                <c:pt idx="592">
                  <c:v>109.62</c:v>
                </c:pt>
                <c:pt idx="593">
                  <c:v>109.62</c:v>
                </c:pt>
                <c:pt idx="594">
                  <c:v>109.06</c:v>
                </c:pt>
                <c:pt idx="595">
                  <c:v>109.18</c:v>
                </c:pt>
                <c:pt idx="596">
                  <c:v>108.57</c:v>
                </c:pt>
                <c:pt idx="597">
                  <c:v>108.37</c:v>
                </c:pt>
                <c:pt idx="598">
                  <c:v>107.57</c:v>
                </c:pt>
                <c:pt idx="599">
                  <c:v>107.65</c:v>
                </c:pt>
                <c:pt idx="600">
                  <c:v>106.77</c:v>
                </c:pt>
                <c:pt idx="601">
                  <c:v>107.78</c:v>
                </c:pt>
                <c:pt idx="602">
                  <c:v>107.06</c:v>
                </c:pt>
                <c:pt idx="603">
                  <c:v>107.19</c:v>
                </c:pt>
                <c:pt idx="604">
                  <c:v>108.09</c:v>
                </c:pt>
                <c:pt idx="605">
                  <c:v>107.55</c:v>
                </c:pt>
                <c:pt idx="606">
                  <c:v>108.83</c:v>
                </c:pt>
                <c:pt idx="607">
                  <c:v>109.1</c:v>
                </c:pt>
                <c:pt idx="608">
                  <c:v>108.26</c:v>
                </c:pt>
                <c:pt idx="609">
                  <c:v>107.69</c:v>
                </c:pt>
                <c:pt idx="610">
                  <c:v>107.57</c:v>
                </c:pt>
                <c:pt idx="611">
                  <c:v>107.49</c:v>
                </c:pt>
                <c:pt idx="612">
                  <c:v>107.95</c:v>
                </c:pt>
                <c:pt idx="613">
                  <c:v>109.02</c:v>
                </c:pt>
                <c:pt idx="614">
                  <c:v>108.69</c:v>
                </c:pt>
                <c:pt idx="615">
                  <c:v>109.91</c:v>
                </c:pt>
                <c:pt idx="616">
                  <c:v>109.44</c:v>
                </c:pt>
                <c:pt idx="617">
                  <c:v>110.67</c:v>
                </c:pt>
                <c:pt idx="618">
                  <c:v>111.88</c:v>
                </c:pt>
                <c:pt idx="619">
                  <c:v>110.79</c:v>
                </c:pt>
                <c:pt idx="620">
                  <c:v>111.32</c:v>
                </c:pt>
              </c:numCache>
            </c:numRef>
          </c:val>
          <c:smooth val="0"/>
          <c:extLst>
            <c:ext xmlns:c16="http://schemas.microsoft.com/office/drawing/2014/chart" uri="{C3380CC4-5D6E-409C-BE32-E72D297353CC}">
              <c16:uniqueId val="{00000002-5C27-41EC-B8F3-CB2673AED5CF}"/>
            </c:ext>
          </c:extLst>
        </c:ser>
        <c:ser>
          <c:idx val="2"/>
          <c:order val="3"/>
          <c:tx>
            <c:strRef>
              <c:f>Sheet1!$E$1</c:f>
              <c:strCache>
                <c:ptCount val="1"/>
                <c:pt idx="0">
                  <c:v>Դոլարի ինդեքս</c:v>
                </c:pt>
              </c:strCache>
            </c:strRef>
          </c:tx>
          <c:spPr>
            <a:ln w="28575">
              <a:solidFill>
                <a:srgbClr val="00B050"/>
              </a:solidFill>
            </a:ln>
          </c:spPr>
          <c:marker>
            <c:symbol val="none"/>
          </c:marker>
          <c:cat>
            <c:numRef>
              <c:f>Sheet1!$A$2:$A$622</c:f>
              <c:numCache>
                <c:formatCode>dd\-mmm\-yy</c:formatCode>
                <c:ptCount val="621"/>
                <c:pt idx="0">
                  <c:v>43473</c:v>
                </c:pt>
                <c:pt idx="1">
                  <c:v>43474</c:v>
                </c:pt>
                <c:pt idx="2">
                  <c:v>43475</c:v>
                </c:pt>
                <c:pt idx="3">
                  <c:v>43476</c:v>
                </c:pt>
                <c:pt idx="4">
                  <c:v>43479</c:v>
                </c:pt>
                <c:pt idx="5">
                  <c:v>43480</c:v>
                </c:pt>
                <c:pt idx="6">
                  <c:v>43481</c:v>
                </c:pt>
                <c:pt idx="7">
                  <c:v>43482</c:v>
                </c:pt>
                <c:pt idx="8">
                  <c:v>43483</c:v>
                </c:pt>
                <c:pt idx="9">
                  <c:v>43486</c:v>
                </c:pt>
                <c:pt idx="10">
                  <c:v>43487</c:v>
                </c:pt>
                <c:pt idx="11">
                  <c:v>43488</c:v>
                </c:pt>
                <c:pt idx="12">
                  <c:v>43489</c:v>
                </c:pt>
                <c:pt idx="13">
                  <c:v>43490</c:v>
                </c:pt>
                <c:pt idx="14">
                  <c:v>43494</c:v>
                </c:pt>
                <c:pt idx="15">
                  <c:v>43495</c:v>
                </c:pt>
                <c:pt idx="16">
                  <c:v>43496</c:v>
                </c:pt>
                <c:pt idx="17">
                  <c:v>43497</c:v>
                </c:pt>
                <c:pt idx="18">
                  <c:v>43500</c:v>
                </c:pt>
                <c:pt idx="19">
                  <c:v>43501</c:v>
                </c:pt>
                <c:pt idx="20">
                  <c:v>43502</c:v>
                </c:pt>
                <c:pt idx="21">
                  <c:v>43503</c:v>
                </c:pt>
                <c:pt idx="22">
                  <c:v>43504</c:v>
                </c:pt>
                <c:pt idx="23">
                  <c:v>43507</c:v>
                </c:pt>
                <c:pt idx="24">
                  <c:v>43508</c:v>
                </c:pt>
                <c:pt idx="25">
                  <c:v>43509</c:v>
                </c:pt>
                <c:pt idx="26">
                  <c:v>43510</c:v>
                </c:pt>
                <c:pt idx="27">
                  <c:v>43511</c:v>
                </c:pt>
                <c:pt idx="28">
                  <c:v>43514</c:v>
                </c:pt>
                <c:pt idx="29">
                  <c:v>43515</c:v>
                </c:pt>
                <c:pt idx="30">
                  <c:v>43516</c:v>
                </c:pt>
                <c:pt idx="31">
                  <c:v>43517</c:v>
                </c:pt>
                <c:pt idx="32">
                  <c:v>43518</c:v>
                </c:pt>
                <c:pt idx="33">
                  <c:v>43521</c:v>
                </c:pt>
                <c:pt idx="34">
                  <c:v>43522</c:v>
                </c:pt>
                <c:pt idx="35">
                  <c:v>43523</c:v>
                </c:pt>
                <c:pt idx="36">
                  <c:v>43524</c:v>
                </c:pt>
                <c:pt idx="37">
                  <c:v>43525</c:v>
                </c:pt>
                <c:pt idx="38">
                  <c:v>43528</c:v>
                </c:pt>
                <c:pt idx="39">
                  <c:v>43529</c:v>
                </c:pt>
                <c:pt idx="40">
                  <c:v>43530</c:v>
                </c:pt>
                <c:pt idx="41">
                  <c:v>43531</c:v>
                </c:pt>
                <c:pt idx="42">
                  <c:v>43535</c:v>
                </c:pt>
                <c:pt idx="43">
                  <c:v>43536</c:v>
                </c:pt>
                <c:pt idx="44">
                  <c:v>43537</c:v>
                </c:pt>
                <c:pt idx="45">
                  <c:v>43538</c:v>
                </c:pt>
                <c:pt idx="46">
                  <c:v>43539</c:v>
                </c:pt>
                <c:pt idx="47">
                  <c:v>43542</c:v>
                </c:pt>
                <c:pt idx="48">
                  <c:v>43543</c:v>
                </c:pt>
                <c:pt idx="49">
                  <c:v>43544</c:v>
                </c:pt>
                <c:pt idx="50">
                  <c:v>43545</c:v>
                </c:pt>
                <c:pt idx="51">
                  <c:v>43546</c:v>
                </c:pt>
                <c:pt idx="52">
                  <c:v>43549</c:v>
                </c:pt>
                <c:pt idx="53">
                  <c:v>43550</c:v>
                </c:pt>
                <c:pt idx="54">
                  <c:v>43551</c:v>
                </c:pt>
                <c:pt idx="55">
                  <c:v>43552</c:v>
                </c:pt>
                <c:pt idx="56">
                  <c:v>43553</c:v>
                </c:pt>
                <c:pt idx="57">
                  <c:v>43556</c:v>
                </c:pt>
                <c:pt idx="58">
                  <c:v>43557</c:v>
                </c:pt>
                <c:pt idx="59">
                  <c:v>43558</c:v>
                </c:pt>
                <c:pt idx="60">
                  <c:v>43559</c:v>
                </c:pt>
                <c:pt idx="61">
                  <c:v>43560</c:v>
                </c:pt>
                <c:pt idx="62">
                  <c:v>43563</c:v>
                </c:pt>
                <c:pt idx="63">
                  <c:v>43564</c:v>
                </c:pt>
                <c:pt idx="64">
                  <c:v>43565</c:v>
                </c:pt>
                <c:pt idx="65">
                  <c:v>43566</c:v>
                </c:pt>
                <c:pt idx="66">
                  <c:v>43567</c:v>
                </c:pt>
                <c:pt idx="67">
                  <c:v>43570</c:v>
                </c:pt>
                <c:pt idx="68">
                  <c:v>43571</c:v>
                </c:pt>
                <c:pt idx="69">
                  <c:v>43572</c:v>
                </c:pt>
                <c:pt idx="70">
                  <c:v>43573</c:v>
                </c:pt>
                <c:pt idx="71">
                  <c:v>43577</c:v>
                </c:pt>
                <c:pt idx="72">
                  <c:v>43578</c:v>
                </c:pt>
                <c:pt idx="73">
                  <c:v>43579</c:v>
                </c:pt>
                <c:pt idx="74">
                  <c:v>43580</c:v>
                </c:pt>
                <c:pt idx="75">
                  <c:v>43581</c:v>
                </c:pt>
                <c:pt idx="76">
                  <c:v>43584</c:v>
                </c:pt>
                <c:pt idx="77">
                  <c:v>43585</c:v>
                </c:pt>
                <c:pt idx="78">
                  <c:v>43587</c:v>
                </c:pt>
                <c:pt idx="79">
                  <c:v>43588</c:v>
                </c:pt>
                <c:pt idx="80">
                  <c:v>43591</c:v>
                </c:pt>
                <c:pt idx="81">
                  <c:v>43592</c:v>
                </c:pt>
                <c:pt idx="82">
                  <c:v>43593</c:v>
                </c:pt>
                <c:pt idx="83">
                  <c:v>43595</c:v>
                </c:pt>
                <c:pt idx="84">
                  <c:v>43598</c:v>
                </c:pt>
                <c:pt idx="85">
                  <c:v>43599</c:v>
                </c:pt>
                <c:pt idx="86">
                  <c:v>43600</c:v>
                </c:pt>
                <c:pt idx="87">
                  <c:v>43601</c:v>
                </c:pt>
                <c:pt idx="88">
                  <c:v>43602</c:v>
                </c:pt>
                <c:pt idx="89">
                  <c:v>43605</c:v>
                </c:pt>
                <c:pt idx="90">
                  <c:v>43606</c:v>
                </c:pt>
                <c:pt idx="91">
                  <c:v>43607</c:v>
                </c:pt>
                <c:pt idx="92">
                  <c:v>43608</c:v>
                </c:pt>
                <c:pt idx="93">
                  <c:v>43609</c:v>
                </c:pt>
                <c:pt idx="94">
                  <c:v>43612</c:v>
                </c:pt>
                <c:pt idx="95">
                  <c:v>43614</c:v>
                </c:pt>
                <c:pt idx="96">
                  <c:v>43615</c:v>
                </c:pt>
                <c:pt idx="97">
                  <c:v>43616</c:v>
                </c:pt>
                <c:pt idx="98">
                  <c:v>43619</c:v>
                </c:pt>
                <c:pt idx="99">
                  <c:v>43620</c:v>
                </c:pt>
                <c:pt idx="100">
                  <c:v>43621</c:v>
                </c:pt>
                <c:pt idx="101">
                  <c:v>43622</c:v>
                </c:pt>
                <c:pt idx="102">
                  <c:v>43623</c:v>
                </c:pt>
                <c:pt idx="103">
                  <c:v>43626</c:v>
                </c:pt>
                <c:pt idx="104">
                  <c:v>43627</c:v>
                </c:pt>
                <c:pt idx="105">
                  <c:v>43628</c:v>
                </c:pt>
                <c:pt idx="106">
                  <c:v>43629</c:v>
                </c:pt>
                <c:pt idx="107">
                  <c:v>43630</c:v>
                </c:pt>
                <c:pt idx="108">
                  <c:v>43633</c:v>
                </c:pt>
                <c:pt idx="109">
                  <c:v>43634</c:v>
                </c:pt>
                <c:pt idx="110">
                  <c:v>43635</c:v>
                </c:pt>
                <c:pt idx="111">
                  <c:v>43636</c:v>
                </c:pt>
                <c:pt idx="112">
                  <c:v>43637</c:v>
                </c:pt>
                <c:pt idx="113">
                  <c:v>43640</c:v>
                </c:pt>
                <c:pt idx="114">
                  <c:v>43641</c:v>
                </c:pt>
                <c:pt idx="115">
                  <c:v>43642</c:v>
                </c:pt>
                <c:pt idx="116">
                  <c:v>43643</c:v>
                </c:pt>
                <c:pt idx="117">
                  <c:v>43644</c:v>
                </c:pt>
                <c:pt idx="118">
                  <c:v>43647</c:v>
                </c:pt>
                <c:pt idx="119">
                  <c:v>43648</c:v>
                </c:pt>
                <c:pt idx="120">
                  <c:v>43649</c:v>
                </c:pt>
                <c:pt idx="121">
                  <c:v>43650</c:v>
                </c:pt>
                <c:pt idx="122">
                  <c:v>43654</c:v>
                </c:pt>
                <c:pt idx="123">
                  <c:v>43655</c:v>
                </c:pt>
                <c:pt idx="124">
                  <c:v>43656</c:v>
                </c:pt>
                <c:pt idx="125">
                  <c:v>43657</c:v>
                </c:pt>
                <c:pt idx="126">
                  <c:v>43658</c:v>
                </c:pt>
                <c:pt idx="127">
                  <c:v>43661</c:v>
                </c:pt>
                <c:pt idx="128">
                  <c:v>43662</c:v>
                </c:pt>
                <c:pt idx="129">
                  <c:v>43663</c:v>
                </c:pt>
                <c:pt idx="130">
                  <c:v>43664</c:v>
                </c:pt>
                <c:pt idx="131">
                  <c:v>43665</c:v>
                </c:pt>
                <c:pt idx="132">
                  <c:v>43668</c:v>
                </c:pt>
                <c:pt idx="133">
                  <c:v>43669</c:v>
                </c:pt>
                <c:pt idx="134">
                  <c:v>43670</c:v>
                </c:pt>
                <c:pt idx="135">
                  <c:v>43671</c:v>
                </c:pt>
                <c:pt idx="136">
                  <c:v>43672</c:v>
                </c:pt>
                <c:pt idx="137">
                  <c:v>43675</c:v>
                </c:pt>
                <c:pt idx="138">
                  <c:v>43676</c:v>
                </c:pt>
                <c:pt idx="139">
                  <c:v>43677</c:v>
                </c:pt>
                <c:pt idx="140">
                  <c:v>43678</c:v>
                </c:pt>
                <c:pt idx="141">
                  <c:v>43679</c:v>
                </c:pt>
                <c:pt idx="142">
                  <c:v>43682</c:v>
                </c:pt>
                <c:pt idx="143">
                  <c:v>43683</c:v>
                </c:pt>
                <c:pt idx="144">
                  <c:v>43684</c:v>
                </c:pt>
                <c:pt idx="145">
                  <c:v>43685</c:v>
                </c:pt>
                <c:pt idx="146">
                  <c:v>43686</c:v>
                </c:pt>
                <c:pt idx="147">
                  <c:v>43689</c:v>
                </c:pt>
                <c:pt idx="148">
                  <c:v>43690</c:v>
                </c:pt>
                <c:pt idx="149">
                  <c:v>43691</c:v>
                </c:pt>
                <c:pt idx="150">
                  <c:v>43692</c:v>
                </c:pt>
                <c:pt idx="151">
                  <c:v>43693</c:v>
                </c:pt>
                <c:pt idx="152">
                  <c:v>43696</c:v>
                </c:pt>
                <c:pt idx="153">
                  <c:v>43697</c:v>
                </c:pt>
                <c:pt idx="154">
                  <c:v>43698</c:v>
                </c:pt>
                <c:pt idx="155">
                  <c:v>43699</c:v>
                </c:pt>
                <c:pt idx="156">
                  <c:v>43700</c:v>
                </c:pt>
                <c:pt idx="157">
                  <c:v>43703</c:v>
                </c:pt>
                <c:pt idx="158">
                  <c:v>43704</c:v>
                </c:pt>
                <c:pt idx="159">
                  <c:v>43705</c:v>
                </c:pt>
                <c:pt idx="160">
                  <c:v>43706</c:v>
                </c:pt>
                <c:pt idx="161">
                  <c:v>43707</c:v>
                </c:pt>
                <c:pt idx="162">
                  <c:v>43710</c:v>
                </c:pt>
                <c:pt idx="163">
                  <c:v>43711</c:v>
                </c:pt>
                <c:pt idx="164">
                  <c:v>43712</c:v>
                </c:pt>
                <c:pt idx="165">
                  <c:v>43713</c:v>
                </c:pt>
                <c:pt idx="166">
                  <c:v>43714</c:v>
                </c:pt>
                <c:pt idx="167">
                  <c:v>43717</c:v>
                </c:pt>
                <c:pt idx="168">
                  <c:v>43718</c:v>
                </c:pt>
                <c:pt idx="169">
                  <c:v>43719</c:v>
                </c:pt>
                <c:pt idx="170">
                  <c:v>43720</c:v>
                </c:pt>
                <c:pt idx="171">
                  <c:v>43721</c:v>
                </c:pt>
                <c:pt idx="172">
                  <c:v>43724</c:v>
                </c:pt>
                <c:pt idx="173">
                  <c:v>43725</c:v>
                </c:pt>
                <c:pt idx="174">
                  <c:v>43726</c:v>
                </c:pt>
                <c:pt idx="175">
                  <c:v>43727</c:v>
                </c:pt>
                <c:pt idx="176">
                  <c:v>43728</c:v>
                </c:pt>
                <c:pt idx="177">
                  <c:v>43731</c:v>
                </c:pt>
                <c:pt idx="178">
                  <c:v>43732</c:v>
                </c:pt>
                <c:pt idx="179">
                  <c:v>43733</c:v>
                </c:pt>
                <c:pt idx="180">
                  <c:v>43734</c:v>
                </c:pt>
                <c:pt idx="181">
                  <c:v>43735</c:v>
                </c:pt>
                <c:pt idx="182">
                  <c:v>43738</c:v>
                </c:pt>
                <c:pt idx="183">
                  <c:v>43739</c:v>
                </c:pt>
                <c:pt idx="184">
                  <c:v>43740</c:v>
                </c:pt>
                <c:pt idx="185">
                  <c:v>43741</c:v>
                </c:pt>
                <c:pt idx="186">
                  <c:v>43742</c:v>
                </c:pt>
                <c:pt idx="187">
                  <c:v>43745</c:v>
                </c:pt>
                <c:pt idx="188">
                  <c:v>43746</c:v>
                </c:pt>
                <c:pt idx="189">
                  <c:v>43747</c:v>
                </c:pt>
                <c:pt idx="190">
                  <c:v>43748</c:v>
                </c:pt>
                <c:pt idx="191">
                  <c:v>43749</c:v>
                </c:pt>
                <c:pt idx="192">
                  <c:v>43752</c:v>
                </c:pt>
                <c:pt idx="193">
                  <c:v>43753</c:v>
                </c:pt>
                <c:pt idx="194">
                  <c:v>43754</c:v>
                </c:pt>
                <c:pt idx="195">
                  <c:v>43755</c:v>
                </c:pt>
                <c:pt idx="196">
                  <c:v>43756</c:v>
                </c:pt>
                <c:pt idx="197">
                  <c:v>43759</c:v>
                </c:pt>
                <c:pt idx="198">
                  <c:v>43760</c:v>
                </c:pt>
                <c:pt idx="199">
                  <c:v>43761</c:v>
                </c:pt>
                <c:pt idx="200">
                  <c:v>43762</c:v>
                </c:pt>
                <c:pt idx="201">
                  <c:v>43763</c:v>
                </c:pt>
                <c:pt idx="202">
                  <c:v>43766</c:v>
                </c:pt>
                <c:pt idx="203">
                  <c:v>43767</c:v>
                </c:pt>
                <c:pt idx="204">
                  <c:v>43768</c:v>
                </c:pt>
                <c:pt idx="205">
                  <c:v>43769</c:v>
                </c:pt>
                <c:pt idx="206">
                  <c:v>43770</c:v>
                </c:pt>
                <c:pt idx="207">
                  <c:v>43773</c:v>
                </c:pt>
                <c:pt idx="208">
                  <c:v>43774</c:v>
                </c:pt>
                <c:pt idx="209">
                  <c:v>43775</c:v>
                </c:pt>
                <c:pt idx="210">
                  <c:v>43776</c:v>
                </c:pt>
                <c:pt idx="211">
                  <c:v>43777</c:v>
                </c:pt>
                <c:pt idx="212">
                  <c:v>43780</c:v>
                </c:pt>
                <c:pt idx="213">
                  <c:v>43781</c:v>
                </c:pt>
                <c:pt idx="214">
                  <c:v>43782</c:v>
                </c:pt>
                <c:pt idx="215">
                  <c:v>43783</c:v>
                </c:pt>
                <c:pt idx="216">
                  <c:v>43784</c:v>
                </c:pt>
                <c:pt idx="217">
                  <c:v>43787</c:v>
                </c:pt>
                <c:pt idx="218">
                  <c:v>43788</c:v>
                </c:pt>
                <c:pt idx="219">
                  <c:v>43789</c:v>
                </c:pt>
                <c:pt idx="220">
                  <c:v>43790</c:v>
                </c:pt>
                <c:pt idx="221">
                  <c:v>43791</c:v>
                </c:pt>
                <c:pt idx="222">
                  <c:v>43794</c:v>
                </c:pt>
                <c:pt idx="223">
                  <c:v>43795</c:v>
                </c:pt>
                <c:pt idx="224">
                  <c:v>43796</c:v>
                </c:pt>
                <c:pt idx="225">
                  <c:v>43797</c:v>
                </c:pt>
                <c:pt idx="226">
                  <c:v>43798</c:v>
                </c:pt>
                <c:pt idx="227">
                  <c:v>43801</c:v>
                </c:pt>
                <c:pt idx="228">
                  <c:v>43802</c:v>
                </c:pt>
                <c:pt idx="229">
                  <c:v>43803</c:v>
                </c:pt>
                <c:pt idx="230">
                  <c:v>43804</c:v>
                </c:pt>
                <c:pt idx="231">
                  <c:v>43805</c:v>
                </c:pt>
                <c:pt idx="232">
                  <c:v>43808</c:v>
                </c:pt>
                <c:pt idx="233">
                  <c:v>43809</c:v>
                </c:pt>
                <c:pt idx="234">
                  <c:v>43810</c:v>
                </c:pt>
                <c:pt idx="235">
                  <c:v>43811</c:v>
                </c:pt>
                <c:pt idx="236">
                  <c:v>43812</c:v>
                </c:pt>
                <c:pt idx="237">
                  <c:v>43815</c:v>
                </c:pt>
                <c:pt idx="238">
                  <c:v>43816</c:v>
                </c:pt>
                <c:pt idx="239">
                  <c:v>43817</c:v>
                </c:pt>
                <c:pt idx="240">
                  <c:v>43818</c:v>
                </c:pt>
                <c:pt idx="241">
                  <c:v>43819</c:v>
                </c:pt>
                <c:pt idx="242">
                  <c:v>43822</c:v>
                </c:pt>
                <c:pt idx="243">
                  <c:v>43823</c:v>
                </c:pt>
                <c:pt idx="244">
                  <c:v>43825</c:v>
                </c:pt>
                <c:pt idx="245">
                  <c:v>43826</c:v>
                </c:pt>
                <c:pt idx="246">
                  <c:v>43829</c:v>
                </c:pt>
                <c:pt idx="247">
                  <c:v>43838</c:v>
                </c:pt>
                <c:pt idx="248">
                  <c:v>43839</c:v>
                </c:pt>
                <c:pt idx="249">
                  <c:v>43840</c:v>
                </c:pt>
                <c:pt idx="250">
                  <c:v>43843</c:v>
                </c:pt>
                <c:pt idx="251">
                  <c:v>43844</c:v>
                </c:pt>
                <c:pt idx="252">
                  <c:v>43845</c:v>
                </c:pt>
                <c:pt idx="253">
                  <c:v>43846</c:v>
                </c:pt>
                <c:pt idx="254">
                  <c:v>43847</c:v>
                </c:pt>
                <c:pt idx="255">
                  <c:v>43850</c:v>
                </c:pt>
                <c:pt idx="256">
                  <c:v>43851</c:v>
                </c:pt>
                <c:pt idx="257">
                  <c:v>43852</c:v>
                </c:pt>
                <c:pt idx="258">
                  <c:v>43853</c:v>
                </c:pt>
                <c:pt idx="259">
                  <c:v>43854</c:v>
                </c:pt>
                <c:pt idx="260">
                  <c:v>43859</c:v>
                </c:pt>
                <c:pt idx="261">
                  <c:v>43860</c:v>
                </c:pt>
                <c:pt idx="262">
                  <c:v>43861</c:v>
                </c:pt>
                <c:pt idx="263">
                  <c:v>43864</c:v>
                </c:pt>
                <c:pt idx="264">
                  <c:v>43865</c:v>
                </c:pt>
                <c:pt idx="265">
                  <c:v>43866</c:v>
                </c:pt>
                <c:pt idx="266">
                  <c:v>43867</c:v>
                </c:pt>
                <c:pt idx="267">
                  <c:v>43868</c:v>
                </c:pt>
                <c:pt idx="268">
                  <c:v>43871</c:v>
                </c:pt>
                <c:pt idx="269">
                  <c:v>43872</c:v>
                </c:pt>
                <c:pt idx="270">
                  <c:v>43873</c:v>
                </c:pt>
                <c:pt idx="271">
                  <c:v>43874</c:v>
                </c:pt>
                <c:pt idx="272">
                  <c:v>43875</c:v>
                </c:pt>
                <c:pt idx="273">
                  <c:v>43878</c:v>
                </c:pt>
                <c:pt idx="274">
                  <c:v>43879</c:v>
                </c:pt>
                <c:pt idx="275">
                  <c:v>43880</c:v>
                </c:pt>
                <c:pt idx="276">
                  <c:v>43881</c:v>
                </c:pt>
                <c:pt idx="277">
                  <c:v>43882</c:v>
                </c:pt>
                <c:pt idx="278">
                  <c:v>43885</c:v>
                </c:pt>
                <c:pt idx="279">
                  <c:v>43886</c:v>
                </c:pt>
                <c:pt idx="280">
                  <c:v>43887</c:v>
                </c:pt>
                <c:pt idx="281">
                  <c:v>43888</c:v>
                </c:pt>
                <c:pt idx="282">
                  <c:v>43889</c:v>
                </c:pt>
                <c:pt idx="283">
                  <c:v>43892</c:v>
                </c:pt>
                <c:pt idx="284">
                  <c:v>43893</c:v>
                </c:pt>
                <c:pt idx="285">
                  <c:v>43894</c:v>
                </c:pt>
                <c:pt idx="286">
                  <c:v>43895</c:v>
                </c:pt>
                <c:pt idx="287">
                  <c:v>43896</c:v>
                </c:pt>
                <c:pt idx="288">
                  <c:v>43899</c:v>
                </c:pt>
                <c:pt idx="289">
                  <c:v>43900</c:v>
                </c:pt>
                <c:pt idx="290">
                  <c:v>43901</c:v>
                </c:pt>
                <c:pt idx="291">
                  <c:v>43902</c:v>
                </c:pt>
                <c:pt idx="292">
                  <c:v>43903</c:v>
                </c:pt>
                <c:pt idx="293">
                  <c:v>43906</c:v>
                </c:pt>
                <c:pt idx="294">
                  <c:v>43907</c:v>
                </c:pt>
                <c:pt idx="295">
                  <c:v>43908</c:v>
                </c:pt>
                <c:pt idx="296">
                  <c:v>43909</c:v>
                </c:pt>
                <c:pt idx="297">
                  <c:v>43910</c:v>
                </c:pt>
                <c:pt idx="298">
                  <c:v>43913</c:v>
                </c:pt>
                <c:pt idx="299">
                  <c:v>43914</c:v>
                </c:pt>
                <c:pt idx="300">
                  <c:v>43915</c:v>
                </c:pt>
                <c:pt idx="301">
                  <c:v>43916</c:v>
                </c:pt>
                <c:pt idx="302">
                  <c:v>43917</c:v>
                </c:pt>
                <c:pt idx="303">
                  <c:v>43920</c:v>
                </c:pt>
                <c:pt idx="304">
                  <c:v>43921</c:v>
                </c:pt>
                <c:pt idx="305">
                  <c:v>43922</c:v>
                </c:pt>
                <c:pt idx="306">
                  <c:v>43923</c:v>
                </c:pt>
                <c:pt idx="307">
                  <c:v>43924</c:v>
                </c:pt>
                <c:pt idx="308">
                  <c:v>43927</c:v>
                </c:pt>
                <c:pt idx="309">
                  <c:v>43928</c:v>
                </c:pt>
                <c:pt idx="310">
                  <c:v>43929</c:v>
                </c:pt>
                <c:pt idx="311">
                  <c:v>43930</c:v>
                </c:pt>
                <c:pt idx="312">
                  <c:v>43934</c:v>
                </c:pt>
                <c:pt idx="313">
                  <c:v>43935</c:v>
                </c:pt>
                <c:pt idx="314">
                  <c:v>43936</c:v>
                </c:pt>
                <c:pt idx="315">
                  <c:v>43937</c:v>
                </c:pt>
                <c:pt idx="316">
                  <c:v>43938</c:v>
                </c:pt>
                <c:pt idx="317">
                  <c:v>43941</c:v>
                </c:pt>
                <c:pt idx="318">
                  <c:v>43942</c:v>
                </c:pt>
                <c:pt idx="319">
                  <c:v>43943</c:v>
                </c:pt>
                <c:pt idx="320">
                  <c:v>43944</c:v>
                </c:pt>
                <c:pt idx="321">
                  <c:v>43948</c:v>
                </c:pt>
                <c:pt idx="322">
                  <c:v>43949</c:v>
                </c:pt>
                <c:pt idx="323">
                  <c:v>43950</c:v>
                </c:pt>
                <c:pt idx="324">
                  <c:v>43951</c:v>
                </c:pt>
                <c:pt idx="325">
                  <c:v>43955</c:v>
                </c:pt>
                <c:pt idx="326">
                  <c:v>43956</c:v>
                </c:pt>
                <c:pt idx="327">
                  <c:v>43957</c:v>
                </c:pt>
                <c:pt idx="328">
                  <c:v>43958</c:v>
                </c:pt>
                <c:pt idx="329">
                  <c:v>43959</c:v>
                </c:pt>
                <c:pt idx="330">
                  <c:v>43962</c:v>
                </c:pt>
                <c:pt idx="331">
                  <c:v>43963</c:v>
                </c:pt>
                <c:pt idx="332">
                  <c:v>43964</c:v>
                </c:pt>
                <c:pt idx="333">
                  <c:v>43965</c:v>
                </c:pt>
                <c:pt idx="334">
                  <c:v>43966</c:v>
                </c:pt>
                <c:pt idx="335">
                  <c:v>43969</c:v>
                </c:pt>
                <c:pt idx="336">
                  <c:v>43970</c:v>
                </c:pt>
                <c:pt idx="337">
                  <c:v>43971</c:v>
                </c:pt>
                <c:pt idx="338">
                  <c:v>43972</c:v>
                </c:pt>
                <c:pt idx="339">
                  <c:v>43973</c:v>
                </c:pt>
                <c:pt idx="340">
                  <c:v>43976</c:v>
                </c:pt>
                <c:pt idx="341">
                  <c:v>43977</c:v>
                </c:pt>
                <c:pt idx="342">
                  <c:v>43978</c:v>
                </c:pt>
                <c:pt idx="343">
                  <c:v>43983</c:v>
                </c:pt>
                <c:pt idx="344">
                  <c:v>43984</c:v>
                </c:pt>
                <c:pt idx="345">
                  <c:v>43985</c:v>
                </c:pt>
                <c:pt idx="346">
                  <c:v>43986</c:v>
                </c:pt>
                <c:pt idx="347">
                  <c:v>43987</c:v>
                </c:pt>
                <c:pt idx="348">
                  <c:v>43990</c:v>
                </c:pt>
                <c:pt idx="349">
                  <c:v>43991</c:v>
                </c:pt>
                <c:pt idx="350">
                  <c:v>43992</c:v>
                </c:pt>
                <c:pt idx="351">
                  <c:v>43993</c:v>
                </c:pt>
                <c:pt idx="352">
                  <c:v>43994</c:v>
                </c:pt>
                <c:pt idx="353">
                  <c:v>43997</c:v>
                </c:pt>
                <c:pt idx="354">
                  <c:v>43998</c:v>
                </c:pt>
                <c:pt idx="355">
                  <c:v>43999</c:v>
                </c:pt>
                <c:pt idx="356">
                  <c:v>44000</c:v>
                </c:pt>
                <c:pt idx="357">
                  <c:v>44001</c:v>
                </c:pt>
                <c:pt idx="358">
                  <c:v>44004</c:v>
                </c:pt>
                <c:pt idx="359">
                  <c:v>44005</c:v>
                </c:pt>
                <c:pt idx="360">
                  <c:v>44006</c:v>
                </c:pt>
                <c:pt idx="361">
                  <c:v>44007</c:v>
                </c:pt>
                <c:pt idx="362">
                  <c:v>44008</c:v>
                </c:pt>
                <c:pt idx="363">
                  <c:v>44011</c:v>
                </c:pt>
                <c:pt idx="364">
                  <c:v>44012</c:v>
                </c:pt>
                <c:pt idx="365">
                  <c:v>44013</c:v>
                </c:pt>
                <c:pt idx="366">
                  <c:v>44014</c:v>
                </c:pt>
                <c:pt idx="367">
                  <c:v>44015</c:v>
                </c:pt>
                <c:pt idx="368">
                  <c:v>44018</c:v>
                </c:pt>
                <c:pt idx="369">
                  <c:v>44019</c:v>
                </c:pt>
                <c:pt idx="370">
                  <c:v>44020</c:v>
                </c:pt>
                <c:pt idx="371">
                  <c:v>44021</c:v>
                </c:pt>
                <c:pt idx="372">
                  <c:v>44022</c:v>
                </c:pt>
                <c:pt idx="373">
                  <c:v>44025</c:v>
                </c:pt>
                <c:pt idx="374">
                  <c:v>44026</c:v>
                </c:pt>
                <c:pt idx="375">
                  <c:v>44027</c:v>
                </c:pt>
                <c:pt idx="376">
                  <c:v>44028</c:v>
                </c:pt>
                <c:pt idx="377">
                  <c:v>44029</c:v>
                </c:pt>
                <c:pt idx="378">
                  <c:v>44032</c:v>
                </c:pt>
                <c:pt idx="379">
                  <c:v>44033</c:v>
                </c:pt>
                <c:pt idx="380">
                  <c:v>44034</c:v>
                </c:pt>
                <c:pt idx="381">
                  <c:v>44035</c:v>
                </c:pt>
                <c:pt idx="382">
                  <c:v>44036</c:v>
                </c:pt>
                <c:pt idx="383">
                  <c:v>44039</c:v>
                </c:pt>
                <c:pt idx="384">
                  <c:v>44040</c:v>
                </c:pt>
                <c:pt idx="385">
                  <c:v>44041</c:v>
                </c:pt>
                <c:pt idx="386">
                  <c:v>44042</c:v>
                </c:pt>
                <c:pt idx="387">
                  <c:v>44043</c:v>
                </c:pt>
                <c:pt idx="388">
                  <c:v>44046</c:v>
                </c:pt>
                <c:pt idx="389">
                  <c:v>44047</c:v>
                </c:pt>
                <c:pt idx="390">
                  <c:v>44048</c:v>
                </c:pt>
                <c:pt idx="391">
                  <c:v>44049</c:v>
                </c:pt>
                <c:pt idx="392">
                  <c:v>44050</c:v>
                </c:pt>
                <c:pt idx="393">
                  <c:v>44053</c:v>
                </c:pt>
                <c:pt idx="394">
                  <c:v>44054</c:v>
                </c:pt>
                <c:pt idx="395">
                  <c:v>44055</c:v>
                </c:pt>
                <c:pt idx="396">
                  <c:v>44056</c:v>
                </c:pt>
                <c:pt idx="397">
                  <c:v>44057</c:v>
                </c:pt>
                <c:pt idx="398">
                  <c:v>44060</c:v>
                </c:pt>
                <c:pt idx="399">
                  <c:v>44061</c:v>
                </c:pt>
                <c:pt idx="400">
                  <c:v>44062</c:v>
                </c:pt>
                <c:pt idx="401">
                  <c:v>44063</c:v>
                </c:pt>
                <c:pt idx="402">
                  <c:v>44064</c:v>
                </c:pt>
                <c:pt idx="403">
                  <c:v>44067</c:v>
                </c:pt>
                <c:pt idx="404">
                  <c:v>44068</c:v>
                </c:pt>
                <c:pt idx="405">
                  <c:v>44069</c:v>
                </c:pt>
                <c:pt idx="406">
                  <c:v>44070</c:v>
                </c:pt>
                <c:pt idx="407">
                  <c:v>44071</c:v>
                </c:pt>
                <c:pt idx="408">
                  <c:v>44074</c:v>
                </c:pt>
                <c:pt idx="409">
                  <c:v>44075</c:v>
                </c:pt>
                <c:pt idx="410">
                  <c:v>44076</c:v>
                </c:pt>
                <c:pt idx="411">
                  <c:v>44077</c:v>
                </c:pt>
                <c:pt idx="412">
                  <c:v>44078</c:v>
                </c:pt>
                <c:pt idx="413">
                  <c:v>44081</c:v>
                </c:pt>
                <c:pt idx="414">
                  <c:v>44082</c:v>
                </c:pt>
                <c:pt idx="415">
                  <c:v>44083</c:v>
                </c:pt>
                <c:pt idx="416">
                  <c:v>44084</c:v>
                </c:pt>
                <c:pt idx="417">
                  <c:v>44085</c:v>
                </c:pt>
                <c:pt idx="418">
                  <c:v>44088</c:v>
                </c:pt>
                <c:pt idx="419">
                  <c:v>44089</c:v>
                </c:pt>
                <c:pt idx="420">
                  <c:v>44090</c:v>
                </c:pt>
                <c:pt idx="421">
                  <c:v>44091</c:v>
                </c:pt>
                <c:pt idx="422">
                  <c:v>44092</c:v>
                </c:pt>
                <c:pt idx="423">
                  <c:v>44096</c:v>
                </c:pt>
                <c:pt idx="424">
                  <c:v>44097</c:v>
                </c:pt>
                <c:pt idx="425">
                  <c:v>44098</c:v>
                </c:pt>
                <c:pt idx="426">
                  <c:v>44099</c:v>
                </c:pt>
                <c:pt idx="427">
                  <c:v>44102</c:v>
                </c:pt>
                <c:pt idx="428">
                  <c:v>44103</c:v>
                </c:pt>
                <c:pt idx="429">
                  <c:v>44104</c:v>
                </c:pt>
                <c:pt idx="430">
                  <c:v>44105</c:v>
                </c:pt>
                <c:pt idx="431">
                  <c:v>44106</c:v>
                </c:pt>
                <c:pt idx="432">
                  <c:v>44109</c:v>
                </c:pt>
                <c:pt idx="433">
                  <c:v>44110</c:v>
                </c:pt>
                <c:pt idx="434">
                  <c:v>44111</c:v>
                </c:pt>
                <c:pt idx="435">
                  <c:v>44112</c:v>
                </c:pt>
                <c:pt idx="436">
                  <c:v>44113</c:v>
                </c:pt>
                <c:pt idx="437">
                  <c:v>44116</c:v>
                </c:pt>
                <c:pt idx="438">
                  <c:v>44117</c:v>
                </c:pt>
                <c:pt idx="439">
                  <c:v>44118</c:v>
                </c:pt>
                <c:pt idx="440">
                  <c:v>44119</c:v>
                </c:pt>
                <c:pt idx="441">
                  <c:v>44120</c:v>
                </c:pt>
                <c:pt idx="442">
                  <c:v>44123</c:v>
                </c:pt>
                <c:pt idx="443">
                  <c:v>44124</c:v>
                </c:pt>
                <c:pt idx="444">
                  <c:v>44125</c:v>
                </c:pt>
                <c:pt idx="445">
                  <c:v>44126</c:v>
                </c:pt>
                <c:pt idx="446">
                  <c:v>44127</c:v>
                </c:pt>
                <c:pt idx="447">
                  <c:v>44130</c:v>
                </c:pt>
                <c:pt idx="448">
                  <c:v>44131</c:v>
                </c:pt>
                <c:pt idx="449">
                  <c:v>44132</c:v>
                </c:pt>
                <c:pt idx="450">
                  <c:v>44133</c:v>
                </c:pt>
                <c:pt idx="451">
                  <c:v>44134</c:v>
                </c:pt>
                <c:pt idx="452">
                  <c:v>44137</c:v>
                </c:pt>
                <c:pt idx="453">
                  <c:v>44138</c:v>
                </c:pt>
                <c:pt idx="454">
                  <c:v>44139</c:v>
                </c:pt>
                <c:pt idx="455">
                  <c:v>44140</c:v>
                </c:pt>
                <c:pt idx="456">
                  <c:v>44141</c:v>
                </c:pt>
                <c:pt idx="457">
                  <c:v>44144</c:v>
                </c:pt>
                <c:pt idx="458">
                  <c:v>44145</c:v>
                </c:pt>
                <c:pt idx="459">
                  <c:v>44146</c:v>
                </c:pt>
                <c:pt idx="460">
                  <c:v>44147</c:v>
                </c:pt>
                <c:pt idx="461">
                  <c:v>44148</c:v>
                </c:pt>
                <c:pt idx="462">
                  <c:v>44151</c:v>
                </c:pt>
                <c:pt idx="463">
                  <c:v>44152</c:v>
                </c:pt>
                <c:pt idx="464">
                  <c:v>44153</c:v>
                </c:pt>
                <c:pt idx="465">
                  <c:v>44154</c:v>
                </c:pt>
                <c:pt idx="466">
                  <c:v>44155</c:v>
                </c:pt>
                <c:pt idx="467">
                  <c:v>44158</c:v>
                </c:pt>
                <c:pt idx="468">
                  <c:v>44159</c:v>
                </c:pt>
                <c:pt idx="469">
                  <c:v>44160</c:v>
                </c:pt>
                <c:pt idx="470">
                  <c:v>44161</c:v>
                </c:pt>
                <c:pt idx="471">
                  <c:v>44162</c:v>
                </c:pt>
                <c:pt idx="472">
                  <c:v>44165</c:v>
                </c:pt>
                <c:pt idx="473">
                  <c:v>44166</c:v>
                </c:pt>
                <c:pt idx="474">
                  <c:v>44167</c:v>
                </c:pt>
                <c:pt idx="475">
                  <c:v>44168</c:v>
                </c:pt>
                <c:pt idx="476">
                  <c:v>44169</c:v>
                </c:pt>
                <c:pt idx="477">
                  <c:v>44172</c:v>
                </c:pt>
                <c:pt idx="478">
                  <c:v>44173</c:v>
                </c:pt>
                <c:pt idx="479">
                  <c:v>44174</c:v>
                </c:pt>
                <c:pt idx="480">
                  <c:v>44175</c:v>
                </c:pt>
                <c:pt idx="481">
                  <c:v>44176</c:v>
                </c:pt>
                <c:pt idx="482">
                  <c:v>44179</c:v>
                </c:pt>
                <c:pt idx="483">
                  <c:v>44180</c:v>
                </c:pt>
                <c:pt idx="484">
                  <c:v>44181</c:v>
                </c:pt>
                <c:pt idx="485">
                  <c:v>44182</c:v>
                </c:pt>
                <c:pt idx="486">
                  <c:v>44183</c:v>
                </c:pt>
                <c:pt idx="487">
                  <c:v>44186</c:v>
                </c:pt>
                <c:pt idx="488">
                  <c:v>44187</c:v>
                </c:pt>
                <c:pt idx="489">
                  <c:v>44188</c:v>
                </c:pt>
                <c:pt idx="490">
                  <c:v>44189</c:v>
                </c:pt>
                <c:pt idx="491">
                  <c:v>44193</c:v>
                </c:pt>
                <c:pt idx="492">
                  <c:v>44194</c:v>
                </c:pt>
                <c:pt idx="493">
                  <c:v>44195</c:v>
                </c:pt>
                <c:pt idx="494">
                  <c:v>44196</c:v>
                </c:pt>
                <c:pt idx="495">
                  <c:v>44204</c:v>
                </c:pt>
                <c:pt idx="496">
                  <c:v>44207</c:v>
                </c:pt>
                <c:pt idx="497">
                  <c:v>44208</c:v>
                </c:pt>
                <c:pt idx="498">
                  <c:v>44209</c:v>
                </c:pt>
                <c:pt idx="499">
                  <c:v>44210</c:v>
                </c:pt>
                <c:pt idx="500">
                  <c:v>44211</c:v>
                </c:pt>
                <c:pt idx="501">
                  <c:v>44214</c:v>
                </c:pt>
                <c:pt idx="502">
                  <c:v>44215</c:v>
                </c:pt>
                <c:pt idx="503">
                  <c:v>44216</c:v>
                </c:pt>
                <c:pt idx="504">
                  <c:v>44217</c:v>
                </c:pt>
                <c:pt idx="505">
                  <c:v>44218</c:v>
                </c:pt>
                <c:pt idx="506">
                  <c:v>44221</c:v>
                </c:pt>
                <c:pt idx="507">
                  <c:v>44222</c:v>
                </c:pt>
                <c:pt idx="508">
                  <c:v>44223</c:v>
                </c:pt>
                <c:pt idx="509">
                  <c:v>44225</c:v>
                </c:pt>
                <c:pt idx="510">
                  <c:v>44228</c:v>
                </c:pt>
                <c:pt idx="511">
                  <c:v>44229</c:v>
                </c:pt>
                <c:pt idx="512">
                  <c:v>44230</c:v>
                </c:pt>
                <c:pt idx="513">
                  <c:v>44231</c:v>
                </c:pt>
                <c:pt idx="514">
                  <c:v>44232</c:v>
                </c:pt>
                <c:pt idx="515">
                  <c:v>44235</c:v>
                </c:pt>
                <c:pt idx="516">
                  <c:v>44236</c:v>
                </c:pt>
                <c:pt idx="517">
                  <c:v>44237</c:v>
                </c:pt>
                <c:pt idx="518">
                  <c:v>44238</c:v>
                </c:pt>
                <c:pt idx="519">
                  <c:v>44239</c:v>
                </c:pt>
                <c:pt idx="520">
                  <c:v>44242</c:v>
                </c:pt>
                <c:pt idx="521">
                  <c:v>44243</c:v>
                </c:pt>
                <c:pt idx="522">
                  <c:v>44244</c:v>
                </c:pt>
                <c:pt idx="523">
                  <c:v>44245</c:v>
                </c:pt>
                <c:pt idx="524">
                  <c:v>44246</c:v>
                </c:pt>
                <c:pt idx="525">
                  <c:v>44249</c:v>
                </c:pt>
                <c:pt idx="526">
                  <c:v>44250</c:v>
                </c:pt>
                <c:pt idx="527">
                  <c:v>44251</c:v>
                </c:pt>
                <c:pt idx="528">
                  <c:v>44252</c:v>
                </c:pt>
                <c:pt idx="529">
                  <c:v>44253</c:v>
                </c:pt>
                <c:pt idx="530">
                  <c:v>44256</c:v>
                </c:pt>
                <c:pt idx="531">
                  <c:v>44257</c:v>
                </c:pt>
                <c:pt idx="532">
                  <c:v>44258</c:v>
                </c:pt>
                <c:pt idx="533">
                  <c:v>44259</c:v>
                </c:pt>
                <c:pt idx="534">
                  <c:v>44260</c:v>
                </c:pt>
                <c:pt idx="535">
                  <c:v>44264</c:v>
                </c:pt>
                <c:pt idx="536">
                  <c:v>44265</c:v>
                </c:pt>
                <c:pt idx="537">
                  <c:v>44266</c:v>
                </c:pt>
                <c:pt idx="538">
                  <c:v>44267</c:v>
                </c:pt>
                <c:pt idx="539">
                  <c:v>44270</c:v>
                </c:pt>
                <c:pt idx="540">
                  <c:v>44271</c:v>
                </c:pt>
                <c:pt idx="541">
                  <c:v>44272</c:v>
                </c:pt>
                <c:pt idx="542">
                  <c:v>44273</c:v>
                </c:pt>
                <c:pt idx="543">
                  <c:v>44274</c:v>
                </c:pt>
                <c:pt idx="544">
                  <c:v>44277</c:v>
                </c:pt>
                <c:pt idx="545">
                  <c:v>44278</c:v>
                </c:pt>
                <c:pt idx="546">
                  <c:v>44279</c:v>
                </c:pt>
                <c:pt idx="547">
                  <c:v>44280</c:v>
                </c:pt>
                <c:pt idx="548">
                  <c:v>44281</c:v>
                </c:pt>
                <c:pt idx="549">
                  <c:v>44284</c:v>
                </c:pt>
                <c:pt idx="550">
                  <c:v>44285</c:v>
                </c:pt>
                <c:pt idx="551">
                  <c:v>44286</c:v>
                </c:pt>
                <c:pt idx="552">
                  <c:v>44287</c:v>
                </c:pt>
                <c:pt idx="553">
                  <c:v>44288</c:v>
                </c:pt>
                <c:pt idx="554">
                  <c:v>44291</c:v>
                </c:pt>
                <c:pt idx="555">
                  <c:v>44292</c:v>
                </c:pt>
                <c:pt idx="556">
                  <c:v>44293</c:v>
                </c:pt>
                <c:pt idx="557">
                  <c:v>44294</c:v>
                </c:pt>
                <c:pt idx="558">
                  <c:v>44295</c:v>
                </c:pt>
                <c:pt idx="559">
                  <c:v>44298</c:v>
                </c:pt>
                <c:pt idx="560">
                  <c:v>44299</c:v>
                </c:pt>
                <c:pt idx="561">
                  <c:v>44300</c:v>
                </c:pt>
                <c:pt idx="562">
                  <c:v>44301</c:v>
                </c:pt>
                <c:pt idx="563">
                  <c:v>44302</c:v>
                </c:pt>
                <c:pt idx="564">
                  <c:v>44305</c:v>
                </c:pt>
                <c:pt idx="565">
                  <c:v>44306</c:v>
                </c:pt>
                <c:pt idx="566">
                  <c:v>44307</c:v>
                </c:pt>
                <c:pt idx="567">
                  <c:v>44308</c:v>
                </c:pt>
                <c:pt idx="568">
                  <c:v>44309</c:v>
                </c:pt>
                <c:pt idx="569">
                  <c:v>44312</c:v>
                </c:pt>
                <c:pt idx="570">
                  <c:v>44313</c:v>
                </c:pt>
                <c:pt idx="571">
                  <c:v>44314</c:v>
                </c:pt>
                <c:pt idx="572">
                  <c:v>44315</c:v>
                </c:pt>
                <c:pt idx="573">
                  <c:v>44316</c:v>
                </c:pt>
                <c:pt idx="574">
                  <c:v>44319</c:v>
                </c:pt>
                <c:pt idx="575">
                  <c:v>44320</c:v>
                </c:pt>
                <c:pt idx="576">
                  <c:v>44321</c:v>
                </c:pt>
                <c:pt idx="577">
                  <c:v>44322</c:v>
                </c:pt>
                <c:pt idx="578">
                  <c:v>44323</c:v>
                </c:pt>
                <c:pt idx="579">
                  <c:v>44326</c:v>
                </c:pt>
                <c:pt idx="580">
                  <c:v>44327</c:v>
                </c:pt>
                <c:pt idx="581">
                  <c:v>44328</c:v>
                </c:pt>
                <c:pt idx="582">
                  <c:v>44329</c:v>
                </c:pt>
                <c:pt idx="583">
                  <c:v>44330</c:v>
                </c:pt>
                <c:pt idx="584">
                  <c:v>44333</c:v>
                </c:pt>
                <c:pt idx="585">
                  <c:v>44334</c:v>
                </c:pt>
                <c:pt idx="586">
                  <c:v>44335</c:v>
                </c:pt>
                <c:pt idx="587">
                  <c:v>44336</c:v>
                </c:pt>
                <c:pt idx="588">
                  <c:v>44341</c:v>
                </c:pt>
                <c:pt idx="589" formatCode="d\-mmm\-yy">
                  <c:v>44342</c:v>
                </c:pt>
                <c:pt idx="590" formatCode="d\-mmm\-yy">
                  <c:v>44343</c:v>
                </c:pt>
                <c:pt idx="591" formatCode="d\-mmm\-yy">
                  <c:v>44347</c:v>
                </c:pt>
                <c:pt idx="592" formatCode="d\-mmm\-yy">
                  <c:v>44348</c:v>
                </c:pt>
                <c:pt idx="593" formatCode="d\-mmm\-yy">
                  <c:v>44349</c:v>
                </c:pt>
                <c:pt idx="594" formatCode="d\-mmm\-yy">
                  <c:v>44350</c:v>
                </c:pt>
                <c:pt idx="595" formatCode="d\-mmm\-yy">
                  <c:v>44351</c:v>
                </c:pt>
                <c:pt idx="596" formatCode="d\-mmm\-yy">
                  <c:v>44354</c:v>
                </c:pt>
                <c:pt idx="597" formatCode="d\-mmm\-yy">
                  <c:v>44355</c:v>
                </c:pt>
                <c:pt idx="598" formatCode="d\-mmm\-yy">
                  <c:v>44356</c:v>
                </c:pt>
                <c:pt idx="599" formatCode="d\-mmm\-yy">
                  <c:v>44357</c:v>
                </c:pt>
                <c:pt idx="600" formatCode="d\-mmm\-yy">
                  <c:v>44358</c:v>
                </c:pt>
                <c:pt idx="601" formatCode="d\-mmm\-yy">
                  <c:v>44361</c:v>
                </c:pt>
                <c:pt idx="602" formatCode="d\-mmm\-yy">
                  <c:v>44362</c:v>
                </c:pt>
                <c:pt idx="603" formatCode="d\-mmm\-yy">
                  <c:v>44363</c:v>
                </c:pt>
                <c:pt idx="604" formatCode="d\-mmm\-yy">
                  <c:v>44364</c:v>
                </c:pt>
                <c:pt idx="605" formatCode="d\-mmm\-yy">
                  <c:v>44365</c:v>
                </c:pt>
                <c:pt idx="606" formatCode="d\-mmm\-yy">
                  <c:v>44368</c:v>
                </c:pt>
                <c:pt idx="607" formatCode="d\-mmm\-yy">
                  <c:v>44369</c:v>
                </c:pt>
                <c:pt idx="608" formatCode="d\-mmm\-yy">
                  <c:v>44370</c:v>
                </c:pt>
                <c:pt idx="609" formatCode="d\-mmm\-yy">
                  <c:v>44371</c:v>
                </c:pt>
                <c:pt idx="610" formatCode="d\-mmm\-yy">
                  <c:v>44372</c:v>
                </c:pt>
                <c:pt idx="611" formatCode="d\-mmm\-yy">
                  <c:v>44375</c:v>
                </c:pt>
                <c:pt idx="612" formatCode="d\-mmm\-yy">
                  <c:v>44376</c:v>
                </c:pt>
                <c:pt idx="613" formatCode="d\-mmm\-yy">
                  <c:v>44377</c:v>
                </c:pt>
                <c:pt idx="614" formatCode="d\-mmm\-yy">
                  <c:v>44378</c:v>
                </c:pt>
                <c:pt idx="615" formatCode="d\-mmm\-yy">
                  <c:v>44379</c:v>
                </c:pt>
                <c:pt idx="616" formatCode="d\-mmm\-yy">
                  <c:v>44383</c:v>
                </c:pt>
                <c:pt idx="617" formatCode="d\-mmm\-yy">
                  <c:v>44384</c:v>
                </c:pt>
                <c:pt idx="618" formatCode="d\-mmm\-yy">
                  <c:v>44385</c:v>
                </c:pt>
                <c:pt idx="619" formatCode="d\-mmm\-yy">
                  <c:v>44386</c:v>
                </c:pt>
                <c:pt idx="620" formatCode="d\-mmm\-yy">
                  <c:v>44389</c:v>
                </c:pt>
              </c:numCache>
            </c:numRef>
          </c:cat>
          <c:val>
            <c:numRef>
              <c:f>Sheet1!$E$2:$E$622</c:f>
              <c:numCache>
                <c:formatCode>0</c:formatCode>
                <c:ptCount val="621"/>
                <c:pt idx="0" formatCode="General">
                  <c:v>100</c:v>
                </c:pt>
                <c:pt idx="1">
                  <c:v>99</c:v>
                </c:pt>
                <c:pt idx="2">
                  <c:v>100</c:v>
                </c:pt>
                <c:pt idx="3">
                  <c:v>100</c:v>
                </c:pt>
                <c:pt idx="4">
                  <c:v>100</c:v>
                </c:pt>
                <c:pt idx="5">
                  <c:v>100</c:v>
                </c:pt>
                <c:pt idx="6">
                  <c:v>100</c:v>
                </c:pt>
                <c:pt idx="7">
                  <c:v>100</c:v>
                </c:pt>
                <c:pt idx="8">
                  <c:v>101</c:v>
                </c:pt>
                <c:pt idx="9">
                  <c:v>101</c:v>
                </c:pt>
                <c:pt idx="10">
                  <c:v>101</c:v>
                </c:pt>
                <c:pt idx="11">
                  <c:v>100</c:v>
                </c:pt>
                <c:pt idx="12">
                  <c:v>101</c:v>
                </c:pt>
                <c:pt idx="13">
                  <c:v>100</c:v>
                </c:pt>
                <c:pt idx="14">
                  <c:v>100</c:v>
                </c:pt>
                <c:pt idx="15">
                  <c:v>100</c:v>
                </c:pt>
                <c:pt idx="16">
                  <c:v>100</c:v>
                </c:pt>
                <c:pt idx="17">
                  <c:v>100</c:v>
                </c:pt>
                <c:pt idx="18">
                  <c:v>100</c:v>
                </c:pt>
                <c:pt idx="19">
                  <c:v>100</c:v>
                </c:pt>
                <c:pt idx="20">
                  <c:v>101</c:v>
                </c:pt>
                <c:pt idx="21">
                  <c:v>101</c:v>
                </c:pt>
                <c:pt idx="22">
                  <c:v>101</c:v>
                </c:pt>
                <c:pt idx="23">
                  <c:v>101</c:v>
                </c:pt>
                <c:pt idx="24">
                  <c:v>101</c:v>
                </c:pt>
                <c:pt idx="25">
                  <c:v>102</c:v>
                </c:pt>
                <c:pt idx="26">
                  <c:v>101</c:v>
                </c:pt>
                <c:pt idx="27">
                  <c:v>101</c:v>
                </c:pt>
                <c:pt idx="28">
                  <c:v>101</c:v>
                </c:pt>
                <c:pt idx="29">
                  <c:v>101</c:v>
                </c:pt>
                <c:pt idx="30">
                  <c:v>101</c:v>
                </c:pt>
                <c:pt idx="31">
                  <c:v>101</c:v>
                </c:pt>
                <c:pt idx="32">
                  <c:v>101</c:v>
                </c:pt>
                <c:pt idx="33">
                  <c:v>101</c:v>
                </c:pt>
                <c:pt idx="34">
                  <c:v>100</c:v>
                </c:pt>
                <c:pt idx="35">
                  <c:v>101</c:v>
                </c:pt>
                <c:pt idx="36">
                  <c:v>101</c:v>
                </c:pt>
                <c:pt idx="37">
                  <c:v>101</c:v>
                </c:pt>
                <c:pt idx="38">
                  <c:v>101</c:v>
                </c:pt>
                <c:pt idx="39">
                  <c:v>101</c:v>
                </c:pt>
                <c:pt idx="40">
                  <c:v>101</c:v>
                </c:pt>
                <c:pt idx="41">
                  <c:v>102</c:v>
                </c:pt>
                <c:pt idx="42">
                  <c:v>102</c:v>
                </c:pt>
                <c:pt idx="43">
                  <c:v>101</c:v>
                </c:pt>
                <c:pt idx="44">
                  <c:v>101</c:v>
                </c:pt>
                <c:pt idx="45">
                  <c:v>101</c:v>
                </c:pt>
                <c:pt idx="46">
                  <c:v>101</c:v>
                </c:pt>
                <c:pt idx="47">
                  <c:v>101</c:v>
                </c:pt>
                <c:pt idx="48">
                  <c:v>100</c:v>
                </c:pt>
                <c:pt idx="49">
                  <c:v>100</c:v>
                </c:pt>
                <c:pt idx="50">
                  <c:v>101</c:v>
                </c:pt>
                <c:pt idx="51">
                  <c:v>101</c:v>
                </c:pt>
                <c:pt idx="52">
                  <c:v>101</c:v>
                </c:pt>
                <c:pt idx="53">
                  <c:v>101</c:v>
                </c:pt>
                <c:pt idx="54">
                  <c:v>101</c:v>
                </c:pt>
                <c:pt idx="55">
                  <c:v>101</c:v>
                </c:pt>
                <c:pt idx="56">
                  <c:v>101</c:v>
                </c:pt>
                <c:pt idx="57">
                  <c:v>101</c:v>
                </c:pt>
                <c:pt idx="58">
                  <c:v>102</c:v>
                </c:pt>
                <c:pt idx="59">
                  <c:v>101</c:v>
                </c:pt>
                <c:pt idx="60">
                  <c:v>102</c:v>
                </c:pt>
                <c:pt idx="61">
                  <c:v>102</c:v>
                </c:pt>
                <c:pt idx="62">
                  <c:v>101</c:v>
                </c:pt>
                <c:pt idx="63">
                  <c:v>101</c:v>
                </c:pt>
                <c:pt idx="64">
                  <c:v>101</c:v>
                </c:pt>
                <c:pt idx="65">
                  <c:v>101</c:v>
                </c:pt>
                <c:pt idx="66">
                  <c:v>101</c:v>
                </c:pt>
                <c:pt idx="67">
                  <c:v>101</c:v>
                </c:pt>
                <c:pt idx="68">
                  <c:v>101</c:v>
                </c:pt>
                <c:pt idx="69">
                  <c:v>101</c:v>
                </c:pt>
                <c:pt idx="70">
                  <c:v>102</c:v>
                </c:pt>
                <c:pt idx="71">
                  <c:v>102</c:v>
                </c:pt>
                <c:pt idx="72">
                  <c:v>102</c:v>
                </c:pt>
                <c:pt idx="73">
                  <c:v>102</c:v>
                </c:pt>
                <c:pt idx="74">
                  <c:v>103</c:v>
                </c:pt>
                <c:pt idx="75">
                  <c:v>102</c:v>
                </c:pt>
                <c:pt idx="76">
                  <c:v>102</c:v>
                </c:pt>
                <c:pt idx="77">
                  <c:v>102</c:v>
                </c:pt>
                <c:pt idx="78">
                  <c:v>102</c:v>
                </c:pt>
                <c:pt idx="79">
                  <c:v>102</c:v>
                </c:pt>
                <c:pt idx="80">
                  <c:v>102</c:v>
                </c:pt>
                <c:pt idx="81">
                  <c:v>102</c:v>
                </c:pt>
                <c:pt idx="82">
                  <c:v>102</c:v>
                </c:pt>
                <c:pt idx="83">
                  <c:v>102</c:v>
                </c:pt>
                <c:pt idx="84">
                  <c:v>102</c:v>
                </c:pt>
                <c:pt idx="85">
                  <c:v>102</c:v>
                </c:pt>
                <c:pt idx="86">
                  <c:v>102</c:v>
                </c:pt>
                <c:pt idx="87">
                  <c:v>102</c:v>
                </c:pt>
                <c:pt idx="88">
                  <c:v>102</c:v>
                </c:pt>
                <c:pt idx="89">
                  <c:v>102</c:v>
                </c:pt>
                <c:pt idx="90">
                  <c:v>103</c:v>
                </c:pt>
                <c:pt idx="91">
                  <c:v>103</c:v>
                </c:pt>
                <c:pt idx="92">
                  <c:v>102</c:v>
                </c:pt>
                <c:pt idx="93">
                  <c:v>102</c:v>
                </c:pt>
                <c:pt idx="94">
                  <c:v>102</c:v>
                </c:pt>
                <c:pt idx="95">
                  <c:v>103</c:v>
                </c:pt>
                <c:pt idx="96">
                  <c:v>103</c:v>
                </c:pt>
                <c:pt idx="97">
                  <c:v>102</c:v>
                </c:pt>
                <c:pt idx="98">
                  <c:v>102</c:v>
                </c:pt>
                <c:pt idx="99">
                  <c:v>102</c:v>
                </c:pt>
                <c:pt idx="100">
                  <c:v>102</c:v>
                </c:pt>
                <c:pt idx="101">
                  <c:v>102</c:v>
                </c:pt>
                <c:pt idx="102">
                  <c:v>101</c:v>
                </c:pt>
                <c:pt idx="103">
                  <c:v>101</c:v>
                </c:pt>
                <c:pt idx="104">
                  <c:v>101</c:v>
                </c:pt>
                <c:pt idx="105">
                  <c:v>102</c:v>
                </c:pt>
                <c:pt idx="106">
                  <c:v>102</c:v>
                </c:pt>
                <c:pt idx="107">
                  <c:v>102</c:v>
                </c:pt>
                <c:pt idx="108">
                  <c:v>102</c:v>
                </c:pt>
                <c:pt idx="109">
                  <c:v>102</c:v>
                </c:pt>
                <c:pt idx="110">
                  <c:v>101</c:v>
                </c:pt>
                <c:pt idx="111">
                  <c:v>101</c:v>
                </c:pt>
                <c:pt idx="112">
                  <c:v>100</c:v>
                </c:pt>
                <c:pt idx="113">
                  <c:v>100</c:v>
                </c:pt>
                <c:pt idx="114">
                  <c:v>100</c:v>
                </c:pt>
                <c:pt idx="115">
                  <c:v>100</c:v>
                </c:pt>
                <c:pt idx="116">
                  <c:v>100</c:v>
                </c:pt>
                <c:pt idx="117">
                  <c:v>100</c:v>
                </c:pt>
                <c:pt idx="118">
                  <c:v>101</c:v>
                </c:pt>
                <c:pt idx="119">
                  <c:v>101</c:v>
                </c:pt>
                <c:pt idx="120">
                  <c:v>101</c:v>
                </c:pt>
                <c:pt idx="121">
                  <c:v>101</c:v>
                </c:pt>
                <c:pt idx="122">
                  <c:v>102</c:v>
                </c:pt>
                <c:pt idx="123">
                  <c:v>102</c:v>
                </c:pt>
                <c:pt idx="124">
                  <c:v>101</c:v>
                </c:pt>
                <c:pt idx="125">
                  <c:v>101</c:v>
                </c:pt>
                <c:pt idx="126">
                  <c:v>101</c:v>
                </c:pt>
                <c:pt idx="127">
                  <c:v>101</c:v>
                </c:pt>
                <c:pt idx="128">
                  <c:v>102</c:v>
                </c:pt>
                <c:pt idx="129">
                  <c:v>101</c:v>
                </c:pt>
                <c:pt idx="130">
                  <c:v>101</c:v>
                </c:pt>
                <c:pt idx="131">
                  <c:v>101</c:v>
                </c:pt>
                <c:pt idx="132">
                  <c:v>102</c:v>
                </c:pt>
                <c:pt idx="133">
                  <c:v>102</c:v>
                </c:pt>
                <c:pt idx="134">
                  <c:v>102</c:v>
                </c:pt>
                <c:pt idx="135">
                  <c:v>102</c:v>
                </c:pt>
                <c:pt idx="136">
                  <c:v>102</c:v>
                </c:pt>
                <c:pt idx="137">
                  <c:v>102</c:v>
                </c:pt>
                <c:pt idx="138">
                  <c:v>102</c:v>
                </c:pt>
                <c:pt idx="139">
                  <c:v>103</c:v>
                </c:pt>
                <c:pt idx="140">
                  <c:v>103</c:v>
                </c:pt>
                <c:pt idx="141">
                  <c:v>102</c:v>
                </c:pt>
                <c:pt idx="142">
                  <c:v>102</c:v>
                </c:pt>
                <c:pt idx="143">
                  <c:v>102</c:v>
                </c:pt>
                <c:pt idx="144">
                  <c:v>102</c:v>
                </c:pt>
                <c:pt idx="145">
                  <c:v>102</c:v>
                </c:pt>
                <c:pt idx="146">
                  <c:v>102</c:v>
                </c:pt>
                <c:pt idx="147">
                  <c:v>102</c:v>
                </c:pt>
                <c:pt idx="148">
                  <c:v>102</c:v>
                </c:pt>
                <c:pt idx="149">
                  <c:v>102</c:v>
                </c:pt>
                <c:pt idx="150">
                  <c:v>103</c:v>
                </c:pt>
                <c:pt idx="151">
                  <c:v>103</c:v>
                </c:pt>
                <c:pt idx="152">
                  <c:v>103</c:v>
                </c:pt>
                <c:pt idx="153">
                  <c:v>103</c:v>
                </c:pt>
                <c:pt idx="154">
                  <c:v>103</c:v>
                </c:pt>
                <c:pt idx="155">
                  <c:v>103</c:v>
                </c:pt>
                <c:pt idx="156">
                  <c:v>102</c:v>
                </c:pt>
                <c:pt idx="157">
                  <c:v>103</c:v>
                </c:pt>
                <c:pt idx="158">
                  <c:v>103</c:v>
                </c:pt>
                <c:pt idx="159">
                  <c:v>103</c:v>
                </c:pt>
                <c:pt idx="160">
                  <c:v>103</c:v>
                </c:pt>
                <c:pt idx="161">
                  <c:v>104</c:v>
                </c:pt>
                <c:pt idx="162">
                  <c:v>104</c:v>
                </c:pt>
                <c:pt idx="163">
                  <c:v>104</c:v>
                </c:pt>
                <c:pt idx="164">
                  <c:v>103</c:v>
                </c:pt>
                <c:pt idx="165">
                  <c:v>103</c:v>
                </c:pt>
                <c:pt idx="166">
                  <c:v>103</c:v>
                </c:pt>
                <c:pt idx="167">
                  <c:v>103</c:v>
                </c:pt>
                <c:pt idx="168">
                  <c:v>103</c:v>
                </c:pt>
                <c:pt idx="169">
                  <c:v>103</c:v>
                </c:pt>
                <c:pt idx="170">
                  <c:v>103</c:v>
                </c:pt>
                <c:pt idx="171">
                  <c:v>103</c:v>
                </c:pt>
                <c:pt idx="172">
                  <c:v>103</c:v>
                </c:pt>
                <c:pt idx="173">
                  <c:v>102</c:v>
                </c:pt>
                <c:pt idx="174">
                  <c:v>103</c:v>
                </c:pt>
                <c:pt idx="175">
                  <c:v>102</c:v>
                </c:pt>
                <c:pt idx="176">
                  <c:v>103</c:v>
                </c:pt>
                <c:pt idx="177">
                  <c:v>103</c:v>
                </c:pt>
                <c:pt idx="178">
                  <c:v>103</c:v>
                </c:pt>
                <c:pt idx="179">
                  <c:v>103</c:v>
                </c:pt>
                <c:pt idx="180">
                  <c:v>103</c:v>
                </c:pt>
                <c:pt idx="181">
                  <c:v>103</c:v>
                </c:pt>
                <c:pt idx="182">
                  <c:v>104</c:v>
                </c:pt>
                <c:pt idx="183">
                  <c:v>103</c:v>
                </c:pt>
                <c:pt idx="184">
                  <c:v>103</c:v>
                </c:pt>
                <c:pt idx="185">
                  <c:v>103</c:v>
                </c:pt>
                <c:pt idx="186">
                  <c:v>103</c:v>
                </c:pt>
                <c:pt idx="187">
                  <c:v>103</c:v>
                </c:pt>
                <c:pt idx="188">
                  <c:v>104</c:v>
                </c:pt>
                <c:pt idx="189">
                  <c:v>103</c:v>
                </c:pt>
                <c:pt idx="190">
                  <c:v>103</c:v>
                </c:pt>
                <c:pt idx="191">
                  <c:v>103</c:v>
                </c:pt>
                <c:pt idx="192">
                  <c:v>103</c:v>
                </c:pt>
                <c:pt idx="193">
                  <c:v>103</c:v>
                </c:pt>
                <c:pt idx="194">
                  <c:v>102</c:v>
                </c:pt>
                <c:pt idx="195">
                  <c:v>102</c:v>
                </c:pt>
                <c:pt idx="196">
                  <c:v>102</c:v>
                </c:pt>
                <c:pt idx="197">
                  <c:v>102</c:v>
                </c:pt>
                <c:pt idx="198">
                  <c:v>102</c:v>
                </c:pt>
                <c:pt idx="199">
                  <c:v>102</c:v>
                </c:pt>
                <c:pt idx="200">
                  <c:v>102</c:v>
                </c:pt>
                <c:pt idx="201">
                  <c:v>102</c:v>
                </c:pt>
                <c:pt idx="202">
                  <c:v>102</c:v>
                </c:pt>
                <c:pt idx="203">
                  <c:v>102</c:v>
                </c:pt>
                <c:pt idx="204">
                  <c:v>102</c:v>
                </c:pt>
                <c:pt idx="205">
                  <c:v>102</c:v>
                </c:pt>
                <c:pt idx="206">
                  <c:v>102</c:v>
                </c:pt>
                <c:pt idx="207">
                  <c:v>102</c:v>
                </c:pt>
                <c:pt idx="208">
                  <c:v>102</c:v>
                </c:pt>
                <c:pt idx="209">
                  <c:v>102</c:v>
                </c:pt>
                <c:pt idx="210">
                  <c:v>103</c:v>
                </c:pt>
                <c:pt idx="211">
                  <c:v>103</c:v>
                </c:pt>
                <c:pt idx="212">
                  <c:v>103</c:v>
                </c:pt>
                <c:pt idx="213">
                  <c:v>103</c:v>
                </c:pt>
                <c:pt idx="214">
                  <c:v>103</c:v>
                </c:pt>
                <c:pt idx="215">
                  <c:v>103</c:v>
                </c:pt>
                <c:pt idx="216">
                  <c:v>103</c:v>
                </c:pt>
                <c:pt idx="217">
                  <c:v>102</c:v>
                </c:pt>
                <c:pt idx="218">
                  <c:v>102</c:v>
                </c:pt>
                <c:pt idx="219">
                  <c:v>102</c:v>
                </c:pt>
                <c:pt idx="220">
                  <c:v>103</c:v>
                </c:pt>
                <c:pt idx="221">
                  <c:v>103</c:v>
                </c:pt>
                <c:pt idx="222">
                  <c:v>103</c:v>
                </c:pt>
                <c:pt idx="223">
                  <c:v>103</c:v>
                </c:pt>
                <c:pt idx="224">
                  <c:v>103</c:v>
                </c:pt>
                <c:pt idx="225">
                  <c:v>103</c:v>
                </c:pt>
                <c:pt idx="226">
                  <c:v>103</c:v>
                </c:pt>
                <c:pt idx="227">
                  <c:v>102</c:v>
                </c:pt>
                <c:pt idx="228">
                  <c:v>102</c:v>
                </c:pt>
                <c:pt idx="229">
                  <c:v>102</c:v>
                </c:pt>
                <c:pt idx="230">
                  <c:v>102</c:v>
                </c:pt>
                <c:pt idx="231">
                  <c:v>102</c:v>
                </c:pt>
                <c:pt idx="232">
                  <c:v>102</c:v>
                </c:pt>
                <c:pt idx="233">
                  <c:v>102</c:v>
                </c:pt>
                <c:pt idx="234">
                  <c:v>102</c:v>
                </c:pt>
                <c:pt idx="235">
                  <c:v>102</c:v>
                </c:pt>
                <c:pt idx="236">
                  <c:v>102</c:v>
                </c:pt>
                <c:pt idx="237">
                  <c:v>102</c:v>
                </c:pt>
                <c:pt idx="238">
                  <c:v>101</c:v>
                </c:pt>
                <c:pt idx="239">
                  <c:v>102</c:v>
                </c:pt>
                <c:pt idx="240">
                  <c:v>102</c:v>
                </c:pt>
                <c:pt idx="241">
                  <c:v>102</c:v>
                </c:pt>
                <c:pt idx="242">
                  <c:v>102</c:v>
                </c:pt>
                <c:pt idx="243">
                  <c:v>102</c:v>
                </c:pt>
                <c:pt idx="244">
                  <c:v>102</c:v>
                </c:pt>
                <c:pt idx="245">
                  <c:v>101</c:v>
                </c:pt>
                <c:pt idx="246">
                  <c:v>101</c:v>
                </c:pt>
                <c:pt idx="247">
                  <c:v>102</c:v>
                </c:pt>
                <c:pt idx="248">
                  <c:v>102</c:v>
                </c:pt>
                <c:pt idx="249">
                  <c:v>102</c:v>
                </c:pt>
                <c:pt idx="250">
                  <c:v>102</c:v>
                </c:pt>
                <c:pt idx="251">
                  <c:v>102</c:v>
                </c:pt>
                <c:pt idx="252">
                  <c:v>102</c:v>
                </c:pt>
                <c:pt idx="253">
                  <c:v>102</c:v>
                </c:pt>
                <c:pt idx="254">
                  <c:v>102</c:v>
                </c:pt>
                <c:pt idx="255">
                  <c:v>102</c:v>
                </c:pt>
                <c:pt idx="256">
                  <c:v>102</c:v>
                </c:pt>
                <c:pt idx="257">
                  <c:v>102</c:v>
                </c:pt>
                <c:pt idx="258">
                  <c:v>102</c:v>
                </c:pt>
                <c:pt idx="259">
                  <c:v>102</c:v>
                </c:pt>
                <c:pt idx="260">
                  <c:v>102</c:v>
                </c:pt>
                <c:pt idx="261">
                  <c:v>102</c:v>
                </c:pt>
                <c:pt idx="262">
                  <c:v>102</c:v>
                </c:pt>
                <c:pt idx="263">
                  <c:v>102</c:v>
                </c:pt>
                <c:pt idx="264">
                  <c:v>102</c:v>
                </c:pt>
                <c:pt idx="265">
                  <c:v>103</c:v>
                </c:pt>
                <c:pt idx="266">
                  <c:v>103</c:v>
                </c:pt>
                <c:pt idx="267">
                  <c:v>103</c:v>
                </c:pt>
                <c:pt idx="268">
                  <c:v>103</c:v>
                </c:pt>
                <c:pt idx="269">
                  <c:v>103</c:v>
                </c:pt>
                <c:pt idx="270">
                  <c:v>104</c:v>
                </c:pt>
                <c:pt idx="271">
                  <c:v>104</c:v>
                </c:pt>
                <c:pt idx="272">
                  <c:v>104</c:v>
                </c:pt>
                <c:pt idx="273">
                  <c:v>104</c:v>
                </c:pt>
                <c:pt idx="274">
                  <c:v>104</c:v>
                </c:pt>
                <c:pt idx="275">
                  <c:v>104</c:v>
                </c:pt>
                <c:pt idx="276">
                  <c:v>105</c:v>
                </c:pt>
                <c:pt idx="277">
                  <c:v>104</c:v>
                </c:pt>
                <c:pt idx="278">
                  <c:v>104</c:v>
                </c:pt>
                <c:pt idx="279">
                  <c:v>104</c:v>
                </c:pt>
                <c:pt idx="280">
                  <c:v>104</c:v>
                </c:pt>
                <c:pt idx="281">
                  <c:v>103</c:v>
                </c:pt>
                <c:pt idx="282">
                  <c:v>103</c:v>
                </c:pt>
                <c:pt idx="283">
                  <c:v>102</c:v>
                </c:pt>
                <c:pt idx="284">
                  <c:v>102</c:v>
                </c:pt>
                <c:pt idx="285">
                  <c:v>102</c:v>
                </c:pt>
                <c:pt idx="286">
                  <c:v>101</c:v>
                </c:pt>
                <c:pt idx="287">
                  <c:v>100</c:v>
                </c:pt>
                <c:pt idx="288">
                  <c:v>99</c:v>
                </c:pt>
                <c:pt idx="289">
                  <c:v>101</c:v>
                </c:pt>
                <c:pt idx="290">
                  <c:v>101</c:v>
                </c:pt>
                <c:pt idx="291">
                  <c:v>102</c:v>
                </c:pt>
                <c:pt idx="292">
                  <c:v>103</c:v>
                </c:pt>
                <c:pt idx="293">
                  <c:v>103</c:v>
                </c:pt>
                <c:pt idx="294">
                  <c:v>105</c:v>
                </c:pt>
                <c:pt idx="295">
                  <c:v>106</c:v>
                </c:pt>
                <c:pt idx="296">
                  <c:v>109</c:v>
                </c:pt>
                <c:pt idx="297">
                  <c:v>108</c:v>
                </c:pt>
                <c:pt idx="298">
                  <c:v>108</c:v>
                </c:pt>
                <c:pt idx="299">
                  <c:v>107</c:v>
                </c:pt>
                <c:pt idx="300">
                  <c:v>106</c:v>
                </c:pt>
                <c:pt idx="301">
                  <c:v>104</c:v>
                </c:pt>
                <c:pt idx="302">
                  <c:v>103</c:v>
                </c:pt>
                <c:pt idx="303">
                  <c:v>104</c:v>
                </c:pt>
                <c:pt idx="304">
                  <c:v>104</c:v>
                </c:pt>
                <c:pt idx="305">
                  <c:v>104</c:v>
                </c:pt>
                <c:pt idx="306">
                  <c:v>105</c:v>
                </c:pt>
                <c:pt idx="307">
                  <c:v>105</c:v>
                </c:pt>
                <c:pt idx="308">
                  <c:v>106</c:v>
                </c:pt>
                <c:pt idx="309">
                  <c:v>105</c:v>
                </c:pt>
                <c:pt idx="310">
                  <c:v>105</c:v>
                </c:pt>
                <c:pt idx="311">
                  <c:v>104</c:v>
                </c:pt>
                <c:pt idx="312">
                  <c:v>104</c:v>
                </c:pt>
                <c:pt idx="313">
                  <c:v>104</c:v>
                </c:pt>
                <c:pt idx="314">
                  <c:v>104</c:v>
                </c:pt>
                <c:pt idx="315">
                  <c:v>105</c:v>
                </c:pt>
                <c:pt idx="316">
                  <c:v>105</c:v>
                </c:pt>
                <c:pt idx="317">
                  <c:v>105</c:v>
                </c:pt>
                <c:pt idx="318">
                  <c:v>105</c:v>
                </c:pt>
                <c:pt idx="319">
                  <c:v>105</c:v>
                </c:pt>
                <c:pt idx="320">
                  <c:v>105</c:v>
                </c:pt>
                <c:pt idx="321">
                  <c:v>105</c:v>
                </c:pt>
                <c:pt idx="322">
                  <c:v>105</c:v>
                </c:pt>
                <c:pt idx="323">
                  <c:v>104</c:v>
                </c:pt>
                <c:pt idx="324">
                  <c:v>104</c:v>
                </c:pt>
                <c:pt idx="325">
                  <c:v>104</c:v>
                </c:pt>
                <c:pt idx="326">
                  <c:v>104</c:v>
                </c:pt>
                <c:pt idx="327">
                  <c:v>105</c:v>
                </c:pt>
                <c:pt idx="328">
                  <c:v>105</c:v>
                </c:pt>
                <c:pt idx="329">
                  <c:v>104</c:v>
                </c:pt>
                <c:pt idx="330">
                  <c:v>105</c:v>
                </c:pt>
                <c:pt idx="331">
                  <c:v>105</c:v>
                </c:pt>
                <c:pt idx="332">
                  <c:v>105</c:v>
                </c:pt>
                <c:pt idx="333">
                  <c:v>105</c:v>
                </c:pt>
                <c:pt idx="334">
                  <c:v>105</c:v>
                </c:pt>
                <c:pt idx="335">
                  <c:v>104</c:v>
                </c:pt>
                <c:pt idx="336">
                  <c:v>104</c:v>
                </c:pt>
                <c:pt idx="337">
                  <c:v>104</c:v>
                </c:pt>
                <c:pt idx="338">
                  <c:v>104</c:v>
                </c:pt>
                <c:pt idx="339">
                  <c:v>105</c:v>
                </c:pt>
                <c:pt idx="340">
                  <c:v>105</c:v>
                </c:pt>
                <c:pt idx="341">
                  <c:v>104</c:v>
                </c:pt>
                <c:pt idx="342">
                  <c:v>104</c:v>
                </c:pt>
                <c:pt idx="343">
                  <c:v>102</c:v>
                </c:pt>
                <c:pt idx="344">
                  <c:v>102</c:v>
                </c:pt>
                <c:pt idx="345">
                  <c:v>102</c:v>
                </c:pt>
                <c:pt idx="346">
                  <c:v>101</c:v>
                </c:pt>
                <c:pt idx="347">
                  <c:v>102</c:v>
                </c:pt>
                <c:pt idx="348">
                  <c:v>101</c:v>
                </c:pt>
                <c:pt idx="349">
                  <c:v>101</c:v>
                </c:pt>
                <c:pt idx="350">
                  <c:v>100</c:v>
                </c:pt>
                <c:pt idx="351">
                  <c:v>101</c:v>
                </c:pt>
                <c:pt idx="352">
                  <c:v>102</c:v>
                </c:pt>
                <c:pt idx="353">
                  <c:v>102</c:v>
                </c:pt>
                <c:pt idx="354">
                  <c:v>102</c:v>
                </c:pt>
                <c:pt idx="355">
                  <c:v>102</c:v>
                </c:pt>
                <c:pt idx="356">
                  <c:v>102</c:v>
                </c:pt>
                <c:pt idx="357">
                  <c:v>102</c:v>
                </c:pt>
                <c:pt idx="358">
                  <c:v>102</c:v>
                </c:pt>
                <c:pt idx="359">
                  <c:v>101</c:v>
                </c:pt>
                <c:pt idx="360">
                  <c:v>102</c:v>
                </c:pt>
                <c:pt idx="361">
                  <c:v>102</c:v>
                </c:pt>
                <c:pt idx="362">
                  <c:v>102</c:v>
                </c:pt>
                <c:pt idx="363">
                  <c:v>102</c:v>
                </c:pt>
                <c:pt idx="364">
                  <c:v>102</c:v>
                </c:pt>
                <c:pt idx="365">
                  <c:v>102</c:v>
                </c:pt>
                <c:pt idx="366">
                  <c:v>102</c:v>
                </c:pt>
                <c:pt idx="367">
                  <c:v>102</c:v>
                </c:pt>
                <c:pt idx="368">
                  <c:v>101</c:v>
                </c:pt>
                <c:pt idx="369">
                  <c:v>101</c:v>
                </c:pt>
                <c:pt idx="370">
                  <c:v>101</c:v>
                </c:pt>
                <c:pt idx="371">
                  <c:v>101</c:v>
                </c:pt>
                <c:pt idx="372">
                  <c:v>101</c:v>
                </c:pt>
                <c:pt idx="373">
                  <c:v>101</c:v>
                </c:pt>
                <c:pt idx="374">
                  <c:v>101</c:v>
                </c:pt>
                <c:pt idx="375">
                  <c:v>101</c:v>
                </c:pt>
                <c:pt idx="376">
                  <c:v>101</c:v>
                </c:pt>
                <c:pt idx="377">
                  <c:v>100</c:v>
                </c:pt>
                <c:pt idx="378">
                  <c:v>100</c:v>
                </c:pt>
                <c:pt idx="379">
                  <c:v>100</c:v>
                </c:pt>
                <c:pt idx="380">
                  <c:v>99</c:v>
                </c:pt>
                <c:pt idx="381">
                  <c:v>99</c:v>
                </c:pt>
                <c:pt idx="382">
                  <c:v>99</c:v>
                </c:pt>
                <c:pt idx="383">
                  <c:v>98</c:v>
                </c:pt>
                <c:pt idx="384">
                  <c:v>98</c:v>
                </c:pt>
                <c:pt idx="385">
                  <c:v>98</c:v>
                </c:pt>
                <c:pt idx="386">
                  <c:v>97</c:v>
                </c:pt>
                <c:pt idx="387">
                  <c:v>98</c:v>
                </c:pt>
                <c:pt idx="388">
                  <c:v>98</c:v>
                </c:pt>
                <c:pt idx="389">
                  <c:v>98</c:v>
                </c:pt>
                <c:pt idx="390">
                  <c:v>97</c:v>
                </c:pt>
                <c:pt idx="391">
                  <c:v>97</c:v>
                </c:pt>
                <c:pt idx="392">
                  <c:v>98</c:v>
                </c:pt>
                <c:pt idx="393">
                  <c:v>98</c:v>
                </c:pt>
                <c:pt idx="394">
                  <c:v>98</c:v>
                </c:pt>
                <c:pt idx="395">
                  <c:v>98</c:v>
                </c:pt>
                <c:pt idx="396">
                  <c:v>98</c:v>
                </c:pt>
                <c:pt idx="397">
                  <c:v>97</c:v>
                </c:pt>
                <c:pt idx="398">
                  <c:v>97</c:v>
                </c:pt>
                <c:pt idx="399">
                  <c:v>97</c:v>
                </c:pt>
                <c:pt idx="400">
                  <c:v>97</c:v>
                </c:pt>
                <c:pt idx="401">
                  <c:v>97</c:v>
                </c:pt>
                <c:pt idx="402">
                  <c:v>98</c:v>
                </c:pt>
                <c:pt idx="403">
                  <c:v>98</c:v>
                </c:pt>
                <c:pt idx="404">
                  <c:v>97</c:v>
                </c:pt>
                <c:pt idx="405">
                  <c:v>97</c:v>
                </c:pt>
                <c:pt idx="406">
                  <c:v>97</c:v>
                </c:pt>
                <c:pt idx="407">
                  <c:v>97</c:v>
                </c:pt>
                <c:pt idx="408">
                  <c:v>96</c:v>
                </c:pt>
                <c:pt idx="409">
                  <c:v>97</c:v>
                </c:pt>
                <c:pt idx="410">
                  <c:v>97</c:v>
                </c:pt>
                <c:pt idx="411">
                  <c:v>97</c:v>
                </c:pt>
                <c:pt idx="412">
                  <c:v>97</c:v>
                </c:pt>
                <c:pt idx="413">
                  <c:v>97</c:v>
                </c:pt>
                <c:pt idx="414">
                  <c:v>98</c:v>
                </c:pt>
                <c:pt idx="415">
                  <c:v>98</c:v>
                </c:pt>
                <c:pt idx="416">
                  <c:v>98</c:v>
                </c:pt>
                <c:pt idx="417">
                  <c:v>98</c:v>
                </c:pt>
                <c:pt idx="418">
                  <c:v>97</c:v>
                </c:pt>
                <c:pt idx="419">
                  <c:v>97</c:v>
                </c:pt>
                <c:pt idx="420">
                  <c:v>98</c:v>
                </c:pt>
                <c:pt idx="421">
                  <c:v>97</c:v>
                </c:pt>
                <c:pt idx="422">
                  <c:v>97</c:v>
                </c:pt>
                <c:pt idx="423">
                  <c:v>98</c:v>
                </c:pt>
                <c:pt idx="424">
                  <c:v>99</c:v>
                </c:pt>
                <c:pt idx="425">
                  <c:v>99</c:v>
                </c:pt>
                <c:pt idx="426">
                  <c:v>99</c:v>
                </c:pt>
                <c:pt idx="427">
                  <c:v>99</c:v>
                </c:pt>
                <c:pt idx="428">
                  <c:v>98</c:v>
                </c:pt>
                <c:pt idx="429">
                  <c:v>98</c:v>
                </c:pt>
                <c:pt idx="430">
                  <c:v>98</c:v>
                </c:pt>
                <c:pt idx="431">
                  <c:v>98</c:v>
                </c:pt>
                <c:pt idx="432">
                  <c:v>98</c:v>
                </c:pt>
                <c:pt idx="433">
                  <c:v>98</c:v>
                </c:pt>
                <c:pt idx="434">
                  <c:v>98</c:v>
                </c:pt>
                <c:pt idx="435">
                  <c:v>98</c:v>
                </c:pt>
                <c:pt idx="436">
                  <c:v>97</c:v>
                </c:pt>
                <c:pt idx="437">
                  <c:v>98</c:v>
                </c:pt>
                <c:pt idx="438">
                  <c:v>98</c:v>
                </c:pt>
                <c:pt idx="439">
                  <c:v>98</c:v>
                </c:pt>
                <c:pt idx="440">
                  <c:v>98</c:v>
                </c:pt>
                <c:pt idx="441">
                  <c:v>98</c:v>
                </c:pt>
                <c:pt idx="442">
                  <c:v>98</c:v>
                </c:pt>
                <c:pt idx="443">
                  <c:v>97</c:v>
                </c:pt>
                <c:pt idx="444">
                  <c:v>97</c:v>
                </c:pt>
                <c:pt idx="445">
                  <c:v>97</c:v>
                </c:pt>
                <c:pt idx="446">
                  <c:v>97</c:v>
                </c:pt>
                <c:pt idx="447">
                  <c:v>97</c:v>
                </c:pt>
                <c:pt idx="448">
                  <c:v>97</c:v>
                </c:pt>
                <c:pt idx="449">
                  <c:v>98</c:v>
                </c:pt>
                <c:pt idx="450">
                  <c:v>98</c:v>
                </c:pt>
                <c:pt idx="451">
                  <c:v>98</c:v>
                </c:pt>
                <c:pt idx="452">
                  <c:v>99</c:v>
                </c:pt>
                <c:pt idx="453">
                  <c:v>98</c:v>
                </c:pt>
                <c:pt idx="454">
                  <c:v>98</c:v>
                </c:pt>
                <c:pt idx="455">
                  <c:v>97</c:v>
                </c:pt>
                <c:pt idx="456">
                  <c:v>97</c:v>
                </c:pt>
                <c:pt idx="457">
                  <c:v>97</c:v>
                </c:pt>
                <c:pt idx="458">
                  <c:v>97</c:v>
                </c:pt>
                <c:pt idx="459">
                  <c:v>97</c:v>
                </c:pt>
                <c:pt idx="460">
                  <c:v>97</c:v>
                </c:pt>
                <c:pt idx="461">
                  <c:v>97</c:v>
                </c:pt>
                <c:pt idx="462">
                  <c:v>97</c:v>
                </c:pt>
                <c:pt idx="463">
                  <c:v>97</c:v>
                </c:pt>
                <c:pt idx="464">
                  <c:v>97</c:v>
                </c:pt>
                <c:pt idx="465">
                  <c:v>97</c:v>
                </c:pt>
                <c:pt idx="466">
                  <c:v>97</c:v>
                </c:pt>
                <c:pt idx="467">
                  <c:v>97</c:v>
                </c:pt>
                <c:pt idx="468">
                  <c:v>97</c:v>
                </c:pt>
                <c:pt idx="469">
                  <c:v>96</c:v>
                </c:pt>
                <c:pt idx="470">
                  <c:v>96</c:v>
                </c:pt>
                <c:pt idx="471">
                  <c:v>96</c:v>
                </c:pt>
                <c:pt idx="472">
                  <c:v>96</c:v>
                </c:pt>
                <c:pt idx="473">
                  <c:v>96</c:v>
                </c:pt>
                <c:pt idx="474">
                  <c:v>95</c:v>
                </c:pt>
                <c:pt idx="475">
                  <c:v>95</c:v>
                </c:pt>
                <c:pt idx="476">
                  <c:v>95</c:v>
                </c:pt>
                <c:pt idx="477">
                  <c:v>95</c:v>
                </c:pt>
                <c:pt idx="478">
                  <c:v>95</c:v>
                </c:pt>
                <c:pt idx="479">
                  <c:v>95</c:v>
                </c:pt>
                <c:pt idx="480">
                  <c:v>95</c:v>
                </c:pt>
                <c:pt idx="481">
                  <c:v>95</c:v>
                </c:pt>
                <c:pt idx="482">
                  <c:v>95</c:v>
                </c:pt>
                <c:pt idx="483">
                  <c:v>95</c:v>
                </c:pt>
                <c:pt idx="484">
                  <c:v>95</c:v>
                </c:pt>
                <c:pt idx="485">
                  <c:v>94</c:v>
                </c:pt>
                <c:pt idx="486">
                  <c:v>94</c:v>
                </c:pt>
                <c:pt idx="487">
                  <c:v>94</c:v>
                </c:pt>
                <c:pt idx="488">
                  <c:v>95</c:v>
                </c:pt>
                <c:pt idx="489">
                  <c:v>95</c:v>
                </c:pt>
                <c:pt idx="490">
                  <c:v>95</c:v>
                </c:pt>
                <c:pt idx="491">
                  <c:v>95</c:v>
                </c:pt>
                <c:pt idx="492">
                  <c:v>94</c:v>
                </c:pt>
                <c:pt idx="493">
                  <c:v>94</c:v>
                </c:pt>
                <c:pt idx="494">
                  <c:v>94</c:v>
                </c:pt>
                <c:pt idx="495">
                  <c:v>94</c:v>
                </c:pt>
                <c:pt idx="496">
                  <c:v>95</c:v>
                </c:pt>
                <c:pt idx="497">
                  <c:v>94</c:v>
                </c:pt>
                <c:pt idx="498">
                  <c:v>95</c:v>
                </c:pt>
                <c:pt idx="499">
                  <c:v>94</c:v>
                </c:pt>
                <c:pt idx="500">
                  <c:v>95</c:v>
                </c:pt>
                <c:pt idx="501">
                  <c:v>95</c:v>
                </c:pt>
                <c:pt idx="502">
                  <c:v>95</c:v>
                </c:pt>
                <c:pt idx="503">
                  <c:v>95</c:v>
                </c:pt>
                <c:pt idx="504">
                  <c:v>94</c:v>
                </c:pt>
                <c:pt idx="505">
                  <c:v>94</c:v>
                </c:pt>
                <c:pt idx="506">
                  <c:v>95</c:v>
                </c:pt>
                <c:pt idx="507">
                  <c:v>94</c:v>
                </c:pt>
                <c:pt idx="508">
                  <c:v>95</c:v>
                </c:pt>
                <c:pt idx="509">
                  <c:v>95</c:v>
                </c:pt>
                <c:pt idx="510">
                  <c:v>95</c:v>
                </c:pt>
                <c:pt idx="511">
                  <c:v>96</c:v>
                </c:pt>
                <c:pt idx="512">
                  <c:v>95</c:v>
                </c:pt>
                <c:pt idx="513">
                  <c:v>96</c:v>
                </c:pt>
                <c:pt idx="514">
                  <c:v>95</c:v>
                </c:pt>
                <c:pt idx="515">
                  <c:v>95</c:v>
                </c:pt>
                <c:pt idx="516">
                  <c:v>95</c:v>
                </c:pt>
                <c:pt idx="517">
                  <c:v>95</c:v>
                </c:pt>
                <c:pt idx="518">
                  <c:v>95</c:v>
                </c:pt>
                <c:pt idx="519">
                  <c:v>95</c:v>
                </c:pt>
                <c:pt idx="520">
                  <c:v>95</c:v>
                </c:pt>
                <c:pt idx="521">
                  <c:v>95</c:v>
                </c:pt>
                <c:pt idx="522">
                  <c:v>95</c:v>
                </c:pt>
                <c:pt idx="523">
                  <c:v>95</c:v>
                </c:pt>
                <c:pt idx="524">
                  <c:v>95</c:v>
                </c:pt>
                <c:pt idx="525">
                  <c:v>94</c:v>
                </c:pt>
                <c:pt idx="526">
                  <c:v>94</c:v>
                </c:pt>
                <c:pt idx="527">
                  <c:v>94</c:v>
                </c:pt>
                <c:pt idx="528">
                  <c:v>94</c:v>
                </c:pt>
                <c:pt idx="529">
                  <c:v>95</c:v>
                </c:pt>
                <c:pt idx="530">
                  <c:v>95</c:v>
                </c:pt>
                <c:pt idx="531">
                  <c:v>95</c:v>
                </c:pt>
                <c:pt idx="532">
                  <c:v>95</c:v>
                </c:pt>
                <c:pt idx="533">
                  <c:v>96</c:v>
                </c:pt>
                <c:pt idx="534">
                  <c:v>96</c:v>
                </c:pt>
                <c:pt idx="535">
                  <c:v>96</c:v>
                </c:pt>
                <c:pt idx="536">
                  <c:v>96</c:v>
                </c:pt>
                <c:pt idx="537">
                  <c:v>96</c:v>
                </c:pt>
                <c:pt idx="538">
                  <c:v>96</c:v>
                </c:pt>
                <c:pt idx="539">
                  <c:v>96</c:v>
                </c:pt>
                <c:pt idx="540">
                  <c:v>96</c:v>
                </c:pt>
                <c:pt idx="541">
                  <c:v>96</c:v>
                </c:pt>
                <c:pt idx="542">
                  <c:v>96</c:v>
                </c:pt>
                <c:pt idx="543">
                  <c:v>96</c:v>
                </c:pt>
                <c:pt idx="544">
                  <c:v>96</c:v>
                </c:pt>
                <c:pt idx="545">
                  <c:v>97</c:v>
                </c:pt>
                <c:pt idx="546">
                  <c:v>97</c:v>
                </c:pt>
                <c:pt idx="547">
                  <c:v>97</c:v>
                </c:pt>
                <c:pt idx="548">
                  <c:v>97</c:v>
                </c:pt>
                <c:pt idx="549">
                  <c:v>97</c:v>
                </c:pt>
                <c:pt idx="550">
                  <c:v>98</c:v>
                </c:pt>
                <c:pt idx="551">
                  <c:v>98</c:v>
                </c:pt>
                <c:pt idx="552">
                  <c:v>97</c:v>
                </c:pt>
                <c:pt idx="553">
                  <c:v>97</c:v>
                </c:pt>
                <c:pt idx="554">
                  <c:v>97</c:v>
                </c:pt>
                <c:pt idx="555">
                  <c:v>97</c:v>
                </c:pt>
                <c:pt idx="556">
                  <c:v>97</c:v>
                </c:pt>
                <c:pt idx="557" formatCode="0.00">
                  <c:v>96.43</c:v>
                </c:pt>
                <c:pt idx="558" formatCode="0.00">
                  <c:v>96.52</c:v>
                </c:pt>
                <c:pt idx="559" formatCode="0.00">
                  <c:v>96.51</c:v>
                </c:pt>
                <c:pt idx="560">
                  <c:v>96</c:v>
                </c:pt>
                <c:pt idx="561">
                  <c:v>96</c:v>
                </c:pt>
                <c:pt idx="562">
                  <c:v>96</c:v>
                </c:pt>
                <c:pt idx="563">
                  <c:v>96</c:v>
                </c:pt>
                <c:pt idx="564">
                  <c:v>95</c:v>
                </c:pt>
                <c:pt idx="565">
                  <c:v>96</c:v>
                </c:pt>
                <c:pt idx="566">
                  <c:v>95</c:v>
                </c:pt>
                <c:pt idx="567">
                  <c:v>96</c:v>
                </c:pt>
                <c:pt idx="568">
                  <c:v>95</c:v>
                </c:pt>
                <c:pt idx="569">
                  <c:v>95</c:v>
                </c:pt>
                <c:pt idx="570">
                  <c:v>95</c:v>
                </c:pt>
                <c:pt idx="571">
                  <c:v>95</c:v>
                </c:pt>
                <c:pt idx="572">
                  <c:v>95</c:v>
                </c:pt>
                <c:pt idx="573">
                  <c:v>96</c:v>
                </c:pt>
                <c:pt idx="574">
                  <c:v>95</c:v>
                </c:pt>
                <c:pt idx="575">
                  <c:v>96</c:v>
                </c:pt>
                <c:pt idx="576">
                  <c:v>96</c:v>
                </c:pt>
                <c:pt idx="577">
                  <c:v>95</c:v>
                </c:pt>
                <c:pt idx="578">
                  <c:v>94</c:v>
                </c:pt>
                <c:pt idx="579">
                  <c:v>94</c:v>
                </c:pt>
                <c:pt idx="580">
                  <c:v>94</c:v>
                </c:pt>
                <c:pt idx="581">
                  <c:v>95</c:v>
                </c:pt>
                <c:pt idx="582">
                  <c:v>95</c:v>
                </c:pt>
                <c:pt idx="583">
                  <c:v>95</c:v>
                </c:pt>
                <c:pt idx="584">
                  <c:v>94.4</c:v>
                </c:pt>
                <c:pt idx="585">
                  <c:v>94</c:v>
                </c:pt>
                <c:pt idx="586">
                  <c:v>94.5</c:v>
                </c:pt>
                <c:pt idx="587">
                  <c:v>94</c:v>
                </c:pt>
                <c:pt idx="588">
                  <c:v>93.9</c:v>
                </c:pt>
                <c:pt idx="589" formatCode="General">
                  <c:v>94.3</c:v>
                </c:pt>
                <c:pt idx="590" formatCode="General">
                  <c:v>94.2</c:v>
                </c:pt>
                <c:pt idx="591" formatCode="General">
                  <c:v>94.3</c:v>
                </c:pt>
                <c:pt idx="592" formatCode="General">
                  <c:v>94.1</c:v>
                </c:pt>
                <c:pt idx="593" formatCode="General">
                  <c:v>94.2</c:v>
                </c:pt>
                <c:pt idx="594" formatCode="General">
                  <c:v>94.8</c:v>
                </c:pt>
                <c:pt idx="595" formatCode="General">
                  <c:v>94.4</c:v>
                </c:pt>
                <c:pt idx="596" formatCode="General">
                  <c:v>94.2</c:v>
                </c:pt>
                <c:pt idx="597" formatCode="General">
                  <c:v>94.3</c:v>
                </c:pt>
                <c:pt idx="598" formatCode="General">
                  <c:v>94.4</c:v>
                </c:pt>
                <c:pt idx="599" formatCode="General">
                  <c:v>94.3</c:v>
                </c:pt>
                <c:pt idx="600" formatCode="General">
                  <c:v>94.8</c:v>
                </c:pt>
                <c:pt idx="601" formatCode="General">
                  <c:v>94.8</c:v>
                </c:pt>
                <c:pt idx="602" formatCode="General">
                  <c:v>94.8</c:v>
                </c:pt>
                <c:pt idx="603" formatCode="General">
                  <c:v>95.5</c:v>
                </c:pt>
                <c:pt idx="604" formatCode="General">
                  <c:v>96.2</c:v>
                </c:pt>
                <c:pt idx="605" formatCode="General">
                  <c:v>96.6</c:v>
                </c:pt>
                <c:pt idx="606" formatCode="General">
                  <c:v>96.2</c:v>
                </c:pt>
                <c:pt idx="607" formatCode="General">
                  <c:v>96.1</c:v>
                </c:pt>
                <c:pt idx="608" formatCode="General">
                  <c:v>96.1</c:v>
                </c:pt>
                <c:pt idx="609" formatCode="General">
                  <c:v>96.1</c:v>
                </c:pt>
                <c:pt idx="610" formatCode="General">
                  <c:v>96.2</c:v>
                </c:pt>
                <c:pt idx="611" formatCode="General">
                  <c:v>96.2</c:v>
                </c:pt>
                <c:pt idx="612" formatCode="General">
                  <c:v>96.4</c:v>
                </c:pt>
                <c:pt idx="613" formatCode="General">
                  <c:v>96.8</c:v>
                </c:pt>
                <c:pt idx="614" formatCode="General">
                  <c:v>97</c:v>
                </c:pt>
                <c:pt idx="615" formatCode="General">
                  <c:v>96.8</c:v>
                </c:pt>
                <c:pt idx="616" formatCode="General">
                  <c:v>96.9</c:v>
                </c:pt>
                <c:pt idx="617" formatCode="General">
                  <c:v>97</c:v>
                </c:pt>
                <c:pt idx="618" formatCode="General">
                  <c:v>96.8</c:v>
                </c:pt>
                <c:pt idx="619" formatCode="General">
                  <c:v>96.5</c:v>
                </c:pt>
                <c:pt idx="620" formatCode="General">
                  <c:v>96.6</c:v>
                </c:pt>
              </c:numCache>
            </c:numRef>
          </c:val>
          <c:smooth val="0"/>
          <c:extLst>
            <c:ext xmlns:c16="http://schemas.microsoft.com/office/drawing/2014/chart" uri="{C3380CC4-5D6E-409C-BE32-E72D297353CC}">
              <c16:uniqueId val="{00000003-5C27-41EC-B8F3-CB2673AED5CF}"/>
            </c:ext>
          </c:extLst>
        </c:ser>
        <c:dLbls>
          <c:showLegendKey val="0"/>
          <c:showVal val="0"/>
          <c:showCatName val="0"/>
          <c:showSerName val="0"/>
          <c:showPercent val="0"/>
          <c:showBubbleSize val="0"/>
        </c:dLbls>
        <c:smooth val="0"/>
        <c:axId val="129713664"/>
        <c:axId val="129715200"/>
      </c:lineChart>
      <c:dateAx>
        <c:axId val="129713664"/>
        <c:scaling>
          <c:orientation val="minMax"/>
        </c:scaling>
        <c:delete val="0"/>
        <c:axPos val="b"/>
        <c:numFmt formatCode="dd\-mmm\-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29715200"/>
        <c:crosses val="autoZero"/>
        <c:auto val="1"/>
        <c:lblOffset val="100"/>
        <c:baseTimeUnit val="days"/>
      </c:dateAx>
      <c:valAx>
        <c:axId val="129715200"/>
        <c:scaling>
          <c:orientation val="minMax"/>
          <c:max val="125"/>
          <c:min val="9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hy-AM" sz="800" b="0" i="0" u="none" strike="noStrike" baseline="0">
                    <a:effectLst/>
                  </a:rPr>
                  <a:t>Ինդեքս՝ 2019 թ. հունվարի 8</a:t>
                </a:r>
                <a:endParaRPr lang="en-US" sz="800" b="0" i="0" u="none" strike="noStrike" baseline="0">
                  <a:effectLst/>
                </a:endParaRPr>
              </a:p>
              <a:p>
                <a:pPr>
                  <a:defRPr sz="800" b="0" i="0" u="none" strike="noStrike" kern="1200" baseline="0">
                    <a:solidFill>
                      <a:schemeClr val="tx1">
                        <a:lumMod val="65000"/>
                        <a:lumOff val="35000"/>
                      </a:schemeClr>
                    </a:solidFill>
                    <a:latin typeface="+mn-lt"/>
                    <a:ea typeface="+mn-ea"/>
                    <a:cs typeface="+mn-cs"/>
                  </a:defRPr>
                </a:pPr>
                <a:r>
                  <a:rPr lang="hy-AM" sz="800" b="0" i="0" u="none" strike="noStrike" baseline="0">
                    <a:effectLst/>
                  </a:rPr>
                  <a:t>=100</a:t>
                </a:r>
                <a:endParaRPr lang="en-US" sz="800"/>
              </a:p>
            </c:rich>
          </c:tx>
          <c:layout>
            <c:manualLayout>
              <c:xMode val="edge"/>
              <c:yMode val="edge"/>
              <c:x val="7.751937984496143E-3"/>
              <c:y val="8.4670206921809224E-2"/>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713664"/>
        <c:crosses val="autoZero"/>
        <c:crossBetween val="between"/>
      </c:valAx>
      <c:spPr>
        <a:noFill/>
        <a:ln>
          <a:noFill/>
        </a:ln>
        <a:effectLst/>
      </c:spPr>
    </c:plotArea>
    <c:legend>
      <c:legendPos val="b"/>
      <c:layout>
        <c:manualLayout>
          <c:xMode val="edge"/>
          <c:yMode val="edge"/>
          <c:x val="0"/>
          <c:y val="0.81035853771867028"/>
          <c:w val="0.99798755588566268"/>
          <c:h val="0.1896414622813296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38663563281004"/>
          <c:y val="4.912280701754386E-2"/>
          <c:w val="0.8114917710757853"/>
          <c:h val="0.65850145047658515"/>
        </c:manualLayout>
      </c:layout>
      <c:lineChart>
        <c:grouping val="standard"/>
        <c:varyColors val="0"/>
        <c:ser>
          <c:idx val="0"/>
          <c:order val="0"/>
          <c:tx>
            <c:strRef>
              <c:f>Sheet1!$A$2</c:f>
              <c:strCache>
                <c:ptCount val="1"/>
                <c:pt idx="0">
                  <c:v>Իրական փոփոխություն</c:v>
                </c:pt>
              </c:strCache>
            </c:strRef>
          </c:tx>
          <c:spPr>
            <a:ln w="28575" cap="rnd">
              <a:solidFill>
                <a:srgbClr val="0070C0"/>
              </a:solidFill>
              <a:round/>
            </a:ln>
            <a:effectLst/>
          </c:spPr>
          <c:marker>
            <c:symbol val="circle"/>
            <c:size val="5"/>
            <c:spPr>
              <a:solidFill>
                <a:schemeClr val="accent1"/>
              </a:solidFill>
              <a:ln w="9525">
                <a:solidFill>
                  <a:schemeClr val="accent1"/>
                </a:solidFill>
              </a:ln>
              <a:effectLst/>
            </c:spPr>
          </c:marker>
          <c:cat>
            <c:strRef>
              <c:f>Sheet1!$B$1:$F$1</c:f>
              <c:strCache>
                <c:ptCount val="5"/>
                <c:pt idx="0">
                  <c:v>հունվար</c:v>
                </c:pt>
                <c:pt idx="1">
                  <c:v>փետրվար</c:v>
                </c:pt>
                <c:pt idx="2">
                  <c:v>մարտ</c:v>
                </c:pt>
                <c:pt idx="3">
                  <c:v>ապրիլ</c:v>
                </c:pt>
                <c:pt idx="4">
                  <c:v>մայիս</c:v>
                </c:pt>
              </c:strCache>
            </c:strRef>
          </c:cat>
          <c:val>
            <c:numRef>
              <c:f>Sheet1!$B$2:$F$2</c:f>
              <c:numCache>
                <c:formatCode>0.0</c:formatCode>
                <c:ptCount val="5"/>
                <c:pt idx="0">
                  <c:v>-16.29043052313483</c:v>
                </c:pt>
                <c:pt idx="1">
                  <c:v>-14.133213866780892</c:v>
                </c:pt>
                <c:pt idx="2">
                  <c:v>-7.9905985835550268</c:v>
                </c:pt>
                <c:pt idx="3">
                  <c:v>3.3789448544991245</c:v>
                </c:pt>
                <c:pt idx="4">
                  <c:v>4.8035890392669245</c:v>
                </c:pt>
              </c:numCache>
            </c:numRef>
          </c:val>
          <c:smooth val="0"/>
          <c:extLst>
            <c:ext xmlns:c16="http://schemas.microsoft.com/office/drawing/2014/chart" uri="{C3380CC4-5D6E-409C-BE32-E72D297353CC}">
              <c16:uniqueId val="{00000000-4635-48F3-BBFF-5C5F8311E5B7}"/>
            </c:ext>
          </c:extLst>
        </c:ser>
        <c:ser>
          <c:idx val="1"/>
          <c:order val="1"/>
          <c:tx>
            <c:strRef>
              <c:f>Sheet1!$A$3</c:f>
              <c:strCache>
                <c:ptCount val="1"/>
                <c:pt idx="0">
                  <c:v>Գնային փոփոխություն</c:v>
                </c:pt>
              </c:strCache>
            </c:strRef>
          </c:tx>
          <c:spPr>
            <a:ln>
              <a:solidFill>
                <a:srgbClr val="C00000"/>
              </a:solidFill>
            </a:ln>
          </c:spPr>
          <c:marker>
            <c:spPr>
              <a:solidFill>
                <a:srgbClr val="C00000"/>
              </a:solidFill>
              <a:ln>
                <a:solidFill>
                  <a:srgbClr val="C00000"/>
                </a:solidFill>
              </a:ln>
            </c:spPr>
          </c:marker>
          <c:cat>
            <c:strRef>
              <c:f>Sheet1!$B$1:$F$1</c:f>
              <c:strCache>
                <c:ptCount val="5"/>
                <c:pt idx="0">
                  <c:v>հունվար</c:v>
                </c:pt>
                <c:pt idx="1">
                  <c:v>փետրվար</c:v>
                </c:pt>
                <c:pt idx="2">
                  <c:v>մարտ</c:v>
                </c:pt>
                <c:pt idx="3">
                  <c:v>ապրիլ</c:v>
                </c:pt>
                <c:pt idx="4">
                  <c:v>մայիս</c:v>
                </c:pt>
              </c:strCache>
            </c:strRef>
          </c:cat>
          <c:val>
            <c:numRef>
              <c:f>Sheet1!$B$3:$F$3</c:f>
              <c:numCache>
                <c:formatCode>0.0</c:formatCode>
                <c:ptCount val="5"/>
                <c:pt idx="0">
                  <c:v>19.65961740414653</c:v>
                </c:pt>
                <c:pt idx="1">
                  <c:v>21.637984274365536</c:v>
                </c:pt>
                <c:pt idx="2">
                  <c:v>22.380414099273295</c:v>
                </c:pt>
                <c:pt idx="3">
                  <c:v>22.166105819935652</c:v>
                </c:pt>
                <c:pt idx="4">
                  <c:v>24.821625868672129</c:v>
                </c:pt>
              </c:numCache>
            </c:numRef>
          </c:val>
          <c:smooth val="0"/>
          <c:extLst>
            <c:ext xmlns:c16="http://schemas.microsoft.com/office/drawing/2014/chart" uri="{C3380CC4-5D6E-409C-BE32-E72D297353CC}">
              <c16:uniqueId val="{00000001-4635-48F3-BBFF-5C5F8311E5B7}"/>
            </c:ext>
          </c:extLst>
        </c:ser>
        <c:dLbls>
          <c:showLegendKey val="0"/>
          <c:showVal val="0"/>
          <c:showCatName val="0"/>
          <c:showSerName val="0"/>
          <c:showPercent val="0"/>
          <c:showBubbleSize val="0"/>
        </c:dLbls>
        <c:marker val="1"/>
        <c:smooth val="0"/>
        <c:axId val="149385600"/>
        <c:axId val="149387520"/>
      </c:lineChart>
      <c:catAx>
        <c:axId val="1493856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9387520"/>
        <c:crosses val="autoZero"/>
        <c:auto val="1"/>
        <c:lblAlgn val="ctr"/>
        <c:lblOffset val="100"/>
        <c:noMultiLvlLbl val="0"/>
      </c:catAx>
      <c:valAx>
        <c:axId val="149387520"/>
        <c:scaling>
          <c:orientation val="minMax"/>
          <c:max val="30"/>
          <c:min val="-2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9385600"/>
        <c:crosses val="autoZero"/>
        <c:crossBetween val="between"/>
        <c:majorUnit val="10"/>
      </c:valAx>
      <c:spPr>
        <a:noFill/>
        <a:ln>
          <a:noFill/>
        </a:ln>
        <a:effectLst/>
      </c:spPr>
    </c:plotArea>
    <c:legend>
      <c:legendPos val="b"/>
      <c:layout>
        <c:manualLayout>
          <c:xMode val="edge"/>
          <c:yMode val="edge"/>
          <c:x val="1.2903481404447125E-2"/>
          <c:y val="0.74575571992894862"/>
          <c:w val="0.94484293236930472"/>
          <c:h val="0.2138402396670117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rgbClr val="4472C4"/>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02378893389791"/>
          <c:y val="7.7192982456140549E-2"/>
          <c:w val="0.85358700104683449"/>
          <c:h val="0.53218566100289999"/>
        </c:manualLayout>
      </c:layout>
      <c:lineChart>
        <c:grouping val="standard"/>
        <c:varyColors val="0"/>
        <c:ser>
          <c:idx val="0"/>
          <c:order val="0"/>
          <c:tx>
            <c:strRef>
              <c:f>Sheet1!$A$2</c:f>
              <c:strCache>
                <c:ptCount val="1"/>
                <c:pt idx="0">
                  <c:v>Անվանական 12 ամսյա փոփոխություն </c:v>
                </c:pt>
              </c:strCache>
            </c:strRef>
          </c:tx>
          <c:spPr>
            <a:ln w="28575" cap="rnd">
              <a:solidFill>
                <a:srgbClr val="0070C0"/>
              </a:solidFill>
              <a:round/>
            </a:ln>
            <a:effectLst/>
          </c:spPr>
          <c:marker>
            <c:symbol val="circle"/>
            <c:size val="5"/>
            <c:spPr>
              <a:solidFill>
                <a:schemeClr val="accent1"/>
              </a:solidFill>
              <a:ln w="9525">
                <a:solidFill>
                  <a:schemeClr val="accent1"/>
                </a:solidFill>
              </a:ln>
              <a:effectLst/>
            </c:spPr>
          </c:marker>
          <c:cat>
            <c:strRef>
              <c:f>Sheet1!$B$1:$F$1</c:f>
              <c:strCache>
                <c:ptCount val="5"/>
                <c:pt idx="0">
                  <c:v>հունվար</c:v>
                </c:pt>
                <c:pt idx="1">
                  <c:v>փետրվար</c:v>
                </c:pt>
                <c:pt idx="2">
                  <c:v>մարտ</c:v>
                </c:pt>
                <c:pt idx="3">
                  <c:v>ապրիլ</c:v>
                </c:pt>
                <c:pt idx="4">
                  <c:v>մայիս</c:v>
                </c:pt>
              </c:strCache>
            </c:strRef>
          </c:cat>
          <c:val>
            <c:numRef>
              <c:f>Sheet1!$B$2:$F$2</c:f>
              <c:numCache>
                <c:formatCode>0.0</c:formatCode>
                <c:ptCount val="5"/>
                <c:pt idx="0">
                  <c:v>-7.9032757155481477</c:v>
                </c:pt>
                <c:pt idx="1">
                  <c:v>-0.98160913983153364</c:v>
                </c:pt>
                <c:pt idx="2">
                  <c:v>19.892237673068863</c:v>
                </c:pt>
                <c:pt idx="3">
                  <c:v>65.08976385622276</c:v>
                </c:pt>
                <c:pt idx="4">
                  <c:v>36.673349626855014</c:v>
                </c:pt>
              </c:numCache>
            </c:numRef>
          </c:val>
          <c:smooth val="0"/>
          <c:extLst>
            <c:ext xmlns:c16="http://schemas.microsoft.com/office/drawing/2014/chart" uri="{C3380CC4-5D6E-409C-BE32-E72D297353CC}">
              <c16:uniqueId val="{00000000-7032-4A63-9812-823885DBF807}"/>
            </c:ext>
          </c:extLst>
        </c:ser>
        <c:ser>
          <c:idx val="1"/>
          <c:order val="1"/>
          <c:tx>
            <c:strRef>
              <c:f>Sheet1!$A$3</c:f>
              <c:strCache>
                <c:ptCount val="1"/>
                <c:pt idx="0">
                  <c:v>Անվանական կուտակային փոփոխություն</c:v>
                </c:pt>
              </c:strCache>
            </c:strRef>
          </c:tx>
          <c:spPr>
            <a:ln>
              <a:solidFill>
                <a:srgbClr val="C00000"/>
              </a:solidFill>
            </a:ln>
          </c:spPr>
          <c:marker>
            <c:spPr>
              <a:solidFill>
                <a:srgbClr val="C00000"/>
              </a:solidFill>
              <a:ln>
                <a:solidFill>
                  <a:srgbClr val="C00000"/>
                </a:solidFill>
              </a:ln>
            </c:spPr>
          </c:marker>
          <c:dLbls>
            <c:dLbl>
              <c:idx val="4"/>
              <c:layout>
                <c:manualLayout>
                  <c:x val="-5.4054054054054057E-2"/>
                  <c:y val="8.4210526315789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32-4A63-9812-823885DBF80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Sheet1!$B$1:$F$1</c:f>
              <c:strCache>
                <c:ptCount val="5"/>
                <c:pt idx="0">
                  <c:v>հունվար</c:v>
                </c:pt>
                <c:pt idx="1">
                  <c:v>փետրվար</c:v>
                </c:pt>
                <c:pt idx="2">
                  <c:v>մարտ</c:v>
                </c:pt>
                <c:pt idx="3">
                  <c:v>ապրիլ</c:v>
                </c:pt>
                <c:pt idx="4">
                  <c:v>մայիս</c:v>
                </c:pt>
              </c:strCache>
            </c:strRef>
          </c:cat>
          <c:val>
            <c:numRef>
              <c:f>Sheet1!$B$3:$F$3</c:f>
              <c:numCache>
                <c:formatCode>0.0</c:formatCode>
                <c:ptCount val="5"/>
                <c:pt idx="0">
                  <c:v>-7.9032757155480482</c:v>
                </c:pt>
                <c:pt idx="1">
                  <c:v>-4.2300982885071221</c:v>
                </c:pt>
                <c:pt idx="2">
                  <c:v>3.6179157176098755</c:v>
                </c:pt>
                <c:pt idx="3">
                  <c:v>16.517520057607697</c:v>
                </c:pt>
                <c:pt idx="4">
                  <c:v>20.846164561671927</c:v>
                </c:pt>
              </c:numCache>
            </c:numRef>
          </c:val>
          <c:smooth val="0"/>
          <c:extLst>
            <c:ext xmlns:c16="http://schemas.microsoft.com/office/drawing/2014/chart" uri="{C3380CC4-5D6E-409C-BE32-E72D297353CC}">
              <c16:uniqueId val="{00000002-7032-4A63-9812-823885DBF807}"/>
            </c:ext>
          </c:extLst>
        </c:ser>
        <c:dLbls>
          <c:showLegendKey val="0"/>
          <c:showVal val="0"/>
          <c:showCatName val="0"/>
          <c:showSerName val="0"/>
          <c:showPercent val="0"/>
          <c:showBubbleSize val="0"/>
        </c:dLbls>
        <c:marker val="1"/>
        <c:smooth val="0"/>
        <c:axId val="149214720"/>
        <c:axId val="149216256"/>
      </c:lineChart>
      <c:catAx>
        <c:axId val="14921472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9216256"/>
        <c:crosses val="autoZero"/>
        <c:auto val="1"/>
        <c:lblAlgn val="ctr"/>
        <c:lblOffset val="100"/>
        <c:noMultiLvlLbl val="0"/>
      </c:catAx>
      <c:valAx>
        <c:axId val="149216256"/>
        <c:scaling>
          <c:orientation val="minMax"/>
          <c:min val="-1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9214720"/>
        <c:crosses val="autoZero"/>
        <c:crossBetween val="between"/>
        <c:majorUnit val="10"/>
      </c:valAx>
      <c:spPr>
        <a:noFill/>
        <a:ln>
          <a:noFill/>
        </a:ln>
        <a:effectLst/>
      </c:spPr>
    </c:plotArea>
    <c:legend>
      <c:legendPos val="b"/>
      <c:layout>
        <c:manualLayout>
          <c:xMode val="edge"/>
          <c:yMode val="edge"/>
          <c:x val="1.7440690881381768E-2"/>
          <c:y val="0.73505069761016884"/>
          <c:w val="0.97802150537634414"/>
          <c:h val="0.2228440392319382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rgbClr val="4472C4"/>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321400231947778"/>
          <c:y val="6.636500754147813E-2"/>
          <c:w val="0.8241503387657938"/>
          <c:h val="0.65813850191802969"/>
        </c:manualLayout>
      </c:layout>
      <c:lineChart>
        <c:grouping val="standard"/>
        <c:varyColors val="0"/>
        <c:ser>
          <c:idx val="0"/>
          <c:order val="0"/>
          <c:tx>
            <c:strRef>
              <c:f>Sheet1!$A$2</c:f>
              <c:strCache>
                <c:ptCount val="1"/>
                <c:pt idx="0">
                  <c:v>Անվանական 12 ամսյա փոփոխություն</c:v>
                </c:pt>
              </c:strCache>
            </c:strRef>
          </c:tx>
          <c:spPr>
            <a:ln w="28575" cap="rnd">
              <a:solidFill>
                <a:srgbClr val="0070C0"/>
              </a:solidFill>
              <a:round/>
            </a:ln>
            <a:effectLst/>
          </c:spPr>
          <c:marker>
            <c:symbol val="circle"/>
            <c:size val="5"/>
            <c:spPr>
              <a:solidFill>
                <a:schemeClr val="accent1"/>
              </a:solidFill>
              <a:ln w="9525">
                <a:solidFill>
                  <a:schemeClr val="accent1"/>
                </a:solidFill>
              </a:ln>
              <a:effectLst/>
            </c:spPr>
          </c:marker>
          <c:cat>
            <c:strRef>
              <c:f>Sheet1!$B$1:$F$1</c:f>
              <c:strCache>
                <c:ptCount val="5"/>
                <c:pt idx="0">
                  <c:v>հունվար</c:v>
                </c:pt>
                <c:pt idx="1">
                  <c:v>փետրվար</c:v>
                </c:pt>
                <c:pt idx="2">
                  <c:v>մարտ</c:v>
                </c:pt>
                <c:pt idx="3">
                  <c:v>ապրիլ</c:v>
                </c:pt>
                <c:pt idx="4">
                  <c:v>մայիս</c:v>
                </c:pt>
              </c:strCache>
            </c:strRef>
          </c:cat>
          <c:val>
            <c:numRef>
              <c:f>Sheet1!$B$2:$F$2</c:f>
              <c:numCache>
                <c:formatCode>0.0</c:formatCode>
                <c:ptCount val="5"/>
                <c:pt idx="0">
                  <c:v>-19.529273519380197</c:v>
                </c:pt>
                <c:pt idx="1">
                  <c:v>-15.461705408054428</c:v>
                </c:pt>
                <c:pt idx="2">
                  <c:v>1.2279315242772668</c:v>
                </c:pt>
                <c:pt idx="3">
                  <c:v>39.75896628055321</c:v>
                </c:pt>
                <c:pt idx="4">
                  <c:v>34.393663184173136</c:v>
                </c:pt>
              </c:numCache>
            </c:numRef>
          </c:val>
          <c:smooth val="0"/>
          <c:extLst>
            <c:ext xmlns:c16="http://schemas.microsoft.com/office/drawing/2014/chart" uri="{C3380CC4-5D6E-409C-BE32-E72D297353CC}">
              <c16:uniqueId val="{00000000-27F2-41F2-9B03-BA9B639D05B3}"/>
            </c:ext>
          </c:extLst>
        </c:ser>
        <c:ser>
          <c:idx val="1"/>
          <c:order val="1"/>
          <c:tx>
            <c:strRef>
              <c:f>Sheet1!$A$3</c:f>
              <c:strCache>
                <c:ptCount val="1"/>
                <c:pt idx="0">
                  <c:v>Անվանական կուտակային փոփոխություն</c:v>
                </c:pt>
              </c:strCache>
            </c:strRef>
          </c:tx>
          <c:spPr>
            <a:ln>
              <a:solidFill>
                <a:srgbClr val="C00000"/>
              </a:solidFill>
            </a:ln>
          </c:spPr>
          <c:marker>
            <c:spPr>
              <a:solidFill>
                <a:srgbClr val="C00000"/>
              </a:solidFill>
              <a:ln>
                <a:solidFill>
                  <a:srgbClr val="C00000"/>
                </a:solidFill>
              </a:ln>
            </c:spPr>
          </c:marker>
          <c:dLbls>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F2-41F2-9B03-BA9B639D05B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Sheet1!$B$1:$F$1</c:f>
              <c:strCache>
                <c:ptCount val="5"/>
                <c:pt idx="0">
                  <c:v>հունվար</c:v>
                </c:pt>
                <c:pt idx="1">
                  <c:v>փետրվար</c:v>
                </c:pt>
                <c:pt idx="2">
                  <c:v>մարտ</c:v>
                </c:pt>
                <c:pt idx="3">
                  <c:v>ապրիլ</c:v>
                </c:pt>
                <c:pt idx="4">
                  <c:v>մայիս</c:v>
                </c:pt>
              </c:strCache>
            </c:strRef>
          </c:cat>
          <c:val>
            <c:numRef>
              <c:f>Sheet1!$B$3:$F$3</c:f>
              <c:numCache>
                <c:formatCode>0.0</c:formatCode>
                <c:ptCount val="5"/>
                <c:pt idx="0">
                  <c:v>-19.529273519380283</c:v>
                </c:pt>
                <c:pt idx="1">
                  <c:v>-17.29977755606285</c:v>
                </c:pt>
                <c:pt idx="2">
                  <c:v>-10.952506428933205</c:v>
                </c:pt>
                <c:pt idx="3">
                  <c:v>0.23245130964551208</c:v>
                </c:pt>
                <c:pt idx="4">
                  <c:v>6.6817385111675094</c:v>
                </c:pt>
              </c:numCache>
            </c:numRef>
          </c:val>
          <c:smooth val="0"/>
          <c:extLst>
            <c:ext xmlns:c16="http://schemas.microsoft.com/office/drawing/2014/chart" uri="{C3380CC4-5D6E-409C-BE32-E72D297353CC}">
              <c16:uniqueId val="{00000002-27F2-41F2-9B03-BA9B639D05B3}"/>
            </c:ext>
          </c:extLst>
        </c:ser>
        <c:dLbls>
          <c:showLegendKey val="0"/>
          <c:showVal val="0"/>
          <c:showCatName val="0"/>
          <c:showSerName val="0"/>
          <c:showPercent val="0"/>
          <c:showBubbleSize val="0"/>
        </c:dLbls>
        <c:marker val="1"/>
        <c:smooth val="0"/>
        <c:axId val="149329792"/>
        <c:axId val="149331328"/>
      </c:lineChart>
      <c:catAx>
        <c:axId val="14932979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9331328"/>
        <c:crosses val="autoZero"/>
        <c:auto val="1"/>
        <c:lblAlgn val="ctr"/>
        <c:lblOffset val="100"/>
        <c:noMultiLvlLbl val="0"/>
      </c:catAx>
      <c:valAx>
        <c:axId val="149331328"/>
        <c:scaling>
          <c:orientation val="minMax"/>
          <c:max val="40"/>
          <c:min val="-2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9329792"/>
        <c:crosses val="autoZero"/>
        <c:crossBetween val="between"/>
        <c:majorUnit val="10"/>
      </c:valAx>
      <c:spPr>
        <a:noFill/>
        <a:ln>
          <a:noFill/>
        </a:ln>
        <a:effectLst/>
      </c:spPr>
    </c:plotArea>
    <c:legend>
      <c:legendPos val="b"/>
      <c:layout>
        <c:manualLayout>
          <c:xMode val="edge"/>
          <c:yMode val="edge"/>
          <c:x val="0"/>
          <c:y val="0.82552036199094858"/>
          <c:w val="1"/>
          <c:h val="0.1460488235430749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rgbClr val="4472C4"/>
      </a:solidFill>
      <a:round/>
    </a:ln>
    <a:effectLst/>
  </c:spPr>
  <c:txPr>
    <a:bodyPr/>
    <a:lstStyle/>
    <a:p>
      <a:pPr>
        <a:defRPr sz="800">
          <a:latin typeface="GHEA Grapalat" panose="02000506050000020003" pitchFamily="50" charset="0"/>
        </a:defRPr>
      </a:pPr>
      <a:endParaRPr lang="en-US"/>
    </a:p>
  </c:txPr>
  <c:externalData r:id="rId2">
    <c:autoUpdate val="0"/>
  </c:externalData>
  <c:userShapes r:id="rId3"/>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81438189791494"/>
          <c:y val="9.078014184397161E-2"/>
          <c:w val="0.8320738168598506"/>
          <c:h val="0.6545163798969551"/>
        </c:manualLayout>
      </c:layout>
      <c:lineChart>
        <c:grouping val="standard"/>
        <c:varyColors val="0"/>
        <c:ser>
          <c:idx val="0"/>
          <c:order val="0"/>
          <c:tx>
            <c:strRef>
              <c:f>Sheet1!$A$2</c:f>
              <c:strCache>
                <c:ptCount val="1"/>
                <c:pt idx="0">
                  <c:v>Իրական փոփոխություն</c:v>
                </c:pt>
              </c:strCache>
            </c:strRef>
          </c:tx>
          <c:spPr>
            <a:ln w="28575" cap="rnd">
              <a:solidFill>
                <a:srgbClr val="0070C0"/>
              </a:solidFill>
              <a:round/>
            </a:ln>
            <a:effectLst/>
          </c:spPr>
          <c:marker>
            <c:symbol val="circle"/>
            <c:size val="5"/>
            <c:spPr>
              <a:solidFill>
                <a:schemeClr val="accent1"/>
              </a:solidFill>
              <a:ln w="9525">
                <a:solidFill>
                  <a:schemeClr val="accent1"/>
                </a:solidFill>
              </a:ln>
              <a:effectLst/>
            </c:spPr>
          </c:marker>
          <c:cat>
            <c:strRef>
              <c:f>Sheet1!$B$1:$F$1</c:f>
              <c:strCache>
                <c:ptCount val="5"/>
                <c:pt idx="0">
                  <c:v>հունվար</c:v>
                </c:pt>
                <c:pt idx="1">
                  <c:v>փետրվար</c:v>
                </c:pt>
                <c:pt idx="2">
                  <c:v>մարտ</c:v>
                </c:pt>
                <c:pt idx="3">
                  <c:v>ապրիլ</c:v>
                </c:pt>
                <c:pt idx="4">
                  <c:v>մայիս</c:v>
                </c:pt>
              </c:strCache>
            </c:strRef>
          </c:cat>
          <c:val>
            <c:numRef>
              <c:f>Sheet1!$B$2:$F$2</c:f>
              <c:numCache>
                <c:formatCode>0.0</c:formatCode>
                <c:ptCount val="5"/>
                <c:pt idx="0">
                  <c:v>-16.126242967419174</c:v>
                </c:pt>
                <c:pt idx="1">
                  <c:v>-13.969583121443861</c:v>
                </c:pt>
                <c:pt idx="2">
                  <c:v>-9.6178787282900942</c:v>
                </c:pt>
                <c:pt idx="3">
                  <c:v>0.20519439517971705</c:v>
                </c:pt>
                <c:pt idx="4">
                  <c:v>5.7076639762596528</c:v>
                </c:pt>
              </c:numCache>
            </c:numRef>
          </c:val>
          <c:smooth val="0"/>
          <c:extLst>
            <c:ext xmlns:c16="http://schemas.microsoft.com/office/drawing/2014/chart" uri="{C3380CC4-5D6E-409C-BE32-E72D297353CC}">
              <c16:uniqueId val="{00000000-0A34-49A9-9821-0F86E9251F84}"/>
            </c:ext>
          </c:extLst>
        </c:ser>
        <c:ser>
          <c:idx val="1"/>
          <c:order val="1"/>
          <c:tx>
            <c:strRef>
              <c:f>Sheet1!$A$3</c:f>
              <c:strCache>
                <c:ptCount val="1"/>
                <c:pt idx="0">
                  <c:v>Գնային փոփոխություն</c:v>
                </c:pt>
              </c:strCache>
            </c:strRef>
          </c:tx>
          <c:spPr>
            <a:ln>
              <a:solidFill>
                <a:srgbClr val="C00000"/>
              </a:solidFill>
            </a:ln>
          </c:spPr>
          <c:marker>
            <c:spPr>
              <a:solidFill>
                <a:srgbClr val="C00000"/>
              </a:solidFill>
              <a:ln>
                <a:solidFill>
                  <a:srgbClr val="C00000"/>
                </a:solidFill>
              </a:ln>
            </c:spPr>
          </c:marker>
          <c:cat>
            <c:strRef>
              <c:f>Sheet1!$B$1:$F$1</c:f>
              <c:strCache>
                <c:ptCount val="5"/>
                <c:pt idx="0">
                  <c:v>հունվար</c:v>
                </c:pt>
                <c:pt idx="1">
                  <c:v>փետրվար</c:v>
                </c:pt>
                <c:pt idx="2">
                  <c:v>մարտ</c:v>
                </c:pt>
                <c:pt idx="3">
                  <c:v>ապրիլ</c:v>
                </c:pt>
                <c:pt idx="4">
                  <c:v>մայիս</c:v>
                </c:pt>
              </c:strCache>
            </c:strRef>
          </c:cat>
          <c:val>
            <c:numRef>
              <c:f>Sheet1!$B$3:$F$3</c:f>
              <c:numCache>
                <c:formatCode>0.0</c:formatCode>
                <c:ptCount val="5"/>
                <c:pt idx="0">
                  <c:v>4.3494969513496784</c:v>
                </c:pt>
                <c:pt idx="1">
                  <c:v>4.8383148200538244</c:v>
                </c:pt>
                <c:pt idx="2">
                  <c:v>7.0652268117635657</c:v>
                </c:pt>
                <c:pt idx="3">
                  <c:v>8.4200766278695056</c:v>
                </c:pt>
                <c:pt idx="4">
                  <c:v>9.2488133452767443</c:v>
                </c:pt>
              </c:numCache>
            </c:numRef>
          </c:val>
          <c:smooth val="0"/>
          <c:extLst>
            <c:ext xmlns:c16="http://schemas.microsoft.com/office/drawing/2014/chart" uri="{C3380CC4-5D6E-409C-BE32-E72D297353CC}">
              <c16:uniqueId val="{00000001-0A34-49A9-9821-0F86E9251F84}"/>
            </c:ext>
          </c:extLst>
        </c:ser>
        <c:dLbls>
          <c:showLegendKey val="0"/>
          <c:showVal val="0"/>
          <c:showCatName val="0"/>
          <c:showSerName val="0"/>
          <c:showPercent val="0"/>
          <c:showBubbleSize val="0"/>
        </c:dLbls>
        <c:marker val="1"/>
        <c:smooth val="0"/>
        <c:axId val="149485056"/>
        <c:axId val="149486976"/>
      </c:lineChart>
      <c:catAx>
        <c:axId val="1494850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9486976"/>
        <c:crosses val="autoZero"/>
        <c:auto val="1"/>
        <c:lblAlgn val="ctr"/>
        <c:lblOffset val="100"/>
        <c:noMultiLvlLbl val="0"/>
      </c:catAx>
      <c:valAx>
        <c:axId val="149486976"/>
        <c:scaling>
          <c:orientation val="minMax"/>
          <c:max val="10"/>
          <c:min val="-2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9485056"/>
        <c:crosses val="autoZero"/>
        <c:crossBetween val="between"/>
        <c:majorUnit val="5"/>
      </c:valAx>
      <c:spPr>
        <a:noFill/>
        <a:ln>
          <a:noFill/>
        </a:ln>
        <a:effectLst/>
      </c:spPr>
    </c:plotArea>
    <c:legend>
      <c:legendPos val="b"/>
      <c:layout>
        <c:manualLayout>
          <c:xMode val="edge"/>
          <c:yMode val="edge"/>
          <c:x val="3.9658303581617572E-2"/>
          <c:y val="0.83684950019545556"/>
          <c:w val="0.92068339283676459"/>
          <c:h val="0.129107946613056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rgbClr val="4472C4"/>
      </a:solidFill>
      <a:round/>
    </a:ln>
    <a:effectLst/>
  </c:spPr>
  <c:txPr>
    <a:bodyPr/>
    <a:lstStyle/>
    <a:p>
      <a:pPr>
        <a:defRPr sz="800">
          <a:latin typeface="GHEA Grapalat" panose="02000506050000020003" pitchFamily="50" charset="0"/>
        </a:defRPr>
      </a:pPr>
      <a:endParaRPr lang="en-US"/>
    </a:p>
  </c:txPr>
  <c:externalData r:id="rId2">
    <c:autoUpdate val="0"/>
  </c:externalData>
  <c:userShapes r:id="rId3"/>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48326771653562"/>
          <c:y val="9.1389048471945289E-2"/>
          <c:w val="0.89352514220179968"/>
          <c:h val="0.68063487772182985"/>
        </c:manualLayout>
      </c:layout>
      <c:barChart>
        <c:barDir val="col"/>
        <c:grouping val="clustered"/>
        <c:varyColors val="0"/>
        <c:ser>
          <c:idx val="0"/>
          <c:order val="0"/>
          <c:tx>
            <c:strRef>
              <c:f>Sheet1!$A$2</c:f>
              <c:strCache>
                <c:ptCount val="1"/>
                <c:pt idx="0">
                  <c:v>Կշիռը ՀՆԱ-ում, %</c:v>
                </c:pt>
              </c:strCache>
            </c:strRef>
          </c:tx>
          <c:spPr>
            <a:solidFill>
              <a:srgbClr val="4472C4"/>
            </a:solidFill>
            <a:ln w="28575" cap="rnd">
              <a:solidFill>
                <a:srgbClr val="4472C4"/>
              </a:solidFill>
              <a:round/>
            </a:ln>
            <a:effectLst/>
          </c:spPr>
          <c:invertIfNegative val="0"/>
          <c:cat>
            <c:strRef>
              <c:f>Sheet1!$B$1:$K$1</c:f>
              <c:strCache>
                <c:ptCount val="9"/>
                <c:pt idx="0">
                  <c:v>2009</c:v>
                </c:pt>
                <c:pt idx="1">
                  <c:v>2010</c:v>
                </c:pt>
                <c:pt idx="2">
                  <c:v>...</c:v>
                </c:pt>
                <c:pt idx="3">
                  <c:v>2019</c:v>
                </c:pt>
                <c:pt idx="4">
                  <c:v>2020</c:v>
                </c:pt>
                <c:pt idx="5">
                  <c:v>2021</c:v>
                </c:pt>
                <c:pt idx="6">
                  <c:v>2022</c:v>
                </c:pt>
                <c:pt idx="7">
                  <c:v>2023</c:v>
                </c:pt>
                <c:pt idx="8">
                  <c:v>2024</c:v>
                </c:pt>
              </c:strCache>
            </c:strRef>
          </c:cat>
          <c:val>
            <c:numRef>
              <c:f>Sheet1!$B$2:$K$2</c:f>
              <c:numCache>
                <c:formatCode>#\,##0.0</c:formatCode>
                <c:ptCount val="9"/>
                <c:pt idx="0">
                  <c:v>18.030764842843368</c:v>
                </c:pt>
                <c:pt idx="1">
                  <c:v>23.872584985205389</c:v>
                </c:pt>
                <c:pt idx="3" formatCode="0.0">
                  <c:v>41.985467543342466</c:v>
                </c:pt>
                <c:pt idx="4" formatCode="0.0">
                  <c:v>29.764298371950591</c:v>
                </c:pt>
                <c:pt idx="5" formatCode="0.0">
                  <c:v>32.902667998836911</c:v>
                </c:pt>
                <c:pt idx="6" formatCode="0.0">
                  <c:v>34.756341334635053</c:v>
                </c:pt>
                <c:pt idx="7" formatCode="0.0">
                  <c:v>36.253587155934071</c:v>
                </c:pt>
                <c:pt idx="8" formatCode="0.0">
                  <c:v>37.199976381601282</c:v>
                </c:pt>
              </c:numCache>
            </c:numRef>
          </c:val>
          <c:extLst>
            <c:ext xmlns:c16="http://schemas.microsoft.com/office/drawing/2014/chart" uri="{C3380CC4-5D6E-409C-BE32-E72D297353CC}">
              <c16:uniqueId val="{00000000-C93F-4F98-BE1C-64A86BC5DAFB}"/>
            </c:ext>
          </c:extLst>
        </c:ser>
        <c:ser>
          <c:idx val="1"/>
          <c:order val="1"/>
          <c:tx>
            <c:strRef>
              <c:f>Sheet1!$A$3</c:f>
              <c:strCache>
                <c:ptCount val="1"/>
                <c:pt idx="0">
                  <c:v>Փոփոխությունը, տ/տ, %</c:v>
                </c:pt>
              </c:strCache>
            </c:strRef>
          </c:tx>
          <c:spPr>
            <a:solidFill>
              <a:srgbClr val="C00000"/>
            </a:solidFill>
            <a:ln w="28575" cap="rnd">
              <a:solidFill>
                <a:srgbClr val="C00000"/>
              </a:solidFill>
              <a:round/>
            </a:ln>
            <a:effectLst/>
          </c:spPr>
          <c:invertIfNegative val="0"/>
          <c:cat>
            <c:strRef>
              <c:f>Sheet1!$B$1:$K$1</c:f>
              <c:strCache>
                <c:ptCount val="9"/>
                <c:pt idx="0">
                  <c:v>2009</c:v>
                </c:pt>
                <c:pt idx="1">
                  <c:v>2010</c:v>
                </c:pt>
                <c:pt idx="2">
                  <c:v>...</c:v>
                </c:pt>
                <c:pt idx="3">
                  <c:v>2019</c:v>
                </c:pt>
                <c:pt idx="4">
                  <c:v>2020</c:v>
                </c:pt>
                <c:pt idx="5">
                  <c:v>2021</c:v>
                </c:pt>
                <c:pt idx="6">
                  <c:v>2022</c:v>
                </c:pt>
                <c:pt idx="7">
                  <c:v>2023</c:v>
                </c:pt>
                <c:pt idx="8">
                  <c:v>2024</c:v>
                </c:pt>
              </c:strCache>
            </c:strRef>
          </c:cat>
          <c:val>
            <c:numRef>
              <c:f>Sheet1!$B$3:$K$3</c:f>
              <c:numCache>
                <c:formatCode>#\,##0.0</c:formatCode>
                <c:ptCount val="9"/>
                <c:pt idx="0">
                  <c:v>-19.773709903356107</c:v>
                </c:pt>
                <c:pt idx="1">
                  <c:v>41.77337373770419</c:v>
                </c:pt>
                <c:pt idx="3" formatCode="0.0">
                  <c:v>15.709804500958342</c:v>
                </c:pt>
                <c:pt idx="4" formatCode="0.0">
                  <c:v>-34.198868672796166</c:v>
                </c:pt>
                <c:pt idx="5" formatCode="0.0">
                  <c:v>18.185232354980201</c:v>
                </c:pt>
                <c:pt idx="6" formatCode="0.0">
                  <c:v>14.971634051403711</c:v>
                </c:pt>
                <c:pt idx="7" formatCode="0.0">
                  <c:v>12.019397428942227</c:v>
                </c:pt>
                <c:pt idx="8" formatCode="0.0">
                  <c:v>10.40050535254089</c:v>
                </c:pt>
              </c:numCache>
            </c:numRef>
          </c:val>
          <c:extLst>
            <c:ext xmlns:c16="http://schemas.microsoft.com/office/drawing/2014/chart" uri="{C3380CC4-5D6E-409C-BE32-E72D297353CC}">
              <c16:uniqueId val="{00000001-C93F-4F98-BE1C-64A86BC5DAFB}"/>
            </c:ext>
          </c:extLst>
        </c:ser>
        <c:dLbls>
          <c:showLegendKey val="0"/>
          <c:showVal val="0"/>
          <c:showCatName val="0"/>
          <c:showSerName val="0"/>
          <c:showPercent val="0"/>
          <c:showBubbleSize val="0"/>
        </c:dLbls>
        <c:gapWidth val="150"/>
        <c:axId val="149534592"/>
        <c:axId val="149536128"/>
      </c:barChart>
      <c:catAx>
        <c:axId val="14953459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49536128"/>
        <c:crosses val="autoZero"/>
        <c:auto val="1"/>
        <c:lblAlgn val="ctr"/>
        <c:lblOffset val="100"/>
        <c:noMultiLvlLbl val="0"/>
      </c:catAx>
      <c:valAx>
        <c:axId val="149536128"/>
        <c:scaling>
          <c:orientation val="minMax"/>
          <c:max val="45"/>
          <c:min val="-25"/>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49534592"/>
        <c:crosses val="autoZero"/>
        <c:crossBetween val="between"/>
        <c:majorUnit val="20"/>
      </c:valAx>
      <c:spPr>
        <a:noFill/>
        <a:ln>
          <a:noFill/>
        </a:ln>
        <a:effectLst/>
      </c:spPr>
    </c:plotArea>
    <c:legend>
      <c:legendPos val="b"/>
      <c:layout>
        <c:manualLayout>
          <c:xMode val="edge"/>
          <c:yMode val="edge"/>
          <c:x val="0.05"/>
          <c:y val="0.91940387279916191"/>
          <c:w val="0.92515703461595589"/>
          <c:h val="7.753569794601392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rgbClr val="4472C4"/>
      </a:solidFill>
      <a:round/>
    </a:ln>
    <a:effectLst/>
  </c:spPr>
  <c:txPr>
    <a:bodyPr/>
    <a:lstStyle/>
    <a:p>
      <a:pPr>
        <a:defRPr/>
      </a:pPr>
      <a:endParaRPr lang="en-US"/>
    </a:p>
  </c:txPr>
  <c:externalData r:id="rId2">
    <c:autoUpdate val="0"/>
  </c:externalData>
  <c:userShapes r:id="rId3"/>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17462150075816"/>
          <c:y val="9.8556430446194554E-2"/>
          <c:w val="0.8528251014077799"/>
          <c:h val="0.64581645243062558"/>
        </c:manualLayout>
      </c:layout>
      <c:barChart>
        <c:barDir val="col"/>
        <c:grouping val="clustered"/>
        <c:varyColors val="0"/>
        <c:ser>
          <c:idx val="0"/>
          <c:order val="0"/>
          <c:tx>
            <c:strRef>
              <c:f>Sheet1!$A$2</c:f>
              <c:strCache>
                <c:ptCount val="1"/>
                <c:pt idx="0">
                  <c:v>Կշիռը ՀՆԱ-ում, %</c:v>
                </c:pt>
              </c:strCache>
            </c:strRef>
          </c:tx>
          <c:spPr>
            <a:solidFill>
              <a:srgbClr val="4472C4"/>
            </a:solidFill>
            <a:ln w="28575" cap="rnd">
              <a:solidFill>
                <a:srgbClr val="4472C4"/>
              </a:solidFill>
              <a:round/>
            </a:ln>
            <a:effectLst/>
          </c:spPr>
          <c:invertIfNegative val="0"/>
          <c:cat>
            <c:strRef>
              <c:f>Sheet1!$B$1:$K$1</c:f>
              <c:strCache>
                <c:ptCount val="9"/>
                <c:pt idx="0">
                  <c:v>2009</c:v>
                </c:pt>
                <c:pt idx="1">
                  <c:v>2010</c:v>
                </c:pt>
                <c:pt idx="2">
                  <c:v>Column1</c:v>
                </c:pt>
                <c:pt idx="3">
                  <c:v>2019</c:v>
                </c:pt>
                <c:pt idx="4">
                  <c:v>2020</c:v>
                </c:pt>
                <c:pt idx="5">
                  <c:v>2021</c:v>
                </c:pt>
                <c:pt idx="6">
                  <c:v>2022</c:v>
                </c:pt>
                <c:pt idx="7">
                  <c:v>2023</c:v>
                </c:pt>
                <c:pt idx="8">
                  <c:v>2024</c:v>
                </c:pt>
              </c:strCache>
            </c:strRef>
          </c:cat>
          <c:val>
            <c:numRef>
              <c:f>Sheet1!$B$2:$K$2</c:f>
              <c:numCache>
                <c:formatCode>#\,##0.0</c:formatCode>
                <c:ptCount val="9"/>
                <c:pt idx="0">
                  <c:v>45.392955666919889</c:v>
                </c:pt>
                <c:pt idx="1">
                  <c:v>48.995851468704608</c:v>
                </c:pt>
                <c:pt idx="3" formatCode="0.0">
                  <c:v>55.164226569505161</c:v>
                </c:pt>
                <c:pt idx="4" formatCode="0.0">
                  <c:v>39.70086105537515</c:v>
                </c:pt>
                <c:pt idx="5" formatCode="0.0">
                  <c:v>43.17933096018843</c:v>
                </c:pt>
                <c:pt idx="6" formatCode="0.0">
                  <c:v>45.697840148557972</c:v>
                </c:pt>
                <c:pt idx="7" formatCode="0.0">
                  <c:v>47.27276912120341</c:v>
                </c:pt>
                <c:pt idx="8" formatCode="0.0">
                  <c:v>47.985028520940901</c:v>
                </c:pt>
              </c:numCache>
            </c:numRef>
          </c:val>
          <c:extLst>
            <c:ext xmlns:c16="http://schemas.microsoft.com/office/drawing/2014/chart" uri="{C3380CC4-5D6E-409C-BE32-E72D297353CC}">
              <c16:uniqueId val="{00000000-1F4F-428D-874C-2C501E9C7F3E}"/>
            </c:ext>
          </c:extLst>
        </c:ser>
        <c:ser>
          <c:idx val="1"/>
          <c:order val="1"/>
          <c:tx>
            <c:strRef>
              <c:f>Sheet1!$A$3</c:f>
              <c:strCache>
                <c:ptCount val="1"/>
                <c:pt idx="0">
                  <c:v>Փոփոխությունը, տ/տ, %</c:v>
                </c:pt>
              </c:strCache>
            </c:strRef>
          </c:tx>
          <c:spPr>
            <a:solidFill>
              <a:srgbClr val="C00000"/>
            </a:solidFill>
            <a:ln w="28575" cap="rnd">
              <a:solidFill>
                <a:srgbClr val="C00000"/>
              </a:solidFill>
              <a:round/>
            </a:ln>
            <a:effectLst/>
          </c:spPr>
          <c:invertIfNegative val="0"/>
          <c:cat>
            <c:strRef>
              <c:f>Sheet1!$B$1:$K$1</c:f>
              <c:strCache>
                <c:ptCount val="9"/>
                <c:pt idx="0">
                  <c:v>2009</c:v>
                </c:pt>
                <c:pt idx="1">
                  <c:v>2010</c:v>
                </c:pt>
                <c:pt idx="2">
                  <c:v>Column1</c:v>
                </c:pt>
                <c:pt idx="3">
                  <c:v>2019</c:v>
                </c:pt>
                <c:pt idx="4">
                  <c:v>2020</c:v>
                </c:pt>
                <c:pt idx="5">
                  <c:v>2021</c:v>
                </c:pt>
                <c:pt idx="6">
                  <c:v>2022</c:v>
                </c:pt>
                <c:pt idx="7">
                  <c:v>2023</c:v>
                </c:pt>
                <c:pt idx="8">
                  <c:v>2024</c:v>
                </c:pt>
              </c:strCache>
            </c:strRef>
          </c:cat>
          <c:val>
            <c:numRef>
              <c:f>Sheet1!$B$3:$K$3</c:f>
              <c:numCache>
                <c:formatCode>#\,##0.0</c:formatCode>
                <c:ptCount val="9"/>
                <c:pt idx="0">
                  <c:v>-22.58933683177068</c:v>
                </c:pt>
                <c:pt idx="1">
                  <c:v>15.579343442577226</c:v>
                </c:pt>
                <c:pt idx="3" formatCode="0.0">
                  <c:v>13.120372725442422</c:v>
                </c:pt>
                <c:pt idx="4" formatCode="0.0">
                  <c:v>-33.19959470782247</c:v>
                </c:pt>
                <c:pt idx="5" formatCode="0.0">
                  <c:v>16.279653876229162</c:v>
                </c:pt>
                <c:pt idx="6" formatCode="0.0">
                  <c:v>15.188077718421937</c:v>
                </c:pt>
                <c:pt idx="7" formatCode="0.0">
                  <c:v>11.094272624271582</c:v>
                </c:pt>
                <c:pt idx="8" formatCode="0.0">
                  <c:v>9.2129394873154524</c:v>
                </c:pt>
              </c:numCache>
            </c:numRef>
          </c:val>
          <c:extLst>
            <c:ext xmlns:c16="http://schemas.microsoft.com/office/drawing/2014/chart" uri="{C3380CC4-5D6E-409C-BE32-E72D297353CC}">
              <c16:uniqueId val="{00000001-1F4F-428D-874C-2C501E9C7F3E}"/>
            </c:ext>
          </c:extLst>
        </c:ser>
        <c:dLbls>
          <c:showLegendKey val="0"/>
          <c:showVal val="0"/>
          <c:showCatName val="0"/>
          <c:showSerName val="0"/>
          <c:showPercent val="0"/>
          <c:showBubbleSize val="0"/>
        </c:dLbls>
        <c:gapWidth val="150"/>
        <c:axId val="149604992"/>
        <c:axId val="149606784"/>
      </c:barChart>
      <c:catAx>
        <c:axId val="14960499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49606784"/>
        <c:crosses val="autoZero"/>
        <c:auto val="1"/>
        <c:lblAlgn val="ctr"/>
        <c:lblOffset val="100"/>
        <c:noMultiLvlLbl val="0"/>
      </c:catAx>
      <c:valAx>
        <c:axId val="149606784"/>
        <c:scaling>
          <c:orientation val="minMax"/>
          <c:max val="60"/>
          <c:min val="-3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49604992"/>
        <c:crosses val="autoZero"/>
        <c:crossBetween val="between"/>
        <c:majorUnit val="20"/>
      </c:valAx>
      <c:spPr>
        <a:noFill/>
        <a:ln>
          <a:noFill/>
        </a:ln>
        <a:effectLst/>
      </c:spPr>
    </c:plotArea>
    <c:legend>
      <c:legendPos val="b"/>
      <c:layout>
        <c:manualLayout>
          <c:xMode val="edge"/>
          <c:yMode val="edge"/>
          <c:x val="4.9999900955776937E-2"/>
          <c:y val="0.9160701503221188"/>
          <c:w val="0.92515703461595589"/>
          <c:h val="8.3929849677881488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rgbClr val="4472C4"/>
      </a:solidFill>
      <a:round/>
    </a:ln>
    <a:effectLst/>
  </c:spPr>
  <c:txPr>
    <a:bodyPr/>
    <a:lstStyle/>
    <a:p>
      <a:pPr>
        <a:defRPr/>
      </a:pPr>
      <a:endParaRPr lang="en-US"/>
    </a:p>
  </c:txPr>
  <c:externalData r:id="rId2">
    <c:autoUpdate val="0"/>
  </c:externalData>
  <c:userShapes r:id="rId3"/>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280962686681708"/>
          <c:y val="6.2146892655367263E-2"/>
          <c:w val="0.80331873409440868"/>
          <c:h val="0.5938454990423494"/>
        </c:manualLayout>
      </c:layout>
      <c:lineChart>
        <c:grouping val="standard"/>
        <c:varyColors val="0"/>
        <c:ser>
          <c:idx val="0"/>
          <c:order val="0"/>
          <c:tx>
            <c:strRef>
              <c:f>Sheet1!$B$1</c:f>
              <c:strCache>
                <c:ptCount val="1"/>
                <c:pt idx="0">
                  <c:v>USD/AMD</c:v>
                </c:pt>
              </c:strCache>
            </c:strRef>
          </c:tx>
          <c:spPr>
            <a:ln w="28575" cap="rnd">
              <a:solidFill>
                <a:srgbClr val="0070C0"/>
              </a:solidFill>
              <a:round/>
            </a:ln>
            <a:effectLst/>
          </c:spPr>
          <c:marker>
            <c:symbol val="none"/>
          </c:marker>
          <c:cat>
            <c:numRef>
              <c:f>Sheet1!$A$2:$A$876</c:f>
              <c:numCache>
                <c:formatCode>m\/d\/yyyy</c:formatCode>
                <c:ptCount val="875"/>
                <c:pt idx="0">
                  <c:v>43108</c:v>
                </c:pt>
                <c:pt idx="1">
                  <c:v>43109</c:v>
                </c:pt>
                <c:pt idx="2">
                  <c:v>43110</c:v>
                </c:pt>
                <c:pt idx="3">
                  <c:v>43111</c:v>
                </c:pt>
                <c:pt idx="4">
                  <c:v>43112</c:v>
                </c:pt>
                <c:pt idx="5">
                  <c:v>43115</c:v>
                </c:pt>
                <c:pt idx="6">
                  <c:v>43116</c:v>
                </c:pt>
                <c:pt idx="7">
                  <c:v>43117</c:v>
                </c:pt>
                <c:pt idx="8">
                  <c:v>43118</c:v>
                </c:pt>
                <c:pt idx="9">
                  <c:v>43119</c:v>
                </c:pt>
                <c:pt idx="10">
                  <c:v>43122</c:v>
                </c:pt>
                <c:pt idx="11">
                  <c:v>43123</c:v>
                </c:pt>
                <c:pt idx="12">
                  <c:v>43124</c:v>
                </c:pt>
                <c:pt idx="13">
                  <c:v>43125</c:v>
                </c:pt>
                <c:pt idx="14">
                  <c:v>43126</c:v>
                </c:pt>
                <c:pt idx="15">
                  <c:v>43129</c:v>
                </c:pt>
                <c:pt idx="16">
                  <c:v>43130</c:v>
                </c:pt>
                <c:pt idx="17">
                  <c:v>43131</c:v>
                </c:pt>
                <c:pt idx="18">
                  <c:v>43132</c:v>
                </c:pt>
                <c:pt idx="19">
                  <c:v>43133</c:v>
                </c:pt>
                <c:pt idx="20">
                  <c:v>43136</c:v>
                </c:pt>
                <c:pt idx="21">
                  <c:v>43137</c:v>
                </c:pt>
                <c:pt idx="22">
                  <c:v>43138</c:v>
                </c:pt>
                <c:pt idx="23">
                  <c:v>43139</c:v>
                </c:pt>
                <c:pt idx="24">
                  <c:v>43140</c:v>
                </c:pt>
                <c:pt idx="25">
                  <c:v>43143</c:v>
                </c:pt>
                <c:pt idx="26">
                  <c:v>43144</c:v>
                </c:pt>
                <c:pt idx="27">
                  <c:v>43145</c:v>
                </c:pt>
                <c:pt idx="28">
                  <c:v>43146</c:v>
                </c:pt>
                <c:pt idx="29">
                  <c:v>43147</c:v>
                </c:pt>
                <c:pt idx="30">
                  <c:v>43150</c:v>
                </c:pt>
                <c:pt idx="31">
                  <c:v>43151</c:v>
                </c:pt>
                <c:pt idx="32">
                  <c:v>43152</c:v>
                </c:pt>
                <c:pt idx="33">
                  <c:v>43153</c:v>
                </c:pt>
                <c:pt idx="34">
                  <c:v>43154</c:v>
                </c:pt>
                <c:pt idx="35">
                  <c:v>43157</c:v>
                </c:pt>
                <c:pt idx="36">
                  <c:v>43158</c:v>
                </c:pt>
                <c:pt idx="37">
                  <c:v>43159</c:v>
                </c:pt>
                <c:pt idx="38">
                  <c:v>43160</c:v>
                </c:pt>
                <c:pt idx="39">
                  <c:v>43161</c:v>
                </c:pt>
                <c:pt idx="40">
                  <c:v>43164</c:v>
                </c:pt>
                <c:pt idx="41">
                  <c:v>43165</c:v>
                </c:pt>
                <c:pt idx="42">
                  <c:v>43166</c:v>
                </c:pt>
                <c:pt idx="43">
                  <c:v>43171</c:v>
                </c:pt>
                <c:pt idx="44">
                  <c:v>43172</c:v>
                </c:pt>
                <c:pt idx="45">
                  <c:v>43173</c:v>
                </c:pt>
                <c:pt idx="46">
                  <c:v>43174</c:v>
                </c:pt>
                <c:pt idx="47">
                  <c:v>43175</c:v>
                </c:pt>
                <c:pt idx="48">
                  <c:v>43176</c:v>
                </c:pt>
                <c:pt idx="49">
                  <c:v>43178</c:v>
                </c:pt>
                <c:pt idx="50">
                  <c:v>43179</c:v>
                </c:pt>
                <c:pt idx="51">
                  <c:v>43180</c:v>
                </c:pt>
                <c:pt idx="52">
                  <c:v>43181</c:v>
                </c:pt>
                <c:pt idx="53">
                  <c:v>43182</c:v>
                </c:pt>
                <c:pt idx="54">
                  <c:v>43185</c:v>
                </c:pt>
                <c:pt idx="55">
                  <c:v>43186</c:v>
                </c:pt>
                <c:pt idx="56">
                  <c:v>43187</c:v>
                </c:pt>
                <c:pt idx="57">
                  <c:v>43188</c:v>
                </c:pt>
                <c:pt idx="58">
                  <c:v>43189</c:v>
                </c:pt>
                <c:pt idx="59">
                  <c:v>43193</c:v>
                </c:pt>
                <c:pt idx="60">
                  <c:v>43194</c:v>
                </c:pt>
                <c:pt idx="61">
                  <c:v>43195</c:v>
                </c:pt>
                <c:pt idx="62">
                  <c:v>43196</c:v>
                </c:pt>
                <c:pt idx="63">
                  <c:v>43197</c:v>
                </c:pt>
                <c:pt idx="64">
                  <c:v>43199</c:v>
                </c:pt>
                <c:pt idx="65">
                  <c:v>43200</c:v>
                </c:pt>
                <c:pt idx="66">
                  <c:v>43201</c:v>
                </c:pt>
                <c:pt idx="67">
                  <c:v>43202</c:v>
                </c:pt>
                <c:pt idx="68">
                  <c:v>43203</c:v>
                </c:pt>
                <c:pt idx="69">
                  <c:v>43206</c:v>
                </c:pt>
                <c:pt idx="70">
                  <c:v>43207</c:v>
                </c:pt>
                <c:pt idx="71">
                  <c:v>43208</c:v>
                </c:pt>
                <c:pt idx="72">
                  <c:v>43209</c:v>
                </c:pt>
                <c:pt idx="73">
                  <c:v>43210</c:v>
                </c:pt>
                <c:pt idx="74">
                  <c:v>43213</c:v>
                </c:pt>
                <c:pt idx="75">
                  <c:v>43215</c:v>
                </c:pt>
                <c:pt idx="76">
                  <c:v>43216</c:v>
                </c:pt>
                <c:pt idx="77">
                  <c:v>43217</c:v>
                </c:pt>
                <c:pt idx="78">
                  <c:v>43222</c:v>
                </c:pt>
                <c:pt idx="79">
                  <c:v>43223</c:v>
                </c:pt>
                <c:pt idx="80">
                  <c:v>43224</c:v>
                </c:pt>
                <c:pt idx="81">
                  <c:v>43225</c:v>
                </c:pt>
                <c:pt idx="82">
                  <c:v>43227</c:v>
                </c:pt>
                <c:pt idx="83">
                  <c:v>43228</c:v>
                </c:pt>
                <c:pt idx="84">
                  <c:v>43230</c:v>
                </c:pt>
                <c:pt idx="85">
                  <c:v>43231</c:v>
                </c:pt>
                <c:pt idx="86">
                  <c:v>43234</c:v>
                </c:pt>
                <c:pt idx="87">
                  <c:v>43235</c:v>
                </c:pt>
                <c:pt idx="88">
                  <c:v>43236</c:v>
                </c:pt>
                <c:pt idx="89">
                  <c:v>43237</c:v>
                </c:pt>
                <c:pt idx="90">
                  <c:v>43238</c:v>
                </c:pt>
                <c:pt idx="91">
                  <c:v>43241</c:v>
                </c:pt>
                <c:pt idx="92">
                  <c:v>43242</c:v>
                </c:pt>
                <c:pt idx="93">
                  <c:v>43243</c:v>
                </c:pt>
                <c:pt idx="94">
                  <c:v>43244</c:v>
                </c:pt>
                <c:pt idx="95">
                  <c:v>43245</c:v>
                </c:pt>
                <c:pt idx="96">
                  <c:v>43249</c:v>
                </c:pt>
                <c:pt idx="97">
                  <c:v>43250</c:v>
                </c:pt>
                <c:pt idx="98">
                  <c:v>43251</c:v>
                </c:pt>
                <c:pt idx="99">
                  <c:v>43252</c:v>
                </c:pt>
                <c:pt idx="100">
                  <c:v>43255</c:v>
                </c:pt>
                <c:pt idx="101">
                  <c:v>43256</c:v>
                </c:pt>
                <c:pt idx="102">
                  <c:v>43257</c:v>
                </c:pt>
                <c:pt idx="103">
                  <c:v>43258</c:v>
                </c:pt>
                <c:pt idx="104">
                  <c:v>43259</c:v>
                </c:pt>
                <c:pt idx="105">
                  <c:v>43262</c:v>
                </c:pt>
                <c:pt idx="106">
                  <c:v>43263</c:v>
                </c:pt>
                <c:pt idx="107">
                  <c:v>43264</c:v>
                </c:pt>
                <c:pt idx="108">
                  <c:v>43265</c:v>
                </c:pt>
                <c:pt idx="109">
                  <c:v>43266</c:v>
                </c:pt>
                <c:pt idx="110">
                  <c:v>43269</c:v>
                </c:pt>
                <c:pt idx="111">
                  <c:v>43270</c:v>
                </c:pt>
                <c:pt idx="112">
                  <c:v>43271</c:v>
                </c:pt>
                <c:pt idx="113">
                  <c:v>43272</c:v>
                </c:pt>
                <c:pt idx="114">
                  <c:v>43273</c:v>
                </c:pt>
                <c:pt idx="115">
                  <c:v>43276</c:v>
                </c:pt>
                <c:pt idx="116">
                  <c:v>43277</c:v>
                </c:pt>
                <c:pt idx="117">
                  <c:v>43278</c:v>
                </c:pt>
                <c:pt idx="118">
                  <c:v>43279</c:v>
                </c:pt>
                <c:pt idx="119">
                  <c:v>43280</c:v>
                </c:pt>
                <c:pt idx="120">
                  <c:v>43283</c:v>
                </c:pt>
                <c:pt idx="121">
                  <c:v>43284</c:v>
                </c:pt>
                <c:pt idx="122">
                  <c:v>43285</c:v>
                </c:pt>
                <c:pt idx="123">
                  <c:v>43287</c:v>
                </c:pt>
                <c:pt idx="124">
                  <c:v>43290</c:v>
                </c:pt>
                <c:pt idx="125">
                  <c:v>43291</c:v>
                </c:pt>
                <c:pt idx="126">
                  <c:v>43292</c:v>
                </c:pt>
                <c:pt idx="127">
                  <c:v>43293</c:v>
                </c:pt>
                <c:pt idx="128">
                  <c:v>43294</c:v>
                </c:pt>
                <c:pt idx="129">
                  <c:v>43297</c:v>
                </c:pt>
                <c:pt idx="130">
                  <c:v>43298</c:v>
                </c:pt>
                <c:pt idx="131">
                  <c:v>43299</c:v>
                </c:pt>
                <c:pt idx="132">
                  <c:v>43300</c:v>
                </c:pt>
                <c:pt idx="133">
                  <c:v>43301</c:v>
                </c:pt>
                <c:pt idx="134">
                  <c:v>43304</c:v>
                </c:pt>
                <c:pt idx="135">
                  <c:v>43305</c:v>
                </c:pt>
                <c:pt idx="136">
                  <c:v>43306</c:v>
                </c:pt>
                <c:pt idx="137">
                  <c:v>43307</c:v>
                </c:pt>
                <c:pt idx="138">
                  <c:v>43308</c:v>
                </c:pt>
                <c:pt idx="139">
                  <c:v>43311</c:v>
                </c:pt>
                <c:pt idx="140">
                  <c:v>43312</c:v>
                </c:pt>
                <c:pt idx="141">
                  <c:v>43313</c:v>
                </c:pt>
                <c:pt idx="142">
                  <c:v>43314</c:v>
                </c:pt>
                <c:pt idx="143">
                  <c:v>43315</c:v>
                </c:pt>
                <c:pt idx="144">
                  <c:v>43318</c:v>
                </c:pt>
                <c:pt idx="145">
                  <c:v>43319</c:v>
                </c:pt>
                <c:pt idx="146">
                  <c:v>43320</c:v>
                </c:pt>
                <c:pt idx="147">
                  <c:v>43321</c:v>
                </c:pt>
                <c:pt idx="148">
                  <c:v>43322</c:v>
                </c:pt>
                <c:pt idx="149">
                  <c:v>43325</c:v>
                </c:pt>
                <c:pt idx="150">
                  <c:v>43326</c:v>
                </c:pt>
                <c:pt idx="151">
                  <c:v>43327</c:v>
                </c:pt>
                <c:pt idx="152">
                  <c:v>43328</c:v>
                </c:pt>
                <c:pt idx="153">
                  <c:v>43329</c:v>
                </c:pt>
                <c:pt idx="154">
                  <c:v>43332</c:v>
                </c:pt>
                <c:pt idx="155">
                  <c:v>43333</c:v>
                </c:pt>
                <c:pt idx="156">
                  <c:v>43334</c:v>
                </c:pt>
                <c:pt idx="157">
                  <c:v>43335</c:v>
                </c:pt>
                <c:pt idx="158">
                  <c:v>43336</c:v>
                </c:pt>
                <c:pt idx="159">
                  <c:v>43339</c:v>
                </c:pt>
                <c:pt idx="160">
                  <c:v>43340</c:v>
                </c:pt>
                <c:pt idx="161">
                  <c:v>43341</c:v>
                </c:pt>
                <c:pt idx="162">
                  <c:v>43342</c:v>
                </c:pt>
                <c:pt idx="163">
                  <c:v>43343</c:v>
                </c:pt>
                <c:pt idx="164">
                  <c:v>43346</c:v>
                </c:pt>
                <c:pt idx="165">
                  <c:v>43347</c:v>
                </c:pt>
                <c:pt idx="166">
                  <c:v>43348</c:v>
                </c:pt>
                <c:pt idx="167">
                  <c:v>43349</c:v>
                </c:pt>
                <c:pt idx="168">
                  <c:v>43350</c:v>
                </c:pt>
                <c:pt idx="169">
                  <c:v>43353</c:v>
                </c:pt>
                <c:pt idx="170">
                  <c:v>43354</c:v>
                </c:pt>
                <c:pt idx="171">
                  <c:v>43355</c:v>
                </c:pt>
                <c:pt idx="172">
                  <c:v>43356</c:v>
                </c:pt>
                <c:pt idx="173">
                  <c:v>43357</c:v>
                </c:pt>
                <c:pt idx="174">
                  <c:v>43360</c:v>
                </c:pt>
                <c:pt idx="175">
                  <c:v>43361</c:v>
                </c:pt>
                <c:pt idx="176">
                  <c:v>43362</c:v>
                </c:pt>
                <c:pt idx="177">
                  <c:v>43363</c:v>
                </c:pt>
                <c:pt idx="178">
                  <c:v>43367</c:v>
                </c:pt>
                <c:pt idx="179">
                  <c:v>43368</c:v>
                </c:pt>
                <c:pt idx="180">
                  <c:v>43369</c:v>
                </c:pt>
                <c:pt idx="181">
                  <c:v>43370</c:v>
                </c:pt>
                <c:pt idx="182">
                  <c:v>43371</c:v>
                </c:pt>
                <c:pt idx="183">
                  <c:v>43374</c:v>
                </c:pt>
                <c:pt idx="184">
                  <c:v>43375</c:v>
                </c:pt>
                <c:pt idx="185">
                  <c:v>43376</c:v>
                </c:pt>
                <c:pt idx="186">
                  <c:v>43377</c:v>
                </c:pt>
                <c:pt idx="187">
                  <c:v>43378</c:v>
                </c:pt>
                <c:pt idx="188">
                  <c:v>43381</c:v>
                </c:pt>
                <c:pt idx="189">
                  <c:v>43382</c:v>
                </c:pt>
                <c:pt idx="190">
                  <c:v>43383</c:v>
                </c:pt>
                <c:pt idx="191">
                  <c:v>43388</c:v>
                </c:pt>
                <c:pt idx="192">
                  <c:v>43389</c:v>
                </c:pt>
                <c:pt idx="193">
                  <c:v>43390</c:v>
                </c:pt>
                <c:pt idx="194">
                  <c:v>43391</c:v>
                </c:pt>
                <c:pt idx="195">
                  <c:v>43392</c:v>
                </c:pt>
                <c:pt idx="196">
                  <c:v>43395</c:v>
                </c:pt>
                <c:pt idx="197">
                  <c:v>43396</c:v>
                </c:pt>
                <c:pt idx="198">
                  <c:v>43397</c:v>
                </c:pt>
                <c:pt idx="199">
                  <c:v>43398</c:v>
                </c:pt>
                <c:pt idx="200">
                  <c:v>43399</c:v>
                </c:pt>
                <c:pt idx="201">
                  <c:v>43400</c:v>
                </c:pt>
                <c:pt idx="202">
                  <c:v>43402</c:v>
                </c:pt>
                <c:pt idx="203">
                  <c:v>43403</c:v>
                </c:pt>
                <c:pt idx="204">
                  <c:v>43404</c:v>
                </c:pt>
                <c:pt idx="205">
                  <c:v>43405</c:v>
                </c:pt>
                <c:pt idx="206">
                  <c:v>43406</c:v>
                </c:pt>
                <c:pt idx="207">
                  <c:v>43407</c:v>
                </c:pt>
                <c:pt idx="208">
                  <c:v>43409</c:v>
                </c:pt>
                <c:pt idx="209">
                  <c:v>43410</c:v>
                </c:pt>
                <c:pt idx="210">
                  <c:v>43411</c:v>
                </c:pt>
                <c:pt idx="211">
                  <c:v>43412</c:v>
                </c:pt>
                <c:pt idx="212">
                  <c:v>43413</c:v>
                </c:pt>
                <c:pt idx="213">
                  <c:v>43416</c:v>
                </c:pt>
                <c:pt idx="214">
                  <c:v>43417</c:v>
                </c:pt>
                <c:pt idx="215">
                  <c:v>43418</c:v>
                </c:pt>
                <c:pt idx="216">
                  <c:v>43419</c:v>
                </c:pt>
                <c:pt idx="217">
                  <c:v>43420</c:v>
                </c:pt>
                <c:pt idx="218">
                  <c:v>43423</c:v>
                </c:pt>
                <c:pt idx="219">
                  <c:v>43424</c:v>
                </c:pt>
                <c:pt idx="220">
                  <c:v>43425</c:v>
                </c:pt>
                <c:pt idx="221">
                  <c:v>43426</c:v>
                </c:pt>
                <c:pt idx="222">
                  <c:v>43427</c:v>
                </c:pt>
                <c:pt idx="223">
                  <c:v>43430</c:v>
                </c:pt>
                <c:pt idx="224">
                  <c:v>43431</c:v>
                </c:pt>
                <c:pt idx="225">
                  <c:v>43432</c:v>
                </c:pt>
                <c:pt idx="226">
                  <c:v>43433</c:v>
                </c:pt>
                <c:pt idx="227">
                  <c:v>43434</c:v>
                </c:pt>
                <c:pt idx="228">
                  <c:v>43437</c:v>
                </c:pt>
                <c:pt idx="229">
                  <c:v>43438</c:v>
                </c:pt>
                <c:pt idx="230">
                  <c:v>43439</c:v>
                </c:pt>
                <c:pt idx="231">
                  <c:v>43440</c:v>
                </c:pt>
                <c:pt idx="232">
                  <c:v>43441</c:v>
                </c:pt>
                <c:pt idx="233">
                  <c:v>43444</c:v>
                </c:pt>
                <c:pt idx="234">
                  <c:v>43445</c:v>
                </c:pt>
                <c:pt idx="235">
                  <c:v>43446</c:v>
                </c:pt>
                <c:pt idx="236">
                  <c:v>43447</c:v>
                </c:pt>
                <c:pt idx="237">
                  <c:v>43448</c:v>
                </c:pt>
                <c:pt idx="238">
                  <c:v>43451</c:v>
                </c:pt>
                <c:pt idx="239">
                  <c:v>43452</c:v>
                </c:pt>
                <c:pt idx="240">
                  <c:v>43453</c:v>
                </c:pt>
                <c:pt idx="241">
                  <c:v>43454</c:v>
                </c:pt>
                <c:pt idx="242">
                  <c:v>43455</c:v>
                </c:pt>
                <c:pt idx="243">
                  <c:v>43458</c:v>
                </c:pt>
                <c:pt idx="244">
                  <c:v>43459</c:v>
                </c:pt>
                <c:pt idx="245">
                  <c:v>43460</c:v>
                </c:pt>
                <c:pt idx="246">
                  <c:v>43461</c:v>
                </c:pt>
                <c:pt idx="247">
                  <c:v>43462</c:v>
                </c:pt>
                <c:pt idx="248">
                  <c:v>43473</c:v>
                </c:pt>
                <c:pt idx="249">
                  <c:v>43474</c:v>
                </c:pt>
                <c:pt idx="250">
                  <c:v>43475</c:v>
                </c:pt>
                <c:pt idx="251">
                  <c:v>43476</c:v>
                </c:pt>
                <c:pt idx="252">
                  <c:v>43479</c:v>
                </c:pt>
                <c:pt idx="253">
                  <c:v>43480</c:v>
                </c:pt>
                <c:pt idx="254">
                  <c:v>43481</c:v>
                </c:pt>
                <c:pt idx="255">
                  <c:v>43482</c:v>
                </c:pt>
                <c:pt idx="256">
                  <c:v>43483</c:v>
                </c:pt>
                <c:pt idx="257">
                  <c:v>43486</c:v>
                </c:pt>
                <c:pt idx="258">
                  <c:v>43487</c:v>
                </c:pt>
                <c:pt idx="259">
                  <c:v>43488</c:v>
                </c:pt>
                <c:pt idx="260">
                  <c:v>43489</c:v>
                </c:pt>
                <c:pt idx="261">
                  <c:v>43490</c:v>
                </c:pt>
                <c:pt idx="262">
                  <c:v>43494</c:v>
                </c:pt>
                <c:pt idx="263">
                  <c:v>43495</c:v>
                </c:pt>
                <c:pt idx="264">
                  <c:v>43496</c:v>
                </c:pt>
                <c:pt idx="265">
                  <c:v>43497</c:v>
                </c:pt>
                <c:pt idx="266">
                  <c:v>43500</c:v>
                </c:pt>
                <c:pt idx="267">
                  <c:v>43501</c:v>
                </c:pt>
                <c:pt idx="268">
                  <c:v>43502</c:v>
                </c:pt>
                <c:pt idx="269">
                  <c:v>43503</c:v>
                </c:pt>
                <c:pt idx="270">
                  <c:v>43504</c:v>
                </c:pt>
                <c:pt idx="271">
                  <c:v>43507</c:v>
                </c:pt>
                <c:pt idx="272">
                  <c:v>43508</c:v>
                </c:pt>
                <c:pt idx="273">
                  <c:v>43509</c:v>
                </c:pt>
                <c:pt idx="274">
                  <c:v>43510</c:v>
                </c:pt>
                <c:pt idx="275">
                  <c:v>43511</c:v>
                </c:pt>
                <c:pt idx="276">
                  <c:v>43514</c:v>
                </c:pt>
                <c:pt idx="277">
                  <c:v>43515</c:v>
                </c:pt>
                <c:pt idx="278">
                  <c:v>43516</c:v>
                </c:pt>
                <c:pt idx="279">
                  <c:v>43517</c:v>
                </c:pt>
                <c:pt idx="280">
                  <c:v>43518</c:v>
                </c:pt>
                <c:pt idx="281">
                  <c:v>43521</c:v>
                </c:pt>
                <c:pt idx="282">
                  <c:v>43522</c:v>
                </c:pt>
                <c:pt idx="283">
                  <c:v>43523</c:v>
                </c:pt>
                <c:pt idx="284">
                  <c:v>43524</c:v>
                </c:pt>
                <c:pt idx="285">
                  <c:v>43525</c:v>
                </c:pt>
                <c:pt idx="286">
                  <c:v>43528</c:v>
                </c:pt>
                <c:pt idx="287">
                  <c:v>43529</c:v>
                </c:pt>
                <c:pt idx="288">
                  <c:v>43530</c:v>
                </c:pt>
                <c:pt idx="289">
                  <c:v>43531</c:v>
                </c:pt>
                <c:pt idx="290">
                  <c:v>43535</c:v>
                </c:pt>
                <c:pt idx="291">
                  <c:v>43536</c:v>
                </c:pt>
                <c:pt idx="292">
                  <c:v>43537</c:v>
                </c:pt>
                <c:pt idx="293">
                  <c:v>43538</c:v>
                </c:pt>
                <c:pt idx="294">
                  <c:v>43539</c:v>
                </c:pt>
                <c:pt idx="295">
                  <c:v>43542</c:v>
                </c:pt>
                <c:pt idx="296">
                  <c:v>43543</c:v>
                </c:pt>
                <c:pt idx="297">
                  <c:v>43544</c:v>
                </c:pt>
                <c:pt idx="298">
                  <c:v>43545</c:v>
                </c:pt>
                <c:pt idx="299">
                  <c:v>43546</c:v>
                </c:pt>
                <c:pt idx="300">
                  <c:v>43549</c:v>
                </c:pt>
                <c:pt idx="301">
                  <c:v>43550</c:v>
                </c:pt>
                <c:pt idx="302">
                  <c:v>43551</c:v>
                </c:pt>
                <c:pt idx="303">
                  <c:v>43552</c:v>
                </c:pt>
                <c:pt idx="304">
                  <c:v>43553</c:v>
                </c:pt>
                <c:pt idx="305">
                  <c:v>43556</c:v>
                </c:pt>
                <c:pt idx="306">
                  <c:v>43557</c:v>
                </c:pt>
                <c:pt idx="307">
                  <c:v>43558</c:v>
                </c:pt>
                <c:pt idx="308">
                  <c:v>43559</c:v>
                </c:pt>
                <c:pt idx="309">
                  <c:v>43560</c:v>
                </c:pt>
                <c:pt idx="310">
                  <c:v>43563</c:v>
                </c:pt>
                <c:pt idx="311">
                  <c:v>43564</c:v>
                </c:pt>
                <c:pt idx="312">
                  <c:v>43565</c:v>
                </c:pt>
                <c:pt idx="313">
                  <c:v>43566</c:v>
                </c:pt>
                <c:pt idx="314">
                  <c:v>43567</c:v>
                </c:pt>
                <c:pt idx="315">
                  <c:v>43570</c:v>
                </c:pt>
                <c:pt idx="316">
                  <c:v>43571</c:v>
                </c:pt>
                <c:pt idx="317">
                  <c:v>43572</c:v>
                </c:pt>
                <c:pt idx="318">
                  <c:v>43573</c:v>
                </c:pt>
                <c:pt idx="319">
                  <c:v>43574</c:v>
                </c:pt>
                <c:pt idx="320">
                  <c:v>43577</c:v>
                </c:pt>
                <c:pt idx="321">
                  <c:v>43578</c:v>
                </c:pt>
                <c:pt idx="322">
                  <c:v>43580</c:v>
                </c:pt>
                <c:pt idx="323">
                  <c:v>43581</c:v>
                </c:pt>
                <c:pt idx="324">
                  <c:v>43584</c:v>
                </c:pt>
                <c:pt idx="325">
                  <c:v>43585</c:v>
                </c:pt>
                <c:pt idx="326">
                  <c:v>43587</c:v>
                </c:pt>
                <c:pt idx="327">
                  <c:v>43588</c:v>
                </c:pt>
                <c:pt idx="328">
                  <c:v>43591</c:v>
                </c:pt>
                <c:pt idx="329">
                  <c:v>43592</c:v>
                </c:pt>
                <c:pt idx="330">
                  <c:v>43593</c:v>
                </c:pt>
                <c:pt idx="331">
                  <c:v>43595</c:v>
                </c:pt>
                <c:pt idx="332">
                  <c:v>43598</c:v>
                </c:pt>
                <c:pt idx="333">
                  <c:v>43599</c:v>
                </c:pt>
                <c:pt idx="334">
                  <c:v>43600</c:v>
                </c:pt>
                <c:pt idx="335">
                  <c:v>43601</c:v>
                </c:pt>
                <c:pt idx="336">
                  <c:v>43602</c:v>
                </c:pt>
                <c:pt idx="337">
                  <c:v>43605</c:v>
                </c:pt>
                <c:pt idx="338">
                  <c:v>43606</c:v>
                </c:pt>
                <c:pt idx="339">
                  <c:v>43607</c:v>
                </c:pt>
                <c:pt idx="340">
                  <c:v>43608</c:v>
                </c:pt>
                <c:pt idx="341">
                  <c:v>43609</c:v>
                </c:pt>
                <c:pt idx="342">
                  <c:v>43612</c:v>
                </c:pt>
                <c:pt idx="343">
                  <c:v>43614</c:v>
                </c:pt>
                <c:pt idx="344">
                  <c:v>43615</c:v>
                </c:pt>
                <c:pt idx="345">
                  <c:v>43616</c:v>
                </c:pt>
                <c:pt idx="346">
                  <c:v>43619</c:v>
                </c:pt>
                <c:pt idx="347">
                  <c:v>43620</c:v>
                </c:pt>
                <c:pt idx="348">
                  <c:v>43621</c:v>
                </c:pt>
                <c:pt idx="349">
                  <c:v>43622</c:v>
                </c:pt>
                <c:pt idx="350">
                  <c:v>43623</c:v>
                </c:pt>
                <c:pt idx="351">
                  <c:v>43626</c:v>
                </c:pt>
                <c:pt idx="352">
                  <c:v>43627</c:v>
                </c:pt>
                <c:pt idx="353">
                  <c:v>43628</c:v>
                </c:pt>
                <c:pt idx="354">
                  <c:v>43629</c:v>
                </c:pt>
                <c:pt idx="355">
                  <c:v>43630</c:v>
                </c:pt>
                <c:pt idx="356">
                  <c:v>43633</c:v>
                </c:pt>
                <c:pt idx="357">
                  <c:v>43634</c:v>
                </c:pt>
                <c:pt idx="358">
                  <c:v>43635</c:v>
                </c:pt>
                <c:pt idx="359">
                  <c:v>43636</c:v>
                </c:pt>
                <c:pt idx="360">
                  <c:v>43637</c:v>
                </c:pt>
                <c:pt idx="361">
                  <c:v>43640</c:v>
                </c:pt>
                <c:pt idx="362">
                  <c:v>43641</c:v>
                </c:pt>
                <c:pt idx="363">
                  <c:v>43642</c:v>
                </c:pt>
                <c:pt idx="364">
                  <c:v>43643</c:v>
                </c:pt>
                <c:pt idx="365">
                  <c:v>43644</c:v>
                </c:pt>
                <c:pt idx="366">
                  <c:v>43647</c:v>
                </c:pt>
                <c:pt idx="367">
                  <c:v>43648</c:v>
                </c:pt>
                <c:pt idx="368">
                  <c:v>43649</c:v>
                </c:pt>
                <c:pt idx="369">
                  <c:v>43650</c:v>
                </c:pt>
                <c:pt idx="370">
                  <c:v>43654</c:v>
                </c:pt>
                <c:pt idx="371">
                  <c:v>43655</c:v>
                </c:pt>
                <c:pt idx="372">
                  <c:v>43656</c:v>
                </c:pt>
                <c:pt idx="373">
                  <c:v>43657</c:v>
                </c:pt>
                <c:pt idx="374">
                  <c:v>43658</c:v>
                </c:pt>
                <c:pt idx="375">
                  <c:v>43661</c:v>
                </c:pt>
                <c:pt idx="376">
                  <c:v>43662</c:v>
                </c:pt>
                <c:pt idx="377">
                  <c:v>43663</c:v>
                </c:pt>
                <c:pt idx="378">
                  <c:v>43664</c:v>
                </c:pt>
                <c:pt idx="379">
                  <c:v>43665</c:v>
                </c:pt>
                <c:pt idx="380">
                  <c:v>43668</c:v>
                </c:pt>
                <c:pt idx="381">
                  <c:v>43669</c:v>
                </c:pt>
                <c:pt idx="382">
                  <c:v>43670</c:v>
                </c:pt>
                <c:pt idx="383">
                  <c:v>43671</c:v>
                </c:pt>
                <c:pt idx="384">
                  <c:v>43672</c:v>
                </c:pt>
                <c:pt idx="385">
                  <c:v>43675</c:v>
                </c:pt>
                <c:pt idx="386">
                  <c:v>43676</c:v>
                </c:pt>
                <c:pt idx="387">
                  <c:v>43677</c:v>
                </c:pt>
                <c:pt idx="388">
                  <c:v>43678</c:v>
                </c:pt>
                <c:pt idx="389">
                  <c:v>43679</c:v>
                </c:pt>
                <c:pt idx="390">
                  <c:v>43682</c:v>
                </c:pt>
                <c:pt idx="391">
                  <c:v>43683</c:v>
                </c:pt>
                <c:pt idx="392">
                  <c:v>43684</c:v>
                </c:pt>
                <c:pt idx="393">
                  <c:v>43685</c:v>
                </c:pt>
                <c:pt idx="394">
                  <c:v>43686</c:v>
                </c:pt>
                <c:pt idx="395">
                  <c:v>43689</c:v>
                </c:pt>
                <c:pt idx="396">
                  <c:v>43690</c:v>
                </c:pt>
                <c:pt idx="397">
                  <c:v>43691</c:v>
                </c:pt>
                <c:pt idx="398">
                  <c:v>43692</c:v>
                </c:pt>
                <c:pt idx="399">
                  <c:v>43693</c:v>
                </c:pt>
                <c:pt idx="400">
                  <c:v>43696</c:v>
                </c:pt>
                <c:pt idx="401">
                  <c:v>43697</c:v>
                </c:pt>
                <c:pt idx="402">
                  <c:v>43698</c:v>
                </c:pt>
                <c:pt idx="403">
                  <c:v>43699</c:v>
                </c:pt>
                <c:pt idx="404">
                  <c:v>43700</c:v>
                </c:pt>
                <c:pt idx="405">
                  <c:v>43703</c:v>
                </c:pt>
                <c:pt idx="406">
                  <c:v>43704</c:v>
                </c:pt>
                <c:pt idx="407">
                  <c:v>43705</c:v>
                </c:pt>
                <c:pt idx="408">
                  <c:v>43706</c:v>
                </c:pt>
                <c:pt idx="409">
                  <c:v>43707</c:v>
                </c:pt>
                <c:pt idx="410">
                  <c:v>43710</c:v>
                </c:pt>
                <c:pt idx="411">
                  <c:v>43711</c:v>
                </c:pt>
                <c:pt idx="412">
                  <c:v>43712</c:v>
                </c:pt>
                <c:pt idx="413">
                  <c:v>43713</c:v>
                </c:pt>
                <c:pt idx="414">
                  <c:v>43714</c:v>
                </c:pt>
                <c:pt idx="415">
                  <c:v>43717</c:v>
                </c:pt>
                <c:pt idx="416">
                  <c:v>43718</c:v>
                </c:pt>
                <c:pt idx="417">
                  <c:v>43719</c:v>
                </c:pt>
                <c:pt idx="418">
                  <c:v>43720</c:v>
                </c:pt>
                <c:pt idx="419">
                  <c:v>43721</c:v>
                </c:pt>
                <c:pt idx="420">
                  <c:v>43724</c:v>
                </c:pt>
                <c:pt idx="421">
                  <c:v>43725</c:v>
                </c:pt>
                <c:pt idx="422">
                  <c:v>43726</c:v>
                </c:pt>
                <c:pt idx="423">
                  <c:v>43727</c:v>
                </c:pt>
                <c:pt idx="424">
                  <c:v>43728</c:v>
                </c:pt>
                <c:pt idx="425">
                  <c:v>43731</c:v>
                </c:pt>
                <c:pt idx="426">
                  <c:v>43732</c:v>
                </c:pt>
                <c:pt idx="427">
                  <c:v>43733</c:v>
                </c:pt>
                <c:pt idx="428">
                  <c:v>43734</c:v>
                </c:pt>
                <c:pt idx="429">
                  <c:v>43735</c:v>
                </c:pt>
                <c:pt idx="430">
                  <c:v>43738</c:v>
                </c:pt>
                <c:pt idx="431">
                  <c:v>43739</c:v>
                </c:pt>
                <c:pt idx="432">
                  <c:v>43740</c:v>
                </c:pt>
                <c:pt idx="433">
                  <c:v>43741</c:v>
                </c:pt>
                <c:pt idx="434">
                  <c:v>43742</c:v>
                </c:pt>
                <c:pt idx="435">
                  <c:v>43745</c:v>
                </c:pt>
                <c:pt idx="436">
                  <c:v>43746</c:v>
                </c:pt>
                <c:pt idx="437">
                  <c:v>43747</c:v>
                </c:pt>
                <c:pt idx="438">
                  <c:v>43748</c:v>
                </c:pt>
                <c:pt idx="439">
                  <c:v>43749</c:v>
                </c:pt>
                <c:pt idx="440">
                  <c:v>43752</c:v>
                </c:pt>
                <c:pt idx="441">
                  <c:v>43753</c:v>
                </c:pt>
                <c:pt idx="442">
                  <c:v>43754</c:v>
                </c:pt>
                <c:pt idx="443">
                  <c:v>43755</c:v>
                </c:pt>
                <c:pt idx="444">
                  <c:v>43756</c:v>
                </c:pt>
                <c:pt idx="445">
                  <c:v>43759</c:v>
                </c:pt>
                <c:pt idx="446">
                  <c:v>43760</c:v>
                </c:pt>
                <c:pt idx="447">
                  <c:v>43761</c:v>
                </c:pt>
                <c:pt idx="448">
                  <c:v>43762</c:v>
                </c:pt>
                <c:pt idx="449">
                  <c:v>43763</c:v>
                </c:pt>
                <c:pt idx="450">
                  <c:v>43766</c:v>
                </c:pt>
                <c:pt idx="451">
                  <c:v>43767</c:v>
                </c:pt>
                <c:pt idx="452">
                  <c:v>43768</c:v>
                </c:pt>
                <c:pt idx="453">
                  <c:v>43769</c:v>
                </c:pt>
                <c:pt idx="454">
                  <c:v>43770</c:v>
                </c:pt>
                <c:pt idx="455">
                  <c:v>43773</c:v>
                </c:pt>
                <c:pt idx="456">
                  <c:v>43774</c:v>
                </c:pt>
                <c:pt idx="457">
                  <c:v>43775</c:v>
                </c:pt>
                <c:pt idx="458">
                  <c:v>43776</c:v>
                </c:pt>
                <c:pt idx="459">
                  <c:v>43777</c:v>
                </c:pt>
                <c:pt idx="460">
                  <c:v>43780</c:v>
                </c:pt>
                <c:pt idx="461">
                  <c:v>43781</c:v>
                </c:pt>
                <c:pt idx="462">
                  <c:v>43782</c:v>
                </c:pt>
                <c:pt idx="463">
                  <c:v>43783</c:v>
                </c:pt>
                <c:pt idx="464">
                  <c:v>43784</c:v>
                </c:pt>
                <c:pt idx="465">
                  <c:v>43787</c:v>
                </c:pt>
                <c:pt idx="466">
                  <c:v>43788</c:v>
                </c:pt>
                <c:pt idx="467">
                  <c:v>43789</c:v>
                </c:pt>
                <c:pt idx="468">
                  <c:v>43790</c:v>
                </c:pt>
                <c:pt idx="469">
                  <c:v>43791</c:v>
                </c:pt>
                <c:pt idx="470">
                  <c:v>43794</c:v>
                </c:pt>
                <c:pt idx="471">
                  <c:v>43795</c:v>
                </c:pt>
                <c:pt idx="472">
                  <c:v>43796</c:v>
                </c:pt>
                <c:pt idx="473">
                  <c:v>43797</c:v>
                </c:pt>
                <c:pt idx="474">
                  <c:v>43798</c:v>
                </c:pt>
                <c:pt idx="475">
                  <c:v>43801</c:v>
                </c:pt>
                <c:pt idx="476">
                  <c:v>43802</c:v>
                </c:pt>
                <c:pt idx="477">
                  <c:v>43803</c:v>
                </c:pt>
                <c:pt idx="478">
                  <c:v>43804</c:v>
                </c:pt>
                <c:pt idx="479">
                  <c:v>43805</c:v>
                </c:pt>
                <c:pt idx="480">
                  <c:v>43808</c:v>
                </c:pt>
                <c:pt idx="481">
                  <c:v>43809</c:v>
                </c:pt>
                <c:pt idx="482">
                  <c:v>43810</c:v>
                </c:pt>
                <c:pt idx="483">
                  <c:v>43811</c:v>
                </c:pt>
                <c:pt idx="484">
                  <c:v>43812</c:v>
                </c:pt>
                <c:pt idx="485">
                  <c:v>43815</c:v>
                </c:pt>
                <c:pt idx="486">
                  <c:v>43816</c:v>
                </c:pt>
                <c:pt idx="487">
                  <c:v>43817</c:v>
                </c:pt>
                <c:pt idx="488">
                  <c:v>43818</c:v>
                </c:pt>
                <c:pt idx="489">
                  <c:v>43819</c:v>
                </c:pt>
                <c:pt idx="490">
                  <c:v>43822</c:v>
                </c:pt>
                <c:pt idx="491">
                  <c:v>43823</c:v>
                </c:pt>
                <c:pt idx="492">
                  <c:v>43824</c:v>
                </c:pt>
                <c:pt idx="493">
                  <c:v>43825</c:v>
                </c:pt>
                <c:pt idx="494">
                  <c:v>43826</c:v>
                </c:pt>
                <c:pt idx="495">
                  <c:v>43829</c:v>
                </c:pt>
                <c:pt idx="496">
                  <c:v>43838</c:v>
                </c:pt>
                <c:pt idx="497">
                  <c:v>43839</c:v>
                </c:pt>
                <c:pt idx="498">
                  <c:v>43840</c:v>
                </c:pt>
                <c:pt idx="499">
                  <c:v>43843</c:v>
                </c:pt>
                <c:pt idx="500">
                  <c:v>43844</c:v>
                </c:pt>
                <c:pt idx="501">
                  <c:v>43845</c:v>
                </c:pt>
                <c:pt idx="502">
                  <c:v>43846</c:v>
                </c:pt>
                <c:pt idx="503">
                  <c:v>43847</c:v>
                </c:pt>
                <c:pt idx="504">
                  <c:v>43850</c:v>
                </c:pt>
                <c:pt idx="505">
                  <c:v>43851</c:v>
                </c:pt>
                <c:pt idx="506">
                  <c:v>43852</c:v>
                </c:pt>
                <c:pt idx="507">
                  <c:v>43853</c:v>
                </c:pt>
                <c:pt idx="508">
                  <c:v>43854</c:v>
                </c:pt>
                <c:pt idx="509">
                  <c:v>43859</c:v>
                </c:pt>
                <c:pt idx="510">
                  <c:v>43860</c:v>
                </c:pt>
                <c:pt idx="511">
                  <c:v>43861</c:v>
                </c:pt>
                <c:pt idx="512">
                  <c:v>43862</c:v>
                </c:pt>
                <c:pt idx="513">
                  <c:v>43864</c:v>
                </c:pt>
                <c:pt idx="514">
                  <c:v>43865</c:v>
                </c:pt>
                <c:pt idx="515">
                  <c:v>43866</c:v>
                </c:pt>
                <c:pt idx="516">
                  <c:v>43867</c:v>
                </c:pt>
                <c:pt idx="517">
                  <c:v>43868</c:v>
                </c:pt>
                <c:pt idx="518">
                  <c:v>43871</c:v>
                </c:pt>
                <c:pt idx="519">
                  <c:v>43872</c:v>
                </c:pt>
                <c:pt idx="520">
                  <c:v>43873</c:v>
                </c:pt>
                <c:pt idx="521">
                  <c:v>43874</c:v>
                </c:pt>
                <c:pt idx="522">
                  <c:v>43875</c:v>
                </c:pt>
                <c:pt idx="523">
                  <c:v>43878</c:v>
                </c:pt>
                <c:pt idx="524">
                  <c:v>43879</c:v>
                </c:pt>
                <c:pt idx="525">
                  <c:v>43880</c:v>
                </c:pt>
                <c:pt idx="526">
                  <c:v>43881</c:v>
                </c:pt>
                <c:pt idx="527">
                  <c:v>43882</c:v>
                </c:pt>
                <c:pt idx="528">
                  <c:v>43885</c:v>
                </c:pt>
                <c:pt idx="529">
                  <c:v>43886</c:v>
                </c:pt>
                <c:pt idx="530">
                  <c:v>43887</c:v>
                </c:pt>
                <c:pt idx="531">
                  <c:v>43888</c:v>
                </c:pt>
                <c:pt idx="532">
                  <c:v>43889</c:v>
                </c:pt>
                <c:pt idx="533">
                  <c:v>43892</c:v>
                </c:pt>
                <c:pt idx="534">
                  <c:v>43893</c:v>
                </c:pt>
                <c:pt idx="535">
                  <c:v>43894</c:v>
                </c:pt>
                <c:pt idx="536">
                  <c:v>43895</c:v>
                </c:pt>
                <c:pt idx="537">
                  <c:v>43896</c:v>
                </c:pt>
                <c:pt idx="538">
                  <c:v>43899</c:v>
                </c:pt>
                <c:pt idx="539">
                  <c:v>43900</c:v>
                </c:pt>
                <c:pt idx="540">
                  <c:v>43901</c:v>
                </c:pt>
                <c:pt idx="541">
                  <c:v>43902</c:v>
                </c:pt>
                <c:pt idx="542">
                  <c:v>43903</c:v>
                </c:pt>
                <c:pt idx="543">
                  <c:v>43906</c:v>
                </c:pt>
                <c:pt idx="544">
                  <c:v>43907</c:v>
                </c:pt>
                <c:pt idx="545">
                  <c:v>43908</c:v>
                </c:pt>
                <c:pt idx="546">
                  <c:v>43909</c:v>
                </c:pt>
                <c:pt idx="547">
                  <c:v>43910</c:v>
                </c:pt>
                <c:pt idx="548">
                  <c:v>43913</c:v>
                </c:pt>
                <c:pt idx="549">
                  <c:v>43914</c:v>
                </c:pt>
                <c:pt idx="550">
                  <c:v>43915</c:v>
                </c:pt>
                <c:pt idx="551">
                  <c:v>43916</c:v>
                </c:pt>
                <c:pt idx="552">
                  <c:v>43917</c:v>
                </c:pt>
                <c:pt idx="553">
                  <c:v>43920</c:v>
                </c:pt>
                <c:pt idx="554">
                  <c:v>43921</c:v>
                </c:pt>
                <c:pt idx="555">
                  <c:v>43922</c:v>
                </c:pt>
                <c:pt idx="556">
                  <c:v>43923</c:v>
                </c:pt>
                <c:pt idx="557">
                  <c:v>43924</c:v>
                </c:pt>
                <c:pt idx="558">
                  <c:v>43927</c:v>
                </c:pt>
                <c:pt idx="559">
                  <c:v>43928</c:v>
                </c:pt>
                <c:pt idx="560">
                  <c:v>43929</c:v>
                </c:pt>
                <c:pt idx="561">
                  <c:v>43930</c:v>
                </c:pt>
                <c:pt idx="562">
                  <c:v>43931</c:v>
                </c:pt>
                <c:pt idx="563">
                  <c:v>43934</c:v>
                </c:pt>
                <c:pt idx="564">
                  <c:v>43935</c:v>
                </c:pt>
                <c:pt idx="565">
                  <c:v>43936</c:v>
                </c:pt>
                <c:pt idx="566">
                  <c:v>43937</c:v>
                </c:pt>
                <c:pt idx="567">
                  <c:v>43938</c:v>
                </c:pt>
                <c:pt idx="568">
                  <c:v>43941</c:v>
                </c:pt>
                <c:pt idx="569">
                  <c:v>43942</c:v>
                </c:pt>
                <c:pt idx="570">
                  <c:v>43943</c:v>
                </c:pt>
                <c:pt idx="571">
                  <c:v>43944</c:v>
                </c:pt>
                <c:pt idx="572">
                  <c:v>43948</c:v>
                </c:pt>
                <c:pt idx="573">
                  <c:v>43949</c:v>
                </c:pt>
                <c:pt idx="574">
                  <c:v>43950</c:v>
                </c:pt>
                <c:pt idx="575">
                  <c:v>43951</c:v>
                </c:pt>
                <c:pt idx="576">
                  <c:v>43955</c:v>
                </c:pt>
                <c:pt idx="577">
                  <c:v>43956</c:v>
                </c:pt>
                <c:pt idx="578">
                  <c:v>43957</c:v>
                </c:pt>
                <c:pt idx="579">
                  <c:v>43958</c:v>
                </c:pt>
                <c:pt idx="580">
                  <c:v>43959</c:v>
                </c:pt>
                <c:pt idx="581">
                  <c:v>43962</c:v>
                </c:pt>
                <c:pt idx="582">
                  <c:v>43963</c:v>
                </c:pt>
                <c:pt idx="583">
                  <c:v>43964</c:v>
                </c:pt>
                <c:pt idx="584">
                  <c:v>43965</c:v>
                </c:pt>
                <c:pt idx="585">
                  <c:v>43966</c:v>
                </c:pt>
                <c:pt idx="586">
                  <c:v>43969</c:v>
                </c:pt>
                <c:pt idx="587">
                  <c:v>43970</c:v>
                </c:pt>
                <c:pt idx="588">
                  <c:v>43971</c:v>
                </c:pt>
                <c:pt idx="589">
                  <c:v>43972</c:v>
                </c:pt>
                <c:pt idx="590">
                  <c:v>43973</c:v>
                </c:pt>
                <c:pt idx="591">
                  <c:v>43974</c:v>
                </c:pt>
                <c:pt idx="592">
                  <c:v>43976</c:v>
                </c:pt>
                <c:pt idx="593">
                  <c:v>43977</c:v>
                </c:pt>
                <c:pt idx="594">
                  <c:v>43978</c:v>
                </c:pt>
                <c:pt idx="595">
                  <c:v>43983</c:v>
                </c:pt>
                <c:pt idx="596">
                  <c:v>43984</c:v>
                </c:pt>
                <c:pt idx="597">
                  <c:v>43985</c:v>
                </c:pt>
                <c:pt idx="598">
                  <c:v>43986</c:v>
                </c:pt>
                <c:pt idx="599">
                  <c:v>43987</c:v>
                </c:pt>
                <c:pt idx="600">
                  <c:v>43990</c:v>
                </c:pt>
                <c:pt idx="601">
                  <c:v>43991</c:v>
                </c:pt>
                <c:pt idx="602">
                  <c:v>43992</c:v>
                </c:pt>
                <c:pt idx="603">
                  <c:v>43993</c:v>
                </c:pt>
                <c:pt idx="604">
                  <c:v>43994</c:v>
                </c:pt>
                <c:pt idx="605">
                  <c:v>43997</c:v>
                </c:pt>
                <c:pt idx="606">
                  <c:v>43998</c:v>
                </c:pt>
                <c:pt idx="607">
                  <c:v>43999</c:v>
                </c:pt>
                <c:pt idx="608">
                  <c:v>44000</c:v>
                </c:pt>
                <c:pt idx="609">
                  <c:v>44001</c:v>
                </c:pt>
                <c:pt idx="610">
                  <c:v>44004</c:v>
                </c:pt>
                <c:pt idx="611">
                  <c:v>44005</c:v>
                </c:pt>
                <c:pt idx="612">
                  <c:v>44006</c:v>
                </c:pt>
                <c:pt idx="613">
                  <c:v>44007</c:v>
                </c:pt>
                <c:pt idx="614">
                  <c:v>44008</c:v>
                </c:pt>
                <c:pt idx="615">
                  <c:v>44011</c:v>
                </c:pt>
                <c:pt idx="616">
                  <c:v>44012</c:v>
                </c:pt>
                <c:pt idx="617">
                  <c:v>44013</c:v>
                </c:pt>
                <c:pt idx="618">
                  <c:v>44014</c:v>
                </c:pt>
                <c:pt idx="619">
                  <c:v>44015</c:v>
                </c:pt>
                <c:pt idx="620">
                  <c:v>44018</c:v>
                </c:pt>
                <c:pt idx="621">
                  <c:v>44019</c:v>
                </c:pt>
                <c:pt idx="622">
                  <c:v>44020</c:v>
                </c:pt>
                <c:pt idx="623">
                  <c:v>44021</c:v>
                </c:pt>
                <c:pt idx="624">
                  <c:v>44022</c:v>
                </c:pt>
                <c:pt idx="625">
                  <c:v>44025</c:v>
                </c:pt>
                <c:pt idx="626">
                  <c:v>44026</c:v>
                </c:pt>
                <c:pt idx="627">
                  <c:v>44027</c:v>
                </c:pt>
                <c:pt idx="628">
                  <c:v>44028</c:v>
                </c:pt>
                <c:pt idx="629">
                  <c:v>44029</c:v>
                </c:pt>
                <c:pt idx="630">
                  <c:v>44032</c:v>
                </c:pt>
                <c:pt idx="631">
                  <c:v>44033</c:v>
                </c:pt>
                <c:pt idx="632">
                  <c:v>44034</c:v>
                </c:pt>
                <c:pt idx="633">
                  <c:v>44035</c:v>
                </c:pt>
                <c:pt idx="634">
                  <c:v>44036</c:v>
                </c:pt>
                <c:pt idx="635">
                  <c:v>44039</c:v>
                </c:pt>
                <c:pt idx="636">
                  <c:v>44040</c:v>
                </c:pt>
                <c:pt idx="637">
                  <c:v>44041</c:v>
                </c:pt>
                <c:pt idx="638">
                  <c:v>44042</c:v>
                </c:pt>
                <c:pt idx="639">
                  <c:v>44043</c:v>
                </c:pt>
                <c:pt idx="640">
                  <c:v>44046</c:v>
                </c:pt>
                <c:pt idx="641">
                  <c:v>44047</c:v>
                </c:pt>
                <c:pt idx="642">
                  <c:v>44048</c:v>
                </c:pt>
                <c:pt idx="643">
                  <c:v>44049</c:v>
                </c:pt>
                <c:pt idx="644">
                  <c:v>44050</c:v>
                </c:pt>
                <c:pt idx="645">
                  <c:v>44053</c:v>
                </c:pt>
                <c:pt idx="646">
                  <c:v>44054</c:v>
                </c:pt>
                <c:pt idx="647">
                  <c:v>44055</c:v>
                </c:pt>
                <c:pt idx="648">
                  <c:v>44056</c:v>
                </c:pt>
                <c:pt idx="649">
                  <c:v>44057</c:v>
                </c:pt>
                <c:pt idx="650">
                  <c:v>44060</c:v>
                </c:pt>
                <c:pt idx="651">
                  <c:v>44061</c:v>
                </c:pt>
                <c:pt idx="652">
                  <c:v>44062</c:v>
                </c:pt>
                <c:pt idx="653">
                  <c:v>44063</c:v>
                </c:pt>
                <c:pt idx="654">
                  <c:v>44064</c:v>
                </c:pt>
                <c:pt idx="655">
                  <c:v>44067</c:v>
                </c:pt>
                <c:pt idx="656">
                  <c:v>44068</c:v>
                </c:pt>
                <c:pt idx="657">
                  <c:v>44069</c:v>
                </c:pt>
                <c:pt idx="658">
                  <c:v>44070</c:v>
                </c:pt>
                <c:pt idx="659">
                  <c:v>44071</c:v>
                </c:pt>
                <c:pt idx="660">
                  <c:v>44074</c:v>
                </c:pt>
                <c:pt idx="661">
                  <c:v>44075</c:v>
                </c:pt>
                <c:pt idx="662">
                  <c:v>44076</c:v>
                </c:pt>
                <c:pt idx="663">
                  <c:v>44077</c:v>
                </c:pt>
                <c:pt idx="664">
                  <c:v>44078</c:v>
                </c:pt>
                <c:pt idx="665">
                  <c:v>44081</c:v>
                </c:pt>
                <c:pt idx="666">
                  <c:v>44082</c:v>
                </c:pt>
                <c:pt idx="667">
                  <c:v>44083</c:v>
                </c:pt>
                <c:pt idx="668">
                  <c:v>44084</c:v>
                </c:pt>
                <c:pt idx="669">
                  <c:v>44085</c:v>
                </c:pt>
                <c:pt idx="670">
                  <c:v>44088</c:v>
                </c:pt>
                <c:pt idx="671">
                  <c:v>44089</c:v>
                </c:pt>
                <c:pt idx="672">
                  <c:v>44090</c:v>
                </c:pt>
                <c:pt idx="673">
                  <c:v>44091</c:v>
                </c:pt>
                <c:pt idx="674">
                  <c:v>44092</c:v>
                </c:pt>
                <c:pt idx="675">
                  <c:v>44096</c:v>
                </c:pt>
                <c:pt idx="676">
                  <c:v>44097</c:v>
                </c:pt>
                <c:pt idx="677">
                  <c:v>44098</c:v>
                </c:pt>
                <c:pt idx="678">
                  <c:v>44099</c:v>
                </c:pt>
                <c:pt idx="679">
                  <c:v>44102</c:v>
                </c:pt>
                <c:pt idx="680">
                  <c:v>44103</c:v>
                </c:pt>
                <c:pt idx="681">
                  <c:v>44104</c:v>
                </c:pt>
                <c:pt idx="682">
                  <c:v>44105</c:v>
                </c:pt>
                <c:pt idx="683">
                  <c:v>44106</c:v>
                </c:pt>
                <c:pt idx="684">
                  <c:v>44109</c:v>
                </c:pt>
                <c:pt idx="685">
                  <c:v>44110</c:v>
                </c:pt>
                <c:pt idx="686">
                  <c:v>44111</c:v>
                </c:pt>
                <c:pt idx="687">
                  <c:v>44112</c:v>
                </c:pt>
                <c:pt idx="688">
                  <c:v>44113</c:v>
                </c:pt>
                <c:pt idx="689">
                  <c:v>44116</c:v>
                </c:pt>
                <c:pt idx="690">
                  <c:v>44117</c:v>
                </c:pt>
                <c:pt idx="691">
                  <c:v>44118</c:v>
                </c:pt>
                <c:pt idx="692">
                  <c:v>44119</c:v>
                </c:pt>
                <c:pt idx="693">
                  <c:v>44120</c:v>
                </c:pt>
                <c:pt idx="694">
                  <c:v>44123</c:v>
                </c:pt>
                <c:pt idx="695">
                  <c:v>44124</c:v>
                </c:pt>
                <c:pt idx="696">
                  <c:v>44125</c:v>
                </c:pt>
                <c:pt idx="697">
                  <c:v>44126</c:v>
                </c:pt>
                <c:pt idx="698">
                  <c:v>44127</c:v>
                </c:pt>
                <c:pt idx="699">
                  <c:v>44130</c:v>
                </c:pt>
                <c:pt idx="700">
                  <c:v>44131</c:v>
                </c:pt>
                <c:pt idx="701">
                  <c:v>44132</c:v>
                </c:pt>
                <c:pt idx="702">
                  <c:v>44133</c:v>
                </c:pt>
                <c:pt idx="703">
                  <c:v>44134</c:v>
                </c:pt>
                <c:pt idx="704">
                  <c:v>44137</c:v>
                </c:pt>
                <c:pt idx="705">
                  <c:v>44138</c:v>
                </c:pt>
                <c:pt idx="706">
                  <c:v>44139</c:v>
                </c:pt>
                <c:pt idx="707">
                  <c:v>44140</c:v>
                </c:pt>
                <c:pt idx="708">
                  <c:v>44141</c:v>
                </c:pt>
                <c:pt idx="709">
                  <c:v>44144</c:v>
                </c:pt>
                <c:pt idx="710">
                  <c:v>44145</c:v>
                </c:pt>
                <c:pt idx="711">
                  <c:v>44146</c:v>
                </c:pt>
                <c:pt idx="712">
                  <c:v>44147</c:v>
                </c:pt>
                <c:pt idx="713">
                  <c:v>44148</c:v>
                </c:pt>
                <c:pt idx="714">
                  <c:v>44151</c:v>
                </c:pt>
                <c:pt idx="715">
                  <c:v>44152</c:v>
                </c:pt>
                <c:pt idx="716">
                  <c:v>44153</c:v>
                </c:pt>
                <c:pt idx="717">
                  <c:v>44154</c:v>
                </c:pt>
                <c:pt idx="718">
                  <c:v>44155</c:v>
                </c:pt>
                <c:pt idx="719">
                  <c:v>44158</c:v>
                </c:pt>
                <c:pt idx="720">
                  <c:v>44159</c:v>
                </c:pt>
                <c:pt idx="721">
                  <c:v>44160</c:v>
                </c:pt>
                <c:pt idx="722">
                  <c:v>44161</c:v>
                </c:pt>
                <c:pt idx="723">
                  <c:v>44162</c:v>
                </c:pt>
                <c:pt idx="724">
                  <c:v>44165</c:v>
                </c:pt>
                <c:pt idx="725">
                  <c:v>44166</c:v>
                </c:pt>
                <c:pt idx="726">
                  <c:v>44167</c:v>
                </c:pt>
                <c:pt idx="727">
                  <c:v>44168</c:v>
                </c:pt>
                <c:pt idx="728">
                  <c:v>44169</c:v>
                </c:pt>
                <c:pt idx="729">
                  <c:v>44172</c:v>
                </c:pt>
                <c:pt idx="730">
                  <c:v>44173</c:v>
                </c:pt>
                <c:pt idx="731">
                  <c:v>44174</c:v>
                </c:pt>
                <c:pt idx="732">
                  <c:v>44175</c:v>
                </c:pt>
                <c:pt idx="733">
                  <c:v>44176</c:v>
                </c:pt>
                <c:pt idx="734">
                  <c:v>44179</c:v>
                </c:pt>
                <c:pt idx="735">
                  <c:v>44180</c:v>
                </c:pt>
                <c:pt idx="736">
                  <c:v>44181</c:v>
                </c:pt>
                <c:pt idx="737">
                  <c:v>44182</c:v>
                </c:pt>
                <c:pt idx="738">
                  <c:v>44183</c:v>
                </c:pt>
                <c:pt idx="739">
                  <c:v>44186</c:v>
                </c:pt>
                <c:pt idx="740">
                  <c:v>44187</c:v>
                </c:pt>
                <c:pt idx="741">
                  <c:v>44188</c:v>
                </c:pt>
                <c:pt idx="742">
                  <c:v>44189</c:v>
                </c:pt>
                <c:pt idx="743">
                  <c:v>44190</c:v>
                </c:pt>
                <c:pt idx="744">
                  <c:v>44193</c:v>
                </c:pt>
                <c:pt idx="745">
                  <c:v>44194</c:v>
                </c:pt>
                <c:pt idx="746">
                  <c:v>44195</c:v>
                </c:pt>
                <c:pt idx="747">
                  <c:v>44204</c:v>
                </c:pt>
                <c:pt idx="748">
                  <c:v>44207</c:v>
                </c:pt>
                <c:pt idx="749">
                  <c:v>44208</c:v>
                </c:pt>
                <c:pt idx="750">
                  <c:v>44209</c:v>
                </c:pt>
                <c:pt idx="751">
                  <c:v>44210</c:v>
                </c:pt>
                <c:pt idx="752">
                  <c:v>44211</c:v>
                </c:pt>
                <c:pt idx="753">
                  <c:v>44214</c:v>
                </c:pt>
                <c:pt idx="754">
                  <c:v>44215</c:v>
                </c:pt>
                <c:pt idx="755">
                  <c:v>44216</c:v>
                </c:pt>
                <c:pt idx="756">
                  <c:v>44217</c:v>
                </c:pt>
                <c:pt idx="757">
                  <c:v>44218</c:v>
                </c:pt>
                <c:pt idx="758">
                  <c:v>44221</c:v>
                </c:pt>
                <c:pt idx="759">
                  <c:v>44222</c:v>
                </c:pt>
                <c:pt idx="760">
                  <c:v>44223</c:v>
                </c:pt>
                <c:pt idx="761">
                  <c:v>44225</c:v>
                </c:pt>
                <c:pt idx="762">
                  <c:v>44228</c:v>
                </c:pt>
                <c:pt idx="763">
                  <c:v>44229</c:v>
                </c:pt>
                <c:pt idx="764">
                  <c:v>44230</c:v>
                </c:pt>
                <c:pt idx="765">
                  <c:v>44231</c:v>
                </c:pt>
                <c:pt idx="766">
                  <c:v>44232</c:v>
                </c:pt>
                <c:pt idx="767">
                  <c:v>44235</c:v>
                </c:pt>
                <c:pt idx="768">
                  <c:v>44236</c:v>
                </c:pt>
                <c:pt idx="769">
                  <c:v>44237</c:v>
                </c:pt>
                <c:pt idx="770">
                  <c:v>44238</c:v>
                </c:pt>
                <c:pt idx="771">
                  <c:v>44239</c:v>
                </c:pt>
                <c:pt idx="772">
                  <c:v>44242</c:v>
                </c:pt>
                <c:pt idx="773">
                  <c:v>44243</c:v>
                </c:pt>
                <c:pt idx="774">
                  <c:v>44244</c:v>
                </c:pt>
                <c:pt idx="775">
                  <c:v>44245</c:v>
                </c:pt>
                <c:pt idx="776">
                  <c:v>44246</c:v>
                </c:pt>
                <c:pt idx="777">
                  <c:v>44249</c:v>
                </c:pt>
                <c:pt idx="778">
                  <c:v>44250</c:v>
                </c:pt>
                <c:pt idx="779">
                  <c:v>44251</c:v>
                </c:pt>
                <c:pt idx="780">
                  <c:v>44252</c:v>
                </c:pt>
                <c:pt idx="781">
                  <c:v>44253</c:v>
                </c:pt>
                <c:pt idx="782">
                  <c:v>44256</c:v>
                </c:pt>
                <c:pt idx="783">
                  <c:v>44257</c:v>
                </c:pt>
                <c:pt idx="784">
                  <c:v>44258</c:v>
                </c:pt>
                <c:pt idx="785">
                  <c:v>44259</c:v>
                </c:pt>
                <c:pt idx="786">
                  <c:v>44260</c:v>
                </c:pt>
                <c:pt idx="787">
                  <c:v>44264</c:v>
                </c:pt>
                <c:pt idx="788">
                  <c:v>44265</c:v>
                </c:pt>
                <c:pt idx="789">
                  <c:v>44266</c:v>
                </c:pt>
                <c:pt idx="790">
                  <c:v>44267</c:v>
                </c:pt>
                <c:pt idx="791">
                  <c:v>44270</c:v>
                </c:pt>
                <c:pt idx="792">
                  <c:v>44271</c:v>
                </c:pt>
                <c:pt idx="793">
                  <c:v>44272</c:v>
                </c:pt>
                <c:pt idx="794">
                  <c:v>44273</c:v>
                </c:pt>
                <c:pt idx="795">
                  <c:v>44274</c:v>
                </c:pt>
                <c:pt idx="796">
                  <c:v>44277</c:v>
                </c:pt>
                <c:pt idx="797">
                  <c:v>44278</c:v>
                </c:pt>
                <c:pt idx="798">
                  <c:v>44279</c:v>
                </c:pt>
                <c:pt idx="799">
                  <c:v>44280</c:v>
                </c:pt>
                <c:pt idx="800">
                  <c:v>44281</c:v>
                </c:pt>
                <c:pt idx="801">
                  <c:v>44284</c:v>
                </c:pt>
                <c:pt idx="802">
                  <c:v>44285</c:v>
                </c:pt>
                <c:pt idx="803">
                  <c:v>44286</c:v>
                </c:pt>
                <c:pt idx="804">
                  <c:v>44287</c:v>
                </c:pt>
                <c:pt idx="805">
                  <c:v>44288</c:v>
                </c:pt>
                <c:pt idx="806">
                  <c:v>44291</c:v>
                </c:pt>
                <c:pt idx="807">
                  <c:v>44292</c:v>
                </c:pt>
                <c:pt idx="808">
                  <c:v>44293</c:v>
                </c:pt>
                <c:pt idx="809">
                  <c:v>44294</c:v>
                </c:pt>
                <c:pt idx="810">
                  <c:v>44295</c:v>
                </c:pt>
                <c:pt idx="811">
                  <c:v>44298</c:v>
                </c:pt>
                <c:pt idx="812">
                  <c:v>44299</c:v>
                </c:pt>
                <c:pt idx="813">
                  <c:v>44300</c:v>
                </c:pt>
                <c:pt idx="814">
                  <c:v>44301</c:v>
                </c:pt>
                <c:pt idx="815">
                  <c:v>44302</c:v>
                </c:pt>
                <c:pt idx="816">
                  <c:v>44305</c:v>
                </c:pt>
                <c:pt idx="817">
                  <c:v>44306</c:v>
                </c:pt>
                <c:pt idx="818">
                  <c:v>44307</c:v>
                </c:pt>
                <c:pt idx="819">
                  <c:v>44308</c:v>
                </c:pt>
                <c:pt idx="820">
                  <c:v>44309</c:v>
                </c:pt>
                <c:pt idx="821">
                  <c:v>44312</c:v>
                </c:pt>
                <c:pt idx="822">
                  <c:v>44313</c:v>
                </c:pt>
                <c:pt idx="823">
                  <c:v>44314</c:v>
                </c:pt>
                <c:pt idx="824">
                  <c:v>44315</c:v>
                </c:pt>
                <c:pt idx="825">
                  <c:v>44316</c:v>
                </c:pt>
                <c:pt idx="826">
                  <c:v>44319</c:v>
                </c:pt>
                <c:pt idx="827">
                  <c:v>44320</c:v>
                </c:pt>
                <c:pt idx="828">
                  <c:v>44321</c:v>
                </c:pt>
                <c:pt idx="829">
                  <c:v>44322</c:v>
                </c:pt>
                <c:pt idx="830">
                  <c:v>44323</c:v>
                </c:pt>
                <c:pt idx="831">
                  <c:v>44326</c:v>
                </c:pt>
                <c:pt idx="832">
                  <c:v>44327</c:v>
                </c:pt>
                <c:pt idx="833">
                  <c:v>44328</c:v>
                </c:pt>
                <c:pt idx="834">
                  <c:v>44329</c:v>
                </c:pt>
                <c:pt idx="835">
                  <c:v>44330</c:v>
                </c:pt>
                <c:pt idx="836">
                  <c:v>44333</c:v>
                </c:pt>
                <c:pt idx="837">
                  <c:v>44334</c:v>
                </c:pt>
                <c:pt idx="838">
                  <c:v>44335</c:v>
                </c:pt>
                <c:pt idx="839">
                  <c:v>44336</c:v>
                </c:pt>
                <c:pt idx="840">
                  <c:v>44337</c:v>
                </c:pt>
                <c:pt idx="841">
                  <c:v>44340</c:v>
                </c:pt>
                <c:pt idx="842">
                  <c:v>44341</c:v>
                </c:pt>
                <c:pt idx="843">
                  <c:v>44342</c:v>
                </c:pt>
                <c:pt idx="844">
                  <c:v>44343</c:v>
                </c:pt>
                <c:pt idx="845">
                  <c:v>44347</c:v>
                </c:pt>
                <c:pt idx="846">
                  <c:v>44348</c:v>
                </c:pt>
                <c:pt idx="847">
                  <c:v>44349</c:v>
                </c:pt>
                <c:pt idx="848">
                  <c:v>44350</c:v>
                </c:pt>
                <c:pt idx="849">
                  <c:v>44351</c:v>
                </c:pt>
                <c:pt idx="850">
                  <c:v>44354</c:v>
                </c:pt>
                <c:pt idx="851">
                  <c:v>44355</c:v>
                </c:pt>
                <c:pt idx="852">
                  <c:v>44356</c:v>
                </c:pt>
                <c:pt idx="853">
                  <c:v>44357</c:v>
                </c:pt>
                <c:pt idx="854">
                  <c:v>44358</c:v>
                </c:pt>
                <c:pt idx="855">
                  <c:v>44361</c:v>
                </c:pt>
                <c:pt idx="856">
                  <c:v>44362</c:v>
                </c:pt>
                <c:pt idx="857">
                  <c:v>44363</c:v>
                </c:pt>
                <c:pt idx="858">
                  <c:v>44364</c:v>
                </c:pt>
                <c:pt idx="859">
                  <c:v>44365</c:v>
                </c:pt>
                <c:pt idx="860">
                  <c:v>44368</c:v>
                </c:pt>
                <c:pt idx="861">
                  <c:v>44369</c:v>
                </c:pt>
                <c:pt idx="862">
                  <c:v>44370</c:v>
                </c:pt>
                <c:pt idx="863">
                  <c:v>44371</c:v>
                </c:pt>
                <c:pt idx="864">
                  <c:v>44372</c:v>
                </c:pt>
                <c:pt idx="865">
                  <c:v>44375</c:v>
                </c:pt>
                <c:pt idx="866">
                  <c:v>44376</c:v>
                </c:pt>
                <c:pt idx="867">
                  <c:v>44377</c:v>
                </c:pt>
                <c:pt idx="868">
                  <c:v>44378</c:v>
                </c:pt>
                <c:pt idx="869">
                  <c:v>44379</c:v>
                </c:pt>
                <c:pt idx="870">
                  <c:v>44383</c:v>
                </c:pt>
                <c:pt idx="871">
                  <c:v>44384</c:v>
                </c:pt>
                <c:pt idx="872">
                  <c:v>44385</c:v>
                </c:pt>
                <c:pt idx="873">
                  <c:v>44386</c:v>
                </c:pt>
                <c:pt idx="874">
                  <c:v>44389</c:v>
                </c:pt>
              </c:numCache>
            </c:numRef>
          </c:cat>
          <c:val>
            <c:numRef>
              <c:f>Sheet1!$B$2:$B$876</c:f>
              <c:numCache>
                <c:formatCode>_(* #\,##0_);_(* \(#\,##0\);_(* "-"??_);_(@_)</c:formatCode>
                <c:ptCount val="875"/>
                <c:pt idx="0">
                  <c:v>100</c:v>
                </c:pt>
                <c:pt idx="1">
                  <c:v>99.995875693399057</c:v>
                </c:pt>
                <c:pt idx="2">
                  <c:v>99.962881240591429</c:v>
                </c:pt>
                <c:pt idx="3">
                  <c:v>99.872146495370473</c:v>
                </c:pt>
                <c:pt idx="4">
                  <c:v>99.70717423133236</c:v>
                </c:pt>
                <c:pt idx="5">
                  <c:v>99.645309632318074</c:v>
                </c:pt>
                <c:pt idx="6">
                  <c:v>99.604066566308546</c:v>
                </c:pt>
                <c:pt idx="7">
                  <c:v>99.599942259707589</c:v>
                </c:pt>
                <c:pt idx="8">
                  <c:v>99.538077660693304</c:v>
                </c:pt>
                <c:pt idx="9">
                  <c:v>99.38754046975852</c:v>
                </c:pt>
                <c:pt idx="10">
                  <c:v>99.321551564143277</c:v>
                </c:pt>
                <c:pt idx="11">
                  <c:v>99.224630359020892</c:v>
                </c:pt>
                <c:pt idx="12">
                  <c:v>99.142144227001836</c:v>
                </c:pt>
                <c:pt idx="13">
                  <c:v>99.117398387396122</c:v>
                </c:pt>
                <c:pt idx="14">
                  <c:v>99.107087620893751</c:v>
                </c:pt>
                <c:pt idx="15">
                  <c:v>99.117398387396122</c:v>
                </c:pt>
                <c:pt idx="16">
                  <c:v>99.113274080795179</c:v>
                </c:pt>
                <c:pt idx="17">
                  <c:v>99.150392840203764</c:v>
                </c:pt>
                <c:pt idx="18">
                  <c:v>99.185449446311864</c:v>
                </c:pt>
                <c:pt idx="19">
                  <c:v>99.197822366114721</c:v>
                </c:pt>
                <c:pt idx="20">
                  <c:v>99.309178644340435</c:v>
                </c:pt>
                <c:pt idx="21">
                  <c:v>99.391664776359491</c:v>
                </c:pt>
                <c:pt idx="22">
                  <c:v>99.467964448477119</c:v>
                </c:pt>
                <c:pt idx="23">
                  <c:v>99.366918936753777</c:v>
                </c:pt>
                <c:pt idx="24">
                  <c:v>99.624688099313317</c:v>
                </c:pt>
                <c:pt idx="25">
                  <c:v>99.51333182108759</c:v>
                </c:pt>
                <c:pt idx="26">
                  <c:v>99.474150908378533</c:v>
                </c:pt>
                <c:pt idx="27">
                  <c:v>99.315365104241863</c:v>
                </c:pt>
                <c:pt idx="28">
                  <c:v>99.251438351927092</c:v>
                </c:pt>
                <c:pt idx="29">
                  <c:v>99.177200833109936</c:v>
                </c:pt>
                <c:pt idx="30">
                  <c:v>99.15039284020375</c:v>
                </c:pt>
                <c:pt idx="31">
                  <c:v>99.102963314292779</c:v>
                </c:pt>
                <c:pt idx="32">
                  <c:v>99.078217474687051</c:v>
                </c:pt>
                <c:pt idx="33">
                  <c:v>99.100901160992308</c:v>
                </c:pt>
                <c:pt idx="34">
                  <c:v>99.113274080795151</c:v>
                </c:pt>
                <c:pt idx="35">
                  <c:v>99.15657930010515</c:v>
                </c:pt>
                <c:pt idx="36">
                  <c:v>99.187511599612293</c:v>
                </c:pt>
                <c:pt idx="37">
                  <c:v>99.150392840203722</c:v>
                </c:pt>
                <c:pt idx="38">
                  <c:v>99.177200833109907</c:v>
                </c:pt>
                <c:pt idx="39">
                  <c:v>99.14833068690325</c:v>
                </c:pt>
                <c:pt idx="40">
                  <c:v>99.146268533602779</c:v>
                </c:pt>
                <c:pt idx="41">
                  <c:v>99.115336234095622</c:v>
                </c:pt>
                <c:pt idx="42">
                  <c:v>99.133895613799908</c:v>
                </c:pt>
                <c:pt idx="43">
                  <c:v>99.131833460499436</c:v>
                </c:pt>
                <c:pt idx="44">
                  <c:v>99.088528241189422</c:v>
                </c:pt>
                <c:pt idx="45">
                  <c:v>99.055533788381808</c:v>
                </c:pt>
                <c:pt idx="46">
                  <c:v>99.06790670818468</c:v>
                </c:pt>
                <c:pt idx="47">
                  <c:v>99.053471635081337</c:v>
                </c:pt>
                <c:pt idx="48">
                  <c:v>99.063782401583708</c:v>
                </c:pt>
                <c:pt idx="49">
                  <c:v>99.041098715278466</c:v>
                </c:pt>
                <c:pt idx="50">
                  <c:v>98.999855649268937</c:v>
                </c:pt>
                <c:pt idx="51">
                  <c:v>99.036974408677509</c:v>
                </c:pt>
                <c:pt idx="52">
                  <c:v>98.99573134266798</c:v>
                </c:pt>
                <c:pt idx="53">
                  <c:v>99.018415028973223</c:v>
                </c:pt>
                <c:pt idx="54">
                  <c:v>99.072031014785608</c:v>
                </c:pt>
                <c:pt idx="55">
                  <c:v>99.03903656197798</c:v>
                </c:pt>
                <c:pt idx="56">
                  <c:v>99.028725795475609</c:v>
                </c:pt>
                <c:pt idx="57">
                  <c:v>99.028725795475609</c:v>
                </c:pt>
                <c:pt idx="58">
                  <c:v>98.99573134266798</c:v>
                </c:pt>
                <c:pt idx="59">
                  <c:v>99.03078794877608</c:v>
                </c:pt>
                <c:pt idx="60">
                  <c:v>99.041098715278451</c:v>
                </c:pt>
                <c:pt idx="61">
                  <c:v>99.026663642175123</c:v>
                </c:pt>
                <c:pt idx="62">
                  <c:v>99.078217474687023</c:v>
                </c:pt>
                <c:pt idx="63">
                  <c:v>99.135957767100365</c:v>
                </c:pt>
                <c:pt idx="64">
                  <c:v>99.164827913307036</c:v>
                </c:pt>
                <c:pt idx="65">
                  <c:v>99.346297403748963</c:v>
                </c:pt>
                <c:pt idx="66">
                  <c:v>99.626750252613746</c:v>
                </c:pt>
                <c:pt idx="67">
                  <c:v>99.750479450642331</c:v>
                </c:pt>
                <c:pt idx="68">
                  <c:v>99.585507186604218</c:v>
                </c:pt>
                <c:pt idx="69">
                  <c:v>99.470026601777548</c:v>
                </c:pt>
                <c:pt idx="70">
                  <c:v>99.352483863650392</c:v>
                </c:pt>
                <c:pt idx="71">
                  <c:v>99.187511599612279</c:v>
                </c:pt>
                <c:pt idx="72">
                  <c:v>99.022539335574166</c:v>
                </c:pt>
                <c:pt idx="73">
                  <c:v>99.020477182273694</c:v>
                </c:pt>
                <c:pt idx="74">
                  <c:v>99.010166415771309</c:v>
                </c:pt>
                <c:pt idx="75">
                  <c:v>99.078217474687037</c:v>
                </c:pt>
                <c:pt idx="76">
                  <c:v>99.387540469758491</c:v>
                </c:pt>
                <c:pt idx="77">
                  <c:v>99.667993318623274</c:v>
                </c:pt>
                <c:pt idx="78">
                  <c:v>99.66180685872186</c:v>
                </c:pt>
                <c:pt idx="79">
                  <c:v>99.954632627389486</c:v>
                </c:pt>
                <c:pt idx="80">
                  <c:v>99.962881240591386</c:v>
                </c:pt>
                <c:pt idx="81">
                  <c:v>100.09073474522091</c:v>
                </c:pt>
                <c:pt idx="82">
                  <c:v>100.25983131585997</c:v>
                </c:pt>
                <c:pt idx="83">
                  <c:v>100.36087682758331</c:v>
                </c:pt>
                <c:pt idx="84">
                  <c:v>100.3361309879776</c:v>
                </c:pt>
                <c:pt idx="85">
                  <c:v>100.23302332295378</c:v>
                </c:pt>
                <c:pt idx="86">
                  <c:v>100.07629967211759</c:v>
                </c:pt>
                <c:pt idx="87">
                  <c:v>99.923700327882329</c:v>
                </c:pt>
                <c:pt idx="88">
                  <c:v>99.773163136947559</c:v>
                </c:pt>
                <c:pt idx="89">
                  <c:v>99.676241931825174</c:v>
                </c:pt>
                <c:pt idx="90">
                  <c:v>99.655620398820403</c:v>
                </c:pt>
                <c:pt idx="91">
                  <c:v>99.608190872909447</c:v>
                </c:pt>
                <c:pt idx="92">
                  <c:v>99.533953354092304</c:v>
                </c:pt>
                <c:pt idx="93">
                  <c:v>99.494772441383247</c:v>
                </c:pt>
                <c:pt idx="94">
                  <c:v>99.529829047491333</c:v>
                </c:pt>
                <c:pt idx="95">
                  <c:v>99.55251273379659</c:v>
                </c:pt>
                <c:pt idx="96">
                  <c:v>99.597880106407075</c:v>
                </c:pt>
                <c:pt idx="97">
                  <c:v>99.566947806899918</c:v>
                </c:pt>
                <c:pt idx="98">
                  <c:v>99.500958901284676</c:v>
                </c:pt>
                <c:pt idx="99">
                  <c:v>99.573134266801361</c:v>
                </c:pt>
                <c:pt idx="100">
                  <c:v>99.581382880003247</c:v>
                </c:pt>
                <c:pt idx="101">
                  <c:v>99.606128719608975</c:v>
                </c:pt>
                <c:pt idx="102">
                  <c:v>99.663869012022332</c:v>
                </c:pt>
                <c:pt idx="103">
                  <c:v>99.703049924731388</c:v>
                </c:pt>
                <c:pt idx="104">
                  <c:v>99.647371785618532</c:v>
                </c:pt>
                <c:pt idx="105">
                  <c:v>99.630874559214703</c:v>
                </c:pt>
                <c:pt idx="106">
                  <c:v>99.571072113500904</c:v>
                </c:pt>
                <c:pt idx="107">
                  <c:v>99.536015507392804</c:v>
                </c:pt>
                <c:pt idx="108">
                  <c:v>99.546326273895176</c:v>
                </c:pt>
                <c:pt idx="109">
                  <c:v>99.53601550739279</c:v>
                </c:pt>
                <c:pt idx="110">
                  <c:v>99.51745612768849</c:v>
                </c:pt>
                <c:pt idx="111">
                  <c:v>99.449405068772776</c:v>
                </c:pt>
                <c:pt idx="112">
                  <c:v>99.399913389561334</c:v>
                </c:pt>
                <c:pt idx="113">
                  <c:v>99.437032148969905</c:v>
                </c:pt>
                <c:pt idx="114">
                  <c:v>99.434969995669434</c:v>
                </c:pt>
                <c:pt idx="115">
                  <c:v>99.465902295176576</c:v>
                </c:pt>
                <c:pt idx="116">
                  <c:v>99.443218608871348</c:v>
                </c:pt>
                <c:pt idx="117">
                  <c:v>99.412286309364191</c:v>
                </c:pt>
                <c:pt idx="118">
                  <c:v>99.41022415606372</c:v>
                </c:pt>
                <c:pt idx="119">
                  <c:v>99.445280762171834</c:v>
                </c:pt>
                <c:pt idx="120">
                  <c:v>99.496834594683747</c:v>
                </c:pt>
                <c:pt idx="121">
                  <c:v>99.540139813993747</c:v>
                </c:pt>
                <c:pt idx="122">
                  <c:v>99.591693646505661</c:v>
                </c:pt>
                <c:pt idx="123">
                  <c:v>99.637061019116146</c:v>
                </c:pt>
                <c:pt idx="124">
                  <c:v>99.521580434289476</c:v>
                </c:pt>
                <c:pt idx="125">
                  <c:v>99.445280762171848</c:v>
                </c:pt>
                <c:pt idx="126">
                  <c:v>99.443218608871362</c:v>
                </c:pt>
                <c:pt idx="127">
                  <c:v>99.290619264636121</c:v>
                </c:pt>
                <c:pt idx="128">
                  <c:v>99.224630359020878</c:v>
                </c:pt>
                <c:pt idx="129">
                  <c:v>99.14833068690325</c:v>
                </c:pt>
                <c:pt idx="130">
                  <c:v>99.059658094982765</c:v>
                </c:pt>
                <c:pt idx="131">
                  <c:v>99.045223021879437</c:v>
                </c:pt>
                <c:pt idx="132">
                  <c:v>99.107087620893722</c:v>
                </c:pt>
                <c:pt idx="133">
                  <c:v>99.111211927494665</c:v>
                </c:pt>
                <c:pt idx="134">
                  <c:v>99.189573752912779</c:v>
                </c:pt>
                <c:pt idx="135">
                  <c:v>99.150392840203722</c:v>
                </c:pt>
                <c:pt idx="136">
                  <c:v>99.164827913307064</c:v>
                </c:pt>
                <c:pt idx="137">
                  <c:v>99.19163590621325</c:v>
                </c:pt>
                <c:pt idx="138">
                  <c:v>99.166890066607536</c:v>
                </c:pt>
                <c:pt idx="139">
                  <c:v>99.152454993504207</c:v>
                </c:pt>
                <c:pt idx="140">
                  <c:v>99.179262986410407</c:v>
                </c:pt>
                <c:pt idx="141">
                  <c:v>99.179262986410407</c:v>
                </c:pt>
                <c:pt idx="142">
                  <c:v>99.222568205720421</c:v>
                </c:pt>
                <c:pt idx="143">
                  <c:v>99.247314045326135</c:v>
                </c:pt>
                <c:pt idx="144">
                  <c:v>99.292681417936635</c:v>
                </c:pt>
                <c:pt idx="145">
                  <c:v>99.331862330645677</c:v>
                </c:pt>
                <c:pt idx="146">
                  <c:v>99.350421710349963</c:v>
                </c:pt>
                <c:pt idx="147">
                  <c:v>99.356608170251405</c:v>
                </c:pt>
                <c:pt idx="148">
                  <c:v>99.428783535768076</c:v>
                </c:pt>
                <c:pt idx="149">
                  <c:v>99.525704740890461</c:v>
                </c:pt>
                <c:pt idx="150">
                  <c:v>99.608190872909503</c:v>
                </c:pt>
                <c:pt idx="151">
                  <c:v>99.606128719609018</c:v>
                </c:pt>
                <c:pt idx="152">
                  <c:v>99.630874559214746</c:v>
                </c:pt>
                <c:pt idx="153">
                  <c:v>99.630874559214746</c:v>
                </c:pt>
                <c:pt idx="154">
                  <c:v>99.622625946012846</c:v>
                </c:pt>
                <c:pt idx="155">
                  <c:v>99.552512733796647</c:v>
                </c:pt>
                <c:pt idx="156">
                  <c:v>99.581382880003318</c:v>
                </c:pt>
                <c:pt idx="157">
                  <c:v>99.575196420101904</c:v>
                </c:pt>
                <c:pt idx="158">
                  <c:v>99.583445033303818</c:v>
                </c:pt>
                <c:pt idx="159">
                  <c:v>99.562823500299046</c:v>
                </c:pt>
                <c:pt idx="160">
                  <c:v>99.546326273895232</c:v>
                </c:pt>
                <c:pt idx="161">
                  <c:v>99.519518280989047</c:v>
                </c:pt>
                <c:pt idx="162">
                  <c:v>99.552512733796661</c:v>
                </c:pt>
                <c:pt idx="163">
                  <c:v>99.616439486111432</c:v>
                </c:pt>
                <c:pt idx="164">
                  <c:v>99.680366238426203</c:v>
                </c:pt>
                <c:pt idx="165">
                  <c:v>99.752541603942888</c:v>
                </c:pt>
                <c:pt idx="166">
                  <c:v>99.828841276060515</c:v>
                </c:pt>
                <c:pt idx="167">
                  <c:v>99.915451714680529</c:v>
                </c:pt>
                <c:pt idx="168">
                  <c:v>99.950508320788629</c:v>
                </c:pt>
                <c:pt idx="169">
                  <c:v>100.00412430660101</c:v>
                </c:pt>
                <c:pt idx="170">
                  <c:v>100.09898335842293</c:v>
                </c:pt>
                <c:pt idx="171">
                  <c:v>100.09073474522103</c:v>
                </c:pt>
                <c:pt idx="172">
                  <c:v>100.06805105891578</c:v>
                </c:pt>
                <c:pt idx="173">
                  <c:v>100.03299445280769</c:v>
                </c:pt>
                <c:pt idx="174">
                  <c:v>100.04742952591103</c:v>
                </c:pt>
                <c:pt idx="175">
                  <c:v>99.884519415173386</c:v>
                </c:pt>
                <c:pt idx="176">
                  <c:v>99.729857917637659</c:v>
                </c:pt>
                <c:pt idx="177">
                  <c:v>99.486523828181447</c:v>
                </c:pt>
                <c:pt idx="178">
                  <c:v>99.451467222073347</c:v>
                </c:pt>
                <c:pt idx="179">
                  <c:v>99.325675870744291</c:v>
                </c:pt>
                <c:pt idx="180">
                  <c:v>99.325675870744291</c:v>
                </c:pt>
                <c:pt idx="181">
                  <c:v>99.44734291547239</c:v>
                </c:pt>
                <c:pt idx="182">
                  <c:v>99.542201967294289</c:v>
                </c:pt>
                <c:pt idx="183">
                  <c:v>99.659744705421446</c:v>
                </c:pt>
                <c:pt idx="184">
                  <c:v>99.696863464830017</c:v>
                </c:pt>
                <c:pt idx="185">
                  <c:v>99.861835728868115</c:v>
                </c:pt>
                <c:pt idx="186">
                  <c:v>100.02680799290623</c:v>
                </c:pt>
                <c:pt idx="187">
                  <c:v>100.11960489142767</c:v>
                </c:pt>
                <c:pt idx="188">
                  <c:v>100.21858824985054</c:v>
                </c:pt>
                <c:pt idx="189">
                  <c:v>100.21858824985054</c:v>
                </c:pt>
                <c:pt idx="190">
                  <c:v>100.14228857773291</c:v>
                </c:pt>
                <c:pt idx="191">
                  <c:v>100.07217536551671</c:v>
                </c:pt>
                <c:pt idx="192">
                  <c:v>99.925762481182886</c:v>
                </c:pt>
                <c:pt idx="193">
                  <c:v>99.787598210050959</c:v>
                </c:pt>
                <c:pt idx="194">
                  <c:v>99.70098777143096</c:v>
                </c:pt>
                <c:pt idx="195">
                  <c:v>99.766976677046202</c:v>
                </c:pt>
                <c:pt idx="196">
                  <c:v>99.835027735961916</c:v>
                </c:pt>
                <c:pt idx="197">
                  <c:v>99.880395108572415</c:v>
                </c:pt>
                <c:pt idx="198">
                  <c:v>99.946384014187643</c:v>
                </c:pt>
                <c:pt idx="199">
                  <c:v>100.047429525911</c:v>
                </c:pt>
                <c:pt idx="200">
                  <c:v>100.20827748334814</c:v>
                </c:pt>
                <c:pt idx="201">
                  <c:v>100.17940733714147</c:v>
                </c:pt>
                <c:pt idx="202">
                  <c:v>100.21446394324956</c:v>
                </c:pt>
                <c:pt idx="203">
                  <c:v>100.2185882498505</c:v>
                </c:pt>
                <c:pt idx="204">
                  <c:v>100.2701420823624</c:v>
                </c:pt>
                <c:pt idx="205">
                  <c:v>100.33406883467715</c:v>
                </c:pt>
                <c:pt idx="206">
                  <c:v>100.39593343369145</c:v>
                </c:pt>
                <c:pt idx="207">
                  <c:v>100.45986018600622</c:v>
                </c:pt>
                <c:pt idx="208">
                  <c:v>100.53409770482337</c:v>
                </c:pt>
                <c:pt idx="209">
                  <c:v>100.60833522364052</c:v>
                </c:pt>
                <c:pt idx="210">
                  <c:v>100.56296785103005</c:v>
                </c:pt>
                <c:pt idx="211">
                  <c:v>100.59596230383767</c:v>
                </c:pt>
                <c:pt idx="212">
                  <c:v>100.62277029674385</c:v>
                </c:pt>
                <c:pt idx="213">
                  <c:v>100.75062380137339</c:v>
                </c:pt>
                <c:pt idx="214">
                  <c:v>100.77330748767864</c:v>
                </c:pt>
                <c:pt idx="215">
                  <c:v>100.62483245004434</c:v>
                </c:pt>
                <c:pt idx="216">
                  <c:v>100.48254387231147</c:v>
                </c:pt>
                <c:pt idx="217">
                  <c:v>100.16291011073764</c:v>
                </c:pt>
                <c:pt idx="218">
                  <c:v>100.03299445280761</c:v>
                </c:pt>
                <c:pt idx="219">
                  <c:v>99.952570474089043</c:v>
                </c:pt>
                <c:pt idx="220">
                  <c:v>99.86802218876953</c:v>
                </c:pt>
                <c:pt idx="221">
                  <c:v>99.861835728868087</c:v>
                </c:pt>
                <c:pt idx="222">
                  <c:v>99.905140948178101</c:v>
                </c:pt>
                <c:pt idx="223">
                  <c:v>99.950508320788558</c:v>
                </c:pt>
                <c:pt idx="224">
                  <c:v>100.03093229950714</c:v>
                </c:pt>
                <c:pt idx="225">
                  <c:v>100.02474583960571</c:v>
                </c:pt>
                <c:pt idx="226">
                  <c:v>100.03299445280763</c:v>
                </c:pt>
                <c:pt idx="227">
                  <c:v>100.06186459901431</c:v>
                </c:pt>
                <c:pt idx="228">
                  <c:v>100.02680799290621</c:v>
                </c:pt>
                <c:pt idx="229">
                  <c:v>100.05567813911289</c:v>
                </c:pt>
                <c:pt idx="230">
                  <c:v>100.03918091270907</c:v>
                </c:pt>
                <c:pt idx="231">
                  <c:v>100.06805105891574</c:v>
                </c:pt>
                <c:pt idx="232">
                  <c:v>100.01237291980289</c:v>
                </c:pt>
                <c:pt idx="233">
                  <c:v>100.04124306600956</c:v>
                </c:pt>
                <c:pt idx="234">
                  <c:v>100.0721753655167</c:v>
                </c:pt>
                <c:pt idx="235">
                  <c:v>100.03918091270909</c:v>
                </c:pt>
                <c:pt idx="236">
                  <c:v>100.06186459901433</c:v>
                </c:pt>
                <c:pt idx="237">
                  <c:v>99.987627080197171</c:v>
                </c:pt>
                <c:pt idx="238">
                  <c:v>99.952570474089072</c:v>
                </c:pt>
                <c:pt idx="239">
                  <c:v>99.956694780690029</c:v>
                </c:pt>
                <c:pt idx="240">
                  <c:v>99.921638174581929</c:v>
                </c:pt>
                <c:pt idx="241">
                  <c:v>99.917513867980958</c:v>
                </c:pt>
                <c:pt idx="242">
                  <c:v>99.872146495370487</c:v>
                </c:pt>
                <c:pt idx="243">
                  <c:v>99.812344049656659</c:v>
                </c:pt>
                <c:pt idx="244">
                  <c:v>99.808219743055716</c:v>
                </c:pt>
                <c:pt idx="245">
                  <c:v>99.769038830346673</c:v>
                </c:pt>
                <c:pt idx="246">
                  <c:v>99.758728063844288</c:v>
                </c:pt>
                <c:pt idx="247">
                  <c:v>99.756665910543802</c:v>
                </c:pt>
                <c:pt idx="248">
                  <c:v>99.884519415173344</c:v>
                </c:pt>
                <c:pt idx="249">
                  <c:v>99.971129853793343</c:v>
                </c:pt>
                <c:pt idx="250">
                  <c:v>100.12166704472811</c:v>
                </c:pt>
                <c:pt idx="251">
                  <c:v>100.21652609655003</c:v>
                </c:pt>
                <c:pt idx="252">
                  <c:v>100.30519868847051</c:v>
                </c:pt>
                <c:pt idx="253">
                  <c:v>100.35056606108098</c:v>
                </c:pt>
                <c:pt idx="254">
                  <c:v>100.3402552945786</c:v>
                </c:pt>
                <c:pt idx="255">
                  <c:v>100.18146949044191</c:v>
                </c:pt>
                <c:pt idx="256">
                  <c:v>100.10104551172334</c:v>
                </c:pt>
                <c:pt idx="257">
                  <c:v>100.03711875940857</c:v>
                </c:pt>
                <c:pt idx="258">
                  <c:v>100.04949167921144</c:v>
                </c:pt>
                <c:pt idx="259">
                  <c:v>100.05155383251191</c:v>
                </c:pt>
                <c:pt idx="260">
                  <c:v>100.17528303054048</c:v>
                </c:pt>
                <c:pt idx="261">
                  <c:v>100.16909657063906</c:v>
                </c:pt>
                <c:pt idx="262">
                  <c:v>100.3320066813767</c:v>
                </c:pt>
                <c:pt idx="263">
                  <c:v>100.31344730167241</c:v>
                </c:pt>
                <c:pt idx="264">
                  <c:v>100.42274142659765</c:v>
                </c:pt>
                <c:pt idx="265">
                  <c:v>100.44130080630192</c:v>
                </c:pt>
                <c:pt idx="266">
                  <c:v>100.51760047841954</c:v>
                </c:pt>
                <c:pt idx="267">
                  <c:v>100.56090569772952</c:v>
                </c:pt>
                <c:pt idx="268">
                  <c:v>100.68669704905859</c:v>
                </c:pt>
                <c:pt idx="269">
                  <c:v>100.77536964097909</c:v>
                </c:pt>
                <c:pt idx="270">
                  <c:v>100.87847730600291</c:v>
                </c:pt>
                <c:pt idx="271">
                  <c:v>101.01457942383435</c:v>
                </c:pt>
                <c:pt idx="272">
                  <c:v>100.96714989792339</c:v>
                </c:pt>
                <c:pt idx="273">
                  <c:v>100.80836409378672</c:v>
                </c:pt>
                <c:pt idx="274">
                  <c:v>100.63101890994575</c:v>
                </c:pt>
                <c:pt idx="275">
                  <c:v>100.53203555152288</c:v>
                </c:pt>
                <c:pt idx="276">
                  <c:v>100.51553832511908</c:v>
                </c:pt>
                <c:pt idx="277">
                  <c:v>100.52997339822241</c:v>
                </c:pt>
                <c:pt idx="278">
                  <c:v>100.54853277792668</c:v>
                </c:pt>
                <c:pt idx="279">
                  <c:v>100.64751613634955</c:v>
                </c:pt>
                <c:pt idx="280">
                  <c:v>100.77949394758004</c:v>
                </c:pt>
                <c:pt idx="281">
                  <c:v>100.80423978718575</c:v>
                </c:pt>
                <c:pt idx="282">
                  <c:v>100.82486132019052</c:v>
                </c:pt>
                <c:pt idx="283">
                  <c:v>100.91765821871195</c:v>
                </c:pt>
                <c:pt idx="284">
                  <c:v>100.98777143092815</c:v>
                </c:pt>
                <c:pt idx="285">
                  <c:v>101.08263048275006</c:v>
                </c:pt>
                <c:pt idx="286">
                  <c:v>101.18573814777388</c:v>
                </c:pt>
                <c:pt idx="287">
                  <c:v>101.16924092137006</c:v>
                </c:pt>
                <c:pt idx="288">
                  <c:v>100.99602004413005</c:v>
                </c:pt>
                <c:pt idx="289">
                  <c:v>100.85579361969766</c:v>
                </c:pt>
                <c:pt idx="290">
                  <c:v>100.75062380137338</c:v>
                </c:pt>
                <c:pt idx="291">
                  <c:v>100.65164044295051</c:v>
                </c:pt>
                <c:pt idx="292">
                  <c:v>100.49904109871527</c:v>
                </c:pt>
                <c:pt idx="293">
                  <c:v>100.37531190068668</c:v>
                </c:pt>
                <c:pt idx="294">
                  <c:v>100.35056606108097</c:v>
                </c:pt>
                <c:pt idx="295">
                  <c:v>100.32788237477573</c:v>
                </c:pt>
                <c:pt idx="296">
                  <c:v>100.27632854226381</c:v>
                </c:pt>
                <c:pt idx="297">
                  <c:v>100.20209102344667</c:v>
                </c:pt>
                <c:pt idx="298">
                  <c:v>100.24127193615573</c:v>
                </c:pt>
                <c:pt idx="299">
                  <c:v>100.19178025694428</c:v>
                </c:pt>
                <c:pt idx="300">
                  <c:v>100.21652609655</c:v>
                </c:pt>
                <c:pt idx="301">
                  <c:v>100.25158270265808</c:v>
                </c:pt>
                <c:pt idx="302">
                  <c:v>100.28457715546571</c:v>
                </c:pt>
                <c:pt idx="303">
                  <c:v>100.28457715546571</c:v>
                </c:pt>
                <c:pt idx="304">
                  <c:v>100.3113851483719</c:v>
                </c:pt>
                <c:pt idx="305">
                  <c:v>100.30726084177094</c:v>
                </c:pt>
                <c:pt idx="306">
                  <c:v>100.31757160827331</c:v>
                </c:pt>
                <c:pt idx="307">
                  <c:v>100.39593343369141</c:v>
                </c:pt>
                <c:pt idx="308">
                  <c:v>100.48666817891237</c:v>
                </c:pt>
                <c:pt idx="309">
                  <c:v>100.51347617181855</c:v>
                </c:pt>
                <c:pt idx="310">
                  <c:v>100.4928546388138</c:v>
                </c:pt>
                <c:pt idx="311">
                  <c:v>100.33200668137664</c:v>
                </c:pt>
                <c:pt idx="312">
                  <c:v>100.18559379704281</c:v>
                </c:pt>
                <c:pt idx="313">
                  <c:v>100.01649722640376</c:v>
                </c:pt>
                <c:pt idx="314">
                  <c:v>100.01855937970423</c:v>
                </c:pt>
                <c:pt idx="315">
                  <c:v>99.962881240591372</c:v>
                </c:pt>
                <c:pt idx="316">
                  <c:v>99.876270801971359</c:v>
                </c:pt>
                <c:pt idx="317">
                  <c:v>99.68449054502706</c:v>
                </c:pt>
                <c:pt idx="318">
                  <c:v>99.571072113500861</c:v>
                </c:pt>
                <c:pt idx="319">
                  <c:v>99.459715835275134</c:v>
                </c:pt>
                <c:pt idx="320">
                  <c:v>99.39166477635942</c:v>
                </c:pt>
                <c:pt idx="321">
                  <c:v>99.305054337739406</c:v>
                </c:pt>
                <c:pt idx="322">
                  <c:v>99.307116491039878</c:v>
                </c:pt>
                <c:pt idx="323">
                  <c:v>99.25762481182845</c:v>
                </c:pt>
                <c:pt idx="324">
                  <c:v>99.243189738725121</c:v>
                </c:pt>
                <c:pt idx="325">
                  <c:v>99.08234178128798</c:v>
                </c:pt>
                <c:pt idx="326">
                  <c:v>99.078217474687023</c:v>
                </c:pt>
                <c:pt idx="327">
                  <c:v>99.138019920400836</c:v>
                </c:pt>
                <c:pt idx="328">
                  <c:v>99.249376198626578</c:v>
                </c:pt>
                <c:pt idx="329">
                  <c:v>99.321551564143249</c:v>
                </c:pt>
                <c:pt idx="330">
                  <c:v>99.387540469758505</c:v>
                </c:pt>
                <c:pt idx="331">
                  <c:v>99.430845689068519</c:v>
                </c:pt>
                <c:pt idx="332">
                  <c:v>99.257624811828506</c:v>
                </c:pt>
                <c:pt idx="333">
                  <c:v>99.15864145340565</c:v>
                </c:pt>
                <c:pt idx="334">
                  <c:v>99.090590394489922</c:v>
                </c:pt>
                <c:pt idx="335">
                  <c:v>99.012228569071823</c:v>
                </c:pt>
                <c:pt idx="336">
                  <c:v>98.925618130451824</c:v>
                </c:pt>
                <c:pt idx="337">
                  <c:v>98.989544882766594</c:v>
                </c:pt>
                <c:pt idx="338">
                  <c:v>98.900872290846124</c:v>
                </c:pt>
                <c:pt idx="339">
                  <c:v>98.909120904048024</c:v>
                </c:pt>
                <c:pt idx="340">
                  <c:v>98.979234116264223</c:v>
                </c:pt>
                <c:pt idx="341">
                  <c:v>98.989544882766594</c:v>
                </c:pt>
                <c:pt idx="342">
                  <c:v>99.020477182273751</c:v>
                </c:pt>
                <c:pt idx="343">
                  <c:v>99.051409481780894</c:v>
                </c:pt>
                <c:pt idx="344">
                  <c:v>99.039036561978037</c:v>
                </c:pt>
                <c:pt idx="345">
                  <c:v>99.003979955869951</c:v>
                </c:pt>
                <c:pt idx="346">
                  <c:v>99.024601488874708</c:v>
                </c:pt>
                <c:pt idx="347">
                  <c:v>98.987482729466137</c:v>
                </c:pt>
                <c:pt idx="348">
                  <c:v>98.940053203555181</c:v>
                </c:pt>
                <c:pt idx="349">
                  <c:v>98.894685830944695</c:v>
                </c:pt>
                <c:pt idx="350">
                  <c:v>98.902934444146609</c:v>
                </c:pt>
                <c:pt idx="351">
                  <c:v>98.884375064442324</c:v>
                </c:pt>
                <c:pt idx="352">
                  <c:v>98.85138061163471</c:v>
                </c:pt>
                <c:pt idx="353">
                  <c:v>98.78126739941851</c:v>
                </c:pt>
                <c:pt idx="354">
                  <c:v>98.682284040995654</c:v>
                </c:pt>
                <c:pt idx="355">
                  <c:v>98.653413894788983</c:v>
                </c:pt>
                <c:pt idx="356">
                  <c:v>98.535871156661827</c:v>
                </c:pt>
                <c:pt idx="357">
                  <c:v>98.525560390159441</c:v>
                </c:pt>
                <c:pt idx="358">
                  <c:v>98.579176375971841</c:v>
                </c:pt>
                <c:pt idx="359">
                  <c:v>98.474006557647527</c:v>
                </c:pt>
                <c:pt idx="360">
                  <c:v>98.474006557647527</c:v>
                </c:pt>
                <c:pt idx="361">
                  <c:v>98.53174685006087</c:v>
                </c:pt>
                <c:pt idx="362">
                  <c:v>98.379147505825614</c:v>
                </c:pt>
                <c:pt idx="363">
                  <c:v>98.432763491637985</c:v>
                </c:pt>
                <c:pt idx="364">
                  <c:v>98.430701338337514</c:v>
                </c:pt>
                <c:pt idx="365">
                  <c:v>98.387396119027514</c:v>
                </c:pt>
                <c:pt idx="366">
                  <c:v>98.360588126121314</c:v>
                </c:pt>
                <c:pt idx="367">
                  <c:v>98.385333965727028</c:v>
                </c:pt>
                <c:pt idx="368">
                  <c:v>98.368836739323214</c:v>
                </c:pt>
                <c:pt idx="369">
                  <c:v>98.366774586022743</c:v>
                </c:pt>
                <c:pt idx="370">
                  <c:v>98.3440908997175</c:v>
                </c:pt>
                <c:pt idx="371">
                  <c:v>98.364712432722257</c:v>
                </c:pt>
                <c:pt idx="372">
                  <c:v>98.280164147402715</c:v>
                </c:pt>
                <c:pt idx="373">
                  <c:v>98.352339512919386</c:v>
                </c:pt>
                <c:pt idx="374">
                  <c:v>98.298723527107001</c:v>
                </c:pt>
                <c:pt idx="375">
                  <c:v>98.298723527107001</c:v>
                </c:pt>
                <c:pt idx="376">
                  <c:v>98.311096446909858</c:v>
                </c:pt>
                <c:pt idx="377">
                  <c:v>98.251294001196044</c:v>
                </c:pt>
                <c:pt idx="378">
                  <c:v>98.243045387994144</c:v>
                </c:pt>
                <c:pt idx="379">
                  <c:v>98.257480461097487</c:v>
                </c:pt>
                <c:pt idx="380">
                  <c:v>98.195615862083201</c:v>
                </c:pt>
                <c:pt idx="381">
                  <c:v>98.185305095580816</c:v>
                </c:pt>
                <c:pt idx="382">
                  <c:v>98.154372796073673</c:v>
                </c:pt>
                <c:pt idx="383">
                  <c:v>98.146124182871773</c:v>
                </c:pt>
                <c:pt idx="384">
                  <c:v>98.152310642773216</c:v>
                </c:pt>
                <c:pt idx="385">
                  <c:v>98.183242942280359</c:v>
                </c:pt>
                <c:pt idx="386">
                  <c:v>98.121378343266059</c:v>
                </c:pt>
                <c:pt idx="387">
                  <c:v>98.119316189965588</c:v>
                </c:pt>
                <c:pt idx="388">
                  <c:v>98.139937722970359</c:v>
                </c:pt>
                <c:pt idx="389">
                  <c:v>98.137875569669873</c:v>
                </c:pt>
                <c:pt idx="390">
                  <c:v>98.189429402181787</c:v>
                </c:pt>
                <c:pt idx="391">
                  <c:v>98.197678015383687</c:v>
                </c:pt>
                <c:pt idx="392">
                  <c:v>98.255418307797029</c:v>
                </c:pt>
                <c:pt idx="393">
                  <c:v>98.201802321984644</c:v>
                </c:pt>
                <c:pt idx="394">
                  <c:v>98.185305095580844</c:v>
                </c:pt>
                <c:pt idx="395">
                  <c:v>98.137875569669887</c:v>
                </c:pt>
                <c:pt idx="396">
                  <c:v>98.146124182871787</c:v>
                </c:pt>
                <c:pt idx="397">
                  <c:v>98.104881116862259</c:v>
                </c:pt>
                <c:pt idx="398">
                  <c:v>98.131689109768445</c:v>
                </c:pt>
                <c:pt idx="399">
                  <c:v>98.14199987627083</c:v>
                </c:pt>
                <c:pt idx="400">
                  <c:v>98.139937722970359</c:v>
                </c:pt>
                <c:pt idx="401">
                  <c:v>98.137875569669873</c:v>
                </c:pt>
                <c:pt idx="402">
                  <c:v>98.146124182871773</c:v>
                </c:pt>
                <c:pt idx="403">
                  <c:v>98.139937722970359</c:v>
                </c:pt>
                <c:pt idx="404">
                  <c:v>98.156434949374159</c:v>
                </c:pt>
                <c:pt idx="405">
                  <c:v>98.201802321984644</c:v>
                </c:pt>
                <c:pt idx="406">
                  <c:v>98.144062029571316</c:v>
                </c:pt>
                <c:pt idx="407">
                  <c:v>98.129626956467973</c:v>
                </c:pt>
                <c:pt idx="408">
                  <c:v>98.150248489472744</c:v>
                </c:pt>
                <c:pt idx="409">
                  <c:v>98.17911863567943</c:v>
                </c:pt>
                <c:pt idx="410">
                  <c:v>98.193553708782773</c:v>
                </c:pt>
                <c:pt idx="411">
                  <c:v>98.226548161590401</c:v>
                </c:pt>
                <c:pt idx="412">
                  <c:v>98.2616047676985</c:v>
                </c:pt>
                <c:pt idx="413">
                  <c:v>98.228610314890872</c:v>
                </c:pt>
                <c:pt idx="414">
                  <c:v>98.271915534200886</c:v>
                </c:pt>
                <c:pt idx="415">
                  <c:v>98.292537067205629</c:v>
                </c:pt>
                <c:pt idx="416">
                  <c:v>98.230672468191344</c:v>
                </c:pt>
                <c:pt idx="417">
                  <c:v>98.228610314890858</c:v>
                </c:pt>
                <c:pt idx="418">
                  <c:v>98.203864475285158</c:v>
                </c:pt>
                <c:pt idx="419">
                  <c:v>98.195615862083244</c:v>
                </c:pt>
                <c:pt idx="420">
                  <c:v>98.191491555482301</c:v>
                </c:pt>
                <c:pt idx="421">
                  <c:v>98.179118635679444</c:v>
                </c:pt>
                <c:pt idx="422">
                  <c:v>98.203864475285144</c:v>
                </c:pt>
                <c:pt idx="423">
                  <c:v>98.212113088487044</c:v>
                </c:pt>
                <c:pt idx="424">
                  <c:v>98.185305095580858</c:v>
                </c:pt>
                <c:pt idx="425">
                  <c:v>98.212113088487058</c:v>
                </c:pt>
                <c:pt idx="426">
                  <c:v>98.179118635679444</c:v>
                </c:pt>
                <c:pt idx="427">
                  <c:v>98.172932175778016</c:v>
                </c:pt>
                <c:pt idx="428">
                  <c:v>98.16262140927563</c:v>
                </c:pt>
                <c:pt idx="429">
                  <c:v>98.158497102674673</c:v>
                </c:pt>
                <c:pt idx="430">
                  <c:v>98.152310642773259</c:v>
                </c:pt>
                <c:pt idx="431">
                  <c:v>98.160559255975144</c:v>
                </c:pt>
                <c:pt idx="432">
                  <c:v>98.191491555482301</c:v>
                </c:pt>
                <c:pt idx="433">
                  <c:v>98.207988781886115</c:v>
                </c:pt>
                <c:pt idx="434">
                  <c:v>98.226548161590401</c:v>
                </c:pt>
                <c:pt idx="435">
                  <c:v>98.265729074299443</c:v>
                </c:pt>
                <c:pt idx="436">
                  <c:v>98.282226300703272</c:v>
                </c:pt>
                <c:pt idx="437">
                  <c:v>98.298723527107086</c:v>
                </c:pt>
                <c:pt idx="438">
                  <c:v>98.302847833708043</c:v>
                </c:pt>
                <c:pt idx="439">
                  <c:v>98.309034293609471</c:v>
                </c:pt>
                <c:pt idx="440">
                  <c:v>98.249231847895658</c:v>
                </c:pt>
                <c:pt idx="441">
                  <c:v>98.276039840801857</c:v>
                </c:pt>
                <c:pt idx="442">
                  <c:v>98.315220753510914</c:v>
                </c:pt>
                <c:pt idx="443">
                  <c:v>98.2471696945952</c:v>
                </c:pt>
                <c:pt idx="444">
                  <c:v>98.228610314890915</c:v>
                </c:pt>
                <c:pt idx="445">
                  <c:v>98.224486008289972</c:v>
                </c:pt>
                <c:pt idx="446">
                  <c:v>98.150248489472816</c:v>
                </c:pt>
                <c:pt idx="447">
                  <c:v>98.156434949374244</c:v>
                </c:pt>
                <c:pt idx="448">
                  <c:v>98.129626956468059</c:v>
                </c:pt>
                <c:pt idx="449">
                  <c:v>98.13168910976853</c:v>
                </c:pt>
                <c:pt idx="450">
                  <c:v>98.164683562576144</c:v>
                </c:pt>
                <c:pt idx="451">
                  <c:v>98.189429402181858</c:v>
                </c:pt>
                <c:pt idx="452">
                  <c:v>98.199740168684258</c:v>
                </c:pt>
                <c:pt idx="453">
                  <c:v>98.179118635679501</c:v>
                </c:pt>
                <c:pt idx="454">
                  <c:v>98.253356154496643</c:v>
                </c:pt>
                <c:pt idx="455">
                  <c:v>98.280164147402829</c:v>
                </c:pt>
                <c:pt idx="456">
                  <c:v>98.276039840801886</c:v>
                </c:pt>
                <c:pt idx="457">
                  <c:v>98.331717979914743</c:v>
                </c:pt>
                <c:pt idx="458">
                  <c:v>98.434825644938556</c:v>
                </c:pt>
                <c:pt idx="459">
                  <c:v>98.39976903883047</c:v>
                </c:pt>
                <c:pt idx="460">
                  <c:v>98.41007980533287</c:v>
                </c:pt>
                <c:pt idx="461">
                  <c:v>98.447198564741427</c:v>
                </c:pt>
                <c:pt idx="462">
                  <c:v>98.459571484544284</c:v>
                </c:pt>
                <c:pt idx="463">
                  <c:v>98.469882251046656</c:v>
                </c:pt>
                <c:pt idx="464">
                  <c:v>98.482255170849527</c:v>
                </c:pt>
                <c:pt idx="465">
                  <c:v>98.428639185037142</c:v>
                </c:pt>
                <c:pt idx="466">
                  <c:v>98.360588126121428</c:v>
                </c:pt>
                <c:pt idx="467">
                  <c:v>98.360588126121428</c:v>
                </c:pt>
                <c:pt idx="468">
                  <c:v>98.300785680407614</c:v>
                </c:pt>
                <c:pt idx="469">
                  <c:v>98.354401666219999</c:v>
                </c:pt>
                <c:pt idx="470">
                  <c:v>98.282226300703329</c:v>
                </c:pt>
                <c:pt idx="471">
                  <c:v>98.3275936733138</c:v>
                </c:pt>
                <c:pt idx="472">
                  <c:v>98.372961045924285</c:v>
                </c:pt>
                <c:pt idx="473">
                  <c:v>98.41626626523427</c:v>
                </c:pt>
                <c:pt idx="474">
                  <c:v>98.546181923164283</c:v>
                </c:pt>
                <c:pt idx="475">
                  <c:v>98.581238529272383</c:v>
                </c:pt>
                <c:pt idx="476">
                  <c:v>98.575052069370955</c:v>
                </c:pt>
                <c:pt idx="477">
                  <c:v>98.535871156661898</c:v>
                </c:pt>
                <c:pt idx="478">
                  <c:v>98.558554842967126</c:v>
                </c:pt>
                <c:pt idx="479">
                  <c:v>98.577114222671398</c:v>
                </c:pt>
                <c:pt idx="480">
                  <c:v>98.564741302868555</c:v>
                </c:pt>
                <c:pt idx="481">
                  <c:v>98.575052069370926</c:v>
                </c:pt>
                <c:pt idx="482">
                  <c:v>98.575052069370926</c:v>
                </c:pt>
                <c:pt idx="483">
                  <c:v>98.511125317056155</c:v>
                </c:pt>
                <c:pt idx="484">
                  <c:v>98.469882251046641</c:v>
                </c:pt>
                <c:pt idx="485">
                  <c:v>98.453385024642827</c:v>
                </c:pt>
                <c:pt idx="486">
                  <c:v>98.455447177943313</c:v>
                </c:pt>
                <c:pt idx="487">
                  <c:v>98.476068710948084</c:v>
                </c:pt>
                <c:pt idx="488">
                  <c:v>98.548244076464741</c:v>
                </c:pt>
                <c:pt idx="489">
                  <c:v>98.643103128286668</c:v>
                </c:pt>
                <c:pt idx="490">
                  <c:v>98.63691666838524</c:v>
                </c:pt>
                <c:pt idx="491">
                  <c:v>98.808075392324781</c:v>
                </c:pt>
                <c:pt idx="492">
                  <c:v>98.849318458334309</c:v>
                </c:pt>
                <c:pt idx="493">
                  <c:v>98.832821231930495</c:v>
                </c:pt>
                <c:pt idx="494">
                  <c:v>98.880250757841452</c:v>
                </c:pt>
                <c:pt idx="495">
                  <c:v>98.92149382385098</c:v>
                </c:pt>
                <c:pt idx="496">
                  <c:v>98.933866743653837</c:v>
                </c:pt>
                <c:pt idx="497">
                  <c:v>98.90499659744718</c:v>
                </c:pt>
                <c:pt idx="498">
                  <c:v>98.830759078630024</c:v>
                </c:pt>
                <c:pt idx="499">
                  <c:v>98.851380611634795</c:v>
                </c:pt>
                <c:pt idx="500">
                  <c:v>98.857567071536209</c:v>
                </c:pt>
                <c:pt idx="501">
                  <c:v>98.907058750747652</c:v>
                </c:pt>
                <c:pt idx="502">
                  <c:v>98.933866743653837</c:v>
                </c:pt>
                <c:pt idx="503">
                  <c:v>98.902934444146695</c:v>
                </c:pt>
                <c:pt idx="504">
                  <c:v>98.847256305033824</c:v>
                </c:pt>
                <c:pt idx="505">
                  <c:v>98.845194151733352</c:v>
                </c:pt>
                <c:pt idx="506">
                  <c:v>98.756521559812867</c:v>
                </c:pt>
                <c:pt idx="507">
                  <c:v>98.721464953704782</c:v>
                </c:pt>
                <c:pt idx="508">
                  <c:v>98.750335099911439</c:v>
                </c:pt>
                <c:pt idx="509">
                  <c:v>98.690532654197625</c:v>
                </c:pt>
                <c:pt idx="510">
                  <c:v>98.713216340502868</c:v>
                </c:pt>
                <c:pt idx="511">
                  <c:v>98.694656960798582</c:v>
                </c:pt>
                <c:pt idx="512">
                  <c:v>98.727651413606196</c:v>
                </c:pt>
                <c:pt idx="513">
                  <c:v>98.746210793310482</c:v>
                </c:pt>
                <c:pt idx="514">
                  <c:v>98.735900026808096</c:v>
                </c:pt>
                <c:pt idx="515">
                  <c:v>98.719402800404282</c:v>
                </c:pt>
                <c:pt idx="516">
                  <c:v>98.746210793310468</c:v>
                </c:pt>
                <c:pt idx="517">
                  <c:v>98.667848967892368</c:v>
                </c:pt>
                <c:pt idx="518">
                  <c:v>98.773018786216667</c:v>
                </c:pt>
                <c:pt idx="519">
                  <c:v>98.78745385932001</c:v>
                </c:pt>
                <c:pt idx="520">
                  <c:v>98.836945538531438</c:v>
                </c:pt>
                <c:pt idx="521">
                  <c:v>98.799826779122867</c:v>
                </c:pt>
                <c:pt idx="522">
                  <c:v>98.78745385932001</c:v>
                </c:pt>
                <c:pt idx="523">
                  <c:v>98.78745385932001</c:v>
                </c:pt>
                <c:pt idx="524">
                  <c:v>98.766832326315239</c:v>
                </c:pt>
                <c:pt idx="525">
                  <c:v>98.700843420699996</c:v>
                </c:pt>
                <c:pt idx="526">
                  <c:v>98.647227434887611</c:v>
                </c:pt>
                <c:pt idx="527">
                  <c:v>98.643103128286668</c:v>
                </c:pt>
                <c:pt idx="528">
                  <c:v>98.657538201389997</c:v>
                </c:pt>
                <c:pt idx="529">
                  <c:v>98.638978821685697</c:v>
                </c:pt>
                <c:pt idx="530">
                  <c:v>98.65135174148854</c:v>
                </c:pt>
                <c:pt idx="531">
                  <c:v>98.671973274493297</c:v>
                </c:pt>
                <c:pt idx="532">
                  <c:v>98.69465696079854</c:v>
                </c:pt>
                <c:pt idx="533">
                  <c:v>98.735900026808054</c:v>
                </c:pt>
                <c:pt idx="534">
                  <c:v>98.750335099911396</c:v>
                </c:pt>
                <c:pt idx="535">
                  <c:v>98.801888932423296</c:v>
                </c:pt>
                <c:pt idx="536">
                  <c:v>98.900872290846181</c:v>
                </c:pt>
                <c:pt idx="537">
                  <c:v>98.946239663456666</c:v>
                </c:pt>
                <c:pt idx="538">
                  <c:v>99.082341781288108</c:v>
                </c:pt>
                <c:pt idx="539">
                  <c:v>99.41434846266479</c:v>
                </c:pt>
                <c:pt idx="540">
                  <c:v>99.60819087290956</c:v>
                </c:pt>
                <c:pt idx="541">
                  <c:v>99.876270801971486</c:v>
                </c:pt>
                <c:pt idx="542">
                  <c:v>100.60214876373918</c:v>
                </c:pt>
                <c:pt idx="543">
                  <c:v>101.00426865733208</c:v>
                </c:pt>
                <c:pt idx="544">
                  <c:v>101.2022353741778</c:v>
                </c:pt>
                <c:pt idx="545">
                  <c:v>101.15480584826685</c:v>
                </c:pt>
                <c:pt idx="546">
                  <c:v>101.50330975604736</c:v>
                </c:pt>
                <c:pt idx="547">
                  <c:v>101.78376260491214</c:v>
                </c:pt>
                <c:pt idx="548">
                  <c:v>102.07865052688025</c:v>
                </c:pt>
                <c:pt idx="549">
                  <c:v>102.16526096550027</c:v>
                </c:pt>
                <c:pt idx="550">
                  <c:v>102.26836863052408</c:v>
                </c:pt>
                <c:pt idx="551">
                  <c:v>102.53851071288648</c:v>
                </c:pt>
                <c:pt idx="552">
                  <c:v>102.78390695564316</c:v>
                </c:pt>
                <c:pt idx="553">
                  <c:v>103.27263728785604</c:v>
                </c:pt>
                <c:pt idx="554">
                  <c:v>104.02944754913086</c:v>
                </c:pt>
                <c:pt idx="555">
                  <c:v>104.13049306085419</c:v>
                </c:pt>
                <c:pt idx="556">
                  <c:v>104.03563400903229</c:v>
                </c:pt>
                <c:pt idx="557">
                  <c:v>103.72012455405942</c:v>
                </c:pt>
                <c:pt idx="558">
                  <c:v>103.42729878539178</c:v>
                </c:pt>
                <c:pt idx="559">
                  <c:v>102.97774936588795</c:v>
                </c:pt>
                <c:pt idx="560">
                  <c:v>102.40240859505504</c:v>
                </c:pt>
                <c:pt idx="561">
                  <c:v>101.68477924648927</c:v>
                </c:pt>
                <c:pt idx="562">
                  <c:v>101.2888458127978</c:v>
                </c:pt>
                <c:pt idx="563">
                  <c:v>100.3299445280763</c:v>
                </c:pt>
                <c:pt idx="564">
                  <c:v>100.12166704472818</c:v>
                </c:pt>
                <c:pt idx="565">
                  <c:v>100.24539624275677</c:v>
                </c:pt>
                <c:pt idx="566">
                  <c:v>99.925762481182929</c:v>
                </c:pt>
                <c:pt idx="567">
                  <c:v>99.799971129853873</c:v>
                </c:pt>
                <c:pt idx="568">
                  <c:v>99.503021054585275</c:v>
                </c:pt>
                <c:pt idx="569">
                  <c:v>99.162765760006678</c:v>
                </c:pt>
                <c:pt idx="570">
                  <c:v>98.94417751015618</c:v>
                </c:pt>
                <c:pt idx="571">
                  <c:v>98.915307363949509</c:v>
                </c:pt>
                <c:pt idx="572">
                  <c:v>98.896747984245209</c:v>
                </c:pt>
                <c:pt idx="573">
                  <c:v>98.907058750747595</c:v>
                </c:pt>
                <c:pt idx="574">
                  <c:v>98.884375064442352</c:v>
                </c:pt>
                <c:pt idx="575">
                  <c:v>98.83488338523091</c:v>
                </c:pt>
                <c:pt idx="576">
                  <c:v>98.983358422865209</c:v>
                </c:pt>
                <c:pt idx="577">
                  <c:v>99.121522693997122</c:v>
                </c:pt>
                <c:pt idx="578">
                  <c:v>99.389602623059048</c:v>
                </c:pt>
                <c:pt idx="579">
                  <c:v>99.63087455921476</c:v>
                </c:pt>
                <c:pt idx="580">
                  <c:v>99.830903429360973</c:v>
                </c:pt>
                <c:pt idx="581">
                  <c:v>100.22477470975196</c:v>
                </c:pt>
                <c:pt idx="582">
                  <c:v>100.45779803270578</c:v>
                </c:pt>
                <c:pt idx="583">
                  <c:v>100.56296785103008</c:v>
                </c:pt>
                <c:pt idx="584">
                  <c:v>100.81867486028914</c:v>
                </c:pt>
                <c:pt idx="585">
                  <c:v>100.61039737694102</c:v>
                </c:pt>
                <c:pt idx="586">
                  <c:v>100.19590456354528</c:v>
                </c:pt>
                <c:pt idx="587">
                  <c:v>99.942259707586686</c:v>
                </c:pt>
                <c:pt idx="588">
                  <c:v>99.731920070938102</c:v>
                </c:pt>
                <c:pt idx="589">
                  <c:v>99.32980017734522</c:v>
                </c:pt>
                <c:pt idx="590">
                  <c:v>99.393726929659977</c:v>
                </c:pt>
                <c:pt idx="591">
                  <c:v>99.44528076217189</c:v>
                </c:pt>
                <c:pt idx="592">
                  <c:v>99.602004413008103</c:v>
                </c:pt>
                <c:pt idx="593">
                  <c:v>99.771100983647173</c:v>
                </c:pt>
                <c:pt idx="594">
                  <c:v>99.789660363351459</c:v>
                </c:pt>
                <c:pt idx="595">
                  <c:v>99.60612871960906</c:v>
                </c:pt>
                <c:pt idx="596">
                  <c:v>99.496834594683818</c:v>
                </c:pt>
                <c:pt idx="597">
                  <c:v>99.474150908378576</c:v>
                </c:pt>
                <c:pt idx="598">
                  <c:v>99.418472769265719</c:v>
                </c:pt>
                <c:pt idx="599">
                  <c:v>99.342173097148091</c:v>
                </c:pt>
                <c:pt idx="600">
                  <c:v>99.276184191532849</c:v>
                </c:pt>
                <c:pt idx="601">
                  <c:v>99.237003278823806</c:v>
                </c:pt>
                <c:pt idx="602">
                  <c:v>99.195760212814278</c:v>
                </c:pt>
                <c:pt idx="603">
                  <c:v>99.31536510424192</c:v>
                </c:pt>
                <c:pt idx="604">
                  <c:v>99.352483863650505</c:v>
                </c:pt>
                <c:pt idx="605">
                  <c:v>99.274122038232406</c:v>
                </c:pt>
                <c:pt idx="606">
                  <c:v>99.245251892025721</c:v>
                </c:pt>
                <c:pt idx="607">
                  <c:v>99.051409481780937</c:v>
                </c:pt>
                <c:pt idx="608">
                  <c:v>98.968923349761894</c:v>
                </c:pt>
                <c:pt idx="609">
                  <c:v>98.915307363949509</c:v>
                </c:pt>
                <c:pt idx="610">
                  <c:v>98.77508093951711</c:v>
                </c:pt>
                <c:pt idx="611">
                  <c:v>98.865815684738067</c:v>
                </c:pt>
                <c:pt idx="612">
                  <c:v>98.999855649269037</c:v>
                </c:pt>
                <c:pt idx="613">
                  <c:v>99.251438351927163</c:v>
                </c:pt>
                <c:pt idx="614">
                  <c:v>99.383416163157634</c:v>
                </c:pt>
                <c:pt idx="615">
                  <c:v>99.486523828181447</c:v>
                </c:pt>
                <c:pt idx="616">
                  <c:v>99.470026601777633</c:v>
                </c:pt>
                <c:pt idx="617">
                  <c:v>99.503021054585261</c:v>
                </c:pt>
                <c:pt idx="618">
                  <c:v>99.676241931825288</c:v>
                </c:pt>
                <c:pt idx="619">
                  <c:v>99.775225290248159</c:v>
                </c:pt>
                <c:pt idx="620">
                  <c:v>99.880395108572472</c:v>
                </c:pt>
                <c:pt idx="621">
                  <c:v>100.03918091270914</c:v>
                </c:pt>
                <c:pt idx="622">
                  <c:v>100.16703441733868</c:v>
                </c:pt>
                <c:pt idx="623">
                  <c:v>100.34437960117965</c:v>
                </c:pt>
                <c:pt idx="624">
                  <c:v>100.37118759408585</c:v>
                </c:pt>
                <c:pt idx="625">
                  <c:v>100.3320066813768</c:v>
                </c:pt>
                <c:pt idx="626">
                  <c:v>100.14228857773297</c:v>
                </c:pt>
                <c:pt idx="627">
                  <c:v>99.911327408079615</c:v>
                </c:pt>
                <c:pt idx="628">
                  <c:v>99.733982224238645</c:v>
                </c:pt>
                <c:pt idx="629">
                  <c:v>99.523642587590061</c:v>
                </c:pt>
                <c:pt idx="630">
                  <c:v>99.562823500299118</c:v>
                </c:pt>
                <c:pt idx="631">
                  <c:v>99.746355144041502</c:v>
                </c:pt>
                <c:pt idx="632">
                  <c:v>99.841214195863415</c:v>
                </c:pt>
                <c:pt idx="633">
                  <c:v>100.05361598581247</c:v>
                </c:pt>
                <c:pt idx="634">
                  <c:v>100.07423751881724</c:v>
                </c:pt>
                <c:pt idx="635">
                  <c:v>100.008248613202</c:v>
                </c:pt>
                <c:pt idx="636">
                  <c:v>99.940197554286271</c:v>
                </c:pt>
                <c:pt idx="637">
                  <c:v>99.8948301816758</c:v>
                </c:pt>
                <c:pt idx="638">
                  <c:v>100.04742952591104</c:v>
                </c:pt>
                <c:pt idx="639">
                  <c:v>100.08248613201914</c:v>
                </c:pt>
                <c:pt idx="640">
                  <c:v>100.18559379704296</c:v>
                </c:pt>
                <c:pt idx="641">
                  <c:v>100.15053719093487</c:v>
                </c:pt>
                <c:pt idx="642">
                  <c:v>100.1216670447282</c:v>
                </c:pt>
                <c:pt idx="643">
                  <c:v>100.051553832512</c:v>
                </c:pt>
                <c:pt idx="644">
                  <c:v>100.01443507310343</c:v>
                </c:pt>
                <c:pt idx="645">
                  <c:v>100.0618645990144</c:v>
                </c:pt>
                <c:pt idx="646">
                  <c:v>100.08042397871867</c:v>
                </c:pt>
                <c:pt idx="647">
                  <c:v>100.01443507310343</c:v>
                </c:pt>
                <c:pt idx="648">
                  <c:v>100.04949167921154</c:v>
                </c:pt>
                <c:pt idx="649">
                  <c:v>99.979378466995342</c:v>
                </c:pt>
                <c:pt idx="650">
                  <c:v>99.942259707586771</c:v>
                </c:pt>
                <c:pt idx="651">
                  <c:v>99.851524962365815</c:v>
                </c:pt>
                <c:pt idx="652">
                  <c:v>99.870084342070115</c:v>
                </c:pt>
                <c:pt idx="653">
                  <c:v>99.956694780690128</c:v>
                </c:pt>
                <c:pt idx="654">
                  <c:v>100.02474583960586</c:v>
                </c:pt>
                <c:pt idx="655">
                  <c:v>100.06598890561537</c:v>
                </c:pt>
                <c:pt idx="656">
                  <c:v>100.16084795743728</c:v>
                </c:pt>
                <c:pt idx="657">
                  <c:v>100.46192233930684</c:v>
                </c:pt>
                <c:pt idx="658">
                  <c:v>100.43305219310015</c:v>
                </c:pt>
                <c:pt idx="659">
                  <c:v>100.47635741241017</c:v>
                </c:pt>
                <c:pt idx="660">
                  <c:v>100.46810879920825</c:v>
                </c:pt>
                <c:pt idx="661">
                  <c:v>100.39799558699205</c:v>
                </c:pt>
                <c:pt idx="662">
                  <c:v>100.48666817891255</c:v>
                </c:pt>
                <c:pt idx="663">
                  <c:v>100.52584909162161</c:v>
                </c:pt>
                <c:pt idx="664">
                  <c:v>100.63308106324638</c:v>
                </c:pt>
                <c:pt idx="665">
                  <c:v>100.65782690285211</c:v>
                </c:pt>
                <c:pt idx="666">
                  <c:v>100.75062380137355</c:v>
                </c:pt>
                <c:pt idx="667">
                  <c:v>100.80011548058499</c:v>
                </c:pt>
                <c:pt idx="668">
                  <c:v>100.70113212216212</c:v>
                </c:pt>
                <c:pt idx="669">
                  <c:v>100.56503000433069</c:v>
                </c:pt>
                <c:pt idx="670">
                  <c:v>100.29695007526877</c:v>
                </c:pt>
                <c:pt idx="671">
                  <c:v>100.07836182541827</c:v>
                </c:pt>
                <c:pt idx="672">
                  <c:v>100.00000000000017</c:v>
                </c:pt>
                <c:pt idx="673">
                  <c:v>99.890705875074914</c:v>
                </c:pt>
                <c:pt idx="674">
                  <c:v>100.0680510589159</c:v>
                </c:pt>
                <c:pt idx="675">
                  <c:v>100.07423751881733</c:v>
                </c:pt>
                <c:pt idx="676">
                  <c:v>100.10104551172351</c:v>
                </c:pt>
                <c:pt idx="677">
                  <c:v>100.08042397871874</c:v>
                </c:pt>
                <c:pt idx="678">
                  <c:v>100.07011321221636</c:v>
                </c:pt>
                <c:pt idx="679">
                  <c:v>100.15053719093494</c:v>
                </c:pt>
                <c:pt idx="680">
                  <c:v>100.55471923782831</c:v>
                </c:pt>
                <c:pt idx="681">
                  <c:v>100.71762934856595</c:v>
                </c:pt>
                <c:pt idx="682">
                  <c:v>100.75268595467404</c:v>
                </c:pt>
                <c:pt idx="683">
                  <c:v>100.75681026127499</c:v>
                </c:pt>
                <c:pt idx="684">
                  <c:v>100.75474810797451</c:v>
                </c:pt>
                <c:pt idx="685">
                  <c:v>101.07438186954835</c:v>
                </c:pt>
                <c:pt idx="686">
                  <c:v>101.08056832944979</c:v>
                </c:pt>
                <c:pt idx="687">
                  <c:v>101.28265935289647</c:v>
                </c:pt>
                <c:pt idx="688">
                  <c:v>101.24141628688695</c:v>
                </c:pt>
                <c:pt idx="689">
                  <c:v>100.97333635782502</c:v>
                </c:pt>
                <c:pt idx="690">
                  <c:v>101.24966490008886</c:v>
                </c:pt>
                <c:pt idx="691">
                  <c:v>101.32184026560553</c:v>
                </c:pt>
                <c:pt idx="692">
                  <c:v>101.39195347782174</c:v>
                </c:pt>
                <c:pt idx="693">
                  <c:v>101.48887468294413</c:v>
                </c:pt>
                <c:pt idx="694">
                  <c:v>101.54042851545604</c:v>
                </c:pt>
                <c:pt idx="695">
                  <c:v>101.73220877240036</c:v>
                </c:pt>
                <c:pt idx="696">
                  <c:v>101.94667271564991</c:v>
                </c:pt>
                <c:pt idx="697">
                  <c:v>101.93429979584705</c:v>
                </c:pt>
                <c:pt idx="698">
                  <c:v>101.87243519683275</c:v>
                </c:pt>
                <c:pt idx="699">
                  <c:v>101.71364939269607</c:v>
                </c:pt>
                <c:pt idx="700">
                  <c:v>101.70127647289321</c:v>
                </c:pt>
                <c:pt idx="701">
                  <c:v>101.60435526777081</c:v>
                </c:pt>
                <c:pt idx="702">
                  <c:v>101.69509001299176</c:v>
                </c:pt>
                <c:pt idx="703">
                  <c:v>101.7878869115132</c:v>
                </c:pt>
                <c:pt idx="704">
                  <c:v>101.82088136432081</c:v>
                </c:pt>
                <c:pt idx="705">
                  <c:v>101.80025983131605</c:v>
                </c:pt>
                <c:pt idx="706">
                  <c:v>101.76726537850843</c:v>
                </c:pt>
                <c:pt idx="707">
                  <c:v>101.84356505062605</c:v>
                </c:pt>
                <c:pt idx="708">
                  <c:v>101.81675705771985</c:v>
                </c:pt>
                <c:pt idx="709">
                  <c:v>101.81881921102034</c:v>
                </c:pt>
                <c:pt idx="710">
                  <c:v>101.89718103643845</c:v>
                </c:pt>
                <c:pt idx="711">
                  <c:v>102.02709669436847</c:v>
                </c:pt>
                <c:pt idx="712">
                  <c:v>102.19619326500752</c:v>
                </c:pt>
                <c:pt idx="713">
                  <c:v>102.27043078382466</c:v>
                </c:pt>
                <c:pt idx="714">
                  <c:v>102.51788917988183</c:v>
                </c:pt>
                <c:pt idx="715">
                  <c:v>102.56738085909328</c:v>
                </c:pt>
                <c:pt idx="716">
                  <c:v>102.86020662776093</c:v>
                </c:pt>
                <c:pt idx="717">
                  <c:v>103.27676159445716</c:v>
                </c:pt>
                <c:pt idx="718">
                  <c:v>103.77167838657149</c:v>
                </c:pt>
                <c:pt idx="719">
                  <c:v>104.20473057967153</c:v>
                </c:pt>
                <c:pt idx="720">
                  <c:v>105.64617573670449</c:v>
                </c:pt>
                <c:pt idx="721">
                  <c:v>105.51832223207496</c:v>
                </c:pt>
                <c:pt idx="722">
                  <c:v>104.7821335038049</c:v>
                </c:pt>
                <c:pt idx="723">
                  <c:v>104.8006928835092</c:v>
                </c:pt>
                <c:pt idx="724">
                  <c:v>104.42744313612299</c:v>
                </c:pt>
                <c:pt idx="725">
                  <c:v>104.54704802755063</c:v>
                </c:pt>
                <c:pt idx="726">
                  <c:v>104.99247314045353</c:v>
                </c:pt>
                <c:pt idx="727">
                  <c:v>105.1698183242945</c:v>
                </c:pt>
                <c:pt idx="728">
                  <c:v>105.42758748685404</c:v>
                </c:pt>
                <c:pt idx="729">
                  <c:v>105.69360526261546</c:v>
                </c:pt>
                <c:pt idx="730">
                  <c:v>106.02148763739122</c:v>
                </c:pt>
                <c:pt idx="731">
                  <c:v>106.29987833295554</c:v>
                </c:pt>
                <c:pt idx="732">
                  <c:v>106.97832676881227</c:v>
                </c:pt>
                <c:pt idx="733">
                  <c:v>107.35982512940041</c:v>
                </c:pt>
                <c:pt idx="734">
                  <c:v>107.73926133668806</c:v>
                </c:pt>
                <c:pt idx="735">
                  <c:v>108.28160765471334</c:v>
                </c:pt>
                <c:pt idx="736">
                  <c:v>108.24242674200428</c:v>
                </c:pt>
                <c:pt idx="737">
                  <c:v>107.93722805353377</c:v>
                </c:pt>
                <c:pt idx="738">
                  <c:v>107.69183181077709</c:v>
                </c:pt>
                <c:pt idx="739">
                  <c:v>107.57428907264993</c:v>
                </c:pt>
                <c:pt idx="740">
                  <c:v>107.6382158249647</c:v>
                </c:pt>
                <c:pt idx="741">
                  <c:v>107.68770750417613</c:v>
                </c:pt>
                <c:pt idx="742">
                  <c:v>107.743385643289</c:v>
                </c:pt>
                <c:pt idx="743">
                  <c:v>107.76194502299329</c:v>
                </c:pt>
                <c:pt idx="744">
                  <c:v>107.90217144742566</c:v>
                </c:pt>
                <c:pt idx="745">
                  <c:v>107.70626688388039</c:v>
                </c:pt>
                <c:pt idx="746">
                  <c:v>107.76606932959422</c:v>
                </c:pt>
                <c:pt idx="747">
                  <c:v>107.80731239560373</c:v>
                </c:pt>
                <c:pt idx="748">
                  <c:v>108.00734126574996</c:v>
                </c:pt>
                <c:pt idx="749">
                  <c:v>108.35378302023</c:v>
                </c:pt>
                <c:pt idx="750">
                  <c:v>108.65279524879907</c:v>
                </c:pt>
                <c:pt idx="751">
                  <c:v>108.35584517353048</c:v>
                </c:pt>
                <c:pt idx="752">
                  <c:v>107.75369640979137</c:v>
                </c:pt>
                <c:pt idx="753">
                  <c:v>107.68358319757519</c:v>
                </c:pt>
                <c:pt idx="754">
                  <c:v>107.08968304703798</c:v>
                </c:pt>
                <c:pt idx="755">
                  <c:v>107.06493720743229</c:v>
                </c:pt>
                <c:pt idx="756">
                  <c:v>107.00307260841798</c:v>
                </c:pt>
                <c:pt idx="757">
                  <c:v>106.91027570989655</c:v>
                </c:pt>
                <c:pt idx="758">
                  <c:v>106.89377848349274</c:v>
                </c:pt>
                <c:pt idx="759">
                  <c:v>106.87315695048798</c:v>
                </c:pt>
                <c:pt idx="760">
                  <c:v>106.85253541748321</c:v>
                </c:pt>
                <c:pt idx="761">
                  <c:v>106.87521910378847</c:v>
                </c:pt>
                <c:pt idx="762">
                  <c:v>107.00101045511752</c:v>
                </c:pt>
                <c:pt idx="763">
                  <c:v>107.06699936073278</c:v>
                </c:pt>
                <c:pt idx="764">
                  <c:v>107.26290392427802</c:v>
                </c:pt>
                <c:pt idx="765">
                  <c:v>107.35570082279946</c:v>
                </c:pt>
                <c:pt idx="766">
                  <c:v>107.46499494772472</c:v>
                </c:pt>
                <c:pt idx="767">
                  <c:v>107.60315921885662</c:v>
                </c:pt>
                <c:pt idx="768">
                  <c:v>107.76813148289474</c:v>
                </c:pt>
                <c:pt idx="769">
                  <c:v>107.87742560781999</c:v>
                </c:pt>
                <c:pt idx="770">
                  <c:v>108.07126801806477</c:v>
                </c:pt>
                <c:pt idx="771">
                  <c:v>108.11457323737476</c:v>
                </c:pt>
                <c:pt idx="772">
                  <c:v>108.18056214299</c:v>
                </c:pt>
                <c:pt idx="773">
                  <c:v>108.24655104860524</c:v>
                </c:pt>
                <c:pt idx="774">
                  <c:v>108.12488400387716</c:v>
                </c:pt>
                <c:pt idx="775">
                  <c:v>108.12694615717763</c:v>
                </c:pt>
                <c:pt idx="776">
                  <c:v>108.1558163033843</c:v>
                </c:pt>
                <c:pt idx="777">
                  <c:v>108.28366980801384</c:v>
                </c:pt>
                <c:pt idx="778">
                  <c:v>108.41977192584528</c:v>
                </c:pt>
                <c:pt idx="779">
                  <c:v>108.56206050357815</c:v>
                </c:pt>
                <c:pt idx="780">
                  <c:v>108.66929247520291</c:v>
                </c:pt>
                <c:pt idx="781">
                  <c:v>108.87344565195006</c:v>
                </c:pt>
                <c:pt idx="782">
                  <c:v>108.95799393726958</c:v>
                </c:pt>
                <c:pt idx="783">
                  <c:v>108.74971645392147</c:v>
                </c:pt>
                <c:pt idx="784">
                  <c:v>108.4672014517562</c:v>
                </c:pt>
                <c:pt idx="785">
                  <c:v>108.25892396840808</c:v>
                </c:pt>
                <c:pt idx="786">
                  <c:v>108.35790732683095</c:v>
                </c:pt>
                <c:pt idx="787">
                  <c:v>108.32285072072284</c:v>
                </c:pt>
                <c:pt idx="788">
                  <c:v>108.45482853195332</c:v>
                </c:pt>
                <c:pt idx="789">
                  <c:v>108.54762543047477</c:v>
                </c:pt>
                <c:pt idx="790">
                  <c:v>108.65073309549858</c:v>
                </c:pt>
                <c:pt idx="791">
                  <c:v>108.68578970160668</c:v>
                </c:pt>
                <c:pt idx="792">
                  <c:v>108.81776751283718</c:v>
                </c:pt>
                <c:pt idx="793">
                  <c:v>108.81776751283718</c:v>
                </c:pt>
                <c:pt idx="794">
                  <c:v>108.76208937372429</c:v>
                </c:pt>
                <c:pt idx="795">
                  <c:v>108.85488627224575</c:v>
                </c:pt>
                <c:pt idx="796">
                  <c:v>108.83220258594051</c:v>
                </c:pt>
                <c:pt idx="797">
                  <c:v>108.90644010475766</c:v>
                </c:pt>
                <c:pt idx="798">
                  <c:v>108.94768317076721</c:v>
                </c:pt>
                <c:pt idx="799">
                  <c:v>109.02192068958433</c:v>
                </c:pt>
                <c:pt idx="800">
                  <c:v>109.18895510692293</c:v>
                </c:pt>
                <c:pt idx="801">
                  <c:v>109.31062215165105</c:v>
                </c:pt>
                <c:pt idx="802">
                  <c:v>109.43847565628059</c:v>
                </c:pt>
                <c:pt idx="803">
                  <c:v>109.53539686140297</c:v>
                </c:pt>
                <c:pt idx="804">
                  <c:v>109.73542573154919</c:v>
                </c:pt>
                <c:pt idx="805">
                  <c:v>109.94782752149824</c:v>
                </c:pt>
                <c:pt idx="806">
                  <c:v>110.08599179263017</c:v>
                </c:pt>
                <c:pt idx="807">
                  <c:v>110.34788526179065</c:v>
                </c:pt>
                <c:pt idx="808">
                  <c:v>110.65102179696069</c:v>
                </c:pt>
                <c:pt idx="809">
                  <c:v>110.81186975439783</c:v>
                </c:pt>
                <c:pt idx="810">
                  <c:v>109.86740354277966</c:v>
                </c:pt>
                <c:pt idx="811">
                  <c:v>108.90231579815672</c:v>
                </c:pt>
                <c:pt idx="812">
                  <c:v>107.11442888664371</c:v>
                </c:pt>
                <c:pt idx="813">
                  <c:v>107.09586950693944</c:v>
                </c:pt>
                <c:pt idx="814">
                  <c:v>107.47943002082805</c:v>
                </c:pt>
                <c:pt idx="815">
                  <c:v>107.68564535087569</c:v>
                </c:pt>
                <c:pt idx="816">
                  <c:v>107.68770750417617</c:v>
                </c:pt>
                <c:pt idx="817">
                  <c:v>107.62171859856092</c:v>
                </c:pt>
                <c:pt idx="818">
                  <c:v>107.69183181077712</c:v>
                </c:pt>
                <c:pt idx="819">
                  <c:v>107.69389396407759</c:v>
                </c:pt>
                <c:pt idx="820">
                  <c:v>107.6217185985609</c:v>
                </c:pt>
                <c:pt idx="821">
                  <c:v>107.32683067659279</c:v>
                </c:pt>
                <c:pt idx="822">
                  <c:v>107.29177407048468</c:v>
                </c:pt>
                <c:pt idx="823">
                  <c:v>107.19279071206181</c:v>
                </c:pt>
                <c:pt idx="824">
                  <c:v>107.36188728270086</c:v>
                </c:pt>
                <c:pt idx="825">
                  <c:v>107.37426020250373</c:v>
                </c:pt>
                <c:pt idx="826">
                  <c:v>107.36188728270086</c:v>
                </c:pt>
                <c:pt idx="827">
                  <c:v>107.41344111521276</c:v>
                </c:pt>
                <c:pt idx="828">
                  <c:v>107.44643556802038</c:v>
                </c:pt>
                <c:pt idx="829">
                  <c:v>107.53098385333992</c:v>
                </c:pt>
                <c:pt idx="830">
                  <c:v>107.6629616645704</c:v>
                </c:pt>
                <c:pt idx="831">
                  <c:v>107.72070195698373</c:v>
                </c:pt>
                <c:pt idx="832">
                  <c:v>107.66502381787087</c:v>
                </c:pt>
                <c:pt idx="833">
                  <c:v>107.70008042397896</c:v>
                </c:pt>
                <c:pt idx="834">
                  <c:v>107.8712391479185</c:v>
                </c:pt>
                <c:pt idx="835">
                  <c:v>107.74338564328897</c:v>
                </c:pt>
                <c:pt idx="836">
                  <c:v>107.62584290516182</c:v>
                </c:pt>
                <c:pt idx="837">
                  <c:v>107.55160538634466</c:v>
                </c:pt>
                <c:pt idx="838">
                  <c:v>107.38044666240513</c:v>
                </c:pt>
                <c:pt idx="839" formatCode="0">
                  <c:v>107.38457096900608</c:v>
                </c:pt>
                <c:pt idx="840" formatCode="0">
                  <c:v>107.34332790299655</c:v>
                </c:pt>
                <c:pt idx="841" formatCode="0">
                  <c:v>107.35157651619848</c:v>
                </c:pt>
                <c:pt idx="842" formatCode="0">
                  <c:v>107.34951436289801</c:v>
                </c:pt>
                <c:pt idx="843" formatCode="0">
                  <c:v>107.37219804920322</c:v>
                </c:pt>
                <c:pt idx="844" formatCode="0">
                  <c:v>107.39281958220801</c:v>
                </c:pt>
                <c:pt idx="845" formatCode="0">
                  <c:v>107.35776297609992</c:v>
                </c:pt>
                <c:pt idx="846" formatCode="0">
                  <c:v>107.37013589590276</c:v>
                </c:pt>
                <c:pt idx="847" formatCode="0">
                  <c:v>107.37013589590276</c:v>
                </c:pt>
                <c:pt idx="848" formatCode="0">
                  <c:v>107.27733899738135</c:v>
                </c:pt>
                <c:pt idx="849" formatCode="0">
                  <c:v>107.24022023797276</c:v>
                </c:pt>
                <c:pt idx="850" formatCode="0">
                  <c:v>107.23815808467229</c:v>
                </c:pt>
                <c:pt idx="851" formatCode="0">
                  <c:v>107.19691501866278</c:v>
                </c:pt>
                <c:pt idx="852" formatCode="0">
                  <c:v>107.14329903285039</c:v>
                </c:pt>
                <c:pt idx="853" formatCode="0">
                  <c:v>107.08349658713657</c:v>
                </c:pt>
                <c:pt idx="854" formatCode="0">
                  <c:v>106.94533231600465</c:v>
                </c:pt>
                <c:pt idx="855" formatCode="0">
                  <c:v>106.61126348132748</c:v>
                </c:pt>
                <c:pt idx="856" formatCode="0">
                  <c:v>106.34112139896507</c:v>
                </c:pt>
                <c:pt idx="857" formatCode="0">
                  <c:v>106.1740869816265</c:v>
                </c:pt>
                <c:pt idx="858" formatCode="0">
                  <c:v>106.0173633307903</c:v>
                </c:pt>
                <c:pt idx="859" formatCode="0">
                  <c:v>105.9390015053722</c:v>
                </c:pt>
                <c:pt idx="860" formatCode="0">
                  <c:v>105.84826676015123</c:v>
                </c:pt>
                <c:pt idx="861" formatCode="0">
                  <c:v>105.80289938754078</c:v>
                </c:pt>
                <c:pt idx="862" formatCode="0">
                  <c:v>105.58431113769026</c:v>
                </c:pt>
                <c:pt idx="863" formatCode="0">
                  <c:v>104.73676613119449</c:v>
                </c:pt>
                <c:pt idx="864" formatCode="0">
                  <c:v>102.97981151918863</c:v>
                </c:pt>
                <c:pt idx="865" formatCode="0">
                  <c:v>102.45396242756715</c:v>
                </c:pt>
                <c:pt idx="866" formatCode="0">
                  <c:v>102.15288804569761</c:v>
                </c:pt>
                <c:pt idx="867" formatCode="0">
                  <c:v>102.25393355742096</c:v>
                </c:pt>
                <c:pt idx="868" formatCode="0">
                  <c:v>102.24980925082001</c:v>
                </c:pt>
                <c:pt idx="869" formatCode="0">
                  <c:v>102.17763388530334</c:v>
                </c:pt>
                <c:pt idx="870" formatCode="0">
                  <c:v>102.19825541830811</c:v>
                </c:pt>
                <c:pt idx="871" formatCode="0">
                  <c:v>102.11989359289001</c:v>
                </c:pt>
                <c:pt idx="872" formatCode="0">
                  <c:v>102.15495019899812</c:v>
                </c:pt>
                <c:pt idx="873" formatCode="0">
                  <c:v>102.23537417771669</c:v>
                </c:pt>
                <c:pt idx="874" formatCode="0">
                  <c:v>102.25805786402194</c:v>
                </c:pt>
              </c:numCache>
            </c:numRef>
          </c:val>
          <c:smooth val="0"/>
          <c:extLst>
            <c:ext xmlns:c16="http://schemas.microsoft.com/office/drawing/2014/chart" uri="{C3380CC4-5D6E-409C-BE32-E72D297353CC}">
              <c16:uniqueId val="{00000000-3372-4ABC-A980-B0ACB3E218F3}"/>
            </c:ext>
          </c:extLst>
        </c:ser>
        <c:ser>
          <c:idx val="1"/>
          <c:order val="1"/>
          <c:tx>
            <c:strRef>
              <c:f>Sheet1!$C$1</c:f>
              <c:strCache>
                <c:ptCount val="1"/>
                <c:pt idx="0">
                  <c:v>RUB/AMD</c:v>
                </c:pt>
              </c:strCache>
            </c:strRef>
          </c:tx>
          <c:spPr>
            <a:ln w="28575" cap="rnd">
              <a:solidFill>
                <a:srgbClr val="FFC000"/>
              </a:solidFill>
              <a:round/>
            </a:ln>
            <a:effectLst/>
          </c:spPr>
          <c:marker>
            <c:symbol val="none"/>
          </c:marker>
          <c:cat>
            <c:numRef>
              <c:f>Sheet1!$A$2:$A$876</c:f>
              <c:numCache>
                <c:formatCode>m\/d\/yyyy</c:formatCode>
                <c:ptCount val="875"/>
                <c:pt idx="0">
                  <c:v>43108</c:v>
                </c:pt>
                <c:pt idx="1">
                  <c:v>43109</c:v>
                </c:pt>
                <c:pt idx="2">
                  <c:v>43110</c:v>
                </c:pt>
                <c:pt idx="3">
                  <c:v>43111</c:v>
                </c:pt>
                <c:pt idx="4">
                  <c:v>43112</c:v>
                </c:pt>
                <c:pt idx="5">
                  <c:v>43115</c:v>
                </c:pt>
                <c:pt idx="6">
                  <c:v>43116</c:v>
                </c:pt>
                <c:pt idx="7">
                  <c:v>43117</c:v>
                </c:pt>
                <c:pt idx="8">
                  <c:v>43118</c:v>
                </c:pt>
                <c:pt idx="9">
                  <c:v>43119</c:v>
                </c:pt>
                <c:pt idx="10">
                  <c:v>43122</c:v>
                </c:pt>
                <c:pt idx="11">
                  <c:v>43123</c:v>
                </c:pt>
                <c:pt idx="12">
                  <c:v>43124</c:v>
                </c:pt>
                <c:pt idx="13">
                  <c:v>43125</c:v>
                </c:pt>
                <c:pt idx="14">
                  <c:v>43126</c:v>
                </c:pt>
                <c:pt idx="15">
                  <c:v>43129</c:v>
                </c:pt>
                <c:pt idx="16">
                  <c:v>43130</c:v>
                </c:pt>
                <c:pt idx="17">
                  <c:v>43131</c:v>
                </c:pt>
                <c:pt idx="18">
                  <c:v>43132</c:v>
                </c:pt>
                <c:pt idx="19">
                  <c:v>43133</c:v>
                </c:pt>
                <c:pt idx="20">
                  <c:v>43136</c:v>
                </c:pt>
                <c:pt idx="21">
                  <c:v>43137</c:v>
                </c:pt>
                <c:pt idx="22">
                  <c:v>43138</c:v>
                </c:pt>
                <c:pt idx="23">
                  <c:v>43139</c:v>
                </c:pt>
                <c:pt idx="24">
                  <c:v>43140</c:v>
                </c:pt>
                <c:pt idx="25">
                  <c:v>43143</c:v>
                </c:pt>
                <c:pt idx="26">
                  <c:v>43144</c:v>
                </c:pt>
                <c:pt idx="27">
                  <c:v>43145</c:v>
                </c:pt>
                <c:pt idx="28">
                  <c:v>43146</c:v>
                </c:pt>
                <c:pt idx="29">
                  <c:v>43147</c:v>
                </c:pt>
                <c:pt idx="30">
                  <c:v>43150</c:v>
                </c:pt>
                <c:pt idx="31">
                  <c:v>43151</c:v>
                </c:pt>
                <c:pt idx="32">
                  <c:v>43152</c:v>
                </c:pt>
                <c:pt idx="33">
                  <c:v>43153</c:v>
                </c:pt>
                <c:pt idx="34">
                  <c:v>43154</c:v>
                </c:pt>
                <c:pt idx="35">
                  <c:v>43157</c:v>
                </c:pt>
                <c:pt idx="36">
                  <c:v>43158</c:v>
                </c:pt>
                <c:pt idx="37">
                  <c:v>43159</c:v>
                </c:pt>
                <c:pt idx="38">
                  <c:v>43160</c:v>
                </c:pt>
                <c:pt idx="39">
                  <c:v>43161</c:v>
                </c:pt>
                <c:pt idx="40">
                  <c:v>43164</c:v>
                </c:pt>
                <c:pt idx="41">
                  <c:v>43165</c:v>
                </c:pt>
                <c:pt idx="42">
                  <c:v>43166</c:v>
                </c:pt>
                <c:pt idx="43">
                  <c:v>43171</c:v>
                </c:pt>
                <c:pt idx="44">
                  <c:v>43172</c:v>
                </c:pt>
                <c:pt idx="45">
                  <c:v>43173</c:v>
                </c:pt>
                <c:pt idx="46">
                  <c:v>43174</c:v>
                </c:pt>
                <c:pt idx="47">
                  <c:v>43175</c:v>
                </c:pt>
                <c:pt idx="48">
                  <c:v>43176</c:v>
                </c:pt>
                <c:pt idx="49">
                  <c:v>43178</c:v>
                </c:pt>
                <c:pt idx="50">
                  <c:v>43179</c:v>
                </c:pt>
                <c:pt idx="51">
                  <c:v>43180</c:v>
                </c:pt>
                <c:pt idx="52">
                  <c:v>43181</c:v>
                </c:pt>
                <c:pt idx="53">
                  <c:v>43182</c:v>
                </c:pt>
                <c:pt idx="54">
                  <c:v>43185</c:v>
                </c:pt>
                <c:pt idx="55">
                  <c:v>43186</c:v>
                </c:pt>
                <c:pt idx="56">
                  <c:v>43187</c:v>
                </c:pt>
                <c:pt idx="57">
                  <c:v>43188</c:v>
                </c:pt>
                <c:pt idx="58">
                  <c:v>43189</c:v>
                </c:pt>
                <c:pt idx="59">
                  <c:v>43193</c:v>
                </c:pt>
                <c:pt idx="60">
                  <c:v>43194</c:v>
                </c:pt>
                <c:pt idx="61">
                  <c:v>43195</c:v>
                </c:pt>
                <c:pt idx="62">
                  <c:v>43196</c:v>
                </c:pt>
                <c:pt idx="63">
                  <c:v>43197</c:v>
                </c:pt>
                <c:pt idx="64">
                  <c:v>43199</c:v>
                </c:pt>
                <c:pt idx="65">
                  <c:v>43200</c:v>
                </c:pt>
                <c:pt idx="66">
                  <c:v>43201</c:v>
                </c:pt>
                <c:pt idx="67">
                  <c:v>43202</c:v>
                </c:pt>
                <c:pt idx="68">
                  <c:v>43203</c:v>
                </c:pt>
                <c:pt idx="69">
                  <c:v>43206</c:v>
                </c:pt>
                <c:pt idx="70">
                  <c:v>43207</c:v>
                </c:pt>
                <c:pt idx="71">
                  <c:v>43208</c:v>
                </c:pt>
                <c:pt idx="72">
                  <c:v>43209</c:v>
                </c:pt>
                <c:pt idx="73">
                  <c:v>43210</c:v>
                </c:pt>
                <c:pt idx="74">
                  <c:v>43213</c:v>
                </c:pt>
                <c:pt idx="75">
                  <c:v>43215</c:v>
                </c:pt>
                <c:pt idx="76">
                  <c:v>43216</c:v>
                </c:pt>
                <c:pt idx="77">
                  <c:v>43217</c:v>
                </c:pt>
                <c:pt idx="78">
                  <c:v>43222</c:v>
                </c:pt>
                <c:pt idx="79">
                  <c:v>43223</c:v>
                </c:pt>
                <c:pt idx="80">
                  <c:v>43224</c:v>
                </c:pt>
                <c:pt idx="81">
                  <c:v>43225</c:v>
                </c:pt>
                <c:pt idx="82">
                  <c:v>43227</c:v>
                </c:pt>
                <c:pt idx="83">
                  <c:v>43228</c:v>
                </c:pt>
                <c:pt idx="84">
                  <c:v>43230</c:v>
                </c:pt>
                <c:pt idx="85">
                  <c:v>43231</c:v>
                </c:pt>
                <c:pt idx="86">
                  <c:v>43234</c:v>
                </c:pt>
                <c:pt idx="87">
                  <c:v>43235</c:v>
                </c:pt>
                <c:pt idx="88">
                  <c:v>43236</c:v>
                </c:pt>
                <c:pt idx="89">
                  <c:v>43237</c:v>
                </c:pt>
                <c:pt idx="90">
                  <c:v>43238</c:v>
                </c:pt>
                <c:pt idx="91">
                  <c:v>43241</c:v>
                </c:pt>
                <c:pt idx="92">
                  <c:v>43242</c:v>
                </c:pt>
                <c:pt idx="93">
                  <c:v>43243</c:v>
                </c:pt>
                <c:pt idx="94">
                  <c:v>43244</c:v>
                </c:pt>
                <c:pt idx="95">
                  <c:v>43245</c:v>
                </c:pt>
                <c:pt idx="96">
                  <c:v>43249</c:v>
                </c:pt>
                <c:pt idx="97">
                  <c:v>43250</c:v>
                </c:pt>
                <c:pt idx="98">
                  <c:v>43251</c:v>
                </c:pt>
                <c:pt idx="99">
                  <c:v>43252</c:v>
                </c:pt>
                <c:pt idx="100">
                  <c:v>43255</c:v>
                </c:pt>
                <c:pt idx="101">
                  <c:v>43256</c:v>
                </c:pt>
                <c:pt idx="102">
                  <c:v>43257</c:v>
                </c:pt>
                <c:pt idx="103">
                  <c:v>43258</c:v>
                </c:pt>
                <c:pt idx="104">
                  <c:v>43259</c:v>
                </c:pt>
                <c:pt idx="105">
                  <c:v>43262</c:v>
                </c:pt>
                <c:pt idx="106">
                  <c:v>43263</c:v>
                </c:pt>
                <c:pt idx="107">
                  <c:v>43264</c:v>
                </c:pt>
                <c:pt idx="108">
                  <c:v>43265</c:v>
                </c:pt>
                <c:pt idx="109">
                  <c:v>43266</c:v>
                </c:pt>
                <c:pt idx="110">
                  <c:v>43269</c:v>
                </c:pt>
                <c:pt idx="111">
                  <c:v>43270</c:v>
                </c:pt>
                <c:pt idx="112">
                  <c:v>43271</c:v>
                </c:pt>
                <c:pt idx="113">
                  <c:v>43272</c:v>
                </c:pt>
                <c:pt idx="114">
                  <c:v>43273</c:v>
                </c:pt>
                <c:pt idx="115">
                  <c:v>43276</c:v>
                </c:pt>
                <c:pt idx="116">
                  <c:v>43277</c:v>
                </c:pt>
                <c:pt idx="117">
                  <c:v>43278</c:v>
                </c:pt>
                <c:pt idx="118">
                  <c:v>43279</c:v>
                </c:pt>
                <c:pt idx="119">
                  <c:v>43280</c:v>
                </c:pt>
                <c:pt idx="120">
                  <c:v>43283</c:v>
                </c:pt>
                <c:pt idx="121">
                  <c:v>43284</c:v>
                </c:pt>
                <c:pt idx="122">
                  <c:v>43285</c:v>
                </c:pt>
                <c:pt idx="123">
                  <c:v>43287</c:v>
                </c:pt>
                <c:pt idx="124">
                  <c:v>43290</c:v>
                </c:pt>
                <c:pt idx="125">
                  <c:v>43291</c:v>
                </c:pt>
                <c:pt idx="126">
                  <c:v>43292</c:v>
                </c:pt>
                <c:pt idx="127">
                  <c:v>43293</c:v>
                </c:pt>
                <c:pt idx="128">
                  <c:v>43294</c:v>
                </c:pt>
                <c:pt idx="129">
                  <c:v>43297</c:v>
                </c:pt>
                <c:pt idx="130">
                  <c:v>43298</c:v>
                </c:pt>
                <c:pt idx="131">
                  <c:v>43299</c:v>
                </c:pt>
                <c:pt idx="132">
                  <c:v>43300</c:v>
                </c:pt>
                <c:pt idx="133">
                  <c:v>43301</c:v>
                </c:pt>
                <c:pt idx="134">
                  <c:v>43304</c:v>
                </c:pt>
                <c:pt idx="135">
                  <c:v>43305</c:v>
                </c:pt>
                <c:pt idx="136">
                  <c:v>43306</c:v>
                </c:pt>
                <c:pt idx="137">
                  <c:v>43307</c:v>
                </c:pt>
                <c:pt idx="138">
                  <c:v>43308</c:v>
                </c:pt>
                <c:pt idx="139">
                  <c:v>43311</c:v>
                </c:pt>
                <c:pt idx="140">
                  <c:v>43312</c:v>
                </c:pt>
                <c:pt idx="141">
                  <c:v>43313</c:v>
                </c:pt>
                <c:pt idx="142">
                  <c:v>43314</c:v>
                </c:pt>
                <c:pt idx="143">
                  <c:v>43315</c:v>
                </c:pt>
                <c:pt idx="144">
                  <c:v>43318</c:v>
                </c:pt>
                <c:pt idx="145">
                  <c:v>43319</c:v>
                </c:pt>
                <c:pt idx="146">
                  <c:v>43320</c:v>
                </c:pt>
                <c:pt idx="147">
                  <c:v>43321</c:v>
                </c:pt>
                <c:pt idx="148">
                  <c:v>43322</c:v>
                </c:pt>
                <c:pt idx="149">
                  <c:v>43325</c:v>
                </c:pt>
                <c:pt idx="150">
                  <c:v>43326</c:v>
                </c:pt>
                <c:pt idx="151">
                  <c:v>43327</c:v>
                </c:pt>
                <c:pt idx="152">
                  <c:v>43328</c:v>
                </c:pt>
                <c:pt idx="153">
                  <c:v>43329</c:v>
                </c:pt>
                <c:pt idx="154">
                  <c:v>43332</c:v>
                </c:pt>
                <c:pt idx="155">
                  <c:v>43333</c:v>
                </c:pt>
                <c:pt idx="156">
                  <c:v>43334</c:v>
                </c:pt>
                <c:pt idx="157">
                  <c:v>43335</c:v>
                </c:pt>
                <c:pt idx="158">
                  <c:v>43336</c:v>
                </c:pt>
                <c:pt idx="159">
                  <c:v>43339</c:v>
                </c:pt>
                <c:pt idx="160">
                  <c:v>43340</c:v>
                </c:pt>
                <c:pt idx="161">
                  <c:v>43341</c:v>
                </c:pt>
                <c:pt idx="162">
                  <c:v>43342</c:v>
                </c:pt>
                <c:pt idx="163">
                  <c:v>43343</c:v>
                </c:pt>
                <c:pt idx="164">
                  <c:v>43346</c:v>
                </c:pt>
                <c:pt idx="165">
                  <c:v>43347</c:v>
                </c:pt>
                <c:pt idx="166">
                  <c:v>43348</c:v>
                </c:pt>
                <c:pt idx="167">
                  <c:v>43349</c:v>
                </c:pt>
                <c:pt idx="168">
                  <c:v>43350</c:v>
                </c:pt>
                <c:pt idx="169">
                  <c:v>43353</c:v>
                </c:pt>
                <c:pt idx="170">
                  <c:v>43354</c:v>
                </c:pt>
                <c:pt idx="171">
                  <c:v>43355</c:v>
                </c:pt>
                <c:pt idx="172">
                  <c:v>43356</c:v>
                </c:pt>
                <c:pt idx="173">
                  <c:v>43357</c:v>
                </c:pt>
                <c:pt idx="174">
                  <c:v>43360</c:v>
                </c:pt>
                <c:pt idx="175">
                  <c:v>43361</c:v>
                </c:pt>
                <c:pt idx="176">
                  <c:v>43362</c:v>
                </c:pt>
                <c:pt idx="177">
                  <c:v>43363</c:v>
                </c:pt>
                <c:pt idx="178">
                  <c:v>43367</c:v>
                </c:pt>
                <c:pt idx="179">
                  <c:v>43368</c:v>
                </c:pt>
                <c:pt idx="180">
                  <c:v>43369</c:v>
                </c:pt>
                <c:pt idx="181">
                  <c:v>43370</c:v>
                </c:pt>
                <c:pt idx="182">
                  <c:v>43371</c:v>
                </c:pt>
                <c:pt idx="183">
                  <c:v>43374</c:v>
                </c:pt>
                <c:pt idx="184">
                  <c:v>43375</c:v>
                </c:pt>
                <c:pt idx="185">
                  <c:v>43376</c:v>
                </c:pt>
                <c:pt idx="186">
                  <c:v>43377</c:v>
                </c:pt>
                <c:pt idx="187">
                  <c:v>43378</c:v>
                </c:pt>
                <c:pt idx="188">
                  <c:v>43381</c:v>
                </c:pt>
                <c:pt idx="189">
                  <c:v>43382</c:v>
                </c:pt>
                <c:pt idx="190">
                  <c:v>43383</c:v>
                </c:pt>
                <c:pt idx="191">
                  <c:v>43388</c:v>
                </c:pt>
                <c:pt idx="192">
                  <c:v>43389</c:v>
                </c:pt>
                <c:pt idx="193">
                  <c:v>43390</c:v>
                </c:pt>
                <c:pt idx="194">
                  <c:v>43391</c:v>
                </c:pt>
                <c:pt idx="195">
                  <c:v>43392</c:v>
                </c:pt>
                <c:pt idx="196">
                  <c:v>43395</c:v>
                </c:pt>
                <c:pt idx="197">
                  <c:v>43396</c:v>
                </c:pt>
                <c:pt idx="198">
                  <c:v>43397</c:v>
                </c:pt>
                <c:pt idx="199">
                  <c:v>43398</c:v>
                </c:pt>
                <c:pt idx="200">
                  <c:v>43399</c:v>
                </c:pt>
                <c:pt idx="201">
                  <c:v>43400</c:v>
                </c:pt>
                <c:pt idx="202">
                  <c:v>43402</c:v>
                </c:pt>
                <c:pt idx="203">
                  <c:v>43403</c:v>
                </c:pt>
                <c:pt idx="204">
                  <c:v>43404</c:v>
                </c:pt>
                <c:pt idx="205">
                  <c:v>43405</c:v>
                </c:pt>
                <c:pt idx="206">
                  <c:v>43406</c:v>
                </c:pt>
                <c:pt idx="207">
                  <c:v>43407</c:v>
                </c:pt>
                <c:pt idx="208">
                  <c:v>43409</c:v>
                </c:pt>
                <c:pt idx="209">
                  <c:v>43410</c:v>
                </c:pt>
                <c:pt idx="210">
                  <c:v>43411</c:v>
                </c:pt>
                <c:pt idx="211">
                  <c:v>43412</c:v>
                </c:pt>
                <c:pt idx="212">
                  <c:v>43413</c:v>
                </c:pt>
                <c:pt idx="213">
                  <c:v>43416</c:v>
                </c:pt>
                <c:pt idx="214">
                  <c:v>43417</c:v>
                </c:pt>
                <c:pt idx="215">
                  <c:v>43418</c:v>
                </c:pt>
                <c:pt idx="216">
                  <c:v>43419</c:v>
                </c:pt>
                <c:pt idx="217">
                  <c:v>43420</c:v>
                </c:pt>
                <c:pt idx="218">
                  <c:v>43423</c:v>
                </c:pt>
                <c:pt idx="219">
                  <c:v>43424</c:v>
                </c:pt>
                <c:pt idx="220">
                  <c:v>43425</c:v>
                </c:pt>
                <c:pt idx="221">
                  <c:v>43426</c:v>
                </c:pt>
                <c:pt idx="222">
                  <c:v>43427</c:v>
                </c:pt>
                <c:pt idx="223">
                  <c:v>43430</c:v>
                </c:pt>
                <c:pt idx="224">
                  <c:v>43431</c:v>
                </c:pt>
                <c:pt idx="225">
                  <c:v>43432</c:v>
                </c:pt>
                <c:pt idx="226">
                  <c:v>43433</c:v>
                </c:pt>
                <c:pt idx="227">
                  <c:v>43434</c:v>
                </c:pt>
                <c:pt idx="228">
                  <c:v>43437</c:v>
                </c:pt>
                <c:pt idx="229">
                  <c:v>43438</c:v>
                </c:pt>
                <c:pt idx="230">
                  <c:v>43439</c:v>
                </c:pt>
                <c:pt idx="231">
                  <c:v>43440</c:v>
                </c:pt>
                <c:pt idx="232">
                  <c:v>43441</c:v>
                </c:pt>
                <c:pt idx="233">
                  <c:v>43444</c:v>
                </c:pt>
                <c:pt idx="234">
                  <c:v>43445</c:v>
                </c:pt>
                <c:pt idx="235">
                  <c:v>43446</c:v>
                </c:pt>
                <c:pt idx="236">
                  <c:v>43447</c:v>
                </c:pt>
                <c:pt idx="237">
                  <c:v>43448</c:v>
                </c:pt>
                <c:pt idx="238">
                  <c:v>43451</c:v>
                </c:pt>
                <c:pt idx="239">
                  <c:v>43452</c:v>
                </c:pt>
                <c:pt idx="240">
                  <c:v>43453</c:v>
                </c:pt>
                <c:pt idx="241">
                  <c:v>43454</c:v>
                </c:pt>
                <c:pt idx="242">
                  <c:v>43455</c:v>
                </c:pt>
                <c:pt idx="243">
                  <c:v>43458</c:v>
                </c:pt>
                <c:pt idx="244">
                  <c:v>43459</c:v>
                </c:pt>
                <c:pt idx="245">
                  <c:v>43460</c:v>
                </c:pt>
                <c:pt idx="246">
                  <c:v>43461</c:v>
                </c:pt>
                <c:pt idx="247">
                  <c:v>43462</c:v>
                </c:pt>
                <c:pt idx="248">
                  <c:v>43473</c:v>
                </c:pt>
                <c:pt idx="249">
                  <c:v>43474</c:v>
                </c:pt>
                <c:pt idx="250">
                  <c:v>43475</c:v>
                </c:pt>
                <c:pt idx="251">
                  <c:v>43476</c:v>
                </c:pt>
                <c:pt idx="252">
                  <c:v>43479</c:v>
                </c:pt>
                <c:pt idx="253">
                  <c:v>43480</c:v>
                </c:pt>
                <c:pt idx="254">
                  <c:v>43481</c:v>
                </c:pt>
                <c:pt idx="255">
                  <c:v>43482</c:v>
                </c:pt>
                <c:pt idx="256">
                  <c:v>43483</c:v>
                </c:pt>
                <c:pt idx="257">
                  <c:v>43486</c:v>
                </c:pt>
                <c:pt idx="258">
                  <c:v>43487</c:v>
                </c:pt>
                <c:pt idx="259">
                  <c:v>43488</c:v>
                </c:pt>
                <c:pt idx="260">
                  <c:v>43489</c:v>
                </c:pt>
                <c:pt idx="261">
                  <c:v>43490</c:v>
                </c:pt>
                <c:pt idx="262">
                  <c:v>43494</c:v>
                </c:pt>
                <c:pt idx="263">
                  <c:v>43495</c:v>
                </c:pt>
                <c:pt idx="264">
                  <c:v>43496</c:v>
                </c:pt>
                <c:pt idx="265">
                  <c:v>43497</c:v>
                </c:pt>
                <c:pt idx="266">
                  <c:v>43500</c:v>
                </c:pt>
                <c:pt idx="267">
                  <c:v>43501</c:v>
                </c:pt>
                <c:pt idx="268">
                  <c:v>43502</c:v>
                </c:pt>
                <c:pt idx="269">
                  <c:v>43503</c:v>
                </c:pt>
                <c:pt idx="270">
                  <c:v>43504</c:v>
                </c:pt>
                <c:pt idx="271">
                  <c:v>43507</c:v>
                </c:pt>
                <c:pt idx="272">
                  <c:v>43508</c:v>
                </c:pt>
                <c:pt idx="273">
                  <c:v>43509</c:v>
                </c:pt>
                <c:pt idx="274">
                  <c:v>43510</c:v>
                </c:pt>
                <c:pt idx="275">
                  <c:v>43511</c:v>
                </c:pt>
                <c:pt idx="276">
                  <c:v>43514</c:v>
                </c:pt>
                <c:pt idx="277">
                  <c:v>43515</c:v>
                </c:pt>
                <c:pt idx="278">
                  <c:v>43516</c:v>
                </c:pt>
                <c:pt idx="279">
                  <c:v>43517</c:v>
                </c:pt>
                <c:pt idx="280">
                  <c:v>43518</c:v>
                </c:pt>
                <c:pt idx="281">
                  <c:v>43521</c:v>
                </c:pt>
                <c:pt idx="282">
                  <c:v>43522</c:v>
                </c:pt>
                <c:pt idx="283">
                  <c:v>43523</c:v>
                </c:pt>
                <c:pt idx="284">
                  <c:v>43524</c:v>
                </c:pt>
                <c:pt idx="285">
                  <c:v>43525</c:v>
                </c:pt>
                <c:pt idx="286">
                  <c:v>43528</c:v>
                </c:pt>
                <c:pt idx="287">
                  <c:v>43529</c:v>
                </c:pt>
                <c:pt idx="288">
                  <c:v>43530</c:v>
                </c:pt>
                <c:pt idx="289">
                  <c:v>43531</c:v>
                </c:pt>
                <c:pt idx="290">
                  <c:v>43535</c:v>
                </c:pt>
                <c:pt idx="291">
                  <c:v>43536</c:v>
                </c:pt>
                <c:pt idx="292">
                  <c:v>43537</c:v>
                </c:pt>
                <c:pt idx="293">
                  <c:v>43538</c:v>
                </c:pt>
                <c:pt idx="294">
                  <c:v>43539</c:v>
                </c:pt>
                <c:pt idx="295">
                  <c:v>43542</c:v>
                </c:pt>
                <c:pt idx="296">
                  <c:v>43543</c:v>
                </c:pt>
                <c:pt idx="297">
                  <c:v>43544</c:v>
                </c:pt>
                <c:pt idx="298">
                  <c:v>43545</c:v>
                </c:pt>
                <c:pt idx="299">
                  <c:v>43546</c:v>
                </c:pt>
                <c:pt idx="300">
                  <c:v>43549</c:v>
                </c:pt>
                <c:pt idx="301">
                  <c:v>43550</c:v>
                </c:pt>
                <c:pt idx="302">
                  <c:v>43551</c:v>
                </c:pt>
                <c:pt idx="303">
                  <c:v>43552</c:v>
                </c:pt>
                <c:pt idx="304">
                  <c:v>43553</c:v>
                </c:pt>
                <c:pt idx="305">
                  <c:v>43556</c:v>
                </c:pt>
                <c:pt idx="306">
                  <c:v>43557</c:v>
                </c:pt>
                <c:pt idx="307">
                  <c:v>43558</c:v>
                </c:pt>
                <c:pt idx="308">
                  <c:v>43559</c:v>
                </c:pt>
                <c:pt idx="309">
                  <c:v>43560</c:v>
                </c:pt>
                <c:pt idx="310">
                  <c:v>43563</c:v>
                </c:pt>
                <c:pt idx="311">
                  <c:v>43564</c:v>
                </c:pt>
                <c:pt idx="312">
                  <c:v>43565</c:v>
                </c:pt>
                <c:pt idx="313">
                  <c:v>43566</c:v>
                </c:pt>
                <c:pt idx="314">
                  <c:v>43567</c:v>
                </c:pt>
                <c:pt idx="315">
                  <c:v>43570</c:v>
                </c:pt>
                <c:pt idx="316">
                  <c:v>43571</c:v>
                </c:pt>
                <c:pt idx="317">
                  <c:v>43572</c:v>
                </c:pt>
                <c:pt idx="318">
                  <c:v>43573</c:v>
                </c:pt>
                <c:pt idx="319">
                  <c:v>43574</c:v>
                </c:pt>
                <c:pt idx="320">
                  <c:v>43577</c:v>
                </c:pt>
                <c:pt idx="321">
                  <c:v>43578</c:v>
                </c:pt>
                <c:pt idx="322">
                  <c:v>43580</c:v>
                </c:pt>
                <c:pt idx="323">
                  <c:v>43581</c:v>
                </c:pt>
                <c:pt idx="324">
                  <c:v>43584</c:v>
                </c:pt>
                <c:pt idx="325">
                  <c:v>43585</c:v>
                </c:pt>
                <c:pt idx="326">
                  <c:v>43587</c:v>
                </c:pt>
                <c:pt idx="327">
                  <c:v>43588</c:v>
                </c:pt>
                <c:pt idx="328">
                  <c:v>43591</c:v>
                </c:pt>
                <c:pt idx="329">
                  <c:v>43592</c:v>
                </c:pt>
                <c:pt idx="330">
                  <c:v>43593</c:v>
                </c:pt>
                <c:pt idx="331">
                  <c:v>43595</c:v>
                </c:pt>
                <c:pt idx="332">
                  <c:v>43598</c:v>
                </c:pt>
                <c:pt idx="333">
                  <c:v>43599</c:v>
                </c:pt>
                <c:pt idx="334">
                  <c:v>43600</c:v>
                </c:pt>
                <c:pt idx="335">
                  <c:v>43601</c:v>
                </c:pt>
                <c:pt idx="336">
                  <c:v>43602</c:v>
                </c:pt>
                <c:pt idx="337">
                  <c:v>43605</c:v>
                </c:pt>
                <c:pt idx="338">
                  <c:v>43606</c:v>
                </c:pt>
                <c:pt idx="339">
                  <c:v>43607</c:v>
                </c:pt>
                <c:pt idx="340">
                  <c:v>43608</c:v>
                </c:pt>
                <c:pt idx="341">
                  <c:v>43609</c:v>
                </c:pt>
                <c:pt idx="342">
                  <c:v>43612</c:v>
                </c:pt>
                <c:pt idx="343">
                  <c:v>43614</c:v>
                </c:pt>
                <c:pt idx="344">
                  <c:v>43615</c:v>
                </c:pt>
                <c:pt idx="345">
                  <c:v>43616</c:v>
                </c:pt>
                <c:pt idx="346">
                  <c:v>43619</c:v>
                </c:pt>
                <c:pt idx="347">
                  <c:v>43620</c:v>
                </c:pt>
                <c:pt idx="348">
                  <c:v>43621</c:v>
                </c:pt>
                <c:pt idx="349">
                  <c:v>43622</c:v>
                </c:pt>
                <c:pt idx="350">
                  <c:v>43623</c:v>
                </c:pt>
                <c:pt idx="351">
                  <c:v>43626</c:v>
                </c:pt>
                <c:pt idx="352">
                  <c:v>43627</c:v>
                </c:pt>
                <c:pt idx="353">
                  <c:v>43628</c:v>
                </c:pt>
                <c:pt idx="354">
                  <c:v>43629</c:v>
                </c:pt>
                <c:pt idx="355">
                  <c:v>43630</c:v>
                </c:pt>
                <c:pt idx="356">
                  <c:v>43633</c:v>
                </c:pt>
                <c:pt idx="357">
                  <c:v>43634</c:v>
                </c:pt>
                <c:pt idx="358">
                  <c:v>43635</c:v>
                </c:pt>
                <c:pt idx="359">
                  <c:v>43636</c:v>
                </c:pt>
                <c:pt idx="360">
                  <c:v>43637</c:v>
                </c:pt>
                <c:pt idx="361">
                  <c:v>43640</c:v>
                </c:pt>
                <c:pt idx="362">
                  <c:v>43641</c:v>
                </c:pt>
                <c:pt idx="363">
                  <c:v>43642</c:v>
                </c:pt>
                <c:pt idx="364">
                  <c:v>43643</c:v>
                </c:pt>
                <c:pt idx="365">
                  <c:v>43644</c:v>
                </c:pt>
                <c:pt idx="366">
                  <c:v>43647</c:v>
                </c:pt>
                <c:pt idx="367">
                  <c:v>43648</c:v>
                </c:pt>
                <c:pt idx="368">
                  <c:v>43649</c:v>
                </c:pt>
                <c:pt idx="369">
                  <c:v>43650</c:v>
                </c:pt>
                <c:pt idx="370">
                  <c:v>43654</c:v>
                </c:pt>
                <c:pt idx="371">
                  <c:v>43655</c:v>
                </c:pt>
                <c:pt idx="372">
                  <c:v>43656</c:v>
                </c:pt>
                <c:pt idx="373">
                  <c:v>43657</c:v>
                </c:pt>
                <c:pt idx="374">
                  <c:v>43658</c:v>
                </c:pt>
                <c:pt idx="375">
                  <c:v>43661</c:v>
                </c:pt>
                <c:pt idx="376">
                  <c:v>43662</c:v>
                </c:pt>
                <c:pt idx="377">
                  <c:v>43663</c:v>
                </c:pt>
                <c:pt idx="378">
                  <c:v>43664</c:v>
                </c:pt>
                <c:pt idx="379">
                  <c:v>43665</c:v>
                </c:pt>
                <c:pt idx="380">
                  <c:v>43668</c:v>
                </c:pt>
                <c:pt idx="381">
                  <c:v>43669</c:v>
                </c:pt>
                <c:pt idx="382">
                  <c:v>43670</c:v>
                </c:pt>
                <c:pt idx="383">
                  <c:v>43671</c:v>
                </c:pt>
                <c:pt idx="384">
                  <c:v>43672</c:v>
                </c:pt>
                <c:pt idx="385">
                  <c:v>43675</c:v>
                </c:pt>
                <c:pt idx="386">
                  <c:v>43676</c:v>
                </c:pt>
                <c:pt idx="387">
                  <c:v>43677</c:v>
                </c:pt>
                <c:pt idx="388">
                  <c:v>43678</c:v>
                </c:pt>
                <c:pt idx="389">
                  <c:v>43679</c:v>
                </c:pt>
                <c:pt idx="390">
                  <c:v>43682</c:v>
                </c:pt>
                <c:pt idx="391">
                  <c:v>43683</c:v>
                </c:pt>
                <c:pt idx="392">
                  <c:v>43684</c:v>
                </c:pt>
                <c:pt idx="393">
                  <c:v>43685</c:v>
                </c:pt>
                <c:pt idx="394">
                  <c:v>43686</c:v>
                </c:pt>
                <c:pt idx="395">
                  <c:v>43689</c:v>
                </c:pt>
                <c:pt idx="396">
                  <c:v>43690</c:v>
                </c:pt>
                <c:pt idx="397">
                  <c:v>43691</c:v>
                </c:pt>
                <c:pt idx="398">
                  <c:v>43692</c:v>
                </c:pt>
                <c:pt idx="399">
                  <c:v>43693</c:v>
                </c:pt>
                <c:pt idx="400">
                  <c:v>43696</c:v>
                </c:pt>
                <c:pt idx="401">
                  <c:v>43697</c:v>
                </c:pt>
                <c:pt idx="402">
                  <c:v>43698</c:v>
                </c:pt>
                <c:pt idx="403">
                  <c:v>43699</c:v>
                </c:pt>
                <c:pt idx="404">
                  <c:v>43700</c:v>
                </c:pt>
                <c:pt idx="405">
                  <c:v>43703</c:v>
                </c:pt>
                <c:pt idx="406">
                  <c:v>43704</c:v>
                </c:pt>
                <c:pt idx="407">
                  <c:v>43705</c:v>
                </c:pt>
                <c:pt idx="408">
                  <c:v>43706</c:v>
                </c:pt>
                <c:pt idx="409">
                  <c:v>43707</c:v>
                </c:pt>
                <c:pt idx="410">
                  <c:v>43710</c:v>
                </c:pt>
                <c:pt idx="411">
                  <c:v>43711</c:v>
                </c:pt>
                <c:pt idx="412">
                  <c:v>43712</c:v>
                </c:pt>
                <c:pt idx="413">
                  <c:v>43713</c:v>
                </c:pt>
                <c:pt idx="414">
                  <c:v>43714</c:v>
                </c:pt>
                <c:pt idx="415">
                  <c:v>43717</c:v>
                </c:pt>
                <c:pt idx="416">
                  <c:v>43718</c:v>
                </c:pt>
                <c:pt idx="417">
                  <c:v>43719</c:v>
                </c:pt>
                <c:pt idx="418">
                  <c:v>43720</c:v>
                </c:pt>
                <c:pt idx="419">
                  <c:v>43721</c:v>
                </c:pt>
                <c:pt idx="420">
                  <c:v>43724</c:v>
                </c:pt>
                <c:pt idx="421">
                  <c:v>43725</c:v>
                </c:pt>
                <c:pt idx="422">
                  <c:v>43726</c:v>
                </c:pt>
                <c:pt idx="423">
                  <c:v>43727</c:v>
                </c:pt>
                <c:pt idx="424">
                  <c:v>43728</c:v>
                </c:pt>
                <c:pt idx="425">
                  <c:v>43731</c:v>
                </c:pt>
                <c:pt idx="426">
                  <c:v>43732</c:v>
                </c:pt>
                <c:pt idx="427">
                  <c:v>43733</c:v>
                </c:pt>
                <c:pt idx="428">
                  <c:v>43734</c:v>
                </c:pt>
                <c:pt idx="429">
                  <c:v>43735</c:v>
                </c:pt>
                <c:pt idx="430">
                  <c:v>43738</c:v>
                </c:pt>
                <c:pt idx="431">
                  <c:v>43739</c:v>
                </c:pt>
                <c:pt idx="432">
                  <c:v>43740</c:v>
                </c:pt>
                <c:pt idx="433">
                  <c:v>43741</c:v>
                </c:pt>
                <c:pt idx="434">
                  <c:v>43742</c:v>
                </c:pt>
                <c:pt idx="435">
                  <c:v>43745</c:v>
                </c:pt>
                <c:pt idx="436">
                  <c:v>43746</c:v>
                </c:pt>
                <c:pt idx="437">
                  <c:v>43747</c:v>
                </c:pt>
                <c:pt idx="438">
                  <c:v>43748</c:v>
                </c:pt>
                <c:pt idx="439">
                  <c:v>43749</c:v>
                </c:pt>
                <c:pt idx="440">
                  <c:v>43752</c:v>
                </c:pt>
                <c:pt idx="441">
                  <c:v>43753</c:v>
                </c:pt>
                <c:pt idx="442">
                  <c:v>43754</c:v>
                </c:pt>
                <c:pt idx="443">
                  <c:v>43755</c:v>
                </c:pt>
                <c:pt idx="444">
                  <c:v>43756</c:v>
                </c:pt>
                <c:pt idx="445">
                  <c:v>43759</c:v>
                </c:pt>
                <c:pt idx="446">
                  <c:v>43760</c:v>
                </c:pt>
                <c:pt idx="447">
                  <c:v>43761</c:v>
                </c:pt>
                <c:pt idx="448">
                  <c:v>43762</c:v>
                </c:pt>
                <c:pt idx="449">
                  <c:v>43763</c:v>
                </c:pt>
                <c:pt idx="450">
                  <c:v>43766</c:v>
                </c:pt>
                <c:pt idx="451">
                  <c:v>43767</c:v>
                </c:pt>
                <c:pt idx="452">
                  <c:v>43768</c:v>
                </c:pt>
                <c:pt idx="453">
                  <c:v>43769</c:v>
                </c:pt>
                <c:pt idx="454">
                  <c:v>43770</c:v>
                </c:pt>
                <c:pt idx="455">
                  <c:v>43773</c:v>
                </c:pt>
                <c:pt idx="456">
                  <c:v>43774</c:v>
                </c:pt>
                <c:pt idx="457">
                  <c:v>43775</c:v>
                </c:pt>
                <c:pt idx="458">
                  <c:v>43776</c:v>
                </c:pt>
                <c:pt idx="459">
                  <c:v>43777</c:v>
                </c:pt>
                <c:pt idx="460">
                  <c:v>43780</c:v>
                </c:pt>
                <c:pt idx="461">
                  <c:v>43781</c:v>
                </c:pt>
                <c:pt idx="462">
                  <c:v>43782</c:v>
                </c:pt>
                <c:pt idx="463">
                  <c:v>43783</c:v>
                </c:pt>
                <c:pt idx="464">
                  <c:v>43784</c:v>
                </c:pt>
                <c:pt idx="465">
                  <c:v>43787</c:v>
                </c:pt>
                <c:pt idx="466">
                  <c:v>43788</c:v>
                </c:pt>
                <c:pt idx="467">
                  <c:v>43789</c:v>
                </c:pt>
                <c:pt idx="468">
                  <c:v>43790</c:v>
                </c:pt>
                <c:pt idx="469">
                  <c:v>43791</c:v>
                </c:pt>
                <c:pt idx="470">
                  <c:v>43794</c:v>
                </c:pt>
                <c:pt idx="471">
                  <c:v>43795</c:v>
                </c:pt>
                <c:pt idx="472">
                  <c:v>43796</c:v>
                </c:pt>
                <c:pt idx="473">
                  <c:v>43797</c:v>
                </c:pt>
                <c:pt idx="474">
                  <c:v>43798</c:v>
                </c:pt>
                <c:pt idx="475">
                  <c:v>43801</c:v>
                </c:pt>
                <c:pt idx="476">
                  <c:v>43802</c:v>
                </c:pt>
                <c:pt idx="477">
                  <c:v>43803</c:v>
                </c:pt>
                <c:pt idx="478">
                  <c:v>43804</c:v>
                </c:pt>
                <c:pt idx="479">
                  <c:v>43805</c:v>
                </c:pt>
                <c:pt idx="480">
                  <c:v>43808</c:v>
                </c:pt>
                <c:pt idx="481">
                  <c:v>43809</c:v>
                </c:pt>
                <c:pt idx="482">
                  <c:v>43810</c:v>
                </c:pt>
                <c:pt idx="483">
                  <c:v>43811</c:v>
                </c:pt>
                <c:pt idx="484">
                  <c:v>43812</c:v>
                </c:pt>
                <c:pt idx="485">
                  <c:v>43815</c:v>
                </c:pt>
                <c:pt idx="486">
                  <c:v>43816</c:v>
                </c:pt>
                <c:pt idx="487">
                  <c:v>43817</c:v>
                </c:pt>
                <c:pt idx="488">
                  <c:v>43818</c:v>
                </c:pt>
                <c:pt idx="489">
                  <c:v>43819</c:v>
                </c:pt>
                <c:pt idx="490">
                  <c:v>43822</c:v>
                </c:pt>
                <c:pt idx="491">
                  <c:v>43823</c:v>
                </c:pt>
                <c:pt idx="492">
                  <c:v>43824</c:v>
                </c:pt>
                <c:pt idx="493">
                  <c:v>43825</c:v>
                </c:pt>
                <c:pt idx="494">
                  <c:v>43826</c:v>
                </c:pt>
                <c:pt idx="495">
                  <c:v>43829</c:v>
                </c:pt>
                <c:pt idx="496">
                  <c:v>43838</c:v>
                </c:pt>
                <c:pt idx="497">
                  <c:v>43839</c:v>
                </c:pt>
                <c:pt idx="498">
                  <c:v>43840</c:v>
                </c:pt>
                <c:pt idx="499">
                  <c:v>43843</c:v>
                </c:pt>
                <c:pt idx="500">
                  <c:v>43844</c:v>
                </c:pt>
                <c:pt idx="501">
                  <c:v>43845</c:v>
                </c:pt>
                <c:pt idx="502">
                  <c:v>43846</c:v>
                </c:pt>
                <c:pt idx="503">
                  <c:v>43847</c:v>
                </c:pt>
                <c:pt idx="504">
                  <c:v>43850</c:v>
                </c:pt>
                <c:pt idx="505">
                  <c:v>43851</c:v>
                </c:pt>
                <c:pt idx="506">
                  <c:v>43852</c:v>
                </c:pt>
                <c:pt idx="507">
                  <c:v>43853</c:v>
                </c:pt>
                <c:pt idx="508">
                  <c:v>43854</c:v>
                </c:pt>
                <c:pt idx="509">
                  <c:v>43859</c:v>
                </c:pt>
                <c:pt idx="510">
                  <c:v>43860</c:v>
                </c:pt>
                <c:pt idx="511">
                  <c:v>43861</c:v>
                </c:pt>
                <c:pt idx="512">
                  <c:v>43862</c:v>
                </c:pt>
                <c:pt idx="513">
                  <c:v>43864</c:v>
                </c:pt>
                <c:pt idx="514">
                  <c:v>43865</c:v>
                </c:pt>
                <c:pt idx="515">
                  <c:v>43866</c:v>
                </c:pt>
                <c:pt idx="516">
                  <c:v>43867</c:v>
                </c:pt>
                <c:pt idx="517">
                  <c:v>43868</c:v>
                </c:pt>
                <c:pt idx="518">
                  <c:v>43871</c:v>
                </c:pt>
                <c:pt idx="519">
                  <c:v>43872</c:v>
                </c:pt>
                <c:pt idx="520">
                  <c:v>43873</c:v>
                </c:pt>
                <c:pt idx="521">
                  <c:v>43874</c:v>
                </c:pt>
                <c:pt idx="522">
                  <c:v>43875</c:v>
                </c:pt>
                <c:pt idx="523">
                  <c:v>43878</c:v>
                </c:pt>
                <c:pt idx="524">
                  <c:v>43879</c:v>
                </c:pt>
                <c:pt idx="525">
                  <c:v>43880</c:v>
                </c:pt>
                <c:pt idx="526">
                  <c:v>43881</c:v>
                </c:pt>
                <c:pt idx="527">
                  <c:v>43882</c:v>
                </c:pt>
                <c:pt idx="528">
                  <c:v>43885</c:v>
                </c:pt>
                <c:pt idx="529">
                  <c:v>43886</c:v>
                </c:pt>
                <c:pt idx="530">
                  <c:v>43887</c:v>
                </c:pt>
                <c:pt idx="531">
                  <c:v>43888</c:v>
                </c:pt>
                <c:pt idx="532">
                  <c:v>43889</c:v>
                </c:pt>
                <c:pt idx="533">
                  <c:v>43892</c:v>
                </c:pt>
                <c:pt idx="534">
                  <c:v>43893</c:v>
                </c:pt>
                <c:pt idx="535">
                  <c:v>43894</c:v>
                </c:pt>
                <c:pt idx="536">
                  <c:v>43895</c:v>
                </c:pt>
                <c:pt idx="537">
                  <c:v>43896</c:v>
                </c:pt>
                <c:pt idx="538">
                  <c:v>43899</c:v>
                </c:pt>
                <c:pt idx="539">
                  <c:v>43900</c:v>
                </c:pt>
                <c:pt idx="540">
                  <c:v>43901</c:v>
                </c:pt>
                <c:pt idx="541">
                  <c:v>43902</c:v>
                </c:pt>
                <c:pt idx="542">
                  <c:v>43903</c:v>
                </c:pt>
                <c:pt idx="543">
                  <c:v>43906</c:v>
                </c:pt>
                <c:pt idx="544">
                  <c:v>43907</c:v>
                </c:pt>
                <c:pt idx="545">
                  <c:v>43908</c:v>
                </c:pt>
                <c:pt idx="546">
                  <c:v>43909</c:v>
                </c:pt>
                <c:pt idx="547">
                  <c:v>43910</c:v>
                </c:pt>
                <c:pt idx="548">
                  <c:v>43913</c:v>
                </c:pt>
                <c:pt idx="549">
                  <c:v>43914</c:v>
                </c:pt>
                <c:pt idx="550">
                  <c:v>43915</c:v>
                </c:pt>
                <c:pt idx="551">
                  <c:v>43916</c:v>
                </c:pt>
                <c:pt idx="552">
                  <c:v>43917</c:v>
                </c:pt>
                <c:pt idx="553">
                  <c:v>43920</c:v>
                </c:pt>
                <c:pt idx="554">
                  <c:v>43921</c:v>
                </c:pt>
                <c:pt idx="555">
                  <c:v>43922</c:v>
                </c:pt>
                <c:pt idx="556">
                  <c:v>43923</c:v>
                </c:pt>
                <c:pt idx="557">
                  <c:v>43924</c:v>
                </c:pt>
                <c:pt idx="558">
                  <c:v>43927</c:v>
                </c:pt>
                <c:pt idx="559">
                  <c:v>43928</c:v>
                </c:pt>
                <c:pt idx="560">
                  <c:v>43929</c:v>
                </c:pt>
                <c:pt idx="561">
                  <c:v>43930</c:v>
                </c:pt>
                <c:pt idx="562">
                  <c:v>43931</c:v>
                </c:pt>
                <c:pt idx="563">
                  <c:v>43934</c:v>
                </c:pt>
                <c:pt idx="564">
                  <c:v>43935</c:v>
                </c:pt>
                <c:pt idx="565">
                  <c:v>43936</c:v>
                </c:pt>
                <c:pt idx="566">
                  <c:v>43937</c:v>
                </c:pt>
                <c:pt idx="567">
                  <c:v>43938</c:v>
                </c:pt>
                <c:pt idx="568">
                  <c:v>43941</c:v>
                </c:pt>
                <c:pt idx="569">
                  <c:v>43942</c:v>
                </c:pt>
                <c:pt idx="570">
                  <c:v>43943</c:v>
                </c:pt>
                <c:pt idx="571">
                  <c:v>43944</c:v>
                </c:pt>
                <c:pt idx="572">
                  <c:v>43948</c:v>
                </c:pt>
                <c:pt idx="573">
                  <c:v>43949</c:v>
                </c:pt>
                <c:pt idx="574">
                  <c:v>43950</c:v>
                </c:pt>
                <c:pt idx="575">
                  <c:v>43951</c:v>
                </c:pt>
                <c:pt idx="576">
                  <c:v>43955</c:v>
                </c:pt>
                <c:pt idx="577">
                  <c:v>43956</c:v>
                </c:pt>
                <c:pt idx="578">
                  <c:v>43957</c:v>
                </c:pt>
                <c:pt idx="579">
                  <c:v>43958</c:v>
                </c:pt>
                <c:pt idx="580">
                  <c:v>43959</c:v>
                </c:pt>
                <c:pt idx="581">
                  <c:v>43962</c:v>
                </c:pt>
                <c:pt idx="582">
                  <c:v>43963</c:v>
                </c:pt>
                <c:pt idx="583">
                  <c:v>43964</c:v>
                </c:pt>
                <c:pt idx="584">
                  <c:v>43965</c:v>
                </c:pt>
                <c:pt idx="585">
                  <c:v>43966</c:v>
                </c:pt>
                <c:pt idx="586">
                  <c:v>43969</c:v>
                </c:pt>
                <c:pt idx="587">
                  <c:v>43970</c:v>
                </c:pt>
                <c:pt idx="588">
                  <c:v>43971</c:v>
                </c:pt>
                <c:pt idx="589">
                  <c:v>43972</c:v>
                </c:pt>
                <c:pt idx="590">
                  <c:v>43973</c:v>
                </c:pt>
                <c:pt idx="591">
                  <c:v>43974</c:v>
                </c:pt>
                <c:pt idx="592">
                  <c:v>43976</c:v>
                </c:pt>
                <c:pt idx="593">
                  <c:v>43977</c:v>
                </c:pt>
                <c:pt idx="594">
                  <c:v>43978</c:v>
                </c:pt>
                <c:pt idx="595">
                  <c:v>43983</c:v>
                </c:pt>
                <c:pt idx="596">
                  <c:v>43984</c:v>
                </c:pt>
                <c:pt idx="597">
                  <c:v>43985</c:v>
                </c:pt>
                <c:pt idx="598">
                  <c:v>43986</c:v>
                </c:pt>
                <c:pt idx="599">
                  <c:v>43987</c:v>
                </c:pt>
                <c:pt idx="600">
                  <c:v>43990</c:v>
                </c:pt>
                <c:pt idx="601">
                  <c:v>43991</c:v>
                </c:pt>
                <c:pt idx="602">
                  <c:v>43992</c:v>
                </c:pt>
                <c:pt idx="603">
                  <c:v>43993</c:v>
                </c:pt>
                <c:pt idx="604">
                  <c:v>43994</c:v>
                </c:pt>
                <c:pt idx="605">
                  <c:v>43997</c:v>
                </c:pt>
                <c:pt idx="606">
                  <c:v>43998</c:v>
                </c:pt>
                <c:pt idx="607">
                  <c:v>43999</c:v>
                </c:pt>
                <c:pt idx="608">
                  <c:v>44000</c:v>
                </c:pt>
                <c:pt idx="609">
                  <c:v>44001</c:v>
                </c:pt>
                <c:pt idx="610">
                  <c:v>44004</c:v>
                </c:pt>
                <c:pt idx="611">
                  <c:v>44005</c:v>
                </c:pt>
                <c:pt idx="612">
                  <c:v>44006</c:v>
                </c:pt>
                <c:pt idx="613">
                  <c:v>44007</c:v>
                </c:pt>
                <c:pt idx="614">
                  <c:v>44008</c:v>
                </c:pt>
                <c:pt idx="615">
                  <c:v>44011</c:v>
                </c:pt>
                <c:pt idx="616">
                  <c:v>44012</c:v>
                </c:pt>
                <c:pt idx="617">
                  <c:v>44013</c:v>
                </c:pt>
                <c:pt idx="618">
                  <c:v>44014</c:v>
                </c:pt>
                <c:pt idx="619">
                  <c:v>44015</c:v>
                </c:pt>
                <c:pt idx="620">
                  <c:v>44018</c:v>
                </c:pt>
                <c:pt idx="621">
                  <c:v>44019</c:v>
                </c:pt>
                <c:pt idx="622">
                  <c:v>44020</c:v>
                </c:pt>
                <c:pt idx="623">
                  <c:v>44021</c:v>
                </c:pt>
                <c:pt idx="624">
                  <c:v>44022</c:v>
                </c:pt>
                <c:pt idx="625">
                  <c:v>44025</c:v>
                </c:pt>
                <c:pt idx="626">
                  <c:v>44026</c:v>
                </c:pt>
                <c:pt idx="627">
                  <c:v>44027</c:v>
                </c:pt>
                <c:pt idx="628">
                  <c:v>44028</c:v>
                </c:pt>
                <c:pt idx="629">
                  <c:v>44029</c:v>
                </c:pt>
                <c:pt idx="630">
                  <c:v>44032</c:v>
                </c:pt>
                <c:pt idx="631">
                  <c:v>44033</c:v>
                </c:pt>
                <c:pt idx="632">
                  <c:v>44034</c:v>
                </c:pt>
                <c:pt idx="633">
                  <c:v>44035</c:v>
                </c:pt>
                <c:pt idx="634">
                  <c:v>44036</c:v>
                </c:pt>
                <c:pt idx="635">
                  <c:v>44039</c:v>
                </c:pt>
                <c:pt idx="636">
                  <c:v>44040</c:v>
                </c:pt>
                <c:pt idx="637">
                  <c:v>44041</c:v>
                </c:pt>
                <c:pt idx="638">
                  <c:v>44042</c:v>
                </c:pt>
                <c:pt idx="639">
                  <c:v>44043</c:v>
                </c:pt>
                <c:pt idx="640">
                  <c:v>44046</c:v>
                </c:pt>
                <c:pt idx="641">
                  <c:v>44047</c:v>
                </c:pt>
                <c:pt idx="642">
                  <c:v>44048</c:v>
                </c:pt>
                <c:pt idx="643">
                  <c:v>44049</c:v>
                </c:pt>
                <c:pt idx="644">
                  <c:v>44050</c:v>
                </c:pt>
                <c:pt idx="645">
                  <c:v>44053</c:v>
                </c:pt>
                <c:pt idx="646">
                  <c:v>44054</c:v>
                </c:pt>
                <c:pt idx="647">
                  <c:v>44055</c:v>
                </c:pt>
                <c:pt idx="648">
                  <c:v>44056</c:v>
                </c:pt>
                <c:pt idx="649">
                  <c:v>44057</c:v>
                </c:pt>
                <c:pt idx="650">
                  <c:v>44060</c:v>
                </c:pt>
                <c:pt idx="651">
                  <c:v>44061</c:v>
                </c:pt>
                <c:pt idx="652">
                  <c:v>44062</c:v>
                </c:pt>
                <c:pt idx="653">
                  <c:v>44063</c:v>
                </c:pt>
                <c:pt idx="654">
                  <c:v>44064</c:v>
                </c:pt>
                <c:pt idx="655">
                  <c:v>44067</c:v>
                </c:pt>
                <c:pt idx="656">
                  <c:v>44068</c:v>
                </c:pt>
                <c:pt idx="657">
                  <c:v>44069</c:v>
                </c:pt>
                <c:pt idx="658">
                  <c:v>44070</c:v>
                </c:pt>
                <c:pt idx="659">
                  <c:v>44071</c:v>
                </c:pt>
                <c:pt idx="660">
                  <c:v>44074</c:v>
                </c:pt>
                <c:pt idx="661">
                  <c:v>44075</c:v>
                </c:pt>
                <c:pt idx="662">
                  <c:v>44076</c:v>
                </c:pt>
                <c:pt idx="663">
                  <c:v>44077</c:v>
                </c:pt>
                <c:pt idx="664">
                  <c:v>44078</c:v>
                </c:pt>
                <c:pt idx="665">
                  <c:v>44081</c:v>
                </c:pt>
                <c:pt idx="666">
                  <c:v>44082</c:v>
                </c:pt>
                <c:pt idx="667">
                  <c:v>44083</c:v>
                </c:pt>
                <c:pt idx="668">
                  <c:v>44084</c:v>
                </c:pt>
                <c:pt idx="669">
                  <c:v>44085</c:v>
                </c:pt>
                <c:pt idx="670">
                  <c:v>44088</c:v>
                </c:pt>
                <c:pt idx="671">
                  <c:v>44089</c:v>
                </c:pt>
                <c:pt idx="672">
                  <c:v>44090</c:v>
                </c:pt>
                <c:pt idx="673">
                  <c:v>44091</c:v>
                </c:pt>
                <c:pt idx="674">
                  <c:v>44092</c:v>
                </c:pt>
                <c:pt idx="675">
                  <c:v>44096</c:v>
                </c:pt>
                <c:pt idx="676">
                  <c:v>44097</c:v>
                </c:pt>
                <c:pt idx="677">
                  <c:v>44098</c:v>
                </c:pt>
                <c:pt idx="678">
                  <c:v>44099</c:v>
                </c:pt>
                <c:pt idx="679">
                  <c:v>44102</c:v>
                </c:pt>
                <c:pt idx="680">
                  <c:v>44103</c:v>
                </c:pt>
                <c:pt idx="681">
                  <c:v>44104</c:v>
                </c:pt>
                <c:pt idx="682">
                  <c:v>44105</c:v>
                </c:pt>
                <c:pt idx="683">
                  <c:v>44106</c:v>
                </c:pt>
                <c:pt idx="684">
                  <c:v>44109</c:v>
                </c:pt>
                <c:pt idx="685">
                  <c:v>44110</c:v>
                </c:pt>
                <c:pt idx="686">
                  <c:v>44111</c:v>
                </c:pt>
                <c:pt idx="687">
                  <c:v>44112</c:v>
                </c:pt>
                <c:pt idx="688">
                  <c:v>44113</c:v>
                </c:pt>
                <c:pt idx="689">
                  <c:v>44116</c:v>
                </c:pt>
                <c:pt idx="690">
                  <c:v>44117</c:v>
                </c:pt>
                <c:pt idx="691">
                  <c:v>44118</c:v>
                </c:pt>
                <c:pt idx="692">
                  <c:v>44119</c:v>
                </c:pt>
                <c:pt idx="693">
                  <c:v>44120</c:v>
                </c:pt>
                <c:pt idx="694">
                  <c:v>44123</c:v>
                </c:pt>
                <c:pt idx="695">
                  <c:v>44124</c:v>
                </c:pt>
                <c:pt idx="696">
                  <c:v>44125</c:v>
                </c:pt>
                <c:pt idx="697">
                  <c:v>44126</c:v>
                </c:pt>
                <c:pt idx="698">
                  <c:v>44127</c:v>
                </c:pt>
                <c:pt idx="699">
                  <c:v>44130</c:v>
                </c:pt>
                <c:pt idx="700">
                  <c:v>44131</c:v>
                </c:pt>
                <c:pt idx="701">
                  <c:v>44132</c:v>
                </c:pt>
                <c:pt idx="702">
                  <c:v>44133</c:v>
                </c:pt>
                <c:pt idx="703">
                  <c:v>44134</c:v>
                </c:pt>
                <c:pt idx="704">
                  <c:v>44137</c:v>
                </c:pt>
                <c:pt idx="705">
                  <c:v>44138</c:v>
                </c:pt>
                <c:pt idx="706">
                  <c:v>44139</c:v>
                </c:pt>
                <c:pt idx="707">
                  <c:v>44140</c:v>
                </c:pt>
                <c:pt idx="708">
                  <c:v>44141</c:v>
                </c:pt>
                <c:pt idx="709">
                  <c:v>44144</c:v>
                </c:pt>
                <c:pt idx="710">
                  <c:v>44145</c:v>
                </c:pt>
                <c:pt idx="711">
                  <c:v>44146</c:v>
                </c:pt>
                <c:pt idx="712">
                  <c:v>44147</c:v>
                </c:pt>
                <c:pt idx="713">
                  <c:v>44148</c:v>
                </c:pt>
                <c:pt idx="714">
                  <c:v>44151</c:v>
                </c:pt>
                <c:pt idx="715">
                  <c:v>44152</c:v>
                </c:pt>
                <c:pt idx="716">
                  <c:v>44153</c:v>
                </c:pt>
                <c:pt idx="717">
                  <c:v>44154</c:v>
                </c:pt>
                <c:pt idx="718">
                  <c:v>44155</c:v>
                </c:pt>
                <c:pt idx="719">
                  <c:v>44158</c:v>
                </c:pt>
                <c:pt idx="720">
                  <c:v>44159</c:v>
                </c:pt>
                <c:pt idx="721">
                  <c:v>44160</c:v>
                </c:pt>
                <c:pt idx="722">
                  <c:v>44161</c:v>
                </c:pt>
                <c:pt idx="723">
                  <c:v>44162</c:v>
                </c:pt>
                <c:pt idx="724">
                  <c:v>44165</c:v>
                </c:pt>
                <c:pt idx="725">
                  <c:v>44166</c:v>
                </c:pt>
                <c:pt idx="726">
                  <c:v>44167</c:v>
                </c:pt>
                <c:pt idx="727">
                  <c:v>44168</c:v>
                </c:pt>
                <c:pt idx="728">
                  <c:v>44169</c:v>
                </c:pt>
                <c:pt idx="729">
                  <c:v>44172</c:v>
                </c:pt>
                <c:pt idx="730">
                  <c:v>44173</c:v>
                </c:pt>
                <c:pt idx="731">
                  <c:v>44174</c:v>
                </c:pt>
                <c:pt idx="732">
                  <c:v>44175</c:v>
                </c:pt>
                <c:pt idx="733">
                  <c:v>44176</c:v>
                </c:pt>
                <c:pt idx="734">
                  <c:v>44179</c:v>
                </c:pt>
                <c:pt idx="735">
                  <c:v>44180</c:v>
                </c:pt>
                <c:pt idx="736">
                  <c:v>44181</c:v>
                </c:pt>
                <c:pt idx="737">
                  <c:v>44182</c:v>
                </c:pt>
                <c:pt idx="738">
                  <c:v>44183</c:v>
                </c:pt>
                <c:pt idx="739">
                  <c:v>44186</c:v>
                </c:pt>
                <c:pt idx="740">
                  <c:v>44187</c:v>
                </c:pt>
                <c:pt idx="741">
                  <c:v>44188</c:v>
                </c:pt>
                <c:pt idx="742">
                  <c:v>44189</c:v>
                </c:pt>
                <c:pt idx="743">
                  <c:v>44190</c:v>
                </c:pt>
                <c:pt idx="744">
                  <c:v>44193</c:v>
                </c:pt>
                <c:pt idx="745">
                  <c:v>44194</c:v>
                </c:pt>
                <c:pt idx="746">
                  <c:v>44195</c:v>
                </c:pt>
                <c:pt idx="747">
                  <c:v>44204</c:v>
                </c:pt>
                <c:pt idx="748">
                  <c:v>44207</c:v>
                </c:pt>
                <c:pt idx="749">
                  <c:v>44208</c:v>
                </c:pt>
                <c:pt idx="750">
                  <c:v>44209</c:v>
                </c:pt>
                <c:pt idx="751">
                  <c:v>44210</c:v>
                </c:pt>
                <c:pt idx="752">
                  <c:v>44211</c:v>
                </c:pt>
                <c:pt idx="753">
                  <c:v>44214</c:v>
                </c:pt>
                <c:pt idx="754">
                  <c:v>44215</c:v>
                </c:pt>
                <c:pt idx="755">
                  <c:v>44216</c:v>
                </c:pt>
                <c:pt idx="756">
                  <c:v>44217</c:v>
                </c:pt>
                <c:pt idx="757">
                  <c:v>44218</c:v>
                </c:pt>
                <c:pt idx="758">
                  <c:v>44221</c:v>
                </c:pt>
                <c:pt idx="759">
                  <c:v>44222</c:v>
                </c:pt>
                <c:pt idx="760">
                  <c:v>44223</c:v>
                </c:pt>
                <c:pt idx="761">
                  <c:v>44225</c:v>
                </c:pt>
                <c:pt idx="762">
                  <c:v>44228</c:v>
                </c:pt>
                <c:pt idx="763">
                  <c:v>44229</c:v>
                </c:pt>
                <c:pt idx="764">
                  <c:v>44230</c:v>
                </c:pt>
                <c:pt idx="765">
                  <c:v>44231</c:v>
                </c:pt>
                <c:pt idx="766">
                  <c:v>44232</c:v>
                </c:pt>
                <c:pt idx="767">
                  <c:v>44235</c:v>
                </c:pt>
                <c:pt idx="768">
                  <c:v>44236</c:v>
                </c:pt>
                <c:pt idx="769">
                  <c:v>44237</c:v>
                </c:pt>
                <c:pt idx="770">
                  <c:v>44238</c:v>
                </c:pt>
                <c:pt idx="771">
                  <c:v>44239</c:v>
                </c:pt>
                <c:pt idx="772">
                  <c:v>44242</c:v>
                </c:pt>
                <c:pt idx="773">
                  <c:v>44243</c:v>
                </c:pt>
                <c:pt idx="774">
                  <c:v>44244</c:v>
                </c:pt>
                <c:pt idx="775">
                  <c:v>44245</c:v>
                </c:pt>
                <c:pt idx="776">
                  <c:v>44246</c:v>
                </c:pt>
                <c:pt idx="777">
                  <c:v>44249</c:v>
                </c:pt>
                <c:pt idx="778">
                  <c:v>44250</c:v>
                </c:pt>
                <c:pt idx="779">
                  <c:v>44251</c:v>
                </c:pt>
                <c:pt idx="780">
                  <c:v>44252</c:v>
                </c:pt>
                <c:pt idx="781">
                  <c:v>44253</c:v>
                </c:pt>
                <c:pt idx="782">
                  <c:v>44256</c:v>
                </c:pt>
                <c:pt idx="783">
                  <c:v>44257</c:v>
                </c:pt>
                <c:pt idx="784">
                  <c:v>44258</c:v>
                </c:pt>
                <c:pt idx="785">
                  <c:v>44259</c:v>
                </c:pt>
                <c:pt idx="786">
                  <c:v>44260</c:v>
                </c:pt>
                <c:pt idx="787">
                  <c:v>44264</c:v>
                </c:pt>
                <c:pt idx="788">
                  <c:v>44265</c:v>
                </c:pt>
                <c:pt idx="789">
                  <c:v>44266</c:v>
                </c:pt>
                <c:pt idx="790">
                  <c:v>44267</c:v>
                </c:pt>
                <c:pt idx="791">
                  <c:v>44270</c:v>
                </c:pt>
                <c:pt idx="792">
                  <c:v>44271</c:v>
                </c:pt>
                <c:pt idx="793">
                  <c:v>44272</c:v>
                </c:pt>
                <c:pt idx="794">
                  <c:v>44273</c:v>
                </c:pt>
                <c:pt idx="795">
                  <c:v>44274</c:v>
                </c:pt>
                <c:pt idx="796">
                  <c:v>44277</c:v>
                </c:pt>
                <c:pt idx="797">
                  <c:v>44278</c:v>
                </c:pt>
                <c:pt idx="798">
                  <c:v>44279</c:v>
                </c:pt>
                <c:pt idx="799">
                  <c:v>44280</c:v>
                </c:pt>
                <c:pt idx="800">
                  <c:v>44281</c:v>
                </c:pt>
                <c:pt idx="801">
                  <c:v>44284</c:v>
                </c:pt>
                <c:pt idx="802">
                  <c:v>44285</c:v>
                </c:pt>
                <c:pt idx="803">
                  <c:v>44286</c:v>
                </c:pt>
                <c:pt idx="804">
                  <c:v>44287</c:v>
                </c:pt>
                <c:pt idx="805">
                  <c:v>44288</c:v>
                </c:pt>
                <c:pt idx="806">
                  <c:v>44291</c:v>
                </c:pt>
                <c:pt idx="807">
                  <c:v>44292</c:v>
                </c:pt>
                <c:pt idx="808">
                  <c:v>44293</c:v>
                </c:pt>
                <c:pt idx="809">
                  <c:v>44294</c:v>
                </c:pt>
                <c:pt idx="810">
                  <c:v>44295</c:v>
                </c:pt>
                <c:pt idx="811">
                  <c:v>44298</c:v>
                </c:pt>
                <c:pt idx="812">
                  <c:v>44299</c:v>
                </c:pt>
                <c:pt idx="813">
                  <c:v>44300</c:v>
                </c:pt>
                <c:pt idx="814">
                  <c:v>44301</c:v>
                </c:pt>
                <c:pt idx="815">
                  <c:v>44302</c:v>
                </c:pt>
                <c:pt idx="816">
                  <c:v>44305</c:v>
                </c:pt>
                <c:pt idx="817">
                  <c:v>44306</c:v>
                </c:pt>
                <c:pt idx="818">
                  <c:v>44307</c:v>
                </c:pt>
                <c:pt idx="819">
                  <c:v>44308</c:v>
                </c:pt>
                <c:pt idx="820">
                  <c:v>44309</c:v>
                </c:pt>
                <c:pt idx="821">
                  <c:v>44312</c:v>
                </c:pt>
                <c:pt idx="822">
                  <c:v>44313</c:v>
                </c:pt>
                <c:pt idx="823">
                  <c:v>44314</c:v>
                </c:pt>
                <c:pt idx="824">
                  <c:v>44315</c:v>
                </c:pt>
                <c:pt idx="825">
                  <c:v>44316</c:v>
                </c:pt>
                <c:pt idx="826">
                  <c:v>44319</c:v>
                </c:pt>
                <c:pt idx="827">
                  <c:v>44320</c:v>
                </c:pt>
                <c:pt idx="828">
                  <c:v>44321</c:v>
                </c:pt>
                <c:pt idx="829">
                  <c:v>44322</c:v>
                </c:pt>
                <c:pt idx="830">
                  <c:v>44323</c:v>
                </c:pt>
                <c:pt idx="831">
                  <c:v>44326</c:v>
                </c:pt>
                <c:pt idx="832">
                  <c:v>44327</c:v>
                </c:pt>
                <c:pt idx="833">
                  <c:v>44328</c:v>
                </c:pt>
                <c:pt idx="834">
                  <c:v>44329</c:v>
                </c:pt>
                <c:pt idx="835">
                  <c:v>44330</c:v>
                </c:pt>
                <c:pt idx="836">
                  <c:v>44333</c:v>
                </c:pt>
                <c:pt idx="837">
                  <c:v>44334</c:v>
                </c:pt>
                <c:pt idx="838">
                  <c:v>44335</c:v>
                </c:pt>
                <c:pt idx="839">
                  <c:v>44336</c:v>
                </c:pt>
                <c:pt idx="840">
                  <c:v>44337</c:v>
                </c:pt>
                <c:pt idx="841">
                  <c:v>44340</c:v>
                </c:pt>
                <c:pt idx="842">
                  <c:v>44341</c:v>
                </c:pt>
                <c:pt idx="843">
                  <c:v>44342</c:v>
                </c:pt>
                <c:pt idx="844">
                  <c:v>44343</c:v>
                </c:pt>
                <c:pt idx="845">
                  <c:v>44347</c:v>
                </c:pt>
                <c:pt idx="846">
                  <c:v>44348</c:v>
                </c:pt>
                <c:pt idx="847">
                  <c:v>44349</c:v>
                </c:pt>
                <c:pt idx="848">
                  <c:v>44350</c:v>
                </c:pt>
                <c:pt idx="849">
                  <c:v>44351</c:v>
                </c:pt>
                <c:pt idx="850">
                  <c:v>44354</c:v>
                </c:pt>
                <c:pt idx="851">
                  <c:v>44355</c:v>
                </c:pt>
                <c:pt idx="852">
                  <c:v>44356</c:v>
                </c:pt>
                <c:pt idx="853">
                  <c:v>44357</c:v>
                </c:pt>
                <c:pt idx="854">
                  <c:v>44358</c:v>
                </c:pt>
                <c:pt idx="855">
                  <c:v>44361</c:v>
                </c:pt>
                <c:pt idx="856">
                  <c:v>44362</c:v>
                </c:pt>
                <c:pt idx="857">
                  <c:v>44363</c:v>
                </c:pt>
                <c:pt idx="858">
                  <c:v>44364</c:v>
                </c:pt>
                <c:pt idx="859">
                  <c:v>44365</c:v>
                </c:pt>
                <c:pt idx="860">
                  <c:v>44368</c:v>
                </c:pt>
                <c:pt idx="861">
                  <c:v>44369</c:v>
                </c:pt>
                <c:pt idx="862">
                  <c:v>44370</c:v>
                </c:pt>
                <c:pt idx="863">
                  <c:v>44371</c:v>
                </c:pt>
                <c:pt idx="864">
                  <c:v>44372</c:v>
                </c:pt>
                <c:pt idx="865">
                  <c:v>44375</c:v>
                </c:pt>
                <c:pt idx="866">
                  <c:v>44376</c:v>
                </c:pt>
                <c:pt idx="867">
                  <c:v>44377</c:v>
                </c:pt>
                <c:pt idx="868">
                  <c:v>44378</c:v>
                </c:pt>
                <c:pt idx="869">
                  <c:v>44379</c:v>
                </c:pt>
                <c:pt idx="870">
                  <c:v>44383</c:v>
                </c:pt>
                <c:pt idx="871">
                  <c:v>44384</c:v>
                </c:pt>
                <c:pt idx="872">
                  <c:v>44385</c:v>
                </c:pt>
                <c:pt idx="873">
                  <c:v>44386</c:v>
                </c:pt>
                <c:pt idx="874">
                  <c:v>44389</c:v>
                </c:pt>
              </c:numCache>
            </c:numRef>
          </c:cat>
          <c:val>
            <c:numRef>
              <c:f>Sheet1!$C$2:$C$876</c:f>
              <c:numCache>
                <c:formatCode>_(* #\,##0_);_(* \(#\,##0\);_(* "-"??_);_(@_)</c:formatCode>
                <c:ptCount val="875"/>
                <c:pt idx="0">
                  <c:v>100</c:v>
                </c:pt>
                <c:pt idx="1">
                  <c:v>99.882352941176478</c:v>
                </c:pt>
                <c:pt idx="2">
                  <c:v>100.11764705882354</c:v>
                </c:pt>
                <c:pt idx="3">
                  <c:v>100.00000000000001</c:v>
                </c:pt>
                <c:pt idx="4">
                  <c:v>100.58823529411767</c:v>
                </c:pt>
                <c:pt idx="5">
                  <c:v>100.82352941176472</c:v>
                </c:pt>
                <c:pt idx="6">
                  <c:v>100.70588235294119</c:v>
                </c:pt>
                <c:pt idx="7">
                  <c:v>100.35294117647059</c:v>
                </c:pt>
                <c:pt idx="8">
                  <c:v>100.11764705882355</c:v>
                </c:pt>
                <c:pt idx="9">
                  <c:v>100.23529411764709</c:v>
                </c:pt>
                <c:pt idx="10">
                  <c:v>100.23529411764709</c:v>
                </c:pt>
                <c:pt idx="11">
                  <c:v>100.23529411764709</c:v>
                </c:pt>
                <c:pt idx="12">
                  <c:v>100.35294117647061</c:v>
                </c:pt>
                <c:pt idx="13">
                  <c:v>101.29411764705885</c:v>
                </c:pt>
                <c:pt idx="14">
                  <c:v>101.29411764705885</c:v>
                </c:pt>
                <c:pt idx="15">
                  <c:v>100.47058823529414</c:v>
                </c:pt>
                <c:pt idx="16">
                  <c:v>100.94117647058826</c:v>
                </c:pt>
                <c:pt idx="17">
                  <c:v>100.7058823529412</c:v>
                </c:pt>
                <c:pt idx="18">
                  <c:v>100.7058823529412</c:v>
                </c:pt>
                <c:pt idx="19">
                  <c:v>100.58823529411768</c:v>
                </c:pt>
                <c:pt idx="20">
                  <c:v>100.23529411764709</c:v>
                </c:pt>
                <c:pt idx="21">
                  <c:v>99.294117647058854</c:v>
                </c:pt>
                <c:pt idx="22">
                  <c:v>99.294117647058854</c:v>
                </c:pt>
                <c:pt idx="23">
                  <c:v>97.882352941176507</c:v>
                </c:pt>
                <c:pt idx="24">
                  <c:v>97.882352941176507</c:v>
                </c:pt>
                <c:pt idx="25">
                  <c:v>97.882352941176507</c:v>
                </c:pt>
                <c:pt idx="26">
                  <c:v>98.11764705882355</c:v>
                </c:pt>
                <c:pt idx="27">
                  <c:v>98.47058823529413</c:v>
                </c:pt>
                <c:pt idx="28">
                  <c:v>100.00000000000003</c:v>
                </c:pt>
                <c:pt idx="29">
                  <c:v>100.35294117647061</c:v>
                </c:pt>
                <c:pt idx="30">
                  <c:v>100.23529411764707</c:v>
                </c:pt>
                <c:pt idx="31">
                  <c:v>99.647058823529434</c:v>
                </c:pt>
                <c:pt idx="32">
                  <c:v>99.882352941176492</c:v>
                </c:pt>
                <c:pt idx="33">
                  <c:v>99.647058823529449</c:v>
                </c:pt>
                <c:pt idx="34">
                  <c:v>100.23529411764707</c:v>
                </c:pt>
                <c:pt idx="35">
                  <c:v>101.1764705882353</c:v>
                </c:pt>
                <c:pt idx="36">
                  <c:v>101.41176470588236</c:v>
                </c:pt>
                <c:pt idx="37">
                  <c:v>100.58823529411767</c:v>
                </c:pt>
                <c:pt idx="38">
                  <c:v>99.764705882352956</c:v>
                </c:pt>
                <c:pt idx="39">
                  <c:v>99.764705882352956</c:v>
                </c:pt>
                <c:pt idx="40">
                  <c:v>99.17647058823529</c:v>
                </c:pt>
                <c:pt idx="41">
                  <c:v>100</c:v>
                </c:pt>
                <c:pt idx="42">
                  <c:v>99.17647058823529</c:v>
                </c:pt>
                <c:pt idx="43">
                  <c:v>99.529411764705884</c:v>
                </c:pt>
                <c:pt idx="44">
                  <c:v>99.294117647058812</c:v>
                </c:pt>
                <c:pt idx="45">
                  <c:v>99.294117647058812</c:v>
                </c:pt>
                <c:pt idx="46">
                  <c:v>99.17647058823529</c:v>
                </c:pt>
                <c:pt idx="47">
                  <c:v>98.235294117647058</c:v>
                </c:pt>
                <c:pt idx="48">
                  <c:v>98.235294117647058</c:v>
                </c:pt>
                <c:pt idx="49">
                  <c:v>98</c:v>
                </c:pt>
                <c:pt idx="50">
                  <c:v>97.64705882352942</c:v>
                </c:pt>
                <c:pt idx="51">
                  <c:v>98.117647058823536</c:v>
                </c:pt>
                <c:pt idx="52">
                  <c:v>99.294117647058826</c:v>
                </c:pt>
                <c:pt idx="53">
                  <c:v>98.82352941176471</c:v>
                </c:pt>
                <c:pt idx="54">
                  <c:v>99.294117647058826</c:v>
                </c:pt>
                <c:pt idx="55">
                  <c:v>98.941176470588246</c:v>
                </c:pt>
                <c:pt idx="56">
                  <c:v>98.117647058823536</c:v>
                </c:pt>
                <c:pt idx="57">
                  <c:v>98.000000000000014</c:v>
                </c:pt>
                <c:pt idx="58">
                  <c:v>98.352941176470594</c:v>
                </c:pt>
                <c:pt idx="59">
                  <c:v>98.117647058823536</c:v>
                </c:pt>
                <c:pt idx="60">
                  <c:v>97.647058823529434</c:v>
                </c:pt>
                <c:pt idx="61">
                  <c:v>98.235294117647072</c:v>
                </c:pt>
                <c:pt idx="62">
                  <c:v>97.647058823529449</c:v>
                </c:pt>
                <c:pt idx="63">
                  <c:v>97.647058823529449</c:v>
                </c:pt>
                <c:pt idx="64">
                  <c:v>95.176470588235318</c:v>
                </c:pt>
                <c:pt idx="65">
                  <c:v>90.705882352941202</c:v>
                </c:pt>
                <c:pt idx="66">
                  <c:v>88.470588235294144</c:v>
                </c:pt>
                <c:pt idx="67">
                  <c:v>91.882352941176492</c:v>
                </c:pt>
                <c:pt idx="68">
                  <c:v>92.352941176470623</c:v>
                </c:pt>
                <c:pt idx="69">
                  <c:v>91.76470588235297</c:v>
                </c:pt>
                <c:pt idx="70">
                  <c:v>92.117647058823565</c:v>
                </c:pt>
                <c:pt idx="71">
                  <c:v>91.647058823529449</c:v>
                </c:pt>
                <c:pt idx="72">
                  <c:v>92.470588235294159</c:v>
                </c:pt>
                <c:pt idx="73">
                  <c:v>92.000000000000043</c:v>
                </c:pt>
                <c:pt idx="74">
                  <c:v>91.058823529411811</c:v>
                </c:pt>
                <c:pt idx="75">
                  <c:v>91.529411764705927</c:v>
                </c:pt>
                <c:pt idx="76">
                  <c:v>90.352941176470637</c:v>
                </c:pt>
                <c:pt idx="77">
                  <c:v>90.705882352941231</c:v>
                </c:pt>
                <c:pt idx="78">
                  <c:v>89.294117647058869</c:v>
                </c:pt>
                <c:pt idx="79">
                  <c:v>90.000000000000057</c:v>
                </c:pt>
                <c:pt idx="80">
                  <c:v>90.000000000000057</c:v>
                </c:pt>
                <c:pt idx="81">
                  <c:v>90.117647058823593</c:v>
                </c:pt>
                <c:pt idx="82">
                  <c:v>90.941176470588303</c:v>
                </c:pt>
                <c:pt idx="83">
                  <c:v>90.470588235294187</c:v>
                </c:pt>
                <c:pt idx="84">
                  <c:v>91.882352941176535</c:v>
                </c:pt>
                <c:pt idx="85">
                  <c:v>92.705882352941245</c:v>
                </c:pt>
                <c:pt idx="86">
                  <c:v>92.470588235294187</c:v>
                </c:pt>
                <c:pt idx="87">
                  <c:v>92.117647058823593</c:v>
                </c:pt>
                <c:pt idx="88">
                  <c:v>91.058823529411825</c:v>
                </c:pt>
                <c:pt idx="89">
                  <c:v>91.882352941176521</c:v>
                </c:pt>
                <c:pt idx="90">
                  <c:v>91.294117647058869</c:v>
                </c:pt>
                <c:pt idx="91">
                  <c:v>91.058823529411811</c:v>
                </c:pt>
                <c:pt idx="92">
                  <c:v>92.705882352941217</c:v>
                </c:pt>
                <c:pt idx="93">
                  <c:v>92.117647058823579</c:v>
                </c:pt>
                <c:pt idx="94">
                  <c:v>92.470588235294173</c:v>
                </c:pt>
                <c:pt idx="95">
                  <c:v>91.882352941176507</c:v>
                </c:pt>
                <c:pt idx="96">
                  <c:v>90.58823529411768</c:v>
                </c:pt>
                <c:pt idx="97">
                  <c:v>91.058823529411796</c:v>
                </c:pt>
                <c:pt idx="98">
                  <c:v>91.411764705882391</c:v>
                </c:pt>
                <c:pt idx="99">
                  <c:v>91.411764705882391</c:v>
                </c:pt>
                <c:pt idx="100">
                  <c:v>91.764705882352985</c:v>
                </c:pt>
                <c:pt idx="101">
                  <c:v>91.529411764705927</c:v>
                </c:pt>
                <c:pt idx="102">
                  <c:v>91.764705882352985</c:v>
                </c:pt>
                <c:pt idx="103">
                  <c:v>92.000000000000043</c:v>
                </c:pt>
                <c:pt idx="104">
                  <c:v>90.58823529411768</c:v>
                </c:pt>
                <c:pt idx="105">
                  <c:v>90.705882352941217</c:v>
                </c:pt>
                <c:pt idx="106">
                  <c:v>90.705882352941217</c:v>
                </c:pt>
                <c:pt idx="107">
                  <c:v>90.235294117647101</c:v>
                </c:pt>
                <c:pt idx="108">
                  <c:v>91.294117647058869</c:v>
                </c:pt>
                <c:pt idx="109">
                  <c:v>90.470588235294159</c:v>
                </c:pt>
                <c:pt idx="110">
                  <c:v>89.647058823529449</c:v>
                </c:pt>
                <c:pt idx="111">
                  <c:v>88.470588235294144</c:v>
                </c:pt>
                <c:pt idx="112">
                  <c:v>89.294117647058854</c:v>
                </c:pt>
                <c:pt idx="113">
                  <c:v>88.823529411764738</c:v>
                </c:pt>
                <c:pt idx="114">
                  <c:v>89.882352941176507</c:v>
                </c:pt>
                <c:pt idx="115">
                  <c:v>90.235294117647101</c:v>
                </c:pt>
                <c:pt idx="116">
                  <c:v>90.117647058823579</c:v>
                </c:pt>
                <c:pt idx="117">
                  <c:v>89.647058823529463</c:v>
                </c:pt>
                <c:pt idx="118">
                  <c:v>89.764705882352985</c:v>
                </c:pt>
                <c:pt idx="119">
                  <c:v>90.470588235294173</c:v>
                </c:pt>
                <c:pt idx="120">
                  <c:v>89.882352941176521</c:v>
                </c:pt>
                <c:pt idx="121">
                  <c:v>89.764705882352999</c:v>
                </c:pt>
                <c:pt idx="122">
                  <c:v>89.764705882352999</c:v>
                </c:pt>
                <c:pt idx="123">
                  <c:v>90.000000000000057</c:v>
                </c:pt>
                <c:pt idx="124">
                  <c:v>90.470588235294173</c:v>
                </c:pt>
                <c:pt idx="125">
                  <c:v>90.823529411764738</c:v>
                </c:pt>
                <c:pt idx="126">
                  <c:v>91.176470588235333</c:v>
                </c:pt>
                <c:pt idx="127">
                  <c:v>91.176470588235333</c:v>
                </c:pt>
                <c:pt idx="128">
                  <c:v>90.941176470588275</c:v>
                </c:pt>
                <c:pt idx="129">
                  <c:v>90.941176470588275</c:v>
                </c:pt>
                <c:pt idx="130">
                  <c:v>90.470588235294159</c:v>
                </c:pt>
                <c:pt idx="131">
                  <c:v>89.647058823529449</c:v>
                </c:pt>
                <c:pt idx="132">
                  <c:v>89.058823529411811</c:v>
                </c:pt>
                <c:pt idx="133">
                  <c:v>89.176470588235333</c:v>
                </c:pt>
                <c:pt idx="134">
                  <c:v>89.647058823529463</c:v>
                </c:pt>
                <c:pt idx="135">
                  <c:v>90.117647058823579</c:v>
                </c:pt>
                <c:pt idx="136">
                  <c:v>89.882352941176521</c:v>
                </c:pt>
                <c:pt idx="137">
                  <c:v>89.882352941176521</c:v>
                </c:pt>
                <c:pt idx="138">
                  <c:v>89.764705882352999</c:v>
                </c:pt>
                <c:pt idx="139">
                  <c:v>90.352941176470637</c:v>
                </c:pt>
                <c:pt idx="140">
                  <c:v>90.705882352941231</c:v>
                </c:pt>
                <c:pt idx="141">
                  <c:v>90.352941176470637</c:v>
                </c:pt>
                <c:pt idx="142">
                  <c:v>89.411764705882405</c:v>
                </c:pt>
                <c:pt idx="143">
                  <c:v>89.176470588235361</c:v>
                </c:pt>
                <c:pt idx="144">
                  <c:v>89.176470588235361</c:v>
                </c:pt>
                <c:pt idx="145">
                  <c:v>89.294117647058883</c:v>
                </c:pt>
                <c:pt idx="146">
                  <c:v>88.352941176470651</c:v>
                </c:pt>
                <c:pt idx="147">
                  <c:v>86.117647058823593</c:v>
                </c:pt>
                <c:pt idx="148">
                  <c:v>84.823529411764767</c:v>
                </c:pt>
                <c:pt idx="149">
                  <c:v>83.529411764705941</c:v>
                </c:pt>
                <c:pt idx="150">
                  <c:v>85.058823529411839</c:v>
                </c:pt>
                <c:pt idx="151">
                  <c:v>85.058823529411839</c:v>
                </c:pt>
                <c:pt idx="152">
                  <c:v>85.058823529411839</c:v>
                </c:pt>
                <c:pt idx="153">
                  <c:v>84.235294117647129</c:v>
                </c:pt>
                <c:pt idx="154">
                  <c:v>84.705882352941245</c:v>
                </c:pt>
                <c:pt idx="155">
                  <c:v>84.352941176470651</c:v>
                </c:pt>
                <c:pt idx="156">
                  <c:v>84.000000000000057</c:v>
                </c:pt>
                <c:pt idx="157">
                  <c:v>82.352941176470651</c:v>
                </c:pt>
                <c:pt idx="158">
                  <c:v>83.764705882352999</c:v>
                </c:pt>
                <c:pt idx="159">
                  <c:v>84.470588235294173</c:v>
                </c:pt>
                <c:pt idx="160">
                  <c:v>84.352941176470651</c:v>
                </c:pt>
                <c:pt idx="161">
                  <c:v>83.529411764705941</c:v>
                </c:pt>
                <c:pt idx="162">
                  <c:v>83.411764705882405</c:v>
                </c:pt>
                <c:pt idx="163">
                  <c:v>83.529411764705941</c:v>
                </c:pt>
                <c:pt idx="164">
                  <c:v>83.764705882352999</c:v>
                </c:pt>
                <c:pt idx="165">
                  <c:v>83.411764705882405</c:v>
                </c:pt>
                <c:pt idx="166">
                  <c:v>83.176470588235361</c:v>
                </c:pt>
                <c:pt idx="167">
                  <c:v>83.411764705882405</c:v>
                </c:pt>
                <c:pt idx="168">
                  <c:v>82.705882352941231</c:v>
                </c:pt>
                <c:pt idx="169">
                  <c:v>81.411764705882405</c:v>
                </c:pt>
                <c:pt idx="170">
                  <c:v>81.411764705882405</c:v>
                </c:pt>
                <c:pt idx="171">
                  <c:v>82.235294117647129</c:v>
                </c:pt>
                <c:pt idx="172">
                  <c:v>83.294117647058897</c:v>
                </c:pt>
                <c:pt idx="173">
                  <c:v>83.294117647058897</c:v>
                </c:pt>
                <c:pt idx="174">
                  <c:v>83.647058823529491</c:v>
                </c:pt>
                <c:pt idx="175">
                  <c:v>84.117647058823607</c:v>
                </c:pt>
                <c:pt idx="176">
                  <c:v>84.941176470588303</c:v>
                </c:pt>
                <c:pt idx="177">
                  <c:v>85.647058823529491</c:v>
                </c:pt>
                <c:pt idx="178">
                  <c:v>86.000000000000085</c:v>
                </c:pt>
                <c:pt idx="179">
                  <c:v>86.117647058823621</c:v>
                </c:pt>
                <c:pt idx="180">
                  <c:v>86.117647058823621</c:v>
                </c:pt>
                <c:pt idx="181">
                  <c:v>86.235294117647157</c:v>
                </c:pt>
                <c:pt idx="182">
                  <c:v>86.235294117647157</c:v>
                </c:pt>
                <c:pt idx="183">
                  <c:v>86.705882352941273</c:v>
                </c:pt>
                <c:pt idx="184">
                  <c:v>86.823529411764795</c:v>
                </c:pt>
                <c:pt idx="185">
                  <c:v>86.941176470588317</c:v>
                </c:pt>
                <c:pt idx="186">
                  <c:v>86.117647058823607</c:v>
                </c:pt>
                <c:pt idx="187">
                  <c:v>85.529411764705955</c:v>
                </c:pt>
                <c:pt idx="188">
                  <c:v>85.411764705882433</c:v>
                </c:pt>
                <c:pt idx="189">
                  <c:v>85.764705882353027</c:v>
                </c:pt>
                <c:pt idx="190">
                  <c:v>86.352941176470679</c:v>
                </c:pt>
                <c:pt idx="191">
                  <c:v>87.058823529411853</c:v>
                </c:pt>
                <c:pt idx="192">
                  <c:v>87.058823529411853</c:v>
                </c:pt>
                <c:pt idx="193">
                  <c:v>86.823529411764781</c:v>
                </c:pt>
                <c:pt idx="194">
                  <c:v>86.823529411764781</c:v>
                </c:pt>
                <c:pt idx="195">
                  <c:v>86.705882352941259</c:v>
                </c:pt>
                <c:pt idx="196">
                  <c:v>87.176470588235375</c:v>
                </c:pt>
                <c:pt idx="197">
                  <c:v>87.294117647058897</c:v>
                </c:pt>
                <c:pt idx="198">
                  <c:v>86.941176470588303</c:v>
                </c:pt>
                <c:pt idx="199">
                  <c:v>86.941176470588303</c:v>
                </c:pt>
                <c:pt idx="200">
                  <c:v>86.941176470588303</c:v>
                </c:pt>
                <c:pt idx="201">
                  <c:v>86.823529411764781</c:v>
                </c:pt>
                <c:pt idx="202">
                  <c:v>87.058823529411853</c:v>
                </c:pt>
                <c:pt idx="203">
                  <c:v>87.058823529411853</c:v>
                </c:pt>
                <c:pt idx="204">
                  <c:v>87.058823529411853</c:v>
                </c:pt>
                <c:pt idx="205">
                  <c:v>87.294117647058911</c:v>
                </c:pt>
                <c:pt idx="206">
                  <c:v>87.176470588235389</c:v>
                </c:pt>
                <c:pt idx="207">
                  <c:v>87.294117647058911</c:v>
                </c:pt>
                <c:pt idx="208">
                  <c:v>86.470588235294201</c:v>
                </c:pt>
                <c:pt idx="209">
                  <c:v>87.058823529411853</c:v>
                </c:pt>
                <c:pt idx="210">
                  <c:v>86.941176470588317</c:v>
                </c:pt>
                <c:pt idx="211">
                  <c:v>86.470588235294201</c:v>
                </c:pt>
                <c:pt idx="212">
                  <c:v>85.764705882353027</c:v>
                </c:pt>
                <c:pt idx="213">
                  <c:v>84.941176470588317</c:v>
                </c:pt>
                <c:pt idx="214">
                  <c:v>84.823529411764795</c:v>
                </c:pt>
                <c:pt idx="215">
                  <c:v>84.823529411764795</c:v>
                </c:pt>
                <c:pt idx="216">
                  <c:v>86.000000000000085</c:v>
                </c:pt>
                <c:pt idx="217">
                  <c:v>86.470588235294201</c:v>
                </c:pt>
                <c:pt idx="218">
                  <c:v>86.705882352941259</c:v>
                </c:pt>
                <c:pt idx="219">
                  <c:v>86.823529411764781</c:v>
                </c:pt>
                <c:pt idx="220">
                  <c:v>86.470588235294187</c:v>
                </c:pt>
                <c:pt idx="221">
                  <c:v>86.823529411764781</c:v>
                </c:pt>
                <c:pt idx="222">
                  <c:v>86.823529411764781</c:v>
                </c:pt>
                <c:pt idx="223">
                  <c:v>85.764705882353013</c:v>
                </c:pt>
                <c:pt idx="224">
                  <c:v>85.529411764705955</c:v>
                </c:pt>
                <c:pt idx="225">
                  <c:v>84.705882352941259</c:v>
                </c:pt>
                <c:pt idx="226">
                  <c:v>85.647058823529491</c:v>
                </c:pt>
                <c:pt idx="227">
                  <c:v>85.411764705882419</c:v>
                </c:pt>
                <c:pt idx="228">
                  <c:v>85.882352941176535</c:v>
                </c:pt>
                <c:pt idx="229">
                  <c:v>86.117647058823607</c:v>
                </c:pt>
                <c:pt idx="230">
                  <c:v>85.529411764705955</c:v>
                </c:pt>
                <c:pt idx="231">
                  <c:v>85.176470588235375</c:v>
                </c:pt>
                <c:pt idx="232">
                  <c:v>85.294117647058911</c:v>
                </c:pt>
                <c:pt idx="233">
                  <c:v>86.117647058823621</c:v>
                </c:pt>
                <c:pt idx="234">
                  <c:v>85.882352941176549</c:v>
                </c:pt>
                <c:pt idx="235">
                  <c:v>86.000000000000085</c:v>
                </c:pt>
                <c:pt idx="236">
                  <c:v>86.117647058823621</c:v>
                </c:pt>
                <c:pt idx="237">
                  <c:v>85.882352941176549</c:v>
                </c:pt>
                <c:pt idx="238">
                  <c:v>85.764705882353027</c:v>
                </c:pt>
                <c:pt idx="239">
                  <c:v>85.529411764705969</c:v>
                </c:pt>
                <c:pt idx="240">
                  <c:v>84.823529411764795</c:v>
                </c:pt>
                <c:pt idx="241">
                  <c:v>84.705882352941259</c:v>
                </c:pt>
                <c:pt idx="242">
                  <c:v>83.529411764705955</c:v>
                </c:pt>
                <c:pt idx="243">
                  <c:v>83.294117647058911</c:v>
                </c:pt>
                <c:pt idx="244">
                  <c:v>82.705882352941259</c:v>
                </c:pt>
                <c:pt idx="245">
                  <c:v>82.117647058823607</c:v>
                </c:pt>
                <c:pt idx="246">
                  <c:v>82.117647058823607</c:v>
                </c:pt>
                <c:pt idx="247">
                  <c:v>82.000000000000071</c:v>
                </c:pt>
                <c:pt idx="248">
                  <c:v>84.941176470588317</c:v>
                </c:pt>
                <c:pt idx="249">
                  <c:v>85.176470588235375</c:v>
                </c:pt>
                <c:pt idx="250">
                  <c:v>85.176470588235375</c:v>
                </c:pt>
                <c:pt idx="251">
                  <c:v>85.411764705882433</c:v>
                </c:pt>
                <c:pt idx="252">
                  <c:v>85.058823529411853</c:v>
                </c:pt>
                <c:pt idx="253">
                  <c:v>85.294117647058911</c:v>
                </c:pt>
                <c:pt idx="254">
                  <c:v>85.764705882353027</c:v>
                </c:pt>
                <c:pt idx="255">
                  <c:v>85.882352941176549</c:v>
                </c:pt>
                <c:pt idx="256">
                  <c:v>86.000000000000085</c:v>
                </c:pt>
                <c:pt idx="257">
                  <c:v>86.000000000000085</c:v>
                </c:pt>
                <c:pt idx="258">
                  <c:v>85.764705882353027</c:v>
                </c:pt>
                <c:pt idx="259">
                  <c:v>86.235294117647143</c:v>
                </c:pt>
                <c:pt idx="260">
                  <c:v>86.588235294117737</c:v>
                </c:pt>
                <c:pt idx="261">
                  <c:v>86.352941176470679</c:v>
                </c:pt>
                <c:pt idx="262">
                  <c:v>86.352941176470679</c:v>
                </c:pt>
                <c:pt idx="263">
                  <c:v>86.705882352941273</c:v>
                </c:pt>
                <c:pt idx="264">
                  <c:v>87.882352941176563</c:v>
                </c:pt>
                <c:pt idx="265">
                  <c:v>87.411764705882447</c:v>
                </c:pt>
                <c:pt idx="266">
                  <c:v>87.411764705882447</c:v>
                </c:pt>
                <c:pt idx="267">
                  <c:v>87.647058823529505</c:v>
                </c:pt>
                <c:pt idx="268">
                  <c:v>87.411764705882447</c:v>
                </c:pt>
                <c:pt idx="269">
                  <c:v>87.058823529411868</c:v>
                </c:pt>
                <c:pt idx="270">
                  <c:v>87.176470588235389</c:v>
                </c:pt>
                <c:pt idx="271">
                  <c:v>87.647058823529505</c:v>
                </c:pt>
                <c:pt idx="272">
                  <c:v>87.764705882353027</c:v>
                </c:pt>
                <c:pt idx="273">
                  <c:v>87.529411764705984</c:v>
                </c:pt>
                <c:pt idx="274">
                  <c:v>86.000000000000085</c:v>
                </c:pt>
                <c:pt idx="275">
                  <c:v>86.117647058823621</c:v>
                </c:pt>
                <c:pt idx="276">
                  <c:v>86.588235294117737</c:v>
                </c:pt>
                <c:pt idx="277">
                  <c:v>86.588235294117737</c:v>
                </c:pt>
                <c:pt idx="278">
                  <c:v>87.176470588235389</c:v>
                </c:pt>
                <c:pt idx="279">
                  <c:v>87.647058823529505</c:v>
                </c:pt>
                <c:pt idx="280">
                  <c:v>87.764705882353027</c:v>
                </c:pt>
                <c:pt idx="281">
                  <c:v>88.117647058823621</c:v>
                </c:pt>
                <c:pt idx="282">
                  <c:v>87.647058823529505</c:v>
                </c:pt>
                <c:pt idx="283">
                  <c:v>87.529411764705984</c:v>
                </c:pt>
                <c:pt idx="284">
                  <c:v>87.529411764705984</c:v>
                </c:pt>
                <c:pt idx="285">
                  <c:v>87.529411764705984</c:v>
                </c:pt>
                <c:pt idx="286">
                  <c:v>87.764705882353041</c:v>
                </c:pt>
                <c:pt idx="287">
                  <c:v>87.764705882353041</c:v>
                </c:pt>
                <c:pt idx="288">
                  <c:v>87.411764705882447</c:v>
                </c:pt>
                <c:pt idx="289">
                  <c:v>87.294117647058911</c:v>
                </c:pt>
                <c:pt idx="290">
                  <c:v>87.058823529411853</c:v>
                </c:pt>
                <c:pt idx="291">
                  <c:v>87.294117647058911</c:v>
                </c:pt>
                <c:pt idx="292">
                  <c:v>87.529411764705984</c:v>
                </c:pt>
                <c:pt idx="293">
                  <c:v>87.529411764705984</c:v>
                </c:pt>
                <c:pt idx="294">
                  <c:v>87.647058823529505</c:v>
                </c:pt>
                <c:pt idx="295">
                  <c:v>88.588235294117737</c:v>
                </c:pt>
                <c:pt idx="296">
                  <c:v>89.058823529411853</c:v>
                </c:pt>
                <c:pt idx="297">
                  <c:v>88.823529411764781</c:v>
                </c:pt>
                <c:pt idx="298">
                  <c:v>89.882352941176549</c:v>
                </c:pt>
                <c:pt idx="299">
                  <c:v>89.176470588235375</c:v>
                </c:pt>
                <c:pt idx="300">
                  <c:v>88.941176470588317</c:v>
                </c:pt>
                <c:pt idx="301">
                  <c:v>88.941176470588317</c:v>
                </c:pt>
                <c:pt idx="302">
                  <c:v>88.352941176470665</c:v>
                </c:pt>
                <c:pt idx="303">
                  <c:v>88.235294117647143</c:v>
                </c:pt>
                <c:pt idx="304">
                  <c:v>88.470588235294201</c:v>
                </c:pt>
                <c:pt idx="305">
                  <c:v>87.529411764705984</c:v>
                </c:pt>
                <c:pt idx="306">
                  <c:v>87.411764705882447</c:v>
                </c:pt>
                <c:pt idx="307">
                  <c:v>87.882352941176578</c:v>
                </c:pt>
                <c:pt idx="308">
                  <c:v>87.64705882352952</c:v>
                </c:pt>
                <c:pt idx="309">
                  <c:v>87.64705882352952</c:v>
                </c:pt>
                <c:pt idx="310">
                  <c:v>87.64705882352952</c:v>
                </c:pt>
                <c:pt idx="311">
                  <c:v>88.470588235294215</c:v>
                </c:pt>
                <c:pt idx="312">
                  <c:v>88.352941176470694</c:v>
                </c:pt>
                <c:pt idx="313">
                  <c:v>88.705882352941288</c:v>
                </c:pt>
                <c:pt idx="314">
                  <c:v>88.705882352941288</c:v>
                </c:pt>
                <c:pt idx="315">
                  <c:v>88.823529411764824</c:v>
                </c:pt>
                <c:pt idx="316">
                  <c:v>88.705882352941302</c:v>
                </c:pt>
                <c:pt idx="317">
                  <c:v>88.94117647058836</c:v>
                </c:pt>
                <c:pt idx="318">
                  <c:v>88.705882352941302</c:v>
                </c:pt>
                <c:pt idx="319">
                  <c:v>88.705882352941302</c:v>
                </c:pt>
                <c:pt idx="320">
                  <c:v>88.94117647058836</c:v>
                </c:pt>
                <c:pt idx="321">
                  <c:v>88.94117647058836</c:v>
                </c:pt>
                <c:pt idx="322">
                  <c:v>87.294117647058954</c:v>
                </c:pt>
                <c:pt idx="323">
                  <c:v>87.41176470588249</c:v>
                </c:pt>
                <c:pt idx="324">
                  <c:v>87.529411764706026</c:v>
                </c:pt>
                <c:pt idx="325">
                  <c:v>87.764705882353084</c:v>
                </c:pt>
                <c:pt idx="326">
                  <c:v>86.588235294117794</c:v>
                </c:pt>
                <c:pt idx="327">
                  <c:v>86.470588235294258</c:v>
                </c:pt>
                <c:pt idx="328">
                  <c:v>86.941176470588374</c:v>
                </c:pt>
                <c:pt idx="329">
                  <c:v>86.823529411764852</c:v>
                </c:pt>
                <c:pt idx="330">
                  <c:v>86.941176470588374</c:v>
                </c:pt>
                <c:pt idx="331">
                  <c:v>87.05882352941191</c:v>
                </c:pt>
                <c:pt idx="332">
                  <c:v>86.705882352941316</c:v>
                </c:pt>
                <c:pt idx="333">
                  <c:v>86.58823529411778</c:v>
                </c:pt>
                <c:pt idx="334">
                  <c:v>87.176470588235432</c:v>
                </c:pt>
                <c:pt idx="335">
                  <c:v>87.529411764706012</c:v>
                </c:pt>
                <c:pt idx="336">
                  <c:v>87.411764705882476</c:v>
                </c:pt>
                <c:pt idx="337">
                  <c:v>87.529411764706012</c:v>
                </c:pt>
                <c:pt idx="338">
                  <c:v>87.529411764706012</c:v>
                </c:pt>
                <c:pt idx="339">
                  <c:v>87.882352941176592</c:v>
                </c:pt>
                <c:pt idx="340">
                  <c:v>87.29411764705894</c:v>
                </c:pt>
                <c:pt idx="341">
                  <c:v>87.529411764706012</c:v>
                </c:pt>
                <c:pt idx="342">
                  <c:v>87.647058823529534</c:v>
                </c:pt>
                <c:pt idx="343">
                  <c:v>86.823529411764824</c:v>
                </c:pt>
                <c:pt idx="344">
                  <c:v>87.058823529411896</c:v>
                </c:pt>
                <c:pt idx="345">
                  <c:v>86.235294117647186</c:v>
                </c:pt>
                <c:pt idx="346">
                  <c:v>86.47058823529423</c:v>
                </c:pt>
                <c:pt idx="347">
                  <c:v>86.588235294117766</c:v>
                </c:pt>
                <c:pt idx="348">
                  <c:v>86.82352941176481</c:v>
                </c:pt>
                <c:pt idx="349">
                  <c:v>86.588235294117766</c:v>
                </c:pt>
                <c:pt idx="350">
                  <c:v>86.705882352941288</c:v>
                </c:pt>
                <c:pt idx="351">
                  <c:v>87.176470588235404</c:v>
                </c:pt>
                <c:pt idx="352">
                  <c:v>87.411764705882462</c:v>
                </c:pt>
                <c:pt idx="353">
                  <c:v>87.058823529411882</c:v>
                </c:pt>
                <c:pt idx="354">
                  <c:v>87.058823529411882</c:v>
                </c:pt>
                <c:pt idx="355">
                  <c:v>87.411764705882462</c:v>
                </c:pt>
                <c:pt idx="356">
                  <c:v>87.411764705882462</c:v>
                </c:pt>
                <c:pt idx="357">
                  <c:v>87.411764705882462</c:v>
                </c:pt>
                <c:pt idx="358">
                  <c:v>87.882352941176592</c:v>
                </c:pt>
                <c:pt idx="359">
                  <c:v>88.823529411764824</c:v>
                </c:pt>
                <c:pt idx="360">
                  <c:v>89.058823529411896</c:v>
                </c:pt>
                <c:pt idx="361">
                  <c:v>89.411764705882462</c:v>
                </c:pt>
                <c:pt idx="362">
                  <c:v>89.529411764706012</c:v>
                </c:pt>
                <c:pt idx="363">
                  <c:v>88.94117647058836</c:v>
                </c:pt>
                <c:pt idx="364">
                  <c:v>89.058823529411896</c:v>
                </c:pt>
                <c:pt idx="365">
                  <c:v>89.058823529411896</c:v>
                </c:pt>
                <c:pt idx="366">
                  <c:v>88.823529411764824</c:v>
                </c:pt>
                <c:pt idx="367">
                  <c:v>88.705882352941302</c:v>
                </c:pt>
                <c:pt idx="368">
                  <c:v>88.352941176470708</c:v>
                </c:pt>
                <c:pt idx="369">
                  <c:v>88.47058823529423</c:v>
                </c:pt>
                <c:pt idx="370">
                  <c:v>87.882352941176578</c:v>
                </c:pt>
                <c:pt idx="371">
                  <c:v>87.882352941176578</c:v>
                </c:pt>
                <c:pt idx="372">
                  <c:v>88.000000000000114</c:v>
                </c:pt>
                <c:pt idx="373">
                  <c:v>89.058823529411868</c:v>
                </c:pt>
                <c:pt idx="374">
                  <c:v>88.941176470588331</c:v>
                </c:pt>
                <c:pt idx="375">
                  <c:v>89.529411764705984</c:v>
                </c:pt>
                <c:pt idx="376">
                  <c:v>89.411764705882447</c:v>
                </c:pt>
                <c:pt idx="377">
                  <c:v>89.176470588235404</c:v>
                </c:pt>
                <c:pt idx="378">
                  <c:v>89.058823529411882</c:v>
                </c:pt>
                <c:pt idx="379">
                  <c:v>88.941176470588346</c:v>
                </c:pt>
                <c:pt idx="380">
                  <c:v>88.941176470588346</c:v>
                </c:pt>
                <c:pt idx="381">
                  <c:v>88.705882352941288</c:v>
                </c:pt>
                <c:pt idx="382">
                  <c:v>88.823529411764824</c:v>
                </c:pt>
                <c:pt idx="383">
                  <c:v>88.705882352941302</c:v>
                </c:pt>
                <c:pt idx="384">
                  <c:v>88.705882352941302</c:v>
                </c:pt>
                <c:pt idx="385">
                  <c:v>88.235294117647186</c:v>
                </c:pt>
                <c:pt idx="386">
                  <c:v>88.352941176470722</c:v>
                </c:pt>
                <c:pt idx="387">
                  <c:v>88.2352941176472</c:v>
                </c:pt>
                <c:pt idx="388">
                  <c:v>87.764705882353084</c:v>
                </c:pt>
                <c:pt idx="389">
                  <c:v>86.2352941176472</c:v>
                </c:pt>
                <c:pt idx="390">
                  <c:v>86.2352941176472</c:v>
                </c:pt>
                <c:pt idx="391">
                  <c:v>85.882352941176606</c:v>
                </c:pt>
                <c:pt idx="392">
                  <c:v>86.235294117647186</c:v>
                </c:pt>
                <c:pt idx="393">
                  <c:v>85.882352941176592</c:v>
                </c:pt>
                <c:pt idx="394">
                  <c:v>85.529411764705998</c:v>
                </c:pt>
                <c:pt idx="395">
                  <c:v>85.529411764705998</c:v>
                </c:pt>
                <c:pt idx="396">
                  <c:v>85.29411764705894</c:v>
                </c:pt>
                <c:pt idx="397">
                  <c:v>85.764705882353056</c:v>
                </c:pt>
                <c:pt idx="398">
                  <c:v>84.588235294117766</c:v>
                </c:pt>
                <c:pt idx="399">
                  <c:v>84.941176470588346</c:v>
                </c:pt>
                <c:pt idx="400">
                  <c:v>83.764705882353056</c:v>
                </c:pt>
                <c:pt idx="401">
                  <c:v>83.882352941176578</c:v>
                </c:pt>
                <c:pt idx="402">
                  <c:v>84.705882352941288</c:v>
                </c:pt>
                <c:pt idx="403">
                  <c:v>85.29411764705894</c:v>
                </c:pt>
                <c:pt idx="404">
                  <c:v>85.29411764705894</c:v>
                </c:pt>
                <c:pt idx="405">
                  <c:v>84.823529411764824</c:v>
                </c:pt>
                <c:pt idx="406">
                  <c:v>84.352941176470708</c:v>
                </c:pt>
                <c:pt idx="407">
                  <c:v>83.882352941176592</c:v>
                </c:pt>
                <c:pt idx="408">
                  <c:v>84.000000000000128</c:v>
                </c:pt>
                <c:pt idx="409">
                  <c:v>84.352941176470722</c:v>
                </c:pt>
                <c:pt idx="410">
                  <c:v>84.000000000000128</c:v>
                </c:pt>
                <c:pt idx="411">
                  <c:v>83.76470588235307</c:v>
                </c:pt>
                <c:pt idx="412">
                  <c:v>84.470588235294244</c:v>
                </c:pt>
                <c:pt idx="413">
                  <c:v>84.94117647058836</c:v>
                </c:pt>
                <c:pt idx="414">
                  <c:v>84.94117647058836</c:v>
                </c:pt>
                <c:pt idx="415">
                  <c:v>85.647058823529548</c:v>
                </c:pt>
                <c:pt idx="416">
                  <c:v>85.647058823529548</c:v>
                </c:pt>
                <c:pt idx="417">
                  <c:v>85.647058823529548</c:v>
                </c:pt>
                <c:pt idx="418">
                  <c:v>86.117647058823664</c:v>
                </c:pt>
                <c:pt idx="419">
                  <c:v>87.176470588235432</c:v>
                </c:pt>
                <c:pt idx="420">
                  <c:v>87.41176470588249</c:v>
                </c:pt>
                <c:pt idx="421">
                  <c:v>87.294117647058954</c:v>
                </c:pt>
                <c:pt idx="422">
                  <c:v>86.94117647058836</c:v>
                </c:pt>
                <c:pt idx="423">
                  <c:v>87.294117647058954</c:v>
                </c:pt>
                <c:pt idx="424">
                  <c:v>87.882352941176592</c:v>
                </c:pt>
                <c:pt idx="425">
                  <c:v>87.529411764706012</c:v>
                </c:pt>
                <c:pt idx="426">
                  <c:v>88.000000000000128</c:v>
                </c:pt>
                <c:pt idx="427">
                  <c:v>87.058823529411882</c:v>
                </c:pt>
                <c:pt idx="428">
                  <c:v>87.058823529411882</c:v>
                </c:pt>
                <c:pt idx="429">
                  <c:v>87.058823529411882</c:v>
                </c:pt>
                <c:pt idx="430">
                  <c:v>86.352941176470708</c:v>
                </c:pt>
                <c:pt idx="431">
                  <c:v>86.11764705882365</c:v>
                </c:pt>
                <c:pt idx="432">
                  <c:v>85.647058823529534</c:v>
                </c:pt>
                <c:pt idx="433">
                  <c:v>86.11764705882365</c:v>
                </c:pt>
                <c:pt idx="434">
                  <c:v>86.47058823529423</c:v>
                </c:pt>
                <c:pt idx="435">
                  <c:v>86.352941176470708</c:v>
                </c:pt>
                <c:pt idx="436">
                  <c:v>86.235294117647186</c:v>
                </c:pt>
                <c:pt idx="437">
                  <c:v>86.47058823529423</c:v>
                </c:pt>
                <c:pt idx="438">
                  <c:v>86.588235294117766</c:v>
                </c:pt>
                <c:pt idx="439">
                  <c:v>87.29411764705894</c:v>
                </c:pt>
                <c:pt idx="440">
                  <c:v>87.29411764705894</c:v>
                </c:pt>
                <c:pt idx="441">
                  <c:v>87.058823529411882</c:v>
                </c:pt>
                <c:pt idx="442">
                  <c:v>87.29411764705894</c:v>
                </c:pt>
                <c:pt idx="443">
                  <c:v>87.647058823529534</c:v>
                </c:pt>
                <c:pt idx="444">
                  <c:v>87.647058823529534</c:v>
                </c:pt>
                <c:pt idx="445">
                  <c:v>88.000000000000114</c:v>
                </c:pt>
                <c:pt idx="446">
                  <c:v>88.000000000000114</c:v>
                </c:pt>
                <c:pt idx="447">
                  <c:v>87.64705882352952</c:v>
                </c:pt>
                <c:pt idx="448">
                  <c:v>87.529411764705998</c:v>
                </c:pt>
                <c:pt idx="449">
                  <c:v>87.529411764705998</c:v>
                </c:pt>
                <c:pt idx="450">
                  <c:v>88.000000000000114</c:v>
                </c:pt>
                <c:pt idx="451">
                  <c:v>87.529411764705998</c:v>
                </c:pt>
                <c:pt idx="452">
                  <c:v>87.764705882353056</c:v>
                </c:pt>
                <c:pt idx="453">
                  <c:v>87.529411764706012</c:v>
                </c:pt>
                <c:pt idx="454">
                  <c:v>87.647058823529534</c:v>
                </c:pt>
                <c:pt idx="455">
                  <c:v>87.647058823529534</c:v>
                </c:pt>
                <c:pt idx="456">
                  <c:v>88.58823529411778</c:v>
                </c:pt>
                <c:pt idx="457">
                  <c:v>88.000000000000128</c:v>
                </c:pt>
                <c:pt idx="458">
                  <c:v>88.235294117647186</c:v>
                </c:pt>
                <c:pt idx="459">
                  <c:v>87.882352941176592</c:v>
                </c:pt>
                <c:pt idx="460">
                  <c:v>87.882352941176592</c:v>
                </c:pt>
                <c:pt idx="461">
                  <c:v>87.764705882353056</c:v>
                </c:pt>
                <c:pt idx="462">
                  <c:v>87.29411764705894</c:v>
                </c:pt>
                <c:pt idx="463">
                  <c:v>87.647058823529534</c:v>
                </c:pt>
                <c:pt idx="464">
                  <c:v>88.000000000000114</c:v>
                </c:pt>
                <c:pt idx="465">
                  <c:v>88.000000000000114</c:v>
                </c:pt>
                <c:pt idx="466">
                  <c:v>88.117647058823636</c:v>
                </c:pt>
                <c:pt idx="467">
                  <c:v>87.764705882353041</c:v>
                </c:pt>
                <c:pt idx="468">
                  <c:v>87.882352941176563</c:v>
                </c:pt>
                <c:pt idx="469">
                  <c:v>88.117647058823621</c:v>
                </c:pt>
                <c:pt idx="470">
                  <c:v>87.882352941176563</c:v>
                </c:pt>
                <c:pt idx="471">
                  <c:v>87.647058823529505</c:v>
                </c:pt>
                <c:pt idx="472">
                  <c:v>87.764705882353027</c:v>
                </c:pt>
                <c:pt idx="473">
                  <c:v>87.647058823529491</c:v>
                </c:pt>
                <c:pt idx="474">
                  <c:v>87.764705882353013</c:v>
                </c:pt>
                <c:pt idx="475">
                  <c:v>87.411764705882419</c:v>
                </c:pt>
                <c:pt idx="476">
                  <c:v>87.764705882352999</c:v>
                </c:pt>
                <c:pt idx="477">
                  <c:v>87.882352941176521</c:v>
                </c:pt>
                <c:pt idx="478">
                  <c:v>88.117647058823579</c:v>
                </c:pt>
                <c:pt idx="479">
                  <c:v>88.235294117647115</c:v>
                </c:pt>
                <c:pt idx="480">
                  <c:v>88.117647058823593</c:v>
                </c:pt>
                <c:pt idx="481">
                  <c:v>88.470588235294173</c:v>
                </c:pt>
                <c:pt idx="482">
                  <c:v>88.588235294117695</c:v>
                </c:pt>
                <c:pt idx="483">
                  <c:v>88.941176470588289</c:v>
                </c:pt>
                <c:pt idx="484">
                  <c:v>90.117647058823593</c:v>
                </c:pt>
                <c:pt idx="485">
                  <c:v>89.529411764705941</c:v>
                </c:pt>
                <c:pt idx="486">
                  <c:v>89.647058823529463</c:v>
                </c:pt>
                <c:pt idx="487">
                  <c:v>89.764705882352985</c:v>
                </c:pt>
                <c:pt idx="488">
                  <c:v>90.000000000000043</c:v>
                </c:pt>
                <c:pt idx="489">
                  <c:v>90.470588235294159</c:v>
                </c:pt>
                <c:pt idx="490">
                  <c:v>90.352941176470623</c:v>
                </c:pt>
                <c:pt idx="491">
                  <c:v>90.823529411764738</c:v>
                </c:pt>
                <c:pt idx="492">
                  <c:v>91.411764705882391</c:v>
                </c:pt>
                <c:pt idx="493">
                  <c:v>91.294117647058869</c:v>
                </c:pt>
                <c:pt idx="494">
                  <c:v>91.058823529411811</c:v>
                </c:pt>
                <c:pt idx="495">
                  <c:v>91.411764705882405</c:v>
                </c:pt>
                <c:pt idx="496">
                  <c:v>91.176470588235347</c:v>
                </c:pt>
                <c:pt idx="497">
                  <c:v>92.235294117647101</c:v>
                </c:pt>
                <c:pt idx="498">
                  <c:v>91.882352941176507</c:v>
                </c:pt>
                <c:pt idx="499">
                  <c:v>92.470588235294159</c:v>
                </c:pt>
                <c:pt idx="500">
                  <c:v>91.882352941176492</c:v>
                </c:pt>
                <c:pt idx="501">
                  <c:v>91.647058823529434</c:v>
                </c:pt>
                <c:pt idx="502">
                  <c:v>91.647058823529434</c:v>
                </c:pt>
                <c:pt idx="503">
                  <c:v>91.882352941176492</c:v>
                </c:pt>
                <c:pt idx="504">
                  <c:v>91.529411764705912</c:v>
                </c:pt>
                <c:pt idx="505">
                  <c:v>91.176470588235333</c:v>
                </c:pt>
                <c:pt idx="506">
                  <c:v>90.941176470588275</c:v>
                </c:pt>
                <c:pt idx="507">
                  <c:v>90.941176470588275</c:v>
                </c:pt>
                <c:pt idx="508">
                  <c:v>91.176470588235333</c:v>
                </c:pt>
                <c:pt idx="509">
                  <c:v>90.000000000000043</c:v>
                </c:pt>
                <c:pt idx="510">
                  <c:v>89.529411764705927</c:v>
                </c:pt>
                <c:pt idx="511">
                  <c:v>88.941176470588275</c:v>
                </c:pt>
                <c:pt idx="512">
                  <c:v>88.941176470588275</c:v>
                </c:pt>
                <c:pt idx="513">
                  <c:v>88.117647058823579</c:v>
                </c:pt>
                <c:pt idx="514">
                  <c:v>89.058823529411811</c:v>
                </c:pt>
                <c:pt idx="515">
                  <c:v>89.882352941176521</c:v>
                </c:pt>
                <c:pt idx="516">
                  <c:v>89.176470588235347</c:v>
                </c:pt>
                <c:pt idx="517">
                  <c:v>88.235294117647101</c:v>
                </c:pt>
                <c:pt idx="518">
                  <c:v>88.117647058823579</c:v>
                </c:pt>
                <c:pt idx="519">
                  <c:v>88.235294117647115</c:v>
                </c:pt>
                <c:pt idx="520">
                  <c:v>89.294117647058883</c:v>
                </c:pt>
                <c:pt idx="521">
                  <c:v>88.470588235294173</c:v>
                </c:pt>
                <c:pt idx="522">
                  <c:v>88.705882352941231</c:v>
                </c:pt>
                <c:pt idx="523">
                  <c:v>89.058823529411825</c:v>
                </c:pt>
                <c:pt idx="524">
                  <c:v>88.352941176470637</c:v>
                </c:pt>
                <c:pt idx="525">
                  <c:v>88.588235294117695</c:v>
                </c:pt>
                <c:pt idx="526">
                  <c:v>88.235294117647101</c:v>
                </c:pt>
                <c:pt idx="527">
                  <c:v>87.411764705882391</c:v>
                </c:pt>
                <c:pt idx="528">
                  <c:v>87.411764705882391</c:v>
                </c:pt>
                <c:pt idx="529">
                  <c:v>86.000000000000028</c:v>
                </c:pt>
                <c:pt idx="530">
                  <c:v>85.647058823529449</c:v>
                </c:pt>
                <c:pt idx="531">
                  <c:v>85.647058823529449</c:v>
                </c:pt>
                <c:pt idx="532">
                  <c:v>83.411764705882391</c:v>
                </c:pt>
                <c:pt idx="533">
                  <c:v>84.58823529411768</c:v>
                </c:pt>
                <c:pt idx="534">
                  <c:v>84.823529411764738</c:v>
                </c:pt>
                <c:pt idx="535">
                  <c:v>85.76470588235297</c:v>
                </c:pt>
                <c:pt idx="536">
                  <c:v>85.058823529411796</c:v>
                </c:pt>
                <c:pt idx="537">
                  <c:v>82.823529411764738</c:v>
                </c:pt>
                <c:pt idx="538">
                  <c:v>76.58823529411768</c:v>
                </c:pt>
                <c:pt idx="539">
                  <c:v>78.823529411764753</c:v>
                </c:pt>
                <c:pt idx="540">
                  <c:v>79.411764705882391</c:v>
                </c:pt>
                <c:pt idx="541">
                  <c:v>76.470588235294144</c:v>
                </c:pt>
                <c:pt idx="542">
                  <c:v>78.941176470588275</c:v>
                </c:pt>
                <c:pt idx="543">
                  <c:v>77.058823529411811</c:v>
                </c:pt>
                <c:pt idx="544">
                  <c:v>77.176470588235347</c:v>
                </c:pt>
                <c:pt idx="545">
                  <c:v>74.117647058823593</c:v>
                </c:pt>
                <c:pt idx="546">
                  <c:v>72.352941176470651</c:v>
                </c:pt>
                <c:pt idx="547">
                  <c:v>74.588235294117709</c:v>
                </c:pt>
                <c:pt idx="548">
                  <c:v>72.117647058823593</c:v>
                </c:pt>
                <c:pt idx="549">
                  <c:v>74.000000000000071</c:v>
                </c:pt>
                <c:pt idx="550">
                  <c:v>75.294117647058911</c:v>
                </c:pt>
                <c:pt idx="551">
                  <c:v>74.705882352941259</c:v>
                </c:pt>
                <c:pt idx="552">
                  <c:v>75.294117647058926</c:v>
                </c:pt>
                <c:pt idx="553">
                  <c:v>74.117647058823621</c:v>
                </c:pt>
                <c:pt idx="554">
                  <c:v>76.000000000000099</c:v>
                </c:pt>
                <c:pt idx="555">
                  <c:v>75.294117647058926</c:v>
                </c:pt>
                <c:pt idx="556">
                  <c:v>75.647058823529505</c:v>
                </c:pt>
                <c:pt idx="557">
                  <c:v>77.176470588235375</c:v>
                </c:pt>
                <c:pt idx="558">
                  <c:v>77.411764705882447</c:v>
                </c:pt>
                <c:pt idx="559">
                  <c:v>77.882352941176563</c:v>
                </c:pt>
                <c:pt idx="560">
                  <c:v>77.176470588235389</c:v>
                </c:pt>
                <c:pt idx="561">
                  <c:v>78.352941176470694</c:v>
                </c:pt>
                <c:pt idx="562">
                  <c:v>78.470588235294215</c:v>
                </c:pt>
                <c:pt idx="563">
                  <c:v>77.647058823529505</c:v>
                </c:pt>
                <c:pt idx="564">
                  <c:v>77.764705882353056</c:v>
                </c:pt>
                <c:pt idx="565">
                  <c:v>77.29411764705894</c:v>
                </c:pt>
                <c:pt idx="566">
                  <c:v>76.941176470588346</c:v>
                </c:pt>
                <c:pt idx="567">
                  <c:v>76.705882352941288</c:v>
                </c:pt>
                <c:pt idx="568">
                  <c:v>76.352941176470708</c:v>
                </c:pt>
                <c:pt idx="569">
                  <c:v>73.882352941176592</c:v>
                </c:pt>
                <c:pt idx="570">
                  <c:v>73.64705882352952</c:v>
                </c:pt>
                <c:pt idx="571">
                  <c:v>75.058823529411882</c:v>
                </c:pt>
                <c:pt idx="572">
                  <c:v>75.882352941176592</c:v>
                </c:pt>
                <c:pt idx="573">
                  <c:v>76.352941176470708</c:v>
                </c:pt>
                <c:pt idx="574">
                  <c:v>76.588235294117752</c:v>
                </c:pt>
                <c:pt idx="575">
                  <c:v>77.176470588235389</c:v>
                </c:pt>
                <c:pt idx="576">
                  <c:v>74.82352941176481</c:v>
                </c:pt>
                <c:pt idx="577">
                  <c:v>76.352941176470694</c:v>
                </c:pt>
                <c:pt idx="578">
                  <c:v>76.235294117647172</c:v>
                </c:pt>
                <c:pt idx="579">
                  <c:v>77.058823529411868</c:v>
                </c:pt>
                <c:pt idx="580">
                  <c:v>77.411764705882462</c:v>
                </c:pt>
                <c:pt idx="581">
                  <c:v>77.529411764705998</c:v>
                </c:pt>
                <c:pt idx="582">
                  <c:v>78.000000000000114</c:v>
                </c:pt>
                <c:pt idx="583">
                  <c:v>78.235294117647172</c:v>
                </c:pt>
                <c:pt idx="584">
                  <c:v>78.000000000000099</c:v>
                </c:pt>
                <c:pt idx="585">
                  <c:v>78.235294117647157</c:v>
                </c:pt>
                <c:pt idx="586">
                  <c:v>78.470588235294215</c:v>
                </c:pt>
                <c:pt idx="587">
                  <c:v>78.823529411764795</c:v>
                </c:pt>
                <c:pt idx="588">
                  <c:v>79.176470588235389</c:v>
                </c:pt>
                <c:pt idx="589">
                  <c:v>79.882352941176563</c:v>
                </c:pt>
                <c:pt idx="590">
                  <c:v>78.941176470588331</c:v>
                </c:pt>
                <c:pt idx="591">
                  <c:v>78.941176470588331</c:v>
                </c:pt>
                <c:pt idx="592">
                  <c:v>79.529411764705984</c:v>
                </c:pt>
                <c:pt idx="593">
                  <c:v>80.117647058823621</c:v>
                </c:pt>
                <c:pt idx="594">
                  <c:v>80.352941176470679</c:v>
                </c:pt>
                <c:pt idx="595">
                  <c:v>81.411764705882433</c:v>
                </c:pt>
                <c:pt idx="596">
                  <c:v>82.588235294117723</c:v>
                </c:pt>
                <c:pt idx="597">
                  <c:v>82.941176470588317</c:v>
                </c:pt>
                <c:pt idx="598">
                  <c:v>82.000000000000085</c:v>
                </c:pt>
                <c:pt idx="599">
                  <c:v>82.470588235294215</c:v>
                </c:pt>
                <c:pt idx="600">
                  <c:v>83.058823529411868</c:v>
                </c:pt>
                <c:pt idx="601">
                  <c:v>82.235294117647172</c:v>
                </c:pt>
                <c:pt idx="602">
                  <c:v>82.235294117647172</c:v>
                </c:pt>
                <c:pt idx="603">
                  <c:v>82.235294117647172</c:v>
                </c:pt>
                <c:pt idx="604">
                  <c:v>81.529411764705984</c:v>
                </c:pt>
                <c:pt idx="605">
                  <c:v>80.470588235294215</c:v>
                </c:pt>
                <c:pt idx="606">
                  <c:v>81.176470588235389</c:v>
                </c:pt>
                <c:pt idx="607">
                  <c:v>80.941176470588331</c:v>
                </c:pt>
                <c:pt idx="608">
                  <c:v>81.529411764705969</c:v>
                </c:pt>
                <c:pt idx="609">
                  <c:v>81.294117647058911</c:v>
                </c:pt>
                <c:pt idx="610">
                  <c:v>81.176470588235389</c:v>
                </c:pt>
                <c:pt idx="611">
                  <c:v>82.000000000000085</c:v>
                </c:pt>
                <c:pt idx="612">
                  <c:v>81.764705882353027</c:v>
                </c:pt>
                <c:pt idx="613">
                  <c:v>81.647058823529491</c:v>
                </c:pt>
                <c:pt idx="614">
                  <c:v>81.764705882353013</c:v>
                </c:pt>
                <c:pt idx="615">
                  <c:v>81.058823529411825</c:v>
                </c:pt>
                <c:pt idx="616">
                  <c:v>80.117647058823579</c:v>
                </c:pt>
                <c:pt idx="617">
                  <c:v>79.882352941176521</c:v>
                </c:pt>
                <c:pt idx="618">
                  <c:v>80.941176470588289</c:v>
                </c:pt>
                <c:pt idx="619">
                  <c:v>80.117647058823579</c:v>
                </c:pt>
                <c:pt idx="620">
                  <c:v>79.294117647058883</c:v>
                </c:pt>
                <c:pt idx="621">
                  <c:v>79.058823529411811</c:v>
                </c:pt>
                <c:pt idx="622">
                  <c:v>80.235294117647115</c:v>
                </c:pt>
                <c:pt idx="623">
                  <c:v>80.823529411764767</c:v>
                </c:pt>
                <c:pt idx="624">
                  <c:v>80.470588235294173</c:v>
                </c:pt>
                <c:pt idx="625">
                  <c:v>80.705882352941245</c:v>
                </c:pt>
                <c:pt idx="626">
                  <c:v>80.235294117647129</c:v>
                </c:pt>
                <c:pt idx="627">
                  <c:v>80.352941176470665</c:v>
                </c:pt>
                <c:pt idx="628">
                  <c:v>79.882352941176549</c:v>
                </c:pt>
                <c:pt idx="629">
                  <c:v>79.058823529411839</c:v>
                </c:pt>
                <c:pt idx="630">
                  <c:v>79.176470588235375</c:v>
                </c:pt>
                <c:pt idx="631">
                  <c:v>80.352941176470665</c:v>
                </c:pt>
                <c:pt idx="632">
                  <c:v>80.352941176470665</c:v>
                </c:pt>
                <c:pt idx="633">
                  <c:v>80.235294117647143</c:v>
                </c:pt>
                <c:pt idx="634">
                  <c:v>80.000000000000071</c:v>
                </c:pt>
                <c:pt idx="635">
                  <c:v>79.764705882353013</c:v>
                </c:pt>
                <c:pt idx="636">
                  <c:v>78.941176470588303</c:v>
                </c:pt>
                <c:pt idx="637">
                  <c:v>78.705882352941245</c:v>
                </c:pt>
                <c:pt idx="638">
                  <c:v>77.647058823529463</c:v>
                </c:pt>
                <c:pt idx="639">
                  <c:v>77.294117647058883</c:v>
                </c:pt>
                <c:pt idx="640">
                  <c:v>77.294117647058883</c:v>
                </c:pt>
                <c:pt idx="641">
                  <c:v>77.529411764705927</c:v>
                </c:pt>
                <c:pt idx="642">
                  <c:v>78.352941176470637</c:v>
                </c:pt>
                <c:pt idx="643">
                  <c:v>77.882352941176521</c:v>
                </c:pt>
                <c:pt idx="644">
                  <c:v>77.411764705882405</c:v>
                </c:pt>
                <c:pt idx="645">
                  <c:v>77.529411764705941</c:v>
                </c:pt>
                <c:pt idx="646">
                  <c:v>78.352941176470651</c:v>
                </c:pt>
                <c:pt idx="647">
                  <c:v>78.117647058823593</c:v>
                </c:pt>
                <c:pt idx="648">
                  <c:v>77.647058823529477</c:v>
                </c:pt>
                <c:pt idx="649">
                  <c:v>77.764705882353013</c:v>
                </c:pt>
                <c:pt idx="650">
                  <c:v>77.647058823529477</c:v>
                </c:pt>
                <c:pt idx="651">
                  <c:v>77.882352941176549</c:v>
                </c:pt>
                <c:pt idx="652">
                  <c:v>77.647058823529477</c:v>
                </c:pt>
                <c:pt idx="653">
                  <c:v>77.176470588235361</c:v>
                </c:pt>
                <c:pt idx="654">
                  <c:v>76.823529411764781</c:v>
                </c:pt>
                <c:pt idx="655">
                  <c:v>76.941176470588303</c:v>
                </c:pt>
                <c:pt idx="656">
                  <c:v>76.470588235294187</c:v>
                </c:pt>
                <c:pt idx="657">
                  <c:v>75.647058823529477</c:v>
                </c:pt>
                <c:pt idx="658">
                  <c:v>76.352941176470665</c:v>
                </c:pt>
                <c:pt idx="659">
                  <c:v>76.941176470588303</c:v>
                </c:pt>
                <c:pt idx="660">
                  <c:v>77.764705882353013</c:v>
                </c:pt>
                <c:pt idx="661">
                  <c:v>77.647058823529477</c:v>
                </c:pt>
                <c:pt idx="662">
                  <c:v>77.529411764705955</c:v>
                </c:pt>
                <c:pt idx="663">
                  <c:v>76.117647058823607</c:v>
                </c:pt>
                <c:pt idx="664">
                  <c:v>76.588235294117737</c:v>
                </c:pt>
                <c:pt idx="665">
                  <c:v>75.529411764705969</c:v>
                </c:pt>
                <c:pt idx="666">
                  <c:v>75.176470588235375</c:v>
                </c:pt>
                <c:pt idx="667">
                  <c:v>75.764705882353027</c:v>
                </c:pt>
                <c:pt idx="668">
                  <c:v>76.235294117647143</c:v>
                </c:pt>
                <c:pt idx="669">
                  <c:v>76.588235294117723</c:v>
                </c:pt>
                <c:pt idx="670">
                  <c:v>76.000000000000085</c:v>
                </c:pt>
                <c:pt idx="671">
                  <c:v>76.000000000000085</c:v>
                </c:pt>
                <c:pt idx="672">
                  <c:v>76.352941176470679</c:v>
                </c:pt>
                <c:pt idx="673">
                  <c:v>76.000000000000085</c:v>
                </c:pt>
                <c:pt idx="674">
                  <c:v>76.000000000000085</c:v>
                </c:pt>
                <c:pt idx="675">
                  <c:v>75.176470588235375</c:v>
                </c:pt>
                <c:pt idx="676">
                  <c:v>74.823529411764795</c:v>
                </c:pt>
                <c:pt idx="677">
                  <c:v>73.882352941176563</c:v>
                </c:pt>
                <c:pt idx="678">
                  <c:v>73.882352941176563</c:v>
                </c:pt>
                <c:pt idx="679">
                  <c:v>72.470588235294215</c:v>
                </c:pt>
                <c:pt idx="680">
                  <c:v>72.235294117647157</c:v>
                </c:pt>
                <c:pt idx="681">
                  <c:v>73.411764705882447</c:v>
                </c:pt>
                <c:pt idx="682">
                  <c:v>74.352941176470679</c:v>
                </c:pt>
                <c:pt idx="683">
                  <c:v>73.176470588235375</c:v>
                </c:pt>
                <c:pt idx="684">
                  <c:v>73.411764705882433</c:v>
                </c:pt>
                <c:pt idx="685">
                  <c:v>73.529411764705969</c:v>
                </c:pt>
                <c:pt idx="686">
                  <c:v>73.647058823529505</c:v>
                </c:pt>
                <c:pt idx="687">
                  <c:v>74.117647058823636</c:v>
                </c:pt>
                <c:pt idx="688">
                  <c:v>74.823529411764824</c:v>
                </c:pt>
                <c:pt idx="689">
                  <c:v>74.705882352941288</c:v>
                </c:pt>
                <c:pt idx="690">
                  <c:v>74.94117647058836</c:v>
                </c:pt>
                <c:pt idx="691">
                  <c:v>74.823529411764824</c:v>
                </c:pt>
                <c:pt idx="692">
                  <c:v>74.117647058823636</c:v>
                </c:pt>
                <c:pt idx="693">
                  <c:v>74.000000000000099</c:v>
                </c:pt>
                <c:pt idx="694">
                  <c:v>74.588235294117737</c:v>
                </c:pt>
                <c:pt idx="695">
                  <c:v>74.470588235294215</c:v>
                </c:pt>
                <c:pt idx="696">
                  <c:v>75.411764705882447</c:v>
                </c:pt>
                <c:pt idx="697">
                  <c:v>75.529411764705969</c:v>
                </c:pt>
                <c:pt idx="698">
                  <c:v>76.117647058823607</c:v>
                </c:pt>
                <c:pt idx="699">
                  <c:v>75.882352941176549</c:v>
                </c:pt>
                <c:pt idx="700">
                  <c:v>75.764705882353027</c:v>
                </c:pt>
                <c:pt idx="701">
                  <c:v>74.235294117647129</c:v>
                </c:pt>
                <c:pt idx="702">
                  <c:v>73.058823529411839</c:v>
                </c:pt>
                <c:pt idx="703">
                  <c:v>73.411764705882433</c:v>
                </c:pt>
                <c:pt idx="704">
                  <c:v>72.352941176470665</c:v>
                </c:pt>
                <c:pt idx="705">
                  <c:v>72.941176470588303</c:v>
                </c:pt>
                <c:pt idx="706">
                  <c:v>73.294117647058897</c:v>
                </c:pt>
                <c:pt idx="707">
                  <c:v>74.705882352941245</c:v>
                </c:pt>
                <c:pt idx="708">
                  <c:v>74.823529411764781</c:v>
                </c:pt>
                <c:pt idx="709">
                  <c:v>75.294117647058897</c:v>
                </c:pt>
                <c:pt idx="710">
                  <c:v>76.235294117647129</c:v>
                </c:pt>
                <c:pt idx="711">
                  <c:v>76.470588235294187</c:v>
                </c:pt>
                <c:pt idx="712">
                  <c:v>75.882352941176535</c:v>
                </c:pt>
                <c:pt idx="713">
                  <c:v>75.529411764705941</c:v>
                </c:pt>
                <c:pt idx="714">
                  <c:v>76.117647058823579</c:v>
                </c:pt>
                <c:pt idx="715">
                  <c:v>76.352941176470651</c:v>
                </c:pt>
                <c:pt idx="716">
                  <c:v>77.529411764705941</c:v>
                </c:pt>
                <c:pt idx="717">
                  <c:v>77.058823529411825</c:v>
                </c:pt>
                <c:pt idx="718">
                  <c:v>77.647058823529463</c:v>
                </c:pt>
                <c:pt idx="719">
                  <c:v>78.352941176470651</c:v>
                </c:pt>
                <c:pt idx="720">
                  <c:v>79.411764705882419</c:v>
                </c:pt>
                <c:pt idx="721">
                  <c:v>79.764705882353013</c:v>
                </c:pt>
                <c:pt idx="722">
                  <c:v>79.058823529411825</c:v>
                </c:pt>
                <c:pt idx="723">
                  <c:v>78.823529411764767</c:v>
                </c:pt>
                <c:pt idx="724">
                  <c:v>78.235294117647115</c:v>
                </c:pt>
                <c:pt idx="725">
                  <c:v>78.352941176470637</c:v>
                </c:pt>
                <c:pt idx="726">
                  <c:v>79.176470588235347</c:v>
                </c:pt>
                <c:pt idx="727">
                  <c:v>79.882352941176521</c:v>
                </c:pt>
                <c:pt idx="728">
                  <c:v>80.941176470588289</c:v>
                </c:pt>
                <c:pt idx="729">
                  <c:v>81.058823529411811</c:v>
                </c:pt>
                <c:pt idx="730">
                  <c:v>82.705882352941245</c:v>
                </c:pt>
                <c:pt idx="731">
                  <c:v>82.705882352941245</c:v>
                </c:pt>
                <c:pt idx="732">
                  <c:v>83.058823529411825</c:v>
                </c:pt>
                <c:pt idx="733">
                  <c:v>83.647058823529491</c:v>
                </c:pt>
                <c:pt idx="734">
                  <c:v>84.235294117647143</c:v>
                </c:pt>
                <c:pt idx="735">
                  <c:v>84.117647058823607</c:v>
                </c:pt>
                <c:pt idx="736">
                  <c:v>84.235294117647129</c:v>
                </c:pt>
                <c:pt idx="737">
                  <c:v>84.588235294117723</c:v>
                </c:pt>
                <c:pt idx="738">
                  <c:v>83.529411764705941</c:v>
                </c:pt>
                <c:pt idx="739">
                  <c:v>81.764705882352999</c:v>
                </c:pt>
                <c:pt idx="740">
                  <c:v>81.294117647058883</c:v>
                </c:pt>
                <c:pt idx="741">
                  <c:v>81.529411764705927</c:v>
                </c:pt>
                <c:pt idx="742">
                  <c:v>82.235294117647115</c:v>
                </c:pt>
                <c:pt idx="743">
                  <c:v>83.411764705882405</c:v>
                </c:pt>
                <c:pt idx="744">
                  <c:v>83.529411764705941</c:v>
                </c:pt>
                <c:pt idx="745">
                  <c:v>83.529411764705941</c:v>
                </c:pt>
                <c:pt idx="746">
                  <c:v>82.588235294117709</c:v>
                </c:pt>
                <c:pt idx="747">
                  <c:v>82.588235294117709</c:v>
                </c:pt>
                <c:pt idx="748">
                  <c:v>82.705882352941245</c:v>
                </c:pt>
                <c:pt idx="749">
                  <c:v>83.411764705882419</c:v>
                </c:pt>
                <c:pt idx="750">
                  <c:v>84.000000000000071</c:v>
                </c:pt>
                <c:pt idx="751">
                  <c:v>84.235294117647129</c:v>
                </c:pt>
                <c:pt idx="752">
                  <c:v>83.882352941176535</c:v>
                </c:pt>
                <c:pt idx="753">
                  <c:v>82.705882352941245</c:v>
                </c:pt>
                <c:pt idx="754">
                  <c:v>82.823529411764767</c:v>
                </c:pt>
                <c:pt idx="755">
                  <c:v>83.294117647058883</c:v>
                </c:pt>
                <c:pt idx="756">
                  <c:v>82.941176470588289</c:v>
                </c:pt>
                <c:pt idx="757">
                  <c:v>81.764705882352999</c:v>
                </c:pt>
                <c:pt idx="758">
                  <c:v>80.941176470588289</c:v>
                </c:pt>
                <c:pt idx="759">
                  <c:v>80.705882352941245</c:v>
                </c:pt>
                <c:pt idx="760">
                  <c:v>81.058823529411825</c:v>
                </c:pt>
                <c:pt idx="761">
                  <c:v>80.000000000000057</c:v>
                </c:pt>
                <c:pt idx="762">
                  <c:v>80.823529411764767</c:v>
                </c:pt>
                <c:pt idx="763">
                  <c:v>80.470588235294173</c:v>
                </c:pt>
                <c:pt idx="764">
                  <c:v>80.470588235294173</c:v>
                </c:pt>
                <c:pt idx="765">
                  <c:v>81.176470588235347</c:v>
                </c:pt>
                <c:pt idx="766">
                  <c:v>81.764705882352999</c:v>
                </c:pt>
                <c:pt idx="767">
                  <c:v>82.470588235294159</c:v>
                </c:pt>
                <c:pt idx="768">
                  <c:v>83.058823529411811</c:v>
                </c:pt>
                <c:pt idx="769">
                  <c:v>83.411764705882405</c:v>
                </c:pt>
                <c:pt idx="770">
                  <c:v>83.647058823529463</c:v>
                </c:pt>
                <c:pt idx="771">
                  <c:v>83.058823529411811</c:v>
                </c:pt>
                <c:pt idx="772">
                  <c:v>84.235294117647115</c:v>
                </c:pt>
                <c:pt idx="773">
                  <c:v>84.235294117647115</c:v>
                </c:pt>
                <c:pt idx="774">
                  <c:v>83.647058823529477</c:v>
                </c:pt>
                <c:pt idx="775">
                  <c:v>83.764705882353013</c:v>
                </c:pt>
                <c:pt idx="776">
                  <c:v>83.529411764705955</c:v>
                </c:pt>
                <c:pt idx="777">
                  <c:v>82.705882352941259</c:v>
                </c:pt>
                <c:pt idx="778">
                  <c:v>83.294117647058911</c:v>
                </c:pt>
                <c:pt idx="779">
                  <c:v>84.235294117647157</c:v>
                </c:pt>
                <c:pt idx="780">
                  <c:v>84.235294117647157</c:v>
                </c:pt>
                <c:pt idx="781">
                  <c:v>83.294117647058926</c:v>
                </c:pt>
                <c:pt idx="782">
                  <c:v>83.882352941176563</c:v>
                </c:pt>
                <c:pt idx="783">
                  <c:v>83.176470588235389</c:v>
                </c:pt>
                <c:pt idx="784">
                  <c:v>84.000000000000099</c:v>
                </c:pt>
                <c:pt idx="785">
                  <c:v>83.64705882352952</c:v>
                </c:pt>
                <c:pt idx="786">
                  <c:v>82.705882352941288</c:v>
                </c:pt>
                <c:pt idx="787">
                  <c:v>83.529411764705984</c:v>
                </c:pt>
                <c:pt idx="788">
                  <c:v>83.64705882352952</c:v>
                </c:pt>
                <c:pt idx="789">
                  <c:v>84.235294117647172</c:v>
                </c:pt>
                <c:pt idx="790">
                  <c:v>84.117647058823636</c:v>
                </c:pt>
                <c:pt idx="791">
                  <c:v>84.823529411764795</c:v>
                </c:pt>
                <c:pt idx="792">
                  <c:v>85.176470588235389</c:v>
                </c:pt>
                <c:pt idx="793">
                  <c:v>84.941176470588331</c:v>
                </c:pt>
                <c:pt idx="794">
                  <c:v>84.235294117647157</c:v>
                </c:pt>
                <c:pt idx="795">
                  <c:v>83.764705882353041</c:v>
                </c:pt>
                <c:pt idx="796">
                  <c:v>83.411764705882447</c:v>
                </c:pt>
                <c:pt idx="797">
                  <c:v>81.529411764705969</c:v>
                </c:pt>
                <c:pt idx="798">
                  <c:v>82.000000000000099</c:v>
                </c:pt>
                <c:pt idx="799">
                  <c:v>81.882352941176578</c:v>
                </c:pt>
                <c:pt idx="800">
                  <c:v>82.11764705882365</c:v>
                </c:pt>
                <c:pt idx="801">
                  <c:v>82.11764705882365</c:v>
                </c:pt>
                <c:pt idx="802">
                  <c:v>82.235294117647172</c:v>
                </c:pt>
                <c:pt idx="803">
                  <c:v>82.588235294117752</c:v>
                </c:pt>
                <c:pt idx="804">
                  <c:v>82.47058823529423</c:v>
                </c:pt>
                <c:pt idx="805">
                  <c:v>82.352941176470708</c:v>
                </c:pt>
                <c:pt idx="806">
                  <c:v>82.235294117647172</c:v>
                </c:pt>
                <c:pt idx="807">
                  <c:v>82.352941176470694</c:v>
                </c:pt>
                <c:pt idx="808">
                  <c:v>81.411764705882462</c:v>
                </c:pt>
                <c:pt idx="809">
                  <c:v>82.000000000000114</c:v>
                </c:pt>
                <c:pt idx="810">
                  <c:v>81.176470588235418</c:v>
                </c:pt>
                <c:pt idx="811">
                  <c:v>80.352941176470708</c:v>
                </c:pt>
                <c:pt idx="812">
                  <c:v>79.176470588235418</c:v>
                </c:pt>
                <c:pt idx="813">
                  <c:v>80.705882352941302</c:v>
                </c:pt>
                <c:pt idx="814">
                  <c:v>79.882352941176592</c:v>
                </c:pt>
                <c:pt idx="815">
                  <c:v>81.058823529411882</c:v>
                </c:pt>
                <c:pt idx="816">
                  <c:v>80.823529411764824</c:v>
                </c:pt>
                <c:pt idx="817">
                  <c:v>80.588235294117752</c:v>
                </c:pt>
                <c:pt idx="818">
                  <c:v>79.882352941176578</c:v>
                </c:pt>
                <c:pt idx="819">
                  <c:v>80.705882352941288</c:v>
                </c:pt>
                <c:pt idx="820">
                  <c:v>81.64705882352952</c:v>
                </c:pt>
                <c:pt idx="821">
                  <c:v>81.764705882353041</c:v>
                </c:pt>
                <c:pt idx="822">
                  <c:v>81.647058823529505</c:v>
                </c:pt>
                <c:pt idx="823">
                  <c:v>81.764705882353027</c:v>
                </c:pt>
                <c:pt idx="824">
                  <c:v>82.470588235294187</c:v>
                </c:pt>
                <c:pt idx="825">
                  <c:v>81.764705882353013</c:v>
                </c:pt>
                <c:pt idx="826">
                  <c:v>80.823529411764781</c:v>
                </c:pt>
                <c:pt idx="827">
                  <c:v>81.529411764705955</c:v>
                </c:pt>
                <c:pt idx="828">
                  <c:v>82.000000000000085</c:v>
                </c:pt>
                <c:pt idx="829">
                  <c:v>82.235294117647143</c:v>
                </c:pt>
                <c:pt idx="830">
                  <c:v>82.941176470588317</c:v>
                </c:pt>
                <c:pt idx="831">
                  <c:v>83.058823529411839</c:v>
                </c:pt>
                <c:pt idx="832">
                  <c:v>83.058823529411839</c:v>
                </c:pt>
                <c:pt idx="833">
                  <c:v>82.705882352941259</c:v>
                </c:pt>
                <c:pt idx="834">
                  <c:v>82.705882352941259</c:v>
                </c:pt>
                <c:pt idx="835">
                  <c:v>83.058823529411839</c:v>
                </c:pt>
                <c:pt idx="836">
                  <c:v>83.058823529411839</c:v>
                </c:pt>
                <c:pt idx="837">
                  <c:v>83.294117647058911</c:v>
                </c:pt>
                <c:pt idx="838">
                  <c:v>83.176470588235389</c:v>
                </c:pt>
                <c:pt idx="839" formatCode="0">
                  <c:v>83.176470588235389</c:v>
                </c:pt>
                <c:pt idx="840" formatCode="0">
                  <c:v>83.411764705882433</c:v>
                </c:pt>
                <c:pt idx="841" formatCode="0">
                  <c:v>83.176470588235389</c:v>
                </c:pt>
                <c:pt idx="842" formatCode="0">
                  <c:v>83.529411764705969</c:v>
                </c:pt>
                <c:pt idx="843" formatCode="0">
                  <c:v>83.294117647058926</c:v>
                </c:pt>
                <c:pt idx="844" formatCode="0">
                  <c:v>83.411764705882462</c:v>
                </c:pt>
                <c:pt idx="845" formatCode="0">
                  <c:v>83.411764705882462</c:v>
                </c:pt>
                <c:pt idx="846" formatCode="0">
                  <c:v>83.294117647058926</c:v>
                </c:pt>
                <c:pt idx="847" formatCode="0">
                  <c:v>83.294117647058926</c:v>
                </c:pt>
                <c:pt idx="848" formatCode="0">
                  <c:v>83.64705882352952</c:v>
                </c:pt>
                <c:pt idx="849" formatCode="0">
                  <c:v>83.529411764705984</c:v>
                </c:pt>
                <c:pt idx="850" formatCode="0">
                  <c:v>84.000000000000099</c:v>
                </c:pt>
                <c:pt idx="851" formatCode="0">
                  <c:v>84.117647058823636</c:v>
                </c:pt>
                <c:pt idx="852" formatCode="0">
                  <c:v>84.705882352941273</c:v>
                </c:pt>
                <c:pt idx="853" formatCode="0">
                  <c:v>84.588235294117737</c:v>
                </c:pt>
                <c:pt idx="854" formatCode="0">
                  <c:v>85.176470588235375</c:v>
                </c:pt>
                <c:pt idx="855" formatCode="0">
                  <c:v>84.117647058823621</c:v>
                </c:pt>
                <c:pt idx="856" formatCode="0">
                  <c:v>84.470588235294201</c:v>
                </c:pt>
                <c:pt idx="857" formatCode="0">
                  <c:v>84.235294117647143</c:v>
                </c:pt>
                <c:pt idx="858" formatCode="0">
                  <c:v>83.411764705882433</c:v>
                </c:pt>
                <c:pt idx="859" formatCode="0">
                  <c:v>83.764705882353027</c:v>
                </c:pt>
                <c:pt idx="860" formatCode="0">
                  <c:v>82.705882352941259</c:v>
                </c:pt>
                <c:pt idx="861" formatCode="0">
                  <c:v>82.470588235294201</c:v>
                </c:pt>
                <c:pt idx="862" formatCode="0">
                  <c:v>82.941176470588331</c:v>
                </c:pt>
                <c:pt idx="863" formatCode="0">
                  <c:v>82.705882352941288</c:v>
                </c:pt>
                <c:pt idx="864" formatCode="0">
                  <c:v>81.411764705882462</c:v>
                </c:pt>
                <c:pt idx="865" formatCode="0">
                  <c:v>81.058823529411868</c:v>
                </c:pt>
                <c:pt idx="866" formatCode="0">
                  <c:v>80.47058823529423</c:v>
                </c:pt>
                <c:pt idx="867" formatCode="0">
                  <c:v>79.764705882353056</c:v>
                </c:pt>
                <c:pt idx="868" formatCode="0">
                  <c:v>80.000000000000114</c:v>
                </c:pt>
                <c:pt idx="869" formatCode="0">
                  <c:v>79.058823529411882</c:v>
                </c:pt>
                <c:pt idx="870" formatCode="0">
                  <c:v>79.411764705882476</c:v>
                </c:pt>
                <c:pt idx="871" formatCode="0">
                  <c:v>78.47058823529423</c:v>
                </c:pt>
                <c:pt idx="872" formatCode="0">
                  <c:v>77.64705882352952</c:v>
                </c:pt>
                <c:pt idx="873" formatCode="0">
                  <c:v>78.47058823529423</c:v>
                </c:pt>
                <c:pt idx="874" formatCode="0">
                  <c:v>78.117647058823636</c:v>
                </c:pt>
              </c:numCache>
            </c:numRef>
          </c:val>
          <c:smooth val="0"/>
          <c:extLst>
            <c:ext xmlns:c16="http://schemas.microsoft.com/office/drawing/2014/chart" uri="{C3380CC4-5D6E-409C-BE32-E72D297353CC}">
              <c16:uniqueId val="{00000001-3372-4ABC-A980-B0ACB3E218F3}"/>
            </c:ext>
          </c:extLst>
        </c:ser>
        <c:ser>
          <c:idx val="2"/>
          <c:order val="2"/>
          <c:tx>
            <c:strRef>
              <c:f>Sheet1!$D$1</c:f>
              <c:strCache>
                <c:ptCount val="1"/>
                <c:pt idx="0">
                  <c:v>EUR/AMD</c:v>
                </c:pt>
              </c:strCache>
            </c:strRef>
          </c:tx>
          <c:spPr>
            <a:ln w="28575" cap="rnd">
              <a:solidFill>
                <a:srgbClr val="C00000"/>
              </a:solidFill>
              <a:round/>
            </a:ln>
            <a:effectLst/>
          </c:spPr>
          <c:marker>
            <c:symbol val="none"/>
          </c:marker>
          <c:cat>
            <c:numRef>
              <c:f>Sheet1!$A$2:$A$876</c:f>
              <c:numCache>
                <c:formatCode>m\/d\/yyyy</c:formatCode>
                <c:ptCount val="875"/>
                <c:pt idx="0">
                  <c:v>43108</c:v>
                </c:pt>
                <c:pt idx="1">
                  <c:v>43109</c:v>
                </c:pt>
                <c:pt idx="2">
                  <c:v>43110</c:v>
                </c:pt>
                <c:pt idx="3">
                  <c:v>43111</c:v>
                </c:pt>
                <c:pt idx="4">
                  <c:v>43112</c:v>
                </c:pt>
                <c:pt idx="5">
                  <c:v>43115</c:v>
                </c:pt>
                <c:pt idx="6">
                  <c:v>43116</c:v>
                </c:pt>
                <c:pt idx="7">
                  <c:v>43117</c:v>
                </c:pt>
                <c:pt idx="8">
                  <c:v>43118</c:v>
                </c:pt>
                <c:pt idx="9">
                  <c:v>43119</c:v>
                </c:pt>
                <c:pt idx="10">
                  <c:v>43122</c:v>
                </c:pt>
                <c:pt idx="11">
                  <c:v>43123</c:v>
                </c:pt>
                <c:pt idx="12">
                  <c:v>43124</c:v>
                </c:pt>
                <c:pt idx="13">
                  <c:v>43125</c:v>
                </c:pt>
                <c:pt idx="14">
                  <c:v>43126</c:v>
                </c:pt>
                <c:pt idx="15">
                  <c:v>43129</c:v>
                </c:pt>
                <c:pt idx="16">
                  <c:v>43130</c:v>
                </c:pt>
                <c:pt idx="17">
                  <c:v>43131</c:v>
                </c:pt>
                <c:pt idx="18">
                  <c:v>43132</c:v>
                </c:pt>
                <c:pt idx="19">
                  <c:v>43133</c:v>
                </c:pt>
                <c:pt idx="20">
                  <c:v>43136</c:v>
                </c:pt>
                <c:pt idx="21">
                  <c:v>43137</c:v>
                </c:pt>
                <c:pt idx="22">
                  <c:v>43138</c:v>
                </c:pt>
                <c:pt idx="23">
                  <c:v>43139</c:v>
                </c:pt>
                <c:pt idx="24">
                  <c:v>43140</c:v>
                </c:pt>
                <c:pt idx="25">
                  <c:v>43143</c:v>
                </c:pt>
                <c:pt idx="26">
                  <c:v>43144</c:v>
                </c:pt>
                <c:pt idx="27">
                  <c:v>43145</c:v>
                </c:pt>
                <c:pt idx="28">
                  <c:v>43146</c:v>
                </c:pt>
                <c:pt idx="29">
                  <c:v>43147</c:v>
                </c:pt>
                <c:pt idx="30">
                  <c:v>43150</c:v>
                </c:pt>
                <c:pt idx="31">
                  <c:v>43151</c:v>
                </c:pt>
                <c:pt idx="32">
                  <c:v>43152</c:v>
                </c:pt>
                <c:pt idx="33">
                  <c:v>43153</c:v>
                </c:pt>
                <c:pt idx="34">
                  <c:v>43154</c:v>
                </c:pt>
                <c:pt idx="35">
                  <c:v>43157</c:v>
                </c:pt>
                <c:pt idx="36">
                  <c:v>43158</c:v>
                </c:pt>
                <c:pt idx="37">
                  <c:v>43159</c:v>
                </c:pt>
                <c:pt idx="38">
                  <c:v>43160</c:v>
                </c:pt>
                <c:pt idx="39">
                  <c:v>43161</c:v>
                </c:pt>
                <c:pt idx="40">
                  <c:v>43164</c:v>
                </c:pt>
                <c:pt idx="41">
                  <c:v>43165</c:v>
                </c:pt>
                <c:pt idx="42">
                  <c:v>43166</c:v>
                </c:pt>
                <c:pt idx="43">
                  <c:v>43171</c:v>
                </c:pt>
                <c:pt idx="44">
                  <c:v>43172</c:v>
                </c:pt>
                <c:pt idx="45">
                  <c:v>43173</c:v>
                </c:pt>
                <c:pt idx="46">
                  <c:v>43174</c:v>
                </c:pt>
                <c:pt idx="47">
                  <c:v>43175</c:v>
                </c:pt>
                <c:pt idx="48">
                  <c:v>43176</c:v>
                </c:pt>
                <c:pt idx="49">
                  <c:v>43178</c:v>
                </c:pt>
                <c:pt idx="50">
                  <c:v>43179</c:v>
                </c:pt>
                <c:pt idx="51">
                  <c:v>43180</c:v>
                </c:pt>
                <c:pt idx="52">
                  <c:v>43181</c:v>
                </c:pt>
                <c:pt idx="53">
                  <c:v>43182</c:v>
                </c:pt>
                <c:pt idx="54">
                  <c:v>43185</c:v>
                </c:pt>
                <c:pt idx="55">
                  <c:v>43186</c:v>
                </c:pt>
                <c:pt idx="56">
                  <c:v>43187</c:v>
                </c:pt>
                <c:pt idx="57">
                  <c:v>43188</c:v>
                </c:pt>
                <c:pt idx="58">
                  <c:v>43189</c:v>
                </c:pt>
                <c:pt idx="59">
                  <c:v>43193</c:v>
                </c:pt>
                <c:pt idx="60">
                  <c:v>43194</c:v>
                </c:pt>
                <c:pt idx="61">
                  <c:v>43195</c:v>
                </c:pt>
                <c:pt idx="62">
                  <c:v>43196</c:v>
                </c:pt>
                <c:pt idx="63">
                  <c:v>43197</c:v>
                </c:pt>
                <c:pt idx="64">
                  <c:v>43199</c:v>
                </c:pt>
                <c:pt idx="65">
                  <c:v>43200</c:v>
                </c:pt>
                <c:pt idx="66">
                  <c:v>43201</c:v>
                </c:pt>
                <c:pt idx="67">
                  <c:v>43202</c:v>
                </c:pt>
                <c:pt idx="68">
                  <c:v>43203</c:v>
                </c:pt>
                <c:pt idx="69">
                  <c:v>43206</c:v>
                </c:pt>
                <c:pt idx="70">
                  <c:v>43207</c:v>
                </c:pt>
                <c:pt idx="71">
                  <c:v>43208</c:v>
                </c:pt>
                <c:pt idx="72">
                  <c:v>43209</c:v>
                </c:pt>
                <c:pt idx="73">
                  <c:v>43210</c:v>
                </c:pt>
                <c:pt idx="74">
                  <c:v>43213</c:v>
                </c:pt>
                <c:pt idx="75">
                  <c:v>43215</c:v>
                </c:pt>
                <c:pt idx="76">
                  <c:v>43216</c:v>
                </c:pt>
                <c:pt idx="77">
                  <c:v>43217</c:v>
                </c:pt>
                <c:pt idx="78">
                  <c:v>43222</c:v>
                </c:pt>
                <c:pt idx="79">
                  <c:v>43223</c:v>
                </c:pt>
                <c:pt idx="80">
                  <c:v>43224</c:v>
                </c:pt>
                <c:pt idx="81">
                  <c:v>43225</c:v>
                </c:pt>
                <c:pt idx="82">
                  <c:v>43227</c:v>
                </c:pt>
                <c:pt idx="83">
                  <c:v>43228</c:v>
                </c:pt>
                <c:pt idx="84">
                  <c:v>43230</c:v>
                </c:pt>
                <c:pt idx="85">
                  <c:v>43231</c:v>
                </c:pt>
                <c:pt idx="86">
                  <c:v>43234</c:v>
                </c:pt>
                <c:pt idx="87">
                  <c:v>43235</c:v>
                </c:pt>
                <c:pt idx="88">
                  <c:v>43236</c:v>
                </c:pt>
                <c:pt idx="89">
                  <c:v>43237</c:v>
                </c:pt>
                <c:pt idx="90">
                  <c:v>43238</c:v>
                </c:pt>
                <c:pt idx="91">
                  <c:v>43241</c:v>
                </c:pt>
                <c:pt idx="92">
                  <c:v>43242</c:v>
                </c:pt>
                <c:pt idx="93">
                  <c:v>43243</c:v>
                </c:pt>
                <c:pt idx="94">
                  <c:v>43244</c:v>
                </c:pt>
                <c:pt idx="95">
                  <c:v>43245</c:v>
                </c:pt>
                <c:pt idx="96">
                  <c:v>43249</c:v>
                </c:pt>
                <c:pt idx="97">
                  <c:v>43250</c:v>
                </c:pt>
                <c:pt idx="98">
                  <c:v>43251</c:v>
                </c:pt>
                <c:pt idx="99">
                  <c:v>43252</c:v>
                </c:pt>
                <c:pt idx="100">
                  <c:v>43255</c:v>
                </c:pt>
                <c:pt idx="101">
                  <c:v>43256</c:v>
                </c:pt>
                <c:pt idx="102">
                  <c:v>43257</c:v>
                </c:pt>
                <c:pt idx="103">
                  <c:v>43258</c:v>
                </c:pt>
                <c:pt idx="104">
                  <c:v>43259</c:v>
                </c:pt>
                <c:pt idx="105">
                  <c:v>43262</c:v>
                </c:pt>
                <c:pt idx="106">
                  <c:v>43263</c:v>
                </c:pt>
                <c:pt idx="107">
                  <c:v>43264</c:v>
                </c:pt>
                <c:pt idx="108">
                  <c:v>43265</c:v>
                </c:pt>
                <c:pt idx="109">
                  <c:v>43266</c:v>
                </c:pt>
                <c:pt idx="110">
                  <c:v>43269</c:v>
                </c:pt>
                <c:pt idx="111">
                  <c:v>43270</c:v>
                </c:pt>
                <c:pt idx="112">
                  <c:v>43271</c:v>
                </c:pt>
                <c:pt idx="113">
                  <c:v>43272</c:v>
                </c:pt>
                <c:pt idx="114">
                  <c:v>43273</c:v>
                </c:pt>
                <c:pt idx="115">
                  <c:v>43276</c:v>
                </c:pt>
                <c:pt idx="116">
                  <c:v>43277</c:v>
                </c:pt>
                <c:pt idx="117">
                  <c:v>43278</c:v>
                </c:pt>
                <c:pt idx="118">
                  <c:v>43279</c:v>
                </c:pt>
                <c:pt idx="119">
                  <c:v>43280</c:v>
                </c:pt>
                <c:pt idx="120">
                  <c:v>43283</c:v>
                </c:pt>
                <c:pt idx="121">
                  <c:v>43284</c:v>
                </c:pt>
                <c:pt idx="122">
                  <c:v>43285</c:v>
                </c:pt>
                <c:pt idx="123">
                  <c:v>43287</c:v>
                </c:pt>
                <c:pt idx="124">
                  <c:v>43290</c:v>
                </c:pt>
                <c:pt idx="125">
                  <c:v>43291</c:v>
                </c:pt>
                <c:pt idx="126">
                  <c:v>43292</c:v>
                </c:pt>
                <c:pt idx="127">
                  <c:v>43293</c:v>
                </c:pt>
                <c:pt idx="128">
                  <c:v>43294</c:v>
                </c:pt>
                <c:pt idx="129">
                  <c:v>43297</c:v>
                </c:pt>
                <c:pt idx="130">
                  <c:v>43298</c:v>
                </c:pt>
                <c:pt idx="131">
                  <c:v>43299</c:v>
                </c:pt>
                <c:pt idx="132">
                  <c:v>43300</c:v>
                </c:pt>
                <c:pt idx="133">
                  <c:v>43301</c:v>
                </c:pt>
                <c:pt idx="134">
                  <c:v>43304</c:v>
                </c:pt>
                <c:pt idx="135">
                  <c:v>43305</c:v>
                </c:pt>
                <c:pt idx="136">
                  <c:v>43306</c:v>
                </c:pt>
                <c:pt idx="137">
                  <c:v>43307</c:v>
                </c:pt>
                <c:pt idx="138">
                  <c:v>43308</c:v>
                </c:pt>
                <c:pt idx="139">
                  <c:v>43311</c:v>
                </c:pt>
                <c:pt idx="140">
                  <c:v>43312</c:v>
                </c:pt>
                <c:pt idx="141">
                  <c:v>43313</c:v>
                </c:pt>
                <c:pt idx="142">
                  <c:v>43314</c:v>
                </c:pt>
                <c:pt idx="143">
                  <c:v>43315</c:v>
                </c:pt>
                <c:pt idx="144">
                  <c:v>43318</c:v>
                </c:pt>
                <c:pt idx="145">
                  <c:v>43319</c:v>
                </c:pt>
                <c:pt idx="146">
                  <c:v>43320</c:v>
                </c:pt>
                <c:pt idx="147">
                  <c:v>43321</c:v>
                </c:pt>
                <c:pt idx="148">
                  <c:v>43322</c:v>
                </c:pt>
                <c:pt idx="149">
                  <c:v>43325</c:v>
                </c:pt>
                <c:pt idx="150">
                  <c:v>43326</c:v>
                </c:pt>
                <c:pt idx="151">
                  <c:v>43327</c:v>
                </c:pt>
                <c:pt idx="152">
                  <c:v>43328</c:v>
                </c:pt>
                <c:pt idx="153">
                  <c:v>43329</c:v>
                </c:pt>
                <c:pt idx="154">
                  <c:v>43332</c:v>
                </c:pt>
                <c:pt idx="155">
                  <c:v>43333</c:v>
                </c:pt>
                <c:pt idx="156">
                  <c:v>43334</c:v>
                </c:pt>
                <c:pt idx="157">
                  <c:v>43335</c:v>
                </c:pt>
                <c:pt idx="158">
                  <c:v>43336</c:v>
                </c:pt>
                <c:pt idx="159">
                  <c:v>43339</c:v>
                </c:pt>
                <c:pt idx="160">
                  <c:v>43340</c:v>
                </c:pt>
                <c:pt idx="161">
                  <c:v>43341</c:v>
                </c:pt>
                <c:pt idx="162">
                  <c:v>43342</c:v>
                </c:pt>
                <c:pt idx="163">
                  <c:v>43343</c:v>
                </c:pt>
                <c:pt idx="164">
                  <c:v>43346</c:v>
                </c:pt>
                <c:pt idx="165">
                  <c:v>43347</c:v>
                </c:pt>
                <c:pt idx="166">
                  <c:v>43348</c:v>
                </c:pt>
                <c:pt idx="167">
                  <c:v>43349</c:v>
                </c:pt>
                <c:pt idx="168">
                  <c:v>43350</c:v>
                </c:pt>
                <c:pt idx="169">
                  <c:v>43353</c:v>
                </c:pt>
                <c:pt idx="170">
                  <c:v>43354</c:v>
                </c:pt>
                <c:pt idx="171">
                  <c:v>43355</c:v>
                </c:pt>
                <c:pt idx="172">
                  <c:v>43356</c:v>
                </c:pt>
                <c:pt idx="173">
                  <c:v>43357</c:v>
                </c:pt>
                <c:pt idx="174">
                  <c:v>43360</c:v>
                </c:pt>
                <c:pt idx="175">
                  <c:v>43361</c:v>
                </c:pt>
                <c:pt idx="176">
                  <c:v>43362</c:v>
                </c:pt>
                <c:pt idx="177">
                  <c:v>43363</c:v>
                </c:pt>
                <c:pt idx="178">
                  <c:v>43367</c:v>
                </c:pt>
                <c:pt idx="179">
                  <c:v>43368</c:v>
                </c:pt>
                <c:pt idx="180">
                  <c:v>43369</c:v>
                </c:pt>
                <c:pt idx="181">
                  <c:v>43370</c:v>
                </c:pt>
                <c:pt idx="182">
                  <c:v>43371</c:v>
                </c:pt>
                <c:pt idx="183">
                  <c:v>43374</c:v>
                </c:pt>
                <c:pt idx="184">
                  <c:v>43375</c:v>
                </c:pt>
                <c:pt idx="185">
                  <c:v>43376</c:v>
                </c:pt>
                <c:pt idx="186">
                  <c:v>43377</c:v>
                </c:pt>
                <c:pt idx="187">
                  <c:v>43378</c:v>
                </c:pt>
                <c:pt idx="188">
                  <c:v>43381</c:v>
                </c:pt>
                <c:pt idx="189">
                  <c:v>43382</c:v>
                </c:pt>
                <c:pt idx="190">
                  <c:v>43383</c:v>
                </c:pt>
                <c:pt idx="191">
                  <c:v>43388</c:v>
                </c:pt>
                <c:pt idx="192">
                  <c:v>43389</c:v>
                </c:pt>
                <c:pt idx="193">
                  <c:v>43390</c:v>
                </c:pt>
                <c:pt idx="194">
                  <c:v>43391</c:v>
                </c:pt>
                <c:pt idx="195">
                  <c:v>43392</c:v>
                </c:pt>
                <c:pt idx="196">
                  <c:v>43395</c:v>
                </c:pt>
                <c:pt idx="197">
                  <c:v>43396</c:v>
                </c:pt>
                <c:pt idx="198">
                  <c:v>43397</c:v>
                </c:pt>
                <c:pt idx="199">
                  <c:v>43398</c:v>
                </c:pt>
                <c:pt idx="200">
                  <c:v>43399</c:v>
                </c:pt>
                <c:pt idx="201">
                  <c:v>43400</c:v>
                </c:pt>
                <c:pt idx="202">
                  <c:v>43402</c:v>
                </c:pt>
                <c:pt idx="203">
                  <c:v>43403</c:v>
                </c:pt>
                <c:pt idx="204">
                  <c:v>43404</c:v>
                </c:pt>
                <c:pt idx="205">
                  <c:v>43405</c:v>
                </c:pt>
                <c:pt idx="206">
                  <c:v>43406</c:v>
                </c:pt>
                <c:pt idx="207">
                  <c:v>43407</c:v>
                </c:pt>
                <c:pt idx="208">
                  <c:v>43409</c:v>
                </c:pt>
                <c:pt idx="209">
                  <c:v>43410</c:v>
                </c:pt>
                <c:pt idx="210">
                  <c:v>43411</c:v>
                </c:pt>
                <c:pt idx="211">
                  <c:v>43412</c:v>
                </c:pt>
                <c:pt idx="212">
                  <c:v>43413</c:v>
                </c:pt>
                <c:pt idx="213">
                  <c:v>43416</c:v>
                </c:pt>
                <c:pt idx="214">
                  <c:v>43417</c:v>
                </c:pt>
                <c:pt idx="215">
                  <c:v>43418</c:v>
                </c:pt>
                <c:pt idx="216">
                  <c:v>43419</c:v>
                </c:pt>
                <c:pt idx="217">
                  <c:v>43420</c:v>
                </c:pt>
                <c:pt idx="218">
                  <c:v>43423</c:v>
                </c:pt>
                <c:pt idx="219">
                  <c:v>43424</c:v>
                </c:pt>
                <c:pt idx="220">
                  <c:v>43425</c:v>
                </c:pt>
                <c:pt idx="221">
                  <c:v>43426</c:v>
                </c:pt>
                <c:pt idx="222">
                  <c:v>43427</c:v>
                </c:pt>
                <c:pt idx="223">
                  <c:v>43430</c:v>
                </c:pt>
                <c:pt idx="224">
                  <c:v>43431</c:v>
                </c:pt>
                <c:pt idx="225">
                  <c:v>43432</c:v>
                </c:pt>
                <c:pt idx="226">
                  <c:v>43433</c:v>
                </c:pt>
                <c:pt idx="227">
                  <c:v>43434</c:v>
                </c:pt>
                <c:pt idx="228">
                  <c:v>43437</c:v>
                </c:pt>
                <c:pt idx="229">
                  <c:v>43438</c:v>
                </c:pt>
                <c:pt idx="230">
                  <c:v>43439</c:v>
                </c:pt>
                <c:pt idx="231">
                  <c:v>43440</c:v>
                </c:pt>
                <c:pt idx="232">
                  <c:v>43441</c:v>
                </c:pt>
                <c:pt idx="233">
                  <c:v>43444</c:v>
                </c:pt>
                <c:pt idx="234">
                  <c:v>43445</c:v>
                </c:pt>
                <c:pt idx="235">
                  <c:v>43446</c:v>
                </c:pt>
                <c:pt idx="236">
                  <c:v>43447</c:v>
                </c:pt>
                <c:pt idx="237">
                  <c:v>43448</c:v>
                </c:pt>
                <c:pt idx="238">
                  <c:v>43451</c:v>
                </c:pt>
                <c:pt idx="239">
                  <c:v>43452</c:v>
                </c:pt>
                <c:pt idx="240">
                  <c:v>43453</c:v>
                </c:pt>
                <c:pt idx="241">
                  <c:v>43454</c:v>
                </c:pt>
                <c:pt idx="242">
                  <c:v>43455</c:v>
                </c:pt>
                <c:pt idx="243">
                  <c:v>43458</c:v>
                </c:pt>
                <c:pt idx="244">
                  <c:v>43459</c:v>
                </c:pt>
                <c:pt idx="245">
                  <c:v>43460</c:v>
                </c:pt>
                <c:pt idx="246">
                  <c:v>43461</c:v>
                </c:pt>
                <c:pt idx="247">
                  <c:v>43462</c:v>
                </c:pt>
                <c:pt idx="248">
                  <c:v>43473</c:v>
                </c:pt>
                <c:pt idx="249">
                  <c:v>43474</c:v>
                </c:pt>
                <c:pt idx="250">
                  <c:v>43475</c:v>
                </c:pt>
                <c:pt idx="251">
                  <c:v>43476</c:v>
                </c:pt>
                <c:pt idx="252">
                  <c:v>43479</c:v>
                </c:pt>
                <c:pt idx="253">
                  <c:v>43480</c:v>
                </c:pt>
                <c:pt idx="254">
                  <c:v>43481</c:v>
                </c:pt>
                <c:pt idx="255">
                  <c:v>43482</c:v>
                </c:pt>
                <c:pt idx="256">
                  <c:v>43483</c:v>
                </c:pt>
                <c:pt idx="257">
                  <c:v>43486</c:v>
                </c:pt>
                <c:pt idx="258">
                  <c:v>43487</c:v>
                </c:pt>
                <c:pt idx="259">
                  <c:v>43488</c:v>
                </c:pt>
                <c:pt idx="260">
                  <c:v>43489</c:v>
                </c:pt>
                <c:pt idx="261">
                  <c:v>43490</c:v>
                </c:pt>
                <c:pt idx="262">
                  <c:v>43494</c:v>
                </c:pt>
                <c:pt idx="263">
                  <c:v>43495</c:v>
                </c:pt>
                <c:pt idx="264">
                  <c:v>43496</c:v>
                </c:pt>
                <c:pt idx="265">
                  <c:v>43497</c:v>
                </c:pt>
                <c:pt idx="266">
                  <c:v>43500</c:v>
                </c:pt>
                <c:pt idx="267">
                  <c:v>43501</c:v>
                </c:pt>
                <c:pt idx="268">
                  <c:v>43502</c:v>
                </c:pt>
                <c:pt idx="269">
                  <c:v>43503</c:v>
                </c:pt>
                <c:pt idx="270">
                  <c:v>43504</c:v>
                </c:pt>
                <c:pt idx="271">
                  <c:v>43507</c:v>
                </c:pt>
                <c:pt idx="272">
                  <c:v>43508</c:v>
                </c:pt>
                <c:pt idx="273">
                  <c:v>43509</c:v>
                </c:pt>
                <c:pt idx="274">
                  <c:v>43510</c:v>
                </c:pt>
                <c:pt idx="275">
                  <c:v>43511</c:v>
                </c:pt>
                <c:pt idx="276">
                  <c:v>43514</c:v>
                </c:pt>
                <c:pt idx="277">
                  <c:v>43515</c:v>
                </c:pt>
                <c:pt idx="278">
                  <c:v>43516</c:v>
                </c:pt>
                <c:pt idx="279">
                  <c:v>43517</c:v>
                </c:pt>
                <c:pt idx="280">
                  <c:v>43518</c:v>
                </c:pt>
                <c:pt idx="281">
                  <c:v>43521</c:v>
                </c:pt>
                <c:pt idx="282">
                  <c:v>43522</c:v>
                </c:pt>
                <c:pt idx="283">
                  <c:v>43523</c:v>
                </c:pt>
                <c:pt idx="284">
                  <c:v>43524</c:v>
                </c:pt>
                <c:pt idx="285">
                  <c:v>43525</c:v>
                </c:pt>
                <c:pt idx="286">
                  <c:v>43528</c:v>
                </c:pt>
                <c:pt idx="287">
                  <c:v>43529</c:v>
                </c:pt>
                <c:pt idx="288">
                  <c:v>43530</c:v>
                </c:pt>
                <c:pt idx="289">
                  <c:v>43531</c:v>
                </c:pt>
                <c:pt idx="290">
                  <c:v>43535</c:v>
                </c:pt>
                <c:pt idx="291">
                  <c:v>43536</c:v>
                </c:pt>
                <c:pt idx="292">
                  <c:v>43537</c:v>
                </c:pt>
                <c:pt idx="293">
                  <c:v>43538</c:v>
                </c:pt>
                <c:pt idx="294">
                  <c:v>43539</c:v>
                </c:pt>
                <c:pt idx="295">
                  <c:v>43542</c:v>
                </c:pt>
                <c:pt idx="296">
                  <c:v>43543</c:v>
                </c:pt>
                <c:pt idx="297">
                  <c:v>43544</c:v>
                </c:pt>
                <c:pt idx="298">
                  <c:v>43545</c:v>
                </c:pt>
                <c:pt idx="299">
                  <c:v>43546</c:v>
                </c:pt>
                <c:pt idx="300">
                  <c:v>43549</c:v>
                </c:pt>
                <c:pt idx="301">
                  <c:v>43550</c:v>
                </c:pt>
                <c:pt idx="302">
                  <c:v>43551</c:v>
                </c:pt>
                <c:pt idx="303">
                  <c:v>43552</c:v>
                </c:pt>
                <c:pt idx="304">
                  <c:v>43553</c:v>
                </c:pt>
                <c:pt idx="305">
                  <c:v>43556</c:v>
                </c:pt>
                <c:pt idx="306">
                  <c:v>43557</c:v>
                </c:pt>
                <c:pt idx="307">
                  <c:v>43558</c:v>
                </c:pt>
                <c:pt idx="308">
                  <c:v>43559</c:v>
                </c:pt>
                <c:pt idx="309">
                  <c:v>43560</c:v>
                </c:pt>
                <c:pt idx="310">
                  <c:v>43563</c:v>
                </c:pt>
                <c:pt idx="311">
                  <c:v>43564</c:v>
                </c:pt>
                <c:pt idx="312">
                  <c:v>43565</c:v>
                </c:pt>
                <c:pt idx="313">
                  <c:v>43566</c:v>
                </c:pt>
                <c:pt idx="314">
                  <c:v>43567</c:v>
                </c:pt>
                <c:pt idx="315">
                  <c:v>43570</c:v>
                </c:pt>
                <c:pt idx="316">
                  <c:v>43571</c:v>
                </c:pt>
                <c:pt idx="317">
                  <c:v>43572</c:v>
                </c:pt>
                <c:pt idx="318">
                  <c:v>43573</c:v>
                </c:pt>
                <c:pt idx="319">
                  <c:v>43574</c:v>
                </c:pt>
                <c:pt idx="320">
                  <c:v>43577</c:v>
                </c:pt>
                <c:pt idx="321">
                  <c:v>43578</c:v>
                </c:pt>
                <c:pt idx="322">
                  <c:v>43580</c:v>
                </c:pt>
                <c:pt idx="323">
                  <c:v>43581</c:v>
                </c:pt>
                <c:pt idx="324">
                  <c:v>43584</c:v>
                </c:pt>
                <c:pt idx="325">
                  <c:v>43585</c:v>
                </c:pt>
                <c:pt idx="326">
                  <c:v>43587</c:v>
                </c:pt>
                <c:pt idx="327">
                  <c:v>43588</c:v>
                </c:pt>
                <c:pt idx="328">
                  <c:v>43591</c:v>
                </c:pt>
                <c:pt idx="329">
                  <c:v>43592</c:v>
                </c:pt>
                <c:pt idx="330">
                  <c:v>43593</c:v>
                </c:pt>
                <c:pt idx="331">
                  <c:v>43595</c:v>
                </c:pt>
                <c:pt idx="332">
                  <c:v>43598</c:v>
                </c:pt>
                <c:pt idx="333">
                  <c:v>43599</c:v>
                </c:pt>
                <c:pt idx="334">
                  <c:v>43600</c:v>
                </c:pt>
                <c:pt idx="335">
                  <c:v>43601</c:v>
                </c:pt>
                <c:pt idx="336">
                  <c:v>43602</c:v>
                </c:pt>
                <c:pt idx="337">
                  <c:v>43605</c:v>
                </c:pt>
                <c:pt idx="338">
                  <c:v>43606</c:v>
                </c:pt>
                <c:pt idx="339">
                  <c:v>43607</c:v>
                </c:pt>
                <c:pt idx="340">
                  <c:v>43608</c:v>
                </c:pt>
                <c:pt idx="341">
                  <c:v>43609</c:v>
                </c:pt>
                <c:pt idx="342">
                  <c:v>43612</c:v>
                </c:pt>
                <c:pt idx="343">
                  <c:v>43614</c:v>
                </c:pt>
                <c:pt idx="344">
                  <c:v>43615</c:v>
                </c:pt>
                <c:pt idx="345">
                  <c:v>43616</c:v>
                </c:pt>
                <c:pt idx="346">
                  <c:v>43619</c:v>
                </c:pt>
                <c:pt idx="347">
                  <c:v>43620</c:v>
                </c:pt>
                <c:pt idx="348">
                  <c:v>43621</c:v>
                </c:pt>
                <c:pt idx="349">
                  <c:v>43622</c:v>
                </c:pt>
                <c:pt idx="350">
                  <c:v>43623</c:v>
                </c:pt>
                <c:pt idx="351">
                  <c:v>43626</c:v>
                </c:pt>
                <c:pt idx="352">
                  <c:v>43627</c:v>
                </c:pt>
                <c:pt idx="353">
                  <c:v>43628</c:v>
                </c:pt>
                <c:pt idx="354">
                  <c:v>43629</c:v>
                </c:pt>
                <c:pt idx="355">
                  <c:v>43630</c:v>
                </c:pt>
                <c:pt idx="356">
                  <c:v>43633</c:v>
                </c:pt>
                <c:pt idx="357">
                  <c:v>43634</c:v>
                </c:pt>
                <c:pt idx="358">
                  <c:v>43635</c:v>
                </c:pt>
                <c:pt idx="359">
                  <c:v>43636</c:v>
                </c:pt>
                <c:pt idx="360">
                  <c:v>43637</c:v>
                </c:pt>
                <c:pt idx="361">
                  <c:v>43640</c:v>
                </c:pt>
                <c:pt idx="362">
                  <c:v>43641</c:v>
                </c:pt>
                <c:pt idx="363">
                  <c:v>43642</c:v>
                </c:pt>
                <c:pt idx="364">
                  <c:v>43643</c:v>
                </c:pt>
                <c:pt idx="365">
                  <c:v>43644</c:v>
                </c:pt>
                <c:pt idx="366">
                  <c:v>43647</c:v>
                </c:pt>
                <c:pt idx="367">
                  <c:v>43648</c:v>
                </c:pt>
                <c:pt idx="368">
                  <c:v>43649</c:v>
                </c:pt>
                <c:pt idx="369">
                  <c:v>43650</c:v>
                </c:pt>
                <c:pt idx="370">
                  <c:v>43654</c:v>
                </c:pt>
                <c:pt idx="371">
                  <c:v>43655</c:v>
                </c:pt>
                <c:pt idx="372">
                  <c:v>43656</c:v>
                </c:pt>
                <c:pt idx="373">
                  <c:v>43657</c:v>
                </c:pt>
                <c:pt idx="374">
                  <c:v>43658</c:v>
                </c:pt>
                <c:pt idx="375">
                  <c:v>43661</c:v>
                </c:pt>
                <c:pt idx="376">
                  <c:v>43662</c:v>
                </c:pt>
                <c:pt idx="377">
                  <c:v>43663</c:v>
                </c:pt>
                <c:pt idx="378">
                  <c:v>43664</c:v>
                </c:pt>
                <c:pt idx="379">
                  <c:v>43665</c:v>
                </c:pt>
                <c:pt idx="380">
                  <c:v>43668</c:v>
                </c:pt>
                <c:pt idx="381">
                  <c:v>43669</c:v>
                </c:pt>
                <c:pt idx="382">
                  <c:v>43670</c:v>
                </c:pt>
                <c:pt idx="383">
                  <c:v>43671</c:v>
                </c:pt>
                <c:pt idx="384">
                  <c:v>43672</c:v>
                </c:pt>
                <c:pt idx="385">
                  <c:v>43675</c:v>
                </c:pt>
                <c:pt idx="386">
                  <c:v>43676</c:v>
                </c:pt>
                <c:pt idx="387">
                  <c:v>43677</c:v>
                </c:pt>
                <c:pt idx="388">
                  <c:v>43678</c:v>
                </c:pt>
                <c:pt idx="389">
                  <c:v>43679</c:v>
                </c:pt>
                <c:pt idx="390">
                  <c:v>43682</c:v>
                </c:pt>
                <c:pt idx="391">
                  <c:v>43683</c:v>
                </c:pt>
                <c:pt idx="392">
                  <c:v>43684</c:v>
                </c:pt>
                <c:pt idx="393">
                  <c:v>43685</c:v>
                </c:pt>
                <c:pt idx="394">
                  <c:v>43686</c:v>
                </c:pt>
                <c:pt idx="395">
                  <c:v>43689</c:v>
                </c:pt>
                <c:pt idx="396">
                  <c:v>43690</c:v>
                </c:pt>
                <c:pt idx="397">
                  <c:v>43691</c:v>
                </c:pt>
                <c:pt idx="398">
                  <c:v>43692</c:v>
                </c:pt>
                <c:pt idx="399">
                  <c:v>43693</c:v>
                </c:pt>
                <c:pt idx="400">
                  <c:v>43696</c:v>
                </c:pt>
                <c:pt idx="401">
                  <c:v>43697</c:v>
                </c:pt>
                <c:pt idx="402">
                  <c:v>43698</c:v>
                </c:pt>
                <c:pt idx="403">
                  <c:v>43699</c:v>
                </c:pt>
                <c:pt idx="404">
                  <c:v>43700</c:v>
                </c:pt>
                <c:pt idx="405">
                  <c:v>43703</c:v>
                </c:pt>
                <c:pt idx="406">
                  <c:v>43704</c:v>
                </c:pt>
                <c:pt idx="407">
                  <c:v>43705</c:v>
                </c:pt>
                <c:pt idx="408">
                  <c:v>43706</c:v>
                </c:pt>
                <c:pt idx="409">
                  <c:v>43707</c:v>
                </c:pt>
                <c:pt idx="410">
                  <c:v>43710</c:v>
                </c:pt>
                <c:pt idx="411">
                  <c:v>43711</c:v>
                </c:pt>
                <c:pt idx="412">
                  <c:v>43712</c:v>
                </c:pt>
                <c:pt idx="413">
                  <c:v>43713</c:v>
                </c:pt>
                <c:pt idx="414">
                  <c:v>43714</c:v>
                </c:pt>
                <c:pt idx="415">
                  <c:v>43717</c:v>
                </c:pt>
                <c:pt idx="416">
                  <c:v>43718</c:v>
                </c:pt>
                <c:pt idx="417">
                  <c:v>43719</c:v>
                </c:pt>
                <c:pt idx="418">
                  <c:v>43720</c:v>
                </c:pt>
                <c:pt idx="419">
                  <c:v>43721</c:v>
                </c:pt>
                <c:pt idx="420">
                  <c:v>43724</c:v>
                </c:pt>
                <c:pt idx="421">
                  <c:v>43725</c:v>
                </c:pt>
                <c:pt idx="422">
                  <c:v>43726</c:v>
                </c:pt>
                <c:pt idx="423">
                  <c:v>43727</c:v>
                </c:pt>
                <c:pt idx="424">
                  <c:v>43728</c:v>
                </c:pt>
                <c:pt idx="425">
                  <c:v>43731</c:v>
                </c:pt>
                <c:pt idx="426">
                  <c:v>43732</c:v>
                </c:pt>
                <c:pt idx="427">
                  <c:v>43733</c:v>
                </c:pt>
                <c:pt idx="428">
                  <c:v>43734</c:v>
                </c:pt>
                <c:pt idx="429">
                  <c:v>43735</c:v>
                </c:pt>
                <c:pt idx="430">
                  <c:v>43738</c:v>
                </c:pt>
                <c:pt idx="431">
                  <c:v>43739</c:v>
                </c:pt>
                <c:pt idx="432">
                  <c:v>43740</c:v>
                </c:pt>
                <c:pt idx="433">
                  <c:v>43741</c:v>
                </c:pt>
                <c:pt idx="434">
                  <c:v>43742</c:v>
                </c:pt>
                <c:pt idx="435">
                  <c:v>43745</c:v>
                </c:pt>
                <c:pt idx="436">
                  <c:v>43746</c:v>
                </c:pt>
                <c:pt idx="437">
                  <c:v>43747</c:v>
                </c:pt>
                <c:pt idx="438">
                  <c:v>43748</c:v>
                </c:pt>
                <c:pt idx="439">
                  <c:v>43749</c:v>
                </c:pt>
                <c:pt idx="440">
                  <c:v>43752</c:v>
                </c:pt>
                <c:pt idx="441">
                  <c:v>43753</c:v>
                </c:pt>
                <c:pt idx="442">
                  <c:v>43754</c:v>
                </c:pt>
                <c:pt idx="443">
                  <c:v>43755</c:v>
                </c:pt>
                <c:pt idx="444">
                  <c:v>43756</c:v>
                </c:pt>
                <c:pt idx="445">
                  <c:v>43759</c:v>
                </c:pt>
                <c:pt idx="446">
                  <c:v>43760</c:v>
                </c:pt>
                <c:pt idx="447">
                  <c:v>43761</c:v>
                </c:pt>
                <c:pt idx="448">
                  <c:v>43762</c:v>
                </c:pt>
                <c:pt idx="449">
                  <c:v>43763</c:v>
                </c:pt>
                <c:pt idx="450">
                  <c:v>43766</c:v>
                </c:pt>
                <c:pt idx="451">
                  <c:v>43767</c:v>
                </c:pt>
                <c:pt idx="452">
                  <c:v>43768</c:v>
                </c:pt>
                <c:pt idx="453">
                  <c:v>43769</c:v>
                </c:pt>
                <c:pt idx="454">
                  <c:v>43770</c:v>
                </c:pt>
                <c:pt idx="455">
                  <c:v>43773</c:v>
                </c:pt>
                <c:pt idx="456">
                  <c:v>43774</c:v>
                </c:pt>
                <c:pt idx="457">
                  <c:v>43775</c:v>
                </c:pt>
                <c:pt idx="458">
                  <c:v>43776</c:v>
                </c:pt>
                <c:pt idx="459">
                  <c:v>43777</c:v>
                </c:pt>
                <c:pt idx="460">
                  <c:v>43780</c:v>
                </c:pt>
                <c:pt idx="461">
                  <c:v>43781</c:v>
                </c:pt>
                <c:pt idx="462">
                  <c:v>43782</c:v>
                </c:pt>
                <c:pt idx="463">
                  <c:v>43783</c:v>
                </c:pt>
                <c:pt idx="464">
                  <c:v>43784</c:v>
                </c:pt>
                <c:pt idx="465">
                  <c:v>43787</c:v>
                </c:pt>
                <c:pt idx="466">
                  <c:v>43788</c:v>
                </c:pt>
                <c:pt idx="467">
                  <c:v>43789</c:v>
                </c:pt>
                <c:pt idx="468">
                  <c:v>43790</c:v>
                </c:pt>
                <c:pt idx="469">
                  <c:v>43791</c:v>
                </c:pt>
                <c:pt idx="470">
                  <c:v>43794</c:v>
                </c:pt>
                <c:pt idx="471">
                  <c:v>43795</c:v>
                </c:pt>
                <c:pt idx="472">
                  <c:v>43796</c:v>
                </c:pt>
                <c:pt idx="473">
                  <c:v>43797</c:v>
                </c:pt>
                <c:pt idx="474">
                  <c:v>43798</c:v>
                </c:pt>
                <c:pt idx="475">
                  <c:v>43801</c:v>
                </c:pt>
                <c:pt idx="476">
                  <c:v>43802</c:v>
                </c:pt>
                <c:pt idx="477">
                  <c:v>43803</c:v>
                </c:pt>
                <c:pt idx="478">
                  <c:v>43804</c:v>
                </c:pt>
                <c:pt idx="479">
                  <c:v>43805</c:v>
                </c:pt>
                <c:pt idx="480">
                  <c:v>43808</c:v>
                </c:pt>
                <c:pt idx="481">
                  <c:v>43809</c:v>
                </c:pt>
                <c:pt idx="482">
                  <c:v>43810</c:v>
                </c:pt>
                <c:pt idx="483">
                  <c:v>43811</c:v>
                </c:pt>
                <c:pt idx="484">
                  <c:v>43812</c:v>
                </c:pt>
                <c:pt idx="485">
                  <c:v>43815</c:v>
                </c:pt>
                <c:pt idx="486">
                  <c:v>43816</c:v>
                </c:pt>
                <c:pt idx="487">
                  <c:v>43817</c:v>
                </c:pt>
                <c:pt idx="488">
                  <c:v>43818</c:v>
                </c:pt>
                <c:pt idx="489">
                  <c:v>43819</c:v>
                </c:pt>
                <c:pt idx="490">
                  <c:v>43822</c:v>
                </c:pt>
                <c:pt idx="491">
                  <c:v>43823</c:v>
                </c:pt>
                <c:pt idx="492">
                  <c:v>43824</c:v>
                </c:pt>
                <c:pt idx="493">
                  <c:v>43825</c:v>
                </c:pt>
                <c:pt idx="494">
                  <c:v>43826</c:v>
                </c:pt>
                <c:pt idx="495">
                  <c:v>43829</c:v>
                </c:pt>
                <c:pt idx="496">
                  <c:v>43838</c:v>
                </c:pt>
                <c:pt idx="497">
                  <c:v>43839</c:v>
                </c:pt>
                <c:pt idx="498">
                  <c:v>43840</c:v>
                </c:pt>
                <c:pt idx="499">
                  <c:v>43843</c:v>
                </c:pt>
                <c:pt idx="500">
                  <c:v>43844</c:v>
                </c:pt>
                <c:pt idx="501">
                  <c:v>43845</c:v>
                </c:pt>
                <c:pt idx="502">
                  <c:v>43846</c:v>
                </c:pt>
                <c:pt idx="503">
                  <c:v>43847</c:v>
                </c:pt>
                <c:pt idx="504">
                  <c:v>43850</c:v>
                </c:pt>
                <c:pt idx="505">
                  <c:v>43851</c:v>
                </c:pt>
                <c:pt idx="506">
                  <c:v>43852</c:v>
                </c:pt>
                <c:pt idx="507">
                  <c:v>43853</c:v>
                </c:pt>
                <c:pt idx="508">
                  <c:v>43854</c:v>
                </c:pt>
                <c:pt idx="509">
                  <c:v>43859</c:v>
                </c:pt>
                <c:pt idx="510">
                  <c:v>43860</c:v>
                </c:pt>
                <c:pt idx="511">
                  <c:v>43861</c:v>
                </c:pt>
                <c:pt idx="512">
                  <c:v>43862</c:v>
                </c:pt>
                <c:pt idx="513">
                  <c:v>43864</c:v>
                </c:pt>
                <c:pt idx="514">
                  <c:v>43865</c:v>
                </c:pt>
                <c:pt idx="515">
                  <c:v>43866</c:v>
                </c:pt>
                <c:pt idx="516">
                  <c:v>43867</c:v>
                </c:pt>
                <c:pt idx="517">
                  <c:v>43868</c:v>
                </c:pt>
                <c:pt idx="518">
                  <c:v>43871</c:v>
                </c:pt>
                <c:pt idx="519">
                  <c:v>43872</c:v>
                </c:pt>
                <c:pt idx="520">
                  <c:v>43873</c:v>
                </c:pt>
                <c:pt idx="521">
                  <c:v>43874</c:v>
                </c:pt>
                <c:pt idx="522">
                  <c:v>43875</c:v>
                </c:pt>
                <c:pt idx="523">
                  <c:v>43878</c:v>
                </c:pt>
                <c:pt idx="524">
                  <c:v>43879</c:v>
                </c:pt>
                <c:pt idx="525">
                  <c:v>43880</c:v>
                </c:pt>
                <c:pt idx="526">
                  <c:v>43881</c:v>
                </c:pt>
                <c:pt idx="527">
                  <c:v>43882</c:v>
                </c:pt>
                <c:pt idx="528">
                  <c:v>43885</c:v>
                </c:pt>
                <c:pt idx="529">
                  <c:v>43886</c:v>
                </c:pt>
                <c:pt idx="530">
                  <c:v>43887</c:v>
                </c:pt>
                <c:pt idx="531">
                  <c:v>43888</c:v>
                </c:pt>
                <c:pt idx="532">
                  <c:v>43889</c:v>
                </c:pt>
                <c:pt idx="533">
                  <c:v>43892</c:v>
                </c:pt>
                <c:pt idx="534">
                  <c:v>43893</c:v>
                </c:pt>
                <c:pt idx="535">
                  <c:v>43894</c:v>
                </c:pt>
                <c:pt idx="536">
                  <c:v>43895</c:v>
                </c:pt>
                <c:pt idx="537">
                  <c:v>43896</c:v>
                </c:pt>
                <c:pt idx="538">
                  <c:v>43899</c:v>
                </c:pt>
                <c:pt idx="539">
                  <c:v>43900</c:v>
                </c:pt>
                <c:pt idx="540">
                  <c:v>43901</c:v>
                </c:pt>
                <c:pt idx="541">
                  <c:v>43902</c:v>
                </c:pt>
                <c:pt idx="542">
                  <c:v>43903</c:v>
                </c:pt>
                <c:pt idx="543">
                  <c:v>43906</c:v>
                </c:pt>
                <c:pt idx="544">
                  <c:v>43907</c:v>
                </c:pt>
                <c:pt idx="545">
                  <c:v>43908</c:v>
                </c:pt>
                <c:pt idx="546">
                  <c:v>43909</c:v>
                </c:pt>
                <c:pt idx="547">
                  <c:v>43910</c:v>
                </c:pt>
                <c:pt idx="548">
                  <c:v>43913</c:v>
                </c:pt>
                <c:pt idx="549">
                  <c:v>43914</c:v>
                </c:pt>
                <c:pt idx="550">
                  <c:v>43915</c:v>
                </c:pt>
                <c:pt idx="551">
                  <c:v>43916</c:v>
                </c:pt>
                <c:pt idx="552">
                  <c:v>43917</c:v>
                </c:pt>
                <c:pt idx="553">
                  <c:v>43920</c:v>
                </c:pt>
                <c:pt idx="554">
                  <c:v>43921</c:v>
                </c:pt>
                <c:pt idx="555">
                  <c:v>43922</c:v>
                </c:pt>
                <c:pt idx="556">
                  <c:v>43923</c:v>
                </c:pt>
                <c:pt idx="557">
                  <c:v>43924</c:v>
                </c:pt>
                <c:pt idx="558">
                  <c:v>43927</c:v>
                </c:pt>
                <c:pt idx="559">
                  <c:v>43928</c:v>
                </c:pt>
                <c:pt idx="560">
                  <c:v>43929</c:v>
                </c:pt>
                <c:pt idx="561">
                  <c:v>43930</c:v>
                </c:pt>
                <c:pt idx="562">
                  <c:v>43931</c:v>
                </c:pt>
                <c:pt idx="563">
                  <c:v>43934</c:v>
                </c:pt>
                <c:pt idx="564">
                  <c:v>43935</c:v>
                </c:pt>
                <c:pt idx="565">
                  <c:v>43936</c:v>
                </c:pt>
                <c:pt idx="566">
                  <c:v>43937</c:v>
                </c:pt>
                <c:pt idx="567">
                  <c:v>43938</c:v>
                </c:pt>
                <c:pt idx="568">
                  <c:v>43941</c:v>
                </c:pt>
                <c:pt idx="569">
                  <c:v>43942</c:v>
                </c:pt>
                <c:pt idx="570">
                  <c:v>43943</c:v>
                </c:pt>
                <c:pt idx="571">
                  <c:v>43944</c:v>
                </c:pt>
                <c:pt idx="572">
                  <c:v>43948</c:v>
                </c:pt>
                <c:pt idx="573">
                  <c:v>43949</c:v>
                </c:pt>
                <c:pt idx="574">
                  <c:v>43950</c:v>
                </c:pt>
                <c:pt idx="575">
                  <c:v>43951</c:v>
                </c:pt>
                <c:pt idx="576">
                  <c:v>43955</c:v>
                </c:pt>
                <c:pt idx="577">
                  <c:v>43956</c:v>
                </c:pt>
                <c:pt idx="578">
                  <c:v>43957</c:v>
                </c:pt>
                <c:pt idx="579">
                  <c:v>43958</c:v>
                </c:pt>
                <c:pt idx="580">
                  <c:v>43959</c:v>
                </c:pt>
                <c:pt idx="581">
                  <c:v>43962</c:v>
                </c:pt>
                <c:pt idx="582">
                  <c:v>43963</c:v>
                </c:pt>
                <c:pt idx="583">
                  <c:v>43964</c:v>
                </c:pt>
                <c:pt idx="584">
                  <c:v>43965</c:v>
                </c:pt>
                <c:pt idx="585">
                  <c:v>43966</c:v>
                </c:pt>
                <c:pt idx="586">
                  <c:v>43969</c:v>
                </c:pt>
                <c:pt idx="587">
                  <c:v>43970</c:v>
                </c:pt>
                <c:pt idx="588">
                  <c:v>43971</c:v>
                </c:pt>
                <c:pt idx="589">
                  <c:v>43972</c:v>
                </c:pt>
                <c:pt idx="590">
                  <c:v>43973</c:v>
                </c:pt>
                <c:pt idx="591">
                  <c:v>43974</c:v>
                </c:pt>
                <c:pt idx="592">
                  <c:v>43976</c:v>
                </c:pt>
                <c:pt idx="593">
                  <c:v>43977</c:v>
                </c:pt>
                <c:pt idx="594">
                  <c:v>43978</c:v>
                </c:pt>
                <c:pt idx="595">
                  <c:v>43983</c:v>
                </c:pt>
                <c:pt idx="596">
                  <c:v>43984</c:v>
                </c:pt>
                <c:pt idx="597">
                  <c:v>43985</c:v>
                </c:pt>
                <c:pt idx="598">
                  <c:v>43986</c:v>
                </c:pt>
                <c:pt idx="599">
                  <c:v>43987</c:v>
                </c:pt>
                <c:pt idx="600">
                  <c:v>43990</c:v>
                </c:pt>
                <c:pt idx="601">
                  <c:v>43991</c:v>
                </c:pt>
                <c:pt idx="602">
                  <c:v>43992</c:v>
                </c:pt>
                <c:pt idx="603">
                  <c:v>43993</c:v>
                </c:pt>
                <c:pt idx="604">
                  <c:v>43994</c:v>
                </c:pt>
                <c:pt idx="605">
                  <c:v>43997</c:v>
                </c:pt>
                <c:pt idx="606">
                  <c:v>43998</c:v>
                </c:pt>
                <c:pt idx="607">
                  <c:v>43999</c:v>
                </c:pt>
                <c:pt idx="608">
                  <c:v>44000</c:v>
                </c:pt>
                <c:pt idx="609">
                  <c:v>44001</c:v>
                </c:pt>
                <c:pt idx="610">
                  <c:v>44004</c:v>
                </c:pt>
                <c:pt idx="611">
                  <c:v>44005</c:v>
                </c:pt>
                <c:pt idx="612">
                  <c:v>44006</c:v>
                </c:pt>
                <c:pt idx="613">
                  <c:v>44007</c:v>
                </c:pt>
                <c:pt idx="614">
                  <c:v>44008</c:v>
                </c:pt>
                <c:pt idx="615">
                  <c:v>44011</c:v>
                </c:pt>
                <c:pt idx="616">
                  <c:v>44012</c:v>
                </c:pt>
                <c:pt idx="617">
                  <c:v>44013</c:v>
                </c:pt>
                <c:pt idx="618">
                  <c:v>44014</c:v>
                </c:pt>
                <c:pt idx="619">
                  <c:v>44015</c:v>
                </c:pt>
                <c:pt idx="620">
                  <c:v>44018</c:v>
                </c:pt>
                <c:pt idx="621">
                  <c:v>44019</c:v>
                </c:pt>
                <c:pt idx="622">
                  <c:v>44020</c:v>
                </c:pt>
                <c:pt idx="623">
                  <c:v>44021</c:v>
                </c:pt>
                <c:pt idx="624">
                  <c:v>44022</c:v>
                </c:pt>
                <c:pt idx="625">
                  <c:v>44025</c:v>
                </c:pt>
                <c:pt idx="626">
                  <c:v>44026</c:v>
                </c:pt>
                <c:pt idx="627">
                  <c:v>44027</c:v>
                </c:pt>
                <c:pt idx="628">
                  <c:v>44028</c:v>
                </c:pt>
                <c:pt idx="629">
                  <c:v>44029</c:v>
                </c:pt>
                <c:pt idx="630">
                  <c:v>44032</c:v>
                </c:pt>
                <c:pt idx="631">
                  <c:v>44033</c:v>
                </c:pt>
                <c:pt idx="632">
                  <c:v>44034</c:v>
                </c:pt>
                <c:pt idx="633">
                  <c:v>44035</c:v>
                </c:pt>
                <c:pt idx="634">
                  <c:v>44036</c:v>
                </c:pt>
                <c:pt idx="635">
                  <c:v>44039</c:v>
                </c:pt>
                <c:pt idx="636">
                  <c:v>44040</c:v>
                </c:pt>
                <c:pt idx="637">
                  <c:v>44041</c:v>
                </c:pt>
                <c:pt idx="638">
                  <c:v>44042</c:v>
                </c:pt>
                <c:pt idx="639">
                  <c:v>44043</c:v>
                </c:pt>
                <c:pt idx="640">
                  <c:v>44046</c:v>
                </c:pt>
                <c:pt idx="641">
                  <c:v>44047</c:v>
                </c:pt>
                <c:pt idx="642">
                  <c:v>44048</c:v>
                </c:pt>
                <c:pt idx="643">
                  <c:v>44049</c:v>
                </c:pt>
                <c:pt idx="644">
                  <c:v>44050</c:v>
                </c:pt>
                <c:pt idx="645">
                  <c:v>44053</c:v>
                </c:pt>
                <c:pt idx="646">
                  <c:v>44054</c:v>
                </c:pt>
                <c:pt idx="647">
                  <c:v>44055</c:v>
                </c:pt>
                <c:pt idx="648">
                  <c:v>44056</c:v>
                </c:pt>
                <c:pt idx="649">
                  <c:v>44057</c:v>
                </c:pt>
                <c:pt idx="650">
                  <c:v>44060</c:v>
                </c:pt>
                <c:pt idx="651">
                  <c:v>44061</c:v>
                </c:pt>
                <c:pt idx="652">
                  <c:v>44062</c:v>
                </c:pt>
                <c:pt idx="653">
                  <c:v>44063</c:v>
                </c:pt>
                <c:pt idx="654">
                  <c:v>44064</c:v>
                </c:pt>
                <c:pt idx="655">
                  <c:v>44067</c:v>
                </c:pt>
                <c:pt idx="656">
                  <c:v>44068</c:v>
                </c:pt>
                <c:pt idx="657">
                  <c:v>44069</c:v>
                </c:pt>
                <c:pt idx="658">
                  <c:v>44070</c:v>
                </c:pt>
                <c:pt idx="659">
                  <c:v>44071</c:v>
                </c:pt>
                <c:pt idx="660">
                  <c:v>44074</c:v>
                </c:pt>
                <c:pt idx="661">
                  <c:v>44075</c:v>
                </c:pt>
                <c:pt idx="662">
                  <c:v>44076</c:v>
                </c:pt>
                <c:pt idx="663">
                  <c:v>44077</c:v>
                </c:pt>
                <c:pt idx="664">
                  <c:v>44078</c:v>
                </c:pt>
                <c:pt idx="665">
                  <c:v>44081</c:v>
                </c:pt>
                <c:pt idx="666">
                  <c:v>44082</c:v>
                </c:pt>
                <c:pt idx="667">
                  <c:v>44083</c:v>
                </c:pt>
                <c:pt idx="668">
                  <c:v>44084</c:v>
                </c:pt>
                <c:pt idx="669">
                  <c:v>44085</c:v>
                </c:pt>
                <c:pt idx="670">
                  <c:v>44088</c:v>
                </c:pt>
                <c:pt idx="671">
                  <c:v>44089</c:v>
                </c:pt>
                <c:pt idx="672">
                  <c:v>44090</c:v>
                </c:pt>
                <c:pt idx="673">
                  <c:v>44091</c:v>
                </c:pt>
                <c:pt idx="674">
                  <c:v>44092</c:v>
                </c:pt>
                <c:pt idx="675">
                  <c:v>44096</c:v>
                </c:pt>
                <c:pt idx="676">
                  <c:v>44097</c:v>
                </c:pt>
                <c:pt idx="677">
                  <c:v>44098</c:v>
                </c:pt>
                <c:pt idx="678">
                  <c:v>44099</c:v>
                </c:pt>
                <c:pt idx="679">
                  <c:v>44102</c:v>
                </c:pt>
                <c:pt idx="680">
                  <c:v>44103</c:v>
                </c:pt>
                <c:pt idx="681">
                  <c:v>44104</c:v>
                </c:pt>
                <c:pt idx="682">
                  <c:v>44105</c:v>
                </c:pt>
                <c:pt idx="683">
                  <c:v>44106</c:v>
                </c:pt>
                <c:pt idx="684">
                  <c:v>44109</c:v>
                </c:pt>
                <c:pt idx="685">
                  <c:v>44110</c:v>
                </c:pt>
                <c:pt idx="686">
                  <c:v>44111</c:v>
                </c:pt>
                <c:pt idx="687">
                  <c:v>44112</c:v>
                </c:pt>
                <c:pt idx="688">
                  <c:v>44113</c:v>
                </c:pt>
                <c:pt idx="689">
                  <c:v>44116</c:v>
                </c:pt>
                <c:pt idx="690">
                  <c:v>44117</c:v>
                </c:pt>
                <c:pt idx="691">
                  <c:v>44118</c:v>
                </c:pt>
                <c:pt idx="692">
                  <c:v>44119</c:v>
                </c:pt>
                <c:pt idx="693">
                  <c:v>44120</c:v>
                </c:pt>
                <c:pt idx="694">
                  <c:v>44123</c:v>
                </c:pt>
                <c:pt idx="695">
                  <c:v>44124</c:v>
                </c:pt>
                <c:pt idx="696">
                  <c:v>44125</c:v>
                </c:pt>
                <c:pt idx="697">
                  <c:v>44126</c:v>
                </c:pt>
                <c:pt idx="698">
                  <c:v>44127</c:v>
                </c:pt>
                <c:pt idx="699">
                  <c:v>44130</c:v>
                </c:pt>
                <c:pt idx="700">
                  <c:v>44131</c:v>
                </c:pt>
                <c:pt idx="701">
                  <c:v>44132</c:v>
                </c:pt>
                <c:pt idx="702">
                  <c:v>44133</c:v>
                </c:pt>
                <c:pt idx="703">
                  <c:v>44134</c:v>
                </c:pt>
                <c:pt idx="704">
                  <c:v>44137</c:v>
                </c:pt>
                <c:pt idx="705">
                  <c:v>44138</c:v>
                </c:pt>
                <c:pt idx="706">
                  <c:v>44139</c:v>
                </c:pt>
                <c:pt idx="707">
                  <c:v>44140</c:v>
                </c:pt>
                <c:pt idx="708">
                  <c:v>44141</c:v>
                </c:pt>
                <c:pt idx="709">
                  <c:v>44144</c:v>
                </c:pt>
                <c:pt idx="710">
                  <c:v>44145</c:v>
                </c:pt>
                <c:pt idx="711">
                  <c:v>44146</c:v>
                </c:pt>
                <c:pt idx="712">
                  <c:v>44147</c:v>
                </c:pt>
                <c:pt idx="713">
                  <c:v>44148</c:v>
                </c:pt>
                <c:pt idx="714">
                  <c:v>44151</c:v>
                </c:pt>
                <c:pt idx="715">
                  <c:v>44152</c:v>
                </c:pt>
                <c:pt idx="716">
                  <c:v>44153</c:v>
                </c:pt>
                <c:pt idx="717">
                  <c:v>44154</c:v>
                </c:pt>
                <c:pt idx="718">
                  <c:v>44155</c:v>
                </c:pt>
                <c:pt idx="719">
                  <c:v>44158</c:v>
                </c:pt>
                <c:pt idx="720">
                  <c:v>44159</c:v>
                </c:pt>
                <c:pt idx="721">
                  <c:v>44160</c:v>
                </c:pt>
                <c:pt idx="722">
                  <c:v>44161</c:v>
                </c:pt>
                <c:pt idx="723">
                  <c:v>44162</c:v>
                </c:pt>
                <c:pt idx="724">
                  <c:v>44165</c:v>
                </c:pt>
                <c:pt idx="725">
                  <c:v>44166</c:v>
                </c:pt>
                <c:pt idx="726">
                  <c:v>44167</c:v>
                </c:pt>
                <c:pt idx="727">
                  <c:v>44168</c:v>
                </c:pt>
                <c:pt idx="728">
                  <c:v>44169</c:v>
                </c:pt>
                <c:pt idx="729">
                  <c:v>44172</c:v>
                </c:pt>
                <c:pt idx="730">
                  <c:v>44173</c:v>
                </c:pt>
                <c:pt idx="731">
                  <c:v>44174</c:v>
                </c:pt>
                <c:pt idx="732">
                  <c:v>44175</c:v>
                </c:pt>
                <c:pt idx="733">
                  <c:v>44176</c:v>
                </c:pt>
                <c:pt idx="734">
                  <c:v>44179</c:v>
                </c:pt>
                <c:pt idx="735">
                  <c:v>44180</c:v>
                </c:pt>
                <c:pt idx="736">
                  <c:v>44181</c:v>
                </c:pt>
                <c:pt idx="737">
                  <c:v>44182</c:v>
                </c:pt>
                <c:pt idx="738">
                  <c:v>44183</c:v>
                </c:pt>
                <c:pt idx="739">
                  <c:v>44186</c:v>
                </c:pt>
                <c:pt idx="740">
                  <c:v>44187</c:v>
                </c:pt>
                <c:pt idx="741">
                  <c:v>44188</c:v>
                </c:pt>
                <c:pt idx="742">
                  <c:v>44189</c:v>
                </c:pt>
                <c:pt idx="743">
                  <c:v>44190</c:v>
                </c:pt>
                <c:pt idx="744">
                  <c:v>44193</c:v>
                </c:pt>
                <c:pt idx="745">
                  <c:v>44194</c:v>
                </c:pt>
                <c:pt idx="746">
                  <c:v>44195</c:v>
                </c:pt>
                <c:pt idx="747">
                  <c:v>44204</c:v>
                </c:pt>
                <c:pt idx="748">
                  <c:v>44207</c:v>
                </c:pt>
                <c:pt idx="749">
                  <c:v>44208</c:v>
                </c:pt>
                <c:pt idx="750">
                  <c:v>44209</c:v>
                </c:pt>
                <c:pt idx="751">
                  <c:v>44210</c:v>
                </c:pt>
                <c:pt idx="752">
                  <c:v>44211</c:v>
                </c:pt>
                <c:pt idx="753">
                  <c:v>44214</c:v>
                </c:pt>
                <c:pt idx="754">
                  <c:v>44215</c:v>
                </c:pt>
                <c:pt idx="755">
                  <c:v>44216</c:v>
                </c:pt>
                <c:pt idx="756">
                  <c:v>44217</c:v>
                </c:pt>
                <c:pt idx="757">
                  <c:v>44218</c:v>
                </c:pt>
                <c:pt idx="758">
                  <c:v>44221</c:v>
                </c:pt>
                <c:pt idx="759">
                  <c:v>44222</c:v>
                </c:pt>
                <c:pt idx="760">
                  <c:v>44223</c:v>
                </c:pt>
                <c:pt idx="761">
                  <c:v>44225</c:v>
                </c:pt>
                <c:pt idx="762">
                  <c:v>44228</c:v>
                </c:pt>
                <c:pt idx="763">
                  <c:v>44229</c:v>
                </c:pt>
                <c:pt idx="764">
                  <c:v>44230</c:v>
                </c:pt>
                <c:pt idx="765">
                  <c:v>44231</c:v>
                </c:pt>
                <c:pt idx="766">
                  <c:v>44232</c:v>
                </c:pt>
                <c:pt idx="767">
                  <c:v>44235</c:v>
                </c:pt>
                <c:pt idx="768">
                  <c:v>44236</c:v>
                </c:pt>
                <c:pt idx="769">
                  <c:v>44237</c:v>
                </c:pt>
                <c:pt idx="770">
                  <c:v>44238</c:v>
                </c:pt>
                <c:pt idx="771">
                  <c:v>44239</c:v>
                </c:pt>
                <c:pt idx="772">
                  <c:v>44242</c:v>
                </c:pt>
                <c:pt idx="773">
                  <c:v>44243</c:v>
                </c:pt>
                <c:pt idx="774">
                  <c:v>44244</c:v>
                </c:pt>
                <c:pt idx="775">
                  <c:v>44245</c:v>
                </c:pt>
                <c:pt idx="776">
                  <c:v>44246</c:v>
                </c:pt>
                <c:pt idx="777">
                  <c:v>44249</c:v>
                </c:pt>
                <c:pt idx="778">
                  <c:v>44250</c:v>
                </c:pt>
                <c:pt idx="779">
                  <c:v>44251</c:v>
                </c:pt>
                <c:pt idx="780">
                  <c:v>44252</c:v>
                </c:pt>
                <c:pt idx="781">
                  <c:v>44253</c:v>
                </c:pt>
                <c:pt idx="782">
                  <c:v>44256</c:v>
                </c:pt>
                <c:pt idx="783">
                  <c:v>44257</c:v>
                </c:pt>
                <c:pt idx="784">
                  <c:v>44258</c:v>
                </c:pt>
                <c:pt idx="785">
                  <c:v>44259</c:v>
                </c:pt>
                <c:pt idx="786">
                  <c:v>44260</c:v>
                </c:pt>
                <c:pt idx="787">
                  <c:v>44264</c:v>
                </c:pt>
                <c:pt idx="788">
                  <c:v>44265</c:v>
                </c:pt>
                <c:pt idx="789">
                  <c:v>44266</c:v>
                </c:pt>
                <c:pt idx="790">
                  <c:v>44267</c:v>
                </c:pt>
                <c:pt idx="791">
                  <c:v>44270</c:v>
                </c:pt>
                <c:pt idx="792">
                  <c:v>44271</c:v>
                </c:pt>
                <c:pt idx="793">
                  <c:v>44272</c:v>
                </c:pt>
                <c:pt idx="794">
                  <c:v>44273</c:v>
                </c:pt>
                <c:pt idx="795">
                  <c:v>44274</c:v>
                </c:pt>
                <c:pt idx="796">
                  <c:v>44277</c:v>
                </c:pt>
                <c:pt idx="797">
                  <c:v>44278</c:v>
                </c:pt>
                <c:pt idx="798">
                  <c:v>44279</c:v>
                </c:pt>
                <c:pt idx="799">
                  <c:v>44280</c:v>
                </c:pt>
                <c:pt idx="800">
                  <c:v>44281</c:v>
                </c:pt>
                <c:pt idx="801">
                  <c:v>44284</c:v>
                </c:pt>
                <c:pt idx="802">
                  <c:v>44285</c:v>
                </c:pt>
                <c:pt idx="803">
                  <c:v>44286</c:v>
                </c:pt>
                <c:pt idx="804">
                  <c:v>44287</c:v>
                </c:pt>
                <c:pt idx="805">
                  <c:v>44288</c:v>
                </c:pt>
                <c:pt idx="806">
                  <c:v>44291</c:v>
                </c:pt>
                <c:pt idx="807">
                  <c:v>44292</c:v>
                </c:pt>
                <c:pt idx="808">
                  <c:v>44293</c:v>
                </c:pt>
                <c:pt idx="809">
                  <c:v>44294</c:v>
                </c:pt>
                <c:pt idx="810">
                  <c:v>44295</c:v>
                </c:pt>
                <c:pt idx="811">
                  <c:v>44298</c:v>
                </c:pt>
                <c:pt idx="812">
                  <c:v>44299</c:v>
                </c:pt>
                <c:pt idx="813">
                  <c:v>44300</c:v>
                </c:pt>
                <c:pt idx="814">
                  <c:v>44301</c:v>
                </c:pt>
                <c:pt idx="815">
                  <c:v>44302</c:v>
                </c:pt>
                <c:pt idx="816">
                  <c:v>44305</c:v>
                </c:pt>
                <c:pt idx="817">
                  <c:v>44306</c:v>
                </c:pt>
                <c:pt idx="818">
                  <c:v>44307</c:v>
                </c:pt>
                <c:pt idx="819">
                  <c:v>44308</c:v>
                </c:pt>
                <c:pt idx="820">
                  <c:v>44309</c:v>
                </c:pt>
                <c:pt idx="821">
                  <c:v>44312</c:v>
                </c:pt>
                <c:pt idx="822">
                  <c:v>44313</c:v>
                </c:pt>
                <c:pt idx="823">
                  <c:v>44314</c:v>
                </c:pt>
                <c:pt idx="824">
                  <c:v>44315</c:v>
                </c:pt>
                <c:pt idx="825">
                  <c:v>44316</c:v>
                </c:pt>
                <c:pt idx="826">
                  <c:v>44319</c:v>
                </c:pt>
                <c:pt idx="827">
                  <c:v>44320</c:v>
                </c:pt>
                <c:pt idx="828">
                  <c:v>44321</c:v>
                </c:pt>
                <c:pt idx="829">
                  <c:v>44322</c:v>
                </c:pt>
                <c:pt idx="830">
                  <c:v>44323</c:v>
                </c:pt>
                <c:pt idx="831">
                  <c:v>44326</c:v>
                </c:pt>
                <c:pt idx="832">
                  <c:v>44327</c:v>
                </c:pt>
                <c:pt idx="833">
                  <c:v>44328</c:v>
                </c:pt>
                <c:pt idx="834">
                  <c:v>44329</c:v>
                </c:pt>
                <c:pt idx="835">
                  <c:v>44330</c:v>
                </c:pt>
                <c:pt idx="836">
                  <c:v>44333</c:v>
                </c:pt>
                <c:pt idx="837">
                  <c:v>44334</c:v>
                </c:pt>
                <c:pt idx="838">
                  <c:v>44335</c:v>
                </c:pt>
                <c:pt idx="839">
                  <c:v>44336</c:v>
                </c:pt>
                <c:pt idx="840">
                  <c:v>44337</c:v>
                </c:pt>
                <c:pt idx="841">
                  <c:v>44340</c:v>
                </c:pt>
                <c:pt idx="842">
                  <c:v>44341</c:v>
                </c:pt>
                <c:pt idx="843">
                  <c:v>44342</c:v>
                </c:pt>
                <c:pt idx="844">
                  <c:v>44343</c:v>
                </c:pt>
                <c:pt idx="845">
                  <c:v>44347</c:v>
                </c:pt>
                <c:pt idx="846">
                  <c:v>44348</c:v>
                </c:pt>
                <c:pt idx="847">
                  <c:v>44349</c:v>
                </c:pt>
                <c:pt idx="848">
                  <c:v>44350</c:v>
                </c:pt>
                <c:pt idx="849">
                  <c:v>44351</c:v>
                </c:pt>
                <c:pt idx="850">
                  <c:v>44354</c:v>
                </c:pt>
                <c:pt idx="851">
                  <c:v>44355</c:v>
                </c:pt>
                <c:pt idx="852">
                  <c:v>44356</c:v>
                </c:pt>
                <c:pt idx="853">
                  <c:v>44357</c:v>
                </c:pt>
                <c:pt idx="854">
                  <c:v>44358</c:v>
                </c:pt>
                <c:pt idx="855">
                  <c:v>44361</c:v>
                </c:pt>
                <c:pt idx="856">
                  <c:v>44362</c:v>
                </c:pt>
                <c:pt idx="857">
                  <c:v>44363</c:v>
                </c:pt>
                <c:pt idx="858">
                  <c:v>44364</c:v>
                </c:pt>
                <c:pt idx="859">
                  <c:v>44365</c:v>
                </c:pt>
                <c:pt idx="860">
                  <c:v>44368</c:v>
                </c:pt>
                <c:pt idx="861">
                  <c:v>44369</c:v>
                </c:pt>
                <c:pt idx="862">
                  <c:v>44370</c:v>
                </c:pt>
                <c:pt idx="863">
                  <c:v>44371</c:v>
                </c:pt>
                <c:pt idx="864">
                  <c:v>44372</c:v>
                </c:pt>
                <c:pt idx="865">
                  <c:v>44375</c:v>
                </c:pt>
                <c:pt idx="866">
                  <c:v>44376</c:v>
                </c:pt>
                <c:pt idx="867">
                  <c:v>44377</c:v>
                </c:pt>
                <c:pt idx="868">
                  <c:v>44378</c:v>
                </c:pt>
                <c:pt idx="869">
                  <c:v>44379</c:v>
                </c:pt>
                <c:pt idx="870">
                  <c:v>44383</c:v>
                </c:pt>
                <c:pt idx="871">
                  <c:v>44384</c:v>
                </c:pt>
                <c:pt idx="872">
                  <c:v>44385</c:v>
                </c:pt>
                <c:pt idx="873">
                  <c:v>44386</c:v>
                </c:pt>
                <c:pt idx="874">
                  <c:v>44389</c:v>
                </c:pt>
              </c:numCache>
            </c:numRef>
          </c:cat>
          <c:val>
            <c:numRef>
              <c:f>Sheet1!$D$2:$D$876</c:f>
              <c:numCache>
                <c:formatCode>_(* #\,##0_);_(* \(#\,##0\);_(* "-"??_);_(@_)</c:formatCode>
                <c:ptCount val="875"/>
                <c:pt idx="0">
                  <c:v>100</c:v>
                </c:pt>
                <c:pt idx="1">
                  <c:v>99.537466900512385</c:v>
                </c:pt>
                <c:pt idx="2">
                  <c:v>99.4962000068778</c:v>
                </c:pt>
                <c:pt idx="3">
                  <c:v>99.4962000068778</c:v>
                </c:pt>
                <c:pt idx="4">
                  <c:v>100.78750988685992</c:v>
                </c:pt>
                <c:pt idx="5">
                  <c:v>101.85529075965472</c:v>
                </c:pt>
                <c:pt idx="6">
                  <c:v>101.58877540493138</c:v>
                </c:pt>
                <c:pt idx="7">
                  <c:v>101.64207847587603</c:v>
                </c:pt>
                <c:pt idx="8">
                  <c:v>101.37212421334981</c:v>
                </c:pt>
                <c:pt idx="9">
                  <c:v>101.77447642628699</c:v>
                </c:pt>
                <c:pt idx="10">
                  <c:v>101.44090236940747</c:v>
                </c:pt>
                <c:pt idx="11">
                  <c:v>101.30850441899652</c:v>
                </c:pt>
                <c:pt idx="12">
                  <c:v>102.00144434127719</c:v>
                </c:pt>
                <c:pt idx="13">
                  <c:v>102.71157880257229</c:v>
                </c:pt>
                <c:pt idx="14">
                  <c:v>102.87492692320917</c:v>
                </c:pt>
                <c:pt idx="15">
                  <c:v>102.58777812166855</c:v>
                </c:pt>
                <c:pt idx="16">
                  <c:v>102.49320815708931</c:v>
                </c:pt>
                <c:pt idx="17">
                  <c:v>102.98669142680285</c:v>
                </c:pt>
                <c:pt idx="18">
                  <c:v>102.93166890195674</c:v>
                </c:pt>
                <c:pt idx="19">
                  <c:v>103.26696241273773</c:v>
                </c:pt>
                <c:pt idx="20">
                  <c:v>103.16723408645414</c:v>
                </c:pt>
                <c:pt idx="21">
                  <c:v>102.79755149764435</c:v>
                </c:pt>
                <c:pt idx="22">
                  <c:v>102.42786890883455</c:v>
                </c:pt>
                <c:pt idx="23">
                  <c:v>101.32226005020804</c:v>
                </c:pt>
                <c:pt idx="24">
                  <c:v>101.87592420647201</c:v>
                </c:pt>
                <c:pt idx="25">
                  <c:v>101.7538429794697</c:v>
                </c:pt>
                <c:pt idx="26">
                  <c:v>102.12696447608238</c:v>
                </c:pt>
                <c:pt idx="27">
                  <c:v>102.29547095842356</c:v>
                </c:pt>
                <c:pt idx="28">
                  <c:v>103.31338766807659</c:v>
                </c:pt>
                <c:pt idx="29">
                  <c:v>103.60053646961721</c:v>
                </c:pt>
                <c:pt idx="30">
                  <c:v>102.58949757556995</c:v>
                </c:pt>
                <c:pt idx="31">
                  <c:v>102.00316379517861</c:v>
                </c:pt>
                <c:pt idx="32">
                  <c:v>101.85357130575325</c:v>
                </c:pt>
                <c:pt idx="33">
                  <c:v>101.56298359640972</c:v>
                </c:pt>
                <c:pt idx="34">
                  <c:v>101.70741772413078</c:v>
                </c:pt>
                <c:pt idx="35">
                  <c:v>102.0323945115031</c:v>
                </c:pt>
                <c:pt idx="36">
                  <c:v>101.99800543347429</c:v>
                </c:pt>
                <c:pt idx="37">
                  <c:v>101.01791670965297</c:v>
                </c:pt>
                <c:pt idx="38">
                  <c:v>100.73076790811234</c:v>
                </c:pt>
                <c:pt idx="39">
                  <c:v>101.47873035523912</c:v>
                </c:pt>
                <c:pt idx="40">
                  <c:v>101.85701021355614</c:v>
                </c:pt>
                <c:pt idx="41">
                  <c:v>101.82606004333022</c:v>
                </c:pt>
                <c:pt idx="42">
                  <c:v>102.6789091784449</c:v>
                </c:pt>
                <c:pt idx="43">
                  <c:v>101.78479314969563</c:v>
                </c:pt>
                <c:pt idx="44">
                  <c:v>101.85529075965469</c:v>
                </c:pt>
                <c:pt idx="45">
                  <c:v>102.13556174558957</c:v>
                </c:pt>
                <c:pt idx="46">
                  <c:v>102.0994532136593</c:v>
                </c:pt>
                <c:pt idx="47">
                  <c:v>101.76931806458265</c:v>
                </c:pt>
                <c:pt idx="48">
                  <c:v>101.78135424189276</c:v>
                </c:pt>
                <c:pt idx="49">
                  <c:v>101.43574400770312</c:v>
                </c:pt>
                <c:pt idx="50">
                  <c:v>101.64895629148181</c:v>
                </c:pt>
                <c:pt idx="51">
                  <c:v>101.40651329137864</c:v>
                </c:pt>
                <c:pt idx="52">
                  <c:v>101.81746277382301</c:v>
                </c:pt>
                <c:pt idx="53">
                  <c:v>101.75040407166682</c:v>
                </c:pt>
                <c:pt idx="54">
                  <c:v>102.48289143368063</c:v>
                </c:pt>
                <c:pt idx="55">
                  <c:v>102.50696378830081</c:v>
                </c:pt>
                <c:pt idx="56">
                  <c:v>102.33845730595959</c:v>
                </c:pt>
                <c:pt idx="57">
                  <c:v>101.64551738367891</c:v>
                </c:pt>
                <c:pt idx="58">
                  <c:v>101.74352625606103</c:v>
                </c:pt>
                <c:pt idx="59">
                  <c:v>101.62316448296016</c:v>
                </c:pt>
                <c:pt idx="60">
                  <c:v>101.38587984456133</c:v>
                </c:pt>
                <c:pt idx="61">
                  <c:v>101.35492967433541</c:v>
                </c:pt>
                <c:pt idx="62">
                  <c:v>101.14343684445818</c:v>
                </c:pt>
                <c:pt idx="63">
                  <c:v>101.20189827710719</c:v>
                </c:pt>
                <c:pt idx="64">
                  <c:v>101.42198837649161</c:v>
                </c:pt>
                <c:pt idx="65">
                  <c:v>102.07881976684203</c:v>
                </c:pt>
                <c:pt idx="66">
                  <c:v>102.8164654905602</c:v>
                </c:pt>
                <c:pt idx="67">
                  <c:v>102.60325320678153</c:v>
                </c:pt>
                <c:pt idx="68">
                  <c:v>102.43302727053887</c:v>
                </c:pt>
                <c:pt idx="69">
                  <c:v>102.54651122803396</c:v>
                </c:pt>
                <c:pt idx="70">
                  <c:v>102.49148870318787</c:v>
                </c:pt>
                <c:pt idx="71">
                  <c:v>102.27999587331063</c:v>
                </c:pt>
                <c:pt idx="72">
                  <c:v>102.12696447608239</c:v>
                </c:pt>
                <c:pt idx="73">
                  <c:v>101.56298359640975</c:v>
                </c:pt>
                <c:pt idx="74">
                  <c:v>100.97493036211696</c:v>
                </c:pt>
                <c:pt idx="75">
                  <c:v>100.82877678049448</c:v>
                </c:pt>
                <c:pt idx="76">
                  <c:v>100.91131056776364</c:v>
                </c:pt>
                <c:pt idx="77">
                  <c:v>100.39891330513424</c:v>
                </c:pt>
                <c:pt idx="78">
                  <c:v>99.728326283572301</c:v>
                </c:pt>
                <c:pt idx="79">
                  <c:v>99.929502390040881</c:v>
                </c:pt>
                <c:pt idx="80">
                  <c:v>99.695656659444907</c:v>
                </c:pt>
                <c:pt idx="81">
                  <c:v>99.822896248151551</c:v>
                </c:pt>
                <c:pt idx="82">
                  <c:v>99.724887375769427</c:v>
                </c:pt>
                <c:pt idx="83">
                  <c:v>99.406788404002853</c:v>
                </c:pt>
                <c:pt idx="84">
                  <c:v>99.348326971353856</c:v>
                </c:pt>
                <c:pt idx="85">
                  <c:v>99.747240276488156</c:v>
                </c:pt>
                <c:pt idx="86">
                  <c:v>99.941538567350975</c:v>
                </c:pt>
                <c:pt idx="87">
                  <c:v>99.365521510368268</c:v>
                </c:pt>
                <c:pt idx="88">
                  <c:v>98.199731765191345</c:v>
                </c:pt>
                <c:pt idx="89">
                  <c:v>98.096564531104889</c:v>
                </c:pt>
                <c:pt idx="90">
                  <c:v>97.885071701227645</c:v>
                </c:pt>
                <c:pt idx="91">
                  <c:v>97.580728360672609</c:v>
                </c:pt>
                <c:pt idx="92">
                  <c:v>98.139550878640904</c:v>
                </c:pt>
                <c:pt idx="93">
                  <c:v>97.254032119398843</c:v>
                </c:pt>
                <c:pt idx="94">
                  <c:v>97.338285360569458</c:v>
                </c:pt>
                <c:pt idx="95">
                  <c:v>97.211045771862828</c:v>
                </c:pt>
                <c:pt idx="96">
                  <c:v>95.859555005330279</c:v>
                </c:pt>
                <c:pt idx="97">
                  <c:v>96.428694246707195</c:v>
                </c:pt>
                <c:pt idx="98">
                  <c:v>97.085525637057629</c:v>
                </c:pt>
                <c:pt idx="99">
                  <c:v>97.264348842807479</c:v>
                </c:pt>
                <c:pt idx="100">
                  <c:v>97.405344062725646</c:v>
                </c:pt>
                <c:pt idx="101">
                  <c:v>97.188692871144099</c:v>
                </c:pt>
                <c:pt idx="102">
                  <c:v>97.826610268578676</c:v>
                </c:pt>
                <c:pt idx="103">
                  <c:v>98.289143368066263</c:v>
                </c:pt>
                <c:pt idx="104">
                  <c:v>97.7354792118023</c:v>
                </c:pt>
                <c:pt idx="105">
                  <c:v>97.952130403383848</c:v>
                </c:pt>
                <c:pt idx="106">
                  <c:v>97.910863509749262</c:v>
                </c:pt>
                <c:pt idx="107">
                  <c:v>97.601361807489909</c:v>
                </c:pt>
                <c:pt idx="108">
                  <c:v>98.151587055950998</c:v>
                </c:pt>
                <c:pt idx="109">
                  <c:v>96.298015750197692</c:v>
                </c:pt>
                <c:pt idx="110">
                  <c:v>96.222359778534312</c:v>
                </c:pt>
                <c:pt idx="111">
                  <c:v>95.775301764159678</c:v>
                </c:pt>
                <c:pt idx="112">
                  <c:v>95.859555005330279</c:v>
                </c:pt>
                <c:pt idx="113">
                  <c:v>95.498469686027676</c:v>
                </c:pt>
                <c:pt idx="114">
                  <c:v>96.59892018294984</c:v>
                </c:pt>
                <c:pt idx="115">
                  <c:v>96.604078544654172</c:v>
                </c:pt>
                <c:pt idx="116">
                  <c:v>96.581725643935442</c:v>
                </c:pt>
                <c:pt idx="117">
                  <c:v>96.494033494961954</c:v>
                </c:pt>
                <c:pt idx="118">
                  <c:v>95.936930430895103</c:v>
                </c:pt>
                <c:pt idx="119">
                  <c:v>96.60063963685127</c:v>
                </c:pt>
                <c:pt idx="120">
                  <c:v>96.576567282231096</c:v>
                </c:pt>
                <c:pt idx="121">
                  <c:v>96.734757041163675</c:v>
                </c:pt>
                <c:pt idx="122">
                  <c:v>96.60923690635849</c:v>
                </c:pt>
                <c:pt idx="123">
                  <c:v>97.269507204511811</c:v>
                </c:pt>
                <c:pt idx="124">
                  <c:v>97.687334502561939</c:v>
                </c:pt>
                <c:pt idx="125">
                  <c:v>97.164620516523911</c:v>
                </c:pt>
                <c:pt idx="126">
                  <c:v>97.063172736338899</c:v>
                </c:pt>
                <c:pt idx="127">
                  <c:v>96.657381615598837</c:v>
                </c:pt>
                <c:pt idx="128">
                  <c:v>96.261907218267439</c:v>
                </c:pt>
                <c:pt idx="129">
                  <c:v>96.758829395783849</c:v>
                </c:pt>
                <c:pt idx="130">
                  <c:v>96.886068984490478</c:v>
                </c:pt>
                <c:pt idx="131">
                  <c:v>96.029780941572909</c:v>
                </c:pt>
                <c:pt idx="132">
                  <c:v>95.90082189896485</c:v>
                </c:pt>
                <c:pt idx="133">
                  <c:v>96.316929743113548</c:v>
                </c:pt>
                <c:pt idx="134">
                  <c:v>96.72444031775504</c:v>
                </c:pt>
                <c:pt idx="135">
                  <c:v>96.669417792908945</c:v>
                </c:pt>
                <c:pt idx="136">
                  <c:v>96.765707211389625</c:v>
                </c:pt>
                <c:pt idx="137">
                  <c:v>96.867154991574651</c:v>
                </c:pt>
                <c:pt idx="138">
                  <c:v>96.122631452250729</c:v>
                </c:pt>
                <c:pt idx="139">
                  <c:v>96.60579799855563</c:v>
                </c:pt>
                <c:pt idx="140">
                  <c:v>96.946249871040933</c:v>
                </c:pt>
                <c:pt idx="141">
                  <c:v>96.614395268062822</c:v>
                </c:pt>
                <c:pt idx="142">
                  <c:v>96.077925650813256</c:v>
                </c:pt>
                <c:pt idx="143">
                  <c:v>95.79593521097695</c:v>
                </c:pt>
                <c:pt idx="144">
                  <c:v>95.740912686130827</c:v>
                </c:pt>
                <c:pt idx="145">
                  <c:v>95.98507514013545</c:v>
                </c:pt>
                <c:pt idx="146">
                  <c:v>96.052133842291639</c:v>
                </c:pt>
                <c:pt idx="147">
                  <c:v>96.0590116578974</c:v>
                </c:pt>
                <c:pt idx="148">
                  <c:v>95.025619863131425</c:v>
                </c:pt>
                <c:pt idx="149">
                  <c:v>94.478833522473224</c:v>
                </c:pt>
                <c:pt idx="150">
                  <c:v>94.716118160872071</c:v>
                </c:pt>
                <c:pt idx="151">
                  <c:v>94.048970047113002</c:v>
                </c:pt>
                <c:pt idx="152">
                  <c:v>94.463358437360256</c:v>
                </c:pt>
                <c:pt idx="153">
                  <c:v>94.545892224629412</c:v>
                </c:pt>
                <c:pt idx="154">
                  <c:v>94.76254341621096</c:v>
                </c:pt>
                <c:pt idx="155">
                  <c:v>95.625709274734291</c:v>
                </c:pt>
                <c:pt idx="156">
                  <c:v>96.225798686337171</c:v>
                </c:pt>
                <c:pt idx="157">
                  <c:v>95.979916778431132</c:v>
                </c:pt>
                <c:pt idx="158">
                  <c:v>96.036658757178685</c:v>
                </c:pt>
                <c:pt idx="159">
                  <c:v>96.440730424017303</c:v>
                </c:pt>
                <c:pt idx="160">
                  <c:v>97.156023247016705</c:v>
                </c:pt>
                <c:pt idx="161">
                  <c:v>96.846521544757351</c:v>
                </c:pt>
                <c:pt idx="162">
                  <c:v>97.09412290656482</c:v>
                </c:pt>
                <c:pt idx="163">
                  <c:v>96.917019154716414</c:v>
                </c:pt>
                <c:pt idx="164">
                  <c:v>96.39602462257983</c:v>
                </c:pt>
                <c:pt idx="165">
                  <c:v>96.134667629560809</c:v>
                </c:pt>
                <c:pt idx="166">
                  <c:v>96.349599367240927</c:v>
                </c:pt>
                <c:pt idx="167">
                  <c:v>96.80697410502421</c:v>
                </c:pt>
                <c:pt idx="168">
                  <c:v>96.982358402971172</c:v>
                </c:pt>
                <c:pt idx="169">
                  <c:v>96.518105849582142</c:v>
                </c:pt>
                <c:pt idx="170">
                  <c:v>96.776023934798275</c:v>
                </c:pt>
                <c:pt idx="171">
                  <c:v>96.751951580178115</c:v>
                </c:pt>
                <c:pt idx="172">
                  <c:v>96.922177516420746</c:v>
                </c:pt>
                <c:pt idx="173">
                  <c:v>97.572131091165431</c:v>
                </c:pt>
                <c:pt idx="174">
                  <c:v>97.176656693834005</c:v>
                </c:pt>
                <c:pt idx="175">
                  <c:v>97.235118126483002</c:v>
                </c:pt>
                <c:pt idx="176">
                  <c:v>97.250593211595984</c:v>
                </c:pt>
                <c:pt idx="177">
                  <c:v>97.080367275353325</c:v>
                </c:pt>
                <c:pt idx="178">
                  <c:v>97.601361807489909</c:v>
                </c:pt>
                <c:pt idx="179">
                  <c:v>97.427696963444376</c:v>
                </c:pt>
                <c:pt idx="180">
                  <c:v>97.420819147838614</c:v>
                </c:pt>
                <c:pt idx="181">
                  <c:v>97.075208913648993</c:v>
                </c:pt>
                <c:pt idx="182">
                  <c:v>96.229237594140059</c:v>
                </c:pt>
                <c:pt idx="183">
                  <c:v>96.518105849582142</c:v>
                </c:pt>
                <c:pt idx="184">
                  <c:v>95.721998693215014</c:v>
                </c:pt>
                <c:pt idx="185">
                  <c:v>96.32208810481788</c:v>
                </c:pt>
                <c:pt idx="186">
                  <c:v>95.888785721654756</c:v>
                </c:pt>
                <c:pt idx="187">
                  <c:v>95.969600055022482</c:v>
                </c:pt>
                <c:pt idx="188">
                  <c:v>95.897382991161976</c:v>
                </c:pt>
                <c:pt idx="189">
                  <c:v>95.68932906908762</c:v>
                </c:pt>
                <c:pt idx="190">
                  <c:v>95.950686062106641</c:v>
                </c:pt>
                <c:pt idx="191">
                  <c:v>96.676295608514693</c:v>
                </c:pt>
                <c:pt idx="192">
                  <c:v>96.425255338904321</c:v>
                </c:pt>
                <c:pt idx="193">
                  <c:v>96.234395955844377</c:v>
                </c:pt>
                <c:pt idx="194">
                  <c:v>95.801093572681268</c:v>
                </c:pt>
                <c:pt idx="195">
                  <c:v>95.357474466109522</c:v>
                </c:pt>
                <c:pt idx="196">
                  <c:v>95.739193232229383</c:v>
                </c:pt>
                <c:pt idx="197">
                  <c:v>95.623989820832847</c:v>
                </c:pt>
                <c:pt idx="198">
                  <c:v>95.137384366725072</c:v>
                </c:pt>
                <c:pt idx="199">
                  <c:v>95.166615083049578</c:v>
                </c:pt>
                <c:pt idx="200">
                  <c:v>94.901819182227669</c:v>
                </c:pt>
                <c:pt idx="201">
                  <c:v>94.874307919804622</c:v>
                </c:pt>
                <c:pt idx="202">
                  <c:v>95.116750919907787</c:v>
                </c:pt>
                <c:pt idx="203">
                  <c:v>94.936208260256507</c:v>
                </c:pt>
                <c:pt idx="204">
                  <c:v>94.776299047422512</c:v>
                </c:pt>
                <c:pt idx="205">
                  <c:v>95.197565253275513</c:v>
                </c:pt>
                <c:pt idx="206">
                  <c:v>95.749509955638061</c:v>
                </c:pt>
                <c:pt idx="207">
                  <c:v>95.809690842188488</c:v>
                </c:pt>
                <c:pt idx="208">
                  <c:v>95.427972076068599</c:v>
                </c:pt>
                <c:pt idx="209">
                  <c:v>95.649781629354479</c:v>
                </c:pt>
                <c:pt idx="210">
                  <c:v>96.327246466522197</c:v>
                </c:pt>
                <c:pt idx="211">
                  <c:v>95.747790501736617</c:v>
                </c:pt>
                <c:pt idx="212">
                  <c:v>95.118470373809245</c:v>
                </c:pt>
                <c:pt idx="213">
                  <c:v>94.542453316826538</c:v>
                </c:pt>
                <c:pt idx="214">
                  <c:v>94.403177550809815</c:v>
                </c:pt>
                <c:pt idx="215">
                  <c:v>94.557928401939478</c:v>
                </c:pt>
                <c:pt idx="216">
                  <c:v>94.516661508304921</c:v>
                </c:pt>
                <c:pt idx="217">
                  <c:v>94.692045806251897</c:v>
                </c:pt>
                <c:pt idx="218">
                  <c:v>95.302451941263413</c:v>
                </c:pt>
                <c:pt idx="219">
                  <c:v>95.250868324220193</c:v>
                </c:pt>
                <c:pt idx="220">
                  <c:v>94.796932494239798</c:v>
                </c:pt>
                <c:pt idx="221">
                  <c:v>94.948244437566601</c:v>
                </c:pt>
                <c:pt idx="222">
                  <c:v>94.78145740912683</c:v>
                </c:pt>
                <c:pt idx="223">
                  <c:v>94.791774132535465</c:v>
                </c:pt>
                <c:pt idx="224">
                  <c:v>94.349874479865164</c:v>
                </c:pt>
                <c:pt idx="225">
                  <c:v>94.085078579043255</c:v>
                </c:pt>
                <c:pt idx="226">
                  <c:v>94.845077203480159</c:v>
                </c:pt>
                <c:pt idx="227">
                  <c:v>94.872588465903206</c:v>
                </c:pt>
                <c:pt idx="228">
                  <c:v>94.796932494239812</c:v>
                </c:pt>
                <c:pt idx="229">
                  <c:v>95.19068743766978</c:v>
                </c:pt>
                <c:pt idx="230">
                  <c:v>94.575122940953932</c:v>
                </c:pt>
                <c:pt idx="231">
                  <c:v>94.602634203377008</c:v>
                </c:pt>
                <c:pt idx="232">
                  <c:v>94.79177413253548</c:v>
                </c:pt>
                <c:pt idx="233">
                  <c:v>95.16833453695105</c:v>
                </c:pt>
                <c:pt idx="234">
                  <c:v>94.974036246088232</c:v>
                </c:pt>
                <c:pt idx="235">
                  <c:v>94.542453316826567</c:v>
                </c:pt>
                <c:pt idx="236">
                  <c:v>94.879466281508982</c:v>
                </c:pt>
                <c:pt idx="237">
                  <c:v>94.117748203170677</c:v>
                </c:pt>
                <c:pt idx="238">
                  <c:v>94.41865263592284</c:v>
                </c:pt>
                <c:pt idx="239">
                  <c:v>94.814127033254238</c:v>
                </c:pt>
                <c:pt idx="240">
                  <c:v>94.846796657381617</c:v>
                </c:pt>
                <c:pt idx="241">
                  <c:v>95.60163692011416</c:v>
                </c:pt>
                <c:pt idx="242">
                  <c:v>95.166615083049621</c:v>
                </c:pt>
                <c:pt idx="243">
                  <c:v>94.834760480071509</c:v>
                </c:pt>
                <c:pt idx="244">
                  <c:v>94.831321572268635</c:v>
                </c:pt>
                <c:pt idx="245">
                  <c:v>94.702362529660562</c:v>
                </c:pt>
                <c:pt idx="246">
                  <c:v>94.817565941057111</c:v>
                </c:pt>
                <c:pt idx="247">
                  <c:v>95.197565253275542</c:v>
                </c:pt>
                <c:pt idx="248">
                  <c:v>95.354035558306663</c:v>
                </c:pt>
                <c:pt idx="249">
                  <c:v>95.544894941366607</c:v>
                </c:pt>
                <c:pt idx="250">
                  <c:v>96.172495615392563</c:v>
                </c:pt>
                <c:pt idx="251">
                  <c:v>96.246432133154514</c:v>
                </c:pt>
                <c:pt idx="252">
                  <c:v>95.862993913133195</c:v>
                </c:pt>
                <c:pt idx="253">
                  <c:v>95.672134530073251</c:v>
                </c:pt>
                <c:pt idx="254">
                  <c:v>95.453763884590259</c:v>
                </c:pt>
                <c:pt idx="255">
                  <c:v>95.159737267443859</c:v>
                </c:pt>
                <c:pt idx="256">
                  <c:v>95.151139997936667</c:v>
                </c:pt>
                <c:pt idx="257">
                  <c:v>94.857113380790267</c:v>
                </c:pt>
                <c:pt idx="258">
                  <c:v>94.767701777915349</c:v>
                </c:pt>
                <c:pt idx="259">
                  <c:v>94.728154338182208</c:v>
                </c:pt>
                <c:pt idx="260">
                  <c:v>94.771140685718223</c:v>
                </c:pt>
                <c:pt idx="261">
                  <c:v>94.614670380687116</c:v>
                </c:pt>
                <c:pt idx="262">
                  <c:v>95.713401423707836</c:v>
                </c:pt>
                <c:pt idx="263">
                  <c:v>95.62055091303003</c:v>
                </c:pt>
                <c:pt idx="264">
                  <c:v>96.143264899068072</c:v>
                </c:pt>
                <c:pt idx="265">
                  <c:v>96.060731111798901</c:v>
                </c:pt>
                <c:pt idx="266">
                  <c:v>95.907699714570668</c:v>
                </c:pt>
                <c:pt idx="267">
                  <c:v>95.756387771243865</c:v>
                </c:pt>
                <c:pt idx="268">
                  <c:v>95.606795281818506</c:v>
                </c:pt>
                <c:pt idx="269">
                  <c:v>95.295574125657708</c:v>
                </c:pt>
                <c:pt idx="270">
                  <c:v>95.268062863234647</c:v>
                </c:pt>
                <c:pt idx="271">
                  <c:v>95.202723614979888</c:v>
                </c:pt>
                <c:pt idx="272">
                  <c:v>94.913855359537834</c:v>
                </c:pt>
                <c:pt idx="273">
                  <c:v>95.13394545892227</c:v>
                </c:pt>
                <c:pt idx="274">
                  <c:v>94.580281302658292</c:v>
                </c:pt>
                <c:pt idx="275">
                  <c:v>94.588878572165498</c:v>
                </c:pt>
                <c:pt idx="276">
                  <c:v>94.833041026170093</c:v>
                </c:pt>
                <c:pt idx="277">
                  <c:v>94.753946146703825</c:v>
                </c:pt>
                <c:pt idx="278">
                  <c:v>95.12362873551362</c:v>
                </c:pt>
                <c:pt idx="279">
                  <c:v>95.041094948244449</c:v>
                </c:pt>
                <c:pt idx="280">
                  <c:v>95.283537948347615</c:v>
                </c:pt>
                <c:pt idx="281">
                  <c:v>95.390144090236959</c:v>
                </c:pt>
                <c:pt idx="282">
                  <c:v>95.544894941366636</c:v>
                </c:pt>
                <c:pt idx="283">
                  <c:v>95.893944083359159</c:v>
                </c:pt>
                <c:pt idx="284">
                  <c:v>95.918016437979318</c:v>
                </c:pt>
                <c:pt idx="285">
                  <c:v>95.730595962722248</c:v>
                </c:pt>
                <c:pt idx="286">
                  <c:v>95.701365246397756</c:v>
                </c:pt>
                <c:pt idx="287">
                  <c:v>95.541456033563733</c:v>
                </c:pt>
                <c:pt idx="288">
                  <c:v>95.159737267443845</c:v>
                </c:pt>
                <c:pt idx="289">
                  <c:v>95.094398019189086</c:v>
                </c:pt>
                <c:pt idx="290">
                  <c:v>94.525258777812155</c:v>
                </c:pt>
                <c:pt idx="291">
                  <c:v>94.607792565081326</c:v>
                </c:pt>
                <c:pt idx="292">
                  <c:v>94.666253997730308</c:v>
                </c:pt>
                <c:pt idx="293">
                  <c:v>94.666253997730308</c:v>
                </c:pt>
                <c:pt idx="294">
                  <c:v>94.735032153787955</c:v>
                </c:pt>
                <c:pt idx="295">
                  <c:v>94.939647168059409</c:v>
                </c:pt>
                <c:pt idx="296">
                  <c:v>94.924172082946427</c:v>
                </c:pt>
                <c:pt idx="297">
                  <c:v>94.821004848859985</c:v>
                </c:pt>
                <c:pt idx="298">
                  <c:v>95.335121565390821</c:v>
                </c:pt>
                <c:pt idx="299">
                  <c:v>94.435847174937223</c:v>
                </c:pt>
                <c:pt idx="300">
                  <c:v>94.583720210461138</c:v>
                </c:pt>
                <c:pt idx="301">
                  <c:v>94.592317479968344</c:v>
                </c:pt>
                <c:pt idx="302">
                  <c:v>94.322363217442103</c:v>
                </c:pt>
                <c:pt idx="303">
                  <c:v>94.112589841466331</c:v>
                </c:pt>
                <c:pt idx="304">
                  <c:v>93.761821245572378</c:v>
                </c:pt>
                <c:pt idx="305">
                  <c:v>93.975033529351066</c:v>
                </c:pt>
                <c:pt idx="306">
                  <c:v>93.708518174627727</c:v>
                </c:pt>
                <c:pt idx="307">
                  <c:v>94.141820557790837</c:v>
                </c:pt>
                <c:pt idx="308">
                  <c:v>94.067884040028886</c:v>
                </c:pt>
                <c:pt idx="309">
                  <c:v>94.102273118057695</c:v>
                </c:pt>
                <c:pt idx="310">
                  <c:v>94.17449018191823</c:v>
                </c:pt>
                <c:pt idx="311">
                  <c:v>94.317204855737813</c:v>
                </c:pt>
                <c:pt idx="312">
                  <c:v>94.203720898242722</c:v>
                </c:pt>
                <c:pt idx="313">
                  <c:v>94.052408954915919</c:v>
                </c:pt>
                <c:pt idx="314">
                  <c:v>94.355032841569511</c:v>
                </c:pt>
                <c:pt idx="315">
                  <c:v>94.29485195501907</c:v>
                </c:pt>
                <c:pt idx="316">
                  <c:v>94.030056054197175</c:v>
                </c:pt>
                <c:pt idx="317">
                  <c:v>93.981911344956828</c:v>
                </c:pt>
                <c:pt idx="318">
                  <c:v>93.409333195777009</c:v>
                </c:pt>
                <c:pt idx="319">
                  <c:v>93.256301798548776</c:v>
                </c:pt>
                <c:pt idx="320">
                  <c:v>93.225351628322827</c:v>
                </c:pt>
                <c:pt idx="321">
                  <c:v>93.194401458096905</c:v>
                </c:pt>
                <c:pt idx="322">
                  <c:v>92.202276556965515</c:v>
                </c:pt>
                <c:pt idx="323">
                  <c:v>92.173045840641009</c:v>
                </c:pt>
                <c:pt idx="324">
                  <c:v>92.365624677602398</c:v>
                </c:pt>
                <c:pt idx="325">
                  <c:v>92.621823308917101</c:v>
                </c:pt>
                <c:pt idx="326">
                  <c:v>92.510058805323439</c:v>
                </c:pt>
                <c:pt idx="327">
                  <c:v>92.210873826472721</c:v>
                </c:pt>
                <c:pt idx="328">
                  <c:v>92.64417620963583</c:v>
                </c:pt>
                <c:pt idx="329">
                  <c:v>92.769696344441016</c:v>
                </c:pt>
                <c:pt idx="330">
                  <c:v>92.822999415385695</c:v>
                </c:pt>
                <c:pt idx="331">
                  <c:v>93.129062209842175</c:v>
                </c:pt>
                <c:pt idx="332">
                  <c:v>93.017297706248527</c:v>
                </c:pt>
                <c:pt idx="333">
                  <c:v>92.898655387049089</c:v>
                </c:pt>
                <c:pt idx="334">
                  <c:v>92.546167337253721</c:v>
                </c:pt>
                <c:pt idx="335">
                  <c:v>92.554764606760912</c:v>
                </c:pt>
                <c:pt idx="336">
                  <c:v>92.087073145568993</c:v>
                </c:pt>
                <c:pt idx="337">
                  <c:v>92.097389868977658</c:v>
                </c:pt>
                <c:pt idx="338">
                  <c:v>91.95639464905949</c:v>
                </c:pt>
                <c:pt idx="339">
                  <c:v>92.104267684583405</c:v>
                </c:pt>
                <c:pt idx="340">
                  <c:v>91.897933216410507</c:v>
                </c:pt>
                <c:pt idx="341">
                  <c:v>92.360466315898108</c:v>
                </c:pt>
                <c:pt idx="342">
                  <c:v>92.415488840744231</c:v>
                </c:pt>
                <c:pt idx="343">
                  <c:v>92.145534578218005</c:v>
                </c:pt>
                <c:pt idx="344">
                  <c:v>92.018294989511375</c:v>
                </c:pt>
                <c:pt idx="345">
                  <c:v>92.061281337047404</c:v>
                </c:pt>
                <c:pt idx="346">
                  <c:v>92.262457443515999</c:v>
                </c:pt>
                <c:pt idx="347">
                  <c:v>92.838474500498691</c:v>
                </c:pt>
                <c:pt idx="348">
                  <c:v>93.074039684996094</c:v>
                </c:pt>
                <c:pt idx="349">
                  <c:v>92.644176209635873</c:v>
                </c:pt>
                <c:pt idx="350">
                  <c:v>92.807524330272756</c:v>
                </c:pt>
                <c:pt idx="351">
                  <c:v>93.227071082224342</c:v>
                </c:pt>
                <c:pt idx="352">
                  <c:v>93.295849238281974</c:v>
                </c:pt>
                <c:pt idx="353">
                  <c:v>93.311324323394928</c:v>
                </c:pt>
                <c:pt idx="354">
                  <c:v>92.896935933147674</c:v>
                </c:pt>
                <c:pt idx="355">
                  <c:v>92.688882011073318</c:v>
                </c:pt>
                <c:pt idx="356">
                  <c:v>92.111145500189195</c:v>
                </c:pt>
                <c:pt idx="357">
                  <c:v>91.879019223494666</c:v>
                </c:pt>
                <c:pt idx="358">
                  <c:v>92.085353691667564</c:v>
                </c:pt>
                <c:pt idx="359">
                  <c:v>92.816121599779933</c:v>
                </c:pt>
                <c:pt idx="360">
                  <c:v>92.759379621032394</c:v>
                </c:pt>
                <c:pt idx="361">
                  <c:v>93.593314763231248</c:v>
                </c:pt>
                <c:pt idx="362">
                  <c:v>93.350871763128069</c:v>
                </c:pt>
                <c:pt idx="363">
                  <c:v>93.228790536125771</c:v>
                </c:pt>
                <c:pt idx="364">
                  <c:v>93.357749578733831</c:v>
                </c:pt>
                <c:pt idx="365">
                  <c:v>93.399016472368402</c:v>
                </c:pt>
                <c:pt idx="366">
                  <c:v>92.881460848034678</c:v>
                </c:pt>
                <c:pt idx="367">
                  <c:v>92.74906289762373</c:v>
                </c:pt>
                <c:pt idx="368">
                  <c:v>92.577117507479642</c:v>
                </c:pt>
                <c:pt idx="369">
                  <c:v>92.55992296846523</c:v>
                </c:pt>
                <c:pt idx="370">
                  <c:v>92.078475876061788</c:v>
                </c:pt>
                <c:pt idx="371">
                  <c:v>91.877299769593208</c:v>
                </c:pt>
                <c:pt idx="372">
                  <c:v>91.970150280271014</c:v>
                </c:pt>
                <c:pt idx="373">
                  <c:v>92.38109976271538</c:v>
                </c:pt>
                <c:pt idx="374">
                  <c:v>92.265896351318844</c:v>
                </c:pt>
                <c:pt idx="375">
                  <c:v>92.446439010970138</c:v>
                </c:pt>
                <c:pt idx="376">
                  <c:v>92.071598060456026</c:v>
                </c:pt>
                <c:pt idx="377">
                  <c:v>91.892774854706161</c:v>
                </c:pt>
                <c:pt idx="378">
                  <c:v>92.007978266102725</c:v>
                </c:pt>
                <c:pt idx="379">
                  <c:v>92.080195329963232</c:v>
                </c:pt>
                <c:pt idx="380">
                  <c:v>91.849788507170146</c:v>
                </c:pt>
                <c:pt idx="381">
                  <c:v>91.504178272980525</c:v>
                </c:pt>
                <c:pt idx="382">
                  <c:v>91.16372640049525</c:v>
                </c:pt>
                <c:pt idx="383">
                  <c:v>91.082912067127523</c:v>
                </c:pt>
                <c:pt idx="384">
                  <c:v>91.187798755115423</c:v>
                </c:pt>
                <c:pt idx="385">
                  <c:v>91.069156435915986</c:v>
                </c:pt>
                <c:pt idx="386">
                  <c:v>91.191237662918283</c:v>
                </c:pt>
                <c:pt idx="387">
                  <c:v>91.179201485608189</c:v>
                </c:pt>
                <c:pt idx="388">
                  <c:v>90.334949620000714</c:v>
                </c:pt>
                <c:pt idx="389">
                  <c:v>90.799202173389773</c:v>
                </c:pt>
                <c:pt idx="390">
                  <c:v>91.280649265793215</c:v>
                </c:pt>
                <c:pt idx="391">
                  <c:v>91.712232195054881</c:v>
                </c:pt>
                <c:pt idx="392">
                  <c:v>91.641734585095804</c:v>
                </c:pt>
                <c:pt idx="393">
                  <c:v>91.793046528422607</c:v>
                </c:pt>
                <c:pt idx="394">
                  <c:v>91.719110010660629</c:v>
                </c:pt>
                <c:pt idx="395">
                  <c:v>91.512775542487731</c:v>
                </c:pt>
                <c:pt idx="396">
                  <c:v>91.684720932631834</c:v>
                </c:pt>
                <c:pt idx="397">
                  <c:v>91.43883902472578</c:v>
                </c:pt>
                <c:pt idx="398">
                  <c:v>91.2376629182572</c:v>
                </c:pt>
                <c:pt idx="399">
                  <c:v>90.694315485401873</c:v>
                </c:pt>
                <c:pt idx="400">
                  <c:v>90.814677258502712</c:v>
                </c:pt>
                <c:pt idx="401">
                  <c:v>90.682279308091765</c:v>
                </c:pt>
                <c:pt idx="402">
                  <c:v>90.804360535094077</c:v>
                </c:pt>
                <c:pt idx="403">
                  <c:v>90.683998761993209</c:v>
                </c:pt>
                <c:pt idx="404">
                  <c:v>90.51205337184912</c:v>
                </c:pt>
                <c:pt idx="405">
                  <c:v>91.021011726675638</c:v>
                </c:pt>
                <c:pt idx="406">
                  <c:v>90.861102513841615</c:v>
                </c:pt>
                <c:pt idx="407">
                  <c:v>90.72354620172635</c:v>
                </c:pt>
                <c:pt idx="408">
                  <c:v>90.653048591767273</c:v>
                </c:pt>
                <c:pt idx="409">
                  <c:v>90.393411052649697</c:v>
                </c:pt>
                <c:pt idx="410">
                  <c:v>89.760652016919437</c:v>
                </c:pt>
                <c:pt idx="411">
                  <c:v>89.617937343099854</c:v>
                </c:pt>
                <c:pt idx="412">
                  <c:v>90.273049279548829</c:v>
                </c:pt>
                <c:pt idx="413">
                  <c:v>90.455311393101567</c:v>
                </c:pt>
                <c:pt idx="414">
                  <c:v>90.388252690945365</c:v>
                </c:pt>
                <c:pt idx="415">
                  <c:v>90.465628116510217</c:v>
                </c:pt>
                <c:pt idx="416">
                  <c:v>90.474225386017409</c:v>
                </c:pt>
                <c:pt idx="417">
                  <c:v>90.242099109322908</c:v>
                </c:pt>
                <c:pt idx="418">
                  <c:v>90.302279995873334</c:v>
                </c:pt>
                <c:pt idx="419">
                  <c:v>90.892052684067579</c:v>
                </c:pt>
                <c:pt idx="420">
                  <c:v>90.536125726469308</c:v>
                </c:pt>
                <c:pt idx="421">
                  <c:v>90.180198768871051</c:v>
                </c:pt>
                <c:pt idx="422">
                  <c:v>90.481103201623213</c:v>
                </c:pt>
                <c:pt idx="423">
                  <c:v>90.570514804498131</c:v>
                </c:pt>
                <c:pt idx="424">
                  <c:v>90.439836307988614</c:v>
                </c:pt>
                <c:pt idx="425">
                  <c:v>89.924000137556348</c:v>
                </c:pt>
                <c:pt idx="426">
                  <c:v>90.040923002854313</c:v>
                </c:pt>
                <c:pt idx="427">
                  <c:v>90.035764641149996</c:v>
                </c:pt>
                <c:pt idx="428">
                  <c:v>89.502733931703304</c:v>
                </c:pt>
                <c:pt idx="429">
                  <c:v>89.41676123663126</c:v>
                </c:pt>
                <c:pt idx="430">
                  <c:v>89.378933250799562</c:v>
                </c:pt>
                <c:pt idx="431">
                  <c:v>89.157123697513683</c:v>
                </c:pt>
                <c:pt idx="432">
                  <c:v>89.397847243715404</c:v>
                </c:pt>
                <c:pt idx="433">
                  <c:v>89.633412428212822</c:v>
                </c:pt>
                <c:pt idx="434">
                  <c:v>89.92056122975346</c:v>
                </c:pt>
                <c:pt idx="435">
                  <c:v>89.924000137556348</c:v>
                </c:pt>
                <c:pt idx="436">
                  <c:v>90.04608136455866</c:v>
                </c:pt>
                <c:pt idx="437">
                  <c:v>90.028886825544248</c:v>
                </c:pt>
                <c:pt idx="438">
                  <c:v>90.408886137762664</c:v>
                </c:pt>
                <c:pt idx="439">
                  <c:v>90.33323016609927</c:v>
                </c:pt>
                <c:pt idx="440">
                  <c:v>90.417483407269884</c:v>
                </c:pt>
                <c:pt idx="441">
                  <c:v>90.252415832731543</c:v>
                </c:pt>
                <c:pt idx="442">
                  <c:v>90.477664293820311</c:v>
                </c:pt>
                <c:pt idx="443">
                  <c:v>91.077753705423177</c:v>
                </c:pt>
                <c:pt idx="444">
                  <c:v>91.160287492692319</c:v>
                </c:pt>
                <c:pt idx="445">
                  <c:v>91.466350287148813</c:v>
                </c:pt>
                <c:pt idx="446">
                  <c:v>91.192957116819699</c:v>
                </c:pt>
                <c:pt idx="447">
                  <c:v>90.945355755012201</c:v>
                </c:pt>
                <c:pt idx="448">
                  <c:v>91.058839712507307</c:v>
                </c:pt>
                <c:pt idx="449">
                  <c:v>90.947075208913631</c:v>
                </c:pt>
                <c:pt idx="450">
                  <c:v>90.78888544998108</c:v>
                </c:pt>
                <c:pt idx="451">
                  <c:v>90.680559854190307</c:v>
                </c:pt>
                <c:pt idx="452">
                  <c:v>90.993500464252563</c:v>
                </c:pt>
                <c:pt idx="453">
                  <c:v>91.425083393514228</c:v>
                </c:pt>
                <c:pt idx="454">
                  <c:v>91.330513428934964</c:v>
                </c:pt>
                <c:pt idx="455">
                  <c:v>91.493861549571861</c:v>
                </c:pt>
                <c:pt idx="456">
                  <c:v>91.203273840228334</c:v>
                </c:pt>
                <c:pt idx="457">
                  <c:v>90.935039031603566</c:v>
                </c:pt>
                <c:pt idx="458">
                  <c:v>90.924722308194916</c:v>
                </c:pt>
                <c:pt idx="459">
                  <c:v>90.572234258399547</c:v>
                </c:pt>
                <c:pt idx="460">
                  <c:v>90.500017194539041</c:v>
                </c:pt>
                <c:pt idx="461">
                  <c:v>90.582550981808183</c:v>
                </c:pt>
                <c:pt idx="462">
                  <c:v>90.446714123594361</c:v>
                </c:pt>
                <c:pt idx="463">
                  <c:v>90.33323016609927</c:v>
                </c:pt>
                <c:pt idx="464">
                  <c:v>90.491419925031821</c:v>
                </c:pt>
                <c:pt idx="465">
                  <c:v>90.787165996079651</c:v>
                </c:pt>
                <c:pt idx="466">
                  <c:v>90.773410364868113</c:v>
                </c:pt>
                <c:pt idx="467">
                  <c:v>90.732143471233528</c:v>
                </c:pt>
                <c:pt idx="468">
                  <c:v>90.866260875545933</c:v>
                </c:pt>
                <c:pt idx="469">
                  <c:v>90.718387840022018</c:v>
                </c:pt>
                <c:pt idx="470">
                  <c:v>90.242099109322893</c:v>
                </c:pt>
                <c:pt idx="471">
                  <c:v>90.309157811479082</c:v>
                </c:pt>
                <c:pt idx="472">
                  <c:v>90.300560541971876</c:v>
                </c:pt>
                <c:pt idx="473">
                  <c:v>90.381374875339603</c:v>
                </c:pt>
                <c:pt idx="474">
                  <c:v>90.427800130678492</c:v>
                </c:pt>
                <c:pt idx="475">
                  <c:v>90.541284088173612</c:v>
                </c:pt>
                <c:pt idx="476">
                  <c:v>91.103545513944781</c:v>
                </c:pt>
                <c:pt idx="477">
                  <c:v>90.984903194745357</c:v>
                </c:pt>
                <c:pt idx="478">
                  <c:v>91.153409677086572</c:v>
                </c:pt>
                <c:pt idx="479">
                  <c:v>91.211871109735569</c:v>
                </c:pt>
                <c:pt idx="480">
                  <c:v>90.93675848550501</c:v>
                </c:pt>
                <c:pt idx="481">
                  <c:v>91.045084081295798</c:v>
                </c:pt>
                <c:pt idx="482">
                  <c:v>91.094948244437575</c:v>
                </c:pt>
                <c:pt idx="483">
                  <c:v>91.397572131091181</c:v>
                </c:pt>
                <c:pt idx="484">
                  <c:v>91.801643797929799</c:v>
                </c:pt>
                <c:pt idx="485">
                  <c:v>91.409608308401275</c:v>
                </c:pt>
                <c:pt idx="486">
                  <c:v>91.517933904192063</c:v>
                </c:pt>
                <c:pt idx="487">
                  <c:v>91.421644485711383</c:v>
                </c:pt>
                <c:pt idx="488">
                  <c:v>91.514494996389175</c:v>
                </c:pt>
                <c:pt idx="489">
                  <c:v>91.437119570824322</c:v>
                </c:pt>
                <c:pt idx="490">
                  <c:v>91.160287492692333</c:v>
                </c:pt>
                <c:pt idx="491">
                  <c:v>91.244540733862934</c:v>
                </c:pt>
                <c:pt idx="492">
                  <c:v>91.414766670105578</c:v>
                </c:pt>
                <c:pt idx="493">
                  <c:v>91.407888854499816</c:v>
                </c:pt>
                <c:pt idx="494">
                  <c:v>91.83087451425429</c:v>
                </c:pt>
                <c:pt idx="495">
                  <c:v>92.379380308813921</c:v>
                </c:pt>
                <c:pt idx="496">
                  <c:v>91.84634959936723</c:v>
                </c:pt>
                <c:pt idx="497">
                  <c:v>91.531689535403558</c:v>
                </c:pt>
                <c:pt idx="498">
                  <c:v>91.438839024725738</c:v>
                </c:pt>
                <c:pt idx="499">
                  <c:v>91.597028783658317</c:v>
                </c:pt>
                <c:pt idx="500">
                  <c:v>91.751779634788008</c:v>
                </c:pt>
                <c:pt idx="501">
                  <c:v>91.763815812098088</c:v>
                </c:pt>
                <c:pt idx="502">
                  <c:v>92.011417173905585</c:v>
                </c:pt>
                <c:pt idx="503">
                  <c:v>91.76897417380242</c:v>
                </c:pt>
                <c:pt idx="504">
                  <c:v>91.404449946696943</c:v>
                </c:pt>
                <c:pt idx="505">
                  <c:v>91.443997386430098</c:v>
                </c:pt>
                <c:pt idx="506">
                  <c:v>91.344269060146516</c:v>
                </c:pt>
                <c:pt idx="507">
                  <c:v>91.237662918257186</c:v>
                </c:pt>
                <c:pt idx="508">
                  <c:v>90.861102513841615</c:v>
                </c:pt>
                <c:pt idx="509">
                  <c:v>90.53440627256785</c:v>
                </c:pt>
                <c:pt idx="510">
                  <c:v>90.696034939303303</c:v>
                </c:pt>
                <c:pt idx="511">
                  <c:v>90.752776918050841</c:v>
                </c:pt>
                <c:pt idx="512">
                  <c:v>90.783727088276777</c:v>
                </c:pt>
                <c:pt idx="513">
                  <c:v>91.170604216100983</c:v>
                </c:pt>
                <c:pt idx="514">
                  <c:v>91.012414457168404</c:v>
                </c:pt>
                <c:pt idx="515">
                  <c:v>90.751057464149397</c:v>
                </c:pt>
                <c:pt idx="516">
                  <c:v>90.577392620103865</c:v>
                </c:pt>
                <c:pt idx="517">
                  <c:v>90.126895697926358</c:v>
                </c:pt>
                <c:pt idx="518">
                  <c:v>90.181918222772467</c:v>
                </c:pt>
                <c:pt idx="519">
                  <c:v>89.882733243921749</c:v>
                </c:pt>
                <c:pt idx="520">
                  <c:v>89.985900478008205</c:v>
                </c:pt>
                <c:pt idx="521">
                  <c:v>89.647168059424345</c:v>
                </c:pt>
                <c:pt idx="522">
                  <c:v>89.330788541559215</c:v>
                </c:pt>
                <c:pt idx="523">
                  <c:v>89.313594002544804</c:v>
                </c:pt>
                <c:pt idx="524">
                  <c:v>89.131331888992079</c:v>
                </c:pt>
                <c:pt idx="525">
                  <c:v>88.906083427903312</c:v>
                </c:pt>
                <c:pt idx="526">
                  <c:v>88.842463633550011</c:v>
                </c:pt>
                <c:pt idx="527">
                  <c:v>88.904363974001868</c:v>
                </c:pt>
                <c:pt idx="528">
                  <c:v>88.990336669073912</c:v>
                </c:pt>
                <c:pt idx="529">
                  <c:v>88.974861583960958</c:v>
                </c:pt>
                <c:pt idx="530">
                  <c:v>89.569792633859507</c:v>
                </c:pt>
                <c:pt idx="531">
                  <c:v>89.949791946077951</c:v>
                </c:pt>
                <c:pt idx="532">
                  <c:v>90.885174868461817</c:v>
                </c:pt>
                <c:pt idx="533">
                  <c:v>91.201554386326933</c:v>
                </c:pt>
                <c:pt idx="534">
                  <c:v>91.627978953884266</c:v>
                </c:pt>
                <c:pt idx="535">
                  <c:v>91.906530485917699</c:v>
                </c:pt>
                <c:pt idx="536">
                  <c:v>92.14725403211942</c:v>
                </c:pt>
                <c:pt idx="537">
                  <c:v>93.187523642491186</c:v>
                </c:pt>
                <c:pt idx="538">
                  <c:v>94.174490181918259</c:v>
                </c:pt>
                <c:pt idx="539">
                  <c:v>94.074761855634677</c:v>
                </c:pt>
                <c:pt idx="540">
                  <c:v>93.901097011589144</c:v>
                </c:pt>
                <c:pt idx="541">
                  <c:v>93.620826025654281</c:v>
                </c:pt>
                <c:pt idx="542">
                  <c:v>93.639740018570137</c:v>
                </c:pt>
                <c:pt idx="543">
                  <c:v>94.265621238694621</c:v>
                </c:pt>
                <c:pt idx="544">
                  <c:v>93.589875855428332</c:v>
                </c:pt>
                <c:pt idx="545">
                  <c:v>92.838474500498648</c:v>
                </c:pt>
                <c:pt idx="546">
                  <c:v>91.542006258812208</c:v>
                </c:pt>
                <c:pt idx="547">
                  <c:v>90.979744833041039</c:v>
                </c:pt>
                <c:pt idx="548">
                  <c:v>90.919563946490612</c:v>
                </c:pt>
                <c:pt idx="549">
                  <c:v>92.418927748547077</c:v>
                </c:pt>
                <c:pt idx="550">
                  <c:v>92.461914096083106</c:v>
                </c:pt>
                <c:pt idx="551">
                  <c:v>93.595034217132664</c:v>
                </c:pt>
                <c:pt idx="552">
                  <c:v>94.263901784793163</c:v>
                </c:pt>
                <c:pt idx="553">
                  <c:v>95.316207572474994</c:v>
                </c:pt>
                <c:pt idx="554">
                  <c:v>95.163176175246747</c:v>
                </c:pt>
                <c:pt idx="555">
                  <c:v>94.925891536847899</c:v>
                </c:pt>
                <c:pt idx="556">
                  <c:v>94.848516111283061</c:v>
                </c:pt>
                <c:pt idx="557">
                  <c:v>93.514219883764923</c:v>
                </c:pt>
                <c:pt idx="558">
                  <c:v>93.259740706351664</c:v>
                </c:pt>
                <c:pt idx="559">
                  <c:v>93.37666357164963</c:v>
                </c:pt>
                <c:pt idx="560">
                  <c:v>92.752501805426576</c:v>
                </c:pt>
                <c:pt idx="561">
                  <c:v>92.264176897417371</c:v>
                </c:pt>
                <c:pt idx="562">
                  <c:v>92.437841741462904</c:v>
                </c:pt>
                <c:pt idx="563">
                  <c:v>91.478386464458879</c:v>
                </c:pt>
                <c:pt idx="564">
                  <c:v>91.354585783555123</c:v>
                </c:pt>
                <c:pt idx="565">
                  <c:v>91.39241376938682</c:v>
                </c:pt>
                <c:pt idx="566">
                  <c:v>90.577392620103836</c:v>
                </c:pt>
                <c:pt idx="567">
                  <c:v>90.004814470924018</c:v>
                </c:pt>
                <c:pt idx="568">
                  <c:v>90.252415832731501</c:v>
                </c:pt>
                <c:pt idx="569">
                  <c:v>89.571512087760894</c:v>
                </c:pt>
                <c:pt idx="570">
                  <c:v>89.571512087760894</c:v>
                </c:pt>
                <c:pt idx="571">
                  <c:v>88.868255442071572</c:v>
                </c:pt>
                <c:pt idx="572">
                  <c:v>89.445991952955723</c:v>
                </c:pt>
                <c:pt idx="573">
                  <c:v>89.710787853777617</c:v>
                </c:pt>
                <c:pt idx="574">
                  <c:v>89.509611747309037</c:v>
                </c:pt>
                <c:pt idx="575">
                  <c:v>89.538842463633529</c:v>
                </c:pt>
                <c:pt idx="576">
                  <c:v>90.259293648337248</c:v>
                </c:pt>
                <c:pt idx="577">
                  <c:v>89.648887513325732</c:v>
                </c:pt>
                <c:pt idx="578">
                  <c:v>89.377213796898062</c:v>
                </c:pt>
                <c:pt idx="579">
                  <c:v>89.710787853777617</c:v>
                </c:pt>
                <c:pt idx="580">
                  <c:v>90.224904570308453</c:v>
                </c:pt>
                <c:pt idx="581">
                  <c:v>90.479383747721712</c:v>
                </c:pt>
                <c:pt idx="582">
                  <c:v>90.623817875442725</c:v>
                </c:pt>
                <c:pt idx="583">
                  <c:v>90.902369407476158</c:v>
                </c:pt>
                <c:pt idx="584">
                  <c:v>90.855944152137255</c:v>
                </c:pt>
                <c:pt idx="585">
                  <c:v>90.68571821589461</c:v>
                </c:pt>
                <c:pt idx="586">
                  <c:v>90.278207641253118</c:v>
                </c:pt>
                <c:pt idx="587">
                  <c:v>91.217029471439858</c:v>
                </c:pt>
                <c:pt idx="588">
                  <c:v>91.057120258605863</c:v>
                </c:pt>
                <c:pt idx="589">
                  <c:v>90.79920217338973</c:v>
                </c:pt>
                <c:pt idx="590">
                  <c:v>90.261013102238721</c:v>
                </c:pt>
                <c:pt idx="591">
                  <c:v>90.307438357577624</c:v>
                </c:pt>
                <c:pt idx="592">
                  <c:v>90.541284088173597</c:v>
                </c:pt>
                <c:pt idx="593">
                  <c:v>91.201554386326876</c:v>
                </c:pt>
                <c:pt idx="594">
                  <c:v>91.760376904295157</c:v>
                </c:pt>
                <c:pt idx="595">
                  <c:v>92.296846521544722</c:v>
                </c:pt>
                <c:pt idx="596">
                  <c:v>92.726709996904944</c:v>
                </c:pt>
                <c:pt idx="597">
                  <c:v>93.003542075036947</c:v>
                </c:pt>
                <c:pt idx="598">
                  <c:v>92.82815777708997</c:v>
                </c:pt>
                <c:pt idx="599">
                  <c:v>93.882183018673246</c:v>
                </c:pt>
                <c:pt idx="600">
                  <c:v>93.481550259637501</c:v>
                </c:pt>
                <c:pt idx="601">
                  <c:v>93.220193266618494</c:v>
                </c:pt>
                <c:pt idx="602">
                  <c:v>93.950961174730878</c:v>
                </c:pt>
                <c:pt idx="603">
                  <c:v>94.255304515285928</c:v>
                </c:pt>
                <c:pt idx="604">
                  <c:v>93.801368685305533</c:v>
                </c:pt>
                <c:pt idx="605">
                  <c:v>93.123903848137829</c:v>
                </c:pt>
                <c:pt idx="606">
                  <c:v>93.758382337769504</c:v>
                </c:pt>
                <c:pt idx="607">
                  <c:v>92.766257436638114</c:v>
                </c:pt>
                <c:pt idx="608">
                  <c:v>92.828157777089999</c:v>
                </c:pt>
                <c:pt idx="609">
                  <c:v>92.473950273393172</c:v>
                </c:pt>
                <c:pt idx="610">
                  <c:v>92.350149592489444</c:v>
                </c:pt>
                <c:pt idx="611">
                  <c:v>93.044808968671575</c:v>
                </c:pt>
                <c:pt idx="612">
                  <c:v>93.319921592902119</c:v>
                </c:pt>
                <c:pt idx="613">
                  <c:v>92.912411018260627</c:v>
                </c:pt>
                <c:pt idx="614">
                  <c:v>92.96915299700818</c:v>
                </c:pt>
                <c:pt idx="615">
                  <c:v>93.512500429863493</c:v>
                </c:pt>
                <c:pt idx="616">
                  <c:v>92.926166649472151</c:v>
                </c:pt>
                <c:pt idx="617">
                  <c:v>92.98118917431826</c:v>
                </c:pt>
                <c:pt idx="618">
                  <c:v>93.791051961896926</c:v>
                </c:pt>
                <c:pt idx="619">
                  <c:v>93.417930465284243</c:v>
                </c:pt>
                <c:pt idx="620">
                  <c:v>94.066164586127471</c:v>
                </c:pt>
                <c:pt idx="621">
                  <c:v>94.040372777605853</c:v>
                </c:pt>
                <c:pt idx="622">
                  <c:v>94.152137281199515</c:v>
                </c:pt>
                <c:pt idx="623">
                  <c:v>94.779737955225443</c:v>
                </c:pt>
                <c:pt idx="624">
                  <c:v>94.504625330994898</c:v>
                </c:pt>
                <c:pt idx="625">
                  <c:v>94.692045806251954</c:v>
                </c:pt>
                <c:pt idx="626">
                  <c:v>94.855393926888823</c:v>
                </c:pt>
                <c:pt idx="627">
                  <c:v>95.195845799374126</c:v>
                </c:pt>
                <c:pt idx="628">
                  <c:v>94.626706557997196</c:v>
                </c:pt>
                <c:pt idx="629">
                  <c:v>94.70236252966059</c:v>
                </c:pt>
                <c:pt idx="630">
                  <c:v>95.096117473090544</c:v>
                </c:pt>
                <c:pt idx="631">
                  <c:v>95.187248529866935</c:v>
                </c:pt>
                <c:pt idx="632">
                  <c:v>96.110595274940707</c:v>
                </c:pt>
                <c:pt idx="633">
                  <c:v>96.707245778740685</c:v>
                </c:pt>
                <c:pt idx="634">
                  <c:v>96.76914611919257</c:v>
                </c:pt>
                <c:pt idx="635">
                  <c:v>97.615117438701503</c:v>
                </c:pt>
                <c:pt idx="636">
                  <c:v>97.714845764985057</c:v>
                </c:pt>
                <c:pt idx="637">
                  <c:v>97.87819388562194</c:v>
                </c:pt>
                <c:pt idx="638">
                  <c:v>98.053578183568916</c:v>
                </c:pt>
                <c:pt idx="639">
                  <c:v>98.947694212318197</c:v>
                </c:pt>
                <c:pt idx="640">
                  <c:v>98.105161800612137</c:v>
                </c:pt>
                <c:pt idx="641">
                  <c:v>98.48860002063347</c:v>
                </c:pt>
                <c:pt idx="642">
                  <c:v>98.976924928642688</c:v>
                </c:pt>
                <c:pt idx="643">
                  <c:v>98.932219127205229</c:v>
                </c:pt>
                <c:pt idx="644">
                  <c:v>98.553939268888229</c:v>
                </c:pt>
                <c:pt idx="645">
                  <c:v>98.125795247429437</c:v>
                </c:pt>
                <c:pt idx="646">
                  <c:v>98.376835517039822</c:v>
                </c:pt>
                <c:pt idx="647">
                  <c:v>98.112039616217928</c:v>
                </c:pt>
                <c:pt idx="648">
                  <c:v>98.722445751229429</c:v>
                </c:pt>
                <c:pt idx="649">
                  <c:v>98.337288077306667</c:v>
                </c:pt>
                <c:pt idx="650">
                  <c:v>98.782626637779856</c:v>
                </c:pt>
                <c:pt idx="651">
                  <c:v>99.085250524433448</c:v>
                </c:pt>
                <c:pt idx="652">
                  <c:v>99.420544035214434</c:v>
                </c:pt>
                <c:pt idx="653">
                  <c:v>98.646789779566035</c:v>
                </c:pt>
                <c:pt idx="654">
                  <c:v>98.514391829155088</c:v>
                </c:pt>
                <c:pt idx="655">
                  <c:v>98.731043020736635</c:v>
                </c:pt>
                <c:pt idx="656">
                  <c:v>98.782626637779856</c:v>
                </c:pt>
                <c:pt idx="657">
                  <c:v>98.987241652051338</c:v>
                </c:pt>
                <c:pt idx="658">
                  <c:v>99.025069637883021</c:v>
                </c:pt>
                <c:pt idx="659">
                  <c:v>99.595928333161424</c:v>
                </c:pt>
                <c:pt idx="660">
                  <c:v>99.822896248151608</c:v>
                </c:pt>
                <c:pt idx="661">
                  <c:v>100.24588190790608</c:v>
                </c:pt>
                <c:pt idx="662">
                  <c:v>99.472127652257683</c:v>
                </c:pt>
                <c:pt idx="663">
                  <c:v>99.100725609546458</c:v>
                </c:pt>
                <c:pt idx="664">
                  <c:v>99.458372021046159</c:v>
                </c:pt>
                <c:pt idx="665">
                  <c:v>99.255476460676149</c:v>
                </c:pt>
                <c:pt idx="666">
                  <c:v>99.019911276178746</c:v>
                </c:pt>
                <c:pt idx="667">
                  <c:v>98.882354964063481</c:v>
                </c:pt>
                <c:pt idx="668">
                  <c:v>99.399910588397191</c:v>
                </c:pt>
                <c:pt idx="669">
                  <c:v>99.558100347329741</c:v>
                </c:pt>
                <c:pt idx="670">
                  <c:v>99.150589772688249</c:v>
                </c:pt>
                <c:pt idx="671">
                  <c:v>99.143711957082488</c:v>
                </c:pt>
                <c:pt idx="672">
                  <c:v>99.031947453488826</c:v>
                </c:pt>
                <c:pt idx="673">
                  <c:v>98.282265552460586</c:v>
                </c:pt>
                <c:pt idx="674">
                  <c:v>98.865160425049055</c:v>
                </c:pt>
                <c:pt idx="675">
                  <c:v>97.936655318270979</c:v>
                </c:pt>
                <c:pt idx="676">
                  <c:v>97.771587743732653</c:v>
                </c:pt>
                <c:pt idx="677">
                  <c:v>97.159462154819678</c:v>
                </c:pt>
                <c:pt idx="678">
                  <c:v>97.157742700918234</c:v>
                </c:pt>
                <c:pt idx="679">
                  <c:v>97.243715395990264</c:v>
                </c:pt>
                <c:pt idx="680">
                  <c:v>98.014030743835804</c:v>
                </c:pt>
                <c:pt idx="681">
                  <c:v>98.314935176587966</c:v>
                </c:pt>
                <c:pt idx="682">
                  <c:v>98.684617765397761</c:v>
                </c:pt>
                <c:pt idx="683">
                  <c:v>98.445613673097483</c:v>
                </c:pt>
                <c:pt idx="684">
                  <c:v>98.763712644864071</c:v>
                </c:pt>
                <c:pt idx="685">
                  <c:v>99.26235427628194</c:v>
                </c:pt>
                <c:pt idx="686">
                  <c:v>99.099006155645071</c:v>
                </c:pt>
                <c:pt idx="687">
                  <c:v>99.289865538705001</c:v>
                </c:pt>
                <c:pt idx="688">
                  <c:v>99.561539255132658</c:v>
                </c:pt>
                <c:pt idx="689">
                  <c:v>99.372399325974158</c:v>
                </c:pt>
                <c:pt idx="690">
                  <c:v>99.509955638089437</c:v>
                </c:pt>
                <c:pt idx="691">
                  <c:v>99.116200694659483</c:v>
                </c:pt>
                <c:pt idx="692">
                  <c:v>99.007875098868695</c:v>
                </c:pt>
                <c:pt idx="693">
                  <c:v>99.085250524433533</c:v>
                </c:pt>
                <c:pt idx="694">
                  <c:v>99.540905808315372</c:v>
                </c:pt>
                <c:pt idx="695">
                  <c:v>100.14615358162257</c:v>
                </c:pt>
                <c:pt idx="696">
                  <c:v>100.67058702156207</c:v>
                </c:pt>
                <c:pt idx="697">
                  <c:v>100.54850579455976</c:v>
                </c:pt>
                <c:pt idx="698">
                  <c:v>100.63103958182893</c:v>
                </c:pt>
                <c:pt idx="699">
                  <c:v>100.14443412772114</c:v>
                </c:pt>
                <c:pt idx="700">
                  <c:v>100.11520341139665</c:v>
                </c:pt>
                <c:pt idx="701">
                  <c:v>99.503077822483704</c:v>
                </c:pt>
                <c:pt idx="702">
                  <c:v>99.439458028130389</c:v>
                </c:pt>
                <c:pt idx="703">
                  <c:v>99.054300354207626</c:v>
                </c:pt>
                <c:pt idx="704">
                  <c:v>98.832490800921732</c:v>
                </c:pt>
                <c:pt idx="705">
                  <c:v>99.270951545789174</c:v>
                </c:pt>
                <c:pt idx="706">
                  <c:v>99.059458715911944</c:v>
                </c:pt>
                <c:pt idx="707">
                  <c:v>100.12723958870676</c:v>
                </c:pt>
                <c:pt idx="708">
                  <c:v>100.61900340451884</c:v>
                </c:pt>
                <c:pt idx="709">
                  <c:v>100.79954606417014</c:v>
                </c:pt>
                <c:pt idx="710">
                  <c:v>100.30778224835804</c:v>
                </c:pt>
                <c:pt idx="711">
                  <c:v>100.32497678737245</c:v>
                </c:pt>
                <c:pt idx="712">
                  <c:v>100.63619794353325</c:v>
                </c:pt>
                <c:pt idx="713">
                  <c:v>100.86316585852344</c:v>
                </c:pt>
                <c:pt idx="714">
                  <c:v>101.2517624402491</c:v>
                </c:pt>
                <c:pt idx="715">
                  <c:v>101.48904707864793</c:v>
                </c:pt>
                <c:pt idx="716">
                  <c:v>101.94126345472688</c:v>
                </c:pt>
                <c:pt idx="717">
                  <c:v>101.87248529866925</c:v>
                </c:pt>
                <c:pt idx="718">
                  <c:v>102.60325320678162</c:v>
                </c:pt>
                <c:pt idx="719">
                  <c:v>103.18786753327151</c:v>
                </c:pt>
                <c:pt idx="720">
                  <c:v>104.68551188142655</c:v>
                </c:pt>
                <c:pt idx="721">
                  <c:v>104.72505932115968</c:v>
                </c:pt>
                <c:pt idx="722">
                  <c:v>103.99601086694875</c:v>
                </c:pt>
                <c:pt idx="723">
                  <c:v>104.18858970391013</c:v>
                </c:pt>
                <c:pt idx="724">
                  <c:v>104.33990164723693</c:v>
                </c:pt>
                <c:pt idx="725">
                  <c:v>104.44134942742193</c:v>
                </c:pt>
                <c:pt idx="726">
                  <c:v>105.53492210873834</c:v>
                </c:pt>
                <c:pt idx="727">
                  <c:v>106.19519240689166</c:v>
                </c:pt>
                <c:pt idx="728">
                  <c:v>106.97410502424439</c:v>
                </c:pt>
                <c:pt idx="729">
                  <c:v>106.56487499570146</c:v>
                </c:pt>
                <c:pt idx="730">
                  <c:v>107.24921764847493</c:v>
                </c:pt>
                <c:pt idx="731">
                  <c:v>107.46071047835215</c:v>
                </c:pt>
                <c:pt idx="732">
                  <c:v>107.9679493792772</c:v>
                </c:pt>
                <c:pt idx="733">
                  <c:v>108.48722445751237</c:v>
                </c:pt>
                <c:pt idx="734">
                  <c:v>109.18532274149737</c:v>
                </c:pt>
                <c:pt idx="735">
                  <c:v>109.76133979848009</c:v>
                </c:pt>
                <c:pt idx="736">
                  <c:v>110.15509474191006</c:v>
                </c:pt>
                <c:pt idx="737">
                  <c:v>110.07943877024668</c:v>
                </c:pt>
                <c:pt idx="738">
                  <c:v>109.99862443687896</c:v>
                </c:pt>
                <c:pt idx="739">
                  <c:v>109.17844492589165</c:v>
                </c:pt>
                <c:pt idx="740">
                  <c:v>109.53953024519423</c:v>
                </c:pt>
                <c:pt idx="741">
                  <c:v>109.49138553595388</c:v>
                </c:pt>
                <c:pt idx="742">
                  <c:v>109.52233570617983</c:v>
                </c:pt>
                <c:pt idx="743">
                  <c:v>109.54124969909567</c:v>
                </c:pt>
                <c:pt idx="744">
                  <c:v>110.20495890505184</c:v>
                </c:pt>
                <c:pt idx="745">
                  <c:v>110.01409952199191</c:v>
                </c:pt>
                <c:pt idx="746">
                  <c:v>110.23590907527777</c:v>
                </c:pt>
                <c:pt idx="747">
                  <c:v>110.00034389078037</c:v>
                </c:pt>
                <c:pt idx="748">
                  <c:v>109.50170225936252</c:v>
                </c:pt>
                <c:pt idx="749">
                  <c:v>109.8799821176795</c:v>
                </c:pt>
                <c:pt idx="750">
                  <c:v>110.44568245125359</c:v>
                </c:pt>
                <c:pt idx="751">
                  <c:v>109.92812682691988</c:v>
                </c:pt>
                <c:pt idx="752">
                  <c:v>109.07355823790375</c:v>
                </c:pt>
                <c:pt idx="753">
                  <c:v>108.31184015956542</c:v>
                </c:pt>
                <c:pt idx="754">
                  <c:v>108.2224285566905</c:v>
                </c:pt>
                <c:pt idx="755">
                  <c:v>108.25165927301501</c:v>
                </c:pt>
                <c:pt idx="756">
                  <c:v>108.32215688297407</c:v>
                </c:pt>
                <c:pt idx="757">
                  <c:v>108.51473571993544</c:v>
                </c:pt>
                <c:pt idx="758">
                  <c:v>108.22070910278904</c:v>
                </c:pt>
                <c:pt idx="759">
                  <c:v>108.06595825165937</c:v>
                </c:pt>
                <c:pt idx="760">
                  <c:v>107.99202173389739</c:v>
                </c:pt>
                <c:pt idx="761">
                  <c:v>107.95247429416426</c:v>
                </c:pt>
                <c:pt idx="762">
                  <c:v>107.89229340761382</c:v>
                </c:pt>
                <c:pt idx="763">
                  <c:v>107.72722583307549</c:v>
                </c:pt>
                <c:pt idx="764">
                  <c:v>107.56559716634007</c:v>
                </c:pt>
                <c:pt idx="765">
                  <c:v>107.28360672650376</c:v>
                </c:pt>
                <c:pt idx="766">
                  <c:v>107.33003198184267</c:v>
                </c:pt>
                <c:pt idx="767">
                  <c:v>107.92496303174121</c:v>
                </c:pt>
                <c:pt idx="768">
                  <c:v>108.80016506757465</c:v>
                </c:pt>
                <c:pt idx="769">
                  <c:v>109.02885243646629</c:v>
                </c:pt>
                <c:pt idx="770">
                  <c:v>109.28677052168244</c:v>
                </c:pt>
                <c:pt idx="771">
                  <c:v>109.15093366346859</c:v>
                </c:pt>
                <c:pt idx="772">
                  <c:v>109.46043536572797</c:v>
                </c:pt>
                <c:pt idx="773">
                  <c:v>109.71663399704266</c:v>
                </c:pt>
                <c:pt idx="774">
                  <c:v>108.77265380515161</c:v>
                </c:pt>
                <c:pt idx="775">
                  <c:v>108.82939578389913</c:v>
                </c:pt>
                <c:pt idx="776">
                  <c:v>109.42604628769912</c:v>
                </c:pt>
                <c:pt idx="777">
                  <c:v>109.32115959971122</c:v>
                </c:pt>
                <c:pt idx="778">
                  <c:v>109.83011795453774</c:v>
                </c:pt>
                <c:pt idx="779">
                  <c:v>110.10866948657117</c:v>
                </c:pt>
                <c:pt idx="780">
                  <c:v>110.72595343718847</c:v>
                </c:pt>
                <c:pt idx="781">
                  <c:v>110.07943877024668</c:v>
                </c:pt>
                <c:pt idx="782">
                  <c:v>109.3744626706559</c:v>
                </c:pt>
                <c:pt idx="783">
                  <c:v>108.87582103923803</c:v>
                </c:pt>
                <c:pt idx="784">
                  <c:v>109.43464355720633</c:v>
                </c:pt>
                <c:pt idx="785">
                  <c:v>108.61962240792334</c:v>
                </c:pt>
                <c:pt idx="786">
                  <c:v>107.77880945011874</c:v>
                </c:pt>
                <c:pt idx="787">
                  <c:v>107.52776918050836</c:v>
                </c:pt>
                <c:pt idx="788">
                  <c:v>107.62233914508761</c:v>
                </c:pt>
                <c:pt idx="789">
                  <c:v>108.26713435812795</c:v>
                </c:pt>
                <c:pt idx="790">
                  <c:v>107.92496303174121</c:v>
                </c:pt>
                <c:pt idx="791">
                  <c:v>108.06939715946226</c:v>
                </c:pt>
                <c:pt idx="792">
                  <c:v>108.24478145740922</c:v>
                </c:pt>
                <c:pt idx="793">
                  <c:v>108.04532480484208</c:v>
                </c:pt>
                <c:pt idx="794">
                  <c:v>108.28948725884669</c:v>
                </c:pt>
                <c:pt idx="795">
                  <c:v>107.94731593245996</c:v>
                </c:pt>
                <c:pt idx="796">
                  <c:v>107.97826610268591</c:v>
                </c:pt>
                <c:pt idx="797">
                  <c:v>107.96966883317869</c:v>
                </c:pt>
                <c:pt idx="798">
                  <c:v>107.49338010247956</c:v>
                </c:pt>
                <c:pt idx="799">
                  <c:v>107.35754324426574</c:v>
                </c:pt>
                <c:pt idx="800">
                  <c:v>107.35754324426574</c:v>
                </c:pt>
                <c:pt idx="801">
                  <c:v>107.31455689672971</c:v>
                </c:pt>
                <c:pt idx="802">
                  <c:v>107.11166133635969</c:v>
                </c:pt>
                <c:pt idx="803">
                  <c:v>107.11510024416256</c:v>
                </c:pt>
                <c:pt idx="804">
                  <c:v>107.40224904570319</c:v>
                </c:pt>
                <c:pt idx="805">
                  <c:v>107.98514391829166</c:v>
                </c:pt>
                <c:pt idx="806">
                  <c:v>107.76333436500579</c:v>
                </c:pt>
                <c:pt idx="807">
                  <c:v>108.68152274837523</c:v>
                </c:pt>
                <c:pt idx="808">
                  <c:v>109.64441693318211</c:v>
                </c:pt>
                <c:pt idx="809">
                  <c:v>109.62894184806916</c:v>
                </c:pt>
                <c:pt idx="810">
                  <c:v>108.94116028749281</c:v>
                </c:pt>
                <c:pt idx="811">
                  <c:v>108.06595825165938</c:v>
                </c:pt>
                <c:pt idx="812">
                  <c:v>106.2467760239349</c:v>
                </c:pt>
                <c:pt idx="813">
                  <c:v>106.76433164826861</c:v>
                </c:pt>
                <c:pt idx="814">
                  <c:v>107.34378761305419</c:v>
                </c:pt>
                <c:pt idx="815">
                  <c:v>107.5501220812271</c:v>
                </c:pt>
                <c:pt idx="816">
                  <c:v>108.1003473296882</c:v>
                </c:pt>
                <c:pt idx="817">
                  <c:v>108.20351456377463</c:v>
                </c:pt>
                <c:pt idx="818">
                  <c:v>107.79944289693604</c:v>
                </c:pt>
                <c:pt idx="819">
                  <c:v>108.15193094673141</c:v>
                </c:pt>
                <c:pt idx="820">
                  <c:v>108.19491729426744</c:v>
                </c:pt>
                <c:pt idx="821">
                  <c:v>108.25681763471931</c:v>
                </c:pt>
                <c:pt idx="822">
                  <c:v>107.94387702465707</c:v>
                </c:pt>
                <c:pt idx="823">
                  <c:v>107.84414869837352</c:v>
                </c:pt>
                <c:pt idx="824">
                  <c:v>108.48894391141386</c:v>
                </c:pt>
                <c:pt idx="825">
                  <c:v>108.2602565425222</c:v>
                </c:pt>
                <c:pt idx="826">
                  <c:v>107.88025723030376</c:v>
                </c:pt>
                <c:pt idx="827">
                  <c:v>107.51057464149396</c:v>
                </c:pt>
                <c:pt idx="828">
                  <c:v>107.5449637195228</c:v>
                </c:pt>
                <c:pt idx="829">
                  <c:v>108.01437463461616</c:v>
                </c:pt>
                <c:pt idx="830">
                  <c:v>108.44251865607492</c:v>
                </c:pt>
                <c:pt idx="831">
                  <c:v>109.23862581244207</c:v>
                </c:pt>
                <c:pt idx="832">
                  <c:v>109.19907837270894</c:v>
                </c:pt>
                <c:pt idx="833">
                  <c:v>108.97382991162017</c:v>
                </c:pt>
                <c:pt idx="834">
                  <c:v>108.52677189724552</c:v>
                </c:pt>
                <c:pt idx="835">
                  <c:v>108.78468998246166</c:v>
                </c:pt>
                <c:pt idx="836">
                  <c:v>109.08731386911525</c:v>
                </c:pt>
                <c:pt idx="837">
                  <c:v>109.56876096151872</c:v>
                </c:pt>
                <c:pt idx="838">
                  <c:v>109.33147632311987</c:v>
                </c:pt>
                <c:pt idx="839" formatCode="0">
                  <c:v>109.11138622373545</c:v>
                </c:pt>
                <c:pt idx="840" formatCode="0">
                  <c:v>109.43636301110777</c:v>
                </c:pt>
                <c:pt idx="841" formatCode="0">
                  <c:v>109.31084287630259</c:v>
                </c:pt>
                <c:pt idx="842" formatCode="0">
                  <c:v>109.70287836583111</c:v>
                </c:pt>
                <c:pt idx="843" formatCode="0">
                  <c:v>109.60143058564609</c:v>
                </c:pt>
                <c:pt idx="844" formatCode="0">
                  <c:v>109.19220055710315</c:v>
                </c:pt>
                <c:pt idx="845" formatCode="0">
                  <c:v>109.10278895422823</c:v>
                </c:pt>
                <c:pt idx="846" formatCode="0">
                  <c:v>109.48278826644668</c:v>
                </c:pt>
                <c:pt idx="847" formatCode="0">
                  <c:v>109.0340107981706</c:v>
                </c:pt>
                <c:pt idx="848" formatCode="0">
                  <c:v>109.10966676983398</c:v>
                </c:pt>
                <c:pt idx="849" formatCode="0">
                  <c:v>108.34794869149567</c:v>
                </c:pt>
                <c:pt idx="850" formatCode="0">
                  <c:v>108.72107018810834</c:v>
                </c:pt>
                <c:pt idx="851" formatCode="0">
                  <c:v>108.80532342927894</c:v>
                </c:pt>
                <c:pt idx="852" formatCode="0">
                  <c:v>108.89301557825243</c:v>
                </c:pt>
                <c:pt idx="853" formatCode="0">
                  <c:v>108.60930568451469</c:v>
                </c:pt>
                <c:pt idx="854" formatCode="0">
                  <c:v>108.35310705320001</c:v>
                </c:pt>
                <c:pt idx="855" formatCode="0">
                  <c:v>107.66876440042653</c:v>
                </c:pt>
                <c:pt idx="856" formatCode="0">
                  <c:v>107.49338010247956</c:v>
                </c:pt>
                <c:pt idx="857" formatCode="0">
                  <c:v>107.32487362013835</c:v>
                </c:pt>
                <c:pt idx="858" formatCode="0">
                  <c:v>105.63636988892338</c:v>
                </c:pt>
                <c:pt idx="859" formatCode="0">
                  <c:v>105.25809003060638</c:v>
                </c:pt>
                <c:pt idx="860" formatCode="0">
                  <c:v>105.00876921489746</c:v>
                </c:pt>
                <c:pt idx="861" formatCode="0">
                  <c:v>104.84026273255624</c:v>
                </c:pt>
                <c:pt idx="862" formatCode="0">
                  <c:v>105.11709481068823</c:v>
                </c:pt>
                <c:pt idx="863" formatCode="0">
                  <c:v>104.30895147701099</c:v>
                </c:pt>
                <c:pt idx="864" formatCode="0">
                  <c:v>102.54135286632975</c:v>
                </c:pt>
                <c:pt idx="865" formatCode="0">
                  <c:v>101.9756525327557</c:v>
                </c:pt>
                <c:pt idx="866" formatCode="0">
                  <c:v>101.42886619209749</c:v>
                </c:pt>
                <c:pt idx="867" formatCode="0">
                  <c:v>101.39275766016722</c:v>
                </c:pt>
                <c:pt idx="868" formatCode="0">
                  <c:v>101.03855015647041</c:v>
                </c:pt>
                <c:pt idx="869" formatCode="0">
                  <c:v>100.70325664568942</c:v>
                </c:pt>
                <c:pt idx="870" formatCode="0">
                  <c:v>100.87692148973494</c:v>
                </c:pt>
                <c:pt idx="871" formatCode="0">
                  <c:v>100.71357336909807</c:v>
                </c:pt>
                <c:pt idx="872" formatCode="0">
                  <c:v>100.77375425564851</c:v>
                </c:pt>
                <c:pt idx="873" formatCode="0">
                  <c:v>101.05918360328769</c:v>
                </c:pt>
                <c:pt idx="874" formatCode="0">
                  <c:v>101.0557446954848</c:v>
                </c:pt>
              </c:numCache>
            </c:numRef>
          </c:val>
          <c:smooth val="0"/>
          <c:extLst>
            <c:ext xmlns:c16="http://schemas.microsoft.com/office/drawing/2014/chart" uri="{C3380CC4-5D6E-409C-BE32-E72D297353CC}">
              <c16:uniqueId val="{00000002-3372-4ABC-A980-B0ACB3E218F3}"/>
            </c:ext>
          </c:extLst>
        </c:ser>
        <c:dLbls>
          <c:showLegendKey val="0"/>
          <c:showVal val="0"/>
          <c:showCatName val="0"/>
          <c:showSerName val="0"/>
          <c:showPercent val="0"/>
          <c:showBubbleSize val="0"/>
        </c:dLbls>
        <c:smooth val="0"/>
        <c:axId val="149664512"/>
        <c:axId val="149666048"/>
      </c:lineChart>
      <c:dateAx>
        <c:axId val="149664512"/>
        <c:scaling>
          <c:orientation val="minMax"/>
        </c:scaling>
        <c:delete val="0"/>
        <c:axPos val="b"/>
        <c:numFmt formatCode="m\/d\/yy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49666048"/>
        <c:crosses val="autoZero"/>
        <c:auto val="1"/>
        <c:lblOffset val="100"/>
        <c:baseTimeUnit val="days"/>
        <c:majorUnit val="3"/>
        <c:majorTimeUnit val="months"/>
      </c:dateAx>
      <c:valAx>
        <c:axId val="149666048"/>
        <c:scaling>
          <c:orientation val="minMax"/>
          <c:min val="71"/>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hy-AM" sz="900"/>
                  <a:t>Ինդեքս, 2018 թ. </a:t>
                </a:r>
                <a:r>
                  <a:rPr lang="en-US" sz="900"/>
                  <a:t>հունվար </a:t>
                </a:r>
                <a:r>
                  <a:rPr lang="hy-AM" sz="900"/>
                  <a:t>8</a:t>
                </a:r>
                <a:r>
                  <a:rPr lang="en-US" sz="900"/>
                  <a:t>=100</a:t>
                </a:r>
              </a:p>
              <a:p>
                <a:pPr>
                  <a:defRPr sz="900" b="0" i="0" u="none" strike="noStrike" kern="1200" baseline="0">
                    <a:solidFill>
                      <a:schemeClr val="tx1">
                        <a:lumMod val="65000"/>
                        <a:lumOff val="35000"/>
                      </a:schemeClr>
                    </a:solidFill>
                    <a:latin typeface="+mn-lt"/>
                    <a:ea typeface="+mn-ea"/>
                    <a:cs typeface="+mn-cs"/>
                  </a:defRPr>
                </a:pPr>
                <a:endParaRPr lang="en-US" sz="900"/>
              </a:p>
            </c:rich>
          </c:tx>
          <c:layout>
            <c:manualLayout>
              <c:xMode val="edge"/>
              <c:yMode val="edge"/>
              <c:x val="7.7972709551656924E-3"/>
              <c:y val="6.2146892655367263E-2"/>
            </c:manualLayout>
          </c:layout>
          <c:overlay val="0"/>
          <c:spPr>
            <a:noFill/>
            <a:ln>
              <a:noFill/>
            </a:ln>
            <a:effectLst/>
          </c:spPr>
        </c:title>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664512"/>
        <c:crosses val="max"/>
        <c:crossBetween val="between"/>
      </c:valAx>
      <c:spPr>
        <a:noFill/>
        <a:ln>
          <a:noFill/>
        </a:ln>
        <a:effectLst/>
      </c:spPr>
    </c:plotArea>
    <c:legend>
      <c:legendPos val="b"/>
      <c:layout>
        <c:manualLayout>
          <c:xMode val="edge"/>
          <c:yMode val="edge"/>
          <c:x val="0"/>
          <c:y val="0.88503824118759367"/>
          <c:w val="1"/>
          <c:h val="0.101352060722139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591089970058726"/>
          <c:y val="6.6066066066066062E-2"/>
          <c:w val="0.82107834761124066"/>
          <c:h val="0.56289234116005749"/>
        </c:manualLayout>
      </c:layout>
      <c:lineChart>
        <c:grouping val="standard"/>
        <c:varyColors val="0"/>
        <c:ser>
          <c:idx val="0"/>
          <c:order val="0"/>
          <c:tx>
            <c:strRef>
              <c:f>Sheet1!$B$1</c:f>
              <c:strCache>
                <c:ptCount val="1"/>
                <c:pt idx="0">
                  <c:v>Իրական</c:v>
                </c:pt>
              </c:strCache>
            </c:strRef>
          </c:tx>
          <c:spPr>
            <a:ln w="28575" cap="rnd">
              <a:solidFill>
                <a:srgbClr val="0070C0"/>
              </a:solidFill>
              <a:round/>
            </a:ln>
            <a:effectLst/>
          </c:spPr>
          <c:marker>
            <c:symbol val="none"/>
          </c:marker>
          <c:cat>
            <c:strRef>
              <c:f>Sheet1!$A$2:$A$41</c:f>
              <c:strCache>
                <c:ptCount val="40"/>
                <c:pt idx="0">
                  <c:v>2018-M1</c:v>
                </c:pt>
                <c:pt idx="1">
                  <c:v>2018-M2</c:v>
                </c:pt>
                <c:pt idx="2">
                  <c:v>2018-M3</c:v>
                </c:pt>
                <c:pt idx="3">
                  <c:v>2018-M4</c:v>
                </c:pt>
                <c:pt idx="4">
                  <c:v>2018-M5</c:v>
                </c:pt>
                <c:pt idx="5">
                  <c:v>2018-M6</c:v>
                </c:pt>
                <c:pt idx="6">
                  <c:v>2018-M7</c:v>
                </c:pt>
                <c:pt idx="7">
                  <c:v>2018-M8</c:v>
                </c:pt>
                <c:pt idx="8">
                  <c:v>2018-M9</c:v>
                </c:pt>
                <c:pt idx="9">
                  <c:v>2018-M10</c:v>
                </c:pt>
                <c:pt idx="10">
                  <c:v>2018-M11</c:v>
                </c:pt>
                <c:pt idx="11">
                  <c:v>2018-M12</c:v>
                </c:pt>
                <c:pt idx="12">
                  <c:v>2019-M1</c:v>
                </c:pt>
                <c:pt idx="13">
                  <c:v>2019-M2</c:v>
                </c:pt>
                <c:pt idx="14">
                  <c:v>2019-M3</c:v>
                </c:pt>
                <c:pt idx="15">
                  <c:v>2019-M4</c:v>
                </c:pt>
                <c:pt idx="16">
                  <c:v>2019-M5</c:v>
                </c:pt>
                <c:pt idx="17">
                  <c:v>2019-M6</c:v>
                </c:pt>
                <c:pt idx="18">
                  <c:v>2019-M7</c:v>
                </c:pt>
                <c:pt idx="19">
                  <c:v>2019-M8</c:v>
                </c:pt>
                <c:pt idx="20">
                  <c:v>2019-M9</c:v>
                </c:pt>
                <c:pt idx="21">
                  <c:v>2019-M10</c:v>
                </c:pt>
                <c:pt idx="22">
                  <c:v>2019-M11</c:v>
                </c:pt>
                <c:pt idx="23">
                  <c:v>2019-M12</c:v>
                </c:pt>
                <c:pt idx="24">
                  <c:v>2020-M1</c:v>
                </c:pt>
                <c:pt idx="25">
                  <c:v>2020-M2</c:v>
                </c:pt>
                <c:pt idx="26">
                  <c:v>2020-M3</c:v>
                </c:pt>
                <c:pt idx="27">
                  <c:v>2020-M4</c:v>
                </c:pt>
                <c:pt idx="28">
                  <c:v>2020-M5</c:v>
                </c:pt>
                <c:pt idx="29">
                  <c:v>2020-M6</c:v>
                </c:pt>
                <c:pt idx="30">
                  <c:v>2020-M7</c:v>
                </c:pt>
                <c:pt idx="31">
                  <c:v>2020-M8</c:v>
                </c:pt>
                <c:pt idx="32">
                  <c:v>2020-M9</c:v>
                </c:pt>
                <c:pt idx="33">
                  <c:v>2020-M10</c:v>
                </c:pt>
                <c:pt idx="34">
                  <c:v>2020-M11</c:v>
                </c:pt>
                <c:pt idx="35">
                  <c:v>2020-M12</c:v>
                </c:pt>
                <c:pt idx="36">
                  <c:v>2021-M1</c:v>
                </c:pt>
                <c:pt idx="37">
                  <c:v>2021-M2</c:v>
                </c:pt>
                <c:pt idx="38">
                  <c:v>2021-M3</c:v>
                </c:pt>
                <c:pt idx="39">
                  <c:v>2021-M4</c:v>
                </c:pt>
              </c:strCache>
            </c:strRef>
          </c:cat>
          <c:val>
            <c:numRef>
              <c:f>Sheet1!$B$2:$B$41</c:f>
              <c:numCache>
                <c:formatCode>0.0</c:formatCode>
                <c:ptCount val="40"/>
                <c:pt idx="0">
                  <c:v>-4.8613536355381513</c:v>
                </c:pt>
                <c:pt idx="1">
                  <c:v>-4.5033580770590333</c:v>
                </c:pt>
                <c:pt idx="2">
                  <c:v>-4.1183033065109527</c:v>
                </c:pt>
                <c:pt idx="3">
                  <c:v>-3.4489544015312958</c:v>
                </c:pt>
                <c:pt idx="4">
                  <c:v>-2.5657620342005742</c:v>
                </c:pt>
                <c:pt idx="5">
                  <c:v>-1.7429456504706877</c:v>
                </c:pt>
                <c:pt idx="6">
                  <c:v>-0.76680573907795235</c:v>
                </c:pt>
                <c:pt idx="7">
                  <c:v>0.68588615023475086</c:v>
                </c:pt>
                <c:pt idx="8">
                  <c:v>2.1508464701006886</c:v>
                </c:pt>
                <c:pt idx="9">
                  <c:v>3.0833932902632597</c:v>
                </c:pt>
                <c:pt idx="10">
                  <c:v>3.6939456581952044</c:v>
                </c:pt>
                <c:pt idx="11">
                  <c:v>4.1659953649196382</c:v>
                </c:pt>
                <c:pt idx="12">
                  <c:v>8.8099258497907726</c:v>
                </c:pt>
                <c:pt idx="13">
                  <c:v>9.3685223571217335</c:v>
                </c:pt>
                <c:pt idx="14">
                  <c:v>9.5781551715601267</c:v>
                </c:pt>
                <c:pt idx="15">
                  <c:v>9.408407907657562</c:v>
                </c:pt>
                <c:pt idx="16">
                  <c:v>9.2151681993298808</c:v>
                </c:pt>
                <c:pt idx="17">
                  <c:v>8.6043401989768853</c:v>
                </c:pt>
                <c:pt idx="18">
                  <c:v>7.6990018453279703</c:v>
                </c:pt>
                <c:pt idx="19">
                  <c:v>6.5052274962660732</c:v>
                </c:pt>
                <c:pt idx="20">
                  <c:v>5.3823907455012829</c:v>
                </c:pt>
                <c:pt idx="21">
                  <c:v>4.5993552843656289</c:v>
                </c:pt>
                <c:pt idx="22">
                  <c:v>3.9949444277952182</c:v>
                </c:pt>
                <c:pt idx="23">
                  <c:v>3.5068203044597936</c:v>
                </c:pt>
                <c:pt idx="24">
                  <c:v>-2.6246542068686409</c:v>
                </c:pt>
                <c:pt idx="25">
                  <c:v>-1.4553084915558543</c:v>
                </c:pt>
                <c:pt idx="26">
                  <c:v>-0.39762329711045652</c:v>
                </c:pt>
                <c:pt idx="27">
                  <c:v>0.76205314050565676</c:v>
                </c:pt>
                <c:pt idx="28">
                  <c:v>1.2758480875794191</c:v>
                </c:pt>
                <c:pt idx="29">
                  <c:v>1.5440919000124609</c:v>
                </c:pt>
                <c:pt idx="30">
                  <c:v>1.7990829349974149</c:v>
                </c:pt>
                <c:pt idx="31">
                  <c:v>1.8717880749399285</c:v>
                </c:pt>
                <c:pt idx="32">
                  <c:v>2.0254611983534119</c:v>
                </c:pt>
                <c:pt idx="33">
                  <c:v>2.1875515931979663</c:v>
                </c:pt>
                <c:pt idx="34">
                  <c:v>2.1124378234122361</c:v>
                </c:pt>
                <c:pt idx="35">
                  <c:v>1.7121083243293072</c:v>
                </c:pt>
                <c:pt idx="36">
                  <c:v>-2.7439024390243816</c:v>
                </c:pt>
                <c:pt idx="37">
                  <c:v>-3.7229110141841204</c:v>
                </c:pt>
                <c:pt idx="38">
                  <c:v>-4.4366820151064701</c:v>
                </c:pt>
                <c:pt idx="39">
                  <c:v>-5.2721802994907421</c:v>
                </c:pt>
              </c:numCache>
            </c:numRef>
          </c:val>
          <c:smooth val="0"/>
          <c:extLst>
            <c:ext xmlns:c16="http://schemas.microsoft.com/office/drawing/2014/chart" uri="{C3380CC4-5D6E-409C-BE32-E72D297353CC}">
              <c16:uniqueId val="{00000000-83F1-459F-AFD3-E7DAFEAEDCE6}"/>
            </c:ext>
          </c:extLst>
        </c:ser>
        <c:ser>
          <c:idx val="1"/>
          <c:order val="1"/>
          <c:tx>
            <c:strRef>
              <c:f>Sheet1!$C$1</c:f>
              <c:strCache>
                <c:ptCount val="1"/>
                <c:pt idx="0">
                  <c:v>Անվանական</c:v>
                </c:pt>
              </c:strCache>
            </c:strRef>
          </c:tx>
          <c:spPr>
            <a:ln w="28575" cap="rnd">
              <a:solidFill>
                <a:srgbClr val="C00000"/>
              </a:solidFill>
              <a:round/>
            </a:ln>
            <a:effectLst/>
          </c:spPr>
          <c:marker>
            <c:symbol val="none"/>
          </c:marker>
          <c:cat>
            <c:strRef>
              <c:f>Sheet1!$A$2:$A$41</c:f>
              <c:strCache>
                <c:ptCount val="40"/>
                <c:pt idx="0">
                  <c:v>2018-M1</c:v>
                </c:pt>
                <c:pt idx="1">
                  <c:v>2018-M2</c:v>
                </c:pt>
                <c:pt idx="2">
                  <c:v>2018-M3</c:v>
                </c:pt>
                <c:pt idx="3">
                  <c:v>2018-M4</c:v>
                </c:pt>
                <c:pt idx="4">
                  <c:v>2018-M5</c:v>
                </c:pt>
                <c:pt idx="5">
                  <c:v>2018-M6</c:v>
                </c:pt>
                <c:pt idx="6">
                  <c:v>2018-M7</c:v>
                </c:pt>
                <c:pt idx="7">
                  <c:v>2018-M8</c:v>
                </c:pt>
                <c:pt idx="8">
                  <c:v>2018-M9</c:v>
                </c:pt>
                <c:pt idx="9">
                  <c:v>2018-M10</c:v>
                </c:pt>
                <c:pt idx="10">
                  <c:v>2018-M11</c:v>
                </c:pt>
                <c:pt idx="11">
                  <c:v>2018-M12</c:v>
                </c:pt>
                <c:pt idx="12">
                  <c:v>2019-M1</c:v>
                </c:pt>
                <c:pt idx="13">
                  <c:v>2019-M2</c:v>
                </c:pt>
                <c:pt idx="14">
                  <c:v>2019-M3</c:v>
                </c:pt>
                <c:pt idx="15">
                  <c:v>2019-M4</c:v>
                </c:pt>
                <c:pt idx="16">
                  <c:v>2019-M5</c:v>
                </c:pt>
                <c:pt idx="17">
                  <c:v>2019-M6</c:v>
                </c:pt>
                <c:pt idx="18">
                  <c:v>2019-M7</c:v>
                </c:pt>
                <c:pt idx="19">
                  <c:v>2019-M8</c:v>
                </c:pt>
                <c:pt idx="20">
                  <c:v>2019-M9</c:v>
                </c:pt>
                <c:pt idx="21">
                  <c:v>2019-M10</c:v>
                </c:pt>
                <c:pt idx="22">
                  <c:v>2019-M11</c:v>
                </c:pt>
                <c:pt idx="23">
                  <c:v>2019-M12</c:v>
                </c:pt>
                <c:pt idx="24">
                  <c:v>2020-M1</c:v>
                </c:pt>
                <c:pt idx="25">
                  <c:v>2020-M2</c:v>
                </c:pt>
                <c:pt idx="26">
                  <c:v>2020-M3</c:v>
                </c:pt>
                <c:pt idx="27">
                  <c:v>2020-M4</c:v>
                </c:pt>
                <c:pt idx="28">
                  <c:v>2020-M5</c:v>
                </c:pt>
                <c:pt idx="29">
                  <c:v>2020-M6</c:v>
                </c:pt>
                <c:pt idx="30">
                  <c:v>2020-M7</c:v>
                </c:pt>
                <c:pt idx="31">
                  <c:v>2020-M8</c:v>
                </c:pt>
                <c:pt idx="32">
                  <c:v>2020-M9</c:v>
                </c:pt>
                <c:pt idx="33">
                  <c:v>2020-M10</c:v>
                </c:pt>
                <c:pt idx="34">
                  <c:v>2020-M11</c:v>
                </c:pt>
                <c:pt idx="35">
                  <c:v>2020-M12</c:v>
                </c:pt>
                <c:pt idx="36">
                  <c:v>2021-M1</c:v>
                </c:pt>
                <c:pt idx="37">
                  <c:v>2021-M2</c:v>
                </c:pt>
                <c:pt idx="38">
                  <c:v>2021-M3</c:v>
                </c:pt>
                <c:pt idx="39">
                  <c:v>2021-M4</c:v>
                </c:pt>
              </c:strCache>
            </c:strRef>
          </c:cat>
          <c:val>
            <c:numRef>
              <c:f>Sheet1!$C$2:$C$41</c:f>
              <c:numCache>
                <c:formatCode>0.0</c:formatCode>
                <c:ptCount val="40"/>
                <c:pt idx="0">
                  <c:v>-4.1431885979449845</c:v>
                </c:pt>
                <c:pt idx="1">
                  <c:v>-3.9519250356488129</c:v>
                </c:pt>
                <c:pt idx="2">
                  <c:v>-3.7853289115477935</c:v>
                </c:pt>
                <c:pt idx="3">
                  <c:v>-2.9146561842129728</c:v>
                </c:pt>
                <c:pt idx="4">
                  <c:v>-1.6898965125321439</c:v>
                </c:pt>
                <c:pt idx="5">
                  <c:v>-0.46613637925754858</c:v>
                </c:pt>
                <c:pt idx="6">
                  <c:v>0.66620536504512984</c:v>
                </c:pt>
                <c:pt idx="7">
                  <c:v>2.2071970338584492</c:v>
                </c:pt>
                <c:pt idx="8">
                  <c:v>3.8132945237366158</c:v>
                </c:pt>
                <c:pt idx="9">
                  <c:v>4.9536727264479339</c:v>
                </c:pt>
                <c:pt idx="10">
                  <c:v>5.7959298805658079</c:v>
                </c:pt>
                <c:pt idx="11">
                  <c:v>6.4208516747920896</c:v>
                </c:pt>
                <c:pt idx="12">
                  <c:v>13.911940986629801</c:v>
                </c:pt>
                <c:pt idx="13">
                  <c:v>13.91882772582666</c:v>
                </c:pt>
                <c:pt idx="14">
                  <c:v>14.057335408280068</c:v>
                </c:pt>
                <c:pt idx="15">
                  <c:v>13.851763012712894</c:v>
                </c:pt>
                <c:pt idx="16">
                  <c:v>13.471660226961575</c:v>
                </c:pt>
                <c:pt idx="17">
                  <c:v>12.668478840878123</c:v>
                </c:pt>
                <c:pt idx="18">
                  <c:v>11.711452488663681</c:v>
                </c:pt>
                <c:pt idx="19">
                  <c:v>10.532033900645899</c:v>
                </c:pt>
                <c:pt idx="20">
                  <c:v>9.3252693710836922</c:v>
                </c:pt>
                <c:pt idx="21">
                  <c:v>8.4146451275956053</c:v>
                </c:pt>
                <c:pt idx="22">
                  <c:v>7.7115163890451726</c:v>
                </c:pt>
                <c:pt idx="23">
                  <c:v>7.1842207482216907</c:v>
                </c:pt>
                <c:pt idx="24">
                  <c:v>1.3423724240277863</c:v>
                </c:pt>
                <c:pt idx="25">
                  <c:v>2.8146367883013994</c:v>
                </c:pt>
                <c:pt idx="26">
                  <c:v>3.7042048645174361</c:v>
                </c:pt>
                <c:pt idx="27">
                  <c:v>4.4462422679543607</c:v>
                </c:pt>
                <c:pt idx="28">
                  <c:v>4.5995656487116889</c:v>
                </c:pt>
                <c:pt idx="29">
                  <c:v>4.5979060917240986</c:v>
                </c:pt>
                <c:pt idx="30">
                  <c:v>4.7121392797519661</c:v>
                </c:pt>
                <c:pt idx="31">
                  <c:v>4.6430460514533394</c:v>
                </c:pt>
                <c:pt idx="32">
                  <c:v>4.7383066706577495</c:v>
                </c:pt>
                <c:pt idx="33">
                  <c:v>4.8867596687010177</c:v>
                </c:pt>
                <c:pt idx="34">
                  <c:v>4.7942765719805465</c:v>
                </c:pt>
                <c:pt idx="35">
                  <c:v>4.2212336990500035</c:v>
                </c:pt>
                <c:pt idx="36">
                  <c:v>-2.6458548274370344</c:v>
                </c:pt>
                <c:pt idx="37">
                  <c:v>-3.812533952293947</c:v>
                </c:pt>
                <c:pt idx="38">
                  <c:v>-4.5798538622129428</c:v>
                </c:pt>
                <c:pt idx="39">
                  <c:v>-5.4535332182220344</c:v>
                </c:pt>
              </c:numCache>
            </c:numRef>
          </c:val>
          <c:smooth val="0"/>
          <c:extLst>
            <c:ext xmlns:c16="http://schemas.microsoft.com/office/drawing/2014/chart" uri="{C3380CC4-5D6E-409C-BE32-E72D297353CC}">
              <c16:uniqueId val="{00000001-83F1-459F-AFD3-E7DAFEAEDCE6}"/>
            </c:ext>
          </c:extLst>
        </c:ser>
        <c:dLbls>
          <c:showLegendKey val="0"/>
          <c:showVal val="0"/>
          <c:showCatName val="0"/>
          <c:showSerName val="0"/>
          <c:showPercent val="0"/>
          <c:showBubbleSize val="0"/>
        </c:dLbls>
        <c:smooth val="0"/>
        <c:axId val="150078208"/>
        <c:axId val="150079744"/>
      </c:lineChart>
      <c:catAx>
        <c:axId val="15007820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079744"/>
        <c:crosses val="autoZero"/>
        <c:auto val="1"/>
        <c:lblAlgn val="ctr"/>
        <c:lblOffset val="100"/>
        <c:noMultiLvlLbl val="0"/>
      </c:catAx>
      <c:valAx>
        <c:axId val="150079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y-AM" sz="1000" b="0" i="0" u="none" strike="noStrike" kern="1200" baseline="0">
                    <a:solidFill>
                      <a:sysClr val="windowText" lastClr="000000">
                        <a:lumMod val="65000"/>
                        <a:lumOff val="35000"/>
                      </a:sysClr>
                    </a:solidFill>
                    <a:latin typeface="+mn-lt"/>
                    <a:ea typeface="+mn-ea"/>
                    <a:cs typeface="+mn-cs"/>
                  </a:rPr>
                  <a:t>տոկոս</a:t>
                </a:r>
                <a:endParaRPr lang="en-US"/>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078208"/>
        <c:crosses val="autoZero"/>
        <c:crossBetween val="between"/>
      </c:valAx>
      <c:spPr>
        <a:noFill/>
        <a:ln>
          <a:noFill/>
        </a:ln>
        <a:effectLst/>
      </c:spPr>
    </c:plotArea>
    <c:legend>
      <c:legendPos val="b"/>
      <c:layout>
        <c:manualLayout>
          <c:xMode val="edge"/>
          <c:yMode val="edge"/>
          <c:x val="0.15639159486897611"/>
          <c:y val="0.88062992125984241"/>
          <c:w val="0.69562690807467398"/>
          <c:h val="0.1013520607221394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n-US"/>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cap="none" spc="0" normalizeH="0" baseline="0">
                <a:solidFill>
                  <a:sysClr val="windowText" lastClr="000000"/>
                </a:solidFill>
                <a:latin typeface="GHEA Grapalat" panose="02000506050000020003" pitchFamily="50" charset="0"/>
                <a:ea typeface="+mj-ea"/>
                <a:cs typeface="+mj-cs"/>
              </a:defRPr>
            </a:pPr>
            <a:r>
              <a:rPr lang="en-US" sz="900" i="1"/>
              <a:t>12</a:t>
            </a:r>
            <a:r>
              <a:rPr lang="hy-AM" sz="900" i="1"/>
              <a:t> ամսյա գնաճը</a:t>
            </a:r>
            <a:r>
              <a:rPr lang="en-US" sz="900" i="1"/>
              <a:t>,</a:t>
            </a:r>
            <a:r>
              <a:rPr lang="en-US" sz="900" i="1" baseline="0"/>
              <a:t> %</a:t>
            </a:r>
            <a:endParaRPr lang="en-US" sz="900" i="1"/>
          </a:p>
        </c:rich>
      </c:tx>
      <c:layout>
        <c:manualLayout>
          <c:xMode val="edge"/>
          <c:yMode val="edge"/>
          <c:x val="0.28161808163810031"/>
          <c:y val="0"/>
        </c:manualLayout>
      </c:layout>
      <c:overlay val="0"/>
      <c:spPr>
        <a:noFill/>
        <a:ln>
          <a:noFill/>
        </a:ln>
        <a:effectLst/>
      </c:spPr>
    </c:title>
    <c:autoTitleDeleted val="0"/>
    <c:plotArea>
      <c:layout>
        <c:manualLayout>
          <c:layoutTarget val="inner"/>
          <c:xMode val="edge"/>
          <c:yMode val="edge"/>
          <c:x val="0.11270836908098351"/>
          <c:y val="0.11961308574745928"/>
          <c:w val="0.84290099330804125"/>
          <c:h val="0.68117431582734356"/>
        </c:manualLayout>
      </c:layout>
      <c:barChart>
        <c:barDir val="col"/>
        <c:grouping val="stacked"/>
        <c:varyColors val="0"/>
        <c:ser>
          <c:idx val="1"/>
          <c:order val="1"/>
          <c:tx>
            <c:strRef>
              <c:f>Sheet1!$C$1</c:f>
              <c:strCache>
                <c:ptCount val="1"/>
                <c:pt idx="0">
                  <c:v>Սննդամթերք և ոչ ալկոհոլային խմիչքներ</c:v>
                </c:pt>
              </c:strCache>
            </c:strRef>
          </c:tx>
          <c:spPr>
            <a:solidFill>
              <a:schemeClr val="accent2"/>
            </a:solidFill>
            <a:ln>
              <a:noFill/>
            </a:ln>
            <a:effectLst/>
          </c:spPr>
          <c:invertIfNegative val="0"/>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Sheet1!$C$2:$C$47</c:f>
              <c:numCache>
                <c:formatCode>0.0</c:formatCode>
                <c:ptCount val="18"/>
                <c:pt idx="0">
                  <c:v>1.3982565421665469</c:v>
                </c:pt>
                <c:pt idx="1">
                  <c:v>2.0768222170414887</c:v>
                </c:pt>
                <c:pt idx="2">
                  <c:v>1.1926305800832313</c:v>
                </c:pt>
                <c:pt idx="3">
                  <c:v>2.2618855829164728</c:v>
                </c:pt>
                <c:pt idx="4">
                  <c:v>1.8984840000000003</c:v>
                </c:pt>
                <c:pt idx="5">
                  <c:v>-0.89628000000000019</c:v>
                </c:pt>
                <c:pt idx="6">
                  <c:v>2.1592199999999999</c:v>
                </c:pt>
                <c:pt idx="7">
                  <c:v>0.65184000000000009</c:v>
                </c:pt>
                <c:pt idx="8">
                  <c:v>1.4224399999999999</c:v>
                </c:pt>
                <c:pt idx="9">
                  <c:v>1.9020999999999999</c:v>
                </c:pt>
                <c:pt idx="10">
                  <c:v>-0.57889999999999997</c:v>
                </c:pt>
                <c:pt idx="11">
                  <c:v>-0.13645500000000002</c:v>
                </c:pt>
                <c:pt idx="12">
                  <c:v>-1.1761594</c:v>
                </c:pt>
                <c:pt idx="13">
                  <c:v>0.78459999999999996</c:v>
                </c:pt>
                <c:pt idx="14">
                  <c:v>0.34734000000000004</c:v>
                </c:pt>
                <c:pt idx="15">
                  <c:v>1.937962</c:v>
                </c:pt>
                <c:pt idx="16">
                  <c:v>2.7530960000000007</c:v>
                </c:pt>
                <c:pt idx="17">
                  <c:v>2.7716980000000002</c:v>
                </c:pt>
              </c:numCache>
            </c:numRef>
          </c:val>
          <c:extLst>
            <c:ext xmlns:c16="http://schemas.microsoft.com/office/drawing/2014/chart" uri="{C3380CC4-5D6E-409C-BE32-E72D297353CC}">
              <c16:uniqueId val="{00000000-CAD4-4284-84FD-E079B7EB0B9B}"/>
            </c:ext>
          </c:extLst>
        </c:ser>
        <c:ser>
          <c:idx val="2"/>
          <c:order val="2"/>
          <c:tx>
            <c:strRef>
              <c:f>Sheet1!$D$1</c:f>
              <c:strCache>
                <c:ptCount val="1"/>
                <c:pt idx="0">
                  <c:v>Ալկոհոլային խմիչքներ, ծխախոտ</c:v>
                </c:pt>
              </c:strCache>
            </c:strRef>
          </c:tx>
          <c:spPr>
            <a:solidFill>
              <a:schemeClr val="accent3"/>
            </a:solidFill>
            <a:ln>
              <a:noFill/>
            </a:ln>
            <a:effectLst/>
          </c:spPr>
          <c:invertIfNegative val="0"/>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Sheet1!$D$2:$D$47</c:f>
              <c:numCache>
                <c:formatCode>0.0</c:formatCode>
                <c:ptCount val="18"/>
                <c:pt idx="0">
                  <c:v>9.6798629569375266E-2</c:v>
                </c:pt>
                <c:pt idx="1">
                  <c:v>0.16059772633100894</c:v>
                </c:pt>
                <c:pt idx="2">
                  <c:v>0.16719763289255724</c:v>
                </c:pt>
                <c:pt idx="3">
                  <c:v>0.17599750830795499</c:v>
                </c:pt>
                <c:pt idx="4">
                  <c:v>0.15984000000000001</c:v>
                </c:pt>
                <c:pt idx="5">
                  <c:v>0.19872000000000001</c:v>
                </c:pt>
                <c:pt idx="6">
                  <c:v>0.21600000000000003</c:v>
                </c:pt>
                <c:pt idx="7">
                  <c:v>0.16847999999999999</c:v>
                </c:pt>
                <c:pt idx="8">
                  <c:v>0.19976000000000002</c:v>
                </c:pt>
                <c:pt idx="9">
                  <c:v>0.18160000000000001</c:v>
                </c:pt>
                <c:pt idx="10">
                  <c:v>0.21338000000000001</c:v>
                </c:pt>
                <c:pt idx="11">
                  <c:v>0.20702399999999999</c:v>
                </c:pt>
                <c:pt idx="12">
                  <c:v>0.45172999999999996</c:v>
                </c:pt>
                <c:pt idx="13">
                  <c:v>0.46287</c:v>
                </c:pt>
                <c:pt idx="14">
                  <c:v>0.44492000000000004</c:v>
                </c:pt>
                <c:pt idx="15">
                  <c:v>0.43368000000000001</c:v>
                </c:pt>
                <c:pt idx="16">
                  <c:v>0.41001639999999995</c:v>
                </c:pt>
                <c:pt idx="17">
                  <c:v>0.38572738499999992</c:v>
                </c:pt>
              </c:numCache>
            </c:numRef>
          </c:val>
          <c:extLst>
            <c:ext xmlns:c16="http://schemas.microsoft.com/office/drawing/2014/chart" uri="{C3380CC4-5D6E-409C-BE32-E72D297353CC}">
              <c16:uniqueId val="{00000001-CAD4-4284-84FD-E079B7EB0B9B}"/>
            </c:ext>
          </c:extLst>
        </c:ser>
        <c:ser>
          <c:idx val="3"/>
          <c:order val="3"/>
          <c:tx>
            <c:strRef>
              <c:f>Sheet1!$E$1</c:f>
              <c:strCache>
                <c:ptCount val="1"/>
                <c:pt idx="0">
                  <c:v>Ոչ պարենային ապրանքներ</c:v>
                </c:pt>
              </c:strCache>
            </c:strRef>
          </c:tx>
          <c:spPr>
            <a:solidFill>
              <a:schemeClr val="accent4"/>
            </a:solidFill>
            <a:ln>
              <a:noFill/>
            </a:ln>
            <a:effectLst/>
          </c:spPr>
          <c:invertIfNegative val="0"/>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Sheet1!$E$2:$E$47</c:f>
              <c:numCache>
                <c:formatCode>0.0</c:formatCode>
                <c:ptCount val="18"/>
                <c:pt idx="0">
                  <c:v>-0.74167100978775335</c:v>
                </c:pt>
                <c:pt idx="1">
                  <c:v>-0.62300364822171272</c:v>
                </c:pt>
                <c:pt idx="2">
                  <c:v>-0.14833420195755065</c:v>
                </c:pt>
                <c:pt idx="3">
                  <c:v>0.36024020475405161</c:v>
                </c:pt>
                <c:pt idx="4">
                  <c:v>1.0925</c:v>
                </c:pt>
                <c:pt idx="5">
                  <c:v>1.15805</c:v>
                </c:pt>
                <c:pt idx="6">
                  <c:v>0.85215000000000007</c:v>
                </c:pt>
                <c:pt idx="7">
                  <c:v>0.69920000000000004</c:v>
                </c:pt>
                <c:pt idx="8">
                  <c:v>0.20015999999999998</c:v>
                </c:pt>
                <c:pt idx="9">
                  <c:v>0.42255999999999994</c:v>
                </c:pt>
                <c:pt idx="10">
                  <c:v>0.53376000000000001</c:v>
                </c:pt>
                <c:pt idx="11">
                  <c:v>0.31135999999999997</c:v>
                </c:pt>
                <c:pt idx="12">
                  <c:v>0.27799999999999997</c:v>
                </c:pt>
                <c:pt idx="13">
                  <c:v>-4.2020000000000009E-2</c:v>
                </c:pt>
                <c:pt idx="14">
                  <c:v>0.11119999999999999</c:v>
                </c:pt>
                <c:pt idx="15">
                  <c:v>0.71433999999999997</c:v>
                </c:pt>
                <c:pt idx="16">
                  <c:v>1.8656400000000002</c:v>
                </c:pt>
                <c:pt idx="17">
                  <c:v>1.9989000000000001</c:v>
                </c:pt>
              </c:numCache>
            </c:numRef>
          </c:val>
          <c:extLst>
            <c:ext xmlns:c16="http://schemas.microsoft.com/office/drawing/2014/chart" uri="{C3380CC4-5D6E-409C-BE32-E72D297353CC}">
              <c16:uniqueId val="{00000002-CAD4-4284-84FD-E079B7EB0B9B}"/>
            </c:ext>
          </c:extLst>
        </c:ser>
        <c:ser>
          <c:idx val="4"/>
          <c:order val="4"/>
          <c:tx>
            <c:strRef>
              <c:f>Sheet1!$F$1</c:f>
              <c:strCache>
                <c:ptCount val="1"/>
                <c:pt idx="0">
                  <c:v>Ծառայություններ </c:v>
                </c:pt>
              </c:strCache>
            </c:strRef>
          </c:tx>
          <c:spPr>
            <a:solidFill>
              <a:schemeClr val="accent5"/>
            </a:solidFill>
            <a:ln>
              <a:noFill/>
            </a:ln>
            <a:effectLst/>
          </c:spPr>
          <c:invertIfNegative val="0"/>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Sheet1!$F$2:$F$47</c:f>
              <c:numCache>
                <c:formatCode>0.0</c:formatCode>
                <c:ptCount val="18"/>
                <c:pt idx="0">
                  <c:v>-0.86539100949568792</c:v>
                </c:pt>
                <c:pt idx="1">
                  <c:v>-0.46597977434383187</c:v>
                </c:pt>
                <c:pt idx="2">
                  <c:v>-0.16642134797993996</c:v>
                </c:pt>
                <c:pt idx="3">
                  <c:v>-0.16642134797993996</c:v>
                </c:pt>
                <c:pt idx="4">
                  <c:v>0.59543999999999997</c:v>
                </c:pt>
                <c:pt idx="5">
                  <c:v>0.46311999999999998</c:v>
                </c:pt>
                <c:pt idx="6">
                  <c:v>0.23155999999999999</c:v>
                </c:pt>
                <c:pt idx="7">
                  <c:v>0.26463999999999999</c:v>
                </c:pt>
                <c:pt idx="8">
                  <c:v>3.1870000000000002E-2</c:v>
                </c:pt>
                <c:pt idx="9">
                  <c:v>3.1870000000000002E-2</c:v>
                </c:pt>
                <c:pt idx="10">
                  <c:v>0.35057000000000005</c:v>
                </c:pt>
                <c:pt idx="11">
                  <c:v>0.33782200000000001</c:v>
                </c:pt>
                <c:pt idx="12">
                  <c:v>0.39837499999999998</c:v>
                </c:pt>
                <c:pt idx="13">
                  <c:v>0.46240999999999999</c:v>
                </c:pt>
                <c:pt idx="14">
                  <c:v>0.44618000000000002</c:v>
                </c:pt>
                <c:pt idx="15">
                  <c:v>0.56912000000000007</c:v>
                </c:pt>
                <c:pt idx="16">
                  <c:v>0.79486000000000023</c:v>
                </c:pt>
                <c:pt idx="17">
                  <c:v>0.77679500000000001</c:v>
                </c:pt>
              </c:numCache>
            </c:numRef>
          </c:val>
          <c:extLst>
            <c:ext xmlns:c16="http://schemas.microsoft.com/office/drawing/2014/chart" uri="{C3380CC4-5D6E-409C-BE32-E72D297353CC}">
              <c16:uniqueId val="{00000003-CAD4-4284-84FD-E079B7EB0B9B}"/>
            </c:ext>
          </c:extLst>
        </c:ser>
        <c:dLbls>
          <c:showLegendKey val="0"/>
          <c:showVal val="0"/>
          <c:showCatName val="0"/>
          <c:showSerName val="0"/>
          <c:showPercent val="0"/>
          <c:showBubbleSize val="0"/>
        </c:dLbls>
        <c:gapWidth val="100"/>
        <c:overlap val="100"/>
        <c:axId val="149851520"/>
        <c:axId val="149861504"/>
      </c:barChart>
      <c:lineChart>
        <c:grouping val="standard"/>
        <c:varyColors val="0"/>
        <c:ser>
          <c:idx val="0"/>
          <c:order val="0"/>
          <c:tx>
            <c:strRef>
              <c:f>Sheet1!$B$1</c:f>
              <c:strCache>
                <c:ptCount val="1"/>
                <c:pt idx="0">
                  <c:v>12-ամսյա գնաճ</c:v>
                </c:pt>
              </c:strCache>
            </c:strRef>
          </c:tx>
          <c:spPr>
            <a:ln w="34925" cap="rnd">
              <a:solidFill>
                <a:schemeClr val="accent1"/>
              </a:solidFill>
              <a:round/>
            </a:ln>
            <a:effectLst/>
          </c:spPr>
          <c:marker>
            <c:symbol val="none"/>
          </c:marker>
          <c:dPt>
            <c:idx val="3"/>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4-CAD4-4284-84FD-E079B7EB0B9B}"/>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CAD4-4284-84FD-E079B7EB0B9B}"/>
              </c:ext>
            </c:extLst>
          </c:dPt>
          <c:dPt>
            <c:idx val="11"/>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6-CAD4-4284-84FD-E079B7EB0B9B}"/>
              </c:ext>
            </c:extLst>
          </c:dPt>
          <c:dPt>
            <c:idx val="15"/>
            <c:marker>
              <c:symbol val="auto"/>
            </c:marker>
            <c:bubble3D val="0"/>
            <c:extLst>
              <c:ext xmlns:c16="http://schemas.microsoft.com/office/drawing/2014/chart" uri="{C3380CC4-5D6E-409C-BE32-E72D297353CC}">
                <c16:uniqueId val="{00000007-CAD4-4284-84FD-E079B7EB0B9B}"/>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AD4-4284-84FD-E079B7EB0B9B}"/>
                </c:ext>
              </c:extLst>
            </c:dLbl>
            <c:dLbl>
              <c:idx val="3"/>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AD4-4284-84FD-E079B7EB0B9B}"/>
                </c:ext>
              </c:extLst>
            </c:dLbl>
            <c:dLbl>
              <c:idx val="7"/>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AD4-4284-84FD-E079B7EB0B9B}"/>
                </c:ext>
              </c:extLst>
            </c:dLbl>
            <c:dLbl>
              <c:idx val="1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AD4-4284-84FD-E079B7EB0B9B}"/>
                </c:ext>
              </c:extLst>
            </c:dLbl>
            <c:dLbl>
              <c:idx val="15"/>
              <c:layout>
                <c:manualLayout>
                  <c:x val="-0.10605751580664899"/>
                  <c:y val="-2.53968253968254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AD4-4284-84FD-E079B7EB0B9B}"/>
                </c:ext>
              </c:extLst>
            </c:dLbl>
            <c:dLbl>
              <c:idx val="17"/>
              <c:layout>
                <c:manualLayout>
                  <c:x val="-8.1582704466653076E-3"/>
                  <c:y val="-5.71428571428571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AD4-4284-84FD-E079B7EB0B9B}"/>
                </c:ext>
              </c:extLst>
            </c:dLbl>
            <c:dLbl>
              <c:idx val="18"/>
              <c:layout>
                <c:manualLayout>
                  <c:x val="0"/>
                  <c:y val="-1.90476190476190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AD4-4284-84FD-E079B7EB0B9B}"/>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Sheet1!$B$2:$B$47</c:f>
              <c:numCache>
                <c:formatCode>0.0</c:formatCode>
                <c:ptCount val="18"/>
                <c:pt idx="0">
                  <c:v>-0.11200684754751911</c:v>
                </c:pt>
                <c:pt idx="1">
                  <c:v>1.1484365208069529</c:v>
                </c:pt>
                <c:pt idx="2">
                  <c:v>1.045072663038298</c:v>
                </c:pt>
                <c:pt idx="3">
                  <c:v>2.6317019479985393</c:v>
                </c:pt>
                <c:pt idx="4">
                  <c:v>3.746264</c:v>
                </c:pt>
                <c:pt idx="5">
                  <c:v>0.92360999999999982</c:v>
                </c:pt>
                <c:pt idx="6">
                  <c:v>3.4589300000000001</c:v>
                </c:pt>
                <c:pt idx="7">
                  <c:v>1.78416</c:v>
                </c:pt>
                <c:pt idx="8">
                  <c:v>1.8542299999999998</c:v>
                </c:pt>
                <c:pt idx="9">
                  <c:v>2.5381299999999998</c:v>
                </c:pt>
                <c:pt idx="10">
                  <c:v>0.5188100000000001</c:v>
                </c:pt>
                <c:pt idx="11">
                  <c:v>0.71975100000000003</c:v>
                </c:pt>
                <c:pt idx="12">
                  <c:v>-5.8054400000000055E-2</c:v>
                </c:pt>
                <c:pt idx="13">
                  <c:v>1.6678599999999999</c:v>
                </c:pt>
                <c:pt idx="14">
                  <c:v>1.3506399999999998</c:v>
                </c:pt>
                <c:pt idx="15">
                  <c:v>3.6551020000000003</c:v>
                </c:pt>
                <c:pt idx="16">
                  <c:v>5.8236124000000009</c:v>
                </c:pt>
                <c:pt idx="17">
                  <c:v>5.9331203850000005</c:v>
                </c:pt>
              </c:numCache>
            </c:numRef>
          </c:val>
          <c:smooth val="0"/>
          <c:extLst>
            <c:ext xmlns:c16="http://schemas.microsoft.com/office/drawing/2014/chart" uri="{C3380CC4-5D6E-409C-BE32-E72D297353CC}">
              <c16:uniqueId val="{0000000B-CAD4-4284-84FD-E079B7EB0B9B}"/>
            </c:ext>
          </c:extLst>
        </c:ser>
        <c:dLbls>
          <c:showLegendKey val="0"/>
          <c:showVal val="0"/>
          <c:showCatName val="0"/>
          <c:showSerName val="0"/>
          <c:showPercent val="0"/>
          <c:showBubbleSize val="0"/>
        </c:dLbls>
        <c:marker val="1"/>
        <c:smooth val="0"/>
        <c:axId val="149851520"/>
        <c:axId val="149861504"/>
      </c:lineChart>
      <c:catAx>
        <c:axId val="14985152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GHEA Grapalat" panose="02000506050000020003" pitchFamily="50" charset="0"/>
                <a:ea typeface="+mn-ea"/>
                <a:cs typeface="+mn-cs"/>
              </a:defRPr>
            </a:pPr>
            <a:endParaRPr lang="en-US"/>
          </a:p>
        </c:txPr>
        <c:crossAx val="149861504"/>
        <c:crosses val="autoZero"/>
        <c:auto val="1"/>
        <c:lblAlgn val="ctr"/>
        <c:lblOffset val="100"/>
        <c:noMultiLvlLbl val="0"/>
      </c:catAx>
      <c:valAx>
        <c:axId val="149861504"/>
        <c:scaling>
          <c:orientation val="minMax"/>
          <c:max val="7"/>
        </c:scaling>
        <c:delete val="0"/>
        <c:axPos val="l"/>
        <c:majorGridlines>
          <c:spPr>
            <a:ln w="9525" cap="flat" cmpd="sng" algn="ctr">
              <a:solidFill>
                <a:schemeClr val="dk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149851520"/>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lgn="l">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cap="none" spc="0" normalizeH="0" baseline="0">
                <a:solidFill>
                  <a:sysClr val="windowText" lastClr="000000"/>
                </a:solidFill>
                <a:latin typeface="GHEA Grapalat" panose="02000506050000020003" pitchFamily="50" charset="0"/>
                <a:ea typeface="+mj-ea"/>
                <a:cs typeface="+mj-cs"/>
              </a:defRPr>
            </a:pPr>
            <a:r>
              <a:rPr lang="en-US" sz="900" i="1"/>
              <a:t>Մ</a:t>
            </a:r>
            <a:r>
              <a:rPr lang="hy-AM" sz="900" i="1"/>
              <a:t>իջին գնաճը</a:t>
            </a:r>
            <a:r>
              <a:rPr lang="en-US" sz="900" i="1"/>
              <a:t>,</a:t>
            </a:r>
            <a:r>
              <a:rPr lang="en-US" sz="900" i="1" baseline="0"/>
              <a:t> %</a:t>
            </a:r>
            <a:endParaRPr lang="en-US" sz="900" i="1"/>
          </a:p>
        </c:rich>
      </c:tx>
      <c:layout>
        <c:manualLayout>
          <c:xMode val="edge"/>
          <c:yMode val="edge"/>
          <c:x val="0.31103696783664886"/>
          <c:y val="0"/>
        </c:manualLayout>
      </c:layout>
      <c:overlay val="0"/>
      <c:spPr>
        <a:noFill/>
        <a:ln>
          <a:noFill/>
        </a:ln>
        <a:effectLst/>
      </c:spPr>
    </c:title>
    <c:autoTitleDeleted val="0"/>
    <c:plotArea>
      <c:layout>
        <c:manualLayout>
          <c:layoutTarget val="inner"/>
          <c:xMode val="edge"/>
          <c:yMode val="edge"/>
          <c:x val="0.11270836908098351"/>
          <c:y val="0.12480519374330552"/>
          <c:w val="0.84290099330804125"/>
          <c:h val="0.67598220783149765"/>
        </c:manualLayout>
      </c:layout>
      <c:barChart>
        <c:barDir val="col"/>
        <c:grouping val="stacked"/>
        <c:varyColors val="0"/>
        <c:ser>
          <c:idx val="1"/>
          <c:order val="1"/>
          <c:tx>
            <c:strRef>
              <c:f>Sheet1!$C$1</c:f>
              <c:strCache>
                <c:ptCount val="1"/>
                <c:pt idx="0">
                  <c:v>Սննդամթերք և ոչ ալկոհոլային խմիչքներ</c:v>
                </c:pt>
              </c:strCache>
            </c:strRef>
          </c:tx>
          <c:spPr>
            <a:solidFill>
              <a:schemeClr val="accent2"/>
            </a:solidFill>
            <a:ln>
              <a:noFill/>
            </a:ln>
            <a:effectLst/>
          </c:spPr>
          <c:invertIfNegative val="0"/>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Sheet1!$C$2:$C$47</c:f>
              <c:numCache>
                <c:formatCode>0.0</c:formatCode>
                <c:ptCount val="18"/>
                <c:pt idx="0">
                  <c:v>1.1515053876665682</c:v>
                </c:pt>
                <c:pt idx="1">
                  <c:v>1.7437081584665173</c:v>
                </c:pt>
                <c:pt idx="2">
                  <c:v>1.5421947156248681</c:v>
                </c:pt>
                <c:pt idx="3">
                  <c:v>1.6861328890831888</c:v>
                </c:pt>
                <c:pt idx="4">
                  <c:v>1.7110799999999999</c:v>
                </c:pt>
                <c:pt idx="5">
                  <c:v>0.75369000000000019</c:v>
                </c:pt>
                <c:pt idx="6">
                  <c:v>0.97775999999999996</c:v>
                </c:pt>
                <c:pt idx="7">
                  <c:v>0.93701999999999996</c:v>
                </c:pt>
                <c:pt idx="8">
                  <c:v>0.99239999999999995</c:v>
                </c:pt>
                <c:pt idx="9">
                  <c:v>1.4472499999999999</c:v>
                </c:pt>
                <c:pt idx="10">
                  <c:v>1.0130749999999999</c:v>
                </c:pt>
                <c:pt idx="11">
                  <c:v>0.76497500000000007</c:v>
                </c:pt>
                <c:pt idx="12">
                  <c:v>-1.2156899999999999</c:v>
                </c:pt>
                <c:pt idx="13">
                  <c:v>-0.43004000000000003</c:v>
                </c:pt>
                <c:pt idx="14">
                  <c:v>-0.12404999999999999</c:v>
                </c:pt>
                <c:pt idx="15">
                  <c:v>0.11768999999999999</c:v>
                </c:pt>
                <c:pt idx="16">
                  <c:v>2.6414839999999997</c:v>
                </c:pt>
                <c:pt idx="17">
                  <c:v>2.7716980000000002</c:v>
                </c:pt>
              </c:numCache>
            </c:numRef>
          </c:val>
          <c:extLst>
            <c:ext xmlns:c16="http://schemas.microsoft.com/office/drawing/2014/chart" uri="{C3380CC4-5D6E-409C-BE32-E72D297353CC}">
              <c16:uniqueId val="{00000000-D086-4AD0-9E7B-D1F05E87AD57}"/>
            </c:ext>
          </c:extLst>
        </c:ser>
        <c:ser>
          <c:idx val="2"/>
          <c:order val="2"/>
          <c:tx>
            <c:strRef>
              <c:f>Sheet1!$D$1</c:f>
              <c:strCache>
                <c:ptCount val="1"/>
                <c:pt idx="0">
                  <c:v>Ալկոհոլային խմիչքներ, ծխախոտ</c:v>
                </c:pt>
              </c:strCache>
            </c:strRef>
          </c:tx>
          <c:spPr>
            <a:solidFill>
              <a:schemeClr val="accent3"/>
            </a:solidFill>
            <a:ln>
              <a:noFill/>
            </a:ln>
            <a:effectLst/>
          </c:spPr>
          <c:invertIfNegative val="0"/>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Sheet1!$D$2:$D$47</c:f>
              <c:numCache>
                <c:formatCode>0.0</c:formatCode>
                <c:ptCount val="18"/>
                <c:pt idx="0">
                  <c:v>7.4798941030880875E-2</c:v>
                </c:pt>
                <c:pt idx="1">
                  <c:v>0.11175841777555143</c:v>
                </c:pt>
                <c:pt idx="2">
                  <c:v>0.12539822466941794</c:v>
                </c:pt>
                <c:pt idx="3">
                  <c:v>0.14079800664636402</c:v>
                </c:pt>
                <c:pt idx="4">
                  <c:v>0.16416</c:v>
                </c:pt>
                <c:pt idx="5">
                  <c:v>0.16632000000000002</c:v>
                </c:pt>
                <c:pt idx="6">
                  <c:v>0.18576000000000001</c:v>
                </c:pt>
                <c:pt idx="7">
                  <c:v>0.18144000000000002</c:v>
                </c:pt>
                <c:pt idx="8">
                  <c:v>0.18613999999999997</c:v>
                </c:pt>
                <c:pt idx="9">
                  <c:v>0.19068000000000002</c:v>
                </c:pt>
                <c:pt idx="10">
                  <c:v>0.19295000000000001</c:v>
                </c:pt>
                <c:pt idx="11">
                  <c:v>0.19295000000000001</c:v>
                </c:pt>
                <c:pt idx="12">
                  <c:v>0.36093000000000003</c:v>
                </c:pt>
                <c:pt idx="13">
                  <c:v>0.40240499999999996</c:v>
                </c:pt>
                <c:pt idx="14">
                  <c:v>0.44946000000000003</c:v>
                </c:pt>
                <c:pt idx="15">
                  <c:v>0.41283000000000003</c:v>
                </c:pt>
                <c:pt idx="16">
                  <c:v>0.42338649999999994</c:v>
                </c:pt>
                <c:pt idx="17">
                  <c:v>0.40778804999999996</c:v>
                </c:pt>
              </c:numCache>
            </c:numRef>
          </c:val>
          <c:extLst>
            <c:ext xmlns:c16="http://schemas.microsoft.com/office/drawing/2014/chart" uri="{C3380CC4-5D6E-409C-BE32-E72D297353CC}">
              <c16:uniqueId val="{00000001-D086-4AD0-9E7B-D1F05E87AD57}"/>
            </c:ext>
          </c:extLst>
        </c:ser>
        <c:ser>
          <c:idx val="3"/>
          <c:order val="3"/>
          <c:tx>
            <c:strRef>
              <c:f>Sheet1!$E$1</c:f>
              <c:strCache>
                <c:ptCount val="1"/>
                <c:pt idx="0">
                  <c:v>Ոչ պարենային ապրանքներ</c:v>
                </c:pt>
              </c:strCache>
            </c:strRef>
          </c:tx>
          <c:spPr>
            <a:solidFill>
              <a:schemeClr val="accent4"/>
            </a:solidFill>
            <a:ln>
              <a:noFill/>
            </a:ln>
            <a:effectLst/>
          </c:spPr>
          <c:invertIfNegative val="0"/>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Sheet1!$E$2:$E$47</c:f>
              <c:numCache>
                <c:formatCode>0.0</c:formatCode>
                <c:ptCount val="18"/>
                <c:pt idx="0">
                  <c:v>-0.74167100978775335</c:v>
                </c:pt>
                <c:pt idx="1">
                  <c:v>-0.65690860866915302</c:v>
                </c:pt>
                <c:pt idx="2">
                  <c:v>-0.55095560727090254</c:v>
                </c:pt>
                <c:pt idx="3">
                  <c:v>-0.38143080503370169</c:v>
                </c:pt>
                <c:pt idx="4">
                  <c:v>0.96140000000000014</c:v>
                </c:pt>
                <c:pt idx="5">
                  <c:v>1.0378750000000001</c:v>
                </c:pt>
                <c:pt idx="6">
                  <c:v>1.0488000000000002</c:v>
                </c:pt>
                <c:pt idx="7">
                  <c:v>0.98325000000000007</c:v>
                </c:pt>
                <c:pt idx="8">
                  <c:v>0.17791999999999997</c:v>
                </c:pt>
                <c:pt idx="9">
                  <c:v>0.26688000000000001</c:v>
                </c:pt>
                <c:pt idx="10">
                  <c:v>0.34472000000000003</c:v>
                </c:pt>
                <c:pt idx="11">
                  <c:v>0.32247999999999999</c:v>
                </c:pt>
                <c:pt idx="12">
                  <c:v>0.36695999999999995</c:v>
                </c:pt>
                <c:pt idx="13">
                  <c:v>0.19959500000000002</c:v>
                </c:pt>
                <c:pt idx="14">
                  <c:v>0.17791999999999997</c:v>
                </c:pt>
                <c:pt idx="15">
                  <c:v>0.21010000000000001</c:v>
                </c:pt>
                <c:pt idx="16">
                  <c:v>1.5324900000000001</c:v>
                </c:pt>
                <c:pt idx="17">
                  <c:v>1.676855</c:v>
                </c:pt>
              </c:numCache>
            </c:numRef>
          </c:val>
          <c:extLst>
            <c:ext xmlns:c16="http://schemas.microsoft.com/office/drawing/2014/chart" uri="{C3380CC4-5D6E-409C-BE32-E72D297353CC}">
              <c16:uniqueId val="{00000002-D086-4AD0-9E7B-D1F05E87AD57}"/>
            </c:ext>
          </c:extLst>
        </c:ser>
        <c:ser>
          <c:idx val="4"/>
          <c:order val="4"/>
          <c:tx>
            <c:strRef>
              <c:f>Sheet1!$F$1</c:f>
              <c:strCache>
                <c:ptCount val="1"/>
                <c:pt idx="0">
                  <c:v>Ծառայություններ </c:v>
                </c:pt>
              </c:strCache>
            </c:strRef>
          </c:tx>
          <c:spPr>
            <a:solidFill>
              <a:schemeClr val="accent5"/>
            </a:solidFill>
            <a:ln>
              <a:noFill/>
            </a:ln>
            <a:effectLst/>
          </c:spPr>
          <c:invertIfNegative val="0"/>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Sheet1!$F$2:$F$47</c:f>
              <c:numCache>
                <c:formatCode>0.0</c:formatCode>
                <c:ptCount val="18"/>
                <c:pt idx="0">
                  <c:v>-0.83210673989969985</c:v>
                </c:pt>
                <c:pt idx="1">
                  <c:v>-0.73225393111173587</c:v>
                </c:pt>
                <c:pt idx="2">
                  <c:v>-0.47929348218222706</c:v>
                </c:pt>
                <c:pt idx="3">
                  <c:v>-0.43269550474784396</c:v>
                </c:pt>
                <c:pt idx="4">
                  <c:v>0.46311999999999998</c:v>
                </c:pt>
                <c:pt idx="5">
                  <c:v>0.47965999999999992</c:v>
                </c:pt>
                <c:pt idx="6">
                  <c:v>0.43003999999999998</c:v>
                </c:pt>
                <c:pt idx="7">
                  <c:v>0.39695999999999998</c:v>
                </c:pt>
                <c:pt idx="8">
                  <c:v>0.12748000000000001</c:v>
                </c:pt>
                <c:pt idx="9">
                  <c:v>6.3740000000000005E-2</c:v>
                </c:pt>
                <c:pt idx="10">
                  <c:v>9.5610000000000001E-2</c:v>
                </c:pt>
                <c:pt idx="11">
                  <c:v>0.14660200000000001</c:v>
                </c:pt>
                <c:pt idx="12">
                  <c:v>0.43024500000000004</c:v>
                </c:pt>
                <c:pt idx="13">
                  <c:v>0.39837499999999998</c:v>
                </c:pt>
                <c:pt idx="14">
                  <c:v>0.41431000000000007</c:v>
                </c:pt>
                <c:pt idx="15">
                  <c:v>0.49797999999999992</c:v>
                </c:pt>
                <c:pt idx="16">
                  <c:v>0.61421000000000003</c:v>
                </c:pt>
                <c:pt idx="17">
                  <c:v>0.68647000000000002</c:v>
                </c:pt>
              </c:numCache>
            </c:numRef>
          </c:val>
          <c:extLst>
            <c:ext xmlns:c16="http://schemas.microsoft.com/office/drawing/2014/chart" uri="{C3380CC4-5D6E-409C-BE32-E72D297353CC}">
              <c16:uniqueId val="{00000003-D086-4AD0-9E7B-D1F05E87AD57}"/>
            </c:ext>
          </c:extLst>
        </c:ser>
        <c:dLbls>
          <c:showLegendKey val="0"/>
          <c:showVal val="0"/>
          <c:showCatName val="0"/>
          <c:showSerName val="0"/>
          <c:showPercent val="0"/>
          <c:showBubbleSize val="0"/>
        </c:dLbls>
        <c:gapWidth val="100"/>
        <c:overlap val="100"/>
        <c:axId val="150001536"/>
        <c:axId val="150003072"/>
      </c:barChart>
      <c:lineChart>
        <c:grouping val="standard"/>
        <c:varyColors val="0"/>
        <c:ser>
          <c:idx val="0"/>
          <c:order val="0"/>
          <c:tx>
            <c:strRef>
              <c:f>Sheet1!$B$1</c:f>
              <c:strCache>
                <c:ptCount val="1"/>
                <c:pt idx="0">
                  <c:v>12-ամսյա գնաճ</c:v>
                </c:pt>
              </c:strCache>
            </c:strRef>
          </c:tx>
          <c:spPr>
            <a:ln w="34925" cap="rnd">
              <a:solidFill>
                <a:schemeClr val="accent1"/>
              </a:solidFill>
              <a:round/>
            </a:ln>
            <a:effectLst/>
          </c:spPr>
          <c:marker>
            <c:symbol val="none"/>
          </c:marker>
          <c:dPt>
            <c:idx val="3"/>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4-D086-4AD0-9E7B-D1F05E87AD57}"/>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D086-4AD0-9E7B-D1F05E87AD57}"/>
              </c:ext>
            </c:extLst>
          </c:dPt>
          <c:dPt>
            <c:idx val="11"/>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6-D086-4AD0-9E7B-D1F05E87AD57}"/>
              </c:ext>
            </c:extLst>
          </c:dPt>
          <c:dPt>
            <c:idx val="15"/>
            <c:marker>
              <c:symbol val="auto"/>
              <c:spPr>
                <a:ln cap="sq">
                  <a:solidFill>
                    <a:srgbClr val="4F81BD"/>
                  </a:solidFill>
                  <a:headEnd type="diamond"/>
                  <a:tailEnd type="diamond"/>
                </a:ln>
              </c:spPr>
            </c:marker>
            <c:bubble3D val="0"/>
            <c:extLst>
              <c:ext xmlns:c16="http://schemas.microsoft.com/office/drawing/2014/chart" uri="{C3380CC4-5D6E-409C-BE32-E72D297353CC}">
                <c16:uniqueId val="{00000007-D086-4AD0-9E7B-D1F05E87AD57}"/>
              </c:ext>
            </c:extLst>
          </c:dPt>
          <c:dLbls>
            <c:dLbl>
              <c:idx val="3"/>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086-4AD0-9E7B-D1F05E87AD57}"/>
                </c:ext>
              </c:extLst>
            </c:dLbl>
            <c:dLbl>
              <c:idx val="7"/>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086-4AD0-9E7B-D1F05E87AD57}"/>
                </c:ext>
              </c:extLst>
            </c:dLbl>
            <c:dLbl>
              <c:idx val="1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086-4AD0-9E7B-D1F05E87AD57}"/>
                </c:ext>
              </c:extLst>
            </c:dLbl>
            <c:dLbl>
              <c:idx val="15"/>
              <c:layout>
                <c:manualLayout>
                  <c:x val="-8.5661839689985725E-2"/>
                  <c:y val="-6.9796954314720813E-2"/>
                </c:manualLayout>
              </c:layout>
              <c:spPr>
                <a:noFill/>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086-4AD0-9E7B-D1F05E87AD57}"/>
                </c:ext>
              </c:extLst>
            </c:dLbl>
            <c:dLbl>
              <c:idx val="17"/>
              <c:layout>
                <c:manualLayout>
                  <c:x val="-1.8479767328696394E-2"/>
                  <c:y val="-6.16116751269035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086-4AD0-9E7B-D1F05E87AD5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numRef>
              <c:f>Sheet1!$A$2:$A$47</c:f>
              <c:numCache>
                <c:formatCode>General</c:formatCode>
                <c:ptCount val="18"/>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pt idx="12">
                  <c:v>2020.3</c:v>
                </c:pt>
                <c:pt idx="13">
                  <c:v>2020.6</c:v>
                </c:pt>
                <c:pt idx="14">
                  <c:v>2020.9</c:v>
                </c:pt>
                <c:pt idx="15">
                  <c:v>2020.12</c:v>
                </c:pt>
                <c:pt idx="16">
                  <c:v>2021.3</c:v>
                </c:pt>
                <c:pt idx="17">
                  <c:v>2021.5</c:v>
                </c:pt>
              </c:numCache>
            </c:numRef>
          </c:cat>
          <c:val>
            <c:numRef>
              <c:f>Sheet1!$B$2:$B$47</c:f>
              <c:numCache>
                <c:formatCode>0.0</c:formatCode>
                <c:ptCount val="18"/>
                <c:pt idx="0">
                  <c:v>-0.34747342099000411</c:v>
                </c:pt>
                <c:pt idx="1">
                  <c:v>0.46630403646117979</c:v>
                </c:pt>
                <c:pt idx="2">
                  <c:v>0.63734385084115641</c:v>
                </c:pt>
                <c:pt idx="3">
                  <c:v>1.0128045859480073</c:v>
                </c:pt>
                <c:pt idx="4">
                  <c:v>3.29976</c:v>
                </c:pt>
                <c:pt idx="5">
                  <c:v>2.4375450000000001</c:v>
                </c:pt>
                <c:pt idx="6">
                  <c:v>2.64236</c:v>
                </c:pt>
                <c:pt idx="7">
                  <c:v>2.4986700000000002</c:v>
                </c:pt>
                <c:pt idx="8">
                  <c:v>1.4839399999999998</c:v>
                </c:pt>
                <c:pt idx="9">
                  <c:v>1.9685499999999998</c:v>
                </c:pt>
                <c:pt idx="10">
                  <c:v>1.646355</c:v>
                </c:pt>
                <c:pt idx="11">
                  <c:v>1.4270070000000001</c:v>
                </c:pt>
                <c:pt idx="12">
                  <c:v>-5.7554999999999967E-2</c:v>
                </c:pt>
                <c:pt idx="13">
                  <c:v>0.51033499999999998</c:v>
                </c:pt>
                <c:pt idx="14">
                  <c:v>0.91764000000000012</c:v>
                </c:pt>
                <c:pt idx="15">
                  <c:v>1.2385999999999999</c:v>
                </c:pt>
                <c:pt idx="16">
                  <c:v>5.2115704999999997</c:v>
                </c:pt>
                <c:pt idx="17">
                  <c:v>5.5428110500000001</c:v>
                </c:pt>
              </c:numCache>
            </c:numRef>
          </c:val>
          <c:smooth val="0"/>
          <c:extLst>
            <c:ext xmlns:c16="http://schemas.microsoft.com/office/drawing/2014/chart" uri="{C3380CC4-5D6E-409C-BE32-E72D297353CC}">
              <c16:uniqueId val="{00000009-D086-4AD0-9E7B-D1F05E87AD57}"/>
            </c:ext>
          </c:extLst>
        </c:ser>
        <c:dLbls>
          <c:showLegendKey val="0"/>
          <c:showVal val="0"/>
          <c:showCatName val="0"/>
          <c:showSerName val="0"/>
          <c:showPercent val="0"/>
          <c:showBubbleSize val="0"/>
        </c:dLbls>
        <c:marker val="1"/>
        <c:smooth val="0"/>
        <c:axId val="150001536"/>
        <c:axId val="150003072"/>
      </c:lineChart>
      <c:catAx>
        <c:axId val="1500015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GHEA Grapalat" panose="02000506050000020003" pitchFamily="50" charset="0"/>
                <a:ea typeface="+mn-ea"/>
                <a:cs typeface="+mn-cs"/>
              </a:defRPr>
            </a:pPr>
            <a:endParaRPr lang="en-US"/>
          </a:p>
        </c:txPr>
        <c:crossAx val="150003072"/>
        <c:crosses val="autoZero"/>
        <c:auto val="1"/>
        <c:lblAlgn val="ctr"/>
        <c:lblOffset val="100"/>
        <c:noMultiLvlLbl val="0"/>
      </c:catAx>
      <c:valAx>
        <c:axId val="150003072"/>
        <c:scaling>
          <c:orientation val="minMax"/>
        </c:scaling>
        <c:delete val="0"/>
        <c:axPos val="l"/>
        <c:majorGridlines>
          <c:spPr>
            <a:ln w="9525" cap="flat" cmpd="sng" algn="ctr">
              <a:solidFill>
                <a:schemeClr val="dk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150001536"/>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lgn="l">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510479423532748"/>
          <c:y val="7.2968490878938891E-2"/>
          <c:w val="0.78348499218615164"/>
          <c:h val="0.60569828630873002"/>
        </c:manualLayout>
      </c:layout>
      <c:lineChart>
        <c:grouping val="standard"/>
        <c:varyColors val="0"/>
        <c:ser>
          <c:idx val="0"/>
          <c:order val="0"/>
          <c:tx>
            <c:strRef>
              <c:f>Sheet1!$B$1</c:f>
              <c:strCache>
                <c:ptCount val="1"/>
                <c:pt idx="0">
                  <c:v>S&amp;P 500 (ԱՄՆ)</c:v>
                </c:pt>
              </c:strCache>
            </c:strRef>
          </c:tx>
          <c:spPr>
            <a:ln w="28575" cap="rnd">
              <a:solidFill>
                <a:schemeClr val="accent1"/>
              </a:solidFill>
              <a:round/>
            </a:ln>
            <a:effectLst/>
          </c:spPr>
          <c:marker>
            <c:symbol val="none"/>
          </c:marker>
          <c:cat>
            <c:numRef>
              <c:f>Sheet1!$A$2:$A$262</c:f>
              <c:numCache>
                <c:formatCode>dd\-mmm\-yy</c:formatCode>
                <c:ptCount val="261"/>
                <c:pt idx="0">
                  <c:v>43471</c:v>
                </c:pt>
                <c:pt idx="1">
                  <c:v>43478</c:v>
                </c:pt>
                <c:pt idx="2">
                  <c:v>43485</c:v>
                </c:pt>
                <c:pt idx="3">
                  <c:v>43492</c:v>
                </c:pt>
                <c:pt idx="4">
                  <c:v>43499</c:v>
                </c:pt>
                <c:pt idx="5">
                  <c:v>43506</c:v>
                </c:pt>
                <c:pt idx="6">
                  <c:v>43513</c:v>
                </c:pt>
                <c:pt idx="7">
                  <c:v>43520</c:v>
                </c:pt>
                <c:pt idx="8">
                  <c:v>43527</c:v>
                </c:pt>
                <c:pt idx="9">
                  <c:v>43534</c:v>
                </c:pt>
                <c:pt idx="10">
                  <c:v>43541</c:v>
                </c:pt>
                <c:pt idx="11">
                  <c:v>43548</c:v>
                </c:pt>
                <c:pt idx="12">
                  <c:v>43555</c:v>
                </c:pt>
                <c:pt idx="13">
                  <c:v>43562</c:v>
                </c:pt>
                <c:pt idx="14">
                  <c:v>43569</c:v>
                </c:pt>
                <c:pt idx="15">
                  <c:v>43576</c:v>
                </c:pt>
                <c:pt idx="16">
                  <c:v>43583</c:v>
                </c:pt>
                <c:pt idx="17">
                  <c:v>43590</c:v>
                </c:pt>
                <c:pt idx="18">
                  <c:v>43597</c:v>
                </c:pt>
                <c:pt idx="19">
                  <c:v>43604</c:v>
                </c:pt>
                <c:pt idx="20">
                  <c:v>43611</c:v>
                </c:pt>
                <c:pt idx="21">
                  <c:v>43618</c:v>
                </c:pt>
                <c:pt idx="22">
                  <c:v>43625</c:v>
                </c:pt>
                <c:pt idx="23">
                  <c:v>43632</c:v>
                </c:pt>
                <c:pt idx="24">
                  <c:v>43639</c:v>
                </c:pt>
                <c:pt idx="25">
                  <c:v>43646</c:v>
                </c:pt>
                <c:pt idx="26">
                  <c:v>43653</c:v>
                </c:pt>
                <c:pt idx="27">
                  <c:v>43660</c:v>
                </c:pt>
                <c:pt idx="28">
                  <c:v>43667</c:v>
                </c:pt>
                <c:pt idx="29">
                  <c:v>43674</c:v>
                </c:pt>
                <c:pt idx="30">
                  <c:v>43681</c:v>
                </c:pt>
                <c:pt idx="31">
                  <c:v>43688</c:v>
                </c:pt>
                <c:pt idx="32">
                  <c:v>43695</c:v>
                </c:pt>
                <c:pt idx="33">
                  <c:v>43702</c:v>
                </c:pt>
                <c:pt idx="34">
                  <c:v>43709</c:v>
                </c:pt>
                <c:pt idx="35">
                  <c:v>43716</c:v>
                </c:pt>
                <c:pt idx="36">
                  <c:v>43723</c:v>
                </c:pt>
                <c:pt idx="37">
                  <c:v>43730</c:v>
                </c:pt>
                <c:pt idx="38">
                  <c:v>43737</c:v>
                </c:pt>
                <c:pt idx="39">
                  <c:v>43744</c:v>
                </c:pt>
                <c:pt idx="40">
                  <c:v>43751</c:v>
                </c:pt>
                <c:pt idx="41">
                  <c:v>43758</c:v>
                </c:pt>
                <c:pt idx="42">
                  <c:v>43765</c:v>
                </c:pt>
                <c:pt idx="43">
                  <c:v>43772</c:v>
                </c:pt>
                <c:pt idx="44">
                  <c:v>43779</c:v>
                </c:pt>
                <c:pt idx="45">
                  <c:v>43786</c:v>
                </c:pt>
                <c:pt idx="46">
                  <c:v>43793</c:v>
                </c:pt>
                <c:pt idx="47">
                  <c:v>43800</c:v>
                </c:pt>
                <c:pt idx="48">
                  <c:v>43807</c:v>
                </c:pt>
                <c:pt idx="49">
                  <c:v>43814</c:v>
                </c:pt>
                <c:pt idx="50">
                  <c:v>43821</c:v>
                </c:pt>
                <c:pt idx="51">
                  <c:v>43828</c:v>
                </c:pt>
                <c:pt idx="52">
                  <c:v>43835</c:v>
                </c:pt>
                <c:pt idx="53">
                  <c:v>43842</c:v>
                </c:pt>
                <c:pt idx="54">
                  <c:v>43849</c:v>
                </c:pt>
                <c:pt idx="55">
                  <c:v>43856</c:v>
                </c:pt>
                <c:pt idx="56">
                  <c:v>43863</c:v>
                </c:pt>
                <c:pt idx="57">
                  <c:v>43870</c:v>
                </c:pt>
                <c:pt idx="58">
                  <c:v>43877</c:v>
                </c:pt>
                <c:pt idx="59">
                  <c:v>43884</c:v>
                </c:pt>
                <c:pt idx="60">
                  <c:v>43891</c:v>
                </c:pt>
                <c:pt idx="61">
                  <c:v>43898</c:v>
                </c:pt>
                <c:pt idx="62">
                  <c:v>43905</c:v>
                </c:pt>
                <c:pt idx="63">
                  <c:v>43912</c:v>
                </c:pt>
                <c:pt idx="64">
                  <c:v>43919</c:v>
                </c:pt>
                <c:pt idx="65">
                  <c:v>43926</c:v>
                </c:pt>
                <c:pt idx="66">
                  <c:v>43933</c:v>
                </c:pt>
                <c:pt idx="67">
                  <c:v>43940</c:v>
                </c:pt>
                <c:pt idx="68">
                  <c:v>43947</c:v>
                </c:pt>
                <c:pt idx="69">
                  <c:v>43954</c:v>
                </c:pt>
                <c:pt idx="70">
                  <c:v>43961</c:v>
                </c:pt>
                <c:pt idx="71">
                  <c:v>43968</c:v>
                </c:pt>
                <c:pt idx="72">
                  <c:v>43975</c:v>
                </c:pt>
                <c:pt idx="73">
                  <c:v>43982</c:v>
                </c:pt>
                <c:pt idx="74">
                  <c:v>43989</c:v>
                </c:pt>
                <c:pt idx="75">
                  <c:v>43996</c:v>
                </c:pt>
                <c:pt idx="76">
                  <c:v>44003</c:v>
                </c:pt>
                <c:pt idx="77">
                  <c:v>44010</c:v>
                </c:pt>
                <c:pt idx="78">
                  <c:v>44017</c:v>
                </c:pt>
                <c:pt idx="79">
                  <c:v>44024</c:v>
                </c:pt>
                <c:pt idx="80">
                  <c:v>44031</c:v>
                </c:pt>
                <c:pt idx="81">
                  <c:v>44038</c:v>
                </c:pt>
                <c:pt idx="82">
                  <c:v>44045</c:v>
                </c:pt>
                <c:pt idx="83">
                  <c:v>44052</c:v>
                </c:pt>
                <c:pt idx="84">
                  <c:v>44059</c:v>
                </c:pt>
                <c:pt idx="85">
                  <c:v>44066</c:v>
                </c:pt>
                <c:pt idx="86">
                  <c:v>44073</c:v>
                </c:pt>
                <c:pt idx="87">
                  <c:v>44080</c:v>
                </c:pt>
                <c:pt idx="88">
                  <c:v>44087</c:v>
                </c:pt>
                <c:pt idx="89">
                  <c:v>44094</c:v>
                </c:pt>
                <c:pt idx="90">
                  <c:v>44101</c:v>
                </c:pt>
                <c:pt idx="91">
                  <c:v>44108</c:v>
                </c:pt>
                <c:pt idx="92">
                  <c:v>44115</c:v>
                </c:pt>
                <c:pt idx="93">
                  <c:v>44122</c:v>
                </c:pt>
                <c:pt idx="94">
                  <c:v>44129</c:v>
                </c:pt>
                <c:pt idx="95">
                  <c:v>44136</c:v>
                </c:pt>
                <c:pt idx="96">
                  <c:v>44137</c:v>
                </c:pt>
                <c:pt idx="97">
                  <c:v>44138</c:v>
                </c:pt>
                <c:pt idx="98">
                  <c:v>44140</c:v>
                </c:pt>
                <c:pt idx="99">
                  <c:v>44141</c:v>
                </c:pt>
                <c:pt idx="100">
                  <c:v>44144</c:v>
                </c:pt>
                <c:pt idx="101">
                  <c:v>44145</c:v>
                </c:pt>
                <c:pt idx="102">
                  <c:v>44146</c:v>
                </c:pt>
                <c:pt idx="103">
                  <c:v>44147</c:v>
                </c:pt>
                <c:pt idx="104">
                  <c:v>44148</c:v>
                </c:pt>
                <c:pt idx="105">
                  <c:v>44151</c:v>
                </c:pt>
                <c:pt idx="106">
                  <c:v>44152</c:v>
                </c:pt>
                <c:pt idx="107">
                  <c:v>44153</c:v>
                </c:pt>
                <c:pt idx="108">
                  <c:v>44154</c:v>
                </c:pt>
                <c:pt idx="109">
                  <c:v>44155</c:v>
                </c:pt>
                <c:pt idx="110">
                  <c:v>44158</c:v>
                </c:pt>
                <c:pt idx="111">
                  <c:v>44159</c:v>
                </c:pt>
                <c:pt idx="112">
                  <c:v>44160</c:v>
                </c:pt>
                <c:pt idx="113">
                  <c:v>44162</c:v>
                </c:pt>
                <c:pt idx="114">
                  <c:v>44165</c:v>
                </c:pt>
                <c:pt idx="115">
                  <c:v>44166</c:v>
                </c:pt>
                <c:pt idx="116">
                  <c:v>44167</c:v>
                </c:pt>
                <c:pt idx="117">
                  <c:v>44168</c:v>
                </c:pt>
                <c:pt idx="118">
                  <c:v>44169</c:v>
                </c:pt>
                <c:pt idx="119">
                  <c:v>44172</c:v>
                </c:pt>
                <c:pt idx="120">
                  <c:v>44173</c:v>
                </c:pt>
                <c:pt idx="121">
                  <c:v>44174</c:v>
                </c:pt>
                <c:pt idx="122">
                  <c:v>44175</c:v>
                </c:pt>
                <c:pt idx="123">
                  <c:v>44176</c:v>
                </c:pt>
                <c:pt idx="124">
                  <c:v>44179</c:v>
                </c:pt>
                <c:pt idx="125">
                  <c:v>44180</c:v>
                </c:pt>
                <c:pt idx="126">
                  <c:v>44181</c:v>
                </c:pt>
                <c:pt idx="127">
                  <c:v>44182</c:v>
                </c:pt>
                <c:pt idx="128">
                  <c:v>44183</c:v>
                </c:pt>
                <c:pt idx="129">
                  <c:v>44186</c:v>
                </c:pt>
                <c:pt idx="130">
                  <c:v>44187</c:v>
                </c:pt>
                <c:pt idx="131">
                  <c:v>44188</c:v>
                </c:pt>
                <c:pt idx="132">
                  <c:v>44193</c:v>
                </c:pt>
                <c:pt idx="133">
                  <c:v>44194</c:v>
                </c:pt>
                <c:pt idx="134">
                  <c:v>44195</c:v>
                </c:pt>
                <c:pt idx="135">
                  <c:v>44200</c:v>
                </c:pt>
                <c:pt idx="136">
                  <c:v>44201</c:v>
                </c:pt>
                <c:pt idx="137">
                  <c:v>44202</c:v>
                </c:pt>
                <c:pt idx="138">
                  <c:v>44204</c:v>
                </c:pt>
                <c:pt idx="139">
                  <c:v>44207</c:v>
                </c:pt>
                <c:pt idx="140">
                  <c:v>44208</c:v>
                </c:pt>
                <c:pt idx="141">
                  <c:v>44209</c:v>
                </c:pt>
                <c:pt idx="142">
                  <c:v>44210</c:v>
                </c:pt>
                <c:pt idx="143">
                  <c:v>44211</c:v>
                </c:pt>
                <c:pt idx="144">
                  <c:v>44215</c:v>
                </c:pt>
                <c:pt idx="145">
                  <c:v>44216</c:v>
                </c:pt>
                <c:pt idx="146">
                  <c:v>44217</c:v>
                </c:pt>
                <c:pt idx="147">
                  <c:v>44218</c:v>
                </c:pt>
                <c:pt idx="148">
                  <c:v>44221</c:v>
                </c:pt>
                <c:pt idx="149">
                  <c:v>44222</c:v>
                </c:pt>
                <c:pt idx="150">
                  <c:v>44223</c:v>
                </c:pt>
                <c:pt idx="151">
                  <c:v>44224</c:v>
                </c:pt>
                <c:pt idx="152">
                  <c:v>44225</c:v>
                </c:pt>
                <c:pt idx="153">
                  <c:v>44228</c:v>
                </c:pt>
                <c:pt idx="154">
                  <c:v>44229</c:v>
                </c:pt>
                <c:pt idx="155">
                  <c:v>44230</c:v>
                </c:pt>
                <c:pt idx="156">
                  <c:v>44231</c:v>
                </c:pt>
                <c:pt idx="157">
                  <c:v>44232</c:v>
                </c:pt>
                <c:pt idx="158">
                  <c:v>44235</c:v>
                </c:pt>
                <c:pt idx="159">
                  <c:v>44236</c:v>
                </c:pt>
                <c:pt idx="160">
                  <c:v>44237</c:v>
                </c:pt>
                <c:pt idx="161">
                  <c:v>44238</c:v>
                </c:pt>
                <c:pt idx="162">
                  <c:v>44239</c:v>
                </c:pt>
                <c:pt idx="163">
                  <c:v>44243</c:v>
                </c:pt>
                <c:pt idx="164">
                  <c:v>44244</c:v>
                </c:pt>
                <c:pt idx="165">
                  <c:v>44245</c:v>
                </c:pt>
                <c:pt idx="166">
                  <c:v>44246</c:v>
                </c:pt>
                <c:pt idx="167">
                  <c:v>44249</c:v>
                </c:pt>
                <c:pt idx="168">
                  <c:v>44251</c:v>
                </c:pt>
                <c:pt idx="169">
                  <c:v>44252</c:v>
                </c:pt>
                <c:pt idx="170">
                  <c:v>44253</c:v>
                </c:pt>
                <c:pt idx="171">
                  <c:v>44256</c:v>
                </c:pt>
                <c:pt idx="172">
                  <c:v>44257</c:v>
                </c:pt>
                <c:pt idx="173">
                  <c:v>44258</c:v>
                </c:pt>
                <c:pt idx="174">
                  <c:v>44259</c:v>
                </c:pt>
                <c:pt idx="175">
                  <c:v>44260</c:v>
                </c:pt>
                <c:pt idx="176">
                  <c:v>44264</c:v>
                </c:pt>
                <c:pt idx="177">
                  <c:v>44265</c:v>
                </c:pt>
                <c:pt idx="178">
                  <c:v>44266</c:v>
                </c:pt>
                <c:pt idx="179">
                  <c:v>44267</c:v>
                </c:pt>
                <c:pt idx="180">
                  <c:v>44270</c:v>
                </c:pt>
                <c:pt idx="181">
                  <c:v>44271</c:v>
                </c:pt>
                <c:pt idx="182">
                  <c:v>44272</c:v>
                </c:pt>
                <c:pt idx="183">
                  <c:v>44273</c:v>
                </c:pt>
                <c:pt idx="184">
                  <c:v>44274</c:v>
                </c:pt>
                <c:pt idx="185">
                  <c:v>44277</c:v>
                </c:pt>
                <c:pt idx="186">
                  <c:v>44278</c:v>
                </c:pt>
                <c:pt idx="187">
                  <c:v>44279</c:v>
                </c:pt>
                <c:pt idx="188">
                  <c:v>44280</c:v>
                </c:pt>
                <c:pt idx="189">
                  <c:v>44281</c:v>
                </c:pt>
                <c:pt idx="190">
                  <c:v>44284</c:v>
                </c:pt>
                <c:pt idx="191">
                  <c:v>44285</c:v>
                </c:pt>
                <c:pt idx="192">
                  <c:v>44286</c:v>
                </c:pt>
                <c:pt idx="193">
                  <c:v>44287</c:v>
                </c:pt>
                <c:pt idx="194">
                  <c:v>44292</c:v>
                </c:pt>
                <c:pt idx="195">
                  <c:v>44293</c:v>
                </c:pt>
                <c:pt idx="196">
                  <c:v>44294</c:v>
                </c:pt>
                <c:pt idx="197">
                  <c:v>44295</c:v>
                </c:pt>
                <c:pt idx="198">
                  <c:v>44298</c:v>
                </c:pt>
                <c:pt idx="199">
                  <c:v>44299</c:v>
                </c:pt>
                <c:pt idx="200">
                  <c:v>44300</c:v>
                </c:pt>
                <c:pt idx="201">
                  <c:v>44301</c:v>
                </c:pt>
                <c:pt idx="202">
                  <c:v>44302</c:v>
                </c:pt>
                <c:pt idx="203">
                  <c:v>44305</c:v>
                </c:pt>
                <c:pt idx="204">
                  <c:v>44306</c:v>
                </c:pt>
                <c:pt idx="205">
                  <c:v>44307</c:v>
                </c:pt>
                <c:pt idx="206">
                  <c:v>44308</c:v>
                </c:pt>
                <c:pt idx="207">
                  <c:v>44309</c:v>
                </c:pt>
                <c:pt idx="208">
                  <c:v>44312</c:v>
                </c:pt>
                <c:pt idx="209">
                  <c:v>44313</c:v>
                </c:pt>
                <c:pt idx="210">
                  <c:v>44314</c:v>
                </c:pt>
                <c:pt idx="211">
                  <c:v>44315</c:v>
                </c:pt>
                <c:pt idx="212">
                  <c:v>44316</c:v>
                </c:pt>
                <c:pt idx="213">
                  <c:v>44320</c:v>
                </c:pt>
                <c:pt idx="214">
                  <c:v>44321</c:v>
                </c:pt>
                <c:pt idx="215">
                  <c:v>44322</c:v>
                </c:pt>
                <c:pt idx="216">
                  <c:v>44323</c:v>
                </c:pt>
                <c:pt idx="217">
                  <c:v>44326</c:v>
                </c:pt>
                <c:pt idx="218">
                  <c:v>44327</c:v>
                </c:pt>
                <c:pt idx="219">
                  <c:v>44328</c:v>
                </c:pt>
                <c:pt idx="220">
                  <c:v>44329</c:v>
                </c:pt>
                <c:pt idx="221">
                  <c:v>44330</c:v>
                </c:pt>
                <c:pt idx="222">
                  <c:v>44333</c:v>
                </c:pt>
                <c:pt idx="223">
                  <c:v>44334</c:v>
                </c:pt>
                <c:pt idx="224">
                  <c:v>44335</c:v>
                </c:pt>
                <c:pt idx="225">
                  <c:v>44336</c:v>
                </c:pt>
                <c:pt idx="226">
                  <c:v>44337</c:v>
                </c:pt>
                <c:pt idx="227">
                  <c:v>44341</c:v>
                </c:pt>
                <c:pt idx="228">
                  <c:v>44342</c:v>
                </c:pt>
                <c:pt idx="229">
                  <c:v>44343</c:v>
                </c:pt>
                <c:pt idx="230">
                  <c:v>44344</c:v>
                </c:pt>
                <c:pt idx="231">
                  <c:v>44348</c:v>
                </c:pt>
                <c:pt idx="232">
                  <c:v>44349</c:v>
                </c:pt>
                <c:pt idx="233">
                  <c:v>44350</c:v>
                </c:pt>
                <c:pt idx="234">
                  <c:v>44351</c:v>
                </c:pt>
                <c:pt idx="235">
                  <c:v>44354</c:v>
                </c:pt>
                <c:pt idx="236">
                  <c:v>44355</c:v>
                </c:pt>
                <c:pt idx="237">
                  <c:v>44356</c:v>
                </c:pt>
                <c:pt idx="238">
                  <c:v>44357</c:v>
                </c:pt>
                <c:pt idx="239">
                  <c:v>44358</c:v>
                </c:pt>
                <c:pt idx="240">
                  <c:v>44361</c:v>
                </c:pt>
                <c:pt idx="241">
                  <c:v>44362</c:v>
                </c:pt>
                <c:pt idx="242">
                  <c:v>44363</c:v>
                </c:pt>
                <c:pt idx="243">
                  <c:v>44364</c:v>
                </c:pt>
                <c:pt idx="244">
                  <c:v>44365</c:v>
                </c:pt>
                <c:pt idx="245">
                  <c:v>44368</c:v>
                </c:pt>
                <c:pt idx="246">
                  <c:v>44369</c:v>
                </c:pt>
                <c:pt idx="247">
                  <c:v>44370</c:v>
                </c:pt>
                <c:pt idx="248">
                  <c:v>44371</c:v>
                </c:pt>
                <c:pt idx="249">
                  <c:v>44372</c:v>
                </c:pt>
                <c:pt idx="250">
                  <c:v>44375</c:v>
                </c:pt>
                <c:pt idx="251">
                  <c:v>44376</c:v>
                </c:pt>
                <c:pt idx="252">
                  <c:v>44377</c:v>
                </c:pt>
                <c:pt idx="253">
                  <c:v>44378</c:v>
                </c:pt>
                <c:pt idx="254">
                  <c:v>44379</c:v>
                </c:pt>
                <c:pt idx="255">
                  <c:v>44383</c:v>
                </c:pt>
                <c:pt idx="256">
                  <c:v>44384</c:v>
                </c:pt>
                <c:pt idx="257">
                  <c:v>44385</c:v>
                </c:pt>
                <c:pt idx="258">
                  <c:v>44386</c:v>
                </c:pt>
                <c:pt idx="259">
                  <c:v>44389</c:v>
                </c:pt>
                <c:pt idx="260">
                  <c:v>44390</c:v>
                </c:pt>
              </c:numCache>
            </c:numRef>
          </c:cat>
          <c:val>
            <c:numRef>
              <c:f>Sheet1!$B$2:$B$262</c:f>
              <c:numCache>
                <c:formatCode>0</c:formatCode>
                <c:ptCount val="261"/>
                <c:pt idx="0">
                  <c:v>100</c:v>
                </c:pt>
                <c:pt idx="1">
                  <c:v>102.86758645127991</c:v>
                </c:pt>
                <c:pt idx="2">
                  <c:v>102.63841063683915</c:v>
                </c:pt>
                <c:pt idx="3">
                  <c:v>104.24726337115698</c:v>
                </c:pt>
                <c:pt idx="4">
                  <c:v>104.2992612450217</c:v>
                </c:pt>
                <c:pt idx="5">
                  <c:v>106.90762866585011</c:v>
                </c:pt>
                <c:pt idx="6">
                  <c:v>107.56511289316171</c:v>
                </c:pt>
                <c:pt idx="7">
                  <c:v>107.98956961167218</c:v>
                </c:pt>
                <c:pt idx="8">
                  <c:v>105.65467249042855</c:v>
                </c:pt>
                <c:pt idx="9">
                  <c:v>108.71330298198178</c:v>
                </c:pt>
                <c:pt idx="10">
                  <c:v>107.87478911973378</c:v>
                </c:pt>
                <c:pt idx="11">
                  <c:v>109.17242494973539</c:v>
                </c:pt>
                <c:pt idx="12">
                  <c:v>111.41950343956304</c:v>
                </c:pt>
                <c:pt idx="13">
                  <c:v>111.98454700222626</c:v>
                </c:pt>
                <c:pt idx="14">
                  <c:v>111.89287667644997</c:v>
                </c:pt>
                <c:pt idx="15">
                  <c:v>113.23519216103163</c:v>
                </c:pt>
                <c:pt idx="16">
                  <c:v>113.45704975618774</c:v>
                </c:pt>
                <c:pt idx="17">
                  <c:v>110.98272129909948</c:v>
                </c:pt>
                <c:pt idx="18">
                  <c:v>110.14035574249114</c:v>
                </c:pt>
                <c:pt idx="19">
                  <c:v>108.85119364008227</c:v>
                </c:pt>
                <c:pt idx="20">
                  <c:v>106.00093981342393</c:v>
                </c:pt>
                <c:pt idx="21">
                  <c:v>110.67227473365534</c:v>
                </c:pt>
                <c:pt idx="22">
                  <c:v>111.19764584440696</c:v>
                </c:pt>
                <c:pt idx="23">
                  <c:v>113.64270142435659</c:v>
                </c:pt>
                <c:pt idx="24">
                  <c:v>113.30760401500622</c:v>
                </c:pt>
                <c:pt idx="25">
                  <c:v>115.18145332131604</c:v>
                </c:pt>
                <c:pt idx="26">
                  <c:v>116.08120912389361</c:v>
                </c:pt>
                <c:pt idx="27">
                  <c:v>114.64991949958788</c:v>
                </c:pt>
                <c:pt idx="28">
                  <c:v>116.54687897205983</c:v>
                </c:pt>
                <c:pt idx="29">
                  <c:v>112.93360449261631</c:v>
                </c:pt>
                <c:pt idx="30">
                  <c:v>112.41747744832952</c:v>
                </c:pt>
                <c:pt idx="31">
                  <c:v>111.26312464853288</c:v>
                </c:pt>
                <c:pt idx="32">
                  <c:v>109.66197530293576</c:v>
                </c:pt>
                <c:pt idx="33">
                  <c:v>112.71829477787277</c:v>
                </c:pt>
                <c:pt idx="34">
                  <c:v>114.73080508115518</c:v>
                </c:pt>
                <c:pt idx="35">
                  <c:v>115.83547102370331</c:v>
                </c:pt>
                <c:pt idx="36">
                  <c:v>115.24539144769783</c:v>
                </c:pt>
                <c:pt idx="37">
                  <c:v>114.07909839538409</c:v>
                </c:pt>
                <c:pt idx="38">
                  <c:v>113.70240268694197</c:v>
                </c:pt>
                <c:pt idx="39">
                  <c:v>114.4057220771417</c:v>
                </c:pt>
                <c:pt idx="40">
                  <c:v>115.01929698874532</c:v>
                </c:pt>
                <c:pt idx="41">
                  <c:v>116.41938788873223</c:v>
                </c:pt>
                <c:pt idx="42">
                  <c:v>118.12799950698309</c:v>
                </c:pt>
                <c:pt idx="43">
                  <c:v>119.13598792108645</c:v>
                </c:pt>
                <c:pt idx="44">
                  <c:v>120.19058183695005</c:v>
                </c:pt>
                <c:pt idx="45">
                  <c:v>119.79886452050253</c:v>
                </c:pt>
                <c:pt idx="46">
                  <c:v>120.98094951969368</c:v>
                </c:pt>
                <c:pt idx="47">
                  <c:v>121.17083805165888</c:v>
                </c:pt>
                <c:pt idx="48">
                  <c:v>122.0524908907428</c:v>
                </c:pt>
                <c:pt idx="49">
                  <c:v>124.07154907443778</c:v>
                </c:pt>
                <c:pt idx="50">
                  <c:v>124.79566761418343</c:v>
                </c:pt>
                <c:pt idx="51">
                  <c:v>124.59653501575339</c:v>
                </c:pt>
                <c:pt idx="52">
                  <c:v>125.77130179565988</c:v>
                </c:pt>
                <c:pt idx="53">
                  <c:v>128.24678576105626</c:v>
                </c:pt>
                <c:pt idx="54">
                  <c:v>126.93143213699703</c:v>
                </c:pt>
                <c:pt idx="55">
                  <c:v>124.23717193193282</c:v>
                </c:pt>
                <c:pt idx="56">
                  <c:v>128.1732183987736</c:v>
                </c:pt>
                <c:pt idx="57">
                  <c:v>130.1934320907767</c:v>
                </c:pt>
                <c:pt idx="58">
                  <c:v>128.55992851255263</c:v>
                </c:pt>
                <c:pt idx="59">
                  <c:v>113.78752513230566</c:v>
                </c:pt>
                <c:pt idx="60">
                  <c:v>114.48660765870902</c:v>
                </c:pt>
                <c:pt idx="61">
                  <c:v>104.4202044479366</c:v>
                </c:pt>
                <c:pt idx="62">
                  <c:v>88.778473650558837</c:v>
                </c:pt>
                <c:pt idx="63">
                  <c:v>97.889656659964672</c:v>
                </c:pt>
                <c:pt idx="64">
                  <c:v>95.855191698828278</c:v>
                </c:pt>
                <c:pt idx="65">
                  <c:v>107.45533960389173</c:v>
                </c:pt>
                <c:pt idx="66">
                  <c:v>110.71926540485157</c:v>
                </c:pt>
                <c:pt idx="67">
                  <c:v>109.26255459776753</c:v>
                </c:pt>
                <c:pt idx="68">
                  <c:v>109.03029742783849</c:v>
                </c:pt>
                <c:pt idx="69">
                  <c:v>112.84694136950843</c:v>
                </c:pt>
                <c:pt idx="70">
                  <c:v>110.30097139731764</c:v>
                </c:pt>
                <c:pt idx="71">
                  <c:v>113.83490097293794</c:v>
                </c:pt>
                <c:pt idx="72">
                  <c:v>117.25751658154417</c:v>
                </c:pt>
                <c:pt idx="73">
                  <c:v>123.02042168349851</c:v>
                </c:pt>
                <c:pt idx="74">
                  <c:v>117.14196575073369</c:v>
                </c:pt>
                <c:pt idx="75">
                  <c:v>119.31547687827869</c:v>
                </c:pt>
                <c:pt idx="76">
                  <c:v>115.89940915008506</c:v>
                </c:pt>
                <c:pt idx="77">
                  <c:v>120.55841864836334</c:v>
                </c:pt>
                <c:pt idx="78">
                  <c:v>122.67800605486345</c:v>
                </c:pt>
                <c:pt idx="79">
                  <c:v>124.20674354648601</c:v>
                </c:pt>
                <c:pt idx="80">
                  <c:v>123.85623935969426</c:v>
                </c:pt>
                <c:pt idx="81">
                  <c:v>125.99354456025196</c:v>
                </c:pt>
                <c:pt idx="82">
                  <c:v>129.08106275950783</c:v>
                </c:pt>
                <c:pt idx="83">
                  <c:v>129.91187323303512</c:v>
                </c:pt>
                <c:pt idx="84">
                  <c:v>130.84822013203598</c:v>
                </c:pt>
                <c:pt idx="85">
                  <c:v>135.11782333048299</c:v>
                </c:pt>
                <c:pt idx="86">
                  <c:v>131.99602505142002</c:v>
                </c:pt>
                <c:pt idx="87">
                  <c:v>128.68395307095582</c:v>
                </c:pt>
                <c:pt idx="88">
                  <c:v>127.85583878348076</c:v>
                </c:pt>
                <c:pt idx="89">
                  <c:v>127.04659779837142</c:v>
                </c:pt>
                <c:pt idx="90">
                  <c:v>128.97167463967389</c:v>
                </c:pt>
                <c:pt idx="91">
                  <c:v>133.92842011200716</c:v>
                </c:pt>
                <c:pt idx="92">
                  <c:v>134.18571329527848</c:v>
                </c:pt>
                <c:pt idx="93">
                  <c:v>133.47623119410218</c:v>
                </c:pt>
                <c:pt idx="94">
                  <c:v>125.94886490567193</c:v>
                </c:pt>
                <c:pt idx="95">
                  <c:v>135.17290255983599</c:v>
                </c:pt>
                <c:pt idx="96">
                  <c:v>127.50032739402053</c:v>
                </c:pt>
                <c:pt idx="97">
                  <c:v>129.76974571113823</c:v>
                </c:pt>
                <c:pt idx="98">
                  <c:v>135.2118046728755</c:v>
                </c:pt>
                <c:pt idx="99">
                  <c:v>135.17290255983599</c:v>
                </c:pt>
                <c:pt idx="100">
                  <c:v>136.75440826419532</c:v>
                </c:pt>
                <c:pt idx="101">
                  <c:v>136.56297905448599</c:v>
                </c:pt>
                <c:pt idx="102">
                  <c:v>137.6079437344487</c:v>
                </c:pt>
                <c:pt idx="103">
                  <c:v>136.23481469498427</c:v>
                </c:pt>
                <c:pt idx="104">
                  <c:v>138.08902036005631</c:v>
                </c:pt>
                <c:pt idx="105">
                  <c:v>139.69748792493809</c:v>
                </c:pt>
                <c:pt idx="106">
                  <c:v>139.02806344510941</c:v>
                </c:pt>
                <c:pt idx="107">
                  <c:v>137.42036621909966</c:v>
                </c:pt>
                <c:pt idx="108">
                  <c:v>137.9626847850368</c:v>
                </c:pt>
                <c:pt idx="109">
                  <c:v>137.02556754716386</c:v>
                </c:pt>
                <c:pt idx="110">
                  <c:v>137.79783226641388</c:v>
                </c:pt>
                <c:pt idx="111">
                  <c:v>140.02488194556773</c:v>
                </c:pt>
                <c:pt idx="112">
                  <c:v>139.80302435041162</c:v>
                </c:pt>
                <c:pt idx="113">
                  <c:v>140.13812175976199</c:v>
                </c:pt>
                <c:pt idx="114">
                  <c:v>139.49411846271161</c:v>
                </c:pt>
                <c:pt idx="115">
                  <c:v>141.0663801006061</c:v>
                </c:pt>
                <c:pt idx="116">
                  <c:v>141.31905125064503</c:v>
                </c:pt>
                <c:pt idx="117">
                  <c:v>141.23084744979303</c:v>
                </c:pt>
                <c:pt idx="118">
                  <c:v>142.47879642254614</c:v>
                </c:pt>
                <c:pt idx="119">
                  <c:v>142.20301510634513</c:v>
                </c:pt>
                <c:pt idx="120">
                  <c:v>142.59935445602505</c:v>
                </c:pt>
                <c:pt idx="121">
                  <c:v>141.46580080577431</c:v>
                </c:pt>
                <c:pt idx="122">
                  <c:v>141.28400083196581</c:v>
                </c:pt>
                <c:pt idx="123">
                  <c:v>141.10528221364561</c:v>
                </c:pt>
                <c:pt idx="124">
                  <c:v>140.49016662429784</c:v>
                </c:pt>
                <c:pt idx="125">
                  <c:v>142.30547017633037</c:v>
                </c:pt>
                <c:pt idx="126">
                  <c:v>142.55775615693324</c:v>
                </c:pt>
                <c:pt idx="127">
                  <c:v>143.37855222512363</c:v>
                </c:pt>
                <c:pt idx="128">
                  <c:v>142.875135772226</c:v>
                </c:pt>
                <c:pt idx="129">
                  <c:v>142.31702525941142</c:v>
                </c:pt>
                <c:pt idx="130">
                  <c:v>142.02198547140867</c:v>
                </c:pt>
                <c:pt idx="131">
                  <c:v>142.12790706631827</c:v>
                </c:pt>
                <c:pt idx="132">
                  <c:v>143.87465045873657</c:v>
                </c:pt>
                <c:pt idx="133">
                  <c:v>143.55418948795551</c:v>
                </c:pt>
                <c:pt idx="134">
                  <c:v>143.74677420597297</c:v>
                </c:pt>
                <c:pt idx="135">
                  <c:v>142.53772734625937</c:v>
                </c:pt>
                <c:pt idx="136">
                  <c:v>143.54725643810687</c:v>
                </c:pt>
                <c:pt idx="137">
                  <c:v>144.36689699798916</c:v>
                </c:pt>
                <c:pt idx="138">
                  <c:v>147.31498386140035</c:v>
                </c:pt>
                <c:pt idx="139">
                  <c:v>146.34936408526085</c:v>
                </c:pt>
                <c:pt idx="140">
                  <c:v>146.41022085615438</c:v>
                </c:pt>
                <c:pt idx="141">
                  <c:v>146.74339241832456</c:v>
                </c:pt>
                <c:pt idx="142">
                  <c:v>146.19260012479461</c:v>
                </c:pt>
                <c:pt idx="143">
                  <c:v>145.14147273385532</c:v>
                </c:pt>
                <c:pt idx="144">
                  <c:v>146.32240222473837</c:v>
                </c:pt>
                <c:pt idx="145">
                  <c:v>148.3614892191072</c:v>
                </c:pt>
                <c:pt idx="146">
                  <c:v>148.40847989030348</c:v>
                </c:pt>
                <c:pt idx="147">
                  <c:v>147.96168334450297</c:v>
                </c:pt>
                <c:pt idx="148">
                  <c:v>148.49668369115548</c:v>
                </c:pt>
                <c:pt idx="149">
                  <c:v>148.27559643487143</c:v>
                </c:pt>
                <c:pt idx="150">
                  <c:v>144.46819655966635</c:v>
                </c:pt>
                <c:pt idx="151">
                  <c:v>145.87830186499016</c:v>
                </c:pt>
                <c:pt idx="152">
                  <c:v>143.06117260983081</c:v>
                </c:pt>
                <c:pt idx="153">
                  <c:v>145.35755278747095</c:v>
                </c:pt>
                <c:pt idx="154">
                  <c:v>147.37776647947405</c:v>
                </c:pt>
                <c:pt idx="155">
                  <c:v>147.52644188178354</c:v>
                </c:pt>
                <c:pt idx="156">
                  <c:v>149.12759122738066</c:v>
                </c:pt>
                <c:pt idx="157">
                  <c:v>149.70881190635734</c:v>
                </c:pt>
                <c:pt idx="158">
                  <c:v>150.81655920439374</c:v>
                </c:pt>
                <c:pt idx="159">
                  <c:v>150.64862533028253</c:v>
                </c:pt>
                <c:pt idx="160">
                  <c:v>150.59662745641782</c:v>
                </c:pt>
                <c:pt idx="161">
                  <c:v>150.84698758984052</c:v>
                </c:pt>
                <c:pt idx="162">
                  <c:v>151.55762519932492</c:v>
                </c:pt>
                <c:pt idx="163">
                  <c:v>151.47134724565308</c:v>
                </c:pt>
                <c:pt idx="164">
                  <c:v>151.42281589671268</c:v>
                </c:pt>
                <c:pt idx="165">
                  <c:v>150.75416175575606</c:v>
                </c:pt>
                <c:pt idx="166">
                  <c:v>150.47452874519473</c:v>
                </c:pt>
                <c:pt idx="167">
                  <c:v>149.31093187893325</c:v>
                </c:pt>
                <c:pt idx="168">
                  <c:v>151.19556592945207</c:v>
                </c:pt>
                <c:pt idx="169">
                  <c:v>147.49447281859264</c:v>
                </c:pt>
                <c:pt idx="170">
                  <c:v>146.79384961444515</c:v>
                </c:pt>
                <c:pt idx="171">
                  <c:v>150.2861808909737</c:v>
                </c:pt>
                <c:pt idx="172">
                  <c:v>149.07174165915563</c:v>
                </c:pt>
                <c:pt idx="173">
                  <c:v>147.12393982112707</c:v>
                </c:pt>
                <c:pt idx="174">
                  <c:v>145.14994646144814</c:v>
                </c:pt>
                <c:pt idx="175">
                  <c:v>147.97978630799665</c:v>
                </c:pt>
                <c:pt idx="176">
                  <c:v>149.27010391871357</c:v>
                </c:pt>
                <c:pt idx="177">
                  <c:v>150.17024489072716</c:v>
                </c:pt>
                <c:pt idx="178">
                  <c:v>151.73133661497667</c:v>
                </c:pt>
                <c:pt idx="179">
                  <c:v>151.88540438939063</c:v>
                </c:pt>
                <c:pt idx="180">
                  <c:v>152.87143814563998</c:v>
                </c:pt>
                <c:pt idx="181">
                  <c:v>152.63147758699023</c:v>
                </c:pt>
                <c:pt idx="182">
                  <c:v>153.07095591350605</c:v>
                </c:pt>
                <c:pt idx="183">
                  <c:v>150.81155200172526</c:v>
                </c:pt>
                <c:pt idx="184">
                  <c:v>150.72065201482101</c:v>
                </c:pt>
                <c:pt idx="185">
                  <c:v>151.779482794481</c:v>
                </c:pt>
                <c:pt idx="186">
                  <c:v>150.62127830032404</c:v>
                </c:pt>
                <c:pt idx="187">
                  <c:v>149.7977860460814</c:v>
                </c:pt>
                <c:pt idx="188">
                  <c:v>150.58276135672057</c:v>
                </c:pt>
                <c:pt idx="189">
                  <c:v>153.08713302981957</c:v>
                </c:pt>
                <c:pt idx="190">
                  <c:v>152.95424957438752</c:v>
                </c:pt>
                <c:pt idx="191">
                  <c:v>152.47124710159974</c:v>
                </c:pt>
                <c:pt idx="192">
                  <c:v>153.02358007287378</c:v>
                </c:pt>
                <c:pt idx="193">
                  <c:v>154.83310608336581</c:v>
                </c:pt>
                <c:pt idx="194">
                  <c:v>156.91571722400656</c:v>
                </c:pt>
                <c:pt idx="195">
                  <c:v>157.14720405506353</c:v>
                </c:pt>
                <c:pt idx="196">
                  <c:v>157.81046582391565</c:v>
                </c:pt>
                <c:pt idx="197">
                  <c:v>159.02875675009406</c:v>
                </c:pt>
                <c:pt idx="198">
                  <c:v>158.99755802577522</c:v>
                </c:pt>
                <c:pt idx="199">
                  <c:v>159.5213884587827</c:v>
                </c:pt>
                <c:pt idx="200">
                  <c:v>158.86929660357558</c:v>
                </c:pt>
                <c:pt idx="201">
                  <c:v>160.63183194287134</c:v>
                </c:pt>
                <c:pt idx="202">
                  <c:v>161.2115119441039</c:v>
                </c:pt>
                <c:pt idx="203">
                  <c:v>160.35605062667037</c:v>
                </c:pt>
                <c:pt idx="204">
                  <c:v>159.26525078381948</c:v>
                </c:pt>
                <c:pt idx="205">
                  <c:v>160.74738277368184</c:v>
                </c:pt>
                <c:pt idx="206">
                  <c:v>159.26679146156363</c:v>
                </c:pt>
                <c:pt idx="207">
                  <c:v>161.00737214300543</c:v>
                </c:pt>
                <c:pt idx="208">
                  <c:v>161.29432337285144</c:v>
                </c:pt>
                <c:pt idx="209">
                  <c:v>161.25965812360832</c:v>
                </c:pt>
                <c:pt idx="210">
                  <c:v>161.12330814325196</c:v>
                </c:pt>
                <c:pt idx="211">
                  <c:v>162.21295247779472</c:v>
                </c:pt>
                <c:pt idx="212">
                  <c:v>161.04588908660892</c:v>
                </c:pt>
                <c:pt idx="213">
                  <c:v>160.40997434771526</c:v>
                </c:pt>
                <c:pt idx="214">
                  <c:v>160.52282899247351</c:v>
                </c:pt>
                <c:pt idx="215">
                  <c:v>161.83356058330031</c:v>
                </c:pt>
                <c:pt idx="216">
                  <c:v>163.02681549613649</c:v>
                </c:pt>
                <c:pt idx="217">
                  <c:v>161.32552209717028</c:v>
                </c:pt>
                <c:pt idx="218">
                  <c:v>159.92620153605546</c:v>
                </c:pt>
                <c:pt idx="219">
                  <c:v>156.49588253872852</c:v>
                </c:pt>
                <c:pt idx="220">
                  <c:v>158.40093056935717</c:v>
                </c:pt>
                <c:pt idx="221">
                  <c:v>160.76394505943136</c:v>
                </c:pt>
                <c:pt idx="222">
                  <c:v>160.35720613497847</c:v>
                </c:pt>
                <c:pt idx="223">
                  <c:v>158.99139531479867</c:v>
                </c:pt>
                <c:pt idx="224">
                  <c:v>158.52341445001628</c:v>
                </c:pt>
                <c:pt idx="225">
                  <c:v>160.19659048015191</c:v>
                </c:pt>
                <c:pt idx="226">
                  <c:v>160.07102524400452</c:v>
                </c:pt>
                <c:pt idx="227">
                  <c:v>161.3139670140892</c:v>
                </c:pt>
                <c:pt idx="228">
                  <c:v>161.61671019081263</c:v>
                </c:pt>
                <c:pt idx="229">
                  <c:v>161.80505804503372</c:v>
                </c:pt>
                <c:pt idx="230">
                  <c:v>161.92946777287295</c:v>
                </c:pt>
                <c:pt idx="231">
                  <c:v>161.84973769961374</c:v>
                </c:pt>
                <c:pt idx="232">
                  <c:v>162.08392071672296</c:v>
                </c:pt>
                <c:pt idx="233">
                  <c:v>161.49576698789767</c:v>
                </c:pt>
                <c:pt idx="234">
                  <c:v>162.92243457897098</c:v>
                </c:pt>
                <c:pt idx="235">
                  <c:v>162.79263247902722</c:v>
                </c:pt>
                <c:pt idx="236">
                  <c:v>162.82113501729381</c:v>
                </c:pt>
                <c:pt idx="237">
                  <c:v>162.5241693821109</c:v>
                </c:pt>
                <c:pt idx="238">
                  <c:v>163.28025698504743</c:v>
                </c:pt>
                <c:pt idx="239">
                  <c:v>163.59840693921223</c:v>
                </c:pt>
                <c:pt idx="240">
                  <c:v>163.89537257439514</c:v>
                </c:pt>
                <c:pt idx="241">
                  <c:v>163.56566753714927</c:v>
                </c:pt>
                <c:pt idx="242">
                  <c:v>162.68401469806534</c:v>
                </c:pt>
                <c:pt idx="243">
                  <c:v>162.61314352183493</c:v>
                </c:pt>
                <c:pt idx="244">
                  <c:v>160.47891967676549</c:v>
                </c:pt>
                <c:pt idx="245">
                  <c:v>162.72599816659317</c:v>
                </c:pt>
                <c:pt idx="246">
                  <c:v>163.55988999560876</c:v>
                </c:pt>
                <c:pt idx="247">
                  <c:v>163.3827120550327</c:v>
                </c:pt>
                <c:pt idx="248">
                  <c:v>164.33215471485875</c:v>
                </c:pt>
                <c:pt idx="249">
                  <c:v>164.87948048346436</c:v>
                </c:pt>
                <c:pt idx="250">
                  <c:v>165.26118339457497</c:v>
                </c:pt>
                <c:pt idx="251">
                  <c:v>165.30701855746315</c:v>
                </c:pt>
                <c:pt idx="252">
                  <c:v>165.52656513600303</c:v>
                </c:pt>
                <c:pt idx="253">
                  <c:v>166.39088535046534</c:v>
                </c:pt>
                <c:pt idx="254">
                  <c:v>167.63883432321848</c:v>
                </c:pt>
                <c:pt idx="255">
                  <c:v>167.29988521950773</c:v>
                </c:pt>
                <c:pt idx="256">
                  <c:v>167.86184742668266</c:v>
                </c:pt>
                <c:pt idx="257">
                  <c:v>166.4247802608364</c:v>
                </c:pt>
                <c:pt idx="258">
                  <c:v>168.30171092263453</c:v>
                </c:pt>
                <c:pt idx="259">
                  <c:v>168.88254643217516</c:v>
                </c:pt>
                <c:pt idx="260">
                  <c:v>168.2886151618093</c:v>
                </c:pt>
              </c:numCache>
            </c:numRef>
          </c:val>
          <c:smooth val="0"/>
          <c:extLst>
            <c:ext xmlns:c16="http://schemas.microsoft.com/office/drawing/2014/chart" uri="{C3380CC4-5D6E-409C-BE32-E72D297353CC}">
              <c16:uniqueId val="{00000000-E32C-4824-85F6-4515D8B4CE1E}"/>
            </c:ext>
          </c:extLst>
        </c:ser>
        <c:ser>
          <c:idx val="2"/>
          <c:order val="1"/>
          <c:tx>
            <c:strRef>
              <c:f>Sheet1!$D$1</c:f>
              <c:strCache>
                <c:ptCount val="1"/>
                <c:pt idx="0">
                  <c:v>DAX (Գերմանիա)</c:v>
                </c:pt>
              </c:strCache>
            </c:strRef>
          </c:tx>
          <c:spPr>
            <a:ln w="28575" cap="rnd">
              <a:solidFill>
                <a:srgbClr val="C00000"/>
              </a:solidFill>
              <a:round/>
            </a:ln>
            <a:effectLst/>
          </c:spPr>
          <c:marker>
            <c:symbol val="none"/>
          </c:marker>
          <c:cat>
            <c:numRef>
              <c:f>Sheet1!$A$2:$A$262</c:f>
              <c:numCache>
                <c:formatCode>dd\-mmm\-yy</c:formatCode>
                <c:ptCount val="261"/>
                <c:pt idx="0">
                  <c:v>43471</c:v>
                </c:pt>
                <c:pt idx="1">
                  <c:v>43478</c:v>
                </c:pt>
                <c:pt idx="2">
                  <c:v>43485</c:v>
                </c:pt>
                <c:pt idx="3">
                  <c:v>43492</c:v>
                </c:pt>
                <c:pt idx="4">
                  <c:v>43499</c:v>
                </c:pt>
                <c:pt idx="5">
                  <c:v>43506</c:v>
                </c:pt>
                <c:pt idx="6">
                  <c:v>43513</c:v>
                </c:pt>
                <c:pt idx="7">
                  <c:v>43520</c:v>
                </c:pt>
                <c:pt idx="8">
                  <c:v>43527</c:v>
                </c:pt>
                <c:pt idx="9">
                  <c:v>43534</c:v>
                </c:pt>
                <c:pt idx="10">
                  <c:v>43541</c:v>
                </c:pt>
                <c:pt idx="11">
                  <c:v>43548</c:v>
                </c:pt>
                <c:pt idx="12">
                  <c:v>43555</c:v>
                </c:pt>
                <c:pt idx="13">
                  <c:v>43562</c:v>
                </c:pt>
                <c:pt idx="14">
                  <c:v>43569</c:v>
                </c:pt>
                <c:pt idx="15">
                  <c:v>43576</c:v>
                </c:pt>
                <c:pt idx="16">
                  <c:v>43583</c:v>
                </c:pt>
                <c:pt idx="17">
                  <c:v>43590</c:v>
                </c:pt>
                <c:pt idx="18">
                  <c:v>43597</c:v>
                </c:pt>
                <c:pt idx="19">
                  <c:v>43604</c:v>
                </c:pt>
                <c:pt idx="20">
                  <c:v>43611</c:v>
                </c:pt>
                <c:pt idx="21">
                  <c:v>43618</c:v>
                </c:pt>
                <c:pt idx="22">
                  <c:v>43625</c:v>
                </c:pt>
                <c:pt idx="23">
                  <c:v>43632</c:v>
                </c:pt>
                <c:pt idx="24">
                  <c:v>43639</c:v>
                </c:pt>
                <c:pt idx="25">
                  <c:v>43646</c:v>
                </c:pt>
                <c:pt idx="26">
                  <c:v>43653</c:v>
                </c:pt>
                <c:pt idx="27">
                  <c:v>43660</c:v>
                </c:pt>
                <c:pt idx="28">
                  <c:v>43667</c:v>
                </c:pt>
                <c:pt idx="29">
                  <c:v>43674</c:v>
                </c:pt>
                <c:pt idx="30">
                  <c:v>43681</c:v>
                </c:pt>
                <c:pt idx="31">
                  <c:v>43688</c:v>
                </c:pt>
                <c:pt idx="32">
                  <c:v>43695</c:v>
                </c:pt>
                <c:pt idx="33">
                  <c:v>43702</c:v>
                </c:pt>
                <c:pt idx="34">
                  <c:v>43709</c:v>
                </c:pt>
                <c:pt idx="35">
                  <c:v>43716</c:v>
                </c:pt>
                <c:pt idx="36">
                  <c:v>43723</c:v>
                </c:pt>
                <c:pt idx="37">
                  <c:v>43730</c:v>
                </c:pt>
                <c:pt idx="38">
                  <c:v>43737</c:v>
                </c:pt>
                <c:pt idx="39">
                  <c:v>43744</c:v>
                </c:pt>
                <c:pt idx="40">
                  <c:v>43751</c:v>
                </c:pt>
                <c:pt idx="41">
                  <c:v>43758</c:v>
                </c:pt>
                <c:pt idx="42">
                  <c:v>43765</c:v>
                </c:pt>
                <c:pt idx="43">
                  <c:v>43772</c:v>
                </c:pt>
                <c:pt idx="44">
                  <c:v>43779</c:v>
                </c:pt>
                <c:pt idx="45">
                  <c:v>43786</c:v>
                </c:pt>
                <c:pt idx="46">
                  <c:v>43793</c:v>
                </c:pt>
                <c:pt idx="47">
                  <c:v>43800</c:v>
                </c:pt>
                <c:pt idx="48">
                  <c:v>43807</c:v>
                </c:pt>
                <c:pt idx="49">
                  <c:v>43814</c:v>
                </c:pt>
                <c:pt idx="50">
                  <c:v>43821</c:v>
                </c:pt>
                <c:pt idx="51">
                  <c:v>43828</c:v>
                </c:pt>
                <c:pt idx="52">
                  <c:v>43835</c:v>
                </c:pt>
                <c:pt idx="53">
                  <c:v>43842</c:v>
                </c:pt>
                <c:pt idx="54">
                  <c:v>43849</c:v>
                </c:pt>
                <c:pt idx="55">
                  <c:v>43856</c:v>
                </c:pt>
                <c:pt idx="56">
                  <c:v>43863</c:v>
                </c:pt>
                <c:pt idx="57">
                  <c:v>43870</c:v>
                </c:pt>
                <c:pt idx="58">
                  <c:v>43877</c:v>
                </c:pt>
                <c:pt idx="59">
                  <c:v>43884</c:v>
                </c:pt>
                <c:pt idx="60">
                  <c:v>43891</c:v>
                </c:pt>
                <c:pt idx="61">
                  <c:v>43898</c:v>
                </c:pt>
                <c:pt idx="62">
                  <c:v>43905</c:v>
                </c:pt>
                <c:pt idx="63">
                  <c:v>43912</c:v>
                </c:pt>
                <c:pt idx="64">
                  <c:v>43919</c:v>
                </c:pt>
                <c:pt idx="65">
                  <c:v>43926</c:v>
                </c:pt>
                <c:pt idx="66">
                  <c:v>43933</c:v>
                </c:pt>
                <c:pt idx="67">
                  <c:v>43940</c:v>
                </c:pt>
                <c:pt idx="68">
                  <c:v>43947</c:v>
                </c:pt>
                <c:pt idx="69">
                  <c:v>43954</c:v>
                </c:pt>
                <c:pt idx="70">
                  <c:v>43961</c:v>
                </c:pt>
                <c:pt idx="71">
                  <c:v>43968</c:v>
                </c:pt>
                <c:pt idx="72">
                  <c:v>43975</c:v>
                </c:pt>
                <c:pt idx="73">
                  <c:v>43982</c:v>
                </c:pt>
                <c:pt idx="74">
                  <c:v>43989</c:v>
                </c:pt>
                <c:pt idx="75">
                  <c:v>43996</c:v>
                </c:pt>
                <c:pt idx="76">
                  <c:v>44003</c:v>
                </c:pt>
                <c:pt idx="77">
                  <c:v>44010</c:v>
                </c:pt>
                <c:pt idx="78">
                  <c:v>44017</c:v>
                </c:pt>
                <c:pt idx="79">
                  <c:v>44024</c:v>
                </c:pt>
                <c:pt idx="80">
                  <c:v>44031</c:v>
                </c:pt>
                <c:pt idx="81">
                  <c:v>44038</c:v>
                </c:pt>
                <c:pt idx="82">
                  <c:v>44045</c:v>
                </c:pt>
                <c:pt idx="83">
                  <c:v>44052</c:v>
                </c:pt>
                <c:pt idx="84">
                  <c:v>44059</c:v>
                </c:pt>
                <c:pt idx="85">
                  <c:v>44066</c:v>
                </c:pt>
                <c:pt idx="86">
                  <c:v>44073</c:v>
                </c:pt>
                <c:pt idx="87">
                  <c:v>44080</c:v>
                </c:pt>
                <c:pt idx="88">
                  <c:v>44087</c:v>
                </c:pt>
                <c:pt idx="89">
                  <c:v>44094</c:v>
                </c:pt>
                <c:pt idx="90">
                  <c:v>44101</c:v>
                </c:pt>
                <c:pt idx="91">
                  <c:v>44108</c:v>
                </c:pt>
                <c:pt idx="92">
                  <c:v>44115</c:v>
                </c:pt>
                <c:pt idx="93">
                  <c:v>44122</c:v>
                </c:pt>
                <c:pt idx="94">
                  <c:v>44129</c:v>
                </c:pt>
                <c:pt idx="95">
                  <c:v>44136</c:v>
                </c:pt>
                <c:pt idx="96">
                  <c:v>44137</c:v>
                </c:pt>
                <c:pt idx="97">
                  <c:v>44138</c:v>
                </c:pt>
                <c:pt idx="98">
                  <c:v>44140</c:v>
                </c:pt>
                <c:pt idx="99">
                  <c:v>44141</c:v>
                </c:pt>
                <c:pt idx="100">
                  <c:v>44144</c:v>
                </c:pt>
                <c:pt idx="101">
                  <c:v>44145</c:v>
                </c:pt>
                <c:pt idx="102">
                  <c:v>44146</c:v>
                </c:pt>
                <c:pt idx="103">
                  <c:v>44147</c:v>
                </c:pt>
                <c:pt idx="104">
                  <c:v>44148</c:v>
                </c:pt>
                <c:pt idx="105">
                  <c:v>44151</c:v>
                </c:pt>
                <c:pt idx="106">
                  <c:v>44152</c:v>
                </c:pt>
                <c:pt idx="107">
                  <c:v>44153</c:v>
                </c:pt>
                <c:pt idx="108">
                  <c:v>44154</c:v>
                </c:pt>
                <c:pt idx="109">
                  <c:v>44155</c:v>
                </c:pt>
                <c:pt idx="110">
                  <c:v>44158</c:v>
                </c:pt>
                <c:pt idx="111">
                  <c:v>44159</c:v>
                </c:pt>
                <c:pt idx="112">
                  <c:v>44160</c:v>
                </c:pt>
                <c:pt idx="113">
                  <c:v>44162</c:v>
                </c:pt>
                <c:pt idx="114">
                  <c:v>44165</c:v>
                </c:pt>
                <c:pt idx="115">
                  <c:v>44166</c:v>
                </c:pt>
                <c:pt idx="116">
                  <c:v>44167</c:v>
                </c:pt>
                <c:pt idx="117">
                  <c:v>44168</c:v>
                </c:pt>
                <c:pt idx="118">
                  <c:v>44169</c:v>
                </c:pt>
                <c:pt idx="119">
                  <c:v>44172</c:v>
                </c:pt>
                <c:pt idx="120">
                  <c:v>44173</c:v>
                </c:pt>
                <c:pt idx="121">
                  <c:v>44174</c:v>
                </c:pt>
                <c:pt idx="122">
                  <c:v>44175</c:v>
                </c:pt>
                <c:pt idx="123">
                  <c:v>44176</c:v>
                </c:pt>
                <c:pt idx="124">
                  <c:v>44179</c:v>
                </c:pt>
                <c:pt idx="125">
                  <c:v>44180</c:v>
                </c:pt>
                <c:pt idx="126">
                  <c:v>44181</c:v>
                </c:pt>
                <c:pt idx="127">
                  <c:v>44182</c:v>
                </c:pt>
                <c:pt idx="128">
                  <c:v>44183</c:v>
                </c:pt>
                <c:pt idx="129">
                  <c:v>44186</c:v>
                </c:pt>
                <c:pt idx="130">
                  <c:v>44187</c:v>
                </c:pt>
                <c:pt idx="131">
                  <c:v>44188</c:v>
                </c:pt>
                <c:pt idx="132">
                  <c:v>44193</c:v>
                </c:pt>
                <c:pt idx="133">
                  <c:v>44194</c:v>
                </c:pt>
                <c:pt idx="134">
                  <c:v>44195</c:v>
                </c:pt>
                <c:pt idx="135">
                  <c:v>44200</c:v>
                </c:pt>
                <c:pt idx="136">
                  <c:v>44201</c:v>
                </c:pt>
                <c:pt idx="137">
                  <c:v>44202</c:v>
                </c:pt>
                <c:pt idx="138">
                  <c:v>44204</c:v>
                </c:pt>
                <c:pt idx="139">
                  <c:v>44207</c:v>
                </c:pt>
                <c:pt idx="140">
                  <c:v>44208</c:v>
                </c:pt>
                <c:pt idx="141">
                  <c:v>44209</c:v>
                </c:pt>
                <c:pt idx="142">
                  <c:v>44210</c:v>
                </c:pt>
                <c:pt idx="143">
                  <c:v>44211</c:v>
                </c:pt>
                <c:pt idx="144">
                  <c:v>44215</c:v>
                </c:pt>
                <c:pt idx="145">
                  <c:v>44216</c:v>
                </c:pt>
                <c:pt idx="146">
                  <c:v>44217</c:v>
                </c:pt>
                <c:pt idx="147">
                  <c:v>44218</c:v>
                </c:pt>
                <c:pt idx="148">
                  <c:v>44221</c:v>
                </c:pt>
                <c:pt idx="149">
                  <c:v>44222</c:v>
                </c:pt>
                <c:pt idx="150">
                  <c:v>44223</c:v>
                </c:pt>
                <c:pt idx="151">
                  <c:v>44224</c:v>
                </c:pt>
                <c:pt idx="152">
                  <c:v>44225</c:v>
                </c:pt>
                <c:pt idx="153">
                  <c:v>44228</c:v>
                </c:pt>
                <c:pt idx="154">
                  <c:v>44229</c:v>
                </c:pt>
                <c:pt idx="155">
                  <c:v>44230</c:v>
                </c:pt>
                <c:pt idx="156">
                  <c:v>44231</c:v>
                </c:pt>
                <c:pt idx="157">
                  <c:v>44232</c:v>
                </c:pt>
                <c:pt idx="158">
                  <c:v>44235</c:v>
                </c:pt>
                <c:pt idx="159">
                  <c:v>44236</c:v>
                </c:pt>
                <c:pt idx="160">
                  <c:v>44237</c:v>
                </c:pt>
                <c:pt idx="161">
                  <c:v>44238</c:v>
                </c:pt>
                <c:pt idx="162">
                  <c:v>44239</c:v>
                </c:pt>
                <c:pt idx="163">
                  <c:v>44243</c:v>
                </c:pt>
                <c:pt idx="164">
                  <c:v>44244</c:v>
                </c:pt>
                <c:pt idx="165">
                  <c:v>44245</c:v>
                </c:pt>
                <c:pt idx="166">
                  <c:v>44246</c:v>
                </c:pt>
                <c:pt idx="167">
                  <c:v>44249</c:v>
                </c:pt>
                <c:pt idx="168">
                  <c:v>44251</c:v>
                </c:pt>
                <c:pt idx="169">
                  <c:v>44252</c:v>
                </c:pt>
                <c:pt idx="170">
                  <c:v>44253</c:v>
                </c:pt>
                <c:pt idx="171">
                  <c:v>44256</c:v>
                </c:pt>
                <c:pt idx="172">
                  <c:v>44257</c:v>
                </c:pt>
                <c:pt idx="173">
                  <c:v>44258</c:v>
                </c:pt>
                <c:pt idx="174">
                  <c:v>44259</c:v>
                </c:pt>
                <c:pt idx="175">
                  <c:v>44260</c:v>
                </c:pt>
                <c:pt idx="176">
                  <c:v>44264</c:v>
                </c:pt>
                <c:pt idx="177">
                  <c:v>44265</c:v>
                </c:pt>
                <c:pt idx="178">
                  <c:v>44266</c:v>
                </c:pt>
                <c:pt idx="179">
                  <c:v>44267</c:v>
                </c:pt>
                <c:pt idx="180">
                  <c:v>44270</c:v>
                </c:pt>
                <c:pt idx="181">
                  <c:v>44271</c:v>
                </c:pt>
                <c:pt idx="182">
                  <c:v>44272</c:v>
                </c:pt>
                <c:pt idx="183">
                  <c:v>44273</c:v>
                </c:pt>
                <c:pt idx="184">
                  <c:v>44274</c:v>
                </c:pt>
                <c:pt idx="185">
                  <c:v>44277</c:v>
                </c:pt>
                <c:pt idx="186">
                  <c:v>44278</c:v>
                </c:pt>
                <c:pt idx="187">
                  <c:v>44279</c:v>
                </c:pt>
                <c:pt idx="188">
                  <c:v>44280</c:v>
                </c:pt>
                <c:pt idx="189">
                  <c:v>44281</c:v>
                </c:pt>
                <c:pt idx="190">
                  <c:v>44284</c:v>
                </c:pt>
                <c:pt idx="191">
                  <c:v>44285</c:v>
                </c:pt>
                <c:pt idx="192">
                  <c:v>44286</c:v>
                </c:pt>
                <c:pt idx="193">
                  <c:v>44287</c:v>
                </c:pt>
                <c:pt idx="194">
                  <c:v>44292</c:v>
                </c:pt>
                <c:pt idx="195">
                  <c:v>44293</c:v>
                </c:pt>
                <c:pt idx="196">
                  <c:v>44294</c:v>
                </c:pt>
                <c:pt idx="197">
                  <c:v>44295</c:v>
                </c:pt>
                <c:pt idx="198">
                  <c:v>44298</c:v>
                </c:pt>
                <c:pt idx="199">
                  <c:v>44299</c:v>
                </c:pt>
                <c:pt idx="200">
                  <c:v>44300</c:v>
                </c:pt>
                <c:pt idx="201">
                  <c:v>44301</c:v>
                </c:pt>
                <c:pt idx="202">
                  <c:v>44302</c:v>
                </c:pt>
                <c:pt idx="203">
                  <c:v>44305</c:v>
                </c:pt>
                <c:pt idx="204">
                  <c:v>44306</c:v>
                </c:pt>
                <c:pt idx="205">
                  <c:v>44307</c:v>
                </c:pt>
                <c:pt idx="206">
                  <c:v>44308</c:v>
                </c:pt>
                <c:pt idx="207">
                  <c:v>44309</c:v>
                </c:pt>
                <c:pt idx="208">
                  <c:v>44312</c:v>
                </c:pt>
                <c:pt idx="209">
                  <c:v>44313</c:v>
                </c:pt>
                <c:pt idx="210">
                  <c:v>44314</c:v>
                </c:pt>
                <c:pt idx="211">
                  <c:v>44315</c:v>
                </c:pt>
                <c:pt idx="212">
                  <c:v>44316</c:v>
                </c:pt>
                <c:pt idx="213">
                  <c:v>44320</c:v>
                </c:pt>
                <c:pt idx="214">
                  <c:v>44321</c:v>
                </c:pt>
                <c:pt idx="215">
                  <c:v>44322</c:v>
                </c:pt>
                <c:pt idx="216">
                  <c:v>44323</c:v>
                </c:pt>
                <c:pt idx="217">
                  <c:v>44326</c:v>
                </c:pt>
                <c:pt idx="218">
                  <c:v>44327</c:v>
                </c:pt>
                <c:pt idx="219">
                  <c:v>44328</c:v>
                </c:pt>
                <c:pt idx="220">
                  <c:v>44329</c:v>
                </c:pt>
                <c:pt idx="221">
                  <c:v>44330</c:v>
                </c:pt>
                <c:pt idx="222">
                  <c:v>44333</c:v>
                </c:pt>
                <c:pt idx="223">
                  <c:v>44334</c:v>
                </c:pt>
                <c:pt idx="224">
                  <c:v>44335</c:v>
                </c:pt>
                <c:pt idx="225">
                  <c:v>44336</c:v>
                </c:pt>
                <c:pt idx="226">
                  <c:v>44337</c:v>
                </c:pt>
                <c:pt idx="227">
                  <c:v>44341</c:v>
                </c:pt>
                <c:pt idx="228">
                  <c:v>44342</c:v>
                </c:pt>
                <c:pt idx="229">
                  <c:v>44343</c:v>
                </c:pt>
                <c:pt idx="230">
                  <c:v>44344</c:v>
                </c:pt>
                <c:pt idx="231">
                  <c:v>44348</c:v>
                </c:pt>
                <c:pt idx="232">
                  <c:v>44349</c:v>
                </c:pt>
                <c:pt idx="233">
                  <c:v>44350</c:v>
                </c:pt>
                <c:pt idx="234">
                  <c:v>44351</c:v>
                </c:pt>
                <c:pt idx="235">
                  <c:v>44354</c:v>
                </c:pt>
                <c:pt idx="236">
                  <c:v>44355</c:v>
                </c:pt>
                <c:pt idx="237">
                  <c:v>44356</c:v>
                </c:pt>
                <c:pt idx="238">
                  <c:v>44357</c:v>
                </c:pt>
                <c:pt idx="239">
                  <c:v>44358</c:v>
                </c:pt>
                <c:pt idx="240">
                  <c:v>44361</c:v>
                </c:pt>
                <c:pt idx="241">
                  <c:v>44362</c:v>
                </c:pt>
                <c:pt idx="242">
                  <c:v>44363</c:v>
                </c:pt>
                <c:pt idx="243">
                  <c:v>44364</c:v>
                </c:pt>
                <c:pt idx="244">
                  <c:v>44365</c:v>
                </c:pt>
                <c:pt idx="245">
                  <c:v>44368</c:v>
                </c:pt>
                <c:pt idx="246">
                  <c:v>44369</c:v>
                </c:pt>
                <c:pt idx="247">
                  <c:v>44370</c:v>
                </c:pt>
                <c:pt idx="248">
                  <c:v>44371</c:v>
                </c:pt>
                <c:pt idx="249">
                  <c:v>44372</c:v>
                </c:pt>
                <c:pt idx="250">
                  <c:v>44375</c:v>
                </c:pt>
                <c:pt idx="251">
                  <c:v>44376</c:v>
                </c:pt>
                <c:pt idx="252">
                  <c:v>44377</c:v>
                </c:pt>
                <c:pt idx="253">
                  <c:v>44378</c:v>
                </c:pt>
                <c:pt idx="254">
                  <c:v>44379</c:v>
                </c:pt>
                <c:pt idx="255">
                  <c:v>44383</c:v>
                </c:pt>
                <c:pt idx="256">
                  <c:v>44384</c:v>
                </c:pt>
                <c:pt idx="257">
                  <c:v>44385</c:v>
                </c:pt>
                <c:pt idx="258">
                  <c:v>44386</c:v>
                </c:pt>
                <c:pt idx="259">
                  <c:v>44389</c:v>
                </c:pt>
                <c:pt idx="260">
                  <c:v>44390</c:v>
                </c:pt>
              </c:numCache>
            </c:numRef>
          </c:cat>
          <c:val>
            <c:numRef>
              <c:f>Sheet1!$D$2:$D$262</c:f>
              <c:numCache>
                <c:formatCode>0</c:formatCode>
                <c:ptCount val="261"/>
                <c:pt idx="0">
                  <c:v>100</c:v>
                </c:pt>
                <c:pt idx="1">
                  <c:v>102.92152623293221</c:v>
                </c:pt>
                <c:pt idx="2">
                  <c:v>103.6218732376514</c:v>
                </c:pt>
                <c:pt idx="3">
                  <c:v>102.69300644962186</c:v>
                </c:pt>
                <c:pt idx="4">
                  <c:v>100.17745185745805</c:v>
                </c:pt>
                <c:pt idx="5">
                  <c:v>103.78729290394639</c:v>
                </c:pt>
                <c:pt idx="6">
                  <c:v>105.23758525863703</c:v>
                </c:pt>
                <c:pt idx="7">
                  <c:v>106.56002410112187</c:v>
                </c:pt>
                <c:pt idx="8">
                  <c:v>105.23887114166207</c:v>
                </c:pt>
                <c:pt idx="9">
                  <c:v>107.33164576494427</c:v>
                </c:pt>
                <c:pt idx="10">
                  <c:v>104.37852354911064</c:v>
                </c:pt>
                <c:pt idx="11">
                  <c:v>105.86527987244042</c:v>
                </c:pt>
                <c:pt idx="12">
                  <c:v>110.30809757280396</c:v>
                </c:pt>
                <c:pt idx="13">
                  <c:v>110.21790206347488</c:v>
                </c:pt>
                <c:pt idx="14">
                  <c:v>112.26117019029233</c:v>
                </c:pt>
                <c:pt idx="15">
                  <c:v>113.11343508954342</c:v>
                </c:pt>
                <c:pt idx="16">
                  <c:v>114.00960370922147</c:v>
                </c:pt>
                <c:pt idx="17">
                  <c:v>110.76807630062478</c:v>
                </c:pt>
                <c:pt idx="18">
                  <c:v>112.41317993361173</c:v>
                </c:pt>
                <c:pt idx="19">
                  <c:v>110.31994606639201</c:v>
                </c:pt>
                <c:pt idx="20">
                  <c:v>107.70960352552389</c:v>
                </c:pt>
                <c:pt idx="21">
                  <c:v>110.63535480268128</c:v>
                </c:pt>
                <c:pt idx="22">
                  <c:v>111.10396731652749</c:v>
                </c:pt>
                <c:pt idx="23">
                  <c:v>113.3406689898287</c:v>
                </c:pt>
                <c:pt idx="24">
                  <c:v>113.88147465065317</c:v>
                </c:pt>
                <c:pt idx="25">
                  <c:v>115.44042412096123</c:v>
                </c:pt>
                <c:pt idx="26">
                  <c:v>113.18820000257182</c:v>
                </c:pt>
                <c:pt idx="27">
                  <c:v>112.60725642160803</c:v>
                </c:pt>
                <c:pt idx="28">
                  <c:v>114.07527559228696</c:v>
                </c:pt>
                <c:pt idx="29">
                  <c:v>109.04692187158443</c:v>
                </c:pt>
                <c:pt idx="30">
                  <c:v>107.40613513161017</c:v>
                </c:pt>
                <c:pt idx="31">
                  <c:v>106.2023649225807</c:v>
                </c:pt>
                <c:pt idx="32">
                  <c:v>106.65031145923847</c:v>
                </c:pt>
                <c:pt idx="33">
                  <c:v>109.6608391672622</c:v>
                </c:pt>
                <c:pt idx="34">
                  <c:v>111.9795618078046</c:v>
                </c:pt>
                <c:pt idx="35">
                  <c:v>114.52193624591965</c:v>
                </c:pt>
                <c:pt idx="36">
                  <c:v>114.51716010896942</c:v>
                </c:pt>
                <c:pt idx="37">
                  <c:v>113.71743271617073</c:v>
                </c:pt>
                <c:pt idx="38">
                  <c:v>110.33620330178022</c:v>
                </c:pt>
                <c:pt idx="39">
                  <c:v>114.91798821763754</c:v>
                </c:pt>
                <c:pt idx="40">
                  <c:v>116.03808418125074</c:v>
                </c:pt>
                <c:pt idx="41">
                  <c:v>118.43451089602168</c:v>
                </c:pt>
                <c:pt idx="42">
                  <c:v>119.04567272807432</c:v>
                </c:pt>
                <c:pt idx="43">
                  <c:v>121.50271964259801</c:v>
                </c:pt>
                <c:pt idx="44">
                  <c:v>121.623868193316</c:v>
                </c:pt>
                <c:pt idx="45">
                  <c:v>120.90864168502112</c:v>
                </c:pt>
                <c:pt idx="46">
                  <c:v>121.57454539442627</c:v>
                </c:pt>
                <c:pt idx="47">
                  <c:v>120.93344085764726</c:v>
                </c:pt>
                <c:pt idx="48">
                  <c:v>122.00017267572052</c:v>
                </c:pt>
                <c:pt idx="49">
                  <c:v>122.33248158891055</c:v>
                </c:pt>
                <c:pt idx="50">
                  <c:v>122.49973823095563</c:v>
                </c:pt>
                <c:pt idx="51">
                  <c:v>121.41619808476909</c:v>
                </c:pt>
                <c:pt idx="52">
                  <c:v>123.84256750426638</c:v>
                </c:pt>
                <c:pt idx="53">
                  <c:v>124.23586401235919</c:v>
                </c:pt>
                <c:pt idx="54">
                  <c:v>124.70015963319271</c:v>
                </c:pt>
                <c:pt idx="55">
                  <c:v>119.23782039153303</c:v>
                </c:pt>
                <c:pt idx="56">
                  <c:v>124.12270630615409</c:v>
                </c:pt>
                <c:pt idx="57">
                  <c:v>126.23890237024983</c:v>
                </c:pt>
                <c:pt idx="58">
                  <c:v>124.7244995618813</c:v>
                </c:pt>
                <c:pt idx="59">
                  <c:v>109.21142305000433</c:v>
                </c:pt>
                <c:pt idx="60">
                  <c:v>106.0106765030595</c:v>
                </c:pt>
                <c:pt idx="61">
                  <c:v>84.795535414137007</c:v>
                </c:pt>
                <c:pt idx="62">
                  <c:v>82.011323118523521</c:v>
                </c:pt>
                <c:pt idx="63">
                  <c:v>88.473528260953429</c:v>
                </c:pt>
                <c:pt idx="64">
                  <c:v>87.493042454346565</c:v>
                </c:pt>
                <c:pt idx="65">
                  <c:v>97.035855929665871</c:v>
                </c:pt>
                <c:pt idx="66">
                  <c:v>97.596500928591254</c:v>
                </c:pt>
                <c:pt idx="67">
                  <c:v>94.935733403383352</c:v>
                </c:pt>
                <c:pt idx="68">
                  <c:v>99.762846430664283</c:v>
                </c:pt>
                <c:pt idx="69">
                  <c:v>100.1563266363321</c:v>
                </c:pt>
                <c:pt idx="70">
                  <c:v>96.121317552487014</c:v>
                </c:pt>
                <c:pt idx="71">
                  <c:v>101.71215324786502</c:v>
                </c:pt>
                <c:pt idx="72">
                  <c:v>106.42381234925321</c:v>
                </c:pt>
                <c:pt idx="73">
                  <c:v>118.00438302413974</c:v>
                </c:pt>
                <c:pt idx="74">
                  <c:v>109.75268795476636</c:v>
                </c:pt>
                <c:pt idx="75">
                  <c:v>113.2565355004749</c:v>
                </c:pt>
                <c:pt idx="76">
                  <c:v>111.03958131648707</c:v>
                </c:pt>
                <c:pt idx="77">
                  <c:v>115.06981426338194</c:v>
                </c:pt>
                <c:pt idx="78">
                  <c:v>116.03909451791328</c:v>
                </c:pt>
                <c:pt idx="79">
                  <c:v>118.66505135265712</c:v>
                </c:pt>
                <c:pt idx="80">
                  <c:v>117.91602449056072</c:v>
                </c:pt>
                <c:pt idx="81">
                  <c:v>113.09671861021765</c:v>
                </c:pt>
                <c:pt idx="82">
                  <c:v>116.4172359760679</c:v>
                </c:pt>
                <c:pt idx="83">
                  <c:v>118.49724361788704</c:v>
                </c:pt>
                <c:pt idx="84">
                  <c:v>117.24314027330529</c:v>
                </c:pt>
                <c:pt idx="85">
                  <c:v>119.70836172991686</c:v>
                </c:pt>
                <c:pt idx="86">
                  <c:v>117.95827493281266</c:v>
                </c:pt>
                <c:pt idx="87">
                  <c:v>121.26648456113735</c:v>
                </c:pt>
                <c:pt idx="88">
                  <c:v>120.47116591013885</c:v>
                </c:pt>
                <c:pt idx="89">
                  <c:v>114.52809011468244</c:v>
                </c:pt>
                <c:pt idx="90">
                  <c:v>116.54729385917381</c:v>
                </c:pt>
                <c:pt idx="91">
                  <c:v>119.87396509378682</c:v>
                </c:pt>
                <c:pt idx="92">
                  <c:v>118.5675079403277</c:v>
                </c:pt>
                <c:pt idx="93">
                  <c:v>116.1496804580683</c:v>
                </c:pt>
                <c:pt idx="94">
                  <c:v>106.14486758160308</c:v>
                </c:pt>
                <c:pt idx="95">
                  <c:v>114.62747050276194</c:v>
                </c:pt>
                <c:pt idx="96">
                  <c:v>108.23552968277269</c:v>
                </c:pt>
                <c:pt idx="97">
                  <c:v>111.03581551619941</c:v>
                </c:pt>
                <c:pt idx="98">
                  <c:v>115.43638277431104</c:v>
                </c:pt>
                <c:pt idx="99">
                  <c:v>114.62747050276195</c:v>
                </c:pt>
                <c:pt idx="100">
                  <c:v>120.28489656908044</c:v>
                </c:pt>
                <c:pt idx="101">
                  <c:v>120.90156932838336</c:v>
                </c:pt>
                <c:pt idx="102">
                  <c:v>121.3890108436679</c:v>
                </c:pt>
                <c:pt idx="103">
                  <c:v>119.88976308523756</c:v>
                </c:pt>
                <c:pt idx="104">
                  <c:v>120.10808765313493</c:v>
                </c:pt>
                <c:pt idx="105">
                  <c:v>120.67653979899818</c:v>
                </c:pt>
                <c:pt idx="106">
                  <c:v>120.62932952222103</c:v>
                </c:pt>
                <c:pt idx="107">
                  <c:v>121.25775892632447</c:v>
                </c:pt>
                <c:pt idx="108">
                  <c:v>120.19479290853887</c:v>
                </c:pt>
                <c:pt idx="109">
                  <c:v>120.66404836389762</c:v>
                </c:pt>
                <c:pt idx="110">
                  <c:v>120.56962781034333</c:v>
                </c:pt>
                <c:pt idx="111">
                  <c:v>122.08944969717462</c:v>
                </c:pt>
                <c:pt idx="112">
                  <c:v>122.0652016172735</c:v>
                </c:pt>
                <c:pt idx="113">
                  <c:v>122.48660385434259</c:v>
                </c:pt>
                <c:pt idx="114">
                  <c:v>122.07769305237409</c:v>
                </c:pt>
                <c:pt idx="115">
                  <c:v>122.91480290168695</c:v>
                </c:pt>
                <c:pt idx="116">
                  <c:v>122.28049517518325</c:v>
                </c:pt>
                <c:pt idx="117">
                  <c:v>121.72591219623317</c:v>
                </c:pt>
                <c:pt idx="118">
                  <c:v>122.1493351066273</c:v>
                </c:pt>
                <c:pt idx="119">
                  <c:v>121.89252589676569</c:v>
                </c:pt>
                <c:pt idx="120">
                  <c:v>121.9613206386063</c:v>
                </c:pt>
                <c:pt idx="121">
                  <c:v>122.52867059901946</c:v>
                </c:pt>
                <c:pt idx="122">
                  <c:v>122.11966794826346</c:v>
                </c:pt>
                <c:pt idx="123">
                  <c:v>120.45325539657554</c:v>
                </c:pt>
                <c:pt idx="124">
                  <c:v>121.45312129734579</c:v>
                </c:pt>
                <c:pt idx="125">
                  <c:v>122.73634070756636</c:v>
                </c:pt>
                <c:pt idx="126">
                  <c:v>124.60188143056327</c:v>
                </c:pt>
                <c:pt idx="127">
                  <c:v>125.53203410161785</c:v>
                </c:pt>
                <c:pt idx="128">
                  <c:v>125.19458165632759</c:v>
                </c:pt>
                <c:pt idx="129">
                  <c:v>121.6656593916304</c:v>
                </c:pt>
                <c:pt idx="130">
                  <c:v>123.24371340973933</c:v>
                </c:pt>
                <c:pt idx="131">
                  <c:v>124.79706010400962</c:v>
                </c:pt>
                <c:pt idx="132">
                  <c:v>126.66214158306903</c:v>
                </c:pt>
                <c:pt idx="133">
                  <c:v>126.3966067383945</c:v>
                </c:pt>
                <c:pt idx="134">
                  <c:v>126.0053309036268</c:v>
                </c:pt>
                <c:pt idx="135">
                  <c:v>126.0784425384801</c:v>
                </c:pt>
                <c:pt idx="136">
                  <c:v>125.38480049524873</c:v>
                </c:pt>
                <c:pt idx="137">
                  <c:v>127.59606005441128</c:v>
                </c:pt>
                <c:pt idx="138">
                  <c:v>129.04322955032677</c:v>
                </c:pt>
                <c:pt idx="139">
                  <c:v>128.00653228576735</c:v>
                </c:pt>
                <c:pt idx="140">
                  <c:v>127.89998769226251</c:v>
                </c:pt>
                <c:pt idx="141">
                  <c:v>128.0345461659561</c:v>
                </c:pt>
                <c:pt idx="142">
                  <c:v>128.48451337593897</c:v>
                </c:pt>
                <c:pt idx="143">
                  <c:v>126.63862829346793</c:v>
                </c:pt>
                <c:pt idx="144">
                  <c:v>126.8896510297168</c:v>
                </c:pt>
                <c:pt idx="145">
                  <c:v>127.8660954896735</c:v>
                </c:pt>
                <c:pt idx="146">
                  <c:v>127.73107777204238</c:v>
                </c:pt>
                <c:pt idx="147">
                  <c:v>127.43073223690378</c:v>
                </c:pt>
                <c:pt idx="148">
                  <c:v>125.31802642673318</c:v>
                </c:pt>
                <c:pt idx="149">
                  <c:v>127.40336129822754</c:v>
                </c:pt>
                <c:pt idx="150">
                  <c:v>125.1022736248859</c:v>
                </c:pt>
                <c:pt idx="151">
                  <c:v>125.5199100616673</c:v>
                </c:pt>
                <c:pt idx="152">
                  <c:v>123.37928222009545</c:v>
                </c:pt>
                <c:pt idx="153">
                  <c:v>125.11660203573655</c:v>
                </c:pt>
                <c:pt idx="154">
                  <c:v>127.07426709260012</c:v>
                </c:pt>
                <c:pt idx="155">
                  <c:v>127.97870210315354</c:v>
                </c:pt>
                <c:pt idx="156">
                  <c:v>129.14205884568119</c:v>
                </c:pt>
                <c:pt idx="157">
                  <c:v>129.10926882854218</c:v>
                </c:pt>
                <c:pt idx="158">
                  <c:v>129.13856859175601</c:v>
                </c:pt>
                <c:pt idx="159">
                  <c:v>128.69668407507351</c:v>
                </c:pt>
                <c:pt idx="160">
                  <c:v>127.97264008317825</c:v>
                </c:pt>
                <c:pt idx="161">
                  <c:v>128.96405589549812</c:v>
                </c:pt>
                <c:pt idx="162">
                  <c:v>129.04653610667685</c:v>
                </c:pt>
                <c:pt idx="163">
                  <c:v>129.18164567309549</c:v>
                </c:pt>
                <c:pt idx="164">
                  <c:v>127.75495845679343</c:v>
                </c:pt>
                <c:pt idx="165">
                  <c:v>127.54976826550914</c:v>
                </c:pt>
                <c:pt idx="166">
                  <c:v>128.52612087667831</c:v>
                </c:pt>
                <c:pt idx="167">
                  <c:v>128.12942596344786</c:v>
                </c:pt>
                <c:pt idx="168">
                  <c:v>128.36786541580864</c:v>
                </c:pt>
                <c:pt idx="169">
                  <c:v>127.47996318700596</c:v>
                </c:pt>
                <c:pt idx="170">
                  <c:v>126.6254020680673</c:v>
                </c:pt>
                <c:pt idx="171">
                  <c:v>128.70605265139895</c:v>
                </c:pt>
                <c:pt idx="172">
                  <c:v>128.95386068008514</c:v>
                </c:pt>
                <c:pt idx="173">
                  <c:v>129.32336835221437</c:v>
                </c:pt>
                <c:pt idx="174">
                  <c:v>129.10577857461703</c:v>
                </c:pt>
                <c:pt idx="175">
                  <c:v>127.85984977212316</c:v>
                </c:pt>
                <c:pt idx="176">
                  <c:v>132.61072830577564</c:v>
                </c:pt>
                <c:pt idx="177">
                  <c:v>133.55043325073066</c:v>
                </c:pt>
                <c:pt idx="178">
                  <c:v>133.81808061751778</c:v>
                </c:pt>
                <c:pt idx="179">
                  <c:v>133.20269374123993</c:v>
                </c:pt>
                <c:pt idx="180">
                  <c:v>132.82638925883541</c:v>
                </c:pt>
                <c:pt idx="181">
                  <c:v>133.70960719947536</c:v>
                </c:pt>
                <c:pt idx="182">
                  <c:v>134.06809301710408</c:v>
                </c:pt>
                <c:pt idx="183">
                  <c:v>135.71135967434094</c:v>
                </c:pt>
                <c:pt idx="184">
                  <c:v>134.29211220982671</c:v>
                </c:pt>
                <c:pt idx="185">
                  <c:v>134.62469666937926</c:v>
                </c:pt>
                <c:pt idx="186">
                  <c:v>134.66887593616877</c:v>
                </c:pt>
                <c:pt idx="187">
                  <c:v>134.1946606462848</c:v>
                </c:pt>
                <c:pt idx="188">
                  <c:v>134.29541876617688</c:v>
                </c:pt>
                <c:pt idx="189">
                  <c:v>135.46722559715491</c:v>
                </c:pt>
                <c:pt idx="190">
                  <c:v>136.09896155760848</c:v>
                </c:pt>
                <c:pt idx="191">
                  <c:v>137.85226306227531</c:v>
                </c:pt>
                <c:pt idx="192">
                  <c:v>137.84978314501271</c:v>
                </c:pt>
                <c:pt idx="193">
                  <c:v>138.75752471191629</c:v>
                </c:pt>
                <c:pt idx="194">
                  <c:v>139.72662126887263</c:v>
                </c:pt>
                <c:pt idx="195">
                  <c:v>139.39302647265757</c:v>
                </c:pt>
                <c:pt idx="196">
                  <c:v>139.63477248136851</c:v>
                </c:pt>
                <c:pt idx="197">
                  <c:v>139.9239124644316</c:v>
                </c:pt>
                <c:pt idx="198">
                  <c:v>139.74793018757364</c:v>
                </c:pt>
                <c:pt idx="199">
                  <c:v>139.92574944018168</c:v>
                </c:pt>
                <c:pt idx="200">
                  <c:v>139.69419864688368</c:v>
                </c:pt>
                <c:pt idx="201">
                  <c:v>140.11835634757787</c:v>
                </c:pt>
                <c:pt idx="202">
                  <c:v>141.99592926173784</c:v>
                </c:pt>
                <c:pt idx="203">
                  <c:v>141.15679873909988</c:v>
                </c:pt>
                <c:pt idx="204">
                  <c:v>138.96271490320061</c:v>
                </c:pt>
                <c:pt idx="205">
                  <c:v>139.57314194495322</c:v>
                </c:pt>
                <c:pt idx="206">
                  <c:v>140.71711859331751</c:v>
                </c:pt>
                <c:pt idx="207">
                  <c:v>140.34145705242554</c:v>
                </c:pt>
                <c:pt idx="208">
                  <c:v>140.49502822513247</c:v>
                </c:pt>
                <c:pt idx="209">
                  <c:v>140.06269598235042</c:v>
                </c:pt>
                <c:pt idx="210">
                  <c:v>140.45681912953074</c:v>
                </c:pt>
                <c:pt idx="211">
                  <c:v>139.18948955954841</c:v>
                </c:pt>
                <c:pt idx="212">
                  <c:v>139.0214981272033</c:v>
                </c:pt>
                <c:pt idx="213">
                  <c:v>136.45496745797467</c:v>
                </c:pt>
                <c:pt idx="214">
                  <c:v>139.34177484923032</c:v>
                </c:pt>
                <c:pt idx="215">
                  <c:v>139.5802143015911</c:v>
                </c:pt>
                <c:pt idx="216">
                  <c:v>141.44391804883793</c:v>
                </c:pt>
                <c:pt idx="217">
                  <c:v>141.45089855668823</c:v>
                </c:pt>
                <c:pt idx="218">
                  <c:v>138.87307048659659</c:v>
                </c:pt>
                <c:pt idx="219">
                  <c:v>139.15293374212175</c:v>
                </c:pt>
                <c:pt idx="220">
                  <c:v>139.6072178451173</c:v>
                </c:pt>
                <c:pt idx="221">
                  <c:v>141.5999691388075</c:v>
                </c:pt>
                <c:pt idx="222">
                  <c:v>141.41608786622419</c:v>
                </c:pt>
                <c:pt idx="223">
                  <c:v>141.32387168357002</c:v>
                </c:pt>
                <c:pt idx="224">
                  <c:v>138.81621608713155</c:v>
                </c:pt>
                <c:pt idx="225">
                  <c:v>141.17397446236325</c:v>
                </c:pt>
                <c:pt idx="226">
                  <c:v>141.79165755832869</c:v>
                </c:pt>
                <c:pt idx="227">
                  <c:v>142.04497651426516</c:v>
                </c:pt>
                <c:pt idx="228">
                  <c:v>141.91298980662168</c:v>
                </c:pt>
                <c:pt idx="229">
                  <c:v>141.50894699039091</c:v>
                </c:pt>
                <c:pt idx="230">
                  <c:v>142.54913450887548</c:v>
                </c:pt>
                <c:pt idx="231">
                  <c:v>142.98431406407019</c:v>
                </c:pt>
                <c:pt idx="232">
                  <c:v>143.30899952789736</c:v>
                </c:pt>
                <c:pt idx="233">
                  <c:v>143.58417849525981</c:v>
                </c:pt>
                <c:pt idx="234">
                  <c:v>144.13738374239733</c:v>
                </c:pt>
                <c:pt idx="235">
                  <c:v>143.99272190207827</c:v>
                </c:pt>
                <c:pt idx="236">
                  <c:v>143.65701458375057</c:v>
                </c:pt>
                <c:pt idx="237">
                  <c:v>143.11088169325083</c:v>
                </c:pt>
                <c:pt idx="238">
                  <c:v>143.0197676960467</c:v>
                </c:pt>
                <c:pt idx="239">
                  <c:v>144.14078214753494</c:v>
                </c:pt>
                <c:pt idx="240">
                  <c:v>143.96048297766427</c:v>
                </c:pt>
                <c:pt idx="241">
                  <c:v>144.47373400223751</c:v>
                </c:pt>
                <c:pt idx="242">
                  <c:v>144.29968054991713</c:v>
                </c:pt>
                <c:pt idx="243">
                  <c:v>144.45674197654924</c:v>
                </c:pt>
                <c:pt idx="244">
                  <c:v>141.88837433157053</c:v>
                </c:pt>
                <c:pt idx="245">
                  <c:v>143.31386751363502</c:v>
                </c:pt>
                <c:pt idx="246">
                  <c:v>143.61779515148629</c:v>
                </c:pt>
                <c:pt idx="247">
                  <c:v>141.96506806913649</c:v>
                </c:pt>
                <c:pt idx="248">
                  <c:v>143.18518736234171</c:v>
                </c:pt>
                <c:pt idx="249">
                  <c:v>143.35731199012451</c:v>
                </c:pt>
                <c:pt idx="250">
                  <c:v>142.86325736213968</c:v>
                </c:pt>
                <c:pt idx="251">
                  <c:v>144.11616667248387</c:v>
                </c:pt>
                <c:pt idx="252">
                  <c:v>142.65071926785507</c:v>
                </c:pt>
                <c:pt idx="253">
                  <c:v>143.31910289452281</c:v>
                </c:pt>
                <c:pt idx="254">
                  <c:v>143.74417908309204</c:v>
                </c:pt>
                <c:pt idx="255">
                  <c:v>142.4701445516219</c:v>
                </c:pt>
                <c:pt idx="256">
                  <c:v>144.13563861543477</c:v>
                </c:pt>
                <c:pt idx="257">
                  <c:v>141.63670865380919</c:v>
                </c:pt>
                <c:pt idx="258">
                  <c:v>144.09173489500779</c:v>
                </c:pt>
                <c:pt idx="259">
                  <c:v>145.03391975722542</c:v>
                </c:pt>
                <c:pt idx="260">
                  <c:v>145.02592891271254</c:v>
                </c:pt>
              </c:numCache>
            </c:numRef>
          </c:val>
          <c:smooth val="0"/>
          <c:extLst>
            <c:ext xmlns:c16="http://schemas.microsoft.com/office/drawing/2014/chart" uri="{C3380CC4-5D6E-409C-BE32-E72D297353CC}">
              <c16:uniqueId val="{00000001-E32C-4824-85F6-4515D8B4CE1E}"/>
            </c:ext>
          </c:extLst>
        </c:ser>
        <c:ser>
          <c:idx val="4"/>
          <c:order val="2"/>
          <c:tx>
            <c:strRef>
              <c:f>Sheet1!$F$1</c:f>
              <c:strCache>
                <c:ptCount val="1"/>
                <c:pt idx="0">
                  <c:v>MOEX (ՌԴ)</c:v>
                </c:pt>
              </c:strCache>
            </c:strRef>
          </c:tx>
          <c:spPr>
            <a:ln w="28575" cap="rnd">
              <a:solidFill>
                <a:schemeClr val="accent2">
                  <a:lumMod val="75000"/>
                </a:schemeClr>
              </a:solidFill>
              <a:round/>
            </a:ln>
            <a:effectLst/>
          </c:spPr>
          <c:marker>
            <c:symbol val="none"/>
          </c:marker>
          <c:cat>
            <c:numRef>
              <c:f>Sheet1!$A$2:$A$262</c:f>
              <c:numCache>
                <c:formatCode>dd\-mmm\-yy</c:formatCode>
                <c:ptCount val="261"/>
                <c:pt idx="0">
                  <c:v>43471</c:v>
                </c:pt>
                <c:pt idx="1">
                  <c:v>43478</c:v>
                </c:pt>
                <c:pt idx="2">
                  <c:v>43485</c:v>
                </c:pt>
                <c:pt idx="3">
                  <c:v>43492</c:v>
                </c:pt>
                <c:pt idx="4">
                  <c:v>43499</c:v>
                </c:pt>
                <c:pt idx="5">
                  <c:v>43506</c:v>
                </c:pt>
                <c:pt idx="6">
                  <c:v>43513</c:v>
                </c:pt>
                <c:pt idx="7">
                  <c:v>43520</c:v>
                </c:pt>
                <c:pt idx="8">
                  <c:v>43527</c:v>
                </c:pt>
                <c:pt idx="9">
                  <c:v>43534</c:v>
                </c:pt>
                <c:pt idx="10">
                  <c:v>43541</c:v>
                </c:pt>
                <c:pt idx="11">
                  <c:v>43548</c:v>
                </c:pt>
                <c:pt idx="12">
                  <c:v>43555</c:v>
                </c:pt>
                <c:pt idx="13">
                  <c:v>43562</c:v>
                </c:pt>
                <c:pt idx="14">
                  <c:v>43569</c:v>
                </c:pt>
                <c:pt idx="15">
                  <c:v>43576</c:v>
                </c:pt>
                <c:pt idx="16">
                  <c:v>43583</c:v>
                </c:pt>
                <c:pt idx="17">
                  <c:v>43590</c:v>
                </c:pt>
                <c:pt idx="18">
                  <c:v>43597</c:v>
                </c:pt>
                <c:pt idx="19">
                  <c:v>43604</c:v>
                </c:pt>
                <c:pt idx="20">
                  <c:v>43611</c:v>
                </c:pt>
                <c:pt idx="21">
                  <c:v>43618</c:v>
                </c:pt>
                <c:pt idx="22">
                  <c:v>43625</c:v>
                </c:pt>
                <c:pt idx="23">
                  <c:v>43632</c:v>
                </c:pt>
                <c:pt idx="24">
                  <c:v>43639</c:v>
                </c:pt>
                <c:pt idx="25">
                  <c:v>43646</c:v>
                </c:pt>
                <c:pt idx="26">
                  <c:v>43653</c:v>
                </c:pt>
                <c:pt idx="27">
                  <c:v>43660</c:v>
                </c:pt>
                <c:pt idx="28">
                  <c:v>43667</c:v>
                </c:pt>
                <c:pt idx="29">
                  <c:v>43674</c:v>
                </c:pt>
                <c:pt idx="30">
                  <c:v>43681</c:v>
                </c:pt>
                <c:pt idx="31">
                  <c:v>43688</c:v>
                </c:pt>
                <c:pt idx="32">
                  <c:v>43695</c:v>
                </c:pt>
                <c:pt idx="33">
                  <c:v>43702</c:v>
                </c:pt>
                <c:pt idx="34">
                  <c:v>43709</c:v>
                </c:pt>
                <c:pt idx="35">
                  <c:v>43716</c:v>
                </c:pt>
                <c:pt idx="36">
                  <c:v>43723</c:v>
                </c:pt>
                <c:pt idx="37">
                  <c:v>43730</c:v>
                </c:pt>
                <c:pt idx="38">
                  <c:v>43737</c:v>
                </c:pt>
                <c:pt idx="39">
                  <c:v>43744</c:v>
                </c:pt>
                <c:pt idx="40">
                  <c:v>43751</c:v>
                </c:pt>
                <c:pt idx="41">
                  <c:v>43758</c:v>
                </c:pt>
                <c:pt idx="42">
                  <c:v>43765</c:v>
                </c:pt>
                <c:pt idx="43">
                  <c:v>43772</c:v>
                </c:pt>
                <c:pt idx="44">
                  <c:v>43779</c:v>
                </c:pt>
                <c:pt idx="45">
                  <c:v>43786</c:v>
                </c:pt>
                <c:pt idx="46">
                  <c:v>43793</c:v>
                </c:pt>
                <c:pt idx="47">
                  <c:v>43800</c:v>
                </c:pt>
                <c:pt idx="48">
                  <c:v>43807</c:v>
                </c:pt>
                <c:pt idx="49">
                  <c:v>43814</c:v>
                </c:pt>
                <c:pt idx="50">
                  <c:v>43821</c:v>
                </c:pt>
                <c:pt idx="51">
                  <c:v>43828</c:v>
                </c:pt>
                <c:pt idx="52">
                  <c:v>43835</c:v>
                </c:pt>
                <c:pt idx="53">
                  <c:v>43842</c:v>
                </c:pt>
                <c:pt idx="54">
                  <c:v>43849</c:v>
                </c:pt>
                <c:pt idx="55">
                  <c:v>43856</c:v>
                </c:pt>
                <c:pt idx="56">
                  <c:v>43863</c:v>
                </c:pt>
                <c:pt idx="57">
                  <c:v>43870</c:v>
                </c:pt>
                <c:pt idx="58">
                  <c:v>43877</c:v>
                </c:pt>
                <c:pt idx="59">
                  <c:v>43884</c:v>
                </c:pt>
                <c:pt idx="60">
                  <c:v>43891</c:v>
                </c:pt>
                <c:pt idx="61">
                  <c:v>43898</c:v>
                </c:pt>
                <c:pt idx="62">
                  <c:v>43905</c:v>
                </c:pt>
                <c:pt idx="63">
                  <c:v>43912</c:v>
                </c:pt>
                <c:pt idx="64">
                  <c:v>43919</c:v>
                </c:pt>
                <c:pt idx="65">
                  <c:v>43926</c:v>
                </c:pt>
                <c:pt idx="66">
                  <c:v>43933</c:v>
                </c:pt>
                <c:pt idx="67">
                  <c:v>43940</c:v>
                </c:pt>
                <c:pt idx="68">
                  <c:v>43947</c:v>
                </c:pt>
                <c:pt idx="69">
                  <c:v>43954</c:v>
                </c:pt>
                <c:pt idx="70">
                  <c:v>43961</c:v>
                </c:pt>
                <c:pt idx="71">
                  <c:v>43968</c:v>
                </c:pt>
                <c:pt idx="72">
                  <c:v>43975</c:v>
                </c:pt>
                <c:pt idx="73">
                  <c:v>43982</c:v>
                </c:pt>
                <c:pt idx="74">
                  <c:v>43989</c:v>
                </c:pt>
                <c:pt idx="75">
                  <c:v>43996</c:v>
                </c:pt>
                <c:pt idx="76">
                  <c:v>44003</c:v>
                </c:pt>
                <c:pt idx="77">
                  <c:v>44010</c:v>
                </c:pt>
                <c:pt idx="78">
                  <c:v>44017</c:v>
                </c:pt>
                <c:pt idx="79">
                  <c:v>44024</c:v>
                </c:pt>
                <c:pt idx="80">
                  <c:v>44031</c:v>
                </c:pt>
                <c:pt idx="81">
                  <c:v>44038</c:v>
                </c:pt>
                <c:pt idx="82">
                  <c:v>44045</c:v>
                </c:pt>
                <c:pt idx="83">
                  <c:v>44052</c:v>
                </c:pt>
                <c:pt idx="84">
                  <c:v>44059</c:v>
                </c:pt>
                <c:pt idx="85">
                  <c:v>44066</c:v>
                </c:pt>
                <c:pt idx="86">
                  <c:v>44073</c:v>
                </c:pt>
                <c:pt idx="87">
                  <c:v>44080</c:v>
                </c:pt>
                <c:pt idx="88">
                  <c:v>44087</c:v>
                </c:pt>
                <c:pt idx="89">
                  <c:v>44094</c:v>
                </c:pt>
                <c:pt idx="90">
                  <c:v>44101</c:v>
                </c:pt>
                <c:pt idx="91">
                  <c:v>44108</c:v>
                </c:pt>
                <c:pt idx="92">
                  <c:v>44115</c:v>
                </c:pt>
                <c:pt idx="93">
                  <c:v>44122</c:v>
                </c:pt>
                <c:pt idx="94">
                  <c:v>44129</c:v>
                </c:pt>
                <c:pt idx="95">
                  <c:v>44136</c:v>
                </c:pt>
                <c:pt idx="96">
                  <c:v>44137</c:v>
                </c:pt>
                <c:pt idx="97">
                  <c:v>44138</c:v>
                </c:pt>
                <c:pt idx="98">
                  <c:v>44140</c:v>
                </c:pt>
                <c:pt idx="99">
                  <c:v>44141</c:v>
                </c:pt>
                <c:pt idx="100">
                  <c:v>44144</c:v>
                </c:pt>
                <c:pt idx="101">
                  <c:v>44145</c:v>
                </c:pt>
                <c:pt idx="102">
                  <c:v>44146</c:v>
                </c:pt>
                <c:pt idx="103">
                  <c:v>44147</c:v>
                </c:pt>
                <c:pt idx="104">
                  <c:v>44148</c:v>
                </c:pt>
                <c:pt idx="105">
                  <c:v>44151</c:v>
                </c:pt>
                <c:pt idx="106">
                  <c:v>44152</c:v>
                </c:pt>
                <c:pt idx="107">
                  <c:v>44153</c:v>
                </c:pt>
                <c:pt idx="108">
                  <c:v>44154</c:v>
                </c:pt>
                <c:pt idx="109">
                  <c:v>44155</c:v>
                </c:pt>
                <c:pt idx="110">
                  <c:v>44158</c:v>
                </c:pt>
                <c:pt idx="111">
                  <c:v>44159</c:v>
                </c:pt>
                <c:pt idx="112">
                  <c:v>44160</c:v>
                </c:pt>
                <c:pt idx="113">
                  <c:v>44162</c:v>
                </c:pt>
                <c:pt idx="114">
                  <c:v>44165</c:v>
                </c:pt>
                <c:pt idx="115">
                  <c:v>44166</c:v>
                </c:pt>
                <c:pt idx="116">
                  <c:v>44167</c:v>
                </c:pt>
                <c:pt idx="117">
                  <c:v>44168</c:v>
                </c:pt>
                <c:pt idx="118">
                  <c:v>44169</c:v>
                </c:pt>
                <c:pt idx="119">
                  <c:v>44172</c:v>
                </c:pt>
                <c:pt idx="120">
                  <c:v>44173</c:v>
                </c:pt>
                <c:pt idx="121">
                  <c:v>44174</c:v>
                </c:pt>
                <c:pt idx="122">
                  <c:v>44175</c:v>
                </c:pt>
                <c:pt idx="123">
                  <c:v>44176</c:v>
                </c:pt>
                <c:pt idx="124">
                  <c:v>44179</c:v>
                </c:pt>
                <c:pt idx="125">
                  <c:v>44180</c:v>
                </c:pt>
                <c:pt idx="126">
                  <c:v>44181</c:v>
                </c:pt>
                <c:pt idx="127">
                  <c:v>44182</c:v>
                </c:pt>
                <c:pt idx="128">
                  <c:v>44183</c:v>
                </c:pt>
                <c:pt idx="129">
                  <c:v>44186</c:v>
                </c:pt>
                <c:pt idx="130">
                  <c:v>44187</c:v>
                </c:pt>
                <c:pt idx="131">
                  <c:v>44188</c:v>
                </c:pt>
                <c:pt idx="132">
                  <c:v>44193</c:v>
                </c:pt>
                <c:pt idx="133">
                  <c:v>44194</c:v>
                </c:pt>
                <c:pt idx="134">
                  <c:v>44195</c:v>
                </c:pt>
                <c:pt idx="135">
                  <c:v>44200</c:v>
                </c:pt>
                <c:pt idx="136">
                  <c:v>44201</c:v>
                </c:pt>
                <c:pt idx="137">
                  <c:v>44202</c:v>
                </c:pt>
                <c:pt idx="138">
                  <c:v>44204</c:v>
                </c:pt>
                <c:pt idx="139">
                  <c:v>44207</c:v>
                </c:pt>
                <c:pt idx="140">
                  <c:v>44208</c:v>
                </c:pt>
                <c:pt idx="141">
                  <c:v>44209</c:v>
                </c:pt>
                <c:pt idx="142">
                  <c:v>44210</c:v>
                </c:pt>
                <c:pt idx="143">
                  <c:v>44211</c:v>
                </c:pt>
                <c:pt idx="144">
                  <c:v>44215</c:v>
                </c:pt>
                <c:pt idx="145">
                  <c:v>44216</c:v>
                </c:pt>
                <c:pt idx="146">
                  <c:v>44217</c:v>
                </c:pt>
                <c:pt idx="147">
                  <c:v>44218</c:v>
                </c:pt>
                <c:pt idx="148">
                  <c:v>44221</c:v>
                </c:pt>
                <c:pt idx="149">
                  <c:v>44222</c:v>
                </c:pt>
                <c:pt idx="150">
                  <c:v>44223</c:v>
                </c:pt>
                <c:pt idx="151">
                  <c:v>44224</c:v>
                </c:pt>
                <c:pt idx="152">
                  <c:v>44225</c:v>
                </c:pt>
                <c:pt idx="153">
                  <c:v>44228</c:v>
                </c:pt>
                <c:pt idx="154">
                  <c:v>44229</c:v>
                </c:pt>
                <c:pt idx="155">
                  <c:v>44230</c:v>
                </c:pt>
                <c:pt idx="156">
                  <c:v>44231</c:v>
                </c:pt>
                <c:pt idx="157">
                  <c:v>44232</c:v>
                </c:pt>
                <c:pt idx="158">
                  <c:v>44235</c:v>
                </c:pt>
                <c:pt idx="159">
                  <c:v>44236</c:v>
                </c:pt>
                <c:pt idx="160">
                  <c:v>44237</c:v>
                </c:pt>
                <c:pt idx="161">
                  <c:v>44238</c:v>
                </c:pt>
                <c:pt idx="162">
                  <c:v>44239</c:v>
                </c:pt>
                <c:pt idx="163">
                  <c:v>44243</c:v>
                </c:pt>
                <c:pt idx="164">
                  <c:v>44244</c:v>
                </c:pt>
                <c:pt idx="165">
                  <c:v>44245</c:v>
                </c:pt>
                <c:pt idx="166">
                  <c:v>44246</c:v>
                </c:pt>
                <c:pt idx="167">
                  <c:v>44249</c:v>
                </c:pt>
                <c:pt idx="168">
                  <c:v>44251</c:v>
                </c:pt>
                <c:pt idx="169">
                  <c:v>44252</c:v>
                </c:pt>
                <c:pt idx="170">
                  <c:v>44253</c:v>
                </c:pt>
                <c:pt idx="171">
                  <c:v>44256</c:v>
                </c:pt>
                <c:pt idx="172">
                  <c:v>44257</c:v>
                </c:pt>
                <c:pt idx="173">
                  <c:v>44258</c:v>
                </c:pt>
                <c:pt idx="174">
                  <c:v>44259</c:v>
                </c:pt>
                <c:pt idx="175">
                  <c:v>44260</c:v>
                </c:pt>
                <c:pt idx="176">
                  <c:v>44264</c:v>
                </c:pt>
                <c:pt idx="177">
                  <c:v>44265</c:v>
                </c:pt>
                <c:pt idx="178">
                  <c:v>44266</c:v>
                </c:pt>
                <c:pt idx="179">
                  <c:v>44267</c:v>
                </c:pt>
                <c:pt idx="180">
                  <c:v>44270</c:v>
                </c:pt>
                <c:pt idx="181">
                  <c:v>44271</c:v>
                </c:pt>
                <c:pt idx="182">
                  <c:v>44272</c:v>
                </c:pt>
                <c:pt idx="183">
                  <c:v>44273</c:v>
                </c:pt>
                <c:pt idx="184">
                  <c:v>44274</c:v>
                </c:pt>
                <c:pt idx="185">
                  <c:v>44277</c:v>
                </c:pt>
                <c:pt idx="186">
                  <c:v>44278</c:v>
                </c:pt>
                <c:pt idx="187">
                  <c:v>44279</c:v>
                </c:pt>
                <c:pt idx="188">
                  <c:v>44280</c:v>
                </c:pt>
                <c:pt idx="189">
                  <c:v>44281</c:v>
                </c:pt>
                <c:pt idx="190">
                  <c:v>44284</c:v>
                </c:pt>
                <c:pt idx="191">
                  <c:v>44285</c:v>
                </c:pt>
                <c:pt idx="192">
                  <c:v>44286</c:v>
                </c:pt>
                <c:pt idx="193">
                  <c:v>44287</c:v>
                </c:pt>
                <c:pt idx="194">
                  <c:v>44292</c:v>
                </c:pt>
                <c:pt idx="195">
                  <c:v>44293</c:v>
                </c:pt>
                <c:pt idx="196">
                  <c:v>44294</c:v>
                </c:pt>
                <c:pt idx="197">
                  <c:v>44295</c:v>
                </c:pt>
                <c:pt idx="198">
                  <c:v>44298</c:v>
                </c:pt>
                <c:pt idx="199">
                  <c:v>44299</c:v>
                </c:pt>
                <c:pt idx="200">
                  <c:v>44300</c:v>
                </c:pt>
                <c:pt idx="201">
                  <c:v>44301</c:v>
                </c:pt>
                <c:pt idx="202">
                  <c:v>44302</c:v>
                </c:pt>
                <c:pt idx="203">
                  <c:v>44305</c:v>
                </c:pt>
                <c:pt idx="204">
                  <c:v>44306</c:v>
                </c:pt>
                <c:pt idx="205">
                  <c:v>44307</c:v>
                </c:pt>
                <c:pt idx="206">
                  <c:v>44308</c:v>
                </c:pt>
                <c:pt idx="207">
                  <c:v>44309</c:v>
                </c:pt>
                <c:pt idx="208">
                  <c:v>44312</c:v>
                </c:pt>
                <c:pt idx="209">
                  <c:v>44313</c:v>
                </c:pt>
                <c:pt idx="210">
                  <c:v>44314</c:v>
                </c:pt>
                <c:pt idx="211">
                  <c:v>44315</c:v>
                </c:pt>
                <c:pt idx="212">
                  <c:v>44316</c:v>
                </c:pt>
                <c:pt idx="213">
                  <c:v>44320</c:v>
                </c:pt>
                <c:pt idx="214">
                  <c:v>44321</c:v>
                </c:pt>
                <c:pt idx="215">
                  <c:v>44322</c:v>
                </c:pt>
                <c:pt idx="216">
                  <c:v>44323</c:v>
                </c:pt>
                <c:pt idx="217">
                  <c:v>44326</c:v>
                </c:pt>
                <c:pt idx="218">
                  <c:v>44327</c:v>
                </c:pt>
                <c:pt idx="219">
                  <c:v>44328</c:v>
                </c:pt>
                <c:pt idx="220">
                  <c:v>44329</c:v>
                </c:pt>
                <c:pt idx="221">
                  <c:v>44330</c:v>
                </c:pt>
                <c:pt idx="222">
                  <c:v>44333</c:v>
                </c:pt>
                <c:pt idx="223">
                  <c:v>44334</c:v>
                </c:pt>
                <c:pt idx="224">
                  <c:v>44335</c:v>
                </c:pt>
                <c:pt idx="225">
                  <c:v>44336</c:v>
                </c:pt>
                <c:pt idx="226">
                  <c:v>44337</c:v>
                </c:pt>
                <c:pt idx="227">
                  <c:v>44341</c:v>
                </c:pt>
                <c:pt idx="228">
                  <c:v>44342</c:v>
                </c:pt>
                <c:pt idx="229">
                  <c:v>44343</c:v>
                </c:pt>
                <c:pt idx="230">
                  <c:v>44344</c:v>
                </c:pt>
                <c:pt idx="231">
                  <c:v>44348</c:v>
                </c:pt>
                <c:pt idx="232">
                  <c:v>44349</c:v>
                </c:pt>
                <c:pt idx="233">
                  <c:v>44350</c:v>
                </c:pt>
                <c:pt idx="234">
                  <c:v>44351</c:v>
                </c:pt>
                <c:pt idx="235">
                  <c:v>44354</c:v>
                </c:pt>
                <c:pt idx="236">
                  <c:v>44355</c:v>
                </c:pt>
                <c:pt idx="237">
                  <c:v>44356</c:v>
                </c:pt>
                <c:pt idx="238">
                  <c:v>44357</c:v>
                </c:pt>
                <c:pt idx="239">
                  <c:v>44358</c:v>
                </c:pt>
                <c:pt idx="240">
                  <c:v>44361</c:v>
                </c:pt>
                <c:pt idx="241">
                  <c:v>44362</c:v>
                </c:pt>
                <c:pt idx="242">
                  <c:v>44363</c:v>
                </c:pt>
                <c:pt idx="243">
                  <c:v>44364</c:v>
                </c:pt>
                <c:pt idx="244">
                  <c:v>44365</c:v>
                </c:pt>
                <c:pt idx="245">
                  <c:v>44368</c:v>
                </c:pt>
                <c:pt idx="246">
                  <c:v>44369</c:v>
                </c:pt>
                <c:pt idx="247">
                  <c:v>44370</c:v>
                </c:pt>
                <c:pt idx="248">
                  <c:v>44371</c:v>
                </c:pt>
                <c:pt idx="249">
                  <c:v>44372</c:v>
                </c:pt>
                <c:pt idx="250">
                  <c:v>44375</c:v>
                </c:pt>
                <c:pt idx="251">
                  <c:v>44376</c:v>
                </c:pt>
                <c:pt idx="252">
                  <c:v>44377</c:v>
                </c:pt>
                <c:pt idx="253">
                  <c:v>44378</c:v>
                </c:pt>
                <c:pt idx="254">
                  <c:v>44379</c:v>
                </c:pt>
                <c:pt idx="255">
                  <c:v>44383</c:v>
                </c:pt>
                <c:pt idx="256">
                  <c:v>44384</c:v>
                </c:pt>
                <c:pt idx="257">
                  <c:v>44385</c:v>
                </c:pt>
                <c:pt idx="258">
                  <c:v>44386</c:v>
                </c:pt>
                <c:pt idx="259">
                  <c:v>44389</c:v>
                </c:pt>
                <c:pt idx="260">
                  <c:v>44390</c:v>
                </c:pt>
              </c:numCache>
            </c:numRef>
          </c:cat>
          <c:val>
            <c:numRef>
              <c:f>Sheet1!$F$2:$F$262</c:f>
              <c:numCache>
                <c:formatCode>0</c:formatCode>
                <c:ptCount val="261"/>
                <c:pt idx="0">
                  <c:v>100</c:v>
                </c:pt>
                <c:pt idx="1">
                  <c:v>101.19290637975824</c:v>
                </c:pt>
                <c:pt idx="2">
                  <c:v>102.20008590889566</c:v>
                </c:pt>
                <c:pt idx="3">
                  <c:v>103.16022009040887</c:v>
                </c:pt>
                <c:pt idx="4">
                  <c:v>102.38785820941317</c:v>
                </c:pt>
                <c:pt idx="5">
                  <c:v>101.86995029556751</c:v>
                </c:pt>
                <c:pt idx="6">
                  <c:v>101.80735952872836</c:v>
                </c:pt>
                <c:pt idx="7">
                  <c:v>101.37290597066827</c:v>
                </c:pt>
                <c:pt idx="8">
                  <c:v>101.31686064349854</c:v>
                </c:pt>
                <c:pt idx="9">
                  <c:v>101.32054245331263</c:v>
                </c:pt>
                <c:pt idx="10">
                  <c:v>101.97385915032012</c:v>
                </c:pt>
                <c:pt idx="11">
                  <c:v>102.15385874123014</c:v>
                </c:pt>
                <c:pt idx="12">
                  <c:v>103.94935466055759</c:v>
                </c:pt>
                <c:pt idx="13">
                  <c:v>104.71558019186321</c:v>
                </c:pt>
                <c:pt idx="14">
                  <c:v>104.88657980322775</c:v>
                </c:pt>
                <c:pt idx="15">
                  <c:v>104.8792161835996</c:v>
                </c:pt>
                <c:pt idx="16">
                  <c:v>105.58407821800405</c:v>
                </c:pt>
                <c:pt idx="17">
                  <c:v>102.88081163451902</c:v>
                </c:pt>
                <c:pt idx="18">
                  <c:v>105.44212399517275</c:v>
                </c:pt>
                <c:pt idx="19">
                  <c:v>107.15048374890058</c:v>
                </c:pt>
                <c:pt idx="20">
                  <c:v>109.03597946368305</c:v>
                </c:pt>
                <c:pt idx="21">
                  <c:v>111.66560985088672</c:v>
                </c:pt>
                <c:pt idx="22">
                  <c:v>112.06119986090944</c:v>
                </c:pt>
                <c:pt idx="23">
                  <c:v>112.95915236556283</c:v>
                </c:pt>
                <c:pt idx="24">
                  <c:v>113.14815193601835</c:v>
                </c:pt>
                <c:pt idx="25">
                  <c:v>115.991327292438</c:v>
                </c:pt>
                <c:pt idx="26">
                  <c:v>113.6280144817853</c:v>
                </c:pt>
                <c:pt idx="27">
                  <c:v>110.47761255088059</c:v>
                </c:pt>
                <c:pt idx="28">
                  <c:v>111.09574750966478</c:v>
                </c:pt>
                <c:pt idx="29">
                  <c:v>109.42747857391237</c:v>
                </c:pt>
                <c:pt idx="30">
                  <c:v>109.62425085397535</c:v>
                </c:pt>
                <c:pt idx="31">
                  <c:v>106.98521139724684</c:v>
                </c:pt>
                <c:pt idx="32">
                  <c:v>108.84820716316555</c:v>
                </c:pt>
                <c:pt idx="33">
                  <c:v>112.09229069933934</c:v>
                </c:pt>
                <c:pt idx="34">
                  <c:v>114.44496717052918</c:v>
                </c:pt>
                <c:pt idx="35">
                  <c:v>114.20728589253208</c:v>
                </c:pt>
                <c:pt idx="36">
                  <c:v>114.3983309128843</c:v>
                </c:pt>
                <c:pt idx="37">
                  <c:v>112.82619812227701</c:v>
                </c:pt>
                <c:pt idx="38">
                  <c:v>110.14952238744912</c:v>
                </c:pt>
                <c:pt idx="39">
                  <c:v>110.78443003538628</c:v>
                </c:pt>
                <c:pt idx="40">
                  <c:v>112.61878950275111</c:v>
                </c:pt>
                <c:pt idx="41">
                  <c:v>117.54832375380963</c:v>
                </c:pt>
                <c:pt idx="42">
                  <c:v>119.87972754607374</c:v>
                </c:pt>
                <c:pt idx="43">
                  <c:v>121.63022356767368</c:v>
                </c:pt>
                <c:pt idx="44">
                  <c:v>120.06054531694244</c:v>
                </c:pt>
                <c:pt idx="45">
                  <c:v>120.58663503037491</c:v>
                </c:pt>
                <c:pt idx="46">
                  <c:v>120.08304526580619</c:v>
                </c:pt>
                <c:pt idx="47">
                  <c:v>119.81263678946183</c:v>
                </c:pt>
                <c:pt idx="48">
                  <c:v>122.58913047924889</c:v>
                </c:pt>
                <c:pt idx="49">
                  <c:v>123.37867413937693</c:v>
                </c:pt>
                <c:pt idx="50">
                  <c:v>124.79167092802058</c:v>
                </c:pt>
                <c:pt idx="51">
                  <c:v>125.85121397451367</c:v>
                </c:pt>
                <c:pt idx="52">
                  <c:v>127.78580048681705</c:v>
                </c:pt>
                <c:pt idx="53">
                  <c:v>130.78115731555155</c:v>
                </c:pt>
                <c:pt idx="54">
                  <c:v>128.70788930025157</c:v>
                </c:pt>
                <c:pt idx="55">
                  <c:v>125.86266849393523</c:v>
                </c:pt>
                <c:pt idx="56">
                  <c:v>126.3118492912516</c:v>
                </c:pt>
                <c:pt idx="57">
                  <c:v>126.69025752214199</c:v>
                </c:pt>
                <c:pt idx="58">
                  <c:v>127.06457485323897</c:v>
                </c:pt>
                <c:pt idx="59">
                  <c:v>113.93483196629096</c:v>
                </c:pt>
                <c:pt idx="60">
                  <c:v>111.25242897175232</c:v>
                </c:pt>
                <c:pt idx="61">
                  <c:v>94.760784634580361</c:v>
                </c:pt>
                <c:pt idx="62">
                  <c:v>95.383828673116639</c:v>
                </c:pt>
                <c:pt idx="63">
                  <c:v>98.227004029536275</c:v>
                </c:pt>
                <c:pt idx="64">
                  <c:v>105.22735175601871</c:v>
                </c:pt>
                <c:pt idx="65">
                  <c:v>109.54856920779723</c:v>
                </c:pt>
                <c:pt idx="66">
                  <c:v>103.7030824929943</c:v>
                </c:pt>
                <c:pt idx="67">
                  <c:v>104.81007997709095</c:v>
                </c:pt>
                <c:pt idx="68">
                  <c:v>108.43175356419641</c:v>
                </c:pt>
                <c:pt idx="69">
                  <c:v>108.06316349281023</c:v>
                </c:pt>
                <c:pt idx="70">
                  <c:v>106.11425883122989</c:v>
                </c:pt>
                <c:pt idx="71">
                  <c:v>110.83802082267991</c:v>
                </c:pt>
                <c:pt idx="72">
                  <c:v>111.87915482010264</c:v>
                </c:pt>
                <c:pt idx="73">
                  <c:v>114.24819489046611</c:v>
                </c:pt>
                <c:pt idx="74">
                  <c:v>112.24610853157149</c:v>
                </c:pt>
                <c:pt idx="75">
                  <c:v>112.8544253308515</c:v>
                </c:pt>
                <c:pt idx="76">
                  <c:v>112.98001595450917</c:v>
                </c:pt>
                <c:pt idx="77">
                  <c:v>114.61310315203828</c:v>
                </c:pt>
                <c:pt idx="78">
                  <c:v>114.58364867352574</c:v>
                </c:pt>
                <c:pt idx="79">
                  <c:v>113.51387837754913</c:v>
                </c:pt>
                <c:pt idx="80">
                  <c:v>117.12737016506779</c:v>
                </c:pt>
                <c:pt idx="81">
                  <c:v>119.10941111497473</c:v>
                </c:pt>
                <c:pt idx="82">
                  <c:v>121.59586000940907</c:v>
                </c:pt>
                <c:pt idx="83">
                  <c:v>125.26294258422139</c:v>
                </c:pt>
                <c:pt idx="84">
                  <c:v>122.54740330135614</c:v>
                </c:pt>
                <c:pt idx="85">
                  <c:v>121.91576837325371</c:v>
                </c:pt>
                <c:pt idx="86">
                  <c:v>119.51768291435704</c:v>
                </c:pt>
                <c:pt idx="87">
                  <c:v>119.06604757716462</c:v>
                </c:pt>
                <c:pt idx="88">
                  <c:v>120.75477101188407</c:v>
                </c:pt>
                <c:pt idx="89">
                  <c:v>118.50641248542618</c:v>
                </c:pt>
                <c:pt idx="90">
                  <c:v>116.68964388717299</c:v>
                </c:pt>
                <c:pt idx="91">
                  <c:v>115.93978195504101</c:v>
                </c:pt>
                <c:pt idx="92">
                  <c:v>114.526376076418</c:v>
                </c:pt>
                <c:pt idx="93">
                  <c:v>115.22837448096708</c:v>
                </c:pt>
                <c:pt idx="94">
                  <c:v>110.06934075149829</c:v>
                </c:pt>
                <c:pt idx="95">
                  <c:v>118.45691259792589</c:v>
                </c:pt>
                <c:pt idx="96">
                  <c:v>111.99001820450407</c:v>
                </c:pt>
                <c:pt idx="97">
                  <c:v>113.98965002352267</c:v>
                </c:pt>
                <c:pt idx="98">
                  <c:v>117.0565975986418</c:v>
                </c:pt>
                <c:pt idx="99">
                  <c:v>118.45691259792589</c:v>
                </c:pt>
                <c:pt idx="100">
                  <c:v>122.22585857759411</c:v>
                </c:pt>
                <c:pt idx="101">
                  <c:v>122.67013029515839</c:v>
                </c:pt>
                <c:pt idx="102">
                  <c:v>123.34185604123624</c:v>
                </c:pt>
                <c:pt idx="103">
                  <c:v>123.78367321892446</c:v>
                </c:pt>
                <c:pt idx="104">
                  <c:v>123.75871873018467</c:v>
                </c:pt>
                <c:pt idx="105">
                  <c:v>125.98907729755155</c:v>
                </c:pt>
                <c:pt idx="106">
                  <c:v>124.86326167440524</c:v>
                </c:pt>
                <c:pt idx="107">
                  <c:v>126.0275317556096</c:v>
                </c:pt>
                <c:pt idx="108">
                  <c:v>124.62885311624287</c:v>
                </c:pt>
                <c:pt idx="109">
                  <c:v>124.814989056843</c:v>
                </c:pt>
                <c:pt idx="110">
                  <c:v>124.6521712450653</c:v>
                </c:pt>
                <c:pt idx="111">
                  <c:v>126.6477121642905</c:v>
                </c:pt>
                <c:pt idx="112">
                  <c:v>128.23007220438132</c:v>
                </c:pt>
                <c:pt idx="113">
                  <c:v>128.56388962752354</c:v>
                </c:pt>
                <c:pt idx="114">
                  <c:v>127.12798380003679</c:v>
                </c:pt>
                <c:pt idx="115">
                  <c:v>128.77293460696677</c:v>
                </c:pt>
                <c:pt idx="116">
                  <c:v>130.48374890057065</c:v>
                </c:pt>
                <c:pt idx="117">
                  <c:v>129.38166049622612</c:v>
                </c:pt>
                <c:pt idx="118">
                  <c:v>130.28370390067292</c:v>
                </c:pt>
                <c:pt idx="119">
                  <c:v>130.70752111927015</c:v>
                </c:pt>
                <c:pt idx="120">
                  <c:v>130.07465892122968</c:v>
                </c:pt>
                <c:pt idx="121">
                  <c:v>131.38579230501745</c:v>
                </c:pt>
                <c:pt idx="122">
                  <c:v>133.29419705864299</c:v>
                </c:pt>
                <c:pt idx="123">
                  <c:v>134.04160445089892</c:v>
                </c:pt>
                <c:pt idx="124">
                  <c:v>133.15183374583233</c:v>
                </c:pt>
                <c:pt idx="125">
                  <c:v>132.87692527971524</c:v>
                </c:pt>
                <c:pt idx="126">
                  <c:v>133.77037779459587</c:v>
                </c:pt>
                <c:pt idx="127">
                  <c:v>134.29074024831758</c:v>
                </c:pt>
                <c:pt idx="128">
                  <c:v>133.92583198674544</c:v>
                </c:pt>
                <c:pt idx="129">
                  <c:v>130.35161283724352</c:v>
                </c:pt>
                <c:pt idx="130">
                  <c:v>132.40033545378301</c:v>
                </c:pt>
                <c:pt idx="131">
                  <c:v>133.04015218147225</c:v>
                </c:pt>
                <c:pt idx="132">
                  <c:v>133.3203788173208</c:v>
                </c:pt>
                <c:pt idx="133">
                  <c:v>133.96346826484478</c:v>
                </c:pt>
                <c:pt idx="134">
                  <c:v>134.55051238519906</c:v>
                </c:pt>
                <c:pt idx="135">
                  <c:v>137.06600666816661</c:v>
                </c:pt>
                <c:pt idx="136">
                  <c:v>137.41946041031719</c:v>
                </c:pt>
                <c:pt idx="137">
                  <c:v>137.90545930577426</c:v>
                </c:pt>
                <c:pt idx="138">
                  <c:v>141.33322424267212</c:v>
                </c:pt>
                <c:pt idx="139">
                  <c:v>142.46476712552919</c:v>
                </c:pt>
                <c:pt idx="140">
                  <c:v>142.02172267790294</c:v>
                </c:pt>
                <c:pt idx="141">
                  <c:v>141.96485917077456</c:v>
                </c:pt>
                <c:pt idx="142">
                  <c:v>142.80717543823758</c:v>
                </c:pt>
                <c:pt idx="143">
                  <c:v>141.17490642066716</c:v>
                </c:pt>
                <c:pt idx="144">
                  <c:v>140.85908895661595</c:v>
                </c:pt>
                <c:pt idx="145">
                  <c:v>141.82331403792259</c:v>
                </c:pt>
                <c:pt idx="146">
                  <c:v>140.01799995909096</c:v>
                </c:pt>
                <c:pt idx="147">
                  <c:v>138.39186729121064</c:v>
                </c:pt>
                <c:pt idx="148">
                  <c:v>138.98750230113109</c:v>
                </c:pt>
                <c:pt idx="149">
                  <c:v>138.71259383501396</c:v>
                </c:pt>
                <c:pt idx="150">
                  <c:v>136.78414367240069</c:v>
                </c:pt>
                <c:pt idx="151">
                  <c:v>136.7182801857268</c:v>
                </c:pt>
                <c:pt idx="152">
                  <c:v>134.06205894986596</c:v>
                </c:pt>
                <c:pt idx="153">
                  <c:v>134.63723946081933</c:v>
                </c:pt>
                <c:pt idx="154">
                  <c:v>137.46446030804466</c:v>
                </c:pt>
                <c:pt idx="155">
                  <c:v>136.77759823273121</c:v>
                </c:pt>
                <c:pt idx="156">
                  <c:v>137.94514103377028</c:v>
                </c:pt>
                <c:pt idx="157">
                  <c:v>138.7931845609441</c:v>
                </c:pt>
                <c:pt idx="158">
                  <c:v>140.96831598109995</c:v>
                </c:pt>
                <c:pt idx="159">
                  <c:v>140.18940866043476</c:v>
                </c:pt>
                <c:pt idx="160">
                  <c:v>139.07668391662736</c:v>
                </c:pt>
                <c:pt idx="161">
                  <c:v>139.6764098263412</c:v>
                </c:pt>
                <c:pt idx="162">
                  <c:v>140.19840863998024</c:v>
                </c:pt>
                <c:pt idx="163">
                  <c:v>142.98758411912689</c:v>
                </c:pt>
                <c:pt idx="164">
                  <c:v>140.59604409989967</c:v>
                </c:pt>
                <c:pt idx="165">
                  <c:v>139.09754750557374</c:v>
                </c:pt>
                <c:pt idx="166">
                  <c:v>141.45022397676357</c:v>
                </c:pt>
                <c:pt idx="167">
                  <c:v>140.47863527582879</c:v>
                </c:pt>
                <c:pt idx="168">
                  <c:v>138.49659432592188</c:v>
                </c:pt>
                <c:pt idx="169">
                  <c:v>139.48986479576172</c:v>
                </c:pt>
                <c:pt idx="170">
                  <c:v>136.90768884616159</c:v>
                </c:pt>
                <c:pt idx="171">
                  <c:v>138.52441244451705</c:v>
                </c:pt>
                <c:pt idx="172">
                  <c:v>139.50377385505931</c:v>
                </c:pt>
                <c:pt idx="173">
                  <c:v>139.74677330278783</c:v>
                </c:pt>
                <c:pt idx="174">
                  <c:v>138.99077502096574</c:v>
                </c:pt>
                <c:pt idx="175">
                  <c:v>139.66863711673372</c:v>
                </c:pt>
                <c:pt idx="176">
                  <c:v>142.31094929329694</c:v>
                </c:pt>
                <c:pt idx="177">
                  <c:v>141.67031438564902</c:v>
                </c:pt>
                <c:pt idx="178">
                  <c:v>143.52962834175366</c:v>
                </c:pt>
                <c:pt idx="179">
                  <c:v>144.79739818773129</c:v>
                </c:pt>
                <c:pt idx="180">
                  <c:v>146.63789400478623</c:v>
                </c:pt>
                <c:pt idx="181">
                  <c:v>146.85634805375429</c:v>
                </c:pt>
                <c:pt idx="182">
                  <c:v>143.50508294299317</c:v>
                </c:pt>
                <c:pt idx="183">
                  <c:v>143.37990140931484</c:v>
                </c:pt>
                <c:pt idx="184">
                  <c:v>142.16940416044497</c:v>
                </c:pt>
                <c:pt idx="185">
                  <c:v>142.73435742191484</c:v>
                </c:pt>
                <c:pt idx="186">
                  <c:v>141.84008672707552</c:v>
                </c:pt>
                <c:pt idx="187">
                  <c:v>142.58135776964133</c:v>
                </c:pt>
                <c:pt idx="188">
                  <c:v>140.69831659473493</c:v>
                </c:pt>
                <c:pt idx="189">
                  <c:v>142.76544826034478</c:v>
                </c:pt>
                <c:pt idx="190">
                  <c:v>144.38135367874156</c:v>
                </c:pt>
                <c:pt idx="191">
                  <c:v>144.21362678721178</c:v>
                </c:pt>
                <c:pt idx="192">
                  <c:v>144.88821616314502</c:v>
                </c:pt>
                <c:pt idx="193">
                  <c:v>144.30812657243953</c:v>
                </c:pt>
                <c:pt idx="194">
                  <c:v>142.93153879195722</c:v>
                </c:pt>
                <c:pt idx="195">
                  <c:v>143.19540182863216</c:v>
                </c:pt>
                <c:pt idx="196">
                  <c:v>143.50181022315851</c:v>
                </c:pt>
                <c:pt idx="197">
                  <c:v>142.60999406819525</c:v>
                </c:pt>
                <c:pt idx="198">
                  <c:v>144.10808157254183</c:v>
                </c:pt>
                <c:pt idx="199">
                  <c:v>144.25739941500129</c:v>
                </c:pt>
                <c:pt idx="200">
                  <c:v>146.32698562048716</c:v>
                </c:pt>
                <c:pt idx="201">
                  <c:v>145.98416821779946</c:v>
                </c:pt>
                <c:pt idx="202">
                  <c:v>147.20857452596692</c:v>
                </c:pt>
                <c:pt idx="203">
                  <c:v>146.21203133629237</c:v>
                </c:pt>
                <c:pt idx="204">
                  <c:v>145.3255333510605</c:v>
                </c:pt>
                <c:pt idx="205">
                  <c:v>145.70639612182691</c:v>
                </c:pt>
                <c:pt idx="206">
                  <c:v>147.28671071202103</c:v>
                </c:pt>
                <c:pt idx="207">
                  <c:v>147.15662009859062</c:v>
                </c:pt>
                <c:pt idx="208">
                  <c:v>147.72157336006049</c:v>
                </c:pt>
                <c:pt idx="209">
                  <c:v>147.29693796150457</c:v>
                </c:pt>
                <c:pt idx="210">
                  <c:v>146.3773036879461</c:v>
                </c:pt>
                <c:pt idx="211">
                  <c:v>146.08807707255207</c:v>
                </c:pt>
                <c:pt idx="212">
                  <c:v>144.98148867843477</c:v>
                </c:pt>
                <c:pt idx="213">
                  <c:v>146.3400764998261</c:v>
                </c:pt>
                <c:pt idx="214">
                  <c:v>149.05438851275335</c:v>
                </c:pt>
                <c:pt idx="215">
                  <c:v>149.6561598723639</c:v>
                </c:pt>
                <c:pt idx="216">
                  <c:v>150.65515760191451</c:v>
                </c:pt>
                <c:pt idx="217">
                  <c:v>151.14974738693775</c:v>
                </c:pt>
                <c:pt idx="218">
                  <c:v>149.40170590521384</c:v>
                </c:pt>
                <c:pt idx="219">
                  <c:v>149.48720571089609</c:v>
                </c:pt>
                <c:pt idx="220">
                  <c:v>148.80157090552066</c:v>
                </c:pt>
                <c:pt idx="221">
                  <c:v>148.81057088506617</c:v>
                </c:pt>
                <c:pt idx="222">
                  <c:v>148.8927979709137</c:v>
                </c:pt>
                <c:pt idx="223">
                  <c:v>150.87074802102723</c:v>
                </c:pt>
                <c:pt idx="224">
                  <c:v>148.69438933093335</c:v>
                </c:pt>
                <c:pt idx="225">
                  <c:v>148.75166192804107</c:v>
                </c:pt>
                <c:pt idx="226">
                  <c:v>149.74656875779826</c:v>
                </c:pt>
                <c:pt idx="227">
                  <c:v>150.82165722350632</c:v>
                </c:pt>
                <c:pt idx="228">
                  <c:v>151.81533678332551</c:v>
                </c:pt>
                <c:pt idx="229">
                  <c:v>152.94565239624455</c:v>
                </c:pt>
                <c:pt idx="230">
                  <c:v>152.61306224304036</c:v>
                </c:pt>
                <c:pt idx="231">
                  <c:v>154.00560453271697</c:v>
                </c:pt>
                <c:pt idx="232">
                  <c:v>156.17746323303811</c:v>
                </c:pt>
                <c:pt idx="233">
                  <c:v>155.67714618830414</c:v>
                </c:pt>
                <c:pt idx="234">
                  <c:v>155.75814600421364</c:v>
                </c:pt>
                <c:pt idx="235">
                  <c:v>156.36278099367959</c:v>
                </c:pt>
                <c:pt idx="236">
                  <c:v>155.75814600421367</c:v>
                </c:pt>
                <c:pt idx="237">
                  <c:v>157.22473358015102</c:v>
                </c:pt>
                <c:pt idx="238">
                  <c:v>156.58778048231716</c:v>
                </c:pt>
                <c:pt idx="239">
                  <c:v>157.15314283376637</c:v>
                </c:pt>
                <c:pt idx="240">
                  <c:v>157.91609564523725</c:v>
                </c:pt>
                <c:pt idx="241">
                  <c:v>156.37055370328713</c:v>
                </c:pt>
                <c:pt idx="242">
                  <c:v>156.66796211826801</c:v>
                </c:pt>
                <c:pt idx="243">
                  <c:v>156.23432674016658</c:v>
                </c:pt>
                <c:pt idx="244">
                  <c:v>155.57487369346896</c:v>
                </c:pt>
                <c:pt idx="245">
                  <c:v>156.00441817177696</c:v>
                </c:pt>
                <c:pt idx="246">
                  <c:v>156.34109922477458</c:v>
                </c:pt>
                <c:pt idx="247">
                  <c:v>156.97396142281505</c:v>
                </c:pt>
                <c:pt idx="248">
                  <c:v>156.41309906113861</c:v>
                </c:pt>
                <c:pt idx="249">
                  <c:v>156.75673464378499</c:v>
                </c:pt>
                <c:pt idx="250">
                  <c:v>156.50023522673823</c:v>
                </c:pt>
                <c:pt idx="251">
                  <c:v>155.07987481846641</c:v>
                </c:pt>
                <c:pt idx="252">
                  <c:v>157.1662337131053</c:v>
                </c:pt>
                <c:pt idx="253">
                  <c:v>157.84000490907985</c:v>
                </c:pt>
                <c:pt idx="254">
                  <c:v>158.13045879441194</c:v>
                </c:pt>
                <c:pt idx="255">
                  <c:v>158.90282067540767</c:v>
                </c:pt>
                <c:pt idx="256">
                  <c:v>159.34463785309589</c:v>
                </c:pt>
                <c:pt idx="257">
                  <c:v>157.95291374337793</c:v>
                </c:pt>
                <c:pt idx="258">
                  <c:v>157.71686882529818</c:v>
                </c:pt>
                <c:pt idx="259">
                  <c:v>158.54732148336032</c:v>
                </c:pt>
                <c:pt idx="260">
                  <c:v>158.60541226042673</c:v>
                </c:pt>
              </c:numCache>
            </c:numRef>
          </c:val>
          <c:smooth val="0"/>
          <c:extLst>
            <c:ext xmlns:c16="http://schemas.microsoft.com/office/drawing/2014/chart" uri="{C3380CC4-5D6E-409C-BE32-E72D297353CC}">
              <c16:uniqueId val="{00000002-E32C-4824-85F6-4515D8B4CE1E}"/>
            </c:ext>
          </c:extLst>
        </c:ser>
        <c:dLbls>
          <c:showLegendKey val="0"/>
          <c:showVal val="0"/>
          <c:showCatName val="0"/>
          <c:showSerName val="0"/>
          <c:showPercent val="0"/>
          <c:showBubbleSize val="0"/>
        </c:dLbls>
        <c:smooth val="0"/>
        <c:axId val="131066496"/>
        <c:axId val="131068288"/>
      </c:lineChart>
      <c:dateAx>
        <c:axId val="131066496"/>
        <c:scaling>
          <c:orientation val="minMax"/>
        </c:scaling>
        <c:delete val="0"/>
        <c:axPos val="b"/>
        <c:numFmt formatCode="dd\-mmm\-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31068288"/>
        <c:crosses val="autoZero"/>
        <c:auto val="1"/>
        <c:lblOffset val="100"/>
        <c:baseTimeUnit val="days"/>
      </c:dateAx>
      <c:valAx>
        <c:axId val="131068288"/>
        <c:scaling>
          <c:orientation val="minMax"/>
          <c:min val="7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r>
                  <a:rPr lang="hy-AM" sz="500" b="0" i="0" u="none" strike="noStrike" baseline="0">
                    <a:effectLst/>
                  </a:rPr>
                  <a:t>Ինդեքս՝ 201</a:t>
                </a:r>
                <a:r>
                  <a:rPr lang="en-GB" sz="500" b="0" i="0" u="none" strike="noStrike" baseline="0">
                    <a:effectLst/>
                  </a:rPr>
                  <a:t>9 </a:t>
                </a:r>
                <a:r>
                  <a:rPr lang="hy-AM" sz="500" b="0" i="0" u="none" strike="noStrike" baseline="0">
                    <a:effectLst/>
                  </a:rPr>
                  <a:t>թ. հունվար</a:t>
                </a:r>
                <a:r>
                  <a:rPr lang="en-GB" sz="500" b="0" i="0" u="none" strike="noStrike" baseline="0">
                    <a:effectLst/>
                  </a:rPr>
                  <a:t>  </a:t>
                </a:r>
                <a:r>
                  <a:rPr lang="hy-AM" sz="500" b="0" i="0" u="none" strike="noStrike" baseline="0">
                    <a:effectLst/>
                  </a:rPr>
                  <a:t> =100</a:t>
                </a:r>
                <a:endParaRPr lang="en-US" sz="500"/>
              </a:p>
            </c:rich>
          </c:tx>
          <c:layout>
            <c:manualLayout>
              <c:xMode val="edge"/>
              <c:yMode val="edge"/>
              <c:x val="1.0471204188481676E-2"/>
              <c:y val="5.6737588652482303E-2"/>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1066496"/>
        <c:crosses val="autoZero"/>
        <c:crossBetween val="between"/>
      </c:valAx>
      <c:spPr>
        <a:noFill/>
        <a:ln>
          <a:noFill/>
        </a:ln>
        <a:effectLst/>
      </c:spPr>
    </c:plotArea>
    <c:legend>
      <c:legendPos val="b"/>
      <c:layout>
        <c:manualLayout>
          <c:xMode val="edge"/>
          <c:yMode val="edge"/>
          <c:x val="1.5918499878236868E-2"/>
          <c:y val="0.8768571444381118"/>
          <c:w val="0.93723489460724629"/>
          <c:h val="0.1066821232728902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9.4702319668604998E-2"/>
          <c:w val="0.84290099330804125"/>
          <c:h val="1.9030841865487539E-2"/>
        </c:manualLayout>
      </c:layout>
      <c:barChart>
        <c:barDir val="col"/>
        <c:grouping val="stacked"/>
        <c:varyColors val="0"/>
        <c:ser>
          <c:idx val="1"/>
          <c:order val="1"/>
          <c:tx>
            <c:strRef>
              <c:f>Sheet1!$C$1</c:f>
              <c:strCache>
                <c:ptCount val="1"/>
                <c:pt idx="0">
                  <c:v>Սննդամթերք և ոչ ալկոհոլային խմիչքներ</c:v>
                </c:pt>
              </c:strCache>
            </c:strRef>
          </c:tx>
          <c:spPr>
            <a:solidFill>
              <a:schemeClr val="accent2"/>
            </a:solidFill>
            <a:ln>
              <a:noFill/>
            </a:ln>
            <a:effectLst/>
          </c:spPr>
          <c:invertIfNegative val="0"/>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Sheet1!$C$2:$C$37</c:f>
              <c:numCache>
                <c:formatCode>General</c:formatCode>
                <c:ptCount val="12"/>
              </c:numCache>
            </c:numRef>
          </c:val>
          <c:extLst>
            <c:ext xmlns:c16="http://schemas.microsoft.com/office/drawing/2014/chart" uri="{C3380CC4-5D6E-409C-BE32-E72D297353CC}">
              <c16:uniqueId val="{00000000-EBD7-45E6-BF65-A4FE79B6EF93}"/>
            </c:ext>
          </c:extLst>
        </c:ser>
        <c:ser>
          <c:idx val="2"/>
          <c:order val="2"/>
          <c:tx>
            <c:strRef>
              <c:f>Sheet1!$D$1</c:f>
              <c:strCache>
                <c:ptCount val="1"/>
                <c:pt idx="0">
                  <c:v>Ալկոհոլային խմիչքներ, ծխախոտ</c:v>
                </c:pt>
              </c:strCache>
            </c:strRef>
          </c:tx>
          <c:spPr>
            <a:solidFill>
              <a:schemeClr val="accent3"/>
            </a:solidFill>
            <a:ln>
              <a:noFill/>
            </a:ln>
            <a:effectLst/>
          </c:spPr>
          <c:invertIfNegative val="0"/>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Sheet1!$D$2:$D$37</c:f>
              <c:numCache>
                <c:formatCode>General</c:formatCode>
                <c:ptCount val="12"/>
              </c:numCache>
            </c:numRef>
          </c:val>
          <c:extLst>
            <c:ext xmlns:c16="http://schemas.microsoft.com/office/drawing/2014/chart" uri="{C3380CC4-5D6E-409C-BE32-E72D297353CC}">
              <c16:uniqueId val="{00000001-EBD7-45E6-BF65-A4FE79B6EF93}"/>
            </c:ext>
          </c:extLst>
        </c:ser>
        <c:ser>
          <c:idx val="3"/>
          <c:order val="3"/>
          <c:tx>
            <c:strRef>
              <c:f>Sheet1!$E$1</c:f>
              <c:strCache>
                <c:ptCount val="1"/>
                <c:pt idx="0">
                  <c:v>Ոչ պարենային ապրանքներ</c:v>
                </c:pt>
              </c:strCache>
            </c:strRef>
          </c:tx>
          <c:spPr>
            <a:solidFill>
              <a:schemeClr val="accent4"/>
            </a:solidFill>
            <a:ln>
              <a:noFill/>
            </a:ln>
            <a:effectLst/>
          </c:spPr>
          <c:invertIfNegative val="0"/>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Sheet1!$E$2:$E$37</c:f>
              <c:numCache>
                <c:formatCode>General</c:formatCode>
                <c:ptCount val="12"/>
              </c:numCache>
            </c:numRef>
          </c:val>
          <c:extLst>
            <c:ext xmlns:c16="http://schemas.microsoft.com/office/drawing/2014/chart" uri="{C3380CC4-5D6E-409C-BE32-E72D297353CC}">
              <c16:uniqueId val="{00000002-EBD7-45E6-BF65-A4FE79B6EF93}"/>
            </c:ext>
          </c:extLst>
        </c:ser>
        <c:ser>
          <c:idx val="4"/>
          <c:order val="4"/>
          <c:tx>
            <c:strRef>
              <c:f>Sheet1!$F$1</c:f>
              <c:strCache>
                <c:ptCount val="1"/>
                <c:pt idx="0">
                  <c:v>Ծառայություններ </c:v>
                </c:pt>
              </c:strCache>
            </c:strRef>
          </c:tx>
          <c:spPr>
            <a:solidFill>
              <a:schemeClr val="accent5"/>
            </a:solidFill>
            <a:ln>
              <a:noFill/>
            </a:ln>
            <a:effectLst/>
          </c:spPr>
          <c:invertIfNegative val="0"/>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Sheet1!$F$2:$F$37</c:f>
              <c:numCache>
                <c:formatCode>General</c:formatCode>
                <c:ptCount val="12"/>
              </c:numCache>
            </c:numRef>
          </c:val>
          <c:extLst>
            <c:ext xmlns:c16="http://schemas.microsoft.com/office/drawing/2014/chart" uri="{C3380CC4-5D6E-409C-BE32-E72D297353CC}">
              <c16:uniqueId val="{00000003-EBD7-45E6-BF65-A4FE79B6EF93}"/>
            </c:ext>
          </c:extLst>
        </c:ser>
        <c:dLbls>
          <c:showLegendKey val="0"/>
          <c:showVal val="0"/>
          <c:showCatName val="0"/>
          <c:showSerName val="0"/>
          <c:showPercent val="0"/>
          <c:showBubbleSize val="0"/>
        </c:dLbls>
        <c:gapWidth val="100"/>
        <c:overlap val="100"/>
        <c:axId val="150518016"/>
        <c:axId val="150208512"/>
      </c:barChart>
      <c:lineChart>
        <c:grouping val="standard"/>
        <c:varyColors val="0"/>
        <c:ser>
          <c:idx val="0"/>
          <c:order val="0"/>
          <c:tx>
            <c:strRef>
              <c:f>Sheet1!$B$1</c:f>
              <c:strCache>
                <c:ptCount val="1"/>
                <c:pt idx="0">
                  <c:v>Գնաճի տեմպ</c:v>
                </c:pt>
              </c:strCache>
            </c:strRef>
          </c:tx>
          <c:spPr>
            <a:ln w="34925" cap="rnd">
              <a:solidFill>
                <a:schemeClr val="accent1"/>
              </a:solidFill>
              <a:round/>
            </a:ln>
            <a:effectLst/>
          </c:spPr>
          <c:marker>
            <c:symbol val="none"/>
          </c:marker>
          <c:cat>
            <c:numRef>
              <c:f>Sheet1!$A$2:$A$37</c:f>
              <c:numCache>
                <c:formatCode>General</c:formatCode>
                <c:ptCount val="12"/>
                <c:pt idx="0">
                  <c:v>2017.3</c:v>
                </c:pt>
                <c:pt idx="1">
                  <c:v>2017.6</c:v>
                </c:pt>
                <c:pt idx="2">
                  <c:v>2017.9</c:v>
                </c:pt>
                <c:pt idx="3">
                  <c:v>2017.12</c:v>
                </c:pt>
                <c:pt idx="4">
                  <c:v>2018.3</c:v>
                </c:pt>
                <c:pt idx="5">
                  <c:v>2018.6</c:v>
                </c:pt>
                <c:pt idx="6">
                  <c:v>2018.9</c:v>
                </c:pt>
                <c:pt idx="7">
                  <c:v>2018.12</c:v>
                </c:pt>
                <c:pt idx="8">
                  <c:v>2019.3</c:v>
                </c:pt>
                <c:pt idx="9">
                  <c:v>2019.6</c:v>
                </c:pt>
                <c:pt idx="10">
                  <c:v>2019.9</c:v>
                </c:pt>
                <c:pt idx="11">
                  <c:v>2019.12</c:v>
                </c:pt>
              </c:numCache>
            </c:numRef>
          </c:cat>
          <c:val>
            <c:numRef>
              <c:f>Sheet1!$B$2:$B$37</c:f>
              <c:numCache>
                <c:formatCode>General</c:formatCode>
                <c:ptCount val="12"/>
              </c:numCache>
            </c:numRef>
          </c:val>
          <c:smooth val="0"/>
          <c:extLst>
            <c:ext xmlns:c16="http://schemas.microsoft.com/office/drawing/2014/chart" uri="{C3380CC4-5D6E-409C-BE32-E72D297353CC}">
              <c16:uniqueId val="{00000004-EBD7-45E6-BF65-A4FE79B6EF93}"/>
            </c:ext>
          </c:extLst>
        </c:ser>
        <c:dLbls>
          <c:showLegendKey val="0"/>
          <c:showVal val="0"/>
          <c:showCatName val="0"/>
          <c:showSerName val="0"/>
          <c:showPercent val="0"/>
          <c:showBubbleSize val="0"/>
        </c:dLbls>
        <c:marker val="1"/>
        <c:smooth val="0"/>
        <c:axId val="150518016"/>
        <c:axId val="150208512"/>
      </c:lineChart>
      <c:catAx>
        <c:axId val="150518016"/>
        <c:scaling>
          <c:orientation val="minMax"/>
        </c:scaling>
        <c:delete val="1"/>
        <c:axPos val="b"/>
        <c:numFmt formatCode="General" sourceLinked="1"/>
        <c:majorTickMark val="out"/>
        <c:minorTickMark val="none"/>
        <c:tickLblPos val="none"/>
        <c:crossAx val="150208512"/>
        <c:crosses val="autoZero"/>
        <c:auto val="1"/>
        <c:lblAlgn val="ctr"/>
        <c:lblOffset val="100"/>
        <c:noMultiLvlLbl val="0"/>
      </c:catAx>
      <c:valAx>
        <c:axId val="150208512"/>
        <c:scaling>
          <c:orientation val="minMax"/>
        </c:scaling>
        <c:delete val="1"/>
        <c:axPos val="l"/>
        <c:numFmt formatCode="General" sourceLinked="1"/>
        <c:majorTickMark val="none"/>
        <c:minorTickMark val="none"/>
        <c:tickLblPos val="none"/>
        <c:crossAx val="150518016"/>
        <c:crosses val="autoZero"/>
        <c:crossBetween val="between"/>
      </c:valAx>
      <c:spPr>
        <a:noFill/>
        <a:ln>
          <a:noFill/>
        </a:ln>
        <a:effectLst/>
      </c:spPr>
    </c:plotArea>
    <c:legend>
      <c:legendPos val="b"/>
      <c:layout>
        <c:manualLayout>
          <c:xMode val="edge"/>
          <c:yMode val="edge"/>
          <c:x val="2.4091860941327401E-2"/>
          <c:y val="0.10991302557768533"/>
          <c:w val="0.95949541633383073"/>
          <c:h val="0.87692886045494434"/>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cap="none" spc="0" normalizeH="0" baseline="0">
                <a:solidFill>
                  <a:sysClr val="windowText" lastClr="000000"/>
                </a:solidFill>
                <a:latin typeface="GHEA Grapalat" panose="02000506050000020003" pitchFamily="50" charset="0"/>
                <a:ea typeface="+mj-ea"/>
                <a:cs typeface="+mj-cs"/>
              </a:defRPr>
            </a:pPr>
            <a:r>
              <a:rPr lang="hy-AM" sz="1100"/>
              <a:t>Գնաճի կանխատեսումները և նպատակային միջակայքը</a:t>
            </a:r>
            <a:r>
              <a:rPr lang="en-US" sz="1100"/>
              <a:t>, %</a:t>
            </a:r>
          </a:p>
        </c:rich>
      </c:tx>
      <c:layout>
        <c:manualLayout>
          <c:xMode val="edge"/>
          <c:yMode val="edge"/>
          <c:x val="0.21738990489660431"/>
          <c:y val="1.2091606196284284E-2"/>
        </c:manualLayout>
      </c:layout>
      <c:overlay val="0"/>
      <c:spPr>
        <a:noFill/>
        <a:ln>
          <a:noFill/>
        </a:ln>
        <a:effectLst/>
      </c:spPr>
    </c:title>
    <c:autoTitleDeleted val="0"/>
    <c:plotArea>
      <c:layout>
        <c:manualLayout>
          <c:layoutTarget val="inner"/>
          <c:xMode val="edge"/>
          <c:yMode val="edge"/>
          <c:x val="4.286978223573857E-2"/>
          <c:y val="0.15820767267105321"/>
          <c:w val="0.9349795935193983"/>
          <c:h val="0.6595433789954338"/>
        </c:manualLayout>
      </c:layout>
      <c:lineChart>
        <c:grouping val="standard"/>
        <c:varyColors val="0"/>
        <c:ser>
          <c:idx val="0"/>
          <c:order val="0"/>
          <c:tx>
            <c:strRef>
              <c:f>Sheet1!$B$1</c:f>
              <c:strCache>
                <c:ptCount val="1"/>
                <c:pt idx="0">
                  <c:v>12 ամսյա գնաճ</c:v>
                </c:pt>
              </c:strCache>
            </c:strRef>
          </c:tx>
          <c:spPr>
            <a:ln w="31750" cap="rnd">
              <a:solidFill>
                <a:schemeClr val="accent1"/>
              </a:solidFill>
              <a:round/>
            </a:ln>
            <a:effectLst/>
          </c:spPr>
          <c:marker>
            <c:symbol val="circle"/>
            <c:size val="7"/>
            <c:spPr>
              <a:solidFill>
                <a:schemeClr val="accent1"/>
              </a:solidFill>
              <a:ln w="15875">
                <a:solidFill>
                  <a:schemeClr val="accent1"/>
                </a:solidFill>
                <a:round/>
              </a:ln>
              <a:effectLst/>
            </c:spPr>
          </c:marker>
          <c:dLbls>
            <c:dLbl>
              <c:idx val="1"/>
              <c:layout>
                <c:manualLayout>
                  <c:x val="-3.435360451067259E-2"/>
                  <c:y val="5.90326797385622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43B-49E0-8522-AA43B2A2F5A8}"/>
                </c:ext>
              </c:extLst>
            </c:dLbl>
            <c:dLbl>
              <c:idx val="2"/>
              <c:layout>
                <c:manualLayout>
                  <c:x val="-3.3729359645589999E-2"/>
                  <c:y val="4.33464052287580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43B-49E0-8522-AA43B2A2F5A8}"/>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Sheet1!$B$2:$B$9</c:f>
              <c:numCache>
                <c:formatCode>0.0</c:formatCode>
                <c:ptCount val="8"/>
                <c:pt idx="0">
                  <c:v>2.6391820853362873</c:v>
                </c:pt>
                <c:pt idx="1">
                  <c:v>1.7710353790077846</c:v>
                </c:pt>
                <c:pt idx="2">
                  <c:v>0.74073867036182151</c:v>
                </c:pt>
                <c:pt idx="3">
                  <c:v>3.7</c:v>
                </c:pt>
                <c:pt idx="4">
                  <c:v>5.2</c:v>
                </c:pt>
                <c:pt idx="5">
                  <c:v>4</c:v>
                </c:pt>
                <c:pt idx="6">
                  <c:v>4</c:v>
                </c:pt>
                <c:pt idx="7">
                  <c:v>4</c:v>
                </c:pt>
              </c:numCache>
            </c:numRef>
          </c:val>
          <c:smooth val="0"/>
          <c:extLst>
            <c:ext xmlns:c16="http://schemas.microsoft.com/office/drawing/2014/chart" uri="{C3380CC4-5D6E-409C-BE32-E72D297353CC}">
              <c16:uniqueId val="{00000002-E43B-49E0-8522-AA43B2A2F5A8}"/>
            </c:ext>
          </c:extLst>
        </c:ser>
        <c:ser>
          <c:idx val="1"/>
          <c:order val="1"/>
          <c:tx>
            <c:strRef>
              <c:f>Sheet1!$C$1</c:f>
              <c:strCache>
                <c:ptCount val="1"/>
                <c:pt idx="0">
                  <c:v>Միջին գնաճ</c:v>
                </c:pt>
              </c:strCache>
            </c:strRef>
          </c:tx>
          <c:spPr>
            <a:ln w="28575" cap="rnd">
              <a:solidFill>
                <a:srgbClr val="FF0000"/>
              </a:solidFill>
              <a:round/>
            </a:ln>
            <a:effectLst/>
          </c:spPr>
          <c:marker>
            <c:symbol val="square"/>
            <c:size val="7"/>
            <c:spPr>
              <a:solidFill>
                <a:srgbClr val="FF0000"/>
              </a:solidFill>
              <a:ln w="15875">
                <a:solidFill>
                  <a:srgbClr val="FF0000"/>
                </a:solidFill>
                <a:round/>
              </a:ln>
              <a:effectLst/>
            </c:spPr>
          </c:marker>
          <c:dLbls>
            <c:dLbl>
              <c:idx val="1"/>
              <c:layout>
                <c:manualLayout>
                  <c:x val="-3.3296494905514985E-2"/>
                  <c:y val="-5.90326797385622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43B-49E0-8522-AA43B2A2F5A8}"/>
                </c:ext>
              </c:extLst>
            </c:dLbl>
            <c:dLbl>
              <c:idx val="2"/>
              <c:layout>
                <c:manualLayout>
                  <c:x val="-3.1735803463552245E-2"/>
                  <c:y val="-6.42614379084969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43B-49E0-8522-AA43B2A2F5A8}"/>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Sheet1!$C$2:$C$9</c:f>
              <c:numCache>
                <c:formatCode>0.0</c:formatCode>
                <c:ptCount val="8"/>
                <c:pt idx="0">
                  <c:v>0.96505083976387596</c:v>
                </c:pt>
                <c:pt idx="1">
                  <c:v>2.5490680730946309</c:v>
                </c:pt>
                <c:pt idx="2">
                  <c:v>1.4309835696169273</c:v>
                </c:pt>
                <c:pt idx="3">
                  <c:v>1.2</c:v>
                </c:pt>
                <c:pt idx="4">
                  <c:v>5.3</c:v>
                </c:pt>
                <c:pt idx="5">
                  <c:v>4.0999999999999996</c:v>
                </c:pt>
                <c:pt idx="6">
                  <c:v>4</c:v>
                </c:pt>
                <c:pt idx="7">
                  <c:v>4</c:v>
                </c:pt>
              </c:numCache>
            </c:numRef>
          </c:val>
          <c:smooth val="0"/>
          <c:extLst>
            <c:ext xmlns:c16="http://schemas.microsoft.com/office/drawing/2014/chart" uri="{C3380CC4-5D6E-409C-BE32-E72D297353CC}">
              <c16:uniqueId val="{00000005-E43B-49E0-8522-AA43B2A2F5A8}"/>
            </c:ext>
          </c:extLst>
        </c:ser>
        <c:ser>
          <c:idx val="2"/>
          <c:order val="2"/>
          <c:tx>
            <c:strRef>
              <c:f>Sheet1!$D$1</c:f>
              <c:strCache>
                <c:ptCount val="1"/>
                <c:pt idx="0">
                  <c:v>Column2</c:v>
                </c:pt>
              </c:strCache>
            </c:strRef>
          </c:tx>
          <c:spPr>
            <a:ln w="19050" cap="rnd">
              <a:solidFill>
                <a:srgbClr val="C00000"/>
              </a:solidFill>
              <a:prstDash val="dash"/>
              <a:round/>
            </a:ln>
            <a:effectLst/>
          </c:spPr>
          <c:marker>
            <c:symbol val="none"/>
          </c:marker>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Sheet1!$D$2:$D$9</c:f>
              <c:numCache>
                <c:formatCode>General</c:formatCode>
                <c:ptCount val="8"/>
                <c:pt idx="0">
                  <c:v>4</c:v>
                </c:pt>
                <c:pt idx="1">
                  <c:v>4</c:v>
                </c:pt>
                <c:pt idx="2">
                  <c:v>4</c:v>
                </c:pt>
                <c:pt idx="3">
                  <c:v>4</c:v>
                </c:pt>
                <c:pt idx="4">
                  <c:v>4</c:v>
                </c:pt>
                <c:pt idx="5">
                  <c:v>4</c:v>
                </c:pt>
                <c:pt idx="6">
                  <c:v>4</c:v>
                </c:pt>
                <c:pt idx="7">
                  <c:v>4</c:v>
                </c:pt>
              </c:numCache>
            </c:numRef>
          </c:val>
          <c:smooth val="0"/>
          <c:extLst>
            <c:ext xmlns:c16="http://schemas.microsoft.com/office/drawing/2014/chart" uri="{C3380CC4-5D6E-409C-BE32-E72D297353CC}">
              <c16:uniqueId val="{00000006-E43B-49E0-8522-AA43B2A2F5A8}"/>
            </c:ext>
          </c:extLst>
        </c:ser>
        <c:ser>
          <c:idx val="3"/>
          <c:order val="3"/>
          <c:tx>
            <c:strRef>
              <c:f>Sheet1!$E$1</c:f>
              <c:strCache>
                <c:ptCount val="1"/>
                <c:pt idx="0">
                  <c:v>Column3</c:v>
                </c:pt>
              </c:strCache>
            </c:strRef>
          </c:tx>
          <c:spPr>
            <a:ln w="12700" cap="rnd">
              <a:solidFill>
                <a:schemeClr val="accent2"/>
              </a:solidFill>
              <a:prstDash val="sysDash"/>
              <a:round/>
            </a:ln>
            <a:effectLst/>
          </c:spPr>
          <c:marker>
            <c:symbol val="none"/>
          </c:marker>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Sheet1!$E$2:$E$9</c:f>
              <c:numCache>
                <c:formatCode>General</c:formatCode>
                <c:ptCount val="8"/>
                <c:pt idx="0">
                  <c:v>5.5</c:v>
                </c:pt>
                <c:pt idx="1">
                  <c:v>5.5</c:v>
                </c:pt>
                <c:pt idx="2">
                  <c:v>5.5</c:v>
                </c:pt>
                <c:pt idx="3">
                  <c:v>5.5</c:v>
                </c:pt>
                <c:pt idx="4">
                  <c:v>5.5</c:v>
                </c:pt>
                <c:pt idx="5">
                  <c:v>5.5</c:v>
                </c:pt>
                <c:pt idx="6">
                  <c:v>5.5</c:v>
                </c:pt>
                <c:pt idx="7">
                  <c:v>5.5</c:v>
                </c:pt>
              </c:numCache>
            </c:numRef>
          </c:val>
          <c:smooth val="0"/>
          <c:extLst>
            <c:ext xmlns:c16="http://schemas.microsoft.com/office/drawing/2014/chart" uri="{C3380CC4-5D6E-409C-BE32-E72D297353CC}">
              <c16:uniqueId val="{00000007-E43B-49E0-8522-AA43B2A2F5A8}"/>
            </c:ext>
          </c:extLst>
        </c:ser>
        <c:ser>
          <c:idx val="4"/>
          <c:order val="4"/>
          <c:tx>
            <c:strRef>
              <c:f>Sheet1!$F$1</c:f>
              <c:strCache>
                <c:ptCount val="1"/>
                <c:pt idx="0">
                  <c:v>Column4</c:v>
                </c:pt>
              </c:strCache>
            </c:strRef>
          </c:tx>
          <c:spPr>
            <a:ln w="15875" cap="rnd">
              <a:solidFill>
                <a:schemeClr val="accent2"/>
              </a:solidFill>
              <a:prstDash val="sysDash"/>
              <a:round/>
            </a:ln>
            <a:effectLst/>
          </c:spPr>
          <c:marker>
            <c:symbol val="none"/>
          </c:marker>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Sheet1!$F$2:$F$9</c:f>
              <c:numCache>
                <c:formatCode>General</c:formatCode>
                <c:ptCount val="8"/>
                <c:pt idx="0">
                  <c:v>2.5</c:v>
                </c:pt>
                <c:pt idx="1">
                  <c:v>2.5</c:v>
                </c:pt>
                <c:pt idx="2">
                  <c:v>2.5</c:v>
                </c:pt>
                <c:pt idx="3">
                  <c:v>2.5</c:v>
                </c:pt>
                <c:pt idx="4">
                  <c:v>2.5</c:v>
                </c:pt>
                <c:pt idx="5">
                  <c:v>2.5</c:v>
                </c:pt>
                <c:pt idx="6">
                  <c:v>2.5</c:v>
                </c:pt>
                <c:pt idx="7">
                  <c:v>2.5</c:v>
                </c:pt>
              </c:numCache>
            </c:numRef>
          </c:val>
          <c:smooth val="0"/>
          <c:extLst>
            <c:ext xmlns:c16="http://schemas.microsoft.com/office/drawing/2014/chart" uri="{C3380CC4-5D6E-409C-BE32-E72D297353CC}">
              <c16:uniqueId val="{00000008-E43B-49E0-8522-AA43B2A2F5A8}"/>
            </c:ext>
          </c:extLst>
        </c:ser>
        <c:dLbls>
          <c:showLegendKey val="0"/>
          <c:showVal val="0"/>
          <c:showCatName val="0"/>
          <c:showSerName val="0"/>
          <c:showPercent val="0"/>
          <c:showBubbleSize val="0"/>
        </c:dLbls>
        <c:marker val="1"/>
        <c:smooth val="0"/>
        <c:axId val="150352256"/>
        <c:axId val="150353792"/>
      </c:lineChart>
      <c:catAx>
        <c:axId val="150352256"/>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GHEA Grapalat" panose="02000506050000020003" pitchFamily="50" charset="0"/>
                <a:ea typeface="+mn-ea"/>
                <a:cs typeface="+mn-cs"/>
              </a:defRPr>
            </a:pPr>
            <a:endParaRPr lang="en-US"/>
          </a:p>
        </c:txPr>
        <c:crossAx val="150353792"/>
        <c:crosses val="autoZero"/>
        <c:auto val="1"/>
        <c:lblAlgn val="ctr"/>
        <c:lblOffset val="100"/>
        <c:noMultiLvlLbl val="0"/>
      </c:catAx>
      <c:valAx>
        <c:axId val="150353792"/>
        <c:scaling>
          <c:orientation val="minMax"/>
        </c:scaling>
        <c:delete val="0"/>
        <c:axPos val="l"/>
        <c:majorGridlines>
          <c:spPr>
            <a:ln w="9525" cap="flat" cmpd="sng" algn="ctr">
              <a:solidFill>
                <a:schemeClr val="dk1">
                  <a:lumMod val="15000"/>
                  <a:lumOff val="85000"/>
                  <a:alpha val="54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150352256"/>
        <c:crosses val="autoZero"/>
        <c:crossBetween val="between"/>
      </c:valAx>
      <c:spPr>
        <a:pattFill prst="ltDnDiag">
          <a:fgClr>
            <a:schemeClr val="dk1">
              <a:lumMod val="15000"/>
              <a:lumOff val="85000"/>
            </a:schemeClr>
          </a:fgClr>
          <a:bgClr>
            <a:schemeClr val="lt1"/>
          </a:bgClr>
        </a:pattFill>
        <a:ln>
          <a:noFill/>
        </a:ln>
        <a:effectLst/>
      </c:spPr>
    </c:plotArea>
    <c:legend>
      <c:legendPos val="b"/>
      <c:legendEntry>
        <c:idx val="2"/>
        <c:delete val="1"/>
      </c:legendEntry>
      <c:legendEntry>
        <c:idx val="3"/>
        <c:delete val="1"/>
      </c:legendEntry>
      <c:legendEntry>
        <c:idx val="4"/>
        <c:delete val="1"/>
      </c:legendEntry>
      <c:layout>
        <c:manualLayout>
          <c:xMode val="edge"/>
          <c:yMode val="edge"/>
          <c:x val="0.3021062912846742"/>
          <c:y val="0.9088850537518427"/>
          <c:w val="0.39578741743065543"/>
          <c:h val="8.1982526156833227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userShapes r:id="rId3"/>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cap="none" spc="0" normalizeH="0" baseline="0">
                <a:solidFill>
                  <a:schemeClr val="tx1"/>
                </a:solidFill>
                <a:latin typeface="GHEA Grapalat" panose="02000506050000020003" pitchFamily="50" charset="0"/>
                <a:ea typeface="+mj-ea"/>
                <a:cs typeface="+mj-cs"/>
              </a:defRPr>
            </a:pPr>
            <a:r>
              <a:rPr lang="hy-AM" sz="900" i="1"/>
              <a:t>Կարճաժամկետ տոկոսադրույքներ, </a:t>
            </a:r>
            <a:r>
              <a:rPr lang="en-US" sz="900" i="1"/>
              <a:t>%</a:t>
            </a:r>
          </a:p>
        </c:rich>
      </c:tx>
      <c:overlay val="0"/>
      <c:spPr>
        <a:noFill/>
        <a:ln>
          <a:noFill/>
        </a:ln>
        <a:effectLst/>
      </c:spPr>
    </c:title>
    <c:autoTitleDeleted val="0"/>
    <c:plotArea>
      <c:layout>
        <c:manualLayout>
          <c:layoutTarget val="inner"/>
          <c:xMode val="edge"/>
          <c:yMode val="edge"/>
          <c:x val="0.11873660719946239"/>
          <c:y val="0.19546619172603474"/>
          <c:w val="0.83697997895190634"/>
          <c:h val="0.34204632060829027"/>
        </c:manualLayout>
      </c:layout>
      <c:lineChart>
        <c:grouping val="standard"/>
        <c:varyColors val="0"/>
        <c:ser>
          <c:idx val="0"/>
          <c:order val="0"/>
          <c:tx>
            <c:strRef>
              <c:f>Sheet1!$B$1</c:f>
              <c:strCache>
                <c:ptCount val="1"/>
                <c:pt idx="0">
                  <c:v>ԿԲ վերաֆինանսավորման տոկոսադրույք</c:v>
                </c:pt>
              </c:strCache>
            </c:strRef>
          </c:tx>
          <c:spPr>
            <a:ln w="22225" cap="rnd">
              <a:solidFill>
                <a:schemeClr val="accent1"/>
              </a:solidFill>
              <a:round/>
            </a:ln>
            <a:effectLst/>
          </c:spPr>
          <c:marker>
            <c:symbol val="none"/>
          </c:marker>
          <c:cat>
            <c:strRef>
              <c:f>Sheet1!$A$2:$A$54</c:f>
              <c:strCache>
                <c:ptCount val="53"/>
                <c:pt idx="0">
                  <c:v>2017/1</c:v>
                </c:pt>
                <c:pt idx="1">
                  <c:v>2017/2</c:v>
                </c:pt>
                <c:pt idx="2">
                  <c:v>2017/3</c:v>
                </c:pt>
                <c:pt idx="3">
                  <c:v>2017/4</c:v>
                </c:pt>
                <c:pt idx="4">
                  <c:v>2017/5</c:v>
                </c:pt>
                <c:pt idx="5">
                  <c:v>2017/6</c:v>
                </c:pt>
                <c:pt idx="6">
                  <c:v>2017/7</c:v>
                </c:pt>
                <c:pt idx="7">
                  <c:v>2017/8</c:v>
                </c:pt>
                <c:pt idx="8">
                  <c:v>2017/9</c:v>
                </c:pt>
                <c:pt idx="9">
                  <c:v>2017/10</c:v>
                </c:pt>
                <c:pt idx="10">
                  <c:v>2017/11</c:v>
                </c:pt>
                <c:pt idx="11">
                  <c:v>2017/12</c:v>
                </c:pt>
                <c:pt idx="12">
                  <c:v>2018/1</c:v>
                </c:pt>
                <c:pt idx="13">
                  <c:v>2018/2</c:v>
                </c:pt>
                <c:pt idx="14">
                  <c:v>2018/3</c:v>
                </c:pt>
                <c:pt idx="15">
                  <c:v>2018/4</c:v>
                </c:pt>
                <c:pt idx="16">
                  <c:v>2018/5</c:v>
                </c:pt>
                <c:pt idx="17">
                  <c:v>2018/6</c:v>
                </c:pt>
                <c:pt idx="18">
                  <c:v>2018/7</c:v>
                </c:pt>
                <c:pt idx="19">
                  <c:v>2018/8</c:v>
                </c:pt>
                <c:pt idx="20">
                  <c:v>2018/9</c:v>
                </c:pt>
                <c:pt idx="21">
                  <c:v>2018/10</c:v>
                </c:pt>
                <c:pt idx="22">
                  <c:v>2018/11</c:v>
                </c:pt>
                <c:pt idx="23">
                  <c:v>2018/12</c:v>
                </c:pt>
                <c:pt idx="24">
                  <c:v>2019/1</c:v>
                </c:pt>
                <c:pt idx="25">
                  <c:v>2019/2</c:v>
                </c:pt>
                <c:pt idx="26">
                  <c:v>2019/3</c:v>
                </c:pt>
                <c:pt idx="27">
                  <c:v>2019/4</c:v>
                </c:pt>
                <c:pt idx="28">
                  <c:v>2019/5</c:v>
                </c:pt>
                <c:pt idx="29">
                  <c:v>2019/6</c:v>
                </c:pt>
                <c:pt idx="30">
                  <c:v>2019/7</c:v>
                </c:pt>
                <c:pt idx="31">
                  <c:v>2019/8</c:v>
                </c:pt>
                <c:pt idx="32">
                  <c:v>2019/9</c:v>
                </c:pt>
                <c:pt idx="33">
                  <c:v>2019/10</c:v>
                </c:pt>
                <c:pt idx="34">
                  <c:v>2019/11</c:v>
                </c:pt>
                <c:pt idx="35">
                  <c:v>2019/12</c:v>
                </c:pt>
                <c:pt idx="36">
                  <c:v>2020/1</c:v>
                </c:pt>
                <c:pt idx="37">
                  <c:v>2020/2</c:v>
                </c:pt>
                <c:pt idx="38">
                  <c:v>2020/3</c:v>
                </c:pt>
                <c:pt idx="39">
                  <c:v>2020/4</c:v>
                </c:pt>
                <c:pt idx="40">
                  <c:v>2020/5</c:v>
                </c:pt>
                <c:pt idx="41">
                  <c:v>2020/6</c:v>
                </c:pt>
                <c:pt idx="42">
                  <c:v>2020/7</c:v>
                </c:pt>
                <c:pt idx="43">
                  <c:v>2020/8</c:v>
                </c:pt>
                <c:pt idx="44">
                  <c:v>2020/9</c:v>
                </c:pt>
                <c:pt idx="45">
                  <c:v>2020/10</c:v>
                </c:pt>
                <c:pt idx="46">
                  <c:v>2020/11</c:v>
                </c:pt>
                <c:pt idx="47">
                  <c:v>2020/12</c:v>
                </c:pt>
                <c:pt idx="48">
                  <c:v>2021/1</c:v>
                </c:pt>
                <c:pt idx="49">
                  <c:v>2021/2</c:v>
                </c:pt>
                <c:pt idx="50">
                  <c:v>2021/3</c:v>
                </c:pt>
                <c:pt idx="51">
                  <c:v>2021/4</c:v>
                </c:pt>
                <c:pt idx="52">
                  <c:v>2021/5</c:v>
                </c:pt>
              </c:strCache>
            </c:strRef>
          </c:cat>
          <c:val>
            <c:numRef>
              <c:f>Sheet1!$B$2:$B$54</c:f>
              <c:numCache>
                <c:formatCode>0.0</c:formatCode>
                <c:ptCount val="53"/>
                <c:pt idx="0">
                  <c:v>6.25</c:v>
                </c:pt>
                <c:pt idx="1">
                  <c:v>6</c:v>
                </c:pt>
                <c:pt idx="2">
                  <c:v>6</c:v>
                </c:pt>
                <c:pt idx="3">
                  <c:v>6</c:v>
                </c:pt>
                <c:pt idx="4">
                  <c:v>6</c:v>
                </c:pt>
                <c:pt idx="5">
                  <c:v>6</c:v>
                </c:pt>
                <c:pt idx="6">
                  <c:v>6</c:v>
                </c:pt>
                <c:pt idx="7">
                  <c:v>6</c:v>
                </c:pt>
                <c:pt idx="8">
                  <c:v>6</c:v>
                </c:pt>
                <c:pt idx="9">
                  <c:v>6</c:v>
                </c:pt>
                <c:pt idx="10">
                  <c:v>6</c:v>
                </c:pt>
                <c:pt idx="11">
                  <c:v>6</c:v>
                </c:pt>
                <c:pt idx="12">
                  <c:v>6</c:v>
                </c:pt>
                <c:pt idx="13">
                  <c:v>6</c:v>
                </c:pt>
                <c:pt idx="14">
                  <c:v>6</c:v>
                </c:pt>
                <c:pt idx="15">
                  <c:v>6</c:v>
                </c:pt>
                <c:pt idx="16">
                  <c:v>6</c:v>
                </c:pt>
                <c:pt idx="17">
                  <c:v>6</c:v>
                </c:pt>
                <c:pt idx="18">
                  <c:v>6</c:v>
                </c:pt>
                <c:pt idx="19">
                  <c:v>6</c:v>
                </c:pt>
                <c:pt idx="20">
                  <c:v>6</c:v>
                </c:pt>
                <c:pt idx="21">
                  <c:v>6</c:v>
                </c:pt>
                <c:pt idx="22">
                  <c:v>6</c:v>
                </c:pt>
                <c:pt idx="23">
                  <c:v>6</c:v>
                </c:pt>
                <c:pt idx="24">
                  <c:v>5.75</c:v>
                </c:pt>
                <c:pt idx="25">
                  <c:v>5.75</c:v>
                </c:pt>
                <c:pt idx="26">
                  <c:v>5.75</c:v>
                </c:pt>
                <c:pt idx="27">
                  <c:v>5.75</c:v>
                </c:pt>
                <c:pt idx="28">
                  <c:v>5.75</c:v>
                </c:pt>
                <c:pt idx="29">
                  <c:v>5.75</c:v>
                </c:pt>
                <c:pt idx="30">
                  <c:v>5.75</c:v>
                </c:pt>
                <c:pt idx="31">
                  <c:v>5.75</c:v>
                </c:pt>
                <c:pt idx="32">
                  <c:v>5.5</c:v>
                </c:pt>
                <c:pt idx="33">
                  <c:v>5.5</c:v>
                </c:pt>
                <c:pt idx="34">
                  <c:v>5.5</c:v>
                </c:pt>
                <c:pt idx="35">
                  <c:v>5.5</c:v>
                </c:pt>
                <c:pt idx="36">
                  <c:v>5.5</c:v>
                </c:pt>
                <c:pt idx="37">
                  <c:v>5.5</c:v>
                </c:pt>
                <c:pt idx="38">
                  <c:v>5.25</c:v>
                </c:pt>
                <c:pt idx="39">
                  <c:v>5</c:v>
                </c:pt>
                <c:pt idx="40">
                  <c:v>5</c:v>
                </c:pt>
                <c:pt idx="41">
                  <c:v>4.5</c:v>
                </c:pt>
                <c:pt idx="42">
                  <c:v>4.5</c:v>
                </c:pt>
                <c:pt idx="43">
                  <c:v>4.5</c:v>
                </c:pt>
                <c:pt idx="44">
                  <c:v>4.25</c:v>
                </c:pt>
                <c:pt idx="45">
                  <c:v>4.25</c:v>
                </c:pt>
                <c:pt idx="46">
                  <c:v>4.25</c:v>
                </c:pt>
                <c:pt idx="47">
                  <c:v>5.25</c:v>
                </c:pt>
                <c:pt idx="48">
                  <c:v>5.25</c:v>
                </c:pt>
                <c:pt idx="49">
                  <c:v>5.5</c:v>
                </c:pt>
                <c:pt idx="50">
                  <c:v>5.5</c:v>
                </c:pt>
                <c:pt idx="51">
                  <c:v>5.5</c:v>
                </c:pt>
                <c:pt idx="52">
                  <c:v>6</c:v>
                </c:pt>
              </c:numCache>
            </c:numRef>
          </c:val>
          <c:smooth val="0"/>
          <c:extLst>
            <c:ext xmlns:c16="http://schemas.microsoft.com/office/drawing/2014/chart" uri="{C3380CC4-5D6E-409C-BE32-E72D297353CC}">
              <c16:uniqueId val="{00000000-AB82-4F17-BD68-D6F092FF4BF0}"/>
            </c:ext>
          </c:extLst>
        </c:ser>
        <c:ser>
          <c:idx val="1"/>
          <c:order val="1"/>
          <c:tx>
            <c:strRef>
              <c:f>Sheet1!$C$1</c:f>
              <c:strCache>
                <c:ptCount val="1"/>
                <c:pt idx="0">
                  <c:v>Միջբանկային ռեպո տոկոսադրույք </c:v>
                </c:pt>
              </c:strCache>
            </c:strRef>
          </c:tx>
          <c:spPr>
            <a:ln w="22225" cap="rnd">
              <a:solidFill>
                <a:schemeClr val="accent2"/>
              </a:solidFill>
              <a:round/>
            </a:ln>
            <a:effectLst/>
          </c:spPr>
          <c:marker>
            <c:symbol val="none"/>
          </c:marker>
          <c:cat>
            <c:strRef>
              <c:f>Sheet1!$A$2:$A$54</c:f>
              <c:strCache>
                <c:ptCount val="53"/>
                <c:pt idx="0">
                  <c:v>2017/1</c:v>
                </c:pt>
                <c:pt idx="1">
                  <c:v>2017/2</c:v>
                </c:pt>
                <c:pt idx="2">
                  <c:v>2017/3</c:v>
                </c:pt>
                <c:pt idx="3">
                  <c:v>2017/4</c:v>
                </c:pt>
                <c:pt idx="4">
                  <c:v>2017/5</c:v>
                </c:pt>
                <c:pt idx="5">
                  <c:v>2017/6</c:v>
                </c:pt>
                <c:pt idx="6">
                  <c:v>2017/7</c:v>
                </c:pt>
                <c:pt idx="7">
                  <c:v>2017/8</c:v>
                </c:pt>
                <c:pt idx="8">
                  <c:v>2017/9</c:v>
                </c:pt>
                <c:pt idx="9">
                  <c:v>2017/10</c:v>
                </c:pt>
                <c:pt idx="10">
                  <c:v>2017/11</c:v>
                </c:pt>
                <c:pt idx="11">
                  <c:v>2017/12</c:v>
                </c:pt>
                <c:pt idx="12">
                  <c:v>2018/1</c:v>
                </c:pt>
                <c:pt idx="13">
                  <c:v>2018/2</c:v>
                </c:pt>
                <c:pt idx="14">
                  <c:v>2018/3</c:v>
                </c:pt>
                <c:pt idx="15">
                  <c:v>2018/4</c:v>
                </c:pt>
                <c:pt idx="16">
                  <c:v>2018/5</c:v>
                </c:pt>
                <c:pt idx="17">
                  <c:v>2018/6</c:v>
                </c:pt>
                <c:pt idx="18">
                  <c:v>2018/7</c:v>
                </c:pt>
                <c:pt idx="19">
                  <c:v>2018/8</c:v>
                </c:pt>
                <c:pt idx="20">
                  <c:v>2018/9</c:v>
                </c:pt>
                <c:pt idx="21">
                  <c:v>2018/10</c:v>
                </c:pt>
                <c:pt idx="22">
                  <c:v>2018/11</c:v>
                </c:pt>
                <c:pt idx="23">
                  <c:v>2018/12</c:v>
                </c:pt>
                <c:pt idx="24">
                  <c:v>2019/1</c:v>
                </c:pt>
                <c:pt idx="25">
                  <c:v>2019/2</c:v>
                </c:pt>
                <c:pt idx="26">
                  <c:v>2019/3</c:v>
                </c:pt>
                <c:pt idx="27">
                  <c:v>2019/4</c:v>
                </c:pt>
                <c:pt idx="28">
                  <c:v>2019/5</c:v>
                </c:pt>
                <c:pt idx="29">
                  <c:v>2019/6</c:v>
                </c:pt>
                <c:pt idx="30">
                  <c:v>2019/7</c:v>
                </c:pt>
                <c:pt idx="31">
                  <c:v>2019/8</c:v>
                </c:pt>
                <c:pt idx="32">
                  <c:v>2019/9</c:v>
                </c:pt>
                <c:pt idx="33">
                  <c:v>2019/10</c:v>
                </c:pt>
                <c:pt idx="34">
                  <c:v>2019/11</c:v>
                </c:pt>
                <c:pt idx="35">
                  <c:v>2019/12</c:v>
                </c:pt>
                <c:pt idx="36">
                  <c:v>2020/1</c:v>
                </c:pt>
                <c:pt idx="37">
                  <c:v>2020/2</c:v>
                </c:pt>
                <c:pt idx="38">
                  <c:v>2020/3</c:v>
                </c:pt>
                <c:pt idx="39">
                  <c:v>2020/4</c:v>
                </c:pt>
                <c:pt idx="40">
                  <c:v>2020/5</c:v>
                </c:pt>
                <c:pt idx="41">
                  <c:v>2020/6</c:v>
                </c:pt>
                <c:pt idx="42">
                  <c:v>2020/7</c:v>
                </c:pt>
                <c:pt idx="43">
                  <c:v>2020/8</c:v>
                </c:pt>
                <c:pt idx="44">
                  <c:v>2020/9</c:v>
                </c:pt>
                <c:pt idx="45">
                  <c:v>2020/10</c:v>
                </c:pt>
                <c:pt idx="46">
                  <c:v>2020/11</c:v>
                </c:pt>
                <c:pt idx="47">
                  <c:v>2020/12</c:v>
                </c:pt>
                <c:pt idx="48">
                  <c:v>2021/1</c:v>
                </c:pt>
                <c:pt idx="49">
                  <c:v>2021/2</c:v>
                </c:pt>
                <c:pt idx="50">
                  <c:v>2021/3</c:v>
                </c:pt>
                <c:pt idx="51">
                  <c:v>2021/4</c:v>
                </c:pt>
                <c:pt idx="52">
                  <c:v>2021/5</c:v>
                </c:pt>
              </c:strCache>
            </c:strRef>
          </c:cat>
          <c:val>
            <c:numRef>
              <c:f>Sheet1!$C$2:$C$54</c:f>
              <c:numCache>
                <c:formatCode>0.0</c:formatCode>
                <c:ptCount val="53"/>
                <c:pt idx="0">
                  <c:v>6.02</c:v>
                </c:pt>
                <c:pt idx="1">
                  <c:v>6.12</c:v>
                </c:pt>
                <c:pt idx="2">
                  <c:v>6.03</c:v>
                </c:pt>
                <c:pt idx="3">
                  <c:v>6.04</c:v>
                </c:pt>
                <c:pt idx="4">
                  <c:v>5.89</c:v>
                </c:pt>
                <c:pt idx="5">
                  <c:v>5.64</c:v>
                </c:pt>
                <c:pt idx="6">
                  <c:v>5.6</c:v>
                </c:pt>
                <c:pt idx="7">
                  <c:v>5.24</c:v>
                </c:pt>
                <c:pt idx="8">
                  <c:v>5.19</c:v>
                </c:pt>
                <c:pt idx="9">
                  <c:v>5.7</c:v>
                </c:pt>
                <c:pt idx="10">
                  <c:v>5.86</c:v>
                </c:pt>
                <c:pt idx="11">
                  <c:v>6.12</c:v>
                </c:pt>
                <c:pt idx="12">
                  <c:v>6.03</c:v>
                </c:pt>
                <c:pt idx="13">
                  <c:v>5.85</c:v>
                </c:pt>
                <c:pt idx="14">
                  <c:v>5.99</c:v>
                </c:pt>
                <c:pt idx="15">
                  <c:v>5.93</c:v>
                </c:pt>
                <c:pt idx="16">
                  <c:v>6.23</c:v>
                </c:pt>
                <c:pt idx="17">
                  <c:v>6.45</c:v>
                </c:pt>
                <c:pt idx="18">
                  <c:v>6.22</c:v>
                </c:pt>
                <c:pt idx="19">
                  <c:v>6.17</c:v>
                </c:pt>
                <c:pt idx="20">
                  <c:v>6.14</c:v>
                </c:pt>
                <c:pt idx="21">
                  <c:v>6.1</c:v>
                </c:pt>
                <c:pt idx="22">
                  <c:v>6.16</c:v>
                </c:pt>
                <c:pt idx="23">
                  <c:v>6.22</c:v>
                </c:pt>
                <c:pt idx="24">
                  <c:v>6.15</c:v>
                </c:pt>
                <c:pt idx="25">
                  <c:v>5.8</c:v>
                </c:pt>
                <c:pt idx="26">
                  <c:v>5.84</c:v>
                </c:pt>
                <c:pt idx="27">
                  <c:v>5.95</c:v>
                </c:pt>
                <c:pt idx="28">
                  <c:v>5.83</c:v>
                </c:pt>
                <c:pt idx="29">
                  <c:v>5.84</c:v>
                </c:pt>
                <c:pt idx="30">
                  <c:v>5.81</c:v>
                </c:pt>
                <c:pt idx="31">
                  <c:v>5.83</c:v>
                </c:pt>
                <c:pt idx="32">
                  <c:v>5.68</c:v>
                </c:pt>
                <c:pt idx="33">
                  <c:v>5.59</c:v>
                </c:pt>
                <c:pt idx="34">
                  <c:v>5.5</c:v>
                </c:pt>
                <c:pt idx="35">
                  <c:v>5.56</c:v>
                </c:pt>
                <c:pt idx="36">
                  <c:v>5.55</c:v>
                </c:pt>
                <c:pt idx="37">
                  <c:v>5.54</c:v>
                </c:pt>
                <c:pt idx="38">
                  <c:v>5.33</c:v>
                </c:pt>
                <c:pt idx="39">
                  <c:v>5.27</c:v>
                </c:pt>
                <c:pt idx="40">
                  <c:v>5.1100000000000003</c:v>
                </c:pt>
                <c:pt idx="41">
                  <c:v>4.87</c:v>
                </c:pt>
                <c:pt idx="42">
                  <c:v>3.3</c:v>
                </c:pt>
                <c:pt idx="43">
                  <c:v>4.58</c:v>
                </c:pt>
                <c:pt idx="44">
                  <c:v>4.3899999999999997</c:v>
                </c:pt>
                <c:pt idx="45">
                  <c:v>4.28</c:v>
                </c:pt>
                <c:pt idx="46">
                  <c:v>4.3099999999999996</c:v>
                </c:pt>
                <c:pt idx="47">
                  <c:v>5.03</c:v>
                </c:pt>
                <c:pt idx="48">
                  <c:v>5.49</c:v>
                </c:pt>
                <c:pt idx="49">
                  <c:v>5.56</c:v>
                </c:pt>
                <c:pt idx="50">
                  <c:v>5.54</c:v>
                </c:pt>
                <c:pt idx="51">
                  <c:v>5.54</c:v>
                </c:pt>
                <c:pt idx="52">
                  <c:v>6.71</c:v>
                </c:pt>
              </c:numCache>
            </c:numRef>
          </c:val>
          <c:smooth val="0"/>
          <c:extLst>
            <c:ext xmlns:c16="http://schemas.microsoft.com/office/drawing/2014/chart" uri="{C3380CC4-5D6E-409C-BE32-E72D297353CC}">
              <c16:uniqueId val="{00000001-AB82-4F17-BD68-D6F092FF4BF0}"/>
            </c:ext>
          </c:extLst>
        </c:ser>
        <c:ser>
          <c:idx val="2"/>
          <c:order val="2"/>
          <c:tx>
            <c:strRef>
              <c:f>Sheet1!$D$1</c:f>
              <c:strCache>
                <c:ptCount val="1"/>
                <c:pt idx="0">
                  <c:v>1 տարի ժ․կ․ ՊՊ եկամտ․</c:v>
                </c:pt>
              </c:strCache>
            </c:strRef>
          </c:tx>
          <c:spPr>
            <a:ln w="22225" cap="rnd">
              <a:solidFill>
                <a:schemeClr val="accent3"/>
              </a:solidFill>
              <a:round/>
            </a:ln>
            <a:effectLst/>
          </c:spPr>
          <c:marker>
            <c:symbol val="none"/>
          </c:marker>
          <c:cat>
            <c:strRef>
              <c:f>Sheet1!$A$2:$A$54</c:f>
              <c:strCache>
                <c:ptCount val="53"/>
                <c:pt idx="0">
                  <c:v>2017/1</c:v>
                </c:pt>
                <c:pt idx="1">
                  <c:v>2017/2</c:v>
                </c:pt>
                <c:pt idx="2">
                  <c:v>2017/3</c:v>
                </c:pt>
                <c:pt idx="3">
                  <c:v>2017/4</c:v>
                </c:pt>
                <c:pt idx="4">
                  <c:v>2017/5</c:v>
                </c:pt>
                <c:pt idx="5">
                  <c:v>2017/6</c:v>
                </c:pt>
                <c:pt idx="6">
                  <c:v>2017/7</c:v>
                </c:pt>
                <c:pt idx="7">
                  <c:v>2017/8</c:v>
                </c:pt>
                <c:pt idx="8">
                  <c:v>2017/9</c:v>
                </c:pt>
                <c:pt idx="9">
                  <c:v>2017/10</c:v>
                </c:pt>
                <c:pt idx="10">
                  <c:v>2017/11</c:v>
                </c:pt>
                <c:pt idx="11">
                  <c:v>2017/12</c:v>
                </c:pt>
                <c:pt idx="12">
                  <c:v>2018/1</c:v>
                </c:pt>
                <c:pt idx="13">
                  <c:v>2018/2</c:v>
                </c:pt>
                <c:pt idx="14">
                  <c:v>2018/3</c:v>
                </c:pt>
                <c:pt idx="15">
                  <c:v>2018/4</c:v>
                </c:pt>
                <c:pt idx="16">
                  <c:v>2018/5</c:v>
                </c:pt>
                <c:pt idx="17">
                  <c:v>2018/6</c:v>
                </c:pt>
                <c:pt idx="18">
                  <c:v>2018/7</c:v>
                </c:pt>
                <c:pt idx="19">
                  <c:v>2018/8</c:v>
                </c:pt>
                <c:pt idx="20">
                  <c:v>2018/9</c:v>
                </c:pt>
                <c:pt idx="21">
                  <c:v>2018/10</c:v>
                </c:pt>
                <c:pt idx="22">
                  <c:v>2018/11</c:v>
                </c:pt>
                <c:pt idx="23">
                  <c:v>2018/12</c:v>
                </c:pt>
                <c:pt idx="24">
                  <c:v>2019/1</c:v>
                </c:pt>
                <c:pt idx="25">
                  <c:v>2019/2</c:v>
                </c:pt>
                <c:pt idx="26">
                  <c:v>2019/3</c:v>
                </c:pt>
                <c:pt idx="27">
                  <c:v>2019/4</c:v>
                </c:pt>
                <c:pt idx="28">
                  <c:v>2019/5</c:v>
                </c:pt>
                <c:pt idx="29">
                  <c:v>2019/6</c:v>
                </c:pt>
                <c:pt idx="30">
                  <c:v>2019/7</c:v>
                </c:pt>
                <c:pt idx="31">
                  <c:v>2019/8</c:v>
                </c:pt>
                <c:pt idx="32">
                  <c:v>2019/9</c:v>
                </c:pt>
                <c:pt idx="33">
                  <c:v>2019/10</c:v>
                </c:pt>
                <c:pt idx="34">
                  <c:v>2019/11</c:v>
                </c:pt>
                <c:pt idx="35">
                  <c:v>2019/12</c:v>
                </c:pt>
                <c:pt idx="36">
                  <c:v>2020/1</c:v>
                </c:pt>
                <c:pt idx="37">
                  <c:v>2020/2</c:v>
                </c:pt>
                <c:pt idx="38">
                  <c:v>2020/3</c:v>
                </c:pt>
                <c:pt idx="39">
                  <c:v>2020/4</c:v>
                </c:pt>
                <c:pt idx="40">
                  <c:v>2020/5</c:v>
                </c:pt>
                <c:pt idx="41">
                  <c:v>2020/6</c:v>
                </c:pt>
                <c:pt idx="42">
                  <c:v>2020/7</c:v>
                </c:pt>
                <c:pt idx="43">
                  <c:v>2020/8</c:v>
                </c:pt>
                <c:pt idx="44">
                  <c:v>2020/9</c:v>
                </c:pt>
                <c:pt idx="45">
                  <c:v>2020/10</c:v>
                </c:pt>
                <c:pt idx="46">
                  <c:v>2020/11</c:v>
                </c:pt>
                <c:pt idx="47">
                  <c:v>2020/12</c:v>
                </c:pt>
                <c:pt idx="48">
                  <c:v>2021/1</c:v>
                </c:pt>
                <c:pt idx="49">
                  <c:v>2021/2</c:v>
                </c:pt>
                <c:pt idx="50">
                  <c:v>2021/3</c:v>
                </c:pt>
                <c:pt idx="51">
                  <c:v>2021/4</c:v>
                </c:pt>
                <c:pt idx="52">
                  <c:v>2021/5</c:v>
                </c:pt>
              </c:strCache>
            </c:strRef>
          </c:cat>
          <c:val>
            <c:numRef>
              <c:f>Sheet1!$D$2:$D$54</c:f>
              <c:numCache>
                <c:formatCode>#\,##0.0</c:formatCode>
                <c:ptCount val="53"/>
                <c:pt idx="0">
                  <c:v>7.7614999999999998</c:v>
                </c:pt>
                <c:pt idx="1">
                  <c:v>7.6989999999999998</c:v>
                </c:pt>
                <c:pt idx="2">
                  <c:v>7.2957999999999998</c:v>
                </c:pt>
                <c:pt idx="3">
                  <c:v>7.0052000000000003</c:v>
                </c:pt>
                <c:pt idx="4">
                  <c:v>6.7395000000000005</c:v>
                </c:pt>
                <c:pt idx="5">
                  <c:v>6.7240000000000002</c:v>
                </c:pt>
                <c:pt idx="6">
                  <c:v>6.4492000000000003</c:v>
                </c:pt>
                <c:pt idx="7">
                  <c:v>6.4047000000000001</c:v>
                </c:pt>
                <c:pt idx="8">
                  <c:v>6.2876000000000003</c:v>
                </c:pt>
                <c:pt idx="9">
                  <c:v>6.1492000000000004</c:v>
                </c:pt>
                <c:pt idx="10">
                  <c:v>6.0979999999999999</c:v>
                </c:pt>
                <c:pt idx="11">
                  <c:v>6.0979999999999999</c:v>
                </c:pt>
                <c:pt idx="12">
                  <c:v>6.1689999999999996</c:v>
                </c:pt>
                <c:pt idx="13">
                  <c:v>6.1475999999999997</c:v>
                </c:pt>
                <c:pt idx="14">
                  <c:v>6.1622000000000003</c:v>
                </c:pt>
                <c:pt idx="15">
                  <c:v>6.1551999999999998</c:v>
                </c:pt>
                <c:pt idx="16">
                  <c:v>6.2244999999999999</c:v>
                </c:pt>
                <c:pt idx="17">
                  <c:v>6.2295999999999996</c:v>
                </c:pt>
                <c:pt idx="18">
                  <c:v>6.2680999999999996</c:v>
                </c:pt>
                <c:pt idx="19">
                  <c:v>6.2766000000000002</c:v>
                </c:pt>
                <c:pt idx="20">
                  <c:v>6.2794999999999996</c:v>
                </c:pt>
                <c:pt idx="21">
                  <c:v>6.2557</c:v>
                </c:pt>
                <c:pt idx="22">
                  <c:v>6.2257999999999996</c:v>
                </c:pt>
                <c:pt idx="23">
                  <c:v>6.2268999999999997</c:v>
                </c:pt>
                <c:pt idx="24">
                  <c:v>6.2257999999999996</c:v>
                </c:pt>
                <c:pt idx="25">
                  <c:v>6.2496999999999998</c:v>
                </c:pt>
                <c:pt idx="26">
                  <c:v>6.1811999999999996</c:v>
                </c:pt>
                <c:pt idx="27">
                  <c:v>6.1741999999999999</c:v>
                </c:pt>
                <c:pt idx="28">
                  <c:v>6.0544000000000002</c:v>
                </c:pt>
                <c:pt idx="29">
                  <c:v>6.0544000000000002</c:v>
                </c:pt>
                <c:pt idx="30">
                  <c:v>6.1539999999999999</c:v>
                </c:pt>
                <c:pt idx="31">
                  <c:v>5.9701000000000004</c:v>
                </c:pt>
                <c:pt idx="32">
                  <c:v>5.9745999999999997</c:v>
                </c:pt>
                <c:pt idx="33">
                  <c:v>5.8437999999999999</c:v>
                </c:pt>
                <c:pt idx="34">
                  <c:v>5.7622</c:v>
                </c:pt>
                <c:pt idx="35">
                  <c:v>5.7070999999999996</c:v>
                </c:pt>
                <c:pt idx="36" formatCode="0.0">
                  <c:v>5.6117749999999997</c:v>
                </c:pt>
                <c:pt idx="37" formatCode="0.0">
                  <c:v>5.5589009999999996</c:v>
                </c:pt>
                <c:pt idx="38" formatCode="0.0">
                  <c:v>5.5941828200000003</c:v>
                </c:pt>
                <c:pt idx="39" formatCode="0.0">
                  <c:v>5.7322329999999999</c:v>
                </c:pt>
                <c:pt idx="40" formatCode="0.0">
                  <c:v>5.7526204545454549</c:v>
                </c:pt>
                <c:pt idx="41" formatCode="0.0">
                  <c:v>5.7470333333333334</c:v>
                </c:pt>
                <c:pt idx="42" formatCode="0.0">
                  <c:v>5.6</c:v>
                </c:pt>
                <c:pt idx="43" formatCode="0.0">
                  <c:v>5.6621024092801902</c:v>
                </c:pt>
                <c:pt idx="44" formatCode="0.0">
                  <c:v>5.6617125000000001</c:v>
                </c:pt>
                <c:pt idx="45" formatCode="0.0">
                  <c:v>5.7126151515151511</c:v>
                </c:pt>
                <c:pt idx="46" formatCode="0.0">
                  <c:v>5.9</c:v>
                </c:pt>
                <c:pt idx="47" formatCode="0.0">
                  <c:v>6.1296879687499999</c:v>
                </c:pt>
                <c:pt idx="48" formatCode="0.0">
                  <c:v>6.8925232558139538</c:v>
                </c:pt>
                <c:pt idx="49" formatCode="0.0">
                  <c:v>6.8010142857142855</c:v>
                </c:pt>
                <c:pt idx="50" formatCode="0.0">
                  <c:v>6.8712428571428568</c:v>
                </c:pt>
                <c:pt idx="51" formatCode="0.0">
                  <c:v>6.8708857142857145</c:v>
                </c:pt>
                <c:pt idx="52" formatCode="0.0">
                  <c:v>7.0861142857142854</c:v>
                </c:pt>
              </c:numCache>
            </c:numRef>
          </c:val>
          <c:smooth val="0"/>
          <c:extLst>
            <c:ext xmlns:c16="http://schemas.microsoft.com/office/drawing/2014/chart" uri="{C3380CC4-5D6E-409C-BE32-E72D297353CC}">
              <c16:uniqueId val="{00000002-AB82-4F17-BD68-D6F092FF4BF0}"/>
            </c:ext>
          </c:extLst>
        </c:ser>
        <c:dLbls>
          <c:showLegendKey val="0"/>
          <c:showVal val="0"/>
          <c:showCatName val="0"/>
          <c:showSerName val="0"/>
          <c:showPercent val="0"/>
          <c:showBubbleSize val="0"/>
        </c:dLbls>
        <c:smooth val="0"/>
        <c:axId val="150400384"/>
        <c:axId val="150418560"/>
      </c:lineChart>
      <c:catAx>
        <c:axId val="150400384"/>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GHEA Grapalat" panose="02000506050000020003" pitchFamily="50" charset="0"/>
                <a:ea typeface="+mn-ea"/>
                <a:cs typeface="+mn-cs"/>
              </a:defRPr>
            </a:pPr>
            <a:endParaRPr lang="en-US"/>
          </a:p>
        </c:txPr>
        <c:crossAx val="150418560"/>
        <c:crosses val="autoZero"/>
        <c:auto val="1"/>
        <c:lblAlgn val="ctr"/>
        <c:lblOffset val="100"/>
        <c:noMultiLvlLbl val="0"/>
      </c:catAx>
      <c:valAx>
        <c:axId val="150418560"/>
        <c:scaling>
          <c:orientation val="minMax"/>
          <c:min val="3"/>
        </c:scaling>
        <c:delete val="0"/>
        <c:axPos val="l"/>
        <c:majorGridlines>
          <c:spPr>
            <a:ln w="9525" cap="flat" cmpd="sng" algn="ctr">
              <a:solidFill>
                <a:schemeClr val="dk1">
                  <a:lumMod val="15000"/>
                  <a:lumOff val="85000"/>
                  <a:alpha val="54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crossAx val="150400384"/>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2.5422546819328741E-2"/>
          <c:y val="0.77057094314875862"/>
          <c:w val="0.95318035426731051"/>
          <c:h val="0.2058509331557099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GHEA Grapalat" panose="02000506050000020003" pitchFamily="50" charset="0"/>
        </a:defRPr>
      </a:pPr>
      <a:endParaRPr lang="en-US"/>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cap="none" spc="0" normalizeH="0" baseline="0">
                <a:solidFill>
                  <a:schemeClr val="tx1"/>
                </a:solidFill>
                <a:latin typeface="GHEA Grapalat" panose="02000506050000020003" pitchFamily="50" charset="0"/>
                <a:ea typeface="+mj-ea"/>
                <a:cs typeface="+mj-cs"/>
              </a:defRPr>
            </a:pPr>
            <a:r>
              <a:rPr lang="hy-AM" sz="900" b="1" i="1"/>
              <a:t>ԿԲ գործառնություններ, մլն դրամ</a:t>
            </a:r>
            <a:endParaRPr lang="en-US" sz="900" b="1" i="1"/>
          </a:p>
        </c:rich>
      </c:tx>
      <c:overlay val="0"/>
      <c:spPr>
        <a:noFill/>
        <a:ln>
          <a:noFill/>
        </a:ln>
        <a:effectLst/>
      </c:spPr>
    </c:title>
    <c:autoTitleDeleted val="0"/>
    <c:plotArea>
      <c:layout>
        <c:manualLayout>
          <c:layoutTarget val="inner"/>
          <c:xMode val="edge"/>
          <c:yMode val="edge"/>
          <c:x val="0.19427659505524772"/>
          <c:y val="0.14718253968253969"/>
          <c:w val="0.76045591523281864"/>
          <c:h val="0.49661948506436793"/>
        </c:manualLayout>
      </c:layout>
      <c:areaChart>
        <c:grouping val="standard"/>
        <c:varyColors val="0"/>
        <c:ser>
          <c:idx val="0"/>
          <c:order val="0"/>
          <c:tx>
            <c:strRef>
              <c:f>Sheet1!$B$1</c:f>
              <c:strCache>
                <c:ptCount val="1"/>
                <c:pt idx="0">
                  <c:v>Ռեպո համաձայնագրեր</c:v>
                </c:pt>
              </c:strCache>
            </c:strRef>
          </c:tx>
          <c:spPr>
            <a:solidFill>
              <a:schemeClr val="accent1"/>
            </a:solidFill>
            <a:ln>
              <a:noFill/>
            </a:ln>
            <a:effectLst/>
          </c:spPr>
          <c:cat>
            <c:strRef>
              <c:f>Sheet1!$A$2:$A$54</c:f>
              <c:strCache>
                <c:ptCount val="53"/>
                <c:pt idx="0">
                  <c:v>2017/1</c:v>
                </c:pt>
                <c:pt idx="1">
                  <c:v>2017/2</c:v>
                </c:pt>
                <c:pt idx="2">
                  <c:v>2017/3</c:v>
                </c:pt>
                <c:pt idx="3">
                  <c:v>2017/4</c:v>
                </c:pt>
                <c:pt idx="4">
                  <c:v>2017/5</c:v>
                </c:pt>
                <c:pt idx="5">
                  <c:v>2017/6</c:v>
                </c:pt>
                <c:pt idx="6">
                  <c:v>2017/7</c:v>
                </c:pt>
                <c:pt idx="7">
                  <c:v>2017/8</c:v>
                </c:pt>
                <c:pt idx="8">
                  <c:v>2017/9</c:v>
                </c:pt>
                <c:pt idx="9">
                  <c:v>2017/10</c:v>
                </c:pt>
                <c:pt idx="10">
                  <c:v>2017/11</c:v>
                </c:pt>
                <c:pt idx="11">
                  <c:v>2017/12</c:v>
                </c:pt>
                <c:pt idx="12">
                  <c:v>2018/1</c:v>
                </c:pt>
                <c:pt idx="13">
                  <c:v>2018/2</c:v>
                </c:pt>
                <c:pt idx="14">
                  <c:v>2018/3</c:v>
                </c:pt>
                <c:pt idx="15">
                  <c:v>2018/4</c:v>
                </c:pt>
                <c:pt idx="16">
                  <c:v>2018/5</c:v>
                </c:pt>
                <c:pt idx="17">
                  <c:v>2018/6</c:v>
                </c:pt>
                <c:pt idx="18">
                  <c:v>2018/7</c:v>
                </c:pt>
                <c:pt idx="19">
                  <c:v>2018/8</c:v>
                </c:pt>
                <c:pt idx="20">
                  <c:v>2018/9</c:v>
                </c:pt>
                <c:pt idx="21">
                  <c:v>2018/10</c:v>
                </c:pt>
                <c:pt idx="22">
                  <c:v>2018/11</c:v>
                </c:pt>
                <c:pt idx="23">
                  <c:v>2018/12</c:v>
                </c:pt>
                <c:pt idx="24">
                  <c:v>2019/1</c:v>
                </c:pt>
                <c:pt idx="25">
                  <c:v>2019/2</c:v>
                </c:pt>
                <c:pt idx="26">
                  <c:v>2019/3</c:v>
                </c:pt>
                <c:pt idx="27">
                  <c:v>2019/4</c:v>
                </c:pt>
                <c:pt idx="28">
                  <c:v>2019/5</c:v>
                </c:pt>
                <c:pt idx="29">
                  <c:v>2019/6</c:v>
                </c:pt>
                <c:pt idx="30">
                  <c:v>2019/7</c:v>
                </c:pt>
                <c:pt idx="31">
                  <c:v>2019/8</c:v>
                </c:pt>
                <c:pt idx="32">
                  <c:v>2019/9</c:v>
                </c:pt>
                <c:pt idx="33">
                  <c:v>2019/10</c:v>
                </c:pt>
                <c:pt idx="34">
                  <c:v>2019/11</c:v>
                </c:pt>
                <c:pt idx="35">
                  <c:v>2019/12</c:v>
                </c:pt>
                <c:pt idx="36">
                  <c:v>2020/1</c:v>
                </c:pt>
                <c:pt idx="37">
                  <c:v>2020/2</c:v>
                </c:pt>
                <c:pt idx="38">
                  <c:v>2020/3</c:v>
                </c:pt>
                <c:pt idx="39">
                  <c:v>2020/4</c:v>
                </c:pt>
                <c:pt idx="40">
                  <c:v>2020/5</c:v>
                </c:pt>
                <c:pt idx="41">
                  <c:v>2020/6</c:v>
                </c:pt>
                <c:pt idx="42">
                  <c:v>2020/7</c:v>
                </c:pt>
                <c:pt idx="43">
                  <c:v>2020/8</c:v>
                </c:pt>
                <c:pt idx="44">
                  <c:v>2020/9</c:v>
                </c:pt>
                <c:pt idx="45">
                  <c:v>2020/10</c:v>
                </c:pt>
                <c:pt idx="46">
                  <c:v>2020/11</c:v>
                </c:pt>
                <c:pt idx="47">
                  <c:v>2020/12</c:v>
                </c:pt>
                <c:pt idx="48">
                  <c:v>2021/1</c:v>
                </c:pt>
                <c:pt idx="49">
                  <c:v>2021/2</c:v>
                </c:pt>
                <c:pt idx="50">
                  <c:v>2021/3</c:v>
                </c:pt>
                <c:pt idx="51">
                  <c:v>2021/4</c:v>
                </c:pt>
                <c:pt idx="52">
                  <c:v>2021/5</c:v>
                </c:pt>
              </c:strCache>
            </c:strRef>
          </c:cat>
          <c:val>
            <c:numRef>
              <c:f>Sheet1!$B$2:$B$54</c:f>
              <c:numCache>
                <c:formatCode>#\,##0</c:formatCode>
                <c:ptCount val="53"/>
                <c:pt idx="0">
                  <c:v>10010.340092</c:v>
                </c:pt>
                <c:pt idx="1">
                  <c:v>10010.026423000001</c:v>
                </c:pt>
                <c:pt idx="2">
                  <c:v>30010.117534000001</c:v>
                </c:pt>
                <c:pt idx="3">
                  <c:v>4963.1806969999998</c:v>
                </c:pt>
                <c:pt idx="4">
                  <c:v>0</c:v>
                </c:pt>
                <c:pt idx="5">
                  <c:v>28708.224384000001</c:v>
                </c:pt>
                <c:pt idx="6">
                  <c:v>0</c:v>
                </c:pt>
                <c:pt idx="7">
                  <c:v>0</c:v>
                </c:pt>
                <c:pt idx="8">
                  <c:v>8003.984657</c:v>
                </c:pt>
                <c:pt idx="9">
                  <c:v>10009.918903999998</c:v>
                </c:pt>
                <c:pt idx="10">
                  <c:v>15002.515936</c:v>
                </c:pt>
                <c:pt idx="11">
                  <c:v>36918.863013999995</c:v>
                </c:pt>
                <c:pt idx="12">
                  <c:v>3100</c:v>
                </c:pt>
                <c:pt idx="13">
                  <c:v>0</c:v>
                </c:pt>
                <c:pt idx="14">
                  <c:v>23007.619178000001</c:v>
                </c:pt>
                <c:pt idx="15">
                  <c:v>31752.306124999999</c:v>
                </c:pt>
                <c:pt idx="16">
                  <c:v>9601.6037530000012</c:v>
                </c:pt>
                <c:pt idx="17">
                  <c:v>55427.193009000002</c:v>
                </c:pt>
                <c:pt idx="18">
                  <c:v>67770.798931999991</c:v>
                </c:pt>
                <c:pt idx="19">
                  <c:v>66187.783616999994</c:v>
                </c:pt>
                <c:pt idx="20">
                  <c:v>120590.769421</c:v>
                </c:pt>
                <c:pt idx="21">
                  <c:v>90000</c:v>
                </c:pt>
                <c:pt idx="22">
                  <c:v>120040.73906399999</c:v>
                </c:pt>
                <c:pt idx="23">
                  <c:v>163433.11258099999</c:v>
                </c:pt>
                <c:pt idx="24">
                  <c:v>180879.100263</c:v>
                </c:pt>
                <c:pt idx="25">
                  <c:v>180073.80962700001</c:v>
                </c:pt>
                <c:pt idx="26">
                  <c:v>220323.28971799999</c:v>
                </c:pt>
                <c:pt idx="27">
                  <c:v>260627.031609</c:v>
                </c:pt>
                <c:pt idx="28">
                  <c:v>190557.54955299999</c:v>
                </c:pt>
                <c:pt idx="29">
                  <c:v>190642.649512</c:v>
                </c:pt>
                <c:pt idx="30">
                  <c:v>170338.63131</c:v>
                </c:pt>
                <c:pt idx="31">
                  <c:v>150411.26994500001</c:v>
                </c:pt>
                <c:pt idx="32">
                  <c:v>150458.40972699999</c:v>
                </c:pt>
                <c:pt idx="33">
                  <c:v>108677.600792</c:v>
                </c:pt>
                <c:pt idx="34">
                  <c:v>65252.792568999997</c:v>
                </c:pt>
                <c:pt idx="35">
                  <c:v>126669.77420100001</c:v>
                </c:pt>
                <c:pt idx="36">
                  <c:v>130040.291826</c:v>
                </c:pt>
                <c:pt idx="37">
                  <c:v>70032.156334999992</c:v>
                </c:pt>
                <c:pt idx="38">
                  <c:v>150133.33468200002</c:v>
                </c:pt>
                <c:pt idx="39">
                  <c:v>195027.59827900003</c:v>
                </c:pt>
                <c:pt idx="40">
                  <c:v>196812.30303499999</c:v>
                </c:pt>
                <c:pt idx="41">
                  <c:v>211932.343544</c:v>
                </c:pt>
                <c:pt idx="42">
                  <c:v>188727.39449000001</c:v>
                </c:pt>
                <c:pt idx="43">
                  <c:v>180112.86072999999</c:v>
                </c:pt>
                <c:pt idx="44">
                  <c:v>227400</c:v>
                </c:pt>
                <c:pt idx="45">
                  <c:v>307708.74209200003</c:v>
                </c:pt>
                <c:pt idx="46">
                  <c:v>342952.311024</c:v>
                </c:pt>
                <c:pt idx="47">
                  <c:v>345952.76940399996</c:v>
                </c:pt>
                <c:pt idx="48">
                  <c:v>331195.47828699998</c:v>
                </c:pt>
                <c:pt idx="49">
                  <c:v>280172.25124100002</c:v>
                </c:pt>
                <c:pt idx="50">
                  <c:v>348800</c:v>
                </c:pt>
                <c:pt idx="51">
                  <c:v>325640.89985300007</c:v>
                </c:pt>
                <c:pt idx="52">
                  <c:v>511413.94006599998</c:v>
                </c:pt>
              </c:numCache>
            </c:numRef>
          </c:val>
          <c:extLst>
            <c:ext xmlns:c16="http://schemas.microsoft.com/office/drawing/2014/chart" uri="{C3380CC4-5D6E-409C-BE32-E72D297353CC}">
              <c16:uniqueId val="{00000000-92C6-471F-9BDB-FE9818265FB9}"/>
            </c:ext>
          </c:extLst>
        </c:ser>
        <c:ser>
          <c:idx val="1"/>
          <c:order val="1"/>
          <c:tx>
            <c:strRef>
              <c:f>Sheet1!$C$1</c:f>
              <c:strCache>
                <c:ptCount val="1"/>
                <c:pt idx="0">
                  <c:v>Արտարժույթի ներգրավման սվոփ</c:v>
                </c:pt>
              </c:strCache>
            </c:strRef>
          </c:tx>
          <c:spPr>
            <a:solidFill>
              <a:schemeClr val="accent2"/>
            </a:solidFill>
            <a:ln>
              <a:noFill/>
            </a:ln>
            <a:effectLst/>
          </c:spPr>
          <c:cat>
            <c:strRef>
              <c:f>Sheet1!$A$2:$A$54</c:f>
              <c:strCache>
                <c:ptCount val="53"/>
                <c:pt idx="0">
                  <c:v>2017/1</c:v>
                </c:pt>
                <c:pt idx="1">
                  <c:v>2017/2</c:v>
                </c:pt>
                <c:pt idx="2">
                  <c:v>2017/3</c:v>
                </c:pt>
                <c:pt idx="3">
                  <c:v>2017/4</c:v>
                </c:pt>
                <c:pt idx="4">
                  <c:v>2017/5</c:v>
                </c:pt>
                <c:pt idx="5">
                  <c:v>2017/6</c:v>
                </c:pt>
                <c:pt idx="6">
                  <c:v>2017/7</c:v>
                </c:pt>
                <c:pt idx="7">
                  <c:v>2017/8</c:v>
                </c:pt>
                <c:pt idx="8">
                  <c:v>2017/9</c:v>
                </c:pt>
                <c:pt idx="9">
                  <c:v>2017/10</c:v>
                </c:pt>
                <c:pt idx="10">
                  <c:v>2017/11</c:v>
                </c:pt>
                <c:pt idx="11">
                  <c:v>2017/12</c:v>
                </c:pt>
                <c:pt idx="12">
                  <c:v>2018/1</c:v>
                </c:pt>
                <c:pt idx="13">
                  <c:v>2018/2</c:v>
                </c:pt>
                <c:pt idx="14">
                  <c:v>2018/3</c:v>
                </c:pt>
                <c:pt idx="15">
                  <c:v>2018/4</c:v>
                </c:pt>
                <c:pt idx="16">
                  <c:v>2018/5</c:v>
                </c:pt>
                <c:pt idx="17">
                  <c:v>2018/6</c:v>
                </c:pt>
                <c:pt idx="18">
                  <c:v>2018/7</c:v>
                </c:pt>
                <c:pt idx="19">
                  <c:v>2018/8</c:v>
                </c:pt>
                <c:pt idx="20">
                  <c:v>2018/9</c:v>
                </c:pt>
                <c:pt idx="21">
                  <c:v>2018/10</c:v>
                </c:pt>
                <c:pt idx="22">
                  <c:v>2018/11</c:v>
                </c:pt>
                <c:pt idx="23">
                  <c:v>2018/12</c:v>
                </c:pt>
                <c:pt idx="24">
                  <c:v>2019/1</c:v>
                </c:pt>
                <c:pt idx="25">
                  <c:v>2019/2</c:v>
                </c:pt>
                <c:pt idx="26">
                  <c:v>2019/3</c:v>
                </c:pt>
                <c:pt idx="27">
                  <c:v>2019/4</c:v>
                </c:pt>
                <c:pt idx="28">
                  <c:v>2019/5</c:v>
                </c:pt>
                <c:pt idx="29">
                  <c:v>2019/6</c:v>
                </c:pt>
                <c:pt idx="30">
                  <c:v>2019/7</c:v>
                </c:pt>
                <c:pt idx="31">
                  <c:v>2019/8</c:v>
                </c:pt>
                <c:pt idx="32">
                  <c:v>2019/9</c:v>
                </c:pt>
                <c:pt idx="33">
                  <c:v>2019/10</c:v>
                </c:pt>
                <c:pt idx="34">
                  <c:v>2019/11</c:v>
                </c:pt>
                <c:pt idx="35">
                  <c:v>2019/12</c:v>
                </c:pt>
                <c:pt idx="36">
                  <c:v>2020/1</c:v>
                </c:pt>
                <c:pt idx="37">
                  <c:v>2020/2</c:v>
                </c:pt>
                <c:pt idx="38">
                  <c:v>2020/3</c:v>
                </c:pt>
                <c:pt idx="39">
                  <c:v>2020/4</c:v>
                </c:pt>
                <c:pt idx="40">
                  <c:v>2020/5</c:v>
                </c:pt>
                <c:pt idx="41">
                  <c:v>2020/6</c:v>
                </c:pt>
                <c:pt idx="42">
                  <c:v>2020/7</c:v>
                </c:pt>
                <c:pt idx="43">
                  <c:v>2020/8</c:v>
                </c:pt>
                <c:pt idx="44">
                  <c:v>2020/9</c:v>
                </c:pt>
                <c:pt idx="45">
                  <c:v>2020/10</c:v>
                </c:pt>
                <c:pt idx="46">
                  <c:v>2020/11</c:v>
                </c:pt>
                <c:pt idx="47">
                  <c:v>2020/12</c:v>
                </c:pt>
                <c:pt idx="48">
                  <c:v>2021/1</c:v>
                </c:pt>
                <c:pt idx="49">
                  <c:v>2021/2</c:v>
                </c:pt>
                <c:pt idx="50">
                  <c:v>2021/3</c:v>
                </c:pt>
                <c:pt idx="51">
                  <c:v>2021/4</c:v>
                </c:pt>
                <c:pt idx="52">
                  <c:v>2021/5</c:v>
                </c:pt>
              </c:strCache>
            </c:strRef>
          </c:cat>
          <c:val>
            <c:numRef>
              <c:f>Sheet1!$C$2:$C$54</c:f>
              <c:numCache>
                <c:formatCode>#\,##0</c:formatCode>
                <c:ptCount val="5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10007.649315000001</c:v>
                </c:pt>
                <c:pt idx="15">
                  <c:v>25025.623835999999</c:v>
                </c:pt>
                <c:pt idx="16">
                  <c:v>9601.6037530000012</c:v>
                </c:pt>
                <c:pt idx="17">
                  <c:v>0</c:v>
                </c:pt>
                <c:pt idx="18">
                  <c:v>0</c:v>
                </c:pt>
                <c:pt idx="19">
                  <c:v>0</c:v>
                </c:pt>
                <c:pt idx="20">
                  <c:v>0</c:v>
                </c:pt>
                <c:pt idx="21">
                  <c:v>0</c:v>
                </c:pt>
                <c:pt idx="22">
                  <c:v>0</c:v>
                </c:pt>
                <c:pt idx="23">
                  <c:v>5351.1608176999998</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numCache>
            </c:numRef>
          </c:val>
          <c:extLst>
            <c:ext xmlns:c16="http://schemas.microsoft.com/office/drawing/2014/chart" uri="{C3380CC4-5D6E-409C-BE32-E72D297353CC}">
              <c16:uniqueId val="{00000001-92C6-471F-9BDB-FE9818265FB9}"/>
            </c:ext>
          </c:extLst>
        </c:ser>
        <c:ser>
          <c:idx val="2"/>
          <c:order val="2"/>
          <c:tx>
            <c:strRef>
              <c:f>Sheet1!$D$1</c:f>
              <c:strCache>
                <c:ptCount val="1"/>
                <c:pt idx="0">
                  <c:v>Ավանդներ </c:v>
                </c:pt>
              </c:strCache>
            </c:strRef>
          </c:tx>
          <c:spPr>
            <a:solidFill>
              <a:schemeClr val="accent3"/>
            </a:solidFill>
            <a:ln>
              <a:noFill/>
            </a:ln>
            <a:effectLst/>
          </c:spPr>
          <c:cat>
            <c:strRef>
              <c:f>Sheet1!$A$2:$A$54</c:f>
              <c:strCache>
                <c:ptCount val="53"/>
                <c:pt idx="0">
                  <c:v>2017/1</c:v>
                </c:pt>
                <c:pt idx="1">
                  <c:v>2017/2</c:v>
                </c:pt>
                <c:pt idx="2">
                  <c:v>2017/3</c:v>
                </c:pt>
                <c:pt idx="3">
                  <c:v>2017/4</c:v>
                </c:pt>
                <c:pt idx="4">
                  <c:v>2017/5</c:v>
                </c:pt>
                <c:pt idx="5">
                  <c:v>2017/6</c:v>
                </c:pt>
                <c:pt idx="6">
                  <c:v>2017/7</c:v>
                </c:pt>
                <c:pt idx="7">
                  <c:v>2017/8</c:v>
                </c:pt>
                <c:pt idx="8">
                  <c:v>2017/9</c:v>
                </c:pt>
                <c:pt idx="9">
                  <c:v>2017/10</c:v>
                </c:pt>
                <c:pt idx="10">
                  <c:v>2017/11</c:v>
                </c:pt>
                <c:pt idx="11">
                  <c:v>2017/12</c:v>
                </c:pt>
                <c:pt idx="12">
                  <c:v>2018/1</c:v>
                </c:pt>
                <c:pt idx="13">
                  <c:v>2018/2</c:v>
                </c:pt>
                <c:pt idx="14">
                  <c:v>2018/3</c:v>
                </c:pt>
                <c:pt idx="15">
                  <c:v>2018/4</c:v>
                </c:pt>
                <c:pt idx="16">
                  <c:v>2018/5</c:v>
                </c:pt>
                <c:pt idx="17">
                  <c:v>2018/6</c:v>
                </c:pt>
                <c:pt idx="18">
                  <c:v>2018/7</c:v>
                </c:pt>
                <c:pt idx="19">
                  <c:v>2018/8</c:v>
                </c:pt>
                <c:pt idx="20">
                  <c:v>2018/9</c:v>
                </c:pt>
                <c:pt idx="21">
                  <c:v>2018/10</c:v>
                </c:pt>
                <c:pt idx="22">
                  <c:v>2018/11</c:v>
                </c:pt>
                <c:pt idx="23">
                  <c:v>2018/12</c:v>
                </c:pt>
                <c:pt idx="24">
                  <c:v>2019/1</c:v>
                </c:pt>
                <c:pt idx="25">
                  <c:v>2019/2</c:v>
                </c:pt>
                <c:pt idx="26">
                  <c:v>2019/3</c:v>
                </c:pt>
                <c:pt idx="27">
                  <c:v>2019/4</c:v>
                </c:pt>
                <c:pt idx="28">
                  <c:v>2019/5</c:v>
                </c:pt>
                <c:pt idx="29">
                  <c:v>2019/6</c:v>
                </c:pt>
                <c:pt idx="30">
                  <c:v>2019/7</c:v>
                </c:pt>
                <c:pt idx="31">
                  <c:v>2019/8</c:v>
                </c:pt>
                <c:pt idx="32">
                  <c:v>2019/9</c:v>
                </c:pt>
                <c:pt idx="33">
                  <c:v>2019/10</c:v>
                </c:pt>
                <c:pt idx="34">
                  <c:v>2019/11</c:v>
                </c:pt>
                <c:pt idx="35">
                  <c:v>2019/12</c:v>
                </c:pt>
                <c:pt idx="36">
                  <c:v>2020/1</c:v>
                </c:pt>
                <c:pt idx="37">
                  <c:v>2020/2</c:v>
                </c:pt>
                <c:pt idx="38">
                  <c:v>2020/3</c:v>
                </c:pt>
                <c:pt idx="39">
                  <c:v>2020/4</c:v>
                </c:pt>
                <c:pt idx="40">
                  <c:v>2020/5</c:v>
                </c:pt>
                <c:pt idx="41">
                  <c:v>2020/6</c:v>
                </c:pt>
                <c:pt idx="42">
                  <c:v>2020/7</c:v>
                </c:pt>
                <c:pt idx="43">
                  <c:v>2020/8</c:v>
                </c:pt>
                <c:pt idx="44">
                  <c:v>2020/9</c:v>
                </c:pt>
                <c:pt idx="45">
                  <c:v>2020/10</c:v>
                </c:pt>
                <c:pt idx="46">
                  <c:v>2020/11</c:v>
                </c:pt>
                <c:pt idx="47">
                  <c:v>2020/12</c:v>
                </c:pt>
                <c:pt idx="48">
                  <c:v>2021/1</c:v>
                </c:pt>
                <c:pt idx="49">
                  <c:v>2021/2</c:v>
                </c:pt>
                <c:pt idx="50">
                  <c:v>2021/3</c:v>
                </c:pt>
                <c:pt idx="51">
                  <c:v>2021/4</c:v>
                </c:pt>
                <c:pt idx="52">
                  <c:v>2021/5</c:v>
                </c:pt>
              </c:strCache>
            </c:strRef>
          </c:cat>
          <c:val>
            <c:numRef>
              <c:f>Sheet1!$D$2:$D$54</c:f>
              <c:numCache>
                <c:formatCode>#\,##0</c:formatCode>
                <c:ptCount val="53"/>
                <c:pt idx="0">
                  <c:v>0</c:v>
                </c:pt>
                <c:pt idx="1">
                  <c:v>0</c:v>
                </c:pt>
                <c:pt idx="2">
                  <c:v>-5300.6534247</c:v>
                </c:pt>
                <c:pt idx="3">
                  <c:v>-1500.5547945000001</c:v>
                </c:pt>
                <c:pt idx="4">
                  <c:v>-14001.7260274</c:v>
                </c:pt>
                <c:pt idx="5">
                  <c:v>-1200.1479451999999</c:v>
                </c:pt>
                <c:pt idx="6">
                  <c:v>-38004.6849315</c:v>
                </c:pt>
                <c:pt idx="7">
                  <c:v>-36504.500000100001</c:v>
                </c:pt>
                <c:pt idx="8">
                  <c:v>-3000.7397259999998</c:v>
                </c:pt>
                <c:pt idx="9">
                  <c:v>0</c:v>
                </c:pt>
                <c:pt idx="10">
                  <c:v>0</c:v>
                </c:pt>
                <c:pt idx="11">
                  <c:v>-66024.410958799999</c:v>
                </c:pt>
                <c:pt idx="12">
                  <c:v>0</c:v>
                </c:pt>
                <c:pt idx="13">
                  <c:v>-4000.4931507000001</c:v>
                </c:pt>
                <c:pt idx="14">
                  <c:v>0</c:v>
                </c:pt>
                <c:pt idx="15">
                  <c:v>0</c:v>
                </c:pt>
                <c:pt idx="16">
                  <c:v>0</c:v>
                </c:pt>
                <c:pt idx="17">
                  <c:v>0</c:v>
                </c:pt>
                <c:pt idx="18">
                  <c:v>0</c:v>
                </c:pt>
                <c:pt idx="19">
                  <c:v>0</c:v>
                </c:pt>
                <c:pt idx="20">
                  <c:v>0</c:v>
                </c:pt>
                <c:pt idx="21">
                  <c:v>0</c:v>
                </c:pt>
                <c:pt idx="22">
                  <c:v>0</c:v>
                </c:pt>
                <c:pt idx="23">
                  <c:v>-12306.0657534</c:v>
                </c:pt>
                <c:pt idx="24">
                  <c:v>0</c:v>
                </c:pt>
                <c:pt idx="25">
                  <c:v>0</c:v>
                </c:pt>
                <c:pt idx="26">
                  <c:v>0</c:v>
                </c:pt>
                <c:pt idx="27">
                  <c:v>0</c:v>
                </c:pt>
                <c:pt idx="28">
                  <c:v>-6000.6986300999997</c:v>
                </c:pt>
                <c:pt idx="29">
                  <c:v>-5001.7465752999997</c:v>
                </c:pt>
                <c:pt idx="30">
                  <c:v>-4400.5123288000004</c:v>
                </c:pt>
                <c:pt idx="31">
                  <c:v>0</c:v>
                </c:pt>
                <c:pt idx="32">
                  <c:v>-4000.4383561999998</c:v>
                </c:pt>
                <c:pt idx="33">
                  <c:v>-4000.4383561999998</c:v>
                </c:pt>
                <c:pt idx="34">
                  <c:v>-5501.2054795000004</c:v>
                </c:pt>
                <c:pt idx="35">
                  <c:v>-38508.4383561</c:v>
                </c:pt>
                <c:pt idx="36">
                  <c:v>0</c:v>
                </c:pt>
                <c:pt idx="37">
                  <c:v>-2200.4808742999999</c:v>
                </c:pt>
                <c:pt idx="38">
                  <c:v>0</c:v>
                </c:pt>
                <c:pt idx="39">
                  <c:v>0</c:v>
                </c:pt>
                <c:pt idx="40">
                  <c:v>0</c:v>
                </c:pt>
                <c:pt idx="41">
                  <c:v>-3000.2459015999998</c:v>
                </c:pt>
                <c:pt idx="42">
                  <c:v>-1000.0819672</c:v>
                </c:pt>
                <c:pt idx="43">
                  <c:v>0</c:v>
                </c:pt>
                <c:pt idx="44">
                  <c:v>0</c:v>
                </c:pt>
                <c:pt idx="45">
                  <c:v>0</c:v>
                </c:pt>
                <c:pt idx="46">
                  <c:v>0</c:v>
                </c:pt>
                <c:pt idx="47">
                  <c:v>-23404.795081999997</c:v>
                </c:pt>
                <c:pt idx="48">
                  <c:v>0</c:v>
                </c:pt>
                <c:pt idx="49">
                  <c:v>0</c:v>
                </c:pt>
                <c:pt idx="50">
                  <c:v>0</c:v>
                </c:pt>
                <c:pt idx="51">
                  <c:v>-6000.6575341999996</c:v>
                </c:pt>
                <c:pt idx="52">
                  <c:v>0</c:v>
                </c:pt>
              </c:numCache>
            </c:numRef>
          </c:val>
          <c:extLst>
            <c:ext xmlns:c16="http://schemas.microsoft.com/office/drawing/2014/chart" uri="{C3380CC4-5D6E-409C-BE32-E72D297353CC}">
              <c16:uniqueId val="{00000002-92C6-471F-9BDB-FE9818265FB9}"/>
            </c:ext>
          </c:extLst>
        </c:ser>
        <c:ser>
          <c:idx val="3"/>
          <c:order val="3"/>
          <c:tx>
            <c:strRef>
              <c:f>Sheet1!$E$1</c:f>
              <c:strCache>
                <c:ptCount val="1"/>
                <c:pt idx="0">
                  <c:v>Հակադարձ ռեպո</c:v>
                </c:pt>
              </c:strCache>
            </c:strRef>
          </c:tx>
          <c:spPr>
            <a:solidFill>
              <a:schemeClr val="accent4"/>
            </a:solidFill>
            <a:ln>
              <a:noFill/>
            </a:ln>
            <a:effectLst/>
          </c:spPr>
          <c:cat>
            <c:strRef>
              <c:f>Sheet1!$A$2:$A$54</c:f>
              <c:strCache>
                <c:ptCount val="53"/>
                <c:pt idx="0">
                  <c:v>2017/1</c:v>
                </c:pt>
                <c:pt idx="1">
                  <c:v>2017/2</c:v>
                </c:pt>
                <c:pt idx="2">
                  <c:v>2017/3</c:v>
                </c:pt>
                <c:pt idx="3">
                  <c:v>2017/4</c:v>
                </c:pt>
                <c:pt idx="4">
                  <c:v>2017/5</c:v>
                </c:pt>
                <c:pt idx="5">
                  <c:v>2017/6</c:v>
                </c:pt>
                <c:pt idx="6">
                  <c:v>2017/7</c:v>
                </c:pt>
                <c:pt idx="7">
                  <c:v>2017/8</c:v>
                </c:pt>
                <c:pt idx="8">
                  <c:v>2017/9</c:v>
                </c:pt>
                <c:pt idx="9">
                  <c:v>2017/10</c:v>
                </c:pt>
                <c:pt idx="10">
                  <c:v>2017/11</c:v>
                </c:pt>
                <c:pt idx="11">
                  <c:v>2017/12</c:v>
                </c:pt>
                <c:pt idx="12">
                  <c:v>2018/1</c:v>
                </c:pt>
                <c:pt idx="13">
                  <c:v>2018/2</c:v>
                </c:pt>
                <c:pt idx="14">
                  <c:v>2018/3</c:v>
                </c:pt>
                <c:pt idx="15">
                  <c:v>2018/4</c:v>
                </c:pt>
                <c:pt idx="16">
                  <c:v>2018/5</c:v>
                </c:pt>
                <c:pt idx="17">
                  <c:v>2018/6</c:v>
                </c:pt>
                <c:pt idx="18">
                  <c:v>2018/7</c:v>
                </c:pt>
                <c:pt idx="19">
                  <c:v>2018/8</c:v>
                </c:pt>
                <c:pt idx="20">
                  <c:v>2018/9</c:v>
                </c:pt>
                <c:pt idx="21">
                  <c:v>2018/10</c:v>
                </c:pt>
                <c:pt idx="22">
                  <c:v>2018/11</c:v>
                </c:pt>
                <c:pt idx="23">
                  <c:v>2018/12</c:v>
                </c:pt>
                <c:pt idx="24">
                  <c:v>2019/1</c:v>
                </c:pt>
                <c:pt idx="25">
                  <c:v>2019/2</c:v>
                </c:pt>
                <c:pt idx="26">
                  <c:v>2019/3</c:v>
                </c:pt>
                <c:pt idx="27">
                  <c:v>2019/4</c:v>
                </c:pt>
                <c:pt idx="28">
                  <c:v>2019/5</c:v>
                </c:pt>
                <c:pt idx="29">
                  <c:v>2019/6</c:v>
                </c:pt>
                <c:pt idx="30">
                  <c:v>2019/7</c:v>
                </c:pt>
                <c:pt idx="31">
                  <c:v>2019/8</c:v>
                </c:pt>
                <c:pt idx="32">
                  <c:v>2019/9</c:v>
                </c:pt>
                <c:pt idx="33">
                  <c:v>2019/10</c:v>
                </c:pt>
                <c:pt idx="34">
                  <c:v>2019/11</c:v>
                </c:pt>
                <c:pt idx="35">
                  <c:v>2019/12</c:v>
                </c:pt>
                <c:pt idx="36">
                  <c:v>2020/1</c:v>
                </c:pt>
                <c:pt idx="37">
                  <c:v>2020/2</c:v>
                </c:pt>
                <c:pt idx="38">
                  <c:v>2020/3</c:v>
                </c:pt>
                <c:pt idx="39">
                  <c:v>2020/4</c:v>
                </c:pt>
                <c:pt idx="40">
                  <c:v>2020/5</c:v>
                </c:pt>
                <c:pt idx="41">
                  <c:v>2020/6</c:v>
                </c:pt>
                <c:pt idx="42">
                  <c:v>2020/7</c:v>
                </c:pt>
                <c:pt idx="43">
                  <c:v>2020/8</c:v>
                </c:pt>
                <c:pt idx="44">
                  <c:v>2020/9</c:v>
                </c:pt>
                <c:pt idx="45">
                  <c:v>2020/10</c:v>
                </c:pt>
                <c:pt idx="46">
                  <c:v>2020/11</c:v>
                </c:pt>
                <c:pt idx="47">
                  <c:v>2020/12</c:v>
                </c:pt>
                <c:pt idx="48">
                  <c:v>2021/1</c:v>
                </c:pt>
                <c:pt idx="49">
                  <c:v>2021/2</c:v>
                </c:pt>
                <c:pt idx="50">
                  <c:v>2021/3</c:v>
                </c:pt>
                <c:pt idx="51">
                  <c:v>2021/4</c:v>
                </c:pt>
                <c:pt idx="52">
                  <c:v>2021/5</c:v>
                </c:pt>
              </c:strCache>
            </c:strRef>
          </c:cat>
          <c:val>
            <c:numRef>
              <c:f>Sheet1!$E$2:$E$54</c:f>
              <c:numCache>
                <c:formatCode>#\,##0</c:formatCode>
                <c:ptCount val="5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numCache>
            </c:numRef>
          </c:val>
          <c:extLst>
            <c:ext xmlns:c16="http://schemas.microsoft.com/office/drawing/2014/chart" uri="{C3380CC4-5D6E-409C-BE32-E72D297353CC}">
              <c16:uniqueId val="{00000003-92C6-471F-9BDB-FE9818265FB9}"/>
            </c:ext>
          </c:extLst>
        </c:ser>
        <c:ser>
          <c:idx val="4"/>
          <c:order val="4"/>
          <c:tx>
            <c:strRef>
              <c:f>Sheet1!$F$1</c:f>
              <c:strCache>
                <c:ptCount val="1"/>
                <c:pt idx="0">
                  <c:v>Արտարժույթի տրամադրման սվոփ</c:v>
                </c:pt>
              </c:strCache>
            </c:strRef>
          </c:tx>
          <c:spPr>
            <a:solidFill>
              <a:schemeClr val="accent5"/>
            </a:solidFill>
            <a:ln>
              <a:noFill/>
            </a:ln>
            <a:effectLst/>
          </c:spPr>
          <c:cat>
            <c:strRef>
              <c:f>Sheet1!$A$2:$A$54</c:f>
              <c:strCache>
                <c:ptCount val="53"/>
                <c:pt idx="0">
                  <c:v>2017/1</c:v>
                </c:pt>
                <c:pt idx="1">
                  <c:v>2017/2</c:v>
                </c:pt>
                <c:pt idx="2">
                  <c:v>2017/3</c:v>
                </c:pt>
                <c:pt idx="3">
                  <c:v>2017/4</c:v>
                </c:pt>
                <c:pt idx="4">
                  <c:v>2017/5</c:v>
                </c:pt>
                <c:pt idx="5">
                  <c:v>2017/6</c:v>
                </c:pt>
                <c:pt idx="6">
                  <c:v>2017/7</c:v>
                </c:pt>
                <c:pt idx="7">
                  <c:v>2017/8</c:v>
                </c:pt>
                <c:pt idx="8">
                  <c:v>2017/9</c:v>
                </c:pt>
                <c:pt idx="9">
                  <c:v>2017/10</c:v>
                </c:pt>
                <c:pt idx="10">
                  <c:v>2017/11</c:v>
                </c:pt>
                <c:pt idx="11">
                  <c:v>2017/12</c:v>
                </c:pt>
                <c:pt idx="12">
                  <c:v>2018/1</c:v>
                </c:pt>
                <c:pt idx="13">
                  <c:v>2018/2</c:v>
                </c:pt>
                <c:pt idx="14">
                  <c:v>2018/3</c:v>
                </c:pt>
                <c:pt idx="15">
                  <c:v>2018/4</c:v>
                </c:pt>
                <c:pt idx="16">
                  <c:v>2018/5</c:v>
                </c:pt>
                <c:pt idx="17">
                  <c:v>2018/6</c:v>
                </c:pt>
                <c:pt idx="18">
                  <c:v>2018/7</c:v>
                </c:pt>
                <c:pt idx="19">
                  <c:v>2018/8</c:v>
                </c:pt>
                <c:pt idx="20">
                  <c:v>2018/9</c:v>
                </c:pt>
                <c:pt idx="21">
                  <c:v>2018/10</c:v>
                </c:pt>
                <c:pt idx="22">
                  <c:v>2018/11</c:v>
                </c:pt>
                <c:pt idx="23">
                  <c:v>2018/12</c:v>
                </c:pt>
                <c:pt idx="24">
                  <c:v>2019/1</c:v>
                </c:pt>
                <c:pt idx="25">
                  <c:v>2019/2</c:v>
                </c:pt>
                <c:pt idx="26">
                  <c:v>2019/3</c:v>
                </c:pt>
                <c:pt idx="27">
                  <c:v>2019/4</c:v>
                </c:pt>
                <c:pt idx="28">
                  <c:v>2019/5</c:v>
                </c:pt>
                <c:pt idx="29">
                  <c:v>2019/6</c:v>
                </c:pt>
                <c:pt idx="30">
                  <c:v>2019/7</c:v>
                </c:pt>
                <c:pt idx="31">
                  <c:v>2019/8</c:v>
                </c:pt>
                <c:pt idx="32">
                  <c:v>2019/9</c:v>
                </c:pt>
                <c:pt idx="33">
                  <c:v>2019/10</c:v>
                </c:pt>
                <c:pt idx="34">
                  <c:v>2019/11</c:v>
                </c:pt>
                <c:pt idx="35">
                  <c:v>2019/12</c:v>
                </c:pt>
                <c:pt idx="36">
                  <c:v>2020/1</c:v>
                </c:pt>
                <c:pt idx="37">
                  <c:v>2020/2</c:v>
                </c:pt>
                <c:pt idx="38">
                  <c:v>2020/3</c:v>
                </c:pt>
                <c:pt idx="39">
                  <c:v>2020/4</c:v>
                </c:pt>
                <c:pt idx="40">
                  <c:v>2020/5</c:v>
                </c:pt>
                <c:pt idx="41">
                  <c:v>2020/6</c:v>
                </c:pt>
                <c:pt idx="42">
                  <c:v>2020/7</c:v>
                </c:pt>
                <c:pt idx="43">
                  <c:v>2020/8</c:v>
                </c:pt>
                <c:pt idx="44">
                  <c:v>2020/9</c:v>
                </c:pt>
                <c:pt idx="45">
                  <c:v>2020/10</c:v>
                </c:pt>
                <c:pt idx="46">
                  <c:v>2020/11</c:v>
                </c:pt>
                <c:pt idx="47">
                  <c:v>2020/12</c:v>
                </c:pt>
                <c:pt idx="48">
                  <c:v>2021/1</c:v>
                </c:pt>
                <c:pt idx="49">
                  <c:v>2021/2</c:v>
                </c:pt>
                <c:pt idx="50">
                  <c:v>2021/3</c:v>
                </c:pt>
                <c:pt idx="51">
                  <c:v>2021/4</c:v>
                </c:pt>
                <c:pt idx="52">
                  <c:v>2021/5</c:v>
                </c:pt>
              </c:strCache>
            </c:strRef>
          </c:cat>
          <c:val>
            <c:numRef>
              <c:f>Sheet1!$F$2:$F$54</c:f>
              <c:numCache>
                <c:formatCode>#\,##0</c:formatCode>
                <c:ptCount val="5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-17699.178399999997</c:v>
                </c:pt>
                <c:pt idx="17">
                  <c:v>-12087.536472600001</c:v>
                </c:pt>
                <c:pt idx="18">
                  <c:v>-8697.4428230000012</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-25957.6985981</c:v>
                </c:pt>
                <c:pt idx="39">
                  <c:v>-15287.9520557</c:v>
                </c:pt>
                <c:pt idx="40">
                  <c:v>-3415.8190572000003</c:v>
                </c:pt>
                <c:pt idx="41">
                  <c:v>0</c:v>
                </c:pt>
                <c:pt idx="42">
                  <c:v>0</c:v>
                </c:pt>
                <c:pt idx="43">
                  <c:v>0</c:v>
                </c:pt>
                <c:pt idx="44">
                  <c:v>0</c:v>
                </c:pt>
                <c:pt idx="45">
                  <c:v>-59722.940125399997</c:v>
                </c:pt>
                <c:pt idx="46">
                  <c:v>-57154.534907699999</c:v>
                </c:pt>
                <c:pt idx="47">
                  <c:v>-13919.4597567</c:v>
                </c:pt>
                <c:pt idx="48">
                  <c:v>-11299.9003046</c:v>
                </c:pt>
                <c:pt idx="49">
                  <c:v>-8625.1443165000001</c:v>
                </c:pt>
                <c:pt idx="50">
                  <c:v>-8707.7795429999987</c:v>
                </c:pt>
                <c:pt idx="51">
                  <c:v>-6234</c:v>
                </c:pt>
                <c:pt idx="52">
                  <c:v>-3133.0291233000003</c:v>
                </c:pt>
              </c:numCache>
            </c:numRef>
          </c:val>
          <c:extLst>
            <c:ext xmlns:c16="http://schemas.microsoft.com/office/drawing/2014/chart" uri="{C3380CC4-5D6E-409C-BE32-E72D297353CC}">
              <c16:uniqueId val="{00000004-92C6-471F-9BDB-FE9818265FB9}"/>
            </c:ext>
          </c:extLst>
        </c:ser>
        <c:dLbls>
          <c:showLegendKey val="0"/>
          <c:showVal val="0"/>
          <c:showCatName val="0"/>
          <c:showSerName val="0"/>
          <c:showPercent val="0"/>
          <c:showBubbleSize val="0"/>
        </c:dLbls>
        <c:axId val="151741568"/>
        <c:axId val="151743104"/>
      </c:areaChart>
      <c:lineChart>
        <c:grouping val="standard"/>
        <c:varyColors val="0"/>
        <c:ser>
          <c:idx val="5"/>
          <c:order val="5"/>
          <c:tx>
            <c:strRef>
              <c:f>Sheet1!$G$1</c:f>
              <c:strCache>
                <c:ptCount val="1"/>
                <c:pt idx="0">
                  <c:v>Զուտ իրացվելիության տրամադրում</c:v>
                </c:pt>
              </c:strCache>
            </c:strRef>
          </c:tx>
          <c:spPr>
            <a:ln w="28575" cap="rnd">
              <a:solidFill>
                <a:srgbClr val="C00000"/>
              </a:solidFill>
              <a:round/>
            </a:ln>
            <a:effectLst/>
          </c:spPr>
          <c:marker>
            <c:symbol val="none"/>
          </c:marker>
          <c:cat>
            <c:strRef>
              <c:f>Sheet1!$A$2:$A$54</c:f>
              <c:strCache>
                <c:ptCount val="53"/>
                <c:pt idx="0">
                  <c:v>2017/1</c:v>
                </c:pt>
                <c:pt idx="1">
                  <c:v>2017/2</c:v>
                </c:pt>
                <c:pt idx="2">
                  <c:v>2017/3</c:v>
                </c:pt>
                <c:pt idx="3">
                  <c:v>2017/4</c:v>
                </c:pt>
                <c:pt idx="4">
                  <c:v>2017/5</c:v>
                </c:pt>
                <c:pt idx="5">
                  <c:v>2017/6</c:v>
                </c:pt>
                <c:pt idx="6">
                  <c:v>2017/7</c:v>
                </c:pt>
                <c:pt idx="7">
                  <c:v>2017/8</c:v>
                </c:pt>
                <c:pt idx="8">
                  <c:v>2017/9</c:v>
                </c:pt>
                <c:pt idx="9">
                  <c:v>2017/10</c:v>
                </c:pt>
                <c:pt idx="10">
                  <c:v>2017/11</c:v>
                </c:pt>
                <c:pt idx="11">
                  <c:v>2017/12</c:v>
                </c:pt>
                <c:pt idx="12">
                  <c:v>2018/1</c:v>
                </c:pt>
                <c:pt idx="13">
                  <c:v>2018/2</c:v>
                </c:pt>
                <c:pt idx="14">
                  <c:v>2018/3</c:v>
                </c:pt>
                <c:pt idx="15">
                  <c:v>2018/4</c:v>
                </c:pt>
                <c:pt idx="16">
                  <c:v>2018/5</c:v>
                </c:pt>
                <c:pt idx="17">
                  <c:v>2018/6</c:v>
                </c:pt>
                <c:pt idx="18">
                  <c:v>2018/7</c:v>
                </c:pt>
                <c:pt idx="19">
                  <c:v>2018/8</c:v>
                </c:pt>
                <c:pt idx="20">
                  <c:v>2018/9</c:v>
                </c:pt>
                <c:pt idx="21">
                  <c:v>2018/10</c:v>
                </c:pt>
                <c:pt idx="22">
                  <c:v>2018/11</c:v>
                </c:pt>
                <c:pt idx="23">
                  <c:v>2018/12</c:v>
                </c:pt>
                <c:pt idx="24">
                  <c:v>2019/1</c:v>
                </c:pt>
                <c:pt idx="25">
                  <c:v>2019/2</c:v>
                </c:pt>
                <c:pt idx="26">
                  <c:v>2019/3</c:v>
                </c:pt>
                <c:pt idx="27">
                  <c:v>2019/4</c:v>
                </c:pt>
                <c:pt idx="28">
                  <c:v>2019/5</c:v>
                </c:pt>
                <c:pt idx="29">
                  <c:v>2019/6</c:v>
                </c:pt>
                <c:pt idx="30">
                  <c:v>2019/7</c:v>
                </c:pt>
                <c:pt idx="31">
                  <c:v>2019/8</c:v>
                </c:pt>
                <c:pt idx="32">
                  <c:v>2019/9</c:v>
                </c:pt>
                <c:pt idx="33">
                  <c:v>2019/10</c:v>
                </c:pt>
                <c:pt idx="34">
                  <c:v>2019/11</c:v>
                </c:pt>
                <c:pt idx="35">
                  <c:v>2019/12</c:v>
                </c:pt>
                <c:pt idx="36">
                  <c:v>2020/1</c:v>
                </c:pt>
                <c:pt idx="37">
                  <c:v>2020/2</c:v>
                </c:pt>
                <c:pt idx="38">
                  <c:v>2020/3</c:v>
                </c:pt>
                <c:pt idx="39">
                  <c:v>2020/4</c:v>
                </c:pt>
                <c:pt idx="40">
                  <c:v>2020/5</c:v>
                </c:pt>
                <c:pt idx="41">
                  <c:v>2020/6</c:v>
                </c:pt>
                <c:pt idx="42">
                  <c:v>2020/7</c:v>
                </c:pt>
                <c:pt idx="43">
                  <c:v>2020/8</c:v>
                </c:pt>
                <c:pt idx="44">
                  <c:v>2020/9</c:v>
                </c:pt>
                <c:pt idx="45">
                  <c:v>2020/10</c:v>
                </c:pt>
                <c:pt idx="46">
                  <c:v>2020/11</c:v>
                </c:pt>
                <c:pt idx="47">
                  <c:v>2020/12</c:v>
                </c:pt>
                <c:pt idx="48">
                  <c:v>2021/1</c:v>
                </c:pt>
                <c:pt idx="49">
                  <c:v>2021/2</c:v>
                </c:pt>
                <c:pt idx="50">
                  <c:v>2021/3</c:v>
                </c:pt>
                <c:pt idx="51">
                  <c:v>2021/4</c:v>
                </c:pt>
                <c:pt idx="52">
                  <c:v>2021/5</c:v>
                </c:pt>
              </c:strCache>
            </c:strRef>
          </c:cat>
          <c:val>
            <c:numRef>
              <c:f>Sheet1!$G$2:$G$54</c:f>
              <c:numCache>
                <c:formatCode>#\,##0</c:formatCode>
                <c:ptCount val="53"/>
                <c:pt idx="0">
                  <c:v>10010.340092</c:v>
                </c:pt>
                <c:pt idx="1">
                  <c:v>10010.026423000001</c:v>
                </c:pt>
                <c:pt idx="2">
                  <c:v>24709.464109300003</c:v>
                </c:pt>
                <c:pt idx="3">
                  <c:v>3462.6259024999999</c:v>
                </c:pt>
                <c:pt idx="4">
                  <c:v>-14001.7260274</c:v>
                </c:pt>
                <c:pt idx="5">
                  <c:v>27508.076438800003</c:v>
                </c:pt>
                <c:pt idx="6">
                  <c:v>-38004.6849315</c:v>
                </c:pt>
                <c:pt idx="7">
                  <c:v>-36504.500000100001</c:v>
                </c:pt>
                <c:pt idx="8">
                  <c:v>5003.2449310000002</c:v>
                </c:pt>
                <c:pt idx="9">
                  <c:v>10009.918903999998</c:v>
                </c:pt>
                <c:pt idx="10">
                  <c:v>15002.515936</c:v>
                </c:pt>
                <c:pt idx="11">
                  <c:v>-29105.547944800004</c:v>
                </c:pt>
                <c:pt idx="12">
                  <c:v>3100</c:v>
                </c:pt>
                <c:pt idx="13">
                  <c:v>-4000.4931507000001</c:v>
                </c:pt>
                <c:pt idx="14">
                  <c:v>33015.268493000003</c:v>
                </c:pt>
                <c:pt idx="15">
                  <c:v>56777.929961000002</c:v>
                </c:pt>
                <c:pt idx="16">
                  <c:v>1504.0291060000054</c:v>
                </c:pt>
                <c:pt idx="17">
                  <c:v>43339.656536399998</c:v>
                </c:pt>
                <c:pt idx="18">
                  <c:v>59073.356108999986</c:v>
                </c:pt>
                <c:pt idx="19">
                  <c:v>66187.783616999994</c:v>
                </c:pt>
                <c:pt idx="20">
                  <c:v>120590.769421</c:v>
                </c:pt>
                <c:pt idx="21">
                  <c:v>90000</c:v>
                </c:pt>
                <c:pt idx="22">
                  <c:v>120040.73906399999</c:v>
                </c:pt>
                <c:pt idx="23">
                  <c:v>156478.20764529999</c:v>
                </c:pt>
                <c:pt idx="24">
                  <c:v>180879.100263</c:v>
                </c:pt>
                <c:pt idx="25">
                  <c:v>180073.80962700001</c:v>
                </c:pt>
                <c:pt idx="26">
                  <c:v>220323.28971799999</c:v>
                </c:pt>
                <c:pt idx="27">
                  <c:v>260627.031609</c:v>
                </c:pt>
                <c:pt idx="28">
                  <c:v>184556.85092289999</c:v>
                </c:pt>
                <c:pt idx="29">
                  <c:v>185640.9029367</c:v>
                </c:pt>
                <c:pt idx="30">
                  <c:v>165938.11898120001</c:v>
                </c:pt>
                <c:pt idx="31">
                  <c:v>150411.26994500001</c:v>
                </c:pt>
                <c:pt idx="32">
                  <c:v>146457.97137079999</c:v>
                </c:pt>
                <c:pt idx="33">
                  <c:v>104677.1624358</c:v>
                </c:pt>
                <c:pt idx="34">
                  <c:v>59751.587089499997</c:v>
                </c:pt>
                <c:pt idx="35">
                  <c:v>88161.335844899993</c:v>
                </c:pt>
                <c:pt idx="36">
                  <c:v>130040.291826</c:v>
                </c:pt>
                <c:pt idx="37">
                  <c:v>67831.675460699989</c:v>
                </c:pt>
                <c:pt idx="38">
                  <c:v>124175.63608390001</c:v>
                </c:pt>
                <c:pt idx="39">
                  <c:v>179739.64622330002</c:v>
                </c:pt>
                <c:pt idx="40">
                  <c:v>193396.4839778</c:v>
                </c:pt>
                <c:pt idx="41">
                  <c:v>208932.09764240001</c:v>
                </c:pt>
                <c:pt idx="42">
                  <c:v>187727.3125228</c:v>
                </c:pt>
                <c:pt idx="43">
                  <c:v>180112.86072999999</c:v>
                </c:pt>
                <c:pt idx="44">
                  <c:v>227400</c:v>
                </c:pt>
                <c:pt idx="45">
                  <c:v>247985.80196660003</c:v>
                </c:pt>
                <c:pt idx="46">
                  <c:v>285797.77611630003</c:v>
                </c:pt>
                <c:pt idx="47">
                  <c:v>308628.51456529996</c:v>
                </c:pt>
                <c:pt idx="48">
                  <c:v>319895.57798239996</c:v>
                </c:pt>
                <c:pt idx="49">
                  <c:v>271547.10692450003</c:v>
                </c:pt>
                <c:pt idx="50">
                  <c:v>340092.22045700002</c:v>
                </c:pt>
                <c:pt idx="51">
                  <c:v>313406.24231880007</c:v>
                </c:pt>
                <c:pt idx="52">
                  <c:v>508280.91094269999</c:v>
                </c:pt>
              </c:numCache>
            </c:numRef>
          </c:val>
          <c:smooth val="0"/>
          <c:extLst>
            <c:ext xmlns:c16="http://schemas.microsoft.com/office/drawing/2014/chart" uri="{C3380CC4-5D6E-409C-BE32-E72D297353CC}">
              <c16:uniqueId val="{00000005-92C6-471F-9BDB-FE9818265FB9}"/>
            </c:ext>
          </c:extLst>
        </c:ser>
        <c:dLbls>
          <c:showLegendKey val="0"/>
          <c:showVal val="0"/>
          <c:showCatName val="0"/>
          <c:showSerName val="0"/>
          <c:showPercent val="0"/>
          <c:showBubbleSize val="0"/>
        </c:dLbls>
        <c:marker val="1"/>
        <c:smooth val="0"/>
        <c:axId val="151741568"/>
        <c:axId val="151743104"/>
      </c:lineChart>
      <c:catAx>
        <c:axId val="1517415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GHEA Grapalat" panose="02000506050000020003" pitchFamily="50" charset="0"/>
                <a:ea typeface="+mn-ea"/>
                <a:cs typeface="+mn-cs"/>
              </a:defRPr>
            </a:pPr>
            <a:endParaRPr lang="en-US"/>
          </a:p>
        </c:txPr>
        <c:crossAx val="151743104"/>
        <c:crosses val="autoZero"/>
        <c:auto val="1"/>
        <c:lblAlgn val="ctr"/>
        <c:lblOffset val="100"/>
        <c:noMultiLvlLbl val="0"/>
      </c:catAx>
      <c:valAx>
        <c:axId val="151743104"/>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GHEA Grapalat" panose="02000506050000020003" pitchFamily="50" charset="0"/>
                <a:ea typeface="+mn-ea"/>
                <a:cs typeface="+mn-cs"/>
              </a:defRPr>
            </a:pPr>
            <a:endParaRPr lang="en-US"/>
          </a:p>
        </c:txPr>
        <c:crossAx val="151741568"/>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2.3405268785846273E-2"/>
          <c:y val="0.69940194975627956"/>
          <c:w val="0.95318946242830893"/>
          <c:h val="0.2767885264341957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GHEA Grapalat" panose="02000506050000020003" pitchFamily="50" charset="0"/>
        </a:defRPr>
      </a:pPr>
      <a:endParaRPr lang="en-US"/>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y-AM" sz="1000">
                <a:solidFill>
                  <a:sysClr val="windowText" lastClr="000000"/>
                </a:solidFill>
                <a:latin typeface="GHEA Grapalat" panose="02000506050000020003" pitchFamily="50" charset="0"/>
              </a:rPr>
              <a:t>Վերաֆինանսավորման</a:t>
            </a:r>
            <a:r>
              <a:rPr lang="hy-AM" sz="1000" baseline="0">
                <a:solidFill>
                  <a:sysClr val="windowText" lastClr="000000"/>
                </a:solidFill>
                <a:latin typeface="GHEA Grapalat" panose="02000506050000020003" pitchFamily="50" charset="0"/>
              </a:rPr>
              <a:t> </a:t>
            </a:r>
            <a:r>
              <a:rPr lang="en-US" sz="1000" b="0" i="0" u="none" strike="noStrike" kern="1200" spc="0" baseline="0">
                <a:solidFill>
                  <a:sysClr val="windowText" lastClr="000000"/>
                </a:solidFill>
                <a:latin typeface="GHEA Grapalat" panose="02000506050000020003" pitchFamily="50" charset="0"/>
                <a:ea typeface="+mn-ea"/>
                <a:cs typeface="+mn-cs"/>
              </a:rPr>
              <a:t>տոկոս</a:t>
            </a:r>
            <a:r>
              <a:rPr lang="hy-AM" sz="1000" baseline="0">
                <a:solidFill>
                  <a:sysClr val="windowText" lastClr="000000"/>
                </a:solidFill>
                <a:latin typeface="GHEA Grapalat" panose="02000506050000020003" pitchFamily="50" charset="0"/>
              </a:rPr>
              <a:t>ադրույքի նվազեցման չափը </a:t>
            </a:r>
            <a:r>
              <a:rPr lang="en-US" sz="1000" baseline="0">
                <a:solidFill>
                  <a:sysClr val="windowText" lastClr="000000"/>
                </a:solidFill>
                <a:latin typeface="GHEA Grapalat" panose="02000506050000020003" pitchFamily="50" charset="0"/>
              </a:rPr>
              <a:t>(</a:t>
            </a:r>
            <a:r>
              <a:rPr lang="ru-RU" sz="1000" baseline="0">
                <a:solidFill>
                  <a:sysClr val="windowText" lastClr="000000"/>
                </a:solidFill>
                <a:latin typeface="GHEA Grapalat" panose="02000506050000020003" pitchFamily="50" charset="0"/>
              </a:rPr>
              <a:t>+</a:t>
            </a:r>
            <a:r>
              <a:rPr lang="en-US" sz="1000" baseline="0">
                <a:solidFill>
                  <a:sysClr val="windowText" lastClr="000000"/>
                </a:solidFill>
                <a:latin typeface="GHEA Grapalat" panose="02000506050000020003" pitchFamily="50" charset="0"/>
              </a:rPr>
              <a:t>)</a:t>
            </a:r>
            <a:r>
              <a:rPr lang="ru-RU" sz="1000" baseline="0">
                <a:solidFill>
                  <a:sysClr val="windowText" lastClr="000000"/>
                </a:solidFill>
                <a:latin typeface="GHEA Grapalat" panose="02000506050000020003" pitchFamily="50" charset="0"/>
              </a:rPr>
              <a:t> </a:t>
            </a:r>
            <a:r>
              <a:rPr lang="hy-AM" sz="1000" baseline="0">
                <a:solidFill>
                  <a:sysClr val="windowText" lastClr="000000"/>
                </a:solidFill>
                <a:latin typeface="GHEA Grapalat" panose="02000506050000020003" pitchFamily="50" charset="0"/>
              </a:rPr>
              <a:t>առանձին երկրներում 2020թ-ին 2019 համեմատ, </a:t>
            </a:r>
            <a:r>
              <a:rPr lang="en-US" sz="1000" baseline="0">
                <a:solidFill>
                  <a:sysClr val="windowText" lastClr="000000"/>
                </a:solidFill>
                <a:latin typeface="GHEA Grapalat" panose="02000506050000020003" pitchFamily="50" charset="0"/>
              </a:rPr>
              <a:t>տոկոսայ</a:t>
            </a:r>
            <a:r>
              <a:rPr lang="hy-AM" sz="1000" baseline="0">
                <a:solidFill>
                  <a:sysClr val="windowText" lastClr="000000"/>
                </a:solidFill>
                <a:latin typeface="GHEA Grapalat" panose="02000506050000020003" pitchFamily="50" charset="0"/>
              </a:rPr>
              <a:t>ին կետ</a:t>
            </a:r>
            <a:endParaRPr lang="en-US" sz="1000">
              <a:solidFill>
                <a:sysClr val="windowText" lastClr="000000"/>
              </a:solidFill>
              <a:latin typeface="GHEA Grapalat" panose="02000506050000020003" pitchFamily="50" charset="0"/>
            </a:endParaRPr>
          </a:p>
        </c:rich>
      </c:tx>
      <c:overlay val="0"/>
      <c:spPr>
        <a:noFill/>
        <a:ln>
          <a:noFill/>
        </a:ln>
        <a:effectLst/>
      </c:spPr>
    </c:title>
    <c:autoTitleDeleted val="0"/>
    <c:plotArea>
      <c:layout>
        <c:manualLayout>
          <c:layoutTarget val="inner"/>
          <c:xMode val="edge"/>
          <c:yMode val="edge"/>
          <c:x val="4.2591552013119337E-2"/>
          <c:y val="0.2350237435866272"/>
          <c:w val="0.93698986707825382"/>
          <c:h val="0.42554931460469314"/>
        </c:manualLayout>
      </c:layout>
      <c:barChart>
        <c:barDir val="col"/>
        <c:grouping val="clustered"/>
        <c:varyColors val="0"/>
        <c:ser>
          <c:idx val="0"/>
          <c:order val="0"/>
          <c:tx>
            <c:strRef>
              <c:f>Sheet1!$B$1</c:f>
              <c:strCache>
                <c:ptCount val="1"/>
                <c:pt idx="0">
                  <c:v>0.15</c:v>
                </c:pt>
              </c:strCache>
            </c:strRef>
          </c:tx>
          <c:spPr>
            <a:solidFill>
              <a:srgbClr val="1F497D">
                <a:lumMod val="60000"/>
                <a:lumOff val="40000"/>
              </a:srgbClr>
            </a:solidFill>
            <a:ln>
              <a:solidFill>
                <a:srgbClr val="1F497D">
                  <a:lumMod val="60000"/>
                  <a:lumOff val="40000"/>
                </a:srgbClr>
              </a:solidFill>
            </a:ln>
            <a:effectLst/>
          </c:spPr>
          <c:invertIfNegative val="0"/>
          <c:dPt>
            <c:idx val="0"/>
            <c:invertIfNegative val="0"/>
            <c:bubble3D val="0"/>
            <c:extLst>
              <c:ext xmlns:c16="http://schemas.microsoft.com/office/drawing/2014/chart" uri="{C3380CC4-5D6E-409C-BE32-E72D297353CC}">
                <c16:uniqueId val="{00000000-D9D3-4613-9A56-E3F6759A4FF4}"/>
              </c:ext>
            </c:extLst>
          </c:dPt>
          <c:dPt>
            <c:idx val="17"/>
            <c:invertIfNegative val="0"/>
            <c:bubble3D val="0"/>
            <c:extLst>
              <c:ext xmlns:c16="http://schemas.microsoft.com/office/drawing/2014/chart" uri="{C3380CC4-5D6E-409C-BE32-E72D297353CC}">
                <c16:uniqueId val="{00000001-D9D3-4613-9A56-E3F6759A4FF4}"/>
              </c:ext>
            </c:extLst>
          </c:dPt>
          <c:dPt>
            <c:idx val="23"/>
            <c:invertIfNegative val="0"/>
            <c:bubble3D val="0"/>
            <c:spPr>
              <a:solidFill>
                <a:srgbClr val="FF0000"/>
              </a:solidFill>
              <a:ln>
                <a:solidFill>
                  <a:srgbClr val="FF0000"/>
                </a:solidFill>
              </a:ln>
              <a:effectLst/>
            </c:spPr>
            <c:extLst>
              <c:ext xmlns:c16="http://schemas.microsoft.com/office/drawing/2014/chart" uri="{C3380CC4-5D6E-409C-BE32-E72D297353CC}">
                <c16:uniqueId val="{00000003-D9D3-4613-9A56-E3F6759A4FF4}"/>
              </c:ext>
            </c:extLst>
          </c:dPt>
          <c:dLbls>
            <c:dLbl>
              <c:idx val="2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D3-4613-9A56-E3F6759A4FF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Sheet1!$A$2:$A$76</c:f>
              <c:strCache>
                <c:ptCount val="75"/>
                <c:pt idx="0">
                  <c:v>ՂԱԶԱԽՍՏԱՆ</c:v>
                </c:pt>
                <c:pt idx="1">
                  <c:v>ԹԱՅՎԱՆ</c:v>
                </c:pt>
                <c:pt idx="2">
                  <c:v>ՉԻՆԱՍՏԱՆ</c:v>
                </c:pt>
                <c:pt idx="3">
                  <c:v>ՀՈՒՆԳԱՐԻԱ</c:v>
                </c:pt>
                <c:pt idx="4">
                  <c:v>ԱԼԲԱՆԻԱ</c:v>
                </c:pt>
                <c:pt idx="5">
                  <c:v>ՌՈՒԱՆԴԱ</c:v>
                </c:pt>
                <c:pt idx="6">
                  <c:v>ԱՐԵՎՄՏՅԱՆ ԱՖՐԻԿԱՅԻ ՊԵՏ.</c:v>
                </c:pt>
                <c:pt idx="7">
                  <c:v>ԱՎՍՏՐԱԼԻԱ</c:v>
                </c:pt>
                <c:pt idx="8">
                  <c:v>ՄԻԱՑՅԱԼ ԹԱԳ.</c:v>
                </c:pt>
                <c:pt idx="9">
                  <c:v>ՂՐՂԶՍՏԱՆ</c:v>
                </c:pt>
                <c:pt idx="10">
                  <c:v>ՄԱԿԵԴՈՆԻԱ</c:v>
                </c:pt>
                <c:pt idx="11">
                  <c:v>ՄԱՐՈԿԿՈ</c:v>
                </c:pt>
                <c:pt idx="12">
                  <c:v>ՆՈՐ ԶԵԼԱՆԴԻԱ</c:v>
                </c:pt>
                <c:pt idx="13">
                  <c:v>ՀԱՐԱՎԱՅԻՆ ԿՈՐԵԱ</c:v>
                </c:pt>
                <c:pt idx="14">
                  <c:v>ԹԱՅԼԱՆԴ</c:v>
                </c:pt>
                <c:pt idx="15">
                  <c:v>ԲՈԹՍՎԱՆԱ</c:v>
                </c:pt>
                <c:pt idx="16">
                  <c:v>ՎՐԱՍՏԱՆ</c:v>
                </c:pt>
                <c:pt idx="17">
                  <c:v>ԳՈՒԱՏԵՄԱԼԱ</c:v>
                </c:pt>
                <c:pt idx="18">
                  <c:v>ՌՈՒՄԻՆԻԱ</c:v>
                </c:pt>
                <c:pt idx="19">
                  <c:v>ԹՈՒՆԻՍ</c:v>
                </c:pt>
                <c:pt idx="20">
                  <c:v>ՀՈՆԳ ԿՈՆԳ</c:v>
                </c:pt>
                <c:pt idx="21">
                  <c:v>ՄԱԿՈՒ</c:v>
                </c:pt>
                <c:pt idx="22">
                  <c:v>ՀՆԴԿԱՍՏԱՆ</c:v>
                </c:pt>
                <c:pt idx="23">
                  <c:v>ՀԱՅԱՍՏԱՆ</c:v>
                </c:pt>
                <c:pt idx="24">
                  <c:v>ԱԴՐԲԵՋԱՆ</c:v>
                </c:pt>
                <c:pt idx="25">
                  <c:v>ԲԱՀՐԱՅՆ</c:v>
                </c:pt>
                <c:pt idx="26">
                  <c:v>ԲԱՆԳԼԱԴԵՇ</c:v>
                </c:pt>
                <c:pt idx="27">
                  <c:v>ԲԵԼԱՌՈՒՍ</c:v>
                </c:pt>
                <c:pt idx="28">
                  <c:v>ՉԻԼԻ</c:v>
                </c:pt>
                <c:pt idx="29">
                  <c:v>ԻՆԴՈՆԵՍԻԱ</c:v>
                </c:pt>
                <c:pt idx="30">
                  <c:v>ԿՈՒՎԵՅԹ</c:v>
                </c:pt>
                <c:pt idx="31">
                  <c:v>ՄԱԼԱԶԻԱ</c:v>
                </c:pt>
                <c:pt idx="32">
                  <c:v>ՍԱՈՒԴՅԱՆ ԱՐԱԲԻԱ</c:v>
                </c:pt>
                <c:pt idx="33">
                  <c:v>ՍԵՐԲԻԱ</c:v>
                </c:pt>
                <c:pt idx="34">
                  <c:v>ԱՄԷ</c:v>
                </c:pt>
                <c:pt idx="35">
                  <c:v>ԼԵՀԱՍՏԱՆ</c:v>
                </c:pt>
                <c:pt idx="36">
                  <c:v>ԿԱՆԱԴԱ</c:v>
                </c:pt>
                <c:pt idx="37">
                  <c:v>ԴՈՄԻՆԻԿԱԿԱՆ ՀԱՆ.</c:v>
                </c:pt>
                <c:pt idx="38">
                  <c:v>ԳԱՆԱ</c:v>
                </c:pt>
                <c:pt idx="39">
                  <c:v>ՀՈՐԴԱՆԱՆ</c:v>
                </c:pt>
                <c:pt idx="40">
                  <c:v>ԿԵՆՅԱ</c:v>
                </c:pt>
                <c:pt idx="41">
                  <c:v>ՆՈՐՎԵԳԻԱ</c:v>
                </c:pt>
                <c:pt idx="42">
                  <c:v>ՏԱՋԻԿԻՍՏԱՆ</c:v>
                </c:pt>
                <c:pt idx="43">
                  <c:v>ԱՄՆ</c:v>
                </c:pt>
                <c:pt idx="44">
                  <c:v>ՉԵԽԻԱՅԻ ՀԱՆ.</c:v>
                </c:pt>
                <c:pt idx="45">
                  <c:v>ՔԱՏԱՐ</c:v>
                </c:pt>
                <c:pt idx="46">
                  <c:v>ԿՈՍՏԱ ՌԻԿԱ</c:v>
                </c:pt>
                <c:pt idx="47">
                  <c:v>ՆԻԳԵՐԻԱ</c:v>
                </c:pt>
                <c:pt idx="48">
                  <c:v>ՊԱՊՈՒԱ ՆՈՐ ԳՎԻՆԵԱ</c:v>
                </c:pt>
                <c:pt idx="49">
                  <c:v>ՊԵՐՈՒ</c:v>
                </c:pt>
                <c:pt idx="50">
                  <c:v>ՖԻԼԻՊԻՆԵՐ</c:v>
                </c:pt>
                <c:pt idx="51">
                  <c:v>ՌՈՒՍԱՍՏԱՆ</c:v>
                </c:pt>
                <c:pt idx="52">
                  <c:v>ՈՒԳԱՆԴԱ</c:v>
                </c:pt>
                <c:pt idx="53">
                  <c:v>ՈՒԶԲԵԿՍՏԱՆ</c:v>
                </c:pt>
                <c:pt idx="54">
                  <c:v>ՎԻԵՏՆԱՄ</c:v>
                </c:pt>
                <c:pt idx="55">
                  <c:v>ԻՍԼԱՆԴԻԱ</c:v>
                </c:pt>
                <c:pt idx="56">
                  <c:v>ԲՐԱԶԻԼԻԱ</c:v>
                </c:pt>
                <c:pt idx="57">
                  <c:v>ԿՈԼՈՄԲԻԱ</c:v>
                </c:pt>
                <c:pt idx="58">
                  <c:v>ԳԱՄԲԻԱ</c:v>
                </c:pt>
                <c:pt idx="59">
                  <c:v>ՀՈՆԴՈՒՐԱՍ</c:v>
                </c:pt>
                <c:pt idx="60">
                  <c:v>ՄՈԶԱՄԲԻԿ</c:v>
                </c:pt>
                <c:pt idx="61">
                  <c:v>ՍԻԵՐԱ ԼԵՈՆԵ</c:v>
                </c:pt>
                <c:pt idx="62">
                  <c:v>ՇՐԻ ԼԱՆԿԱ </c:v>
                </c:pt>
                <c:pt idx="63">
                  <c:v>ՆԱՄԻԲԻԱ</c:v>
                </c:pt>
                <c:pt idx="64">
                  <c:v>ՄՈԼԴՈՎԱ</c:v>
                </c:pt>
                <c:pt idx="65">
                  <c:v>ՄԵՔՍԻԿԱ</c:v>
                </c:pt>
                <c:pt idx="66">
                  <c:v>ՀԱՐԱՎԱՅԻՆ ԱՖՐԻԿԱ</c:v>
                </c:pt>
                <c:pt idx="67">
                  <c:v>ՊԱՐԱԳՎԱՅ</c:v>
                </c:pt>
                <c:pt idx="68">
                  <c:v>ԵԳԻՊՏՈՍ</c:v>
                </c:pt>
                <c:pt idx="69">
                  <c:v>ԲԱՐԲԱԴՈՍ</c:v>
                </c:pt>
                <c:pt idx="70">
                  <c:v>ԼԻԲԵՐԻԱ</c:v>
                </c:pt>
                <c:pt idx="71">
                  <c:v>ՄՈՆԳՈԼԻԱ</c:v>
                </c:pt>
                <c:pt idx="72">
                  <c:v>ՊԱԿԻՍՏԱՆ</c:v>
                </c:pt>
                <c:pt idx="73">
                  <c:v>ՈՒԿՐԱԻՆԱ</c:v>
                </c:pt>
                <c:pt idx="74">
                  <c:v>ԱՐԳԵՆՏԻՆԱ</c:v>
                </c:pt>
              </c:strCache>
            </c:strRef>
          </c:cat>
          <c:val>
            <c:numRef>
              <c:f>Sheet1!$B$2:$B$76</c:f>
              <c:numCache>
                <c:formatCode>General</c:formatCode>
                <c:ptCount val="75"/>
                <c:pt idx="0">
                  <c:v>0.25</c:v>
                </c:pt>
                <c:pt idx="1">
                  <c:v>0.25</c:v>
                </c:pt>
                <c:pt idx="2">
                  <c:v>0.3</c:v>
                </c:pt>
                <c:pt idx="3">
                  <c:v>0.3</c:v>
                </c:pt>
                <c:pt idx="4">
                  <c:v>0.5</c:v>
                </c:pt>
                <c:pt idx="5">
                  <c:v>0.5</c:v>
                </c:pt>
                <c:pt idx="6">
                  <c:v>0.5</c:v>
                </c:pt>
                <c:pt idx="7">
                  <c:v>0.65</c:v>
                </c:pt>
                <c:pt idx="8">
                  <c:v>0.65</c:v>
                </c:pt>
                <c:pt idx="9">
                  <c:v>0.75</c:v>
                </c:pt>
                <c:pt idx="10">
                  <c:v>0.75</c:v>
                </c:pt>
                <c:pt idx="11">
                  <c:v>0.75</c:v>
                </c:pt>
                <c:pt idx="12">
                  <c:v>0.75</c:v>
                </c:pt>
                <c:pt idx="13">
                  <c:v>0.75</c:v>
                </c:pt>
                <c:pt idx="14">
                  <c:v>0.75</c:v>
                </c:pt>
                <c:pt idx="15">
                  <c:v>1</c:v>
                </c:pt>
                <c:pt idx="16">
                  <c:v>1</c:v>
                </c:pt>
                <c:pt idx="17">
                  <c:v>1</c:v>
                </c:pt>
                <c:pt idx="18">
                  <c:v>1</c:v>
                </c:pt>
                <c:pt idx="19">
                  <c:v>1</c:v>
                </c:pt>
                <c:pt idx="20">
                  <c:v>1.1399999999999999</c:v>
                </c:pt>
                <c:pt idx="21">
                  <c:v>1.1399999999999999</c:v>
                </c:pt>
                <c:pt idx="22">
                  <c:v>1.1499999999999999</c:v>
                </c:pt>
                <c:pt idx="23">
                  <c:v>1.25</c:v>
                </c:pt>
                <c:pt idx="24">
                  <c:v>1.25</c:v>
                </c:pt>
                <c:pt idx="25">
                  <c:v>1.25</c:v>
                </c:pt>
                <c:pt idx="26">
                  <c:v>1.25</c:v>
                </c:pt>
                <c:pt idx="27">
                  <c:v>1.25</c:v>
                </c:pt>
                <c:pt idx="28">
                  <c:v>1.25</c:v>
                </c:pt>
                <c:pt idx="29">
                  <c:v>1.25</c:v>
                </c:pt>
                <c:pt idx="30">
                  <c:v>1.25</c:v>
                </c:pt>
                <c:pt idx="31">
                  <c:v>1.25</c:v>
                </c:pt>
                <c:pt idx="32">
                  <c:v>1.25</c:v>
                </c:pt>
                <c:pt idx="33">
                  <c:v>1.25</c:v>
                </c:pt>
                <c:pt idx="34">
                  <c:v>1.25</c:v>
                </c:pt>
                <c:pt idx="35">
                  <c:v>1.4</c:v>
                </c:pt>
                <c:pt idx="36">
                  <c:v>1.5</c:v>
                </c:pt>
                <c:pt idx="37">
                  <c:v>1.5</c:v>
                </c:pt>
                <c:pt idx="38">
                  <c:v>1.5</c:v>
                </c:pt>
                <c:pt idx="39">
                  <c:v>1.5</c:v>
                </c:pt>
                <c:pt idx="40">
                  <c:v>1.5</c:v>
                </c:pt>
                <c:pt idx="41">
                  <c:v>1.5</c:v>
                </c:pt>
                <c:pt idx="42">
                  <c:v>1.5</c:v>
                </c:pt>
                <c:pt idx="43">
                  <c:v>1.5</c:v>
                </c:pt>
                <c:pt idx="44">
                  <c:v>1.75</c:v>
                </c:pt>
                <c:pt idx="45">
                  <c:v>1.75</c:v>
                </c:pt>
                <c:pt idx="46">
                  <c:v>2</c:v>
                </c:pt>
                <c:pt idx="47">
                  <c:v>2</c:v>
                </c:pt>
                <c:pt idx="48">
                  <c:v>2</c:v>
                </c:pt>
                <c:pt idx="49">
                  <c:v>2</c:v>
                </c:pt>
                <c:pt idx="50">
                  <c:v>2</c:v>
                </c:pt>
                <c:pt idx="51">
                  <c:v>2</c:v>
                </c:pt>
                <c:pt idx="52">
                  <c:v>2</c:v>
                </c:pt>
                <c:pt idx="53">
                  <c:v>2</c:v>
                </c:pt>
                <c:pt idx="54">
                  <c:v>2</c:v>
                </c:pt>
                <c:pt idx="55">
                  <c:v>2.25</c:v>
                </c:pt>
                <c:pt idx="56">
                  <c:v>2.5</c:v>
                </c:pt>
                <c:pt idx="57">
                  <c:v>2.5</c:v>
                </c:pt>
                <c:pt idx="58">
                  <c:v>2.5</c:v>
                </c:pt>
                <c:pt idx="59">
                  <c:v>2.5</c:v>
                </c:pt>
                <c:pt idx="60">
                  <c:v>2.5</c:v>
                </c:pt>
                <c:pt idx="61">
                  <c:v>2.5</c:v>
                </c:pt>
                <c:pt idx="62">
                  <c:v>2.5</c:v>
                </c:pt>
                <c:pt idx="63">
                  <c:v>2.75</c:v>
                </c:pt>
                <c:pt idx="64">
                  <c:v>2.85</c:v>
                </c:pt>
                <c:pt idx="65">
                  <c:v>3</c:v>
                </c:pt>
                <c:pt idx="66">
                  <c:v>3</c:v>
                </c:pt>
                <c:pt idx="67">
                  <c:v>3.25</c:v>
                </c:pt>
                <c:pt idx="68">
                  <c:v>4</c:v>
                </c:pt>
                <c:pt idx="69">
                  <c:v>5</c:v>
                </c:pt>
                <c:pt idx="70">
                  <c:v>5</c:v>
                </c:pt>
                <c:pt idx="71">
                  <c:v>5</c:v>
                </c:pt>
                <c:pt idx="72">
                  <c:v>6.25</c:v>
                </c:pt>
                <c:pt idx="73">
                  <c:v>7.5</c:v>
                </c:pt>
                <c:pt idx="74">
                  <c:v>17</c:v>
                </c:pt>
              </c:numCache>
            </c:numRef>
          </c:val>
          <c:extLst>
            <c:ext xmlns:c16="http://schemas.microsoft.com/office/drawing/2014/chart" uri="{C3380CC4-5D6E-409C-BE32-E72D297353CC}">
              <c16:uniqueId val="{00000004-D9D3-4613-9A56-E3F6759A4FF4}"/>
            </c:ext>
          </c:extLst>
        </c:ser>
        <c:dLbls>
          <c:showLegendKey val="0"/>
          <c:showVal val="0"/>
          <c:showCatName val="0"/>
          <c:showSerName val="0"/>
          <c:showPercent val="0"/>
          <c:showBubbleSize val="0"/>
        </c:dLbls>
        <c:gapWidth val="29"/>
        <c:overlap val="-27"/>
        <c:axId val="151829504"/>
        <c:axId val="151913216"/>
      </c:barChart>
      <c:catAx>
        <c:axId val="151829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400" b="0" i="0" u="none" strike="noStrike" kern="1200" baseline="0">
                <a:solidFill>
                  <a:schemeClr val="tx1">
                    <a:lumMod val="65000"/>
                    <a:lumOff val="35000"/>
                  </a:schemeClr>
                </a:solidFill>
                <a:latin typeface="+mn-lt"/>
                <a:ea typeface="+mn-ea"/>
                <a:cs typeface="+mn-cs"/>
              </a:defRPr>
            </a:pPr>
            <a:endParaRPr lang="en-US"/>
          </a:p>
        </c:txPr>
        <c:crossAx val="151913216"/>
        <c:crosses val="autoZero"/>
        <c:auto val="1"/>
        <c:lblAlgn val="ctr"/>
        <c:lblOffset val="100"/>
        <c:noMultiLvlLbl val="0"/>
      </c:catAx>
      <c:valAx>
        <c:axId val="151913216"/>
        <c:scaling>
          <c:orientation val="minMax"/>
          <c:max val="17"/>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8295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areaChart>
        <c:grouping val="stacked"/>
        <c:varyColors val="0"/>
        <c:ser>
          <c:idx val="0"/>
          <c:order val="0"/>
          <c:tx>
            <c:strRef>
              <c:f>'[FanChart_MTEF_2022-2024_5.xlsx]Sheet2'!$B$3</c:f>
              <c:strCache>
                <c:ptCount val="1"/>
              </c:strCache>
            </c:strRef>
          </c:tx>
          <c:spPr>
            <a:no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'[FanChart_MTEF_2022-2024_5.xlsx]Sheet2'!$B$4:$B$103</c:f>
              <c:numCache>
                <c:formatCode>General</c:formatCode>
                <c:ptCount val="7"/>
                <c:pt idx="0">
                  <c:v>5.1738939407217828</c:v>
                </c:pt>
                <c:pt idx="1">
                  <c:v>7.6277404285831381</c:v>
                </c:pt>
                <c:pt idx="2">
                  <c:v>-7.4254086121228227</c:v>
                </c:pt>
                <c:pt idx="3">
                  <c:v>2.1495499895371033</c:v>
                </c:pt>
                <c:pt idx="4">
                  <c:v>0.67483183548472692</c:v>
                </c:pt>
                <c:pt idx="5">
                  <c:v>-0.96854608933228281</c:v>
                </c:pt>
                <c:pt idx="6">
                  <c:v>-0.66219484965051389</c:v>
                </c:pt>
              </c:numCache>
            </c:numRef>
          </c:val>
          <c:extLst>
            <c:ext xmlns:c16="http://schemas.microsoft.com/office/drawing/2014/chart" uri="{C3380CC4-5D6E-409C-BE32-E72D297353CC}">
              <c16:uniqueId val="{00000000-EC93-46B7-8968-67F13ED4F636}"/>
            </c:ext>
          </c:extLst>
        </c:ser>
        <c:ser>
          <c:idx val="1"/>
          <c:order val="1"/>
          <c:tx>
            <c:strRef>
              <c:f>'[FanChart_MTEF_2022-2024_5.xlsx]Sheet2'!$C$3</c:f>
              <c:strCache>
                <c:ptCount val="1"/>
              </c:strCache>
            </c:strRef>
          </c:tx>
          <c:spPr>
            <a:solidFill>
              <a:srgbClr val="FF0000">
                <a:alpha val="2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'[FanChart_MTEF_2022-2024_5.xlsx]Sheet2'!$C$4:$C$103</c:f>
              <c:numCache>
                <c:formatCode>General</c:formatCode>
                <c:ptCount val="7"/>
                <c:pt idx="3">
                  <c:v>0.84696318066603338</c:v>
                </c:pt>
                <c:pt idx="4">
                  <c:v>0.99651646567700558</c:v>
                </c:pt>
                <c:pt idx="5">
                  <c:v>1.0279799142452308</c:v>
                </c:pt>
                <c:pt idx="6">
                  <c:v>1.0351132637974962</c:v>
                </c:pt>
              </c:numCache>
            </c:numRef>
          </c:val>
          <c:extLst>
            <c:ext xmlns:c16="http://schemas.microsoft.com/office/drawing/2014/chart" uri="{C3380CC4-5D6E-409C-BE32-E72D297353CC}">
              <c16:uniqueId val="{00000001-EC93-46B7-8968-67F13ED4F636}"/>
            </c:ext>
          </c:extLst>
        </c:ser>
        <c:ser>
          <c:idx val="2"/>
          <c:order val="2"/>
          <c:tx>
            <c:strRef>
              <c:f>'[FanChart_MTEF_2022-2024_5.xlsx]Sheet2'!$D$3</c:f>
              <c:strCache>
                <c:ptCount val="1"/>
              </c:strCache>
            </c:strRef>
          </c:tx>
          <c:spPr>
            <a:solidFill>
              <a:srgbClr val="FF0000">
                <a:alpha val="3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'[FanChart_MTEF_2022-2024_5.xlsx]Sheet2'!$D$4:$D$103</c:f>
              <c:numCache>
                <c:formatCode>General</c:formatCode>
                <c:ptCount val="7"/>
                <c:pt idx="3">
                  <c:v>0.5714420370286537</c:v>
                </c:pt>
                <c:pt idx="4">
                  <c:v>0.67234492841974358</c:v>
                </c:pt>
                <c:pt idx="5">
                  <c:v>0.69357316779566736</c:v>
                </c:pt>
                <c:pt idx="6">
                  <c:v>0.6983860048729289</c:v>
                </c:pt>
              </c:numCache>
            </c:numRef>
          </c:val>
          <c:extLst>
            <c:ext xmlns:c16="http://schemas.microsoft.com/office/drawing/2014/chart" uri="{C3380CC4-5D6E-409C-BE32-E72D297353CC}">
              <c16:uniqueId val="{00000002-EC93-46B7-8968-67F13ED4F636}"/>
            </c:ext>
          </c:extLst>
        </c:ser>
        <c:ser>
          <c:idx val="3"/>
          <c:order val="3"/>
          <c:tx>
            <c:strRef>
              <c:f>'[FanChart_MTEF_2022-2024_5.xlsx]Sheet2'!$E$3</c:f>
              <c:strCache>
                <c:ptCount val="1"/>
              </c:strCache>
            </c:strRef>
          </c:tx>
          <c:spPr>
            <a:solidFill>
              <a:srgbClr val="FF0000">
                <a:alpha val="4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'[FanChart_MTEF_2022-2024_5.xlsx]Sheet2'!$E$4:$E$103</c:f>
              <c:numCache>
                <c:formatCode>General</c:formatCode>
                <c:ptCount val="7"/>
                <c:pt idx="3">
                  <c:v>0.45416401594915534</c:v>
                </c:pt>
                <c:pt idx="4">
                  <c:v>0.53435843534004279</c:v>
                </c:pt>
                <c:pt idx="5">
                  <c:v>0.55122996704714478</c:v>
                </c:pt>
                <c:pt idx="6">
                  <c:v>0.55505505738611127</c:v>
                </c:pt>
              </c:numCache>
            </c:numRef>
          </c:val>
          <c:extLst>
            <c:ext xmlns:c16="http://schemas.microsoft.com/office/drawing/2014/chart" uri="{C3380CC4-5D6E-409C-BE32-E72D297353CC}">
              <c16:uniqueId val="{00000003-EC93-46B7-8968-67F13ED4F636}"/>
            </c:ext>
          </c:extLst>
        </c:ser>
        <c:ser>
          <c:idx val="4"/>
          <c:order val="4"/>
          <c:tx>
            <c:strRef>
              <c:f>'[FanChart_MTEF_2022-2024_5.xlsx]Sheet2'!$F$3</c:f>
              <c:strCache>
                <c:ptCount val="1"/>
              </c:strCache>
            </c:strRef>
          </c:tx>
          <c:spPr>
            <a:solidFill>
              <a:srgbClr val="FF0000">
                <a:alpha val="5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'[FanChart_MTEF_2022-2024_5.xlsx]Sheet2'!$F$4:$F$103</c:f>
              <c:numCache>
                <c:formatCode>General</c:formatCode>
                <c:ptCount val="7"/>
                <c:pt idx="3">
                  <c:v>0.38963228615359835</c:v>
                </c:pt>
                <c:pt idx="4">
                  <c:v>0.45843195734447839</c:v>
                </c:pt>
                <c:pt idx="5">
                  <c:v>0.47290622927950321</c:v>
                </c:pt>
                <c:pt idx="6">
                  <c:v>0.47618781619783501</c:v>
                </c:pt>
              </c:numCache>
            </c:numRef>
          </c:val>
          <c:extLst>
            <c:ext xmlns:c16="http://schemas.microsoft.com/office/drawing/2014/chart" uri="{C3380CC4-5D6E-409C-BE32-E72D297353CC}">
              <c16:uniqueId val="{00000004-EC93-46B7-8968-67F13ED4F636}"/>
            </c:ext>
          </c:extLst>
        </c:ser>
        <c:ser>
          <c:idx val="5"/>
          <c:order val="5"/>
          <c:tx>
            <c:strRef>
              <c:f>'[FanChart_MTEF_2022-2024_5.xlsx]Sheet2'!$G$3</c:f>
              <c:strCache>
                <c:ptCount val="1"/>
              </c:strCache>
            </c:strRef>
          </c:tx>
          <c:spPr>
            <a:solidFill>
              <a:srgbClr val="FF0000">
                <a:alpha val="6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'[FanChart_MTEF_2022-2024_5.xlsx]Sheet2'!$G$4:$G$103</c:f>
              <c:numCache>
                <c:formatCode>General</c:formatCode>
                <c:ptCount val="7"/>
                <c:pt idx="3">
                  <c:v>0.34990183505797834</c:v>
                </c:pt>
                <c:pt idx="4">
                  <c:v>0.41168606613061787</c:v>
                </c:pt>
                <c:pt idx="5">
                  <c:v>0.4246844096744502</c:v>
                </c:pt>
                <c:pt idx="6">
                  <c:v>0.42763137614881952</c:v>
                </c:pt>
              </c:numCache>
            </c:numRef>
          </c:val>
          <c:extLst>
            <c:ext xmlns:c16="http://schemas.microsoft.com/office/drawing/2014/chart" uri="{C3380CC4-5D6E-409C-BE32-E72D297353CC}">
              <c16:uniqueId val="{00000005-EC93-46B7-8968-67F13ED4F636}"/>
            </c:ext>
          </c:extLst>
        </c:ser>
        <c:ser>
          <c:idx val="6"/>
          <c:order val="6"/>
          <c:tx>
            <c:strRef>
              <c:f>'[FanChart_MTEF_2022-2024_5.xlsx]Sheet2'!$H$3</c:f>
              <c:strCache>
                <c:ptCount val="1"/>
              </c:strCache>
            </c:strRef>
          </c:tx>
          <c:spPr>
            <a:solidFill>
              <a:srgbClr val="FF0000">
                <a:alpha val="7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'[FanChart_MTEF_2022-2024_5.xlsx]Sheet2'!$H$4:$H$103</c:f>
              <c:numCache>
                <c:formatCode>General</c:formatCode>
                <c:ptCount val="7"/>
                <c:pt idx="3">
                  <c:v>0.32423619597881981</c:v>
                </c:pt>
                <c:pt idx="4">
                  <c:v>0.38148849375870952</c:v>
                </c:pt>
                <c:pt idx="5">
                  <c:v>0.39353339619250072</c:v>
                </c:pt>
                <c:pt idx="6">
                  <c:v>0.39626419981680394</c:v>
                </c:pt>
              </c:numCache>
            </c:numRef>
          </c:val>
          <c:extLst>
            <c:ext xmlns:c16="http://schemas.microsoft.com/office/drawing/2014/chart" uri="{C3380CC4-5D6E-409C-BE32-E72D297353CC}">
              <c16:uniqueId val="{00000006-EC93-46B7-8968-67F13ED4F636}"/>
            </c:ext>
          </c:extLst>
        </c:ser>
        <c:ser>
          <c:idx val="7"/>
          <c:order val="7"/>
          <c:tx>
            <c:strRef>
              <c:f>'[FanChart_MTEF_2022-2024_5.xlsx]Sheet2'!$I$3</c:f>
              <c:strCache>
                <c:ptCount val="1"/>
              </c:strCache>
            </c:strRef>
          </c:tx>
          <c:spPr>
            <a:solidFill>
              <a:srgbClr val="FF0000">
                <a:alpha val="8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'[FanChart_MTEF_2022-2024_5.xlsx]Sheet2'!$I$4:$I$103</c:f>
              <c:numCache>
                <c:formatCode>General</c:formatCode>
                <c:ptCount val="7"/>
                <c:pt idx="3">
                  <c:v>0.30766844285716477</c:v>
                </c:pt>
                <c:pt idx="4">
                  <c:v>0.36199527473587345</c:v>
                </c:pt>
                <c:pt idx="5">
                  <c:v>0.37342470927196558</c:v>
                </c:pt>
                <c:pt idx="6">
                  <c:v>0.37601597486556004</c:v>
                </c:pt>
              </c:numCache>
            </c:numRef>
          </c:val>
          <c:extLst>
            <c:ext xmlns:c16="http://schemas.microsoft.com/office/drawing/2014/chart" uri="{C3380CC4-5D6E-409C-BE32-E72D297353CC}">
              <c16:uniqueId val="{00000007-EC93-46B7-8968-67F13ED4F636}"/>
            </c:ext>
          </c:extLst>
        </c:ser>
        <c:ser>
          <c:idx val="8"/>
          <c:order val="8"/>
          <c:tx>
            <c:strRef>
              <c:f>'[FanChart_MTEF_2022-2024_5.xlsx]Sheet2'!$J$3</c:f>
              <c:strCache>
                <c:ptCount val="1"/>
              </c:strCache>
            </c:strRef>
          </c:tx>
          <c:spPr>
            <a:solidFill>
              <a:srgbClr val="FF0000">
                <a:alpha val="9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'[FanChart_MTEF_2022-2024_5.xlsx]Sheet2'!$J$4:$J$103</c:f>
              <c:numCache>
                <c:formatCode>General</c:formatCode>
                <c:ptCount val="7"/>
                <c:pt idx="3">
                  <c:v>0.29767277908218759</c:v>
                </c:pt>
                <c:pt idx="4">
                  <c:v>0.35023461764414066</c:v>
                </c:pt>
                <c:pt idx="5">
                  <c:v>0.36129272782957722</c:v>
                </c:pt>
                <c:pt idx="6">
                  <c:v>0.36379980727985251</c:v>
                </c:pt>
              </c:numCache>
            </c:numRef>
          </c:val>
          <c:extLst>
            <c:ext xmlns:c16="http://schemas.microsoft.com/office/drawing/2014/chart" uri="{C3380CC4-5D6E-409C-BE32-E72D297353CC}">
              <c16:uniqueId val="{00000008-EC93-46B7-8968-67F13ED4F636}"/>
            </c:ext>
          </c:extLst>
        </c:ser>
        <c:ser>
          <c:idx val="9"/>
          <c:order val="9"/>
          <c:tx>
            <c:strRef>
              <c:f>'[FanChart_MTEF_2022-2024_5.xlsx]Sheet2'!$K$3</c:f>
              <c:strCache>
                <c:ptCount val="1"/>
              </c:strCache>
            </c:strRef>
          </c:tx>
          <c:spPr>
            <a:solidFill>
              <a:srgbClr val="FF0000"/>
            </a:solidFill>
            <a:ln>
              <a:solidFill>
                <a:srgbClr val="FF0000"/>
              </a:solidFill>
              <a:prstDash val="solid"/>
            </a:ln>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'[FanChart_MTEF_2022-2024_5.xlsx]Sheet2'!$K$4:$K$103</c:f>
              <c:numCache>
                <c:formatCode>General</c:formatCode>
                <c:ptCount val="7"/>
                <c:pt idx="3">
                  <c:v>0.58590657926356648</c:v>
                </c:pt>
                <c:pt idx="4">
                  <c:v>0.68936356020281053</c:v>
                </c:pt>
                <c:pt idx="5">
                  <c:v>0.71112913625529872</c:v>
                </c:pt>
                <c:pt idx="6">
                  <c:v>0.71606379756085126</c:v>
                </c:pt>
              </c:numCache>
            </c:numRef>
          </c:val>
          <c:extLst>
            <c:ext xmlns:c16="http://schemas.microsoft.com/office/drawing/2014/chart" uri="{C3380CC4-5D6E-409C-BE32-E72D297353CC}">
              <c16:uniqueId val="{00000009-EC93-46B7-8968-67F13ED4F636}"/>
            </c:ext>
          </c:extLst>
        </c:ser>
        <c:ser>
          <c:idx val="10"/>
          <c:order val="10"/>
          <c:tx>
            <c:strRef>
              <c:f>'[FanChart_MTEF_2022-2024_5.xlsx]Sheet2'!$L$3</c:f>
              <c:strCache>
                <c:ptCount val="1"/>
              </c:strCache>
            </c:strRef>
          </c:tx>
          <c:spPr>
            <a:solidFill>
              <a:srgbClr val="FF0000">
                <a:alpha val="9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'[FanChart_MTEF_2022-2024_5.xlsx]Sheet2'!$L$4:$L$103</c:f>
              <c:numCache>
                <c:formatCode>General</c:formatCode>
                <c:ptCount val="7"/>
                <c:pt idx="3">
                  <c:v>0.29767277908218848</c:v>
                </c:pt>
                <c:pt idx="4">
                  <c:v>0.35023461764414243</c:v>
                </c:pt>
                <c:pt idx="5">
                  <c:v>0.36129272782957944</c:v>
                </c:pt>
                <c:pt idx="6">
                  <c:v>0.36379980727985384</c:v>
                </c:pt>
              </c:numCache>
            </c:numRef>
          </c:val>
          <c:extLst>
            <c:ext xmlns:c16="http://schemas.microsoft.com/office/drawing/2014/chart" uri="{C3380CC4-5D6E-409C-BE32-E72D297353CC}">
              <c16:uniqueId val="{0000000A-EC93-46B7-8968-67F13ED4F636}"/>
            </c:ext>
          </c:extLst>
        </c:ser>
        <c:ser>
          <c:idx val="11"/>
          <c:order val="11"/>
          <c:tx>
            <c:strRef>
              <c:f>'[FanChart_MTEF_2022-2024_5.xlsx]Sheet2'!$M$3</c:f>
              <c:strCache>
                <c:ptCount val="1"/>
              </c:strCache>
            </c:strRef>
          </c:tx>
          <c:spPr>
            <a:solidFill>
              <a:srgbClr val="FF0000">
                <a:alpha val="8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'[FanChart_MTEF_2022-2024_5.xlsx]Sheet2'!$M$4:$M$103</c:f>
              <c:numCache>
                <c:formatCode>General</c:formatCode>
                <c:ptCount val="7"/>
                <c:pt idx="3">
                  <c:v>0.30766844285716388</c:v>
                </c:pt>
                <c:pt idx="4">
                  <c:v>0.36199527473587167</c:v>
                </c:pt>
                <c:pt idx="5">
                  <c:v>0.37342470927196292</c:v>
                </c:pt>
                <c:pt idx="6">
                  <c:v>0.37601597486555871</c:v>
                </c:pt>
              </c:numCache>
            </c:numRef>
          </c:val>
          <c:extLst>
            <c:ext xmlns:c16="http://schemas.microsoft.com/office/drawing/2014/chart" uri="{C3380CC4-5D6E-409C-BE32-E72D297353CC}">
              <c16:uniqueId val="{0000000B-EC93-46B7-8968-67F13ED4F636}"/>
            </c:ext>
          </c:extLst>
        </c:ser>
        <c:ser>
          <c:idx val="12"/>
          <c:order val="12"/>
          <c:tx>
            <c:strRef>
              <c:f>'[FanChart_MTEF_2022-2024_5.xlsx]Sheet2'!$N$3</c:f>
              <c:strCache>
                <c:ptCount val="1"/>
              </c:strCache>
            </c:strRef>
          </c:tx>
          <c:spPr>
            <a:solidFill>
              <a:srgbClr val="FF0000">
                <a:alpha val="7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'[FanChart_MTEF_2022-2024_5.xlsx]Sheet2'!$N$4:$N$103</c:f>
              <c:numCache>
                <c:formatCode>General</c:formatCode>
                <c:ptCount val="7"/>
                <c:pt idx="3">
                  <c:v>0.3242361959788207</c:v>
                </c:pt>
                <c:pt idx="4">
                  <c:v>0.38148849375870952</c:v>
                </c:pt>
                <c:pt idx="5">
                  <c:v>0.39353339619250249</c:v>
                </c:pt>
                <c:pt idx="6">
                  <c:v>0.39626419981680439</c:v>
                </c:pt>
              </c:numCache>
            </c:numRef>
          </c:val>
          <c:extLst>
            <c:ext xmlns:c16="http://schemas.microsoft.com/office/drawing/2014/chart" uri="{C3380CC4-5D6E-409C-BE32-E72D297353CC}">
              <c16:uniqueId val="{0000000C-EC93-46B7-8968-67F13ED4F636}"/>
            </c:ext>
          </c:extLst>
        </c:ser>
        <c:ser>
          <c:idx val="13"/>
          <c:order val="13"/>
          <c:tx>
            <c:strRef>
              <c:f>'[FanChart_MTEF_2022-2024_5.xlsx]Sheet2'!$O$3</c:f>
              <c:strCache>
                <c:ptCount val="1"/>
              </c:strCache>
            </c:strRef>
          </c:tx>
          <c:spPr>
            <a:solidFill>
              <a:srgbClr val="FF0000">
                <a:alpha val="6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'[FanChart_MTEF_2022-2024_5.xlsx]Sheet2'!$O$4:$O$103</c:f>
              <c:numCache>
                <c:formatCode>General</c:formatCode>
                <c:ptCount val="7"/>
                <c:pt idx="3">
                  <c:v>0.34990183505797745</c:v>
                </c:pt>
                <c:pt idx="4">
                  <c:v>0.41168606613061787</c:v>
                </c:pt>
                <c:pt idx="5">
                  <c:v>0.42468440967444909</c:v>
                </c:pt>
                <c:pt idx="6">
                  <c:v>0.42763137614881952</c:v>
                </c:pt>
              </c:numCache>
            </c:numRef>
          </c:val>
          <c:extLst>
            <c:ext xmlns:c16="http://schemas.microsoft.com/office/drawing/2014/chart" uri="{C3380CC4-5D6E-409C-BE32-E72D297353CC}">
              <c16:uniqueId val="{0000000D-EC93-46B7-8968-67F13ED4F636}"/>
            </c:ext>
          </c:extLst>
        </c:ser>
        <c:ser>
          <c:idx val="14"/>
          <c:order val="14"/>
          <c:tx>
            <c:strRef>
              <c:f>'[FanChart_MTEF_2022-2024_5.xlsx]Sheet2'!$P$3</c:f>
              <c:strCache>
                <c:ptCount val="1"/>
              </c:strCache>
            </c:strRef>
          </c:tx>
          <c:spPr>
            <a:solidFill>
              <a:srgbClr val="FF0000">
                <a:alpha val="5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'[FanChart_MTEF_2022-2024_5.xlsx]Sheet2'!$P$4:$P$103</c:f>
              <c:numCache>
                <c:formatCode>General</c:formatCode>
                <c:ptCount val="7"/>
                <c:pt idx="3">
                  <c:v>0.38963228615359924</c:v>
                </c:pt>
                <c:pt idx="4">
                  <c:v>0.45843195734447928</c:v>
                </c:pt>
                <c:pt idx="5">
                  <c:v>0.47290622927950476</c:v>
                </c:pt>
                <c:pt idx="6">
                  <c:v>0.4761878161978359</c:v>
                </c:pt>
              </c:numCache>
            </c:numRef>
          </c:val>
          <c:extLst>
            <c:ext xmlns:c16="http://schemas.microsoft.com/office/drawing/2014/chart" uri="{C3380CC4-5D6E-409C-BE32-E72D297353CC}">
              <c16:uniqueId val="{0000000E-EC93-46B7-8968-67F13ED4F636}"/>
            </c:ext>
          </c:extLst>
        </c:ser>
        <c:ser>
          <c:idx val="15"/>
          <c:order val="15"/>
          <c:tx>
            <c:strRef>
              <c:f>'[FanChart_MTEF_2022-2024_5.xlsx]Sheet2'!$Q$3</c:f>
              <c:strCache>
                <c:ptCount val="1"/>
              </c:strCache>
            </c:strRef>
          </c:tx>
          <c:spPr>
            <a:solidFill>
              <a:srgbClr val="FF0000">
                <a:alpha val="4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'[FanChart_MTEF_2022-2024_5.xlsx]Sheet2'!$Q$4:$Q$103</c:f>
              <c:numCache>
                <c:formatCode>General</c:formatCode>
                <c:ptCount val="7"/>
                <c:pt idx="3">
                  <c:v>0.45416401594915623</c:v>
                </c:pt>
                <c:pt idx="4">
                  <c:v>0.53435843534004235</c:v>
                </c:pt>
                <c:pt idx="5">
                  <c:v>0.55122996704714478</c:v>
                </c:pt>
                <c:pt idx="6">
                  <c:v>0.55505505738611127</c:v>
                </c:pt>
              </c:numCache>
            </c:numRef>
          </c:val>
          <c:extLst>
            <c:ext xmlns:c16="http://schemas.microsoft.com/office/drawing/2014/chart" uri="{C3380CC4-5D6E-409C-BE32-E72D297353CC}">
              <c16:uniqueId val="{0000000F-EC93-46B7-8968-67F13ED4F636}"/>
            </c:ext>
          </c:extLst>
        </c:ser>
        <c:ser>
          <c:idx val="16"/>
          <c:order val="16"/>
          <c:tx>
            <c:strRef>
              <c:f>'[FanChart_MTEF_2022-2024_5.xlsx]Sheet2'!$R$3</c:f>
              <c:strCache>
                <c:ptCount val="1"/>
              </c:strCache>
            </c:strRef>
          </c:tx>
          <c:spPr>
            <a:solidFill>
              <a:srgbClr val="FF0000">
                <a:alpha val="3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'[FanChart_MTEF_2022-2024_5.xlsx]Sheet2'!$R$4:$R$103</c:f>
              <c:numCache>
                <c:formatCode>General</c:formatCode>
                <c:ptCount val="7"/>
                <c:pt idx="3">
                  <c:v>0.57144203702865326</c:v>
                </c:pt>
                <c:pt idx="4">
                  <c:v>0.67234492841974358</c:v>
                </c:pt>
                <c:pt idx="5">
                  <c:v>0.69357316779566691</c:v>
                </c:pt>
                <c:pt idx="6">
                  <c:v>0.69838600487292801</c:v>
                </c:pt>
              </c:numCache>
            </c:numRef>
          </c:val>
          <c:extLst>
            <c:ext xmlns:c16="http://schemas.microsoft.com/office/drawing/2014/chart" uri="{C3380CC4-5D6E-409C-BE32-E72D297353CC}">
              <c16:uniqueId val="{00000010-EC93-46B7-8968-67F13ED4F636}"/>
            </c:ext>
          </c:extLst>
        </c:ser>
        <c:ser>
          <c:idx val="17"/>
          <c:order val="17"/>
          <c:tx>
            <c:strRef>
              <c:f>'[FanChart_MTEF_2022-2024_5.xlsx]Sheet2'!$S$3</c:f>
              <c:strCache>
                <c:ptCount val="1"/>
              </c:strCache>
            </c:strRef>
          </c:tx>
          <c:spPr>
            <a:solidFill>
              <a:srgbClr val="FF0000">
                <a:alpha val="20000"/>
              </a:srgbClr>
            </a:solidFill>
          </c:spPr>
          <c:cat>
            <c:strRef>
              <c:f>'[FanChart_MTEF_2022-2024_5.xlsx]Sheet2'!$A$4:$A$103</c:f>
              <c:strCache>
                <c:ptCount val="7"/>
                <c:pt idx="0">
                  <c:v>2018/4</c:v>
                </c:pt>
                <c:pt idx="1">
                  <c:v>2019/4</c:v>
                </c:pt>
                <c:pt idx="2">
                  <c:v>2020/4</c:v>
                </c:pt>
                <c:pt idx="3">
                  <c:v>2021/4*</c:v>
                </c:pt>
                <c:pt idx="4">
                  <c:v>2022/4*</c:v>
                </c:pt>
                <c:pt idx="5">
                  <c:v>2023/4*</c:v>
                </c:pt>
                <c:pt idx="6">
                  <c:v>2024/4*</c:v>
                </c:pt>
              </c:strCache>
            </c:strRef>
          </c:cat>
          <c:val>
            <c:numRef>
              <c:f>'[FanChart_MTEF_2022-2024_5.xlsx]Sheet2'!$S$4:$S$103</c:f>
              <c:numCache>
                <c:formatCode>General</c:formatCode>
                <c:ptCount val="7"/>
                <c:pt idx="3">
                  <c:v>0.84696318066603382</c:v>
                </c:pt>
                <c:pt idx="4">
                  <c:v>0.9965164656770078</c:v>
                </c:pt>
                <c:pt idx="5">
                  <c:v>1.0279799142452326</c:v>
                </c:pt>
                <c:pt idx="6">
                  <c:v>1.0351132637974985</c:v>
                </c:pt>
              </c:numCache>
            </c:numRef>
          </c:val>
          <c:extLst>
            <c:ext xmlns:c16="http://schemas.microsoft.com/office/drawing/2014/chart" uri="{C3380CC4-5D6E-409C-BE32-E72D297353CC}">
              <c16:uniqueId val="{00000011-EC93-46B7-8968-67F13ED4F636}"/>
            </c:ext>
          </c:extLst>
        </c:ser>
        <c:dLbls>
          <c:showLegendKey val="0"/>
          <c:showVal val="0"/>
          <c:showCatName val="0"/>
          <c:showSerName val="0"/>
          <c:showPercent val="0"/>
          <c:showBubbleSize val="0"/>
        </c:dLbls>
        <c:axId val="115763072"/>
        <c:axId val="115764608"/>
      </c:areaChart>
      <c:catAx>
        <c:axId val="115763072"/>
        <c:scaling>
          <c:orientation val="minMax"/>
        </c:scaling>
        <c:delete val="0"/>
        <c:axPos val="b"/>
        <c:numFmt formatCode="General" sourceLinked="1"/>
        <c:majorTickMark val="out"/>
        <c:minorTickMark val="none"/>
        <c:tickLblPos val="nextTo"/>
        <c:crossAx val="115764608"/>
        <c:crosses val="autoZero"/>
        <c:auto val="1"/>
        <c:lblAlgn val="ctr"/>
        <c:lblOffset val="100"/>
        <c:noMultiLvlLbl val="0"/>
      </c:catAx>
      <c:valAx>
        <c:axId val="115764608"/>
        <c:scaling>
          <c:orientation val="minMax"/>
        </c:scaling>
        <c:delete val="0"/>
        <c:axPos val="l"/>
        <c:majorGridlines/>
        <c:numFmt formatCode="General" sourceLinked="1"/>
        <c:majorTickMark val="out"/>
        <c:minorTickMark val="none"/>
        <c:tickLblPos val="nextTo"/>
        <c:crossAx val="115763072"/>
        <c:crosses val="autoZero"/>
        <c:crossBetween val="between"/>
      </c:valAx>
    </c:plotArea>
    <c:legend>
      <c:legendPos val="r"/>
      <c:overlay val="0"/>
    </c:legend>
    <c:plotVisOnly val="1"/>
    <c:dispBlanksAs val="gap"/>
    <c:showDLblsOverMax val="0"/>
    <c:extLst>
      <c:ext xmlns:c16r3="http://schemas.microsoft.com/office/drawing/2017/03/chart" uri="{56B9EC1D-385E-4148-901F-78D8002777C0}">
        <c16r3:dataDisplayOptions16>
          <c16r3:dispNaAsBlank val="1"/>
        </c16r3:dataDisplayOptions16>
      </c:ext>
    </c:extLst>
  </c:chart>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3464888974767725E-2"/>
          <c:y val="6.2624833434282282E-2"/>
          <c:w val="0.89812080444264131"/>
          <c:h val="0.70725943872400565"/>
        </c:manualLayout>
      </c:layout>
      <c:barChart>
        <c:barDir val="col"/>
        <c:grouping val="clustered"/>
        <c:varyColors val="0"/>
        <c:ser>
          <c:idx val="1"/>
          <c:order val="1"/>
          <c:tx>
            <c:strRef>
              <c:f>Sheet1!$A$3</c:f>
              <c:strCache>
                <c:ptCount val="1"/>
                <c:pt idx="0">
                  <c:v>2021  12 ամսյա աճը, %</c:v>
                </c:pt>
              </c:strCache>
            </c:strRef>
          </c:tx>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7210-4015-A61E-896D32F80BCD}"/>
                </c:ext>
              </c:extLst>
            </c:dLbl>
            <c:dLbl>
              <c:idx val="1"/>
              <c:layout>
                <c:manualLayout>
                  <c:x val="-3.0651340996168581E-2"/>
                  <c:y val="4.74503320536891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210-4015-A61E-896D32F80BCD}"/>
                </c:ext>
              </c:extLst>
            </c:dLbl>
            <c:dLbl>
              <c:idx val="2"/>
              <c:layout>
                <c:manualLayout>
                  <c:x val="-5.4614980996731356E-3"/>
                  <c:y val="1.9530586030122282E-2"/>
                </c:manualLayout>
              </c:layout>
              <c:showLegendKey val="0"/>
              <c:showVal val="1"/>
              <c:showCatName val="0"/>
              <c:showSerName val="0"/>
              <c:showPercent val="0"/>
              <c:showBubbleSize val="0"/>
              <c:extLst>
                <c:ext xmlns:c15="http://schemas.microsoft.com/office/drawing/2012/chart" uri="{CE6537A1-D6FC-4f65-9D91-7224C49458BB}">
                  <c15:layout>
                    <c:manualLayout>
                      <c:w val="7.8704084063143998E-2"/>
                      <c:h val="7.7248014032745657E-2"/>
                    </c:manualLayout>
                  </c15:layout>
                </c:ext>
                <c:ext xmlns:c16="http://schemas.microsoft.com/office/drawing/2014/chart" uri="{C3380CC4-5D6E-409C-BE32-E72D297353CC}">
                  <c16:uniqueId val="{00000002-7210-4015-A61E-896D32F80BCD}"/>
                </c:ext>
              </c:extLst>
            </c:dLbl>
            <c:spPr>
              <a:noFill/>
              <a:ln>
                <a:noFill/>
              </a:ln>
              <a:effectLst/>
            </c:spPr>
            <c:txPr>
              <a:bodyPr wrap="square" lIns="38100" tIns="19050" rIns="38100" bIns="19050" anchor="ctr">
                <a:spAutoFit/>
              </a:bodyPr>
              <a:lstStyle/>
              <a:p>
                <a:pPr>
                  <a:defRPr b="1">
                    <a:solidFill>
                      <a:schemeClr val="accent2"/>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-11.039004584606957</c:v>
                </c:pt>
                <c:pt idx="1">
                  <c:v>-4.746899929603174</c:v>
                </c:pt>
                <c:pt idx="2">
                  <c:v>3.5062037626851605</c:v>
                </c:pt>
                <c:pt idx="3">
                  <c:v>18.722391257124286</c:v>
                </c:pt>
                <c:pt idx="4">
                  <c:v>27.069225793826405</c:v>
                </c:pt>
              </c:numCache>
            </c:numRef>
          </c:val>
          <c:extLst>
            <c:ext xmlns:c16="http://schemas.microsoft.com/office/drawing/2014/chart" uri="{C3380CC4-5D6E-409C-BE32-E72D297353CC}">
              <c16:uniqueId val="{00000003-7210-4015-A61E-896D32F80BCD}"/>
            </c:ext>
          </c:extLst>
        </c:ser>
        <c:ser>
          <c:idx val="3"/>
          <c:order val="3"/>
          <c:tx>
            <c:strRef>
              <c:f>Sheet1!$A$5</c:f>
              <c:strCache>
                <c:ptCount val="1"/>
                <c:pt idx="0">
                  <c:v>2020  12 ամսյա աճը, %</c:v>
                </c:pt>
              </c:strCache>
            </c:strRef>
          </c:tx>
          <c:spPr>
            <a:solidFill>
              <a:srgbClr val="A5A5A5">
                <a:lumMod val="40000"/>
                <a:lumOff val="60000"/>
              </a:srgbClr>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44.018994368612169</c:v>
                </c:pt>
                <c:pt idx="1">
                  <c:v>-1.4802798734894509</c:v>
                </c:pt>
                <c:pt idx="2">
                  <c:v>5.2382658431352525</c:v>
                </c:pt>
                <c:pt idx="3">
                  <c:v>-9.0692104282614707</c:v>
                </c:pt>
                <c:pt idx="4">
                  <c:v>-20.783357724161974</c:v>
                </c:pt>
                <c:pt idx="5">
                  <c:v>-32.053003568569224</c:v>
                </c:pt>
                <c:pt idx="6">
                  <c:v>-7.6825296241360093</c:v>
                </c:pt>
                <c:pt idx="7">
                  <c:v>-7.2811572363455639</c:v>
                </c:pt>
                <c:pt idx="8">
                  <c:v>-8.8208404508819029</c:v>
                </c:pt>
                <c:pt idx="9">
                  <c:v>0.39256394338154621</c:v>
                </c:pt>
                <c:pt idx="10">
                  <c:v>-6.9468050393900995</c:v>
                </c:pt>
                <c:pt idx="11">
                  <c:v>-6.0152510171531191</c:v>
                </c:pt>
              </c:numCache>
            </c:numRef>
          </c:val>
          <c:extLst>
            <c:ext xmlns:c16="http://schemas.microsoft.com/office/drawing/2014/chart" uri="{C3380CC4-5D6E-409C-BE32-E72D297353CC}">
              <c16:uniqueId val="{00000004-7210-4015-A61E-896D32F80BCD}"/>
            </c:ext>
          </c:extLst>
        </c:ser>
        <c:dLbls>
          <c:showLegendKey val="0"/>
          <c:showVal val="0"/>
          <c:showCatName val="0"/>
          <c:showSerName val="0"/>
          <c:showPercent val="0"/>
          <c:showBubbleSize val="0"/>
        </c:dLbls>
        <c:gapWidth val="150"/>
        <c:axId val="148060416"/>
        <c:axId val="148061568"/>
      </c:barChart>
      <c:lineChart>
        <c:grouping val="standard"/>
        <c:varyColors val="0"/>
        <c:ser>
          <c:idx val="0"/>
          <c:order val="0"/>
          <c:tx>
            <c:strRef>
              <c:f>Sheet1!$A$2</c:f>
              <c:strCache>
                <c:ptCount val="1"/>
                <c:pt idx="0">
                  <c:v>2021 աճը, %</c:v>
                </c:pt>
              </c:strCache>
            </c:strRef>
          </c:tx>
          <c:spPr>
            <a:ln>
              <a:prstDash val="dash"/>
            </a:ln>
          </c:spPr>
          <c:marker>
            <c:spPr>
              <a:ln>
                <a:prstDash val="dash"/>
              </a:ln>
            </c:spPr>
          </c:marker>
          <c:dLbls>
            <c:dLbl>
              <c:idx val="0"/>
              <c:layout>
                <c:manualLayout>
                  <c:x val="-3.8839627805145049E-2"/>
                  <c:y val="6.46857399052876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210-4015-A61E-896D32F80BCD}"/>
                </c:ext>
              </c:extLst>
            </c:dLbl>
            <c:dLbl>
              <c:idx val="1"/>
              <c:layout>
                <c:manualLayout>
                  <c:x val="-3.6371143262264649E-2"/>
                  <c:y val="4.09609474972212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210-4015-A61E-896D32F80BCD}"/>
                </c:ext>
              </c:extLst>
            </c:dLbl>
            <c:dLbl>
              <c:idx val="2"/>
              <c:layout>
                <c:manualLayout>
                  <c:x val="-1.6803589206521599E-2"/>
                  <c:y val="2.19811135707680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210-4015-A61E-896D32F80BCD}"/>
                </c:ext>
              </c:extLst>
            </c:dLbl>
            <c:dLbl>
              <c:idx val="3"/>
              <c:layout>
                <c:manualLayout>
                  <c:x val="-9.655938996227003E-3"/>
                  <c:y val="-1.82848693937900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210-4015-A61E-896D32F80BCD}"/>
                </c:ext>
              </c:extLst>
            </c:dLbl>
            <c:spPr>
              <a:noFill/>
              <a:ln>
                <a:noFill/>
              </a:ln>
              <a:effectLst/>
            </c:spPr>
            <c:txPr>
              <a:bodyPr wrap="square" lIns="38100" tIns="19050" rIns="38100" bIns="19050" anchor="ctr">
                <a:spAutoFit/>
              </a:bodyPr>
              <a:lstStyle/>
              <a:p>
                <a:pPr>
                  <a:defRPr sz="1000">
                    <a:solidFill>
                      <a:schemeClr val="tx2"/>
                    </a:solidFil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-11.039004584606957</c:v>
                </c:pt>
                <c:pt idx="1">
                  <c:v>-8.7254904299668539</c:v>
                </c:pt>
                <c:pt idx="2">
                  <c:v>-4.6241859555737079</c:v>
                </c:pt>
                <c:pt idx="3">
                  <c:v>2.447882635918802</c:v>
                </c:pt>
                <c:pt idx="4">
                  <c:v>5.9468334154336446</c:v>
                </c:pt>
              </c:numCache>
            </c:numRef>
          </c:val>
          <c:smooth val="0"/>
          <c:extLst>
            <c:ext xmlns:c16="http://schemas.microsoft.com/office/drawing/2014/chart" uri="{C3380CC4-5D6E-409C-BE32-E72D297353CC}">
              <c16:uniqueId val="{00000009-7210-4015-A61E-896D32F80BCD}"/>
            </c:ext>
          </c:extLst>
        </c:ser>
        <c:ser>
          <c:idx val="2"/>
          <c:order val="2"/>
          <c:tx>
            <c:strRef>
              <c:f>Sheet1!$A$4</c:f>
              <c:strCache>
                <c:ptCount val="1"/>
                <c:pt idx="0">
                  <c:v>2020  աճը, %</c:v>
                </c:pt>
              </c:strCache>
            </c:strRef>
          </c:tx>
          <c:spPr>
            <a:ln>
              <a:solidFill>
                <a:srgbClr val="FFC000"/>
              </a:solidFill>
            </a:ln>
          </c:spPr>
          <c:marker>
            <c:spPr>
              <a:solidFill>
                <a:srgbClr val="FFC000"/>
              </a:solidFill>
              <a:ln>
                <a:solidFill>
                  <a:srgbClr val="FFC000"/>
                </a:solidFill>
              </a:ln>
            </c:spPr>
          </c:marker>
          <c:dLbls>
            <c:dLbl>
              <c:idx val="0"/>
              <c:layout>
                <c:manualLayout>
                  <c:x val="-4.4148964138103437E-2"/>
                  <c:y val="-3.15065243179122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210-4015-A61E-896D32F80BCD}"/>
                </c:ext>
              </c:extLst>
            </c:dLbl>
            <c:dLbl>
              <c:idx val="4"/>
              <c:layout>
                <c:manualLayout>
                  <c:x val="-6.5952303693296563E-2"/>
                  <c:y val="8.9637849605911132E-2"/>
                </c:manualLayout>
              </c:layout>
              <c:spPr>
                <a:noFill/>
                <a:ln>
                  <a:noFill/>
                </a:ln>
                <a:effectLst/>
              </c:spPr>
              <c:txPr>
                <a:bodyPr wrap="square" lIns="38100" tIns="19050" rIns="38100" bIns="19050" anchor="ctr">
                  <a:noAutofit/>
                </a:bodyPr>
                <a:lstStyle/>
                <a:p>
                  <a:pPr>
                    <a:defRPr sz="800" b="1">
                      <a:solidFill>
                        <a:srgbClr val="FFC000"/>
                      </a:solidFill>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manualLayout>
                      <c:w val="6.3952300241294904E-2"/>
                      <c:h val="0.11150832612163004"/>
                    </c:manualLayout>
                  </c15:layout>
                </c:ext>
                <c:ext xmlns:c16="http://schemas.microsoft.com/office/drawing/2014/chart" uri="{C3380CC4-5D6E-409C-BE32-E72D297353CC}">
                  <c16:uniqueId val="{0000000B-7210-4015-A61E-896D32F80BCD}"/>
                </c:ext>
              </c:extLst>
            </c:dLbl>
            <c:dLbl>
              <c:idx val="9"/>
              <c:spPr>
                <a:noFill/>
                <a:ln>
                  <a:noFill/>
                </a:ln>
                <a:effectLst/>
              </c:spPr>
              <c:txPr>
                <a:bodyPr wrap="square" lIns="38100" tIns="19050" rIns="38100" bIns="19050" anchor="ctr">
                  <a:noAutofit/>
                </a:bodyPr>
                <a:lstStyle/>
                <a:p>
                  <a:pPr>
                    <a:defRPr sz="800" b="1">
                      <a:solidFill>
                        <a:srgbClr val="FFC000"/>
                      </a:solidFill>
                    </a:defRPr>
                  </a:pPr>
                  <a:endParaRPr lang="en-US"/>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A6B2-4262-82F7-13FF77A8C424}"/>
                </c:ext>
              </c:extLst>
            </c:dLbl>
            <c:spPr>
              <a:noFill/>
              <a:ln>
                <a:noFill/>
              </a:ln>
              <a:effectLst/>
            </c:spPr>
            <c:txPr>
              <a:bodyPr wrap="square" lIns="38100" tIns="19050" rIns="38100" bIns="19050" anchor="ctr">
                <a:spAutoFit/>
              </a:bodyPr>
              <a:lstStyle/>
              <a:p>
                <a:pPr>
                  <a:defRPr sz="800" b="1">
                    <a:solidFill>
                      <a:srgbClr val="FFC000"/>
                    </a:solidFil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44.018994368612169</c:v>
                </c:pt>
                <c:pt idx="1">
                  <c:v>23.113386458409906</c:v>
                </c:pt>
                <c:pt idx="2">
                  <c:v>16.479613321146203</c:v>
                </c:pt>
                <c:pt idx="3">
                  <c:v>7.3435490961043683</c:v>
                </c:pt>
                <c:pt idx="4">
                  <c:v>2.1873602310688085</c:v>
                </c:pt>
                <c:pt idx="5">
                  <c:v>-4.6391685364529991</c:v>
                </c:pt>
                <c:pt idx="6">
                  <c:v>-5.0729069932891377</c:v>
                </c:pt>
                <c:pt idx="7">
                  <c:v>-5.3212909971596503</c:v>
                </c:pt>
                <c:pt idx="8">
                  <c:v>-5.7809854082594967</c:v>
                </c:pt>
                <c:pt idx="9">
                  <c:v>-5.1742337150821101</c:v>
                </c:pt>
                <c:pt idx="10">
                  <c:v>-5.3325155556655659</c:v>
                </c:pt>
                <c:pt idx="11">
                  <c:v>-5.4025480229284568</c:v>
                </c:pt>
              </c:numCache>
            </c:numRef>
          </c:val>
          <c:smooth val="0"/>
          <c:extLst>
            <c:ext xmlns:c16="http://schemas.microsoft.com/office/drawing/2014/chart" uri="{C3380CC4-5D6E-409C-BE32-E72D297353CC}">
              <c16:uniqueId val="{0000000D-7210-4015-A61E-896D32F80BCD}"/>
            </c:ext>
          </c:extLst>
        </c:ser>
        <c:dLbls>
          <c:showLegendKey val="0"/>
          <c:showVal val="0"/>
          <c:showCatName val="0"/>
          <c:showSerName val="0"/>
          <c:showPercent val="0"/>
          <c:showBubbleSize val="0"/>
        </c:dLbls>
        <c:marker val="1"/>
        <c:smooth val="0"/>
        <c:axId val="148060416"/>
        <c:axId val="148061568"/>
      </c:lineChart>
      <c:catAx>
        <c:axId val="148060416"/>
        <c:scaling>
          <c:orientation val="minMax"/>
        </c:scaling>
        <c:delete val="0"/>
        <c:axPos val="b"/>
        <c:numFmt formatCode="General" sourceLinked="1"/>
        <c:majorTickMark val="out"/>
        <c:minorTickMark val="none"/>
        <c:tickLblPos val="low"/>
        <c:txPr>
          <a:bodyPr/>
          <a:lstStyle/>
          <a:p>
            <a:pPr>
              <a:defRPr sz="900"/>
            </a:pPr>
            <a:endParaRPr lang="en-US"/>
          </a:p>
        </c:txPr>
        <c:crossAx val="148061568"/>
        <c:crosses val="autoZero"/>
        <c:auto val="1"/>
        <c:lblAlgn val="ctr"/>
        <c:lblOffset val="100"/>
        <c:noMultiLvlLbl val="0"/>
      </c:catAx>
      <c:valAx>
        <c:axId val="148061568"/>
        <c:scaling>
          <c:orientation val="minMax"/>
        </c:scaling>
        <c:delete val="0"/>
        <c:axPos val="l"/>
        <c:majorGridlines>
          <c:spPr>
            <a:ln>
              <a:solidFill>
                <a:srgbClr val="1F497D">
                  <a:lumMod val="20000"/>
                  <a:lumOff val="80000"/>
                </a:srgbClr>
              </a:solidFill>
            </a:ln>
          </c:spPr>
        </c:majorGridlines>
        <c:numFmt formatCode="0.0" sourceLinked="1"/>
        <c:majorTickMark val="out"/>
        <c:minorTickMark val="none"/>
        <c:tickLblPos val="nextTo"/>
        <c:crossAx val="148060416"/>
        <c:crosses val="autoZero"/>
        <c:crossBetween val="between"/>
      </c:valAx>
    </c:plotArea>
    <c:legend>
      <c:legendPos val="r"/>
      <c:layout>
        <c:manualLayout>
          <c:xMode val="edge"/>
          <c:yMode val="edge"/>
          <c:x val="1.312251766444192E-2"/>
          <c:y val="0.86942442963860311"/>
          <c:w val="0.96413793103448275"/>
          <c:h val="0.13057565313232644"/>
        </c:manualLayout>
      </c:layout>
      <c:overlay val="0"/>
    </c:legend>
    <c:plotVisOnly val="1"/>
    <c:dispBlanksAs val="gap"/>
    <c:showDLblsOverMax val="0"/>
  </c:chart>
  <c:spPr>
    <a:gradFill>
      <a:gsLst>
        <a:gs pos="0">
          <a:schemeClr val="tx2">
            <a:lumMod val="60000"/>
            <a:lumOff val="40000"/>
          </a:schemeClr>
        </a:gs>
        <a:gs pos="50000">
          <a:schemeClr val="accent1">
            <a:tint val="44500"/>
            <a:satMod val="160000"/>
          </a:schemeClr>
        </a:gs>
        <a:gs pos="100000">
          <a:schemeClr val="accent1">
            <a:tint val="23500"/>
            <a:satMod val="160000"/>
          </a:schemeClr>
        </a:gs>
      </a:gsLst>
      <a:lin ang="5400000" scaled="0"/>
    </a:gradFill>
    <a:ln>
      <a:solidFill>
        <a:srgbClr val="4472C4"/>
      </a:solidFill>
    </a:ln>
    <a:effectLst>
      <a:outerShdw blurRad="50800" dist="50800" dir="5400000" algn="ctr" rotWithShape="0">
        <a:schemeClr val="tx2">
          <a:lumMod val="40000"/>
          <a:lumOff val="60000"/>
          <a:alpha val="25000"/>
        </a:schemeClr>
      </a:outerShdw>
    </a:effectLst>
  </c:spPr>
  <c:txPr>
    <a:bodyPr/>
    <a:lstStyle/>
    <a:p>
      <a:pPr>
        <a:defRPr>
          <a:latin typeface="GHEA Grapalat" panose="02000506050000020003" pitchFamily="50" charset="0"/>
        </a:defRPr>
      </a:pPr>
      <a:endParaRPr lang="en-US"/>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97139780604335"/>
          <c:y val="4.1079906678331876E-2"/>
          <c:w val="0.784643986809341"/>
          <c:h val="0.7618229804607769"/>
        </c:manualLayout>
      </c:layout>
      <c:areaChart>
        <c:grouping val="standard"/>
        <c:varyColors val="0"/>
        <c:ser>
          <c:idx val="3"/>
          <c:order val="3"/>
          <c:tx>
            <c:strRef>
              <c:f>Sheet1!$E$1</c:f>
              <c:strCache>
                <c:ptCount val="1"/>
                <c:pt idx="0">
                  <c:v>Column1</c:v>
                </c:pt>
              </c:strCache>
            </c:strRef>
          </c:tx>
          <c:spPr>
            <a:solidFill>
              <a:sysClr val="window" lastClr="FFFFFF">
                <a:lumMod val="85000"/>
              </a:sysClr>
            </a:solidFill>
          </c:spPr>
          <c:cat>
            <c:strRef>
              <c:f>Sheet1!$A$2:$A$8</c:f>
              <c:strCache>
                <c:ptCount val="7"/>
                <c:pt idx="0">
                  <c:v>2018</c:v>
                </c:pt>
                <c:pt idx="1">
                  <c:v>2019</c:v>
                </c:pt>
                <c:pt idx="2">
                  <c:v>2020</c:v>
                </c:pt>
                <c:pt idx="3">
                  <c:v>2021*</c:v>
                </c:pt>
                <c:pt idx="4">
                  <c:v>2022*</c:v>
                </c:pt>
                <c:pt idx="5">
                  <c:v>2023*</c:v>
                </c:pt>
                <c:pt idx="6">
                  <c:v>2024*</c:v>
                </c:pt>
              </c:strCache>
            </c:strRef>
          </c:cat>
          <c:val>
            <c:numRef>
              <c:f>Sheet1!$E$2:$E$8</c:f>
              <c:numCache>
                <c:formatCode>General</c:formatCode>
                <c:ptCount val="7"/>
                <c:pt idx="3" formatCode="0.0">
                  <c:v>2500</c:v>
                </c:pt>
                <c:pt idx="4" formatCode="0.0">
                  <c:v>2500</c:v>
                </c:pt>
                <c:pt idx="5" formatCode="0.0">
                  <c:v>2500</c:v>
                </c:pt>
                <c:pt idx="6" formatCode="0.0">
                  <c:v>2500</c:v>
                </c:pt>
              </c:numCache>
            </c:numRef>
          </c:val>
          <c:extLst>
            <c:ext xmlns:c16="http://schemas.microsoft.com/office/drawing/2014/chart" uri="{C3380CC4-5D6E-409C-BE32-E72D297353CC}">
              <c16:uniqueId val="{00000000-A53C-4CFF-B1DB-7545523FCA2C}"/>
            </c:ext>
          </c:extLst>
        </c:ser>
        <c:dLbls>
          <c:showLegendKey val="0"/>
          <c:showVal val="0"/>
          <c:showCatName val="0"/>
          <c:showSerName val="0"/>
          <c:showPercent val="0"/>
          <c:showBubbleSize val="0"/>
        </c:dLbls>
        <c:axId val="152214528"/>
        <c:axId val="152224512"/>
      </c:areaChart>
      <c:barChart>
        <c:barDir val="col"/>
        <c:grouping val="clustered"/>
        <c:varyColors val="0"/>
        <c:ser>
          <c:idx val="0"/>
          <c:order val="0"/>
          <c:tx>
            <c:strRef>
              <c:f>Sheet1!$B$1</c:f>
              <c:strCache>
                <c:ptCount val="1"/>
                <c:pt idx="0">
                  <c:v>Եկամուտներ</c:v>
                </c:pt>
              </c:strCache>
            </c:strRef>
          </c:tx>
          <c:spPr>
            <a:solidFill>
              <a:srgbClr val="FF0000"/>
            </a:solidFill>
            <a:ln>
              <a:noFill/>
            </a:ln>
            <a:effectLst>
              <a:outerShdw blurRad="40000" dist="23000" dir="5400000" rotWithShape="0">
                <a:srgbClr val="000000">
                  <a:alpha val="35000"/>
                </a:srgbClr>
              </a:outerShdw>
            </a:effectLst>
          </c:spPr>
          <c:invertIfNegative val="0"/>
          <c:dLbls>
            <c:spPr>
              <a:noFill/>
              <a:ln>
                <a:noFill/>
              </a:ln>
              <a:effectLst/>
            </c:spPr>
            <c:txPr>
              <a:bodyPr wrap="square" lIns="38100" tIns="19050" rIns="38100" bIns="19050" anchor="ctr">
                <a:spAutoFit/>
              </a:bodyPr>
              <a:lstStyle/>
              <a:p>
                <a:pPr>
                  <a:defRPr sz="800"/>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2018</c:v>
                </c:pt>
                <c:pt idx="1">
                  <c:v>2019</c:v>
                </c:pt>
                <c:pt idx="2">
                  <c:v>2020</c:v>
                </c:pt>
                <c:pt idx="3">
                  <c:v>2021*</c:v>
                </c:pt>
                <c:pt idx="4">
                  <c:v>2022*</c:v>
                </c:pt>
                <c:pt idx="5">
                  <c:v>2023*</c:v>
                </c:pt>
                <c:pt idx="6">
                  <c:v>2024*</c:v>
                </c:pt>
              </c:strCache>
            </c:strRef>
          </c:cat>
          <c:val>
            <c:numRef>
              <c:f>Sheet1!$B$2:$B$8</c:f>
              <c:numCache>
                <c:formatCode>0.0</c:formatCode>
                <c:ptCount val="7"/>
                <c:pt idx="0">
                  <c:v>1341.690590901</c:v>
                </c:pt>
                <c:pt idx="1">
                  <c:v>1565.4731594</c:v>
                </c:pt>
                <c:pt idx="2">
                  <c:v>1560.6553879319999</c:v>
                </c:pt>
                <c:pt idx="3">
                  <c:v>1617.2679098838023</c:v>
                </c:pt>
                <c:pt idx="4">
                  <c:v>1819.2121337707783</c:v>
                </c:pt>
                <c:pt idx="5">
                  <c:v>1966.6516534789625</c:v>
                </c:pt>
                <c:pt idx="6">
                  <c:v>2148.3233146523912</c:v>
                </c:pt>
              </c:numCache>
            </c:numRef>
          </c:val>
          <c:extLst>
            <c:ext xmlns:c16="http://schemas.microsoft.com/office/drawing/2014/chart" uri="{C3380CC4-5D6E-409C-BE32-E72D297353CC}">
              <c16:uniqueId val="{00000001-A53C-4CFF-B1DB-7545523FCA2C}"/>
            </c:ext>
          </c:extLst>
        </c:ser>
        <c:ser>
          <c:idx val="1"/>
          <c:order val="1"/>
          <c:tx>
            <c:strRef>
              <c:f>Sheet1!$C$1</c:f>
              <c:strCache>
                <c:ptCount val="1"/>
                <c:pt idx="0">
                  <c:v>Ծախսեր</c:v>
                </c:pt>
              </c:strCache>
            </c:strRef>
          </c:tx>
          <c:spPr>
            <a:solidFill>
              <a:srgbClr val="4472C4"/>
            </a:solidFill>
            <a:ln>
              <a:solidFill>
                <a:srgbClr val="4472C4"/>
              </a:solidFill>
            </a:ln>
            <a:effectLst>
              <a:outerShdw blurRad="40000" dist="23000" dir="5400000" rotWithShape="0">
                <a:srgbClr val="000000">
                  <a:alpha val="35000"/>
                </a:srgbClr>
              </a:outerShdw>
            </a:effectLst>
          </c:spPr>
          <c:invertIfNegative val="0"/>
          <c:dLbls>
            <c:spPr>
              <a:noFill/>
              <a:ln>
                <a:noFill/>
              </a:ln>
              <a:effectLst/>
            </c:spPr>
            <c:txPr>
              <a:bodyPr wrap="square" lIns="38100" tIns="19050" rIns="38100" bIns="19050" anchor="ctr">
                <a:spAutoFit/>
              </a:bodyPr>
              <a:lstStyle/>
              <a:p>
                <a:pPr>
                  <a:defRPr sz="8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2018</c:v>
                </c:pt>
                <c:pt idx="1">
                  <c:v>2019</c:v>
                </c:pt>
                <c:pt idx="2">
                  <c:v>2020</c:v>
                </c:pt>
                <c:pt idx="3">
                  <c:v>2021*</c:v>
                </c:pt>
                <c:pt idx="4">
                  <c:v>2022*</c:v>
                </c:pt>
                <c:pt idx="5">
                  <c:v>2023*</c:v>
                </c:pt>
                <c:pt idx="6">
                  <c:v>2024*</c:v>
                </c:pt>
              </c:strCache>
            </c:strRef>
          </c:cat>
          <c:val>
            <c:numRef>
              <c:f>Sheet1!$C$2:$C$8</c:f>
              <c:numCache>
                <c:formatCode>0.0</c:formatCode>
                <c:ptCount val="7"/>
                <c:pt idx="0">
                  <c:v>1447.0830114800001</c:v>
                </c:pt>
                <c:pt idx="1">
                  <c:v>1629.43686245</c:v>
                </c:pt>
                <c:pt idx="2">
                  <c:v>1894.6471421200001</c:v>
                </c:pt>
                <c:pt idx="3">
                  <c:v>1936.0361219803722</c:v>
                </c:pt>
                <c:pt idx="4">
                  <c:v>2000.9111914999999</c:v>
                </c:pt>
                <c:pt idx="5">
                  <c:v>2135.4559816000001</c:v>
                </c:pt>
                <c:pt idx="6">
                  <c:v>2312.0468769999998</c:v>
                </c:pt>
              </c:numCache>
            </c:numRef>
          </c:val>
          <c:extLst>
            <c:ext xmlns:c16="http://schemas.microsoft.com/office/drawing/2014/chart" uri="{C3380CC4-5D6E-409C-BE32-E72D297353CC}">
              <c16:uniqueId val="{00000002-A53C-4CFF-B1DB-7545523FCA2C}"/>
            </c:ext>
          </c:extLst>
        </c:ser>
        <c:ser>
          <c:idx val="2"/>
          <c:order val="2"/>
          <c:tx>
            <c:strRef>
              <c:f>Sheet1!$D$1</c:f>
              <c:strCache>
                <c:ptCount val="1"/>
                <c:pt idx="0">
                  <c:v>Պակասուրդ</c:v>
                </c:pt>
              </c:strCache>
            </c:strRef>
          </c:tx>
          <c:spPr>
            <a:solidFill>
              <a:srgbClr val="ED7D31"/>
            </a:solidFill>
            <a:ln w="31765" cap="rnd">
              <a:solidFill>
                <a:srgbClr val="ED7D31"/>
              </a:solidFill>
              <a:round/>
            </a:ln>
            <a:effectLst>
              <a:outerShdw blurRad="40000" dist="23000" dir="5400000" rotWithShape="0">
                <a:srgbClr val="000000">
                  <a:alpha val="35000"/>
                </a:srgbClr>
              </a:outerShdw>
            </a:effectLst>
          </c:spPr>
          <c:invertIfNegative val="0"/>
          <c:dLbls>
            <c:dLbl>
              <c:idx val="0"/>
              <c:layout>
                <c:manualLayout>
                  <c:x val="1.9586668320030954E-17"/>
                  <c:y val="3.24865945154915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3C-4CFF-B1DB-7545523FCA2C}"/>
                </c:ext>
              </c:extLst>
            </c:dLbl>
            <c:dLbl>
              <c:idx val="1"/>
              <c:layout>
                <c:manualLayout>
                  <c:x val="-3.9173336640061908E-17"/>
                  <c:y val="2.377093639994027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53C-4CFF-B1DB-7545523FCA2C}"/>
                </c:ext>
              </c:extLst>
            </c:dLbl>
            <c:dLbl>
              <c:idx val="3"/>
              <c:layout>
                <c:manualLayout>
                  <c:x val="0"/>
                  <c:y val="5.380359008522011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3C-4CFF-B1DB-7545523FCA2C}"/>
                </c:ext>
              </c:extLst>
            </c:dLbl>
            <c:dLbl>
              <c:idx val="4"/>
              <c:layout>
                <c:manualLayout>
                  <c:x val="0"/>
                  <c:y val="2.58208015260228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53C-4CFF-B1DB-7545523FCA2C}"/>
                </c:ext>
              </c:extLst>
            </c:dLbl>
            <c:dLbl>
              <c:idx val="5"/>
              <c:layout>
                <c:manualLayout>
                  <c:x val="0"/>
                  <c:y val="8.200552600827824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53C-4CFF-B1DB-7545523FCA2C}"/>
                </c:ext>
              </c:extLst>
            </c:dLbl>
            <c:dLbl>
              <c:idx val="6"/>
              <c:layout>
                <c:manualLayout>
                  <c:x val="0"/>
                  <c:y val="1.559805024371956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53C-4CFF-B1DB-7545523FCA2C}"/>
                </c:ext>
              </c:extLst>
            </c:dLbl>
            <c:spPr>
              <a:noFill/>
              <a:ln>
                <a:noFill/>
              </a:ln>
              <a:effectLst/>
            </c:spPr>
            <c:txPr>
              <a:bodyPr wrap="square" lIns="38100" tIns="19050" rIns="38100" bIns="19050" anchor="ctr">
                <a:spAutoFit/>
              </a:bodyPr>
              <a:lstStyle/>
              <a:p>
                <a:pPr>
                  <a:defRPr sz="800"/>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2018</c:v>
                </c:pt>
                <c:pt idx="1">
                  <c:v>2019</c:v>
                </c:pt>
                <c:pt idx="2">
                  <c:v>2020</c:v>
                </c:pt>
                <c:pt idx="3">
                  <c:v>2021*</c:v>
                </c:pt>
                <c:pt idx="4">
                  <c:v>2022*</c:v>
                </c:pt>
                <c:pt idx="5">
                  <c:v>2023*</c:v>
                </c:pt>
                <c:pt idx="6">
                  <c:v>2024*</c:v>
                </c:pt>
              </c:strCache>
            </c:strRef>
          </c:cat>
          <c:val>
            <c:numRef>
              <c:f>Sheet1!$D$2:$D$8</c:f>
              <c:numCache>
                <c:formatCode>0.0</c:formatCode>
                <c:ptCount val="7"/>
                <c:pt idx="0">
                  <c:v>-105.39242057900015</c:v>
                </c:pt>
                <c:pt idx="1">
                  <c:v>-63.963703050000049</c:v>
                </c:pt>
                <c:pt idx="2">
                  <c:v>-333.99175418800019</c:v>
                </c:pt>
                <c:pt idx="3">
                  <c:v>-318.76821209656987</c:v>
                </c:pt>
                <c:pt idx="4">
                  <c:v>-181.69905772922152</c:v>
                </c:pt>
                <c:pt idx="5">
                  <c:v>-168.80432812103754</c:v>
                </c:pt>
                <c:pt idx="6">
                  <c:v>-163.72356234760855</c:v>
                </c:pt>
              </c:numCache>
            </c:numRef>
          </c:val>
          <c:extLst>
            <c:ext xmlns:c16="http://schemas.microsoft.com/office/drawing/2014/chart" uri="{C3380CC4-5D6E-409C-BE32-E72D297353CC}">
              <c16:uniqueId val="{00000009-A53C-4CFF-B1DB-7545523FCA2C}"/>
            </c:ext>
          </c:extLst>
        </c:ser>
        <c:dLbls>
          <c:showLegendKey val="0"/>
          <c:showVal val="0"/>
          <c:showCatName val="0"/>
          <c:showSerName val="0"/>
          <c:showPercent val="0"/>
          <c:showBubbleSize val="0"/>
        </c:dLbls>
        <c:gapWidth val="150"/>
        <c:axId val="152214528"/>
        <c:axId val="152224512"/>
      </c:barChart>
      <c:catAx>
        <c:axId val="152214528"/>
        <c:scaling>
          <c:orientation val="minMax"/>
        </c:scaling>
        <c:delete val="0"/>
        <c:axPos val="b"/>
        <c:numFmt formatCode="General" sourceLinked="1"/>
        <c:majorTickMark val="none"/>
        <c:minorTickMark val="none"/>
        <c:tickLblPos val="low"/>
        <c:spPr>
          <a:noFill/>
          <a:ln w="9530" cap="flat" cmpd="sng" algn="ctr">
            <a:solidFill>
              <a:schemeClr val="tx2">
                <a:lumMod val="15000"/>
                <a:lumOff val="85000"/>
              </a:schemeClr>
            </a:solidFill>
            <a:round/>
          </a:ln>
          <a:effectLst/>
        </c:spPr>
        <c:txPr>
          <a:bodyPr rot="-60000000" vert="horz"/>
          <a:lstStyle/>
          <a:p>
            <a:pPr>
              <a:defRPr sz="800"/>
            </a:pPr>
            <a:endParaRPr lang="en-US"/>
          </a:p>
        </c:txPr>
        <c:crossAx val="152224512"/>
        <c:crosses val="autoZero"/>
        <c:auto val="1"/>
        <c:lblAlgn val="ctr"/>
        <c:lblOffset val="100"/>
        <c:noMultiLvlLbl val="0"/>
      </c:catAx>
      <c:valAx>
        <c:axId val="152224512"/>
        <c:scaling>
          <c:orientation val="minMax"/>
          <c:max val="2500"/>
          <c:min val="-500"/>
        </c:scaling>
        <c:delete val="0"/>
        <c:axPos val="l"/>
        <c:majorGridlines>
          <c:spPr>
            <a:ln w="9530" cap="flat" cmpd="sng" algn="ctr">
              <a:solidFill>
                <a:schemeClr val="tx2">
                  <a:lumMod val="15000"/>
                  <a:lumOff val="85000"/>
                </a:schemeClr>
              </a:solidFill>
              <a:round/>
            </a:ln>
            <a:effectLst/>
          </c:spPr>
        </c:majorGridlines>
        <c:numFmt formatCode="0.0" sourceLinked="1"/>
        <c:majorTickMark val="none"/>
        <c:minorTickMark val="none"/>
        <c:tickLblPos val="nextTo"/>
        <c:spPr>
          <a:ln w="6353">
            <a:noFill/>
          </a:ln>
        </c:spPr>
        <c:txPr>
          <a:bodyPr rot="-60000000" vert="horz"/>
          <a:lstStyle/>
          <a:p>
            <a:pPr>
              <a:defRPr/>
            </a:pPr>
            <a:endParaRPr lang="en-US"/>
          </a:p>
        </c:txPr>
        <c:crossAx val="152214528"/>
        <c:crosses val="autoZero"/>
        <c:crossBetween val="between"/>
      </c:valAx>
      <c:spPr>
        <a:noFill/>
        <a:ln w="25412">
          <a:noFill/>
        </a:ln>
      </c:spPr>
    </c:plotArea>
    <c:legend>
      <c:legendPos val="b"/>
      <c:legendEntry>
        <c:idx val="0"/>
        <c:delete val="1"/>
      </c:legendEntry>
      <c:overlay val="0"/>
    </c:legend>
    <c:plotVisOnly val="1"/>
    <c:dispBlanksAs val="gap"/>
    <c:showDLblsOverMax val="0"/>
  </c:chart>
  <c:spPr>
    <a:solidFill>
      <a:schemeClr val="bg1"/>
    </a:solidFill>
    <a:ln w="9530" cap="flat" cmpd="sng" algn="ctr">
      <a:solidFill>
        <a:schemeClr val="tx2">
          <a:lumMod val="15000"/>
          <a:lumOff val="85000"/>
        </a:schemeClr>
      </a:solidFill>
      <a:round/>
    </a:ln>
    <a:effectLst/>
  </c:spPr>
  <c:txPr>
    <a:bodyPr anchor="t" anchorCtr="0"/>
    <a:lstStyle/>
    <a:p>
      <a:pPr>
        <a:defRPr>
          <a:latin typeface="GHEA Grapalat" panose="02000506050000020003" pitchFamily="50" charset="0"/>
        </a:defRPr>
      </a:pPr>
      <a:endParaRPr lang="en-US"/>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546295207245276"/>
          <c:y val="5.2033646044661909E-2"/>
          <c:w val="0.82012848918713577"/>
          <c:h val="0.72564276710820164"/>
        </c:manualLayout>
      </c:layout>
      <c:areaChart>
        <c:grouping val="standard"/>
        <c:varyColors val="0"/>
        <c:ser>
          <c:idx val="2"/>
          <c:order val="2"/>
          <c:tx>
            <c:strRef>
              <c:f>Sheet1!$D$1</c:f>
              <c:strCache>
                <c:ptCount val="1"/>
                <c:pt idx="0">
                  <c:v>Column1</c:v>
                </c:pt>
              </c:strCache>
            </c:strRef>
          </c:tx>
          <c:spPr>
            <a:solidFill>
              <a:sysClr val="window" lastClr="FFFFFF">
                <a:lumMod val="85000"/>
              </a:sysClr>
            </a:solidFill>
          </c:spPr>
          <c:cat>
            <c:strRef>
              <c:f>Sheet1!$A$2:$A$8</c:f>
              <c:strCache>
                <c:ptCount val="7"/>
                <c:pt idx="0">
                  <c:v>2018</c:v>
                </c:pt>
                <c:pt idx="1">
                  <c:v>2019</c:v>
                </c:pt>
                <c:pt idx="2">
                  <c:v>2020</c:v>
                </c:pt>
                <c:pt idx="3">
                  <c:v>2021*</c:v>
                </c:pt>
                <c:pt idx="4">
                  <c:v>2022*</c:v>
                </c:pt>
                <c:pt idx="5">
                  <c:v>2023*</c:v>
                </c:pt>
                <c:pt idx="6">
                  <c:v>2024*</c:v>
                </c:pt>
              </c:strCache>
            </c:strRef>
          </c:cat>
          <c:val>
            <c:numRef>
              <c:f>Sheet1!$D$2:$D$8</c:f>
              <c:numCache>
                <c:formatCode>General</c:formatCode>
                <c:ptCount val="7"/>
                <c:pt idx="3">
                  <c:v>2</c:v>
                </c:pt>
                <c:pt idx="4">
                  <c:v>2</c:v>
                </c:pt>
                <c:pt idx="5">
                  <c:v>2</c:v>
                </c:pt>
                <c:pt idx="6">
                  <c:v>2</c:v>
                </c:pt>
              </c:numCache>
            </c:numRef>
          </c:val>
          <c:extLst>
            <c:ext xmlns:c16="http://schemas.microsoft.com/office/drawing/2014/chart" uri="{C3380CC4-5D6E-409C-BE32-E72D297353CC}">
              <c16:uniqueId val="{00000000-B357-4D25-8B5C-5E3D9E8F4716}"/>
            </c:ext>
          </c:extLst>
        </c:ser>
        <c:ser>
          <c:idx val="3"/>
          <c:order val="3"/>
          <c:tx>
            <c:strRef>
              <c:f>Sheet1!$E$1</c:f>
              <c:strCache>
                <c:ptCount val="1"/>
                <c:pt idx="0">
                  <c:v>Column2</c:v>
                </c:pt>
              </c:strCache>
            </c:strRef>
          </c:tx>
          <c:spPr>
            <a:solidFill>
              <a:sysClr val="window" lastClr="FFFFFF">
                <a:lumMod val="85000"/>
              </a:sysClr>
            </a:solidFill>
          </c:spPr>
          <c:cat>
            <c:strRef>
              <c:f>Sheet1!$A$2:$A$8</c:f>
              <c:strCache>
                <c:ptCount val="7"/>
                <c:pt idx="0">
                  <c:v>2018</c:v>
                </c:pt>
                <c:pt idx="1">
                  <c:v>2019</c:v>
                </c:pt>
                <c:pt idx="2">
                  <c:v>2020</c:v>
                </c:pt>
                <c:pt idx="3">
                  <c:v>2021*</c:v>
                </c:pt>
                <c:pt idx="4">
                  <c:v>2022*</c:v>
                </c:pt>
                <c:pt idx="5">
                  <c:v>2023*</c:v>
                </c:pt>
                <c:pt idx="6">
                  <c:v>2024*</c:v>
                </c:pt>
              </c:strCache>
            </c:strRef>
          </c:cat>
          <c:val>
            <c:numRef>
              <c:f>Sheet1!$E$2:$E$8</c:f>
              <c:numCache>
                <c:formatCode>General</c:formatCode>
                <c:ptCount val="7"/>
                <c:pt idx="3">
                  <c:v>-9</c:v>
                </c:pt>
                <c:pt idx="4">
                  <c:v>-9</c:v>
                </c:pt>
                <c:pt idx="5">
                  <c:v>-9</c:v>
                </c:pt>
                <c:pt idx="6">
                  <c:v>-9</c:v>
                </c:pt>
              </c:numCache>
            </c:numRef>
          </c:val>
          <c:extLst>
            <c:ext xmlns:c16="http://schemas.microsoft.com/office/drawing/2014/chart" uri="{C3380CC4-5D6E-409C-BE32-E72D297353CC}">
              <c16:uniqueId val="{00000001-B357-4D25-8B5C-5E3D9E8F4716}"/>
            </c:ext>
          </c:extLst>
        </c:ser>
        <c:dLbls>
          <c:showLegendKey val="0"/>
          <c:showVal val="0"/>
          <c:showCatName val="0"/>
          <c:showSerName val="0"/>
          <c:showPercent val="0"/>
          <c:showBubbleSize val="0"/>
        </c:dLbls>
        <c:axId val="153129344"/>
        <c:axId val="153130880"/>
      </c:areaChart>
      <c:lineChart>
        <c:grouping val="standard"/>
        <c:varyColors val="0"/>
        <c:ser>
          <c:idx val="0"/>
          <c:order val="0"/>
          <c:tx>
            <c:strRef>
              <c:f>Sheet1!$B$1</c:f>
              <c:strCache>
                <c:ptCount val="1"/>
                <c:pt idx="0">
                  <c:v>Պակասուրդ, % ՀՆԱ-ում</c:v>
                </c:pt>
              </c:strCache>
            </c:strRef>
          </c:tx>
          <c:spPr>
            <a:ln>
              <a:solidFill>
                <a:srgbClr val="4472C4"/>
              </a:solidFill>
            </a:ln>
          </c:spPr>
          <c:marker>
            <c:spPr>
              <a:solidFill>
                <a:srgbClr val="4472C4"/>
              </a:solidFill>
              <a:ln>
                <a:solidFill>
                  <a:srgbClr val="4472C4"/>
                </a:solidFill>
              </a:ln>
            </c:spPr>
          </c:marker>
          <c:dLbls>
            <c:dLbl>
              <c:idx val="4"/>
              <c:layout>
                <c:manualLayout>
                  <c:x val="-3.7878787878787956E-2"/>
                  <c:y val="3.92156862745097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357-4D25-8B5C-5E3D9E8F4716}"/>
                </c:ext>
              </c:extLst>
            </c:dLbl>
            <c:dLbl>
              <c:idx val="5"/>
              <c:layout>
                <c:manualLayout>
                  <c:x val="-6.863140896245469E-2"/>
                  <c:y val="-4.15110004151100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357-4D25-8B5C-5E3D9E8F4716}"/>
                </c:ext>
              </c:extLst>
            </c:dLbl>
            <c:dLbl>
              <c:idx val="6"/>
              <c:layout>
                <c:manualLayout>
                  <c:x val="-4.8445700444085735E-2"/>
                  <c:y val="-3.3208800332088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357-4D25-8B5C-5E3D9E8F471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2018</c:v>
                </c:pt>
                <c:pt idx="1">
                  <c:v>2019</c:v>
                </c:pt>
                <c:pt idx="2">
                  <c:v>2020</c:v>
                </c:pt>
                <c:pt idx="3">
                  <c:v>2021*</c:v>
                </c:pt>
                <c:pt idx="4">
                  <c:v>2022*</c:v>
                </c:pt>
                <c:pt idx="5">
                  <c:v>2023*</c:v>
                </c:pt>
                <c:pt idx="6">
                  <c:v>2024*</c:v>
                </c:pt>
              </c:strCache>
            </c:strRef>
          </c:cat>
          <c:val>
            <c:numRef>
              <c:f>Sheet1!$B$2:$B$8</c:f>
              <c:numCache>
                <c:formatCode>0.0</c:formatCode>
                <c:ptCount val="7"/>
                <c:pt idx="0">
                  <c:v>-1.7515672931246962</c:v>
                </c:pt>
                <c:pt idx="1">
                  <c:v>-0.97754175944701427</c:v>
                </c:pt>
                <c:pt idx="2">
                  <c:v>-5.4029424566760298</c:v>
                </c:pt>
                <c:pt idx="3">
                  <c:v>-4.6331295036065132</c:v>
                </c:pt>
                <c:pt idx="4">
                  <c:v>-2.4000000010975704</c:v>
                </c:pt>
                <c:pt idx="5">
                  <c:v>-2.0658668860452369</c:v>
                </c:pt>
                <c:pt idx="6">
                  <c:v>-1.8530323778055104</c:v>
                </c:pt>
              </c:numCache>
            </c:numRef>
          </c:val>
          <c:smooth val="0"/>
          <c:extLst>
            <c:ext xmlns:c16="http://schemas.microsoft.com/office/drawing/2014/chart" uri="{C3380CC4-5D6E-409C-BE32-E72D297353CC}">
              <c16:uniqueId val="{00000005-B357-4D25-8B5C-5E3D9E8F4716}"/>
            </c:ext>
          </c:extLst>
        </c:ser>
        <c:ser>
          <c:idx val="1"/>
          <c:order val="1"/>
          <c:tx>
            <c:strRef>
              <c:f>Sheet1!$C$1</c:f>
              <c:strCache>
                <c:ptCount val="1"/>
                <c:pt idx="0">
                  <c:v>Առաջնային պակասուրդ, % ՀՆԱ-ում</c:v>
                </c:pt>
              </c:strCache>
            </c:strRef>
          </c:tx>
          <c:spPr>
            <a:ln w="12700" cap="rnd">
              <a:solidFill>
                <a:srgbClr val="FF0000"/>
              </a:solidFill>
              <a:prstDash val="dash"/>
              <a:round/>
            </a:ln>
            <a:effectLst>
              <a:outerShdw blurRad="40000" dist="23000" dir="5400000" rotWithShape="0">
                <a:srgbClr val="000000">
                  <a:alpha val="35000"/>
                </a:srgbClr>
              </a:outerShdw>
            </a:effectLst>
          </c:spPr>
          <c:marker>
            <c:symbol val="circle"/>
            <c:size val="5"/>
            <c:spPr>
              <a:solidFill>
                <a:srgbClr val="FF0000"/>
              </a:solidFill>
              <a:ln w="12700">
                <a:solidFill>
                  <a:srgbClr val="FF0000"/>
                </a:solidFill>
                <a:prstDash val="dash"/>
              </a:ln>
            </c:spPr>
          </c:marker>
          <c:dLbls>
            <c:dLbl>
              <c:idx val="4"/>
              <c:layout>
                <c:manualLayout>
                  <c:x val="-7.5757575757575829E-2"/>
                  <c:y val="-4.793028322440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357-4D25-8B5C-5E3D9E8F4716}"/>
                </c:ext>
              </c:extLst>
            </c:dLbl>
            <c:dLbl>
              <c:idx val="5"/>
              <c:layout>
                <c:manualLayout>
                  <c:x val="-6.4594267258781132E-2"/>
                  <c:y val="-3.32088003320880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357-4D25-8B5C-5E3D9E8F4716}"/>
                </c:ext>
              </c:extLst>
            </c:dLbl>
            <c:dLbl>
              <c:idx val="6"/>
              <c:layout>
                <c:manualLayout>
                  <c:x val="-5.6519983851433385E-2"/>
                  <c:y val="-4.151100041511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357-4D25-8B5C-5E3D9E8F4716}"/>
                </c:ext>
              </c:extLst>
            </c:dLbl>
            <c:spPr>
              <a:noFill/>
              <a:ln w="25412">
                <a:noFill/>
              </a:ln>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2018</c:v>
                </c:pt>
                <c:pt idx="1">
                  <c:v>2019</c:v>
                </c:pt>
                <c:pt idx="2">
                  <c:v>2020</c:v>
                </c:pt>
                <c:pt idx="3">
                  <c:v>2021*</c:v>
                </c:pt>
                <c:pt idx="4">
                  <c:v>2022*</c:v>
                </c:pt>
                <c:pt idx="5">
                  <c:v>2023*</c:v>
                </c:pt>
                <c:pt idx="6">
                  <c:v>2024*</c:v>
                </c:pt>
              </c:strCache>
            </c:strRef>
          </c:cat>
          <c:val>
            <c:numRef>
              <c:f>Sheet1!$C$2:$C$8</c:f>
              <c:numCache>
                <c:formatCode>0.0</c:formatCode>
                <c:ptCount val="7"/>
                <c:pt idx="0">
                  <c:v>0.558788129758653</c:v>
                </c:pt>
                <c:pt idx="1">
                  <c:v>1.4302980078100385</c:v>
                </c:pt>
                <c:pt idx="2">
                  <c:v>-2.7375216629450994</c:v>
                </c:pt>
                <c:pt idx="3">
                  <c:v>-1.8055091850499587</c:v>
                </c:pt>
                <c:pt idx="4">
                  <c:v>0.449883921847686</c:v>
                </c:pt>
                <c:pt idx="5">
                  <c:v>0.91375402059025079</c:v>
                </c:pt>
                <c:pt idx="6">
                  <c:v>1.1809091902096431</c:v>
                </c:pt>
              </c:numCache>
            </c:numRef>
          </c:val>
          <c:smooth val="0"/>
          <c:extLst>
            <c:ext xmlns:c16="http://schemas.microsoft.com/office/drawing/2014/chart" uri="{C3380CC4-5D6E-409C-BE32-E72D297353CC}">
              <c16:uniqueId val="{00000009-B357-4D25-8B5C-5E3D9E8F4716}"/>
            </c:ext>
          </c:extLst>
        </c:ser>
        <c:dLbls>
          <c:showLegendKey val="0"/>
          <c:showVal val="0"/>
          <c:showCatName val="0"/>
          <c:showSerName val="0"/>
          <c:showPercent val="0"/>
          <c:showBubbleSize val="0"/>
        </c:dLbls>
        <c:marker val="1"/>
        <c:smooth val="0"/>
        <c:axId val="153129344"/>
        <c:axId val="153130880"/>
      </c:lineChart>
      <c:catAx>
        <c:axId val="153129344"/>
        <c:scaling>
          <c:orientation val="minMax"/>
        </c:scaling>
        <c:delete val="0"/>
        <c:axPos val="b"/>
        <c:numFmt formatCode="General" sourceLinked="1"/>
        <c:majorTickMark val="none"/>
        <c:minorTickMark val="none"/>
        <c:tickLblPos val="low"/>
        <c:spPr>
          <a:noFill/>
          <a:ln w="19050" cap="flat" cmpd="sng" algn="ctr">
            <a:solidFill>
              <a:srgbClr val="44546A">
                <a:lumMod val="15000"/>
                <a:lumOff val="85000"/>
              </a:srgbClr>
            </a:solidFill>
            <a:round/>
          </a:ln>
          <a:effectLst/>
        </c:spPr>
        <c:txPr>
          <a:bodyPr rot="-60000000" vert="horz"/>
          <a:lstStyle/>
          <a:p>
            <a:pPr>
              <a:defRPr sz="800"/>
            </a:pPr>
            <a:endParaRPr lang="en-US"/>
          </a:p>
        </c:txPr>
        <c:crossAx val="153130880"/>
        <c:crosses val="autoZero"/>
        <c:auto val="1"/>
        <c:lblAlgn val="ctr"/>
        <c:lblOffset val="100"/>
        <c:noMultiLvlLbl val="0"/>
      </c:catAx>
      <c:valAx>
        <c:axId val="153130880"/>
        <c:scaling>
          <c:orientation val="minMax"/>
          <c:max val="2"/>
          <c:min val="-7"/>
        </c:scaling>
        <c:delete val="0"/>
        <c:axPos val="l"/>
        <c:majorGridlines>
          <c:spPr>
            <a:ln w="12700" cap="flat" cmpd="sng" algn="ctr">
              <a:solidFill>
                <a:srgbClr val="44546A">
                  <a:lumMod val="15000"/>
                  <a:lumOff val="85000"/>
                </a:srgbClr>
              </a:solidFill>
              <a:round/>
            </a:ln>
            <a:effectLst/>
          </c:spPr>
        </c:majorGridlines>
        <c:numFmt formatCode="General" sourceLinked="1"/>
        <c:majorTickMark val="none"/>
        <c:minorTickMark val="none"/>
        <c:tickLblPos val="nextTo"/>
        <c:spPr>
          <a:ln w="6353">
            <a:noFill/>
          </a:ln>
        </c:spPr>
        <c:txPr>
          <a:bodyPr rot="-60000000" vert="horz"/>
          <a:lstStyle/>
          <a:p>
            <a:pPr>
              <a:defRPr/>
            </a:pPr>
            <a:endParaRPr lang="en-US"/>
          </a:p>
        </c:txPr>
        <c:crossAx val="153129344"/>
        <c:crosses val="autoZero"/>
        <c:crossBetween val="between"/>
      </c:valAx>
      <c:spPr>
        <a:noFill/>
        <a:ln w="25400">
          <a:noFill/>
        </a:ln>
      </c:spPr>
    </c:plotArea>
    <c:legend>
      <c:legendPos val="b"/>
      <c:legendEntry>
        <c:idx val="0"/>
        <c:delete val="1"/>
      </c:legendEntry>
      <c:legendEntry>
        <c:idx val="1"/>
        <c:delete val="1"/>
      </c:legendEntry>
      <c:layout>
        <c:manualLayout>
          <c:xMode val="edge"/>
          <c:yMode val="edge"/>
          <c:x val="7.6856052056876012E-2"/>
          <c:y val="0.89640564545458656"/>
          <c:w val="0.9"/>
          <c:h val="0.10359446040602358"/>
        </c:manualLayout>
      </c:layout>
      <c:overlay val="0"/>
      <c:spPr>
        <a:noFill/>
        <a:ln w="25412">
          <a:noFill/>
        </a:ln>
      </c:spPr>
      <c:txPr>
        <a:bodyPr rot="0" vert="horz"/>
        <a:lstStyle/>
        <a:p>
          <a:pPr>
            <a:defRPr sz="900"/>
          </a:pPr>
          <a:endParaRPr lang="en-US"/>
        </a:p>
      </c:txPr>
    </c:legend>
    <c:plotVisOnly val="1"/>
    <c:dispBlanksAs val="gap"/>
    <c:showDLblsOverMax val="0"/>
  </c:chart>
  <c:spPr>
    <a:solidFill>
      <a:schemeClr val="bg1"/>
    </a:solidFill>
    <a:ln w="9530" cap="flat" cmpd="sng" algn="ctr">
      <a:solidFill>
        <a:schemeClr val="tx2">
          <a:lumMod val="15000"/>
          <a:lumOff val="85000"/>
        </a:schemeClr>
      </a:solidFill>
      <a:round/>
    </a:ln>
    <a:effectLst/>
  </c:spPr>
  <c:txPr>
    <a:bodyPr anchor="t" anchorCtr="0"/>
    <a:lstStyle/>
    <a:p>
      <a:pPr>
        <a:defRPr>
          <a:latin typeface="GHEA Grapalat" panose="02000506050000020003" pitchFamily="50" charset="0"/>
        </a:defRPr>
      </a:pPr>
      <a:endParaRPr lang="en-US"/>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32362300089968"/>
          <c:y val="6.0752269779507137E-2"/>
          <c:w val="0.80235521125059406"/>
          <c:h val="0.65690492968534575"/>
        </c:manualLayout>
      </c:layout>
      <c:barChart>
        <c:barDir val="col"/>
        <c:grouping val="clustered"/>
        <c:varyColors val="0"/>
        <c:ser>
          <c:idx val="0"/>
          <c:order val="0"/>
          <c:tx>
            <c:strRef>
              <c:f>Sheet1!$B$1</c:f>
              <c:strCache>
                <c:ptCount val="1"/>
                <c:pt idx="0">
                  <c:v>Եկամուտների ազդակ</c:v>
                </c:pt>
              </c:strCache>
            </c:strRef>
          </c:tx>
          <c:spPr>
            <a:solidFill>
              <a:srgbClr val="4472C4"/>
            </a:solidFill>
            <a:ln>
              <a:solidFill>
                <a:srgbClr val="4472C4"/>
              </a:solidFill>
            </a:ln>
            <a:effectLst>
              <a:outerShdw blurRad="40000" dist="23000" dir="5400000" rotWithShape="0">
                <a:srgbClr val="000000">
                  <a:alpha val="35000"/>
                </a:srgbClr>
              </a:outerShdw>
            </a:effectLst>
          </c:spPr>
          <c:invertIfNegative val="0"/>
          <c:cat>
            <c:strRef>
              <c:f>Sheet1!$A$2:$A$10</c:f>
              <c:strCache>
                <c:ptCount val="9"/>
                <c:pt idx="0">
                  <c:v>2018</c:v>
                </c:pt>
                <c:pt idx="1">
                  <c:v>2019</c:v>
                </c:pt>
                <c:pt idx="2">
                  <c:v>2020</c:v>
                </c:pt>
                <c:pt idx="3">
                  <c:v>2021*</c:v>
                </c:pt>
                <c:pt idx="4">
                  <c:v>2022*</c:v>
                </c:pt>
                <c:pt idx="5">
                  <c:v>2023*</c:v>
                </c:pt>
                <c:pt idx="6">
                  <c:v>2024*</c:v>
                </c:pt>
                <c:pt idx="7">
                  <c:v>2025*</c:v>
                </c:pt>
                <c:pt idx="8">
                  <c:v>2026*</c:v>
                </c:pt>
              </c:strCache>
            </c:strRef>
          </c:cat>
          <c:val>
            <c:numRef>
              <c:f>Sheet1!$B$2:$B$10</c:f>
              <c:numCache>
                <c:formatCode>0.0</c:formatCode>
                <c:ptCount val="9"/>
                <c:pt idx="0">
                  <c:v>-1.2459382765043241</c:v>
                </c:pt>
                <c:pt idx="1">
                  <c:v>-1.0573224872283291</c:v>
                </c:pt>
                <c:pt idx="2">
                  <c:v>0.50308095095106375</c:v>
                </c:pt>
                <c:pt idx="3">
                  <c:v>0.34205653321930263</c:v>
                </c:pt>
                <c:pt idx="4">
                  <c:v>-0.54789754414737601</c:v>
                </c:pt>
                <c:pt idx="5">
                  <c:v>-0.15845221433863993</c:v>
                </c:pt>
                <c:pt idx="6">
                  <c:v>-0.3750996739433532</c:v>
                </c:pt>
                <c:pt idx="7">
                  <c:v>-0.33075653992127058</c:v>
                </c:pt>
                <c:pt idx="8">
                  <c:v>-0.33888780019585196</c:v>
                </c:pt>
              </c:numCache>
            </c:numRef>
          </c:val>
          <c:extLst>
            <c:ext xmlns:c16="http://schemas.microsoft.com/office/drawing/2014/chart" uri="{C3380CC4-5D6E-409C-BE32-E72D297353CC}">
              <c16:uniqueId val="{00000000-E150-4032-A86F-9B87BAD867D2}"/>
            </c:ext>
          </c:extLst>
        </c:ser>
        <c:ser>
          <c:idx val="1"/>
          <c:order val="1"/>
          <c:tx>
            <c:strRef>
              <c:f>Sheet1!$C$1</c:f>
              <c:strCache>
                <c:ptCount val="1"/>
                <c:pt idx="0">
                  <c:v>Ծախսերի ազդակ</c:v>
                </c:pt>
              </c:strCache>
            </c:strRef>
          </c:tx>
          <c:invertIfNegative val="0"/>
          <c:cat>
            <c:strRef>
              <c:f>Sheet1!$A$2:$A$10</c:f>
              <c:strCache>
                <c:ptCount val="9"/>
                <c:pt idx="0">
                  <c:v>2018</c:v>
                </c:pt>
                <c:pt idx="1">
                  <c:v>2019</c:v>
                </c:pt>
                <c:pt idx="2">
                  <c:v>2020</c:v>
                </c:pt>
                <c:pt idx="3">
                  <c:v>2021*</c:v>
                </c:pt>
                <c:pt idx="4">
                  <c:v>2022*</c:v>
                </c:pt>
                <c:pt idx="5">
                  <c:v>2023*</c:v>
                </c:pt>
                <c:pt idx="6">
                  <c:v>2024*</c:v>
                </c:pt>
                <c:pt idx="7">
                  <c:v>2025*</c:v>
                </c:pt>
                <c:pt idx="8">
                  <c:v>2026*</c:v>
                </c:pt>
              </c:strCache>
            </c:strRef>
          </c:cat>
          <c:val>
            <c:numRef>
              <c:f>Sheet1!$C$2:$C$10</c:f>
              <c:numCache>
                <c:formatCode>0.0</c:formatCode>
                <c:ptCount val="9"/>
                <c:pt idx="0">
                  <c:v>-0.82219985173409982</c:v>
                </c:pt>
                <c:pt idx="1">
                  <c:v>1.0722306120531753</c:v>
                </c:pt>
                <c:pt idx="2">
                  <c:v>4.237426423073388</c:v>
                </c:pt>
                <c:pt idx="3">
                  <c:v>-1.9552786974273884</c:v>
                </c:pt>
                <c:pt idx="4">
                  <c:v>-0.95624328807648995</c:v>
                </c:pt>
                <c:pt idx="5">
                  <c:v>-0.46702510443118245</c:v>
                </c:pt>
                <c:pt idx="6">
                  <c:v>2.3490996489918502E-2</c:v>
                </c:pt>
                <c:pt idx="7">
                  <c:v>0.57559596206756525</c:v>
                </c:pt>
                <c:pt idx="8">
                  <c:v>0.41610197667753984</c:v>
                </c:pt>
              </c:numCache>
            </c:numRef>
          </c:val>
          <c:extLst>
            <c:ext xmlns:c16="http://schemas.microsoft.com/office/drawing/2014/chart" uri="{C3380CC4-5D6E-409C-BE32-E72D297353CC}">
              <c16:uniqueId val="{00000001-E150-4032-A86F-9B87BAD867D2}"/>
            </c:ext>
          </c:extLst>
        </c:ser>
        <c:dLbls>
          <c:showLegendKey val="0"/>
          <c:showVal val="0"/>
          <c:showCatName val="0"/>
          <c:showSerName val="0"/>
          <c:showPercent val="0"/>
          <c:showBubbleSize val="0"/>
        </c:dLbls>
        <c:gapWidth val="150"/>
        <c:axId val="153081728"/>
        <c:axId val="153083264"/>
      </c:barChart>
      <c:lineChart>
        <c:grouping val="standard"/>
        <c:varyColors val="0"/>
        <c:ser>
          <c:idx val="2"/>
          <c:order val="2"/>
          <c:tx>
            <c:strRef>
              <c:f>Sheet1!$D$1</c:f>
              <c:strCache>
                <c:ptCount val="1"/>
                <c:pt idx="0">
                  <c:v>Հարկաբյուջետային ազդակ</c:v>
                </c:pt>
              </c:strCache>
            </c:strRef>
          </c:tx>
          <c:spPr>
            <a:ln>
              <a:solidFill>
                <a:srgbClr val="FF0000"/>
              </a:solidFill>
            </a:ln>
            <a:effectLst>
              <a:outerShdw blurRad="40000" dist="23000" dir="5400000" rotWithShape="0">
                <a:srgbClr val="000000">
                  <a:alpha val="35000"/>
                </a:srgbClr>
              </a:outerShdw>
            </a:effectLst>
          </c:spPr>
          <c:marker>
            <c:spPr>
              <a:solidFill>
                <a:srgbClr val="FF0000"/>
              </a:solidFill>
              <a:ln>
                <a:solidFill>
                  <a:srgbClr val="FF0000"/>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9"/>
                <c:pt idx="0">
                  <c:v>2018</c:v>
                </c:pt>
                <c:pt idx="1">
                  <c:v>2019</c:v>
                </c:pt>
                <c:pt idx="2">
                  <c:v>2020</c:v>
                </c:pt>
                <c:pt idx="3">
                  <c:v>2021*</c:v>
                </c:pt>
                <c:pt idx="4">
                  <c:v>2022*</c:v>
                </c:pt>
                <c:pt idx="5">
                  <c:v>2023*</c:v>
                </c:pt>
                <c:pt idx="6">
                  <c:v>2024*</c:v>
                </c:pt>
                <c:pt idx="7">
                  <c:v>2025*</c:v>
                </c:pt>
                <c:pt idx="8">
                  <c:v>2026*</c:v>
                </c:pt>
              </c:strCache>
            </c:strRef>
          </c:cat>
          <c:val>
            <c:numRef>
              <c:f>Sheet1!$D$2:$D$10</c:f>
              <c:numCache>
                <c:formatCode>0.0</c:formatCode>
                <c:ptCount val="9"/>
                <c:pt idx="0">
                  <c:v>-2.0681381282384237</c:v>
                </c:pt>
                <c:pt idx="1">
                  <c:v>1.4908124824846158E-2</c:v>
                </c:pt>
                <c:pt idx="2">
                  <c:v>4.9901782003676134</c:v>
                </c:pt>
                <c:pt idx="3">
                  <c:v>-1.6132221642080857</c:v>
                </c:pt>
                <c:pt idx="4">
                  <c:v>-1.5041408322238659</c:v>
                </c:pt>
                <c:pt idx="5">
                  <c:v>-0.62547731876982238</c:v>
                </c:pt>
                <c:pt idx="6">
                  <c:v>-0.35160867745343471</c:v>
                </c:pt>
                <c:pt idx="7">
                  <c:v>0.24483942214629467</c:v>
                </c:pt>
                <c:pt idx="8">
                  <c:v>7.721417648168788E-2</c:v>
                </c:pt>
              </c:numCache>
            </c:numRef>
          </c:val>
          <c:smooth val="0"/>
          <c:extLst>
            <c:ext xmlns:c16="http://schemas.microsoft.com/office/drawing/2014/chart" uri="{C3380CC4-5D6E-409C-BE32-E72D297353CC}">
              <c16:uniqueId val="{00000002-E150-4032-A86F-9B87BAD867D2}"/>
            </c:ext>
          </c:extLst>
        </c:ser>
        <c:dLbls>
          <c:showLegendKey val="0"/>
          <c:showVal val="0"/>
          <c:showCatName val="0"/>
          <c:showSerName val="0"/>
          <c:showPercent val="0"/>
          <c:showBubbleSize val="0"/>
        </c:dLbls>
        <c:marker val="1"/>
        <c:smooth val="0"/>
        <c:axId val="153081728"/>
        <c:axId val="153083264"/>
      </c:lineChart>
      <c:catAx>
        <c:axId val="153081728"/>
        <c:scaling>
          <c:orientation val="minMax"/>
        </c:scaling>
        <c:delete val="0"/>
        <c:axPos val="b"/>
        <c:numFmt formatCode="General" sourceLinked="1"/>
        <c:majorTickMark val="none"/>
        <c:minorTickMark val="none"/>
        <c:tickLblPos val="low"/>
        <c:spPr>
          <a:noFill/>
          <a:ln w="9530" cap="flat" cmpd="sng" algn="ctr">
            <a:solidFill>
              <a:schemeClr val="tx2">
                <a:lumMod val="15000"/>
                <a:lumOff val="85000"/>
              </a:schemeClr>
            </a:solidFill>
            <a:round/>
          </a:ln>
          <a:effectLst/>
        </c:spPr>
        <c:txPr>
          <a:bodyPr rot="-60000000" vert="horz"/>
          <a:lstStyle/>
          <a:p>
            <a:pPr>
              <a:defRPr sz="800"/>
            </a:pPr>
            <a:endParaRPr lang="en-US"/>
          </a:p>
        </c:txPr>
        <c:crossAx val="153083264"/>
        <c:crosses val="autoZero"/>
        <c:auto val="1"/>
        <c:lblAlgn val="ctr"/>
        <c:lblOffset val="100"/>
        <c:noMultiLvlLbl val="0"/>
      </c:catAx>
      <c:valAx>
        <c:axId val="153083264"/>
        <c:scaling>
          <c:orientation val="minMax"/>
        </c:scaling>
        <c:delete val="0"/>
        <c:axPos val="l"/>
        <c:majorGridlines>
          <c:spPr>
            <a:ln w="9530" cap="flat" cmpd="sng" algn="ctr">
              <a:solidFill>
                <a:schemeClr val="tx2">
                  <a:lumMod val="15000"/>
                  <a:lumOff val="85000"/>
                </a:schemeClr>
              </a:solidFill>
              <a:round/>
            </a:ln>
            <a:effectLst/>
          </c:spPr>
        </c:majorGridlines>
        <c:numFmt formatCode="0.0" sourceLinked="1"/>
        <c:majorTickMark val="none"/>
        <c:minorTickMark val="none"/>
        <c:tickLblPos val="nextTo"/>
        <c:spPr>
          <a:ln w="6353">
            <a:noFill/>
          </a:ln>
        </c:spPr>
        <c:txPr>
          <a:bodyPr rot="-60000000" vert="horz"/>
          <a:lstStyle/>
          <a:p>
            <a:pPr>
              <a:defRPr/>
            </a:pPr>
            <a:endParaRPr lang="en-US"/>
          </a:p>
        </c:txPr>
        <c:crossAx val="153081728"/>
        <c:crosses val="autoZero"/>
        <c:crossBetween val="between"/>
      </c:valAx>
      <c:spPr>
        <a:noFill/>
        <a:ln w="25412">
          <a:noFill/>
        </a:ln>
      </c:spPr>
    </c:plotArea>
    <c:legend>
      <c:legendPos val="b"/>
      <c:layout>
        <c:manualLayout>
          <c:xMode val="edge"/>
          <c:yMode val="edge"/>
          <c:x val="4.0371417036737994E-2"/>
          <c:y val="0.87673156240085393"/>
          <c:w val="0.9"/>
          <c:h val="9.3147461625662564E-2"/>
        </c:manualLayout>
      </c:layout>
      <c:overlay val="0"/>
      <c:spPr>
        <a:noFill/>
        <a:ln w="25412">
          <a:noFill/>
        </a:ln>
      </c:spPr>
      <c:txPr>
        <a:bodyPr rot="0" vert="horz"/>
        <a:lstStyle/>
        <a:p>
          <a:pPr>
            <a:defRPr sz="900"/>
          </a:pPr>
          <a:endParaRPr lang="en-US"/>
        </a:p>
      </c:txPr>
    </c:legend>
    <c:plotVisOnly val="1"/>
    <c:dispBlanksAs val="gap"/>
    <c:showDLblsOverMax val="0"/>
  </c:chart>
  <c:spPr>
    <a:solidFill>
      <a:schemeClr val="bg1"/>
    </a:solidFill>
    <a:ln w="9530" cap="flat" cmpd="sng" algn="ctr">
      <a:solidFill>
        <a:schemeClr val="tx2">
          <a:lumMod val="15000"/>
          <a:lumOff val="85000"/>
        </a:schemeClr>
      </a:solidFill>
      <a:round/>
    </a:ln>
    <a:effectLst/>
  </c:spPr>
  <c:txPr>
    <a:bodyPr anchor="t" anchorCtr="0"/>
    <a:lstStyle/>
    <a:p>
      <a:pPr>
        <a:defRPr>
          <a:latin typeface="GHEA Grapalat" panose="02000506050000020003" pitchFamily="50" charset="0"/>
        </a:defRPr>
      </a:pPr>
      <a:endParaRPr lang="en-US"/>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541695869968373"/>
          <c:y val="5.587624951136428E-2"/>
          <c:w val="0.81956564821662481"/>
          <c:h val="0.665637348522924"/>
        </c:manualLayout>
      </c:layout>
      <c:lineChart>
        <c:grouping val="standard"/>
        <c:varyColors val="0"/>
        <c:ser>
          <c:idx val="0"/>
          <c:order val="0"/>
          <c:tx>
            <c:strRef>
              <c:f>Sheet1!$B$1</c:f>
              <c:strCache>
                <c:ptCount val="1"/>
                <c:pt idx="0">
                  <c:v>Հայաստան (2025թ.)</c:v>
                </c:pt>
              </c:strCache>
            </c:strRef>
          </c:tx>
          <c:spPr>
            <a:ln w="28575" cap="rnd">
              <a:solidFill>
                <a:schemeClr val="accent1"/>
              </a:solidFill>
              <a:round/>
            </a:ln>
            <a:effectLst/>
          </c:spPr>
          <c:marker>
            <c:symbol val="none"/>
          </c:marker>
          <c:cat>
            <c:numRef>
              <c:f>Sheet1!$A$2:$A$625</c:f>
              <c:numCache>
                <c:formatCode>m\/d\/yyyy</c:formatCode>
                <c:ptCount val="624"/>
                <c:pt idx="0">
                  <c:v>43466</c:v>
                </c:pt>
                <c:pt idx="1">
                  <c:v>43467</c:v>
                </c:pt>
                <c:pt idx="2">
                  <c:v>43468</c:v>
                </c:pt>
                <c:pt idx="3">
                  <c:v>43469</c:v>
                </c:pt>
                <c:pt idx="4">
                  <c:v>43472</c:v>
                </c:pt>
                <c:pt idx="5">
                  <c:v>43473</c:v>
                </c:pt>
                <c:pt idx="6">
                  <c:v>43474</c:v>
                </c:pt>
                <c:pt idx="7">
                  <c:v>43475</c:v>
                </c:pt>
                <c:pt idx="8">
                  <c:v>43476</c:v>
                </c:pt>
                <c:pt idx="9">
                  <c:v>43479</c:v>
                </c:pt>
                <c:pt idx="10">
                  <c:v>43480</c:v>
                </c:pt>
                <c:pt idx="11">
                  <c:v>43481</c:v>
                </c:pt>
                <c:pt idx="12">
                  <c:v>43482</c:v>
                </c:pt>
                <c:pt idx="13">
                  <c:v>43483</c:v>
                </c:pt>
                <c:pt idx="14">
                  <c:v>43486</c:v>
                </c:pt>
                <c:pt idx="15">
                  <c:v>43487</c:v>
                </c:pt>
                <c:pt idx="16">
                  <c:v>43488</c:v>
                </c:pt>
                <c:pt idx="17">
                  <c:v>43489</c:v>
                </c:pt>
                <c:pt idx="18">
                  <c:v>43490</c:v>
                </c:pt>
                <c:pt idx="19">
                  <c:v>43493</c:v>
                </c:pt>
                <c:pt idx="20">
                  <c:v>43494</c:v>
                </c:pt>
                <c:pt idx="21">
                  <c:v>43495</c:v>
                </c:pt>
                <c:pt idx="22">
                  <c:v>43496</c:v>
                </c:pt>
                <c:pt idx="23">
                  <c:v>43497</c:v>
                </c:pt>
                <c:pt idx="24">
                  <c:v>43500</c:v>
                </c:pt>
                <c:pt idx="25">
                  <c:v>43501</c:v>
                </c:pt>
                <c:pt idx="26">
                  <c:v>43502</c:v>
                </c:pt>
                <c:pt idx="27">
                  <c:v>43503</c:v>
                </c:pt>
                <c:pt idx="28">
                  <c:v>43504</c:v>
                </c:pt>
                <c:pt idx="29">
                  <c:v>43507</c:v>
                </c:pt>
                <c:pt idx="30">
                  <c:v>43508</c:v>
                </c:pt>
                <c:pt idx="31">
                  <c:v>43509</c:v>
                </c:pt>
                <c:pt idx="32">
                  <c:v>43510</c:v>
                </c:pt>
                <c:pt idx="33">
                  <c:v>43511</c:v>
                </c:pt>
                <c:pt idx="34">
                  <c:v>43514</c:v>
                </c:pt>
                <c:pt idx="35">
                  <c:v>43515</c:v>
                </c:pt>
                <c:pt idx="36">
                  <c:v>43516</c:v>
                </c:pt>
                <c:pt idx="37">
                  <c:v>43517</c:v>
                </c:pt>
                <c:pt idx="38">
                  <c:v>43518</c:v>
                </c:pt>
                <c:pt idx="39">
                  <c:v>43521</c:v>
                </c:pt>
                <c:pt idx="40">
                  <c:v>43522</c:v>
                </c:pt>
                <c:pt idx="41">
                  <c:v>43523</c:v>
                </c:pt>
                <c:pt idx="42">
                  <c:v>43524</c:v>
                </c:pt>
                <c:pt idx="43">
                  <c:v>43525</c:v>
                </c:pt>
                <c:pt idx="44">
                  <c:v>43528</c:v>
                </c:pt>
                <c:pt idx="45">
                  <c:v>43529</c:v>
                </c:pt>
                <c:pt idx="46">
                  <c:v>43530</c:v>
                </c:pt>
                <c:pt idx="47">
                  <c:v>43531</c:v>
                </c:pt>
                <c:pt idx="48">
                  <c:v>43532</c:v>
                </c:pt>
                <c:pt idx="49">
                  <c:v>43535</c:v>
                </c:pt>
                <c:pt idx="50">
                  <c:v>43536</c:v>
                </c:pt>
                <c:pt idx="51">
                  <c:v>43537</c:v>
                </c:pt>
                <c:pt idx="52">
                  <c:v>43538</c:v>
                </c:pt>
                <c:pt idx="53">
                  <c:v>43539</c:v>
                </c:pt>
                <c:pt idx="54">
                  <c:v>43542</c:v>
                </c:pt>
                <c:pt idx="55">
                  <c:v>43543</c:v>
                </c:pt>
                <c:pt idx="56">
                  <c:v>43544</c:v>
                </c:pt>
                <c:pt idx="57">
                  <c:v>43545</c:v>
                </c:pt>
                <c:pt idx="58">
                  <c:v>43546</c:v>
                </c:pt>
                <c:pt idx="59">
                  <c:v>43549</c:v>
                </c:pt>
                <c:pt idx="60">
                  <c:v>43550</c:v>
                </c:pt>
                <c:pt idx="61">
                  <c:v>43551</c:v>
                </c:pt>
                <c:pt idx="62">
                  <c:v>43552</c:v>
                </c:pt>
                <c:pt idx="63">
                  <c:v>43553</c:v>
                </c:pt>
                <c:pt idx="64">
                  <c:v>43556</c:v>
                </c:pt>
                <c:pt idx="65">
                  <c:v>43557</c:v>
                </c:pt>
                <c:pt idx="66">
                  <c:v>43558</c:v>
                </c:pt>
                <c:pt idx="67">
                  <c:v>43559</c:v>
                </c:pt>
                <c:pt idx="68">
                  <c:v>43560</c:v>
                </c:pt>
                <c:pt idx="69">
                  <c:v>43563</c:v>
                </c:pt>
                <c:pt idx="70">
                  <c:v>43564</c:v>
                </c:pt>
                <c:pt idx="71">
                  <c:v>43565</c:v>
                </c:pt>
                <c:pt idx="72">
                  <c:v>43566</c:v>
                </c:pt>
                <c:pt idx="73">
                  <c:v>43567</c:v>
                </c:pt>
                <c:pt idx="74">
                  <c:v>43570</c:v>
                </c:pt>
                <c:pt idx="75">
                  <c:v>43571</c:v>
                </c:pt>
                <c:pt idx="76">
                  <c:v>43572</c:v>
                </c:pt>
                <c:pt idx="77">
                  <c:v>43573</c:v>
                </c:pt>
                <c:pt idx="78">
                  <c:v>43574</c:v>
                </c:pt>
                <c:pt idx="79">
                  <c:v>43577</c:v>
                </c:pt>
                <c:pt idx="80">
                  <c:v>43578</c:v>
                </c:pt>
                <c:pt idx="81">
                  <c:v>43579</c:v>
                </c:pt>
                <c:pt idx="82">
                  <c:v>43580</c:v>
                </c:pt>
                <c:pt idx="83">
                  <c:v>43581</c:v>
                </c:pt>
                <c:pt idx="84">
                  <c:v>43584</c:v>
                </c:pt>
                <c:pt idx="85">
                  <c:v>43585</c:v>
                </c:pt>
                <c:pt idx="86">
                  <c:v>43586</c:v>
                </c:pt>
                <c:pt idx="87">
                  <c:v>43587</c:v>
                </c:pt>
                <c:pt idx="88">
                  <c:v>43588</c:v>
                </c:pt>
                <c:pt idx="89">
                  <c:v>43591</c:v>
                </c:pt>
                <c:pt idx="90">
                  <c:v>43592</c:v>
                </c:pt>
                <c:pt idx="91">
                  <c:v>43593</c:v>
                </c:pt>
                <c:pt idx="92">
                  <c:v>43594</c:v>
                </c:pt>
                <c:pt idx="93">
                  <c:v>43595</c:v>
                </c:pt>
                <c:pt idx="94">
                  <c:v>43598</c:v>
                </c:pt>
                <c:pt idx="95">
                  <c:v>43599</c:v>
                </c:pt>
                <c:pt idx="96">
                  <c:v>43600</c:v>
                </c:pt>
                <c:pt idx="97">
                  <c:v>43601</c:v>
                </c:pt>
                <c:pt idx="98">
                  <c:v>43602</c:v>
                </c:pt>
                <c:pt idx="99">
                  <c:v>43605</c:v>
                </c:pt>
                <c:pt idx="100">
                  <c:v>43606</c:v>
                </c:pt>
                <c:pt idx="101">
                  <c:v>43607</c:v>
                </c:pt>
                <c:pt idx="102">
                  <c:v>43608</c:v>
                </c:pt>
                <c:pt idx="103">
                  <c:v>43609</c:v>
                </c:pt>
                <c:pt idx="104">
                  <c:v>43612</c:v>
                </c:pt>
                <c:pt idx="105">
                  <c:v>43613</c:v>
                </c:pt>
                <c:pt idx="106">
                  <c:v>43614</c:v>
                </c:pt>
                <c:pt idx="107">
                  <c:v>43615</c:v>
                </c:pt>
                <c:pt idx="108">
                  <c:v>43616</c:v>
                </c:pt>
                <c:pt idx="109">
                  <c:v>43619</c:v>
                </c:pt>
                <c:pt idx="110">
                  <c:v>43620</c:v>
                </c:pt>
                <c:pt idx="111">
                  <c:v>43621</c:v>
                </c:pt>
                <c:pt idx="112">
                  <c:v>43622</c:v>
                </c:pt>
                <c:pt idx="113">
                  <c:v>43623</c:v>
                </c:pt>
                <c:pt idx="114">
                  <c:v>43626</c:v>
                </c:pt>
                <c:pt idx="115">
                  <c:v>43627</c:v>
                </c:pt>
                <c:pt idx="116">
                  <c:v>43628</c:v>
                </c:pt>
                <c:pt idx="117">
                  <c:v>43629</c:v>
                </c:pt>
                <c:pt idx="118">
                  <c:v>43630</c:v>
                </c:pt>
                <c:pt idx="119">
                  <c:v>43633</c:v>
                </c:pt>
                <c:pt idx="120">
                  <c:v>43634</c:v>
                </c:pt>
                <c:pt idx="121">
                  <c:v>43635</c:v>
                </c:pt>
                <c:pt idx="122">
                  <c:v>43636</c:v>
                </c:pt>
                <c:pt idx="123">
                  <c:v>43637</c:v>
                </c:pt>
                <c:pt idx="124">
                  <c:v>43640</c:v>
                </c:pt>
                <c:pt idx="125">
                  <c:v>43641</c:v>
                </c:pt>
                <c:pt idx="126">
                  <c:v>43642</c:v>
                </c:pt>
                <c:pt idx="127">
                  <c:v>43643</c:v>
                </c:pt>
                <c:pt idx="128">
                  <c:v>43644</c:v>
                </c:pt>
                <c:pt idx="129">
                  <c:v>43647</c:v>
                </c:pt>
                <c:pt idx="130">
                  <c:v>43648</c:v>
                </c:pt>
                <c:pt idx="131">
                  <c:v>43649</c:v>
                </c:pt>
                <c:pt idx="132">
                  <c:v>43650</c:v>
                </c:pt>
                <c:pt idx="133">
                  <c:v>43651</c:v>
                </c:pt>
                <c:pt idx="134">
                  <c:v>43654</c:v>
                </c:pt>
                <c:pt idx="135">
                  <c:v>43655</c:v>
                </c:pt>
                <c:pt idx="136">
                  <c:v>43656</c:v>
                </c:pt>
                <c:pt idx="137">
                  <c:v>43657</c:v>
                </c:pt>
                <c:pt idx="138">
                  <c:v>43658</c:v>
                </c:pt>
                <c:pt idx="139">
                  <c:v>43661</c:v>
                </c:pt>
                <c:pt idx="140">
                  <c:v>43662</c:v>
                </c:pt>
                <c:pt idx="141">
                  <c:v>43663</c:v>
                </c:pt>
                <c:pt idx="142">
                  <c:v>43664</c:v>
                </c:pt>
                <c:pt idx="143">
                  <c:v>43665</c:v>
                </c:pt>
                <c:pt idx="144">
                  <c:v>43668</c:v>
                </c:pt>
                <c:pt idx="145">
                  <c:v>43669</c:v>
                </c:pt>
                <c:pt idx="146">
                  <c:v>43670</c:v>
                </c:pt>
                <c:pt idx="147">
                  <c:v>43671</c:v>
                </c:pt>
                <c:pt idx="148">
                  <c:v>43672</c:v>
                </c:pt>
                <c:pt idx="149">
                  <c:v>43675</c:v>
                </c:pt>
                <c:pt idx="150">
                  <c:v>43676</c:v>
                </c:pt>
                <c:pt idx="151">
                  <c:v>43677</c:v>
                </c:pt>
                <c:pt idx="152">
                  <c:v>43678</c:v>
                </c:pt>
                <c:pt idx="153">
                  <c:v>43679</c:v>
                </c:pt>
                <c:pt idx="154">
                  <c:v>43682</c:v>
                </c:pt>
                <c:pt idx="155">
                  <c:v>43683</c:v>
                </c:pt>
                <c:pt idx="156">
                  <c:v>43684</c:v>
                </c:pt>
                <c:pt idx="157">
                  <c:v>43685</c:v>
                </c:pt>
                <c:pt idx="158">
                  <c:v>43686</c:v>
                </c:pt>
                <c:pt idx="159">
                  <c:v>43689</c:v>
                </c:pt>
                <c:pt idx="160">
                  <c:v>43690</c:v>
                </c:pt>
                <c:pt idx="161">
                  <c:v>43691</c:v>
                </c:pt>
                <c:pt idx="162">
                  <c:v>43692</c:v>
                </c:pt>
                <c:pt idx="163">
                  <c:v>43693</c:v>
                </c:pt>
                <c:pt idx="164">
                  <c:v>43696</c:v>
                </c:pt>
                <c:pt idx="165">
                  <c:v>43697</c:v>
                </c:pt>
                <c:pt idx="166">
                  <c:v>43698</c:v>
                </c:pt>
                <c:pt idx="167">
                  <c:v>43699</c:v>
                </c:pt>
                <c:pt idx="168">
                  <c:v>43700</c:v>
                </c:pt>
                <c:pt idx="169">
                  <c:v>43703</c:v>
                </c:pt>
                <c:pt idx="170">
                  <c:v>43704</c:v>
                </c:pt>
                <c:pt idx="171">
                  <c:v>43705</c:v>
                </c:pt>
                <c:pt idx="172">
                  <c:v>43706</c:v>
                </c:pt>
                <c:pt idx="173">
                  <c:v>43707</c:v>
                </c:pt>
                <c:pt idx="174">
                  <c:v>43710</c:v>
                </c:pt>
                <c:pt idx="175">
                  <c:v>43711</c:v>
                </c:pt>
                <c:pt idx="176">
                  <c:v>43712</c:v>
                </c:pt>
                <c:pt idx="177">
                  <c:v>43713</c:v>
                </c:pt>
                <c:pt idx="178">
                  <c:v>43714</c:v>
                </c:pt>
                <c:pt idx="179">
                  <c:v>43717</c:v>
                </c:pt>
                <c:pt idx="180">
                  <c:v>43718</c:v>
                </c:pt>
                <c:pt idx="181">
                  <c:v>43719</c:v>
                </c:pt>
                <c:pt idx="182">
                  <c:v>43720</c:v>
                </c:pt>
                <c:pt idx="183">
                  <c:v>43721</c:v>
                </c:pt>
                <c:pt idx="184">
                  <c:v>43724</c:v>
                </c:pt>
                <c:pt idx="185">
                  <c:v>43725</c:v>
                </c:pt>
                <c:pt idx="186">
                  <c:v>43726</c:v>
                </c:pt>
                <c:pt idx="187">
                  <c:v>43727</c:v>
                </c:pt>
                <c:pt idx="188">
                  <c:v>43728</c:v>
                </c:pt>
                <c:pt idx="189">
                  <c:v>43731</c:v>
                </c:pt>
                <c:pt idx="190">
                  <c:v>43732</c:v>
                </c:pt>
                <c:pt idx="191">
                  <c:v>43733</c:v>
                </c:pt>
                <c:pt idx="192">
                  <c:v>43734</c:v>
                </c:pt>
                <c:pt idx="193">
                  <c:v>43735</c:v>
                </c:pt>
                <c:pt idx="194">
                  <c:v>43738</c:v>
                </c:pt>
                <c:pt idx="195">
                  <c:v>43739</c:v>
                </c:pt>
                <c:pt idx="196">
                  <c:v>43740</c:v>
                </c:pt>
                <c:pt idx="197">
                  <c:v>43741</c:v>
                </c:pt>
                <c:pt idx="198">
                  <c:v>43742</c:v>
                </c:pt>
                <c:pt idx="199">
                  <c:v>43745</c:v>
                </c:pt>
                <c:pt idx="200">
                  <c:v>43746</c:v>
                </c:pt>
                <c:pt idx="201">
                  <c:v>43747</c:v>
                </c:pt>
                <c:pt idx="202">
                  <c:v>43748</c:v>
                </c:pt>
                <c:pt idx="203">
                  <c:v>43749</c:v>
                </c:pt>
                <c:pt idx="204">
                  <c:v>43752</c:v>
                </c:pt>
                <c:pt idx="205">
                  <c:v>43753</c:v>
                </c:pt>
                <c:pt idx="206">
                  <c:v>43754</c:v>
                </c:pt>
                <c:pt idx="207">
                  <c:v>43755</c:v>
                </c:pt>
                <c:pt idx="208">
                  <c:v>43756</c:v>
                </c:pt>
                <c:pt idx="209">
                  <c:v>43759</c:v>
                </c:pt>
                <c:pt idx="210">
                  <c:v>43760</c:v>
                </c:pt>
                <c:pt idx="211">
                  <c:v>43761</c:v>
                </c:pt>
                <c:pt idx="212">
                  <c:v>43762</c:v>
                </c:pt>
                <c:pt idx="213">
                  <c:v>43763</c:v>
                </c:pt>
                <c:pt idx="214">
                  <c:v>43766</c:v>
                </c:pt>
                <c:pt idx="215">
                  <c:v>43767</c:v>
                </c:pt>
                <c:pt idx="216">
                  <c:v>43768</c:v>
                </c:pt>
                <c:pt idx="217">
                  <c:v>43769</c:v>
                </c:pt>
                <c:pt idx="218">
                  <c:v>43770</c:v>
                </c:pt>
                <c:pt idx="219">
                  <c:v>43773</c:v>
                </c:pt>
                <c:pt idx="220">
                  <c:v>43774</c:v>
                </c:pt>
                <c:pt idx="221">
                  <c:v>43775</c:v>
                </c:pt>
                <c:pt idx="222">
                  <c:v>43776</c:v>
                </c:pt>
                <c:pt idx="223">
                  <c:v>43777</c:v>
                </c:pt>
                <c:pt idx="224">
                  <c:v>43780</c:v>
                </c:pt>
                <c:pt idx="225">
                  <c:v>43781</c:v>
                </c:pt>
                <c:pt idx="226">
                  <c:v>43782</c:v>
                </c:pt>
                <c:pt idx="227">
                  <c:v>43783</c:v>
                </c:pt>
                <c:pt idx="228">
                  <c:v>43784</c:v>
                </c:pt>
                <c:pt idx="229">
                  <c:v>43787</c:v>
                </c:pt>
                <c:pt idx="230">
                  <c:v>43788</c:v>
                </c:pt>
                <c:pt idx="231">
                  <c:v>43789</c:v>
                </c:pt>
                <c:pt idx="232">
                  <c:v>43790</c:v>
                </c:pt>
                <c:pt idx="233">
                  <c:v>43791</c:v>
                </c:pt>
                <c:pt idx="234">
                  <c:v>43794</c:v>
                </c:pt>
                <c:pt idx="235">
                  <c:v>43795</c:v>
                </c:pt>
                <c:pt idx="236">
                  <c:v>43796</c:v>
                </c:pt>
                <c:pt idx="237">
                  <c:v>43797</c:v>
                </c:pt>
                <c:pt idx="238">
                  <c:v>43798</c:v>
                </c:pt>
                <c:pt idx="239">
                  <c:v>43801</c:v>
                </c:pt>
                <c:pt idx="240">
                  <c:v>43802</c:v>
                </c:pt>
                <c:pt idx="241">
                  <c:v>43803</c:v>
                </c:pt>
                <c:pt idx="242">
                  <c:v>43804</c:v>
                </c:pt>
                <c:pt idx="243">
                  <c:v>43805</c:v>
                </c:pt>
                <c:pt idx="244">
                  <c:v>43808</c:v>
                </c:pt>
                <c:pt idx="245">
                  <c:v>43809</c:v>
                </c:pt>
                <c:pt idx="246">
                  <c:v>43810</c:v>
                </c:pt>
                <c:pt idx="247">
                  <c:v>43811</c:v>
                </c:pt>
                <c:pt idx="248">
                  <c:v>43812</c:v>
                </c:pt>
                <c:pt idx="249">
                  <c:v>43815</c:v>
                </c:pt>
                <c:pt idx="250">
                  <c:v>43816</c:v>
                </c:pt>
                <c:pt idx="251">
                  <c:v>43817</c:v>
                </c:pt>
                <c:pt idx="252">
                  <c:v>43818</c:v>
                </c:pt>
                <c:pt idx="253">
                  <c:v>43819</c:v>
                </c:pt>
                <c:pt idx="254">
                  <c:v>43822</c:v>
                </c:pt>
                <c:pt idx="255">
                  <c:v>43823</c:v>
                </c:pt>
                <c:pt idx="256">
                  <c:v>43824</c:v>
                </c:pt>
                <c:pt idx="257">
                  <c:v>43825</c:v>
                </c:pt>
                <c:pt idx="258">
                  <c:v>43826</c:v>
                </c:pt>
                <c:pt idx="259">
                  <c:v>43829</c:v>
                </c:pt>
                <c:pt idx="260">
                  <c:v>43830</c:v>
                </c:pt>
                <c:pt idx="261">
                  <c:v>43831</c:v>
                </c:pt>
                <c:pt idx="262">
                  <c:v>43832</c:v>
                </c:pt>
                <c:pt idx="263">
                  <c:v>43833</c:v>
                </c:pt>
                <c:pt idx="264">
                  <c:v>43836</c:v>
                </c:pt>
                <c:pt idx="265">
                  <c:v>43837</c:v>
                </c:pt>
                <c:pt idx="266">
                  <c:v>43838</c:v>
                </c:pt>
                <c:pt idx="267">
                  <c:v>43839</c:v>
                </c:pt>
                <c:pt idx="268">
                  <c:v>43840</c:v>
                </c:pt>
                <c:pt idx="269">
                  <c:v>43843</c:v>
                </c:pt>
                <c:pt idx="270">
                  <c:v>43844</c:v>
                </c:pt>
                <c:pt idx="271">
                  <c:v>43845</c:v>
                </c:pt>
                <c:pt idx="272">
                  <c:v>43846</c:v>
                </c:pt>
                <c:pt idx="273">
                  <c:v>43847</c:v>
                </c:pt>
                <c:pt idx="274">
                  <c:v>43850</c:v>
                </c:pt>
                <c:pt idx="275">
                  <c:v>43851</c:v>
                </c:pt>
                <c:pt idx="276">
                  <c:v>43852</c:v>
                </c:pt>
                <c:pt idx="277">
                  <c:v>43853</c:v>
                </c:pt>
                <c:pt idx="278">
                  <c:v>43854</c:v>
                </c:pt>
                <c:pt idx="279">
                  <c:v>43857</c:v>
                </c:pt>
                <c:pt idx="280">
                  <c:v>43858</c:v>
                </c:pt>
                <c:pt idx="281">
                  <c:v>43859</c:v>
                </c:pt>
                <c:pt idx="282">
                  <c:v>43860</c:v>
                </c:pt>
                <c:pt idx="283">
                  <c:v>43861</c:v>
                </c:pt>
                <c:pt idx="284">
                  <c:v>43864</c:v>
                </c:pt>
                <c:pt idx="285">
                  <c:v>43865</c:v>
                </c:pt>
                <c:pt idx="286">
                  <c:v>43866</c:v>
                </c:pt>
                <c:pt idx="287">
                  <c:v>43867</c:v>
                </c:pt>
                <c:pt idx="288">
                  <c:v>43868</c:v>
                </c:pt>
                <c:pt idx="289">
                  <c:v>43871</c:v>
                </c:pt>
                <c:pt idx="290">
                  <c:v>43872</c:v>
                </c:pt>
                <c:pt idx="291">
                  <c:v>43873</c:v>
                </c:pt>
                <c:pt idx="292">
                  <c:v>43874</c:v>
                </c:pt>
                <c:pt idx="293">
                  <c:v>43875</c:v>
                </c:pt>
                <c:pt idx="294">
                  <c:v>43878</c:v>
                </c:pt>
                <c:pt idx="295">
                  <c:v>43879</c:v>
                </c:pt>
                <c:pt idx="296">
                  <c:v>43880</c:v>
                </c:pt>
                <c:pt idx="297">
                  <c:v>43881</c:v>
                </c:pt>
                <c:pt idx="298">
                  <c:v>43882</c:v>
                </c:pt>
                <c:pt idx="299">
                  <c:v>43885</c:v>
                </c:pt>
                <c:pt idx="300">
                  <c:v>43886</c:v>
                </c:pt>
                <c:pt idx="301">
                  <c:v>43887</c:v>
                </c:pt>
                <c:pt idx="302">
                  <c:v>43888</c:v>
                </c:pt>
                <c:pt idx="303">
                  <c:v>43889</c:v>
                </c:pt>
                <c:pt idx="304">
                  <c:v>43892</c:v>
                </c:pt>
                <c:pt idx="305">
                  <c:v>43893</c:v>
                </c:pt>
                <c:pt idx="306">
                  <c:v>43894</c:v>
                </c:pt>
                <c:pt idx="307">
                  <c:v>43895</c:v>
                </c:pt>
                <c:pt idx="308">
                  <c:v>43896</c:v>
                </c:pt>
                <c:pt idx="309">
                  <c:v>43899</c:v>
                </c:pt>
                <c:pt idx="310">
                  <c:v>43900</c:v>
                </c:pt>
                <c:pt idx="311">
                  <c:v>43901</c:v>
                </c:pt>
                <c:pt idx="312">
                  <c:v>43902</c:v>
                </c:pt>
                <c:pt idx="313">
                  <c:v>43903</c:v>
                </c:pt>
                <c:pt idx="314">
                  <c:v>43906</c:v>
                </c:pt>
                <c:pt idx="315">
                  <c:v>43907</c:v>
                </c:pt>
                <c:pt idx="316">
                  <c:v>43908</c:v>
                </c:pt>
                <c:pt idx="317">
                  <c:v>43909</c:v>
                </c:pt>
                <c:pt idx="318">
                  <c:v>43910</c:v>
                </c:pt>
                <c:pt idx="319">
                  <c:v>43913</c:v>
                </c:pt>
                <c:pt idx="320">
                  <c:v>43914</c:v>
                </c:pt>
                <c:pt idx="321">
                  <c:v>43915</c:v>
                </c:pt>
                <c:pt idx="322">
                  <c:v>43916</c:v>
                </c:pt>
                <c:pt idx="323">
                  <c:v>43917</c:v>
                </c:pt>
                <c:pt idx="324">
                  <c:v>43920</c:v>
                </c:pt>
                <c:pt idx="325">
                  <c:v>43921</c:v>
                </c:pt>
                <c:pt idx="326">
                  <c:v>43922</c:v>
                </c:pt>
                <c:pt idx="327">
                  <c:v>43923</c:v>
                </c:pt>
                <c:pt idx="328">
                  <c:v>43924</c:v>
                </c:pt>
                <c:pt idx="329">
                  <c:v>43927</c:v>
                </c:pt>
                <c:pt idx="330">
                  <c:v>43928</c:v>
                </c:pt>
                <c:pt idx="331">
                  <c:v>43929</c:v>
                </c:pt>
                <c:pt idx="332">
                  <c:v>43930</c:v>
                </c:pt>
                <c:pt idx="333">
                  <c:v>43931</c:v>
                </c:pt>
                <c:pt idx="334">
                  <c:v>43934</c:v>
                </c:pt>
                <c:pt idx="335">
                  <c:v>43935</c:v>
                </c:pt>
                <c:pt idx="336">
                  <c:v>43936</c:v>
                </c:pt>
                <c:pt idx="337">
                  <c:v>43937</c:v>
                </c:pt>
                <c:pt idx="338">
                  <c:v>43938</c:v>
                </c:pt>
                <c:pt idx="339">
                  <c:v>43941</c:v>
                </c:pt>
                <c:pt idx="340">
                  <c:v>43942</c:v>
                </c:pt>
                <c:pt idx="341">
                  <c:v>43943</c:v>
                </c:pt>
                <c:pt idx="342">
                  <c:v>43944</c:v>
                </c:pt>
                <c:pt idx="343">
                  <c:v>43945</c:v>
                </c:pt>
                <c:pt idx="344">
                  <c:v>43948</c:v>
                </c:pt>
                <c:pt idx="345">
                  <c:v>43949</c:v>
                </c:pt>
                <c:pt idx="346">
                  <c:v>43950</c:v>
                </c:pt>
                <c:pt idx="347">
                  <c:v>43951</c:v>
                </c:pt>
                <c:pt idx="348">
                  <c:v>43952</c:v>
                </c:pt>
                <c:pt idx="349">
                  <c:v>43955</c:v>
                </c:pt>
                <c:pt idx="350">
                  <c:v>43956</c:v>
                </c:pt>
                <c:pt idx="351">
                  <c:v>43957</c:v>
                </c:pt>
                <c:pt idx="352">
                  <c:v>43958</c:v>
                </c:pt>
                <c:pt idx="353">
                  <c:v>43959</c:v>
                </c:pt>
                <c:pt idx="354">
                  <c:v>43962</c:v>
                </c:pt>
                <c:pt idx="355">
                  <c:v>43963</c:v>
                </c:pt>
                <c:pt idx="356">
                  <c:v>43964</c:v>
                </c:pt>
                <c:pt idx="357">
                  <c:v>43965</c:v>
                </c:pt>
                <c:pt idx="358">
                  <c:v>43966</c:v>
                </c:pt>
                <c:pt idx="359">
                  <c:v>43969</c:v>
                </c:pt>
                <c:pt idx="360">
                  <c:v>43970</c:v>
                </c:pt>
                <c:pt idx="361">
                  <c:v>43971</c:v>
                </c:pt>
                <c:pt idx="362">
                  <c:v>43972</c:v>
                </c:pt>
                <c:pt idx="363">
                  <c:v>43973</c:v>
                </c:pt>
                <c:pt idx="364">
                  <c:v>43976</c:v>
                </c:pt>
                <c:pt idx="365">
                  <c:v>43977</c:v>
                </c:pt>
                <c:pt idx="366">
                  <c:v>43978</c:v>
                </c:pt>
                <c:pt idx="367">
                  <c:v>43979</c:v>
                </c:pt>
                <c:pt idx="368">
                  <c:v>43980</c:v>
                </c:pt>
                <c:pt idx="369">
                  <c:v>43983</c:v>
                </c:pt>
                <c:pt idx="370">
                  <c:v>43984</c:v>
                </c:pt>
                <c:pt idx="371">
                  <c:v>43985</c:v>
                </c:pt>
                <c:pt idx="372">
                  <c:v>43986</c:v>
                </c:pt>
                <c:pt idx="373">
                  <c:v>43987</c:v>
                </c:pt>
                <c:pt idx="374">
                  <c:v>43990</c:v>
                </c:pt>
                <c:pt idx="375">
                  <c:v>43991</c:v>
                </c:pt>
                <c:pt idx="376">
                  <c:v>43992</c:v>
                </c:pt>
                <c:pt idx="377">
                  <c:v>43993</c:v>
                </c:pt>
                <c:pt idx="378">
                  <c:v>43994</c:v>
                </c:pt>
                <c:pt idx="379">
                  <c:v>43997</c:v>
                </c:pt>
                <c:pt idx="380">
                  <c:v>43998</c:v>
                </c:pt>
                <c:pt idx="381">
                  <c:v>43999</c:v>
                </c:pt>
                <c:pt idx="382">
                  <c:v>44000</c:v>
                </c:pt>
                <c:pt idx="383">
                  <c:v>44001</c:v>
                </c:pt>
                <c:pt idx="384">
                  <c:v>44004</c:v>
                </c:pt>
                <c:pt idx="385">
                  <c:v>44005</c:v>
                </c:pt>
                <c:pt idx="386">
                  <c:v>44006</c:v>
                </c:pt>
                <c:pt idx="387">
                  <c:v>44007</c:v>
                </c:pt>
                <c:pt idx="388">
                  <c:v>44008</c:v>
                </c:pt>
                <c:pt idx="389">
                  <c:v>44011</c:v>
                </c:pt>
                <c:pt idx="390">
                  <c:v>44012</c:v>
                </c:pt>
                <c:pt idx="391">
                  <c:v>44013</c:v>
                </c:pt>
                <c:pt idx="392">
                  <c:v>44014</c:v>
                </c:pt>
                <c:pt idx="393">
                  <c:v>44015</c:v>
                </c:pt>
                <c:pt idx="394">
                  <c:v>44018</c:v>
                </c:pt>
                <c:pt idx="395">
                  <c:v>44019</c:v>
                </c:pt>
                <c:pt idx="396">
                  <c:v>44020</c:v>
                </c:pt>
                <c:pt idx="397">
                  <c:v>44021</c:v>
                </c:pt>
                <c:pt idx="398">
                  <c:v>44022</c:v>
                </c:pt>
                <c:pt idx="399">
                  <c:v>44025</c:v>
                </c:pt>
                <c:pt idx="400">
                  <c:v>44026</c:v>
                </c:pt>
                <c:pt idx="401">
                  <c:v>44027</c:v>
                </c:pt>
                <c:pt idx="402">
                  <c:v>44028</c:v>
                </c:pt>
                <c:pt idx="403">
                  <c:v>44029</c:v>
                </c:pt>
                <c:pt idx="404">
                  <c:v>44032</c:v>
                </c:pt>
                <c:pt idx="405">
                  <c:v>44033</c:v>
                </c:pt>
                <c:pt idx="406">
                  <c:v>44034</c:v>
                </c:pt>
                <c:pt idx="407">
                  <c:v>44035</c:v>
                </c:pt>
                <c:pt idx="408">
                  <c:v>44036</c:v>
                </c:pt>
                <c:pt idx="409">
                  <c:v>44039</c:v>
                </c:pt>
                <c:pt idx="410">
                  <c:v>44040</c:v>
                </c:pt>
                <c:pt idx="411">
                  <c:v>44041</c:v>
                </c:pt>
                <c:pt idx="412">
                  <c:v>44042</c:v>
                </c:pt>
                <c:pt idx="413">
                  <c:v>44043</c:v>
                </c:pt>
                <c:pt idx="414">
                  <c:v>44046</c:v>
                </c:pt>
                <c:pt idx="415">
                  <c:v>44047</c:v>
                </c:pt>
                <c:pt idx="416">
                  <c:v>44048</c:v>
                </c:pt>
                <c:pt idx="417">
                  <c:v>44049</c:v>
                </c:pt>
                <c:pt idx="418">
                  <c:v>44050</c:v>
                </c:pt>
                <c:pt idx="419">
                  <c:v>44053</c:v>
                </c:pt>
                <c:pt idx="420">
                  <c:v>44054</c:v>
                </c:pt>
                <c:pt idx="421">
                  <c:v>44055</c:v>
                </c:pt>
                <c:pt idx="422">
                  <c:v>44056</c:v>
                </c:pt>
                <c:pt idx="423">
                  <c:v>44057</c:v>
                </c:pt>
                <c:pt idx="424">
                  <c:v>44060</c:v>
                </c:pt>
                <c:pt idx="425">
                  <c:v>44061</c:v>
                </c:pt>
                <c:pt idx="426">
                  <c:v>44062</c:v>
                </c:pt>
                <c:pt idx="427">
                  <c:v>44063</c:v>
                </c:pt>
                <c:pt idx="428">
                  <c:v>44064</c:v>
                </c:pt>
                <c:pt idx="429">
                  <c:v>44067</c:v>
                </c:pt>
                <c:pt idx="430">
                  <c:v>44068</c:v>
                </c:pt>
                <c:pt idx="431">
                  <c:v>44069</c:v>
                </c:pt>
                <c:pt idx="432">
                  <c:v>44070</c:v>
                </c:pt>
                <c:pt idx="433">
                  <c:v>44071</c:v>
                </c:pt>
                <c:pt idx="434">
                  <c:v>44074</c:v>
                </c:pt>
                <c:pt idx="435">
                  <c:v>44075</c:v>
                </c:pt>
                <c:pt idx="436">
                  <c:v>44076</c:v>
                </c:pt>
                <c:pt idx="437">
                  <c:v>44077</c:v>
                </c:pt>
                <c:pt idx="438">
                  <c:v>44078</c:v>
                </c:pt>
                <c:pt idx="439">
                  <c:v>44081</c:v>
                </c:pt>
                <c:pt idx="440">
                  <c:v>44082</c:v>
                </c:pt>
                <c:pt idx="441">
                  <c:v>44083</c:v>
                </c:pt>
                <c:pt idx="442">
                  <c:v>44084</c:v>
                </c:pt>
                <c:pt idx="443">
                  <c:v>44085</c:v>
                </c:pt>
                <c:pt idx="444">
                  <c:v>44088</c:v>
                </c:pt>
                <c:pt idx="445">
                  <c:v>44089</c:v>
                </c:pt>
                <c:pt idx="446">
                  <c:v>44090</c:v>
                </c:pt>
                <c:pt idx="447">
                  <c:v>44091</c:v>
                </c:pt>
                <c:pt idx="448">
                  <c:v>44092</c:v>
                </c:pt>
                <c:pt idx="449">
                  <c:v>44095</c:v>
                </c:pt>
                <c:pt idx="450">
                  <c:v>44096</c:v>
                </c:pt>
                <c:pt idx="451">
                  <c:v>44097</c:v>
                </c:pt>
                <c:pt idx="452">
                  <c:v>44098</c:v>
                </c:pt>
                <c:pt idx="453">
                  <c:v>44099</c:v>
                </c:pt>
                <c:pt idx="454">
                  <c:v>44102</c:v>
                </c:pt>
                <c:pt idx="455">
                  <c:v>44103</c:v>
                </c:pt>
                <c:pt idx="456">
                  <c:v>44104</c:v>
                </c:pt>
                <c:pt idx="457">
                  <c:v>44105</c:v>
                </c:pt>
                <c:pt idx="458">
                  <c:v>44106</c:v>
                </c:pt>
                <c:pt idx="459">
                  <c:v>44109</c:v>
                </c:pt>
                <c:pt idx="460">
                  <c:v>44110</c:v>
                </c:pt>
                <c:pt idx="461">
                  <c:v>44111</c:v>
                </c:pt>
                <c:pt idx="462">
                  <c:v>44112</c:v>
                </c:pt>
                <c:pt idx="463">
                  <c:v>44113</c:v>
                </c:pt>
                <c:pt idx="464">
                  <c:v>44116</c:v>
                </c:pt>
                <c:pt idx="465">
                  <c:v>44117</c:v>
                </c:pt>
                <c:pt idx="466">
                  <c:v>44118</c:v>
                </c:pt>
                <c:pt idx="467">
                  <c:v>44119</c:v>
                </c:pt>
                <c:pt idx="468">
                  <c:v>44120</c:v>
                </c:pt>
                <c:pt idx="469">
                  <c:v>44123</c:v>
                </c:pt>
                <c:pt idx="470">
                  <c:v>44124</c:v>
                </c:pt>
                <c:pt idx="471">
                  <c:v>44125</c:v>
                </c:pt>
                <c:pt idx="472">
                  <c:v>44126</c:v>
                </c:pt>
                <c:pt idx="473">
                  <c:v>44127</c:v>
                </c:pt>
                <c:pt idx="474">
                  <c:v>44130</c:v>
                </c:pt>
                <c:pt idx="475">
                  <c:v>44131</c:v>
                </c:pt>
                <c:pt idx="476">
                  <c:v>44132</c:v>
                </c:pt>
                <c:pt idx="477">
                  <c:v>44133</c:v>
                </c:pt>
                <c:pt idx="478">
                  <c:v>44134</c:v>
                </c:pt>
                <c:pt idx="479">
                  <c:v>44137</c:v>
                </c:pt>
                <c:pt idx="480">
                  <c:v>44138</c:v>
                </c:pt>
                <c:pt idx="481">
                  <c:v>44139</c:v>
                </c:pt>
                <c:pt idx="482">
                  <c:v>44140</c:v>
                </c:pt>
                <c:pt idx="483">
                  <c:v>44141</c:v>
                </c:pt>
                <c:pt idx="484">
                  <c:v>44144</c:v>
                </c:pt>
                <c:pt idx="485">
                  <c:v>44145</c:v>
                </c:pt>
                <c:pt idx="486">
                  <c:v>44146</c:v>
                </c:pt>
                <c:pt idx="487">
                  <c:v>44147</c:v>
                </c:pt>
                <c:pt idx="488">
                  <c:v>44148</c:v>
                </c:pt>
                <c:pt idx="489">
                  <c:v>44151</c:v>
                </c:pt>
                <c:pt idx="490">
                  <c:v>44152</c:v>
                </c:pt>
                <c:pt idx="491">
                  <c:v>44153</c:v>
                </c:pt>
                <c:pt idx="492">
                  <c:v>44154</c:v>
                </c:pt>
                <c:pt idx="493">
                  <c:v>44155</c:v>
                </c:pt>
                <c:pt idx="494">
                  <c:v>44158</c:v>
                </c:pt>
                <c:pt idx="495">
                  <c:v>44159</c:v>
                </c:pt>
                <c:pt idx="496">
                  <c:v>44160</c:v>
                </c:pt>
                <c:pt idx="497">
                  <c:v>44161</c:v>
                </c:pt>
                <c:pt idx="498">
                  <c:v>44162</c:v>
                </c:pt>
                <c:pt idx="499">
                  <c:v>44165</c:v>
                </c:pt>
                <c:pt idx="500">
                  <c:v>44166</c:v>
                </c:pt>
                <c:pt idx="501">
                  <c:v>44167</c:v>
                </c:pt>
                <c:pt idx="502">
                  <c:v>44168</c:v>
                </c:pt>
                <c:pt idx="503">
                  <c:v>44169</c:v>
                </c:pt>
                <c:pt idx="504">
                  <c:v>44172</c:v>
                </c:pt>
                <c:pt idx="505">
                  <c:v>44173</c:v>
                </c:pt>
                <c:pt idx="506">
                  <c:v>44174</c:v>
                </c:pt>
                <c:pt idx="507">
                  <c:v>44175</c:v>
                </c:pt>
                <c:pt idx="508">
                  <c:v>44176</c:v>
                </c:pt>
                <c:pt idx="509">
                  <c:v>44179</c:v>
                </c:pt>
                <c:pt idx="510">
                  <c:v>44180</c:v>
                </c:pt>
                <c:pt idx="511">
                  <c:v>44181</c:v>
                </c:pt>
                <c:pt idx="512">
                  <c:v>44182</c:v>
                </c:pt>
                <c:pt idx="513">
                  <c:v>44183</c:v>
                </c:pt>
                <c:pt idx="514">
                  <c:v>44186</c:v>
                </c:pt>
                <c:pt idx="515">
                  <c:v>44187</c:v>
                </c:pt>
                <c:pt idx="516">
                  <c:v>44188</c:v>
                </c:pt>
                <c:pt idx="517">
                  <c:v>44189</c:v>
                </c:pt>
                <c:pt idx="518">
                  <c:v>44190</c:v>
                </c:pt>
                <c:pt idx="519">
                  <c:v>44193</c:v>
                </c:pt>
                <c:pt idx="520">
                  <c:v>44194</c:v>
                </c:pt>
                <c:pt idx="521">
                  <c:v>44195</c:v>
                </c:pt>
                <c:pt idx="522">
                  <c:v>44196</c:v>
                </c:pt>
                <c:pt idx="523">
                  <c:v>44197</c:v>
                </c:pt>
                <c:pt idx="524">
                  <c:v>44200</c:v>
                </c:pt>
                <c:pt idx="525">
                  <c:v>44201</c:v>
                </c:pt>
                <c:pt idx="526">
                  <c:v>44202</c:v>
                </c:pt>
                <c:pt idx="527">
                  <c:v>44203</c:v>
                </c:pt>
                <c:pt idx="528">
                  <c:v>44204</c:v>
                </c:pt>
                <c:pt idx="529">
                  <c:v>44207</c:v>
                </c:pt>
                <c:pt idx="530">
                  <c:v>44208</c:v>
                </c:pt>
                <c:pt idx="531">
                  <c:v>44209</c:v>
                </c:pt>
                <c:pt idx="532">
                  <c:v>44210</c:v>
                </c:pt>
                <c:pt idx="533">
                  <c:v>44211</c:v>
                </c:pt>
                <c:pt idx="534">
                  <c:v>44214</c:v>
                </c:pt>
                <c:pt idx="535">
                  <c:v>44215</c:v>
                </c:pt>
                <c:pt idx="536">
                  <c:v>44216</c:v>
                </c:pt>
                <c:pt idx="537">
                  <c:v>44217</c:v>
                </c:pt>
                <c:pt idx="538">
                  <c:v>44218</c:v>
                </c:pt>
                <c:pt idx="539">
                  <c:v>44221</c:v>
                </c:pt>
                <c:pt idx="540">
                  <c:v>44222</c:v>
                </c:pt>
                <c:pt idx="541">
                  <c:v>44223</c:v>
                </c:pt>
                <c:pt idx="542">
                  <c:v>44224</c:v>
                </c:pt>
                <c:pt idx="543">
                  <c:v>44225</c:v>
                </c:pt>
                <c:pt idx="544">
                  <c:v>44228</c:v>
                </c:pt>
                <c:pt idx="545">
                  <c:v>44229</c:v>
                </c:pt>
                <c:pt idx="546">
                  <c:v>44230</c:v>
                </c:pt>
                <c:pt idx="547">
                  <c:v>44231</c:v>
                </c:pt>
                <c:pt idx="548">
                  <c:v>44232</c:v>
                </c:pt>
                <c:pt idx="549">
                  <c:v>44235</c:v>
                </c:pt>
                <c:pt idx="550">
                  <c:v>44236</c:v>
                </c:pt>
                <c:pt idx="551">
                  <c:v>44237</c:v>
                </c:pt>
                <c:pt idx="552">
                  <c:v>44238</c:v>
                </c:pt>
                <c:pt idx="553">
                  <c:v>44239</c:v>
                </c:pt>
                <c:pt idx="554">
                  <c:v>44242</c:v>
                </c:pt>
                <c:pt idx="555">
                  <c:v>44243</c:v>
                </c:pt>
                <c:pt idx="556">
                  <c:v>44244</c:v>
                </c:pt>
                <c:pt idx="557">
                  <c:v>44245</c:v>
                </c:pt>
                <c:pt idx="558">
                  <c:v>44246</c:v>
                </c:pt>
                <c:pt idx="559">
                  <c:v>44249</c:v>
                </c:pt>
                <c:pt idx="560">
                  <c:v>44250</c:v>
                </c:pt>
                <c:pt idx="561">
                  <c:v>44251</c:v>
                </c:pt>
                <c:pt idx="562">
                  <c:v>44252</c:v>
                </c:pt>
                <c:pt idx="563">
                  <c:v>44253</c:v>
                </c:pt>
                <c:pt idx="564">
                  <c:v>44256</c:v>
                </c:pt>
                <c:pt idx="565">
                  <c:v>44257</c:v>
                </c:pt>
                <c:pt idx="566">
                  <c:v>44258</c:v>
                </c:pt>
                <c:pt idx="567">
                  <c:v>44259</c:v>
                </c:pt>
                <c:pt idx="568">
                  <c:v>44260</c:v>
                </c:pt>
                <c:pt idx="569">
                  <c:v>44263</c:v>
                </c:pt>
                <c:pt idx="570">
                  <c:v>44264</c:v>
                </c:pt>
                <c:pt idx="571">
                  <c:v>44265</c:v>
                </c:pt>
                <c:pt idx="572">
                  <c:v>44266</c:v>
                </c:pt>
                <c:pt idx="573">
                  <c:v>44267</c:v>
                </c:pt>
                <c:pt idx="574">
                  <c:v>44270</c:v>
                </c:pt>
                <c:pt idx="575">
                  <c:v>44271</c:v>
                </c:pt>
                <c:pt idx="576">
                  <c:v>44272</c:v>
                </c:pt>
                <c:pt idx="577">
                  <c:v>44273</c:v>
                </c:pt>
                <c:pt idx="578">
                  <c:v>44274</c:v>
                </c:pt>
                <c:pt idx="579">
                  <c:v>44277</c:v>
                </c:pt>
                <c:pt idx="580">
                  <c:v>44278</c:v>
                </c:pt>
                <c:pt idx="581">
                  <c:v>44279</c:v>
                </c:pt>
                <c:pt idx="582">
                  <c:v>44280</c:v>
                </c:pt>
                <c:pt idx="583">
                  <c:v>44281</c:v>
                </c:pt>
                <c:pt idx="584">
                  <c:v>44284</c:v>
                </c:pt>
                <c:pt idx="585">
                  <c:v>44285</c:v>
                </c:pt>
                <c:pt idx="586">
                  <c:v>44286</c:v>
                </c:pt>
                <c:pt idx="587">
                  <c:v>44287</c:v>
                </c:pt>
                <c:pt idx="588">
                  <c:v>44288</c:v>
                </c:pt>
                <c:pt idx="589">
                  <c:v>44291</c:v>
                </c:pt>
                <c:pt idx="590">
                  <c:v>44292</c:v>
                </c:pt>
                <c:pt idx="591">
                  <c:v>44293</c:v>
                </c:pt>
                <c:pt idx="592">
                  <c:v>44294</c:v>
                </c:pt>
                <c:pt idx="593">
                  <c:v>44295</c:v>
                </c:pt>
                <c:pt idx="594">
                  <c:v>44298</c:v>
                </c:pt>
                <c:pt idx="595">
                  <c:v>44299</c:v>
                </c:pt>
                <c:pt idx="596">
                  <c:v>44300</c:v>
                </c:pt>
                <c:pt idx="597">
                  <c:v>44301</c:v>
                </c:pt>
                <c:pt idx="598">
                  <c:v>44302</c:v>
                </c:pt>
                <c:pt idx="599">
                  <c:v>44305</c:v>
                </c:pt>
                <c:pt idx="600">
                  <c:v>44306</c:v>
                </c:pt>
                <c:pt idx="601">
                  <c:v>44307</c:v>
                </c:pt>
                <c:pt idx="602">
                  <c:v>44308</c:v>
                </c:pt>
                <c:pt idx="603">
                  <c:v>44309</c:v>
                </c:pt>
                <c:pt idx="604">
                  <c:v>44312</c:v>
                </c:pt>
                <c:pt idx="605">
                  <c:v>44313</c:v>
                </c:pt>
                <c:pt idx="606">
                  <c:v>44314</c:v>
                </c:pt>
                <c:pt idx="607">
                  <c:v>44315</c:v>
                </c:pt>
                <c:pt idx="608">
                  <c:v>44316</c:v>
                </c:pt>
                <c:pt idx="609">
                  <c:v>44319</c:v>
                </c:pt>
                <c:pt idx="610">
                  <c:v>44320</c:v>
                </c:pt>
                <c:pt idx="611">
                  <c:v>44321</c:v>
                </c:pt>
                <c:pt idx="612">
                  <c:v>44322</c:v>
                </c:pt>
                <c:pt idx="613">
                  <c:v>44323</c:v>
                </c:pt>
                <c:pt idx="614">
                  <c:v>44326</c:v>
                </c:pt>
                <c:pt idx="615">
                  <c:v>44327</c:v>
                </c:pt>
                <c:pt idx="616">
                  <c:v>44328</c:v>
                </c:pt>
                <c:pt idx="617">
                  <c:v>44329</c:v>
                </c:pt>
                <c:pt idx="618">
                  <c:v>44330</c:v>
                </c:pt>
                <c:pt idx="619">
                  <c:v>44333</c:v>
                </c:pt>
                <c:pt idx="620">
                  <c:v>44334</c:v>
                </c:pt>
                <c:pt idx="621">
                  <c:v>44335</c:v>
                </c:pt>
                <c:pt idx="622">
                  <c:v>44336</c:v>
                </c:pt>
                <c:pt idx="623">
                  <c:v>44337</c:v>
                </c:pt>
              </c:numCache>
            </c:numRef>
          </c:cat>
          <c:val>
            <c:numRef>
              <c:f>Sheet1!$B$2:$B$625</c:f>
              <c:numCache>
                <c:formatCode>0</c:formatCode>
                <c:ptCount val="624"/>
                <c:pt idx="0">
                  <c:v>349.47500000000002</c:v>
                </c:pt>
                <c:pt idx="1">
                  <c:v>352.94799999999998</c:v>
                </c:pt>
                <c:pt idx="2">
                  <c:v>360.71100000000001</c:v>
                </c:pt>
                <c:pt idx="3">
                  <c:v>346.64499999999998</c:v>
                </c:pt>
                <c:pt idx="4">
                  <c:v>333.41800000000001</c:v>
                </c:pt>
                <c:pt idx="5">
                  <c:v>327.08300000000003</c:v>
                </c:pt>
                <c:pt idx="6">
                  <c:v>328.05900000000003</c:v>
                </c:pt>
                <c:pt idx="7">
                  <c:v>327.00799999999998</c:v>
                </c:pt>
                <c:pt idx="8">
                  <c:v>328.87900000000002</c:v>
                </c:pt>
                <c:pt idx="9">
                  <c:v>327.29500000000002</c:v>
                </c:pt>
                <c:pt idx="10">
                  <c:v>323.40800000000002</c:v>
                </c:pt>
                <c:pt idx="11">
                  <c:v>317.42200000000003</c:v>
                </c:pt>
                <c:pt idx="12">
                  <c:v>312.34699999999998</c:v>
                </c:pt>
                <c:pt idx="13">
                  <c:v>284.11</c:v>
                </c:pt>
                <c:pt idx="14">
                  <c:v>288.69499999999999</c:v>
                </c:pt>
                <c:pt idx="15">
                  <c:v>285.29399999999998</c:v>
                </c:pt>
                <c:pt idx="16">
                  <c:v>284.07600000000002</c:v>
                </c:pt>
                <c:pt idx="17">
                  <c:v>279.541</c:v>
                </c:pt>
                <c:pt idx="18">
                  <c:v>280.17700000000002</c:v>
                </c:pt>
                <c:pt idx="19">
                  <c:v>285.596</c:v>
                </c:pt>
                <c:pt idx="20">
                  <c:v>292.20100000000002</c:v>
                </c:pt>
                <c:pt idx="21">
                  <c:v>295.45499999999998</c:v>
                </c:pt>
                <c:pt idx="22">
                  <c:v>291.26400000000001</c:v>
                </c:pt>
                <c:pt idx="23">
                  <c:v>284.47000000000003</c:v>
                </c:pt>
                <c:pt idx="24">
                  <c:v>281.05799999999999</c:v>
                </c:pt>
                <c:pt idx="25">
                  <c:v>272.69</c:v>
                </c:pt>
                <c:pt idx="26">
                  <c:v>274.69900000000001</c:v>
                </c:pt>
                <c:pt idx="27">
                  <c:v>274.39999999999998</c:v>
                </c:pt>
                <c:pt idx="28">
                  <c:v>277.911</c:v>
                </c:pt>
                <c:pt idx="29">
                  <c:v>277.22300000000001</c:v>
                </c:pt>
                <c:pt idx="30">
                  <c:v>271.29500000000002</c:v>
                </c:pt>
                <c:pt idx="31">
                  <c:v>264.51299999999998</c:v>
                </c:pt>
                <c:pt idx="32">
                  <c:v>269.43</c:v>
                </c:pt>
                <c:pt idx="33">
                  <c:v>268.61900000000003</c:v>
                </c:pt>
                <c:pt idx="34">
                  <c:v>268.214</c:v>
                </c:pt>
                <c:pt idx="35">
                  <c:v>268.15199999999999</c:v>
                </c:pt>
                <c:pt idx="36">
                  <c:v>265.80200000000002</c:v>
                </c:pt>
                <c:pt idx="37">
                  <c:v>266.00299999999999</c:v>
                </c:pt>
                <c:pt idx="38">
                  <c:v>267.53199999999998</c:v>
                </c:pt>
                <c:pt idx="39">
                  <c:v>265.25</c:v>
                </c:pt>
                <c:pt idx="40">
                  <c:v>267.57799999999997</c:v>
                </c:pt>
                <c:pt idx="41">
                  <c:v>257.74599999999998</c:v>
                </c:pt>
                <c:pt idx="42">
                  <c:v>251.11</c:v>
                </c:pt>
                <c:pt idx="43">
                  <c:v>250.22499999999999</c:v>
                </c:pt>
                <c:pt idx="44">
                  <c:v>251.34700000000001</c:v>
                </c:pt>
                <c:pt idx="45">
                  <c:v>253.07</c:v>
                </c:pt>
                <c:pt idx="46">
                  <c:v>253.52</c:v>
                </c:pt>
                <c:pt idx="47">
                  <c:v>255.77099999999999</c:v>
                </c:pt>
                <c:pt idx="48">
                  <c:v>254.97800000000001</c:v>
                </c:pt>
                <c:pt idx="49">
                  <c:v>253.73599999999999</c:v>
                </c:pt>
                <c:pt idx="50">
                  <c:v>255.499</c:v>
                </c:pt>
                <c:pt idx="51">
                  <c:v>254.63200000000001</c:v>
                </c:pt>
                <c:pt idx="52">
                  <c:v>255.214</c:v>
                </c:pt>
                <c:pt idx="53">
                  <c:v>256.41399999999999</c:v>
                </c:pt>
                <c:pt idx="54">
                  <c:v>254.30799999999999</c:v>
                </c:pt>
                <c:pt idx="55">
                  <c:v>257.048</c:v>
                </c:pt>
                <c:pt idx="56">
                  <c:v>262.00799999999998</c:v>
                </c:pt>
                <c:pt idx="57">
                  <c:v>255.96799999999999</c:v>
                </c:pt>
                <c:pt idx="58">
                  <c:v>264.55500000000001</c:v>
                </c:pt>
                <c:pt idx="59">
                  <c:v>269.7</c:v>
                </c:pt>
                <c:pt idx="60">
                  <c:v>268.01100000000002</c:v>
                </c:pt>
                <c:pt idx="61">
                  <c:v>273.04000000000002</c:v>
                </c:pt>
                <c:pt idx="62">
                  <c:v>270.59699999999998</c:v>
                </c:pt>
                <c:pt idx="63">
                  <c:v>261.90100000000001</c:v>
                </c:pt>
                <c:pt idx="64">
                  <c:v>251.36500000000001</c:v>
                </c:pt>
                <c:pt idx="65">
                  <c:v>255.54</c:v>
                </c:pt>
                <c:pt idx="66">
                  <c:v>253.035</c:v>
                </c:pt>
                <c:pt idx="67">
                  <c:v>253.166</c:v>
                </c:pt>
                <c:pt idx="68">
                  <c:v>254.38</c:v>
                </c:pt>
                <c:pt idx="69">
                  <c:v>251.375</c:v>
                </c:pt>
                <c:pt idx="70">
                  <c:v>252.429</c:v>
                </c:pt>
                <c:pt idx="71">
                  <c:v>257.97300000000001</c:v>
                </c:pt>
                <c:pt idx="72">
                  <c:v>255.78800000000001</c:v>
                </c:pt>
                <c:pt idx="73">
                  <c:v>249.745</c:v>
                </c:pt>
                <c:pt idx="74">
                  <c:v>247.036</c:v>
                </c:pt>
                <c:pt idx="75">
                  <c:v>244.05500000000001</c:v>
                </c:pt>
                <c:pt idx="76">
                  <c:v>242.33600000000001</c:v>
                </c:pt>
                <c:pt idx="77">
                  <c:v>247.244</c:v>
                </c:pt>
                <c:pt idx="78">
                  <c:v>247.244</c:v>
                </c:pt>
                <c:pt idx="79">
                  <c:v>245.321</c:v>
                </c:pt>
                <c:pt idx="80">
                  <c:v>246.20400000000001</c:v>
                </c:pt>
                <c:pt idx="81">
                  <c:v>250.18199999999999</c:v>
                </c:pt>
                <c:pt idx="82">
                  <c:v>248.32400000000001</c:v>
                </c:pt>
                <c:pt idx="83">
                  <c:v>252.935</c:v>
                </c:pt>
                <c:pt idx="84">
                  <c:v>248.447</c:v>
                </c:pt>
                <c:pt idx="85">
                  <c:v>249.13300000000001</c:v>
                </c:pt>
                <c:pt idx="86">
                  <c:v>245.702</c:v>
                </c:pt>
                <c:pt idx="87">
                  <c:v>240.01599999999999</c:v>
                </c:pt>
                <c:pt idx="88">
                  <c:v>240.239</c:v>
                </c:pt>
                <c:pt idx="89">
                  <c:v>243.018</c:v>
                </c:pt>
                <c:pt idx="90">
                  <c:v>246.096</c:v>
                </c:pt>
                <c:pt idx="91">
                  <c:v>240.44200000000001</c:v>
                </c:pt>
                <c:pt idx="92">
                  <c:v>246.167</c:v>
                </c:pt>
                <c:pt idx="93">
                  <c:v>239.13399999999999</c:v>
                </c:pt>
                <c:pt idx="94">
                  <c:v>250.78</c:v>
                </c:pt>
                <c:pt idx="95">
                  <c:v>245.28299999999999</c:v>
                </c:pt>
                <c:pt idx="96">
                  <c:v>248.61199999999999</c:v>
                </c:pt>
                <c:pt idx="97">
                  <c:v>240.10599999999999</c:v>
                </c:pt>
                <c:pt idx="98">
                  <c:v>240.28</c:v>
                </c:pt>
                <c:pt idx="99">
                  <c:v>236.18100000000001</c:v>
                </c:pt>
                <c:pt idx="100">
                  <c:v>233.351</c:v>
                </c:pt>
                <c:pt idx="101">
                  <c:v>236.441</c:v>
                </c:pt>
                <c:pt idx="102">
                  <c:v>244.11799999999999</c:v>
                </c:pt>
                <c:pt idx="103">
                  <c:v>242.44499999999999</c:v>
                </c:pt>
                <c:pt idx="104">
                  <c:v>245.92099999999999</c:v>
                </c:pt>
                <c:pt idx="105">
                  <c:v>245.84800000000001</c:v>
                </c:pt>
                <c:pt idx="106">
                  <c:v>245.02099999999999</c:v>
                </c:pt>
                <c:pt idx="107">
                  <c:v>246.56</c:v>
                </c:pt>
                <c:pt idx="108">
                  <c:v>257.137</c:v>
                </c:pt>
                <c:pt idx="109">
                  <c:v>269.28800000000001</c:v>
                </c:pt>
                <c:pt idx="110">
                  <c:v>258.68299999999999</c:v>
                </c:pt>
                <c:pt idx="111">
                  <c:v>255.99299999999999</c:v>
                </c:pt>
                <c:pt idx="112">
                  <c:v>254.43100000000001</c:v>
                </c:pt>
                <c:pt idx="113">
                  <c:v>253.54599999999999</c:v>
                </c:pt>
                <c:pt idx="114">
                  <c:v>248.25200000000001</c:v>
                </c:pt>
                <c:pt idx="115">
                  <c:v>249.374</c:v>
                </c:pt>
                <c:pt idx="116">
                  <c:v>255.46600000000001</c:v>
                </c:pt>
                <c:pt idx="117">
                  <c:v>259.90199999999999</c:v>
                </c:pt>
                <c:pt idx="118">
                  <c:v>259.697</c:v>
                </c:pt>
                <c:pt idx="119">
                  <c:v>249.31100000000001</c:v>
                </c:pt>
                <c:pt idx="120">
                  <c:v>246.73099999999999</c:v>
                </c:pt>
                <c:pt idx="121">
                  <c:v>249.767</c:v>
                </c:pt>
                <c:pt idx="122">
                  <c:v>234.29499999999999</c:v>
                </c:pt>
                <c:pt idx="123">
                  <c:v>243.559</c:v>
                </c:pt>
                <c:pt idx="124">
                  <c:v>242.59200000000001</c:v>
                </c:pt>
                <c:pt idx="125">
                  <c:v>242.964</c:v>
                </c:pt>
                <c:pt idx="126">
                  <c:v>232.833</c:v>
                </c:pt>
                <c:pt idx="127">
                  <c:v>234.86500000000001</c:v>
                </c:pt>
                <c:pt idx="128">
                  <c:v>231.083</c:v>
                </c:pt>
                <c:pt idx="129">
                  <c:v>221.816</c:v>
                </c:pt>
                <c:pt idx="130">
                  <c:v>227.14</c:v>
                </c:pt>
                <c:pt idx="131">
                  <c:v>227.93799999999999</c:v>
                </c:pt>
                <c:pt idx="132">
                  <c:v>229.422</c:v>
                </c:pt>
                <c:pt idx="133">
                  <c:v>221.08600000000001</c:v>
                </c:pt>
                <c:pt idx="134">
                  <c:v>221.709</c:v>
                </c:pt>
                <c:pt idx="135">
                  <c:v>218.86500000000001</c:v>
                </c:pt>
                <c:pt idx="136">
                  <c:v>218.95400000000001</c:v>
                </c:pt>
                <c:pt idx="137">
                  <c:v>212.48599999999999</c:v>
                </c:pt>
                <c:pt idx="138">
                  <c:v>215.98699999999999</c:v>
                </c:pt>
                <c:pt idx="139">
                  <c:v>218.90700000000001</c:v>
                </c:pt>
                <c:pt idx="140">
                  <c:v>217.34800000000001</c:v>
                </c:pt>
                <c:pt idx="141">
                  <c:v>221.732</c:v>
                </c:pt>
                <c:pt idx="142">
                  <c:v>223.006</c:v>
                </c:pt>
                <c:pt idx="143">
                  <c:v>218.78</c:v>
                </c:pt>
                <c:pt idx="144">
                  <c:v>216.58699999999999</c:v>
                </c:pt>
                <c:pt idx="145">
                  <c:v>213.65600000000001</c:v>
                </c:pt>
                <c:pt idx="146">
                  <c:v>215.03200000000001</c:v>
                </c:pt>
                <c:pt idx="147">
                  <c:v>211.107</c:v>
                </c:pt>
                <c:pt idx="148">
                  <c:v>211.27500000000001</c:v>
                </c:pt>
                <c:pt idx="149">
                  <c:v>212.96600000000001</c:v>
                </c:pt>
                <c:pt idx="150">
                  <c:v>214.77099999999999</c:v>
                </c:pt>
                <c:pt idx="151">
                  <c:v>217.23500000000001</c:v>
                </c:pt>
                <c:pt idx="152">
                  <c:v>235.572</c:v>
                </c:pt>
                <c:pt idx="153">
                  <c:v>237.85</c:v>
                </c:pt>
                <c:pt idx="154">
                  <c:v>261.81799999999998</c:v>
                </c:pt>
                <c:pt idx="155">
                  <c:v>260.96800000000002</c:v>
                </c:pt>
                <c:pt idx="156">
                  <c:v>258.53100000000001</c:v>
                </c:pt>
                <c:pt idx="157">
                  <c:v>254.566</c:v>
                </c:pt>
                <c:pt idx="158">
                  <c:v>249.92</c:v>
                </c:pt>
                <c:pt idx="159">
                  <c:v>259.60300000000001</c:v>
                </c:pt>
                <c:pt idx="160">
                  <c:v>252.15199999999999</c:v>
                </c:pt>
                <c:pt idx="161">
                  <c:v>262.06200000000001</c:v>
                </c:pt>
                <c:pt idx="162">
                  <c:v>270.98099999999999</c:v>
                </c:pt>
                <c:pt idx="163">
                  <c:v>267.11700000000002</c:v>
                </c:pt>
                <c:pt idx="164">
                  <c:v>267.70999999999998</c:v>
                </c:pt>
                <c:pt idx="165">
                  <c:v>269.221</c:v>
                </c:pt>
                <c:pt idx="166">
                  <c:v>264.26900000000001</c:v>
                </c:pt>
                <c:pt idx="167">
                  <c:v>260.98899999999998</c:v>
                </c:pt>
                <c:pt idx="168">
                  <c:v>268.72399999999999</c:v>
                </c:pt>
                <c:pt idx="169">
                  <c:v>269.28500000000003</c:v>
                </c:pt>
                <c:pt idx="170">
                  <c:v>272.11900000000003</c:v>
                </c:pt>
                <c:pt idx="171">
                  <c:v>271.85899999999998</c:v>
                </c:pt>
                <c:pt idx="172">
                  <c:v>272.75400000000002</c:v>
                </c:pt>
                <c:pt idx="173">
                  <c:v>269</c:v>
                </c:pt>
                <c:pt idx="174">
                  <c:v>270.40600000000001</c:v>
                </c:pt>
                <c:pt idx="175">
                  <c:v>274.291</c:v>
                </c:pt>
                <c:pt idx="176">
                  <c:v>273.41199999999998</c:v>
                </c:pt>
                <c:pt idx="177">
                  <c:v>261.69499999999999</c:v>
                </c:pt>
                <c:pt idx="178">
                  <c:v>259.91699999999997</c:v>
                </c:pt>
                <c:pt idx="179">
                  <c:v>253.935</c:v>
                </c:pt>
                <c:pt idx="180">
                  <c:v>245.29900000000001</c:v>
                </c:pt>
                <c:pt idx="181">
                  <c:v>245.154</c:v>
                </c:pt>
                <c:pt idx="182">
                  <c:v>239.91399999999999</c:v>
                </c:pt>
                <c:pt idx="183">
                  <c:v>231.126</c:v>
                </c:pt>
                <c:pt idx="184">
                  <c:v>232.76499999999999</c:v>
                </c:pt>
                <c:pt idx="185">
                  <c:v>236.17599999999999</c:v>
                </c:pt>
                <c:pt idx="186">
                  <c:v>236.648</c:v>
                </c:pt>
                <c:pt idx="187">
                  <c:v>231.07400000000001</c:v>
                </c:pt>
                <c:pt idx="188">
                  <c:v>224.596</c:v>
                </c:pt>
                <c:pt idx="189">
                  <c:v>222.35499999999999</c:v>
                </c:pt>
                <c:pt idx="190">
                  <c:v>222.495</c:v>
                </c:pt>
                <c:pt idx="191">
                  <c:v>222.083</c:v>
                </c:pt>
                <c:pt idx="192">
                  <c:v>220.89</c:v>
                </c:pt>
                <c:pt idx="193">
                  <c:v>222.84399999999999</c:v>
                </c:pt>
                <c:pt idx="194">
                  <c:v>223.047</c:v>
                </c:pt>
                <c:pt idx="195">
                  <c:v>232.994</c:v>
                </c:pt>
                <c:pt idx="196">
                  <c:v>237.73699999999999</c:v>
                </c:pt>
                <c:pt idx="197">
                  <c:v>246.542</c:v>
                </c:pt>
                <c:pt idx="198">
                  <c:v>242.08699999999999</c:v>
                </c:pt>
                <c:pt idx="199">
                  <c:v>238.92099999999999</c:v>
                </c:pt>
                <c:pt idx="200">
                  <c:v>243.477</c:v>
                </c:pt>
                <c:pt idx="201">
                  <c:v>240.05699999999999</c:v>
                </c:pt>
                <c:pt idx="202">
                  <c:v>232.08099999999999</c:v>
                </c:pt>
                <c:pt idx="203">
                  <c:v>223.55099999999999</c:v>
                </c:pt>
                <c:pt idx="204">
                  <c:v>224.25299999999999</c:v>
                </c:pt>
                <c:pt idx="205">
                  <c:v>215.035</c:v>
                </c:pt>
                <c:pt idx="206">
                  <c:v>218.43299999999999</c:v>
                </c:pt>
                <c:pt idx="207">
                  <c:v>217.41399999999999</c:v>
                </c:pt>
                <c:pt idx="208">
                  <c:v>216.53299999999999</c:v>
                </c:pt>
                <c:pt idx="209">
                  <c:v>213.95699999999999</c:v>
                </c:pt>
                <c:pt idx="210">
                  <c:v>217.804</c:v>
                </c:pt>
                <c:pt idx="211">
                  <c:v>214.989</c:v>
                </c:pt>
                <c:pt idx="212">
                  <c:v>215.54300000000001</c:v>
                </c:pt>
                <c:pt idx="213">
                  <c:v>211.44900000000001</c:v>
                </c:pt>
                <c:pt idx="214">
                  <c:v>210.78299999999999</c:v>
                </c:pt>
                <c:pt idx="215">
                  <c:v>208.096</c:v>
                </c:pt>
                <c:pt idx="216">
                  <c:v>213.52600000000001</c:v>
                </c:pt>
                <c:pt idx="217">
                  <c:v>221.202</c:v>
                </c:pt>
                <c:pt idx="218">
                  <c:v>217.607</c:v>
                </c:pt>
                <c:pt idx="219">
                  <c:v>211.15299999999999</c:v>
                </c:pt>
                <c:pt idx="220">
                  <c:v>205.03299999999999</c:v>
                </c:pt>
                <c:pt idx="221">
                  <c:v>210.34299999999999</c:v>
                </c:pt>
                <c:pt idx="222">
                  <c:v>199.965</c:v>
                </c:pt>
                <c:pt idx="223">
                  <c:v>197.458</c:v>
                </c:pt>
                <c:pt idx="224">
                  <c:v>202.96600000000001</c:v>
                </c:pt>
                <c:pt idx="225">
                  <c:v>206.67400000000001</c:v>
                </c:pt>
                <c:pt idx="226">
                  <c:v>207.553</c:v>
                </c:pt>
                <c:pt idx="227">
                  <c:v>206.90100000000001</c:v>
                </c:pt>
                <c:pt idx="228">
                  <c:v>204.25800000000001</c:v>
                </c:pt>
                <c:pt idx="229">
                  <c:v>205.42099999999999</c:v>
                </c:pt>
                <c:pt idx="230">
                  <c:v>209.19200000000001</c:v>
                </c:pt>
                <c:pt idx="231">
                  <c:v>212.11</c:v>
                </c:pt>
                <c:pt idx="232">
                  <c:v>209.578</c:v>
                </c:pt>
                <c:pt idx="233">
                  <c:v>209.81899999999999</c:v>
                </c:pt>
                <c:pt idx="234">
                  <c:v>208.119</c:v>
                </c:pt>
                <c:pt idx="235">
                  <c:v>208.64400000000001</c:v>
                </c:pt>
                <c:pt idx="236">
                  <c:v>203.96100000000001</c:v>
                </c:pt>
                <c:pt idx="237">
                  <c:v>208.065</c:v>
                </c:pt>
                <c:pt idx="238">
                  <c:v>202.946</c:v>
                </c:pt>
                <c:pt idx="239">
                  <c:v>203.149</c:v>
                </c:pt>
                <c:pt idx="240">
                  <c:v>211.66900000000001</c:v>
                </c:pt>
                <c:pt idx="241">
                  <c:v>204.584</c:v>
                </c:pt>
                <c:pt idx="242">
                  <c:v>200.703</c:v>
                </c:pt>
                <c:pt idx="243">
                  <c:v>196.38300000000001</c:v>
                </c:pt>
                <c:pt idx="244">
                  <c:v>195.553</c:v>
                </c:pt>
                <c:pt idx="245">
                  <c:v>195.113</c:v>
                </c:pt>
                <c:pt idx="246">
                  <c:v>198.83199999999999</c:v>
                </c:pt>
                <c:pt idx="247">
                  <c:v>186.376</c:v>
                </c:pt>
                <c:pt idx="248">
                  <c:v>194.458</c:v>
                </c:pt>
                <c:pt idx="249">
                  <c:v>187.04599999999999</c:v>
                </c:pt>
                <c:pt idx="250">
                  <c:v>180.46600000000001</c:v>
                </c:pt>
                <c:pt idx="251">
                  <c:v>180.203</c:v>
                </c:pt>
                <c:pt idx="252">
                  <c:v>177.66200000000001</c:v>
                </c:pt>
                <c:pt idx="253">
                  <c:v>176.982</c:v>
                </c:pt>
                <c:pt idx="254">
                  <c:v>172.048</c:v>
                </c:pt>
                <c:pt idx="255">
                  <c:v>173.309</c:v>
                </c:pt>
                <c:pt idx="256">
                  <c:v>173.309</c:v>
                </c:pt>
                <c:pt idx="257">
                  <c:v>173.309</c:v>
                </c:pt>
                <c:pt idx="258">
                  <c:v>175.804</c:v>
                </c:pt>
                <c:pt idx="259">
                  <c:v>173.416</c:v>
                </c:pt>
                <c:pt idx="260">
                  <c:v>169.86699999999999</c:v>
                </c:pt>
                <c:pt idx="261">
                  <c:v>169.86699999999999</c:v>
                </c:pt>
                <c:pt idx="262">
                  <c:v>174.434</c:v>
                </c:pt>
                <c:pt idx="263">
                  <c:v>182.50399999999999</c:v>
                </c:pt>
                <c:pt idx="264">
                  <c:v>184.16300000000001</c:v>
                </c:pt>
                <c:pt idx="265">
                  <c:v>184.577</c:v>
                </c:pt>
                <c:pt idx="266">
                  <c:v>168.9</c:v>
                </c:pt>
                <c:pt idx="267">
                  <c:v>169.214</c:v>
                </c:pt>
                <c:pt idx="268">
                  <c:v>162.48500000000001</c:v>
                </c:pt>
                <c:pt idx="269">
                  <c:v>162.989</c:v>
                </c:pt>
                <c:pt idx="270">
                  <c:v>160.15899999999999</c:v>
                </c:pt>
                <c:pt idx="271">
                  <c:v>159.863</c:v>
                </c:pt>
                <c:pt idx="272">
                  <c:v>157.845</c:v>
                </c:pt>
                <c:pt idx="273">
                  <c:v>157.14400000000001</c:v>
                </c:pt>
                <c:pt idx="274">
                  <c:v>158.321</c:v>
                </c:pt>
                <c:pt idx="275">
                  <c:v>162.48099999999999</c:v>
                </c:pt>
                <c:pt idx="276">
                  <c:v>162.316</c:v>
                </c:pt>
                <c:pt idx="277">
                  <c:v>165.07400000000001</c:v>
                </c:pt>
                <c:pt idx="278">
                  <c:v>171.49799999999999</c:v>
                </c:pt>
                <c:pt idx="279">
                  <c:v>182.94900000000001</c:v>
                </c:pt>
                <c:pt idx="280">
                  <c:v>176.92500000000001</c:v>
                </c:pt>
                <c:pt idx="281">
                  <c:v>184.255</c:v>
                </c:pt>
                <c:pt idx="282">
                  <c:v>182.691</c:v>
                </c:pt>
                <c:pt idx="283">
                  <c:v>184.55799999999999</c:v>
                </c:pt>
                <c:pt idx="284">
                  <c:v>181.03100000000001</c:v>
                </c:pt>
                <c:pt idx="285">
                  <c:v>179.30199999999999</c:v>
                </c:pt>
                <c:pt idx="286">
                  <c:v>174.99600000000001</c:v>
                </c:pt>
                <c:pt idx="287">
                  <c:v>170.898</c:v>
                </c:pt>
                <c:pt idx="288">
                  <c:v>175.524</c:v>
                </c:pt>
                <c:pt idx="289">
                  <c:v>178.398</c:v>
                </c:pt>
                <c:pt idx="290">
                  <c:v>176.398</c:v>
                </c:pt>
                <c:pt idx="291">
                  <c:v>172.804</c:v>
                </c:pt>
                <c:pt idx="292">
                  <c:v>173.983</c:v>
                </c:pt>
                <c:pt idx="293">
                  <c:v>175.00700000000001</c:v>
                </c:pt>
                <c:pt idx="294">
                  <c:v>174.857</c:v>
                </c:pt>
                <c:pt idx="295">
                  <c:v>175.053</c:v>
                </c:pt>
                <c:pt idx="296">
                  <c:v>172.994</c:v>
                </c:pt>
                <c:pt idx="297">
                  <c:v>173.55199999999999</c:v>
                </c:pt>
                <c:pt idx="298">
                  <c:v>174.70699999999999</c:v>
                </c:pt>
                <c:pt idx="299">
                  <c:v>187.22800000000001</c:v>
                </c:pt>
                <c:pt idx="300">
                  <c:v>191.56</c:v>
                </c:pt>
                <c:pt idx="301">
                  <c:v>198.17</c:v>
                </c:pt>
                <c:pt idx="302">
                  <c:v>214.40199999999999</c:v>
                </c:pt>
                <c:pt idx="303">
                  <c:v>233.96299999999999</c:v>
                </c:pt>
                <c:pt idx="304">
                  <c:v>219.74199999999999</c:v>
                </c:pt>
                <c:pt idx="305">
                  <c:v>233.23</c:v>
                </c:pt>
                <c:pt idx="306">
                  <c:v>233.70500000000001</c:v>
                </c:pt>
                <c:pt idx="307">
                  <c:v>234.01</c:v>
                </c:pt>
                <c:pt idx="308">
                  <c:v>237.929</c:v>
                </c:pt>
                <c:pt idx="309">
                  <c:v>328.05599999999998</c:v>
                </c:pt>
                <c:pt idx="310">
                  <c:v>322.47800000000001</c:v>
                </c:pt>
                <c:pt idx="311">
                  <c:v>334.92399999999998</c:v>
                </c:pt>
                <c:pt idx="312">
                  <c:v>405.69</c:v>
                </c:pt>
                <c:pt idx="313">
                  <c:v>392.029</c:v>
                </c:pt>
                <c:pt idx="314">
                  <c:v>415.37400000000002</c:v>
                </c:pt>
                <c:pt idx="315">
                  <c:v>430.666</c:v>
                </c:pt>
                <c:pt idx="316">
                  <c:v>535.89300000000003</c:v>
                </c:pt>
                <c:pt idx="317">
                  <c:v>571.58299999999997</c:v>
                </c:pt>
                <c:pt idx="318">
                  <c:v>617.51900000000001</c:v>
                </c:pt>
                <c:pt idx="319">
                  <c:v>662.09799999999996</c:v>
                </c:pt>
                <c:pt idx="320">
                  <c:v>644.15200000000004</c:v>
                </c:pt>
                <c:pt idx="321">
                  <c:v>621.154</c:v>
                </c:pt>
                <c:pt idx="322">
                  <c:v>589.59799999999996</c:v>
                </c:pt>
                <c:pt idx="323">
                  <c:v>593.14700000000005</c:v>
                </c:pt>
                <c:pt idx="324">
                  <c:v>601.90599999999995</c:v>
                </c:pt>
                <c:pt idx="325">
                  <c:v>596.14099999999996</c:v>
                </c:pt>
                <c:pt idx="326">
                  <c:v>600.46900000000005</c:v>
                </c:pt>
                <c:pt idx="327">
                  <c:v>595.53200000000004</c:v>
                </c:pt>
                <c:pt idx="328">
                  <c:v>567.79999999999995</c:v>
                </c:pt>
                <c:pt idx="329">
                  <c:v>555.20399999999995</c:v>
                </c:pt>
                <c:pt idx="330">
                  <c:v>555.25300000000004</c:v>
                </c:pt>
                <c:pt idx="331">
                  <c:v>562.673</c:v>
                </c:pt>
                <c:pt idx="332">
                  <c:v>537.58699999999999</c:v>
                </c:pt>
                <c:pt idx="333">
                  <c:v>537.58699999999999</c:v>
                </c:pt>
                <c:pt idx="334">
                  <c:v>537.58699999999999</c:v>
                </c:pt>
                <c:pt idx="335">
                  <c:v>543.88499999999999</c:v>
                </c:pt>
                <c:pt idx="336">
                  <c:v>531.19200000000001</c:v>
                </c:pt>
                <c:pt idx="337">
                  <c:v>534.67200000000003</c:v>
                </c:pt>
                <c:pt idx="338">
                  <c:v>509.017</c:v>
                </c:pt>
                <c:pt idx="339">
                  <c:v>510.82600000000002</c:v>
                </c:pt>
                <c:pt idx="340">
                  <c:v>517.87800000000004</c:v>
                </c:pt>
                <c:pt idx="341">
                  <c:v>516.16099999999994</c:v>
                </c:pt>
                <c:pt idx="342">
                  <c:v>517.26900000000001</c:v>
                </c:pt>
                <c:pt idx="343">
                  <c:v>518.58299999999997</c:v>
                </c:pt>
                <c:pt idx="344">
                  <c:v>517.82799999999997</c:v>
                </c:pt>
                <c:pt idx="345">
                  <c:v>521.07899999999995</c:v>
                </c:pt>
                <c:pt idx="346">
                  <c:v>522.14599999999996</c:v>
                </c:pt>
                <c:pt idx="347">
                  <c:v>514.21400000000006</c:v>
                </c:pt>
                <c:pt idx="348">
                  <c:v>514.01499999999999</c:v>
                </c:pt>
                <c:pt idx="349">
                  <c:v>511.54</c:v>
                </c:pt>
                <c:pt idx="350">
                  <c:v>477.85899999999998</c:v>
                </c:pt>
                <c:pt idx="351">
                  <c:v>471.73399999999998</c:v>
                </c:pt>
                <c:pt idx="352">
                  <c:v>488.00200000000001</c:v>
                </c:pt>
                <c:pt idx="353">
                  <c:v>471.86599999999999</c:v>
                </c:pt>
                <c:pt idx="354">
                  <c:v>435.41899999999998</c:v>
                </c:pt>
                <c:pt idx="355">
                  <c:v>430.75599999999997</c:v>
                </c:pt>
                <c:pt idx="356">
                  <c:v>448.69499999999999</c:v>
                </c:pt>
                <c:pt idx="357">
                  <c:v>367.43</c:v>
                </c:pt>
                <c:pt idx="358">
                  <c:v>355.36399999999998</c:v>
                </c:pt>
                <c:pt idx="359">
                  <c:v>340.87299999999999</c:v>
                </c:pt>
                <c:pt idx="360">
                  <c:v>342.54199999999997</c:v>
                </c:pt>
                <c:pt idx="361">
                  <c:v>332.505</c:v>
                </c:pt>
                <c:pt idx="362">
                  <c:v>333.39299999999997</c:v>
                </c:pt>
                <c:pt idx="363">
                  <c:v>346.08199999999999</c:v>
                </c:pt>
                <c:pt idx="364">
                  <c:v>346.08199999999999</c:v>
                </c:pt>
                <c:pt idx="365">
                  <c:v>329.6</c:v>
                </c:pt>
                <c:pt idx="366">
                  <c:v>330.06200000000001</c:v>
                </c:pt>
                <c:pt idx="367">
                  <c:v>333.80099999999999</c:v>
                </c:pt>
                <c:pt idx="368">
                  <c:v>336.66199999999998</c:v>
                </c:pt>
                <c:pt idx="369">
                  <c:v>334.66899999999998</c:v>
                </c:pt>
                <c:pt idx="370">
                  <c:v>334.40600000000001</c:v>
                </c:pt>
                <c:pt idx="371">
                  <c:v>327.88</c:v>
                </c:pt>
                <c:pt idx="372">
                  <c:v>321.846</c:v>
                </c:pt>
                <c:pt idx="373">
                  <c:v>318.69</c:v>
                </c:pt>
                <c:pt idx="374">
                  <c:v>323.23599999999999</c:v>
                </c:pt>
                <c:pt idx="375">
                  <c:v>323.73399999999998</c:v>
                </c:pt>
                <c:pt idx="376">
                  <c:v>337.99200000000002</c:v>
                </c:pt>
                <c:pt idx="377">
                  <c:v>347.49099999999999</c:v>
                </c:pt>
                <c:pt idx="378">
                  <c:v>344.23200000000003</c:v>
                </c:pt>
                <c:pt idx="379">
                  <c:v>382.98599999999999</c:v>
                </c:pt>
                <c:pt idx="380">
                  <c:v>379.1</c:v>
                </c:pt>
                <c:pt idx="381">
                  <c:v>381.64299999999997</c:v>
                </c:pt>
                <c:pt idx="382">
                  <c:v>380.93799999999999</c:v>
                </c:pt>
                <c:pt idx="383">
                  <c:v>382.47399999999999</c:v>
                </c:pt>
                <c:pt idx="384">
                  <c:v>380.363</c:v>
                </c:pt>
                <c:pt idx="385">
                  <c:v>383.76100000000002</c:v>
                </c:pt>
                <c:pt idx="386">
                  <c:v>384.87200000000001</c:v>
                </c:pt>
                <c:pt idx="387">
                  <c:v>392.12</c:v>
                </c:pt>
                <c:pt idx="388">
                  <c:v>391.44200000000001</c:v>
                </c:pt>
                <c:pt idx="389">
                  <c:v>392.41399999999999</c:v>
                </c:pt>
                <c:pt idx="390">
                  <c:v>388.73099999999999</c:v>
                </c:pt>
                <c:pt idx="391">
                  <c:v>390.685</c:v>
                </c:pt>
                <c:pt idx="392">
                  <c:v>355.42399999999998</c:v>
                </c:pt>
                <c:pt idx="393">
                  <c:v>357.05</c:v>
                </c:pt>
                <c:pt idx="394">
                  <c:v>348.74599999999998</c:v>
                </c:pt>
                <c:pt idx="395">
                  <c:v>349.2</c:v>
                </c:pt>
                <c:pt idx="396">
                  <c:v>348.66899999999998</c:v>
                </c:pt>
                <c:pt idx="397">
                  <c:v>347.697</c:v>
                </c:pt>
                <c:pt idx="398">
                  <c:v>348.19200000000001</c:v>
                </c:pt>
                <c:pt idx="399">
                  <c:v>349.45699999999999</c:v>
                </c:pt>
                <c:pt idx="400">
                  <c:v>358.483</c:v>
                </c:pt>
                <c:pt idx="401">
                  <c:v>357.94200000000001</c:v>
                </c:pt>
                <c:pt idx="402">
                  <c:v>353.91699999999997</c:v>
                </c:pt>
                <c:pt idx="403">
                  <c:v>365.762</c:v>
                </c:pt>
                <c:pt idx="404">
                  <c:v>364.92399999999998</c:v>
                </c:pt>
                <c:pt idx="405">
                  <c:v>364.66399999999999</c:v>
                </c:pt>
                <c:pt idx="406">
                  <c:v>359.858</c:v>
                </c:pt>
                <c:pt idx="407">
                  <c:v>352.33300000000003</c:v>
                </c:pt>
                <c:pt idx="408">
                  <c:v>353.61099999999999</c:v>
                </c:pt>
                <c:pt idx="409">
                  <c:v>346.98700000000002</c:v>
                </c:pt>
                <c:pt idx="410">
                  <c:v>351.40600000000001</c:v>
                </c:pt>
                <c:pt idx="411">
                  <c:v>352.46899999999999</c:v>
                </c:pt>
                <c:pt idx="412">
                  <c:v>354.08699999999999</c:v>
                </c:pt>
                <c:pt idx="413">
                  <c:v>354.89699999999999</c:v>
                </c:pt>
                <c:pt idx="414">
                  <c:v>350.28100000000001</c:v>
                </c:pt>
                <c:pt idx="415">
                  <c:v>347.12</c:v>
                </c:pt>
                <c:pt idx="416">
                  <c:v>342.18799999999999</c:v>
                </c:pt>
                <c:pt idx="417">
                  <c:v>333.137</c:v>
                </c:pt>
                <c:pt idx="418">
                  <c:v>330.66899999999998</c:v>
                </c:pt>
                <c:pt idx="419">
                  <c:v>344.73099999999999</c:v>
                </c:pt>
                <c:pt idx="420">
                  <c:v>330.65699999999998</c:v>
                </c:pt>
                <c:pt idx="421">
                  <c:v>324.10899999999998</c:v>
                </c:pt>
                <c:pt idx="422">
                  <c:v>317.23399999999998</c:v>
                </c:pt>
                <c:pt idx="423">
                  <c:v>315.72000000000003</c:v>
                </c:pt>
                <c:pt idx="424">
                  <c:v>320.93299999999999</c:v>
                </c:pt>
                <c:pt idx="425">
                  <c:v>322.24599999999998</c:v>
                </c:pt>
                <c:pt idx="426">
                  <c:v>321.65499999999997</c:v>
                </c:pt>
                <c:pt idx="427">
                  <c:v>321.19</c:v>
                </c:pt>
                <c:pt idx="428">
                  <c:v>325.399</c:v>
                </c:pt>
                <c:pt idx="429">
                  <c:v>323.69</c:v>
                </c:pt>
                <c:pt idx="430">
                  <c:v>319.76900000000001</c:v>
                </c:pt>
                <c:pt idx="431">
                  <c:v>318.26600000000002</c:v>
                </c:pt>
                <c:pt idx="432">
                  <c:v>314.86799999999999</c:v>
                </c:pt>
                <c:pt idx="433">
                  <c:v>317.95100000000002</c:v>
                </c:pt>
                <c:pt idx="434">
                  <c:v>317.95100000000002</c:v>
                </c:pt>
                <c:pt idx="435">
                  <c:v>317.11599999999999</c:v>
                </c:pt>
                <c:pt idx="436">
                  <c:v>315.95100000000002</c:v>
                </c:pt>
                <c:pt idx="437">
                  <c:v>315.51</c:v>
                </c:pt>
                <c:pt idx="438">
                  <c:v>312.86799999999999</c:v>
                </c:pt>
                <c:pt idx="439">
                  <c:v>316.99599999999998</c:v>
                </c:pt>
                <c:pt idx="440">
                  <c:v>319.82499999999999</c:v>
                </c:pt>
                <c:pt idx="441">
                  <c:v>318.80700000000002</c:v>
                </c:pt>
                <c:pt idx="442">
                  <c:v>315.673</c:v>
                </c:pt>
                <c:pt idx="443">
                  <c:v>315.34199999999998</c:v>
                </c:pt>
                <c:pt idx="444">
                  <c:v>314.92</c:v>
                </c:pt>
                <c:pt idx="445">
                  <c:v>315.03699999999998</c:v>
                </c:pt>
                <c:pt idx="446">
                  <c:v>311.863</c:v>
                </c:pt>
                <c:pt idx="447">
                  <c:v>313.14</c:v>
                </c:pt>
                <c:pt idx="448">
                  <c:v>310.42200000000003</c:v>
                </c:pt>
                <c:pt idx="449">
                  <c:v>314.60000000000002</c:v>
                </c:pt>
                <c:pt idx="450">
                  <c:v>317.09399999999999</c:v>
                </c:pt>
                <c:pt idx="451">
                  <c:v>315.63099999999997</c:v>
                </c:pt>
                <c:pt idx="452">
                  <c:v>333.83499999999998</c:v>
                </c:pt>
                <c:pt idx="453">
                  <c:v>338.11099999999999</c:v>
                </c:pt>
                <c:pt idx="454">
                  <c:v>427.69400000000002</c:v>
                </c:pt>
                <c:pt idx="455">
                  <c:v>441.89400000000001</c:v>
                </c:pt>
                <c:pt idx="456">
                  <c:v>451.44799999999998</c:v>
                </c:pt>
                <c:pt idx="457">
                  <c:v>418.22399999999999</c:v>
                </c:pt>
                <c:pt idx="458">
                  <c:v>407.85399999999998</c:v>
                </c:pt>
                <c:pt idx="459">
                  <c:v>406.00700000000001</c:v>
                </c:pt>
                <c:pt idx="460">
                  <c:v>407.798</c:v>
                </c:pt>
                <c:pt idx="461">
                  <c:v>412.87400000000002</c:v>
                </c:pt>
                <c:pt idx="462">
                  <c:v>405.25</c:v>
                </c:pt>
                <c:pt idx="463">
                  <c:v>400.00299999999999</c:v>
                </c:pt>
                <c:pt idx="464">
                  <c:v>399.94</c:v>
                </c:pt>
                <c:pt idx="465">
                  <c:v>407.50799999999998</c:v>
                </c:pt>
                <c:pt idx="466">
                  <c:v>425.07</c:v>
                </c:pt>
                <c:pt idx="467">
                  <c:v>421.85399999999998</c:v>
                </c:pt>
                <c:pt idx="468">
                  <c:v>418.01600000000002</c:v>
                </c:pt>
                <c:pt idx="469">
                  <c:v>416.30900000000003</c:v>
                </c:pt>
                <c:pt idx="470">
                  <c:v>416.24299999999999</c:v>
                </c:pt>
                <c:pt idx="471">
                  <c:v>425.42899999999997</c:v>
                </c:pt>
                <c:pt idx="472">
                  <c:v>428.18099999999998</c:v>
                </c:pt>
                <c:pt idx="473">
                  <c:v>426.18</c:v>
                </c:pt>
                <c:pt idx="474">
                  <c:v>448.35199999999998</c:v>
                </c:pt>
                <c:pt idx="475">
                  <c:v>459.10899999999998</c:v>
                </c:pt>
                <c:pt idx="476">
                  <c:v>468.923</c:v>
                </c:pt>
                <c:pt idx="477">
                  <c:v>477.05900000000003</c:v>
                </c:pt>
                <c:pt idx="478">
                  <c:v>475.02</c:v>
                </c:pt>
                <c:pt idx="479">
                  <c:v>482.77300000000002</c:v>
                </c:pt>
                <c:pt idx="480">
                  <c:v>453.96600000000001</c:v>
                </c:pt>
                <c:pt idx="481">
                  <c:v>445.10500000000002</c:v>
                </c:pt>
                <c:pt idx="482">
                  <c:v>438.96800000000002</c:v>
                </c:pt>
                <c:pt idx="483">
                  <c:v>440.113</c:v>
                </c:pt>
                <c:pt idx="484">
                  <c:v>406.97899999999998</c:v>
                </c:pt>
                <c:pt idx="485">
                  <c:v>352.84399999999999</c:v>
                </c:pt>
                <c:pt idx="486">
                  <c:v>344.85599999999999</c:v>
                </c:pt>
                <c:pt idx="487">
                  <c:v>348.01900000000001</c:v>
                </c:pt>
                <c:pt idx="488">
                  <c:v>353.39400000000001</c:v>
                </c:pt>
                <c:pt idx="489">
                  <c:v>344.87299999999999</c:v>
                </c:pt>
                <c:pt idx="490">
                  <c:v>360.233</c:v>
                </c:pt>
                <c:pt idx="491">
                  <c:v>355.67399999999998</c:v>
                </c:pt>
                <c:pt idx="492">
                  <c:v>358.399</c:v>
                </c:pt>
                <c:pt idx="493">
                  <c:v>373.67399999999998</c:v>
                </c:pt>
                <c:pt idx="494">
                  <c:v>358.51600000000002</c:v>
                </c:pt>
                <c:pt idx="495">
                  <c:v>348.59399999999999</c:v>
                </c:pt>
                <c:pt idx="496">
                  <c:v>346.04</c:v>
                </c:pt>
                <c:pt idx="497">
                  <c:v>364.27499999999998</c:v>
                </c:pt>
                <c:pt idx="498">
                  <c:v>364.27699999999999</c:v>
                </c:pt>
                <c:pt idx="499">
                  <c:v>364.11</c:v>
                </c:pt>
                <c:pt idx="500">
                  <c:v>363.99400000000003</c:v>
                </c:pt>
                <c:pt idx="501">
                  <c:v>357.44400000000002</c:v>
                </c:pt>
                <c:pt idx="502">
                  <c:v>350.42</c:v>
                </c:pt>
                <c:pt idx="503">
                  <c:v>302.649</c:v>
                </c:pt>
                <c:pt idx="504">
                  <c:v>306.16199999999998</c:v>
                </c:pt>
                <c:pt idx="505">
                  <c:v>323.024</c:v>
                </c:pt>
                <c:pt idx="506">
                  <c:v>308.36</c:v>
                </c:pt>
                <c:pt idx="507">
                  <c:v>326.92500000000001</c:v>
                </c:pt>
                <c:pt idx="508">
                  <c:v>321.99599999999998</c:v>
                </c:pt>
                <c:pt idx="509">
                  <c:v>319.04199999999997</c:v>
                </c:pt>
                <c:pt idx="510">
                  <c:v>313.62400000000002</c:v>
                </c:pt>
                <c:pt idx="511">
                  <c:v>304.41899999999998</c:v>
                </c:pt>
                <c:pt idx="512">
                  <c:v>297.24700000000001</c:v>
                </c:pt>
                <c:pt idx="513">
                  <c:v>308.77699999999999</c:v>
                </c:pt>
                <c:pt idx="514">
                  <c:v>306.41500000000002</c:v>
                </c:pt>
                <c:pt idx="515">
                  <c:v>303.06299999999999</c:v>
                </c:pt>
                <c:pt idx="516">
                  <c:v>298.36200000000002</c:v>
                </c:pt>
                <c:pt idx="517">
                  <c:v>306.60500000000002</c:v>
                </c:pt>
                <c:pt idx="518">
                  <c:v>306.60500000000002</c:v>
                </c:pt>
                <c:pt idx="519">
                  <c:v>306.60500000000002</c:v>
                </c:pt>
                <c:pt idx="520">
                  <c:v>286.26600000000002</c:v>
                </c:pt>
                <c:pt idx="521">
                  <c:v>283.363</c:v>
                </c:pt>
                <c:pt idx="522">
                  <c:v>288.20100000000002</c:v>
                </c:pt>
                <c:pt idx="523">
                  <c:v>288.20100000000002</c:v>
                </c:pt>
                <c:pt idx="524">
                  <c:v>285.505</c:v>
                </c:pt>
                <c:pt idx="525">
                  <c:v>278.84500000000003</c:v>
                </c:pt>
                <c:pt idx="526">
                  <c:v>276.536</c:v>
                </c:pt>
                <c:pt idx="527">
                  <c:v>272.392</c:v>
                </c:pt>
                <c:pt idx="528">
                  <c:v>268.24299999999999</c:v>
                </c:pt>
                <c:pt idx="529">
                  <c:v>267.06400000000002</c:v>
                </c:pt>
                <c:pt idx="530">
                  <c:v>265.79300000000001</c:v>
                </c:pt>
                <c:pt idx="531">
                  <c:v>264.74</c:v>
                </c:pt>
                <c:pt idx="532">
                  <c:v>246.50899999999999</c:v>
                </c:pt>
                <c:pt idx="533">
                  <c:v>242.02199999999999</c:v>
                </c:pt>
                <c:pt idx="534">
                  <c:v>241.97300000000001</c:v>
                </c:pt>
                <c:pt idx="535">
                  <c:v>243.83199999999999</c:v>
                </c:pt>
                <c:pt idx="536">
                  <c:v>241.917</c:v>
                </c:pt>
                <c:pt idx="537">
                  <c:v>247.029</c:v>
                </c:pt>
                <c:pt idx="538">
                  <c:v>247.43199999999999</c:v>
                </c:pt>
                <c:pt idx="539">
                  <c:v>269.02100000000002</c:v>
                </c:pt>
                <c:pt idx="540">
                  <c:v>258.26799999999997</c:v>
                </c:pt>
                <c:pt idx="541">
                  <c:v>272.41199999999998</c:v>
                </c:pt>
                <c:pt idx="542">
                  <c:v>271.565</c:v>
                </c:pt>
                <c:pt idx="543">
                  <c:v>270.577</c:v>
                </c:pt>
                <c:pt idx="544">
                  <c:v>271.00400000000002</c:v>
                </c:pt>
                <c:pt idx="545">
                  <c:v>269.29399999999998</c:v>
                </c:pt>
                <c:pt idx="546">
                  <c:v>263.53100000000001</c:v>
                </c:pt>
                <c:pt idx="547">
                  <c:v>267.99</c:v>
                </c:pt>
                <c:pt idx="548">
                  <c:v>267.49400000000003</c:v>
                </c:pt>
                <c:pt idx="549">
                  <c:v>272.33300000000003</c:v>
                </c:pt>
                <c:pt idx="550">
                  <c:v>274.80099999999999</c:v>
                </c:pt>
                <c:pt idx="551">
                  <c:v>277.76600000000002</c:v>
                </c:pt>
                <c:pt idx="552">
                  <c:v>279.95</c:v>
                </c:pt>
                <c:pt idx="553">
                  <c:v>281.178</c:v>
                </c:pt>
                <c:pt idx="554">
                  <c:v>284.79300000000001</c:v>
                </c:pt>
                <c:pt idx="555">
                  <c:v>286.79199999999997</c:v>
                </c:pt>
                <c:pt idx="556">
                  <c:v>293.79399999999998</c:v>
                </c:pt>
                <c:pt idx="557">
                  <c:v>292.15699999999998</c:v>
                </c:pt>
                <c:pt idx="558">
                  <c:v>288.19799999999998</c:v>
                </c:pt>
                <c:pt idx="559">
                  <c:v>293.81299999999999</c:v>
                </c:pt>
                <c:pt idx="560">
                  <c:v>296.03500000000003</c:v>
                </c:pt>
                <c:pt idx="561">
                  <c:v>291.86799999999999</c:v>
                </c:pt>
                <c:pt idx="562">
                  <c:v>327.18400000000003</c:v>
                </c:pt>
                <c:pt idx="563">
                  <c:v>332.62099999999998</c:v>
                </c:pt>
                <c:pt idx="564">
                  <c:v>326.32499999999999</c:v>
                </c:pt>
                <c:pt idx="565">
                  <c:v>330.596</c:v>
                </c:pt>
                <c:pt idx="566">
                  <c:v>324.22699999999998</c:v>
                </c:pt>
                <c:pt idx="567">
                  <c:v>321.74200000000002</c:v>
                </c:pt>
                <c:pt idx="568">
                  <c:v>326.02300000000002</c:v>
                </c:pt>
                <c:pt idx="569">
                  <c:v>337.60399999999998</c:v>
                </c:pt>
                <c:pt idx="570">
                  <c:v>335.68400000000003</c:v>
                </c:pt>
                <c:pt idx="571">
                  <c:v>337.86200000000002</c:v>
                </c:pt>
                <c:pt idx="572">
                  <c:v>330.03399999999999</c:v>
                </c:pt>
                <c:pt idx="573">
                  <c:v>325.98</c:v>
                </c:pt>
                <c:pt idx="574">
                  <c:v>324.28699999999998</c:v>
                </c:pt>
                <c:pt idx="575">
                  <c:v>327.47699999999998</c:v>
                </c:pt>
                <c:pt idx="576">
                  <c:v>337.73599999999999</c:v>
                </c:pt>
                <c:pt idx="577">
                  <c:v>340.42500000000001</c:v>
                </c:pt>
                <c:pt idx="578">
                  <c:v>340.786</c:v>
                </c:pt>
                <c:pt idx="579">
                  <c:v>343.91399999999999</c:v>
                </c:pt>
                <c:pt idx="580">
                  <c:v>345.10300000000001</c:v>
                </c:pt>
                <c:pt idx="581">
                  <c:v>345.44499999999999</c:v>
                </c:pt>
                <c:pt idx="582">
                  <c:v>344.41800000000001</c:v>
                </c:pt>
                <c:pt idx="583">
                  <c:v>352.47199999999998</c:v>
                </c:pt>
                <c:pt idx="584">
                  <c:v>341.05799999999999</c:v>
                </c:pt>
                <c:pt idx="585">
                  <c:v>343.93400000000003</c:v>
                </c:pt>
                <c:pt idx="586">
                  <c:v>331.88499999999999</c:v>
                </c:pt>
                <c:pt idx="587">
                  <c:v>334.97899999999998</c:v>
                </c:pt>
                <c:pt idx="588">
                  <c:v>332.45400000000001</c:v>
                </c:pt>
                <c:pt idx="589">
                  <c:v>332.45400000000001</c:v>
                </c:pt>
                <c:pt idx="590">
                  <c:v>334.74099999999999</c:v>
                </c:pt>
                <c:pt idx="591">
                  <c:v>337.577</c:v>
                </c:pt>
                <c:pt idx="592">
                  <c:v>339.35199999999998</c:v>
                </c:pt>
                <c:pt idx="593">
                  <c:v>336.92599999999999</c:v>
                </c:pt>
                <c:pt idx="594">
                  <c:v>334.67399999999998</c:v>
                </c:pt>
                <c:pt idx="595">
                  <c:v>338.767</c:v>
                </c:pt>
                <c:pt idx="596">
                  <c:v>335.36099999999999</c:v>
                </c:pt>
                <c:pt idx="597">
                  <c:v>334.31</c:v>
                </c:pt>
                <c:pt idx="598">
                  <c:v>329.27699999999999</c:v>
                </c:pt>
                <c:pt idx="599">
                  <c:v>324.57299999999998</c:v>
                </c:pt>
                <c:pt idx="600">
                  <c:v>328.22199999999998</c:v>
                </c:pt>
                <c:pt idx="601">
                  <c:v>331.34399999999999</c:v>
                </c:pt>
                <c:pt idx="602">
                  <c:v>326.16899999999998</c:v>
                </c:pt>
                <c:pt idx="603">
                  <c:v>324.178</c:v>
                </c:pt>
                <c:pt idx="604">
                  <c:v>322.50799999999998</c:v>
                </c:pt>
                <c:pt idx="605">
                  <c:v>320.12200000000001</c:v>
                </c:pt>
                <c:pt idx="606">
                  <c:v>324.18299999999999</c:v>
                </c:pt>
                <c:pt idx="607">
                  <c:v>326.72399999999999</c:v>
                </c:pt>
                <c:pt idx="608">
                  <c:v>331.70600000000002</c:v>
                </c:pt>
                <c:pt idx="609">
                  <c:v>331.70600000000002</c:v>
                </c:pt>
                <c:pt idx="610">
                  <c:v>325.30700000000002</c:v>
                </c:pt>
                <c:pt idx="611">
                  <c:v>319.47399999999999</c:v>
                </c:pt>
                <c:pt idx="612">
                  <c:v>315.51600000000002</c:v>
                </c:pt>
                <c:pt idx="613">
                  <c:v>325.15800000000002</c:v>
                </c:pt>
                <c:pt idx="614">
                  <c:v>283.49700000000001</c:v>
                </c:pt>
                <c:pt idx="615">
                  <c:v>284.09399999999999</c:v>
                </c:pt>
                <c:pt idx="616">
                  <c:v>280.63799999999998</c:v>
                </c:pt>
                <c:pt idx="617">
                  <c:v>284.59699999999998</c:v>
                </c:pt>
                <c:pt idx="618">
                  <c:v>283.50700000000001</c:v>
                </c:pt>
                <c:pt idx="619">
                  <c:v>291.96499999999997</c:v>
                </c:pt>
                <c:pt idx="620">
                  <c:v>293.892</c:v>
                </c:pt>
                <c:pt idx="621">
                  <c:v>293.33999999999997</c:v>
                </c:pt>
                <c:pt idx="622">
                  <c:v>291.92200000000003</c:v>
                </c:pt>
                <c:pt idx="623">
                  <c:v>292.25400000000002</c:v>
                </c:pt>
              </c:numCache>
            </c:numRef>
          </c:val>
          <c:smooth val="0"/>
          <c:extLst>
            <c:ext xmlns:c16="http://schemas.microsoft.com/office/drawing/2014/chart" uri="{C3380CC4-5D6E-409C-BE32-E72D297353CC}">
              <c16:uniqueId val="{00000000-4EEE-436B-AFC1-C498D6096249}"/>
            </c:ext>
          </c:extLst>
        </c:ser>
        <c:ser>
          <c:idx val="1"/>
          <c:order val="1"/>
          <c:tx>
            <c:strRef>
              <c:f>Sheet1!$C$1</c:f>
              <c:strCache>
                <c:ptCount val="1"/>
                <c:pt idx="0">
                  <c:v>Ռուսաստան (2026թ.)</c:v>
                </c:pt>
              </c:strCache>
            </c:strRef>
          </c:tx>
          <c:spPr>
            <a:ln w="28575" cap="rnd">
              <a:solidFill>
                <a:schemeClr val="accent2"/>
              </a:solidFill>
              <a:round/>
            </a:ln>
            <a:effectLst/>
          </c:spPr>
          <c:marker>
            <c:symbol val="none"/>
          </c:marker>
          <c:cat>
            <c:numRef>
              <c:f>Sheet1!$A$2:$A$625</c:f>
              <c:numCache>
                <c:formatCode>m\/d\/yyyy</c:formatCode>
                <c:ptCount val="624"/>
                <c:pt idx="0">
                  <c:v>43466</c:v>
                </c:pt>
                <c:pt idx="1">
                  <c:v>43467</c:v>
                </c:pt>
                <c:pt idx="2">
                  <c:v>43468</c:v>
                </c:pt>
                <c:pt idx="3">
                  <c:v>43469</c:v>
                </c:pt>
                <c:pt idx="4">
                  <c:v>43472</c:v>
                </c:pt>
                <c:pt idx="5">
                  <c:v>43473</c:v>
                </c:pt>
                <c:pt idx="6">
                  <c:v>43474</c:v>
                </c:pt>
                <c:pt idx="7">
                  <c:v>43475</c:v>
                </c:pt>
                <c:pt idx="8">
                  <c:v>43476</c:v>
                </c:pt>
                <c:pt idx="9">
                  <c:v>43479</c:v>
                </c:pt>
                <c:pt idx="10">
                  <c:v>43480</c:v>
                </c:pt>
                <c:pt idx="11">
                  <c:v>43481</c:v>
                </c:pt>
                <c:pt idx="12">
                  <c:v>43482</c:v>
                </c:pt>
                <c:pt idx="13">
                  <c:v>43483</c:v>
                </c:pt>
                <c:pt idx="14">
                  <c:v>43486</c:v>
                </c:pt>
                <c:pt idx="15">
                  <c:v>43487</c:v>
                </c:pt>
                <c:pt idx="16">
                  <c:v>43488</c:v>
                </c:pt>
                <c:pt idx="17">
                  <c:v>43489</c:v>
                </c:pt>
                <c:pt idx="18">
                  <c:v>43490</c:v>
                </c:pt>
                <c:pt idx="19">
                  <c:v>43493</c:v>
                </c:pt>
                <c:pt idx="20">
                  <c:v>43494</c:v>
                </c:pt>
                <c:pt idx="21">
                  <c:v>43495</c:v>
                </c:pt>
                <c:pt idx="22">
                  <c:v>43496</c:v>
                </c:pt>
                <c:pt idx="23">
                  <c:v>43497</c:v>
                </c:pt>
                <c:pt idx="24">
                  <c:v>43500</c:v>
                </c:pt>
                <c:pt idx="25">
                  <c:v>43501</c:v>
                </c:pt>
                <c:pt idx="26">
                  <c:v>43502</c:v>
                </c:pt>
                <c:pt idx="27">
                  <c:v>43503</c:v>
                </c:pt>
                <c:pt idx="28">
                  <c:v>43504</c:v>
                </c:pt>
                <c:pt idx="29">
                  <c:v>43507</c:v>
                </c:pt>
                <c:pt idx="30">
                  <c:v>43508</c:v>
                </c:pt>
                <c:pt idx="31">
                  <c:v>43509</c:v>
                </c:pt>
                <c:pt idx="32">
                  <c:v>43510</c:v>
                </c:pt>
                <c:pt idx="33">
                  <c:v>43511</c:v>
                </c:pt>
                <c:pt idx="34">
                  <c:v>43514</c:v>
                </c:pt>
                <c:pt idx="35">
                  <c:v>43515</c:v>
                </c:pt>
                <c:pt idx="36">
                  <c:v>43516</c:v>
                </c:pt>
                <c:pt idx="37">
                  <c:v>43517</c:v>
                </c:pt>
                <c:pt idx="38">
                  <c:v>43518</c:v>
                </c:pt>
                <c:pt idx="39">
                  <c:v>43521</c:v>
                </c:pt>
                <c:pt idx="40">
                  <c:v>43522</c:v>
                </c:pt>
                <c:pt idx="41">
                  <c:v>43523</c:v>
                </c:pt>
                <c:pt idx="42">
                  <c:v>43524</c:v>
                </c:pt>
                <c:pt idx="43">
                  <c:v>43525</c:v>
                </c:pt>
                <c:pt idx="44">
                  <c:v>43528</c:v>
                </c:pt>
                <c:pt idx="45">
                  <c:v>43529</c:v>
                </c:pt>
                <c:pt idx="46">
                  <c:v>43530</c:v>
                </c:pt>
                <c:pt idx="47">
                  <c:v>43531</c:v>
                </c:pt>
                <c:pt idx="48">
                  <c:v>43532</c:v>
                </c:pt>
                <c:pt idx="49">
                  <c:v>43535</c:v>
                </c:pt>
                <c:pt idx="50">
                  <c:v>43536</c:v>
                </c:pt>
                <c:pt idx="51">
                  <c:v>43537</c:v>
                </c:pt>
                <c:pt idx="52">
                  <c:v>43538</c:v>
                </c:pt>
                <c:pt idx="53">
                  <c:v>43539</c:v>
                </c:pt>
                <c:pt idx="54">
                  <c:v>43542</c:v>
                </c:pt>
                <c:pt idx="55">
                  <c:v>43543</c:v>
                </c:pt>
                <c:pt idx="56">
                  <c:v>43544</c:v>
                </c:pt>
                <c:pt idx="57">
                  <c:v>43545</c:v>
                </c:pt>
                <c:pt idx="58">
                  <c:v>43546</c:v>
                </c:pt>
                <c:pt idx="59">
                  <c:v>43549</c:v>
                </c:pt>
                <c:pt idx="60">
                  <c:v>43550</c:v>
                </c:pt>
                <c:pt idx="61">
                  <c:v>43551</c:v>
                </c:pt>
                <c:pt idx="62">
                  <c:v>43552</c:v>
                </c:pt>
                <c:pt idx="63">
                  <c:v>43553</c:v>
                </c:pt>
                <c:pt idx="64">
                  <c:v>43556</c:v>
                </c:pt>
                <c:pt idx="65">
                  <c:v>43557</c:v>
                </c:pt>
                <c:pt idx="66">
                  <c:v>43558</c:v>
                </c:pt>
                <c:pt idx="67">
                  <c:v>43559</c:v>
                </c:pt>
                <c:pt idx="68">
                  <c:v>43560</c:v>
                </c:pt>
                <c:pt idx="69">
                  <c:v>43563</c:v>
                </c:pt>
                <c:pt idx="70">
                  <c:v>43564</c:v>
                </c:pt>
                <c:pt idx="71">
                  <c:v>43565</c:v>
                </c:pt>
                <c:pt idx="72">
                  <c:v>43566</c:v>
                </c:pt>
                <c:pt idx="73">
                  <c:v>43567</c:v>
                </c:pt>
                <c:pt idx="74">
                  <c:v>43570</c:v>
                </c:pt>
                <c:pt idx="75">
                  <c:v>43571</c:v>
                </c:pt>
                <c:pt idx="76">
                  <c:v>43572</c:v>
                </c:pt>
                <c:pt idx="77">
                  <c:v>43573</c:v>
                </c:pt>
                <c:pt idx="78">
                  <c:v>43574</c:v>
                </c:pt>
                <c:pt idx="79">
                  <c:v>43577</c:v>
                </c:pt>
                <c:pt idx="80">
                  <c:v>43578</c:v>
                </c:pt>
                <c:pt idx="81">
                  <c:v>43579</c:v>
                </c:pt>
                <c:pt idx="82">
                  <c:v>43580</c:v>
                </c:pt>
                <c:pt idx="83">
                  <c:v>43581</c:v>
                </c:pt>
                <c:pt idx="84">
                  <c:v>43584</c:v>
                </c:pt>
                <c:pt idx="85">
                  <c:v>43585</c:v>
                </c:pt>
                <c:pt idx="86">
                  <c:v>43586</c:v>
                </c:pt>
                <c:pt idx="87">
                  <c:v>43587</c:v>
                </c:pt>
                <c:pt idx="88">
                  <c:v>43588</c:v>
                </c:pt>
                <c:pt idx="89">
                  <c:v>43591</c:v>
                </c:pt>
                <c:pt idx="90">
                  <c:v>43592</c:v>
                </c:pt>
                <c:pt idx="91">
                  <c:v>43593</c:v>
                </c:pt>
                <c:pt idx="92">
                  <c:v>43594</c:v>
                </c:pt>
                <c:pt idx="93">
                  <c:v>43595</c:v>
                </c:pt>
                <c:pt idx="94">
                  <c:v>43598</c:v>
                </c:pt>
                <c:pt idx="95">
                  <c:v>43599</c:v>
                </c:pt>
                <c:pt idx="96">
                  <c:v>43600</c:v>
                </c:pt>
                <c:pt idx="97">
                  <c:v>43601</c:v>
                </c:pt>
                <c:pt idx="98">
                  <c:v>43602</c:v>
                </c:pt>
                <c:pt idx="99">
                  <c:v>43605</c:v>
                </c:pt>
                <c:pt idx="100">
                  <c:v>43606</c:v>
                </c:pt>
                <c:pt idx="101">
                  <c:v>43607</c:v>
                </c:pt>
                <c:pt idx="102">
                  <c:v>43608</c:v>
                </c:pt>
                <c:pt idx="103">
                  <c:v>43609</c:v>
                </c:pt>
                <c:pt idx="104">
                  <c:v>43612</c:v>
                </c:pt>
                <c:pt idx="105">
                  <c:v>43613</c:v>
                </c:pt>
                <c:pt idx="106">
                  <c:v>43614</c:v>
                </c:pt>
                <c:pt idx="107">
                  <c:v>43615</c:v>
                </c:pt>
                <c:pt idx="108">
                  <c:v>43616</c:v>
                </c:pt>
                <c:pt idx="109">
                  <c:v>43619</c:v>
                </c:pt>
                <c:pt idx="110">
                  <c:v>43620</c:v>
                </c:pt>
                <c:pt idx="111">
                  <c:v>43621</c:v>
                </c:pt>
                <c:pt idx="112">
                  <c:v>43622</c:v>
                </c:pt>
                <c:pt idx="113">
                  <c:v>43623</c:v>
                </c:pt>
                <c:pt idx="114">
                  <c:v>43626</c:v>
                </c:pt>
                <c:pt idx="115">
                  <c:v>43627</c:v>
                </c:pt>
                <c:pt idx="116">
                  <c:v>43628</c:v>
                </c:pt>
                <c:pt idx="117">
                  <c:v>43629</c:v>
                </c:pt>
                <c:pt idx="118">
                  <c:v>43630</c:v>
                </c:pt>
                <c:pt idx="119">
                  <c:v>43633</c:v>
                </c:pt>
                <c:pt idx="120">
                  <c:v>43634</c:v>
                </c:pt>
                <c:pt idx="121">
                  <c:v>43635</c:v>
                </c:pt>
                <c:pt idx="122">
                  <c:v>43636</c:v>
                </c:pt>
                <c:pt idx="123">
                  <c:v>43637</c:v>
                </c:pt>
                <c:pt idx="124">
                  <c:v>43640</c:v>
                </c:pt>
                <c:pt idx="125">
                  <c:v>43641</c:v>
                </c:pt>
                <c:pt idx="126">
                  <c:v>43642</c:v>
                </c:pt>
                <c:pt idx="127">
                  <c:v>43643</c:v>
                </c:pt>
                <c:pt idx="128">
                  <c:v>43644</c:v>
                </c:pt>
                <c:pt idx="129">
                  <c:v>43647</c:v>
                </c:pt>
                <c:pt idx="130">
                  <c:v>43648</c:v>
                </c:pt>
                <c:pt idx="131">
                  <c:v>43649</c:v>
                </c:pt>
                <c:pt idx="132">
                  <c:v>43650</c:v>
                </c:pt>
                <c:pt idx="133">
                  <c:v>43651</c:v>
                </c:pt>
                <c:pt idx="134">
                  <c:v>43654</c:v>
                </c:pt>
                <c:pt idx="135">
                  <c:v>43655</c:v>
                </c:pt>
                <c:pt idx="136">
                  <c:v>43656</c:v>
                </c:pt>
                <c:pt idx="137">
                  <c:v>43657</c:v>
                </c:pt>
                <c:pt idx="138">
                  <c:v>43658</c:v>
                </c:pt>
                <c:pt idx="139">
                  <c:v>43661</c:v>
                </c:pt>
                <c:pt idx="140">
                  <c:v>43662</c:v>
                </c:pt>
                <c:pt idx="141">
                  <c:v>43663</c:v>
                </c:pt>
                <c:pt idx="142">
                  <c:v>43664</c:v>
                </c:pt>
                <c:pt idx="143">
                  <c:v>43665</c:v>
                </c:pt>
                <c:pt idx="144">
                  <c:v>43668</c:v>
                </c:pt>
                <c:pt idx="145">
                  <c:v>43669</c:v>
                </c:pt>
                <c:pt idx="146">
                  <c:v>43670</c:v>
                </c:pt>
                <c:pt idx="147">
                  <c:v>43671</c:v>
                </c:pt>
                <c:pt idx="148">
                  <c:v>43672</c:v>
                </c:pt>
                <c:pt idx="149">
                  <c:v>43675</c:v>
                </c:pt>
                <c:pt idx="150">
                  <c:v>43676</c:v>
                </c:pt>
                <c:pt idx="151">
                  <c:v>43677</c:v>
                </c:pt>
                <c:pt idx="152">
                  <c:v>43678</c:v>
                </c:pt>
                <c:pt idx="153">
                  <c:v>43679</c:v>
                </c:pt>
                <c:pt idx="154">
                  <c:v>43682</c:v>
                </c:pt>
                <c:pt idx="155">
                  <c:v>43683</c:v>
                </c:pt>
                <c:pt idx="156">
                  <c:v>43684</c:v>
                </c:pt>
                <c:pt idx="157">
                  <c:v>43685</c:v>
                </c:pt>
                <c:pt idx="158">
                  <c:v>43686</c:v>
                </c:pt>
                <c:pt idx="159">
                  <c:v>43689</c:v>
                </c:pt>
                <c:pt idx="160">
                  <c:v>43690</c:v>
                </c:pt>
                <c:pt idx="161">
                  <c:v>43691</c:v>
                </c:pt>
                <c:pt idx="162">
                  <c:v>43692</c:v>
                </c:pt>
                <c:pt idx="163">
                  <c:v>43693</c:v>
                </c:pt>
                <c:pt idx="164">
                  <c:v>43696</c:v>
                </c:pt>
                <c:pt idx="165">
                  <c:v>43697</c:v>
                </c:pt>
                <c:pt idx="166">
                  <c:v>43698</c:v>
                </c:pt>
                <c:pt idx="167">
                  <c:v>43699</c:v>
                </c:pt>
                <c:pt idx="168">
                  <c:v>43700</c:v>
                </c:pt>
                <c:pt idx="169">
                  <c:v>43703</c:v>
                </c:pt>
                <c:pt idx="170">
                  <c:v>43704</c:v>
                </c:pt>
                <c:pt idx="171">
                  <c:v>43705</c:v>
                </c:pt>
                <c:pt idx="172">
                  <c:v>43706</c:v>
                </c:pt>
                <c:pt idx="173">
                  <c:v>43707</c:v>
                </c:pt>
                <c:pt idx="174">
                  <c:v>43710</c:v>
                </c:pt>
                <c:pt idx="175">
                  <c:v>43711</c:v>
                </c:pt>
                <c:pt idx="176">
                  <c:v>43712</c:v>
                </c:pt>
                <c:pt idx="177">
                  <c:v>43713</c:v>
                </c:pt>
                <c:pt idx="178">
                  <c:v>43714</c:v>
                </c:pt>
                <c:pt idx="179">
                  <c:v>43717</c:v>
                </c:pt>
                <c:pt idx="180">
                  <c:v>43718</c:v>
                </c:pt>
                <c:pt idx="181">
                  <c:v>43719</c:v>
                </c:pt>
                <c:pt idx="182">
                  <c:v>43720</c:v>
                </c:pt>
                <c:pt idx="183">
                  <c:v>43721</c:v>
                </c:pt>
                <c:pt idx="184">
                  <c:v>43724</c:v>
                </c:pt>
                <c:pt idx="185">
                  <c:v>43725</c:v>
                </c:pt>
                <c:pt idx="186">
                  <c:v>43726</c:v>
                </c:pt>
                <c:pt idx="187">
                  <c:v>43727</c:v>
                </c:pt>
                <c:pt idx="188">
                  <c:v>43728</c:v>
                </c:pt>
                <c:pt idx="189">
                  <c:v>43731</c:v>
                </c:pt>
                <c:pt idx="190">
                  <c:v>43732</c:v>
                </c:pt>
                <c:pt idx="191">
                  <c:v>43733</c:v>
                </c:pt>
                <c:pt idx="192">
                  <c:v>43734</c:v>
                </c:pt>
                <c:pt idx="193">
                  <c:v>43735</c:v>
                </c:pt>
                <c:pt idx="194">
                  <c:v>43738</c:v>
                </c:pt>
                <c:pt idx="195">
                  <c:v>43739</c:v>
                </c:pt>
                <c:pt idx="196">
                  <c:v>43740</c:v>
                </c:pt>
                <c:pt idx="197">
                  <c:v>43741</c:v>
                </c:pt>
                <c:pt idx="198">
                  <c:v>43742</c:v>
                </c:pt>
                <c:pt idx="199">
                  <c:v>43745</c:v>
                </c:pt>
                <c:pt idx="200">
                  <c:v>43746</c:v>
                </c:pt>
                <c:pt idx="201">
                  <c:v>43747</c:v>
                </c:pt>
                <c:pt idx="202">
                  <c:v>43748</c:v>
                </c:pt>
                <c:pt idx="203">
                  <c:v>43749</c:v>
                </c:pt>
                <c:pt idx="204">
                  <c:v>43752</c:v>
                </c:pt>
                <c:pt idx="205">
                  <c:v>43753</c:v>
                </c:pt>
                <c:pt idx="206">
                  <c:v>43754</c:v>
                </c:pt>
                <c:pt idx="207">
                  <c:v>43755</c:v>
                </c:pt>
                <c:pt idx="208">
                  <c:v>43756</c:v>
                </c:pt>
                <c:pt idx="209">
                  <c:v>43759</c:v>
                </c:pt>
                <c:pt idx="210">
                  <c:v>43760</c:v>
                </c:pt>
                <c:pt idx="211">
                  <c:v>43761</c:v>
                </c:pt>
                <c:pt idx="212">
                  <c:v>43762</c:v>
                </c:pt>
                <c:pt idx="213">
                  <c:v>43763</c:v>
                </c:pt>
                <c:pt idx="214">
                  <c:v>43766</c:v>
                </c:pt>
                <c:pt idx="215">
                  <c:v>43767</c:v>
                </c:pt>
                <c:pt idx="216">
                  <c:v>43768</c:v>
                </c:pt>
                <c:pt idx="217">
                  <c:v>43769</c:v>
                </c:pt>
                <c:pt idx="218">
                  <c:v>43770</c:v>
                </c:pt>
                <c:pt idx="219">
                  <c:v>43773</c:v>
                </c:pt>
                <c:pt idx="220">
                  <c:v>43774</c:v>
                </c:pt>
                <c:pt idx="221">
                  <c:v>43775</c:v>
                </c:pt>
                <c:pt idx="222">
                  <c:v>43776</c:v>
                </c:pt>
                <c:pt idx="223">
                  <c:v>43777</c:v>
                </c:pt>
                <c:pt idx="224">
                  <c:v>43780</c:v>
                </c:pt>
                <c:pt idx="225">
                  <c:v>43781</c:v>
                </c:pt>
                <c:pt idx="226">
                  <c:v>43782</c:v>
                </c:pt>
                <c:pt idx="227">
                  <c:v>43783</c:v>
                </c:pt>
                <c:pt idx="228">
                  <c:v>43784</c:v>
                </c:pt>
                <c:pt idx="229">
                  <c:v>43787</c:v>
                </c:pt>
                <c:pt idx="230">
                  <c:v>43788</c:v>
                </c:pt>
                <c:pt idx="231">
                  <c:v>43789</c:v>
                </c:pt>
                <c:pt idx="232">
                  <c:v>43790</c:v>
                </c:pt>
                <c:pt idx="233">
                  <c:v>43791</c:v>
                </c:pt>
                <c:pt idx="234">
                  <c:v>43794</c:v>
                </c:pt>
                <c:pt idx="235">
                  <c:v>43795</c:v>
                </c:pt>
                <c:pt idx="236">
                  <c:v>43796</c:v>
                </c:pt>
                <c:pt idx="237">
                  <c:v>43797</c:v>
                </c:pt>
                <c:pt idx="238">
                  <c:v>43798</c:v>
                </c:pt>
                <c:pt idx="239">
                  <c:v>43801</c:v>
                </c:pt>
                <c:pt idx="240">
                  <c:v>43802</c:v>
                </c:pt>
                <c:pt idx="241">
                  <c:v>43803</c:v>
                </c:pt>
                <c:pt idx="242">
                  <c:v>43804</c:v>
                </c:pt>
                <c:pt idx="243">
                  <c:v>43805</c:v>
                </c:pt>
                <c:pt idx="244">
                  <c:v>43808</c:v>
                </c:pt>
                <c:pt idx="245">
                  <c:v>43809</c:v>
                </c:pt>
                <c:pt idx="246">
                  <c:v>43810</c:v>
                </c:pt>
                <c:pt idx="247">
                  <c:v>43811</c:v>
                </c:pt>
                <c:pt idx="248">
                  <c:v>43812</c:v>
                </c:pt>
                <c:pt idx="249">
                  <c:v>43815</c:v>
                </c:pt>
                <c:pt idx="250">
                  <c:v>43816</c:v>
                </c:pt>
                <c:pt idx="251">
                  <c:v>43817</c:v>
                </c:pt>
                <c:pt idx="252">
                  <c:v>43818</c:v>
                </c:pt>
                <c:pt idx="253">
                  <c:v>43819</c:v>
                </c:pt>
                <c:pt idx="254">
                  <c:v>43822</c:v>
                </c:pt>
                <c:pt idx="255">
                  <c:v>43823</c:v>
                </c:pt>
                <c:pt idx="256">
                  <c:v>43824</c:v>
                </c:pt>
                <c:pt idx="257">
                  <c:v>43825</c:v>
                </c:pt>
                <c:pt idx="258">
                  <c:v>43826</c:v>
                </c:pt>
                <c:pt idx="259">
                  <c:v>43829</c:v>
                </c:pt>
                <c:pt idx="260">
                  <c:v>43830</c:v>
                </c:pt>
                <c:pt idx="261">
                  <c:v>43831</c:v>
                </c:pt>
                <c:pt idx="262">
                  <c:v>43832</c:v>
                </c:pt>
                <c:pt idx="263">
                  <c:v>43833</c:v>
                </c:pt>
                <c:pt idx="264">
                  <c:v>43836</c:v>
                </c:pt>
                <c:pt idx="265">
                  <c:v>43837</c:v>
                </c:pt>
                <c:pt idx="266">
                  <c:v>43838</c:v>
                </c:pt>
                <c:pt idx="267">
                  <c:v>43839</c:v>
                </c:pt>
                <c:pt idx="268">
                  <c:v>43840</c:v>
                </c:pt>
                <c:pt idx="269">
                  <c:v>43843</c:v>
                </c:pt>
                <c:pt idx="270">
                  <c:v>43844</c:v>
                </c:pt>
                <c:pt idx="271">
                  <c:v>43845</c:v>
                </c:pt>
                <c:pt idx="272">
                  <c:v>43846</c:v>
                </c:pt>
                <c:pt idx="273">
                  <c:v>43847</c:v>
                </c:pt>
                <c:pt idx="274">
                  <c:v>43850</c:v>
                </c:pt>
                <c:pt idx="275">
                  <c:v>43851</c:v>
                </c:pt>
                <c:pt idx="276">
                  <c:v>43852</c:v>
                </c:pt>
                <c:pt idx="277">
                  <c:v>43853</c:v>
                </c:pt>
                <c:pt idx="278">
                  <c:v>43854</c:v>
                </c:pt>
                <c:pt idx="279">
                  <c:v>43857</c:v>
                </c:pt>
                <c:pt idx="280">
                  <c:v>43858</c:v>
                </c:pt>
                <c:pt idx="281">
                  <c:v>43859</c:v>
                </c:pt>
                <c:pt idx="282">
                  <c:v>43860</c:v>
                </c:pt>
                <c:pt idx="283">
                  <c:v>43861</c:v>
                </c:pt>
                <c:pt idx="284">
                  <c:v>43864</c:v>
                </c:pt>
                <c:pt idx="285">
                  <c:v>43865</c:v>
                </c:pt>
                <c:pt idx="286">
                  <c:v>43866</c:v>
                </c:pt>
                <c:pt idx="287">
                  <c:v>43867</c:v>
                </c:pt>
                <c:pt idx="288">
                  <c:v>43868</c:v>
                </c:pt>
                <c:pt idx="289">
                  <c:v>43871</c:v>
                </c:pt>
                <c:pt idx="290">
                  <c:v>43872</c:v>
                </c:pt>
                <c:pt idx="291">
                  <c:v>43873</c:v>
                </c:pt>
                <c:pt idx="292">
                  <c:v>43874</c:v>
                </c:pt>
                <c:pt idx="293">
                  <c:v>43875</c:v>
                </c:pt>
                <c:pt idx="294">
                  <c:v>43878</c:v>
                </c:pt>
                <c:pt idx="295">
                  <c:v>43879</c:v>
                </c:pt>
                <c:pt idx="296">
                  <c:v>43880</c:v>
                </c:pt>
                <c:pt idx="297">
                  <c:v>43881</c:v>
                </c:pt>
                <c:pt idx="298">
                  <c:v>43882</c:v>
                </c:pt>
                <c:pt idx="299">
                  <c:v>43885</c:v>
                </c:pt>
                <c:pt idx="300">
                  <c:v>43886</c:v>
                </c:pt>
                <c:pt idx="301">
                  <c:v>43887</c:v>
                </c:pt>
                <c:pt idx="302">
                  <c:v>43888</c:v>
                </c:pt>
                <c:pt idx="303">
                  <c:v>43889</c:v>
                </c:pt>
                <c:pt idx="304">
                  <c:v>43892</c:v>
                </c:pt>
                <c:pt idx="305">
                  <c:v>43893</c:v>
                </c:pt>
                <c:pt idx="306">
                  <c:v>43894</c:v>
                </c:pt>
                <c:pt idx="307">
                  <c:v>43895</c:v>
                </c:pt>
                <c:pt idx="308">
                  <c:v>43896</c:v>
                </c:pt>
                <c:pt idx="309">
                  <c:v>43899</c:v>
                </c:pt>
                <c:pt idx="310">
                  <c:v>43900</c:v>
                </c:pt>
                <c:pt idx="311">
                  <c:v>43901</c:v>
                </c:pt>
                <c:pt idx="312">
                  <c:v>43902</c:v>
                </c:pt>
                <c:pt idx="313">
                  <c:v>43903</c:v>
                </c:pt>
                <c:pt idx="314">
                  <c:v>43906</c:v>
                </c:pt>
                <c:pt idx="315">
                  <c:v>43907</c:v>
                </c:pt>
                <c:pt idx="316">
                  <c:v>43908</c:v>
                </c:pt>
                <c:pt idx="317">
                  <c:v>43909</c:v>
                </c:pt>
                <c:pt idx="318">
                  <c:v>43910</c:v>
                </c:pt>
                <c:pt idx="319">
                  <c:v>43913</c:v>
                </c:pt>
                <c:pt idx="320">
                  <c:v>43914</c:v>
                </c:pt>
                <c:pt idx="321">
                  <c:v>43915</c:v>
                </c:pt>
                <c:pt idx="322">
                  <c:v>43916</c:v>
                </c:pt>
                <c:pt idx="323">
                  <c:v>43917</c:v>
                </c:pt>
                <c:pt idx="324">
                  <c:v>43920</c:v>
                </c:pt>
                <c:pt idx="325">
                  <c:v>43921</c:v>
                </c:pt>
                <c:pt idx="326">
                  <c:v>43922</c:v>
                </c:pt>
                <c:pt idx="327">
                  <c:v>43923</c:v>
                </c:pt>
                <c:pt idx="328">
                  <c:v>43924</c:v>
                </c:pt>
                <c:pt idx="329">
                  <c:v>43927</c:v>
                </c:pt>
                <c:pt idx="330">
                  <c:v>43928</c:v>
                </c:pt>
                <c:pt idx="331">
                  <c:v>43929</c:v>
                </c:pt>
                <c:pt idx="332">
                  <c:v>43930</c:v>
                </c:pt>
                <c:pt idx="333">
                  <c:v>43931</c:v>
                </c:pt>
                <c:pt idx="334">
                  <c:v>43934</c:v>
                </c:pt>
                <c:pt idx="335">
                  <c:v>43935</c:v>
                </c:pt>
                <c:pt idx="336">
                  <c:v>43936</c:v>
                </c:pt>
                <c:pt idx="337">
                  <c:v>43937</c:v>
                </c:pt>
                <c:pt idx="338">
                  <c:v>43938</c:v>
                </c:pt>
                <c:pt idx="339">
                  <c:v>43941</c:v>
                </c:pt>
                <c:pt idx="340">
                  <c:v>43942</c:v>
                </c:pt>
                <c:pt idx="341">
                  <c:v>43943</c:v>
                </c:pt>
                <c:pt idx="342">
                  <c:v>43944</c:v>
                </c:pt>
                <c:pt idx="343">
                  <c:v>43945</c:v>
                </c:pt>
                <c:pt idx="344">
                  <c:v>43948</c:v>
                </c:pt>
                <c:pt idx="345">
                  <c:v>43949</c:v>
                </c:pt>
                <c:pt idx="346">
                  <c:v>43950</c:v>
                </c:pt>
                <c:pt idx="347">
                  <c:v>43951</c:v>
                </c:pt>
                <c:pt idx="348">
                  <c:v>43952</c:v>
                </c:pt>
                <c:pt idx="349">
                  <c:v>43955</c:v>
                </c:pt>
                <c:pt idx="350">
                  <c:v>43956</c:v>
                </c:pt>
                <c:pt idx="351">
                  <c:v>43957</c:v>
                </c:pt>
                <c:pt idx="352">
                  <c:v>43958</c:v>
                </c:pt>
                <c:pt idx="353">
                  <c:v>43959</c:v>
                </c:pt>
                <c:pt idx="354">
                  <c:v>43962</c:v>
                </c:pt>
                <c:pt idx="355">
                  <c:v>43963</c:v>
                </c:pt>
                <c:pt idx="356">
                  <c:v>43964</c:v>
                </c:pt>
                <c:pt idx="357">
                  <c:v>43965</c:v>
                </c:pt>
                <c:pt idx="358">
                  <c:v>43966</c:v>
                </c:pt>
                <c:pt idx="359">
                  <c:v>43969</c:v>
                </c:pt>
                <c:pt idx="360">
                  <c:v>43970</c:v>
                </c:pt>
                <c:pt idx="361">
                  <c:v>43971</c:v>
                </c:pt>
                <c:pt idx="362">
                  <c:v>43972</c:v>
                </c:pt>
                <c:pt idx="363">
                  <c:v>43973</c:v>
                </c:pt>
                <c:pt idx="364">
                  <c:v>43976</c:v>
                </c:pt>
                <c:pt idx="365">
                  <c:v>43977</c:v>
                </c:pt>
                <c:pt idx="366">
                  <c:v>43978</c:v>
                </c:pt>
                <c:pt idx="367">
                  <c:v>43979</c:v>
                </c:pt>
                <c:pt idx="368">
                  <c:v>43980</c:v>
                </c:pt>
                <c:pt idx="369">
                  <c:v>43983</c:v>
                </c:pt>
                <c:pt idx="370">
                  <c:v>43984</c:v>
                </c:pt>
                <c:pt idx="371">
                  <c:v>43985</c:v>
                </c:pt>
                <c:pt idx="372">
                  <c:v>43986</c:v>
                </c:pt>
                <c:pt idx="373">
                  <c:v>43987</c:v>
                </c:pt>
                <c:pt idx="374">
                  <c:v>43990</c:v>
                </c:pt>
                <c:pt idx="375">
                  <c:v>43991</c:v>
                </c:pt>
                <c:pt idx="376">
                  <c:v>43992</c:v>
                </c:pt>
                <c:pt idx="377">
                  <c:v>43993</c:v>
                </c:pt>
                <c:pt idx="378">
                  <c:v>43994</c:v>
                </c:pt>
                <c:pt idx="379">
                  <c:v>43997</c:v>
                </c:pt>
                <c:pt idx="380">
                  <c:v>43998</c:v>
                </c:pt>
                <c:pt idx="381">
                  <c:v>43999</c:v>
                </c:pt>
                <c:pt idx="382">
                  <c:v>44000</c:v>
                </c:pt>
                <c:pt idx="383">
                  <c:v>44001</c:v>
                </c:pt>
                <c:pt idx="384">
                  <c:v>44004</c:v>
                </c:pt>
                <c:pt idx="385">
                  <c:v>44005</c:v>
                </c:pt>
                <c:pt idx="386">
                  <c:v>44006</c:v>
                </c:pt>
                <c:pt idx="387">
                  <c:v>44007</c:v>
                </c:pt>
                <c:pt idx="388">
                  <c:v>44008</c:v>
                </c:pt>
                <c:pt idx="389">
                  <c:v>44011</c:v>
                </c:pt>
                <c:pt idx="390">
                  <c:v>44012</c:v>
                </c:pt>
                <c:pt idx="391">
                  <c:v>44013</c:v>
                </c:pt>
                <c:pt idx="392">
                  <c:v>44014</c:v>
                </c:pt>
                <c:pt idx="393">
                  <c:v>44015</c:v>
                </c:pt>
                <c:pt idx="394">
                  <c:v>44018</c:v>
                </c:pt>
                <c:pt idx="395">
                  <c:v>44019</c:v>
                </c:pt>
                <c:pt idx="396">
                  <c:v>44020</c:v>
                </c:pt>
                <c:pt idx="397">
                  <c:v>44021</c:v>
                </c:pt>
                <c:pt idx="398">
                  <c:v>44022</c:v>
                </c:pt>
                <c:pt idx="399">
                  <c:v>44025</c:v>
                </c:pt>
                <c:pt idx="400">
                  <c:v>44026</c:v>
                </c:pt>
                <c:pt idx="401">
                  <c:v>44027</c:v>
                </c:pt>
                <c:pt idx="402">
                  <c:v>44028</c:v>
                </c:pt>
                <c:pt idx="403">
                  <c:v>44029</c:v>
                </c:pt>
                <c:pt idx="404">
                  <c:v>44032</c:v>
                </c:pt>
                <c:pt idx="405">
                  <c:v>44033</c:v>
                </c:pt>
                <c:pt idx="406">
                  <c:v>44034</c:v>
                </c:pt>
                <c:pt idx="407">
                  <c:v>44035</c:v>
                </c:pt>
                <c:pt idx="408">
                  <c:v>44036</c:v>
                </c:pt>
                <c:pt idx="409">
                  <c:v>44039</c:v>
                </c:pt>
                <c:pt idx="410">
                  <c:v>44040</c:v>
                </c:pt>
                <c:pt idx="411">
                  <c:v>44041</c:v>
                </c:pt>
                <c:pt idx="412">
                  <c:v>44042</c:v>
                </c:pt>
                <c:pt idx="413">
                  <c:v>44043</c:v>
                </c:pt>
                <c:pt idx="414">
                  <c:v>44046</c:v>
                </c:pt>
                <c:pt idx="415">
                  <c:v>44047</c:v>
                </c:pt>
                <c:pt idx="416">
                  <c:v>44048</c:v>
                </c:pt>
                <c:pt idx="417">
                  <c:v>44049</c:v>
                </c:pt>
                <c:pt idx="418">
                  <c:v>44050</c:v>
                </c:pt>
                <c:pt idx="419">
                  <c:v>44053</c:v>
                </c:pt>
                <c:pt idx="420">
                  <c:v>44054</c:v>
                </c:pt>
                <c:pt idx="421">
                  <c:v>44055</c:v>
                </c:pt>
                <c:pt idx="422">
                  <c:v>44056</c:v>
                </c:pt>
                <c:pt idx="423">
                  <c:v>44057</c:v>
                </c:pt>
                <c:pt idx="424">
                  <c:v>44060</c:v>
                </c:pt>
                <c:pt idx="425">
                  <c:v>44061</c:v>
                </c:pt>
                <c:pt idx="426">
                  <c:v>44062</c:v>
                </c:pt>
                <c:pt idx="427">
                  <c:v>44063</c:v>
                </c:pt>
                <c:pt idx="428">
                  <c:v>44064</c:v>
                </c:pt>
                <c:pt idx="429">
                  <c:v>44067</c:v>
                </c:pt>
                <c:pt idx="430">
                  <c:v>44068</c:v>
                </c:pt>
                <c:pt idx="431">
                  <c:v>44069</c:v>
                </c:pt>
                <c:pt idx="432">
                  <c:v>44070</c:v>
                </c:pt>
                <c:pt idx="433">
                  <c:v>44071</c:v>
                </c:pt>
                <c:pt idx="434">
                  <c:v>44074</c:v>
                </c:pt>
                <c:pt idx="435">
                  <c:v>44075</c:v>
                </c:pt>
                <c:pt idx="436">
                  <c:v>44076</c:v>
                </c:pt>
                <c:pt idx="437">
                  <c:v>44077</c:v>
                </c:pt>
                <c:pt idx="438">
                  <c:v>44078</c:v>
                </c:pt>
                <c:pt idx="439">
                  <c:v>44081</c:v>
                </c:pt>
                <c:pt idx="440">
                  <c:v>44082</c:v>
                </c:pt>
                <c:pt idx="441">
                  <c:v>44083</c:v>
                </c:pt>
                <c:pt idx="442">
                  <c:v>44084</c:v>
                </c:pt>
                <c:pt idx="443">
                  <c:v>44085</c:v>
                </c:pt>
                <c:pt idx="444">
                  <c:v>44088</c:v>
                </c:pt>
                <c:pt idx="445">
                  <c:v>44089</c:v>
                </c:pt>
                <c:pt idx="446">
                  <c:v>44090</c:v>
                </c:pt>
                <c:pt idx="447">
                  <c:v>44091</c:v>
                </c:pt>
                <c:pt idx="448">
                  <c:v>44092</c:v>
                </c:pt>
                <c:pt idx="449">
                  <c:v>44095</c:v>
                </c:pt>
                <c:pt idx="450">
                  <c:v>44096</c:v>
                </c:pt>
                <c:pt idx="451">
                  <c:v>44097</c:v>
                </c:pt>
                <c:pt idx="452">
                  <c:v>44098</c:v>
                </c:pt>
                <c:pt idx="453">
                  <c:v>44099</c:v>
                </c:pt>
                <c:pt idx="454">
                  <c:v>44102</c:v>
                </c:pt>
                <c:pt idx="455">
                  <c:v>44103</c:v>
                </c:pt>
                <c:pt idx="456">
                  <c:v>44104</c:v>
                </c:pt>
                <c:pt idx="457">
                  <c:v>44105</c:v>
                </c:pt>
                <c:pt idx="458">
                  <c:v>44106</c:v>
                </c:pt>
                <c:pt idx="459">
                  <c:v>44109</c:v>
                </c:pt>
                <c:pt idx="460">
                  <c:v>44110</c:v>
                </c:pt>
                <c:pt idx="461">
                  <c:v>44111</c:v>
                </c:pt>
                <c:pt idx="462">
                  <c:v>44112</c:v>
                </c:pt>
                <c:pt idx="463">
                  <c:v>44113</c:v>
                </c:pt>
                <c:pt idx="464">
                  <c:v>44116</c:v>
                </c:pt>
                <c:pt idx="465">
                  <c:v>44117</c:v>
                </c:pt>
                <c:pt idx="466">
                  <c:v>44118</c:v>
                </c:pt>
                <c:pt idx="467">
                  <c:v>44119</c:v>
                </c:pt>
                <c:pt idx="468">
                  <c:v>44120</c:v>
                </c:pt>
                <c:pt idx="469">
                  <c:v>44123</c:v>
                </c:pt>
                <c:pt idx="470">
                  <c:v>44124</c:v>
                </c:pt>
                <c:pt idx="471">
                  <c:v>44125</c:v>
                </c:pt>
                <c:pt idx="472">
                  <c:v>44126</c:v>
                </c:pt>
                <c:pt idx="473">
                  <c:v>44127</c:v>
                </c:pt>
                <c:pt idx="474">
                  <c:v>44130</c:v>
                </c:pt>
                <c:pt idx="475">
                  <c:v>44131</c:v>
                </c:pt>
                <c:pt idx="476">
                  <c:v>44132</c:v>
                </c:pt>
                <c:pt idx="477">
                  <c:v>44133</c:v>
                </c:pt>
                <c:pt idx="478">
                  <c:v>44134</c:v>
                </c:pt>
                <c:pt idx="479">
                  <c:v>44137</c:v>
                </c:pt>
                <c:pt idx="480">
                  <c:v>44138</c:v>
                </c:pt>
                <c:pt idx="481">
                  <c:v>44139</c:v>
                </c:pt>
                <c:pt idx="482">
                  <c:v>44140</c:v>
                </c:pt>
                <c:pt idx="483">
                  <c:v>44141</c:v>
                </c:pt>
                <c:pt idx="484">
                  <c:v>44144</c:v>
                </c:pt>
                <c:pt idx="485">
                  <c:v>44145</c:v>
                </c:pt>
                <c:pt idx="486">
                  <c:v>44146</c:v>
                </c:pt>
                <c:pt idx="487">
                  <c:v>44147</c:v>
                </c:pt>
                <c:pt idx="488">
                  <c:v>44148</c:v>
                </c:pt>
                <c:pt idx="489">
                  <c:v>44151</c:v>
                </c:pt>
                <c:pt idx="490">
                  <c:v>44152</c:v>
                </c:pt>
                <c:pt idx="491">
                  <c:v>44153</c:v>
                </c:pt>
                <c:pt idx="492">
                  <c:v>44154</c:v>
                </c:pt>
                <c:pt idx="493">
                  <c:v>44155</c:v>
                </c:pt>
                <c:pt idx="494">
                  <c:v>44158</c:v>
                </c:pt>
                <c:pt idx="495">
                  <c:v>44159</c:v>
                </c:pt>
                <c:pt idx="496">
                  <c:v>44160</c:v>
                </c:pt>
                <c:pt idx="497">
                  <c:v>44161</c:v>
                </c:pt>
                <c:pt idx="498">
                  <c:v>44162</c:v>
                </c:pt>
                <c:pt idx="499">
                  <c:v>44165</c:v>
                </c:pt>
                <c:pt idx="500">
                  <c:v>44166</c:v>
                </c:pt>
                <c:pt idx="501">
                  <c:v>44167</c:v>
                </c:pt>
                <c:pt idx="502">
                  <c:v>44168</c:v>
                </c:pt>
                <c:pt idx="503">
                  <c:v>44169</c:v>
                </c:pt>
                <c:pt idx="504">
                  <c:v>44172</c:v>
                </c:pt>
                <c:pt idx="505">
                  <c:v>44173</c:v>
                </c:pt>
                <c:pt idx="506">
                  <c:v>44174</c:v>
                </c:pt>
                <c:pt idx="507">
                  <c:v>44175</c:v>
                </c:pt>
                <c:pt idx="508">
                  <c:v>44176</c:v>
                </c:pt>
                <c:pt idx="509">
                  <c:v>44179</c:v>
                </c:pt>
                <c:pt idx="510">
                  <c:v>44180</c:v>
                </c:pt>
                <c:pt idx="511">
                  <c:v>44181</c:v>
                </c:pt>
                <c:pt idx="512">
                  <c:v>44182</c:v>
                </c:pt>
                <c:pt idx="513">
                  <c:v>44183</c:v>
                </c:pt>
                <c:pt idx="514">
                  <c:v>44186</c:v>
                </c:pt>
                <c:pt idx="515">
                  <c:v>44187</c:v>
                </c:pt>
                <c:pt idx="516">
                  <c:v>44188</c:v>
                </c:pt>
                <c:pt idx="517">
                  <c:v>44189</c:v>
                </c:pt>
                <c:pt idx="518">
                  <c:v>44190</c:v>
                </c:pt>
                <c:pt idx="519">
                  <c:v>44193</c:v>
                </c:pt>
                <c:pt idx="520">
                  <c:v>44194</c:v>
                </c:pt>
                <c:pt idx="521">
                  <c:v>44195</c:v>
                </c:pt>
                <c:pt idx="522">
                  <c:v>44196</c:v>
                </c:pt>
                <c:pt idx="523">
                  <c:v>44197</c:v>
                </c:pt>
                <c:pt idx="524">
                  <c:v>44200</c:v>
                </c:pt>
                <c:pt idx="525">
                  <c:v>44201</c:v>
                </c:pt>
                <c:pt idx="526">
                  <c:v>44202</c:v>
                </c:pt>
                <c:pt idx="527">
                  <c:v>44203</c:v>
                </c:pt>
                <c:pt idx="528">
                  <c:v>44204</c:v>
                </c:pt>
                <c:pt idx="529">
                  <c:v>44207</c:v>
                </c:pt>
                <c:pt idx="530">
                  <c:v>44208</c:v>
                </c:pt>
                <c:pt idx="531">
                  <c:v>44209</c:v>
                </c:pt>
                <c:pt idx="532">
                  <c:v>44210</c:v>
                </c:pt>
                <c:pt idx="533">
                  <c:v>44211</c:v>
                </c:pt>
                <c:pt idx="534">
                  <c:v>44214</c:v>
                </c:pt>
                <c:pt idx="535">
                  <c:v>44215</c:v>
                </c:pt>
                <c:pt idx="536">
                  <c:v>44216</c:v>
                </c:pt>
                <c:pt idx="537">
                  <c:v>44217</c:v>
                </c:pt>
                <c:pt idx="538">
                  <c:v>44218</c:v>
                </c:pt>
                <c:pt idx="539">
                  <c:v>44221</c:v>
                </c:pt>
                <c:pt idx="540">
                  <c:v>44222</c:v>
                </c:pt>
                <c:pt idx="541">
                  <c:v>44223</c:v>
                </c:pt>
                <c:pt idx="542">
                  <c:v>44224</c:v>
                </c:pt>
                <c:pt idx="543">
                  <c:v>44225</c:v>
                </c:pt>
                <c:pt idx="544">
                  <c:v>44228</c:v>
                </c:pt>
                <c:pt idx="545">
                  <c:v>44229</c:v>
                </c:pt>
                <c:pt idx="546">
                  <c:v>44230</c:v>
                </c:pt>
                <c:pt idx="547">
                  <c:v>44231</c:v>
                </c:pt>
                <c:pt idx="548">
                  <c:v>44232</c:v>
                </c:pt>
                <c:pt idx="549">
                  <c:v>44235</c:v>
                </c:pt>
                <c:pt idx="550">
                  <c:v>44236</c:v>
                </c:pt>
                <c:pt idx="551">
                  <c:v>44237</c:v>
                </c:pt>
                <c:pt idx="552">
                  <c:v>44238</c:v>
                </c:pt>
                <c:pt idx="553">
                  <c:v>44239</c:v>
                </c:pt>
                <c:pt idx="554">
                  <c:v>44242</c:v>
                </c:pt>
                <c:pt idx="555">
                  <c:v>44243</c:v>
                </c:pt>
                <c:pt idx="556">
                  <c:v>44244</c:v>
                </c:pt>
                <c:pt idx="557">
                  <c:v>44245</c:v>
                </c:pt>
                <c:pt idx="558">
                  <c:v>44246</c:v>
                </c:pt>
                <c:pt idx="559">
                  <c:v>44249</c:v>
                </c:pt>
                <c:pt idx="560">
                  <c:v>44250</c:v>
                </c:pt>
                <c:pt idx="561">
                  <c:v>44251</c:v>
                </c:pt>
                <c:pt idx="562">
                  <c:v>44252</c:v>
                </c:pt>
                <c:pt idx="563">
                  <c:v>44253</c:v>
                </c:pt>
                <c:pt idx="564">
                  <c:v>44256</c:v>
                </c:pt>
                <c:pt idx="565">
                  <c:v>44257</c:v>
                </c:pt>
                <c:pt idx="566">
                  <c:v>44258</c:v>
                </c:pt>
                <c:pt idx="567">
                  <c:v>44259</c:v>
                </c:pt>
                <c:pt idx="568">
                  <c:v>44260</c:v>
                </c:pt>
                <c:pt idx="569">
                  <c:v>44263</c:v>
                </c:pt>
                <c:pt idx="570">
                  <c:v>44264</c:v>
                </c:pt>
                <c:pt idx="571">
                  <c:v>44265</c:v>
                </c:pt>
                <c:pt idx="572">
                  <c:v>44266</c:v>
                </c:pt>
                <c:pt idx="573">
                  <c:v>44267</c:v>
                </c:pt>
                <c:pt idx="574">
                  <c:v>44270</c:v>
                </c:pt>
                <c:pt idx="575">
                  <c:v>44271</c:v>
                </c:pt>
                <c:pt idx="576">
                  <c:v>44272</c:v>
                </c:pt>
                <c:pt idx="577">
                  <c:v>44273</c:v>
                </c:pt>
                <c:pt idx="578">
                  <c:v>44274</c:v>
                </c:pt>
                <c:pt idx="579">
                  <c:v>44277</c:v>
                </c:pt>
                <c:pt idx="580">
                  <c:v>44278</c:v>
                </c:pt>
                <c:pt idx="581">
                  <c:v>44279</c:v>
                </c:pt>
                <c:pt idx="582">
                  <c:v>44280</c:v>
                </c:pt>
                <c:pt idx="583">
                  <c:v>44281</c:v>
                </c:pt>
                <c:pt idx="584">
                  <c:v>44284</c:v>
                </c:pt>
                <c:pt idx="585">
                  <c:v>44285</c:v>
                </c:pt>
                <c:pt idx="586">
                  <c:v>44286</c:v>
                </c:pt>
                <c:pt idx="587">
                  <c:v>44287</c:v>
                </c:pt>
                <c:pt idx="588">
                  <c:v>44288</c:v>
                </c:pt>
                <c:pt idx="589">
                  <c:v>44291</c:v>
                </c:pt>
                <c:pt idx="590">
                  <c:v>44292</c:v>
                </c:pt>
                <c:pt idx="591">
                  <c:v>44293</c:v>
                </c:pt>
                <c:pt idx="592">
                  <c:v>44294</c:v>
                </c:pt>
                <c:pt idx="593">
                  <c:v>44295</c:v>
                </c:pt>
                <c:pt idx="594">
                  <c:v>44298</c:v>
                </c:pt>
                <c:pt idx="595">
                  <c:v>44299</c:v>
                </c:pt>
                <c:pt idx="596">
                  <c:v>44300</c:v>
                </c:pt>
                <c:pt idx="597">
                  <c:v>44301</c:v>
                </c:pt>
                <c:pt idx="598">
                  <c:v>44302</c:v>
                </c:pt>
                <c:pt idx="599">
                  <c:v>44305</c:v>
                </c:pt>
                <c:pt idx="600">
                  <c:v>44306</c:v>
                </c:pt>
                <c:pt idx="601">
                  <c:v>44307</c:v>
                </c:pt>
                <c:pt idx="602">
                  <c:v>44308</c:v>
                </c:pt>
                <c:pt idx="603">
                  <c:v>44309</c:v>
                </c:pt>
                <c:pt idx="604">
                  <c:v>44312</c:v>
                </c:pt>
                <c:pt idx="605">
                  <c:v>44313</c:v>
                </c:pt>
                <c:pt idx="606">
                  <c:v>44314</c:v>
                </c:pt>
                <c:pt idx="607">
                  <c:v>44315</c:v>
                </c:pt>
                <c:pt idx="608">
                  <c:v>44316</c:v>
                </c:pt>
                <c:pt idx="609">
                  <c:v>44319</c:v>
                </c:pt>
                <c:pt idx="610">
                  <c:v>44320</c:v>
                </c:pt>
                <c:pt idx="611">
                  <c:v>44321</c:v>
                </c:pt>
                <c:pt idx="612">
                  <c:v>44322</c:v>
                </c:pt>
                <c:pt idx="613">
                  <c:v>44323</c:v>
                </c:pt>
                <c:pt idx="614">
                  <c:v>44326</c:v>
                </c:pt>
                <c:pt idx="615">
                  <c:v>44327</c:v>
                </c:pt>
                <c:pt idx="616">
                  <c:v>44328</c:v>
                </c:pt>
                <c:pt idx="617">
                  <c:v>44329</c:v>
                </c:pt>
                <c:pt idx="618">
                  <c:v>44330</c:v>
                </c:pt>
                <c:pt idx="619">
                  <c:v>44333</c:v>
                </c:pt>
                <c:pt idx="620">
                  <c:v>44334</c:v>
                </c:pt>
                <c:pt idx="621">
                  <c:v>44335</c:v>
                </c:pt>
                <c:pt idx="622">
                  <c:v>44336</c:v>
                </c:pt>
                <c:pt idx="623">
                  <c:v>44337</c:v>
                </c:pt>
              </c:numCache>
            </c:numRef>
          </c:cat>
          <c:val>
            <c:numRef>
              <c:f>Sheet1!$C$2:$C$625</c:f>
              <c:numCache>
                <c:formatCode>0</c:formatCode>
                <c:ptCount val="624"/>
                <c:pt idx="0">
                  <c:v>220.47</c:v>
                </c:pt>
                <c:pt idx="1">
                  <c:v>222.61600000000001</c:v>
                </c:pt>
                <c:pt idx="2">
                  <c:v>228.64</c:v>
                </c:pt>
                <c:pt idx="3">
                  <c:v>203.69300000000001</c:v>
                </c:pt>
                <c:pt idx="4">
                  <c:v>194.91399999999999</c:v>
                </c:pt>
                <c:pt idx="5">
                  <c:v>190.78800000000001</c:v>
                </c:pt>
                <c:pt idx="6">
                  <c:v>188.86799999999999</c:v>
                </c:pt>
                <c:pt idx="7">
                  <c:v>190.86099999999999</c:v>
                </c:pt>
                <c:pt idx="8">
                  <c:v>190.322</c:v>
                </c:pt>
                <c:pt idx="9">
                  <c:v>190.33799999999999</c:v>
                </c:pt>
                <c:pt idx="10">
                  <c:v>187.42599999999999</c:v>
                </c:pt>
                <c:pt idx="11">
                  <c:v>184.25200000000001</c:v>
                </c:pt>
                <c:pt idx="12">
                  <c:v>182.411</c:v>
                </c:pt>
                <c:pt idx="13">
                  <c:v>174.941</c:v>
                </c:pt>
                <c:pt idx="14">
                  <c:v>174.941</c:v>
                </c:pt>
                <c:pt idx="15">
                  <c:v>181.71899999999999</c:v>
                </c:pt>
                <c:pt idx="16">
                  <c:v>180.08799999999999</c:v>
                </c:pt>
                <c:pt idx="17">
                  <c:v>179.535</c:v>
                </c:pt>
                <c:pt idx="18">
                  <c:v>180.68899999999999</c:v>
                </c:pt>
                <c:pt idx="19">
                  <c:v>183.042</c:v>
                </c:pt>
                <c:pt idx="20">
                  <c:v>186.56100000000001</c:v>
                </c:pt>
                <c:pt idx="21">
                  <c:v>185.767</c:v>
                </c:pt>
                <c:pt idx="22">
                  <c:v>184.21299999999999</c:v>
                </c:pt>
                <c:pt idx="23">
                  <c:v>187.19800000000001</c:v>
                </c:pt>
                <c:pt idx="24">
                  <c:v>183.68899999999999</c:v>
                </c:pt>
                <c:pt idx="25">
                  <c:v>184.858</c:v>
                </c:pt>
                <c:pt idx="26">
                  <c:v>184.22399999999999</c:v>
                </c:pt>
                <c:pt idx="27">
                  <c:v>188.13</c:v>
                </c:pt>
                <c:pt idx="28">
                  <c:v>195.702</c:v>
                </c:pt>
                <c:pt idx="29">
                  <c:v>192.81</c:v>
                </c:pt>
                <c:pt idx="30">
                  <c:v>190.14099999999999</c:v>
                </c:pt>
                <c:pt idx="31">
                  <c:v>189.18299999999999</c:v>
                </c:pt>
                <c:pt idx="32">
                  <c:v>202.322</c:v>
                </c:pt>
                <c:pt idx="33">
                  <c:v>201.553</c:v>
                </c:pt>
                <c:pt idx="34">
                  <c:v>197.084</c:v>
                </c:pt>
                <c:pt idx="35">
                  <c:v>200.726</c:v>
                </c:pt>
                <c:pt idx="36">
                  <c:v>197.63399999999999</c:v>
                </c:pt>
                <c:pt idx="37">
                  <c:v>195.68</c:v>
                </c:pt>
                <c:pt idx="38">
                  <c:v>197.51300000000001</c:v>
                </c:pt>
                <c:pt idx="39">
                  <c:v>191.53700000000001</c:v>
                </c:pt>
                <c:pt idx="40">
                  <c:v>193.12</c:v>
                </c:pt>
                <c:pt idx="41">
                  <c:v>187.99199999999999</c:v>
                </c:pt>
                <c:pt idx="42">
                  <c:v>181.21299999999999</c:v>
                </c:pt>
                <c:pt idx="43">
                  <c:v>183.69399999999999</c:v>
                </c:pt>
                <c:pt idx="44">
                  <c:v>180.36199999999999</c:v>
                </c:pt>
                <c:pt idx="45">
                  <c:v>181.018</c:v>
                </c:pt>
                <c:pt idx="46">
                  <c:v>182.005</c:v>
                </c:pt>
                <c:pt idx="47">
                  <c:v>185.40299999999999</c:v>
                </c:pt>
                <c:pt idx="48">
                  <c:v>188.215</c:v>
                </c:pt>
                <c:pt idx="49">
                  <c:v>180.041</c:v>
                </c:pt>
                <c:pt idx="50">
                  <c:v>178.89400000000001</c:v>
                </c:pt>
                <c:pt idx="51">
                  <c:v>178.21700000000001</c:v>
                </c:pt>
                <c:pt idx="52">
                  <c:v>177.172</c:v>
                </c:pt>
                <c:pt idx="53">
                  <c:v>182.084</c:v>
                </c:pt>
                <c:pt idx="54">
                  <c:v>178.44300000000001</c:v>
                </c:pt>
                <c:pt idx="55">
                  <c:v>176.13499999999999</c:v>
                </c:pt>
                <c:pt idx="56">
                  <c:v>184.18899999999999</c:v>
                </c:pt>
                <c:pt idx="57">
                  <c:v>181.828</c:v>
                </c:pt>
                <c:pt idx="58">
                  <c:v>190.333</c:v>
                </c:pt>
                <c:pt idx="59">
                  <c:v>194.73</c:v>
                </c:pt>
                <c:pt idx="60">
                  <c:v>187.976</c:v>
                </c:pt>
                <c:pt idx="61">
                  <c:v>195.23500000000001</c:v>
                </c:pt>
                <c:pt idx="62">
                  <c:v>190.71199999999999</c:v>
                </c:pt>
                <c:pt idx="63">
                  <c:v>189.29400000000001</c:v>
                </c:pt>
                <c:pt idx="64">
                  <c:v>180.93299999999999</c:v>
                </c:pt>
                <c:pt idx="65">
                  <c:v>182.21700000000001</c:v>
                </c:pt>
                <c:pt idx="66">
                  <c:v>182.06700000000001</c:v>
                </c:pt>
                <c:pt idx="67">
                  <c:v>182.215</c:v>
                </c:pt>
                <c:pt idx="68">
                  <c:v>179.923</c:v>
                </c:pt>
                <c:pt idx="69">
                  <c:v>178.18299999999999</c:v>
                </c:pt>
                <c:pt idx="70">
                  <c:v>178.82300000000001</c:v>
                </c:pt>
                <c:pt idx="71">
                  <c:v>182.16900000000001</c:v>
                </c:pt>
                <c:pt idx="72">
                  <c:v>178.756</c:v>
                </c:pt>
                <c:pt idx="73">
                  <c:v>177.315</c:v>
                </c:pt>
                <c:pt idx="74">
                  <c:v>175.22</c:v>
                </c:pt>
                <c:pt idx="75">
                  <c:v>171.541</c:v>
                </c:pt>
                <c:pt idx="76">
                  <c:v>168.61500000000001</c:v>
                </c:pt>
                <c:pt idx="77">
                  <c:v>173.81899999999999</c:v>
                </c:pt>
                <c:pt idx="78">
                  <c:v>173.81899999999999</c:v>
                </c:pt>
                <c:pt idx="79">
                  <c:v>173.81899999999999</c:v>
                </c:pt>
                <c:pt idx="80">
                  <c:v>170.02600000000001</c:v>
                </c:pt>
                <c:pt idx="81">
                  <c:v>173.369</c:v>
                </c:pt>
                <c:pt idx="82">
                  <c:v>173.547</c:v>
                </c:pt>
                <c:pt idx="83">
                  <c:v>174.36600000000001</c:v>
                </c:pt>
                <c:pt idx="84">
                  <c:v>169.33099999999999</c:v>
                </c:pt>
                <c:pt idx="85">
                  <c:v>169.196</c:v>
                </c:pt>
                <c:pt idx="86">
                  <c:v>167.797</c:v>
                </c:pt>
                <c:pt idx="87">
                  <c:v>170.71199999999999</c:v>
                </c:pt>
                <c:pt idx="88">
                  <c:v>172.20400000000001</c:v>
                </c:pt>
                <c:pt idx="89">
                  <c:v>172.20400000000001</c:v>
                </c:pt>
                <c:pt idx="90">
                  <c:v>182.655</c:v>
                </c:pt>
                <c:pt idx="91">
                  <c:v>184.08600000000001</c:v>
                </c:pt>
                <c:pt idx="92">
                  <c:v>184.38</c:v>
                </c:pt>
                <c:pt idx="93">
                  <c:v>184.80099999999999</c:v>
                </c:pt>
                <c:pt idx="94">
                  <c:v>191.227</c:v>
                </c:pt>
                <c:pt idx="95">
                  <c:v>189.58500000000001</c:v>
                </c:pt>
                <c:pt idx="96">
                  <c:v>192.88</c:v>
                </c:pt>
                <c:pt idx="97">
                  <c:v>183.01900000000001</c:v>
                </c:pt>
                <c:pt idx="98">
                  <c:v>179.34899999999999</c:v>
                </c:pt>
                <c:pt idx="99">
                  <c:v>175.02600000000001</c:v>
                </c:pt>
                <c:pt idx="100">
                  <c:v>170.119</c:v>
                </c:pt>
                <c:pt idx="101">
                  <c:v>174.001</c:v>
                </c:pt>
                <c:pt idx="102">
                  <c:v>183.63300000000001</c:v>
                </c:pt>
                <c:pt idx="103">
                  <c:v>180.81</c:v>
                </c:pt>
                <c:pt idx="104">
                  <c:v>180.81</c:v>
                </c:pt>
                <c:pt idx="105">
                  <c:v>182.161</c:v>
                </c:pt>
                <c:pt idx="106">
                  <c:v>184.13399999999999</c:v>
                </c:pt>
                <c:pt idx="107">
                  <c:v>186.828</c:v>
                </c:pt>
                <c:pt idx="108">
                  <c:v>192.01900000000001</c:v>
                </c:pt>
                <c:pt idx="109">
                  <c:v>202.62299999999999</c:v>
                </c:pt>
                <c:pt idx="110">
                  <c:v>193.38399999999999</c:v>
                </c:pt>
                <c:pt idx="111">
                  <c:v>185.79900000000001</c:v>
                </c:pt>
                <c:pt idx="112">
                  <c:v>184.20400000000001</c:v>
                </c:pt>
                <c:pt idx="113">
                  <c:v>185.922</c:v>
                </c:pt>
                <c:pt idx="114">
                  <c:v>175.822</c:v>
                </c:pt>
                <c:pt idx="115">
                  <c:v>177.95500000000001</c:v>
                </c:pt>
                <c:pt idx="116">
                  <c:v>182.14400000000001</c:v>
                </c:pt>
                <c:pt idx="117">
                  <c:v>187.02099999999999</c:v>
                </c:pt>
                <c:pt idx="118">
                  <c:v>188.13</c:v>
                </c:pt>
                <c:pt idx="119">
                  <c:v>186.99</c:v>
                </c:pt>
                <c:pt idx="120">
                  <c:v>181.41900000000001</c:v>
                </c:pt>
                <c:pt idx="121">
                  <c:v>182.62899999999999</c:v>
                </c:pt>
                <c:pt idx="122">
                  <c:v>168.601</c:v>
                </c:pt>
                <c:pt idx="123">
                  <c:v>181.87</c:v>
                </c:pt>
                <c:pt idx="124">
                  <c:v>187.42500000000001</c:v>
                </c:pt>
                <c:pt idx="125">
                  <c:v>189.51499999999999</c:v>
                </c:pt>
                <c:pt idx="126">
                  <c:v>190.28399999999999</c:v>
                </c:pt>
                <c:pt idx="127">
                  <c:v>187.233</c:v>
                </c:pt>
                <c:pt idx="128">
                  <c:v>182.886</c:v>
                </c:pt>
                <c:pt idx="129">
                  <c:v>174.417</c:v>
                </c:pt>
                <c:pt idx="130">
                  <c:v>178.922</c:v>
                </c:pt>
                <c:pt idx="131">
                  <c:v>178.666</c:v>
                </c:pt>
                <c:pt idx="132">
                  <c:v>178.80799999999999</c:v>
                </c:pt>
                <c:pt idx="133">
                  <c:v>176.39400000000001</c:v>
                </c:pt>
                <c:pt idx="134">
                  <c:v>171.553</c:v>
                </c:pt>
                <c:pt idx="135">
                  <c:v>174.74700000000001</c:v>
                </c:pt>
                <c:pt idx="136">
                  <c:v>180.143</c:v>
                </c:pt>
                <c:pt idx="137">
                  <c:v>175.655</c:v>
                </c:pt>
                <c:pt idx="138">
                  <c:v>178.364</c:v>
                </c:pt>
                <c:pt idx="139">
                  <c:v>174.33799999999999</c:v>
                </c:pt>
                <c:pt idx="140">
                  <c:v>169.30500000000001</c:v>
                </c:pt>
                <c:pt idx="141">
                  <c:v>171.316</c:v>
                </c:pt>
                <c:pt idx="142">
                  <c:v>173.75200000000001</c:v>
                </c:pt>
                <c:pt idx="143">
                  <c:v>170.12100000000001</c:v>
                </c:pt>
                <c:pt idx="144">
                  <c:v>170.476</c:v>
                </c:pt>
                <c:pt idx="145">
                  <c:v>165.11199999999999</c:v>
                </c:pt>
                <c:pt idx="146">
                  <c:v>167.52199999999999</c:v>
                </c:pt>
                <c:pt idx="147">
                  <c:v>163.04599999999999</c:v>
                </c:pt>
                <c:pt idx="148">
                  <c:v>162.96899999999999</c:v>
                </c:pt>
                <c:pt idx="149">
                  <c:v>162.19399999999999</c:v>
                </c:pt>
                <c:pt idx="150">
                  <c:v>163</c:v>
                </c:pt>
                <c:pt idx="151">
                  <c:v>167.01499999999999</c:v>
                </c:pt>
                <c:pt idx="152">
                  <c:v>183.78899999999999</c:v>
                </c:pt>
                <c:pt idx="153">
                  <c:v>187.166</c:v>
                </c:pt>
                <c:pt idx="154">
                  <c:v>197.922</c:v>
                </c:pt>
                <c:pt idx="155">
                  <c:v>197.68</c:v>
                </c:pt>
                <c:pt idx="156">
                  <c:v>198.76400000000001</c:v>
                </c:pt>
                <c:pt idx="157">
                  <c:v>187.483</c:v>
                </c:pt>
                <c:pt idx="158">
                  <c:v>189.81399999999999</c:v>
                </c:pt>
                <c:pt idx="159">
                  <c:v>195.34100000000001</c:v>
                </c:pt>
                <c:pt idx="160">
                  <c:v>189.38800000000001</c:v>
                </c:pt>
                <c:pt idx="161">
                  <c:v>194.435</c:v>
                </c:pt>
                <c:pt idx="162">
                  <c:v>198.15899999999999</c:v>
                </c:pt>
                <c:pt idx="163">
                  <c:v>197.78299999999999</c:v>
                </c:pt>
                <c:pt idx="164">
                  <c:v>192.083</c:v>
                </c:pt>
                <c:pt idx="165">
                  <c:v>191.72300000000001</c:v>
                </c:pt>
                <c:pt idx="166">
                  <c:v>187.441</c:v>
                </c:pt>
                <c:pt idx="167">
                  <c:v>184.49799999999999</c:v>
                </c:pt>
                <c:pt idx="168">
                  <c:v>193.935</c:v>
                </c:pt>
                <c:pt idx="169">
                  <c:v>193.935</c:v>
                </c:pt>
                <c:pt idx="170">
                  <c:v>188.88</c:v>
                </c:pt>
                <c:pt idx="171">
                  <c:v>188.77199999999999</c:v>
                </c:pt>
                <c:pt idx="172">
                  <c:v>182.72800000000001</c:v>
                </c:pt>
                <c:pt idx="173">
                  <c:v>182.38800000000001</c:v>
                </c:pt>
                <c:pt idx="174">
                  <c:v>182.173</c:v>
                </c:pt>
                <c:pt idx="175">
                  <c:v>181.59899999999999</c:v>
                </c:pt>
                <c:pt idx="176">
                  <c:v>174.374</c:v>
                </c:pt>
                <c:pt idx="177">
                  <c:v>167.85900000000001</c:v>
                </c:pt>
                <c:pt idx="178">
                  <c:v>169.79499999999999</c:v>
                </c:pt>
                <c:pt idx="179">
                  <c:v>165.93199999999999</c:v>
                </c:pt>
                <c:pt idx="180">
                  <c:v>163.298</c:v>
                </c:pt>
                <c:pt idx="181">
                  <c:v>162.18100000000001</c:v>
                </c:pt>
                <c:pt idx="182">
                  <c:v>158.28</c:v>
                </c:pt>
                <c:pt idx="183">
                  <c:v>151.82</c:v>
                </c:pt>
                <c:pt idx="184">
                  <c:v>155.33099999999999</c:v>
                </c:pt>
                <c:pt idx="185">
                  <c:v>156.499</c:v>
                </c:pt>
                <c:pt idx="186">
                  <c:v>153.09200000000001</c:v>
                </c:pt>
                <c:pt idx="187">
                  <c:v>153.56399999999999</c:v>
                </c:pt>
                <c:pt idx="188">
                  <c:v>154.24700000000001</c:v>
                </c:pt>
                <c:pt idx="189">
                  <c:v>149.71600000000001</c:v>
                </c:pt>
                <c:pt idx="190">
                  <c:v>160.53200000000001</c:v>
                </c:pt>
                <c:pt idx="191">
                  <c:v>155.22800000000001</c:v>
                </c:pt>
                <c:pt idx="192">
                  <c:v>161.185</c:v>
                </c:pt>
                <c:pt idx="193">
                  <c:v>163.53800000000001</c:v>
                </c:pt>
                <c:pt idx="194">
                  <c:v>166.42099999999999</c:v>
                </c:pt>
                <c:pt idx="195">
                  <c:v>172.67599999999999</c:v>
                </c:pt>
                <c:pt idx="196">
                  <c:v>179.77</c:v>
                </c:pt>
                <c:pt idx="197">
                  <c:v>182.221</c:v>
                </c:pt>
                <c:pt idx="198">
                  <c:v>180.22900000000001</c:v>
                </c:pt>
                <c:pt idx="199">
                  <c:v>175.11199999999999</c:v>
                </c:pt>
                <c:pt idx="200">
                  <c:v>181.26300000000001</c:v>
                </c:pt>
                <c:pt idx="201">
                  <c:v>176.654</c:v>
                </c:pt>
                <c:pt idx="202">
                  <c:v>172.941</c:v>
                </c:pt>
                <c:pt idx="203">
                  <c:v>160.679</c:v>
                </c:pt>
                <c:pt idx="204">
                  <c:v>164.048</c:v>
                </c:pt>
                <c:pt idx="205">
                  <c:v>156.50299999999999</c:v>
                </c:pt>
                <c:pt idx="206">
                  <c:v>156.898</c:v>
                </c:pt>
                <c:pt idx="207">
                  <c:v>155.65799999999999</c:v>
                </c:pt>
                <c:pt idx="208">
                  <c:v>156.78800000000001</c:v>
                </c:pt>
                <c:pt idx="209">
                  <c:v>150.32599999999999</c:v>
                </c:pt>
                <c:pt idx="210">
                  <c:v>152.09</c:v>
                </c:pt>
                <c:pt idx="211">
                  <c:v>149.357</c:v>
                </c:pt>
                <c:pt idx="212">
                  <c:v>149.01599999999999</c:v>
                </c:pt>
                <c:pt idx="213">
                  <c:v>145.33099999999999</c:v>
                </c:pt>
                <c:pt idx="214">
                  <c:v>143.309</c:v>
                </c:pt>
                <c:pt idx="215">
                  <c:v>143.45099999999999</c:v>
                </c:pt>
                <c:pt idx="216">
                  <c:v>147.46700000000001</c:v>
                </c:pt>
                <c:pt idx="217">
                  <c:v>150.02000000000001</c:v>
                </c:pt>
                <c:pt idx="218">
                  <c:v>143.78800000000001</c:v>
                </c:pt>
                <c:pt idx="219">
                  <c:v>137.36500000000001</c:v>
                </c:pt>
                <c:pt idx="220">
                  <c:v>135.18600000000001</c:v>
                </c:pt>
                <c:pt idx="221">
                  <c:v>136.941</c:v>
                </c:pt>
                <c:pt idx="222">
                  <c:v>131.54300000000001</c:v>
                </c:pt>
                <c:pt idx="223">
                  <c:v>128.46700000000001</c:v>
                </c:pt>
                <c:pt idx="224">
                  <c:v>127.599</c:v>
                </c:pt>
                <c:pt idx="225">
                  <c:v>128.15</c:v>
                </c:pt>
                <c:pt idx="226">
                  <c:v>132.90899999999999</c:v>
                </c:pt>
                <c:pt idx="227">
                  <c:v>134.148</c:v>
                </c:pt>
                <c:pt idx="228">
                  <c:v>133.12299999999999</c:v>
                </c:pt>
                <c:pt idx="229">
                  <c:v>134.541</c:v>
                </c:pt>
                <c:pt idx="230">
                  <c:v>137.90700000000001</c:v>
                </c:pt>
                <c:pt idx="231">
                  <c:v>136.19900000000001</c:v>
                </c:pt>
                <c:pt idx="232">
                  <c:v>131.785</c:v>
                </c:pt>
                <c:pt idx="233">
                  <c:v>131.012</c:v>
                </c:pt>
                <c:pt idx="234">
                  <c:v>131.179</c:v>
                </c:pt>
                <c:pt idx="235">
                  <c:v>132.12799999999999</c:v>
                </c:pt>
                <c:pt idx="236">
                  <c:v>127.896</c:v>
                </c:pt>
                <c:pt idx="237">
                  <c:v>125.325</c:v>
                </c:pt>
                <c:pt idx="238">
                  <c:v>126.52</c:v>
                </c:pt>
                <c:pt idx="239">
                  <c:v>126.017</c:v>
                </c:pt>
                <c:pt idx="240">
                  <c:v>134.637</c:v>
                </c:pt>
                <c:pt idx="241">
                  <c:v>128.36500000000001</c:v>
                </c:pt>
                <c:pt idx="242">
                  <c:v>122.666</c:v>
                </c:pt>
                <c:pt idx="243">
                  <c:v>120.76</c:v>
                </c:pt>
                <c:pt idx="244">
                  <c:v>119.771</c:v>
                </c:pt>
                <c:pt idx="245">
                  <c:v>116.18300000000001</c:v>
                </c:pt>
                <c:pt idx="246">
                  <c:v>113.79</c:v>
                </c:pt>
                <c:pt idx="247">
                  <c:v>103.974</c:v>
                </c:pt>
                <c:pt idx="248">
                  <c:v>110.374</c:v>
                </c:pt>
                <c:pt idx="249">
                  <c:v>99.992000000000004</c:v>
                </c:pt>
                <c:pt idx="250">
                  <c:v>98.933000000000007</c:v>
                </c:pt>
                <c:pt idx="251">
                  <c:v>96.567999999999998</c:v>
                </c:pt>
                <c:pt idx="252">
                  <c:v>101.67100000000001</c:v>
                </c:pt>
                <c:pt idx="253">
                  <c:v>99.706000000000003</c:v>
                </c:pt>
                <c:pt idx="254">
                  <c:v>96.239000000000004</c:v>
                </c:pt>
                <c:pt idx="255">
                  <c:v>100.36799999999999</c:v>
                </c:pt>
                <c:pt idx="256">
                  <c:v>100.36799999999999</c:v>
                </c:pt>
                <c:pt idx="257">
                  <c:v>100.36799999999999</c:v>
                </c:pt>
                <c:pt idx="258">
                  <c:v>101.43</c:v>
                </c:pt>
                <c:pt idx="259">
                  <c:v>98.611999999999995</c:v>
                </c:pt>
                <c:pt idx="260">
                  <c:v>94.194000000000003</c:v>
                </c:pt>
                <c:pt idx="261">
                  <c:v>94.194000000000003</c:v>
                </c:pt>
                <c:pt idx="262">
                  <c:v>100.93600000000001</c:v>
                </c:pt>
                <c:pt idx="263">
                  <c:v>111.648</c:v>
                </c:pt>
                <c:pt idx="264">
                  <c:v>114.494</c:v>
                </c:pt>
                <c:pt idx="265">
                  <c:v>114.39</c:v>
                </c:pt>
                <c:pt idx="266">
                  <c:v>106.19199999999999</c:v>
                </c:pt>
                <c:pt idx="267">
                  <c:v>107.033</c:v>
                </c:pt>
                <c:pt idx="268">
                  <c:v>110.688</c:v>
                </c:pt>
                <c:pt idx="269">
                  <c:v>102.11199999999999</c:v>
                </c:pt>
                <c:pt idx="270">
                  <c:v>103.60599999999999</c:v>
                </c:pt>
                <c:pt idx="271">
                  <c:v>103.291</c:v>
                </c:pt>
                <c:pt idx="272">
                  <c:v>100.496</c:v>
                </c:pt>
                <c:pt idx="273">
                  <c:v>100.22199999999999</c:v>
                </c:pt>
                <c:pt idx="274">
                  <c:v>99.262</c:v>
                </c:pt>
                <c:pt idx="275">
                  <c:v>103.64100000000001</c:v>
                </c:pt>
                <c:pt idx="276">
                  <c:v>102.696</c:v>
                </c:pt>
                <c:pt idx="277">
                  <c:v>105.20099999999999</c:v>
                </c:pt>
                <c:pt idx="278">
                  <c:v>109.562</c:v>
                </c:pt>
                <c:pt idx="279">
                  <c:v>116.07899999999999</c:v>
                </c:pt>
                <c:pt idx="280">
                  <c:v>109.01900000000001</c:v>
                </c:pt>
                <c:pt idx="281">
                  <c:v>114.27</c:v>
                </c:pt>
                <c:pt idx="282">
                  <c:v>107.89</c:v>
                </c:pt>
                <c:pt idx="283">
                  <c:v>111.60299999999999</c:v>
                </c:pt>
                <c:pt idx="284">
                  <c:v>112.84399999999999</c:v>
                </c:pt>
                <c:pt idx="285">
                  <c:v>112.34099999999999</c:v>
                </c:pt>
                <c:pt idx="286">
                  <c:v>106.116</c:v>
                </c:pt>
                <c:pt idx="287">
                  <c:v>107.691</c:v>
                </c:pt>
                <c:pt idx="288">
                  <c:v>113.491</c:v>
                </c:pt>
                <c:pt idx="289">
                  <c:v>115.01900000000001</c:v>
                </c:pt>
                <c:pt idx="290">
                  <c:v>101.31100000000001</c:v>
                </c:pt>
                <c:pt idx="291">
                  <c:v>99.956999999999994</c:v>
                </c:pt>
                <c:pt idx="292">
                  <c:v>100.726</c:v>
                </c:pt>
                <c:pt idx="293">
                  <c:v>101.929</c:v>
                </c:pt>
                <c:pt idx="294">
                  <c:v>98.477000000000004</c:v>
                </c:pt>
                <c:pt idx="295">
                  <c:v>104.703</c:v>
                </c:pt>
                <c:pt idx="296">
                  <c:v>101.744</c:v>
                </c:pt>
                <c:pt idx="297">
                  <c:v>105.26</c:v>
                </c:pt>
                <c:pt idx="298">
                  <c:v>107.235</c:v>
                </c:pt>
                <c:pt idx="299">
                  <c:v>111.428</c:v>
                </c:pt>
                <c:pt idx="300">
                  <c:v>115.85899999999999</c:v>
                </c:pt>
                <c:pt idx="301">
                  <c:v>117.76</c:v>
                </c:pt>
                <c:pt idx="302">
                  <c:v>128.886</c:v>
                </c:pt>
                <c:pt idx="303">
                  <c:v>150.929</c:v>
                </c:pt>
                <c:pt idx="304">
                  <c:v>147.44300000000001</c:v>
                </c:pt>
                <c:pt idx="305">
                  <c:v>145.12</c:v>
                </c:pt>
                <c:pt idx="306">
                  <c:v>151.506</c:v>
                </c:pt>
                <c:pt idx="307">
                  <c:v>151.506</c:v>
                </c:pt>
                <c:pt idx="308">
                  <c:v>159.226</c:v>
                </c:pt>
                <c:pt idx="309">
                  <c:v>204.905</c:v>
                </c:pt>
                <c:pt idx="310">
                  <c:v>187.87100000000001</c:v>
                </c:pt>
                <c:pt idx="311">
                  <c:v>192.14</c:v>
                </c:pt>
                <c:pt idx="312">
                  <c:v>255.07400000000001</c:v>
                </c:pt>
                <c:pt idx="313">
                  <c:v>235.77500000000001</c:v>
                </c:pt>
                <c:pt idx="314">
                  <c:v>276.42700000000002</c:v>
                </c:pt>
                <c:pt idx="315">
                  <c:v>268.709</c:v>
                </c:pt>
                <c:pt idx="316">
                  <c:v>350.71800000000002</c:v>
                </c:pt>
                <c:pt idx="317">
                  <c:v>369.35700000000003</c:v>
                </c:pt>
                <c:pt idx="318">
                  <c:v>373.596</c:v>
                </c:pt>
                <c:pt idx="319">
                  <c:v>391.041</c:v>
                </c:pt>
                <c:pt idx="320">
                  <c:v>391.041</c:v>
                </c:pt>
                <c:pt idx="321">
                  <c:v>300.49799999999999</c:v>
                </c:pt>
                <c:pt idx="322">
                  <c:v>307.61399999999998</c:v>
                </c:pt>
                <c:pt idx="323">
                  <c:v>289.13</c:v>
                </c:pt>
                <c:pt idx="324">
                  <c:v>316.29300000000001</c:v>
                </c:pt>
                <c:pt idx="325">
                  <c:v>302.995</c:v>
                </c:pt>
                <c:pt idx="326">
                  <c:v>304.36200000000002</c:v>
                </c:pt>
                <c:pt idx="327">
                  <c:v>297.51</c:v>
                </c:pt>
                <c:pt idx="328">
                  <c:v>297.51</c:v>
                </c:pt>
                <c:pt idx="329">
                  <c:v>257.024</c:v>
                </c:pt>
                <c:pt idx="330">
                  <c:v>226.33099999999999</c:v>
                </c:pt>
                <c:pt idx="331">
                  <c:v>233.64099999999999</c:v>
                </c:pt>
                <c:pt idx="332">
                  <c:v>226.18899999999999</c:v>
                </c:pt>
                <c:pt idx="333">
                  <c:v>226.18899999999999</c:v>
                </c:pt>
                <c:pt idx="334">
                  <c:v>226.18899999999999</c:v>
                </c:pt>
                <c:pt idx="335">
                  <c:v>223.184</c:v>
                </c:pt>
                <c:pt idx="336">
                  <c:v>240.17099999999999</c:v>
                </c:pt>
                <c:pt idx="337">
                  <c:v>236.28700000000001</c:v>
                </c:pt>
                <c:pt idx="338">
                  <c:v>233.61699999999999</c:v>
                </c:pt>
                <c:pt idx="339">
                  <c:v>241.256</c:v>
                </c:pt>
                <c:pt idx="340">
                  <c:v>253.69</c:v>
                </c:pt>
                <c:pt idx="341">
                  <c:v>249.61199999999999</c:v>
                </c:pt>
                <c:pt idx="342">
                  <c:v>238.85400000000001</c:v>
                </c:pt>
                <c:pt idx="343">
                  <c:v>242.83600000000001</c:v>
                </c:pt>
                <c:pt idx="344">
                  <c:v>238.036</c:v>
                </c:pt>
                <c:pt idx="345">
                  <c:v>243.584</c:v>
                </c:pt>
                <c:pt idx="346">
                  <c:v>240.95099999999999</c:v>
                </c:pt>
                <c:pt idx="347">
                  <c:v>228.006</c:v>
                </c:pt>
                <c:pt idx="348">
                  <c:v>230.893</c:v>
                </c:pt>
                <c:pt idx="349">
                  <c:v>232.702</c:v>
                </c:pt>
                <c:pt idx="350">
                  <c:v>225.27600000000001</c:v>
                </c:pt>
                <c:pt idx="351">
                  <c:v>225.036</c:v>
                </c:pt>
                <c:pt idx="352">
                  <c:v>231.078</c:v>
                </c:pt>
                <c:pt idx="353">
                  <c:v>231.078</c:v>
                </c:pt>
                <c:pt idx="354">
                  <c:v>220.053</c:v>
                </c:pt>
                <c:pt idx="355">
                  <c:v>216.86699999999999</c:v>
                </c:pt>
                <c:pt idx="356">
                  <c:v>219.04400000000001</c:v>
                </c:pt>
                <c:pt idx="357">
                  <c:v>221.32400000000001</c:v>
                </c:pt>
                <c:pt idx="358">
                  <c:v>209.649</c:v>
                </c:pt>
                <c:pt idx="359">
                  <c:v>192.946</c:v>
                </c:pt>
                <c:pt idx="360">
                  <c:v>189.46899999999999</c:v>
                </c:pt>
                <c:pt idx="361">
                  <c:v>175.03200000000001</c:v>
                </c:pt>
                <c:pt idx="362">
                  <c:v>170.89</c:v>
                </c:pt>
                <c:pt idx="363">
                  <c:v>175.52099999999999</c:v>
                </c:pt>
                <c:pt idx="364">
                  <c:v>175.52099999999999</c:v>
                </c:pt>
                <c:pt idx="365">
                  <c:v>169.767</c:v>
                </c:pt>
                <c:pt idx="366">
                  <c:v>171.91300000000001</c:v>
                </c:pt>
                <c:pt idx="367">
                  <c:v>168.52</c:v>
                </c:pt>
                <c:pt idx="368">
                  <c:v>171.929</c:v>
                </c:pt>
                <c:pt idx="369">
                  <c:v>168.64</c:v>
                </c:pt>
                <c:pt idx="370">
                  <c:v>166.846</c:v>
                </c:pt>
                <c:pt idx="371">
                  <c:v>162.49700000000001</c:v>
                </c:pt>
                <c:pt idx="372">
                  <c:v>160.99100000000001</c:v>
                </c:pt>
                <c:pt idx="373">
                  <c:v>162.14099999999999</c:v>
                </c:pt>
                <c:pt idx="374">
                  <c:v>165.70099999999999</c:v>
                </c:pt>
                <c:pt idx="375">
                  <c:v>168.18700000000001</c:v>
                </c:pt>
                <c:pt idx="376">
                  <c:v>174.41300000000001</c:v>
                </c:pt>
                <c:pt idx="377">
                  <c:v>182.74100000000001</c:v>
                </c:pt>
                <c:pt idx="378">
                  <c:v>177.62899999999999</c:v>
                </c:pt>
                <c:pt idx="379">
                  <c:v>176.715</c:v>
                </c:pt>
                <c:pt idx="380">
                  <c:v>161.70699999999999</c:v>
                </c:pt>
                <c:pt idx="381">
                  <c:v>165.25800000000001</c:v>
                </c:pt>
                <c:pt idx="382">
                  <c:v>166.69399999999999</c:v>
                </c:pt>
                <c:pt idx="383">
                  <c:v>165.608</c:v>
                </c:pt>
                <c:pt idx="384">
                  <c:v>163.506</c:v>
                </c:pt>
                <c:pt idx="385">
                  <c:v>165.03200000000001</c:v>
                </c:pt>
                <c:pt idx="386">
                  <c:v>168.82900000000001</c:v>
                </c:pt>
                <c:pt idx="387">
                  <c:v>172.83199999999999</c:v>
                </c:pt>
                <c:pt idx="388">
                  <c:v>172.86</c:v>
                </c:pt>
                <c:pt idx="389">
                  <c:v>178.542</c:v>
                </c:pt>
                <c:pt idx="390">
                  <c:v>179.38399999999999</c:v>
                </c:pt>
                <c:pt idx="391">
                  <c:v>168.65</c:v>
                </c:pt>
                <c:pt idx="392">
                  <c:v>169.613</c:v>
                </c:pt>
                <c:pt idx="393">
                  <c:v>169.94900000000001</c:v>
                </c:pt>
                <c:pt idx="394">
                  <c:v>173.94399999999999</c:v>
                </c:pt>
                <c:pt idx="395">
                  <c:v>176.82499999999999</c:v>
                </c:pt>
                <c:pt idx="396">
                  <c:v>173.47300000000001</c:v>
                </c:pt>
                <c:pt idx="397">
                  <c:v>172.804</c:v>
                </c:pt>
                <c:pt idx="398">
                  <c:v>170.607</c:v>
                </c:pt>
                <c:pt idx="399">
                  <c:v>169.083</c:v>
                </c:pt>
                <c:pt idx="400">
                  <c:v>167.18</c:v>
                </c:pt>
                <c:pt idx="401">
                  <c:v>163.11600000000001</c:v>
                </c:pt>
                <c:pt idx="402">
                  <c:v>162.096</c:v>
                </c:pt>
                <c:pt idx="403">
                  <c:v>162.28800000000001</c:v>
                </c:pt>
                <c:pt idx="404">
                  <c:v>159.21899999999999</c:v>
                </c:pt>
                <c:pt idx="405">
                  <c:v>158.88399999999999</c:v>
                </c:pt>
                <c:pt idx="406">
                  <c:v>158.51300000000001</c:v>
                </c:pt>
                <c:pt idx="407">
                  <c:v>158.09800000000001</c:v>
                </c:pt>
                <c:pt idx="408">
                  <c:v>155.03700000000001</c:v>
                </c:pt>
                <c:pt idx="409">
                  <c:v>152.244</c:v>
                </c:pt>
                <c:pt idx="410">
                  <c:v>155.66800000000001</c:v>
                </c:pt>
                <c:pt idx="411">
                  <c:v>154.691</c:v>
                </c:pt>
                <c:pt idx="412">
                  <c:v>158.30000000000001</c:v>
                </c:pt>
                <c:pt idx="413">
                  <c:v>159.84800000000001</c:v>
                </c:pt>
                <c:pt idx="414">
                  <c:v>155.268</c:v>
                </c:pt>
                <c:pt idx="415">
                  <c:v>152.245</c:v>
                </c:pt>
                <c:pt idx="416">
                  <c:v>142.267</c:v>
                </c:pt>
                <c:pt idx="417">
                  <c:v>137.17400000000001</c:v>
                </c:pt>
                <c:pt idx="418">
                  <c:v>137.17400000000001</c:v>
                </c:pt>
                <c:pt idx="419">
                  <c:v>127.146</c:v>
                </c:pt>
                <c:pt idx="420">
                  <c:v>130.64599999999999</c:v>
                </c:pt>
                <c:pt idx="421">
                  <c:v>129.95599999999999</c:v>
                </c:pt>
                <c:pt idx="422">
                  <c:v>131.44</c:v>
                </c:pt>
                <c:pt idx="423">
                  <c:v>136.256</c:v>
                </c:pt>
                <c:pt idx="424">
                  <c:v>149.66</c:v>
                </c:pt>
                <c:pt idx="425">
                  <c:v>143.90199999999999</c:v>
                </c:pt>
                <c:pt idx="426">
                  <c:v>146.75899999999999</c:v>
                </c:pt>
                <c:pt idx="427">
                  <c:v>152.072</c:v>
                </c:pt>
                <c:pt idx="428">
                  <c:v>150.10300000000001</c:v>
                </c:pt>
                <c:pt idx="429">
                  <c:v>150.47200000000001</c:v>
                </c:pt>
                <c:pt idx="430">
                  <c:v>150.21899999999999</c:v>
                </c:pt>
                <c:pt idx="431">
                  <c:v>153.64500000000001</c:v>
                </c:pt>
                <c:pt idx="432">
                  <c:v>151.291</c:v>
                </c:pt>
                <c:pt idx="433">
                  <c:v>151.63999999999999</c:v>
                </c:pt>
                <c:pt idx="434">
                  <c:v>151.63999999999999</c:v>
                </c:pt>
                <c:pt idx="435">
                  <c:v>148.99299999999999</c:v>
                </c:pt>
                <c:pt idx="436">
                  <c:v>152.291</c:v>
                </c:pt>
                <c:pt idx="437">
                  <c:v>155.12799999999999</c:v>
                </c:pt>
                <c:pt idx="438">
                  <c:v>152.88999999999999</c:v>
                </c:pt>
                <c:pt idx="439">
                  <c:v>158.11799999999999</c:v>
                </c:pt>
                <c:pt idx="440">
                  <c:v>160.483</c:v>
                </c:pt>
                <c:pt idx="441">
                  <c:v>157.26599999999999</c:v>
                </c:pt>
                <c:pt idx="442">
                  <c:v>157.34700000000001</c:v>
                </c:pt>
                <c:pt idx="443">
                  <c:v>159.75700000000001</c:v>
                </c:pt>
                <c:pt idx="444">
                  <c:v>157.69</c:v>
                </c:pt>
                <c:pt idx="445">
                  <c:v>154.07599999999999</c:v>
                </c:pt>
                <c:pt idx="446">
                  <c:v>150.214</c:v>
                </c:pt>
                <c:pt idx="447">
                  <c:v>151.02699999999999</c:v>
                </c:pt>
                <c:pt idx="448">
                  <c:v>150.65899999999999</c:v>
                </c:pt>
                <c:pt idx="449">
                  <c:v>156.999</c:v>
                </c:pt>
                <c:pt idx="450">
                  <c:v>156.04300000000001</c:v>
                </c:pt>
                <c:pt idx="451">
                  <c:v>153.71100000000001</c:v>
                </c:pt>
                <c:pt idx="452">
                  <c:v>158.91999999999999</c:v>
                </c:pt>
                <c:pt idx="453">
                  <c:v>158.51900000000001</c:v>
                </c:pt>
                <c:pt idx="454">
                  <c:v>159.83500000000001</c:v>
                </c:pt>
                <c:pt idx="455">
                  <c:v>160.22499999999999</c:v>
                </c:pt>
                <c:pt idx="456">
                  <c:v>154.822</c:v>
                </c:pt>
                <c:pt idx="457">
                  <c:v>151.76900000000001</c:v>
                </c:pt>
                <c:pt idx="458">
                  <c:v>154.34299999999999</c:v>
                </c:pt>
                <c:pt idx="459">
                  <c:v>152.1</c:v>
                </c:pt>
                <c:pt idx="460">
                  <c:v>153.77799999999999</c:v>
                </c:pt>
                <c:pt idx="461">
                  <c:v>151.489</c:v>
                </c:pt>
                <c:pt idx="462">
                  <c:v>151.374</c:v>
                </c:pt>
                <c:pt idx="463">
                  <c:v>144.625</c:v>
                </c:pt>
                <c:pt idx="464">
                  <c:v>146.09200000000001</c:v>
                </c:pt>
                <c:pt idx="465">
                  <c:v>147.791</c:v>
                </c:pt>
                <c:pt idx="466">
                  <c:v>148.404</c:v>
                </c:pt>
                <c:pt idx="467">
                  <c:v>146.77600000000001</c:v>
                </c:pt>
                <c:pt idx="468">
                  <c:v>143.16499999999999</c:v>
                </c:pt>
                <c:pt idx="469">
                  <c:v>141.09</c:v>
                </c:pt>
                <c:pt idx="470">
                  <c:v>142.01400000000001</c:v>
                </c:pt>
                <c:pt idx="471">
                  <c:v>141.458</c:v>
                </c:pt>
                <c:pt idx="472">
                  <c:v>139.571</c:v>
                </c:pt>
                <c:pt idx="473">
                  <c:v>140.77799999999999</c:v>
                </c:pt>
                <c:pt idx="474">
                  <c:v>144.428</c:v>
                </c:pt>
                <c:pt idx="475">
                  <c:v>145.63499999999999</c:v>
                </c:pt>
                <c:pt idx="476">
                  <c:v>151.10900000000001</c:v>
                </c:pt>
                <c:pt idx="477">
                  <c:v>148.04</c:v>
                </c:pt>
                <c:pt idx="478">
                  <c:v>148.27799999999999</c:v>
                </c:pt>
                <c:pt idx="479">
                  <c:v>153.107</c:v>
                </c:pt>
                <c:pt idx="480">
                  <c:v>147.03299999999999</c:v>
                </c:pt>
                <c:pt idx="481">
                  <c:v>145.39500000000001</c:v>
                </c:pt>
                <c:pt idx="482">
                  <c:v>137.852</c:v>
                </c:pt>
                <c:pt idx="483">
                  <c:v>138.315</c:v>
                </c:pt>
                <c:pt idx="484">
                  <c:v>127.708</c:v>
                </c:pt>
                <c:pt idx="485">
                  <c:v>127.569</c:v>
                </c:pt>
                <c:pt idx="486">
                  <c:v>127.173</c:v>
                </c:pt>
                <c:pt idx="487">
                  <c:v>131.322</c:v>
                </c:pt>
                <c:pt idx="488">
                  <c:v>127.744</c:v>
                </c:pt>
                <c:pt idx="489">
                  <c:v>126.554</c:v>
                </c:pt>
                <c:pt idx="490">
                  <c:v>129.685</c:v>
                </c:pt>
                <c:pt idx="491">
                  <c:v>127.309</c:v>
                </c:pt>
                <c:pt idx="492">
                  <c:v>129.41499999999999</c:v>
                </c:pt>
                <c:pt idx="493">
                  <c:v>128.13499999999999</c:v>
                </c:pt>
                <c:pt idx="494">
                  <c:v>127.89400000000001</c:v>
                </c:pt>
                <c:pt idx="495">
                  <c:v>126.66200000000001</c:v>
                </c:pt>
                <c:pt idx="496">
                  <c:v>126.1</c:v>
                </c:pt>
                <c:pt idx="497">
                  <c:v>126.32299999999999</c:v>
                </c:pt>
                <c:pt idx="498">
                  <c:v>128.32</c:v>
                </c:pt>
                <c:pt idx="499">
                  <c:v>129.20400000000001</c:v>
                </c:pt>
                <c:pt idx="500">
                  <c:v>127.221</c:v>
                </c:pt>
                <c:pt idx="501">
                  <c:v>126.711</c:v>
                </c:pt>
                <c:pt idx="502">
                  <c:v>124.399</c:v>
                </c:pt>
                <c:pt idx="503">
                  <c:v>121.66800000000001</c:v>
                </c:pt>
                <c:pt idx="504">
                  <c:v>125.011</c:v>
                </c:pt>
                <c:pt idx="505">
                  <c:v>124.43300000000001</c:v>
                </c:pt>
                <c:pt idx="506">
                  <c:v>123.916</c:v>
                </c:pt>
                <c:pt idx="507">
                  <c:v>125.762</c:v>
                </c:pt>
                <c:pt idx="508">
                  <c:v>126.91800000000001</c:v>
                </c:pt>
                <c:pt idx="509">
                  <c:v>126.128</c:v>
                </c:pt>
                <c:pt idx="510">
                  <c:v>121.52200000000001</c:v>
                </c:pt>
                <c:pt idx="511">
                  <c:v>119.56100000000001</c:v>
                </c:pt>
                <c:pt idx="512">
                  <c:v>119.361</c:v>
                </c:pt>
                <c:pt idx="513">
                  <c:v>118.624</c:v>
                </c:pt>
                <c:pt idx="514">
                  <c:v>119.672</c:v>
                </c:pt>
                <c:pt idx="515">
                  <c:v>120.91800000000001</c:v>
                </c:pt>
                <c:pt idx="516">
                  <c:v>121.069</c:v>
                </c:pt>
                <c:pt idx="517">
                  <c:v>120.893</c:v>
                </c:pt>
                <c:pt idx="518">
                  <c:v>120.893</c:v>
                </c:pt>
                <c:pt idx="519">
                  <c:v>120.893</c:v>
                </c:pt>
                <c:pt idx="520">
                  <c:v>121.627</c:v>
                </c:pt>
                <c:pt idx="521">
                  <c:v>121.556</c:v>
                </c:pt>
                <c:pt idx="522">
                  <c:v>122.462</c:v>
                </c:pt>
                <c:pt idx="523">
                  <c:v>122.462</c:v>
                </c:pt>
                <c:pt idx="524">
                  <c:v>122.092</c:v>
                </c:pt>
                <c:pt idx="525">
                  <c:v>120.697</c:v>
                </c:pt>
                <c:pt idx="526">
                  <c:v>122.367</c:v>
                </c:pt>
                <c:pt idx="527">
                  <c:v>121.178</c:v>
                </c:pt>
                <c:pt idx="528">
                  <c:v>116.93</c:v>
                </c:pt>
                <c:pt idx="529">
                  <c:v>115.233</c:v>
                </c:pt>
                <c:pt idx="530">
                  <c:v>120.155</c:v>
                </c:pt>
                <c:pt idx="531">
                  <c:v>118.80200000000001</c:v>
                </c:pt>
                <c:pt idx="532">
                  <c:v>113.639</c:v>
                </c:pt>
                <c:pt idx="533">
                  <c:v>118.652</c:v>
                </c:pt>
                <c:pt idx="534">
                  <c:v>117.349</c:v>
                </c:pt>
                <c:pt idx="535">
                  <c:v>114.602</c:v>
                </c:pt>
                <c:pt idx="536">
                  <c:v>113.962</c:v>
                </c:pt>
                <c:pt idx="537">
                  <c:v>113.833</c:v>
                </c:pt>
                <c:pt idx="538">
                  <c:v>122.59</c:v>
                </c:pt>
                <c:pt idx="539">
                  <c:v>121.715</c:v>
                </c:pt>
                <c:pt idx="540">
                  <c:v>121.47199999999999</c:v>
                </c:pt>
                <c:pt idx="541">
                  <c:v>119.295</c:v>
                </c:pt>
                <c:pt idx="542">
                  <c:v>118.70099999999999</c:v>
                </c:pt>
                <c:pt idx="543">
                  <c:v>117.474</c:v>
                </c:pt>
                <c:pt idx="544">
                  <c:v>117.161</c:v>
                </c:pt>
                <c:pt idx="545">
                  <c:v>116.246</c:v>
                </c:pt>
                <c:pt idx="546">
                  <c:v>113.783</c:v>
                </c:pt>
                <c:pt idx="547">
                  <c:v>111.521</c:v>
                </c:pt>
                <c:pt idx="548">
                  <c:v>109.983</c:v>
                </c:pt>
                <c:pt idx="549">
                  <c:v>109.32899999999999</c:v>
                </c:pt>
                <c:pt idx="550">
                  <c:v>110.908</c:v>
                </c:pt>
                <c:pt idx="551">
                  <c:v>112.96299999999999</c:v>
                </c:pt>
                <c:pt idx="552">
                  <c:v>108.36199999999999</c:v>
                </c:pt>
                <c:pt idx="553">
                  <c:v>105.083</c:v>
                </c:pt>
                <c:pt idx="554">
                  <c:v>103.387</c:v>
                </c:pt>
                <c:pt idx="555">
                  <c:v>96.822000000000003</c:v>
                </c:pt>
                <c:pt idx="556">
                  <c:v>101.68</c:v>
                </c:pt>
                <c:pt idx="557">
                  <c:v>97.625</c:v>
                </c:pt>
                <c:pt idx="558">
                  <c:v>95.838999999999999</c:v>
                </c:pt>
                <c:pt idx="559">
                  <c:v>95.531000000000006</c:v>
                </c:pt>
                <c:pt idx="560">
                  <c:v>98.826999999999998</c:v>
                </c:pt>
                <c:pt idx="561">
                  <c:v>96.162000000000006</c:v>
                </c:pt>
                <c:pt idx="562">
                  <c:v>82.981999999999999</c:v>
                </c:pt>
                <c:pt idx="563">
                  <c:v>93.917000000000002</c:v>
                </c:pt>
                <c:pt idx="564">
                  <c:v>88.536000000000001</c:v>
                </c:pt>
                <c:pt idx="565">
                  <c:v>92.936999999999998</c:v>
                </c:pt>
                <c:pt idx="566">
                  <c:v>89.457999999999998</c:v>
                </c:pt>
                <c:pt idx="567">
                  <c:v>83.536000000000001</c:v>
                </c:pt>
                <c:pt idx="568">
                  <c:v>95.515000000000001</c:v>
                </c:pt>
                <c:pt idx="569">
                  <c:v>100.708</c:v>
                </c:pt>
                <c:pt idx="570">
                  <c:v>103.425</c:v>
                </c:pt>
                <c:pt idx="571">
                  <c:v>102.375</c:v>
                </c:pt>
                <c:pt idx="572">
                  <c:v>101.52800000000001</c:v>
                </c:pt>
                <c:pt idx="573">
                  <c:v>103.6</c:v>
                </c:pt>
                <c:pt idx="574">
                  <c:v>102.492</c:v>
                </c:pt>
                <c:pt idx="575">
                  <c:v>100.45099999999999</c:v>
                </c:pt>
                <c:pt idx="576">
                  <c:v>109.556</c:v>
                </c:pt>
                <c:pt idx="577">
                  <c:v>110.834</c:v>
                </c:pt>
                <c:pt idx="578">
                  <c:v>109.669</c:v>
                </c:pt>
                <c:pt idx="579">
                  <c:v>108.864</c:v>
                </c:pt>
                <c:pt idx="580">
                  <c:v>121.41800000000001</c:v>
                </c:pt>
                <c:pt idx="581">
                  <c:v>120.973</c:v>
                </c:pt>
                <c:pt idx="582">
                  <c:v>119.489</c:v>
                </c:pt>
                <c:pt idx="583">
                  <c:v>119.28400000000001</c:v>
                </c:pt>
                <c:pt idx="584">
                  <c:v>115.419</c:v>
                </c:pt>
                <c:pt idx="585">
                  <c:v>118.554</c:v>
                </c:pt>
                <c:pt idx="586">
                  <c:v>109.937</c:v>
                </c:pt>
                <c:pt idx="587">
                  <c:v>116.947</c:v>
                </c:pt>
                <c:pt idx="588">
                  <c:v>116.947</c:v>
                </c:pt>
                <c:pt idx="589">
                  <c:v>116.947</c:v>
                </c:pt>
                <c:pt idx="590">
                  <c:v>121.065</c:v>
                </c:pt>
                <c:pt idx="591">
                  <c:v>129.99799999999999</c:v>
                </c:pt>
                <c:pt idx="592">
                  <c:v>132.691</c:v>
                </c:pt>
                <c:pt idx="593">
                  <c:v>133.53399999999999</c:v>
                </c:pt>
                <c:pt idx="594">
                  <c:v>129.81700000000001</c:v>
                </c:pt>
                <c:pt idx="595">
                  <c:v>137.28</c:v>
                </c:pt>
                <c:pt idx="596">
                  <c:v>128.75299999999999</c:v>
                </c:pt>
                <c:pt idx="597">
                  <c:v>135.261</c:v>
                </c:pt>
                <c:pt idx="598">
                  <c:v>119.63500000000001</c:v>
                </c:pt>
                <c:pt idx="599">
                  <c:v>116.964</c:v>
                </c:pt>
                <c:pt idx="600">
                  <c:v>128.244</c:v>
                </c:pt>
                <c:pt idx="601">
                  <c:v>127.434</c:v>
                </c:pt>
                <c:pt idx="602">
                  <c:v>116.41800000000001</c:v>
                </c:pt>
                <c:pt idx="603">
                  <c:v>114.86</c:v>
                </c:pt>
                <c:pt idx="604">
                  <c:v>114.453</c:v>
                </c:pt>
                <c:pt idx="605">
                  <c:v>111.459</c:v>
                </c:pt>
                <c:pt idx="606">
                  <c:v>112.03100000000001</c:v>
                </c:pt>
                <c:pt idx="607">
                  <c:v>108.943</c:v>
                </c:pt>
                <c:pt idx="608">
                  <c:v>107.096</c:v>
                </c:pt>
                <c:pt idx="609">
                  <c:v>107.096</c:v>
                </c:pt>
                <c:pt idx="610">
                  <c:v>108.99299999999999</c:v>
                </c:pt>
                <c:pt idx="611">
                  <c:v>109.675</c:v>
                </c:pt>
                <c:pt idx="612">
                  <c:v>107.815</c:v>
                </c:pt>
                <c:pt idx="613">
                  <c:v>110.291</c:v>
                </c:pt>
                <c:pt idx="614">
                  <c:v>106.86</c:v>
                </c:pt>
                <c:pt idx="615">
                  <c:v>107.086</c:v>
                </c:pt>
                <c:pt idx="616">
                  <c:v>103.33499999999999</c:v>
                </c:pt>
                <c:pt idx="617">
                  <c:v>108.496</c:v>
                </c:pt>
                <c:pt idx="618">
                  <c:v>102.95399999999999</c:v>
                </c:pt>
                <c:pt idx="619">
                  <c:v>103.215</c:v>
                </c:pt>
                <c:pt idx="620">
                  <c:v>105.309</c:v>
                </c:pt>
                <c:pt idx="621">
                  <c:v>101.657</c:v>
                </c:pt>
                <c:pt idx="622">
                  <c:v>102.438</c:v>
                </c:pt>
                <c:pt idx="623">
                  <c:v>100.96899999999999</c:v>
                </c:pt>
              </c:numCache>
            </c:numRef>
          </c:val>
          <c:smooth val="0"/>
          <c:extLst>
            <c:ext xmlns:c16="http://schemas.microsoft.com/office/drawing/2014/chart" uri="{C3380CC4-5D6E-409C-BE32-E72D297353CC}">
              <c16:uniqueId val="{00000001-4EEE-436B-AFC1-C498D6096249}"/>
            </c:ext>
          </c:extLst>
        </c:ser>
        <c:ser>
          <c:idx val="2"/>
          <c:order val="2"/>
          <c:tx>
            <c:strRef>
              <c:f>Sheet1!$D$1</c:f>
              <c:strCache>
                <c:ptCount val="1"/>
                <c:pt idx="0">
                  <c:v>Ռուսաստան (2023թ.)</c:v>
                </c:pt>
              </c:strCache>
            </c:strRef>
          </c:tx>
          <c:spPr>
            <a:ln w="28575" cap="rnd">
              <a:solidFill>
                <a:schemeClr val="accent3"/>
              </a:solidFill>
              <a:round/>
            </a:ln>
            <a:effectLst/>
          </c:spPr>
          <c:marker>
            <c:symbol val="none"/>
          </c:marker>
          <c:cat>
            <c:numRef>
              <c:f>Sheet1!$A$2:$A$625</c:f>
              <c:numCache>
                <c:formatCode>m\/d\/yyyy</c:formatCode>
                <c:ptCount val="624"/>
                <c:pt idx="0">
                  <c:v>43466</c:v>
                </c:pt>
                <c:pt idx="1">
                  <c:v>43467</c:v>
                </c:pt>
                <c:pt idx="2">
                  <c:v>43468</c:v>
                </c:pt>
                <c:pt idx="3">
                  <c:v>43469</c:v>
                </c:pt>
                <c:pt idx="4">
                  <c:v>43472</c:v>
                </c:pt>
                <c:pt idx="5">
                  <c:v>43473</c:v>
                </c:pt>
                <c:pt idx="6">
                  <c:v>43474</c:v>
                </c:pt>
                <c:pt idx="7">
                  <c:v>43475</c:v>
                </c:pt>
                <c:pt idx="8">
                  <c:v>43476</c:v>
                </c:pt>
                <c:pt idx="9">
                  <c:v>43479</c:v>
                </c:pt>
                <c:pt idx="10">
                  <c:v>43480</c:v>
                </c:pt>
                <c:pt idx="11">
                  <c:v>43481</c:v>
                </c:pt>
                <c:pt idx="12">
                  <c:v>43482</c:v>
                </c:pt>
                <c:pt idx="13">
                  <c:v>43483</c:v>
                </c:pt>
                <c:pt idx="14">
                  <c:v>43486</c:v>
                </c:pt>
                <c:pt idx="15">
                  <c:v>43487</c:v>
                </c:pt>
                <c:pt idx="16">
                  <c:v>43488</c:v>
                </c:pt>
                <c:pt idx="17">
                  <c:v>43489</c:v>
                </c:pt>
                <c:pt idx="18">
                  <c:v>43490</c:v>
                </c:pt>
                <c:pt idx="19">
                  <c:v>43493</c:v>
                </c:pt>
                <c:pt idx="20">
                  <c:v>43494</c:v>
                </c:pt>
                <c:pt idx="21">
                  <c:v>43495</c:v>
                </c:pt>
                <c:pt idx="22">
                  <c:v>43496</c:v>
                </c:pt>
                <c:pt idx="23">
                  <c:v>43497</c:v>
                </c:pt>
                <c:pt idx="24">
                  <c:v>43500</c:v>
                </c:pt>
                <c:pt idx="25">
                  <c:v>43501</c:v>
                </c:pt>
                <c:pt idx="26">
                  <c:v>43502</c:v>
                </c:pt>
                <c:pt idx="27">
                  <c:v>43503</c:v>
                </c:pt>
                <c:pt idx="28">
                  <c:v>43504</c:v>
                </c:pt>
                <c:pt idx="29">
                  <c:v>43507</c:v>
                </c:pt>
                <c:pt idx="30">
                  <c:v>43508</c:v>
                </c:pt>
                <c:pt idx="31">
                  <c:v>43509</c:v>
                </c:pt>
                <c:pt idx="32">
                  <c:v>43510</c:v>
                </c:pt>
                <c:pt idx="33">
                  <c:v>43511</c:v>
                </c:pt>
                <c:pt idx="34">
                  <c:v>43514</c:v>
                </c:pt>
                <c:pt idx="35">
                  <c:v>43515</c:v>
                </c:pt>
                <c:pt idx="36">
                  <c:v>43516</c:v>
                </c:pt>
                <c:pt idx="37">
                  <c:v>43517</c:v>
                </c:pt>
                <c:pt idx="38">
                  <c:v>43518</c:v>
                </c:pt>
                <c:pt idx="39">
                  <c:v>43521</c:v>
                </c:pt>
                <c:pt idx="40">
                  <c:v>43522</c:v>
                </c:pt>
                <c:pt idx="41">
                  <c:v>43523</c:v>
                </c:pt>
                <c:pt idx="42">
                  <c:v>43524</c:v>
                </c:pt>
                <c:pt idx="43">
                  <c:v>43525</c:v>
                </c:pt>
                <c:pt idx="44">
                  <c:v>43528</c:v>
                </c:pt>
                <c:pt idx="45">
                  <c:v>43529</c:v>
                </c:pt>
                <c:pt idx="46">
                  <c:v>43530</c:v>
                </c:pt>
                <c:pt idx="47">
                  <c:v>43531</c:v>
                </c:pt>
                <c:pt idx="48">
                  <c:v>43532</c:v>
                </c:pt>
                <c:pt idx="49">
                  <c:v>43535</c:v>
                </c:pt>
                <c:pt idx="50">
                  <c:v>43536</c:v>
                </c:pt>
                <c:pt idx="51">
                  <c:v>43537</c:v>
                </c:pt>
                <c:pt idx="52">
                  <c:v>43538</c:v>
                </c:pt>
                <c:pt idx="53">
                  <c:v>43539</c:v>
                </c:pt>
                <c:pt idx="54">
                  <c:v>43542</c:v>
                </c:pt>
                <c:pt idx="55">
                  <c:v>43543</c:v>
                </c:pt>
                <c:pt idx="56">
                  <c:v>43544</c:v>
                </c:pt>
                <c:pt idx="57">
                  <c:v>43545</c:v>
                </c:pt>
                <c:pt idx="58">
                  <c:v>43546</c:v>
                </c:pt>
                <c:pt idx="59">
                  <c:v>43549</c:v>
                </c:pt>
                <c:pt idx="60">
                  <c:v>43550</c:v>
                </c:pt>
                <c:pt idx="61">
                  <c:v>43551</c:v>
                </c:pt>
                <c:pt idx="62">
                  <c:v>43552</c:v>
                </c:pt>
                <c:pt idx="63">
                  <c:v>43553</c:v>
                </c:pt>
                <c:pt idx="64">
                  <c:v>43556</c:v>
                </c:pt>
                <c:pt idx="65">
                  <c:v>43557</c:v>
                </c:pt>
                <c:pt idx="66">
                  <c:v>43558</c:v>
                </c:pt>
                <c:pt idx="67">
                  <c:v>43559</c:v>
                </c:pt>
                <c:pt idx="68">
                  <c:v>43560</c:v>
                </c:pt>
                <c:pt idx="69">
                  <c:v>43563</c:v>
                </c:pt>
                <c:pt idx="70">
                  <c:v>43564</c:v>
                </c:pt>
                <c:pt idx="71">
                  <c:v>43565</c:v>
                </c:pt>
                <c:pt idx="72">
                  <c:v>43566</c:v>
                </c:pt>
                <c:pt idx="73">
                  <c:v>43567</c:v>
                </c:pt>
                <c:pt idx="74">
                  <c:v>43570</c:v>
                </c:pt>
                <c:pt idx="75">
                  <c:v>43571</c:v>
                </c:pt>
                <c:pt idx="76">
                  <c:v>43572</c:v>
                </c:pt>
                <c:pt idx="77">
                  <c:v>43573</c:v>
                </c:pt>
                <c:pt idx="78">
                  <c:v>43574</c:v>
                </c:pt>
                <c:pt idx="79">
                  <c:v>43577</c:v>
                </c:pt>
                <c:pt idx="80">
                  <c:v>43578</c:v>
                </c:pt>
                <c:pt idx="81">
                  <c:v>43579</c:v>
                </c:pt>
                <c:pt idx="82">
                  <c:v>43580</c:v>
                </c:pt>
                <c:pt idx="83">
                  <c:v>43581</c:v>
                </c:pt>
                <c:pt idx="84">
                  <c:v>43584</c:v>
                </c:pt>
                <c:pt idx="85">
                  <c:v>43585</c:v>
                </c:pt>
                <c:pt idx="86">
                  <c:v>43586</c:v>
                </c:pt>
                <c:pt idx="87">
                  <c:v>43587</c:v>
                </c:pt>
                <c:pt idx="88">
                  <c:v>43588</c:v>
                </c:pt>
                <c:pt idx="89">
                  <c:v>43591</c:v>
                </c:pt>
                <c:pt idx="90">
                  <c:v>43592</c:v>
                </c:pt>
                <c:pt idx="91">
                  <c:v>43593</c:v>
                </c:pt>
                <c:pt idx="92">
                  <c:v>43594</c:v>
                </c:pt>
                <c:pt idx="93">
                  <c:v>43595</c:v>
                </c:pt>
                <c:pt idx="94">
                  <c:v>43598</c:v>
                </c:pt>
                <c:pt idx="95">
                  <c:v>43599</c:v>
                </c:pt>
                <c:pt idx="96">
                  <c:v>43600</c:v>
                </c:pt>
                <c:pt idx="97">
                  <c:v>43601</c:v>
                </c:pt>
                <c:pt idx="98">
                  <c:v>43602</c:v>
                </c:pt>
                <c:pt idx="99">
                  <c:v>43605</c:v>
                </c:pt>
                <c:pt idx="100">
                  <c:v>43606</c:v>
                </c:pt>
                <c:pt idx="101">
                  <c:v>43607</c:v>
                </c:pt>
                <c:pt idx="102">
                  <c:v>43608</c:v>
                </c:pt>
                <c:pt idx="103">
                  <c:v>43609</c:v>
                </c:pt>
                <c:pt idx="104">
                  <c:v>43612</c:v>
                </c:pt>
                <c:pt idx="105">
                  <c:v>43613</c:v>
                </c:pt>
                <c:pt idx="106">
                  <c:v>43614</c:v>
                </c:pt>
                <c:pt idx="107">
                  <c:v>43615</c:v>
                </c:pt>
                <c:pt idx="108">
                  <c:v>43616</c:v>
                </c:pt>
                <c:pt idx="109">
                  <c:v>43619</c:v>
                </c:pt>
                <c:pt idx="110">
                  <c:v>43620</c:v>
                </c:pt>
                <c:pt idx="111">
                  <c:v>43621</c:v>
                </c:pt>
                <c:pt idx="112">
                  <c:v>43622</c:v>
                </c:pt>
                <c:pt idx="113">
                  <c:v>43623</c:v>
                </c:pt>
                <c:pt idx="114">
                  <c:v>43626</c:v>
                </c:pt>
                <c:pt idx="115">
                  <c:v>43627</c:v>
                </c:pt>
                <c:pt idx="116">
                  <c:v>43628</c:v>
                </c:pt>
                <c:pt idx="117">
                  <c:v>43629</c:v>
                </c:pt>
                <c:pt idx="118">
                  <c:v>43630</c:v>
                </c:pt>
                <c:pt idx="119">
                  <c:v>43633</c:v>
                </c:pt>
                <c:pt idx="120">
                  <c:v>43634</c:v>
                </c:pt>
                <c:pt idx="121">
                  <c:v>43635</c:v>
                </c:pt>
                <c:pt idx="122">
                  <c:v>43636</c:v>
                </c:pt>
                <c:pt idx="123">
                  <c:v>43637</c:v>
                </c:pt>
                <c:pt idx="124">
                  <c:v>43640</c:v>
                </c:pt>
                <c:pt idx="125">
                  <c:v>43641</c:v>
                </c:pt>
                <c:pt idx="126">
                  <c:v>43642</c:v>
                </c:pt>
                <c:pt idx="127">
                  <c:v>43643</c:v>
                </c:pt>
                <c:pt idx="128">
                  <c:v>43644</c:v>
                </c:pt>
                <c:pt idx="129">
                  <c:v>43647</c:v>
                </c:pt>
                <c:pt idx="130">
                  <c:v>43648</c:v>
                </c:pt>
                <c:pt idx="131">
                  <c:v>43649</c:v>
                </c:pt>
                <c:pt idx="132">
                  <c:v>43650</c:v>
                </c:pt>
                <c:pt idx="133">
                  <c:v>43651</c:v>
                </c:pt>
                <c:pt idx="134">
                  <c:v>43654</c:v>
                </c:pt>
                <c:pt idx="135">
                  <c:v>43655</c:v>
                </c:pt>
                <c:pt idx="136">
                  <c:v>43656</c:v>
                </c:pt>
                <c:pt idx="137">
                  <c:v>43657</c:v>
                </c:pt>
                <c:pt idx="138">
                  <c:v>43658</c:v>
                </c:pt>
                <c:pt idx="139">
                  <c:v>43661</c:v>
                </c:pt>
                <c:pt idx="140">
                  <c:v>43662</c:v>
                </c:pt>
                <c:pt idx="141">
                  <c:v>43663</c:v>
                </c:pt>
                <c:pt idx="142">
                  <c:v>43664</c:v>
                </c:pt>
                <c:pt idx="143">
                  <c:v>43665</c:v>
                </c:pt>
                <c:pt idx="144">
                  <c:v>43668</c:v>
                </c:pt>
                <c:pt idx="145">
                  <c:v>43669</c:v>
                </c:pt>
                <c:pt idx="146">
                  <c:v>43670</c:v>
                </c:pt>
                <c:pt idx="147">
                  <c:v>43671</c:v>
                </c:pt>
                <c:pt idx="148">
                  <c:v>43672</c:v>
                </c:pt>
                <c:pt idx="149">
                  <c:v>43675</c:v>
                </c:pt>
                <c:pt idx="150">
                  <c:v>43676</c:v>
                </c:pt>
                <c:pt idx="151">
                  <c:v>43677</c:v>
                </c:pt>
                <c:pt idx="152">
                  <c:v>43678</c:v>
                </c:pt>
                <c:pt idx="153">
                  <c:v>43679</c:v>
                </c:pt>
                <c:pt idx="154">
                  <c:v>43682</c:v>
                </c:pt>
                <c:pt idx="155">
                  <c:v>43683</c:v>
                </c:pt>
                <c:pt idx="156">
                  <c:v>43684</c:v>
                </c:pt>
                <c:pt idx="157">
                  <c:v>43685</c:v>
                </c:pt>
                <c:pt idx="158">
                  <c:v>43686</c:v>
                </c:pt>
                <c:pt idx="159">
                  <c:v>43689</c:v>
                </c:pt>
                <c:pt idx="160">
                  <c:v>43690</c:v>
                </c:pt>
                <c:pt idx="161">
                  <c:v>43691</c:v>
                </c:pt>
                <c:pt idx="162">
                  <c:v>43692</c:v>
                </c:pt>
                <c:pt idx="163">
                  <c:v>43693</c:v>
                </c:pt>
                <c:pt idx="164">
                  <c:v>43696</c:v>
                </c:pt>
                <c:pt idx="165">
                  <c:v>43697</c:v>
                </c:pt>
                <c:pt idx="166">
                  <c:v>43698</c:v>
                </c:pt>
                <c:pt idx="167">
                  <c:v>43699</c:v>
                </c:pt>
                <c:pt idx="168">
                  <c:v>43700</c:v>
                </c:pt>
                <c:pt idx="169">
                  <c:v>43703</c:v>
                </c:pt>
                <c:pt idx="170">
                  <c:v>43704</c:v>
                </c:pt>
                <c:pt idx="171">
                  <c:v>43705</c:v>
                </c:pt>
                <c:pt idx="172">
                  <c:v>43706</c:v>
                </c:pt>
                <c:pt idx="173">
                  <c:v>43707</c:v>
                </c:pt>
                <c:pt idx="174">
                  <c:v>43710</c:v>
                </c:pt>
                <c:pt idx="175">
                  <c:v>43711</c:v>
                </c:pt>
                <c:pt idx="176">
                  <c:v>43712</c:v>
                </c:pt>
                <c:pt idx="177">
                  <c:v>43713</c:v>
                </c:pt>
                <c:pt idx="178">
                  <c:v>43714</c:v>
                </c:pt>
                <c:pt idx="179">
                  <c:v>43717</c:v>
                </c:pt>
                <c:pt idx="180">
                  <c:v>43718</c:v>
                </c:pt>
                <c:pt idx="181">
                  <c:v>43719</c:v>
                </c:pt>
                <c:pt idx="182">
                  <c:v>43720</c:v>
                </c:pt>
                <c:pt idx="183">
                  <c:v>43721</c:v>
                </c:pt>
                <c:pt idx="184">
                  <c:v>43724</c:v>
                </c:pt>
                <c:pt idx="185">
                  <c:v>43725</c:v>
                </c:pt>
                <c:pt idx="186">
                  <c:v>43726</c:v>
                </c:pt>
                <c:pt idx="187">
                  <c:v>43727</c:v>
                </c:pt>
                <c:pt idx="188">
                  <c:v>43728</c:v>
                </c:pt>
                <c:pt idx="189">
                  <c:v>43731</c:v>
                </c:pt>
                <c:pt idx="190">
                  <c:v>43732</c:v>
                </c:pt>
                <c:pt idx="191">
                  <c:v>43733</c:v>
                </c:pt>
                <c:pt idx="192">
                  <c:v>43734</c:v>
                </c:pt>
                <c:pt idx="193">
                  <c:v>43735</c:v>
                </c:pt>
                <c:pt idx="194">
                  <c:v>43738</c:v>
                </c:pt>
                <c:pt idx="195">
                  <c:v>43739</c:v>
                </c:pt>
                <c:pt idx="196">
                  <c:v>43740</c:v>
                </c:pt>
                <c:pt idx="197">
                  <c:v>43741</c:v>
                </c:pt>
                <c:pt idx="198">
                  <c:v>43742</c:v>
                </c:pt>
                <c:pt idx="199">
                  <c:v>43745</c:v>
                </c:pt>
                <c:pt idx="200">
                  <c:v>43746</c:v>
                </c:pt>
                <c:pt idx="201">
                  <c:v>43747</c:v>
                </c:pt>
                <c:pt idx="202">
                  <c:v>43748</c:v>
                </c:pt>
                <c:pt idx="203">
                  <c:v>43749</c:v>
                </c:pt>
                <c:pt idx="204">
                  <c:v>43752</c:v>
                </c:pt>
                <c:pt idx="205">
                  <c:v>43753</c:v>
                </c:pt>
                <c:pt idx="206">
                  <c:v>43754</c:v>
                </c:pt>
                <c:pt idx="207">
                  <c:v>43755</c:v>
                </c:pt>
                <c:pt idx="208">
                  <c:v>43756</c:v>
                </c:pt>
                <c:pt idx="209">
                  <c:v>43759</c:v>
                </c:pt>
                <c:pt idx="210">
                  <c:v>43760</c:v>
                </c:pt>
                <c:pt idx="211">
                  <c:v>43761</c:v>
                </c:pt>
                <c:pt idx="212">
                  <c:v>43762</c:v>
                </c:pt>
                <c:pt idx="213">
                  <c:v>43763</c:v>
                </c:pt>
                <c:pt idx="214">
                  <c:v>43766</c:v>
                </c:pt>
                <c:pt idx="215">
                  <c:v>43767</c:v>
                </c:pt>
                <c:pt idx="216">
                  <c:v>43768</c:v>
                </c:pt>
                <c:pt idx="217">
                  <c:v>43769</c:v>
                </c:pt>
                <c:pt idx="218">
                  <c:v>43770</c:v>
                </c:pt>
                <c:pt idx="219">
                  <c:v>43773</c:v>
                </c:pt>
                <c:pt idx="220">
                  <c:v>43774</c:v>
                </c:pt>
                <c:pt idx="221">
                  <c:v>43775</c:v>
                </c:pt>
                <c:pt idx="222">
                  <c:v>43776</c:v>
                </c:pt>
                <c:pt idx="223">
                  <c:v>43777</c:v>
                </c:pt>
                <c:pt idx="224">
                  <c:v>43780</c:v>
                </c:pt>
                <c:pt idx="225">
                  <c:v>43781</c:v>
                </c:pt>
                <c:pt idx="226">
                  <c:v>43782</c:v>
                </c:pt>
                <c:pt idx="227">
                  <c:v>43783</c:v>
                </c:pt>
                <c:pt idx="228">
                  <c:v>43784</c:v>
                </c:pt>
                <c:pt idx="229">
                  <c:v>43787</c:v>
                </c:pt>
                <c:pt idx="230">
                  <c:v>43788</c:v>
                </c:pt>
                <c:pt idx="231">
                  <c:v>43789</c:v>
                </c:pt>
                <c:pt idx="232">
                  <c:v>43790</c:v>
                </c:pt>
                <c:pt idx="233">
                  <c:v>43791</c:v>
                </c:pt>
                <c:pt idx="234">
                  <c:v>43794</c:v>
                </c:pt>
                <c:pt idx="235">
                  <c:v>43795</c:v>
                </c:pt>
                <c:pt idx="236">
                  <c:v>43796</c:v>
                </c:pt>
                <c:pt idx="237">
                  <c:v>43797</c:v>
                </c:pt>
                <c:pt idx="238">
                  <c:v>43798</c:v>
                </c:pt>
                <c:pt idx="239">
                  <c:v>43801</c:v>
                </c:pt>
                <c:pt idx="240">
                  <c:v>43802</c:v>
                </c:pt>
                <c:pt idx="241">
                  <c:v>43803</c:v>
                </c:pt>
                <c:pt idx="242">
                  <c:v>43804</c:v>
                </c:pt>
                <c:pt idx="243">
                  <c:v>43805</c:v>
                </c:pt>
                <c:pt idx="244">
                  <c:v>43808</c:v>
                </c:pt>
                <c:pt idx="245">
                  <c:v>43809</c:v>
                </c:pt>
                <c:pt idx="246">
                  <c:v>43810</c:v>
                </c:pt>
                <c:pt idx="247">
                  <c:v>43811</c:v>
                </c:pt>
                <c:pt idx="248">
                  <c:v>43812</c:v>
                </c:pt>
                <c:pt idx="249">
                  <c:v>43815</c:v>
                </c:pt>
                <c:pt idx="250">
                  <c:v>43816</c:v>
                </c:pt>
                <c:pt idx="251">
                  <c:v>43817</c:v>
                </c:pt>
                <c:pt idx="252">
                  <c:v>43818</c:v>
                </c:pt>
                <c:pt idx="253">
                  <c:v>43819</c:v>
                </c:pt>
                <c:pt idx="254">
                  <c:v>43822</c:v>
                </c:pt>
                <c:pt idx="255">
                  <c:v>43823</c:v>
                </c:pt>
                <c:pt idx="256">
                  <c:v>43824</c:v>
                </c:pt>
                <c:pt idx="257">
                  <c:v>43825</c:v>
                </c:pt>
                <c:pt idx="258">
                  <c:v>43826</c:v>
                </c:pt>
                <c:pt idx="259">
                  <c:v>43829</c:v>
                </c:pt>
                <c:pt idx="260">
                  <c:v>43830</c:v>
                </c:pt>
                <c:pt idx="261">
                  <c:v>43831</c:v>
                </c:pt>
                <c:pt idx="262">
                  <c:v>43832</c:v>
                </c:pt>
                <c:pt idx="263">
                  <c:v>43833</c:v>
                </c:pt>
                <c:pt idx="264">
                  <c:v>43836</c:v>
                </c:pt>
                <c:pt idx="265">
                  <c:v>43837</c:v>
                </c:pt>
                <c:pt idx="266">
                  <c:v>43838</c:v>
                </c:pt>
                <c:pt idx="267">
                  <c:v>43839</c:v>
                </c:pt>
                <c:pt idx="268">
                  <c:v>43840</c:v>
                </c:pt>
                <c:pt idx="269">
                  <c:v>43843</c:v>
                </c:pt>
                <c:pt idx="270">
                  <c:v>43844</c:v>
                </c:pt>
                <c:pt idx="271">
                  <c:v>43845</c:v>
                </c:pt>
                <c:pt idx="272">
                  <c:v>43846</c:v>
                </c:pt>
                <c:pt idx="273">
                  <c:v>43847</c:v>
                </c:pt>
                <c:pt idx="274">
                  <c:v>43850</c:v>
                </c:pt>
                <c:pt idx="275">
                  <c:v>43851</c:v>
                </c:pt>
                <c:pt idx="276">
                  <c:v>43852</c:v>
                </c:pt>
                <c:pt idx="277">
                  <c:v>43853</c:v>
                </c:pt>
                <c:pt idx="278">
                  <c:v>43854</c:v>
                </c:pt>
                <c:pt idx="279">
                  <c:v>43857</c:v>
                </c:pt>
                <c:pt idx="280">
                  <c:v>43858</c:v>
                </c:pt>
                <c:pt idx="281">
                  <c:v>43859</c:v>
                </c:pt>
                <c:pt idx="282">
                  <c:v>43860</c:v>
                </c:pt>
                <c:pt idx="283">
                  <c:v>43861</c:v>
                </c:pt>
                <c:pt idx="284">
                  <c:v>43864</c:v>
                </c:pt>
                <c:pt idx="285">
                  <c:v>43865</c:v>
                </c:pt>
                <c:pt idx="286">
                  <c:v>43866</c:v>
                </c:pt>
                <c:pt idx="287">
                  <c:v>43867</c:v>
                </c:pt>
                <c:pt idx="288">
                  <c:v>43868</c:v>
                </c:pt>
                <c:pt idx="289">
                  <c:v>43871</c:v>
                </c:pt>
                <c:pt idx="290">
                  <c:v>43872</c:v>
                </c:pt>
                <c:pt idx="291">
                  <c:v>43873</c:v>
                </c:pt>
                <c:pt idx="292">
                  <c:v>43874</c:v>
                </c:pt>
                <c:pt idx="293">
                  <c:v>43875</c:v>
                </c:pt>
                <c:pt idx="294">
                  <c:v>43878</c:v>
                </c:pt>
                <c:pt idx="295">
                  <c:v>43879</c:v>
                </c:pt>
                <c:pt idx="296">
                  <c:v>43880</c:v>
                </c:pt>
                <c:pt idx="297">
                  <c:v>43881</c:v>
                </c:pt>
                <c:pt idx="298">
                  <c:v>43882</c:v>
                </c:pt>
                <c:pt idx="299">
                  <c:v>43885</c:v>
                </c:pt>
                <c:pt idx="300">
                  <c:v>43886</c:v>
                </c:pt>
                <c:pt idx="301">
                  <c:v>43887</c:v>
                </c:pt>
                <c:pt idx="302">
                  <c:v>43888</c:v>
                </c:pt>
                <c:pt idx="303">
                  <c:v>43889</c:v>
                </c:pt>
                <c:pt idx="304">
                  <c:v>43892</c:v>
                </c:pt>
                <c:pt idx="305">
                  <c:v>43893</c:v>
                </c:pt>
                <c:pt idx="306">
                  <c:v>43894</c:v>
                </c:pt>
                <c:pt idx="307">
                  <c:v>43895</c:v>
                </c:pt>
                <c:pt idx="308">
                  <c:v>43896</c:v>
                </c:pt>
                <c:pt idx="309">
                  <c:v>43899</c:v>
                </c:pt>
                <c:pt idx="310">
                  <c:v>43900</c:v>
                </c:pt>
                <c:pt idx="311">
                  <c:v>43901</c:v>
                </c:pt>
                <c:pt idx="312">
                  <c:v>43902</c:v>
                </c:pt>
                <c:pt idx="313">
                  <c:v>43903</c:v>
                </c:pt>
                <c:pt idx="314">
                  <c:v>43906</c:v>
                </c:pt>
                <c:pt idx="315">
                  <c:v>43907</c:v>
                </c:pt>
                <c:pt idx="316">
                  <c:v>43908</c:v>
                </c:pt>
                <c:pt idx="317">
                  <c:v>43909</c:v>
                </c:pt>
                <c:pt idx="318">
                  <c:v>43910</c:v>
                </c:pt>
                <c:pt idx="319">
                  <c:v>43913</c:v>
                </c:pt>
                <c:pt idx="320">
                  <c:v>43914</c:v>
                </c:pt>
                <c:pt idx="321">
                  <c:v>43915</c:v>
                </c:pt>
                <c:pt idx="322">
                  <c:v>43916</c:v>
                </c:pt>
                <c:pt idx="323">
                  <c:v>43917</c:v>
                </c:pt>
                <c:pt idx="324">
                  <c:v>43920</c:v>
                </c:pt>
                <c:pt idx="325">
                  <c:v>43921</c:v>
                </c:pt>
                <c:pt idx="326">
                  <c:v>43922</c:v>
                </c:pt>
                <c:pt idx="327">
                  <c:v>43923</c:v>
                </c:pt>
                <c:pt idx="328">
                  <c:v>43924</c:v>
                </c:pt>
                <c:pt idx="329">
                  <c:v>43927</c:v>
                </c:pt>
                <c:pt idx="330">
                  <c:v>43928</c:v>
                </c:pt>
                <c:pt idx="331">
                  <c:v>43929</c:v>
                </c:pt>
                <c:pt idx="332">
                  <c:v>43930</c:v>
                </c:pt>
                <c:pt idx="333">
                  <c:v>43931</c:v>
                </c:pt>
                <c:pt idx="334">
                  <c:v>43934</c:v>
                </c:pt>
                <c:pt idx="335">
                  <c:v>43935</c:v>
                </c:pt>
                <c:pt idx="336">
                  <c:v>43936</c:v>
                </c:pt>
                <c:pt idx="337">
                  <c:v>43937</c:v>
                </c:pt>
                <c:pt idx="338">
                  <c:v>43938</c:v>
                </c:pt>
                <c:pt idx="339">
                  <c:v>43941</c:v>
                </c:pt>
                <c:pt idx="340">
                  <c:v>43942</c:v>
                </c:pt>
                <c:pt idx="341">
                  <c:v>43943</c:v>
                </c:pt>
                <c:pt idx="342">
                  <c:v>43944</c:v>
                </c:pt>
                <c:pt idx="343">
                  <c:v>43945</c:v>
                </c:pt>
                <c:pt idx="344">
                  <c:v>43948</c:v>
                </c:pt>
                <c:pt idx="345">
                  <c:v>43949</c:v>
                </c:pt>
                <c:pt idx="346">
                  <c:v>43950</c:v>
                </c:pt>
                <c:pt idx="347">
                  <c:v>43951</c:v>
                </c:pt>
                <c:pt idx="348">
                  <c:v>43952</c:v>
                </c:pt>
                <c:pt idx="349">
                  <c:v>43955</c:v>
                </c:pt>
                <c:pt idx="350">
                  <c:v>43956</c:v>
                </c:pt>
                <c:pt idx="351">
                  <c:v>43957</c:v>
                </c:pt>
                <c:pt idx="352">
                  <c:v>43958</c:v>
                </c:pt>
                <c:pt idx="353">
                  <c:v>43959</c:v>
                </c:pt>
                <c:pt idx="354">
                  <c:v>43962</c:v>
                </c:pt>
                <c:pt idx="355">
                  <c:v>43963</c:v>
                </c:pt>
                <c:pt idx="356">
                  <c:v>43964</c:v>
                </c:pt>
                <c:pt idx="357">
                  <c:v>43965</c:v>
                </c:pt>
                <c:pt idx="358">
                  <c:v>43966</c:v>
                </c:pt>
                <c:pt idx="359">
                  <c:v>43969</c:v>
                </c:pt>
                <c:pt idx="360">
                  <c:v>43970</c:v>
                </c:pt>
                <c:pt idx="361">
                  <c:v>43971</c:v>
                </c:pt>
                <c:pt idx="362">
                  <c:v>43972</c:v>
                </c:pt>
                <c:pt idx="363">
                  <c:v>43973</c:v>
                </c:pt>
                <c:pt idx="364">
                  <c:v>43976</c:v>
                </c:pt>
                <c:pt idx="365">
                  <c:v>43977</c:v>
                </c:pt>
                <c:pt idx="366">
                  <c:v>43978</c:v>
                </c:pt>
                <c:pt idx="367">
                  <c:v>43979</c:v>
                </c:pt>
                <c:pt idx="368">
                  <c:v>43980</c:v>
                </c:pt>
                <c:pt idx="369">
                  <c:v>43983</c:v>
                </c:pt>
                <c:pt idx="370">
                  <c:v>43984</c:v>
                </c:pt>
                <c:pt idx="371">
                  <c:v>43985</c:v>
                </c:pt>
                <c:pt idx="372">
                  <c:v>43986</c:v>
                </c:pt>
                <c:pt idx="373">
                  <c:v>43987</c:v>
                </c:pt>
                <c:pt idx="374">
                  <c:v>43990</c:v>
                </c:pt>
                <c:pt idx="375">
                  <c:v>43991</c:v>
                </c:pt>
                <c:pt idx="376">
                  <c:v>43992</c:v>
                </c:pt>
                <c:pt idx="377">
                  <c:v>43993</c:v>
                </c:pt>
                <c:pt idx="378">
                  <c:v>43994</c:v>
                </c:pt>
                <c:pt idx="379">
                  <c:v>43997</c:v>
                </c:pt>
                <c:pt idx="380">
                  <c:v>43998</c:v>
                </c:pt>
                <c:pt idx="381">
                  <c:v>43999</c:v>
                </c:pt>
                <c:pt idx="382">
                  <c:v>44000</c:v>
                </c:pt>
                <c:pt idx="383">
                  <c:v>44001</c:v>
                </c:pt>
                <c:pt idx="384">
                  <c:v>44004</c:v>
                </c:pt>
                <c:pt idx="385">
                  <c:v>44005</c:v>
                </c:pt>
                <c:pt idx="386">
                  <c:v>44006</c:v>
                </c:pt>
                <c:pt idx="387">
                  <c:v>44007</c:v>
                </c:pt>
                <c:pt idx="388">
                  <c:v>44008</c:v>
                </c:pt>
                <c:pt idx="389">
                  <c:v>44011</c:v>
                </c:pt>
                <c:pt idx="390">
                  <c:v>44012</c:v>
                </c:pt>
                <c:pt idx="391">
                  <c:v>44013</c:v>
                </c:pt>
                <c:pt idx="392">
                  <c:v>44014</c:v>
                </c:pt>
                <c:pt idx="393">
                  <c:v>44015</c:v>
                </c:pt>
                <c:pt idx="394">
                  <c:v>44018</c:v>
                </c:pt>
                <c:pt idx="395">
                  <c:v>44019</c:v>
                </c:pt>
                <c:pt idx="396">
                  <c:v>44020</c:v>
                </c:pt>
                <c:pt idx="397">
                  <c:v>44021</c:v>
                </c:pt>
                <c:pt idx="398">
                  <c:v>44022</c:v>
                </c:pt>
                <c:pt idx="399">
                  <c:v>44025</c:v>
                </c:pt>
                <c:pt idx="400">
                  <c:v>44026</c:v>
                </c:pt>
                <c:pt idx="401">
                  <c:v>44027</c:v>
                </c:pt>
                <c:pt idx="402">
                  <c:v>44028</c:v>
                </c:pt>
                <c:pt idx="403">
                  <c:v>44029</c:v>
                </c:pt>
                <c:pt idx="404">
                  <c:v>44032</c:v>
                </c:pt>
                <c:pt idx="405">
                  <c:v>44033</c:v>
                </c:pt>
                <c:pt idx="406">
                  <c:v>44034</c:v>
                </c:pt>
                <c:pt idx="407">
                  <c:v>44035</c:v>
                </c:pt>
                <c:pt idx="408">
                  <c:v>44036</c:v>
                </c:pt>
                <c:pt idx="409">
                  <c:v>44039</c:v>
                </c:pt>
                <c:pt idx="410">
                  <c:v>44040</c:v>
                </c:pt>
                <c:pt idx="411">
                  <c:v>44041</c:v>
                </c:pt>
                <c:pt idx="412">
                  <c:v>44042</c:v>
                </c:pt>
                <c:pt idx="413">
                  <c:v>44043</c:v>
                </c:pt>
                <c:pt idx="414">
                  <c:v>44046</c:v>
                </c:pt>
                <c:pt idx="415">
                  <c:v>44047</c:v>
                </c:pt>
                <c:pt idx="416">
                  <c:v>44048</c:v>
                </c:pt>
                <c:pt idx="417">
                  <c:v>44049</c:v>
                </c:pt>
                <c:pt idx="418">
                  <c:v>44050</c:v>
                </c:pt>
                <c:pt idx="419">
                  <c:v>44053</c:v>
                </c:pt>
                <c:pt idx="420">
                  <c:v>44054</c:v>
                </c:pt>
                <c:pt idx="421">
                  <c:v>44055</c:v>
                </c:pt>
                <c:pt idx="422">
                  <c:v>44056</c:v>
                </c:pt>
                <c:pt idx="423">
                  <c:v>44057</c:v>
                </c:pt>
                <c:pt idx="424">
                  <c:v>44060</c:v>
                </c:pt>
                <c:pt idx="425">
                  <c:v>44061</c:v>
                </c:pt>
                <c:pt idx="426">
                  <c:v>44062</c:v>
                </c:pt>
                <c:pt idx="427">
                  <c:v>44063</c:v>
                </c:pt>
                <c:pt idx="428">
                  <c:v>44064</c:v>
                </c:pt>
                <c:pt idx="429">
                  <c:v>44067</c:v>
                </c:pt>
                <c:pt idx="430">
                  <c:v>44068</c:v>
                </c:pt>
                <c:pt idx="431">
                  <c:v>44069</c:v>
                </c:pt>
                <c:pt idx="432">
                  <c:v>44070</c:v>
                </c:pt>
                <c:pt idx="433">
                  <c:v>44071</c:v>
                </c:pt>
                <c:pt idx="434">
                  <c:v>44074</c:v>
                </c:pt>
                <c:pt idx="435">
                  <c:v>44075</c:v>
                </c:pt>
                <c:pt idx="436">
                  <c:v>44076</c:v>
                </c:pt>
                <c:pt idx="437">
                  <c:v>44077</c:v>
                </c:pt>
                <c:pt idx="438">
                  <c:v>44078</c:v>
                </c:pt>
                <c:pt idx="439">
                  <c:v>44081</c:v>
                </c:pt>
                <c:pt idx="440">
                  <c:v>44082</c:v>
                </c:pt>
                <c:pt idx="441">
                  <c:v>44083</c:v>
                </c:pt>
                <c:pt idx="442">
                  <c:v>44084</c:v>
                </c:pt>
                <c:pt idx="443">
                  <c:v>44085</c:v>
                </c:pt>
                <c:pt idx="444">
                  <c:v>44088</c:v>
                </c:pt>
                <c:pt idx="445">
                  <c:v>44089</c:v>
                </c:pt>
                <c:pt idx="446">
                  <c:v>44090</c:v>
                </c:pt>
                <c:pt idx="447">
                  <c:v>44091</c:v>
                </c:pt>
                <c:pt idx="448">
                  <c:v>44092</c:v>
                </c:pt>
                <c:pt idx="449">
                  <c:v>44095</c:v>
                </c:pt>
                <c:pt idx="450">
                  <c:v>44096</c:v>
                </c:pt>
                <c:pt idx="451">
                  <c:v>44097</c:v>
                </c:pt>
                <c:pt idx="452">
                  <c:v>44098</c:v>
                </c:pt>
                <c:pt idx="453">
                  <c:v>44099</c:v>
                </c:pt>
                <c:pt idx="454">
                  <c:v>44102</c:v>
                </c:pt>
                <c:pt idx="455">
                  <c:v>44103</c:v>
                </c:pt>
                <c:pt idx="456">
                  <c:v>44104</c:v>
                </c:pt>
                <c:pt idx="457">
                  <c:v>44105</c:v>
                </c:pt>
                <c:pt idx="458">
                  <c:v>44106</c:v>
                </c:pt>
                <c:pt idx="459">
                  <c:v>44109</c:v>
                </c:pt>
                <c:pt idx="460">
                  <c:v>44110</c:v>
                </c:pt>
                <c:pt idx="461">
                  <c:v>44111</c:v>
                </c:pt>
                <c:pt idx="462">
                  <c:v>44112</c:v>
                </c:pt>
                <c:pt idx="463">
                  <c:v>44113</c:v>
                </c:pt>
                <c:pt idx="464">
                  <c:v>44116</c:v>
                </c:pt>
                <c:pt idx="465">
                  <c:v>44117</c:v>
                </c:pt>
                <c:pt idx="466">
                  <c:v>44118</c:v>
                </c:pt>
                <c:pt idx="467">
                  <c:v>44119</c:v>
                </c:pt>
                <c:pt idx="468">
                  <c:v>44120</c:v>
                </c:pt>
                <c:pt idx="469">
                  <c:v>44123</c:v>
                </c:pt>
                <c:pt idx="470">
                  <c:v>44124</c:v>
                </c:pt>
                <c:pt idx="471">
                  <c:v>44125</c:v>
                </c:pt>
                <c:pt idx="472">
                  <c:v>44126</c:v>
                </c:pt>
                <c:pt idx="473">
                  <c:v>44127</c:v>
                </c:pt>
                <c:pt idx="474">
                  <c:v>44130</c:v>
                </c:pt>
                <c:pt idx="475">
                  <c:v>44131</c:v>
                </c:pt>
                <c:pt idx="476">
                  <c:v>44132</c:v>
                </c:pt>
                <c:pt idx="477">
                  <c:v>44133</c:v>
                </c:pt>
                <c:pt idx="478">
                  <c:v>44134</c:v>
                </c:pt>
                <c:pt idx="479">
                  <c:v>44137</c:v>
                </c:pt>
                <c:pt idx="480">
                  <c:v>44138</c:v>
                </c:pt>
                <c:pt idx="481">
                  <c:v>44139</c:v>
                </c:pt>
                <c:pt idx="482">
                  <c:v>44140</c:v>
                </c:pt>
                <c:pt idx="483">
                  <c:v>44141</c:v>
                </c:pt>
                <c:pt idx="484">
                  <c:v>44144</c:v>
                </c:pt>
                <c:pt idx="485">
                  <c:v>44145</c:v>
                </c:pt>
                <c:pt idx="486">
                  <c:v>44146</c:v>
                </c:pt>
                <c:pt idx="487">
                  <c:v>44147</c:v>
                </c:pt>
                <c:pt idx="488">
                  <c:v>44148</c:v>
                </c:pt>
                <c:pt idx="489">
                  <c:v>44151</c:v>
                </c:pt>
                <c:pt idx="490">
                  <c:v>44152</c:v>
                </c:pt>
                <c:pt idx="491">
                  <c:v>44153</c:v>
                </c:pt>
                <c:pt idx="492">
                  <c:v>44154</c:v>
                </c:pt>
                <c:pt idx="493">
                  <c:v>44155</c:v>
                </c:pt>
                <c:pt idx="494">
                  <c:v>44158</c:v>
                </c:pt>
                <c:pt idx="495">
                  <c:v>44159</c:v>
                </c:pt>
                <c:pt idx="496">
                  <c:v>44160</c:v>
                </c:pt>
                <c:pt idx="497">
                  <c:v>44161</c:v>
                </c:pt>
                <c:pt idx="498">
                  <c:v>44162</c:v>
                </c:pt>
                <c:pt idx="499">
                  <c:v>44165</c:v>
                </c:pt>
                <c:pt idx="500">
                  <c:v>44166</c:v>
                </c:pt>
                <c:pt idx="501">
                  <c:v>44167</c:v>
                </c:pt>
                <c:pt idx="502">
                  <c:v>44168</c:v>
                </c:pt>
                <c:pt idx="503">
                  <c:v>44169</c:v>
                </c:pt>
                <c:pt idx="504">
                  <c:v>44172</c:v>
                </c:pt>
                <c:pt idx="505">
                  <c:v>44173</c:v>
                </c:pt>
                <c:pt idx="506">
                  <c:v>44174</c:v>
                </c:pt>
                <c:pt idx="507">
                  <c:v>44175</c:v>
                </c:pt>
                <c:pt idx="508">
                  <c:v>44176</c:v>
                </c:pt>
                <c:pt idx="509">
                  <c:v>44179</c:v>
                </c:pt>
                <c:pt idx="510">
                  <c:v>44180</c:v>
                </c:pt>
                <c:pt idx="511">
                  <c:v>44181</c:v>
                </c:pt>
                <c:pt idx="512">
                  <c:v>44182</c:v>
                </c:pt>
                <c:pt idx="513">
                  <c:v>44183</c:v>
                </c:pt>
                <c:pt idx="514">
                  <c:v>44186</c:v>
                </c:pt>
                <c:pt idx="515">
                  <c:v>44187</c:v>
                </c:pt>
                <c:pt idx="516">
                  <c:v>44188</c:v>
                </c:pt>
                <c:pt idx="517">
                  <c:v>44189</c:v>
                </c:pt>
                <c:pt idx="518">
                  <c:v>44190</c:v>
                </c:pt>
                <c:pt idx="519">
                  <c:v>44193</c:v>
                </c:pt>
                <c:pt idx="520">
                  <c:v>44194</c:v>
                </c:pt>
                <c:pt idx="521">
                  <c:v>44195</c:v>
                </c:pt>
                <c:pt idx="522">
                  <c:v>44196</c:v>
                </c:pt>
                <c:pt idx="523">
                  <c:v>44197</c:v>
                </c:pt>
                <c:pt idx="524">
                  <c:v>44200</c:v>
                </c:pt>
                <c:pt idx="525">
                  <c:v>44201</c:v>
                </c:pt>
                <c:pt idx="526">
                  <c:v>44202</c:v>
                </c:pt>
                <c:pt idx="527">
                  <c:v>44203</c:v>
                </c:pt>
                <c:pt idx="528">
                  <c:v>44204</c:v>
                </c:pt>
                <c:pt idx="529">
                  <c:v>44207</c:v>
                </c:pt>
                <c:pt idx="530">
                  <c:v>44208</c:v>
                </c:pt>
                <c:pt idx="531">
                  <c:v>44209</c:v>
                </c:pt>
                <c:pt idx="532">
                  <c:v>44210</c:v>
                </c:pt>
                <c:pt idx="533">
                  <c:v>44211</c:v>
                </c:pt>
                <c:pt idx="534">
                  <c:v>44214</c:v>
                </c:pt>
                <c:pt idx="535">
                  <c:v>44215</c:v>
                </c:pt>
                <c:pt idx="536">
                  <c:v>44216</c:v>
                </c:pt>
                <c:pt idx="537">
                  <c:v>44217</c:v>
                </c:pt>
                <c:pt idx="538">
                  <c:v>44218</c:v>
                </c:pt>
                <c:pt idx="539">
                  <c:v>44221</c:v>
                </c:pt>
                <c:pt idx="540">
                  <c:v>44222</c:v>
                </c:pt>
                <c:pt idx="541">
                  <c:v>44223</c:v>
                </c:pt>
                <c:pt idx="542">
                  <c:v>44224</c:v>
                </c:pt>
                <c:pt idx="543">
                  <c:v>44225</c:v>
                </c:pt>
                <c:pt idx="544">
                  <c:v>44228</c:v>
                </c:pt>
                <c:pt idx="545">
                  <c:v>44229</c:v>
                </c:pt>
                <c:pt idx="546">
                  <c:v>44230</c:v>
                </c:pt>
                <c:pt idx="547">
                  <c:v>44231</c:v>
                </c:pt>
                <c:pt idx="548">
                  <c:v>44232</c:v>
                </c:pt>
                <c:pt idx="549">
                  <c:v>44235</c:v>
                </c:pt>
                <c:pt idx="550">
                  <c:v>44236</c:v>
                </c:pt>
                <c:pt idx="551">
                  <c:v>44237</c:v>
                </c:pt>
                <c:pt idx="552">
                  <c:v>44238</c:v>
                </c:pt>
                <c:pt idx="553">
                  <c:v>44239</c:v>
                </c:pt>
                <c:pt idx="554">
                  <c:v>44242</c:v>
                </c:pt>
                <c:pt idx="555">
                  <c:v>44243</c:v>
                </c:pt>
                <c:pt idx="556">
                  <c:v>44244</c:v>
                </c:pt>
                <c:pt idx="557">
                  <c:v>44245</c:v>
                </c:pt>
                <c:pt idx="558">
                  <c:v>44246</c:v>
                </c:pt>
                <c:pt idx="559">
                  <c:v>44249</c:v>
                </c:pt>
                <c:pt idx="560">
                  <c:v>44250</c:v>
                </c:pt>
                <c:pt idx="561">
                  <c:v>44251</c:v>
                </c:pt>
                <c:pt idx="562">
                  <c:v>44252</c:v>
                </c:pt>
                <c:pt idx="563">
                  <c:v>44253</c:v>
                </c:pt>
                <c:pt idx="564">
                  <c:v>44256</c:v>
                </c:pt>
                <c:pt idx="565">
                  <c:v>44257</c:v>
                </c:pt>
                <c:pt idx="566">
                  <c:v>44258</c:v>
                </c:pt>
                <c:pt idx="567">
                  <c:v>44259</c:v>
                </c:pt>
                <c:pt idx="568">
                  <c:v>44260</c:v>
                </c:pt>
                <c:pt idx="569">
                  <c:v>44263</c:v>
                </c:pt>
                <c:pt idx="570">
                  <c:v>44264</c:v>
                </c:pt>
                <c:pt idx="571">
                  <c:v>44265</c:v>
                </c:pt>
                <c:pt idx="572">
                  <c:v>44266</c:v>
                </c:pt>
                <c:pt idx="573">
                  <c:v>44267</c:v>
                </c:pt>
                <c:pt idx="574">
                  <c:v>44270</c:v>
                </c:pt>
                <c:pt idx="575">
                  <c:v>44271</c:v>
                </c:pt>
                <c:pt idx="576">
                  <c:v>44272</c:v>
                </c:pt>
                <c:pt idx="577">
                  <c:v>44273</c:v>
                </c:pt>
                <c:pt idx="578">
                  <c:v>44274</c:v>
                </c:pt>
                <c:pt idx="579">
                  <c:v>44277</c:v>
                </c:pt>
                <c:pt idx="580">
                  <c:v>44278</c:v>
                </c:pt>
                <c:pt idx="581">
                  <c:v>44279</c:v>
                </c:pt>
                <c:pt idx="582">
                  <c:v>44280</c:v>
                </c:pt>
                <c:pt idx="583">
                  <c:v>44281</c:v>
                </c:pt>
                <c:pt idx="584">
                  <c:v>44284</c:v>
                </c:pt>
                <c:pt idx="585">
                  <c:v>44285</c:v>
                </c:pt>
                <c:pt idx="586">
                  <c:v>44286</c:v>
                </c:pt>
                <c:pt idx="587">
                  <c:v>44287</c:v>
                </c:pt>
                <c:pt idx="588">
                  <c:v>44288</c:v>
                </c:pt>
                <c:pt idx="589">
                  <c:v>44291</c:v>
                </c:pt>
                <c:pt idx="590">
                  <c:v>44292</c:v>
                </c:pt>
                <c:pt idx="591">
                  <c:v>44293</c:v>
                </c:pt>
                <c:pt idx="592">
                  <c:v>44294</c:v>
                </c:pt>
                <c:pt idx="593">
                  <c:v>44295</c:v>
                </c:pt>
                <c:pt idx="594">
                  <c:v>44298</c:v>
                </c:pt>
                <c:pt idx="595">
                  <c:v>44299</c:v>
                </c:pt>
                <c:pt idx="596">
                  <c:v>44300</c:v>
                </c:pt>
                <c:pt idx="597">
                  <c:v>44301</c:v>
                </c:pt>
                <c:pt idx="598">
                  <c:v>44302</c:v>
                </c:pt>
                <c:pt idx="599">
                  <c:v>44305</c:v>
                </c:pt>
                <c:pt idx="600">
                  <c:v>44306</c:v>
                </c:pt>
                <c:pt idx="601">
                  <c:v>44307</c:v>
                </c:pt>
                <c:pt idx="602">
                  <c:v>44308</c:v>
                </c:pt>
                <c:pt idx="603">
                  <c:v>44309</c:v>
                </c:pt>
                <c:pt idx="604">
                  <c:v>44312</c:v>
                </c:pt>
                <c:pt idx="605">
                  <c:v>44313</c:v>
                </c:pt>
                <c:pt idx="606">
                  <c:v>44314</c:v>
                </c:pt>
                <c:pt idx="607">
                  <c:v>44315</c:v>
                </c:pt>
                <c:pt idx="608">
                  <c:v>44316</c:v>
                </c:pt>
                <c:pt idx="609">
                  <c:v>44319</c:v>
                </c:pt>
                <c:pt idx="610">
                  <c:v>44320</c:v>
                </c:pt>
                <c:pt idx="611">
                  <c:v>44321</c:v>
                </c:pt>
                <c:pt idx="612">
                  <c:v>44322</c:v>
                </c:pt>
                <c:pt idx="613">
                  <c:v>44323</c:v>
                </c:pt>
                <c:pt idx="614">
                  <c:v>44326</c:v>
                </c:pt>
                <c:pt idx="615">
                  <c:v>44327</c:v>
                </c:pt>
                <c:pt idx="616">
                  <c:v>44328</c:v>
                </c:pt>
                <c:pt idx="617">
                  <c:v>44329</c:v>
                </c:pt>
                <c:pt idx="618">
                  <c:v>44330</c:v>
                </c:pt>
                <c:pt idx="619">
                  <c:v>44333</c:v>
                </c:pt>
                <c:pt idx="620">
                  <c:v>44334</c:v>
                </c:pt>
                <c:pt idx="621">
                  <c:v>44335</c:v>
                </c:pt>
                <c:pt idx="622">
                  <c:v>44336</c:v>
                </c:pt>
                <c:pt idx="623">
                  <c:v>44337</c:v>
                </c:pt>
              </c:numCache>
            </c:numRef>
          </c:cat>
          <c:val>
            <c:numRef>
              <c:f>Sheet1!$D$2:$D$625</c:f>
            </c:numRef>
          </c:val>
          <c:smooth val="0"/>
          <c:extLst>
            <c:ext xmlns:c16="http://schemas.microsoft.com/office/drawing/2014/chart" uri="{C3380CC4-5D6E-409C-BE32-E72D297353CC}">
              <c16:uniqueId val="{00000002-4EEE-436B-AFC1-C498D6096249}"/>
            </c:ext>
          </c:extLst>
        </c:ser>
        <c:ser>
          <c:idx val="3"/>
          <c:order val="3"/>
          <c:tx>
            <c:strRef>
              <c:f>Sheet1!$E$1</c:f>
              <c:strCache>
                <c:ptCount val="1"/>
                <c:pt idx="0">
                  <c:v>Հայաստան (2029թ.)</c:v>
                </c:pt>
              </c:strCache>
            </c:strRef>
          </c:tx>
          <c:spPr>
            <a:ln w="28575" cap="rnd">
              <a:solidFill>
                <a:srgbClr val="C00000"/>
              </a:solidFill>
              <a:round/>
            </a:ln>
            <a:effectLst/>
          </c:spPr>
          <c:marker>
            <c:symbol val="none"/>
          </c:marker>
          <c:cat>
            <c:numRef>
              <c:f>Sheet1!$A$2:$A$625</c:f>
              <c:numCache>
                <c:formatCode>m\/d\/yyyy</c:formatCode>
                <c:ptCount val="624"/>
                <c:pt idx="0">
                  <c:v>43466</c:v>
                </c:pt>
                <c:pt idx="1">
                  <c:v>43467</c:v>
                </c:pt>
                <c:pt idx="2">
                  <c:v>43468</c:v>
                </c:pt>
                <c:pt idx="3">
                  <c:v>43469</c:v>
                </c:pt>
                <c:pt idx="4">
                  <c:v>43472</c:v>
                </c:pt>
                <c:pt idx="5">
                  <c:v>43473</c:v>
                </c:pt>
                <c:pt idx="6">
                  <c:v>43474</c:v>
                </c:pt>
                <c:pt idx="7">
                  <c:v>43475</c:v>
                </c:pt>
                <c:pt idx="8">
                  <c:v>43476</c:v>
                </c:pt>
                <c:pt idx="9">
                  <c:v>43479</c:v>
                </c:pt>
                <c:pt idx="10">
                  <c:v>43480</c:v>
                </c:pt>
                <c:pt idx="11">
                  <c:v>43481</c:v>
                </c:pt>
                <c:pt idx="12">
                  <c:v>43482</c:v>
                </c:pt>
                <c:pt idx="13">
                  <c:v>43483</c:v>
                </c:pt>
                <c:pt idx="14">
                  <c:v>43486</c:v>
                </c:pt>
                <c:pt idx="15">
                  <c:v>43487</c:v>
                </c:pt>
                <c:pt idx="16">
                  <c:v>43488</c:v>
                </c:pt>
                <c:pt idx="17">
                  <c:v>43489</c:v>
                </c:pt>
                <c:pt idx="18">
                  <c:v>43490</c:v>
                </c:pt>
                <c:pt idx="19">
                  <c:v>43493</c:v>
                </c:pt>
                <c:pt idx="20">
                  <c:v>43494</c:v>
                </c:pt>
                <c:pt idx="21">
                  <c:v>43495</c:v>
                </c:pt>
                <c:pt idx="22">
                  <c:v>43496</c:v>
                </c:pt>
                <c:pt idx="23">
                  <c:v>43497</c:v>
                </c:pt>
                <c:pt idx="24">
                  <c:v>43500</c:v>
                </c:pt>
                <c:pt idx="25">
                  <c:v>43501</c:v>
                </c:pt>
                <c:pt idx="26">
                  <c:v>43502</c:v>
                </c:pt>
                <c:pt idx="27">
                  <c:v>43503</c:v>
                </c:pt>
                <c:pt idx="28">
                  <c:v>43504</c:v>
                </c:pt>
                <c:pt idx="29">
                  <c:v>43507</c:v>
                </c:pt>
                <c:pt idx="30">
                  <c:v>43508</c:v>
                </c:pt>
                <c:pt idx="31">
                  <c:v>43509</c:v>
                </c:pt>
                <c:pt idx="32">
                  <c:v>43510</c:v>
                </c:pt>
                <c:pt idx="33">
                  <c:v>43511</c:v>
                </c:pt>
                <c:pt idx="34">
                  <c:v>43514</c:v>
                </c:pt>
                <c:pt idx="35">
                  <c:v>43515</c:v>
                </c:pt>
                <c:pt idx="36">
                  <c:v>43516</c:v>
                </c:pt>
                <c:pt idx="37">
                  <c:v>43517</c:v>
                </c:pt>
                <c:pt idx="38">
                  <c:v>43518</c:v>
                </c:pt>
                <c:pt idx="39">
                  <c:v>43521</c:v>
                </c:pt>
                <c:pt idx="40">
                  <c:v>43522</c:v>
                </c:pt>
                <c:pt idx="41">
                  <c:v>43523</c:v>
                </c:pt>
                <c:pt idx="42">
                  <c:v>43524</c:v>
                </c:pt>
                <c:pt idx="43">
                  <c:v>43525</c:v>
                </c:pt>
                <c:pt idx="44">
                  <c:v>43528</c:v>
                </c:pt>
                <c:pt idx="45">
                  <c:v>43529</c:v>
                </c:pt>
                <c:pt idx="46">
                  <c:v>43530</c:v>
                </c:pt>
                <c:pt idx="47">
                  <c:v>43531</c:v>
                </c:pt>
                <c:pt idx="48">
                  <c:v>43532</c:v>
                </c:pt>
                <c:pt idx="49">
                  <c:v>43535</c:v>
                </c:pt>
                <c:pt idx="50">
                  <c:v>43536</c:v>
                </c:pt>
                <c:pt idx="51">
                  <c:v>43537</c:v>
                </c:pt>
                <c:pt idx="52">
                  <c:v>43538</c:v>
                </c:pt>
                <c:pt idx="53">
                  <c:v>43539</c:v>
                </c:pt>
                <c:pt idx="54">
                  <c:v>43542</c:v>
                </c:pt>
                <c:pt idx="55">
                  <c:v>43543</c:v>
                </c:pt>
                <c:pt idx="56">
                  <c:v>43544</c:v>
                </c:pt>
                <c:pt idx="57">
                  <c:v>43545</c:v>
                </c:pt>
                <c:pt idx="58">
                  <c:v>43546</c:v>
                </c:pt>
                <c:pt idx="59">
                  <c:v>43549</c:v>
                </c:pt>
                <c:pt idx="60">
                  <c:v>43550</c:v>
                </c:pt>
                <c:pt idx="61">
                  <c:v>43551</c:v>
                </c:pt>
                <c:pt idx="62">
                  <c:v>43552</c:v>
                </c:pt>
                <c:pt idx="63">
                  <c:v>43553</c:v>
                </c:pt>
                <c:pt idx="64">
                  <c:v>43556</c:v>
                </c:pt>
                <c:pt idx="65">
                  <c:v>43557</c:v>
                </c:pt>
                <c:pt idx="66">
                  <c:v>43558</c:v>
                </c:pt>
                <c:pt idx="67">
                  <c:v>43559</c:v>
                </c:pt>
                <c:pt idx="68">
                  <c:v>43560</c:v>
                </c:pt>
                <c:pt idx="69">
                  <c:v>43563</c:v>
                </c:pt>
                <c:pt idx="70">
                  <c:v>43564</c:v>
                </c:pt>
                <c:pt idx="71">
                  <c:v>43565</c:v>
                </c:pt>
                <c:pt idx="72">
                  <c:v>43566</c:v>
                </c:pt>
                <c:pt idx="73">
                  <c:v>43567</c:v>
                </c:pt>
                <c:pt idx="74">
                  <c:v>43570</c:v>
                </c:pt>
                <c:pt idx="75">
                  <c:v>43571</c:v>
                </c:pt>
                <c:pt idx="76">
                  <c:v>43572</c:v>
                </c:pt>
                <c:pt idx="77">
                  <c:v>43573</c:v>
                </c:pt>
                <c:pt idx="78">
                  <c:v>43574</c:v>
                </c:pt>
                <c:pt idx="79">
                  <c:v>43577</c:v>
                </c:pt>
                <c:pt idx="80">
                  <c:v>43578</c:v>
                </c:pt>
                <c:pt idx="81">
                  <c:v>43579</c:v>
                </c:pt>
                <c:pt idx="82">
                  <c:v>43580</c:v>
                </c:pt>
                <c:pt idx="83">
                  <c:v>43581</c:v>
                </c:pt>
                <c:pt idx="84">
                  <c:v>43584</c:v>
                </c:pt>
                <c:pt idx="85">
                  <c:v>43585</c:v>
                </c:pt>
                <c:pt idx="86">
                  <c:v>43586</c:v>
                </c:pt>
                <c:pt idx="87">
                  <c:v>43587</c:v>
                </c:pt>
                <c:pt idx="88">
                  <c:v>43588</c:v>
                </c:pt>
                <c:pt idx="89">
                  <c:v>43591</c:v>
                </c:pt>
                <c:pt idx="90">
                  <c:v>43592</c:v>
                </c:pt>
                <c:pt idx="91">
                  <c:v>43593</c:v>
                </c:pt>
                <c:pt idx="92">
                  <c:v>43594</c:v>
                </c:pt>
                <c:pt idx="93">
                  <c:v>43595</c:v>
                </c:pt>
                <c:pt idx="94">
                  <c:v>43598</c:v>
                </c:pt>
                <c:pt idx="95">
                  <c:v>43599</c:v>
                </c:pt>
                <c:pt idx="96">
                  <c:v>43600</c:v>
                </c:pt>
                <c:pt idx="97">
                  <c:v>43601</c:v>
                </c:pt>
                <c:pt idx="98">
                  <c:v>43602</c:v>
                </c:pt>
                <c:pt idx="99">
                  <c:v>43605</c:v>
                </c:pt>
                <c:pt idx="100">
                  <c:v>43606</c:v>
                </c:pt>
                <c:pt idx="101">
                  <c:v>43607</c:v>
                </c:pt>
                <c:pt idx="102">
                  <c:v>43608</c:v>
                </c:pt>
                <c:pt idx="103">
                  <c:v>43609</c:v>
                </c:pt>
                <c:pt idx="104">
                  <c:v>43612</c:v>
                </c:pt>
                <c:pt idx="105">
                  <c:v>43613</c:v>
                </c:pt>
                <c:pt idx="106">
                  <c:v>43614</c:v>
                </c:pt>
                <c:pt idx="107">
                  <c:v>43615</c:v>
                </c:pt>
                <c:pt idx="108">
                  <c:v>43616</c:v>
                </c:pt>
                <c:pt idx="109">
                  <c:v>43619</c:v>
                </c:pt>
                <c:pt idx="110">
                  <c:v>43620</c:v>
                </c:pt>
                <c:pt idx="111">
                  <c:v>43621</c:v>
                </c:pt>
                <c:pt idx="112">
                  <c:v>43622</c:v>
                </c:pt>
                <c:pt idx="113">
                  <c:v>43623</c:v>
                </c:pt>
                <c:pt idx="114">
                  <c:v>43626</c:v>
                </c:pt>
                <c:pt idx="115">
                  <c:v>43627</c:v>
                </c:pt>
                <c:pt idx="116">
                  <c:v>43628</c:v>
                </c:pt>
                <c:pt idx="117">
                  <c:v>43629</c:v>
                </c:pt>
                <c:pt idx="118">
                  <c:v>43630</c:v>
                </c:pt>
                <c:pt idx="119">
                  <c:v>43633</c:v>
                </c:pt>
                <c:pt idx="120">
                  <c:v>43634</c:v>
                </c:pt>
                <c:pt idx="121">
                  <c:v>43635</c:v>
                </c:pt>
                <c:pt idx="122">
                  <c:v>43636</c:v>
                </c:pt>
                <c:pt idx="123">
                  <c:v>43637</c:v>
                </c:pt>
                <c:pt idx="124">
                  <c:v>43640</c:v>
                </c:pt>
                <c:pt idx="125">
                  <c:v>43641</c:v>
                </c:pt>
                <c:pt idx="126">
                  <c:v>43642</c:v>
                </c:pt>
                <c:pt idx="127">
                  <c:v>43643</c:v>
                </c:pt>
                <c:pt idx="128">
                  <c:v>43644</c:v>
                </c:pt>
                <c:pt idx="129">
                  <c:v>43647</c:v>
                </c:pt>
                <c:pt idx="130">
                  <c:v>43648</c:v>
                </c:pt>
                <c:pt idx="131">
                  <c:v>43649</c:v>
                </c:pt>
                <c:pt idx="132">
                  <c:v>43650</c:v>
                </c:pt>
                <c:pt idx="133">
                  <c:v>43651</c:v>
                </c:pt>
                <c:pt idx="134">
                  <c:v>43654</c:v>
                </c:pt>
                <c:pt idx="135">
                  <c:v>43655</c:v>
                </c:pt>
                <c:pt idx="136">
                  <c:v>43656</c:v>
                </c:pt>
                <c:pt idx="137">
                  <c:v>43657</c:v>
                </c:pt>
                <c:pt idx="138">
                  <c:v>43658</c:v>
                </c:pt>
                <c:pt idx="139">
                  <c:v>43661</c:v>
                </c:pt>
                <c:pt idx="140">
                  <c:v>43662</c:v>
                </c:pt>
                <c:pt idx="141">
                  <c:v>43663</c:v>
                </c:pt>
                <c:pt idx="142">
                  <c:v>43664</c:v>
                </c:pt>
                <c:pt idx="143">
                  <c:v>43665</c:v>
                </c:pt>
                <c:pt idx="144">
                  <c:v>43668</c:v>
                </c:pt>
                <c:pt idx="145">
                  <c:v>43669</c:v>
                </c:pt>
                <c:pt idx="146">
                  <c:v>43670</c:v>
                </c:pt>
                <c:pt idx="147">
                  <c:v>43671</c:v>
                </c:pt>
                <c:pt idx="148">
                  <c:v>43672</c:v>
                </c:pt>
                <c:pt idx="149">
                  <c:v>43675</c:v>
                </c:pt>
                <c:pt idx="150">
                  <c:v>43676</c:v>
                </c:pt>
                <c:pt idx="151">
                  <c:v>43677</c:v>
                </c:pt>
                <c:pt idx="152">
                  <c:v>43678</c:v>
                </c:pt>
                <c:pt idx="153">
                  <c:v>43679</c:v>
                </c:pt>
                <c:pt idx="154">
                  <c:v>43682</c:v>
                </c:pt>
                <c:pt idx="155">
                  <c:v>43683</c:v>
                </c:pt>
                <c:pt idx="156">
                  <c:v>43684</c:v>
                </c:pt>
                <c:pt idx="157">
                  <c:v>43685</c:v>
                </c:pt>
                <c:pt idx="158">
                  <c:v>43686</c:v>
                </c:pt>
                <c:pt idx="159">
                  <c:v>43689</c:v>
                </c:pt>
                <c:pt idx="160">
                  <c:v>43690</c:v>
                </c:pt>
                <c:pt idx="161">
                  <c:v>43691</c:v>
                </c:pt>
                <c:pt idx="162">
                  <c:v>43692</c:v>
                </c:pt>
                <c:pt idx="163">
                  <c:v>43693</c:v>
                </c:pt>
                <c:pt idx="164">
                  <c:v>43696</c:v>
                </c:pt>
                <c:pt idx="165">
                  <c:v>43697</c:v>
                </c:pt>
                <c:pt idx="166">
                  <c:v>43698</c:v>
                </c:pt>
                <c:pt idx="167">
                  <c:v>43699</c:v>
                </c:pt>
                <c:pt idx="168">
                  <c:v>43700</c:v>
                </c:pt>
                <c:pt idx="169">
                  <c:v>43703</c:v>
                </c:pt>
                <c:pt idx="170">
                  <c:v>43704</c:v>
                </c:pt>
                <c:pt idx="171">
                  <c:v>43705</c:v>
                </c:pt>
                <c:pt idx="172">
                  <c:v>43706</c:v>
                </c:pt>
                <c:pt idx="173">
                  <c:v>43707</c:v>
                </c:pt>
                <c:pt idx="174">
                  <c:v>43710</c:v>
                </c:pt>
                <c:pt idx="175">
                  <c:v>43711</c:v>
                </c:pt>
                <c:pt idx="176">
                  <c:v>43712</c:v>
                </c:pt>
                <c:pt idx="177">
                  <c:v>43713</c:v>
                </c:pt>
                <c:pt idx="178">
                  <c:v>43714</c:v>
                </c:pt>
                <c:pt idx="179">
                  <c:v>43717</c:v>
                </c:pt>
                <c:pt idx="180">
                  <c:v>43718</c:v>
                </c:pt>
                <c:pt idx="181">
                  <c:v>43719</c:v>
                </c:pt>
                <c:pt idx="182">
                  <c:v>43720</c:v>
                </c:pt>
                <c:pt idx="183">
                  <c:v>43721</c:v>
                </c:pt>
                <c:pt idx="184">
                  <c:v>43724</c:v>
                </c:pt>
                <c:pt idx="185">
                  <c:v>43725</c:v>
                </c:pt>
                <c:pt idx="186">
                  <c:v>43726</c:v>
                </c:pt>
                <c:pt idx="187">
                  <c:v>43727</c:v>
                </c:pt>
                <c:pt idx="188">
                  <c:v>43728</c:v>
                </c:pt>
                <c:pt idx="189">
                  <c:v>43731</c:v>
                </c:pt>
                <c:pt idx="190">
                  <c:v>43732</c:v>
                </c:pt>
                <c:pt idx="191">
                  <c:v>43733</c:v>
                </c:pt>
                <c:pt idx="192">
                  <c:v>43734</c:v>
                </c:pt>
                <c:pt idx="193">
                  <c:v>43735</c:v>
                </c:pt>
                <c:pt idx="194">
                  <c:v>43738</c:v>
                </c:pt>
                <c:pt idx="195">
                  <c:v>43739</c:v>
                </c:pt>
                <c:pt idx="196">
                  <c:v>43740</c:v>
                </c:pt>
                <c:pt idx="197">
                  <c:v>43741</c:v>
                </c:pt>
                <c:pt idx="198">
                  <c:v>43742</c:v>
                </c:pt>
                <c:pt idx="199">
                  <c:v>43745</c:v>
                </c:pt>
                <c:pt idx="200">
                  <c:v>43746</c:v>
                </c:pt>
                <c:pt idx="201">
                  <c:v>43747</c:v>
                </c:pt>
                <c:pt idx="202">
                  <c:v>43748</c:v>
                </c:pt>
                <c:pt idx="203">
                  <c:v>43749</c:v>
                </c:pt>
                <c:pt idx="204">
                  <c:v>43752</c:v>
                </c:pt>
                <c:pt idx="205">
                  <c:v>43753</c:v>
                </c:pt>
                <c:pt idx="206">
                  <c:v>43754</c:v>
                </c:pt>
                <c:pt idx="207">
                  <c:v>43755</c:v>
                </c:pt>
                <c:pt idx="208">
                  <c:v>43756</c:v>
                </c:pt>
                <c:pt idx="209">
                  <c:v>43759</c:v>
                </c:pt>
                <c:pt idx="210">
                  <c:v>43760</c:v>
                </c:pt>
                <c:pt idx="211">
                  <c:v>43761</c:v>
                </c:pt>
                <c:pt idx="212">
                  <c:v>43762</c:v>
                </c:pt>
                <c:pt idx="213">
                  <c:v>43763</c:v>
                </c:pt>
                <c:pt idx="214">
                  <c:v>43766</c:v>
                </c:pt>
                <c:pt idx="215">
                  <c:v>43767</c:v>
                </c:pt>
                <c:pt idx="216">
                  <c:v>43768</c:v>
                </c:pt>
                <c:pt idx="217">
                  <c:v>43769</c:v>
                </c:pt>
                <c:pt idx="218">
                  <c:v>43770</c:v>
                </c:pt>
                <c:pt idx="219">
                  <c:v>43773</c:v>
                </c:pt>
                <c:pt idx="220">
                  <c:v>43774</c:v>
                </c:pt>
                <c:pt idx="221">
                  <c:v>43775</c:v>
                </c:pt>
                <c:pt idx="222">
                  <c:v>43776</c:v>
                </c:pt>
                <c:pt idx="223">
                  <c:v>43777</c:v>
                </c:pt>
                <c:pt idx="224">
                  <c:v>43780</c:v>
                </c:pt>
                <c:pt idx="225">
                  <c:v>43781</c:v>
                </c:pt>
                <c:pt idx="226">
                  <c:v>43782</c:v>
                </c:pt>
                <c:pt idx="227">
                  <c:v>43783</c:v>
                </c:pt>
                <c:pt idx="228">
                  <c:v>43784</c:v>
                </c:pt>
                <c:pt idx="229">
                  <c:v>43787</c:v>
                </c:pt>
                <c:pt idx="230">
                  <c:v>43788</c:v>
                </c:pt>
                <c:pt idx="231">
                  <c:v>43789</c:v>
                </c:pt>
                <c:pt idx="232">
                  <c:v>43790</c:v>
                </c:pt>
                <c:pt idx="233">
                  <c:v>43791</c:v>
                </c:pt>
                <c:pt idx="234">
                  <c:v>43794</c:v>
                </c:pt>
                <c:pt idx="235">
                  <c:v>43795</c:v>
                </c:pt>
                <c:pt idx="236">
                  <c:v>43796</c:v>
                </c:pt>
                <c:pt idx="237">
                  <c:v>43797</c:v>
                </c:pt>
                <c:pt idx="238">
                  <c:v>43798</c:v>
                </c:pt>
                <c:pt idx="239">
                  <c:v>43801</c:v>
                </c:pt>
                <c:pt idx="240">
                  <c:v>43802</c:v>
                </c:pt>
                <c:pt idx="241">
                  <c:v>43803</c:v>
                </c:pt>
                <c:pt idx="242">
                  <c:v>43804</c:v>
                </c:pt>
                <c:pt idx="243">
                  <c:v>43805</c:v>
                </c:pt>
                <c:pt idx="244">
                  <c:v>43808</c:v>
                </c:pt>
                <c:pt idx="245">
                  <c:v>43809</c:v>
                </c:pt>
                <c:pt idx="246">
                  <c:v>43810</c:v>
                </c:pt>
                <c:pt idx="247">
                  <c:v>43811</c:v>
                </c:pt>
                <c:pt idx="248">
                  <c:v>43812</c:v>
                </c:pt>
                <c:pt idx="249">
                  <c:v>43815</c:v>
                </c:pt>
                <c:pt idx="250">
                  <c:v>43816</c:v>
                </c:pt>
                <c:pt idx="251">
                  <c:v>43817</c:v>
                </c:pt>
                <c:pt idx="252">
                  <c:v>43818</c:v>
                </c:pt>
                <c:pt idx="253">
                  <c:v>43819</c:v>
                </c:pt>
                <c:pt idx="254">
                  <c:v>43822</c:v>
                </c:pt>
                <c:pt idx="255">
                  <c:v>43823</c:v>
                </c:pt>
                <c:pt idx="256">
                  <c:v>43824</c:v>
                </c:pt>
                <c:pt idx="257">
                  <c:v>43825</c:v>
                </c:pt>
                <c:pt idx="258">
                  <c:v>43826</c:v>
                </c:pt>
                <c:pt idx="259">
                  <c:v>43829</c:v>
                </c:pt>
                <c:pt idx="260">
                  <c:v>43830</c:v>
                </c:pt>
                <c:pt idx="261">
                  <c:v>43831</c:v>
                </c:pt>
                <c:pt idx="262">
                  <c:v>43832</c:v>
                </c:pt>
                <c:pt idx="263">
                  <c:v>43833</c:v>
                </c:pt>
                <c:pt idx="264">
                  <c:v>43836</c:v>
                </c:pt>
                <c:pt idx="265">
                  <c:v>43837</c:v>
                </c:pt>
                <c:pt idx="266">
                  <c:v>43838</c:v>
                </c:pt>
                <c:pt idx="267">
                  <c:v>43839</c:v>
                </c:pt>
                <c:pt idx="268">
                  <c:v>43840</c:v>
                </c:pt>
                <c:pt idx="269">
                  <c:v>43843</c:v>
                </c:pt>
                <c:pt idx="270">
                  <c:v>43844</c:v>
                </c:pt>
                <c:pt idx="271">
                  <c:v>43845</c:v>
                </c:pt>
                <c:pt idx="272">
                  <c:v>43846</c:v>
                </c:pt>
                <c:pt idx="273">
                  <c:v>43847</c:v>
                </c:pt>
                <c:pt idx="274">
                  <c:v>43850</c:v>
                </c:pt>
                <c:pt idx="275">
                  <c:v>43851</c:v>
                </c:pt>
                <c:pt idx="276">
                  <c:v>43852</c:v>
                </c:pt>
                <c:pt idx="277">
                  <c:v>43853</c:v>
                </c:pt>
                <c:pt idx="278">
                  <c:v>43854</c:v>
                </c:pt>
                <c:pt idx="279">
                  <c:v>43857</c:v>
                </c:pt>
                <c:pt idx="280">
                  <c:v>43858</c:v>
                </c:pt>
                <c:pt idx="281">
                  <c:v>43859</c:v>
                </c:pt>
                <c:pt idx="282">
                  <c:v>43860</c:v>
                </c:pt>
                <c:pt idx="283">
                  <c:v>43861</c:v>
                </c:pt>
                <c:pt idx="284">
                  <c:v>43864</c:v>
                </c:pt>
                <c:pt idx="285">
                  <c:v>43865</c:v>
                </c:pt>
                <c:pt idx="286">
                  <c:v>43866</c:v>
                </c:pt>
                <c:pt idx="287">
                  <c:v>43867</c:v>
                </c:pt>
                <c:pt idx="288">
                  <c:v>43868</c:v>
                </c:pt>
                <c:pt idx="289">
                  <c:v>43871</c:v>
                </c:pt>
                <c:pt idx="290">
                  <c:v>43872</c:v>
                </c:pt>
                <c:pt idx="291">
                  <c:v>43873</c:v>
                </c:pt>
                <c:pt idx="292">
                  <c:v>43874</c:v>
                </c:pt>
                <c:pt idx="293">
                  <c:v>43875</c:v>
                </c:pt>
                <c:pt idx="294">
                  <c:v>43878</c:v>
                </c:pt>
                <c:pt idx="295">
                  <c:v>43879</c:v>
                </c:pt>
                <c:pt idx="296">
                  <c:v>43880</c:v>
                </c:pt>
                <c:pt idx="297">
                  <c:v>43881</c:v>
                </c:pt>
                <c:pt idx="298">
                  <c:v>43882</c:v>
                </c:pt>
                <c:pt idx="299">
                  <c:v>43885</c:v>
                </c:pt>
                <c:pt idx="300">
                  <c:v>43886</c:v>
                </c:pt>
                <c:pt idx="301">
                  <c:v>43887</c:v>
                </c:pt>
                <c:pt idx="302">
                  <c:v>43888</c:v>
                </c:pt>
                <c:pt idx="303">
                  <c:v>43889</c:v>
                </c:pt>
                <c:pt idx="304">
                  <c:v>43892</c:v>
                </c:pt>
                <c:pt idx="305">
                  <c:v>43893</c:v>
                </c:pt>
                <c:pt idx="306">
                  <c:v>43894</c:v>
                </c:pt>
                <c:pt idx="307">
                  <c:v>43895</c:v>
                </c:pt>
                <c:pt idx="308">
                  <c:v>43896</c:v>
                </c:pt>
                <c:pt idx="309">
                  <c:v>43899</c:v>
                </c:pt>
                <c:pt idx="310">
                  <c:v>43900</c:v>
                </c:pt>
                <c:pt idx="311">
                  <c:v>43901</c:v>
                </c:pt>
                <c:pt idx="312">
                  <c:v>43902</c:v>
                </c:pt>
                <c:pt idx="313">
                  <c:v>43903</c:v>
                </c:pt>
                <c:pt idx="314">
                  <c:v>43906</c:v>
                </c:pt>
                <c:pt idx="315">
                  <c:v>43907</c:v>
                </c:pt>
                <c:pt idx="316">
                  <c:v>43908</c:v>
                </c:pt>
                <c:pt idx="317">
                  <c:v>43909</c:v>
                </c:pt>
                <c:pt idx="318">
                  <c:v>43910</c:v>
                </c:pt>
                <c:pt idx="319">
                  <c:v>43913</c:v>
                </c:pt>
                <c:pt idx="320">
                  <c:v>43914</c:v>
                </c:pt>
                <c:pt idx="321">
                  <c:v>43915</c:v>
                </c:pt>
                <c:pt idx="322">
                  <c:v>43916</c:v>
                </c:pt>
                <c:pt idx="323">
                  <c:v>43917</c:v>
                </c:pt>
                <c:pt idx="324">
                  <c:v>43920</c:v>
                </c:pt>
                <c:pt idx="325">
                  <c:v>43921</c:v>
                </c:pt>
                <c:pt idx="326">
                  <c:v>43922</c:v>
                </c:pt>
                <c:pt idx="327">
                  <c:v>43923</c:v>
                </c:pt>
                <c:pt idx="328">
                  <c:v>43924</c:v>
                </c:pt>
                <c:pt idx="329">
                  <c:v>43927</c:v>
                </c:pt>
                <c:pt idx="330">
                  <c:v>43928</c:v>
                </c:pt>
                <c:pt idx="331">
                  <c:v>43929</c:v>
                </c:pt>
                <c:pt idx="332">
                  <c:v>43930</c:v>
                </c:pt>
                <c:pt idx="333">
                  <c:v>43931</c:v>
                </c:pt>
                <c:pt idx="334">
                  <c:v>43934</c:v>
                </c:pt>
                <c:pt idx="335">
                  <c:v>43935</c:v>
                </c:pt>
                <c:pt idx="336">
                  <c:v>43936</c:v>
                </c:pt>
                <c:pt idx="337">
                  <c:v>43937</c:v>
                </c:pt>
                <c:pt idx="338">
                  <c:v>43938</c:v>
                </c:pt>
                <c:pt idx="339">
                  <c:v>43941</c:v>
                </c:pt>
                <c:pt idx="340">
                  <c:v>43942</c:v>
                </c:pt>
                <c:pt idx="341">
                  <c:v>43943</c:v>
                </c:pt>
                <c:pt idx="342">
                  <c:v>43944</c:v>
                </c:pt>
                <c:pt idx="343">
                  <c:v>43945</c:v>
                </c:pt>
                <c:pt idx="344">
                  <c:v>43948</c:v>
                </c:pt>
                <c:pt idx="345">
                  <c:v>43949</c:v>
                </c:pt>
                <c:pt idx="346">
                  <c:v>43950</c:v>
                </c:pt>
                <c:pt idx="347">
                  <c:v>43951</c:v>
                </c:pt>
                <c:pt idx="348">
                  <c:v>43952</c:v>
                </c:pt>
                <c:pt idx="349">
                  <c:v>43955</c:v>
                </c:pt>
                <c:pt idx="350">
                  <c:v>43956</c:v>
                </c:pt>
                <c:pt idx="351">
                  <c:v>43957</c:v>
                </c:pt>
                <c:pt idx="352">
                  <c:v>43958</c:v>
                </c:pt>
                <c:pt idx="353">
                  <c:v>43959</c:v>
                </c:pt>
                <c:pt idx="354">
                  <c:v>43962</c:v>
                </c:pt>
                <c:pt idx="355">
                  <c:v>43963</c:v>
                </c:pt>
                <c:pt idx="356">
                  <c:v>43964</c:v>
                </c:pt>
                <c:pt idx="357">
                  <c:v>43965</c:v>
                </c:pt>
                <c:pt idx="358">
                  <c:v>43966</c:v>
                </c:pt>
                <c:pt idx="359">
                  <c:v>43969</c:v>
                </c:pt>
                <c:pt idx="360">
                  <c:v>43970</c:v>
                </c:pt>
                <c:pt idx="361">
                  <c:v>43971</c:v>
                </c:pt>
                <c:pt idx="362">
                  <c:v>43972</c:v>
                </c:pt>
                <c:pt idx="363">
                  <c:v>43973</c:v>
                </c:pt>
                <c:pt idx="364">
                  <c:v>43976</c:v>
                </c:pt>
                <c:pt idx="365">
                  <c:v>43977</c:v>
                </c:pt>
                <c:pt idx="366">
                  <c:v>43978</c:v>
                </c:pt>
                <c:pt idx="367">
                  <c:v>43979</c:v>
                </c:pt>
                <c:pt idx="368">
                  <c:v>43980</c:v>
                </c:pt>
                <c:pt idx="369">
                  <c:v>43983</c:v>
                </c:pt>
                <c:pt idx="370">
                  <c:v>43984</c:v>
                </c:pt>
                <c:pt idx="371">
                  <c:v>43985</c:v>
                </c:pt>
                <c:pt idx="372">
                  <c:v>43986</c:v>
                </c:pt>
                <c:pt idx="373">
                  <c:v>43987</c:v>
                </c:pt>
                <c:pt idx="374">
                  <c:v>43990</c:v>
                </c:pt>
                <c:pt idx="375">
                  <c:v>43991</c:v>
                </c:pt>
                <c:pt idx="376">
                  <c:v>43992</c:v>
                </c:pt>
                <c:pt idx="377">
                  <c:v>43993</c:v>
                </c:pt>
                <c:pt idx="378">
                  <c:v>43994</c:v>
                </c:pt>
                <c:pt idx="379">
                  <c:v>43997</c:v>
                </c:pt>
                <c:pt idx="380">
                  <c:v>43998</c:v>
                </c:pt>
                <c:pt idx="381">
                  <c:v>43999</c:v>
                </c:pt>
                <c:pt idx="382">
                  <c:v>44000</c:v>
                </c:pt>
                <c:pt idx="383">
                  <c:v>44001</c:v>
                </c:pt>
                <c:pt idx="384">
                  <c:v>44004</c:v>
                </c:pt>
                <c:pt idx="385">
                  <c:v>44005</c:v>
                </c:pt>
                <c:pt idx="386">
                  <c:v>44006</c:v>
                </c:pt>
                <c:pt idx="387">
                  <c:v>44007</c:v>
                </c:pt>
                <c:pt idx="388">
                  <c:v>44008</c:v>
                </c:pt>
                <c:pt idx="389">
                  <c:v>44011</c:v>
                </c:pt>
                <c:pt idx="390">
                  <c:v>44012</c:v>
                </c:pt>
                <c:pt idx="391">
                  <c:v>44013</c:v>
                </c:pt>
                <c:pt idx="392">
                  <c:v>44014</c:v>
                </c:pt>
                <c:pt idx="393">
                  <c:v>44015</c:v>
                </c:pt>
                <c:pt idx="394">
                  <c:v>44018</c:v>
                </c:pt>
                <c:pt idx="395">
                  <c:v>44019</c:v>
                </c:pt>
                <c:pt idx="396">
                  <c:v>44020</c:v>
                </c:pt>
                <c:pt idx="397">
                  <c:v>44021</c:v>
                </c:pt>
                <c:pt idx="398">
                  <c:v>44022</c:v>
                </c:pt>
                <c:pt idx="399">
                  <c:v>44025</c:v>
                </c:pt>
                <c:pt idx="400">
                  <c:v>44026</c:v>
                </c:pt>
                <c:pt idx="401">
                  <c:v>44027</c:v>
                </c:pt>
                <c:pt idx="402">
                  <c:v>44028</c:v>
                </c:pt>
                <c:pt idx="403">
                  <c:v>44029</c:v>
                </c:pt>
                <c:pt idx="404">
                  <c:v>44032</c:v>
                </c:pt>
                <c:pt idx="405">
                  <c:v>44033</c:v>
                </c:pt>
                <c:pt idx="406">
                  <c:v>44034</c:v>
                </c:pt>
                <c:pt idx="407">
                  <c:v>44035</c:v>
                </c:pt>
                <c:pt idx="408">
                  <c:v>44036</c:v>
                </c:pt>
                <c:pt idx="409">
                  <c:v>44039</c:v>
                </c:pt>
                <c:pt idx="410">
                  <c:v>44040</c:v>
                </c:pt>
                <c:pt idx="411">
                  <c:v>44041</c:v>
                </c:pt>
                <c:pt idx="412">
                  <c:v>44042</c:v>
                </c:pt>
                <c:pt idx="413">
                  <c:v>44043</c:v>
                </c:pt>
                <c:pt idx="414">
                  <c:v>44046</c:v>
                </c:pt>
                <c:pt idx="415">
                  <c:v>44047</c:v>
                </c:pt>
                <c:pt idx="416">
                  <c:v>44048</c:v>
                </c:pt>
                <c:pt idx="417">
                  <c:v>44049</c:v>
                </c:pt>
                <c:pt idx="418">
                  <c:v>44050</c:v>
                </c:pt>
                <c:pt idx="419">
                  <c:v>44053</c:v>
                </c:pt>
                <c:pt idx="420">
                  <c:v>44054</c:v>
                </c:pt>
                <c:pt idx="421">
                  <c:v>44055</c:v>
                </c:pt>
                <c:pt idx="422">
                  <c:v>44056</c:v>
                </c:pt>
                <c:pt idx="423">
                  <c:v>44057</c:v>
                </c:pt>
                <c:pt idx="424">
                  <c:v>44060</c:v>
                </c:pt>
                <c:pt idx="425">
                  <c:v>44061</c:v>
                </c:pt>
                <c:pt idx="426">
                  <c:v>44062</c:v>
                </c:pt>
                <c:pt idx="427">
                  <c:v>44063</c:v>
                </c:pt>
                <c:pt idx="428">
                  <c:v>44064</c:v>
                </c:pt>
                <c:pt idx="429">
                  <c:v>44067</c:v>
                </c:pt>
                <c:pt idx="430">
                  <c:v>44068</c:v>
                </c:pt>
                <c:pt idx="431">
                  <c:v>44069</c:v>
                </c:pt>
                <c:pt idx="432">
                  <c:v>44070</c:v>
                </c:pt>
                <c:pt idx="433">
                  <c:v>44071</c:v>
                </c:pt>
                <c:pt idx="434">
                  <c:v>44074</c:v>
                </c:pt>
                <c:pt idx="435">
                  <c:v>44075</c:v>
                </c:pt>
                <c:pt idx="436">
                  <c:v>44076</c:v>
                </c:pt>
                <c:pt idx="437">
                  <c:v>44077</c:v>
                </c:pt>
                <c:pt idx="438">
                  <c:v>44078</c:v>
                </c:pt>
                <c:pt idx="439">
                  <c:v>44081</c:v>
                </c:pt>
                <c:pt idx="440">
                  <c:v>44082</c:v>
                </c:pt>
                <c:pt idx="441">
                  <c:v>44083</c:v>
                </c:pt>
                <c:pt idx="442">
                  <c:v>44084</c:v>
                </c:pt>
                <c:pt idx="443">
                  <c:v>44085</c:v>
                </c:pt>
                <c:pt idx="444">
                  <c:v>44088</c:v>
                </c:pt>
                <c:pt idx="445">
                  <c:v>44089</c:v>
                </c:pt>
                <c:pt idx="446">
                  <c:v>44090</c:v>
                </c:pt>
                <c:pt idx="447">
                  <c:v>44091</c:v>
                </c:pt>
                <c:pt idx="448">
                  <c:v>44092</c:v>
                </c:pt>
                <c:pt idx="449">
                  <c:v>44095</c:v>
                </c:pt>
                <c:pt idx="450">
                  <c:v>44096</c:v>
                </c:pt>
                <c:pt idx="451">
                  <c:v>44097</c:v>
                </c:pt>
                <c:pt idx="452">
                  <c:v>44098</c:v>
                </c:pt>
                <c:pt idx="453">
                  <c:v>44099</c:v>
                </c:pt>
                <c:pt idx="454">
                  <c:v>44102</c:v>
                </c:pt>
                <c:pt idx="455">
                  <c:v>44103</c:v>
                </c:pt>
                <c:pt idx="456">
                  <c:v>44104</c:v>
                </c:pt>
                <c:pt idx="457">
                  <c:v>44105</c:v>
                </c:pt>
                <c:pt idx="458">
                  <c:v>44106</c:v>
                </c:pt>
                <c:pt idx="459">
                  <c:v>44109</c:v>
                </c:pt>
                <c:pt idx="460">
                  <c:v>44110</c:v>
                </c:pt>
                <c:pt idx="461">
                  <c:v>44111</c:v>
                </c:pt>
                <c:pt idx="462">
                  <c:v>44112</c:v>
                </c:pt>
                <c:pt idx="463">
                  <c:v>44113</c:v>
                </c:pt>
                <c:pt idx="464">
                  <c:v>44116</c:v>
                </c:pt>
                <c:pt idx="465">
                  <c:v>44117</c:v>
                </c:pt>
                <c:pt idx="466">
                  <c:v>44118</c:v>
                </c:pt>
                <c:pt idx="467">
                  <c:v>44119</c:v>
                </c:pt>
                <c:pt idx="468">
                  <c:v>44120</c:v>
                </c:pt>
                <c:pt idx="469">
                  <c:v>44123</c:v>
                </c:pt>
                <c:pt idx="470">
                  <c:v>44124</c:v>
                </c:pt>
                <c:pt idx="471">
                  <c:v>44125</c:v>
                </c:pt>
                <c:pt idx="472">
                  <c:v>44126</c:v>
                </c:pt>
                <c:pt idx="473">
                  <c:v>44127</c:v>
                </c:pt>
                <c:pt idx="474">
                  <c:v>44130</c:v>
                </c:pt>
                <c:pt idx="475">
                  <c:v>44131</c:v>
                </c:pt>
                <c:pt idx="476">
                  <c:v>44132</c:v>
                </c:pt>
                <c:pt idx="477">
                  <c:v>44133</c:v>
                </c:pt>
                <c:pt idx="478">
                  <c:v>44134</c:v>
                </c:pt>
                <c:pt idx="479">
                  <c:v>44137</c:v>
                </c:pt>
                <c:pt idx="480">
                  <c:v>44138</c:v>
                </c:pt>
                <c:pt idx="481">
                  <c:v>44139</c:v>
                </c:pt>
                <c:pt idx="482">
                  <c:v>44140</c:v>
                </c:pt>
                <c:pt idx="483">
                  <c:v>44141</c:v>
                </c:pt>
                <c:pt idx="484">
                  <c:v>44144</c:v>
                </c:pt>
                <c:pt idx="485">
                  <c:v>44145</c:v>
                </c:pt>
                <c:pt idx="486">
                  <c:v>44146</c:v>
                </c:pt>
                <c:pt idx="487">
                  <c:v>44147</c:v>
                </c:pt>
                <c:pt idx="488">
                  <c:v>44148</c:v>
                </c:pt>
                <c:pt idx="489">
                  <c:v>44151</c:v>
                </c:pt>
                <c:pt idx="490">
                  <c:v>44152</c:v>
                </c:pt>
                <c:pt idx="491">
                  <c:v>44153</c:v>
                </c:pt>
                <c:pt idx="492">
                  <c:v>44154</c:v>
                </c:pt>
                <c:pt idx="493">
                  <c:v>44155</c:v>
                </c:pt>
                <c:pt idx="494">
                  <c:v>44158</c:v>
                </c:pt>
                <c:pt idx="495">
                  <c:v>44159</c:v>
                </c:pt>
                <c:pt idx="496">
                  <c:v>44160</c:v>
                </c:pt>
                <c:pt idx="497">
                  <c:v>44161</c:v>
                </c:pt>
                <c:pt idx="498">
                  <c:v>44162</c:v>
                </c:pt>
                <c:pt idx="499">
                  <c:v>44165</c:v>
                </c:pt>
                <c:pt idx="500">
                  <c:v>44166</c:v>
                </c:pt>
                <c:pt idx="501">
                  <c:v>44167</c:v>
                </c:pt>
                <c:pt idx="502">
                  <c:v>44168</c:v>
                </c:pt>
                <c:pt idx="503">
                  <c:v>44169</c:v>
                </c:pt>
                <c:pt idx="504">
                  <c:v>44172</c:v>
                </c:pt>
                <c:pt idx="505">
                  <c:v>44173</c:v>
                </c:pt>
                <c:pt idx="506">
                  <c:v>44174</c:v>
                </c:pt>
                <c:pt idx="507">
                  <c:v>44175</c:v>
                </c:pt>
                <c:pt idx="508">
                  <c:v>44176</c:v>
                </c:pt>
                <c:pt idx="509">
                  <c:v>44179</c:v>
                </c:pt>
                <c:pt idx="510">
                  <c:v>44180</c:v>
                </c:pt>
                <c:pt idx="511">
                  <c:v>44181</c:v>
                </c:pt>
                <c:pt idx="512">
                  <c:v>44182</c:v>
                </c:pt>
                <c:pt idx="513">
                  <c:v>44183</c:v>
                </c:pt>
                <c:pt idx="514">
                  <c:v>44186</c:v>
                </c:pt>
                <c:pt idx="515">
                  <c:v>44187</c:v>
                </c:pt>
                <c:pt idx="516">
                  <c:v>44188</c:v>
                </c:pt>
                <c:pt idx="517">
                  <c:v>44189</c:v>
                </c:pt>
                <c:pt idx="518">
                  <c:v>44190</c:v>
                </c:pt>
                <c:pt idx="519">
                  <c:v>44193</c:v>
                </c:pt>
                <c:pt idx="520">
                  <c:v>44194</c:v>
                </c:pt>
                <c:pt idx="521">
                  <c:v>44195</c:v>
                </c:pt>
                <c:pt idx="522">
                  <c:v>44196</c:v>
                </c:pt>
                <c:pt idx="523">
                  <c:v>44197</c:v>
                </c:pt>
                <c:pt idx="524">
                  <c:v>44200</c:v>
                </c:pt>
                <c:pt idx="525">
                  <c:v>44201</c:v>
                </c:pt>
                <c:pt idx="526">
                  <c:v>44202</c:v>
                </c:pt>
                <c:pt idx="527">
                  <c:v>44203</c:v>
                </c:pt>
                <c:pt idx="528">
                  <c:v>44204</c:v>
                </c:pt>
                <c:pt idx="529">
                  <c:v>44207</c:v>
                </c:pt>
                <c:pt idx="530">
                  <c:v>44208</c:v>
                </c:pt>
                <c:pt idx="531">
                  <c:v>44209</c:v>
                </c:pt>
                <c:pt idx="532">
                  <c:v>44210</c:v>
                </c:pt>
                <c:pt idx="533">
                  <c:v>44211</c:v>
                </c:pt>
                <c:pt idx="534">
                  <c:v>44214</c:v>
                </c:pt>
                <c:pt idx="535">
                  <c:v>44215</c:v>
                </c:pt>
                <c:pt idx="536">
                  <c:v>44216</c:v>
                </c:pt>
                <c:pt idx="537">
                  <c:v>44217</c:v>
                </c:pt>
                <c:pt idx="538">
                  <c:v>44218</c:v>
                </c:pt>
                <c:pt idx="539">
                  <c:v>44221</c:v>
                </c:pt>
                <c:pt idx="540">
                  <c:v>44222</c:v>
                </c:pt>
                <c:pt idx="541">
                  <c:v>44223</c:v>
                </c:pt>
                <c:pt idx="542">
                  <c:v>44224</c:v>
                </c:pt>
                <c:pt idx="543">
                  <c:v>44225</c:v>
                </c:pt>
                <c:pt idx="544">
                  <c:v>44228</c:v>
                </c:pt>
                <c:pt idx="545">
                  <c:v>44229</c:v>
                </c:pt>
                <c:pt idx="546">
                  <c:v>44230</c:v>
                </c:pt>
                <c:pt idx="547">
                  <c:v>44231</c:v>
                </c:pt>
                <c:pt idx="548">
                  <c:v>44232</c:v>
                </c:pt>
                <c:pt idx="549">
                  <c:v>44235</c:v>
                </c:pt>
                <c:pt idx="550">
                  <c:v>44236</c:v>
                </c:pt>
                <c:pt idx="551">
                  <c:v>44237</c:v>
                </c:pt>
                <c:pt idx="552">
                  <c:v>44238</c:v>
                </c:pt>
                <c:pt idx="553">
                  <c:v>44239</c:v>
                </c:pt>
                <c:pt idx="554">
                  <c:v>44242</c:v>
                </c:pt>
                <c:pt idx="555">
                  <c:v>44243</c:v>
                </c:pt>
                <c:pt idx="556">
                  <c:v>44244</c:v>
                </c:pt>
                <c:pt idx="557">
                  <c:v>44245</c:v>
                </c:pt>
                <c:pt idx="558">
                  <c:v>44246</c:v>
                </c:pt>
                <c:pt idx="559">
                  <c:v>44249</c:v>
                </c:pt>
                <c:pt idx="560">
                  <c:v>44250</c:v>
                </c:pt>
                <c:pt idx="561">
                  <c:v>44251</c:v>
                </c:pt>
                <c:pt idx="562">
                  <c:v>44252</c:v>
                </c:pt>
                <c:pt idx="563">
                  <c:v>44253</c:v>
                </c:pt>
                <c:pt idx="564">
                  <c:v>44256</c:v>
                </c:pt>
                <c:pt idx="565">
                  <c:v>44257</c:v>
                </c:pt>
                <c:pt idx="566">
                  <c:v>44258</c:v>
                </c:pt>
                <c:pt idx="567">
                  <c:v>44259</c:v>
                </c:pt>
                <c:pt idx="568">
                  <c:v>44260</c:v>
                </c:pt>
                <c:pt idx="569">
                  <c:v>44263</c:v>
                </c:pt>
                <c:pt idx="570">
                  <c:v>44264</c:v>
                </c:pt>
                <c:pt idx="571">
                  <c:v>44265</c:v>
                </c:pt>
                <c:pt idx="572">
                  <c:v>44266</c:v>
                </c:pt>
                <c:pt idx="573">
                  <c:v>44267</c:v>
                </c:pt>
                <c:pt idx="574">
                  <c:v>44270</c:v>
                </c:pt>
                <c:pt idx="575">
                  <c:v>44271</c:v>
                </c:pt>
                <c:pt idx="576">
                  <c:v>44272</c:v>
                </c:pt>
                <c:pt idx="577">
                  <c:v>44273</c:v>
                </c:pt>
                <c:pt idx="578">
                  <c:v>44274</c:v>
                </c:pt>
                <c:pt idx="579">
                  <c:v>44277</c:v>
                </c:pt>
                <c:pt idx="580">
                  <c:v>44278</c:v>
                </c:pt>
                <c:pt idx="581">
                  <c:v>44279</c:v>
                </c:pt>
                <c:pt idx="582">
                  <c:v>44280</c:v>
                </c:pt>
                <c:pt idx="583">
                  <c:v>44281</c:v>
                </c:pt>
                <c:pt idx="584">
                  <c:v>44284</c:v>
                </c:pt>
                <c:pt idx="585">
                  <c:v>44285</c:v>
                </c:pt>
                <c:pt idx="586">
                  <c:v>44286</c:v>
                </c:pt>
                <c:pt idx="587">
                  <c:v>44287</c:v>
                </c:pt>
                <c:pt idx="588">
                  <c:v>44288</c:v>
                </c:pt>
                <c:pt idx="589">
                  <c:v>44291</c:v>
                </c:pt>
                <c:pt idx="590">
                  <c:v>44292</c:v>
                </c:pt>
                <c:pt idx="591">
                  <c:v>44293</c:v>
                </c:pt>
                <c:pt idx="592">
                  <c:v>44294</c:v>
                </c:pt>
                <c:pt idx="593">
                  <c:v>44295</c:v>
                </c:pt>
                <c:pt idx="594">
                  <c:v>44298</c:v>
                </c:pt>
                <c:pt idx="595">
                  <c:v>44299</c:v>
                </c:pt>
                <c:pt idx="596">
                  <c:v>44300</c:v>
                </c:pt>
                <c:pt idx="597">
                  <c:v>44301</c:v>
                </c:pt>
                <c:pt idx="598">
                  <c:v>44302</c:v>
                </c:pt>
                <c:pt idx="599">
                  <c:v>44305</c:v>
                </c:pt>
                <c:pt idx="600">
                  <c:v>44306</c:v>
                </c:pt>
                <c:pt idx="601">
                  <c:v>44307</c:v>
                </c:pt>
                <c:pt idx="602">
                  <c:v>44308</c:v>
                </c:pt>
                <c:pt idx="603">
                  <c:v>44309</c:v>
                </c:pt>
                <c:pt idx="604">
                  <c:v>44312</c:v>
                </c:pt>
                <c:pt idx="605">
                  <c:v>44313</c:v>
                </c:pt>
                <c:pt idx="606">
                  <c:v>44314</c:v>
                </c:pt>
                <c:pt idx="607">
                  <c:v>44315</c:v>
                </c:pt>
                <c:pt idx="608">
                  <c:v>44316</c:v>
                </c:pt>
                <c:pt idx="609">
                  <c:v>44319</c:v>
                </c:pt>
                <c:pt idx="610">
                  <c:v>44320</c:v>
                </c:pt>
                <c:pt idx="611">
                  <c:v>44321</c:v>
                </c:pt>
                <c:pt idx="612">
                  <c:v>44322</c:v>
                </c:pt>
                <c:pt idx="613">
                  <c:v>44323</c:v>
                </c:pt>
                <c:pt idx="614">
                  <c:v>44326</c:v>
                </c:pt>
                <c:pt idx="615">
                  <c:v>44327</c:v>
                </c:pt>
                <c:pt idx="616">
                  <c:v>44328</c:v>
                </c:pt>
                <c:pt idx="617">
                  <c:v>44329</c:v>
                </c:pt>
                <c:pt idx="618">
                  <c:v>44330</c:v>
                </c:pt>
                <c:pt idx="619">
                  <c:v>44333</c:v>
                </c:pt>
                <c:pt idx="620">
                  <c:v>44334</c:v>
                </c:pt>
                <c:pt idx="621">
                  <c:v>44335</c:v>
                </c:pt>
                <c:pt idx="622">
                  <c:v>44336</c:v>
                </c:pt>
                <c:pt idx="623">
                  <c:v>44337</c:v>
                </c:pt>
              </c:numCache>
            </c:numRef>
          </c:cat>
          <c:val>
            <c:numRef>
              <c:f>Sheet1!$E$2:$E$625</c:f>
              <c:numCache>
                <c:formatCode>General</c:formatCode>
                <c:ptCount val="624"/>
                <c:pt idx="190" formatCode="0">
                  <c:v>259.19799999999998</c:v>
                </c:pt>
                <c:pt idx="191" formatCode="0">
                  <c:v>256.65100000000001</c:v>
                </c:pt>
                <c:pt idx="192" formatCode="0">
                  <c:v>257.65199999999999</c:v>
                </c:pt>
                <c:pt idx="193" formatCode="0">
                  <c:v>260.23899999999998</c:v>
                </c:pt>
                <c:pt idx="194" formatCode="0">
                  <c:v>260.40100000000001</c:v>
                </c:pt>
                <c:pt idx="195" formatCode="0">
                  <c:v>265.23700000000002</c:v>
                </c:pt>
                <c:pt idx="196" formatCode="0">
                  <c:v>273.62299999999999</c:v>
                </c:pt>
                <c:pt idx="197" formatCode="0">
                  <c:v>278.80599999999998</c:v>
                </c:pt>
                <c:pt idx="198" formatCode="0">
                  <c:v>274.01799999999997</c:v>
                </c:pt>
                <c:pt idx="199" formatCode="0">
                  <c:v>274.16399999999999</c:v>
                </c:pt>
                <c:pt idx="200" formatCode="0">
                  <c:v>279.48500000000001</c:v>
                </c:pt>
                <c:pt idx="201" formatCode="0">
                  <c:v>275.13</c:v>
                </c:pt>
                <c:pt idx="202" formatCode="0">
                  <c:v>267.25900000000001</c:v>
                </c:pt>
                <c:pt idx="203" formatCode="0">
                  <c:v>258.62799999999999</c:v>
                </c:pt>
                <c:pt idx="204" formatCode="0">
                  <c:v>258.62799999999999</c:v>
                </c:pt>
                <c:pt idx="205" formatCode="0">
                  <c:v>252.482</c:v>
                </c:pt>
                <c:pt idx="206" formatCode="0">
                  <c:v>257.404</c:v>
                </c:pt>
                <c:pt idx="207" formatCode="0">
                  <c:v>252.45500000000001</c:v>
                </c:pt>
                <c:pt idx="208" formatCode="0">
                  <c:v>250.827</c:v>
                </c:pt>
                <c:pt idx="209" formatCode="0">
                  <c:v>250.988</c:v>
                </c:pt>
                <c:pt idx="210" formatCode="0">
                  <c:v>255.48099999999999</c:v>
                </c:pt>
                <c:pt idx="211" formatCode="0">
                  <c:v>255.161</c:v>
                </c:pt>
                <c:pt idx="212" formatCode="0">
                  <c:v>254.65899999999999</c:v>
                </c:pt>
                <c:pt idx="213" formatCode="0">
                  <c:v>252.042</c:v>
                </c:pt>
                <c:pt idx="214" formatCode="0">
                  <c:v>249.73500000000001</c:v>
                </c:pt>
                <c:pt idx="215" formatCode="0">
                  <c:v>249.523</c:v>
                </c:pt>
                <c:pt idx="216" formatCode="0">
                  <c:v>256.125</c:v>
                </c:pt>
                <c:pt idx="217" formatCode="0">
                  <c:v>263.428</c:v>
                </c:pt>
                <c:pt idx="218" formatCode="0">
                  <c:v>259.11599999999999</c:v>
                </c:pt>
                <c:pt idx="219" formatCode="0">
                  <c:v>252.64099999999999</c:v>
                </c:pt>
                <c:pt idx="220" formatCode="0">
                  <c:v>247.06399999999999</c:v>
                </c:pt>
                <c:pt idx="221" formatCode="0">
                  <c:v>252.62100000000001</c:v>
                </c:pt>
                <c:pt idx="222" formatCode="0">
                  <c:v>246.07400000000001</c:v>
                </c:pt>
                <c:pt idx="223" formatCode="0">
                  <c:v>244.93899999999999</c:v>
                </c:pt>
                <c:pt idx="224" formatCode="0">
                  <c:v>245.09899999999999</c:v>
                </c:pt>
                <c:pt idx="225" formatCode="0">
                  <c:v>249.73500000000001</c:v>
                </c:pt>
                <c:pt idx="226" formatCode="0">
                  <c:v>253.48</c:v>
                </c:pt>
                <c:pt idx="227" formatCode="0">
                  <c:v>254.90199999999999</c:v>
                </c:pt>
                <c:pt idx="228" formatCode="0">
                  <c:v>249.90299999999999</c:v>
                </c:pt>
                <c:pt idx="229" formatCode="0">
                  <c:v>251.71</c:v>
                </c:pt>
                <c:pt idx="230" formatCode="0">
                  <c:v>255.44200000000001</c:v>
                </c:pt>
                <c:pt idx="231" formatCode="0">
                  <c:v>255.15199999999999</c:v>
                </c:pt>
                <c:pt idx="232" formatCode="0">
                  <c:v>252.173</c:v>
                </c:pt>
                <c:pt idx="233" formatCode="0">
                  <c:v>246.83</c:v>
                </c:pt>
                <c:pt idx="234" formatCode="0">
                  <c:v>244.12799999999999</c:v>
                </c:pt>
                <c:pt idx="235" formatCode="0">
                  <c:v>243.922</c:v>
                </c:pt>
                <c:pt idx="236" formatCode="0">
                  <c:v>240.816</c:v>
                </c:pt>
                <c:pt idx="237" formatCode="0">
                  <c:v>236.803</c:v>
                </c:pt>
                <c:pt idx="238" formatCode="0">
                  <c:v>234.91800000000001</c:v>
                </c:pt>
                <c:pt idx="239" formatCode="0">
                  <c:v>235.54300000000001</c:v>
                </c:pt>
                <c:pt idx="240" formatCode="0">
                  <c:v>245.68799999999999</c:v>
                </c:pt>
                <c:pt idx="241" formatCode="0">
                  <c:v>238.10599999999999</c:v>
                </c:pt>
                <c:pt idx="242" formatCode="0">
                  <c:v>234.346</c:v>
                </c:pt>
                <c:pt idx="243" formatCode="0">
                  <c:v>230.233</c:v>
                </c:pt>
                <c:pt idx="244" formatCode="0">
                  <c:v>232.78200000000001</c:v>
                </c:pt>
                <c:pt idx="245" formatCode="0">
                  <c:v>232.47</c:v>
                </c:pt>
                <c:pt idx="246" formatCode="0">
                  <c:v>236.34</c:v>
                </c:pt>
                <c:pt idx="247" formatCode="0">
                  <c:v>223.37700000000001</c:v>
                </c:pt>
                <c:pt idx="248" formatCode="0">
                  <c:v>232.37899999999999</c:v>
                </c:pt>
                <c:pt idx="249" formatCode="0">
                  <c:v>224.751</c:v>
                </c:pt>
                <c:pt idx="250" formatCode="0">
                  <c:v>220.03800000000001</c:v>
                </c:pt>
                <c:pt idx="251" formatCode="0">
                  <c:v>218.66</c:v>
                </c:pt>
                <c:pt idx="252" formatCode="0">
                  <c:v>216.81899999999999</c:v>
                </c:pt>
                <c:pt idx="253" formatCode="0">
                  <c:v>215.81800000000001</c:v>
                </c:pt>
                <c:pt idx="254" formatCode="0">
                  <c:v>215.92699999999999</c:v>
                </c:pt>
                <c:pt idx="255" formatCode="0">
                  <c:v>217.625</c:v>
                </c:pt>
                <c:pt idx="256" formatCode="0">
                  <c:v>217.625</c:v>
                </c:pt>
                <c:pt idx="257" formatCode="0">
                  <c:v>217.625</c:v>
                </c:pt>
                <c:pt idx="258" formatCode="0">
                  <c:v>219.49299999999999</c:v>
                </c:pt>
                <c:pt idx="259" formatCode="0">
                  <c:v>220.79</c:v>
                </c:pt>
                <c:pt idx="260" formatCode="0">
                  <c:v>215.73500000000001</c:v>
                </c:pt>
                <c:pt idx="261" formatCode="0">
                  <c:v>215.73500000000001</c:v>
                </c:pt>
                <c:pt idx="262" formatCode="0">
                  <c:v>218.01599999999999</c:v>
                </c:pt>
                <c:pt idx="263" formatCode="0">
                  <c:v>227.416</c:v>
                </c:pt>
                <c:pt idx="264" formatCode="0">
                  <c:v>227.48</c:v>
                </c:pt>
                <c:pt idx="265" formatCode="0">
                  <c:v>225.864</c:v>
                </c:pt>
                <c:pt idx="266" formatCode="0">
                  <c:v>212.47900000000001</c:v>
                </c:pt>
                <c:pt idx="267" formatCode="0">
                  <c:v>213.59200000000001</c:v>
                </c:pt>
                <c:pt idx="268" formatCode="0">
                  <c:v>212.102</c:v>
                </c:pt>
                <c:pt idx="269" formatCode="0">
                  <c:v>210.18799999999999</c:v>
                </c:pt>
                <c:pt idx="270" formatCode="0">
                  <c:v>208.06100000000001</c:v>
                </c:pt>
                <c:pt idx="271" formatCode="0">
                  <c:v>210.995</c:v>
                </c:pt>
                <c:pt idx="272" formatCode="0">
                  <c:v>200.47</c:v>
                </c:pt>
                <c:pt idx="273" formatCode="0">
                  <c:v>201.64599999999999</c:v>
                </c:pt>
                <c:pt idx="274" formatCode="0">
                  <c:v>202.673</c:v>
                </c:pt>
                <c:pt idx="275" formatCode="0">
                  <c:v>206.327</c:v>
                </c:pt>
                <c:pt idx="276" formatCode="0">
                  <c:v>207.60599999999999</c:v>
                </c:pt>
                <c:pt idx="277" formatCode="0">
                  <c:v>210.655</c:v>
                </c:pt>
                <c:pt idx="278" formatCode="0">
                  <c:v>216.11</c:v>
                </c:pt>
                <c:pt idx="279" formatCode="0">
                  <c:v>226.17699999999999</c:v>
                </c:pt>
                <c:pt idx="280" formatCode="0">
                  <c:v>219.88</c:v>
                </c:pt>
                <c:pt idx="281" formatCode="0">
                  <c:v>226.971</c:v>
                </c:pt>
                <c:pt idx="282" formatCode="0">
                  <c:v>226.643</c:v>
                </c:pt>
                <c:pt idx="283" formatCode="0">
                  <c:v>233.95</c:v>
                </c:pt>
                <c:pt idx="284" formatCode="0">
                  <c:v>229.86500000000001</c:v>
                </c:pt>
                <c:pt idx="285" formatCode="0">
                  <c:v>224.58600000000001</c:v>
                </c:pt>
                <c:pt idx="286" formatCode="0">
                  <c:v>219.608</c:v>
                </c:pt>
                <c:pt idx="287" formatCode="0">
                  <c:v>218.321</c:v>
                </c:pt>
                <c:pt idx="288" formatCode="0">
                  <c:v>223.73099999999999</c:v>
                </c:pt>
                <c:pt idx="289" formatCode="0">
                  <c:v>226.251</c:v>
                </c:pt>
                <c:pt idx="290" formatCode="0">
                  <c:v>221.453</c:v>
                </c:pt>
                <c:pt idx="291" formatCode="0">
                  <c:v>217.792</c:v>
                </c:pt>
                <c:pt idx="292" formatCode="0">
                  <c:v>219.74100000000001</c:v>
                </c:pt>
                <c:pt idx="293" formatCode="0">
                  <c:v>219.238</c:v>
                </c:pt>
                <c:pt idx="294" formatCode="0">
                  <c:v>217.83099999999999</c:v>
                </c:pt>
                <c:pt idx="295" formatCode="0">
                  <c:v>220.51900000000001</c:v>
                </c:pt>
                <c:pt idx="296" formatCode="0">
                  <c:v>218.62799999999999</c:v>
                </c:pt>
                <c:pt idx="297" formatCode="0">
                  <c:v>219.792</c:v>
                </c:pt>
                <c:pt idx="298" formatCode="0">
                  <c:v>223.03800000000001</c:v>
                </c:pt>
                <c:pt idx="299" formatCode="0">
                  <c:v>235.584</c:v>
                </c:pt>
                <c:pt idx="300" formatCode="0">
                  <c:v>237.24700000000001</c:v>
                </c:pt>
                <c:pt idx="301" formatCode="0">
                  <c:v>237.27199999999999</c:v>
                </c:pt>
                <c:pt idx="302" formatCode="0">
                  <c:v>253.74</c:v>
                </c:pt>
                <c:pt idx="303" formatCode="0">
                  <c:v>282.02499999999998</c:v>
                </c:pt>
                <c:pt idx="304" formatCode="0">
                  <c:v>280.02800000000002</c:v>
                </c:pt>
                <c:pt idx="305" formatCode="0">
                  <c:v>273.78800000000001</c:v>
                </c:pt>
                <c:pt idx="306" formatCode="0">
                  <c:v>270.24799999999999</c:v>
                </c:pt>
                <c:pt idx="307" formatCode="0">
                  <c:v>271.43299999999999</c:v>
                </c:pt>
                <c:pt idx="308" formatCode="0">
                  <c:v>282.71600000000001</c:v>
                </c:pt>
                <c:pt idx="309" formatCode="0">
                  <c:v>361.85399999999998</c:v>
                </c:pt>
                <c:pt idx="310" formatCode="0">
                  <c:v>346.03199999999998</c:v>
                </c:pt>
                <c:pt idx="311" formatCode="0">
                  <c:v>349.685</c:v>
                </c:pt>
                <c:pt idx="312" formatCode="0">
                  <c:v>398.47199999999998</c:v>
                </c:pt>
                <c:pt idx="313" formatCode="0">
                  <c:v>373.23</c:v>
                </c:pt>
                <c:pt idx="314" formatCode="0">
                  <c:v>401.25200000000001</c:v>
                </c:pt>
                <c:pt idx="315" formatCode="0">
                  <c:v>401.57299999999998</c:v>
                </c:pt>
                <c:pt idx="316" formatCode="0">
                  <c:v>481.52600000000001</c:v>
                </c:pt>
                <c:pt idx="317" formatCode="0">
                  <c:v>499.471</c:v>
                </c:pt>
                <c:pt idx="318" formatCode="0">
                  <c:v>512.904</c:v>
                </c:pt>
                <c:pt idx="319" formatCode="0">
                  <c:v>539.40599999999995</c:v>
                </c:pt>
                <c:pt idx="320" formatCode="0">
                  <c:v>526.31899999999996</c:v>
                </c:pt>
                <c:pt idx="321" formatCode="0">
                  <c:v>510.30799999999999</c:v>
                </c:pt>
                <c:pt idx="322" formatCode="0">
                  <c:v>462.43200000000002</c:v>
                </c:pt>
                <c:pt idx="323" formatCode="0">
                  <c:v>484.096</c:v>
                </c:pt>
                <c:pt idx="324" formatCode="0">
                  <c:v>481.55700000000002</c:v>
                </c:pt>
                <c:pt idx="325" formatCode="0">
                  <c:v>482.39499999999998</c:v>
                </c:pt>
                <c:pt idx="326" formatCode="0">
                  <c:v>475.59100000000001</c:v>
                </c:pt>
                <c:pt idx="327" formatCode="0">
                  <c:v>474.512</c:v>
                </c:pt>
                <c:pt idx="328" formatCode="0">
                  <c:v>457.97300000000001</c:v>
                </c:pt>
                <c:pt idx="329" formatCode="0">
                  <c:v>436.721</c:v>
                </c:pt>
                <c:pt idx="330" formatCode="0">
                  <c:v>434.87599999999998</c:v>
                </c:pt>
                <c:pt idx="331" formatCode="0">
                  <c:v>430.399</c:v>
                </c:pt>
                <c:pt idx="332" formatCode="0">
                  <c:v>419.53399999999999</c:v>
                </c:pt>
                <c:pt idx="333" formatCode="0">
                  <c:v>419.53399999999999</c:v>
                </c:pt>
                <c:pt idx="334" formatCode="0">
                  <c:v>419.53399999999999</c:v>
                </c:pt>
                <c:pt idx="335" formatCode="0">
                  <c:v>410.209</c:v>
                </c:pt>
                <c:pt idx="336" formatCode="0">
                  <c:v>422.03800000000001</c:v>
                </c:pt>
                <c:pt idx="337" formatCode="0">
                  <c:v>421.654</c:v>
                </c:pt>
                <c:pt idx="338" formatCode="0">
                  <c:v>412.78699999999998</c:v>
                </c:pt>
                <c:pt idx="339" formatCode="0">
                  <c:v>413.5</c:v>
                </c:pt>
                <c:pt idx="340" formatCode="0">
                  <c:v>421.86599999999999</c:v>
                </c:pt>
                <c:pt idx="341" formatCode="0">
                  <c:v>424.26499999999999</c:v>
                </c:pt>
                <c:pt idx="342" formatCode="0">
                  <c:v>424.06</c:v>
                </c:pt>
                <c:pt idx="343" formatCode="0">
                  <c:v>424.31</c:v>
                </c:pt>
                <c:pt idx="344" formatCode="0">
                  <c:v>421.63</c:v>
                </c:pt>
                <c:pt idx="345" formatCode="0">
                  <c:v>426.274</c:v>
                </c:pt>
                <c:pt idx="346" formatCode="0">
                  <c:v>425.19</c:v>
                </c:pt>
                <c:pt idx="347" formatCode="0">
                  <c:v>411.024</c:v>
                </c:pt>
                <c:pt idx="348" formatCode="0">
                  <c:v>413.30399999999997</c:v>
                </c:pt>
                <c:pt idx="349" formatCode="0">
                  <c:v>413.459</c:v>
                </c:pt>
                <c:pt idx="350" formatCode="0">
                  <c:v>391.9</c:v>
                </c:pt>
                <c:pt idx="351" formatCode="0">
                  <c:v>388.77300000000002</c:v>
                </c:pt>
                <c:pt idx="352" formatCode="0">
                  <c:v>394.33199999999999</c:v>
                </c:pt>
                <c:pt idx="353" formatCode="0">
                  <c:v>394.33199999999999</c:v>
                </c:pt>
                <c:pt idx="354" formatCode="0">
                  <c:v>377.27499999999998</c:v>
                </c:pt>
                <c:pt idx="355" formatCode="0">
                  <c:v>376.28899999999999</c:v>
                </c:pt>
                <c:pt idx="356" formatCode="0">
                  <c:v>373.80599999999998</c:v>
                </c:pt>
                <c:pt idx="357" formatCode="0">
                  <c:v>371.14499999999998</c:v>
                </c:pt>
                <c:pt idx="358" formatCode="0">
                  <c:v>366.56599999999997</c:v>
                </c:pt>
                <c:pt idx="359" formatCode="0">
                  <c:v>347.65100000000001</c:v>
                </c:pt>
                <c:pt idx="360" formatCode="0">
                  <c:v>348.31200000000001</c:v>
                </c:pt>
                <c:pt idx="361" formatCode="0">
                  <c:v>334.72899999999998</c:v>
                </c:pt>
                <c:pt idx="362" formatCode="0">
                  <c:v>331.06599999999997</c:v>
                </c:pt>
                <c:pt idx="363" formatCode="0">
                  <c:v>333.98399999999998</c:v>
                </c:pt>
                <c:pt idx="364" formatCode="0">
                  <c:v>333.98399999999998</c:v>
                </c:pt>
                <c:pt idx="365" formatCode="0">
                  <c:v>325.42399999999998</c:v>
                </c:pt>
                <c:pt idx="366" formatCode="0">
                  <c:v>325.50900000000001</c:v>
                </c:pt>
                <c:pt idx="367" formatCode="0">
                  <c:v>325.95699999999999</c:v>
                </c:pt>
                <c:pt idx="368" formatCode="0">
                  <c:v>329.75299999999999</c:v>
                </c:pt>
                <c:pt idx="369" formatCode="0">
                  <c:v>329.85899999999998</c:v>
                </c:pt>
                <c:pt idx="370" formatCode="0">
                  <c:v>328.5</c:v>
                </c:pt>
                <c:pt idx="371" formatCode="0">
                  <c:v>320.08</c:v>
                </c:pt>
                <c:pt idx="372" formatCode="0">
                  <c:v>314.88099999999997</c:v>
                </c:pt>
                <c:pt idx="373" formatCode="0">
                  <c:v>307.50099999999998</c:v>
                </c:pt>
                <c:pt idx="374" formatCode="0">
                  <c:v>311.76100000000002</c:v>
                </c:pt>
                <c:pt idx="375" formatCode="0">
                  <c:v>316.005</c:v>
                </c:pt>
                <c:pt idx="376" formatCode="0">
                  <c:v>326.05900000000003</c:v>
                </c:pt>
                <c:pt idx="377" formatCode="0">
                  <c:v>345.745</c:v>
                </c:pt>
                <c:pt idx="378" formatCode="0">
                  <c:v>344.85700000000003</c:v>
                </c:pt>
                <c:pt idx="379" formatCode="0">
                  <c:v>373.37900000000002</c:v>
                </c:pt>
                <c:pt idx="380" formatCode="0">
                  <c:v>363.84500000000003</c:v>
                </c:pt>
                <c:pt idx="381" formatCode="0">
                  <c:v>367.94200000000001</c:v>
                </c:pt>
                <c:pt idx="382" formatCode="0">
                  <c:v>371.572</c:v>
                </c:pt>
                <c:pt idx="383" formatCode="0">
                  <c:v>371.51400000000001</c:v>
                </c:pt>
                <c:pt idx="384" formatCode="0">
                  <c:v>371.85899999999998</c:v>
                </c:pt>
                <c:pt idx="385" formatCode="0">
                  <c:v>367.428</c:v>
                </c:pt>
                <c:pt idx="386" formatCode="0">
                  <c:v>369.95</c:v>
                </c:pt>
                <c:pt idx="387" formatCode="0">
                  <c:v>375.85199999999998</c:v>
                </c:pt>
                <c:pt idx="388" formatCode="0">
                  <c:v>380.09800000000001</c:v>
                </c:pt>
                <c:pt idx="389" formatCode="0">
                  <c:v>379.791</c:v>
                </c:pt>
                <c:pt idx="390" formatCode="0">
                  <c:v>377.45100000000002</c:v>
                </c:pt>
                <c:pt idx="391" formatCode="0">
                  <c:v>374.18299999999999</c:v>
                </c:pt>
                <c:pt idx="392" formatCode="0">
                  <c:v>355.012</c:v>
                </c:pt>
                <c:pt idx="393" formatCode="0">
                  <c:v>352.19400000000002</c:v>
                </c:pt>
                <c:pt idx="394" formatCode="0">
                  <c:v>350.17899999999997</c:v>
                </c:pt>
                <c:pt idx="395" formatCode="0">
                  <c:v>353.452</c:v>
                </c:pt>
                <c:pt idx="396" formatCode="0">
                  <c:v>352.303</c:v>
                </c:pt>
                <c:pt idx="397" formatCode="0">
                  <c:v>357.464</c:v>
                </c:pt>
                <c:pt idx="398" formatCode="0">
                  <c:v>354.90800000000002</c:v>
                </c:pt>
                <c:pt idx="399" formatCode="0">
                  <c:v>355.27199999999999</c:v>
                </c:pt>
                <c:pt idx="400" formatCode="0">
                  <c:v>356.63900000000001</c:v>
                </c:pt>
                <c:pt idx="401" formatCode="0">
                  <c:v>357.19499999999999</c:v>
                </c:pt>
                <c:pt idx="402" formatCode="0">
                  <c:v>359.63499999999999</c:v>
                </c:pt>
                <c:pt idx="403" formatCode="0">
                  <c:v>360.61399999999998</c:v>
                </c:pt>
                <c:pt idx="404" formatCode="0">
                  <c:v>361.738</c:v>
                </c:pt>
                <c:pt idx="405" formatCode="0">
                  <c:v>357.80799999999999</c:v>
                </c:pt>
                <c:pt idx="406" formatCode="0">
                  <c:v>355.7</c:v>
                </c:pt>
                <c:pt idx="407" formatCode="0">
                  <c:v>349.12200000000001</c:v>
                </c:pt>
                <c:pt idx="408" formatCode="0">
                  <c:v>346.74400000000003</c:v>
                </c:pt>
                <c:pt idx="409" formatCode="0">
                  <c:v>345.50599999999997</c:v>
                </c:pt>
                <c:pt idx="410" formatCode="0">
                  <c:v>348.62900000000002</c:v>
                </c:pt>
                <c:pt idx="411" formatCode="0">
                  <c:v>347.44</c:v>
                </c:pt>
                <c:pt idx="412" formatCode="0">
                  <c:v>350.67</c:v>
                </c:pt>
                <c:pt idx="413" formatCode="0">
                  <c:v>350.20100000000002</c:v>
                </c:pt>
                <c:pt idx="414" formatCode="0">
                  <c:v>345.55500000000001</c:v>
                </c:pt>
                <c:pt idx="415" formatCode="0">
                  <c:v>346.73700000000002</c:v>
                </c:pt>
                <c:pt idx="416" formatCode="0">
                  <c:v>336.411</c:v>
                </c:pt>
                <c:pt idx="417" formatCode="0">
                  <c:v>329.82299999999998</c:v>
                </c:pt>
                <c:pt idx="418" formatCode="0">
                  <c:v>326.13299999999998</c:v>
                </c:pt>
                <c:pt idx="419" formatCode="0">
                  <c:v>326.36500000000001</c:v>
                </c:pt>
                <c:pt idx="420" formatCode="0">
                  <c:v>319.19</c:v>
                </c:pt>
                <c:pt idx="421" formatCode="0">
                  <c:v>318.37400000000002</c:v>
                </c:pt>
                <c:pt idx="422" formatCode="0">
                  <c:v>312.28500000000003</c:v>
                </c:pt>
                <c:pt idx="423" formatCode="0">
                  <c:v>307.35300000000001</c:v>
                </c:pt>
                <c:pt idx="424" formatCode="0">
                  <c:v>311.26100000000002</c:v>
                </c:pt>
                <c:pt idx="425" formatCode="0">
                  <c:v>311.55900000000003</c:v>
                </c:pt>
                <c:pt idx="426" formatCode="0">
                  <c:v>310.51600000000002</c:v>
                </c:pt>
                <c:pt idx="427" formatCode="0">
                  <c:v>312.947</c:v>
                </c:pt>
                <c:pt idx="428" formatCode="0">
                  <c:v>313.69400000000002</c:v>
                </c:pt>
                <c:pt idx="429" formatCode="0">
                  <c:v>312.56099999999998</c:v>
                </c:pt>
                <c:pt idx="430" formatCode="0">
                  <c:v>309.36799999999999</c:v>
                </c:pt>
                <c:pt idx="431" formatCode="0">
                  <c:v>308.44799999999998</c:v>
                </c:pt>
                <c:pt idx="432" formatCode="0">
                  <c:v>300.69200000000001</c:v>
                </c:pt>
                <c:pt idx="433" formatCode="0">
                  <c:v>302.49099999999999</c:v>
                </c:pt>
                <c:pt idx="434" formatCode="0">
                  <c:v>302.49099999999999</c:v>
                </c:pt>
                <c:pt idx="435" formatCode="0">
                  <c:v>303.13</c:v>
                </c:pt>
                <c:pt idx="436" formatCode="0">
                  <c:v>302.09899999999999</c:v>
                </c:pt>
                <c:pt idx="437" formatCode="0">
                  <c:v>302.24400000000003</c:v>
                </c:pt>
                <c:pt idx="438" formatCode="0">
                  <c:v>296.05700000000002</c:v>
                </c:pt>
                <c:pt idx="439" formatCode="0">
                  <c:v>294.39699999999999</c:v>
                </c:pt>
                <c:pt idx="440" formatCode="0">
                  <c:v>302.226</c:v>
                </c:pt>
                <c:pt idx="441" formatCode="0">
                  <c:v>300.72199999999998</c:v>
                </c:pt>
                <c:pt idx="442" formatCode="0">
                  <c:v>302.45400000000001</c:v>
                </c:pt>
                <c:pt idx="443" formatCode="0">
                  <c:v>303.53100000000001</c:v>
                </c:pt>
                <c:pt idx="444" formatCode="0">
                  <c:v>302.49</c:v>
                </c:pt>
                <c:pt idx="445" formatCode="0">
                  <c:v>301.92599999999999</c:v>
                </c:pt>
                <c:pt idx="446" formatCode="0">
                  <c:v>301.40499999999997</c:v>
                </c:pt>
                <c:pt idx="447" formatCode="0">
                  <c:v>301.904</c:v>
                </c:pt>
                <c:pt idx="448" formatCode="0">
                  <c:v>300.42200000000003</c:v>
                </c:pt>
                <c:pt idx="449" formatCode="0">
                  <c:v>309.45499999999998</c:v>
                </c:pt>
                <c:pt idx="450" formatCode="0">
                  <c:v>309.608</c:v>
                </c:pt>
                <c:pt idx="451" formatCode="0">
                  <c:v>308.13299999999998</c:v>
                </c:pt>
                <c:pt idx="452" formatCode="0">
                  <c:v>316.084</c:v>
                </c:pt>
                <c:pt idx="453" formatCode="0">
                  <c:v>316.70400000000001</c:v>
                </c:pt>
                <c:pt idx="454" formatCode="0">
                  <c:v>365.39100000000002</c:v>
                </c:pt>
                <c:pt idx="455" formatCode="0">
                  <c:v>398.19499999999999</c:v>
                </c:pt>
                <c:pt idx="456" formatCode="0">
                  <c:v>368.70400000000001</c:v>
                </c:pt>
                <c:pt idx="457" formatCode="0">
                  <c:v>345.31599999999997</c:v>
                </c:pt>
                <c:pt idx="458" formatCode="0">
                  <c:v>337.96899999999999</c:v>
                </c:pt>
                <c:pt idx="459" formatCode="0">
                  <c:v>329.43400000000003</c:v>
                </c:pt>
                <c:pt idx="460" formatCode="0">
                  <c:v>335.83199999999999</c:v>
                </c:pt>
                <c:pt idx="461" formatCode="0">
                  <c:v>340.97</c:v>
                </c:pt>
                <c:pt idx="462" formatCode="0">
                  <c:v>338.85899999999998</c:v>
                </c:pt>
                <c:pt idx="463" formatCode="0">
                  <c:v>332.52600000000001</c:v>
                </c:pt>
                <c:pt idx="464" formatCode="0">
                  <c:v>329.69</c:v>
                </c:pt>
                <c:pt idx="465" formatCode="0">
                  <c:v>336.59800000000001</c:v>
                </c:pt>
                <c:pt idx="466" formatCode="0">
                  <c:v>345.73599999999999</c:v>
                </c:pt>
                <c:pt idx="467" formatCode="0">
                  <c:v>357.75299999999999</c:v>
                </c:pt>
                <c:pt idx="468" formatCode="0">
                  <c:v>356.97899999999998</c:v>
                </c:pt>
                <c:pt idx="469" formatCode="0">
                  <c:v>351.63499999999999</c:v>
                </c:pt>
                <c:pt idx="470" formatCode="0">
                  <c:v>350.02499999999998</c:v>
                </c:pt>
                <c:pt idx="471" formatCode="0">
                  <c:v>354.15800000000002</c:v>
                </c:pt>
                <c:pt idx="472" formatCode="0">
                  <c:v>356.82900000000001</c:v>
                </c:pt>
                <c:pt idx="473" formatCode="0">
                  <c:v>359.33</c:v>
                </c:pt>
                <c:pt idx="474" formatCode="0">
                  <c:v>370.40699999999998</c:v>
                </c:pt>
                <c:pt idx="475" formatCode="0">
                  <c:v>381.214</c:v>
                </c:pt>
                <c:pt idx="476" formatCode="0">
                  <c:v>382.733</c:v>
                </c:pt>
                <c:pt idx="477" formatCode="0">
                  <c:v>387.77199999999999</c:v>
                </c:pt>
                <c:pt idx="478" formatCode="0">
                  <c:v>394.327</c:v>
                </c:pt>
                <c:pt idx="479" formatCode="0">
                  <c:v>404.58800000000002</c:v>
                </c:pt>
                <c:pt idx="480" formatCode="0">
                  <c:v>392.512</c:v>
                </c:pt>
                <c:pt idx="481" formatCode="0">
                  <c:v>399.34100000000001</c:v>
                </c:pt>
                <c:pt idx="482" formatCode="0">
                  <c:v>392.74299999999999</c:v>
                </c:pt>
                <c:pt idx="483" formatCode="0">
                  <c:v>387.19299999999998</c:v>
                </c:pt>
                <c:pt idx="484" formatCode="0">
                  <c:v>370.99299999999999</c:v>
                </c:pt>
                <c:pt idx="485" formatCode="0">
                  <c:v>328.339</c:v>
                </c:pt>
                <c:pt idx="486" formatCode="0">
                  <c:v>324.90199999999999</c:v>
                </c:pt>
                <c:pt idx="487" formatCode="0">
                  <c:v>336.65699999999998</c:v>
                </c:pt>
                <c:pt idx="488" formatCode="0">
                  <c:v>338.91800000000001</c:v>
                </c:pt>
                <c:pt idx="489" formatCode="0">
                  <c:v>340.43599999999998</c:v>
                </c:pt>
                <c:pt idx="490" formatCode="0">
                  <c:v>351.02</c:v>
                </c:pt>
                <c:pt idx="491" formatCode="0">
                  <c:v>348.12200000000001</c:v>
                </c:pt>
                <c:pt idx="492" formatCode="0">
                  <c:v>357.29</c:v>
                </c:pt>
                <c:pt idx="493" formatCode="0">
                  <c:v>361.58800000000002</c:v>
                </c:pt>
                <c:pt idx="494" formatCode="0">
                  <c:v>355.66899999999998</c:v>
                </c:pt>
                <c:pt idx="495" formatCode="0">
                  <c:v>349.16899999999998</c:v>
                </c:pt>
                <c:pt idx="496" formatCode="0">
                  <c:v>346.55799999999999</c:v>
                </c:pt>
                <c:pt idx="497" formatCode="0">
                  <c:v>343.58600000000001</c:v>
                </c:pt>
                <c:pt idx="498" formatCode="0">
                  <c:v>353.50599999999997</c:v>
                </c:pt>
                <c:pt idx="499" formatCode="0">
                  <c:v>354.12599999999998</c:v>
                </c:pt>
                <c:pt idx="500" formatCode="0">
                  <c:v>347.87599999999998</c:v>
                </c:pt>
                <c:pt idx="501" formatCode="0">
                  <c:v>346.13099999999997</c:v>
                </c:pt>
                <c:pt idx="502" formatCode="0">
                  <c:v>334.43700000000001</c:v>
                </c:pt>
                <c:pt idx="503" formatCode="0">
                  <c:v>304.19400000000002</c:v>
                </c:pt>
                <c:pt idx="504" formatCode="0">
                  <c:v>308.60500000000002</c:v>
                </c:pt>
                <c:pt idx="505" formatCode="0">
                  <c:v>312.55900000000003</c:v>
                </c:pt>
                <c:pt idx="506" formatCode="0">
                  <c:v>308.55200000000002</c:v>
                </c:pt>
                <c:pt idx="507" formatCode="0">
                  <c:v>311.67599999999999</c:v>
                </c:pt>
                <c:pt idx="508" formatCode="0">
                  <c:v>316.40499999999997</c:v>
                </c:pt>
                <c:pt idx="509" formatCode="0">
                  <c:v>314.76100000000002</c:v>
                </c:pt>
                <c:pt idx="510" formatCode="0">
                  <c:v>309.70999999999998</c:v>
                </c:pt>
                <c:pt idx="511" formatCode="0">
                  <c:v>302.99</c:v>
                </c:pt>
                <c:pt idx="512" formatCode="0">
                  <c:v>299.80799999999999</c:v>
                </c:pt>
                <c:pt idx="513" formatCode="0">
                  <c:v>293.15300000000002</c:v>
                </c:pt>
                <c:pt idx="514" formatCode="0">
                  <c:v>296.85700000000003</c:v>
                </c:pt>
                <c:pt idx="515" formatCode="0">
                  <c:v>298.37</c:v>
                </c:pt>
                <c:pt idx="516" formatCode="0">
                  <c:v>298.48200000000003</c:v>
                </c:pt>
                <c:pt idx="517" formatCode="0">
                  <c:v>302.637</c:v>
                </c:pt>
                <c:pt idx="518" formatCode="0">
                  <c:v>302.637</c:v>
                </c:pt>
                <c:pt idx="519" formatCode="0">
                  <c:v>302.637</c:v>
                </c:pt>
                <c:pt idx="520" formatCode="0">
                  <c:v>302.95499999999998</c:v>
                </c:pt>
                <c:pt idx="521" formatCode="0">
                  <c:v>301.23899999999998</c:v>
                </c:pt>
                <c:pt idx="522" formatCode="0">
                  <c:v>303.363</c:v>
                </c:pt>
                <c:pt idx="523" formatCode="0">
                  <c:v>303.363</c:v>
                </c:pt>
                <c:pt idx="524" formatCode="0">
                  <c:v>296.71899999999999</c:v>
                </c:pt>
                <c:pt idx="525" formatCode="0">
                  <c:v>288.11399999999998</c:v>
                </c:pt>
                <c:pt idx="526" formatCode="0">
                  <c:v>281.07799999999997</c:v>
                </c:pt>
                <c:pt idx="527" formatCode="0">
                  <c:v>275.09399999999999</c:v>
                </c:pt>
                <c:pt idx="528" formatCode="0">
                  <c:v>268.62200000000001</c:v>
                </c:pt>
                <c:pt idx="529" formatCode="0">
                  <c:v>266.89400000000001</c:v>
                </c:pt>
                <c:pt idx="530" formatCode="0">
                  <c:v>269.90100000000001</c:v>
                </c:pt>
                <c:pt idx="531" formatCode="0">
                  <c:v>271.07799999999997</c:v>
                </c:pt>
                <c:pt idx="532" formatCode="0">
                  <c:v>257.02499999999998</c:v>
                </c:pt>
                <c:pt idx="533" formatCode="0">
                  <c:v>258.68299999999999</c:v>
                </c:pt>
                <c:pt idx="534" formatCode="0">
                  <c:v>256.14</c:v>
                </c:pt>
                <c:pt idx="535" formatCode="0">
                  <c:v>259.39100000000002</c:v>
                </c:pt>
                <c:pt idx="536" formatCode="0">
                  <c:v>260.96600000000001</c:v>
                </c:pt>
                <c:pt idx="537" formatCode="0">
                  <c:v>260.63400000000001</c:v>
                </c:pt>
                <c:pt idx="538" formatCode="0">
                  <c:v>261.346</c:v>
                </c:pt>
                <c:pt idx="539" formatCode="0">
                  <c:v>277.77199999999999</c:v>
                </c:pt>
                <c:pt idx="540" formatCode="0">
                  <c:v>271.05099999999999</c:v>
                </c:pt>
                <c:pt idx="541" formatCode="0">
                  <c:v>280.45600000000002</c:v>
                </c:pt>
                <c:pt idx="542" formatCode="0">
                  <c:v>277.577</c:v>
                </c:pt>
                <c:pt idx="543" formatCode="0">
                  <c:v>275.524</c:v>
                </c:pt>
                <c:pt idx="544" formatCode="0">
                  <c:v>273.66199999999998</c:v>
                </c:pt>
                <c:pt idx="545" formatCode="0">
                  <c:v>268.89400000000001</c:v>
                </c:pt>
                <c:pt idx="546" formatCode="0">
                  <c:v>263.73</c:v>
                </c:pt>
                <c:pt idx="547" formatCode="0">
                  <c:v>265.14499999999998</c:v>
                </c:pt>
                <c:pt idx="548" formatCode="0">
                  <c:v>263.94900000000001</c:v>
                </c:pt>
                <c:pt idx="549" formatCode="0">
                  <c:v>267.82900000000001</c:v>
                </c:pt>
                <c:pt idx="550" formatCode="0">
                  <c:v>273.98</c:v>
                </c:pt>
                <c:pt idx="551" formatCode="0">
                  <c:v>276.87799999999999</c:v>
                </c:pt>
                <c:pt idx="552" formatCode="0">
                  <c:v>277.90300000000002</c:v>
                </c:pt>
                <c:pt idx="553" formatCode="0">
                  <c:v>276.46800000000002</c:v>
                </c:pt>
                <c:pt idx="554" formatCode="0">
                  <c:v>287.577</c:v>
                </c:pt>
                <c:pt idx="555" formatCode="0">
                  <c:v>278.822</c:v>
                </c:pt>
                <c:pt idx="556" formatCode="0">
                  <c:v>288.779</c:v>
                </c:pt>
                <c:pt idx="557" formatCode="0">
                  <c:v>284.26799999999997</c:v>
                </c:pt>
                <c:pt idx="558" formatCode="0">
                  <c:v>274.959</c:v>
                </c:pt>
                <c:pt idx="559" formatCode="0">
                  <c:v>274.69900000000001</c:v>
                </c:pt>
                <c:pt idx="560" formatCode="0">
                  <c:v>277.23700000000002</c:v>
                </c:pt>
                <c:pt idx="561" formatCode="0">
                  <c:v>274.98599999999999</c:v>
                </c:pt>
                <c:pt idx="562" formatCode="0">
                  <c:v>294.90100000000001</c:v>
                </c:pt>
                <c:pt idx="563" formatCode="0">
                  <c:v>297.32</c:v>
                </c:pt>
                <c:pt idx="564" formatCode="0">
                  <c:v>289.48399999999998</c:v>
                </c:pt>
                <c:pt idx="565" formatCode="0">
                  <c:v>288.875</c:v>
                </c:pt>
                <c:pt idx="566" formatCode="0">
                  <c:v>282.262</c:v>
                </c:pt>
                <c:pt idx="567" formatCode="0">
                  <c:v>279.16699999999997</c:v>
                </c:pt>
                <c:pt idx="568" formatCode="0">
                  <c:v>287.32799999999997</c:v>
                </c:pt>
                <c:pt idx="569" formatCode="0">
                  <c:v>298.68700000000001</c:v>
                </c:pt>
                <c:pt idx="570" formatCode="0">
                  <c:v>302.77</c:v>
                </c:pt>
                <c:pt idx="571" formatCode="0">
                  <c:v>301.78199999999998</c:v>
                </c:pt>
                <c:pt idx="572" formatCode="0">
                  <c:v>294.89</c:v>
                </c:pt>
                <c:pt idx="573" formatCode="0">
                  <c:v>293.14999999999998</c:v>
                </c:pt>
                <c:pt idx="574" formatCode="0">
                  <c:v>292.05900000000003</c:v>
                </c:pt>
                <c:pt idx="575" formatCode="0">
                  <c:v>296.34399999999999</c:v>
                </c:pt>
                <c:pt idx="576" formatCode="0">
                  <c:v>308.67899999999997</c:v>
                </c:pt>
                <c:pt idx="577" formatCode="0">
                  <c:v>307.815</c:v>
                </c:pt>
                <c:pt idx="578" formatCode="0">
                  <c:v>301.108</c:v>
                </c:pt>
                <c:pt idx="579" formatCode="0">
                  <c:v>310.70699999999999</c:v>
                </c:pt>
                <c:pt idx="580" formatCode="0">
                  <c:v>314.62200000000001</c:v>
                </c:pt>
                <c:pt idx="581" formatCode="0">
                  <c:v>314.01600000000002</c:v>
                </c:pt>
                <c:pt idx="582" formatCode="0">
                  <c:v>313.73399999999998</c:v>
                </c:pt>
                <c:pt idx="583" formatCode="0">
                  <c:v>314.459</c:v>
                </c:pt>
                <c:pt idx="584" formatCode="0">
                  <c:v>302.23200000000003</c:v>
                </c:pt>
                <c:pt idx="585" formatCode="0">
                  <c:v>301.73</c:v>
                </c:pt>
                <c:pt idx="586" formatCode="0">
                  <c:v>302.26100000000002</c:v>
                </c:pt>
                <c:pt idx="587" formatCode="0">
                  <c:v>302.02</c:v>
                </c:pt>
                <c:pt idx="588" formatCode="0">
                  <c:v>302.02</c:v>
                </c:pt>
                <c:pt idx="589" formatCode="0">
                  <c:v>302.02</c:v>
                </c:pt>
                <c:pt idx="590" formatCode="0">
                  <c:v>309.56799999999998</c:v>
                </c:pt>
                <c:pt idx="591" formatCode="0">
                  <c:v>307.75299999999999</c:v>
                </c:pt>
                <c:pt idx="592" formatCode="0">
                  <c:v>311.34899999999999</c:v>
                </c:pt>
                <c:pt idx="593" formatCode="0">
                  <c:v>309.45999999999998</c:v>
                </c:pt>
                <c:pt idx="594" formatCode="0">
                  <c:v>309.755</c:v>
                </c:pt>
                <c:pt idx="595" formatCode="0">
                  <c:v>317.01</c:v>
                </c:pt>
                <c:pt idx="596" formatCode="0">
                  <c:v>314.464</c:v>
                </c:pt>
                <c:pt idx="597" formatCode="0">
                  <c:v>318.48</c:v>
                </c:pt>
                <c:pt idx="598" formatCode="0">
                  <c:v>311.93700000000001</c:v>
                </c:pt>
                <c:pt idx="599" formatCode="0">
                  <c:v>304.48399999999998</c:v>
                </c:pt>
                <c:pt idx="600" formatCode="0">
                  <c:v>307.94900000000001</c:v>
                </c:pt>
                <c:pt idx="601" formatCode="0">
                  <c:v>309.142</c:v>
                </c:pt>
                <c:pt idx="602" formatCode="0">
                  <c:v>309.29199999999997</c:v>
                </c:pt>
                <c:pt idx="603" formatCode="0">
                  <c:v>306.17899999999997</c:v>
                </c:pt>
                <c:pt idx="604" formatCode="0">
                  <c:v>304.72699999999998</c:v>
                </c:pt>
                <c:pt idx="605" formatCode="0">
                  <c:v>303.416</c:v>
                </c:pt>
                <c:pt idx="606" formatCode="0">
                  <c:v>304.35599999999999</c:v>
                </c:pt>
                <c:pt idx="607" formatCode="0">
                  <c:v>302.18799999999999</c:v>
                </c:pt>
                <c:pt idx="608" formatCode="0">
                  <c:v>301.33100000000002</c:v>
                </c:pt>
                <c:pt idx="609" formatCode="0">
                  <c:v>301.33100000000002</c:v>
                </c:pt>
                <c:pt idx="610" formatCode="0">
                  <c:v>304.21600000000001</c:v>
                </c:pt>
                <c:pt idx="611" formatCode="0">
                  <c:v>298.02100000000002</c:v>
                </c:pt>
                <c:pt idx="612" formatCode="0">
                  <c:v>298.74700000000001</c:v>
                </c:pt>
                <c:pt idx="613" formatCode="0">
                  <c:v>289.75200000000001</c:v>
                </c:pt>
                <c:pt idx="614" formatCode="0">
                  <c:v>281.149</c:v>
                </c:pt>
                <c:pt idx="615" formatCode="0">
                  <c:v>280.06099999999998</c:v>
                </c:pt>
                <c:pt idx="616" formatCode="0">
                  <c:v>278.17599999999999</c:v>
                </c:pt>
                <c:pt idx="617" formatCode="0">
                  <c:v>285.87700000000001</c:v>
                </c:pt>
                <c:pt idx="618" formatCode="0">
                  <c:v>287.66699999999997</c:v>
                </c:pt>
                <c:pt idx="619" formatCode="0">
                  <c:v>287.19799999999998</c:v>
                </c:pt>
                <c:pt idx="620" formatCode="0">
                  <c:v>287.738</c:v>
                </c:pt>
                <c:pt idx="621" formatCode="0">
                  <c:v>284.67700000000002</c:v>
                </c:pt>
                <c:pt idx="622" formatCode="0">
                  <c:v>292.10500000000002</c:v>
                </c:pt>
                <c:pt idx="623" formatCode="0">
                  <c:v>291.10500000000002</c:v>
                </c:pt>
              </c:numCache>
            </c:numRef>
          </c:val>
          <c:smooth val="0"/>
          <c:extLst>
            <c:ext xmlns:c16="http://schemas.microsoft.com/office/drawing/2014/chart" uri="{C3380CC4-5D6E-409C-BE32-E72D297353CC}">
              <c16:uniqueId val="{00000003-4EEE-436B-AFC1-C498D6096249}"/>
            </c:ext>
          </c:extLst>
        </c:ser>
        <c:ser>
          <c:idx val="4"/>
          <c:order val="4"/>
          <c:tx>
            <c:strRef>
              <c:f>Sheet1!$F$1</c:f>
              <c:strCache>
                <c:ptCount val="1"/>
                <c:pt idx="0">
                  <c:v>Ադրբեջան (2024թ.)</c:v>
                </c:pt>
              </c:strCache>
            </c:strRef>
          </c:tx>
          <c:spPr>
            <a:ln w="28575" cap="rnd">
              <a:solidFill>
                <a:schemeClr val="accent6">
                  <a:lumMod val="75000"/>
                </a:schemeClr>
              </a:solidFill>
              <a:round/>
            </a:ln>
            <a:effectLst/>
          </c:spPr>
          <c:marker>
            <c:symbol val="none"/>
          </c:marker>
          <c:cat>
            <c:numRef>
              <c:f>Sheet1!$A$2:$A$625</c:f>
              <c:numCache>
                <c:formatCode>m\/d\/yyyy</c:formatCode>
                <c:ptCount val="624"/>
                <c:pt idx="0">
                  <c:v>43466</c:v>
                </c:pt>
                <c:pt idx="1">
                  <c:v>43467</c:v>
                </c:pt>
                <c:pt idx="2">
                  <c:v>43468</c:v>
                </c:pt>
                <c:pt idx="3">
                  <c:v>43469</c:v>
                </c:pt>
                <c:pt idx="4">
                  <c:v>43472</c:v>
                </c:pt>
                <c:pt idx="5">
                  <c:v>43473</c:v>
                </c:pt>
                <c:pt idx="6">
                  <c:v>43474</c:v>
                </c:pt>
                <c:pt idx="7">
                  <c:v>43475</c:v>
                </c:pt>
                <c:pt idx="8">
                  <c:v>43476</c:v>
                </c:pt>
                <c:pt idx="9">
                  <c:v>43479</c:v>
                </c:pt>
                <c:pt idx="10">
                  <c:v>43480</c:v>
                </c:pt>
                <c:pt idx="11">
                  <c:v>43481</c:v>
                </c:pt>
                <c:pt idx="12">
                  <c:v>43482</c:v>
                </c:pt>
                <c:pt idx="13">
                  <c:v>43483</c:v>
                </c:pt>
                <c:pt idx="14">
                  <c:v>43486</c:v>
                </c:pt>
                <c:pt idx="15">
                  <c:v>43487</c:v>
                </c:pt>
                <c:pt idx="16">
                  <c:v>43488</c:v>
                </c:pt>
                <c:pt idx="17">
                  <c:v>43489</c:v>
                </c:pt>
                <c:pt idx="18">
                  <c:v>43490</c:v>
                </c:pt>
                <c:pt idx="19">
                  <c:v>43493</c:v>
                </c:pt>
                <c:pt idx="20">
                  <c:v>43494</c:v>
                </c:pt>
                <c:pt idx="21">
                  <c:v>43495</c:v>
                </c:pt>
                <c:pt idx="22">
                  <c:v>43496</c:v>
                </c:pt>
                <c:pt idx="23">
                  <c:v>43497</c:v>
                </c:pt>
                <c:pt idx="24">
                  <c:v>43500</c:v>
                </c:pt>
                <c:pt idx="25">
                  <c:v>43501</c:v>
                </c:pt>
                <c:pt idx="26">
                  <c:v>43502</c:v>
                </c:pt>
                <c:pt idx="27">
                  <c:v>43503</c:v>
                </c:pt>
                <c:pt idx="28">
                  <c:v>43504</c:v>
                </c:pt>
                <c:pt idx="29">
                  <c:v>43507</c:v>
                </c:pt>
                <c:pt idx="30">
                  <c:v>43508</c:v>
                </c:pt>
                <c:pt idx="31">
                  <c:v>43509</c:v>
                </c:pt>
                <c:pt idx="32">
                  <c:v>43510</c:v>
                </c:pt>
                <c:pt idx="33">
                  <c:v>43511</c:v>
                </c:pt>
                <c:pt idx="34">
                  <c:v>43514</c:v>
                </c:pt>
                <c:pt idx="35">
                  <c:v>43515</c:v>
                </c:pt>
                <c:pt idx="36">
                  <c:v>43516</c:v>
                </c:pt>
                <c:pt idx="37">
                  <c:v>43517</c:v>
                </c:pt>
                <c:pt idx="38">
                  <c:v>43518</c:v>
                </c:pt>
                <c:pt idx="39">
                  <c:v>43521</c:v>
                </c:pt>
                <c:pt idx="40">
                  <c:v>43522</c:v>
                </c:pt>
                <c:pt idx="41">
                  <c:v>43523</c:v>
                </c:pt>
                <c:pt idx="42">
                  <c:v>43524</c:v>
                </c:pt>
                <c:pt idx="43">
                  <c:v>43525</c:v>
                </c:pt>
                <c:pt idx="44">
                  <c:v>43528</c:v>
                </c:pt>
                <c:pt idx="45">
                  <c:v>43529</c:v>
                </c:pt>
                <c:pt idx="46">
                  <c:v>43530</c:v>
                </c:pt>
                <c:pt idx="47">
                  <c:v>43531</c:v>
                </c:pt>
                <c:pt idx="48">
                  <c:v>43532</c:v>
                </c:pt>
                <c:pt idx="49">
                  <c:v>43535</c:v>
                </c:pt>
                <c:pt idx="50">
                  <c:v>43536</c:v>
                </c:pt>
                <c:pt idx="51">
                  <c:v>43537</c:v>
                </c:pt>
                <c:pt idx="52">
                  <c:v>43538</c:v>
                </c:pt>
                <c:pt idx="53">
                  <c:v>43539</c:v>
                </c:pt>
                <c:pt idx="54">
                  <c:v>43542</c:v>
                </c:pt>
                <c:pt idx="55">
                  <c:v>43543</c:v>
                </c:pt>
                <c:pt idx="56">
                  <c:v>43544</c:v>
                </c:pt>
                <c:pt idx="57">
                  <c:v>43545</c:v>
                </c:pt>
                <c:pt idx="58">
                  <c:v>43546</c:v>
                </c:pt>
                <c:pt idx="59">
                  <c:v>43549</c:v>
                </c:pt>
                <c:pt idx="60">
                  <c:v>43550</c:v>
                </c:pt>
                <c:pt idx="61">
                  <c:v>43551</c:v>
                </c:pt>
                <c:pt idx="62">
                  <c:v>43552</c:v>
                </c:pt>
                <c:pt idx="63">
                  <c:v>43553</c:v>
                </c:pt>
                <c:pt idx="64">
                  <c:v>43556</c:v>
                </c:pt>
                <c:pt idx="65">
                  <c:v>43557</c:v>
                </c:pt>
                <c:pt idx="66">
                  <c:v>43558</c:v>
                </c:pt>
                <c:pt idx="67">
                  <c:v>43559</c:v>
                </c:pt>
                <c:pt idx="68">
                  <c:v>43560</c:v>
                </c:pt>
                <c:pt idx="69">
                  <c:v>43563</c:v>
                </c:pt>
                <c:pt idx="70">
                  <c:v>43564</c:v>
                </c:pt>
                <c:pt idx="71">
                  <c:v>43565</c:v>
                </c:pt>
                <c:pt idx="72">
                  <c:v>43566</c:v>
                </c:pt>
                <c:pt idx="73">
                  <c:v>43567</c:v>
                </c:pt>
                <c:pt idx="74">
                  <c:v>43570</c:v>
                </c:pt>
                <c:pt idx="75">
                  <c:v>43571</c:v>
                </c:pt>
                <c:pt idx="76">
                  <c:v>43572</c:v>
                </c:pt>
                <c:pt idx="77">
                  <c:v>43573</c:v>
                </c:pt>
                <c:pt idx="78">
                  <c:v>43574</c:v>
                </c:pt>
                <c:pt idx="79">
                  <c:v>43577</c:v>
                </c:pt>
                <c:pt idx="80">
                  <c:v>43578</c:v>
                </c:pt>
                <c:pt idx="81">
                  <c:v>43579</c:v>
                </c:pt>
                <c:pt idx="82">
                  <c:v>43580</c:v>
                </c:pt>
                <c:pt idx="83">
                  <c:v>43581</c:v>
                </c:pt>
                <c:pt idx="84">
                  <c:v>43584</c:v>
                </c:pt>
                <c:pt idx="85">
                  <c:v>43585</c:v>
                </c:pt>
                <c:pt idx="86">
                  <c:v>43586</c:v>
                </c:pt>
                <c:pt idx="87">
                  <c:v>43587</c:v>
                </c:pt>
                <c:pt idx="88">
                  <c:v>43588</c:v>
                </c:pt>
                <c:pt idx="89">
                  <c:v>43591</c:v>
                </c:pt>
                <c:pt idx="90">
                  <c:v>43592</c:v>
                </c:pt>
                <c:pt idx="91">
                  <c:v>43593</c:v>
                </c:pt>
                <c:pt idx="92">
                  <c:v>43594</c:v>
                </c:pt>
                <c:pt idx="93">
                  <c:v>43595</c:v>
                </c:pt>
                <c:pt idx="94">
                  <c:v>43598</c:v>
                </c:pt>
                <c:pt idx="95">
                  <c:v>43599</c:v>
                </c:pt>
                <c:pt idx="96">
                  <c:v>43600</c:v>
                </c:pt>
                <c:pt idx="97">
                  <c:v>43601</c:v>
                </c:pt>
                <c:pt idx="98">
                  <c:v>43602</c:v>
                </c:pt>
                <c:pt idx="99">
                  <c:v>43605</c:v>
                </c:pt>
                <c:pt idx="100">
                  <c:v>43606</c:v>
                </c:pt>
                <c:pt idx="101">
                  <c:v>43607</c:v>
                </c:pt>
                <c:pt idx="102">
                  <c:v>43608</c:v>
                </c:pt>
                <c:pt idx="103">
                  <c:v>43609</c:v>
                </c:pt>
                <c:pt idx="104">
                  <c:v>43612</c:v>
                </c:pt>
                <c:pt idx="105">
                  <c:v>43613</c:v>
                </c:pt>
                <c:pt idx="106">
                  <c:v>43614</c:v>
                </c:pt>
                <c:pt idx="107">
                  <c:v>43615</c:v>
                </c:pt>
                <c:pt idx="108">
                  <c:v>43616</c:v>
                </c:pt>
                <c:pt idx="109">
                  <c:v>43619</c:v>
                </c:pt>
                <c:pt idx="110">
                  <c:v>43620</c:v>
                </c:pt>
                <c:pt idx="111">
                  <c:v>43621</c:v>
                </c:pt>
                <c:pt idx="112">
                  <c:v>43622</c:v>
                </c:pt>
                <c:pt idx="113">
                  <c:v>43623</c:v>
                </c:pt>
                <c:pt idx="114">
                  <c:v>43626</c:v>
                </c:pt>
                <c:pt idx="115">
                  <c:v>43627</c:v>
                </c:pt>
                <c:pt idx="116">
                  <c:v>43628</c:v>
                </c:pt>
                <c:pt idx="117">
                  <c:v>43629</c:v>
                </c:pt>
                <c:pt idx="118">
                  <c:v>43630</c:v>
                </c:pt>
                <c:pt idx="119">
                  <c:v>43633</c:v>
                </c:pt>
                <c:pt idx="120">
                  <c:v>43634</c:v>
                </c:pt>
                <c:pt idx="121">
                  <c:v>43635</c:v>
                </c:pt>
                <c:pt idx="122">
                  <c:v>43636</c:v>
                </c:pt>
                <c:pt idx="123">
                  <c:v>43637</c:v>
                </c:pt>
                <c:pt idx="124">
                  <c:v>43640</c:v>
                </c:pt>
                <c:pt idx="125">
                  <c:v>43641</c:v>
                </c:pt>
                <c:pt idx="126">
                  <c:v>43642</c:v>
                </c:pt>
                <c:pt idx="127">
                  <c:v>43643</c:v>
                </c:pt>
                <c:pt idx="128">
                  <c:v>43644</c:v>
                </c:pt>
                <c:pt idx="129">
                  <c:v>43647</c:v>
                </c:pt>
                <c:pt idx="130">
                  <c:v>43648</c:v>
                </c:pt>
                <c:pt idx="131">
                  <c:v>43649</c:v>
                </c:pt>
                <c:pt idx="132">
                  <c:v>43650</c:v>
                </c:pt>
                <c:pt idx="133">
                  <c:v>43651</c:v>
                </c:pt>
                <c:pt idx="134">
                  <c:v>43654</c:v>
                </c:pt>
                <c:pt idx="135">
                  <c:v>43655</c:v>
                </c:pt>
                <c:pt idx="136">
                  <c:v>43656</c:v>
                </c:pt>
                <c:pt idx="137">
                  <c:v>43657</c:v>
                </c:pt>
                <c:pt idx="138">
                  <c:v>43658</c:v>
                </c:pt>
                <c:pt idx="139">
                  <c:v>43661</c:v>
                </c:pt>
                <c:pt idx="140">
                  <c:v>43662</c:v>
                </c:pt>
                <c:pt idx="141">
                  <c:v>43663</c:v>
                </c:pt>
                <c:pt idx="142">
                  <c:v>43664</c:v>
                </c:pt>
                <c:pt idx="143">
                  <c:v>43665</c:v>
                </c:pt>
                <c:pt idx="144">
                  <c:v>43668</c:v>
                </c:pt>
                <c:pt idx="145">
                  <c:v>43669</c:v>
                </c:pt>
                <c:pt idx="146">
                  <c:v>43670</c:v>
                </c:pt>
                <c:pt idx="147">
                  <c:v>43671</c:v>
                </c:pt>
                <c:pt idx="148">
                  <c:v>43672</c:v>
                </c:pt>
                <c:pt idx="149">
                  <c:v>43675</c:v>
                </c:pt>
                <c:pt idx="150">
                  <c:v>43676</c:v>
                </c:pt>
                <c:pt idx="151">
                  <c:v>43677</c:v>
                </c:pt>
                <c:pt idx="152">
                  <c:v>43678</c:v>
                </c:pt>
                <c:pt idx="153">
                  <c:v>43679</c:v>
                </c:pt>
                <c:pt idx="154">
                  <c:v>43682</c:v>
                </c:pt>
                <c:pt idx="155">
                  <c:v>43683</c:v>
                </c:pt>
                <c:pt idx="156">
                  <c:v>43684</c:v>
                </c:pt>
                <c:pt idx="157">
                  <c:v>43685</c:v>
                </c:pt>
                <c:pt idx="158">
                  <c:v>43686</c:v>
                </c:pt>
                <c:pt idx="159">
                  <c:v>43689</c:v>
                </c:pt>
                <c:pt idx="160">
                  <c:v>43690</c:v>
                </c:pt>
                <c:pt idx="161">
                  <c:v>43691</c:v>
                </c:pt>
                <c:pt idx="162">
                  <c:v>43692</c:v>
                </c:pt>
                <c:pt idx="163">
                  <c:v>43693</c:v>
                </c:pt>
                <c:pt idx="164">
                  <c:v>43696</c:v>
                </c:pt>
                <c:pt idx="165">
                  <c:v>43697</c:v>
                </c:pt>
                <c:pt idx="166">
                  <c:v>43698</c:v>
                </c:pt>
                <c:pt idx="167">
                  <c:v>43699</c:v>
                </c:pt>
                <c:pt idx="168">
                  <c:v>43700</c:v>
                </c:pt>
                <c:pt idx="169">
                  <c:v>43703</c:v>
                </c:pt>
                <c:pt idx="170">
                  <c:v>43704</c:v>
                </c:pt>
                <c:pt idx="171">
                  <c:v>43705</c:v>
                </c:pt>
                <c:pt idx="172">
                  <c:v>43706</c:v>
                </c:pt>
                <c:pt idx="173">
                  <c:v>43707</c:v>
                </c:pt>
                <c:pt idx="174">
                  <c:v>43710</c:v>
                </c:pt>
                <c:pt idx="175">
                  <c:v>43711</c:v>
                </c:pt>
                <c:pt idx="176">
                  <c:v>43712</c:v>
                </c:pt>
                <c:pt idx="177">
                  <c:v>43713</c:v>
                </c:pt>
                <c:pt idx="178">
                  <c:v>43714</c:v>
                </c:pt>
                <c:pt idx="179">
                  <c:v>43717</c:v>
                </c:pt>
                <c:pt idx="180">
                  <c:v>43718</c:v>
                </c:pt>
                <c:pt idx="181">
                  <c:v>43719</c:v>
                </c:pt>
                <c:pt idx="182">
                  <c:v>43720</c:v>
                </c:pt>
                <c:pt idx="183">
                  <c:v>43721</c:v>
                </c:pt>
                <c:pt idx="184">
                  <c:v>43724</c:v>
                </c:pt>
                <c:pt idx="185">
                  <c:v>43725</c:v>
                </c:pt>
                <c:pt idx="186">
                  <c:v>43726</c:v>
                </c:pt>
                <c:pt idx="187">
                  <c:v>43727</c:v>
                </c:pt>
                <c:pt idx="188">
                  <c:v>43728</c:v>
                </c:pt>
                <c:pt idx="189">
                  <c:v>43731</c:v>
                </c:pt>
                <c:pt idx="190">
                  <c:v>43732</c:v>
                </c:pt>
                <c:pt idx="191">
                  <c:v>43733</c:v>
                </c:pt>
                <c:pt idx="192">
                  <c:v>43734</c:v>
                </c:pt>
                <c:pt idx="193">
                  <c:v>43735</c:v>
                </c:pt>
                <c:pt idx="194">
                  <c:v>43738</c:v>
                </c:pt>
                <c:pt idx="195">
                  <c:v>43739</c:v>
                </c:pt>
                <c:pt idx="196">
                  <c:v>43740</c:v>
                </c:pt>
                <c:pt idx="197">
                  <c:v>43741</c:v>
                </c:pt>
                <c:pt idx="198">
                  <c:v>43742</c:v>
                </c:pt>
                <c:pt idx="199">
                  <c:v>43745</c:v>
                </c:pt>
                <c:pt idx="200">
                  <c:v>43746</c:v>
                </c:pt>
                <c:pt idx="201">
                  <c:v>43747</c:v>
                </c:pt>
                <c:pt idx="202">
                  <c:v>43748</c:v>
                </c:pt>
                <c:pt idx="203">
                  <c:v>43749</c:v>
                </c:pt>
                <c:pt idx="204">
                  <c:v>43752</c:v>
                </c:pt>
                <c:pt idx="205">
                  <c:v>43753</c:v>
                </c:pt>
                <c:pt idx="206">
                  <c:v>43754</c:v>
                </c:pt>
                <c:pt idx="207">
                  <c:v>43755</c:v>
                </c:pt>
                <c:pt idx="208">
                  <c:v>43756</c:v>
                </c:pt>
                <c:pt idx="209">
                  <c:v>43759</c:v>
                </c:pt>
                <c:pt idx="210">
                  <c:v>43760</c:v>
                </c:pt>
                <c:pt idx="211">
                  <c:v>43761</c:v>
                </c:pt>
                <c:pt idx="212">
                  <c:v>43762</c:v>
                </c:pt>
                <c:pt idx="213">
                  <c:v>43763</c:v>
                </c:pt>
                <c:pt idx="214">
                  <c:v>43766</c:v>
                </c:pt>
                <c:pt idx="215">
                  <c:v>43767</c:v>
                </c:pt>
                <c:pt idx="216">
                  <c:v>43768</c:v>
                </c:pt>
                <c:pt idx="217">
                  <c:v>43769</c:v>
                </c:pt>
                <c:pt idx="218">
                  <c:v>43770</c:v>
                </c:pt>
                <c:pt idx="219">
                  <c:v>43773</c:v>
                </c:pt>
                <c:pt idx="220">
                  <c:v>43774</c:v>
                </c:pt>
                <c:pt idx="221">
                  <c:v>43775</c:v>
                </c:pt>
                <c:pt idx="222">
                  <c:v>43776</c:v>
                </c:pt>
                <c:pt idx="223">
                  <c:v>43777</c:v>
                </c:pt>
                <c:pt idx="224">
                  <c:v>43780</c:v>
                </c:pt>
                <c:pt idx="225">
                  <c:v>43781</c:v>
                </c:pt>
                <c:pt idx="226">
                  <c:v>43782</c:v>
                </c:pt>
                <c:pt idx="227">
                  <c:v>43783</c:v>
                </c:pt>
                <c:pt idx="228">
                  <c:v>43784</c:v>
                </c:pt>
                <c:pt idx="229">
                  <c:v>43787</c:v>
                </c:pt>
                <c:pt idx="230">
                  <c:v>43788</c:v>
                </c:pt>
                <c:pt idx="231">
                  <c:v>43789</c:v>
                </c:pt>
                <c:pt idx="232">
                  <c:v>43790</c:v>
                </c:pt>
                <c:pt idx="233">
                  <c:v>43791</c:v>
                </c:pt>
                <c:pt idx="234">
                  <c:v>43794</c:v>
                </c:pt>
                <c:pt idx="235">
                  <c:v>43795</c:v>
                </c:pt>
                <c:pt idx="236">
                  <c:v>43796</c:v>
                </c:pt>
                <c:pt idx="237">
                  <c:v>43797</c:v>
                </c:pt>
                <c:pt idx="238">
                  <c:v>43798</c:v>
                </c:pt>
                <c:pt idx="239">
                  <c:v>43801</c:v>
                </c:pt>
                <c:pt idx="240">
                  <c:v>43802</c:v>
                </c:pt>
                <c:pt idx="241">
                  <c:v>43803</c:v>
                </c:pt>
                <c:pt idx="242">
                  <c:v>43804</c:v>
                </c:pt>
                <c:pt idx="243">
                  <c:v>43805</c:v>
                </c:pt>
                <c:pt idx="244">
                  <c:v>43808</c:v>
                </c:pt>
                <c:pt idx="245">
                  <c:v>43809</c:v>
                </c:pt>
                <c:pt idx="246">
                  <c:v>43810</c:v>
                </c:pt>
                <c:pt idx="247">
                  <c:v>43811</c:v>
                </c:pt>
                <c:pt idx="248">
                  <c:v>43812</c:v>
                </c:pt>
                <c:pt idx="249">
                  <c:v>43815</c:v>
                </c:pt>
                <c:pt idx="250">
                  <c:v>43816</c:v>
                </c:pt>
                <c:pt idx="251">
                  <c:v>43817</c:v>
                </c:pt>
                <c:pt idx="252">
                  <c:v>43818</c:v>
                </c:pt>
                <c:pt idx="253">
                  <c:v>43819</c:v>
                </c:pt>
                <c:pt idx="254">
                  <c:v>43822</c:v>
                </c:pt>
                <c:pt idx="255">
                  <c:v>43823</c:v>
                </c:pt>
                <c:pt idx="256">
                  <c:v>43824</c:v>
                </c:pt>
                <c:pt idx="257">
                  <c:v>43825</c:v>
                </c:pt>
                <c:pt idx="258">
                  <c:v>43826</c:v>
                </c:pt>
                <c:pt idx="259">
                  <c:v>43829</c:v>
                </c:pt>
                <c:pt idx="260">
                  <c:v>43830</c:v>
                </c:pt>
                <c:pt idx="261">
                  <c:v>43831</c:v>
                </c:pt>
                <c:pt idx="262">
                  <c:v>43832</c:v>
                </c:pt>
                <c:pt idx="263">
                  <c:v>43833</c:v>
                </c:pt>
                <c:pt idx="264">
                  <c:v>43836</c:v>
                </c:pt>
                <c:pt idx="265">
                  <c:v>43837</c:v>
                </c:pt>
                <c:pt idx="266">
                  <c:v>43838</c:v>
                </c:pt>
                <c:pt idx="267">
                  <c:v>43839</c:v>
                </c:pt>
                <c:pt idx="268">
                  <c:v>43840</c:v>
                </c:pt>
                <c:pt idx="269">
                  <c:v>43843</c:v>
                </c:pt>
                <c:pt idx="270">
                  <c:v>43844</c:v>
                </c:pt>
                <c:pt idx="271">
                  <c:v>43845</c:v>
                </c:pt>
                <c:pt idx="272">
                  <c:v>43846</c:v>
                </c:pt>
                <c:pt idx="273">
                  <c:v>43847</c:v>
                </c:pt>
                <c:pt idx="274">
                  <c:v>43850</c:v>
                </c:pt>
                <c:pt idx="275">
                  <c:v>43851</c:v>
                </c:pt>
                <c:pt idx="276">
                  <c:v>43852</c:v>
                </c:pt>
                <c:pt idx="277">
                  <c:v>43853</c:v>
                </c:pt>
                <c:pt idx="278">
                  <c:v>43854</c:v>
                </c:pt>
                <c:pt idx="279">
                  <c:v>43857</c:v>
                </c:pt>
                <c:pt idx="280">
                  <c:v>43858</c:v>
                </c:pt>
                <c:pt idx="281">
                  <c:v>43859</c:v>
                </c:pt>
                <c:pt idx="282">
                  <c:v>43860</c:v>
                </c:pt>
                <c:pt idx="283">
                  <c:v>43861</c:v>
                </c:pt>
                <c:pt idx="284">
                  <c:v>43864</c:v>
                </c:pt>
                <c:pt idx="285">
                  <c:v>43865</c:v>
                </c:pt>
                <c:pt idx="286">
                  <c:v>43866</c:v>
                </c:pt>
                <c:pt idx="287">
                  <c:v>43867</c:v>
                </c:pt>
                <c:pt idx="288">
                  <c:v>43868</c:v>
                </c:pt>
                <c:pt idx="289">
                  <c:v>43871</c:v>
                </c:pt>
                <c:pt idx="290">
                  <c:v>43872</c:v>
                </c:pt>
                <c:pt idx="291">
                  <c:v>43873</c:v>
                </c:pt>
                <c:pt idx="292">
                  <c:v>43874</c:v>
                </c:pt>
                <c:pt idx="293">
                  <c:v>43875</c:v>
                </c:pt>
                <c:pt idx="294">
                  <c:v>43878</c:v>
                </c:pt>
                <c:pt idx="295">
                  <c:v>43879</c:v>
                </c:pt>
                <c:pt idx="296">
                  <c:v>43880</c:v>
                </c:pt>
                <c:pt idx="297">
                  <c:v>43881</c:v>
                </c:pt>
                <c:pt idx="298">
                  <c:v>43882</c:v>
                </c:pt>
                <c:pt idx="299">
                  <c:v>43885</c:v>
                </c:pt>
                <c:pt idx="300">
                  <c:v>43886</c:v>
                </c:pt>
                <c:pt idx="301">
                  <c:v>43887</c:v>
                </c:pt>
                <c:pt idx="302">
                  <c:v>43888</c:v>
                </c:pt>
                <c:pt idx="303">
                  <c:v>43889</c:v>
                </c:pt>
                <c:pt idx="304">
                  <c:v>43892</c:v>
                </c:pt>
                <c:pt idx="305">
                  <c:v>43893</c:v>
                </c:pt>
                <c:pt idx="306">
                  <c:v>43894</c:v>
                </c:pt>
                <c:pt idx="307">
                  <c:v>43895</c:v>
                </c:pt>
                <c:pt idx="308">
                  <c:v>43896</c:v>
                </c:pt>
                <c:pt idx="309">
                  <c:v>43899</c:v>
                </c:pt>
                <c:pt idx="310">
                  <c:v>43900</c:v>
                </c:pt>
                <c:pt idx="311">
                  <c:v>43901</c:v>
                </c:pt>
                <c:pt idx="312">
                  <c:v>43902</c:v>
                </c:pt>
                <c:pt idx="313">
                  <c:v>43903</c:v>
                </c:pt>
                <c:pt idx="314">
                  <c:v>43906</c:v>
                </c:pt>
                <c:pt idx="315">
                  <c:v>43907</c:v>
                </c:pt>
                <c:pt idx="316">
                  <c:v>43908</c:v>
                </c:pt>
                <c:pt idx="317">
                  <c:v>43909</c:v>
                </c:pt>
                <c:pt idx="318">
                  <c:v>43910</c:v>
                </c:pt>
                <c:pt idx="319">
                  <c:v>43913</c:v>
                </c:pt>
                <c:pt idx="320">
                  <c:v>43914</c:v>
                </c:pt>
                <c:pt idx="321">
                  <c:v>43915</c:v>
                </c:pt>
                <c:pt idx="322">
                  <c:v>43916</c:v>
                </c:pt>
                <c:pt idx="323">
                  <c:v>43917</c:v>
                </c:pt>
                <c:pt idx="324">
                  <c:v>43920</c:v>
                </c:pt>
                <c:pt idx="325">
                  <c:v>43921</c:v>
                </c:pt>
                <c:pt idx="326">
                  <c:v>43922</c:v>
                </c:pt>
                <c:pt idx="327">
                  <c:v>43923</c:v>
                </c:pt>
                <c:pt idx="328">
                  <c:v>43924</c:v>
                </c:pt>
                <c:pt idx="329">
                  <c:v>43927</c:v>
                </c:pt>
                <c:pt idx="330">
                  <c:v>43928</c:v>
                </c:pt>
                <c:pt idx="331">
                  <c:v>43929</c:v>
                </c:pt>
                <c:pt idx="332">
                  <c:v>43930</c:v>
                </c:pt>
                <c:pt idx="333">
                  <c:v>43931</c:v>
                </c:pt>
                <c:pt idx="334">
                  <c:v>43934</c:v>
                </c:pt>
                <c:pt idx="335">
                  <c:v>43935</c:v>
                </c:pt>
                <c:pt idx="336">
                  <c:v>43936</c:v>
                </c:pt>
                <c:pt idx="337">
                  <c:v>43937</c:v>
                </c:pt>
                <c:pt idx="338">
                  <c:v>43938</c:v>
                </c:pt>
                <c:pt idx="339">
                  <c:v>43941</c:v>
                </c:pt>
                <c:pt idx="340">
                  <c:v>43942</c:v>
                </c:pt>
                <c:pt idx="341">
                  <c:v>43943</c:v>
                </c:pt>
                <c:pt idx="342">
                  <c:v>43944</c:v>
                </c:pt>
                <c:pt idx="343">
                  <c:v>43945</c:v>
                </c:pt>
                <c:pt idx="344">
                  <c:v>43948</c:v>
                </c:pt>
                <c:pt idx="345">
                  <c:v>43949</c:v>
                </c:pt>
                <c:pt idx="346">
                  <c:v>43950</c:v>
                </c:pt>
                <c:pt idx="347">
                  <c:v>43951</c:v>
                </c:pt>
                <c:pt idx="348">
                  <c:v>43952</c:v>
                </c:pt>
                <c:pt idx="349">
                  <c:v>43955</c:v>
                </c:pt>
                <c:pt idx="350">
                  <c:v>43956</c:v>
                </c:pt>
                <c:pt idx="351">
                  <c:v>43957</c:v>
                </c:pt>
                <c:pt idx="352">
                  <c:v>43958</c:v>
                </c:pt>
                <c:pt idx="353">
                  <c:v>43959</c:v>
                </c:pt>
                <c:pt idx="354">
                  <c:v>43962</c:v>
                </c:pt>
                <c:pt idx="355">
                  <c:v>43963</c:v>
                </c:pt>
                <c:pt idx="356">
                  <c:v>43964</c:v>
                </c:pt>
                <c:pt idx="357">
                  <c:v>43965</c:v>
                </c:pt>
                <c:pt idx="358">
                  <c:v>43966</c:v>
                </c:pt>
                <c:pt idx="359">
                  <c:v>43969</c:v>
                </c:pt>
                <c:pt idx="360">
                  <c:v>43970</c:v>
                </c:pt>
                <c:pt idx="361">
                  <c:v>43971</c:v>
                </c:pt>
                <c:pt idx="362">
                  <c:v>43972</c:v>
                </c:pt>
                <c:pt idx="363">
                  <c:v>43973</c:v>
                </c:pt>
                <c:pt idx="364">
                  <c:v>43976</c:v>
                </c:pt>
                <c:pt idx="365">
                  <c:v>43977</c:v>
                </c:pt>
                <c:pt idx="366">
                  <c:v>43978</c:v>
                </c:pt>
                <c:pt idx="367">
                  <c:v>43979</c:v>
                </c:pt>
                <c:pt idx="368">
                  <c:v>43980</c:v>
                </c:pt>
                <c:pt idx="369">
                  <c:v>43983</c:v>
                </c:pt>
                <c:pt idx="370">
                  <c:v>43984</c:v>
                </c:pt>
                <c:pt idx="371">
                  <c:v>43985</c:v>
                </c:pt>
                <c:pt idx="372">
                  <c:v>43986</c:v>
                </c:pt>
                <c:pt idx="373">
                  <c:v>43987</c:v>
                </c:pt>
                <c:pt idx="374">
                  <c:v>43990</c:v>
                </c:pt>
                <c:pt idx="375">
                  <c:v>43991</c:v>
                </c:pt>
                <c:pt idx="376">
                  <c:v>43992</c:v>
                </c:pt>
                <c:pt idx="377">
                  <c:v>43993</c:v>
                </c:pt>
                <c:pt idx="378">
                  <c:v>43994</c:v>
                </c:pt>
                <c:pt idx="379">
                  <c:v>43997</c:v>
                </c:pt>
                <c:pt idx="380">
                  <c:v>43998</c:v>
                </c:pt>
                <c:pt idx="381">
                  <c:v>43999</c:v>
                </c:pt>
                <c:pt idx="382">
                  <c:v>44000</c:v>
                </c:pt>
                <c:pt idx="383">
                  <c:v>44001</c:v>
                </c:pt>
                <c:pt idx="384">
                  <c:v>44004</c:v>
                </c:pt>
                <c:pt idx="385">
                  <c:v>44005</c:v>
                </c:pt>
                <c:pt idx="386">
                  <c:v>44006</c:v>
                </c:pt>
                <c:pt idx="387">
                  <c:v>44007</c:v>
                </c:pt>
                <c:pt idx="388">
                  <c:v>44008</c:v>
                </c:pt>
                <c:pt idx="389">
                  <c:v>44011</c:v>
                </c:pt>
                <c:pt idx="390">
                  <c:v>44012</c:v>
                </c:pt>
                <c:pt idx="391">
                  <c:v>44013</c:v>
                </c:pt>
                <c:pt idx="392">
                  <c:v>44014</c:v>
                </c:pt>
                <c:pt idx="393">
                  <c:v>44015</c:v>
                </c:pt>
                <c:pt idx="394">
                  <c:v>44018</c:v>
                </c:pt>
                <c:pt idx="395">
                  <c:v>44019</c:v>
                </c:pt>
                <c:pt idx="396">
                  <c:v>44020</c:v>
                </c:pt>
                <c:pt idx="397">
                  <c:v>44021</c:v>
                </c:pt>
                <c:pt idx="398">
                  <c:v>44022</c:v>
                </c:pt>
                <c:pt idx="399">
                  <c:v>44025</c:v>
                </c:pt>
                <c:pt idx="400">
                  <c:v>44026</c:v>
                </c:pt>
                <c:pt idx="401">
                  <c:v>44027</c:v>
                </c:pt>
                <c:pt idx="402">
                  <c:v>44028</c:v>
                </c:pt>
                <c:pt idx="403">
                  <c:v>44029</c:v>
                </c:pt>
                <c:pt idx="404">
                  <c:v>44032</c:v>
                </c:pt>
                <c:pt idx="405">
                  <c:v>44033</c:v>
                </c:pt>
                <c:pt idx="406">
                  <c:v>44034</c:v>
                </c:pt>
                <c:pt idx="407">
                  <c:v>44035</c:v>
                </c:pt>
                <c:pt idx="408">
                  <c:v>44036</c:v>
                </c:pt>
                <c:pt idx="409">
                  <c:v>44039</c:v>
                </c:pt>
                <c:pt idx="410">
                  <c:v>44040</c:v>
                </c:pt>
                <c:pt idx="411">
                  <c:v>44041</c:v>
                </c:pt>
                <c:pt idx="412">
                  <c:v>44042</c:v>
                </c:pt>
                <c:pt idx="413">
                  <c:v>44043</c:v>
                </c:pt>
                <c:pt idx="414">
                  <c:v>44046</c:v>
                </c:pt>
                <c:pt idx="415">
                  <c:v>44047</c:v>
                </c:pt>
                <c:pt idx="416">
                  <c:v>44048</c:v>
                </c:pt>
                <c:pt idx="417">
                  <c:v>44049</c:v>
                </c:pt>
                <c:pt idx="418">
                  <c:v>44050</c:v>
                </c:pt>
                <c:pt idx="419">
                  <c:v>44053</c:v>
                </c:pt>
                <c:pt idx="420">
                  <c:v>44054</c:v>
                </c:pt>
                <c:pt idx="421">
                  <c:v>44055</c:v>
                </c:pt>
                <c:pt idx="422">
                  <c:v>44056</c:v>
                </c:pt>
                <c:pt idx="423">
                  <c:v>44057</c:v>
                </c:pt>
                <c:pt idx="424">
                  <c:v>44060</c:v>
                </c:pt>
                <c:pt idx="425">
                  <c:v>44061</c:v>
                </c:pt>
                <c:pt idx="426">
                  <c:v>44062</c:v>
                </c:pt>
                <c:pt idx="427">
                  <c:v>44063</c:v>
                </c:pt>
                <c:pt idx="428">
                  <c:v>44064</c:v>
                </c:pt>
                <c:pt idx="429">
                  <c:v>44067</c:v>
                </c:pt>
                <c:pt idx="430">
                  <c:v>44068</c:v>
                </c:pt>
                <c:pt idx="431">
                  <c:v>44069</c:v>
                </c:pt>
                <c:pt idx="432">
                  <c:v>44070</c:v>
                </c:pt>
                <c:pt idx="433">
                  <c:v>44071</c:v>
                </c:pt>
                <c:pt idx="434">
                  <c:v>44074</c:v>
                </c:pt>
                <c:pt idx="435">
                  <c:v>44075</c:v>
                </c:pt>
                <c:pt idx="436">
                  <c:v>44076</c:v>
                </c:pt>
                <c:pt idx="437">
                  <c:v>44077</c:v>
                </c:pt>
                <c:pt idx="438">
                  <c:v>44078</c:v>
                </c:pt>
                <c:pt idx="439">
                  <c:v>44081</c:v>
                </c:pt>
                <c:pt idx="440">
                  <c:v>44082</c:v>
                </c:pt>
                <c:pt idx="441">
                  <c:v>44083</c:v>
                </c:pt>
                <c:pt idx="442">
                  <c:v>44084</c:v>
                </c:pt>
                <c:pt idx="443">
                  <c:v>44085</c:v>
                </c:pt>
                <c:pt idx="444">
                  <c:v>44088</c:v>
                </c:pt>
                <c:pt idx="445">
                  <c:v>44089</c:v>
                </c:pt>
                <c:pt idx="446">
                  <c:v>44090</c:v>
                </c:pt>
                <c:pt idx="447">
                  <c:v>44091</c:v>
                </c:pt>
                <c:pt idx="448">
                  <c:v>44092</c:v>
                </c:pt>
                <c:pt idx="449">
                  <c:v>44095</c:v>
                </c:pt>
                <c:pt idx="450">
                  <c:v>44096</c:v>
                </c:pt>
                <c:pt idx="451">
                  <c:v>44097</c:v>
                </c:pt>
                <c:pt idx="452">
                  <c:v>44098</c:v>
                </c:pt>
                <c:pt idx="453">
                  <c:v>44099</c:v>
                </c:pt>
                <c:pt idx="454">
                  <c:v>44102</c:v>
                </c:pt>
                <c:pt idx="455">
                  <c:v>44103</c:v>
                </c:pt>
                <c:pt idx="456">
                  <c:v>44104</c:v>
                </c:pt>
                <c:pt idx="457">
                  <c:v>44105</c:v>
                </c:pt>
                <c:pt idx="458">
                  <c:v>44106</c:v>
                </c:pt>
                <c:pt idx="459">
                  <c:v>44109</c:v>
                </c:pt>
                <c:pt idx="460">
                  <c:v>44110</c:v>
                </c:pt>
                <c:pt idx="461">
                  <c:v>44111</c:v>
                </c:pt>
                <c:pt idx="462">
                  <c:v>44112</c:v>
                </c:pt>
                <c:pt idx="463">
                  <c:v>44113</c:v>
                </c:pt>
                <c:pt idx="464">
                  <c:v>44116</c:v>
                </c:pt>
                <c:pt idx="465">
                  <c:v>44117</c:v>
                </c:pt>
                <c:pt idx="466">
                  <c:v>44118</c:v>
                </c:pt>
                <c:pt idx="467">
                  <c:v>44119</c:v>
                </c:pt>
                <c:pt idx="468">
                  <c:v>44120</c:v>
                </c:pt>
                <c:pt idx="469">
                  <c:v>44123</c:v>
                </c:pt>
                <c:pt idx="470">
                  <c:v>44124</c:v>
                </c:pt>
                <c:pt idx="471">
                  <c:v>44125</c:v>
                </c:pt>
                <c:pt idx="472">
                  <c:v>44126</c:v>
                </c:pt>
                <c:pt idx="473">
                  <c:v>44127</c:v>
                </c:pt>
                <c:pt idx="474">
                  <c:v>44130</c:v>
                </c:pt>
                <c:pt idx="475">
                  <c:v>44131</c:v>
                </c:pt>
                <c:pt idx="476">
                  <c:v>44132</c:v>
                </c:pt>
                <c:pt idx="477">
                  <c:v>44133</c:v>
                </c:pt>
                <c:pt idx="478">
                  <c:v>44134</c:v>
                </c:pt>
                <c:pt idx="479">
                  <c:v>44137</c:v>
                </c:pt>
                <c:pt idx="480">
                  <c:v>44138</c:v>
                </c:pt>
                <c:pt idx="481">
                  <c:v>44139</c:v>
                </c:pt>
                <c:pt idx="482">
                  <c:v>44140</c:v>
                </c:pt>
                <c:pt idx="483">
                  <c:v>44141</c:v>
                </c:pt>
                <c:pt idx="484">
                  <c:v>44144</c:v>
                </c:pt>
                <c:pt idx="485">
                  <c:v>44145</c:v>
                </c:pt>
                <c:pt idx="486">
                  <c:v>44146</c:v>
                </c:pt>
                <c:pt idx="487">
                  <c:v>44147</c:v>
                </c:pt>
                <c:pt idx="488">
                  <c:v>44148</c:v>
                </c:pt>
                <c:pt idx="489">
                  <c:v>44151</c:v>
                </c:pt>
                <c:pt idx="490">
                  <c:v>44152</c:v>
                </c:pt>
                <c:pt idx="491">
                  <c:v>44153</c:v>
                </c:pt>
                <c:pt idx="492">
                  <c:v>44154</c:v>
                </c:pt>
                <c:pt idx="493">
                  <c:v>44155</c:v>
                </c:pt>
                <c:pt idx="494">
                  <c:v>44158</c:v>
                </c:pt>
                <c:pt idx="495">
                  <c:v>44159</c:v>
                </c:pt>
                <c:pt idx="496">
                  <c:v>44160</c:v>
                </c:pt>
                <c:pt idx="497">
                  <c:v>44161</c:v>
                </c:pt>
                <c:pt idx="498">
                  <c:v>44162</c:v>
                </c:pt>
                <c:pt idx="499">
                  <c:v>44165</c:v>
                </c:pt>
                <c:pt idx="500">
                  <c:v>44166</c:v>
                </c:pt>
                <c:pt idx="501">
                  <c:v>44167</c:v>
                </c:pt>
                <c:pt idx="502">
                  <c:v>44168</c:v>
                </c:pt>
                <c:pt idx="503">
                  <c:v>44169</c:v>
                </c:pt>
                <c:pt idx="504">
                  <c:v>44172</c:v>
                </c:pt>
                <c:pt idx="505">
                  <c:v>44173</c:v>
                </c:pt>
                <c:pt idx="506">
                  <c:v>44174</c:v>
                </c:pt>
                <c:pt idx="507">
                  <c:v>44175</c:v>
                </c:pt>
                <c:pt idx="508">
                  <c:v>44176</c:v>
                </c:pt>
                <c:pt idx="509">
                  <c:v>44179</c:v>
                </c:pt>
                <c:pt idx="510">
                  <c:v>44180</c:v>
                </c:pt>
                <c:pt idx="511">
                  <c:v>44181</c:v>
                </c:pt>
                <c:pt idx="512">
                  <c:v>44182</c:v>
                </c:pt>
                <c:pt idx="513">
                  <c:v>44183</c:v>
                </c:pt>
                <c:pt idx="514">
                  <c:v>44186</c:v>
                </c:pt>
                <c:pt idx="515">
                  <c:v>44187</c:v>
                </c:pt>
                <c:pt idx="516">
                  <c:v>44188</c:v>
                </c:pt>
                <c:pt idx="517">
                  <c:v>44189</c:v>
                </c:pt>
                <c:pt idx="518">
                  <c:v>44190</c:v>
                </c:pt>
                <c:pt idx="519">
                  <c:v>44193</c:v>
                </c:pt>
                <c:pt idx="520">
                  <c:v>44194</c:v>
                </c:pt>
                <c:pt idx="521">
                  <c:v>44195</c:v>
                </c:pt>
                <c:pt idx="522">
                  <c:v>44196</c:v>
                </c:pt>
                <c:pt idx="523">
                  <c:v>44197</c:v>
                </c:pt>
                <c:pt idx="524">
                  <c:v>44200</c:v>
                </c:pt>
                <c:pt idx="525">
                  <c:v>44201</c:v>
                </c:pt>
                <c:pt idx="526">
                  <c:v>44202</c:v>
                </c:pt>
                <c:pt idx="527">
                  <c:v>44203</c:v>
                </c:pt>
                <c:pt idx="528">
                  <c:v>44204</c:v>
                </c:pt>
                <c:pt idx="529">
                  <c:v>44207</c:v>
                </c:pt>
                <c:pt idx="530">
                  <c:v>44208</c:v>
                </c:pt>
                <c:pt idx="531">
                  <c:v>44209</c:v>
                </c:pt>
                <c:pt idx="532">
                  <c:v>44210</c:v>
                </c:pt>
                <c:pt idx="533">
                  <c:v>44211</c:v>
                </c:pt>
                <c:pt idx="534">
                  <c:v>44214</c:v>
                </c:pt>
                <c:pt idx="535">
                  <c:v>44215</c:v>
                </c:pt>
                <c:pt idx="536">
                  <c:v>44216</c:v>
                </c:pt>
                <c:pt idx="537">
                  <c:v>44217</c:v>
                </c:pt>
                <c:pt idx="538">
                  <c:v>44218</c:v>
                </c:pt>
                <c:pt idx="539">
                  <c:v>44221</c:v>
                </c:pt>
                <c:pt idx="540">
                  <c:v>44222</c:v>
                </c:pt>
                <c:pt idx="541">
                  <c:v>44223</c:v>
                </c:pt>
                <c:pt idx="542">
                  <c:v>44224</c:v>
                </c:pt>
                <c:pt idx="543">
                  <c:v>44225</c:v>
                </c:pt>
                <c:pt idx="544">
                  <c:v>44228</c:v>
                </c:pt>
                <c:pt idx="545">
                  <c:v>44229</c:v>
                </c:pt>
                <c:pt idx="546">
                  <c:v>44230</c:v>
                </c:pt>
                <c:pt idx="547">
                  <c:v>44231</c:v>
                </c:pt>
                <c:pt idx="548">
                  <c:v>44232</c:v>
                </c:pt>
                <c:pt idx="549">
                  <c:v>44235</c:v>
                </c:pt>
                <c:pt idx="550">
                  <c:v>44236</c:v>
                </c:pt>
                <c:pt idx="551">
                  <c:v>44237</c:v>
                </c:pt>
                <c:pt idx="552">
                  <c:v>44238</c:v>
                </c:pt>
                <c:pt idx="553">
                  <c:v>44239</c:v>
                </c:pt>
                <c:pt idx="554">
                  <c:v>44242</c:v>
                </c:pt>
                <c:pt idx="555">
                  <c:v>44243</c:v>
                </c:pt>
                <c:pt idx="556">
                  <c:v>44244</c:v>
                </c:pt>
                <c:pt idx="557">
                  <c:v>44245</c:v>
                </c:pt>
                <c:pt idx="558">
                  <c:v>44246</c:v>
                </c:pt>
                <c:pt idx="559">
                  <c:v>44249</c:v>
                </c:pt>
                <c:pt idx="560">
                  <c:v>44250</c:v>
                </c:pt>
                <c:pt idx="561">
                  <c:v>44251</c:v>
                </c:pt>
                <c:pt idx="562">
                  <c:v>44252</c:v>
                </c:pt>
                <c:pt idx="563">
                  <c:v>44253</c:v>
                </c:pt>
                <c:pt idx="564">
                  <c:v>44256</c:v>
                </c:pt>
                <c:pt idx="565">
                  <c:v>44257</c:v>
                </c:pt>
                <c:pt idx="566">
                  <c:v>44258</c:v>
                </c:pt>
                <c:pt idx="567">
                  <c:v>44259</c:v>
                </c:pt>
                <c:pt idx="568">
                  <c:v>44260</c:v>
                </c:pt>
                <c:pt idx="569">
                  <c:v>44263</c:v>
                </c:pt>
                <c:pt idx="570">
                  <c:v>44264</c:v>
                </c:pt>
                <c:pt idx="571">
                  <c:v>44265</c:v>
                </c:pt>
                <c:pt idx="572">
                  <c:v>44266</c:v>
                </c:pt>
                <c:pt idx="573">
                  <c:v>44267</c:v>
                </c:pt>
                <c:pt idx="574">
                  <c:v>44270</c:v>
                </c:pt>
                <c:pt idx="575">
                  <c:v>44271</c:v>
                </c:pt>
                <c:pt idx="576">
                  <c:v>44272</c:v>
                </c:pt>
                <c:pt idx="577">
                  <c:v>44273</c:v>
                </c:pt>
                <c:pt idx="578">
                  <c:v>44274</c:v>
                </c:pt>
                <c:pt idx="579">
                  <c:v>44277</c:v>
                </c:pt>
                <c:pt idx="580">
                  <c:v>44278</c:v>
                </c:pt>
                <c:pt idx="581">
                  <c:v>44279</c:v>
                </c:pt>
                <c:pt idx="582">
                  <c:v>44280</c:v>
                </c:pt>
                <c:pt idx="583">
                  <c:v>44281</c:v>
                </c:pt>
                <c:pt idx="584">
                  <c:v>44284</c:v>
                </c:pt>
                <c:pt idx="585">
                  <c:v>44285</c:v>
                </c:pt>
                <c:pt idx="586">
                  <c:v>44286</c:v>
                </c:pt>
                <c:pt idx="587">
                  <c:v>44287</c:v>
                </c:pt>
                <c:pt idx="588">
                  <c:v>44288</c:v>
                </c:pt>
                <c:pt idx="589">
                  <c:v>44291</c:v>
                </c:pt>
                <c:pt idx="590">
                  <c:v>44292</c:v>
                </c:pt>
                <c:pt idx="591">
                  <c:v>44293</c:v>
                </c:pt>
                <c:pt idx="592">
                  <c:v>44294</c:v>
                </c:pt>
                <c:pt idx="593">
                  <c:v>44295</c:v>
                </c:pt>
                <c:pt idx="594">
                  <c:v>44298</c:v>
                </c:pt>
                <c:pt idx="595">
                  <c:v>44299</c:v>
                </c:pt>
                <c:pt idx="596">
                  <c:v>44300</c:v>
                </c:pt>
                <c:pt idx="597">
                  <c:v>44301</c:v>
                </c:pt>
                <c:pt idx="598">
                  <c:v>44302</c:v>
                </c:pt>
                <c:pt idx="599">
                  <c:v>44305</c:v>
                </c:pt>
                <c:pt idx="600">
                  <c:v>44306</c:v>
                </c:pt>
                <c:pt idx="601">
                  <c:v>44307</c:v>
                </c:pt>
                <c:pt idx="602">
                  <c:v>44308</c:v>
                </c:pt>
                <c:pt idx="603">
                  <c:v>44309</c:v>
                </c:pt>
                <c:pt idx="604">
                  <c:v>44312</c:v>
                </c:pt>
                <c:pt idx="605">
                  <c:v>44313</c:v>
                </c:pt>
                <c:pt idx="606">
                  <c:v>44314</c:v>
                </c:pt>
                <c:pt idx="607">
                  <c:v>44315</c:v>
                </c:pt>
                <c:pt idx="608">
                  <c:v>44316</c:v>
                </c:pt>
                <c:pt idx="609">
                  <c:v>44319</c:v>
                </c:pt>
                <c:pt idx="610">
                  <c:v>44320</c:v>
                </c:pt>
                <c:pt idx="611">
                  <c:v>44321</c:v>
                </c:pt>
                <c:pt idx="612">
                  <c:v>44322</c:v>
                </c:pt>
                <c:pt idx="613">
                  <c:v>44323</c:v>
                </c:pt>
                <c:pt idx="614">
                  <c:v>44326</c:v>
                </c:pt>
                <c:pt idx="615">
                  <c:v>44327</c:v>
                </c:pt>
                <c:pt idx="616">
                  <c:v>44328</c:v>
                </c:pt>
                <c:pt idx="617">
                  <c:v>44329</c:v>
                </c:pt>
                <c:pt idx="618">
                  <c:v>44330</c:v>
                </c:pt>
                <c:pt idx="619">
                  <c:v>44333</c:v>
                </c:pt>
                <c:pt idx="620">
                  <c:v>44334</c:v>
                </c:pt>
                <c:pt idx="621">
                  <c:v>44335</c:v>
                </c:pt>
                <c:pt idx="622">
                  <c:v>44336</c:v>
                </c:pt>
                <c:pt idx="623">
                  <c:v>44337</c:v>
                </c:pt>
              </c:numCache>
            </c:numRef>
          </c:cat>
          <c:val>
            <c:numRef>
              <c:f>Sheet1!$F$2:$F$625</c:f>
              <c:numCache>
                <c:formatCode>0</c:formatCode>
                <c:ptCount val="624"/>
                <c:pt idx="0">
                  <c:v>219.73599999999999</c:v>
                </c:pt>
                <c:pt idx="1">
                  <c:v>218.94</c:v>
                </c:pt>
                <c:pt idx="2">
                  <c:v>224.01599999999999</c:v>
                </c:pt>
                <c:pt idx="3">
                  <c:v>208.94</c:v>
                </c:pt>
                <c:pt idx="4">
                  <c:v>193.09700000000001</c:v>
                </c:pt>
                <c:pt idx="5">
                  <c:v>193.083</c:v>
                </c:pt>
                <c:pt idx="6">
                  <c:v>195.28</c:v>
                </c:pt>
                <c:pt idx="7">
                  <c:v>199.90899999999999</c:v>
                </c:pt>
                <c:pt idx="8">
                  <c:v>198.30199999999999</c:v>
                </c:pt>
                <c:pt idx="9">
                  <c:v>199.68299999999999</c:v>
                </c:pt>
                <c:pt idx="10">
                  <c:v>196.39699999999999</c:v>
                </c:pt>
                <c:pt idx="11">
                  <c:v>188.75299999999999</c:v>
                </c:pt>
                <c:pt idx="12">
                  <c:v>183.23099999999999</c:v>
                </c:pt>
                <c:pt idx="13">
                  <c:v>166.274</c:v>
                </c:pt>
                <c:pt idx="14">
                  <c:v>165.505</c:v>
                </c:pt>
                <c:pt idx="15">
                  <c:v>170.036</c:v>
                </c:pt>
                <c:pt idx="16">
                  <c:v>170.88200000000001</c:v>
                </c:pt>
                <c:pt idx="17">
                  <c:v>169.494</c:v>
                </c:pt>
                <c:pt idx="18">
                  <c:v>170.256</c:v>
                </c:pt>
                <c:pt idx="19">
                  <c:v>187.989</c:v>
                </c:pt>
                <c:pt idx="20">
                  <c:v>188.595</c:v>
                </c:pt>
                <c:pt idx="21">
                  <c:v>187.114</c:v>
                </c:pt>
                <c:pt idx="22">
                  <c:v>178.70099999999999</c:v>
                </c:pt>
                <c:pt idx="23">
                  <c:v>168.60599999999999</c:v>
                </c:pt>
                <c:pt idx="24">
                  <c:v>162.84299999999999</c:v>
                </c:pt>
                <c:pt idx="25">
                  <c:v>155.25899999999999</c:v>
                </c:pt>
                <c:pt idx="26">
                  <c:v>157.43700000000001</c:v>
                </c:pt>
                <c:pt idx="27">
                  <c:v>168.221</c:v>
                </c:pt>
                <c:pt idx="28">
                  <c:v>171.32499999999999</c:v>
                </c:pt>
                <c:pt idx="29">
                  <c:v>169.00399999999999</c:v>
                </c:pt>
                <c:pt idx="30">
                  <c:v>170.24199999999999</c:v>
                </c:pt>
                <c:pt idx="31">
                  <c:v>158.999</c:v>
                </c:pt>
                <c:pt idx="32">
                  <c:v>171.011</c:v>
                </c:pt>
                <c:pt idx="33">
                  <c:v>167.767</c:v>
                </c:pt>
                <c:pt idx="34">
                  <c:v>162.86500000000001</c:v>
                </c:pt>
                <c:pt idx="35">
                  <c:v>163.285</c:v>
                </c:pt>
                <c:pt idx="36">
                  <c:v>163.30500000000001</c:v>
                </c:pt>
                <c:pt idx="37">
                  <c:v>164.51</c:v>
                </c:pt>
                <c:pt idx="38">
                  <c:v>166.04300000000001</c:v>
                </c:pt>
                <c:pt idx="39">
                  <c:v>164.506</c:v>
                </c:pt>
                <c:pt idx="40">
                  <c:v>171.60599999999999</c:v>
                </c:pt>
                <c:pt idx="41">
                  <c:v>165.965</c:v>
                </c:pt>
                <c:pt idx="42">
                  <c:v>163.94200000000001</c:v>
                </c:pt>
                <c:pt idx="43">
                  <c:v>165.49299999999999</c:v>
                </c:pt>
                <c:pt idx="44">
                  <c:v>171.113</c:v>
                </c:pt>
                <c:pt idx="45">
                  <c:v>171.459</c:v>
                </c:pt>
                <c:pt idx="46">
                  <c:v>170.43</c:v>
                </c:pt>
                <c:pt idx="47">
                  <c:v>175.98099999999999</c:v>
                </c:pt>
                <c:pt idx="48">
                  <c:v>176.87</c:v>
                </c:pt>
                <c:pt idx="49">
                  <c:v>169.27</c:v>
                </c:pt>
                <c:pt idx="50">
                  <c:v>167.91399999999999</c:v>
                </c:pt>
                <c:pt idx="51">
                  <c:v>165.22</c:v>
                </c:pt>
                <c:pt idx="52">
                  <c:v>161.077</c:v>
                </c:pt>
                <c:pt idx="53">
                  <c:v>157.70500000000001</c:v>
                </c:pt>
                <c:pt idx="54">
                  <c:v>149.16</c:v>
                </c:pt>
                <c:pt idx="55">
                  <c:v>146.678</c:v>
                </c:pt>
                <c:pt idx="56">
                  <c:v>152.33699999999999</c:v>
                </c:pt>
                <c:pt idx="57">
                  <c:v>149.56200000000001</c:v>
                </c:pt>
                <c:pt idx="58">
                  <c:v>161.197</c:v>
                </c:pt>
                <c:pt idx="59">
                  <c:v>165.84899999999999</c:v>
                </c:pt>
                <c:pt idx="60">
                  <c:v>158.72</c:v>
                </c:pt>
                <c:pt idx="61">
                  <c:v>164.21</c:v>
                </c:pt>
                <c:pt idx="62">
                  <c:v>161.392</c:v>
                </c:pt>
                <c:pt idx="63">
                  <c:v>162.15700000000001</c:v>
                </c:pt>
                <c:pt idx="64">
                  <c:v>154.858</c:v>
                </c:pt>
                <c:pt idx="65">
                  <c:v>157.18299999999999</c:v>
                </c:pt>
                <c:pt idx="66">
                  <c:v>161.26300000000001</c:v>
                </c:pt>
                <c:pt idx="67">
                  <c:v>163.934</c:v>
                </c:pt>
                <c:pt idx="68">
                  <c:v>166.33</c:v>
                </c:pt>
                <c:pt idx="69">
                  <c:v>164.37799999999999</c:v>
                </c:pt>
                <c:pt idx="70">
                  <c:v>164.01499999999999</c:v>
                </c:pt>
                <c:pt idx="71">
                  <c:v>170.708</c:v>
                </c:pt>
                <c:pt idx="72">
                  <c:v>174.86</c:v>
                </c:pt>
                <c:pt idx="73">
                  <c:v>171.548</c:v>
                </c:pt>
                <c:pt idx="74">
                  <c:v>166.76300000000001</c:v>
                </c:pt>
                <c:pt idx="75">
                  <c:v>163.15600000000001</c:v>
                </c:pt>
                <c:pt idx="76">
                  <c:v>162.44999999999999</c:v>
                </c:pt>
                <c:pt idx="77">
                  <c:v>163.345</c:v>
                </c:pt>
                <c:pt idx="78">
                  <c:v>163.345</c:v>
                </c:pt>
                <c:pt idx="79">
                  <c:v>163.99100000000001</c:v>
                </c:pt>
                <c:pt idx="80">
                  <c:v>165.476</c:v>
                </c:pt>
                <c:pt idx="81">
                  <c:v>165.001</c:v>
                </c:pt>
                <c:pt idx="82">
                  <c:v>165.80600000000001</c:v>
                </c:pt>
                <c:pt idx="83">
                  <c:v>166.95</c:v>
                </c:pt>
                <c:pt idx="84">
                  <c:v>160.57900000000001</c:v>
                </c:pt>
                <c:pt idx="85">
                  <c:v>158.762</c:v>
                </c:pt>
                <c:pt idx="86">
                  <c:v>156.511</c:v>
                </c:pt>
                <c:pt idx="87">
                  <c:v>153.66499999999999</c:v>
                </c:pt>
                <c:pt idx="88">
                  <c:v>156.59899999999999</c:v>
                </c:pt>
                <c:pt idx="89">
                  <c:v>169.995</c:v>
                </c:pt>
                <c:pt idx="90">
                  <c:v>165.12299999999999</c:v>
                </c:pt>
                <c:pt idx="91">
                  <c:v>168.40600000000001</c:v>
                </c:pt>
                <c:pt idx="92">
                  <c:v>171.084</c:v>
                </c:pt>
                <c:pt idx="93">
                  <c:v>167.95099999999999</c:v>
                </c:pt>
                <c:pt idx="94">
                  <c:v>176.41399999999999</c:v>
                </c:pt>
                <c:pt idx="95">
                  <c:v>178.77</c:v>
                </c:pt>
                <c:pt idx="96">
                  <c:v>179.727</c:v>
                </c:pt>
                <c:pt idx="97">
                  <c:v>170.46</c:v>
                </c:pt>
                <c:pt idx="98">
                  <c:v>168.73599999999999</c:v>
                </c:pt>
                <c:pt idx="99">
                  <c:v>164.02600000000001</c:v>
                </c:pt>
                <c:pt idx="100">
                  <c:v>159.90199999999999</c:v>
                </c:pt>
                <c:pt idx="101">
                  <c:v>163.16499999999999</c:v>
                </c:pt>
                <c:pt idx="102">
                  <c:v>173.69300000000001</c:v>
                </c:pt>
                <c:pt idx="103">
                  <c:v>171.786</c:v>
                </c:pt>
                <c:pt idx="104">
                  <c:v>170.47499999999999</c:v>
                </c:pt>
                <c:pt idx="105">
                  <c:v>174.453</c:v>
                </c:pt>
                <c:pt idx="106">
                  <c:v>174.12200000000001</c:v>
                </c:pt>
                <c:pt idx="107">
                  <c:v>176.631</c:v>
                </c:pt>
                <c:pt idx="108">
                  <c:v>185.99799999999999</c:v>
                </c:pt>
                <c:pt idx="109">
                  <c:v>198.233</c:v>
                </c:pt>
                <c:pt idx="110">
                  <c:v>192.83799999999999</c:v>
                </c:pt>
                <c:pt idx="111">
                  <c:v>184.97300000000001</c:v>
                </c:pt>
                <c:pt idx="112">
                  <c:v>181.85</c:v>
                </c:pt>
                <c:pt idx="113">
                  <c:v>180.48699999999999</c:v>
                </c:pt>
                <c:pt idx="114">
                  <c:v>169.316</c:v>
                </c:pt>
                <c:pt idx="115">
                  <c:v>167.75700000000001</c:v>
                </c:pt>
                <c:pt idx="116">
                  <c:v>174.49199999999999</c:v>
                </c:pt>
                <c:pt idx="117">
                  <c:v>179.94399999999999</c:v>
                </c:pt>
                <c:pt idx="118">
                  <c:v>176.654</c:v>
                </c:pt>
                <c:pt idx="119">
                  <c:v>172.89099999999999</c:v>
                </c:pt>
                <c:pt idx="120">
                  <c:v>167.21799999999999</c:v>
                </c:pt>
                <c:pt idx="121">
                  <c:v>168.99100000000001</c:v>
                </c:pt>
                <c:pt idx="122">
                  <c:v>144.35599999999999</c:v>
                </c:pt>
                <c:pt idx="123">
                  <c:v>156.31399999999999</c:v>
                </c:pt>
                <c:pt idx="124">
                  <c:v>166.261</c:v>
                </c:pt>
                <c:pt idx="125">
                  <c:v>171.41399999999999</c:v>
                </c:pt>
                <c:pt idx="126">
                  <c:v>170.52099999999999</c:v>
                </c:pt>
                <c:pt idx="127">
                  <c:v>170.95099999999999</c:v>
                </c:pt>
                <c:pt idx="128">
                  <c:v>173.529</c:v>
                </c:pt>
                <c:pt idx="129">
                  <c:v>164.91300000000001</c:v>
                </c:pt>
                <c:pt idx="130">
                  <c:v>169.03299999999999</c:v>
                </c:pt>
                <c:pt idx="131">
                  <c:v>168.00299999999999</c:v>
                </c:pt>
                <c:pt idx="132">
                  <c:v>168.37799999999999</c:v>
                </c:pt>
                <c:pt idx="133">
                  <c:v>161.58199999999999</c:v>
                </c:pt>
                <c:pt idx="134">
                  <c:v>161.376</c:v>
                </c:pt>
                <c:pt idx="135">
                  <c:v>160.41999999999999</c:v>
                </c:pt>
                <c:pt idx="136">
                  <c:v>162.17099999999999</c:v>
                </c:pt>
                <c:pt idx="137">
                  <c:v>153.89500000000001</c:v>
                </c:pt>
                <c:pt idx="138">
                  <c:v>158.726</c:v>
                </c:pt>
                <c:pt idx="139">
                  <c:v>160.85499999999999</c:v>
                </c:pt>
                <c:pt idx="140">
                  <c:v>161.63900000000001</c:v>
                </c:pt>
                <c:pt idx="141">
                  <c:v>161.86000000000001</c:v>
                </c:pt>
                <c:pt idx="142">
                  <c:v>164.548</c:v>
                </c:pt>
                <c:pt idx="143">
                  <c:v>158.12899999999999</c:v>
                </c:pt>
                <c:pt idx="144">
                  <c:v>153.113</c:v>
                </c:pt>
                <c:pt idx="145">
                  <c:v>145.255</c:v>
                </c:pt>
                <c:pt idx="146">
                  <c:v>144.226</c:v>
                </c:pt>
                <c:pt idx="147">
                  <c:v>136.119</c:v>
                </c:pt>
                <c:pt idx="148">
                  <c:v>134.08000000000001</c:v>
                </c:pt>
                <c:pt idx="149">
                  <c:v>133.024</c:v>
                </c:pt>
                <c:pt idx="150">
                  <c:v>134.81</c:v>
                </c:pt>
                <c:pt idx="151">
                  <c:v>134.72999999999999</c:v>
                </c:pt>
                <c:pt idx="152">
                  <c:v>152.91999999999999</c:v>
                </c:pt>
                <c:pt idx="153">
                  <c:v>161.636</c:v>
                </c:pt>
                <c:pt idx="154">
                  <c:v>183.57</c:v>
                </c:pt>
                <c:pt idx="155">
                  <c:v>179.971</c:v>
                </c:pt>
                <c:pt idx="156">
                  <c:v>171.74100000000001</c:v>
                </c:pt>
                <c:pt idx="157">
                  <c:v>171.36099999999999</c:v>
                </c:pt>
                <c:pt idx="158">
                  <c:v>165.488</c:v>
                </c:pt>
                <c:pt idx="159">
                  <c:v>174.10499999999999</c:v>
                </c:pt>
                <c:pt idx="160">
                  <c:v>168.53</c:v>
                </c:pt>
                <c:pt idx="161">
                  <c:v>177.33699999999999</c:v>
                </c:pt>
                <c:pt idx="162">
                  <c:v>190.69800000000001</c:v>
                </c:pt>
                <c:pt idx="163">
                  <c:v>187.815</c:v>
                </c:pt>
                <c:pt idx="164">
                  <c:v>183.83600000000001</c:v>
                </c:pt>
                <c:pt idx="165">
                  <c:v>186.92599999999999</c:v>
                </c:pt>
                <c:pt idx="166">
                  <c:v>180.846</c:v>
                </c:pt>
                <c:pt idx="167">
                  <c:v>179.64699999999999</c:v>
                </c:pt>
                <c:pt idx="168">
                  <c:v>188.595</c:v>
                </c:pt>
                <c:pt idx="169">
                  <c:v>191.53100000000001</c:v>
                </c:pt>
                <c:pt idx="170">
                  <c:v>190.893</c:v>
                </c:pt>
                <c:pt idx="171">
                  <c:v>187.66800000000001</c:v>
                </c:pt>
                <c:pt idx="172">
                  <c:v>178.57300000000001</c:v>
                </c:pt>
                <c:pt idx="173">
                  <c:v>171.36799999999999</c:v>
                </c:pt>
                <c:pt idx="174">
                  <c:v>161.35</c:v>
                </c:pt>
                <c:pt idx="175">
                  <c:v>166.227</c:v>
                </c:pt>
                <c:pt idx="176">
                  <c:v>165.17099999999999</c:v>
                </c:pt>
                <c:pt idx="177">
                  <c:v>156.703</c:v>
                </c:pt>
                <c:pt idx="178">
                  <c:v>166.00899999999999</c:v>
                </c:pt>
                <c:pt idx="179">
                  <c:v>165.84399999999999</c:v>
                </c:pt>
                <c:pt idx="180">
                  <c:v>162.751</c:v>
                </c:pt>
                <c:pt idx="181">
                  <c:v>170.875</c:v>
                </c:pt>
                <c:pt idx="182">
                  <c:v>165.13900000000001</c:v>
                </c:pt>
                <c:pt idx="183">
                  <c:v>163.411</c:v>
                </c:pt>
                <c:pt idx="184">
                  <c:v>167.31100000000001</c:v>
                </c:pt>
                <c:pt idx="185">
                  <c:v>165.78399999999999</c:v>
                </c:pt>
                <c:pt idx="186">
                  <c:v>161.60900000000001</c:v>
                </c:pt>
                <c:pt idx="187">
                  <c:v>162.49199999999999</c:v>
                </c:pt>
                <c:pt idx="188">
                  <c:v>156.833</c:v>
                </c:pt>
                <c:pt idx="189">
                  <c:v>155.541</c:v>
                </c:pt>
                <c:pt idx="190">
                  <c:v>160.43199999999999</c:v>
                </c:pt>
                <c:pt idx="191">
                  <c:v>162.19900000000001</c:v>
                </c:pt>
                <c:pt idx="192">
                  <c:v>168.077</c:v>
                </c:pt>
                <c:pt idx="193">
                  <c:v>165.04300000000001</c:v>
                </c:pt>
                <c:pt idx="194">
                  <c:v>171.07499999999999</c:v>
                </c:pt>
                <c:pt idx="195">
                  <c:v>181.11799999999999</c:v>
                </c:pt>
                <c:pt idx="196">
                  <c:v>194.10499999999999</c:v>
                </c:pt>
                <c:pt idx="197">
                  <c:v>201.07900000000001</c:v>
                </c:pt>
                <c:pt idx="198">
                  <c:v>194.119</c:v>
                </c:pt>
                <c:pt idx="199">
                  <c:v>190.19499999999999</c:v>
                </c:pt>
                <c:pt idx="200">
                  <c:v>196.49199999999999</c:v>
                </c:pt>
                <c:pt idx="201">
                  <c:v>191.203</c:v>
                </c:pt>
                <c:pt idx="202">
                  <c:v>182.56299999999999</c:v>
                </c:pt>
                <c:pt idx="203">
                  <c:v>175.566</c:v>
                </c:pt>
                <c:pt idx="204">
                  <c:v>173.523</c:v>
                </c:pt>
                <c:pt idx="205">
                  <c:v>169.404</c:v>
                </c:pt>
                <c:pt idx="206">
                  <c:v>169.71199999999999</c:v>
                </c:pt>
                <c:pt idx="207">
                  <c:v>166.77199999999999</c:v>
                </c:pt>
                <c:pt idx="208">
                  <c:v>165.369</c:v>
                </c:pt>
                <c:pt idx="209">
                  <c:v>164.249</c:v>
                </c:pt>
                <c:pt idx="210">
                  <c:v>165.136</c:v>
                </c:pt>
                <c:pt idx="211">
                  <c:v>162.54300000000001</c:v>
                </c:pt>
                <c:pt idx="212">
                  <c:v>163.36199999999999</c:v>
                </c:pt>
                <c:pt idx="213">
                  <c:v>159.96799999999999</c:v>
                </c:pt>
                <c:pt idx="214">
                  <c:v>166.761</c:v>
                </c:pt>
                <c:pt idx="215">
                  <c:v>165.696</c:v>
                </c:pt>
                <c:pt idx="216">
                  <c:v>170.56200000000001</c:v>
                </c:pt>
                <c:pt idx="217">
                  <c:v>174.57499999999999</c:v>
                </c:pt>
                <c:pt idx="218">
                  <c:v>166.358</c:v>
                </c:pt>
                <c:pt idx="219">
                  <c:v>156.93700000000001</c:v>
                </c:pt>
                <c:pt idx="220">
                  <c:v>155.78</c:v>
                </c:pt>
                <c:pt idx="221">
                  <c:v>159.68</c:v>
                </c:pt>
                <c:pt idx="222">
                  <c:v>156.84200000000001</c:v>
                </c:pt>
                <c:pt idx="223">
                  <c:v>156.411</c:v>
                </c:pt>
                <c:pt idx="224">
                  <c:v>157.40899999999999</c:v>
                </c:pt>
                <c:pt idx="225">
                  <c:v>159.71199999999999</c:v>
                </c:pt>
                <c:pt idx="226">
                  <c:v>160.02500000000001</c:v>
                </c:pt>
                <c:pt idx="227">
                  <c:v>161.41200000000001</c:v>
                </c:pt>
                <c:pt idx="228">
                  <c:v>150.62700000000001</c:v>
                </c:pt>
                <c:pt idx="229">
                  <c:v>152.232</c:v>
                </c:pt>
                <c:pt idx="230">
                  <c:v>154.965</c:v>
                </c:pt>
                <c:pt idx="231">
                  <c:v>153.63900000000001</c:v>
                </c:pt>
                <c:pt idx="232">
                  <c:v>144.422</c:v>
                </c:pt>
                <c:pt idx="233">
                  <c:v>139.767</c:v>
                </c:pt>
                <c:pt idx="234">
                  <c:v>142.73699999999999</c:v>
                </c:pt>
                <c:pt idx="235">
                  <c:v>145.33099999999999</c:v>
                </c:pt>
                <c:pt idx="236">
                  <c:v>141.26900000000001</c:v>
                </c:pt>
                <c:pt idx="237">
                  <c:v>138.13800000000001</c:v>
                </c:pt>
                <c:pt idx="238">
                  <c:v>133.83199999999999</c:v>
                </c:pt>
                <c:pt idx="239">
                  <c:v>140.62700000000001</c:v>
                </c:pt>
                <c:pt idx="240">
                  <c:v>148.72999999999999</c:v>
                </c:pt>
                <c:pt idx="241">
                  <c:v>140.875</c:v>
                </c:pt>
                <c:pt idx="242">
                  <c:v>137.55000000000001</c:v>
                </c:pt>
                <c:pt idx="243">
                  <c:v>136.04400000000001</c:v>
                </c:pt>
                <c:pt idx="244">
                  <c:v>137.119</c:v>
                </c:pt>
                <c:pt idx="245">
                  <c:v>137.584</c:v>
                </c:pt>
                <c:pt idx="246">
                  <c:v>135.46299999999999</c:v>
                </c:pt>
                <c:pt idx="247">
                  <c:v>124.08199999999999</c:v>
                </c:pt>
                <c:pt idx="248">
                  <c:v>131.405</c:v>
                </c:pt>
                <c:pt idx="249">
                  <c:v>124.483</c:v>
                </c:pt>
                <c:pt idx="250">
                  <c:v>124.955</c:v>
                </c:pt>
                <c:pt idx="251">
                  <c:v>119.07899999999999</c:v>
                </c:pt>
                <c:pt idx="252">
                  <c:v>119.375</c:v>
                </c:pt>
                <c:pt idx="253">
                  <c:v>120.867</c:v>
                </c:pt>
                <c:pt idx="254">
                  <c:v>119.31</c:v>
                </c:pt>
                <c:pt idx="255">
                  <c:v>120.041</c:v>
                </c:pt>
                <c:pt idx="256">
                  <c:v>120.041</c:v>
                </c:pt>
                <c:pt idx="257">
                  <c:v>120.041</c:v>
                </c:pt>
                <c:pt idx="258">
                  <c:v>122.747</c:v>
                </c:pt>
                <c:pt idx="259">
                  <c:v>124.134</c:v>
                </c:pt>
                <c:pt idx="260">
                  <c:v>121.98699999999999</c:v>
                </c:pt>
                <c:pt idx="261">
                  <c:v>121.98699999999999</c:v>
                </c:pt>
                <c:pt idx="262">
                  <c:v>122.93300000000001</c:v>
                </c:pt>
                <c:pt idx="263">
                  <c:v>125.89700000000001</c:v>
                </c:pt>
                <c:pt idx="264">
                  <c:v>127.456</c:v>
                </c:pt>
                <c:pt idx="265">
                  <c:v>125.473</c:v>
                </c:pt>
                <c:pt idx="266">
                  <c:v>119.208</c:v>
                </c:pt>
                <c:pt idx="267">
                  <c:v>122.057</c:v>
                </c:pt>
                <c:pt idx="268">
                  <c:v>122.742</c:v>
                </c:pt>
                <c:pt idx="269">
                  <c:v>120.43600000000001</c:v>
                </c:pt>
                <c:pt idx="270">
                  <c:v>117.774</c:v>
                </c:pt>
                <c:pt idx="271">
                  <c:v>118.154</c:v>
                </c:pt>
                <c:pt idx="272">
                  <c:v>117.723</c:v>
                </c:pt>
                <c:pt idx="273">
                  <c:v>117.018</c:v>
                </c:pt>
                <c:pt idx="274">
                  <c:v>117.95399999999999</c:v>
                </c:pt>
                <c:pt idx="275">
                  <c:v>119.03</c:v>
                </c:pt>
                <c:pt idx="276">
                  <c:v>118.605</c:v>
                </c:pt>
                <c:pt idx="277">
                  <c:v>122.054</c:v>
                </c:pt>
                <c:pt idx="278">
                  <c:v>124.81699999999999</c:v>
                </c:pt>
                <c:pt idx="279">
                  <c:v>137.19900000000001</c:v>
                </c:pt>
                <c:pt idx="280">
                  <c:v>129.595</c:v>
                </c:pt>
                <c:pt idx="281">
                  <c:v>136.084</c:v>
                </c:pt>
                <c:pt idx="282">
                  <c:v>136.58099999999999</c:v>
                </c:pt>
                <c:pt idx="283">
                  <c:v>133.44300000000001</c:v>
                </c:pt>
                <c:pt idx="284">
                  <c:v>128.304</c:v>
                </c:pt>
                <c:pt idx="285">
                  <c:v>118.224</c:v>
                </c:pt>
                <c:pt idx="286">
                  <c:v>112.864</c:v>
                </c:pt>
                <c:pt idx="287">
                  <c:v>108.905</c:v>
                </c:pt>
                <c:pt idx="288">
                  <c:v>111.977</c:v>
                </c:pt>
                <c:pt idx="289">
                  <c:v>115.19799999999999</c:v>
                </c:pt>
                <c:pt idx="290">
                  <c:v>102.041</c:v>
                </c:pt>
                <c:pt idx="291">
                  <c:v>98.98</c:v>
                </c:pt>
                <c:pt idx="292">
                  <c:v>96.820999999999998</c:v>
                </c:pt>
                <c:pt idx="293">
                  <c:v>99.968000000000004</c:v>
                </c:pt>
                <c:pt idx="294">
                  <c:v>98.498000000000005</c:v>
                </c:pt>
                <c:pt idx="295">
                  <c:v>103.836</c:v>
                </c:pt>
                <c:pt idx="296">
                  <c:v>101.98</c:v>
                </c:pt>
                <c:pt idx="297">
                  <c:v>107.187</c:v>
                </c:pt>
                <c:pt idx="298">
                  <c:v>110.587</c:v>
                </c:pt>
                <c:pt idx="299">
                  <c:v>123.946</c:v>
                </c:pt>
                <c:pt idx="300">
                  <c:v>128.16300000000001</c:v>
                </c:pt>
                <c:pt idx="301">
                  <c:v>135.36199999999999</c:v>
                </c:pt>
                <c:pt idx="302">
                  <c:v>157.19399999999999</c:v>
                </c:pt>
                <c:pt idx="303">
                  <c:v>190.83199999999999</c:v>
                </c:pt>
                <c:pt idx="304">
                  <c:v>190.66300000000001</c:v>
                </c:pt>
                <c:pt idx="305">
                  <c:v>182.43700000000001</c:v>
                </c:pt>
                <c:pt idx="306">
                  <c:v>178.64599999999999</c:v>
                </c:pt>
                <c:pt idx="307">
                  <c:v>173.28200000000001</c:v>
                </c:pt>
                <c:pt idx="308">
                  <c:v>179.768</c:v>
                </c:pt>
                <c:pt idx="309">
                  <c:v>312.19099999999997</c:v>
                </c:pt>
                <c:pt idx="310">
                  <c:v>291.464</c:v>
                </c:pt>
                <c:pt idx="311">
                  <c:v>312.274</c:v>
                </c:pt>
                <c:pt idx="312">
                  <c:v>448.16800000000001</c:v>
                </c:pt>
                <c:pt idx="313">
                  <c:v>431.75599999999997</c:v>
                </c:pt>
                <c:pt idx="314">
                  <c:v>509.392</c:v>
                </c:pt>
                <c:pt idx="315">
                  <c:v>475.64699999999999</c:v>
                </c:pt>
                <c:pt idx="316">
                  <c:v>641.36300000000006</c:v>
                </c:pt>
                <c:pt idx="317">
                  <c:v>681.50599999999997</c:v>
                </c:pt>
                <c:pt idx="318">
                  <c:v>670.39099999999996</c:v>
                </c:pt>
                <c:pt idx="319">
                  <c:v>738.88099999999997</c:v>
                </c:pt>
                <c:pt idx="320">
                  <c:v>690.58</c:v>
                </c:pt>
                <c:pt idx="321">
                  <c:v>608.53099999999995</c:v>
                </c:pt>
                <c:pt idx="322">
                  <c:v>538.947</c:v>
                </c:pt>
                <c:pt idx="323">
                  <c:v>485.33199999999999</c:v>
                </c:pt>
                <c:pt idx="324">
                  <c:v>511.649</c:v>
                </c:pt>
                <c:pt idx="325">
                  <c:v>508.95299999999997</c:v>
                </c:pt>
                <c:pt idx="326">
                  <c:v>522.36699999999996</c:v>
                </c:pt>
                <c:pt idx="327">
                  <c:v>463.762</c:v>
                </c:pt>
                <c:pt idx="328">
                  <c:v>432.77300000000002</c:v>
                </c:pt>
                <c:pt idx="329">
                  <c:v>377.66199999999998</c:v>
                </c:pt>
                <c:pt idx="330">
                  <c:v>357.65</c:v>
                </c:pt>
                <c:pt idx="331">
                  <c:v>360.51499999999999</c:v>
                </c:pt>
                <c:pt idx="332">
                  <c:v>355.99299999999999</c:v>
                </c:pt>
                <c:pt idx="333">
                  <c:v>355.99299999999999</c:v>
                </c:pt>
                <c:pt idx="334">
                  <c:v>355.99299999999999</c:v>
                </c:pt>
                <c:pt idx="335">
                  <c:v>336.22300000000001</c:v>
                </c:pt>
                <c:pt idx="336">
                  <c:v>345.63499999999999</c:v>
                </c:pt>
                <c:pt idx="337">
                  <c:v>347.67899999999997</c:v>
                </c:pt>
                <c:pt idx="338">
                  <c:v>344.262</c:v>
                </c:pt>
                <c:pt idx="339">
                  <c:v>349.041</c:v>
                </c:pt>
                <c:pt idx="340">
                  <c:v>390.44</c:v>
                </c:pt>
                <c:pt idx="341">
                  <c:v>396.56299999999999</c:v>
                </c:pt>
                <c:pt idx="342">
                  <c:v>375.55599999999998</c:v>
                </c:pt>
                <c:pt idx="343">
                  <c:v>388.517</c:v>
                </c:pt>
                <c:pt idx="344">
                  <c:v>413.041</c:v>
                </c:pt>
                <c:pt idx="345">
                  <c:v>416.06799999999998</c:v>
                </c:pt>
                <c:pt idx="346">
                  <c:v>414.27199999999999</c:v>
                </c:pt>
                <c:pt idx="347">
                  <c:v>397.91500000000002</c:v>
                </c:pt>
                <c:pt idx="348">
                  <c:v>403.34699999999998</c:v>
                </c:pt>
                <c:pt idx="349">
                  <c:v>432.54500000000002</c:v>
                </c:pt>
                <c:pt idx="350">
                  <c:v>397.47800000000001</c:v>
                </c:pt>
                <c:pt idx="351">
                  <c:v>398.37299999999999</c:v>
                </c:pt>
                <c:pt idx="352">
                  <c:v>408.31200000000001</c:v>
                </c:pt>
                <c:pt idx="353">
                  <c:v>408.31200000000001</c:v>
                </c:pt>
                <c:pt idx="354">
                  <c:v>387.00799999999998</c:v>
                </c:pt>
                <c:pt idx="355">
                  <c:v>359.23899999999998</c:v>
                </c:pt>
                <c:pt idx="356">
                  <c:v>357.31299999999999</c:v>
                </c:pt>
                <c:pt idx="357">
                  <c:v>363.13600000000002</c:v>
                </c:pt>
                <c:pt idx="358">
                  <c:v>346.72500000000002</c:v>
                </c:pt>
                <c:pt idx="359">
                  <c:v>319.642</c:v>
                </c:pt>
                <c:pt idx="360">
                  <c:v>316.59800000000001</c:v>
                </c:pt>
                <c:pt idx="361">
                  <c:v>311.12799999999999</c:v>
                </c:pt>
                <c:pt idx="362">
                  <c:v>301.82100000000003</c:v>
                </c:pt>
                <c:pt idx="363">
                  <c:v>302.47899999999998</c:v>
                </c:pt>
                <c:pt idx="364">
                  <c:v>302.47899999999998</c:v>
                </c:pt>
                <c:pt idx="365">
                  <c:v>289.82799999999997</c:v>
                </c:pt>
                <c:pt idx="366">
                  <c:v>283.81700000000001</c:v>
                </c:pt>
                <c:pt idx="367">
                  <c:v>282.03800000000001</c:v>
                </c:pt>
                <c:pt idx="368">
                  <c:v>288.47699999999998</c:v>
                </c:pt>
                <c:pt idx="369">
                  <c:v>287.41699999999997</c:v>
                </c:pt>
                <c:pt idx="370">
                  <c:v>278.94499999999999</c:v>
                </c:pt>
                <c:pt idx="371">
                  <c:v>260.09199999999998</c:v>
                </c:pt>
                <c:pt idx="372">
                  <c:v>255.43299999999999</c:v>
                </c:pt>
                <c:pt idx="373">
                  <c:v>233.19200000000001</c:v>
                </c:pt>
                <c:pt idx="374">
                  <c:v>228.928</c:v>
                </c:pt>
                <c:pt idx="375">
                  <c:v>232.071</c:v>
                </c:pt>
                <c:pt idx="376">
                  <c:v>233.88800000000001</c:v>
                </c:pt>
                <c:pt idx="377">
                  <c:v>252.63300000000001</c:v>
                </c:pt>
                <c:pt idx="378">
                  <c:v>252.322</c:v>
                </c:pt>
                <c:pt idx="379">
                  <c:v>279.67599999999999</c:v>
                </c:pt>
                <c:pt idx="380">
                  <c:v>260.01600000000002</c:v>
                </c:pt>
                <c:pt idx="381">
                  <c:v>269.37299999999999</c:v>
                </c:pt>
                <c:pt idx="382">
                  <c:v>268.14999999999998</c:v>
                </c:pt>
                <c:pt idx="383">
                  <c:v>269.19600000000003</c:v>
                </c:pt>
                <c:pt idx="384">
                  <c:v>267.98899999999998</c:v>
                </c:pt>
                <c:pt idx="385">
                  <c:v>247.91800000000001</c:v>
                </c:pt>
                <c:pt idx="386">
                  <c:v>248.84899999999999</c:v>
                </c:pt>
                <c:pt idx="387">
                  <c:v>252.53</c:v>
                </c:pt>
                <c:pt idx="388">
                  <c:v>260.08499999999998</c:v>
                </c:pt>
                <c:pt idx="389">
                  <c:v>260.81</c:v>
                </c:pt>
                <c:pt idx="390">
                  <c:v>253.078</c:v>
                </c:pt>
                <c:pt idx="391">
                  <c:v>252.06</c:v>
                </c:pt>
                <c:pt idx="392">
                  <c:v>244.245</c:v>
                </c:pt>
                <c:pt idx="393">
                  <c:v>251.49</c:v>
                </c:pt>
                <c:pt idx="394">
                  <c:v>240.083</c:v>
                </c:pt>
                <c:pt idx="395">
                  <c:v>245.374</c:v>
                </c:pt>
                <c:pt idx="396">
                  <c:v>243.17</c:v>
                </c:pt>
                <c:pt idx="397">
                  <c:v>238.96700000000001</c:v>
                </c:pt>
                <c:pt idx="398">
                  <c:v>237.114</c:v>
                </c:pt>
                <c:pt idx="399">
                  <c:v>244.82900000000001</c:v>
                </c:pt>
                <c:pt idx="400">
                  <c:v>231.27199999999999</c:v>
                </c:pt>
                <c:pt idx="401">
                  <c:v>230.488</c:v>
                </c:pt>
                <c:pt idx="402">
                  <c:v>230.148</c:v>
                </c:pt>
                <c:pt idx="403">
                  <c:v>228.41</c:v>
                </c:pt>
                <c:pt idx="404">
                  <c:v>228.483</c:v>
                </c:pt>
                <c:pt idx="405">
                  <c:v>225.50700000000001</c:v>
                </c:pt>
                <c:pt idx="406">
                  <c:v>222.11199999999999</c:v>
                </c:pt>
                <c:pt idx="407">
                  <c:v>222.44800000000001</c:v>
                </c:pt>
                <c:pt idx="408">
                  <c:v>221.68299999999999</c:v>
                </c:pt>
                <c:pt idx="409">
                  <c:v>219.55600000000001</c:v>
                </c:pt>
                <c:pt idx="410">
                  <c:v>221.63499999999999</c:v>
                </c:pt>
                <c:pt idx="411">
                  <c:v>220.035</c:v>
                </c:pt>
                <c:pt idx="412">
                  <c:v>219.38200000000001</c:v>
                </c:pt>
                <c:pt idx="413">
                  <c:v>215.73599999999999</c:v>
                </c:pt>
                <c:pt idx="414">
                  <c:v>211.46700000000001</c:v>
                </c:pt>
                <c:pt idx="415">
                  <c:v>203.44499999999999</c:v>
                </c:pt>
                <c:pt idx="416">
                  <c:v>191.197</c:v>
                </c:pt>
                <c:pt idx="417">
                  <c:v>189.79</c:v>
                </c:pt>
                <c:pt idx="418">
                  <c:v>183.226</c:v>
                </c:pt>
                <c:pt idx="419">
                  <c:v>173.03899999999999</c:v>
                </c:pt>
                <c:pt idx="420">
                  <c:v>168.363</c:v>
                </c:pt>
                <c:pt idx="421">
                  <c:v>169.44200000000001</c:v>
                </c:pt>
                <c:pt idx="422">
                  <c:v>164.637</c:v>
                </c:pt>
                <c:pt idx="423">
                  <c:v>166.227</c:v>
                </c:pt>
                <c:pt idx="424">
                  <c:v>168.93600000000001</c:v>
                </c:pt>
                <c:pt idx="425">
                  <c:v>166.429</c:v>
                </c:pt>
                <c:pt idx="426">
                  <c:v>176.602</c:v>
                </c:pt>
                <c:pt idx="427">
                  <c:v>180.23099999999999</c:v>
                </c:pt>
                <c:pt idx="428">
                  <c:v>177.42400000000001</c:v>
                </c:pt>
                <c:pt idx="429">
                  <c:v>176.63800000000001</c:v>
                </c:pt>
                <c:pt idx="430">
                  <c:v>174.20400000000001</c:v>
                </c:pt>
                <c:pt idx="431">
                  <c:v>180.565</c:v>
                </c:pt>
                <c:pt idx="432">
                  <c:v>179.458</c:v>
                </c:pt>
                <c:pt idx="433">
                  <c:v>186.77199999999999</c:v>
                </c:pt>
                <c:pt idx="434">
                  <c:v>186.77199999999999</c:v>
                </c:pt>
                <c:pt idx="435">
                  <c:v>180.66399999999999</c:v>
                </c:pt>
                <c:pt idx="436">
                  <c:v>177.68700000000001</c:v>
                </c:pt>
                <c:pt idx="437">
                  <c:v>176.917</c:v>
                </c:pt>
                <c:pt idx="438">
                  <c:v>175.684</c:v>
                </c:pt>
                <c:pt idx="439">
                  <c:v>177.86</c:v>
                </c:pt>
                <c:pt idx="440">
                  <c:v>185.43899999999999</c:v>
                </c:pt>
                <c:pt idx="441">
                  <c:v>188.803</c:v>
                </c:pt>
                <c:pt idx="442">
                  <c:v>187.42099999999999</c:v>
                </c:pt>
                <c:pt idx="443">
                  <c:v>192.78</c:v>
                </c:pt>
                <c:pt idx="444">
                  <c:v>193.65</c:v>
                </c:pt>
                <c:pt idx="445">
                  <c:v>191.68600000000001</c:v>
                </c:pt>
                <c:pt idx="446">
                  <c:v>190.42099999999999</c:v>
                </c:pt>
                <c:pt idx="447">
                  <c:v>195.173</c:v>
                </c:pt>
                <c:pt idx="448">
                  <c:v>193.82400000000001</c:v>
                </c:pt>
                <c:pt idx="449">
                  <c:v>210.732</c:v>
                </c:pt>
                <c:pt idx="450">
                  <c:v>219.19200000000001</c:v>
                </c:pt>
                <c:pt idx="451">
                  <c:v>235.38399999999999</c:v>
                </c:pt>
                <c:pt idx="452">
                  <c:v>250.07400000000001</c:v>
                </c:pt>
                <c:pt idx="453">
                  <c:v>257.452</c:v>
                </c:pt>
                <c:pt idx="454">
                  <c:v>280.98099999999999</c:v>
                </c:pt>
                <c:pt idx="455">
                  <c:v>302.17899999999997</c:v>
                </c:pt>
                <c:pt idx="456">
                  <c:v>285.65199999999999</c:v>
                </c:pt>
                <c:pt idx="457">
                  <c:v>273.90899999999999</c:v>
                </c:pt>
                <c:pt idx="458">
                  <c:v>270.68700000000001</c:v>
                </c:pt>
                <c:pt idx="459">
                  <c:v>268.52499999999998</c:v>
                </c:pt>
                <c:pt idx="460">
                  <c:v>263.13499999999999</c:v>
                </c:pt>
                <c:pt idx="461">
                  <c:v>256.70499999999998</c:v>
                </c:pt>
                <c:pt idx="462">
                  <c:v>246.364</c:v>
                </c:pt>
                <c:pt idx="463">
                  <c:v>224.87899999999999</c:v>
                </c:pt>
                <c:pt idx="464">
                  <c:v>227.345</c:v>
                </c:pt>
                <c:pt idx="465">
                  <c:v>225.20400000000001</c:v>
                </c:pt>
                <c:pt idx="466">
                  <c:v>230.363</c:v>
                </c:pt>
                <c:pt idx="467">
                  <c:v>245.149</c:v>
                </c:pt>
                <c:pt idx="468">
                  <c:v>242.386</c:v>
                </c:pt>
                <c:pt idx="469">
                  <c:v>247.82</c:v>
                </c:pt>
                <c:pt idx="470">
                  <c:v>245.37700000000001</c:v>
                </c:pt>
                <c:pt idx="471">
                  <c:v>245.12700000000001</c:v>
                </c:pt>
                <c:pt idx="472">
                  <c:v>263.75700000000001</c:v>
                </c:pt>
                <c:pt idx="473">
                  <c:v>266.07499999999999</c:v>
                </c:pt>
                <c:pt idx="474">
                  <c:v>267.75799999999998</c:v>
                </c:pt>
                <c:pt idx="475">
                  <c:v>271.61799999999999</c:v>
                </c:pt>
                <c:pt idx="476">
                  <c:v>274.31700000000001</c:v>
                </c:pt>
                <c:pt idx="477">
                  <c:v>262.85300000000001</c:v>
                </c:pt>
                <c:pt idx="478">
                  <c:v>252.34899999999999</c:v>
                </c:pt>
                <c:pt idx="479">
                  <c:v>262.459</c:v>
                </c:pt>
                <c:pt idx="480">
                  <c:v>245.71700000000001</c:v>
                </c:pt>
                <c:pt idx="481">
                  <c:v>236.083</c:v>
                </c:pt>
                <c:pt idx="482">
                  <c:v>236.87299999999999</c:v>
                </c:pt>
                <c:pt idx="483">
                  <c:v>214.755</c:v>
                </c:pt>
                <c:pt idx="484">
                  <c:v>203.542</c:v>
                </c:pt>
                <c:pt idx="485">
                  <c:v>185.86199999999999</c:v>
                </c:pt>
                <c:pt idx="486">
                  <c:v>175.38399999999999</c:v>
                </c:pt>
                <c:pt idx="487">
                  <c:v>167.81100000000001</c:v>
                </c:pt>
                <c:pt idx="488">
                  <c:v>169.06</c:v>
                </c:pt>
                <c:pt idx="489">
                  <c:v>168.60499999999999</c:v>
                </c:pt>
                <c:pt idx="490">
                  <c:v>171.10599999999999</c:v>
                </c:pt>
                <c:pt idx="491">
                  <c:v>171.77500000000001</c:v>
                </c:pt>
                <c:pt idx="492">
                  <c:v>170.482</c:v>
                </c:pt>
                <c:pt idx="493">
                  <c:v>172.548</c:v>
                </c:pt>
                <c:pt idx="494">
                  <c:v>164.036</c:v>
                </c:pt>
                <c:pt idx="495">
                  <c:v>163.00299999999999</c:v>
                </c:pt>
                <c:pt idx="496">
                  <c:v>161.98099999999999</c:v>
                </c:pt>
                <c:pt idx="497">
                  <c:v>162.102</c:v>
                </c:pt>
                <c:pt idx="498">
                  <c:v>162.423</c:v>
                </c:pt>
                <c:pt idx="499">
                  <c:v>156.41399999999999</c:v>
                </c:pt>
                <c:pt idx="500">
                  <c:v>148.38999999999999</c:v>
                </c:pt>
                <c:pt idx="501">
                  <c:v>145.29</c:v>
                </c:pt>
                <c:pt idx="502">
                  <c:v>132.452</c:v>
                </c:pt>
                <c:pt idx="503">
                  <c:v>139.51499999999999</c:v>
                </c:pt>
                <c:pt idx="504">
                  <c:v>144.74600000000001</c:v>
                </c:pt>
                <c:pt idx="505">
                  <c:v>145.523</c:v>
                </c:pt>
                <c:pt idx="506">
                  <c:v>146.15199999999999</c:v>
                </c:pt>
                <c:pt idx="507">
                  <c:v>146.608</c:v>
                </c:pt>
                <c:pt idx="508">
                  <c:v>154.642</c:v>
                </c:pt>
                <c:pt idx="509">
                  <c:v>144.08699999999999</c:v>
                </c:pt>
                <c:pt idx="510">
                  <c:v>159.79499999999999</c:v>
                </c:pt>
                <c:pt idx="511">
                  <c:v>151.44</c:v>
                </c:pt>
                <c:pt idx="512">
                  <c:v>140.31899999999999</c:v>
                </c:pt>
                <c:pt idx="513">
                  <c:v>141.17400000000001</c:v>
                </c:pt>
                <c:pt idx="514">
                  <c:v>135.97499999999999</c:v>
                </c:pt>
                <c:pt idx="515">
                  <c:v>141.39699999999999</c:v>
                </c:pt>
                <c:pt idx="516">
                  <c:v>138.36500000000001</c:v>
                </c:pt>
                <c:pt idx="517">
                  <c:v>145.16</c:v>
                </c:pt>
                <c:pt idx="518">
                  <c:v>145.16</c:v>
                </c:pt>
                <c:pt idx="519">
                  <c:v>145.16</c:v>
                </c:pt>
                <c:pt idx="520">
                  <c:v>137.03700000000001</c:v>
                </c:pt>
                <c:pt idx="521">
                  <c:v>132.27500000000001</c:v>
                </c:pt>
                <c:pt idx="522">
                  <c:v>137.71299999999999</c:v>
                </c:pt>
                <c:pt idx="523">
                  <c:v>137.71299999999999</c:v>
                </c:pt>
                <c:pt idx="524">
                  <c:v>137.244</c:v>
                </c:pt>
                <c:pt idx="525">
                  <c:v>138.65</c:v>
                </c:pt>
                <c:pt idx="526">
                  <c:v>138.71899999999999</c:v>
                </c:pt>
                <c:pt idx="527">
                  <c:v>143.08500000000001</c:v>
                </c:pt>
                <c:pt idx="528">
                  <c:v>134.30799999999999</c:v>
                </c:pt>
                <c:pt idx="529">
                  <c:v>139.51400000000001</c:v>
                </c:pt>
                <c:pt idx="530">
                  <c:v>144.833</c:v>
                </c:pt>
                <c:pt idx="531">
                  <c:v>140.16</c:v>
                </c:pt>
                <c:pt idx="532">
                  <c:v>127.758</c:v>
                </c:pt>
                <c:pt idx="533">
                  <c:v>137.328</c:v>
                </c:pt>
                <c:pt idx="534">
                  <c:v>141.36799999999999</c:v>
                </c:pt>
                <c:pt idx="535">
                  <c:v>140.321</c:v>
                </c:pt>
                <c:pt idx="536">
                  <c:v>140.90299999999999</c:v>
                </c:pt>
                <c:pt idx="537">
                  <c:v>142.119</c:v>
                </c:pt>
                <c:pt idx="538">
                  <c:v>146.18100000000001</c:v>
                </c:pt>
                <c:pt idx="539">
                  <c:v>149.66800000000001</c:v>
                </c:pt>
                <c:pt idx="540">
                  <c:v>147.53200000000001</c:v>
                </c:pt>
                <c:pt idx="541">
                  <c:v>133.90199999999999</c:v>
                </c:pt>
                <c:pt idx="542">
                  <c:v>134.87200000000001</c:v>
                </c:pt>
                <c:pt idx="543">
                  <c:v>132.922</c:v>
                </c:pt>
                <c:pt idx="544">
                  <c:v>125.46899999999999</c:v>
                </c:pt>
                <c:pt idx="545">
                  <c:v>118.133</c:v>
                </c:pt>
                <c:pt idx="546">
                  <c:v>119.20699999999999</c:v>
                </c:pt>
                <c:pt idx="547">
                  <c:v>115.10299999999999</c:v>
                </c:pt>
                <c:pt idx="548">
                  <c:v>116.705</c:v>
                </c:pt>
                <c:pt idx="549">
                  <c:v>115.658</c:v>
                </c:pt>
                <c:pt idx="550">
                  <c:v>115.759</c:v>
                </c:pt>
                <c:pt idx="551">
                  <c:v>119.33199999999999</c:v>
                </c:pt>
                <c:pt idx="552">
                  <c:v>117.301</c:v>
                </c:pt>
                <c:pt idx="553">
                  <c:v>122.282</c:v>
                </c:pt>
                <c:pt idx="554">
                  <c:v>132.96</c:v>
                </c:pt>
                <c:pt idx="555">
                  <c:v>139.297</c:v>
                </c:pt>
                <c:pt idx="556">
                  <c:v>145.02500000000001</c:v>
                </c:pt>
                <c:pt idx="557">
                  <c:v>134.482</c:v>
                </c:pt>
                <c:pt idx="558">
                  <c:v>127.386</c:v>
                </c:pt>
                <c:pt idx="559">
                  <c:v>132.982</c:v>
                </c:pt>
                <c:pt idx="560">
                  <c:v>134.834</c:v>
                </c:pt>
                <c:pt idx="561">
                  <c:v>127.81</c:v>
                </c:pt>
                <c:pt idx="562">
                  <c:v>128.792</c:v>
                </c:pt>
                <c:pt idx="563">
                  <c:v>138.92599999999999</c:v>
                </c:pt>
                <c:pt idx="564">
                  <c:v>126.735</c:v>
                </c:pt>
                <c:pt idx="565">
                  <c:v>114.627</c:v>
                </c:pt>
                <c:pt idx="566">
                  <c:v>116.22499999999999</c:v>
                </c:pt>
                <c:pt idx="567">
                  <c:v>114.768</c:v>
                </c:pt>
                <c:pt idx="568">
                  <c:v>110.358</c:v>
                </c:pt>
                <c:pt idx="569">
                  <c:v>136.999</c:v>
                </c:pt>
                <c:pt idx="570">
                  <c:v>116.221</c:v>
                </c:pt>
                <c:pt idx="571">
                  <c:v>117.53700000000001</c:v>
                </c:pt>
                <c:pt idx="572">
                  <c:v>116.51</c:v>
                </c:pt>
                <c:pt idx="573">
                  <c:v>124.70399999999999</c:v>
                </c:pt>
                <c:pt idx="574">
                  <c:v>119.206</c:v>
                </c:pt>
                <c:pt idx="575">
                  <c:v>112.697</c:v>
                </c:pt>
                <c:pt idx="576">
                  <c:v>122.935</c:v>
                </c:pt>
                <c:pt idx="577">
                  <c:v>128.80199999999999</c:v>
                </c:pt>
                <c:pt idx="578">
                  <c:v>127.845</c:v>
                </c:pt>
                <c:pt idx="579">
                  <c:v>120.279</c:v>
                </c:pt>
                <c:pt idx="580">
                  <c:v>126.91</c:v>
                </c:pt>
                <c:pt idx="581">
                  <c:v>128.80699999999999</c:v>
                </c:pt>
                <c:pt idx="582">
                  <c:v>128.21</c:v>
                </c:pt>
                <c:pt idx="583">
                  <c:v>133.22999999999999</c:v>
                </c:pt>
                <c:pt idx="584">
                  <c:v>127.89400000000001</c:v>
                </c:pt>
                <c:pt idx="585">
                  <c:v>141.55199999999999</c:v>
                </c:pt>
                <c:pt idx="586">
                  <c:v>127.47499999999999</c:v>
                </c:pt>
                <c:pt idx="587">
                  <c:v>125.733</c:v>
                </c:pt>
                <c:pt idx="588">
                  <c:v>125.733</c:v>
                </c:pt>
                <c:pt idx="589">
                  <c:v>125.733</c:v>
                </c:pt>
                <c:pt idx="590">
                  <c:v>126.601</c:v>
                </c:pt>
                <c:pt idx="591">
                  <c:v>125.254</c:v>
                </c:pt>
                <c:pt idx="592">
                  <c:v>125.78100000000001</c:v>
                </c:pt>
                <c:pt idx="593">
                  <c:v>124.497</c:v>
                </c:pt>
                <c:pt idx="594">
                  <c:v>127.877</c:v>
                </c:pt>
                <c:pt idx="595">
                  <c:v>127.89400000000001</c:v>
                </c:pt>
                <c:pt idx="596">
                  <c:v>127.114</c:v>
                </c:pt>
                <c:pt idx="597">
                  <c:v>116.69799999999999</c:v>
                </c:pt>
                <c:pt idx="598">
                  <c:v>105.111</c:v>
                </c:pt>
                <c:pt idx="599">
                  <c:v>109.845</c:v>
                </c:pt>
                <c:pt idx="600">
                  <c:v>109.58499999999999</c:v>
                </c:pt>
                <c:pt idx="601">
                  <c:v>117.226</c:v>
                </c:pt>
                <c:pt idx="602">
                  <c:v>106</c:v>
                </c:pt>
                <c:pt idx="603">
                  <c:v>104.658</c:v>
                </c:pt>
                <c:pt idx="604">
                  <c:v>104.88500000000001</c:v>
                </c:pt>
                <c:pt idx="605">
                  <c:v>107.289</c:v>
                </c:pt>
                <c:pt idx="606">
                  <c:v>109.837</c:v>
                </c:pt>
                <c:pt idx="607">
                  <c:v>110.369</c:v>
                </c:pt>
                <c:pt idx="608">
                  <c:v>115.244</c:v>
                </c:pt>
                <c:pt idx="609">
                  <c:v>115.244</c:v>
                </c:pt>
                <c:pt idx="610">
                  <c:v>114.63500000000001</c:v>
                </c:pt>
                <c:pt idx="611">
                  <c:v>113.994</c:v>
                </c:pt>
                <c:pt idx="612">
                  <c:v>109.48099999999999</c:v>
                </c:pt>
                <c:pt idx="613">
                  <c:v>108.283</c:v>
                </c:pt>
                <c:pt idx="614">
                  <c:v>105.95</c:v>
                </c:pt>
                <c:pt idx="615">
                  <c:v>105.41500000000001</c:v>
                </c:pt>
                <c:pt idx="616">
                  <c:v>112.524</c:v>
                </c:pt>
                <c:pt idx="617">
                  <c:v>125.574</c:v>
                </c:pt>
                <c:pt idx="618">
                  <c:v>121.01600000000001</c:v>
                </c:pt>
                <c:pt idx="619">
                  <c:v>123.496</c:v>
                </c:pt>
                <c:pt idx="620">
                  <c:v>128.09200000000001</c:v>
                </c:pt>
                <c:pt idx="621">
                  <c:v>132.93700000000001</c:v>
                </c:pt>
                <c:pt idx="622">
                  <c:v>120.28400000000001</c:v>
                </c:pt>
                <c:pt idx="623">
                  <c:v>121.60299999999999</c:v>
                </c:pt>
              </c:numCache>
            </c:numRef>
          </c:val>
          <c:smooth val="0"/>
          <c:extLst>
            <c:ext xmlns:c16="http://schemas.microsoft.com/office/drawing/2014/chart" uri="{C3380CC4-5D6E-409C-BE32-E72D297353CC}">
              <c16:uniqueId val="{00000004-4EEE-436B-AFC1-C498D6096249}"/>
            </c:ext>
          </c:extLst>
        </c:ser>
        <c:ser>
          <c:idx val="5"/>
          <c:order val="5"/>
          <c:tx>
            <c:strRef>
              <c:f>Sheet1!$G$1</c:f>
              <c:strCache>
                <c:ptCount val="1"/>
                <c:pt idx="0">
                  <c:v>Բելառուս (2023թ.)</c:v>
                </c:pt>
              </c:strCache>
            </c:strRef>
          </c:tx>
          <c:spPr>
            <a:ln w="28575" cap="rnd">
              <a:solidFill>
                <a:schemeClr val="accent3">
                  <a:lumMod val="50000"/>
                </a:schemeClr>
              </a:solidFill>
              <a:round/>
            </a:ln>
            <a:effectLst/>
          </c:spPr>
          <c:marker>
            <c:symbol val="none"/>
          </c:marker>
          <c:cat>
            <c:numRef>
              <c:f>Sheet1!$A$2:$A$625</c:f>
              <c:numCache>
                <c:formatCode>m\/d\/yyyy</c:formatCode>
                <c:ptCount val="624"/>
                <c:pt idx="0">
                  <c:v>43466</c:v>
                </c:pt>
                <c:pt idx="1">
                  <c:v>43467</c:v>
                </c:pt>
                <c:pt idx="2">
                  <c:v>43468</c:v>
                </c:pt>
                <c:pt idx="3">
                  <c:v>43469</c:v>
                </c:pt>
                <c:pt idx="4">
                  <c:v>43472</c:v>
                </c:pt>
                <c:pt idx="5">
                  <c:v>43473</c:v>
                </c:pt>
                <c:pt idx="6">
                  <c:v>43474</c:v>
                </c:pt>
                <c:pt idx="7">
                  <c:v>43475</c:v>
                </c:pt>
                <c:pt idx="8">
                  <c:v>43476</c:v>
                </c:pt>
                <c:pt idx="9">
                  <c:v>43479</c:v>
                </c:pt>
                <c:pt idx="10">
                  <c:v>43480</c:v>
                </c:pt>
                <c:pt idx="11">
                  <c:v>43481</c:v>
                </c:pt>
                <c:pt idx="12">
                  <c:v>43482</c:v>
                </c:pt>
                <c:pt idx="13">
                  <c:v>43483</c:v>
                </c:pt>
                <c:pt idx="14">
                  <c:v>43486</c:v>
                </c:pt>
                <c:pt idx="15">
                  <c:v>43487</c:v>
                </c:pt>
                <c:pt idx="16">
                  <c:v>43488</c:v>
                </c:pt>
                <c:pt idx="17">
                  <c:v>43489</c:v>
                </c:pt>
                <c:pt idx="18">
                  <c:v>43490</c:v>
                </c:pt>
                <c:pt idx="19">
                  <c:v>43493</c:v>
                </c:pt>
                <c:pt idx="20">
                  <c:v>43494</c:v>
                </c:pt>
                <c:pt idx="21">
                  <c:v>43495</c:v>
                </c:pt>
                <c:pt idx="22">
                  <c:v>43496</c:v>
                </c:pt>
                <c:pt idx="23">
                  <c:v>43497</c:v>
                </c:pt>
                <c:pt idx="24">
                  <c:v>43500</c:v>
                </c:pt>
                <c:pt idx="25">
                  <c:v>43501</c:v>
                </c:pt>
                <c:pt idx="26">
                  <c:v>43502</c:v>
                </c:pt>
                <c:pt idx="27">
                  <c:v>43503</c:v>
                </c:pt>
                <c:pt idx="28">
                  <c:v>43504</c:v>
                </c:pt>
                <c:pt idx="29">
                  <c:v>43507</c:v>
                </c:pt>
                <c:pt idx="30">
                  <c:v>43508</c:v>
                </c:pt>
                <c:pt idx="31">
                  <c:v>43509</c:v>
                </c:pt>
                <c:pt idx="32">
                  <c:v>43510</c:v>
                </c:pt>
                <c:pt idx="33">
                  <c:v>43511</c:v>
                </c:pt>
                <c:pt idx="34">
                  <c:v>43514</c:v>
                </c:pt>
                <c:pt idx="35">
                  <c:v>43515</c:v>
                </c:pt>
                <c:pt idx="36">
                  <c:v>43516</c:v>
                </c:pt>
                <c:pt idx="37">
                  <c:v>43517</c:v>
                </c:pt>
                <c:pt idx="38">
                  <c:v>43518</c:v>
                </c:pt>
                <c:pt idx="39">
                  <c:v>43521</c:v>
                </c:pt>
                <c:pt idx="40">
                  <c:v>43522</c:v>
                </c:pt>
                <c:pt idx="41">
                  <c:v>43523</c:v>
                </c:pt>
                <c:pt idx="42">
                  <c:v>43524</c:v>
                </c:pt>
                <c:pt idx="43">
                  <c:v>43525</c:v>
                </c:pt>
                <c:pt idx="44">
                  <c:v>43528</c:v>
                </c:pt>
                <c:pt idx="45">
                  <c:v>43529</c:v>
                </c:pt>
                <c:pt idx="46">
                  <c:v>43530</c:v>
                </c:pt>
                <c:pt idx="47">
                  <c:v>43531</c:v>
                </c:pt>
                <c:pt idx="48">
                  <c:v>43532</c:v>
                </c:pt>
                <c:pt idx="49">
                  <c:v>43535</c:v>
                </c:pt>
                <c:pt idx="50">
                  <c:v>43536</c:v>
                </c:pt>
                <c:pt idx="51">
                  <c:v>43537</c:v>
                </c:pt>
                <c:pt idx="52">
                  <c:v>43538</c:v>
                </c:pt>
                <c:pt idx="53">
                  <c:v>43539</c:v>
                </c:pt>
                <c:pt idx="54">
                  <c:v>43542</c:v>
                </c:pt>
                <c:pt idx="55">
                  <c:v>43543</c:v>
                </c:pt>
                <c:pt idx="56">
                  <c:v>43544</c:v>
                </c:pt>
                <c:pt idx="57">
                  <c:v>43545</c:v>
                </c:pt>
                <c:pt idx="58">
                  <c:v>43546</c:v>
                </c:pt>
                <c:pt idx="59">
                  <c:v>43549</c:v>
                </c:pt>
                <c:pt idx="60">
                  <c:v>43550</c:v>
                </c:pt>
                <c:pt idx="61">
                  <c:v>43551</c:v>
                </c:pt>
                <c:pt idx="62">
                  <c:v>43552</c:v>
                </c:pt>
                <c:pt idx="63">
                  <c:v>43553</c:v>
                </c:pt>
                <c:pt idx="64">
                  <c:v>43556</c:v>
                </c:pt>
                <c:pt idx="65">
                  <c:v>43557</c:v>
                </c:pt>
                <c:pt idx="66">
                  <c:v>43558</c:v>
                </c:pt>
                <c:pt idx="67">
                  <c:v>43559</c:v>
                </c:pt>
                <c:pt idx="68">
                  <c:v>43560</c:v>
                </c:pt>
                <c:pt idx="69">
                  <c:v>43563</c:v>
                </c:pt>
                <c:pt idx="70">
                  <c:v>43564</c:v>
                </c:pt>
                <c:pt idx="71">
                  <c:v>43565</c:v>
                </c:pt>
                <c:pt idx="72">
                  <c:v>43566</c:v>
                </c:pt>
                <c:pt idx="73">
                  <c:v>43567</c:v>
                </c:pt>
                <c:pt idx="74">
                  <c:v>43570</c:v>
                </c:pt>
                <c:pt idx="75">
                  <c:v>43571</c:v>
                </c:pt>
                <c:pt idx="76">
                  <c:v>43572</c:v>
                </c:pt>
                <c:pt idx="77">
                  <c:v>43573</c:v>
                </c:pt>
                <c:pt idx="78">
                  <c:v>43574</c:v>
                </c:pt>
                <c:pt idx="79">
                  <c:v>43577</c:v>
                </c:pt>
                <c:pt idx="80">
                  <c:v>43578</c:v>
                </c:pt>
                <c:pt idx="81">
                  <c:v>43579</c:v>
                </c:pt>
                <c:pt idx="82">
                  <c:v>43580</c:v>
                </c:pt>
                <c:pt idx="83">
                  <c:v>43581</c:v>
                </c:pt>
                <c:pt idx="84">
                  <c:v>43584</c:v>
                </c:pt>
                <c:pt idx="85">
                  <c:v>43585</c:v>
                </c:pt>
                <c:pt idx="86">
                  <c:v>43586</c:v>
                </c:pt>
                <c:pt idx="87">
                  <c:v>43587</c:v>
                </c:pt>
                <c:pt idx="88">
                  <c:v>43588</c:v>
                </c:pt>
                <c:pt idx="89">
                  <c:v>43591</c:v>
                </c:pt>
                <c:pt idx="90">
                  <c:v>43592</c:v>
                </c:pt>
                <c:pt idx="91">
                  <c:v>43593</c:v>
                </c:pt>
                <c:pt idx="92">
                  <c:v>43594</c:v>
                </c:pt>
                <c:pt idx="93">
                  <c:v>43595</c:v>
                </c:pt>
                <c:pt idx="94">
                  <c:v>43598</c:v>
                </c:pt>
                <c:pt idx="95">
                  <c:v>43599</c:v>
                </c:pt>
                <c:pt idx="96">
                  <c:v>43600</c:v>
                </c:pt>
                <c:pt idx="97">
                  <c:v>43601</c:v>
                </c:pt>
                <c:pt idx="98">
                  <c:v>43602</c:v>
                </c:pt>
                <c:pt idx="99">
                  <c:v>43605</c:v>
                </c:pt>
                <c:pt idx="100">
                  <c:v>43606</c:v>
                </c:pt>
                <c:pt idx="101">
                  <c:v>43607</c:v>
                </c:pt>
                <c:pt idx="102">
                  <c:v>43608</c:v>
                </c:pt>
                <c:pt idx="103">
                  <c:v>43609</c:v>
                </c:pt>
                <c:pt idx="104">
                  <c:v>43612</c:v>
                </c:pt>
                <c:pt idx="105">
                  <c:v>43613</c:v>
                </c:pt>
                <c:pt idx="106">
                  <c:v>43614</c:v>
                </c:pt>
                <c:pt idx="107">
                  <c:v>43615</c:v>
                </c:pt>
                <c:pt idx="108">
                  <c:v>43616</c:v>
                </c:pt>
                <c:pt idx="109">
                  <c:v>43619</c:v>
                </c:pt>
                <c:pt idx="110">
                  <c:v>43620</c:v>
                </c:pt>
                <c:pt idx="111">
                  <c:v>43621</c:v>
                </c:pt>
                <c:pt idx="112">
                  <c:v>43622</c:v>
                </c:pt>
                <c:pt idx="113">
                  <c:v>43623</c:v>
                </c:pt>
                <c:pt idx="114">
                  <c:v>43626</c:v>
                </c:pt>
                <c:pt idx="115">
                  <c:v>43627</c:v>
                </c:pt>
                <c:pt idx="116">
                  <c:v>43628</c:v>
                </c:pt>
                <c:pt idx="117">
                  <c:v>43629</c:v>
                </c:pt>
                <c:pt idx="118">
                  <c:v>43630</c:v>
                </c:pt>
                <c:pt idx="119">
                  <c:v>43633</c:v>
                </c:pt>
                <c:pt idx="120">
                  <c:v>43634</c:v>
                </c:pt>
                <c:pt idx="121">
                  <c:v>43635</c:v>
                </c:pt>
                <c:pt idx="122">
                  <c:v>43636</c:v>
                </c:pt>
                <c:pt idx="123">
                  <c:v>43637</c:v>
                </c:pt>
                <c:pt idx="124">
                  <c:v>43640</c:v>
                </c:pt>
                <c:pt idx="125">
                  <c:v>43641</c:v>
                </c:pt>
                <c:pt idx="126">
                  <c:v>43642</c:v>
                </c:pt>
                <c:pt idx="127">
                  <c:v>43643</c:v>
                </c:pt>
                <c:pt idx="128">
                  <c:v>43644</c:v>
                </c:pt>
                <c:pt idx="129">
                  <c:v>43647</c:v>
                </c:pt>
                <c:pt idx="130">
                  <c:v>43648</c:v>
                </c:pt>
                <c:pt idx="131">
                  <c:v>43649</c:v>
                </c:pt>
                <c:pt idx="132">
                  <c:v>43650</c:v>
                </c:pt>
                <c:pt idx="133">
                  <c:v>43651</c:v>
                </c:pt>
                <c:pt idx="134">
                  <c:v>43654</c:v>
                </c:pt>
                <c:pt idx="135">
                  <c:v>43655</c:v>
                </c:pt>
                <c:pt idx="136">
                  <c:v>43656</c:v>
                </c:pt>
                <c:pt idx="137">
                  <c:v>43657</c:v>
                </c:pt>
                <c:pt idx="138">
                  <c:v>43658</c:v>
                </c:pt>
                <c:pt idx="139">
                  <c:v>43661</c:v>
                </c:pt>
                <c:pt idx="140">
                  <c:v>43662</c:v>
                </c:pt>
                <c:pt idx="141">
                  <c:v>43663</c:v>
                </c:pt>
                <c:pt idx="142">
                  <c:v>43664</c:v>
                </c:pt>
                <c:pt idx="143">
                  <c:v>43665</c:v>
                </c:pt>
                <c:pt idx="144">
                  <c:v>43668</c:v>
                </c:pt>
                <c:pt idx="145">
                  <c:v>43669</c:v>
                </c:pt>
                <c:pt idx="146">
                  <c:v>43670</c:v>
                </c:pt>
                <c:pt idx="147">
                  <c:v>43671</c:v>
                </c:pt>
                <c:pt idx="148">
                  <c:v>43672</c:v>
                </c:pt>
                <c:pt idx="149">
                  <c:v>43675</c:v>
                </c:pt>
                <c:pt idx="150">
                  <c:v>43676</c:v>
                </c:pt>
                <c:pt idx="151">
                  <c:v>43677</c:v>
                </c:pt>
                <c:pt idx="152">
                  <c:v>43678</c:v>
                </c:pt>
                <c:pt idx="153">
                  <c:v>43679</c:v>
                </c:pt>
                <c:pt idx="154">
                  <c:v>43682</c:v>
                </c:pt>
                <c:pt idx="155">
                  <c:v>43683</c:v>
                </c:pt>
                <c:pt idx="156">
                  <c:v>43684</c:v>
                </c:pt>
                <c:pt idx="157">
                  <c:v>43685</c:v>
                </c:pt>
                <c:pt idx="158">
                  <c:v>43686</c:v>
                </c:pt>
                <c:pt idx="159">
                  <c:v>43689</c:v>
                </c:pt>
                <c:pt idx="160">
                  <c:v>43690</c:v>
                </c:pt>
                <c:pt idx="161">
                  <c:v>43691</c:v>
                </c:pt>
                <c:pt idx="162">
                  <c:v>43692</c:v>
                </c:pt>
                <c:pt idx="163">
                  <c:v>43693</c:v>
                </c:pt>
                <c:pt idx="164">
                  <c:v>43696</c:v>
                </c:pt>
                <c:pt idx="165">
                  <c:v>43697</c:v>
                </c:pt>
                <c:pt idx="166">
                  <c:v>43698</c:v>
                </c:pt>
                <c:pt idx="167">
                  <c:v>43699</c:v>
                </c:pt>
                <c:pt idx="168">
                  <c:v>43700</c:v>
                </c:pt>
                <c:pt idx="169">
                  <c:v>43703</c:v>
                </c:pt>
                <c:pt idx="170">
                  <c:v>43704</c:v>
                </c:pt>
                <c:pt idx="171">
                  <c:v>43705</c:v>
                </c:pt>
                <c:pt idx="172">
                  <c:v>43706</c:v>
                </c:pt>
                <c:pt idx="173">
                  <c:v>43707</c:v>
                </c:pt>
                <c:pt idx="174">
                  <c:v>43710</c:v>
                </c:pt>
                <c:pt idx="175">
                  <c:v>43711</c:v>
                </c:pt>
                <c:pt idx="176">
                  <c:v>43712</c:v>
                </c:pt>
                <c:pt idx="177">
                  <c:v>43713</c:v>
                </c:pt>
                <c:pt idx="178">
                  <c:v>43714</c:v>
                </c:pt>
                <c:pt idx="179">
                  <c:v>43717</c:v>
                </c:pt>
                <c:pt idx="180">
                  <c:v>43718</c:v>
                </c:pt>
                <c:pt idx="181">
                  <c:v>43719</c:v>
                </c:pt>
                <c:pt idx="182">
                  <c:v>43720</c:v>
                </c:pt>
                <c:pt idx="183">
                  <c:v>43721</c:v>
                </c:pt>
                <c:pt idx="184">
                  <c:v>43724</c:v>
                </c:pt>
                <c:pt idx="185">
                  <c:v>43725</c:v>
                </c:pt>
                <c:pt idx="186">
                  <c:v>43726</c:v>
                </c:pt>
                <c:pt idx="187">
                  <c:v>43727</c:v>
                </c:pt>
                <c:pt idx="188">
                  <c:v>43728</c:v>
                </c:pt>
                <c:pt idx="189">
                  <c:v>43731</c:v>
                </c:pt>
                <c:pt idx="190">
                  <c:v>43732</c:v>
                </c:pt>
                <c:pt idx="191">
                  <c:v>43733</c:v>
                </c:pt>
                <c:pt idx="192">
                  <c:v>43734</c:v>
                </c:pt>
                <c:pt idx="193">
                  <c:v>43735</c:v>
                </c:pt>
                <c:pt idx="194">
                  <c:v>43738</c:v>
                </c:pt>
                <c:pt idx="195">
                  <c:v>43739</c:v>
                </c:pt>
                <c:pt idx="196">
                  <c:v>43740</c:v>
                </c:pt>
                <c:pt idx="197">
                  <c:v>43741</c:v>
                </c:pt>
                <c:pt idx="198">
                  <c:v>43742</c:v>
                </c:pt>
                <c:pt idx="199">
                  <c:v>43745</c:v>
                </c:pt>
                <c:pt idx="200">
                  <c:v>43746</c:v>
                </c:pt>
                <c:pt idx="201">
                  <c:v>43747</c:v>
                </c:pt>
                <c:pt idx="202">
                  <c:v>43748</c:v>
                </c:pt>
                <c:pt idx="203">
                  <c:v>43749</c:v>
                </c:pt>
                <c:pt idx="204">
                  <c:v>43752</c:v>
                </c:pt>
                <c:pt idx="205">
                  <c:v>43753</c:v>
                </c:pt>
                <c:pt idx="206">
                  <c:v>43754</c:v>
                </c:pt>
                <c:pt idx="207">
                  <c:v>43755</c:v>
                </c:pt>
                <c:pt idx="208">
                  <c:v>43756</c:v>
                </c:pt>
                <c:pt idx="209">
                  <c:v>43759</c:v>
                </c:pt>
                <c:pt idx="210">
                  <c:v>43760</c:v>
                </c:pt>
                <c:pt idx="211">
                  <c:v>43761</c:v>
                </c:pt>
                <c:pt idx="212">
                  <c:v>43762</c:v>
                </c:pt>
                <c:pt idx="213">
                  <c:v>43763</c:v>
                </c:pt>
                <c:pt idx="214">
                  <c:v>43766</c:v>
                </c:pt>
                <c:pt idx="215">
                  <c:v>43767</c:v>
                </c:pt>
                <c:pt idx="216">
                  <c:v>43768</c:v>
                </c:pt>
                <c:pt idx="217">
                  <c:v>43769</c:v>
                </c:pt>
                <c:pt idx="218">
                  <c:v>43770</c:v>
                </c:pt>
                <c:pt idx="219">
                  <c:v>43773</c:v>
                </c:pt>
                <c:pt idx="220">
                  <c:v>43774</c:v>
                </c:pt>
                <c:pt idx="221">
                  <c:v>43775</c:v>
                </c:pt>
                <c:pt idx="222">
                  <c:v>43776</c:v>
                </c:pt>
                <c:pt idx="223">
                  <c:v>43777</c:v>
                </c:pt>
                <c:pt idx="224">
                  <c:v>43780</c:v>
                </c:pt>
                <c:pt idx="225">
                  <c:v>43781</c:v>
                </c:pt>
                <c:pt idx="226">
                  <c:v>43782</c:v>
                </c:pt>
                <c:pt idx="227">
                  <c:v>43783</c:v>
                </c:pt>
                <c:pt idx="228">
                  <c:v>43784</c:v>
                </c:pt>
                <c:pt idx="229">
                  <c:v>43787</c:v>
                </c:pt>
                <c:pt idx="230">
                  <c:v>43788</c:v>
                </c:pt>
                <c:pt idx="231">
                  <c:v>43789</c:v>
                </c:pt>
                <c:pt idx="232">
                  <c:v>43790</c:v>
                </c:pt>
                <c:pt idx="233">
                  <c:v>43791</c:v>
                </c:pt>
                <c:pt idx="234">
                  <c:v>43794</c:v>
                </c:pt>
                <c:pt idx="235">
                  <c:v>43795</c:v>
                </c:pt>
                <c:pt idx="236">
                  <c:v>43796</c:v>
                </c:pt>
                <c:pt idx="237">
                  <c:v>43797</c:v>
                </c:pt>
                <c:pt idx="238">
                  <c:v>43798</c:v>
                </c:pt>
                <c:pt idx="239">
                  <c:v>43801</c:v>
                </c:pt>
                <c:pt idx="240">
                  <c:v>43802</c:v>
                </c:pt>
                <c:pt idx="241">
                  <c:v>43803</c:v>
                </c:pt>
                <c:pt idx="242">
                  <c:v>43804</c:v>
                </c:pt>
                <c:pt idx="243">
                  <c:v>43805</c:v>
                </c:pt>
                <c:pt idx="244">
                  <c:v>43808</c:v>
                </c:pt>
                <c:pt idx="245">
                  <c:v>43809</c:v>
                </c:pt>
                <c:pt idx="246">
                  <c:v>43810</c:v>
                </c:pt>
                <c:pt idx="247">
                  <c:v>43811</c:v>
                </c:pt>
                <c:pt idx="248">
                  <c:v>43812</c:v>
                </c:pt>
                <c:pt idx="249">
                  <c:v>43815</c:v>
                </c:pt>
                <c:pt idx="250">
                  <c:v>43816</c:v>
                </c:pt>
                <c:pt idx="251">
                  <c:v>43817</c:v>
                </c:pt>
                <c:pt idx="252">
                  <c:v>43818</c:v>
                </c:pt>
                <c:pt idx="253">
                  <c:v>43819</c:v>
                </c:pt>
                <c:pt idx="254">
                  <c:v>43822</c:v>
                </c:pt>
                <c:pt idx="255">
                  <c:v>43823</c:v>
                </c:pt>
                <c:pt idx="256">
                  <c:v>43824</c:v>
                </c:pt>
                <c:pt idx="257">
                  <c:v>43825</c:v>
                </c:pt>
                <c:pt idx="258">
                  <c:v>43826</c:v>
                </c:pt>
                <c:pt idx="259">
                  <c:v>43829</c:v>
                </c:pt>
                <c:pt idx="260">
                  <c:v>43830</c:v>
                </c:pt>
                <c:pt idx="261">
                  <c:v>43831</c:v>
                </c:pt>
                <c:pt idx="262">
                  <c:v>43832</c:v>
                </c:pt>
                <c:pt idx="263">
                  <c:v>43833</c:v>
                </c:pt>
                <c:pt idx="264">
                  <c:v>43836</c:v>
                </c:pt>
                <c:pt idx="265">
                  <c:v>43837</c:v>
                </c:pt>
                <c:pt idx="266">
                  <c:v>43838</c:v>
                </c:pt>
                <c:pt idx="267">
                  <c:v>43839</c:v>
                </c:pt>
                <c:pt idx="268">
                  <c:v>43840</c:v>
                </c:pt>
                <c:pt idx="269">
                  <c:v>43843</c:v>
                </c:pt>
                <c:pt idx="270">
                  <c:v>43844</c:v>
                </c:pt>
                <c:pt idx="271">
                  <c:v>43845</c:v>
                </c:pt>
                <c:pt idx="272">
                  <c:v>43846</c:v>
                </c:pt>
                <c:pt idx="273">
                  <c:v>43847</c:v>
                </c:pt>
                <c:pt idx="274">
                  <c:v>43850</c:v>
                </c:pt>
                <c:pt idx="275">
                  <c:v>43851</c:v>
                </c:pt>
                <c:pt idx="276">
                  <c:v>43852</c:v>
                </c:pt>
                <c:pt idx="277">
                  <c:v>43853</c:v>
                </c:pt>
                <c:pt idx="278">
                  <c:v>43854</c:v>
                </c:pt>
                <c:pt idx="279">
                  <c:v>43857</c:v>
                </c:pt>
                <c:pt idx="280">
                  <c:v>43858</c:v>
                </c:pt>
                <c:pt idx="281">
                  <c:v>43859</c:v>
                </c:pt>
                <c:pt idx="282">
                  <c:v>43860</c:v>
                </c:pt>
                <c:pt idx="283">
                  <c:v>43861</c:v>
                </c:pt>
                <c:pt idx="284">
                  <c:v>43864</c:v>
                </c:pt>
                <c:pt idx="285">
                  <c:v>43865</c:v>
                </c:pt>
                <c:pt idx="286">
                  <c:v>43866</c:v>
                </c:pt>
                <c:pt idx="287">
                  <c:v>43867</c:v>
                </c:pt>
                <c:pt idx="288">
                  <c:v>43868</c:v>
                </c:pt>
                <c:pt idx="289">
                  <c:v>43871</c:v>
                </c:pt>
                <c:pt idx="290">
                  <c:v>43872</c:v>
                </c:pt>
                <c:pt idx="291">
                  <c:v>43873</c:v>
                </c:pt>
                <c:pt idx="292">
                  <c:v>43874</c:v>
                </c:pt>
                <c:pt idx="293">
                  <c:v>43875</c:v>
                </c:pt>
                <c:pt idx="294">
                  <c:v>43878</c:v>
                </c:pt>
                <c:pt idx="295">
                  <c:v>43879</c:v>
                </c:pt>
                <c:pt idx="296">
                  <c:v>43880</c:v>
                </c:pt>
                <c:pt idx="297">
                  <c:v>43881</c:v>
                </c:pt>
                <c:pt idx="298">
                  <c:v>43882</c:v>
                </c:pt>
                <c:pt idx="299">
                  <c:v>43885</c:v>
                </c:pt>
                <c:pt idx="300">
                  <c:v>43886</c:v>
                </c:pt>
                <c:pt idx="301">
                  <c:v>43887</c:v>
                </c:pt>
                <c:pt idx="302">
                  <c:v>43888</c:v>
                </c:pt>
                <c:pt idx="303">
                  <c:v>43889</c:v>
                </c:pt>
                <c:pt idx="304">
                  <c:v>43892</c:v>
                </c:pt>
                <c:pt idx="305">
                  <c:v>43893</c:v>
                </c:pt>
                <c:pt idx="306">
                  <c:v>43894</c:v>
                </c:pt>
                <c:pt idx="307">
                  <c:v>43895</c:v>
                </c:pt>
                <c:pt idx="308">
                  <c:v>43896</c:v>
                </c:pt>
                <c:pt idx="309">
                  <c:v>43899</c:v>
                </c:pt>
                <c:pt idx="310">
                  <c:v>43900</c:v>
                </c:pt>
                <c:pt idx="311">
                  <c:v>43901</c:v>
                </c:pt>
                <c:pt idx="312">
                  <c:v>43902</c:v>
                </c:pt>
                <c:pt idx="313">
                  <c:v>43903</c:v>
                </c:pt>
                <c:pt idx="314">
                  <c:v>43906</c:v>
                </c:pt>
                <c:pt idx="315">
                  <c:v>43907</c:v>
                </c:pt>
                <c:pt idx="316">
                  <c:v>43908</c:v>
                </c:pt>
                <c:pt idx="317">
                  <c:v>43909</c:v>
                </c:pt>
                <c:pt idx="318">
                  <c:v>43910</c:v>
                </c:pt>
                <c:pt idx="319">
                  <c:v>43913</c:v>
                </c:pt>
                <c:pt idx="320">
                  <c:v>43914</c:v>
                </c:pt>
                <c:pt idx="321">
                  <c:v>43915</c:v>
                </c:pt>
                <c:pt idx="322">
                  <c:v>43916</c:v>
                </c:pt>
                <c:pt idx="323">
                  <c:v>43917</c:v>
                </c:pt>
                <c:pt idx="324">
                  <c:v>43920</c:v>
                </c:pt>
                <c:pt idx="325">
                  <c:v>43921</c:v>
                </c:pt>
                <c:pt idx="326">
                  <c:v>43922</c:v>
                </c:pt>
                <c:pt idx="327">
                  <c:v>43923</c:v>
                </c:pt>
                <c:pt idx="328">
                  <c:v>43924</c:v>
                </c:pt>
                <c:pt idx="329">
                  <c:v>43927</c:v>
                </c:pt>
                <c:pt idx="330">
                  <c:v>43928</c:v>
                </c:pt>
                <c:pt idx="331">
                  <c:v>43929</c:v>
                </c:pt>
                <c:pt idx="332">
                  <c:v>43930</c:v>
                </c:pt>
                <c:pt idx="333">
                  <c:v>43931</c:v>
                </c:pt>
                <c:pt idx="334">
                  <c:v>43934</c:v>
                </c:pt>
                <c:pt idx="335">
                  <c:v>43935</c:v>
                </c:pt>
                <c:pt idx="336">
                  <c:v>43936</c:v>
                </c:pt>
                <c:pt idx="337">
                  <c:v>43937</c:v>
                </c:pt>
                <c:pt idx="338">
                  <c:v>43938</c:v>
                </c:pt>
                <c:pt idx="339">
                  <c:v>43941</c:v>
                </c:pt>
                <c:pt idx="340">
                  <c:v>43942</c:v>
                </c:pt>
                <c:pt idx="341">
                  <c:v>43943</c:v>
                </c:pt>
                <c:pt idx="342">
                  <c:v>43944</c:v>
                </c:pt>
                <c:pt idx="343">
                  <c:v>43945</c:v>
                </c:pt>
                <c:pt idx="344">
                  <c:v>43948</c:v>
                </c:pt>
                <c:pt idx="345">
                  <c:v>43949</c:v>
                </c:pt>
                <c:pt idx="346">
                  <c:v>43950</c:v>
                </c:pt>
                <c:pt idx="347">
                  <c:v>43951</c:v>
                </c:pt>
                <c:pt idx="348">
                  <c:v>43952</c:v>
                </c:pt>
                <c:pt idx="349">
                  <c:v>43955</c:v>
                </c:pt>
                <c:pt idx="350">
                  <c:v>43956</c:v>
                </c:pt>
                <c:pt idx="351">
                  <c:v>43957</c:v>
                </c:pt>
                <c:pt idx="352">
                  <c:v>43958</c:v>
                </c:pt>
                <c:pt idx="353">
                  <c:v>43959</c:v>
                </c:pt>
                <c:pt idx="354">
                  <c:v>43962</c:v>
                </c:pt>
                <c:pt idx="355">
                  <c:v>43963</c:v>
                </c:pt>
                <c:pt idx="356">
                  <c:v>43964</c:v>
                </c:pt>
                <c:pt idx="357">
                  <c:v>43965</c:v>
                </c:pt>
                <c:pt idx="358">
                  <c:v>43966</c:v>
                </c:pt>
                <c:pt idx="359">
                  <c:v>43969</c:v>
                </c:pt>
                <c:pt idx="360">
                  <c:v>43970</c:v>
                </c:pt>
                <c:pt idx="361">
                  <c:v>43971</c:v>
                </c:pt>
                <c:pt idx="362">
                  <c:v>43972</c:v>
                </c:pt>
                <c:pt idx="363">
                  <c:v>43973</c:v>
                </c:pt>
                <c:pt idx="364">
                  <c:v>43976</c:v>
                </c:pt>
                <c:pt idx="365">
                  <c:v>43977</c:v>
                </c:pt>
                <c:pt idx="366">
                  <c:v>43978</c:v>
                </c:pt>
                <c:pt idx="367">
                  <c:v>43979</c:v>
                </c:pt>
                <c:pt idx="368">
                  <c:v>43980</c:v>
                </c:pt>
                <c:pt idx="369">
                  <c:v>43983</c:v>
                </c:pt>
                <c:pt idx="370">
                  <c:v>43984</c:v>
                </c:pt>
                <c:pt idx="371">
                  <c:v>43985</c:v>
                </c:pt>
                <c:pt idx="372">
                  <c:v>43986</c:v>
                </c:pt>
                <c:pt idx="373">
                  <c:v>43987</c:v>
                </c:pt>
                <c:pt idx="374">
                  <c:v>43990</c:v>
                </c:pt>
                <c:pt idx="375">
                  <c:v>43991</c:v>
                </c:pt>
                <c:pt idx="376">
                  <c:v>43992</c:v>
                </c:pt>
                <c:pt idx="377">
                  <c:v>43993</c:v>
                </c:pt>
                <c:pt idx="378">
                  <c:v>43994</c:v>
                </c:pt>
                <c:pt idx="379">
                  <c:v>43997</c:v>
                </c:pt>
                <c:pt idx="380">
                  <c:v>43998</c:v>
                </c:pt>
                <c:pt idx="381">
                  <c:v>43999</c:v>
                </c:pt>
                <c:pt idx="382">
                  <c:v>44000</c:v>
                </c:pt>
                <c:pt idx="383">
                  <c:v>44001</c:v>
                </c:pt>
                <c:pt idx="384">
                  <c:v>44004</c:v>
                </c:pt>
                <c:pt idx="385">
                  <c:v>44005</c:v>
                </c:pt>
                <c:pt idx="386">
                  <c:v>44006</c:v>
                </c:pt>
                <c:pt idx="387">
                  <c:v>44007</c:v>
                </c:pt>
                <c:pt idx="388">
                  <c:v>44008</c:v>
                </c:pt>
                <c:pt idx="389">
                  <c:v>44011</c:v>
                </c:pt>
                <c:pt idx="390">
                  <c:v>44012</c:v>
                </c:pt>
                <c:pt idx="391">
                  <c:v>44013</c:v>
                </c:pt>
                <c:pt idx="392">
                  <c:v>44014</c:v>
                </c:pt>
                <c:pt idx="393">
                  <c:v>44015</c:v>
                </c:pt>
                <c:pt idx="394">
                  <c:v>44018</c:v>
                </c:pt>
                <c:pt idx="395">
                  <c:v>44019</c:v>
                </c:pt>
                <c:pt idx="396">
                  <c:v>44020</c:v>
                </c:pt>
                <c:pt idx="397">
                  <c:v>44021</c:v>
                </c:pt>
                <c:pt idx="398">
                  <c:v>44022</c:v>
                </c:pt>
                <c:pt idx="399">
                  <c:v>44025</c:v>
                </c:pt>
                <c:pt idx="400">
                  <c:v>44026</c:v>
                </c:pt>
                <c:pt idx="401">
                  <c:v>44027</c:v>
                </c:pt>
                <c:pt idx="402">
                  <c:v>44028</c:v>
                </c:pt>
                <c:pt idx="403">
                  <c:v>44029</c:v>
                </c:pt>
                <c:pt idx="404">
                  <c:v>44032</c:v>
                </c:pt>
                <c:pt idx="405">
                  <c:v>44033</c:v>
                </c:pt>
                <c:pt idx="406">
                  <c:v>44034</c:v>
                </c:pt>
                <c:pt idx="407">
                  <c:v>44035</c:v>
                </c:pt>
                <c:pt idx="408">
                  <c:v>44036</c:v>
                </c:pt>
                <c:pt idx="409">
                  <c:v>44039</c:v>
                </c:pt>
                <c:pt idx="410">
                  <c:v>44040</c:v>
                </c:pt>
                <c:pt idx="411">
                  <c:v>44041</c:v>
                </c:pt>
                <c:pt idx="412">
                  <c:v>44042</c:v>
                </c:pt>
                <c:pt idx="413">
                  <c:v>44043</c:v>
                </c:pt>
                <c:pt idx="414">
                  <c:v>44046</c:v>
                </c:pt>
                <c:pt idx="415">
                  <c:v>44047</c:v>
                </c:pt>
                <c:pt idx="416">
                  <c:v>44048</c:v>
                </c:pt>
                <c:pt idx="417">
                  <c:v>44049</c:v>
                </c:pt>
                <c:pt idx="418">
                  <c:v>44050</c:v>
                </c:pt>
                <c:pt idx="419">
                  <c:v>44053</c:v>
                </c:pt>
                <c:pt idx="420">
                  <c:v>44054</c:v>
                </c:pt>
                <c:pt idx="421">
                  <c:v>44055</c:v>
                </c:pt>
                <c:pt idx="422">
                  <c:v>44056</c:v>
                </c:pt>
                <c:pt idx="423">
                  <c:v>44057</c:v>
                </c:pt>
                <c:pt idx="424">
                  <c:v>44060</c:v>
                </c:pt>
                <c:pt idx="425">
                  <c:v>44061</c:v>
                </c:pt>
                <c:pt idx="426">
                  <c:v>44062</c:v>
                </c:pt>
                <c:pt idx="427">
                  <c:v>44063</c:v>
                </c:pt>
                <c:pt idx="428">
                  <c:v>44064</c:v>
                </c:pt>
                <c:pt idx="429">
                  <c:v>44067</c:v>
                </c:pt>
                <c:pt idx="430">
                  <c:v>44068</c:v>
                </c:pt>
                <c:pt idx="431">
                  <c:v>44069</c:v>
                </c:pt>
                <c:pt idx="432">
                  <c:v>44070</c:v>
                </c:pt>
                <c:pt idx="433">
                  <c:v>44071</c:v>
                </c:pt>
                <c:pt idx="434">
                  <c:v>44074</c:v>
                </c:pt>
                <c:pt idx="435">
                  <c:v>44075</c:v>
                </c:pt>
                <c:pt idx="436">
                  <c:v>44076</c:v>
                </c:pt>
                <c:pt idx="437">
                  <c:v>44077</c:v>
                </c:pt>
                <c:pt idx="438">
                  <c:v>44078</c:v>
                </c:pt>
                <c:pt idx="439">
                  <c:v>44081</c:v>
                </c:pt>
                <c:pt idx="440">
                  <c:v>44082</c:v>
                </c:pt>
                <c:pt idx="441">
                  <c:v>44083</c:v>
                </c:pt>
                <c:pt idx="442">
                  <c:v>44084</c:v>
                </c:pt>
                <c:pt idx="443">
                  <c:v>44085</c:v>
                </c:pt>
                <c:pt idx="444">
                  <c:v>44088</c:v>
                </c:pt>
                <c:pt idx="445">
                  <c:v>44089</c:v>
                </c:pt>
                <c:pt idx="446">
                  <c:v>44090</c:v>
                </c:pt>
                <c:pt idx="447">
                  <c:v>44091</c:v>
                </c:pt>
                <c:pt idx="448">
                  <c:v>44092</c:v>
                </c:pt>
                <c:pt idx="449">
                  <c:v>44095</c:v>
                </c:pt>
                <c:pt idx="450">
                  <c:v>44096</c:v>
                </c:pt>
                <c:pt idx="451">
                  <c:v>44097</c:v>
                </c:pt>
                <c:pt idx="452">
                  <c:v>44098</c:v>
                </c:pt>
                <c:pt idx="453">
                  <c:v>44099</c:v>
                </c:pt>
                <c:pt idx="454">
                  <c:v>44102</c:v>
                </c:pt>
                <c:pt idx="455">
                  <c:v>44103</c:v>
                </c:pt>
                <c:pt idx="456">
                  <c:v>44104</c:v>
                </c:pt>
                <c:pt idx="457">
                  <c:v>44105</c:v>
                </c:pt>
                <c:pt idx="458">
                  <c:v>44106</c:v>
                </c:pt>
                <c:pt idx="459">
                  <c:v>44109</c:v>
                </c:pt>
                <c:pt idx="460">
                  <c:v>44110</c:v>
                </c:pt>
                <c:pt idx="461">
                  <c:v>44111</c:v>
                </c:pt>
                <c:pt idx="462">
                  <c:v>44112</c:v>
                </c:pt>
                <c:pt idx="463">
                  <c:v>44113</c:v>
                </c:pt>
                <c:pt idx="464">
                  <c:v>44116</c:v>
                </c:pt>
                <c:pt idx="465">
                  <c:v>44117</c:v>
                </c:pt>
                <c:pt idx="466">
                  <c:v>44118</c:v>
                </c:pt>
                <c:pt idx="467">
                  <c:v>44119</c:v>
                </c:pt>
                <c:pt idx="468">
                  <c:v>44120</c:v>
                </c:pt>
                <c:pt idx="469">
                  <c:v>44123</c:v>
                </c:pt>
                <c:pt idx="470">
                  <c:v>44124</c:v>
                </c:pt>
                <c:pt idx="471">
                  <c:v>44125</c:v>
                </c:pt>
                <c:pt idx="472">
                  <c:v>44126</c:v>
                </c:pt>
                <c:pt idx="473">
                  <c:v>44127</c:v>
                </c:pt>
                <c:pt idx="474">
                  <c:v>44130</c:v>
                </c:pt>
                <c:pt idx="475">
                  <c:v>44131</c:v>
                </c:pt>
                <c:pt idx="476">
                  <c:v>44132</c:v>
                </c:pt>
                <c:pt idx="477">
                  <c:v>44133</c:v>
                </c:pt>
                <c:pt idx="478">
                  <c:v>44134</c:v>
                </c:pt>
                <c:pt idx="479">
                  <c:v>44137</c:v>
                </c:pt>
                <c:pt idx="480">
                  <c:v>44138</c:v>
                </c:pt>
                <c:pt idx="481">
                  <c:v>44139</c:v>
                </c:pt>
                <c:pt idx="482">
                  <c:v>44140</c:v>
                </c:pt>
                <c:pt idx="483">
                  <c:v>44141</c:v>
                </c:pt>
                <c:pt idx="484">
                  <c:v>44144</c:v>
                </c:pt>
                <c:pt idx="485">
                  <c:v>44145</c:v>
                </c:pt>
                <c:pt idx="486">
                  <c:v>44146</c:v>
                </c:pt>
                <c:pt idx="487">
                  <c:v>44147</c:v>
                </c:pt>
                <c:pt idx="488">
                  <c:v>44148</c:v>
                </c:pt>
                <c:pt idx="489">
                  <c:v>44151</c:v>
                </c:pt>
                <c:pt idx="490">
                  <c:v>44152</c:v>
                </c:pt>
                <c:pt idx="491">
                  <c:v>44153</c:v>
                </c:pt>
                <c:pt idx="492">
                  <c:v>44154</c:v>
                </c:pt>
                <c:pt idx="493">
                  <c:v>44155</c:v>
                </c:pt>
                <c:pt idx="494">
                  <c:v>44158</c:v>
                </c:pt>
                <c:pt idx="495">
                  <c:v>44159</c:v>
                </c:pt>
                <c:pt idx="496">
                  <c:v>44160</c:v>
                </c:pt>
                <c:pt idx="497">
                  <c:v>44161</c:v>
                </c:pt>
                <c:pt idx="498">
                  <c:v>44162</c:v>
                </c:pt>
                <c:pt idx="499">
                  <c:v>44165</c:v>
                </c:pt>
                <c:pt idx="500">
                  <c:v>44166</c:v>
                </c:pt>
                <c:pt idx="501">
                  <c:v>44167</c:v>
                </c:pt>
                <c:pt idx="502">
                  <c:v>44168</c:v>
                </c:pt>
                <c:pt idx="503">
                  <c:v>44169</c:v>
                </c:pt>
                <c:pt idx="504">
                  <c:v>44172</c:v>
                </c:pt>
                <c:pt idx="505">
                  <c:v>44173</c:v>
                </c:pt>
                <c:pt idx="506">
                  <c:v>44174</c:v>
                </c:pt>
                <c:pt idx="507">
                  <c:v>44175</c:v>
                </c:pt>
                <c:pt idx="508">
                  <c:v>44176</c:v>
                </c:pt>
                <c:pt idx="509">
                  <c:v>44179</c:v>
                </c:pt>
                <c:pt idx="510">
                  <c:v>44180</c:v>
                </c:pt>
                <c:pt idx="511">
                  <c:v>44181</c:v>
                </c:pt>
                <c:pt idx="512">
                  <c:v>44182</c:v>
                </c:pt>
                <c:pt idx="513">
                  <c:v>44183</c:v>
                </c:pt>
                <c:pt idx="514">
                  <c:v>44186</c:v>
                </c:pt>
                <c:pt idx="515">
                  <c:v>44187</c:v>
                </c:pt>
                <c:pt idx="516">
                  <c:v>44188</c:v>
                </c:pt>
                <c:pt idx="517">
                  <c:v>44189</c:v>
                </c:pt>
                <c:pt idx="518">
                  <c:v>44190</c:v>
                </c:pt>
                <c:pt idx="519">
                  <c:v>44193</c:v>
                </c:pt>
                <c:pt idx="520">
                  <c:v>44194</c:v>
                </c:pt>
                <c:pt idx="521">
                  <c:v>44195</c:v>
                </c:pt>
                <c:pt idx="522">
                  <c:v>44196</c:v>
                </c:pt>
                <c:pt idx="523">
                  <c:v>44197</c:v>
                </c:pt>
                <c:pt idx="524">
                  <c:v>44200</c:v>
                </c:pt>
                <c:pt idx="525">
                  <c:v>44201</c:v>
                </c:pt>
                <c:pt idx="526">
                  <c:v>44202</c:v>
                </c:pt>
                <c:pt idx="527">
                  <c:v>44203</c:v>
                </c:pt>
                <c:pt idx="528">
                  <c:v>44204</c:v>
                </c:pt>
                <c:pt idx="529">
                  <c:v>44207</c:v>
                </c:pt>
                <c:pt idx="530">
                  <c:v>44208</c:v>
                </c:pt>
                <c:pt idx="531">
                  <c:v>44209</c:v>
                </c:pt>
                <c:pt idx="532">
                  <c:v>44210</c:v>
                </c:pt>
                <c:pt idx="533">
                  <c:v>44211</c:v>
                </c:pt>
                <c:pt idx="534">
                  <c:v>44214</c:v>
                </c:pt>
                <c:pt idx="535">
                  <c:v>44215</c:v>
                </c:pt>
                <c:pt idx="536">
                  <c:v>44216</c:v>
                </c:pt>
                <c:pt idx="537">
                  <c:v>44217</c:v>
                </c:pt>
                <c:pt idx="538">
                  <c:v>44218</c:v>
                </c:pt>
                <c:pt idx="539">
                  <c:v>44221</c:v>
                </c:pt>
                <c:pt idx="540">
                  <c:v>44222</c:v>
                </c:pt>
                <c:pt idx="541">
                  <c:v>44223</c:v>
                </c:pt>
                <c:pt idx="542">
                  <c:v>44224</c:v>
                </c:pt>
                <c:pt idx="543">
                  <c:v>44225</c:v>
                </c:pt>
                <c:pt idx="544">
                  <c:v>44228</c:v>
                </c:pt>
                <c:pt idx="545">
                  <c:v>44229</c:v>
                </c:pt>
                <c:pt idx="546">
                  <c:v>44230</c:v>
                </c:pt>
                <c:pt idx="547">
                  <c:v>44231</c:v>
                </c:pt>
                <c:pt idx="548">
                  <c:v>44232</c:v>
                </c:pt>
                <c:pt idx="549">
                  <c:v>44235</c:v>
                </c:pt>
                <c:pt idx="550">
                  <c:v>44236</c:v>
                </c:pt>
                <c:pt idx="551">
                  <c:v>44237</c:v>
                </c:pt>
                <c:pt idx="552">
                  <c:v>44238</c:v>
                </c:pt>
                <c:pt idx="553">
                  <c:v>44239</c:v>
                </c:pt>
                <c:pt idx="554">
                  <c:v>44242</c:v>
                </c:pt>
                <c:pt idx="555">
                  <c:v>44243</c:v>
                </c:pt>
                <c:pt idx="556">
                  <c:v>44244</c:v>
                </c:pt>
                <c:pt idx="557">
                  <c:v>44245</c:v>
                </c:pt>
                <c:pt idx="558">
                  <c:v>44246</c:v>
                </c:pt>
                <c:pt idx="559">
                  <c:v>44249</c:v>
                </c:pt>
                <c:pt idx="560">
                  <c:v>44250</c:v>
                </c:pt>
                <c:pt idx="561">
                  <c:v>44251</c:v>
                </c:pt>
                <c:pt idx="562">
                  <c:v>44252</c:v>
                </c:pt>
                <c:pt idx="563">
                  <c:v>44253</c:v>
                </c:pt>
                <c:pt idx="564">
                  <c:v>44256</c:v>
                </c:pt>
                <c:pt idx="565">
                  <c:v>44257</c:v>
                </c:pt>
                <c:pt idx="566">
                  <c:v>44258</c:v>
                </c:pt>
                <c:pt idx="567">
                  <c:v>44259</c:v>
                </c:pt>
                <c:pt idx="568">
                  <c:v>44260</c:v>
                </c:pt>
                <c:pt idx="569">
                  <c:v>44263</c:v>
                </c:pt>
                <c:pt idx="570">
                  <c:v>44264</c:v>
                </c:pt>
                <c:pt idx="571">
                  <c:v>44265</c:v>
                </c:pt>
                <c:pt idx="572">
                  <c:v>44266</c:v>
                </c:pt>
                <c:pt idx="573">
                  <c:v>44267</c:v>
                </c:pt>
                <c:pt idx="574">
                  <c:v>44270</c:v>
                </c:pt>
                <c:pt idx="575">
                  <c:v>44271</c:v>
                </c:pt>
                <c:pt idx="576">
                  <c:v>44272</c:v>
                </c:pt>
                <c:pt idx="577">
                  <c:v>44273</c:v>
                </c:pt>
                <c:pt idx="578">
                  <c:v>44274</c:v>
                </c:pt>
                <c:pt idx="579">
                  <c:v>44277</c:v>
                </c:pt>
                <c:pt idx="580">
                  <c:v>44278</c:v>
                </c:pt>
                <c:pt idx="581">
                  <c:v>44279</c:v>
                </c:pt>
                <c:pt idx="582">
                  <c:v>44280</c:v>
                </c:pt>
                <c:pt idx="583">
                  <c:v>44281</c:v>
                </c:pt>
                <c:pt idx="584">
                  <c:v>44284</c:v>
                </c:pt>
                <c:pt idx="585">
                  <c:v>44285</c:v>
                </c:pt>
                <c:pt idx="586">
                  <c:v>44286</c:v>
                </c:pt>
                <c:pt idx="587">
                  <c:v>44287</c:v>
                </c:pt>
                <c:pt idx="588">
                  <c:v>44288</c:v>
                </c:pt>
                <c:pt idx="589">
                  <c:v>44291</c:v>
                </c:pt>
                <c:pt idx="590">
                  <c:v>44292</c:v>
                </c:pt>
                <c:pt idx="591">
                  <c:v>44293</c:v>
                </c:pt>
                <c:pt idx="592">
                  <c:v>44294</c:v>
                </c:pt>
                <c:pt idx="593">
                  <c:v>44295</c:v>
                </c:pt>
                <c:pt idx="594">
                  <c:v>44298</c:v>
                </c:pt>
                <c:pt idx="595">
                  <c:v>44299</c:v>
                </c:pt>
                <c:pt idx="596">
                  <c:v>44300</c:v>
                </c:pt>
                <c:pt idx="597">
                  <c:v>44301</c:v>
                </c:pt>
                <c:pt idx="598">
                  <c:v>44302</c:v>
                </c:pt>
                <c:pt idx="599">
                  <c:v>44305</c:v>
                </c:pt>
                <c:pt idx="600">
                  <c:v>44306</c:v>
                </c:pt>
                <c:pt idx="601">
                  <c:v>44307</c:v>
                </c:pt>
                <c:pt idx="602">
                  <c:v>44308</c:v>
                </c:pt>
                <c:pt idx="603">
                  <c:v>44309</c:v>
                </c:pt>
                <c:pt idx="604">
                  <c:v>44312</c:v>
                </c:pt>
                <c:pt idx="605">
                  <c:v>44313</c:v>
                </c:pt>
                <c:pt idx="606">
                  <c:v>44314</c:v>
                </c:pt>
                <c:pt idx="607">
                  <c:v>44315</c:v>
                </c:pt>
                <c:pt idx="608">
                  <c:v>44316</c:v>
                </c:pt>
                <c:pt idx="609">
                  <c:v>44319</c:v>
                </c:pt>
                <c:pt idx="610">
                  <c:v>44320</c:v>
                </c:pt>
                <c:pt idx="611">
                  <c:v>44321</c:v>
                </c:pt>
                <c:pt idx="612">
                  <c:v>44322</c:v>
                </c:pt>
                <c:pt idx="613">
                  <c:v>44323</c:v>
                </c:pt>
                <c:pt idx="614">
                  <c:v>44326</c:v>
                </c:pt>
                <c:pt idx="615">
                  <c:v>44327</c:v>
                </c:pt>
                <c:pt idx="616">
                  <c:v>44328</c:v>
                </c:pt>
                <c:pt idx="617">
                  <c:v>44329</c:v>
                </c:pt>
                <c:pt idx="618">
                  <c:v>44330</c:v>
                </c:pt>
                <c:pt idx="619">
                  <c:v>44333</c:v>
                </c:pt>
                <c:pt idx="620">
                  <c:v>44334</c:v>
                </c:pt>
                <c:pt idx="621">
                  <c:v>44335</c:v>
                </c:pt>
                <c:pt idx="622">
                  <c:v>44336</c:v>
                </c:pt>
                <c:pt idx="623">
                  <c:v>44337</c:v>
                </c:pt>
              </c:numCache>
            </c:numRef>
          </c:cat>
          <c:val>
            <c:numRef>
              <c:f>Sheet1!$G$2:$G$625</c:f>
              <c:numCache>
                <c:formatCode>0</c:formatCode>
                <c:ptCount val="624"/>
                <c:pt idx="0">
                  <c:v>368.56099999999998</c:v>
                </c:pt>
                <c:pt idx="1">
                  <c:v>373.76499999999999</c:v>
                </c:pt>
                <c:pt idx="2">
                  <c:v>384.55</c:v>
                </c:pt>
                <c:pt idx="3">
                  <c:v>370.13600000000002</c:v>
                </c:pt>
                <c:pt idx="4">
                  <c:v>351.28399999999999</c:v>
                </c:pt>
                <c:pt idx="5">
                  <c:v>356.76</c:v>
                </c:pt>
                <c:pt idx="6">
                  <c:v>364.48899999999998</c:v>
                </c:pt>
                <c:pt idx="7">
                  <c:v>367.16800000000001</c:v>
                </c:pt>
                <c:pt idx="8">
                  <c:v>369.05200000000002</c:v>
                </c:pt>
                <c:pt idx="9">
                  <c:v>372.74400000000003</c:v>
                </c:pt>
                <c:pt idx="10">
                  <c:v>363.11</c:v>
                </c:pt>
                <c:pt idx="11">
                  <c:v>339.46199999999999</c:v>
                </c:pt>
                <c:pt idx="12">
                  <c:v>328.649</c:v>
                </c:pt>
                <c:pt idx="13">
                  <c:v>292.00599999999997</c:v>
                </c:pt>
                <c:pt idx="14">
                  <c:v>291.089</c:v>
                </c:pt>
                <c:pt idx="15">
                  <c:v>295.50900000000001</c:v>
                </c:pt>
                <c:pt idx="16">
                  <c:v>298.97199999999998</c:v>
                </c:pt>
                <c:pt idx="17">
                  <c:v>297.21100000000001</c:v>
                </c:pt>
                <c:pt idx="18">
                  <c:v>307.21699999999998</c:v>
                </c:pt>
                <c:pt idx="19">
                  <c:v>316.46199999999999</c:v>
                </c:pt>
                <c:pt idx="20">
                  <c:v>330.53899999999999</c:v>
                </c:pt>
                <c:pt idx="21">
                  <c:v>335.97300000000001</c:v>
                </c:pt>
                <c:pt idx="22">
                  <c:v>334.404</c:v>
                </c:pt>
                <c:pt idx="23">
                  <c:v>326.21899999999999</c:v>
                </c:pt>
                <c:pt idx="24">
                  <c:v>331.33199999999999</c:v>
                </c:pt>
                <c:pt idx="25">
                  <c:v>336.41399999999999</c:v>
                </c:pt>
                <c:pt idx="26">
                  <c:v>343.51400000000001</c:v>
                </c:pt>
                <c:pt idx="27">
                  <c:v>355.596</c:v>
                </c:pt>
                <c:pt idx="28">
                  <c:v>359.33199999999999</c:v>
                </c:pt>
                <c:pt idx="29">
                  <c:v>359.35300000000001</c:v>
                </c:pt>
                <c:pt idx="30">
                  <c:v>351.113</c:v>
                </c:pt>
                <c:pt idx="31">
                  <c:v>317.90600000000001</c:v>
                </c:pt>
                <c:pt idx="32">
                  <c:v>325.93700000000001</c:v>
                </c:pt>
                <c:pt idx="33">
                  <c:v>326.786</c:v>
                </c:pt>
                <c:pt idx="34">
                  <c:v>323.53300000000002</c:v>
                </c:pt>
                <c:pt idx="35">
                  <c:v>333.93099999999998</c:v>
                </c:pt>
                <c:pt idx="36">
                  <c:v>332.23399999999998</c:v>
                </c:pt>
                <c:pt idx="37">
                  <c:v>332.80799999999999</c:v>
                </c:pt>
                <c:pt idx="38">
                  <c:v>331.40100000000001</c:v>
                </c:pt>
                <c:pt idx="39">
                  <c:v>319.76499999999999</c:v>
                </c:pt>
                <c:pt idx="40">
                  <c:v>320.71899999999999</c:v>
                </c:pt>
                <c:pt idx="41">
                  <c:v>315.505</c:v>
                </c:pt>
                <c:pt idx="42">
                  <c:v>307.57900000000001</c:v>
                </c:pt>
                <c:pt idx="43">
                  <c:v>305.92200000000003</c:v>
                </c:pt>
                <c:pt idx="44">
                  <c:v>312.69799999999998</c:v>
                </c:pt>
                <c:pt idx="45">
                  <c:v>312.28199999999998</c:v>
                </c:pt>
                <c:pt idx="46">
                  <c:v>313.87</c:v>
                </c:pt>
                <c:pt idx="47">
                  <c:v>319.59500000000003</c:v>
                </c:pt>
                <c:pt idx="48">
                  <c:v>325.15300000000002</c:v>
                </c:pt>
                <c:pt idx="49">
                  <c:v>319.96100000000001</c:v>
                </c:pt>
                <c:pt idx="50">
                  <c:v>315.95299999999997</c:v>
                </c:pt>
                <c:pt idx="51">
                  <c:v>307.97899999999998</c:v>
                </c:pt>
                <c:pt idx="52">
                  <c:v>302.91000000000003</c:v>
                </c:pt>
                <c:pt idx="53">
                  <c:v>306.97899999999998</c:v>
                </c:pt>
                <c:pt idx="54">
                  <c:v>300.88799999999998</c:v>
                </c:pt>
                <c:pt idx="55">
                  <c:v>297.43700000000001</c:v>
                </c:pt>
                <c:pt idx="56">
                  <c:v>302.49799999999999</c:v>
                </c:pt>
                <c:pt idx="57">
                  <c:v>294.66899999999998</c:v>
                </c:pt>
                <c:pt idx="58">
                  <c:v>307.35899999999998</c:v>
                </c:pt>
                <c:pt idx="59">
                  <c:v>320.58999999999997</c:v>
                </c:pt>
                <c:pt idx="60">
                  <c:v>316.18400000000003</c:v>
                </c:pt>
                <c:pt idx="61">
                  <c:v>323.37200000000001</c:v>
                </c:pt>
                <c:pt idx="62">
                  <c:v>318.38600000000002</c:v>
                </c:pt>
                <c:pt idx="63">
                  <c:v>312.07299999999998</c:v>
                </c:pt>
                <c:pt idx="64">
                  <c:v>299.983</c:v>
                </c:pt>
                <c:pt idx="65">
                  <c:v>295.52100000000002</c:v>
                </c:pt>
                <c:pt idx="66">
                  <c:v>289.91500000000002</c:v>
                </c:pt>
                <c:pt idx="67">
                  <c:v>286.04399999999998</c:v>
                </c:pt>
                <c:pt idx="68">
                  <c:v>285.827</c:v>
                </c:pt>
                <c:pt idx="69">
                  <c:v>281.904</c:v>
                </c:pt>
                <c:pt idx="70">
                  <c:v>283.33499999999998</c:v>
                </c:pt>
                <c:pt idx="71">
                  <c:v>288.13299999999998</c:v>
                </c:pt>
                <c:pt idx="72">
                  <c:v>285.47699999999998</c:v>
                </c:pt>
                <c:pt idx="73">
                  <c:v>280.59899999999999</c:v>
                </c:pt>
                <c:pt idx="74">
                  <c:v>281.75400000000002</c:v>
                </c:pt>
                <c:pt idx="75">
                  <c:v>278.22300000000001</c:v>
                </c:pt>
                <c:pt idx="76">
                  <c:v>289.16899999999998</c:v>
                </c:pt>
                <c:pt idx="77">
                  <c:v>294.70400000000001</c:v>
                </c:pt>
                <c:pt idx="78">
                  <c:v>294.80500000000001</c:v>
                </c:pt>
                <c:pt idx="79">
                  <c:v>291.79300000000001</c:v>
                </c:pt>
                <c:pt idx="80">
                  <c:v>295.31599999999997</c:v>
                </c:pt>
                <c:pt idx="81">
                  <c:v>306.21800000000002</c:v>
                </c:pt>
                <c:pt idx="82">
                  <c:v>312.38200000000001</c:v>
                </c:pt>
                <c:pt idx="83">
                  <c:v>326.34899999999999</c:v>
                </c:pt>
                <c:pt idx="84">
                  <c:v>322.416</c:v>
                </c:pt>
                <c:pt idx="85">
                  <c:v>314.94200000000001</c:v>
                </c:pt>
                <c:pt idx="86">
                  <c:v>310.51400000000001</c:v>
                </c:pt>
                <c:pt idx="87">
                  <c:v>303.12200000000001</c:v>
                </c:pt>
                <c:pt idx="88">
                  <c:v>305.09399999999999</c:v>
                </c:pt>
                <c:pt idx="89">
                  <c:v>310.18200000000002</c:v>
                </c:pt>
                <c:pt idx="90">
                  <c:v>313.524</c:v>
                </c:pt>
                <c:pt idx="91">
                  <c:v>313.55</c:v>
                </c:pt>
                <c:pt idx="92">
                  <c:v>318.30099999999999</c:v>
                </c:pt>
                <c:pt idx="93">
                  <c:v>315.78199999999998</c:v>
                </c:pt>
                <c:pt idx="94">
                  <c:v>329.35399999999998</c:v>
                </c:pt>
                <c:pt idx="95">
                  <c:v>330.28699999999998</c:v>
                </c:pt>
                <c:pt idx="96">
                  <c:v>333.32499999999999</c:v>
                </c:pt>
                <c:pt idx="97">
                  <c:v>323.77499999999998</c:v>
                </c:pt>
                <c:pt idx="98">
                  <c:v>324.79700000000003</c:v>
                </c:pt>
                <c:pt idx="99">
                  <c:v>315.80900000000003</c:v>
                </c:pt>
                <c:pt idx="100">
                  <c:v>308.55799999999999</c:v>
                </c:pt>
                <c:pt idx="101">
                  <c:v>311.77999999999997</c:v>
                </c:pt>
                <c:pt idx="102">
                  <c:v>319.65800000000002</c:v>
                </c:pt>
                <c:pt idx="103">
                  <c:v>323.70400000000001</c:v>
                </c:pt>
                <c:pt idx="104">
                  <c:v>322.06700000000001</c:v>
                </c:pt>
                <c:pt idx="105">
                  <c:v>325.99</c:v>
                </c:pt>
                <c:pt idx="106">
                  <c:v>331.27300000000002</c:v>
                </c:pt>
                <c:pt idx="107">
                  <c:v>332.173</c:v>
                </c:pt>
                <c:pt idx="108">
                  <c:v>354.392</c:v>
                </c:pt>
                <c:pt idx="109">
                  <c:v>368.447</c:v>
                </c:pt>
                <c:pt idx="110">
                  <c:v>363.42</c:v>
                </c:pt>
                <c:pt idx="111">
                  <c:v>353.88900000000001</c:v>
                </c:pt>
                <c:pt idx="112">
                  <c:v>345.42599999999999</c:v>
                </c:pt>
                <c:pt idx="113">
                  <c:v>340.69799999999998</c:v>
                </c:pt>
                <c:pt idx="114">
                  <c:v>333.22300000000001</c:v>
                </c:pt>
                <c:pt idx="115">
                  <c:v>335.904</c:v>
                </c:pt>
                <c:pt idx="116">
                  <c:v>341.69099999999997</c:v>
                </c:pt>
                <c:pt idx="117">
                  <c:v>360.08499999999998</c:v>
                </c:pt>
                <c:pt idx="118">
                  <c:v>357.42200000000003</c:v>
                </c:pt>
                <c:pt idx="119">
                  <c:v>347.21499999999997</c:v>
                </c:pt>
                <c:pt idx="120">
                  <c:v>338.91</c:v>
                </c:pt>
                <c:pt idx="121">
                  <c:v>338.67200000000003</c:v>
                </c:pt>
                <c:pt idx="122">
                  <c:v>312.72199999999998</c:v>
                </c:pt>
                <c:pt idx="123">
                  <c:v>303.94</c:v>
                </c:pt>
                <c:pt idx="124">
                  <c:v>303.73200000000003</c:v>
                </c:pt>
                <c:pt idx="125">
                  <c:v>307.91399999999999</c:v>
                </c:pt>
                <c:pt idx="126">
                  <c:v>301.37299999999999</c:v>
                </c:pt>
                <c:pt idx="127">
                  <c:v>291.43299999999999</c:v>
                </c:pt>
                <c:pt idx="128">
                  <c:v>278.84199999999998</c:v>
                </c:pt>
                <c:pt idx="129">
                  <c:v>257.62200000000001</c:v>
                </c:pt>
                <c:pt idx="130">
                  <c:v>271.60700000000003</c:v>
                </c:pt>
                <c:pt idx="131">
                  <c:v>286.10399999999998</c:v>
                </c:pt>
                <c:pt idx="132">
                  <c:v>286.09300000000002</c:v>
                </c:pt>
                <c:pt idx="133">
                  <c:v>285.35399999999998</c:v>
                </c:pt>
                <c:pt idx="134">
                  <c:v>301.637</c:v>
                </c:pt>
                <c:pt idx="135">
                  <c:v>311.81299999999999</c:v>
                </c:pt>
                <c:pt idx="136">
                  <c:v>324.39100000000002</c:v>
                </c:pt>
                <c:pt idx="137">
                  <c:v>311.322</c:v>
                </c:pt>
                <c:pt idx="138">
                  <c:v>308.76400000000001</c:v>
                </c:pt>
                <c:pt idx="139">
                  <c:v>297.46499999999997</c:v>
                </c:pt>
                <c:pt idx="140">
                  <c:v>294.49299999999999</c:v>
                </c:pt>
                <c:pt idx="141">
                  <c:v>297.57100000000003</c:v>
                </c:pt>
                <c:pt idx="142">
                  <c:v>300.73099999999999</c:v>
                </c:pt>
                <c:pt idx="143">
                  <c:v>292.60899999999998</c:v>
                </c:pt>
                <c:pt idx="144">
                  <c:v>290.55799999999999</c:v>
                </c:pt>
                <c:pt idx="145">
                  <c:v>286.51499999999999</c:v>
                </c:pt>
                <c:pt idx="146">
                  <c:v>288.51900000000001</c:v>
                </c:pt>
                <c:pt idx="147">
                  <c:v>288.46100000000001</c:v>
                </c:pt>
                <c:pt idx="148">
                  <c:v>289.37299999999999</c:v>
                </c:pt>
                <c:pt idx="149">
                  <c:v>289.03899999999999</c:v>
                </c:pt>
                <c:pt idx="150">
                  <c:v>300.82299999999998</c:v>
                </c:pt>
                <c:pt idx="151">
                  <c:v>300.68799999999999</c:v>
                </c:pt>
                <c:pt idx="152">
                  <c:v>315.39</c:v>
                </c:pt>
                <c:pt idx="153">
                  <c:v>321.89100000000002</c:v>
                </c:pt>
                <c:pt idx="154">
                  <c:v>354.23599999999999</c:v>
                </c:pt>
                <c:pt idx="155">
                  <c:v>347.56299999999999</c:v>
                </c:pt>
                <c:pt idx="156">
                  <c:v>347.005</c:v>
                </c:pt>
                <c:pt idx="157">
                  <c:v>340.60700000000003</c:v>
                </c:pt>
                <c:pt idx="158">
                  <c:v>329.12700000000001</c:v>
                </c:pt>
                <c:pt idx="159">
                  <c:v>336.97</c:v>
                </c:pt>
                <c:pt idx="160">
                  <c:v>333.74</c:v>
                </c:pt>
                <c:pt idx="161">
                  <c:v>350.69400000000002</c:v>
                </c:pt>
                <c:pt idx="162">
                  <c:v>365.995</c:v>
                </c:pt>
                <c:pt idx="163">
                  <c:v>363.48</c:v>
                </c:pt>
                <c:pt idx="164">
                  <c:v>358.84899999999999</c:v>
                </c:pt>
                <c:pt idx="165">
                  <c:v>365.56400000000002</c:v>
                </c:pt>
                <c:pt idx="166">
                  <c:v>356.012</c:v>
                </c:pt>
                <c:pt idx="167">
                  <c:v>347.22300000000001</c:v>
                </c:pt>
                <c:pt idx="168">
                  <c:v>359.53300000000002</c:v>
                </c:pt>
                <c:pt idx="169">
                  <c:v>359.83199999999999</c:v>
                </c:pt>
                <c:pt idx="170">
                  <c:v>360.61599999999999</c:v>
                </c:pt>
                <c:pt idx="171">
                  <c:v>353.93799999999999</c:v>
                </c:pt>
                <c:pt idx="172">
                  <c:v>335.45</c:v>
                </c:pt>
                <c:pt idx="173">
                  <c:v>313.84300000000002</c:v>
                </c:pt>
                <c:pt idx="174">
                  <c:v>308.50700000000001</c:v>
                </c:pt>
                <c:pt idx="175">
                  <c:v>318.07299999999998</c:v>
                </c:pt>
                <c:pt idx="176">
                  <c:v>323.11599999999999</c:v>
                </c:pt>
                <c:pt idx="177">
                  <c:v>309.221</c:v>
                </c:pt>
                <c:pt idx="178">
                  <c:v>310.762</c:v>
                </c:pt>
                <c:pt idx="179">
                  <c:v>312.94900000000001</c:v>
                </c:pt>
                <c:pt idx="180">
                  <c:v>305.75099999999998</c:v>
                </c:pt>
                <c:pt idx="181">
                  <c:v>312.09300000000002</c:v>
                </c:pt>
                <c:pt idx="182">
                  <c:v>306.24299999999999</c:v>
                </c:pt>
                <c:pt idx="183">
                  <c:v>303.40899999999999</c:v>
                </c:pt>
                <c:pt idx="184">
                  <c:v>311.33199999999999</c:v>
                </c:pt>
                <c:pt idx="185">
                  <c:v>312.58699999999999</c:v>
                </c:pt>
                <c:pt idx="186">
                  <c:v>310.04599999999999</c:v>
                </c:pt>
                <c:pt idx="187">
                  <c:v>297.43799999999999</c:v>
                </c:pt>
                <c:pt idx="188">
                  <c:v>291.62299999999999</c:v>
                </c:pt>
                <c:pt idx="189">
                  <c:v>287.13099999999997</c:v>
                </c:pt>
                <c:pt idx="190">
                  <c:v>296.73099999999999</c:v>
                </c:pt>
                <c:pt idx="191">
                  <c:v>297.529</c:v>
                </c:pt>
                <c:pt idx="192">
                  <c:v>299.99700000000001</c:v>
                </c:pt>
                <c:pt idx="193">
                  <c:v>301.73200000000003</c:v>
                </c:pt>
                <c:pt idx="194">
                  <c:v>306.70999999999998</c:v>
                </c:pt>
                <c:pt idx="195">
                  <c:v>319.37799999999999</c:v>
                </c:pt>
                <c:pt idx="196">
                  <c:v>327.53899999999999</c:v>
                </c:pt>
                <c:pt idx="197">
                  <c:v>335.67</c:v>
                </c:pt>
                <c:pt idx="198">
                  <c:v>325.06</c:v>
                </c:pt>
                <c:pt idx="199">
                  <c:v>317.56</c:v>
                </c:pt>
                <c:pt idx="200">
                  <c:v>325.98099999999999</c:v>
                </c:pt>
                <c:pt idx="201">
                  <c:v>321.83800000000002</c:v>
                </c:pt>
                <c:pt idx="202">
                  <c:v>307.08</c:v>
                </c:pt>
                <c:pt idx="203">
                  <c:v>295.99</c:v>
                </c:pt>
                <c:pt idx="204">
                  <c:v>295.47399999999999</c:v>
                </c:pt>
                <c:pt idx="205">
                  <c:v>286.69600000000003</c:v>
                </c:pt>
                <c:pt idx="206">
                  <c:v>288.839</c:v>
                </c:pt>
                <c:pt idx="207">
                  <c:v>288.05500000000001</c:v>
                </c:pt>
                <c:pt idx="208">
                  <c:v>283.59899999999999</c:v>
                </c:pt>
                <c:pt idx="209">
                  <c:v>282.29300000000001</c:v>
                </c:pt>
                <c:pt idx="210">
                  <c:v>284.86</c:v>
                </c:pt>
                <c:pt idx="211">
                  <c:v>284.64299999999997</c:v>
                </c:pt>
                <c:pt idx="212">
                  <c:v>281.90300000000002</c:v>
                </c:pt>
                <c:pt idx="213">
                  <c:v>276.76499999999999</c:v>
                </c:pt>
                <c:pt idx="214">
                  <c:v>275.50900000000001</c:v>
                </c:pt>
                <c:pt idx="215">
                  <c:v>275.22000000000003</c:v>
                </c:pt>
                <c:pt idx="216">
                  <c:v>277.00799999999998</c:v>
                </c:pt>
                <c:pt idx="217">
                  <c:v>286.161</c:v>
                </c:pt>
                <c:pt idx="218">
                  <c:v>274.351</c:v>
                </c:pt>
                <c:pt idx="219">
                  <c:v>267.52</c:v>
                </c:pt>
                <c:pt idx="220">
                  <c:v>263.06099999999998</c:v>
                </c:pt>
                <c:pt idx="221">
                  <c:v>264.89299999999997</c:v>
                </c:pt>
                <c:pt idx="222">
                  <c:v>260.03899999999999</c:v>
                </c:pt>
                <c:pt idx="223">
                  <c:v>271.69799999999998</c:v>
                </c:pt>
                <c:pt idx="224">
                  <c:v>274.49400000000003</c:v>
                </c:pt>
                <c:pt idx="225">
                  <c:v>289.19499999999999</c:v>
                </c:pt>
                <c:pt idx="226">
                  <c:v>298.18400000000003</c:v>
                </c:pt>
                <c:pt idx="227">
                  <c:v>297.24700000000001</c:v>
                </c:pt>
                <c:pt idx="228">
                  <c:v>294.46899999999999</c:v>
                </c:pt>
                <c:pt idx="229">
                  <c:v>297.53699999999998</c:v>
                </c:pt>
                <c:pt idx="230">
                  <c:v>301.43900000000002</c:v>
                </c:pt>
                <c:pt idx="231">
                  <c:v>302.452</c:v>
                </c:pt>
                <c:pt idx="232">
                  <c:v>297.33800000000002</c:v>
                </c:pt>
                <c:pt idx="233">
                  <c:v>293.714</c:v>
                </c:pt>
                <c:pt idx="234">
                  <c:v>294.80700000000002</c:v>
                </c:pt>
                <c:pt idx="235">
                  <c:v>294.7</c:v>
                </c:pt>
                <c:pt idx="236">
                  <c:v>293.97500000000002</c:v>
                </c:pt>
                <c:pt idx="237">
                  <c:v>293.54500000000002</c:v>
                </c:pt>
                <c:pt idx="238">
                  <c:v>294.971</c:v>
                </c:pt>
                <c:pt idx="239">
                  <c:v>302.49900000000002</c:v>
                </c:pt>
                <c:pt idx="240">
                  <c:v>314.90800000000002</c:v>
                </c:pt>
                <c:pt idx="241">
                  <c:v>309.39999999999998</c:v>
                </c:pt>
                <c:pt idx="242">
                  <c:v>312.63200000000001</c:v>
                </c:pt>
                <c:pt idx="243">
                  <c:v>312.61500000000001</c:v>
                </c:pt>
                <c:pt idx="244">
                  <c:v>309.69400000000002</c:v>
                </c:pt>
                <c:pt idx="245">
                  <c:v>303.64499999999998</c:v>
                </c:pt>
                <c:pt idx="246">
                  <c:v>306.517</c:v>
                </c:pt>
                <c:pt idx="247">
                  <c:v>283.86</c:v>
                </c:pt>
                <c:pt idx="248">
                  <c:v>288.46899999999999</c:v>
                </c:pt>
                <c:pt idx="249">
                  <c:v>285.64600000000002</c:v>
                </c:pt>
                <c:pt idx="250">
                  <c:v>292.31200000000001</c:v>
                </c:pt>
                <c:pt idx="251">
                  <c:v>283.66500000000002</c:v>
                </c:pt>
                <c:pt idx="252">
                  <c:v>284.798</c:v>
                </c:pt>
                <c:pt idx="253">
                  <c:v>279.10500000000002</c:v>
                </c:pt>
                <c:pt idx="254">
                  <c:v>280.93900000000002</c:v>
                </c:pt>
                <c:pt idx="255">
                  <c:v>281.10000000000002</c:v>
                </c:pt>
                <c:pt idx="256">
                  <c:v>281.10000000000002</c:v>
                </c:pt>
                <c:pt idx="257">
                  <c:v>281.10000000000002</c:v>
                </c:pt>
                <c:pt idx="258">
                  <c:v>279.69499999999999</c:v>
                </c:pt>
                <c:pt idx="259">
                  <c:v>280.41300000000001</c:v>
                </c:pt>
                <c:pt idx="260">
                  <c:v>279.47399999999999</c:v>
                </c:pt>
                <c:pt idx="261">
                  <c:v>279.47399999999999</c:v>
                </c:pt>
                <c:pt idx="262">
                  <c:v>280.42599999999999</c:v>
                </c:pt>
                <c:pt idx="263">
                  <c:v>284.90899999999999</c:v>
                </c:pt>
                <c:pt idx="264">
                  <c:v>279.5</c:v>
                </c:pt>
                <c:pt idx="265">
                  <c:v>277.84699999999998</c:v>
                </c:pt>
                <c:pt idx="266">
                  <c:v>268.45999999999998</c:v>
                </c:pt>
                <c:pt idx="267">
                  <c:v>267.63200000000001</c:v>
                </c:pt>
                <c:pt idx="268">
                  <c:v>253.399</c:v>
                </c:pt>
                <c:pt idx="269">
                  <c:v>243.26</c:v>
                </c:pt>
                <c:pt idx="270">
                  <c:v>235.291</c:v>
                </c:pt>
                <c:pt idx="271">
                  <c:v>236.50399999999999</c:v>
                </c:pt>
                <c:pt idx="272">
                  <c:v>232.73099999999999</c:v>
                </c:pt>
                <c:pt idx="273">
                  <c:v>232.51599999999999</c:v>
                </c:pt>
                <c:pt idx="274">
                  <c:v>233.02</c:v>
                </c:pt>
                <c:pt idx="275">
                  <c:v>235.75</c:v>
                </c:pt>
                <c:pt idx="276">
                  <c:v>236.173</c:v>
                </c:pt>
                <c:pt idx="277">
                  <c:v>249.43799999999999</c:v>
                </c:pt>
                <c:pt idx="278">
                  <c:v>254.74799999999999</c:v>
                </c:pt>
                <c:pt idx="279">
                  <c:v>267.65699999999998</c:v>
                </c:pt>
                <c:pt idx="280">
                  <c:v>259.28699999999998</c:v>
                </c:pt>
                <c:pt idx="281">
                  <c:v>264.20800000000003</c:v>
                </c:pt>
                <c:pt idx="282">
                  <c:v>265.02999999999997</c:v>
                </c:pt>
                <c:pt idx="283">
                  <c:v>272.654</c:v>
                </c:pt>
                <c:pt idx="284">
                  <c:v>276.18200000000002</c:v>
                </c:pt>
                <c:pt idx="285">
                  <c:v>267.584</c:v>
                </c:pt>
                <c:pt idx="286">
                  <c:v>263.69200000000001</c:v>
                </c:pt>
                <c:pt idx="287">
                  <c:v>260.755</c:v>
                </c:pt>
                <c:pt idx="288">
                  <c:v>264.97199999999998</c:v>
                </c:pt>
                <c:pt idx="289">
                  <c:v>266.00799999999998</c:v>
                </c:pt>
                <c:pt idx="290">
                  <c:v>260.95800000000003</c:v>
                </c:pt>
                <c:pt idx="291">
                  <c:v>259.59899999999999</c:v>
                </c:pt>
                <c:pt idx="292">
                  <c:v>260.214</c:v>
                </c:pt>
                <c:pt idx="293">
                  <c:v>250.79400000000001</c:v>
                </c:pt>
                <c:pt idx="294">
                  <c:v>247.27699999999999</c:v>
                </c:pt>
                <c:pt idx="295">
                  <c:v>248.86500000000001</c:v>
                </c:pt>
                <c:pt idx="296">
                  <c:v>244.31899999999999</c:v>
                </c:pt>
                <c:pt idx="297">
                  <c:v>237.62899999999999</c:v>
                </c:pt>
                <c:pt idx="298">
                  <c:v>234.697</c:v>
                </c:pt>
                <c:pt idx="299">
                  <c:v>248.18899999999999</c:v>
                </c:pt>
                <c:pt idx="300">
                  <c:v>255.77</c:v>
                </c:pt>
                <c:pt idx="301">
                  <c:v>260.32100000000003</c:v>
                </c:pt>
                <c:pt idx="302">
                  <c:v>290.00799999999998</c:v>
                </c:pt>
                <c:pt idx="303">
                  <c:v>331.57600000000002</c:v>
                </c:pt>
                <c:pt idx="304">
                  <c:v>328.18700000000001</c:v>
                </c:pt>
                <c:pt idx="305">
                  <c:v>325.07600000000002</c:v>
                </c:pt>
                <c:pt idx="306">
                  <c:v>327.35599999999999</c:v>
                </c:pt>
                <c:pt idx="307">
                  <c:v>332.59</c:v>
                </c:pt>
                <c:pt idx="308">
                  <c:v>351.661</c:v>
                </c:pt>
                <c:pt idx="309">
                  <c:v>497.15899999999999</c:v>
                </c:pt>
                <c:pt idx="310">
                  <c:v>486.87299999999999</c:v>
                </c:pt>
                <c:pt idx="311">
                  <c:v>514.13</c:v>
                </c:pt>
                <c:pt idx="312">
                  <c:v>606.10500000000002</c:v>
                </c:pt>
                <c:pt idx="313">
                  <c:v>602.74599999999998</c:v>
                </c:pt>
                <c:pt idx="314">
                  <c:v>675.66499999999996</c:v>
                </c:pt>
                <c:pt idx="315">
                  <c:v>659.351</c:v>
                </c:pt>
                <c:pt idx="316">
                  <c:v>740.08299999999997</c:v>
                </c:pt>
                <c:pt idx="317">
                  <c:v>844.38</c:v>
                </c:pt>
                <c:pt idx="318">
                  <c:v>733.71400000000006</c:v>
                </c:pt>
                <c:pt idx="319">
                  <c:v>853.66899999999998</c:v>
                </c:pt>
                <c:pt idx="320">
                  <c:v>832.27800000000002</c:v>
                </c:pt>
                <c:pt idx="321">
                  <c:v>780.3</c:v>
                </c:pt>
                <c:pt idx="322">
                  <c:v>683.96400000000006</c:v>
                </c:pt>
                <c:pt idx="323">
                  <c:v>700.53499999999997</c:v>
                </c:pt>
                <c:pt idx="324">
                  <c:v>702.96500000000003</c:v>
                </c:pt>
                <c:pt idx="325">
                  <c:v>699.81200000000001</c:v>
                </c:pt>
                <c:pt idx="326">
                  <c:v>708.86699999999996</c:v>
                </c:pt>
                <c:pt idx="327">
                  <c:v>681.423</c:v>
                </c:pt>
                <c:pt idx="328">
                  <c:v>633.90200000000004</c:v>
                </c:pt>
                <c:pt idx="329">
                  <c:v>604.24699999999996</c:v>
                </c:pt>
                <c:pt idx="330">
                  <c:v>614.94399999999996</c:v>
                </c:pt>
                <c:pt idx="331">
                  <c:v>646.63400000000001</c:v>
                </c:pt>
                <c:pt idx="332">
                  <c:v>650.31700000000001</c:v>
                </c:pt>
                <c:pt idx="333">
                  <c:v>650.31700000000001</c:v>
                </c:pt>
                <c:pt idx="334">
                  <c:v>650.31700000000001</c:v>
                </c:pt>
                <c:pt idx="335">
                  <c:v>647.15700000000004</c:v>
                </c:pt>
                <c:pt idx="336">
                  <c:v>665.96199999999999</c:v>
                </c:pt>
                <c:pt idx="337">
                  <c:v>679.10500000000002</c:v>
                </c:pt>
                <c:pt idx="338">
                  <c:v>676.76</c:v>
                </c:pt>
                <c:pt idx="339">
                  <c:v>668.71699999999998</c:v>
                </c:pt>
                <c:pt idx="340">
                  <c:v>714.38</c:v>
                </c:pt>
                <c:pt idx="341">
                  <c:v>724.38900000000001</c:v>
                </c:pt>
                <c:pt idx="342">
                  <c:v>706.01099999999997</c:v>
                </c:pt>
                <c:pt idx="343">
                  <c:v>722.81799999999998</c:v>
                </c:pt>
                <c:pt idx="344">
                  <c:v>725.803</c:v>
                </c:pt>
                <c:pt idx="345">
                  <c:v>745.57100000000003</c:v>
                </c:pt>
                <c:pt idx="346">
                  <c:v>734.58299999999997</c:v>
                </c:pt>
                <c:pt idx="347">
                  <c:v>713.697</c:v>
                </c:pt>
                <c:pt idx="348">
                  <c:v>720.572</c:v>
                </c:pt>
                <c:pt idx="349">
                  <c:v>722.221</c:v>
                </c:pt>
                <c:pt idx="350">
                  <c:v>708.13699999999994</c:v>
                </c:pt>
                <c:pt idx="351">
                  <c:v>706.9</c:v>
                </c:pt>
                <c:pt idx="352">
                  <c:v>695.45799999999997</c:v>
                </c:pt>
                <c:pt idx="353">
                  <c:v>695.45799999999997</c:v>
                </c:pt>
                <c:pt idx="354">
                  <c:v>668.07799999999997</c:v>
                </c:pt>
                <c:pt idx="355">
                  <c:v>641.07399999999996</c:v>
                </c:pt>
                <c:pt idx="356">
                  <c:v>629.98199999999997</c:v>
                </c:pt>
                <c:pt idx="357">
                  <c:v>624.88699999999994</c:v>
                </c:pt>
                <c:pt idx="358">
                  <c:v>590.28599999999994</c:v>
                </c:pt>
                <c:pt idx="359">
                  <c:v>563.26800000000003</c:v>
                </c:pt>
                <c:pt idx="360">
                  <c:v>534.63699999999994</c:v>
                </c:pt>
                <c:pt idx="361">
                  <c:v>512.13900000000001</c:v>
                </c:pt>
                <c:pt idx="362">
                  <c:v>517.29399999999998</c:v>
                </c:pt>
                <c:pt idx="363">
                  <c:v>514.62400000000002</c:v>
                </c:pt>
                <c:pt idx="364">
                  <c:v>514.62400000000002</c:v>
                </c:pt>
                <c:pt idx="365">
                  <c:v>489.14400000000001</c:v>
                </c:pt>
                <c:pt idx="366">
                  <c:v>495.202</c:v>
                </c:pt>
                <c:pt idx="367">
                  <c:v>489.19299999999998</c:v>
                </c:pt>
                <c:pt idx="368">
                  <c:v>498.29399999999998</c:v>
                </c:pt>
                <c:pt idx="369">
                  <c:v>492.714</c:v>
                </c:pt>
                <c:pt idx="370">
                  <c:v>488.03699999999998</c:v>
                </c:pt>
                <c:pt idx="371">
                  <c:v>486.26</c:v>
                </c:pt>
                <c:pt idx="372">
                  <c:v>486.70299999999997</c:v>
                </c:pt>
                <c:pt idx="373">
                  <c:v>478.88299999999998</c:v>
                </c:pt>
                <c:pt idx="374">
                  <c:v>488.92</c:v>
                </c:pt>
                <c:pt idx="375">
                  <c:v>492.678</c:v>
                </c:pt>
                <c:pt idx="376">
                  <c:v>489.87599999999998</c:v>
                </c:pt>
                <c:pt idx="377">
                  <c:v>513.90200000000004</c:v>
                </c:pt>
                <c:pt idx="378">
                  <c:v>517.08900000000006</c:v>
                </c:pt>
                <c:pt idx="379">
                  <c:v>546.89700000000005</c:v>
                </c:pt>
                <c:pt idx="380">
                  <c:v>559.77800000000002</c:v>
                </c:pt>
                <c:pt idx="381">
                  <c:v>555.04</c:v>
                </c:pt>
                <c:pt idx="382">
                  <c:v>546.94500000000005</c:v>
                </c:pt>
                <c:pt idx="383">
                  <c:v>544.851</c:v>
                </c:pt>
                <c:pt idx="384">
                  <c:v>556.88900000000001</c:v>
                </c:pt>
                <c:pt idx="385">
                  <c:v>568.697</c:v>
                </c:pt>
                <c:pt idx="386">
                  <c:v>587.92899999999997</c:v>
                </c:pt>
                <c:pt idx="387">
                  <c:v>654.51300000000003</c:v>
                </c:pt>
                <c:pt idx="388">
                  <c:v>647.89400000000001</c:v>
                </c:pt>
                <c:pt idx="389">
                  <c:v>647.85199999999998</c:v>
                </c:pt>
                <c:pt idx="390">
                  <c:v>648.12</c:v>
                </c:pt>
                <c:pt idx="391">
                  <c:v>636.09500000000003</c:v>
                </c:pt>
                <c:pt idx="392">
                  <c:v>621.38800000000003</c:v>
                </c:pt>
                <c:pt idx="393">
                  <c:v>614.42600000000004</c:v>
                </c:pt>
                <c:pt idx="394">
                  <c:v>609.85299999999995</c:v>
                </c:pt>
                <c:pt idx="395">
                  <c:v>611.72799999999995</c:v>
                </c:pt>
                <c:pt idx="396">
                  <c:v>609.15099999999995</c:v>
                </c:pt>
                <c:pt idx="397">
                  <c:v>627.23099999999999</c:v>
                </c:pt>
                <c:pt idx="398">
                  <c:v>624.83500000000004</c:v>
                </c:pt>
                <c:pt idx="399">
                  <c:v>640.70399999999995</c:v>
                </c:pt>
                <c:pt idx="400">
                  <c:v>669.51300000000003</c:v>
                </c:pt>
                <c:pt idx="401">
                  <c:v>673.59199999999998</c:v>
                </c:pt>
                <c:pt idx="402">
                  <c:v>670.49400000000003</c:v>
                </c:pt>
                <c:pt idx="403">
                  <c:v>662.029</c:v>
                </c:pt>
                <c:pt idx="404">
                  <c:v>657.55600000000004</c:v>
                </c:pt>
                <c:pt idx="405">
                  <c:v>656.62400000000002</c:v>
                </c:pt>
                <c:pt idx="406">
                  <c:v>661.51800000000003</c:v>
                </c:pt>
                <c:pt idx="407">
                  <c:v>651.423</c:v>
                </c:pt>
                <c:pt idx="408">
                  <c:v>657.54499999999996</c:v>
                </c:pt>
                <c:pt idx="409">
                  <c:v>649.09100000000001</c:v>
                </c:pt>
                <c:pt idx="410">
                  <c:v>638.774</c:v>
                </c:pt>
                <c:pt idx="411">
                  <c:v>626.34699999999998</c:v>
                </c:pt>
                <c:pt idx="412">
                  <c:v>624.03499999999997</c:v>
                </c:pt>
                <c:pt idx="413">
                  <c:v>603.13099999999997</c:v>
                </c:pt>
                <c:pt idx="414">
                  <c:v>586.47</c:v>
                </c:pt>
                <c:pt idx="415">
                  <c:v>577.97900000000004</c:v>
                </c:pt>
                <c:pt idx="416">
                  <c:v>565.97799999999995</c:v>
                </c:pt>
                <c:pt idx="417">
                  <c:v>577.60799999999995</c:v>
                </c:pt>
                <c:pt idx="418">
                  <c:v>587.79999999999995</c:v>
                </c:pt>
                <c:pt idx="419">
                  <c:v>595.024</c:v>
                </c:pt>
                <c:pt idx="420">
                  <c:v>650.40800000000002</c:v>
                </c:pt>
                <c:pt idx="421">
                  <c:v>647.88699999999994</c:v>
                </c:pt>
                <c:pt idx="422">
                  <c:v>742.73400000000004</c:v>
                </c:pt>
                <c:pt idx="423">
                  <c:v>854.55399999999997</c:v>
                </c:pt>
                <c:pt idx="424">
                  <c:v>955.05499999999995</c:v>
                </c:pt>
                <c:pt idx="425">
                  <c:v>859.39800000000002</c:v>
                </c:pt>
                <c:pt idx="426">
                  <c:v>826.44500000000005</c:v>
                </c:pt>
                <c:pt idx="427">
                  <c:v>777.59199999999998</c:v>
                </c:pt>
                <c:pt idx="428">
                  <c:v>782.23500000000001</c:v>
                </c:pt>
                <c:pt idx="429">
                  <c:v>801.875</c:v>
                </c:pt>
                <c:pt idx="430">
                  <c:v>807.39700000000005</c:v>
                </c:pt>
                <c:pt idx="431">
                  <c:v>782.58799999999997</c:v>
                </c:pt>
                <c:pt idx="432">
                  <c:v>718.63499999999999</c:v>
                </c:pt>
                <c:pt idx="433">
                  <c:v>717.21400000000006</c:v>
                </c:pt>
                <c:pt idx="434">
                  <c:v>717.21400000000006</c:v>
                </c:pt>
                <c:pt idx="435">
                  <c:v>657.572</c:v>
                </c:pt>
                <c:pt idx="436">
                  <c:v>646.15800000000002</c:v>
                </c:pt>
                <c:pt idx="437">
                  <c:v>639.84400000000005</c:v>
                </c:pt>
                <c:pt idx="438">
                  <c:v>635.74599999999998</c:v>
                </c:pt>
                <c:pt idx="439">
                  <c:v>643.505</c:v>
                </c:pt>
                <c:pt idx="440">
                  <c:v>704.20899999999995</c:v>
                </c:pt>
                <c:pt idx="441">
                  <c:v>701.35599999999999</c:v>
                </c:pt>
                <c:pt idx="442">
                  <c:v>706.72900000000004</c:v>
                </c:pt>
                <c:pt idx="443">
                  <c:v>719.77800000000002</c:v>
                </c:pt>
                <c:pt idx="444">
                  <c:v>689.50199999999995</c:v>
                </c:pt>
                <c:pt idx="445">
                  <c:v>668.00300000000004</c:v>
                </c:pt>
                <c:pt idx="446">
                  <c:v>681.48299999999995</c:v>
                </c:pt>
                <c:pt idx="447">
                  <c:v>694.90300000000002</c:v>
                </c:pt>
                <c:pt idx="448">
                  <c:v>667.48199999999997</c:v>
                </c:pt>
                <c:pt idx="449">
                  <c:v>757.29</c:v>
                </c:pt>
                <c:pt idx="450">
                  <c:v>738.70600000000002</c:v>
                </c:pt>
                <c:pt idx="451">
                  <c:v>772.99400000000003</c:v>
                </c:pt>
                <c:pt idx="452">
                  <c:v>797.16499999999996</c:v>
                </c:pt>
                <c:pt idx="453">
                  <c:v>798.15800000000002</c:v>
                </c:pt>
                <c:pt idx="454">
                  <c:v>777.83500000000004</c:v>
                </c:pt>
                <c:pt idx="455">
                  <c:v>798.43399999999997</c:v>
                </c:pt>
                <c:pt idx="456">
                  <c:v>792.34500000000003</c:v>
                </c:pt>
                <c:pt idx="457">
                  <c:v>765.39099999999996</c:v>
                </c:pt>
                <c:pt idx="458">
                  <c:v>762.73199999999997</c:v>
                </c:pt>
                <c:pt idx="459">
                  <c:v>736.93</c:v>
                </c:pt>
                <c:pt idx="460">
                  <c:v>699.94600000000003</c:v>
                </c:pt>
                <c:pt idx="461">
                  <c:v>701.04</c:v>
                </c:pt>
                <c:pt idx="462">
                  <c:v>679.01499999999999</c:v>
                </c:pt>
                <c:pt idx="463">
                  <c:v>673.77099999999996</c:v>
                </c:pt>
                <c:pt idx="464">
                  <c:v>669.84199999999998</c:v>
                </c:pt>
                <c:pt idx="465">
                  <c:v>701.68799999999999</c:v>
                </c:pt>
                <c:pt idx="466">
                  <c:v>729.95399999999995</c:v>
                </c:pt>
                <c:pt idx="467">
                  <c:v>774.44899999999996</c:v>
                </c:pt>
                <c:pt idx="468">
                  <c:v>745.65700000000004</c:v>
                </c:pt>
                <c:pt idx="469">
                  <c:v>727.02800000000002</c:v>
                </c:pt>
                <c:pt idx="470">
                  <c:v>735.10900000000004</c:v>
                </c:pt>
                <c:pt idx="471">
                  <c:v>718.93200000000002</c:v>
                </c:pt>
                <c:pt idx="472">
                  <c:v>730.851</c:v>
                </c:pt>
                <c:pt idx="473">
                  <c:v>702.74599999999998</c:v>
                </c:pt>
                <c:pt idx="474">
                  <c:v>720.87</c:v>
                </c:pt>
                <c:pt idx="475">
                  <c:v>701.00599999999997</c:v>
                </c:pt>
                <c:pt idx="476">
                  <c:v>697.75900000000001</c:v>
                </c:pt>
                <c:pt idx="477">
                  <c:v>697.51400000000001</c:v>
                </c:pt>
                <c:pt idx="478">
                  <c:v>716.27300000000002</c:v>
                </c:pt>
                <c:pt idx="479">
                  <c:v>721.38900000000001</c:v>
                </c:pt>
                <c:pt idx="480">
                  <c:v>706.85799999999995</c:v>
                </c:pt>
                <c:pt idx="481">
                  <c:v>675.32799999999997</c:v>
                </c:pt>
                <c:pt idx="482">
                  <c:v>650.39800000000002</c:v>
                </c:pt>
                <c:pt idx="483">
                  <c:v>649.15300000000002</c:v>
                </c:pt>
                <c:pt idx="484">
                  <c:v>619.04200000000003</c:v>
                </c:pt>
                <c:pt idx="485">
                  <c:v>611.81899999999996</c:v>
                </c:pt>
                <c:pt idx="486">
                  <c:v>593.65099999999995</c:v>
                </c:pt>
                <c:pt idx="487">
                  <c:v>591.16</c:v>
                </c:pt>
                <c:pt idx="488">
                  <c:v>588.63499999999999</c:v>
                </c:pt>
                <c:pt idx="489">
                  <c:v>595.91399999999999</c:v>
                </c:pt>
                <c:pt idx="490">
                  <c:v>604.93799999999999</c:v>
                </c:pt>
                <c:pt idx="491">
                  <c:v>595.57299999999998</c:v>
                </c:pt>
                <c:pt idx="492">
                  <c:v>600.17999999999995</c:v>
                </c:pt>
                <c:pt idx="493">
                  <c:v>603.98099999999999</c:v>
                </c:pt>
                <c:pt idx="494">
                  <c:v>592.28099999999995</c:v>
                </c:pt>
                <c:pt idx="495">
                  <c:v>569.39800000000002</c:v>
                </c:pt>
                <c:pt idx="496">
                  <c:v>530.94500000000005</c:v>
                </c:pt>
                <c:pt idx="497">
                  <c:v>536.53200000000004</c:v>
                </c:pt>
                <c:pt idx="498">
                  <c:v>500.14</c:v>
                </c:pt>
                <c:pt idx="499">
                  <c:v>489.72500000000002</c:v>
                </c:pt>
                <c:pt idx="500">
                  <c:v>460.774</c:v>
                </c:pt>
                <c:pt idx="501">
                  <c:v>440.32900000000001</c:v>
                </c:pt>
                <c:pt idx="502">
                  <c:v>399.71100000000001</c:v>
                </c:pt>
                <c:pt idx="503">
                  <c:v>390.69499999999999</c:v>
                </c:pt>
                <c:pt idx="504">
                  <c:v>394.2</c:v>
                </c:pt>
                <c:pt idx="505">
                  <c:v>396.315</c:v>
                </c:pt>
                <c:pt idx="506">
                  <c:v>431.5</c:v>
                </c:pt>
                <c:pt idx="507">
                  <c:v>435.82799999999997</c:v>
                </c:pt>
                <c:pt idx="508">
                  <c:v>431.18</c:v>
                </c:pt>
                <c:pt idx="509">
                  <c:v>410.7</c:v>
                </c:pt>
                <c:pt idx="510">
                  <c:v>415.255</c:v>
                </c:pt>
                <c:pt idx="511">
                  <c:v>416.87400000000002</c:v>
                </c:pt>
                <c:pt idx="512">
                  <c:v>413.99700000000001</c:v>
                </c:pt>
                <c:pt idx="513">
                  <c:v>414.03800000000001</c:v>
                </c:pt>
                <c:pt idx="514">
                  <c:v>396.24599999999998</c:v>
                </c:pt>
                <c:pt idx="515">
                  <c:v>425.08699999999999</c:v>
                </c:pt>
                <c:pt idx="516">
                  <c:v>429.34100000000001</c:v>
                </c:pt>
                <c:pt idx="517">
                  <c:v>443.67700000000002</c:v>
                </c:pt>
                <c:pt idx="518">
                  <c:v>443.67700000000002</c:v>
                </c:pt>
                <c:pt idx="519">
                  <c:v>443.67700000000002</c:v>
                </c:pt>
                <c:pt idx="520">
                  <c:v>435.125</c:v>
                </c:pt>
                <c:pt idx="521">
                  <c:v>429.74799999999999</c:v>
                </c:pt>
                <c:pt idx="522">
                  <c:v>428.92899999999997</c:v>
                </c:pt>
                <c:pt idx="523">
                  <c:v>428.92899999999997</c:v>
                </c:pt>
                <c:pt idx="524">
                  <c:v>435.80599999999998</c:v>
                </c:pt>
                <c:pt idx="525">
                  <c:v>441.16699999999997</c:v>
                </c:pt>
                <c:pt idx="526">
                  <c:v>441.37900000000002</c:v>
                </c:pt>
                <c:pt idx="527">
                  <c:v>441.245</c:v>
                </c:pt>
                <c:pt idx="528">
                  <c:v>433.01499999999999</c:v>
                </c:pt>
                <c:pt idx="529">
                  <c:v>440.08699999999999</c:v>
                </c:pt>
                <c:pt idx="530">
                  <c:v>463.76400000000001</c:v>
                </c:pt>
                <c:pt idx="531">
                  <c:v>464.26</c:v>
                </c:pt>
                <c:pt idx="532">
                  <c:v>457.315</c:v>
                </c:pt>
                <c:pt idx="533">
                  <c:v>460.392</c:v>
                </c:pt>
                <c:pt idx="534">
                  <c:v>465.87900000000002</c:v>
                </c:pt>
                <c:pt idx="535">
                  <c:v>455.28800000000001</c:v>
                </c:pt>
                <c:pt idx="536">
                  <c:v>449.91899999999998</c:v>
                </c:pt>
                <c:pt idx="537">
                  <c:v>441.65</c:v>
                </c:pt>
                <c:pt idx="538">
                  <c:v>460.86099999999999</c:v>
                </c:pt>
                <c:pt idx="539">
                  <c:v>456.21300000000002</c:v>
                </c:pt>
                <c:pt idx="540">
                  <c:v>460.62599999999998</c:v>
                </c:pt>
                <c:pt idx="541">
                  <c:v>458.13099999999997</c:v>
                </c:pt>
                <c:pt idx="542">
                  <c:v>456.846</c:v>
                </c:pt>
                <c:pt idx="543">
                  <c:v>454.01900000000001</c:v>
                </c:pt>
                <c:pt idx="544">
                  <c:v>443.29500000000002</c:v>
                </c:pt>
                <c:pt idx="545">
                  <c:v>422.423</c:v>
                </c:pt>
                <c:pt idx="546">
                  <c:v>417.69299999999998</c:v>
                </c:pt>
                <c:pt idx="547">
                  <c:v>419.017</c:v>
                </c:pt>
                <c:pt idx="548">
                  <c:v>415.358</c:v>
                </c:pt>
                <c:pt idx="549">
                  <c:v>419.59399999999999</c:v>
                </c:pt>
                <c:pt idx="550">
                  <c:v>429.24200000000002</c:v>
                </c:pt>
                <c:pt idx="551">
                  <c:v>435.20299999999997</c:v>
                </c:pt>
                <c:pt idx="552">
                  <c:v>443.66500000000002</c:v>
                </c:pt>
                <c:pt idx="553">
                  <c:v>448.06900000000002</c:v>
                </c:pt>
                <c:pt idx="554">
                  <c:v>453.12099999999998</c:v>
                </c:pt>
                <c:pt idx="555">
                  <c:v>450.28800000000001</c:v>
                </c:pt>
                <c:pt idx="556">
                  <c:v>447.529</c:v>
                </c:pt>
                <c:pt idx="557">
                  <c:v>437.29899999999998</c:v>
                </c:pt>
                <c:pt idx="558">
                  <c:v>431.99900000000002</c:v>
                </c:pt>
                <c:pt idx="559">
                  <c:v>450.92500000000001</c:v>
                </c:pt>
                <c:pt idx="560">
                  <c:v>447.56799999999998</c:v>
                </c:pt>
                <c:pt idx="561">
                  <c:v>436.572</c:v>
                </c:pt>
                <c:pt idx="562">
                  <c:v>440.17200000000003</c:v>
                </c:pt>
                <c:pt idx="563">
                  <c:v>454.31099999999998</c:v>
                </c:pt>
                <c:pt idx="564">
                  <c:v>436.34699999999998</c:v>
                </c:pt>
                <c:pt idx="565">
                  <c:v>448.88900000000001</c:v>
                </c:pt>
                <c:pt idx="566">
                  <c:v>452.23599999999999</c:v>
                </c:pt>
                <c:pt idx="567">
                  <c:v>465.71899999999999</c:v>
                </c:pt>
                <c:pt idx="568">
                  <c:v>475.61700000000002</c:v>
                </c:pt>
                <c:pt idx="569">
                  <c:v>505.73599999999999</c:v>
                </c:pt>
                <c:pt idx="570">
                  <c:v>491.24400000000003</c:v>
                </c:pt>
                <c:pt idx="571">
                  <c:v>496.33100000000002</c:v>
                </c:pt>
                <c:pt idx="572">
                  <c:v>500.327</c:v>
                </c:pt>
                <c:pt idx="573">
                  <c:v>518.77200000000005</c:v>
                </c:pt>
                <c:pt idx="574">
                  <c:v>532.63699999999994</c:v>
                </c:pt>
                <c:pt idx="575">
                  <c:v>508.61200000000002</c:v>
                </c:pt>
                <c:pt idx="576">
                  <c:v>518.83299999999997</c:v>
                </c:pt>
                <c:pt idx="577">
                  <c:v>522.34</c:v>
                </c:pt>
                <c:pt idx="578">
                  <c:v>499.99299999999999</c:v>
                </c:pt>
                <c:pt idx="579">
                  <c:v>496.18900000000002</c:v>
                </c:pt>
                <c:pt idx="580">
                  <c:v>503.16300000000001</c:v>
                </c:pt>
                <c:pt idx="581">
                  <c:v>504.75799999999998</c:v>
                </c:pt>
                <c:pt idx="582">
                  <c:v>516.16399999999999</c:v>
                </c:pt>
                <c:pt idx="583">
                  <c:v>515.28</c:v>
                </c:pt>
                <c:pt idx="584">
                  <c:v>515.02300000000002</c:v>
                </c:pt>
                <c:pt idx="585">
                  <c:v>536.79999999999995</c:v>
                </c:pt>
                <c:pt idx="586">
                  <c:v>535.21900000000005</c:v>
                </c:pt>
                <c:pt idx="587">
                  <c:v>538.54700000000003</c:v>
                </c:pt>
                <c:pt idx="588">
                  <c:v>535.66</c:v>
                </c:pt>
                <c:pt idx="589">
                  <c:v>535.66</c:v>
                </c:pt>
                <c:pt idx="590">
                  <c:v>541.98800000000006</c:v>
                </c:pt>
                <c:pt idx="591">
                  <c:v>538.27099999999996</c:v>
                </c:pt>
                <c:pt idx="592">
                  <c:v>540.68499999999995</c:v>
                </c:pt>
                <c:pt idx="593">
                  <c:v>544.59699999999998</c:v>
                </c:pt>
                <c:pt idx="594">
                  <c:v>546.40899999999999</c:v>
                </c:pt>
                <c:pt idx="595">
                  <c:v>543.29700000000003</c:v>
                </c:pt>
                <c:pt idx="596">
                  <c:v>540.35599999999999</c:v>
                </c:pt>
                <c:pt idx="597">
                  <c:v>535.34</c:v>
                </c:pt>
                <c:pt idx="598">
                  <c:v>534.92999999999995</c:v>
                </c:pt>
                <c:pt idx="599">
                  <c:v>527.49099999999999</c:v>
                </c:pt>
                <c:pt idx="600">
                  <c:v>518.65899999999999</c:v>
                </c:pt>
                <c:pt idx="601">
                  <c:v>521.20500000000004</c:v>
                </c:pt>
                <c:pt idx="602">
                  <c:v>507.76499999999999</c:v>
                </c:pt>
                <c:pt idx="603">
                  <c:v>501.28500000000003</c:v>
                </c:pt>
                <c:pt idx="604">
                  <c:v>504.56099999999998</c:v>
                </c:pt>
                <c:pt idx="605">
                  <c:v>498.47399999999999</c:v>
                </c:pt>
                <c:pt idx="606">
                  <c:v>511.95100000000002</c:v>
                </c:pt>
                <c:pt idx="607">
                  <c:v>513.20299999999997</c:v>
                </c:pt>
                <c:pt idx="608">
                  <c:v>528.21799999999996</c:v>
                </c:pt>
                <c:pt idx="609">
                  <c:v>528.21799999999996</c:v>
                </c:pt>
                <c:pt idx="610">
                  <c:v>525.67100000000005</c:v>
                </c:pt>
                <c:pt idx="611">
                  <c:v>521.779</c:v>
                </c:pt>
                <c:pt idx="612">
                  <c:v>515.18600000000004</c:v>
                </c:pt>
                <c:pt idx="613">
                  <c:v>511.005</c:v>
                </c:pt>
                <c:pt idx="614">
                  <c:v>516.92200000000003</c:v>
                </c:pt>
                <c:pt idx="615">
                  <c:v>521.12199999999996</c:v>
                </c:pt>
                <c:pt idx="616">
                  <c:v>515.17200000000003</c:v>
                </c:pt>
                <c:pt idx="617">
                  <c:v>515.41600000000005</c:v>
                </c:pt>
                <c:pt idx="618">
                  <c:v>511.57499999999999</c:v>
                </c:pt>
                <c:pt idx="619">
                  <c:v>513.93899999999996</c:v>
                </c:pt>
                <c:pt idx="620">
                  <c:v>511.58600000000001</c:v>
                </c:pt>
                <c:pt idx="621">
                  <c:v>514.53099999999995</c:v>
                </c:pt>
                <c:pt idx="622">
                  <c:v>510.76400000000001</c:v>
                </c:pt>
                <c:pt idx="623">
                  <c:v>501.72300000000001</c:v>
                </c:pt>
              </c:numCache>
            </c:numRef>
          </c:val>
          <c:smooth val="0"/>
          <c:extLst>
            <c:ext xmlns:c16="http://schemas.microsoft.com/office/drawing/2014/chart" uri="{C3380CC4-5D6E-409C-BE32-E72D297353CC}">
              <c16:uniqueId val="{00000005-4EEE-436B-AFC1-C498D6096249}"/>
            </c:ext>
          </c:extLst>
        </c:ser>
        <c:ser>
          <c:idx val="6"/>
          <c:order val="6"/>
          <c:tx>
            <c:strRef>
              <c:f>Sheet1!$H$1</c:f>
              <c:strCache>
                <c:ptCount val="1"/>
                <c:pt idx="0">
                  <c:v>Ղազախստան (2025 թ.)</c:v>
                </c:pt>
              </c:strCache>
            </c:strRef>
          </c:tx>
          <c:spPr>
            <a:ln w="28575" cap="rnd">
              <a:solidFill>
                <a:schemeClr val="accent1">
                  <a:lumMod val="60000"/>
                </a:schemeClr>
              </a:solidFill>
              <a:round/>
            </a:ln>
            <a:effectLst/>
          </c:spPr>
          <c:marker>
            <c:symbol val="none"/>
          </c:marker>
          <c:cat>
            <c:numRef>
              <c:f>Sheet1!$A$2:$A$625</c:f>
              <c:numCache>
                <c:formatCode>m\/d\/yyyy</c:formatCode>
                <c:ptCount val="624"/>
                <c:pt idx="0">
                  <c:v>43466</c:v>
                </c:pt>
                <c:pt idx="1">
                  <c:v>43467</c:v>
                </c:pt>
                <c:pt idx="2">
                  <c:v>43468</c:v>
                </c:pt>
                <c:pt idx="3">
                  <c:v>43469</c:v>
                </c:pt>
                <c:pt idx="4">
                  <c:v>43472</c:v>
                </c:pt>
                <c:pt idx="5">
                  <c:v>43473</c:v>
                </c:pt>
                <c:pt idx="6">
                  <c:v>43474</c:v>
                </c:pt>
                <c:pt idx="7">
                  <c:v>43475</c:v>
                </c:pt>
                <c:pt idx="8">
                  <c:v>43476</c:v>
                </c:pt>
                <c:pt idx="9">
                  <c:v>43479</c:v>
                </c:pt>
                <c:pt idx="10">
                  <c:v>43480</c:v>
                </c:pt>
                <c:pt idx="11">
                  <c:v>43481</c:v>
                </c:pt>
                <c:pt idx="12">
                  <c:v>43482</c:v>
                </c:pt>
                <c:pt idx="13">
                  <c:v>43483</c:v>
                </c:pt>
                <c:pt idx="14">
                  <c:v>43486</c:v>
                </c:pt>
                <c:pt idx="15">
                  <c:v>43487</c:v>
                </c:pt>
                <c:pt idx="16">
                  <c:v>43488</c:v>
                </c:pt>
                <c:pt idx="17">
                  <c:v>43489</c:v>
                </c:pt>
                <c:pt idx="18">
                  <c:v>43490</c:v>
                </c:pt>
                <c:pt idx="19">
                  <c:v>43493</c:v>
                </c:pt>
                <c:pt idx="20">
                  <c:v>43494</c:v>
                </c:pt>
                <c:pt idx="21">
                  <c:v>43495</c:v>
                </c:pt>
                <c:pt idx="22">
                  <c:v>43496</c:v>
                </c:pt>
                <c:pt idx="23">
                  <c:v>43497</c:v>
                </c:pt>
                <c:pt idx="24">
                  <c:v>43500</c:v>
                </c:pt>
                <c:pt idx="25">
                  <c:v>43501</c:v>
                </c:pt>
                <c:pt idx="26">
                  <c:v>43502</c:v>
                </c:pt>
                <c:pt idx="27">
                  <c:v>43503</c:v>
                </c:pt>
                <c:pt idx="28">
                  <c:v>43504</c:v>
                </c:pt>
                <c:pt idx="29">
                  <c:v>43507</c:v>
                </c:pt>
                <c:pt idx="30">
                  <c:v>43508</c:v>
                </c:pt>
                <c:pt idx="31">
                  <c:v>43509</c:v>
                </c:pt>
                <c:pt idx="32">
                  <c:v>43510</c:v>
                </c:pt>
                <c:pt idx="33">
                  <c:v>43511</c:v>
                </c:pt>
                <c:pt idx="34">
                  <c:v>43514</c:v>
                </c:pt>
                <c:pt idx="35">
                  <c:v>43515</c:v>
                </c:pt>
                <c:pt idx="36">
                  <c:v>43516</c:v>
                </c:pt>
                <c:pt idx="37">
                  <c:v>43517</c:v>
                </c:pt>
                <c:pt idx="38">
                  <c:v>43518</c:v>
                </c:pt>
                <c:pt idx="39">
                  <c:v>43521</c:v>
                </c:pt>
                <c:pt idx="40">
                  <c:v>43522</c:v>
                </c:pt>
                <c:pt idx="41">
                  <c:v>43523</c:v>
                </c:pt>
                <c:pt idx="42">
                  <c:v>43524</c:v>
                </c:pt>
                <c:pt idx="43">
                  <c:v>43525</c:v>
                </c:pt>
                <c:pt idx="44">
                  <c:v>43528</c:v>
                </c:pt>
                <c:pt idx="45">
                  <c:v>43529</c:v>
                </c:pt>
                <c:pt idx="46">
                  <c:v>43530</c:v>
                </c:pt>
                <c:pt idx="47">
                  <c:v>43531</c:v>
                </c:pt>
                <c:pt idx="48">
                  <c:v>43532</c:v>
                </c:pt>
                <c:pt idx="49">
                  <c:v>43535</c:v>
                </c:pt>
                <c:pt idx="50">
                  <c:v>43536</c:v>
                </c:pt>
                <c:pt idx="51">
                  <c:v>43537</c:v>
                </c:pt>
                <c:pt idx="52">
                  <c:v>43538</c:v>
                </c:pt>
                <c:pt idx="53">
                  <c:v>43539</c:v>
                </c:pt>
                <c:pt idx="54">
                  <c:v>43542</c:v>
                </c:pt>
                <c:pt idx="55">
                  <c:v>43543</c:v>
                </c:pt>
                <c:pt idx="56">
                  <c:v>43544</c:v>
                </c:pt>
                <c:pt idx="57">
                  <c:v>43545</c:v>
                </c:pt>
                <c:pt idx="58">
                  <c:v>43546</c:v>
                </c:pt>
                <c:pt idx="59">
                  <c:v>43549</c:v>
                </c:pt>
                <c:pt idx="60">
                  <c:v>43550</c:v>
                </c:pt>
                <c:pt idx="61">
                  <c:v>43551</c:v>
                </c:pt>
                <c:pt idx="62">
                  <c:v>43552</c:v>
                </c:pt>
                <c:pt idx="63">
                  <c:v>43553</c:v>
                </c:pt>
                <c:pt idx="64">
                  <c:v>43556</c:v>
                </c:pt>
                <c:pt idx="65">
                  <c:v>43557</c:v>
                </c:pt>
                <c:pt idx="66">
                  <c:v>43558</c:v>
                </c:pt>
                <c:pt idx="67">
                  <c:v>43559</c:v>
                </c:pt>
                <c:pt idx="68">
                  <c:v>43560</c:v>
                </c:pt>
                <c:pt idx="69">
                  <c:v>43563</c:v>
                </c:pt>
                <c:pt idx="70">
                  <c:v>43564</c:v>
                </c:pt>
                <c:pt idx="71">
                  <c:v>43565</c:v>
                </c:pt>
                <c:pt idx="72">
                  <c:v>43566</c:v>
                </c:pt>
                <c:pt idx="73">
                  <c:v>43567</c:v>
                </c:pt>
                <c:pt idx="74">
                  <c:v>43570</c:v>
                </c:pt>
                <c:pt idx="75">
                  <c:v>43571</c:v>
                </c:pt>
                <c:pt idx="76">
                  <c:v>43572</c:v>
                </c:pt>
                <c:pt idx="77">
                  <c:v>43573</c:v>
                </c:pt>
                <c:pt idx="78">
                  <c:v>43574</c:v>
                </c:pt>
                <c:pt idx="79">
                  <c:v>43577</c:v>
                </c:pt>
                <c:pt idx="80">
                  <c:v>43578</c:v>
                </c:pt>
                <c:pt idx="81">
                  <c:v>43579</c:v>
                </c:pt>
                <c:pt idx="82">
                  <c:v>43580</c:v>
                </c:pt>
                <c:pt idx="83">
                  <c:v>43581</c:v>
                </c:pt>
                <c:pt idx="84">
                  <c:v>43584</c:v>
                </c:pt>
                <c:pt idx="85">
                  <c:v>43585</c:v>
                </c:pt>
                <c:pt idx="86">
                  <c:v>43586</c:v>
                </c:pt>
                <c:pt idx="87">
                  <c:v>43587</c:v>
                </c:pt>
                <c:pt idx="88">
                  <c:v>43588</c:v>
                </c:pt>
                <c:pt idx="89">
                  <c:v>43591</c:v>
                </c:pt>
                <c:pt idx="90">
                  <c:v>43592</c:v>
                </c:pt>
                <c:pt idx="91">
                  <c:v>43593</c:v>
                </c:pt>
                <c:pt idx="92">
                  <c:v>43594</c:v>
                </c:pt>
                <c:pt idx="93">
                  <c:v>43595</c:v>
                </c:pt>
                <c:pt idx="94">
                  <c:v>43598</c:v>
                </c:pt>
                <c:pt idx="95">
                  <c:v>43599</c:v>
                </c:pt>
                <c:pt idx="96">
                  <c:v>43600</c:v>
                </c:pt>
                <c:pt idx="97">
                  <c:v>43601</c:v>
                </c:pt>
                <c:pt idx="98">
                  <c:v>43602</c:v>
                </c:pt>
                <c:pt idx="99">
                  <c:v>43605</c:v>
                </c:pt>
                <c:pt idx="100">
                  <c:v>43606</c:v>
                </c:pt>
                <c:pt idx="101">
                  <c:v>43607</c:v>
                </c:pt>
                <c:pt idx="102">
                  <c:v>43608</c:v>
                </c:pt>
                <c:pt idx="103">
                  <c:v>43609</c:v>
                </c:pt>
                <c:pt idx="104">
                  <c:v>43612</c:v>
                </c:pt>
                <c:pt idx="105">
                  <c:v>43613</c:v>
                </c:pt>
                <c:pt idx="106">
                  <c:v>43614</c:v>
                </c:pt>
                <c:pt idx="107">
                  <c:v>43615</c:v>
                </c:pt>
                <c:pt idx="108">
                  <c:v>43616</c:v>
                </c:pt>
                <c:pt idx="109">
                  <c:v>43619</c:v>
                </c:pt>
                <c:pt idx="110">
                  <c:v>43620</c:v>
                </c:pt>
                <c:pt idx="111">
                  <c:v>43621</c:v>
                </c:pt>
                <c:pt idx="112">
                  <c:v>43622</c:v>
                </c:pt>
                <c:pt idx="113">
                  <c:v>43623</c:v>
                </c:pt>
                <c:pt idx="114">
                  <c:v>43626</c:v>
                </c:pt>
                <c:pt idx="115">
                  <c:v>43627</c:v>
                </c:pt>
                <c:pt idx="116">
                  <c:v>43628</c:v>
                </c:pt>
                <c:pt idx="117">
                  <c:v>43629</c:v>
                </c:pt>
                <c:pt idx="118">
                  <c:v>43630</c:v>
                </c:pt>
                <c:pt idx="119">
                  <c:v>43633</c:v>
                </c:pt>
                <c:pt idx="120">
                  <c:v>43634</c:v>
                </c:pt>
                <c:pt idx="121">
                  <c:v>43635</c:v>
                </c:pt>
                <c:pt idx="122">
                  <c:v>43636</c:v>
                </c:pt>
                <c:pt idx="123">
                  <c:v>43637</c:v>
                </c:pt>
                <c:pt idx="124">
                  <c:v>43640</c:v>
                </c:pt>
                <c:pt idx="125">
                  <c:v>43641</c:v>
                </c:pt>
                <c:pt idx="126">
                  <c:v>43642</c:v>
                </c:pt>
                <c:pt idx="127">
                  <c:v>43643</c:v>
                </c:pt>
                <c:pt idx="128">
                  <c:v>43644</c:v>
                </c:pt>
                <c:pt idx="129">
                  <c:v>43647</c:v>
                </c:pt>
                <c:pt idx="130">
                  <c:v>43648</c:v>
                </c:pt>
                <c:pt idx="131">
                  <c:v>43649</c:v>
                </c:pt>
                <c:pt idx="132">
                  <c:v>43650</c:v>
                </c:pt>
                <c:pt idx="133">
                  <c:v>43651</c:v>
                </c:pt>
                <c:pt idx="134">
                  <c:v>43654</c:v>
                </c:pt>
                <c:pt idx="135">
                  <c:v>43655</c:v>
                </c:pt>
                <c:pt idx="136">
                  <c:v>43656</c:v>
                </c:pt>
                <c:pt idx="137">
                  <c:v>43657</c:v>
                </c:pt>
                <c:pt idx="138">
                  <c:v>43658</c:v>
                </c:pt>
                <c:pt idx="139">
                  <c:v>43661</c:v>
                </c:pt>
                <c:pt idx="140">
                  <c:v>43662</c:v>
                </c:pt>
                <c:pt idx="141">
                  <c:v>43663</c:v>
                </c:pt>
                <c:pt idx="142">
                  <c:v>43664</c:v>
                </c:pt>
                <c:pt idx="143">
                  <c:v>43665</c:v>
                </c:pt>
                <c:pt idx="144">
                  <c:v>43668</c:v>
                </c:pt>
                <c:pt idx="145">
                  <c:v>43669</c:v>
                </c:pt>
                <c:pt idx="146">
                  <c:v>43670</c:v>
                </c:pt>
                <c:pt idx="147">
                  <c:v>43671</c:v>
                </c:pt>
                <c:pt idx="148">
                  <c:v>43672</c:v>
                </c:pt>
                <c:pt idx="149">
                  <c:v>43675</c:v>
                </c:pt>
                <c:pt idx="150">
                  <c:v>43676</c:v>
                </c:pt>
                <c:pt idx="151">
                  <c:v>43677</c:v>
                </c:pt>
                <c:pt idx="152">
                  <c:v>43678</c:v>
                </c:pt>
                <c:pt idx="153">
                  <c:v>43679</c:v>
                </c:pt>
                <c:pt idx="154">
                  <c:v>43682</c:v>
                </c:pt>
                <c:pt idx="155">
                  <c:v>43683</c:v>
                </c:pt>
                <c:pt idx="156">
                  <c:v>43684</c:v>
                </c:pt>
                <c:pt idx="157">
                  <c:v>43685</c:v>
                </c:pt>
                <c:pt idx="158">
                  <c:v>43686</c:v>
                </c:pt>
                <c:pt idx="159">
                  <c:v>43689</c:v>
                </c:pt>
                <c:pt idx="160">
                  <c:v>43690</c:v>
                </c:pt>
                <c:pt idx="161">
                  <c:v>43691</c:v>
                </c:pt>
                <c:pt idx="162">
                  <c:v>43692</c:v>
                </c:pt>
                <c:pt idx="163">
                  <c:v>43693</c:v>
                </c:pt>
                <c:pt idx="164">
                  <c:v>43696</c:v>
                </c:pt>
                <c:pt idx="165">
                  <c:v>43697</c:v>
                </c:pt>
                <c:pt idx="166">
                  <c:v>43698</c:v>
                </c:pt>
                <c:pt idx="167">
                  <c:v>43699</c:v>
                </c:pt>
                <c:pt idx="168">
                  <c:v>43700</c:v>
                </c:pt>
                <c:pt idx="169">
                  <c:v>43703</c:v>
                </c:pt>
                <c:pt idx="170">
                  <c:v>43704</c:v>
                </c:pt>
                <c:pt idx="171">
                  <c:v>43705</c:v>
                </c:pt>
                <c:pt idx="172">
                  <c:v>43706</c:v>
                </c:pt>
                <c:pt idx="173">
                  <c:v>43707</c:v>
                </c:pt>
                <c:pt idx="174">
                  <c:v>43710</c:v>
                </c:pt>
                <c:pt idx="175">
                  <c:v>43711</c:v>
                </c:pt>
                <c:pt idx="176">
                  <c:v>43712</c:v>
                </c:pt>
                <c:pt idx="177">
                  <c:v>43713</c:v>
                </c:pt>
                <c:pt idx="178">
                  <c:v>43714</c:v>
                </c:pt>
                <c:pt idx="179">
                  <c:v>43717</c:v>
                </c:pt>
                <c:pt idx="180">
                  <c:v>43718</c:v>
                </c:pt>
                <c:pt idx="181">
                  <c:v>43719</c:v>
                </c:pt>
                <c:pt idx="182">
                  <c:v>43720</c:v>
                </c:pt>
                <c:pt idx="183">
                  <c:v>43721</c:v>
                </c:pt>
                <c:pt idx="184">
                  <c:v>43724</c:v>
                </c:pt>
                <c:pt idx="185">
                  <c:v>43725</c:v>
                </c:pt>
                <c:pt idx="186">
                  <c:v>43726</c:v>
                </c:pt>
                <c:pt idx="187">
                  <c:v>43727</c:v>
                </c:pt>
                <c:pt idx="188">
                  <c:v>43728</c:v>
                </c:pt>
                <c:pt idx="189">
                  <c:v>43731</c:v>
                </c:pt>
                <c:pt idx="190">
                  <c:v>43732</c:v>
                </c:pt>
                <c:pt idx="191">
                  <c:v>43733</c:v>
                </c:pt>
                <c:pt idx="192">
                  <c:v>43734</c:v>
                </c:pt>
                <c:pt idx="193">
                  <c:v>43735</c:v>
                </c:pt>
                <c:pt idx="194">
                  <c:v>43738</c:v>
                </c:pt>
                <c:pt idx="195">
                  <c:v>43739</c:v>
                </c:pt>
                <c:pt idx="196">
                  <c:v>43740</c:v>
                </c:pt>
                <c:pt idx="197">
                  <c:v>43741</c:v>
                </c:pt>
                <c:pt idx="198">
                  <c:v>43742</c:v>
                </c:pt>
                <c:pt idx="199">
                  <c:v>43745</c:v>
                </c:pt>
                <c:pt idx="200">
                  <c:v>43746</c:v>
                </c:pt>
                <c:pt idx="201">
                  <c:v>43747</c:v>
                </c:pt>
                <c:pt idx="202">
                  <c:v>43748</c:v>
                </c:pt>
                <c:pt idx="203">
                  <c:v>43749</c:v>
                </c:pt>
                <c:pt idx="204">
                  <c:v>43752</c:v>
                </c:pt>
                <c:pt idx="205">
                  <c:v>43753</c:v>
                </c:pt>
                <c:pt idx="206">
                  <c:v>43754</c:v>
                </c:pt>
                <c:pt idx="207">
                  <c:v>43755</c:v>
                </c:pt>
                <c:pt idx="208">
                  <c:v>43756</c:v>
                </c:pt>
                <c:pt idx="209">
                  <c:v>43759</c:v>
                </c:pt>
                <c:pt idx="210">
                  <c:v>43760</c:v>
                </c:pt>
                <c:pt idx="211">
                  <c:v>43761</c:v>
                </c:pt>
                <c:pt idx="212">
                  <c:v>43762</c:v>
                </c:pt>
                <c:pt idx="213">
                  <c:v>43763</c:v>
                </c:pt>
                <c:pt idx="214">
                  <c:v>43766</c:v>
                </c:pt>
                <c:pt idx="215">
                  <c:v>43767</c:v>
                </c:pt>
                <c:pt idx="216">
                  <c:v>43768</c:v>
                </c:pt>
                <c:pt idx="217">
                  <c:v>43769</c:v>
                </c:pt>
                <c:pt idx="218">
                  <c:v>43770</c:v>
                </c:pt>
                <c:pt idx="219">
                  <c:v>43773</c:v>
                </c:pt>
                <c:pt idx="220">
                  <c:v>43774</c:v>
                </c:pt>
                <c:pt idx="221">
                  <c:v>43775</c:v>
                </c:pt>
                <c:pt idx="222">
                  <c:v>43776</c:v>
                </c:pt>
                <c:pt idx="223">
                  <c:v>43777</c:v>
                </c:pt>
                <c:pt idx="224">
                  <c:v>43780</c:v>
                </c:pt>
                <c:pt idx="225">
                  <c:v>43781</c:v>
                </c:pt>
                <c:pt idx="226">
                  <c:v>43782</c:v>
                </c:pt>
                <c:pt idx="227">
                  <c:v>43783</c:v>
                </c:pt>
                <c:pt idx="228">
                  <c:v>43784</c:v>
                </c:pt>
                <c:pt idx="229">
                  <c:v>43787</c:v>
                </c:pt>
                <c:pt idx="230">
                  <c:v>43788</c:v>
                </c:pt>
                <c:pt idx="231">
                  <c:v>43789</c:v>
                </c:pt>
                <c:pt idx="232">
                  <c:v>43790</c:v>
                </c:pt>
                <c:pt idx="233">
                  <c:v>43791</c:v>
                </c:pt>
                <c:pt idx="234">
                  <c:v>43794</c:v>
                </c:pt>
                <c:pt idx="235">
                  <c:v>43795</c:v>
                </c:pt>
                <c:pt idx="236">
                  <c:v>43796</c:v>
                </c:pt>
                <c:pt idx="237">
                  <c:v>43797</c:v>
                </c:pt>
                <c:pt idx="238">
                  <c:v>43798</c:v>
                </c:pt>
                <c:pt idx="239">
                  <c:v>43801</c:v>
                </c:pt>
                <c:pt idx="240">
                  <c:v>43802</c:v>
                </c:pt>
                <c:pt idx="241">
                  <c:v>43803</c:v>
                </c:pt>
                <c:pt idx="242">
                  <c:v>43804</c:v>
                </c:pt>
                <c:pt idx="243">
                  <c:v>43805</c:v>
                </c:pt>
                <c:pt idx="244">
                  <c:v>43808</c:v>
                </c:pt>
                <c:pt idx="245">
                  <c:v>43809</c:v>
                </c:pt>
                <c:pt idx="246">
                  <c:v>43810</c:v>
                </c:pt>
                <c:pt idx="247">
                  <c:v>43811</c:v>
                </c:pt>
                <c:pt idx="248">
                  <c:v>43812</c:v>
                </c:pt>
                <c:pt idx="249">
                  <c:v>43815</c:v>
                </c:pt>
                <c:pt idx="250">
                  <c:v>43816</c:v>
                </c:pt>
                <c:pt idx="251">
                  <c:v>43817</c:v>
                </c:pt>
                <c:pt idx="252">
                  <c:v>43818</c:v>
                </c:pt>
                <c:pt idx="253">
                  <c:v>43819</c:v>
                </c:pt>
                <c:pt idx="254">
                  <c:v>43822</c:v>
                </c:pt>
                <c:pt idx="255">
                  <c:v>43823</c:v>
                </c:pt>
                <c:pt idx="256">
                  <c:v>43824</c:v>
                </c:pt>
                <c:pt idx="257">
                  <c:v>43825</c:v>
                </c:pt>
                <c:pt idx="258">
                  <c:v>43826</c:v>
                </c:pt>
                <c:pt idx="259">
                  <c:v>43829</c:v>
                </c:pt>
                <c:pt idx="260">
                  <c:v>43830</c:v>
                </c:pt>
                <c:pt idx="261">
                  <c:v>43831</c:v>
                </c:pt>
                <c:pt idx="262">
                  <c:v>43832</c:v>
                </c:pt>
                <c:pt idx="263">
                  <c:v>43833</c:v>
                </c:pt>
                <c:pt idx="264">
                  <c:v>43836</c:v>
                </c:pt>
                <c:pt idx="265">
                  <c:v>43837</c:v>
                </c:pt>
                <c:pt idx="266">
                  <c:v>43838</c:v>
                </c:pt>
                <c:pt idx="267">
                  <c:v>43839</c:v>
                </c:pt>
                <c:pt idx="268">
                  <c:v>43840</c:v>
                </c:pt>
                <c:pt idx="269">
                  <c:v>43843</c:v>
                </c:pt>
                <c:pt idx="270">
                  <c:v>43844</c:v>
                </c:pt>
                <c:pt idx="271">
                  <c:v>43845</c:v>
                </c:pt>
                <c:pt idx="272">
                  <c:v>43846</c:v>
                </c:pt>
                <c:pt idx="273">
                  <c:v>43847</c:v>
                </c:pt>
                <c:pt idx="274">
                  <c:v>43850</c:v>
                </c:pt>
                <c:pt idx="275">
                  <c:v>43851</c:v>
                </c:pt>
                <c:pt idx="276">
                  <c:v>43852</c:v>
                </c:pt>
                <c:pt idx="277">
                  <c:v>43853</c:v>
                </c:pt>
                <c:pt idx="278">
                  <c:v>43854</c:v>
                </c:pt>
                <c:pt idx="279">
                  <c:v>43857</c:v>
                </c:pt>
                <c:pt idx="280">
                  <c:v>43858</c:v>
                </c:pt>
                <c:pt idx="281">
                  <c:v>43859</c:v>
                </c:pt>
                <c:pt idx="282">
                  <c:v>43860</c:v>
                </c:pt>
                <c:pt idx="283">
                  <c:v>43861</c:v>
                </c:pt>
                <c:pt idx="284">
                  <c:v>43864</c:v>
                </c:pt>
                <c:pt idx="285">
                  <c:v>43865</c:v>
                </c:pt>
                <c:pt idx="286">
                  <c:v>43866</c:v>
                </c:pt>
                <c:pt idx="287">
                  <c:v>43867</c:v>
                </c:pt>
                <c:pt idx="288">
                  <c:v>43868</c:v>
                </c:pt>
                <c:pt idx="289">
                  <c:v>43871</c:v>
                </c:pt>
                <c:pt idx="290">
                  <c:v>43872</c:v>
                </c:pt>
                <c:pt idx="291">
                  <c:v>43873</c:v>
                </c:pt>
                <c:pt idx="292">
                  <c:v>43874</c:v>
                </c:pt>
                <c:pt idx="293">
                  <c:v>43875</c:v>
                </c:pt>
                <c:pt idx="294">
                  <c:v>43878</c:v>
                </c:pt>
                <c:pt idx="295">
                  <c:v>43879</c:v>
                </c:pt>
                <c:pt idx="296">
                  <c:v>43880</c:v>
                </c:pt>
                <c:pt idx="297">
                  <c:v>43881</c:v>
                </c:pt>
                <c:pt idx="298">
                  <c:v>43882</c:v>
                </c:pt>
                <c:pt idx="299">
                  <c:v>43885</c:v>
                </c:pt>
                <c:pt idx="300">
                  <c:v>43886</c:v>
                </c:pt>
                <c:pt idx="301">
                  <c:v>43887</c:v>
                </c:pt>
                <c:pt idx="302">
                  <c:v>43888</c:v>
                </c:pt>
                <c:pt idx="303">
                  <c:v>43889</c:v>
                </c:pt>
                <c:pt idx="304">
                  <c:v>43892</c:v>
                </c:pt>
                <c:pt idx="305">
                  <c:v>43893</c:v>
                </c:pt>
                <c:pt idx="306">
                  <c:v>43894</c:v>
                </c:pt>
                <c:pt idx="307">
                  <c:v>43895</c:v>
                </c:pt>
                <c:pt idx="308">
                  <c:v>43896</c:v>
                </c:pt>
                <c:pt idx="309">
                  <c:v>43899</c:v>
                </c:pt>
                <c:pt idx="310">
                  <c:v>43900</c:v>
                </c:pt>
                <c:pt idx="311">
                  <c:v>43901</c:v>
                </c:pt>
                <c:pt idx="312">
                  <c:v>43902</c:v>
                </c:pt>
                <c:pt idx="313">
                  <c:v>43903</c:v>
                </c:pt>
                <c:pt idx="314">
                  <c:v>43906</c:v>
                </c:pt>
                <c:pt idx="315">
                  <c:v>43907</c:v>
                </c:pt>
                <c:pt idx="316">
                  <c:v>43908</c:v>
                </c:pt>
                <c:pt idx="317">
                  <c:v>43909</c:v>
                </c:pt>
                <c:pt idx="318">
                  <c:v>43910</c:v>
                </c:pt>
                <c:pt idx="319">
                  <c:v>43913</c:v>
                </c:pt>
                <c:pt idx="320">
                  <c:v>43914</c:v>
                </c:pt>
                <c:pt idx="321">
                  <c:v>43915</c:v>
                </c:pt>
                <c:pt idx="322">
                  <c:v>43916</c:v>
                </c:pt>
                <c:pt idx="323">
                  <c:v>43917</c:v>
                </c:pt>
                <c:pt idx="324">
                  <c:v>43920</c:v>
                </c:pt>
                <c:pt idx="325">
                  <c:v>43921</c:v>
                </c:pt>
                <c:pt idx="326">
                  <c:v>43922</c:v>
                </c:pt>
                <c:pt idx="327">
                  <c:v>43923</c:v>
                </c:pt>
                <c:pt idx="328">
                  <c:v>43924</c:v>
                </c:pt>
                <c:pt idx="329">
                  <c:v>43927</c:v>
                </c:pt>
                <c:pt idx="330">
                  <c:v>43928</c:v>
                </c:pt>
                <c:pt idx="331">
                  <c:v>43929</c:v>
                </c:pt>
                <c:pt idx="332">
                  <c:v>43930</c:v>
                </c:pt>
                <c:pt idx="333">
                  <c:v>43931</c:v>
                </c:pt>
                <c:pt idx="334">
                  <c:v>43934</c:v>
                </c:pt>
                <c:pt idx="335">
                  <c:v>43935</c:v>
                </c:pt>
                <c:pt idx="336">
                  <c:v>43936</c:v>
                </c:pt>
                <c:pt idx="337">
                  <c:v>43937</c:v>
                </c:pt>
                <c:pt idx="338">
                  <c:v>43938</c:v>
                </c:pt>
                <c:pt idx="339">
                  <c:v>43941</c:v>
                </c:pt>
                <c:pt idx="340">
                  <c:v>43942</c:v>
                </c:pt>
                <c:pt idx="341">
                  <c:v>43943</c:v>
                </c:pt>
                <c:pt idx="342">
                  <c:v>43944</c:v>
                </c:pt>
                <c:pt idx="343">
                  <c:v>43945</c:v>
                </c:pt>
                <c:pt idx="344">
                  <c:v>43948</c:v>
                </c:pt>
                <c:pt idx="345">
                  <c:v>43949</c:v>
                </c:pt>
                <c:pt idx="346">
                  <c:v>43950</c:v>
                </c:pt>
                <c:pt idx="347">
                  <c:v>43951</c:v>
                </c:pt>
                <c:pt idx="348">
                  <c:v>43952</c:v>
                </c:pt>
                <c:pt idx="349">
                  <c:v>43955</c:v>
                </c:pt>
                <c:pt idx="350">
                  <c:v>43956</c:v>
                </c:pt>
                <c:pt idx="351">
                  <c:v>43957</c:v>
                </c:pt>
                <c:pt idx="352">
                  <c:v>43958</c:v>
                </c:pt>
                <c:pt idx="353">
                  <c:v>43959</c:v>
                </c:pt>
                <c:pt idx="354">
                  <c:v>43962</c:v>
                </c:pt>
                <c:pt idx="355">
                  <c:v>43963</c:v>
                </c:pt>
                <c:pt idx="356">
                  <c:v>43964</c:v>
                </c:pt>
                <c:pt idx="357">
                  <c:v>43965</c:v>
                </c:pt>
                <c:pt idx="358">
                  <c:v>43966</c:v>
                </c:pt>
                <c:pt idx="359">
                  <c:v>43969</c:v>
                </c:pt>
                <c:pt idx="360">
                  <c:v>43970</c:v>
                </c:pt>
                <c:pt idx="361">
                  <c:v>43971</c:v>
                </c:pt>
                <c:pt idx="362">
                  <c:v>43972</c:v>
                </c:pt>
                <c:pt idx="363">
                  <c:v>43973</c:v>
                </c:pt>
                <c:pt idx="364">
                  <c:v>43976</c:v>
                </c:pt>
                <c:pt idx="365">
                  <c:v>43977</c:v>
                </c:pt>
                <c:pt idx="366">
                  <c:v>43978</c:v>
                </c:pt>
                <c:pt idx="367">
                  <c:v>43979</c:v>
                </c:pt>
                <c:pt idx="368">
                  <c:v>43980</c:v>
                </c:pt>
                <c:pt idx="369">
                  <c:v>43983</c:v>
                </c:pt>
                <c:pt idx="370">
                  <c:v>43984</c:v>
                </c:pt>
                <c:pt idx="371">
                  <c:v>43985</c:v>
                </c:pt>
                <c:pt idx="372">
                  <c:v>43986</c:v>
                </c:pt>
                <c:pt idx="373">
                  <c:v>43987</c:v>
                </c:pt>
                <c:pt idx="374">
                  <c:v>43990</c:v>
                </c:pt>
                <c:pt idx="375">
                  <c:v>43991</c:v>
                </c:pt>
                <c:pt idx="376">
                  <c:v>43992</c:v>
                </c:pt>
                <c:pt idx="377">
                  <c:v>43993</c:v>
                </c:pt>
                <c:pt idx="378">
                  <c:v>43994</c:v>
                </c:pt>
                <c:pt idx="379">
                  <c:v>43997</c:v>
                </c:pt>
                <c:pt idx="380">
                  <c:v>43998</c:v>
                </c:pt>
                <c:pt idx="381">
                  <c:v>43999</c:v>
                </c:pt>
                <c:pt idx="382">
                  <c:v>44000</c:v>
                </c:pt>
                <c:pt idx="383">
                  <c:v>44001</c:v>
                </c:pt>
                <c:pt idx="384">
                  <c:v>44004</c:v>
                </c:pt>
                <c:pt idx="385">
                  <c:v>44005</c:v>
                </c:pt>
                <c:pt idx="386">
                  <c:v>44006</c:v>
                </c:pt>
                <c:pt idx="387">
                  <c:v>44007</c:v>
                </c:pt>
                <c:pt idx="388">
                  <c:v>44008</c:v>
                </c:pt>
                <c:pt idx="389">
                  <c:v>44011</c:v>
                </c:pt>
                <c:pt idx="390">
                  <c:v>44012</c:v>
                </c:pt>
                <c:pt idx="391">
                  <c:v>44013</c:v>
                </c:pt>
                <c:pt idx="392">
                  <c:v>44014</c:v>
                </c:pt>
                <c:pt idx="393">
                  <c:v>44015</c:v>
                </c:pt>
                <c:pt idx="394">
                  <c:v>44018</c:v>
                </c:pt>
                <c:pt idx="395">
                  <c:v>44019</c:v>
                </c:pt>
                <c:pt idx="396">
                  <c:v>44020</c:v>
                </c:pt>
                <c:pt idx="397">
                  <c:v>44021</c:v>
                </c:pt>
                <c:pt idx="398">
                  <c:v>44022</c:v>
                </c:pt>
                <c:pt idx="399">
                  <c:v>44025</c:v>
                </c:pt>
                <c:pt idx="400">
                  <c:v>44026</c:v>
                </c:pt>
                <c:pt idx="401">
                  <c:v>44027</c:v>
                </c:pt>
                <c:pt idx="402">
                  <c:v>44028</c:v>
                </c:pt>
                <c:pt idx="403">
                  <c:v>44029</c:v>
                </c:pt>
                <c:pt idx="404">
                  <c:v>44032</c:v>
                </c:pt>
                <c:pt idx="405">
                  <c:v>44033</c:v>
                </c:pt>
                <c:pt idx="406">
                  <c:v>44034</c:v>
                </c:pt>
                <c:pt idx="407">
                  <c:v>44035</c:v>
                </c:pt>
                <c:pt idx="408">
                  <c:v>44036</c:v>
                </c:pt>
                <c:pt idx="409">
                  <c:v>44039</c:v>
                </c:pt>
                <c:pt idx="410">
                  <c:v>44040</c:v>
                </c:pt>
                <c:pt idx="411">
                  <c:v>44041</c:v>
                </c:pt>
                <c:pt idx="412">
                  <c:v>44042</c:v>
                </c:pt>
                <c:pt idx="413">
                  <c:v>44043</c:v>
                </c:pt>
                <c:pt idx="414">
                  <c:v>44046</c:v>
                </c:pt>
                <c:pt idx="415">
                  <c:v>44047</c:v>
                </c:pt>
                <c:pt idx="416">
                  <c:v>44048</c:v>
                </c:pt>
                <c:pt idx="417">
                  <c:v>44049</c:v>
                </c:pt>
                <c:pt idx="418">
                  <c:v>44050</c:v>
                </c:pt>
                <c:pt idx="419">
                  <c:v>44053</c:v>
                </c:pt>
                <c:pt idx="420">
                  <c:v>44054</c:v>
                </c:pt>
                <c:pt idx="421">
                  <c:v>44055</c:v>
                </c:pt>
                <c:pt idx="422">
                  <c:v>44056</c:v>
                </c:pt>
                <c:pt idx="423">
                  <c:v>44057</c:v>
                </c:pt>
                <c:pt idx="424">
                  <c:v>44060</c:v>
                </c:pt>
                <c:pt idx="425">
                  <c:v>44061</c:v>
                </c:pt>
                <c:pt idx="426">
                  <c:v>44062</c:v>
                </c:pt>
                <c:pt idx="427">
                  <c:v>44063</c:v>
                </c:pt>
                <c:pt idx="428">
                  <c:v>44064</c:v>
                </c:pt>
                <c:pt idx="429">
                  <c:v>44067</c:v>
                </c:pt>
                <c:pt idx="430">
                  <c:v>44068</c:v>
                </c:pt>
                <c:pt idx="431">
                  <c:v>44069</c:v>
                </c:pt>
                <c:pt idx="432">
                  <c:v>44070</c:v>
                </c:pt>
                <c:pt idx="433">
                  <c:v>44071</c:v>
                </c:pt>
                <c:pt idx="434">
                  <c:v>44074</c:v>
                </c:pt>
                <c:pt idx="435">
                  <c:v>44075</c:v>
                </c:pt>
                <c:pt idx="436">
                  <c:v>44076</c:v>
                </c:pt>
                <c:pt idx="437">
                  <c:v>44077</c:v>
                </c:pt>
                <c:pt idx="438">
                  <c:v>44078</c:v>
                </c:pt>
                <c:pt idx="439">
                  <c:v>44081</c:v>
                </c:pt>
                <c:pt idx="440">
                  <c:v>44082</c:v>
                </c:pt>
                <c:pt idx="441">
                  <c:v>44083</c:v>
                </c:pt>
                <c:pt idx="442">
                  <c:v>44084</c:v>
                </c:pt>
                <c:pt idx="443">
                  <c:v>44085</c:v>
                </c:pt>
                <c:pt idx="444">
                  <c:v>44088</c:v>
                </c:pt>
                <c:pt idx="445">
                  <c:v>44089</c:v>
                </c:pt>
                <c:pt idx="446">
                  <c:v>44090</c:v>
                </c:pt>
                <c:pt idx="447">
                  <c:v>44091</c:v>
                </c:pt>
                <c:pt idx="448">
                  <c:v>44092</c:v>
                </c:pt>
                <c:pt idx="449">
                  <c:v>44095</c:v>
                </c:pt>
                <c:pt idx="450">
                  <c:v>44096</c:v>
                </c:pt>
                <c:pt idx="451">
                  <c:v>44097</c:v>
                </c:pt>
                <c:pt idx="452">
                  <c:v>44098</c:v>
                </c:pt>
                <c:pt idx="453">
                  <c:v>44099</c:v>
                </c:pt>
                <c:pt idx="454">
                  <c:v>44102</c:v>
                </c:pt>
                <c:pt idx="455">
                  <c:v>44103</c:v>
                </c:pt>
                <c:pt idx="456">
                  <c:v>44104</c:v>
                </c:pt>
                <c:pt idx="457">
                  <c:v>44105</c:v>
                </c:pt>
                <c:pt idx="458">
                  <c:v>44106</c:v>
                </c:pt>
                <c:pt idx="459">
                  <c:v>44109</c:v>
                </c:pt>
                <c:pt idx="460">
                  <c:v>44110</c:v>
                </c:pt>
                <c:pt idx="461">
                  <c:v>44111</c:v>
                </c:pt>
                <c:pt idx="462">
                  <c:v>44112</c:v>
                </c:pt>
                <c:pt idx="463">
                  <c:v>44113</c:v>
                </c:pt>
                <c:pt idx="464">
                  <c:v>44116</c:v>
                </c:pt>
                <c:pt idx="465">
                  <c:v>44117</c:v>
                </c:pt>
                <c:pt idx="466">
                  <c:v>44118</c:v>
                </c:pt>
                <c:pt idx="467">
                  <c:v>44119</c:v>
                </c:pt>
                <c:pt idx="468">
                  <c:v>44120</c:v>
                </c:pt>
                <c:pt idx="469">
                  <c:v>44123</c:v>
                </c:pt>
                <c:pt idx="470">
                  <c:v>44124</c:v>
                </c:pt>
                <c:pt idx="471">
                  <c:v>44125</c:v>
                </c:pt>
                <c:pt idx="472">
                  <c:v>44126</c:v>
                </c:pt>
                <c:pt idx="473">
                  <c:v>44127</c:v>
                </c:pt>
                <c:pt idx="474">
                  <c:v>44130</c:v>
                </c:pt>
                <c:pt idx="475">
                  <c:v>44131</c:v>
                </c:pt>
                <c:pt idx="476">
                  <c:v>44132</c:v>
                </c:pt>
                <c:pt idx="477">
                  <c:v>44133</c:v>
                </c:pt>
                <c:pt idx="478">
                  <c:v>44134</c:v>
                </c:pt>
                <c:pt idx="479">
                  <c:v>44137</c:v>
                </c:pt>
                <c:pt idx="480">
                  <c:v>44138</c:v>
                </c:pt>
                <c:pt idx="481">
                  <c:v>44139</c:v>
                </c:pt>
                <c:pt idx="482">
                  <c:v>44140</c:v>
                </c:pt>
                <c:pt idx="483">
                  <c:v>44141</c:v>
                </c:pt>
                <c:pt idx="484">
                  <c:v>44144</c:v>
                </c:pt>
                <c:pt idx="485">
                  <c:v>44145</c:v>
                </c:pt>
                <c:pt idx="486">
                  <c:v>44146</c:v>
                </c:pt>
                <c:pt idx="487">
                  <c:v>44147</c:v>
                </c:pt>
                <c:pt idx="488">
                  <c:v>44148</c:v>
                </c:pt>
                <c:pt idx="489">
                  <c:v>44151</c:v>
                </c:pt>
                <c:pt idx="490">
                  <c:v>44152</c:v>
                </c:pt>
                <c:pt idx="491">
                  <c:v>44153</c:v>
                </c:pt>
                <c:pt idx="492">
                  <c:v>44154</c:v>
                </c:pt>
                <c:pt idx="493">
                  <c:v>44155</c:v>
                </c:pt>
                <c:pt idx="494">
                  <c:v>44158</c:v>
                </c:pt>
                <c:pt idx="495">
                  <c:v>44159</c:v>
                </c:pt>
                <c:pt idx="496">
                  <c:v>44160</c:v>
                </c:pt>
                <c:pt idx="497">
                  <c:v>44161</c:v>
                </c:pt>
                <c:pt idx="498">
                  <c:v>44162</c:v>
                </c:pt>
                <c:pt idx="499">
                  <c:v>44165</c:v>
                </c:pt>
                <c:pt idx="500">
                  <c:v>44166</c:v>
                </c:pt>
                <c:pt idx="501">
                  <c:v>44167</c:v>
                </c:pt>
                <c:pt idx="502">
                  <c:v>44168</c:v>
                </c:pt>
                <c:pt idx="503">
                  <c:v>44169</c:v>
                </c:pt>
                <c:pt idx="504">
                  <c:v>44172</c:v>
                </c:pt>
                <c:pt idx="505">
                  <c:v>44173</c:v>
                </c:pt>
                <c:pt idx="506">
                  <c:v>44174</c:v>
                </c:pt>
                <c:pt idx="507">
                  <c:v>44175</c:v>
                </c:pt>
                <c:pt idx="508">
                  <c:v>44176</c:v>
                </c:pt>
                <c:pt idx="509">
                  <c:v>44179</c:v>
                </c:pt>
                <c:pt idx="510">
                  <c:v>44180</c:v>
                </c:pt>
                <c:pt idx="511">
                  <c:v>44181</c:v>
                </c:pt>
                <c:pt idx="512">
                  <c:v>44182</c:v>
                </c:pt>
                <c:pt idx="513">
                  <c:v>44183</c:v>
                </c:pt>
                <c:pt idx="514">
                  <c:v>44186</c:v>
                </c:pt>
                <c:pt idx="515">
                  <c:v>44187</c:v>
                </c:pt>
                <c:pt idx="516">
                  <c:v>44188</c:v>
                </c:pt>
                <c:pt idx="517">
                  <c:v>44189</c:v>
                </c:pt>
                <c:pt idx="518">
                  <c:v>44190</c:v>
                </c:pt>
                <c:pt idx="519">
                  <c:v>44193</c:v>
                </c:pt>
                <c:pt idx="520">
                  <c:v>44194</c:v>
                </c:pt>
                <c:pt idx="521">
                  <c:v>44195</c:v>
                </c:pt>
                <c:pt idx="522">
                  <c:v>44196</c:v>
                </c:pt>
                <c:pt idx="523">
                  <c:v>44197</c:v>
                </c:pt>
                <c:pt idx="524">
                  <c:v>44200</c:v>
                </c:pt>
                <c:pt idx="525">
                  <c:v>44201</c:v>
                </c:pt>
                <c:pt idx="526">
                  <c:v>44202</c:v>
                </c:pt>
                <c:pt idx="527">
                  <c:v>44203</c:v>
                </c:pt>
                <c:pt idx="528">
                  <c:v>44204</c:v>
                </c:pt>
                <c:pt idx="529">
                  <c:v>44207</c:v>
                </c:pt>
                <c:pt idx="530">
                  <c:v>44208</c:v>
                </c:pt>
                <c:pt idx="531">
                  <c:v>44209</c:v>
                </c:pt>
                <c:pt idx="532">
                  <c:v>44210</c:v>
                </c:pt>
                <c:pt idx="533">
                  <c:v>44211</c:v>
                </c:pt>
                <c:pt idx="534">
                  <c:v>44214</c:v>
                </c:pt>
                <c:pt idx="535">
                  <c:v>44215</c:v>
                </c:pt>
                <c:pt idx="536">
                  <c:v>44216</c:v>
                </c:pt>
                <c:pt idx="537">
                  <c:v>44217</c:v>
                </c:pt>
                <c:pt idx="538">
                  <c:v>44218</c:v>
                </c:pt>
                <c:pt idx="539">
                  <c:v>44221</c:v>
                </c:pt>
                <c:pt idx="540">
                  <c:v>44222</c:v>
                </c:pt>
                <c:pt idx="541">
                  <c:v>44223</c:v>
                </c:pt>
                <c:pt idx="542">
                  <c:v>44224</c:v>
                </c:pt>
                <c:pt idx="543">
                  <c:v>44225</c:v>
                </c:pt>
                <c:pt idx="544">
                  <c:v>44228</c:v>
                </c:pt>
                <c:pt idx="545">
                  <c:v>44229</c:v>
                </c:pt>
                <c:pt idx="546">
                  <c:v>44230</c:v>
                </c:pt>
                <c:pt idx="547">
                  <c:v>44231</c:v>
                </c:pt>
                <c:pt idx="548">
                  <c:v>44232</c:v>
                </c:pt>
                <c:pt idx="549">
                  <c:v>44235</c:v>
                </c:pt>
                <c:pt idx="550">
                  <c:v>44236</c:v>
                </c:pt>
                <c:pt idx="551">
                  <c:v>44237</c:v>
                </c:pt>
                <c:pt idx="552">
                  <c:v>44238</c:v>
                </c:pt>
                <c:pt idx="553">
                  <c:v>44239</c:v>
                </c:pt>
                <c:pt idx="554">
                  <c:v>44242</c:v>
                </c:pt>
                <c:pt idx="555">
                  <c:v>44243</c:v>
                </c:pt>
                <c:pt idx="556">
                  <c:v>44244</c:v>
                </c:pt>
                <c:pt idx="557">
                  <c:v>44245</c:v>
                </c:pt>
                <c:pt idx="558">
                  <c:v>44246</c:v>
                </c:pt>
                <c:pt idx="559">
                  <c:v>44249</c:v>
                </c:pt>
                <c:pt idx="560">
                  <c:v>44250</c:v>
                </c:pt>
                <c:pt idx="561">
                  <c:v>44251</c:v>
                </c:pt>
                <c:pt idx="562">
                  <c:v>44252</c:v>
                </c:pt>
                <c:pt idx="563">
                  <c:v>44253</c:v>
                </c:pt>
                <c:pt idx="564">
                  <c:v>44256</c:v>
                </c:pt>
                <c:pt idx="565">
                  <c:v>44257</c:v>
                </c:pt>
                <c:pt idx="566">
                  <c:v>44258</c:v>
                </c:pt>
                <c:pt idx="567">
                  <c:v>44259</c:v>
                </c:pt>
                <c:pt idx="568">
                  <c:v>44260</c:v>
                </c:pt>
                <c:pt idx="569">
                  <c:v>44263</c:v>
                </c:pt>
                <c:pt idx="570">
                  <c:v>44264</c:v>
                </c:pt>
                <c:pt idx="571">
                  <c:v>44265</c:v>
                </c:pt>
                <c:pt idx="572">
                  <c:v>44266</c:v>
                </c:pt>
                <c:pt idx="573">
                  <c:v>44267</c:v>
                </c:pt>
                <c:pt idx="574">
                  <c:v>44270</c:v>
                </c:pt>
                <c:pt idx="575">
                  <c:v>44271</c:v>
                </c:pt>
                <c:pt idx="576">
                  <c:v>44272</c:v>
                </c:pt>
                <c:pt idx="577">
                  <c:v>44273</c:v>
                </c:pt>
                <c:pt idx="578">
                  <c:v>44274</c:v>
                </c:pt>
                <c:pt idx="579">
                  <c:v>44277</c:v>
                </c:pt>
                <c:pt idx="580">
                  <c:v>44278</c:v>
                </c:pt>
                <c:pt idx="581">
                  <c:v>44279</c:v>
                </c:pt>
                <c:pt idx="582">
                  <c:v>44280</c:v>
                </c:pt>
                <c:pt idx="583">
                  <c:v>44281</c:v>
                </c:pt>
                <c:pt idx="584">
                  <c:v>44284</c:v>
                </c:pt>
                <c:pt idx="585">
                  <c:v>44285</c:v>
                </c:pt>
                <c:pt idx="586">
                  <c:v>44286</c:v>
                </c:pt>
                <c:pt idx="587">
                  <c:v>44287</c:v>
                </c:pt>
                <c:pt idx="588">
                  <c:v>44288</c:v>
                </c:pt>
                <c:pt idx="589">
                  <c:v>44291</c:v>
                </c:pt>
                <c:pt idx="590">
                  <c:v>44292</c:v>
                </c:pt>
                <c:pt idx="591">
                  <c:v>44293</c:v>
                </c:pt>
                <c:pt idx="592">
                  <c:v>44294</c:v>
                </c:pt>
                <c:pt idx="593">
                  <c:v>44295</c:v>
                </c:pt>
                <c:pt idx="594">
                  <c:v>44298</c:v>
                </c:pt>
                <c:pt idx="595">
                  <c:v>44299</c:v>
                </c:pt>
                <c:pt idx="596">
                  <c:v>44300</c:v>
                </c:pt>
                <c:pt idx="597">
                  <c:v>44301</c:v>
                </c:pt>
                <c:pt idx="598">
                  <c:v>44302</c:v>
                </c:pt>
                <c:pt idx="599">
                  <c:v>44305</c:v>
                </c:pt>
                <c:pt idx="600">
                  <c:v>44306</c:v>
                </c:pt>
                <c:pt idx="601">
                  <c:v>44307</c:v>
                </c:pt>
                <c:pt idx="602">
                  <c:v>44308</c:v>
                </c:pt>
                <c:pt idx="603">
                  <c:v>44309</c:v>
                </c:pt>
                <c:pt idx="604">
                  <c:v>44312</c:v>
                </c:pt>
                <c:pt idx="605">
                  <c:v>44313</c:v>
                </c:pt>
                <c:pt idx="606">
                  <c:v>44314</c:v>
                </c:pt>
                <c:pt idx="607">
                  <c:v>44315</c:v>
                </c:pt>
                <c:pt idx="608">
                  <c:v>44316</c:v>
                </c:pt>
                <c:pt idx="609">
                  <c:v>44319</c:v>
                </c:pt>
                <c:pt idx="610">
                  <c:v>44320</c:v>
                </c:pt>
                <c:pt idx="611">
                  <c:v>44321</c:v>
                </c:pt>
                <c:pt idx="612">
                  <c:v>44322</c:v>
                </c:pt>
                <c:pt idx="613">
                  <c:v>44323</c:v>
                </c:pt>
                <c:pt idx="614">
                  <c:v>44326</c:v>
                </c:pt>
                <c:pt idx="615">
                  <c:v>44327</c:v>
                </c:pt>
                <c:pt idx="616">
                  <c:v>44328</c:v>
                </c:pt>
                <c:pt idx="617">
                  <c:v>44329</c:v>
                </c:pt>
                <c:pt idx="618">
                  <c:v>44330</c:v>
                </c:pt>
                <c:pt idx="619">
                  <c:v>44333</c:v>
                </c:pt>
                <c:pt idx="620">
                  <c:v>44334</c:v>
                </c:pt>
                <c:pt idx="621">
                  <c:v>44335</c:v>
                </c:pt>
                <c:pt idx="622">
                  <c:v>44336</c:v>
                </c:pt>
                <c:pt idx="623">
                  <c:v>44337</c:v>
                </c:pt>
              </c:numCache>
            </c:numRef>
          </c:cat>
          <c:val>
            <c:numRef>
              <c:f>Sheet1!$H$2:$H$625</c:f>
              <c:numCache>
                <c:formatCode>0</c:formatCode>
                <c:ptCount val="624"/>
                <c:pt idx="0">
                  <c:v>142.02199999999999</c:v>
                </c:pt>
                <c:pt idx="1">
                  <c:v>147.65</c:v>
                </c:pt>
                <c:pt idx="2">
                  <c:v>145.41999999999999</c:v>
                </c:pt>
                <c:pt idx="3">
                  <c:v>144.89699999999999</c:v>
                </c:pt>
                <c:pt idx="4">
                  <c:v>135.917</c:v>
                </c:pt>
                <c:pt idx="5">
                  <c:v>129.06200000000001</c:v>
                </c:pt>
                <c:pt idx="6">
                  <c:v>124.55800000000001</c:v>
                </c:pt>
                <c:pt idx="7">
                  <c:v>124.38</c:v>
                </c:pt>
                <c:pt idx="8">
                  <c:v>118.393</c:v>
                </c:pt>
                <c:pt idx="9">
                  <c:v>121.194</c:v>
                </c:pt>
                <c:pt idx="10">
                  <c:v>118.187</c:v>
                </c:pt>
                <c:pt idx="11">
                  <c:v>109.827</c:v>
                </c:pt>
                <c:pt idx="12">
                  <c:v>111.08199999999999</c:v>
                </c:pt>
                <c:pt idx="13">
                  <c:v>105.51900000000001</c:v>
                </c:pt>
                <c:pt idx="14">
                  <c:v>105.51900000000001</c:v>
                </c:pt>
                <c:pt idx="15">
                  <c:v>103.28400000000001</c:v>
                </c:pt>
                <c:pt idx="16">
                  <c:v>104.27</c:v>
                </c:pt>
                <c:pt idx="17">
                  <c:v>104.559</c:v>
                </c:pt>
                <c:pt idx="18">
                  <c:v>105.71599999999999</c:v>
                </c:pt>
                <c:pt idx="19">
                  <c:v>103.61199999999999</c:v>
                </c:pt>
                <c:pt idx="20">
                  <c:v>110.607</c:v>
                </c:pt>
                <c:pt idx="21">
                  <c:v>113.61499999999999</c:v>
                </c:pt>
                <c:pt idx="22">
                  <c:v>113.90300000000001</c:v>
                </c:pt>
                <c:pt idx="23">
                  <c:v>115.167</c:v>
                </c:pt>
                <c:pt idx="24">
                  <c:v>110.88500000000001</c:v>
                </c:pt>
                <c:pt idx="25">
                  <c:v>109.913</c:v>
                </c:pt>
                <c:pt idx="26">
                  <c:v>110.374</c:v>
                </c:pt>
                <c:pt idx="27">
                  <c:v>112.486</c:v>
                </c:pt>
                <c:pt idx="28">
                  <c:v>117.02800000000001</c:v>
                </c:pt>
                <c:pt idx="29">
                  <c:v>117.267</c:v>
                </c:pt>
                <c:pt idx="30">
                  <c:v>114.59699999999999</c:v>
                </c:pt>
                <c:pt idx="31">
                  <c:v>115.33499999999999</c:v>
                </c:pt>
                <c:pt idx="32">
                  <c:v>111.955</c:v>
                </c:pt>
                <c:pt idx="33">
                  <c:v>112.508</c:v>
                </c:pt>
                <c:pt idx="34">
                  <c:v>112.508</c:v>
                </c:pt>
                <c:pt idx="35">
                  <c:v>110.679</c:v>
                </c:pt>
                <c:pt idx="36">
                  <c:v>113.06699999999999</c:v>
                </c:pt>
                <c:pt idx="37">
                  <c:v>110.7</c:v>
                </c:pt>
                <c:pt idx="38">
                  <c:v>112.837</c:v>
                </c:pt>
                <c:pt idx="39">
                  <c:v>112.366</c:v>
                </c:pt>
                <c:pt idx="40">
                  <c:v>114.003</c:v>
                </c:pt>
                <c:pt idx="41">
                  <c:v>116.712</c:v>
                </c:pt>
                <c:pt idx="42">
                  <c:v>111.441</c:v>
                </c:pt>
                <c:pt idx="43">
                  <c:v>106.773</c:v>
                </c:pt>
                <c:pt idx="44">
                  <c:v>106.51900000000001</c:v>
                </c:pt>
                <c:pt idx="45">
                  <c:v>107.15</c:v>
                </c:pt>
                <c:pt idx="46">
                  <c:v>106.958</c:v>
                </c:pt>
                <c:pt idx="47">
                  <c:v>108.99</c:v>
                </c:pt>
                <c:pt idx="48">
                  <c:v>114.842</c:v>
                </c:pt>
                <c:pt idx="49">
                  <c:v>113.074</c:v>
                </c:pt>
                <c:pt idx="50">
                  <c:v>109.30200000000001</c:v>
                </c:pt>
                <c:pt idx="51">
                  <c:v>111.71599999999999</c:v>
                </c:pt>
                <c:pt idx="52">
                  <c:v>109.16</c:v>
                </c:pt>
                <c:pt idx="53">
                  <c:v>110.036</c:v>
                </c:pt>
                <c:pt idx="54">
                  <c:v>111.80800000000001</c:v>
                </c:pt>
                <c:pt idx="55">
                  <c:v>110.61799999999999</c:v>
                </c:pt>
                <c:pt idx="56">
                  <c:v>114.65600000000001</c:v>
                </c:pt>
                <c:pt idx="57">
                  <c:v>113.57</c:v>
                </c:pt>
                <c:pt idx="58">
                  <c:v>116.456</c:v>
                </c:pt>
                <c:pt idx="59">
                  <c:v>121.274</c:v>
                </c:pt>
                <c:pt idx="60">
                  <c:v>123.759</c:v>
                </c:pt>
                <c:pt idx="61">
                  <c:v>130.57499999999999</c:v>
                </c:pt>
                <c:pt idx="62">
                  <c:v>126.88500000000001</c:v>
                </c:pt>
                <c:pt idx="63">
                  <c:v>120.264</c:v>
                </c:pt>
                <c:pt idx="64">
                  <c:v>113.58199999999999</c:v>
                </c:pt>
                <c:pt idx="65">
                  <c:v>112.53400000000001</c:v>
                </c:pt>
                <c:pt idx="66">
                  <c:v>108.542</c:v>
                </c:pt>
                <c:pt idx="67">
                  <c:v>110.423</c:v>
                </c:pt>
                <c:pt idx="68">
                  <c:v>106.18300000000001</c:v>
                </c:pt>
                <c:pt idx="69">
                  <c:v>108.001</c:v>
                </c:pt>
                <c:pt idx="70">
                  <c:v>104.798</c:v>
                </c:pt>
                <c:pt idx="71">
                  <c:v>105.46</c:v>
                </c:pt>
                <c:pt idx="72">
                  <c:v>107.754</c:v>
                </c:pt>
                <c:pt idx="73">
                  <c:v>102.173</c:v>
                </c:pt>
                <c:pt idx="74">
                  <c:v>98.382999999999996</c:v>
                </c:pt>
                <c:pt idx="75">
                  <c:v>97.605000000000004</c:v>
                </c:pt>
                <c:pt idx="76">
                  <c:v>91.061999999999998</c:v>
                </c:pt>
                <c:pt idx="77">
                  <c:v>96.048000000000002</c:v>
                </c:pt>
                <c:pt idx="78">
                  <c:v>96.048000000000002</c:v>
                </c:pt>
                <c:pt idx="79">
                  <c:v>92.802000000000007</c:v>
                </c:pt>
                <c:pt idx="80">
                  <c:v>93.054000000000002</c:v>
                </c:pt>
                <c:pt idx="81">
                  <c:v>96.995000000000005</c:v>
                </c:pt>
                <c:pt idx="82">
                  <c:v>96.861000000000004</c:v>
                </c:pt>
                <c:pt idx="83">
                  <c:v>92.718000000000004</c:v>
                </c:pt>
                <c:pt idx="84">
                  <c:v>91.88</c:v>
                </c:pt>
                <c:pt idx="85">
                  <c:v>88.825999999999993</c:v>
                </c:pt>
                <c:pt idx="86">
                  <c:v>89.028000000000006</c:v>
                </c:pt>
                <c:pt idx="87">
                  <c:v>83.962999999999994</c:v>
                </c:pt>
                <c:pt idx="88">
                  <c:v>83.635999999999996</c:v>
                </c:pt>
                <c:pt idx="89">
                  <c:v>91.613</c:v>
                </c:pt>
                <c:pt idx="90">
                  <c:v>90.945999999999998</c:v>
                </c:pt>
                <c:pt idx="91">
                  <c:v>94.463999999999999</c:v>
                </c:pt>
                <c:pt idx="92">
                  <c:v>94.966999999999999</c:v>
                </c:pt>
                <c:pt idx="93">
                  <c:v>93.650999999999996</c:v>
                </c:pt>
                <c:pt idx="94">
                  <c:v>96.162999999999997</c:v>
                </c:pt>
                <c:pt idx="95">
                  <c:v>99.652000000000001</c:v>
                </c:pt>
                <c:pt idx="96">
                  <c:v>102.693</c:v>
                </c:pt>
                <c:pt idx="97">
                  <c:v>103.568</c:v>
                </c:pt>
                <c:pt idx="98">
                  <c:v>103.649</c:v>
                </c:pt>
                <c:pt idx="99">
                  <c:v>101.23399999999999</c:v>
                </c:pt>
                <c:pt idx="100">
                  <c:v>99.778999999999996</c:v>
                </c:pt>
                <c:pt idx="101">
                  <c:v>98.783000000000001</c:v>
                </c:pt>
                <c:pt idx="102">
                  <c:v>106.973</c:v>
                </c:pt>
                <c:pt idx="103">
                  <c:v>110.123</c:v>
                </c:pt>
                <c:pt idx="104">
                  <c:v>110.123</c:v>
                </c:pt>
                <c:pt idx="105">
                  <c:v>114.384</c:v>
                </c:pt>
                <c:pt idx="106">
                  <c:v>120.693</c:v>
                </c:pt>
                <c:pt idx="107">
                  <c:v>116.675</c:v>
                </c:pt>
                <c:pt idx="108">
                  <c:v>130.72300000000001</c:v>
                </c:pt>
                <c:pt idx="109">
                  <c:v>140.732</c:v>
                </c:pt>
                <c:pt idx="110">
                  <c:v>143.85400000000001</c:v>
                </c:pt>
                <c:pt idx="111">
                  <c:v>137.76499999999999</c:v>
                </c:pt>
                <c:pt idx="112">
                  <c:v>136.48599999999999</c:v>
                </c:pt>
                <c:pt idx="113">
                  <c:v>121.708</c:v>
                </c:pt>
                <c:pt idx="114">
                  <c:v>111.857</c:v>
                </c:pt>
                <c:pt idx="115">
                  <c:v>106.15</c:v>
                </c:pt>
                <c:pt idx="116">
                  <c:v>112.175</c:v>
                </c:pt>
                <c:pt idx="117">
                  <c:v>113.974</c:v>
                </c:pt>
                <c:pt idx="118">
                  <c:v>120.79300000000001</c:v>
                </c:pt>
                <c:pt idx="119">
                  <c:v>114.256</c:v>
                </c:pt>
                <c:pt idx="120">
                  <c:v>114.961</c:v>
                </c:pt>
                <c:pt idx="121">
                  <c:v>96.703000000000003</c:v>
                </c:pt>
                <c:pt idx="122">
                  <c:v>93.25</c:v>
                </c:pt>
                <c:pt idx="123">
                  <c:v>92.662000000000006</c:v>
                </c:pt>
                <c:pt idx="124">
                  <c:v>96.596000000000004</c:v>
                </c:pt>
                <c:pt idx="125">
                  <c:v>99.382999999999996</c:v>
                </c:pt>
                <c:pt idx="126">
                  <c:v>99.742999999999995</c:v>
                </c:pt>
                <c:pt idx="127">
                  <c:v>97.003</c:v>
                </c:pt>
                <c:pt idx="128">
                  <c:v>94.492000000000004</c:v>
                </c:pt>
                <c:pt idx="129">
                  <c:v>91</c:v>
                </c:pt>
                <c:pt idx="130">
                  <c:v>89.674999999999997</c:v>
                </c:pt>
                <c:pt idx="131">
                  <c:v>92.457999999999998</c:v>
                </c:pt>
                <c:pt idx="132">
                  <c:v>92.457999999999998</c:v>
                </c:pt>
                <c:pt idx="133">
                  <c:v>90.727000000000004</c:v>
                </c:pt>
                <c:pt idx="134">
                  <c:v>88.661000000000001</c:v>
                </c:pt>
                <c:pt idx="135">
                  <c:v>87.826999999999998</c:v>
                </c:pt>
                <c:pt idx="136">
                  <c:v>88.114999999999995</c:v>
                </c:pt>
                <c:pt idx="137">
                  <c:v>92.320999999999998</c:v>
                </c:pt>
                <c:pt idx="138">
                  <c:v>86.021000000000001</c:v>
                </c:pt>
                <c:pt idx="139">
                  <c:v>88.900999999999996</c:v>
                </c:pt>
                <c:pt idx="140">
                  <c:v>90.658000000000001</c:v>
                </c:pt>
                <c:pt idx="141">
                  <c:v>90.039000000000001</c:v>
                </c:pt>
                <c:pt idx="142">
                  <c:v>95.58</c:v>
                </c:pt>
                <c:pt idx="143">
                  <c:v>98.721000000000004</c:v>
                </c:pt>
                <c:pt idx="144">
                  <c:v>97.834000000000003</c:v>
                </c:pt>
                <c:pt idx="145">
                  <c:v>97.126999999999995</c:v>
                </c:pt>
                <c:pt idx="146">
                  <c:v>98.203000000000003</c:v>
                </c:pt>
                <c:pt idx="147">
                  <c:v>98.146000000000001</c:v>
                </c:pt>
                <c:pt idx="148">
                  <c:v>95.108999999999995</c:v>
                </c:pt>
                <c:pt idx="149">
                  <c:v>94.718999999999994</c:v>
                </c:pt>
                <c:pt idx="150">
                  <c:v>96.24</c:v>
                </c:pt>
                <c:pt idx="151">
                  <c:v>96.305000000000007</c:v>
                </c:pt>
                <c:pt idx="152">
                  <c:v>96.771000000000001</c:v>
                </c:pt>
                <c:pt idx="153">
                  <c:v>117.22199999999999</c:v>
                </c:pt>
                <c:pt idx="154">
                  <c:v>125.024</c:v>
                </c:pt>
                <c:pt idx="155">
                  <c:v>129.739</c:v>
                </c:pt>
                <c:pt idx="156">
                  <c:v>134.67699999999999</c:v>
                </c:pt>
                <c:pt idx="157">
                  <c:v>128.66300000000001</c:v>
                </c:pt>
                <c:pt idx="158">
                  <c:v>129.05000000000001</c:v>
                </c:pt>
                <c:pt idx="159">
                  <c:v>128.80500000000001</c:v>
                </c:pt>
                <c:pt idx="160">
                  <c:v>132.518</c:v>
                </c:pt>
                <c:pt idx="161">
                  <c:v>128.18600000000001</c:v>
                </c:pt>
                <c:pt idx="162">
                  <c:v>135.13900000000001</c:v>
                </c:pt>
                <c:pt idx="163">
                  <c:v>135.441</c:v>
                </c:pt>
                <c:pt idx="164">
                  <c:v>130.934</c:v>
                </c:pt>
                <c:pt idx="165">
                  <c:v>134.536</c:v>
                </c:pt>
                <c:pt idx="166">
                  <c:v>132.34299999999999</c:v>
                </c:pt>
                <c:pt idx="167">
                  <c:v>130.31899999999999</c:v>
                </c:pt>
                <c:pt idx="168">
                  <c:v>122.202</c:v>
                </c:pt>
                <c:pt idx="169">
                  <c:v>140.40600000000001</c:v>
                </c:pt>
                <c:pt idx="170">
                  <c:v>131.96700000000001</c:v>
                </c:pt>
                <c:pt idx="171">
                  <c:v>129.85300000000001</c:v>
                </c:pt>
                <c:pt idx="172">
                  <c:v>126.14400000000001</c:v>
                </c:pt>
                <c:pt idx="173">
                  <c:v>120.858</c:v>
                </c:pt>
                <c:pt idx="174">
                  <c:v>120.858</c:v>
                </c:pt>
                <c:pt idx="175">
                  <c:v>116.184</c:v>
                </c:pt>
                <c:pt idx="176">
                  <c:v>113.27800000000001</c:v>
                </c:pt>
                <c:pt idx="177">
                  <c:v>102.57899999999999</c:v>
                </c:pt>
                <c:pt idx="178">
                  <c:v>97.129000000000005</c:v>
                </c:pt>
                <c:pt idx="179">
                  <c:v>96.781000000000006</c:v>
                </c:pt>
                <c:pt idx="180">
                  <c:v>96.727999999999994</c:v>
                </c:pt>
                <c:pt idx="181">
                  <c:v>96.745999999999995</c:v>
                </c:pt>
                <c:pt idx="182">
                  <c:v>93.367000000000004</c:v>
                </c:pt>
                <c:pt idx="183">
                  <c:v>89.784000000000006</c:v>
                </c:pt>
                <c:pt idx="184">
                  <c:v>90.724000000000004</c:v>
                </c:pt>
                <c:pt idx="185">
                  <c:v>91.933999999999997</c:v>
                </c:pt>
                <c:pt idx="186">
                  <c:v>94.57</c:v>
                </c:pt>
                <c:pt idx="187">
                  <c:v>94.591999999999999</c:v>
                </c:pt>
                <c:pt idx="188">
                  <c:v>93.015000000000001</c:v>
                </c:pt>
                <c:pt idx="189">
                  <c:v>95.572999999999993</c:v>
                </c:pt>
                <c:pt idx="190">
                  <c:v>92.534999999999997</c:v>
                </c:pt>
                <c:pt idx="191">
                  <c:v>103.34399999999999</c:v>
                </c:pt>
                <c:pt idx="192">
                  <c:v>105.866</c:v>
                </c:pt>
                <c:pt idx="193">
                  <c:v>104.122</c:v>
                </c:pt>
                <c:pt idx="194">
                  <c:v>107.672</c:v>
                </c:pt>
                <c:pt idx="195">
                  <c:v>105.04600000000001</c:v>
                </c:pt>
                <c:pt idx="196">
                  <c:v>119.22199999999999</c:v>
                </c:pt>
                <c:pt idx="197">
                  <c:v>122.226</c:v>
                </c:pt>
                <c:pt idx="198">
                  <c:v>125.637</c:v>
                </c:pt>
                <c:pt idx="199">
                  <c:v>121.128</c:v>
                </c:pt>
                <c:pt idx="200">
                  <c:v>121.172</c:v>
                </c:pt>
                <c:pt idx="201">
                  <c:v>122.88800000000001</c:v>
                </c:pt>
                <c:pt idx="202">
                  <c:v>120.443</c:v>
                </c:pt>
                <c:pt idx="203">
                  <c:v>112.85</c:v>
                </c:pt>
                <c:pt idx="204">
                  <c:v>112.85</c:v>
                </c:pt>
                <c:pt idx="205">
                  <c:v>109.023</c:v>
                </c:pt>
                <c:pt idx="206">
                  <c:v>105.76300000000001</c:v>
                </c:pt>
                <c:pt idx="207">
                  <c:v>99.861000000000004</c:v>
                </c:pt>
                <c:pt idx="208">
                  <c:v>101.10599999999999</c:v>
                </c:pt>
                <c:pt idx="209">
                  <c:v>101.008</c:v>
                </c:pt>
                <c:pt idx="210">
                  <c:v>100.002</c:v>
                </c:pt>
                <c:pt idx="211">
                  <c:v>102.008</c:v>
                </c:pt>
                <c:pt idx="212">
                  <c:v>98.513000000000005</c:v>
                </c:pt>
                <c:pt idx="213">
                  <c:v>98.227000000000004</c:v>
                </c:pt>
                <c:pt idx="214">
                  <c:v>94.057000000000002</c:v>
                </c:pt>
                <c:pt idx="215">
                  <c:v>95.903999999999996</c:v>
                </c:pt>
                <c:pt idx="216">
                  <c:v>95.997</c:v>
                </c:pt>
                <c:pt idx="217">
                  <c:v>99.989000000000004</c:v>
                </c:pt>
                <c:pt idx="218">
                  <c:v>103.913</c:v>
                </c:pt>
                <c:pt idx="219">
                  <c:v>96.516000000000005</c:v>
                </c:pt>
                <c:pt idx="220">
                  <c:v>90.539000000000001</c:v>
                </c:pt>
                <c:pt idx="221">
                  <c:v>88.784000000000006</c:v>
                </c:pt>
                <c:pt idx="222">
                  <c:v>85.537999999999997</c:v>
                </c:pt>
                <c:pt idx="223">
                  <c:v>81.98</c:v>
                </c:pt>
                <c:pt idx="224">
                  <c:v>81.98</c:v>
                </c:pt>
                <c:pt idx="225">
                  <c:v>81.194000000000003</c:v>
                </c:pt>
                <c:pt idx="226">
                  <c:v>86.608000000000004</c:v>
                </c:pt>
                <c:pt idx="227">
                  <c:v>90.034999999999997</c:v>
                </c:pt>
                <c:pt idx="228">
                  <c:v>86.355999999999995</c:v>
                </c:pt>
                <c:pt idx="229">
                  <c:v>85.603999999999999</c:v>
                </c:pt>
                <c:pt idx="230">
                  <c:v>85.244</c:v>
                </c:pt>
                <c:pt idx="231">
                  <c:v>93.558999999999997</c:v>
                </c:pt>
                <c:pt idx="232">
                  <c:v>86.097999999999999</c:v>
                </c:pt>
                <c:pt idx="233">
                  <c:v>84.852000000000004</c:v>
                </c:pt>
                <c:pt idx="234">
                  <c:v>80.691000000000003</c:v>
                </c:pt>
                <c:pt idx="235">
                  <c:v>83.531999999999996</c:v>
                </c:pt>
                <c:pt idx="236">
                  <c:v>81.792000000000002</c:v>
                </c:pt>
                <c:pt idx="237">
                  <c:v>81.792000000000002</c:v>
                </c:pt>
                <c:pt idx="238">
                  <c:v>77.106999999999999</c:v>
                </c:pt>
                <c:pt idx="239">
                  <c:v>72.149000000000001</c:v>
                </c:pt>
                <c:pt idx="240">
                  <c:v>73.872</c:v>
                </c:pt>
                <c:pt idx="241">
                  <c:v>79.948999999999998</c:v>
                </c:pt>
                <c:pt idx="242">
                  <c:v>75.296000000000006</c:v>
                </c:pt>
                <c:pt idx="243">
                  <c:v>72.5</c:v>
                </c:pt>
                <c:pt idx="244">
                  <c:v>68.856999999999999</c:v>
                </c:pt>
                <c:pt idx="245">
                  <c:v>65.343999999999994</c:v>
                </c:pt>
                <c:pt idx="246">
                  <c:v>62.505000000000003</c:v>
                </c:pt>
                <c:pt idx="247">
                  <c:v>61.738999999999997</c:v>
                </c:pt>
                <c:pt idx="248">
                  <c:v>53.234000000000002</c:v>
                </c:pt>
                <c:pt idx="249">
                  <c:v>57.143000000000001</c:v>
                </c:pt>
                <c:pt idx="250">
                  <c:v>54.381999999999998</c:v>
                </c:pt>
                <c:pt idx="251">
                  <c:v>52.497999999999998</c:v>
                </c:pt>
                <c:pt idx="252">
                  <c:v>47.658000000000001</c:v>
                </c:pt>
                <c:pt idx="253">
                  <c:v>47.387</c:v>
                </c:pt>
                <c:pt idx="254">
                  <c:v>48.947000000000003</c:v>
                </c:pt>
                <c:pt idx="255">
                  <c:v>46.155999999999999</c:v>
                </c:pt>
                <c:pt idx="256">
                  <c:v>46.155999999999999</c:v>
                </c:pt>
                <c:pt idx="257">
                  <c:v>47.651000000000003</c:v>
                </c:pt>
                <c:pt idx="258">
                  <c:v>49.615000000000002</c:v>
                </c:pt>
                <c:pt idx="259">
                  <c:v>47.500999999999998</c:v>
                </c:pt>
                <c:pt idx="260">
                  <c:v>48.935000000000002</c:v>
                </c:pt>
                <c:pt idx="261">
                  <c:v>48.935000000000002</c:v>
                </c:pt>
                <c:pt idx="262">
                  <c:v>45.301000000000002</c:v>
                </c:pt>
                <c:pt idx="263">
                  <c:v>53.616999999999997</c:v>
                </c:pt>
                <c:pt idx="264">
                  <c:v>56.494999999999997</c:v>
                </c:pt>
                <c:pt idx="265">
                  <c:v>54.387999999999998</c:v>
                </c:pt>
                <c:pt idx="266">
                  <c:v>54.639000000000003</c:v>
                </c:pt>
                <c:pt idx="267">
                  <c:v>47.170999999999999</c:v>
                </c:pt>
                <c:pt idx="268">
                  <c:v>48.273000000000003</c:v>
                </c:pt>
                <c:pt idx="269">
                  <c:v>48.356000000000002</c:v>
                </c:pt>
                <c:pt idx="270">
                  <c:v>48.234999999999999</c:v>
                </c:pt>
                <c:pt idx="271">
                  <c:v>50.801000000000002</c:v>
                </c:pt>
                <c:pt idx="272">
                  <c:v>49.453000000000003</c:v>
                </c:pt>
                <c:pt idx="273">
                  <c:v>47.921999999999997</c:v>
                </c:pt>
                <c:pt idx="274">
                  <c:v>47.921999999999997</c:v>
                </c:pt>
                <c:pt idx="275">
                  <c:v>49.485999999999997</c:v>
                </c:pt>
                <c:pt idx="276">
                  <c:v>52.497</c:v>
                </c:pt>
                <c:pt idx="277">
                  <c:v>56.387</c:v>
                </c:pt>
                <c:pt idx="278">
                  <c:v>57.948999999999998</c:v>
                </c:pt>
                <c:pt idx="279">
                  <c:v>71.040000000000006</c:v>
                </c:pt>
                <c:pt idx="280">
                  <c:v>75.036000000000001</c:v>
                </c:pt>
                <c:pt idx="281">
                  <c:v>70.875</c:v>
                </c:pt>
                <c:pt idx="282">
                  <c:v>73.662999999999997</c:v>
                </c:pt>
                <c:pt idx="283">
                  <c:v>72.793999999999997</c:v>
                </c:pt>
                <c:pt idx="284">
                  <c:v>76.534000000000006</c:v>
                </c:pt>
                <c:pt idx="285">
                  <c:v>72.072000000000003</c:v>
                </c:pt>
                <c:pt idx="286">
                  <c:v>68.153999999999996</c:v>
                </c:pt>
                <c:pt idx="287">
                  <c:v>66.849000000000004</c:v>
                </c:pt>
                <c:pt idx="288">
                  <c:v>69.349999999999994</c:v>
                </c:pt>
                <c:pt idx="289">
                  <c:v>72.183000000000007</c:v>
                </c:pt>
                <c:pt idx="290">
                  <c:v>70.724999999999994</c:v>
                </c:pt>
                <c:pt idx="291">
                  <c:v>66.754000000000005</c:v>
                </c:pt>
                <c:pt idx="292">
                  <c:v>68.731999999999999</c:v>
                </c:pt>
                <c:pt idx="293">
                  <c:v>66.959999999999994</c:v>
                </c:pt>
                <c:pt idx="294">
                  <c:v>66.959999999999994</c:v>
                </c:pt>
                <c:pt idx="295">
                  <c:v>69.135999999999996</c:v>
                </c:pt>
                <c:pt idx="296">
                  <c:v>67.108000000000004</c:v>
                </c:pt>
                <c:pt idx="297">
                  <c:v>65.497</c:v>
                </c:pt>
                <c:pt idx="298">
                  <c:v>68.411000000000001</c:v>
                </c:pt>
                <c:pt idx="299">
                  <c:v>77.718000000000004</c:v>
                </c:pt>
                <c:pt idx="300">
                  <c:v>78.64</c:v>
                </c:pt>
                <c:pt idx="301">
                  <c:v>82.715999999999994</c:v>
                </c:pt>
                <c:pt idx="302">
                  <c:v>87.992000000000004</c:v>
                </c:pt>
                <c:pt idx="303">
                  <c:v>114.45699999999999</c:v>
                </c:pt>
                <c:pt idx="304">
                  <c:v>124.90300000000001</c:v>
                </c:pt>
                <c:pt idx="305">
                  <c:v>108.443</c:v>
                </c:pt>
                <c:pt idx="306">
                  <c:v>124.065</c:v>
                </c:pt>
                <c:pt idx="307">
                  <c:v>115.30800000000001</c:v>
                </c:pt>
                <c:pt idx="308">
                  <c:v>127.96</c:v>
                </c:pt>
                <c:pt idx="309">
                  <c:v>181.91800000000001</c:v>
                </c:pt>
                <c:pt idx="310">
                  <c:v>166.619</c:v>
                </c:pt>
                <c:pt idx="311">
                  <c:v>167.02099999999999</c:v>
                </c:pt>
                <c:pt idx="312">
                  <c:v>187.79499999999999</c:v>
                </c:pt>
                <c:pt idx="313">
                  <c:v>198.59100000000001</c:v>
                </c:pt>
                <c:pt idx="314">
                  <c:v>199.81299999999999</c:v>
                </c:pt>
                <c:pt idx="315">
                  <c:v>222.71799999999999</c:v>
                </c:pt>
                <c:pt idx="316">
                  <c:v>241.886</c:v>
                </c:pt>
                <c:pt idx="317">
                  <c:v>300.64400000000001</c:v>
                </c:pt>
                <c:pt idx="318">
                  <c:v>321.04399999999998</c:v>
                </c:pt>
                <c:pt idx="319">
                  <c:v>360.77499999999998</c:v>
                </c:pt>
                <c:pt idx="320">
                  <c:v>367.14800000000002</c:v>
                </c:pt>
                <c:pt idx="321">
                  <c:v>338.29</c:v>
                </c:pt>
                <c:pt idx="322">
                  <c:v>334.63099999999997</c:v>
                </c:pt>
                <c:pt idx="323">
                  <c:v>296.38900000000001</c:v>
                </c:pt>
                <c:pt idx="324">
                  <c:v>305.68400000000003</c:v>
                </c:pt>
                <c:pt idx="325">
                  <c:v>298.33699999999999</c:v>
                </c:pt>
                <c:pt idx="326">
                  <c:v>297.178</c:v>
                </c:pt>
                <c:pt idx="327">
                  <c:v>285.62400000000002</c:v>
                </c:pt>
                <c:pt idx="328">
                  <c:v>265.262</c:v>
                </c:pt>
                <c:pt idx="329">
                  <c:v>235.523</c:v>
                </c:pt>
                <c:pt idx="330">
                  <c:v>211.34899999999999</c:v>
                </c:pt>
                <c:pt idx="331">
                  <c:v>200.804</c:v>
                </c:pt>
                <c:pt idx="332">
                  <c:v>202.91300000000001</c:v>
                </c:pt>
                <c:pt idx="333">
                  <c:v>202.91300000000001</c:v>
                </c:pt>
                <c:pt idx="334">
                  <c:v>197.70500000000001</c:v>
                </c:pt>
                <c:pt idx="335">
                  <c:v>198.12899999999999</c:v>
                </c:pt>
                <c:pt idx="336">
                  <c:v>202.13399999999999</c:v>
                </c:pt>
                <c:pt idx="337">
                  <c:v>206.315</c:v>
                </c:pt>
                <c:pt idx="338">
                  <c:v>204.03100000000001</c:v>
                </c:pt>
                <c:pt idx="339">
                  <c:v>204.14099999999999</c:v>
                </c:pt>
                <c:pt idx="340">
                  <c:v>220.50700000000001</c:v>
                </c:pt>
                <c:pt idx="341">
                  <c:v>239.69399999999999</c:v>
                </c:pt>
                <c:pt idx="342">
                  <c:v>240.20699999999999</c:v>
                </c:pt>
                <c:pt idx="343">
                  <c:v>239.166</c:v>
                </c:pt>
                <c:pt idx="344">
                  <c:v>237.87899999999999</c:v>
                </c:pt>
                <c:pt idx="345">
                  <c:v>236.60300000000001</c:v>
                </c:pt>
                <c:pt idx="346">
                  <c:v>239.96899999999999</c:v>
                </c:pt>
                <c:pt idx="347">
                  <c:v>235.09800000000001</c:v>
                </c:pt>
                <c:pt idx="348">
                  <c:v>235.19800000000001</c:v>
                </c:pt>
                <c:pt idx="349">
                  <c:v>236.02</c:v>
                </c:pt>
                <c:pt idx="350">
                  <c:v>229.249</c:v>
                </c:pt>
                <c:pt idx="351">
                  <c:v>218.21899999999999</c:v>
                </c:pt>
                <c:pt idx="352">
                  <c:v>214.03899999999999</c:v>
                </c:pt>
                <c:pt idx="353">
                  <c:v>216.52500000000001</c:v>
                </c:pt>
                <c:pt idx="354">
                  <c:v>208.07400000000001</c:v>
                </c:pt>
                <c:pt idx="355">
                  <c:v>200.898</c:v>
                </c:pt>
                <c:pt idx="356">
                  <c:v>195.81399999999999</c:v>
                </c:pt>
                <c:pt idx="357">
                  <c:v>196.45699999999999</c:v>
                </c:pt>
                <c:pt idx="358">
                  <c:v>190.24100000000001</c:v>
                </c:pt>
                <c:pt idx="359">
                  <c:v>179.51599999999999</c:v>
                </c:pt>
                <c:pt idx="360">
                  <c:v>166.78100000000001</c:v>
                </c:pt>
                <c:pt idx="361">
                  <c:v>160.42599999999999</c:v>
                </c:pt>
                <c:pt idx="362">
                  <c:v>155.422</c:v>
                </c:pt>
                <c:pt idx="363">
                  <c:v>154.36799999999999</c:v>
                </c:pt>
                <c:pt idx="364">
                  <c:v>154.36799999999999</c:v>
                </c:pt>
                <c:pt idx="365">
                  <c:v>146.41800000000001</c:v>
                </c:pt>
                <c:pt idx="366">
                  <c:v>143.99100000000001</c:v>
                </c:pt>
                <c:pt idx="367">
                  <c:v>143.71</c:v>
                </c:pt>
                <c:pt idx="368">
                  <c:v>142.203</c:v>
                </c:pt>
                <c:pt idx="369">
                  <c:v>142.083</c:v>
                </c:pt>
                <c:pt idx="370">
                  <c:v>139.56899999999999</c:v>
                </c:pt>
                <c:pt idx="371">
                  <c:v>126.693</c:v>
                </c:pt>
                <c:pt idx="372">
                  <c:v>117.367</c:v>
                </c:pt>
                <c:pt idx="373">
                  <c:v>109.55800000000001</c:v>
                </c:pt>
                <c:pt idx="374">
                  <c:v>104.717</c:v>
                </c:pt>
                <c:pt idx="375">
                  <c:v>109.398</c:v>
                </c:pt>
                <c:pt idx="376">
                  <c:v>113.426</c:v>
                </c:pt>
                <c:pt idx="377">
                  <c:v>123.154</c:v>
                </c:pt>
                <c:pt idx="378">
                  <c:v>128.21899999999999</c:v>
                </c:pt>
                <c:pt idx="379">
                  <c:v>136.84</c:v>
                </c:pt>
                <c:pt idx="380">
                  <c:v>132.05799999999999</c:v>
                </c:pt>
                <c:pt idx="381">
                  <c:v>131.982</c:v>
                </c:pt>
                <c:pt idx="382">
                  <c:v>132.334</c:v>
                </c:pt>
                <c:pt idx="383">
                  <c:v>131.589</c:v>
                </c:pt>
                <c:pt idx="384">
                  <c:v>132.57300000000001</c:v>
                </c:pt>
                <c:pt idx="385">
                  <c:v>130.17500000000001</c:v>
                </c:pt>
                <c:pt idx="386">
                  <c:v>130.36699999999999</c:v>
                </c:pt>
                <c:pt idx="387">
                  <c:v>138.19900000000001</c:v>
                </c:pt>
                <c:pt idx="388">
                  <c:v>137.68299999999999</c:v>
                </c:pt>
                <c:pt idx="389">
                  <c:v>140.22499999999999</c:v>
                </c:pt>
                <c:pt idx="390">
                  <c:v>143.16900000000001</c:v>
                </c:pt>
                <c:pt idx="391">
                  <c:v>140.41399999999999</c:v>
                </c:pt>
                <c:pt idx="392">
                  <c:v>137.74600000000001</c:v>
                </c:pt>
                <c:pt idx="393">
                  <c:v>137.74600000000001</c:v>
                </c:pt>
                <c:pt idx="394">
                  <c:v>135.72999999999999</c:v>
                </c:pt>
                <c:pt idx="395">
                  <c:v>136.06800000000001</c:v>
                </c:pt>
                <c:pt idx="396">
                  <c:v>136.15700000000001</c:v>
                </c:pt>
                <c:pt idx="397">
                  <c:v>134.61600000000001</c:v>
                </c:pt>
                <c:pt idx="398">
                  <c:v>135.715</c:v>
                </c:pt>
                <c:pt idx="399">
                  <c:v>132.63</c:v>
                </c:pt>
                <c:pt idx="400">
                  <c:v>133.79</c:v>
                </c:pt>
                <c:pt idx="401">
                  <c:v>132.66200000000001</c:v>
                </c:pt>
                <c:pt idx="402">
                  <c:v>131.42699999999999</c:v>
                </c:pt>
                <c:pt idx="403">
                  <c:v>131.87100000000001</c:v>
                </c:pt>
                <c:pt idx="404">
                  <c:v>130.06299999999999</c:v>
                </c:pt>
                <c:pt idx="405">
                  <c:v>128.79400000000001</c:v>
                </c:pt>
                <c:pt idx="406">
                  <c:v>130.04300000000001</c:v>
                </c:pt>
                <c:pt idx="407">
                  <c:v>129.10900000000001</c:v>
                </c:pt>
                <c:pt idx="408">
                  <c:v>129.54599999999999</c:v>
                </c:pt>
                <c:pt idx="409">
                  <c:v>130.80099999999999</c:v>
                </c:pt>
                <c:pt idx="410">
                  <c:v>127.736</c:v>
                </c:pt>
                <c:pt idx="411">
                  <c:v>127.53400000000001</c:v>
                </c:pt>
                <c:pt idx="412">
                  <c:v>127.92700000000001</c:v>
                </c:pt>
                <c:pt idx="413">
                  <c:v>128.88900000000001</c:v>
                </c:pt>
                <c:pt idx="414">
                  <c:v>124.795</c:v>
                </c:pt>
                <c:pt idx="415">
                  <c:v>121.274</c:v>
                </c:pt>
                <c:pt idx="416">
                  <c:v>112.955</c:v>
                </c:pt>
                <c:pt idx="417">
                  <c:v>105.84399999999999</c:v>
                </c:pt>
                <c:pt idx="418">
                  <c:v>99.481999999999999</c:v>
                </c:pt>
                <c:pt idx="419">
                  <c:v>94.936000000000007</c:v>
                </c:pt>
                <c:pt idx="420">
                  <c:v>87.843999999999994</c:v>
                </c:pt>
                <c:pt idx="421">
                  <c:v>86.093000000000004</c:v>
                </c:pt>
                <c:pt idx="422">
                  <c:v>87.323999999999998</c:v>
                </c:pt>
                <c:pt idx="423">
                  <c:v>88.262</c:v>
                </c:pt>
                <c:pt idx="424">
                  <c:v>89.828999999999994</c:v>
                </c:pt>
                <c:pt idx="425">
                  <c:v>97.221999999999994</c:v>
                </c:pt>
                <c:pt idx="426">
                  <c:v>100.393</c:v>
                </c:pt>
                <c:pt idx="427">
                  <c:v>102.435</c:v>
                </c:pt>
                <c:pt idx="428">
                  <c:v>108.33799999999999</c:v>
                </c:pt>
                <c:pt idx="429">
                  <c:v>109.828</c:v>
                </c:pt>
                <c:pt idx="430">
                  <c:v>107.05500000000001</c:v>
                </c:pt>
                <c:pt idx="431">
                  <c:v>106.378</c:v>
                </c:pt>
                <c:pt idx="432">
                  <c:v>109.06100000000001</c:v>
                </c:pt>
                <c:pt idx="433">
                  <c:v>108.462</c:v>
                </c:pt>
                <c:pt idx="434">
                  <c:v>107.84099999999999</c:v>
                </c:pt>
                <c:pt idx="435">
                  <c:v>108.248</c:v>
                </c:pt>
                <c:pt idx="436">
                  <c:v>103.581</c:v>
                </c:pt>
                <c:pt idx="437">
                  <c:v>102.018</c:v>
                </c:pt>
                <c:pt idx="438">
                  <c:v>104.887</c:v>
                </c:pt>
                <c:pt idx="439">
                  <c:v>104.887</c:v>
                </c:pt>
                <c:pt idx="440">
                  <c:v>107.74299999999999</c:v>
                </c:pt>
                <c:pt idx="441">
                  <c:v>111.872</c:v>
                </c:pt>
                <c:pt idx="442">
                  <c:v>111.342</c:v>
                </c:pt>
                <c:pt idx="443">
                  <c:v>111.148</c:v>
                </c:pt>
                <c:pt idx="444">
                  <c:v>114.148</c:v>
                </c:pt>
                <c:pt idx="445">
                  <c:v>114.52</c:v>
                </c:pt>
                <c:pt idx="446">
                  <c:v>112.648</c:v>
                </c:pt>
                <c:pt idx="447">
                  <c:v>114.01600000000001</c:v>
                </c:pt>
                <c:pt idx="448">
                  <c:v>114.342</c:v>
                </c:pt>
                <c:pt idx="449">
                  <c:v>117.898</c:v>
                </c:pt>
                <c:pt idx="450">
                  <c:v>122.917</c:v>
                </c:pt>
                <c:pt idx="451">
                  <c:v>124.166</c:v>
                </c:pt>
                <c:pt idx="452">
                  <c:v>129.93199999999999</c:v>
                </c:pt>
                <c:pt idx="453">
                  <c:v>131.83000000000001</c:v>
                </c:pt>
                <c:pt idx="454">
                  <c:v>132.297</c:v>
                </c:pt>
                <c:pt idx="455">
                  <c:v>134.72300000000001</c:v>
                </c:pt>
                <c:pt idx="456">
                  <c:v>134.375</c:v>
                </c:pt>
                <c:pt idx="457">
                  <c:v>130.66200000000001</c:v>
                </c:pt>
                <c:pt idx="458">
                  <c:v>131.54499999999999</c:v>
                </c:pt>
                <c:pt idx="459">
                  <c:v>128.89400000000001</c:v>
                </c:pt>
                <c:pt idx="460">
                  <c:v>125.83799999999999</c:v>
                </c:pt>
                <c:pt idx="461">
                  <c:v>121.32599999999999</c:v>
                </c:pt>
                <c:pt idx="462">
                  <c:v>118.604</c:v>
                </c:pt>
                <c:pt idx="463">
                  <c:v>118.38</c:v>
                </c:pt>
                <c:pt idx="464">
                  <c:v>118.38</c:v>
                </c:pt>
                <c:pt idx="465">
                  <c:v>116.65300000000001</c:v>
                </c:pt>
                <c:pt idx="466">
                  <c:v>119.134</c:v>
                </c:pt>
                <c:pt idx="467">
                  <c:v>120.236</c:v>
                </c:pt>
                <c:pt idx="468">
                  <c:v>117.883</c:v>
                </c:pt>
                <c:pt idx="469">
                  <c:v>114.654</c:v>
                </c:pt>
                <c:pt idx="470">
                  <c:v>114.10899999999999</c:v>
                </c:pt>
                <c:pt idx="471">
                  <c:v>112.684</c:v>
                </c:pt>
                <c:pt idx="472">
                  <c:v>112.685</c:v>
                </c:pt>
                <c:pt idx="473">
                  <c:v>111.125</c:v>
                </c:pt>
                <c:pt idx="474">
                  <c:v>114.446</c:v>
                </c:pt>
                <c:pt idx="475">
                  <c:v>116.21</c:v>
                </c:pt>
                <c:pt idx="476">
                  <c:v>118.61</c:v>
                </c:pt>
                <c:pt idx="477">
                  <c:v>115.642</c:v>
                </c:pt>
                <c:pt idx="478">
                  <c:v>113.09</c:v>
                </c:pt>
                <c:pt idx="479">
                  <c:v>111.57299999999999</c:v>
                </c:pt>
                <c:pt idx="480">
                  <c:v>109.11799999999999</c:v>
                </c:pt>
                <c:pt idx="481">
                  <c:v>109.351</c:v>
                </c:pt>
                <c:pt idx="482">
                  <c:v>104.41500000000001</c:v>
                </c:pt>
                <c:pt idx="483">
                  <c:v>98.548000000000002</c:v>
                </c:pt>
                <c:pt idx="484">
                  <c:v>96.578000000000003</c:v>
                </c:pt>
                <c:pt idx="485">
                  <c:v>88.146000000000001</c:v>
                </c:pt>
                <c:pt idx="486">
                  <c:v>88.146000000000001</c:v>
                </c:pt>
                <c:pt idx="487">
                  <c:v>87.149000000000001</c:v>
                </c:pt>
                <c:pt idx="488">
                  <c:v>88.054000000000002</c:v>
                </c:pt>
                <c:pt idx="489">
                  <c:v>88.754999999999995</c:v>
                </c:pt>
                <c:pt idx="490">
                  <c:v>84.4</c:v>
                </c:pt>
                <c:pt idx="491">
                  <c:v>84.921999999999997</c:v>
                </c:pt>
                <c:pt idx="492">
                  <c:v>82.188999999999993</c:v>
                </c:pt>
                <c:pt idx="493">
                  <c:v>80.911000000000001</c:v>
                </c:pt>
                <c:pt idx="494">
                  <c:v>79.727000000000004</c:v>
                </c:pt>
                <c:pt idx="495">
                  <c:v>77.521000000000001</c:v>
                </c:pt>
                <c:pt idx="496">
                  <c:v>74.38</c:v>
                </c:pt>
                <c:pt idx="497">
                  <c:v>74.38</c:v>
                </c:pt>
                <c:pt idx="498">
                  <c:v>73.734999999999999</c:v>
                </c:pt>
                <c:pt idx="499">
                  <c:v>73.917000000000002</c:v>
                </c:pt>
                <c:pt idx="500">
                  <c:v>74.662000000000006</c:v>
                </c:pt>
                <c:pt idx="501">
                  <c:v>72.19</c:v>
                </c:pt>
                <c:pt idx="502">
                  <c:v>71.730999999999995</c:v>
                </c:pt>
                <c:pt idx="503">
                  <c:v>68.771000000000001</c:v>
                </c:pt>
                <c:pt idx="504">
                  <c:v>67.897999999999996</c:v>
                </c:pt>
                <c:pt idx="505">
                  <c:v>69.400000000000006</c:v>
                </c:pt>
                <c:pt idx="506">
                  <c:v>67.522000000000006</c:v>
                </c:pt>
                <c:pt idx="507">
                  <c:v>66.903000000000006</c:v>
                </c:pt>
                <c:pt idx="508">
                  <c:v>69.477000000000004</c:v>
                </c:pt>
                <c:pt idx="509">
                  <c:v>69.521000000000001</c:v>
                </c:pt>
                <c:pt idx="510">
                  <c:v>69.436999999999998</c:v>
                </c:pt>
                <c:pt idx="511">
                  <c:v>67.912000000000006</c:v>
                </c:pt>
                <c:pt idx="512">
                  <c:v>65.847999999999999</c:v>
                </c:pt>
                <c:pt idx="513">
                  <c:v>61.572000000000003</c:v>
                </c:pt>
                <c:pt idx="514">
                  <c:v>64.087000000000003</c:v>
                </c:pt>
                <c:pt idx="515">
                  <c:v>62.383000000000003</c:v>
                </c:pt>
                <c:pt idx="516">
                  <c:v>60.668999999999997</c:v>
                </c:pt>
                <c:pt idx="517">
                  <c:v>58.536000000000001</c:v>
                </c:pt>
                <c:pt idx="518">
                  <c:v>58.536000000000001</c:v>
                </c:pt>
                <c:pt idx="519">
                  <c:v>58.978000000000002</c:v>
                </c:pt>
                <c:pt idx="520">
                  <c:v>58.753</c:v>
                </c:pt>
                <c:pt idx="521">
                  <c:v>56.701999999999998</c:v>
                </c:pt>
                <c:pt idx="522">
                  <c:v>57.195999999999998</c:v>
                </c:pt>
                <c:pt idx="523">
                  <c:v>57.195999999999998</c:v>
                </c:pt>
                <c:pt idx="524">
                  <c:v>57.198999999999998</c:v>
                </c:pt>
                <c:pt idx="525">
                  <c:v>55.292999999999999</c:v>
                </c:pt>
                <c:pt idx="526">
                  <c:v>52.533000000000001</c:v>
                </c:pt>
                <c:pt idx="527">
                  <c:v>53.02</c:v>
                </c:pt>
                <c:pt idx="528">
                  <c:v>50.054000000000002</c:v>
                </c:pt>
                <c:pt idx="529">
                  <c:v>49.066000000000003</c:v>
                </c:pt>
                <c:pt idx="530">
                  <c:v>46.808999999999997</c:v>
                </c:pt>
                <c:pt idx="531">
                  <c:v>47.017000000000003</c:v>
                </c:pt>
                <c:pt idx="532">
                  <c:v>47.933</c:v>
                </c:pt>
                <c:pt idx="533">
                  <c:v>48.155999999999999</c:v>
                </c:pt>
                <c:pt idx="534">
                  <c:v>48.155999999999999</c:v>
                </c:pt>
                <c:pt idx="535">
                  <c:v>48.978000000000002</c:v>
                </c:pt>
                <c:pt idx="536">
                  <c:v>49.531999999999996</c:v>
                </c:pt>
                <c:pt idx="537">
                  <c:v>48.883000000000003</c:v>
                </c:pt>
                <c:pt idx="538">
                  <c:v>49.41</c:v>
                </c:pt>
                <c:pt idx="539">
                  <c:v>49.908999999999999</c:v>
                </c:pt>
                <c:pt idx="540">
                  <c:v>50.834000000000003</c:v>
                </c:pt>
                <c:pt idx="541">
                  <c:v>49.695999999999998</c:v>
                </c:pt>
                <c:pt idx="542">
                  <c:v>50.076000000000001</c:v>
                </c:pt>
                <c:pt idx="543">
                  <c:v>47.902999999999999</c:v>
                </c:pt>
                <c:pt idx="544">
                  <c:v>46.991999999999997</c:v>
                </c:pt>
                <c:pt idx="545">
                  <c:v>45.712000000000003</c:v>
                </c:pt>
                <c:pt idx="546">
                  <c:v>43.91</c:v>
                </c:pt>
                <c:pt idx="547">
                  <c:v>42.734999999999999</c:v>
                </c:pt>
                <c:pt idx="548">
                  <c:v>41.9</c:v>
                </c:pt>
                <c:pt idx="549">
                  <c:v>40.58</c:v>
                </c:pt>
                <c:pt idx="550">
                  <c:v>42.098999999999997</c:v>
                </c:pt>
                <c:pt idx="551">
                  <c:v>41.384</c:v>
                </c:pt>
                <c:pt idx="552">
                  <c:v>42.722999999999999</c:v>
                </c:pt>
                <c:pt idx="553">
                  <c:v>41.524000000000001</c:v>
                </c:pt>
                <c:pt idx="554">
                  <c:v>41.524000000000001</c:v>
                </c:pt>
                <c:pt idx="555">
                  <c:v>38.713000000000001</c:v>
                </c:pt>
                <c:pt idx="556">
                  <c:v>39.610999999999997</c:v>
                </c:pt>
                <c:pt idx="557">
                  <c:v>41.718000000000004</c:v>
                </c:pt>
                <c:pt idx="558">
                  <c:v>40.942999999999998</c:v>
                </c:pt>
                <c:pt idx="559">
                  <c:v>40.549999999999997</c:v>
                </c:pt>
                <c:pt idx="560">
                  <c:v>42.756999999999998</c:v>
                </c:pt>
                <c:pt idx="561">
                  <c:v>42.895000000000003</c:v>
                </c:pt>
                <c:pt idx="562">
                  <c:v>39.167000000000002</c:v>
                </c:pt>
                <c:pt idx="563">
                  <c:v>38.064</c:v>
                </c:pt>
                <c:pt idx="564">
                  <c:v>42.658999999999999</c:v>
                </c:pt>
                <c:pt idx="565">
                  <c:v>43.161000000000001</c:v>
                </c:pt>
                <c:pt idx="566">
                  <c:v>43.213000000000001</c:v>
                </c:pt>
                <c:pt idx="567">
                  <c:v>42.975999999999999</c:v>
                </c:pt>
                <c:pt idx="568">
                  <c:v>44.689</c:v>
                </c:pt>
                <c:pt idx="569">
                  <c:v>44.98</c:v>
                </c:pt>
                <c:pt idx="570">
                  <c:v>50.921999999999997</c:v>
                </c:pt>
                <c:pt idx="571">
                  <c:v>48.28</c:v>
                </c:pt>
                <c:pt idx="572">
                  <c:v>50.273000000000003</c:v>
                </c:pt>
                <c:pt idx="573">
                  <c:v>45.24</c:v>
                </c:pt>
                <c:pt idx="574">
                  <c:v>45.478999999999999</c:v>
                </c:pt>
                <c:pt idx="575">
                  <c:v>45.570999999999998</c:v>
                </c:pt>
                <c:pt idx="576">
                  <c:v>43.823999999999998</c:v>
                </c:pt>
                <c:pt idx="577">
                  <c:v>44.732999999999997</c:v>
                </c:pt>
                <c:pt idx="578">
                  <c:v>44.594999999999999</c:v>
                </c:pt>
                <c:pt idx="579">
                  <c:v>43.363999999999997</c:v>
                </c:pt>
                <c:pt idx="580">
                  <c:v>43.976999999999997</c:v>
                </c:pt>
                <c:pt idx="581">
                  <c:v>43.68</c:v>
                </c:pt>
                <c:pt idx="582">
                  <c:v>42.332999999999998</c:v>
                </c:pt>
                <c:pt idx="583">
                  <c:v>39.875</c:v>
                </c:pt>
                <c:pt idx="584">
                  <c:v>40.417000000000002</c:v>
                </c:pt>
                <c:pt idx="585">
                  <c:v>35.654000000000003</c:v>
                </c:pt>
                <c:pt idx="586">
                  <c:v>35.594999999999999</c:v>
                </c:pt>
                <c:pt idx="587">
                  <c:v>32.609000000000002</c:v>
                </c:pt>
                <c:pt idx="588">
                  <c:v>33.381</c:v>
                </c:pt>
                <c:pt idx="589">
                  <c:v>27.370999999999999</c:v>
                </c:pt>
                <c:pt idx="590">
                  <c:v>29.170999999999999</c:v>
                </c:pt>
                <c:pt idx="591">
                  <c:v>33.545999999999999</c:v>
                </c:pt>
                <c:pt idx="592">
                  <c:v>33.334000000000003</c:v>
                </c:pt>
                <c:pt idx="593">
                  <c:v>30.911000000000001</c:v>
                </c:pt>
                <c:pt idx="594">
                  <c:v>31.454999999999998</c:v>
                </c:pt>
                <c:pt idx="595">
                  <c:v>31.166</c:v>
                </c:pt>
                <c:pt idx="596">
                  <c:v>32.314999999999998</c:v>
                </c:pt>
                <c:pt idx="597">
                  <c:v>32.652000000000001</c:v>
                </c:pt>
                <c:pt idx="598">
                  <c:v>32.219000000000001</c:v>
                </c:pt>
                <c:pt idx="599">
                  <c:v>32.478999999999999</c:v>
                </c:pt>
                <c:pt idx="600">
                  <c:v>33.476999999999997</c:v>
                </c:pt>
                <c:pt idx="601">
                  <c:v>33.930999999999997</c:v>
                </c:pt>
                <c:pt idx="602">
                  <c:v>33.11</c:v>
                </c:pt>
                <c:pt idx="603">
                  <c:v>32.451999999999998</c:v>
                </c:pt>
                <c:pt idx="604">
                  <c:v>29.343</c:v>
                </c:pt>
                <c:pt idx="605">
                  <c:v>28.963999999999999</c:v>
                </c:pt>
                <c:pt idx="606">
                  <c:v>26.401</c:v>
                </c:pt>
                <c:pt idx="607">
                  <c:v>26.02</c:v>
                </c:pt>
                <c:pt idx="608">
                  <c:v>28.013999999999999</c:v>
                </c:pt>
                <c:pt idx="609">
                  <c:v>26.853000000000002</c:v>
                </c:pt>
                <c:pt idx="610">
                  <c:v>29.091999999999999</c:v>
                </c:pt>
                <c:pt idx="611">
                  <c:v>28.963999999999999</c:v>
                </c:pt>
                <c:pt idx="612">
                  <c:v>29.317</c:v>
                </c:pt>
                <c:pt idx="613">
                  <c:v>27.242000000000001</c:v>
                </c:pt>
                <c:pt idx="614">
                  <c:v>30.472000000000001</c:v>
                </c:pt>
                <c:pt idx="615">
                  <c:v>29.855</c:v>
                </c:pt>
                <c:pt idx="616">
                  <c:v>30.245000000000001</c:v>
                </c:pt>
                <c:pt idx="617">
                  <c:v>29.056999999999999</c:v>
                </c:pt>
                <c:pt idx="618">
                  <c:v>32.417000000000002</c:v>
                </c:pt>
                <c:pt idx="619">
                  <c:v>29.914000000000001</c:v>
                </c:pt>
                <c:pt idx="620">
                  <c:v>31.753</c:v>
                </c:pt>
                <c:pt idx="621">
                  <c:v>32.433999999999997</c:v>
                </c:pt>
                <c:pt idx="622">
                  <c:v>31.692</c:v>
                </c:pt>
                <c:pt idx="623">
                  <c:v>31.692</c:v>
                </c:pt>
              </c:numCache>
            </c:numRef>
          </c:val>
          <c:smooth val="0"/>
          <c:extLst>
            <c:ext xmlns:c16="http://schemas.microsoft.com/office/drawing/2014/chart" uri="{C3380CC4-5D6E-409C-BE32-E72D297353CC}">
              <c16:uniqueId val="{00000006-4EEE-436B-AFC1-C498D6096249}"/>
            </c:ext>
          </c:extLst>
        </c:ser>
        <c:ser>
          <c:idx val="7"/>
          <c:order val="7"/>
          <c:tx>
            <c:strRef>
              <c:f>Sheet1!$I$1</c:f>
              <c:strCache>
                <c:ptCount val="1"/>
                <c:pt idx="0">
                  <c:v>Ուկրաինա ( 2025 թ.)</c:v>
                </c:pt>
              </c:strCache>
            </c:strRef>
          </c:tx>
          <c:spPr>
            <a:ln w="28575" cap="rnd">
              <a:solidFill>
                <a:schemeClr val="accent4">
                  <a:lumMod val="75000"/>
                </a:schemeClr>
              </a:solidFill>
              <a:round/>
            </a:ln>
            <a:effectLst/>
          </c:spPr>
          <c:marker>
            <c:symbol val="none"/>
          </c:marker>
          <c:cat>
            <c:numRef>
              <c:f>Sheet1!$A$2:$A$625</c:f>
              <c:numCache>
                <c:formatCode>m\/d\/yyyy</c:formatCode>
                <c:ptCount val="624"/>
                <c:pt idx="0">
                  <c:v>43466</c:v>
                </c:pt>
                <c:pt idx="1">
                  <c:v>43467</c:v>
                </c:pt>
                <c:pt idx="2">
                  <c:v>43468</c:v>
                </c:pt>
                <c:pt idx="3">
                  <c:v>43469</c:v>
                </c:pt>
                <c:pt idx="4">
                  <c:v>43472</c:v>
                </c:pt>
                <c:pt idx="5">
                  <c:v>43473</c:v>
                </c:pt>
                <c:pt idx="6">
                  <c:v>43474</c:v>
                </c:pt>
                <c:pt idx="7">
                  <c:v>43475</c:v>
                </c:pt>
                <c:pt idx="8">
                  <c:v>43476</c:v>
                </c:pt>
                <c:pt idx="9">
                  <c:v>43479</c:v>
                </c:pt>
                <c:pt idx="10">
                  <c:v>43480</c:v>
                </c:pt>
                <c:pt idx="11">
                  <c:v>43481</c:v>
                </c:pt>
                <c:pt idx="12">
                  <c:v>43482</c:v>
                </c:pt>
                <c:pt idx="13">
                  <c:v>43483</c:v>
                </c:pt>
                <c:pt idx="14">
                  <c:v>43486</c:v>
                </c:pt>
                <c:pt idx="15">
                  <c:v>43487</c:v>
                </c:pt>
                <c:pt idx="16">
                  <c:v>43488</c:v>
                </c:pt>
                <c:pt idx="17">
                  <c:v>43489</c:v>
                </c:pt>
                <c:pt idx="18">
                  <c:v>43490</c:v>
                </c:pt>
                <c:pt idx="19">
                  <c:v>43493</c:v>
                </c:pt>
                <c:pt idx="20">
                  <c:v>43494</c:v>
                </c:pt>
                <c:pt idx="21">
                  <c:v>43495</c:v>
                </c:pt>
                <c:pt idx="22">
                  <c:v>43496</c:v>
                </c:pt>
                <c:pt idx="23">
                  <c:v>43497</c:v>
                </c:pt>
                <c:pt idx="24">
                  <c:v>43500</c:v>
                </c:pt>
                <c:pt idx="25">
                  <c:v>43501</c:v>
                </c:pt>
                <c:pt idx="26">
                  <c:v>43502</c:v>
                </c:pt>
                <c:pt idx="27">
                  <c:v>43503</c:v>
                </c:pt>
                <c:pt idx="28">
                  <c:v>43504</c:v>
                </c:pt>
                <c:pt idx="29">
                  <c:v>43507</c:v>
                </c:pt>
                <c:pt idx="30">
                  <c:v>43508</c:v>
                </c:pt>
                <c:pt idx="31">
                  <c:v>43509</c:v>
                </c:pt>
                <c:pt idx="32">
                  <c:v>43510</c:v>
                </c:pt>
                <c:pt idx="33">
                  <c:v>43511</c:v>
                </c:pt>
                <c:pt idx="34">
                  <c:v>43514</c:v>
                </c:pt>
                <c:pt idx="35">
                  <c:v>43515</c:v>
                </c:pt>
                <c:pt idx="36">
                  <c:v>43516</c:v>
                </c:pt>
                <c:pt idx="37">
                  <c:v>43517</c:v>
                </c:pt>
                <c:pt idx="38">
                  <c:v>43518</c:v>
                </c:pt>
                <c:pt idx="39">
                  <c:v>43521</c:v>
                </c:pt>
                <c:pt idx="40">
                  <c:v>43522</c:v>
                </c:pt>
                <c:pt idx="41">
                  <c:v>43523</c:v>
                </c:pt>
                <c:pt idx="42">
                  <c:v>43524</c:v>
                </c:pt>
                <c:pt idx="43">
                  <c:v>43525</c:v>
                </c:pt>
                <c:pt idx="44">
                  <c:v>43528</c:v>
                </c:pt>
                <c:pt idx="45">
                  <c:v>43529</c:v>
                </c:pt>
                <c:pt idx="46">
                  <c:v>43530</c:v>
                </c:pt>
                <c:pt idx="47">
                  <c:v>43531</c:v>
                </c:pt>
                <c:pt idx="48">
                  <c:v>43532</c:v>
                </c:pt>
                <c:pt idx="49">
                  <c:v>43535</c:v>
                </c:pt>
                <c:pt idx="50">
                  <c:v>43536</c:v>
                </c:pt>
                <c:pt idx="51">
                  <c:v>43537</c:v>
                </c:pt>
                <c:pt idx="52">
                  <c:v>43538</c:v>
                </c:pt>
                <c:pt idx="53">
                  <c:v>43539</c:v>
                </c:pt>
                <c:pt idx="54">
                  <c:v>43542</c:v>
                </c:pt>
                <c:pt idx="55">
                  <c:v>43543</c:v>
                </c:pt>
                <c:pt idx="56">
                  <c:v>43544</c:v>
                </c:pt>
                <c:pt idx="57">
                  <c:v>43545</c:v>
                </c:pt>
                <c:pt idx="58">
                  <c:v>43546</c:v>
                </c:pt>
                <c:pt idx="59">
                  <c:v>43549</c:v>
                </c:pt>
                <c:pt idx="60">
                  <c:v>43550</c:v>
                </c:pt>
                <c:pt idx="61">
                  <c:v>43551</c:v>
                </c:pt>
                <c:pt idx="62">
                  <c:v>43552</c:v>
                </c:pt>
                <c:pt idx="63">
                  <c:v>43553</c:v>
                </c:pt>
                <c:pt idx="64">
                  <c:v>43556</c:v>
                </c:pt>
                <c:pt idx="65">
                  <c:v>43557</c:v>
                </c:pt>
                <c:pt idx="66">
                  <c:v>43558</c:v>
                </c:pt>
                <c:pt idx="67">
                  <c:v>43559</c:v>
                </c:pt>
                <c:pt idx="68">
                  <c:v>43560</c:v>
                </c:pt>
                <c:pt idx="69">
                  <c:v>43563</c:v>
                </c:pt>
                <c:pt idx="70">
                  <c:v>43564</c:v>
                </c:pt>
                <c:pt idx="71">
                  <c:v>43565</c:v>
                </c:pt>
                <c:pt idx="72">
                  <c:v>43566</c:v>
                </c:pt>
                <c:pt idx="73">
                  <c:v>43567</c:v>
                </c:pt>
                <c:pt idx="74">
                  <c:v>43570</c:v>
                </c:pt>
                <c:pt idx="75">
                  <c:v>43571</c:v>
                </c:pt>
                <c:pt idx="76">
                  <c:v>43572</c:v>
                </c:pt>
                <c:pt idx="77">
                  <c:v>43573</c:v>
                </c:pt>
                <c:pt idx="78">
                  <c:v>43574</c:v>
                </c:pt>
                <c:pt idx="79">
                  <c:v>43577</c:v>
                </c:pt>
                <c:pt idx="80">
                  <c:v>43578</c:v>
                </c:pt>
                <c:pt idx="81">
                  <c:v>43579</c:v>
                </c:pt>
                <c:pt idx="82">
                  <c:v>43580</c:v>
                </c:pt>
                <c:pt idx="83">
                  <c:v>43581</c:v>
                </c:pt>
                <c:pt idx="84">
                  <c:v>43584</c:v>
                </c:pt>
                <c:pt idx="85">
                  <c:v>43585</c:v>
                </c:pt>
                <c:pt idx="86">
                  <c:v>43586</c:v>
                </c:pt>
                <c:pt idx="87">
                  <c:v>43587</c:v>
                </c:pt>
                <c:pt idx="88">
                  <c:v>43588</c:v>
                </c:pt>
                <c:pt idx="89">
                  <c:v>43591</c:v>
                </c:pt>
                <c:pt idx="90">
                  <c:v>43592</c:v>
                </c:pt>
                <c:pt idx="91">
                  <c:v>43593</c:v>
                </c:pt>
                <c:pt idx="92">
                  <c:v>43594</c:v>
                </c:pt>
                <c:pt idx="93">
                  <c:v>43595</c:v>
                </c:pt>
                <c:pt idx="94">
                  <c:v>43598</c:v>
                </c:pt>
                <c:pt idx="95">
                  <c:v>43599</c:v>
                </c:pt>
                <c:pt idx="96">
                  <c:v>43600</c:v>
                </c:pt>
                <c:pt idx="97">
                  <c:v>43601</c:v>
                </c:pt>
                <c:pt idx="98">
                  <c:v>43602</c:v>
                </c:pt>
                <c:pt idx="99">
                  <c:v>43605</c:v>
                </c:pt>
                <c:pt idx="100">
                  <c:v>43606</c:v>
                </c:pt>
                <c:pt idx="101">
                  <c:v>43607</c:v>
                </c:pt>
                <c:pt idx="102">
                  <c:v>43608</c:v>
                </c:pt>
                <c:pt idx="103">
                  <c:v>43609</c:v>
                </c:pt>
                <c:pt idx="104">
                  <c:v>43612</c:v>
                </c:pt>
                <c:pt idx="105">
                  <c:v>43613</c:v>
                </c:pt>
                <c:pt idx="106">
                  <c:v>43614</c:v>
                </c:pt>
                <c:pt idx="107">
                  <c:v>43615</c:v>
                </c:pt>
                <c:pt idx="108">
                  <c:v>43616</c:v>
                </c:pt>
                <c:pt idx="109">
                  <c:v>43619</c:v>
                </c:pt>
                <c:pt idx="110">
                  <c:v>43620</c:v>
                </c:pt>
                <c:pt idx="111">
                  <c:v>43621</c:v>
                </c:pt>
                <c:pt idx="112">
                  <c:v>43622</c:v>
                </c:pt>
                <c:pt idx="113">
                  <c:v>43623</c:v>
                </c:pt>
                <c:pt idx="114">
                  <c:v>43626</c:v>
                </c:pt>
                <c:pt idx="115">
                  <c:v>43627</c:v>
                </c:pt>
                <c:pt idx="116">
                  <c:v>43628</c:v>
                </c:pt>
                <c:pt idx="117">
                  <c:v>43629</c:v>
                </c:pt>
                <c:pt idx="118">
                  <c:v>43630</c:v>
                </c:pt>
                <c:pt idx="119">
                  <c:v>43633</c:v>
                </c:pt>
                <c:pt idx="120">
                  <c:v>43634</c:v>
                </c:pt>
                <c:pt idx="121">
                  <c:v>43635</c:v>
                </c:pt>
                <c:pt idx="122">
                  <c:v>43636</c:v>
                </c:pt>
                <c:pt idx="123">
                  <c:v>43637</c:v>
                </c:pt>
                <c:pt idx="124">
                  <c:v>43640</c:v>
                </c:pt>
                <c:pt idx="125">
                  <c:v>43641</c:v>
                </c:pt>
                <c:pt idx="126">
                  <c:v>43642</c:v>
                </c:pt>
                <c:pt idx="127">
                  <c:v>43643</c:v>
                </c:pt>
                <c:pt idx="128">
                  <c:v>43644</c:v>
                </c:pt>
                <c:pt idx="129">
                  <c:v>43647</c:v>
                </c:pt>
                <c:pt idx="130">
                  <c:v>43648</c:v>
                </c:pt>
                <c:pt idx="131">
                  <c:v>43649</c:v>
                </c:pt>
                <c:pt idx="132">
                  <c:v>43650</c:v>
                </c:pt>
                <c:pt idx="133">
                  <c:v>43651</c:v>
                </c:pt>
                <c:pt idx="134">
                  <c:v>43654</c:v>
                </c:pt>
                <c:pt idx="135">
                  <c:v>43655</c:v>
                </c:pt>
                <c:pt idx="136">
                  <c:v>43656</c:v>
                </c:pt>
                <c:pt idx="137">
                  <c:v>43657</c:v>
                </c:pt>
                <c:pt idx="138">
                  <c:v>43658</c:v>
                </c:pt>
                <c:pt idx="139">
                  <c:v>43661</c:v>
                </c:pt>
                <c:pt idx="140">
                  <c:v>43662</c:v>
                </c:pt>
                <c:pt idx="141">
                  <c:v>43663</c:v>
                </c:pt>
                <c:pt idx="142">
                  <c:v>43664</c:v>
                </c:pt>
                <c:pt idx="143">
                  <c:v>43665</c:v>
                </c:pt>
                <c:pt idx="144">
                  <c:v>43668</c:v>
                </c:pt>
                <c:pt idx="145">
                  <c:v>43669</c:v>
                </c:pt>
                <c:pt idx="146">
                  <c:v>43670</c:v>
                </c:pt>
                <c:pt idx="147">
                  <c:v>43671</c:v>
                </c:pt>
                <c:pt idx="148">
                  <c:v>43672</c:v>
                </c:pt>
                <c:pt idx="149">
                  <c:v>43675</c:v>
                </c:pt>
                <c:pt idx="150">
                  <c:v>43676</c:v>
                </c:pt>
                <c:pt idx="151">
                  <c:v>43677</c:v>
                </c:pt>
                <c:pt idx="152">
                  <c:v>43678</c:v>
                </c:pt>
                <c:pt idx="153">
                  <c:v>43679</c:v>
                </c:pt>
                <c:pt idx="154">
                  <c:v>43682</c:v>
                </c:pt>
                <c:pt idx="155">
                  <c:v>43683</c:v>
                </c:pt>
                <c:pt idx="156">
                  <c:v>43684</c:v>
                </c:pt>
                <c:pt idx="157">
                  <c:v>43685</c:v>
                </c:pt>
                <c:pt idx="158">
                  <c:v>43686</c:v>
                </c:pt>
                <c:pt idx="159">
                  <c:v>43689</c:v>
                </c:pt>
                <c:pt idx="160">
                  <c:v>43690</c:v>
                </c:pt>
                <c:pt idx="161">
                  <c:v>43691</c:v>
                </c:pt>
                <c:pt idx="162">
                  <c:v>43692</c:v>
                </c:pt>
                <c:pt idx="163">
                  <c:v>43693</c:v>
                </c:pt>
                <c:pt idx="164">
                  <c:v>43696</c:v>
                </c:pt>
                <c:pt idx="165">
                  <c:v>43697</c:v>
                </c:pt>
                <c:pt idx="166">
                  <c:v>43698</c:v>
                </c:pt>
                <c:pt idx="167">
                  <c:v>43699</c:v>
                </c:pt>
                <c:pt idx="168">
                  <c:v>43700</c:v>
                </c:pt>
                <c:pt idx="169">
                  <c:v>43703</c:v>
                </c:pt>
                <c:pt idx="170">
                  <c:v>43704</c:v>
                </c:pt>
                <c:pt idx="171">
                  <c:v>43705</c:v>
                </c:pt>
                <c:pt idx="172">
                  <c:v>43706</c:v>
                </c:pt>
                <c:pt idx="173">
                  <c:v>43707</c:v>
                </c:pt>
                <c:pt idx="174">
                  <c:v>43710</c:v>
                </c:pt>
                <c:pt idx="175">
                  <c:v>43711</c:v>
                </c:pt>
                <c:pt idx="176">
                  <c:v>43712</c:v>
                </c:pt>
                <c:pt idx="177">
                  <c:v>43713</c:v>
                </c:pt>
                <c:pt idx="178">
                  <c:v>43714</c:v>
                </c:pt>
                <c:pt idx="179">
                  <c:v>43717</c:v>
                </c:pt>
                <c:pt idx="180">
                  <c:v>43718</c:v>
                </c:pt>
                <c:pt idx="181">
                  <c:v>43719</c:v>
                </c:pt>
                <c:pt idx="182">
                  <c:v>43720</c:v>
                </c:pt>
                <c:pt idx="183">
                  <c:v>43721</c:v>
                </c:pt>
                <c:pt idx="184">
                  <c:v>43724</c:v>
                </c:pt>
                <c:pt idx="185">
                  <c:v>43725</c:v>
                </c:pt>
                <c:pt idx="186">
                  <c:v>43726</c:v>
                </c:pt>
                <c:pt idx="187">
                  <c:v>43727</c:v>
                </c:pt>
                <c:pt idx="188">
                  <c:v>43728</c:v>
                </c:pt>
                <c:pt idx="189">
                  <c:v>43731</c:v>
                </c:pt>
                <c:pt idx="190">
                  <c:v>43732</c:v>
                </c:pt>
                <c:pt idx="191">
                  <c:v>43733</c:v>
                </c:pt>
                <c:pt idx="192">
                  <c:v>43734</c:v>
                </c:pt>
                <c:pt idx="193">
                  <c:v>43735</c:v>
                </c:pt>
                <c:pt idx="194">
                  <c:v>43738</c:v>
                </c:pt>
                <c:pt idx="195">
                  <c:v>43739</c:v>
                </c:pt>
                <c:pt idx="196">
                  <c:v>43740</c:v>
                </c:pt>
                <c:pt idx="197">
                  <c:v>43741</c:v>
                </c:pt>
                <c:pt idx="198">
                  <c:v>43742</c:v>
                </c:pt>
                <c:pt idx="199">
                  <c:v>43745</c:v>
                </c:pt>
                <c:pt idx="200">
                  <c:v>43746</c:v>
                </c:pt>
                <c:pt idx="201">
                  <c:v>43747</c:v>
                </c:pt>
                <c:pt idx="202">
                  <c:v>43748</c:v>
                </c:pt>
                <c:pt idx="203">
                  <c:v>43749</c:v>
                </c:pt>
                <c:pt idx="204">
                  <c:v>43752</c:v>
                </c:pt>
                <c:pt idx="205">
                  <c:v>43753</c:v>
                </c:pt>
                <c:pt idx="206">
                  <c:v>43754</c:v>
                </c:pt>
                <c:pt idx="207">
                  <c:v>43755</c:v>
                </c:pt>
                <c:pt idx="208">
                  <c:v>43756</c:v>
                </c:pt>
                <c:pt idx="209">
                  <c:v>43759</c:v>
                </c:pt>
                <c:pt idx="210">
                  <c:v>43760</c:v>
                </c:pt>
                <c:pt idx="211">
                  <c:v>43761</c:v>
                </c:pt>
                <c:pt idx="212">
                  <c:v>43762</c:v>
                </c:pt>
                <c:pt idx="213">
                  <c:v>43763</c:v>
                </c:pt>
                <c:pt idx="214">
                  <c:v>43766</c:v>
                </c:pt>
                <c:pt idx="215">
                  <c:v>43767</c:v>
                </c:pt>
                <c:pt idx="216">
                  <c:v>43768</c:v>
                </c:pt>
                <c:pt idx="217">
                  <c:v>43769</c:v>
                </c:pt>
                <c:pt idx="218">
                  <c:v>43770</c:v>
                </c:pt>
                <c:pt idx="219">
                  <c:v>43773</c:v>
                </c:pt>
                <c:pt idx="220">
                  <c:v>43774</c:v>
                </c:pt>
                <c:pt idx="221">
                  <c:v>43775</c:v>
                </c:pt>
                <c:pt idx="222">
                  <c:v>43776</c:v>
                </c:pt>
                <c:pt idx="223">
                  <c:v>43777</c:v>
                </c:pt>
                <c:pt idx="224">
                  <c:v>43780</c:v>
                </c:pt>
                <c:pt idx="225">
                  <c:v>43781</c:v>
                </c:pt>
                <c:pt idx="226">
                  <c:v>43782</c:v>
                </c:pt>
                <c:pt idx="227">
                  <c:v>43783</c:v>
                </c:pt>
                <c:pt idx="228">
                  <c:v>43784</c:v>
                </c:pt>
                <c:pt idx="229">
                  <c:v>43787</c:v>
                </c:pt>
                <c:pt idx="230">
                  <c:v>43788</c:v>
                </c:pt>
                <c:pt idx="231">
                  <c:v>43789</c:v>
                </c:pt>
                <c:pt idx="232">
                  <c:v>43790</c:v>
                </c:pt>
                <c:pt idx="233">
                  <c:v>43791</c:v>
                </c:pt>
                <c:pt idx="234">
                  <c:v>43794</c:v>
                </c:pt>
                <c:pt idx="235">
                  <c:v>43795</c:v>
                </c:pt>
                <c:pt idx="236">
                  <c:v>43796</c:v>
                </c:pt>
                <c:pt idx="237">
                  <c:v>43797</c:v>
                </c:pt>
                <c:pt idx="238">
                  <c:v>43798</c:v>
                </c:pt>
                <c:pt idx="239">
                  <c:v>43801</c:v>
                </c:pt>
                <c:pt idx="240">
                  <c:v>43802</c:v>
                </c:pt>
                <c:pt idx="241">
                  <c:v>43803</c:v>
                </c:pt>
                <c:pt idx="242">
                  <c:v>43804</c:v>
                </c:pt>
                <c:pt idx="243">
                  <c:v>43805</c:v>
                </c:pt>
                <c:pt idx="244">
                  <c:v>43808</c:v>
                </c:pt>
                <c:pt idx="245">
                  <c:v>43809</c:v>
                </c:pt>
                <c:pt idx="246">
                  <c:v>43810</c:v>
                </c:pt>
                <c:pt idx="247">
                  <c:v>43811</c:v>
                </c:pt>
                <c:pt idx="248">
                  <c:v>43812</c:v>
                </c:pt>
                <c:pt idx="249">
                  <c:v>43815</c:v>
                </c:pt>
                <c:pt idx="250">
                  <c:v>43816</c:v>
                </c:pt>
                <c:pt idx="251">
                  <c:v>43817</c:v>
                </c:pt>
                <c:pt idx="252">
                  <c:v>43818</c:v>
                </c:pt>
                <c:pt idx="253">
                  <c:v>43819</c:v>
                </c:pt>
                <c:pt idx="254">
                  <c:v>43822</c:v>
                </c:pt>
                <c:pt idx="255">
                  <c:v>43823</c:v>
                </c:pt>
                <c:pt idx="256">
                  <c:v>43824</c:v>
                </c:pt>
                <c:pt idx="257">
                  <c:v>43825</c:v>
                </c:pt>
                <c:pt idx="258">
                  <c:v>43826</c:v>
                </c:pt>
                <c:pt idx="259">
                  <c:v>43829</c:v>
                </c:pt>
                <c:pt idx="260">
                  <c:v>43830</c:v>
                </c:pt>
                <c:pt idx="261">
                  <c:v>43831</c:v>
                </c:pt>
                <c:pt idx="262">
                  <c:v>43832</c:v>
                </c:pt>
                <c:pt idx="263">
                  <c:v>43833</c:v>
                </c:pt>
                <c:pt idx="264">
                  <c:v>43836</c:v>
                </c:pt>
                <c:pt idx="265">
                  <c:v>43837</c:v>
                </c:pt>
                <c:pt idx="266">
                  <c:v>43838</c:v>
                </c:pt>
                <c:pt idx="267">
                  <c:v>43839</c:v>
                </c:pt>
                <c:pt idx="268">
                  <c:v>43840</c:v>
                </c:pt>
                <c:pt idx="269">
                  <c:v>43843</c:v>
                </c:pt>
                <c:pt idx="270">
                  <c:v>43844</c:v>
                </c:pt>
                <c:pt idx="271">
                  <c:v>43845</c:v>
                </c:pt>
                <c:pt idx="272">
                  <c:v>43846</c:v>
                </c:pt>
                <c:pt idx="273">
                  <c:v>43847</c:v>
                </c:pt>
                <c:pt idx="274">
                  <c:v>43850</c:v>
                </c:pt>
                <c:pt idx="275">
                  <c:v>43851</c:v>
                </c:pt>
                <c:pt idx="276">
                  <c:v>43852</c:v>
                </c:pt>
                <c:pt idx="277">
                  <c:v>43853</c:v>
                </c:pt>
                <c:pt idx="278">
                  <c:v>43854</c:v>
                </c:pt>
                <c:pt idx="279">
                  <c:v>43857</c:v>
                </c:pt>
                <c:pt idx="280">
                  <c:v>43858</c:v>
                </c:pt>
                <c:pt idx="281">
                  <c:v>43859</c:v>
                </c:pt>
                <c:pt idx="282">
                  <c:v>43860</c:v>
                </c:pt>
                <c:pt idx="283">
                  <c:v>43861</c:v>
                </c:pt>
                <c:pt idx="284">
                  <c:v>43864</c:v>
                </c:pt>
                <c:pt idx="285">
                  <c:v>43865</c:v>
                </c:pt>
                <c:pt idx="286">
                  <c:v>43866</c:v>
                </c:pt>
                <c:pt idx="287">
                  <c:v>43867</c:v>
                </c:pt>
                <c:pt idx="288">
                  <c:v>43868</c:v>
                </c:pt>
                <c:pt idx="289">
                  <c:v>43871</c:v>
                </c:pt>
                <c:pt idx="290">
                  <c:v>43872</c:v>
                </c:pt>
                <c:pt idx="291">
                  <c:v>43873</c:v>
                </c:pt>
                <c:pt idx="292">
                  <c:v>43874</c:v>
                </c:pt>
                <c:pt idx="293">
                  <c:v>43875</c:v>
                </c:pt>
                <c:pt idx="294">
                  <c:v>43878</c:v>
                </c:pt>
                <c:pt idx="295">
                  <c:v>43879</c:v>
                </c:pt>
                <c:pt idx="296">
                  <c:v>43880</c:v>
                </c:pt>
                <c:pt idx="297">
                  <c:v>43881</c:v>
                </c:pt>
                <c:pt idx="298">
                  <c:v>43882</c:v>
                </c:pt>
                <c:pt idx="299">
                  <c:v>43885</c:v>
                </c:pt>
                <c:pt idx="300">
                  <c:v>43886</c:v>
                </c:pt>
                <c:pt idx="301">
                  <c:v>43887</c:v>
                </c:pt>
                <c:pt idx="302">
                  <c:v>43888</c:v>
                </c:pt>
                <c:pt idx="303">
                  <c:v>43889</c:v>
                </c:pt>
                <c:pt idx="304">
                  <c:v>43892</c:v>
                </c:pt>
                <c:pt idx="305">
                  <c:v>43893</c:v>
                </c:pt>
                <c:pt idx="306">
                  <c:v>43894</c:v>
                </c:pt>
                <c:pt idx="307">
                  <c:v>43895</c:v>
                </c:pt>
                <c:pt idx="308">
                  <c:v>43896</c:v>
                </c:pt>
                <c:pt idx="309">
                  <c:v>43899</c:v>
                </c:pt>
                <c:pt idx="310">
                  <c:v>43900</c:v>
                </c:pt>
                <c:pt idx="311">
                  <c:v>43901</c:v>
                </c:pt>
                <c:pt idx="312">
                  <c:v>43902</c:v>
                </c:pt>
                <c:pt idx="313">
                  <c:v>43903</c:v>
                </c:pt>
                <c:pt idx="314">
                  <c:v>43906</c:v>
                </c:pt>
                <c:pt idx="315">
                  <c:v>43907</c:v>
                </c:pt>
                <c:pt idx="316">
                  <c:v>43908</c:v>
                </c:pt>
                <c:pt idx="317">
                  <c:v>43909</c:v>
                </c:pt>
                <c:pt idx="318">
                  <c:v>43910</c:v>
                </c:pt>
                <c:pt idx="319">
                  <c:v>43913</c:v>
                </c:pt>
                <c:pt idx="320">
                  <c:v>43914</c:v>
                </c:pt>
                <c:pt idx="321">
                  <c:v>43915</c:v>
                </c:pt>
                <c:pt idx="322">
                  <c:v>43916</c:v>
                </c:pt>
                <c:pt idx="323">
                  <c:v>43917</c:v>
                </c:pt>
                <c:pt idx="324">
                  <c:v>43920</c:v>
                </c:pt>
                <c:pt idx="325">
                  <c:v>43921</c:v>
                </c:pt>
                <c:pt idx="326">
                  <c:v>43922</c:v>
                </c:pt>
                <c:pt idx="327">
                  <c:v>43923</c:v>
                </c:pt>
                <c:pt idx="328">
                  <c:v>43924</c:v>
                </c:pt>
                <c:pt idx="329">
                  <c:v>43927</c:v>
                </c:pt>
                <c:pt idx="330">
                  <c:v>43928</c:v>
                </c:pt>
                <c:pt idx="331">
                  <c:v>43929</c:v>
                </c:pt>
                <c:pt idx="332">
                  <c:v>43930</c:v>
                </c:pt>
                <c:pt idx="333">
                  <c:v>43931</c:v>
                </c:pt>
                <c:pt idx="334">
                  <c:v>43934</c:v>
                </c:pt>
                <c:pt idx="335">
                  <c:v>43935</c:v>
                </c:pt>
                <c:pt idx="336">
                  <c:v>43936</c:v>
                </c:pt>
                <c:pt idx="337">
                  <c:v>43937</c:v>
                </c:pt>
                <c:pt idx="338">
                  <c:v>43938</c:v>
                </c:pt>
                <c:pt idx="339">
                  <c:v>43941</c:v>
                </c:pt>
                <c:pt idx="340">
                  <c:v>43942</c:v>
                </c:pt>
                <c:pt idx="341">
                  <c:v>43943</c:v>
                </c:pt>
                <c:pt idx="342">
                  <c:v>43944</c:v>
                </c:pt>
                <c:pt idx="343">
                  <c:v>43945</c:v>
                </c:pt>
                <c:pt idx="344">
                  <c:v>43948</c:v>
                </c:pt>
                <c:pt idx="345">
                  <c:v>43949</c:v>
                </c:pt>
                <c:pt idx="346">
                  <c:v>43950</c:v>
                </c:pt>
                <c:pt idx="347">
                  <c:v>43951</c:v>
                </c:pt>
                <c:pt idx="348">
                  <c:v>43952</c:v>
                </c:pt>
                <c:pt idx="349">
                  <c:v>43955</c:v>
                </c:pt>
                <c:pt idx="350">
                  <c:v>43956</c:v>
                </c:pt>
                <c:pt idx="351">
                  <c:v>43957</c:v>
                </c:pt>
                <c:pt idx="352">
                  <c:v>43958</c:v>
                </c:pt>
                <c:pt idx="353">
                  <c:v>43959</c:v>
                </c:pt>
                <c:pt idx="354">
                  <c:v>43962</c:v>
                </c:pt>
                <c:pt idx="355">
                  <c:v>43963</c:v>
                </c:pt>
                <c:pt idx="356">
                  <c:v>43964</c:v>
                </c:pt>
                <c:pt idx="357">
                  <c:v>43965</c:v>
                </c:pt>
                <c:pt idx="358">
                  <c:v>43966</c:v>
                </c:pt>
                <c:pt idx="359">
                  <c:v>43969</c:v>
                </c:pt>
                <c:pt idx="360">
                  <c:v>43970</c:v>
                </c:pt>
                <c:pt idx="361">
                  <c:v>43971</c:v>
                </c:pt>
                <c:pt idx="362">
                  <c:v>43972</c:v>
                </c:pt>
                <c:pt idx="363">
                  <c:v>43973</c:v>
                </c:pt>
                <c:pt idx="364">
                  <c:v>43976</c:v>
                </c:pt>
                <c:pt idx="365">
                  <c:v>43977</c:v>
                </c:pt>
                <c:pt idx="366">
                  <c:v>43978</c:v>
                </c:pt>
                <c:pt idx="367">
                  <c:v>43979</c:v>
                </c:pt>
                <c:pt idx="368">
                  <c:v>43980</c:v>
                </c:pt>
                <c:pt idx="369">
                  <c:v>43983</c:v>
                </c:pt>
                <c:pt idx="370">
                  <c:v>43984</c:v>
                </c:pt>
                <c:pt idx="371">
                  <c:v>43985</c:v>
                </c:pt>
                <c:pt idx="372">
                  <c:v>43986</c:v>
                </c:pt>
                <c:pt idx="373">
                  <c:v>43987</c:v>
                </c:pt>
                <c:pt idx="374">
                  <c:v>43990</c:v>
                </c:pt>
                <c:pt idx="375">
                  <c:v>43991</c:v>
                </c:pt>
                <c:pt idx="376">
                  <c:v>43992</c:v>
                </c:pt>
                <c:pt idx="377">
                  <c:v>43993</c:v>
                </c:pt>
                <c:pt idx="378">
                  <c:v>43994</c:v>
                </c:pt>
                <c:pt idx="379">
                  <c:v>43997</c:v>
                </c:pt>
                <c:pt idx="380">
                  <c:v>43998</c:v>
                </c:pt>
                <c:pt idx="381">
                  <c:v>43999</c:v>
                </c:pt>
                <c:pt idx="382">
                  <c:v>44000</c:v>
                </c:pt>
                <c:pt idx="383">
                  <c:v>44001</c:v>
                </c:pt>
                <c:pt idx="384">
                  <c:v>44004</c:v>
                </c:pt>
                <c:pt idx="385">
                  <c:v>44005</c:v>
                </c:pt>
                <c:pt idx="386">
                  <c:v>44006</c:v>
                </c:pt>
                <c:pt idx="387">
                  <c:v>44007</c:v>
                </c:pt>
                <c:pt idx="388">
                  <c:v>44008</c:v>
                </c:pt>
                <c:pt idx="389">
                  <c:v>44011</c:v>
                </c:pt>
                <c:pt idx="390">
                  <c:v>44012</c:v>
                </c:pt>
                <c:pt idx="391">
                  <c:v>44013</c:v>
                </c:pt>
                <c:pt idx="392">
                  <c:v>44014</c:v>
                </c:pt>
                <c:pt idx="393">
                  <c:v>44015</c:v>
                </c:pt>
                <c:pt idx="394">
                  <c:v>44018</c:v>
                </c:pt>
                <c:pt idx="395">
                  <c:v>44019</c:v>
                </c:pt>
                <c:pt idx="396">
                  <c:v>44020</c:v>
                </c:pt>
                <c:pt idx="397">
                  <c:v>44021</c:v>
                </c:pt>
                <c:pt idx="398">
                  <c:v>44022</c:v>
                </c:pt>
                <c:pt idx="399">
                  <c:v>44025</c:v>
                </c:pt>
                <c:pt idx="400">
                  <c:v>44026</c:v>
                </c:pt>
                <c:pt idx="401">
                  <c:v>44027</c:v>
                </c:pt>
                <c:pt idx="402">
                  <c:v>44028</c:v>
                </c:pt>
                <c:pt idx="403">
                  <c:v>44029</c:v>
                </c:pt>
                <c:pt idx="404">
                  <c:v>44032</c:v>
                </c:pt>
                <c:pt idx="405">
                  <c:v>44033</c:v>
                </c:pt>
                <c:pt idx="406">
                  <c:v>44034</c:v>
                </c:pt>
                <c:pt idx="407">
                  <c:v>44035</c:v>
                </c:pt>
                <c:pt idx="408">
                  <c:v>44036</c:v>
                </c:pt>
                <c:pt idx="409">
                  <c:v>44039</c:v>
                </c:pt>
                <c:pt idx="410">
                  <c:v>44040</c:v>
                </c:pt>
                <c:pt idx="411">
                  <c:v>44041</c:v>
                </c:pt>
                <c:pt idx="412">
                  <c:v>44042</c:v>
                </c:pt>
                <c:pt idx="413">
                  <c:v>44043</c:v>
                </c:pt>
                <c:pt idx="414">
                  <c:v>44046</c:v>
                </c:pt>
                <c:pt idx="415">
                  <c:v>44047</c:v>
                </c:pt>
                <c:pt idx="416">
                  <c:v>44048</c:v>
                </c:pt>
                <c:pt idx="417">
                  <c:v>44049</c:v>
                </c:pt>
                <c:pt idx="418">
                  <c:v>44050</c:v>
                </c:pt>
                <c:pt idx="419">
                  <c:v>44053</c:v>
                </c:pt>
                <c:pt idx="420">
                  <c:v>44054</c:v>
                </c:pt>
                <c:pt idx="421">
                  <c:v>44055</c:v>
                </c:pt>
                <c:pt idx="422">
                  <c:v>44056</c:v>
                </c:pt>
                <c:pt idx="423">
                  <c:v>44057</c:v>
                </c:pt>
                <c:pt idx="424">
                  <c:v>44060</c:v>
                </c:pt>
                <c:pt idx="425">
                  <c:v>44061</c:v>
                </c:pt>
                <c:pt idx="426">
                  <c:v>44062</c:v>
                </c:pt>
                <c:pt idx="427">
                  <c:v>44063</c:v>
                </c:pt>
                <c:pt idx="428">
                  <c:v>44064</c:v>
                </c:pt>
                <c:pt idx="429">
                  <c:v>44067</c:v>
                </c:pt>
                <c:pt idx="430">
                  <c:v>44068</c:v>
                </c:pt>
                <c:pt idx="431">
                  <c:v>44069</c:v>
                </c:pt>
                <c:pt idx="432">
                  <c:v>44070</c:v>
                </c:pt>
                <c:pt idx="433">
                  <c:v>44071</c:v>
                </c:pt>
                <c:pt idx="434">
                  <c:v>44074</c:v>
                </c:pt>
                <c:pt idx="435">
                  <c:v>44075</c:v>
                </c:pt>
                <c:pt idx="436">
                  <c:v>44076</c:v>
                </c:pt>
                <c:pt idx="437">
                  <c:v>44077</c:v>
                </c:pt>
                <c:pt idx="438">
                  <c:v>44078</c:v>
                </c:pt>
                <c:pt idx="439">
                  <c:v>44081</c:v>
                </c:pt>
                <c:pt idx="440">
                  <c:v>44082</c:v>
                </c:pt>
                <c:pt idx="441">
                  <c:v>44083</c:v>
                </c:pt>
                <c:pt idx="442">
                  <c:v>44084</c:v>
                </c:pt>
                <c:pt idx="443">
                  <c:v>44085</c:v>
                </c:pt>
                <c:pt idx="444">
                  <c:v>44088</c:v>
                </c:pt>
                <c:pt idx="445">
                  <c:v>44089</c:v>
                </c:pt>
                <c:pt idx="446">
                  <c:v>44090</c:v>
                </c:pt>
                <c:pt idx="447">
                  <c:v>44091</c:v>
                </c:pt>
                <c:pt idx="448">
                  <c:v>44092</c:v>
                </c:pt>
                <c:pt idx="449">
                  <c:v>44095</c:v>
                </c:pt>
                <c:pt idx="450">
                  <c:v>44096</c:v>
                </c:pt>
                <c:pt idx="451">
                  <c:v>44097</c:v>
                </c:pt>
                <c:pt idx="452">
                  <c:v>44098</c:v>
                </c:pt>
                <c:pt idx="453">
                  <c:v>44099</c:v>
                </c:pt>
                <c:pt idx="454">
                  <c:v>44102</c:v>
                </c:pt>
                <c:pt idx="455">
                  <c:v>44103</c:v>
                </c:pt>
                <c:pt idx="456">
                  <c:v>44104</c:v>
                </c:pt>
                <c:pt idx="457">
                  <c:v>44105</c:v>
                </c:pt>
                <c:pt idx="458">
                  <c:v>44106</c:v>
                </c:pt>
                <c:pt idx="459">
                  <c:v>44109</c:v>
                </c:pt>
                <c:pt idx="460">
                  <c:v>44110</c:v>
                </c:pt>
                <c:pt idx="461">
                  <c:v>44111</c:v>
                </c:pt>
                <c:pt idx="462">
                  <c:v>44112</c:v>
                </c:pt>
                <c:pt idx="463">
                  <c:v>44113</c:v>
                </c:pt>
                <c:pt idx="464">
                  <c:v>44116</c:v>
                </c:pt>
                <c:pt idx="465">
                  <c:v>44117</c:v>
                </c:pt>
                <c:pt idx="466">
                  <c:v>44118</c:v>
                </c:pt>
                <c:pt idx="467">
                  <c:v>44119</c:v>
                </c:pt>
                <c:pt idx="468">
                  <c:v>44120</c:v>
                </c:pt>
                <c:pt idx="469">
                  <c:v>44123</c:v>
                </c:pt>
                <c:pt idx="470">
                  <c:v>44124</c:v>
                </c:pt>
                <c:pt idx="471">
                  <c:v>44125</c:v>
                </c:pt>
                <c:pt idx="472">
                  <c:v>44126</c:v>
                </c:pt>
                <c:pt idx="473">
                  <c:v>44127</c:v>
                </c:pt>
                <c:pt idx="474">
                  <c:v>44130</c:v>
                </c:pt>
                <c:pt idx="475">
                  <c:v>44131</c:v>
                </c:pt>
                <c:pt idx="476">
                  <c:v>44132</c:v>
                </c:pt>
                <c:pt idx="477">
                  <c:v>44133</c:v>
                </c:pt>
                <c:pt idx="478">
                  <c:v>44134</c:v>
                </c:pt>
                <c:pt idx="479">
                  <c:v>44137</c:v>
                </c:pt>
                <c:pt idx="480">
                  <c:v>44138</c:v>
                </c:pt>
                <c:pt idx="481">
                  <c:v>44139</c:v>
                </c:pt>
                <c:pt idx="482">
                  <c:v>44140</c:v>
                </c:pt>
                <c:pt idx="483">
                  <c:v>44141</c:v>
                </c:pt>
                <c:pt idx="484">
                  <c:v>44144</c:v>
                </c:pt>
                <c:pt idx="485">
                  <c:v>44145</c:v>
                </c:pt>
                <c:pt idx="486">
                  <c:v>44146</c:v>
                </c:pt>
                <c:pt idx="487">
                  <c:v>44147</c:v>
                </c:pt>
                <c:pt idx="488">
                  <c:v>44148</c:v>
                </c:pt>
                <c:pt idx="489">
                  <c:v>44151</c:v>
                </c:pt>
                <c:pt idx="490">
                  <c:v>44152</c:v>
                </c:pt>
                <c:pt idx="491">
                  <c:v>44153</c:v>
                </c:pt>
                <c:pt idx="492">
                  <c:v>44154</c:v>
                </c:pt>
                <c:pt idx="493">
                  <c:v>44155</c:v>
                </c:pt>
                <c:pt idx="494">
                  <c:v>44158</c:v>
                </c:pt>
                <c:pt idx="495">
                  <c:v>44159</c:v>
                </c:pt>
                <c:pt idx="496">
                  <c:v>44160</c:v>
                </c:pt>
                <c:pt idx="497">
                  <c:v>44161</c:v>
                </c:pt>
                <c:pt idx="498">
                  <c:v>44162</c:v>
                </c:pt>
                <c:pt idx="499">
                  <c:v>44165</c:v>
                </c:pt>
                <c:pt idx="500">
                  <c:v>44166</c:v>
                </c:pt>
                <c:pt idx="501">
                  <c:v>44167</c:v>
                </c:pt>
                <c:pt idx="502">
                  <c:v>44168</c:v>
                </c:pt>
                <c:pt idx="503">
                  <c:v>44169</c:v>
                </c:pt>
                <c:pt idx="504">
                  <c:v>44172</c:v>
                </c:pt>
                <c:pt idx="505">
                  <c:v>44173</c:v>
                </c:pt>
                <c:pt idx="506">
                  <c:v>44174</c:v>
                </c:pt>
                <c:pt idx="507">
                  <c:v>44175</c:v>
                </c:pt>
                <c:pt idx="508">
                  <c:v>44176</c:v>
                </c:pt>
                <c:pt idx="509">
                  <c:v>44179</c:v>
                </c:pt>
                <c:pt idx="510">
                  <c:v>44180</c:v>
                </c:pt>
                <c:pt idx="511">
                  <c:v>44181</c:v>
                </c:pt>
                <c:pt idx="512">
                  <c:v>44182</c:v>
                </c:pt>
                <c:pt idx="513">
                  <c:v>44183</c:v>
                </c:pt>
                <c:pt idx="514">
                  <c:v>44186</c:v>
                </c:pt>
                <c:pt idx="515">
                  <c:v>44187</c:v>
                </c:pt>
                <c:pt idx="516">
                  <c:v>44188</c:v>
                </c:pt>
                <c:pt idx="517">
                  <c:v>44189</c:v>
                </c:pt>
                <c:pt idx="518">
                  <c:v>44190</c:v>
                </c:pt>
                <c:pt idx="519">
                  <c:v>44193</c:v>
                </c:pt>
                <c:pt idx="520">
                  <c:v>44194</c:v>
                </c:pt>
                <c:pt idx="521">
                  <c:v>44195</c:v>
                </c:pt>
                <c:pt idx="522">
                  <c:v>44196</c:v>
                </c:pt>
                <c:pt idx="523">
                  <c:v>44197</c:v>
                </c:pt>
                <c:pt idx="524">
                  <c:v>44200</c:v>
                </c:pt>
                <c:pt idx="525">
                  <c:v>44201</c:v>
                </c:pt>
                <c:pt idx="526">
                  <c:v>44202</c:v>
                </c:pt>
                <c:pt idx="527">
                  <c:v>44203</c:v>
                </c:pt>
                <c:pt idx="528">
                  <c:v>44204</c:v>
                </c:pt>
                <c:pt idx="529">
                  <c:v>44207</c:v>
                </c:pt>
                <c:pt idx="530">
                  <c:v>44208</c:v>
                </c:pt>
                <c:pt idx="531">
                  <c:v>44209</c:v>
                </c:pt>
                <c:pt idx="532">
                  <c:v>44210</c:v>
                </c:pt>
                <c:pt idx="533">
                  <c:v>44211</c:v>
                </c:pt>
                <c:pt idx="534">
                  <c:v>44214</c:v>
                </c:pt>
                <c:pt idx="535">
                  <c:v>44215</c:v>
                </c:pt>
                <c:pt idx="536">
                  <c:v>44216</c:v>
                </c:pt>
                <c:pt idx="537">
                  <c:v>44217</c:v>
                </c:pt>
                <c:pt idx="538">
                  <c:v>44218</c:v>
                </c:pt>
                <c:pt idx="539">
                  <c:v>44221</c:v>
                </c:pt>
                <c:pt idx="540">
                  <c:v>44222</c:v>
                </c:pt>
                <c:pt idx="541">
                  <c:v>44223</c:v>
                </c:pt>
                <c:pt idx="542">
                  <c:v>44224</c:v>
                </c:pt>
                <c:pt idx="543">
                  <c:v>44225</c:v>
                </c:pt>
                <c:pt idx="544">
                  <c:v>44228</c:v>
                </c:pt>
                <c:pt idx="545">
                  <c:v>44229</c:v>
                </c:pt>
                <c:pt idx="546">
                  <c:v>44230</c:v>
                </c:pt>
                <c:pt idx="547">
                  <c:v>44231</c:v>
                </c:pt>
                <c:pt idx="548">
                  <c:v>44232</c:v>
                </c:pt>
                <c:pt idx="549">
                  <c:v>44235</c:v>
                </c:pt>
                <c:pt idx="550">
                  <c:v>44236</c:v>
                </c:pt>
                <c:pt idx="551">
                  <c:v>44237</c:v>
                </c:pt>
                <c:pt idx="552">
                  <c:v>44238</c:v>
                </c:pt>
                <c:pt idx="553">
                  <c:v>44239</c:v>
                </c:pt>
                <c:pt idx="554">
                  <c:v>44242</c:v>
                </c:pt>
                <c:pt idx="555">
                  <c:v>44243</c:v>
                </c:pt>
                <c:pt idx="556">
                  <c:v>44244</c:v>
                </c:pt>
                <c:pt idx="557">
                  <c:v>44245</c:v>
                </c:pt>
                <c:pt idx="558">
                  <c:v>44246</c:v>
                </c:pt>
                <c:pt idx="559">
                  <c:v>44249</c:v>
                </c:pt>
                <c:pt idx="560">
                  <c:v>44250</c:v>
                </c:pt>
                <c:pt idx="561">
                  <c:v>44251</c:v>
                </c:pt>
                <c:pt idx="562">
                  <c:v>44252</c:v>
                </c:pt>
                <c:pt idx="563">
                  <c:v>44253</c:v>
                </c:pt>
                <c:pt idx="564">
                  <c:v>44256</c:v>
                </c:pt>
                <c:pt idx="565">
                  <c:v>44257</c:v>
                </c:pt>
                <c:pt idx="566">
                  <c:v>44258</c:v>
                </c:pt>
                <c:pt idx="567">
                  <c:v>44259</c:v>
                </c:pt>
                <c:pt idx="568">
                  <c:v>44260</c:v>
                </c:pt>
                <c:pt idx="569">
                  <c:v>44263</c:v>
                </c:pt>
                <c:pt idx="570">
                  <c:v>44264</c:v>
                </c:pt>
                <c:pt idx="571">
                  <c:v>44265</c:v>
                </c:pt>
                <c:pt idx="572">
                  <c:v>44266</c:v>
                </c:pt>
                <c:pt idx="573">
                  <c:v>44267</c:v>
                </c:pt>
                <c:pt idx="574">
                  <c:v>44270</c:v>
                </c:pt>
                <c:pt idx="575">
                  <c:v>44271</c:v>
                </c:pt>
                <c:pt idx="576">
                  <c:v>44272</c:v>
                </c:pt>
                <c:pt idx="577">
                  <c:v>44273</c:v>
                </c:pt>
                <c:pt idx="578">
                  <c:v>44274</c:v>
                </c:pt>
                <c:pt idx="579">
                  <c:v>44277</c:v>
                </c:pt>
                <c:pt idx="580">
                  <c:v>44278</c:v>
                </c:pt>
                <c:pt idx="581">
                  <c:v>44279</c:v>
                </c:pt>
                <c:pt idx="582">
                  <c:v>44280</c:v>
                </c:pt>
                <c:pt idx="583">
                  <c:v>44281</c:v>
                </c:pt>
                <c:pt idx="584">
                  <c:v>44284</c:v>
                </c:pt>
                <c:pt idx="585">
                  <c:v>44285</c:v>
                </c:pt>
                <c:pt idx="586">
                  <c:v>44286</c:v>
                </c:pt>
                <c:pt idx="587">
                  <c:v>44287</c:v>
                </c:pt>
                <c:pt idx="588">
                  <c:v>44288</c:v>
                </c:pt>
                <c:pt idx="589">
                  <c:v>44291</c:v>
                </c:pt>
                <c:pt idx="590">
                  <c:v>44292</c:v>
                </c:pt>
                <c:pt idx="591">
                  <c:v>44293</c:v>
                </c:pt>
                <c:pt idx="592">
                  <c:v>44294</c:v>
                </c:pt>
                <c:pt idx="593">
                  <c:v>44295</c:v>
                </c:pt>
                <c:pt idx="594">
                  <c:v>44298</c:v>
                </c:pt>
                <c:pt idx="595">
                  <c:v>44299</c:v>
                </c:pt>
                <c:pt idx="596">
                  <c:v>44300</c:v>
                </c:pt>
                <c:pt idx="597">
                  <c:v>44301</c:v>
                </c:pt>
                <c:pt idx="598">
                  <c:v>44302</c:v>
                </c:pt>
                <c:pt idx="599">
                  <c:v>44305</c:v>
                </c:pt>
                <c:pt idx="600">
                  <c:v>44306</c:v>
                </c:pt>
                <c:pt idx="601">
                  <c:v>44307</c:v>
                </c:pt>
                <c:pt idx="602">
                  <c:v>44308</c:v>
                </c:pt>
                <c:pt idx="603">
                  <c:v>44309</c:v>
                </c:pt>
                <c:pt idx="604">
                  <c:v>44312</c:v>
                </c:pt>
                <c:pt idx="605">
                  <c:v>44313</c:v>
                </c:pt>
                <c:pt idx="606">
                  <c:v>44314</c:v>
                </c:pt>
                <c:pt idx="607">
                  <c:v>44315</c:v>
                </c:pt>
                <c:pt idx="608">
                  <c:v>44316</c:v>
                </c:pt>
                <c:pt idx="609">
                  <c:v>44319</c:v>
                </c:pt>
                <c:pt idx="610">
                  <c:v>44320</c:v>
                </c:pt>
                <c:pt idx="611">
                  <c:v>44321</c:v>
                </c:pt>
                <c:pt idx="612">
                  <c:v>44322</c:v>
                </c:pt>
                <c:pt idx="613">
                  <c:v>44323</c:v>
                </c:pt>
                <c:pt idx="614">
                  <c:v>44326</c:v>
                </c:pt>
                <c:pt idx="615">
                  <c:v>44327</c:v>
                </c:pt>
                <c:pt idx="616">
                  <c:v>44328</c:v>
                </c:pt>
                <c:pt idx="617">
                  <c:v>44329</c:v>
                </c:pt>
                <c:pt idx="618">
                  <c:v>44330</c:v>
                </c:pt>
                <c:pt idx="619">
                  <c:v>44333</c:v>
                </c:pt>
                <c:pt idx="620">
                  <c:v>44334</c:v>
                </c:pt>
                <c:pt idx="621">
                  <c:v>44335</c:v>
                </c:pt>
                <c:pt idx="622">
                  <c:v>44336</c:v>
                </c:pt>
                <c:pt idx="623">
                  <c:v>44337</c:v>
                </c:pt>
              </c:numCache>
            </c:numRef>
          </c:cat>
          <c:val>
            <c:numRef>
              <c:f>Sheet1!$I$2:$I$625</c:f>
              <c:numCache>
                <c:formatCode>0</c:formatCode>
                <c:ptCount val="624"/>
                <c:pt idx="0">
                  <c:v>779.18299999999999</c:v>
                </c:pt>
                <c:pt idx="1">
                  <c:v>799.90899999999999</c:v>
                </c:pt>
                <c:pt idx="2">
                  <c:v>833.84299999999996</c:v>
                </c:pt>
                <c:pt idx="3">
                  <c:v>806.15800000000002</c:v>
                </c:pt>
                <c:pt idx="4">
                  <c:v>780.59</c:v>
                </c:pt>
                <c:pt idx="5">
                  <c:v>779.87900000000002</c:v>
                </c:pt>
                <c:pt idx="6">
                  <c:v>767.00699999999995</c:v>
                </c:pt>
                <c:pt idx="7">
                  <c:v>766.72299999999996</c:v>
                </c:pt>
                <c:pt idx="8">
                  <c:v>756.08799999999997</c:v>
                </c:pt>
                <c:pt idx="9">
                  <c:v>751.15499999999997</c:v>
                </c:pt>
                <c:pt idx="10">
                  <c:v>725.64300000000003</c:v>
                </c:pt>
                <c:pt idx="11">
                  <c:v>705.30200000000002</c:v>
                </c:pt>
                <c:pt idx="12">
                  <c:v>706.76599999999996</c:v>
                </c:pt>
                <c:pt idx="13">
                  <c:v>665.61800000000005</c:v>
                </c:pt>
                <c:pt idx="14">
                  <c:v>665.71400000000006</c:v>
                </c:pt>
                <c:pt idx="15">
                  <c:v>684.59799999999996</c:v>
                </c:pt>
                <c:pt idx="16">
                  <c:v>672.26800000000003</c:v>
                </c:pt>
                <c:pt idx="17">
                  <c:v>660.89700000000005</c:v>
                </c:pt>
                <c:pt idx="18">
                  <c:v>665.495</c:v>
                </c:pt>
                <c:pt idx="19">
                  <c:v>681.86699999999996</c:v>
                </c:pt>
                <c:pt idx="20">
                  <c:v>689.65599999999995</c:v>
                </c:pt>
                <c:pt idx="21">
                  <c:v>694.99800000000005</c:v>
                </c:pt>
                <c:pt idx="22">
                  <c:v>675.83799999999997</c:v>
                </c:pt>
                <c:pt idx="23">
                  <c:v>673.96400000000006</c:v>
                </c:pt>
                <c:pt idx="24">
                  <c:v>681.68799999999999</c:v>
                </c:pt>
                <c:pt idx="25">
                  <c:v>673.19500000000005</c:v>
                </c:pt>
                <c:pt idx="26">
                  <c:v>683.36800000000005</c:v>
                </c:pt>
                <c:pt idx="27">
                  <c:v>701.97199999999998</c:v>
                </c:pt>
                <c:pt idx="28">
                  <c:v>725.88199999999995</c:v>
                </c:pt>
                <c:pt idx="29">
                  <c:v>740.20299999999997</c:v>
                </c:pt>
                <c:pt idx="30">
                  <c:v>751.05499999999995</c:v>
                </c:pt>
                <c:pt idx="31">
                  <c:v>745.76099999999997</c:v>
                </c:pt>
                <c:pt idx="32">
                  <c:v>753.57600000000002</c:v>
                </c:pt>
                <c:pt idx="33">
                  <c:v>727.78200000000004</c:v>
                </c:pt>
                <c:pt idx="34">
                  <c:v>722.66</c:v>
                </c:pt>
                <c:pt idx="35">
                  <c:v>707.40899999999999</c:v>
                </c:pt>
                <c:pt idx="36">
                  <c:v>695.31100000000004</c:v>
                </c:pt>
                <c:pt idx="37">
                  <c:v>687.21699999999998</c:v>
                </c:pt>
                <c:pt idx="38">
                  <c:v>653.38699999999994</c:v>
                </c:pt>
                <c:pt idx="39">
                  <c:v>641.928</c:v>
                </c:pt>
                <c:pt idx="40">
                  <c:v>647.66</c:v>
                </c:pt>
                <c:pt idx="41">
                  <c:v>647.53700000000003</c:v>
                </c:pt>
                <c:pt idx="42">
                  <c:v>650.35900000000004</c:v>
                </c:pt>
                <c:pt idx="43">
                  <c:v>649.03599999999994</c:v>
                </c:pt>
                <c:pt idx="44">
                  <c:v>655.97799999999995</c:v>
                </c:pt>
                <c:pt idx="45">
                  <c:v>660.94399999999996</c:v>
                </c:pt>
                <c:pt idx="46">
                  <c:v>665.71199999999999</c:v>
                </c:pt>
                <c:pt idx="47">
                  <c:v>673.81100000000004</c:v>
                </c:pt>
                <c:pt idx="48">
                  <c:v>680.28300000000002</c:v>
                </c:pt>
                <c:pt idx="49">
                  <c:v>655.35299999999995</c:v>
                </c:pt>
                <c:pt idx="50">
                  <c:v>654.30999999999995</c:v>
                </c:pt>
                <c:pt idx="51">
                  <c:v>658.42600000000004</c:v>
                </c:pt>
                <c:pt idx="52">
                  <c:v>651.678</c:v>
                </c:pt>
                <c:pt idx="53">
                  <c:v>635.60699999999997</c:v>
                </c:pt>
                <c:pt idx="54">
                  <c:v>626.37099999999998</c:v>
                </c:pt>
                <c:pt idx="55">
                  <c:v>623.428</c:v>
                </c:pt>
                <c:pt idx="56">
                  <c:v>631.37599999999998</c:v>
                </c:pt>
                <c:pt idx="57">
                  <c:v>620.25099999999998</c:v>
                </c:pt>
                <c:pt idx="58">
                  <c:v>630.452</c:v>
                </c:pt>
                <c:pt idx="59">
                  <c:v>642.24300000000005</c:v>
                </c:pt>
                <c:pt idx="60">
                  <c:v>634.66499999999996</c:v>
                </c:pt>
                <c:pt idx="61">
                  <c:v>644.47500000000002</c:v>
                </c:pt>
                <c:pt idx="62">
                  <c:v>647.23199999999997</c:v>
                </c:pt>
                <c:pt idx="63">
                  <c:v>637.54200000000003</c:v>
                </c:pt>
                <c:pt idx="64">
                  <c:v>615.221</c:v>
                </c:pt>
                <c:pt idx="65">
                  <c:v>608.35599999999999</c:v>
                </c:pt>
                <c:pt idx="66">
                  <c:v>600.32000000000005</c:v>
                </c:pt>
                <c:pt idx="67">
                  <c:v>599.54200000000003</c:v>
                </c:pt>
                <c:pt idx="68">
                  <c:v>595.202</c:v>
                </c:pt>
                <c:pt idx="69">
                  <c:v>589.12800000000004</c:v>
                </c:pt>
                <c:pt idx="70">
                  <c:v>576.14800000000002</c:v>
                </c:pt>
                <c:pt idx="71">
                  <c:v>586.97500000000002</c:v>
                </c:pt>
                <c:pt idx="72">
                  <c:v>595.24099999999999</c:v>
                </c:pt>
                <c:pt idx="73">
                  <c:v>589.70000000000005</c:v>
                </c:pt>
                <c:pt idx="74">
                  <c:v>586.99699999999996</c:v>
                </c:pt>
                <c:pt idx="75">
                  <c:v>574.38</c:v>
                </c:pt>
                <c:pt idx="76">
                  <c:v>570.01199999999994</c:v>
                </c:pt>
                <c:pt idx="77">
                  <c:v>596.02</c:v>
                </c:pt>
                <c:pt idx="78">
                  <c:v>596.02</c:v>
                </c:pt>
                <c:pt idx="79">
                  <c:v>596.02</c:v>
                </c:pt>
                <c:pt idx="80">
                  <c:v>608.98</c:v>
                </c:pt>
                <c:pt idx="81">
                  <c:v>627.93799999999999</c:v>
                </c:pt>
                <c:pt idx="82">
                  <c:v>656.17200000000003</c:v>
                </c:pt>
                <c:pt idx="83">
                  <c:v>655.05399999999997</c:v>
                </c:pt>
                <c:pt idx="84">
                  <c:v>660.12800000000004</c:v>
                </c:pt>
                <c:pt idx="85">
                  <c:v>650.43799999999999</c:v>
                </c:pt>
                <c:pt idx="86">
                  <c:v>650.43799999999999</c:v>
                </c:pt>
                <c:pt idx="87">
                  <c:v>639.06200000000001</c:v>
                </c:pt>
                <c:pt idx="88">
                  <c:v>632.279</c:v>
                </c:pt>
                <c:pt idx="89">
                  <c:v>632.279</c:v>
                </c:pt>
                <c:pt idx="90">
                  <c:v>652.404</c:v>
                </c:pt>
                <c:pt idx="91">
                  <c:v>659.58399999999995</c:v>
                </c:pt>
                <c:pt idx="92">
                  <c:v>667.31399999999996</c:v>
                </c:pt>
                <c:pt idx="93">
                  <c:v>663.09699999999998</c:v>
                </c:pt>
                <c:pt idx="94">
                  <c:v>678.88199999999995</c:v>
                </c:pt>
                <c:pt idx="95">
                  <c:v>672.94299999999998</c:v>
                </c:pt>
                <c:pt idx="96">
                  <c:v>666.64700000000005</c:v>
                </c:pt>
                <c:pt idx="97">
                  <c:v>650.92999999999995</c:v>
                </c:pt>
                <c:pt idx="98">
                  <c:v>660.28499999999997</c:v>
                </c:pt>
                <c:pt idx="99">
                  <c:v>651.13199999999995</c:v>
                </c:pt>
                <c:pt idx="100">
                  <c:v>641.077</c:v>
                </c:pt>
                <c:pt idx="101">
                  <c:v>655.303</c:v>
                </c:pt>
                <c:pt idx="102">
                  <c:v>675.93799999999999</c:v>
                </c:pt>
                <c:pt idx="103">
                  <c:v>670.27700000000004</c:v>
                </c:pt>
                <c:pt idx="104">
                  <c:v>670.27700000000004</c:v>
                </c:pt>
                <c:pt idx="105">
                  <c:v>679.98400000000004</c:v>
                </c:pt>
                <c:pt idx="106">
                  <c:v>684.88900000000001</c:v>
                </c:pt>
                <c:pt idx="107">
                  <c:v>660.77200000000005</c:v>
                </c:pt>
                <c:pt idx="108">
                  <c:v>674.54100000000005</c:v>
                </c:pt>
                <c:pt idx="109">
                  <c:v>682.63199999999995</c:v>
                </c:pt>
                <c:pt idx="110">
                  <c:v>670.15800000000002</c:v>
                </c:pt>
                <c:pt idx="111">
                  <c:v>649.28899999999999</c:v>
                </c:pt>
                <c:pt idx="112">
                  <c:v>629.60500000000002</c:v>
                </c:pt>
                <c:pt idx="113">
                  <c:v>605.07299999999998</c:v>
                </c:pt>
                <c:pt idx="114">
                  <c:v>587.476</c:v>
                </c:pt>
                <c:pt idx="115">
                  <c:v>586.71199999999999</c:v>
                </c:pt>
                <c:pt idx="116">
                  <c:v>597.50099999999998</c:v>
                </c:pt>
                <c:pt idx="117">
                  <c:v>603.18100000000004</c:v>
                </c:pt>
                <c:pt idx="118">
                  <c:v>582.43499999999995</c:v>
                </c:pt>
                <c:pt idx="119">
                  <c:v>586.55100000000004</c:v>
                </c:pt>
                <c:pt idx="120">
                  <c:v>575.95299999999997</c:v>
                </c:pt>
                <c:pt idx="121">
                  <c:v>558.14499999999998</c:v>
                </c:pt>
                <c:pt idx="122">
                  <c:v>544.85599999999999</c:v>
                </c:pt>
                <c:pt idx="123">
                  <c:v>536.447</c:v>
                </c:pt>
                <c:pt idx="124">
                  <c:v>536.95500000000004</c:v>
                </c:pt>
                <c:pt idx="125">
                  <c:v>551.60799999999995</c:v>
                </c:pt>
                <c:pt idx="126">
                  <c:v>536.54899999999998</c:v>
                </c:pt>
                <c:pt idx="127">
                  <c:v>524.06200000000001</c:v>
                </c:pt>
                <c:pt idx="128">
                  <c:v>517.63</c:v>
                </c:pt>
                <c:pt idx="129">
                  <c:v>510.72399999999999</c:v>
                </c:pt>
                <c:pt idx="130">
                  <c:v>526.89400000000001</c:v>
                </c:pt>
                <c:pt idx="131">
                  <c:v>524.875</c:v>
                </c:pt>
                <c:pt idx="132">
                  <c:v>525.16899999999998</c:v>
                </c:pt>
                <c:pt idx="133">
                  <c:v>523.39300000000003</c:v>
                </c:pt>
                <c:pt idx="134">
                  <c:v>536.29399999999998</c:v>
                </c:pt>
                <c:pt idx="135">
                  <c:v>548.59799999999996</c:v>
                </c:pt>
                <c:pt idx="136">
                  <c:v>549.31899999999996</c:v>
                </c:pt>
                <c:pt idx="137">
                  <c:v>531.90200000000004</c:v>
                </c:pt>
                <c:pt idx="138">
                  <c:v>531.89200000000005</c:v>
                </c:pt>
                <c:pt idx="139">
                  <c:v>527.48299999999995</c:v>
                </c:pt>
                <c:pt idx="140">
                  <c:v>517.64800000000002</c:v>
                </c:pt>
                <c:pt idx="141">
                  <c:v>514.35400000000004</c:v>
                </c:pt>
                <c:pt idx="142">
                  <c:v>509.63</c:v>
                </c:pt>
                <c:pt idx="143">
                  <c:v>498.83100000000002</c:v>
                </c:pt>
                <c:pt idx="144">
                  <c:v>469.69900000000001</c:v>
                </c:pt>
                <c:pt idx="145">
                  <c:v>449.642</c:v>
                </c:pt>
                <c:pt idx="146">
                  <c:v>454.36599999999999</c:v>
                </c:pt>
                <c:pt idx="147">
                  <c:v>454.178</c:v>
                </c:pt>
                <c:pt idx="148">
                  <c:v>477.589</c:v>
                </c:pt>
                <c:pt idx="149">
                  <c:v>504.04599999999999</c:v>
                </c:pt>
                <c:pt idx="150">
                  <c:v>477.79300000000001</c:v>
                </c:pt>
                <c:pt idx="151">
                  <c:v>471.93400000000003</c:v>
                </c:pt>
                <c:pt idx="152">
                  <c:v>483.01600000000002</c:v>
                </c:pt>
                <c:pt idx="153">
                  <c:v>502.83800000000002</c:v>
                </c:pt>
                <c:pt idx="154">
                  <c:v>544.61</c:v>
                </c:pt>
                <c:pt idx="155">
                  <c:v>535.73</c:v>
                </c:pt>
                <c:pt idx="156">
                  <c:v>542.96799999999996</c:v>
                </c:pt>
                <c:pt idx="157">
                  <c:v>527.16099999999994</c:v>
                </c:pt>
                <c:pt idx="158">
                  <c:v>517.28599999999994</c:v>
                </c:pt>
                <c:pt idx="159">
                  <c:v>550.95799999999997</c:v>
                </c:pt>
                <c:pt idx="160">
                  <c:v>551.89</c:v>
                </c:pt>
                <c:pt idx="161">
                  <c:v>577.02</c:v>
                </c:pt>
                <c:pt idx="162">
                  <c:v>597.76900000000001</c:v>
                </c:pt>
                <c:pt idx="163">
                  <c:v>577.39</c:v>
                </c:pt>
                <c:pt idx="164">
                  <c:v>553.49400000000003</c:v>
                </c:pt>
                <c:pt idx="165">
                  <c:v>552.68399999999997</c:v>
                </c:pt>
                <c:pt idx="166">
                  <c:v>556.06100000000004</c:v>
                </c:pt>
                <c:pt idx="167">
                  <c:v>556.06100000000004</c:v>
                </c:pt>
                <c:pt idx="168">
                  <c:v>538.69000000000005</c:v>
                </c:pt>
                <c:pt idx="169">
                  <c:v>538.69000000000005</c:v>
                </c:pt>
                <c:pt idx="170">
                  <c:v>549.10799999999995</c:v>
                </c:pt>
                <c:pt idx="171">
                  <c:v>546.25400000000002</c:v>
                </c:pt>
                <c:pt idx="172">
                  <c:v>539.59100000000001</c:v>
                </c:pt>
                <c:pt idx="173">
                  <c:v>530.14400000000001</c:v>
                </c:pt>
                <c:pt idx="174">
                  <c:v>507.95</c:v>
                </c:pt>
                <c:pt idx="175">
                  <c:v>507.93</c:v>
                </c:pt>
                <c:pt idx="176">
                  <c:v>478.98700000000002</c:v>
                </c:pt>
                <c:pt idx="177">
                  <c:v>464.99599999999998</c:v>
                </c:pt>
                <c:pt idx="178">
                  <c:v>467.89400000000001</c:v>
                </c:pt>
                <c:pt idx="179">
                  <c:v>457.774</c:v>
                </c:pt>
                <c:pt idx="180">
                  <c:v>457.911</c:v>
                </c:pt>
                <c:pt idx="181">
                  <c:v>456.47800000000001</c:v>
                </c:pt>
                <c:pt idx="182">
                  <c:v>445.726</c:v>
                </c:pt>
                <c:pt idx="183">
                  <c:v>439.94900000000001</c:v>
                </c:pt>
                <c:pt idx="184">
                  <c:v>436.54599999999999</c:v>
                </c:pt>
                <c:pt idx="185">
                  <c:v>457.42099999999999</c:v>
                </c:pt>
                <c:pt idx="186">
                  <c:v>461.096</c:v>
                </c:pt>
                <c:pt idx="187">
                  <c:v>465.15499999999997</c:v>
                </c:pt>
                <c:pt idx="188">
                  <c:v>464.096</c:v>
                </c:pt>
                <c:pt idx="189">
                  <c:v>480.79</c:v>
                </c:pt>
                <c:pt idx="190">
                  <c:v>504.02199999999999</c:v>
                </c:pt>
                <c:pt idx="191">
                  <c:v>502.99700000000001</c:v>
                </c:pt>
                <c:pt idx="192">
                  <c:v>494.392</c:v>
                </c:pt>
                <c:pt idx="193">
                  <c:v>492.83100000000002</c:v>
                </c:pt>
                <c:pt idx="194">
                  <c:v>512.60799999999995</c:v>
                </c:pt>
                <c:pt idx="195">
                  <c:v>512.17999999999995</c:v>
                </c:pt>
                <c:pt idx="196">
                  <c:v>534.54100000000005</c:v>
                </c:pt>
                <c:pt idx="197">
                  <c:v>540.51800000000003</c:v>
                </c:pt>
                <c:pt idx="198">
                  <c:v>522.38499999999999</c:v>
                </c:pt>
                <c:pt idx="199">
                  <c:v>518.67200000000003</c:v>
                </c:pt>
                <c:pt idx="200">
                  <c:v>521.43299999999999</c:v>
                </c:pt>
                <c:pt idx="201">
                  <c:v>517.66499999999996</c:v>
                </c:pt>
                <c:pt idx="202">
                  <c:v>506.791</c:v>
                </c:pt>
                <c:pt idx="203">
                  <c:v>494.846</c:v>
                </c:pt>
                <c:pt idx="204">
                  <c:v>498.96899999999999</c:v>
                </c:pt>
                <c:pt idx="205">
                  <c:v>492.64100000000002</c:v>
                </c:pt>
                <c:pt idx="206">
                  <c:v>495.58300000000003</c:v>
                </c:pt>
                <c:pt idx="207">
                  <c:v>495.17899999999997</c:v>
                </c:pt>
                <c:pt idx="208">
                  <c:v>488.67</c:v>
                </c:pt>
                <c:pt idx="209">
                  <c:v>474.65699999999998</c:v>
                </c:pt>
                <c:pt idx="210">
                  <c:v>469.49799999999999</c:v>
                </c:pt>
                <c:pt idx="211">
                  <c:v>470.654</c:v>
                </c:pt>
                <c:pt idx="212">
                  <c:v>462.13299999999998</c:v>
                </c:pt>
                <c:pt idx="213">
                  <c:v>442.50900000000001</c:v>
                </c:pt>
                <c:pt idx="214">
                  <c:v>438.41899999999998</c:v>
                </c:pt>
                <c:pt idx="215">
                  <c:v>450.12</c:v>
                </c:pt>
                <c:pt idx="216">
                  <c:v>457.24</c:v>
                </c:pt>
                <c:pt idx="217">
                  <c:v>468.45299999999997</c:v>
                </c:pt>
                <c:pt idx="218">
                  <c:v>455.13</c:v>
                </c:pt>
                <c:pt idx="219">
                  <c:v>449.04300000000001</c:v>
                </c:pt>
                <c:pt idx="220">
                  <c:v>452.87200000000001</c:v>
                </c:pt>
                <c:pt idx="221">
                  <c:v>455.358</c:v>
                </c:pt>
                <c:pt idx="222">
                  <c:v>439.74400000000003</c:v>
                </c:pt>
                <c:pt idx="223">
                  <c:v>444.15899999999999</c:v>
                </c:pt>
                <c:pt idx="224">
                  <c:v>442.411</c:v>
                </c:pt>
                <c:pt idx="225">
                  <c:v>442.86099999999999</c:v>
                </c:pt>
                <c:pt idx="226">
                  <c:v>452.48700000000002</c:v>
                </c:pt>
                <c:pt idx="227">
                  <c:v>452.15800000000002</c:v>
                </c:pt>
                <c:pt idx="228">
                  <c:v>448.98599999999999</c:v>
                </c:pt>
                <c:pt idx="229">
                  <c:v>452.82100000000003</c:v>
                </c:pt>
                <c:pt idx="230">
                  <c:v>459.17599999999999</c:v>
                </c:pt>
                <c:pt idx="231">
                  <c:v>480.62799999999999</c:v>
                </c:pt>
                <c:pt idx="232">
                  <c:v>480.78100000000001</c:v>
                </c:pt>
                <c:pt idx="233">
                  <c:v>480.48</c:v>
                </c:pt>
                <c:pt idx="234">
                  <c:v>485.27699999999999</c:v>
                </c:pt>
                <c:pt idx="235">
                  <c:v>486.459</c:v>
                </c:pt>
                <c:pt idx="236">
                  <c:v>485.315</c:v>
                </c:pt>
                <c:pt idx="237">
                  <c:v>483.63900000000001</c:v>
                </c:pt>
                <c:pt idx="238">
                  <c:v>491.29300000000001</c:v>
                </c:pt>
                <c:pt idx="239">
                  <c:v>497.28899999999999</c:v>
                </c:pt>
                <c:pt idx="240">
                  <c:v>511.524</c:v>
                </c:pt>
                <c:pt idx="241">
                  <c:v>506.33499999999998</c:v>
                </c:pt>
                <c:pt idx="242">
                  <c:v>500.68400000000003</c:v>
                </c:pt>
                <c:pt idx="243">
                  <c:v>494.1</c:v>
                </c:pt>
                <c:pt idx="244">
                  <c:v>451.221</c:v>
                </c:pt>
                <c:pt idx="245">
                  <c:v>446.31599999999997</c:v>
                </c:pt>
                <c:pt idx="246">
                  <c:v>432.608</c:v>
                </c:pt>
                <c:pt idx="247">
                  <c:v>419.72899999999998</c:v>
                </c:pt>
                <c:pt idx="248">
                  <c:v>419.28500000000003</c:v>
                </c:pt>
                <c:pt idx="249">
                  <c:v>407.84699999999998</c:v>
                </c:pt>
                <c:pt idx="250">
                  <c:v>403.24099999999999</c:v>
                </c:pt>
                <c:pt idx="251">
                  <c:v>405.45600000000002</c:v>
                </c:pt>
                <c:pt idx="252">
                  <c:v>410.61200000000002</c:v>
                </c:pt>
                <c:pt idx="253">
                  <c:v>401.46600000000001</c:v>
                </c:pt>
                <c:pt idx="254">
                  <c:v>395.51299999999998</c:v>
                </c:pt>
                <c:pt idx="255">
                  <c:v>395.51299999999998</c:v>
                </c:pt>
                <c:pt idx="256">
                  <c:v>395.51299999999998</c:v>
                </c:pt>
                <c:pt idx="257">
                  <c:v>395.51299999999998</c:v>
                </c:pt>
                <c:pt idx="258">
                  <c:v>396.14100000000002</c:v>
                </c:pt>
                <c:pt idx="259">
                  <c:v>395.56900000000002</c:v>
                </c:pt>
                <c:pt idx="260">
                  <c:v>396.815</c:v>
                </c:pt>
                <c:pt idx="261">
                  <c:v>396.815</c:v>
                </c:pt>
                <c:pt idx="262">
                  <c:v>372.476</c:v>
                </c:pt>
                <c:pt idx="263">
                  <c:v>375.17</c:v>
                </c:pt>
                <c:pt idx="264">
                  <c:v>377.005</c:v>
                </c:pt>
                <c:pt idx="265">
                  <c:v>376.97300000000001</c:v>
                </c:pt>
                <c:pt idx="266">
                  <c:v>369.79899999999998</c:v>
                </c:pt>
                <c:pt idx="267">
                  <c:v>359.29399999999998</c:v>
                </c:pt>
                <c:pt idx="268">
                  <c:v>362.43599999999998</c:v>
                </c:pt>
                <c:pt idx="269">
                  <c:v>350.78</c:v>
                </c:pt>
                <c:pt idx="270">
                  <c:v>350.77</c:v>
                </c:pt>
                <c:pt idx="271">
                  <c:v>338.36700000000002</c:v>
                </c:pt>
                <c:pt idx="272">
                  <c:v>326.16300000000001</c:v>
                </c:pt>
                <c:pt idx="273">
                  <c:v>323.63099999999997</c:v>
                </c:pt>
                <c:pt idx="274">
                  <c:v>324.43099999999998</c:v>
                </c:pt>
                <c:pt idx="275">
                  <c:v>333.24299999999999</c:v>
                </c:pt>
                <c:pt idx="276">
                  <c:v>327.24200000000002</c:v>
                </c:pt>
                <c:pt idx="277">
                  <c:v>351.02699999999999</c:v>
                </c:pt>
                <c:pt idx="278">
                  <c:v>349.35199999999998</c:v>
                </c:pt>
                <c:pt idx="279">
                  <c:v>376.59199999999998</c:v>
                </c:pt>
                <c:pt idx="280">
                  <c:v>362.714</c:v>
                </c:pt>
                <c:pt idx="281">
                  <c:v>358.42899999999997</c:v>
                </c:pt>
                <c:pt idx="282">
                  <c:v>369.73</c:v>
                </c:pt>
                <c:pt idx="283">
                  <c:v>372.012</c:v>
                </c:pt>
                <c:pt idx="284">
                  <c:v>374.01900000000001</c:v>
                </c:pt>
                <c:pt idx="285">
                  <c:v>357.71899999999999</c:v>
                </c:pt>
                <c:pt idx="286">
                  <c:v>345.495</c:v>
                </c:pt>
                <c:pt idx="287">
                  <c:v>334.95400000000001</c:v>
                </c:pt>
                <c:pt idx="288">
                  <c:v>347.983</c:v>
                </c:pt>
                <c:pt idx="289">
                  <c:v>361.11</c:v>
                </c:pt>
                <c:pt idx="290">
                  <c:v>347.44099999999997</c:v>
                </c:pt>
                <c:pt idx="291">
                  <c:v>335.87400000000002</c:v>
                </c:pt>
                <c:pt idx="292">
                  <c:v>330.83699999999999</c:v>
                </c:pt>
                <c:pt idx="293">
                  <c:v>327.76</c:v>
                </c:pt>
                <c:pt idx="294">
                  <c:v>325.62299999999999</c:v>
                </c:pt>
                <c:pt idx="295">
                  <c:v>335.899</c:v>
                </c:pt>
                <c:pt idx="296">
                  <c:v>330.279</c:v>
                </c:pt>
                <c:pt idx="297">
                  <c:v>331.66199999999998</c:v>
                </c:pt>
                <c:pt idx="298">
                  <c:v>348.209</c:v>
                </c:pt>
                <c:pt idx="299">
                  <c:v>376.63</c:v>
                </c:pt>
                <c:pt idx="300">
                  <c:v>390.51</c:v>
                </c:pt>
                <c:pt idx="301">
                  <c:v>411.74</c:v>
                </c:pt>
                <c:pt idx="302">
                  <c:v>442.64699999999999</c:v>
                </c:pt>
                <c:pt idx="303">
                  <c:v>474.08800000000002</c:v>
                </c:pt>
                <c:pt idx="304">
                  <c:v>470.40600000000001</c:v>
                </c:pt>
                <c:pt idx="305">
                  <c:v>444.25099999999998</c:v>
                </c:pt>
                <c:pt idx="306">
                  <c:v>470.86399999999998</c:v>
                </c:pt>
                <c:pt idx="307">
                  <c:v>530.029</c:v>
                </c:pt>
                <c:pt idx="308">
                  <c:v>584.57299999999998</c:v>
                </c:pt>
                <c:pt idx="309">
                  <c:v>688.93299999999999</c:v>
                </c:pt>
                <c:pt idx="310">
                  <c:v>702.52599999999995</c:v>
                </c:pt>
                <c:pt idx="311">
                  <c:v>743.70299999999997</c:v>
                </c:pt>
                <c:pt idx="312">
                  <c:v>999.779</c:v>
                </c:pt>
                <c:pt idx="313">
                  <c:v>912.99300000000005</c:v>
                </c:pt>
                <c:pt idx="314">
                  <c:v>1025.827</c:v>
                </c:pt>
                <c:pt idx="315">
                  <c:v>1063.0709999999999</c:v>
                </c:pt>
                <c:pt idx="316">
                  <c:v>1328.04</c:v>
                </c:pt>
                <c:pt idx="317">
                  <c:v>1342.3150000000001</c:v>
                </c:pt>
                <c:pt idx="318">
                  <c:v>1299.22</c:v>
                </c:pt>
                <c:pt idx="319">
                  <c:v>1330.2360000000001</c:v>
                </c:pt>
                <c:pt idx="320">
                  <c:v>1226.1410000000001</c:v>
                </c:pt>
                <c:pt idx="321">
                  <c:v>1066.2619999999999</c:v>
                </c:pt>
                <c:pt idx="322">
                  <c:v>1014.348</c:v>
                </c:pt>
                <c:pt idx="323">
                  <c:v>1024.3130000000001</c:v>
                </c:pt>
                <c:pt idx="324">
                  <c:v>1065.867</c:v>
                </c:pt>
                <c:pt idx="325">
                  <c:v>924.13099999999997</c:v>
                </c:pt>
                <c:pt idx="326">
                  <c:v>939.12199999999996</c:v>
                </c:pt>
                <c:pt idx="327">
                  <c:v>943.154</c:v>
                </c:pt>
                <c:pt idx="328">
                  <c:v>936.49199999999996</c:v>
                </c:pt>
                <c:pt idx="329">
                  <c:v>919.71199999999999</c:v>
                </c:pt>
                <c:pt idx="330">
                  <c:v>849.57899999999995</c:v>
                </c:pt>
                <c:pt idx="331">
                  <c:v>811.13199999999995</c:v>
                </c:pt>
                <c:pt idx="332">
                  <c:v>803.995</c:v>
                </c:pt>
                <c:pt idx="333">
                  <c:v>803.995</c:v>
                </c:pt>
                <c:pt idx="334">
                  <c:v>803.995</c:v>
                </c:pt>
                <c:pt idx="335">
                  <c:v>773.09699999999998</c:v>
                </c:pt>
                <c:pt idx="336">
                  <c:v>795.43399999999997</c:v>
                </c:pt>
                <c:pt idx="337">
                  <c:v>811.35699999999997</c:v>
                </c:pt>
                <c:pt idx="338">
                  <c:v>816.88300000000004</c:v>
                </c:pt>
                <c:pt idx="339">
                  <c:v>851.21600000000001</c:v>
                </c:pt>
                <c:pt idx="340">
                  <c:v>877.678</c:v>
                </c:pt>
                <c:pt idx="341">
                  <c:v>898.03800000000001</c:v>
                </c:pt>
                <c:pt idx="342">
                  <c:v>881.86800000000005</c:v>
                </c:pt>
                <c:pt idx="343">
                  <c:v>864.57799999999997</c:v>
                </c:pt>
                <c:pt idx="344">
                  <c:v>863.85599999999999</c:v>
                </c:pt>
                <c:pt idx="345">
                  <c:v>874.154</c:v>
                </c:pt>
                <c:pt idx="346">
                  <c:v>884.952</c:v>
                </c:pt>
                <c:pt idx="347">
                  <c:v>880.04399999999998</c:v>
                </c:pt>
                <c:pt idx="348">
                  <c:v>880.04399999999998</c:v>
                </c:pt>
                <c:pt idx="349">
                  <c:v>859.05700000000002</c:v>
                </c:pt>
                <c:pt idx="350">
                  <c:v>798.40499999999997</c:v>
                </c:pt>
                <c:pt idx="351">
                  <c:v>780.83799999999997</c:v>
                </c:pt>
                <c:pt idx="352">
                  <c:v>762.36300000000006</c:v>
                </c:pt>
                <c:pt idx="353">
                  <c:v>765.50099999999998</c:v>
                </c:pt>
                <c:pt idx="354">
                  <c:v>735.42100000000005</c:v>
                </c:pt>
                <c:pt idx="355">
                  <c:v>705.44799999999998</c:v>
                </c:pt>
                <c:pt idx="356">
                  <c:v>686.56200000000001</c:v>
                </c:pt>
                <c:pt idx="357">
                  <c:v>727.76</c:v>
                </c:pt>
                <c:pt idx="358">
                  <c:v>706.31200000000001</c:v>
                </c:pt>
                <c:pt idx="359">
                  <c:v>685.39400000000001</c:v>
                </c:pt>
                <c:pt idx="360">
                  <c:v>694.24900000000002</c:v>
                </c:pt>
                <c:pt idx="361">
                  <c:v>682.17700000000002</c:v>
                </c:pt>
                <c:pt idx="362">
                  <c:v>678.99199999999996</c:v>
                </c:pt>
                <c:pt idx="363">
                  <c:v>691.77300000000002</c:v>
                </c:pt>
                <c:pt idx="364">
                  <c:v>691.77300000000002</c:v>
                </c:pt>
                <c:pt idx="365">
                  <c:v>687.18100000000004</c:v>
                </c:pt>
                <c:pt idx="366">
                  <c:v>701.27099999999996</c:v>
                </c:pt>
                <c:pt idx="367">
                  <c:v>699.322</c:v>
                </c:pt>
                <c:pt idx="368">
                  <c:v>715.04</c:v>
                </c:pt>
                <c:pt idx="369">
                  <c:v>704.74199999999996</c:v>
                </c:pt>
                <c:pt idx="370">
                  <c:v>704.74199999999996</c:v>
                </c:pt>
                <c:pt idx="371">
                  <c:v>642.29</c:v>
                </c:pt>
                <c:pt idx="372">
                  <c:v>624.63699999999994</c:v>
                </c:pt>
                <c:pt idx="373">
                  <c:v>556.10900000000004</c:v>
                </c:pt>
                <c:pt idx="374">
                  <c:v>552.61800000000005</c:v>
                </c:pt>
                <c:pt idx="375">
                  <c:v>570.82600000000002</c:v>
                </c:pt>
                <c:pt idx="376">
                  <c:v>573.80399999999997</c:v>
                </c:pt>
                <c:pt idx="377">
                  <c:v>605.08299999999997</c:v>
                </c:pt>
                <c:pt idx="378">
                  <c:v>610.41899999999998</c:v>
                </c:pt>
                <c:pt idx="379">
                  <c:v>627.60299999999995</c:v>
                </c:pt>
                <c:pt idx="380">
                  <c:v>587.06399999999996</c:v>
                </c:pt>
                <c:pt idx="381">
                  <c:v>593.44799999999998</c:v>
                </c:pt>
                <c:pt idx="382">
                  <c:v>601.88300000000004</c:v>
                </c:pt>
                <c:pt idx="383">
                  <c:v>599.59699999999998</c:v>
                </c:pt>
                <c:pt idx="384">
                  <c:v>609.74300000000005</c:v>
                </c:pt>
                <c:pt idx="385">
                  <c:v>605.60699999999997</c:v>
                </c:pt>
                <c:pt idx="386">
                  <c:v>612.39400000000001</c:v>
                </c:pt>
                <c:pt idx="387">
                  <c:v>629.97299999999996</c:v>
                </c:pt>
                <c:pt idx="388">
                  <c:v>641.99099999999999</c:v>
                </c:pt>
                <c:pt idx="389">
                  <c:v>645.12699999999995</c:v>
                </c:pt>
                <c:pt idx="390">
                  <c:v>633.46699999999998</c:v>
                </c:pt>
                <c:pt idx="391">
                  <c:v>590.48599999999999</c:v>
                </c:pt>
                <c:pt idx="392">
                  <c:v>610.20699999999999</c:v>
                </c:pt>
                <c:pt idx="393">
                  <c:v>604.524</c:v>
                </c:pt>
                <c:pt idx="394">
                  <c:v>610.66</c:v>
                </c:pt>
                <c:pt idx="395">
                  <c:v>625.95500000000004</c:v>
                </c:pt>
                <c:pt idx="396">
                  <c:v>643.01599999999996</c:v>
                </c:pt>
                <c:pt idx="397">
                  <c:v>665.96699999999998</c:v>
                </c:pt>
                <c:pt idx="398">
                  <c:v>698.38099999999997</c:v>
                </c:pt>
                <c:pt idx="399">
                  <c:v>696.58699999999999</c:v>
                </c:pt>
                <c:pt idx="400">
                  <c:v>715.32799999999997</c:v>
                </c:pt>
                <c:pt idx="401">
                  <c:v>662.59199999999998</c:v>
                </c:pt>
                <c:pt idx="402">
                  <c:v>644.95399999999995</c:v>
                </c:pt>
                <c:pt idx="403">
                  <c:v>642.23599999999999</c:v>
                </c:pt>
                <c:pt idx="404">
                  <c:v>638.04700000000003</c:v>
                </c:pt>
                <c:pt idx="405">
                  <c:v>619.96799999999996</c:v>
                </c:pt>
                <c:pt idx="406">
                  <c:v>616.79200000000003</c:v>
                </c:pt>
                <c:pt idx="407">
                  <c:v>615.01499999999999</c:v>
                </c:pt>
                <c:pt idx="408">
                  <c:v>623.94799999999998</c:v>
                </c:pt>
                <c:pt idx="409">
                  <c:v>617.20600000000002</c:v>
                </c:pt>
                <c:pt idx="410">
                  <c:v>628.21600000000001</c:v>
                </c:pt>
                <c:pt idx="411">
                  <c:v>634.22400000000005</c:v>
                </c:pt>
                <c:pt idx="412">
                  <c:v>656.36199999999997</c:v>
                </c:pt>
                <c:pt idx="413">
                  <c:v>668.76199999999994</c:v>
                </c:pt>
                <c:pt idx="414">
                  <c:v>674.572</c:v>
                </c:pt>
                <c:pt idx="415">
                  <c:v>669.81899999999996</c:v>
                </c:pt>
                <c:pt idx="416">
                  <c:v>656.25</c:v>
                </c:pt>
                <c:pt idx="417">
                  <c:v>666.76800000000003</c:v>
                </c:pt>
                <c:pt idx="418">
                  <c:v>680.57399999999996</c:v>
                </c:pt>
                <c:pt idx="419">
                  <c:v>681.375</c:v>
                </c:pt>
                <c:pt idx="420">
                  <c:v>658.56899999999996</c:v>
                </c:pt>
                <c:pt idx="421">
                  <c:v>643.02099999999996</c:v>
                </c:pt>
                <c:pt idx="422">
                  <c:v>642.53099999999995</c:v>
                </c:pt>
                <c:pt idx="423">
                  <c:v>635.30700000000002</c:v>
                </c:pt>
                <c:pt idx="424">
                  <c:v>622.61400000000003</c:v>
                </c:pt>
                <c:pt idx="425">
                  <c:v>615.99699999999996</c:v>
                </c:pt>
                <c:pt idx="426">
                  <c:v>607.88900000000001</c:v>
                </c:pt>
                <c:pt idx="427">
                  <c:v>608.59500000000003</c:v>
                </c:pt>
                <c:pt idx="428">
                  <c:v>606.56299999999999</c:v>
                </c:pt>
                <c:pt idx="429">
                  <c:v>596.91600000000005</c:v>
                </c:pt>
                <c:pt idx="430">
                  <c:v>596.72299999999996</c:v>
                </c:pt>
                <c:pt idx="431">
                  <c:v>608.95799999999997</c:v>
                </c:pt>
                <c:pt idx="432">
                  <c:v>602.59699999999998</c:v>
                </c:pt>
                <c:pt idx="433">
                  <c:v>600.13099999999997</c:v>
                </c:pt>
                <c:pt idx="434">
                  <c:v>600.13099999999997</c:v>
                </c:pt>
                <c:pt idx="435">
                  <c:v>586.42100000000005</c:v>
                </c:pt>
                <c:pt idx="436">
                  <c:v>577.31700000000001</c:v>
                </c:pt>
                <c:pt idx="437">
                  <c:v>587.92100000000005</c:v>
                </c:pt>
                <c:pt idx="438">
                  <c:v>585.87599999999998</c:v>
                </c:pt>
                <c:pt idx="439">
                  <c:v>582.851</c:v>
                </c:pt>
                <c:pt idx="440">
                  <c:v>601.86199999999997</c:v>
                </c:pt>
                <c:pt idx="441">
                  <c:v>603.78</c:v>
                </c:pt>
                <c:pt idx="442">
                  <c:v>603.87599999999998</c:v>
                </c:pt>
                <c:pt idx="443">
                  <c:v>615.22699999999998</c:v>
                </c:pt>
                <c:pt idx="444">
                  <c:v>623.83000000000004</c:v>
                </c:pt>
                <c:pt idx="445">
                  <c:v>610.79899999999998</c:v>
                </c:pt>
                <c:pt idx="446">
                  <c:v>611.572</c:v>
                </c:pt>
                <c:pt idx="447">
                  <c:v>624.9</c:v>
                </c:pt>
                <c:pt idx="448">
                  <c:v>624.72699999999998</c:v>
                </c:pt>
                <c:pt idx="449">
                  <c:v>662.47900000000004</c:v>
                </c:pt>
                <c:pt idx="450">
                  <c:v>668.99099999999999</c:v>
                </c:pt>
                <c:pt idx="451">
                  <c:v>679.53899999999999</c:v>
                </c:pt>
                <c:pt idx="452">
                  <c:v>714.76400000000001</c:v>
                </c:pt>
                <c:pt idx="453">
                  <c:v>710.01</c:v>
                </c:pt>
                <c:pt idx="454">
                  <c:v>702.82299999999998</c:v>
                </c:pt>
                <c:pt idx="455">
                  <c:v>716.15300000000002</c:v>
                </c:pt>
                <c:pt idx="456">
                  <c:v>728.10199999999998</c:v>
                </c:pt>
                <c:pt idx="457">
                  <c:v>714.72699999999998</c:v>
                </c:pt>
                <c:pt idx="458">
                  <c:v>728.62400000000002</c:v>
                </c:pt>
                <c:pt idx="459">
                  <c:v>710.98400000000004</c:v>
                </c:pt>
                <c:pt idx="460">
                  <c:v>721.81299999999999</c:v>
                </c:pt>
                <c:pt idx="461">
                  <c:v>697.19600000000003</c:v>
                </c:pt>
                <c:pt idx="462">
                  <c:v>675.96</c:v>
                </c:pt>
                <c:pt idx="463">
                  <c:v>654.31100000000004</c:v>
                </c:pt>
                <c:pt idx="464">
                  <c:v>628.70600000000002</c:v>
                </c:pt>
                <c:pt idx="465">
                  <c:v>646.346</c:v>
                </c:pt>
                <c:pt idx="466">
                  <c:v>662.024</c:v>
                </c:pt>
                <c:pt idx="467">
                  <c:v>680.28200000000004</c:v>
                </c:pt>
                <c:pt idx="468">
                  <c:v>671.41</c:v>
                </c:pt>
                <c:pt idx="469">
                  <c:v>669.36599999999999</c:v>
                </c:pt>
                <c:pt idx="470">
                  <c:v>685.13800000000003</c:v>
                </c:pt>
                <c:pt idx="471">
                  <c:v>693.26599999999996</c:v>
                </c:pt>
                <c:pt idx="472">
                  <c:v>700.15200000000004</c:v>
                </c:pt>
                <c:pt idx="473">
                  <c:v>697.67200000000003</c:v>
                </c:pt>
                <c:pt idx="474">
                  <c:v>707.149</c:v>
                </c:pt>
                <c:pt idx="475">
                  <c:v>683.03399999999999</c:v>
                </c:pt>
                <c:pt idx="476">
                  <c:v>686.93299999999999</c:v>
                </c:pt>
                <c:pt idx="477">
                  <c:v>679.50400000000002</c:v>
                </c:pt>
                <c:pt idx="478">
                  <c:v>664.44799999999998</c:v>
                </c:pt>
                <c:pt idx="479">
                  <c:v>650.90200000000004</c:v>
                </c:pt>
                <c:pt idx="480">
                  <c:v>618.26800000000003</c:v>
                </c:pt>
                <c:pt idx="481">
                  <c:v>605.00599999999997</c:v>
                </c:pt>
                <c:pt idx="482">
                  <c:v>574.40800000000002</c:v>
                </c:pt>
                <c:pt idx="483">
                  <c:v>585.41700000000003</c:v>
                </c:pt>
                <c:pt idx="484">
                  <c:v>544.50699999999995</c:v>
                </c:pt>
                <c:pt idx="485">
                  <c:v>555.56700000000001</c:v>
                </c:pt>
                <c:pt idx="486">
                  <c:v>539.62199999999996</c:v>
                </c:pt>
                <c:pt idx="487">
                  <c:v>548.51900000000001</c:v>
                </c:pt>
                <c:pt idx="488">
                  <c:v>548.94600000000003</c:v>
                </c:pt>
                <c:pt idx="489">
                  <c:v>531.59799999999996</c:v>
                </c:pt>
                <c:pt idx="490">
                  <c:v>538.66300000000001</c:v>
                </c:pt>
                <c:pt idx="491">
                  <c:v>538.25</c:v>
                </c:pt>
                <c:pt idx="492">
                  <c:v>537.05200000000002</c:v>
                </c:pt>
                <c:pt idx="493">
                  <c:v>527.37</c:v>
                </c:pt>
                <c:pt idx="494">
                  <c:v>511.61399999999998</c:v>
                </c:pt>
                <c:pt idx="495">
                  <c:v>488.39</c:v>
                </c:pt>
                <c:pt idx="496">
                  <c:v>482.488</c:v>
                </c:pt>
                <c:pt idx="497">
                  <c:v>486.90800000000002</c:v>
                </c:pt>
                <c:pt idx="498">
                  <c:v>486.57100000000003</c:v>
                </c:pt>
                <c:pt idx="499">
                  <c:v>488.334</c:v>
                </c:pt>
                <c:pt idx="500">
                  <c:v>466.77699999999999</c:v>
                </c:pt>
                <c:pt idx="501">
                  <c:v>455.50799999999998</c:v>
                </c:pt>
                <c:pt idx="502">
                  <c:v>454.08199999999999</c:v>
                </c:pt>
                <c:pt idx="503">
                  <c:v>433.666</c:v>
                </c:pt>
                <c:pt idx="504">
                  <c:v>436.86500000000001</c:v>
                </c:pt>
                <c:pt idx="505">
                  <c:v>438.69</c:v>
                </c:pt>
                <c:pt idx="506">
                  <c:v>433.88499999999999</c:v>
                </c:pt>
                <c:pt idx="507">
                  <c:v>435.40499999999997</c:v>
                </c:pt>
                <c:pt idx="508">
                  <c:v>439.14600000000002</c:v>
                </c:pt>
                <c:pt idx="509">
                  <c:v>431.93299999999999</c:v>
                </c:pt>
                <c:pt idx="510">
                  <c:v>421.53800000000001</c:v>
                </c:pt>
                <c:pt idx="511">
                  <c:v>419.13600000000002</c:v>
                </c:pt>
                <c:pt idx="512">
                  <c:v>421.03300000000002</c:v>
                </c:pt>
                <c:pt idx="513">
                  <c:v>428.226</c:v>
                </c:pt>
                <c:pt idx="514">
                  <c:v>444.839</c:v>
                </c:pt>
                <c:pt idx="515">
                  <c:v>447.822</c:v>
                </c:pt>
                <c:pt idx="516">
                  <c:v>444.39499999999998</c:v>
                </c:pt>
                <c:pt idx="517">
                  <c:v>444.39499999999998</c:v>
                </c:pt>
                <c:pt idx="518">
                  <c:v>444.39499999999998</c:v>
                </c:pt>
                <c:pt idx="519">
                  <c:v>444.39499999999998</c:v>
                </c:pt>
                <c:pt idx="520">
                  <c:v>441.32</c:v>
                </c:pt>
                <c:pt idx="521">
                  <c:v>437.22800000000001</c:v>
                </c:pt>
                <c:pt idx="522">
                  <c:v>437.22800000000001</c:v>
                </c:pt>
                <c:pt idx="523">
                  <c:v>437.22800000000001</c:v>
                </c:pt>
                <c:pt idx="524">
                  <c:v>426.512</c:v>
                </c:pt>
                <c:pt idx="525">
                  <c:v>433.17599999999999</c:v>
                </c:pt>
                <c:pt idx="526">
                  <c:v>432.988</c:v>
                </c:pt>
                <c:pt idx="527">
                  <c:v>424.702</c:v>
                </c:pt>
                <c:pt idx="528">
                  <c:v>420.995</c:v>
                </c:pt>
                <c:pt idx="529">
                  <c:v>427.39299999999997</c:v>
                </c:pt>
                <c:pt idx="530">
                  <c:v>443.89499999999998</c:v>
                </c:pt>
                <c:pt idx="531">
                  <c:v>436.21199999999999</c:v>
                </c:pt>
                <c:pt idx="532">
                  <c:v>430.81599999999997</c:v>
                </c:pt>
                <c:pt idx="533">
                  <c:v>439.40899999999999</c:v>
                </c:pt>
                <c:pt idx="534">
                  <c:v>443.077</c:v>
                </c:pt>
                <c:pt idx="535">
                  <c:v>436.60599999999999</c:v>
                </c:pt>
                <c:pt idx="536">
                  <c:v>432.77600000000001</c:v>
                </c:pt>
                <c:pt idx="537">
                  <c:v>419.779</c:v>
                </c:pt>
                <c:pt idx="538">
                  <c:v>423.17200000000003</c:v>
                </c:pt>
                <c:pt idx="539">
                  <c:v>420.137</c:v>
                </c:pt>
                <c:pt idx="540">
                  <c:v>420.25599999999997</c:v>
                </c:pt>
                <c:pt idx="541">
                  <c:v>432.78699999999998</c:v>
                </c:pt>
                <c:pt idx="542">
                  <c:v>436.82600000000002</c:v>
                </c:pt>
                <c:pt idx="543">
                  <c:v>433.363</c:v>
                </c:pt>
                <c:pt idx="544">
                  <c:v>433.82</c:v>
                </c:pt>
                <c:pt idx="545">
                  <c:v>427.19099999999997</c:v>
                </c:pt>
                <c:pt idx="546">
                  <c:v>418.65800000000002</c:v>
                </c:pt>
                <c:pt idx="547">
                  <c:v>402.995</c:v>
                </c:pt>
                <c:pt idx="548">
                  <c:v>387.13600000000002</c:v>
                </c:pt>
                <c:pt idx="549">
                  <c:v>389.35399999999998</c:v>
                </c:pt>
                <c:pt idx="550">
                  <c:v>398.59800000000001</c:v>
                </c:pt>
                <c:pt idx="551">
                  <c:v>411.30500000000001</c:v>
                </c:pt>
                <c:pt idx="552">
                  <c:v>407.971</c:v>
                </c:pt>
                <c:pt idx="553">
                  <c:v>407.57499999999999</c:v>
                </c:pt>
                <c:pt idx="554">
                  <c:v>412.59500000000003</c:v>
                </c:pt>
                <c:pt idx="555">
                  <c:v>419.66300000000001</c:v>
                </c:pt>
                <c:pt idx="556">
                  <c:v>432.14400000000001</c:v>
                </c:pt>
                <c:pt idx="557">
                  <c:v>426.21100000000001</c:v>
                </c:pt>
                <c:pt idx="558">
                  <c:v>423.90699999999998</c:v>
                </c:pt>
                <c:pt idx="559">
                  <c:v>450.84300000000002</c:v>
                </c:pt>
                <c:pt idx="560">
                  <c:v>452.99299999999999</c:v>
                </c:pt>
                <c:pt idx="561">
                  <c:v>437.75900000000001</c:v>
                </c:pt>
                <c:pt idx="562">
                  <c:v>442.09100000000001</c:v>
                </c:pt>
                <c:pt idx="563">
                  <c:v>473.29</c:v>
                </c:pt>
                <c:pt idx="564">
                  <c:v>456.08699999999999</c:v>
                </c:pt>
                <c:pt idx="565">
                  <c:v>456.95100000000002</c:v>
                </c:pt>
                <c:pt idx="566">
                  <c:v>457.959</c:v>
                </c:pt>
                <c:pt idx="567">
                  <c:v>472.81099999999998</c:v>
                </c:pt>
                <c:pt idx="568">
                  <c:v>487.37099999999998</c:v>
                </c:pt>
                <c:pt idx="569">
                  <c:v>503.95</c:v>
                </c:pt>
                <c:pt idx="570">
                  <c:v>497.25200000000001</c:v>
                </c:pt>
                <c:pt idx="571">
                  <c:v>480.755</c:v>
                </c:pt>
                <c:pt idx="572">
                  <c:v>447.14800000000002</c:v>
                </c:pt>
                <c:pt idx="573">
                  <c:v>456.37700000000001</c:v>
                </c:pt>
                <c:pt idx="574">
                  <c:v>445.661</c:v>
                </c:pt>
                <c:pt idx="575">
                  <c:v>430.19099999999997</c:v>
                </c:pt>
                <c:pt idx="576">
                  <c:v>437.20299999999997</c:v>
                </c:pt>
                <c:pt idx="577">
                  <c:v>443.01900000000001</c:v>
                </c:pt>
                <c:pt idx="578">
                  <c:v>445.32400000000001</c:v>
                </c:pt>
                <c:pt idx="579">
                  <c:v>444.423</c:v>
                </c:pt>
                <c:pt idx="580">
                  <c:v>442.34699999999998</c:v>
                </c:pt>
                <c:pt idx="581">
                  <c:v>441.04899999999998</c:v>
                </c:pt>
                <c:pt idx="582">
                  <c:v>443.64800000000002</c:v>
                </c:pt>
                <c:pt idx="583">
                  <c:v>443.91500000000002</c:v>
                </c:pt>
                <c:pt idx="584">
                  <c:v>444.69900000000001</c:v>
                </c:pt>
                <c:pt idx="585">
                  <c:v>461.51799999999997</c:v>
                </c:pt>
                <c:pt idx="586">
                  <c:v>457.983</c:v>
                </c:pt>
                <c:pt idx="587">
                  <c:v>485.17599999999999</c:v>
                </c:pt>
                <c:pt idx="588">
                  <c:v>485.17599999999999</c:v>
                </c:pt>
                <c:pt idx="589">
                  <c:v>485.17599999999999</c:v>
                </c:pt>
                <c:pt idx="590">
                  <c:v>526.95500000000004</c:v>
                </c:pt>
                <c:pt idx="591">
                  <c:v>513.18899999999996</c:v>
                </c:pt>
                <c:pt idx="592">
                  <c:v>512.03399999999999</c:v>
                </c:pt>
                <c:pt idx="593">
                  <c:v>517.30999999999995</c:v>
                </c:pt>
                <c:pt idx="594">
                  <c:v>539.83500000000004</c:v>
                </c:pt>
                <c:pt idx="595">
                  <c:v>557.36199999999997</c:v>
                </c:pt>
                <c:pt idx="596">
                  <c:v>512.46400000000006</c:v>
                </c:pt>
                <c:pt idx="597">
                  <c:v>514.52</c:v>
                </c:pt>
                <c:pt idx="598">
                  <c:v>495.84500000000003</c:v>
                </c:pt>
                <c:pt idx="599">
                  <c:v>492.94299999999998</c:v>
                </c:pt>
                <c:pt idx="600">
                  <c:v>522.61</c:v>
                </c:pt>
                <c:pt idx="601">
                  <c:v>523.68700000000001</c:v>
                </c:pt>
                <c:pt idx="602">
                  <c:v>483.524</c:v>
                </c:pt>
                <c:pt idx="603">
                  <c:v>459.18400000000003</c:v>
                </c:pt>
                <c:pt idx="604">
                  <c:v>466.113</c:v>
                </c:pt>
                <c:pt idx="605">
                  <c:v>473.851</c:v>
                </c:pt>
                <c:pt idx="606">
                  <c:v>483.79899999999998</c:v>
                </c:pt>
                <c:pt idx="607">
                  <c:v>480.40300000000002</c:v>
                </c:pt>
                <c:pt idx="608">
                  <c:v>483.935</c:v>
                </c:pt>
                <c:pt idx="609">
                  <c:v>483.935</c:v>
                </c:pt>
                <c:pt idx="610">
                  <c:v>494.22399999999999</c:v>
                </c:pt>
                <c:pt idx="611">
                  <c:v>490.74200000000002</c:v>
                </c:pt>
                <c:pt idx="612">
                  <c:v>480.56400000000002</c:v>
                </c:pt>
                <c:pt idx="613">
                  <c:v>472.06799999999998</c:v>
                </c:pt>
                <c:pt idx="614">
                  <c:v>461.90100000000001</c:v>
                </c:pt>
                <c:pt idx="615">
                  <c:v>469.041</c:v>
                </c:pt>
                <c:pt idx="616">
                  <c:v>468.96899999999999</c:v>
                </c:pt>
                <c:pt idx="617">
                  <c:v>472.34399999999999</c:v>
                </c:pt>
                <c:pt idx="618">
                  <c:v>465.61599999999999</c:v>
                </c:pt>
                <c:pt idx="619">
                  <c:v>463.20299999999997</c:v>
                </c:pt>
                <c:pt idx="620">
                  <c:v>450.26600000000002</c:v>
                </c:pt>
                <c:pt idx="621">
                  <c:v>459.95499999999998</c:v>
                </c:pt>
                <c:pt idx="622">
                  <c:v>446.08199999999999</c:v>
                </c:pt>
                <c:pt idx="623">
                  <c:v>439.37599999999998</c:v>
                </c:pt>
              </c:numCache>
            </c:numRef>
          </c:val>
          <c:smooth val="0"/>
          <c:extLst>
            <c:ext xmlns:c16="http://schemas.microsoft.com/office/drawing/2014/chart" uri="{C3380CC4-5D6E-409C-BE32-E72D297353CC}">
              <c16:uniqueId val="{00000007-4EEE-436B-AFC1-C498D6096249}"/>
            </c:ext>
          </c:extLst>
        </c:ser>
        <c:dLbls>
          <c:showLegendKey val="0"/>
          <c:showVal val="0"/>
          <c:showCatName val="0"/>
          <c:showSerName val="0"/>
          <c:showPercent val="0"/>
          <c:showBubbleSize val="0"/>
        </c:dLbls>
        <c:smooth val="0"/>
        <c:axId val="131761280"/>
        <c:axId val="131762816"/>
      </c:lineChart>
      <c:dateAx>
        <c:axId val="131761280"/>
        <c:scaling>
          <c:orientation val="minMax"/>
        </c:scaling>
        <c:delete val="0"/>
        <c:axPos val="b"/>
        <c:numFmt formatCode="m\/d\/yy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1762816"/>
        <c:crosses val="autoZero"/>
        <c:auto val="1"/>
        <c:lblOffset val="100"/>
        <c:baseTimeUnit val="days"/>
      </c:dateAx>
      <c:valAx>
        <c:axId val="13176281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y-AM"/>
                  <a:t>բազիսային կետ</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1761280"/>
        <c:crosses val="autoZero"/>
        <c:crossBetween val="between"/>
      </c:valAx>
      <c:spPr>
        <a:noFill/>
        <a:ln>
          <a:noFill/>
        </a:ln>
        <a:effectLst/>
      </c:spPr>
    </c:plotArea>
    <c:legend>
      <c:legendPos val="b"/>
      <c:layout>
        <c:manualLayout>
          <c:xMode val="edge"/>
          <c:yMode val="edge"/>
          <c:x val="7.8370866625097291E-2"/>
          <c:y val="0.79830184904017043"/>
          <c:w val="0.80501893850095085"/>
          <c:h val="0.20169815095982957"/>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32362300089968"/>
          <c:y val="6.0752269779507137E-2"/>
          <c:w val="0.80235521125059406"/>
          <c:h val="0.65690492968534575"/>
        </c:manualLayout>
      </c:layout>
      <c:barChart>
        <c:barDir val="col"/>
        <c:grouping val="clustered"/>
        <c:varyColors val="0"/>
        <c:ser>
          <c:idx val="0"/>
          <c:order val="0"/>
          <c:tx>
            <c:strRef>
              <c:f>Sheet1!$B$1</c:f>
              <c:strCache>
                <c:ptCount val="1"/>
                <c:pt idx="0">
                  <c:v>Ընթացիկ ծախսեր/ՀՆԱ%</c:v>
                </c:pt>
              </c:strCache>
            </c:strRef>
          </c:tx>
          <c:spPr>
            <a:solidFill>
              <a:srgbClr val="4472C4"/>
            </a:solidFill>
            <a:ln>
              <a:solidFill>
                <a:srgbClr val="4472C4"/>
              </a:solidFill>
            </a:ln>
            <a:effectLst>
              <a:outerShdw blurRad="40000" dist="23000" dir="5400000" rotWithShape="0">
                <a:srgbClr val="000000">
                  <a:alpha val="35000"/>
                </a:srgbClr>
              </a:outerShdw>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2018</c:v>
                </c:pt>
                <c:pt idx="1">
                  <c:v>2019</c:v>
                </c:pt>
                <c:pt idx="2">
                  <c:v>2020</c:v>
                </c:pt>
                <c:pt idx="3">
                  <c:v>2021*</c:v>
                </c:pt>
                <c:pt idx="4">
                  <c:v>2022*</c:v>
                </c:pt>
                <c:pt idx="5">
                  <c:v>2023*</c:v>
                </c:pt>
                <c:pt idx="6">
                  <c:v>2024*</c:v>
                </c:pt>
              </c:strCache>
            </c:strRef>
          </c:cat>
          <c:val>
            <c:numRef>
              <c:f>Sheet1!$B$2:$B$8</c:f>
              <c:numCache>
                <c:formatCode>0.0</c:formatCode>
                <c:ptCount val="7"/>
                <c:pt idx="0">
                  <c:v>21.588337472248792</c:v>
                </c:pt>
                <c:pt idx="1">
                  <c:v>21.963506331753393</c:v>
                </c:pt>
                <c:pt idx="2">
                  <c:v>26.990441339412151</c:v>
                </c:pt>
                <c:pt idx="3">
                  <c:v>25.27372083814365</c:v>
                </c:pt>
                <c:pt idx="4">
                  <c:v>22.564903954896209</c:v>
                </c:pt>
                <c:pt idx="5">
                  <c:v>22.363530439040424</c:v>
                </c:pt>
                <c:pt idx="6">
                  <c:v>22.162300942847416</c:v>
                </c:pt>
              </c:numCache>
            </c:numRef>
          </c:val>
          <c:extLst>
            <c:ext xmlns:c16="http://schemas.microsoft.com/office/drawing/2014/chart" uri="{C3380CC4-5D6E-409C-BE32-E72D297353CC}">
              <c16:uniqueId val="{00000000-0F09-4394-A466-92F7FF288C95}"/>
            </c:ext>
          </c:extLst>
        </c:ser>
        <c:dLbls>
          <c:showLegendKey val="0"/>
          <c:showVal val="0"/>
          <c:showCatName val="0"/>
          <c:showSerName val="0"/>
          <c:showPercent val="0"/>
          <c:showBubbleSize val="0"/>
        </c:dLbls>
        <c:gapWidth val="219"/>
        <c:overlap val="-27"/>
        <c:axId val="153279104"/>
        <c:axId val="153162112"/>
      </c:barChart>
      <c:lineChart>
        <c:grouping val="standard"/>
        <c:varyColors val="0"/>
        <c:ser>
          <c:idx val="1"/>
          <c:order val="1"/>
          <c:tx>
            <c:strRef>
              <c:f>Sheet1!$C$1</c:f>
              <c:strCache>
                <c:ptCount val="1"/>
                <c:pt idx="0">
                  <c:v>Հարկային եկամուտներ/ՀՆԱ%</c:v>
                </c:pt>
              </c:strCache>
            </c:strRef>
          </c:tx>
          <c:spPr>
            <a:ln>
              <a:solidFill>
                <a:srgbClr val="FF0000"/>
              </a:solidFill>
            </a:ln>
            <a:effectLst>
              <a:outerShdw blurRad="40000" dist="23000" dir="5400000" rotWithShape="0">
                <a:srgbClr val="000000">
                  <a:alpha val="35000"/>
                </a:srgbClr>
              </a:outerShdw>
            </a:effectLst>
          </c:spPr>
          <c:marker>
            <c:spPr>
              <a:solidFill>
                <a:srgbClr val="FF0000"/>
              </a:solidFill>
              <a:ln>
                <a:solidFill>
                  <a:srgbClr val="FF0000"/>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2018</c:v>
                </c:pt>
                <c:pt idx="1">
                  <c:v>2019</c:v>
                </c:pt>
                <c:pt idx="2">
                  <c:v>2020</c:v>
                </c:pt>
                <c:pt idx="3">
                  <c:v>2021*</c:v>
                </c:pt>
                <c:pt idx="4">
                  <c:v>2022*</c:v>
                </c:pt>
                <c:pt idx="5">
                  <c:v>2023*</c:v>
                </c:pt>
                <c:pt idx="6">
                  <c:v>2024*</c:v>
                </c:pt>
              </c:strCache>
            </c:strRef>
          </c:cat>
          <c:val>
            <c:numRef>
              <c:f>Sheet1!$C$2:$C$8</c:f>
              <c:numCache>
                <c:formatCode>0.0</c:formatCode>
                <c:ptCount val="7"/>
                <c:pt idx="0">
                  <c:v>20.909320563240183</c:v>
                </c:pt>
                <c:pt idx="1">
                  <c:v>22.378541737011926</c:v>
                </c:pt>
                <c:pt idx="2">
                  <c:v>22.400763757595897</c:v>
                </c:pt>
                <c:pt idx="3">
                  <c:v>22.389740321153685</c:v>
                </c:pt>
                <c:pt idx="4">
                  <c:v>22.896795321153686</c:v>
                </c:pt>
                <c:pt idx="5">
                  <c:v>23.128925321153687</c:v>
                </c:pt>
                <c:pt idx="6">
                  <c:v>23.58710532115369</c:v>
                </c:pt>
              </c:numCache>
            </c:numRef>
          </c:val>
          <c:smooth val="0"/>
          <c:extLst>
            <c:ext xmlns:c16="http://schemas.microsoft.com/office/drawing/2014/chart" uri="{C3380CC4-5D6E-409C-BE32-E72D297353CC}">
              <c16:uniqueId val="{00000001-0F09-4394-A466-92F7FF288C95}"/>
            </c:ext>
          </c:extLst>
        </c:ser>
        <c:dLbls>
          <c:showLegendKey val="0"/>
          <c:showVal val="0"/>
          <c:showCatName val="0"/>
          <c:showSerName val="0"/>
          <c:showPercent val="0"/>
          <c:showBubbleSize val="0"/>
        </c:dLbls>
        <c:marker val="1"/>
        <c:smooth val="0"/>
        <c:axId val="153279104"/>
        <c:axId val="153162112"/>
      </c:lineChart>
      <c:catAx>
        <c:axId val="153279104"/>
        <c:scaling>
          <c:orientation val="minMax"/>
        </c:scaling>
        <c:delete val="0"/>
        <c:axPos val="b"/>
        <c:numFmt formatCode="General" sourceLinked="1"/>
        <c:majorTickMark val="none"/>
        <c:minorTickMark val="none"/>
        <c:tickLblPos val="low"/>
        <c:spPr>
          <a:noFill/>
          <a:ln w="9530" cap="flat" cmpd="sng" algn="ctr">
            <a:solidFill>
              <a:schemeClr val="tx2">
                <a:lumMod val="15000"/>
                <a:lumOff val="85000"/>
              </a:schemeClr>
            </a:solidFill>
            <a:round/>
          </a:ln>
          <a:effectLst/>
        </c:spPr>
        <c:txPr>
          <a:bodyPr rot="-60000000" vert="horz"/>
          <a:lstStyle/>
          <a:p>
            <a:pPr>
              <a:defRPr sz="800"/>
            </a:pPr>
            <a:endParaRPr lang="en-US"/>
          </a:p>
        </c:txPr>
        <c:crossAx val="153162112"/>
        <c:crosses val="autoZero"/>
        <c:auto val="1"/>
        <c:lblAlgn val="ctr"/>
        <c:lblOffset val="100"/>
        <c:noMultiLvlLbl val="0"/>
      </c:catAx>
      <c:valAx>
        <c:axId val="153162112"/>
        <c:scaling>
          <c:orientation val="minMax"/>
        </c:scaling>
        <c:delete val="0"/>
        <c:axPos val="l"/>
        <c:majorGridlines>
          <c:spPr>
            <a:ln w="9530" cap="flat" cmpd="sng" algn="ctr">
              <a:solidFill>
                <a:schemeClr val="tx2">
                  <a:lumMod val="15000"/>
                  <a:lumOff val="85000"/>
                </a:schemeClr>
              </a:solidFill>
              <a:round/>
            </a:ln>
            <a:effectLst/>
          </c:spPr>
        </c:majorGridlines>
        <c:numFmt formatCode="0.0" sourceLinked="1"/>
        <c:majorTickMark val="none"/>
        <c:minorTickMark val="none"/>
        <c:tickLblPos val="nextTo"/>
        <c:spPr>
          <a:ln w="6353">
            <a:noFill/>
          </a:ln>
        </c:spPr>
        <c:txPr>
          <a:bodyPr rot="-60000000" vert="horz"/>
          <a:lstStyle/>
          <a:p>
            <a:pPr>
              <a:defRPr/>
            </a:pPr>
            <a:endParaRPr lang="en-US"/>
          </a:p>
        </c:txPr>
        <c:crossAx val="153279104"/>
        <c:crosses val="autoZero"/>
        <c:crossBetween val="between"/>
      </c:valAx>
      <c:spPr>
        <a:noFill/>
        <a:ln w="25412">
          <a:noFill/>
        </a:ln>
      </c:spPr>
    </c:plotArea>
    <c:legend>
      <c:legendPos val="b"/>
      <c:layout>
        <c:manualLayout>
          <c:xMode val="edge"/>
          <c:yMode val="edge"/>
          <c:x val="4.0371417036737994E-2"/>
          <c:y val="0.87673156240085393"/>
          <c:w val="0.92533322313313981"/>
          <c:h val="0.12326843759914623"/>
        </c:manualLayout>
      </c:layout>
      <c:overlay val="0"/>
      <c:spPr>
        <a:noFill/>
        <a:ln w="25412">
          <a:noFill/>
        </a:ln>
      </c:spPr>
      <c:txPr>
        <a:bodyPr rot="0" vert="horz"/>
        <a:lstStyle/>
        <a:p>
          <a:pPr>
            <a:defRPr sz="900"/>
          </a:pPr>
          <a:endParaRPr lang="en-US"/>
        </a:p>
      </c:txPr>
    </c:legend>
    <c:plotVisOnly val="1"/>
    <c:dispBlanksAs val="gap"/>
    <c:showDLblsOverMax val="0"/>
  </c:chart>
  <c:spPr>
    <a:solidFill>
      <a:schemeClr val="bg1"/>
    </a:solidFill>
    <a:ln w="9530" cap="flat" cmpd="sng" algn="ctr">
      <a:solidFill>
        <a:schemeClr val="tx2">
          <a:lumMod val="15000"/>
          <a:lumOff val="85000"/>
        </a:schemeClr>
      </a:solidFill>
      <a:round/>
    </a:ln>
    <a:effectLst/>
  </c:spPr>
  <c:txPr>
    <a:bodyPr anchor="t" anchorCtr="0"/>
    <a:lstStyle/>
    <a:p>
      <a:pPr>
        <a:defRPr>
          <a:latin typeface="GHEA Grapalat" panose="02000506050000020003" pitchFamily="50" charset="0"/>
        </a:defRPr>
      </a:pPr>
      <a:endParaRPr lang="en-US"/>
    </a:p>
  </c:txPr>
  <c:externalData r:id="rId2">
    <c:autoUpdate val="0"/>
  </c:externalData>
  <c:userShapes r:id="rId3"/>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82080812768812"/>
          <c:y val="6.3554952510176385E-2"/>
          <c:w val="0.8257706331319018"/>
          <c:h val="0.63564952617015436"/>
        </c:manualLayout>
      </c:layout>
      <c:barChart>
        <c:barDir val="col"/>
        <c:grouping val="clustered"/>
        <c:varyColors val="0"/>
        <c:ser>
          <c:idx val="1"/>
          <c:order val="1"/>
          <c:tx>
            <c:strRef>
              <c:f>Sheet1!$C$1</c:f>
              <c:strCache>
                <c:ptCount val="1"/>
                <c:pt idx="0">
                  <c:v>Ոչ ֆին. ակիվ.գծով ծախսեր/ՀՆԱ%</c:v>
                </c:pt>
              </c:strCache>
            </c:strRef>
          </c:tx>
          <c:spPr>
            <a:solidFill>
              <a:srgbClr val="4472C4"/>
            </a:solidFill>
            <a:ln>
              <a:solidFill>
                <a:srgbClr val="4472C4"/>
              </a:solidFill>
            </a:ln>
            <a:effectLst>
              <a:outerShdw blurRad="40000" dist="23000" dir="5400000" rotWithShape="0">
                <a:srgbClr val="000000">
                  <a:alpha val="35000"/>
                </a:srgbClr>
              </a:outerShdw>
            </a:effectLst>
          </c:spPr>
          <c:invertIfNegative val="0"/>
          <c:dLbls>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2018</c:v>
                </c:pt>
                <c:pt idx="1">
                  <c:v>2019</c:v>
                </c:pt>
                <c:pt idx="2">
                  <c:v>2020</c:v>
                </c:pt>
                <c:pt idx="3">
                  <c:v>2021*</c:v>
                </c:pt>
                <c:pt idx="4">
                  <c:v>2022*</c:v>
                </c:pt>
                <c:pt idx="5">
                  <c:v>2023*</c:v>
                </c:pt>
                <c:pt idx="6">
                  <c:v>2024*</c:v>
                </c:pt>
              </c:strCache>
            </c:strRef>
          </c:cat>
          <c:val>
            <c:numRef>
              <c:f>Sheet1!$C$2:$C$8</c:f>
              <c:numCache>
                <c:formatCode>0.0</c:formatCode>
                <c:ptCount val="7"/>
                <c:pt idx="0">
                  <c:v>2.461430617524059</c:v>
                </c:pt>
                <c:pt idx="1">
                  <c:v>2.9387820204716206</c:v>
                </c:pt>
                <c:pt idx="2">
                  <c:v>3.6590263681586972</c:v>
                </c:pt>
                <c:pt idx="3">
                  <c:v>2.8655532061509397</c:v>
                </c:pt>
                <c:pt idx="4">
                  <c:v>3.8644398282324715</c:v>
                </c:pt>
                <c:pt idx="5">
                  <c:v>3.7706797918219364</c:v>
                </c:pt>
                <c:pt idx="6">
                  <c:v>4.0055741061265238</c:v>
                </c:pt>
              </c:numCache>
            </c:numRef>
          </c:val>
          <c:extLst>
            <c:ext xmlns:c16="http://schemas.microsoft.com/office/drawing/2014/chart" uri="{C3380CC4-5D6E-409C-BE32-E72D297353CC}">
              <c16:uniqueId val="{00000000-56AE-455B-90BD-687C1104A94D}"/>
            </c:ext>
          </c:extLst>
        </c:ser>
        <c:dLbls>
          <c:showLegendKey val="0"/>
          <c:showVal val="0"/>
          <c:showCatName val="0"/>
          <c:showSerName val="0"/>
          <c:showPercent val="0"/>
          <c:showBubbleSize val="0"/>
        </c:dLbls>
        <c:gapWidth val="219"/>
        <c:axId val="153354240"/>
        <c:axId val="153355392"/>
      </c:barChart>
      <c:lineChart>
        <c:grouping val="standard"/>
        <c:varyColors val="0"/>
        <c:ser>
          <c:idx val="0"/>
          <c:order val="0"/>
          <c:tx>
            <c:strRef>
              <c:f>Sheet1!$B$1</c:f>
              <c:strCache>
                <c:ptCount val="1"/>
                <c:pt idx="0">
                  <c:v>Պակասուրդ/ՀՆԱ%</c:v>
                </c:pt>
              </c:strCache>
            </c:strRef>
          </c:tx>
          <c:spPr>
            <a:ln>
              <a:solidFill>
                <a:srgbClr val="FF0000"/>
              </a:solidFill>
            </a:ln>
            <a:effectLst>
              <a:outerShdw blurRad="40000" dist="23000" dir="5400000" rotWithShape="0">
                <a:srgbClr val="000000">
                  <a:alpha val="35000"/>
                </a:srgbClr>
              </a:outerShdw>
            </a:effectLst>
          </c:spPr>
          <c:marker>
            <c:spPr>
              <a:solidFill>
                <a:srgbClr val="FF0000"/>
              </a:solidFill>
              <a:ln>
                <a:solidFill>
                  <a:srgbClr val="FF0000"/>
                </a:solidFill>
              </a:ln>
            </c:spPr>
          </c:marker>
          <c:dLbls>
            <c:dLbl>
              <c:idx val="3"/>
              <c:layout>
                <c:manualLayout>
                  <c:x val="-6.4230924505450135E-2"/>
                  <c:y val="-5.02110971537120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6AE-455B-90BD-687C1104A94D}"/>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2018</c:v>
                </c:pt>
                <c:pt idx="1">
                  <c:v>2019</c:v>
                </c:pt>
                <c:pt idx="2">
                  <c:v>2020</c:v>
                </c:pt>
                <c:pt idx="3">
                  <c:v>2021*</c:v>
                </c:pt>
                <c:pt idx="4">
                  <c:v>2022*</c:v>
                </c:pt>
                <c:pt idx="5">
                  <c:v>2023*</c:v>
                </c:pt>
                <c:pt idx="6">
                  <c:v>2024*</c:v>
                </c:pt>
              </c:strCache>
            </c:strRef>
          </c:cat>
          <c:val>
            <c:numRef>
              <c:f>Sheet1!$B$2:$B$8</c:f>
              <c:numCache>
                <c:formatCode>0.0</c:formatCode>
                <c:ptCount val="7"/>
                <c:pt idx="0">
                  <c:v>1.7515672931246962</c:v>
                </c:pt>
                <c:pt idx="1">
                  <c:v>0.97754175944701427</c:v>
                </c:pt>
                <c:pt idx="2">
                  <c:v>5.4011268385206401</c:v>
                </c:pt>
                <c:pt idx="3">
                  <c:v>4.5999999999999996</c:v>
                </c:pt>
                <c:pt idx="4">
                  <c:v>2.4</c:v>
                </c:pt>
                <c:pt idx="5">
                  <c:v>2.1</c:v>
                </c:pt>
                <c:pt idx="6">
                  <c:v>1.9</c:v>
                </c:pt>
              </c:numCache>
            </c:numRef>
          </c:val>
          <c:smooth val="0"/>
          <c:extLst>
            <c:ext xmlns:c16="http://schemas.microsoft.com/office/drawing/2014/chart" uri="{C3380CC4-5D6E-409C-BE32-E72D297353CC}">
              <c16:uniqueId val="{00000002-56AE-455B-90BD-687C1104A94D}"/>
            </c:ext>
          </c:extLst>
        </c:ser>
        <c:dLbls>
          <c:showLegendKey val="0"/>
          <c:showVal val="0"/>
          <c:showCatName val="0"/>
          <c:showSerName val="0"/>
          <c:showPercent val="0"/>
          <c:showBubbleSize val="0"/>
        </c:dLbls>
        <c:marker val="1"/>
        <c:smooth val="0"/>
        <c:axId val="153354240"/>
        <c:axId val="153355392"/>
      </c:lineChart>
      <c:catAx>
        <c:axId val="153354240"/>
        <c:scaling>
          <c:orientation val="minMax"/>
        </c:scaling>
        <c:delete val="0"/>
        <c:axPos val="b"/>
        <c:numFmt formatCode="General" sourceLinked="1"/>
        <c:majorTickMark val="none"/>
        <c:minorTickMark val="none"/>
        <c:tickLblPos val="low"/>
        <c:spPr>
          <a:noFill/>
          <a:ln w="9530" cap="flat" cmpd="sng" algn="ctr">
            <a:solidFill>
              <a:schemeClr val="tx2">
                <a:lumMod val="15000"/>
                <a:lumOff val="85000"/>
              </a:schemeClr>
            </a:solidFill>
            <a:round/>
          </a:ln>
          <a:effectLst/>
        </c:spPr>
        <c:txPr>
          <a:bodyPr rot="-60000000" vert="horz"/>
          <a:lstStyle/>
          <a:p>
            <a:pPr>
              <a:defRPr sz="800"/>
            </a:pPr>
            <a:endParaRPr lang="en-US"/>
          </a:p>
        </c:txPr>
        <c:crossAx val="153355392"/>
        <c:crosses val="autoZero"/>
        <c:auto val="1"/>
        <c:lblAlgn val="ctr"/>
        <c:lblOffset val="100"/>
        <c:noMultiLvlLbl val="0"/>
      </c:catAx>
      <c:valAx>
        <c:axId val="153355392"/>
        <c:scaling>
          <c:orientation val="minMax"/>
        </c:scaling>
        <c:delete val="0"/>
        <c:axPos val="l"/>
        <c:majorGridlines>
          <c:spPr>
            <a:ln w="9530" cap="flat" cmpd="sng" algn="ctr">
              <a:solidFill>
                <a:schemeClr val="tx2">
                  <a:lumMod val="15000"/>
                  <a:lumOff val="85000"/>
                </a:schemeClr>
              </a:solidFill>
              <a:round/>
            </a:ln>
            <a:effectLst/>
          </c:spPr>
        </c:majorGridlines>
        <c:numFmt formatCode="0.0" sourceLinked="1"/>
        <c:majorTickMark val="none"/>
        <c:minorTickMark val="none"/>
        <c:tickLblPos val="nextTo"/>
        <c:spPr>
          <a:ln w="6353">
            <a:noFill/>
          </a:ln>
        </c:spPr>
        <c:txPr>
          <a:bodyPr rot="-60000000" vert="horz"/>
          <a:lstStyle/>
          <a:p>
            <a:pPr>
              <a:defRPr/>
            </a:pPr>
            <a:endParaRPr lang="en-US"/>
          </a:p>
        </c:txPr>
        <c:crossAx val="153354240"/>
        <c:crosses val="autoZero"/>
        <c:crossBetween val="between"/>
      </c:valAx>
      <c:spPr>
        <a:noFill/>
        <a:ln w="25412">
          <a:noFill/>
        </a:ln>
      </c:spPr>
    </c:plotArea>
    <c:legend>
      <c:legendPos val="b"/>
      <c:layout>
        <c:manualLayout>
          <c:xMode val="edge"/>
          <c:yMode val="edge"/>
          <c:x val="0"/>
          <c:y val="0.8767285925196856"/>
          <c:w val="0.99584174404521597"/>
          <c:h val="0.123271407480315"/>
        </c:manualLayout>
      </c:layout>
      <c:overlay val="0"/>
      <c:spPr>
        <a:noFill/>
        <a:ln w="25412">
          <a:noFill/>
        </a:ln>
      </c:spPr>
      <c:txPr>
        <a:bodyPr rot="0" vert="horz"/>
        <a:lstStyle/>
        <a:p>
          <a:pPr>
            <a:defRPr sz="900"/>
          </a:pPr>
          <a:endParaRPr lang="en-US"/>
        </a:p>
      </c:txPr>
    </c:legend>
    <c:plotVisOnly val="1"/>
    <c:dispBlanksAs val="gap"/>
    <c:showDLblsOverMax val="0"/>
  </c:chart>
  <c:spPr>
    <a:solidFill>
      <a:schemeClr val="bg1"/>
    </a:solidFill>
    <a:ln w="9530" cap="flat" cmpd="sng" algn="ctr">
      <a:solidFill>
        <a:schemeClr val="tx2">
          <a:lumMod val="15000"/>
          <a:lumOff val="85000"/>
        </a:schemeClr>
      </a:solidFill>
      <a:round/>
    </a:ln>
    <a:effectLst/>
  </c:spPr>
  <c:txPr>
    <a:bodyPr anchor="t" anchorCtr="0"/>
    <a:lstStyle/>
    <a:p>
      <a:pPr>
        <a:defRPr>
          <a:latin typeface="GHEA Grapalat" panose="02000506050000020003" pitchFamily="50" charset="0"/>
        </a:defRPr>
      </a:pPr>
      <a:endParaRPr lang="en-US"/>
    </a:p>
  </c:txPr>
  <c:externalData r:id="rId2">
    <c:autoUpdate val="0"/>
  </c:externalData>
  <c:userShapes r:id="rId3"/>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y-AM" sz="1000" b="1">
                <a:solidFill>
                  <a:sysClr val="windowText" lastClr="000000"/>
                </a:solidFill>
                <a:latin typeface="GHEA Grapalat" panose="02000506050000020003" pitchFamily="50" charset="0"/>
              </a:rPr>
              <a:t>Կառավարության պարտքի</a:t>
            </a:r>
            <a:r>
              <a:rPr lang="hy-AM" sz="1000" b="1" baseline="0">
                <a:solidFill>
                  <a:sysClr val="windowText" lastClr="000000"/>
                </a:solidFill>
                <a:latin typeface="GHEA Grapalat" panose="02000506050000020003" pitchFamily="50" charset="0"/>
              </a:rPr>
              <a:t> դինամիկան</a:t>
            </a:r>
            <a:endParaRPr lang="en-US" sz="1000" b="1">
              <a:solidFill>
                <a:sysClr val="windowText" lastClr="000000"/>
              </a:solidFill>
              <a:latin typeface="GHEA Grapalat" panose="02000506050000020003" pitchFamily="50" charset="0"/>
            </a:endParaRPr>
          </a:p>
        </c:rich>
      </c:tx>
      <c:overlay val="0"/>
      <c:spPr>
        <a:noFill/>
        <a:ln>
          <a:noFill/>
        </a:ln>
        <a:effectLst/>
      </c:spPr>
    </c:title>
    <c:autoTitleDeleted val="0"/>
    <c:plotArea>
      <c:layout/>
      <c:barChart>
        <c:barDir val="col"/>
        <c:grouping val="clustered"/>
        <c:varyColors val="0"/>
        <c:ser>
          <c:idx val="1"/>
          <c:order val="1"/>
          <c:tx>
            <c:strRef>
              <c:f>Sheet1!$C$1</c:f>
              <c:strCache>
                <c:ptCount val="1"/>
                <c:pt idx="0">
                  <c:v>ՀՀ կառավարության պարտք, մլրդ դրամ</c:v>
                </c:pt>
              </c:strCache>
            </c:strRef>
          </c:tx>
          <c:spPr>
            <a:solidFill>
              <a:schemeClr val="accent2"/>
            </a:solidFill>
            <a:ln>
              <a:noFill/>
            </a:ln>
            <a:effectLst/>
          </c:spPr>
          <c:invertIfNegative val="0"/>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Sheet1!$C$2:$C$9</c:f>
              <c:numCache>
                <c:formatCode>0.0</c:formatCode>
                <c:ptCount val="8"/>
                <c:pt idx="0">
                  <c:v>2988.3796278717332</c:v>
                </c:pt>
                <c:pt idx="1">
                  <c:v>3082.8664640448101</c:v>
                </c:pt>
                <c:pt idx="2">
                  <c:v>3278.6777602719167</c:v>
                </c:pt>
                <c:pt idx="3">
                  <c:v>3811.9561789532881</c:v>
                </c:pt>
                <c:pt idx="4">
                  <c:v>4286.2957449778132</c:v>
                </c:pt>
                <c:pt idx="5">
                  <c:v>4579.8447576100489</c:v>
                </c:pt>
                <c:pt idx="6">
                  <c:v>4794.771439056658</c:v>
                </c:pt>
                <c:pt idx="7">
                  <c:v>5018.2764495122101</c:v>
                </c:pt>
              </c:numCache>
            </c:numRef>
          </c:val>
          <c:extLst>
            <c:ext xmlns:c16="http://schemas.microsoft.com/office/drawing/2014/chart" uri="{C3380CC4-5D6E-409C-BE32-E72D297353CC}">
              <c16:uniqueId val="{00000000-1E31-42AD-B4AF-16D5AE542813}"/>
            </c:ext>
          </c:extLst>
        </c:ser>
        <c:dLbls>
          <c:showLegendKey val="0"/>
          <c:showVal val="0"/>
          <c:showCatName val="0"/>
          <c:showSerName val="0"/>
          <c:showPercent val="0"/>
          <c:showBubbleSize val="0"/>
        </c:dLbls>
        <c:gapWidth val="219"/>
        <c:axId val="153831680"/>
        <c:axId val="153837568"/>
      </c:barChart>
      <c:lineChart>
        <c:grouping val="standard"/>
        <c:varyColors val="0"/>
        <c:ser>
          <c:idx val="0"/>
          <c:order val="0"/>
          <c:tx>
            <c:strRef>
              <c:f>Sheet1!$B$1</c:f>
              <c:strCache>
                <c:ptCount val="1"/>
                <c:pt idx="0">
                  <c:v>Կառավարության պարտք/ՀՆԱ, % (աջ առանցք)</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7.2954882844716074E-2"/>
                  <c:y val="-4.62735157002838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E31-42AD-B4AF-16D5AE542813}"/>
                </c:ext>
              </c:extLst>
            </c:dLbl>
            <c:dLbl>
              <c:idx val="1"/>
              <c:layout>
                <c:manualLayout>
                  <c:x val="-7.2954882844716074E-2"/>
                  <c:y val="-4.18633723706256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E31-42AD-B4AF-16D5AE542813}"/>
                </c:ext>
              </c:extLst>
            </c:dLbl>
            <c:dLbl>
              <c:idx val="2"/>
              <c:layout>
                <c:manualLayout>
                  <c:x val="-7.2954882844716074E-2"/>
                  <c:y val="-3.74532290409674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E31-42AD-B4AF-16D5AE542813}"/>
                </c:ext>
              </c:extLst>
            </c:dLbl>
            <c:dLbl>
              <c:idx val="3"/>
              <c:layout>
                <c:manualLayout>
                  <c:x val="-8.6185312833690797E-2"/>
                  <c:y val="-2.86329423816510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E31-42AD-B4AF-16D5AE54281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Sheet1!$B$2:$B$9</c:f>
              <c:numCache>
                <c:formatCode>0.0</c:formatCode>
                <c:ptCount val="8"/>
                <c:pt idx="0">
                  <c:v>53.704433930610207</c:v>
                </c:pt>
                <c:pt idx="1">
                  <c:v>51.232560196296518</c:v>
                </c:pt>
                <c:pt idx="2">
                  <c:v>50.08589638624963</c:v>
                </c:pt>
                <c:pt idx="3">
                  <c:v>63.476258231461003</c:v>
                </c:pt>
                <c:pt idx="4">
                  <c:v>62.299070370365385</c:v>
                </c:pt>
                <c:pt idx="5">
                  <c:v>60.493585165814011</c:v>
                </c:pt>
                <c:pt idx="6">
                  <c:v>58.679535367127485</c:v>
                </c:pt>
                <c:pt idx="7">
                  <c:v>56.797131752983951</c:v>
                </c:pt>
              </c:numCache>
            </c:numRef>
          </c:val>
          <c:smooth val="0"/>
          <c:extLst>
            <c:ext xmlns:c16="http://schemas.microsoft.com/office/drawing/2014/chart" uri="{C3380CC4-5D6E-409C-BE32-E72D297353CC}">
              <c16:uniqueId val="{00000005-1E31-42AD-B4AF-16D5AE542813}"/>
            </c:ext>
          </c:extLst>
        </c:ser>
        <c:dLbls>
          <c:showLegendKey val="0"/>
          <c:showVal val="0"/>
          <c:showCatName val="0"/>
          <c:showSerName val="0"/>
          <c:showPercent val="0"/>
          <c:showBubbleSize val="0"/>
        </c:dLbls>
        <c:marker val="1"/>
        <c:smooth val="0"/>
        <c:axId val="153840640"/>
        <c:axId val="153839104"/>
      </c:lineChart>
      <c:catAx>
        <c:axId val="153831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837568"/>
        <c:crosses val="autoZero"/>
        <c:auto val="1"/>
        <c:lblAlgn val="ctr"/>
        <c:lblOffset val="100"/>
        <c:noMultiLvlLbl val="0"/>
      </c:catAx>
      <c:valAx>
        <c:axId val="1538375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831680"/>
        <c:crosses val="autoZero"/>
        <c:crossBetween val="between"/>
      </c:valAx>
      <c:valAx>
        <c:axId val="153839104"/>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840640"/>
        <c:crosses val="max"/>
        <c:crossBetween val="between"/>
      </c:valAx>
      <c:catAx>
        <c:axId val="153840640"/>
        <c:scaling>
          <c:orientation val="minMax"/>
        </c:scaling>
        <c:delete val="1"/>
        <c:axPos val="b"/>
        <c:numFmt formatCode="General" sourceLinked="1"/>
        <c:majorTickMark val="out"/>
        <c:minorTickMark val="none"/>
        <c:tickLblPos val="none"/>
        <c:crossAx val="153839104"/>
        <c:crosses val="autoZero"/>
        <c:auto val="1"/>
        <c:lblAlgn val="ctr"/>
        <c:lblOffset val="100"/>
        <c:noMultiLvlLbl val="0"/>
      </c:catAx>
      <c:spPr>
        <a:noFill/>
        <a:ln>
          <a:noFill/>
        </a:ln>
        <a:effectLst/>
      </c:spPr>
    </c:plotArea>
    <c:legend>
      <c:legendPos val="b"/>
      <c:layout>
        <c:manualLayout>
          <c:xMode val="edge"/>
          <c:yMode val="edge"/>
          <c:x val="0"/>
          <c:y val="0.78088601993439488"/>
          <c:w val="0.99724612736660856"/>
          <c:h val="0.219113980065605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99"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899" b="1" baseline="0">
                <a:solidFill>
                  <a:sysClr val="windowText" lastClr="000000"/>
                </a:solidFill>
              </a:rPr>
              <a:t>Կառավարության պարտքի բեռի փոփոխությանը նպաստող գործոնները, </a:t>
            </a:r>
            <a:r>
              <a:rPr lang="en-US" sz="899" b="1" baseline="0">
                <a:solidFill>
                  <a:sysClr val="windowText" lastClr="000000"/>
                </a:solidFill>
              </a:rPr>
              <a:t>%-</a:t>
            </a:r>
            <a:r>
              <a:rPr lang="hy-AM" sz="899" b="1" baseline="0">
                <a:solidFill>
                  <a:sysClr val="windowText" lastClr="000000"/>
                </a:solidFill>
              </a:rPr>
              <a:t>ային կետ</a:t>
            </a:r>
            <a:endParaRPr lang="en-US" sz="900" b="1">
              <a:solidFill>
                <a:sysClr val="windowText" lastClr="000000"/>
              </a:solidFill>
            </a:endParaRPr>
          </a:p>
        </c:rich>
      </c:tx>
      <c:layout>
        <c:manualLayout>
          <c:xMode val="edge"/>
          <c:yMode val="edge"/>
          <c:x val="8.4826303261163777E-2"/>
          <c:y val="3.4761154855643046E-3"/>
        </c:manualLayout>
      </c:layout>
      <c:overlay val="0"/>
      <c:spPr>
        <a:noFill/>
        <a:ln w="25384">
          <a:noFill/>
        </a:ln>
      </c:spPr>
    </c:title>
    <c:autoTitleDeleted val="0"/>
    <c:plotArea>
      <c:layout>
        <c:manualLayout>
          <c:layoutTarget val="inner"/>
          <c:xMode val="edge"/>
          <c:yMode val="edge"/>
          <c:x val="0.11882213353467802"/>
          <c:y val="0.18580364954380699"/>
          <c:w val="0.49000876204041866"/>
          <c:h val="0.77039682539682564"/>
        </c:manualLayout>
      </c:layout>
      <c:barChart>
        <c:barDir val="col"/>
        <c:grouping val="stacked"/>
        <c:varyColors val="0"/>
        <c:ser>
          <c:idx val="0"/>
          <c:order val="0"/>
          <c:tx>
            <c:strRef>
              <c:f>Sheet1!$B$1</c:f>
              <c:strCache>
                <c:ptCount val="1"/>
                <c:pt idx="0">
                  <c:v>Առաջնային պակասուրդ</c:v>
                </c:pt>
              </c:strCache>
            </c:strRef>
          </c:tx>
          <c:spPr>
            <a:solidFill>
              <a:srgbClr val="4F81BD"/>
            </a:solidFill>
            <a:ln w="25384">
              <a:noFill/>
            </a:ln>
          </c:spPr>
          <c:invertIfNegative val="0"/>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Sheet1!$B$2:$B$9</c:f>
              <c:numCache>
                <c:formatCode>0.0</c:formatCode>
                <c:ptCount val="8"/>
                <c:pt idx="0">
                  <c:v>2.6021498588186631</c:v>
                </c:pt>
                <c:pt idx="1">
                  <c:v>-0.57258085880967613</c:v>
                </c:pt>
                <c:pt idx="2">
                  <c:v>-1.4284363292094469</c:v>
                </c:pt>
                <c:pt idx="3">
                  <c:v>2.7324762509823195</c:v>
                </c:pt>
                <c:pt idx="4">
                  <c:v>1.7332954092980757</c:v>
                </c:pt>
                <c:pt idx="5">
                  <c:v>-0.54140311644016104</c:v>
                </c:pt>
                <c:pt idx="6">
                  <c:v>-0.93621672901187736</c:v>
                </c:pt>
                <c:pt idx="7">
                  <c:v>-1.2682853141045076</c:v>
                </c:pt>
              </c:numCache>
            </c:numRef>
          </c:val>
          <c:extLst>
            <c:ext xmlns:c16="http://schemas.microsoft.com/office/drawing/2014/chart" uri="{C3380CC4-5D6E-409C-BE32-E72D297353CC}">
              <c16:uniqueId val="{00000000-1768-47F8-A3A2-6AFEB629CDB6}"/>
            </c:ext>
          </c:extLst>
        </c:ser>
        <c:ser>
          <c:idx val="1"/>
          <c:order val="1"/>
          <c:tx>
            <c:strRef>
              <c:f>Sheet1!$C$1</c:f>
              <c:strCache>
                <c:ptCount val="1"/>
                <c:pt idx="0">
                  <c:v>Իրական տոկոսադրույք</c:v>
                </c:pt>
              </c:strCache>
            </c:strRef>
          </c:tx>
          <c:spPr>
            <a:solidFill>
              <a:srgbClr val="C0504D"/>
            </a:solidFill>
            <a:ln w="25384">
              <a:noFill/>
            </a:ln>
          </c:spPr>
          <c:invertIfNegative val="0"/>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Sheet1!$C$2:$C$9</c:f>
              <c:numCache>
                <c:formatCode>0.0</c:formatCode>
                <c:ptCount val="8"/>
                <c:pt idx="0">
                  <c:v>1.0500310954191139</c:v>
                </c:pt>
                <c:pt idx="1">
                  <c:v>0.98012789078743601</c:v>
                </c:pt>
                <c:pt idx="2">
                  <c:v>1.6930478859443168</c:v>
                </c:pt>
                <c:pt idx="3">
                  <c:v>1.6692093790760498</c:v>
                </c:pt>
                <c:pt idx="4">
                  <c:v>4.7610178446769284E-2</c:v>
                </c:pt>
                <c:pt idx="5">
                  <c:v>0.24909726573666185</c:v>
                </c:pt>
                <c:pt idx="6">
                  <c:v>0.88062065300468828</c:v>
                </c:pt>
                <c:pt idx="7">
                  <c:v>0.87830916068971931</c:v>
                </c:pt>
              </c:numCache>
            </c:numRef>
          </c:val>
          <c:extLst>
            <c:ext xmlns:c16="http://schemas.microsoft.com/office/drawing/2014/chart" uri="{C3380CC4-5D6E-409C-BE32-E72D297353CC}">
              <c16:uniqueId val="{00000001-1768-47F8-A3A2-6AFEB629CDB6}"/>
            </c:ext>
          </c:extLst>
        </c:ser>
        <c:ser>
          <c:idx val="2"/>
          <c:order val="2"/>
          <c:tx>
            <c:strRef>
              <c:f>Sheet1!$D$1</c:f>
              <c:strCache>
                <c:ptCount val="1"/>
                <c:pt idx="0">
                  <c:v>Իրական ՀՆԱ աճ</c:v>
                </c:pt>
              </c:strCache>
            </c:strRef>
          </c:tx>
          <c:spPr>
            <a:solidFill>
              <a:srgbClr val="9BBB59"/>
            </a:solidFill>
            <a:ln w="25384">
              <a:noFill/>
            </a:ln>
          </c:spPr>
          <c:invertIfNegative val="0"/>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Sheet1!$D$2:$D$9</c:f>
              <c:numCache>
                <c:formatCode>0.0</c:formatCode>
                <c:ptCount val="8"/>
                <c:pt idx="0">
                  <c:v>-3.5603773930307177</c:v>
                </c:pt>
                <c:pt idx="1">
                  <c:v>-2.6039370723394306</c:v>
                </c:pt>
                <c:pt idx="2">
                  <c:v>-3.5727954124852048</c:v>
                </c:pt>
                <c:pt idx="3">
                  <c:v>3.927730789386175</c:v>
                </c:pt>
                <c:pt idx="4">
                  <c:v>-3.4219007133793893</c:v>
                </c:pt>
                <c:pt idx="5">
                  <c:v>-2.931952113948415</c:v>
                </c:pt>
                <c:pt idx="6">
                  <c:v>-2.101195983112885</c:v>
                </c:pt>
                <c:pt idx="7">
                  <c:v>-2.1690372128481501</c:v>
                </c:pt>
              </c:numCache>
            </c:numRef>
          </c:val>
          <c:extLst>
            <c:ext xmlns:c16="http://schemas.microsoft.com/office/drawing/2014/chart" uri="{C3380CC4-5D6E-409C-BE32-E72D297353CC}">
              <c16:uniqueId val="{00000002-1768-47F8-A3A2-6AFEB629CDB6}"/>
            </c:ext>
          </c:extLst>
        </c:ser>
        <c:ser>
          <c:idx val="3"/>
          <c:order val="3"/>
          <c:tx>
            <c:strRef>
              <c:f>Sheet1!$E$1</c:f>
              <c:strCache>
                <c:ptCount val="1"/>
                <c:pt idx="0">
                  <c:v>Փոխարժեքի արժեզրկում</c:v>
                </c:pt>
              </c:strCache>
            </c:strRef>
          </c:tx>
          <c:spPr>
            <a:solidFill>
              <a:srgbClr val="8064A2"/>
            </a:solidFill>
            <a:ln w="25384">
              <a:noFill/>
            </a:ln>
          </c:spPr>
          <c:invertIfNegative val="0"/>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Sheet1!$E$2:$E$9</c:f>
              <c:numCache>
                <c:formatCode>0.0</c:formatCode>
                <c:ptCount val="8"/>
                <c:pt idx="0">
                  <c:v>1.3024595224923403E-2</c:v>
                </c:pt>
                <c:pt idx="1">
                  <c:v>-3.0355942288865109E-2</c:v>
                </c:pt>
                <c:pt idx="2">
                  <c:v>-0.33045922768254016</c:v>
                </c:pt>
                <c:pt idx="3">
                  <c:v>3.869772584163178</c:v>
                </c:pt>
                <c:pt idx="4">
                  <c:v>-3.4496955575673782</c:v>
                </c:pt>
                <c:pt idx="5">
                  <c:v>2.6031905520482992</c:v>
                </c:pt>
                <c:pt idx="6">
                  <c:v>0.33241488739714731</c:v>
                </c:pt>
                <c:pt idx="7">
                  <c:v>0.30644443307585645</c:v>
                </c:pt>
              </c:numCache>
            </c:numRef>
          </c:val>
          <c:extLst>
            <c:ext xmlns:c16="http://schemas.microsoft.com/office/drawing/2014/chart" uri="{C3380CC4-5D6E-409C-BE32-E72D297353CC}">
              <c16:uniqueId val="{00000003-1768-47F8-A3A2-6AFEB629CDB6}"/>
            </c:ext>
          </c:extLst>
        </c:ser>
        <c:ser>
          <c:idx val="4"/>
          <c:order val="4"/>
          <c:tx>
            <c:strRef>
              <c:f>Sheet1!$F$1</c:f>
              <c:strCache>
                <c:ptCount val="1"/>
                <c:pt idx="0">
                  <c:v>Զուտ վարկավորում բյուջեից</c:v>
                </c:pt>
              </c:strCache>
            </c:strRef>
          </c:tx>
          <c:spPr>
            <a:solidFill>
              <a:srgbClr val="4BACC6"/>
            </a:solidFill>
            <a:ln w="25384">
              <a:noFill/>
            </a:ln>
          </c:spPr>
          <c:invertIfNegative val="0"/>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Sheet1!$F$2:$F$9</c:f>
              <c:numCache>
                <c:formatCode>0.0</c:formatCode>
                <c:ptCount val="8"/>
                <c:pt idx="0">
                  <c:v>0.81069110128810862</c:v>
                </c:pt>
                <c:pt idx="1">
                  <c:v>0.81037920761112525</c:v>
                </c:pt>
                <c:pt idx="2">
                  <c:v>1.0104016885491129</c:v>
                </c:pt>
                <c:pt idx="3">
                  <c:v>1.6545023656332283</c:v>
                </c:pt>
                <c:pt idx="4">
                  <c:v>2.6510887516030386</c:v>
                </c:pt>
                <c:pt idx="5">
                  <c:v>-0.15291653946650596</c:v>
                </c:pt>
                <c:pt idx="6">
                  <c:v>0.18867085140744966</c:v>
                </c:pt>
                <c:pt idx="7">
                  <c:v>0.63859707376456043</c:v>
                </c:pt>
              </c:numCache>
            </c:numRef>
          </c:val>
          <c:extLst>
            <c:ext xmlns:c16="http://schemas.microsoft.com/office/drawing/2014/chart" uri="{C3380CC4-5D6E-409C-BE32-E72D297353CC}">
              <c16:uniqueId val="{00000004-1768-47F8-A3A2-6AFEB629CDB6}"/>
            </c:ext>
          </c:extLst>
        </c:ser>
        <c:ser>
          <c:idx val="5"/>
          <c:order val="5"/>
          <c:tx>
            <c:strRef>
              <c:f>Sheet1!$G$1</c:f>
              <c:strCache>
                <c:ptCount val="1"/>
                <c:pt idx="0">
                  <c:v>Մնացորդ</c:v>
                </c:pt>
              </c:strCache>
            </c:strRef>
          </c:tx>
          <c:spPr>
            <a:solidFill>
              <a:srgbClr val="F79646"/>
            </a:solidFill>
            <a:ln w="25384">
              <a:noFill/>
            </a:ln>
          </c:spPr>
          <c:invertIfNegative val="0"/>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Sheet1!$G$2:$G$9</c:f>
              <c:numCache>
                <c:formatCode>0.0</c:formatCode>
                <c:ptCount val="8"/>
                <c:pt idx="0">
                  <c:v>0.81750019646647698</c:v>
                </c:pt>
                <c:pt idx="1">
                  <c:v>-0.90772701057372629</c:v>
                </c:pt>
                <c:pt idx="2">
                  <c:v>1.3324296052555091</c:v>
                </c:pt>
                <c:pt idx="3">
                  <c:v>-0.48467011139045901</c:v>
                </c:pt>
                <c:pt idx="4">
                  <c:v>1.2624140705032656</c:v>
                </c:pt>
                <c:pt idx="5">
                  <c:v>-1.0315012524812532</c:v>
                </c:pt>
                <c:pt idx="6">
                  <c:v>-0.17834347837104847</c:v>
                </c:pt>
                <c:pt idx="7">
                  <c:v>-0.26843175472101288</c:v>
                </c:pt>
              </c:numCache>
            </c:numRef>
          </c:val>
          <c:extLst>
            <c:ext xmlns:c16="http://schemas.microsoft.com/office/drawing/2014/chart" uri="{C3380CC4-5D6E-409C-BE32-E72D297353CC}">
              <c16:uniqueId val="{00000005-1768-47F8-A3A2-6AFEB629CDB6}"/>
            </c:ext>
          </c:extLst>
        </c:ser>
        <c:dLbls>
          <c:showLegendKey val="0"/>
          <c:showVal val="0"/>
          <c:showCatName val="0"/>
          <c:showSerName val="0"/>
          <c:showPercent val="0"/>
          <c:showBubbleSize val="0"/>
        </c:dLbls>
        <c:gapWidth val="81"/>
        <c:overlap val="100"/>
        <c:axId val="153985024"/>
        <c:axId val="153986944"/>
      </c:barChart>
      <c:lineChart>
        <c:grouping val="standard"/>
        <c:varyColors val="0"/>
        <c:ser>
          <c:idx val="6"/>
          <c:order val="6"/>
          <c:tx>
            <c:strRef>
              <c:f>Sheet1!$H$1</c:f>
              <c:strCache>
                <c:ptCount val="1"/>
                <c:pt idx="0">
                  <c:v>Պարտք/ՀՆԱ փոփոխություն, %-ային կետ </c:v>
                </c:pt>
              </c:strCache>
            </c:strRef>
          </c:tx>
          <c:spPr>
            <a:ln w="28557" cap="rnd">
              <a:solidFill>
                <a:schemeClr val="accent1">
                  <a:lumMod val="60000"/>
                </a:schemeClr>
              </a:solidFill>
              <a:round/>
            </a:ln>
            <a:effectLst/>
          </c:spPr>
          <c:marker>
            <c:symbol val="circle"/>
            <c:size val="4"/>
            <c:spPr>
              <a:solidFill>
                <a:schemeClr val="accent1">
                  <a:lumMod val="60000"/>
                </a:schemeClr>
              </a:solidFill>
              <a:ln w="9519">
                <a:solidFill>
                  <a:schemeClr val="accent1">
                    <a:lumMod val="60000"/>
                  </a:schemeClr>
                </a:solidFill>
              </a:ln>
              <a:effectLst/>
            </c:spPr>
          </c:marker>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Sheet1!$H$2:$H$9</c:f>
              <c:numCache>
                <c:formatCode>0.0</c:formatCode>
                <c:ptCount val="8"/>
                <c:pt idx="0">
                  <c:v>1.733019454186568</c:v>
                </c:pt>
                <c:pt idx="1">
                  <c:v>-2.3240937856131367</c:v>
                </c:pt>
                <c:pt idx="2">
                  <c:v>-1.2958117896282531</c:v>
                </c:pt>
                <c:pt idx="3">
                  <c:v>13.369021257850491</c:v>
                </c:pt>
                <c:pt idx="4">
                  <c:v>-1.1771878610956179</c:v>
                </c:pt>
                <c:pt idx="5">
                  <c:v>-1.8054852045513741</c:v>
                </c:pt>
                <c:pt idx="6">
                  <c:v>-1.8140497986865256</c:v>
                </c:pt>
                <c:pt idx="7">
                  <c:v>-1.8824036141435343</c:v>
                </c:pt>
              </c:numCache>
            </c:numRef>
          </c:val>
          <c:smooth val="0"/>
          <c:extLst>
            <c:ext xmlns:c16="http://schemas.microsoft.com/office/drawing/2014/chart" uri="{C3380CC4-5D6E-409C-BE32-E72D297353CC}">
              <c16:uniqueId val="{00000006-1768-47F8-A3A2-6AFEB629CDB6}"/>
            </c:ext>
          </c:extLst>
        </c:ser>
        <c:dLbls>
          <c:showLegendKey val="0"/>
          <c:showVal val="0"/>
          <c:showCatName val="0"/>
          <c:showSerName val="0"/>
          <c:showPercent val="0"/>
          <c:showBubbleSize val="0"/>
        </c:dLbls>
        <c:marker val="1"/>
        <c:smooth val="0"/>
        <c:axId val="153985024"/>
        <c:axId val="153986944"/>
      </c:lineChart>
      <c:catAx>
        <c:axId val="153985024"/>
        <c:scaling>
          <c:orientation val="minMax"/>
        </c:scaling>
        <c:delete val="0"/>
        <c:axPos val="b"/>
        <c:numFmt formatCode="General" sourceLinked="1"/>
        <c:majorTickMark val="none"/>
        <c:minorTickMark val="none"/>
        <c:tickLblPos val="nextTo"/>
        <c:spPr>
          <a:noFill/>
          <a:ln w="9519"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3986944"/>
        <c:crosses val="autoZero"/>
        <c:auto val="1"/>
        <c:lblAlgn val="ctr"/>
        <c:lblOffset val="100"/>
        <c:noMultiLvlLbl val="0"/>
      </c:catAx>
      <c:valAx>
        <c:axId val="153986944"/>
        <c:scaling>
          <c:orientation val="minMax"/>
        </c:scaling>
        <c:delete val="0"/>
        <c:axPos val="l"/>
        <c:majorGridlines>
          <c:spPr>
            <a:ln w="9519" cap="flat" cmpd="sng" algn="ctr">
              <a:solidFill>
                <a:schemeClr val="tx1">
                  <a:lumMod val="15000"/>
                  <a:lumOff val="85000"/>
                </a:schemeClr>
              </a:solidFill>
              <a:round/>
            </a:ln>
            <a:effectLst/>
          </c:spPr>
        </c:majorGridlines>
        <c:numFmt formatCode="0.0" sourceLinked="1"/>
        <c:majorTickMark val="none"/>
        <c:minorTickMark val="none"/>
        <c:tickLblPos val="nextTo"/>
        <c:spPr>
          <a:ln w="9519">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3985024"/>
        <c:crosses val="autoZero"/>
        <c:crossBetween val="between"/>
      </c:valAx>
      <c:spPr>
        <a:noFill/>
        <a:ln w="25384">
          <a:noFill/>
        </a:ln>
      </c:spPr>
    </c:plotArea>
    <c:legend>
      <c:legendPos val="r"/>
      <c:legendEntry>
        <c:idx val="1"/>
        <c:txPr>
          <a:bodyPr rot="0" spcFirstLastPara="1" vertOverflow="ellipsis" vert="horz" wrap="square" anchor="ctr" anchorCtr="1"/>
          <a:lstStyle/>
          <a:p>
            <a:pPr>
              <a:defRPr sz="78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ayout>
        <c:manualLayout>
          <c:xMode val="edge"/>
          <c:yMode val="edge"/>
          <c:x val="0.6235197988129122"/>
          <c:y val="0.13620647419072651"/>
          <c:w val="0.36942919665535395"/>
          <c:h val="0.86191216097987755"/>
        </c:manualLayout>
      </c:layout>
      <c:overlay val="0"/>
      <c:spPr>
        <a:noFill/>
        <a:ln w="25384">
          <a:noFill/>
        </a:ln>
      </c:spPr>
      <c:txPr>
        <a:bodyPr rot="0" spcFirstLastPara="1" vertOverflow="ellipsis" vert="horz" wrap="square" anchor="ctr" anchorCtr="1"/>
        <a:lstStyle/>
        <a:p>
          <a:pPr>
            <a:defRPr sz="78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9"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userShapes r:id="rId3"/>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Պետական բյուջեի պակասուրդ/ՀՆԱ,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2009</c:v>
                </c:pt>
                <c:pt idx="1">
                  <c:v>2010</c:v>
                </c:pt>
                <c:pt idx="3">
                  <c:v>2016</c:v>
                </c:pt>
                <c:pt idx="4">
                  <c:v>2017</c:v>
                </c:pt>
                <c:pt idx="6">
                  <c:v>2020</c:v>
                </c:pt>
                <c:pt idx="7">
                  <c:v>2021</c:v>
                </c:pt>
              </c:numCache>
            </c:numRef>
          </c:cat>
          <c:val>
            <c:numRef>
              <c:f>Sheet1!$B$2:$B$9</c:f>
              <c:numCache>
                <c:formatCode>General</c:formatCode>
                <c:ptCount val="8"/>
                <c:pt idx="0">
                  <c:v>7.1</c:v>
                </c:pt>
                <c:pt idx="1">
                  <c:v>4.7</c:v>
                </c:pt>
                <c:pt idx="3">
                  <c:v>5.5</c:v>
                </c:pt>
                <c:pt idx="4">
                  <c:v>4.8</c:v>
                </c:pt>
                <c:pt idx="6">
                  <c:v>5.4</c:v>
                </c:pt>
                <c:pt idx="7">
                  <c:v>4.9000000000000004</c:v>
                </c:pt>
              </c:numCache>
            </c:numRef>
          </c:val>
          <c:extLst>
            <c:ext xmlns:c16="http://schemas.microsoft.com/office/drawing/2014/chart" uri="{C3380CC4-5D6E-409C-BE32-E72D297353CC}">
              <c16:uniqueId val="{00000000-9089-4EF3-8BF9-7122EEDDC3B9}"/>
            </c:ext>
          </c:extLst>
        </c:ser>
        <c:dLbls>
          <c:showLegendKey val="0"/>
          <c:showVal val="0"/>
          <c:showCatName val="0"/>
          <c:showSerName val="0"/>
          <c:showPercent val="0"/>
          <c:showBubbleSize val="0"/>
        </c:dLbls>
        <c:gapWidth val="219"/>
        <c:overlap val="-27"/>
        <c:axId val="154042368"/>
        <c:axId val="154043904"/>
      </c:barChart>
      <c:catAx>
        <c:axId val="154042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043904"/>
        <c:crosses val="autoZero"/>
        <c:auto val="1"/>
        <c:lblAlgn val="ctr"/>
        <c:lblOffset val="100"/>
        <c:noMultiLvlLbl val="0"/>
      </c:catAx>
      <c:valAx>
        <c:axId val="154043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042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Կառավարության պարտք/ՀՆԱ աճ, %-ային կետ</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2009</c:v>
                </c:pt>
                <c:pt idx="1">
                  <c:v>2010</c:v>
                </c:pt>
                <c:pt idx="3">
                  <c:v>2016</c:v>
                </c:pt>
                <c:pt idx="4">
                  <c:v>2017</c:v>
                </c:pt>
                <c:pt idx="6">
                  <c:v>2020</c:v>
                </c:pt>
                <c:pt idx="7">
                  <c:v>2021</c:v>
                </c:pt>
              </c:numCache>
            </c:numRef>
          </c:cat>
          <c:val>
            <c:numRef>
              <c:f>Sheet1!$B$2:$B$9</c:f>
              <c:numCache>
                <c:formatCode>General</c:formatCode>
                <c:ptCount val="8"/>
                <c:pt idx="0">
                  <c:v>18.5</c:v>
                </c:pt>
                <c:pt idx="1">
                  <c:v>-0.5</c:v>
                </c:pt>
                <c:pt idx="3">
                  <c:v>7.8</c:v>
                </c:pt>
                <c:pt idx="4">
                  <c:v>1.8</c:v>
                </c:pt>
                <c:pt idx="6">
                  <c:v>13.4</c:v>
                </c:pt>
                <c:pt idx="7">
                  <c:v>-1.2</c:v>
                </c:pt>
              </c:numCache>
            </c:numRef>
          </c:val>
          <c:extLst>
            <c:ext xmlns:c16="http://schemas.microsoft.com/office/drawing/2014/chart" uri="{C3380CC4-5D6E-409C-BE32-E72D297353CC}">
              <c16:uniqueId val="{00000000-B127-431B-B26B-6EE5E0ED4A70}"/>
            </c:ext>
          </c:extLst>
        </c:ser>
        <c:dLbls>
          <c:showLegendKey val="0"/>
          <c:showVal val="0"/>
          <c:showCatName val="0"/>
          <c:showSerName val="0"/>
          <c:showPercent val="0"/>
          <c:showBubbleSize val="0"/>
        </c:dLbls>
        <c:gapWidth val="219"/>
        <c:overlap val="-27"/>
        <c:axId val="153590400"/>
        <c:axId val="153592192"/>
      </c:barChart>
      <c:catAx>
        <c:axId val="1535904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592192"/>
        <c:crosses val="autoZero"/>
        <c:auto val="1"/>
        <c:lblAlgn val="ctr"/>
        <c:lblOffset val="100"/>
        <c:noMultiLvlLbl val="0"/>
      </c:catAx>
      <c:valAx>
        <c:axId val="153592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590400"/>
        <c:crosses val="autoZero"/>
        <c:crossBetween val="between"/>
      </c:valAx>
      <c:spPr>
        <a:noFill/>
        <a:ln>
          <a:noFill/>
        </a:ln>
        <a:effectLst/>
      </c:spPr>
    </c:plotArea>
    <c:legend>
      <c:legendPos val="b"/>
      <c:layout>
        <c:manualLayout>
          <c:xMode val="edge"/>
          <c:yMode val="edge"/>
          <c:x val="2.3958333333333328E-2"/>
          <c:y val="0.8660704911886028"/>
          <c:w val="0.92604166666666665"/>
          <c:h val="0.110119985001874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565943662246684"/>
          <c:y val="4.5670378909818593E-2"/>
          <c:w val="0.65555815746080204"/>
          <c:h val="0.79160558141558268"/>
        </c:manualLayout>
      </c:layout>
      <c:barChart>
        <c:barDir val="bar"/>
        <c:grouping val="stacked"/>
        <c:varyColors val="0"/>
        <c:ser>
          <c:idx val="0"/>
          <c:order val="0"/>
          <c:tx>
            <c:strRef>
              <c:f>Sheet1!$B$1</c:f>
              <c:strCache>
                <c:ptCount val="1"/>
                <c:pt idx="0">
                  <c:v>Ծախսեր և հարկեր</c:v>
                </c:pt>
              </c:strCache>
            </c:strRef>
          </c:tx>
          <c:spPr>
            <a:solidFill>
              <a:schemeClr val="accent1"/>
            </a:solidFill>
            <a:ln>
              <a:noFill/>
            </a:ln>
            <a:effectLst/>
          </c:spPr>
          <c:invertIfNegative val="0"/>
          <c:cat>
            <c:strRef>
              <c:f>Sheet1!$A$2:$A$27</c:f>
              <c:strCache>
                <c:ptCount val="26"/>
                <c:pt idx="0">
                  <c:v>Ցածր եկամտային</c:v>
                </c:pt>
                <c:pt idx="1">
                  <c:v>Զարգացող</c:v>
                </c:pt>
                <c:pt idx="2">
                  <c:v>Զարգացած երկրներ</c:v>
                </c:pt>
                <c:pt idx="4">
                  <c:v>Մեքսիկա</c:v>
                </c:pt>
                <c:pt idx="5">
                  <c:v>Սաուդյան Արաբիա</c:v>
                </c:pt>
                <c:pt idx="6">
                  <c:v>Ալբանիա</c:v>
                </c:pt>
                <c:pt idx="7">
                  <c:v>Հայաստան</c:v>
                </c:pt>
                <c:pt idx="8">
                  <c:v>Ռուսաստան</c:v>
                </c:pt>
                <c:pt idx="9">
                  <c:v>Ինդոնեզիա</c:v>
                </c:pt>
                <c:pt idx="10">
                  <c:v>Ղազախստան</c:v>
                </c:pt>
                <c:pt idx="11">
                  <c:v>Արգենտինա</c:v>
                </c:pt>
                <c:pt idx="12">
                  <c:v>Չինաստան</c:v>
                </c:pt>
                <c:pt idx="13">
                  <c:v>Վրաստան</c:v>
                </c:pt>
                <c:pt idx="14">
                  <c:v>Ռումինիա</c:v>
                </c:pt>
                <c:pt idx="15">
                  <c:v>Հնդկաստան</c:v>
                </c:pt>
                <c:pt idx="16">
                  <c:v>ՀԱՀ</c:v>
                </c:pt>
                <c:pt idx="17">
                  <c:v>Թուրքիա</c:v>
                </c:pt>
                <c:pt idx="18">
                  <c:v>Բրազիլիա</c:v>
                </c:pt>
                <c:pt idx="19">
                  <c:v>Ավստրալիա</c:v>
                </c:pt>
                <c:pt idx="20">
                  <c:v>Ֆրանսիա</c:v>
                </c:pt>
                <c:pt idx="21">
                  <c:v>ԱՄՆ</c:v>
                </c:pt>
                <c:pt idx="22">
                  <c:v>Մեծ Բրիտանիա</c:v>
                </c:pt>
                <c:pt idx="23">
                  <c:v>Գերմանիա</c:v>
                </c:pt>
                <c:pt idx="24">
                  <c:v>Իտալիա</c:v>
                </c:pt>
                <c:pt idx="25">
                  <c:v>Ճապոնիա</c:v>
                </c:pt>
              </c:strCache>
            </c:strRef>
          </c:cat>
          <c:val>
            <c:numRef>
              <c:f>Sheet1!$B$2:$B$27</c:f>
              <c:numCache>
                <c:formatCode>0.0</c:formatCode>
                <c:ptCount val="26"/>
                <c:pt idx="0">
                  <c:v>1.6848881781621212</c:v>
                </c:pt>
                <c:pt idx="1">
                  <c:v>4.1792554673011351</c:v>
                </c:pt>
                <c:pt idx="2">
                  <c:v>16.41697877526321</c:v>
                </c:pt>
                <c:pt idx="4">
                  <c:v>0.68126555483297013</c:v>
                </c:pt>
                <c:pt idx="5">
                  <c:v>2.1908414259088271</c:v>
                </c:pt>
                <c:pt idx="6">
                  <c:v>2</c:v>
                </c:pt>
                <c:pt idx="7">
                  <c:v>2.6810507487044126</c:v>
                </c:pt>
                <c:pt idx="8">
                  <c:v>2.9094770375926076</c:v>
                </c:pt>
                <c:pt idx="9">
                  <c:v>4.5</c:v>
                </c:pt>
                <c:pt idx="10">
                  <c:v>2.410373216215953</c:v>
                </c:pt>
                <c:pt idx="11">
                  <c:v>3.9</c:v>
                </c:pt>
                <c:pt idx="12">
                  <c:v>4.8</c:v>
                </c:pt>
                <c:pt idx="13">
                  <c:v>6.1</c:v>
                </c:pt>
                <c:pt idx="14">
                  <c:v>2.2000000000000002</c:v>
                </c:pt>
                <c:pt idx="15">
                  <c:v>3.3</c:v>
                </c:pt>
                <c:pt idx="16">
                  <c:v>5.9</c:v>
                </c:pt>
                <c:pt idx="17">
                  <c:v>1.9</c:v>
                </c:pt>
                <c:pt idx="18">
                  <c:v>8.8000000000000007</c:v>
                </c:pt>
                <c:pt idx="19">
                  <c:v>16.100000000000001</c:v>
                </c:pt>
                <c:pt idx="20">
                  <c:v>7.6</c:v>
                </c:pt>
                <c:pt idx="21">
                  <c:v>25.5</c:v>
                </c:pt>
                <c:pt idx="22">
                  <c:v>16.2</c:v>
                </c:pt>
                <c:pt idx="23">
                  <c:v>11.03370544006278</c:v>
                </c:pt>
                <c:pt idx="24">
                  <c:v>8.5</c:v>
                </c:pt>
                <c:pt idx="25">
                  <c:v>15.9</c:v>
                </c:pt>
              </c:numCache>
            </c:numRef>
          </c:val>
          <c:extLst>
            <c:ext xmlns:c16="http://schemas.microsoft.com/office/drawing/2014/chart" uri="{C3380CC4-5D6E-409C-BE32-E72D297353CC}">
              <c16:uniqueId val="{00000000-8F0A-4F08-9754-DA0484E6C479}"/>
            </c:ext>
          </c:extLst>
        </c:ser>
        <c:ser>
          <c:idx val="1"/>
          <c:order val="1"/>
          <c:tx>
            <c:strRef>
              <c:f>Sheet1!$C$1</c:f>
              <c:strCache>
                <c:ptCount val="1"/>
                <c:pt idx="0">
                  <c:v>Պակասուրդի գործառնություններ և երաշխիքներ</c:v>
                </c:pt>
              </c:strCache>
            </c:strRef>
          </c:tx>
          <c:spPr>
            <a:solidFill>
              <a:schemeClr val="accent2"/>
            </a:solidFill>
            <a:ln>
              <a:noFill/>
            </a:ln>
            <a:effectLst/>
          </c:spPr>
          <c:invertIfNegative val="0"/>
          <c:cat>
            <c:strRef>
              <c:f>Sheet1!$A$2:$A$27</c:f>
              <c:strCache>
                <c:ptCount val="26"/>
                <c:pt idx="0">
                  <c:v>Ցածր եկամտային</c:v>
                </c:pt>
                <c:pt idx="1">
                  <c:v>Զարգացող</c:v>
                </c:pt>
                <c:pt idx="2">
                  <c:v>Զարգացած երկրներ</c:v>
                </c:pt>
                <c:pt idx="4">
                  <c:v>Մեքսիկա</c:v>
                </c:pt>
                <c:pt idx="5">
                  <c:v>Սաուդյան Արաբիա</c:v>
                </c:pt>
                <c:pt idx="6">
                  <c:v>Ալբանիա</c:v>
                </c:pt>
                <c:pt idx="7">
                  <c:v>Հայաստան</c:v>
                </c:pt>
                <c:pt idx="8">
                  <c:v>Ռուսաստան</c:v>
                </c:pt>
                <c:pt idx="9">
                  <c:v>Ինդոնեզիա</c:v>
                </c:pt>
                <c:pt idx="10">
                  <c:v>Ղազախստան</c:v>
                </c:pt>
                <c:pt idx="11">
                  <c:v>Արգենտինա</c:v>
                </c:pt>
                <c:pt idx="12">
                  <c:v>Չինաստան</c:v>
                </c:pt>
                <c:pt idx="13">
                  <c:v>Վրաստան</c:v>
                </c:pt>
                <c:pt idx="14">
                  <c:v>Ռումինիա</c:v>
                </c:pt>
                <c:pt idx="15">
                  <c:v>Հնդկաստան</c:v>
                </c:pt>
                <c:pt idx="16">
                  <c:v>ՀԱՀ</c:v>
                </c:pt>
                <c:pt idx="17">
                  <c:v>Թուրքիա</c:v>
                </c:pt>
                <c:pt idx="18">
                  <c:v>Բրազիլիա</c:v>
                </c:pt>
                <c:pt idx="19">
                  <c:v>Ավստրալիա</c:v>
                </c:pt>
                <c:pt idx="20">
                  <c:v>Ֆրանսիա</c:v>
                </c:pt>
                <c:pt idx="21">
                  <c:v>ԱՄՆ</c:v>
                </c:pt>
                <c:pt idx="22">
                  <c:v>Մեծ Բրիտանիա</c:v>
                </c:pt>
                <c:pt idx="23">
                  <c:v>Գերմանիա</c:v>
                </c:pt>
                <c:pt idx="24">
                  <c:v>Իտալիա</c:v>
                </c:pt>
                <c:pt idx="25">
                  <c:v>Ճապոնիա</c:v>
                </c:pt>
              </c:strCache>
            </c:strRef>
          </c:cat>
          <c:val>
            <c:numRef>
              <c:f>Sheet1!$C$2:$C$27</c:f>
              <c:numCache>
                <c:formatCode>0.0</c:formatCode>
                <c:ptCount val="26"/>
                <c:pt idx="0">
                  <c:v>0.19264109669921492</c:v>
                </c:pt>
                <c:pt idx="1">
                  <c:v>2.5330741185270416</c:v>
                </c:pt>
                <c:pt idx="2">
                  <c:v>11.340809852312404</c:v>
                </c:pt>
                <c:pt idx="4">
                  <c:v>1.2</c:v>
                </c:pt>
                <c:pt idx="5">
                  <c:v>0.83677971128462125</c:v>
                </c:pt>
                <c:pt idx="6">
                  <c:v>1.6</c:v>
                </c:pt>
                <c:pt idx="7">
                  <c:v>1.2937150144085079</c:v>
                </c:pt>
                <c:pt idx="8">
                  <c:v>1.5136621905403773</c:v>
                </c:pt>
                <c:pt idx="9">
                  <c:v>0.85337437862250176</c:v>
                </c:pt>
                <c:pt idx="10">
                  <c:v>3.090222072071735</c:v>
                </c:pt>
                <c:pt idx="11">
                  <c:v>2</c:v>
                </c:pt>
                <c:pt idx="12">
                  <c:v>1.284110209053015</c:v>
                </c:pt>
                <c:pt idx="13">
                  <c:v>0</c:v>
                </c:pt>
                <c:pt idx="14">
                  <c:v>4.4000000000000004</c:v>
                </c:pt>
                <c:pt idx="15">
                  <c:v>5.0912199606783499</c:v>
                </c:pt>
                <c:pt idx="16">
                  <c:v>4.0999999999999996</c:v>
                </c:pt>
                <c:pt idx="17">
                  <c:v>9.4</c:v>
                </c:pt>
                <c:pt idx="18">
                  <c:v>6.1933826713210527</c:v>
                </c:pt>
                <c:pt idx="19">
                  <c:v>1.7895854315742734</c:v>
                </c:pt>
                <c:pt idx="20">
                  <c:v>15.6</c:v>
                </c:pt>
                <c:pt idx="21">
                  <c:v>2.4</c:v>
                </c:pt>
                <c:pt idx="22">
                  <c:v>16.116219094238705</c:v>
                </c:pt>
                <c:pt idx="23">
                  <c:v>27.848832013978619</c:v>
                </c:pt>
                <c:pt idx="24">
                  <c:v>35.299999999999997</c:v>
                </c:pt>
                <c:pt idx="25">
                  <c:v>28.3</c:v>
                </c:pt>
              </c:numCache>
            </c:numRef>
          </c:val>
          <c:extLst>
            <c:ext xmlns:c16="http://schemas.microsoft.com/office/drawing/2014/chart" uri="{C3380CC4-5D6E-409C-BE32-E72D297353CC}">
              <c16:uniqueId val="{00000001-8F0A-4F08-9754-DA0484E6C479}"/>
            </c:ext>
          </c:extLst>
        </c:ser>
        <c:dLbls>
          <c:showLegendKey val="0"/>
          <c:showVal val="0"/>
          <c:showCatName val="0"/>
          <c:showSerName val="0"/>
          <c:showPercent val="0"/>
          <c:showBubbleSize val="0"/>
        </c:dLbls>
        <c:gapWidth val="54"/>
        <c:overlap val="100"/>
        <c:axId val="153635072"/>
        <c:axId val="153640960"/>
      </c:barChart>
      <c:catAx>
        <c:axId val="1536350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53640960"/>
        <c:crosses val="autoZero"/>
        <c:auto val="1"/>
        <c:lblAlgn val="ctr"/>
        <c:lblOffset val="100"/>
        <c:noMultiLvlLbl val="0"/>
      </c:catAx>
      <c:valAx>
        <c:axId val="153640960"/>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635072"/>
        <c:crosses val="autoZero"/>
        <c:crossBetween val="between"/>
        <c:majorUnit val="5"/>
      </c:valAx>
      <c:spPr>
        <a:noFill/>
        <a:ln>
          <a:noFill/>
        </a:ln>
        <a:effectLst/>
      </c:spPr>
    </c:plotArea>
    <c:legend>
      <c:legendPos val="b"/>
      <c:layout>
        <c:manualLayout>
          <c:xMode val="edge"/>
          <c:yMode val="edge"/>
          <c:x val="5.6738003903358356E-2"/>
          <c:y val="0.86061367329083993"/>
          <c:w val="0.6685766277356594"/>
          <c:h val="0.127977127859017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62904752121121"/>
          <c:y val="4.3931262569693146E-2"/>
          <c:w val="0.75180333178147163"/>
          <c:h val="0.71448108460126658"/>
        </c:manualLayout>
      </c:layout>
      <c:barChart>
        <c:barDir val="col"/>
        <c:grouping val="clustered"/>
        <c:varyColors val="0"/>
        <c:ser>
          <c:idx val="0"/>
          <c:order val="0"/>
          <c:tx>
            <c:strRef>
              <c:f>Sheet1!$A$2</c:f>
              <c:strCache>
                <c:ptCount val="1"/>
                <c:pt idx="0">
                  <c:v> Հարկային եկամուտներ, մլրդ դրամ</c:v>
                </c:pt>
              </c:strCache>
            </c:strRef>
          </c:tx>
          <c:spPr>
            <a:ln w="25294" cap="rnd" cmpd="dbl">
              <a:noFill/>
              <a:miter lim="800000"/>
            </a:ln>
          </c:spPr>
          <c:invertIfNegative val="0"/>
          <c:dLbls>
            <c:dLbl>
              <c:idx val="3"/>
              <c:tx>
                <c:rich>
                  <a:bodyPr/>
                  <a:lstStyle/>
                  <a:p>
                    <a:r>
                      <a:rPr lang="en-US"/>
                      <a:t>1,540.5</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D0F-4F6D-B587-5B5E4E72DCD9}"/>
                </c:ext>
              </c:extLst>
            </c:dLbl>
            <c:spPr>
              <a:noFill/>
              <a:ln w="25403">
                <a:noFill/>
              </a:ln>
              <a:effectLst/>
            </c:spPr>
            <c:txPr>
              <a:bodyPr rot="0" spcFirstLastPara="0" vertOverflow="ellipsis" vert="horz" wrap="square" lIns="38100" tIns="19050" rIns="38100" bIns="19050" anchor="ctr" anchorCtr="1"/>
              <a:lstStyle/>
              <a:p>
                <a:pPr>
                  <a:defRPr lang="en-US"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2018 փաստ</c:v>
                </c:pt>
                <c:pt idx="1">
                  <c:v>2019 փաստ</c:v>
                </c:pt>
                <c:pt idx="2">
                  <c:v>2020 փաստ</c:v>
                </c:pt>
                <c:pt idx="3">
                  <c:v>2021 սպասում</c:v>
                </c:pt>
                <c:pt idx="4">
                  <c:v>2022
</c:v>
                </c:pt>
                <c:pt idx="5">
                  <c:v>2023
</c:v>
                </c:pt>
                <c:pt idx="6">
                  <c:v>2024
</c:v>
                </c:pt>
              </c:strCache>
            </c:strRef>
          </c:cat>
          <c:val>
            <c:numRef>
              <c:f>Sheet1!$B$2:$H$2</c:f>
              <c:numCache>
                <c:formatCode>#\,##0.0</c:formatCode>
                <c:ptCount val="7"/>
                <c:pt idx="0">
                  <c:v>1258.1211783709998</c:v>
                </c:pt>
                <c:pt idx="1">
                  <c:v>1464.3157574490012</c:v>
                </c:pt>
                <c:pt idx="2">
                  <c:v>1385.205429091</c:v>
                </c:pt>
                <c:pt idx="3">
                  <c:v>1540.5</c:v>
                </c:pt>
                <c:pt idx="4">
                  <c:v>1733.5</c:v>
                </c:pt>
                <c:pt idx="5">
                  <c:v>1889.9</c:v>
                </c:pt>
                <c:pt idx="6">
                  <c:v>2084</c:v>
                </c:pt>
              </c:numCache>
            </c:numRef>
          </c:val>
          <c:extLst>
            <c:ext xmlns:c16="http://schemas.microsoft.com/office/drawing/2014/chart" uri="{C3380CC4-5D6E-409C-BE32-E72D297353CC}">
              <c16:uniqueId val="{00000001-ED0F-4F6D-B587-5B5E4E72DCD9}"/>
            </c:ext>
          </c:extLst>
        </c:ser>
        <c:dLbls>
          <c:showLegendKey val="0"/>
          <c:showVal val="0"/>
          <c:showCatName val="0"/>
          <c:showSerName val="0"/>
          <c:showPercent val="0"/>
          <c:showBubbleSize val="0"/>
        </c:dLbls>
        <c:gapWidth val="308"/>
        <c:overlap val="17"/>
        <c:axId val="153734144"/>
        <c:axId val="153744128"/>
      </c:barChart>
      <c:lineChart>
        <c:grouping val="standard"/>
        <c:varyColors val="0"/>
        <c:ser>
          <c:idx val="1"/>
          <c:order val="1"/>
          <c:tx>
            <c:strRef>
              <c:f>Sheet1!$A$3</c:f>
              <c:strCache>
                <c:ptCount val="1"/>
                <c:pt idx="0">
                  <c:v> հարաբերությունը ՀՆԱ-ի նկատմամբ (%-ով) աջ առանցք</c:v>
                </c:pt>
              </c:strCache>
            </c:strRef>
          </c:tx>
          <c:marker>
            <c:symbol val="none"/>
          </c:marker>
          <c:cat>
            <c:strRef>
              <c:f>Sheet1!$B$1:$H$1</c:f>
              <c:strCache>
                <c:ptCount val="7"/>
                <c:pt idx="0">
                  <c:v>2018 փաստ</c:v>
                </c:pt>
                <c:pt idx="1">
                  <c:v>2019 փաստ</c:v>
                </c:pt>
                <c:pt idx="2">
                  <c:v>2020 փաստ</c:v>
                </c:pt>
                <c:pt idx="3">
                  <c:v>2021 սպասում</c:v>
                </c:pt>
                <c:pt idx="4">
                  <c:v>2022
</c:v>
                </c:pt>
                <c:pt idx="5">
                  <c:v>2023
</c:v>
                </c:pt>
                <c:pt idx="6">
                  <c:v>2024
</c:v>
                </c:pt>
              </c:strCache>
            </c:strRef>
          </c:cat>
          <c:val>
            <c:numRef>
              <c:f>Sheet1!$B$3:$H$3</c:f>
              <c:numCache>
                <c:formatCode>0.0%</c:formatCode>
                <c:ptCount val="7"/>
                <c:pt idx="0">
                  <c:v>0.20909320563240222</c:v>
                </c:pt>
                <c:pt idx="1">
                  <c:v>0.22291199448311311</c:v>
                </c:pt>
                <c:pt idx="2">
                  <c:v>0.22400763270690099</c:v>
                </c:pt>
                <c:pt idx="3">
                  <c:v>0.224</c:v>
                </c:pt>
                <c:pt idx="4">
                  <c:v>0.22900000000000001</c:v>
                </c:pt>
                <c:pt idx="5">
                  <c:v>0.23100000000000001</c:v>
                </c:pt>
                <c:pt idx="6">
                  <c:v>0.23600000000000004</c:v>
                </c:pt>
              </c:numCache>
            </c:numRef>
          </c:val>
          <c:smooth val="0"/>
          <c:extLst>
            <c:ext xmlns:c16="http://schemas.microsoft.com/office/drawing/2014/chart" uri="{C3380CC4-5D6E-409C-BE32-E72D297353CC}">
              <c16:uniqueId val="{00000002-ED0F-4F6D-B587-5B5E4E72DCD9}"/>
            </c:ext>
          </c:extLst>
        </c:ser>
        <c:dLbls>
          <c:showLegendKey val="0"/>
          <c:showVal val="0"/>
          <c:showCatName val="0"/>
          <c:showSerName val="0"/>
          <c:showPercent val="0"/>
          <c:showBubbleSize val="0"/>
        </c:dLbls>
        <c:marker val="1"/>
        <c:smooth val="0"/>
        <c:axId val="153745664"/>
        <c:axId val="152055808"/>
      </c:lineChart>
      <c:catAx>
        <c:axId val="153734144"/>
        <c:scaling>
          <c:orientation val="minMax"/>
        </c:scaling>
        <c:delete val="0"/>
        <c:axPos val="b"/>
        <c:numFmt formatCode="General" sourceLinked="1"/>
        <c:majorTickMark val="out"/>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153744128"/>
        <c:crosses val="autoZero"/>
        <c:auto val="1"/>
        <c:lblAlgn val="ctr"/>
        <c:lblOffset val="100"/>
        <c:noMultiLvlLbl val="0"/>
      </c:catAx>
      <c:valAx>
        <c:axId val="153744128"/>
        <c:scaling>
          <c:orientation val="minMax"/>
        </c:scaling>
        <c:delete val="0"/>
        <c:axPos val="l"/>
        <c:majorGridlines/>
        <c:numFmt formatCode="#\,##0.0" sourceLinked="1"/>
        <c:majorTickMark val="out"/>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153734144"/>
        <c:crosses val="autoZero"/>
        <c:crossBetween val="between"/>
        <c:majorUnit val="500"/>
      </c:valAx>
      <c:catAx>
        <c:axId val="153745664"/>
        <c:scaling>
          <c:orientation val="minMax"/>
        </c:scaling>
        <c:delete val="1"/>
        <c:axPos val="b"/>
        <c:numFmt formatCode="General" sourceLinked="1"/>
        <c:majorTickMark val="out"/>
        <c:minorTickMark val="none"/>
        <c:tickLblPos val="none"/>
        <c:crossAx val="152055808"/>
        <c:crosses val="autoZero"/>
        <c:auto val="1"/>
        <c:lblAlgn val="ctr"/>
        <c:lblOffset val="100"/>
        <c:noMultiLvlLbl val="0"/>
      </c:catAx>
      <c:valAx>
        <c:axId val="152055808"/>
        <c:scaling>
          <c:orientation val="minMax"/>
          <c:max val="0.25"/>
          <c:min val="0.2"/>
        </c:scaling>
        <c:delete val="0"/>
        <c:axPos val="r"/>
        <c:numFmt formatCode="0.0%" sourceLinked="1"/>
        <c:majorTickMark val="out"/>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153745664"/>
        <c:crosses val="max"/>
        <c:crossBetween val="between"/>
        <c:majorUnit val="1.0000000000000005E-2"/>
      </c:valAx>
    </c:plotArea>
    <c:legend>
      <c:legendPos val="r"/>
      <c:layout>
        <c:manualLayout>
          <c:xMode val="edge"/>
          <c:yMode val="edge"/>
          <c:x val="0.13291130687871899"/>
          <c:y val="0.88008722212961199"/>
          <c:w val="0.73575963895602292"/>
          <c:h val="9.0283484178425383E-2"/>
        </c:manualLayout>
      </c:layout>
      <c:overlay val="0"/>
      <c:txPr>
        <a:bodyPr rot="0" spcFirstLastPara="0"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legend>
    <c:plotVisOnly val="1"/>
    <c:dispBlanksAs val="gap"/>
    <c:showDLblsOverMax val="0"/>
  </c:chart>
  <c:txPr>
    <a:bodyPr/>
    <a:lstStyle/>
    <a:p>
      <a:pPr>
        <a:defRPr lang="en-US"/>
      </a:pPr>
      <a:endParaRPr lang="en-US"/>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Sheet1!$A$2</c:f>
              <c:strCache>
                <c:ptCount val="1"/>
                <c:pt idx="0">
                  <c:v>ՄԺԾԾ 2021-2023թթ. հաստատված*</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2022</c:v>
                </c:pt>
                <c:pt idx="1">
                  <c:v>2023</c:v>
                </c:pt>
                <c:pt idx="2">
                  <c:v>2024</c:v>
                </c:pt>
              </c:strCache>
            </c:strRef>
          </c:cat>
          <c:val>
            <c:numRef>
              <c:f>Sheet1!$B$2:$D$2</c:f>
              <c:numCache>
                <c:formatCode>0.0</c:formatCode>
                <c:ptCount val="3"/>
                <c:pt idx="0">
                  <c:v>1879</c:v>
                </c:pt>
                <c:pt idx="1">
                  <c:v>2026.1</c:v>
                </c:pt>
              </c:numCache>
            </c:numRef>
          </c:val>
          <c:extLst>
            <c:ext xmlns:c16="http://schemas.microsoft.com/office/drawing/2014/chart" uri="{C3380CC4-5D6E-409C-BE32-E72D297353CC}">
              <c16:uniqueId val="{00000000-0EC6-4887-A451-F497EE075252}"/>
            </c:ext>
          </c:extLst>
        </c:ser>
        <c:ser>
          <c:idx val="1"/>
          <c:order val="1"/>
          <c:tx>
            <c:strRef>
              <c:f>Sheet1!$A$3</c:f>
              <c:strCache>
                <c:ptCount val="1"/>
                <c:pt idx="0">
                  <c:v>2022-2024թթ. ՄԺԾԾ նախագիծ</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2022</c:v>
                </c:pt>
                <c:pt idx="1">
                  <c:v>2023</c:v>
                </c:pt>
                <c:pt idx="2">
                  <c:v>2024</c:v>
                </c:pt>
              </c:strCache>
            </c:strRef>
          </c:cat>
          <c:val>
            <c:numRef>
              <c:f>Sheet1!$B$3:$D$3</c:f>
              <c:numCache>
                <c:formatCode>0.0</c:formatCode>
                <c:ptCount val="3"/>
                <c:pt idx="0">
                  <c:v>2000.9</c:v>
                </c:pt>
                <c:pt idx="1">
                  <c:v>2135.4</c:v>
                </c:pt>
                <c:pt idx="2">
                  <c:v>2312</c:v>
                </c:pt>
              </c:numCache>
            </c:numRef>
          </c:val>
          <c:extLst>
            <c:ext xmlns:c16="http://schemas.microsoft.com/office/drawing/2014/chart" uri="{C3380CC4-5D6E-409C-BE32-E72D297353CC}">
              <c16:uniqueId val="{00000001-0EC6-4887-A451-F497EE075252}"/>
            </c:ext>
          </c:extLst>
        </c:ser>
        <c:ser>
          <c:idx val="2"/>
          <c:order val="2"/>
          <c:tx>
            <c:strRef>
              <c:f>Sheet1!$A$4</c:f>
              <c:strCache>
                <c:ptCount val="1"/>
                <c:pt idx="0">
                  <c:v>տարբերություն</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2022</c:v>
                </c:pt>
                <c:pt idx="1">
                  <c:v>2023</c:v>
                </c:pt>
                <c:pt idx="2">
                  <c:v>2024</c:v>
                </c:pt>
              </c:strCache>
            </c:strRef>
          </c:cat>
          <c:val>
            <c:numRef>
              <c:f>Sheet1!$B$4:$D$4</c:f>
              <c:numCache>
                <c:formatCode>0.0</c:formatCode>
                <c:ptCount val="3"/>
                <c:pt idx="0">
                  <c:v>121.90000000000009</c:v>
                </c:pt>
                <c:pt idx="1">
                  <c:v>109.30000000000018</c:v>
                </c:pt>
              </c:numCache>
            </c:numRef>
          </c:val>
          <c:extLst>
            <c:ext xmlns:c16="http://schemas.microsoft.com/office/drawing/2014/chart" uri="{C3380CC4-5D6E-409C-BE32-E72D297353CC}">
              <c16:uniqueId val="{00000002-0EC6-4887-A451-F497EE075252}"/>
            </c:ext>
          </c:extLst>
        </c:ser>
        <c:dLbls>
          <c:showLegendKey val="0"/>
          <c:showVal val="0"/>
          <c:showCatName val="0"/>
          <c:showSerName val="0"/>
          <c:showPercent val="0"/>
          <c:showBubbleSize val="0"/>
        </c:dLbls>
        <c:gapWidth val="100"/>
        <c:overlap val="-24"/>
        <c:axId val="153752320"/>
        <c:axId val="153753856"/>
      </c:barChart>
      <c:catAx>
        <c:axId val="153752320"/>
        <c:scaling>
          <c:orientation val="minMax"/>
        </c:scaling>
        <c:delete val="0"/>
        <c:axPos val="b"/>
        <c:numFmt formatCode="General" sourceLinked="0"/>
        <c:majorTickMark val="none"/>
        <c:minorTickMark val="none"/>
        <c:tickLblPos val="nextTo"/>
        <c:spPr>
          <a:noFill/>
          <a:ln w="9268" cap="flat" cmpd="sng" algn="ctr">
            <a:solidFill>
              <a:schemeClr val="tx2">
                <a:lumMod val="15000"/>
                <a:lumOff val="85000"/>
              </a:schemeClr>
            </a:solidFill>
            <a:round/>
          </a:ln>
          <a:effectLst/>
        </c:spPr>
        <c:txPr>
          <a:bodyPr rot="-60000000" spcFirstLastPara="1" vertOverflow="ellipsis" vert="horz" wrap="square" anchor="ctr" anchorCtr="1"/>
          <a:lstStyle/>
          <a:p>
            <a:pPr>
              <a:defRPr sz="1165" b="0" i="0" u="none" strike="noStrike" kern="1200" baseline="0">
                <a:solidFill>
                  <a:schemeClr val="tx2"/>
                </a:solidFill>
                <a:latin typeface="+mn-lt"/>
                <a:ea typeface="+mn-ea"/>
                <a:cs typeface="+mn-cs"/>
              </a:defRPr>
            </a:pPr>
            <a:endParaRPr lang="en-US"/>
          </a:p>
        </c:txPr>
        <c:crossAx val="153753856"/>
        <c:crosses val="autoZero"/>
        <c:auto val="1"/>
        <c:lblAlgn val="ctr"/>
        <c:lblOffset val="100"/>
        <c:noMultiLvlLbl val="0"/>
      </c:catAx>
      <c:valAx>
        <c:axId val="153753856"/>
        <c:scaling>
          <c:orientation val="minMax"/>
        </c:scaling>
        <c:delete val="0"/>
        <c:axPos val="l"/>
        <c:majorGridlines>
          <c:spPr>
            <a:ln w="9268" cap="flat" cmpd="sng" algn="ctr">
              <a:solidFill>
                <a:schemeClr val="tx2">
                  <a:lumMod val="15000"/>
                  <a:lumOff val="85000"/>
                </a:schemeClr>
              </a:solidFill>
              <a:round/>
            </a:ln>
            <a:effectLst/>
          </c:spPr>
        </c:majorGridlines>
        <c:numFmt formatCode="0.0" sourceLinked="1"/>
        <c:majorTickMark val="none"/>
        <c:minorTickMark val="none"/>
        <c:tickLblPos val="nextTo"/>
        <c:spPr>
          <a:ln w="9268">
            <a:noFill/>
          </a:ln>
        </c:spPr>
        <c:txPr>
          <a:bodyPr rot="-60000000" spcFirstLastPara="1" vertOverflow="ellipsis" vert="horz" wrap="square" anchor="ctr" anchorCtr="1"/>
          <a:lstStyle/>
          <a:p>
            <a:pPr>
              <a:defRPr sz="1165" b="0" i="0" u="none" strike="noStrike" kern="1200" baseline="0">
                <a:solidFill>
                  <a:schemeClr val="tx2"/>
                </a:solidFill>
                <a:latin typeface="+mn-lt"/>
                <a:ea typeface="+mn-ea"/>
                <a:cs typeface="+mn-cs"/>
              </a:defRPr>
            </a:pPr>
            <a:endParaRPr lang="en-US"/>
          </a:p>
        </c:txPr>
        <c:crossAx val="153752320"/>
        <c:crosses val="autoZero"/>
        <c:crossBetween val="between"/>
      </c:valAx>
      <c:dTable>
        <c:showHorzBorder val="1"/>
        <c:showVertBorder val="1"/>
        <c:showOutline val="1"/>
        <c:showKeys val="0"/>
        <c:spPr>
          <a:noFill/>
          <a:ln w="9268">
            <a:solidFill>
              <a:schemeClr val="tx2">
                <a:lumMod val="15000"/>
                <a:lumOff val="85000"/>
              </a:schemeClr>
            </a:solidFill>
          </a:ln>
          <a:effectLst/>
        </c:spPr>
        <c:txPr>
          <a:bodyPr rot="0" spcFirstLastPara="1" vertOverflow="ellipsis" vert="horz" wrap="square" anchor="ctr" anchorCtr="1"/>
          <a:lstStyle/>
          <a:p>
            <a:pPr rtl="0">
              <a:defRPr sz="800" b="0" i="0" u="none" strike="noStrike" kern="1200" baseline="0">
                <a:solidFill>
                  <a:schemeClr val="tx2"/>
                </a:solidFill>
                <a:latin typeface="+mn-lt"/>
                <a:ea typeface="+mn-ea"/>
                <a:cs typeface="+mn-cs"/>
              </a:defRPr>
            </a:pPr>
            <a:endParaRPr lang="en-US"/>
          </a:p>
        </c:txPr>
      </c:dTable>
      <c:spPr>
        <a:noFill/>
        <a:ln w="25357">
          <a:noFill/>
        </a:ln>
      </c:spPr>
    </c:plotArea>
    <c:legend>
      <c:legendPos val="b"/>
      <c:layout>
        <c:manualLayout>
          <c:xMode val="edge"/>
          <c:yMode val="edge"/>
          <c:x val="4.6738665148153384E-2"/>
          <c:y val="0.91527637598916056"/>
          <c:w val="0.9"/>
          <c:h val="6.6240697468926135E-2"/>
        </c:manualLayout>
      </c:layout>
      <c:overlay val="0"/>
      <c:spPr>
        <a:noFill/>
        <a:ln w="24717">
          <a:noFill/>
        </a:ln>
      </c:spPr>
      <c:txPr>
        <a:bodyPr rot="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en-US"/>
        </a:p>
      </c:txPr>
    </c:legend>
    <c:plotVisOnly val="1"/>
    <c:dispBlanksAs val="gap"/>
    <c:showDLblsOverMax val="0"/>
  </c:chart>
  <c:spPr>
    <a:noFill/>
    <a:ln>
      <a:noFill/>
    </a:ln>
  </c:spPr>
  <c:txPr>
    <a:bodyPr/>
    <a:lstStyle/>
    <a:p>
      <a:pPr>
        <a:defRPr/>
      </a:pPr>
      <a:endParaRPr lang="en-US"/>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340699758695698E-2"/>
          <c:y val="0.11509646655656958"/>
          <c:w val="0.69728645998668159"/>
          <c:h val="0.82331711936151142"/>
        </c:manualLayout>
      </c:layout>
      <c:doughnutChart>
        <c:varyColors val="1"/>
        <c:ser>
          <c:idx val="0"/>
          <c:order val="0"/>
          <c:tx>
            <c:strRef>
              <c:f>Sheet1!$B$1</c:f>
              <c:strCache>
                <c:ptCount val="1"/>
                <c:pt idx="0">
                  <c:v>2022</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5E6-4F4C-BB88-9825F1D4128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5E6-4F4C-BB88-9825F1D4128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5E6-4F4C-BB88-9825F1D4128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5E6-4F4C-BB88-9825F1D4128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5E6-4F4C-BB88-9825F1D41282}"/>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5E6-4F4C-BB88-9825F1D41282}"/>
              </c:ext>
            </c:extLst>
          </c:dPt>
          <c:dLbls>
            <c:dLbl>
              <c:idx val="0"/>
              <c:layout>
                <c:manualLayout>
                  <c:x val="0.11872845653006511"/>
                  <c:y val="-8.9477169863430697E-2"/>
                </c:manualLayout>
              </c:layout>
              <c:tx>
                <c:rich>
                  <a:bodyPr/>
                  <a:lstStyle/>
                  <a:p>
                    <a:r>
                      <a:rPr lang="en-US" sz="800"/>
                      <a:t>38.2%</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5E6-4F4C-BB88-9825F1D41282}"/>
                </c:ext>
              </c:extLst>
            </c:dLbl>
            <c:dLbl>
              <c:idx val="1"/>
              <c:layout>
                <c:manualLayout>
                  <c:x val="0.13021830716200708"/>
                  <c:y val="2.863278453829635E-2"/>
                </c:manualLayout>
              </c:layout>
              <c:tx>
                <c:rich>
                  <a:bodyPr/>
                  <a:lstStyle/>
                  <a:p>
                    <a:r>
                      <a:rPr lang="en-US" sz="800"/>
                      <a:t>6.5%</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5E6-4F4C-BB88-9825F1D41282}"/>
                </c:ext>
              </c:extLst>
            </c:dLbl>
            <c:dLbl>
              <c:idx val="2"/>
              <c:layout>
                <c:manualLayout>
                  <c:x val="3.0639601685178128E-2"/>
                  <c:y val="8.5898353614889192E-2"/>
                </c:manualLayout>
              </c:layout>
              <c:tx>
                <c:rich>
                  <a:bodyPr/>
                  <a:lstStyle/>
                  <a:p>
                    <a:r>
                      <a:rPr lang="en-US" sz="800"/>
                      <a:t>18%</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5E6-4F4C-BB88-9825F1D41282}"/>
                </c:ext>
              </c:extLst>
            </c:dLbl>
            <c:dLbl>
              <c:idx val="3"/>
              <c:layout>
                <c:manualLayout>
                  <c:x val="0.1646878590578322"/>
                  <c:y val="-4.652827487473174E-2"/>
                </c:manualLayout>
              </c:layout>
              <c:tx>
                <c:rich>
                  <a:bodyPr/>
                  <a:lstStyle/>
                  <a:p>
                    <a:r>
                      <a:rPr lang="en-US" sz="800"/>
                      <a:t>20.0%</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5E6-4F4C-BB88-9825F1D41282}"/>
                </c:ext>
              </c:extLst>
            </c:dLbl>
            <c:dLbl>
              <c:idx val="4"/>
              <c:layout>
                <c:manualLayout>
                  <c:x val="0.11872845653006511"/>
                  <c:y val="2.1474588403722284E-2"/>
                </c:manualLayout>
              </c:layout>
              <c:tx>
                <c:rich>
                  <a:bodyPr/>
                  <a:lstStyle/>
                  <a:p>
                    <a:r>
                      <a:rPr lang="en-US" sz="800"/>
                      <a:t>11.7%</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5E6-4F4C-BB88-9825F1D41282}"/>
                </c:ext>
              </c:extLst>
            </c:dLbl>
            <c:dLbl>
              <c:idx val="5"/>
              <c:layout>
                <c:manualLayout>
                  <c:x val="-3.8299502106472635E-2"/>
                  <c:y val="-0.10021474588403728"/>
                </c:manualLayout>
              </c:layout>
              <c:tx>
                <c:rich>
                  <a:bodyPr/>
                  <a:lstStyle/>
                  <a:p>
                    <a:r>
                      <a:rPr lang="en-US" sz="800"/>
                      <a:t>17.1%</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5E6-4F4C-BB88-9825F1D4128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ՍՈՑԻԱԼԱԿԱՆ ՈԼՈՐՏ</c:v>
                </c:pt>
                <c:pt idx="1">
                  <c:v>ՏՆՏԵՍԱԿԱՆ ՈԼՈՐՏ</c:v>
                </c:pt>
                <c:pt idx="2">
                  <c:v>ՊԱՇՏՊԱՆՈՒԹՅՈՒՆ, ՀԱՍԱՐԱԿԱԿԱՆ ԿԱՐԳ,ԱՆՎՏԱՆԳՈՒԹՅՈՒՆ ԵՎ ԴԱՏԱԿԱՆ ԳՈՐԾՈՒՆԵՈՒԹՅՈՒՆ</c:v>
                </c:pt>
                <c:pt idx="3">
                  <c:v>ԸՆԴՀԱՆՈՒՐ ԲՆՈՒՅԹԻ ՀԱՆՐԱՅԻՆ ԾԱՌԱՅՈՒԹՅՈՒՆՆԵՐ</c:v>
                </c:pt>
                <c:pt idx="5">
                  <c:v>ՀԻՄՆԱԿԱՆ ԲԱԺԻՆՆԵՐԻՆ ՉԴԱՍՎՈՂ ՊԱՀՈՒՍՏԱՅԻՆ ՖՈՆԴԵՐ</c:v>
                </c:pt>
              </c:strCache>
            </c:strRef>
          </c:cat>
          <c:val>
            <c:numRef>
              <c:f>Sheet1!$B$2:$B$7</c:f>
              <c:numCache>
                <c:formatCode>General</c:formatCode>
                <c:ptCount val="6"/>
                <c:pt idx="0">
                  <c:v>38.200000000000003</c:v>
                </c:pt>
                <c:pt idx="1">
                  <c:v>6.5</c:v>
                </c:pt>
                <c:pt idx="2">
                  <c:v>18.100000000000001</c:v>
                </c:pt>
                <c:pt idx="3">
                  <c:v>20</c:v>
                </c:pt>
                <c:pt idx="5">
                  <c:v>17.100000000000001</c:v>
                </c:pt>
              </c:numCache>
            </c:numRef>
          </c:val>
          <c:extLst>
            <c:ext xmlns:c16="http://schemas.microsoft.com/office/drawing/2014/chart" uri="{C3380CC4-5D6E-409C-BE32-E72D297353CC}">
              <c16:uniqueId val="{0000000C-75E6-4F4C-BB88-9825F1D41282}"/>
            </c:ext>
          </c:extLst>
        </c:ser>
        <c:dLbls>
          <c:showLegendKey val="0"/>
          <c:showVal val="0"/>
          <c:showCatName val="0"/>
          <c:showSerName val="0"/>
          <c:showPercent val="0"/>
          <c:showBubbleSize val="0"/>
          <c:showLeaderLines val="1"/>
        </c:dLbls>
        <c:firstSliceAng val="0"/>
        <c:holeSize val="75"/>
      </c:doughnutChart>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y-AM" sz="800"/>
              <a:t>Տնտեսական աճի փոփոխություն</a:t>
            </a:r>
          </a:p>
        </c:rich>
      </c:tx>
      <c:layout>
        <c:manualLayout>
          <c:xMode val="edge"/>
          <c:yMode val="edge"/>
          <c:x val="0.27528598291433759"/>
          <c:y val="1.1352679854947461E-2"/>
        </c:manualLayout>
      </c:layout>
      <c:overlay val="0"/>
    </c:title>
    <c:autoTitleDeleted val="0"/>
    <c:plotArea>
      <c:layout>
        <c:manualLayout>
          <c:layoutTarget val="inner"/>
          <c:xMode val="edge"/>
          <c:yMode val="edge"/>
          <c:x val="0.23771038747565898"/>
          <c:y val="0.14718253968253969"/>
          <c:w val="0.71151108561609477"/>
          <c:h val="0.66998656417947866"/>
        </c:manualLayout>
      </c:layout>
      <c:barChart>
        <c:barDir val="col"/>
        <c:grouping val="clustered"/>
        <c:varyColors val="0"/>
        <c:ser>
          <c:idx val="0"/>
          <c:order val="0"/>
          <c:tx>
            <c:strRef>
              <c:f>Sheet1!$B$1</c:f>
              <c:strCache>
                <c:ptCount val="1"/>
                <c:pt idx="0">
                  <c:v>Տնտեսական աճի փոփոխություն</c:v>
                </c:pt>
              </c:strCache>
            </c:strRef>
          </c:tx>
          <c:spPr>
            <a:solidFill>
              <a:srgbClr val="C00000"/>
            </a:solidFill>
            <a:ln>
              <a:noFill/>
            </a:ln>
            <a:effectLst/>
          </c:spPr>
          <c:invertIfNegative val="0"/>
          <c:dPt>
            <c:idx val="1"/>
            <c:invertIfNegative val="0"/>
            <c:bubble3D val="0"/>
            <c:spPr>
              <a:solidFill>
                <a:srgbClr val="5B9BD5">
                  <a:lumMod val="75000"/>
                </a:srgbClr>
              </a:solidFill>
              <a:ln>
                <a:noFill/>
              </a:ln>
              <a:effectLst/>
            </c:spPr>
            <c:extLst>
              <c:ext xmlns:c16="http://schemas.microsoft.com/office/drawing/2014/chart" uri="{C3380CC4-5D6E-409C-BE32-E72D297353CC}">
                <c16:uniqueId val="{00000001-D578-45B6-87D7-3C9DB99BF2F1}"/>
              </c:ext>
            </c:extLst>
          </c:dPt>
          <c:dPt>
            <c:idx val="3"/>
            <c:invertIfNegative val="0"/>
            <c:bubble3D val="0"/>
            <c:spPr>
              <a:solidFill>
                <a:srgbClr val="5B9BD5">
                  <a:lumMod val="75000"/>
                </a:srgbClr>
              </a:solidFill>
              <a:ln>
                <a:noFill/>
              </a:ln>
              <a:effectLst/>
            </c:spPr>
            <c:extLst>
              <c:ext xmlns:c16="http://schemas.microsoft.com/office/drawing/2014/chart" uri="{C3380CC4-5D6E-409C-BE32-E72D297353CC}">
                <c16:uniqueId val="{00000003-D578-45B6-87D7-3C9DB99BF2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2009 GFC</c:v>
                </c:pt>
                <c:pt idx="1">
                  <c:v>2010</c:v>
                </c:pt>
                <c:pt idx="2">
                  <c:v>2020 COVID-19</c:v>
                </c:pt>
                <c:pt idx="3">
                  <c:v>2021</c:v>
                </c:pt>
              </c:strCache>
            </c:strRef>
          </c:cat>
          <c:val>
            <c:numRef>
              <c:f>Sheet1!$B$2:$B$5</c:f>
              <c:numCache>
                <c:formatCode>0.0</c:formatCode>
                <c:ptCount val="4"/>
                <c:pt idx="0">
                  <c:v>-3.1109999999999998</c:v>
                </c:pt>
                <c:pt idx="1">
                  <c:v>5.5310000000000006</c:v>
                </c:pt>
                <c:pt idx="2">
                  <c:v>-6.0309999999999997</c:v>
                </c:pt>
                <c:pt idx="3">
                  <c:v>9.2929999999999993</c:v>
                </c:pt>
              </c:numCache>
            </c:numRef>
          </c:val>
          <c:extLst>
            <c:ext xmlns:c16="http://schemas.microsoft.com/office/drawing/2014/chart" uri="{C3380CC4-5D6E-409C-BE32-E72D297353CC}">
              <c16:uniqueId val="{00000004-D578-45B6-87D7-3C9DB99BF2F1}"/>
            </c:ext>
          </c:extLst>
        </c:ser>
        <c:dLbls>
          <c:showLegendKey val="0"/>
          <c:showVal val="1"/>
          <c:showCatName val="0"/>
          <c:showSerName val="0"/>
          <c:showPercent val="0"/>
          <c:showBubbleSize val="0"/>
        </c:dLbls>
        <c:gapWidth val="219"/>
        <c:overlap val="-27"/>
        <c:axId val="131817472"/>
        <c:axId val="131820928"/>
      </c:barChart>
      <c:catAx>
        <c:axId val="1318174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1820928"/>
        <c:crosses val="autoZero"/>
        <c:auto val="1"/>
        <c:lblAlgn val="ctr"/>
        <c:lblOffset val="100"/>
        <c:noMultiLvlLbl val="0"/>
      </c:catAx>
      <c:valAx>
        <c:axId val="1318209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en-US" sz="900" b="0" i="0" u="none" strike="noStrike" kern="1200" baseline="0">
                    <a:solidFill>
                      <a:sysClr val="windowText" lastClr="000000">
                        <a:lumMod val="65000"/>
                        <a:lumOff val="35000"/>
                      </a:sysClr>
                    </a:solidFill>
                    <a:latin typeface="GHEA Grapalat" panose="02000506050000020003" pitchFamily="50" charset="0"/>
                    <a:ea typeface="+mn-ea"/>
                    <a:cs typeface="+mn-cs"/>
                  </a:rPr>
                  <a:t>տոկոսային</a:t>
                </a:r>
                <a:r>
                  <a:rPr lang="hy-AM" sz="900" baseline="0">
                    <a:latin typeface="GHEA Grapalat" panose="02000506050000020003" pitchFamily="50" charset="0"/>
                  </a:rPr>
                  <a:t> կետ</a:t>
                </a:r>
                <a:endParaRPr lang="hy-AM" sz="900">
                  <a:latin typeface="GHEA Grapalat" panose="02000506050000020003" pitchFamily="50" charset="0"/>
                </a:endParaRPr>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1817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340699758695698E-2"/>
          <c:y val="0.11509646655656958"/>
          <c:w val="0.69728645998668159"/>
          <c:h val="0.82331711936151142"/>
        </c:manualLayout>
      </c:layout>
      <c:doughnutChart>
        <c:varyColors val="1"/>
        <c:ser>
          <c:idx val="0"/>
          <c:order val="0"/>
          <c:tx>
            <c:strRef>
              <c:f>Sheet1!$B$1</c:f>
              <c:strCache>
                <c:ptCount val="1"/>
                <c:pt idx="0">
                  <c:v>2022</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12C-4ABF-B283-7128B0375A0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12C-4ABF-B283-7128B0375A0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12C-4ABF-B283-7128B0375A0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12C-4ABF-B283-7128B0375A0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12C-4ABF-B283-7128B0375A02}"/>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012C-4ABF-B283-7128B0375A02}"/>
              </c:ext>
            </c:extLst>
          </c:dPt>
          <c:dLbls>
            <c:dLbl>
              <c:idx val="0"/>
              <c:layout>
                <c:manualLayout>
                  <c:x val="0.1225584067407124"/>
                  <c:y val="-3.2211882605583428E-2"/>
                </c:manualLayout>
              </c:layout>
              <c:tx>
                <c:rich>
                  <a:bodyPr/>
                  <a:lstStyle/>
                  <a:p>
                    <a:r>
                      <a:rPr lang="en-US" sz="800"/>
                      <a:t>37.5%</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2C-4ABF-B283-7128B0375A02}"/>
                </c:ext>
              </c:extLst>
            </c:dLbl>
            <c:dLbl>
              <c:idx val="1"/>
              <c:layout>
                <c:manualLayout>
                  <c:x val="0.11489850631941785"/>
                  <c:y val="3.5790980672870336E-2"/>
                </c:manualLayout>
              </c:layout>
              <c:tx>
                <c:rich>
                  <a:bodyPr/>
                  <a:lstStyle/>
                  <a:p>
                    <a:r>
                      <a:rPr lang="en-US" sz="800"/>
                      <a:t>8%</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2C-4ABF-B283-7128B0375A02}"/>
                </c:ext>
              </c:extLst>
            </c:dLbl>
            <c:dLbl>
              <c:idx val="2"/>
              <c:layout>
                <c:manualLayout>
                  <c:x val="3.0639601685178128E-2"/>
                  <c:y val="7.1581961345740894E-2"/>
                </c:manualLayout>
              </c:layout>
              <c:tx>
                <c:rich>
                  <a:bodyPr/>
                  <a:lstStyle/>
                  <a:p>
                    <a:r>
                      <a:rPr lang="en-US" sz="800"/>
                      <a:t>18%</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2C-4ABF-B283-7128B0375A02}"/>
                </c:ext>
              </c:extLst>
            </c:dLbl>
            <c:dLbl>
              <c:idx val="3"/>
              <c:layout>
                <c:manualLayout>
                  <c:x val="0.17234775947912692"/>
                  <c:y val="-8.2319255547602069E-2"/>
                </c:manualLayout>
              </c:layout>
              <c:tx>
                <c:rich>
                  <a:bodyPr/>
                  <a:lstStyle/>
                  <a:p>
                    <a:r>
                      <a:rPr lang="en-US" sz="800"/>
                      <a:t>20.7%</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12C-4ABF-B283-7128B0375A02}"/>
                </c:ext>
              </c:extLst>
            </c:dLbl>
            <c:dLbl>
              <c:idx val="4"/>
              <c:layout>
                <c:manualLayout>
                  <c:x val="0.10723890746900602"/>
                  <c:y val="-1.0737294201861199E-2"/>
                </c:manualLayout>
              </c:layout>
              <c:tx>
                <c:rich>
                  <a:bodyPr/>
                  <a:lstStyle/>
                  <a:p>
                    <a:r>
                      <a:rPr lang="en-US" sz="800"/>
                      <a:t>11.3%</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12C-4ABF-B283-7128B0375A02}"/>
                </c:ext>
              </c:extLst>
            </c:dLbl>
            <c:dLbl>
              <c:idx val="5"/>
              <c:layout>
                <c:manualLayout>
                  <c:x val="-3.0639601685178149E-2"/>
                  <c:y val="-0.1002147458840373"/>
                </c:manualLayout>
              </c:layout>
              <c:tx>
                <c:rich>
                  <a:bodyPr/>
                  <a:lstStyle/>
                  <a:p>
                    <a:r>
                      <a:rPr lang="en-US" sz="800"/>
                      <a:t>16.1%</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12C-4ABF-B283-7128B0375A0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ՍՈՑԻԱԼԱԿԱՆ ՈԼՈՐՏ</c:v>
                </c:pt>
                <c:pt idx="1">
                  <c:v>ՏՆՏԵՍԱԿԱՆ ՈԼՈՐՏ</c:v>
                </c:pt>
                <c:pt idx="2">
                  <c:v>ՊԱՇՏՊԱՆՈՒԹՅՈՒՆ, ՀԱՍԱՐԱԿԱԿԱՆ ԿԱՐԳ,ԱՆՎՏԱՆԳՈՒԹՅՈՒՆ ԵՎ ԴԱՏԱԿԱՆ ԳՈՐԾՈՒՆԵՈՒԹՅՈՒՆ</c:v>
                </c:pt>
                <c:pt idx="3">
                  <c:v>ԸՆԴՀԱՆՈՒՐ ԲՆՈՒՅԹԻ ՀԱՆՐԱՅԻՆ ԾԱՌԱՅՈՒԹՅՈՒՆՆԵՐ</c:v>
                </c:pt>
                <c:pt idx="5">
                  <c:v>ՀԻՄՆԱԿԱՆ ԲԱԺԻՆՆԵՐԻՆ ՉԴԱՍՎՈՂ ՊԱՀՈՒՍՏԱՅԻՆ ՖՈՆԴԵՐ</c:v>
                </c:pt>
              </c:strCache>
            </c:strRef>
          </c:cat>
          <c:val>
            <c:numRef>
              <c:f>Sheet1!$B$2:$B$7</c:f>
              <c:numCache>
                <c:formatCode>General</c:formatCode>
                <c:ptCount val="6"/>
                <c:pt idx="0">
                  <c:v>37.5</c:v>
                </c:pt>
                <c:pt idx="1">
                  <c:v>8</c:v>
                </c:pt>
                <c:pt idx="2">
                  <c:v>17.8</c:v>
                </c:pt>
                <c:pt idx="3">
                  <c:v>20.7</c:v>
                </c:pt>
                <c:pt idx="5">
                  <c:v>16.100000000000001</c:v>
                </c:pt>
              </c:numCache>
            </c:numRef>
          </c:val>
          <c:extLst>
            <c:ext xmlns:c16="http://schemas.microsoft.com/office/drawing/2014/chart" uri="{C3380CC4-5D6E-409C-BE32-E72D297353CC}">
              <c16:uniqueId val="{0000000C-012C-4ABF-B283-7128B0375A02}"/>
            </c:ext>
          </c:extLst>
        </c:ser>
        <c:dLbls>
          <c:showLegendKey val="0"/>
          <c:showVal val="0"/>
          <c:showCatName val="0"/>
          <c:showSerName val="0"/>
          <c:showPercent val="0"/>
          <c:showBubbleSize val="0"/>
          <c:showLeaderLines val="1"/>
        </c:dLbls>
        <c:firstSliceAng val="0"/>
        <c:holeSize val="75"/>
      </c:doughnutChart>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340699758695698E-2"/>
          <c:y val="0.11509646655656958"/>
          <c:w val="0.69728645998668159"/>
          <c:h val="0.82331711936151142"/>
        </c:manualLayout>
      </c:layout>
      <c:doughnutChart>
        <c:varyColors val="1"/>
        <c:ser>
          <c:idx val="0"/>
          <c:order val="0"/>
          <c:tx>
            <c:strRef>
              <c:f>Sheet1!$B$1</c:f>
              <c:strCache>
                <c:ptCount val="1"/>
                <c:pt idx="0">
                  <c:v>2022</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7F0-4B91-B69E-5D6B6E58DC9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7F0-4B91-B69E-5D6B6E58DC9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7F0-4B91-B69E-5D6B6E58DC9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7F0-4B91-B69E-5D6B6E58DC9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7F0-4B91-B69E-5D6B6E58DC91}"/>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7F0-4B91-B69E-5D6B6E58DC91}"/>
              </c:ext>
            </c:extLst>
          </c:dPt>
          <c:dLbls>
            <c:dLbl>
              <c:idx val="0"/>
              <c:layout>
                <c:manualLayout>
                  <c:x val="8.4258904634239767E-2"/>
                  <c:y val="-0.1109520400858984"/>
                </c:manualLayout>
              </c:layout>
              <c:tx>
                <c:rich>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r>
                      <a:rPr lang="en-US" sz="800"/>
                      <a:t>34.4%</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F0-4B91-B69E-5D6B6E58DC91}"/>
                </c:ext>
              </c:extLst>
            </c:dLbl>
            <c:dLbl>
              <c:idx val="1"/>
              <c:layout>
                <c:manualLayout>
                  <c:x val="0.13021830716200708"/>
                  <c:y val="2.8632784538296208E-2"/>
                </c:manualLayout>
              </c:layout>
              <c:tx>
                <c:rich>
                  <a:bodyPr/>
                  <a:lstStyle/>
                  <a:p>
                    <a:r>
                      <a:rPr lang="en-US"/>
                      <a:t>8.1%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7F0-4B91-B69E-5D6B6E58DC91}"/>
                </c:ext>
              </c:extLst>
            </c:dLbl>
            <c:dLbl>
              <c:idx val="2"/>
              <c:layout>
                <c:manualLayout>
                  <c:x val="2.2979701263883594E-2"/>
                  <c:y val="5.72655690765927E-2"/>
                </c:manualLayout>
              </c:layout>
              <c:tx>
                <c:rich>
                  <a:bodyPr/>
                  <a:lstStyle/>
                  <a:p>
                    <a:r>
                      <a:rPr lang="en-US"/>
                      <a:t>18%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F0-4B91-B69E-5D6B6E58DC91}"/>
                </c:ext>
              </c:extLst>
            </c:dLbl>
            <c:dLbl>
              <c:idx val="3"/>
              <c:layout>
                <c:manualLayout>
                  <c:x val="-3.0639601685178128E-2"/>
                  <c:y val="7.8740157480314835E-2"/>
                </c:manualLayout>
              </c:layout>
              <c:tx>
                <c:rich>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r>
                      <a:rPr lang="en-US" sz="800"/>
                      <a:t>20.7%</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F0-4B91-B69E-5D6B6E58DC91}"/>
                </c:ext>
              </c:extLst>
            </c:dLbl>
            <c:dLbl>
              <c:idx val="4"/>
              <c:layout>
                <c:manualLayout>
                  <c:x val="1.1489850631941812E-2"/>
                  <c:y val="-2.863278453829635E-2"/>
                </c:manualLayout>
              </c:layout>
              <c:tx>
                <c:rich>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r>
                      <a:rPr lang="en-US" sz="800"/>
                      <a:t>11.8%</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7F0-4B91-B69E-5D6B6E58DC91}"/>
                </c:ext>
              </c:extLst>
            </c:dLbl>
            <c:dLbl>
              <c:idx val="5"/>
              <c:layout>
                <c:manualLayout>
                  <c:x val="2.2979701263883594E-2"/>
                  <c:y val="-9.3056549749463327E-2"/>
                </c:manualLayout>
              </c:layout>
              <c:tx>
                <c:rich>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r>
                      <a:rPr lang="en-US" sz="800"/>
                      <a:t>20.9%</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7F0-4B91-B69E-5D6B6E58DC9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ՍՈՑԻԱԼԱԿԱՆ ՈԼՈՐՏ</c:v>
                </c:pt>
                <c:pt idx="1">
                  <c:v>ՏՆՏԵՍԱԿԱՆ ՈԼՈՐՏ</c:v>
                </c:pt>
                <c:pt idx="2">
                  <c:v>ՊԱՇՏՊԱՆՈՒԹՅՈՒՆ, ՀԱՍԱՐԱԿԱԿԱՆ ԿԱՐԳ,ԱՆՎՏԱՆԳՈՒԹՅՈՒՆ ԵՎ ԴԱՏԱԿԱՆ ԳՈՐԾՈՒՆԵՈՒԹՅՈՒՆ</c:v>
                </c:pt>
                <c:pt idx="3">
                  <c:v>ԸՆԴՀԱՆՈՒՐ ԲՆՈՒՅԹԻ ՀԱՆՐԱՅԻՆ ԾԱՌԱՅՈՒԹՅՈՒՆՆԵՐ</c:v>
                </c:pt>
                <c:pt idx="5">
                  <c:v>ՀԻՄՆԱԿԱՆ ԲԱԺԻՆՆԵՐԻՆ ՉԴԱՍՎՈՂ ՊԱՀՈՒՍՏԱՅԻՆ ՖՈՆԴԵՐ</c:v>
                </c:pt>
              </c:strCache>
            </c:strRef>
          </c:cat>
          <c:val>
            <c:numRef>
              <c:f>Sheet1!$B$2:$B$7</c:f>
              <c:numCache>
                <c:formatCode>General</c:formatCode>
                <c:ptCount val="6"/>
                <c:pt idx="0">
                  <c:v>34.4</c:v>
                </c:pt>
                <c:pt idx="1">
                  <c:v>8.1</c:v>
                </c:pt>
                <c:pt idx="2">
                  <c:v>16.5</c:v>
                </c:pt>
                <c:pt idx="3">
                  <c:v>20.100000000000001</c:v>
                </c:pt>
                <c:pt idx="5">
                  <c:v>20.9</c:v>
                </c:pt>
              </c:numCache>
            </c:numRef>
          </c:val>
          <c:extLst>
            <c:ext xmlns:c16="http://schemas.microsoft.com/office/drawing/2014/chart" uri="{C3380CC4-5D6E-409C-BE32-E72D297353CC}">
              <c16:uniqueId val="{0000000C-C7F0-4B91-B69E-5D6B6E58DC91}"/>
            </c:ext>
          </c:extLst>
        </c:ser>
        <c:dLbls>
          <c:showLegendKey val="0"/>
          <c:showVal val="0"/>
          <c:showCatName val="0"/>
          <c:showSerName val="0"/>
          <c:showPercent val="0"/>
          <c:showBubbleSize val="0"/>
          <c:showLeaderLines val="1"/>
        </c:dLbls>
        <c:firstSliceAng val="0"/>
        <c:holeSize val="75"/>
      </c:doughnutChart>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728524984496304"/>
          <c:y val="3.2726168537443458E-2"/>
          <c:w val="0.84521276129266409"/>
          <c:h val="0.75897428379963161"/>
        </c:manualLayout>
      </c:layout>
      <c:barChart>
        <c:barDir val="col"/>
        <c:grouping val="stacked"/>
        <c:varyColors val="0"/>
        <c:ser>
          <c:idx val="0"/>
          <c:order val="0"/>
          <c:tx>
            <c:strRef>
              <c:f>Sheet1!$B$5</c:f>
              <c:strCache>
                <c:ptCount val="1"/>
                <c:pt idx="0">
                  <c:v>Ընդամենը ծախսեր</c:v>
                </c:pt>
              </c:strCache>
            </c:strRef>
          </c:tx>
          <c:spPr>
            <a:solidFill>
              <a:schemeClr val="accent1">
                <a:lumMod val="75000"/>
                <a:alpha val="12000"/>
              </a:schemeClr>
            </a:solidFill>
            <a:ln>
              <a:solidFill>
                <a:schemeClr val="bg1"/>
              </a:solidFill>
            </a:ln>
            <a:effectLst/>
            <a:scene3d>
              <a:camera prst="orthographicFront"/>
              <a:lightRig rig="threePt" dir="t"/>
            </a:scene3d>
            <a:sp3d prstMaterial="metal">
              <a:bevelT/>
            </a:sp3d>
          </c:spPr>
          <c:invertIfNegative val="0"/>
          <c:dLbls>
            <c:dLbl>
              <c:idx val="0"/>
              <c:layout>
                <c:manualLayout>
                  <c:x val="-0.11748948048160661"/>
                  <c:y val="-1.379482472666386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E9D-4542-BD4B-5442508F1BD2}"/>
                </c:ext>
              </c:extLst>
            </c:dLbl>
            <c:dLbl>
              <c:idx val="1"/>
              <c:layout>
                <c:manualLayout>
                  <c:x val="-0.11282339707536544"/>
                  <c:y val="1.352833196463940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E9D-4542-BD4B-5442508F1BD2}"/>
                </c:ext>
              </c:extLst>
            </c:dLbl>
            <c:dLbl>
              <c:idx val="2"/>
              <c:layout>
                <c:manualLayout>
                  <c:x val="-0.10246944440586912"/>
                  <c:y val="-6.067876484764575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9D-4542-BD4B-5442508F1BD2}"/>
                </c:ext>
              </c:extLst>
            </c:dLbl>
            <c:dLbl>
              <c:idx val="3"/>
              <c:layout>
                <c:manualLayout>
                  <c:x val="-0.11663850660642743"/>
                  <c:y val="1.063824077205070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E9D-4542-BD4B-5442508F1BD2}"/>
                </c:ext>
              </c:extLst>
            </c:dLbl>
            <c:spPr>
              <a:noFill/>
              <a:ln w="25382">
                <a:noFill/>
              </a:ln>
            </c:spPr>
            <c:txPr>
              <a:bodyPr rot="-5400000" spcFirstLastPara="1" vertOverflow="ellipsis" wrap="square" lIns="38100" tIns="19050" rIns="38100" bIns="19050" anchor="ctr" anchorCtr="1">
                <a:spAutoFit/>
              </a:bodyPr>
              <a:lstStyle/>
              <a:p>
                <a:pPr>
                  <a:defRPr sz="1196" b="1" i="0" u="none" strike="noStrike" kern="1200" baseline="0">
                    <a:solidFill>
                      <a:schemeClr val="tx2">
                        <a:lumMod val="50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Sheet1!$C$5:$F$5</c:f>
              <c:numCache>
                <c:formatCode>#\,##0.0</c:formatCode>
                <c:ptCount val="4"/>
                <c:pt idx="0">
                  <c:v>1850.8775411900001</c:v>
                </c:pt>
                <c:pt idx="1">
                  <c:v>2000.9111915000001</c:v>
                </c:pt>
                <c:pt idx="2">
                  <c:v>2135.4559816000001</c:v>
                </c:pt>
                <c:pt idx="3">
                  <c:v>2312.0468769999998</c:v>
                </c:pt>
              </c:numCache>
            </c:numRef>
          </c:val>
          <c:extLst>
            <c:ext xmlns:c16="http://schemas.microsoft.com/office/drawing/2014/chart" uri="{C3380CC4-5D6E-409C-BE32-E72D297353CC}">
              <c16:uniqueId val="{00000004-8E9D-4542-BD4B-5442508F1BD2}"/>
            </c:ext>
          </c:extLst>
        </c:ser>
        <c:dLbls>
          <c:showLegendKey val="0"/>
          <c:showVal val="0"/>
          <c:showCatName val="0"/>
          <c:showSerName val="0"/>
          <c:showPercent val="0"/>
          <c:showBubbleSize val="0"/>
        </c:dLbls>
        <c:gapWidth val="34"/>
        <c:overlap val="100"/>
        <c:axId val="154094976"/>
        <c:axId val="154109056"/>
      </c:barChart>
      <c:barChart>
        <c:barDir val="col"/>
        <c:grouping val="stacked"/>
        <c:varyColors val="0"/>
        <c:ser>
          <c:idx val="1"/>
          <c:order val="1"/>
          <c:tx>
            <c:strRef>
              <c:f>Sheet1!$B$6</c:f>
              <c:strCache>
                <c:ptCount val="1"/>
                <c:pt idx="0">
                  <c:v>Ընթացիկ ծախսեր</c:v>
                </c:pt>
              </c:strCache>
            </c:strRef>
          </c:tx>
          <c:spPr>
            <a:solidFill>
              <a:schemeClr val="accent2">
                <a:lumMod val="75000"/>
              </a:schemeClr>
            </a:solidFill>
            <a:ln>
              <a:noFill/>
            </a:ln>
            <a:effectLst/>
            <a:scene3d>
              <a:camera prst="orthographicFront"/>
              <a:lightRig rig="threePt" dir="t"/>
            </a:scene3d>
            <a:sp3d prstMaterial="metal">
              <a:bevelT/>
            </a:sp3d>
          </c:spPr>
          <c:invertIfNegative val="0"/>
          <c:dLbls>
            <c:dLbl>
              <c:idx val="0"/>
              <c:layout>
                <c:manualLayout>
                  <c:x val="-1.5290519877675841E-3"/>
                  <c:y val="-2.393617021276599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E9D-4542-BD4B-5442508F1BD2}"/>
                </c:ext>
              </c:extLst>
            </c:dLbl>
            <c:spPr>
              <a:noFill/>
              <a:ln w="25382">
                <a:noFill/>
              </a:ln>
            </c:spPr>
            <c:txPr>
              <a:bodyPr rot="-5400000" spcFirstLastPara="1" vertOverflow="ellipsis" vert="horz" wrap="square" lIns="38100" tIns="19050" rIns="38100" bIns="19050" anchor="ctr" anchorCtr="1">
                <a:spAutoFit/>
              </a:bodyPr>
              <a:lstStyle/>
              <a:p>
                <a:pPr>
                  <a:defRPr sz="1196" b="1" i="0" u="none" strike="noStrike" kern="1200" baseline="0">
                    <a:solidFill>
                      <a:schemeClr val="bg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Sheet1!$C$6:$F$6</c:f>
              <c:numCache>
                <c:formatCode>#\,##0.0</c:formatCode>
                <c:ptCount val="4"/>
                <c:pt idx="0">
                  <c:v>1634.55862359</c:v>
                </c:pt>
                <c:pt idx="1">
                  <c:v>1708.3424101999992</c:v>
                </c:pt>
                <c:pt idx="2">
                  <c:v>1827.3494559000001</c:v>
                </c:pt>
                <c:pt idx="3">
                  <c:v>1958.1367835999999</c:v>
                </c:pt>
              </c:numCache>
            </c:numRef>
          </c:val>
          <c:extLst>
            <c:ext xmlns:c16="http://schemas.microsoft.com/office/drawing/2014/chart" uri="{C3380CC4-5D6E-409C-BE32-E72D297353CC}">
              <c16:uniqueId val="{00000006-8E9D-4542-BD4B-5442508F1BD2}"/>
            </c:ext>
          </c:extLst>
        </c:ser>
        <c:ser>
          <c:idx val="2"/>
          <c:order val="2"/>
          <c:tx>
            <c:strRef>
              <c:f>Sheet1!$B$7</c:f>
              <c:strCache>
                <c:ptCount val="1"/>
                <c:pt idx="0">
                  <c:v>Ոչ ֆինանսական ակտիվների գծով ծախս</c:v>
                </c:pt>
              </c:strCache>
            </c:strRef>
          </c:tx>
          <c:spPr>
            <a:solidFill>
              <a:schemeClr val="accent3">
                <a:lumMod val="75000"/>
              </a:schemeClr>
            </a:solidFill>
            <a:ln>
              <a:noFill/>
            </a:ln>
            <a:effectLst/>
            <a:scene3d>
              <a:camera prst="orthographicFront"/>
              <a:lightRig rig="threePt" dir="t"/>
            </a:scene3d>
            <a:sp3d prstMaterial="metal">
              <a:bevelT/>
            </a:sp3d>
          </c:spPr>
          <c:invertIfNegative val="0"/>
          <c:dLbls>
            <c:spPr>
              <a:noFill/>
              <a:ln w="25382">
                <a:noFill/>
              </a:ln>
            </c:spPr>
            <c:txPr>
              <a:bodyPr rot="0" spcFirstLastPara="1" vertOverflow="ellipsis" vert="horz" wrap="square" lIns="38100" tIns="19050" rIns="38100" bIns="19050" anchor="ctr" anchorCtr="1">
                <a:spAutoFit/>
              </a:bodyPr>
              <a:lstStyle/>
              <a:p>
                <a:pPr>
                  <a:defRPr sz="1196" b="1" i="0" u="none" strike="noStrike" kern="1200" baseline="0">
                    <a:solidFill>
                      <a:schemeClr val="bg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Sheet1!$C$7:$F$7</c:f>
              <c:numCache>
                <c:formatCode>#\,##0.0</c:formatCode>
                <c:ptCount val="4"/>
                <c:pt idx="0">
                  <c:v>216.31891760000011</c:v>
                </c:pt>
                <c:pt idx="1">
                  <c:v>292.56878130000001</c:v>
                </c:pt>
                <c:pt idx="2">
                  <c:v>308.10652569999996</c:v>
                </c:pt>
                <c:pt idx="3">
                  <c:v>353.91009339999994</c:v>
                </c:pt>
              </c:numCache>
            </c:numRef>
          </c:val>
          <c:extLst>
            <c:ext xmlns:c16="http://schemas.microsoft.com/office/drawing/2014/chart" uri="{C3380CC4-5D6E-409C-BE32-E72D297353CC}">
              <c16:uniqueId val="{00000007-8E9D-4542-BD4B-5442508F1BD2}"/>
            </c:ext>
          </c:extLst>
        </c:ser>
        <c:dLbls>
          <c:showLegendKey val="0"/>
          <c:showVal val="0"/>
          <c:showCatName val="0"/>
          <c:showSerName val="0"/>
          <c:showPercent val="0"/>
          <c:showBubbleSize val="0"/>
        </c:dLbls>
        <c:gapWidth val="232"/>
        <c:overlap val="100"/>
        <c:axId val="154110976"/>
        <c:axId val="154125056"/>
      </c:barChart>
      <c:catAx>
        <c:axId val="154094976"/>
        <c:scaling>
          <c:orientation val="minMax"/>
        </c:scaling>
        <c:delete val="0"/>
        <c:axPos val="b"/>
        <c:numFmt formatCode="General" sourceLinked="1"/>
        <c:majorTickMark val="none"/>
        <c:minorTickMark val="none"/>
        <c:tickLblPos val="nextTo"/>
        <c:spPr>
          <a:noFill/>
          <a:ln w="25382" cap="flat" cmpd="sng" algn="ctr">
            <a:solidFill>
              <a:schemeClr val="tx2">
                <a:lumMod val="50000"/>
              </a:schemeClr>
            </a:solidFill>
            <a:round/>
          </a:ln>
          <a:effectLst/>
        </c:spPr>
        <c:txPr>
          <a:bodyPr rot="-60000000" spcFirstLastPara="1" vertOverflow="ellipsis" vert="horz" wrap="square" anchor="ctr" anchorCtr="1"/>
          <a:lstStyle/>
          <a:p>
            <a:pPr>
              <a:defRPr sz="1196" b="1" i="0" u="none" strike="noStrike" kern="1200" baseline="0">
                <a:solidFill>
                  <a:schemeClr val="tx1">
                    <a:lumMod val="65000"/>
                    <a:lumOff val="35000"/>
                  </a:schemeClr>
                </a:solidFill>
                <a:latin typeface="+mn-lt"/>
                <a:ea typeface="+mn-ea"/>
                <a:cs typeface="+mn-cs"/>
              </a:defRPr>
            </a:pPr>
            <a:endParaRPr lang="en-US"/>
          </a:p>
        </c:txPr>
        <c:crossAx val="154109056"/>
        <c:crosses val="autoZero"/>
        <c:auto val="1"/>
        <c:lblAlgn val="ctr"/>
        <c:lblOffset val="100"/>
        <c:noMultiLvlLbl val="0"/>
      </c:catAx>
      <c:valAx>
        <c:axId val="154109056"/>
        <c:scaling>
          <c:orientation val="minMax"/>
          <c:max val="2500"/>
          <c:min val="0"/>
        </c:scaling>
        <c:delete val="0"/>
        <c:axPos val="l"/>
        <c:majorGridlines>
          <c:spPr>
            <a:ln w="9518" cap="flat" cmpd="sng" algn="ctr">
              <a:solidFill>
                <a:schemeClr val="tx1">
                  <a:lumMod val="15000"/>
                  <a:lumOff val="85000"/>
                </a:schemeClr>
              </a:solidFill>
              <a:round/>
            </a:ln>
            <a:effectLst/>
          </c:spPr>
        </c:majorGridlines>
        <c:title>
          <c:tx>
            <c:rich>
              <a:bodyPr/>
              <a:lstStyle/>
              <a:p>
                <a:pPr>
                  <a:defRPr sz="1200" b="0" i="0" u="none" strike="noStrike" baseline="0">
                    <a:solidFill>
                      <a:srgbClr val="333333"/>
                    </a:solidFill>
                    <a:latin typeface="GHEA Grapalat"/>
                    <a:ea typeface="GHEA Grapalat"/>
                    <a:cs typeface="GHEA Grapalat"/>
                  </a:defRPr>
                </a:pPr>
                <a:r>
                  <a:rPr lang="hy-AM" sz="1200" b="0"/>
                  <a:t>մլրդ դրամ</a:t>
                </a:r>
              </a:p>
            </c:rich>
          </c:tx>
          <c:overlay val="0"/>
          <c:spPr>
            <a:noFill/>
            <a:ln w="25382">
              <a:noFill/>
            </a:ln>
          </c:spPr>
        </c:title>
        <c:numFmt formatCode="#\,##0.0" sourceLinked="1"/>
        <c:majorTickMark val="none"/>
        <c:minorTickMark val="none"/>
        <c:tickLblPos val="nextTo"/>
        <c:spPr>
          <a:noFill/>
          <a:ln w="28555">
            <a:solidFill>
              <a:schemeClr val="tx2">
                <a:lumMod val="50000"/>
              </a:schemeClr>
            </a:solid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54094976"/>
        <c:crosses val="autoZero"/>
        <c:crossBetween val="between"/>
      </c:valAx>
      <c:catAx>
        <c:axId val="154110976"/>
        <c:scaling>
          <c:orientation val="minMax"/>
        </c:scaling>
        <c:delete val="1"/>
        <c:axPos val="b"/>
        <c:numFmt formatCode="General" sourceLinked="1"/>
        <c:majorTickMark val="out"/>
        <c:minorTickMark val="none"/>
        <c:tickLblPos val="none"/>
        <c:crossAx val="154125056"/>
        <c:crosses val="autoZero"/>
        <c:auto val="1"/>
        <c:lblAlgn val="ctr"/>
        <c:lblOffset val="100"/>
        <c:noMultiLvlLbl val="0"/>
      </c:catAx>
      <c:valAx>
        <c:axId val="154125056"/>
        <c:scaling>
          <c:orientation val="minMax"/>
          <c:max val="1800"/>
          <c:min val="0"/>
        </c:scaling>
        <c:delete val="1"/>
        <c:axPos val="r"/>
        <c:numFmt formatCode="#\,##0.0" sourceLinked="1"/>
        <c:majorTickMark val="out"/>
        <c:minorTickMark val="none"/>
        <c:tickLblPos val="none"/>
        <c:crossAx val="154110976"/>
        <c:crosses val="max"/>
        <c:crossBetween val="between"/>
        <c:majorUnit val="200"/>
      </c:valAx>
      <c:spPr>
        <a:noFill/>
        <a:ln w="25382">
          <a:noFill/>
        </a:ln>
      </c:spPr>
    </c:plotArea>
    <c:legend>
      <c:legendPos val="b"/>
      <c:legendEntry>
        <c:idx val="0"/>
        <c:delete val="1"/>
      </c:legendEntry>
      <c:layout>
        <c:manualLayout>
          <c:xMode val="edge"/>
          <c:yMode val="edge"/>
          <c:x val="5.8816782230579477E-2"/>
          <c:y val="0.92351471814054742"/>
          <c:w val="0.93486065734320645"/>
          <c:h val="5.9144260510743334E-2"/>
        </c:manualLayout>
      </c:layout>
      <c:overlay val="0"/>
      <c:spPr>
        <a:noFill/>
        <a:ln w="25382">
          <a:noFill/>
        </a:ln>
      </c:spPr>
      <c:txPr>
        <a:bodyPr rot="0" spcFirstLastPara="1" vertOverflow="ellipsis" vert="horz" wrap="square" anchor="ctr" anchorCtr="1"/>
        <a:lstStyle/>
        <a:p>
          <a:pPr>
            <a:defRPr sz="1196"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a:noFill/>
    </a:ln>
  </c:spPr>
  <c:txPr>
    <a:bodyPr/>
    <a:lstStyle/>
    <a:p>
      <a:pPr>
        <a:defRPr/>
      </a:pPr>
      <a:endParaRPr lang="en-US"/>
    </a:p>
  </c:txPr>
  <c:externalData r:id="rId2">
    <c:autoUpdate val="0"/>
  </c:externalData>
  <c:userShapes r:id="rId3"/>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187609185507758"/>
          <c:y val="2.6555172338994841E-2"/>
          <c:w val="0.87794094066216066"/>
          <c:h val="0.6456551918613479"/>
        </c:manualLayout>
      </c:layout>
      <c:barChart>
        <c:barDir val="col"/>
        <c:grouping val="stacked"/>
        <c:varyColors val="0"/>
        <c:ser>
          <c:idx val="0"/>
          <c:order val="0"/>
          <c:tx>
            <c:strRef>
              <c:f>Sheet1!$B$5</c:f>
              <c:strCache>
                <c:ptCount val="1"/>
                <c:pt idx="0">
                  <c:v>Ընդամենը ծախսեր</c:v>
                </c:pt>
              </c:strCache>
            </c:strRef>
          </c:tx>
          <c:spPr>
            <a:solidFill>
              <a:schemeClr val="accent1">
                <a:lumMod val="75000"/>
                <a:alpha val="12000"/>
              </a:schemeClr>
            </a:solidFill>
            <a:ln>
              <a:noFill/>
            </a:ln>
            <a:effectLst/>
            <a:scene3d>
              <a:camera prst="orthographicFront"/>
              <a:lightRig rig="threePt" dir="t"/>
            </a:scene3d>
            <a:sp3d prstMaterial="metal">
              <a:bevelT/>
            </a:sp3d>
          </c:spPr>
          <c:invertIfNegative val="0"/>
          <c:dLbls>
            <c:dLbl>
              <c:idx val="0"/>
              <c:layout>
                <c:manualLayout>
                  <c:x val="-8.4522199998312286E-2"/>
                  <c:y val="-2.754820936639121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743-49D7-B123-7D66F91AD724}"/>
                </c:ext>
              </c:extLst>
            </c:dLbl>
            <c:dLbl>
              <c:idx val="1"/>
              <c:layout>
                <c:manualLayout>
                  <c:x val="-0.11665285666452191"/>
                  <c:y val="5.780307164574702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743-49D7-B123-7D66F91AD724}"/>
                </c:ext>
              </c:extLst>
            </c:dLbl>
            <c:dLbl>
              <c:idx val="2"/>
              <c:layout>
                <c:manualLayout>
                  <c:x val="-0.11091854258958364"/>
                  <c:y val="1.609147371430055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743-49D7-B123-7D66F91AD724}"/>
                </c:ext>
              </c:extLst>
            </c:dLbl>
            <c:dLbl>
              <c:idx val="3"/>
              <c:layout>
                <c:manualLayout>
                  <c:x val="-0.10974962258595992"/>
                  <c:y val="1.156069364161853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743-49D7-B123-7D66F91AD724}"/>
                </c:ext>
              </c:extLst>
            </c:dLbl>
            <c:spPr>
              <a:noFill/>
              <a:ln w="25384">
                <a:noFill/>
              </a:ln>
            </c:spPr>
            <c:txPr>
              <a:bodyPr rot="-5400000" spcFirstLastPara="1" vertOverflow="ellipsis" wrap="square" lIns="38100" tIns="19050" rIns="38100" bIns="19050" anchor="ctr" anchorCtr="1">
                <a:spAutoFit/>
              </a:bodyPr>
              <a:lstStyle/>
              <a:p>
                <a:pPr>
                  <a:defRPr sz="1195" b="1" i="0" u="none" strike="noStrike" kern="1200" baseline="0">
                    <a:solidFill>
                      <a:schemeClr val="tx2">
                        <a:lumMod val="50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Sheet1!$C$5:$F$5</c:f>
              <c:numCache>
                <c:formatCode>_ * #\,##0.0_)\ _ _ ;_ * \(#\,##0.0\)\ _ _ ;_ * "-"??_)\ _ _ ;_ @_ </c:formatCode>
                <c:ptCount val="4"/>
                <c:pt idx="0">
                  <c:v>25.558707028559841</c:v>
                </c:pt>
                <c:pt idx="1">
                  <c:v>22.564903957537929</c:v>
                </c:pt>
                <c:pt idx="2">
                  <c:v>22.363530439040424</c:v>
                </c:pt>
                <c:pt idx="3">
                  <c:v>22.162300942847416</c:v>
                </c:pt>
              </c:numCache>
            </c:numRef>
          </c:val>
          <c:extLst>
            <c:ext xmlns:c16="http://schemas.microsoft.com/office/drawing/2014/chart" uri="{C3380CC4-5D6E-409C-BE32-E72D297353CC}">
              <c16:uniqueId val="{00000004-7743-49D7-B123-7D66F91AD724}"/>
            </c:ext>
          </c:extLst>
        </c:ser>
        <c:dLbls>
          <c:showLegendKey val="0"/>
          <c:showVal val="0"/>
          <c:showCatName val="0"/>
          <c:showSerName val="0"/>
          <c:showPercent val="0"/>
          <c:showBubbleSize val="0"/>
        </c:dLbls>
        <c:gapWidth val="34"/>
        <c:overlap val="100"/>
        <c:axId val="155005312"/>
        <c:axId val="155006848"/>
      </c:barChart>
      <c:barChart>
        <c:barDir val="col"/>
        <c:grouping val="stacked"/>
        <c:varyColors val="0"/>
        <c:ser>
          <c:idx val="1"/>
          <c:order val="1"/>
          <c:tx>
            <c:strRef>
              <c:f>Sheet1!$B$6</c:f>
              <c:strCache>
                <c:ptCount val="1"/>
                <c:pt idx="0">
                  <c:v>Աշխատանքի վարձատրություն</c:v>
                </c:pt>
              </c:strCache>
            </c:strRef>
          </c:tx>
          <c:spPr>
            <a:solidFill>
              <a:schemeClr val="accent2">
                <a:lumMod val="75000"/>
              </a:schemeClr>
            </a:solidFill>
            <a:ln>
              <a:noFill/>
            </a:ln>
            <a:effectLst/>
            <a:scene3d>
              <a:camera prst="orthographicFront"/>
              <a:lightRig rig="threePt" dir="t"/>
            </a:scene3d>
            <a:sp3d prstMaterial="metal">
              <a:bevelT/>
            </a:sp3d>
          </c:spPr>
          <c:invertIfNegative val="0"/>
          <c:dLbls>
            <c:spPr>
              <a:noFill/>
              <a:ln w="25384">
                <a:noFill/>
              </a:ln>
            </c:spPr>
            <c:txPr>
              <a:bodyPr rot="0" spcFirstLastPara="1" vertOverflow="ellipsis" vert="horz" wrap="square" lIns="38100" tIns="19050" rIns="38100" bIns="19050" anchor="ctr" anchorCtr="1">
                <a:spAutoFit/>
              </a:bodyPr>
              <a:lstStyle/>
              <a:p>
                <a:pPr>
                  <a:defRPr sz="1195" b="0" i="0" u="none" strike="noStrike" kern="1200" baseline="0">
                    <a:solidFill>
                      <a:schemeClr val="bg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Sheet1!$C$6:$F$6</c:f>
              <c:numCache>
                <c:formatCode>_ * #\,##0.0_)\ _ _ ;_ * \(#\,##0.0\)\ _ _ ;_ * "-"??_)\ _ _ ;_ @_ </c:formatCode>
                <c:ptCount val="4"/>
                <c:pt idx="0">
                  <c:v>2.8313755698551004</c:v>
                </c:pt>
                <c:pt idx="1">
                  <c:v>2.3758764189121937</c:v>
                </c:pt>
                <c:pt idx="2">
                  <c:v>2.2167723479680443</c:v>
                </c:pt>
                <c:pt idx="3">
                  <c:v>2.058450385588642</c:v>
                </c:pt>
              </c:numCache>
            </c:numRef>
          </c:val>
          <c:extLst>
            <c:ext xmlns:c16="http://schemas.microsoft.com/office/drawing/2014/chart" uri="{C3380CC4-5D6E-409C-BE32-E72D297353CC}">
              <c16:uniqueId val="{00000005-7743-49D7-B123-7D66F91AD724}"/>
            </c:ext>
          </c:extLst>
        </c:ser>
        <c:ser>
          <c:idx val="2"/>
          <c:order val="2"/>
          <c:tx>
            <c:strRef>
              <c:f>Sheet1!$B$7</c:f>
              <c:strCache>
                <c:ptCount val="1"/>
                <c:pt idx="0">
                  <c:v>Ծառայությունների և ապրանքների ձեռքբերում</c:v>
                </c:pt>
              </c:strCache>
            </c:strRef>
          </c:tx>
          <c:spPr>
            <a:solidFill>
              <a:schemeClr val="accent3">
                <a:lumMod val="75000"/>
              </a:schemeClr>
            </a:solidFill>
            <a:ln>
              <a:noFill/>
            </a:ln>
            <a:effectLst/>
            <a:scene3d>
              <a:camera prst="orthographicFront"/>
              <a:lightRig rig="threePt" dir="t"/>
            </a:scene3d>
            <a:sp3d prstMaterial="metal">
              <a:bevelT/>
            </a:sp3d>
          </c:spPr>
          <c:invertIfNegative val="0"/>
          <c:dLbls>
            <c:spPr>
              <a:noFill/>
              <a:ln w="25384">
                <a:noFill/>
              </a:ln>
            </c:spPr>
            <c:txPr>
              <a:bodyPr rot="0" spcFirstLastPara="1" vertOverflow="ellipsis" vert="horz" wrap="square" lIns="38100" tIns="19050" rIns="38100" bIns="19050" anchor="ctr" anchorCtr="1">
                <a:spAutoFit/>
              </a:bodyPr>
              <a:lstStyle/>
              <a:p>
                <a:pPr>
                  <a:defRPr sz="1195"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Sheet1!$C$7:$F$7</c:f>
              <c:numCache>
                <c:formatCode>_ * #\,##0.0_)\ _ _ ;_ * \(#\,##0.0\)\ _ _ ;_ * "-"??_)\ _ _ ;_ @_ </c:formatCode>
                <c:ptCount val="4"/>
                <c:pt idx="0">
                  <c:v>2.6446796139646667</c:v>
                </c:pt>
                <c:pt idx="1">
                  <c:v>2.0448858811564694</c:v>
                </c:pt>
                <c:pt idx="2">
                  <c:v>2.03876755105642</c:v>
                </c:pt>
                <c:pt idx="3">
                  <c:v>1.9030361376054159</c:v>
                </c:pt>
              </c:numCache>
            </c:numRef>
          </c:val>
          <c:extLst>
            <c:ext xmlns:c16="http://schemas.microsoft.com/office/drawing/2014/chart" uri="{C3380CC4-5D6E-409C-BE32-E72D297353CC}">
              <c16:uniqueId val="{00000006-7743-49D7-B123-7D66F91AD724}"/>
            </c:ext>
          </c:extLst>
        </c:ser>
        <c:ser>
          <c:idx val="3"/>
          <c:order val="3"/>
          <c:tx>
            <c:strRef>
              <c:f>Sheet1!$B$8</c:f>
              <c:strCache>
                <c:ptCount val="1"/>
                <c:pt idx="0">
                  <c:v>Տոկոսավճարներ</c:v>
                </c:pt>
              </c:strCache>
            </c:strRef>
          </c:tx>
          <c:spPr>
            <a:scene3d>
              <a:camera prst="orthographicFront"/>
              <a:lightRig rig="threePt" dir="t"/>
            </a:scene3d>
            <a:sp3d>
              <a:bevelT/>
            </a:sp3d>
          </c:spPr>
          <c:invertIfNegative val="0"/>
          <c:dLbls>
            <c:spPr>
              <a:noFill/>
              <a:ln w="2538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Sheet1!$C$8:$F$8</c:f>
              <c:numCache>
                <c:formatCode>_ * #\,##0.0_)\ _ _ ;_ * \(#\,##0.0\)\ _ _ ;_ * "-"??_)\ _ _ ;_ @_ </c:formatCode>
                <c:ptCount val="4"/>
                <c:pt idx="0">
                  <c:v>3.0444195905070002</c:v>
                </c:pt>
                <c:pt idx="1">
                  <c:v>2.8498839229452564</c:v>
                </c:pt>
                <c:pt idx="2">
                  <c:v>2.9796209066354877</c:v>
                </c:pt>
                <c:pt idx="3">
                  <c:v>3.0339415680151554</c:v>
                </c:pt>
              </c:numCache>
            </c:numRef>
          </c:val>
          <c:extLst>
            <c:ext xmlns:c16="http://schemas.microsoft.com/office/drawing/2014/chart" uri="{C3380CC4-5D6E-409C-BE32-E72D297353CC}">
              <c16:uniqueId val="{00000007-7743-49D7-B123-7D66F91AD724}"/>
            </c:ext>
          </c:extLst>
        </c:ser>
        <c:ser>
          <c:idx val="4"/>
          <c:order val="4"/>
          <c:tx>
            <c:strRef>
              <c:f>Sheet1!$B$9</c:f>
              <c:strCache>
                <c:ptCount val="1"/>
                <c:pt idx="0">
                  <c:v>Սուբսիդիաներ</c:v>
                </c:pt>
              </c:strCache>
            </c:strRef>
          </c:tx>
          <c:spPr>
            <a:scene3d>
              <a:camera prst="orthographicFront"/>
              <a:lightRig rig="threePt" dir="t"/>
            </a:scene3d>
            <a:sp3d>
              <a:bevelT/>
            </a:sp3d>
          </c:spPr>
          <c:invertIfNegative val="0"/>
          <c:dLbls>
            <c:spPr>
              <a:noFill/>
              <a:ln w="2538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Sheet1!$C$9:$F$9</c:f>
              <c:numCache>
                <c:formatCode>_ * #\,##0.0_)\ _ _ ;_ * \(#\,##0.0\)\ _ _ ;_ * "-"??_)\ _ _ ;_ @_ </c:formatCode>
                <c:ptCount val="4"/>
                <c:pt idx="0">
                  <c:v>1.913435550838462</c:v>
                </c:pt>
                <c:pt idx="1">
                  <c:v>1.5520797942124684</c:v>
                </c:pt>
                <c:pt idx="2">
                  <c:v>1.5381740508565633</c:v>
                </c:pt>
                <c:pt idx="3">
                  <c:v>1.44968959815663</c:v>
                </c:pt>
              </c:numCache>
            </c:numRef>
          </c:val>
          <c:extLst>
            <c:ext xmlns:c16="http://schemas.microsoft.com/office/drawing/2014/chart" uri="{C3380CC4-5D6E-409C-BE32-E72D297353CC}">
              <c16:uniqueId val="{00000008-7743-49D7-B123-7D66F91AD724}"/>
            </c:ext>
          </c:extLst>
        </c:ser>
        <c:ser>
          <c:idx val="5"/>
          <c:order val="5"/>
          <c:tx>
            <c:strRef>
              <c:f>Sheet1!$B$10</c:f>
              <c:strCache>
                <c:ptCount val="1"/>
                <c:pt idx="0">
                  <c:v>Դրամաշնորհներ</c:v>
                </c:pt>
              </c:strCache>
            </c:strRef>
          </c:tx>
          <c:spPr>
            <a:scene3d>
              <a:camera prst="orthographicFront"/>
              <a:lightRig rig="threePt" dir="t"/>
            </a:scene3d>
            <a:sp3d>
              <a:bevelT/>
            </a:sp3d>
          </c:spPr>
          <c:invertIfNegative val="0"/>
          <c:dLbls>
            <c:spPr>
              <a:noFill/>
              <a:ln w="2538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Sheet1!$C$10:$F$10</c:f>
              <c:numCache>
                <c:formatCode>_ * #\,##0.0_)\ _ _ ;_ * \(#\,##0.0\)\ _ _ ;_ * "-"??_)\ _ _ ;_ @_ </c:formatCode>
                <c:ptCount val="4"/>
                <c:pt idx="0">
                  <c:v>2.547389861060835</c:v>
                </c:pt>
                <c:pt idx="1">
                  <c:v>1.9651546700666749</c:v>
                </c:pt>
                <c:pt idx="2">
                  <c:v>1.914714453595552</c:v>
                </c:pt>
                <c:pt idx="3">
                  <c:v>1.8431134631161041</c:v>
                </c:pt>
              </c:numCache>
            </c:numRef>
          </c:val>
          <c:extLst>
            <c:ext xmlns:c16="http://schemas.microsoft.com/office/drawing/2014/chart" uri="{C3380CC4-5D6E-409C-BE32-E72D297353CC}">
              <c16:uniqueId val="{00000009-7743-49D7-B123-7D66F91AD724}"/>
            </c:ext>
          </c:extLst>
        </c:ser>
        <c:ser>
          <c:idx val="6"/>
          <c:order val="6"/>
          <c:tx>
            <c:strRef>
              <c:f>Sheet1!$B$11</c:f>
              <c:strCache>
                <c:ptCount val="1"/>
                <c:pt idx="0">
                  <c:v>Սոցիալական նպաստներ և կենսաթոշակներ</c:v>
                </c:pt>
              </c:strCache>
            </c:strRef>
          </c:tx>
          <c:spPr>
            <a:scene3d>
              <a:camera prst="orthographicFront"/>
              <a:lightRig rig="threePt" dir="t"/>
            </a:scene3d>
            <a:sp3d>
              <a:bevelT/>
            </a:sp3d>
          </c:spPr>
          <c:invertIfNegative val="0"/>
          <c:dLbls>
            <c:spPr>
              <a:noFill/>
              <a:ln w="2538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Sheet1!$C$11:$F$11</c:f>
              <c:numCache>
                <c:formatCode>_ * #\,##0.0_)\ _ _ ;_ * \(#\,##0.0\)\ _ _ ;_ * "-"??_)\ _ _ ;_ @_ </c:formatCode>
                <c:ptCount val="4"/>
                <c:pt idx="0">
                  <c:v>8.2540608160337001</c:v>
                </c:pt>
                <c:pt idx="1">
                  <c:v>6.5562735837633843</c:v>
                </c:pt>
                <c:pt idx="2">
                  <c:v>6.4852585327019421</c:v>
                </c:pt>
                <c:pt idx="3">
                  <c:v>5.9984721348921921</c:v>
                </c:pt>
              </c:numCache>
            </c:numRef>
          </c:val>
          <c:extLst>
            <c:ext xmlns:c16="http://schemas.microsoft.com/office/drawing/2014/chart" uri="{C3380CC4-5D6E-409C-BE32-E72D297353CC}">
              <c16:uniqueId val="{0000000A-7743-49D7-B123-7D66F91AD724}"/>
            </c:ext>
          </c:extLst>
        </c:ser>
        <c:ser>
          <c:idx val="7"/>
          <c:order val="7"/>
          <c:tx>
            <c:strRef>
              <c:f>Sheet1!$B$12</c:f>
              <c:strCache>
                <c:ptCount val="1"/>
                <c:pt idx="0">
                  <c:v>Այլ ծախսեր</c:v>
                </c:pt>
              </c:strCache>
            </c:strRef>
          </c:tx>
          <c:spPr>
            <a:scene3d>
              <a:camera prst="orthographicFront"/>
              <a:lightRig rig="threePt" dir="t"/>
            </a:scene3d>
            <a:sp3d>
              <a:bevelT/>
            </a:sp3d>
          </c:spPr>
          <c:invertIfNegative val="0"/>
          <c:dLbls>
            <c:spPr>
              <a:noFill/>
              <a:ln w="2538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Sheet1!$C$12:$F$12</c:f>
              <c:numCache>
                <c:formatCode>_ * #\,##0.0_)\ _ _ ;_ * \(#\,##0.0\)\ _ _ ;_ * "-"??_)\ _ _ ;_ @_ </c:formatCode>
                <c:ptCount val="4"/>
                <c:pt idx="0">
                  <c:v>4.3233460263000865</c:v>
                </c:pt>
                <c:pt idx="1">
                  <c:v>5.2207496864814988</c:v>
                </c:pt>
                <c:pt idx="2">
                  <c:v>5.1902225962264152</c:v>
                </c:pt>
                <c:pt idx="3">
                  <c:v>5.8755976554732801</c:v>
                </c:pt>
              </c:numCache>
            </c:numRef>
          </c:val>
          <c:extLst>
            <c:ext xmlns:c16="http://schemas.microsoft.com/office/drawing/2014/chart" uri="{C3380CC4-5D6E-409C-BE32-E72D297353CC}">
              <c16:uniqueId val="{0000000B-7743-49D7-B123-7D66F91AD724}"/>
            </c:ext>
          </c:extLst>
        </c:ser>
        <c:dLbls>
          <c:showLegendKey val="0"/>
          <c:showVal val="0"/>
          <c:showCatName val="0"/>
          <c:showSerName val="0"/>
          <c:showPercent val="0"/>
          <c:showBubbleSize val="0"/>
        </c:dLbls>
        <c:gapWidth val="174"/>
        <c:overlap val="100"/>
        <c:axId val="155009024"/>
        <c:axId val="155010560"/>
      </c:barChart>
      <c:catAx>
        <c:axId val="155005312"/>
        <c:scaling>
          <c:orientation val="minMax"/>
        </c:scaling>
        <c:delete val="0"/>
        <c:axPos val="b"/>
        <c:numFmt formatCode="General" sourceLinked="1"/>
        <c:majorTickMark val="none"/>
        <c:minorTickMark val="none"/>
        <c:tickLblPos val="nextTo"/>
        <c:spPr>
          <a:noFill/>
          <a:ln w="25365" cap="flat" cmpd="sng" algn="ctr">
            <a:solidFill>
              <a:schemeClr val="tx2">
                <a:lumMod val="50000"/>
              </a:schemeClr>
            </a:solidFill>
            <a:round/>
          </a:ln>
          <a:effectLst/>
        </c:spPr>
        <c:txPr>
          <a:bodyPr rot="-60000000" spcFirstLastPara="1" vertOverflow="ellipsis" vert="horz" wrap="square" anchor="ctr" anchorCtr="1"/>
          <a:lstStyle/>
          <a:p>
            <a:pPr>
              <a:defRPr sz="1195" b="1" i="0" u="none" strike="noStrike" kern="1200" baseline="0">
                <a:solidFill>
                  <a:schemeClr val="tx1">
                    <a:lumMod val="65000"/>
                    <a:lumOff val="35000"/>
                  </a:schemeClr>
                </a:solidFill>
                <a:latin typeface="+mn-lt"/>
                <a:ea typeface="+mn-ea"/>
                <a:cs typeface="+mn-cs"/>
              </a:defRPr>
            </a:pPr>
            <a:endParaRPr lang="en-US"/>
          </a:p>
        </c:txPr>
        <c:crossAx val="155006848"/>
        <c:crosses val="autoZero"/>
        <c:auto val="1"/>
        <c:lblAlgn val="ctr"/>
        <c:lblOffset val="100"/>
        <c:noMultiLvlLbl val="0"/>
      </c:catAx>
      <c:valAx>
        <c:axId val="155006848"/>
        <c:scaling>
          <c:orientation val="minMax"/>
          <c:max val="28"/>
          <c:min val="0"/>
        </c:scaling>
        <c:delete val="0"/>
        <c:axPos val="l"/>
        <c:majorGridlines>
          <c:spPr>
            <a:ln w="9512" cap="flat" cmpd="sng" algn="ctr">
              <a:solidFill>
                <a:schemeClr val="tx1">
                  <a:lumMod val="15000"/>
                  <a:lumOff val="85000"/>
                </a:schemeClr>
              </a:solidFill>
              <a:round/>
            </a:ln>
            <a:effectLst/>
          </c:spPr>
        </c:majorGridlines>
        <c:title>
          <c:tx>
            <c:rich>
              <a:bodyPr/>
              <a:lstStyle/>
              <a:p>
                <a:pPr>
                  <a:defRPr sz="1099" b="0" i="0" u="none" strike="noStrike" baseline="0">
                    <a:solidFill>
                      <a:srgbClr val="000000"/>
                    </a:solidFill>
                    <a:latin typeface="Times Armenian"/>
                    <a:ea typeface="Times Armenian"/>
                    <a:cs typeface="Times Armenian"/>
                  </a:defRPr>
                </a:pPr>
                <a:r>
                  <a:rPr lang="en-US" sz="1324" b="1" i="0" u="none" strike="noStrike" baseline="0">
                    <a:solidFill>
                      <a:srgbClr val="003366"/>
                    </a:solidFill>
                    <a:latin typeface="GHEA Grapalat"/>
                  </a:rPr>
                  <a:t>%-ով</a:t>
                </a:r>
              </a:p>
            </c:rich>
          </c:tx>
          <c:layout>
            <c:manualLayout>
              <c:xMode val="edge"/>
              <c:yMode val="edge"/>
              <c:x val="6.1351832628638463E-2"/>
              <c:y val="0.35013231817097246"/>
            </c:manualLayout>
          </c:layout>
          <c:overlay val="0"/>
          <c:spPr>
            <a:noFill/>
            <a:ln w="25384">
              <a:noFill/>
            </a:ln>
          </c:spPr>
        </c:title>
        <c:numFmt formatCode="_ * #\,##0.0_)\ _ _ ;_ * \(#\,##0.0\)\ _ _ ;_ * &quot;-&quot;??_)\ _ _ ;_ @_ " sourceLinked="1"/>
        <c:majorTickMark val="none"/>
        <c:minorTickMark val="none"/>
        <c:tickLblPos val="nextTo"/>
        <c:spPr>
          <a:noFill/>
          <a:ln w="28535">
            <a:solidFill>
              <a:schemeClr val="tx2">
                <a:lumMod val="50000"/>
              </a:schemeClr>
            </a:solidFill>
          </a:ln>
          <a:effectLst/>
        </c:spPr>
        <c:txPr>
          <a:bodyPr rot="-60000000" spcFirstLastPara="1" vertOverflow="ellipsis" vert="horz" wrap="square" anchor="ctr" anchorCtr="1"/>
          <a:lstStyle/>
          <a:p>
            <a:pPr>
              <a:defRPr sz="1195" b="1" i="0" u="none" strike="noStrike" kern="1200" baseline="0">
                <a:solidFill>
                  <a:schemeClr val="tx1">
                    <a:lumMod val="65000"/>
                    <a:lumOff val="35000"/>
                  </a:schemeClr>
                </a:solidFill>
                <a:latin typeface="+mn-lt"/>
                <a:ea typeface="+mn-ea"/>
                <a:cs typeface="+mn-cs"/>
              </a:defRPr>
            </a:pPr>
            <a:endParaRPr lang="en-US"/>
          </a:p>
        </c:txPr>
        <c:crossAx val="155005312"/>
        <c:crosses val="autoZero"/>
        <c:crossBetween val="between"/>
        <c:majorUnit val="4"/>
      </c:valAx>
      <c:catAx>
        <c:axId val="155009024"/>
        <c:scaling>
          <c:orientation val="minMax"/>
        </c:scaling>
        <c:delete val="1"/>
        <c:axPos val="b"/>
        <c:numFmt formatCode="General" sourceLinked="1"/>
        <c:majorTickMark val="out"/>
        <c:minorTickMark val="none"/>
        <c:tickLblPos val="none"/>
        <c:crossAx val="155010560"/>
        <c:crosses val="autoZero"/>
        <c:auto val="1"/>
        <c:lblAlgn val="ctr"/>
        <c:lblOffset val="100"/>
        <c:noMultiLvlLbl val="0"/>
      </c:catAx>
      <c:valAx>
        <c:axId val="155010560"/>
        <c:scaling>
          <c:orientation val="minMax"/>
          <c:max val="1800"/>
          <c:min val="0"/>
        </c:scaling>
        <c:delete val="1"/>
        <c:axPos val="r"/>
        <c:numFmt formatCode="_ * #\,##0.0_)\ _ _ ;_ * \(#\,##0.0\)\ _ _ ;_ * &quot;-&quot;??_)\ _ _ ;_ @_ " sourceLinked="1"/>
        <c:majorTickMark val="out"/>
        <c:minorTickMark val="none"/>
        <c:tickLblPos val="none"/>
        <c:crossAx val="155009024"/>
        <c:crosses val="max"/>
        <c:crossBetween val="between"/>
        <c:majorUnit val="200"/>
      </c:valAx>
      <c:spPr>
        <a:noFill/>
        <a:ln w="25384">
          <a:noFill/>
        </a:ln>
      </c:spPr>
    </c:plotArea>
    <c:legend>
      <c:legendPos val="b"/>
      <c:legendEntry>
        <c:idx val="0"/>
        <c:delete val="1"/>
      </c:legendEntry>
      <c:layout>
        <c:manualLayout>
          <c:xMode val="edge"/>
          <c:yMode val="edge"/>
          <c:x val="2.4081482352019432E-2"/>
          <c:y val="0.73774320634163293"/>
          <c:w val="0.97591851764798065"/>
          <c:h val="0.26225658156366832"/>
        </c:manualLayout>
      </c:layout>
      <c:overlay val="0"/>
      <c:spPr>
        <a:noFill/>
        <a:ln w="25384">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a:noFill/>
    </a:ln>
  </c:spPr>
  <c:txPr>
    <a:bodyPr/>
    <a:lstStyle/>
    <a:p>
      <a:pPr>
        <a:defRPr/>
      </a:pPr>
      <a:endParaRPr lang="en-US"/>
    </a:p>
  </c:txPr>
  <c:externalData r:id="rId2">
    <c:autoUpdate val="0"/>
  </c:externalData>
  <c:userShapes r:id="rId3"/>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72988715916722"/>
          <c:y val="3.1468446402446004E-2"/>
          <c:w val="0.82763342853748345"/>
          <c:h val="0.70709888821308775"/>
        </c:manualLayout>
      </c:layout>
      <c:barChart>
        <c:barDir val="col"/>
        <c:grouping val="stacked"/>
        <c:varyColors val="0"/>
        <c:ser>
          <c:idx val="0"/>
          <c:order val="0"/>
          <c:tx>
            <c:strRef>
              <c:f>Sheet1!$B$7</c:f>
              <c:strCache>
                <c:ptCount val="1"/>
                <c:pt idx="0">
                  <c:v>Կապիտալ ծախսեր</c:v>
                </c:pt>
              </c:strCache>
            </c:strRef>
          </c:tx>
          <c:spPr>
            <a:solidFill>
              <a:schemeClr val="accent1">
                <a:lumMod val="75000"/>
                <a:alpha val="12000"/>
              </a:schemeClr>
            </a:solidFill>
            <a:ln>
              <a:solidFill>
                <a:schemeClr val="bg1"/>
              </a:solidFill>
            </a:ln>
            <a:effectLst/>
            <a:scene3d>
              <a:camera prst="orthographicFront"/>
              <a:lightRig rig="threePt" dir="t"/>
            </a:scene3d>
            <a:sp3d prstMaterial="metal">
              <a:bevelT/>
            </a:sp3d>
          </c:spPr>
          <c:invertIfNegative val="0"/>
          <c:dLbls>
            <c:dLbl>
              <c:idx val="0"/>
              <c:layout>
                <c:manualLayout>
                  <c:x val="-8.3018326412902244E-2"/>
                  <c:y val="-6.318346949846309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53B-4B1E-A294-51A387558005}"/>
                </c:ext>
              </c:extLst>
            </c:dLbl>
            <c:dLbl>
              <c:idx val="1"/>
              <c:layout>
                <c:manualLayout>
                  <c:x val="-0.10966453267415706"/>
                  <c:y val="6.2926372199299703E-3"/>
                </c:manualLayout>
              </c:layout>
              <c:tx>
                <c:rich>
                  <a:bodyPr/>
                  <a:lstStyle/>
                  <a:p>
                    <a:r>
                      <a:rPr lang="en-US"/>
                      <a:t> 292.6 </a:t>
                    </a:r>
                  </a:p>
                </c:rich>
              </c:tx>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53B-4B1E-A294-51A387558005}"/>
                </c:ext>
              </c:extLst>
            </c:dLbl>
            <c:dLbl>
              <c:idx val="2"/>
              <c:layout>
                <c:manualLayout>
                  <c:x val="-0.110835401157982"/>
                  <c:y val="1.2886597938144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53B-4B1E-A294-51A387558005}"/>
                </c:ext>
              </c:extLst>
            </c:dLbl>
            <c:dLbl>
              <c:idx val="3"/>
              <c:layout>
                <c:manualLayout>
                  <c:x val="-0.115670726344392"/>
                  <c:y val="8.5552249601367203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53B-4B1E-A294-51A387558005}"/>
                </c:ext>
              </c:extLst>
            </c:dLbl>
            <c:spPr>
              <a:noFill/>
              <a:ln w="25383">
                <a:noFill/>
              </a:ln>
              <a:effectLst/>
            </c:spPr>
            <c:txPr>
              <a:bodyPr rot="-5400000" spcFirstLastPara="1" vertOverflow="ellipsis" vert="horz" wrap="square" lIns="38100" tIns="19050" rIns="38100" bIns="19050" anchor="ctr" anchorCtr="1">
                <a:spAutoFit/>
              </a:bodyPr>
              <a:lstStyle/>
              <a:p>
                <a:pPr>
                  <a:defRPr lang="en-US" sz="1195" b="1" i="0" u="none" strike="noStrike" kern="1200" baseline="0">
                    <a:solidFill>
                      <a:schemeClr val="tx2">
                        <a:lumMod val="50000"/>
                      </a:schemeClr>
                    </a:solidFill>
                    <a:latin typeface="GHEA Grapalat" pitchFamily="3"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Sheet1!$C$7:$F$7</c:f>
              <c:numCache>
                <c:formatCode>_(* #\,##0.0_);_(* \(#\,##0.0\);_(* "-"??_);_(@_)</c:formatCode>
                <c:ptCount val="4"/>
                <c:pt idx="0">
                  <c:v>216.32020000000014</c:v>
                </c:pt>
                <c:pt idx="1">
                  <c:v>292.50115529999965</c:v>
                </c:pt>
                <c:pt idx="2">
                  <c:v>308.0799624</c:v>
                </c:pt>
                <c:pt idx="3">
                  <c:v>353.85852269999998</c:v>
                </c:pt>
              </c:numCache>
            </c:numRef>
          </c:val>
          <c:extLst>
            <c:ext xmlns:c16="http://schemas.microsoft.com/office/drawing/2014/chart" uri="{C3380CC4-5D6E-409C-BE32-E72D297353CC}">
              <c16:uniqueId val="{00000004-F53B-4B1E-A294-51A387558005}"/>
            </c:ext>
          </c:extLst>
        </c:ser>
        <c:dLbls>
          <c:showLegendKey val="0"/>
          <c:showVal val="0"/>
          <c:showCatName val="0"/>
          <c:showSerName val="0"/>
          <c:showPercent val="0"/>
          <c:showBubbleSize val="0"/>
        </c:dLbls>
        <c:gapWidth val="34"/>
        <c:overlap val="100"/>
        <c:axId val="155343104"/>
        <c:axId val="155357184"/>
      </c:barChart>
      <c:barChart>
        <c:barDir val="col"/>
        <c:grouping val="stacked"/>
        <c:varyColors val="0"/>
        <c:ser>
          <c:idx val="1"/>
          <c:order val="1"/>
          <c:tx>
            <c:strRef>
              <c:f>Sheet1!$B$8</c:f>
              <c:strCache>
                <c:ptCount val="1"/>
                <c:pt idx="0">
                  <c:v>արտաքին ռեսուրսների հաշվին իրականացվող ծրագրեր (ներառյալ ՀՀ կառավարության համաֆինանսավորումը)</c:v>
                </c:pt>
              </c:strCache>
            </c:strRef>
          </c:tx>
          <c:spPr>
            <a:solidFill>
              <a:schemeClr val="accent2">
                <a:lumMod val="75000"/>
              </a:schemeClr>
            </a:solidFill>
            <a:ln>
              <a:noFill/>
            </a:ln>
            <a:effectLst/>
            <a:scene3d>
              <a:camera prst="orthographicFront"/>
              <a:lightRig rig="threePt" dir="t"/>
            </a:scene3d>
            <a:sp3d prstMaterial="metal">
              <a:bevelT/>
            </a:sp3d>
          </c:spPr>
          <c:invertIfNegative val="0"/>
          <c:dLbls>
            <c:spPr>
              <a:noFill/>
              <a:ln w="25383">
                <a:noFill/>
              </a:ln>
              <a:effectLst/>
            </c:spPr>
            <c:txPr>
              <a:bodyPr rot="0" spcFirstLastPara="1" vertOverflow="ellipsis" vert="horz" wrap="square" lIns="38100" tIns="19050" rIns="38100" bIns="19050" anchor="ctr" anchorCtr="1">
                <a:spAutoFit/>
              </a:bodyPr>
              <a:lstStyle/>
              <a:p>
                <a:pPr>
                  <a:defRPr lang="en-US" sz="1195" b="1" i="0" u="none" strike="noStrike" kern="1200" baseline="0">
                    <a:solidFill>
                      <a:schemeClr val="bg1"/>
                    </a:solidFill>
                    <a:latin typeface="GHEA Grapalat" pitchFamily="3"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Sheet1!$C$8:$F$8</c:f>
              <c:numCache>
                <c:formatCode>_(* #\,##0.0_);_(* \(#\,##0.0\);_(* "-"??_);_(@_)</c:formatCode>
                <c:ptCount val="4"/>
                <c:pt idx="0">
                  <c:v>83.311100000000025</c:v>
                </c:pt>
                <c:pt idx="1">
                  <c:v>67.601155300000002</c:v>
                </c:pt>
                <c:pt idx="2">
                  <c:v>113.37996240000001</c:v>
                </c:pt>
                <c:pt idx="3">
                  <c:v>125.85852269999998</c:v>
                </c:pt>
              </c:numCache>
            </c:numRef>
          </c:val>
          <c:extLst>
            <c:ext xmlns:c16="http://schemas.microsoft.com/office/drawing/2014/chart" uri="{C3380CC4-5D6E-409C-BE32-E72D297353CC}">
              <c16:uniqueId val="{00000005-F53B-4B1E-A294-51A387558005}"/>
            </c:ext>
          </c:extLst>
        </c:ser>
        <c:ser>
          <c:idx val="2"/>
          <c:order val="2"/>
          <c:tx>
            <c:strRef>
              <c:f>Sheet1!$B$9</c:f>
              <c:strCache>
                <c:ptCount val="1"/>
                <c:pt idx="0">
                  <c:v>ներքին ռեսուրսների հաշվին իրականացվող ծրագրեր</c:v>
                </c:pt>
              </c:strCache>
            </c:strRef>
          </c:tx>
          <c:spPr>
            <a:solidFill>
              <a:schemeClr val="accent3">
                <a:lumMod val="75000"/>
              </a:schemeClr>
            </a:solidFill>
            <a:ln>
              <a:noFill/>
            </a:ln>
            <a:effectLst/>
            <a:scene3d>
              <a:camera prst="orthographicFront"/>
              <a:lightRig rig="threePt" dir="t"/>
            </a:scene3d>
            <a:sp3d prstMaterial="metal">
              <a:bevelT/>
            </a:sp3d>
          </c:spPr>
          <c:invertIfNegative val="0"/>
          <c:dLbls>
            <c:spPr>
              <a:noFill/>
              <a:ln w="25383">
                <a:noFill/>
              </a:ln>
              <a:effectLst/>
            </c:spPr>
            <c:txPr>
              <a:bodyPr rot="0" spcFirstLastPara="1" vertOverflow="ellipsis" vert="horz" wrap="square" lIns="38100" tIns="19050" rIns="38100" bIns="19050" anchor="ctr" anchorCtr="1">
                <a:spAutoFit/>
              </a:bodyPr>
              <a:lstStyle/>
              <a:p>
                <a:pPr>
                  <a:defRPr lang="en-US" sz="1195" b="1" i="0" u="none" strike="noStrike" kern="1200" baseline="0">
                    <a:solidFill>
                      <a:schemeClr val="bg1"/>
                    </a:solidFill>
                    <a:latin typeface="GHEA Grapalat" pitchFamily="3"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Sheet1!$C$4:$F$4</c:f>
              <c:strCache>
                <c:ptCount val="4"/>
                <c:pt idx="0">
                  <c:v>2021 թ</c:v>
                </c:pt>
                <c:pt idx="1">
                  <c:v>2022 թ</c:v>
                </c:pt>
                <c:pt idx="2">
                  <c:v>2023 թ</c:v>
                </c:pt>
                <c:pt idx="3">
                  <c:v>2024 թ</c:v>
                </c:pt>
              </c:strCache>
            </c:strRef>
          </c:cat>
          <c:val>
            <c:numRef>
              <c:f>Sheet1!$C$9:$F$9</c:f>
              <c:numCache>
                <c:formatCode>_(* #\,##0.0_);_(* \(#\,##0.0\);_(* "-"??_);_(@_)</c:formatCode>
                <c:ptCount val="4"/>
                <c:pt idx="0">
                  <c:v>133.00910000000002</c:v>
                </c:pt>
                <c:pt idx="1">
                  <c:v>25</c:v>
                </c:pt>
                <c:pt idx="2">
                  <c:v>10.200000000000001</c:v>
                </c:pt>
                <c:pt idx="3">
                  <c:v>8.1</c:v>
                </c:pt>
              </c:numCache>
            </c:numRef>
          </c:val>
          <c:extLst>
            <c:ext xmlns:c16="http://schemas.microsoft.com/office/drawing/2014/chart" uri="{C3380CC4-5D6E-409C-BE32-E72D297353CC}">
              <c16:uniqueId val="{00000006-F53B-4B1E-A294-51A387558005}"/>
            </c:ext>
          </c:extLst>
        </c:ser>
        <c:ser>
          <c:idx val="3"/>
          <c:order val="3"/>
          <c:tx>
            <c:strRef>
              <c:f>Sheet1!$B$10</c:f>
              <c:strCache>
                <c:ptCount val="1"/>
                <c:pt idx="0">
                  <c:v>չբաշխված</c:v>
                </c:pt>
              </c:strCache>
            </c:strRef>
          </c:tx>
          <c:invertIfNegative val="0"/>
          <c:dLbls>
            <c:dLbl>
              <c:idx val="0"/>
              <c:layout>
                <c:manualLayout>
                  <c:x val="4.2941492216854501E-3"/>
                  <c:y val="-3.93811533052039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53B-4B1E-A294-51A387558005}"/>
                </c:ext>
              </c:extLst>
            </c:dLbl>
            <c:dLbl>
              <c:idx val="1"/>
              <c:spPr>
                <a:noFill/>
                <a:ln>
                  <a:noFill/>
                </a:ln>
                <a:effectLst/>
              </c:spPr>
              <c:txPr>
                <a:bodyPr wrap="square" lIns="38100" tIns="19050" rIns="38100" bIns="19050" anchor="ctr">
                  <a:noAutofit/>
                </a:bodyPr>
                <a:lstStyle/>
                <a:p>
                  <a:pPr>
                    <a:defRPr sz="1200" b="1" i="0" baseline="0">
                      <a:solidFill>
                        <a:schemeClr val="bg1"/>
                      </a:solidFill>
                      <a:latin typeface="GHEA Grapalat" panose="02000506050000020003" pitchFamily="50" charset="0"/>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25D7-4933-811D-2B37A957DAAE}"/>
                </c:ext>
              </c:extLst>
            </c:dLbl>
            <c:spPr>
              <a:noFill/>
              <a:ln>
                <a:noFill/>
              </a:ln>
              <a:effectLst/>
            </c:spPr>
            <c:txPr>
              <a:bodyPr wrap="square" lIns="38100" tIns="19050" rIns="38100" bIns="19050" anchor="ctr">
                <a:spAutoFit/>
              </a:bodyPr>
              <a:lstStyle/>
              <a:p>
                <a:pPr>
                  <a:defRPr sz="1200" b="1" i="0" baseline="0">
                    <a:solidFill>
                      <a:schemeClr val="bg1"/>
                    </a:solidFill>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Sheet1!$C$4:$F$4</c:f>
              <c:strCache>
                <c:ptCount val="4"/>
                <c:pt idx="0">
                  <c:v>2021 թ</c:v>
                </c:pt>
                <c:pt idx="1">
                  <c:v>2022 թ</c:v>
                </c:pt>
                <c:pt idx="2">
                  <c:v>2023 թ</c:v>
                </c:pt>
                <c:pt idx="3">
                  <c:v>2024 թ</c:v>
                </c:pt>
              </c:strCache>
            </c:strRef>
          </c:cat>
          <c:val>
            <c:numRef>
              <c:f>Sheet1!$C$10:$F$10</c:f>
              <c:numCache>
                <c:formatCode>_ * #\,##0.0_)\ _ _ ;_ * \(#\,##0.0\)\ _ _ ;_ * "-"??_)\ _ _ ;_ @_ </c:formatCode>
                <c:ptCount val="4"/>
                <c:pt idx="0" formatCode="_ * #\,##0.00_)\ _ _ ;_ * \(#\,##0.00\)\ _ _ ;_ * &quot;-&quot;??_)\ _ _ ;_ @_ ">
                  <c:v>0</c:v>
                </c:pt>
                <c:pt idx="1">
                  <c:v>199.9</c:v>
                </c:pt>
                <c:pt idx="2">
                  <c:v>184.5</c:v>
                </c:pt>
                <c:pt idx="3">
                  <c:v>219.9</c:v>
                </c:pt>
              </c:numCache>
            </c:numRef>
          </c:val>
          <c:extLst>
            <c:ext xmlns:c16="http://schemas.microsoft.com/office/drawing/2014/chart" uri="{C3380CC4-5D6E-409C-BE32-E72D297353CC}">
              <c16:uniqueId val="{00000009-F53B-4B1E-A294-51A387558005}"/>
            </c:ext>
          </c:extLst>
        </c:ser>
        <c:dLbls>
          <c:showLegendKey val="0"/>
          <c:showVal val="0"/>
          <c:showCatName val="0"/>
          <c:showSerName val="0"/>
          <c:showPercent val="0"/>
          <c:showBubbleSize val="0"/>
        </c:dLbls>
        <c:gapWidth val="232"/>
        <c:overlap val="100"/>
        <c:axId val="155359104"/>
        <c:axId val="155360640"/>
      </c:barChart>
      <c:catAx>
        <c:axId val="155343104"/>
        <c:scaling>
          <c:orientation val="minMax"/>
        </c:scaling>
        <c:delete val="0"/>
        <c:axPos val="b"/>
        <c:numFmt formatCode="General" sourceLinked="1"/>
        <c:majorTickMark val="none"/>
        <c:minorTickMark val="none"/>
        <c:tickLblPos val="nextTo"/>
        <c:spPr>
          <a:noFill/>
          <a:ln w="25383" cap="flat" cmpd="sng" algn="ctr">
            <a:solidFill>
              <a:schemeClr val="tx2">
                <a:lumMod val="50000"/>
              </a:schemeClr>
            </a:solidFill>
            <a:prstDash val="solid"/>
            <a:round/>
          </a:ln>
          <a:effectLst/>
        </c:spPr>
        <c:txPr>
          <a:bodyPr rot="-60000000" spcFirstLastPara="1" vertOverflow="ellipsis" vert="horz" wrap="square" anchor="ctr" anchorCtr="1"/>
          <a:lstStyle/>
          <a:p>
            <a:pPr>
              <a:defRPr lang="en-US" sz="1195" b="0" i="0" u="none" strike="noStrike" kern="1200" baseline="0">
                <a:solidFill>
                  <a:schemeClr val="tx1">
                    <a:lumMod val="65000"/>
                    <a:lumOff val="35000"/>
                  </a:schemeClr>
                </a:solidFill>
                <a:latin typeface="+mn-lt"/>
                <a:ea typeface="+mn-ea"/>
                <a:cs typeface="+mn-cs"/>
              </a:defRPr>
            </a:pPr>
            <a:endParaRPr lang="en-US"/>
          </a:p>
        </c:txPr>
        <c:crossAx val="155357184"/>
        <c:crosses val="autoZero"/>
        <c:auto val="1"/>
        <c:lblAlgn val="ctr"/>
        <c:lblOffset val="100"/>
        <c:noMultiLvlLbl val="0"/>
      </c:catAx>
      <c:valAx>
        <c:axId val="155357184"/>
        <c:scaling>
          <c:orientation val="minMax"/>
          <c:max val="400"/>
        </c:scaling>
        <c:delete val="0"/>
        <c:axPos val="l"/>
        <c:majorGridlines>
          <c:spPr>
            <a:ln w="9518"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330" b="1" i="0" u="none" strike="noStrike" kern="1200" baseline="0">
                    <a:solidFill>
                      <a:srgbClr val="333333"/>
                    </a:solidFill>
                    <a:latin typeface="GHEA Grapalat"/>
                    <a:ea typeface="GHEA Grapalat"/>
                    <a:cs typeface="GHEA Grapalat"/>
                  </a:defRPr>
                </a:pPr>
                <a:r>
                  <a:rPr lang="en-US"/>
                  <a:t>մլրդ դրամ</a:t>
                </a:r>
              </a:p>
            </c:rich>
          </c:tx>
          <c:overlay val="0"/>
          <c:spPr>
            <a:noFill/>
            <a:ln w="25383">
              <a:noFill/>
            </a:ln>
          </c:spPr>
        </c:title>
        <c:numFmt formatCode="_(* #\,##0.0_);_(* \(#\,##0.0\);_(* &quot;-&quot;??_);_(@_)" sourceLinked="1"/>
        <c:majorTickMark val="none"/>
        <c:minorTickMark val="none"/>
        <c:tickLblPos val="nextTo"/>
        <c:spPr>
          <a:ln w="28555" cap="flat" cmpd="sng" algn="ctr">
            <a:solidFill>
              <a:schemeClr val="tx2">
                <a:lumMod val="50000"/>
              </a:schemeClr>
            </a:solidFill>
            <a:prstDash val="solid"/>
            <a:round/>
          </a:ln>
          <a:effectLst/>
        </c:spPr>
        <c:txPr>
          <a:bodyPr rot="-60000000" spcFirstLastPara="1" vertOverflow="ellipsis" vert="horz" wrap="square" anchor="ctr" anchorCtr="1"/>
          <a:lstStyle/>
          <a:p>
            <a:pPr>
              <a:defRPr lang="en-US" sz="1195" b="0" i="0" u="none" strike="noStrike" kern="1200" baseline="0">
                <a:solidFill>
                  <a:schemeClr val="tx1">
                    <a:lumMod val="65000"/>
                    <a:lumOff val="35000"/>
                  </a:schemeClr>
                </a:solidFill>
                <a:latin typeface="+mn-lt"/>
                <a:ea typeface="+mn-ea"/>
                <a:cs typeface="+mn-cs"/>
              </a:defRPr>
            </a:pPr>
            <a:endParaRPr lang="en-US"/>
          </a:p>
        </c:txPr>
        <c:crossAx val="155343104"/>
        <c:crosses val="autoZero"/>
        <c:crossBetween val="between"/>
        <c:majorUnit val="100"/>
      </c:valAx>
      <c:catAx>
        <c:axId val="155359104"/>
        <c:scaling>
          <c:orientation val="minMax"/>
        </c:scaling>
        <c:delete val="1"/>
        <c:axPos val="b"/>
        <c:numFmt formatCode="General" sourceLinked="1"/>
        <c:majorTickMark val="out"/>
        <c:minorTickMark val="none"/>
        <c:tickLblPos val="none"/>
        <c:crossAx val="155360640"/>
        <c:crosses val="autoZero"/>
        <c:auto val="1"/>
        <c:lblAlgn val="ctr"/>
        <c:lblOffset val="100"/>
        <c:noMultiLvlLbl val="0"/>
      </c:catAx>
      <c:valAx>
        <c:axId val="155360640"/>
        <c:scaling>
          <c:orientation val="minMax"/>
          <c:max val="1800"/>
          <c:min val="0"/>
        </c:scaling>
        <c:delete val="1"/>
        <c:axPos val="r"/>
        <c:numFmt formatCode="_(* #\,##0.0_);_(* \(#\,##0.0\);_(* &quot;-&quot;??_);_(@_)" sourceLinked="1"/>
        <c:majorTickMark val="out"/>
        <c:minorTickMark val="none"/>
        <c:tickLblPos val="none"/>
        <c:crossAx val="155359104"/>
        <c:crosses val="max"/>
        <c:crossBetween val="between"/>
        <c:majorUnit val="200"/>
      </c:valAx>
      <c:spPr>
        <a:noFill/>
        <a:ln w="25383">
          <a:noFill/>
        </a:ln>
      </c:spPr>
    </c:plotArea>
    <c:legend>
      <c:legendPos val="b"/>
      <c:legendEntry>
        <c:idx val="0"/>
        <c:delete val="1"/>
      </c:legendEntry>
      <c:layout>
        <c:manualLayout>
          <c:xMode val="edge"/>
          <c:yMode val="edge"/>
          <c:x val="2.3577693611083413E-2"/>
          <c:y val="0.79730596549682786"/>
          <c:w val="0.93893119372736589"/>
          <c:h val="0.20269403450317228"/>
        </c:manualLayout>
      </c:layout>
      <c:overlay val="0"/>
      <c:spPr>
        <a:noFill/>
        <a:ln w="25383">
          <a:noFill/>
        </a:ln>
      </c:spPr>
      <c:txPr>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GHEA Grapalat" pitchFamily="3" charset="0"/>
              <a:ea typeface="+mn-ea"/>
              <a:cs typeface="+mn-cs"/>
            </a:defRPr>
          </a:pPr>
          <a:endParaRPr lang="en-US"/>
        </a:p>
      </c:txPr>
    </c:legend>
    <c:plotVisOnly val="1"/>
    <c:dispBlanksAs val="gap"/>
    <c:showDLblsOverMax val="0"/>
  </c:chart>
  <c:spPr>
    <a:ln w="6350" cap="flat" cmpd="sng" algn="ctr">
      <a:noFill/>
      <a:prstDash val="solid"/>
      <a:round/>
    </a:ln>
  </c:spPr>
  <c:txPr>
    <a:bodyPr/>
    <a:lstStyle/>
    <a:p>
      <a:pPr>
        <a:defRPr lang="en-US"/>
      </a:pPr>
      <a:endParaRPr lang="en-US"/>
    </a:p>
  </c:txPr>
  <c:externalData r:id="rId2">
    <c:autoUpdate val="0"/>
  </c:externalData>
  <c:userShapes r:id="rId3"/>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6"/>
      <c:rotY val="20"/>
      <c:depthPercent val="100"/>
      <c:rAngAx val="1"/>
    </c:view3D>
    <c:floor>
      <c:thickness val="0"/>
      <c:spPr>
        <a:solidFill>
          <a:srgbClr val="C0C0C0"/>
        </a:solidFill>
        <a:ln w="3175">
          <a:solidFill>
            <a:srgbClr val="000000"/>
          </a:solidFill>
          <a:prstDash val="solid"/>
        </a:ln>
      </c:spPr>
    </c:floor>
    <c:sideWall>
      <c:thickness val="0"/>
    </c:sideWall>
    <c:backWall>
      <c:thickness val="0"/>
      <c:spPr>
        <a:solidFill>
          <a:srgbClr val="FFFFCC">
            <a:alpha val="5098"/>
          </a:srgbClr>
        </a:solidFill>
        <a:ln w="12700">
          <a:solidFill>
            <a:srgbClr val="808080"/>
          </a:solidFill>
          <a:prstDash val="solid"/>
        </a:ln>
      </c:spPr>
    </c:backWall>
    <c:plotArea>
      <c:layout>
        <c:manualLayout>
          <c:layoutTarget val="inner"/>
          <c:xMode val="edge"/>
          <c:yMode val="edge"/>
          <c:x val="5.2073616470491434E-2"/>
          <c:y val="2.4292573891580783E-2"/>
          <c:w val="0.92476346503496221"/>
          <c:h val="0.7441063034323282"/>
        </c:manualLayout>
      </c:layout>
      <c:bar3DChart>
        <c:barDir val="col"/>
        <c:grouping val="stacked"/>
        <c:varyColors val="0"/>
        <c:ser>
          <c:idx val="0"/>
          <c:order val="0"/>
          <c:tx>
            <c:strRef>
              <c:f>'Graf 10'!$A$15</c:f>
              <c:strCache>
                <c:ptCount val="1"/>
                <c:pt idx="0">
                  <c:v>ՀՀ կառավարության արտաքին պարտք, մլրդ դրամ</c:v>
                </c:pt>
              </c:strCache>
            </c:strRef>
          </c:tx>
          <c:spPr>
            <a:solidFill>
              <a:srgbClr val="FFFF99"/>
            </a:solidFill>
            <a:ln w="12700">
              <a:solidFill>
                <a:srgbClr val="000000"/>
              </a:solidFill>
              <a:prstDash val="solid"/>
            </a:ln>
          </c:spPr>
          <c:invertIfNegative val="0"/>
          <c:cat>
            <c:numRef>
              <c:f>'Graf 10'!$B$2:$AK$2</c:f>
              <c:numCache>
                <c:formatCode>General</c:formatCode>
                <c:ptCount val="36"/>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2037</c:v>
                </c:pt>
                <c:pt idx="17">
                  <c:v>2038</c:v>
                </c:pt>
                <c:pt idx="18">
                  <c:v>2039</c:v>
                </c:pt>
                <c:pt idx="19">
                  <c:v>2040</c:v>
                </c:pt>
                <c:pt idx="20">
                  <c:v>2041</c:v>
                </c:pt>
                <c:pt idx="21">
                  <c:v>2042</c:v>
                </c:pt>
                <c:pt idx="22">
                  <c:v>2043</c:v>
                </c:pt>
                <c:pt idx="23">
                  <c:v>2044</c:v>
                </c:pt>
                <c:pt idx="24">
                  <c:v>2045</c:v>
                </c:pt>
                <c:pt idx="25">
                  <c:v>2046</c:v>
                </c:pt>
                <c:pt idx="26">
                  <c:v>2047</c:v>
                </c:pt>
                <c:pt idx="27">
                  <c:v>2048</c:v>
                </c:pt>
                <c:pt idx="28">
                  <c:v>2049</c:v>
                </c:pt>
                <c:pt idx="29">
                  <c:v>2050</c:v>
                </c:pt>
                <c:pt idx="30">
                  <c:v>2051</c:v>
                </c:pt>
                <c:pt idx="31">
                  <c:v>2052</c:v>
                </c:pt>
                <c:pt idx="32">
                  <c:v>2053</c:v>
                </c:pt>
                <c:pt idx="33">
                  <c:v>2054</c:v>
                </c:pt>
                <c:pt idx="34">
                  <c:v>2055</c:v>
                </c:pt>
                <c:pt idx="35">
                  <c:v>2056</c:v>
                </c:pt>
              </c:numCache>
            </c:numRef>
          </c:cat>
          <c:val>
            <c:numRef>
              <c:f>'Graf 10'!$B$15:$AI$15</c:f>
              <c:numCache>
                <c:formatCode>_(* #,##0.0_);_(* \(#,##0.0\);_(* "-"??_);_(@_)</c:formatCode>
                <c:ptCount val="34"/>
                <c:pt idx="0">
                  <c:v>118.75437977807964</c:v>
                </c:pt>
                <c:pt idx="1">
                  <c:v>123.14956230981919</c:v>
                </c:pt>
                <c:pt idx="2">
                  <c:v>172.22478130891287</c:v>
                </c:pt>
                <c:pt idx="3">
                  <c:v>222.22078729307657</c:v>
                </c:pt>
                <c:pt idx="4">
                  <c:v>422.18617652586062</c:v>
                </c:pt>
                <c:pt idx="5">
                  <c:v>195.01242265683223</c:v>
                </c:pt>
                <c:pt idx="6">
                  <c:v>147.9193036834626</c:v>
                </c:pt>
                <c:pt idx="7">
                  <c:v>136.04454729723875</c:v>
                </c:pt>
                <c:pt idx="8">
                  <c:v>382.69629972637063</c:v>
                </c:pt>
                <c:pt idx="9">
                  <c:v>126.68104203819715</c:v>
                </c:pt>
                <c:pt idx="10">
                  <c:v>121.45220797231984</c:v>
                </c:pt>
                <c:pt idx="11">
                  <c:v>122.47311752868343</c:v>
                </c:pt>
                <c:pt idx="12">
                  <c:v>112.07368357609556</c:v>
                </c:pt>
                <c:pt idx="13">
                  <c:v>107.92739617358754</c:v>
                </c:pt>
                <c:pt idx="14">
                  <c:v>86.860160129828671</c:v>
                </c:pt>
                <c:pt idx="15">
                  <c:v>68.770582069380126</c:v>
                </c:pt>
                <c:pt idx="16">
                  <c:v>63.2232350542603</c:v>
                </c:pt>
                <c:pt idx="17">
                  <c:v>51.911721187391812</c:v>
                </c:pt>
                <c:pt idx="18">
                  <c:v>41.901735862084813</c:v>
                </c:pt>
                <c:pt idx="19">
                  <c:v>29.804404557277707</c:v>
                </c:pt>
                <c:pt idx="20">
                  <c:v>21.942065130698516</c:v>
                </c:pt>
                <c:pt idx="21">
                  <c:v>16.045355192460807</c:v>
                </c:pt>
                <c:pt idx="22">
                  <c:v>14.572156057623802</c:v>
                </c:pt>
                <c:pt idx="23">
                  <c:v>12.502717342069401</c:v>
                </c:pt>
                <c:pt idx="24">
                  <c:v>4.7395619742337995</c:v>
                </c:pt>
                <c:pt idx="25">
                  <c:v>0.9019111414855</c:v>
                </c:pt>
                <c:pt idx="26">
                  <c:v>0.83796732957079989</c:v>
                </c:pt>
                <c:pt idx="27">
                  <c:v>0.64408818524560008</c:v>
                </c:pt>
                <c:pt idx="28">
                  <c:v>0.54032598342580007</c:v>
                </c:pt>
                <c:pt idx="29">
                  <c:v>0.1662538195147</c:v>
                </c:pt>
                <c:pt idx="30">
                  <c:v>2.2981261063E-2</c:v>
                </c:pt>
                <c:pt idx="31">
                  <c:v>2.2981261063E-2</c:v>
                </c:pt>
                <c:pt idx="32">
                  <c:v>2.2981261063E-2</c:v>
                </c:pt>
                <c:pt idx="33">
                  <c:v>2.2981261063E-2</c:v>
                </c:pt>
              </c:numCache>
            </c:numRef>
          </c:val>
          <c:extLst>
            <c:ext xmlns:c16="http://schemas.microsoft.com/office/drawing/2014/chart" uri="{C3380CC4-5D6E-409C-BE32-E72D297353CC}">
              <c16:uniqueId val="{00000000-EAD2-44D3-84FC-8776666A546D}"/>
            </c:ext>
          </c:extLst>
        </c:ser>
        <c:ser>
          <c:idx val="1"/>
          <c:order val="1"/>
          <c:tx>
            <c:strRef>
              <c:f>'Graf 10'!$A$16</c:f>
              <c:strCache>
                <c:ptCount val="1"/>
                <c:pt idx="0">
                  <c:v>ՀՀ կառավարության ներքին պարտք, մլրդ դրամ</c:v>
                </c:pt>
              </c:strCache>
            </c:strRef>
          </c:tx>
          <c:spPr>
            <a:solidFill>
              <a:srgbClr val="993366"/>
            </a:solidFill>
            <a:ln w="12700">
              <a:solidFill>
                <a:srgbClr val="000000"/>
              </a:solidFill>
              <a:prstDash val="solid"/>
            </a:ln>
          </c:spPr>
          <c:invertIfNegative val="0"/>
          <c:cat>
            <c:numRef>
              <c:f>'Graf 10'!$B$2:$AK$2</c:f>
              <c:numCache>
                <c:formatCode>General</c:formatCode>
                <c:ptCount val="36"/>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2037</c:v>
                </c:pt>
                <c:pt idx="17">
                  <c:v>2038</c:v>
                </c:pt>
                <c:pt idx="18">
                  <c:v>2039</c:v>
                </c:pt>
                <c:pt idx="19">
                  <c:v>2040</c:v>
                </c:pt>
                <c:pt idx="20">
                  <c:v>2041</c:v>
                </c:pt>
                <c:pt idx="21">
                  <c:v>2042</c:v>
                </c:pt>
                <c:pt idx="22">
                  <c:v>2043</c:v>
                </c:pt>
                <c:pt idx="23">
                  <c:v>2044</c:v>
                </c:pt>
                <c:pt idx="24">
                  <c:v>2045</c:v>
                </c:pt>
                <c:pt idx="25">
                  <c:v>2046</c:v>
                </c:pt>
                <c:pt idx="26">
                  <c:v>2047</c:v>
                </c:pt>
                <c:pt idx="27">
                  <c:v>2048</c:v>
                </c:pt>
                <c:pt idx="28">
                  <c:v>2049</c:v>
                </c:pt>
                <c:pt idx="29">
                  <c:v>2050</c:v>
                </c:pt>
                <c:pt idx="30">
                  <c:v>2051</c:v>
                </c:pt>
                <c:pt idx="31">
                  <c:v>2052</c:v>
                </c:pt>
                <c:pt idx="32">
                  <c:v>2053</c:v>
                </c:pt>
                <c:pt idx="33">
                  <c:v>2054</c:v>
                </c:pt>
                <c:pt idx="34">
                  <c:v>2055</c:v>
                </c:pt>
                <c:pt idx="35">
                  <c:v>2056</c:v>
                </c:pt>
              </c:numCache>
            </c:numRef>
          </c:cat>
          <c:val>
            <c:numRef>
              <c:f>'Graf 10'!$B$16:$AI$16</c:f>
              <c:numCache>
                <c:formatCode>_(* #,##0.0_);_(* \(#,##0.0\);_(* "-"??_);_(@_)</c:formatCode>
                <c:ptCount val="34"/>
                <c:pt idx="0">
                  <c:v>109.89086399999999</c:v>
                </c:pt>
                <c:pt idx="1">
                  <c:v>77.694385999999994</c:v>
                </c:pt>
                <c:pt idx="2">
                  <c:v>73.997469999999993</c:v>
                </c:pt>
                <c:pt idx="3">
                  <c:v>31.774999999999999</c:v>
                </c:pt>
                <c:pt idx="4">
                  <c:v>122.79561353</c:v>
                </c:pt>
                <c:pt idx="5">
                  <c:v>0</c:v>
                </c:pt>
                <c:pt idx="6">
                  <c:v>46.42</c:v>
                </c:pt>
                <c:pt idx="7">
                  <c:v>16.683725000000003</c:v>
                </c:pt>
                <c:pt idx="8">
                  <c:v>177.47455400000001</c:v>
                </c:pt>
                <c:pt idx="9">
                  <c:v>0</c:v>
                </c:pt>
                <c:pt idx="10">
                  <c:v>0</c:v>
                </c:pt>
                <c:pt idx="11">
                  <c:v>35.486066000000001</c:v>
                </c:pt>
                <c:pt idx="12">
                  <c:v>0</c:v>
                </c:pt>
                <c:pt idx="13">
                  <c:v>0</c:v>
                </c:pt>
                <c:pt idx="14">
                  <c:v>0</c:v>
                </c:pt>
                <c:pt idx="15">
                  <c:v>75.497877000000003</c:v>
                </c:pt>
                <c:pt idx="16">
                  <c:v>30.045000000000002</c:v>
                </c:pt>
                <c:pt idx="17">
                  <c:v>0</c:v>
                </c:pt>
                <c:pt idx="18">
                  <c:v>0</c:v>
                </c:pt>
                <c:pt idx="19">
                  <c:v>0</c:v>
                </c:pt>
                <c:pt idx="20">
                  <c:v>0</c:v>
                </c:pt>
                <c:pt idx="21">
                  <c:v>0</c:v>
                </c:pt>
                <c:pt idx="22">
                  <c:v>0</c:v>
                </c:pt>
                <c:pt idx="23">
                  <c:v>0</c:v>
                </c:pt>
                <c:pt idx="24">
                  <c:v>0</c:v>
                </c:pt>
                <c:pt idx="25">
                  <c:v>0</c:v>
                </c:pt>
                <c:pt idx="26">
                  <c:v>125.674205</c:v>
                </c:pt>
                <c:pt idx="27">
                  <c:v>-2.6829000000000002E-2</c:v>
                </c:pt>
                <c:pt idx="28">
                  <c:v>0</c:v>
                </c:pt>
                <c:pt idx="29">
                  <c:v>74.209261999999995</c:v>
                </c:pt>
                <c:pt idx="30">
                  <c:v>0</c:v>
                </c:pt>
                <c:pt idx="31">
                  <c:v>0</c:v>
                </c:pt>
                <c:pt idx="32">
                  <c:v>0</c:v>
                </c:pt>
                <c:pt idx="33">
                  <c:v>0</c:v>
                </c:pt>
              </c:numCache>
            </c:numRef>
          </c:val>
          <c:extLst>
            <c:ext xmlns:c16="http://schemas.microsoft.com/office/drawing/2014/chart" uri="{C3380CC4-5D6E-409C-BE32-E72D297353CC}">
              <c16:uniqueId val="{00000001-EAD2-44D3-84FC-8776666A546D}"/>
            </c:ext>
          </c:extLst>
        </c:ser>
        <c:dLbls>
          <c:showLegendKey val="0"/>
          <c:showVal val="0"/>
          <c:showCatName val="0"/>
          <c:showSerName val="0"/>
          <c:showPercent val="0"/>
          <c:showBubbleSize val="0"/>
        </c:dLbls>
        <c:gapWidth val="150"/>
        <c:shape val="cylinder"/>
        <c:axId val="154488832"/>
        <c:axId val="154490368"/>
        <c:axId val="0"/>
      </c:bar3DChart>
      <c:catAx>
        <c:axId val="154488832"/>
        <c:scaling>
          <c:orientation val="minMax"/>
        </c:scaling>
        <c:delete val="0"/>
        <c:axPos val="b"/>
        <c:numFmt formatCode="General" sourceLinked="1"/>
        <c:majorTickMark val="out"/>
        <c:minorTickMark val="none"/>
        <c:tickLblPos val="low"/>
        <c:spPr>
          <a:ln w="3175">
            <a:solidFill>
              <a:srgbClr val="000000"/>
            </a:solidFill>
            <a:prstDash val="solid"/>
          </a:ln>
        </c:spPr>
        <c:txPr>
          <a:bodyPr rot="-4200000" vert="horz"/>
          <a:lstStyle/>
          <a:p>
            <a:pPr>
              <a:defRPr sz="900" b="0" i="0" u="none" strike="noStrike" baseline="0">
                <a:solidFill>
                  <a:srgbClr val="000000"/>
                </a:solidFill>
                <a:latin typeface="GHEA Grapalat"/>
                <a:ea typeface="GHEA Grapalat"/>
                <a:cs typeface="GHEA Grapalat"/>
              </a:defRPr>
            </a:pPr>
            <a:endParaRPr lang="en-US"/>
          </a:p>
        </c:txPr>
        <c:crossAx val="154490368"/>
        <c:crosses val="autoZero"/>
        <c:auto val="1"/>
        <c:lblAlgn val="ctr"/>
        <c:lblOffset val="100"/>
        <c:tickLblSkip val="1"/>
        <c:tickMarkSkip val="1"/>
        <c:noMultiLvlLbl val="0"/>
      </c:catAx>
      <c:valAx>
        <c:axId val="154490368"/>
        <c:scaling>
          <c:orientation val="minMax"/>
          <c:max val="600"/>
          <c:min val="0"/>
        </c:scaling>
        <c:delete val="0"/>
        <c:axPos val="l"/>
        <c:majorGridlines/>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GHEA Grapalat"/>
                <a:ea typeface="GHEA Grapalat"/>
                <a:cs typeface="GHEA Grapalat"/>
              </a:defRPr>
            </a:pPr>
            <a:endParaRPr lang="en-US"/>
          </a:p>
        </c:txPr>
        <c:crossAx val="154488832"/>
        <c:crosses val="autoZero"/>
        <c:crossBetween val="between"/>
        <c:majorUnit val="50"/>
      </c:valAx>
      <c:spPr>
        <a:noFill/>
        <a:ln w="25400">
          <a:noFill/>
        </a:ln>
      </c:spPr>
    </c:plotArea>
    <c:legend>
      <c:legendPos val="b"/>
      <c:layout>
        <c:manualLayout>
          <c:xMode val="edge"/>
          <c:yMode val="edge"/>
          <c:x val="5.7622747500379965E-3"/>
          <c:y val="0.89087610029453712"/>
          <c:w val="0.9715100942842757"/>
          <c:h val="7.5918848458035537E-2"/>
        </c:manualLayout>
      </c:layout>
      <c:overlay val="0"/>
      <c:spPr>
        <a:solidFill>
          <a:srgbClr val="FFFFFF"/>
        </a:solidFill>
        <a:ln w="3175">
          <a:noFill/>
          <a:prstDash val="solid"/>
        </a:ln>
      </c:spPr>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solidFill>
      <a:srgbClr val="FFFFFF"/>
    </a:solidFill>
    <a:ln w="3175">
      <a:solidFill>
        <a:srgbClr val="000000"/>
      </a:solidFill>
      <a:prstDash val="solid"/>
    </a:ln>
    <a:effectLst>
      <a:outerShdw dist="35921" dir="2700000" algn="br">
        <a:srgbClr val="000000"/>
      </a:outerShdw>
    </a:effectLst>
  </c:spPr>
  <c:txPr>
    <a:bodyPr/>
    <a:lstStyle/>
    <a:p>
      <a:pPr>
        <a:defRPr sz="850" b="0" i="0" u="none" strike="noStrike" baseline="0">
          <a:solidFill>
            <a:srgbClr val="000000"/>
          </a:solidFill>
          <a:latin typeface="Arial Armenian"/>
          <a:ea typeface="Arial Armenian"/>
          <a:cs typeface="Arial Armenian"/>
        </a:defRPr>
      </a:pPr>
      <a:endParaRPr lang="en-US"/>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722733441330999"/>
          <c:y val="0.11746850138633522"/>
          <c:w val="0.79857267291794798"/>
          <c:h val="0.67399023757183563"/>
        </c:manualLayout>
      </c:layout>
      <c:scatterChart>
        <c:scatterStyle val="lineMarker"/>
        <c:varyColors val="0"/>
        <c:ser>
          <c:idx val="0"/>
          <c:order val="0"/>
          <c:tx>
            <c:strRef>
              <c:f>'Graf 8'!$B$12</c:f>
              <c:strCache>
                <c:ptCount val="1"/>
                <c:pt idx="0">
                  <c:v>Ռ1</c:v>
                </c:pt>
              </c:strCache>
            </c:strRef>
          </c:tx>
          <c:spPr>
            <a:ln w="28575">
              <a:noFill/>
            </a:ln>
          </c:spPr>
          <c:marker>
            <c:symbol val="circle"/>
            <c:size val="5"/>
            <c:spPr>
              <a:solidFill>
                <a:srgbClr val="4B8CAD"/>
              </a:solidFill>
              <a:ln w="9525">
                <a:noFill/>
              </a:ln>
            </c:spPr>
          </c:marker>
          <c:dLbls>
            <c:spPr>
              <a:noFill/>
              <a:ln w="25400">
                <a:noFill/>
              </a:ln>
            </c:spPr>
            <c:txPr>
              <a:bodyPr wrap="square" lIns="38100" tIns="19050" rIns="38100" bIns="19050" anchor="ctr">
                <a:spAutoFit/>
              </a:bodyPr>
              <a:lstStyle/>
              <a:p>
                <a:pPr>
                  <a:defRPr sz="1000" b="1" i="0" u="none" strike="noStrike" baseline="0">
                    <a:solidFill>
                      <a:srgbClr val="000000"/>
                    </a:solidFill>
                    <a:latin typeface="GHEA Grapalat"/>
                    <a:ea typeface="GHEA Grapalat"/>
                    <a:cs typeface="GHEA Grapalat"/>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'Graf 8'!$B$14</c:f>
              <c:numCache>
                <c:formatCode>0.00_);[Red]\(0.00\)</c:formatCode>
                <c:ptCount val="1"/>
                <c:pt idx="0">
                  <c:v>11.19</c:v>
                </c:pt>
              </c:numCache>
            </c:numRef>
          </c:xVal>
          <c:yVal>
            <c:numRef>
              <c:f>'Graf 8'!$B$13</c:f>
              <c:numCache>
                <c:formatCode>0.0_);[Red]\(0.0\)</c:formatCode>
                <c:ptCount val="1"/>
                <c:pt idx="0">
                  <c:v>56.797072995709598</c:v>
                </c:pt>
              </c:numCache>
            </c:numRef>
          </c:yVal>
          <c:smooth val="0"/>
          <c:extLst>
            <c:ext xmlns:c16="http://schemas.microsoft.com/office/drawing/2014/chart" uri="{C3380CC4-5D6E-409C-BE32-E72D297353CC}">
              <c16:uniqueId val="{00000000-C5CE-41EA-81E3-AE9FDF973CDF}"/>
            </c:ext>
          </c:extLst>
        </c:ser>
        <c:ser>
          <c:idx val="1"/>
          <c:order val="1"/>
          <c:tx>
            <c:strRef>
              <c:f>'Graf 8'!$C$12</c:f>
              <c:strCache>
                <c:ptCount val="1"/>
                <c:pt idx="0">
                  <c:v>Ռ2</c:v>
                </c:pt>
              </c:strCache>
            </c:strRef>
          </c:tx>
          <c:spPr>
            <a:ln w="28575">
              <a:noFill/>
            </a:ln>
          </c:spPr>
          <c:marker>
            <c:symbol val="diamond"/>
            <c:size val="5"/>
            <c:spPr>
              <a:solidFill>
                <a:srgbClr val="C00000"/>
              </a:solidFill>
              <a:ln w="9525">
                <a:noFill/>
              </a:ln>
            </c:spPr>
          </c:marker>
          <c:dLbls>
            <c:spPr>
              <a:noFill/>
              <a:ln w="25400">
                <a:noFill/>
              </a:ln>
            </c:spPr>
            <c:txPr>
              <a:bodyPr wrap="square" lIns="38100" tIns="19050" rIns="38100" bIns="19050" anchor="ctr">
                <a:spAutoFit/>
              </a:bodyPr>
              <a:lstStyle/>
              <a:p>
                <a:pPr>
                  <a:defRPr sz="1000" b="1" i="0" u="none" strike="noStrike" baseline="0">
                    <a:solidFill>
                      <a:srgbClr val="000000"/>
                    </a:solidFill>
                    <a:latin typeface="GHEA Grapalat"/>
                    <a:ea typeface="GHEA Grapalat"/>
                    <a:cs typeface="GHEA Grapalat"/>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'Graf 8'!$C$14</c:f>
              <c:numCache>
                <c:formatCode>0.00_);[Red]\(0.00\)</c:formatCode>
                <c:ptCount val="1"/>
                <c:pt idx="0">
                  <c:v>11.12</c:v>
                </c:pt>
              </c:numCache>
            </c:numRef>
          </c:xVal>
          <c:yVal>
            <c:numRef>
              <c:f>'Graf 8'!$C$13</c:f>
              <c:numCache>
                <c:formatCode>0.0_);[Red]\(0.0\)</c:formatCode>
                <c:ptCount val="1"/>
                <c:pt idx="0">
                  <c:v>57.99347363806875</c:v>
                </c:pt>
              </c:numCache>
            </c:numRef>
          </c:yVal>
          <c:smooth val="0"/>
          <c:extLst>
            <c:ext xmlns:c16="http://schemas.microsoft.com/office/drawing/2014/chart" uri="{C3380CC4-5D6E-409C-BE32-E72D297353CC}">
              <c16:uniqueId val="{00000001-C5CE-41EA-81E3-AE9FDF973CDF}"/>
            </c:ext>
          </c:extLst>
        </c:ser>
        <c:ser>
          <c:idx val="2"/>
          <c:order val="2"/>
          <c:tx>
            <c:strRef>
              <c:f>'Graf 8'!$D$12</c:f>
              <c:strCache>
                <c:ptCount val="1"/>
                <c:pt idx="0">
                  <c:v>Ռ3</c:v>
                </c:pt>
              </c:strCache>
            </c:strRef>
          </c:tx>
          <c:spPr>
            <a:ln w="28575">
              <a:noFill/>
            </a:ln>
          </c:spPr>
          <c:marker>
            <c:symbol val="triangle"/>
            <c:size val="5"/>
            <c:spPr>
              <a:solidFill>
                <a:srgbClr val="96BA79"/>
              </a:solidFill>
              <a:ln w="9525">
                <a:noFill/>
              </a:ln>
            </c:spPr>
          </c:marker>
          <c:dLbls>
            <c:spPr>
              <a:noFill/>
              <a:ln w="25400">
                <a:noFill/>
              </a:ln>
            </c:spPr>
            <c:txPr>
              <a:bodyPr wrap="square" lIns="38100" tIns="19050" rIns="38100" bIns="19050" anchor="ctr">
                <a:spAutoFit/>
              </a:bodyPr>
              <a:lstStyle/>
              <a:p>
                <a:pPr>
                  <a:defRPr sz="1000" b="1" i="0" u="none" strike="noStrike" baseline="0">
                    <a:solidFill>
                      <a:srgbClr val="000000"/>
                    </a:solidFill>
                    <a:latin typeface="GHEA Grapalat"/>
                    <a:ea typeface="GHEA Grapalat"/>
                    <a:cs typeface="GHEA Grapalat"/>
                  </a:defRPr>
                </a:pPr>
                <a:endParaRPr lang="en-US"/>
              </a:p>
            </c:txPr>
            <c:dLblPos val="l"/>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'Graf 8'!$D$14</c:f>
              <c:numCache>
                <c:formatCode>0.00_);[Red]\(0.00\)</c:formatCode>
                <c:ptCount val="1"/>
                <c:pt idx="0">
                  <c:v>11.27</c:v>
                </c:pt>
              </c:numCache>
            </c:numRef>
          </c:xVal>
          <c:yVal>
            <c:numRef>
              <c:f>'Graf 8'!$D$13</c:f>
              <c:numCache>
                <c:formatCode>0.0_);[Red]\(0.0\)</c:formatCode>
                <c:ptCount val="1"/>
                <c:pt idx="0">
                  <c:v>57.188676085482101</c:v>
                </c:pt>
              </c:numCache>
            </c:numRef>
          </c:yVal>
          <c:smooth val="0"/>
          <c:extLst>
            <c:ext xmlns:c16="http://schemas.microsoft.com/office/drawing/2014/chart" uri="{C3380CC4-5D6E-409C-BE32-E72D297353CC}">
              <c16:uniqueId val="{00000002-C5CE-41EA-81E3-AE9FDF973CDF}"/>
            </c:ext>
          </c:extLst>
        </c:ser>
        <c:dLbls>
          <c:showLegendKey val="0"/>
          <c:showVal val="0"/>
          <c:showCatName val="0"/>
          <c:showSerName val="0"/>
          <c:showPercent val="0"/>
          <c:showBubbleSize val="0"/>
        </c:dLbls>
        <c:axId val="155419776"/>
        <c:axId val="155421696"/>
      </c:scatterChart>
      <c:valAx>
        <c:axId val="155419776"/>
        <c:scaling>
          <c:orientation val="minMax"/>
          <c:max val="11.30000000000012"/>
        </c:scaling>
        <c:delete val="0"/>
        <c:axPos val="b"/>
        <c:title>
          <c:tx>
            <c:rich>
              <a:bodyPr/>
              <a:lstStyle/>
              <a:p>
                <a:pPr>
                  <a:defRPr sz="1000" b="0" i="0" u="none" strike="noStrike" baseline="0">
                    <a:solidFill>
                      <a:srgbClr val="000000"/>
                    </a:solidFill>
                    <a:latin typeface="GHEA Grapalat"/>
                    <a:ea typeface="GHEA Grapalat"/>
                    <a:cs typeface="GHEA Grapalat"/>
                  </a:defRPr>
                </a:pPr>
                <a:r>
                  <a:rPr lang="hy-AM"/>
                  <a:t>Ռիսկ</a:t>
                </a:r>
              </a:p>
            </c:rich>
          </c:tx>
          <c:layout>
            <c:manualLayout>
              <c:xMode val="edge"/>
              <c:yMode val="edge"/>
              <c:x val="0.48434449931047047"/>
              <c:y val="0.90543753177097608"/>
            </c:manualLayout>
          </c:layout>
          <c:overlay val="0"/>
        </c:title>
        <c:numFmt formatCode="#,##0.00" sourceLinked="0"/>
        <c:majorTickMark val="in"/>
        <c:minorTickMark val="none"/>
        <c:tickLblPos val="nextTo"/>
        <c:spPr>
          <a:ln w="3175">
            <a:solidFill>
              <a:srgbClr val="B3B3B3"/>
            </a:solidFill>
            <a:prstDash val="solid"/>
          </a:ln>
        </c:spPr>
        <c:txPr>
          <a:bodyPr rot="0" vert="horz"/>
          <a:lstStyle/>
          <a:p>
            <a:pPr>
              <a:defRPr sz="1000" b="0" i="0" u="none" strike="noStrike" baseline="0">
                <a:solidFill>
                  <a:srgbClr val="000000"/>
                </a:solidFill>
                <a:latin typeface="GHEA Grapalat"/>
                <a:ea typeface="GHEA Grapalat"/>
                <a:cs typeface="GHEA Grapalat"/>
              </a:defRPr>
            </a:pPr>
            <a:endParaRPr lang="en-US"/>
          </a:p>
        </c:txPr>
        <c:crossAx val="155421696"/>
        <c:crosses val="autoZero"/>
        <c:crossBetween val="midCat"/>
        <c:majorUnit val="2.0000000000000104E-2"/>
      </c:valAx>
      <c:valAx>
        <c:axId val="155421696"/>
        <c:scaling>
          <c:orientation val="minMax"/>
        </c:scaling>
        <c:delete val="0"/>
        <c:axPos val="l"/>
        <c:title>
          <c:tx>
            <c:rich>
              <a:bodyPr/>
              <a:lstStyle/>
              <a:p>
                <a:pPr>
                  <a:defRPr sz="1000" b="0" i="0" u="none" strike="noStrike" baseline="0">
                    <a:solidFill>
                      <a:srgbClr val="000000"/>
                    </a:solidFill>
                    <a:latin typeface="GHEA Grapalat"/>
                    <a:ea typeface="GHEA Grapalat"/>
                    <a:cs typeface="GHEA Grapalat"/>
                  </a:defRPr>
                </a:pPr>
                <a:r>
                  <a:rPr lang="hy-AM"/>
                  <a:t>Ծախս</a:t>
                </a:r>
              </a:p>
            </c:rich>
          </c:tx>
          <c:layout>
            <c:manualLayout>
              <c:xMode val="edge"/>
              <c:yMode val="edge"/>
              <c:x val="3.2443614039770669E-3"/>
              <c:y val="0.39230276057390345"/>
            </c:manualLayout>
          </c:layout>
          <c:overlay val="0"/>
        </c:title>
        <c:numFmt formatCode="#,##0.0" sourceLinked="0"/>
        <c:majorTickMark val="in"/>
        <c:minorTickMark val="none"/>
        <c:tickLblPos val="nextTo"/>
        <c:spPr>
          <a:ln w="3175">
            <a:solidFill>
              <a:srgbClr val="B3B3B3"/>
            </a:solidFill>
            <a:prstDash val="solid"/>
          </a:ln>
        </c:spPr>
        <c:txPr>
          <a:bodyPr rot="0" vert="horz"/>
          <a:lstStyle/>
          <a:p>
            <a:pPr>
              <a:defRPr sz="1000" b="0" i="0" u="none" strike="noStrike" baseline="0">
                <a:solidFill>
                  <a:srgbClr val="000000"/>
                </a:solidFill>
                <a:latin typeface="GHEA Grapalat"/>
                <a:ea typeface="GHEA Grapalat"/>
                <a:cs typeface="GHEA Grapalat"/>
              </a:defRPr>
            </a:pPr>
            <a:endParaRPr lang="en-US"/>
          </a:p>
        </c:txPr>
        <c:crossAx val="155419776"/>
        <c:crossesAt val="0"/>
        <c:crossBetween val="midCat"/>
        <c:majorUnit val="0.2"/>
      </c:valAx>
      <c:spPr>
        <a:solidFill>
          <a:srgbClr val="FFFFFF"/>
        </a:solidFill>
        <a:ln w="3175">
          <a:solidFill>
            <a:srgbClr val="B3B3B3"/>
          </a:solidFill>
          <a:prstDash val="solid"/>
        </a:ln>
      </c:spPr>
    </c:plotArea>
    <c:plotVisOnly val="1"/>
    <c:dispBlanksAs val="gap"/>
    <c:showDLblsOverMax val="0"/>
  </c:chart>
  <c:spPr>
    <a:ln w="9525">
      <a:solidFill>
        <a:schemeClr val="bg1">
          <a:lumMod val="85000"/>
        </a:schemeClr>
      </a:solidFill>
    </a:ln>
  </c:spPr>
  <c:txPr>
    <a:bodyPr/>
    <a:lstStyle/>
    <a:p>
      <a:pPr>
        <a:defRPr sz="1000" b="0" i="0" u="none" strike="noStrike" baseline="0">
          <a:solidFill>
            <a:srgbClr val="000000"/>
          </a:solidFill>
          <a:latin typeface="GHEA Grapalat"/>
          <a:ea typeface="GHEA Grapalat"/>
          <a:cs typeface="GHEA Grapalat"/>
        </a:defRPr>
      </a:pPr>
      <a:endParaRPr lang="en-US"/>
    </a:p>
  </c:txPr>
  <c:externalData r:id="rId2">
    <c:autoUpdate val="0"/>
  </c:externalData>
  <c:userShapes r:id="rId3"/>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253568591489883E-2"/>
          <c:y val="4.8428453267162865E-2"/>
          <c:w val="0.89242128342871663"/>
          <c:h val="0.63421567602722229"/>
        </c:manualLayout>
      </c:layout>
      <c:barChart>
        <c:barDir val="col"/>
        <c:grouping val="clustered"/>
        <c:varyColors val="0"/>
        <c:ser>
          <c:idx val="1"/>
          <c:order val="0"/>
          <c:tx>
            <c:strRef>
              <c:f>'Graf 4'!$A$4</c:f>
              <c:strCache>
                <c:ptCount val="1"/>
                <c:pt idx="0">
                  <c:v>Արտարժութային արտաքին ակտիվներ (%)</c:v>
                </c:pt>
              </c:strCache>
            </c:strRef>
          </c:tx>
          <c:spPr>
            <a:solidFill>
              <a:sysClr val="window" lastClr="FFFFFF"/>
            </a:solidFill>
            <a:ln>
              <a:solidFill>
                <a:schemeClr val="tx1"/>
              </a:solidFill>
            </a:ln>
            <a:effectLst/>
          </c:spPr>
          <c:invertIfNegative val="0"/>
          <c:cat>
            <c:strRef>
              <c:f>'Graf 4'!$E$3:$H$3</c:f>
              <c:strCache>
                <c:ptCount val="4"/>
                <c:pt idx="0">
                  <c:v>2021թ.
կանխ.</c:v>
                </c:pt>
                <c:pt idx="1">
                  <c:v>2022թ.
կանխ.</c:v>
                </c:pt>
                <c:pt idx="2">
                  <c:v>2023թ.
կանխ.</c:v>
                </c:pt>
                <c:pt idx="3">
                  <c:v>2024թ.
կանխ.</c:v>
                </c:pt>
              </c:strCache>
            </c:strRef>
          </c:cat>
          <c:val>
            <c:numRef>
              <c:f>'Graf 4'!$E$4:$H$4</c:f>
              <c:numCache>
                <c:formatCode>0%</c:formatCode>
                <c:ptCount val="4"/>
                <c:pt idx="0">
                  <c:v>1</c:v>
                </c:pt>
                <c:pt idx="1">
                  <c:v>1</c:v>
                </c:pt>
                <c:pt idx="2">
                  <c:v>1</c:v>
                </c:pt>
                <c:pt idx="3">
                  <c:v>1</c:v>
                </c:pt>
              </c:numCache>
            </c:numRef>
          </c:val>
          <c:extLst>
            <c:ext xmlns:c16="http://schemas.microsoft.com/office/drawing/2014/chart" uri="{C3380CC4-5D6E-409C-BE32-E72D297353CC}">
              <c16:uniqueId val="{00000000-B709-471A-B428-1AB3245BD8DB}"/>
            </c:ext>
          </c:extLst>
        </c:ser>
        <c:ser>
          <c:idx val="0"/>
          <c:order val="1"/>
          <c:tx>
            <c:strRef>
              <c:f>'Graf 4'!$A$5</c:f>
              <c:strCache>
                <c:ptCount val="1"/>
                <c:pt idx="0">
                  <c:v>ՀՀ կառավարության արտարժութային պարտքի առաջիկա տարվա մարումների և տոկոսավճարների կշիռը տվյալ տարվա վերջի դրությամբ արտարժութային արտաքին ակտիվներում (%) </c:v>
                </c:pt>
              </c:strCache>
            </c:strRef>
          </c:tx>
          <c:spPr>
            <a:solidFill>
              <a:srgbClr val="31859C"/>
            </a:solidFill>
            <a:ln>
              <a:solidFill>
                <a:schemeClr val="tx1"/>
              </a:solidFill>
            </a:ln>
            <a:effectLst/>
          </c:spPr>
          <c:invertIfNegative val="0"/>
          <c:dLbls>
            <c:spPr>
              <a:noFill/>
              <a:ln w="25400">
                <a:noFill/>
              </a:ln>
            </c:spPr>
            <c:txPr>
              <a:bodyPr wrap="square" lIns="38100" tIns="19050" rIns="38100" bIns="19050" anchor="ctr">
                <a:spAutoFit/>
              </a:bodyPr>
              <a:lstStyle/>
              <a:p>
                <a:pPr>
                  <a:defRPr sz="1000" b="0" i="0" u="none" strike="noStrike" baseline="0">
                    <a:solidFill>
                      <a:srgbClr val="000000"/>
                    </a:solidFill>
                    <a:latin typeface="GHEA Grapalat"/>
                    <a:ea typeface="GHEA Grapalat"/>
                    <a:cs typeface="GHEA Grapalat"/>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 4'!$E$3:$H$3</c:f>
              <c:strCache>
                <c:ptCount val="4"/>
                <c:pt idx="0">
                  <c:v>2021թ.
կանխ.</c:v>
                </c:pt>
                <c:pt idx="1">
                  <c:v>2022թ.
կանխ.</c:v>
                </c:pt>
                <c:pt idx="2">
                  <c:v>2023թ.
կանխ.</c:v>
                </c:pt>
                <c:pt idx="3">
                  <c:v>2024թ.
կանխ.</c:v>
                </c:pt>
              </c:strCache>
            </c:strRef>
          </c:cat>
          <c:val>
            <c:numRef>
              <c:f>'Graf 4'!$E$5:$H$5</c:f>
              <c:numCache>
                <c:formatCode>0.0%</c:formatCode>
                <c:ptCount val="4"/>
                <c:pt idx="0">
                  <c:v>0.15188377477767862</c:v>
                </c:pt>
                <c:pt idx="1">
                  <c:v>0.18892152182648575</c:v>
                </c:pt>
                <c:pt idx="2">
                  <c:v>0.40696865907382473</c:v>
                </c:pt>
                <c:pt idx="3">
                  <c:v>0.14513315732042173</c:v>
                </c:pt>
              </c:numCache>
            </c:numRef>
          </c:val>
          <c:extLst>
            <c:ext xmlns:c16="http://schemas.microsoft.com/office/drawing/2014/chart" uri="{C3380CC4-5D6E-409C-BE32-E72D297353CC}">
              <c16:uniqueId val="{00000001-B709-471A-B428-1AB3245BD8DB}"/>
            </c:ext>
          </c:extLst>
        </c:ser>
        <c:dLbls>
          <c:showLegendKey val="0"/>
          <c:showVal val="0"/>
          <c:showCatName val="0"/>
          <c:showSerName val="0"/>
          <c:showPercent val="0"/>
          <c:showBubbleSize val="0"/>
        </c:dLbls>
        <c:gapWidth val="150"/>
        <c:overlap val="100"/>
        <c:axId val="154174976"/>
        <c:axId val="154176512"/>
      </c:barChart>
      <c:catAx>
        <c:axId val="154174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050" b="0" i="0" u="none" strike="noStrike" baseline="0">
                <a:solidFill>
                  <a:srgbClr val="000000"/>
                </a:solidFill>
                <a:latin typeface="GHEA Grapalat"/>
                <a:ea typeface="GHEA Grapalat"/>
                <a:cs typeface="GHEA Grapalat"/>
              </a:defRPr>
            </a:pPr>
            <a:endParaRPr lang="en-US"/>
          </a:p>
        </c:txPr>
        <c:crossAx val="154176512"/>
        <c:crosses val="autoZero"/>
        <c:auto val="1"/>
        <c:lblAlgn val="ctr"/>
        <c:lblOffset val="100"/>
        <c:noMultiLvlLbl val="0"/>
      </c:catAx>
      <c:valAx>
        <c:axId val="154176512"/>
        <c:scaling>
          <c:orientation val="minMax"/>
          <c:max val="1"/>
        </c:scaling>
        <c:delete val="0"/>
        <c:axPos val="l"/>
        <c:majorGridlines>
          <c:spPr>
            <a:ln w="9525" cap="flat" cmpd="sng" algn="ctr">
              <a:gradFill>
                <a:gsLst>
                  <a:gs pos="0">
                    <a:schemeClr val="accent1">
                      <a:lumMod val="45000"/>
                      <a:lumOff val="55000"/>
                    </a:schemeClr>
                  </a:gs>
                  <a:gs pos="83000">
                    <a:schemeClr val="accent1">
                      <a:lumMod val="45000"/>
                      <a:lumOff val="55000"/>
                    </a:schemeClr>
                  </a:gs>
                  <a:gs pos="100000">
                    <a:schemeClr val="accent1">
                      <a:lumMod val="40000"/>
                      <a:lumOff val="60000"/>
                    </a:schemeClr>
                  </a:gs>
                </a:gsLst>
                <a:lin ang="5400000" scaled="1"/>
              </a:gradFill>
              <a:round/>
            </a:ln>
            <a:effectLst/>
          </c:spPr>
        </c:majorGridlines>
        <c:numFmt formatCode="0%" sourceLinked="1"/>
        <c:majorTickMark val="none"/>
        <c:minorTickMark val="none"/>
        <c:tickLblPos val="nextTo"/>
        <c:spPr>
          <a:ln w="9525">
            <a:noFill/>
          </a:ln>
        </c:spPr>
        <c:txPr>
          <a:bodyPr rot="0" vert="horz"/>
          <a:lstStyle/>
          <a:p>
            <a:pPr>
              <a:defRPr sz="1000" b="0" i="0" u="none" strike="noStrike" baseline="0">
                <a:solidFill>
                  <a:srgbClr val="000000"/>
                </a:solidFill>
                <a:latin typeface="GHEA Grapalat"/>
                <a:ea typeface="GHEA Grapalat"/>
                <a:cs typeface="GHEA Grapalat"/>
              </a:defRPr>
            </a:pPr>
            <a:endParaRPr lang="en-US"/>
          </a:p>
        </c:txPr>
        <c:crossAx val="154174976"/>
        <c:crosses val="autoZero"/>
        <c:crossBetween val="between"/>
      </c:valAx>
      <c:spPr>
        <a:noFill/>
        <a:ln w="25400">
          <a:noFill/>
        </a:ln>
      </c:spPr>
    </c:plotArea>
    <c:legend>
      <c:legendPos val="r"/>
      <c:legendEntry>
        <c:idx val="0"/>
        <c:delete val="1"/>
      </c:legendEntry>
      <c:layout>
        <c:manualLayout>
          <c:xMode val="edge"/>
          <c:yMode val="edge"/>
          <c:x val="1.7769606515829268E-2"/>
          <c:y val="0.83662085104406192"/>
          <c:w val="0.95922462065006664"/>
          <c:h val="0.15199666689893851"/>
        </c:manualLayout>
      </c:layout>
      <c:overlay val="0"/>
      <c:spPr>
        <a:noFill/>
        <a:ln w="25400">
          <a:noFill/>
        </a:ln>
      </c:spPr>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0889998836372023E-2"/>
          <c:y val="3.1630245471804701E-2"/>
          <c:w val="0.8717961559026145"/>
          <c:h val="0.76399208293435161"/>
        </c:manualLayout>
      </c:layout>
      <c:areaChart>
        <c:grouping val="stacked"/>
        <c:varyColors val="0"/>
        <c:ser>
          <c:idx val="0"/>
          <c:order val="0"/>
          <c:tx>
            <c:strRef>
              <c:f>'Graf 2'!$B$3</c:f>
              <c:strCache>
                <c:ptCount val="1"/>
                <c:pt idx="0">
                  <c:v>Տոկոսավճար</c:v>
                </c:pt>
              </c:strCache>
            </c:strRef>
          </c:tx>
          <c:spPr>
            <a:ln w="25400">
              <a:noFill/>
            </a:ln>
          </c:spPr>
          <c:dLbls>
            <c:dLbl>
              <c:idx val="0"/>
              <c:layout>
                <c:manualLayout>
                  <c:x val="3.2258064516129219E-2"/>
                  <c:y val="0"/>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E1-401D-A020-DA23AFB78B9A}"/>
                </c:ext>
              </c:extLst>
            </c:dLbl>
            <c:dLbl>
              <c:idx val="5"/>
              <c:layout>
                <c:manualLayout>
                  <c:x val="-3.4408602150537794E-2"/>
                  <c:y val="-8.2027389474493307E-17"/>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E1-401D-A020-DA23AFB78B9A}"/>
                </c:ext>
              </c:extLst>
            </c:dLbl>
            <c:numFmt formatCode="#,#00" sourceLinked="0"/>
            <c:spPr>
              <a:noFill/>
              <a:ln w="25400">
                <a:noFill/>
              </a:ln>
            </c:spPr>
            <c:txPr>
              <a:bodyPr wrap="square" lIns="38100" tIns="19050" rIns="38100" bIns="19050" anchor="ctr">
                <a:spAutoFit/>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 2'!$C$2:$H$2</c:f>
              <c:numCache>
                <c:formatCode>General</c:formatCode>
                <c:ptCount val="6"/>
                <c:pt idx="0">
                  <c:v>2019</c:v>
                </c:pt>
                <c:pt idx="1">
                  <c:v>2020</c:v>
                </c:pt>
                <c:pt idx="2">
                  <c:v>2021</c:v>
                </c:pt>
                <c:pt idx="3">
                  <c:v>2022</c:v>
                </c:pt>
                <c:pt idx="4">
                  <c:v>2023</c:v>
                </c:pt>
                <c:pt idx="5">
                  <c:v>2024</c:v>
                </c:pt>
              </c:numCache>
            </c:numRef>
          </c:cat>
          <c:val>
            <c:numRef>
              <c:f>'Graf 2'!$C$3:$H$3</c:f>
              <c:numCache>
                <c:formatCode>_ * #,##0.0_ ;_ * \-#,##0.0_ ;_ * "-"??_ ;_ @_ </c:formatCode>
                <c:ptCount val="6"/>
                <c:pt idx="0">
                  <c:v>157.48952193265001</c:v>
                </c:pt>
                <c:pt idx="1">
                  <c:v>164.67451796211486</c:v>
                </c:pt>
                <c:pt idx="2">
                  <c:v>194.5106864</c:v>
                </c:pt>
                <c:pt idx="3">
                  <c:v>215.72094299951561</c:v>
                </c:pt>
                <c:pt idx="4">
                  <c:v>243.46820630620499</c:v>
                </c:pt>
                <c:pt idx="5">
                  <c:v>268.06208428487264</c:v>
                </c:pt>
              </c:numCache>
            </c:numRef>
          </c:val>
          <c:extLst>
            <c:ext xmlns:c16="http://schemas.microsoft.com/office/drawing/2014/chart" uri="{C3380CC4-5D6E-409C-BE32-E72D297353CC}">
              <c16:uniqueId val="{00000002-9DE1-401D-A020-DA23AFB78B9A}"/>
            </c:ext>
          </c:extLst>
        </c:ser>
        <c:ser>
          <c:idx val="1"/>
          <c:order val="1"/>
          <c:tx>
            <c:strRef>
              <c:f>'Graf 2'!$B$4</c:f>
              <c:strCache>
                <c:ptCount val="1"/>
                <c:pt idx="0">
                  <c:v>Մարում</c:v>
                </c:pt>
              </c:strCache>
            </c:strRef>
          </c:tx>
          <c:spPr>
            <a:ln w="25400">
              <a:noFill/>
            </a:ln>
          </c:spPr>
          <c:dLbls>
            <c:dLbl>
              <c:idx val="0"/>
              <c:layout>
                <c:manualLayout>
                  <c:x val="3.6559139784946251E-2"/>
                  <c:y val="4.4739206256936498E-3"/>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E1-401D-A020-DA23AFB78B9A}"/>
                </c:ext>
              </c:extLst>
            </c:dLbl>
            <c:dLbl>
              <c:idx val="1"/>
              <c:layout>
                <c:manualLayout>
                  <c:x val="-2.1505376344086052E-3"/>
                  <c:y val="3.1319910514541492E-2"/>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E1-401D-A020-DA23AFB78B9A}"/>
                </c:ext>
              </c:extLst>
            </c:dLbl>
            <c:dLbl>
              <c:idx val="4"/>
              <c:layout>
                <c:manualLayout>
                  <c:x val="5.8582308142939403E-3"/>
                  <c:y val="4.3726875210225384E-2"/>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DE1-401D-A020-DA23AFB78B9A}"/>
                </c:ext>
              </c:extLst>
            </c:dLbl>
            <c:dLbl>
              <c:idx val="5"/>
              <c:layout>
                <c:manualLayout>
                  <c:x val="-3.285145156503945E-2"/>
                  <c:y val="-3.5857361926631019E-2"/>
                </c:manualLayout>
              </c:layout>
              <c:numFmt formatCode="#,#00" sourceLinked="0"/>
              <c:spPr/>
              <c:txPr>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E1-401D-A020-DA23AFB78B9A}"/>
                </c:ext>
              </c:extLst>
            </c:dLbl>
            <c:numFmt formatCode="#,#00" sourceLinked="0"/>
            <c:spPr>
              <a:noFill/>
              <a:ln w="25400">
                <a:noFill/>
              </a:ln>
            </c:spPr>
            <c:txPr>
              <a:bodyPr wrap="square" lIns="38100" tIns="19050" rIns="38100" bIns="19050" anchor="ctr">
                <a:spAutoFit/>
              </a:bodyPr>
              <a:lstStyle/>
              <a:p>
                <a:pPr>
                  <a:defRPr sz="800" b="0" i="0" u="none" strike="noStrike" baseline="0">
                    <a:solidFill>
                      <a:srgbClr val="000000"/>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 2'!$C$2:$H$2</c:f>
              <c:numCache>
                <c:formatCode>General</c:formatCode>
                <c:ptCount val="6"/>
                <c:pt idx="0">
                  <c:v>2019</c:v>
                </c:pt>
                <c:pt idx="1">
                  <c:v>2020</c:v>
                </c:pt>
                <c:pt idx="2">
                  <c:v>2021</c:v>
                </c:pt>
                <c:pt idx="3">
                  <c:v>2022</c:v>
                </c:pt>
                <c:pt idx="4">
                  <c:v>2023</c:v>
                </c:pt>
                <c:pt idx="5">
                  <c:v>2024</c:v>
                </c:pt>
              </c:numCache>
            </c:numRef>
          </c:cat>
          <c:val>
            <c:numRef>
              <c:f>'Graf 2'!$C$4:$H$4</c:f>
              <c:numCache>
                <c:formatCode>_ * #,##0.0_ ;_ * \-#,##0.0_ ;_ * "-"??_ ;_ @_ </c:formatCode>
                <c:ptCount val="6"/>
                <c:pt idx="0">
                  <c:v>386.71891399999998</c:v>
                </c:pt>
                <c:pt idx="1">
                  <c:v>260.51645318180999</c:v>
                </c:pt>
                <c:pt idx="2">
                  <c:v>272.39604011064108</c:v>
                </c:pt>
                <c:pt idx="3">
                  <c:v>312.83994043396194</c:v>
                </c:pt>
                <c:pt idx="4">
                  <c:v>373.41908765952741</c:v>
                </c:pt>
                <c:pt idx="5">
                  <c:v>701.22953175512816</c:v>
                </c:pt>
              </c:numCache>
            </c:numRef>
          </c:val>
          <c:extLst>
            <c:ext xmlns:c16="http://schemas.microsoft.com/office/drawing/2014/chart" uri="{C3380CC4-5D6E-409C-BE32-E72D297353CC}">
              <c16:uniqueId val="{00000007-9DE1-401D-A020-DA23AFB78B9A}"/>
            </c:ext>
          </c:extLst>
        </c:ser>
        <c:dLbls>
          <c:showLegendKey val="0"/>
          <c:showVal val="0"/>
          <c:showCatName val="0"/>
          <c:showSerName val="0"/>
          <c:showPercent val="0"/>
          <c:showBubbleSize val="0"/>
        </c:dLbls>
        <c:axId val="154539136"/>
        <c:axId val="154540672"/>
      </c:areaChart>
      <c:lineChart>
        <c:grouping val="stacked"/>
        <c:varyColors val="0"/>
        <c:ser>
          <c:idx val="4"/>
          <c:order val="2"/>
          <c:tx>
            <c:strRef>
              <c:f>'Graf 2'!$B$5</c:f>
              <c:strCache>
                <c:ptCount val="1"/>
                <c:pt idx="0">
                  <c:v>ՀՀ կառավարության պարտքի գծով վճարումներ</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Lbl>
              <c:idx val="0"/>
              <c:layout>
                <c:manualLayout>
                  <c:x val="-2.0151753182750889E-2"/>
                  <c:y val="-5.7915545366955715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E1-401D-A020-DA23AFB78B9A}"/>
                </c:ext>
              </c:extLst>
            </c:dLbl>
            <c:dLbl>
              <c:idx val="2"/>
              <c:layout>
                <c:manualLayout>
                  <c:x val="-3.6397665481688206E-2"/>
                  <c:y val="-7.7628697094460075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DE1-401D-A020-DA23AFB78B9A}"/>
                </c:ext>
              </c:extLst>
            </c:dLbl>
            <c:dLbl>
              <c:idx val="3"/>
              <c:layout>
                <c:manualLayout>
                  <c:x val="-3.4435727179672158E-2"/>
                  <c:y val="-6.6948556941579959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DE1-401D-A020-DA23AFB78B9A}"/>
                </c:ext>
              </c:extLst>
            </c:dLbl>
            <c:dLbl>
              <c:idx val="4"/>
              <c:layout>
                <c:manualLayout>
                  <c:x val="-1.8637938271775782E-2"/>
                  <c:y val="-6.3626708619041211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DE1-401D-A020-DA23AFB78B9A}"/>
                </c:ext>
              </c:extLst>
            </c:dLbl>
            <c:dLbl>
              <c:idx val="5"/>
              <c:layout>
                <c:manualLayout>
                  <c:x val="-3.3691746352444082E-2"/>
                  <c:y val="-5.2379552455034915E-2"/>
                </c:manualLayout>
              </c:layout>
              <c:numFmt formatCode="#,#00" sourceLinked="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DE1-401D-A020-DA23AFB78B9A}"/>
                </c:ext>
              </c:extLst>
            </c:dLbl>
            <c:numFmt formatCode="#,#00" sourceLinked="0"/>
            <c:spPr>
              <a:noFill/>
              <a:ln w="25400">
                <a:noFill/>
              </a:ln>
            </c:spPr>
            <c:txPr>
              <a:bodyPr wrap="square" lIns="38100" tIns="19050" rIns="38100" bIns="19050" anchor="ctr">
                <a:spAutoFit/>
              </a:bodyPr>
              <a:lstStyle/>
              <a:p>
                <a:pPr>
                  <a:defRPr sz="1000" b="0" i="0" u="none" strike="noStrike" baseline="0">
                    <a:solidFill>
                      <a:srgbClr val="000000"/>
                    </a:solidFill>
                    <a:latin typeface="GHEA Grapalat"/>
                    <a:ea typeface="GHEA Grapalat"/>
                    <a:cs typeface="GHEA Grapalat"/>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 2'!$C$2:$H$2</c:f>
              <c:numCache>
                <c:formatCode>General</c:formatCode>
                <c:ptCount val="6"/>
                <c:pt idx="0">
                  <c:v>2019</c:v>
                </c:pt>
                <c:pt idx="1">
                  <c:v>2020</c:v>
                </c:pt>
                <c:pt idx="2">
                  <c:v>2021</c:v>
                </c:pt>
                <c:pt idx="3">
                  <c:v>2022</c:v>
                </c:pt>
                <c:pt idx="4">
                  <c:v>2023</c:v>
                </c:pt>
                <c:pt idx="5">
                  <c:v>2024</c:v>
                </c:pt>
              </c:numCache>
            </c:numRef>
          </c:cat>
          <c:val>
            <c:numRef>
              <c:f>'Graf 2'!$C$5:$H$5</c:f>
              <c:numCache>
                <c:formatCode>_ * #,##0.0_ ;_ * \-#,##0.0_ ;_ * "-"??_ ;_ @_ </c:formatCode>
                <c:ptCount val="6"/>
                <c:pt idx="0">
                  <c:v>544.20843593264999</c:v>
                </c:pt>
                <c:pt idx="1">
                  <c:v>425.19097114392486</c:v>
                </c:pt>
                <c:pt idx="2">
                  <c:v>466.90672651064108</c:v>
                </c:pt>
                <c:pt idx="3">
                  <c:v>528.56088343347756</c:v>
                </c:pt>
                <c:pt idx="4">
                  <c:v>616.88729396573251</c:v>
                </c:pt>
                <c:pt idx="5">
                  <c:v>969.2916160400008</c:v>
                </c:pt>
              </c:numCache>
            </c:numRef>
          </c:val>
          <c:smooth val="0"/>
          <c:extLst>
            <c:ext xmlns:c16="http://schemas.microsoft.com/office/drawing/2014/chart" uri="{C3380CC4-5D6E-409C-BE32-E72D297353CC}">
              <c16:uniqueId val="{0000000D-9DE1-401D-A020-DA23AFB78B9A}"/>
            </c:ext>
          </c:extLst>
        </c:ser>
        <c:dLbls>
          <c:showLegendKey val="0"/>
          <c:showVal val="0"/>
          <c:showCatName val="0"/>
          <c:showSerName val="0"/>
          <c:showPercent val="0"/>
          <c:showBubbleSize val="0"/>
        </c:dLbls>
        <c:marker val="1"/>
        <c:smooth val="0"/>
        <c:axId val="154539136"/>
        <c:axId val="154540672"/>
      </c:lineChart>
      <c:catAx>
        <c:axId val="15453913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vert="horz"/>
          <a:lstStyle/>
          <a:p>
            <a:pPr>
              <a:defRPr sz="1000" b="0" i="0" u="none" strike="noStrike" baseline="0">
                <a:solidFill>
                  <a:srgbClr val="000000"/>
                </a:solidFill>
                <a:latin typeface="GHEA Grapalat"/>
                <a:ea typeface="GHEA Grapalat"/>
                <a:cs typeface="GHEA Grapalat"/>
              </a:defRPr>
            </a:pPr>
            <a:endParaRPr lang="en-US"/>
          </a:p>
        </c:txPr>
        <c:crossAx val="154540672"/>
        <c:crosses val="autoZero"/>
        <c:auto val="1"/>
        <c:lblAlgn val="ctr"/>
        <c:lblOffset val="100"/>
        <c:noMultiLvlLbl val="0"/>
      </c:catAx>
      <c:valAx>
        <c:axId val="154540672"/>
        <c:scaling>
          <c:orientation val="minMax"/>
          <c:max val="1100"/>
        </c:scaling>
        <c:delete val="0"/>
        <c:axPos val="l"/>
        <c:majorGridlines>
          <c:spPr>
            <a:ln w="9525" cap="flat" cmpd="sng" algn="ctr">
              <a:solidFill>
                <a:schemeClr val="tx1">
                  <a:lumMod val="15000"/>
                  <a:lumOff val="85000"/>
                </a:schemeClr>
              </a:solidFill>
              <a:round/>
            </a:ln>
            <a:effectLst>
              <a:glow>
                <a:srgbClr val="4F81BD">
                  <a:alpha val="40000"/>
                </a:srgbClr>
              </a:glow>
              <a:outerShdw dir="3540000" sx="1000" sy="1000" algn="ctr" rotWithShape="0">
                <a:srgbClr val="000000"/>
              </a:outerShdw>
              <a:softEdge rad="0"/>
            </a:effectLst>
          </c:spPr>
        </c:majorGridlines>
        <c:numFmt formatCode="#,##0" sourceLinked="0"/>
        <c:majorTickMark val="none"/>
        <c:minorTickMark val="none"/>
        <c:tickLblPos val="nextTo"/>
        <c:spPr>
          <a:ln w="6350">
            <a:noFill/>
          </a:ln>
        </c:spPr>
        <c:txPr>
          <a:bodyPr rot="0" vert="horz"/>
          <a:lstStyle/>
          <a:p>
            <a:pPr>
              <a:defRPr sz="1000" b="0" i="0" u="none" strike="noStrike" baseline="0">
                <a:solidFill>
                  <a:srgbClr val="000000"/>
                </a:solidFill>
                <a:latin typeface="GHEA Grapalat"/>
                <a:ea typeface="GHEA Grapalat"/>
                <a:cs typeface="GHEA Grapalat"/>
              </a:defRPr>
            </a:pPr>
            <a:endParaRPr lang="en-US"/>
          </a:p>
        </c:txPr>
        <c:crossAx val="154539136"/>
        <c:crosses val="autoZero"/>
        <c:crossBetween val="midCat"/>
        <c:majorUnit val="100"/>
      </c:valAx>
      <c:spPr>
        <a:noFill/>
        <a:ln w="25400">
          <a:noFill/>
        </a:ln>
      </c:spPr>
    </c:plotArea>
    <c:legend>
      <c:legendPos val="b"/>
      <c:layout>
        <c:manualLayout>
          <c:xMode val="edge"/>
          <c:yMode val="edge"/>
          <c:x val="5.0968312505240643E-2"/>
          <c:y val="0.89227395747878158"/>
          <c:w val="0.87466199175491133"/>
          <c:h val="9.4502500721976454E-2"/>
        </c:manualLayout>
      </c:layout>
      <c:overlay val="0"/>
      <c:spPr>
        <a:noFill/>
        <a:ln w="25400">
          <a:noFill/>
        </a:ln>
      </c:spPr>
      <c:txPr>
        <a:bodyPr/>
        <a:lstStyle/>
        <a:p>
          <a:pPr>
            <a:defRPr sz="1000" b="0" i="0" u="none" strike="noStrike" baseline="0">
              <a:solidFill>
                <a:srgbClr val="000000"/>
              </a:solidFill>
              <a:latin typeface="GHEA Grapalat"/>
              <a:ea typeface="GHEA Grapalat"/>
              <a:cs typeface="GHEA Grapalat"/>
            </a:defRPr>
          </a:pPr>
          <a:endParaRPr lang="en-US"/>
        </a:p>
      </c:txPr>
    </c:legend>
    <c:plotVisOnly val="1"/>
    <c:dispBlanksAs val="zero"/>
    <c:showDLblsOverMax val="0"/>
  </c:chart>
  <c:spPr>
    <a:solidFill>
      <a:schemeClr val="bg1"/>
    </a:solidFill>
    <a:ln w="9525" cap="rnd" cmpd="sng" algn="ctr">
      <a:solidFill>
        <a:sysClr val="windowText" lastClr="000000">
          <a:lumMod val="15000"/>
          <a:lumOff val="85000"/>
        </a:sysClr>
      </a:solidFill>
      <a:round/>
    </a:ln>
    <a:effectLst/>
    <a:scene3d>
      <a:camera prst="orthographicFront"/>
      <a:lightRig rig="threePt" dir="t"/>
    </a:scene3d>
    <a:sp3d>
      <a:bevelT w="0"/>
    </a:sp3d>
  </c:spPr>
  <c:txPr>
    <a:bodyPr/>
    <a:lstStyle/>
    <a:p>
      <a:pPr>
        <a:defRPr sz="1000" b="0" i="0" u="none" strike="noStrike" baseline="0">
          <a:solidFill>
            <a:srgbClr val="000000"/>
          </a:solidFill>
          <a:latin typeface="GHEA Grapalat"/>
          <a:ea typeface="GHEA Grapalat"/>
          <a:cs typeface="GHEA Grapalat"/>
        </a:defRPr>
      </a:pPr>
      <a:endParaRPr lang="en-US"/>
    </a:p>
  </c:txPr>
  <c:externalData r:id="rId2">
    <c:autoUpdate val="0"/>
  </c:externalData>
  <c:userShapes r:id="rId3"/>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7418214232654126E-2"/>
          <c:y val="0.15403291703982724"/>
          <c:w val="0.9022861387609511"/>
          <c:h val="0.75425087605778585"/>
        </c:manualLayout>
      </c:layout>
      <c:lineChart>
        <c:grouping val="standard"/>
        <c:varyColors val="0"/>
        <c:ser>
          <c:idx val="0"/>
          <c:order val="0"/>
          <c:tx>
            <c:strRef>
              <c:f>'Graf Shock 7'!$B$21</c:f>
              <c:strCache>
                <c:ptCount val="1"/>
                <c:pt idx="0">
                  <c:v>Հիմնական սցենար</c:v>
                </c:pt>
              </c:strCache>
            </c:strRef>
          </c:tx>
          <c:spPr>
            <a:ln>
              <a:solidFill>
                <a:schemeClr val="tx1"/>
              </a:solidFill>
            </a:ln>
          </c:spPr>
          <c:marker>
            <c:symbol val="none"/>
          </c:marker>
          <c:cat>
            <c:numRef>
              <c:f>'Graf Shock 7'!$C$20:$F$20</c:f>
              <c:numCache>
                <c:formatCode>General</c:formatCode>
                <c:ptCount val="4"/>
                <c:pt idx="0">
                  <c:v>2021</c:v>
                </c:pt>
                <c:pt idx="1">
                  <c:v>2022</c:v>
                </c:pt>
                <c:pt idx="2">
                  <c:v>2023</c:v>
                </c:pt>
                <c:pt idx="3">
                  <c:v>2024</c:v>
                </c:pt>
              </c:numCache>
            </c:numRef>
          </c:cat>
          <c:val>
            <c:numRef>
              <c:f>'Graf Shock 7'!$C$21:$F$21</c:f>
              <c:numCache>
                <c:formatCode>0.0</c:formatCode>
                <c:ptCount val="4"/>
                <c:pt idx="0">
                  <c:v>2.827111254285231</c:v>
                </c:pt>
                <c:pt idx="1">
                  <c:v>2.8493833149490411</c:v>
                </c:pt>
                <c:pt idx="2">
                  <c:v>2.9796209067114261</c:v>
                </c:pt>
                <c:pt idx="3">
                  <c:v>3.0339415678439412</c:v>
                </c:pt>
              </c:numCache>
            </c:numRef>
          </c:val>
          <c:smooth val="0"/>
          <c:extLst>
            <c:ext xmlns:c16="http://schemas.microsoft.com/office/drawing/2014/chart" uri="{C3380CC4-5D6E-409C-BE32-E72D297353CC}">
              <c16:uniqueId val="{00000000-1C27-4064-9DE0-06798CB6DFDC}"/>
            </c:ext>
          </c:extLst>
        </c:ser>
        <c:ser>
          <c:idx val="1"/>
          <c:order val="1"/>
          <c:tx>
            <c:strRef>
              <c:f>'Graf Shock 7'!$B$22</c:f>
              <c:strCache>
                <c:ptCount val="1"/>
                <c:pt idx="0">
                  <c:v>Փոխարժեքի շոկ (30 տոկոս)</c:v>
                </c:pt>
              </c:strCache>
            </c:strRef>
          </c:tx>
          <c:spPr>
            <a:ln>
              <a:solidFill>
                <a:srgbClr val="0000FF"/>
              </a:solidFill>
            </a:ln>
          </c:spPr>
          <c:marker>
            <c:spPr>
              <a:solidFill>
                <a:srgbClr val="0000FF"/>
              </a:solidFill>
              <a:ln>
                <a:solidFill>
                  <a:srgbClr val="0000FF"/>
                </a:solidFill>
              </a:ln>
            </c:spPr>
          </c:marker>
          <c:cat>
            <c:numRef>
              <c:f>'Graf Shock 7'!$C$20:$F$20</c:f>
              <c:numCache>
                <c:formatCode>General</c:formatCode>
                <c:ptCount val="4"/>
                <c:pt idx="0">
                  <c:v>2021</c:v>
                </c:pt>
                <c:pt idx="1">
                  <c:v>2022</c:v>
                </c:pt>
                <c:pt idx="2">
                  <c:v>2023</c:v>
                </c:pt>
                <c:pt idx="3">
                  <c:v>2024</c:v>
                </c:pt>
              </c:numCache>
            </c:numRef>
          </c:cat>
          <c:val>
            <c:numRef>
              <c:f>'Graf Shock 7'!$C$22:$F$22</c:f>
              <c:numCache>
                <c:formatCode>0.0</c:formatCode>
                <c:ptCount val="4"/>
                <c:pt idx="0">
                  <c:v>2.827111254285231</c:v>
                </c:pt>
                <c:pt idx="1">
                  <c:v>3.2033504716914147</c:v>
                </c:pt>
                <c:pt idx="2">
                  <c:v>3.3638878846172795</c:v>
                </c:pt>
                <c:pt idx="3">
                  <c:v>3.4605755533275642</c:v>
                </c:pt>
              </c:numCache>
            </c:numRef>
          </c:val>
          <c:smooth val="0"/>
          <c:extLst>
            <c:ext xmlns:c16="http://schemas.microsoft.com/office/drawing/2014/chart" uri="{C3380CC4-5D6E-409C-BE32-E72D297353CC}">
              <c16:uniqueId val="{00000001-1C27-4064-9DE0-06798CB6DFDC}"/>
            </c:ext>
          </c:extLst>
        </c:ser>
        <c:ser>
          <c:idx val="2"/>
          <c:order val="2"/>
          <c:tx>
            <c:strRef>
              <c:f>'Graf Shock 7'!$B$23</c:f>
              <c:strCache>
                <c:ptCount val="1"/>
                <c:pt idx="0">
                  <c:v>Տոկոսադրույքի շոկ 1</c:v>
                </c:pt>
              </c:strCache>
            </c:strRef>
          </c:tx>
          <c:spPr>
            <a:ln>
              <a:solidFill>
                <a:srgbClr val="6496FA"/>
              </a:solidFill>
            </a:ln>
          </c:spPr>
          <c:marker>
            <c:spPr>
              <a:solidFill>
                <a:srgbClr val="6496FA"/>
              </a:solidFill>
              <a:ln>
                <a:solidFill>
                  <a:srgbClr val="6496FA"/>
                </a:solidFill>
              </a:ln>
            </c:spPr>
          </c:marker>
          <c:cat>
            <c:numRef>
              <c:f>'Graf Shock 7'!$C$20:$F$20</c:f>
              <c:numCache>
                <c:formatCode>General</c:formatCode>
                <c:ptCount val="4"/>
                <c:pt idx="0">
                  <c:v>2021</c:v>
                </c:pt>
                <c:pt idx="1">
                  <c:v>2022</c:v>
                </c:pt>
                <c:pt idx="2">
                  <c:v>2023</c:v>
                </c:pt>
                <c:pt idx="3">
                  <c:v>2024</c:v>
                </c:pt>
              </c:numCache>
            </c:numRef>
          </c:cat>
          <c:val>
            <c:numRef>
              <c:f>'Graf Shock 7'!$C$23:$F$23</c:f>
              <c:numCache>
                <c:formatCode>0.0</c:formatCode>
                <c:ptCount val="4"/>
                <c:pt idx="0">
                  <c:v>2.827111254285231</c:v>
                </c:pt>
                <c:pt idx="1">
                  <c:v>3.3728452236587168</c:v>
                </c:pt>
                <c:pt idx="2">
                  <c:v>3.7115650209066722</c:v>
                </c:pt>
                <c:pt idx="3">
                  <c:v>3.9668569466915171</c:v>
                </c:pt>
              </c:numCache>
            </c:numRef>
          </c:val>
          <c:smooth val="0"/>
          <c:extLst>
            <c:ext xmlns:c16="http://schemas.microsoft.com/office/drawing/2014/chart" uri="{C3380CC4-5D6E-409C-BE32-E72D297353CC}">
              <c16:uniqueId val="{00000002-1C27-4064-9DE0-06798CB6DFDC}"/>
            </c:ext>
          </c:extLst>
        </c:ser>
        <c:ser>
          <c:idx val="3"/>
          <c:order val="3"/>
          <c:tx>
            <c:strRef>
              <c:f>'Graf Shock 7'!$B$24</c:f>
              <c:strCache>
                <c:ptCount val="1"/>
                <c:pt idx="0">
                  <c:v>Տոկոսադրույքի շոկ 2</c:v>
                </c:pt>
              </c:strCache>
            </c:strRef>
          </c:tx>
          <c:spPr>
            <a:ln>
              <a:solidFill>
                <a:schemeClr val="bg1">
                  <a:lumMod val="50000"/>
                </a:schemeClr>
              </a:solidFill>
            </a:ln>
          </c:spPr>
          <c:marker>
            <c:symbol val="circle"/>
            <c:size val="7"/>
            <c:spPr>
              <a:solidFill>
                <a:srgbClr val="A0A0A0"/>
              </a:solidFill>
              <a:ln>
                <a:solidFill>
                  <a:sysClr val="window" lastClr="FFFFFF">
                    <a:lumMod val="50000"/>
                  </a:sysClr>
                </a:solidFill>
              </a:ln>
            </c:spPr>
          </c:marker>
          <c:cat>
            <c:numRef>
              <c:f>'Graf Shock 7'!$C$20:$F$20</c:f>
              <c:numCache>
                <c:formatCode>General</c:formatCode>
                <c:ptCount val="4"/>
                <c:pt idx="0">
                  <c:v>2021</c:v>
                </c:pt>
                <c:pt idx="1">
                  <c:v>2022</c:v>
                </c:pt>
                <c:pt idx="2">
                  <c:v>2023</c:v>
                </c:pt>
                <c:pt idx="3">
                  <c:v>2024</c:v>
                </c:pt>
              </c:numCache>
            </c:numRef>
          </c:cat>
          <c:val>
            <c:numRef>
              <c:f>'Graf Shock 7'!$C$24:$F$24</c:f>
              <c:numCache>
                <c:formatCode>0.0</c:formatCode>
                <c:ptCount val="4"/>
                <c:pt idx="0">
                  <c:v>2.827111254285231</c:v>
                </c:pt>
                <c:pt idx="1">
                  <c:v>3.8963071323683915</c:v>
                </c:pt>
                <c:pt idx="2">
                  <c:v>4.4906057940552548</c:v>
                </c:pt>
                <c:pt idx="3">
                  <c:v>5.018805698324015</c:v>
                </c:pt>
              </c:numCache>
            </c:numRef>
          </c:val>
          <c:smooth val="0"/>
          <c:extLst>
            <c:ext xmlns:c16="http://schemas.microsoft.com/office/drawing/2014/chart" uri="{C3380CC4-5D6E-409C-BE32-E72D297353CC}">
              <c16:uniqueId val="{00000003-1C27-4064-9DE0-06798CB6DFDC}"/>
            </c:ext>
          </c:extLst>
        </c:ser>
        <c:ser>
          <c:idx val="4"/>
          <c:order val="4"/>
          <c:tx>
            <c:strRef>
              <c:f>'Graf Shock 7'!$B$25</c:f>
              <c:strCache>
                <c:ptCount val="1"/>
                <c:pt idx="0">
                  <c:v>Համակցված շոկ (15 տոկոս արժեզրկում և տոկոսադրույքի շոկ)</c:v>
                </c:pt>
              </c:strCache>
            </c:strRef>
          </c:tx>
          <c:spPr>
            <a:ln>
              <a:solidFill>
                <a:schemeClr val="accent5">
                  <a:lumMod val="75000"/>
                </a:schemeClr>
              </a:solidFill>
              <a:prstDash val="sysDash"/>
            </a:ln>
          </c:spPr>
          <c:marker>
            <c:symbol val="none"/>
          </c:marker>
          <c:cat>
            <c:numRef>
              <c:f>'Graf Shock 7'!$C$20:$F$20</c:f>
              <c:numCache>
                <c:formatCode>General</c:formatCode>
                <c:ptCount val="4"/>
                <c:pt idx="0">
                  <c:v>2021</c:v>
                </c:pt>
                <c:pt idx="1">
                  <c:v>2022</c:v>
                </c:pt>
                <c:pt idx="2">
                  <c:v>2023</c:v>
                </c:pt>
                <c:pt idx="3">
                  <c:v>2024</c:v>
                </c:pt>
              </c:numCache>
            </c:numRef>
          </c:cat>
          <c:val>
            <c:numRef>
              <c:f>'Graf Shock 7'!$C$25:$F$25</c:f>
              <c:numCache>
                <c:formatCode>0.0</c:formatCode>
                <c:ptCount val="4"/>
                <c:pt idx="0">
                  <c:v>2.827111254285231</c:v>
                </c:pt>
                <c:pt idx="1">
                  <c:v>3.5977035750604469</c:v>
                </c:pt>
                <c:pt idx="2">
                  <c:v>3.9717228827030624</c:v>
                </c:pt>
                <c:pt idx="3">
                  <c:v>4.2719707471517934</c:v>
                </c:pt>
              </c:numCache>
            </c:numRef>
          </c:val>
          <c:smooth val="0"/>
          <c:extLst>
            <c:ext xmlns:c16="http://schemas.microsoft.com/office/drawing/2014/chart" uri="{C3380CC4-5D6E-409C-BE32-E72D297353CC}">
              <c16:uniqueId val="{00000004-1C27-4064-9DE0-06798CB6DFDC}"/>
            </c:ext>
          </c:extLst>
        </c:ser>
        <c:dLbls>
          <c:showLegendKey val="0"/>
          <c:showVal val="0"/>
          <c:showCatName val="0"/>
          <c:showSerName val="0"/>
          <c:showPercent val="0"/>
          <c:showBubbleSize val="0"/>
        </c:dLbls>
        <c:smooth val="0"/>
        <c:axId val="156193152"/>
        <c:axId val="156194688"/>
      </c:lineChart>
      <c:catAx>
        <c:axId val="156193152"/>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156194688"/>
        <c:crosses val="autoZero"/>
        <c:auto val="1"/>
        <c:lblAlgn val="ctr"/>
        <c:lblOffset val="100"/>
        <c:noMultiLvlLbl val="0"/>
      </c:catAx>
      <c:valAx>
        <c:axId val="156194688"/>
        <c:scaling>
          <c:orientation val="minMax"/>
          <c:max val="5.5"/>
          <c:min val="2"/>
        </c:scaling>
        <c:delete val="0"/>
        <c:axPos val="l"/>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156193152"/>
        <c:crosses val="autoZero"/>
        <c:crossBetween val="between"/>
        <c:majorUnit val="0.30000000000000004"/>
      </c:valAx>
    </c:plotArea>
    <c:legend>
      <c:legendPos val="r"/>
      <c:layout>
        <c:manualLayout>
          <c:xMode val="edge"/>
          <c:yMode val="edge"/>
          <c:x val="0.1366082771037696"/>
          <c:y val="1.7745908720909195E-2"/>
          <c:w val="0.76002505548893218"/>
          <c:h val="0.25157435304347736"/>
        </c:manualLayout>
      </c:layout>
      <c:overlay val="0"/>
      <c:txPr>
        <a:bodyPr/>
        <a:lstStyle/>
        <a:p>
          <a:pPr>
            <a:defRPr sz="825"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ln>
      <a:solidFill>
        <a:schemeClr val="bg1">
          <a:lumMod val="85000"/>
        </a:schemeClr>
      </a:solidFill>
    </a:ln>
  </c:spPr>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y-AM" sz="800"/>
              <a:t>Պետական պարտքի փոփոխություն</a:t>
            </a:r>
          </a:p>
        </c:rich>
      </c:tx>
      <c:layout>
        <c:manualLayout>
          <c:xMode val="edge"/>
          <c:yMode val="edge"/>
          <c:x val="0.16464149925184582"/>
          <c:y val="3.2387530506055163E-3"/>
        </c:manualLayout>
      </c:layout>
      <c:overlay val="0"/>
    </c:title>
    <c:autoTitleDeleted val="0"/>
    <c:plotArea>
      <c:layout>
        <c:manualLayout>
          <c:layoutTarget val="inner"/>
          <c:xMode val="edge"/>
          <c:yMode val="edge"/>
          <c:x val="0.19908945961194124"/>
          <c:y val="5.493133583021239E-2"/>
          <c:w val="0.73724875512056365"/>
          <c:h val="0.64506019392204073"/>
        </c:manualLayout>
      </c:layout>
      <c:barChart>
        <c:barDir val="col"/>
        <c:grouping val="clustered"/>
        <c:varyColors val="0"/>
        <c:ser>
          <c:idx val="0"/>
          <c:order val="0"/>
          <c:tx>
            <c:strRef>
              <c:f>Sheet1!$B$1</c:f>
              <c:strCache>
                <c:ptCount val="1"/>
                <c:pt idx="0">
                  <c:v>Պետական պարտքի փոփոխություն</c:v>
                </c:pt>
              </c:strCache>
            </c:strRef>
          </c:tx>
          <c:spPr>
            <a:solidFill>
              <a:schemeClr val="accent1"/>
            </a:solidFill>
            <a:ln>
              <a:noFill/>
            </a:ln>
            <a:effectLst/>
          </c:spPr>
          <c:invertIfNegative val="0"/>
          <c:dPt>
            <c:idx val="0"/>
            <c:invertIfNegative val="0"/>
            <c:bubble3D val="0"/>
            <c:spPr>
              <a:solidFill>
                <a:srgbClr val="C00000"/>
              </a:solidFill>
              <a:ln>
                <a:noFill/>
              </a:ln>
              <a:effectLst/>
            </c:spPr>
            <c:extLst>
              <c:ext xmlns:c16="http://schemas.microsoft.com/office/drawing/2014/chart" uri="{C3380CC4-5D6E-409C-BE32-E72D297353CC}">
                <c16:uniqueId val="{00000001-864A-40C5-B141-0A5A74D38DE1}"/>
              </c:ext>
            </c:extLst>
          </c:dPt>
          <c:dPt>
            <c:idx val="2"/>
            <c:invertIfNegative val="0"/>
            <c:bubble3D val="0"/>
            <c:spPr>
              <a:solidFill>
                <a:srgbClr val="C00000"/>
              </a:solidFill>
              <a:ln>
                <a:noFill/>
              </a:ln>
              <a:effectLst/>
            </c:spPr>
            <c:extLst>
              <c:ext xmlns:c16="http://schemas.microsoft.com/office/drawing/2014/chart" uri="{C3380CC4-5D6E-409C-BE32-E72D297353CC}">
                <c16:uniqueId val="{00000003-864A-40C5-B141-0A5A74D38DE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2009 GFC</c:v>
                </c:pt>
                <c:pt idx="1">
                  <c:v>2010</c:v>
                </c:pt>
                <c:pt idx="2">
                  <c:v>2020 COVID-19</c:v>
                </c:pt>
                <c:pt idx="3">
                  <c:v>2021</c:v>
                </c:pt>
              </c:strCache>
            </c:strRef>
          </c:cat>
          <c:val>
            <c:numRef>
              <c:f>Sheet1!$B$2:$B$5</c:f>
              <c:numCache>
                <c:formatCode>General</c:formatCode>
                <c:ptCount val="4"/>
                <c:pt idx="0">
                  <c:v>10.400000000000006</c:v>
                </c:pt>
                <c:pt idx="1">
                  <c:v>2.2999999999999972</c:v>
                </c:pt>
                <c:pt idx="2">
                  <c:v>13.599999999999994</c:v>
                </c:pt>
                <c:pt idx="3">
                  <c:v>1.6000000000000085</c:v>
                </c:pt>
              </c:numCache>
            </c:numRef>
          </c:val>
          <c:extLst>
            <c:ext xmlns:c16="http://schemas.microsoft.com/office/drawing/2014/chart" uri="{C3380CC4-5D6E-409C-BE32-E72D297353CC}">
              <c16:uniqueId val="{00000004-864A-40C5-B141-0A5A74D38DE1}"/>
            </c:ext>
          </c:extLst>
        </c:ser>
        <c:dLbls>
          <c:showLegendKey val="0"/>
          <c:showVal val="1"/>
          <c:showCatName val="0"/>
          <c:showSerName val="0"/>
          <c:showPercent val="0"/>
          <c:showBubbleSize val="0"/>
        </c:dLbls>
        <c:gapWidth val="219"/>
        <c:overlap val="-27"/>
        <c:axId val="131855488"/>
        <c:axId val="133956352"/>
      </c:barChart>
      <c:catAx>
        <c:axId val="131855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3956352"/>
        <c:crosses val="autoZero"/>
        <c:auto val="1"/>
        <c:lblAlgn val="ctr"/>
        <c:lblOffset val="100"/>
        <c:noMultiLvlLbl val="0"/>
      </c:catAx>
      <c:valAx>
        <c:axId val="1339563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en-US" sz="900" b="0" i="0" u="none" strike="noStrike" kern="1200" baseline="0">
                    <a:solidFill>
                      <a:sysClr val="windowText" lastClr="000000">
                        <a:lumMod val="65000"/>
                        <a:lumOff val="35000"/>
                      </a:sysClr>
                    </a:solidFill>
                    <a:latin typeface="GHEA Grapalat" panose="02000506050000020003" pitchFamily="50" charset="0"/>
                    <a:ea typeface="+mn-ea"/>
                    <a:cs typeface="+mn-cs"/>
                  </a:rPr>
                  <a:t>տոկոսային</a:t>
                </a:r>
                <a:r>
                  <a:rPr lang="hy-AM" sz="900">
                    <a:latin typeface="GHEA Grapalat" panose="02000506050000020003" pitchFamily="50" charset="0"/>
                  </a:rPr>
                  <a:t> կետ</a:t>
                </a:r>
                <a:endParaRPr lang="en-US" sz="900">
                  <a:latin typeface="GHEA Grapalat" panose="02000506050000020003" pitchFamily="50" charset="0"/>
                </a:endParaRP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18554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areaChart>
        <c:grouping val="stacked"/>
        <c:varyColors val="0"/>
        <c:ser>
          <c:idx val="0"/>
          <c:order val="0"/>
          <c:tx>
            <c:strRef>
              <c:f>'3-15.'!$B$3</c:f>
              <c:strCache>
                <c:ptCount val="1"/>
              </c:strCache>
            </c:strRef>
          </c:tx>
          <c:spPr>
            <a:noFill/>
          </c:spPr>
          <c:cat>
            <c:strRef>
              <c:f>'3-15.'!$A$4:$A$95</c:f>
              <c:strCache>
                <c:ptCount val="7"/>
                <c:pt idx="0">
                  <c:v>2018</c:v>
                </c:pt>
                <c:pt idx="1">
                  <c:v>2019</c:v>
                </c:pt>
                <c:pt idx="2">
                  <c:v>2020</c:v>
                </c:pt>
                <c:pt idx="3">
                  <c:v>2021*</c:v>
                </c:pt>
                <c:pt idx="4">
                  <c:v>2022*</c:v>
                </c:pt>
                <c:pt idx="5">
                  <c:v>2023*</c:v>
                </c:pt>
                <c:pt idx="6">
                  <c:v>2024*</c:v>
                </c:pt>
              </c:strCache>
            </c:strRef>
          </c:cat>
          <c:val>
            <c:numRef>
              <c:f>'3-15.'!$B$4:$B$95</c:f>
              <c:numCache>
                <c:formatCode>General</c:formatCode>
                <c:ptCount val="7"/>
                <c:pt idx="0">
                  <c:v>8.6471304773412214</c:v>
                </c:pt>
                <c:pt idx="1">
                  <c:v>16.389092714898766</c:v>
                </c:pt>
                <c:pt idx="2">
                  <c:v>-5.402548022928471</c:v>
                </c:pt>
                <c:pt idx="3">
                  <c:v>5.8376545752261304</c:v>
                </c:pt>
                <c:pt idx="4">
                  <c:v>6.5425120688174561</c:v>
                </c:pt>
                <c:pt idx="5">
                  <c:v>1.6038646802548859</c:v>
                </c:pt>
                <c:pt idx="6">
                  <c:v>1.7778353963031286</c:v>
                </c:pt>
              </c:numCache>
            </c:numRef>
          </c:val>
          <c:extLst>
            <c:ext xmlns:c16="http://schemas.microsoft.com/office/drawing/2014/chart" uri="{C3380CC4-5D6E-409C-BE32-E72D297353CC}">
              <c16:uniqueId val="{00000000-DDB5-4698-B918-833AA6D249A5}"/>
            </c:ext>
          </c:extLst>
        </c:ser>
        <c:ser>
          <c:idx val="1"/>
          <c:order val="1"/>
          <c:tx>
            <c:strRef>
              <c:f>'3-15.'!$C$3</c:f>
              <c:strCache>
                <c:ptCount val="1"/>
              </c:strCache>
            </c:strRef>
          </c:tx>
          <c:spPr>
            <a:solidFill>
              <a:srgbClr val="FF0000">
                <a:alpha val="20000"/>
              </a:srgbClr>
            </a:solidFill>
          </c:spPr>
          <c:cat>
            <c:strRef>
              <c:f>'3-15.'!$A$4:$A$95</c:f>
              <c:strCache>
                <c:ptCount val="7"/>
                <c:pt idx="0">
                  <c:v>2018</c:v>
                </c:pt>
                <c:pt idx="1">
                  <c:v>2019</c:v>
                </c:pt>
                <c:pt idx="2">
                  <c:v>2020</c:v>
                </c:pt>
                <c:pt idx="3">
                  <c:v>2021*</c:v>
                </c:pt>
                <c:pt idx="4">
                  <c:v>2022*</c:v>
                </c:pt>
                <c:pt idx="5">
                  <c:v>2023*</c:v>
                </c:pt>
                <c:pt idx="6">
                  <c:v>2024*</c:v>
                </c:pt>
              </c:strCache>
            </c:strRef>
          </c:cat>
          <c:val>
            <c:numRef>
              <c:f>'3-15.'!$C$4:$C$95</c:f>
              <c:numCache>
                <c:formatCode>General</c:formatCode>
                <c:ptCount val="7"/>
                <c:pt idx="3">
                  <c:v>1.1861247722831942</c:v>
                </c:pt>
                <c:pt idx="4">
                  <c:v>1.3223648233488667</c:v>
                </c:pt>
                <c:pt idx="5">
                  <c:v>1.6388139761941476</c:v>
                </c:pt>
                <c:pt idx="6">
                  <c:v>1.8761719689477632</c:v>
                </c:pt>
              </c:numCache>
            </c:numRef>
          </c:val>
          <c:extLst>
            <c:ext xmlns:c16="http://schemas.microsoft.com/office/drawing/2014/chart" uri="{C3380CC4-5D6E-409C-BE32-E72D297353CC}">
              <c16:uniqueId val="{00000001-DDB5-4698-B918-833AA6D249A5}"/>
            </c:ext>
          </c:extLst>
        </c:ser>
        <c:ser>
          <c:idx val="2"/>
          <c:order val="2"/>
          <c:tx>
            <c:strRef>
              <c:f>'3-15.'!$D$3</c:f>
              <c:strCache>
                <c:ptCount val="1"/>
              </c:strCache>
            </c:strRef>
          </c:tx>
          <c:spPr>
            <a:solidFill>
              <a:srgbClr val="FF0000">
                <a:alpha val="30000"/>
              </a:srgbClr>
            </a:solidFill>
          </c:spPr>
          <c:cat>
            <c:strRef>
              <c:f>'3-15.'!$A$4:$A$95</c:f>
              <c:strCache>
                <c:ptCount val="7"/>
                <c:pt idx="0">
                  <c:v>2018</c:v>
                </c:pt>
                <c:pt idx="1">
                  <c:v>2019</c:v>
                </c:pt>
                <c:pt idx="2">
                  <c:v>2020</c:v>
                </c:pt>
                <c:pt idx="3">
                  <c:v>2021*</c:v>
                </c:pt>
                <c:pt idx="4">
                  <c:v>2022*</c:v>
                </c:pt>
                <c:pt idx="5">
                  <c:v>2023*</c:v>
                </c:pt>
                <c:pt idx="6">
                  <c:v>2024*</c:v>
                </c:pt>
              </c:strCache>
            </c:strRef>
          </c:cat>
          <c:val>
            <c:numRef>
              <c:f>'3-15.'!$D$4:$D$95</c:f>
              <c:numCache>
                <c:formatCode>General</c:formatCode>
                <c:ptCount val="7"/>
                <c:pt idx="3">
                  <c:v>0.80027275271948461</c:v>
                </c:pt>
                <c:pt idx="4">
                  <c:v>0.89219326837240143</c:v>
                </c:pt>
                <c:pt idx="5">
                  <c:v>1.1057000094513887</c:v>
                </c:pt>
                <c:pt idx="6">
                  <c:v>1.2658443203026541</c:v>
                </c:pt>
              </c:numCache>
            </c:numRef>
          </c:val>
          <c:extLst>
            <c:ext xmlns:c16="http://schemas.microsoft.com/office/drawing/2014/chart" uri="{C3380CC4-5D6E-409C-BE32-E72D297353CC}">
              <c16:uniqueId val="{00000002-DDB5-4698-B918-833AA6D249A5}"/>
            </c:ext>
          </c:extLst>
        </c:ser>
        <c:ser>
          <c:idx val="3"/>
          <c:order val="3"/>
          <c:tx>
            <c:strRef>
              <c:f>'3-15.'!$E$3</c:f>
              <c:strCache>
                <c:ptCount val="1"/>
              </c:strCache>
            </c:strRef>
          </c:tx>
          <c:spPr>
            <a:solidFill>
              <a:srgbClr val="FF0000">
                <a:alpha val="40000"/>
              </a:srgbClr>
            </a:solidFill>
          </c:spPr>
          <c:cat>
            <c:strRef>
              <c:f>'3-15.'!$A$4:$A$95</c:f>
              <c:strCache>
                <c:ptCount val="7"/>
                <c:pt idx="0">
                  <c:v>2018</c:v>
                </c:pt>
                <c:pt idx="1">
                  <c:v>2019</c:v>
                </c:pt>
                <c:pt idx="2">
                  <c:v>2020</c:v>
                </c:pt>
                <c:pt idx="3">
                  <c:v>2021*</c:v>
                </c:pt>
                <c:pt idx="4">
                  <c:v>2022*</c:v>
                </c:pt>
                <c:pt idx="5">
                  <c:v>2023*</c:v>
                </c:pt>
                <c:pt idx="6">
                  <c:v>2024*</c:v>
                </c:pt>
              </c:strCache>
            </c:strRef>
          </c:cat>
          <c:val>
            <c:numRef>
              <c:f>'3-15.'!$E$4:$E$95</c:f>
              <c:numCache>
                <c:formatCode>General</c:formatCode>
                <c:ptCount val="7"/>
                <c:pt idx="3">
                  <c:v>0.63603141469891877</c:v>
                </c:pt>
                <c:pt idx="4">
                  <c:v>0.70908692660021089</c:v>
                </c:pt>
                <c:pt idx="5">
                  <c:v>0.87877531610836268</c:v>
                </c:pt>
                <c:pt idx="6">
                  <c:v>1.0060529376949843</c:v>
                </c:pt>
              </c:numCache>
            </c:numRef>
          </c:val>
          <c:extLst>
            <c:ext xmlns:c16="http://schemas.microsoft.com/office/drawing/2014/chart" uri="{C3380CC4-5D6E-409C-BE32-E72D297353CC}">
              <c16:uniqueId val="{00000003-DDB5-4698-B918-833AA6D249A5}"/>
            </c:ext>
          </c:extLst>
        </c:ser>
        <c:ser>
          <c:idx val="4"/>
          <c:order val="4"/>
          <c:tx>
            <c:strRef>
              <c:f>'3-15.'!$F$3</c:f>
              <c:strCache>
                <c:ptCount val="1"/>
              </c:strCache>
            </c:strRef>
          </c:tx>
          <c:spPr>
            <a:solidFill>
              <a:srgbClr val="FF0000">
                <a:alpha val="50000"/>
              </a:srgbClr>
            </a:solidFill>
          </c:spPr>
          <c:cat>
            <c:strRef>
              <c:f>'3-15.'!$A$4:$A$95</c:f>
              <c:strCache>
                <c:ptCount val="7"/>
                <c:pt idx="0">
                  <c:v>2018</c:v>
                </c:pt>
                <c:pt idx="1">
                  <c:v>2019</c:v>
                </c:pt>
                <c:pt idx="2">
                  <c:v>2020</c:v>
                </c:pt>
                <c:pt idx="3">
                  <c:v>2021*</c:v>
                </c:pt>
                <c:pt idx="4">
                  <c:v>2022*</c:v>
                </c:pt>
                <c:pt idx="5">
                  <c:v>2023*</c:v>
                </c:pt>
                <c:pt idx="6">
                  <c:v>2024*</c:v>
                </c:pt>
              </c:strCache>
            </c:strRef>
          </c:cat>
          <c:val>
            <c:numRef>
              <c:f>'3-15.'!$F$4:$F$95</c:f>
              <c:numCache>
                <c:formatCode>General</c:formatCode>
                <c:ptCount val="7"/>
                <c:pt idx="3">
                  <c:v>0.54565832050064955</c:v>
                </c:pt>
                <c:pt idx="4">
                  <c:v>0.60833344472583484</c:v>
                </c:pt>
                <c:pt idx="5">
                  <c:v>0.75391097358312997</c:v>
                </c:pt>
                <c:pt idx="6">
                  <c:v>0.86310383989013229</c:v>
                </c:pt>
              </c:numCache>
            </c:numRef>
          </c:val>
          <c:extLst>
            <c:ext xmlns:c16="http://schemas.microsoft.com/office/drawing/2014/chart" uri="{C3380CC4-5D6E-409C-BE32-E72D297353CC}">
              <c16:uniqueId val="{00000004-DDB5-4698-B918-833AA6D249A5}"/>
            </c:ext>
          </c:extLst>
        </c:ser>
        <c:ser>
          <c:idx val="5"/>
          <c:order val="5"/>
          <c:tx>
            <c:strRef>
              <c:f>'3-15.'!$G$3</c:f>
              <c:strCache>
                <c:ptCount val="1"/>
              </c:strCache>
            </c:strRef>
          </c:tx>
          <c:spPr>
            <a:solidFill>
              <a:srgbClr val="FF0000">
                <a:alpha val="60000"/>
              </a:srgbClr>
            </a:solidFill>
          </c:spPr>
          <c:cat>
            <c:strRef>
              <c:f>'3-15.'!$A$4:$A$95</c:f>
              <c:strCache>
                <c:ptCount val="7"/>
                <c:pt idx="0">
                  <c:v>2018</c:v>
                </c:pt>
                <c:pt idx="1">
                  <c:v>2019</c:v>
                </c:pt>
                <c:pt idx="2">
                  <c:v>2020</c:v>
                </c:pt>
                <c:pt idx="3">
                  <c:v>2021*</c:v>
                </c:pt>
                <c:pt idx="4">
                  <c:v>2022*</c:v>
                </c:pt>
                <c:pt idx="5">
                  <c:v>2023*</c:v>
                </c:pt>
                <c:pt idx="6">
                  <c:v>2024*</c:v>
                </c:pt>
              </c:strCache>
            </c:strRef>
          </c:cat>
          <c:val>
            <c:numRef>
              <c:f>'3-15.'!$G$4:$G$95</c:f>
              <c:numCache>
                <c:formatCode>General</c:formatCode>
                <c:ptCount val="7"/>
                <c:pt idx="3">
                  <c:v>0.49001803608894612</c:v>
                </c:pt>
                <c:pt idx="4">
                  <c:v>0.54630223469930783</c:v>
                </c:pt>
                <c:pt idx="5">
                  <c:v>0.67703535487583544</c:v>
                </c:pt>
                <c:pt idx="6">
                  <c:v>0.77509392356693052</c:v>
                </c:pt>
              </c:numCache>
            </c:numRef>
          </c:val>
          <c:extLst>
            <c:ext xmlns:c16="http://schemas.microsoft.com/office/drawing/2014/chart" uri="{C3380CC4-5D6E-409C-BE32-E72D297353CC}">
              <c16:uniqueId val="{00000005-DDB5-4698-B918-833AA6D249A5}"/>
            </c:ext>
          </c:extLst>
        </c:ser>
        <c:ser>
          <c:idx val="6"/>
          <c:order val="6"/>
          <c:tx>
            <c:strRef>
              <c:f>'3-15.'!$H$3</c:f>
              <c:strCache>
                <c:ptCount val="1"/>
              </c:strCache>
            </c:strRef>
          </c:tx>
          <c:spPr>
            <a:solidFill>
              <a:srgbClr val="FF0000">
                <a:alpha val="70000"/>
              </a:srgbClr>
            </a:solidFill>
          </c:spPr>
          <c:cat>
            <c:strRef>
              <c:f>'3-15.'!$A$4:$A$95</c:f>
              <c:strCache>
                <c:ptCount val="7"/>
                <c:pt idx="0">
                  <c:v>2018</c:v>
                </c:pt>
                <c:pt idx="1">
                  <c:v>2019</c:v>
                </c:pt>
                <c:pt idx="2">
                  <c:v>2020</c:v>
                </c:pt>
                <c:pt idx="3">
                  <c:v>2021*</c:v>
                </c:pt>
                <c:pt idx="4">
                  <c:v>2022*</c:v>
                </c:pt>
                <c:pt idx="5">
                  <c:v>2023*</c:v>
                </c:pt>
                <c:pt idx="6">
                  <c:v>2024*</c:v>
                </c:pt>
              </c:strCache>
            </c:strRef>
          </c:cat>
          <c:val>
            <c:numRef>
              <c:f>'3-15.'!$H$4:$H$95</c:f>
              <c:numCache>
                <c:formatCode>General</c:formatCode>
                <c:ptCount val="7"/>
                <c:pt idx="3">
                  <c:v>0.45407473772226759</c:v>
                </c:pt>
                <c:pt idx="4">
                  <c:v>0.50623043575716586</c:v>
                </c:pt>
                <c:pt idx="5">
                  <c:v>0.62737415473038904</c:v>
                </c:pt>
                <c:pt idx="6">
                  <c:v>0.71824003227075739</c:v>
                </c:pt>
              </c:numCache>
            </c:numRef>
          </c:val>
          <c:extLst>
            <c:ext xmlns:c16="http://schemas.microsoft.com/office/drawing/2014/chart" uri="{C3380CC4-5D6E-409C-BE32-E72D297353CC}">
              <c16:uniqueId val="{00000006-DDB5-4698-B918-833AA6D249A5}"/>
            </c:ext>
          </c:extLst>
        </c:ser>
        <c:ser>
          <c:idx val="7"/>
          <c:order val="7"/>
          <c:tx>
            <c:strRef>
              <c:f>'3-15.'!$I$3</c:f>
              <c:strCache>
                <c:ptCount val="1"/>
              </c:strCache>
            </c:strRef>
          </c:tx>
          <c:spPr>
            <a:solidFill>
              <a:srgbClr val="FF0000">
                <a:alpha val="80000"/>
              </a:srgbClr>
            </a:solidFill>
          </c:spPr>
          <c:cat>
            <c:strRef>
              <c:f>'3-15.'!$A$4:$A$95</c:f>
              <c:strCache>
                <c:ptCount val="7"/>
                <c:pt idx="0">
                  <c:v>2018</c:v>
                </c:pt>
                <c:pt idx="1">
                  <c:v>2019</c:v>
                </c:pt>
                <c:pt idx="2">
                  <c:v>2020</c:v>
                </c:pt>
                <c:pt idx="3">
                  <c:v>2021*</c:v>
                </c:pt>
                <c:pt idx="4">
                  <c:v>2022*</c:v>
                </c:pt>
                <c:pt idx="5">
                  <c:v>2023*</c:v>
                </c:pt>
                <c:pt idx="6">
                  <c:v>2024*</c:v>
                </c:pt>
              </c:strCache>
            </c:strRef>
          </c:cat>
          <c:val>
            <c:numRef>
              <c:f>'3-15.'!$I$4:$I$95</c:f>
              <c:numCache>
                <c:formatCode>General</c:formatCode>
                <c:ptCount val="7"/>
                <c:pt idx="3">
                  <c:v>0.43087252203301851</c:v>
                </c:pt>
                <c:pt idx="4">
                  <c:v>0.48036317915130411</c:v>
                </c:pt>
                <c:pt idx="5">
                  <c:v>0.5953167217867863</c:v>
                </c:pt>
                <c:pt idx="6">
                  <c:v>0.68153955377905717</c:v>
                </c:pt>
              </c:numCache>
            </c:numRef>
          </c:val>
          <c:extLst>
            <c:ext xmlns:c16="http://schemas.microsoft.com/office/drawing/2014/chart" uri="{C3380CC4-5D6E-409C-BE32-E72D297353CC}">
              <c16:uniqueId val="{00000007-DDB5-4698-B918-833AA6D249A5}"/>
            </c:ext>
          </c:extLst>
        </c:ser>
        <c:ser>
          <c:idx val="8"/>
          <c:order val="8"/>
          <c:tx>
            <c:strRef>
              <c:f>'3-15.'!$J$3</c:f>
              <c:strCache>
                <c:ptCount val="1"/>
              </c:strCache>
            </c:strRef>
          </c:tx>
          <c:spPr>
            <a:solidFill>
              <a:srgbClr val="FF0000">
                <a:alpha val="90000"/>
              </a:srgbClr>
            </a:solidFill>
          </c:spPr>
          <c:cat>
            <c:strRef>
              <c:f>'3-15.'!$A$4:$A$95</c:f>
              <c:strCache>
                <c:ptCount val="7"/>
                <c:pt idx="0">
                  <c:v>2018</c:v>
                </c:pt>
                <c:pt idx="1">
                  <c:v>2019</c:v>
                </c:pt>
                <c:pt idx="2">
                  <c:v>2020</c:v>
                </c:pt>
                <c:pt idx="3">
                  <c:v>2021*</c:v>
                </c:pt>
                <c:pt idx="4">
                  <c:v>2022*</c:v>
                </c:pt>
                <c:pt idx="5">
                  <c:v>2023*</c:v>
                </c:pt>
                <c:pt idx="6">
                  <c:v>2024*</c:v>
                </c:pt>
              </c:strCache>
            </c:strRef>
          </c:cat>
          <c:val>
            <c:numRef>
              <c:f>'3-15.'!$J$4:$J$95</c:f>
              <c:numCache>
                <c:formatCode>General</c:formatCode>
                <c:ptCount val="7"/>
                <c:pt idx="3">
                  <c:v>0.41687415151401552</c:v>
                </c:pt>
                <c:pt idx="4">
                  <c:v>0.46475693502666715</c:v>
                </c:pt>
                <c:pt idx="5">
                  <c:v>0.57597581787300633</c:v>
                </c:pt>
                <c:pt idx="6">
                  <c:v>0.65939740567423399</c:v>
                </c:pt>
              </c:numCache>
            </c:numRef>
          </c:val>
          <c:extLst>
            <c:ext xmlns:c16="http://schemas.microsoft.com/office/drawing/2014/chart" uri="{C3380CC4-5D6E-409C-BE32-E72D297353CC}">
              <c16:uniqueId val="{00000008-DDB5-4698-B918-833AA6D249A5}"/>
            </c:ext>
          </c:extLst>
        </c:ser>
        <c:ser>
          <c:idx val="9"/>
          <c:order val="9"/>
          <c:tx>
            <c:strRef>
              <c:f>'3-15.'!$K$3</c:f>
              <c:strCache>
                <c:ptCount val="1"/>
              </c:strCache>
            </c:strRef>
          </c:tx>
          <c:spPr>
            <a:solidFill>
              <a:srgbClr val="FF0000"/>
            </a:solidFill>
            <a:ln>
              <a:solidFill>
                <a:srgbClr val="FF0000"/>
              </a:solidFill>
              <a:prstDash val="solid"/>
            </a:ln>
          </c:spPr>
          <c:cat>
            <c:strRef>
              <c:f>'3-15.'!$A$4:$A$95</c:f>
              <c:strCache>
                <c:ptCount val="7"/>
                <c:pt idx="0">
                  <c:v>2018</c:v>
                </c:pt>
                <c:pt idx="1">
                  <c:v>2019</c:v>
                </c:pt>
                <c:pt idx="2">
                  <c:v>2020</c:v>
                </c:pt>
                <c:pt idx="3">
                  <c:v>2021*</c:v>
                </c:pt>
                <c:pt idx="4">
                  <c:v>2022*</c:v>
                </c:pt>
                <c:pt idx="5">
                  <c:v>2023*</c:v>
                </c:pt>
                <c:pt idx="6">
                  <c:v>2024*</c:v>
                </c:pt>
              </c:strCache>
            </c:strRef>
          </c:cat>
          <c:val>
            <c:numRef>
              <c:f>'3-15.'!$K$4:$K$95</c:f>
              <c:numCache>
                <c:formatCode>General</c:formatCode>
                <c:ptCount val="7"/>
                <c:pt idx="3">
                  <c:v>0.60500049589546911</c:v>
                </c:pt>
                <c:pt idx="4">
                  <c:v>0.69395693279200898</c:v>
                </c:pt>
                <c:pt idx="5">
                  <c:v>0.7971542735708379</c:v>
                </c:pt>
                <c:pt idx="6">
                  <c:v>0.87527312393032375</c:v>
                </c:pt>
              </c:numCache>
            </c:numRef>
          </c:val>
          <c:extLst>
            <c:ext xmlns:c16="http://schemas.microsoft.com/office/drawing/2014/chart" uri="{C3380CC4-5D6E-409C-BE32-E72D297353CC}">
              <c16:uniqueId val="{00000009-DDB5-4698-B918-833AA6D249A5}"/>
            </c:ext>
          </c:extLst>
        </c:ser>
        <c:ser>
          <c:idx val="10"/>
          <c:order val="10"/>
          <c:tx>
            <c:strRef>
              <c:f>'3-15.'!$L$3</c:f>
              <c:strCache>
                <c:ptCount val="1"/>
              </c:strCache>
            </c:strRef>
          </c:tx>
          <c:spPr>
            <a:solidFill>
              <a:srgbClr val="FF0000">
                <a:alpha val="90000"/>
              </a:srgbClr>
            </a:solidFill>
          </c:spPr>
          <c:cat>
            <c:strRef>
              <c:f>'3-15.'!$A$4:$A$95</c:f>
              <c:strCache>
                <c:ptCount val="7"/>
                <c:pt idx="0">
                  <c:v>2018</c:v>
                </c:pt>
                <c:pt idx="1">
                  <c:v>2019</c:v>
                </c:pt>
                <c:pt idx="2">
                  <c:v>2020</c:v>
                </c:pt>
                <c:pt idx="3">
                  <c:v>2021*</c:v>
                </c:pt>
                <c:pt idx="4">
                  <c:v>2022*</c:v>
                </c:pt>
                <c:pt idx="5">
                  <c:v>2023*</c:v>
                </c:pt>
                <c:pt idx="6">
                  <c:v>2024*</c:v>
                </c:pt>
              </c:strCache>
            </c:strRef>
          </c:cat>
          <c:val>
            <c:numRef>
              <c:f>'3-15.'!$L$4:$L$95</c:f>
              <c:numCache>
                <c:formatCode>General</c:formatCode>
                <c:ptCount val="7"/>
                <c:pt idx="3">
                  <c:v>0.19787292705836101</c:v>
                </c:pt>
                <c:pt idx="4">
                  <c:v>0.24037967227066481</c:v>
                </c:pt>
                <c:pt idx="5">
                  <c:v>0.23402064357423669</c:v>
                </c:pt>
                <c:pt idx="6">
                  <c:v>0.22997640399955266</c:v>
                </c:pt>
              </c:numCache>
            </c:numRef>
          </c:val>
          <c:extLst>
            <c:ext xmlns:c16="http://schemas.microsoft.com/office/drawing/2014/chart" uri="{C3380CC4-5D6E-409C-BE32-E72D297353CC}">
              <c16:uniqueId val="{0000000A-DDB5-4698-B918-833AA6D249A5}"/>
            </c:ext>
          </c:extLst>
        </c:ser>
        <c:ser>
          <c:idx val="11"/>
          <c:order val="11"/>
          <c:tx>
            <c:strRef>
              <c:f>'3-15.'!$M$3</c:f>
              <c:strCache>
                <c:ptCount val="1"/>
              </c:strCache>
            </c:strRef>
          </c:tx>
          <c:spPr>
            <a:solidFill>
              <a:srgbClr val="FF0000">
                <a:alpha val="80000"/>
              </a:srgbClr>
            </a:solidFill>
          </c:spPr>
          <c:cat>
            <c:strRef>
              <c:f>'3-15.'!$A$4:$A$95</c:f>
              <c:strCache>
                <c:ptCount val="7"/>
                <c:pt idx="0">
                  <c:v>2018</c:v>
                </c:pt>
                <c:pt idx="1">
                  <c:v>2019</c:v>
                </c:pt>
                <c:pt idx="2">
                  <c:v>2020</c:v>
                </c:pt>
                <c:pt idx="3">
                  <c:v>2021*</c:v>
                </c:pt>
                <c:pt idx="4">
                  <c:v>2022*</c:v>
                </c:pt>
                <c:pt idx="5">
                  <c:v>2023*</c:v>
                </c:pt>
                <c:pt idx="6">
                  <c:v>2024*</c:v>
                </c:pt>
              </c:strCache>
            </c:strRef>
          </c:cat>
          <c:val>
            <c:numRef>
              <c:f>'3-15.'!$M$4:$M$95</c:f>
              <c:numCache>
                <c:formatCode>General</c:formatCode>
                <c:ptCount val="7"/>
                <c:pt idx="3">
                  <c:v>0.2045173748817195</c:v>
                </c:pt>
                <c:pt idx="4">
                  <c:v>0.24845146973150278</c:v>
                </c:pt>
                <c:pt idx="5">
                  <c:v>0.24187890887072605</c:v>
                </c:pt>
                <c:pt idx="6">
                  <c:v>0.23769886628732095</c:v>
                </c:pt>
              </c:numCache>
            </c:numRef>
          </c:val>
          <c:extLst>
            <c:ext xmlns:c16="http://schemas.microsoft.com/office/drawing/2014/chart" uri="{C3380CC4-5D6E-409C-BE32-E72D297353CC}">
              <c16:uniqueId val="{0000000B-DDB5-4698-B918-833AA6D249A5}"/>
            </c:ext>
          </c:extLst>
        </c:ser>
        <c:ser>
          <c:idx val="12"/>
          <c:order val="12"/>
          <c:tx>
            <c:strRef>
              <c:f>'3-15.'!$N$3</c:f>
              <c:strCache>
                <c:ptCount val="1"/>
              </c:strCache>
            </c:strRef>
          </c:tx>
          <c:spPr>
            <a:solidFill>
              <a:srgbClr val="FF0000">
                <a:alpha val="70000"/>
              </a:srgbClr>
            </a:solidFill>
          </c:spPr>
          <c:cat>
            <c:strRef>
              <c:f>'3-15.'!$A$4:$A$95</c:f>
              <c:strCache>
                <c:ptCount val="7"/>
                <c:pt idx="0">
                  <c:v>2018</c:v>
                </c:pt>
                <c:pt idx="1">
                  <c:v>2019</c:v>
                </c:pt>
                <c:pt idx="2">
                  <c:v>2020</c:v>
                </c:pt>
                <c:pt idx="3">
                  <c:v>2021*</c:v>
                </c:pt>
                <c:pt idx="4">
                  <c:v>2022*</c:v>
                </c:pt>
                <c:pt idx="5">
                  <c:v>2023*</c:v>
                </c:pt>
                <c:pt idx="6">
                  <c:v>2024*</c:v>
                </c:pt>
              </c:strCache>
            </c:strRef>
          </c:cat>
          <c:val>
            <c:numRef>
              <c:f>'3-15.'!$N$4:$N$95</c:f>
              <c:numCache>
                <c:formatCode>General</c:formatCode>
                <c:ptCount val="7"/>
                <c:pt idx="3">
                  <c:v>0.21553050754057423</c:v>
                </c:pt>
                <c:pt idx="4">
                  <c:v>0.26183042590587924</c:v>
                </c:pt>
                <c:pt idx="5">
                  <c:v>0.25490393675558565</c:v>
                </c:pt>
                <c:pt idx="6">
                  <c:v>0.25049880149476245</c:v>
                </c:pt>
              </c:numCache>
            </c:numRef>
          </c:val>
          <c:extLst>
            <c:ext xmlns:c16="http://schemas.microsoft.com/office/drawing/2014/chart" uri="{C3380CC4-5D6E-409C-BE32-E72D297353CC}">
              <c16:uniqueId val="{0000000C-DDB5-4698-B918-833AA6D249A5}"/>
            </c:ext>
          </c:extLst>
        </c:ser>
        <c:ser>
          <c:idx val="13"/>
          <c:order val="13"/>
          <c:tx>
            <c:strRef>
              <c:f>'3-15.'!$O$3</c:f>
              <c:strCache>
                <c:ptCount val="1"/>
              </c:strCache>
            </c:strRef>
          </c:tx>
          <c:spPr>
            <a:solidFill>
              <a:srgbClr val="FF0000">
                <a:alpha val="60000"/>
              </a:srgbClr>
            </a:solidFill>
          </c:spPr>
          <c:cat>
            <c:strRef>
              <c:f>'3-15.'!$A$4:$A$95</c:f>
              <c:strCache>
                <c:ptCount val="7"/>
                <c:pt idx="0">
                  <c:v>2018</c:v>
                </c:pt>
                <c:pt idx="1">
                  <c:v>2019</c:v>
                </c:pt>
                <c:pt idx="2">
                  <c:v>2020</c:v>
                </c:pt>
                <c:pt idx="3">
                  <c:v>2021*</c:v>
                </c:pt>
                <c:pt idx="4">
                  <c:v>2022*</c:v>
                </c:pt>
                <c:pt idx="5">
                  <c:v>2023*</c:v>
                </c:pt>
                <c:pt idx="6">
                  <c:v>2024*</c:v>
                </c:pt>
              </c:strCache>
            </c:strRef>
          </c:cat>
          <c:val>
            <c:numRef>
              <c:f>'3-15.'!$O$4:$O$95</c:f>
              <c:numCache>
                <c:formatCode>General</c:formatCode>
                <c:ptCount val="7"/>
                <c:pt idx="3">
                  <c:v>0.23259130545792139</c:v>
                </c:pt>
                <c:pt idx="4">
                  <c:v>0.28255619710164304</c:v>
                </c:pt>
                <c:pt idx="5">
                  <c:v>0.27508142625787713</c:v>
                </c:pt>
                <c:pt idx="6">
                  <c:v>0.27032759269284945</c:v>
                </c:pt>
              </c:numCache>
            </c:numRef>
          </c:val>
          <c:extLst>
            <c:ext xmlns:c16="http://schemas.microsoft.com/office/drawing/2014/chart" uri="{C3380CC4-5D6E-409C-BE32-E72D297353CC}">
              <c16:uniqueId val="{0000000D-DDB5-4698-B918-833AA6D249A5}"/>
            </c:ext>
          </c:extLst>
        </c:ser>
        <c:ser>
          <c:idx val="14"/>
          <c:order val="14"/>
          <c:tx>
            <c:strRef>
              <c:f>'3-15.'!$P$3</c:f>
              <c:strCache>
                <c:ptCount val="1"/>
              </c:strCache>
            </c:strRef>
          </c:tx>
          <c:spPr>
            <a:solidFill>
              <a:srgbClr val="FF0000">
                <a:alpha val="50000"/>
              </a:srgbClr>
            </a:solidFill>
          </c:spPr>
          <c:cat>
            <c:strRef>
              <c:f>'3-15.'!$A$4:$A$95</c:f>
              <c:strCache>
                <c:ptCount val="7"/>
                <c:pt idx="0">
                  <c:v>2018</c:v>
                </c:pt>
                <c:pt idx="1">
                  <c:v>2019</c:v>
                </c:pt>
                <c:pt idx="2">
                  <c:v>2020</c:v>
                </c:pt>
                <c:pt idx="3">
                  <c:v>2021*</c:v>
                </c:pt>
                <c:pt idx="4">
                  <c:v>2022*</c:v>
                </c:pt>
                <c:pt idx="5">
                  <c:v>2023*</c:v>
                </c:pt>
                <c:pt idx="6">
                  <c:v>2024*</c:v>
                </c:pt>
              </c:strCache>
            </c:strRef>
          </c:cat>
          <c:val>
            <c:numRef>
              <c:f>'3-15.'!$P$4:$P$95</c:f>
              <c:numCache>
                <c:formatCode>General</c:formatCode>
                <c:ptCount val="7"/>
                <c:pt idx="3">
                  <c:v>0.25900144842053585</c:v>
                </c:pt>
                <c:pt idx="4">
                  <c:v>0.31463972466831436</c:v>
                </c:pt>
                <c:pt idx="5">
                  <c:v>0.30631621287007427</c:v>
                </c:pt>
                <c:pt idx="6">
                  <c:v>0.30102259376222307</c:v>
                </c:pt>
              </c:numCache>
            </c:numRef>
          </c:val>
          <c:extLst>
            <c:ext xmlns:c16="http://schemas.microsoft.com/office/drawing/2014/chart" uri="{C3380CC4-5D6E-409C-BE32-E72D297353CC}">
              <c16:uniqueId val="{0000000E-DDB5-4698-B918-833AA6D249A5}"/>
            </c:ext>
          </c:extLst>
        </c:ser>
        <c:ser>
          <c:idx val="15"/>
          <c:order val="15"/>
          <c:tx>
            <c:strRef>
              <c:f>'3-15.'!$Q$3</c:f>
              <c:strCache>
                <c:ptCount val="1"/>
              </c:strCache>
            </c:strRef>
          </c:tx>
          <c:spPr>
            <a:solidFill>
              <a:srgbClr val="FF0000">
                <a:alpha val="40000"/>
              </a:srgbClr>
            </a:solidFill>
          </c:spPr>
          <c:cat>
            <c:strRef>
              <c:f>'3-15.'!$A$4:$A$95</c:f>
              <c:strCache>
                <c:ptCount val="7"/>
                <c:pt idx="0">
                  <c:v>2018</c:v>
                </c:pt>
                <c:pt idx="1">
                  <c:v>2019</c:v>
                </c:pt>
                <c:pt idx="2">
                  <c:v>2020</c:v>
                </c:pt>
                <c:pt idx="3">
                  <c:v>2021*</c:v>
                </c:pt>
                <c:pt idx="4">
                  <c:v>2022*</c:v>
                </c:pt>
                <c:pt idx="5">
                  <c:v>2023*</c:v>
                </c:pt>
                <c:pt idx="6">
                  <c:v>2024*</c:v>
                </c:pt>
              </c:strCache>
            </c:strRef>
          </c:cat>
          <c:val>
            <c:numRef>
              <c:f>'3-15.'!$Q$4:$Q$95</c:f>
              <c:numCache>
                <c:formatCode>General</c:formatCode>
                <c:ptCount val="7"/>
                <c:pt idx="3">
                  <c:v>0.30189782041046875</c:v>
                </c:pt>
                <c:pt idx="4">
                  <c:v>0.36675102657218162</c:v>
                </c:pt>
                <c:pt idx="5">
                  <c:v>0.35704895700703432</c:v>
                </c:pt>
                <c:pt idx="6">
                  <c:v>0.35087859741835459</c:v>
                </c:pt>
              </c:numCache>
            </c:numRef>
          </c:val>
          <c:extLst>
            <c:ext xmlns:c16="http://schemas.microsoft.com/office/drawing/2014/chart" uri="{C3380CC4-5D6E-409C-BE32-E72D297353CC}">
              <c16:uniqueId val="{0000000F-DDB5-4698-B918-833AA6D249A5}"/>
            </c:ext>
          </c:extLst>
        </c:ser>
        <c:ser>
          <c:idx val="16"/>
          <c:order val="16"/>
          <c:tx>
            <c:strRef>
              <c:f>'3-15.'!$R$3</c:f>
              <c:strCache>
                <c:ptCount val="1"/>
              </c:strCache>
            </c:strRef>
          </c:tx>
          <c:spPr>
            <a:solidFill>
              <a:srgbClr val="FF0000">
                <a:alpha val="30000"/>
              </a:srgbClr>
            </a:solidFill>
          </c:spPr>
          <c:cat>
            <c:strRef>
              <c:f>'3-15.'!$A$4:$A$95</c:f>
              <c:strCache>
                <c:ptCount val="7"/>
                <c:pt idx="0">
                  <c:v>2018</c:v>
                </c:pt>
                <c:pt idx="1">
                  <c:v>2019</c:v>
                </c:pt>
                <c:pt idx="2">
                  <c:v>2020</c:v>
                </c:pt>
                <c:pt idx="3">
                  <c:v>2021*</c:v>
                </c:pt>
                <c:pt idx="4">
                  <c:v>2022*</c:v>
                </c:pt>
                <c:pt idx="5">
                  <c:v>2023*</c:v>
                </c:pt>
                <c:pt idx="6">
                  <c:v>2024*</c:v>
                </c:pt>
              </c:strCache>
            </c:strRef>
          </c:cat>
          <c:val>
            <c:numRef>
              <c:f>'3-15.'!$R$4:$R$95</c:f>
              <c:numCache>
                <c:formatCode>General</c:formatCode>
                <c:ptCount val="7"/>
                <c:pt idx="3">
                  <c:v>0.37985639419125938</c:v>
                </c:pt>
                <c:pt idx="4">
                  <c:v>0.46145653628846794</c:v>
                </c:pt>
                <c:pt idx="5">
                  <c:v>0.44924911738031348</c:v>
                </c:pt>
                <c:pt idx="6">
                  <c:v>0.44148539606217874</c:v>
                </c:pt>
              </c:numCache>
            </c:numRef>
          </c:val>
          <c:extLst>
            <c:ext xmlns:c16="http://schemas.microsoft.com/office/drawing/2014/chart" uri="{C3380CC4-5D6E-409C-BE32-E72D297353CC}">
              <c16:uniqueId val="{00000010-DDB5-4698-B918-833AA6D249A5}"/>
            </c:ext>
          </c:extLst>
        </c:ser>
        <c:ser>
          <c:idx val="17"/>
          <c:order val="17"/>
          <c:tx>
            <c:strRef>
              <c:f>'3-15.'!$S$3</c:f>
              <c:strCache>
                <c:ptCount val="1"/>
              </c:strCache>
            </c:strRef>
          </c:tx>
          <c:spPr>
            <a:solidFill>
              <a:srgbClr val="FF0000">
                <a:alpha val="20000"/>
              </a:srgbClr>
            </a:solidFill>
          </c:spPr>
          <c:cat>
            <c:strRef>
              <c:f>'3-15.'!$A$4:$A$95</c:f>
              <c:strCache>
                <c:ptCount val="7"/>
                <c:pt idx="0">
                  <c:v>2018</c:v>
                </c:pt>
                <c:pt idx="1">
                  <c:v>2019</c:v>
                </c:pt>
                <c:pt idx="2">
                  <c:v>2020</c:v>
                </c:pt>
                <c:pt idx="3">
                  <c:v>2021*</c:v>
                </c:pt>
                <c:pt idx="4">
                  <c:v>2022*</c:v>
                </c:pt>
                <c:pt idx="5">
                  <c:v>2023*</c:v>
                </c:pt>
                <c:pt idx="6">
                  <c:v>2024*</c:v>
                </c:pt>
              </c:strCache>
            </c:strRef>
          </c:cat>
          <c:val>
            <c:numRef>
              <c:f>'3-15.'!$S$4:$S$95</c:f>
              <c:numCache>
                <c:formatCode>General</c:formatCode>
                <c:ptCount val="7"/>
                <c:pt idx="3">
                  <c:v>0.56300439759987242</c:v>
                </c:pt>
                <c:pt idx="4">
                  <c:v>0.68394810039922582</c:v>
                </c:pt>
                <c:pt idx="5">
                  <c:v>0.66585486665685956</c:v>
                </c:pt>
                <c:pt idx="6">
                  <c:v>0.65434786213964813</c:v>
                </c:pt>
              </c:numCache>
            </c:numRef>
          </c:val>
          <c:extLst>
            <c:ext xmlns:c16="http://schemas.microsoft.com/office/drawing/2014/chart" uri="{C3380CC4-5D6E-409C-BE32-E72D297353CC}">
              <c16:uniqueId val="{00000011-DDB5-4698-B918-833AA6D249A5}"/>
            </c:ext>
          </c:extLst>
        </c:ser>
        <c:dLbls>
          <c:showLegendKey val="0"/>
          <c:showVal val="0"/>
          <c:showCatName val="0"/>
          <c:showSerName val="0"/>
          <c:showPercent val="0"/>
          <c:showBubbleSize val="0"/>
        </c:dLbls>
        <c:axId val="155459584"/>
        <c:axId val="155461120"/>
      </c:areaChart>
      <c:catAx>
        <c:axId val="155459584"/>
        <c:scaling>
          <c:orientation val="minMax"/>
        </c:scaling>
        <c:delete val="0"/>
        <c:axPos val="b"/>
        <c:numFmt formatCode="General" sourceLinked="1"/>
        <c:majorTickMark val="out"/>
        <c:minorTickMark val="none"/>
        <c:tickLblPos val="nextTo"/>
        <c:crossAx val="155461120"/>
        <c:crosses val="autoZero"/>
        <c:auto val="1"/>
        <c:lblAlgn val="ctr"/>
        <c:lblOffset val="100"/>
        <c:noMultiLvlLbl val="0"/>
      </c:catAx>
      <c:valAx>
        <c:axId val="155461120"/>
        <c:scaling>
          <c:orientation val="minMax"/>
        </c:scaling>
        <c:delete val="0"/>
        <c:axPos val="l"/>
        <c:majorGridlines/>
        <c:numFmt formatCode="General" sourceLinked="1"/>
        <c:majorTickMark val="out"/>
        <c:minorTickMark val="none"/>
        <c:tickLblPos val="nextTo"/>
        <c:crossAx val="155459584"/>
        <c:crosses val="autoZero"/>
        <c:crossBetween val="between"/>
      </c:valAx>
    </c:plotArea>
    <c:plotVisOnly val="1"/>
    <c:dispBlanksAs val="gap"/>
    <c:showDLblsOverMax val="0"/>
    <c:extLst>
      <c:ext xmlns:c16r3="http://schemas.microsoft.com/office/drawing/2017/03/chart" uri="{56B9EC1D-385E-4148-901F-78D8002777C0}">
        <c16r3:dataDisplayOptions16>
          <c16r3:dispNaAsBlank val="1"/>
        </c16r3:dataDisplayOptions16>
      </c:ext>
    </c:extLst>
  </c:chart>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Պարտքի արդյունավետ տոկոսադրույք, %</c:v>
                </c:pt>
              </c:strCache>
            </c:strRef>
          </c:tx>
          <c:spPr>
            <a:solidFill>
              <a:schemeClr val="accent1"/>
            </a:solidFill>
            <a:ln>
              <a:noFill/>
            </a:ln>
            <a:effectLst/>
          </c:spPr>
          <c:invertIfNegative val="0"/>
          <c:cat>
            <c:strRef>
              <c:f>Sheet1!$A$2:$A$4</c:f>
              <c:strCache>
                <c:ptCount val="3"/>
                <c:pt idx="0">
                  <c:v>2001-2009թթ․</c:v>
                </c:pt>
                <c:pt idx="1">
                  <c:v>2010-2020թթ․</c:v>
                </c:pt>
                <c:pt idx="2">
                  <c:v>2021-2026թթ․ (կանխ․)</c:v>
                </c:pt>
              </c:strCache>
            </c:strRef>
          </c:cat>
          <c:val>
            <c:numRef>
              <c:f>Sheet1!$B$2:$B$4</c:f>
              <c:numCache>
                <c:formatCode>0.0</c:formatCode>
                <c:ptCount val="3"/>
                <c:pt idx="0">
                  <c:v>2.5367283333333335</c:v>
                </c:pt>
                <c:pt idx="1">
                  <c:v>3.9407422904963068</c:v>
                </c:pt>
                <c:pt idx="2">
                  <c:v>5.3</c:v>
                </c:pt>
              </c:numCache>
            </c:numRef>
          </c:val>
          <c:extLst>
            <c:ext xmlns:c16="http://schemas.microsoft.com/office/drawing/2014/chart" uri="{C3380CC4-5D6E-409C-BE32-E72D297353CC}">
              <c16:uniqueId val="{00000000-7851-4C42-BF80-30C74981E95B}"/>
            </c:ext>
          </c:extLst>
        </c:ser>
        <c:ser>
          <c:idx val="1"/>
          <c:order val="1"/>
          <c:tx>
            <c:strRef>
              <c:f>Sheet1!$C$1</c:f>
              <c:strCache>
                <c:ptCount val="1"/>
                <c:pt idx="0">
                  <c:v>Անվանական ՀՆԱ-ի աճ, %</c:v>
                </c:pt>
              </c:strCache>
            </c:strRef>
          </c:tx>
          <c:spPr>
            <a:solidFill>
              <a:schemeClr val="accent2"/>
            </a:solidFill>
            <a:ln>
              <a:noFill/>
            </a:ln>
            <a:effectLst/>
          </c:spPr>
          <c:invertIfNegative val="0"/>
          <c:cat>
            <c:strRef>
              <c:f>Sheet1!$A$2:$A$4</c:f>
              <c:strCache>
                <c:ptCount val="3"/>
                <c:pt idx="0">
                  <c:v>2001-2009թթ․</c:v>
                </c:pt>
                <c:pt idx="1">
                  <c:v>2010-2020թթ․</c:v>
                </c:pt>
                <c:pt idx="2">
                  <c:v>2021-2026թթ․ (կանխ․)</c:v>
                </c:pt>
              </c:strCache>
            </c:strRef>
          </c:cat>
          <c:val>
            <c:numRef>
              <c:f>Sheet1!$C$2:$C$4</c:f>
              <c:numCache>
                <c:formatCode>0.0</c:formatCode>
                <c:ptCount val="3"/>
                <c:pt idx="0">
                  <c:v>13.606408411072769</c:v>
                </c:pt>
                <c:pt idx="1">
                  <c:v>5.8331401996788399</c:v>
                </c:pt>
                <c:pt idx="2">
                  <c:v>9</c:v>
                </c:pt>
              </c:numCache>
            </c:numRef>
          </c:val>
          <c:extLst>
            <c:ext xmlns:c16="http://schemas.microsoft.com/office/drawing/2014/chart" uri="{C3380CC4-5D6E-409C-BE32-E72D297353CC}">
              <c16:uniqueId val="{00000001-7851-4C42-BF80-30C74981E95B}"/>
            </c:ext>
          </c:extLst>
        </c:ser>
        <c:dLbls>
          <c:showLegendKey val="0"/>
          <c:showVal val="0"/>
          <c:showCatName val="0"/>
          <c:showSerName val="0"/>
          <c:showPercent val="0"/>
          <c:showBubbleSize val="0"/>
        </c:dLbls>
        <c:gapWidth val="219"/>
        <c:overlap val="-27"/>
        <c:axId val="155495040"/>
        <c:axId val="155500928"/>
      </c:barChart>
      <c:catAx>
        <c:axId val="155495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5500928"/>
        <c:crosses val="autoZero"/>
        <c:auto val="1"/>
        <c:lblAlgn val="ctr"/>
        <c:lblOffset val="100"/>
        <c:noMultiLvlLbl val="0"/>
      </c:catAx>
      <c:valAx>
        <c:axId val="15550092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55495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22225" cap="flat" cmpd="sng" algn="ctr">
      <a:solidFill>
        <a:schemeClr val="tx1">
          <a:alpha val="20000"/>
        </a:schemeClr>
      </a:solidFill>
      <a:round/>
    </a:ln>
    <a:effectLst/>
  </c:spPr>
  <c:txPr>
    <a:bodyPr/>
    <a:lstStyle/>
    <a:p>
      <a:pPr>
        <a:defRPr sz="1050">
          <a:latin typeface="GHEA Grapalat" panose="02000506050000020003" pitchFamily="50" charset="0"/>
        </a:defRPr>
      </a:pPr>
      <a:endParaRPr lang="en-US"/>
    </a:p>
  </c:txPr>
  <c:externalData r:id="rId3">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050" b="0" i="0" u="none" strike="noStrike" kern="1200" spc="0" baseline="0">
                <a:solidFill>
                  <a:schemeClr val="tx1">
                    <a:lumMod val="65000"/>
                    <a:lumOff val="35000"/>
                  </a:schemeClr>
                </a:solidFill>
                <a:latin typeface="+mn-lt"/>
                <a:ea typeface="+mn-ea"/>
                <a:cs typeface="+mn-cs"/>
              </a:defRPr>
            </a:pPr>
            <a:r>
              <a:rPr lang="hy-AM" sz="1050" b="1">
                <a:solidFill>
                  <a:schemeClr val="tx2"/>
                </a:solidFill>
                <a:latin typeface="GHEA Grapalat" panose="02000506050000020003" pitchFamily="50" charset="0"/>
              </a:rPr>
              <a:t>ՀՀ կառավարության</a:t>
            </a:r>
            <a:r>
              <a:rPr lang="hy-AM" sz="1050" b="1" baseline="0">
                <a:solidFill>
                  <a:schemeClr val="tx2"/>
                </a:solidFill>
                <a:latin typeface="GHEA Grapalat" panose="02000506050000020003" pitchFamily="50" charset="0"/>
              </a:rPr>
              <a:t> պարտք</a:t>
            </a:r>
            <a:r>
              <a:rPr lang="en-US" sz="1050" b="1" baseline="0">
                <a:solidFill>
                  <a:schemeClr val="tx2"/>
                </a:solidFill>
                <a:latin typeface="GHEA Grapalat" panose="02000506050000020003" pitchFamily="50" charset="0"/>
              </a:rPr>
              <a:t>/</a:t>
            </a:r>
            <a:r>
              <a:rPr lang="hy-AM" sz="1050" b="1" baseline="0">
                <a:solidFill>
                  <a:schemeClr val="tx2"/>
                </a:solidFill>
                <a:latin typeface="GHEA Grapalat" panose="02000506050000020003" pitchFamily="50" charset="0"/>
              </a:rPr>
              <a:t>ՀՆԱ</a:t>
            </a:r>
            <a:r>
              <a:rPr lang="en-US" sz="1050" b="1" baseline="0">
                <a:solidFill>
                  <a:schemeClr val="tx2"/>
                </a:solidFill>
                <a:latin typeface="GHEA Grapalat" panose="02000506050000020003" pitchFamily="50" charset="0"/>
              </a:rPr>
              <a:t>, %</a:t>
            </a:r>
            <a:endParaRPr lang="en-US" sz="1050" b="1">
              <a:solidFill>
                <a:schemeClr val="tx2"/>
              </a:solidFill>
              <a:latin typeface="GHEA Grapalat" panose="02000506050000020003" pitchFamily="50" charset="0"/>
            </a:endParaRPr>
          </a:p>
        </c:rich>
      </c:tx>
      <c:layout>
        <c:manualLayout>
          <c:xMode val="edge"/>
          <c:yMode val="edge"/>
          <c:x val="0.12640249769277592"/>
          <c:y val="9.4674189348378703E-3"/>
        </c:manualLayout>
      </c:layout>
      <c:overlay val="0"/>
      <c:spPr>
        <a:noFill/>
        <a:ln>
          <a:noFill/>
        </a:ln>
        <a:effectLst/>
      </c:spPr>
      <c:txPr>
        <a:bodyPr rot="0" spcFirstLastPara="1" vertOverflow="ellipsis" vert="horz" wrap="square" anchor="ctr" anchorCtr="1"/>
        <a:lstStyle/>
        <a:p>
          <a:pPr algn="ctr">
            <a:defRPr sz="105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3574385837753548E-2"/>
          <c:y val="0.14718253968253969"/>
          <c:w val="0.87807136032682109"/>
          <c:h val="0.74885608048993879"/>
        </c:manualLayout>
      </c:layout>
      <c:lineChart>
        <c:grouping val="standard"/>
        <c:varyColors val="0"/>
        <c:ser>
          <c:idx val="0"/>
          <c:order val="0"/>
          <c:tx>
            <c:strRef>
              <c:f>Sheet1!$B$1</c:f>
              <c:strCache>
                <c:ptCount val="1"/>
                <c:pt idx="0">
                  <c:v>ՄԺԾԾ սցենար</c:v>
                </c:pt>
              </c:strCache>
            </c:strRef>
          </c:tx>
          <c:spPr>
            <a:ln w="41275" cap="rnd">
              <a:solidFill>
                <a:schemeClr val="tx1"/>
              </a:solidFill>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Sheet1!$B$2:$B$7</c:f>
              <c:numCache>
                <c:formatCode>0.00</c:formatCode>
                <c:ptCount val="6"/>
                <c:pt idx="0">
                  <c:v>62.289690407211985</c:v>
                </c:pt>
                <c:pt idx="1">
                  <c:v>60.478075894545569</c:v>
                </c:pt>
                <c:pt idx="2">
                  <c:v>58.702390902856841</c:v>
                </c:pt>
                <c:pt idx="3">
                  <c:v>56.830208645307664</c:v>
                </c:pt>
                <c:pt idx="4">
                  <c:v>55.181594264149361</c:v>
                </c:pt>
                <c:pt idx="5">
                  <c:v>53.836536077822053</c:v>
                </c:pt>
              </c:numCache>
            </c:numRef>
          </c:val>
          <c:smooth val="0"/>
          <c:extLst>
            <c:ext xmlns:c16="http://schemas.microsoft.com/office/drawing/2014/chart" uri="{C3380CC4-5D6E-409C-BE32-E72D297353CC}">
              <c16:uniqueId val="{00000000-1CDF-4EBB-96C1-76BFEF74A6B1}"/>
            </c:ext>
          </c:extLst>
        </c:ser>
        <c:ser>
          <c:idx val="1"/>
          <c:order val="1"/>
          <c:tx>
            <c:strRef>
              <c:f>Sheet1!$C$1</c:f>
              <c:strCache>
                <c:ptCount val="1"/>
                <c:pt idx="0">
                  <c:v>Բարձր աճի սցենար</c:v>
                </c:pt>
              </c:strCache>
            </c:strRef>
          </c:tx>
          <c:spPr>
            <a:ln w="41275" cap="rnd">
              <a:solidFill>
                <a:schemeClr val="accent2">
                  <a:lumMod val="50000"/>
                </a:schemeClr>
              </a:solidFill>
              <a:prstDash val="sysDash"/>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Sheet1!$C$2:$C$7</c:f>
              <c:numCache>
                <c:formatCode>0.00</c:formatCode>
                <c:ptCount val="6"/>
                <c:pt idx="0">
                  <c:v>62.299070370467071</c:v>
                </c:pt>
                <c:pt idx="1">
                  <c:v>61.530749625836457</c:v>
                </c:pt>
                <c:pt idx="2">
                  <c:v>59.199870142868427</c:v>
                </c:pt>
                <c:pt idx="3">
                  <c:v>56.791337612384439</c:v>
                </c:pt>
                <c:pt idx="4">
                  <c:v>54.351875840149368</c:v>
                </c:pt>
                <c:pt idx="5">
                  <c:v>52.144390676734496</c:v>
                </c:pt>
              </c:numCache>
            </c:numRef>
          </c:val>
          <c:smooth val="0"/>
          <c:extLst>
            <c:ext xmlns:c16="http://schemas.microsoft.com/office/drawing/2014/chart" uri="{C3380CC4-5D6E-409C-BE32-E72D297353CC}">
              <c16:uniqueId val="{00000001-1CDF-4EBB-96C1-76BFEF74A6B1}"/>
            </c:ext>
          </c:extLst>
        </c:ser>
        <c:ser>
          <c:idx val="2"/>
          <c:order val="2"/>
          <c:tx>
            <c:strRef>
              <c:f>Sheet1!$D$1</c:f>
              <c:strCache>
                <c:ptCount val="1"/>
                <c:pt idx="0">
                  <c:v>Փոխարժեքի շոկ</c:v>
                </c:pt>
              </c:strCache>
            </c:strRef>
          </c:tx>
          <c:spPr>
            <a:ln w="28575" cap="rnd">
              <a:solidFill>
                <a:schemeClr val="accent3"/>
              </a:solidFill>
              <a:prstDash val="dashDot"/>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Sheet1!$D$2:$D$7</c:f>
              <c:numCache>
                <c:formatCode>0.00</c:formatCode>
                <c:ptCount val="6"/>
                <c:pt idx="0">
                  <c:v>62.289690407211971</c:v>
                </c:pt>
                <c:pt idx="1">
                  <c:v>66.960505398045527</c:v>
                </c:pt>
                <c:pt idx="2">
                  <c:v>64.846751639011572</c:v>
                </c:pt>
                <c:pt idx="3">
                  <c:v>62.648044895607626</c:v>
                </c:pt>
                <c:pt idx="4">
                  <c:v>60.699668618649646</c:v>
                </c:pt>
                <c:pt idx="5">
                  <c:v>59.122777780707878</c:v>
                </c:pt>
              </c:numCache>
            </c:numRef>
          </c:val>
          <c:smooth val="0"/>
          <c:extLst>
            <c:ext xmlns:c16="http://schemas.microsoft.com/office/drawing/2014/chart" uri="{C3380CC4-5D6E-409C-BE32-E72D297353CC}">
              <c16:uniqueId val="{00000002-1CDF-4EBB-96C1-76BFEF74A6B1}"/>
            </c:ext>
          </c:extLst>
        </c:ser>
        <c:ser>
          <c:idx val="3"/>
          <c:order val="3"/>
          <c:tx>
            <c:strRef>
              <c:f>Sheet1!$E$1</c:f>
              <c:strCache>
                <c:ptCount val="1"/>
                <c:pt idx="0">
                  <c:v>Տնտեսական աճի շոկ</c:v>
                </c:pt>
              </c:strCache>
            </c:strRef>
          </c:tx>
          <c:spPr>
            <a:ln w="28575" cap="rnd">
              <a:solidFill>
                <a:schemeClr val="accent4"/>
              </a:solidFill>
              <a:prstDash val="sysDot"/>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Sheet1!$E$2:$E$7</c:f>
              <c:numCache>
                <c:formatCode>0.00</c:formatCode>
                <c:ptCount val="6"/>
                <c:pt idx="0">
                  <c:v>62.289690407211971</c:v>
                </c:pt>
                <c:pt idx="1">
                  <c:v>65.200678256322178</c:v>
                </c:pt>
                <c:pt idx="2">
                  <c:v>69.701156532187909</c:v>
                </c:pt>
                <c:pt idx="3">
                  <c:v>67.758644979812914</c:v>
                </c:pt>
                <c:pt idx="4">
                  <c:v>66.041134734055419</c:v>
                </c:pt>
                <c:pt idx="5">
                  <c:v>64.648481189407107</c:v>
                </c:pt>
              </c:numCache>
            </c:numRef>
          </c:val>
          <c:smooth val="0"/>
          <c:extLst>
            <c:ext xmlns:c16="http://schemas.microsoft.com/office/drawing/2014/chart" uri="{C3380CC4-5D6E-409C-BE32-E72D297353CC}">
              <c16:uniqueId val="{00000003-1CDF-4EBB-96C1-76BFEF74A6B1}"/>
            </c:ext>
          </c:extLst>
        </c:ser>
        <c:ser>
          <c:idx val="4"/>
          <c:order val="4"/>
          <c:tx>
            <c:strRef>
              <c:f>Sheet1!$F$1</c:f>
              <c:strCache>
                <c:ptCount val="1"/>
                <c:pt idx="0">
                  <c:v>Առաջնային հաշվեկշռի շոկ</c:v>
                </c:pt>
              </c:strCache>
            </c:strRef>
          </c:tx>
          <c:spPr>
            <a:ln w="28575" cap="rnd">
              <a:solidFill>
                <a:schemeClr val="accent5"/>
              </a:solidFill>
              <a:prstDash val="dash"/>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Sheet1!$F$2:$F$7</c:f>
              <c:numCache>
                <c:formatCode>0.00</c:formatCode>
                <c:ptCount val="6"/>
                <c:pt idx="0">
                  <c:v>62.289690407211971</c:v>
                </c:pt>
                <c:pt idx="1">
                  <c:v>61.324015536609053</c:v>
                </c:pt>
                <c:pt idx="2">
                  <c:v>60.397168627465561</c:v>
                </c:pt>
                <c:pt idx="3">
                  <c:v>58.521683875984422</c:v>
                </c:pt>
                <c:pt idx="4">
                  <c:v>56.86774100275678</c:v>
                </c:pt>
                <c:pt idx="5">
                  <c:v>55.51691893005389</c:v>
                </c:pt>
              </c:numCache>
            </c:numRef>
          </c:val>
          <c:smooth val="0"/>
          <c:extLst>
            <c:ext xmlns:c16="http://schemas.microsoft.com/office/drawing/2014/chart" uri="{C3380CC4-5D6E-409C-BE32-E72D297353CC}">
              <c16:uniqueId val="{00000004-1CDF-4EBB-96C1-76BFEF74A6B1}"/>
            </c:ext>
          </c:extLst>
        </c:ser>
        <c:ser>
          <c:idx val="5"/>
          <c:order val="5"/>
          <c:tx>
            <c:strRef>
              <c:f>Sheet1!$G$1</c:f>
              <c:strCache>
                <c:ptCount val="1"/>
                <c:pt idx="0">
                  <c:v>Իրական տոկոսադրույքի շոկ</c:v>
                </c:pt>
              </c:strCache>
            </c:strRef>
          </c:tx>
          <c:spPr>
            <a:ln w="41275" cap="rnd">
              <a:solidFill>
                <a:schemeClr val="accent6"/>
              </a:solidFill>
              <a:prstDash val="dash"/>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Sheet1!$G$2:$G$7</c:f>
              <c:numCache>
                <c:formatCode>0.00</c:formatCode>
                <c:ptCount val="6"/>
                <c:pt idx="0">
                  <c:v>62.289690407211971</c:v>
                </c:pt>
                <c:pt idx="1">
                  <c:v>60.478075894545526</c:v>
                </c:pt>
                <c:pt idx="2">
                  <c:v>58.853112251922511</c:v>
                </c:pt>
                <c:pt idx="3">
                  <c:v>57.289836130979722</c:v>
                </c:pt>
                <c:pt idx="4">
                  <c:v>56.094217271910274</c:v>
                </c:pt>
                <c:pt idx="5">
                  <c:v>55.425690271101921</c:v>
                </c:pt>
              </c:numCache>
            </c:numRef>
          </c:val>
          <c:smooth val="0"/>
          <c:extLst>
            <c:ext xmlns:c16="http://schemas.microsoft.com/office/drawing/2014/chart" uri="{C3380CC4-5D6E-409C-BE32-E72D297353CC}">
              <c16:uniqueId val="{00000005-1CDF-4EBB-96C1-76BFEF74A6B1}"/>
            </c:ext>
          </c:extLst>
        </c:ser>
        <c:dLbls>
          <c:showLegendKey val="0"/>
          <c:showVal val="0"/>
          <c:showCatName val="0"/>
          <c:showSerName val="0"/>
          <c:showPercent val="0"/>
          <c:showBubbleSize val="0"/>
        </c:dLbls>
        <c:smooth val="0"/>
        <c:axId val="155614208"/>
        <c:axId val="155632384"/>
      </c:lineChart>
      <c:catAx>
        <c:axId val="15561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632384"/>
        <c:crosses val="autoZero"/>
        <c:auto val="1"/>
        <c:lblAlgn val="ctr"/>
        <c:lblOffset val="100"/>
        <c:noMultiLvlLbl val="0"/>
      </c:catAx>
      <c:valAx>
        <c:axId val="155632384"/>
        <c:scaling>
          <c:orientation val="minMax"/>
          <c:min val="4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6142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100" b="0" i="0" u="none" strike="noStrike" kern="1200" spc="0" baseline="0">
                <a:solidFill>
                  <a:schemeClr val="tx2"/>
                </a:solidFill>
                <a:latin typeface="+mn-lt"/>
                <a:ea typeface="+mn-ea"/>
                <a:cs typeface="+mn-cs"/>
              </a:defRPr>
            </a:pPr>
            <a:r>
              <a:rPr lang="hy-AM" sz="1100" b="1">
                <a:solidFill>
                  <a:schemeClr val="tx2"/>
                </a:solidFill>
                <a:latin typeface="GHEA Grapalat" panose="02000506050000020003" pitchFamily="50" charset="0"/>
              </a:rPr>
              <a:t>Համախառն ֆինանսավորման կարիք/ՀՆԱ, </a:t>
            </a:r>
            <a:r>
              <a:rPr lang="en-US" sz="1100" b="1">
                <a:solidFill>
                  <a:schemeClr val="tx2"/>
                </a:solidFill>
                <a:latin typeface="GHEA Grapalat" panose="02000506050000020003" pitchFamily="50" charset="0"/>
              </a:rPr>
              <a:t>%</a:t>
            </a:r>
          </a:p>
        </c:rich>
      </c:tx>
      <c:layout>
        <c:manualLayout>
          <c:xMode val="edge"/>
          <c:yMode val="edge"/>
          <c:x val="0.1591085233452518"/>
          <c:y val="1.7361111111111112E-2"/>
        </c:manualLayout>
      </c:layout>
      <c:overlay val="0"/>
      <c:spPr>
        <a:noFill/>
        <a:ln>
          <a:noFill/>
        </a:ln>
        <a:effectLst/>
      </c:spPr>
      <c:txPr>
        <a:bodyPr rot="0" spcFirstLastPara="1" vertOverflow="ellipsis" vert="horz" wrap="square" anchor="ctr" anchorCtr="1"/>
        <a:lstStyle/>
        <a:p>
          <a:pPr algn="ctr">
            <a:defRPr sz="1100" b="0" i="0" u="none" strike="noStrike" kern="1200" spc="0" baseline="0">
              <a:solidFill>
                <a:schemeClr val="tx2"/>
              </a:solidFill>
              <a:latin typeface="+mn-lt"/>
              <a:ea typeface="+mn-ea"/>
              <a:cs typeface="+mn-cs"/>
            </a:defRPr>
          </a:pPr>
          <a:endParaRPr lang="en-US"/>
        </a:p>
      </c:txPr>
    </c:title>
    <c:autoTitleDeleted val="0"/>
    <c:plotArea>
      <c:layout>
        <c:manualLayout>
          <c:layoutTarget val="inner"/>
          <c:xMode val="edge"/>
          <c:yMode val="edge"/>
          <c:x val="8.3574385837753548E-2"/>
          <c:y val="0.14718253968253969"/>
          <c:w val="0.87807136032682109"/>
          <c:h val="0.74141326084239467"/>
        </c:manualLayout>
      </c:layout>
      <c:lineChart>
        <c:grouping val="standard"/>
        <c:varyColors val="0"/>
        <c:ser>
          <c:idx val="0"/>
          <c:order val="0"/>
          <c:tx>
            <c:strRef>
              <c:f>Sheet1!$B$1</c:f>
              <c:strCache>
                <c:ptCount val="1"/>
                <c:pt idx="0">
                  <c:v>Բազային սցենար</c:v>
                </c:pt>
              </c:strCache>
            </c:strRef>
          </c:tx>
          <c:spPr>
            <a:ln w="41275" cap="rnd">
              <a:solidFill>
                <a:schemeClr val="tx1"/>
              </a:solidFill>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Sheet1!$B$2:$B$7</c:f>
              <c:numCache>
                <c:formatCode>0.0</c:formatCode>
                <c:ptCount val="6"/>
                <c:pt idx="0">
                  <c:v>7.6520199105333075</c:v>
                </c:pt>
                <c:pt idx="1">
                  <c:v>5.3996832430447199</c:v>
                </c:pt>
                <c:pt idx="2">
                  <c:v>5.7007430720471239</c:v>
                </c:pt>
                <c:pt idx="3">
                  <c:v>5.7832136072286806</c:v>
                </c:pt>
                <c:pt idx="4">
                  <c:v>9.5082496053190209</c:v>
                </c:pt>
                <c:pt idx="5">
                  <c:v>6.4520399006210161</c:v>
                </c:pt>
              </c:numCache>
            </c:numRef>
          </c:val>
          <c:smooth val="0"/>
          <c:extLst>
            <c:ext xmlns:c16="http://schemas.microsoft.com/office/drawing/2014/chart" uri="{C3380CC4-5D6E-409C-BE32-E72D297353CC}">
              <c16:uniqueId val="{00000000-2CA7-4665-985A-7D4D16215DB1}"/>
            </c:ext>
          </c:extLst>
        </c:ser>
        <c:ser>
          <c:idx val="1"/>
          <c:order val="1"/>
          <c:tx>
            <c:strRef>
              <c:f>Sheet1!$C$1</c:f>
              <c:strCache>
                <c:ptCount val="1"/>
                <c:pt idx="0">
                  <c:v>Column2</c:v>
                </c:pt>
              </c:strCache>
            </c:strRef>
          </c:tx>
          <c:spPr>
            <a:ln w="31750" cap="rnd">
              <a:solidFill>
                <a:schemeClr val="accent2">
                  <a:lumMod val="50000"/>
                </a:schemeClr>
              </a:solidFill>
              <a:prstDash val="lgDash"/>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Sheet1!$C$2:$C$7</c:f>
              <c:numCache>
                <c:formatCode>General</c:formatCode>
                <c:ptCount val="6"/>
              </c:numCache>
            </c:numRef>
          </c:val>
          <c:smooth val="0"/>
          <c:extLst>
            <c:ext xmlns:c16="http://schemas.microsoft.com/office/drawing/2014/chart" uri="{C3380CC4-5D6E-409C-BE32-E72D297353CC}">
              <c16:uniqueId val="{00000001-2CA7-4665-985A-7D4D16215DB1}"/>
            </c:ext>
          </c:extLst>
        </c:ser>
        <c:ser>
          <c:idx val="2"/>
          <c:order val="2"/>
          <c:tx>
            <c:strRef>
              <c:f>Sheet1!$D$1</c:f>
              <c:strCache>
                <c:ptCount val="1"/>
                <c:pt idx="0">
                  <c:v>Փոխարժեքի շոկ</c:v>
                </c:pt>
              </c:strCache>
            </c:strRef>
          </c:tx>
          <c:spPr>
            <a:ln w="28575" cap="rnd">
              <a:solidFill>
                <a:schemeClr val="accent3"/>
              </a:solidFill>
              <a:prstDash val="dashDot"/>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Sheet1!$D$2:$D$7</c:f>
              <c:numCache>
                <c:formatCode>0.0</c:formatCode>
                <c:ptCount val="6"/>
                <c:pt idx="0">
                  <c:v>7.6520199105333031</c:v>
                </c:pt>
                <c:pt idx="1">
                  <c:v>5.7250974626669855</c:v>
                </c:pt>
                <c:pt idx="2">
                  <c:v>6.131323448066758</c:v>
                </c:pt>
                <c:pt idx="3">
                  <c:v>6.3523229780918191</c:v>
                </c:pt>
                <c:pt idx="4">
                  <c:v>10.464720431574225</c:v>
                </c:pt>
                <c:pt idx="5">
                  <c:v>7.1017302293124462</c:v>
                </c:pt>
              </c:numCache>
            </c:numRef>
          </c:val>
          <c:smooth val="0"/>
          <c:extLst>
            <c:ext xmlns:c16="http://schemas.microsoft.com/office/drawing/2014/chart" uri="{C3380CC4-5D6E-409C-BE32-E72D297353CC}">
              <c16:uniqueId val="{00000002-2CA7-4665-985A-7D4D16215DB1}"/>
            </c:ext>
          </c:extLst>
        </c:ser>
        <c:ser>
          <c:idx val="3"/>
          <c:order val="3"/>
          <c:tx>
            <c:strRef>
              <c:f>Sheet1!$E$1</c:f>
              <c:strCache>
                <c:ptCount val="1"/>
                <c:pt idx="0">
                  <c:v>Տնտեսական աճի շոկ</c:v>
                </c:pt>
              </c:strCache>
            </c:strRef>
          </c:tx>
          <c:spPr>
            <a:ln w="28575" cap="rnd">
              <a:solidFill>
                <a:schemeClr val="accent4"/>
              </a:solidFill>
              <a:prstDash val="sysDot"/>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Sheet1!$E$2:$E$7</c:f>
              <c:numCache>
                <c:formatCode>0.0</c:formatCode>
                <c:ptCount val="6"/>
                <c:pt idx="0">
                  <c:v>7.6520199105333031</c:v>
                </c:pt>
                <c:pt idx="1">
                  <c:v>7.0440063959878394</c:v>
                </c:pt>
                <c:pt idx="2">
                  <c:v>9.328690929565763</c:v>
                </c:pt>
                <c:pt idx="3">
                  <c:v>7.152020821467203</c:v>
                </c:pt>
                <c:pt idx="4">
                  <c:v>11.380170186052142</c:v>
                </c:pt>
                <c:pt idx="5">
                  <c:v>8.013051571479382</c:v>
                </c:pt>
              </c:numCache>
            </c:numRef>
          </c:val>
          <c:smooth val="0"/>
          <c:extLst>
            <c:ext xmlns:c16="http://schemas.microsoft.com/office/drawing/2014/chart" uri="{C3380CC4-5D6E-409C-BE32-E72D297353CC}">
              <c16:uniqueId val="{00000003-2CA7-4665-985A-7D4D16215DB1}"/>
            </c:ext>
          </c:extLst>
        </c:ser>
        <c:ser>
          <c:idx val="4"/>
          <c:order val="4"/>
          <c:tx>
            <c:strRef>
              <c:f>Sheet1!$F$1</c:f>
              <c:strCache>
                <c:ptCount val="1"/>
                <c:pt idx="0">
                  <c:v>Առաջնային հաշվեկշռի շոկ</c:v>
                </c:pt>
              </c:strCache>
            </c:strRef>
          </c:tx>
          <c:spPr>
            <a:ln w="28575" cap="rnd">
              <a:solidFill>
                <a:schemeClr val="accent5"/>
              </a:solidFill>
              <a:prstDash val="dash"/>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Sheet1!$F$2:$F$7</c:f>
              <c:numCache>
                <c:formatCode>0.0</c:formatCode>
                <c:ptCount val="6"/>
                <c:pt idx="0">
                  <c:v>7.6520199105333031</c:v>
                </c:pt>
                <c:pt idx="1">
                  <c:v>6.2451075306239359</c:v>
                </c:pt>
                <c:pt idx="2">
                  <c:v>6.655713471153188</c:v>
                </c:pt>
                <c:pt idx="3">
                  <c:v>6.0142163049988211</c:v>
                </c:pt>
                <c:pt idx="4">
                  <c:v>9.7627288640071193</c:v>
                </c:pt>
                <c:pt idx="5">
                  <c:v>6.7192308886129064</c:v>
                </c:pt>
              </c:numCache>
            </c:numRef>
          </c:val>
          <c:smooth val="0"/>
          <c:extLst>
            <c:ext xmlns:c16="http://schemas.microsoft.com/office/drawing/2014/chart" uri="{C3380CC4-5D6E-409C-BE32-E72D297353CC}">
              <c16:uniqueId val="{00000004-2CA7-4665-985A-7D4D16215DB1}"/>
            </c:ext>
          </c:extLst>
        </c:ser>
        <c:ser>
          <c:idx val="5"/>
          <c:order val="5"/>
          <c:tx>
            <c:strRef>
              <c:f>Sheet1!$G$1</c:f>
              <c:strCache>
                <c:ptCount val="1"/>
                <c:pt idx="0">
                  <c:v>Իրական տոկոսադրույքի շոկ</c:v>
                </c:pt>
              </c:strCache>
            </c:strRef>
          </c:tx>
          <c:spPr>
            <a:ln w="28575" cap="rnd">
              <a:solidFill>
                <a:schemeClr val="accent6"/>
              </a:solidFill>
              <a:prstDash val="dash"/>
              <a:round/>
            </a:ln>
            <a:effectLst/>
          </c:spPr>
          <c:marker>
            <c:symbol val="none"/>
          </c:marker>
          <c:cat>
            <c:numRef>
              <c:f>Sheet1!$A$2:$A$7</c:f>
              <c:numCache>
                <c:formatCode>General</c:formatCode>
                <c:ptCount val="6"/>
                <c:pt idx="0">
                  <c:v>2021</c:v>
                </c:pt>
                <c:pt idx="1">
                  <c:v>2022</c:v>
                </c:pt>
                <c:pt idx="2">
                  <c:v>2023</c:v>
                </c:pt>
                <c:pt idx="3">
                  <c:v>2024</c:v>
                </c:pt>
                <c:pt idx="4">
                  <c:v>2025</c:v>
                </c:pt>
                <c:pt idx="5">
                  <c:v>2026</c:v>
                </c:pt>
              </c:numCache>
            </c:numRef>
          </c:cat>
          <c:val>
            <c:numRef>
              <c:f>Sheet1!$G$2:$G$7</c:f>
              <c:numCache>
                <c:formatCode>0.0</c:formatCode>
                <c:ptCount val="6"/>
                <c:pt idx="0">
                  <c:v>7.6520199105333031</c:v>
                </c:pt>
                <c:pt idx="1">
                  <c:v>5.3996832430447173</c:v>
                </c:pt>
                <c:pt idx="2">
                  <c:v>5.8513335294189259</c:v>
                </c:pt>
                <c:pt idx="3">
                  <c:v>6.109817080359111</c:v>
                </c:pt>
                <c:pt idx="4">
                  <c:v>10.025892736910331</c:v>
                </c:pt>
                <c:pt idx="5">
                  <c:v>7.2686758907719193</c:v>
                </c:pt>
              </c:numCache>
            </c:numRef>
          </c:val>
          <c:smooth val="0"/>
          <c:extLst>
            <c:ext xmlns:c16="http://schemas.microsoft.com/office/drawing/2014/chart" uri="{C3380CC4-5D6E-409C-BE32-E72D297353CC}">
              <c16:uniqueId val="{00000005-2CA7-4665-985A-7D4D16215DB1}"/>
            </c:ext>
          </c:extLst>
        </c:ser>
        <c:dLbls>
          <c:showLegendKey val="0"/>
          <c:showVal val="0"/>
          <c:showCatName val="0"/>
          <c:showSerName val="0"/>
          <c:showPercent val="0"/>
          <c:showBubbleSize val="0"/>
        </c:dLbls>
        <c:smooth val="0"/>
        <c:axId val="155677440"/>
        <c:axId val="155678976"/>
      </c:lineChart>
      <c:catAx>
        <c:axId val="155677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678976"/>
        <c:crosses val="autoZero"/>
        <c:auto val="1"/>
        <c:lblAlgn val="ctr"/>
        <c:lblOffset val="100"/>
        <c:noMultiLvlLbl val="0"/>
      </c:catAx>
      <c:valAx>
        <c:axId val="155678976"/>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67744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574385837753548E-2"/>
          <c:y val="0.14718253968253969"/>
          <c:w val="0.87807136032682109"/>
          <c:h val="8.2924584812785959E-2"/>
        </c:manualLayout>
      </c:layout>
      <c:lineChart>
        <c:grouping val="standard"/>
        <c:varyColors val="0"/>
        <c:ser>
          <c:idx val="0"/>
          <c:order val="0"/>
          <c:tx>
            <c:strRef>
              <c:f>Sheet1!$B$1</c:f>
              <c:strCache>
                <c:ptCount val="1"/>
                <c:pt idx="0">
                  <c:v>ՄԺԾԾ մակրոտնտեսական սցենար</c:v>
                </c:pt>
              </c:strCache>
            </c:strRef>
          </c:tx>
          <c:spPr>
            <a:ln w="41275" cap="rnd">
              <a:solidFill>
                <a:schemeClr val="tx1"/>
              </a:solidFill>
              <a:round/>
            </a:ln>
            <a:effectLst/>
          </c:spPr>
          <c:marker>
            <c:symbol val="none"/>
          </c:marker>
          <c:cat>
            <c:numRef>
              <c:f>Sheet1!$A$2:$A$7</c:f>
              <c:numCache>
                <c:formatCode>General</c:formatCode>
                <c:ptCount val="6"/>
              </c:numCache>
            </c:numRef>
          </c:cat>
          <c:val>
            <c:numRef>
              <c:f>Sheet1!$B$2:$B$7</c:f>
              <c:numCache>
                <c:formatCode>General</c:formatCode>
                <c:ptCount val="6"/>
              </c:numCache>
            </c:numRef>
          </c:val>
          <c:smooth val="0"/>
          <c:extLst>
            <c:ext xmlns:c16="http://schemas.microsoft.com/office/drawing/2014/chart" uri="{C3380CC4-5D6E-409C-BE32-E72D297353CC}">
              <c16:uniqueId val="{00000000-0164-49A4-A274-9C175752E115}"/>
            </c:ext>
          </c:extLst>
        </c:ser>
        <c:ser>
          <c:idx val="1"/>
          <c:order val="1"/>
          <c:tx>
            <c:strRef>
              <c:f>Sheet1!$C$1</c:f>
              <c:strCache>
                <c:ptCount val="1"/>
                <c:pt idx="0">
                  <c:v>Թիրախային աճի սցենար</c:v>
                </c:pt>
              </c:strCache>
            </c:strRef>
          </c:tx>
          <c:spPr>
            <a:ln w="41275" cap="rnd">
              <a:solidFill>
                <a:schemeClr val="accent2">
                  <a:lumMod val="50000"/>
                </a:schemeClr>
              </a:solidFill>
              <a:prstDash val="sysDash"/>
              <a:round/>
            </a:ln>
            <a:effectLst/>
          </c:spPr>
          <c:marker>
            <c:symbol val="none"/>
          </c:marker>
          <c:cat>
            <c:numRef>
              <c:f>Sheet1!$A$2:$A$7</c:f>
              <c:numCache>
                <c:formatCode>General</c:formatCode>
                <c:ptCount val="6"/>
              </c:numCache>
            </c:numRef>
          </c:cat>
          <c:val>
            <c:numRef>
              <c:f>Sheet1!$C$2:$C$7</c:f>
              <c:numCache>
                <c:formatCode>General</c:formatCode>
                <c:ptCount val="6"/>
              </c:numCache>
            </c:numRef>
          </c:val>
          <c:smooth val="0"/>
          <c:extLst>
            <c:ext xmlns:c16="http://schemas.microsoft.com/office/drawing/2014/chart" uri="{C3380CC4-5D6E-409C-BE32-E72D297353CC}">
              <c16:uniqueId val="{00000001-0164-49A4-A274-9C175752E115}"/>
            </c:ext>
          </c:extLst>
        </c:ser>
        <c:ser>
          <c:idx val="2"/>
          <c:order val="2"/>
          <c:tx>
            <c:strRef>
              <c:f>Sheet1!$D$1</c:f>
              <c:strCache>
                <c:ptCount val="1"/>
                <c:pt idx="0">
                  <c:v>Փոխարժեքի շոկ</c:v>
                </c:pt>
              </c:strCache>
            </c:strRef>
          </c:tx>
          <c:spPr>
            <a:ln w="28575" cap="rnd">
              <a:solidFill>
                <a:schemeClr val="accent3"/>
              </a:solidFill>
              <a:prstDash val="dashDot"/>
              <a:round/>
            </a:ln>
            <a:effectLst/>
          </c:spPr>
          <c:marker>
            <c:symbol val="none"/>
          </c:marker>
          <c:cat>
            <c:numRef>
              <c:f>Sheet1!$A$2:$A$7</c:f>
              <c:numCache>
                <c:formatCode>General</c:formatCode>
                <c:ptCount val="6"/>
              </c:numCache>
            </c:numRef>
          </c:cat>
          <c:val>
            <c:numRef>
              <c:f>Sheet1!$D$2:$D$7</c:f>
              <c:numCache>
                <c:formatCode>General</c:formatCode>
                <c:ptCount val="6"/>
              </c:numCache>
            </c:numRef>
          </c:val>
          <c:smooth val="0"/>
          <c:extLst>
            <c:ext xmlns:c16="http://schemas.microsoft.com/office/drawing/2014/chart" uri="{C3380CC4-5D6E-409C-BE32-E72D297353CC}">
              <c16:uniqueId val="{00000002-0164-49A4-A274-9C175752E115}"/>
            </c:ext>
          </c:extLst>
        </c:ser>
        <c:ser>
          <c:idx val="3"/>
          <c:order val="3"/>
          <c:tx>
            <c:strRef>
              <c:f>Sheet1!$E$1</c:f>
              <c:strCache>
                <c:ptCount val="1"/>
                <c:pt idx="0">
                  <c:v>Տնտեսական աճի շոկ</c:v>
                </c:pt>
              </c:strCache>
            </c:strRef>
          </c:tx>
          <c:spPr>
            <a:ln w="28575" cap="rnd">
              <a:solidFill>
                <a:schemeClr val="accent4"/>
              </a:solidFill>
              <a:prstDash val="sysDot"/>
              <a:round/>
            </a:ln>
            <a:effectLst/>
          </c:spPr>
          <c:marker>
            <c:symbol val="none"/>
          </c:marker>
          <c:cat>
            <c:numRef>
              <c:f>Sheet1!$A$2:$A$7</c:f>
              <c:numCache>
                <c:formatCode>General</c:formatCode>
                <c:ptCount val="6"/>
              </c:numCache>
            </c:numRef>
          </c:cat>
          <c:val>
            <c:numRef>
              <c:f>Sheet1!$E$2:$E$7</c:f>
              <c:numCache>
                <c:formatCode>General</c:formatCode>
                <c:ptCount val="6"/>
              </c:numCache>
            </c:numRef>
          </c:val>
          <c:smooth val="0"/>
          <c:extLst>
            <c:ext xmlns:c16="http://schemas.microsoft.com/office/drawing/2014/chart" uri="{C3380CC4-5D6E-409C-BE32-E72D297353CC}">
              <c16:uniqueId val="{00000003-0164-49A4-A274-9C175752E115}"/>
            </c:ext>
          </c:extLst>
        </c:ser>
        <c:ser>
          <c:idx val="4"/>
          <c:order val="4"/>
          <c:tx>
            <c:strRef>
              <c:f>Sheet1!$F$1</c:f>
              <c:strCache>
                <c:ptCount val="1"/>
                <c:pt idx="0">
                  <c:v>Առաջնային հաշվեկշռի շոկ</c:v>
                </c:pt>
              </c:strCache>
            </c:strRef>
          </c:tx>
          <c:spPr>
            <a:ln w="28575" cap="rnd">
              <a:solidFill>
                <a:schemeClr val="accent5"/>
              </a:solidFill>
              <a:prstDash val="dash"/>
              <a:round/>
            </a:ln>
            <a:effectLst/>
          </c:spPr>
          <c:marker>
            <c:symbol val="none"/>
          </c:marker>
          <c:cat>
            <c:numRef>
              <c:f>Sheet1!$A$2:$A$7</c:f>
              <c:numCache>
                <c:formatCode>General</c:formatCode>
                <c:ptCount val="6"/>
              </c:numCache>
            </c:numRef>
          </c:cat>
          <c:val>
            <c:numRef>
              <c:f>Sheet1!$F$2:$F$7</c:f>
              <c:numCache>
                <c:formatCode>General</c:formatCode>
                <c:ptCount val="6"/>
              </c:numCache>
            </c:numRef>
          </c:val>
          <c:smooth val="0"/>
          <c:extLst>
            <c:ext xmlns:c16="http://schemas.microsoft.com/office/drawing/2014/chart" uri="{C3380CC4-5D6E-409C-BE32-E72D297353CC}">
              <c16:uniqueId val="{00000004-0164-49A4-A274-9C175752E115}"/>
            </c:ext>
          </c:extLst>
        </c:ser>
        <c:ser>
          <c:idx val="5"/>
          <c:order val="5"/>
          <c:tx>
            <c:strRef>
              <c:f>Sheet1!$G$1</c:f>
              <c:strCache>
                <c:ptCount val="1"/>
                <c:pt idx="0">
                  <c:v>Իրական տոկոսադրույքի շոկ</c:v>
                </c:pt>
              </c:strCache>
            </c:strRef>
          </c:tx>
          <c:spPr>
            <a:ln w="41275" cap="rnd">
              <a:solidFill>
                <a:schemeClr val="accent6"/>
              </a:solidFill>
              <a:prstDash val="dash"/>
              <a:round/>
            </a:ln>
            <a:effectLst/>
          </c:spPr>
          <c:marker>
            <c:symbol val="none"/>
          </c:marker>
          <c:cat>
            <c:numRef>
              <c:f>Sheet1!$A$2:$A$7</c:f>
              <c:numCache>
                <c:formatCode>General</c:formatCode>
                <c:ptCount val="6"/>
              </c:numCache>
            </c:numRef>
          </c:cat>
          <c:val>
            <c:numRef>
              <c:f>Sheet1!$G$2:$G$7</c:f>
              <c:numCache>
                <c:formatCode>General</c:formatCode>
                <c:ptCount val="6"/>
              </c:numCache>
            </c:numRef>
          </c:val>
          <c:smooth val="0"/>
          <c:extLst>
            <c:ext xmlns:c16="http://schemas.microsoft.com/office/drawing/2014/chart" uri="{C3380CC4-5D6E-409C-BE32-E72D297353CC}">
              <c16:uniqueId val="{00000005-0164-49A4-A274-9C175752E115}"/>
            </c:ext>
          </c:extLst>
        </c:ser>
        <c:dLbls>
          <c:showLegendKey val="0"/>
          <c:showVal val="0"/>
          <c:showCatName val="0"/>
          <c:showSerName val="0"/>
          <c:showPercent val="0"/>
          <c:showBubbleSize val="0"/>
        </c:dLbls>
        <c:smooth val="0"/>
        <c:axId val="156812032"/>
        <c:axId val="156813568"/>
      </c:lineChart>
      <c:catAx>
        <c:axId val="156812032"/>
        <c:scaling>
          <c:orientation val="minMax"/>
        </c:scaling>
        <c:delete val="1"/>
        <c:axPos val="b"/>
        <c:numFmt formatCode="General" sourceLinked="1"/>
        <c:majorTickMark val="none"/>
        <c:minorTickMark val="none"/>
        <c:tickLblPos val="nextTo"/>
        <c:crossAx val="156813568"/>
        <c:crosses val="autoZero"/>
        <c:auto val="1"/>
        <c:lblAlgn val="ctr"/>
        <c:lblOffset val="100"/>
        <c:noMultiLvlLbl val="0"/>
      </c:catAx>
      <c:valAx>
        <c:axId val="156813568"/>
        <c:scaling>
          <c:orientation val="minMax"/>
          <c:min val="45"/>
        </c:scaling>
        <c:delete val="1"/>
        <c:axPos val="l"/>
        <c:numFmt formatCode="General" sourceLinked="1"/>
        <c:majorTickMark val="none"/>
        <c:minorTickMark val="none"/>
        <c:tickLblPos val="nextTo"/>
        <c:crossAx val="156812032"/>
        <c:crosses val="autoZero"/>
        <c:crossBetween val="between"/>
      </c:valAx>
      <c:spPr>
        <a:noFill/>
        <a:ln w="25400">
          <a:noFill/>
        </a:ln>
        <a:effectLst/>
      </c:spPr>
    </c:plotArea>
    <c:legend>
      <c:legendPos val="b"/>
      <c:layout>
        <c:manualLayout>
          <c:xMode val="edge"/>
          <c:yMode val="edge"/>
          <c:x val="4.9274845176075055E-2"/>
          <c:y val="0.19339176942504829"/>
          <c:w val="0.91957719786537262"/>
          <c:h val="0.7311365324617441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GHEA Grapalat" panose="02000506050000020003" pitchFamily="50" charset="0"/>
              </a:defRPr>
            </a:pPr>
            <a:r>
              <a:rPr lang="hy-AM" sz="1200" b="1" i="0" baseline="0">
                <a:effectLst/>
                <a:latin typeface="GHEA Grapalat" panose="02000506050000020003" pitchFamily="50" charset="0"/>
              </a:rPr>
              <a:t>ՀՀ կառավարության պարտք</a:t>
            </a:r>
            <a:r>
              <a:rPr lang="en-US" sz="1200" b="1" i="0" baseline="0">
                <a:effectLst/>
                <a:latin typeface="GHEA Grapalat" panose="02000506050000020003" pitchFamily="50" charset="0"/>
              </a:rPr>
              <a:t>/</a:t>
            </a:r>
            <a:r>
              <a:rPr lang="hy-AM" sz="1200" b="1" i="0" baseline="0">
                <a:effectLst/>
                <a:latin typeface="GHEA Grapalat" panose="02000506050000020003" pitchFamily="50" charset="0"/>
              </a:rPr>
              <a:t>ՀՆԱ</a:t>
            </a:r>
            <a:r>
              <a:rPr lang="en-US" sz="1200" b="1" i="0" baseline="0">
                <a:effectLst/>
                <a:latin typeface="GHEA Grapalat" panose="02000506050000020003" pitchFamily="50" charset="0"/>
              </a:rPr>
              <a:t>, %</a:t>
            </a:r>
            <a:endParaRPr lang="en-US" sz="1200">
              <a:effectLst/>
              <a:latin typeface="GHEA Grapalat" panose="02000506050000020003" pitchFamily="50" charset="0"/>
            </a:endParaRPr>
          </a:p>
        </c:rich>
      </c:tx>
      <c:layout>
        <c:manualLayout>
          <c:xMode val="edge"/>
          <c:yMode val="edge"/>
          <c:x val="6.4062871969329999E-2"/>
          <c:y val="9.7323600973236012E-3"/>
        </c:manualLayout>
      </c:layout>
      <c:overlay val="1"/>
    </c:title>
    <c:autoTitleDeleted val="0"/>
    <c:plotArea>
      <c:layout>
        <c:manualLayout>
          <c:layoutTarget val="inner"/>
          <c:xMode val="edge"/>
          <c:yMode val="edge"/>
          <c:x val="9.9476609328318144E-2"/>
          <c:y val="0.16107503082751048"/>
          <c:w val="0.84467857745457919"/>
          <c:h val="0.60159587715769103"/>
        </c:manualLayout>
      </c:layout>
      <c:areaChart>
        <c:grouping val="stacked"/>
        <c:varyColors val="0"/>
        <c:ser>
          <c:idx val="0"/>
          <c:order val="0"/>
          <c:tx>
            <c:v/>
          </c:tx>
          <c:spPr>
            <a:noFill/>
            <a:ln w="25400">
              <a:noFill/>
            </a:ln>
          </c:spPr>
          <c:cat>
            <c:numRef>
              <c:f>'Fan Chart'!$AE$41:$AL$41</c:f>
              <c:numCache>
                <c:formatCode>General</c:formatCode>
                <c:ptCount val="8"/>
                <c:pt idx="0">
                  <c:v>2019</c:v>
                </c:pt>
                <c:pt idx="1">
                  <c:v>2020</c:v>
                </c:pt>
                <c:pt idx="2">
                  <c:v>2021</c:v>
                </c:pt>
                <c:pt idx="3">
                  <c:v>2022</c:v>
                </c:pt>
                <c:pt idx="4">
                  <c:v>2023</c:v>
                </c:pt>
                <c:pt idx="5">
                  <c:v>2024</c:v>
                </c:pt>
                <c:pt idx="6">
                  <c:v>2025</c:v>
                </c:pt>
                <c:pt idx="7">
                  <c:v>2026</c:v>
                </c:pt>
              </c:numCache>
            </c:numRef>
          </c:cat>
          <c:val>
            <c:numRef>
              <c:f>'Fan Chart'!$AE$42:$AL$42</c:f>
              <c:numCache>
                <c:formatCode>0.0</c:formatCode>
                <c:ptCount val="8"/>
                <c:pt idx="0">
                  <c:v>50.107236973610512</c:v>
                </c:pt>
                <c:pt idx="1">
                  <c:v>63.476258231461003</c:v>
                </c:pt>
                <c:pt idx="2">
                  <c:v>55.538001935750216</c:v>
                </c:pt>
                <c:pt idx="3">
                  <c:v>51.012879456017181</c:v>
                </c:pt>
                <c:pt idx="4">
                  <c:v>47.647103904909216</c:v>
                </c:pt>
                <c:pt idx="5">
                  <c:v>44.615307255756413</c:v>
                </c:pt>
                <c:pt idx="6">
                  <c:v>43.203908430983063</c:v>
                </c:pt>
                <c:pt idx="7">
                  <c:v>40.170790121433669</c:v>
                </c:pt>
              </c:numCache>
            </c:numRef>
          </c:val>
          <c:extLst>
            <c:ext xmlns:c16="http://schemas.microsoft.com/office/drawing/2014/chart" uri="{C3380CC4-5D6E-409C-BE32-E72D297353CC}">
              <c16:uniqueId val="{00000000-82F6-4D7D-B227-BA6E97BC8E1B}"/>
            </c:ext>
          </c:extLst>
        </c:ser>
        <c:ser>
          <c:idx val="2"/>
          <c:order val="1"/>
          <c:tx>
            <c:strRef>
              <c:f>'Fan Chart'!$Z$43</c:f>
              <c:strCache>
                <c:ptCount val="1"/>
                <c:pt idx="0">
                  <c:v>10-25%</c:v>
                </c:pt>
              </c:strCache>
            </c:strRef>
          </c:tx>
          <c:spPr>
            <a:solidFill>
              <a:schemeClr val="accent5">
                <a:lumMod val="40000"/>
                <a:lumOff val="60000"/>
              </a:schemeClr>
            </a:solidFill>
            <a:ln w="12700">
              <a:noFill/>
              <a:prstDash val="solid"/>
            </a:ln>
          </c:spPr>
          <c:cat>
            <c:numRef>
              <c:f>'Fan Chart'!$AE$41:$AL$41</c:f>
              <c:numCache>
                <c:formatCode>General</c:formatCode>
                <c:ptCount val="8"/>
                <c:pt idx="0">
                  <c:v>2019</c:v>
                </c:pt>
                <c:pt idx="1">
                  <c:v>2020</c:v>
                </c:pt>
                <c:pt idx="2">
                  <c:v>2021</c:v>
                </c:pt>
                <c:pt idx="3">
                  <c:v>2022</c:v>
                </c:pt>
                <c:pt idx="4">
                  <c:v>2023</c:v>
                </c:pt>
                <c:pt idx="5">
                  <c:v>2024</c:v>
                </c:pt>
                <c:pt idx="6">
                  <c:v>2025</c:v>
                </c:pt>
                <c:pt idx="7">
                  <c:v>2026</c:v>
                </c:pt>
              </c:numCache>
            </c:numRef>
          </c:cat>
          <c:val>
            <c:numRef>
              <c:f>'Fan Chart'!$AE$43:$AL$43</c:f>
              <c:numCache>
                <c:formatCode>0.0</c:formatCode>
                <c:ptCount val="8"/>
                <c:pt idx="0">
                  <c:v>0</c:v>
                </c:pt>
                <c:pt idx="1">
                  <c:v>0</c:v>
                </c:pt>
                <c:pt idx="2">
                  <c:v>2.977849017068801</c:v>
                </c:pt>
                <c:pt idx="3">
                  <c:v>4.4592225062694446</c:v>
                </c:pt>
                <c:pt idx="4">
                  <c:v>5.3045928027525502</c:v>
                </c:pt>
                <c:pt idx="5">
                  <c:v>5.7129106388545345</c:v>
                </c:pt>
                <c:pt idx="6">
                  <c:v>5.0712151376021701</c:v>
                </c:pt>
                <c:pt idx="7">
                  <c:v>6.1735951956651771</c:v>
                </c:pt>
              </c:numCache>
            </c:numRef>
          </c:val>
          <c:extLst>
            <c:ext xmlns:c16="http://schemas.microsoft.com/office/drawing/2014/chart" uri="{C3380CC4-5D6E-409C-BE32-E72D297353CC}">
              <c16:uniqueId val="{00000001-82F6-4D7D-B227-BA6E97BC8E1B}"/>
            </c:ext>
          </c:extLst>
        </c:ser>
        <c:ser>
          <c:idx val="3"/>
          <c:order val="2"/>
          <c:tx>
            <c:strRef>
              <c:f>'Fan Chart'!$Z$44</c:f>
              <c:strCache>
                <c:ptCount val="1"/>
                <c:pt idx="0">
                  <c:v>25-50%</c:v>
                </c:pt>
              </c:strCache>
            </c:strRef>
          </c:tx>
          <c:spPr>
            <a:solidFill>
              <a:srgbClr val="57B7FF"/>
            </a:solidFill>
            <a:ln w="12700">
              <a:noFill/>
              <a:prstDash val="solid"/>
            </a:ln>
          </c:spPr>
          <c:cat>
            <c:numRef>
              <c:f>'Fan Chart'!$AE$41:$AL$41</c:f>
              <c:numCache>
                <c:formatCode>General</c:formatCode>
                <c:ptCount val="8"/>
                <c:pt idx="0">
                  <c:v>2019</c:v>
                </c:pt>
                <c:pt idx="1">
                  <c:v>2020</c:v>
                </c:pt>
                <c:pt idx="2">
                  <c:v>2021</c:v>
                </c:pt>
                <c:pt idx="3">
                  <c:v>2022</c:v>
                </c:pt>
                <c:pt idx="4">
                  <c:v>2023</c:v>
                </c:pt>
                <c:pt idx="5">
                  <c:v>2024</c:v>
                </c:pt>
                <c:pt idx="6">
                  <c:v>2025</c:v>
                </c:pt>
                <c:pt idx="7">
                  <c:v>2026</c:v>
                </c:pt>
              </c:numCache>
            </c:numRef>
          </c:cat>
          <c:val>
            <c:numRef>
              <c:f>'Fan Chart'!$AE$44:$AL$44</c:f>
              <c:numCache>
                <c:formatCode>0.0</c:formatCode>
                <c:ptCount val="8"/>
                <c:pt idx="0">
                  <c:v>0</c:v>
                </c:pt>
                <c:pt idx="1">
                  <c:v>0</c:v>
                </c:pt>
                <c:pt idx="2">
                  <c:v>3.8378177873464425</c:v>
                </c:pt>
                <c:pt idx="3">
                  <c:v>5.1485444053358531</c:v>
                </c:pt>
                <c:pt idx="4">
                  <c:v>6.0899072963841121</c:v>
                </c:pt>
                <c:pt idx="5">
                  <c:v>6.6606182735340802</c:v>
                </c:pt>
                <c:pt idx="6">
                  <c:v>7.1139049687634071</c:v>
                </c:pt>
                <c:pt idx="7">
                  <c:v>7.593899545925642</c:v>
                </c:pt>
              </c:numCache>
            </c:numRef>
          </c:val>
          <c:extLst>
            <c:ext xmlns:c16="http://schemas.microsoft.com/office/drawing/2014/chart" uri="{C3380CC4-5D6E-409C-BE32-E72D297353CC}">
              <c16:uniqueId val="{00000002-82F6-4D7D-B227-BA6E97BC8E1B}"/>
            </c:ext>
          </c:extLst>
        </c:ser>
        <c:ser>
          <c:idx val="4"/>
          <c:order val="3"/>
          <c:tx>
            <c:strRef>
              <c:f>'Fan Chart'!$Z$45</c:f>
              <c:strCache>
                <c:ptCount val="1"/>
                <c:pt idx="0">
                  <c:v>50-75%</c:v>
                </c:pt>
              </c:strCache>
            </c:strRef>
          </c:tx>
          <c:spPr>
            <a:solidFill>
              <a:schemeClr val="accent2">
                <a:lumMod val="60000"/>
                <a:lumOff val="40000"/>
              </a:schemeClr>
            </a:solidFill>
            <a:ln w="12700">
              <a:noFill/>
              <a:prstDash val="solid"/>
            </a:ln>
          </c:spPr>
          <c:cat>
            <c:numRef>
              <c:f>'Fan Chart'!$AE$41:$AL$41</c:f>
              <c:numCache>
                <c:formatCode>General</c:formatCode>
                <c:ptCount val="8"/>
                <c:pt idx="0">
                  <c:v>2019</c:v>
                </c:pt>
                <c:pt idx="1">
                  <c:v>2020</c:v>
                </c:pt>
                <c:pt idx="2">
                  <c:v>2021</c:v>
                </c:pt>
                <c:pt idx="3">
                  <c:v>2022</c:v>
                </c:pt>
                <c:pt idx="4">
                  <c:v>2023</c:v>
                </c:pt>
                <c:pt idx="5">
                  <c:v>2024</c:v>
                </c:pt>
                <c:pt idx="6">
                  <c:v>2025</c:v>
                </c:pt>
                <c:pt idx="7">
                  <c:v>2026</c:v>
                </c:pt>
              </c:numCache>
            </c:numRef>
          </c:cat>
          <c:val>
            <c:numRef>
              <c:f>'Fan Chart'!$AE$45:$AL$45</c:f>
              <c:numCache>
                <c:formatCode>0.0</c:formatCode>
                <c:ptCount val="8"/>
                <c:pt idx="0">
                  <c:v>0</c:v>
                </c:pt>
                <c:pt idx="1">
                  <c:v>0</c:v>
                </c:pt>
                <c:pt idx="2">
                  <c:v>3.0946651854775742</c:v>
                </c:pt>
                <c:pt idx="3">
                  <c:v>3.8379922658255849</c:v>
                </c:pt>
                <c:pt idx="4">
                  <c:v>4.6074074466959996</c:v>
                </c:pt>
                <c:pt idx="5">
                  <c:v>5.5588691530257028</c:v>
                </c:pt>
                <c:pt idx="6">
                  <c:v>5.8792673765571184</c:v>
                </c:pt>
                <c:pt idx="7">
                  <c:v>6.7368401216899576</c:v>
                </c:pt>
              </c:numCache>
            </c:numRef>
          </c:val>
          <c:extLst>
            <c:ext xmlns:c16="http://schemas.microsoft.com/office/drawing/2014/chart" uri="{C3380CC4-5D6E-409C-BE32-E72D297353CC}">
              <c16:uniqueId val="{00000003-82F6-4D7D-B227-BA6E97BC8E1B}"/>
            </c:ext>
          </c:extLst>
        </c:ser>
        <c:ser>
          <c:idx val="5"/>
          <c:order val="4"/>
          <c:tx>
            <c:strRef>
              <c:f>'Fan Chart'!$Z$46</c:f>
              <c:strCache>
                <c:ptCount val="1"/>
                <c:pt idx="0">
                  <c:v>75-90%</c:v>
                </c:pt>
              </c:strCache>
            </c:strRef>
          </c:tx>
          <c:spPr>
            <a:solidFill>
              <a:schemeClr val="accent4">
                <a:lumMod val="40000"/>
                <a:lumOff val="60000"/>
              </a:schemeClr>
            </a:solidFill>
            <a:ln w="12700">
              <a:noFill/>
              <a:prstDash val="solid"/>
            </a:ln>
          </c:spPr>
          <c:cat>
            <c:numRef>
              <c:f>'Fan Chart'!$AE$41:$AL$41</c:f>
              <c:numCache>
                <c:formatCode>General</c:formatCode>
                <c:ptCount val="8"/>
                <c:pt idx="0">
                  <c:v>2019</c:v>
                </c:pt>
                <c:pt idx="1">
                  <c:v>2020</c:v>
                </c:pt>
                <c:pt idx="2">
                  <c:v>2021</c:v>
                </c:pt>
                <c:pt idx="3">
                  <c:v>2022</c:v>
                </c:pt>
                <c:pt idx="4">
                  <c:v>2023</c:v>
                </c:pt>
                <c:pt idx="5">
                  <c:v>2024</c:v>
                </c:pt>
                <c:pt idx="6">
                  <c:v>2025</c:v>
                </c:pt>
                <c:pt idx="7">
                  <c:v>2026</c:v>
                </c:pt>
              </c:numCache>
            </c:numRef>
          </c:cat>
          <c:val>
            <c:numRef>
              <c:f>'Fan Chart'!$AE$46:$AL$46</c:f>
              <c:numCache>
                <c:formatCode>0.0</c:formatCode>
                <c:ptCount val="8"/>
                <c:pt idx="0">
                  <c:v>0</c:v>
                </c:pt>
                <c:pt idx="1">
                  <c:v>0</c:v>
                </c:pt>
                <c:pt idx="2">
                  <c:v>4.7327765387006888</c:v>
                </c:pt>
                <c:pt idx="3">
                  <c:v>7.0068966505490549</c:v>
                </c:pt>
                <c:pt idx="4">
                  <c:v>8.25065589053815</c:v>
                </c:pt>
                <c:pt idx="5">
                  <c:v>8.8429066233895455</c:v>
                </c:pt>
                <c:pt idx="6">
                  <c:v>9.7111253915324269</c:v>
                </c:pt>
                <c:pt idx="7">
                  <c:v>9.7918393642897232</c:v>
                </c:pt>
              </c:numCache>
            </c:numRef>
          </c:val>
          <c:extLst>
            <c:ext xmlns:c16="http://schemas.microsoft.com/office/drawing/2014/chart" uri="{C3380CC4-5D6E-409C-BE32-E72D297353CC}">
              <c16:uniqueId val="{00000004-82F6-4D7D-B227-BA6E97BC8E1B}"/>
            </c:ext>
          </c:extLst>
        </c:ser>
        <c:dLbls>
          <c:showLegendKey val="0"/>
          <c:showVal val="0"/>
          <c:showCatName val="0"/>
          <c:showSerName val="0"/>
          <c:showPercent val="0"/>
          <c:showBubbleSize val="0"/>
        </c:dLbls>
        <c:axId val="156603520"/>
        <c:axId val="156605056"/>
      </c:areaChart>
      <c:lineChart>
        <c:grouping val="standard"/>
        <c:varyColors val="0"/>
        <c:ser>
          <c:idx val="1"/>
          <c:order val="5"/>
          <c:tx>
            <c:v>Կանխատեսում</c:v>
          </c:tx>
          <c:spPr>
            <a:ln>
              <a:solidFill>
                <a:srgbClr val="000000"/>
              </a:solidFill>
            </a:ln>
          </c:spPr>
          <c:marker>
            <c:symbol val="none"/>
          </c:marker>
          <c:cat>
            <c:numRef>
              <c:f>'Fan Chart'!$R$52:$Y$52</c:f>
              <c:numCache>
                <c:formatCode>General</c:formatCode>
                <c:ptCount val="8"/>
                <c:pt idx="0">
                  <c:v>2019</c:v>
                </c:pt>
                <c:pt idx="1">
                  <c:v>2020</c:v>
                </c:pt>
                <c:pt idx="2">
                  <c:v>2021</c:v>
                </c:pt>
                <c:pt idx="3">
                  <c:v>2022</c:v>
                </c:pt>
                <c:pt idx="4">
                  <c:v>2023</c:v>
                </c:pt>
                <c:pt idx="5">
                  <c:v>2024</c:v>
                </c:pt>
                <c:pt idx="6">
                  <c:v>2025</c:v>
                </c:pt>
                <c:pt idx="7">
                  <c:v>2026</c:v>
                </c:pt>
              </c:numCache>
            </c:numRef>
          </c:cat>
          <c:val>
            <c:numRef>
              <c:f>'Fan Chart'!$R$53:$Y$53</c:f>
              <c:numCache>
                <c:formatCode>0.0</c:formatCode>
                <c:ptCount val="8"/>
                <c:pt idx="0">
                  <c:v>50.107236973610512</c:v>
                </c:pt>
                <c:pt idx="1">
                  <c:v>63.476258231461003</c:v>
                </c:pt>
                <c:pt idx="2">
                  <c:v>62.289690407211985</c:v>
                </c:pt>
                <c:pt idx="3">
                  <c:v>60.478075894545569</c:v>
                </c:pt>
                <c:pt idx="4">
                  <c:v>58.702390902856841</c:v>
                </c:pt>
                <c:pt idx="5">
                  <c:v>56.830208645307664</c:v>
                </c:pt>
                <c:pt idx="6">
                  <c:v>55.181594264149361</c:v>
                </c:pt>
                <c:pt idx="7">
                  <c:v>53.836536077822053</c:v>
                </c:pt>
              </c:numCache>
            </c:numRef>
          </c:val>
          <c:smooth val="0"/>
          <c:extLst>
            <c:ext xmlns:c16="http://schemas.microsoft.com/office/drawing/2014/chart" uri="{C3380CC4-5D6E-409C-BE32-E72D297353CC}">
              <c16:uniqueId val="{00000005-82F6-4D7D-B227-BA6E97BC8E1B}"/>
            </c:ext>
          </c:extLst>
        </c:ser>
        <c:dLbls>
          <c:showLegendKey val="0"/>
          <c:showVal val="0"/>
          <c:showCatName val="0"/>
          <c:showSerName val="0"/>
          <c:showPercent val="0"/>
          <c:showBubbleSize val="0"/>
        </c:dLbls>
        <c:marker val="1"/>
        <c:smooth val="0"/>
        <c:axId val="156603520"/>
        <c:axId val="156605056"/>
      </c:lineChart>
      <c:catAx>
        <c:axId val="156603520"/>
        <c:scaling>
          <c:orientation val="minMax"/>
        </c:scaling>
        <c:delete val="0"/>
        <c:axPos val="b"/>
        <c:numFmt formatCode="General" sourceLinked="1"/>
        <c:majorTickMark val="in"/>
        <c:minorTickMark val="none"/>
        <c:tickLblPos val="low"/>
        <c:spPr>
          <a:ln w="3175">
            <a:solidFill>
              <a:srgbClr val="7F7F7F"/>
            </a:solidFill>
            <a:prstDash val="solid"/>
          </a:ln>
        </c:spPr>
        <c:txPr>
          <a:bodyPr rot="0" vert="horz"/>
          <a:lstStyle/>
          <a:p>
            <a:pPr>
              <a:defRPr sz="1200">
                <a:latin typeface="Segoe UI" pitchFamily="34" charset="0"/>
                <a:ea typeface="Segoe UI" pitchFamily="34" charset="0"/>
                <a:cs typeface="Segoe UI" pitchFamily="34" charset="0"/>
              </a:defRPr>
            </a:pPr>
            <a:endParaRPr lang="en-US"/>
          </a:p>
        </c:txPr>
        <c:crossAx val="156605056"/>
        <c:crosses val="autoZero"/>
        <c:auto val="1"/>
        <c:lblAlgn val="ctr"/>
        <c:lblOffset val="100"/>
        <c:tickLblSkip val="1"/>
        <c:tickMarkSkip val="1"/>
        <c:noMultiLvlLbl val="0"/>
      </c:catAx>
      <c:valAx>
        <c:axId val="156605056"/>
        <c:scaling>
          <c:orientation val="minMax"/>
        </c:scaling>
        <c:delete val="0"/>
        <c:axPos val="l"/>
        <c:numFmt formatCode="0" sourceLinked="0"/>
        <c:majorTickMark val="in"/>
        <c:minorTickMark val="none"/>
        <c:tickLblPos val="nextTo"/>
        <c:spPr>
          <a:ln>
            <a:solidFill>
              <a:srgbClr val="7F7F7F"/>
            </a:solidFill>
          </a:ln>
        </c:spPr>
        <c:txPr>
          <a:bodyPr rot="0" vert="horz"/>
          <a:lstStyle/>
          <a:p>
            <a:pPr>
              <a:defRPr sz="1200">
                <a:latin typeface="Segoe UI" pitchFamily="34" charset="0"/>
                <a:ea typeface="Segoe UI" pitchFamily="34" charset="0"/>
                <a:cs typeface="Segoe UI" pitchFamily="34" charset="0"/>
              </a:defRPr>
            </a:pPr>
            <a:endParaRPr lang="en-US"/>
          </a:p>
        </c:txPr>
        <c:crossAx val="156603520"/>
        <c:crosses val="autoZero"/>
        <c:crossBetween val="midCat"/>
      </c:valAx>
      <c:spPr>
        <a:noFill/>
        <a:ln w="0">
          <a:solidFill>
            <a:srgbClr val="7F7F7F"/>
          </a:solidFill>
          <a:prstDash val="solid"/>
        </a:ln>
      </c:spPr>
    </c:plotArea>
    <c:legend>
      <c:legendPos val="b"/>
      <c:layout>
        <c:manualLayout>
          <c:xMode val="edge"/>
          <c:yMode val="edge"/>
          <c:x val="5.78811575199623E-3"/>
          <c:y val="0.89796886712598878"/>
          <c:w val="0.93562425672321314"/>
          <c:h val="7.4546339542565884E-2"/>
        </c:manualLayout>
      </c:layout>
      <c:overlay val="0"/>
      <c:txPr>
        <a:bodyPr/>
        <a:lstStyle/>
        <a:p>
          <a:pPr>
            <a:defRPr sz="1200">
              <a:latin typeface="Segoe UI" pitchFamily="34" charset="0"/>
              <a:ea typeface="Segoe UI" pitchFamily="34" charset="0"/>
              <a:cs typeface="Segoe UI" pitchFamily="34" charset="0"/>
            </a:defRPr>
          </a:pPr>
          <a:endParaRPr lang="en-US"/>
        </a:p>
      </c:txPr>
    </c:legend>
    <c:plotVisOnly val="1"/>
    <c:dispBlanksAs val="zero"/>
    <c:showDLblsOverMax val="0"/>
  </c:chart>
  <c:spPr>
    <a:solidFill>
      <a:srgbClr val="FFFFFF"/>
    </a:solidFill>
    <a:ln w="9525">
      <a:solidFill>
        <a:schemeClr val="tx1"/>
      </a:solidFill>
    </a:ln>
  </c:spPr>
  <c:txPr>
    <a:bodyPr/>
    <a:lstStyle/>
    <a:p>
      <a:pPr>
        <a:defRPr sz="1050" b="0" i="0" u="none" strike="noStrike" baseline="0">
          <a:solidFill>
            <a:srgbClr val="000000"/>
          </a:solidFill>
          <a:latin typeface="Calibri" pitchFamily="34" charset="0"/>
          <a:ea typeface="Times New Roman"/>
          <a:cs typeface="Times New Roman"/>
        </a:defRPr>
      </a:pPr>
      <a:endParaRPr lang="en-US"/>
    </a:p>
  </c:txPr>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[SOE Database Loris.xlsx]Ակտիվներ!PivotTable1</c:name>
    <c:fmtId val="-1"/>
  </c:pivotSource>
  <c:chart>
    <c:autoTitleDeleted val="1"/>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manualLayout>
          <c:layoutTarget val="inner"/>
          <c:xMode val="edge"/>
          <c:yMode val="edge"/>
          <c:x val="3.7320206323305599E-2"/>
          <c:y val="6.2499823294081103E-2"/>
          <c:w val="0.50023216847546259"/>
          <c:h val="0.77625708590734976"/>
        </c:manualLayout>
      </c:layout>
      <c:pie3DChart>
        <c:varyColors val="1"/>
        <c:ser>
          <c:idx val="0"/>
          <c:order val="0"/>
          <c:tx>
            <c:strRef>
              <c:f>Ակտիվներ!$B$3</c:f>
              <c:strCache>
                <c:ptCount val="1"/>
                <c:pt idx="0">
                  <c:v>Sum of Total Assets</c:v>
                </c:pt>
              </c:strCache>
            </c:strRef>
          </c:tx>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0E61-4820-A140-B79537936B07}"/>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0E61-4820-A140-B79537936B07}"/>
              </c:ext>
            </c:extLst>
          </c:dPt>
          <c:dPt>
            <c:idx val="2"/>
            <c:bubble3D val="0"/>
            <c:spPr>
              <a:solidFill>
                <a:schemeClr val="accent3"/>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5-0E61-4820-A140-B79537936B07}"/>
              </c:ext>
            </c:extLst>
          </c:dPt>
          <c:dPt>
            <c:idx val="3"/>
            <c:bubble3D val="0"/>
            <c:spPr>
              <a:solidFill>
                <a:schemeClr val="accent4"/>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7-0E61-4820-A140-B79537936B07}"/>
              </c:ext>
            </c:extLst>
          </c:dPt>
          <c:dPt>
            <c:idx val="4"/>
            <c:bubble3D val="0"/>
            <c:spPr>
              <a:solidFill>
                <a:schemeClr val="accent5"/>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9-0E61-4820-A140-B79537936B07}"/>
              </c:ext>
            </c:extLst>
          </c:dPt>
          <c:dPt>
            <c:idx val="5"/>
            <c:bubble3D val="0"/>
            <c:spPr>
              <a:solidFill>
                <a:schemeClr val="accent6"/>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B-0E61-4820-A140-B79537936B07}"/>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D-0E61-4820-A140-B79537936B07}"/>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F-0E61-4820-A140-B79537936B07}"/>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1-0E61-4820-A140-B79537936B07}"/>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3-0E61-4820-A140-B79537936B07}"/>
              </c:ext>
            </c:extLst>
          </c:dPt>
          <c:dPt>
            <c:idx val="10"/>
            <c:bubble3D val="0"/>
            <c:spPr>
              <a:solidFill>
                <a:schemeClr val="accent5">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5-0E61-4820-A140-B79537936B07}"/>
              </c:ext>
            </c:extLst>
          </c:dPt>
          <c:dPt>
            <c:idx val="11"/>
            <c:bubble3D val="0"/>
            <c:spPr>
              <a:solidFill>
                <a:schemeClr val="accent6">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7-0E61-4820-A140-B79537936B07}"/>
              </c:ext>
            </c:extLst>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9-0E61-4820-A140-B79537936B07}"/>
              </c:ext>
            </c:extLst>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B-0E61-4820-A140-B79537936B07}"/>
              </c:ext>
            </c:extLst>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D-0E61-4820-A140-B79537936B07}"/>
              </c:ext>
            </c:extLst>
          </c:dPt>
          <c:dPt>
            <c:idx val="15"/>
            <c:bubble3D val="0"/>
            <c:spPr>
              <a:solidFill>
                <a:schemeClr val="accent4">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F-0E61-4820-A140-B79537936B07}"/>
              </c:ext>
            </c:extLst>
          </c:dPt>
          <c:dPt>
            <c:idx val="16"/>
            <c:bubble3D val="0"/>
            <c:spPr>
              <a:solidFill>
                <a:schemeClr val="accent5">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1-0E61-4820-A140-B79537936B07}"/>
              </c:ext>
            </c:extLst>
          </c:dPt>
          <c:dPt>
            <c:idx val="17"/>
            <c:bubble3D val="0"/>
            <c:spPr>
              <a:solidFill>
                <a:schemeClr val="accent6">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3-0E61-4820-A140-B79537936B07}"/>
              </c:ext>
            </c:extLst>
          </c:dPt>
          <c:dPt>
            <c:idx val="18"/>
            <c:bubble3D val="0"/>
            <c:spPr>
              <a:solidFill>
                <a:schemeClr val="accent1">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5-0E61-4820-A140-B79537936B07}"/>
              </c:ext>
            </c:extLst>
          </c:dPt>
          <c:dPt>
            <c:idx val="19"/>
            <c:bubble3D val="0"/>
            <c:spPr>
              <a:solidFill>
                <a:schemeClr val="accent2">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7-0E61-4820-A140-B79537936B07}"/>
              </c:ext>
            </c:extLst>
          </c:dPt>
          <c:dPt>
            <c:idx val="20"/>
            <c:bubble3D val="0"/>
            <c:spPr>
              <a:solidFill>
                <a:schemeClr val="accent3">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9-0E61-4820-A140-B79537936B07}"/>
              </c:ext>
            </c:extLst>
          </c:dPt>
          <c:dPt>
            <c:idx val="21"/>
            <c:bubble3D val="0"/>
            <c:spPr>
              <a:solidFill>
                <a:schemeClr val="accent4">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B-0E61-4820-A140-B79537936B07}"/>
              </c:ext>
            </c:extLst>
          </c:dPt>
          <c:dPt>
            <c:idx val="22"/>
            <c:bubble3D val="0"/>
            <c:spPr>
              <a:solidFill>
                <a:schemeClr val="accent5">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D-0E61-4820-A140-B79537936B07}"/>
              </c:ext>
            </c:extLst>
          </c:dPt>
          <c:dPt>
            <c:idx val="23"/>
            <c:bubble3D val="0"/>
            <c:spPr>
              <a:solidFill>
                <a:schemeClr val="accent6">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F-0E61-4820-A140-B79537936B07}"/>
              </c:ext>
            </c:extLst>
          </c:dPt>
          <c:dPt>
            <c:idx val="24"/>
            <c:bubble3D val="0"/>
            <c:spPr>
              <a:solidFill>
                <a:schemeClr val="accent1">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1-0E61-4820-A140-B79537936B07}"/>
              </c:ext>
            </c:extLst>
          </c:dPt>
          <c:dPt>
            <c:idx val="25"/>
            <c:bubble3D val="0"/>
            <c:spPr>
              <a:solidFill>
                <a:schemeClr val="accent2">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3-0E61-4820-A140-B79537936B07}"/>
              </c:ext>
            </c:extLst>
          </c:dPt>
          <c:dPt>
            <c:idx val="26"/>
            <c:bubble3D val="0"/>
            <c:spPr>
              <a:solidFill>
                <a:schemeClr val="accent3">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5-0E61-4820-A140-B79537936B07}"/>
              </c:ext>
            </c:extLst>
          </c:dPt>
          <c:dPt>
            <c:idx val="27"/>
            <c:bubble3D val="0"/>
            <c:spPr>
              <a:solidFill>
                <a:schemeClr val="accent4">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7-0E61-4820-A140-B79537936B07}"/>
              </c:ext>
            </c:extLst>
          </c:dPt>
          <c:dPt>
            <c:idx val="28"/>
            <c:bubble3D val="0"/>
            <c:spPr>
              <a:solidFill>
                <a:schemeClr val="accent5">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9-0E61-4820-A140-B79537936B07}"/>
              </c:ext>
            </c:extLst>
          </c:dPt>
          <c:dPt>
            <c:idx val="29"/>
            <c:bubble3D val="0"/>
            <c:spPr>
              <a:solidFill>
                <a:schemeClr val="accent6">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B-0E61-4820-A140-B79537936B07}"/>
              </c:ext>
            </c:extLst>
          </c:dPt>
          <c:dPt>
            <c:idx val="30"/>
            <c:bubble3D val="0"/>
            <c:spPr>
              <a:solidFill>
                <a:schemeClr val="accent1">
                  <a:lumMod val="5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D-0E61-4820-A140-B79537936B07}"/>
              </c:ext>
            </c:extLst>
          </c:dPt>
          <c:dLbls>
            <c:dLbl>
              <c:idx val="6"/>
              <c:delete val="1"/>
              <c:extLst>
                <c:ext xmlns:c15="http://schemas.microsoft.com/office/drawing/2012/chart" uri="{CE6537A1-D6FC-4f65-9D91-7224C49458BB}"/>
                <c:ext xmlns:c16="http://schemas.microsoft.com/office/drawing/2014/chart" uri="{C3380CC4-5D6E-409C-BE32-E72D297353CC}">
                  <c16:uniqueId val="{0000000D-0E61-4820-A140-B79537936B07}"/>
                </c:ext>
              </c:extLst>
            </c:dLbl>
            <c:dLbl>
              <c:idx val="8"/>
              <c:delete val="1"/>
              <c:extLst>
                <c:ext xmlns:c15="http://schemas.microsoft.com/office/drawing/2012/chart" uri="{CE6537A1-D6FC-4f65-9D91-7224C49458BB}"/>
                <c:ext xmlns:c16="http://schemas.microsoft.com/office/drawing/2014/chart" uri="{C3380CC4-5D6E-409C-BE32-E72D297353CC}">
                  <c16:uniqueId val="{00000011-0E61-4820-A140-B79537936B07}"/>
                </c:ext>
              </c:extLst>
            </c:dLbl>
            <c:dLbl>
              <c:idx val="9"/>
              <c:delete val="1"/>
              <c:extLst>
                <c:ext xmlns:c15="http://schemas.microsoft.com/office/drawing/2012/chart" uri="{CE6537A1-D6FC-4f65-9D91-7224C49458BB}"/>
                <c:ext xmlns:c16="http://schemas.microsoft.com/office/drawing/2014/chart" uri="{C3380CC4-5D6E-409C-BE32-E72D297353CC}">
                  <c16:uniqueId val="{00000013-0E61-4820-A140-B79537936B07}"/>
                </c:ext>
              </c:extLst>
            </c:dLbl>
            <c:dLbl>
              <c:idx val="10"/>
              <c:delete val="1"/>
              <c:extLst>
                <c:ext xmlns:c15="http://schemas.microsoft.com/office/drawing/2012/chart" uri="{CE6537A1-D6FC-4f65-9D91-7224C49458BB}"/>
                <c:ext xmlns:c16="http://schemas.microsoft.com/office/drawing/2014/chart" uri="{C3380CC4-5D6E-409C-BE32-E72D297353CC}">
                  <c16:uniqueId val="{00000015-0E61-4820-A140-B79537936B07}"/>
                </c:ext>
              </c:extLst>
            </c:dLbl>
            <c:dLbl>
              <c:idx val="11"/>
              <c:delete val="1"/>
              <c:extLst>
                <c:ext xmlns:c15="http://schemas.microsoft.com/office/drawing/2012/chart" uri="{CE6537A1-D6FC-4f65-9D91-7224C49458BB}"/>
                <c:ext xmlns:c16="http://schemas.microsoft.com/office/drawing/2014/chart" uri="{C3380CC4-5D6E-409C-BE32-E72D297353CC}">
                  <c16:uniqueId val="{00000017-0E61-4820-A140-B79537936B07}"/>
                </c:ext>
              </c:extLst>
            </c:dLbl>
            <c:dLbl>
              <c:idx val="12"/>
              <c:delete val="1"/>
              <c:extLst>
                <c:ext xmlns:c15="http://schemas.microsoft.com/office/drawing/2012/chart" uri="{CE6537A1-D6FC-4f65-9D91-7224C49458BB}"/>
                <c:ext xmlns:c16="http://schemas.microsoft.com/office/drawing/2014/chart" uri="{C3380CC4-5D6E-409C-BE32-E72D297353CC}">
                  <c16:uniqueId val="{00000019-0E61-4820-A140-B79537936B07}"/>
                </c:ext>
              </c:extLst>
            </c:dLbl>
            <c:dLbl>
              <c:idx val="13"/>
              <c:delete val="1"/>
              <c:extLst>
                <c:ext xmlns:c15="http://schemas.microsoft.com/office/drawing/2012/chart" uri="{CE6537A1-D6FC-4f65-9D91-7224C49458BB}"/>
                <c:ext xmlns:c16="http://schemas.microsoft.com/office/drawing/2014/chart" uri="{C3380CC4-5D6E-409C-BE32-E72D297353CC}">
                  <c16:uniqueId val="{0000001B-0E61-4820-A140-B79537936B07}"/>
                </c:ext>
              </c:extLst>
            </c:dLbl>
            <c:dLbl>
              <c:idx val="14"/>
              <c:delete val="1"/>
              <c:extLst>
                <c:ext xmlns:c15="http://schemas.microsoft.com/office/drawing/2012/chart" uri="{CE6537A1-D6FC-4f65-9D91-7224C49458BB}"/>
                <c:ext xmlns:c16="http://schemas.microsoft.com/office/drawing/2014/chart" uri="{C3380CC4-5D6E-409C-BE32-E72D297353CC}">
                  <c16:uniqueId val="{0000001D-0E61-4820-A140-B79537936B07}"/>
                </c:ext>
              </c:extLst>
            </c:dLbl>
            <c:dLbl>
              <c:idx val="15"/>
              <c:delete val="1"/>
              <c:extLst>
                <c:ext xmlns:c15="http://schemas.microsoft.com/office/drawing/2012/chart" uri="{CE6537A1-D6FC-4f65-9D91-7224C49458BB}"/>
                <c:ext xmlns:c16="http://schemas.microsoft.com/office/drawing/2014/chart" uri="{C3380CC4-5D6E-409C-BE32-E72D297353CC}">
                  <c16:uniqueId val="{0000001F-0E61-4820-A140-B79537936B07}"/>
                </c:ext>
              </c:extLst>
            </c:dLbl>
            <c:dLbl>
              <c:idx val="16"/>
              <c:delete val="1"/>
              <c:extLst>
                <c:ext xmlns:c15="http://schemas.microsoft.com/office/drawing/2012/chart" uri="{CE6537A1-D6FC-4f65-9D91-7224C49458BB}"/>
                <c:ext xmlns:c16="http://schemas.microsoft.com/office/drawing/2014/chart" uri="{C3380CC4-5D6E-409C-BE32-E72D297353CC}">
                  <c16:uniqueId val="{00000021-0E61-4820-A140-B79537936B07}"/>
                </c:ext>
              </c:extLst>
            </c:dLbl>
            <c:dLbl>
              <c:idx val="17"/>
              <c:delete val="1"/>
              <c:extLst>
                <c:ext xmlns:c15="http://schemas.microsoft.com/office/drawing/2012/chart" uri="{CE6537A1-D6FC-4f65-9D91-7224C49458BB}"/>
                <c:ext xmlns:c16="http://schemas.microsoft.com/office/drawing/2014/chart" uri="{C3380CC4-5D6E-409C-BE32-E72D297353CC}">
                  <c16:uniqueId val="{00000023-0E61-4820-A140-B79537936B07}"/>
                </c:ext>
              </c:extLst>
            </c:dLbl>
            <c:dLbl>
              <c:idx val="18"/>
              <c:delete val="1"/>
              <c:extLst>
                <c:ext xmlns:c15="http://schemas.microsoft.com/office/drawing/2012/chart" uri="{CE6537A1-D6FC-4f65-9D91-7224C49458BB}"/>
                <c:ext xmlns:c16="http://schemas.microsoft.com/office/drawing/2014/chart" uri="{C3380CC4-5D6E-409C-BE32-E72D297353CC}">
                  <c16:uniqueId val="{00000025-0E61-4820-A140-B79537936B07}"/>
                </c:ext>
              </c:extLst>
            </c:dLbl>
            <c:dLbl>
              <c:idx val="19"/>
              <c:delete val="1"/>
              <c:extLst>
                <c:ext xmlns:c15="http://schemas.microsoft.com/office/drawing/2012/chart" uri="{CE6537A1-D6FC-4f65-9D91-7224C49458BB}"/>
                <c:ext xmlns:c16="http://schemas.microsoft.com/office/drawing/2014/chart" uri="{C3380CC4-5D6E-409C-BE32-E72D297353CC}">
                  <c16:uniqueId val="{00000027-0E61-4820-A140-B79537936B07}"/>
                </c:ext>
              </c:extLst>
            </c:dLbl>
            <c:dLbl>
              <c:idx val="20"/>
              <c:delete val="1"/>
              <c:extLst>
                <c:ext xmlns:c15="http://schemas.microsoft.com/office/drawing/2012/chart" uri="{CE6537A1-D6FC-4f65-9D91-7224C49458BB}"/>
                <c:ext xmlns:c16="http://schemas.microsoft.com/office/drawing/2014/chart" uri="{C3380CC4-5D6E-409C-BE32-E72D297353CC}">
                  <c16:uniqueId val="{00000029-0E61-4820-A140-B79537936B07}"/>
                </c:ext>
              </c:extLst>
            </c:dLbl>
            <c:dLbl>
              <c:idx val="21"/>
              <c:delete val="1"/>
              <c:extLst>
                <c:ext xmlns:c15="http://schemas.microsoft.com/office/drawing/2012/chart" uri="{CE6537A1-D6FC-4f65-9D91-7224C49458BB}"/>
                <c:ext xmlns:c16="http://schemas.microsoft.com/office/drawing/2014/chart" uri="{C3380CC4-5D6E-409C-BE32-E72D297353CC}">
                  <c16:uniqueId val="{0000002B-0E61-4820-A140-B79537936B07}"/>
                </c:ext>
              </c:extLst>
            </c:dLbl>
            <c:dLbl>
              <c:idx val="22"/>
              <c:delete val="1"/>
              <c:extLst>
                <c:ext xmlns:c15="http://schemas.microsoft.com/office/drawing/2012/chart" uri="{CE6537A1-D6FC-4f65-9D91-7224C49458BB}"/>
                <c:ext xmlns:c16="http://schemas.microsoft.com/office/drawing/2014/chart" uri="{C3380CC4-5D6E-409C-BE32-E72D297353CC}">
                  <c16:uniqueId val="{0000002D-0E61-4820-A140-B79537936B07}"/>
                </c:ext>
              </c:extLst>
            </c:dLbl>
            <c:dLbl>
              <c:idx val="23"/>
              <c:delete val="1"/>
              <c:extLst>
                <c:ext xmlns:c15="http://schemas.microsoft.com/office/drawing/2012/chart" uri="{CE6537A1-D6FC-4f65-9D91-7224C49458BB}"/>
                <c:ext xmlns:c16="http://schemas.microsoft.com/office/drawing/2014/chart" uri="{C3380CC4-5D6E-409C-BE32-E72D297353CC}">
                  <c16:uniqueId val="{0000002F-0E61-4820-A140-B79537936B07}"/>
                </c:ext>
              </c:extLst>
            </c:dLbl>
            <c:dLbl>
              <c:idx val="24"/>
              <c:delete val="1"/>
              <c:extLst>
                <c:ext xmlns:c15="http://schemas.microsoft.com/office/drawing/2012/chart" uri="{CE6537A1-D6FC-4f65-9D91-7224C49458BB}"/>
                <c:ext xmlns:c16="http://schemas.microsoft.com/office/drawing/2014/chart" uri="{C3380CC4-5D6E-409C-BE32-E72D297353CC}">
                  <c16:uniqueId val="{00000031-0E61-4820-A140-B79537936B07}"/>
                </c:ext>
              </c:extLst>
            </c:dLbl>
            <c:dLbl>
              <c:idx val="25"/>
              <c:delete val="1"/>
              <c:extLst>
                <c:ext xmlns:c15="http://schemas.microsoft.com/office/drawing/2012/chart" uri="{CE6537A1-D6FC-4f65-9D91-7224C49458BB}"/>
                <c:ext xmlns:c16="http://schemas.microsoft.com/office/drawing/2014/chart" uri="{C3380CC4-5D6E-409C-BE32-E72D297353CC}">
                  <c16:uniqueId val="{00000033-0E61-4820-A140-B79537936B07}"/>
                </c:ext>
              </c:extLst>
            </c:dLbl>
            <c:dLbl>
              <c:idx val="26"/>
              <c:delete val="1"/>
              <c:extLst>
                <c:ext xmlns:c15="http://schemas.microsoft.com/office/drawing/2012/chart" uri="{CE6537A1-D6FC-4f65-9D91-7224C49458BB}"/>
                <c:ext xmlns:c16="http://schemas.microsoft.com/office/drawing/2014/chart" uri="{C3380CC4-5D6E-409C-BE32-E72D297353CC}">
                  <c16:uniqueId val="{00000035-0E61-4820-A140-B79537936B07}"/>
                </c:ext>
              </c:extLst>
            </c:dLbl>
            <c:dLbl>
              <c:idx val="27"/>
              <c:delete val="1"/>
              <c:extLst>
                <c:ext xmlns:c15="http://schemas.microsoft.com/office/drawing/2012/chart" uri="{CE6537A1-D6FC-4f65-9D91-7224C49458BB}"/>
                <c:ext xmlns:c16="http://schemas.microsoft.com/office/drawing/2014/chart" uri="{C3380CC4-5D6E-409C-BE32-E72D297353CC}">
                  <c16:uniqueId val="{00000037-0E61-4820-A140-B79537936B07}"/>
                </c:ext>
              </c:extLst>
            </c:dLbl>
            <c:dLbl>
              <c:idx val="28"/>
              <c:delete val="1"/>
              <c:extLst>
                <c:ext xmlns:c15="http://schemas.microsoft.com/office/drawing/2012/chart" uri="{CE6537A1-D6FC-4f65-9D91-7224C49458BB}"/>
                <c:ext xmlns:c16="http://schemas.microsoft.com/office/drawing/2014/chart" uri="{C3380CC4-5D6E-409C-BE32-E72D297353CC}">
                  <c16:uniqueId val="{00000039-0E61-4820-A140-B79537936B07}"/>
                </c:ext>
              </c:extLst>
            </c:dLbl>
            <c:dLbl>
              <c:idx val="29"/>
              <c:delete val="1"/>
              <c:extLst>
                <c:ext xmlns:c15="http://schemas.microsoft.com/office/drawing/2012/chart" uri="{CE6537A1-D6FC-4f65-9D91-7224C49458BB}"/>
                <c:ext xmlns:c16="http://schemas.microsoft.com/office/drawing/2014/chart" uri="{C3380CC4-5D6E-409C-BE32-E72D297353CC}">
                  <c16:uniqueId val="{0000003B-0E61-4820-A140-B79537936B07}"/>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bestFit"/>
            <c:showLegendKey val="0"/>
            <c:showVal val="0"/>
            <c:showCatName val="0"/>
            <c:showSerName val="0"/>
            <c:showPercent val="1"/>
            <c:showBubbleSize val="0"/>
            <c:showLeaderLines val="0"/>
            <c:extLst>
              <c:ext xmlns:c15="http://schemas.microsoft.com/office/drawing/2012/chart" uri="{CE6537A1-D6FC-4f65-9D91-7224C49458BB}"/>
            </c:extLst>
          </c:dLbls>
          <c:cat>
            <c:strRef>
              <c:f>Ակտիվներ!$A$4:$A$35</c:f>
              <c:strCache>
                <c:ptCount val="31"/>
                <c:pt idx="0">
                  <c:v>էներգետիկա</c:v>
                </c:pt>
                <c:pt idx="1">
                  <c:v>ջրային տնտեսություն</c:v>
                </c:pt>
                <c:pt idx="2">
                  <c:v>Առողջապահություն</c:v>
                </c:pt>
                <c:pt idx="3">
                  <c:v>Այլ</c:v>
                </c:pt>
                <c:pt idx="4">
                  <c:v>Կրթություն</c:v>
                </c:pt>
                <c:pt idx="5">
                  <c:v>փոստային կապի ազգային օպերատոր</c:v>
                </c:pt>
                <c:pt idx="6">
                  <c:v>հեռուստառադիո-հեռարձակում, կապ</c:v>
                </c:pt>
                <c:pt idx="7">
                  <c:v>ուղևորափոխադրում</c:v>
                </c:pt>
                <c:pt idx="8">
                  <c:v>Շինարարություն</c:v>
                </c:pt>
                <c:pt idx="9">
                  <c:v>Արդյունաբերություն</c:v>
                </c:pt>
                <c:pt idx="10">
                  <c:v>Ապահովագրություն</c:v>
                </c:pt>
                <c:pt idx="11">
                  <c:v>գիտություն</c:v>
                </c:pt>
                <c:pt idx="12">
                  <c:v>Մշակույթ</c:v>
                </c:pt>
                <c:pt idx="13">
                  <c:v>կոմունալ</c:v>
                </c:pt>
                <c:pt idx="14">
                  <c:v>Լաբորատոր ծառայություններ</c:v>
                </c:pt>
                <c:pt idx="15">
                  <c:v>ավտոկայանատեղի կազմակերպում</c:v>
                </c:pt>
                <c:pt idx="16">
                  <c:v>առևտրային</c:v>
                </c:pt>
                <c:pt idx="17">
                  <c:v>Թվայնացման ծառայությունների մատուցում</c:v>
                </c:pt>
                <c:pt idx="18">
                  <c:v>Երևան քաղաքի վերգետնյա տրանսպորտի դիսպետչերական ծառայություն</c:v>
                </c:pt>
                <c:pt idx="19">
                  <c:v>Գյուղատնտեսություն</c:v>
                </c:pt>
                <c:pt idx="20">
                  <c:v>Սեփական կամ վարձակալված անշարժ գույքի հանձնում վարձակալության </c:v>
                </c:pt>
                <c:pt idx="21">
                  <c:v>Սպորտային և մարզական միջոցառումների կազմակերպում  </c:v>
                </c:pt>
                <c:pt idx="22">
                  <c:v>բարեկարգում</c:v>
                </c:pt>
                <c:pt idx="23">
                  <c:v>տեղեկատվական տեխնոլոգիաներ</c:v>
                </c:pt>
                <c:pt idx="24">
                  <c:v>Հրատարակչական, տեղեկատվական ծառայություններ</c:v>
                </c:pt>
                <c:pt idx="25">
                  <c:v>Քաղաքաշինական 
բնագավառ</c:v>
                </c:pt>
                <c:pt idx="26">
                  <c:v>լրատվական գործակալություն</c:v>
                </c:pt>
                <c:pt idx="27">
                  <c:v>սուրհանդակային   և փոստային կապի ծառայություն</c:v>
                </c:pt>
                <c:pt idx="28">
                  <c:v>վերելակների սպասարկում</c:v>
                </c:pt>
                <c:pt idx="29">
                  <c:v>կոշտ թափոնների կառավարում</c:v>
                </c:pt>
                <c:pt idx="30">
                  <c:v>Շաբաթաթերթ</c:v>
                </c:pt>
              </c:strCache>
            </c:strRef>
          </c:cat>
          <c:val>
            <c:numRef>
              <c:f>Ակտիվներ!$B$4:$B$35</c:f>
              <c:numCache>
                <c:formatCode>_(* #\,##0_);_(* \(#\,##0\);_(* "-"??_);_(@_)</c:formatCode>
                <c:ptCount val="31"/>
                <c:pt idx="0">
                  <c:v>462111372.30000001</c:v>
                </c:pt>
                <c:pt idx="1">
                  <c:v>105013303.3</c:v>
                </c:pt>
                <c:pt idx="2">
                  <c:v>93648625.988000005</c:v>
                </c:pt>
                <c:pt idx="3">
                  <c:v>42144101.600000001</c:v>
                </c:pt>
                <c:pt idx="4">
                  <c:v>27304373.300000001</c:v>
                </c:pt>
                <c:pt idx="5">
                  <c:v>24342244</c:v>
                </c:pt>
                <c:pt idx="6">
                  <c:v>22148745</c:v>
                </c:pt>
                <c:pt idx="7">
                  <c:v>21732917</c:v>
                </c:pt>
                <c:pt idx="8">
                  <c:v>11256280</c:v>
                </c:pt>
                <c:pt idx="9">
                  <c:v>8896622.4340000004</c:v>
                </c:pt>
                <c:pt idx="10">
                  <c:v>3490012</c:v>
                </c:pt>
                <c:pt idx="11">
                  <c:v>2456779</c:v>
                </c:pt>
                <c:pt idx="12">
                  <c:v>1612031.9</c:v>
                </c:pt>
                <c:pt idx="13">
                  <c:v>1090814</c:v>
                </c:pt>
                <c:pt idx="14">
                  <c:v>1065403</c:v>
                </c:pt>
                <c:pt idx="15">
                  <c:v>1020277.7</c:v>
                </c:pt>
                <c:pt idx="16">
                  <c:v>955152</c:v>
                </c:pt>
                <c:pt idx="17">
                  <c:v>707934</c:v>
                </c:pt>
                <c:pt idx="18">
                  <c:v>596399</c:v>
                </c:pt>
                <c:pt idx="19">
                  <c:v>558914</c:v>
                </c:pt>
                <c:pt idx="20">
                  <c:v>455027.4</c:v>
                </c:pt>
                <c:pt idx="21">
                  <c:v>305714.2</c:v>
                </c:pt>
                <c:pt idx="22">
                  <c:v>246278.9</c:v>
                </c:pt>
                <c:pt idx="23">
                  <c:v>96450</c:v>
                </c:pt>
                <c:pt idx="24">
                  <c:v>82465.466999999975</c:v>
                </c:pt>
                <c:pt idx="25">
                  <c:v>54027</c:v>
                </c:pt>
                <c:pt idx="26">
                  <c:v>44887.4</c:v>
                </c:pt>
                <c:pt idx="27">
                  <c:v>44194</c:v>
                </c:pt>
                <c:pt idx="28">
                  <c:v>4623</c:v>
                </c:pt>
                <c:pt idx="29">
                  <c:v>378</c:v>
                </c:pt>
              </c:numCache>
            </c:numRef>
          </c:val>
          <c:extLst>
            <c:ext xmlns:c16="http://schemas.microsoft.com/office/drawing/2014/chart" uri="{C3380CC4-5D6E-409C-BE32-E72D297353CC}">
              <c16:uniqueId val="{0000003E-0E61-4820-A140-B79537936B07}"/>
            </c:ext>
          </c:extLst>
        </c:ser>
        <c:ser>
          <c:idx val="1"/>
          <c:order val="1"/>
          <c:tx>
            <c:strRef>
              <c:f>Ակտիվներ!$C$3</c:f>
              <c:strCache>
                <c:ptCount val="1"/>
                <c:pt idx="0">
                  <c:v>Sum of Total Equity</c:v>
                </c:pt>
              </c:strCache>
            </c:strRef>
          </c:tx>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40-0E61-4820-A140-B79537936B07}"/>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42-0E61-4820-A140-B79537936B07}"/>
              </c:ext>
            </c:extLst>
          </c:dPt>
          <c:dPt>
            <c:idx val="2"/>
            <c:bubble3D val="0"/>
            <c:spPr>
              <a:solidFill>
                <a:schemeClr val="accent3"/>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44-0E61-4820-A140-B79537936B07}"/>
              </c:ext>
            </c:extLst>
          </c:dPt>
          <c:dPt>
            <c:idx val="3"/>
            <c:bubble3D val="0"/>
            <c:spPr>
              <a:solidFill>
                <a:schemeClr val="accent4"/>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46-0E61-4820-A140-B79537936B07}"/>
              </c:ext>
            </c:extLst>
          </c:dPt>
          <c:dPt>
            <c:idx val="4"/>
            <c:bubble3D val="0"/>
            <c:spPr>
              <a:solidFill>
                <a:schemeClr val="accent5"/>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48-0E61-4820-A140-B79537936B07}"/>
              </c:ext>
            </c:extLst>
          </c:dPt>
          <c:dPt>
            <c:idx val="5"/>
            <c:bubble3D val="0"/>
            <c:spPr>
              <a:solidFill>
                <a:schemeClr val="accent6"/>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4A-0E61-4820-A140-B79537936B07}"/>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4C-0E61-4820-A140-B79537936B07}"/>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4E-0E61-4820-A140-B79537936B07}"/>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50-0E61-4820-A140-B79537936B07}"/>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52-0E61-4820-A140-B79537936B07}"/>
              </c:ext>
            </c:extLst>
          </c:dPt>
          <c:dPt>
            <c:idx val="10"/>
            <c:bubble3D val="0"/>
            <c:spPr>
              <a:solidFill>
                <a:schemeClr val="accent5">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54-0E61-4820-A140-B79537936B07}"/>
              </c:ext>
            </c:extLst>
          </c:dPt>
          <c:dPt>
            <c:idx val="11"/>
            <c:bubble3D val="0"/>
            <c:spPr>
              <a:solidFill>
                <a:schemeClr val="accent6">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56-0E61-4820-A140-B79537936B07}"/>
              </c:ext>
            </c:extLst>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58-0E61-4820-A140-B79537936B07}"/>
              </c:ext>
            </c:extLst>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5A-0E61-4820-A140-B79537936B07}"/>
              </c:ext>
            </c:extLst>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5C-0E61-4820-A140-B79537936B07}"/>
              </c:ext>
            </c:extLst>
          </c:dPt>
          <c:dPt>
            <c:idx val="15"/>
            <c:bubble3D val="0"/>
            <c:spPr>
              <a:solidFill>
                <a:schemeClr val="accent4">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5E-0E61-4820-A140-B79537936B07}"/>
              </c:ext>
            </c:extLst>
          </c:dPt>
          <c:dPt>
            <c:idx val="16"/>
            <c:bubble3D val="0"/>
            <c:spPr>
              <a:solidFill>
                <a:schemeClr val="accent5">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60-0E61-4820-A140-B79537936B07}"/>
              </c:ext>
            </c:extLst>
          </c:dPt>
          <c:dPt>
            <c:idx val="17"/>
            <c:bubble3D val="0"/>
            <c:spPr>
              <a:solidFill>
                <a:schemeClr val="accent6">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62-0E61-4820-A140-B79537936B07}"/>
              </c:ext>
            </c:extLst>
          </c:dPt>
          <c:dPt>
            <c:idx val="18"/>
            <c:bubble3D val="0"/>
            <c:spPr>
              <a:solidFill>
                <a:schemeClr val="accent1">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64-0E61-4820-A140-B79537936B07}"/>
              </c:ext>
            </c:extLst>
          </c:dPt>
          <c:dPt>
            <c:idx val="19"/>
            <c:bubble3D val="0"/>
            <c:spPr>
              <a:solidFill>
                <a:schemeClr val="accent2">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66-0E61-4820-A140-B79537936B07}"/>
              </c:ext>
            </c:extLst>
          </c:dPt>
          <c:dPt>
            <c:idx val="20"/>
            <c:bubble3D val="0"/>
            <c:spPr>
              <a:solidFill>
                <a:schemeClr val="accent3">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68-0E61-4820-A140-B79537936B07}"/>
              </c:ext>
            </c:extLst>
          </c:dPt>
          <c:dPt>
            <c:idx val="21"/>
            <c:bubble3D val="0"/>
            <c:spPr>
              <a:solidFill>
                <a:schemeClr val="accent4">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6A-0E61-4820-A140-B79537936B07}"/>
              </c:ext>
            </c:extLst>
          </c:dPt>
          <c:dPt>
            <c:idx val="22"/>
            <c:bubble3D val="0"/>
            <c:spPr>
              <a:solidFill>
                <a:schemeClr val="accent5">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6C-0E61-4820-A140-B79537936B07}"/>
              </c:ext>
            </c:extLst>
          </c:dPt>
          <c:dPt>
            <c:idx val="23"/>
            <c:bubble3D val="0"/>
            <c:spPr>
              <a:solidFill>
                <a:schemeClr val="accent6">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6E-0E61-4820-A140-B79537936B07}"/>
              </c:ext>
            </c:extLst>
          </c:dPt>
          <c:dPt>
            <c:idx val="24"/>
            <c:bubble3D val="0"/>
            <c:spPr>
              <a:solidFill>
                <a:schemeClr val="accent1">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70-0E61-4820-A140-B79537936B07}"/>
              </c:ext>
            </c:extLst>
          </c:dPt>
          <c:dPt>
            <c:idx val="25"/>
            <c:bubble3D val="0"/>
            <c:spPr>
              <a:solidFill>
                <a:schemeClr val="accent2">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72-0E61-4820-A140-B79537936B07}"/>
              </c:ext>
            </c:extLst>
          </c:dPt>
          <c:dPt>
            <c:idx val="26"/>
            <c:bubble3D val="0"/>
            <c:spPr>
              <a:solidFill>
                <a:schemeClr val="accent3">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74-0E61-4820-A140-B79537936B07}"/>
              </c:ext>
            </c:extLst>
          </c:dPt>
          <c:dPt>
            <c:idx val="27"/>
            <c:bubble3D val="0"/>
            <c:spPr>
              <a:solidFill>
                <a:schemeClr val="accent4">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76-0E61-4820-A140-B79537936B07}"/>
              </c:ext>
            </c:extLst>
          </c:dPt>
          <c:dPt>
            <c:idx val="28"/>
            <c:bubble3D val="0"/>
            <c:spPr>
              <a:solidFill>
                <a:schemeClr val="accent5">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78-0E61-4820-A140-B79537936B07}"/>
              </c:ext>
            </c:extLst>
          </c:dPt>
          <c:dPt>
            <c:idx val="29"/>
            <c:bubble3D val="0"/>
            <c:spPr>
              <a:solidFill>
                <a:schemeClr val="accent6">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7A-0E61-4820-A140-B79537936B07}"/>
              </c:ext>
            </c:extLst>
          </c:dPt>
          <c:dPt>
            <c:idx val="30"/>
            <c:bubble3D val="0"/>
            <c:spPr>
              <a:solidFill>
                <a:schemeClr val="accent1">
                  <a:lumMod val="5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7C-0E61-4820-A140-B79537936B07}"/>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bestFit"/>
            <c:showLegendKey val="0"/>
            <c:showVal val="0"/>
            <c:showCatName val="0"/>
            <c:showSerName val="0"/>
            <c:showPercent val="1"/>
            <c:showBubbleSize val="0"/>
            <c:showLeaderLines val="0"/>
            <c:extLst>
              <c:ext xmlns:c15="http://schemas.microsoft.com/office/drawing/2012/chart" uri="{CE6537A1-D6FC-4f65-9D91-7224C49458BB}"/>
            </c:extLst>
          </c:dLbls>
          <c:cat>
            <c:strRef>
              <c:f>Ակտիվներ!$A$4:$A$35</c:f>
              <c:strCache>
                <c:ptCount val="31"/>
                <c:pt idx="0">
                  <c:v>էներգետիկա</c:v>
                </c:pt>
                <c:pt idx="1">
                  <c:v>ջրային տնտեսություն</c:v>
                </c:pt>
                <c:pt idx="2">
                  <c:v>Առողջապահություն</c:v>
                </c:pt>
                <c:pt idx="3">
                  <c:v>Այլ</c:v>
                </c:pt>
                <c:pt idx="4">
                  <c:v>Կրթություն</c:v>
                </c:pt>
                <c:pt idx="5">
                  <c:v>փոստային կապի ազգային օպերատոր</c:v>
                </c:pt>
                <c:pt idx="6">
                  <c:v>հեռուստառադիո-հեռարձակում, կապ</c:v>
                </c:pt>
                <c:pt idx="7">
                  <c:v>ուղևորափոխադրում</c:v>
                </c:pt>
                <c:pt idx="8">
                  <c:v>Շինարարություն</c:v>
                </c:pt>
                <c:pt idx="9">
                  <c:v>Արդյունաբերություն</c:v>
                </c:pt>
                <c:pt idx="10">
                  <c:v>Ապահովագրություն</c:v>
                </c:pt>
                <c:pt idx="11">
                  <c:v>գիտություն</c:v>
                </c:pt>
                <c:pt idx="12">
                  <c:v>Մշակույթ</c:v>
                </c:pt>
                <c:pt idx="13">
                  <c:v>կոմունալ</c:v>
                </c:pt>
                <c:pt idx="14">
                  <c:v>Լաբորատոր ծառայություններ</c:v>
                </c:pt>
                <c:pt idx="15">
                  <c:v>ավտոկայանատեղի կազմակերպում</c:v>
                </c:pt>
                <c:pt idx="16">
                  <c:v>առևտրային</c:v>
                </c:pt>
                <c:pt idx="17">
                  <c:v>Թվայնացման ծառայությունների մատուցում</c:v>
                </c:pt>
                <c:pt idx="18">
                  <c:v>Երևան քաղաքի վերգետնյա տրանսպորտի դիսպետչերական ծառայություն</c:v>
                </c:pt>
                <c:pt idx="19">
                  <c:v>Գյուղատնտեսություն</c:v>
                </c:pt>
                <c:pt idx="20">
                  <c:v>Սեփական կամ վարձակալված անշարժ գույքի հանձնում վարձակալության </c:v>
                </c:pt>
                <c:pt idx="21">
                  <c:v>Սպորտային և մարզական միջոցառումների կազմակերպում  </c:v>
                </c:pt>
                <c:pt idx="22">
                  <c:v>բարեկարգում</c:v>
                </c:pt>
                <c:pt idx="23">
                  <c:v>տեղեկատվական տեխնոլոգիաներ</c:v>
                </c:pt>
                <c:pt idx="24">
                  <c:v>Հրատարակչական, տեղեկատվական ծառայություններ</c:v>
                </c:pt>
                <c:pt idx="25">
                  <c:v>Քաղաքաշինական 
բնագավառ</c:v>
                </c:pt>
                <c:pt idx="26">
                  <c:v>լրատվական գործակալություն</c:v>
                </c:pt>
                <c:pt idx="27">
                  <c:v>սուրհանդակային   և փոստային կապի ծառայություն</c:v>
                </c:pt>
                <c:pt idx="28">
                  <c:v>վերելակների սպասարկում</c:v>
                </c:pt>
                <c:pt idx="29">
                  <c:v>կոշտ թափոնների կառավարում</c:v>
                </c:pt>
                <c:pt idx="30">
                  <c:v>Շաբաթաթերթ</c:v>
                </c:pt>
              </c:strCache>
            </c:strRef>
          </c:cat>
          <c:val>
            <c:numRef>
              <c:f>Ակտիվներ!$C$4:$C$35</c:f>
              <c:numCache>
                <c:formatCode>_(* #\,##0_);_(* \(#\,##0\);_(* "-"??_);_(@_)</c:formatCode>
                <c:ptCount val="31"/>
                <c:pt idx="0">
                  <c:v>83812746.599999994</c:v>
                </c:pt>
                <c:pt idx="1">
                  <c:v>77527688</c:v>
                </c:pt>
                <c:pt idx="2">
                  <c:v>69044728.299940005</c:v>
                </c:pt>
                <c:pt idx="3">
                  <c:v>34077826.400000006</c:v>
                </c:pt>
                <c:pt idx="4">
                  <c:v>-5641078</c:v>
                </c:pt>
                <c:pt idx="5">
                  <c:v>13915360</c:v>
                </c:pt>
                <c:pt idx="6">
                  <c:v>15117956</c:v>
                </c:pt>
                <c:pt idx="7">
                  <c:v>9845056</c:v>
                </c:pt>
                <c:pt idx="8">
                  <c:v>11255653</c:v>
                </c:pt>
                <c:pt idx="9">
                  <c:v>6336889.8139999993</c:v>
                </c:pt>
                <c:pt idx="10">
                  <c:v>2345752</c:v>
                </c:pt>
                <c:pt idx="11">
                  <c:v>1483622</c:v>
                </c:pt>
                <c:pt idx="12">
                  <c:v>1113614</c:v>
                </c:pt>
                <c:pt idx="13">
                  <c:v>703575</c:v>
                </c:pt>
                <c:pt idx="14">
                  <c:v>866993</c:v>
                </c:pt>
                <c:pt idx="15">
                  <c:v>-723321.7</c:v>
                </c:pt>
                <c:pt idx="16">
                  <c:v>809303</c:v>
                </c:pt>
                <c:pt idx="17">
                  <c:v>224739</c:v>
                </c:pt>
                <c:pt idx="18">
                  <c:v>571365</c:v>
                </c:pt>
                <c:pt idx="19">
                  <c:v>340208</c:v>
                </c:pt>
                <c:pt idx="20">
                  <c:v>245131.6</c:v>
                </c:pt>
                <c:pt idx="21">
                  <c:v>94588.2</c:v>
                </c:pt>
                <c:pt idx="22">
                  <c:v>149362.9</c:v>
                </c:pt>
                <c:pt idx="23">
                  <c:v>42366</c:v>
                </c:pt>
                <c:pt idx="24">
                  <c:v>27966.571</c:v>
                </c:pt>
                <c:pt idx="25">
                  <c:v>45878</c:v>
                </c:pt>
                <c:pt idx="26">
                  <c:v>30197.9</c:v>
                </c:pt>
                <c:pt idx="27">
                  <c:v>2247</c:v>
                </c:pt>
                <c:pt idx="28">
                  <c:v>2330</c:v>
                </c:pt>
                <c:pt idx="29">
                  <c:v>135</c:v>
                </c:pt>
              </c:numCache>
            </c:numRef>
          </c:val>
          <c:extLst>
            <c:ext xmlns:c16="http://schemas.microsoft.com/office/drawing/2014/chart" uri="{C3380CC4-5D6E-409C-BE32-E72D297353CC}">
              <c16:uniqueId val="{0000007D-0E61-4820-A140-B79537936B07}"/>
            </c:ext>
          </c:extLst>
        </c:ser>
        <c:ser>
          <c:idx val="2"/>
          <c:order val="2"/>
          <c:tx>
            <c:strRef>
              <c:f>Ակտիվներ!$D$3</c:f>
              <c:strCache>
                <c:ptCount val="1"/>
                <c:pt idx="0">
                  <c:v>Sum of Total Liabilities</c:v>
                </c:pt>
              </c:strCache>
            </c:strRef>
          </c:tx>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7F-0E61-4820-A140-B79537936B07}"/>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81-0E61-4820-A140-B79537936B07}"/>
              </c:ext>
            </c:extLst>
          </c:dPt>
          <c:dPt>
            <c:idx val="2"/>
            <c:bubble3D val="0"/>
            <c:spPr>
              <a:solidFill>
                <a:schemeClr val="accent3"/>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83-0E61-4820-A140-B79537936B07}"/>
              </c:ext>
            </c:extLst>
          </c:dPt>
          <c:dPt>
            <c:idx val="3"/>
            <c:bubble3D val="0"/>
            <c:spPr>
              <a:solidFill>
                <a:schemeClr val="accent4"/>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85-0E61-4820-A140-B79537936B07}"/>
              </c:ext>
            </c:extLst>
          </c:dPt>
          <c:dPt>
            <c:idx val="4"/>
            <c:bubble3D val="0"/>
            <c:spPr>
              <a:solidFill>
                <a:schemeClr val="accent5"/>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87-0E61-4820-A140-B79537936B07}"/>
              </c:ext>
            </c:extLst>
          </c:dPt>
          <c:dPt>
            <c:idx val="5"/>
            <c:bubble3D val="0"/>
            <c:spPr>
              <a:solidFill>
                <a:schemeClr val="accent6"/>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89-0E61-4820-A140-B79537936B07}"/>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8B-0E61-4820-A140-B79537936B07}"/>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8D-0E61-4820-A140-B79537936B07}"/>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8F-0E61-4820-A140-B79537936B07}"/>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91-0E61-4820-A140-B79537936B07}"/>
              </c:ext>
            </c:extLst>
          </c:dPt>
          <c:dPt>
            <c:idx val="10"/>
            <c:bubble3D val="0"/>
            <c:spPr>
              <a:solidFill>
                <a:schemeClr val="accent5">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93-0E61-4820-A140-B79537936B07}"/>
              </c:ext>
            </c:extLst>
          </c:dPt>
          <c:dPt>
            <c:idx val="11"/>
            <c:bubble3D val="0"/>
            <c:spPr>
              <a:solidFill>
                <a:schemeClr val="accent6">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95-0E61-4820-A140-B79537936B07}"/>
              </c:ext>
            </c:extLst>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97-0E61-4820-A140-B79537936B07}"/>
              </c:ext>
            </c:extLst>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99-0E61-4820-A140-B79537936B07}"/>
              </c:ext>
            </c:extLst>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9B-0E61-4820-A140-B79537936B07}"/>
              </c:ext>
            </c:extLst>
          </c:dPt>
          <c:dPt>
            <c:idx val="15"/>
            <c:bubble3D val="0"/>
            <c:spPr>
              <a:solidFill>
                <a:schemeClr val="accent4">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9D-0E61-4820-A140-B79537936B07}"/>
              </c:ext>
            </c:extLst>
          </c:dPt>
          <c:dPt>
            <c:idx val="16"/>
            <c:bubble3D val="0"/>
            <c:spPr>
              <a:solidFill>
                <a:schemeClr val="accent5">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9F-0E61-4820-A140-B79537936B07}"/>
              </c:ext>
            </c:extLst>
          </c:dPt>
          <c:dPt>
            <c:idx val="17"/>
            <c:bubble3D val="0"/>
            <c:spPr>
              <a:solidFill>
                <a:schemeClr val="accent6">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A1-0E61-4820-A140-B79537936B07}"/>
              </c:ext>
            </c:extLst>
          </c:dPt>
          <c:dPt>
            <c:idx val="18"/>
            <c:bubble3D val="0"/>
            <c:spPr>
              <a:solidFill>
                <a:schemeClr val="accent1">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A3-0E61-4820-A140-B79537936B07}"/>
              </c:ext>
            </c:extLst>
          </c:dPt>
          <c:dPt>
            <c:idx val="19"/>
            <c:bubble3D val="0"/>
            <c:spPr>
              <a:solidFill>
                <a:schemeClr val="accent2">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A5-0E61-4820-A140-B79537936B07}"/>
              </c:ext>
            </c:extLst>
          </c:dPt>
          <c:dPt>
            <c:idx val="20"/>
            <c:bubble3D val="0"/>
            <c:spPr>
              <a:solidFill>
                <a:schemeClr val="accent3">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A7-0E61-4820-A140-B79537936B07}"/>
              </c:ext>
            </c:extLst>
          </c:dPt>
          <c:dPt>
            <c:idx val="21"/>
            <c:bubble3D val="0"/>
            <c:spPr>
              <a:solidFill>
                <a:schemeClr val="accent4">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A9-0E61-4820-A140-B79537936B07}"/>
              </c:ext>
            </c:extLst>
          </c:dPt>
          <c:dPt>
            <c:idx val="22"/>
            <c:bubble3D val="0"/>
            <c:spPr>
              <a:solidFill>
                <a:schemeClr val="accent5">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AB-0E61-4820-A140-B79537936B07}"/>
              </c:ext>
            </c:extLst>
          </c:dPt>
          <c:dPt>
            <c:idx val="23"/>
            <c:bubble3D val="0"/>
            <c:spPr>
              <a:solidFill>
                <a:schemeClr val="accent6">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AD-0E61-4820-A140-B79537936B07}"/>
              </c:ext>
            </c:extLst>
          </c:dPt>
          <c:dPt>
            <c:idx val="24"/>
            <c:bubble3D val="0"/>
            <c:spPr>
              <a:solidFill>
                <a:schemeClr val="accent1">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AF-0E61-4820-A140-B79537936B07}"/>
              </c:ext>
            </c:extLst>
          </c:dPt>
          <c:dPt>
            <c:idx val="25"/>
            <c:bubble3D val="0"/>
            <c:spPr>
              <a:solidFill>
                <a:schemeClr val="accent2">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B1-0E61-4820-A140-B79537936B07}"/>
              </c:ext>
            </c:extLst>
          </c:dPt>
          <c:dPt>
            <c:idx val="26"/>
            <c:bubble3D val="0"/>
            <c:spPr>
              <a:solidFill>
                <a:schemeClr val="accent3">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B3-0E61-4820-A140-B79537936B07}"/>
              </c:ext>
            </c:extLst>
          </c:dPt>
          <c:dPt>
            <c:idx val="27"/>
            <c:bubble3D val="0"/>
            <c:spPr>
              <a:solidFill>
                <a:schemeClr val="accent4">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B5-0E61-4820-A140-B79537936B07}"/>
              </c:ext>
            </c:extLst>
          </c:dPt>
          <c:dPt>
            <c:idx val="28"/>
            <c:bubble3D val="0"/>
            <c:spPr>
              <a:solidFill>
                <a:schemeClr val="accent5">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B7-0E61-4820-A140-B79537936B07}"/>
              </c:ext>
            </c:extLst>
          </c:dPt>
          <c:dPt>
            <c:idx val="29"/>
            <c:bubble3D val="0"/>
            <c:spPr>
              <a:solidFill>
                <a:schemeClr val="accent6">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B9-0E61-4820-A140-B79537936B07}"/>
              </c:ext>
            </c:extLst>
          </c:dPt>
          <c:dPt>
            <c:idx val="30"/>
            <c:bubble3D val="0"/>
            <c:spPr>
              <a:solidFill>
                <a:schemeClr val="accent1">
                  <a:lumMod val="5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BB-0E61-4820-A140-B79537936B07}"/>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bestFit"/>
            <c:showLegendKey val="0"/>
            <c:showVal val="0"/>
            <c:showCatName val="0"/>
            <c:showSerName val="0"/>
            <c:showPercent val="1"/>
            <c:showBubbleSize val="0"/>
            <c:showLeaderLines val="0"/>
            <c:extLst>
              <c:ext xmlns:c15="http://schemas.microsoft.com/office/drawing/2012/chart" uri="{CE6537A1-D6FC-4f65-9D91-7224C49458BB}"/>
            </c:extLst>
          </c:dLbls>
          <c:cat>
            <c:strRef>
              <c:f>Ակտիվներ!$A$4:$A$35</c:f>
              <c:strCache>
                <c:ptCount val="31"/>
                <c:pt idx="0">
                  <c:v>էներգետիկա</c:v>
                </c:pt>
                <c:pt idx="1">
                  <c:v>ջրային տնտեսություն</c:v>
                </c:pt>
                <c:pt idx="2">
                  <c:v>Առողջապահություն</c:v>
                </c:pt>
                <c:pt idx="3">
                  <c:v>Այլ</c:v>
                </c:pt>
                <c:pt idx="4">
                  <c:v>Կրթություն</c:v>
                </c:pt>
                <c:pt idx="5">
                  <c:v>փոստային կապի ազգային օպերատոր</c:v>
                </c:pt>
                <c:pt idx="6">
                  <c:v>հեռուստառադիո-հեռարձակում, կապ</c:v>
                </c:pt>
                <c:pt idx="7">
                  <c:v>ուղևորափոխադրում</c:v>
                </c:pt>
                <c:pt idx="8">
                  <c:v>Շինարարություն</c:v>
                </c:pt>
                <c:pt idx="9">
                  <c:v>Արդյունաբերություն</c:v>
                </c:pt>
                <c:pt idx="10">
                  <c:v>Ապահովագրություն</c:v>
                </c:pt>
                <c:pt idx="11">
                  <c:v>գիտություն</c:v>
                </c:pt>
                <c:pt idx="12">
                  <c:v>Մշակույթ</c:v>
                </c:pt>
                <c:pt idx="13">
                  <c:v>կոմունալ</c:v>
                </c:pt>
                <c:pt idx="14">
                  <c:v>Լաբորատոր ծառայություններ</c:v>
                </c:pt>
                <c:pt idx="15">
                  <c:v>ավտոկայանատեղի կազմակերպում</c:v>
                </c:pt>
                <c:pt idx="16">
                  <c:v>առևտրային</c:v>
                </c:pt>
                <c:pt idx="17">
                  <c:v>Թվայնացման ծառայությունների մատուցում</c:v>
                </c:pt>
                <c:pt idx="18">
                  <c:v>Երևան քաղաքի վերգետնյա տրանսպորտի դիսպետչերական ծառայություն</c:v>
                </c:pt>
                <c:pt idx="19">
                  <c:v>Գյուղատնտեսություն</c:v>
                </c:pt>
                <c:pt idx="20">
                  <c:v>Սեփական կամ վարձակալված անշարժ գույքի հանձնում վարձակալության </c:v>
                </c:pt>
                <c:pt idx="21">
                  <c:v>Սպորտային և մարզական միջոցառումների կազմակերպում  </c:v>
                </c:pt>
                <c:pt idx="22">
                  <c:v>բարեկարգում</c:v>
                </c:pt>
                <c:pt idx="23">
                  <c:v>տեղեկատվական տեխնոլոգիաներ</c:v>
                </c:pt>
                <c:pt idx="24">
                  <c:v>Հրատարակչական, տեղեկատվական ծառայություններ</c:v>
                </c:pt>
                <c:pt idx="25">
                  <c:v>Քաղաքաշինական 
բնագավառ</c:v>
                </c:pt>
                <c:pt idx="26">
                  <c:v>լրատվական գործակալություն</c:v>
                </c:pt>
                <c:pt idx="27">
                  <c:v>սուրհանդակային   և փոստային կապի ծառայություն</c:v>
                </c:pt>
                <c:pt idx="28">
                  <c:v>վերելակների սպասարկում</c:v>
                </c:pt>
                <c:pt idx="29">
                  <c:v>կոշտ թափոնների կառավարում</c:v>
                </c:pt>
                <c:pt idx="30">
                  <c:v>Շաբաթաթերթ</c:v>
                </c:pt>
              </c:strCache>
            </c:strRef>
          </c:cat>
          <c:val>
            <c:numRef>
              <c:f>Ակտիվներ!$D$4:$D$35</c:f>
              <c:numCache>
                <c:formatCode>_(* #\,##0_);_(* \(#\,##0\);_(* "-"??_);_(@_)</c:formatCode>
                <c:ptCount val="31"/>
                <c:pt idx="0">
                  <c:v>370659844</c:v>
                </c:pt>
                <c:pt idx="1">
                  <c:v>25443942.300000001</c:v>
                </c:pt>
                <c:pt idx="2">
                  <c:v>41878018.098000012</c:v>
                </c:pt>
                <c:pt idx="3">
                  <c:v>8455280.5</c:v>
                </c:pt>
                <c:pt idx="4">
                  <c:v>32944544.300000001</c:v>
                </c:pt>
                <c:pt idx="5">
                  <c:v>10426884</c:v>
                </c:pt>
                <c:pt idx="6">
                  <c:v>7030689</c:v>
                </c:pt>
                <c:pt idx="7">
                  <c:v>7665246</c:v>
                </c:pt>
                <c:pt idx="8">
                  <c:v>626</c:v>
                </c:pt>
                <c:pt idx="9">
                  <c:v>2530008.62</c:v>
                </c:pt>
                <c:pt idx="10">
                  <c:v>1144260</c:v>
                </c:pt>
                <c:pt idx="11">
                  <c:v>973157</c:v>
                </c:pt>
                <c:pt idx="12">
                  <c:v>498417.9</c:v>
                </c:pt>
                <c:pt idx="13">
                  <c:v>387239</c:v>
                </c:pt>
                <c:pt idx="14">
                  <c:v>198410</c:v>
                </c:pt>
                <c:pt idx="15">
                  <c:v>1743599.4</c:v>
                </c:pt>
                <c:pt idx="16">
                  <c:v>91782</c:v>
                </c:pt>
                <c:pt idx="17">
                  <c:v>483195</c:v>
                </c:pt>
                <c:pt idx="18">
                  <c:v>25034</c:v>
                </c:pt>
                <c:pt idx="19">
                  <c:v>121689</c:v>
                </c:pt>
                <c:pt idx="20">
                  <c:v>57672.800000000003</c:v>
                </c:pt>
                <c:pt idx="21">
                  <c:v>285743</c:v>
                </c:pt>
                <c:pt idx="22">
                  <c:v>385447</c:v>
                </c:pt>
                <c:pt idx="23">
                  <c:v>54084</c:v>
                </c:pt>
                <c:pt idx="24">
                  <c:v>54498.896000000001</c:v>
                </c:pt>
                <c:pt idx="25">
                  <c:v>8150</c:v>
                </c:pt>
                <c:pt idx="26">
                  <c:v>14689.5</c:v>
                </c:pt>
                <c:pt idx="27">
                  <c:v>44194</c:v>
                </c:pt>
                <c:pt idx="28">
                  <c:v>2293</c:v>
                </c:pt>
                <c:pt idx="29">
                  <c:v>243</c:v>
                </c:pt>
              </c:numCache>
            </c:numRef>
          </c:val>
          <c:extLst>
            <c:ext xmlns:c16="http://schemas.microsoft.com/office/drawing/2014/chart" uri="{C3380CC4-5D6E-409C-BE32-E72D297353CC}">
              <c16:uniqueId val="{000000BC-0E61-4820-A140-B79537936B07}"/>
            </c:ext>
          </c:extLst>
        </c:ser>
        <c:dLbls>
          <c:showLegendKey val="0"/>
          <c:showVal val="0"/>
          <c:showCatName val="0"/>
          <c:showSerName val="0"/>
          <c:showPercent val="1"/>
          <c:showBubbleSize val="0"/>
          <c:showLeaderLines val="0"/>
        </c:dLbls>
      </c:pie3DChart>
      <c:spPr>
        <a:noFill/>
        <a:ln>
          <a:noFill/>
        </a:ln>
        <a:effectLst/>
      </c:spPr>
    </c:plotArea>
    <c:legend>
      <c:legendPos val="r"/>
      <c:layout>
        <c:manualLayout>
          <c:xMode val="edge"/>
          <c:yMode val="edge"/>
          <c:x val="0.54513570506709597"/>
          <c:y val="3.5033362077496119E-2"/>
          <c:w val="0.45159152185353291"/>
          <c:h val="0.906614531953437"/>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lang="en-US" sz="900" b="0" i="0" u="none" strike="noStrike" kern="1200" baseline="0">
              <a:solidFill>
                <a:schemeClr val="dk1">
                  <a:lumMod val="75000"/>
                  <a:lumOff val="25000"/>
                </a:schemeClr>
              </a:solidFill>
              <a:latin typeface="+mn-lt"/>
              <a:ea typeface="+mn-ea"/>
              <a:cs typeface="+mn-cs"/>
            </a:defRPr>
          </a:pPr>
          <a:endParaRPr lang="en-US"/>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prstDash val="solid"/>
      <a:round/>
    </a:ln>
    <a:effectLst/>
  </c:spPr>
  <c:txPr>
    <a:bodyPr/>
    <a:lstStyle/>
    <a:p>
      <a:pPr>
        <a:defRPr lang="en-US"/>
      </a:pPr>
      <a:endParaRPr lang="en-US"/>
    </a:p>
  </c:txPr>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[SOE Database Loris.xlsx]Equity!PivotTable1</c:name>
    <c:fmtId val="-1"/>
  </c:pivotSource>
  <c:chart>
    <c:autoTitleDeleted val="1"/>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manualLayout>
          <c:layoutTarget val="inner"/>
          <c:xMode val="edge"/>
          <c:yMode val="edge"/>
          <c:x val="6.8174385550048822E-4"/>
          <c:y val="0.14211048696312306"/>
          <c:w val="0.52472170511433702"/>
          <c:h val="0.77769853071771622"/>
        </c:manualLayout>
      </c:layout>
      <c:pie3DChart>
        <c:varyColors val="1"/>
        <c:ser>
          <c:idx val="0"/>
          <c:order val="0"/>
          <c:tx>
            <c:strRef>
              <c:f>Equity!$B$3</c:f>
              <c:strCache>
                <c:ptCount val="1"/>
                <c:pt idx="0">
                  <c:v>Total</c:v>
                </c:pt>
              </c:strCache>
            </c:strRef>
          </c:tx>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F1AB-4069-901A-1B06F3481337}"/>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F1AB-4069-901A-1B06F3481337}"/>
              </c:ext>
            </c:extLst>
          </c:dPt>
          <c:dPt>
            <c:idx val="2"/>
            <c:bubble3D val="0"/>
            <c:spPr>
              <a:solidFill>
                <a:schemeClr val="accent3"/>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5-F1AB-4069-901A-1B06F3481337}"/>
              </c:ext>
            </c:extLst>
          </c:dPt>
          <c:dPt>
            <c:idx val="3"/>
            <c:bubble3D val="0"/>
            <c:spPr>
              <a:solidFill>
                <a:schemeClr val="accent4"/>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7-F1AB-4069-901A-1B06F3481337}"/>
              </c:ext>
            </c:extLst>
          </c:dPt>
          <c:dPt>
            <c:idx val="4"/>
            <c:bubble3D val="0"/>
            <c:spPr>
              <a:solidFill>
                <a:schemeClr val="accent5"/>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9-F1AB-4069-901A-1B06F3481337}"/>
              </c:ext>
            </c:extLst>
          </c:dPt>
          <c:dPt>
            <c:idx val="5"/>
            <c:bubble3D val="0"/>
            <c:spPr>
              <a:solidFill>
                <a:schemeClr val="accent6"/>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B-F1AB-4069-901A-1B06F3481337}"/>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D-F1AB-4069-901A-1B06F3481337}"/>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F-F1AB-4069-901A-1B06F3481337}"/>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1-F1AB-4069-901A-1B06F3481337}"/>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3-F1AB-4069-901A-1B06F3481337}"/>
              </c:ext>
            </c:extLst>
          </c:dPt>
          <c:dPt>
            <c:idx val="10"/>
            <c:bubble3D val="0"/>
            <c:spPr>
              <a:solidFill>
                <a:schemeClr val="accent5">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5-F1AB-4069-901A-1B06F3481337}"/>
              </c:ext>
            </c:extLst>
          </c:dPt>
          <c:dPt>
            <c:idx val="11"/>
            <c:bubble3D val="0"/>
            <c:spPr>
              <a:solidFill>
                <a:schemeClr val="accent6">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7-F1AB-4069-901A-1B06F3481337}"/>
              </c:ext>
            </c:extLst>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9-F1AB-4069-901A-1B06F3481337}"/>
              </c:ext>
            </c:extLst>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B-F1AB-4069-901A-1B06F3481337}"/>
              </c:ext>
            </c:extLst>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D-F1AB-4069-901A-1B06F3481337}"/>
              </c:ext>
            </c:extLst>
          </c:dPt>
          <c:dPt>
            <c:idx val="15"/>
            <c:bubble3D val="0"/>
            <c:spPr>
              <a:solidFill>
                <a:schemeClr val="accent4">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F-F1AB-4069-901A-1B06F3481337}"/>
              </c:ext>
            </c:extLst>
          </c:dPt>
          <c:dPt>
            <c:idx val="16"/>
            <c:bubble3D val="0"/>
            <c:spPr>
              <a:solidFill>
                <a:schemeClr val="accent5">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1-F1AB-4069-901A-1B06F3481337}"/>
              </c:ext>
            </c:extLst>
          </c:dPt>
          <c:dPt>
            <c:idx val="17"/>
            <c:bubble3D val="0"/>
            <c:spPr>
              <a:solidFill>
                <a:schemeClr val="accent6">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3-F1AB-4069-901A-1B06F3481337}"/>
              </c:ext>
            </c:extLst>
          </c:dPt>
          <c:dPt>
            <c:idx val="18"/>
            <c:bubble3D val="0"/>
            <c:spPr>
              <a:solidFill>
                <a:schemeClr val="accent1">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5-F1AB-4069-901A-1B06F3481337}"/>
              </c:ext>
            </c:extLst>
          </c:dPt>
          <c:dPt>
            <c:idx val="19"/>
            <c:bubble3D val="0"/>
            <c:spPr>
              <a:solidFill>
                <a:schemeClr val="accent2">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7-F1AB-4069-901A-1B06F3481337}"/>
              </c:ext>
            </c:extLst>
          </c:dPt>
          <c:dPt>
            <c:idx val="20"/>
            <c:bubble3D val="0"/>
            <c:spPr>
              <a:solidFill>
                <a:schemeClr val="accent3">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9-F1AB-4069-901A-1B06F3481337}"/>
              </c:ext>
            </c:extLst>
          </c:dPt>
          <c:dPt>
            <c:idx val="21"/>
            <c:bubble3D val="0"/>
            <c:spPr>
              <a:solidFill>
                <a:schemeClr val="accent4">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B-F1AB-4069-901A-1B06F3481337}"/>
              </c:ext>
            </c:extLst>
          </c:dPt>
          <c:dPt>
            <c:idx val="22"/>
            <c:bubble3D val="0"/>
            <c:spPr>
              <a:solidFill>
                <a:schemeClr val="accent5">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D-F1AB-4069-901A-1B06F3481337}"/>
              </c:ext>
            </c:extLst>
          </c:dPt>
          <c:dPt>
            <c:idx val="23"/>
            <c:bubble3D val="0"/>
            <c:spPr>
              <a:solidFill>
                <a:schemeClr val="accent6">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F-F1AB-4069-901A-1B06F3481337}"/>
              </c:ext>
            </c:extLst>
          </c:dPt>
          <c:dPt>
            <c:idx val="24"/>
            <c:bubble3D val="0"/>
            <c:spPr>
              <a:solidFill>
                <a:schemeClr val="accent1">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1-F1AB-4069-901A-1B06F3481337}"/>
              </c:ext>
            </c:extLst>
          </c:dPt>
          <c:dPt>
            <c:idx val="25"/>
            <c:bubble3D val="0"/>
            <c:spPr>
              <a:solidFill>
                <a:schemeClr val="accent2">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3-F1AB-4069-901A-1B06F3481337}"/>
              </c:ext>
            </c:extLst>
          </c:dPt>
          <c:dPt>
            <c:idx val="26"/>
            <c:bubble3D val="0"/>
            <c:spPr>
              <a:solidFill>
                <a:schemeClr val="accent3">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5-F1AB-4069-901A-1B06F3481337}"/>
              </c:ext>
            </c:extLst>
          </c:dPt>
          <c:dPt>
            <c:idx val="27"/>
            <c:bubble3D val="0"/>
            <c:spPr>
              <a:solidFill>
                <a:schemeClr val="accent4">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7-F1AB-4069-901A-1B06F3481337}"/>
              </c:ext>
            </c:extLst>
          </c:dPt>
          <c:dPt>
            <c:idx val="28"/>
            <c:bubble3D val="0"/>
            <c:spPr>
              <a:solidFill>
                <a:schemeClr val="accent5">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9-F1AB-4069-901A-1B06F3481337}"/>
              </c:ext>
            </c:extLst>
          </c:dPt>
          <c:dPt>
            <c:idx val="29"/>
            <c:bubble3D val="0"/>
            <c:spPr>
              <a:solidFill>
                <a:schemeClr val="accent6">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B-F1AB-4069-901A-1B06F3481337}"/>
              </c:ext>
            </c:extLst>
          </c:dPt>
          <c:dPt>
            <c:idx val="30"/>
            <c:bubble3D val="0"/>
            <c:spPr>
              <a:solidFill>
                <a:schemeClr val="accent1">
                  <a:lumMod val="5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D-F1AB-4069-901A-1B06F3481337}"/>
              </c:ext>
            </c:extLst>
          </c:dPt>
          <c:dLbls>
            <c:dLbl>
              <c:idx val="7"/>
              <c:delete val="1"/>
              <c:extLst>
                <c:ext xmlns:c15="http://schemas.microsoft.com/office/drawing/2012/chart" uri="{CE6537A1-D6FC-4f65-9D91-7224C49458BB}"/>
                <c:ext xmlns:c16="http://schemas.microsoft.com/office/drawing/2014/chart" uri="{C3380CC4-5D6E-409C-BE32-E72D297353CC}">
                  <c16:uniqueId val="{0000000F-F1AB-4069-901A-1B06F3481337}"/>
                </c:ext>
              </c:extLst>
            </c:dLbl>
            <c:dLbl>
              <c:idx val="9"/>
              <c:delete val="1"/>
              <c:extLst>
                <c:ext xmlns:c15="http://schemas.microsoft.com/office/drawing/2012/chart" uri="{CE6537A1-D6FC-4f65-9D91-7224C49458BB}"/>
                <c:ext xmlns:c16="http://schemas.microsoft.com/office/drawing/2014/chart" uri="{C3380CC4-5D6E-409C-BE32-E72D297353CC}">
                  <c16:uniqueId val="{00000013-F1AB-4069-901A-1B06F3481337}"/>
                </c:ext>
              </c:extLst>
            </c:dLbl>
            <c:dLbl>
              <c:idx val="10"/>
              <c:delete val="1"/>
              <c:extLst>
                <c:ext xmlns:c15="http://schemas.microsoft.com/office/drawing/2012/chart" uri="{CE6537A1-D6FC-4f65-9D91-7224C49458BB}"/>
                <c:ext xmlns:c16="http://schemas.microsoft.com/office/drawing/2014/chart" uri="{C3380CC4-5D6E-409C-BE32-E72D297353CC}">
                  <c16:uniqueId val="{00000015-F1AB-4069-901A-1B06F3481337}"/>
                </c:ext>
              </c:extLst>
            </c:dLbl>
            <c:dLbl>
              <c:idx val="11"/>
              <c:delete val="1"/>
              <c:extLst>
                <c:ext xmlns:c15="http://schemas.microsoft.com/office/drawing/2012/chart" uri="{CE6537A1-D6FC-4f65-9D91-7224C49458BB}"/>
                <c:ext xmlns:c16="http://schemas.microsoft.com/office/drawing/2014/chart" uri="{C3380CC4-5D6E-409C-BE32-E72D297353CC}">
                  <c16:uniqueId val="{00000017-F1AB-4069-901A-1B06F3481337}"/>
                </c:ext>
              </c:extLst>
            </c:dLbl>
            <c:dLbl>
              <c:idx val="12"/>
              <c:delete val="1"/>
              <c:extLst>
                <c:ext xmlns:c15="http://schemas.microsoft.com/office/drawing/2012/chart" uri="{CE6537A1-D6FC-4f65-9D91-7224C49458BB}"/>
                <c:ext xmlns:c16="http://schemas.microsoft.com/office/drawing/2014/chart" uri="{C3380CC4-5D6E-409C-BE32-E72D297353CC}">
                  <c16:uniqueId val="{00000019-F1AB-4069-901A-1B06F3481337}"/>
                </c:ext>
              </c:extLst>
            </c:dLbl>
            <c:dLbl>
              <c:idx val="13"/>
              <c:delete val="1"/>
              <c:extLst>
                <c:ext xmlns:c15="http://schemas.microsoft.com/office/drawing/2012/chart" uri="{CE6537A1-D6FC-4f65-9D91-7224C49458BB}"/>
                <c:ext xmlns:c16="http://schemas.microsoft.com/office/drawing/2014/chart" uri="{C3380CC4-5D6E-409C-BE32-E72D297353CC}">
                  <c16:uniqueId val="{0000001B-F1AB-4069-901A-1B06F3481337}"/>
                </c:ext>
              </c:extLst>
            </c:dLbl>
            <c:dLbl>
              <c:idx val="14"/>
              <c:delete val="1"/>
              <c:extLst>
                <c:ext xmlns:c15="http://schemas.microsoft.com/office/drawing/2012/chart" uri="{CE6537A1-D6FC-4f65-9D91-7224C49458BB}"/>
                <c:ext xmlns:c16="http://schemas.microsoft.com/office/drawing/2014/chart" uri="{C3380CC4-5D6E-409C-BE32-E72D297353CC}">
                  <c16:uniqueId val="{0000001D-F1AB-4069-901A-1B06F3481337}"/>
                </c:ext>
              </c:extLst>
            </c:dLbl>
            <c:dLbl>
              <c:idx val="15"/>
              <c:delete val="1"/>
              <c:extLst>
                <c:ext xmlns:c15="http://schemas.microsoft.com/office/drawing/2012/chart" uri="{CE6537A1-D6FC-4f65-9D91-7224C49458BB}"/>
                <c:ext xmlns:c16="http://schemas.microsoft.com/office/drawing/2014/chart" uri="{C3380CC4-5D6E-409C-BE32-E72D297353CC}">
                  <c16:uniqueId val="{0000001F-F1AB-4069-901A-1B06F3481337}"/>
                </c:ext>
              </c:extLst>
            </c:dLbl>
            <c:dLbl>
              <c:idx val="16"/>
              <c:delete val="1"/>
              <c:extLst>
                <c:ext xmlns:c15="http://schemas.microsoft.com/office/drawing/2012/chart" uri="{CE6537A1-D6FC-4f65-9D91-7224C49458BB}"/>
                <c:ext xmlns:c16="http://schemas.microsoft.com/office/drawing/2014/chart" uri="{C3380CC4-5D6E-409C-BE32-E72D297353CC}">
                  <c16:uniqueId val="{00000021-F1AB-4069-901A-1B06F3481337}"/>
                </c:ext>
              </c:extLst>
            </c:dLbl>
            <c:dLbl>
              <c:idx val="17"/>
              <c:delete val="1"/>
              <c:extLst>
                <c:ext xmlns:c15="http://schemas.microsoft.com/office/drawing/2012/chart" uri="{CE6537A1-D6FC-4f65-9D91-7224C49458BB}"/>
                <c:ext xmlns:c16="http://schemas.microsoft.com/office/drawing/2014/chart" uri="{C3380CC4-5D6E-409C-BE32-E72D297353CC}">
                  <c16:uniqueId val="{00000023-F1AB-4069-901A-1B06F3481337}"/>
                </c:ext>
              </c:extLst>
            </c:dLbl>
            <c:dLbl>
              <c:idx val="18"/>
              <c:delete val="1"/>
              <c:extLst>
                <c:ext xmlns:c15="http://schemas.microsoft.com/office/drawing/2012/chart" uri="{CE6537A1-D6FC-4f65-9D91-7224C49458BB}"/>
                <c:ext xmlns:c16="http://schemas.microsoft.com/office/drawing/2014/chart" uri="{C3380CC4-5D6E-409C-BE32-E72D297353CC}">
                  <c16:uniqueId val="{00000025-F1AB-4069-901A-1B06F3481337}"/>
                </c:ext>
              </c:extLst>
            </c:dLbl>
            <c:dLbl>
              <c:idx val="19"/>
              <c:delete val="1"/>
              <c:extLst>
                <c:ext xmlns:c15="http://schemas.microsoft.com/office/drawing/2012/chart" uri="{CE6537A1-D6FC-4f65-9D91-7224C49458BB}"/>
                <c:ext xmlns:c16="http://schemas.microsoft.com/office/drawing/2014/chart" uri="{C3380CC4-5D6E-409C-BE32-E72D297353CC}">
                  <c16:uniqueId val="{00000027-F1AB-4069-901A-1B06F3481337}"/>
                </c:ext>
              </c:extLst>
            </c:dLbl>
            <c:dLbl>
              <c:idx val="20"/>
              <c:delete val="1"/>
              <c:extLst>
                <c:ext xmlns:c15="http://schemas.microsoft.com/office/drawing/2012/chart" uri="{CE6537A1-D6FC-4f65-9D91-7224C49458BB}"/>
                <c:ext xmlns:c16="http://schemas.microsoft.com/office/drawing/2014/chart" uri="{C3380CC4-5D6E-409C-BE32-E72D297353CC}">
                  <c16:uniqueId val="{00000029-F1AB-4069-901A-1B06F3481337}"/>
                </c:ext>
              </c:extLst>
            </c:dLbl>
            <c:dLbl>
              <c:idx val="21"/>
              <c:delete val="1"/>
              <c:extLst>
                <c:ext xmlns:c15="http://schemas.microsoft.com/office/drawing/2012/chart" uri="{CE6537A1-D6FC-4f65-9D91-7224C49458BB}"/>
                <c:ext xmlns:c16="http://schemas.microsoft.com/office/drawing/2014/chart" uri="{C3380CC4-5D6E-409C-BE32-E72D297353CC}">
                  <c16:uniqueId val="{0000002B-F1AB-4069-901A-1B06F3481337}"/>
                </c:ext>
              </c:extLst>
            </c:dLbl>
            <c:dLbl>
              <c:idx val="22"/>
              <c:delete val="1"/>
              <c:extLst>
                <c:ext xmlns:c15="http://schemas.microsoft.com/office/drawing/2012/chart" uri="{CE6537A1-D6FC-4f65-9D91-7224C49458BB}"/>
                <c:ext xmlns:c16="http://schemas.microsoft.com/office/drawing/2014/chart" uri="{C3380CC4-5D6E-409C-BE32-E72D297353CC}">
                  <c16:uniqueId val="{0000002D-F1AB-4069-901A-1B06F3481337}"/>
                </c:ext>
              </c:extLst>
            </c:dLbl>
            <c:dLbl>
              <c:idx val="23"/>
              <c:delete val="1"/>
              <c:extLst>
                <c:ext xmlns:c15="http://schemas.microsoft.com/office/drawing/2012/chart" uri="{CE6537A1-D6FC-4f65-9D91-7224C49458BB}"/>
                <c:ext xmlns:c16="http://schemas.microsoft.com/office/drawing/2014/chart" uri="{C3380CC4-5D6E-409C-BE32-E72D297353CC}">
                  <c16:uniqueId val="{0000002F-F1AB-4069-901A-1B06F3481337}"/>
                </c:ext>
              </c:extLst>
            </c:dLbl>
            <c:dLbl>
              <c:idx val="24"/>
              <c:delete val="1"/>
              <c:extLst>
                <c:ext xmlns:c15="http://schemas.microsoft.com/office/drawing/2012/chart" uri="{CE6537A1-D6FC-4f65-9D91-7224C49458BB}"/>
                <c:ext xmlns:c16="http://schemas.microsoft.com/office/drawing/2014/chart" uri="{C3380CC4-5D6E-409C-BE32-E72D297353CC}">
                  <c16:uniqueId val="{00000031-F1AB-4069-901A-1B06F3481337}"/>
                </c:ext>
              </c:extLst>
            </c:dLbl>
            <c:dLbl>
              <c:idx val="25"/>
              <c:delete val="1"/>
              <c:extLst>
                <c:ext xmlns:c15="http://schemas.microsoft.com/office/drawing/2012/chart" uri="{CE6537A1-D6FC-4f65-9D91-7224C49458BB}"/>
                <c:ext xmlns:c16="http://schemas.microsoft.com/office/drawing/2014/chart" uri="{C3380CC4-5D6E-409C-BE32-E72D297353CC}">
                  <c16:uniqueId val="{00000033-F1AB-4069-901A-1B06F3481337}"/>
                </c:ext>
              </c:extLst>
            </c:dLbl>
            <c:dLbl>
              <c:idx val="26"/>
              <c:delete val="1"/>
              <c:extLst>
                <c:ext xmlns:c15="http://schemas.microsoft.com/office/drawing/2012/chart" uri="{CE6537A1-D6FC-4f65-9D91-7224C49458BB}"/>
                <c:ext xmlns:c16="http://schemas.microsoft.com/office/drawing/2014/chart" uri="{C3380CC4-5D6E-409C-BE32-E72D297353CC}">
                  <c16:uniqueId val="{00000035-F1AB-4069-901A-1B06F3481337}"/>
                </c:ext>
              </c:extLst>
            </c:dLbl>
            <c:dLbl>
              <c:idx val="27"/>
              <c:delete val="1"/>
              <c:extLst>
                <c:ext xmlns:c15="http://schemas.microsoft.com/office/drawing/2012/chart" uri="{CE6537A1-D6FC-4f65-9D91-7224C49458BB}"/>
                <c:ext xmlns:c16="http://schemas.microsoft.com/office/drawing/2014/chart" uri="{C3380CC4-5D6E-409C-BE32-E72D297353CC}">
                  <c16:uniqueId val="{00000037-F1AB-4069-901A-1B06F3481337}"/>
                </c:ext>
              </c:extLst>
            </c:dLbl>
            <c:dLbl>
              <c:idx val="29"/>
              <c:delete val="1"/>
              <c:extLst>
                <c:ext xmlns:c15="http://schemas.microsoft.com/office/drawing/2012/chart" uri="{CE6537A1-D6FC-4f65-9D91-7224C49458BB}"/>
                <c:ext xmlns:c16="http://schemas.microsoft.com/office/drawing/2014/chart" uri="{C3380CC4-5D6E-409C-BE32-E72D297353CC}">
                  <c16:uniqueId val="{0000003B-F1AB-4069-901A-1B06F3481337}"/>
                </c:ext>
              </c:extLst>
            </c:dLbl>
            <c:dLbl>
              <c:idx val="30"/>
              <c:delete val="1"/>
              <c:extLst>
                <c:ext xmlns:c15="http://schemas.microsoft.com/office/drawing/2012/chart" uri="{CE6537A1-D6FC-4f65-9D91-7224C49458BB}"/>
                <c:ext xmlns:c16="http://schemas.microsoft.com/office/drawing/2014/chart" uri="{C3380CC4-5D6E-409C-BE32-E72D297353CC}">
                  <c16:uniqueId val="{0000003D-F1AB-4069-901A-1B06F3481337}"/>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clip" horzOverflow="clip"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bestFit"/>
            <c:showLegendKey val="0"/>
            <c:showVal val="0"/>
            <c:showCatName val="0"/>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Equity!$A$4:$A$35</c:f>
              <c:strCache>
                <c:ptCount val="31"/>
                <c:pt idx="0">
                  <c:v>էներգետիկա</c:v>
                </c:pt>
                <c:pt idx="1">
                  <c:v>ջրային տնտեսություն</c:v>
                </c:pt>
                <c:pt idx="2">
                  <c:v>Առողջապահություն</c:v>
                </c:pt>
                <c:pt idx="3">
                  <c:v>Այլ</c:v>
                </c:pt>
                <c:pt idx="4">
                  <c:v>հեռուստառադիո-հեռարձակում, կապ</c:v>
                </c:pt>
                <c:pt idx="5">
                  <c:v>փոստային կապի ազգային օպերատոր</c:v>
                </c:pt>
                <c:pt idx="6">
                  <c:v>Շինարարություն</c:v>
                </c:pt>
                <c:pt idx="7">
                  <c:v>ուղևորափոխադրում</c:v>
                </c:pt>
                <c:pt idx="8">
                  <c:v>Արդյունաբերություն</c:v>
                </c:pt>
                <c:pt idx="9">
                  <c:v>Ապահովագրություն</c:v>
                </c:pt>
                <c:pt idx="10">
                  <c:v>գիտություն</c:v>
                </c:pt>
                <c:pt idx="11">
                  <c:v>Մշակույթ</c:v>
                </c:pt>
                <c:pt idx="12">
                  <c:v>Լաբորատոր ծառայություններ</c:v>
                </c:pt>
                <c:pt idx="13">
                  <c:v>առևտրային</c:v>
                </c:pt>
                <c:pt idx="14">
                  <c:v>կոմունալ</c:v>
                </c:pt>
                <c:pt idx="15">
                  <c:v>Երևան քաղաքի վերգետնյա տրանսպորտի դիսպետչերական ծառայություն</c:v>
                </c:pt>
                <c:pt idx="16">
                  <c:v>Գյուղատնտեսություն</c:v>
                </c:pt>
                <c:pt idx="17">
                  <c:v>Սեփական կամ վարձակալված անշարժ գույքի հանձնում վարձակալության </c:v>
                </c:pt>
                <c:pt idx="18">
                  <c:v>Թվայնացման ծառայությունների մատուցում</c:v>
                </c:pt>
                <c:pt idx="19">
                  <c:v>բարեկարգում</c:v>
                </c:pt>
                <c:pt idx="20">
                  <c:v>Սպորտային և մարզական միջոցառումների կազմակերպում  </c:v>
                </c:pt>
                <c:pt idx="21">
                  <c:v>Քաղաքաշինական 
բնագավառ</c:v>
                </c:pt>
                <c:pt idx="22">
                  <c:v>տեղեկատվական տեխնոլոգիաներ</c:v>
                </c:pt>
                <c:pt idx="23">
                  <c:v>լրատվական գործակալություն</c:v>
                </c:pt>
                <c:pt idx="24">
                  <c:v>Հրատարակչական, տեղեկատվական ծառայություններ</c:v>
                </c:pt>
                <c:pt idx="25">
                  <c:v>վերելակների սպասարկում</c:v>
                </c:pt>
                <c:pt idx="26">
                  <c:v>սուրհանդակային   և փոստային կապի ծառայություն</c:v>
                </c:pt>
                <c:pt idx="27">
                  <c:v>կոշտ թափոնների կառավարում</c:v>
                </c:pt>
                <c:pt idx="28">
                  <c:v>Շաբաթաթերթ</c:v>
                </c:pt>
                <c:pt idx="29">
                  <c:v>ավտոկայանատեղի կազմակերպում</c:v>
                </c:pt>
                <c:pt idx="30">
                  <c:v>Կրթություն</c:v>
                </c:pt>
              </c:strCache>
            </c:strRef>
          </c:cat>
          <c:val>
            <c:numRef>
              <c:f>Equity!$B$4:$B$35</c:f>
              <c:numCache>
                <c:formatCode>_(* #\,##0_);_(* \(#\,##0\);_(* "-"??_);_(@_)</c:formatCode>
                <c:ptCount val="31"/>
                <c:pt idx="0">
                  <c:v>83812746.599999994</c:v>
                </c:pt>
                <c:pt idx="1">
                  <c:v>77527688</c:v>
                </c:pt>
                <c:pt idx="2">
                  <c:v>69044728.299940005</c:v>
                </c:pt>
                <c:pt idx="3">
                  <c:v>34077826.400000006</c:v>
                </c:pt>
                <c:pt idx="4">
                  <c:v>15117956</c:v>
                </c:pt>
                <c:pt idx="5">
                  <c:v>13915360</c:v>
                </c:pt>
                <c:pt idx="6">
                  <c:v>11255653</c:v>
                </c:pt>
                <c:pt idx="7">
                  <c:v>9845056</c:v>
                </c:pt>
                <c:pt idx="8">
                  <c:v>6336889.8139999993</c:v>
                </c:pt>
                <c:pt idx="9">
                  <c:v>2345752</c:v>
                </c:pt>
                <c:pt idx="10">
                  <c:v>1483622</c:v>
                </c:pt>
                <c:pt idx="11">
                  <c:v>1113614</c:v>
                </c:pt>
                <c:pt idx="12">
                  <c:v>866993</c:v>
                </c:pt>
                <c:pt idx="13">
                  <c:v>809303</c:v>
                </c:pt>
                <c:pt idx="14">
                  <c:v>703575</c:v>
                </c:pt>
                <c:pt idx="15">
                  <c:v>571365</c:v>
                </c:pt>
                <c:pt idx="16">
                  <c:v>340208</c:v>
                </c:pt>
                <c:pt idx="17">
                  <c:v>245131.6</c:v>
                </c:pt>
                <c:pt idx="18">
                  <c:v>224739</c:v>
                </c:pt>
                <c:pt idx="19">
                  <c:v>149362.9</c:v>
                </c:pt>
                <c:pt idx="20">
                  <c:v>94588.2</c:v>
                </c:pt>
                <c:pt idx="21">
                  <c:v>45878</c:v>
                </c:pt>
                <c:pt idx="22">
                  <c:v>42366</c:v>
                </c:pt>
                <c:pt idx="23">
                  <c:v>30197.9</c:v>
                </c:pt>
                <c:pt idx="24">
                  <c:v>27966.571</c:v>
                </c:pt>
                <c:pt idx="25">
                  <c:v>2330</c:v>
                </c:pt>
                <c:pt idx="26">
                  <c:v>2247</c:v>
                </c:pt>
                <c:pt idx="27">
                  <c:v>135</c:v>
                </c:pt>
                <c:pt idx="29">
                  <c:v>-723321.7</c:v>
                </c:pt>
                <c:pt idx="30">
                  <c:v>-5641078</c:v>
                </c:pt>
              </c:numCache>
            </c:numRef>
          </c:val>
          <c:extLst>
            <c:ext xmlns:c16="http://schemas.microsoft.com/office/drawing/2014/chart" uri="{C3380CC4-5D6E-409C-BE32-E72D297353CC}">
              <c16:uniqueId val="{0000003E-F1AB-4069-901A-1B06F3481337}"/>
            </c:ext>
          </c:extLst>
        </c:ser>
        <c:dLbls>
          <c:showLegendKey val="0"/>
          <c:showVal val="0"/>
          <c:showCatName val="0"/>
          <c:showSerName val="0"/>
          <c:showPercent val="1"/>
          <c:showBubbleSize val="0"/>
          <c:showLeaderLines val="0"/>
        </c:dLbls>
      </c:pie3DChart>
      <c:spPr>
        <a:noFill/>
        <a:ln>
          <a:noFill/>
        </a:ln>
        <a:effectLst/>
      </c:spPr>
    </c:plotArea>
    <c:legend>
      <c:legendPos val="r"/>
      <c:layout>
        <c:manualLayout>
          <c:xMode val="edge"/>
          <c:yMode val="edge"/>
          <c:x val="0.534072413272622"/>
          <c:y val="7.2917355918745527E-2"/>
          <c:w val="0.45394675605645102"/>
          <c:h val="0.796099096983962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lang="en-US" sz="900" b="0" i="0" u="none" strike="noStrike" kern="1200" baseline="0">
              <a:solidFill>
                <a:schemeClr val="dk1">
                  <a:lumMod val="75000"/>
                  <a:lumOff val="25000"/>
                </a:schemeClr>
              </a:solidFill>
              <a:latin typeface="+mn-lt"/>
              <a:ea typeface="+mn-ea"/>
              <a:cs typeface="+mn-cs"/>
            </a:defRPr>
          </a:pPr>
          <a:endParaRPr lang="en-US"/>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prstDash val="solid"/>
      <a:round/>
    </a:ln>
    <a:effectLst/>
  </c:spPr>
  <c:txPr>
    <a:bodyPr/>
    <a:lstStyle/>
    <a:p>
      <a:pPr>
        <a:defRPr lang="en-US"/>
      </a:pPr>
      <a:endParaRPr lang="en-US"/>
    </a:p>
  </c:txPr>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[SOE Database Loris.xlsx]Liabilities!PivotTable1</c:name>
    <c:fmtId val="-1"/>
  </c:pivotSource>
  <c:chart>
    <c:autoTitleDeleted val="1"/>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tx>
            <c:strRef>
              <c:f>Liabilities!$B$3</c:f>
              <c:strCache>
                <c:ptCount val="1"/>
                <c:pt idx="0">
                  <c:v>Total</c:v>
                </c:pt>
              </c:strCache>
            </c:strRef>
          </c:tx>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05DB-4A2F-B61B-4A5954065B92}"/>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05DB-4A2F-B61B-4A5954065B92}"/>
              </c:ext>
            </c:extLst>
          </c:dPt>
          <c:dPt>
            <c:idx val="2"/>
            <c:bubble3D val="0"/>
            <c:spPr>
              <a:solidFill>
                <a:schemeClr val="accent3"/>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5-05DB-4A2F-B61B-4A5954065B92}"/>
              </c:ext>
            </c:extLst>
          </c:dPt>
          <c:dPt>
            <c:idx val="3"/>
            <c:bubble3D val="0"/>
            <c:spPr>
              <a:solidFill>
                <a:schemeClr val="accent4"/>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7-05DB-4A2F-B61B-4A5954065B92}"/>
              </c:ext>
            </c:extLst>
          </c:dPt>
          <c:dPt>
            <c:idx val="4"/>
            <c:bubble3D val="0"/>
            <c:spPr>
              <a:solidFill>
                <a:schemeClr val="accent5"/>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9-05DB-4A2F-B61B-4A5954065B92}"/>
              </c:ext>
            </c:extLst>
          </c:dPt>
          <c:dPt>
            <c:idx val="5"/>
            <c:bubble3D val="0"/>
            <c:spPr>
              <a:solidFill>
                <a:schemeClr val="accent6"/>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B-05DB-4A2F-B61B-4A5954065B92}"/>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D-05DB-4A2F-B61B-4A5954065B92}"/>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F-05DB-4A2F-B61B-4A5954065B92}"/>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1-05DB-4A2F-B61B-4A5954065B92}"/>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3-05DB-4A2F-B61B-4A5954065B92}"/>
              </c:ext>
            </c:extLst>
          </c:dPt>
          <c:dPt>
            <c:idx val="10"/>
            <c:bubble3D val="0"/>
            <c:spPr>
              <a:solidFill>
                <a:schemeClr val="accent5">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5-05DB-4A2F-B61B-4A5954065B92}"/>
              </c:ext>
            </c:extLst>
          </c:dPt>
          <c:dPt>
            <c:idx val="11"/>
            <c:bubble3D val="0"/>
            <c:spPr>
              <a:solidFill>
                <a:schemeClr val="accent6">
                  <a:lumMod val="6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7-05DB-4A2F-B61B-4A5954065B92}"/>
              </c:ext>
            </c:extLst>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9-05DB-4A2F-B61B-4A5954065B92}"/>
              </c:ext>
            </c:extLst>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B-05DB-4A2F-B61B-4A5954065B92}"/>
              </c:ext>
            </c:extLst>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D-05DB-4A2F-B61B-4A5954065B92}"/>
              </c:ext>
            </c:extLst>
          </c:dPt>
          <c:dPt>
            <c:idx val="15"/>
            <c:bubble3D val="0"/>
            <c:spPr>
              <a:solidFill>
                <a:schemeClr val="accent4">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1F-05DB-4A2F-B61B-4A5954065B92}"/>
              </c:ext>
            </c:extLst>
          </c:dPt>
          <c:dPt>
            <c:idx val="16"/>
            <c:bubble3D val="0"/>
            <c:spPr>
              <a:solidFill>
                <a:schemeClr val="accent5">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1-05DB-4A2F-B61B-4A5954065B92}"/>
              </c:ext>
            </c:extLst>
          </c:dPt>
          <c:dPt>
            <c:idx val="17"/>
            <c:bubble3D val="0"/>
            <c:spPr>
              <a:solidFill>
                <a:schemeClr val="accent6">
                  <a:lumMod val="80000"/>
                  <a:lumOff val="2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3-05DB-4A2F-B61B-4A5954065B92}"/>
              </c:ext>
            </c:extLst>
          </c:dPt>
          <c:dPt>
            <c:idx val="18"/>
            <c:bubble3D val="0"/>
            <c:spPr>
              <a:solidFill>
                <a:schemeClr val="accent1">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5-05DB-4A2F-B61B-4A5954065B92}"/>
              </c:ext>
            </c:extLst>
          </c:dPt>
          <c:dPt>
            <c:idx val="19"/>
            <c:bubble3D val="0"/>
            <c:spPr>
              <a:solidFill>
                <a:schemeClr val="accent2">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7-05DB-4A2F-B61B-4A5954065B92}"/>
              </c:ext>
            </c:extLst>
          </c:dPt>
          <c:dPt>
            <c:idx val="20"/>
            <c:bubble3D val="0"/>
            <c:spPr>
              <a:solidFill>
                <a:schemeClr val="accent3">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9-05DB-4A2F-B61B-4A5954065B92}"/>
              </c:ext>
            </c:extLst>
          </c:dPt>
          <c:dPt>
            <c:idx val="21"/>
            <c:bubble3D val="0"/>
            <c:spPr>
              <a:solidFill>
                <a:schemeClr val="accent4">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B-05DB-4A2F-B61B-4A5954065B92}"/>
              </c:ext>
            </c:extLst>
          </c:dPt>
          <c:dPt>
            <c:idx val="22"/>
            <c:bubble3D val="0"/>
            <c:spPr>
              <a:solidFill>
                <a:schemeClr val="accent5">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D-05DB-4A2F-B61B-4A5954065B92}"/>
              </c:ext>
            </c:extLst>
          </c:dPt>
          <c:dPt>
            <c:idx val="23"/>
            <c:bubble3D val="0"/>
            <c:spPr>
              <a:solidFill>
                <a:schemeClr val="accent6">
                  <a:lumMod val="8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2F-05DB-4A2F-B61B-4A5954065B92}"/>
              </c:ext>
            </c:extLst>
          </c:dPt>
          <c:dPt>
            <c:idx val="24"/>
            <c:bubble3D val="0"/>
            <c:spPr>
              <a:solidFill>
                <a:schemeClr val="accent1">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1-05DB-4A2F-B61B-4A5954065B92}"/>
              </c:ext>
            </c:extLst>
          </c:dPt>
          <c:dPt>
            <c:idx val="25"/>
            <c:bubble3D val="0"/>
            <c:spPr>
              <a:solidFill>
                <a:schemeClr val="accent2">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3-05DB-4A2F-B61B-4A5954065B92}"/>
              </c:ext>
            </c:extLst>
          </c:dPt>
          <c:dPt>
            <c:idx val="26"/>
            <c:bubble3D val="0"/>
            <c:spPr>
              <a:solidFill>
                <a:schemeClr val="accent3">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5-05DB-4A2F-B61B-4A5954065B92}"/>
              </c:ext>
            </c:extLst>
          </c:dPt>
          <c:dPt>
            <c:idx val="27"/>
            <c:bubble3D val="0"/>
            <c:spPr>
              <a:solidFill>
                <a:schemeClr val="accent4">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7-05DB-4A2F-B61B-4A5954065B92}"/>
              </c:ext>
            </c:extLst>
          </c:dPt>
          <c:dPt>
            <c:idx val="28"/>
            <c:bubble3D val="0"/>
            <c:spPr>
              <a:solidFill>
                <a:schemeClr val="accent5">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9-05DB-4A2F-B61B-4A5954065B92}"/>
              </c:ext>
            </c:extLst>
          </c:dPt>
          <c:dPt>
            <c:idx val="29"/>
            <c:bubble3D val="0"/>
            <c:spPr>
              <a:solidFill>
                <a:schemeClr val="accent6">
                  <a:lumMod val="60000"/>
                  <a:lumOff val="4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B-05DB-4A2F-B61B-4A5954065B92}"/>
              </c:ext>
            </c:extLst>
          </c:dPt>
          <c:dPt>
            <c:idx val="30"/>
            <c:bubble3D val="0"/>
            <c:spPr>
              <a:solidFill>
                <a:schemeClr val="accent1">
                  <a:lumMod val="50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3D-05DB-4A2F-B61B-4A5954065B92}"/>
              </c:ext>
            </c:extLst>
          </c:dPt>
          <c:dLbls>
            <c:dLbl>
              <c:idx val="5"/>
              <c:delete val="1"/>
              <c:extLst>
                <c:ext xmlns:c15="http://schemas.microsoft.com/office/drawing/2012/chart" uri="{CE6537A1-D6FC-4f65-9D91-7224C49458BB}"/>
                <c:ext xmlns:c16="http://schemas.microsoft.com/office/drawing/2014/chart" uri="{C3380CC4-5D6E-409C-BE32-E72D297353CC}">
                  <c16:uniqueId val="{0000000B-05DB-4A2F-B61B-4A5954065B92}"/>
                </c:ext>
              </c:extLst>
            </c:dLbl>
            <c:dLbl>
              <c:idx val="6"/>
              <c:delete val="1"/>
              <c:extLst>
                <c:ext xmlns:c15="http://schemas.microsoft.com/office/drawing/2012/chart" uri="{CE6537A1-D6FC-4f65-9D91-7224C49458BB}"/>
                <c:ext xmlns:c16="http://schemas.microsoft.com/office/drawing/2014/chart" uri="{C3380CC4-5D6E-409C-BE32-E72D297353CC}">
                  <c16:uniqueId val="{0000000D-05DB-4A2F-B61B-4A5954065B92}"/>
                </c:ext>
              </c:extLst>
            </c:dLbl>
            <c:dLbl>
              <c:idx val="7"/>
              <c:delete val="1"/>
              <c:extLst>
                <c:ext xmlns:c15="http://schemas.microsoft.com/office/drawing/2012/chart" uri="{CE6537A1-D6FC-4f65-9D91-7224C49458BB}"/>
                <c:ext xmlns:c16="http://schemas.microsoft.com/office/drawing/2014/chart" uri="{C3380CC4-5D6E-409C-BE32-E72D297353CC}">
                  <c16:uniqueId val="{0000000F-05DB-4A2F-B61B-4A5954065B92}"/>
                </c:ext>
              </c:extLst>
            </c:dLbl>
            <c:dLbl>
              <c:idx val="8"/>
              <c:delete val="1"/>
              <c:extLst>
                <c:ext xmlns:c15="http://schemas.microsoft.com/office/drawing/2012/chart" uri="{CE6537A1-D6FC-4f65-9D91-7224C49458BB}"/>
                <c:ext xmlns:c16="http://schemas.microsoft.com/office/drawing/2014/chart" uri="{C3380CC4-5D6E-409C-BE32-E72D297353CC}">
                  <c16:uniqueId val="{00000011-05DB-4A2F-B61B-4A5954065B92}"/>
                </c:ext>
              </c:extLst>
            </c:dLbl>
            <c:dLbl>
              <c:idx val="9"/>
              <c:delete val="1"/>
              <c:extLst>
                <c:ext xmlns:c15="http://schemas.microsoft.com/office/drawing/2012/chart" uri="{CE6537A1-D6FC-4f65-9D91-7224C49458BB}"/>
                <c:ext xmlns:c16="http://schemas.microsoft.com/office/drawing/2014/chart" uri="{C3380CC4-5D6E-409C-BE32-E72D297353CC}">
                  <c16:uniqueId val="{00000013-05DB-4A2F-B61B-4A5954065B92}"/>
                </c:ext>
              </c:extLst>
            </c:dLbl>
            <c:dLbl>
              <c:idx val="10"/>
              <c:delete val="1"/>
              <c:extLst>
                <c:ext xmlns:c15="http://schemas.microsoft.com/office/drawing/2012/chart" uri="{CE6537A1-D6FC-4f65-9D91-7224C49458BB}"/>
                <c:ext xmlns:c16="http://schemas.microsoft.com/office/drawing/2014/chart" uri="{C3380CC4-5D6E-409C-BE32-E72D297353CC}">
                  <c16:uniqueId val="{00000015-05DB-4A2F-B61B-4A5954065B92}"/>
                </c:ext>
              </c:extLst>
            </c:dLbl>
            <c:dLbl>
              <c:idx val="11"/>
              <c:delete val="1"/>
              <c:extLst>
                <c:ext xmlns:c15="http://schemas.microsoft.com/office/drawing/2012/chart" uri="{CE6537A1-D6FC-4f65-9D91-7224C49458BB}"/>
                <c:ext xmlns:c16="http://schemas.microsoft.com/office/drawing/2014/chart" uri="{C3380CC4-5D6E-409C-BE32-E72D297353CC}">
                  <c16:uniqueId val="{00000017-05DB-4A2F-B61B-4A5954065B92}"/>
                </c:ext>
              </c:extLst>
            </c:dLbl>
            <c:dLbl>
              <c:idx val="12"/>
              <c:delete val="1"/>
              <c:extLst>
                <c:ext xmlns:c15="http://schemas.microsoft.com/office/drawing/2012/chart" uri="{CE6537A1-D6FC-4f65-9D91-7224C49458BB}"/>
                <c:ext xmlns:c16="http://schemas.microsoft.com/office/drawing/2014/chart" uri="{C3380CC4-5D6E-409C-BE32-E72D297353CC}">
                  <c16:uniqueId val="{00000019-05DB-4A2F-B61B-4A5954065B92}"/>
                </c:ext>
              </c:extLst>
            </c:dLbl>
            <c:dLbl>
              <c:idx val="13"/>
              <c:delete val="1"/>
              <c:extLst>
                <c:ext xmlns:c15="http://schemas.microsoft.com/office/drawing/2012/chart" uri="{CE6537A1-D6FC-4f65-9D91-7224C49458BB}"/>
                <c:ext xmlns:c16="http://schemas.microsoft.com/office/drawing/2014/chart" uri="{C3380CC4-5D6E-409C-BE32-E72D297353CC}">
                  <c16:uniqueId val="{0000001B-05DB-4A2F-B61B-4A5954065B92}"/>
                </c:ext>
              </c:extLst>
            </c:dLbl>
            <c:dLbl>
              <c:idx val="14"/>
              <c:delete val="1"/>
              <c:extLst>
                <c:ext xmlns:c15="http://schemas.microsoft.com/office/drawing/2012/chart" uri="{CE6537A1-D6FC-4f65-9D91-7224C49458BB}"/>
                <c:ext xmlns:c16="http://schemas.microsoft.com/office/drawing/2014/chart" uri="{C3380CC4-5D6E-409C-BE32-E72D297353CC}">
                  <c16:uniqueId val="{0000001D-05DB-4A2F-B61B-4A5954065B92}"/>
                </c:ext>
              </c:extLst>
            </c:dLbl>
            <c:dLbl>
              <c:idx val="15"/>
              <c:delete val="1"/>
              <c:extLst>
                <c:ext xmlns:c15="http://schemas.microsoft.com/office/drawing/2012/chart" uri="{CE6537A1-D6FC-4f65-9D91-7224C49458BB}"/>
                <c:ext xmlns:c16="http://schemas.microsoft.com/office/drawing/2014/chart" uri="{C3380CC4-5D6E-409C-BE32-E72D297353CC}">
                  <c16:uniqueId val="{0000001F-05DB-4A2F-B61B-4A5954065B92}"/>
                </c:ext>
              </c:extLst>
            </c:dLbl>
            <c:dLbl>
              <c:idx val="16"/>
              <c:delete val="1"/>
              <c:extLst>
                <c:ext xmlns:c15="http://schemas.microsoft.com/office/drawing/2012/chart" uri="{CE6537A1-D6FC-4f65-9D91-7224C49458BB}"/>
                <c:ext xmlns:c16="http://schemas.microsoft.com/office/drawing/2014/chart" uri="{C3380CC4-5D6E-409C-BE32-E72D297353CC}">
                  <c16:uniqueId val="{00000021-05DB-4A2F-B61B-4A5954065B92}"/>
                </c:ext>
              </c:extLst>
            </c:dLbl>
            <c:dLbl>
              <c:idx val="17"/>
              <c:delete val="1"/>
              <c:extLst>
                <c:ext xmlns:c15="http://schemas.microsoft.com/office/drawing/2012/chart" uri="{CE6537A1-D6FC-4f65-9D91-7224C49458BB}"/>
                <c:ext xmlns:c16="http://schemas.microsoft.com/office/drawing/2014/chart" uri="{C3380CC4-5D6E-409C-BE32-E72D297353CC}">
                  <c16:uniqueId val="{00000023-05DB-4A2F-B61B-4A5954065B92}"/>
                </c:ext>
              </c:extLst>
            </c:dLbl>
            <c:dLbl>
              <c:idx val="18"/>
              <c:delete val="1"/>
              <c:extLst>
                <c:ext xmlns:c15="http://schemas.microsoft.com/office/drawing/2012/chart" uri="{CE6537A1-D6FC-4f65-9D91-7224C49458BB}"/>
                <c:ext xmlns:c16="http://schemas.microsoft.com/office/drawing/2014/chart" uri="{C3380CC4-5D6E-409C-BE32-E72D297353CC}">
                  <c16:uniqueId val="{00000025-05DB-4A2F-B61B-4A5954065B92}"/>
                </c:ext>
              </c:extLst>
            </c:dLbl>
            <c:dLbl>
              <c:idx val="19"/>
              <c:delete val="1"/>
              <c:extLst>
                <c:ext xmlns:c15="http://schemas.microsoft.com/office/drawing/2012/chart" uri="{CE6537A1-D6FC-4f65-9D91-7224C49458BB}"/>
                <c:ext xmlns:c16="http://schemas.microsoft.com/office/drawing/2014/chart" uri="{C3380CC4-5D6E-409C-BE32-E72D297353CC}">
                  <c16:uniqueId val="{00000027-05DB-4A2F-B61B-4A5954065B92}"/>
                </c:ext>
              </c:extLst>
            </c:dLbl>
            <c:dLbl>
              <c:idx val="20"/>
              <c:delete val="1"/>
              <c:extLst>
                <c:ext xmlns:c15="http://schemas.microsoft.com/office/drawing/2012/chart" uri="{CE6537A1-D6FC-4f65-9D91-7224C49458BB}"/>
                <c:ext xmlns:c16="http://schemas.microsoft.com/office/drawing/2014/chart" uri="{C3380CC4-5D6E-409C-BE32-E72D297353CC}">
                  <c16:uniqueId val="{00000029-05DB-4A2F-B61B-4A5954065B92}"/>
                </c:ext>
              </c:extLst>
            </c:dLbl>
            <c:dLbl>
              <c:idx val="21"/>
              <c:delete val="1"/>
              <c:extLst>
                <c:ext xmlns:c15="http://schemas.microsoft.com/office/drawing/2012/chart" uri="{CE6537A1-D6FC-4f65-9D91-7224C49458BB}"/>
                <c:ext xmlns:c16="http://schemas.microsoft.com/office/drawing/2014/chart" uri="{C3380CC4-5D6E-409C-BE32-E72D297353CC}">
                  <c16:uniqueId val="{0000002B-05DB-4A2F-B61B-4A5954065B92}"/>
                </c:ext>
              </c:extLst>
            </c:dLbl>
            <c:dLbl>
              <c:idx val="22"/>
              <c:delete val="1"/>
              <c:extLst>
                <c:ext xmlns:c15="http://schemas.microsoft.com/office/drawing/2012/chart" uri="{CE6537A1-D6FC-4f65-9D91-7224C49458BB}"/>
                <c:ext xmlns:c16="http://schemas.microsoft.com/office/drawing/2014/chart" uri="{C3380CC4-5D6E-409C-BE32-E72D297353CC}">
                  <c16:uniqueId val="{0000002D-05DB-4A2F-B61B-4A5954065B92}"/>
                </c:ext>
              </c:extLst>
            </c:dLbl>
            <c:dLbl>
              <c:idx val="23"/>
              <c:delete val="1"/>
              <c:extLst>
                <c:ext xmlns:c15="http://schemas.microsoft.com/office/drawing/2012/chart" uri="{CE6537A1-D6FC-4f65-9D91-7224C49458BB}"/>
                <c:ext xmlns:c16="http://schemas.microsoft.com/office/drawing/2014/chart" uri="{C3380CC4-5D6E-409C-BE32-E72D297353CC}">
                  <c16:uniqueId val="{0000002F-05DB-4A2F-B61B-4A5954065B92}"/>
                </c:ext>
              </c:extLst>
            </c:dLbl>
            <c:dLbl>
              <c:idx val="24"/>
              <c:delete val="1"/>
              <c:extLst>
                <c:ext xmlns:c15="http://schemas.microsoft.com/office/drawing/2012/chart" uri="{CE6537A1-D6FC-4f65-9D91-7224C49458BB}"/>
                <c:ext xmlns:c16="http://schemas.microsoft.com/office/drawing/2014/chart" uri="{C3380CC4-5D6E-409C-BE32-E72D297353CC}">
                  <c16:uniqueId val="{00000031-05DB-4A2F-B61B-4A5954065B92}"/>
                </c:ext>
              </c:extLst>
            </c:dLbl>
            <c:dLbl>
              <c:idx val="25"/>
              <c:delete val="1"/>
              <c:extLst>
                <c:ext xmlns:c15="http://schemas.microsoft.com/office/drawing/2012/chart" uri="{CE6537A1-D6FC-4f65-9D91-7224C49458BB}"/>
                <c:ext xmlns:c16="http://schemas.microsoft.com/office/drawing/2014/chart" uri="{C3380CC4-5D6E-409C-BE32-E72D297353CC}">
                  <c16:uniqueId val="{00000033-05DB-4A2F-B61B-4A5954065B92}"/>
                </c:ext>
              </c:extLst>
            </c:dLbl>
            <c:dLbl>
              <c:idx val="26"/>
              <c:delete val="1"/>
              <c:extLst>
                <c:ext xmlns:c15="http://schemas.microsoft.com/office/drawing/2012/chart" uri="{CE6537A1-D6FC-4f65-9D91-7224C49458BB}"/>
                <c:ext xmlns:c16="http://schemas.microsoft.com/office/drawing/2014/chart" uri="{C3380CC4-5D6E-409C-BE32-E72D297353CC}">
                  <c16:uniqueId val="{00000035-05DB-4A2F-B61B-4A5954065B92}"/>
                </c:ext>
              </c:extLst>
            </c:dLbl>
            <c:dLbl>
              <c:idx val="27"/>
              <c:delete val="1"/>
              <c:extLst>
                <c:ext xmlns:c15="http://schemas.microsoft.com/office/drawing/2012/chart" uri="{CE6537A1-D6FC-4f65-9D91-7224C49458BB}"/>
                <c:ext xmlns:c16="http://schemas.microsoft.com/office/drawing/2014/chart" uri="{C3380CC4-5D6E-409C-BE32-E72D297353CC}">
                  <c16:uniqueId val="{00000037-05DB-4A2F-B61B-4A5954065B92}"/>
                </c:ext>
              </c:extLst>
            </c:dLbl>
            <c:dLbl>
              <c:idx val="28"/>
              <c:delete val="1"/>
              <c:extLst>
                <c:ext xmlns:c15="http://schemas.microsoft.com/office/drawing/2012/chart" uri="{CE6537A1-D6FC-4f65-9D91-7224C49458BB}"/>
                <c:ext xmlns:c16="http://schemas.microsoft.com/office/drawing/2014/chart" uri="{C3380CC4-5D6E-409C-BE32-E72D297353CC}">
                  <c16:uniqueId val="{00000039-05DB-4A2F-B61B-4A5954065B92}"/>
                </c:ext>
              </c:extLst>
            </c:dLbl>
            <c:dLbl>
              <c:idx val="29"/>
              <c:delete val="1"/>
              <c:extLst>
                <c:ext xmlns:c15="http://schemas.microsoft.com/office/drawing/2012/chart" uri="{CE6537A1-D6FC-4f65-9D91-7224C49458BB}"/>
                <c:ext xmlns:c16="http://schemas.microsoft.com/office/drawing/2014/chart" uri="{C3380CC4-5D6E-409C-BE32-E72D297353CC}">
                  <c16:uniqueId val="{0000003B-05DB-4A2F-B61B-4A5954065B92}"/>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clip" horzOverflow="clip"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bestFit"/>
            <c:showLegendKey val="0"/>
            <c:showVal val="0"/>
            <c:showCatName val="0"/>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Liabilities!$A$4:$A$35</c:f>
              <c:strCache>
                <c:ptCount val="31"/>
                <c:pt idx="0">
                  <c:v>էներգետիկա</c:v>
                </c:pt>
                <c:pt idx="1">
                  <c:v>Առողջապահություն</c:v>
                </c:pt>
                <c:pt idx="2">
                  <c:v>Կրթություն</c:v>
                </c:pt>
                <c:pt idx="3">
                  <c:v>ջրային տնտեսություն</c:v>
                </c:pt>
                <c:pt idx="4">
                  <c:v>փոստային կապի ազգային օպերատոր</c:v>
                </c:pt>
                <c:pt idx="5">
                  <c:v>Այլ</c:v>
                </c:pt>
                <c:pt idx="6">
                  <c:v>ուղևորափոխադրում</c:v>
                </c:pt>
                <c:pt idx="7">
                  <c:v>հեռուստառադիո-հեռարձակում, կապ</c:v>
                </c:pt>
                <c:pt idx="8">
                  <c:v>Արդյունաբերություն</c:v>
                </c:pt>
                <c:pt idx="9">
                  <c:v>ավտոկայանատեղի կազմակերպում</c:v>
                </c:pt>
                <c:pt idx="10">
                  <c:v>Ապահովագրություն</c:v>
                </c:pt>
                <c:pt idx="11">
                  <c:v>գիտություն</c:v>
                </c:pt>
                <c:pt idx="12">
                  <c:v>Մշակույթ</c:v>
                </c:pt>
                <c:pt idx="13">
                  <c:v>Թվայնացման ծառայությունների մատուցում</c:v>
                </c:pt>
                <c:pt idx="14">
                  <c:v>կոմունալ</c:v>
                </c:pt>
                <c:pt idx="15">
                  <c:v>բարեկարգում</c:v>
                </c:pt>
                <c:pt idx="16">
                  <c:v>Սպորտային և մարզական միջոցառումների կազմակերպում  </c:v>
                </c:pt>
                <c:pt idx="17">
                  <c:v>Լաբորատոր ծառայություններ</c:v>
                </c:pt>
                <c:pt idx="18">
                  <c:v>Գյուղատնտեսություն</c:v>
                </c:pt>
                <c:pt idx="19">
                  <c:v>առևտրային</c:v>
                </c:pt>
                <c:pt idx="20">
                  <c:v>Սեփական կամ վարձակալված անշարժ գույքի հանձնում վարձակալության </c:v>
                </c:pt>
                <c:pt idx="21">
                  <c:v>Հրատարակչական, տեղեկատվական ծառայություններ</c:v>
                </c:pt>
                <c:pt idx="22">
                  <c:v>տեղեկատվական տեխնոլոգիաներ</c:v>
                </c:pt>
                <c:pt idx="23">
                  <c:v>սուրհանդակային   և փոստային կապի ծառայություն</c:v>
                </c:pt>
                <c:pt idx="24">
                  <c:v>Երևան քաղաքի վերգետնյա տրանսպորտի դիսպետչերական ծառայություն</c:v>
                </c:pt>
                <c:pt idx="25">
                  <c:v>լրատվական գործակալություն</c:v>
                </c:pt>
                <c:pt idx="26">
                  <c:v>Քաղաքաշինական 
բնագավառ</c:v>
                </c:pt>
                <c:pt idx="27">
                  <c:v>վերելակների սպասարկում</c:v>
                </c:pt>
                <c:pt idx="28">
                  <c:v>Շինարարություն</c:v>
                </c:pt>
                <c:pt idx="29">
                  <c:v>կոշտ թափոնների կառավարում</c:v>
                </c:pt>
                <c:pt idx="30">
                  <c:v>Շաբաթաթերթ</c:v>
                </c:pt>
              </c:strCache>
            </c:strRef>
          </c:cat>
          <c:val>
            <c:numRef>
              <c:f>Liabilities!$B$4:$B$35</c:f>
              <c:numCache>
                <c:formatCode>_(* #\,##0_);_(* \(#\,##0\);_(* "-"??_);_(@_)</c:formatCode>
                <c:ptCount val="31"/>
                <c:pt idx="0">
                  <c:v>370659844</c:v>
                </c:pt>
                <c:pt idx="1">
                  <c:v>41878018.098000012</c:v>
                </c:pt>
                <c:pt idx="2">
                  <c:v>32944544.300000001</c:v>
                </c:pt>
                <c:pt idx="3">
                  <c:v>25443942.300000001</c:v>
                </c:pt>
                <c:pt idx="4">
                  <c:v>10426884</c:v>
                </c:pt>
                <c:pt idx="5">
                  <c:v>8455280.5</c:v>
                </c:pt>
                <c:pt idx="6">
                  <c:v>7665246</c:v>
                </c:pt>
                <c:pt idx="7">
                  <c:v>7030689</c:v>
                </c:pt>
                <c:pt idx="8">
                  <c:v>2530008.62</c:v>
                </c:pt>
                <c:pt idx="9">
                  <c:v>1743599.4</c:v>
                </c:pt>
                <c:pt idx="10">
                  <c:v>1144260</c:v>
                </c:pt>
                <c:pt idx="11">
                  <c:v>973157</c:v>
                </c:pt>
                <c:pt idx="12">
                  <c:v>498417.9</c:v>
                </c:pt>
                <c:pt idx="13">
                  <c:v>483195</c:v>
                </c:pt>
                <c:pt idx="14">
                  <c:v>387239</c:v>
                </c:pt>
                <c:pt idx="15">
                  <c:v>385447</c:v>
                </c:pt>
                <c:pt idx="16">
                  <c:v>285743</c:v>
                </c:pt>
                <c:pt idx="17">
                  <c:v>198410</c:v>
                </c:pt>
                <c:pt idx="18">
                  <c:v>121689</c:v>
                </c:pt>
                <c:pt idx="19">
                  <c:v>91782</c:v>
                </c:pt>
                <c:pt idx="20">
                  <c:v>57672.800000000003</c:v>
                </c:pt>
                <c:pt idx="21">
                  <c:v>54498.896000000001</c:v>
                </c:pt>
                <c:pt idx="22">
                  <c:v>54084</c:v>
                </c:pt>
                <c:pt idx="23">
                  <c:v>44194</c:v>
                </c:pt>
                <c:pt idx="24">
                  <c:v>25034</c:v>
                </c:pt>
                <c:pt idx="25">
                  <c:v>14689.5</c:v>
                </c:pt>
                <c:pt idx="26">
                  <c:v>8150</c:v>
                </c:pt>
                <c:pt idx="27">
                  <c:v>2293</c:v>
                </c:pt>
                <c:pt idx="28">
                  <c:v>626</c:v>
                </c:pt>
                <c:pt idx="29">
                  <c:v>243</c:v>
                </c:pt>
              </c:numCache>
            </c:numRef>
          </c:val>
          <c:extLst>
            <c:ext xmlns:c16="http://schemas.microsoft.com/office/drawing/2014/chart" uri="{C3380CC4-5D6E-409C-BE32-E72D297353CC}">
              <c16:uniqueId val="{0000003E-05DB-4A2F-B61B-4A5954065B92}"/>
            </c:ext>
          </c:extLst>
        </c:ser>
        <c:dLbls>
          <c:showLegendKey val="0"/>
          <c:showVal val="0"/>
          <c:showCatName val="0"/>
          <c:showSerName val="0"/>
          <c:showPercent val="1"/>
          <c:showBubbleSize val="0"/>
          <c:showLeaderLines val="0"/>
        </c:dLbls>
      </c:pie3DChart>
      <c:spPr>
        <a:noFill/>
        <a:ln>
          <a:noFill/>
        </a:ln>
        <a:effectLst/>
      </c:spPr>
    </c:plotArea>
    <c:legend>
      <c:legendPos val="r"/>
      <c:layout>
        <c:manualLayout>
          <c:xMode val="edge"/>
          <c:yMode val="edge"/>
          <c:x val="0.55580699754159724"/>
          <c:y val="4.7683496938940743E-2"/>
          <c:w val="0.43061834182491915"/>
          <c:h val="0.7353464281293742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lang="en-US" sz="900" b="0" i="0" u="none" strike="noStrike" kern="1200" baseline="0">
              <a:solidFill>
                <a:schemeClr val="dk1">
                  <a:lumMod val="75000"/>
                  <a:lumOff val="25000"/>
                </a:schemeClr>
              </a:solidFill>
              <a:latin typeface="+mn-lt"/>
              <a:ea typeface="+mn-ea"/>
              <a:cs typeface="+mn-cs"/>
            </a:defRPr>
          </a:pPr>
          <a:endParaRPr lang="en-US"/>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prstDash val="solid"/>
      <a:round/>
    </a:ln>
    <a:effectLst/>
  </c:spPr>
  <c:txPr>
    <a:bodyPr/>
    <a:lstStyle/>
    <a:p>
      <a:pPr>
        <a:defRPr lang="en-US"/>
      </a:pPr>
      <a:endParaRPr lang="en-US"/>
    </a:p>
  </c:txPr>
  <c:externalData r:id="rId1">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y-AM" sz="800"/>
              <a:t>Բյուջեի հաշվեկշռի փոփոխություն</a:t>
            </a:r>
          </a:p>
        </c:rich>
      </c:tx>
      <c:layout>
        <c:manualLayout>
          <c:xMode val="edge"/>
          <c:yMode val="edge"/>
          <c:x val="0.17973059653624118"/>
          <c:y val="0"/>
        </c:manualLayout>
      </c:layout>
      <c:overlay val="0"/>
    </c:title>
    <c:autoTitleDeleted val="0"/>
    <c:plotArea>
      <c:layout>
        <c:manualLayout>
          <c:layoutTarget val="inner"/>
          <c:xMode val="edge"/>
          <c:yMode val="edge"/>
          <c:x val="0.1928996429094432"/>
          <c:y val="8.6235397045957493E-2"/>
          <c:w val="0.74415328985164275"/>
          <c:h val="0.62905048633626681"/>
        </c:manualLayout>
      </c:layout>
      <c:barChart>
        <c:barDir val="col"/>
        <c:grouping val="clustered"/>
        <c:varyColors val="0"/>
        <c:ser>
          <c:idx val="0"/>
          <c:order val="0"/>
          <c:tx>
            <c:strRef>
              <c:f>Sheet1!$B$1</c:f>
              <c:strCache>
                <c:ptCount val="1"/>
                <c:pt idx="0">
                  <c:v>Բյուջեի հաշվեկշռի փոփոխություն</c:v>
                </c:pt>
              </c:strCache>
            </c:strRef>
          </c:tx>
          <c:spPr>
            <a:solidFill>
              <a:srgbClr val="5B9BD5">
                <a:lumMod val="75000"/>
              </a:srgbClr>
            </a:solidFill>
            <a:ln>
              <a:solidFill>
                <a:srgbClr val="5B9BD5">
                  <a:lumMod val="75000"/>
                </a:srgbClr>
              </a:solidFill>
            </a:ln>
            <a:effectLst/>
          </c:spPr>
          <c:invertIfNegative val="0"/>
          <c:dPt>
            <c:idx val="0"/>
            <c:invertIfNegative val="0"/>
            <c:bubble3D val="0"/>
            <c:spPr>
              <a:solidFill>
                <a:srgbClr val="C00000"/>
              </a:solidFill>
              <a:ln>
                <a:solidFill>
                  <a:srgbClr val="C00000"/>
                </a:solidFill>
              </a:ln>
              <a:effectLst/>
            </c:spPr>
            <c:extLst>
              <c:ext xmlns:c16="http://schemas.microsoft.com/office/drawing/2014/chart" uri="{C3380CC4-5D6E-409C-BE32-E72D297353CC}">
                <c16:uniqueId val="{00000001-3A07-48C4-B900-50B1D55D8DAF}"/>
              </c:ext>
            </c:extLst>
          </c:dPt>
          <c:dPt>
            <c:idx val="2"/>
            <c:invertIfNegative val="0"/>
            <c:bubble3D val="0"/>
            <c:spPr>
              <a:solidFill>
                <a:srgbClr val="C00000"/>
              </a:solidFill>
              <a:ln>
                <a:solidFill>
                  <a:srgbClr val="C00000"/>
                </a:solidFill>
              </a:ln>
              <a:effectLst/>
            </c:spPr>
            <c:extLst>
              <c:ext xmlns:c16="http://schemas.microsoft.com/office/drawing/2014/chart" uri="{C3380CC4-5D6E-409C-BE32-E72D297353CC}">
                <c16:uniqueId val="{00000003-3A07-48C4-B900-50B1D55D8DA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2009 GFC</c:v>
                </c:pt>
                <c:pt idx="1">
                  <c:v>2010</c:v>
                </c:pt>
                <c:pt idx="2">
                  <c:v>2020 COVID-19</c:v>
                </c:pt>
                <c:pt idx="3">
                  <c:v>2021</c:v>
                </c:pt>
              </c:strCache>
            </c:strRef>
          </c:cat>
          <c:val>
            <c:numRef>
              <c:f>Sheet1!$B$2:$B$5</c:f>
              <c:numCache>
                <c:formatCode>General</c:formatCode>
                <c:ptCount val="4"/>
                <c:pt idx="0">
                  <c:v>-5.0999999999999996</c:v>
                </c:pt>
                <c:pt idx="1">
                  <c:v>1.3999999999999995</c:v>
                </c:pt>
                <c:pt idx="2">
                  <c:v>-7.3000000000000007</c:v>
                </c:pt>
                <c:pt idx="3">
                  <c:v>1.7000000000000011</c:v>
                </c:pt>
              </c:numCache>
            </c:numRef>
          </c:val>
          <c:extLst>
            <c:ext xmlns:c16="http://schemas.microsoft.com/office/drawing/2014/chart" uri="{C3380CC4-5D6E-409C-BE32-E72D297353CC}">
              <c16:uniqueId val="{00000004-3A07-48C4-B900-50B1D55D8DAF}"/>
            </c:ext>
          </c:extLst>
        </c:ser>
        <c:dLbls>
          <c:showLegendKey val="0"/>
          <c:showVal val="0"/>
          <c:showCatName val="0"/>
          <c:showSerName val="0"/>
          <c:showPercent val="0"/>
          <c:showBubbleSize val="0"/>
        </c:dLbls>
        <c:gapWidth val="219"/>
        <c:overlap val="-27"/>
        <c:axId val="131633536"/>
        <c:axId val="131635072"/>
      </c:barChart>
      <c:catAx>
        <c:axId val="131633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1635072"/>
        <c:crosses val="autoZero"/>
        <c:auto val="1"/>
        <c:lblAlgn val="ctr"/>
        <c:lblOffset val="100"/>
        <c:noMultiLvlLbl val="0"/>
      </c:catAx>
      <c:valAx>
        <c:axId val="1316350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en-US" sz="900" b="0" i="0" u="none" strike="noStrike" kern="1200" baseline="0">
                    <a:solidFill>
                      <a:sysClr val="windowText" lastClr="000000">
                        <a:lumMod val="65000"/>
                        <a:lumOff val="35000"/>
                      </a:sysClr>
                    </a:solidFill>
                    <a:latin typeface="GHEA Grapalat" panose="02000506050000020003" pitchFamily="50" charset="0"/>
                    <a:ea typeface="+mn-ea"/>
                    <a:cs typeface="+mn-cs"/>
                  </a:rPr>
                  <a:t>տոկոսայ</a:t>
                </a:r>
                <a:r>
                  <a:rPr lang="hy-AM" sz="900" b="0" i="0" u="none" strike="noStrike" kern="1200" baseline="0">
                    <a:solidFill>
                      <a:sysClr val="windowText" lastClr="000000">
                        <a:lumMod val="65000"/>
                        <a:lumOff val="35000"/>
                      </a:sysClr>
                    </a:solidFill>
                    <a:latin typeface="GHEA Grapalat" panose="02000506050000020003" pitchFamily="50" charset="0"/>
                    <a:ea typeface="+mn-ea"/>
                    <a:cs typeface="+mn-cs"/>
                  </a:rPr>
                  <a:t>ին</a:t>
                </a:r>
                <a:r>
                  <a:rPr lang="hy-AM" sz="900">
                    <a:latin typeface="GHEA Grapalat" panose="02000506050000020003" pitchFamily="50" charset="0"/>
                  </a:rPr>
                  <a:t> կետ</a:t>
                </a:r>
                <a:endParaRPr lang="en-US" sz="900">
                  <a:latin typeface="GHEA Grapalat" panose="02000506050000020003" pitchFamily="50" charset="0"/>
                </a:endParaRP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1633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0.64655</cdr:x>
      <cdr:y>0.00474</cdr:y>
    </cdr:from>
    <cdr:to>
      <cdr:x>1</cdr:x>
      <cdr:y>0.85714</cdr:y>
    </cdr:to>
    <cdr:sp macro="" textlink="">
      <cdr:nvSpPr>
        <cdr:cNvPr id="2" name="Rectangle 1"/>
        <cdr:cNvSpPr/>
      </cdr:nvSpPr>
      <cdr:spPr>
        <a:xfrm xmlns:a="http://schemas.openxmlformats.org/drawingml/2006/main">
          <a:off x="2026110" y="8533"/>
          <a:ext cx="1107615" cy="1534517"/>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10.xml><?xml version="1.0" encoding="utf-8"?>
<c:userShapes xmlns:c="http://schemas.openxmlformats.org/drawingml/2006/chart">
  <cdr:relSizeAnchor xmlns:cdr="http://schemas.openxmlformats.org/drawingml/2006/chartDrawing">
    <cdr:from>
      <cdr:x>0.41391</cdr:x>
      <cdr:y>0.01981</cdr:y>
    </cdr:from>
    <cdr:to>
      <cdr:x>0.98533</cdr:x>
      <cdr:y>0.70474</cdr:y>
    </cdr:to>
    <cdr:sp macro="" textlink="">
      <cdr:nvSpPr>
        <cdr:cNvPr id="2" name="Rectangle 1"/>
        <cdr:cNvSpPr/>
      </cdr:nvSpPr>
      <cdr:spPr>
        <a:xfrm xmlns:a="http://schemas.openxmlformats.org/drawingml/2006/main">
          <a:off x="1265540" y="38100"/>
          <a:ext cx="1747131" cy="1317407"/>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en-US"/>
        </a:p>
      </cdr:txBody>
    </cdr:sp>
  </cdr:relSizeAnchor>
</c:userShapes>
</file>

<file path=word/drawings/drawing11.xml><?xml version="1.0" encoding="utf-8"?>
<c:userShapes xmlns:c="http://schemas.openxmlformats.org/drawingml/2006/chart">
  <cdr:relSizeAnchor xmlns:cdr="http://schemas.openxmlformats.org/drawingml/2006/chartDrawing">
    <cdr:from>
      <cdr:x>0.39474</cdr:x>
      <cdr:y>0.0215</cdr:y>
    </cdr:from>
    <cdr:to>
      <cdr:x>0.97524</cdr:x>
      <cdr:y>0.75559</cdr:y>
    </cdr:to>
    <cdr:sp macro="" textlink="">
      <cdr:nvSpPr>
        <cdr:cNvPr id="2" name="Rectangle 1"/>
        <cdr:cNvSpPr/>
      </cdr:nvSpPr>
      <cdr:spPr>
        <a:xfrm xmlns:a="http://schemas.openxmlformats.org/drawingml/2006/main">
          <a:off x="1279119" y="43078"/>
          <a:ext cx="1881047" cy="1471169"/>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2.xml><?xml version="1.0" encoding="utf-8"?>
<c:userShapes xmlns:c="http://schemas.openxmlformats.org/drawingml/2006/chart">
  <cdr:relSizeAnchor xmlns:cdr="http://schemas.openxmlformats.org/drawingml/2006/chartDrawing">
    <cdr:from>
      <cdr:x>0.39477</cdr:x>
      <cdr:y>0.02808</cdr:y>
    </cdr:from>
    <cdr:to>
      <cdr:x>0.98333</cdr:x>
      <cdr:y>0.74892</cdr:y>
    </cdr:to>
    <cdr:sp macro="" textlink="">
      <cdr:nvSpPr>
        <cdr:cNvPr id="2" name="Rectangle 1"/>
        <cdr:cNvSpPr/>
      </cdr:nvSpPr>
      <cdr:spPr>
        <a:xfrm xmlns:a="http://schemas.openxmlformats.org/drawingml/2006/main">
          <a:off x="1207008" y="57302"/>
          <a:ext cx="1799539" cy="1471169"/>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3.xml><?xml version="1.0" encoding="utf-8"?>
<c:userShapes xmlns:c="http://schemas.openxmlformats.org/drawingml/2006/chart">
  <cdr:relSizeAnchor xmlns:cdr="http://schemas.openxmlformats.org/drawingml/2006/chartDrawing">
    <cdr:from>
      <cdr:x>0.45619</cdr:x>
      <cdr:y>0.0606</cdr:y>
    </cdr:from>
    <cdr:to>
      <cdr:x>0.97167</cdr:x>
      <cdr:y>0.8165</cdr:y>
    </cdr:to>
    <cdr:sp macro="" textlink="">
      <cdr:nvSpPr>
        <cdr:cNvPr id="2" name="Rectangle 1"/>
        <cdr:cNvSpPr/>
      </cdr:nvSpPr>
      <cdr:spPr>
        <a:xfrm xmlns:a="http://schemas.openxmlformats.org/drawingml/2006/main">
          <a:off x="1438275" y="180974"/>
          <a:ext cx="1625196" cy="2257425"/>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14.xml><?xml version="1.0" encoding="utf-8"?>
<c:userShapes xmlns:c="http://schemas.openxmlformats.org/drawingml/2006/chart">
  <cdr:relSizeAnchor xmlns:cdr="http://schemas.openxmlformats.org/drawingml/2006/chartDrawing">
    <cdr:from>
      <cdr:x>0.425</cdr:x>
      <cdr:y>0.07006</cdr:y>
    </cdr:from>
    <cdr:to>
      <cdr:x>1</cdr:x>
      <cdr:y>0.85669</cdr:y>
    </cdr:to>
    <cdr:sp macro="" textlink="">
      <cdr:nvSpPr>
        <cdr:cNvPr id="3" name="Rectangle 2"/>
        <cdr:cNvSpPr/>
      </cdr:nvSpPr>
      <cdr:spPr>
        <a:xfrm xmlns:a="http://schemas.openxmlformats.org/drawingml/2006/main">
          <a:off x="1295400" y="209550"/>
          <a:ext cx="1752600" cy="2352674"/>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15.xml><?xml version="1.0" encoding="utf-8"?>
<c:userShapes xmlns:c="http://schemas.openxmlformats.org/drawingml/2006/chart">
  <cdr:relSizeAnchor xmlns:cdr="http://schemas.openxmlformats.org/drawingml/2006/chartDrawing">
    <cdr:from>
      <cdr:x>0.36915</cdr:x>
      <cdr:y>0</cdr:y>
    </cdr:from>
    <cdr:to>
      <cdr:x>1</cdr:x>
      <cdr:y>0.86918</cdr:y>
    </cdr:to>
    <cdr:sp macro="" textlink="">
      <cdr:nvSpPr>
        <cdr:cNvPr id="3" name="Rectangle 2">
          <a:extLst xmlns:a="http://schemas.openxmlformats.org/drawingml/2006/main">
            <a:ext uri="{FF2B5EF4-FFF2-40B4-BE49-F238E27FC236}">
              <a16:creationId xmlns:a16="http://schemas.microsoft.com/office/drawing/2014/main" id="{C3022921-6978-44F3-893D-35C746FCD3B9}"/>
            </a:ext>
          </a:extLst>
        </cdr:cNvPr>
        <cdr:cNvSpPr/>
      </cdr:nvSpPr>
      <cdr:spPr>
        <a:xfrm xmlns:a="http://schemas.openxmlformats.org/drawingml/2006/main">
          <a:off x="2367778" y="0"/>
          <a:ext cx="4046357" cy="2502999"/>
        </a:xfrm>
        <a:prstGeom xmlns:a="http://schemas.openxmlformats.org/drawingml/2006/main" prst="rect">
          <a:avLst/>
        </a:prstGeom>
        <a:solidFill xmlns:a="http://schemas.openxmlformats.org/drawingml/2006/main">
          <a:schemeClr val="bg1">
            <a:lumMod val="50000"/>
            <a:alpha val="1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dirty="0"/>
        </a:p>
      </cdr:txBody>
    </cdr:sp>
  </cdr:relSizeAnchor>
</c:userShapes>
</file>

<file path=word/drawings/drawing16.xml><?xml version="1.0" encoding="utf-8"?>
<c:userShapes xmlns:c="http://schemas.openxmlformats.org/drawingml/2006/chart">
  <cdr:relSizeAnchor xmlns:cdr="http://schemas.openxmlformats.org/drawingml/2006/chartDrawing">
    <cdr:from>
      <cdr:x>0.3589</cdr:x>
      <cdr:y>0.01129</cdr:y>
    </cdr:from>
    <cdr:to>
      <cdr:x>1</cdr:x>
      <cdr:y>0.80528</cdr:y>
    </cdr:to>
    <cdr:sp macro="" textlink="">
      <cdr:nvSpPr>
        <cdr:cNvPr id="3" name="Rectangle 2">
          <a:extLst xmlns:a="http://schemas.openxmlformats.org/drawingml/2006/main">
            <a:ext uri="{FF2B5EF4-FFF2-40B4-BE49-F238E27FC236}">
              <a16:creationId xmlns:a16="http://schemas.microsoft.com/office/drawing/2014/main" id="{C3022921-6978-44F3-893D-35C746FCD3B9}"/>
            </a:ext>
          </a:extLst>
        </cdr:cNvPr>
        <cdr:cNvSpPr/>
      </cdr:nvSpPr>
      <cdr:spPr>
        <a:xfrm xmlns:a="http://schemas.openxmlformats.org/drawingml/2006/main">
          <a:off x="1104183" y="32585"/>
          <a:ext cx="1972392" cy="2291516"/>
        </a:xfrm>
        <a:prstGeom xmlns:a="http://schemas.openxmlformats.org/drawingml/2006/main" prst="rect">
          <a:avLst/>
        </a:prstGeom>
        <a:solidFill xmlns:a="http://schemas.openxmlformats.org/drawingml/2006/main">
          <a:schemeClr val="bg1">
            <a:lumMod val="50000"/>
            <a:alpha val="1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dirty="0"/>
        </a:p>
      </cdr:txBody>
    </cdr:sp>
  </cdr:relSizeAnchor>
</c:userShapes>
</file>

<file path=word/drawings/drawing17.xml><?xml version="1.0" encoding="utf-8"?>
<c:userShapes xmlns:c="http://schemas.openxmlformats.org/drawingml/2006/chart">
  <cdr:relSizeAnchor xmlns:cdr="http://schemas.openxmlformats.org/drawingml/2006/chartDrawing">
    <cdr:from>
      <cdr:x>0.44532</cdr:x>
      <cdr:y>0.31887</cdr:y>
    </cdr:from>
    <cdr:to>
      <cdr:x>0.915</cdr:x>
      <cdr:y>0.32083</cdr:y>
    </cdr:to>
    <cdr:cxnSp macro="">
      <cdr:nvCxnSpPr>
        <cdr:cNvPr id="3" name="Straight Arrow Connector 2"/>
        <cdr:cNvCxnSpPr/>
      </cdr:nvCxnSpPr>
      <cdr:spPr>
        <a:xfrm xmlns:a="http://schemas.openxmlformats.org/drawingml/2006/main">
          <a:off x="2725136" y="918266"/>
          <a:ext cx="2874204" cy="5645"/>
        </a:xfrm>
        <a:prstGeom xmlns:a="http://schemas.openxmlformats.org/drawingml/2006/main" prst="straightConnector1">
          <a:avLst/>
        </a:prstGeom>
        <a:ln xmlns:a="http://schemas.openxmlformats.org/drawingml/2006/main" w="19050">
          <a:prstDash val="dash"/>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0.40525</cdr:x>
      <cdr:y>0.5854</cdr:y>
    </cdr:from>
    <cdr:to>
      <cdr:x>0.89867</cdr:x>
      <cdr:y>0.63231</cdr:y>
    </cdr:to>
    <cdr:cxnSp macro="">
      <cdr:nvCxnSpPr>
        <cdr:cNvPr id="4" name="Straight Arrow Connector 3"/>
        <cdr:cNvCxnSpPr/>
      </cdr:nvCxnSpPr>
      <cdr:spPr>
        <a:xfrm xmlns:a="http://schemas.openxmlformats.org/drawingml/2006/main" flipV="1">
          <a:off x="2042447" y="1979276"/>
          <a:ext cx="2486826" cy="158613"/>
        </a:xfrm>
        <a:prstGeom xmlns:a="http://schemas.openxmlformats.org/drawingml/2006/main" prst="straightConnector1">
          <a:avLst/>
        </a:prstGeom>
        <a:ln xmlns:a="http://schemas.openxmlformats.org/drawingml/2006/main" w="19050">
          <a:solidFill>
            <a:schemeClr val="accent2"/>
          </a:solidFill>
          <a:prstDash val="dash"/>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0.34421</cdr:x>
      <cdr:y>3.46491E-7</cdr:y>
    </cdr:from>
    <cdr:to>
      <cdr:x>1</cdr:x>
      <cdr:y>0.83168</cdr:y>
    </cdr:to>
    <cdr:sp macro="" textlink="">
      <cdr:nvSpPr>
        <cdr:cNvPr id="6" name="Rectangle 5">
          <a:extLst xmlns:a="http://schemas.openxmlformats.org/drawingml/2006/main">
            <a:ext uri="{FF2B5EF4-FFF2-40B4-BE49-F238E27FC236}">
              <a16:creationId xmlns:a16="http://schemas.microsoft.com/office/drawing/2014/main" id="{C3022921-6978-44F3-893D-35C746FCD3B9}"/>
            </a:ext>
          </a:extLst>
        </cdr:cNvPr>
        <cdr:cNvSpPr/>
      </cdr:nvSpPr>
      <cdr:spPr>
        <a:xfrm xmlns:a="http://schemas.openxmlformats.org/drawingml/2006/main">
          <a:off x="1058988" y="1"/>
          <a:ext cx="2017587" cy="2400299"/>
        </a:xfrm>
        <a:prstGeom xmlns:a="http://schemas.openxmlformats.org/drawingml/2006/main" prst="rect">
          <a:avLst/>
        </a:prstGeom>
        <a:solidFill xmlns:a="http://schemas.openxmlformats.org/drawingml/2006/main">
          <a:schemeClr val="bg1">
            <a:lumMod val="50000"/>
            <a:alpha val="1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dirty="0"/>
        </a:p>
      </cdr:txBody>
    </cdr:sp>
  </cdr:relSizeAnchor>
</c:userShapes>
</file>

<file path=word/drawings/drawing18.xml><?xml version="1.0" encoding="utf-8"?>
<c:userShapes xmlns:c="http://schemas.openxmlformats.org/drawingml/2006/chart">
  <cdr:relSizeAnchor xmlns:cdr="http://schemas.openxmlformats.org/drawingml/2006/chartDrawing">
    <cdr:from>
      <cdr:x>0.77284</cdr:x>
      <cdr:y>0</cdr:y>
    </cdr:from>
    <cdr:to>
      <cdr:x>0.90586</cdr:x>
      <cdr:y>0.87535</cdr:y>
    </cdr:to>
    <cdr:sp macro="" textlink="">
      <cdr:nvSpPr>
        <cdr:cNvPr id="2" name="Rectangle 1"/>
        <cdr:cNvSpPr/>
      </cdr:nvSpPr>
      <cdr:spPr>
        <a:xfrm xmlns:a="http://schemas.openxmlformats.org/drawingml/2006/main">
          <a:off x="2414016" y="0"/>
          <a:ext cx="415497" cy="1486336"/>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9.xml><?xml version="1.0" encoding="utf-8"?>
<c:userShapes xmlns:c="http://schemas.openxmlformats.org/drawingml/2006/chart">
  <cdr:relSizeAnchor xmlns:cdr="http://schemas.openxmlformats.org/drawingml/2006/chartDrawing">
    <cdr:from>
      <cdr:x>0.49119</cdr:x>
      <cdr:y>0</cdr:y>
    </cdr:from>
    <cdr:to>
      <cdr:x>0.98869</cdr:x>
      <cdr:y>0.71651</cdr:y>
    </cdr:to>
    <cdr:sp macro="" textlink="">
      <cdr:nvSpPr>
        <cdr:cNvPr id="2" name="Rectangle 1"/>
        <cdr:cNvSpPr/>
      </cdr:nvSpPr>
      <cdr:spPr>
        <a:xfrm xmlns:a="http://schemas.openxmlformats.org/drawingml/2006/main">
          <a:off x="1519607" y="0"/>
          <a:ext cx="1539112" cy="1221639"/>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0.62463</cdr:x>
      <cdr:y>0</cdr:y>
    </cdr:from>
    <cdr:to>
      <cdr:x>1</cdr:x>
      <cdr:y>0.83491</cdr:y>
    </cdr:to>
    <cdr:sp macro="" textlink="">
      <cdr:nvSpPr>
        <cdr:cNvPr id="2" name="Rectangle 1"/>
        <cdr:cNvSpPr/>
      </cdr:nvSpPr>
      <cdr:spPr>
        <a:xfrm xmlns:a="http://schemas.openxmlformats.org/drawingml/2006/main">
          <a:off x="2028826" y="0"/>
          <a:ext cx="1219199" cy="1685934"/>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20.xml><?xml version="1.0" encoding="utf-8"?>
<c:userShapes xmlns:c="http://schemas.openxmlformats.org/drawingml/2006/chart">
  <cdr:relSizeAnchor xmlns:cdr="http://schemas.openxmlformats.org/drawingml/2006/chartDrawing">
    <cdr:from>
      <cdr:x>0.5082</cdr:x>
      <cdr:y>0</cdr:y>
    </cdr:from>
    <cdr:to>
      <cdr:x>0.96722</cdr:x>
      <cdr:y>0.76567</cdr:y>
    </cdr:to>
    <cdr:sp macro="" textlink="">
      <cdr:nvSpPr>
        <cdr:cNvPr id="2" name="Rectangle 1"/>
        <cdr:cNvSpPr/>
      </cdr:nvSpPr>
      <cdr:spPr>
        <a:xfrm xmlns:a="http://schemas.openxmlformats.org/drawingml/2006/main">
          <a:off x="1587398" y="0"/>
          <a:ext cx="1433779" cy="1280160"/>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1.xml><?xml version="1.0" encoding="utf-8"?>
<c:userShapes xmlns:c="http://schemas.openxmlformats.org/drawingml/2006/chart">
  <cdr:relSizeAnchor xmlns:cdr="http://schemas.openxmlformats.org/drawingml/2006/chartDrawing">
    <cdr:from>
      <cdr:x>0.5837</cdr:x>
      <cdr:y>0</cdr:y>
    </cdr:from>
    <cdr:to>
      <cdr:x>0.96617</cdr:x>
      <cdr:y>0.83722</cdr:y>
    </cdr:to>
    <cdr:sp macro="" textlink="">
      <cdr:nvSpPr>
        <cdr:cNvPr id="2" name="Rectangle 1"/>
        <cdr:cNvSpPr/>
      </cdr:nvSpPr>
      <cdr:spPr>
        <a:xfrm xmlns:a="http://schemas.openxmlformats.org/drawingml/2006/main">
          <a:off x="3053788" y="0"/>
          <a:ext cx="2000993" cy="1943656"/>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2.xml><?xml version="1.0" encoding="utf-8"?>
<c:userShapes xmlns:c="http://schemas.openxmlformats.org/drawingml/2006/chart">
  <cdr:relSizeAnchor xmlns:cdr="http://schemas.openxmlformats.org/drawingml/2006/chartDrawing">
    <cdr:from>
      <cdr:x>0.48792</cdr:x>
      <cdr:y>0.07084</cdr:y>
    </cdr:from>
    <cdr:to>
      <cdr:x>0.95004</cdr:x>
      <cdr:y>0.79503</cdr:y>
    </cdr:to>
    <cdr:sp macro="" textlink="">
      <cdr:nvSpPr>
        <cdr:cNvPr id="2" name="Rectangle 1"/>
        <cdr:cNvSpPr/>
      </cdr:nvSpPr>
      <cdr:spPr>
        <a:xfrm xmlns:a="http://schemas.openxmlformats.org/drawingml/2006/main">
          <a:off x="1513825" y="131674"/>
          <a:ext cx="1433779" cy="1345997"/>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3.xml><?xml version="1.0" encoding="utf-8"?>
<c:userShapes xmlns:c="http://schemas.openxmlformats.org/drawingml/2006/chart">
  <cdr:relSizeAnchor xmlns:cdr="http://schemas.openxmlformats.org/drawingml/2006/chartDrawing">
    <cdr:from>
      <cdr:x>0.48643</cdr:x>
      <cdr:y>0.03501</cdr:y>
    </cdr:from>
    <cdr:to>
      <cdr:x>0.94714</cdr:x>
      <cdr:y>0.72003</cdr:y>
    </cdr:to>
    <cdr:sp macro="" textlink="">
      <cdr:nvSpPr>
        <cdr:cNvPr id="2" name="Rectangle 1"/>
        <cdr:cNvSpPr/>
      </cdr:nvSpPr>
      <cdr:spPr>
        <a:xfrm xmlns:a="http://schemas.openxmlformats.org/drawingml/2006/main">
          <a:off x="1513840" y="65431"/>
          <a:ext cx="1433779" cy="1280160"/>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4.xml><?xml version="1.0" encoding="utf-8"?>
<c:userShapes xmlns:c="http://schemas.openxmlformats.org/drawingml/2006/chart">
  <cdr:relSizeAnchor xmlns:cdr="http://schemas.openxmlformats.org/drawingml/2006/chartDrawing">
    <cdr:from>
      <cdr:x>0.46027</cdr:x>
      <cdr:y>0.02286</cdr:y>
    </cdr:from>
    <cdr:to>
      <cdr:x>0.92016</cdr:x>
      <cdr:y>0.84838</cdr:y>
    </cdr:to>
    <cdr:sp macro="" textlink="">
      <cdr:nvSpPr>
        <cdr:cNvPr id="3" name="Rectangle 2"/>
        <cdr:cNvSpPr/>
      </cdr:nvSpPr>
      <cdr:spPr>
        <a:xfrm xmlns:a="http://schemas.openxmlformats.org/drawingml/2006/main">
          <a:off x="1543193" y="51822"/>
          <a:ext cx="1541913" cy="1871413"/>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5.xml><?xml version="1.0" encoding="utf-8"?>
<c:userShapes xmlns:c="http://schemas.openxmlformats.org/drawingml/2006/chart">
  <cdr:relSizeAnchor xmlns:cdr="http://schemas.openxmlformats.org/drawingml/2006/chartDrawing">
    <cdr:from>
      <cdr:x>0.57939</cdr:x>
      <cdr:y>0.25092</cdr:y>
    </cdr:from>
    <cdr:to>
      <cdr:x>0.90808</cdr:x>
      <cdr:y>0.32841</cdr:y>
    </cdr:to>
    <cdr:cxnSp macro="">
      <cdr:nvCxnSpPr>
        <cdr:cNvPr id="4" name="Straight Arrow Connector 3"/>
        <cdr:cNvCxnSpPr/>
      </cdr:nvCxnSpPr>
      <cdr:spPr>
        <a:xfrm xmlns:a="http://schemas.openxmlformats.org/drawingml/2006/main" flipV="1">
          <a:off x="1981200" y="647700"/>
          <a:ext cx="1123950" cy="20002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0.47354</cdr:x>
      <cdr:y>0.04305</cdr:y>
    </cdr:from>
    <cdr:to>
      <cdr:x>0.94986</cdr:x>
      <cdr:y>0.86054</cdr:y>
    </cdr:to>
    <cdr:sp macro="" textlink="">
      <cdr:nvSpPr>
        <cdr:cNvPr id="5" name="Rectangle 4"/>
        <cdr:cNvSpPr/>
      </cdr:nvSpPr>
      <cdr:spPr>
        <a:xfrm xmlns:a="http://schemas.openxmlformats.org/drawingml/2006/main">
          <a:off x="1619250" y="120557"/>
          <a:ext cx="1628775" cy="2289268"/>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26.xml><?xml version="1.0" encoding="utf-8"?>
<c:userShapes xmlns:c="http://schemas.openxmlformats.org/drawingml/2006/chart">
  <cdr:relSizeAnchor xmlns:cdr="http://schemas.openxmlformats.org/drawingml/2006/chartDrawing">
    <cdr:from>
      <cdr:x>0.38097</cdr:x>
      <cdr:y>0.07497</cdr:y>
    </cdr:from>
    <cdr:to>
      <cdr:x>0.80543</cdr:x>
      <cdr:y>0.21226</cdr:y>
    </cdr:to>
    <cdr:sp macro="" textlink="">
      <cdr:nvSpPr>
        <cdr:cNvPr id="2" name="Text Box 1"/>
        <cdr:cNvSpPr txBox="1"/>
      </cdr:nvSpPr>
      <cdr:spPr>
        <a:xfrm xmlns:a="http://schemas.openxmlformats.org/drawingml/2006/main">
          <a:off x="1128538" y="152092"/>
          <a:ext cx="1257361" cy="27855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latin typeface="GHEA Grapalat" panose="02000506050000020003" pitchFamily="50" charset="0"/>
          </a:endParaRPr>
        </a:p>
      </cdr:txBody>
    </cdr:sp>
  </cdr:relSizeAnchor>
</c:userShapes>
</file>

<file path=word/drawings/drawing27.xml><?xml version="1.0" encoding="utf-8"?>
<c:userShapes xmlns:c="http://schemas.openxmlformats.org/drawingml/2006/chart">
  <cdr:relSizeAnchor xmlns:cdr="http://schemas.openxmlformats.org/drawingml/2006/chartDrawing">
    <cdr:from>
      <cdr:x>0.35093</cdr:x>
      <cdr:y>0.0766</cdr:y>
    </cdr:from>
    <cdr:to>
      <cdr:x>0.73913</cdr:x>
      <cdr:y>0.1895</cdr:y>
    </cdr:to>
    <cdr:sp macro="" textlink="">
      <cdr:nvSpPr>
        <cdr:cNvPr id="2" name="Text Box 1"/>
        <cdr:cNvSpPr txBox="1"/>
      </cdr:nvSpPr>
      <cdr:spPr>
        <a:xfrm xmlns:a="http://schemas.openxmlformats.org/drawingml/2006/main">
          <a:off x="1076325" y="171450"/>
          <a:ext cx="1190625" cy="25273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latin typeface="GHEA Grapalat" panose="02000506050000020003" pitchFamily="50" charset="0"/>
          </a:endParaRPr>
        </a:p>
      </cdr:txBody>
    </cdr:sp>
  </cdr:relSizeAnchor>
</c:userShapes>
</file>

<file path=word/drawings/drawing28.xml><?xml version="1.0" encoding="utf-8"?>
<c:userShapes xmlns:c="http://schemas.openxmlformats.org/drawingml/2006/chart">
  <cdr:relSizeAnchor xmlns:cdr="http://schemas.openxmlformats.org/drawingml/2006/chartDrawing">
    <cdr:from>
      <cdr:x>0.43652</cdr:x>
      <cdr:y>0</cdr:y>
    </cdr:from>
    <cdr:to>
      <cdr:x>0.81483</cdr:x>
      <cdr:y>0.1122</cdr:y>
    </cdr:to>
    <cdr:sp macro="" textlink="">
      <cdr:nvSpPr>
        <cdr:cNvPr id="3" name="Text Box 2"/>
        <cdr:cNvSpPr txBox="1"/>
      </cdr:nvSpPr>
      <cdr:spPr>
        <a:xfrm xmlns:a="http://schemas.openxmlformats.org/drawingml/2006/main">
          <a:off x="1330528" y="-1114425"/>
          <a:ext cx="1153059" cy="2490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hy-AM" sz="1000" b="1">
              <a:latin typeface="GHEA Grapalat" panose="02000506050000020003" pitchFamily="50" charset="0"/>
            </a:rPr>
            <a:t>Արտահանում</a:t>
          </a:r>
          <a:endParaRPr lang="en-US" sz="1000" b="1">
            <a:latin typeface="GHEA Grapalat" panose="02000506050000020003" pitchFamily="50" charset="0"/>
          </a:endParaRPr>
        </a:p>
      </cdr:txBody>
    </cdr:sp>
  </cdr:relSizeAnchor>
  <cdr:relSizeAnchor xmlns:cdr="http://schemas.openxmlformats.org/drawingml/2006/chartDrawing">
    <cdr:from>
      <cdr:x>0.69063</cdr:x>
      <cdr:y>0.05164</cdr:y>
    </cdr:from>
    <cdr:to>
      <cdr:x>0.96308</cdr:x>
      <cdr:y>0.14163</cdr:y>
    </cdr:to>
    <cdr:cxnSp macro="">
      <cdr:nvCxnSpPr>
        <cdr:cNvPr id="5" name="Straight Arrow Connector 4"/>
        <cdr:cNvCxnSpPr/>
      </cdr:nvCxnSpPr>
      <cdr:spPr>
        <a:xfrm xmlns:a="http://schemas.openxmlformats.org/drawingml/2006/main" flipV="1">
          <a:off x="2105025" y="114613"/>
          <a:ext cx="830443" cy="199712"/>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0.68413</cdr:x>
      <cdr:y>0</cdr:y>
    </cdr:from>
    <cdr:to>
      <cdr:x>1</cdr:x>
      <cdr:y>0.83232</cdr:y>
    </cdr:to>
    <cdr:sp macro="" textlink="">
      <cdr:nvSpPr>
        <cdr:cNvPr id="4" name="Rectangle 3"/>
        <cdr:cNvSpPr/>
      </cdr:nvSpPr>
      <cdr:spPr>
        <a:xfrm xmlns:a="http://schemas.openxmlformats.org/drawingml/2006/main">
          <a:off x="2085228" y="-7362825"/>
          <a:ext cx="962772" cy="1847188"/>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29.xml><?xml version="1.0" encoding="utf-8"?>
<c:userShapes xmlns:c="http://schemas.openxmlformats.org/drawingml/2006/chart">
  <cdr:relSizeAnchor xmlns:cdr="http://schemas.openxmlformats.org/drawingml/2006/chartDrawing">
    <cdr:from>
      <cdr:x>0.46855</cdr:x>
      <cdr:y>0</cdr:y>
    </cdr:from>
    <cdr:to>
      <cdr:x>0.92309</cdr:x>
      <cdr:y>0.10455</cdr:y>
    </cdr:to>
    <cdr:sp macro="" textlink="">
      <cdr:nvSpPr>
        <cdr:cNvPr id="3" name="Text Box 2"/>
        <cdr:cNvSpPr txBox="1"/>
      </cdr:nvSpPr>
      <cdr:spPr>
        <a:xfrm xmlns:a="http://schemas.openxmlformats.org/drawingml/2006/main">
          <a:off x="1517112" y="-1085850"/>
          <a:ext cx="1471739" cy="23302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hy-AM" sz="1000" b="1">
              <a:latin typeface="GHEA Grapalat" panose="02000506050000020003" pitchFamily="50" charset="0"/>
            </a:rPr>
            <a:t>Ներմուծում</a:t>
          </a:r>
          <a:endParaRPr lang="en-US" sz="1000" b="1">
            <a:latin typeface="GHEA Grapalat" panose="02000506050000020003" pitchFamily="50" charset="0"/>
          </a:endParaRPr>
        </a:p>
      </cdr:txBody>
    </cdr:sp>
  </cdr:relSizeAnchor>
  <cdr:relSizeAnchor xmlns:cdr="http://schemas.openxmlformats.org/drawingml/2006/chartDrawing">
    <cdr:from>
      <cdr:x>0.65895</cdr:x>
      <cdr:y>0</cdr:y>
    </cdr:from>
    <cdr:to>
      <cdr:x>0.99117</cdr:x>
      <cdr:y>0.82968</cdr:y>
    </cdr:to>
    <cdr:sp macro="" textlink="">
      <cdr:nvSpPr>
        <cdr:cNvPr id="4" name="Rectangle 3"/>
        <cdr:cNvSpPr/>
      </cdr:nvSpPr>
      <cdr:spPr>
        <a:xfrm xmlns:a="http://schemas.openxmlformats.org/drawingml/2006/main">
          <a:off x="2133600" y="0"/>
          <a:ext cx="1075690" cy="1849232"/>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3.xml><?xml version="1.0" encoding="utf-8"?>
<c:userShapes xmlns:c="http://schemas.openxmlformats.org/drawingml/2006/chart">
  <cdr:relSizeAnchor xmlns:cdr="http://schemas.openxmlformats.org/drawingml/2006/chartDrawing">
    <cdr:from>
      <cdr:x>0.64833</cdr:x>
      <cdr:y>0</cdr:y>
    </cdr:from>
    <cdr:to>
      <cdr:x>0.97237</cdr:x>
      <cdr:y>0.83248</cdr:y>
    </cdr:to>
    <cdr:sp macro="" textlink="">
      <cdr:nvSpPr>
        <cdr:cNvPr id="2" name="Rectangle 1"/>
        <cdr:cNvSpPr/>
      </cdr:nvSpPr>
      <cdr:spPr>
        <a:xfrm xmlns:a="http://schemas.openxmlformats.org/drawingml/2006/main">
          <a:off x="2007404" y="0"/>
          <a:ext cx="1003312" cy="1440503"/>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30.xml><?xml version="1.0" encoding="utf-8"?>
<c:userShapes xmlns:c="http://schemas.openxmlformats.org/drawingml/2006/chart">
  <cdr:relSizeAnchor xmlns:cdr="http://schemas.openxmlformats.org/drawingml/2006/chartDrawing">
    <cdr:from>
      <cdr:x>0.55136</cdr:x>
      <cdr:y>0.16295</cdr:y>
    </cdr:from>
    <cdr:to>
      <cdr:x>0.97487</cdr:x>
      <cdr:y>0.82037</cdr:y>
    </cdr:to>
    <cdr:sp macro="" textlink="">
      <cdr:nvSpPr>
        <cdr:cNvPr id="2" name="Rectangle 1"/>
        <cdr:cNvSpPr/>
      </cdr:nvSpPr>
      <cdr:spPr>
        <a:xfrm xmlns:a="http://schemas.openxmlformats.org/drawingml/2006/main">
          <a:off x="3473450" y="353879"/>
          <a:ext cx="2668070" cy="1427719"/>
        </a:xfrm>
        <a:prstGeom xmlns:a="http://schemas.openxmlformats.org/drawingml/2006/main" prst="rect">
          <a:avLst/>
        </a:prstGeom>
        <a:solidFill xmlns:a="http://schemas.openxmlformats.org/drawingml/2006/main">
          <a:schemeClr val="accent1">
            <a:alpha val="20000"/>
          </a:schemeClr>
        </a:solidFill>
        <a:ln xmlns:a="http://schemas.openxmlformats.org/drawingml/2006/main">
          <a:solidFill>
            <a:schemeClr val="bg1">
              <a:lumMod val="75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hy-AM"/>
        </a:p>
      </cdr:txBody>
    </cdr:sp>
  </cdr:relSizeAnchor>
</c:userShapes>
</file>

<file path=word/drawings/drawing31.xml><?xml version="1.0" encoding="utf-8"?>
<c:userShapes xmlns:c="http://schemas.openxmlformats.org/drawingml/2006/chart">
  <cdr:relSizeAnchor xmlns:cdr="http://schemas.openxmlformats.org/drawingml/2006/chartDrawing">
    <cdr:from>
      <cdr:x>0.53217</cdr:x>
      <cdr:y>0.06406</cdr:y>
    </cdr:from>
    <cdr:to>
      <cdr:x>0.97058</cdr:x>
      <cdr:y>0.82022</cdr:y>
    </cdr:to>
    <cdr:sp macro="" textlink="">
      <cdr:nvSpPr>
        <cdr:cNvPr id="2" name="Rounded Rectangle 1"/>
        <cdr:cNvSpPr/>
      </cdr:nvSpPr>
      <cdr:spPr>
        <a:xfrm xmlns:a="http://schemas.openxmlformats.org/drawingml/2006/main">
          <a:off x="2914650" y="156814"/>
          <a:ext cx="2401095" cy="1851023"/>
        </a:xfrm>
        <a:prstGeom xmlns:a="http://schemas.openxmlformats.org/drawingml/2006/main" prst="rect">
          <a:avLst/>
        </a:prstGeom>
        <a:solidFill xmlns:a="http://schemas.openxmlformats.org/drawingml/2006/main">
          <a:schemeClr val="bg1">
            <a:lumMod val="85000"/>
            <a:alpha val="30000"/>
          </a:schemeClr>
        </a:solidFill>
        <a:ln xmlns:a="http://schemas.openxmlformats.org/drawingml/2006/main">
          <a:solidFill>
            <a:schemeClr val="bg1">
              <a:lumMod val="85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32.xml><?xml version="1.0" encoding="utf-8"?>
<c:userShapes xmlns:c="http://schemas.openxmlformats.org/drawingml/2006/chart">
  <cdr:relSizeAnchor xmlns:cdr="http://schemas.openxmlformats.org/drawingml/2006/chartDrawing">
    <cdr:from>
      <cdr:x>0.62319</cdr:x>
      <cdr:y>0.06406</cdr:y>
    </cdr:from>
    <cdr:to>
      <cdr:x>0.97058</cdr:x>
      <cdr:y>0.82022</cdr:y>
    </cdr:to>
    <cdr:sp macro="" textlink="">
      <cdr:nvSpPr>
        <cdr:cNvPr id="2" name="Rounded Rectangle 1"/>
        <cdr:cNvSpPr/>
      </cdr:nvSpPr>
      <cdr:spPr>
        <a:xfrm xmlns:a="http://schemas.openxmlformats.org/drawingml/2006/main">
          <a:off x="1884459" y="184475"/>
          <a:ext cx="1050449" cy="2177533"/>
        </a:xfrm>
        <a:prstGeom xmlns:a="http://schemas.openxmlformats.org/drawingml/2006/main" prst="rect">
          <a:avLst/>
        </a:prstGeom>
        <a:solidFill xmlns:a="http://schemas.openxmlformats.org/drawingml/2006/main">
          <a:schemeClr val="bg1">
            <a:lumMod val="85000"/>
            <a:alpha val="30000"/>
          </a:schemeClr>
        </a:solidFill>
        <a:ln xmlns:a="http://schemas.openxmlformats.org/drawingml/2006/main">
          <a:solidFill>
            <a:schemeClr val="bg1">
              <a:lumMod val="85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33.xml><?xml version="1.0" encoding="utf-8"?>
<c:userShapes xmlns:c="http://schemas.openxmlformats.org/drawingml/2006/chart">
  <cdr:relSizeAnchor xmlns:cdr="http://schemas.openxmlformats.org/drawingml/2006/chartDrawing">
    <cdr:from>
      <cdr:x>0.6281</cdr:x>
      <cdr:y>0</cdr:y>
    </cdr:from>
    <cdr:to>
      <cdr:x>1</cdr:x>
      <cdr:y>0.80196</cdr:y>
    </cdr:to>
    <cdr:sp macro="" textlink="">
      <cdr:nvSpPr>
        <cdr:cNvPr id="2" name="Rounded Rectangle 1"/>
        <cdr:cNvSpPr/>
      </cdr:nvSpPr>
      <cdr:spPr>
        <a:xfrm xmlns:a="http://schemas.openxmlformats.org/drawingml/2006/main">
          <a:off x="1899293" y="-5219700"/>
          <a:ext cx="1124577" cy="2309424"/>
        </a:xfrm>
        <a:prstGeom xmlns:a="http://schemas.openxmlformats.org/drawingml/2006/main" prst="rect">
          <a:avLst/>
        </a:prstGeom>
        <a:solidFill xmlns:a="http://schemas.openxmlformats.org/drawingml/2006/main">
          <a:schemeClr val="bg1">
            <a:lumMod val="85000"/>
            <a:alpha val="30000"/>
          </a:schemeClr>
        </a:solidFill>
        <a:ln xmlns:a="http://schemas.openxmlformats.org/drawingml/2006/main">
          <a:solidFill>
            <a:schemeClr val="bg1">
              <a:lumMod val="85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userShapes>
</file>

<file path=word/drawings/drawing34.xml><?xml version="1.0" encoding="utf-8"?>
<c:userShapes xmlns:c="http://schemas.openxmlformats.org/drawingml/2006/chart">
  <cdr:relSizeAnchor xmlns:cdr="http://schemas.openxmlformats.org/drawingml/2006/chartDrawing">
    <cdr:from>
      <cdr:x>0.16374</cdr:x>
      <cdr:y>0.27299</cdr:y>
    </cdr:from>
    <cdr:to>
      <cdr:x>0.87837</cdr:x>
      <cdr:y>0.27775</cdr:y>
    </cdr:to>
    <cdr:cxnSp macro="">
      <cdr:nvCxnSpPr>
        <cdr:cNvPr id="3" name="Straight Connector 2"/>
        <cdr:cNvCxnSpPr/>
      </cdr:nvCxnSpPr>
      <cdr:spPr>
        <a:xfrm xmlns:a="http://schemas.openxmlformats.org/drawingml/2006/main" flipH="1">
          <a:off x="471540" y="786124"/>
          <a:ext cx="2057938" cy="13707"/>
        </a:xfrm>
        <a:prstGeom xmlns:a="http://schemas.openxmlformats.org/drawingml/2006/main" prst="line">
          <a:avLst/>
        </a:prstGeom>
        <a:ln xmlns:a="http://schemas.openxmlformats.org/drawingml/2006/main" w="28575">
          <a:solidFill>
            <a:srgbClr val="C0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0.16713</cdr:x>
      <cdr:y>0.32345</cdr:y>
    </cdr:from>
    <cdr:to>
      <cdr:x>0.88176</cdr:x>
      <cdr:y>0.32821</cdr:y>
    </cdr:to>
    <cdr:cxnSp macro="">
      <cdr:nvCxnSpPr>
        <cdr:cNvPr id="4" name="Straight Connector 3"/>
        <cdr:cNvCxnSpPr/>
      </cdr:nvCxnSpPr>
      <cdr:spPr>
        <a:xfrm xmlns:a="http://schemas.openxmlformats.org/drawingml/2006/main" flipH="1">
          <a:off x="481287" y="931455"/>
          <a:ext cx="2057938" cy="13707"/>
        </a:xfrm>
        <a:prstGeom xmlns:a="http://schemas.openxmlformats.org/drawingml/2006/main" prst="line">
          <a:avLst/>
        </a:prstGeom>
        <a:ln xmlns:a="http://schemas.openxmlformats.org/drawingml/2006/main" w="28575">
          <a:solidFill>
            <a:schemeClr val="accent4"/>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0.51895</cdr:x>
      <cdr:y>0.18677</cdr:y>
    </cdr:from>
    <cdr:to>
      <cdr:x>0.87745</cdr:x>
      <cdr:y>0.78626</cdr:y>
    </cdr:to>
    <cdr:sp macro="" textlink="">
      <cdr:nvSpPr>
        <cdr:cNvPr id="2" name="Rectangle 1"/>
        <cdr:cNvSpPr/>
      </cdr:nvSpPr>
      <cdr:spPr>
        <a:xfrm xmlns:a="http://schemas.openxmlformats.org/drawingml/2006/main">
          <a:off x="1494429" y="537846"/>
          <a:ext cx="1032385" cy="1726367"/>
        </a:xfrm>
        <a:prstGeom xmlns:a="http://schemas.openxmlformats.org/drawingml/2006/main" prst="rect">
          <a:avLst/>
        </a:prstGeom>
        <a:solidFill xmlns:a="http://schemas.openxmlformats.org/drawingml/2006/main">
          <a:schemeClr val="bg1">
            <a:lumMod val="85000"/>
            <a:alpha val="3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hy-AM"/>
        </a:p>
      </cdr:txBody>
    </cdr:sp>
  </cdr:relSizeAnchor>
</c:userShapes>
</file>

<file path=word/drawings/drawing35.xml><?xml version="1.0" encoding="utf-8"?>
<c:userShapes xmlns:c="http://schemas.openxmlformats.org/drawingml/2006/chart">
  <cdr:relSizeAnchor xmlns:cdr="http://schemas.openxmlformats.org/drawingml/2006/chartDrawing">
    <cdr:from>
      <cdr:x>0.36826</cdr:x>
      <cdr:y>0.18095</cdr:y>
    </cdr:from>
    <cdr:to>
      <cdr:x>0.64945</cdr:x>
      <cdr:y>0.95624</cdr:y>
    </cdr:to>
    <cdr:sp macro="" textlink="">
      <cdr:nvSpPr>
        <cdr:cNvPr id="2" name="Rectangle 1"/>
        <cdr:cNvSpPr/>
      </cdr:nvSpPr>
      <cdr:spPr>
        <a:xfrm xmlns:a="http://schemas.openxmlformats.org/drawingml/2006/main">
          <a:off x="1091821" y="522235"/>
          <a:ext cx="833678" cy="2237545"/>
        </a:xfrm>
        <a:prstGeom xmlns:a="http://schemas.openxmlformats.org/drawingml/2006/main" prst="rect">
          <a:avLst/>
        </a:prstGeom>
        <a:solidFill xmlns:a="http://schemas.openxmlformats.org/drawingml/2006/main">
          <a:schemeClr val="bg1">
            <a:lumMod val="85000"/>
            <a:alpha val="2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userShapes>
</file>

<file path=word/drawings/drawing36.xml><?xml version="1.0" encoding="utf-8"?>
<c:userShapes xmlns:c="http://schemas.openxmlformats.org/drawingml/2006/chart">
  <cdr:relSizeAnchor xmlns:cdr="http://schemas.openxmlformats.org/drawingml/2006/chartDrawing">
    <cdr:from>
      <cdr:x>0.84338</cdr:x>
      <cdr:y>0.06064</cdr:y>
    </cdr:from>
    <cdr:to>
      <cdr:x>0.94599</cdr:x>
      <cdr:y>0.87668</cdr:y>
    </cdr:to>
    <cdr:sp macro="" textlink="">
      <cdr:nvSpPr>
        <cdr:cNvPr id="2" name="Rectangle 1"/>
        <cdr:cNvSpPr/>
      </cdr:nvSpPr>
      <cdr:spPr>
        <a:xfrm xmlns:a="http://schemas.openxmlformats.org/drawingml/2006/main">
          <a:off x="2538483" y="152793"/>
          <a:ext cx="308851" cy="2056160"/>
        </a:xfrm>
        <a:prstGeom xmlns:a="http://schemas.openxmlformats.org/drawingml/2006/main" prst="rect">
          <a:avLst/>
        </a:prstGeom>
        <a:solidFill xmlns:a="http://schemas.openxmlformats.org/drawingml/2006/main">
          <a:schemeClr val="bg1">
            <a:lumMod val="85000"/>
            <a:alpha val="36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37.xml><?xml version="1.0" encoding="utf-8"?>
<c:userShapes xmlns:c="http://schemas.openxmlformats.org/drawingml/2006/chart">
  <cdr:relSizeAnchor xmlns:cdr="http://schemas.openxmlformats.org/drawingml/2006/chartDrawing">
    <cdr:from>
      <cdr:x>0.84188</cdr:x>
      <cdr:y>0.04048</cdr:y>
    </cdr:from>
    <cdr:to>
      <cdr:x>0.95573</cdr:x>
      <cdr:y>0.9</cdr:y>
    </cdr:to>
    <cdr:sp macro="" textlink="">
      <cdr:nvSpPr>
        <cdr:cNvPr id="2" name="Rectangle 1"/>
        <cdr:cNvSpPr/>
      </cdr:nvSpPr>
      <cdr:spPr>
        <a:xfrm xmlns:a="http://schemas.openxmlformats.org/drawingml/2006/main">
          <a:off x="2463421" y="101997"/>
          <a:ext cx="333121" cy="2165715"/>
        </a:xfrm>
        <a:prstGeom xmlns:a="http://schemas.openxmlformats.org/drawingml/2006/main" prst="rect">
          <a:avLst/>
        </a:prstGeom>
        <a:solidFill xmlns:a="http://schemas.openxmlformats.org/drawingml/2006/main">
          <a:schemeClr val="bg1">
            <a:lumMod val="85000"/>
            <a:alpha val="36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userShapes>
</file>

<file path=word/drawings/drawing38.xml><?xml version="1.0" encoding="utf-8"?>
<c:userShapes xmlns:c="http://schemas.openxmlformats.org/drawingml/2006/chart">
  <cdr:relSizeAnchor xmlns:cdr="http://schemas.openxmlformats.org/drawingml/2006/chartDrawing">
    <cdr:from>
      <cdr:x>0.80628</cdr:x>
      <cdr:y>0.09167</cdr:y>
    </cdr:from>
    <cdr:to>
      <cdr:x>0.83359</cdr:x>
      <cdr:y>0.78784</cdr:y>
    </cdr:to>
    <cdr:sp macro="" textlink="">
      <cdr:nvSpPr>
        <cdr:cNvPr id="2" name="Left Brace 1"/>
        <cdr:cNvSpPr/>
      </cdr:nvSpPr>
      <cdr:spPr>
        <a:xfrm xmlns:a="http://schemas.openxmlformats.org/drawingml/2006/main">
          <a:off x="4938122" y="314326"/>
          <a:ext cx="167278" cy="2387178"/>
        </a:xfrm>
        <a:prstGeom xmlns:a="http://schemas.openxmlformats.org/drawingml/2006/main" prst="leftBrace">
          <a:avLst>
            <a:gd name="adj1" fmla="val 89859"/>
            <a:gd name="adj2" fmla="val 50000"/>
          </a:avLst>
        </a:prstGeom>
        <a:ln xmlns:a="http://schemas.openxmlformats.org/drawingml/2006/main" w="476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0.17801</cdr:x>
      <cdr:y>0.23333</cdr:y>
    </cdr:from>
    <cdr:to>
      <cdr:x>0.20062</cdr:x>
      <cdr:y>0.78591</cdr:y>
    </cdr:to>
    <cdr:sp macro="" textlink="">
      <cdr:nvSpPr>
        <cdr:cNvPr id="4" name="Left Brace 3"/>
        <cdr:cNvSpPr/>
      </cdr:nvSpPr>
      <cdr:spPr>
        <a:xfrm xmlns:a="http://schemas.openxmlformats.org/drawingml/2006/main">
          <a:off x="1090236" y="800099"/>
          <a:ext cx="138489" cy="1894785"/>
        </a:xfrm>
        <a:prstGeom xmlns:a="http://schemas.openxmlformats.org/drawingml/2006/main" prst="leftBrace">
          <a:avLst>
            <a:gd name="adj1" fmla="val 89859"/>
            <a:gd name="adj2" fmla="val 50000"/>
          </a:avLst>
        </a:prstGeom>
        <a:ln xmlns:a="http://schemas.openxmlformats.org/drawingml/2006/main" w="476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en-US"/>
        </a:p>
      </cdr:txBody>
    </cdr:sp>
  </cdr:relSizeAnchor>
  <cdr:relSizeAnchor xmlns:cdr="http://schemas.openxmlformats.org/drawingml/2006/chartDrawing">
    <cdr:from>
      <cdr:x>0.60774</cdr:x>
      <cdr:y>0.15278</cdr:y>
    </cdr:from>
    <cdr:to>
      <cdr:x>0.62053</cdr:x>
      <cdr:y>0.79102</cdr:y>
    </cdr:to>
    <cdr:sp macro="" textlink="">
      <cdr:nvSpPr>
        <cdr:cNvPr id="7" name="Left Brace 6"/>
        <cdr:cNvSpPr/>
      </cdr:nvSpPr>
      <cdr:spPr>
        <a:xfrm xmlns:a="http://schemas.openxmlformats.org/drawingml/2006/main">
          <a:off x="3722149" y="523875"/>
          <a:ext cx="78326" cy="2188533"/>
        </a:xfrm>
        <a:prstGeom xmlns:a="http://schemas.openxmlformats.org/drawingml/2006/main" prst="leftBrace">
          <a:avLst>
            <a:gd name="adj1" fmla="val 89859"/>
            <a:gd name="adj2" fmla="val 50000"/>
          </a:avLst>
        </a:prstGeom>
        <a:ln xmlns:a="http://schemas.openxmlformats.org/drawingml/2006/main" w="476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0.38902</cdr:x>
      <cdr:y>0.18611</cdr:y>
    </cdr:from>
    <cdr:to>
      <cdr:x>0.41058</cdr:x>
      <cdr:y>0.79102</cdr:y>
    </cdr:to>
    <cdr:sp macro="" textlink="">
      <cdr:nvSpPr>
        <cdr:cNvPr id="8" name="Left Brace 7"/>
        <cdr:cNvSpPr/>
      </cdr:nvSpPr>
      <cdr:spPr>
        <a:xfrm xmlns:a="http://schemas.openxmlformats.org/drawingml/2006/main">
          <a:off x="2382583" y="638175"/>
          <a:ext cx="132018" cy="2074233"/>
        </a:xfrm>
        <a:prstGeom xmlns:a="http://schemas.openxmlformats.org/drawingml/2006/main" prst="leftBrace">
          <a:avLst>
            <a:gd name="adj1" fmla="val 89859"/>
            <a:gd name="adj2" fmla="val 50411"/>
          </a:avLst>
        </a:prstGeom>
        <a:ln xmlns:a="http://schemas.openxmlformats.org/drawingml/2006/main" w="476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wrap="square">
          <a:noAutofit/>
        </a:bodyPr>
        <a:lstStyle xmlns:a="http://schemas.openxmlformats.org/drawingml/2006/main"/>
        <a:p xmlns:a="http://schemas.openxmlformats.org/drawingml/2006/main">
          <a:endParaRPr lang="en-US"/>
        </a:p>
      </cdr:txBody>
    </cdr:sp>
  </cdr:relSizeAnchor>
</c:userShapes>
</file>

<file path=word/drawings/drawing39.xml><?xml version="1.0" encoding="utf-8"?>
<c:userShapes xmlns:c="http://schemas.openxmlformats.org/drawingml/2006/chart">
  <cdr:relSizeAnchor xmlns:cdr="http://schemas.openxmlformats.org/drawingml/2006/chartDrawing">
    <cdr:from>
      <cdr:x>0.34809</cdr:x>
      <cdr:y>0.15686</cdr:y>
    </cdr:from>
    <cdr:to>
      <cdr:x>0.37721</cdr:x>
      <cdr:y>0.67401</cdr:y>
    </cdr:to>
    <cdr:sp macro="" textlink="">
      <cdr:nvSpPr>
        <cdr:cNvPr id="2" name="Left Brace 1"/>
        <cdr:cNvSpPr/>
      </cdr:nvSpPr>
      <cdr:spPr>
        <a:xfrm xmlns:a="http://schemas.openxmlformats.org/drawingml/2006/main">
          <a:off x="2065592" y="685800"/>
          <a:ext cx="172783" cy="2260955"/>
        </a:xfrm>
        <a:prstGeom xmlns:a="http://schemas.openxmlformats.org/drawingml/2006/main" prst="leftBrace">
          <a:avLst>
            <a:gd name="adj1" fmla="val 89859"/>
            <a:gd name="adj2" fmla="val 50000"/>
          </a:avLst>
        </a:prstGeom>
        <a:ln xmlns:a="http://schemas.openxmlformats.org/drawingml/2006/main" w="222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0.15435</cdr:x>
      <cdr:y>0.08264</cdr:y>
    </cdr:from>
    <cdr:to>
      <cdr:x>0.17042</cdr:x>
      <cdr:y>0.67293</cdr:y>
    </cdr:to>
    <cdr:sp macro="" textlink="">
      <cdr:nvSpPr>
        <cdr:cNvPr id="4" name="Left Brace 3"/>
        <cdr:cNvSpPr/>
      </cdr:nvSpPr>
      <cdr:spPr>
        <a:xfrm xmlns:a="http://schemas.openxmlformats.org/drawingml/2006/main">
          <a:off x="914455" y="381000"/>
          <a:ext cx="95196" cy="2721275"/>
        </a:xfrm>
        <a:prstGeom xmlns:a="http://schemas.openxmlformats.org/drawingml/2006/main" prst="leftBrace">
          <a:avLst>
            <a:gd name="adj1" fmla="val 89859"/>
            <a:gd name="adj2" fmla="val 48978"/>
          </a:avLst>
        </a:prstGeom>
        <a:ln xmlns:a="http://schemas.openxmlformats.org/drawingml/2006/main" w="222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wrap="square">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0.57502</cdr:x>
      <cdr:y>0.16529</cdr:y>
    </cdr:from>
    <cdr:to>
      <cdr:x>0.61254</cdr:x>
      <cdr:y>0.66931</cdr:y>
    </cdr:to>
    <cdr:sp macro="" textlink="">
      <cdr:nvSpPr>
        <cdr:cNvPr id="5" name="Left Brace 4"/>
        <cdr:cNvSpPr/>
      </cdr:nvSpPr>
      <cdr:spPr>
        <a:xfrm xmlns:a="http://schemas.openxmlformats.org/drawingml/2006/main">
          <a:off x="3406736" y="762000"/>
          <a:ext cx="222290" cy="2323586"/>
        </a:xfrm>
        <a:prstGeom xmlns:a="http://schemas.openxmlformats.org/drawingml/2006/main" prst="leftBrace">
          <a:avLst>
            <a:gd name="adj1" fmla="val 89859"/>
            <a:gd name="adj2" fmla="val 50000"/>
          </a:avLst>
        </a:prstGeom>
        <a:ln xmlns:a="http://schemas.openxmlformats.org/drawingml/2006/main" w="222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en-US"/>
        </a:p>
      </cdr:txBody>
    </cdr:sp>
  </cdr:relSizeAnchor>
  <cdr:relSizeAnchor xmlns:cdr="http://schemas.openxmlformats.org/drawingml/2006/chartDrawing">
    <cdr:from>
      <cdr:x>0.78278</cdr:x>
      <cdr:y>0.16322</cdr:y>
    </cdr:from>
    <cdr:to>
      <cdr:x>0.82958</cdr:x>
      <cdr:y>0.67723</cdr:y>
    </cdr:to>
    <cdr:sp macro="" textlink="">
      <cdr:nvSpPr>
        <cdr:cNvPr id="6" name="Left Brace 5"/>
        <cdr:cNvSpPr/>
      </cdr:nvSpPr>
      <cdr:spPr>
        <a:xfrm xmlns:a="http://schemas.openxmlformats.org/drawingml/2006/main">
          <a:off x="4637618" y="752474"/>
          <a:ext cx="277281" cy="2369623"/>
        </a:xfrm>
        <a:prstGeom xmlns:a="http://schemas.openxmlformats.org/drawingml/2006/main" prst="leftBrace">
          <a:avLst>
            <a:gd name="adj1" fmla="val 89859"/>
            <a:gd name="adj2" fmla="val 50000"/>
          </a:avLst>
        </a:prstGeom>
        <a:ln xmlns:a="http://schemas.openxmlformats.org/drawingml/2006/main" w="222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en-US"/>
        </a:p>
      </cdr:txBody>
    </cdr:sp>
  </cdr:relSizeAnchor>
</c:userShapes>
</file>

<file path=word/drawings/drawing4.xml><?xml version="1.0" encoding="utf-8"?>
<c:userShapes xmlns:c="http://schemas.openxmlformats.org/drawingml/2006/chart">
  <cdr:relSizeAnchor xmlns:cdr="http://schemas.openxmlformats.org/drawingml/2006/chartDrawing">
    <cdr:from>
      <cdr:x>0.75466</cdr:x>
      <cdr:y>0.01818</cdr:y>
    </cdr:from>
    <cdr:to>
      <cdr:x>0.9608</cdr:x>
      <cdr:y>0.84091</cdr:y>
    </cdr:to>
    <cdr:sp macro="" textlink="">
      <cdr:nvSpPr>
        <cdr:cNvPr id="2" name="Rectangle 1"/>
        <cdr:cNvSpPr/>
      </cdr:nvSpPr>
      <cdr:spPr>
        <a:xfrm xmlns:a="http://schemas.openxmlformats.org/drawingml/2006/main">
          <a:off x="1466850" y="38100"/>
          <a:ext cx="400685" cy="1724031"/>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a:effectLst xmlns:a="http://schemas.openxmlformats.org/drawingml/2006/mai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userShapes>
</file>

<file path=word/drawings/drawing40.xml><?xml version="1.0" encoding="utf-8"?>
<c:userShapes xmlns:c="http://schemas.openxmlformats.org/drawingml/2006/chart">
  <cdr:relSizeAnchor xmlns:cdr="http://schemas.openxmlformats.org/drawingml/2006/chartDrawing">
    <cdr:from>
      <cdr:x>0.60892</cdr:x>
      <cdr:y>0.18565</cdr:y>
    </cdr:from>
    <cdr:to>
      <cdr:x>0.63285</cdr:x>
      <cdr:y>0.73138</cdr:y>
    </cdr:to>
    <cdr:sp macro="" textlink="">
      <cdr:nvSpPr>
        <cdr:cNvPr id="2" name="Left Brace 1"/>
        <cdr:cNvSpPr/>
      </cdr:nvSpPr>
      <cdr:spPr>
        <a:xfrm xmlns:a="http://schemas.openxmlformats.org/drawingml/2006/main">
          <a:off x="3601777" y="838200"/>
          <a:ext cx="141548" cy="2463871"/>
        </a:xfrm>
        <a:prstGeom xmlns:a="http://schemas.openxmlformats.org/drawingml/2006/main" prst="leftBrace">
          <a:avLst>
            <a:gd name="adj1" fmla="val 70074"/>
            <a:gd name="adj2" fmla="val 50000"/>
          </a:avLst>
        </a:prstGeom>
        <a:ln xmlns:a="http://schemas.openxmlformats.org/drawingml/2006/main" w="476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vert="horz" wrap="none" lIns="45720" tIns="45720" rIns="45720" bIns="45720" anchor="t" anchorCtr="0">
          <a:norm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0.80874</cdr:x>
      <cdr:y>0.12025</cdr:y>
    </cdr:from>
    <cdr:to>
      <cdr:x>0.84219</cdr:x>
      <cdr:y>0.72962</cdr:y>
    </cdr:to>
    <cdr:sp macro="" textlink="">
      <cdr:nvSpPr>
        <cdr:cNvPr id="3" name="Left Brace 2"/>
        <cdr:cNvSpPr/>
      </cdr:nvSpPr>
      <cdr:spPr>
        <a:xfrm xmlns:a="http://schemas.openxmlformats.org/drawingml/2006/main">
          <a:off x="4783717" y="542925"/>
          <a:ext cx="197858" cy="2751200"/>
        </a:xfrm>
        <a:prstGeom xmlns:a="http://schemas.openxmlformats.org/drawingml/2006/main" prst="leftBrace">
          <a:avLst>
            <a:gd name="adj1" fmla="val 89859"/>
            <a:gd name="adj2" fmla="val 50000"/>
          </a:avLst>
        </a:prstGeom>
        <a:ln xmlns:a="http://schemas.openxmlformats.org/drawingml/2006/main" w="476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horz" wrap="none" lIns="45720" tIns="45720" rIns="45720" bIns="45720" anchor="t" anchorCtr="0">
          <a:norm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0.20106</cdr:x>
      <cdr:y>0.35865</cdr:y>
    </cdr:from>
    <cdr:to>
      <cdr:x>0.219</cdr:x>
      <cdr:y>0.73848</cdr:y>
    </cdr:to>
    <cdr:sp macro="" textlink="">
      <cdr:nvSpPr>
        <cdr:cNvPr id="4" name="Left Brace 3"/>
        <cdr:cNvSpPr/>
      </cdr:nvSpPr>
      <cdr:spPr>
        <a:xfrm xmlns:a="http://schemas.openxmlformats.org/drawingml/2006/main">
          <a:off x="1189275" y="1619250"/>
          <a:ext cx="106125" cy="1714876"/>
        </a:xfrm>
        <a:prstGeom xmlns:a="http://schemas.openxmlformats.org/drawingml/2006/main" prst="leftBrace">
          <a:avLst>
            <a:gd name="adj1" fmla="val 70074"/>
            <a:gd name="adj2" fmla="val 50000"/>
          </a:avLst>
        </a:prstGeom>
        <a:ln xmlns:a="http://schemas.openxmlformats.org/drawingml/2006/main" w="476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vert="horz" wrap="none" lIns="45720" tIns="45720" rIns="45720" bIns="45720" anchor="t" anchorCtr="0">
          <a:norm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0.40915</cdr:x>
      <cdr:y>0.23418</cdr:y>
    </cdr:from>
    <cdr:to>
      <cdr:x>0.42512</cdr:x>
      <cdr:y>0.74181</cdr:y>
    </cdr:to>
    <cdr:sp macro="" textlink="">
      <cdr:nvSpPr>
        <cdr:cNvPr id="5" name="Left Brace 4"/>
        <cdr:cNvSpPr/>
      </cdr:nvSpPr>
      <cdr:spPr>
        <a:xfrm xmlns:a="http://schemas.openxmlformats.org/drawingml/2006/main">
          <a:off x="2420133" y="1057275"/>
          <a:ext cx="94468" cy="2291886"/>
        </a:xfrm>
        <a:prstGeom xmlns:a="http://schemas.openxmlformats.org/drawingml/2006/main" prst="leftBrace">
          <a:avLst>
            <a:gd name="adj1" fmla="val 70074"/>
            <a:gd name="adj2" fmla="val 50000"/>
          </a:avLst>
        </a:prstGeom>
        <a:ln xmlns:a="http://schemas.openxmlformats.org/drawingml/2006/main" w="47625">
          <a:solidFill>
            <a:schemeClr val="tx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vert="horz" wrap="none" lIns="45720" tIns="45720" rIns="45720" bIns="45720" anchor="t" anchorCtr="0">
          <a:normAutofit/>
        </a:bodyPr>
        <a:lstStyle xmlns:a="http://schemas.openxmlformats.org/drawingml/2006/main"/>
        <a:p xmlns:a="http://schemas.openxmlformats.org/drawingml/2006/main">
          <a:endParaRPr lang="en-US"/>
        </a:p>
      </cdr:txBody>
    </cdr:sp>
  </cdr:relSizeAnchor>
</c:userShapes>
</file>

<file path=word/drawings/drawing41.xml><?xml version="1.0" encoding="utf-8"?>
<c:userShapes xmlns:c="http://schemas.openxmlformats.org/drawingml/2006/chart">
  <cdr:relSizeAnchor xmlns:cdr="http://schemas.openxmlformats.org/drawingml/2006/chartDrawing">
    <cdr:from>
      <cdr:x>0.01628</cdr:x>
      <cdr:y>0</cdr:y>
    </cdr:from>
    <cdr:to>
      <cdr:x>0.2152</cdr:x>
      <cdr:y>0.11972</cdr:y>
    </cdr:to>
    <cdr:sp macro="" textlink="">
      <cdr:nvSpPr>
        <cdr:cNvPr id="2" name="TextBox 1"/>
        <cdr:cNvSpPr txBox="1"/>
      </cdr:nvSpPr>
      <cdr:spPr>
        <a:xfrm xmlns:a="http://schemas.openxmlformats.org/drawingml/2006/main">
          <a:off x="73068" y="0"/>
          <a:ext cx="892767" cy="288284"/>
        </a:xfrm>
        <a:prstGeom xmlns:a="http://schemas.openxmlformats.org/drawingml/2006/main" prst="rect">
          <a:avLst/>
        </a:prstGeom>
      </cdr:spPr>
      <cdr:txBody>
        <a:bodyPr xmlns:a="http://schemas.openxmlformats.org/drawingml/2006/main" vertOverflow="clip" wrap="square" rtlCol="0">
          <a:spAutoFit/>
        </a:bodyPr>
        <a:lstStyle xmlns:a="http://schemas.openxmlformats.org/drawingml/2006/main"/>
        <a:p xmlns:a="http://schemas.openxmlformats.org/drawingml/2006/main">
          <a:r>
            <a:rPr lang="en-US" sz="1100" b="0">
              <a:solidFill>
                <a:srgbClr val="4B82AD"/>
              </a:solidFill>
              <a:latin typeface="Segoe UI" panose="020B0502040204020203" pitchFamily="34" charset="0"/>
            </a:rPr>
            <a:t>(տոկոս</a:t>
          </a:r>
          <a:r>
            <a:rPr lang="en-US" sz="1100" b="0" baseline="0">
              <a:solidFill>
                <a:srgbClr val="4B82AD"/>
              </a:solidFill>
              <a:latin typeface="Segoe UI" panose="020B0502040204020203" pitchFamily="34" charset="0"/>
            </a:rPr>
            <a:t>)</a:t>
          </a:r>
          <a:endParaRPr lang="en-US" sz="1100" b="0">
            <a:solidFill>
              <a:srgbClr val="4B82AD"/>
            </a:solidFill>
            <a:latin typeface="Segoe UI" panose="020B0502040204020203" pitchFamily="34" charset="0"/>
          </a:endParaRPr>
        </a:p>
      </cdr:txBody>
    </cdr:sp>
  </cdr:relSizeAnchor>
</c:userShapes>
</file>

<file path=word/drawings/drawing42.xml><?xml version="1.0" encoding="utf-8"?>
<c:userShapes xmlns:c="http://schemas.openxmlformats.org/drawingml/2006/chart">
  <cdr:relSizeAnchor xmlns:cdr="http://schemas.openxmlformats.org/drawingml/2006/chartDrawing">
    <cdr:from>
      <cdr:x>0.33394</cdr:x>
      <cdr:y>0.01022</cdr:y>
    </cdr:from>
    <cdr:to>
      <cdr:x>0.97984</cdr:x>
      <cdr:y>0.88093</cdr:y>
    </cdr:to>
    <cdr:sp macro="" textlink="">
      <cdr:nvSpPr>
        <cdr:cNvPr id="3" name="Rectangle 2"/>
        <cdr:cNvSpPr/>
      </cdr:nvSpPr>
      <cdr:spPr>
        <a:xfrm xmlns:a="http://schemas.openxmlformats.org/drawingml/2006/main">
          <a:off x="2110765" y="40006"/>
          <a:ext cx="4082598" cy="3406960"/>
        </a:xfrm>
        <a:prstGeom xmlns:a="http://schemas.openxmlformats.org/drawingml/2006/main" prst="rect">
          <a:avLst/>
        </a:prstGeom>
        <a:solidFill xmlns:a="http://schemas.openxmlformats.org/drawingml/2006/main">
          <a:schemeClr val="accent2">
            <a:alpha val="10000"/>
          </a:schemeClr>
        </a:solidFill>
        <a:ln xmlns:a="http://schemas.openxmlformats.org/drawingml/2006/main">
          <a:solidFill>
            <a:schemeClr val="accent2"/>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0.58684</cdr:x>
      <cdr:y>0.04467</cdr:y>
    </cdr:from>
    <cdr:to>
      <cdr:x>0.76253</cdr:x>
      <cdr:y>0.10366</cdr:y>
    </cdr:to>
    <cdr:sp macro="" textlink="">
      <cdr:nvSpPr>
        <cdr:cNvPr id="4" name="ZoneTexte 3"/>
        <cdr:cNvSpPr txBox="1"/>
      </cdr:nvSpPr>
      <cdr:spPr>
        <a:xfrm xmlns:a="http://schemas.openxmlformats.org/drawingml/2006/main">
          <a:off x="3827733" y="173309"/>
          <a:ext cx="1142760" cy="222691"/>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square" rtlCol="0"/>
        <a:lstStyle xmlns:a="http://schemas.openxmlformats.org/drawingml/2006/main"/>
        <a:p xmlns:a="http://schemas.openxmlformats.org/drawingml/2006/main">
          <a:pPr algn="ctr"/>
          <a:r>
            <a:rPr lang="fr-CH" sz="900" b="0">
              <a:solidFill>
                <a:schemeClr val="accent2"/>
              </a:solidFill>
              <a:latin typeface="GHEA Grapalat" pitchFamily="50" charset="0"/>
            </a:rPr>
            <a:t>Կանխատեսում</a:t>
          </a:r>
        </a:p>
      </cdr:txBody>
    </cdr:sp>
  </cdr:relSizeAnchor>
</c:userShapes>
</file>

<file path=word/drawings/drawing43.xml><?xml version="1.0" encoding="utf-8"?>
<c:userShapes xmlns:c="http://schemas.openxmlformats.org/drawingml/2006/chart">
  <cdr:relSizeAnchor xmlns:cdr="http://schemas.openxmlformats.org/drawingml/2006/chartDrawing">
    <cdr:from>
      <cdr:x>0.01276</cdr:x>
      <cdr:y>0.0144</cdr:y>
    </cdr:from>
    <cdr:to>
      <cdr:x>0.15525</cdr:x>
      <cdr:y>0.10258</cdr:y>
    </cdr:to>
    <cdr:sp macro="" textlink="">
      <cdr:nvSpPr>
        <cdr:cNvPr id="2" name="TextBox 1"/>
        <cdr:cNvSpPr txBox="1"/>
      </cdr:nvSpPr>
      <cdr:spPr>
        <a:xfrm xmlns:a="http://schemas.openxmlformats.org/drawingml/2006/main">
          <a:off x="71438" y="33338"/>
          <a:ext cx="797719" cy="2024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Տոկոս</a:t>
          </a:r>
        </a:p>
      </cdr:txBody>
    </cdr:sp>
  </cdr:relSizeAnchor>
</c:userShapes>
</file>

<file path=word/drawings/drawing44.xml><?xml version="1.0" encoding="utf-8"?>
<c:userShapes xmlns:c="http://schemas.openxmlformats.org/drawingml/2006/chart">
  <cdr:relSizeAnchor xmlns:cdr="http://schemas.openxmlformats.org/drawingml/2006/chartDrawing">
    <cdr:from>
      <cdr:x>0.11427</cdr:x>
      <cdr:y>0.51929</cdr:y>
    </cdr:from>
    <cdr:to>
      <cdr:x>0.99399</cdr:x>
      <cdr:y>0.51929</cdr:y>
    </cdr:to>
    <cdr:cxnSp macro="">
      <cdr:nvCxnSpPr>
        <cdr:cNvPr id="4" name="Straight Connector 3"/>
        <cdr:cNvCxnSpPr/>
      </cdr:nvCxnSpPr>
      <cdr:spPr>
        <a:xfrm xmlns:a="http://schemas.openxmlformats.org/drawingml/2006/main">
          <a:off x="361950" y="1495425"/>
          <a:ext cx="2786380" cy="0"/>
        </a:xfrm>
        <a:prstGeom xmlns:a="http://schemas.openxmlformats.org/drawingml/2006/main" prst="line">
          <a:avLst/>
        </a:prstGeom>
        <a:ln xmlns:a="http://schemas.openxmlformats.org/drawingml/2006/main" w="25400">
          <a:solidFill>
            <a:srgbClr val="FFC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0.16059</cdr:x>
      <cdr:y>0.20176</cdr:y>
    </cdr:from>
    <cdr:to>
      <cdr:x>0.44928</cdr:x>
      <cdr:y>0.26792</cdr:y>
    </cdr:to>
    <cdr:sp macro="" textlink="">
      <cdr:nvSpPr>
        <cdr:cNvPr id="5" name="Text Box 4"/>
        <cdr:cNvSpPr txBox="1"/>
      </cdr:nvSpPr>
      <cdr:spPr>
        <a:xfrm xmlns:a="http://schemas.openxmlformats.org/drawingml/2006/main">
          <a:off x="508635" y="581025"/>
          <a:ext cx="914400" cy="1905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0.09443</cdr:x>
      <cdr:y>0.18523</cdr:y>
    </cdr:from>
    <cdr:to>
      <cdr:x>0.43605</cdr:x>
      <cdr:y>0.28445</cdr:y>
    </cdr:to>
    <cdr:sp macro="" textlink="">
      <cdr:nvSpPr>
        <cdr:cNvPr id="6" name="Text Box 5"/>
        <cdr:cNvSpPr txBox="1"/>
      </cdr:nvSpPr>
      <cdr:spPr>
        <a:xfrm xmlns:a="http://schemas.openxmlformats.org/drawingml/2006/main">
          <a:off x="299085" y="533400"/>
          <a:ext cx="1082040" cy="2857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latin typeface="GHEA Grapalat" panose="02000506050000020003" pitchFamily="50" charset="0"/>
            </a:rPr>
            <a:t>MAC DSA </a:t>
          </a:r>
          <a:r>
            <a:rPr lang="hy-AM" sz="900">
              <a:latin typeface="GHEA Grapalat" panose="02000506050000020003" pitchFamily="50" charset="0"/>
            </a:rPr>
            <a:t>շեմ</a:t>
          </a:r>
          <a:endParaRPr lang="en-US" sz="900">
            <a:latin typeface="GHEA Grapalat" panose="02000506050000020003" pitchFamily="50" charset="0"/>
          </a:endParaRPr>
        </a:p>
      </cdr:txBody>
    </cdr:sp>
  </cdr:relSizeAnchor>
  <cdr:relSizeAnchor xmlns:cdr="http://schemas.openxmlformats.org/drawingml/2006/chartDrawing">
    <cdr:from>
      <cdr:x>0.07438</cdr:x>
      <cdr:y>0.53693</cdr:y>
    </cdr:from>
    <cdr:to>
      <cdr:x>0.6255</cdr:x>
      <cdr:y>0.63616</cdr:y>
    </cdr:to>
    <cdr:sp macro="" textlink="">
      <cdr:nvSpPr>
        <cdr:cNvPr id="7" name="Text Box 1"/>
        <cdr:cNvSpPr txBox="1"/>
      </cdr:nvSpPr>
      <cdr:spPr>
        <a:xfrm xmlns:a="http://schemas.openxmlformats.org/drawingml/2006/main">
          <a:off x="235584" y="1546225"/>
          <a:ext cx="1745615" cy="2857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a:latin typeface="GHEA Grapalat" panose="02000506050000020003" pitchFamily="50" charset="0"/>
            </a:rPr>
            <a:t>Հ</a:t>
          </a:r>
          <a:r>
            <a:rPr lang="hy-AM" sz="900">
              <a:latin typeface="GHEA Grapalat" panose="02000506050000020003" pitchFamily="50" charset="0"/>
            </a:rPr>
            <a:t>Հ հարկաբյուջետային կանոնի</a:t>
          </a:r>
          <a:r>
            <a:rPr lang="hy-AM" sz="900" baseline="0">
              <a:latin typeface="GHEA Grapalat" panose="02000506050000020003" pitchFamily="50" charset="0"/>
            </a:rPr>
            <a:t> սահմանային շեմ</a:t>
          </a:r>
          <a:endParaRPr lang="en-US" sz="900">
            <a:latin typeface="GHEA Grapalat" panose="02000506050000020003" pitchFamily="50" charset="0"/>
          </a:endParaRPr>
        </a:p>
      </cdr:txBody>
    </cdr:sp>
  </cdr:relSizeAnchor>
</c:userShapes>
</file>

<file path=word/drawings/drawing45.xml><?xml version="1.0" encoding="utf-8"?>
<c:userShapes xmlns:c="http://schemas.openxmlformats.org/drawingml/2006/chart">
  <cdr:relSizeAnchor xmlns:cdr="http://schemas.openxmlformats.org/drawingml/2006/chartDrawing">
    <cdr:from>
      <cdr:x>0.16059</cdr:x>
      <cdr:y>0.20176</cdr:y>
    </cdr:from>
    <cdr:to>
      <cdr:x>0.44928</cdr:x>
      <cdr:y>0.26792</cdr:y>
    </cdr:to>
    <cdr:sp macro="" textlink="">
      <cdr:nvSpPr>
        <cdr:cNvPr id="5" name="Text Box 4"/>
        <cdr:cNvSpPr txBox="1"/>
      </cdr:nvSpPr>
      <cdr:spPr>
        <a:xfrm xmlns:a="http://schemas.openxmlformats.org/drawingml/2006/main">
          <a:off x="508635" y="581025"/>
          <a:ext cx="914400" cy="1905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userShapes>
</file>

<file path=word/drawings/drawing5.xml><?xml version="1.0" encoding="utf-8"?>
<c:userShapes xmlns:c="http://schemas.openxmlformats.org/drawingml/2006/chart">
  <cdr:relSizeAnchor xmlns:cdr="http://schemas.openxmlformats.org/drawingml/2006/chartDrawing">
    <cdr:from>
      <cdr:x>0.75234</cdr:x>
      <cdr:y>0</cdr:y>
    </cdr:from>
    <cdr:to>
      <cdr:x>0.96851</cdr:x>
      <cdr:y>0.83486</cdr:y>
    </cdr:to>
    <cdr:sp macro="" textlink="">
      <cdr:nvSpPr>
        <cdr:cNvPr id="3" name="Rectangle 2"/>
        <cdr:cNvSpPr/>
      </cdr:nvSpPr>
      <cdr:spPr>
        <a:xfrm xmlns:a="http://schemas.openxmlformats.org/drawingml/2006/main">
          <a:off x="1533524" y="0"/>
          <a:ext cx="440637" cy="1924394"/>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userShapes>
</file>

<file path=word/drawings/drawing6.xml><?xml version="1.0" encoding="utf-8"?>
<c:userShapes xmlns:c="http://schemas.openxmlformats.org/drawingml/2006/chart">
  <cdr:relSizeAnchor xmlns:cdr="http://schemas.openxmlformats.org/drawingml/2006/chartDrawing">
    <cdr:from>
      <cdr:x>0.75529</cdr:x>
      <cdr:y>0</cdr:y>
    </cdr:from>
    <cdr:to>
      <cdr:x>0.98556</cdr:x>
      <cdr:y>0.80093</cdr:y>
    </cdr:to>
    <cdr:sp macro="" textlink="">
      <cdr:nvSpPr>
        <cdr:cNvPr id="2" name="Rectangle 1"/>
        <cdr:cNvSpPr/>
      </cdr:nvSpPr>
      <cdr:spPr>
        <a:xfrm xmlns:a="http://schemas.openxmlformats.org/drawingml/2006/main">
          <a:off x="1495424" y="0"/>
          <a:ext cx="455915" cy="1869070"/>
        </a:xfrm>
        <a:prstGeom xmlns:a="http://schemas.openxmlformats.org/drawingml/2006/main" prst="rect">
          <a:avLst/>
        </a:prstGeom>
        <a:solidFill xmlns:a="http://schemas.openxmlformats.org/drawingml/2006/main">
          <a:srgbClr val="D8E2F4">
            <a:alpha val="50000"/>
          </a:srgbClr>
        </a:solidFill>
        <a:ln xmlns:a="http://schemas.openxmlformats.org/drawingml/2006/main">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7.xml><?xml version="1.0" encoding="utf-8"?>
<c:userShapes xmlns:c="http://schemas.openxmlformats.org/drawingml/2006/chart">
  <cdr:relSizeAnchor xmlns:cdr="http://schemas.openxmlformats.org/drawingml/2006/chartDrawing">
    <cdr:from>
      <cdr:x>0.41525</cdr:x>
      <cdr:y>0.02174</cdr:y>
    </cdr:from>
    <cdr:to>
      <cdr:x>0.9717</cdr:x>
      <cdr:y>0.58343</cdr:y>
    </cdr:to>
    <cdr:sp macro="" textlink="">
      <cdr:nvSpPr>
        <cdr:cNvPr id="2" name="Rectangle 1"/>
        <cdr:cNvSpPr/>
      </cdr:nvSpPr>
      <cdr:spPr>
        <a:xfrm xmlns:a="http://schemas.openxmlformats.org/drawingml/2006/main">
          <a:off x="1345578" y="43886"/>
          <a:ext cx="1803139" cy="1133864"/>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8.xml><?xml version="1.0" encoding="utf-8"?>
<c:userShapes xmlns:c="http://schemas.openxmlformats.org/drawingml/2006/chart">
  <cdr:relSizeAnchor xmlns:cdr="http://schemas.openxmlformats.org/drawingml/2006/chartDrawing">
    <cdr:from>
      <cdr:x>0.4077</cdr:x>
      <cdr:y>0</cdr:y>
    </cdr:from>
    <cdr:to>
      <cdr:x>0.98158</cdr:x>
      <cdr:y>0.54822</cdr:y>
    </cdr:to>
    <cdr:sp macro="" textlink="">
      <cdr:nvSpPr>
        <cdr:cNvPr id="3" name="Rectangle 2"/>
        <cdr:cNvSpPr/>
      </cdr:nvSpPr>
      <cdr:spPr>
        <a:xfrm xmlns:a="http://schemas.openxmlformats.org/drawingml/2006/main">
          <a:off x="1221958" y="0"/>
          <a:ext cx="1720025" cy="1106673"/>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en-US"/>
        </a:p>
      </cdr:txBody>
    </cdr:sp>
  </cdr:relSizeAnchor>
</c:userShapes>
</file>

<file path=word/drawings/drawing9.xml><?xml version="1.0" encoding="utf-8"?>
<c:userShapes xmlns:c="http://schemas.openxmlformats.org/drawingml/2006/chart">
  <cdr:relSizeAnchor xmlns:cdr="http://schemas.openxmlformats.org/drawingml/2006/chartDrawing">
    <cdr:from>
      <cdr:x>0.39487</cdr:x>
      <cdr:y>0.02641</cdr:y>
    </cdr:from>
    <cdr:to>
      <cdr:x>0.96614</cdr:x>
      <cdr:y>0.73783</cdr:y>
    </cdr:to>
    <cdr:sp macro="" textlink="">
      <cdr:nvSpPr>
        <cdr:cNvPr id="2" name="Rectangle 1"/>
        <cdr:cNvSpPr/>
      </cdr:nvSpPr>
      <cdr:spPr>
        <a:xfrm xmlns:a="http://schemas.openxmlformats.org/drawingml/2006/main">
          <a:off x="1279526" y="50799"/>
          <a:ext cx="1851151" cy="1368349"/>
        </a:xfrm>
        <a:prstGeom xmlns:a="http://schemas.openxmlformats.org/drawingml/2006/main" prst="rect">
          <a:avLst/>
        </a:prstGeom>
        <a:solidFill xmlns:a="http://schemas.openxmlformats.org/drawingml/2006/main">
          <a:srgbClr val="D8E2F4">
            <a:alpha val="21176"/>
          </a:srgb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6B7FC7-8866-4B48-AEBE-61E9A23EB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70314</Words>
  <Characters>400793</Characters>
  <Application>Microsoft Office Word</Application>
  <DocSecurity>0</DocSecurity>
  <Lines>3339</Lines>
  <Paragraphs>940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¶ÈàôÊ 11</vt:lpstr>
      <vt:lpstr>¶ÈàôÊ 11</vt:lpstr>
    </vt:vector>
  </TitlesOfParts>
  <Company>SPecialiST RePack</Company>
  <LinksUpToDate>false</LinksUpToDate>
  <CharactersWithSpaces>470167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¶ÈàôÊ 11</dc:title>
  <dc:creator>mariam</dc:creator>
  <cp:keywords>https:/mul2.gov.am/tasks/298961/oneclick/voroshumNrk246.1.docx?token=623693dee67b87df7c6f7cabd818aecd</cp:keywords>
  <cp:lastModifiedBy>Eduard Bagdasaryan</cp:lastModifiedBy>
  <cp:revision>2</cp:revision>
  <cp:lastPrinted>2021-07-16T09:06:00Z</cp:lastPrinted>
  <dcterms:created xsi:type="dcterms:W3CDTF">2021-07-22T12:26:00Z</dcterms:created>
  <dcterms:modified xsi:type="dcterms:W3CDTF">2021-07-22T12:26:00Z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1033-11.2.0.10176</vt:lpwstr>
  </property>
</Properties>
</file>